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2325" w14:textId="506E7943" w:rsidR="00D04665" w:rsidRPr="004E22CE" w:rsidRDefault="004E22CE" w:rsidP="004E22CE">
      <w:pPr>
        <w:spacing w:after="0" w:line="276" w:lineRule="auto"/>
        <w:rPr>
          <w:rFonts w:ascii="Arial" w:hAnsi="Arial" w:cs="Arial"/>
          <w:b/>
          <w:bCs/>
          <w:sz w:val="28"/>
          <w:szCs w:val="28"/>
        </w:rPr>
      </w:pPr>
      <w:r w:rsidRPr="004E22CE">
        <w:rPr>
          <w:rFonts w:ascii="Arial" w:hAnsi="Arial" w:cs="Arial"/>
          <w:b/>
          <w:bCs/>
          <w:sz w:val="28"/>
          <w:szCs w:val="28"/>
        </w:rPr>
        <w:t>D</w:t>
      </w:r>
      <w:r w:rsidR="00E33BE9">
        <w:rPr>
          <w:rFonts w:ascii="Arial" w:hAnsi="Arial" w:cs="Arial"/>
          <w:b/>
          <w:bCs/>
          <w:sz w:val="28"/>
          <w:szCs w:val="28"/>
        </w:rPr>
        <w:t xml:space="preserve">IABETIC KETOACIDOSIS AND HYPEROSMOLAR HYPERGLYCEMIC STATE </w:t>
      </w:r>
    </w:p>
    <w:p w14:paraId="29786CA0" w14:textId="77777777" w:rsidR="004E22CE" w:rsidRDefault="004E22CE" w:rsidP="004E22CE">
      <w:pPr>
        <w:spacing w:after="0" w:line="276" w:lineRule="auto"/>
        <w:rPr>
          <w:rFonts w:ascii="Arial" w:hAnsi="Arial" w:cs="Arial"/>
          <w:b/>
          <w:bCs/>
        </w:rPr>
      </w:pPr>
    </w:p>
    <w:p w14:paraId="3106846B" w14:textId="069BFE53" w:rsidR="004E22CE" w:rsidRDefault="004E22CE" w:rsidP="004E22CE">
      <w:pPr>
        <w:spacing w:after="0" w:line="276" w:lineRule="auto"/>
        <w:rPr>
          <w:rFonts w:ascii="Arial" w:hAnsi="Arial" w:cs="Arial"/>
          <w:sz w:val="20"/>
          <w:szCs w:val="20"/>
        </w:rPr>
      </w:pPr>
      <w:r w:rsidRPr="004E22CE">
        <w:rPr>
          <w:rFonts w:ascii="Arial" w:hAnsi="Arial" w:cs="Arial"/>
          <w:b/>
          <w:bCs/>
        </w:rPr>
        <w:t>Kenneth R. Feingold MD</w:t>
      </w:r>
      <w:r>
        <w:rPr>
          <w:rFonts w:ascii="Arial" w:hAnsi="Arial" w:cs="Arial"/>
          <w:sz w:val="28"/>
          <w:szCs w:val="28"/>
        </w:rPr>
        <w:t xml:space="preserve">, </w:t>
      </w:r>
      <w:r w:rsidRPr="004E22CE">
        <w:rPr>
          <w:rFonts w:ascii="Arial" w:hAnsi="Arial" w:cs="Arial"/>
          <w:sz w:val="20"/>
          <w:szCs w:val="20"/>
        </w:rPr>
        <w:t xml:space="preserve">Emeritus Professor of Medicine, University of California San Francisco, San Francisco, CA. </w:t>
      </w:r>
      <w:hyperlink r:id="rId5" w:history="1">
        <w:r w:rsidRPr="00B36F6C">
          <w:rPr>
            <w:rStyle w:val="Hyperlink"/>
            <w:rFonts w:ascii="Arial" w:hAnsi="Arial" w:cs="Arial"/>
            <w:sz w:val="20"/>
            <w:szCs w:val="20"/>
          </w:rPr>
          <w:t>Kenneth.feingold@ucsf.edu</w:t>
        </w:r>
      </w:hyperlink>
    </w:p>
    <w:p w14:paraId="2137BB42" w14:textId="413A916F" w:rsidR="003006B0" w:rsidRPr="003006B0" w:rsidRDefault="003006B0" w:rsidP="003006B0">
      <w:pPr>
        <w:shd w:val="clear" w:color="auto" w:fill="FFFFFF"/>
        <w:spacing w:after="0" w:line="240" w:lineRule="auto"/>
        <w:textAlignment w:val="baseline"/>
        <w:outlineLvl w:val="1"/>
        <w:rPr>
          <w:rFonts w:ascii="Arial" w:eastAsia="Times New Roman" w:hAnsi="Arial" w:cs="Arial"/>
          <w:color w:val="000000"/>
          <w:kern w:val="0"/>
          <w:sz w:val="20"/>
          <w:szCs w:val="20"/>
          <w14:ligatures w14:val="none"/>
        </w:rPr>
      </w:pPr>
      <w:r w:rsidRPr="003006B0">
        <w:rPr>
          <w:rFonts w:ascii="Arial" w:eastAsia="Times New Roman" w:hAnsi="Arial" w:cs="Arial"/>
          <w:b/>
          <w:bCs/>
          <w:color w:val="000000"/>
          <w:kern w:val="0"/>
          <w14:ligatures w14:val="none"/>
        </w:rPr>
        <w:t>Ketan Dhatariya, MD, PhD,</w:t>
      </w:r>
      <w:r>
        <w:rPr>
          <w:rFonts w:ascii="Arial" w:eastAsia="Times New Roman" w:hAnsi="Arial" w:cs="Arial"/>
          <w:b/>
          <w:bCs/>
          <w:color w:val="000000"/>
          <w:kern w:val="0"/>
          <w:sz w:val="21"/>
          <w:szCs w:val="21"/>
          <w14:ligatures w14:val="none"/>
        </w:rPr>
        <w:t xml:space="preserve"> </w:t>
      </w:r>
      <w:r w:rsidRPr="003006B0">
        <w:rPr>
          <w:rFonts w:ascii="Arial" w:eastAsia="Times New Roman" w:hAnsi="Arial" w:cs="Arial"/>
          <w:color w:val="000000"/>
          <w:kern w:val="0"/>
          <w:sz w:val="20"/>
          <w:szCs w:val="20"/>
          <w14:ligatures w14:val="none"/>
        </w:rPr>
        <w:t>Professor, University of East Anglia; Consultant in General medicine, Endocrinology and Diabetes, Elsie Bertram Diabetes Centre, Norfolk and Norwich University Hospitals NHS Foundation Trust, Norwich, UK. ketan.dhatariya@nnuh.nhs.uk</w:t>
      </w:r>
    </w:p>
    <w:p w14:paraId="29DED451" w14:textId="77777777" w:rsidR="003006B0" w:rsidRDefault="003006B0" w:rsidP="004E22CE">
      <w:pPr>
        <w:spacing w:after="0" w:line="276" w:lineRule="auto"/>
        <w:rPr>
          <w:rFonts w:ascii="Arial" w:hAnsi="Arial" w:cs="Arial"/>
          <w:sz w:val="20"/>
          <w:szCs w:val="20"/>
        </w:rPr>
      </w:pPr>
    </w:p>
    <w:p w14:paraId="5DC5BC55" w14:textId="7F985EDB" w:rsidR="004E22CE" w:rsidRPr="00727B62" w:rsidRDefault="004E22CE" w:rsidP="00727B62">
      <w:pPr>
        <w:spacing w:after="0" w:line="276" w:lineRule="auto"/>
        <w:rPr>
          <w:rFonts w:ascii="Arial" w:hAnsi="Arial" w:cs="Arial"/>
          <w:b/>
          <w:bCs/>
          <w:sz w:val="22"/>
          <w:szCs w:val="22"/>
        </w:rPr>
      </w:pPr>
      <w:r w:rsidRPr="00727B62">
        <w:rPr>
          <w:rFonts w:ascii="Arial" w:hAnsi="Arial" w:cs="Arial"/>
          <w:b/>
          <w:bCs/>
          <w:sz w:val="22"/>
          <w:szCs w:val="22"/>
        </w:rPr>
        <w:t>Updated October 1</w:t>
      </w:r>
      <w:r w:rsidR="001C5048">
        <w:rPr>
          <w:rFonts w:ascii="Arial" w:hAnsi="Arial" w:cs="Arial"/>
          <w:b/>
          <w:bCs/>
          <w:sz w:val="22"/>
          <w:szCs w:val="22"/>
        </w:rPr>
        <w:t>3</w:t>
      </w:r>
      <w:r w:rsidRPr="00727B62">
        <w:rPr>
          <w:rFonts w:ascii="Arial" w:hAnsi="Arial" w:cs="Arial"/>
          <w:b/>
          <w:bCs/>
          <w:sz w:val="22"/>
          <w:szCs w:val="22"/>
        </w:rPr>
        <w:t>, 2025</w:t>
      </w:r>
    </w:p>
    <w:p w14:paraId="5DEF2CAB" w14:textId="77777777" w:rsidR="006E2001" w:rsidRPr="00727B62" w:rsidRDefault="006E2001" w:rsidP="00727B62">
      <w:pPr>
        <w:spacing w:after="0" w:line="276" w:lineRule="auto"/>
        <w:rPr>
          <w:rFonts w:ascii="Arial" w:hAnsi="Arial" w:cs="Arial"/>
          <w:b/>
          <w:bCs/>
          <w:sz w:val="22"/>
          <w:szCs w:val="22"/>
        </w:rPr>
      </w:pPr>
    </w:p>
    <w:p w14:paraId="56FCA950" w14:textId="69AE6CA3" w:rsidR="006E2001" w:rsidRPr="00727B62" w:rsidRDefault="006E2001" w:rsidP="00727B62">
      <w:pPr>
        <w:spacing w:after="0" w:line="276" w:lineRule="auto"/>
        <w:rPr>
          <w:rFonts w:ascii="Arial" w:hAnsi="Arial" w:cs="Arial"/>
          <w:b/>
          <w:bCs/>
          <w:color w:val="0070C0"/>
          <w:sz w:val="22"/>
          <w:szCs w:val="22"/>
        </w:rPr>
      </w:pPr>
      <w:r w:rsidRPr="00727B62">
        <w:rPr>
          <w:rFonts w:ascii="Arial" w:hAnsi="Arial" w:cs="Arial"/>
          <w:b/>
          <w:bCs/>
          <w:color w:val="0070C0"/>
          <w:sz w:val="22"/>
          <w:szCs w:val="22"/>
        </w:rPr>
        <w:t>INTRODUCTION</w:t>
      </w:r>
    </w:p>
    <w:p w14:paraId="147B45F2" w14:textId="77777777" w:rsidR="006E2001" w:rsidRPr="00727B62" w:rsidRDefault="006E2001" w:rsidP="00727B62">
      <w:pPr>
        <w:spacing w:after="0" w:line="276" w:lineRule="auto"/>
        <w:rPr>
          <w:rFonts w:ascii="Arial" w:hAnsi="Arial" w:cs="Arial"/>
          <w:b/>
          <w:bCs/>
          <w:color w:val="0070C0"/>
          <w:sz w:val="22"/>
          <w:szCs w:val="22"/>
        </w:rPr>
      </w:pPr>
    </w:p>
    <w:p w14:paraId="517ABF50" w14:textId="60EF7A5E" w:rsidR="006E2001" w:rsidRPr="00727B62" w:rsidRDefault="006E2001" w:rsidP="008E3DE7">
      <w:pPr>
        <w:spacing w:after="0" w:line="276" w:lineRule="auto"/>
        <w:rPr>
          <w:rFonts w:ascii="Arial" w:hAnsi="Arial" w:cs="Arial"/>
          <w:sz w:val="22"/>
          <w:szCs w:val="22"/>
        </w:rPr>
      </w:pPr>
      <w:r w:rsidRPr="00727B62">
        <w:rPr>
          <w:rFonts w:ascii="Arial" w:hAnsi="Arial" w:cs="Arial"/>
          <w:sz w:val="22"/>
          <w:szCs w:val="22"/>
        </w:rPr>
        <w:t>Diabetic ketoacidosis (DKA) and hyperosmolar hyperglycemic state (HHS) are acute life-threatening emergencies resulting from severe metabolic decompensation. DKA more commonly affects individuals with type 1 diabetes (T1DM) whereas HHS primary affects people with type 2 diabetes (T2DM). DKA is relatively common and in the US</w:t>
      </w:r>
      <w:r w:rsidR="008E3DE7">
        <w:rPr>
          <w:rFonts w:ascii="Arial" w:hAnsi="Arial" w:cs="Arial"/>
          <w:sz w:val="22"/>
          <w:szCs w:val="22"/>
        </w:rPr>
        <w:t>;</w:t>
      </w:r>
      <w:r w:rsidRPr="00727B62">
        <w:rPr>
          <w:rFonts w:ascii="Arial" w:hAnsi="Arial" w:cs="Arial"/>
          <w:sz w:val="22"/>
          <w:szCs w:val="22"/>
        </w:rPr>
        <w:t xml:space="preserve"> 240,000 patients had a primary diagnosis of DKA in 2020. Approximately 2/3 of adults admitted with DKA have T1DM, while almost 90% of the HHS patients have a known diagnosis of T2DM. HHS is less common but is associated with a higher mortality rate, ranging from 10% to 20%, which is about ten times higher than DKA.</w:t>
      </w:r>
      <w:r w:rsidR="002D15DA">
        <w:rPr>
          <w:rFonts w:ascii="Arial" w:hAnsi="Arial" w:cs="Arial"/>
          <w:sz w:val="22"/>
          <w:szCs w:val="22"/>
        </w:rPr>
        <w:t xml:space="preserve"> </w:t>
      </w:r>
      <w:r w:rsidR="00BA7317">
        <w:rPr>
          <w:rFonts w:ascii="Arial" w:hAnsi="Arial" w:cs="Arial"/>
          <w:sz w:val="22"/>
          <w:szCs w:val="22"/>
        </w:rPr>
        <w:t>I</w:t>
      </w:r>
      <w:r w:rsidR="002D15DA" w:rsidRPr="002D15DA">
        <w:rPr>
          <w:rFonts w:ascii="Arial" w:hAnsi="Arial" w:cs="Arial"/>
          <w:sz w:val="22"/>
          <w:szCs w:val="22"/>
        </w:rPr>
        <w:t>nstitutionalized elderly patients with diminished thirst perception or inability to ambulate to get free water as needed</w:t>
      </w:r>
      <w:r w:rsidR="00BA7317">
        <w:rPr>
          <w:rFonts w:ascii="Arial" w:hAnsi="Arial" w:cs="Arial"/>
          <w:sz w:val="22"/>
          <w:szCs w:val="22"/>
        </w:rPr>
        <w:t xml:space="preserve"> are at high risk for </w:t>
      </w:r>
      <w:r w:rsidR="009F7B8F">
        <w:rPr>
          <w:rFonts w:ascii="Arial" w:hAnsi="Arial" w:cs="Arial"/>
          <w:sz w:val="22"/>
          <w:szCs w:val="22"/>
        </w:rPr>
        <w:t>HHS</w:t>
      </w:r>
      <w:r w:rsidR="002D15DA" w:rsidRPr="002D15DA">
        <w:rPr>
          <w:rFonts w:ascii="Arial" w:hAnsi="Arial" w:cs="Arial"/>
          <w:sz w:val="22"/>
          <w:szCs w:val="22"/>
        </w:rPr>
        <w:t>.</w:t>
      </w:r>
      <w:r w:rsidR="008E3DE7">
        <w:rPr>
          <w:rFonts w:ascii="Arial" w:hAnsi="Arial" w:cs="Arial"/>
          <w:sz w:val="22"/>
          <w:szCs w:val="22"/>
        </w:rPr>
        <w:t xml:space="preserve"> </w:t>
      </w:r>
      <w:r w:rsidR="008E3DE7" w:rsidRPr="008E3DE7">
        <w:rPr>
          <w:rFonts w:ascii="Arial" w:hAnsi="Arial" w:cs="Arial"/>
          <w:sz w:val="22"/>
          <w:szCs w:val="22"/>
        </w:rPr>
        <w:t>Early diagnosis and management of DKA and</w:t>
      </w:r>
      <w:r w:rsidR="008E3DE7">
        <w:rPr>
          <w:rFonts w:ascii="Arial" w:hAnsi="Arial" w:cs="Arial"/>
          <w:sz w:val="22"/>
          <w:szCs w:val="22"/>
        </w:rPr>
        <w:t xml:space="preserve"> </w:t>
      </w:r>
      <w:r w:rsidR="008E3DE7" w:rsidRPr="008E3DE7">
        <w:rPr>
          <w:rFonts w:ascii="Arial" w:hAnsi="Arial" w:cs="Arial"/>
          <w:sz w:val="22"/>
          <w:szCs w:val="22"/>
        </w:rPr>
        <w:t>HHS are essential to improve outcomes.</w:t>
      </w:r>
    </w:p>
    <w:p w14:paraId="591F44B7" w14:textId="77777777" w:rsidR="006E2001" w:rsidRPr="00727B62" w:rsidRDefault="006E2001" w:rsidP="00727B62">
      <w:pPr>
        <w:spacing w:after="0" w:line="276" w:lineRule="auto"/>
        <w:rPr>
          <w:rFonts w:ascii="Arial" w:hAnsi="Arial" w:cs="Arial"/>
          <w:b/>
          <w:bCs/>
          <w:sz w:val="22"/>
          <w:szCs w:val="22"/>
        </w:rPr>
      </w:pPr>
    </w:p>
    <w:p w14:paraId="1F57666C" w14:textId="77777777" w:rsidR="00E33BE9" w:rsidRPr="00727B62" w:rsidRDefault="004E22CE" w:rsidP="00727B62">
      <w:pPr>
        <w:spacing w:after="0" w:line="276" w:lineRule="auto"/>
        <w:rPr>
          <w:rFonts w:ascii="Arial" w:hAnsi="Arial" w:cs="Arial"/>
          <w:b/>
          <w:bCs/>
          <w:sz w:val="22"/>
          <w:szCs w:val="22"/>
        </w:rPr>
      </w:pPr>
      <w:r w:rsidRPr="004E22CE">
        <w:rPr>
          <w:rFonts w:ascii="Arial" w:eastAsia="Times" w:hAnsi="Arial" w:cs="Arial"/>
          <w:b/>
          <w:bCs/>
          <w:color w:val="0070C0"/>
          <w:kern w:val="0"/>
          <w:sz w:val="22"/>
          <w:szCs w:val="22"/>
          <w14:ligatures w14:val="none"/>
        </w:rPr>
        <w:t>CLINICAL RECOGNITION</w:t>
      </w:r>
    </w:p>
    <w:p w14:paraId="7D892078" w14:textId="77777777" w:rsidR="00E33BE9" w:rsidRPr="00727B62" w:rsidRDefault="00E33BE9" w:rsidP="00727B62">
      <w:pPr>
        <w:spacing w:after="0" w:line="276" w:lineRule="auto"/>
        <w:rPr>
          <w:rFonts w:ascii="Arial" w:hAnsi="Arial" w:cs="Arial"/>
          <w:b/>
          <w:bCs/>
          <w:sz w:val="22"/>
          <w:szCs w:val="22"/>
        </w:rPr>
      </w:pPr>
    </w:p>
    <w:p w14:paraId="19E8591F" w14:textId="11EC68B3" w:rsidR="004E22CE" w:rsidRPr="004E22CE" w:rsidRDefault="00E33BE9" w:rsidP="00727B62">
      <w:pPr>
        <w:spacing w:after="0" w:line="276" w:lineRule="auto"/>
        <w:rPr>
          <w:rFonts w:ascii="Arial" w:hAnsi="Arial" w:cs="Arial"/>
          <w:b/>
          <w:bCs/>
          <w:color w:val="00B050"/>
          <w:sz w:val="22"/>
          <w:szCs w:val="22"/>
        </w:rPr>
      </w:pPr>
      <w:r w:rsidRPr="00727B62">
        <w:rPr>
          <w:rFonts w:ascii="Arial" w:hAnsi="Arial" w:cs="Arial"/>
          <w:b/>
          <w:bCs/>
          <w:color w:val="00B050"/>
          <w:sz w:val="22"/>
          <w:szCs w:val="22"/>
        </w:rPr>
        <w:t>Diabetic Ketoacidosis</w:t>
      </w:r>
      <w:r w:rsidR="004E22CE" w:rsidRPr="004E22CE">
        <w:rPr>
          <w:rFonts w:ascii="Arial" w:hAnsi="Arial" w:cs="Arial"/>
          <w:b/>
          <w:bCs/>
          <w:color w:val="00B050"/>
          <w:sz w:val="22"/>
          <w:szCs w:val="22"/>
        </w:rPr>
        <w:t xml:space="preserve"> </w:t>
      </w:r>
    </w:p>
    <w:p w14:paraId="764B2F25" w14:textId="77777777" w:rsidR="004E22CE" w:rsidRPr="00727B62" w:rsidRDefault="004E22CE" w:rsidP="00727B62">
      <w:pPr>
        <w:spacing w:after="0" w:line="276" w:lineRule="auto"/>
        <w:rPr>
          <w:rFonts w:ascii="Arial" w:hAnsi="Arial" w:cs="Arial"/>
          <w:b/>
          <w:bCs/>
          <w:color w:val="00B050"/>
          <w:sz w:val="22"/>
          <w:szCs w:val="22"/>
        </w:rPr>
      </w:pPr>
    </w:p>
    <w:p w14:paraId="7260F38D" w14:textId="08C3F09D" w:rsidR="004E22CE" w:rsidRPr="00727B62" w:rsidRDefault="004E22CE" w:rsidP="00727B62">
      <w:pPr>
        <w:spacing w:after="0" w:line="276" w:lineRule="auto"/>
        <w:rPr>
          <w:rFonts w:ascii="Arial" w:hAnsi="Arial" w:cs="Arial"/>
          <w:sz w:val="22"/>
          <w:szCs w:val="22"/>
        </w:rPr>
      </w:pPr>
      <w:r w:rsidRPr="00727B62">
        <w:rPr>
          <w:rFonts w:ascii="Arial" w:hAnsi="Arial" w:cs="Arial"/>
          <w:sz w:val="22"/>
          <w:szCs w:val="22"/>
        </w:rPr>
        <w:t>The diagnosis of diabetic ketoacidosis (DKA) is based on the following three criteria:</w:t>
      </w:r>
    </w:p>
    <w:p w14:paraId="7621E782" w14:textId="77777777" w:rsidR="004E22CE" w:rsidRPr="00727B62" w:rsidRDefault="004E22CE" w:rsidP="00727B62">
      <w:pPr>
        <w:spacing w:after="0" w:line="276" w:lineRule="auto"/>
        <w:rPr>
          <w:rFonts w:ascii="Arial" w:hAnsi="Arial" w:cs="Arial"/>
          <w:sz w:val="22"/>
          <w:szCs w:val="22"/>
        </w:rPr>
      </w:pPr>
    </w:p>
    <w:p w14:paraId="01701029" w14:textId="7307B3A1" w:rsidR="004E22CE" w:rsidRPr="00727B62" w:rsidRDefault="004E22CE" w:rsidP="00324D51">
      <w:pPr>
        <w:pStyle w:val="ListParagraph"/>
        <w:numPr>
          <w:ilvl w:val="0"/>
          <w:numId w:val="1"/>
        </w:numPr>
        <w:spacing w:after="0" w:line="276" w:lineRule="auto"/>
        <w:ind w:left="360"/>
        <w:rPr>
          <w:rFonts w:ascii="Arial" w:hAnsi="Arial" w:cs="Arial"/>
          <w:sz w:val="22"/>
          <w:szCs w:val="22"/>
        </w:rPr>
      </w:pPr>
      <w:r w:rsidRPr="00727B62">
        <w:rPr>
          <w:rFonts w:ascii="Arial" w:hAnsi="Arial" w:cs="Arial"/>
          <w:sz w:val="22"/>
          <w:szCs w:val="22"/>
        </w:rPr>
        <w:t>Hyperglycemia ≥200 mg/dL (11.1 mmol/L) or a prior history of diabetes irrespective of the presenting glucose reading.</w:t>
      </w:r>
    </w:p>
    <w:p w14:paraId="4328A7D9" w14:textId="4EB03C42" w:rsidR="004E22CE" w:rsidRPr="00727B62" w:rsidRDefault="004E22CE" w:rsidP="00324D51">
      <w:pPr>
        <w:pStyle w:val="ListParagraph"/>
        <w:numPr>
          <w:ilvl w:val="0"/>
          <w:numId w:val="1"/>
        </w:numPr>
        <w:spacing w:after="0" w:line="276" w:lineRule="auto"/>
        <w:ind w:left="360"/>
        <w:rPr>
          <w:rFonts w:ascii="Arial" w:hAnsi="Arial" w:cs="Arial"/>
          <w:sz w:val="22"/>
          <w:szCs w:val="22"/>
        </w:rPr>
      </w:pPr>
      <w:r w:rsidRPr="00727B62">
        <w:rPr>
          <w:rFonts w:ascii="Arial" w:hAnsi="Arial" w:cs="Arial"/>
          <w:sz w:val="22"/>
          <w:szCs w:val="22"/>
        </w:rPr>
        <w:t>Elevated ketone body concentration: venous or capillary β-hydroxybutyrate ≥3.0 mmol/L or in the early stages of DKA urine ketone 2+ or greater.</w:t>
      </w:r>
    </w:p>
    <w:p w14:paraId="675E5243" w14:textId="04B408C3" w:rsidR="004E22CE" w:rsidRPr="00727B62" w:rsidRDefault="004E22CE" w:rsidP="00324D51">
      <w:pPr>
        <w:pStyle w:val="ListParagraph"/>
        <w:numPr>
          <w:ilvl w:val="0"/>
          <w:numId w:val="1"/>
        </w:numPr>
        <w:spacing w:after="0" w:line="276" w:lineRule="auto"/>
        <w:ind w:left="360"/>
        <w:rPr>
          <w:rFonts w:ascii="Arial" w:hAnsi="Arial" w:cs="Arial"/>
          <w:sz w:val="22"/>
          <w:szCs w:val="22"/>
        </w:rPr>
      </w:pPr>
      <w:r w:rsidRPr="00727B62">
        <w:rPr>
          <w:rFonts w:ascii="Arial" w:hAnsi="Arial" w:cs="Arial"/>
          <w:sz w:val="22"/>
          <w:szCs w:val="22"/>
        </w:rPr>
        <w:t>Metabolic acidosis: pH&lt;7.3 and/or bicarbonate concentration &lt;18 mmol/L.</w:t>
      </w:r>
    </w:p>
    <w:p w14:paraId="4A376BB3" w14:textId="77777777" w:rsidR="004E22CE" w:rsidRPr="00727B62" w:rsidRDefault="004E22CE" w:rsidP="00727B62">
      <w:pPr>
        <w:spacing w:after="0" w:line="276" w:lineRule="auto"/>
        <w:rPr>
          <w:rFonts w:ascii="Arial" w:hAnsi="Arial" w:cs="Arial"/>
          <w:sz w:val="22"/>
          <w:szCs w:val="22"/>
        </w:rPr>
      </w:pPr>
    </w:p>
    <w:p w14:paraId="30238416" w14:textId="5594A222" w:rsidR="004E22CE" w:rsidRPr="00727B62" w:rsidRDefault="004E22CE" w:rsidP="00727B62">
      <w:pPr>
        <w:spacing w:after="0" w:line="276" w:lineRule="auto"/>
        <w:rPr>
          <w:rFonts w:ascii="Arial" w:hAnsi="Arial" w:cs="Arial"/>
          <w:sz w:val="22"/>
          <w:szCs w:val="22"/>
        </w:rPr>
      </w:pPr>
      <w:r w:rsidRPr="00727B62">
        <w:rPr>
          <w:rFonts w:ascii="Arial" w:hAnsi="Arial" w:cs="Arial"/>
          <w:sz w:val="22"/>
          <w:szCs w:val="22"/>
        </w:rPr>
        <w:t>The clinical manifestations of DKA are shown in Table 1.</w:t>
      </w:r>
    </w:p>
    <w:p w14:paraId="69B4D8B9" w14:textId="77777777" w:rsidR="004E22CE" w:rsidRPr="00727B62" w:rsidRDefault="004E22CE" w:rsidP="00727B62">
      <w:pPr>
        <w:spacing w:after="0"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E22CE" w:rsidRPr="00727B62" w14:paraId="0CB053B3" w14:textId="77777777" w:rsidTr="00FC2765">
        <w:tc>
          <w:tcPr>
            <w:tcW w:w="9350" w:type="dxa"/>
            <w:shd w:val="clear" w:color="auto" w:fill="FFFF00"/>
          </w:tcPr>
          <w:p w14:paraId="001A515F" w14:textId="42B424F2" w:rsidR="004E22CE" w:rsidRPr="00727B62" w:rsidRDefault="00FC2765" w:rsidP="00727B62">
            <w:pPr>
              <w:spacing w:line="276" w:lineRule="auto"/>
              <w:rPr>
                <w:rFonts w:ascii="Arial" w:hAnsi="Arial" w:cs="Arial"/>
                <w:b/>
                <w:bCs/>
                <w:sz w:val="22"/>
                <w:szCs w:val="22"/>
              </w:rPr>
            </w:pPr>
            <w:r w:rsidRPr="00727B62">
              <w:rPr>
                <w:rFonts w:ascii="Arial" w:hAnsi="Arial" w:cs="Arial"/>
                <w:b/>
                <w:bCs/>
                <w:sz w:val="22"/>
                <w:szCs w:val="22"/>
              </w:rPr>
              <w:t>Table 1. Clinical Manifestations of Diabetic Ketoacidosis</w:t>
            </w:r>
          </w:p>
        </w:tc>
      </w:tr>
      <w:tr w:rsidR="004E22CE" w:rsidRPr="00727B62" w14:paraId="689C1C73" w14:textId="77777777" w:rsidTr="004E22CE">
        <w:tc>
          <w:tcPr>
            <w:tcW w:w="9350" w:type="dxa"/>
          </w:tcPr>
          <w:p w14:paraId="6387B79E" w14:textId="1DAC0A9B" w:rsidR="004E22CE" w:rsidRPr="00727B62" w:rsidRDefault="00FC2765" w:rsidP="00727B62">
            <w:pPr>
              <w:spacing w:line="276" w:lineRule="auto"/>
              <w:rPr>
                <w:rFonts w:ascii="Arial" w:hAnsi="Arial" w:cs="Arial"/>
                <w:sz w:val="22"/>
                <w:szCs w:val="22"/>
              </w:rPr>
            </w:pPr>
            <w:r w:rsidRPr="00727B62">
              <w:rPr>
                <w:rFonts w:ascii="Arial" w:hAnsi="Arial" w:cs="Arial"/>
                <w:sz w:val="22"/>
                <w:szCs w:val="22"/>
              </w:rPr>
              <w:t>Fatigue and malaise</w:t>
            </w:r>
          </w:p>
        </w:tc>
      </w:tr>
      <w:tr w:rsidR="004E22CE" w:rsidRPr="00727B62" w14:paraId="38F73C50" w14:textId="77777777" w:rsidTr="004E22CE">
        <w:tc>
          <w:tcPr>
            <w:tcW w:w="9350" w:type="dxa"/>
          </w:tcPr>
          <w:p w14:paraId="47FC668E" w14:textId="59E2F95D" w:rsidR="004E22CE" w:rsidRPr="00727B62" w:rsidRDefault="00FC2765" w:rsidP="00727B62">
            <w:pPr>
              <w:spacing w:line="276" w:lineRule="auto"/>
              <w:rPr>
                <w:rFonts w:ascii="Arial" w:hAnsi="Arial" w:cs="Arial"/>
                <w:sz w:val="22"/>
                <w:szCs w:val="22"/>
              </w:rPr>
            </w:pPr>
            <w:r w:rsidRPr="00727B62">
              <w:rPr>
                <w:rFonts w:ascii="Arial" w:hAnsi="Arial" w:cs="Arial"/>
                <w:sz w:val="22"/>
                <w:szCs w:val="22"/>
              </w:rPr>
              <w:t>Nausea</w:t>
            </w:r>
            <w:r w:rsidR="009F4CB6">
              <w:rPr>
                <w:rFonts w:ascii="Arial" w:hAnsi="Arial" w:cs="Arial"/>
                <w:sz w:val="22"/>
                <w:szCs w:val="22"/>
              </w:rPr>
              <w:t>,</w:t>
            </w:r>
            <w:r w:rsidRPr="00727B62">
              <w:rPr>
                <w:rFonts w:ascii="Arial" w:hAnsi="Arial" w:cs="Arial"/>
                <w:sz w:val="22"/>
                <w:szCs w:val="22"/>
              </w:rPr>
              <w:t xml:space="preserve"> vomiting</w:t>
            </w:r>
            <w:r w:rsidR="009F4CB6">
              <w:rPr>
                <w:rFonts w:ascii="Arial" w:hAnsi="Arial" w:cs="Arial"/>
                <w:sz w:val="22"/>
                <w:szCs w:val="22"/>
              </w:rPr>
              <w:t>,</w:t>
            </w:r>
            <w:r w:rsidRPr="00727B62">
              <w:rPr>
                <w:rFonts w:ascii="Arial" w:hAnsi="Arial" w:cs="Arial"/>
                <w:sz w:val="22"/>
                <w:szCs w:val="22"/>
              </w:rPr>
              <w:t xml:space="preserve"> and abdominal pain, which can mimic an acute abdomen</w:t>
            </w:r>
          </w:p>
        </w:tc>
      </w:tr>
      <w:tr w:rsidR="004E22CE" w:rsidRPr="00727B62" w14:paraId="288E67A7" w14:textId="77777777" w:rsidTr="004E22CE">
        <w:tc>
          <w:tcPr>
            <w:tcW w:w="9350" w:type="dxa"/>
          </w:tcPr>
          <w:p w14:paraId="7FD1A406" w14:textId="4BBDA7B5" w:rsidR="004E22CE" w:rsidRPr="00727B62" w:rsidRDefault="00FC2765" w:rsidP="00727B62">
            <w:pPr>
              <w:spacing w:line="276" w:lineRule="auto"/>
              <w:rPr>
                <w:rFonts w:ascii="Arial" w:hAnsi="Arial" w:cs="Arial"/>
                <w:sz w:val="22"/>
                <w:szCs w:val="22"/>
              </w:rPr>
            </w:pPr>
            <w:r w:rsidRPr="00727B62">
              <w:rPr>
                <w:rFonts w:ascii="Arial" w:hAnsi="Arial" w:cs="Arial"/>
                <w:sz w:val="22"/>
                <w:szCs w:val="22"/>
              </w:rPr>
              <w:t>Polydipsia and polyuria</w:t>
            </w:r>
          </w:p>
        </w:tc>
      </w:tr>
      <w:tr w:rsidR="004E22CE" w:rsidRPr="00727B62" w14:paraId="666A7506" w14:textId="77777777" w:rsidTr="004E22CE">
        <w:tc>
          <w:tcPr>
            <w:tcW w:w="9350" w:type="dxa"/>
          </w:tcPr>
          <w:p w14:paraId="7A2B33AD" w14:textId="150A000D" w:rsidR="004E22CE" w:rsidRPr="00727B62" w:rsidRDefault="00FC2765" w:rsidP="00727B62">
            <w:pPr>
              <w:spacing w:line="276" w:lineRule="auto"/>
              <w:rPr>
                <w:rFonts w:ascii="Arial" w:hAnsi="Arial" w:cs="Arial"/>
                <w:sz w:val="22"/>
                <w:szCs w:val="22"/>
              </w:rPr>
            </w:pPr>
            <w:r w:rsidRPr="00727B62">
              <w:rPr>
                <w:rFonts w:ascii="Arial" w:hAnsi="Arial" w:cs="Arial"/>
                <w:sz w:val="22"/>
                <w:szCs w:val="22"/>
              </w:rPr>
              <w:t>Unintentional weight loss preceding the diagnosis</w:t>
            </w:r>
          </w:p>
        </w:tc>
      </w:tr>
      <w:tr w:rsidR="004E22CE" w:rsidRPr="00727B62" w14:paraId="475DA4A9" w14:textId="77777777" w:rsidTr="004E22CE">
        <w:tc>
          <w:tcPr>
            <w:tcW w:w="9350" w:type="dxa"/>
          </w:tcPr>
          <w:p w14:paraId="1D1846B7" w14:textId="385E9EF3" w:rsidR="004E22CE" w:rsidRPr="00727B62" w:rsidRDefault="00FC2765" w:rsidP="00727B62">
            <w:pPr>
              <w:spacing w:line="276" w:lineRule="auto"/>
              <w:rPr>
                <w:rFonts w:ascii="Arial" w:hAnsi="Arial" w:cs="Arial"/>
                <w:sz w:val="22"/>
                <w:szCs w:val="22"/>
              </w:rPr>
            </w:pPr>
            <w:r w:rsidRPr="00727B62">
              <w:rPr>
                <w:rFonts w:ascii="Arial" w:hAnsi="Arial" w:cs="Arial"/>
                <w:sz w:val="22"/>
                <w:szCs w:val="22"/>
              </w:rPr>
              <w:t>Confusion, headache, lethargy, and coma</w:t>
            </w:r>
          </w:p>
        </w:tc>
      </w:tr>
      <w:tr w:rsidR="00FC2765" w:rsidRPr="00727B62" w14:paraId="741A62C2" w14:textId="77777777" w:rsidTr="004E22CE">
        <w:tc>
          <w:tcPr>
            <w:tcW w:w="9350" w:type="dxa"/>
          </w:tcPr>
          <w:p w14:paraId="47787B2E" w14:textId="02D82B6D" w:rsidR="00FC2765" w:rsidRPr="00727B62" w:rsidRDefault="00FC2765" w:rsidP="00727B62">
            <w:pPr>
              <w:spacing w:line="276" w:lineRule="auto"/>
              <w:rPr>
                <w:rFonts w:ascii="Arial" w:hAnsi="Arial" w:cs="Arial"/>
                <w:sz w:val="22"/>
                <w:szCs w:val="22"/>
              </w:rPr>
            </w:pPr>
            <w:r w:rsidRPr="00727B62">
              <w:rPr>
                <w:rFonts w:ascii="Arial" w:hAnsi="Arial" w:cs="Arial"/>
                <w:sz w:val="22"/>
                <w:szCs w:val="22"/>
              </w:rPr>
              <w:lastRenderedPageBreak/>
              <w:t>Kussmaul breathing (deep, labored breathing)</w:t>
            </w:r>
          </w:p>
        </w:tc>
      </w:tr>
      <w:tr w:rsidR="00FC2765" w:rsidRPr="00727B62" w14:paraId="6D10AD72" w14:textId="77777777" w:rsidTr="004E22CE">
        <w:tc>
          <w:tcPr>
            <w:tcW w:w="9350" w:type="dxa"/>
          </w:tcPr>
          <w:p w14:paraId="2BA17BA2" w14:textId="4C52DF79" w:rsidR="00FC2765" w:rsidRPr="00727B62" w:rsidRDefault="00FC2765" w:rsidP="00727B62">
            <w:pPr>
              <w:spacing w:line="276" w:lineRule="auto"/>
              <w:rPr>
                <w:rFonts w:ascii="Arial" w:hAnsi="Arial" w:cs="Arial"/>
                <w:sz w:val="22"/>
                <w:szCs w:val="22"/>
              </w:rPr>
            </w:pPr>
            <w:r w:rsidRPr="00727B62">
              <w:rPr>
                <w:rFonts w:ascii="Arial" w:hAnsi="Arial" w:cs="Arial"/>
                <w:sz w:val="22"/>
                <w:szCs w:val="22"/>
              </w:rPr>
              <w:t>Fruity breath odor due to ketone production</w:t>
            </w:r>
          </w:p>
        </w:tc>
      </w:tr>
      <w:tr w:rsidR="00FC2765" w:rsidRPr="00727B62" w14:paraId="14773140" w14:textId="77777777" w:rsidTr="004E22CE">
        <w:tc>
          <w:tcPr>
            <w:tcW w:w="9350" w:type="dxa"/>
          </w:tcPr>
          <w:p w14:paraId="0A8B137C" w14:textId="3F97C325" w:rsidR="00FC2765" w:rsidRPr="00727B62" w:rsidRDefault="00FC2765" w:rsidP="00727B62">
            <w:pPr>
              <w:spacing w:line="276" w:lineRule="auto"/>
              <w:rPr>
                <w:rFonts w:ascii="Arial" w:hAnsi="Arial" w:cs="Arial"/>
                <w:sz w:val="22"/>
                <w:szCs w:val="22"/>
              </w:rPr>
            </w:pPr>
            <w:r w:rsidRPr="00727B62">
              <w:rPr>
                <w:rFonts w:ascii="Arial" w:hAnsi="Arial" w:cs="Arial"/>
                <w:sz w:val="22"/>
                <w:szCs w:val="22"/>
              </w:rPr>
              <w:t xml:space="preserve">Tachycardia and hypotension due to dehydration </w:t>
            </w:r>
          </w:p>
        </w:tc>
      </w:tr>
      <w:tr w:rsidR="00FC2765" w:rsidRPr="00727B62" w14:paraId="2FF1D006" w14:textId="77777777" w:rsidTr="004E22CE">
        <w:tc>
          <w:tcPr>
            <w:tcW w:w="9350" w:type="dxa"/>
          </w:tcPr>
          <w:p w14:paraId="2254F2C2" w14:textId="504BD6B3" w:rsidR="00FC2765" w:rsidRPr="00727B62" w:rsidRDefault="00FC2765" w:rsidP="00727B62">
            <w:pPr>
              <w:spacing w:line="276" w:lineRule="auto"/>
              <w:rPr>
                <w:rFonts w:ascii="Arial" w:hAnsi="Arial" w:cs="Arial"/>
                <w:sz w:val="22"/>
                <w:szCs w:val="22"/>
              </w:rPr>
            </w:pPr>
            <w:r w:rsidRPr="00727B62">
              <w:rPr>
                <w:rFonts w:ascii="Arial" w:hAnsi="Arial" w:cs="Arial"/>
                <w:sz w:val="22"/>
                <w:szCs w:val="22"/>
              </w:rPr>
              <w:t>Dry mucous membranes and decreased skin turgor</w:t>
            </w:r>
          </w:p>
        </w:tc>
      </w:tr>
    </w:tbl>
    <w:p w14:paraId="2DCAE6B7" w14:textId="77777777" w:rsidR="004E22CE" w:rsidRDefault="004E22CE" w:rsidP="00727B62">
      <w:pPr>
        <w:spacing w:after="0" w:line="276" w:lineRule="auto"/>
        <w:rPr>
          <w:rFonts w:ascii="Arial" w:hAnsi="Arial" w:cs="Arial"/>
          <w:sz w:val="22"/>
          <w:szCs w:val="22"/>
        </w:rPr>
      </w:pPr>
    </w:p>
    <w:p w14:paraId="5E6BC257" w14:textId="6FA3AD5D" w:rsidR="003E4C28" w:rsidRDefault="003E4C28" w:rsidP="00727B62">
      <w:pPr>
        <w:spacing w:after="0" w:line="276" w:lineRule="auto"/>
        <w:rPr>
          <w:rFonts w:ascii="Arial" w:hAnsi="Arial" w:cs="Arial"/>
          <w:sz w:val="22"/>
          <w:szCs w:val="22"/>
        </w:rPr>
      </w:pPr>
      <w:r>
        <w:rPr>
          <w:rFonts w:ascii="Arial" w:hAnsi="Arial" w:cs="Arial"/>
          <w:sz w:val="22"/>
          <w:szCs w:val="22"/>
        </w:rPr>
        <w:t xml:space="preserve">The </w:t>
      </w:r>
      <w:r w:rsidR="0034677D">
        <w:rPr>
          <w:rFonts w:ascii="Arial" w:hAnsi="Arial" w:cs="Arial"/>
          <w:sz w:val="22"/>
          <w:szCs w:val="22"/>
        </w:rPr>
        <w:t xml:space="preserve">classification of the </w:t>
      </w:r>
      <w:r>
        <w:rPr>
          <w:rFonts w:ascii="Arial" w:hAnsi="Arial" w:cs="Arial"/>
          <w:sz w:val="22"/>
          <w:szCs w:val="22"/>
        </w:rPr>
        <w:t>severity of DKA is shown in T</w:t>
      </w:r>
      <w:r w:rsidR="0034677D">
        <w:rPr>
          <w:rFonts w:ascii="Arial" w:hAnsi="Arial" w:cs="Arial"/>
          <w:sz w:val="22"/>
          <w:szCs w:val="22"/>
        </w:rPr>
        <w:t>able 2.</w:t>
      </w:r>
    </w:p>
    <w:p w14:paraId="7FDD5B43" w14:textId="77777777" w:rsidR="0034677D" w:rsidRDefault="0034677D" w:rsidP="00727B62">
      <w:pPr>
        <w:spacing w:after="0" w:line="276" w:lineRule="auto"/>
        <w:rPr>
          <w:rFonts w:ascii="Arial" w:hAnsi="Arial" w:cs="Arial"/>
          <w:sz w:val="22"/>
          <w:szCs w:val="22"/>
        </w:rPr>
      </w:pPr>
    </w:p>
    <w:tbl>
      <w:tblPr>
        <w:tblStyle w:val="TableGrid"/>
        <w:tblW w:w="0" w:type="auto"/>
        <w:tblLook w:val="04A0" w:firstRow="1" w:lastRow="0" w:firstColumn="1" w:lastColumn="0" w:noHBand="0" w:noVBand="1"/>
      </w:tblPr>
      <w:tblGrid>
        <w:gridCol w:w="2337"/>
        <w:gridCol w:w="2518"/>
        <w:gridCol w:w="2430"/>
        <w:gridCol w:w="2065"/>
      </w:tblGrid>
      <w:tr w:rsidR="0076646D" w14:paraId="47134B95" w14:textId="77777777" w:rsidTr="005C2261">
        <w:tc>
          <w:tcPr>
            <w:tcW w:w="9350" w:type="dxa"/>
            <w:gridSpan w:val="4"/>
            <w:shd w:val="clear" w:color="auto" w:fill="FFFF00"/>
          </w:tcPr>
          <w:p w14:paraId="0D4C66E0" w14:textId="77777777" w:rsidR="0076646D" w:rsidRPr="00FD654C" w:rsidRDefault="0076646D" w:rsidP="005C2261">
            <w:pPr>
              <w:rPr>
                <w:rFonts w:ascii="Arial" w:hAnsi="Arial" w:cs="Arial"/>
                <w:b/>
                <w:bCs/>
                <w:sz w:val="22"/>
                <w:szCs w:val="22"/>
              </w:rPr>
            </w:pPr>
            <w:r w:rsidRPr="00FD654C">
              <w:rPr>
                <w:rFonts w:ascii="Arial" w:hAnsi="Arial" w:cs="Arial"/>
                <w:b/>
                <w:bCs/>
                <w:sz w:val="22"/>
                <w:szCs w:val="22"/>
              </w:rPr>
              <w:t>Table 2. Severity of Diabetic Ketoacidosis</w:t>
            </w:r>
          </w:p>
        </w:tc>
      </w:tr>
      <w:tr w:rsidR="0076646D" w14:paraId="168466E7" w14:textId="77777777" w:rsidTr="005C2261">
        <w:tc>
          <w:tcPr>
            <w:tcW w:w="2337" w:type="dxa"/>
          </w:tcPr>
          <w:p w14:paraId="4A477369" w14:textId="77777777" w:rsidR="0076646D" w:rsidRPr="00FD654C" w:rsidRDefault="0076646D" w:rsidP="005C2261">
            <w:pPr>
              <w:rPr>
                <w:rFonts w:ascii="Arial" w:hAnsi="Arial" w:cs="Arial"/>
                <w:sz w:val="22"/>
                <w:szCs w:val="22"/>
              </w:rPr>
            </w:pPr>
          </w:p>
        </w:tc>
        <w:tc>
          <w:tcPr>
            <w:tcW w:w="2518" w:type="dxa"/>
          </w:tcPr>
          <w:p w14:paraId="32236CA5" w14:textId="77777777" w:rsidR="0076646D" w:rsidRPr="00FD654C" w:rsidRDefault="0076646D" w:rsidP="005C2261">
            <w:pPr>
              <w:rPr>
                <w:rFonts w:ascii="Arial" w:hAnsi="Arial" w:cs="Arial"/>
                <w:b/>
                <w:bCs/>
                <w:sz w:val="22"/>
                <w:szCs w:val="22"/>
              </w:rPr>
            </w:pPr>
            <w:r w:rsidRPr="00FD654C">
              <w:rPr>
                <w:rFonts w:ascii="Arial" w:hAnsi="Arial" w:cs="Arial"/>
                <w:b/>
                <w:bCs/>
                <w:sz w:val="22"/>
                <w:szCs w:val="22"/>
              </w:rPr>
              <w:t>Mild</w:t>
            </w:r>
          </w:p>
        </w:tc>
        <w:tc>
          <w:tcPr>
            <w:tcW w:w="2430" w:type="dxa"/>
          </w:tcPr>
          <w:p w14:paraId="140BC631" w14:textId="77777777" w:rsidR="0076646D" w:rsidRPr="00FD654C" w:rsidRDefault="0076646D" w:rsidP="005C2261">
            <w:pPr>
              <w:rPr>
                <w:rFonts w:ascii="Arial" w:hAnsi="Arial" w:cs="Arial"/>
                <w:b/>
                <w:bCs/>
                <w:sz w:val="22"/>
                <w:szCs w:val="22"/>
              </w:rPr>
            </w:pPr>
            <w:r w:rsidRPr="00FD654C">
              <w:rPr>
                <w:rFonts w:ascii="Arial" w:hAnsi="Arial" w:cs="Arial"/>
                <w:b/>
                <w:bCs/>
                <w:sz w:val="22"/>
                <w:szCs w:val="22"/>
              </w:rPr>
              <w:t>Moderate</w:t>
            </w:r>
          </w:p>
        </w:tc>
        <w:tc>
          <w:tcPr>
            <w:tcW w:w="2065" w:type="dxa"/>
          </w:tcPr>
          <w:p w14:paraId="22BF0DE2" w14:textId="77777777" w:rsidR="0076646D" w:rsidRPr="00FD654C" w:rsidRDefault="0076646D" w:rsidP="005C2261">
            <w:pPr>
              <w:rPr>
                <w:rFonts w:ascii="Arial" w:hAnsi="Arial" w:cs="Arial"/>
                <w:b/>
                <w:bCs/>
                <w:sz w:val="22"/>
                <w:szCs w:val="22"/>
              </w:rPr>
            </w:pPr>
            <w:r w:rsidRPr="00FD654C">
              <w:rPr>
                <w:rFonts w:ascii="Arial" w:hAnsi="Arial" w:cs="Arial"/>
                <w:b/>
                <w:bCs/>
                <w:sz w:val="22"/>
                <w:szCs w:val="22"/>
              </w:rPr>
              <w:t>Severe</w:t>
            </w:r>
          </w:p>
        </w:tc>
      </w:tr>
      <w:tr w:rsidR="0076646D" w14:paraId="7676E48B" w14:textId="77777777" w:rsidTr="005C2261">
        <w:tc>
          <w:tcPr>
            <w:tcW w:w="2337" w:type="dxa"/>
          </w:tcPr>
          <w:p w14:paraId="706C708D" w14:textId="77777777" w:rsidR="0076646D" w:rsidRPr="00FD654C" w:rsidRDefault="0076646D" w:rsidP="005C2261">
            <w:pPr>
              <w:rPr>
                <w:rFonts w:ascii="Arial" w:hAnsi="Arial" w:cs="Arial"/>
                <w:sz w:val="22"/>
                <w:szCs w:val="22"/>
              </w:rPr>
            </w:pPr>
            <w:r w:rsidRPr="00FD654C">
              <w:rPr>
                <w:rFonts w:ascii="Arial" w:hAnsi="Arial" w:cs="Arial"/>
                <w:sz w:val="22"/>
                <w:szCs w:val="22"/>
              </w:rPr>
              <w:t>b-Hydroxybutyrate</w:t>
            </w:r>
          </w:p>
        </w:tc>
        <w:tc>
          <w:tcPr>
            <w:tcW w:w="2518" w:type="dxa"/>
          </w:tcPr>
          <w:p w14:paraId="0B26B9C0" w14:textId="77777777" w:rsidR="0076646D" w:rsidRPr="00FD654C" w:rsidRDefault="0076646D" w:rsidP="005C2261">
            <w:pPr>
              <w:rPr>
                <w:rFonts w:ascii="Arial" w:hAnsi="Arial" w:cs="Arial"/>
                <w:sz w:val="22"/>
                <w:szCs w:val="22"/>
              </w:rPr>
            </w:pPr>
            <w:r w:rsidRPr="00FD654C">
              <w:rPr>
                <w:rFonts w:ascii="Arial" w:hAnsi="Arial" w:cs="Arial"/>
                <w:sz w:val="22"/>
                <w:szCs w:val="22"/>
              </w:rPr>
              <w:t>3.0–6.0 mmol/L</w:t>
            </w:r>
          </w:p>
        </w:tc>
        <w:tc>
          <w:tcPr>
            <w:tcW w:w="2430" w:type="dxa"/>
          </w:tcPr>
          <w:p w14:paraId="67B0BD36" w14:textId="77777777" w:rsidR="0076646D" w:rsidRPr="00FD654C" w:rsidRDefault="0076646D" w:rsidP="005C2261">
            <w:pPr>
              <w:rPr>
                <w:rFonts w:ascii="Arial" w:hAnsi="Arial" w:cs="Arial"/>
                <w:sz w:val="22"/>
                <w:szCs w:val="22"/>
              </w:rPr>
            </w:pPr>
            <w:r w:rsidRPr="00FD654C">
              <w:rPr>
                <w:rFonts w:ascii="Arial" w:hAnsi="Arial" w:cs="Arial"/>
                <w:sz w:val="22"/>
                <w:szCs w:val="22"/>
              </w:rPr>
              <w:t>3.0–6.0 mmol/L</w:t>
            </w:r>
          </w:p>
        </w:tc>
        <w:tc>
          <w:tcPr>
            <w:tcW w:w="2065" w:type="dxa"/>
          </w:tcPr>
          <w:p w14:paraId="02579EE2" w14:textId="77777777" w:rsidR="0076646D" w:rsidRPr="00FD654C" w:rsidRDefault="0076646D" w:rsidP="005C2261">
            <w:pPr>
              <w:rPr>
                <w:rFonts w:ascii="Arial" w:hAnsi="Arial" w:cs="Arial"/>
                <w:sz w:val="22"/>
                <w:szCs w:val="22"/>
              </w:rPr>
            </w:pPr>
            <w:r w:rsidRPr="00FD654C">
              <w:rPr>
                <w:rFonts w:ascii="Arial" w:hAnsi="Arial" w:cs="Arial"/>
                <w:sz w:val="22"/>
                <w:szCs w:val="22"/>
              </w:rPr>
              <w:t>&gt;6.0 mmol/L</w:t>
            </w:r>
          </w:p>
        </w:tc>
      </w:tr>
      <w:tr w:rsidR="0076646D" w14:paraId="3700876D" w14:textId="77777777" w:rsidTr="005C2261">
        <w:tc>
          <w:tcPr>
            <w:tcW w:w="2337" w:type="dxa"/>
          </w:tcPr>
          <w:p w14:paraId="4A2A9B4A" w14:textId="77777777" w:rsidR="0076646D" w:rsidRPr="00FD654C" w:rsidRDefault="0076646D" w:rsidP="005C2261">
            <w:pPr>
              <w:rPr>
                <w:rFonts w:ascii="Arial" w:hAnsi="Arial" w:cs="Arial"/>
                <w:sz w:val="22"/>
                <w:szCs w:val="22"/>
              </w:rPr>
            </w:pPr>
            <w:r w:rsidRPr="00FD654C">
              <w:rPr>
                <w:rFonts w:ascii="Arial" w:hAnsi="Arial" w:cs="Arial"/>
                <w:sz w:val="22"/>
                <w:szCs w:val="22"/>
              </w:rPr>
              <w:t>Acidosis</w:t>
            </w:r>
          </w:p>
        </w:tc>
        <w:tc>
          <w:tcPr>
            <w:tcW w:w="2518" w:type="dxa"/>
          </w:tcPr>
          <w:p w14:paraId="5F943AED" w14:textId="77777777" w:rsidR="0076646D" w:rsidRPr="00FD654C" w:rsidRDefault="0076646D" w:rsidP="005C2261">
            <w:pPr>
              <w:rPr>
                <w:rFonts w:ascii="Arial" w:hAnsi="Arial" w:cs="Arial"/>
                <w:sz w:val="22"/>
                <w:szCs w:val="22"/>
              </w:rPr>
            </w:pPr>
            <w:r w:rsidRPr="00FD654C">
              <w:rPr>
                <w:rFonts w:ascii="Arial" w:hAnsi="Arial" w:cs="Arial"/>
                <w:sz w:val="22"/>
                <w:szCs w:val="22"/>
              </w:rPr>
              <w:t>pH &gt;7.25 to &lt;7.30 or</w:t>
            </w:r>
          </w:p>
          <w:p w14:paraId="54A57628" w14:textId="77777777" w:rsidR="0076646D" w:rsidRPr="00FD654C" w:rsidRDefault="0076646D" w:rsidP="005C2261">
            <w:pPr>
              <w:rPr>
                <w:rFonts w:ascii="Arial" w:hAnsi="Arial" w:cs="Arial"/>
                <w:sz w:val="22"/>
                <w:szCs w:val="22"/>
              </w:rPr>
            </w:pPr>
            <w:r w:rsidRPr="00FD654C">
              <w:rPr>
                <w:rFonts w:ascii="Arial" w:hAnsi="Arial" w:cs="Arial"/>
                <w:sz w:val="22"/>
                <w:szCs w:val="22"/>
              </w:rPr>
              <w:t xml:space="preserve"> bicarbonate 15–18 mmol/L</w:t>
            </w:r>
          </w:p>
        </w:tc>
        <w:tc>
          <w:tcPr>
            <w:tcW w:w="2430" w:type="dxa"/>
          </w:tcPr>
          <w:p w14:paraId="6AB2B11F" w14:textId="77777777" w:rsidR="0076646D" w:rsidRPr="00FD654C" w:rsidRDefault="0076646D" w:rsidP="005C2261">
            <w:pPr>
              <w:rPr>
                <w:rFonts w:ascii="Arial" w:hAnsi="Arial" w:cs="Arial"/>
                <w:sz w:val="22"/>
                <w:szCs w:val="22"/>
              </w:rPr>
            </w:pPr>
            <w:r w:rsidRPr="00FD654C">
              <w:rPr>
                <w:rFonts w:ascii="Arial" w:hAnsi="Arial" w:cs="Arial"/>
                <w:sz w:val="22"/>
                <w:szCs w:val="22"/>
              </w:rPr>
              <w:t>pH 7.0–7.25 or</w:t>
            </w:r>
          </w:p>
          <w:p w14:paraId="6441F53C" w14:textId="77777777" w:rsidR="0076646D" w:rsidRPr="00FD654C" w:rsidRDefault="0076646D" w:rsidP="005C2261">
            <w:pPr>
              <w:rPr>
                <w:rFonts w:ascii="Arial" w:hAnsi="Arial" w:cs="Arial"/>
                <w:sz w:val="22"/>
                <w:szCs w:val="22"/>
              </w:rPr>
            </w:pPr>
            <w:r w:rsidRPr="00FD654C">
              <w:rPr>
                <w:rFonts w:ascii="Arial" w:hAnsi="Arial" w:cs="Arial"/>
                <w:sz w:val="22"/>
                <w:szCs w:val="22"/>
              </w:rPr>
              <w:t xml:space="preserve"> bicarbonate 10-15 mmol/L</w:t>
            </w:r>
          </w:p>
        </w:tc>
        <w:tc>
          <w:tcPr>
            <w:tcW w:w="2065" w:type="dxa"/>
          </w:tcPr>
          <w:p w14:paraId="5169EC1E" w14:textId="77777777" w:rsidR="0076646D" w:rsidRPr="00FD654C" w:rsidRDefault="0076646D" w:rsidP="005C2261">
            <w:pPr>
              <w:rPr>
                <w:rFonts w:ascii="Arial" w:hAnsi="Arial" w:cs="Arial"/>
                <w:sz w:val="22"/>
                <w:szCs w:val="22"/>
              </w:rPr>
            </w:pPr>
            <w:r w:rsidRPr="00FD654C">
              <w:rPr>
                <w:rFonts w:ascii="Arial" w:hAnsi="Arial" w:cs="Arial"/>
                <w:sz w:val="22"/>
                <w:szCs w:val="22"/>
              </w:rPr>
              <w:t>pH &lt;7.0 or</w:t>
            </w:r>
          </w:p>
          <w:p w14:paraId="67941543" w14:textId="77777777" w:rsidR="0076646D" w:rsidRPr="00FD654C" w:rsidRDefault="0076646D" w:rsidP="005C2261">
            <w:pPr>
              <w:rPr>
                <w:rFonts w:ascii="Arial" w:hAnsi="Arial" w:cs="Arial"/>
                <w:sz w:val="22"/>
                <w:szCs w:val="22"/>
              </w:rPr>
            </w:pPr>
            <w:r w:rsidRPr="00FD654C">
              <w:rPr>
                <w:rFonts w:ascii="Arial" w:hAnsi="Arial" w:cs="Arial"/>
                <w:sz w:val="22"/>
                <w:szCs w:val="22"/>
              </w:rPr>
              <w:t xml:space="preserve"> bicarbonate &lt;10 mmol/L</w:t>
            </w:r>
          </w:p>
        </w:tc>
      </w:tr>
      <w:tr w:rsidR="0076646D" w14:paraId="59E4DFC8" w14:textId="77777777" w:rsidTr="005C2261">
        <w:tc>
          <w:tcPr>
            <w:tcW w:w="2337" w:type="dxa"/>
          </w:tcPr>
          <w:p w14:paraId="2A584381" w14:textId="77777777" w:rsidR="0076646D" w:rsidRPr="00FD654C" w:rsidRDefault="0076646D" w:rsidP="005C2261">
            <w:pPr>
              <w:rPr>
                <w:rFonts w:ascii="Arial" w:hAnsi="Arial" w:cs="Arial"/>
                <w:sz w:val="22"/>
                <w:szCs w:val="22"/>
              </w:rPr>
            </w:pPr>
            <w:r w:rsidRPr="00FD654C">
              <w:rPr>
                <w:rFonts w:ascii="Arial" w:hAnsi="Arial" w:cs="Arial"/>
                <w:sz w:val="22"/>
                <w:szCs w:val="22"/>
              </w:rPr>
              <w:t>Mental status</w:t>
            </w:r>
          </w:p>
        </w:tc>
        <w:tc>
          <w:tcPr>
            <w:tcW w:w="2518" w:type="dxa"/>
          </w:tcPr>
          <w:p w14:paraId="17227CB7" w14:textId="77777777" w:rsidR="0076646D" w:rsidRPr="00FD654C" w:rsidRDefault="0076646D" w:rsidP="005C2261">
            <w:pPr>
              <w:rPr>
                <w:rFonts w:ascii="Arial" w:hAnsi="Arial" w:cs="Arial"/>
                <w:sz w:val="22"/>
                <w:szCs w:val="22"/>
              </w:rPr>
            </w:pPr>
            <w:r w:rsidRPr="00FD654C">
              <w:rPr>
                <w:rFonts w:ascii="Arial" w:hAnsi="Arial" w:cs="Arial"/>
                <w:sz w:val="22"/>
                <w:szCs w:val="22"/>
              </w:rPr>
              <w:t>Alert</w:t>
            </w:r>
          </w:p>
        </w:tc>
        <w:tc>
          <w:tcPr>
            <w:tcW w:w="2430" w:type="dxa"/>
          </w:tcPr>
          <w:p w14:paraId="21172B95" w14:textId="77777777" w:rsidR="0076646D" w:rsidRPr="00FD654C" w:rsidRDefault="0076646D" w:rsidP="005C2261">
            <w:pPr>
              <w:rPr>
                <w:rFonts w:ascii="Arial" w:hAnsi="Arial" w:cs="Arial"/>
                <w:sz w:val="22"/>
                <w:szCs w:val="22"/>
              </w:rPr>
            </w:pPr>
            <w:r w:rsidRPr="00FD654C">
              <w:rPr>
                <w:rFonts w:ascii="Arial" w:hAnsi="Arial" w:cs="Arial"/>
                <w:sz w:val="22"/>
                <w:szCs w:val="22"/>
              </w:rPr>
              <w:t>Alert/drowsy</w:t>
            </w:r>
          </w:p>
        </w:tc>
        <w:tc>
          <w:tcPr>
            <w:tcW w:w="2065" w:type="dxa"/>
          </w:tcPr>
          <w:p w14:paraId="10EFC853" w14:textId="77777777" w:rsidR="0076646D" w:rsidRPr="00FD654C" w:rsidRDefault="0076646D" w:rsidP="005C2261">
            <w:pPr>
              <w:rPr>
                <w:rFonts w:ascii="Arial" w:hAnsi="Arial" w:cs="Arial"/>
                <w:sz w:val="22"/>
                <w:szCs w:val="22"/>
              </w:rPr>
            </w:pPr>
            <w:r w:rsidRPr="00FD654C">
              <w:rPr>
                <w:rFonts w:ascii="Arial" w:hAnsi="Arial" w:cs="Arial"/>
                <w:sz w:val="22"/>
                <w:szCs w:val="22"/>
              </w:rPr>
              <w:t>Stupor/coma</w:t>
            </w:r>
          </w:p>
        </w:tc>
      </w:tr>
      <w:tr w:rsidR="0076646D" w14:paraId="779902E3" w14:textId="77777777" w:rsidTr="005C2261">
        <w:tc>
          <w:tcPr>
            <w:tcW w:w="2337" w:type="dxa"/>
          </w:tcPr>
          <w:p w14:paraId="3C69EE5F" w14:textId="77777777" w:rsidR="0076646D" w:rsidRPr="00FD654C" w:rsidRDefault="0076646D" w:rsidP="005C2261">
            <w:pPr>
              <w:rPr>
                <w:rFonts w:ascii="Arial" w:hAnsi="Arial" w:cs="Arial"/>
                <w:sz w:val="22"/>
                <w:szCs w:val="22"/>
              </w:rPr>
            </w:pPr>
            <w:r w:rsidRPr="00FD654C">
              <w:rPr>
                <w:rFonts w:ascii="Arial" w:hAnsi="Arial" w:cs="Arial"/>
                <w:sz w:val="22"/>
                <w:szCs w:val="22"/>
              </w:rPr>
              <w:t>Suggested level of care</w:t>
            </w:r>
          </w:p>
        </w:tc>
        <w:tc>
          <w:tcPr>
            <w:tcW w:w="2518" w:type="dxa"/>
          </w:tcPr>
          <w:p w14:paraId="46EA8FDF" w14:textId="77777777" w:rsidR="0076646D" w:rsidRPr="00FD654C" w:rsidRDefault="0076646D" w:rsidP="005C2261">
            <w:pPr>
              <w:rPr>
                <w:rFonts w:ascii="Arial" w:hAnsi="Arial" w:cs="Arial"/>
                <w:sz w:val="22"/>
                <w:szCs w:val="22"/>
              </w:rPr>
            </w:pPr>
            <w:r w:rsidRPr="00FD654C">
              <w:rPr>
                <w:rFonts w:ascii="Arial" w:hAnsi="Arial" w:cs="Arial"/>
                <w:sz w:val="22"/>
                <w:szCs w:val="22"/>
              </w:rPr>
              <w:t>Regular or observation nursing unit</w:t>
            </w:r>
          </w:p>
        </w:tc>
        <w:tc>
          <w:tcPr>
            <w:tcW w:w="2430" w:type="dxa"/>
          </w:tcPr>
          <w:p w14:paraId="2F9E444A" w14:textId="77777777" w:rsidR="0076646D" w:rsidRPr="00FD654C" w:rsidRDefault="0076646D" w:rsidP="005C2261">
            <w:pPr>
              <w:rPr>
                <w:rFonts w:ascii="Arial" w:hAnsi="Arial" w:cs="Arial"/>
                <w:sz w:val="22"/>
                <w:szCs w:val="22"/>
              </w:rPr>
            </w:pPr>
            <w:r w:rsidRPr="00FD654C">
              <w:rPr>
                <w:rFonts w:ascii="Arial" w:hAnsi="Arial" w:cs="Arial"/>
                <w:sz w:val="22"/>
                <w:szCs w:val="22"/>
              </w:rPr>
              <w:t>Step-down unit or intermediate care unit</w:t>
            </w:r>
          </w:p>
        </w:tc>
        <w:tc>
          <w:tcPr>
            <w:tcW w:w="2065" w:type="dxa"/>
          </w:tcPr>
          <w:p w14:paraId="65AEA266" w14:textId="77777777" w:rsidR="0076646D" w:rsidRPr="00FD654C" w:rsidRDefault="0076646D" w:rsidP="005C2261">
            <w:pPr>
              <w:rPr>
                <w:rFonts w:ascii="Arial" w:hAnsi="Arial" w:cs="Arial"/>
                <w:sz w:val="22"/>
                <w:szCs w:val="22"/>
              </w:rPr>
            </w:pPr>
            <w:r w:rsidRPr="00FD654C">
              <w:rPr>
                <w:rFonts w:ascii="Arial" w:hAnsi="Arial" w:cs="Arial"/>
                <w:sz w:val="22"/>
                <w:szCs w:val="22"/>
              </w:rPr>
              <w:t>Intensive care unit</w:t>
            </w:r>
          </w:p>
        </w:tc>
      </w:tr>
    </w:tbl>
    <w:p w14:paraId="160E6331" w14:textId="7D7E360C" w:rsidR="0034677D" w:rsidRDefault="0076646D" w:rsidP="00727B62">
      <w:pPr>
        <w:spacing w:after="0" w:line="276" w:lineRule="auto"/>
        <w:rPr>
          <w:rFonts w:ascii="Arial" w:hAnsi="Arial" w:cs="Arial"/>
          <w:sz w:val="22"/>
          <w:szCs w:val="22"/>
        </w:rPr>
      </w:pPr>
      <w:r w:rsidRPr="00302A2A">
        <w:rPr>
          <w:rFonts w:ascii="Arial" w:hAnsi="Arial" w:cs="Arial"/>
          <w:sz w:val="22"/>
          <w:szCs w:val="22"/>
          <w:lang w:val="da-DK"/>
        </w:rPr>
        <w:t xml:space="preserve">Modified from </w:t>
      </w:r>
      <w:r w:rsidR="00201619" w:rsidRPr="00302A2A">
        <w:rPr>
          <w:rFonts w:ascii="Arial" w:hAnsi="Arial" w:cs="Arial"/>
          <w:sz w:val="22"/>
          <w:szCs w:val="22"/>
          <w:lang w:val="da-DK"/>
        </w:rPr>
        <w:t xml:space="preserve">Umpierrez GE, et al. </w:t>
      </w:r>
      <w:r w:rsidR="00201619" w:rsidRPr="00201619">
        <w:rPr>
          <w:rFonts w:ascii="Arial" w:hAnsi="Arial" w:cs="Arial"/>
          <w:sz w:val="22"/>
          <w:szCs w:val="22"/>
        </w:rPr>
        <w:t>Hyperglycemic Crises in Adults With Diabetes: A Consensus Report. Diabetes Care. 2024 Aug 1;47(8):1257-1275</w:t>
      </w:r>
    </w:p>
    <w:p w14:paraId="116422A9" w14:textId="77777777" w:rsidR="0034677D" w:rsidRPr="00727B62" w:rsidRDefault="0034677D" w:rsidP="00727B62">
      <w:pPr>
        <w:spacing w:after="0" w:line="276" w:lineRule="auto"/>
        <w:rPr>
          <w:rFonts w:ascii="Arial" w:hAnsi="Arial" w:cs="Arial"/>
          <w:sz w:val="22"/>
          <w:szCs w:val="22"/>
        </w:rPr>
      </w:pPr>
    </w:p>
    <w:p w14:paraId="511A89E0" w14:textId="66DC1D89" w:rsidR="00E33BE9" w:rsidRPr="00727B62" w:rsidRDefault="00E33BE9" w:rsidP="00727B62">
      <w:pPr>
        <w:spacing w:after="0" w:line="276" w:lineRule="auto"/>
        <w:rPr>
          <w:rFonts w:ascii="Arial" w:hAnsi="Arial" w:cs="Arial"/>
          <w:b/>
          <w:bCs/>
          <w:color w:val="00B050"/>
          <w:sz w:val="22"/>
          <w:szCs w:val="22"/>
        </w:rPr>
      </w:pPr>
      <w:r w:rsidRPr="00727B62">
        <w:rPr>
          <w:rFonts w:ascii="Arial" w:hAnsi="Arial" w:cs="Arial"/>
          <w:b/>
          <w:bCs/>
          <w:color w:val="00B050"/>
          <w:sz w:val="22"/>
          <w:szCs w:val="22"/>
        </w:rPr>
        <w:t>Hyperosmolar Hyperglycemic State</w:t>
      </w:r>
    </w:p>
    <w:p w14:paraId="52D4C99C" w14:textId="77777777" w:rsidR="00E33BE9" w:rsidRPr="00727B62" w:rsidRDefault="00E33BE9" w:rsidP="00727B62">
      <w:pPr>
        <w:spacing w:after="0" w:line="276" w:lineRule="auto"/>
        <w:rPr>
          <w:rFonts w:ascii="Arial" w:hAnsi="Arial" w:cs="Arial"/>
          <w:b/>
          <w:bCs/>
          <w:color w:val="00B050"/>
          <w:sz w:val="22"/>
          <w:szCs w:val="22"/>
        </w:rPr>
      </w:pPr>
    </w:p>
    <w:p w14:paraId="70C6B179" w14:textId="7FA20AD0" w:rsidR="00E33BE9" w:rsidRPr="00727B62" w:rsidRDefault="00E33BE9" w:rsidP="00727B62">
      <w:pPr>
        <w:spacing w:after="0" w:line="276" w:lineRule="auto"/>
        <w:rPr>
          <w:rFonts w:ascii="Arial" w:hAnsi="Arial" w:cs="Arial"/>
          <w:sz w:val="22"/>
          <w:szCs w:val="22"/>
        </w:rPr>
      </w:pPr>
      <w:r w:rsidRPr="00727B62">
        <w:rPr>
          <w:rFonts w:ascii="Arial" w:hAnsi="Arial" w:cs="Arial"/>
          <w:sz w:val="22"/>
          <w:szCs w:val="22"/>
        </w:rPr>
        <w:t>The diagnosis of the hyperosmolar hyperglycemic state (HHS) is based on the following criteria.</w:t>
      </w:r>
    </w:p>
    <w:p w14:paraId="5D2FC9A9" w14:textId="77777777" w:rsidR="00E33BE9" w:rsidRPr="00727B62" w:rsidRDefault="00E33BE9" w:rsidP="00727B62">
      <w:pPr>
        <w:spacing w:after="0" w:line="276" w:lineRule="auto"/>
        <w:rPr>
          <w:rFonts w:ascii="Arial" w:hAnsi="Arial" w:cs="Arial"/>
          <w:sz w:val="22"/>
          <w:szCs w:val="22"/>
        </w:rPr>
      </w:pPr>
    </w:p>
    <w:p w14:paraId="4D37A9F2" w14:textId="34DFEE18" w:rsidR="00E33BE9" w:rsidRPr="00302A2A" w:rsidRDefault="00E33BE9" w:rsidP="00324D51">
      <w:pPr>
        <w:pStyle w:val="ListParagraph"/>
        <w:numPr>
          <w:ilvl w:val="0"/>
          <w:numId w:val="3"/>
        </w:numPr>
        <w:spacing w:after="0" w:line="276" w:lineRule="auto"/>
        <w:ind w:left="360"/>
        <w:rPr>
          <w:rFonts w:ascii="Arial" w:hAnsi="Arial" w:cs="Arial"/>
          <w:sz w:val="22"/>
          <w:szCs w:val="22"/>
          <w:lang w:val="sv-SE"/>
        </w:rPr>
      </w:pPr>
      <w:r w:rsidRPr="00302A2A">
        <w:rPr>
          <w:rFonts w:ascii="Arial" w:hAnsi="Arial" w:cs="Arial"/>
          <w:sz w:val="22"/>
          <w:szCs w:val="22"/>
          <w:lang w:val="sv-SE"/>
        </w:rPr>
        <w:t>Plasma glucose &gt;600 mg/dL (33.3 mmol/L).</w:t>
      </w:r>
    </w:p>
    <w:p w14:paraId="6B7F8167" w14:textId="1F1C2031" w:rsidR="00E33BE9" w:rsidRPr="00727B62" w:rsidRDefault="00E33BE9" w:rsidP="00324D51">
      <w:pPr>
        <w:pStyle w:val="ListParagraph"/>
        <w:numPr>
          <w:ilvl w:val="0"/>
          <w:numId w:val="3"/>
        </w:numPr>
        <w:spacing w:after="0" w:line="276" w:lineRule="auto"/>
        <w:ind w:left="360"/>
        <w:rPr>
          <w:rFonts w:ascii="Arial" w:hAnsi="Arial" w:cs="Arial"/>
          <w:sz w:val="22"/>
          <w:szCs w:val="22"/>
        </w:rPr>
      </w:pPr>
      <w:r w:rsidRPr="00727B62">
        <w:rPr>
          <w:rFonts w:ascii="Arial" w:hAnsi="Arial" w:cs="Arial"/>
          <w:sz w:val="22"/>
          <w:szCs w:val="22"/>
        </w:rPr>
        <w:t>Hyperosmolality defined as effective osmolality &gt;300 mOsm/kg or total serum osmolality &gt; 320 mOsm/kg.</w:t>
      </w:r>
    </w:p>
    <w:p w14:paraId="15943A1E" w14:textId="657B0939" w:rsidR="00E33BE9" w:rsidRPr="00727B62" w:rsidRDefault="00E33BE9" w:rsidP="00324D51">
      <w:pPr>
        <w:pStyle w:val="ListParagraph"/>
        <w:numPr>
          <w:ilvl w:val="0"/>
          <w:numId w:val="3"/>
        </w:numPr>
        <w:spacing w:after="0" w:line="276" w:lineRule="auto"/>
        <w:ind w:left="360"/>
        <w:rPr>
          <w:rFonts w:ascii="Arial" w:hAnsi="Arial" w:cs="Arial"/>
          <w:sz w:val="22"/>
          <w:szCs w:val="22"/>
        </w:rPr>
      </w:pPr>
      <w:r w:rsidRPr="00727B62">
        <w:rPr>
          <w:rFonts w:ascii="Arial" w:hAnsi="Arial" w:cs="Arial"/>
          <w:sz w:val="22"/>
          <w:szCs w:val="22"/>
        </w:rPr>
        <w:t>Absence of significant ketonemia: β-hydroxybutyrate &lt;3.0 mmol/L or urine ketone &lt; 2+.</w:t>
      </w:r>
    </w:p>
    <w:p w14:paraId="0C638FC6" w14:textId="0AC379D1" w:rsidR="00E33BE9" w:rsidRPr="00727B62" w:rsidRDefault="00E33BE9" w:rsidP="00324D51">
      <w:pPr>
        <w:pStyle w:val="ListParagraph"/>
        <w:numPr>
          <w:ilvl w:val="0"/>
          <w:numId w:val="3"/>
        </w:numPr>
        <w:spacing w:after="0" w:line="276" w:lineRule="auto"/>
        <w:ind w:left="360"/>
        <w:rPr>
          <w:rFonts w:ascii="Arial" w:hAnsi="Arial" w:cs="Arial"/>
          <w:sz w:val="22"/>
          <w:szCs w:val="22"/>
        </w:rPr>
      </w:pPr>
      <w:r w:rsidRPr="00727B62">
        <w:rPr>
          <w:rFonts w:ascii="Arial" w:hAnsi="Arial" w:cs="Arial"/>
          <w:sz w:val="22"/>
          <w:szCs w:val="22"/>
        </w:rPr>
        <w:t>Absence of acidosis: pH≥7.3 and bicarbonate concentration ≥ 15 mmol/L.</w:t>
      </w:r>
    </w:p>
    <w:p w14:paraId="0EF3AAF5" w14:textId="77777777" w:rsidR="00E33BE9" w:rsidRPr="00727B62" w:rsidRDefault="00E33BE9" w:rsidP="00727B62">
      <w:pPr>
        <w:spacing w:after="0" w:line="276" w:lineRule="auto"/>
        <w:rPr>
          <w:rFonts w:ascii="Arial" w:hAnsi="Arial" w:cs="Arial"/>
          <w:sz w:val="22"/>
          <w:szCs w:val="22"/>
        </w:rPr>
      </w:pPr>
    </w:p>
    <w:p w14:paraId="6849BF31" w14:textId="2067F795" w:rsidR="00E33BE9" w:rsidRPr="00727B62" w:rsidRDefault="00E33BE9" w:rsidP="00727B62">
      <w:pPr>
        <w:spacing w:after="0" w:line="276" w:lineRule="auto"/>
        <w:rPr>
          <w:rFonts w:ascii="Arial" w:hAnsi="Arial" w:cs="Arial"/>
          <w:sz w:val="22"/>
          <w:szCs w:val="22"/>
        </w:rPr>
      </w:pPr>
      <w:r w:rsidRPr="00727B62">
        <w:rPr>
          <w:rFonts w:ascii="Arial" w:hAnsi="Arial" w:cs="Arial"/>
          <w:sz w:val="22"/>
          <w:szCs w:val="22"/>
        </w:rPr>
        <w:t xml:space="preserve">The clinical manifestations of HSS are shown in Table </w:t>
      </w:r>
      <w:r w:rsidR="00201619">
        <w:rPr>
          <w:rFonts w:ascii="Arial" w:hAnsi="Arial" w:cs="Arial"/>
          <w:sz w:val="22"/>
          <w:szCs w:val="22"/>
        </w:rPr>
        <w:t>3</w:t>
      </w:r>
      <w:r w:rsidRPr="00727B62">
        <w:rPr>
          <w:rFonts w:ascii="Arial" w:hAnsi="Arial" w:cs="Arial"/>
          <w:sz w:val="22"/>
          <w:szCs w:val="22"/>
        </w:rPr>
        <w:t>.</w:t>
      </w:r>
      <w:r w:rsidR="0044702D">
        <w:rPr>
          <w:rFonts w:ascii="Arial" w:hAnsi="Arial" w:cs="Arial"/>
          <w:sz w:val="22"/>
          <w:szCs w:val="22"/>
        </w:rPr>
        <w:t xml:space="preserve"> </w:t>
      </w:r>
      <w:r w:rsidR="0044702D" w:rsidRPr="0044702D">
        <w:rPr>
          <w:rFonts w:ascii="Arial" w:hAnsi="Arial" w:cs="Arial"/>
          <w:sz w:val="22"/>
          <w:szCs w:val="22"/>
        </w:rPr>
        <w:t>Altered mentation appears to correlate with the degree of hyperosmolality; hence significantly diminished mentation in the setting of an osmolality of &lt;320 mOsm/kg should prompt a search for other causes.</w:t>
      </w:r>
    </w:p>
    <w:p w14:paraId="468D58D6" w14:textId="77777777" w:rsidR="00E33BE9" w:rsidRPr="00727B62" w:rsidRDefault="00E33BE9" w:rsidP="00727B62">
      <w:pPr>
        <w:spacing w:after="0"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33BE9" w:rsidRPr="00727B62" w14:paraId="1AC85209" w14:textId="77777777" w:rsidTr="0059642B">
        <w:tc>
          <w:tcPr>
            <w:tcW w:w="9350" w:type="dxa"/>
            <w:shd w:val="clear" w:color="auto" w:fill="FFFF00"/>
          </w:tcPr>
          <w:p w14:paraId="1F36F7AC" w14:textId="263F81D8" w:rsidR="00E33BE9" w:rsidRPr="00727B62" w:rsidRDefault="00E33BE9" w:rsidP="00727B62">
            <w:pPr>
              <w:spacing w:line="276" w:lineRule="auto"/>
              <w:rPr>
                <w:rFonts w:ascii="Arial" w:hAnsi="Arial" w:cs="Arial"/>
                <w:b/>
                <w:bCs/>
                <w:sz w:val="22"/>
                <w:szCs w:val="22"/>
              </w:rPr>
            </w:pPr>
            <w:r w:rsidRPr="00727B62">
              <w:rPr>
                <w:rFonts w:ascii="Arial" w:hAnsi="Arial" w:cs="Arial"/>
                <w:b/>
                <w:bCs/>
                <w:sz w:val="22"/>
                <w:szCs w:val="22"/>
              </w:rPr>
              <w:t xml:space="preserve">Table </w:t>
            </w:r>
            <w:r w:rsidR="00201619">
              <w:rPr>
                <w:rFonts w:ascii="Arial" w:hAnsi="Arial" w:cs="Arial"/>
                <w:b/>
                <w:bCs/>
                <w:sz w:val="22"/>
                <w:szCs w:val="22"/>
              </w:rPr>
              <w:t>3</w:t>
            </w:r>
            <w:r w:rsidRPr="00727B62">
              <w:rPr>
                <w:rFonts w:ascii="Arial" w:hAnsi="Arial" w:cs="Arial"/>
                <w:b/>
                <w:bCs/>
                <w:sz w:val="22"/>
                <w:szCs w:val="22"/>
              </w:rPr>
              <w:t>. Clinical Manifestations of the Hyperosmolar Hyperglycemic State</w:t>
            </w:r>
          </w:p>
        </w:tc>
      </w:tr>
      <w:tr w:rsidR="00E33BE9" w:rsidRPr="00727B62" w14:paraId="20623D9A" w14:textId="77777777" w:rsidTr="00E33BE9">
        <w:tc>
          <w:tcPr>
            <w:tcW w:w="9350" w:type="dxa"/>
          </w:tcPr>
          <w:p w14:paraId="11FFE0DD" w14:textId="43B220DA" w:rsidR="00E33BE9" w:rsidRPr="00727B62" w:rsidRDefault="0059642B" w:rsidP="00727B62">
            <w:pPr>
              <w:spacing w:line="276" w:lineRule="auto"/>
              <w:rPr>
                <w:rFonts w:ascii="Arial" w:hAnsi="Arial" w:cs="Arial"/>
                <w:sz w:val="22"/>
                <w:szCs w:val="22"/>
              </w:rPr>
            </w:pPr>
            <w:r w:rsidRPr="00727B62">
              <w:rPr>
                <w:rFonts w:ascii="Arial" w:hAnsi="Arial" w:cs="Arial"/>
                <w:sz w:val="22"/>
                <w:szCs w:val="22"/>
              </w:rPr>
              <w:t>Fatigue, lethargy, and weakness</w:t>
            </w:r>
          </w:p>
        </w:tc>
      </w:tr>
      <w:tr w:rsidR="00E33BE9" w:rsidRPr="00727B62" w14:paraId="409CF0B4" w14:textId="77777777" w:rsidTr="00E33BE9">
        <w:tc>
          <w:tcPr>
            <w:tcW w:w="9350" w:type="dxa"/>
          </w:tcPr>
          <w:p w14:paraId="73E20313" w14:textId="2A492FDB" w:rsidR="00E33BE9" w:rsidRPr="00727B62" w:rsidRDefault="0059642B" w:rsidP="00727B62">
            <w:pPr>
              <w:spacing w:line="276" w:lineRule="auto"/>
              <w:rPr>
                <w:rFonts w:ascii="Arial" w:hAnsi="Arial" w:cs="Arial"/>
                <w:sz w:val="22"/>
                <w:szCs w:val="22"/>
              </w:rPr>
            </w:pPr>
            <w:r w:rsidRPr="00727B62">
              <w:rPr>
                <w:rFonts w:ascii="Arial" w:hAnsi="Arial" w:cs="Arial"/>
                <w:sz w:val="22"/>
                <w:szCs w:val="22"/>
              </w:rPr>
              <w:t>Polyuria and polydipsia</w:t>
            </w:r>
          </w:p>
        </w:tc>
      </w:tr>
      <w:tr w:rsidR="00E33BE9" w:rsidRPr="00727B62" w14:paraId="0BAC3013" w14:textId="77777777" w:rsidTr="00E33BE9">
        <w:tc>
          <w:tcPr>
            <w:tcW w:w="9350" w:type="dxa"/>
          </w:tcPr>
          <w:p w14:paraId="5FCB0C85" w14:textId="049F3280" w:rsidR="00E33BE9" w:rsidRPr="00727B62" w:rsidRDefault="0059642B" w:rsidP="00727B62">
            <w:pPr>
              <w:spacing w:line="276" w:lineRule="auto"/>
              <w:rPr>
                <w:rFonts w:ascii="Arial" w:hAnsi="Arial" w:cs="Arial"/>
                <w:sz w:val="22"/>
                <w:szCs w:val="22"/>
              </w:rPr>
            </w:pPr>
            <w:r w:rsidRPr="00727B62">
              <w:rPr>
                <w:rFonts w:ascii="Arial" w:hAnsi="Arial" w:cs="Arial"/>
                <w:sz w:val="22"/>
                <w:szCs w:val="22"/>
              </w:rPr>
              <w:t>Unintentional weight loss preceding the acute presentation</w:t>
            </w:r>
          </w:p>
        </w:tc>
      </w:tr>
      <w:tr w:rsidR="00E33BE9" w:rsidRPr="00727B62" w14:paraId="56423CE5" w14:textId="77777777" w:rsidTr="00E33BE9">
        <w:tc>
          <w:tcPr>
            <w:tcW w:w="9350" w:type="dxa"/>
          </w:tcPr>
          <w:p w14:paraId="67BCEFA3" w14:textId="42FBFBA8" w:rsidR="00E33BE9" w:rsidRPr="00727B62" w:rsidRDefault="0059642B" w:rsidP="00727B62">
            <w:pPr>
              <w:spacing w:line="276" w:lineRule="auto"/>
              <w:rPr>
                <w:rFonts w:ascii="Arial" w:hAnsi="Arial" w:cs="Arial"/>
                <w:sz w:val="22"/>
                <w:szCs w:val="22"/>
              </w:rPr>
            </w:pPr>
            <w:r w:rsidRPr="00727B62">
              <w:rPr>
                <w:rFonts w:ascii="Arial" w:hAnsi="Arial" w:cs="Arial"/>
                <w:sz w:val="22"/>
                <w:szCs w:val="22"/>
              </w:rPr>
              <w:t>Confusion, focal neurological deficits, seizures, and coma</w:t>
            </w:r>
          </w:p>
        </w:tc>
      </w:tr>
      <w:tr w:rsidR="00E33BE9" w:rsidRPr="00727B62" w14:paraId="614FAF06" w14:textId="77777777" w:rsidTr="00E33BE9">
        <w:tc>
          <w:tcPr>
            <w:tcW w:w="9350" w:type="dxa"/>
          </w:tcPr>
          <w:p w14:paraId="4627009F" w14:textId="796FC16A" w:rsidR="00E33BE9" w:rsidRPr="00727B62" w:rsidRDefault="0059642B" w:rsidP="00727B62">
            <w:pPr>
              <w:spacing w:line="276" w:lineRule="auto"/>
              <w:rPr>
                <w:rFonts w:ascii="Arial" w:hAnsi="Arial" w:cs="Arial"/>
                <w:sz w:val="22"/>
                <w:szCs w:val="22"/>
              </w:rPr>
            </w:pPr>
            <w:r w:rsidRPr="00727B62">
              <w:rPr>
                <w:rFonts w:ascii="Arial" w:hAnsi="Arial" w:cs="Arial"/>
                <w:sz w:val="22"/>
                <w:szCs w:val="22"/>
              </w:rPr>
              <w:t>Severe dehydration and volume depletion causing tachycardia and severe hypotension</w:t>
            </w:r>
          </w:p>
        </w:tc>
      </w:tr>
      <w:tr w:rsidR="00413357" w:rsidRPr="00727B62" w14:paraId="3B2C3A2B" w14:textId="77777777" w:rsidTr="00E33BE9">
        <w:tc>
          <w:tcPr>
            <w:tcW w:w="9350" w:type="dxa"/>
          </w:tcPr>
          <w:p w14:paraId="69A6B2F4" w14:textId="12AE8C9C" w:rsidR="00413357" w:rsidRPr="00727B62" w:rsidRDefault="00413357" w:rsidP="00727B62">
            <w:pPr>
              <w:spacing w:line="276" w:lineRule="auto"/>
              <w:rPr>
                <w:rFonts w:ascii="Arial" w:hAnsi="Arial" w:cs="Arial"/>
                <w:sz w:val="22"/>
                <w:szCs w:val="22"/>
              </w:rPr>
            </w:pPr>
            <w:r>
              <w:rPr>
                <w:rFonts w:ascii="Arial" w:hAnsi="Arial" w:cs="Arial"/>
                <w:sz w:val="22"/>
                <w:szCs w:val="22"/>
              </w:rPr>
              <w:t>Blu</w:t>
            </w:r>
            <w:r w:rsidR="00B17C65">
              <w:rPr>
                <w:rFonts w:ascii="Arial" w:hAnsi="Arial" w:cs="Arial"/>
                <w:sz w:val="22"/>
                <w:szCs w:val="22"/>
              </w:rPr>
              <w:t>rry vision</w:t>
            </w:r>
          </w:p>
        </w:tc>
      </w:tr>
    </w:tbl>
    <w:p w14:paraId="0C489CCE" w14:textId="77777777" w:rsidR="00E33BE9" w:rsidRPr="00727B62" w:rsidRDefault="00E33BE9" w:rsidP="00727B62">
      <w:pPr>
        <w:spacing w:after="0" w:line="276" w:lineRule="auto"/>
        <w:rPr>
          <w:rFonts w:ascii="Arial" w:hAnsi="Arial" w:cs="Arial"/>
          <w:sz w:val="22"/>
          <w:szCs w:val="22"/>
        </w:rPr>
      </w:pPr>
    </w:p>
    <w:p w14:paraId="14D8989D" w14:textId="40A0C160" w:rsidR="0059642B" w:rsidRPr="00727B62" w:rsidRDefault="0059642B" w:rsidP="00727B62">
      <w:pPr>
        <w:spacing w:after="0" w:line="276" w:lineRule="auto"/>
        <w:rPr>
          <w:rFonts w:ascii="Arial" w:hAnsi="Arial" w:cs="Arial"/>
          <w:sz w:val="22"/>
          <w:szCs w:val="22"/>
        </w:rPr>
      </w:pPr>
      <w:r w:rsidRPr="00727B62">
        <w:rPr>
          <w:rFonts w:ascii="Arial" w:hAnsi="Arial" w:cs="Arial"/>
          <w:sz w:val="22"/>
          <w:szCs w:val="22"/>
        </w:rPr>
        <w:t xml:space="preserve">The differences between DKA and HHS are shown in Table </w:t>
      </w:r>
      <w:r w:rsidR="00201619">
        <w:rPr>
          <w:rFonts w:ascii="Arial" w:hAnsi="Arial" w:cs="Arial"/>
          <w:sz w:val="22"/>
          <w:szCs w:val="22"/>
        </w:rPr>
        <w:t>4</w:t>
      </w:r>
      <w:r w:rsidRPr="00727B62">
        <w:rPr>
          <w:rFonts w:ascii="Arial" w:hAnsi="Arial" w:cs="Arial"/>
          <w:sz w:val="22"/>
          <w:szCs w:val="22"/>
        </w:rPr>
        <w:t>. Patients may manifest symptoms and laboratory studies of both DKA and HHS as DKA and HHS represent a spectrum of insulin deficiency disorders.</w:t>
      </w:r>
      <w:r w:rsidR="005564ED">
        <w:rPr>
          <w:rFonts w:ascii="Arial" w:hAnsi="Arial" w:cs="Arial"/>
          <w:sz w:val="22"/>
          <w:szCs w:val="22"/>
        </w:rPr>
        <w:t xml:space="preserve"> Approximately </w:t>
      </w:r>
      <w:r w:rsidR="005564ED" w:rsidRPr="005564ED">
        <w:rPr>
          <w:rFonts w:ascii="Arial" w:hAnsi="Arial" w:cs="Arial"/>
          <w:sz w:val="22"/>
          <w:szCs w:val="22"/>
        </w:rPr>
        <w:t>1/3 of hyperglycemic emergencies have a hybrid DKA/HHS presentation</w:t>
      </w:r>
      <w:r w:rsidR="00BF1B0C">
        <w:rPr>
          <w:rFonts w:ascii="Arial" w:hAnsi="Arial" w:cs="Arial"/>
          <w:sz w:val="22"/>
          <w:szCs w:val="22"/>
        </w:rPr>
        <w:t>.</w:t>
      </w:r>
    </w:p>
    <w:p w14:paraId="629D5385" w14:textId="77777777" w:rsidR="0059642B" w:rsidRPr="00727B62" w:rsidRDefault="0059642B" w:rsidP="00727B62">
      <w:pPr>
        <w:spacing w:after="0" w:line="276" w:lineRule="auto"/>
        <w:rPr>
          <w:rFonts w:ascii="Arial" w:hAnsi="Arial" w:cs="Arial"/>
          <w:sz w:val="22"/>
          <w:szCs w:val="22"/>
        </w:rPr>
      </w:pPr>
    </w:p>
    <w:tbl>
      <w:tblPr>
        <w:tblStyle w:val="TableGrid"/>
        <w:tblW w:w="9375" w:type="dxa"/>
        <w:tblLook w:val="04A0" w:firstRow="1" w:lastRow="0" w:firstColumn="1" w:lastColumn="0" w:noHBand="0" w:noVBand="1"/>
      </w:tblPr>
      <w:tblGrid>
        <w:gridCol w:w="2417"/>
        <w:gridCol w:w="3657"/>
        <w:gridCol w:w="3301"/>
      </w:tblGrid>
      <w:tr w:rsidR="0059642B" w:rsidRPr="005C33D2" w14:paraId="1CA4EAA2" w14:textId="77777777" w:rsidTr="0059642B">
        <w:tc>
          <w:tcPr>
            <w:tcW w:w="9450" w:type="dxa"/>
            <w:gridSpan w:val="3"/>
            <w:shd w:val="clear" w:color="auto" w:fill="FFFF00"/>
            <w:hideMark/>
          </w:tcPr>
          <w:p w14:paraId="49F02414" w14:textId="3F594F82" w:rsidR="0059642B" w:rsidRPr="005C33D2" w:rsidRDefault="0059642B" w:rsidP="00727B62">
            <w:pPr>
              <w:spacing w:line="276" w:lineRule="auto"/>
              <w:textAlignment w:val="baseline"/>
              <w:rPr>
                <w:rFonts w:ascii="Arial" w:eastAsia="Times New Roman" w:hAnsi="Arial" w:cs="Arial"/>
                <w:b/>
                <w:bCs/>
                <w:caps/>
                <w:color w:val="000000"/>
                <w:kern w:val="0"/>
                <w:sz w:val="22"/>
                <w:szCs w:val="22"/>
                <w14:ligatures w14:val="none"/>
              </w:rPr>
            </w:pPr>
            <w:r w:rsidRPr="005C33D2">
              <w:rPr>
                <w:rFonts w:ascii="Arial" w:eastAsia="Times New Roman" w:hAnsi="Arial" w:cs="Arial"/>
                <w:b/>
                <w:bCs/>
                <w:caps/>
                <w:color w:val="000000"/>
                <w:kern w:val="0"/>
                <w:sz w:val="22"/>
                <w:szCs w:val="22"/>
                <w:bdr w:val="none" w:sz="0" w:space="0" w:color="auto" w:frame="1"/>
                <w14:ligatures w14:val="none"/>
              </w:rPr>
              <w:t xml:space="preserve">Table </w:t>
            </w:r>
            <w:r w:rsidR="00201619">
              <w:rPr>
                <w:rFonts w:ascii="Arial" w:eastAsia="Times New Roman" w:hAnsi="Arial" w:cs="Arial"/>
                <w:b/>
                <w:bCs/>
                <w:caps/>
                <w:color w:val="000000"/>
                <w:kern w:val="0"/>
                <w:sz w:val="22"/>
                <w:szCs w:val="22"/>
                <w:bdr w:val="none" w:sz="0" w:space="0" w:color="auto" w:frame="1"/>
                <w14:ligatures w14:val="none"/>
              </w:rPr>
              <w:t>4</w:t>
            </w:r>
            <w:r w:rsidRPr="005C33D2">
              <w:rPr>
                <w:rFonts w:ascii="Arial" w:eastAsia="Times New Roman" w:hAnsi="Arial" w:cs="Arial"/>
                <w:b/>
                <w:bCs/>
                <w:caps/>
                <w:color w:val="000000"/>
                <w:kern w:val="0"/>
                <w:sz w:val="22"/>
                <w:szCs w:val="22"/>
                <w:bdr w:val="none" w:sz="0" w:space="0" w:color="auto" w:frame="1"/>
                <w14:ligatures w14:val="none"/>
              </w:rPr>
              <w:t>. DIFFERENCES BETWEEN DKA AND HHS</w:t>
            </w:r>
          </w:p>
        </w:tc>
      </w:tr>
      <w:tr w:rsidR="0059642B" w:rsidRPr="005C33D2" w14:paraId="3C83FB91" w14:textId="77777777" w:rsidTr="005C2261">
        <w:tc>
          <w:tcPr>
            <w:tcW w:w="2430" w:type="dxa"/>
            <w:hideMark/>
          </w:tcPr>
          <w:p w14:paraId="7DCA1ABF"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b/>
                <w:bCs/>
                <w:color w:val="000000"/>
                <w:kern w:val="0"/>
                <w:sz w:val="22"/>
                <w:szCs w:val="22"/>
                <w:bdr w:val="none" w:sz="0" w:space="0" w:color="auto" w:frame="1"/>
                <w14:ligatures w14:val="none"/>
              </w:rPr>
              <w:t>Clinical / Laboratory feature</w:t>
            </w:r>
          </w:p>
        </w:tc>
        <w:tc>
          <w:tcPr>
            <w:tcW w:w="3690" w:type="dxa"/>
            <w:hideMark/>
          </w:tcPr>
          <w:p w14:paraId="4D70FFAE" w14:textId="77777777" w:rsidR="0059642B" w:rsidRPr="005C33D2" w:rsidRDefault="0059642B" w:rsidP="00727B62">
            <w:pPr>
              <w:spacing w:line="276" w:lineRule="auto"/>
              <w:rPr>
                <w:rFonts w:ascii="Arial" w:eastAsia="Times New Roman" w:hAnsi="Arial" w:cs="Arial"/>
                <w:color w:val="000000"/>
                <w:kern w:val="0"/>
                <w:sz w:val="22"/>
                <w:szCs w:val="22"/>
                <w14:ligatures w14:val="none"/>
              </w:rPr>
            </w:pPr>
            <w:r w:rsidRPr="005C33D2">
              <w:rPr>
                <w:rFonts w:ascii="Arial" w:eastAsia="Times New Roman" w:hAnsi="Arial" w:cs="Arial"/>
                <w:b/>
                <w:bCs/>
                <w:color w:val="000000"/>
                <w:kern w:val="0"/>
                <w:sz w:val="22"/>
                <w:szCs w:val="22"/>
                <w:bdr w:val="none" w:sz="0" w:space="0" w:color="auto" w:frame="1"/>
                <w14:ligatures w14:val="none"/>
              </w:rPr>
              <w:t>DKA</w:t>
            </w:r>
          </w:p>
        </w:tc>
        <w:tc>
          <w:tcPr>
            <w:tcW w:w="3330" w:type="dxa"/>
            <w:hideMark/>
          </w:tcPr>
          <w:p w14:paraId="030D9E71"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b/>
                <w:bCs/>
                <w:color w:val="000000"/>
                <w:kern w:val="0"/>
                <w:sz w:val="22"/>
                <w:szCs w:val="22"/>
                <w:bdr w:val="none" w:sz="0" w:space="0" w:color="auto" w:frame="1"/>
                <w14:ligatures w14:val="none"/>
              </w:rPr>
              <w:t>HHS</w:t>
            </w:r>
          </w:p>
        </w:tc>
      </w:tr>
      <w:tr w:rsidR="0059642B" w:rsidRPr="005C33D2" w14:paraId="67AD0782" w14:textId="77777777" w:rsidTr="005C2261">
        <w:tc>
          <w:tcPr>
            <w:tcW w:w="2430" w:type="dxa"/>
            <w:hideMark/>
          </w:tcPr>
          <w:p w14:paraId="2E56AB18"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Onset</w:t>
            </w:r>
          </w:p>
        </w:tc>
        <w:tc>
          <w:tcPr>
            <w:tcW w:w="3690" w:type="dxa"/>
            <w:hideMark/>
          </w:tcPr>
          <w:p w14:paraId="4DEE71CA"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Rapid (hours to 1-2 days)</w:t>
            </w:r>
          </w:p>
        </w:tc>
        <w:tc>
          <w:tcPr>
            <w:tcW w:w="3330" w:type="dxa"/>
            <w:hideMark/>
          </w:tcPr>
          <w:p w14:paraId="4F902374"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Gradual (several days to weeks)</w:t>
            </w:r>
          </w:p>
        </w:tc>
      </w:tr>
      <w:tr w:rsidR="0059642B" w:rsidRPr="005C33D2" w14:paraId="57530D97" w14:textId="77777777" w:rsidTr="005C2261">
        <w:tc>
          <w:tcPr>
            <w:tcW w:w="2430" w:type="dxa"/>
            <w:hideMark/>
          </w:tcPr>
          <w:p w14:paraId="7405F56B"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Blood glucose</w:t>
            </w:r>
          </w:p>
        </w:tc>
        <w:tc>
          <w:tcPr>
            <w:tcW w:w="3690" w:type="dxa"/>
            <w:hideMark/>
          </w:tcPr>
          <w:p w14:paraId="23A4F8FE"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200-600 mg/dL (11.1-13.3 mmol/L)</w:t>
            </w:r>
          </w:p>
        </w:tc>
        <w:tc>
          <w:tcPr>
            <w:tcW w:w="3330" w:type="dxa"/>
            <w:hideMark/>
          </w:tcPr>
          <w:p w14:paraId="0AF0EA24"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&gt;600 mg/dl (13.3 mmol/L)</w:t>
            </w:r>
          </w:p>
        </w:tc>
      </w:tr>
      <w:tr w:rsidR="0059642B" w:rsidRPr="005C33D2" w14:paraId="48EA93CB" w14:textId="77777777" w:rsidTr="005C2261">
        <w:tc>
          <w:tcPr>
            <w:tcW w:w="2430" w:type="dxa"/>
            <w:hideMark/>
          </w:tcPr>
          <w:p w14:paraId="283D41A2"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Ketones</w:t>
            </w:r>
          </w:p>
        </w:tc>
        <w:tc>
          <w:tcPr>
            <w:tcW w:w="3690" w:type="dxa"/>
            <w:hideMark/>
          </w:tcPr>
          <w:p w14:paraId="510BAD48"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Ketonemia &gt;3 mmol/L or ketonuria 2+ or higher</w:t>
            </w:r>
          </w:p>
        </w:tc>
        <w:tc>
          <w:tcPr>
            <w:tcW w:w="3330" w:type="dxa"/>
            <w:hideMark/>
          </w:tcPr>
          <w:p w14:paraId="48037D4B"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Absent or &lt;3 mmol/L</w:t>
            </w:r>
          </w:p>
        </w:tc>
      </w:tr>
      <w:tr w:rsidR="0059642B" w:rsidRPr="005C33D2" w14:paraId="6E4CFCC7" w14:textId="77777777" w:rsidTr="005C2261">
        <w:tc>
          <w:tcPr>
            <w:tcW w:w="2430" w:type="dxa"/>
            <w:hideMark/>
          </w:tcPr>
          <w:p w14:paraId="6A349BA6"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pH (acidosis)</w:t>
            </w:r>
          </w:p>
        </w:tc>
        <w:tc>
          <w:tcPr>
            <w:tcW w:w="3690" w:type="dxa"/>
            <w:hideMark/>
          </w:tcPr>
          <w:p w14:paraId="7F442563"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&lt;7.3</w:t>
            </w:r>
          </w:p>
        </w:tc>
        <w:tc>
          <w:tcPr>
            <w:tcW w:w="3330" w:type="dxa"/>
            <w:hideMark/>
          </w:tcPr>
          <w:p w14:paraId="745B515B"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≥7.3</w:t>
            </w:r>
          </w:p>
        </w:tc>
      </w:tr>
      <w:tr w:rsidR="0059642B" w:rsidRPr="005C33D2" w14:paraId="56E1888D" w14:textId="77777777" w:rsidTr="005C2261">
        <w:tc>
          <w:tcPr>
            <w:tcW w:w="2430" w:type="dxa"/>
            <w:hideMark/>
          </w:tcPr>
          <w:p w14:paraId="1A8A4DB7"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Bicarbonate</w:t>
            </w:r>
          </w:p>
        </w:tc>
        <w:tc>
          <w:tcPr>
            <w:tcW w:w="3690" w:type="dxa"/>
            <w:hideMark/>
          </w:tcPr>
          <w:p w14:paraId="46D41CDA"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&lt;18 mmol/L</w:t>
            </w:r>
          </w:p>
        </w:tc>
        <w:tc>
          <w:tcPr>
            <w:tcW w:w="3330" w:type="dxa"/>
            <w:hideMark/>
          </w:tcPr>
          <w:p w14:paraId="5263B9F3"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 15 mmol/L</w:t>
            </w:r>
          </w:p>
        </w:tc>
      </w:tr>
      <w:tr w:rsidR="0059642B" w:rsidRPr="005C33D2" w14:paraId="1E509035" w14:textId="77777777" w:rsidTr="005C2261">
        <w:tc>
          <w:tcPr>
            <w:tcW w:w="2430" w:type="dxa"/>
            <w:hideMark/>
          </w:tcPr>
          <w:p w14:paraId="25406AEE"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Osmolality</w:t>
            </w:r>
          </w:p>
        </w:tc>
        <w:tc>
          <w:tcPr>
            <w:tcW w:w="3690" w:type="dxa"/>
            <w:hideMark/>
          </w:tcPr>
          <w:p w14:paraId="335300E8"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Moderately elevated</w:t>
            </w:r>
          </w:p>
        </w:tc>
        <w:tc>
          <w:tcPr>
            <w:tcW w:w="3330" w:type="dxa"/>
            <w:hideMark/>
          </w:tcPr>
          <w:p w14:paraId="125692F6"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Severely elevated (&gt;320 mOsm/kg)</w:t>
            </w:r>
          </w:p>
        </w:tc>
      </w:tr>
      <w:tr w:rsidR="0059642B" w:rsidRPr="005C33D2" w14:paraId="28382AA5" w14:textId="77777777" w:rsidTr="005C2261">
        <w:tc>
          <w:tcPr>
            <w:tcW w:w="2430" w:type="dxa"/>
            <w:hideMark/>
          </w:tcPr>
          <w:p w14:paraId="13B8F482"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Neurological symptoms</w:t>
            </w:r>
          </w:p>
        </w:tc>
        <w:tc>
          <w:tcPr>
            <w:tcW w:w="3690" w:type="dxa"/>
            <w:hideMark/>
          </w:tcPr>
          <w:p w14:paraId="3988DBFE" w14:textId="480ED129" w:rsidR="0059642B" w:rsidRPr="005C33D2" w:rsidRDefault="000721CE" w:rsidP="00727B62">
            <w:pPr>
              <w:spacing w:line="276"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Alert</w:t>
            </w:r>
            <w:r w:rsidR="0059642B" w:rsidRPr="005C33D2">
              <w:rPr>
                <w:rFonts w:ascii="Arial" w:eastAsia="Times New Roman" w:hAnsi="Arial" w:cs="Arial"/>
                <w:color w:val="000000"/>
                <w:kern w:val="0"/>
                <w:sz w:val="22"/>
                <w:szCs w:val="22"/>
                <w14:ligatures w14:val="none"/>
              </w:rPr>
              <w:t xml:space="preserve"> to moderate confusion</w:t>
            </w:r>
          </w:p>
        </w:tc>
        <w:tc>
          <w:tcPr>
            <w:tcW w:w="3330" w:type="dxa"/>
            <w:hideMark/>
          </w:tcPr>
          <w:p w14:paraId="526C8506" w14:textId="77777777" w:rsidR="0059642B" w:rsidRPr="005C33D2" w:rsidRDefault="0059642B" w:rsidP="00727B62">
            <w:pPr>
              <w:spacing w:line="276" w:lineRule="auto"/>
              <w:textAlignment w:val="baseline"/>
              <w:rPr>
                <w:rFonts w:ascii="Arial" w:eastAsia="Times New Roman" w:hAnsi="Arial" w:cs="Arial"/>
                <w:color w:val="000000"/>
                <w:kern w:val="0"/>
                <w:sz w:val="22"/>
                <w:szCs w:val="22"/>
                <w14:ligatures w14:val="none"/>
              </w:rPr>
            </w:pPr>
            <w:r w:rsidRPr="005C33D2">
              <w:rPr>
                <w:rFonts w:ascii="Arial" w:eastAsia="Times New Roman" w:hAnsi="Arial" w:cs="Arial"/>
                <w:color w:val="000000"/>
                <w:kern w:val="0"/>
                <w:sz w:val="22"/>
                <w:szCs w:val="22"/>
                <w14:ligatures w14:val="none"/>
              </w:rPr>
              <w:t>Severe confusion, seizures, coma</w:t>
            </w:r>
          </w:p>
        </w:tc>
      </w:tr>
    </w:tbl>
    <w:p w14:paraId="675BD76F" w14:textId="77777777" w:rsidR="00254AB2" w:rsidRPr="00727B62" w:rsidRDefault="00C94895" w:rsidP="00727B62">
      <w:pPr>
        <w:spacing w:after="0" w:line="276" w:lineRule="auto"/>
        <w:rPr>
          <w:rFonts w:ascii="Arial" w:hAnsi="Arial" w:cs="Arial"/>
          <w:sz w:val="22"/>
          <w:szCs w:val="22"/>
        </w:rPr>
      </w:pPr>
      <w:r w:rsidRPr="00727B62">
        <w:rPr>
          <w:rFonts w:ascii="Arial" w:hAnsi="Arial" w:cs="Arial"/>
          <w:sz w:val="22"/>
          <w:szCs w:val="22"/>
        </w:rPr>
        <w:t xml:space="preserve">From the Endotext chapter entitled </w:t>
      </w:r>
      <w:bookmarkStart w:id="0" w:name="_Hlk211019035"/>
      <w:r w:rsidRPr="00727B62">
        <w:rPr>
          <w:rFonts w:ascii="Arial" w:hAnsi="Arial" w:cs="Arial"/>
          <w:sz w:val="22"/>
          <w:szCs w:val="22"/>
        </w:rPr>
        <w:t>“Hyperglycemic Crises</w:t>
      </w:r>
      <w:r w:rsidR="00254AB2" w:rsidRPr="00727B62">
        <w:rPr>
          <w:rFonts w:ascii="Arial" w:hAnsi="Arial" w:cs="Arial"/>
          <w:sz w:val="22"/>
          <w:szCs w:val="22"/>
        </w:rPr>
        <w:t>”.</w:t>
      </w:r>
    </w:p>
    <w:p w14:paraId="55CBD3F1" w14:textId="60097F0C" w:rsidR="0059642B" w:rsidRPr="00727B62" w:rsidRDefault="00C94895" w:rsidP="00727B62">
      <w:pPr>
        <w:spacing w:after="0" w:line="276" w:lineRule="auto"/>
        <w:rPr>
          <w:rFonts w:ascii="Arial" w:hAnsi="Arial" w:cs="Arial"/>
          <w:sz w:val="22"/>
          <w:szCs w:val="22"/>
        </w:rPr>
      </w:pPr>
      <w:r w:rsidRPr="00727B62">
        <w:rPr>
          <w:rFonts w:ascii="Arial" w:hAnsi="Arial" w:cs="Arial"/>
          <w:sz w:val="22"/>
          <w:szCs w:val="22"/>
        </w:rPr>
        <w:t xml:space="preserve"> </w:t>
      </w:r>
    </w:p>
    <w:bookmarkEnd w:id="0"/>
    <w:p w14:paraId="552B1EFA" w14:textId="77777777" w:rsidR="006E2001" w:rsidRPr="00727B62" w:rsidRDefault="006E2001" w:rsidP="00727B62">
      <w:pPr>
        <w:shd w:val="clear" w:color="auto" w:fill="FFFFFF"/>
        <w:spacing w:after="0" w:line="276" w:lineRule="auto"/>
        <w:textAlignment w:val="baseline"/>
        <w:outlineLvl w:val="1"/>
        <w:rPr>
          <w:rFonts w:ascii="Arial" w:eastAsia="Times New Roman" w:hAnsi="Arial" w:cs="Arial"/>
          <w:b/>
          <w:bCs/>
          <w:color w:val="0070C0"/>
          <w:kern w:val="0"/>
          <w:sz w:val="22"/>
          <w:szCs w:val="22"/>
          <w:bdr w:val="none" w:sz="0" w:space="0" w:color="auto" w:frame="1"/>
          <w14:ligatures w14:val="none"/>
        </w:rPr>
      </w:pPr>
      <w:r w:rsidRPr="006E2001">
        <w:rPr>
          <w:rFonts w:ascii="Arial" w:eastAsia="Times New Roman" w:hAnsi="Arial" w:cs="Arial"/>
          <w:b/>
          <w:bCs/>
          <w:color w:val="0070C0"/>
          <w:kern w:val="0"/>
          <w:sz w:val="22"/>
          <w:szCs w:val="22"/>
          <w:bdr w:val="none" w:sz="0" w:space="0" w:color="auto" w:frame="1"/>
          <w14:ligatures w14:val="none"/>
        </w:rPr>
        <w:t>PRECIPITATING FACTORS</w:t>
      </w:r>
    </w:p>
    <w:p w14:paraId="03C1CB9D" w14:textId="77777777" w:rsidR="006E2001" w:rsidRPr="00727B62" w:rsidRDefault="006E2001" w:rsidP="00727B62">
      <w:pPr>
        <w:shd w:val="clear" w:color="auto" w:fill="FFFFFF"/>
        <w:spacing w:after="0" w:line="276" w:lineRule="auto"/>
        <w:textAlignment w:val="baseline"/>
        <w:outlineLvl w:val="1"/>
        <w:rPr>
          <w:rFonts w:ascii="Arial" w:eastAsia="Times New Roman" w:hAnsi="Arial" w:cs="Arial"/>
          <w:b/>
          <w:bCs/>
          <w:color w:val="0070C0"/>
          <w:kern w:val="0"/>
          <w:sz w:val="22"/>
          <w:szCs w:val="22"/>
          <w:bdr w:val="none" w:sz="0" w:space="0" w:color="auto" w:frame="1"/>
          <w14:ligatures w14:val="none"/>
        </w:rPr>
      </w:pPr>
    </w:p>
    <w:p w14:paraId="556B0B8D" w14:textId="6F63808E" w:rsidR="006E2001" w:rsidRPr="00727B62" w:rsidRDefault="006E2001"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DKA/HHS are usually precipitated by one of the following risk factors (Table </w:t>
      </w:r>
      <w:r w:rsidR="00C64542">
        <w:rPr>
          <w:rFonts w:ascii="Arial" w:eastAsia="Times New Roman" w:hAnsi="Arial" w:cs="Arial"/>
          <w:kern w:val="0"/>
          <w:sz w:val="22"/>
          <w:szCs w:val="22"/>
          <w14:ligatures w14:val="none"/>
        </w:rPr>
        <w:t>5</w:t>
      </w:r>
      <w:r w:rsidRPr="00727B62">
        <w:rPr>
          <w:rFonts w:ascii="Arial" w:eastAsia="Times New Roman" w:hAnsi="Arial" w:cs="Arial"/>
          <w:kern w:val="0"/>
          <w:sz w:val="22"/>
          <w:szCs w:val="22"/>
          <w14:ligatures w14:val="none"/>
        </w:rPr>
        <w:t>).</w:t>
      </w:r>
    </w:p>
    <w:p w14:paraId="05992CB8" w14:textId="77777777" w:rsidR="006E2001" w:rsidRPr="00727B62" w:rsidRDefault="006E2001"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tbl>
      <w:tblPr>
        <w:tblStyle w:val="TableGrid"/>
        <w:tblW w:w="0" w:type="auto"/>
        <w:tblLook w:val="04A0" w:firstRow="1" w:lastRow="0" w:firstColumn="1" w:lastColumn="0" w:noHBand="0" w:noVBand="1"/>
      </w:tblPr>
      <w:tblGrid>
        <w:gridCol w:w="9350"/>
      </w:tblGrid>
      <w:tr w:rsidR="006E2001" w:rsidRPr="00727B62" w14:paraId="43415938" w14:textId="77777777" w:rsidTr="00424ABC">
        <w:tc>
          <w:tcPr>
            <w:tcW w:w="9350" w:type="dxa"/>
            <w:shd w:val="clear" w:color="auto" w:fill="FFFF00"/>
          </w:tcPr>
          <w:p w14:paraId="53BAE072" w14:textId="772D291C" w:rsidR="006E2001" w:rsidRPr="00727B62" w:rsidRDefault="006E2001" w:rsidP="00727B62">
            <w:pPr>
              <w:spacing w:line="276" w:lineRule="auto"/>
              <w:textAlignment w:val="baseline"/>
              <w:outlineLvl w:val="1"/>
              <w:rPr>
                <w:rFonts w:ascii="Arial" w:eastAsia="Times New Roman" w:hAnsi="Arial" w:cs="Arial"/>
                <w:b/>
                <w:bCs/>
                <w:kern w:val="0"/>
                <w:sz w:val="22"/>
                <w:szCs w:val="22"/>
                <w14:ligatures w14:val="none"/>
              </w:rPr>
            </w:pPr>
            <w:r w:rsidRPr="00727B62">
              <w:rPr>
                <w:rFonts w:ascii="Arial" w:eastAsia="Times New Roman" w:hAnsi="Arial" w:cs="Arial"/>
                <w:b/>
                <w:bCs/>
                <w:kern w:val="0"/>
                <w:sz w:val="22"/>
                <w:szCs w:val="22"/>
                <w14:ligatures w14:val="none"/>
              </w:rPr>
              <w:t xml:space="preserve">Table </w:t>
            </w:r>
            <w:r w:rsidR="00C64542">
              <w:rPr>
                <w:rFonts w:ascii="Arial" w:eastAsia="Times New Roman" w:hAnsi="Arial" w:cs="Arial"/>
                <w:b/>
                <w:bCs/>
                <w:kern w:val="0"/>
                <w:sz w:val="22"/>
                <w:szCs w:val="22"/>
                <w14:ligatures w14:val="none"/>
              </w:rPr>
              <w:t>5</w:t>
            </w:r>
            <w:r w:rsidRPr="00727B62">
              <w:rPr>
                <w:rFonts w:ascii="Arial" w:eastAsia="Times New Roman" w:hAnsi="Arial" w:cs="Arial"/>
                <w:b/>
                <w:bCs/>
                <w:kern w:val="0"/>
                <w:sz w:val="22"/>
                <w:szCs w:val="22"/>
                <w14:ligatures w14:val="none"/>
              </w:rPr>
              <w:t xml:space="preserve">. </w:t>
            </w:r>
            <w:r w:rsidR="00424ABC" w:rsidRPr="00727B62">
              <w:rPr>
                <w:rFonts w:ascii="Arial" w:eastAsia="Times New Roman" w:hAnsi="Arial" w:cs="Arial"/>
                <w:b/>
                <w:bCs/>
                <w:kern w:val="0"/>
                <w:sz w:val="22"/>
                <w:szCs w:val="22"/>
                <w14:ligatures w14:val="none"/>
              </w:rPr>
              <w:t>Precipitating Factors Leading to DKA/HSS</w:t>
            </w:r>
          </w:p>
        </w:tc>
      </w:tr>
      <w:tr w:rsidR="006E2001" w:rsidRPr="00727B62" w14:paraId="0CB2C75F" w14:textId="77777777" w:rsidTr="006E2001">
        <w:tc>
          <w:tcPr>
            <w:tcW w:w="9350" w:type="dxa"/>
          </w:tcPr>
          <w:p w14:paraId="3D089116" w14:textId="75FC5CF0" w:rsidR="006E2001" w:rsidRPr="00727B62" w:rsidRDefault="00424ABC" w:rsidP="00727B62">
            <w:pPr>
              <w:spacing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Lack of insulin due to omission or suboptimal treatment regimens</w:t>
            </w:r>
          </w:p>
        </w:tc>
      </w:tr>
      <w:tr w:rsidR="006E2001" w:rsidRPr="00727B62" w14:paraId="61B90DD7" w14:textId="77777777" w:rsidTr="006E2001">
        <w:tc>
          <w:tcPr>
            <w:tcW w:w="9350" w:type="dxa"/>
          </w:tcPr>
          <w:p w14:paraId="41973AD6" w14:textId="377D7E96" w:rsidR="006E2001" w:rsidRPr="00727B62" w:rsidRDefault="00424ABC" w:rsidP="00727B62">
            <w:pPr>
              <w:spacing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Infection</w:t>
            </w:r>
            <w:r w:rsidR="00492AC7" w:rsidRPr="00727B62">
              <w:rPr>
                <w:rFonts w:ascii="Arial" w:eastAsia="Times New Roman" w:hAnsi="Arial" w:cs="Arial"/>
                <w:kern w:val="0"/>
                <w:sz w:val="22"/>
                <w:szCs w:val="22"/>
                <w14:ligatures w14:val="none"/>
              </w:rPr>
              <w:t>s such as urinary tract infections, pneumonia, skin infections</w:t>
            </w:r>
          </w:p>
        </w:tc>
      </w:tr>
      <w:tr w:rsidR="006E2001" w:rsidRPr="00727B62" w14:paraId="38256A23" w14:textId="77777777" w:rsidTr="006E2001">
        <w:tc>
          <w:tcPr>
            <w:tcW w:w="9350" w:type="dxa"/>
          </w:tcPr>
          <w:p w14:paraId="1354D2BD" w14:textId="63EE5D84" w:rsidR="006E2001" w:rsidRPr="00727B62" w:rsidRDefault="00424ABC" w:rsidP="00727B62">
            <w:pPr>
              <w:spacing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New diagnosis of diabetes</w:t>
            </w:r>
          </w:p>
        </w:tc>
      </w:tr>
      <w:tr w:rsidR="001C59B6" w:rsidRPr="00727B62" w14:paraId="17303745" w14:textId="77777777" w:rsidTr="006E2001">
        <w:tc>
          <w:tcPr>
            <w:tcW w:w="9350" w:type="dxa"/>
          </w:tcPr>
          <w:p w14:paraId="3157FA75" w14:textId="4B0DFE57" w:rsidR="001C59B6" w:rsidRPr="00727B62" w:rsidRDefault="001C59B6" w:rsidP="001C59B6">
            <w:pPr>
              <w:spacing w:line="276" w:lineRule="auto"/>
              <w:textAlignment w:val="baseline"/>
              <w:outlineLvl w:val="1"/>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w:t>
            </w:r>
            <w:r w:rsidRPr="001C59B6">
              <w:rPr>
                <w:rFonts w:ascii="Arial" w:eastAsia="Times New Roman" w:hAnsi="Arial" w:cs="Arial"/>
                <w:kern w:val="0"/>
                <w:sz w:val="22"/>
                <w:szCs w:val="22"/>
                <w14:ligatures w14:val="none"/>
              </w:rPr>
              <w:t>sychological</w:t>
            </w:r>
            <w:r>
              <w:rPr>
                <w:rFonts w:ascii="Arial" w:eastAsia="Times New Roman" w:hAnsi="Arial" w:cs="Arial"/>
                <w:kern w:val="0"/>
                <w:sz w:val="22"/>
                <w:szCs w:val="22"/>
                <w14:ligatures w14:val="none"/>
              </w:rPr>
              <w:t xml:space="preserve"> </w:t>
            </w:r>
            <w:r w:rsidRPr="001C59B6">
              <w:rPr>
                <w:rFonts w:ascii="Arial" w:eastAsia="Times New Roman" w:hAnsi="Arial" w:cs="Arial"/>
                <w:kern w:val="0"/>
                <w:sz w:val="22"/>
                <w:szCs w:val="22"/>
                <w14:ligatures w14:val="none"/>
              </w:rPr>
              <w:t>stress</w:t>
            </w:r>
          </w:p>
        </w:tc>
      </w:tr>
      <w:tr w:rsidR="00DD48B3" w:rsidRPr="00727B62" w14:paraId="758AD678" w14:textId="77777777" w:rsidTr="006E2001">
        <w:tc>
          <w:tcPr>
            <w:tcW w:w="9350" w:type="dxa"/>
          </w:tcPr>
          <w:p w14:paraId="100A4878" w14:textId="5A41257D" w:rsidR="00DD48B3" w:rsidRDefault="00DD48B3" w:rsidP="00DD48B3">
            <w:pPr>
              <w:spacing w:line="276" w:lineRule="auto"/>
              <w:textAlignment w:val="baseline"/>
              <w:outlineLvl w:val="1"/>
              <w:rPr>
                <w:rFonts w:ascii="Arial" w:eastAsia="Times New Roman" w:hAnsi="Arial" w:cs="Arial"/>
                <w:kern w:val="0"/>
                <w:sz w:val="22"/>
                <w:szCs w:val="22"/>
                <w14:ligatures w14:val="none"/>
              </w:rPr>
            </w:pPr>
            <w:r>
              <w:t>A</w:t>
            </w:r>
            <w:r w:rsidRPr="009B2BB7">
              <w:t>lcohol and substance</w:t>
            </w:r>
            <w:r>
              <w:t xml:space="preserve"> use</w:t>
            </w:r>
          </w:p>
        </w:tc>
      </w:tr>
      <w:tr w:rsidR="006E2001" w:rsidRPr="00727B62" w14:paraId="69D8D76A" w14:textId="77777777" w:rsidTr="006E2001">
        <w:tc>
          <w:tcPr>
            <w:tcW w:w="9350" w:type="dxa"/>
          </w:tcPr>
          <w:p w14:paraId="0E659384" w14:textId="62E416C3" w:rsidR="006E2001" w:rsidRPr="00727B62" w:rsidRDefault="00424ABC" w:rsidP="00727B62">
            <w:pPr>
              <w:spacing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Medical or surgical emergencies such as myocardial infarction, stroke, or trauma</w:t>
            </w:r>
          </w:p>
        </w:tc>
      </w:tr>
      <w:tr w:rsidR="00424ABC" w:rsidRPr="00727B62" w14:paraId="7E711359" w14:textId="77777777" w:rsidTr="006E2001">
        <w:tc>
          <w:tcPr>
            <w:tcW w:w="9350" w:type="dxa"/>
          </w:tcPr>
          <w:p w14:paraId="2B3DD715" w14:textId="35DC367F" w:rsidR="00424ABC" w:rsidRPr="00727B62" w:rsidRDefault="00424ABC" w:rsidP="00DF59CB">
            <w:pPr>
              <w:spacing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Medications such as glucocorticoids, </w:t>
            </w:r>
            <w:r w:rsidR="00302A2A">
              <w:rPr>
                <w:rFonts w:ascii="Arial" w:eastAsia="Times New Roman" w:hAnsi="Arial" w:cs="Arial"/>
                <w:kern w:val="0"/>
                <w:sz w:val="22"/>
                <w:szCs w:val="22"/>
                <w14:ligatures w14:val="none"/>
              </w:rPr>
              <w:t>a</w:t>
            </w:r>
            <w:r w:rsidR="00DF59CB" w:rsidRPr="00DF59CB">
              <w:rPr>
                <w:rFonts w:ascii="Arial" w:eastAsia="Times New Roman" w:hAnsi="Arial" w:cs="Arial"/>
                <w:kern w:val="0"/>
                <w:sz w:val="22"/>
                <w:szCs w:val="22"/>
                <w14:ligatures w14:val="none"/>
              </w:rPr>
              <w:t>ntipsychotic medications</w:t>
            </w:r>
            <w:r w:rsidR="00302A2A">
              <w:rPr>
                <w:rFonts w:ascii="Arial" w:eastAsia="Times New Roman" w:hAnsi="Arial" w:cs="Arial"/>
                <w:kern w:val="0"/>
                <w:sz w:val="22"/>
                <w:szCs w:val="22"/>
                <w14:ligatures w14:val="none"/>
              </w:rPr>
              <w:t xml:space="preserve">, </w:t>
            </w:r>
            <w:r w:rsidRPr="00727B62">
              <w:rPr>
                <w:rFonts w:ascii="Arial" w:eastAsia="Times New Roman" w:hAnsi="Arial" w:cs="Arial"/>
                <w:kern w:val="0"/>
                <w:sz w:val="22"/>
                <w:szCs w:val="22"/>
                <w14:ligatures w14:val="none"/>
              </w:rPr>
              <w:t>SGLT2 inhibitors,</w:t>
            </w:r>
            <w:r w:rsidRPr="00727B62">
              <w:rPr>
                <w:rFonts w:ascii="Arial" w:hAnsi="Arial" w:cs="Arial"/>
                <w:sz w:val="22"/>
                <w:szCs w:val="22"/>
              </w:rPr>
              <w:t xml:space="preserve"> </w:t>
            </w:r>
            <w:r w:rsidRPr="00727B62">
              <w:rPr>
                <w:rFonts w:ascii="Arial" w:eastAsia="Times New Roman" w:hAnsi="Arial" w:cs="Arial"/>
                <w:kern w:val="0"/>
                <w:sz w:val="22"/>
                <w:szCs w:val="22"/>
                <w14:ligatures w14:val="none"/>
              </w:rPr>
              <w:t xml:space="preserve">immune checkpoint inhibitors </w:t>
            </w:r>
          </w:p>
        </w:tc>
      </w:tr>
    </w:tbl>
    <w:p w14:paraId="41E6B513" w14:textId="78C0E1EA" w:rsidR="006E2001" w:rsidRPr="00727B62" w:rsidRDefault="00492AC7"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SGLT2 inhibitors may cause DKA without elevations of blood glucose (“euglycemic</w:t>
      </w:r>
      <w:r w:rsidR="00A6468D">
        <w:rPr>
          <w:rFonts w:ascii="Arial" w:eastAsia="Times New Roman" w:hAnsi="Arial" w:cs="Arial"/>
          <w:kern w:val="0"/>
          <w:sz w:val="22"/>
          <w:szCs w:val="22"/>
          <w14:ligatures w14:val="none"/>
        </w:rPr>
        <w:t>”</w:t>
      </w:r>
      <w:r w:rsidRPr="00727B62">
        <w:rPr>
          <w:rFonts w:ascii="Arial" w:eastAsia="Times New Roman" w:hAnsi="Arial" w:cs="Arial"/>
          <w:kern w:val="0"/>
          <w:sz w:val="22"/>
          <w:szCs w:val="22"/>
          <w14:ligatures w14:val="none"/>
        </w:rPr>
        <w:t xml:space="preserve"> DKA)</w:t>
      </w:r>
      <w:r w:rsidR="00A6468D">
        <w:rPr>
          <w:rFonts w:ascii="Arial" w:eastAsia="Times New Roman" w:hAnsi="Arial" w:cs="Arial"/>
          <w:kern w:val="0"/>
          <w:sz w:val="22"/>
          <w:szCs w:val="22"/>
          <w14:ligatures w14:val="none"/>
        </w:rPr>
        <w:t>.</w:t>
      </w:r>
    </w:p>
    <w:p w14:paraId="6CB61A6A" w14:textId="77777777" w:rsidR="00492AC7" w:rsidRPr="00727B62" w:rsidRDefault="00492AC7"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237DA865" w14:textId="26AD9B55" w:rsidR="00424ABC" w:rsidRPr="00727B62" w:rsidRDefault="00424ABC" w:rsidP="00727B62">
      <w:pPr>
        <w:shd w:val="clear" w:color="auto" w:fill="FFFFFF"/>
        <w:spacing w:after="0" w:line="276" w:lineRule="auto"/>
        <w:textAlignment w:val="baseline"/>
        <w:outlineLvl w:val="1"/>
        <w:rPr>
          <w:rFonts w:ascii="Arial" w:eastAsia="Times New Roman" w:hAnsi="Arial" w:cs="Arial"/>
          <w:b/>
          <w:bCs/>
          <w:color w:val="0070C0"/>
          <w:kern w:val="0"/>
          <w:sz w:val="22"/>
          <w:szCs w:val="22"/>
          <w14:ligatures w14:val="none"/>
        </w:rPr>
      </w:pPr>
      <w:r w:rsidRPr="00727B62">
        <w:rPr>
          <w:rFonts w:ascii="Arial" w:eastAsia="Times New Roman" w:hAnsi="Arial" w:cs="Arial"/>
          <w:b/>
          <w:bCs/>
          <w:color w:val="0070C0"/>
          <w:kern w:val="0"/>
          <w:sz w:val="22"/>
          <w:szCs w:val="22"/>
          <w14:ligatures w14:val="none"/>
        </w:rPr>
        <w:t>PATHOGENESIS</w:t>
      </w:r>
    </w:p>
    <w:p w14:paraId="68F23503" w14:textId="77777777" w:rsidR="00424ABC" w:rsidRPr="00727B62" w:rsidRDefault="00424ABC"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2ED28482" w14:textId="18A7FF41" w:rsidR="00424ABC" w:rsidRPr="00727B62" w:rsidRDefault="00424ABC"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DKA results from severe insulin deficiency in the presence of increased counterregulatory hormones, including glucagon, cortisol, epinephrine, and growth hormone, which in turn leads to increased gluconeogenesis, accelerated glycogenolysis, and impaired peripheral glucose uptake</w:t>
      </w:r>
      <w:r w:rsidR="00940178">
        <w:rPr>
          <w:rFonts w:ascii="Arial" w:eastAsia="Times New Roman" w:hAnsi="Arial" w:cs="Arial"/>
          <w:kern w:val="0"/>
          <w:sz w:val="22"/>
          <w:szCs w:val="22"/>
          <w14:ligatures w14:val="none"/>
        </w:rPr>
        <w:t xml:space="preserve"> resulting in hyperglycemia</w:t>
      </w:r>
      <w:r w:rsidRPr="00727B62">
        <w:rPr>
          <w:rFonts w:ascii="Arial" w:eastAsia="Times New Roman" w:hAnsi="Arial" w:cs="Arial"/>
          <w:kern w:val="0"/>
          <w:sz w:val="22"/>
          <w:szCs w:val="22"/>
          <w14:ligatures w14:val="none"/>
        </w:rPr>
        <w:t xml:space="preserve">. The combination of insulin deficiency and heightened counterregulatory hormone activity </w:t>
      </w:r>
      <w:r w:rsidR="008E4046" w:rsidRPr="00727B62">
        <w:rPr>
          <w:rFonts w:ascii="Arial" w:eastAsia="Times New Roman" w:hAnsi="Arial" w:cs="Arial"/>
          <w:kern w:val="0"/>
          <w:sz w:val="22"/>
          <w:szCs w:val="22"/>
          <w14:ligatures w14:val="none"/>
        </w:rPr>
        <w:t>stimulate</w:t>
      </w:r>
      <w:r w:rsidRPr="00727B62">
        <w:rPr>
          <w:rFonts w:ascii="Arial" w:eastAsia="Times New Roman" w:hAnsi="Arial" w:cs="Arial"/>
          <w:kern w:val="0"/>
          <w:sz w:val="22"/>
          <w:szCs w:val="22"/>
          <w14:ligatures w14:val="none"/>
        </w:rPr>
        <w:t xml:space="preserve"> lipolysis in adipose tissue resulting in </w:t>
      </w:r>
      <w:r w:rsidR="008E4046" w:rsidRPr="00727B62">
        <w:rPr>
          <w:rFonts w:ascii="Arial" w:eastAsia="Times New Roman" w:hAnsi="Arial" w:cs="Arial"/>
          <w:kern w:val="0"/>
          <w:sz w:val="22"/>
          <w:szCs w:val="22"/>
          <w14:ligatures w14:val="none"/>
        </w:rPr>
        <w:t>the</w:t>
      </w:r>
      <w:r w:rsidRPr="00727B62">
        <w:rPr>
          <w:rFonts w:ascii="Arial" w:eastAsia="Times New Roman" w:hAnsi="Arial" w:cs="Arial"/>
          <w:kern w:val="0"/>
          <w:sz w:val="22"/>
          <w:szCs w:val="22"/>
          <w14:ligatures w14:val="none"/>
        </w:rPr>
        <w:t xml:space="preserve"> release of free fatty acids. </w:t>
      </w:r>
      <w:r w:rsidR="008E4046" w:rsidRPr="00727B62">
        <w:rPr>
          <w:rFonts w:ascii="Arial" w:eastAsia="Times New Roman" w:hAnsi="Arial" w:cs="Arial"/>
          <w:kern w:val="0"/>
          <w:sz w:val="22"/>
          <w:szCs w:val="22"/>
          <w14:ligatures w14:val="none"/>
        </w:rPr>
        <w:t>F</w:t>
      </w:r>
      <w:r w:rsidRPr="00727B62">
        <w:rPr>
          <w:rFonts w:ascii="Arial" w:eastAsia="Times New Roman" w:hAnsi="Arial" w:cs="Arial"/>
          <w:kern w:val="0"/>
          <w:sz w:val="22"/>
          <w:szCs w:val="22"/>
          <w14:ligatures w14:val="none"/>
        </w:rPr>
        <w:t xml:space="preserve">ree fatty acids are </w:t>
      </w:r>
      <w:r w:rsidR="004A28D5">
        <w:rPr>
          <w:rFonts w:ascii="Arial" w:eastAsia="Times New Roman" w:hAnsi="Arial" w:cs="Arial"/>
          <w:kern w:val="0"/>
          <w:sz w:val="22"/>
          <w:szCs w:val="22"/>
          <w14:ligatures w14:val="none"/>
        </w:rPr>
        <w:t>metabolized</w:t>
      </w:r>
      <w:r w:rsidRPr="00727B62">
        <w:rPr>
          <w:rFonts w:ascii="Arial" w:eastAsia="Times New Roman" w:hAnsi="Arial" w:cs="Arial"/>
          <w:kern w:val="0"/>
          <w:sz w:val="22"/>
          <w:szCs w:val="22"/>
          <w14:ligatures w14:val="none"/>
        </w:rPr>
        <w:t xml:space="preserve"> in the liver, leading to increased ketone production, ketonemia, and metabolic acidosis.</w:t>
      </w:r>
      <w:r w:rsidR="008E4046" w:rsidRPr="00727B62">
        <w:rPr>
          <w:rFonts w:ascii="Arial" w:hAnsi="Arial" w:cs="Arial"/>
          <w:sz w:val="22"/>
          <w:szCs w:val="22"/>
        </w:rPr>
        <w:t xml:space="preserve"> </w:t>
      </w:r>
      <w:r w:rsidR="008E4046" w:rsidRPr="00727B62">
        <w:rPr>
          <w:rFonts w:ascii="Arial" w:eastAsia="Times New Roman" w:hAnsi="Arial" w:cs="Arial"/>
          <w:kern w:val="0"/>
          <w:sz w:val="22"/>
          <w:szCs w:val="22"/>
          <w14:ligatures w14:val="none"/>
        </w:rPr>
        <w:t xml:space="preserve">The primary distinction between DKA and HHS </w:t>
      </w:r>
      <w:r w:rsidR="004A28D5">
        <w:rPr>
          <w:rFonts w:ascii="Arial" w:eastAsia="Times New Roman" w:hAnsi="Arial" w:cs="Arial"/>
          <w:kern w:val="0"/>
          <w:sz w:val="22"/>
          <w:szCs w:val="22"/>
          <w14:ligatures w14:val="none"/>
        </w:rPr>
        <w:t>is</w:t>
      </w:r>
      <w:r w:rsidR="008E4046" w:rsidRPr="00727B62">
        <w:rPr>
          <w:rFonts w:ascii="Arial" w:eastAsia="Times New Roman" w:hAnsi="Arial" w:cs="Arial"/>
          <w:kern w:val="0"/>
          <w:sz w:val="22"/>
          <w:szCs w:val="22"/>
          <w14:ligatures w14:val="none"/>
        </w:rPr>
        <w:t xml:space="preserve"> the degree of insulin </w:t>
      </w:r>
      <w:r w:rsidR="004A28D5">
        <w:rPr>
          <w:rFonts w:ascii="Arial" w:eastAsia="Times New Roman" w:hAnsi="Arial" w:cs="Arial"/>
          <w:kern w:val="0"/>
          <w:sz w:val="22"/>
          <w:szCs w:val="22"/>
          <w14:ligatures w14:val="none"/>
        </w:rPr>
        <w:t>deficiency</w:t>
      </w:r>
      <w:r w:rsidR="008E4046" w:rsidRPr="00727B62">
        <w:rPr>
          <w:rFonts w:ascii="Arial" w:eastAsia="Times New Roman" w:hAnsi="Arial" w:cs="Arial"/>
          <w:kern w:val="0"/>
          <w:sz w:val="22"/>
          <w:szCs w:val="22"/>
          <w14:ligatures w14:val="none"/>
        </w:rPr>
        <w:t xml:space="preserve">. In HHS, there is relative insulin deficiency and residual insulin is enough to suppress lipolysis and prevent ketogenesis, but inadequate to regulate </w:t>
      </w:r>
      <w:r w:rsidR="008E4046" w:rsidRPr="00727B62">
        <w:rPr>
          <w:rFonts w:ascii="Arial" w:eastAsia="Times New Roman" w:hAnsi="Arial" w:cs="Arial"/>
          <w:kern w:val="0"/>
          <w:sz w:val="22"/>
          <w:szCs w:val="22"/>
          <w14:ligatures w14:val="none"/>
        </w:rPr>
        <w:lastRenderedPageBreak/>
        <w:t>hyperglycemia. Severe hyperglycemia leads to osmotic diuresis and subsequently to volume</w:t>
      </w:r>
      <w:r w:rsidR="004A28D5">
        <w:rPr>
          <w:rFonts w:ascii="Arial" w:eastAsia="Times New Roman" w:hAnsi="Arial" w:cs="Arial"/>
          <w:kern w:val="0"/>
          <w:sz w:val="22"/>
          <w:szCs w:val="22"/>
          <w14:ligatures w14:val="none"/>
        </w:rPr>
        <w:t xml:space="preserve"> and electrolyte</w:t>
      </w:r>
      <w:r w:rsidR="008E4046" w:rsidRPr="00727B62">
        <w:rPr>
          <w:rFonts w:ascii="Arial" w:eastAsia="Times New Roman" w:hAnsi="Arial" w:cs="Arial"/>
          <w:kern w:val="0"/>
          <w:sz w:val="22"/>
          <w:szCs w:val="22"/>
          <w14:ligatures w14:val="none"/>
        </w:rPr>
        <w:t xml:space="preserve"> depletion. Increased thirst is often not sufficient to compensate for these losses and as a result osmolality rises, renal filtration declines, and as HHS progresses, severe dehydration ensues, frequently followed by cognitive impairment.</w:t>
      </w:r>
    </w:p>
    <w:p w14:paraId="53D5EA26" w14:textId="77777777" w:rsidR="008E4046" w:rsidRPr="00727B62" w:rsidRDefault="008E4046"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37F09F02" w14:textId="77777777" w:rsidR="008E4046" w:rsidRPr="00727B62" w:rsidRDefault="008E4046" w:rsidP="00727B62">
      <w:pPr>
        <w:spacing w:after="0" w:line="276" w:lineRule="auto"/>
        <w:rPr>
          <w:rFonts w:ascii="Arial" w:eastAsia="Times" w:hAnsi="Arial" w:cs="Arial"/>
          <w:b/>
          <w:bCs/>
          <w:color w:val="0070C0"/>
          <w:kern w:val="0"/>
          <w:sz w:val="22"/>
          <w:szCs w:val="22"/>
          <w14:ligatures w14:val="none"/>
        </w:rPr>
      </w:pPr>
      <w:r w:rsidRPr="008E4046">
        <w:rPr>
          <w:rFonts w:ascii="Arial" w:eastAsia="Times" w:hAnsi="Arial" w:cs="Arial"/>
          <w:b/>
          <w:bCs/>
          <w:color w:val="0070C0"/>
          <w:kern w:val="0"/>
          <w:sz w:val="22"/>
          <w:szCs w:val="22"/>
          <w14:ligatures w14:val="none"/>
        </w:rPr>
        <w:t xml:space="preserve">DIAGNOSTIC TESTS NEEDED </w:t>
      </w:r>
    </w:p>
    <w:p w14:paraId="466AA851" w14:textId="77777777" w:rsidR="008E4046" w:rsidRPr="00727B62" w:rsidRDefault="008E4046" w:rsidP="00727B62">
      <w:pPr>
        <w:spacing w:after="0" w:line="276" w:lineRule="auto"/>
        <w:rPr>
          <w:rFonts w:ascii="Arial" w:eastAsia="Times" w:hAnsi="Arial" w:cs="Arial"/>
          <w:b/>
          <w:bCs/>
          <w:kern w:val="0"/>
          <w:sz w:val="22"/>
          <w:szCs w:val="22"/>
          <w14:ligatures w14:val="none"/>
        </w:rPr>
      </w:pPr>
    </w:p>
    <w:p w14:paraId="05BBB331" w14:textId="5720F6DD" w:rsidR="008E4046" w:rsidRPr="00727B62" w:rsidRDefault="008E4046" w:rsidP="00727B62">
      <w:pPr>
        <w:spacing w:after="0" w:line="276" w:lineRule="auto"/>
        <w:rPr>
          <w:rFonts w:ascii="Arial" w:eastAsia="Times" w:hAnsi="Arial" w:cs="Arial"/>
          <w:kern w:val="0"/>
          <w:sz w:val="22"/>
          <w:szCs w:val="22"/>
          <w14:ligatures w14:val="none"/>
        </w:rPr>
      </w:pPr>
      <w:r w:rsidRPr="00727B62">
        <w:rPr>
          <w:rFonts w:ascii="Arial" w:eastAsia="Times" w:hAnsi="Arial" w:cs="Arial"/>
          <w:kern w:val="0"/>
          <w:sz w:val="22"/>
          <w:szCs w:val="22"/>
          <w14:ligatures w14:val="none"/>
        </w:rPr>
        <w:t>Plasma glucose, electrolytes</w:t>
      </w:r>
      <w:r w:rsidR="00492AC7" w:rsidRPr="00727B62">
        <w:rPr>
          <w:rFonts w:ascii="Arial" w:eastAsia="Times" w:hAnsi="Arial" w:cs="Arial"/>
          <w:kern w:val="0"/>
          <w:sz w:val="22"/>
          <w:szCs w:val="22"/>
          <w14:ligatures w14:val="none"/>
        </w:rPr>
        <w:t xml:space="preserve">, BUN, creatinine, </w:t>
      </w:r>
      <w:r w:rsidR="008B7585" w:rsidRPr="008B7585">
        <w:rPr>
          <w:rFonts w:ascii="Arial" w:eastAsia="Times" w:hAnsi="Arial" w:cs="Arial"/>
          <w:kern w:val="0"/>
          <w:sz w:val="22"/>
          <w:szCs w:val="22"/>
          <w14:ligatures w14:val="none"/>
        </w:rPr>
        <w:t>phosphate,</w:t>
      </w:r>
      <w:r w:rsidR="008B7585">
        <w:rPr>
          <w:rFonts w:ascii="Arial" w:eastAsia="Times" w:hAnsi="Arial" w:cs="Arial"/>
          <w:kern w:val="0"/>
          <w:sz w:val="22"/>
          <w:szCs w:val="22"/>
          <w14:ligatures w14:val="none"/>
        </w:rPr>
        <w:t xml:space="preserve"> </w:t>
      </w:r>
      <w:r w:rsidR="00492AC7" w:rsidRPr="00727B62">
        <w:rPr>
          <w:rFonts w:ascii="Arial" w:eastAsia="Times" w:hAnsi="Arial" w:cs="Arial"/>
          <w:kern w:val="0"/>
          <w:sz w:val="22"/>
          <w:szCs w:val="22"/>
          <w14:ligatures w14:val="none"/>
        </w:rPr>
        <w:t>liver function tests</w:t>
      </w:r>
      <w:r w:rsidRPr="00727B62">
        <w:rPr>
          <w:rFonts w:ascii="Arial" w:eastAsia="Times" w:hAnsi="Arial" w:cs="Arial"/>
          <w:kern w:val="0"/>
          <w:sz w:val="22"/>
          <w:szCs w:val="22"/>
          <w14:ligatures w14:val="none"/>
        </w:rPr>
        <w:t xml:space="preserve">, osmolality, plasma β-hydroxybutyrate, complete blood count with differential, urinalysis, and </w:t>
      </w:r>
      <w:r w:rsidR="004F1AA2" w:rsidRPr="00727B62">
        <w:rPr>
          <w:rFonts w:ascii="Arial" w:eastAsia="Times" w:hAnsi="Arial" w:cs="Arial"/>
          <w:kern w:val="0"/>
          <w:sz w:val="22"/>
          <w:szCs w:val="22"/>
          <w14:ligatures w14:val="none"/>
        </w:rPr>
        <w:t>arterial</w:t>
      </w:r>
      <w:r w:rsidR="004F1AA2">
        <w:rPr>
          <w:rFonts w:ascii="Arial" w:eastAsia="Times" w:hAnsi="Arial" w:cs="Arial"/>
          <w:kern w:val="0"/>
          <w:sz w:val="22"/>
          <w:szCs w:val="22"/>
          <w14:ligatures w14:val="none"/>
        </w:rPr>
        <w:t xml:space="preserve"> or</w:t>
      </w:r>
      <w:r w:rsidR="008B7585">
        <w:rPr>
          <w:rFonts w:ascii="Arial" w:eastAsia="Times" w:hAnsi="Arial" w:cs="Arial"/>
          <w:kern w:val="0"/>
          <w:sz w:val="22"/>
          <w:szCs w:val="22"/>
          <w14:ligatures w14:val="none"/>
        </w:rPr>
        <w:t xml:space="preserve"> </w:t>
      </w:r>
      <w:r w:rsidR="004F1AA2">
        <w:rPr>
          <w:rFonts w:ascii="Arial" w:eastAsia="Times" w:hAnsi="Arial" w:cs="Arial"/>
          <w:kern w:val="0"/>
          <w:sz w:val="22"/>
          <w:szCs w:val="22"/>
          <w14:ligatures w14:val="none"/>
        </w:rPr>
        <w:t xml:space="preserve">veinous </w:t>
      </w:r>
      <w:r w:rsidR="00F803F8">
        <w:rPr>
          <w:rFonts w:ascii="Arial" w:eastAsia="Times" w:hAnsi="Arial" w:cs="Arial"/>
          <w:kern w:val="0"/>
          <w:sz w:val="22"/>
          <w:szCs w:val="22"/>
          <w14:ligatures w14:val="none"/>
        </w:rPr>
        <w:t>pH</w:t>
      </w:r>
      <w:r w:rsidRPr="00727B62">
        <w:rPr>
          <w:rFonts w:ascii="Arial" w:eastAsia="Times" w:hAnsi="Arial" w:cs="Arial"/>
          <w:kern w:val="0"/>
          <w:sz w:val="22"/>
          <w:szCs w:val="22"/>
          <w14:ligatures w14:val="none"/>
        </w:rPr>
        <w:t xml:space="preserve">. </w:t>
      </w:r>
      <w:r w:rsidR="00492AC7" w:rsidRPr="00727B62">
        <w:rPr>
          <w:rFonts w:ascii="Arial" w:eastAsia="Times" w:hAnsi="Arial" w:cs="Arial"/>
          <w:kern w:val="0"/>
          <w:sz w:val="22"/>
          <w:szCs w:val="22"/>
          <w14:ligatures w14:val="none"/>
        </w:rPr>
        <w:t xml:space="preserve">Depending upon the circumstances an electrocardiogram, chest X-ray, </w:t>
      </w:r>
      <w:r w:rsidR="00DB4B6C">
        <w:rPr>
          <w:rFonts w:ascii="Arial" w:eastAsia="Times" w:hAnsi="Arial" w:cs="Arial"/>
          <w:kern w:val="0"/>
          <w:sz w:val="22"/>
          <w:szCs w:val="22"/>
          <w14:ligatures w14:val="none"/>
        </w:rPr>
        <w:t xml:space="preserve">head CT, </w:t>
      </w:r>
      <w:r w:rsidR="00492AC7" w:rsidRPr="00727B62">
        <w:rPr>
          <w:rFonts w:ascii="Arial" w:eastAsia="Times" w:hAnsi="Arial" w:cs="Arial"/>
          <w:kern w:val="0"/>
          <w:sz w:val="22"/>
          <w:szCs w:val="22"/>
          <w14:ligatures w14:val="none"/>
        </w:rPr>
        <w:t>blood</w:t>
      </w:r>
      <w:r w:rsidR="00370CFC">
        <w:rPr>
          <w:rFonts w:ascii="Arial" w:eastAsia="Times" w:hAnsi="Arial" w:cs="Arial"/>
          <w:kern w:val="0"/>
          <w:sz w:val="22"/>
          <w:szCs w:val="22"/>
          <w14:ligatures w14:val="none"/>
        </w:rPr>
        <w:t>, sputum</w:t>
      </w:r>
      <w:r w:rsidR="00DB4B6C">
        <w:rPr>
          <w:rFonts w:ascii="Arial" w:eastAsia="Times" w:hAnsi="Arial" w:cs="Arial"/>
          <w:kern w:val="0"/>
          <w:sz w:val="22"/>
          <w:szCs w:val="22"/>
          <w14:ligatures w14:val="none"/>
        </w:rPr>
        <w:t>,</w:t>
      </w:r>
      <w:r w:rsidR="00492AC7" w:rsidRPr="00727B62">
        <w:rPr>
          <w:rFonts w:ascii="Arial" w:eastAsia="Times" w:hAnsi="Arial" w:cs="Arial"/>
          <w:kern w:val="0"/>
          <w:sz w:val="22"/>
          <w:szCs w:val="22"/>
          <w14:ligatures w14:val="none"/>
        </w:rPr>
        <w:t xml:space="preserve"> and urine cultures, and HbA1c</w:t>
      </w:r>
      <w:r w:rsidR="0019254E">
        <w:rPr>
          <w:rFonts w:ascii="Arial" w:eastAsia="Times" w:hAnsi="Arial" w:cs="Arial"/>
          <w:kern w:val="0"/>
          <w:sz w:val="22"/>
          <w:szCs w:val="22"/>
          <w14:ligatures w14:val="none"/>
        </w:rPr>
        <w:t xml:space="preserve"> may be obtained</w:t>
      </w:r>
      <w:r w:rsidR="00492AC7" w:rsidRPr="00727B62">
        <w:rPr>
          <w:rFonts w:ascii="Arial" w:eastAsia="Times" w:hAnsi="Arial" w:cs="Arial"/>
          <w:kern w:val="0"/>
          <w:sz w:val="22"/>
          <w:szCs w:val="22"/>
          <w14:ligatures w14:val="none"/>
        </w:rPr>
        <w:t xml:space="preserve">.  </w:t>
      </w:r>
      <w:r w:rsidR="00302A2A">
        <w:rPr>
          <w:rFonts w:ascii="Arial" w:eastAsia="Times" w:hAnsi="Arial" w:cs="Arial"/>
          <w:kern w:val="0"/>
          <w:sz w:val="22"/>
          <w:szCs w:val="22"/>
          <w14:ligatures w14:val="none"/>
        </w:rPr>
        <w:t>The use of urinary ketones is discouraged unless capillary ketones are unavailable.</w:t>
      </w:r>
    </w:p>
    <w:p w14:paraId="0D0BBBA0" w14:textId="77777777" w:rsidR="00492AC7" w:rsidRPr="00727B62" w:rsidRDefault="00492AC7" w:rsidP="00727B62">
      <w:pPr>
        <w:spacing w:after="0" w:line="276" w:lineRule="auto"/>
        <w:rPr>
          <w:rFonts w:ascii="Arial" w:eastAsia="Times" w:hAnsi="Arial" w:cs="Arial"/>
          <w:kern w:val="0"/>
          <w:sz w:val="22"/>
          <w:szCs w:val="22"/>
          <w14:ligatures w14:val="none"/>
        </w:rPr>
      </w:pPr>
    </w:p>
    <w:p w14:paraId="5785F94E" w14:textId="69E1E8AE" w:rsidR="00492AC7" w:rsidRPr="00727B62" w:rsidRDefault="0019254E" w:rsidP="00B92B0F">
      <w:pPr>
        <w:spacing w:after="0" w:line="276" w:lineRule="auto"/>
        <w:rPr>
          <w:rFonts w:ascii="Arial" w:eastAsia="Times" w:hAnsi="Arial" w:cs="Arial"/>
          <w:kern w:val="0"/>
          <w:sz w:val="22"/>
          <w:szCs w:val="22"/>
          <w14:ligatures w14:val="none"/>
        </w:rPr>
      </w:pPr>
      <w:r>
        <w:rPr>
          <w:rFonts w:ascii="Arial" w:eastAsia="Times" w:hAnsi="Arial" w:cs="Arial"/>
          <w:kern w:val="0"/>
          <w:sz w:val="22"/>
          <w:szCs w:val="22"/>
          <w14:ligatures w14:val="none"/>
        </w:rPr>
        <w:t>An a</w:t>
      </w:r>
      <w:r w:rsidR="00492AC7" w:rsidRPr="00727B62">
        <w:rPr>
          <w:rFonts w:ascii="Arial" w:eastAsia="Times" w:hAnsi="Arial" w:cs="Arial"/>
          <w:kern w:val="0"/>
          <w:sz w:val="22"/>
          <w:szCs w:val="22"/>
          <w14:ligatures w14:val="none"/>
        </w:rPr>
        <w:t>nion gap acidosis is calculated by subtracting the sum of Cl</w:t>
      </w:r>
      <w:r w:rsidR="00302A2A">
        <w:rPr>
          <w:rFonts w:ascii="Arial" w:eastAsia="Times" w:hAnsi="Arial" w:cs="Arial"/>
          <w:kern w:val="0"/>
          <w:sz w:val="22"/>
          <w:szCs w:val="22"/>
          <w:vertAlign w:val="superscript"/>
          <w14:ligatures w14:val="none"/>
        </w:rPr>
        <w:t>-</w:t>
      </w:r>
      <w:r w:rsidR="00492AC7" w:rsidRPr="00727B62">
        <w:rPr>
          <w:rFonts w:ascii="Arial" w:eastAsia="Times" w:hAnsi="Arial" w:cs="Arial"/>
          <w:kern w:val="0"/>
          <w:sz w:val="22"/>
          <w:szCs w:val="22"/>
          <w14:ligatures w14:val="none"/>
        </w:rPr>
        <w:t xml:space="preserve"> and HCO</w:t>
      </w:r>
      <w:r w:rsidR="00492AC7" w:rsidRPr="00302A2A">
        <w:rPr>
          <w:rFonts w:ascii="Arial" w:eastAsia="Times" w:hAnsi="Arial" w:cs="Arial"/>
          <w:kern w:val="0"/>
          <w:sz w:val="22"/>
          <w:szCs w:val="22"/>
          <w:vertAlign w:val="subscript"/>
          <w14:ligatures w14:val="none"/>
        </w:rPr>
        <w:t>3</w:t>
      </w:r>
      <w:r w:rsidR="00302A2A">
        <w:rPr>
          <w:rFonts w:ascii="Arial" w:eastAsia="Times" w:hAnsi="Arial" w:cs="Arial"/>
          <w:kern w:val="0"/>
          <w:sz w:val="22"/>
          <w:szCs w:val="22"/>
          <w:vertAlign w:val="superscript"/>
          <w14:ligatures w14:val="none"/>
        </w:rPr>
        <w:t>-</w:t>
      </w:r>
      <w:r w:rsidR="00492AC7" w:rsidRPr="00727B62">
        <w:rPr>
          <w:rFonts w:ascii="Arial" w:eastAsia="Times" w:hAnsi="Arial" w:cs="Arial"/>
          <w:kern w:val="0"/>
          <w:sz w:val="22"/>
          <w:szCs w:val="22"/>
          <w14:ligatures w14:val="none"/>
        </w:rPr>
        <w:t xml:space="preserve"> from measured (not corrected) Na</w:t>
      </w:r>
      <w:r w:rsidR="00302A2A">
        <w:rPr>
          <w:rFonts w:ascii="Arial" w:eastAsia="Times" w:hAnsi="Arial" w:cs="Arial"/>
          <w:kern w:val="0"/>
          <w:sz w:val="22"/>
          <w:szCs w:val="22"/>
          <w:vertAlign w:val="superscript"/>
          <w14:ligatures w14:val="none"/>
        </w:rPr>
        <w:t>+</w:t>
      </w:r>
      <w:r w:rsidR="00492AC7" w:rsidRPr="00727B62">
        <w:rPr>
          <w:rFonts w:ascii="Arial" w:eastAsia="Times" w:hAnsi="Arial" w:cs="Arial"/>
          <w:kern w:val="0"/>
          <w:sz w:val="22"/>
          <w:szCs w:val="22"/>
          <w14:ligatures w14:val="none"/>
        </w:rPr>
        <w:t xml:space="preserve"> concentration. </w:t>
      </w:r>
      <w:r w:rsidR="00B92B0F" w:rsidRPr="00B92B0F">
        <w:rPr>
          <w:rFonts w:ascii="Arial" w:eastAsia="Times" w:hAnsi="Arial" w:cs="Arial"/>
          <w:kern w:val="0"/>
          <w:sz w:val="22"/>
          <w:szCs w:val="22"/>
          <w14:ligatures w14:val="none"/>
        </w:rPr>
        <w:t>An anion gap</w:t>
      </w:r>
      <w:r w:rsidR="00B92B0F">
        <w:rPr>
          <w:rFonts w:ascii="Arial" w:eastAsia="Times" w:hAnsi="Arial" w:cs="Arial"/>
          <w:kern w:val="0"/>
          <w:sz w:val="22"/>
          <w:szCs w:val="22"/>
          <w14:ligatures w14:val="none"/>
        </w:rPr>
        <w:t xml:space="preserve"> </w:t>
      </w:r>
      <w:r w:rsidR="00B92B0F" w:rsidRPr="00B92B0F">
        <w:rPr>
          <w:rFonts w:ascii="Arial" w:eastAsia="Times" w:hAnsi="Arial" w:cs="Arial"/>
          <w:kern w:val="0"/>
          <w:sz w:val="22"/>
          <w:szCs w:val="22"/>
          <w14:ligatures w14:val="none"/>
        </w:rPr>
        <w:t xml:space="preserve">&gt;12 mmol/L indicates the presence of a high anion gap metabolic acidosis consistent with DKA. </w:t>
      </w:r>
      <w:r w:rsidR="00302A2A">
        <w:rPr>
          <w:rFonts w:ascii="Arial" w:eastAsia="Times" w:hAnsi="Arial" w:cs="Arial"/>
          <w:kern w:val="0"/>
          <w:sz w:val="22"/>
          <w:szCs w:val="22"/>
          <w14:ligatures w14:val="none"/>
        </w:rPr>
        <w:t xml:space="preserve">However, the use of capillary point of care ketone testing renders the use of an anion gap unnecessary. </w:t>
      </w:r>
      <w:r w:rsidR="00492AC7" w:rsidRPr="00727B62">
        <w:rPr>
          <w:rFonts w:ascii="Arial" w:eastAsia="Times" w:hAnsi="Arial" w:cs="Arial"/>
          <w:kern w:val="0"/>
          <w:sz w:val="22"/>
          <w:szCs w:val="22"/>
          <w14:ligatures w14:val="none"/>
        </w:rPr>
        <w:t>Effective serum osmolality can be determined by the following formula: 2 x [measured Na</w:t>
      </w:r>
      <w:r w:rsidR="00492AC7" w:rsidRPr="00302A2A">
        <w:rPr>
          <w:rFonts w:ascii="Arial" w:eastAsia="Times" w:hAnsi="Arial" w:cs="Arial"/>
          <w:kern w:val="0"/>
          <w:sz w:val="22"/>
          <w:szCs w:val="22"/>
          <w:vertAlign w:val="superscript"/>
          <w14:ligatures w14:val="none"/>
        </w:rPr>
        <w:t>+</w:t>
      </w:r>
      <w:r w:rsidR="00492AC7" w:rsidRPr="00727B62">
        <w:rPr>
          <w:rFonts w:ascii="Arial" w:eastAsia="Times" w:hAnsi="Arial" w:cs="Arial"/>
          <w:kern w:val="0"/>
          <w:sz w:val="22"/>
          <w:szCs w:val="22"/>
          <w14:ligatures w14:val="none"/>
        </w:rPr>
        <w:t>(m</w:t>
      </w:r>
      <w:r w:rsidR="00302A2A">
        <w:rPr>
          <w:rFonts w:ascii="Arial" w:eastAsia="Times" w:hAnsi="Arial" w:cs="Arial"/>
          <w:kern w:val="0"/>
          <w:sz w:val="22"/>
          <w:szCs w:val="22"/>
          <w14:ligatures w14:val="none"/>
        </w:rPr>
        <w:t>E</w:t>
      </w:r>
      <w:r w:rsidR="00492AC7" w:rsidRPr="00727B62">
        <w:rPr>
          <w:rFonts w:ascii="Arial" w:eastAsia="Times" w:hAnsi="Arial" w:cs="Arial"/>
          <w:kern w:val="0"/>
          <w:sz w:val="22"/>
          <w:szCs w:val="22"/>
          <w14:ligatures w14:val="none"/>
        </w:rPr>
        <w:t>q/L)] + glucose</w:t>
      </w:r>
      <w:r w:rsidR="00302A2A">
        <w:rPr>
          <w:rFonts w:ascii="Arial" w:eastAsia="Times" w:hAnsi="Arial" w:cs="Arial"/>
          <w:kern w:val="0"/>
          <w:sz w:val="22"/>
          <w:szCs w:val="22"/>
          <w14:ligatures w14:val="none"/>
        </w:rPr>
        <w:t>(mg/dl)</w:t>
      </w:r>
      <w:r w:rsidR="00492AC7" w:rsidRPr="00727B62">
        <w:rPr>
          <w:rFonts w:ascii="Arial" w:eastAsia="Times" w:hAnsi="Arial" w:cs="Arial"/>
          <w:kern w:val="0"/>
          <w:sz w:val="22"/>
          <w:szCs w:val="22"/>
          <w14:ligatures w14:val="none"/>
        </w:rPr>
        <w:t>/18.</w:t>
      </w:r>
      <w:r w:rsidR="001E5117" w:rsidRPr="00727B62">
        <w:rPr>
          <w:rFonts w:ascii="Arial" w:eastAsia="Times" w:hAnsi="Arial" w:cs="Arial"/>
          <w:kern w:val="0"/>
          <w:sz w:val="22"/>
          <w:szCs w:val="22"/>
          <w14:ligatures w14:val="none"/>
        </w:rPr>
        <w:t xml:space="preserve"> Leukocytosis is a common finding in patients with DKA or HHS and might be resulting from acute stress, but a white blood cell count &gt; 25,000/μL may indicate an underlying infection and warrants further investigations.  Hypertriglyceridemia is frequently seen in HHS and is nearly always present in DKA.  Additionally, elevated amylase and lipase levels can </w:t>
      </w:r>
      <w:r>
        <w:rPr>
          <w:rFonts w:ascii="Arial" w:eastAsia="Times" w:hAnsi="Arial" w:cs="Arial"/>
          <w:kern w:val="0"/>
          <w:sz w:val="22"/>
          <w:szCs w:val="22"/>
          <w14:ligatures w14:val="none"/>
        </w:rPr>
        <w:t xml:space="preserve">occur </w:t>
      </w:r>
      <w:r w:rsidR="001E5117" w:rsidRPr="00727B62">
        <w:rPr>
          <w:rFonts w:ascii="Arial" w:eastAsia="Times" w:hAnsi="Arial" w:cs="Arial"/>
          <w:kern w:val="0"/>
          <w:sz w:val="22"/>
          <w:szCs w:val="22"/>
          <w14:ligatures w14:val="none"/>
        </w:rPr>
        <w:t>in DKA.</w:t>
      </w:r>
    </w:p>
    <w:p w14:paraId="0174A118" w14:textId="77777777" w:rsidR="001E5117" w:rsidRPr="00727B62" w:rsidRDefault="001E5117" w:rsidP="00727B62">
      <w:pPr>
        <w:spacing w:after="0" w:line="276" w:lineRule="auto"/>
        <w:rPr>
          <w:rFonts w:ascii="Arial" w:eastAsia="Times" w:hAnsi="Arial" w:cs="Arial"/>
          <w:kern w:val="0"/>
          <w:sz w:val="22"/>
          <w:szCs w:val="22"/>
          <w14:ligatures w14:val="none"/>
        </w:rPr>
      </w:pPr>
    </w:p>
    <w:p w14:paraId="3A191071" w14:textId="43136C1D" w:rsidR="001E5117" w:rsidRPr="00727B62" w:rsidRDefault="001E5117" w:rsidP="00727B62">
      <w:pPr>
        <w:spacing w:after="0" w:line="276" w:lineRule="auto"/>
        <w:rPr>
          <w:rFonts w:ascii="Arial" w:eastAsia="Times" w:hAnsi="Arial" w:cs="Arial"/>
          <w:b/>
          <w:bCs/>
          <w:color w:val="0070C0"/>
          <w:kern w:val="0"/>
          <w:sz w:val="22"/>
          <w:szCs w:val="22"/>
          <w14:ligatures w14:val="none"/>
        </w:rPr>
      </w:pPr>
      <w:r w:rsidRPr="00727B62">
        <w:rPr>
          <w:rFonts w:ascii="Arial" w:eastAsia="Times" w:hAnsi="Arial" w:cs="Arial"/>
          <w:b/>
          <w:bCs/>
          <w:color w:val="0070C0"/>
          <w:kern w:val="0"/>
          <w:sz w:val="22"/>
          <w:szCs w:val="22"/>
          <w14:ligatures w14:val="none"/>
        </w:rPr>
        <w:t>DIFFERENTIAL DIAGNOSIS</w:t>
      </w:r>
    </w:p>
    <w:p w14:paraId="10DF4047" w14:textId="77777777" w:rsidR="001E5117" w:rsidRPr="00727B62" w:rsidRDefault="001E5117" w:rsidP="00727B62">
      <w:pPr>
        <w:spacing w:after="0" w:line="276" w:lineRule="auto"/>
        <w:rPr>
          <w:rFonts w:ascii="Arial" w:eastAsia="Times" w:hAnsi="Arial" w:cs="Arial"/>
          <w:kern w:val="0"/>
          <w:sz w:val="22"/>
          <w:szCs w:val="22"/>
          <w14:ligatures w14:val="none"/>
        </w:rPr>
      </w:pPr>
    </w:p>
    <w:p w14:paraId="03C01D09" w14:textId="0F52656F" w:rsidR="00302A2A" w:rsidRPr="00DD6C52" w:rsidRDefault="001E5117" w:rsidP="00DD6C52">
      <w:pPr>
        <w:spacing w:after="0" w:line="276" w:lineRule="auto"/>
        <w:rPr>
          <w:rFonts w:ascii="Arial" w:eastAsia="Times" w:hAnsi="Arial" w:cs="Arial"/>
          <w:kern w:val="0"/>
          <w:sz w:val="22"/>
          <w:szCs w:val="22"/>
          <w14:ligatures w14:val="none"/>
        </w:rPr>
      </w:pPr>
      <w:r w:rsidRPr="00DD6C52">
        <w:rPr>
          <w:rFonts w:ascii="Arial" w:eastAsia="Times" w:hAnsi="Arial" w:cs="Arial"/>
          <w:kern w:val="0"/>
          <w:sz w:val="22"/>
          <w:szCs w:val="22"/>
          <w14:ligatures w14:val="none"/>
        </w:rPr>
        <w:t>DKA must be differentiated from the following conditions</w:t>
      </w:r>
      <w:r w:rsidR="00302A2A" w:rsidRPr="00DD6C52">
        <w:rPr>
          <w:rFonts w:ascii="Arial" w:eastAsia="Times" w:hAnsi="Arial" w:cs="Arial"/>
          <w:kern w:val="0"/>
          <w:sz w:val="22"/>
          <w:szCs w:val="22"/>
          <w14:ligatures w14:val="none"/>
        </w:rPr>
        <w:t xml:space="preserve">. As always, a thorough history needs to be taken to differentiate </w:t>
      </w:r>
      <w:r w:rsidR="003D5AF3">
        <w:rPr>
          <w:rFonts w:ascii="Arial" w:eastAsia="Times" w:hAnsi="Arial" w:cs="Arial"/>
          <w:kern w:val="0"/>
          <w:sz w:val="22"/>
          <w:szCs w:val="22"/>
          <w14:ligatures w14:val="none"/>
        </w:rPr>
        <w:t xml:space="preserve">DKA from </w:t>
      </w:r>
      <w:r w:rsidR="00302A2A" w:rsidRPr="00DD6C52">
        <w:rPr>
          <w:rFonts w:ascii="Arial" w:eastAsia="Times" w:hAnsi="Arial" w:cs="Arial"/>
          <w:kern w:val="0"/>
          <w:sz w:val="22"/>
          <w:szCs w:val="22"/>
          <w14:ligatures w14:val="none"/>
        </w:rPr>
        <w:t>these other conditions, including euglycemic DKA.</w:t>
      </w:r>
    </w:p>
    <w:p w14:paraId="45395D6E" w14:textId="77777777" w:rsidR="001E5117" w:rsidRPr="00727B62" w:rsidRDefault="001E5117" w:rsidP="00727B62">
      <w:pPr>
        <w:spacing w:after="0" w:line="276" w:lineRule="auto"/>
        <w:rPr>
          <w:rFonts w:ascii="Arial" w:eastAsia="Times" w:hAnsi="Arial" w:cs="Arial"/>
          <w:kern w:val="0"/>
          <w:sz w:val="22"/>
          <w:szCs w:val="22"/>
          <w14:ligatures w14:val="none"/>
        </w:rPr>
      </w:pPr>
    </w:p>
    <w:p w14:paraId="7ECF06C3" w14:textId="73658286" w:rsidR="001E5117" w:rsidRPr="00727B62" w:rsidRDefault="001E5117" w:rsidP="00324D51">
      <w:pPr>
        <w:pStyle w:val="ListParagraph"/>
        <w:numPr>
          <w:ilvl w:val="0"/>
          <w:numId w:val="4"/>
        </w:numPr>
        <w:spacing w:after="0" w:line="276" w:lineRule="auto"/>
        <w:ind w:left="360"/>
        <w:rPr>
          <w:rFonts w:ascii="Arial" w:eastAsia="Times" w:hAnsi="Arial" w:cs="Arial"/>
          <w:kern w:val="0"/>
          <w:sz w:val="22"/>
          <w:szCs w:val="22"/>
          <w14:ligatures w14:val="none"/>
        </w:rPr>
      </w:pPr>
      <w:r w:rsidRPr="00727B62">
        <w:rPr>
          <w:rFonts w:ascii="Arial" w:eastAsia="Times" w:hAnsi="Arial" w:cs="Arial"/>
          <w:kern w:val="0"/>
          <w:sz w:val="22"/>
          <w:szCs w:val="22"/>
          <w14:ligatures w14:val="none"/>
        </w:rPr>
        <w:t>Alcoholic Ketoacidosis: it’s characterized by a high anion gap metabolic acidosis but with normal or low glucose levels</w:t>
      </w:r>
      <w:r w:rsidR="00302A2A">
        <w:rPr>
          <w:rFonts w:ascii="Arial" w:eastAsia="Times" w:hAnsi="Arial" w:cs="Arial"/>
          <w:kern w:val="0"/>
          <w:sz w:val="22"/>
          <w:szCs w:val="22"/>
          <w14:ligatures w14:val="none"/>
        </w:rPr>
        <w:t>.</w:t>
      </w:r>
    </w:p>
    <w:p w14:paraId="6743701B" w14:textId="14C0FEA5" w:rsidR="001E5117" w:rsidRPr="00727B62" w:rsidRDefault="001E5117" w:rsidP="00324D51">
      <w:pPr>
        <w:pStyle w:val="ListParagraph"/>
        <w:numPr>
          <w:ilvl w:val="0"/>
          <w:numId w:val="4"/>
        </w:numPr>
        <w:spacing w:after="0" w:line="276" w:lineRule="auto"/>
        <w:ind w:left="360"/>
        <w:rPr>
          <w:rFonts w:ascii="Arial" w:eastAsia="Times" w:hAnsi="Arial" w:cs="Arial"/>
          <w:kern w:val="0"/>
          <w:sz w:val="22"/>
          <w:szCs w:val="22"/>
          <w14:ligatures w14:val="none"/>
        </w:rPr>
      </w:pPr>
      <w:r w:rsidRPr="00727B62">
        <w:rPr>
          <w:rFonts w:ascii="Arial" w:eastAsia="Times" w:hAnsi="Arial" w:cs="Arial"/>
          <w:kern w:val="0"/>
          <w:sz w:val="22"/>
          <w:szCs w:val="22"/>
          <w14:ligatures w14:val="none"/>
        </w:rPr>
        <w:t>Starvation Ketoacidosis: Malnutrition or prolonged fasting can lead to ketosis and mild acidosis</w:t>
      </w:r>
      <w:r w:rsidR="00AB01A1" w:rsidRPr="00727B62">
        <w:rPr>
          <w:rFonts w:ascii="Arial" w:eastAsia="Times" w:hAnsi="Arial" w:cs="Arial"/>
          <w:kern w:val="0"/>
          <w:sz w:val="22"/>
          <w:szCs w:val="22"/>
          <w14:ligatures w14:val="none"/>
        </w:rPr>
        <w:t>,</w:t>
      </w:r>
      <w:r w:rsidRPr="00727B62">
        <w:rPr>
          <w:rFonts w:ascii="Arial" w:eastAsia="Times" w:hAnsi="Arial" w:cs="Arial"/>
          <w:kern w:val="0"/>
          <w:sz w:val="22"/>
          <w:szCs w:val="22"/>
          <w14:ligatures w14:val="none"/>
        </w:rPr>
        <w:t xml:space="preserve"> but blood glucose levels are normal or low.</w:t>
      </w:r>
    </w:p>
    <w:p w14:paraId="2130B306" w14:textId="575F6149" w:rsidR="001E5117" w:rsidRPr="00727B62" w:rsidRDefault="001E5117" w:rsidP="00324D51">
      <w:pPr>
        <w:pStyle w:val="ListParagraph"/>
        <w:numPr>
          <w:ilvl w:val="0"/>
          <w:numId w:val="4"/>
        </w:numPr>
        <w:spacing w:after="0" w:line="276" w:lineRule="auto"/>
        <w:ind w:left="360"/>
        <w:rPr>
          <w:rFonts w:ascii="Arial" w:eastAsia="Times" w:hAnsi="Arial" w:cs="Arial"/>
          <w:kern w:val="0"/>
          <w:sz w:val="22"/>
          <w:szCs w:val="22"/>
          <w14:ligatures w14:val="none"/>
        </w:rPr>
      </w:pPr>
      <w:r w:rsidRPr="00727B62">
        <w:rPr>
          <w:rFonts w:ascii="Arial" w:eastAsia="Times" w:hAnsi="Arial" w:cs="Arial"/>
          <w:kern w:val="0"/>
          <w:sz w:val="22"/>
          <w:szCs w:val="22"/>
          <w14:ligatures w14:val="none"/>
        </w:rPr>
        <w:t xml:space="preserve">Lactic Acidosis: </w:t>
      </w:r>
      <w:r w:rsidR="00302A2A">
        <w:rPr>
          <w:rFonts w:ascii="Arial" w:eastAsia="Times" w:hAnsi="Arial" w:cs="Arial"/>
          <w:kern w:val="0"/>
          <w:sz w:val="22"/>
          <w:szCs w:val="22"/>
          <w14:ligatures w14:val="none"/>
        </w:rPr>
        <w:t>L</w:t>
      </w:r>
      <w:r w:rsidRPr="00727B62">
        <w:rPr>
          <w:rFonts w:ascii="Arial" w:eastAsia="Times" w:hAnsi="Arial" w:cs="Arial"/>
          <w:kern w:val="0"/>
          <w:sz w:val="22"/>
          <w:szCs w:val="22"/>
          <w14:ligatures w14:val="none"/>
        </w:rPr>
        <w:t xml:space="preserve">eads to metabolic acidosis </w:t>
      </w:r>
      <w:r w:rsidR="00AB01A1" w:rsidRPr="00727B62">
        <w:rPr>
          <w:rFonts w:ascii="Arial" w:eastAsia="Times" w:hAnsi="Arial" w:cs="Arial"/>
          <w:kern w:val="0"/>
          <w:sz w:val="22"/>
          <w:szCs w:val="22"/>
          <w14:ligatures w14:val="none"/>
        </w:rPr>
        <w:t xml:space="preserve">with high lactate levels </w:t>
      </w:r>
      <w:r w:rsidRPr="00727B62">
        <w:rPr>
          <w:rFonts w:ascii="Arial" w:eastAsia="Times" w:hAnsi="Arial" w:cs="Arial"/>
          <w:kern w:val="0"/>
          <w:sz w:val="22"/>
          <w:szCs w:val="22"/>
          <w14:ligatures w14:val="none"/>
        </w:rPr>
        <w:t>in the absence of ketonemia.</w:t>
      </w:r>
    </w:p>
    <w:p w14:paraId="6450A047" w14:textId="1BE431BE" w:rsidR="001E5117" w:rsidRPr="00727B62" w:rsidRDefault="001E5117" w:rsidP="00324D51">
      <w:pPr>
        <w:pStyle w:val="ListParagraph"/>
        <w:numPr>
          <w:ilvl w:val="0"/>
          <w:numId w:val="4"/>
        </w:numPr>
        <w:spacing w:after="0" w:line="276" w:lineRule="auto"/>
        <w:ind w:left="360"/>
        <w:rPr>
          <w:rFonts w:ascii="Arial" w:eastAsia="Times" w:hAnsi="Arial" w:cs="Arial"/>
          <w:kern w:val="0"/>
          <w:sz w:val="22"/>
          <w:szCs w:val="22"/>
          <w14:ligatures w14:val="none"/>
        </w:rPr>
      </w:pPr>
      <w:r w:rsidRPr="00727B62">
        <w:rPr>
          <w:rFonts w:ascii="Arial" w:eastAsia="Times" w:hAnsi="Arial" w:cs="Arial"/>
          <w:kern w:val="0"/>
          <w:sz w:val="22"/>
          <w:szCs w:val="22"/>
          <w14:ligatures w14:val="none"/>
        </w:rPr>
        <w:t xml:space="preserve">Toxins: Substances such as methanol and ethylene glycol can lead to </w:t>
      </w:r>
      <w:r w:rsidR="003C5A6C">
        <w:rPr>
          <w:rFonts w:ascii="Arial" w:eastAsia="Times" w:hAnsi="Arial" w:cs="Arial"/>
          <w:kern w:val="0"/>
          <w:sz w:val="22"/>
          <w:szCs w:val="22"/>
          <w14:ligatures w14:val="none"/>
        </w:rPr>
        <w:t xml:space="preserve">a </w:t>
      </w:r>
      <w:r w:rsidRPr="00727B62">
        <w:rPr>
          <w:rFonts w:ascii="Arial" w:eastAsia="Times" w:hAnsi="Arial" w:cs="Arial"/>
          <w:kern w:val="0"/>
          <w:sz w:val="22"/>
          <w:szCs w:val="22"/>
          <w14:ligatures w14:val="none"/>
        </w:rPr>
        <w:t>high anion gap metabolic acidosis</w:t>
      </w:r>
      <w:r w:rsidR="00AB01A1" w:rsidRPr="00727B62">
        <w:rPr>
          <w:rFonts w:ascii="Arial" w:eastAsia="Times" w:hAnsi="Arial" w:cs="Arial"/>
          <w:kern w:val="0"/>
          <w:sz w:val="22"/>
          <w:szCs w:val="22"/>
          <w14:ligatures w14:val="none"/>
        </w:rPr>
        <w:t xml:space="preserve"> without elevated ketones</w:t>
      </w:r>
      <w:r w:rsidRPr="00727B62">
        <w:rPr>
          <w:rFonts w:ascii="Arial" w:eastAsia="Times" w:hAnsi="Arial" w:cs="Arial"/>
          <w:kern w:val="0"/>
          <w:sz w:val="22"/>
          <w:szCs w:val="22"/>
          <w14:ligatures w14:val="none"/>
        </w:rPr>
        <w:t>.</w:t>
      </w:r>
    </w:p>
    <w:p w14:paraId="44C224B8" w14:textId="13B585E8" w:rsidR="001E5117" w:rsidRPr="00727B62" w:rsidRDefault="001E5117" w:rsidP="00324D51">
      <w:pPr>
        <w:pStyle w:val="ListParagraph"/>
        <w:numPr>
          <w:ilvl w:val="0"/>
          <w:numId w:val="4"/>
        </w:numPr>
        <w:spacing w:after="0" w:line="276" w:lineRule="auto"/>
        <w:ind w:left="360"/>
        <w:rPr>
          <w:rFonts w:ascii="Arial" w:eastAsia="Times" w:hAnsi="Arial" w:cs="Arial"/>
          <w:kern w:val="0"/>
          <w:sz w:val="22"/>
          <w:szCs w:val="22"/>
          <w14:ligatures w14:val="none"/>
        </w:rPr>
      </w:pPr>
      <w:r w:rsidRPr="00727B62">
        <w:rPr>
          <w:rFonts w:ascii="Arial" w:eastAsia="Times" w:hAnsi="Arial" w:cs="Arial"/>
          <w:kern w:val="0"/>
          <w:sz w:val="22"/>
          <w:szCs w:val="22"/>
          <w14:ligatures w14:val="none"/>
        </w:rPr>
        <w:t>Renal Failure: Acute or chronic kidney disease is associated with metabolic acidosis and uremia</w:t>
      </w:r>
      <w:r w:rsidR="00AB01A1" w:rsidRPr="00727B62">
        <w:rPr>
          <w:rFonts w:ascii="Arial" w:eastAsia="Times" w:hAnsi="Arial" w:cs="Arial"/>
          <w:kern w:val="0"/>
          <w:sz w:val="22"/>
          <w:szCs w:val="22"/>
          <w14:ligatures w14:val="none"/>
        </w:rPr>
        <w:t xml:space="preserve"> without elevated ketones</w:t>
      </w:r>
    </w:p>
    <w:p w14:paraId="670785ED" w14:textId="77777777" w:rsidR="001E5117" w:rsidRPr="00727B62" w:rsidRDefault="001E5117" w:rsidP="00727B62">
      <w:pPr>
        <w:spacing w:after="0" w:line="276" w:lineRule="auto"/>
        <w:rPr>
          <w:rFonts w:ascii="Arial" w:eastAsia="Times" w:hAnsi="Arial" w:cs="Arial"/>
          <w:kern w:val="0"/>
          <w:sz w:val="22"/>
          <w:szCs w:val="22"/>
          <w14:ligatures w14:val="none"/>
        </w:rPr>
      </w:pPr>
    </w:p>
    <w:p w14:paraId="08A7FFB4" w14:textId="774C17FA" w:rsidR="008E4046" w:rsidRPr="00727B62" w:rsidRDefault="00AB01A1" w:rsidP="00727B62">
      <w:pPr>
        <w:shd w:val="clear" w:color="auto" w:fill="FFFFFF"/>
        <w:spacing w:after="0" w:line="276" w:lineRule="auto"/>
        <w:textAlignment w:val="baseline"/>
        <w:outlineLvl w:val="1"/>
        <w:rPr>
          <w:rFonts w:ascii="Arial" w:eastAsia="Times New Roman" w:hAnsi="Arial" w:cs="Arial"/>
          <w:b/>
          <w:bCs/>
          <w:color w:val="0070C0"/>
          <w:kern w:val="0"/>
          <w:sz w:val="22"/>
          <w:szCs w:val="22"/>
          <w14:ligatures w14:val="none"/>
        </w:rPr>
      </w:pPr>
      <w:r w:rsidRPr="00727B62">
        <w:rPr>
          <w:rFonts w:ascii="Arial" w:eastAsia="Times New Roman" w:hAnsi="Arial" w:cs="Arial"/>
          <w:b/>
          <w:bCs/>
          <w:color w:val="0070C0"/>
          <w:kern w:val="0"/>
          <w:sz w:val="22"/>
          <w:szCs w:val="22"/>
          <w14:ligatures w14:val="none"/>
        </w:rPr>
        <w:t>COMPLICATIONS</w:t>
      </w:r>
    </w:p>
    <w:p w14:paraId="7B081F06" w14:textId="77777777" w:rsidR="00AB01A1" w:rsidRPr="00727B62" w:rsidRDefault="00AB01A1"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2C8F0DE5" w14:textId="6016EC91" w:rsidR="00AB01A1" w:rsidRPr="00727B62" w:rsidRDefault="00AB01A1" w:rsidP="00324D51">
      <w:pPr>
        <w:pStyle w:val="ListParagraph"/>
        <w:numPr>
          <w:ilvl w:val="0"/>
          <w:numId w:val="5"/>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Hypoglycemia: A common complication of treatment.</w:t>
      </w:r>
    </w:p>
    <w:p w14:paraId="0714CDEE" w14:textId="13A9F97E" w:rsidR="00AB01A1" w:rsidRPr="00727B62" w:rsidRDefault="00AB01A1" w:rsidP="00324D51">
      <w:pPr>
        <w:pStyle w:val="ListParagraph"/>
        <w:numPr>
          <w:ilvl w:val="0"/>
          <w:numId w:val="5"/>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Hypokalemia: Due to intracellular shift of potassium with insulin treatment, hypokalemia is often seen during treatment of hyperglycemic emergencies. </w:t>
      </w:r>
    </w:p>
    <w:p w14:paraId="442CDEBB" w14:textId="2EA97D43" w:rsidR="00AB01A1" w:rsidRPr="00727B62" w:rsidRDefault="00AB01A1" w:rsidP="00324D51">
      <w:pPr>
        <w:pStyle w:val="ListParagraph"/>
        <w:numPr>
          <w:ilvl w:val="0"/>
          <w:numId w:val="5"/>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lastRenderedPageBreak/>
        <w:t>Hyperchloremic Non–Anion Gap Acidosis: This transient and typically self-resolving condition can result from excessive normal saline infusion or the metabolism of ketoanions to bicarbonate during DKA resolution.</w:t>
      </w:r>
    </w:p>
    <w:p w14:paraId="41AE8AFD" w14:textId="77777777" w:rsidR="00AB01A1" w:rsidRPr="00727B62" w:rsidRDefault="00AB01A1" w:rsidP="00324D51">
      <w:pPr>
        <w:pStyle w:val="ListParagraph"/>
        <w:numPr>
          <w:ilvl w:val="0"/>
          <w:numId w:val="5"/>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Cerebral Edema: This complication is more common in DKA, particularly in younger patients, but has also been reported in HHS. A declining level of consciousness, lethargy, and headache should raise suspicion. </w:t>
      </w:r>
    </w:p>
    <w:p w14:paraId="516383F1" w14:textId="3CA2AF07" w:rsidR="00AB01A1" w:rsidRPr="00727B62" w:rsidRDefault="00AB01A1" w:rsidP="00324D51">
      <w:pPr>
        <w:pStyle w:val="ListParagraph"/>
        <w:numPr>
          <w:ilvl w:val="0"/>
          <w:numId w:val="5"/>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Hypoxemia and rarely non-cardiogenic pulmonary edema may be associated with a decrease in the colloid osmotic pressure leading to pulmonary edema.</w:t>
      </w:r>
    </w:p>
    <w:p w14:paraId="17EBC501" w14:textId="77777777" w:rsidR="003006B0" w:rsidRPr="00727B62" w:rsidRDefault="00AB01A1" w:rsidP="00324D51">
      <w:pPr>
        <w:pStyle w:val="ListParagraph"/>
        <w:numPr>
          <w:ilvl w:val="0"/>
          <w:numId w:val="5"/>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Thrombosis: Both DKA and HHS are prothrombotic states. An individual risk assessment for venous thromboembolism should be performed for all patients presenting with DKA or HHS to decide if prophylactic or therapeutic dose of anticoagulation should be prescribed. </w:t>
      </w:r>
    </w:p>
    <w:p w14:paraId="37E00E50" w14:textId="546DEB61" w:rsidR="00AB01A1" w:rsidRPr="00727B62" w:rsidRDefault="00AB01A1" w:rsidP="00324D51">
      <w:pPr>
        <w:pStyle w:val="ListParagraph"/>
        <w:numPr>
          <w:ilvl w:val="0"/>
          <w:numId w:val="5"/>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Acute kidney failure: A common complication of DKA and HHS, usually resulting from severe dehydration due to osmotic diuresis.</w:t>
      </w:r>
    </w:p>
    <w:p w14:paraId="2E677A41" w14:textId="77777777" w:rsidR="003006B0" w:rsidRPr="00727B62" w:rsidRDefault="003006B0"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5ADA901B" w14:textId="18C12DAD" w:rsidR="003006B0" w:rsidRPr="00727B62" w:rsidRDefault="003006B0" w:rsidP="00727B62">
      <w:pPr>
        <w:shd w:val="clear" w:color="auto" w:fill="FFFFFF"/>
        <w:spacing w:after="0" w:line="276" w:lineRule="auto"/>
        <w:textAlignment w:val="baseline"/>
        <w:outlineLvl w:val="1"/>
        <w:rPr>
          <w:rFonts w:ascii="Arial" w:eastAsia="Times New Roman" w:hAnsi="Arial" w:cs="Arial"/>
          <w:b/>
          <w:bCs/>
          <w:color w:val="0070C0"/>
          <w:kern w:val="0"/>
          <w:sz w:val="22"/>
          <w:szCs w:val="22"/>
          <w14:ligatures w14:val="none"/>
        </w:rPr>
      </w:pPr>
      <w:r w:rsidRPr="00727B62">
        <w:rPr>
          <w:rFonts w:ascii="Arial" w:eastAsia="Times New Roman" w:hAnsi="Arial" w:cs="Arial"/>
          <w:b/>
          <w:bCs/>
          <w:color w:val="0070C0"/>
          <w:kern w:val="0"/>
          <w:sz w:val="22"/>
          <w:szCs w:val="22"/>
          <w14:ligatures w14:val="none"/>
        </w:rPr>
        <w:t>TREATMENT</w:t>
      </w:r>
    </w:p>
    <w:p w14:paraId="1C378E75" w14:textId="77777777" w:rsidR="00223A63" w:rsidRPr="00727B62" w:rsidRDefault="00223A63" w:rsidP="00727B62">
      <w:pPr>
        <w:shd w:val="clear" w:color="auto" w:fill="FFFFFF"/>
        <w:spacing w:after="0" w:line="276" w:lineRule="auto"/>
        <w:textAlignment w:val="baseline"/>
        <w:outlineLvl w:val="1"/>
        <w:rPr>
          <w:rFonts w:ascii="Arial" w:eastAsia="Times New Roman" w:hAnsi="Arial" w:cs="Arial"/>
          <w:b/>
          <w:bCs/>
          <w:color w:val="0070C0"/>
          <w:kern w:val="0"/>
          <w:sz w:val="22"/>
          <w:szCs w:val="22"/>
          <w14:ligatures w14:val="none"/>
        </w:rPr>
      </w:pPr>
    </w:p>
    <w:p w14:paraId="0F5BBC3F" w14:textId="140C394C" w:rsidR="00223A63" w:rsidRPr="00727B62" w:rsidRDefault="00223A63" w:rsidP="00727B62">
      <w:pPr>
        <w:shd w:val="clear" w:color="auto" w:fill="FFFFFF"/>
        <w:spacing w:after="0" w:line="276" w:lineRule="auto"/>
        <w:textAlignment w:val="baseline"/>
        <w:outlineLvl w:val="1"/>
        <w:rPr>
          <w:rFonts w:ascii="Arial" w:eastAsia="Times New Roman" w:hAnsi="Arial" w:cs="Arial"/>
          <w:b/>
          <w:bCs/>
          <w:color w:val="00B050"/>
          <w:kern w:val="0"/>
          <w:sz w:val="22"/>
          <w:szCs w:val="22"/>
          <w14:ligatures w14:val="none"/>
        </w:rPr>
      </w:pPr>
      <w:r w:rsidRPr="00727B62">
        <w:rPr>
          <w:rFonts w:ascii="Arial" w:eastAsia="Times New Roman" w:hAnsi="Arial" w:cs="Arial"/>
          <w:b/>
          <w:bCs/>
          <w:color w:val="00B050"/>
          <w:kern w:val="0"/>
          <w:sz w:val="22"/>
          <w:szCs w:val="22"/>
          <w14:ligatures w14:val="none"/>
        </w:rPr>
        <w:t>Fluid</w:t>
      </w:r>
    </w:p>
    <w:p w14:paraId="5DE55317" w14:textId="77777777" w:rsidR="00223A63" w:rsidRPr="00727B62" w:rsidRDefault="00223A63" w:rsidP="00727B62">
      <w:pPr>
        <w:shd w:val="clear" w:color="auto" w:fill="FFFFFF"/>
        <w:spacing w:after="0" w:line="276" w:lineRule="auto"/>
        <w:textAlignment w:val="baseline"/>
        <w:outlineLvl w:val="1"/>
        <w:rPr>
          <w:rFonts w:ascii="Arial" w:eastAsia="Times New Roman" w:hAnsi="Arial" w:cs="Arial"/>
          <w:b/>
          <w:bCs/>
          <w:color w:val="00B050"/>
          <w:kern w:val="0"/>
          <w:sz w:val="22"/>
          <w:szCs w:val="22"/>
          <w14:ligatures w14:val="none"/>
        </w:rPr>
      </w:pPr>
    </w:p>
    <w:p w14:paraId="534BEC6B" w14:textId="1E151D7B" w:rsidR="00223A63" w:rsidRPr="00727B62" w:rsidRDefault="00732AF9"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Administration of intravenous (IV) fluids restores circulating intravascular volume and organ perfusion, facilitating the excretion of glucose and ketone bodies. Additionally, it improves insulin sensitivity by reducing the effect of counterregulatory hormones. Normal saline 0.9% has been the standard fluid; however, concerns have been raised about its potential to cause hyperchloremic metabolic acidosis, particularly when administered in large volumes. Recent prospective and observational studies, as well as meta-analyses, have shown that using balanced crystalloid solutions such as Ringer’s lactate leads to faster resolution of DKA, shorter hospital stays, and lower incidence of hyperchloremic metabolic acidosis</w:t>
      </w:r>
      <w:r w:rsidR="008D1345" w:rsidRPr="00727B62">
        <w:rPr>
          <w:rFonts w:ascii="Arial" w:eastAsia="Times New Roman" w:hAnsi="Arial" w:cs="Arial"/>
          <w:kern w:val="0"/>
          <w:sz w:val="22"/>
          <w:szCs w:val="22"/>
          <w14:ligatures w14:val="none"/>
        </w:rPr>
        <w:t>.</w:t>
      </w:r>
    </w:p>
    <w:p w14:paraId="2CDC2089" w14:textId="77777777" w:rsidR="003307FB" w:rsidRDefault="003307FB"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485EE4CF" w14:textId="77777777" w:rsidR="00604F80" w:rsidRPr="00604F80" w:rsidRDefault="00604F80" w:rsidP="00604F80">
      <w:pPr>
        <w:shd w:val="clear" w:color="auto" w:fill="FFFFFF"/>
        <w:spacing w:after="0" w:line="276" w:lineRule="auto"/>
        <w:textAlignment w:val="baseline"/>
        <w:outlineLvl w:val="1"/>
        <w:rPr>
          <w:rFonts w:ascii="Arial" w:eastAsia="Times New Roman" w:hAnsi="Arial" w:cs="Arial"/>
          <w:color w:val="EE0000"/>
          <w:kern w:val="0"/>
          <w:sz w:val="22"/>
          <w:szCs w:val="22"/>
          <w14:ligatures w14:val="none"/>
        </w:rPr>
      </w:pPr>
      <w:r w:rsidRPr="00604F80">
        <w:rPr>
          <w:rFonts w:ascii="Arial" w:eastAsia="Times New Roman" w:hAnsi="Arial" w:cs="Arial"/>
          <w:color w:val="EE0000"/>
          <w:kern w:val="0"/>
          <w:sz w:val="22"/>
          <w:szCs w:val="22"/>
          <w14:ligatures w14:val="none"/>
        </w:rPr>
        <w:t xml:space="preserve">DIABETIC KETOACIDOSIS </w:t>
      </w:r>
    </w:p>
    <w:p w14:paraId="1E3A947B" w14:textId="77777777" w:rsidR="00604F80" w:rsidRPr="00727B62" w:rsidRDefault="00604F80"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03DB14FB" w14:textId="54CFC2E2" w:rsidR="003307FB" w:rsidRDefault="003307FB"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In DKA, an infusion of 15-20 ml per Kg body weight within the first hour is usually appropriate in adults without renal or cardiac compromise. As a general rule, administration of isotonic saline or crystalloid solutions at a rate of 500–1,000 mL/h during the first 2–4 hours is recommended. Once intravascular volume is repleted, </w:t>
      </w:r>
      <w:r w:rsidR="00AD71AF">
        <w:rPr>
          <w:rFonts w:ascii="Arial" w:eastAsia="Times New Roman" w:hAnsi="Arial" w:cs="Arial"/>
          <w:kern w:val="0"/>
          <w:sz w:val="22"/>
          <w:szCs w:val="22"/>
          <w14:ligatures w14:val="none"/>
        </w:rPr>
        <w:t xml:space="preserve">the </w:t>
      </w:r>
      <w:r w:rsidRPr="00727B62">
        <w:rPr>
          <w:rFonts w:ascii="Arial" w:eastAsia="Times New Roman" w:hAnsi="Arial" w:cs="Arial"/>
          <w:kern w:val="0"/>
          <w:sz w:val="22"/>
          <w:szCs w:val="22"/>
          <w14:ligatures w14:val="none"/>
        </w:rPr>
        <w:t>fluid replacement rate and choice of fluid are guided by vital signs, fluid balance, and serum electrolyte levels.</w:t>
      </w:r>
      <w:r w:rsidR="002A6AF8" w:rsidRPr="00727B62">
        <w:rPr>
          <w:rFonts w:ascii="Arial" w:eastAsia="Times New Roman" w:hAnsi="Arial" w:cs="Arial"/>
          <w:kern w:val="0"/>
          <w:sz w:val="22"/>
          <w:szCs w:val="22"/>
          <w14:ligatures w14:val="none"/>
        </w:rPr>
        <w:t xml:space="preserve"> </w:t>
      </w:r>
      <w:r w:rsidRPr="00727B62">
        <w:rPr>
          <w:rFonts w:ascii="Arial" w:eastAsia="Times New Roman" w:hAnsi="Arial" w:cs="Arial"/>
          <w:kern w:val="0"/>
          <w:sz w:val="22"/>
          <w:szCs w:val="22"/>
          <w14:ligatures w14:val="none"/>
        </w:rPr>
        <w:t>In hypernatremia, isotonic solutions are still the preferred choice due to lower risk of rapid correction of sodium levels and cerebral edema. Fluid replacement should restore estimated deficits within the first 24–48 h. Rapid replacement might not be appropriate in individuals with chronic cardiac failure, chronic kidney disease, frailty, and older age. If there are concerns about hyperchloremic metabolic acidosis, Ringer’s lactate solution can be used instead. When plasma glucose falls below 250 mg/dL (13.9 mmol/L), 5–10% dextrose in addition to the 0.9% sodium chloride is suggested to prevent hypoglycemia while insulin is used to correct ketonemia.</w:t>
      </w:r>
    </w:p>
    <w:p w14:paraId="3E33BA68" w14:textId="77777777" w:rsidR="00604F80" w:rsidRDefault="00604F80"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032A81E1" w14:textId="19663E9B" w:rsidR="00A83426" w:rsidRPr="00311DC7" w:rsidRDefault="00A83426" w:rsidP="00727B62">
      <w:pPr>
        <w:shd w:val="clear" w:color="auto" w:fill="FFFFFF"/>
        <w:spacing w:after="0" w:line="276" w:lineRule="auto"/>
        <w:textAlignment w:val="baseline"/>
        <w:outlineLvl w:val="1"/>
        <w:rPr>
          <w:rFonts w:ascii="Arial" w:eastAsia="Times New Roman" w:hAnsi="Arial" w:cs="Arial"/>
          <w:color w:val="EE0000"/>
          <w:kern w:val="0"/>
          <w:sz w:val="22"/>
          <w:szCs w:val="22"/>
          <w14:ligatures w14:val="none"/>
        </w:rPr>
      </w:pPr>
      <w:r w:rsidRPr="00311DC7">
        <w:rPr>
          <w:rFonts w:ascii="Arial" w:eastAsia="Times New Roman" w:hAnsi="Arial" w:cs="Arial"/>
          <w:color w:val="EE0000"/>
          <w:kern w:val="0"/>
          <w:sz w:val="22"/>
          <w:szCs w:val="22"/>
          <w14:ligatures w14:val="none"/>
        </w:rPr>
        <w:t>HYPEROSMOLAR HYPERGLYCEMIC ST</w:t>
      </w:r>
      <w:r w:rsidR="00311DC7" w:rsidRPr="00311DC7">
        <w:rPr>
          <w:rFonts w:ascii="Arial" w:eastAsia="Times New Roman" w:hAnsi="Arial" w:cs="Arial"/>
          <w:color w:val="EE0000"/>
          <w:kern w:val="0"/>
          <w:sz w:val="22"/>
          <w:szCs w:val="22"/>
          <w14:ligatures w14:val="none"/>
        </w:rPr>
        <w:t xml:space="preserve">ATE </w:t>
      </w:r>
    </w:p>
    <w:p w14:paraId="05825670" w14:textId="77777777" w:rsidR="00AD0AC2" w:rsidRPr="00727B62" w:rsidRDefault="00AD0AC2"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0DC7FAA1" w14:textId="038F0CBD" w:rsidR="00AD0AC2" w:rsidRPr="00727B62" w:rsidRDefault="00324D51"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lastRenderedPageBreak/>
        <w:t>I</w:t>
      </w:r>
      <w:r w:rsidR="00DF003D" w:rsidRPr="00727B62">
        <w:rPr>
          <w:rFonts w:ascii="Arial" w:eastAsia="Times New Roman" w:hAnsi="Arial" w:cs="Arial"/>
          <w:kern w:val="0"/>
          <w:sz w:val="22"/>
          <w:szCs w:val="22"/>
          <w14:ligatures w14:val="none"/>
        </w:rPr>
        <w:t>n HHS, the goal of treatment is to replace approximately 50% of the fluid deficit within the first 12 h and the remainder in the following 12 h. Similarly to DKA, initial administration rate of isotonic saline is 500–1,000 mL/h during the first 2–4 h. Fluid replacement alone leads to reduction in glucose levels which in turn decreases serum osmolality due to the water shift into the intracellular space. This results in increasing sodium levels, but this is not necessarily an indication for hypotonic solutions unless the osmolality is not adequately decreasing. If the rise in serum sodium is much greater than 2.4 mmol/L for every 5.5 mmol/L fall in blood glucose, this suggests inadequate fluid replacement and requires a higher infusion rate. If fluid replacement is adequate but glucose and osmolality are not falling at the desired rate, then 0.45% sodium chloride solution should be considered. Overall, the goals of treatment are a decrease in osmolality between 3 and 8 m</w:t>
      </w:r>
      <w:r>
        <w:rPr>
          <w:rFonts w:ascii="Arial" w:eastAsia="Times New Roman" w:hAnsi="Arial" w:cs="Arial"/>
          <w:kern w:val="0"/>
          <w:sz w:val="22"/>
          <w:szCs w:val="22"/>
          <w14:ligatures w14:val="none"/>
        </w:rPr>
        <w:t>O</w:t>
      </w:r>
      <w:r w:rsidR="00DF003D" w:rsidRPr="00727B62">
        <w:rPr>
          <w:rFonts w:ascii="Arial" w:eastAsia="Times New Roman" w:hAnsi="Arial" w:cs="Arial"/>
          <w:kern w:val="0"/>
          <w:sz w:val="22"/>
          <w:szCs w:val="22"/>
          <w14:ligatures w14:val="none"/>
        </w:rPr>
        <w:t xml:space="preserve">smol/kg per hour, a sodium reduction by no more than 10 mmol/L in 24 hours, and hourly glucose </w:t>
      </w:r>
      <w:r w:rsidR="00790183">
        <w:rPr>
          <w:rFonts w:ascii="Arial" w:eastAsia="Times New Roman" w:hAnsi="Arial" w:cs="Arial"/>
          <w:kern w:val="0"/>
          <w:sz w:val="22"/>
          <w:szCs w:val="22"/>
          <w14:ligatures w14:val="none"/>
        </w:rPr>
        <w:t>decrease</w:t>
      </w:r>
      <w:r w:rsidR="00DF003D" w:rsidRPr="00727B62">
        <w:rPr>
          <w:rFonts w:ascii="Arial" w:eastAsia="Times New Roman" w:hAnsi="Arial" w:cs="Arial"/>
          <w:kern w:val="0"/>
          <w:sz w:val="22"/>
          <w:szCs w:val="22"/>
          <w14:ligatures w14:val="none"/>
        </w:rPr>
        <w:t xml:space="preserve"> by up to </w:t>
      </w:r>
      <w:r w:rsidR="008B6B9A" w:rsidRPr="00727B62">
        <w:rPr>
          <w:rFonts w:ascii="Arial" w:eastAsia="Times New Roman" w:hAnsi="Arial" w:cs="Arial"/>
          <w:kern w:val="0"/>
          <w:sz w:val="22"/>
          <w:szCs w:val="22"/>
          <w14:ligatures w14:val="none"/>
        </w:rPr>
        <w:t>90mg/dL (</w:t>
      </w:r>
      <w:r w:rsidR="00DF003D" w:rsidRPr="00727B62">
        <w:rPr>
          <w:rFonts w:ascii="Arial" w:eastAsia="Times New Roman" w:hAnsi="Arial" w:cs="Arial"/>
          <w:kern w:val="0"/>
          <w:sz w:val="22"/>
          <w:szCs w:val="22"/>
          <w14:ligatures w14:val="none"/>
        </w:rPr>
        <w:t>5mmol/L</w:t>
      </w:r>
      <w:r w:rsidR="008B6B9A" w:rsidRPr="00727B62">
        <w:rPr>
          <w:rFonts w:ascii="Arial" w:eastAsia="Times New Roman" w:hAnsi="Arial" w:cs="Arial"/>
          <w:kern w:val="0"/>
          <w:sz w:val="22"/>
          <w:szCs w:val="22"/>
          <w14:ligatures w14:val="none"/>
        </w:rPr>
        <w:t>)</w:t>
      </w:r>
      <w:r w:rsidR="00DF003D" w:rsidRPr="00727B62">
        <w:rPr>
          <w:rFonts w:ascii="Arial" w:eastAsia="Times New Roman" w:hAnsi="Arial" w:cs="Arial"/>
          <w:kern w:val="0"/>
          <w:sz w:val="22"/>
          <w:szCs w:val="22"/>
          <w14:ligatures w14:val="none"/>
        </w:rPr>
        <w:t>.</w:t>
      </w:r>
    </w:p>
    <w:p w14:paraId="1FF2616B" w14:textId="77777777" w:rsidR="00AE1E0B" w:rsidRPr="00727B62" w:rsidRDefault="00AE1E0B"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21125DD7" w14:textId="595F02AC" w:rsidR="00AE1E0B" w:rsidRDefault="00AE1E0B" w:rsidP="00727B62">
      <w:pPr>
        <w:shd w:val="clear" w:color="auto" w:fill="FFFFFF"/>
        <w:spacing w:after="0" w:line="276" w:lineRule="auto"/>
        <w:textAlignment w:val="baseline"/>
        <w:outlineLvl w:val="1"/>
        <w:rPr>
          <w:rFonts w:ascii="Arial" w:eastAsia="Times New Roman" w:hAnsi="Arial" w:cs="Arial"/>
          <w:b/>
          <w:bCs/>
          <w:color w:val="00B050"/>
          <w:kern w:val="0"/>
          <w:sz w:val="22"/>
          <w:szCs w:val="22"/>
          <w14:ligatures w14:val="none"/>
        </w:rPr>
      </w:pPr>
      <w:r w:rsidRPr="00727B62">
        <w:rPr>
          <w:rFonts w:ascii="Arial" w:eastAsia="Times New Roman" w:hAnsi="Arial" w:cs="Arial"/>
          <w:b/>
          <w:bCs/>
          <w:color w:val="00B050"/>
          <w:kern w:val="0"/>
          <w:sz w:val="22"/>
          <w:szCs w:val="22"/>
          <w14:ligatures w14:val="none"/>
        </w:rPr>
        <w:t>Insulin</w:t>
      </w:r>
    </w:p>
    <w:p w14:paraId="3E834D31" w14:textId="77777777" w:rsidR="00604F80" w:rsidRDefault="00604F80" w:rsidP="00727B62">
      <w:pPr>
        <w:shd w:val="clear" w:color="auto" w:fill="FFFFFF"/>
        <w:spacing w:after="0" w:line="276" w:lineRule="auto"/>
        <w:textAlignment w:val="baseline"/>
        <w:outlineLvl w:val="1"/>
        <w:rPr>
          <w:rFonts w:ascii="Arial" w:eastAsia="Times New Roman" w:hAnsi="Arial" w:cs="Arial"/>
          <w:b/>
          <w:bCs/>
          <w:color w:val="00B050"/>
          <w:kern w:val="0"/>
          <w:sz w:val="22"/>
          <w:szCs w:val="22"/>
          <w14:ligatures w14:val="none"/>
        </w:rPr>
      </w:pPr>
    </w:p>
    <w:p w14:paraId="6628047A" w14:textId="5D311D95" w:rsidR="00604F80" w:rsidRPr="00604F80" w:rsidRDefault="00604F80" w:rsidP="00727B62">
      <w:pPr>
        <w:shd w:val="clear" w:color="auto" w:fill="FFFFFF"/>
        <w:spacing w:after="0" w:line="276" w:lineRule="auto"/>
        <w:textAlignment w:val="baseline"/>
        <w:outlineLvl w:val="1"/>
        <w:rPr>
          <w:rFonts w:ascii="Arial" w:eastAsia="Times New Roman" w:hAnsi="Arial" w:cs="Arial"/>
          <w:color w:val="EE0000"/>
          <w:kern w:val="0"/>
          <w:sz w:val="22"/>
          <w:szCs w:val="22"/>
          <w14:ligatures w14:val="none"/>
        </w:rPr>
      </w:pPr>
      <w:r w:rsidRPr="00604F80">
        <w:rPr>
          <w:rFonts w:ascii="Arial" w:eastAsia="Times New Roman" w:hAnsi="Arial" w:cs="Arial"/>
          <w:color w:val="EE0000"/>
          <w:kern w:val="0"/>
          <w:sz w:val="22"/>
          <w:szCs w:val="22"/>
          <w14:ligatures w14:val="none"/>
        </w:rPr>
        <w:t xml:space="preserve">DIABETIC KETOACIDOSIS </w:t>
      </w:r>
    </w:p>
    <w:p w14:paraId="048ED5D3" w14:textId="77777777" w:rsidR="00AE1E0B" w:rsidRPr="00727B62" w:rsidRDefault="00AE1E0B"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6176ED2A" w14:textId="73FBD672" w:rsidR="00637B93" w:rsidRPr="00727B62"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Insulin therapy is the mainstay of DKA treatment and should be started immediately after the diagnosis using a fixed-rate intravenous insulin infusion started at 0.1 units/kg/h. Short-acting insulin is the preferred choice. An insulin bolus (0.1 units/kg/hour) given </w:t>
      </w:r>
      <w:r w:rsidR="00196CB5">
        <w:rPr>
          <w:rFonts w:ascii="Arial" w:eastAsia="Times New Roman" w:hAnsi="Arial" w:cs="Arial"/>
          <w:kern w:val="0"/>
          <w:sz w:val="22"/>
          <w:szCs w:val="22"/>
          <w14:ligatures w14:val="none"/>
        </w:rPr>
        <w:t>subcut</w:t>
      </w:r>
      <w:r w:rsidR="00B61EF8">
        <w:rPr>
          <w:rFonts w:ascii="Arial" w:eastAsia="Times New Roman" w:hAnsi="Arial" w:cs="Arial"/>
          <w:kern w:val="0"/>
          <w:sz w:val="22"/>
          <w:szCs w:val="22"/>
          <w14:ligatures w14:val="none"/>
        </w:rPr>
        <w:t xml:space="preserve">aneously </w:t>
      </w:r>
      <w:r w:rsidR="00F40281">
        <w:rPr>
          <w:rFonts w:ascii="Arial" w:eastAsia="Times New Roman" w:hAnsi="Arial" w:cs="Arial"/>
          <w:kern w:val="0"/>
          <w:sz w:val="22"/>
          <w:szCs w:val="22"/>
          <w14:ligatures w14:val="none"/>
        </w:rPr>
        <w:t xml:space="preserve">(SC) </w:t>
      </w:r>
      <w:r w:rsidRPr="00727B62">
        <w:rPr>
          <w:rFonts w:ascii="Arial" w:eastAsia="Times New Roman" w:hAnsi="Arial" w:cs="Arial"/>
          <w:kern w:val="0"/>
          <w:sz w:val="22"/>
          <w:szCs w:val="22"/>
          <w14:ligatures w14:val="none"/>
        </w:rPr>
        <w:t>or intramuscularly if a delay in obtaining venous access is expected, followed by the fixed rate infusion</w:t>
      </w:r>
      <w:r w:rsidR="008F1EDF">
        <w:rPr>
          <w:rFonts w:ascii="Arial" w:eastAsia="Times New Roman" w:hAnsi="Arial" w:cs="Arial"/>
          <w:kern w:val="0"/>
          <w:sz w:val="22"/>
          <w:szCs w:val="22"/>
          <w14:ligatures w14:val="none"/>
        </w:rPr>
        <w:t xml:space="preserve"> </w:t>
      </w:r>
      <w:r w:rsidR="008F1EDF" w:rsidRPr="008F1EDF">
        <w:rPr>
          <w:rFonts w:ascii="Arial" w:eastAsia="Times New Roman" w:hAnsi="Arial" w:cs="Arial"/>
          <w:kern w:val="0"/>
          <w:sz w:val="22"/>
          <w:szCs w:val="22"/>
          <w14:ligatures w14:val="none"/>
        </w:rPr>
        <w:t>is suggested in some treatment protocols</w:t>
      </w:r>
      <w:r w:rsidRPr="00727B62">
        <w:rPr>
          <w:rFonts w:ascii="Arial" w:eastAsia="Times New Roman" w:hAnsi="Arial" w:cs="Arial"/>
          <w:kern w:val="0"/>
          <w:sz w:val="22"/>
          <w:szCs w:val="22"/>
          <w14:ligatures w14:val="none"/>
        </w:rPr>
        <w:t>. When blood glucose falls below 250 mg/dL (13.9 mmol/L), the rate should be halved to 0.05 units/kg/h. Subsequently, the infusion continues until the ketoacidosis is resolved and rate adjustments are made depending on the glucose levels with a target glucose of 200 mg/dl (11.1 mmol/l).</w:t>
      </w:r>
      <w:r w:rsidR="00A10B29">
        <w:rPr>
          <w:rFonts w:ascii="Arial" w:eastAsia="Times New Roman" w:hAnsi="Arial" w:cs="Arial"/>
          <w:kern w:val="0"/>
          <w:sz w:val="22"/>
          <w:szCs w:val="22"/>
          <w14:ligatures w14:val="none"/>
        </w:rPr>
        <w:t xml:space="preserve"> The same doses of insulin may be given subcutaneously (0.1unit/kg/hr or 0.2unit/kg/every 2 hours) in cases of ‘mild’ DKA.</w:t>
      </w:r>
    </w:p>
    <w:p w14:paraId="2A754D62" w14:textId="77777777" w:rsidR="00637B93" w:rsidRPr="00727B62"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3E65E387" w14:textId="48F0F7C9" w:rsidR="00637B93" w:rsidRPr="00727B62"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For patients on long-acting insulin before admission, basal insulin can be continued during the administration of the IV insulin infusion, which will later enable the transition to a </w:t>
      </w:r>
      <w:r w:rsidR="00DA5A6D">
        <w:rPr>
          <w:rFonts w:ascii="Arial" w:eastAsia="Times New Roman" w:hAnsi="Arial" w:cs="Arial"/>
          <w:kern w:val="0"/>
          <w:sz w:val="22"/>
          <w:szCs w:val="22"/>
          <w14:ligatures w14:val="none"/>
        </w:rPr>
        <w:t>SC basal</w:t>
      </w:r>
      <w:r w:rsidRPr="00727B62">
        <w:rPr>
          <w:rFonts w:ascii="Arial" w:eastAsia="Times New Roman" w:hAnsi="Arial" w:cs="Arial"/>
          <w:kern w:val="0"/>
          <w:sz w:val="22"/>
          <w:szCs w:val="22"/>
          <w14:ligatures w14:val="none"/>
        </w:rPr>
        <w:t xml:space="preserve"> bolus regimen. In the newly diagnosed patients, basal insulin is initiated at 0.15–0.3 units/kg. Once DKA has resolved and oral intake is adequate, IV insulin can be discontinued, and rapid acting insulin is resumed with meals or initiated in the newly diagnosed. For patients who hadn’t been on simultaneous IV insulin and SC basal insulin during treatment, the infusion should be stopped at least 1-2 hours after the administration of SC insulin. If oral intake is poor, transition to variable rate insulin infusion along with glucose solutions is recommended. Criteria for resolution of DKA include:</w:t>
      </w:r>
    </w:p>
    <w:p w14:paraId="65D68F54" w14:textId="77777777" w:rsidR="00637B93" w:rsidRPr="00727B62"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6BA2F06A" w14:textId="22C1102D" w:rsidR="00637B93" w:rsidRPr="00727B62" w:rsidRDefault="00637B93" w:rsidP="00324D51">
      <w:pPr>
        <w:pStyle w:val="ListParagraph"/>
        <w:numPr>
          <w:ilvl w:val="0"/>
          <w:numId w:val="6"/>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Blood glucose&lt; 200 mg/dl (11.1 mmol/l)</w:t>
      </w:r>
      <w:r w:rsidR="00020D87" w:rsidRPr="00727B62">
        <w:rPr>
          <w:rFonts w:ascii="Arial" w:eastAsia="Times New Roman" w:hAnsi="Arial" w:cs="Arial"/>
          <w:kern w:val="0"/>
          <w:sz w:val="22"/>
          <w:szCs w:val="22"/>
          <w14:ligatures w14:val="none"/>
        </w:rPr>
        <w:t>.</w:t>
      </w:r>
    </w:p>
    <w:p w14:paraId="64EE030C" w14:textId="41BBEEB5" w:rsidR="00637B93" w:rsidRPr="00727B62" w:rsidRDefault="00637B93" w:rsidP="00324D51">
      <w:pPr>
        <w:pStyle w:val="ListParagraph"/>
        <w:numPr>
          <w:ilvl w:val="0"/>
          <w:numId w:val="6"/>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Venous pH &gt; 7.3 and/or bicarbonate ≥18 mmol/L</w:t>
      </w:r>
      <w:r w:rsidR="00F56A82" w:rsidRPr="00727B62">
        <w:rPr>
          <w:rFonts w:ascii="Arial" w:eastAsia="Times New Roman" w:hAnsi="Arial" w:cs="Arial"/>
          <w:kern w:val="0"/>
          <w:sz w:val="22"/>
          <w:szCs w:val="22"/>
          <w14:ligatures w14:val="none"/>
        </w:rPr>
        <w:t>.</w:t>
      </w:r>
    </w:p>
    <w:p w14:paraId="19F7DCF8" w14:textId="730F63E4" w:rsidR="00637B93" w:rsidRPr="00727B62" w:rsidRDefault="00637B93" w:rsidP="00324D51">
      <w:pPr>
        <w:pStyle w:val="ListParagraph"/>
        <w:numPr>
          <w:ilvl w:val="0"/>
          <w:numId w:val="6"/>
        </w:numPr>
        <w:shd w:val="clear" w:color="auto" w:fill="FFFFFF"/>
        <w:spacing w:after="0" w:line="276" w:lineRule="auto"/>
        <w:ind w:left="360"/>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Plasma ketone &lt;0.6 mmol/L</w:t>
      </w:r>
      <w:r w:rsidR="00F56A82" w:rsidRPr="00727B62">
        <w:rPr>
          <w:rFonts w:ascii="Arial" w:eastAsia="Times New Roman" w:hAnsi="Arial" w:cs="Arial"/>
          <w:kern w:val="0"/>
          <w:sz w:val="22"/>
          <w:szCs w:val="22"/>
          <w14:ligatures w14:val="none"/>
        </w:rPr>
        <w:t>.</w:t>
      </w:r>
    </w:p>
    <w:p w14:paraId="27F3E0D5" w14:textId="77777777" w:rsidR="00311DC7" w:rsidRDefault="00311DC7"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092FDB99" w14:textId="77777777" w:rsidR="00311DC7" w:rsidRPr="00311DC7" w:rsidRDefault="00311DC7" w:rsidP="00311DC7">
      <w:pPr>
        <w:shd w:val="clear" w:color="auto" w:fill="FFFFFF"/>
        <w:spacing w:after="0" w:line="276" w:lineRule="auto"/>
        <w:textAlignment w:val="baseline"/>
        <w:outlineLvl w:val="1"/>
        <w:rPr>
          <w:rFonts w:ascii="Arial" w:eastAsia="Times New Roman" w:hAnsi="Arial" w:cs="Arial"/>
          <w:color w:val="EE0000"/>
          <w:kern w:val="0"/>
          <w:sz w:val="22"/>
          <w:szCs w:val="22"/>
          <w14:ligatures w14:val="none"/>
        </w:rPr>
      </w:pPr>
      <w:r w:rsidRPr="00311DC7">
        <w:rPr>
          <w:rFonts w:ascii="Arial" w:eastAsia="Times New Roman" w:hAnsi="Arial" w:cs="Arial"/>
          <w:color w:val="EE0000"/>
          <w:kern w:val="0"/>
          <w:sz w:val="22"/>
          <w:szCs w:val="22"/>
          <w14:ligatures w14:val="none"/>
        </w:rPr>
        <w:t xml:space="preserve">HYPEROSMOLAR HYPERGLYCEMIC STATE </w:t>
      </w:r>
    </w:p>
    <w:p w14:paraId="54E4E85D" w14:textId="52050CB7" w:rsidR="00637B93" w:rsidRPr="00727B62"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 </w:t>
      </w:r>
    </w:p>
    <w:p w14:paraId="051BEDFE" w14:textId="1AE1080D" w:rsidR="00637B93"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lastRenderedPageBreak/>
        <w:t>In HHS, mild or moderate ketonemia (blood β-hydroxybutyrate ≥1.0 to &lt;3.0 mmol/L or urine ketones &lt;2+) in the absence of acidosis (pH ≥7.3 and bicarbonate ≥18 mmol/L) is treated with IV fluids and a fixed-rate IV insulin infusion is only started once the glucose stops falling; this is to prevent large osmotic shifts and subsequently neurological complications. If insulin is required, the recommended initial rate is also more conservative at 0.05 units/kg/h.</w:t>
      </w:r>
      <w:r w:rsidR="00AF643E" w:rsidRPr="00727B62">
        <w:rPr>
          <w:rFonts w:ascii="Arial" w:eastAsia="Times New Roman" w:hAnsi="Arial" w:cs="Arial"/>
          <w:kern w:val="0"/>
          <w:sz w:val="22"/>
          <w:szCs w:val="22"/>
          <w14:ligatures w14:val="none"/>
        </w:rPr>
        <w:t xml:space="preserve"> The criteria for the resolution of HHS are </w:t>
      </w:r>
      <w:r w:rsidR="0062221B" w:rsidRPr="00727B62">
        <w:rPr>
          <w:rFonts w:ascii="Arial" w:eastAsia="Times New Roman" w:hAnsi="Arial" w:cs="Arial"/>
          <w:kern w:val="0"/>
          <w:sz w:val="22"/>
          <w:szCs w:val="22"/>
          <w14:ligatures w14:val="none"/>
        </w:rPr>
        <w:t xml:space="preserve">an </w:t>
      </w:r>
      <w:r w:rsidR="00AF643E" w:rsidRPr="00727B62">
        <w:rPr>
          <w:rFonts w:ascii="Arial" w:eastAsia="Times New Roman" w:hAnsi="Arial" w:cs="Arial"/>
          <w:kern w:val="0"/>
          <w:sz w:val="22"/>
          <w:szCs w:val="22"/>
          <w14:ligatures w14:val="none"/>
        </w:rPr>
        <w:t>overall serum osmolality (total and effective) below 300 mOsm/kg, blood glucose below 250 mg/dL (13.9 mmol/L), urine output above 0.5 mL/kg/h, and</w:t>
      </w:r>
      <w:r w:rsidR="0062221B" w:rsidRPr="00727B62">
        <w:rPr>
          <w:rFonts w:ascii="Arial" w:eastAsia="Times New Roman" w:hAnsi="Arial" w:cs="Arial"/>
          <w:kern w:val="0"/>
          <w:sz w:val="22"/>
          <w:szCs w:val="22"/>
          <w14:ligatures w14:val="none"/>
        </w:rPr>
        <w:t xml:space="preserve"> an</w:t>
      </w:r>
      <w:r w:rsidR="000F7AFD" w:rsidRPr="00727B62">
        <w:rPr>
          <w:rFonts w:ascii="Arial" w:eastAsia="Times New Roman" w:hAnsi="Arial" w:cs="Arial"/>
          <w:kern w:val="0"/>
          <w:sz w:val="22"/>
          <w:szCs w:val="22"/>
          <w14:ligatures w14:val="none"/>
        </w:rPr>
        <w:t xml:space="preserve"> improved cognition</w:t>
      </w:r>
      <w:r w:rsidR="00AF643E" w:rsidRPr="00727B62">
        <w:rPr>
          <w:rFonts w:ascii="Arial" w:eastAsia="Times New Roman" w:hAnsi="Arial" w:cs="Arial"/>
          <w:kern w:val="0"/>
          <w:sz w:val="22"/>
          <w:szCs w:val="22"/>
          <w14:ligatures w14:val="none"/>
        </w:rPr>
        <w:t>.</w:t>
      </w:r>
    </w:p>
    <w:p w14:paraId="5DD2A125" w14:textId="77777777" w:rsidR="00311DC7" w:rsidRDefault="00311DC7"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7660918F" w14:textId="7FDF4B3F" w:rsidR="00311DC7" w:rsidRPr="00D555A9" w:rsidRDefault="00D555A9" w:rsidP="00727B62">
      <w:pPr>
        <w:shd w:val="clear" w:color="auto" w:fill="FFFFFF"/>
        <w:spacing w:after="0" w:line="276" w:lineRule="auto"/>
        <w:textAlignment w:val="baseline"/>
        <w:outlineLvl w:val="1"/>
        <w:rPr>
          <w:rFonts w:ascii="Arial" w:eastAsia="Times New Roman" w:hAnsi="Arial" w:cs="Arial"/>
          <w:color w:val="EE0000"/>
          <w:kern w:val="0"/>
          <w:sz w:val="22"/>
          <w:szCs w:val="22"/>
          <w14:ligatures w14:val="none"/>
        </w:rPr>
      </w:pPr>
      <w:r w:rsidRPr="00D555A9">
        <w:rPr>
          <w:rFonts w:ascii="Arial" w:eastAsia="Times New Roman" w:hAnsi="Arial" w:cs="Arial"/>
          <w:color w:val="EE0000"/>
          <w:kern w:val="0"/>
          <w:sz w:val="22"/>
          <w:szCs w:val="22"/>
          <w14:ligatures w14:val="none"/>
        </w:rPr>
        <w:t>MIXED DKA/HHS</w:t>
      </w:r>
    </w:p>
    <w:p w14:paraId="1B85DC14" w14:textId="77777777" w:rsidR="00637B93" w:rsidRPr="00727B62"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48D1B986" w14:textId="162A2572" w:rsidR="00637B93" w:rsidRPr="00727B62" w:rsidRDefault="00637B93"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Mixed DKA/HHS is defined as hyperosmolality (&gt;320 mOsm/kg), β-hydroxybutyrate ≥3.0 mmol/L or ketonuria ≥2+ and presence of acidosis (pH &lt;7.30, or bicarbonate &lt;18 mmol/L) and has been reported in more than one-third of people with hyperglycemic crises. Similar to DKA, it requires higher doses of insulin (starting rate for fixed rate insulin infusion: 0.1 units/kg/h) and IV fluids with the goal to achieve a positive balance of 3–6 L during the first 12 h and the remaining replacement in the following 12 h, although complete resolution may take up to 72 h. Transition to SC insulin follows the same principles as DKA.</w:t>
      </w:r>
    </w:p>
    <w:p w14:paraId="7EE51F56" w14:textId="77777777" w:rsidR="001A6117" w:rsidRPr="00727B62" w:rsidRDefault="001A6117"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52F88511" w14:textId="511EC046" w:rsidR="00637B93" w:rsidRPr="00727B62" w:rsidRDefault="006103E7" w:rsidP="00727B62">
      <w:pPr>
        <w:shd w:val="clear" w:color="auto" w:fill="FFFFFF"/>
        <w:spacing w:after="0" w:line="276" w:lineRule="auto"/>
        <w:textAlignment w:val="baseline"/>
        <w:outlineLvl w:val="1"/>
        <w:rPr>
          <w:rFonts w:ascii="Arial" w:eastAsia="Times New Roman" w:hAnsi="Arial" w:cs="Arial"/>
          <w:b/>
          <w:bCs/>
          <w:color w:val="00B050"/>
          <w:kern w:val="0"/>
          <w:sz w:val="22"/>
          <w:szCs w:val="22"/>
          <w14:ligatures w14:val="none"/>
        </w:rPr>
      </w:pPr>
      <w:r w:rsidRPr="00727B62">
        <w:rPr>
          <w:rFonts w:ascii="Arial" w:eastAsia="Times New Roman" w:hAnsi="Arial" w:cs="Arial"/>
          <w:b/>
          <w:bCs/>
          <w:color w:val="00B050"/>
          <w:kern w:val="0"/>
          <w:sz w:val="22"/>
          <w:szCs w:val="22"/>
          <w14:ligatures w14:val="none"/>
        </w:rPr>
        <w:t>Potassium</w:t>
      </w:r>
    </w:p>
    <w:p w14:paraId="0E4C64A6" w14:textId="77777777" w:rsidR="006103E7" w:rsidRPr="00727B62" w:rsidRDefault="006103E7"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45F36687" w14:textId="0969A168" w:rsidR="006103E7" w:rsidRPr="00727B62" w:rsidRDefault="004E5634"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Potassium replacement </w:t>
      </w:r>
      <w:r w:rsidR="007D26C3">
        <w:rPr>
          <w:rFonts w:ascii="Arial" w:eastAsia="Times New Roman" w:hAnsi="Arial" w:cs="Arial"/>
          <w:kern w:val="0"/>
          <w:sz w:val="22"/>
          <w:szCs w:val="22"/>
          <w14:ligatures w14:val="none"/>
        </w:rPr>
        <w:t xml:space="preserve">in patients with </w:t>
      </w:r>
      <w:r w:rsidR="00173C47">
        <w:rPr>
          <w:rFonts w:ascii="Arial" w:eastAsia="Times New Roman" w:hAnsi="Arial" w:cs="Arial"/>
          <w:kern w:val="0"/>
          <w:sz w:val="22"/>
          <w:szCs w:val="22"/>
          <w14:ligatures w14:val="none"/>
        </w:rPr>
        <w:t xml:space="preserve">adequate renal function </w:t>
      </w:r>
      <w:r w:rsidRPr="00727B62">
        <w:rPr>
          <w:rFonts w:ascii="Arial" w:eastAsia="Times New Roman" w:hAnsi="Arial" w:cs="Arial"/>
          <w:kern w:val="0"/>
          <w:sz w:val="22"/>
          <w:szCs w:val="22"/>
          <w14:ligatures w14:val="none"/>
        </w:rPr>
        <w:t xml:space="preserve">should be started when serum levels are below 5.5 mmol/L with a target range of 4–5 mmol/L. This is usually achieved with 20–30 mmol of potassium in each liter of intravenous solution. Potassium levels below 3.5 mmol/L require a higher rate of </w:t>
      </w:r>
      <w:r w:rsidR="00D6032C" w:rsidRPr="00727B62">
        <w:rPr>
          <w:rFonts w:ascii="Arial" w:eastAsia="Times New Roman" w:hAnsi="Arial" w:cs="Arial"/>
          <w:kern w:val="0"/>
          <w:sz w:val="22"/>
          <w:szCs w:val="22"/>
          <w14:ligatures w14:val="none"/>
        </w:rPr>
        <w:t>replacement</w:t>
      </w:r>
      <w:r w:rsidR="00E23E5B" w:rsidRPr="00727B62">
        <w:rPr>
          <w:rFonts w:ascii="Arial" w:eastAsia="Times New Roman" w:hAnsi="Arial" w:cs="Arial"/>
          <w:kern w:val="0"/>
          <w:sz w:val="22"/>
          <w:szCs w:val="22"/>
          <w14:ligatures w14:val="none"/>
        </w:rPr>
        <w:t xml:space="preserve"> </w:t>
      </w:r>
      <w:r w:rsidR="00D6032C" w:rsidRPr="00727B62">
        <w:rPr>
          <w:rFonts w:ascii="Arial" w:eastAsia="Times New Roman" w:hAnsi="Arial" w:cs="Arial"/>
          <w:kern w:val="0"/>
          <w:sz w:val="22"/>
          <w:szCs w:val="22"/>
          <w14:ligatures w14:val="none"/>
        </w:rPr>
        <w:t>(</w:t>
      </w:r>
      <w:r w:rsidRPr="00727B62">
        <w:rPr>
          <w:rFonts w:ascii="Arial" w:eastAsia="Times New Roman" w:hAnsi="Arial" w:cs="Arial"/>
          <w:kern w:val="0"/>
          <w:sz w:val="22"/>
          <w:szCs w:val="22"/>
          <w14:ligatures w14:val="none"/>
        </w:rPr>
        <w:t>10 mmol/h</w:t>
      </w:r>
      <w:r w:rsidR="00D6032C" w:rsidRPr="00727B62">
        <w:rPr>
          <w:rFonts w:ascii="Arial" w:eastAsia="Times New Roman" w:hAnsi="Arial" w:cs="Arial"/>
          <w:kern w:val="0"/>
          <w:sz w:val="22"/>
          <w:szCs w:val="22"/>
          <w14:ligatures w14:val="none"/>
        </w:rPr>
        <w:t>)</w:t>
      </w:r>
      <w:r w:rsidRPr="00727B62">
        <w:rPr>
          <w:rFonts w:ascii="Arial" w:eastAsia="Times New Roman" w:hAnsi="Arial" w:cs="Arial"/>
          <w:kern w:val="0"/>
          <w:sz w:val="22"/>
          <w:szCs w:val="22"/>
          <w14:ligatures w14:val="none"/>
        </w:rPr>
        <w:t xml:space="preserve"> and insulin therapy should be deferred until the potassium level is above 3.5 mmol/L to reduce risk of lethal arrhythmias and respiratory muscle weakness</w:t>
      </w:r>
      <w:r w:rsidR="00D6032C" w:rsidRPr="00727B62">
        <w:rPr>
          <w:rFonts w:ascii="Arial" w:eastAsia="Times New Roman" w:hAnsi="Arial" w:cs="Arial"/>
          <w:kern w:val="0"/>
          <w:sz w:val="22"/>
          <w:szCs w:val="22"/>
          <w14:ligatures w14:val="none"/>
        </w:rPr>
        <w:t>.</w:t>
      </w:r>
      <w:r w:rsidR="00047FF9">
        <w:rPr>
          <w:rFonts w:ascii="Arial" w:eastAsia="Times New Roman" w:hAnsi="Arial" w:cs="Arial"/>
          <w:kern w:val="0"/>
          <w:sz w:val="22"/>
          <w:szCs w:val="22"/>
          <w14:ligatures w14:val="none"/>
        </w:rPr>
        <w:t xml:space="preserve"> Cardiac monitoring may be required depending on local protocols. </w:t>
      </w:r>
    </w:p>
    <w:p w14:paraId="011F8644" w14:textId="77777777" w:rsidR="00AE1E0B" w:rsidRPr="00727B62" w:rsidRDefault="00AE1E0B"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2A85186E" w14:textId="77777777" w:rsidR="00D84DCF" w:rsidRPr="00727B62" w:rsidRDefault="00D84DCF" w:rsidP="00727B62">
      <w:pPr>
        <w:shd w:val="clear" w:color="auto" w:fill="FFFFFF"/>
        <w:spacing w:after="0" w:line="276" w:lineRule="auto"/>
        <w:textAlignment w:val="baseline"/>
        <w:outlineLvl w:val="1"/>
        <w:rPr>
          <w:rFonts w:ascii="Arial" w:eastAsia="Times New Roman" w:hAnsi="Arial" w:cs="Arial"/>
          <w:b/>
          <w:bCs/>
          <w:color w:val="00B050"/>
          <w:kern w:val="0"/>
          <w:sz w:val="22"/>
          <w:szCs w:val="22"/>
          <w14:ligatures w14:val="none"/>
        </w:rPr>
      </w:pPr>
      <w:r w:rsidRPr="00727B62">
        <w:rPr>
          <w:rFonts w:ascii="Arial" w:eastAsia="Times New Roman" w:hAnsi="Arial" w:cs="Arial"/>
          <w:b/>
          <w:bCs/>
          <w:color w:val="00B050"/>
          <w:kern w:val="0"/>
          <w:sz w:val="22"/>
          <w:szCs w:val="22"/>
          <w14:ligatures w14:val="none"/>
        </w:rPr>
        <w:t>Bicarbonate</w:t>
      </w:r>
    </w:p>
    <w:p w14:paraId="4F06F1DA" w14:textId="77777777" w:rsidR="00D84DCF" w:rsidRPr="00727B62" w:rsidRDefault="00D84DCF"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 </w:t>
      </w:r>
    </w:p>
    <w:p w14:paraId="22F88B17" w14:textId="6C256243" w:rsidR="008E4046" w:rsidRPr="00727B62" w:rsidRDefault="00D84DCF"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Bicarbonate is not routinely administered since IV fluids and insulin usually suffice to correct the metabolic acidosis of DKA. Bicarbonate administration is limited </w:t>
      </w:r>
      <w:r w:rsidR="00D555A9">
        <w:rPr>
          <w:rFonts w:ascii="Arial" w:eastAsia="Times New Roman" w:hAnsi="Arial" w:cs="Arial"/>
          <w:kern w:val="0"/>
          <w:sz w:val="22"/>
          <w:szCs w:val="22"/>
          <w14:ligatures w14:val="none"/>
        </w:rPr>
        <w:t>to</w:t>
      </w:r>
      <w:r w:rsidRPr="00727B62">
        <w:rPr>
          <w:rFonts w:ascii="Arial" w:eastAsia="Times New Roman" w:hAnsi="Arial" w:cs="Arial"/>
          <w:kern w:val="0"/>
          <w:sz w:val="22"/>
          <w:szCs w:val="22"/>
          <w14:ligatures w14:val="none"/>
        </w:rPr>
        <w:t xml:space="preserve"> severe metabolic acidosis (i.e., pH &lt;7.0) </w:t>
      </w:r>
      <w:r w:rsidR="00EE706B" w:rsidRPr="00727B62">
        <w:rPr>
          <w:rFonts w:ascii="Arial" w:eastAsia="Times New Roman" w:hAnsi="Arial" w:cs="Arial"/>
          <w:kern w:val="0"/>
          <w:sz w:val="22"/>
          <w:szCs w:val="22"/>
          <w14:ligatures w14:val="none"/>
        </w:rPr>
        <w:t>where</w:t>
      </w:r>
      <w:r w:rsidRPr="00727B62">
        <w:rPr>
          <w:rFonts w:ascii="Arial" w:eastAsia="Times New Roman" w:hAnsi="Arial" w:cs="Arial"/>
          <w:kern w:val="0"/>
          <w:sz w:val="22"/>
          <w:szCs w:val="22"/>
          <w14:ligatures w14:val="none"/>
        </w:rPr>
        <w:t xml:space="preserve"> 100 mmol of sodium bicarbonate (8.4% solution) in 400 mL of an isotonic solution can be administered every 2 h to achieve a pH &gt;7.0.</w:t>
      </w:r>
    </w:p>
    <w:p w14:paraId="6A02ED4E" w14:textId="77777777" w:rsidR="00FB66A4" w:rsidRPr="00727B62" w:rsidRDefault="00FB66A4"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0AC7269F" w14:textId="77777777" w:rsidR="00FB66A4" w:rsidRPr="00727B62" w:rsidRDefault="00FB66A4" w:rsidP="00727B62">
      <w:pPr>
        <w:shd w:val="clear" w:color="auto" w:fill="FFFFFF"/>
        <w:spacing w:after="0" w:line="276" w:lineRule="auto"/>
        <w:textAlignment w:val="baseline"/>
        <w:outlineLvl w:val="1"/>
        <w:rPr>
          <w:rFonts w:ascii="Arial" w:eastAsia="Times New Roman" w:hAnsi="Arial" w:cs="Arial"/>
          <w:b/>
          <w:bCs/>
          <w:color w:val="00B050"/>
          <w:kern w:val="0"/>
          <w:sz w:val="22"/>
          <w:szCs w:val="22"/>
          <w14:ligatures w14:val="none"/>
        </w:rPr>
      </w:pPr>
      <w:r w:rsidRPr="00727B62">
        <w:rPr>
          <w:rFonts w:ascii="Arial" w:eastAsia="Times New Roman" w:hAnsi="Arial" w:cs="Arial"/>
          <w:b/>
          <w:bCs/>
          <w:color w:val="00B050"/>
          <w:kern w:val="0"/>
          <w:sz w:val="22"/>
          <w:szCs w:val="22"/>
          <w14:ligatures w14:val="none"/>
        </w:rPr>
        <w:t>Phosphate</w:t>
      </w:r>
    </w:p>
    <w:p w14:paraId="152152C5" w14:textId="77777777" w:rsidR="00FB66A4" w:rsidRPr="00727B62" w:rsidRDefault="00FB66A4"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 xml:space="preserve"> </w:t>
      </w:r>
    </w:p>
    <w:p w14:paraId="55D4C0ED" w14:textId="7E0422AE" w:rsidR="00FB66A4" w:rsidRPr="00727B62" w:rsidRDefault="00426B69"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Phosphate r</w:t>
      </w:r>
      <w:r w:rsidR="00FB66A4" w:rsidRPr="00727B62">
        <w:rPr>
          <w:rFonts w:ascii="Arial" w:eastAsia="Times New Roman" w:hAnsi="Arial" w:cs="Arial"/>
          <w:kern w:val="0"/>
          <w:sz w:val="22"/>
          <w:szCs w:val="22"/>
          <w14:ligatures w14:val="none"/>
        </w:rPr>
        <w:t>eplacement is indicated in the presence of muscle weakness or respiratory/cardiac distress and phosphate levels below 1.0 mmol/L. In this case 20–30 mmol of potassium phosphate is added to the replacement fluids.</w:t>
      </w:r>
    </w:p>
    <w:p w14:paraId="1FDE3FAD" w14:textId="77777777" w:rsidR="00426B69" w:rsidRPr="00727B62" w:rsidRDefault="00426B69"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50E9418B" w14:textId="6D40563F" w:rsidR="00426B69" w:rsidRPr="00727B62" w:rsidRDefault="005F3031"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kern w:val="0"/>
          <w:sz w:val="22"/>
          <w:szCs w:val="22"/>
          <w14:ligatures w14:val="none"/>
        </w:rPr>
        <w:t>Figure 1 summarizes the treatment of patients with DKA and figure 2 summarizes the treatment of patients with HSS.</w:t>
      </w:r>
      <w:r w:rsidR="003D7375">
        <w:rPr>
          <w:rFonts w:ascii="Arial" w:eastAsia="Times New Roman" w:hAnsi="Arial" w:cs="Arial"/>
          <w:kern w:val="0"/>
          <w:sz w:val="22"/>
          <w:szCs w:val="22"/>
          <w14:ligatures w14:val="none"/>
        </w:rPr>
        <w:t xml:space="preserve"> </w:t>
      </w:r>
    </w:p>
    <w:p w14:paraId="183E3811" w14:textId="77777777" w:rsidR="005F3031" w:rsidRPr="00727B62" w:rsidRDefault="005F3031"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p>
    <w:p w14:paraId="7449E72E" w14:textId="23693D7D" w:rsidR="005F3031" w:rsidRPr="00727B62" w:rsidRDefault="005F3031" w:rsidP="00727B62">
      <w:pPr>
        <w:shd w:val="clear" w:color="auto" w:fill="FFFFFF"/>
        <w:spacing w:after="0" w:line="276" w:lineRule="auto"/>
        <w:textAlignment w:val="baseline"/>
        <w:outlineLvl w:val="1"/>
        <w:rPr>
          <w:rFonts w:ascii="Arial" w:eastAsia="Times New Roman" w:hAnsi="Arial" w:cs="Arial"/>
          <w:kern w:val="0"/>
          <w:sz w:val="22"/>
          <w:szCs w:val="22"/>
          <w14:ligatures w14:val="none"/>
        </w:rPr>
      </w:pPr>
      <w:r w:rsidRPr="00727B62">
        <w:rPr>
          <w:rFonts w:ascii="Arial" w:eastAsia="Times New Roman" w:hAnsi="Arial" w:cs="Arial"/>
          <w:noProof/>
          <w:kern w:val="0"/>
          <w:sz w:val="22"/>
          <w:szCs w:val="22"/>
          <w14:ligatures w14:val="none"/>
        </w:rPr>
        <w:lastRenderedPageBreak/>
        <w:drawing>
          <wp:inline distT="0" distB="0" distL="0" distR="0" wp14:anchorId="5F914F02" wp14:editId="0B6AADB4">
            <wp:extent cx="6356325" cy="4074567"/>
            <wp:effectExtent l="0" t="0" r="6985" b="2540"/>
            <wp:docPr id="1237038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4662" cy="4079912"/>
                    </a:xfrm>
                    <a:prstGeom prst="rect">
                      <a:avLst/>
                    </a:prstGeom>
                    <a:noFill/>
                  </pic:spPr>
                </pic:pic>
              </a:graphicData>
            </a:graphic>
          </wp:inline>
        </w:drawing>
      </w:r>
    </w:p>
    <w:p w14:paraId="7F57B085" w14:textId="71F9F5CB" w:rsidR="008E4046" w:rsidRPr="00727B62" w:rsidRDefault="005F3031" w:rsidP="00727B62">
      <w:pPr>
        <w:shd w:val="clear" w:color="auto" w:fill="FFFFFF"/>
        <w:spacing w:after="0" w:line="276" w:lineRule="auto"/>
        <w:textAlignment w:val="baseline"/>
        <w:outlineLvl w:val="1"/>
        <w:rPr>
          <w:rFonts w:ascii="Arial" w:eastAsia="Times New Roman" w:hAnsi="Arial" w:cs="Arial"/>
          <w:b/>
          <w:bCs/>
          <w:kern w:val="0"/>
          <w:sz w:val="22"/>
          <w:szCs w:val="22"/>
          <w14:ligatures w14:val="none"/>
        </w:rPr>
      </w:pPr>
      <w:r w:rsidRPr="00727B62">
        <w:rPr>
          <w:rFonts w:ascii="Arial" w:eastAsia="Times New Roman" w:hAnsi="Arial" w:cs="Arial"/>
          <w:b/>
          <w:bCs/>
          <w:kern w:val="0"/>
          <w:sz w:val="22"/>
          <w:szCs w:val="22"/>
          <w14:ligatures w14:val="none"/>
        </w:rPr>
        <w:t>Figure 1. Treatment of patients with DKA</w:t>
      </w:r>
      <w:r w:rsidR="00BC51F4" w:rsidRPr="00727B62">
        <w:rPr>
          <w:rFonts w:ascii="Arial" w:eastAsia="Times New Roman" w:hAnsi="Arial" w:cs="Arial"/>
          <w:b/>
          <w:bCs/>
          <w:kern w:val="0"/>
          <w:sz w:val="22"/>
          <w:szCs w:val="22"/>
          <w14:ligatures w14:val="none"/>
        </w:rPr>
        <w:t>.</w:t>
      </w:r>
      <w:r w:rsidR="003A1620" w:rsidRPr="00727B62">
        <w:rPr>
          <w:rFonts w:ascii="Arial" w:eastAsia="Times New Roman" w:hAnsi="Arial" w:cs="Arial"/>
          <w:b/>
          <w:bCs/>
          <w:kern w:val="0"/>
          <w:sz w:val="22"/>
          <w:szCs w:val="22"/>
          <w14:ligatures w14:val="none"/>
        </w:rPr>
        <w:t xml:space="preserve"> Figure from Endotext chapter entitled “Hyperglycemic Crises”.</w:t>
      </w:r>
    </w:p>
    <w:p w14:paraId="07D7D51B" w14:textId="77777777" w:rsidR="00BC51F4" w:rsidRPr="00727B62" w:rsidRDefault="00BC51F4" w:rsidP="00727B62">
      <w:pPr>
        <w:shd w:val="clear" w:color="auto" w:fill="FFFFFF"/>
        <w:spacing w:after="0" w:line="276" w:lineRule="auto"/>
        <w:textAlignment w:val="baseline"/>
        <w:outlineLvl w:val="1"/>
        <w:rPr>
          <w:rFonts w:ascii="Arial" w:eastAsia="Times New Roman" w:hAnsi="Arial" w:cs="Arial"/>
          <w:b/>
          <w:bCs/>
          <w:kern w:val="0"/>
          <w:sz w:val="22"/>
          <w:szCs w:val="22"/>
          <w14:ligatures w14:val="none"/>
        </w:rPr>
      </w:pPr>
    </w:p>
    <w:p w14:paraId="56E291D7" w14:textId="1F09CA3D" w:rsidR="00BC51F4" w:rsidRPr="006E2001" w:rsidRDefault="00E9652A" w:rsidP="00727B62">
      <w:pPr>
        <w:shd w:val="clear" w:color="auto" w:fill="FFFFFF"/>
        <w:spacing w:after="0" w:line="276" w:lineRule="auto"/>
        <w:textAlignment w:val="baseline"/>
        <w:outlineLvl w:val="1"/>
        <w:rPr>
          <w:rFonts w:ascii="Arial" w:eastAsia="Times New Roman" w:hAnsi="Arial" w:cs="Arial"/>
          <w:b/>
          <w:bCs/>
          <w:kern w:val="0"/>
          <w:sz w:val="22"/>
          <w:szCs w:val="22"/>
          <w14:ligatures w14:val="none"/>
        </w:rPr>
      </w:pPr>
      <w:r w:rsidRPr="00727B62">
        <w:rPr>
          <w:rFonts w:ascii="Arial" w:eastAsia="Times New Roman" w:hAnsi="Arial" w:cs="Arial"/>
          <w:b/>
          <w:bCs/>
          <w:noProof/>
          <w:kern w:val="0"/>
          <w:sz w:val="22"/>
          <w:szCs w:val="22"/>
          <w14:ligatures w14:val="none"/>
        </w:rPr>
        <w:lastRenderedPageBreak/>
        <w:drawing>
          <wp:inline distT="0" distB="0" distL="0" distR="0" wp14:anchorId="1362E4A6" wp14:editId="4BAE17A6">
            <wp:extent cx="6472047" cy="3920249"/>
            <wp:effectExtent l="0" t="0" r="5080" b="4445"/>
            <wp:docPr id="231908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3983" cy="3933536"/>
                    </a:xfrm>
                    <a:prstGeom prst="rect">
                      <a:avLst/>
                    </a:prstGeom>
                    <a:noFill/>
                  </pic:spPr>
                </pic:pic>
              </a:graphicData>
            </a:graphic>
          </wp:inline>
        </w:drawing>
      </w:r>
    </w:p>
    <w:p w14:paraId="3809E194" w14:textId="0B31D3D3" w:rsidR="003A1620" w:rsidRPr="00727B62" w:rsidRDefault="00E9652A" w:rsidP="00727B62">
      <w:pPr>
        <w:spacing w:after="0" w:line="276" w:lineRule="auto"/>
        <w:rPr>
          <w:rFonts w:ascii="Arial" w:hAnsi="Arial" w:cs="Arial"/>
          <w:b/>
          <w:bCs/>
          <w:sz w:val="22"/>
          <w:szCs w:val="22"/>
        </w:rPr>
      </w:pPr>
      <w:r w:rsidRPr="00727B62">
        <w:rPr>
          <w:rFonts w:ascii="Arial" w:hAnsi="Arial" w:cs="Arial"/>
          <w:b/>
          <w:bCs/>
          <w:sz w:val="22"/>
          <w:szCs w:val="22"/>
        </w:rPr>
        <w:t>Figure</w:t>
      </w:r>
      <w:r w:rsidR="003A1620" w:rsidRPr="00727B62">
        <w:rPr>
          <w:rFonts w:ascii="Arial" w:hAnsi="Arial" w:cs="Arial"/>
          <w:b/>
          <w:bCs/>
          <w:sz w:val="22"/>
          <w:szCs w:val="22"/>
        </w:rPr>
        <w:t xml:space="preserve"> 2. Treatment of patients with HSS. Figure from Endotext chapter entitled “Hyperglycemic Crises”.</w:t>
      </w:r>
    </w:p>
    <w:p w14:paraId="5AC1C36C" w14:textId="77777777" w:rsidR="002B03C7" w:rsidRPr="00727B62" w:rsidRDefault="002B03C7" w:rsidP="00727B62">
      <w:pPr>
        <w:spacing w:after="0" w:line="276" w:lineRule="auto"/>
        <w:rPr>
          <w:rFonts w:ascii="Arial" w:hAnsi="Arial" w:cs="Arial"/>
          <w:b/>
          <w:bCs/>
          <w:sz w:val="22"/>
          <w:szCs w:val="22"/>
        </w:rPr>
      </w:pPr>
    </w:p>
    <w:p w14:paraId="3D93FCAE" w14:textId="36D8C313" w:rsidR="003A1620" w:rsidRDefault="00905749" w:rsidP="00727B62">
      <w:pPr>
        <w:spacing w:after="0" w:line="276" w:lineRule="auto"/>
        <w:rPr>
          <w:rFonts w:ascii="Arial" w:hAnsi="Arial" w:cs="Arial"/>
          <w:sz w:val="22"/>
          <w:szCs w:val="22"/>
        </w:rPr>
      </w:pPr>
      <w:r>
        <w:rPr>
          <w:rFonts w:ascii="Arial" w:hAnsi="Arial" w:cs="Arial"/>
          <w:sz w:val="22"/>
          <w:szCs w:val="22"/>
        </w:rPr>
        <w:t xml:space="preserve">It is important to closely monitor the </w:t>
      </w:r>
      <w:r w:rsidR="000A3DB4">
        <w:rPr>
          <w:rFonts w:ascii="Arial" w:hAnsi="Arial" w:cs="Arial"/>
          <w:sz w:val="22"/>
          <w:szCs w:val="22"/>
        </w:rPr>
        <w:t>patient’s</w:t>
      </w:r>
      <w:r>
        <w:rPr>
          <w:rFonts w:ascii="Arial" w:hAnsi="Arial" w:cs="Arial"/>
          <w:sz w:val="22"/>
          <w:szCs w:val="22"/>
        </w:rPr>
        <w:t xml:space="preserve"> response to therapy and </w:t>
      </w:r>
      <w:r w:rsidR="001A34A0">
        <w:rPr>
          <w:rFonts w:ascii="Arial" w:hAnsi="Arial" w:cs="Arial"/>
          <w:sz w:val="22"/>
          <w:szCs w:val="22"/>
        </w:rPr>
        <w:t xml:space="preserve">plasma glucose, </w:t>
      </w:r>
      <w:r w:rsidR="004E418C" w:rsidRPr="004E418C">
        <w:rPr>
          <w:rFonts w:ascii="Arial" w:hAnsi="Arial" w:cs="Arial"/>
          <w:sz w:val="22"/>
          <w:szCs w:val="22"/>
        </w:rPr>
        <w:t xml:space="preserve">electrolytes, BUN, creatinine, osmolality, </w:t>
      </w:r>
      <w:r w:rsidR="00FB5C33">
        <w:rPr>
          <w:rFonts w:ascii="Arial" w:hAnsi="Arial" w:cs="Arial"/>
          <w:sz w:val="22"/>
          <w:szCs w:val="22"/>
        </w:rPr>
        <w:t xml:space="preserve">and </w:t>
      </w:r>
      <w:r w:rsidR="004E418C" w:rsidRPr="004E418C">
        <w:rPr>
          <w:rFonts w:ascii="Arial" w:hAnsi="Arial" w:cs="Arial"/>
          <w:sz w:val="22"/>
          <w:szCs w:val="22"/>
        </w:rPr>
        <w:t>plasma β-hydroxybutyrate</w:t>
      </w:r>
      <w:r w:rsidR="00CC0CD0">
        <w:rPr>
          <w:rFonts w:ascii="Arial" w:hAnsi="Arial" w:cs="Arial"/>
          <w:sz w:val="22"/>
          <w:szCs w:val="22"/>
        </w:rPr>
        <w:t xml:space="preserve"> levels</w:t>
      </w:r>
      <w:r w:rsidR="00FB5C33">
        <w:rPr>
          <w:rFonts w:ascii="Arial" w:hAnsi="Arial" w:cs="Arial"/>
          <w:sz w:val="22"/>
          <w:szCs w:val="22"/>
        </w:rPr>
        <w:t xml:space="preserve"> and adjust therapy </w:t>
      </w:r>
      <w:r w:rsidR="00C32103">
        <w:rPr>
          <w:rFonts w:ascii="Arial" w:hAnsi="Arial" w:cs="Arial"/>
          <w:sz w:val="22"/>
          <w:szCs w:val="22"/>
        </w:rPr>
        <w:t>accordingly</w:t>
      </w:r>
      <w:r w:rsidR="00CC0CD0">
        <w:rPr>
          <w:rFonts w:ascii="Arial" w:hAnsi="Arial" w:cs="Arial"/>
          <w:sz w:val="22"/>
          <w:szCs w:val="22"/>
        </w:rPr>
        <w:t>. T</w:t>
      </w:r>
      <w:r w:rsidR="000B580B" w:rsidRPr="00727B62">
        <w:rPr>
          <w:rFonts w:ascii="Arial" w:hAnsi="Arial" w:cs="Arial"/>
          <w:sz w:val="22"/>
          <w:szCs w:val="22"/>
        </w:rPr>
        <w:t>he management of DKA/HSS is special situ</w:t>
      </w:r>
      <w:r w:rsidR="009A4920" w:rsidRPr="00727B62">
        <w:rPr>
          <w:rFonts w:ascii="Arial" w:hAnsi="Arial" w:cs="Arial"/>
          <w:sz w:val="22"/>
          <w:szCs w:val="22"/>
        </w:rPr>
        <w:t>ations such as pregnancy</w:t>
      </w:r>
      <w:r w:rsidR="00D324DC" w:rsidRPr="00727B62">
        <w:rPr>
          <w:rFonts w:ascii="Arial" w:hAnsi="Arial" w:cs="Arial"/>
          <w:sz w:val="22"/>
          <w:szCs w:val="22"/>
        </w:rPr>
        <w:t xml:space="preserve"> and chronic kidney disease are discussed in the Endotext chapter entitled</w:t>
      </w:r>
      <w:r w:rsidR="00301741" w:rsidRPr="00727B62">
        <w:rPr>
          <w:rFonts w:ascii="Arial" w:hAnsi="Arial" w:cs="Arial"/>
          <w:sz w:val="22"/>
          <w:szCs w:val="22"/>
        </w:rPr>
        <w:t xml:space="preserve"> “Hyperglycemic Crises”.</w:t>
      </w:r>
      <w:r w:rsidR="00D324DC" w:rsidRPr="00727B62">
        <w:rPr>
          <w:rFonts w:ascii="Arial" w:hAnsi="Arial" w:cs="Arial"/>
          <w:sz w:val="22"/>
          <w:szCs w:val="22"/>
        </w:rPr>
        <w:t xml:space="preserve"> </w:t>
      </w:r>
    </w:p>
    <w:p w14:paraId="31DEA69F" w14:textId="77777777" w:rsidR="008D11F6" w:rsidRDefault="008D11F6" w:rsidP="00727B62">
      <w:pPr>
        <w:spacing w:after="0" w:line="276" w:lineRule="auto"/>
        <w:rPr>
          <w:rFonts w:ascii="Arial" w:hAnsi="Arial" w:cs="Arial"/>
          <w:sz w:val="22"/>
          <w:szCs w:val="22"/>
        </w:rPr>
      </w:pPr>
    </w:p>
    <w:p w14:paraId="4A526253" w14:textId="5C1F15F6" w:rsidR="008D11F6" w:rsidRPr="00727B62" w:rsidRDefault="008D11F6" w:rsidP="00727B62">
      <w:pPr>
        <w:spacing w:after="0" w:line="276" w:lineRule="auto"/>
        <w:rPr>
          <w:rFonts w:ascii="Arial" w:hAnsi="Arial" w:cs="Arial"/>
          <w:sz w:val="22"/>
          <w:szCs w:val="22"/>
        </w:rPr>
      </w:pPr>
      <w:r w:rsidRPr="008D11F6">
        <w:rPr>
          <w:rFonts w:ascii="Arial" w:hAnsi="Arial" w:cs="Arial"/>
          <w:sz w:val="22"/>
          <w:szCs w:val="22"/>
        </w:rPr>
        <w:t xml:space="preserve">Evaluation for and treatment of potential </w:t>
      </w:r>
      <w:r w:rsidR="00C66574" w:rsidRPr="008D11F6">
        <w:rPr>
          <w:rFonts w:ascii="Arial" w:hAnsi="Arial" w:cs="Arial"/>
          <w:sz w:val="22"/>
          <w:szCs w:val="22"/>
        </w:rPr>
        <w:t>precipitating</w:t>
      </w:r>
      <w:r w:rsidRPr="008D11F6">
        <w:rPr>
          <w:rFonts w:ascii="Arial" w:hAnsi="Arial" w:cs="Arial"/>
          <w:sz w:val="22"/>
          <w:szCs w:val="22"/>
        </w:rPr>
        <w:t xml:space="preserve"> factors is important</w:t>
      </w:r>
      <w:r w:rsidR="00047FF9">
        <w:rPr>
          <w:rFonts w:ascii="Arial" w:hAnsi="Arial" w:cs="Arial"/>
          <w:sz w:val="22"/>
          <w:szCs w:val="22"/>
        </w:rPr>
        <w:t>,</w:t>
      </w:r>
      <w:r w:rsidR="0071092C">
        <w:rPr>
          <w:rFonts w:ascii="Arial" w:hAnsi="Arial" w:cs="Arial"/>
          <w:sz w:val="22"/>
          <w:szCs w:val="22"/>
        </w:rPr>
        <w:t xml:space="preserve"> and</w:t>
      </w:r>
      <w:r w:rsidRPr="008D11F6">
        <w:rPr>
          <w:rFonts w:ascii="Arial" w:hAnsi="Arial" w:cs="Arial"/>
          <w:sz w:val="22"/>
          <w:szCs w:val="22"/>
        </w:rPr>
        <w:t xml:space="preserve"> mortality is </w:t>
      </w:r>
      <w:r w:rsidR="00275AEB">
        <w:rPr>
          <w:rFonts w:ascii="Arial" w:hAnsi="Arial" w:cs="Arial"/>
          <w:sz w:val="22"/>
          <w:szCs w:val="22"/>
        </w:rPr>
        <w:t xml:space="preserve">frequently secondary to the </w:t>
      </w:r>
      <w:r w:rsidRPr="008D11F6">
        <w:rPr>
          <w:rFonts w:ascii="Arial" w:hAnsi="Arial" w:cs="Arial"/>
          <w:sz w:val="22"/>
          <w:szCs w:val="22"/>
        </w:rPr>
        <w:t xml:space="preserve">precipitating factors. For this reason, appropriate </w:t>
      </w:r>
      <w:r w:rsidR="00965FDC">
        <w:rPr>
          <w:rFonts w:ascii="Arial" w:hAnsi="Arial" w:cs="Arial"/>
          <w:sz w:val="22"/>
          <w:szCs w:val="22"/>
        </w:rPr>
        <w:t xml:space="preserve">evaluation </w:t>
      </w:r>
      <w:r w:rsidRPr="008D11F6">
        <w:rPr>
          <w:rFonts w:ascii="Arial" w:hAnsi="Arial" w:cs="Arial"/>
          <w:sz w:val="22"/>
          <w:szCs w:val="22"/>
        </w:rPr>
        <w:t>and treatment</w:t>
      </w:r>
      <w:r w:rsidR="00965FDC">
        <w:rPr>
          <w:rFonts w:ascii="Arial" w:hAnsi="Arial" w:cs="Arial"/>
          <w:sz w:val="22"/>
          <w:szCs w:val="22"/>
        </w:rPr>
        <w:t xml:space="preserve"> </w:t>
      </w:r>
      <w:r w:rsidR="00685C34">
        <w:rPr>
          <w:rFonts w:ascii="Arial" w:hAnsi="Arial" w:cs="Arial"/>
          <w:sz w:val="22"/>
          <w:szCs w:val="22"/>
        </w:rPr>
        <w:t>are</w:t>
      </w:r>
      <w:r w:rsidR="00965FDC">
        <w:rPr>
          <w:rFonts w:ascii="Arial" w:hAnsi="Arial" w:cs="Arial"/>
          <w:sz w:val="22"/>
          <w:szCs w:val="22"/>
        </w:rPr>
        <w:t xml:space="preserve"> crucial</w:t>
      </w:r>
      <w:r w:rsidRPr="008D11F6">
        <w:rPr>
          <w:rFonts w:ascii="Arial" w:hAnsi="Arial" w:cs="Arial"/>
          <w:sz w:val="22"/>
          <w:szCs w:val="22"/>
        </w:rPr>
        <w:t>.</w:t>
      </w:r>
    </w:p>
    <w:p w14:paraId="3E20AC6B" w14:textId="77777777" w:rsidR="002D2D10" w:rsidRPr="00727B62" w:rsidRDefault="002D2D10" w:rsidP="00727B62">
      <w:pPr>
        <w:spacing w:after="0" w:line="276" w:lineRule="auto"/>
        <w:rPr>
          <w:rFonts w:ascii="Arial" w:hAnsi="Arial" w:cs="Arial"/>
          <w:sz w:val="22"/>
          <w:szCs w:val="22"/>
        </w:rPr>
      </w:pPr>
    </w:p>
    <w:p w14:paraId="75CD20B4" w14:textId="5986988B" w:rsidR="002D2D10" w:rsidRPr="00727B62" w:rsidRDefault="00D92CFC" w:rsidP="00727B62">
      <w:pPr>
        <w:spacing w:after="0" w:line="276" w:lineRule="auto"/>
        <w:rPr>
          <w:rFonts w:ascii="Arial" w:hAnsi="Arial" w:cs="Arial"/>
          <w:b/>
          <w:bCs/>
          <w:color w:val="0070C0"/>
          <w:sz w:val="22"/>
          <w:szCs w:val="22"/>
        </w:rPr>
      </w:pPr>
      <w:r w:rsidRPr="00727B62">
        <w:rPr>
          <w:rFonts w:ascii="Arial" w:hAnsi="Arial" w:cs="Arial"/>
          <w:b/>
          <w:bCs/>
          <w:color w:val="0070C0"/>
          <w:sz w:val="22"/>
          <w:szCs w:val="22"/>
        </w:rPr>
        <w:t>FOLLOWUP</w:t>
      </w:r>
    </w:p>
    <w:p w14:paraId="34447CDC" w14:textId="77777777" w:rsidR="00D92CFC" w:rsidRPr="00727B62" w:rsidRDefault="00D92CFC" w:rsidP="00727B62">
      <w:pPr>
        <w:spacing w:after="0" w:line="276" w:lineRule="auto"/>
        <w:rPr>
          <w:rFonts w:ascii="Arial" w:hAnsi="Arial" w:cs="Arial"/>
          <w:b/>
          <w:bCs/>
          <w:color w:val="0070C0"/>
          <w:sz w:val="22"/>
          <w:szCs w:val="22"/>
        </w:rPr>
      </w:pPr>
    </w:p>
    <w:p w14:paraId="62E76D60" w14:textId="1235AA45" w:rsidR="00D92CFC" w:rsidRPr="00727B62" w:rsidRDefault="00922811" w:rsidP="00727B62">
      <w:pPr>
        <w:spacing w:after="0" w:line="276" w:lineRule="auto"/>
        <w:rPr>
          <w:rFonts w:ascii="Arial" w:hAnsi="Arial" w:cs="Arial"/>
          <w:sz w:val="22"/>
          <w:szCs w:val="22"/>
        </w:rPr>
      </w:pPr>
      <w:r w:rsidRPr="00727B62">
        <w:rPr>
          <w:rFonts w:ascii="Arial" w:hAnsi="Arial" w:cs="Arial"/>
          <w:sz w:val="22"/>
          <w:szCs w:val="22"/>
        </w:rPr>
        <w:t xml:space="preserve">Preventing </w:t>
      </w:r>
      <w:r w:rsidR="00D96FC4" w:rsidRPr="00727B62">
        <w:rPr>
          <w:rFonts w:ascii="Arial" w:hAnsi="Arial" w:cs="Arial"/>
          <w:sz w:val="22"/>
          <w:szCs w:val="22"/>
        </w:rPr>
        <w:t>further episodes of DKA/HSS is essential</w:t>
      </w:r>
      <w:r w:rsidR="0030379A">
        <w:rPr>
          <w:rFonts w:ascii="Arial" w:hAnsi="Arial" w:cs="Arial"/>
          <w:sz w:val="22"/>
          <w:szCs w:val="22"/>
        </w:rPr>
        <w:t xml:space="preserve"> as </w:t>
      </w:r>
      <w:r w:rsidR="00E72D5A">
        <w:rPr>
          <w:rFonts w:ascii="Arial" w:hAnsi="Arial" w:cs="Arial"/>
          <w:sz w:val="22"/>
          <w:szCs w:val="22"/>
        </w:rPr>
        <w:t xml:space="preserve">a </w:t>
      </w:r>
      <w:r w:rsidR="0030379A" w:rsidRPr="0030379A">
        <w:rPr>
          <w:rFonts w:ascii="Arial" w:hAnsi="Arial" w:cs="Arial"/>
          <w:sz w:val="22"/>
          <w:szCs w:val="22"/>
        </w:rPr>
        <w:t>substantial proportion</w:t>
      </w:r>
      <w:r w:rsidR="0030379A">
        <w:rPr>
          <w:rFonts w:ascii="Arial" w:hAnsi="Arial" w:cs="Arial"/>
          <w:sz w:val="22"/>
          <w:szCs w:val="22"/>
        </w:rPr>
        <w:t xml:space="preserve"> of patients have recurrent </w:t>
      </w:r>
      <w:r w:rsidR="00E72D5A">
        <w:rPr>
          <w:rFonts w:ascii="Arial" w:hAnsi="Arial" w:cs="Arial"/>
          <w:sz w:val="22"/>
          <w:szCs w:val="22"/>
        </w:rPr>
        <w:t>events</w:t>
      </w:r>
      <w:r w:rsidR="00BA6FB9" w:rsidRPr="00727B62">
        <w:rPr>
          <w:rFonts w:ascii="Arial" w:hAnsi="Arial" w:cs="Arial"/>
          <w:sz w:val="22"/>
          <w:szCs w:val="22"/>
        </w:rPr>
        <w:t xml:space="preserve">. </w:t>
      </w:r>
      <w:r w:rsidR="00F22E77" w:rsidRPr="00727B62">
        <w:rPr>
          <w:rFonts w:ascii="Arial" w:hAnsi="Arial" w:cs="Arial"/>
          <w:sz w:val="22"/>
          <w:szCs w:val="22"/>
        </w:rPr>
        <w:t xml:space="preserve">Recurrent episodes of DKA occur more frequently in females, young age groups, ethnic minorities, </w:t>
      </w:r>
      <w:r w:rsidR="00A7011D" w:rsidRPr="00727B62">
        <w:rPr>
          <w:rFonts w:ascii="Arial" w:hAnsi="Arial" w:cs="Arial"/>
          <w:sz w:val="22"/>
          <w:szCs w:val="22"/>
        </w:rPr>
        <w:t>l</w:t>
      </w:r>
      <w:r w:rsidR="00E55024" w:rsidRPr="00727B62">
        <w:rPr>
          <w:rFonts w:ascii="Arial" w:hAnsi="Arial" w:cs="Arial"/>
          <w:sz w:val="22"/>
          <w:szCs w:val="22"/>
        </w:rPr>
        <w:t xml:space="preserve">ow socioeconomic </w:t>
      </w:r>
      <w:r w:rsidR="00A7011D" w:rsidRPr="00727B62">
        <w:rPr>
          <w:rFonts w:ascii="Arial" w:hAnsi="Arial" w:cs="Arial"/>
          <w:sz w:val="22"/>
          <w:szCs w:val="22"/>
        </w:rPr>
        <w:t>groups, individuals with</w:t>
      </w:r>
      <w:r w:rsidR="00E55024" w:rsidRPr="00727B62">
        <w:rPr>
          <w:rFonts w:ascii="Arial" w:hAnsi="Arial" w:cs="Arial"/>
          <w:sz w:val="22"/>
          <w:szCs w:val="22"/>
        </w:rPr>
        <w:t xml:space="preserve"> substance abuse</w:t>
      </w:r>
      <w:r w:rsidR="00A7011D" w:rsidRPr="00727B62">
        <w:rPr>
          <w:rFonts w:ascii="Arial" w:hAnsi="Arial" w:cs="Arial"/>
          <w:sz w:val="22"/>
          <w:szCs w:val="22"/>
        </w:rPr>
        <w:t xml:space="preserve">, </w:t>
      </w:r>
      <w:r w:rsidR="00F22E77" w:rsidRPr="00727B62">
        <w:rPr>
          <w:rFonts w:ascii="Arial" w:hAnsi="Arial" w:cs="Arial"/>
          <w:sz w:val="22"/>
          <w:szCs w:val="22"/>
        </w:rPr>
        <w:t>and individuals with suboptimal glycemic control</w:t>
      </w:r>
      <w:r w:rsidR="007356BE" w:rsidRPr="00727B62">
        <w:rPr>
          <w:rFonts w:ascii="Arial" w:hAnsi="Arial" w:cs="Arial"/>
          <w:sz w:val="22"/>
          <w:szCs w:val="22"/>
        </w:rPr>
        <w:t xml:space="preserve"> with</w:t>
      </w:r>
      <w:r w:rsidR="00F22E77" w:rsidRPr="00727B62">
        <w:rPr>
          <w:rFonts w:ascii="Arial" w:hAnsi="Arial" w:cs="Arial"/>
          <w:sz w:val="22"/>
          <w:szCs w:val="22"/>
        </w:rPr>
        <w:t xml:space="preserve"> </w:t>
      </w:r>
      <w:r w:rsidR="007356BE" w:rsidRPr="00727B62">
        <w:rPr>
          <w:rFonts w:ascii="Arial" w:hAnsi="Arial" w:cs="Arial"/>
          <w:sz w:val="22"/>
          <w:szCs w:val="22"/>
        </w:rPr>
        <w:t>t</w:t>
      </w:r>
      <w:r w:rsidR="00F22E77" w:rsidRPr="00727B62">
        <w:rPr>
          <w:rFonts w:ascii="Arial" w:hAnsi="Arial" w:cs="Arial"/>
          <w:sz w:val="22"/>
          <w:szCs w:val="22"/>
        </w:rPr>
        <w:t>he most frequent trigger insulin omission</w:t>
      </w:r>
      <w:r w:rsidR="00B04CBD" w:rsidRPr="00727B62">
        <w:rPr>
          <w:rFonts w:ascii="Arial" w:hAnsi="Arial" w:cs="Arial"/>
          <w:sz w:val="22"/>
          <w:szCs w:val="22"/>
        </w:rPr>
        <w:t>.</w:t>
      </w:r>
      <w:r w:rsidR="00A7011D" w:rsidRPr="00727B62">
        <w:rPr>
          <w:rFonts w:ascii="Arial" w:hAnsi="Arial" w:cs="Arial"/>
          <w:sz w:val="22"/>
          <w:szCs w:val="22"/>
        </w:rPr>
        <w:t xml:space="preserve"> </w:t>
      </w:r>
    </w:p>
    <w:p w14:paraId="039F1F17" w14:textId="77777777" w:rsidR="00CC18BD" w:rsidRPr="00727B62" w:rsidRDefault="00CC18BD" w:rsidP="00727B62">
      <w:pPr>
        <w:spacing w:after="0" w:line="276" w:lineRule="auto"/>
        <w:rPr>
          <w:rFonts w:ascii="Arial" w:hAnsi="Arial" w:cs="Arial"/>
          <w:sz w:val="22"/>
          <w:szCs w:val="22"/>
        </w:rPr>
      </w:pPr>
    </w:p>
    <w:p w14:paraId="0AF05727" w14:textId="091C22A5" w:rsidR="00016E57" w:rsidRPr="00727B62" w:rsidRDefault="00CC18BD" w:rsidP="00727B62">
      <w:pPr>
        <w:spacing w:after="0" w:line="276" w:lineRule="auto"/>
        <w:rPr>
          <w:rFonts w:ascii="Arial" w:hAnsi="Arial" w:cs="Arial"/>
          <w:sz w:val="22"/>
          <w:szCs w:val="22"/>
        </w:rPr>
      </w:pPr>
      <w:r w:rsidRPr="00727B62">
        <w:rPr>
          <w:rFonts w:ascii="Arial" w:hAnsi="Arial" w:cs="Arial"/>
          <w:sz w:val="22"/>
          <w:szCs w:val="22"/>
        </w:rPr>
        <w:t>It is important to recognize the possibility of ketosis prone diabetes as these individuals often do not require long term insulin therapy</w:t>
      </w:r>
      <w:r w:rsidR="006F78CF" w:rsidRPr="00727B62">
        <w:rPr>
          <w:rFonts w:ascii="Arial" w:hAnsi="Arial" w:cs="Arial"/>
          <w:sz w:val="22"/>
          <w:szCs w:val="22"/>
        </w:rPr>
        <w:t xml:space="preserve">. </w:t>
      </w:r>
      <w:r w:rsidR="0003389E" w:rsidRPr="00727B62">
        <w:rPr>
          <w:rFonts w:ascii="Arial" w:hAnsi="Arial" w:cs="Arial"/>
          <w:sz w:val="22"/>
          <w:szCs w:val="22"/>
        </w:rPr>
        <w:t>This disorder most frequently occurs in African, Asian, Indian, and Hispanic populations. It</w:t>
      </w:r>
      <w:r w:rsidR="00F06FB7">
        <w:rPr>
          <w:rFonts w:ascii="Arial" w:hAnsi="Arial" w:cs="Arial"/>
          <w:sz w:val="22"/>
          <w:szCs w:val="22"/>
        </w:rPr>
        <w:t xml:space="preserve"> i</w:t>
      </w:r>
      <w:r w:rsidR="0003389E" w:rsidRPr="00727B62">
        <w:rPr>
          <w:rFonts w:ascii="Arial" w:hAnsi="Arial" w:cs="Arial"/>
          <w:sz w:val="22"/>
          <w:szCs w:val="22"/>
        </w:rPr>
        <w:t xml:space="preserve">s estimated that it accounts for 25% to 50% of African Americans and Hispanics with a new diagnosis of DKA. </w:t>
      </w:r>
      <w:r w:rsidR="00402AA3" w:rsidRPr="00727B62">
        <w:rPr>
          <w:rFonts w:ascii="Arial" w:hAnsi="Arial" w:cs="Arial"/>
          <w:sz w:val="22"/>
          <w:szCs w:val="22"/>
        </w:rPr>
        <w:t>These</w:t>
      </w:r>
      <w:r w:rsidR="00786D2C" w:rsidRPr="00727B62">
        <w:rPr>
          <w:rFonts w:ascii="Arial" w:hAnsi="Arial" w:cs="Arial"/>
          <w:sz w:val="22"/>
          <w:szCs w:val="22"/>
        </w:rPr>
        <w:t xml:space="preserve"> patients are negative for GAD </w:t>
      </w:r>
      <w:r w:rsidR="00786D2C" w:rsidRPr="00727B62">
        <w:rPr>
          <w:rFonts w:ascii="Arial" w:hAnsi="Arial" w:cs="Arial"/>
          <w:sz w:val="22"/>
          <w:szCs w:val="22"/>
        </w:rPr>
        <w:lastRenderedPageBreak/>
        <w:t xml:space="preserve">and anti-islet cell </w:t>
      </w:r>
      <w:r w:rsidR="00232060" w:rsidRPr="00727B62">
        <w:rPr>
          <w:rFonts w:ascii="Arial" w:hAnsi="Arial" w:cs="Arial"/>
          <w:sz w:val="22"/>
          <w:szCs w:val="22"/>
        </w:rPr>
        <w:t>antibodies,</w:t>
      </w:r>
      <w:r w:rsidR="00786D2C" w:rsidRPr="00727B62">
        <w:rPr>
          <w:rFonts w:ascii="Arial" w:hAnsi="Arial" w:cs="Arial"/>
          <w:sz w:val="22"/>
          <w:szCs w:val="22"/>
        </w:rPr>
        <w:t xml:space="preserve"> </w:t>
      </w:r>
      <w:r w:rsidR="004E0E56" w:rsidRPr="00727B62">
        <w:rPr>
          <w:rFonts w:ascii="Arial" w:hAnsi="Arial" w:cs="Arial"/>
          <w:sz w:val="22"/>
          <w:szCs w:val="22"/>
        </w:rPr>
        <w:t xml:space="preserve">and the </w:t>
      </w:r>
      <w:r w:rsidR="003B544E" w:rsidRPr="00727B62">
        <w:rPr>
          <w:rFonts w:ascii="Arial" w:hAnsi="Arial" w:cs="Arial"/>
          <w:sz w:val="22"/>
          <w:szCs w:val="22"/>
        </w:rPr>
        <w:t xml:space="preserve">lack of beta cell insulin secretion returns towards normal with </w:t>
      </w:r>
      <w:r w:rsidR="00016E57" w:rsidRPr="00727B62">
        <w:rPr>
          <w:rFonts w:ascii="Arial" w:hAnsi="Arial" w:cs="Arial"/>
          <w:sz w:val="22"/>
          <w:szCs w:val="22"/>
        </w:rPr>
        <w:t>normoglycemia.</w:t>
      </w:r>
    </w:p>
    <w:p w14:paraId="14BEE499" w14:textId="77777777" w:rsidR="00232060" w:rsidRPr="00727B62" w:rsidRDefault="00232060" w:rsidP="00727B62">
      <w:pPr>
        <w:spacing w:after="0" w:line="276" w:lineRule="auto"/>
        <w:rPr>
          <w:rFonts w:ascii="Arial" w:hAnsi="Arial" w:cs="Arial"/>
          <w:sz w:val="22"/>
          <w:szCs w:val="22"/>
        </w:rPr>
      </w:pPr>
    </w:p>
    <w:p w14:paraId="17129B7E" w14:textId="30B062BD" w:rsidR="00232060" w:rsidRPr="00727B62" w:rsidRDefault="00232060" w:rsidP="00727B62">
      <w:pPr>
        <w:spacing w:after="0" w:line="276" w:lineRule="auto"/>
        <w:rPr>
          <w:rFonts w:ascii="Arial" w:hAnsi="Arial" w:cs="Arial"/>
          <w:b/>
          <w:bCs/>
          <w:color w:val="0070C0"/>
          <w:sz w:val="22"/>
          <w:szCs w:val="22"/>
        </w:rPr>
      </w:pPr>
      <w:r w:rsidRPr="00727B62">
        <w:rPr>
          <w:rFonts w:ascii="Arial" w:hAnsi="Arial" w:cs="Arial"/>
          <w:b/>
          <w:bCs/>
          <w:color w:val="0070C0"/>
          <w:sz w:val="22"/>
          <w:szCs w:val="22"/>
        </w:rPr>
        <w:t>REFERENCES</w:t>
      </w:r>
    </w:p>
    <w:p w14:paraId="2059A64A" w14:textId="77777777" w:rsidR="00016E57" w:rsidRDefault="00016E57" w:rsidP="002B03C7">
      <w:pPr>
        <w:spacing w:after="0" w:line="276" w:lineRule="auto"/>
        <w:rPr>
          <w:rFonts w:ascii="Arial" w:hAnsi="Arial" w:cs="Arial"/>
          <w:sz w:val="22"/>
          <w:szCs w:val="22"/>
        </w:rPr>
      </w:pPr>
    </w:p>
    <w:p w14:paraId="4CD3395B" w14:textId="43D8FC03" w:rsidR="005C1633" w:rsidRDefault="005C1633" w:rsidP="00727B62">
      <w:pPr>
        <w:pStyle w:val="ListParagraph"/>
        <w:numPr>
          <w:ilvl w:val="0"/>
          <w:numId w:val="7"/>
        </w:numPr>
        <w:spacing w:after="0" w:line="276" w:lineRule="auto"/>
        <w:ind w:left="576" w:hanging="576"/>
        <w:rPr>
          <w:rFonts w:ascii="Arial" w:hAnsi="Arial" w:cs="Arial"/>
          <w:sz w:val="22"/>
          <w:szCs w:val="22"/>
        </w:rPr>
      </w:pPr>
      <w:r w:rsidRPr="00C05AA0">
        <w:rPr>
          <w:rFonts w:ascii="Arial" w:hAnsi="Arial" w:cs="Arial"/>
          <w:sz w:val="22"/>
          <w:szCs w:val="22"/>
        </w:rPr>
        <w:t xml:space="preserve">Dhatariya K, Mustafa O, Stathi D. </w:t>
      </w:r>
      <w:r w:rsidR="00C05AA0" w:rsidRPr="00C05AA0">
        <w:rPr>
          <w:rFonts w:ascii="Arial" w:hAnsi="Arial" w:cs="Arial"/>
          <w:sz w:val="22"/>
          <w:szCs w:val="22"/>
        </w:rPr>
        <w:t xml:space="preserve">Hyperglycemic Crises. </w:t>
      </w:r>
      <w:r w:rsidRPr="00C05AA0">
        <w:rPr>
          <w:rFonts w:ascii="Arial" w:hAnsi="Arial" w:cs="Arial"/>
          <w:sz w:val="22"/>
          <w:szCs w:val="22"/>
        </w:rPr>
        <w:t>2025 Jun 10. In: Feingold KR, Ahmed SF, Anawalt B, Blackman MR, Boyce A, Chrousos G, Corpas E, de Herder WW, Dhatariya K, Dungan K, Hofland J, Kalra S, Kaltsas G, Kapoor N, Koch C, Kopp P, Korbonits M, Kovacs CS, Kuohung W, Laferrère B, Levy M, McGee EA, McLachlan R, Muzumdar R, Purnell J, Rey R, Sahay R, Shah AS, Singer F, Sperling MA, Stratakis CA, Trence DL, Wilson DP, editors. Endotext [Internet]. South Dartmouth (MA): MDText.com, Inc.; 2000–.</w:t>
      </w:r>
      <w:r w:rsidR="00C05AA0" w:rsidRPr="00C05AA0">
        <w:rPr>
          <w:rFonts w:ascii="Arial" w:hAnsi="Arial" w:cs="Arial"/>
          <w:sz w:val="22"/>
          <w:szCs w:val="22"/>
        </w:rPr>
        <w:t xml:space="preserve"> </w:t>
      </w:r>
      <w:r w:rsidRPr="00C05AA0">
        <w:rPr>
          <w:rFonts w:ascii="Arial" w:hAnsi="Arial" w:cs="Arial"/>
          <w:sz w:val="22"/>
          <w:szCs w:val="22"/>
        </w:rPr>
        <w:t>PMID: 25905280</w:t>
      </w:r>
    </w:p>
    <w:p w14:paraId="64498D89" w14:textId="52BB7B0D" w:rsidR="00C05AA0" w:rsidRPr="003C2E16" w:rsidRDefault="00D43654" w:rsidP="00727B62">
      <w:pPr>
        <w:pStyle w:val="ListParagraph"/>
        <w:numPr>
          <w:ilvl w:val="0"/>
          <w:numId w:val="7"/>
        </w:numPr>
        <w:spacing w:after="0" w:line="276" w:lineRule="auto"/>
        <w:ind w:left="576" w:hanging="576"/>
        <w:rPr>
          <w:rFonts w:ascii="Arial" w:hAnsi="Arial" w:cs="Arial"/>
          <w:sz w:val="22"/>
          <w:szCs w:val="22"/>
        </w:rPr>
      </w:pPr>
      <w:r w:rsidRPr="003C2E16">
        <w:rPr>
          <w:rFonts w:ascii="Arial" w:hAnsi="Arial" w:cs="Arial"/>
          <w:sz w:val="22"/>
          <w:szCs w:val="22"/>
        </w:rPr>
        <w:t>Umpierrez GE, Davis GM, ElSayed NA, Fadini GP, Galindo RJ, Hirsch IB, Klonoff DC, McCoy RG, Misra S, Gabbay RA, Bannuru RR, Dhatariya KK.</w:t>
      </w:r>
      <w:r w:rsidR="003C2E16" w:rsidRPr="003C2E16">
        <w:rPr>
          <w:rFonts w:ascii="Arial" w:hAnsi="Arial" w:cs="Arial"/>
          <w:sz w:val="22"/>
          <w:szCs w:val="22"/>
        </w:rPr>
        <w:t xml:space="preserve"> Hyperglycemic Crises in Adults With Diabetes: A Consensus Report. </w:t>
      </w:r>
      <w:r w:rsidRPr="003C2E16">
        <w:rPr>
          <w:rFonts w:ascii="Arial" w:hAnsi="Arial" w:cs="Arial"/>
          <w:sz w:val="22"/>
          <w:szCs w:val="22"/>
        </w:rPr>
        <w:t>Diabetes Care. 2024 Aug 1;47(8):1257-1275. doi: 10.2337/dci24-0032.</w:t>
      </w:r>
      <w:r w:rsidR="003C2E16" w:rsidRPr="003C2E16">
        <w:rPr>
          <w:rFonts w:ascii="Arial" w:hAnsi="Arial" w:cs="Arial"/>
          <w:sz w:val="22"/>
          <w:szCs w:val="22"/>
        </w:rPr>
        <w:t xml:space="preserve"> </w:t>
      </w:r>
      <w:r w:rsidRPr="003C2E16">
        <w:rPr>
          <w:rFonts w:ascii="Arial" w:hAnsi="Arial" w:cs="Arial"/>
          <w:sz w:val="22"/>
          <w:szCs w:val="22"/>
        </w:rPr>
        <w:t>PMID: 39052901</w:t>
      </w:r>
    </w:p>
    <w:p w14:paraId="46E4D5DD" w14:textId="414C1F4D" w:rsidR="00CC18BD" w:rsidRPr="00D96FC4" w:rsidRDefault="00016E57" w:rsidP="0078393B">
      <w:pPr>
        <w:spacing w:after="0" w:line="276" w:lineRule="auto"/>
        <w:rPr>
          <w:rFonts w:ascii="Arial" w:hAnsi="Arial" w:cs="Arial"/>
          <w:sz w:val="22"/>
          <w:szCs w:val="22"/>
        </w:rPr>
      </w:pPr>
      <w:r>
        <w:rPr>
          <w:rFonts w:ascii="Arial" w:hAnsi="Arial" w:cs="Arial"/>
          <w:sz w:val="22"/>
          <w:szCs w:val="22"/>
        </w:rPr>
        <w:t xml:space="preserve"> </w:t>
      </w:r>
    </w:p>
    <w:p w14:paraId="7E347D87" w14:textId="77777777" w:rsidR="00301741" w:rsidRPr="00301741" w:rsidRDefault="00301741" w:rsidP="003A1620">
      <w:pPr>
        <w:rPr>
          <w:rFonts w:ascii="Arial" w:hAnsi="Arial" w:cs="Arial"/>
          <w:sz w:val="22"/>
          <w:szCs w:val="22"/>
        </w:rPr>
      </w:pPr>
    </w:p>
    <w:p w14:paraId="44E28144" w14:textId="77777777" w:rsidR="000B580B" w:rsidRPr="003A1620" w:rsidRDefault="000B580B" w:rsidP="003A1620">
      <w:pPr>
        <w:rPr>
          <w:rFonts w:ascii="Arial" w:hAnsi="Arial" w:cs="Arial"/>
          <w:b/>
          <w:bCs/>
          <w:sz w:val="22"/>
          <w:szCs w:val="22"/>
        </w:rPr>
      </w:pPr>
    </w:p>
    <w:p w14:paraId="59948990" w14:textId="6E1FC73A" w:rsidR="00E33BE9" w:rsidRDefault="00E33BE9" w:rsidP="00424ABC">
      <w:pPr>
        <w:spacing w:after="0" w:line="276" w:lineRule="auto"/>
        <w:rPr>
          <w:rFonts w:ascii="Arial" w:hAnsi="Arial" w:cs="Arial"/>
          <w:sz w:val="22"/>
          <w:szCs w:val="22"/>
        </w:rPr>
      </w:pPr>
    </w:p>
    <w:p w14:paraId="39E75FA6" w14:textId="77777777" w:rsidR="00E33BE9" w:rsidRPr="00E33BE9" w:rsidRDefault="00E33BE9" w:rsidP="00E33BE9">
      <w:pPr>
        <w:spacing w:after="0" w:line="276" w:lineRule="auto"/>
        <w:rPr>
          <w:rFonts w:ascii="Arial" w:hAnsi="Arial" w:cs="Arial"/>
          <w:sz w:val="22"/>
          <w:szCs w:val="22"/>
        </w:rPr>
      </w:pPr>
    </w:p>
    <w:sectPr w:rsidR="00E33BE9" w:rsidRPr="00E3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66B"/>
    <w:multiLevelType w:val="hybridMultilevel"/>
    <w:tmpl w:val="399C9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C08CF"/>
    <w:multiLevelType w:val="hybridMultilevel"/>
    <w:tmpl w:val="29FAA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27B2E"/>
    <w:multiLevelType w:val="hybridMultilevel"/>
    <w:tmpl w:val="CC16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F087D"/>
    <w:multiLevelType w:val="hybridMultilevel"/>
    <w:tmpl w:val="CBB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75526"/>
    <w:multiLevelType w:val="hybridMultilevel"/>
    <w:tmpl w:val="417A3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B19AF"/>
    <w:multiLevelType w:val="hybridMultilevel"/>
    <w:tmpl w:val="3AE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D1250"/>
    <w:multiLevelType w:val="hybridMultilevel"/>
    <w:tmpl w:val="7DA6B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316561">
    <w:abstractNumId w:val="0"/>
  </w:num>
  <w:num w:numId="2" w16cid:durableId="1551260915">
    <w:abstractNumId w:val="1"/>
  </w:num>
  <w:num w:numId="3" w16cid:durableId="1810243583">
    <w:abstractNumId w:val="6"/>
  </w:num>
  <w:num w:numId="4" w16cid:durableId="391197909">
    <w:abstractNumId w:val="2"/>
  </w:num>
  <w:num w:numId="5" w16cid:durableId="2008512623">
    <w:abstractNumId w:val="3"/>
  </w:num>
  <w:num w:numId="6" w16cid:durableId="1758166439">
    <w:abstractNumId w:val="5"/>
  </w:num>
  <w:num w:numId="7" w16cid:durableId="2130388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CE"/>
    <w:rsid w:val="00016B77"/>
    <w:rsid w:val="00016E57"/>
    <w:rsid w:val="00020D87"/>
    <w:rsid w:val="0003389E"/>
    <w:rsid w:val="00047FF9"/>
    <w:rsid w:val="000721CE"/>
    <w:rsid w:val="000A3DB4"/>
    <w:rsid w:val="000B580B"/>
    <w:rsid w:val="000F7AFD"/>
    <w:rsid w:val="001224F0"/>
    <w:rsid w:val="00123741"/>
    <w:rsid w:val="00173C47"/>
    <w:rsid w:val="0019254E"/>
    <w:rsid w:val="00196CB5"/>
    <w:rsid w:val="001A34A0"/>
    <w:rsid w:val="001A6117"/>
    <w:rsid w:val="001C5048"/>
    <w:rsid w:val="001C59B6"/>
    <w:rsid w:val="001E5117"/>
    <w:rsid w:val="00201619"/>
    <w:rsid w:val="00223A63"/>
    <w:rsid w:val="00232060"/>
    <w:rsid w:val="00254AB2"/>
    <w:rsid w:val="00275AEB"/>
    <w:rsid w:val="002A6AF8"/>
    <w:rsid w:val="002B03C7"/>
    <w:rsid w:val="002D034A"/>
    <w:rsid w:val="002D15DA"/>
    <w:rsid w:val="002D2D10"/>
    <w:rsid w:val="003006B0"/>
    <w:rsid w:val="00301741"/>
    <w:rsid w:val="00302A2A"/>
    <w:rsid w:val="0030379A"/>
    <w:rsid w:val="00311DC7"/>
    <w:rsid w:val="00324D51"/>
    <w:rsid w:val="003307FB"/>
    <w:rsid w:val="00333168"/>
    <w:rsid w:val="0034677D"/>
    <w:rsid w:val="00370CFC"/>
    <w:rsid w:val="003A1620"/>
    <w:rsid w:val="003B544E"/>
    <w:rsid w:val="003C2E16"/>
    <w:rsid w:val="003C5A6C"/>
    <w:rsid w:val="003D5AF3"/>
    <w:rsid w:val="003D7375"/>
    <w:rsid w:val="003E4C28"/>
    <w:rsid w:val="00402AA3"/>
    <w:rsid w:val="00413357"/>
    <w:rsid w:val="00424ABC"/>
    <w:rsid w:val="00426B69"/>
    <w:rsid w:val="0044702D"/>
    <w:rsid w:val="00492AC7"/>
    <w:rsid w:val="004A28D5"/>
    <w:rsid w:val="004E0E56"/>
    <w:rsid w:val="004E22CE"/>
    <w:rsid w:val="004E418C"/>
    <w:rsid w:val="004E5634"/>
    <w:rsid w:val="004F1AA2"/>
    <w:rsid w:val="005564ED"/>
    <w:rsid w:val="0059642B"/>
    <w:rsid w:val="005A19C2"/>
    <w:rsid w:val="005C1633"/>
    <w:rsid w:val="005F3031"/>
    <w:rsid w:val="00604F80"/>
    <w:rsid w:val="006103E7"/>
    <w:rsid w:val="0062221B"/>
    <w:rsid w:val="00637B93"/>
    <w:rsid w:val="00685C34"/>
    <w:rsid w:val="006E2001"/>
    <w:rsid w:val="006F78CF"/>
    <w:rsid w:val="007022CE"/>
    <w:rsid w:val="0071092C"/>
    <w:rsid w:val="00727B62"/>
    <w:rsid w:val="00732AF9"/>
    <w:rsid w:val="007356BE"/>
    <w:rsid w:val="0076646D"/>
    <w:rsid w:val="0078393B"/>
    <w:rsid w:val="00786D2C"/>
    <w:rsid w:val="00790183"/>
    <w:rsid w:val="007D217E"/>
    <w:rsid w:val="007D26C3"/>
    <w:rsid w:val="007F2C7A"/>
    <w:rsid w:val="008B6B9A"/>
    <w:rsid w:val="008B7585"/>
    <w:rsid w:val="008D11F6"/>
    <w:rsid w:val="008D1345"/>
    <w:rsid w:val="008E3DE7"/>
    <w:rsid w:val="008E4046"/>
    <w:rsid w:val="008F1EDF"/>
    <w:rsid w:val="00905749"/>
    <w:rsid w:val="0091472E"/>
    <w:rsid w:val="00922811"/>
    <w:rsid w:val="00940178"/>
    <w:rsid w:val="00943D70"/>
    <w:rsid w:val="00965FDC"/>
    <w:rsid w:val="009A4920"/>
    <w:rsid w:val="009F4CB6"/>
    <w:rsid w:val="009F7B8F"/>
    <w:rsid w:val="00A10B29"/>
    <w:rsid w:val="00A6468D"/>
    <w:rsid w:val="00A7011D"/>
    <w:rsid w:val="00A73925"/>
    <w:rsid w:val="00A83426"/>
    <w:rsid w:val="00AB01A1"/>
    <w:rsid w:val="00AD0AC2"/>
    <w:rsid w:val="00AD71AF"/>
    <w:rsid w:val="00AE1E0B"/>
    <w:rsid w:val="00AF643E"/>
    <w:rsid w:val="00B04CBD"/>
    <w:rsid w:val="00B17C65"/>
    <w:rsid w:val="00B61EF8"/>
    <w:rsid w:val="00B92B0F"/>
    <w:rsid w:val="00BA6FB9"/>
    <w:rsid w:val="00BA7317"/>
    <w:rsid w:val="00BC51F4"/>
    <w:rsid w:val="00BF1B0C"/>
    <w:rsid w:val="00C05AA0"/>
    <w:rsid w:val="00C32103"/>
    <w:rsid w:val="00C64542"/>
    <w:rsid w:val="00C66574"/>
    <w:rsid w:val="00C94895"/>
    <w:rsid w:val="00CC0CD0"/>
    <w:rsid w:val="00CC18BD"/>
    <w:rsid w:val="00D04665"/>
    <w:rsid w:val="00D324DC"/>
    <w:rsid w:val="00D43654"/>
    <w:rsid w:val="00D555A9"/>
    <w:rsid w:val="00D6032C"/>
    <w:rsid w:val="00D84DCF"/>
    <w:rsid w:val="00D92CFC"/>
    <w:rsid w:val="00D96FC4"/>
    <w:rsid w:val="00DA5A6D"/>
    <w:rsid w:val="00DB4B6C"/>
    <w:rsid w:val="00DD48B3"/>
    <w:rsid w:val="00DD6C52"/>
    <w:rsid w:val="00DF003D"/>
    <w:rsid w:val="00DF59CB"/>
    <w:rsid w:val="00E114A0"/>
    <w:rsid w:val="00E23E5B"/>
    <w:rsid w:val="00E33BE9"/>
    <w:rsid w:val="00E424F1"/>
    <w:rsid w:val="00E55024"/>
    <w:rsid w:val="00E72D5A"/>
    <w:rsid w:val="00E9652A"/>
    <w:rsid w:val="00EE706B"/>
    <w:rsid w:val="00F02B41"/>
    <w:rsid w:val="00F06FB7"/>
    <w:rsid w:val="00F22E77"/>
    <w:rsid w:val="00F40281"/>
    <w:rsid w:val="00F56A82"/>
    <w:rsid w:val="00F803F8"/>
    <w:rsid w:val="00FB5C33"/>
    <w:rsid w:val="00FB66A4"/>
    <w:rsid w:val="00FC2765"/>
    <w:rsid w:val="00FF0F09"/>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B680"/>
  <w15:chartTrackingRefBased/>
  <w15:docId w15:val="{D44C9FAB-7DE7-4C31-9CA7-58ED89A8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2CE"/>
    <w:rPr>
      <w:rFonts w:eastAsiaTheme="majorEastAsia" w:cstheme="majorBidi"/>
      <w:color w:val="272727" w:themeColor="text1" w:themeTint="D8"/>
    </w:rPr>
  </w:style>
  <w:style w:type="paragraph" w:styleId="Title">
    <w:name w:val="Title"/>
    <w:basedOn w:val="Normal"/>
    <w:next w:val="Normal"/>
    <w:link w:val="TitleChar"/>
    <w:uiPriority w:val="10"/>
    <w:qFormat/>
    <w:rsid w:val="004E2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2CE"/>
    <w:pPr>
      <w:spacing w:before="160"/>
      <w:jc w:val="center"/>
    </w:pPr>
    <w:rPr>
      <w:i/>
      <w:iCs/>
      <w:color w:val="404040" w:themeColor="text1" w:themeTint="BF"/>
    </w:rPr>
  </w:style>
  <w:style w:type="character" w:customStyle="1" w:styleId="QuoteChar">
    <w:name w:val="Quote Char"/>
    <w:basedOn w:val="DefaultParagraphFont"/>
    <w:link w:val="Quote"/>
    <w:uiPriority w:val="29"/>
    <w:rsid w:val="004E22CE"/>
    <w:rPr>
      <w:i/>
      <w:iCs/>
      <w:color w:val="404040" w:themeColor="text1" w:themeTint="BF"/>
    </w:rPr>
  </w:style>
  <w:style w:type="paragraph" w:styleId="ListParagraph">
    <w:name w:val="List Paragraph"/>
    <w:basedOn w:val="Normal"/>
    <w:uiPriority w:val="34"/>
    <w:qFormat/>
    <w:rsid w:val="004E22CE"/>
    <w:pPr>
      <w:ind w:left="720"/>
      <w:contextualSpacing/>
    </w:pPr>
  </w:style>
  <w:style w:type="character" w:styleId="IntenseEmphasis">
    <w:name w:val="Intense Emphasis"/>
    <w:basedOn w:val="DefaultParagraphFont"/>
    <w:uiPriority w:val="21"/>
    <w:qFormat/>
    <w:rsid w:val="004E22CE"/>
    <w:rPr>
      <w:i/>
      <w:iCs/>
      <w:color w:val="0F4761" w:themeColor="accent1" w:themeShade="BF"/>
    </w:rPr>
  </w:style>
  <w:style w:type="paragraph" w:styleId="IntenseQuote">
    <w:name w:val="Intense Quote"/>
    <w:basedOn w:val="Normal"/>
    <w:next w:val="Normal"/>
    <w:link w:val="IntenseQuoteChar"/>
    <w:uiPriority w:val="30"/>
    <w:qFormat/>
    <w:rsid w:val="004E2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2CE"/>
    <w:rPr>
      <w:i/>
      <w:iCs/>
      <w:color w:val="0F4761" w:themeColor="accent1" w:themeShade="BF"/>
    </w:rPr>
  </w:style>
  <w:style w:type="character" w:styleId="IntenseReference">
    <w:name w:val="Intense Reference"/>
    <w:basedOn w:val="DefaultParagraphFont"/>
    <w:uiPriority w:val="32"/>
    <w:qFormat/>
    <w:rsid w:val="004E22CE"/>
    <w:rPr>
      <w:b/>
      <w:bCs/>
      <w:smallCaps/>
      <w:color w:val="0F4761" w:themeColor="accent1" w:themeShade="BF"/>
      <w:spacing w:val="5"/>
    </w:rPr>
  </w:style>
  <w:style w:type="character" w:styleId="Hyperlink">
    <w:name w:val="Hyperlink"/>
    <w:basedOn w:val="DefaultParagraphFont"/>
    <w:uiPriority w:val="99"/>
    <w:unhideWhenUsed/>
    <w:rsid w:val="004E22CE"/>
    <w:rPr>
      <w:color w:val="467886" w:themeColor="hyperlink"/>
      <w:u w:val="single"/>
    </w:rPr>
  </w:style>
  <w:style w:type="character" w:styleId="UnresolvedMention">
    <w:name w:val="Unresolved Mention"/>
    <w:basedOn w:val="DefaultParagraphFont"/>
    <w:uiPriority w:val="99"/>
    <w:semiHidden/>
    <w:unhideWhenUsed/>
    <w:rsid w:val="004E22CE"/>
    <w:rPr>
      <w:color w:val="605E5C"/>
      <w:shd w:val="clear" w:color="auto" w:fill="E1DFDD"/>
    </w:rPr>
  </w:style>
  <w:style w:type="table" w:styleId="TableGrid">
    <w:name w:val="Table Grid"/>
    <w:basedOn w:val="TableNormal"/>
    <w:uiPriority w:val="39"/>
    <w:rsid w:val="004E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enneth.feingold@ucsf.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Feingold</dc:creator>
  <cp:keywords/>
  <dc:description/>
  <cp:lastModifiedBy>Kenneth Feingold</cp:lastModifiedBy>
  <cp:revision>12</cp:revision>
  <dcterms:created xsi:type="dcterms:W3CDTF">2025-10-13T18:11:00Z</dcterms:created>
  <dcterms:modified xsi:type="dcterms:W3CDTF">2025-10-13T18:33:00Z</dcterms:modified>
</cp:coreProperties>
</file>