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594FB" w14:textId="77777777" w:rsidR="0097167E" w:rsidRPr="00B43938" w:rsidRDefault="002E0CFD" w:rsidP="00766A13">
      <w:pPr>
        <w:spacing w:after="0" w:line="276" w:lineRule="auto"/>
        <w:rPr>
          <w:rFonts w:ascii="Arial" w:hAnsi="Arial" w:cs="Arial"/>
          <w:b/>
          <w:sz w:val="28"/>
          <w:szCs w:val="28"/>
          <w:lang w:val="en-US"/>
        </w:rPr>
      </w:pPr>
      <w:r w:rsidRPr="00B43938">
        <w:rPr>
          <w:rFonts w:ascii="Arial" w:hAnsi="Arial" w:cs="Arial"/>
          <w:b/>
          <w:sz w:val="28"/>
          <w:szCs w:val="28"/>
          <w:lang w:val="en-US"/>
        </w:rPr>
        <w:t>ENDOCRINE HYPERTENSION IN CHILDHOOD</w:t>
      </w:r>
      <w:r w:rsidR="009F3D84" w:rsidRPr="00B43938">
        <w:rPr>
          <w:rFonts w:ascii="Arial" w:hAnsi="Arial" w:cs="Arial"/>
          <w:b/>
          <w:sz w:val="28"/>
          <w:szCs w:val="28"/>
          <w:lang w:val="en-US"/>
        </w:rPr>
        <w:t xml:space="preserve"> AND ADOLESCENCE</w:t>
      </w:r>
    </w:p>
    <w:p w14:paraId="3D613720" w14:textId="77777777" w:rsidR="00C64E07" w:rsidRPr="00B43938" w:rsidRDefault="00C64E07" w:rsidP="00766A13">
      <w:pPr>
        <w:spacing w:after="0" w:line="276" w:lineRule="auto"/>
        <w:rPr>
          <w:rFonts w:ascii="Arial" w:hAnsi="Arial" w:cs="Arial"/>
          <w:sz w:val="24"/>
          <w:szCs w:val="24"/>
          <w:lang w:val="en-US"/>
        </w:rPr>
      </w:pPr>
    </w:p>
    <w:p w14:paraId="558CAD93" w14:textId="2F7BF173" w:rsidR="002E0CFD" w:rsidRDefault="002E0CFD" w:rsidP="00766A13">
      <w:pPr>
        <w:spacing w:after="0" w:line="276" w:lineRule="auto"/>
        <w:rPr>
          <w:rFonts w:ascii="Arial" w:hAnsi="Arial" w:cs="Arial"/>
          <w:sz w:val="20"/>
          <w:szCs w:val="20"/>
          <w:lang w:val="en-US"/>
        </w:rPr>
      </w:pPr>
      <w:r w:rsidRPr="00B43938">
        <w:rPr>
          <w:rFonts w:ascii="Arial" w:hAnsi="Arial" w:cs="Arial"/>
          <w:b/>
          <w:sz w:val="24"/>
          <w:szCs w:val="24"/>
          <w:lang w:val="en-US"/>
        </w:rPr>
        <w:t>Nicolas C. Nicolaides, MD, PhD,</w:t>
      </w:r>
      <w:r w:rsidR="007A206A" w:rsidRPr="00B43938">
        <w:rPr>
          <w:rFonts w:ascii="Arial" w:hAnsi="Arial" w:cs="Arial"/>
          <w:sz w:val="20"/>
          <w:szCs w:val="20"/>
          <w:lang w:val="en-US"/>
        </w:rPr>
        <w:t xml:space="preserve"> Medical School, University of Cyprus, Nicosia, Cyprus</w:t>
      </w:r>
      <w:r w:rsidRPr="00B43938">
        <w:rPr>
          <w:rFonts w:ascii="Arial" w:hAnsi="Arial" w:cs="Arial"/>
          <w:sz w:val="20"/>
          <w:szCs w:val="20"/>
          <w:lang w:val="en-US"/>
        </w:rPr>
        <w:t>.</w:t>
      </w:r>
      <w:r w:rsidR="007A206A" w:rsidRPr="00B43938">
        <w:rPr>
          <w:rFonts w:ascii="Arial" w:hAnsi="Arial" w:cs="Arial"/>
          <w:sz w:val="20"/>
          <w:szCs w:val="20"/>
          <w:lang w:val="en-US"/>
        </w:rPr>
        <w:t xml:space="preserve"> </w:t>
      </w:r>
      <w:hyperlink r:id="rId7" w:history="1">
        <w:r w:rsidR="006372FE" w:rsidRPr="00531CCF">
          <w:rPr>
            <w:rStyle w:val="Hyperlink"/>
            <w:rFonts w:ascii="Arial" w:hAnsi="Arial" w:cs="Arial"/>
            <w:sz w:val="20"/>
            <w:szCs w:val="20"/>
            <w:lang w:val="en-US"/>
          </w:rPr>
          <w:t>nicolaides.nicolas@ucy.ac.cy</w:t>
        </w:r>
      </w:hyperlink>
    </w:p>
    <w:p w14:paraId="41A1C82C" w14:textId="0C1C511D" w:rsidR="00631668" w:rsidRDefault="002E0CFD" w:rsidP="00766A13">
      <w:pPr>
        <w:spacing w:after="0" w:line="276" w:lineRule="auto"/>
        <w:rPr>
          <w:lang w:val="en-US"/>
        </w:rPr>
      </w:pPr>
      <w:r w:rsidRPr="00B43938">
        <w:rPr>
          <w:rFonts w:ascii="Arial" w:hAnsi="Arial" w:cs="Arial"/>
          <w:b/>
          <w:sz w:val="24"/>
          <w:szCs w:val="24"/>
          <w:lang w:val="en-US"/>
        </w:rPr>
        <w:t>Constantine A</w:t>
      </w:r>
      <w:r w:rsidR="00987CF9">
        <w:rPr>
          <w:rFonts w:ascii="Arial" w:hAnsi="Arial" w:cs="Arial"/>
          <w:b/>
          <w:sz w:val="24"/>
          <w:szCs w:val="24"/>
          <w:lang w:val="en-US"/>
        </w:rPr>
        <w:t>.</w:t>
      </w:r>
      <w:r w:rsidRPr="00B43938">
        <w:rPr>
          <w:rFonts w:ascii="Arial" w:hAnsi="Arial" w:cs="Arial"/>
          <w:b/>
          <w:sz w:val="24"/>
          <w:szCs w:val="24"/>
          <w:lang w:val="en-US"/>
        </w:rPr>
        <w:t xml:space="preserve"> Stratakis, MD, PhD, </w:t>
      </w:r>
      <w:r w:rsidRPr="00B43938">
        <w:rPr>
          <w:rFonts w:ascii="Arial" w:hAnsi="Arial" w:cs="Arial"/>
          <w:sz w:val="20"/>
          <w:szCs w:val="20"/>
          <w:lang w:val="en-US"/>
        </w:rPr>
        <w:t xml:space="preserve">NICHD, NIH, Bethesda, MD, </w:t>
      </w:r>
      <w:r w:rsidR="00C64E07" w:rsidRPr="00B43938">
        <w:rPr>
          <w:rFonts w:ascii="Arial" w:hAnsi="Arial" w:cs="Arial"/>
          <w:sz w:val="20"/>
          <w:szCs w:val="20"/>
          <w:lang w:val="en-US"/>
        </w:rPr>
        <w:t xml:space="preserve">&amp; Hospital for Endocrine Surgery, HCA, Tampa, FL, </w:t>
      </w:r>
      <w:r w:rsidRPr="00B43938">
        <w:rPr>
          <w:rFonts w:ascii="Arial" w:hAnsi="Arial" w:cs="Arial"/>
          <w:sz w:val="20"/>
          <w:szCs w:val="20"/>
          <w:lang w:val="en-US"/>
        </w:rPr>
        <w:t>USA; Human Genetics &amp; Precision Medicine, IMBB, FORTH, Heraklion, Greece; Medical Genetics, H. Dunant Hospital</w:t>
      </w:r>
      <w:r w:rsidR="00E44BE5" w:rsidRPr="00B43938">
        <w:rPr>
          <w:rFonts w:ascii="Arial" w:hAnsi="Arial" w:cs="Arial"/>
          <w:sz w:val="20"/>
          <w:szCs w:val="20"/>
          <w:lang w:val="en-US"/>
        </w:rPr>
        <w:t xml:space="preserve"> &amp; ASTREA Health</w:t>
      </w:r>
      <w:r w:rsidRPr="00B43938">
        <w:rPr>
          <w:rFonts w:ascii="Arial" w:hAnsi="Arial" w:cs="Arial"/>
          <w:sz w:val="20"/>
          <w:szCs w:val="20"/>
          <w:lang w:val="en-US"/>
        </w:rPr>
        <w:t xml:space="preserve"> Athens, Greece; European University of Cyprus, Medical School, Nicosia, Cyprus.</w:t>
      </w:r>
      <w:r w:rsidR="00631668" w:rsidRPr="00B43938">
        <w:rPr>
          <w:lang w:val="en-US"/>
        </w:rPr>
        <w:t xml:space="preserve"> </w:t>
      </w:r>
      <w:hyperlink r:id="rId8" w:history="1">
        <w:r w:rsidR="00B43938" w:rsidRPr="00B43938">
          <w:rPr>
            <w:rStyle w:val="Hyperlink"/>
            <w:rFonts w:ascii="Arial" w:hAnsi="Arial" w:cs="Arial"/>
            <w:sz w:val="20"/>
            <w:szCs w:val="20"/>
            <w:lang w:val="en-US"/>
          </w:rPr>
          <w:t>castratakis@verizon.net</w:t>
        </w:r>
      </w:hyperlink>
    </w:p>
    <w:p w14:paraId="22229DDF" w14:textId="77777777" w:rsidR="006372FE" w:rsidRDefault="006372FE" w:rsidP="00766A13">
      <w:pPr>
        <w:spacing w:after="0" w:line="276" w:lineRule="auto"/>
        <w:rPr>
          <w:lang w:val="en-US"/>
        </w:rPr>
      </w:pPr>
    </w:p>
    <w:p w14:paraId="524AEDFE" w14:textId="2BC3D726" w:rsidR="006372FE" w:rsidRPr="003D44C0" w:rsidRDefault="006372FE" w:rsidP="00B130EA">
      <w:pPr>
        <w:spacing w:after="0" w:line="276" w:lineRule="auto"/>
        <w:rPr>
          <w:rFonts w:ascii="Arial" w:hAnsi="Arial" w:cs="Arial"/>
          <w:b/>
          <w:bCs/>
          <w:lang w:val="en-US"/>
        </w:rPr>
      </w:pPr>
      <w:r w:rsidRPr="003D44C0">
        <w:rPr>
          <w:rFonts w:ascii="Arial" w:hAnsi="Arial" w:cs="Arial"/>
          <w:b/>
          <w:bCs/>
          <w:lang w:val="en-US"/>
        </w:rPr>
        <w:t xml:space="preserve">Updated </w:t>
      </w:r>
      <w:r w:rsidR="00C43875" w:rsidRPr="003D44C0">
        <w:rPr>
          <w:rFonts w:ascii="Arial" w:hAnsi="Arial" w:cs="Arial"/>
          <w:b/>
          <w:bCs/>
          <w:lang w:val="en-US"/>
        </w:rPr>
        <w:t>March 1, 2025</w:t>
      </w:r>
    </w:p>
    <w:p w14:paraId="510293E9" w14:textId="77777777" w:rsidR="00B43938" w:rsidRPr="003D44C0" w:rsidRDefault="00B43938" w:rsidP="00B130EA">
      <w:pPr>
        <w:spacing w:after="0" w:line="276" w:lineRule="auto"/>
        <w:rPr>
          <w:rFonts w:ascii="Arial" w:hAnsi="Arial" w:cs="Arial"/>
          <w:lang w:val="en-US"/>
        </w:rPr>
      </w:pPr>
    </w:p>
    <w:p w14:paraId="1C2DA3F4" w14:textId="77777777" w:rsidR="00631668" w:rsidRPr="003D44C0" w:rsidRDefault="008C461A" w:rsidP="00B130EA">
      <w:pPr>
        <w:spacing w:after="0" w:line="276" w:lineRule="auto"/>
        <w:rPr>
          <w:rFonts w:ascii="Arial" w:hAnsi="Arial" w:cs="Arial"/>
          <w:color w:val="0070C0"/>
          <w:lang w:val="en-US"/>
        </w:rPr>
      </w:pPr>
      <w:r w:rsidRPr="003D44C0">
        <w:rPr>
          <w:rFonts w:ascii="Arial" w:hAnsi="Arial" w:cs="Arial"/>
          <w:b/>
          <w:color w:val="0070C0"/>
          <w:lang w:val="en-US"/>
        </w:rPr>
        <w:t>ABSTRACT</w:t>
      </w:r>
    </w:p>
    <w:p w14:paraId="1DF77EA4" w14:textId="77777777" w:rsidR="00E44BE5" w:rsidRPr="003D44C0" w:rsidRDefault="00E44BE5" w:rsidP="00B130EA">
      <w:pPr>
        <w:spacing w:after="0" w:line="276" w:lineRule="auto"/>
        <w:rPr>
          <w:rFonts w:ascii="Arial" w:hAnsi="Arial" w:cs="Arial"/>
          <w:lang w:val="en-US"/>
        </w:rPr>
      </w:pPr>
    </w:p>
    <w:p w14:paraId="3AC2197E" w14:textId="2A08540E" w:rsidR="00B92B5F" w:rsidRPr="003D44C0" w:rsidRDefault="00DF2204" w:rsidP="00B130EA">
      <w:pPr>
        <w:spacing w:after="0" w:line="276" w:lineRule="auto"/>
        <w:rPr>
          <w:rFonts w:ascii="Arial" w:hAnsi="Arial" w:cs="Arial"/>
          <w:lang w:val="en-US"/>
        </w:rPr>
      </w:pPr>
      <w:r w:rsidRPr="003D44C0">
        <w:rPr>
          <w:rFonts w:ascii="Arial" w:hAnsi="Arial" w:cs="Arial"/>
          <w:lang w:val="en-US"/>
        </w:rPr>
        <w:t>Hypertension in children and adolescents is defined as a blood pressure ≥ 95th percentile (stage 1) or a blood pressure ≥ 95th percentile + 12 mmHg (stage 2), according to the Clinical Practice Guidelines of American Academy of Pediatrics published in 2017. Hypertension may be primary or idiopathic or secondary due to renal</w:t>
      </w:r>
      <w:r w:rsidR="00E44BE5" w:rsidRPr="003D44C0">
        <w:rPr>
          <w:rFonts w:ascii="Arial" w:hAnsi="Arial" w:cs="Arial"/>
          <w:lang w:val="en-US"/>
        </w:rPr>
        <w:t xml:space="preserve"> disease (including renal vascular abnormalities), </w:t>
      </w:r>
      <w:r w:rsidRPr="003D44C0">
        <w:rPr>
          <w:rFonts w:ascii="Arial" w:hAnsi="Arial" w:cs="Arial"/>
          <w:lang w:val="en-US"/>
        </w:rPr>
        <w:t>cardiovascular disorders</w:t>
      </w:r>
      <w:r w:rsidR="007C6847" w:rsidRPr="003D44C0">
        <w:rPr>
          <w:rFonts w:ascii="Arial" w:hAnsi="Arial" w:cs="Arial"/>
          <w:lang w:val="en-US"/>
        </w:rPr>
        <w:t>,</w:t>
      </w:r>
      <w:r w:rsidRPr="003D44C0">
        <w:rPr>
          <w:rFonts w:ascii="Arial" w:hAnsi="Arial" w:cs="Arial"/>
          <w:lang w:val="en-US"/>
        </w:rPr>
        <w:t xml:space="preserve"> or endocrine conditions. Endocrine hypertension might be caused by excess amount of</w:t>
      </w:r>
      <w:r w:rsidR="00E44BE5" w:rsidRPr="003D44C0">
        <w:rPr>
          <w:rFonts w:ascii="Arial" w:hAnsi="Arial" w:cs="Arial"/>
          <w:lang w:val="en-US"/>
        </w:rPr>
        <w:t xml:space="preserve"> steroid (</w:t>
      </w:r>
      <w:r w:rsidRPr="003D44C0">
        <w:rPr>
          <w:rFonts w:ascii="Arial" w:hAnsi="Arial" w:cs="Arial"/>
          <w:lang w:val="en-US"/>
        </w:rPr>
        <w:t>aldosterone, deoxycorticosterone, cortisol</w:t>
      </w:r>
      <w:r w:rsidR="00E44BE5" w:rsidRPr="003D44C0">
        <w:rPr>
          <w:rFonts w:ascii="Arial" w:hAnsi="Arial" w:cs="Arial"/>
          <w:lang w:val="en-US"/>
        </w:rPr>
        <w:t>, and other)</w:t>
      </w:r>
      <w:r w:rsidRPr="003D44C0">
        <w:rPr>
          <w:rFonts w:ascii="Arial" w:hAnsi="Arial" w:cs="Arial"/>
          <w:lang w:val="en-US"/>
        </w:rPr>
        <w:t xml:space="preserve"> or </w:t>
      </w:r>
      <w:r w:rsidR="00E44BE5" w:rsidRPr="003D44C0">
        <w:rPr>
          <w:rFonts w:ascii="Arial" w:hAnsi="Arial" w:cs="Arial"/>
          <w:lang w:val="en-US"/>
        </w:rPr>
        <w:t xml:space="preserve">non-steroid hormones (such as </w:t>
      </w:r>
      <w:r w:rsidRPr="003D44C0">
        <w:rPr>
          <w:rFonts w:ascii="Arial" w:hAnsi="Arial" w:cs="Arial"/>
          <w:lang w:val="en-US"/>
        </w:rPr>
        <w:t>catecholamines</w:t>
      </w:r>
      <w:r w:rsidR="00E44BE5" w:rsidRPr="003D44C0">
        <w:rPr>
          <w:rFonts w:ascii="Arial" w:hAnsi="Arial" w:cs="Arial"/>
          <w:lang w:val="en-US"/>
        </w:rPr>
        <w:t xml:space="preserve"> for example)</w:t>
      </w:r>
      <w:r w:rsidRPr="003D44C0">
        <w:rPr>
          <w:rFonts w:ascii="Arial" w:hAnsi="Arial" w:cs="Arial"/>
          <w:lang w:val="en-US"/>
        </w:rPr>
        <w:t>. In addition, a number of renal genetic disorders mimic</w:t>
      </w:r>
      <w:r w:rsidR="00B92B5F" w:rsidRPr="003D44C0">
        <w:rPr>
          <w:rFonts w:ascii="Arial" w:hAnsi="Arial" w:cs="Arial"/>
          <w:lang w:val="en-US"/>
        </w:rPr>
        <w:t xml:space="preserve"> adrenal diseases leading to hypertension. In this chapter, we provide an overview of the clinical manifestations of several </w:t>
      </w:r>
      <w:r w:rsidR="00447D51" w:rsidRPr="003D44C0">
        <w:rPr>
          <w:rFonts w:ascii="Arial" w:hAnsi="Arial" w:cs="Arial"/>
          <w:lang w:val="en-US"/>
        </w:rPr>
        <w:t>nosological</w:t>
      </w:r>
      <w:r w:rsidR="00B92B5F" w:rsidRPr="003D44C0">
        <w:rPr>
          <w:rFonts w:ascii="Arial" w:hAnsi="Arial" w:cs="Arial"/>
          <w:lang w:val="en-US"/>
        </w:rPr>
        <w:t xml:space="preserve"> entities causing endocrine hypertension in children and adolescents</w:t>
      </w:r>
      <w:r w:rsidR="00E44BE5" w:rsidRPr="003D44C0">
        <w:rPr>
          <w:rFonts w:ascii="Arial" w:hAnsi="Arial" w:cs="Arial"/>
          <w:lang w:val="en-US"/>
        </w:rPr>
        <w:t xml:space="preserve"> and</w:t>
      </w:r>
      <w:r w:rsidR="00B92B5F" w:rsidRPr="003D44C0">
        <w:rPr>
          <w:rFonts w:ascii="Arial" w:hAnsi="Arial" w:cs="Arial"/>
          <w:lang w:val="en-US"/>
        </w:rPr>
        <w:t xml:space="preserve"> present the diagnostic work up and therapeutic management of th</w:t>
      </w:r>
      <w:r w:rsidR="00E44BE5" w:rsidRPr="003D44C0">
        <w:rPr>
          <w:rFonts w:ascii="Arial" w:hAnsi="Arial" w:cs="Arial"/>
          <w:lang w:val="en-US"/>
        </w:rPr>
        <w:t>ese</w:t>
      </w:r>
      <w:r w:rsidR="00B92B5F" w:rsidRPr="003D44C0">
        <w:rPr>
          <w:rFonts w:ascii="Arial" w:hAnsi="Arial" w:cs="Arial"/>
          <w:lang w:val="en-US"/>
        </w:rPr>
        <w:t xml:space="preserve"> conditions.</w:t>
      </w:r>
    </w:p>
    <w:p w14:paraId="4358CE4A" w14:textId="77777777" w:rsidR="008C461A" w:rsidRPr="003D44C0" w:rsidRDefault="00DF2204" w:rsidP="00B130EA">
      <w:pPr>
        <w:spacing w:after="0" w:line="276" w:lineRule="auto"/>
        <w:rPr>
          <w:rFonts w:ascii="Arial" w:hAnsi="Arial" w:cs="Arial"/>
          <w:lang w:val="en-US"/>
        </w:rPr>
      </w:pPr>
      <w:r w:rsidRPr="003D44C0">
        <w:rPr>
          <w:rFonts w:ascii="Arial" w:hAnsi="Arial" w:cs="Arial"/>
          <w:lang w:val="en-US"/>
        </w:rPr>
        <w:t xml:space="preserve">  </w:t>
      </w:r>
    </w:p>
    <w:p w14:paraId="24306E89" w14:textId="77777777" w:rsidR="00631668" w:rsidRPr="003D44C0" w:rsidRDefault="00BE762F" w:rsidP="00B130EA">
      <w:pPr>
        <w:spacing w:after="0" w:line="276" w:lineRule="auto"/>
        <w:contextualSpacing/>
        <w:rPr>
          <w:rFonts w:ascii="Arial" w:eastAsia="Calibri" w:hAnsi="Arial" w:cs="Arial"/>
          <w:b/>
          <w:color w:val="0070C0"/>
          <w:lang w:val="en-US"/>
        </w:rPr>
      </w:pPr>
      <w:r w:rsidRPr="003D44C0">
        <w:rPr>
          <w:rFonts w:ascii="Arial" w:eastAsia="Calibri" w:hAnsi="Arial" w:cs="Arial"/>
          <w:b/>
          <w:color w:val="0070C0"/>
          <w:lang w:val="en-US"/>
        </w:rPr>
        <w:t>INTRODUCTION</w:t>
      </w:r>
    </w:p>
    <w:p w14:paraId="710D4061" w14:textId="77777777" w:rsidR="002039DF" w:rsidRPr="003D44C0" w:rsidRDefault="002039DF" w:rsidP="00B130EA">
      <w:pPr>
        <w:spacing w:after="0" w:line="276" w:lineRule="auto"/>
        <w:contextualSpacing/>
        <w:rPr>
          <w:rFonts w:ascii="Arial" w:eastAsia="Calibri" w:hAnsi="Arial" w:cs="Arial"/>
          <w:color w:val="000000" w:themeColor="text1"/>
          <w:lang w:val="en-US"/>
        </w:rPr>
      </w:pPr>
    </w:p>
    <w:p w14:paraId="246BB570" w14:textId="59AF29E1" w:rsidR="005B2A55" w:rsidRPr="003D44C0" w:rsidRDefault="006C0C4B" w:rsidP="00B130EA">
      <w:pPr>
        <w:spacing w:after="0" w:line="276" w:lineRule="auto"/>
        <w:contextualSpacing/>
        <w:rPr>
          <w:rFonts w:ascii="Arial" w:eastAsia="Calibri" w:hAnsi="Arial" w:cs="Arial"/>
          <w:color w:val="000000" w:themeColor="text1"/>
          <w:lang w:val="en-US"/>
        </w:rPr>
      </w:pPr>
      <w:r w:rsidRPr="003D44C0">
        <w:rPr>
          <w:rFonts w:ascii="Arial" w:eastAsia="Calibri" w:hAnsi="Arial" w:cs="Arial"/>
          <w:color w:val="000000" w:themeColor="text1"/>
          <w:lang w:val="en-US"/>
        </w:rPr>
        <w:t>Hypertension occurs in 3</w:t>
      </w:r>
      <w:r w:rsidR="00C64E07" w:rsidRPr="003D44C0">
        <w:rPr>
          <w:rFonts w:ascii="Arial" w:eastAsia="Calibri" w:hAnsi="Arial" w:cs="Arial"/>
          <w:color w:val="000000" w:themeColor="text1"/>
          <w:lang w:val="en-US"/>
        </w:rPr>
        <w:t>.5</w:t>
      </w:r>
      <w:r w:rsidRPr="003D44C0">
        <w:rPr>
          <w:rFonts w:ascii="Arial" w:eastAsia="Calibri" w:hAnsi="Arial" w:cs="Arial"/>
          <w:color w:val="000000" w:themeColor="text1"/>
          <w:lang w:val="en-US"/>
        </w:rPr>
        <w:t>% of children and adolescence worldwide (</w:t>
      </w:r>
      <w:r w:rsidR="00BD6D7C" w:rsidRPr="003D44C0">
        <w:rPr>
          <w:rFonts w:ascii="Arial" w:eastAsia="Calibri" w:hAnsi="Arial" w:cs="Arial"/>
          <w:color w:val="000000" w:themeColor="text1"/>
          <w:lang w:val="en-US"/>
        </w:rPr>
        <w:t>1</w:t>
      </w:r>
      <w:r w:rsidRPr="003D44C0">
        <w:rPr>
          <w:rFonts w:ascii="Arial" w:eastAsia="Calibri" w:hAnsi="Arial" w:cs="Arial"/>
          <w:color w:val="000000" w:themeColor="text1"/>
          <w:lang w:val="en-US"/>
        </w:rPr>
        <w:t>). Its prevalence has increased due to the epidemic of pediatric obesity</w:t>
      </w:r>
      <w:r w:rsidR="00BD6D7C" w:rsidRPr="003D44C0">
        <w:rPr>
          <w:rFonts w:ascii="Arial" w:eastAsia="Calibri" w:hAnsi="Arial" w:cs="Arial"/>
          <w:color w:val="000000" w:themeColor="text1"/>
          <w:lang w:val="en-US"/>
        </w:rPr>
        <w:t xml:space="preserve"> (2</w:t>
      </w:r>
      <w:r w:rsidR="00A91851" w:rsidRPr="003D44C0">
        <w:rPr>
          <w:rFonts w:ascii="Arial" w:eastAsia="Calibri" w:hAnsi="Arial" w:cs="Arial"/>
          <w:color w:val="000000" w:themeColor="text1"/>
          <w:lang w:val="en-US"/>
        </w:rPr>
        <w:t xml:space="preserve">). </w:t>
      </w:r>
      <w:r w:rsidR="005B2A55" w:rsidRPr="003D44C0">
        <w:rPr>
          <w:rFonts w:ascii="Arial" w:eastAsia="Calibri" w:hAnsi="Arial" w:cs="Arial"/>
          <w:color w:val="000000" w:themeColor="text1"/>
          <w:lang w:val="en-US"/>
        </w:rPr>
        <w:t>T</w:t>
      </w:r>
      <w:r w:rsidR="00A91851" w:rsidRPr="003D44C0">
        <w:rPr>
          <w:rFonts w:ascii="Arial" w:eastAsia="Calibri" w:hAnsi="Arial" w:cs="Arial"/>
          <w:color w:val="000000" w:themeColor="text1"/>
          <w:lang w:val="en-US"/>
        </w:rPr>
        <w:t>he 2017 Clinical Practice Guidelines of American Academy of Pediatrics (APP)</w:t>
      </w:r>
      <w:r w:rsidR="005B2A55" w:rsidRPr="003D44C0">
        <w:rPr>
          <w:rFonts w:ascii="Arial" w:eastAsia="Calibri" w:hAnsi="Arial" w:cs="Arial"/>
          <w:color w:val="000000" w:themeColor="text1"/>
          <w:lang w:val="en-US"/>
        </w:rPr>
        <w:t xml:space="preserve"> suggested an updated definition of hypertension</w:t>
      </w:r>
      <w:r w:rsidR="00D52E1B" w:rsidRPr="003D44C0">
        <w:rPr>
          <w:rFonts w:ascii="Arial" w:eastAsia="Calibri" w:hAnsi="Arial" w:cs="Arial"/>
          <w:color w:val="000000" w:themeColor="text1"/>
          <w:lang w:val="en-US"/>
        </w:rPr>
        <w:t xml:space="preserve"> in children and adolescent</w:t>
      </w:r>
      <w:r w:rsidR="005B2A55" w:rsidRPr="003D44C0">
        <w:rPr>
          <w:rFonts w:ascii="Arial" w:eastAsia="Calibri" w:hAnsi="Arial" w:cs="Arial"/>
          <w:color w:val="000000" w:themeColor="text1"/>
          <w:lang w:val="en-US"/>
        </w:rPr>
        <w:t xml:space="preserve"> using tables containing values of systolic and dias</w:t>
      </w:r>
      <w:r w:rsidR="00A80DDE" w:rsidRPr="003D44C0">
        <w:rPr>
          <w:rFonts w:ascii="Arial" w:eastAsia="Calibri" w:hAnsi="Arial" w:cs="Arial"/>
          <w:color w:val="000000" w:themeColor="text1"/>
          <w:lang w:val="en-US"/>
        </w:rPr>
        <w:t>tolic blood pressure adjusted for</w:t>
      </w:r>
      <w:r w:rsidR="005B2A55" w:rsidRPr="003D44C0">
        <w:rPr>
          <w:rFonts w:ascii="Arial" w:eastAsia="Calibri" w:hAnsi="Arial" w:cs="Arial"/>
          <w:color w:val="000000" w:themeColor="text1"/>
          <w:lang w:val="en-US"/>
        </w:rPr>
        <w:t xml:space="preserve"> gender, age</w:t>
      </w:r>
      <w:r w:rsidR="00E25B03" w:rsidRPr="003D44C0">
        <w:rPr>
          <w:rFonts w:ascii="Arial" w:eastAsia="Calibri" w:hAnsi="Arial" w:cs="Arial"/>
          <w:color w:val="000000" w:themeColor="text1"/>
          <w:lang w:val="en-US"/>
        </w:rPr>
        <w:t>,</w:t>
      </w:r>
      <w:r w:rsidR="005B2A55" w:rsidRPr="003D44C0">
        <w:rPr>
          <w:rFonts w:ascii="Arial" w:eastAsia="Calibri" w:hAnsi="Arial" w:cs="Arial"/>
          <w:color w:val="000000" w:themeColor="text1"/>
          <w:lang w:val="en-US"/>
        </w:rPr>
        <w:t xml:space="preserve"> and height. A</w:t>
      </w:r>
      <w:r w:rsidR="00A80DDE" w:rsidRPr="003D44C0">
        <w:rPr>
          <w:rFonts w:ascii="Arial" w:eastAsia="Calibri" w:hAnsi="Arial" w:cs="Arial"/>
          <w:color w:val="000000" w:themeColor="text1"/>
          <w:lang w:val="en-US"/>
        </w:rPr>
        <w:t>ccording to the</w:t>
      </w:r>
      <w:r w:rsidR="005B2A55" w:rsidRPr="003D44C0">
        <w:rPr>
          <w:rFonts w:ascii="Arial" w:eastAsia="Calibri" w:hAnsi="Arial" w:cs="Arial"/>
          <w:color w:val="000000" w:themeColor="text1"/>
          <w:lang w:val="en-US"/>
        </w:rPr>
        <w:t>se guidelines,</w:t>
      </w:r>
      <w:r w:rsidR="00A91851" w:rsidRPr="003D44C0">
        <w:rPr>
          <w:rFonts w:ascii="Arial" w:eastAsia="Calibri" w:hAnsi="Arial" w:cs="Arial"/>
          <w:color w:val="000000" w:themeColor="text1"/>
          <w:lang w:val="en-US"/>
        </w:rPr>
        <w:t xml:space="preserve"> children or adolescents with a blood pressure ≥ 95</w:t>
      </w:r>
      <w:r w:rsidR="00A91851" w:rsidRPr="003D44C0">
        <w:rPr>
          <w:rFonts w:ascii="Arial" w:eastAsia="Calibri" w:hAnsi="Arial" w:cs="Arial"/>
          <w:color w:val="000000" w:themeColor="text1"/>
          <w:vertAlign w:val="superscript"/>
          <w:lang w:val="en-US"/>
        </w:rPr>
        <w:t>th</w:t>
      </w:r>
      <w:r w:rsidR="00A91851" w:rsidRPr="003D44C0">
        <w:rPr>
          <w:rFonts w:ascii="Arial" w:eastAsia="Calibri" w:hAnsi="Arial" w:cs="Arial"/>
          <w:color w:val="000000" w:themeColor="text1"/>
          <w:lang w:val="en-US"/>
        </w:rPr>
        <w:t xml:space="preserve"> </w:t>
      </w:r>
      <w:r w:rsidR="005B2A55" w:rsidRPr="003D44C0">
        <w:rPr>
          <w:rFonts w:ascii="Arial" w:eastAsia="Calibri" w:hAnsi="Arial" w:cs="Arial"/>
          <w:color w:val="000000" w:themeColor="text1"/>
          <w:lang w:val="en-US"/>
        </w:rPr>
        <w:t xml:space="preserve">percentile </w:t>
      </w:r>
      <w:r w:rsidR="00A91851" w:rsidRPr="003D44C0">
        <w:rPr>
          <w:rFonts w:ascii="Arial" w:eastAsia="Calibri" w:hAnsi="Arial" w:cs="Arial"/>
          <w:color w:val="000000" w:themeColor="text1"/>
          <w:lang w:val="en-US"/>
        </w:rPr>
        <w:t xml:space="preserve">are classified as </w:t>
      </w:r>
      <w:r w:rsidR="00442713" w:rsidRPr="003D44C0">
        <w:rPr>
          <w:rFonts w:ascii="Arial" w:eastAsia="Calibri" w:hAnsi="Arial" w:cs="Arial"/>
          <w:color w:val="000000" w:themeColor="text1"/>
          <w:lang w:val="en-US"/>
        </w:rPr>
        <w:t>stage 1 hypertensive, whereas those with a blood pressure ≥ 95</w:t>
      </w:r>
      <w:r w:rsidR="00442713" w:rsidRPr="003D44C0">
        <w:rPr>
          <w:rFonts w:ascii="Arial" w:eastAsia="Calibri" w:hAnsi="Arial" w:cs="Arial"/>
          <w:color w:val="000000" w:themeColor="text1"/>
          <w:vertAlign w:val="superscript"/>
          <w:lang w:val="en-US"/>
        </w:rPr>
        <w:t>th</w:t>
      </w:r>
      <w:r w:rsidR="00442713" w:rsidRPr="003D44C0">
        <w:rPr>
          <w:rFonts w:ascii="Arial" w:eastAsia="Calibri" w:hAnsi="Arial" w:cs="Arial"/>
          <w:color w:val="000000" w:themeColor="text1"/>
          <w:lang w:val="en-US"/>
        </w:rPr>
        <w:t xml:space="preserve"> </w:t>
      </w:r>
      <w:r w:rsidR="005B2A55" w:rsidRPr="003D44C0">
        <w:rPr>
          <w:rFonts w:ascii="Arial" w:eastAsia="Calibri" w:hAnsi="Arial" w:cs="Arial"/>
          <w:color w:val="000000" w:themeColor="text1"/>
          <w:lang w:val="en-US"/>
        </w:rPr>
        <w:t xml:space="preserve">percentile </w:t>
      </w:r>
      <w:r w:rsidR="00442713" w:rsidRPr="003D44C0">
        <w:rPr>
          <w:rFonts w:ascii="Arial" w:eastAsia="Calibri" w:hAnsi="Arial" w:cs="Arial"/>
          <w:color w:val="000000" w:themeColor="text1"/>
          <w:lang w:val="en-US"/>
        </w:rPr>
        <w:t>+ 12 mmHg are considered as stage 2 hypertensive</w:t>
      </w:r>
      <w:r w:rsidR="005B2A55" w:rsidRPr="003D44C0">
        <w:rPr>
          <w:rFonts w:ascii="Arial" w:eastAsia="Calibri" w:hAnsi="Arial" w:cs="Arial"/>
          <w:color w:val="000000" w:themeColor="text1"/>
          <w:lang w:val="en-US"/>
        </w:rPr>
        <w:t xml:space="preserve"> (1).</w:t>
      </w:r>
    </w:p>
    <w:p w14:paraId="531C4840" w14:textId="77777777" w:rsidR="005B2A55" w:rsidRPr="003D44C0" w:rsidRDefault="005B2A55" w:rsidP="00B130EA">
      <w:pPr>
        <w:spacing w:after="0" w:line="276" w:lineRule="auto"/>
        <w:contextualSpacing/>
        <w:rPr>
          <w:rFonts w:ascii="Arial" w:eastAsia="Calibri" w:hAnsi="Arial" w:cs="Arial"/>
          <w:color w:val="000000" w:themeColor="text1"/>
          <w:lang w:val="en-US"/>
        </w:rPr>
      </w:pPr>
    </w:p>
    <w:p w14:paraId="7F0CB2C9" w14:textId="6A9425FE" w:rsidR="004E64EC" w:rsidRPr="003D44C0" w:rsidRDefault="005B2A55" w:rsidP="00B130EA">
      <w:pPr>
        <w:spacing w:after="0" w:line="276" w:lineRule="auto"/>
        <w:contextualSpacing/>
        <w:rPr>
          <w:rFonts w:ascii="Arial" w:eastAsia="Calibri" w:hAnsi="Arial" w:cs="Arial"/>
          <w:color w:val="000000" w:themeColor="text1"/>
          <w:lang w:val="en-US"/>
        </w:rPr>
      </w:pPr>
      <w:r w:rsidRPr="003D44C0">
        <w:rPr>
          <w:rFonts w:ascii="Arial" w:eastAsia="Calibri" w:hAnsi="Arial" w:cs="Arial"/>
          <w:color w:val="000000" w:themeColor="text1"/>
          <w:lang w:val="en-US"/>
        </w:rPr>
        <w:t xml:space="preserve">Hypertension in children and adolescents might be primary or secondary. </w:t>
      </w:r>
      <w:r w:rsidR="00A80DDE" w:rsidRPr="003D44C0">
        <w:rPr>
          <w:rFonts w:ascii="Arial" w:eastAsia="Calibri" w:hAnsi="Arial" w:cs="Arial"/>
          <w:color w:val="000000" w:themeColor="text1"/>
          <w:lang w:val="en-US"/>
        </w:rPr>
        <w:t>Causes of secondary hypertension include renal or renovascular diseases, heart diseases (e.g. aortic coarctation)</w:t>
      </w:r>
      <w:r w:rsidR="00E25B03" w:rsidRPr="003D44C0">
        <w:rPr>
          <w:rFonts w:ascii="Arial" w:eastAsia="Calibri" w:hAnsi="Arial" w:cs="Arial"/>
          <w:color w:val="000000" w:themeColor="text1"/>
          <w:lang w:val="en-US"/>
        </w:rPr>
        <w:t>,</w:t>
      </w:r>
      <w:r w:rsidR="00442713" w:rsidRPr="003D44C0">
        <w:rPr>
          <w:rFonts w:ascii="Arial" w:eastAsia="Calibri" w:hAnsi="Arial" w:cs="Arial"/>
          <w:color w:val="000000" w:themeColor="text1"/>
          <w:lang w:val="en-US"/>
        </w:rPr>
        <w:t xml:space="preserve"> </w:t>
      </w:r>
      <w:r w:rsidR="00A80DDE" w:rsidRPr="003D44C0">
        <w:rPr>
          <w:rFonts w:ascii="Arial" w:eastAsia="Calibri" w:hAnsi="Arial" w:cs="Arial"/>
          <w:color w:val="000000" w:themeColor="text1"/>
          <w:lang w:val="en-US"/>
        </w:rPr>
        <w:t>or endocrine nosological entities</w:t>
      </w:r>
      <w:r w:rsidR="007F317E" w:rsidRPr="003D44C0">
        <w:rPr>
          <w:rFonts w:ascii="Arial" w:eastAsia="Calibri" w:hAnsi="Arial" w:cs="Arial"/>
          <w:color w:val="000000" w:themeColor="text1"/>
          <w:lang w:val="en-US"/>
        </w:rPr>
        <w:t xml:space="preserve"> (1, 2)</w:t>
      </w:r>
      <w:r w:rsidR="00007AB2" w:rsidRPr="003D44C0">
        <w:rPr>
          <w:rFonts w:ascii="Arial" w:eastAsia="Calibri" w:hAnsi="Arial" w:cs="Arial"/>
          <w:color w:val="000000" w:themeColor="text1"/>
          <w:lang w:val="en-US"/>
        </w:rPr>
        <w:t xml:space="preserve">. Endocrine hypertension </w:t>
      </w:r>
      <w:r w:rsidR="00A713FA" w:rsidRPr="003D44C0">
        <w:rPr>
          <w:rFonts w:ascii="Arial" w:eastAsia="Calibri" w:hAnsi="Arial" w:cs="Arial"/>
          <w:color w:val="000000" w:themeColor="text1"/>
          <w:lang w:val="en-US"/>
        </w:rPr>
        <w:t>is defined as secondary hypertension caused by</w:t>
      </w:r>
      <w:r w:rsidR="00C64E07" w:rsidRPr="003D44C0">
        <w:rPr>
          <w:rFonts w:ascii="Arial" w:eastAsia="Calibri" w:hAnsi="Arial" w:cs="Arial"/>
          <w:color w:val="000000" w:themeColor="text1"/>
          <w:lang w:val="en-US"/>
        </w:rPr>
        <w:t xml:space="preserve"> </w:t>
      </w:r>
      <w:r w:rsidR="00A713FA" w:rsidRPr="003D44C0">
        <w:rPr>
          <w:rFonts w:ascii="Arial" w:eastAsia="Calibri" w:hAnsi="Arial" w:cs="Arial"/>
          <w:color w:val="000000" w:themeColor="text1"/>
          <w:lang w:val="en-US"/>
        </w:rPr>
        <w:t xml:space="preserve">pathologies, such as </w:t>
      </w:r>
      <w:r w:rsidR="00C64E07" w:rsidRPr="003D44C0">
        <w:rPr>
          <w:rFonts w:ascii="Arial" w:eastAsia="Calibri" w:hAnsi="Arial" w:cs="Arial"/>
          <w:color w:val="000000" w:themeColor="text1"/>
          <w:lang w:val="en-US"/>
        </w:rPr>
        <w:t xml:space="preserve">various </w:t>
      </w:r>
      <w:r w:rsidR="00A713FA" w:rsidRPr="003D44C0">
        <w:rPr>
          <w:rFonts w:ascii="Arial" w:eastAsia="Calibri" w:hAnsi="Arial" w:cs="Arial"/>
          <w:color w:val="000000" w:themeColor="text1"/>
          <w:lang w:val="en-US"/>
        </w:rPr>
        <w:t>states of mineralocorticoid, glucocorticoid</w:t>
      </w:r>
      <w:r w:rsidR="00E25B03" w:rsidRPr="003D44C0">
        <w:rPr>
          <w:rFonts w:ascii="Arial" w:eastAsia="Calibri" w:hAnsi="Arial" w:cs="Arial"/>
          <w:color w:val="000000" w:themeColor="text1"/>
          <w:lang w:val="en-US"/>
        </w:rPr>
        <w:t>,</w:t>
      </w:r>
      <w:r w:rsidR="00A713FA" w:rsidRPr="003D44C0">
        <w:rPr>
          <w:rFonts w:ascii="Arial" w:eastAsia="Calibri" w:hAnsi="Arial" w:cs="Arial"/>
          <w:color w:val="000000" w:themeColor="text1"/>
          <w:lang w:val="en-US"/>
        </w:rPr>
        <w:t xml:space="preserve"> or catecholamine excess,</w:t>
      </w:r>
      <w:r w:rsidR="00B77128" w:rsidRPr="003D44C0">
        <w:rPr>
          <w:rFonts w:ascii="Arial" w:eastAsia="Calibri" w:hAnsi="Arial" w:cs="Arial"/>
          <w:color w:val="000000" w:themeColor="text1"/>
          <w:lang w:val="en-US"/>
        </w:rPr>
        <w:t xml:space="preserve"> thyroid or pituitary hormone over-secretion,</w:t>
      </w:r>
      <w:r w:rsidR="00C64E07" w:rsidRPr="003D44C0">
        <w:rPr>
          <w:rFonts w:ascii="Arial" w:eastAsia="Calibri" w:hAnsi="Arial" w:cs="Arial"/>
          <w:color w:val="000000" w:themeColor="text1"/>
          <w:lang w:val="en-US"/>
        </w:rPr>
        <w:t xml:space="preserve"> genetic disorders such as</w:t>
      </w:r>
      <w:r w:rsidR="00A713FA" w:rsidRPr="003D44C0">
        <w:rPr>
          <w:rFonts w:ascii="Arial" w:eastAsia="Calibri" w:hAnsi="Arial" w:cs="Arial"/>
          <w:color w:val="000000" w:themeColor="text1"/>
          <w:lang w:val="en-US"/>
        </w:rPr>
        <w:t xml:space="preserve"> congenital adrenal hyperplasia (11β-hydroxylase deficiency and 17α-hydroxylase deficiency), and syndrome</w:t>
      </w:r>
      <w:r w:rsidR="00BD6D7C" w:rsidRPr="003D44C0">
        <w:rPr>
          <w:rFonts w:ascii="Arial" w:eastAsia="Calibri" w:hAnsi="Arial" w:cs="Arial"/>
          <w:color w:val="000000" w:themeColor="text1"/>
          <w:lang w:val="en-US"/>
        </w:rPr>
        <w:t>s</w:t>
      </w:r>
      <w:r w:rsidR="00B77128" w:rsidRPr="003D44C0">
        <w:rPr>
          <w:rFonts w:ascii="Arial" w:eastAsia="Calibri" w:hAnsi="Arial" w:cs="Arial"/>
          <w:color w:val="000000" w:themeColor="text1"/>
          <w:lang w:val="en-US"/>
        </w:rPr>
        <w:t xml:space="preserve"> caused by molecular or chromosomal defects</w:t>
      </w:r>
      <w:r w:rsidR="00BD6D7C" w:rsidRPr="003D44C0">
        <w:rPr>
          <w:rFonts w:ascii="Arial" w:eastAsia="Calibri" w:hAnsi="Arial" w:cs="Arial"/>
          <w:color w:val="000000" w:themeColor="text1"/>
          <w:lang w:val="en-US"/>
        </w:rPr>
        <w:t xml:space="preserve"> (3</w:t>
      </w:r>
      <w:r w:rsidR="007F317E" w:rsidRPr="003D44C0">
        <w:rPr>
          <w:rFonts w:ascii="Arial" w:eastAsia="Calibri" w:hAnsi="Arial" w:cs="Arial"/>
          <w:color w:val="000000" w:themeColor="text1"/>
          <w:lang w:val="en-US"/>
        </w:rPr>
        <w:t xml:space="preserve">). </w:t>
      </w:r>
      <w:r w:rsidR="002B1EDC" w:rsidRPr="003D44C0">
        <w:rPr>
          <w:rFonts w:ascii="Arial" w:eastAsia="Calibri" w:hAnsi="Arial" w:cs="Arial"/>
          <w:color w:val="000000" w:themeColor="text1"/>
          <w:lang w:val="en-US"/>
        </w:rPr>
        <w:t>Although the list of causes of endocrine hypertension is long,</w:t>
      </w:r>
      <w:r w:rsidR="007F317E" w:rsidRPr="003D44C0">
        <w:rPr>
          <w:rFonts w:ascii="Arial" w:eastAsia="Calibri" w:hAnsi="Arial" w:cs="Arial"/>
          <w:color w:val="000000" w:themeColor="text1"/>
          <w:lang w:val="en-US"/>
        </w:rPr>
        <w:t xml:space="preserve"> the prevalence of endocrine hypertension ranges between 0,05% to 6% among all cause</w:t>
      </w:r>
      <w:r w:rsidR="00BD6D7C" w:rsidRPr="003D44C0">
        <w:rPr>
          <w:rFonts w:ascii="Arial" w:eastAsia="Calibri" w:hAnsi="Arial" w:cs="Arial"/>
          <w:color w:val="000000" w:themeColor="text1"/>
          <w:lang w:val="en-US"/>
        </w:rPr>
        <w:t>s of secondary hypertension (4</w:t>
      </w:r>
      <w:r w:rsidR="007F317E" w:rsidRPr="003D44C0">
        <w:rPr>
          <w:rFonts w:ascii="Arial" w:eastAsia="Calibri" w:hAnsi="Arial" w:cs="Arial"/>
          <w:color w:val="000000" w:themeColor="text1"/>
          <w:lang w:val="en-US"/>
        </w:rPr>
        <w:t>).</w:t>
      </w:r>
      <w:r w:rsidR="004E64EC" w:rsidRPr="003D44C0">
        <w:rPr>
          <w:rFonts w:ascii="Arial" w:eastAsia="Calibri" w:hAnsi="Arial" w:cs="Arial"/>
          <w:color w:val="000000" w:themeColor="text1"/>
          <w:lang w:val="en-US"/>
        </w:rPr>
        <w:t xml:space="preserve"> In addition to endocrine pathologies, the ever-increasing rates of obesity in childhood and </w:t>
      </w:r>
      <w:r w:rsidR="004E64EC" w:rsidRPr="003D44C0">
        <w:rPr>
          <w:rFonts w:ascii="Arial" w:eastAsia="Calibri" w:hAnsi="Arial" w:cs="Arial"/>
          <w:color w:val="000000" w:themeColor="text1"/>
          <w:lang w:val="en-US"/>
        </w:rPr>
        <w:lastRenderedPageBreak/>
        <w:t xml:space="preserve">adolescence </w:t>
      </w:r>
      <w:r w:rsidR="00000ACA" w:rsidRPr="003D44C0">
        <w:rPr>
          <w:rFonts w:ascii="Arial" w:eastAsia="Calibri" w:hAnsi="Arial" w:cs="Arial"/>
          <w:color w:val="000000" w:themeColor="text1"/>
          <w:lang w:val="en-US"/>
        </w:rPr>
        <w:t xml:space="preserve">have </w:t>
      </w:r>
      <w:r w:rsidR="004E64EC" w:rsidRPr="003D44C0">
        <w:rPr>
          <w:rFonts w:ascii="Arial" w:eastAsia="Calibri" w:hAnsi="Arial" w:cs="Arial"/>
          <w:color w:val="000000" w:themeColor="text1"/>
          <w:lang w:val="en-US"/>
        </w:rPr>
        <w:t>resulted in a dramatic increase of obesity-related hypertension with a prevalence of 25% ultimately leading to adverse cardiovascular outcomes</w:t>
      </w:r>
      <w:r w:rsidR="00A73D68" w:rsidRPr="003D44C0">
        <w:rPr>
          <w:rFonts w:ascii="Arial" w:eastAsia="Calibri" w:hAnsi="Arial" w:cs="Arial"/>
          <w:color w:val="000000" w:themeColor="text1"/>
          <w:lang w:val="en-US"/>
        </w:rPr>
        <w:t xml:space="preserve"> (1, 2)</w:t>
      </w:r>
      <w:r w:rsidR="004E64EC" w:rsidRPr="003D44C0">
        <w:rPr>
          <w:rFonts w:ascii="Arial" w:eastAsia="Calibri" w:hAnsi="Arial" w:cs="Arial"/>
          <w:color w:val="000000" w:themeColor="text1"/>
          <w:lang w:val="en-US"/>
        </w:rPr>
        <w:t>.</w:t>
      </w:r>
    </w:p>
    <w:p w14:paraId="2533CCAC" w14:textId="77777777" w:rsidR="004E64EC" w:rsidRPr="003D44C0" w:rsidRDefault="004E64EC" w:rsidP="00B130EA">
      <w:pPr>
        <w:spacing w:after="0" w:line="276" w:lineRule="auto"/>
        <w:contextualSpacing/>
        <w:rPr>
          <w:rFonts w:ascii="Arial" w:eastAsia="Calibri" w:hAnsi="Arial" w:cs="Arial"/>
          <w:color w:val="000000" w:themeColor="text1"/>
          <w:lang w:val="en-US"/>
        </w:rPr>
      </w:pPr>
    </w:p>
    <w:p w14:paraId="4F3F9B81" w14:textId="5C306FCE" w:rsidR="00BE762F" w:rsidRPr="003D44C0" w:rsidRDefault="004E64EC" w:rsidP="00B130EA">
      <w:pPr>
        <w:spacing w:after="0" w:line="276" w:lineRule="auto"/>
        <w:contextualSpacing/>
        <w:rPr>
          <w:rFonts w:ascii="Arial" w:eastAsia="Calibri" w:hAnsi="Arial" w:cs="Arial"/>
          <w:color w:val="000000" w:themeColor="text1"/>
          <w:lang w:val="en-US"/>
        </w:rPr>
      </w:pPr>
      <w:r w:rsidRPr="003D44C0">
        <w:rPr>
          <w:rFonts w:ascii="Arial" w:eastAsia="Calibri" w:hAnsi="Arial" w:cs="Arial"/>
          <w:color w:val="000000" w:themeColor="text1"/>
          <w:lang w:val="en-US"/>
        </w:rPr>
        <w:t>In this chapter, we review the</w:t>
      </w:r>
      <w:r w:rsidR="00B77128" w:rsidRPr="003D44C0">
        <w:rPr>
          <w:rFonts w:ascii="Arial" w:eastAsia="Calibri" w:hAnsi="Arial" w:cs="Arial"/>
          <w:color w:val="000000" w:themeColor="text1"/>
          <w:lang w:val="en-US"/>
        </w:rPr>
        <w:t xml:space="preserve"> most common causes of</w:t>
      </w:r>
      <w:r w:rsidRPr="003D44C0">
        <w:rPr>
          <w:rFonts w:ascii="Arial" w:eastAsia="Calibri" w:hAnsi="Arial" w:cs="Arial"/>
          <w:color w:val="000000" w:themeColor="text1"/>
          <w:lang w:val="en-US"/>
        </w:rPr>
        <w:t xml:space="preserve"> endocrine hypertension in children and adolescents.</w:t>
      </w:r>
    </w:p>
    <w:p w14:paraId="563D8678" w14:textId="77777777" w:rsidR="00BE762F" w:rsidRPr="003D44C0" w:rsidRDefault="00BE762F" w:rsidP="00B130EA">
      <w:pPr>
        <w:spacing w:after="0" w:line="276" w:lineRule="auto"/>
        <w:contextualSpacing/>
        <w:rPr>
          <w:rFonts w:ascii="Arial" w:eastAsia="Calibri" w:hAnsi="Arial" w:cs="Arial"/>
          <w:b/>
          <w:color w:val="0070C0"/>
          <w:lang w:val="en-US"/>
        </w:rPr>
      </w:pPr>
    </w:p>
    <w:p w14:paraId="25648869" w14:textId="77777777" w:rsidR="00BE762F" w:rsidRPr="003D44C0" w:rsidRDefault="00BE762F" w:rsidP="00B130EA">
      <w:pPr>
        <w:spacing w:after="0" w:line="276" w:lineRule="auto"/>
        <w:contextualSpacing/>
        <w:rPr>
          <w:rFonts w:ascii="Arial" w:eastAsia="Calibri" w:hAnsi="Arial" w:cs="Arial"/>
          <w:b/>
          <w:color w:val="0070C0"/>
          <w:lang w:val="en-US"/>
        </w:rPr>
      </w:pPr>
      <w:r w:rsidRPr="003D44C0">
        <w:rPr>
          <w:rFonts w:ascii="Arial" w:eastAsia="Calibri" w:hAnsi="Arial" w:cs="Arial"/>
          <w:b/>
          <w:color w:val="0070C0"/>
          <w:lang w:val="en-US"/>
        </w:rPr>
        <w:t>DISORDERS OF THE ADRENAL CORTEX</w:t>
      </w:r>
    </w:p>
    <w:p w14:paraId="1CD1F7D8" w14:textId="77777777" w:rsidR="009632CD" w:rsidRPr="003D44C0" w:rsidRDefault="009632CD" w:rsidP="00B130EA">
      <w:pPr>
        <w:spacing w:after="0" w:line="276" w:lineRule="auto"/>
        <w:contextualSpacing/>
        <w:rPr>
          <w:rFonts w:ascii="Arial" w:eastAsia="Calibri" w:hAnsi="Arial" w:cs="Arial"/>
          <w:b/>
          <w:color w:val="0070C0"/>
          <w:lang w:val="en-US"/>
        </w:rPr>
      </w:pPr>
    </w:p>
    <w:p w14:paraId="3E1DC8D3" w14:textId="77777777" w:rsidR="00BE762F" w:rsidRPr="003D44C0" w:rsidRDefault="00C73D64" w:rsidP="00B130EA">
      <w:pPr>
        <w:spacing w:after="0" w:line="276" w:lineRule="auto"/>
        <w:contextualSpacing/>
        <w:rPr>
          <w:rFonts w:ascii="Arial" w:eastAsia="Calibri" w:hAnsi="Arial" w:cs="Arial"/>
          <w:b/>
          <w:color w:val="00B050"/>
          <w:lang w:val="en-US"/>
        </w:rPr>
      </w:pPr>
      <w:r w:rsidRPr="003D44C0">
        <w:rPr>
          <w:rFonts w:ascii="Arial" w:eastAsia="Calibri" w:hAnsi="Arial" w:cs="Arial"/>
          <w:b/>
          <w:color w:val="00B050"/>
          <w:lang w:val="en-US"/>
        </w:rPr>
        <w:t>Syndromes of Aldosterone</w:t>
      </w:r>
      <w:r w:rsidR="00BE762F" w:rsidRPr="003D44C0">
        <w:rPr>
          <w:rFonts w:ascii="Arial" w:eastAsia="Calibri" w:hAnsi="Arial" w:cs="Arial"/>
          <w:b/>
          <w:color w:val="00B050"/>
          <w:lang w:val="en-US"/>
        </w:rPr>
        <w:t xml:space="preserve"> Excess</w:t>
      </w:r>
    </w:p>
    <w:p w14:paraId="17AE18B4" w14:textId="77777777" w:rsidR="009632CD" w:rsidRPr="003D44C0" w:rsidRDefault="009632CD" w:rsidP="00B130EA">
      <w:pPr>
        <w:spacing w:after="0" w:line="276" w:lineRule="auto"/>
        <w:contextualSpacing/>
        <w:rPr>
          <w:rFonts w:ascii="Arial" w:eastAsia="Calibri" w:hAnsi="Arial" w:cs="Arial"/>
          <w:b/>
          <w:color w:val="00B050"/>
          <w:lang w:val="en-US"/>
        </w:rPr>
      </w:pPr>
    </w:p>
    <w:p w14:paraId="0CF660E6" w14:textId="77777777" w:rsidR="009632CD" w:rsidRPr="003D44C0" w:rsidRDefault="004203F2" w:rsidP="00B130EA">
      <w:pPr>
        <w:spacing w:after="0" w:line="276" w:lineRule="auto"/>
        <w:contextualSpacing/>
        <w:rPr>
          <w:rFonts w:ascii="Arial" w:eastAsia="Calibri" w:hAnsi="Arial" w:cs="Arial"/>
          <w:color w:val="FF0000"/>
          <w:lang w:val="en-US"/>
        </w:rPr>
      </w:pPr>
      <w:r w:rsidRPr="003D44C0">
        <w:rPr>
          <w:rFonts w:ascii="Arial" w:eastAsia="Calibri" w:hAnsi="Arial" w:cs="Arial"/>
          <w:color w:val="FF0000"/>
          <w:lang w:val="en-US"/>
        </w:rPr>
        <w:t>PRIMAR</w:t>
      </w:r>
      <w:r w:rsidR="00BE762F" w:rsidRPr="003D44C0">
        <w:rPr>
          <w:rFonts w:ascii="Arial" w:eastAsia="Calibri" w:hAnsi="Arial" w:cs="Arial"/>
          <w:color w:val="FF0000"/>
          <w:lang w:val="en-US"/>
        </w:rPr>
        <w:t>Y ALDOSTERONISM</w:t>
      </w:r>
    </w:p>
    <w:p w14:paraId="62F0112C" w14:textId="77777777" w:rsidR="009632CD" w:rsidRPr="003D44C0" w:rsidRDefault="009632CD" w:rsidP="00B130EA">
      <w:pPr>
        <w:spacing w:after="0" w:line="276" w:lineRule="auto"/>
        <w:contextualSpacing/>
        <w:rPr>
          <w:rFonts w:ascii="Arial" w:eastAsia="Calibri" w:hAnsi="Arial" w:cs="Arial"/>
          <w:color w:val="FF0000"/>
          <w:lang w:val="en-US"/>
        </w:rPr>
      </w:pPr>
    </w:p>
    <w:p w14:paraId="2ECFB8FA" w14:textId="129E886B" w:rsidR="000D7B14" w:rsidRPr="003D44C0" w:rsidRDefault="009632CD" w:rsidP="00B130EA">
      <w:pPr>
        <w:spacing w:after="0" w:line="276" w:lineRule="auto"/>
        <w:contextualSpacing/>
        <w:rPr>
          <w:rFonts w:ascii="Arial" w:eastAsia="Calibri" w:hAnsi="Arial" w:cs="Arial"/>
          <w:color w:val="000000" w:themeColor="text1"/>
          <w:lang w:val="en-US"/>
        </w:rPr>
      </w:pPr>
      <w:r w:rsidRPr="003D44C0">
        <w:rPr>
          <w:rFonts w:ascii="Arial" w:eastAsia="Calibri" w:hAnsi="Arial" w:cs="Arial"/>
          <w:color w:val="000000" w:themeColor="text1"/>
          <w:lang w:val="en-US"/>
        </w:rPr>
        <w:t xml:space="preserve">Less than 15% of cases </w:t>
      </w:r>
      <w:r w:rsidR="00635246" w:rsidRPr="003D44C0">
        <w:rPr>
          <w:rFonts w:ascii="Arial" w:eastAsia="Calibri" w:hAnsi="Arial" w:cs="Arial"/>
          <w:color w:val="000000" w:themeColor="text1"/>
          <w:lang w:val="en-US"/>
        </w:rPr>
        <w:t xml:space="preserve">in children and adolescents </w:t>
      </w:r>
      <w:r w:rsidRPr="003D44C0">
        <w:rPr>
          <w:rFonts w:ascii="Arial" w:eastAsia="Calibri" w:hAnsi="Arial" w:cs="Arial"/>
          <w:color w:val="000000" w:themeColor="text1"/>
          <w:lang w:val="en-US"/>
        </w:rPr>
        <w:t>with hypertension have been attributed to primary aldosteronism</w:t>
      </w:r>
      <w:r w:rsidR="006F663A" w:rsidRPr="003D44C0">
        <w:rPr>
          <w:rFonts w:ascii="Arial" w:eastAsia="Calibri" w:hAnsi="Arial" w:cs="Arial"/>
          <w:color w:val="000000" w:themeColor="text1"/>
          <w:lang w:val="en-US"/>
        </w:rPr>
        <w:t>,</w:t>
      </w:r>
      <w:r w:rsidR="00801076" w:rsidRPr="003D44C0">
        <w:rPr>
          <w:rFonts w:ascii="Arial" w:eastAsia="Calibri" w:hAnsi="Arial" w:cs="Arial"/>
          <w:color w:val="000000" w:themeColor="text1"/>
          <w:lang w:val="en-US"/>
        </w:rPr>
        <w:t xml:space="preserve"> which is characterized by </w:t>
      </w:r>
      <w:r w:rsidR="006F663A" w:rsidRPr="003D44C0">
        <w:rPr>
          <w:rFonts w:ascii="Arial" w:eastAsia="Calibri" w:hAnsi="Arial" w:cs="Arial"/>
          <w:color w:val="000000" w:themeColor="text1"/>
          <w:lang w:val="en-US"/>
        </w:rPr>
        <w:t xml:space="preserve">autonomous excessive biosynthesis and release of aldosterone by the </w:t>
      </w:r>
      <w:r w:rsidR="006F663A" w:rsidRPr="003D44C0">
        <w:rPr>
          <w:rFonts w:ascii="Arial" w:eastAsia="Calibri" w:hAnsi="Arial" w:cs="Arial"/>
          <w:i/>
          <w:color w:val="000000" w:themeColor="text1"/>
          <w:lang w:val="en-US"/>
        </w:rPr>
        <w:t xml:space="preserve">zona glomerulosa </w:t>
      </w:r>
      <w:r w:rsidR="006F663A" w:rsidRPr="003D44C0">
        <w:rPr>
          <w:rFonts w:ascii="Arial" w:eastAsia="Calibri" w:hAnsi="Arial" w:cs="Arial"/>
          <w:color w:val="000000" w:themeColor="text1"/>
          <w:lang w:val="en-US"/>
        </w:rPr>
        <w:t>of the adrenal cortex</w:t>
      </w:r>
      <w:r w:rsidR="00BD6D7C" w:rsidRPr="003D44C0">
        <w:rPr>
          <w:rFonts w:ascii="Arial" w:eastAsia="Calibri" w:hAnsi="Arial" w:cs="Arial"/>
          <w:color w:val="000000" w:themeColor="text1"/>
          <w:lang w:val="en-US"/>
        </w:rPr>
        <w:t xml:space="preserve"> (5</w:t>
      </w:r>
      <w:r w:rsidR="00801076" w:rsidRPr="003D44C0">
        <w:rPr>
          <w:rFonts w:ascii="Arial" w:eastAsia="Calibri" w:hAnsi="Arial" w:cs="Arial"/>
          <w:color w:val="000000" w:themeColor="text1"/>
          <w:lang w:val="en-US"/>
        </w:rPr>
        <w:t>)</w:t>
      </w:r>
      <w:r w:rsidRPr="003D44C0">
        <w:rPr>
          <w:rFonts w:ascii="Arial" w:eastAsia="Calibri" w:hAnsi="Arial" w:cs="Arial"/>
          <w:color w:val="000000" w:themeColor="text1"/>
          <w:lang w:val="en-US"/>
        </w:rPr>
        <w:t>.</w:t>
      </w:r>
      <w:r w:rsidR="00801076" w:rsidRPr="003D44C0">
        <w:rPr>
          <w:rFonts w:ascii="Arial" w:eastAsia="Calibri" w:hAnsi="Arial" w:cs="Arial"/>
          <w:color w:val="000000" w:themeColor="text1"/>
          <w:lang w:val="en-US"/>
        </w:rPr>
        <w:t xml:space="preserve"> </w:t>
      </w:r>
      <w:r w:rsidR="006F663A" w:rsidRPr="003D44C0">
        <w:rPr>
          <w:rFonts w:ascii="Arial" w:eastAsia="Calibri" w:hAnsi="Arial" w:cs="Arial"/>
          <w:color w:val="000000" w:themeColor="text1"/>
          <w:lang w:val="en-US"/>
        </w:rPr>
        <w:t xml:space="preserve">Most cases of primary aldosteronism are sporadic </w:t>
      </w:r>
      <w:r w:rsidR="003F2B05" w:rsidRPr="003D44C0">
        <w:rPr>
          <w:rFonts w:ascii="Arial" w:eastAsia="Calibri" w:hAnsi="Arial" w:cs="Arial"/>
          <w:color w:val="000000" w:themeColor="text1"/>
          <w:lang w:val="en-US"/>
        </w:rPr>
        <w:t>due to a unilateral aldosterone-producing adenoma or bilateral adrenal hyperplasia. Less commonly, primary aldosteronism results from un</w:t>
      </w:r>
      <w:r w:rsidR="00BD6D7C" w:rsidRPr="003D44C0">
        <w:rPr>
          <w:rFonts w:ascii="Arial" w:eastAsia="Calibri" w:hAnsi="Arial" w:cs="Arial"/>
          <w:color w:val="000000" w:themeColor="text1"/>
          <w:lang w:val="en-US"/>
        </w:rPr>
        <w:t>ilateral adrenal hyperplasia (6</w:t>
      </w:r>
      <w:r w:rsidR="003F2B05" w:rsidRPr="003D44C0">
        <w:rPr>
          <w:rFonts w:ascii="Arial" w:eastAsia="Calibri" w:hAnsi="Arial" w:cs="Arial"/>
          <w:color w:val="000000" w:themeColor="text1"/>
          <w:lang w:val="en-US"/>
        </w:rPr>
        <w:t xml:space="preserve">). </w:t>
      </w:r>
    </w:p>
    <w:p w14:paraId="71F80930" w14:textId="77777777" w:rsidR="000D7B14" w:rsidRPr="003D44C0" w:rsidRDefault="000D7B14" w:rsidP="00B130EA">
      <w:pPr>
        <w:spacing w:after="0" w:line="276" w:lineRule="auto"/>
        <w:contextualSpacing/>
        <w:rPr>
          <w:rFonts w:ascii="Arial" w:eastAsia="Calibri" w:hAnsi="Arial" w:cs="Arial"/>
          <w:color w:val="000000" w:themeColor="text1"/>
          <w:lang w:val="en-US"/>
        </w:rPr>
      </w:pPr>
    </w:p>
    <w:p w14:paraId="53856362" w14:textId="44EBD37A" w:rsidR="00942E5E" w:rsidRPr="003D44C0" w:rsidRDefault="000D7B14" w:rsidP="00B130EA">
      <w:pPr>
        <w:spacing w:after="0" w:line="276" w:lineRule="auto"/>
        <w:contextualSpacing/>
        <w:rPr>
          <w:rFonts w:ascii="Arial" w:eastAsia="Calibri" w:hAnsi="Arial" w:cs="Arial"/>
          <w:color w:val="000000" w:themeColor="text1"/>
          <w:lang w:val="en-US"/>
        </w:rPr>
      </w:pPr>
      <w:r w:rsidRPr="003D44C0">
        <w:rPr>
          <w:rFonts w:ascii="Arial" w:eastAsia="Calibri" w:hAnsi="Arial" w:cs="Arial"/>
          <w:color w:val="000000" w:themeColor="text1"/>
          <w:lang w:val="en-US"/>
        </w:rPr>
        <w:t>C</w:t>
      </w:r>
      <w:r w:rsidR="003F2B05" w:rsidRPr="003D44C0">
        <w:rPr>
          <w:rFonts w:ascii="Arial" w:eastAsia="Calibri" w:hAnsi="Arial" w:cs="Arial"/>
          <w:color w:val="000000" w:themeColor="text1"/>
          <w:lang w:val="en-US"/>
        </w:rPr>
        <w:t>hildren and adolescents with primary aldos</w:t>
      </w:r>
      <w:r w:rsidRPr="003D44C0">
        <w:rPr>
          <w:rFonts w:ascii="Arial" w:eastAsia="Calibri" w:hAnsi="Arial" w:cs="Arial"/>
          <w:color w:val="000000" w:themeColor="text1"/>
          <w:lang w:val="en-US"/>
        </w:rPr>
        <w:t xml:space="preserve">teronism are often asymptomatic; however, the </w:t>
      </w:r>
      <w:r w:rsidR="00B57A80" w:rsidRPr="003D44C0">
        <w:rPr>
          <w:rFonts w:ascii="Arial" w:eastAsia="Calibri" w:hAnsi="Arial" w:cs="Arial"/>
          <w:color w:val="000000" w:themeColor="text1"/>
          <w:lang w:val="en-US"/>
        </w:rPr>
        <w:t>presence</w:t>
      </w:r>
      <w:r w:rsidRPr="003D44C0">
        <w:rPr>
          <w:rFonts w:ascii="Arial" w:eastAsia="Calibri" w:hAnsi="Arial" w:cs="Arial"/>
          <w:color w:val="000000" w:themeColor="text1"/>
          <w:lang w:val="en-US"/>
        </w:rPr>
        <w:t xml:space="preserve"> of resistant hypertension with hypokalemia</w:t>
      </w:r>
      <w:r w:rsidR="00B57A80" w:rsidRPr="003D44C0">
        <w:rPr>
          <w:rFonts w:ascii="Arial" w:eastAsia="Calibri" w:hAnsi="Arial" w:cs="Arial"/>
          <w:color w:val="000000" w:themeColor="text1"/>
          <w:lang w:val="en-US"/>
        </w:rPr>
        <w:t xml:space="preserve"> or </w:t>
      </w:r>
      <w:r w:rsidR="00323F42" w:rsidRPr="003D44C0">
        <w:rPr>
          <w:rFonts w:ascii="Arial" w:eastAsia="Calibri" w:hAnsi="Arial" w:cs="Arial"/>
          <w:color w:val="000000" w:themeColor="text1"/>
          <w:lang w:val="en-US"/>
        </w:rPr>
        <w:t xml:space="preserve">an </w:t>
      </w:r>
      <w:r w:rsidR="00B57A80" w:rsidRPr="003D44C0">
        <w:rPr>
          <w:rFonts w:ascii="Arial" w:eastAsia="Calibri" w:hAnsi="Arial" w:cs="Arial"/>
          <w:color w:val="000000" w:themeColor="text1"/>
          <w:lang w:val="en-US"/>
        </w:rPr>
        <w:t>adrenal lesion</w:t>
      </w:r>
      <w:r w:rsidRPr="003D44C0">
        <w:rPr>
          <w:rFonts w:ascii="Arial" w:eastAsia="Calibri" w:hAnsi="Arial" w:cs="Arial"/>
          <w:color w:val="000000" w:themeColor="text1"/>
          <w:lang w:val="en-US"/>
        </w:rPr>
        <w:t xml:space="preserve"> </w:t>
      </w:r>
      <w:r w:rsidR="00F13C48" w:rsidRPr="003D44C0">
        <w:rPr>
          <w:rFonts w:ascii="Arial" w:eastAsia="Calibri" w:hAnsi="Arial" w:cs="Arial"/>
          <w:color w:val="000000" w:themeColor="text1"/>
          <w:lang w:val="en-US"/>
        </w:rPr>
        <w:t>is</w:t>
      </w:r>
      <w:r w:rsidRPr="003D44C0">
        <w:rPr>
          <w:rFonts w:ascii="Arial" w:eastAsia="Calibri" w:hAnsi="Arial" w:cs="Arial"/>
          <w:color w:val="000000" w:themeColor="text1"/>
          <w:lang w:val="en-US"/>
        </w:rPr>
        <w:t xml:space="preserve"> highly suggestive </w:t>
      </w:r>
      <w:r w:rsidR="00B77128" w:rsidRPr="003D44C0">
        <w:rPr>
          <w:rFonts w:ascii="Arial" w:eastAsia="Calibri" w:hAnsi="Arial" w:cs="Arial"/>
          <w:color w:val="000000" w:themeColor="text1"/>
          <w:lang w:val="en-US"/>
        </w:rPr>
        <w:t>of</w:t>
      </w:r>
      <w:r w:rsidR="00D71BD2" w:rsidRPr="003D44C0">
        <w:rPr>
          <w:rFonts w:ascii="Arial" w:eastAsia="Calibri" w:hAnsi="Arial" w:cs="Arial"/>
          <w:color w:val="000000" w:themeColor="text1"/>
          <w:lang w:val="en-US"/>
        </w:rPr>
        <w:t xml:space="preserve"> the diagnosis (7</w:t>
      </w:r>
      <w:r w:rsidR="00B57A80" w:rsidRPr="003D44C0">
        <w:rPr>
          <w:rFonts w:ascii="Arial" w:eastAsia="Calibri" w:hAnsi="Arial" w:cs="Arial"/>
          <w:color w:val="000000" w:themeColor="text1"/>
          <w:lang w:val="en-US"/>
        </w:rPr>
        <w:t>).</w:t>
      </w:r>
      <w:r w:rsidR="00323F42" w:rsidRPr="003D44C0">
        <w:rPr>
          <w:rFonts w:ascii="Arial" w:eastAsia="Calibri" w:hAnsi="Arial" w:cs="Arial"/>
          <w:color w:val="000000" w:themeColor="text1"/>
          <w:lang w:val="en-US"/>
        </w:rPr>
        <w:t xml:space="preserve"> Endocrinologic evaluation includes the </w:t>
      </w:r>
      <w:r w:rsidR="00632135" w:rsidRPr="003D44C0">
        <w:rPr>
          <w:rFonts w:ascii="Arial" w:eastAsia="Calibri" w:hAnsi="Arial" w:cs="Arial"/>
          <w:color w:val="000000" w:themeColor="text1"/>
          <w:lang w:val="en-US"/>
        </w:rPr>
        <w:t>measurement</w:t>
      </w:r>
      <w:r w:rsidR="00323F42" w:rsidRPr="003D44C0">
        <w:rPr>
          <w:rFonts w:ascii="Arial" w:eastAsia="Calibri" w:hAnsi="Arial" w:cs="Arial"/>
          <w:color w:val="000000" w:themeColor="text1"/>
          <w:lang w:val="en-US"/>
        </w:rPr>
        <w:t xml:space="preserve"> of pla</w:t>
      </w:r>
      <w:r w:rsidR="00632135" w:rsidRPr="003D44C0">
        <w:rPr>
          <w:rFonts w:ascii="Arial" w:eastAsia="Calibri" w:hAnsi="Arial" w:cs="Arial"/>
          <w:color w:val="000000" w:themeColor="text1"/>
          <w:lang w:val="en-US"/>
        </w:rPr>
        <w:t>sma aldosterone concentrations</w:t>
      </w:r>
      <w:r w:rsidR="00884253" w:rsidRPr="003D44C0">
        <w:rPr>
          <w:rFonts w:ascii="Arial" w:eastAsia="Calibri" w:hAnsi="Arial" w:cs="Arial"/>
          <w:color w:val="000000" w:themeColor="text1"/>
          <w:lang w:val="en-US"/>
        </w:rPr>
        <w:t xml:space="preserve"> (PAC)</w:t>
      </w:r>
      <w:r w:rsidR="00632135" w:rsidRPr="003D44C0">
        <w:rPr>
          <w:rFonts w:ascii="Arial" w:eastAsia="Calibri" w:hAnsi="Arial" w:cs="Arial"/>
          <w:color w:val="000000" w:themeColor="text1"/>
          <w:lang w:val="en-US"/>
        </w:rPr>
        <w:t xml:space="preserve"> and</w:t>
      </w:r>
      <w:r w:rsidR="00323F42" w:rsidRPr="003D44C0">
        <w:rPr>
          <w:rFonts w:ascii="Arial" w:eastAsia="Calibri" w:hAnsi="Arial" w:cs="Arial"/>
          <w:color w:val="000000" w:themeColor="text1"/>
          <w:lang w:val="en-US"/>
        </w:rPr>
        <w:t xml:space="preserve"> plasma renin activity</w:t>
      </w:r>
      <w:r w:rsidR="00884253" w:rsidRPr="003D44C0">
        <w:rPr>
          <w:rFonts w:ascii="Arial" w:eastAsia="Calibri" w:hAnsi="Arial" w:cs="Arial"/>
          <w:color w:val="000000" w:themeColor="text1"/>
          <w:lang w:val="en-US"/>
        </w:rPr>
        <w:t xml:space="preserve"> (PRA)</w:t>
      </w:r>
      <w:r w:rsidR="00632135" w:rsidRPr="003D44C0">
        <w:rPr>
          <w:rFonts w:ascii="Arial" w:eastAsia="Calibri" w:hAnsi="Arial" w:cs="Arial"/>
          <w:color w:val="000000" w:themeColor="text1"/>
          <w:lang w:val="en-US"/>
        </w:rPr>
        <w:t>. The Aldosterone-to-Renin Ratio (ARR) remains the most reliable hormonal test</w:t>
      </w:r>
      <w:r w:rsidR="00D71BD2" w:rsidRPr="003D44C0">
        <w:rPr>
          <w:rFonts w:ascii="Arial" w:eastAsia="Calibri" w:hAnsi="Arial" w:cs="Arial"/>
          <w:color w:val="000000" w:themeColor="text1"/>
          <w:lang w:val="en-US"/>
        </w:rPr>
        <w:t xml:space="preserve"> (8</w:t>
      </w:r>
      <w:r w:rsidR="004524DF" w:rsidRPr="003D44C0">
        <w:rPr>
          <w:rFonts w:ascii="Arial" w:eastAsia="Calibri" w:hAnsi="Arial" w:cs="Arial"/>
          <w:color w:val="000000" w:themeColor="text1"/>
          <w:lang w:val="en-US"/>
        </w:rPr>
        <w:t>)</w:t>
      </w:r>
      <w:r w:rsidR="00632135" w:rsidRPr="003D44C0">
        <w:rPr>
          <w:rFonts w:ascii="Arial" w:eastAsia="Calibri" w:hAnsi="Arial" w:cs="Arial"/>
          <w:color w:val="000000" w:themeColor="text1"/>
          <w:lang w:val="en-US"/>
        </w:rPr>
        <w:t xml:space="preserve">. Indeed, </w:t>
      </w:r>
      <w:r w:rsidR="00D52E1B" w:rsidRPr="003D44C0">
        <w:rPr>
          <w:rFonts w:ascii="Arial" w:eastAsia="Calibri" w:hAnsi="Arial" w:cs="Arial"/>
          <w:color w:val="000000" w:themeColor="text1"/>
          <w:lang w:val="en-US"/>
        </w:rPr>
        <w:t xml:space="preserve">patients with ARR above 27 ng/dL per ng/mL/h and PAC above 20 ng/dL </w:t>
      </w:r>
      <w:r w:rsidR="00B95D22" w:rsidRPr="003D44C0">
        <w:rPr>
          <w:rFonts w:ascii="Arial" w:eastAsia="Calibri" w:hAnsi="Arial" w:cs="Arial"/>
          <w:color w:val="000000" w:themeColor="text1"/>
          <w:lang w:val="en-US"/>
        </w:rPr>
        <w:t>(</w:t>
      </w:r>
      <w:r w:rsidR="004C77CD" w:rsidRPr="003D44C0">
        <w:rPr>
          <w:rFonts w:ascii="Arial" w:eastAsia="Calibri" w:hAnsi="Arial" w:cs="Arial"/>
          <w:color w:val="000000" w:themeColor="text1"/>
          <w:lang w:val="en-US"/>
        </w:rPr>
        <w:t xml:space="preserve">hyperaldosteronism) </w:t>
      </w:r>
      <w:r w:rsidR="00D52E1B" w:rsidRPr="003D44C0">
        <w:rPr>
          <w:rFonts w:ascii="Arial" w:eastAsia="Calibri" w:hAnsi="Arial" w:cs="Arial"/>
          <w:color w:val="000000" w:themeColor="text1"/>
          <w:lang w:val="en-US"/>
        </w:rPr>
        <w:t xml:space="preserve">or </w:t>
      </w:r>
      <w:r w:rsidR="00DD44C5" w:rsidRPr="003D44C0">
        <w:rPr>
          <w:rFonts w:ascii="Arial" w:eastAsia="Calibri" w:hAnsi="Arial" w:cs="Arial"/>
          <w:color w:val="000000" w:themeColor="text1"/>
          <w:lang w:val="en-US"/>
        </w:rPr>
        <w:t xml:space="preserve">with </w:t>
      </w:r>
      <w:r w:rsidR="00D52E1B" w:rsidRPr="003D44C0">
        <w:rPr>
          <w:rFonts w:ascii="Arial" w:eastAsia="Calibri" w:hAnsi="Arial" w:cs="Arial"/>
          <w:color w:val="000000" w:themeColor="text1"/>
          <w:lang w:val="en-US"/>
        </w:rPr>
        <w:t>ARR within the normal range and PAC below 9</w:t>
      </w:r>
      <w:r w:rsidR="00E6619C" w:rsidRPr="003D44C0">
        <w:rPr>
          <w:rFonts w:ascii="Arial" w:eastAsia="Calibri" w:hAnsi="Arial" w:cs="Arial"/>
          <w:color w:val="000000" w:themeColor="text1"/>
          <w:lang w:val="en-US"/>
        </w:rPr>
        <w:t xml:space="preserve"> </w:t>
      </w:r>
      <w:r w:rsidR="00D52E1B" w:rsidRPr="003D44C0">
        <w:rPr>
          <w:rFonts w:ascii="Arial" w:eastAsia="Calibri" w:hAnsi="Arial" w:cs="Arial"/>
          <w:color w:val="000000" w:themeColor="text1"/>
          <w:lang w:val="en-US"/>
        </w:rPr>
        <w:t xml:space="preserve">ng/dL </w:t>
      </w:r>
      <w:r w:rsidR="004C77CD" w:rsidRPr="003D44C0">
        <w:rPr>
          <w:rFonts w:ascii="Arial" w:eastAsia="Calibri" w:hAnsi="Arial" w:cs="Arial"/>
          <w:color w:val="000000" w:themeColor="text1"/>
          <w:lang w:val="en-US"/>
        </w:rPr>
        <w:t>(</w:t>
      </w:r>
      <w:r w:rsidR="00F155CA" w:rsidRPr="003D44C0">
        <w:rPr>
          <w:rFonts w:ascii="Arial" w:eastAsia="Calibri" w:hAnsi="Arial" w:cs="Arial"/>
          <w:color w:val="000000" w:themeColor="text1"/>
          <w:lang w:val="en-US"/>
        </w:rPr>
        <w:t xml:space="preserve">not hyperaldosteronism) </w:t>
      </w:r>
      <w:r w:rsidR="00D52E1B" w:rsidRPr="003D44C0">
        <w:rPr>
          <w:rFonts w:ascii="Arial" w:eastAsia="Calibri" w:hAnsi="Arial" w:cs="Arial"/>
          <w:color w:val="000000" w:themeColor="text1"/>
          <w:lang w:val="en-US"/>
        </w:rPr>
        <w:t xml:space="preserve">on two </w:t>
      </w:r>
      <w:r w:rsidR="00DD44C5" w:rsidRPr="003D44C0">
        <w:rPr>
          <w:rFonts w:ascii="Arial" w:eastAsia="Calibri" w:hAnsi="Arial" w:cs="Arial"/>
          <w:color w:val="000000" w:themeColor="text1"/>
          <w:lang w:val="en-US"/>
        </w:rPr>
        <w:t xml:space="preserve">serial measurements do not </w:t>
      </w:r>
      <w:r w:rsidR="008D6543" w:rsidRPr="003D44C0">
        <w:rPr>
          <w:rFonts w:ascii="Arial" w:eastAsia="Calibri" w:hAnsi="Arial" w:cs="Arial"/>
          <w:color w:val="000000" w:themeColor="text1"/>
          <w:lang w:val="en-US"/>
        </w:rPr>
        <w:t>need to undergo dynamic tests (9</w:t>
      </w:r>
      <w:r w:rsidR="00DD44C5" w:rsidRPr="003D44C0">
        <w:rPr>
          <w:rFonts w:ascii="Arial" w:eastAsia="Calibri" w:hAnsi="Arial" w:cs="Arial"/>
          <w:color w:val="000000" w:themeColor="text1"/>
          <w:lang w:val="en-US"/>
        </w:rPr>
        <w:t>). The</w:t>
      </w:r>
      <w:r w:rsidR="00F47B88" w:rsidRPr="003D44C0">
        <w:rPr>
          <w:rFonts w:ascii="Arial" w:eastAsia="Calibri" w:hAnsi="Arial" w:cs="Arial"/>
          <w:color w:val="000000" w:themeColor="text1"/>
          <w:lang w:val="en-US"/>
        </w:rPr>
        <w:t xml:space="preserve"> dynamic</w:t>
      </w:r>
      <w:r w:rsidR="00DD44C5" w:rsidRPr="003D44C0">
        <w:rPr>
          <w:rFonts w:ascii="Arial" w:eastAsia="Calibri" w:hAnsi="Arial" w:cs="Arial"/>
          <w:color w:val="000000" w:themeColor="text1"/>
          <w:lang w:val="en-US"/>
        </w:rPr>
        <w:t xml:space="preserve"> tests include salt loading,</w:t>
      </w:r>
      <w:r w:rsidR="00870E23" w:rsidRPr="003D44C0">
        <w:rPr>
          <w:rFonts w:ascii="Arial" w:hAnsi="Arial" w:cs="Arial"/>
          <w:lang w:val="en-US"/>
        </w:rPr>
        <w:t xml:space="preserve"> </w:t>
      </w:r>
      <w:r w:rsidR="00870E23" w:rsidRPr="003D44C0">
        <w:rPr>
          <w:rFonts w:ascii="Arial" w:eastAsia="Calibri" w:hAnsi="Arial" w:cs="Arial"/>
          <w:color w:val="000000" w:themeColor="text1"/>
          <w:lang w:val="en-US"/>
        </w:rPr>
        <w:t>saline infusion, or fludrocortisone administration, which all normally cause aldosterone suppression.</w:t>
      </w:r>
      <w:r w:rsidR="00942E5E" w:rsidRPr="003D44C0">
        <w:rPr>
          <w:rFonts w:ascii="Arial" w:eastAsia="Calibri" w:hAnsi="Arial" w:cs="Arial"/>
          <w:color w:val="000000" w:themeColor="text1"/>
          <w:lang w:val="en-US"/>
        </w:rPr>
        <w:t xml:space="preserve"> The patients then undergo adrenal imaging with computerized tomography (CT) to identify any adrenal </w:t>
      </w:r>
      <w:r w:rsidR="000D7FA6" w:rsidRPr="003D44C0">
        <w:rPr>
          <w:rFonts w:ascii="Arial" w:eastAsia="Calibri" w:hAnsi="Arial" w:cs="Arial"/>
          <w:color w:val="000000" w:themeColor="text1"/>
          <w:lang w:val="en-US"/>
        </w:rPr>
        <w:t>nodules or</w:t>
      </w:r>
      <w:r w:rsidR="00942E5E" w:rsidRPr="003D44C0">
        <w:rPr>
          <w:rFonts w:ascii="Arial" w:eastAsia="Calibri" w:hAnsi="Arial" w:cs="Arial"/>
          <w:color w:val="000000" w:themeColor="text1"/>
          <w:lang w:val="en-US"/>
        </w:rPr>
        <w:t xml:space="preserve"> unilateral or </w:t>
      </w:r>
      <w:r w:rsidR="009014D5" w:rsidRPr="003D44C0">
        <w:rPr>
          <w:rFonts w:ascii="Arial" w:eastAsia="Calibri" w:hAnsi="Arial" w:cs="Arial"/>
          <w:color w:val="000000" w:themeColor="text1"/>
          <w:lang w:val="en-US"/>
        </w:rPr>
        <w:t>bilateral adrenal hyperplasia (10</w:t>
      </w:r>
      <w:r w:rsidR="00942E5E" w:rsidRPr="003D44C0">
        <w:rPr>
          <w:rFonts w:ascii="Arial" w:eastAsia="Calibri" w:hAnsi="Arial" w:cs="Arial"/>
          <w:color w:val="000000" w:themeColor="text1"/>
          <w:lang w:val="en-US"/>
        </w:rPr>
        <w:t>).</w:t>
      </w:r>
    </w:p>
    <w:p w14:paraId="3F4284A3" w14:textId="77777777" w:rsidR="00942E5E" w:rsidRPr="003D44C0" w:rsidRDefault="00942E5E" w:rsidP="00B130EA">
      <w:pPr>
        <w:spacing w:after="0" w:line="276" w:lineRule="auto"/>
        <w:contextualSpacing/>
        <w:rPr>
          <w:rFonts w:ascii="Arial" w:eastAsia="Calibri" w:hAnsi="Arial" w:cs="Arial"/>
          <w:color w:val="000000" w:themeColor="text1"/>
          <w:lang w:val="en-US"/>
        </w:rPr>
      </w:pPr>
    </w:p>
    <w:p w14:paraId="75E7397A" w14:textId="77777777" w:rsidR="00BE762F" w:rsidRPr="003D44C0" w:rsidRDefault="00942E5E" w:rsidP="00B130EA">
      <w:pPr>
        <w:spacing w:after="0" w:line="276" w:lineRule="auto"/>
        <w:contextualSpacing/>
        <w:rPr>
          <w:rFonts w:ascii="Arial" w:eastAsia="Calibri" w:hAnsi="Arial" w:cs="Arial"/>
          <w:color w:val="000000" w:themeColor="text1"/>
          <w:lang w:val="en-US"/>
        </w:rPr>
      </w:pPr>
      <w:r w:rsidRPr="003D44C0">
        <w:rPr>
          <w:rFonts w:ascii="Arial" w:eastAsia="Calibri" w:hAnsi="Arial" w:cs="Arial"/>
          <w:color w:val="000000" w:themeColor="text1"/>
          <w:lang w:val="en-US"/>
        </w:rPr>
        <w:t xml:space="preserve">In cases of lateralization of aldosterone overproduction, unilateral laparoscopic adrenalectomy is a therapeutic option; otherwise, medical </w:t>
      </w:r>
      <w:r w:rsidR="00036B36" w:rsidRPr="003D44C0">
        <w:rPr>
          <w:rFonts w:ascii="Arial" w:eastAsia="Calibri" w:hAnsi="Arial" w:cs="Arial"/>
          <w:color w:val="000000" w:themeColor="text1"/>
          <w:lang w:val="en-US"/>
        </w:rPr>
        <w:t>treatment with a mineralocorticoid receptor antagonist (spironolactone or eplerenone) is highly recommended. In patients who do not tolerate mineralocorticoid receptor antagonists, an epithelial sodium channel blocker, such as amil</w:t>
      </w:r>
      <w:r w:rsidR="003454E2" w:rsidRPr="003D44C0">
        <w:rPr>
          <w:rFonts w:ascii="Arial" w:eastAsia="Calibri" w:hAnsi="Arial" w:cs="Arial"/>
          <w:color w:val="000000" w:themeColor="text1"/>
          <w:lang w:val="en-US"/>
        </w:rPr>
        <w:t>oride, might be administered (11</w:t>
      </w:r>
      <w:r w:rsidR="00036B36" w:rsidRPr="003D44C0">
        <w:rPr>
          <w:rFonts w:ascii="Arial" w:eastAsia="Calibri" w:hAnsi="Arial" w:cs="Arial"/>
          <w:color w:val="000000" w:themeColor="text1"/>
          <w:lang w:val="en-US"/>
        </w:rPr>
        <w:t>)</w:t>
      </w:r>
      <w:r w:rsidRPr="003D44C0">
        <w:rPr>
          <w:rFonts w:ascii="Arial" w:eastAsia="Calibri" w:hAnsi="Arial" w:cs="Arial"/>
          <w:color w:val="000000" w:themeColor="text1"/>
          <w:lang w:val="en-US"/>
        </w:rPr>
        <w:t xml:space="preserve"> </w:t>
      </w:r>
      <w:r w:rsidR="00870E23" w:rsidRPr="003D44C0">
        <w:rPr>
          <w:rFonts w:ascii="Arial" w:eastAsia="Calibri" w:hAnsi="Arial" w:cs="Arial"/>
          <w:color w:val="000000" w:themeColor="text1"/>
          <w:lang w:val="en-US"/>
        </w:rPr>
        <w:t xml:space="preserve"> </w:t>
      </w:r>
      <w:r w:rsidR="00DD44C5" w:rsidRPr="003D44C0">
        <w:rPr>
          <w:rFonts w:ascii="Arial" w:eastAsia="Calibri" w:hAnsi="Arial" w:cs="Arial"/>
          <w:color w:val="000000" w:themeColor="text1"/>
          <w:lang w:val="en-US"/>
        </w:rPr>
        <w:t xml:space="preserve"> </w:t>
      </w:r>
    </w:p>
    <w:p w14:paraId="4294FC79" w14:textId="77777777" w:rsidR="006F663A" w:rsidRPr="003D44C0" w:rsidRDefault="006F663A" w:rsidP="00B130EA">
      <w:pPr>
        <w:spacing w:after="0" w:line="276" w:lineRule="auto"/>
        <w:contextualSpacing/>
        <w:rPr>
          <w:rFonts w:ascii="Arial" w:eastAsia="Calibri" w:hAnsi="Arial" w:cs="Arial"/>
          <w:color w:val="000000" w:themeColor="text1"/>
          <w:lang w:val="en-US"/>
        </w:rPr>
      </w:pPr>
    </w:p>
    <w:p w14:paraId="591E9E7C" w14:textId="77777777" w:rsidR="00BE762F" w:rsidRPr="003D44C0" w:rsidRDefault="00BE762F" w:rsidP="00B130EA">
      <w:pPr>
        <w:spacing w:after="0" w:line="276" w:lineRule="auto"/>
        <w:contextualSpacing/>
        <w:rPr>
          <w:rFonts w:ascii="Arial" w:eastAsia="Calibri" w:hAnsi="Arial" w:cs="Arial"/>
          <w:color w:val="FF0000"/>
          <w:lang w:val="en-US"/>
        </w:rPr>
      </w:pPr>
      <w:r w:rsidRPr="003D44C0">
        <w:rPr>
          <w:rFonts w:ascii="Arial" w:eastAsia="Calibri" w:hAnsi="Arial" w:cs="Arial"/>
          <w:color w:val="FF0000"/>
          <w:lang w:val="en-US"/>
        </w:rPr>
        <w:t>FAMILIAL HYPERALDOSTERONISM</w:t>
      </w:r>
    </w:p>
    <w:p w14:paraId="06B2E646" w14:textId="77777777" w:rsidR="001A29B1" w:rsidRPr="003D44C0" w:rsidRDefault="001A29B1" w:rsidP="00B130EA">
      <w:pPr>
        <w:spacing w:after="0" w:line="276" w:lineRule="auto"/>
        <w:contextualSpacing/>
        <w:rPr>
          <w:rFonts w:ascii="Arial" w:eastAsia="Calibri" w:hAnsi="Arial" w:cs="Arial"/>
          <w:color w:val="ED7D31"/>
          <w:lang w:val="en-US"/>
        </w:rPr>
      </w:pPr>
    </w:p>
    <w:p w14:paraId="1838BC23" w14:textId="77777777" w:rsidR="00BE762F" w:rsidRPr="003D44C0" w:rsidRDefault="00BE762F" w:rsidP="00B130EA">
      <w:pPr>
        <w:spacing w:after="0" w:line="276" w:lineRule="auto"/>
        <w:contextualSpacing/>
        <w:rPr>
          <w:rFonts w:ascii="Arial" w:eastAsia="Calibri" w:hAnsi="Arial" w:cs="Arial"/>
          <w:color w:val="ED7D31"/>
          <w:lang w:val="en-US"/>
        </w:rPr>
      </w:pPr>
      <w:bookmarkStart w:id="0" w:name="_Hlk191738695"/>
      <w:r w:rsidRPr="003D44C0">
        <w:rPr>
          <w:rFonts w:ascii="Arial" w:eastAsia="Calibri" w:hAnsi="Arial" w:cs="Arial"/>
          <w:i/>
          <w:color w:val="ED7D31"/>
          <w:lang w:val="en-US"/>
        </w:rPr>
        <w:t xml:space="preserve">Familial Hyperaldosteronism </w:t>
      </w:r>
      <w:bookmarkEnd w:id="0"/>
      <w:r w:rsidRPr="003D44C0">
        <w:rPr>
          <w:rFonts w:ascii="Arial" w:eastAsia="Calibri" w:hAnsi="Arial" w:cs="Arial"/>
          <w:i/>
          <w:color w:val="ED7D31"/>
          <w:lang w:val="en-US"/>
        </w:rPr>
        <w:t>Type I (FH-I) or Glucocorticoid Remediable Aldosteronism (GRA)</w:t>
      </w:r>
    </w:p>
    <w:p w14:paraId="539640BD" w14:textId="77777777" w:rsidR="001A29B1" w:rsidRPr="003D44C0" w:rsidRDefault="001A29B1" w:rsidP="00B130EA">
      <w:pPr>
        <w:spacing w:after="0" w:line="276" w:lineRule="auto"/>
        <w:contextualSpacing/>
        <w:rPr>
          <w:rFonts w:ascii="Arial" w:eastAsia="Calibri" w:hAnsi="Arial" w:cs="Arial"/>
          <w:color w:val="000000" w:themeColor="text1"/>
          <w:lang w:val="en-US"/>
        </w:rPr>
      </w:pPr>
    </w:p>
    <w:p w14:paraId="463E6B13" w14:textId="77777777" w:rsidR="00714CA0" w:rsidRPr="003D44C0" w:rsidRDefault="00714CA0" w:rsidP="00B130EA">
      <w:pPr>
        <w:spacing w:after="0" w:line="276" w:lineRule="auto"/>
        <w:contextualSpacing/>
        <w:rPr>
          <w:rFonts w:ascii="Arial" w:eastAsia="Calibri" w:hAnsi="Arial" w:cs="Arial"/>
          <w:color w:val="000000" w:themeColor="text1"/>
          <w:lang w:val="en-US"/>
        </w:rPr>
      </w:pPr>
      <w:r w:rsidRPr="003D44C0">
        <w:rPr>
          <w:rFonts w:ascii="Arial" w:eastAsia="Calibri" w:hAnsi="Arial" w:cs="Arial"/>
          <w:color w:val="000000" w:themeColor="text1"/>
          <w:lang w:val="en-US"/>
        </w:rPr>
        <w:t xml:space="preserve">FH-I or GRA is an autosomal dominant pathologic condition caused by the fusion of </w:t>
      </w:r>
      <w:r w:rsidR="00501DC6" w:rsidRPr="003D44C0">
        <w:rPr>
          <w:rFonts w:ascii="Arial" w:eastAsia="Calibri" w:hAnsi="Arial" w:cs="Arial"/>
          <w:color w:val="000000" w:themeColor="text1"/>
          <w:lang w:val="en-US"/>
        </w:rPr>
        <w:t>two genes, the cytochrome P450 family 11 subfamily B member 1 (</w:t>
      </w:r>
      <w:r w:rsidR="00501DC6" w:rsidRPr="003D44C0">
        <w:rPr>
          <w:rFonts w:ascii="Arial" w:eastAsia="Calibri" w:hAnsi="Arial" w:cs="Arial"/>
          <w:i/>
          <w:color w:val="000000" w:themeColor="text1"/>
          <w:lang w:val="en-US"/>
        </w:rPr>
        <w:t>CYP11B1</w:t>
      </w:r>
      <w:r w:rsidR="00501DC6" w:rsidRPr="003D44C0">
        <w:rPr>
          <w:rFonts w:ascii="Arial" w:eastAsia="Calibri" w:hAnsi="Arial" w:cs="Arial"/>
          <w:color w:val="000000" w:themeColor="text1"/>
          <w:lang w:val="en-US"/>
        </w:rPr>
        <w:t>) encoding for 11β-hydroxylase, and the</w:t>
      </w:r>
      <w:r w:rsidR="00501DC6" w:rsidRPr="003D44C0">
        <w:rPr>
          <w:rFonts w:ascii="Arial" w:eastAsia="Calibri" w:hAnsi="Arial" w:cs="Arial"/>
          <w:i/>
          <w:color w:val="000000" w:themeColor="text1"/>
          <w:lang w:val="en-US"/>
        </w:rPr>
        <w:t xml:space="preserve"> CYP11B2 </w:t>
      </w:r>
      <w:r w:rsidR="00501DC6" w:rsidRPr="003D44C0">
        <w:rPr>
          <w:rFonts w:ascii="Arial" w:eastAsia="Calibri" w:hAnsi="Arial" w:cs="Arial"/>
          <w:color w:val="000000" w:themeColor="text1"/>
          <w:lang w:val="en-US"/>
        </w:rPr>
        <w:t>that ex</w:t>
      </w:r>
      <w:r w:rsidR="00FA359A" w:rsidRPr="003D44C0">
        <w:rPr>
          <w:rFonts w:ascii="Arial" w:eastAsia="Calibri" w:hAnsi="Arial" w:cs="Arial"/>
          <w:color w:val="000000" w:themeColor="text1"/>
          <w:lang w:val="en-US"/>
        </w:rPr>
        <w:t>presses aldosterone synthase (12</w:t>
      </w:r>
      <w:r w:rsidR="00501DC6" w:rsidRPr="003D44C0">
        <w:rPr>
          <w:rFonts w:ascii="Arial" w:eastAsia="Calibri" w:hAnsi="Arial" w:cs="Arial"/>
          <w:color w:val="000000" w:themeColor="text1"/>
          <w:lang w:val="en-US"/>
        </w:rPr>
        <w:t xml:space="preserve">). The chimeric gene consists of the adrenocorticotropic hormone (ACTH)-responsive promoter region of the </w:t>
      </w:r>
      <w:r w:rsidR="00501DC6" w:rsidRPr="003D44C0">
        <w:rPr>
          <w:rFonts w:ascii="Arial" w:eastAsia="Calibri" w:hAnsi="Arial" w:cs="Arial"/>
          <w:i/>
          <w:color w:val="000000" w:themeColor="text1"/>
          <w:lang w:val="en-US"/>
        </w:rPr>
        <w:t xml:space="preserve">CYP11B1 </w:t>
      </w:r>
      <w:r w:rsidR="00501DC6" w:rsidRPr="003D44C0">
        <w:rPr>
          <w:rFonts w:ascii="Arial" w:eastAsia="Calibri" w:hAnsi="Arial" w:cs="Arial"/>
          <w:color w:val="000000" w:themeColor="text1"/>
          <w:lang w:val="en-US"/>
        </w:rPr>
        <w:t xml:space="preserve">gene and the coding region of </w:t>
      </w:r>
      <w:r w:rsidR="00501DC6" w:rsidRPr="003D44C0">
        <w:rPr>
          <w:rFonts w:ascii="Arial" w:eastAsia="Calibri" w:hAnsi="Arial" w:cs="Arial"/>
          <w:i/>
          <w:color w:val="000000" w:themeColor="text1"/>
          <w:lang w:val="en-US"/>
        </w:rPr>
        <w:t xml:space="preserve">CYP11B2 </w:t>
      </w:r>
      <w:r w:rsidR="00501DC6" w:rsidRPr="003D44C0">
        <w:rPr>
          <w:rFonts w:ascii="Arial" w:eastAsia="Calibri" w:hAnsi="Arial" w:cs="Arial"/>
          <w:color w:val="000000" w:themeColor="text1"/>
          <w:lang w:val="en-US"/>
        </w:rPr>
        <w:t xml:space="preserve">gene resulting in the expression of </w:t>
      </w:r>
      <w:r w:rsidR="00501DC6" w:rsidRPr="003D44C0">
        <w:rPr>
          <w:rFonts w:ascii="Arial" w:eastAsia="Calibri" w:hAnsi="Arial" w:cs="Arial"/>
          <w:color w:val="000000" w:themeColor="text1"/>
          <w:lang w:val="en-US"/>
        </w:rPr>
        <w:lastRenderedPageBreak/>
        <w:t xml:space="preserve">aldosterone synthase under the control of ACTH. Therefore, aldosterone is produced ectopically in </w:t>
      </w:r>
      <w:r w:rsidR="00501DC6" w:rsidRPr="003D44C0">
        <w:rPr>
          <w:rFonts w:ascii="Arial" w:eastAsia="Calibri" w:hAnsi="Arial" w:cs="Arial"/>
          <w:i/>
          <w:color w:val="000000" w:themeColor="text1"/>
          <w:lang w:val="en-US"/>
        </w:rPr>
        <w:t>zona fasciculata</w:t>
      </w:r>
      <w:r w:rsidR="00501DC6" w:rsidRPr="003D44C0">
        <w:rPr>
          <w:rFonts w:ascii="Arial" w:eastAsia="Calibri" w:hAnsi="Arial" w:cs="Arial"/>
          <w:color w:val="000000" w:themeColor="text1"/>
          <w:lang w:val="en-US"/>
        </w:rPr>
        <w:t xml:space="preserve"> in an ACTH-dependent fashion</w:t>
      </w:r>
      <w:r w:rsidR="00BE5FE4" w:rsidRPr="003D44C0">
        <w:rPr>
          <w:rFonts w:ascii="Arial" w:eastAsia="Calibri" w:hAnsi="Arial" w:cs="Arial"/>
          <w:color w:val="000000" w:themeColor="text1"/>
          <w:lang w:val="en-US"/>
        </w:rPr>
        <w:t xml:space="preserve"> (Figure</w:t>
      </w:r>
      <w:r w:rsidR="007C3069" w:rsidRPr="003D44C0">
        <w:rPr>
          <w:rFonts w:ascii="Arial" w:eastAsia="Calibri" w:hAnsi="Arial" w:cs="Arial"/>
          <w:color w:val="000000" w:themeColor="text1"/>
          <w:lang w:val="en-US"/>
        </w:rPr>
        <w:t>s</w:t>
      </w:r>
      <w:r w:rsidR="00BE5FE4" w:rsidRPr="003D44C0">
        <w:rPr>
          <w:rFonts w:ascii="Arial" w:eastAsia="Calibri" w:hAnsi="Arial" w:cs="Arial"/>
          <w:color w:val="000000" w:themeColor="text1"/>
          <w:lang w:val="en-US"/>
        </w:rPr>
        <w:t xml:space="preserve"> 1</w:t>
      </w:r>
      <w:r w:rsidR="007C3069" w:rsidRPr="003D44C0">
        <w:rPr>
          <w:rFonts w:ascii="Arial" w:eastAsia="Calibri" w:hAnsi="Arial" w:cs="Arial"/>
          <w:color w:val="000000" w:themeColor="text1"/>
          <w:lang w:val="en-US"/>
        </w:rPr>
        <w:t xml:space="preserve"> and 2</w:t>
      </w:r>
      <w:r w:rsidR="00BE5FE4" w:rsidRPr="003D44C0">
        <w:rPr>
          <w:rFonts w:ascii="Arial" w:eastAsia="Calibri" w:hAnsi="Arial" w:cs="Arial"/>
          <w:color w:val="000000" w:themeColor="text1"/>
          <w:lang w:val="en-US"/>
        </w:rPr>
        <w:t>)</w:t>
      </w:r>
      <w:r w:rsidR="00501DC6" w:rsidRPr="003D44C0">
        <w:rPr>
          <w:rFonts w:ascii="Arial" w:eastAsia="Calibri" w:hAnsi="Arial" w:cs="Arial"/>
          <w:color w:val="000000" w:themeColor="text1"/>
          <w:lang w:val="en-US"/>
        </w:rPr>
        <w:t>.</w:t>
      </w:r>
    </w:p>
    <w:p w14:paraId="639E9EA1" w14:textId="77777777" w:rsidR="003A157E" w:rsidRPr="003D44C0" w:rsidRDefault="003A157E" w:rsidP="00B130EA">
      <w:pPr>
        <w:spacing w:after="0" w:line="276" w:lineRule="auto"/>
        <w:contextualSpacing/>
        <w:rPr>
          <w:rFonts w:ascii="Arial" w:eastAsia="Calibri" w:hAnsi="Arial" w:cs="Arial"/>
          <w:color w:val="000000" w:themeColor="text1"/>
          <w:lang w:val="en-US"/>
        </w:rPr>
      </w:pPr>
    </w:p>
    <w:p w14:paraId="57386173" w14:textId="7F99005B" w:rsidR="0008431F" w:rsidRPr="003D44C0" w:rsidRDefault="003A157E" w:rsidP="00B130EA">
      <w:pPr>
        <w:spacing w:after="0" w:line="276" w:lineRule="auto"/>
        <w:contextualSpacing/>
        <w:rPr>
          <w:rFonts w:ascii="Arial" w:eastAsia="Calibri" w:hAnsi="Arial" w:cs="Arial"/>
          <w:color w:val="000000" w:themeColor="text1"/>
          <w:lang w:val="en-US"/>
        </w:rPr>
      </w:pPr>
      <w:r w:rsidRPr="003D44C0">
        <w:rPr>
          <w:rFonts w:ascii="Arial" w:eastAsia="Calibri" w:hAnsi="Arial" w:cs="Arial"/>
          <w:color w:val="000000" w:themeColor="text1"/>
          <w:lang w:val="en-US"/>
        </w:rPr>
        <w:t xml:space="preserve">Patients </w:t>
      </w:r>
      <w:r w:rsidR="00EA6EFE" w:rsidRPr="003D44C0">
        <w:rPr>
          <w:rFonts w:ascii="Arial" w:eastAsia="Calibri" w:hAnsi="Arial" w:cs="Arial"/>
          <w:color w:val="000000" w:themeColor="text1"/>
          <w:lang w:val="en-US"/>
        </w:rPr>
        <w:t xml:space="preserve">younger than 20 years </w:t>
      </w:r>
      <w:r w:rsidRPr="003D44C0">
        <w:rPr>
          <w:rFonts w:ascii="Arial" w:eastAsia="Calibri" w:hAnsi="Arial" w:cs="Arial"/>
          <w:color w:val="000000" w:themeColor="text1"/>
          <w:lang w:val="en-US"/>
        </w:rPr>
        <w:t xml:space="preserve">with </w:t>
      </w:r>
      <w:r w:rsidR="00EA6EFE" w:rsidRPr="003D44C0">
        <w:rPr>
          <w:rFonts w:ascii="Arial" w:eastAsia="Calibri" w:hAnsi="Arial" w:cs="Arial"/>
          <w:color w:val="000000" w:themeColor="text1"/>
          <w:lang w:val="en-US"/>
        </w:rPr>
        <w:t>primary aldosteronism or with a family member with primary aldosteronism or history of hemorrhagic stroke before the age of 40 years</w:t>
      </w:r>
      <w:r w:rsidR="00051C17" w:rsidRPr="003D44C0">
        <w:rPr>
          <w:rFonts w:ascii="Arial" w:eastAsia="Calibri" w:hAnsi="Arial" w:cs="Arial"/>
          <w:color w:val="000000" w:themeColor="text1"/>
          <w:lang w:val="en-US"/>
        </w:rPr>
        <w:t xml:space="preserve"> should be screened for FH-I (13</w:t>
      </w:r>
      <w:r w:rsidR="00EA6EFE" w:rsidRPr="003D44C0">
        <w:rPr>
          <w:rFonts w:ascii="Arial" w:eastAsia="Calibri" w:hAnsi="Arial" w:cs="Arial"/>
          <w:color w:val="000000" w:themeColor="text1"/>
          <w:lang w:val="en-US"/>
        </w:rPr>
        <w:t>). Hormonal evaluation includes measurements of PAC and PRA,</w:t>
      </w:r>
      <w:r w:rsidR="00EA6EFE" w:rsidRPr="003D44C0">
        <w:rPr>
          <w:rFonts w:ascii="Arial" w:hAnsi="Arial" w:cs="Arial"/>
          <w:lang w:val="en-US"/>
        </w:rPr>
        <w:t xml:space="preserve"> </w:t>
      </w:r>
      <w:r w:rsidR="00EA6EFE" w:rsidRPr="003D44C0">
        <w:rPr>
          <w:rFonts w:ascii="Arial" w:eastAsia="Calibri" w:hAnsi="Arial" w:cs="Arial"/>
          <w:color w:val="000000" w:themeColor="text1"/>
          <w:lang w:val="en-US"/>
        </w:rPr>
        <w:t>dexamethasone suppression of aldosterone</w:t>
      </w:r>
      <w:r w:rsidR="004B518B" w:rsidRPr="003D44C0">
        <w:rPr>
          <w:rFonts w:ascii="Arial" w:eastAsia="Calibri" w:hAnsi="Arial" w:cs="Arial"/>
          <w:color w:val="000000" w:themeColor="text1"/>
          <w:lang w:val="en-US"/>
        </w:rPr>
        <w:t>,</w:t>
      </w:r>
      <w:r w:rsidR="00EA6EFE" w:rsidRPr="003D44C0">
        <w:rPr>
          <w:rFonts w:ascii="Arial" w:eastAsia="Calibri" w:hAnsi="Arial" w:cs="Arial"/>
          <w:color w:val="000000" w:themeColor="text1"/>
          <w:lang w:val="en-US"/>
        </w:rPr>
        <w:t xml:space="preserve"> and genetic testing. According to the protocol of dexamethasone suppression of aldosterone, aldosterone is measured before and following the administration of 0,5 mg dexamethasone every 6 hours</w:t>
      </w:r>
      <w:r w:rsidR="00ED376C" w:rsidRPr="003D44C0">
        <w:rPr>
          <w:rFonts w:ascii="Arial" w:eastAsia="Calibri" w:hAnsi="Arial" w:cs="Arial"/>
          <w:color w:val="000000" w:themeColor="text1"/>
          <w:lang w:val="en-US"/>
        </w:rPr>
        <w:t xml:space="preserve"> for 4 days (14</w:t>
      </w:r>
      <w:r w:rsidR="00EA6EFE" w:rsidRPr="003D44C0">
        <w:rPr>
          <w:rFonts w:ascii="Arial" w:eastAsia="Calibri" w:hAnsi="Arial" w:cs="Arial"/>
          <w:color w:val="000000" w:themeColor="text1"/>
          <w:lang w:val="en-US"/>
        </w:rPr>
        <w:t>,</w:t>
      </w:r>
      <w:r w:rsidR="00DB16D2" w:rsidRPr="003D44C0">
        <w:rPr>
          <w:rFonts w:ascii="Arial" w:eastAsia="Calibri" w:hAnsi="Arial" w:cs="Arial"/>
          <w:color w:val="000000" w:themeColor="text1"/>
          <w:lang w:val="en-US"/>
        </w:rPr>
        <w:t xml:space="preserve"> </w:t>
      </w:r>
      <w:r w:rsidR="00ED376C" w:rsidRPr="003D44C0">
        <w:rPr>
          <w:rFonts w:ascii="Arial" w:eastAsia="Calibri" w:hAnsi="Arial" w:cs="Arial"/>
          <w:color w:val="000000" w:themeColor="text1"/>
          <w:lang w:val="en-US"/>
        </w:rPr>
        <w:t>15</w:t>
      </w:r>
      <w:r w:rsidR="00EA6EFE" w:rsidRPr="003D44C0">
        <w:rPr>
          <w:rFonts w:ascii="Arial" w:eastAsia="Calibri" w:hAnsi="Arial" w:cs="Arial"/>
          <w:color w:val="000000" w:themeColor="text1"/>
          <w:lang w:val="en-US"/>
        </w:rPr>
        <w:t>)</w:t>
      </w:r>
      <w:r w:rsidR="0008431F" w:rsidRPr="003D44C0">
        <w:rPr>
          <w:rFonts w:ascii="Arial" w:eastAsia="Calibri" w:hAnsi="Arial" w:cs="Arial"/>
          <w:color w:val="000000" w:themeColor="text1"/>
          <w:lang w:val="en-US"/>
        </w:rPr>
        <w:t>.</w:t>
      </w:r>
    </w:p>
    <w:p w14:paraId="28FF6640" w14:textId="77777777" w:rsidR="0008431F" w:rsidRPr="003D44C0" w:rsidRDefault="0008431F" w:rsidP="00B130EA">
      <w:pPr>
        <w:spacing w:after="0" w:line="276" w:lineRule="auto"/>
        <w:contextualSpacing/>
        <w:rPr>
          <w:rFonts w:ascii="Arial" w:eastAsia="Calibri" w:hAnsi="Arial" w:cs="Arial"/>
          <w:color w:val="000000" w:themeColor="text1"/>
          <w:lang w:val="en-US"/>
        </w:rPr>
      </w:pPr>
    </w:p>
    <w:p w14:paraId="6902672F" w14:textId="79C980EE" w:rsidR="006B1399" w:rsidRPr="003D44C0" w:rsidRDefault="00DB16D2" w:rsidP="00B130EA">
      <w:pPr>
        <w:spacing w:after="0" w:line="276" w:lineRule="auto"/>
        <w:contextualSpacing/>
        <w:rPr>
          <w:rFonts w:ascii="Arial" w:eastAsia="Calibri" w:hAnsi="Arial" w:cs="Arial"/>
          <w:color w:val="000000" w:themeColor="text1"/>
          <w:lang w:val="en-US"/>
        </w:rPr>
      </w:pPr>
      <w:r w:rsidRPr="003D44C0">
        <w:rPr>
          <w:rFonts w:ascii="Arial" w:eastAsia="Calibri" w:hAnsi="Arial" w:cs="Arial"/>
          <w:color w:val="000000" w:themeColor="text1"/>
          <w:lang w:val="en-US"/>
        </w:rPr>
        <w:t>The cornerstone of therapeutic management is dexamethasone or prednisone</w:t>
      </w:r>
      <w:r w:rsidR="0008431F" w:rsidRPr="003D44C0">
        <w:rPr>
          <w:rFonts w:ascii="Arial" w:eastAsia="Calibri" w:hAnsi="Arial" w:cs="Arial"/>
          <w:color w:val="000000" w:themeColor="text1"/>
          <w:lang w:val="en-US"/>
        </w:rPr>
        <w:t xml:space="preserve"> </w:t>
      </w:r>
      <w:r w:rsidRPr="003D44C0">
        <w:rPr>
          <w:rFonts w:ascii="Arial" w:eastAsia="Calibri" w:hAnsi="Arial" w:cs="Arial"/>
          <w:color w:val="000000" w:themeColor="text1"/>
          <w:lang w:val="en-US"/>
        </w:rPr>
        <w:t>at physiologic and below physiologic dosing to suppress ACTH, thereby leading to decreased productio</w:t>
      </w:r>
      <w:r w:rsidR="00A764EA" w:rsidRPr="003D44C0">
        <w:rPr>
          <w:rFonts w:ascii="Arial" w:eastAsia="Calibri" w:hAnsi="Arial" w:cs="Arial"/>
          <w:color w:val="000000" w:themeColor="text1"/>
          <w:lang w:val="en-US"/>
        </w:rPr>
        <w:t>n and release of aldosterone (16</w:t>
      </w:r>
      <w:r w:rsidRPr="003D44C0">
        <w:rPr>
          <w:rFonts w:ascii="Arial" w:eastAsia="Calibri" w:hAnsi="Arial" w:cs="Arial"/>
          <w:color w:val="000000" w:themeColor="text1"/>
          <w:lang w:val="en-US"/>
        </w:rPr>
        <w:t>). Second-line options are spironolacton</w:t>
      </w:r>
      <w:r w:rsidR="00F91E70" w:rsidRPr="003D44C0">
        <w:rPr>
          <w:rFonts w:ascii="Arial" w:eastAsia="Calibri" w:hAnsi="Arial" w:cs="Arial"/>
          <w:color w:val="000000" w:themeColor="text1"/>
          <w:lang w:val="en-US"/>
        </w:rPr>
        <w:t>e or eplerenone or amiloride (17</w:t>
      </w:r>
      <w:r w:rsidRPr="003D44C0">
        <w:rPr>
          <w:rFonts w:ascii="Arial" w:eastAsia="Calibri" w:hAnsi="Arial" w:cs="Arial"/>
          <w:color w:val="000000" w:themeColor="text1"/>
          <w:lang w:val="en-US"/>
        </w:rPr>
        <w:t>)</w:t>
      </w:r>
      <w:r w:rsidR="00B77128" w:rsidRPr="003D44C0">
        <w:rPr>
          <w:rFonts w:ascii="Arial" w:eastAsia="Calibri" w:hAnsi="Arial" w:cs="Arial"/>
          <w:color w:val="000000" w:themeColor="text1"/>
          <w:lang w:val="en-US"/>
        </w:rPr>
        <w:t xml:space="preserve">, as above. Most of the time, treatment needs to be titrated to the individual carefully and over time, to avoid overtreatment with glucocorticoids and </w:t>
      </w:r>
      <w:r w:rsidR="004F4255" w:rsidRPr="003D44C0">
        <w:rPr>
          <w:rFonts w:ascii="Arial" w:eastAsia="Calibri" w:hAnsi="Arial" w:cs="Arial"/>
          <w:color w:val="000000" w:themeColor="text1"/>
          <w:lang w:val="en-US"/>
        </w:rPr>
        <w:t xml:space="preserve">to </w:t>
      </w:r>
      <w:r w:rsidR="00B77128" w:rsidRPr="003D44C0">
        <w:rPr>
          <w:rFonts w:ascii="Arial" w:eastAsia="Calibri" w:hAnsi="Arial" w:cs="Arial"/>
          <w:color w:val="000000" w:themeColor="text1"/>
          <w:lang w:val="en-US"/>
        </w:rPr>
        <w:t xml:space="preserve">achieve normal </w:t>
      </w:r>
      <w:r w:rsidR="004F4255" w:rsidRPr="003D44C0">
        <w:rPr>
          <w:rFonts w:ascii="Arial" w:eastAsia="Calibri" w:hAnsi="Arial" w:cs="Arial"/>
          <w:color w:val="000000" w:themeColor="text1"/>
          <w:lang w:val="en-US"/>
        </w:rPr>
        <w:t xml:space="preserve">blood </w:t>
      </w:r>
      <w:r w:rsidR="00B77128" w:rsidRPr="003D44C0">
        <w:rPr>
          <w:rFonts w:ascii="Arial" w:eastAsia="Calibri" w:hAnsi="Arial" w:cs="Arial"/>
          <w:color w:val="000000" w:themeColor="text1"/>
          <w:lang w:val="en-US"/>
        </w:rPr>
        <w:t xml:space="preserve">pressure in the long term. </w:t>
      </w:r>
    </w:p>
    <w:p w14:paraId="2BB8FD18" w14:textId="77777777" w:rsidR="00B130EA" w:rsidRPr="003D44C0" w:rsidRDefault="00B130EA" w:rsidP="00B130EA">
      <w:pPr>
        <w:spacing w:after="0" w:line="276" w:lineRule="auto"/>
        <w:contextualSpacing/>
        <w:rPr>
          <w:rFonts w:ascii="Arial" w:eastAsia="Calibri" w:hAnsi="Arial" w:cs="Arial"/>
          <w:color w:val="000000" w:themeColor="text1"/>
          <w:lang w:val="en-US"/>
        </w:rPr>
      </w:pPr>
    </w:p>
    <w:p w14:paraId="1C3D7049" w14:textId="5014B8DE" w:rsidR="00F5494E" w:rsidRPr="003D44C0" w:rsidRDefault="0031165C" w:rsidP="00B130EA">
      <w:pPr>
        <w:spacing w:after="0" w:line="276" w:lineRule="auto"/>
        <w:contextualSpacing/>
        <w:rPr>
          <w:rFonts w:ascii="Arial" w:eastAsia="Calibri" w:hAnsi="Arial" w:cs="Arial"/>
          <w:color w:val="000000" w:themeColor="text1"/>
          <w:lang w:val="en-US"/>
        </w:rPr>
      </w:pPr>
      <w:r w:rsidRPr="003D44C0">
        <w:rPr>
          <w:rFonts w:ascii="Arial" w:eastAsia="Calibri" w:hAnsi="Arial" w:cs="Arial"/>
          <w:noProof/>
          <w:color w:val="000000" w:themeColor="text1"/>
          <w:lang w:val="en-US" w:eastAsia="el-GR"/>
        </w:rPr>
        <w:drawing>
          <wp:inline distT="0" distB="0" distL="0" distR="0" wp14:anchorId="4605089F" wp14:editId="53B96D0B">
            <wp:extent cx="5274310" cy="3956050"/>
            <wp:effectExtent l="0" t="0" r="2540" b="635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Διαφάνεια1.JPG"/>
                    <pic:cNvPicPr/>
                  </pic:nvPicPr>
                  <pic:blipFill>
                    <a:blip r:embed="rId9">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7C095DCF" w14:textId="08BC4965" w:rsidR="00F5494E" w:rsidRPr="003D44C0" w:rsidRDefault="00F5494E" w:rsidP="00B130EA">
      <w:pPr>
        <w:spacing w:after="0" w:line="276" w:lineRule="auto"/>
        <w:contextualSpacing/>
        <w:rPr>
          <w:rFonts w:ascii="Arial" w:eastAsia="Calibri" w:hAnsi="Arial" w:cs="Arial"/>
          <w:b/>
          <w:bCs/>
          <w:color w:val="000000" w:themeColor="text1"/>
          <w:lang w:val="en-US"/>
        </w:rPr>
      </w:pPr>
      <w:r w:rsidRPr="003D44C0">
        <w:rPr>
          <w:rFonts w:ascii="Arial" w:eastAsia="Calibri" w:hAnsi="Arial" w:cs="Arial"/>
          <w:b/>
          <w:color w:val="000000" w:themeColor="text1"/>
          <w:lang w:val="en-US"/>
        </w:rPr>
        <w:t>Figure 1</w:t>
      </w:r>
      <w:r w:rsidR="00B130EA" w:rsidRPr="003D44C0">
        <w:rPr>
          <w:rFonts w:ascii="Arial" w:eastAsia="Calibri" w:hAnsi="Arial" w:cs="Arial"/>
          <w:b/>
          <w:color w:val="000000" w:themeColor="text1"/>
          <w:lang w:val="en-US"/>
        </w:rPr>
        <w:t>.</w:t>
      </w:r>
      <w:r w:rsidR="00BE5FE4" w:rsidRPr="003D44C0">
        <w:rPr>
          <w:rFonts w:ascii="Arial" w:hAnsi="Arial" w:cs="Arial"/>
          <w:lang w:val="en-US"/>
        </w:rPr>
        <w:t xml:space="preserve"> </w:t>
      </w:r>
      <w:r w:rsidR="00BE5FE4" w:rsidRPr="003D44C0">
        <w:rPr>
          <w:rFonts w:ascii="Arial" w:hAnsi="Arial" w:cs="Arial"/>
          <w:b/>
          <w:bCs/>
          <w:lang w:val="en-US"/>
        </w:rPr>
        <w:t xml:space="preserve">Molecular events of Familial Hyperaldosteronism Type I (FH-I) or Glucocorticoid Remediable Aldosteronism (GRA). </w:t>
      </w:r>
      <w:r w:rsidR="00BE5FE4" w:rsidRPr="003D44C0">
        <w:rPr>
          <w:rFonts w:ascii="Arial" w:eastAsia="Calibri" w:hAnsi="Arial" w:cs="Arial"/>
          <w:b/>
          <w:bCs/>
          <w:color w:val="000000" w:themeColor="text1"/>
          <w:lang w:val="en-US"/>
        </w:rPr>
        <w:t xml:space="preserve">Fusion of </w:t>
      </w:r>
      <w:r w:rsidR="00BE5FE4" w:rsidRPr="003D44C0">
        <w:rPr>
          <w:rFonts w:ascii="Arial" w:eastAsia="Calibri" w:hAnsi="Arial" w:cs="Arial"/>
          <w:b/>
          <w:bCs/>
          <w:i/>
          <w:color w:val="000000" w:themeColor="text1"/>
          <w:lang w:val="en-US"/>
        </w:rPr>
        <w:t>CYP11B1</w:t>
      </w:r>
      <w:r w:rsidR="00BE5FE4" w:rsidRPr="003D44C0">
        <w:rPr>
          <w:rFonts w:ascii="Arial" w:eastAsia="Calibri" w:hAnsi="Arial" w:cs="Arial"/>
          <w:b/>
          <w:bCs/>
          <w:color w:val="000000" w:themeColor="text1"/>
          <w:lang w:val="en-US"/>
        </w:rPr>
        <w:t xml:space="preserve"> encoding for 11β-hydroxylase, and the </w:t>
      </w:r>
      <w:r w:rsidR="00BE5FE4" w:rsidRPr="003D44C0">
        <w:rPr>
          <w:rFonts w:ascii="Arial" w:eastAsia="Calibri" w:hAnsi="Arial" w:cs="Arial"/>
          <w:b/>
          <w:bCs/>
          <w:i/>
          <w:color w:val="000000" w:themeColor="text1"/>
          <w:lang w:val="en-US"/>
        </w:rPr>
        <w:t>CYP11B2</w:t>
      </w:r>
      <w:r w:rsidR="00BE5FE4" w:rsidRPr="003D44C0">
        <w:rPr>
          <w:rFonts w:ascii="Arial" w:eastAsia="Calibri" w:hAnsi="Arial" w:cs="Arial"/>
          <w:b/>
          <w:bCs/>
          <w:color w:val="000000" w:themeColor="text1"/>
          <w:lang w:val="en-US"/>
        </w:rPr>
        <w:t xml:space="preserve"> that expresses aldosterone synthase results in a chimeric gene leading to ACTH-dependent aldosterone secretion.</w:t>
      </w:r>
    </w:p>
    <w:p w14:paraId="0E60BE5F" w14:textId="77777777" w:rsidR="00714CA0" w:rsidRPr="003D44C0" w:rsidRDefault="00DB16D2" w:rsidP="00B130EA">
      <w:pPr>
        <w:spacing w:after="0" w:line="276" w:lineRule="auto"/>
        <w:contextualSpacing/>
        <w:rPr>
          <w:rFonts w:ascii="Arial" w:eastAsia="Calibri" w:hAnsi="Arial" w:cs="Arial"/>
          <w:color w:val="000000" w:themeColor="text1"/>
          <w:lang w:val="en-US"/>
        </w:rPr>
      </w:pPr>
      <w:r w:rsidRPr="003D44C0">
        <w:rPr>
          <w:rFonts w:ascii="Arial" w:eastAsia="Calibri" w:hAnsi="Arial" w:cs="Arial"/>
          <w:color w:val="000000" w:themeColor="text1"/>
          <w:lang w:val="en-US"/>
        </w:rPr>
        <w:t xml:space="preserve">  </w:t>
      </w:r>
      <w:r w:rsidR="00EA6EFE" w:rsidRPr="003D44C0">
        <w:rPr>
          <w:rFonts w:ascii="Arial" w:eastAsia="Calibri" w:hAnsi="Arial" w:cs="Arial"/>
          <w:color w:val="000000" w:themeColor="text1"/>
          <w:lang w:val="en-US"/>
        </w:rPr>
        <w:t xml:space="preserve">  </w:t>
      </w:r>
    </w:p>
    <w:p w14:paraId="3073F2D7" w14:textId="77777777" w:rsidR="00BE762F" w:rsidRPr="003D44C0" w:rsidRDefault="00BE762F" w:rsidP="00B130EA">
      <w:pPr>
        <w:spacing w:after="0" w:line="276" w:lineRule="auto"/>
        <w:contextualSpacing/>
        <w:rPr>
          <w:rFonts w:ascii="Arial" w:eastAsia="Calibri" w:hAnsi="Arial" w:cs="Arial"/>
          <w:color w:val="ED7D31"/>
          <w:lang w:val="en-US"/>
        </w:rPr>
      </w:pPr>
      <w:r w:rsidRPr="003D44C0">
        <w:rPr>
          <w:rFonts w:ascii="Arial" w:eastAsia="Calibri" w:hAnsi="Arial" w:cs="Arial"/>
          <w:i/>
          <w:color w:val="ED7D31"/>
          <w:lang w:val="en-US"/>
        </w:rPr>
        <w:t>Familial Hyperaldosteronism Type II (FH-II)</w:t>
      </w:r>
    </w:p>
    <w:p w14:paraId="6B380203" w14:textId="77777777" w:rsidR="00DB16D2" w:rsidRPr="003D44C0" w:rsidRDefault="00DB16D2" w:rsidP="00B130EA">
      <w:pPr>
        <w:spacing w:after="0" w:line="276" w:lineRule="auto"/>
        <w:contextualSpacing/>
        <w:rPr>
          <w:rFonts w:ascii="Arial" w:eastAsia="Calibri" w:hAnsi="Arial" w:cs="Arial"/>
          <w:color w:val="ED7D31"/>
          <w:lang w:val="en-US"/>
        </w:rPr>
      </w:pPr>
    </w:p>
    <w:p w14:paraId="5EB21A1C" w14:textId="519EAF5B" w:rsidR="00DB16D2" w:rsidRPr="003D44C0" w:rsidRDefault="00844498" w:rsidP="00B130EA">
      <w:pPr>
        <w:spacing w:after="0" w:line="276" w:lineRule="auto"/>
        <w:contextualSpacing/>
        <w:rPr>
          <w:rFonts w:ascii="Arial" w:eastAsia="Calibri" w:hAnsi="Arial" w:cs="Arial"/>
          <w:color w:val="ED7D31"/>
          <w:lang w:val="en-US"/>
        </w:rPr>
      </w:pPr>
      <w:r w:rsidRPr="003D44C0">
        <w:rPr>
          <w:rFonts w:ascii="Arial" w:eastAsia="Calibri" w:hAnsi="Arial" w:cs="Arial"/>
          <w:color w:val="000000" w:themeColor="text1"/>
          <w:lang w:val="en-US"/>
        </w:rPr>
        <w:t xml:space="preserve">FH-II is the most frequent form of </w:t>
      </w:r>
      <w:r w:rsidR="00DE5154" w:rsidRPr="003D44C0">
        <w:rPr>
          <w:rFonts w:ascii="Arial" w:eastAsia="Calibri" w:hAnsi="Arial" w:cs="Arial"/>
          <w:color w:val="000000" w:themeColor="text1"/>
          <w:lang w:val="en-US"/>
        </w:rPr>
        <w:t>f</w:t>
      </w:r>
      <w:r w:rsidR="00DE5154" w:rsidRPr="003D44C0">
        <w:rPr>
          <w:rFonts w:ascii="Arial" w:eastAsia="Calibri" w:hAnsi="Arial" w:cs="Arial"/>
          <w:color w:val="000000" w:themeColor="text1"/>
          <w:lang w:val="en-US"/>
        </w:rPr>
        <w:t xml:space="preserve">amilial </w:t>
      </w:r>
      <w:r w:rsidR="00E0749A" w:rsidRPr="003D44C0">
        <w:rPr>
          <w:rFonts w:ascii="Arial" w:eastAsia="Calibri" w:hAnsi="Arial" w:cs="Arial"/>
          <w:color w:val="000000" w:themeColor="text1"/>
          <w:lang w:val="en-US"/>
        </w:rPr>
        <w:t>h</w:t>
      </w:r>
      <w:r w:rsidR="00DE5154" w:rsidRPr="003D44C0">
        <w:rPr>
          <w:rFonts w:ascii="Arial" w:eastAsia="Calibri" w:hAnsi="Arial" w:cs="Arial"/>
          <w:color w:val="000000" w:themeColor="text1"/>
          <w:lang w:val="en-US"/>
        </w:rPr>
        <w:t>yperaldosteronism</w:t>
      </w:r>
      <w:r w:rsidRPr="003D44C0">
        <w:rPr>
          <w:rFonts w:ascii="Arial" w:eastAsia="Calibri" w:hAnsi="Arial" w:cs="Arial"/>
          <w:color w:val="000000" w:themeColor="text1"/>
          <w:lang w:val="en-US"/>
        </w:rPr>
        <w:t xml:space="preserve"> found in 10% of children and adolescent</w:t>
      </w:r>
      <w:r w:rsidR="00D21155" w:rsidRPr="003D44C0">
        <w:rPr>
          <w:rFonts w:ascii="Arial" w:eastAsia="Calibri" w:hAnsi="Arial" w:cs="Arial"/>
          <w:color w:val="000000" w:themeColor="text1"/>
          <w:lang w:val="en-US"/>
        </w:rPr>
        <w:t>s with primary aldosteronism (18, 19</w:t>
      </w:r>
      <w:r w:rsidRPr="003D44C0">
        <w:rPr>
          <w:rFonts w:ascii="Arial" w:eastAsia="Calibri" w:hAnsi="Arial" w:cs="Arial"/>
          <w:color w:val="000000" w:themeColor="text1"/>
          <w:lang w:val="en-US"/>
        </w:rPr>
        <w:t xml:space="preserve">). In contradistinction to FH-I or GRA, </w:t>
      </w:r>
      <w:r w:rsidRPr="003D44C0">
        <w:rPr>
          <w:rFonts w:ascii="Arial" w:eastAsia="Calibri" w:hAnsi="Arial" w:cs="Arial"/>
          <w:color w:val="000000" w:themeColor="text1"/>
          <w:lang w:val="en-US"/>
        </w:rPr>
        <w:lastRenderedPageBreak/>
        <w:t xml:space="preserve">patients with this FH type do not respond to synthetic long-acting glucocorticoids and do not harbor the chimeric </w:t>
      </w:r>
      <w:r w:rsidRPr="003D44C0">
        <w:rPr>
          <w:rFonts w:ascii="Arial" w:eastAsia="Calibri" w:hAnsi="Arial" w:cs="Arial"/>
          <w:i/>
          <w:color w:val="000000" w:themeColor="text1"/>
          <w:lang w:val="en-US"/>
        </w:rPr>
        <w:t xml:space="preserve">CYP11B1/CYP11B2 </w:t>
      </w:r>
      <w:r w:rsidRPr="003D44C0">
        <w:rPr>
          <w:rFonts w:ascii="Arial" w:eastAsia="Calibri" w:hAnsi="Arial" w:cs="Arial"/>
          <w:color w:val="000000" w:themeColor="text1"/>
          <w:lang w:val="en-US"/>
        </w:rPr>
        <w:t>gene</w:t>
      </w:r>
      <w:r w:rsidR="007A239C" w:rsidRPr="003D44C0">
        <w:rPr>
          <w:rFonts w:ascii="Arial" w:eastAsia="Calibri" w:hAnsi="Arial" w:cs="Arial"/>
          <w:color w:val="000000" w:themeColor="text1"/>
          <w:lang w:val="en-US"/>
        </w:rPr>
        <w:t xml:space="preserve"> (20</w:t>
      </w:r>
      <w:r w:rsidR="00CA1797" w:rsidRPr="003D44C0">
        <w:rPr>
          <w:rFonts w:ascii="Arial" w:eastAsia="Calibri" w:hAnsi="Arial" w:cs="Arial"/>
          <w:color w:val="000000" w:themeColor="text1"/>
          <w:lang w:val="en-US"/>
        </w:rPr>
        <w:t>)</w:t>
      </w:r>
      <w:r w:rsidRPr="003D44C0">
        <w:rPr>
          <w:rFonts w:ascii="Arial" w:eastAsia="Calibri" w:hAnsi="Arial" w:cs="Arial"/>
          <w:color w:val="000000" w:themeColor="text1"/>
          <w:lang w:val="en-US"/>
        </w:rPr>
        <w:t>.</w:t>
      </w:r>
      <w:r w:rsidRPr="003D44C0">
        <w:rPr>
          <w:rFonts w:ascii="Arial" w:eastAsia="Calibri" w:hAnsi="Arial" w:cs="Arial"/>
          <w:color w:val="ED7D31"/>
          <w:lang w:val="en-US"/>
        </w:rPr>
        <w:t xml:space="preserve"> </w:t>
      </w:r>
      <w:r w:rsidRPr="003D44C0">
        <w:rPr>
          <w:rFonts w:ascii="Arial" w:eastAsia="Calibri" w:hAnsi="Arial" w:cs="Arial"/>
          <w:color w:val="000000" w:themeColor="text1"/>
          <w:lang w:val="en-US"/>
        </w:rPr>
        <w:t xml:space="preserve">However, </w:t>
      </w:r>
      <w:r w:rsidR="00CA1797" w:rsidRPr="003D44C0">
        <w:rPr>
          <w:rFonts w:ascii="Arial" w:eastAsia="Calibri" w:hAnsi="Arial" w:cs="Arial"/>
          <w:color w:val="000000" w:themeColor="text1"/>
          <w:lang w:val="en-US"/>
        </w:rPr>
        <w:t xml:space="preserve">it remains difficult to distinguish FH-II from sporadic primary aldosteronism in terms of adrenal lesions found on CT. </w:t>
      </w:r>
      <w:r w:rsidR="00B437A1" w:rsidRPr="003D44C0">
        <w:rPr>
          <w:rFonts w:ascii="Arial" w:eastAsia="Calibri" w:hAnsi="Arial" w:cs="Arial"/>
          <w:color w:val="000000" w:themeColor="text1"/>
          <w:lang w:val="en-US"/>
        </w:rPr>
        <w:t xml:space="preserve">The molecular basis of FH-II has been attributed to gain-of-function mutations in the </w:t>
      </w:r>
      <w:r w:rsidR="00B437A1" w:rsidRPr="003D44C0">
        <w:rPr>
          <w:rFonts w:ascii="Arial" w:eastAsia="Calibri" w:hAnsi="Arial" w:cs="Arial"/>
          <w:i/>
          <w:color w:val="000000" w:themeColor="text1"/>
          <w:lang w:val="en-US"/>
        </w:rPr>
        <w:t xml:space="preserve">CLCN2 </w:t>
      </w:r>
      <w:r w:rsidR="00B437A1" w:rsidRPr="003D44C0">
        <w:rPr>
          <w:rFonts w:ascii="Arial" w:eastAsia="Calibri" w:hAnsi="Arial" w:cs="Arial"/>
          <w:color w:val="000000" w:themeColor="text1"/>
          <w:lang w:val="en-US"/>
        </w:rPr>
        <w:t>gene which encodes for the chloride channel 2</w:t>
      </w:r>
      <w:r w:rsidR="003319A5" w:rsidRPr="003D44C0">
        <w:rPr>
          <w:rFonts w:ascii="Arial" w:eastAsia="Calibri" w:hAnsi="Arial" w:cs="Arial"/>
          <w:color w:val="000000" w:themeColor="text1"/>
          <w:lang w:val="en-US"/>
        </w:rPr>
        <w:t xml:space="preserve"> </w:t>
      </w:r>
      <w:r w:rsidR="007C3069" w:rsidRPr="003D44C0">
        <w:rPr>
          <w:rFonts w:ascii="Arial" w:eastAsia="Calibri" w:hAnsi="Arial" w:cs="Arial"/>
          <w:color w:val="000000" w:themeColor="text1"/>
          <w:lang w:val="en-US"/>
        </w:rPr>
        <w:t>(</w:t>
      </w:r>
      <w:r w:rsidR="007C3069" w:rsidRPr="003D44C0">
        <w:rPr>
          <w:rFonts w:ascii="Arial" w:eastAsia="Calibri" w:hAnsi="Arial" w:cs="Arial"/>
          <w:bCs/>
          <w:color w:val="000000" w:themeColor="text1"/>
          <w:lang w:val="en-US"/>
        </w:rPr>
        <w:t xml:space="preserve">Figure 2) </w:t>
      </w:r>
      <w:r w:rsidR="003319A5" w:rsidRPr="003D44C0">
        <w:rPr>
          <w:rFonts w:ascii="Arial" w:eastAsia="Calibri" w:hAnsi="Arial" w:cs="Arial"/>
          <w:bCs/>
          <w:color w:val="000000" w:themeColor="text1"/>
          <w:lang w:val="en-US"/>
        </w:rPr>
        <w:t>(</w:t>
      </w:r>
      <w:r w:rsidR="003319A5" w:rsidRPr="003D44C0">
        <w:rPr>
          <w:rFonts w:ascii="Arial" w:eastAsia="Calibri" w:hAnsi="Arial" w:cs="Arial"/>
          <w:color w:val="000000" w:themeColor="text1"/>
          <w:lang w:val="en-US"/>
        </w:rPr>
        <w:t>21, 22</w:t>
      </w:r>
      <w:r w:rsidR="00D732B1" w:rsidRPr="003D44C0">
        <w:rPr>
          <w:rFonts w:ascii="Arial" w:eastAsia="Calibri" w:hAnsi="Arial" w:cs="Arial"/>
          <w:color w:val="000000" w:themeColor="text1"/>
          <w:lang w:val="en-US"/>
        </w:rPr>
        <w:t>)</w:t>
      </w:r>
      <w:r w:rsidR="00B437A1" w:rsidRPr="003D44C0">
        <w:rPr>
          <w:rFonts w:ascii="Arial" w:eastAsia="Calibri" w:hAnsi="Arial" w:cs="Arial"/>
          <w:color w:val="000000" w:themeColor="text1"/>
          <w:lang w:val="en-US"/>
        </w:rPr>
        <w:t xml:space="preserve">. The increased efflux of chloride </w:t>
      </w:r>
      <w:r w:rsidR="00E0749A" w:rsidRPr="003D44C0">
        <w:rPr>
          <w:rFonts w:ascii="Arial" w:eastAsia="Calibri" w:hAnsi="Arial" w:cs="Arial"/>
          <w:color w:val="000000" w:themeColor="text1"/>
          <w:lang w:val="en-US"/>
        </w:rPr>
        <w:t>i</w:t>
      </w:r>
      <w:r w:rsidR="00B437A1" w:rsidRPr="003D44C0">
        <w:rPr>
          <w:rFonts w:ascii="Arial" w:eastAsia="Calibri" w:hAnsi="Arial" w:cs="Arial"/>
          <w:color w:val="000000" w:themeColor="text1"/>
          <w:lang w:val="en-US"/>
        </w:rPr>
        <w:t xml:space="preserve">n the </w:t>
      </w:r>
      <w:r w:rsidR="00B437A1" w:rsidRPr="003D44C0">
        <w:rPr>
          <w:rFonts w:ascii="Arial" w:eastAsia="Calibri" w:hAnsi="Arial" w:cs="Arial"/>
          <w:i/>
          <w:color w:val="000000" w:themeColor="text1"/>
          <w:lang w:val="en-US"/>
        </w:rPr>
        <w:t xml:space="preserve">zona glomerulosa </w:t>
      </w:r>
      <w:r w:rsidR="00B437A1" w:rsidRPr="003D44C0">
        <w:rPr>
          <w:rFonts w:ascii="Arial" w:eastAsia="Calibri" w:hAnsi="Arial" w:cs="Arial"/>
          <w:color w:val="000000" w:themeColor="text1"/>
          <w:lang w:val="en-US"/>
        </w:rPr>
        <w:t>results in continuous aldosterone secretion. Patients with FH-II are treated with mineralocorticoid receptor antagonists</w:t>
      </w:r>
      <w:r w:rsidR="00F729C1" w:rsidRPr="003D44C0">
        <w:rPr>
          <w:rFonts w:ascii="Arial" w:eastAsia="Calibri" w:hAnsi="Arial" w:cs="Arial"/>
          <w:color w:val="000000" w:themeColor="text1"/>
          <w:lang w:val="en-US"/>
        </w:rPr>
        <w:t xml:space="preserve"> (23</w:t>
      </w:r>
      <w:r w:rsidR="00D732B1" w:rsidRPr="003D44C0">
        <w:rPr>
          <w:rFonts w:ascii="Arial" w:eastAsia="Calibri" w:hAnsi="Arial" w:cs="Arial"/>
          <w:color w:val="000000" w:themeColor="text1"/>
          <w:lang w:val="en-US"/>
        </w:rPr>
        <w:t>).</w:t>
      </w:r>
      <w:r w:rsidR="00B437A1" w:rsidRPr="003D44C0">
        <w:rPr>
          <w:rFonts w:ascii="Arial" w:eastAsia="Calibri" w:hAnsi="Arial" w:cs="Arial"/>
          <w:color w:val="000000" w:themeColor="text1"/>
          <w:lang w:val="en-US"/>
        </w:rPr>
        <w:t xml:space="preserve">  </w:t>
      </w:r>
      <w:r w:rsidR="00CA1797" w:rsidRPr="003D44C0">
        <w:rPr>
          <w:rFonts w:ascii="Arial" w:eastAsia="Calibri" w:hAnsi="Arial" w:cs="Arial"/>
          <w:color w:val="000000" w:themeColor="text1"/>
          <w:lang w:val="en-US"/>
        </w:rPr>
        <w:t xml:space="preserve"> </w:t>
      </w:r>
      <w:r w:rsidRPr="003D44C0">
        <w:rPr>
          <w:rFonts w:ascii="Arial" w:eastAsia="Calibri" w:hAnsi="Arial" w:cs="Arial"/>
          <w:color w:val="ED7D31"/>
          <w:lang w:val="en-US"/>
        </w:rPr>
        <w:t xml:space="preserve"> </w:t>
      </w:r>
    </w:p>
    <w:p w14:paraId="71A08919" w14:textId="77777777" w:rsidR="00DB16D2" w:rsidRPr="003D44C0" w:rsidRDefault="00DB16D2" w:rsidP="00B130EA">
      <w:pPr>
        <w:spacing w:after="0" w:line="276" w:lineRule="auto"/>
        <w:contextualSpacing/>
        <w:rPr>
          <w:rFonts w:ascii="Arial" w:eastAsia="Calibri" w:hAnsi="Arial" w:cs="Arial"/>
          <w:color w:val="ED7D31"/>
          <w:lang w:val="en-US"/>
        </w:rPr>
      </w:pPr>
    </w:p>
    <w:p w14:paraId="36B8779F" w14:textId="77777777" w:rsidR="00BE762F" w:rsidRPr="003D44C0" w:rsidRDefault="00BE762F" w:rsidP="00B130EA">
      <w:pPr>
        <w:spacing w:after="0" w:line="276" w:lineRule="auto"/>
        <w:contextualSpacing/>
        <w:rPr>
          <w:rFonts w:ascii="Arial" w:eastAsia="Calibri" w:hAnsi="Arial" w:cs="Arial"/>
          <w:color w:val="ED7D31"/>
          <w:lang w:val="en-US"/>
        </w:rPr>
      </w:pPr>
      <w:r w:rsidRPr="003D44C0">
        <w:rPr>
          <w:rFonts w:ascii="Arial" w:eastAsia="Calibri" w:hAnsi="Arial" w:cs="Arial"/>
          <w:i/>
          <w:color w:val="ED7D31"/>
          <w:lang w:val="en-US"/>
        </w:rPr>
        <w:t>Familial Hyperaldosteronism Type III (FH-III)</w:t>
      </w:r>
    </w:p>
    <w:p w14:paraId="5DD1EC32" w14:textId="77777777" w:rsidR="00DB16D2" w:rsidRPr="003D44C0" w:rsidRDefault="00DB16D2" w:rsidP="00B130EA">
      <w:pPr>
        <w:spacing w:after="0" w:line="276" w:lineRule="auto"/>
        <w:contextualSpacing/>
        <w:rPr>
          <w:rFonts w:ascii="Arial" w:eastAsia="Calibri" w:hAnsi="Arial" w:cs="Arial"/>
          <w:color w:val="ED7D31"/>
          <w:lang w:val="en-US"/>
        </w:rPr>
      </w:pPr>
    </w:p>
    <w:p w14:paraId="595F2769" w14:textId="11D3B521" w:rsidR="00DB16D2" w:rsidRPr="003D44C0" w:rsidRDefault="00DB6451" w:rsidP="00B130EA">
      <w:pPr>
        <w:spacing w:after="0" w:line="276" w:lineRule="auto"/>
        <w:contextualSpacing/>
        <w:rPr>
          <w:rFonts w:ascii="Arial" w:eastAsia="Calibri" w:hAnsi="Arial" w:cs="Arial"/>
          <w:color w:val="000000" w:themeColor="text1"/>
          <w:lang w:val="en-US"/>
        </w:rPr>
      </w:pPr>
      <w:r w:rsidRPr="003D44C0">
        <w:rPr>
          <w:rFonts w:ascii="Arial" w:eastAsia="Calibri" w:hAnsi="Arial" w:cs="Arial"/>
          <w:color w:val="000000" w:themeColor="text1"/>
          <w:lang w:val="en-US"/>
        </w:rPr>
        <w:t>FH-III is an autosomal dominant form of FH caused by germline gain-of-function mutations in the potassium inwardly rectifying channel subfamily J member 5 (</w:t>
      </w:r>
      <w:r w:rsidRPr="003D44C0">
        <w:rPr>
          <w:rFonts w:ascii="Arial" w:eastAsia="Calibri" w:hAnsi="Arial" w:cs="Arial"/>
          <w:i/>
          <w:color w:val="000000" w:themeColor="text1"/>
          <w:lang w:val="en-US"/>
        </w:rPr>
        <w:t>KCNJ5</w:t>
      </w:r>
      <w:r w:rsidRPr="003D44C0">
        <w:rPr>
          <w:rFonts w:ascii="Arial" w:eastAsia="Calibri" w:hAnsi="Arial" w:cs="Arial"/>
          <w:color w:val="000000" w:themeColor="text1"/>
          <w:lang w:val="en-US"/>
        </w:rPr>
        <w:t xml:space="preserve">) gene </w:t>
      </w:r>
      <w:r w:rsidR="00AF6922" w:rsidRPr="003D44C0">
        <w:rPr>
          <w:rFonts w:ascii="Arial" w:eastAsia="Calibri" w:hAnsi="Arial" w:cs="Arial"/>
          <w:color w:val="000000" w:themeColor="text1"/>
          <w:lang w:val="en-US"/>
        </w:rPr>
        <w:t>that encodes for the potassium channel GIRK4 (Kir3.4)</w:t>
      </w:r>
      <w:r w:rsidR="007C3069" w:rsidRPr="003D44C0">
        <w:rPr>
          <w:rFonts w:ascii="Arial" w:eastAsia="Calibri" w:hAnsi="Arial" w:cs="Arial"/>
          <w:color w:val="000000" w:themeColor="text1"/>
          <w:lang w:val="en-US"/>
        </w:rPr>
        <w:t xml:space="preserve"> (Figure 2)</w:t>
      </w:r>
      <w:r w:rsidR="00AF6922" w:rsidRPr="003D44C0">
        <w:rPr>
          <w:rFonts w:ascii="Arial" w:eastAsia="Calibri" w:hAnsi="Arial" w:cs="Arial"/>
          <w:color w:val="000000" w:themeColor="text1"/>
          <w:lang w:val="en-US"/>
        </w:rPr>
        <w:t xml:space="preserve"> </w:t>
      </w:r>
      <w:r w:rsidR="00F71626" w:rsidRPr="003D44C0">
        <w:rPr>
          <w:rFonts w:ascii="Arial" w:eastAsia="Calibri" w:hAnsi="Arial" w:cs="Arial"/>
          <w:color w:val="000000" w:themeColor="text1"/>
          <w:lang w:val="en-US"/>
        </w:rPr>
        <w:t>(24</w:t>
      </w:r>
      <w:r w:rsidRPr="003D44C0">
        <w:rPr>
          <w:rFonts w:ascii="Arial" w:eastAsia="Calibri" w:hAnsi="Arial" w:cs="Arial"/>
          <w:color w:val="000000" w:themeColor="text1"/>
          <w:lang w:val="en-US"/>
        </w:rPr>
        <w:t xml:space="preserve">). Patients with FH-III </w:t>
      </w:r>
      <w:r w:rsidR="00E046A0" w:rsidRPr="003D44C0">
        <w:rPr>
          <w:rFonts w:ascii="Arial" w:eastAsia="Calibri" w:hAnsi="Arial" w:cs="Arial"/>
          <w:color w:val="000000" w:themeColor="text1"/>
          <w:lang w:val="en-US"/>
        </w:rPr>
        <w:t xml:space="preserve">are characterized by early-onset severe to resistant hypertension, very high PAC, extremely high 18-oxocortisol and 18-hydroxycortisol concentrations, as well as marked bilateral adrenal hyperplasia </w:t>
      </w:r>
      <w:r w:rsidR="00FC598B" w:rsidRPr="003D44C0">
        <w:rPr>
          <w:rFonts w:ascii="Arial" w:eastAsia="Calibri" w:hAnsi="Arial" w:cs="Arial"/>
          <w:color w:val="000000" w:themeColor="text1"/>
          <w:lang w:val="en-US"/>
        </w:rPr>
        <w:t>(25</w:t>
      </w:r>
      <w:r w:rsidR="00AF6922" w:rsidRPr="003D44C0">
        <w:rPr>
          <w:rFonts w:ascii="Arial" w:eastAsia="Calibri" w:hAnsi="Arial" w:cs="Arial"/>
          <w:color w:val="000000" w:themeColor="text1"/>
          <w:lang w:val="en-US"/>
        </w:rPr>
        <w:t xml:space="preserve">). </w:t>
      </w:r>
      <w:r w:rsidR="00BF2046" w:rsidRPr="003D44C0">
        <w:rPr>
          <w:rFonts w:ascii="Arial" w:eastAsia="Calibri" w:hAnsi="Arial" w:cs="Arial"/>
          <w:color w:val="000000" w:themeColor="text1"/>
          <w:lang w:val="en-US"/>
        </w:rPr>
        <w:t xml:space="preserve">Treatment options include administration of mineralocorticoid receptor antagonists </w:t>
      </w:r>
      <w:r w:rsidR="00E0749A" w:rsidRPr="003D44C0">
        <w:rPr>
          <w:rFonts w:ascii="Arial" w:eastAsia="Calibri" w:hAnsi="Arial" w:cs="Arial"/>
          <w:color w:val="000000" w:themeColor="text1"/>
          <w:lang w:val="en-US"/>
        </w:rPr>
        <w:t>if</w:t>
      </w:r>
      <w:r w:rsidR="00BF2046" w:rsidRPr="003D44C0">
        <w:rPr>
          <w:rFonts w:ascii="Arial" w:eastAsia="Calibri" w:hAnsi="Arial" w:cs="Arial"/>
          <w:color w:val="000000" w:themeColor="text1"/>
          <w:lang w:val="en-US"/>
        </w:rPr>
        <w:t xml:space="preserve"> the case is mild or bilateral a</w:t>
      </w:r>
      <w:r w:rsidR="00001716" w:rsidRPr="003D44C0">
        <w:rPr>
          <w:rFonts w:ascii="Arial" w:eastAsia="Calibri" w:hAnsi="Arial" w:cs="Arial"/>
          <w:color w:val="000000" w:themeColor="text1"/>
          <w:lang w:val="en-US"/>
        </w:rPr>
        <w:t>drenalectomy in severe cases (17</w:t>
      </w:r>
      <w:r w:rsidR="00BF2046" w:rsidRPr="003D44C0">
        <w:rPr>
          <w:rFonts w:ascii="Arial" w:eastAsia="Calibri" w:hAnsi="Arial" w:cs="Arial"/>
          <w:color w:val="000000" w:themeColor="text1"/>
          <w:lang w:val="en-US"/>
        </w:rPr>
        <w:t>).</w:t>
      </w:r>
    </w:p>
    <w:p w14:paraId="3277BA8A" w14:textId="77777777" w:rsidR="00DB16D2" w:rsidRPr="003D44C0" w:rsidRDefault="00DB16D2" w:rsidP="00B130EA">
      <w:pPr>
        <w:spacing w:after="0" w:line="276" w:lineRule="auto"/>
        <w:contextualSpacing/>
        <w:rPr>
          <w:rFonts w:ascii="Arial" w:eastAsia="Calibri" w:hAnsi="Arial" w:cs="Arial"/>
          <w:color w:val="ED7D31"/>
          <w:lang w:val="en-US"/>
        </w:rPr>
      </w:pPr>
    </w:p>
    <w:p w14:paraId="363C2057" w14:textId="77777777" w:rsidR="00BE762F" w:rsidRPr="003D44C0" w:rsidRDefault="00BE762F" w:rsidP="00B130EA">
      <w:pPr>
        <w:spacing w:after="0" w:line="276" w:lineRule="auto"/>
        <w:contextualSpacing/>
        <w:rPr>
          <w:rFonts w:ascii="Arial" w:eastAsia="Calibri" w:hAnsi="Arial" w:cs="Arial"/>
          <w:color w:val="ED7D31"/>
          <w:lang w:val="en-US"/>
        </w:rPr>
      </w:pPr>
      <w:r w:rsidRPr="003D44C0">
        <w:rPr>
          <w:rFonts w:ascii="Arial" w:eastAsia="Calibri" w:hAnsi="Arial" w:cs="Arial"/>
          <w:i/>
          <w:color w:val="ED7D31"/>
          <w:lang w:val="en-US"/>
        </w:rPr>
        <w:t>Familial Hyperaldosteronism Type IV (FH-IV)</w:t>
      </w:r>
    </w:p>
    <w:p w14:paraId="3BB18C23" w14:textId="77777777" w:rsidR="00DB16D2" w:rsidRPr="003D44C0" w:rsidRDefault="00DB16D2" w:rsidP="00B130EA">
      <w:pPr>
        <w:spacing w:after="0" w:line="276" w:lineRule="auto"/>
        <w:contextualSpacing/>
        <w:rPr>
          <w:rFonts w:ascii="Arial" w:eastAsia="Calibri" w:hAnsi="Arial" w:cs="Arial"/>
          <w:color w:val="ED7D31"/>
          <w:lang w:val="en-US"/>
        </w:rPr>
      </w:pPr>
    </w:p>
    <w:p w14:paraId="2559EF16" w14:textId="77777777" w:rsidR="00691A96" w:rsidRPr="003D44C0" w:rsidRDefault="00A46069" w:rsidP="00B130EA">
      <w:pPr>
        <w:spacing w:after="0" w:line="276" w:lineRule="auto"/>
        <w:contextualSpacing/>
        <w:rPr>
          <w:rFonts w:ascii="Arial" w:eastAsia="Calibri" w:hAnsi="Arial" w:cs="Arial"/>
          <w:color w:val="000000" w:themeColor="text1"/>
          <w:lang w:val="en-US"/>
        </w:rPr>
      </w:pPr>
      <w:r w:rsidRPr="003D44C0">
        <w:rPr>
          <w:rFonts w:ascii="Arial" w:eastAsia="Calibri" w:hAnsi="Arial" w:cs="Arial"/>
          <w:color w:val="000000" w:themeColor="text1"/>
          <w:lang w:val="en-US"/>
        </w:rPr>
        <w:t xml:space="preserve">FH-IV should be suspected in children </w:t>
      </w:r>
      <w:r w:rsidR="00D476C1" w:rsidRPr="003D44C0">
        <w:rPr>
          <w:rFonts w:ascii="Arial" w:eastAsia="Calibri" w:hAnsi="Arial" w:cs="Arial"/>
          <w:color w:val="000000" w:themeColor="text1"/>
          <w:lang w:val="en-US"/>
        </w:rPr>
        <w:t xml:space="preserve">aged less than 10 years </w:t>
      </w:r>
      <w:r w:rsidRPr="003D44C0">
        <w:rPr>
          <w:rFonts w:ascii="Arial" w:eastAsia="Calibri" w:hAnsi="Arial" w:cs="Arial"/>
          <w:color w:val="000000" w:themeColor="text1"/>
          <w:lang w:val="en-US"/>
        </w:rPr>
        <w:t>who present with early-onset hypertension and primary aldosteroni</w:t>
      </w:r>
      <w:r w:rsidR="00D476C1" w:rsidRPr="003D44C0">
        <w:rPr>
          <w:rFonts w:ascii="Arial" w:eastAsia="Calibri" w:hAnsi="Arial" w:cs="Arial"/>
          <w:color w:val="000000" w:themeColor="text1"/>
          <w:lang w:val="en-US"/>
        </w:rPr>
        <w:t>sm</w:t>
      </w:r>
      <w:r w:rsidR="00001716" w:rsidRPr="003D44C0">
        <w:rPr>
          <w:rFonts w:ascii="Arial" w:eastAsia="Calibri" w:hAnsi="Arial" w:cs="Arial"/>
          <w:color w:val="000000" w:themeColor="text1"/>
          <w:lang w:val="en-US"/>
        </w:rPr>
        <w:t xml:space="preserve"> (13</w:t>
      </w:r>
      <w:r w:rsidR="00B33908" w:rsidRPr="003D44C0">
        <w:rPr>
          <w:rFonts w:ascii="Arial" w:eastAsia="Calibri" w:hAnsi="Arial" w:cs="Arial"/>
          <w:color w:val="000000" w:themeColor="text1"/>
          <w:lang w:val="en-US"/>
        </w:rPr>
        <w:t>)</w:t>
      </w:r>
      <w:r w:rsidR="00D476C1" w:rsidRPr="003D44C0">
        <w:rPr>
          <w:rFonts w:ascii="Arial" w:eastAsia="Calibri" w:hAnsi="Arial" w:cs="Arial"/>
          <w:color w:val="000000" w:themeColor="text1"/>
          <w:lang w:val="en-US"/>
        </w:rPr>
        <w:t>. Patients with FH-IV harbor mutations in the calcium voltage-gated channel subunit alpha 1H (</w:t>
      </w:r>
      <w:r w:rsidR="00B33908" w:rsidRPr="003D44C0">
        <w:rPr>
          <w:rFonts w:ascii="Arial" w:eastAsia="Calibri" w:hAnsi="Arial" w:cs="Arial"/>
          <w:i/>
          <w:color w:val="000000" w:themeColor="text1"/>
          <w:lang w:val="en-US"/>
        </w:rPr>
        <w:t>CACNA1H</w:t>
      </w:r>
      <w:r w:rsidR="00D476C1" w:rsidRPr="003D44C0">
        <w:rPr>
          <w:rFonts w:ascii="Arial" w:eastAsia="Calibri" w:hAnsi="Arial" w:cs="Arial"/>
          <w:color w:val="000000" w:themeColor="text1"/>
          <w:lang w:val="en-US"/>
        </w:rPr>
        <w:t>)</w:t>
      </w:r>
      <w:r w:rsidR="00662FAC" w:rsidRPr="003D44C0">
        <w:rPr>
          <w:rFonts w:ascii="Arial" w:eastAsia="Calibri" w:hAnsi="Arial" w:cs="Arial"/>
          <w:color w:val="000000" w:themeColor="text1"/>
          <w:lang w:val="en-US"/>
        </w:rPr>
        <w:t xml:space="preserve"> gene that</w:t>
      </w:r>
      <w:r w:rsidR="00B33908" w:rsidRPr="003D44C0">
        <w:rPr>
          <w:rFonts w:ascii="Arial" w:eastAsia="Calibri" w:hAnsi="Arial" w:cs="Arial"/>
          <w:color w:val="000000" w:themeColor="text1"/>
          <w:lang w:val="en-US"/>
        </w:rPr>
        <w:t xml:space="preserve"> </w:t>
      </w:r>
      <w:r w:rsidR="00662FAC" w:rsidRPr="003D44C0">
        <w:rPr>
          <w:rFonts w:ascii="Arial" w:eastAsia="Calibri" w:hAnsi="Arial" w:cs="Arial"/>
          <w:color w:val="000000" w:themeColor="text1"/>
          <w:lang w:val="en-US"/>
        </w:rPr>
        <w:t>encodes for the alpha subunit of the voltage-dependent T-type calcium channel Cav3.2</w:t>
      </w:r>
      <w:r w:rsidR="007C3069" w:rsidRPr="003D44C0">
        <w:rPr>
          <w:rFonts w:ascii="Arial" w:eastAsia="Calibri" w:hAnsi="Arial" w:cs="Arial"/>
          <w:color w:val="000000" w:themeColor="text1"/>
          <w:lang w:val="en-US"/>
        </w:rPr>
        <w:t xml:space="preserve"> (Figure 2)</w:t>
      </w:r>
      <w:r w:rsidR="00662FAC" w:rsidRPr="003D44C0">
        <w:rPr>
          <w:rFonts w:ascii="Arial" w:eastAsia="Calibri" w:hAnsi="Arial" w:cs="Arial"/>
          <w:color w:val="000000" w:themeColor="text1"/>
          <w:lang w:val="en-US"/>
        </w:rPr>
        <w:t>. These genetic defects resulted</w:t>
      </w:r>
      <w:r w:rsidR="00B33908" w:rsidRPr="003D44C0">
        <w:rPr>
          <w:rFonts w:ascii="Arial" w:eastAsia="Calibri" w:hAnsi="Arial" w:cs="Arial"/>
          <w:color w:val="000000" w:themeColor="text1"/>
          <w:lang w:val="en-US"/>
        </w:rPr>
        <w:t xml:space="preserve"> in increased calcium influx in the cytoplasm of cells within the </w:t>
      </w:r>
      <w:r w:rsidR="00B33908" w:rsidRPr="003D44C0">
        <w:rPr>
          <w:rFonts w:ascii="Arial" w:eastAsia="Calibri" w:hAnsi="Arial" w:cs="Arial"/>
          <w:i/>
          <w:color w:val="000000" w:themeColor="text1"/>
          <w:lang w:val="en-US"/>
        </w:rPr>
        <w:t>zona glomerulosa</w:t>
      </w:r>
      <w:r w:rsidR="00B33908" w:rsidRPr="003D44C0">
        <w:rPr>
          <w:rFonts w:ascii="Arial" w:eastAsia="Calibri" w:hAnsi="Arial" w:cs="Arial"/>
          <w:color w:val="000000" w:themeColor="text1"/>
          <w:lang w:val="en-US"/>
        </w:rPr>
        <w:t>, thereby facilitating cont</w:t>
      </w:r>
      <w:r w:rsidR="00001716" w:rsidRPr="003D44C0">
        <w:rPr>
          <w:rFonts w:ascii="Arial" w:eastAsia="Calibri" w:hAnsi="Arial" w:cs="Arial"/>
          <w:color w:val="000000" w:themeColor="text1"/>
          <w:lang w:val="en-US"/>
        </w:rPr>
        <w:t>inuous aldosterone secretion (26</w:t>
      </w:r>
      <w:r w:rsidR="00B33908" w:rsidRPr="003D44C0">
        <w:rPr>
          <w:rFonts w:ascii="Arial" w:eastAsia="Calibri" w:hAnsi="Arial" w:cs="Arial"/>
          <w:color w:val="000000" w:themeColor="text1"/>
          <w:lang w:val="en-US"/>
        </w:rPr>
        <w:t>). Patients may respond to calcium channel blockers</w:t>
      </w:r>
      <w:r w:rsidR="00B2348E" w:rsidRPr="003D44C0">
        <w:rPr>
          <w:rFonts w:ascii="Arial" w:eastAsia="Calibri" w:hAnsi="Arial" w:cs="Arial"/>
          <w:color w:val="000000" w:themeColor="text1"/>
          <w:lang w:val="en-US"/>
        </w:rPr>
        <w:t xml:space="preserve"> (</w:t>
      </w:r>
      <w:r w:rsidR="00BD6D7C" w:rsidRPr="003D44C0">
        <w:rPr>
          <w:rFonts w:ascii="Arial" w:eastAsia="Calibri" w:hAnsi="Arial" w:cs="Arial"/>
          <w:color w:val="000000" w:themeColor="text1"/>
          <w:lang w:val="en-US"/>
        </w:rPr>
        <w:t>4</w:t>
      </w:r>
      <w:r w:rsidR="00B2348E" w:rsidRPr="003D44C0">
        <w:rPr>
          <w:rFonts w:ascii="Arial" w:eastAsia="Calibri" w:hAnsi="Arial" w:cs="Arial"/>
          <w:color w:val="000000" w:themeColor="text1"/>
          <w:lang w:val="en-US"/>
        </w:rPr>
        <w:t>).</w:t>
      </w:r>
    </w:p>
    <w:p w14:paraId="0635E6B4" w14:textId="77777777" w:rsidR="00691A96" w:rsidRPr="003D44C0" w:rsidRDefault="00691A96" w:rsidP="00B130EA">
      <w:pPr>
        <w:spacing w:after="0" w:line="276" w:lineRule="auto"/>
        <w:contextualSpacing/>
        <w:rPr>
          <w:rFonts w:ascii="Arial" w:eastAsia="Calibri" w:hAnsi="Arial" w:cs="Arial"/>
          <w:color w:val="000000" w:themeColor="text1"/>
          <w:lang w:val="en-US"/>
        </w:rPr>
      </w:pPr>
    </w:p>
    <w:p w14:paraId="5CE03459" w14:textId="77777777" w:rsidR="00691A96" w:rsidRPr="003D44C0" w:rsidRDefault="00691A96" w:rsidP="00B130EA">
      <w:pPr>
        <w:spacing w:after="0" w:line="276" w:lineRule="auto"/>
        <w:contextualSpacing/>
        <w:rPr>
          <w:rFonts w:ascii="Arial" w:eastAsia="Calibri" w:hAnsi="Arial" w:cs="Arial"/>
          <w:color w:val="ED7D31"/>
          <w:lang w:val="en-US"/>
        </w:rPr>
      </w:pPr>
      <w:r w:rsidRPr="003D44C0">
        <w:rPr>
          <w:rFonts w:ascii="Arial" w:eastAsia="Calibri" w:hAnsi="Arial" w:cs="Arial"/>
          <w:i/>
          <w:color w:val="ED7D31"/>
          <w:lang w:val="en-US"/>
        </w:rPr>
        <w:t>Primary Aldosteronism with Seizures and Neurologic Abnormalities (PASNA) or</w:t>
      </w:r>
      <w:r w:rsidRPr="003D44C0">
        <w:rPr>
          <w:rFonts w:ascii="Arial" w:hAnsi="Arial" w:cs="Arial"/>
          <w:lang w:val="en-US"/>
        </w:rPr>
        <w:t xml:space="preserve"> </w:t>
      </w:r>
      <w:r w:rsidRPr="003D44C0">
        <w:rPr>
          <w:rFonts w:ascii="Arial" w:eastAsia="Calibri" w:hAnsi="Arial" w:cs="Arial"/>
          <w:i/>
          <w:color w:val="ED7D31"/>
          <w:lang w:val="en-US"/>
        </w:rPr>
        <w:t>Familial Hyperaldosteronism Type V? (FH-V?)</w:t>
      </w:r>
    </w:p>
    <w:p w14:paraId="20451393" w14:textId="77777777" w:rsidR="00691A96" w:rsidRPr="003D44C0" w:rsidRDefault="00691A96" w:rsidP="00B130EA">
      <w:pPr>
        <w:spacing w:after="0" w:line="276" w:lineRule="auto"/>
        <w:contextualSpacing/>
        <w:rPr>
          <w:rFonts w:ascii="Arial" w:eastAsia="Calibri" w:hAnsi="Arial" w:cs="Arial"/>
          <w:color w:val="ED7D31"/>
          <w:lang w:val="en-US"/>
        </w:rPr>
      </w:pPr>
    </w:p>
    <w:p w14:paraId="150CAEB2" w14:textId="01D880D8" w:rsidR="00DB16D2" w:rsidRPr="003D44C0" w:rsidRDefault="00662FAC" w:rsidP="00B130EA">
      <w:pPr>
        <w:spacing w:after="0" w:line="276" w:lineRule="auto"/>
        <w:contextualSpacing/>
        <w:rPr>
          <w:rFonts w:ascii="Arial" w:eastAsia="Calibri" w:hAnsi="Arial" w:cs="Arial"/>
          <w:color w:val="000000" w:themeColor="text1"/>
          <w:lang w:val="en-US"/>
        </w:rPr>
      </w:pPr>
      <w:r w:rsidRPr="003D44C0">
        <w:rPr>
          <w:rFonts w:ascii="Arial" w:eastAsia="Calibri" w:hAnsi="Arial" w:cs="Arial"/>
          <w:color w:val="000000" w:themeColor="text1"/>
          <w:lang w:val="en-US"/>
        </w:rPr>
        <w:t>Scholl</w:t>
      </w:r>
      <w:r w:rsidRPr="003D44C0">
        <w:rPr>
          <w:rFonts w:ascii="Arial" w:eastAsia="Calibri" w:hAnsi="Arial" w:cs="Arial"/>
          <w:color w:val="ED7D31"/>
          <w:lang w:val="en-US"/>
        </w:rPr>
        <w:t xml:space="preserve"> </w:t>
      </w:r>
      <w:r w:rsidRPr="003D44C0">
        <w:rPr>
          <w:rFonts w:ascii="Arial" w:eastAsia="Calibri" w:hAnsi="Arial" w:cs="Arial"/>
          <w:color w:val="000000" w:themeColor="text1"/>
          <w:lang w:val="en-US"/>
        </w:rPr>
        <w:t>and collaborators have described two children with primary aldosteronism, seizures</w:t>
      </w:r>
      <w:r w:rsidR="005D104D" w:rsidRPr="003D44C0">
        <w:rPr>
          <w:rFonts w:ascii="Arial" w:eastAsia="Calibri" w:hAnsi="Arial" w:cs="Arial"/>
          <w:color w:val="000000" w:themeColor="text1"/>
          <w:lang w:val="en-US"/>
        </w:rPr>
        <w:t>,</w:t>
      </w:r>
      <w:r w:rsidRPr="003D44C0">
        <w:rPr>
          <w:rFonts w:ascii="Arial" w:eastAsia="Calibri" w:hAnsi="Arial" w:cs="Arial"/>
          <w:color w:val="000000" w:themeColor="text1"/>
          <w:lang w:val="en-US"/>
        </w:rPr>
        <w:t xml:space="preserve"> </w:t>
      </w:r>
      <w:r w:rsidR="00D56DDD" w:rsidRPr="003D44C0">
        <w:rPr>
          <w:rFonts w:ascii="Arial" w:eastAsia="Calibri" w:hAnsi="Arial" w:cs="Arial"/>
          <w:color w:val="000000" w:themeColor="text1"/>
          <w:lang w:val="en-US"/>
        </w:rPr>
        <w:t>and neurologic abnormalities (27</w:t>
      </w:r>
      <w:r w:rsidRPr="003D44C0">
        <w:rPr>
          <w:rFonts w:ascii="Arial" w:eastAsia="Calibri" w:hAnsi="Arial" w:cs="Arial"/>
          <w:color w:val="000000" w:themeColor="text1"/>
          <w:lang w:val="en-US"/>
        </w:rPr>
        <w:t>). The patients harbored</w:t>
      </w:r>
      <w:r w:rsidRPr="003D44C0">
        <w:rPr>
          <w:rFonts w:ascii="Arial" w:hAnsi="Arial" w:cs="Arial"/>
          <w:lang w:val="en-US"/>
        </w:rPr>
        <w:t xml:space="preserve"> </w:t>
      </w:r>
      <w:r w:rsidRPr="003D44C0">
        <w:rPr>
          <w:rFonts w:ascii="Arial" w:eastAsia="Calibri" w:hAnsi="Arial" w:cs="Arial"/>
          <w:color w:val="000000" w:themeColor="text1"/>
          <w:lang w:val="en-US"/>
        </w:rPr>
        <w:t xml:space="preserve">mutations in the </w:t>
      </w:r>
      <w:r w:rsidRPr="003D44C0">
        <w:rPr>
          <w:rFonts w:ascii="Arial" w:eastAsia="Calibri" w:hAnsi="Arial" w:cs="Arial"/>
          <w:i/>
          <w:color w:val="000000" w:themeColor="text1"/>
          <w:lang w:val="en-US"/>
        </w:rPr>
        <w:t>CACNA1D</w:t>
      </w:r>
      <w:r w:rsidRPr="003D44C0">
        <w:rPr>
          <w:rFonts w:ascii="Arial" w:eastAsia="Calibri" w:hAnsi="Arial" w:cs="Arial"/>
          <w:color w:val="000000" w:themeColor="text1"/>
          <w:lang w:val="en-US"/>
        </w:rPr>
        <w:t xml:space="preserve"> gene </w:t>
      </w:r>
      <w:r w:rsidR="002212D2" w:rsidRPr="003D44C0">
        <w:rPr>
          <w:rFonts w:ascii="Arial" w:eastAsia="Calibri" w:hAnsi="Arial" w:cs="Arial"/>
          <w:color w:val="000000" w:themeColor="text1"/>
          <w:lang w:val="en-US"/>
        </w:rPr>
        <w:t>which encodes the alpha-1 subunit of the voltage dependent Ca2+ L-type Cav1.3 channel</w:t>
      </w:r>
      <w:r w:rsidR="003C7E5A" w:rsidRPr="003D44C0">
        <w:rPr>
          <w:rFonts w:ascii="Arial" w:eastAsia="Calibri" w:hAnsi="Arial" w:cs="Arial"/>
          <w:color w:val="000000" w:themeColor="text1"/>
          <w:lang w:val="en-US"/>
        </w:rPr>
        <w:t xml:space="preserve"> </w:t>
      </w:r>
      <w:r w:rsidR="00D56DDD" w:rsidRPr="003D44C0">
        <w:rPr>
          <w:rFonts w:ascii="Arial" w:eastAsia="Calibri" w:hAnsi="Arial" w:cs="Arial"/>
          <w:color w:val="000000" w:themeColor="text1"/>
          <w:lang w:val="en-US"/>
        </w:rPr>
        <w:t>(27</w:t>
      </w:r>
      <w:r w:rsidR="00C37D05" w:rsidRPr="003D44C0">
        <w:rPr>
          <w:rFonts w:ascii="Arial" w:eastAsia="Calibri" w:hAnsi="Arial" w:cs="Arial"/>
          <w:color w:val="000000" w:themeColor="text1"/>
          <w:lang w:val="en-US"/>
        </w:rPr>
        <w:t>).</w:t>
      </w:r>
    </w:p>
    <w:p w14:paraId="052A7ED7" w14:textId="50398688" w:rsidR="009054BE" w:rsidRPr="003D44C0" w:rsidRDefault="009054BE" w:rsidP="00B130EA">
      <w:pPr>
        <w:spacing w:after="0" w:line="276" w:lineRule="auto"/>
        <w:contextualSpacing/>
        <w:rPr>
          <w:rFonts w:ascii="Arial" w:eastAsia="Calibri" w:hAnsi="Arial" w:cs="Arial"/>
          <w:color w:val="000000" w:themeColor="text1"/>
          <w:lang w:val="en-US"/>
        </w:rPr>
      </w:pPr>
    </w:p>
    <w:p w14:paraId="35462E26" w14:textId="0F234FD6" w:rsidR="000022C4" w:rsidRPr="003D44C0" w:rsidRDefault="0031165C" w:rsidP="00B130EA">
      <w:pPr>
        <w:spacing w:after="0" w:line="276" w:lineRule="auto"/>
        <w:contextualSpacing/>
        <w:rPr>
          <w:rFonts w:ascii="Arial" w:eastAsia="Calibri" w:hAnsi="Arial" w:cs="Arial"/>
          <w:color w:val="000000" w:themeColor="text1"/>
          <w:lang w:val="en-US"/>
        </w:rPr>
      </w:pPr>
      <w:r w:rsidRPr="003D44C0">
        <w:rPr>
          <w:rFonts w:ascii="Arial" w:eastAsia="Calibri" w:hAnsi="Arial" w:cs="Arial"/>
          <w:noProof/>
          <w:color w:val="000000" w:themeColor="text1"/>
          <w:lang w:val="en-US" w:eastAsia="el-GR"/>
        </w:rPr>
        <w:lastRenderedPageBreak/>
        <w:drawing>
          <wp:inline distT="0" distB="0" distL="0" distR="0" wp14:anchorId="58BA700D" wp14:editId="27734933">
            <wp:extent cx="5274310" cy="3956050"/>
            <wp:effectExtent l="0" t="0" r="2540" b="635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Διαφάνεια2.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4A50BFAB" w14:textId="6BFBC34A" w:rsidR="00BE762F" w:rsidRPr="003D44C0" w:rsidRDefault="001A2193" w:rsidP="00B130EA">
      <w:pPr>
        <w:spacing w:after="0" w:line="276" w:lineRule="auto"/>
        <w:contextualSpacing/>
        <w:rPr>
          <w:rFonts w:ascii="Arial" w:eastAsia="Calibri" w:hAnsi="Arial" w:cs="Arial"/>
          <w:lang w:val="en-US"/>
        </w:rPr>
      </w:pPr>
      <w:r w:rsidRPr="003D44C0">
        <w:rPr>
          <w:rFonts w:ascii="Arial" w:eastAsia="Calibri" w:hAnsi="Arial" w:cs="Arial"/>
          <w:b/>
          <w:lang w:val="en-US"/>
        </w:rPr>
        <w:t>Figure 2</w:t>
      </w:r>
      <w:r w:rsidR="00B130EA" w:rsidRPr="003D44C0">
        <w:rPr>
          <w:rFonts w:ascii="Arial" w:eastAsia="Calibri" w:hAnsi="Arial" w:cs="Arial"/>
          <w:b/>
          <w:lang w:val="en-US"/>
        </w:rPr>
        <w:t>.</w:t>
      </w:r>
      <w:r w:rsidR="009054BE" w:rsidRPr="003D44C0">
        <w:rPr>
          <w:rFonts w:ascii="Arial" w:eastAsia="Calibri" w:hAnsi="Arial" w:cs="Arial"/>
          <w:b/>
          <w:lang w:val="en-US"/>
        </w:rPr>
        <w:t xml:space="preserve"> </w:t>
      </w:r>
      <w:r w:rsidR="00433DCA" w:rsidRPr="003D44C0">
        <w:rPr>
          <w:rFonts w:ascii="Arial" w:eastAsia="Calibri" w:hAnsi="Arial" w:cs="Arial"/>
          <w:b/>
          <w:bCs/>
          <w:lang w:val="en-US"/>
        </w:rPr>
        <w:t>Genetic defects</w:t>
      </w:r>
      <w:r w:rsidR="009054BE" w:rsidRPr="003D44C0">
        <w:rPr>
          <w:rFonts w:ascii="Arial" w:eastAsia="Calibri" w:hAnsi="Arial" w:cs="Arial"/>
          <w:b/>
          <w:bCs/>
          <w:lang w:val="en-US"/>
        </w:rPr>
        <w:t xml:space="preserve"> of the types of Familial Hyperaldosteronism</w:t>
      </w:r>
      <w:r w:rsidR="000462AB" w:rsidRPr="003D44C0">
        <w:rPr>
          <w:rFonts w:ascii="Arial" w:eastAsia="Calibri" w:hAnsi="Arial" w:cs="Arial"/>
          <w:b/>
          <w:bCs/>
          <w:lang w:val="en-US"/>
        </w:rPr>
        <w:t xml:space="preserve"> (FH)</w:t>
      </w:r>
      <w:r w:rsidR="009054BE" w:rsidRPr="003D44C0">
        <w:rPr>
          <w:rFonts w:ascii="Arial" w:eastAsia="Calibri" w:hAnsi="Arial" w:cs="Arial"/>
          <w:b/>
          <w:bCs/>
          <w:lang w:val="en-US"/>
        </w:rPr>
        <w:t>.</w:t>
      </w:r>
      <w:r w:rsidR="000462AB" w:rsidRPr="003D44C0">
        <w:rPr>
          <w:rFonts w:ascii="Arial" w:eastAsia="Calibri" w:hAnsi="Arial" w:cs="Arial"/>
          <w:b/>
          <w:bCs/>
          <w:lang w:val="en-US"/>
        </w:rPr>
        <w:t xml:space="preserve"> FH-I is caused by the fusion of </w:t>
      </w:r>
      <w:r w:rsidR="000462AB" w:rsidRPr="003D44C0">
        <w:rPr>
          <w:rFonts w:ascii="Arial" w:eastAsia="Calibri" w:hAnsi="Arial" w:cs="Arial"/>
          <w:b/>
          <w:bCs/>
          <w:i/>
          <w:lang w:val="en-US"/>
        </w:rPr>
        <w:t>CYP11B1</w:t>
      </w:r>
      <w:r w:rsidR="000462AB" w:rsidRPr="003D44C0">
        <w:rPr>
          <w:rFonts w:ascii="Arial" w:eastAsia="Calibri" w:hAnsi="Arial" w:cs="Arial"/>
          <w:b/>
          <w:bCs/>
          <w:lang w:val="en-US"/>
        </w:rPr>
        <w:t xml:space="preserve"> encoding for 11β-hydroxylase, and the </w:t>
      </w:r>
      <w:r w:rsidR="000462AB" w:rsidRPr="003D44C0">
        <w:rPr>
          <w:rFonts w:ascii="Arial" w:eastAsia="Calibri" w:hAnsi="Arial" w:cs="Arial"/>
          <w:b/>
          <w:bCs/>
          <w:i/>
          <w:lang w:val="en-US"/>
        </w:rPr>
        <w:t>CYP11B2</w:t>
      </w:r>
      <w:r w:rsidR="000462AB" w:rsidRPr="003D44C0">
        <w:rPr>
          <w:rFonts w:ascii="Arial" w:eastAsia="Calibri" w:hAnsi="Arial" w:cs="Arial"/>
          <w:b/>
          <w:bCs/>
          <w:lang w:val="en-US"/>
        </w:rPr>
        <w:t xml:space="preserve"> that expresses aldosterone synthase. </w:t>
      </w:r>
      <w:r w:rsidR="00D0389A" w:rsidRPr="003D44C0">
        <w:rPr>
          <w:rFonts w:ascii="Arial" w:eastAsia="Calibri" w:hAnsi="Arial" w:cs="Arial"/>
          <w:b/>
          <w:bCs/>
          <w:lang w:val="en-US"/>
        </w:rPr>
        <w:t xml:space="preserve">The molecular basis of </w:t>
      </w:r>
      <w:r w:rsidR="000462AB" w:rsidRPr="003D44C0">
        <w:rPr>
          <w:rFonts w:ascii="Arial" w:eastAsia="Calibri" w:hAnsi="Arial" w:cs="Arial"/>
          <w:b/>
          <w:bCs/>
          <w:lang w:val="en-US"/>
        </w:rPr>
        <w:t xml:space="preserve">FH-II has been attributed to activating mutations in the </w:t>
      </w:r>
      <w:r w:rsidR="000462AB" w:rsidRPr="003D44C0">
        <w:rPr>
          <w:rFonts w:ascii="Arial" w:eastAsia="Calibri" w:hAnsi="Arial" w:cs="Arial"/>
          <w:b/>
          <w:bCs/>
          <w:i/>
          <w:color w:val="000000" w:themeColor="text1"/>
          <w:lang w:val="en-US"/>
        </w:rPr>
        <w:t>CLCN2</w:t>
      </w:r>
      <w:r w:rsidR="000462AB" w:rsidRPr="003D44C0">
        <w:rPr>
          <w:rFonts w:ascii="Arial" w:eastAsia="Calibri" w:hAnsi="Arial" w:cs="Arial"/>
          <w:b/>
          <w:bCs/>
          <w:lang w:val="en-US"/>
        </w:rPr>
        <w:t xml:space="preserve"> encoding for the chloride channel 2. FH-III is caused by germline activating mutations in the </w:t>
      </w:r>
      <w:r w:rsidR="000462AB" w:rsidRPr="003D44C0">
        <w:rPr>
          <w:rFonts w:ascii="Arial" w:eastAsia="Calibri" w:hAnsi="Arial" w:cs="Arial"/>
          <w:b/>
          <w:bCs/>
          <w:i/>
          <w:lang w:val="en-US"/>
        </w:rPr>
        <w:t>KCNJ5</w:t>
      </w:r>
      <w:r w:rsidR="000462AB" w:rsidRPr="003D44C0">
        <w:rPr>
          <w:rFonts w:ascii="Arial" w:eastAsia="Calibri" w:hAnsi="Arial" w:cs="Arial"/>
          <w:b/>
          <w:bCs/>
          <w:lang w:val="en-US"/>
        </w:rPr>
        <w:t xml:space="preserve"> that expresses the potassium channel GIRK4 (Kir3.4). FH-IV</w:t>
      </w:r>
      <w:r w:rsidR="00D0389A" w:rsidRPr="003D44C0">
        <w:rPr>
          <w:rFonts w:ascii="Arial" w:eastAsia="Calibri" w:hAnsi="Arial" w:cs="Arial"/>
          <w:b/>
          <w:bCs/>
          <w:lang w:val="en-US"/>
        </w:rPr>
        <w:t xml:space="preserve"> has been associated with mutations in the </w:t>
      </w:r>
      <w:r w:rsidR="00D0389A" w:rsidRPr="003D44C0">
        <w:rPr>
          <w:rFonts w:ascii="Arial" w:eastAsia="Calibri" w:hAnsi="Arial" w:cs="Arial"/>
          <w:b/>
          <w:bCs/>
          <w:i/>
          <w:color w:val="000000" w:themeColor="text1"/>
          <w:lang w:val="en-US"/>
        </w:rPr>
        <w:t>CACNA1H</w:t>
      </w:r>
      <w:r w:rsidR="00D0389A" w:rsidRPr="003D44C0">
        <w:rPr>
          <w:rFonts w:ascii="Arial" w:eastAsia="Calibri" w:hAnsi="Arial" w:cs="Arial"/>
          <w:b/>
          <w:bCs/>
          <w:color w:val="000000" w:themeColor="text1"/>
          <w:lang w:val="en-US"/>
        </w:rPr>
        <w:t xml:space="preserve"> that encodes for the alpha subunit of the voltage-dependent T-type calcium channel Cav3.2.</w:t>
      </w:r>
      <w:r w:rsidR="000462AB" w:rsidRPr="003D44C0">
        <w:rPr>
          <w:rFonts w:ascii="Arial" w:eastAsia="Calibri" w:hAnsi="Arial" w:cs="Arial"/>
          <w:lang w:val="en-US"/>
        </w:rPr>
        <w:t xml:space="preserve">   </w:t>
      </w:r>
    </w:p>
    <w:p w14:paraId="16D5DA7E" w14:textId="77777777" w:rsidR="00AC2384" w:rsidRPr="003D44C0" w:rsidRDefault="00AC2384" w:rsidP="00B130EA">
      <w:pPr>
        <w:spacing w:after="0" w:line="276" w:lineRule="auto"/>
        <w:contextualSpacing/>
        <w:rPr>
          <w:rFonts w:ascii="Arial" w:eastAsia="Calibri" w:hAnsi="Arial" w:cs="Arial"/>
          <w:color w:val="FF0000"/>
          <w:lang w:val="en-US"/>
        </w:rPr>
      </w:pPr>
    </w:p>
    <w:p w14:paraId="1A5701A2" w14:textId="77777777" w:rsidR="00AC2384" w:rsidRPr="003D44C0" w:rsidRDefault="00AC2384" w:rsidP="00B130EA">
      <w:pPr>
        <w:spacing w:after="0" w:line="276" w:lineRule="auto"/>
        <w:contextualSpacing/>
        <w:rPr>
          <w:rFonts w:ascii="Arial" w:eastAsia="Calibri" w:hAnsi="Arial" w:cs="Arial"/>
          <w:b/>
          <w:color w:val="00B050"/>
          <w:lang w:val="en-US"/>
        </w:rPr>
      </w:pPr>
      <w:r w:rsidRPr="003D44C0">
        <w:rPr>
          <w:rFonts w:ascii="Arial" w:eastAsia="Calibri" w:hAnsi="Arial" w:cs="Arial"/>
          <w:b/>
          <w:color w:val="00B050"/>
          <w:lang w:val="en-US"/>
        </w:rPr>
        <w:t>Syndromes of Deoxycorticosterone Excess</w:t>
      </w:r>
    </w:p>
    <w:p w14:paraId="16E665B7" w14:textId="77777777" w:rsidR="00AC2384" w:rsidRPr="003D44C0" w:rsidRDefault="00AC2384" w:rsidP="00B130EA">
      <w:pPr>
        <w:spacing w:after="0" w:line="276" w:lineRule="auto"/>
        <w:contextualSpacing/>
        <w:rPr>
          <w:rFonts w:ascii="Arial" w:eastAsia="Calibri" w:hAnsi="Arial" w:cs="Arial"/>
          <w:color w:val="FF0000"/>
          <w:lang w:val="en-US"/>
        </w:rPr>
      </w:pPr>
    </w:p>
    <w:p w14:paraId="1FD8EA5C" w14:textId="77777777" w:rsidR="004D4759" w:rsidRPr="003D44C0" w:rsidRDefault="00AC2384" w:rsidP="00B130EA">
      <w:pPr>
        <w:spacing w:after="0" w:line="276" w:lineRule="auto"/>
        <w:contextualSpacing/>
        <w:rPr>
          <w:rFonts w:ascii="Arial" w:eastAsia="Calibri" w:hAnsi="Arial" w:cs="Arial"/>
          <w:color w:val="FF0000"/>
          <w:lang w:val="en-US"/>
        </w:rPr>
      </w:pPr>
      <w:r w:rsidRPr="003D44C0">
        <w:rPr>
          <w:rFonts w:ascii="Arial" w:eastAsia="Calibri" w:hAnsi="Arial" w:cs="Arial"/>
          <w:color w:val="FF0000"/>
          <w:lang w:val="en-US"/>
        </w:rPr>
        <w:t>CONGENITAL ADRENAL HYPERPLASIA</w:t>
      </w:r>
    </w:p>
    <w:p w14:paraId="5FA38CD5" w14:textId="77777777" w:rsidR="00AC2384" w:rsidRPr="003D44C0" w:rsidRDefault="00AC2384" w:rsidP="00B130EA">
      <w:pPr>
        <w:spacing w:after="0" w:line="276" w:lineRule="auto"/>
        <w:contextualSpacing/>
        <w:rPr>
          <w:rFonts w:ascii="Arial" w:eastAsia="Calibri" w:hAnsi="Arial" w:cs="Arial"/>
          <w:color w:val="ED7D31"/>
          <w:lang w:val="en-US"/>
        </w:rPr>
      </w:pPr>
    </w:p>
    <w:p w14:paraId="205EB72D" w14:textId="27DCB102" w:rsidR="006B1399" w:rsidRPr="003D44C0" w:rsidRDefault="007D410B" w:rsidP="00B130EA">
      <w:pPr>
        <w:spacing w:after="0" w:line="276" w:lineRule="auto"/>
        <w:contextualSpacing/>
        <w:rPr>
          <w:rFonts w:ascii="Arial" w:eastAsia="Calibri" w:hAnsi="Arial" w:cs="Arial"/>
          <w:lang w:val="en-US"/>
        </w:rPr>
      </w:pPr>
      <w:r w:rsidRPr="003D44C0">
        <w:rPr>
          <w:rFonts w:ascii="Arial" w:eastAsia="Calibri" w:hAnsi="Arial" w:cs="Arial"/>
          <w:lang w:val="en-US"/>
        </w:rPr>
        <w:t>Congenital adrenal hyperplasia is a group of disorders characterized by defects in genes encoding for enzymes that participate in steroidogenesis</w:t>
      </w:r>
      <w:r w:rsidR="007C3069" w:rsidRPr="003D44C0">
        <w:rPr>
          <w:rFonts w:ascii="Arial" w:eastAsia="Calibri" w:hAnsi="Arial" w:cs="Arial"/>
          <w:lang w:val="en-US"/>
        </w:rPr>
        <w:t xml:space="preserve"> (Figure 3)</w:t>
      </w:r>
      <w:r w:rsidRPr="003D44C0">
        <w:rPr>
          <w:rFonts w:ascii="Arial" w:eastAsia="Calibri" w:hAnsi="Arial" w:cs="Arial"/>
          <w:lang w:val="en-US"/>
        </w:rPr>
        <w:t xml:space="preserve">. Two forms of congenital adrenal hyperplasia, 11β-hydroxylase deficiency and 17α-hydroxylase deficiency, </w:t>
      </w:r>
      <w:r w:rsidR="00000CF5" w:rsidRPr="003D44C0">
        <w:rPr>
          <w:rFonts w:ascii="Arial" w:eastAsia="Calibri" w:hAnsi="Arial" w:cs="Arial"/>
          <w:lang w:val="en-US"/>
        </w:rPr>
        <w:t>b</w:t>
      </w:r>
      <w:r w:rsidRPr="003D44C0">
        <w:rPr>
          <w:rFonts w:ascii="Arial" w:eastAsia="Calibri" w:hAnsi="Arial" w:cs="Arial"/>
          <w:lang w:val="en-US"/>
        </w:rPr>
        <w:t xml:space="preserve">oth </w:t>
      </w:r>
      <w:r w:rsidR="003C7E5A" w:rsidRPr="003D44C0">
        <w:rPr>
          <w:rFonts w:ascii="Arial" w:eastAsia="Calibri" w:hAnsi="Arial" w:cs="Arial"/>
          <w:lang w:val="en-US"/>
        </w:rPr>
        <w:t>present with hypertension and hypokalemia (</w:t>
      </w:r>
      <w:r w:rsidR="00AA10C8" w:rsidRPr="003D44C0">
        <w:rPr>
          <w:rFonts w:ascii="Arial" w:eastAsia="Calibri" w:hAnsi="Arial" w:cs="Arial"/>
          <w:lang w:val="en-US"/>
        </w:rPr>
        <w:t>28</w:t>
      </w:r>
      <w:r w:rsidR="003C7E5A" w:rsidRPr="003D44C0">
        <w:rPr>
          <w:rFonts w:ascii="Arial" w:eastAsia="Calibri" w:hAnsi="Arial" w:cs="Arial"/>
          <w:lang w:val="en-US"/>
        </w:rPr>
        <w:t>).</w:t>
      </w:r>
    </w:p>
    <w:p w14:paraId="6CA5ED1F" w14:textId="1957969B" w:rsidR="001A2193" w:rsidRPr="003D44C0" w:rsidRDefault="001A2193" w:rsidP="00B130EA">
      <w:pPr>
        <w:spacing w:after="0" w:line="276" w:lineRule="auto"/>
        <w:contextualSpacing/>
        <w:rPr>
          <w:rFonts w:ascii="Arial" w:eastAsia="Calibri" w:hAnsi="Arial" w:cs="Arial"/>
          <w:lang w:val="en-US"/>
        </w:rPr>
      </w:pPr>
    </w:p>
    <w:p w14:paraId="0CCBEF8D" w14:textId="69E12F99" w:rsidR="0031165C" w:rsidRPr="003D44C0" w:rsidRDefault="0031165C" w:rsidP="00B130EA">
      <w:pPr>
        <w:spacing w:after="0" w:line="276" w:lineRule="auto"/>
        <w:contextualSpacing/>
        <w:rPr>
          <w:rFonts w:ascii="Arial" w:eastAsia="Calibri" w:hAnsi="Arial" w:cs="Arial"/>
          <w:lang w:val="en-US"/>
        </w:rPr>
      </w:pPr>
      <w:r w:rsidRPr="003D44C0">
        <w:rPr>
          <w:rFonts w:ascii="Arial" w:eastAsia="Calibri" w:hAnsi="Arial" w:cs="Arial"/>
          <w:noProof/>
          <w:lang w:val="en-US" w:eastAsia="el-GR"/>
        </w:rPr>
        <w:lastRenderedPageBreak/>
        <w:drawing>
          <wp:inline distT="0" distB="0" distL="0" distR="0" wp14:anchorId="7EEBDECD" wp14:editId="65EAF7A2">
            <wp:extent cx="5274310" cy="3956050"/>
            <wp:effectExtent l="0" t="0" r="2540" b="635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Διαφάνεια3.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3486ABCF" w14:textId="05FB81D9" w:rsidR="001A2193" w:rsidRPr="003D44C0" w:rsidRDefault="001A2193" w:rsidP="00B130EA">
      <w:pPr>
        <w:spacing w:after="0" w:line="276" w:lineRule="auto"/>
        <w:contextualSpacing/>
        <w:rPr>
          <w:rFonts w:ascii="Arial" w:eastAsia="Calibri" w:hAnsi="Arial" w:cs="Arial"/>
          <w:lang w:val="en-US"/>
        </w:rPr>
      </w:pPr>
      <w:r w:rsidRPr="003D44C0">
        <w:rPr>
          <w:rFonts w:ascii="Arial" w:eastAsia="Calibri" w:hAnsi="Arial" w:cs="Arial"/>
          <w:b/>
          <w:lang w:val="en-US"/>
        </w:rPr>
        <w:t>Figure 3</w:t>
      </w:r>
      <w:r w:rsidR="00B130EA" w:rsidRPr="003D44C0">
        <w:rPr>
          <w:rFonts w:ascii="Arial" w:eastAsia="Calibri" w:hAnsi="Arial" w:cs="Arial"/>
          <w:b/>
          <w:lang w:val="en-US"/>
        </w:rPr>
        <w:t>.</w:t>
      </w:r>
      <w:r w:rsidR="009054BE" w:rsidRPr="003D44C0">
        <w:rPr>
          <w:rFonts w:ascii="Arial" w:eastAsia="Calibri" w:hAnsi="Arial" w:cs="Arial"/>
          <w:lang w:val="en-US"/>
        </w:rPr>
        <w:t xml:space="preserve"> </w:t>
      </w:r>
      <w:r w:rsidR="001002B9" w:rsidRPr="003D44C0">
        <w:rPr>
          <w:rFonts w:ascii="Arial" w:eastAsia="Calibri" w:hAnsi="Arial" w:cs="Arial"/>
          <w:b/>
          <w:bCs/>
          <w:lang w:val="en-US"/>
        </w:rPr>
        <w:t>Biochemical pathways of steroidogenesis.</w:t>
      </w:r>
    </w:p>
    <w:p w14:paraId="2D79ED41" w14:textId="77777777" w:rsidR="007D410B" w:rsidRPr="003D44C0" w:rsidRDefault="003C7E5A" w:rsidP="00B130EA">
      <w:pPr>
        <w:spacing w:after="0" w:line="276" w:lineRule="auto"/>
        <w:contextualSpacing/>
        <w:rPr>
          <w:rFonts w:ascii="Arial" w:eastAsia="Calibri" w:hAnsi="Arial" w:cs="Arial"/>
          <w:lang w:val="en-US"/>
        </w:rPr>
      </w:pPr>
      <w:r w:rsidRPr="003D44C0">
        <w:rPr>
          <w:rFonts w:ascii="Arial" w:eastAsia="Calibri" w:hAnsi="Arial" w:cs="Arial"/>
          <w:lang w:val="en-US"/>
        </w:rPr>
        <w:t xml:space="preserve"> </w:t>
      </w:r>
    </w:p>
    <w:p w14:paraId="398FB446" w14:textId="77777777" w:rsidR="00AC2384" w:rsidRPr="003D44C0" w:rsidRDefault="003C7E5A" w:rsidP="00B130EA">
      <w:pPr>
        <w:spacing w:after="0" w:line="276" w:lineRule="auto"/>
        <w:contextualSpacing/>
        <w:rPr>
          <w:rFonts w:ascii="Arial" w:eastAsia="Calibri" w:hAnsi="Arial" w:cs="Arial"/>
          <w:color w:val="ED7D31"/>
          <w:lang w:val="en-US"/>
        </w:rPr>
      </w:pPr>
      <w:r w:rsidRPr="003D44C0">
        <w:rPr>
          <w:rFonts w:ascii="Arial" w:eastAsia="Calibri" w:hAnsi="Arial" w:cs="Arial"/>
          <w:i/>
          <w:color w:val="ED7D31"/>
          <w:lang w:val="en-US"/>
        </w:rPr>
        <w:t>11β</w:t>
      </w:r>
      <w:r w:rsidR="00AC2384" w:rsidRPr="003D44C0">
        <w:rPr>
          <w:rFonts w:ascii="Arial" w:eastAsia="Calibri" w:hAnsi="Arial" w:cs="Arial"/>
          <w:i/>
          <w:color w:val="ED7D31"/>
          <w:lang w:val="en-US"/>
        </w:rPr>
        <w:t>-Hydroxylase Deficiency</w:t>
      </w:r>
    </w:p>
    <w:p w14:paraId="5903BD37" w14:textId="77777777" w:rsidR="00AC2384" w:rsidRPr="003D44C0" w:rsidRDefault="00AC2384" w:rsidP="00B130EA">
      <w:pPr>
        <w:spacing w:after="0" w:line="276" w:lineRule="auto"/>
        <w:contextualSpacing/>
        <w:rPr>
          <w:rFonts w:ascii="Arial" w:eastAsia="Calibri" w:hAnsi="Arial" w:cs="Arial"/>
          <w:color w:val="ED7D31"/>
          <w:lang w:val="en-US"/>
        </w:rPr>
      </w:pPr>
    </w:p>
    <w:p w14:paraId="7F7ED45F" w14:textId="03EB7F26" w:rsidR="00AC2384" w:rsidRPr="003D44C0" w:rsidRDefault="004950D0" w:rsidP="00B130EA">
      <w:pPr>
        <w:spacing w:after="0" w:line="276" w:lineRule="auto"/>
        <w:contextualSpacing/>
        <w:rPr>
          <w:rFonts w:ascii="Arial" w:eastAsia="Calibri" w:hAnsi="Arial" w:cs="Arial"/>
          <w:lang w:val="en-US"/>
        </w:rPr>
      </w:pPr>
      <w:r w:rsidRPr="003D44C0">
        <w:rPr>
          <w:rFonts w:ascii="Arial" w:eastAsia="Calibri" w:hAnsi="Arial" w:cs="Arial"/>
          <w:lang w:val="en-US"/>
        </w:rPr>
        <w:t>This is the second most common form of congenital adrenal hyperplasia (5%-8%) which is inherited in an autosomal recessive fashion</w:t>
      </w:r>
      <w:r w:rsidR="00BD25AC" w:rsidRPr="003D44C0">
        <w:rPr>
          <w:rFonts w:ascii="Arial" w:eastAsia="Calibri" w:hAnsi="Arial" w:cs="Arial"/>
          <w:lang w:val="en-US"/>
        </w:rPr>
        <w:t xml:space="preserve">. </w:t>
      </w:r>
      <w:r w:rsidR="00C95200" w:rsidRPr="003D44C0">
        <w:rPr>
          <w:rFonts w:ascii="Arial" w:eastAsia="Calibri" w:hAnsi="Arial" w:cs="Arial"/>
          <w:lang w:val="en-US"/>
        </w:rPr>
        <w:t xml:space="preserve">11β-hydroxylase deficiency results from genetic defects in </w:t>
      </w:r>
      <w:r w:rsidR="00C95200" w:rsidRPr="003D44C0">
        <w:rPr>
          <w:rFonts w:ascii="Arial" w:eastAsia="Calibri" w:hAnsi="Arial" w:cs="Arial"/>
          <w:i/>
          <w:lang w:val="en-US"/>
        </w:rPr>
        <w:t xml:space="preserve">CYP11B1 </w:t>
      </w:r>
      <w:r w:rsidR="00C95200" w:rsidRPr="003D44C0">
        <w:rPr>
          <w:rFonts w:ascii="Arial" w:eastAsia="Calibri" w:hAnsi="Arial" w:cs="Arial"/>
          <w:lang w:val="en-US"/>
        </w:rPr>
        <w:t xml:space="preserve">gene, and causes increased production of </w:t>
      </w:r>
      <w:r w:rsidR="00F37349" w:rsidRPr="003D44C0">
        <w:rPr>
          <w:rFonts w:ascii="Arial" w:eastAsia="Calibri" w:hAnsi="Arial" w:cs="Arial"/>
          <w:lang w:val="en-US"/>
        </w:rPr>
        <w:t>deoxycorticosterone, 11-deoxycortisol</w:t>
      </w:r>
      <w:r w:rsidR="00112A0B" w:rsidRPr="003D44C0">
        <w:rPr>
          <w:rFonts w:ascii="Arial" w:eastAsia="Calibri" w:hAnsi="Arial" w:cs="Arial"/>
          <w:lang w:val="en-US"/>
        </w:rPr>
        <w:t>,</w:t>
      </w:r>
      <w:r w:rsidR="00F37349" w:rsidRPr="003D44C0">
        <w:rPr>
          <w:rFonts w:ascii="Arial" w:eastAsia="Calibri" w:hAnsi="Arial" w:cs="Arial"/>
          <w:lang w:val="en-US"/>
        </w:rPr>
        <w:t xml:space="preserve"> and adrenal androgens</w:t>
      </w:r>
      <w:r w:rsidR="00AA10C8" w:rsidRPr="003D44C0">
        <w:rPr>
          <w:rFonts w:ascii="Arial" w:eastAsia="Calibri" w:hAnsi="Arial" w:cs="Arial"/>
          <w:lang w:val="en-US"/>
        </w:rPr>
        <w:t xml:space="preserve"> (29</w:t>
      </w:r>
      <w:r w:rsidR="00FC7FD3" w:rsidRPr="003D44C0">
        <w:rPr>
          <w:rFonts w:ascii="Arial" w:eastAsia="Calibri" w:hAnsi="Arial" w:cs="Arial"/>
          <w:lang w:val="en-US"/>
        </w:rPr>
        <w:t>)</w:t>
      </w:r>
      <w:r w:rsidR="00913C31" w:rsidRPr="003D44C0">
        <w:rPr>
          <w:rFonts w:ascii="Arial" w:eastAsia="Calibri" w:hAnsi="Arial" w:cs="Arial"/>
          <w:lang w:val="en-US"/>
        </w:rPr>
        <w:t>. In addition,</w:t>
      </w:r>
      <w:r w:rsidR="00AA5D0E" w:rsidRPr="003D44C0">
        <w:rPr>
          <w:rFonts w:ascii="Arial" w:eastAsia="Calibri" w:hAnsi="Arial" w:cs="Arial"/>
          <w:lang w:val="en-US"/>
        </w:rPr>
        <w:t xml:space="preserve"> PRA is suppressed leading to decreased production of aldosterone in the </w:t>
      </w:r>
      <w:r w:rsidR="00AA5D0E" w:rsidRPr="003D44C0">
        <w:rPr>
          <w:rFonts w:ascii="Arial" w:eastAsia="Calibri" w:hAnsi="Arial" w:cs="Arial"/>
          <w:i/>
          <w:lang w:val="en-US"/>
        </w:rPr>
        <w:t xml:space="preserve">zonal glomerulosa </w:t>
      </w:r>
      <w:r w:rsidR="00AA5D0E" w:rsidRPr="003D44C0">
        <w:rPr>
          <w:rFonts w:ascii="Arial" w:eastAsia="Calibri" w:hAnsi="Arial" w:cs="Arial"/>
          <w:lang w:val="en-US"/>
        </w:rPr>
        <w:t xml:space="preserve">and hypokalemia. </w:t>
      </w:r>
      <w:r w:rsidR="00411AAC" w:rsidRPr="003D44C0">
        <w:rPr>
          <w:rFonts w:ascii="Arial" w:eastAsia="Calibri" w:hAnsi="Arial" w:cs="Arial"/>
          <w:lang w:val="en-US"/>
        </w:rPr>
        <w:t xml:space="preserve">In girls, 11β-hydroxylase deficiency </w:t>
      </w:r>
      <w:r w:rsidR="00714D77" w:rsidRPr="003D44C0">
        <w:rPr>
          <w:rFonts w:ascii="Arial" w:eastAsia="Calibri" w:hAnsi="Arial" w:cs="Arial"/>
          <w:lang w:val="en-US"/>
        </w:rPr>
        <w:t xml:space="preserve">is a 46XX disorder of sex development (46XX DSD) leading to genital virilization. In boys, this form of congenital adrenal hyperplasia causes </w:t>
      </w:r>
      <w:r w:rsidR="00E43D47" w:rsidRPr="003D44C0">
        <w:rPr>
          <w:rFonts w:ascii="Arial" w:eastAsia="Calibri" w:hAnsi="Arial" w:cs="Arial"/>
          <w:lang w:val="en-US"/>
        </w:rPr>
        <w:t xml:space="preserve">penile enlargement, precocious pubarche and </w:t>
      </w:r>
      <w:r w:rsidR="00FC7FD3" w:rsidRPr="003D44C0">
        <w:rPr>
          <w:rFonts w:ascii="Arial" w:eastAsia="Calibri" w:hAnsi="Arial" w:cs="Arial"/>
          <w:lang w:val="en-US"/>
        </w:rPr>
        <w:t>puberty, as well as</w:t>
      </w:r>
      <w:r w:rsidR="00E43D47" w:rsidRPr="003D44C0">
        <w:rPr>
          <w:rFonts w:ascii="Arial" w:eastAsia="Calibri" w:hAnsi="Arial" w:cs="Arial"/>
          <w:lang w:val="en-US"/>
        </w:rPr>
        <w:t xml:space="preserve"> adrenal rests in the testicles</w:t>
      </w:r>
      <w:r w:rsidR="0087660A" w:rsidRPr="003D44C0">
        <w:rPr>
          <w:rFonts w:ascii="Arial" w:eastAsia="Calibri" w:hAnsi="Arial" w:cs="Arial"/>
          <w:lang w:val="en-US"/>
        </w:rPr>
        <w:t xml:space="preserve"> (30</w:t>
      </w:r>
      <w:r w:rsidR="00FC7FD3" w:rsidRPr="003D44C0">
        <w:rPr>
          <w:rFonts w:ascii="Arial" w:eastAsia="Calibri" w:hAnsi="Arial" w:cs="Arial"/>
          <w:lang w:val="en-US"/>
        </w:rPr>
        <w:t xml:space="preserve">). </w:t>
      </w:r>
      <w:r w:rsidR="005660DC" w:rsidRPr="003D44C0">
        <w:rPr>
          <w:rFonts w:ascii="Arial" w:eastAsia="Calibri" w:hAnsi="Arial" w:cs="Arial"/>
          <w:lang w:val="en-US"/>
        </w:rPr>
        <w:t xml:space="preserve">Hypertension may be present in </w:t>
      </w:r>
      <w:r w:rsidR="00E41FD9" w:rsidRPr="003D44C0">
        <w:rPr>
          <w:rFonts w:ascii="Arial" w:eastAsia="Calibri" w:hAnsi="Arial" w:cs="Arial"/>
          <w:lang w:val="en-US"/>
        </w:rPr>
        <w:t>up to 65% of patients</w:t>
      </w:r>
      <w:r w:rsidR="0044712E" w:rsidRPr="003D44C0">
        <w:rPr>
          <w:rFonts w:ascii="Arial" w:eastAsia="Calibri" w:hAnsi="Arial" w:cs="Arial"/>
          <w:lang w:val="en-US"/>
        </w:rPr>
        <w:t xml:space="preserve"> (31</w:t>
      </w:r>
      <w:r w:rsidR="00D7185A" w:rsidRPr="003D44C0">
        <w:rPr>
          <w:rFonts w:ascii="Arial" w:eastAsia="Calibri" w:hAnsi="Arial" w:cs="Arial"/>
          <w:lang w:val="en-US"/>
        </w:rPr>
        <w:t xml:space="preserve">). </w:t>
      </w:r>
      <w:r w:rsidR="000A6083" w:rsidRPr="003D44C0">
        <w:rPr>
          <w:rFonts w:ascii="Arial" w:eastAsia="Calibri" w:hAnsi="Arial" w:cs="Arial"/>
          <w:lang w:val="en-US"/>
        </w:rPr>
        <w:t xml:space="preserve">Treatment includes administration of synthetic glucocorticoids to decrease ACTH-mediated production of deoxycorticosterone and adrenal androgens. </w:t>
      </w:r>
      <w:r w:rsidR="00C95200" w:rsidRPr="003D44C0">
        <w:rPr>
          <w:rFonts w:ascii="Arial" w:eastAsia="Calibri" w:hAnsi="Arial" w:cs="Arial"/>
          <w:lang w:val="en-US"/>
        </w:rPr>
        <w:t xml:space="preserve"> </w:t>
      </w:r>
    </w:p>
    <w:p w14:paraId="3FA64835" w14:textId="77777777" w:rsidR="00AC2384" w:rsidRPr="003D44C0" w:rsidRDefault="00AC2384" w:rsidP="00B130EA">
      <w:pPr>
        <w:spacing w:after="0" w:line="276" w:lineRule="auto"/>
        <w:contextualSpacing/>
        <w:rPr>
          <w:rFonts w:ascii="Arial" w:eastAsia="Calibri" w:hAnsi="Arial" w:cs="Arial"/>
          <w:color w:val="ED7D31"/>
          <w:lang w:val="en-US"/>
        </w:rPr>
      </w:pPr>
    </w:p>
    <w:p w14:paraId="692CF14B" w14:textId="77777777" w:rsidR="00AC2384" w:rsidRPr="003D44C0" w:rsidRDefault="003C7E5A" w:rsidP="00B130EA">
      <w:pPr>
        <w:spacing w:after="0" w:line="276" w:lineRule="auto"/>
        <w:contextualSpacing/>
        <w:rPr>
          <w:rFonts w:ascii="Arial" w:eastAsia="Calibri" w:hAnsi="Arial" w:cs="Arial"/>
          <w:color w:val="ED7D31"/>
          <w:lang w:val="en-US"/>
        </w:rPr>
      </w:pPr>
      <w:r w:rsidRPr="003D44C0">
        <w:rPr>
          <w:rFonts w:ascii="Arial" w:eastAsia="Calibri" w:hAnsi="Arial" w:cs="Arial"/>
          <w:i/>
          <w:color w:val="ED7D31"/>
          <w:lang w:val="en-US"/>
        </w:rPr>
        <w:t>17α</w:t>
      </w:r>
      <w:r w:rsidR="00AC2384" w:rsidRPr="003D44C0">
        <w:rPr>
          <w:rFonts w:ascii="Arial" w:eastAsia="Calibri" w:hAnsi="Arial" w:cs="Arial"/>
          <w:i/>
          <w:color w:val="ED7D31"/>
          <w:lang w:val="en-US"/>
        </w:rPr>
        <w:t>-Hydroxylase Deficiency</w:t>
      </w:r>
    </w:p>
    <w:p w14:paraId="7C31B47E" w14:textId="77777777" w:rsidR="00AC2384" w:rsidRPr="003D44C0" w:rsidRDefault="00AC2384" w:rsidP="00B130EA">
      <w:pPr>
        <w:spacing w:after="0" w:line="276" w:lineRule="auto"/>
        <w:contextualSpacing/>
        <w:rPr>
          <w:rFonts w:ascii="Arial" w:eastAsia="Calibri" w:hAnsi="Arial" w:cs="Arial"/>
          <w:color w:val="ED7D31"/>
          <w:lang w:val="en-US"/>
        </w:rPr>
      </w:pPr>
    </w:p>
    <w:p w14:paraId="19E63558" w14:textId="6D401FC3" w:rsidR="00AC2384" w:rsidRPr="003D44C0" w:rsidRDefault="00235150" w:rsidP="00B130EA">
      <w:pPr>
        <w:spacing w:after="0" w:line="276" w:lineRule="auto"/>
        <w:contextualSpacing/>
        <w:rPr>
          <w:rFonts w:ascii="Arial" w:eastAsia="Calibri" w:hAnsi="Arial" w:cs="Arial"/>
          <w:lang w:val="en-US"/>
        </w:rPr>
      </w:pPr>
      <w:r w:rsidRPr="003D44C0">
        <w:rPr>
          <w:rFonts w:ascii="Arial" w:eastAsia="Calibri" w:hAnsi="Arial" w:cs="Arial"/>
          <w:lang w:val="en-US"/>
        </w:rPr>
        <w:t xml:space="preserve">This form of congenital adrenal hyperplasia is also inherited in an autosomal recessive </w:t>
      </w:r>
      <w:r w:rsidR="00BF7B04" w:rsidRPr="003D44C0">
        <w:rPr>
          <w:rFonts w:ascii="Arial" w:eastAsia="Calibri" w:hAnsi="Arial" w:cs="Arial"/>
          <w:lang w:val="en-US"/>
        </w:rPr>
        <w:t>fashion and</w:t>
      </w:r>
      <w:r w:rsidRPr="003D44C0">
        <w:rPr>
          <w:rFonts w:ascii="Arial" w:eastAsia="Calibri" w:hAnsi="Arial" w:cs="Arial"/>
          <w:lang w:val="en-US"/>
        </w:rPr>
        <w:t xml:space="preserve"> is caused by defects in the </w:t>
      </w:r>
      <w:r w:rsidRPr="003D44C0">
        <w:rPr>
          <w:rFonts w:ascii="Arial" w:eastAsia="Calibri" w:hAnsi="Arial" w:cs="Arial"/>
          <w:i/>
          <w:lang w:val="en-US"/>
        </w:rPr>
        <w:t xml:space="preserve">CYP17A </w:t>
      </w:r>
      <w:r w:rsidRPr="003D44C0">
        <w:rPr>
          <w:rFonts w:ascii="Arial" w:eastAsia="Calibri" w:hAnsi="Arial" w:cs="Arial"/>
          <w:lang w:val="en-US"/>
        </w:rPr>
        <w:t>gene</w:t>
      </w:r>
      <w:r w:rsidR="003F318D" w:rsidRPr="003D44C0">
        <w:rPr>
          <w:rFonts w:ascii="Arial" w:eastAsia="Calibri" w:hAnsi="Arial" w:cs="Arial"/>
          <w:lang w:val="en-US"/>
        </w:rPr>
        <w:t xml:space="preserve"> that encodes for 17α-hydroxylase. This enzyme catalyzes 17-hydroxylation of pregnenolone and </w:t>
      </w:r>
      <w:r w:rsidR="00310ADC" w:rsidRPr="003D44C0">
        <w:rPr>
          <w:rFonts w:ascii="Arial" w:eastAsia="Calibri" w:hAnsi="Arial" w:cs="Arial"/>
          <w:lang w:val="en-US"/>
        </w:rPr>
        <w:t>progesterone and</w:t>
      </w:r>
      <w:r w:rsidR="003F318D" w:rsidRPr="003D44C0">
        <w:rPr>
          <w:rFonts w:ascii="Arial" w:eastAsia="Calibri" w:hAnsi="Arial" w:cs="Arial"/>
          <w:lang w:val="en-US"/>
        </w:rPr>
        <w:t xml:space="preserve"> cleaves the side chain of the steroid molecule at position 17, 20; thereby displaying lyase activity </w:t>
      </w:r>
      <w:r w:rsidR="00E71FE1" w:rsidRPr="003D44C0">
        <w:rPr>
          <w:rFonts w:ascii="Arial" w:eastAsia="Calibri" w:hAnsi="Arial" w:cs="Arial"/>
          <w:lang w:val="en-US"/>
        </w:rPr>
        <w:t>(</w:t>
      </w:r>
      <w:r w:rsidR="004D79AF" w:rsidRPr="003D44C0">
        <w:rPr>
          <w:rFonts w:ascii="Arial" w:eastAsia="Calibri" w:hAnsi="Arial" w:cs="Arial"/>
          <w:lang w:val="en-US"/>
        </w:rPr>
        <w:t>28</w:t>
      </w:r>
      <w:r w:rsidR="00E71FE1" w:rsidRPr="003D44C0">
        <w:rPr>
          <w:rFonts w:ascii="Arial" w:eastAsia="Calibri" w:hAnsi="Arial" w:cs="Arial"/>
          <w:lang w:val="en-US"/>
        </w:rPr>
        <w:t>)</w:t>
      </w:r>
      <w:r w:rsidR="003F318D" w:rsidRPr="003D44C0">
        <w:rPr>
          <w:rFonts w:ascii="Arial" w:eastAsia="Calibri" w:hAnsi="Arial" w:cs="Arial"/>
          <w:lang w:val="en-US"/>
        </w:rPr>
        <w:t xml:space="preserve">. </w:t>
      </w:r>
      <w:r w:rsidR="00E71FE1" w:rsidRPr="003D44C0">
        <w:rPr>
          <w:rFonts w:ascii="Arial" w:eastAsia="Calibri" w:hAnsi="Arial" w:cs="Arial"/>
          <w:lang w:val="en-US"/>
        </w:rPr>
        <w:t xml:space="preserve">17α-hydroxylase deficiency leads to insufficient production of glucocorticoids and sex steroids and concurrent accumulation of deoxycorticosterone and corticosterone. </w:t>
      </w:r>
      <w:r w:rsidR="00BB7F10" w:rsidRPr="003D44C0">
        <w:rPr>
          <w:rFonts w:ascii="Arial" w:eastAsia="Calibri" w:hAnsi="Arial" w:cs="Arial"/>
          <w:lang w:val="en-US"/>
        </w:rPr>
        <w:t xml:space="preserve">Patients with 17α-hydroxylase </w:t>
      </w:r>
      <w:r w:rsidR="00CD1BB2" w:rsidRPr="003D44C0">
        <w:rPr>
          <w:rFonts w:ascii="Arial" w:eastAsia="Calibri" w:hAnsi="Arial" w:cs="Arial"/>
          <w:lang w:val="en-US"/>
        </w:rPr>
        <w:t xml:space="preserve">may </w:t>
      </w:r>
      <w:r w:rsidR="00BB7F10" w:rsidRPr="003D44C0">
        <w:rPr>
          <w:rFonts w:ascii="Arial" w:eastAsia="Calibri" w:hAnsi="Arial" w:cs="Arial"/>
          <w:lang w:val="en-US"/>
        </w:rPr>
        <w:t xml:space="preserve">present with 46XY </w:t>
      </w:r>
      <w:r w:rsidR="001F13CB" w:rsidRPr="003D44C0">
        <w:rPr>
          <w:rFonts w:ascii="Arial" w:eastAsia="Calibri" w:hAnsi="Arial" w:cs="Arial"/>
          <w:lang w:val="en-US"/>
        </w:rPr>
        <w:t xml:space="preserve">disorder of sex development </w:t>
      </w:r>
      <w:r w:rsidR="001F13CB" w:rsidRPr="003D44C0">
        <w:rPr>
          <w:rFonts w:ascii="Arial" w:eastAsia="Calibri" w:hAnsi="Arial" w:cs="Arial"/>
          <w:lang w:val="en-US"/>
        </w:rPr>
        <w:t>(</w:t>
      </w:r>
      <w:r w:rsidR="00BB7F10" w:rsidRPr="003D44C0">
        <w:rPr>
          <w:rFonts w:ascii="Arial" w:eastAsia="Calibri" w:hAnsi="Arial" w:cs="Arial"/>
          <w:lang w:val="en-US"/>
        </w:rPr>
        <w:t>DSD</w:t>
      </w:r>
      <w:r w:rsidR="001F13CB" w:rsidRPr="003D44C0">
        <w:rPr>
          <w:rFonts w:ascii="Arial" w:eastAsia="Calibri" w:hAnsi="Arial" w:cs="Arial"/>
          <w:lang w:val="en-US"/>
        </w:rPr>
        <w:t>)</w:t>
      </w:r>
      <w:r w:rsidR="00BB7F10" w:rsidRPr="003D44C0">
        <w:rPr>
          <w:rFonts w:ascii="Arial" w:eastAsia="Calibri" w:hAnsi="Arial" w:cs="Arial"/>
          <w:lang w:val="en-US"/>
        </w:rPr>
        <w:t xml:space="preserve"> and absent Müllerian structures</w:t>
      </w:r>
      <w:r w:rsidR="004D79AF" w:rsidRPr="003D44C0">
        <w:rPr>
          <w:rFonts w:ascii="Arial" w:eastAsia="Calibri" w:hAnsi="Arial" w:cs="Arial"/>
          <w:lang w:val="en-US"/>
        </w:rPr>
        <w:t xml:space="preserve"> (28</w:t>
      </w:r>
      <w:r w:rsidR="00BB7F10" w:rsidRPr="003D44C0">
        <w:rPr>
          <w:rFonts w:ascii="Arial" w:eastAsia="Calibri" w:hAnsi="Arial" w:cs="Arial"/>
          <w:lang w:val="en-US"/>
        </w:rPr>
        <w:t>)</w:t>
      </w:r>
      <w:r w:rsidR="00CD1BB2" w:rsidRPr="003D44C0">
        <w:rPr>
          <w:rFonts w:ascii="Arial" w:eastAsia="Calibri" w:hAnsi="Arial" w:cs="Arial"/>
          <w:lang w:val="en-US"/>
        </w:rPr>
        <w:t xml:space="preserve">, hypergonadotropic hypogonadism with lack of development </w:t>
      </w:r>
      <w:r w:rsidR="00CD1BB2" w:rsidRPr="003D44C0">
        <w:rPr>
          <w:rFonts w:ascii="Arial" w:eastAsia="Calibri" w:hAnsi="Arial" w:cs="Arial"/>
          <w:lang w:val="en-US"/>
        </w:rPr>
        <w:lastRenderedPageBreak/>
        <w:t>of secondary sex characteristics</w:t>
      </w:r>
      <w:r w:rsidR="009F44A3" w:rsidRPr="003D44C0">
        <w:rPr>
          <w:rFonts w:ascii="Arial" w:eastAsia="Calibri" w:hAnsi="Arial" w:cs="Arial"/>
          <w:lang w:val="en-US"/>
        </w:rPr>
        <w:t>,</w:t>
      </w:r>
      <w:r w:rsidR="00CD1BB2" w:rsidRPr="003D44C0">
        <w:rPr>
          <w:rFonts w:ascii="Arial" w:eastAsia="Calibri" w:hAnsi="Arial" w:cs="Arial"/>
          <w:lang w:val="en-US"/>
        </w:rPr>
        <w:t xml:space="preserve"> and primary am</w:t>
      </w:r>
      <w:r w:rsidR="004D79AF" w:rsidRPr="003D44C0">
        <w:rPr>
          <w:rFonts w:ascii="Arial" w:eastAsia="Calibri" w:hAnsi="Arial" w:cs="Arial"/>
          <w:lang w:val="en-US"/>
        </w:rPr>
        <w:t>enorrhea in 46XX individuals (32-34</w:t>
      </w:r>
      <w:r w:rsidR="00CD1BB2" w:rsidRPr="003D44C0">
        <w:rPr>
          <w:rFonts w:ascii="Arial" w:eastAsia="Calibri" w:hAnsi="Arial" w:cs="Arial"/>
          <w:lang w:val="en-US"/>
        </w:rPr>
        <w:t xml:space="preserve">). </w:t>
      </w:r>
      <w:r w:rsidR="000073EF" w:rsidRPr="003D44C0">
        <w:rPr>
          <w:rFonts w:ascii="Arial" w:eastAsia="Calibri" w:hAnsi="Arial" w:cs="Arial"/>
          <w:lang w:val="en-US"/>
        </w:rPr>
        <w:t>They also display hypokalemic hypertension. The treatment basis of 17α-hydroxylase deficiency is supplementation with synthetic glucocorticoids.</w:t>
      </w:r>
      <w:r w:rsidR="00CD1BB2" w:rsidRPr="003D44C0">
        <w:rPr>
          <w:rFonts w:ascii="Arial" w:eastAsia="Calibri" w:hAnsi="Arial" w:cs="Arial"/>
          <w:lang w:val="en-US"/>
        </w:rPr>
        <w:t xml:space="preserve"> </w:t>
      </w:r>
    </w:p>
    <w:p w14:paraId="2F993647" w14:textId="77777777" w:rsidR="00AC2384" w:rsidRPr="003D44C0" w:rsidRDefault="00AC2384" w:rsidP="00B130EA">
      <w:pPr>
        <w:spacing w:after="0" w:line="276" w:lineRule="auto"/>
        <w:contextualSpacing/>
        <w:rPr>
          <w:rFonts w:ascii="Arial" w:eastAsia="Calibri" w:hAnsi="Arial" w:cs="Arial"/>
          <w:color w:val="ED7D31"/>
          <w:lang w:val="en-US"/>
        </w:rPr>
      </w:pPr>
    </w:p>
    <w:p w14:paraId="23C41C4F" w14:textId="77777777" w:rsidR="005B75C5" w:rsidRPr="003D44C0" w:rsidRDefault="005B75C5" w:rsidP="00B130EA">
      <w:pPr>
        <w:spacing w:after="0" w:line="276" w:lineRule="auto"/>
        <w:contextualSpacing/>
        <w:rPr>
          <w:rFonts w:ascii="Arial" w:eastAsia="Calibri" w:hAnsi="Arial" w:cs="Arial"/>
          <w:color w:val="FF0000"/>
          <w:lang w:val="en-US"/>
        </w:rPr>
      </w:pPr>
      <w:r w:rsidRPr="003D44C0">
        <w:rPr>
          <w:rFonts w:ascii="Arial" w:eastAsia="Calibri" w:hAnsi="Arial" w:cs="Arial"/>
          <w:color w:val="FF0000"/>
          <w:lang w:val="en-US"/>
        </w:rPr>
        <w:t>PRIMARY GENERALIZED GLUCOCORTICOID RESISTANCE (CHROUSOS SYNDROME)</w:t>
      </w:r>
    </w:p>
    <w:p w14:paraId="357EC65C" w14:textId="77777777" w:rsidR="005B75C5" w:rsidRPr="003D44C0" w:rsidRDefault="005B75C5" w:rsidP="00B130EA">
      <w:pPr>
        <w:spacing w:after="0" w:line="276" w:lineRule="auto"/>
        <w:contextualSpacing/>
        <w:rPr>
          <w:rFonts w:ascii="Arial" w:eastAsia="Calibri" w:hAnsi="Arial" w:cs="Arial"/>
          <w:color w:val="FF0000"/>
          <w:lang w:val="en-US"/>
        </w:rPr>
      </w:pPr>
    </w:p>
    <w:p w14:paraId="5B8C9215" w14:textId="5BEAE47B" w:rsidR="00B77128" w:rsidRPr="003D44C0" w:rsidRDefault="00091D6B" w:rsidP="00B130EA">
      <w:pPr>
        <w:spacing w:after="0" w:line="276" w:lineRule="auto"/>
        <w:contextualSpacing/>
        <w:rPr>
          <w:rFonts w:ascii="Arial" w:eastAsia="Calibri" w:hAnsi="Arial" w:cs="Arial"/>
          <w:color w:val="000000" w:themeColor="text1"/>
          <w:lang w:val="en-US"/>
        </w:rPr>
      </w:pPr>
      <w:r w:rsidRPr="003D44C0">
        <w:rPr>
          <w:rFonts w:ascii="Arial" w:eastAsia="Calibri" w:hAnsi="Arial" w:cs="Arial"/>
          <w:lang w:val="en-US"/>
        </w:rPr>
        <w:t>Initially described b</w:t>
      </w:r>
      <w:r w:rsidR="00177500" w:rsidRPr="003D44C0">
        <w:rPr>
          <w:rFonts w:ascii="Arial" w:eastAsia="Calibri" w:hAnsi="Arial" w:cs="Arial"/>
          <w:lang w:val="en-US"/>
        </w:rPr>
        <w:t>y Chrousos and collaborators (35</w:t>
      </w:r>
      <w:r w:rsidRPr="003D44C0">
        <w:rPr>
          <w:rFonts w:ascii="Arial" w:eastAsia="Calibri" w:hAnsi="Arial" w:cs="Arial"/>
          <w:lang w:val="en-US"/>
        </w:rPr>
        <w:t>), primary generalized glucocorticoid resistance or Chrousos syndrome is a rare endocrinologic condition characterized by incomplete resistance of targe</w:t>
      </w:r>
      <w:r w:rsidR="00177500" w:rsidRPr="003D44C0">
        <w:rPr>
          <w:rFonts w:ascii="Arial" w:eastAsia="Calibri" w:hAnsi="Arial" w:cs="Arial"/>
          <w:lang w:val="en-US"/>
        </w:rPr>
        <w:t>t tissues to glucocorticoids (36</w:t>
      </w:r>
      <w:r w:rsidRPr="003D44C0">
        <w:rPr>
          <w:rFonts w:ascii="Arial" w:eastAsia="Calibri" w:hAnsi="Arial" w:cs="Arial"/>
          <w:lang w:val="en-US"/>
        </w:rPr>
        <w:t xml:space="preserve">). This syndrome is caused by genetic defects in </w:t>
      </w:r>
      <w:r w:rsidRPr="003D44C0">
        <w:rPr>
          <w:rFonts w:ascii="Arial" w:eastAsia="Calibri" w:hAnsi="Arial" w:cs="Arial"/>
          <w:i/>
          <w:lang w:val="en-US"/>
        </w:rPr>
        <w:t xml:space="preserve">NR3C1 </w:t>
      </w:r>
      <w:r w:rsidRPr="003D44C0">
        <w:rPr>
          <w:rFonts w:ascii="Arial" w:eastAsia="Calibri" w:hAnsi="Arial" w:cs="Arial"/>
          <w:lang w:val="en-US"/>
        </w:rPr>
        <w:t>gene which encodes for the h</w:t>
      </w:r>
      <w:r w:rsidR="00177500" w:rsidRPr="003D44C0">
        <w:rPr>
          <w:rFonts w:ascii="Arial" w:eastAsia="Calibri" w:hAnsi="Arial" w:cs="Arial"/>
          <w:lang w:val="en-US"/>
        </w:rPr>
        <w:t>uman glucocorticoid receptor (37</w:t>
      </w:r>
      <w:r w:rsidRPr="003D44C0">
        <w:rPr>
          <w:rFonts w:ascii="Arial" w:eastAsia="Calibri" w:hAnsi="Arial" w:cs="Arial"/>
          <w:lang w:val="en-US"/>
        </w:rPr>
        <w:t xml:space="preserve">). </w:t>
      </w:r>
      <w:r w:rsidR="00F25DA2" w:rsidRPr="003D44C0">
        <w:rPr>
          <w:rFonts w:ascii="Arial" w:eastAsia="Calibri" w:hAnsi="Arial" w:cs="Arial"/>
          <w:lang w:val="en-US"/>
        </w:rPr>
        <w:t xml:space="preserve">The defective </w:t>
      </w:r>
      <w:r w:rsidR="004E2E69" w:rsidRPr="003D44C0">
        <w:rPr>
          <w:rFonts w:ascii="Arial" w:eastAsia="Calibri" w:hAnsi="Arial" w:cs="Arial"/>
          <w:lang w:val="en-US"/>
        </w:rPr>
        <w:t>human glucocorticoid receptor (</w:t>
      </w:r>
      <w:r w:rsidR="006D72A8" w:rsidRPr="003D44C0">
        <w:rPr>
          <w:rFonts w:ascii="Arial" w:eastAsia="Calibri" w:hAnsi="Arial" w:cs="Arial"/>
          <w:lang w:val="en-US"/>
        </w:rPr>
        <w:t>hGR</w:t>
      </w:r>
      <w:r w:rsidR="004E2E69" w:rsidRPr="003D44C0">
        <w:rPr>
          <w:rFonts w:ascii="Arial" w:eastAsia="Calibri" w:hAnsi="Arial" w:cs="Arial"/>
          <w:lang w:val="en-US"/>
        </w:rPr>
        <w:t>)</w:t>
      </w:r>
      <w:r w:rsidR="00F25DA2" w:rsidRPr="003D44C0">
        <w:rPr>
          <w:rFonts w:ascii="Arial" w:eastAsia="Calibri" w:hAnsi="Arial" w:cs="Arial"/>
          <w:lang w:val="en-US"/>
        </w:rPr>
        <w:t xml:space="preserve"> in both </w:t>
      </w:r>
      <w:r w:rsidR="00600A97" w:rsidRPr="003D44C0">
        <w:rPr>
          <w:rFonts w:ascii="Arial" w:eastAsia="Calibri" w:hAnsi="Arial" w:cs="Arial"/>
          <w:lang w:val="en-US"/>
        </w:rPr>
        <w:t xml:space="preserve">the </w:t>
      </w:r>
      <w:r w:rsidR="00F25DA2" w:rsidRPr="003D44C0">
        <w:rPr>
          <w:rFonts w:ascii="Arial" w:eastAsia="Calibri" w:hAnsi="Arial" w:cs="Arial"/>
          <w:lang w:val="en-US"/>
        </w:rPr>
        <w:t>hypothalamus and anterior pituitary cause</w:t>
      </w:r>
      <w:r w:rsidR="006D72A8" w:rsidRPr="003D44C0">
        <w:rPr>
          <w:rFonts w:ascii="Arial" w:eastAsia="Calibri" w:hAnsi="Arial" w:cs="Arial"/>
          <w:lang w:val="en-US"/>
        </w:rPr>
        <w:t>s</w:t>
      </w:r>
      <w:r w:rsidR="00F25DA2" w:rsidRPr="003D44C0">
        <w:rPr>
          <w:rFonts w:ascii="Arial" w:eastAsia="Calibri" w:hAnsi="Arial" w:cs="Arial"/>
          <w:lang w:val="en-US"/>
        </w:rPr>
        <w:t xml:space="preserve"> impaired negative feedback loops leading to compensatory activation of the hypothalamus-pituitary-adrenal axis</w:t>
      </w:r>
      <w:r w:rsidR="007C3069" w:rsidRPr="003D44C0">
        <w:rPr>
          <w:rFonts w:ascii="Arial" w:eastAsia="Calibri" w:hAnsi="Arial" w:cs="Arial"/>
          <w:lang w:val="en-US"/>
        </w:rPr>
        <w:t xml:space="preserve"> (Figure 4)</w:t>
      </w:r>
      <w:r w:rsidR="00F25DA2" w:rsidRPr="003D44C0">
        <w:rPr>
          <w:rFonts w:ascii="Arial" w:eastAsia="Calibri" w:hAnsi="Arial" w:cs="Arial"/>
          <w:lang w:val="en-US"/>
        </w:rPr>
        <w:t xml:space="preserve">. The increased levels of CRH and AVP may cause depression and anxiety, while the elevated ACTH concentrations lead to adrenal hyperplasia, increased production of steroid precursors with mineralocorticoid activity (deoxycorticosterone, corticosterone), </w:t>
      </w:r>
      <w:r w:rsidR="00F30E66" w:rsidRPr="003D44C0">
        <w:rPr>
          <w:rFonts w:ascii="Arial" w:eastAsia="Calibri" w:hAnsi="Arial" w:cs="Arial"/>
          <w:lang w:val="en-US"/>
        </w:rPr>
        <w:t>increased biosynthesis and release of adrenal androgens, and elevate</w:t>
      </w:r>
      <w:r w:rsidR="00177500" w:rsidRPr="003D44C0">
        <w:rPr>
          <w:rFonts w:ascii="Arial" w:eastAsia="Calibri" w:hAnsi="Arial" w:cs="Arial"/>
          <w:lang w:val="en-US"/>
        </w:rPr>
        <w:t>d concentrations of cortisol (38</w:t>
      </w:r>
      <w:r w:rsidR="00F30E66" w:rsidRPr="003D44C0">
        <w:rPr>
          <w:rFonts w:ascii="Arial" w:eastAsia="Calibri" w:hAnsi="Arial" w:cs="Arial"/>
          <w:lang w:val="en-US"/>
        </w:rPr>
        <w:t>). Patients may be asymptomatic or display hypertension with hypokalemic alkalosis or present with ambiguous genitalia, peripheral precocious puberty, amenorrhea, oligoamenorrhea</w:t>
      </w:r>
      <w:r w:rsidR="00305CDF" w:rsidRPr="003D44C0">
        <w:rPr>
          <w:rFonts w:ascii="Arial" w:eastAsia="Calibri" w:hAnsi="Arial" w:cs="Arial"/>
          <w:lang w:val="en-US"/>
        </w:rPr>
        <w:t>,</w:t>
      </w:r>
      <w:r w:rsidR="00F30E66" w:rsidRPr="003D44C0">
        <w:rPr>
          <w:rFonts w:ascii="Arial" w:eastAsia="Calibri" w:hAnsi="Arial" w:cs="Arial"/>
          <w:lang w:val="en-US"/>
        </w:rPr>
        <w:t xml:space="preserve"> and decreased fertility</w:t>
      </w:r>
      <w:r w:rsidR="007C3069" w:rsidRPr="003D44C0">
        <w:rPr>
          <w:rFonts w:ascii="Arial" w:eastAsia="Calibri" w:hAnsi="Arial" w:cs="Arial"/>
          <w:lang w:val="en-US"/>
        </w:rPr>
        <w:t xml:space="preserve"> (Figure 4)</w:t>
      </w:r>
      <w:r w:rsidR="00F30E66" w:rsidRPr="003D44C0">
        <w:rPr>
          <w:rFonts w:ascii="Arial" w:eastAsia="Calibri" w:hAnsi="Arial" w:cs="Arial"/>
          <w:lang w:val="en-US"/>
        </w:rPr>
        <w:t>. As far as endocrinologic work-up is concerned, patients with Chrousos syndrome have increased urinary-free cortisol excretion, resistance of the hypothalamic-pituitary-adrenal axis to increasing concentrations of dexamethasone, without any stigmata of Cushing’s syndrome. Treatment consists of high doses of dexamethasone</w:t>
      </w:r>
      <w:r w:rsidR="007A08C7" w:rsidRPr="003D44C0">
        <w:rPr>
          <w:rFonts w:ascii="Arial" w:eastAsia="Calibri" w:hAnsi="Arial" w:cs="Arial"/>
          <w:lang w:val="en-US"/>
        </w:rPr>
        <w:t xml:space="preserve"> only </w:t>
      </w:r>
      <w:r w:rsidR="00F648D8" w:rsidRPr="003D44C0">
        <w:rPr>
          <w:rFonts w:ascii="Arial" w:eastAsia="Calibri" w:hAnsi="Arial" w:cs="Arial"/>
          <w:lang w:val="en-US"/>
        </w:rPr>
        <w:t xml:space="preserve">in </w:t>
      </w:r>
      <w:r w:rsidR="007A08C7" w:rsidRPr="003D44C0">
        <w:rPr>
          <w:rFonts w:ascii="Arial" w:eastAsia="Calibri" w:hAnsi="Arial" w:cs="Arial"/>
          <w:lang w:val="en-US"/>
        </w:rPr>
        <w:t>symptomatic patients</w:t>
      </w:r>
      <w:r w:rsidR="00F30E66" w:rsidRPr="003D44C0">
        <w:rPr>
          <w:rFonts w:ascii="Arial" w:eastAsia="Calibri" w:hAnsi="Arial" w:cs="Arial"/>
          <w:lang w:val="en-US"/>
        </w:rPr>
        <w:t xml:space="preserve"> </w:t>
      </w:r>
      <w:r w:rsidR="007A08C7" w:rsidRPr="003D44C0">
        <w:rPr>
          <w:rFonts w:ascii="Arial" w:eastAsia="Calibri" w:hAnsi="Arial" w:cs="Arial"/>
          <w:lang w:val="en-US"/>
        </w:rPr>
        <w:t>to prevent the development of ACT</w:t>
      </w:r>
      <w:r w:rsidR="00177500" w:rsidRPr="003D44C0">
        <w:rPr>
          <w:rFonts w:ascii="Arial" w:eastAsia="Calibri" w:hAnsi="Arial" w:cs="Arial"/>
          <w:lang w:val="en-US"/>
        </w:rPr>
        <w:t>H-dependent adrenal adenomas (39</w:t>
      </w:r>
      <w:r w:rsidR="007A08C7" w:rsidRPr="003D44C0">
        <w:rPr>
          <w:rFonts w:ascii="Arial" w:eastAsia="Calibri" w:hAnsi="Arial" w:cs="Arial"/>
          <w:lang w:val="en-US"/>
        </w:rPr>
        <w:t>).</w:t>
      </w:r>
      <w:r w:rsidR="00B77128" w:rsidRPr="003D44C0">
        <w:rPr>
          <w:rFonts w:ascii="Arial" w:eastAsia="Calibri" w:hAnsi="Arial" w:cs="Arial"/>
          <w:lang w:val="en-US"/>
        </w:rPr>
        <w:t xml:space="preserve"> </w:t>
      </w:r>
      <w:r w:rsidR="00B77128" w:rsidRPr="003D44C0">
        <w:rPr>
          <w:rFonts w:ascii="Arial" w:eastAsia="Calibri" w:hAnsi="Arial" w:cs="Arial"/>
          <w:color w:val="000000" w:themeColor="text1"/>
          <w:lang w:val="en-US"/>
        </w:rPr>
        <w:t xml:space="preserve">Treatment needs to be titrated to the individual carefully and over time, to avoid overtreatment with glucocorticoids and achieve normal pressure in the long term. </w:t>
      </w:r>
    </w:p>
    <w:p w14:paraId="3ACD2797" w14:textId="77777777" w:rsidR="005B75C5" w:rsidRPr="003D44C0" w:rsidRDefault="005B75C5" w:rsidP="00B130EA">
      <w:pPr>
        <w:spacing w:after="0" w:line="276" w:lineRule="auto"/>
        <w:contextualSpacing/>
        <w:rPr>
          <w:rFonts w:ascii="Arial" w:eastAsia="Calibri" w:hAnsi="Arial" w:cs="Arial"/>
          <w:lang w:val="en-US"/>
        </w:rPr>
      </w:pPr>
    </w:p>
    <w:p w14:paraId="6B749E46" w14:textId="45BE72FC" w:rsidR="00420D3D" w:rsidRPr="003D44C0" w:rsidRDefault="0031165C" w:rsidP="00B130EA">
      <w:pPr>
        <w:spacing w:after="0" w:line="276" w:lineRule="auto"/>
        <w:contextualSpacing/>
        <w:rPr>
          <w:rFonts w:ascii="Arial" w:eastAsia="Calibri" w:hAnsi="Arial" w:cs="Arial"/>
          <w:lang w:val="en-US"/>
        </w:rPr>
      </w:pPr>
      <w:r w:rsidRPr="003D44C0">
        <w:rPr>
          <w:rFonts w:ascii="Arial" w:eastAsia="Calibri" w:hAnsi="Arial" w:cs="Arial"/>
          <w:noProof/>
          <w:lang w:val="en-US" w:eastAsia="el-GR"/>
        </w:rPr>
        <w:lastRenderedPageBreak/>
        <w:drawing>
          <wp:inline distT="0" distB="0" distL="0" distR="0" wp14:anchorId="364DFFE5" wp14:editId="1E9138F3">
            <wp:extent cx="5274310" cy="3956050"/>
            <wp:effectExtent l="0" t="0" r="2540" b="635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Διαφάνεια4.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73E8DC23" w14:textId="176C263B" w:rsidR="0007785D" w:rsidRPr="003D44C0" w:rsidRDefault="00420D3D" w:rsidP="00B130EA">
      <w:pPr>
        <w:spacing w:after="0" w:line="276" w:lineRule="auto"/>
        <w:contextualSpacing/>
        <w:rPr>
          <w:rFonts w:ascii="Arial" w:eastAsia="Calibri" w:hAnsi="Arial" w:cs="Arial"/>
          <w:b/>
          <w:bCs/>
          <w:lang w:val="en-US"/>
        </w:rPr>
      </w:pPr>
      <w:r w:rsidRPr="003D44C0">
        <w:rPr>
          <w:rFonts w:ascii="Arial" w:eastAsia="Calibri" w:hAnsi="Arial" w:cs="Arial"/>
          <w:b/>
          <w:lang w:val="en-US"/>
        </w:rPr>
        <w:t>Figure 4</w:t>
      </w:r>
      <w:r w:rsidR="00625B23" w:rsidRPr="003D44C0">
        <w:rPr>
          <w:rFonts w:ascii="Arial" w:eastAsia="Calibri" w:hAnsi="Arial" w:cs="Arial"/>
          <w:b/>
          <w:lang w:val="en-US"/>
        </w:rPr>
        <w:t>.</w:t>
      </w:r>
      <w:r w:rsidR="00E44299" w:rsidRPr="003D44C0">
        <w:rPr>
          <w:rFonts w:ascii="Arial" w:eastAsia="Calibri" w:hAnsi="Arial" w:cs="Arial"/>
          <w:lang w:val="en-US"/>
        </w:rPr>
        <w:t xml:space="preserve"> </w:t>
      </w:r>
      <w:r w:rsidR="00E44299" w:rsidRPr="003D44C0">
        <w:rPr>
          <w:rFonts w:ascii="Arial" w:eastAsia="Calibri" w:hAnsi="Arial" w:cs="Arial"/>
          <w:b/>
          <w:bCs/>
          <w:lang w:val="en-US"/>
        </w:rPr>
        <w:t>Pathophysiology of Chrousos syndrome.</w:t>
      </w:r>
      <w:r w:rsidR="006D72A8" w:rsidRPr="003D44C0">
        <w:rPr>
          <w:rFonts w:ascii="Arial" w:eastAsia="Calibri" w:hAnsi="Arial" w:cs="Arial"/>
          <w:b/>
          <w:bCs/>
          <w:lang w:val="en-US"/>
        </w:rPr>
        <w:t xml:space="preserve"> </w:t>
      </w:r>
      <w:r w:rsidR="003254C7" w:rsidRPr="003D44C0">
        <w:rPr>
          <w:rFonts w:ascii="Arial" w:eastAsia="Calibri" w:hAnsi="Arial" w:cs="Arial"/>
          <w:b/>
          <w:bCs/>
          <w:lang w:val="en-US"/>
        </w:rPr>
        <w:t>ACTH: adrenocorticotropic hormone; AVP: arginine-vasopressin; CRH: corticotropin-releasing hormone</w:t>
      </w:r>
      <w:r w:rsidR="005E3C1A" w:rsidRPr="003D44C0">
        <w:rPr>
          <w:rFonts w:ascii="Arial" w:eastAsia="Calibri" w:hAnsi="Arial" w:cs="Arial"/>
          <w:b/>
          <w:bCs/>
          <w:lang w:val="en-US"/>
        </w:rPr>
        <w:t>; mGR: mutated Glucocorticoid Receptor; POMC: Pro-opiomelanocortin; wtGR: wild-type Glucocorticoid Receptor</w:t>
      </w:r>
      <w:r w:rsidR="003254C7" w:rsidRPr="003D44C0">
        <w:rPr>
          <w:rFonts w:ascii="Arial" w:eastAsia="Calibri" w:hAnsi="Arial" w:cs="Arial"/>
          <w:b/>
          <w:bCs/>
          <w:lang w:val="en-US"/>
        </w:rPr>
        <w:t xml:space="preserve">. </w:t>
      </w:r>
    </w:p>
    <w:p w14:paraId="47521C88" w14:textId="77777777" w:rsidR="005B75C5" w:rsidRPr="003D44C0" w:rsidRDefault="005B75C5" w:rsidP="00B130EA">
      <w:pPr>
        <w:spacing w:after="0" w:line="276" w:lineRule="auto"/>
        <w:contextualSpacing/>
        <w:rPr>
          <w:rFonts w:ascii="Arial" w:eastAsia="Calibri" w:hAnsi="Arial" w:cs="Arial"/>
          <w:color w:val="FF0000"/>
          <w:lang w:val="en-US"/>
        </w:rPr>
      </w:pPr>
    </w:p>
    <w:p w14:paraId="341D63F3" w14:textId="77777777" w:rsidR="005B75C5" w:rsidRPr="003D44C0" w:rsidRDefault="005B75C5" w:rsidP="00B130EA">
      <w:pPr>
        <w:spacing w:after="0" w:line="276" w:lineRule="auto"/>
        <w:contextualSpacing/>
        <w:rPr>
          <w:rFonts w:ascii="Arial" w:eastAsia="Calibri" w:hAnsi="Arial" w:cs="Arial"/>
          <w:color w:val="00B050"/>
          <w:lang w:val="en-US"/>
        </w:rPr>
      </w:pPr>
      <w:r w:rsidRPr="003D44C0">
        <w:rPr>
          <w:rFonts w:ascii="Arial" w:eastAsia="Calibri" w:hAnsi="Arial" w:cs="Arial"/>
          <w:b/>
          <w:color w:val="00B050"/>
          <w:lang w:val="en-US"/>
        </w:rPr>
        <w:t>Syndromes of Cortisol Excess</w:t>
      </w:r>
    </w:p>
    <w:p w14:paraId="6690333F" w14:textId="77777777" w:rsidR="000E1B86" w:rsidRPr="003D44C0" w:rsidRDefault="000E1B86" w:rsidP="00B130EA">
      <w:pPr>
        <w:spacing w:after="0" w:line="276" w:lineRule="auto"/>
        <w:contextualSpacing/>
        <w:rPr>
          <w:rFonts w:ascii="Arial" w:eastAsia="Calibri" w:hAnsi="Arial" w:cs="Arial"/>
          <w:color w:val="00B050"/>
          <w:lang w:val="en-US"/>
        </w:rPr>
      </w:pPr>
    </w:p>
    <w:p w14:paraId="450AED26" w14:textId="1577C1EF" w:rsidR="000E1B86" w:rsidRPr="003D44C0" w:rsidRDefault="000E1B86" w:rsidP="00B130EA">
      <w:pPr>
        <w:spacing w:after="0" w:line="276" w:lineRule="auto"/>
        <w:contextualSpacing/>
        <w:rPr>
          <w:rFonts w:ascii="Arial" w:eastAsia="Calibri" w:hAnsi="Arial" w:cs="Arial"/>
          <w:lang w:val="en-US"/>
        </w:rPr>
      </w:pPr>
      <w:r w:rsidRPr="003D44C0">
        <w:rPr>
          <w:rFonts w:ascii="Arial" w:eastAsia="Calibri" w:hAnsi="Arial" w:cs="Arial"/>
          <w:lang w:val="en-US"/>
        </w:rPr>
        <w:t>The most common cause of Cushing’s in children and adolescents is chronic exogenous administration of synthetic glucocorticoids. As far as endogenous</w:t>
      </w:r>
      <w:r w:rsidR="007C7154" w:rsidRPr="003D44C0">
        <w:rPr>
          <w:rFonts w:ascii="Arial" w:eastAsia="Calibri" w:hAnsi="Arial" w:cs="Arial"/>
          <w:lang w:val="en-US"/>
        </w:rPr>
        <w:t xml:space="preserve"> causes</w:t>
      </w:r>
      <w:r w:rsidRPr="003D44C0">
        <w:rPr>
          <w:rFonts w:ascii="Arial" w:eastAsia="Calibri" w:hAnsi="Arial" w:cs="Arial"/>
          <w:lang w:val="en-US"/>
        </w:rPr>
        <w:t xml:space="preserve"> </w:t>
      </w:r>
      <w:r w:rsidR="00F46FB4" w:rsidRPr="003D44C0">
        <w:rPr>
          <w:rFonts w:ascii="Arial" w:eastAsia="Calibri" w:hAnsi="Arial" w:cs="Arial"/>
          <w:lang w:val="en-US"/>
        </w:rPr>
        <w:t>are</w:t>
      </w:r>
      <w:r w:rsidRPr="003D44C0">
        <w:rPr>
          <w:rFonts w:ascii="Arial" w:eastAsia="Calibri" w:hAnsi="Arial" w:cs="Arial"/>
          <w:lang w:val="en-US"/>
        </w:rPr>
        <w:t xml:space="preserve"> concerned, hypercortisolism may be ACTH-dependent (</w:t>
      </w:r>
      <w:r w:rsidR="007C7154" w:rsidRPr="003D44C0">
        <w:rPr>
          <w:rFonts w:ascii="Arial" w:eastAsia="Calibri" w:hAnsi="Arial" w:cs="Arial"/>
          <w:lang w:val="en-US"/>
        </w:rPr>
        <w:t xml:space="preserve">such as in </w:t>
      </w:r>
      <w:r w:rsidRPr="003D44C0">
        <w:rPr>
          <w:rFonts w:ascii="Arial" w:eastAsia="Calibri" w:hAnsi="Arial" w:cs="Arial"/>
          <w:lang w:val="en-US"/>
        </w:rPr>
        <w:t>Cushing’s disease</w:t>
      </w:r>
      <w:r w:rsidR="007C7154" w:rsidRPr="003D44C0">
        <w:rPr>
          <w:rFonts w:ascii="Arial" w:eastAsia="Calibri" w:hAnsi="Arial" w:cs="Arial"/>
          <w:lang w:val="en-US"/>
        </w:rPr>
        <w:t xml:space="preserve"> from pituitary tumors or ACTH-dependent Cushing syndrome from ectopic, non-pituitary tumors</w:t>
      </w:r>
      <w:r w:rsidRPr="003D44C0">
        <w:rPr>
          <w:rFonts w:ascii="Arial" w:eastAsia="Calibri" w:hAnsi="Arial" w:cs="Arial"/>
          <w:lang w:val="en-US"/>
        </w:rPr>
        <w:t>) or ACTH-independent (Cushing’s syndrome)</w:t>
      </w:r>
      <w:r w:rsidR="00176039" w:rsidRPr="003D44C0">
        <w:rPr>
          <w:rFonts w:ascii="Arial" w:eastAsia="Calibri" w:hAnsi="Arial" w:cs="Arial"/>
          <w:lang w:val="en-US"/>
        </w:rPr>
        <w:t xml:space="preserve"> (Figure 5)</w:t>
      </w:r>
      <w:r w:rsidRPr="003D44C0">
        <w:rPr>
          <w:rFonts w:ascii="Arial" w:eastAsia="Calibri" w:hAnsi="Arial" w:cs="Arial"/>
          <w:lang w:val="en-US"/>
        </w:rPr>
        <w:t xml:space="preserve"> (</w:t>
      </w:r>
      <w:r w:rsidR="002C1257" w:rsidRPr="003D44C0">
        <w:rPr>
          <w:rFonts w:ascii="Arial" w:eastAsia="Calibri" w:hAnsi="Arial" w:cs="Arial"/>
          <w:lang w:val="en-US"/>
        </w:rPr>
        <w:t>40</w:t>
      </w:r>
      <w:r w:rsidRPr="003D44C0">
        <w:rPr>
          <w:rFonts w:ascii="Arial" w:eastAsia="Calibri" w:hAnsi="Arial" w:cs="Arial"/>
          <w:lang w:val="en-US"/>
        </w:rPr>
        <w:t>).</w:t>
      </w:r>
      <w:r w:rsidR="00FF700B" w:rsidRPr="003D44C0">
        <w:rPr>
          <w:rFonts w:ascii="Arial" w:eastAsia="Calibri" w:hAnsi="Arial" w:cs="Arial"/>
          <w:lang w:val="en-US"/>
        </w:rPr>
        <w:t xml:space="preserve"> Hypertension in these patients might be attributed to several pathophysiological mechanisms</w:t>
      </w:r>
      <w:r w:rsidR="00936BA0" w:rsidRPr="003D44C0">
        <w:rPr>
          <w:rFonts w:ascii="Arial" w:eastAsia="Calibri" w:hAnsi="Arial" w:cs="Arial"/>
          <w:lang w:val="en-US"/>
        </w:rPr>
        <w:t xml:space="preserve"> that influence substantially peripheral vascular resistance, plasma volume, and cardiac output. </w:t>
      </w:r>
      <w:r w:rsidR="003D4251" w:rsidRPr="003D44C0">
        <w:rPr>
          <w:rFonts w:ascii="Arial" w:eastAsia="Calibri" w:hAnsi="Arial" w:cs="Arial"/>
          <w:lang w:val="en-US"/>
        </w:rPr>
        <w:t>Independently o</w:t>
      </w:r>
      <w:r w:rsidR="00275D51" w:rsidRPr="003D44C0">
        <w:rPr>
          <w:rFonts w:ascii="Arial" w:eastAsia="Calibri" w:hAnsi="Arial" w:cs="Arial"/>
          <w:lang w:val="en-US"/>
        </w:rPr>
        <w:t>f</w:t>
      </w:r>
      <w:r w:rsidR="003D4251" w:rsidRPr="003D44C0">
        <w:rPr>
          <w:rFonts w:ascii="Arial" w:eastAsia="Calibri" w:hAnsi="Arial" w:cs="Arial"/>
          <w:lang w:val="en-US"/>
        </w:rPr>
        <w:t xml:space="preserve"> etiology, </w:t>
      </w:r>
      <w:r w:rsidR="00D67773" w:rsidRPr="003D44C0">
        <w:rPr>
          <w:rFonts w:ascii="Arial" w:eastAsia="Calibri" w:hAnsi="Arial" w:cs="Arial"/>
          <w:lang w:val="en-US"/>
        </w:rPr>
        <w:t xml:space="preserve">11β-hydroxysteroid dehydrogenase type 2 </w:t>
      </w:r>
      <w:r w:rsidR="00D67773" w:rsidRPr="003D44C0">
        <w:rPr>
          <w:rFonts w:ascii="Arial" w:eastAsia="Calibri" w:hAnsi="Arial" w:cs="Arial"/>
          <w:lang w:val="en-US"/>
        </w:rPr>
        <w:t>(</w:t>
      </w:r>
      <w:r w:rsidR="003D4251" w:rsidRPr="003D44C0">
        <w:rPr>
          <w:rFonts w:ascii="Arial" w:eastAsia="Calibri" w:hAnsi="Arial" w:cs="Arial"/>
          <w:lang w:val="en-US"/>
        </w:rPr>
        <w:t>11HSD2</w:t>
      </w:r>
      <w:r w:rsidR="00D67773" w:rsidRPr="003D44C0">
        <w:rPr>
          <w:rFonts w:ascii="Arial" w:eastAsia="Calibri" w:hAnsi="Arial" w:cs="Arial"/>
          <w:lang w:val="en-US"/>
        </w:rPr>
        <w:t>)</w:t>
      </w:r>
      <w:r w:rsidR="003D4251" w:rsidRPr="003D44C0">
        <w:rPr>
          <w:rFonts w:ascii="Arial" w:eastAsia="Calibri" w:hAnsi="Arial" w:cs="Arial"/>
          <w:lang w:val="en-US"/>
        </w:rPr>
        <w:t xml:space="preserve"> is less capable </w:t>
      </w:r>
      <w:r w:rsidR="00D67773" w:rsidRPr="003D44C0">
        <w:rPr>
          <w:rFonts w:ascii="Arial" w:eastAsia="Calibri" w:hAnsi="Arial" w:cs="Arial"/>
          <w:lang w:val="en-US"/>
        </w:rPr>
        <w:t>of</w:t>
      </w:r>
      <w:r w:rsidR="003D4251" w:rsidRPr="003D44C0">
        <w:rPr>
          <w:rFonts w:ascii="Arial" w:eastAsia="Calibri" w:hAnsi="Arial" w:cs="Arial"/>
          <w:lang w:val="en-US"/>
        </w:rPr>
        <w:t xml:space="preserve"> convert</w:t>
      </w:r>
      <w:r w:rsidR="00D67773" w:rsidRPr="003D44C0">
        <w:rPr>
          <w:rFonts w:ascii="Arial" w:eastAsia="Calibri" w:hAnsi="Arial" w:cs="Arial"/>
          <w:lang w:val="en-US"/>
        </w:rPr>
        <w:t>ing</w:t>
      </w:r>
      <w:r w:rsidR="003D4251" w:rsidRPr="003D44C0">
        <w:rPr>
          <w:rFonts w:ascii="Arial" w:eastAsia="Calibri" w:hAnsi="Arial" w:cs="Arial"/>
          <w:lang w:val="en-US"/>
        </w:rPr>
        <w:t xml:space="preserve"> the active cortisol to the inactive cortisone; therefore, the increased cortisol </w:t>
      </w:r>
      <w:r w:rsidR="00D67773" w:rsidRPr="003D44C0">
        <w:rPr>
          <w:rFonts w:ascii="Arial" w:eastAsia="Calibri" w:hAnsi="Arial" w:cs="Arial"/>
          <w:lang w:val="en-US"/>
        </w:rPr>
        <w:t xml:space="preserve">in the renal tubules </w:t>
      </w:r>
      <w:r w:rsidR="003D4251" w:rsidRPr="003D44C0">
        <w:rPr>
          <w:rFonts w:ascii="Arial" w:eastAsia="Calibri" w:hAnsi="Arial" w:cs="Arial"/>
          <w:lang w:val="en-US"/>
        </w:rPr>
        <w:t xml:space="preserve">binds to the mineralocorticoid receptor and </w:t>
      </w:r>
      <w:r w:rsidR="002C1257" w:rsidRPr="003D44C0">
        <w:rPr>
          <w:rFonts w:ascii="Arial" w:eastAsia="Calibri" w:hAnsi="Arial" w:cs="Arial"/>
          <w:lang w:val="en-US"/>
        </w:rPr>
        <w:t>leads to hypertension (41</w:t>
      </w:r>
      <w:r w:rsidR="00405700" w:rsidRPr="003D44C0">
        <w:rPr>
          <w:rFonts w:ascii="Arial" w:eastAsia="Calibri" w:hAnsi="Arial" w:cs="Arial"/>
          <w:lang w:val="en-US"/>
        </w:rPr>
        <w:t>).</w:t>
      </w:r>
      <w:r w:rsidR="003D4251" w:rsidRPr="003D44C0">
        <w:rPr>
          <w:rFonts w:ascii="Arial" w:eastAsia="Calibri" w:hAnsi="Arial" w:cs="Arial"/>
          <w:lang w:val="en-US"/>
        </w:rPr>
        <w:t xml:space="preserve"> </w:t>
      </w:r>
      <w:r w:rsidR="00FF700B" w:rsidRPr="003D44C0">
        <w:rPr>
          <w:rFonts w:ascii="Arial" w:eastAsia="Calibri" w:hAnsi="Arial" w:cs="Arial"/>
          <w:lang w:val="en-US"/>
        </w:rPr>
        <w:t xml:space="preserve"> </w:t>
      </w:r>
    </w:p>
    <w:p w14:paraId="4F38AEE9" w14:textId="77777777" w:rsidR="005B75C5" w:rsidRPr="003D44C0" w:rsidRDefault="005B75C5" w:rsidP="00B130EA">
      <w:pPr>
        <w:spacing w:after="0" w:line="276" w:lineRule="auto"/>
        <w:contextualSpacing/>
        <w:rPr>
          <w:rFonts w:ascii="Arial" w:eastAsia="Calibri" w:hAnsi="Arial" w:cs="Arial"/>
          <w:color w:val="00B050"/>
          <w:lang w:val="en-US"/>
        </w:rPr>
      </w:pPr>
    </w:p>
    <w:p w14:paraId="4C9AEDE5" w14:textId="77777777" w:rsidR="005B75C5" w:rsidRPr="003D44C0" w:rsidRDefault="00753C78" w:rsidP="00B130EA">
      <w:pPr>
        <w:spacing w:after="0" w:line="276" w:lineRule="auto"/>
        <w:contextualSpacing/>
        <w:rPr>
          <w:rFonts w:ascii="Arial" w:eastAsia="Calibri" w:hAnsi="Arial" w:cs="Arial"/>
          <w:color w:val="FF0000"/>
          <w:lang w:val="en-US"/>
        </w:rPr>
      </w:pPr>
      <w:r w:rsidRPr="003D44C0">
        <w:rPr>
          <w:rFonts w:ascii="Arial" w:eastAsia="Calibri" w:hAnsi="Arial" w:cs="Arial"/>
          <w:color w:val="FF0000"/>
          <w:lang w:val="en-US"/>
        </w:rPr>
        <w:t>ACTH-DEPENDENT CUSHING</w:t>
      </w:r>
      <w:r w:rsidR="0075046B" w:rsidRPr="003D44C0">
        <w:rPr>
          <w:rFonts w:ascii="Arial" w:eastAsia="Calibri" w:hAnsi="Arial" w:cs="Arial"/>
          <w:color w:val="FF0000"/>
          <w:lang w:val="en-US"/>
        </w:rPr>
        <w:t>’S</w:t>
      </w:r>
      <w:r w:rsidRPr="003D44C0">
        <w:rPr>
          <w:rFonts w:ascii="Arial" w:eastAsia="Calibri" w:hAnsi="Arial" w:cs="Arial"/>
          <w:color w:val="FF0000"/>
          <w:lang w:val="en-US"/>
        </w:rPr>
        <w:t xml:space="preserve"> SYNDROME OR </w:t>
      </w:r>
      <w:r w:rsidR="005B75C5" w:rsidRPr="003D44C0">
        <w:rPr>
          <w:rFonts w:ascii="Arial" w:eastAsia="Calibri" w:hAnsi="Arial" w:cs="Arial"/>
          <w:color w:val="FF0000"/>
          <w:lang w:val="en-US"/>
        </w:rPr>
        <w:t>CUSHING’S DISEASE</w:t>
      </w:r>
    </w:p>
    <w:p w14:paraId="6EA54E71" w14:textId="77777777" w:rsidR="005B75C5" w:rsidRPr="003D44C0" w:rsidRDefault="005B75C5" w:rsidP="00B130EA">
      <w:pPr>
        <w:spacing w:after="0" w:line="276" w:lineRule="auto"/>
        <w:contextualSpacing/>
        <w:rPr>
          <w:rFonts w:ascii="Arial" w:eastAsia="Calibri" w:hAnsi="Arial" w:cs="Arial"/>
          <w:color w:val="FF0000"/>
          <w:lang w:val="en-US"/>
        </w:rPr>
      </w:pPr>
    </w:p>
    <w:p w14:paraId="56BF469A" w14:textId="577E9735" w:rsidR="005B75C5" w:rsidRPr="003D44C0" w:rsidRDefault="00CA5D4E" w:rsidP="00B130EA">
      <w:pPr>
        <w:spacing w:after="0" w:line="276" w:lineRule="auto"/>
        <w:contextualSpacing/>
        <w:rPr>
          <w:rFonts w:ascii="Arial" w:eastAsia="Calibri" w:hAnsi="Arial" w:cs="Arial"/>
          <w:lang w:val="en-US"/>
        </w:rPr>
      </w:pPr>
      <w:r w:rsidRPr="003D44C0">
        <w:rPr>
          <w:rFonts w:ascii="Arial" w:eastAsia="Calibri" w:hAnsi="Arial" w:cs="Arial"/>
          <w:lang w:val="en-US"/>
        </w:rPr>
        <w:t xml:space="preserve">Cushing’s disease </w:t>
      </w:r>
      <w:r w:rsidR="00D538FB" w:rsidRPr="003D44C0">
        <w:rPr>
          <w:rFonts w:ascii="Arial" w:eastAsia="Calibri" w:hAnsi="Arial" w:cs="Arial"/>
          <w:lang w:val="en-US"/>
        </w:rPr>
        <w:t>remains the most common cause of endogenous hypercortisolism in children aged more than five years and adolescents</w:t>
      </w:r>
      <w:r w:rsidR="00ED2B5D" w:rsidRPr="003D44C0">
        <w:rPr>
          <w:rFonts w:ascii="Arial" w:eastAsia="Calibri" w:hAnsi="Arial" w:cs="Arial"/>
          <w:lang w:val="en-US"/>
        </w:rPr>
        <w:t xml:space="preserve"> (42, 43</w:t>
      </w:r>
      <w:r w:rsidR="00B17790" w:rsidRPr="003D44C0">
        <w:rPr>
          <w:rFonts w:ascii="Arial" w:eastAsia="Calibri" w:hAnsi="Arial" w:cs="Arial"/>
          <w:lang w:val="en-US"/>
        </w:rPr>
        <w:t>)</w:t>
      </w:r>
      <w:r w:rsidR="00D538FB" w:rsidRPr="003D44C0">
        <w:rPr>
          <w:rFonts w:ascii="Arial" w:eastAsia="Calibri" w:hAnsi="Arial" w:cs="Arial"/>
          <w:lang w:val="en-US"/>
        </w:rPr>
        <w:t xml:space="preserve">. </w:t>
      </w:r>
      <w:r w:rsidR="00061048" w:rsidRPr="003D44C0">
        <w:rPr>
          <w:rFonts w:ascii="Arial" w:eastAsia="Calibri" w:hAnsi="Arial" w:cs="Arial"/>
          <w:lang w:val="en-US"/>
        </w:rPr>
        <w:t xml:space="preserve">Usually, an ACTH-producing </w:t>
      </w:r>
      <w:r w:rsidR="000C6AEA" w:rsidRPr="003D44C0">
        <w:rPr>
          <w:rFonts w:ascii="Arial" w:eastAsia="Calibri" w:hAnsi="Arial" w:cs="Arial"/>
          <w:lang w:val="en-US"/>
        </w:rPr>
        <w:t xml:space="preserve">corticotroph pituitary neuroendocrine tumor (PitNET) also termed as pituitary adenoma, </w:t>
      </w:r>
      <w:r w:rsidR="00061048" w:rsidRPr="003D44C0">
        <w:rPr>
          <w:rFonts w:ascii="Arial" w:eastAsia="Calibri" w:hAnsi="Arial" w:cs="Arial"/>
          <w:lang w:val="en-US"/>
        </w:rPr>
        <w:t xml:space="preserve">leads to increased biosynthesis and secretion of cortisol </w:t>
      </w:r>
      <w:r w:rsidR="00C9155D" w:rsidRPr="003D44C0">
        <w:rPr>
          <w:rFonts w:ascii="Arial" w:eastAsia="Calibri" w:hAnsi="Arial" w:cs="Arial"/>
          <w:lang w:val="en-US"/>
        </w:rPr>
        <w:t xml:space="preserve">by </w:t>
      </w:r>
      <w:r w:rsidR="00C9155D" w:rsidRPr="003D44C0">
        <w:rPr>
          <w:rFonts w:ascii="Arial" w:eastAsia="Calibri" w:hAnsi="Arial" w:cs="Arial"/>
          <w:i/>
          <w:lang w:val="en-US"/>
        </w:rPr>
        <w:t xml:space="preserve">zona fasciculata </w:t>
      </w:r>
      <w:r w:rsidR="00061048" w:rsidRPr="003D44C0">
        <w:rPr>
          <w:rFonts w:ascii="Arial" w:eastAsia="Calibri" w:hAnsi="Arial" w:cs="Arial"/>
          <w:lang w:val="en-US"/>
        </w:rPr>
        <w:t>and adrenal androgens</w:t>
      </w:r>
      <w:r w:rsidR="00C9155D" w:rsidRPr="003D44C0">
        <w:rPr>
          <w:rFonts w:ascii="Arial" w:eastAsia="Calibri" w:hAnsi="Arial" w:cs="Arial"/>
          <w:lang w:val="en-US"/>
        </w:rPr>
        <w:t xml:space="preserve"> by </w:t>
      </w:r>
      <w:r w:rsidR="00C9155D" w:rsidRPr="003D44C0">
        <w:rPr>
          <w:rFonts w:ascii="Arial" w:eastAsia="Calibri" w:hAnsi="Arial" w:cs="Arial"/>
          <w:i/>
          <w:lang w:val="en-US"/>
        </w:rPr>
        <w:t>zona reticularis</w:t>
      </w:r>
      <w:r w:rsidR="00053BEE" w:rsidRPr="003D44C0">
        <w:rPr>
          <w:rFonts w:ascii="Arial" w:eastAsia="Calibri" w:hAnsi="Arial" w:cs="Arial"/>
          <w:i/>
          <w:lang w:val="en-US"/>
        </w:rPr>
        <w:t xml:space="preserve"> </w:t>
      </w:r>
      <w:r w:rsidR="00053BEE" w:rsidRPr="003D44C0">
        <w:rPr>
          <w:rFonts w:ascii="Arial" w:eastAsia="Calibri" w:hAnsi="Arial" w:cs="Arial"/>
          <w:lang w:val="en-US"/>
        </w:rPr>
        <w:t>(</w:t>
      </w:r>
      <w:r w:rsidR="001A0EAA" w:rsidRPr="003D44C0">
        <w:rPr>
          <w:rFonts w:ascii="Arial" w:eastAsia="Calibri" w:hAnsi="Arial" w:cs="Arial"/>
          <w:lang w:val="en-US"/>
        </w:rPr>
        <w:t>44</w:t>
      </w:r>
      <w:r w:rsidR="00053BEE" w:rsidRPr="003D44C0">
        <w:rPr>
          <w:rFonts w:ascii="Arial" w:eastAsia="Calibri" w:hAnsi="Arial" w:cs="Arial"/>
          <w:lang w:val="en-US"/>
        </w:rPr>
        <w:t>)</w:t>
      </w:r>
      <w:r w:rsidR="00061048" w:rsidRPr="003D44C0">
        <w:rPr>
          <w:rFonts w:ascii="Arial" w:eastAsia="Calibri" w:hAnsi="Arial" w:cs="Arial"/>
          <w:lang w:val="en-US"/>
        </w:rPr>
        <w:t xml:space="preserve">. </w:t>
      </w:r>
      <w:r w:rsidR="00B17790" w:rsidRPr="003D44C0">
        <w:rPr>
          <w:rFonts w:ascii="Arial" w:eastAsia="Calibri" w:hAnsi="Arial" w:cs="Arial"/>
          <w:lang w:val="en-US"/>
        </w:rPr>
        <w:t xml:space="preserve">Hyperandrogenism (testosterone, Δ4-androstenedione, DHEAS) results in virilization with pseudo precocious puberty. Hypokalemic hypertension is </w:t>
      </w:r>
      <w:r w:rsidR="00B17790" w:rsidRPr="003D44C0">
        <w:rPr>
          <w:rFonts w:ascii="Arial" w:eastAsia="Calibri" w:hAnsi="Arial" w:cs="Arial"/>
          <w:lang w:val="en-US"/>
        </w:rPr>
        <w:lastRenderedPageBreak/>
        <w:t>caused by the saturation of renal 11HSD2 due to increased cortisol concentrations.</w:t>
      </w:r>
      <w:r w:rsidR="000C6AEA" w:rsidRPr="003D44C0">
        <w:rPr>
          <w:rFonts w:ascii="Arial" w:eastAsia="Calibri" w:hAnsi="Arial" w:cs="Arial"/>
          <w:lang w:val="en-US"/>
        </w:rPr>
        <w:t xml:space="preserve"> Another cause of </w:t>
      </w:r>
      <w:r w:rsidR="00DB58EC" w:rsidRPr="003D44C0">
        <w:rPr>
          <w:rFonts w:ascii="Arial" w:eastAsia="Calibri" w:hAnsi="Arial" w:cs="Arial"/>
          <w:lang w:val="en-US"/>
        </w:rPr>
        <w:t>ACTH dependent Cushing</w:t>
      </w:r>
      <w:r w:rsidR="002F372F" w:rsidRPr="003D44C0">
        <w:rPr>
          <w:rFonts w:ascii="Arial" w:eastAsia="Calibri" w:hAnsi="Arial" w:cs="Arial"/>
          <w:lang w:val="en-US"/>
        </w:rPr>
        <w:t>’s syndrome</w:t>
      </w:r>
      <w:r w:rsidR="000C6AEA" w:rsidRPr="003D44C0">
        <w:rPr>
          <w:rFonts w:ascii="Arial" w:eastAsia="Calibri" w:hAnsi="Arial" w:cs="Arial"/>
          <w:lang w:val="en-US"/>
        </w:rPr>
        <w:t xml:space="preserve"> </w:t>
      </w:r>
      <w:r w:rsidR="002F372F" w:rsidRPr="003D44C0">
        <w:rPr>
          <w:rFonts w:ascii="Arial" w:eastAsia="Calibri" w:hAnsi="Arial" w:cs="Arial"/>
          <w:lang w:val="en-US"/>
        </w:rPr>
        <w:t>is</w:t>
      </w:r>
      <w:r w:rsidR="000C6AEA" w:rsidRPr="003D44C0">
        <w:rPr>
          <w:rFonts w:ascii="Arial" w:eastAsia="Calibri" w:hAnsi="Arial" w:cs="Arial"/>
          <w:lang w:val="en-US"/>
        </w:rPr>
        <w:t xml:space="preserve"> the ectopic production and release of ACTH by carcinoid tumors in the thymus, bronchus, or pancreas; medullary carcinomas of the thyroid, small cell carcinoma of the lung, pheochromocytomas or other neuroendocrine tumors</w:t>
      </w:r>
      <w:r w:rsidR="00053BEE" w:rsidRPr="003D44C0">
        <w:rPr>
          <w:rFonts w:ascii="Arial" w:eastAsia="Calibri" w:hAnsi="Arial" w:cs="Arial"/>
          <w:lang w:val="en-US"/>
        </w:rPr>
        <w:t xml:space="preserve"> (</w:t>
      </w:r>
      <w:r w:rsidR="00A92718" w:rsidRPr="003D44C0">
        <w:rPr>
          <w:rFonts w:ascii="Arial" w:eastAsia="Calibri" w:hAnsi="Arial" w:cs="Arial"/>
          <w:lang w:val="en-US"/>
        </w:rPr>
        <w:t>45</w:t>
      </w:r>
      <w:r w:rsidR="00053BEE" w:rsidRPr="003D44C0">
        <w:rPr>
          <w:rFonts w:ascii="Arial" w:eastAsia="Calibri" w:hAnsi="Arial" w:cs="Arial"/>
          <w:lang w:val="en-US"/>
        </w:rPr>
        <w:t>)</w:t>
      </w:r>
      <w:r w:rsidR="000C6AEA" w:rsidRPr="003D44C0">
        <w:rPr>
          <w:rFonts w:ascii="Arial" w:eastAsia="Calibri" w:hAnsi="Arial" w:cs="Arial"/>
          <w:lang w:val="en-US"/>
        </w:rPr>
        <w:t>. Finally, pituitary blastomas, although extremely rare</w:t>
      </w:r>
      <w:r w:rsidR="00053BEE" w:rsidRPr="003D44C0">
        <w:rPr>
          <w:rFonts w:ascii="Arial" w:eastAsia="Calibri" w:hAnsi="Arial" w:cs="Arial"/>
          <w:lang w:val="en-US"/>
        </w:rPr>
        <w:t>, represent a cause of Cushing’s disease in infants (</w:t>
      </w:r>
      <w:r w:rsidR="006A4AA6" w:rsidRPr="003D44C0">
        <w:rPr>
          <w:rFonts w:ascii="Arial" w:eastAsia="Calibri" w:hAnsi="Arial" w:cs="Arial"/>
          <w:lang w:val="en-US"/>
        </w:rPr>
        <w:t>46</w:t>
      </w:r>
      <w:r w:rsidR="00053BEE" w:rsidRPr="003D44C0">
        <w:rPr>
          <w:rFonts w:ascii="Arial" w:eastAsia="Calibri" w:hAnsi="Arial" w:cs="Arial"/>
          <w:lang w:val="en-US"/>
        </w:rPr>
        <w:t>).</w:t>
      </w:r>
      <w:r w:rsidR="00B17790" w:rsidRPr="003D44C0">
        <w:rPr>
          <w:rFonts w:ascii="Arial" w:eastAsia="Calibri" w:hAnsi="Arial" w:cs="Arial"/>
          <w:lang w:val="en-US"/>
        </w:rPr>
        <w:t xml:space="preserve"> The recommended therapy in patients with Cushing’s disease is transsphenoidal surgical excision of the adenoma with cure reaching the percentage of </w:t>
      </w:r>
      <w:r w:rsidR="007C7154" w:rsidRPr="003D44C0">
        <w:rPr>
          <w:rFonts w:ascii="Arial" w:eastAsia="Calibri" w:hAnsi="Arial" w:cs="Arial"/>
          <w:lang w:val="en-US"/>
        </w:rPr>
        <w:t xml:space="preserve">more than </w:t>
      </w:r>
      <w:r w:rsidR="00B17790" w:rsidRPr="003D44C0">
        <w:rPr>
          <w:rFonts w:ascii="Arial" w:eastAsia="Calibri" w:hAnsi="Arial" w:cs="Arial"/>
          <w:lang w:val="en-US"/>
        </w:rPr>
        <w:t>75% in h</w:t>
      </w:r>
      <w:r w:rsidR="006B78EF" w:rsidRPr="003D44C0">
        <w:rPr>
          <w:rFonts w:ascii="Arial" w:eastAsia="Calibri" w:hAnsi="Arial" w:cs="Arial"/>
          <w:lang w:val="en-US"/>
        </w:rPr>
        <w:t>ands of</w:t>
      </w:r>
      <w:r w:rsidR="005823A8" w:rsidRPr="003D44C0">
        <w:rPr>
          <w:rFonts w:ascii="Arial" w:eastAsia="Calibri" w:hAnsi="Arial" w:cs="Arial"/>
          <w:lang w:val="en-US"/>
        </w:rPr>
        <w:t xml:space="preserve"> high-volume surgeons (47</w:t>
      </w:r>
      <w:r w:rsidR="00B17790" w:rsidRPr="003D44C0">
        <w:rPr>
          <w:rFonts w:ascii="Arial" w:eastAsia="Calibri" w:hAnsi="Arial" w:cs="Arial"/>
          <w:lang w:val="en-US"/>
        </w:rPr>
        <w:t xml:space="preserve">). </w:t>
      </w:r>
      <w:r w:rsidR="007C7154" w:rsidRPr="003D44C0">
        <w:rPr>
          <w:rFonts w:ascii="Arial" w:eastAsia="Calibri" w:hAnsi="Arial" w:cs="Arial"/>
          <w:lang w:val="en-US"/>
        </w:rPr>
        <w:t>Up to 30% of</w:t>
      </w:r>
      <w:r w:rsidR="00B17790" w:rsidRPr="003D44C0">
        <w:rPr>
          <w:rFonts w:ascii="Arial" w:eastAsia="Calibri" w:hAnsi="Arial" w:cs="Arial"/>
          <w:lang w:val="en-US"/>
        </w:rPr>
        <w:t xml:space="preserve"> ACTH-producing pituitary adenomas</w:t>
      </w:r>
      <w:r w:rsidR="007C7154" w:rsidRPr="003D44C0">
        <w:rPr>
          <w:rFonts w:ascii="Arial" w:eastAsia="Calibri" w:hAnsi="Arial" w:cs="Arial"/>
          <w:lang w:val="en-US"/>
        </w:rPr>
        <w:t xml:space="preserve"> in children</w:t>
      </w:r>
      <w:r w:rsidR="00B17790" w:rsidRPr="003D44C0">
        <w:rPr>
          <w:rFonts w:ascii="Arial" w:eastAsia="Calibri" w:hAnsi="Arial" w:cs="Arial"/>
          <w:lang w:val="en-US"/>
        </w:rPr>
        <w:t xml:space="preserve"> </w:t>
      </w:r>
      <w:r w:rsidR="007C7154" w:rsidRPr="003D44C0">
        <w:rPr>
          <w:rFonts w:ascii="Arial" w:eastAsia="Calibri" w:hAnsi="Arial" w:cs="Arial"/>
          <w:lang w:val="en-US"/>
        </w:rPr>
        <w:t xml:space="preserve">harbor somatic “hot-spot” mutations </w:t>
      </w:r>
      <w:r w:rsidR="00B17790" w:rsidRPr="003D44C0">
        <w:rPr>
          <w:rFonts w:ascii="Arial" w:eastAsia="Calibri" w:hAnsi="Arial" w:cs="Arial"/>
          <w:lang w:val="en-US"/>
        </w:rPr>
        <w:t>in</w:t>
      </w:r>
      <w:r w:rsidR="007C7154" w:rsidRPr="003D44C0">
        <w:rPr>
          <w:rFonts w:ascii="Arial" w:eastAsia="Calibri" w:hAnsi="Arial" w:cs="Arial"/>
          <w:lang w:val="en-US"/>
        </w:rPr>
        <w:t xml:space="preserve"> the</w:t>
      </w:r>
      <w:r w:rsidR="00B17790" w:rsidRPr="003D44C0">
        <w:rPr>
          <w:rFonts w:ascii="Arial" w:eastAsia="Calibri" w:hAnsi="Arial" w:cs="Arial"/>
          <w:lang w:val="en-US"/>
        </w:rPr>
        <w:t xml:space="preserve"> </w:t>
      </w:r>
      <w:r w:rsidR="00A55AA2" w:rsidRPr="003D44C0">
        <w:rPr>
          <w:rFonts w:ascii="Arial" w:eastAsia="Calibri" w:hAnsi="Arial" w:cs="Arial"/>
          <w:i/>
          <w:lang w:val="en-US"/>
        </w:rPr>
        <w:t xml:space="preserve">USP8 </w:t>
      </w:r>
      <w:r w:rsidR="009265A1" w:rsidRPr="003D44C0">
        <w:rPr>
          <w:rFonts w:ascii="Arial" w:eastAsia="Calibri" w:hAnsi="Arial" w:cs="Arial"/>
          <w:lang w:val="en-US"/>
        </w:rPr>
        <w:t>gene that encodes</w:t>
      </w:r>
      <w:r w:rsidR="002C0637" w:rsidRPr="003D44C0">
        <w:rPr>
          <w:rFonts w:ascii="Arial" w:hAnsi="Arial" w:cs="Arial"/>
          <w:lang w:val="en-US"/>
        </w:rPr>
        <w:t xml:space="preserve"> </w:t>
      </w:r>
      <w:r w:rsidR="00D60696" w:rsidRPr="003D44C0">
        <w:rPr>
          <w:rFonts w:ascii="Arial" w:hAnsi="Arial" w:cs="Arial"/>
          <w:lang w:val="en-US"/>
        </w:rPr>
        <w:t xml:space="preserve">for </w:t>
      </w:r>
      <w:r w:rsidR="002C0637" w:rsidRPr="003D44C0">
        <w:rPr>
          <w:rFonts w:ascii="Arial" w:eastAsia="Calibri" w:hAnsi="Arial" w:cs="Arial"/>
          <w:lang w:val="en-US"/>
        </w:rPr>
        <w:t>the ubiquitin-specific protease 8</w:t>
      </w:r>
      <w:r w:rsidR="00176039" w:rsidRPr="003D44C0">
        <w:rPr>
          <w:rFonts w:ascii="Arial" w:eastAsia="Calibri" w:hAnsi="Arial" w:cs="Arial"/>
          <w:lang w:val="en-US"/>
        </w:rPr>
        <w:t xml:space="preserve"> (Figure 5)</w:t>
      </w:r>
      <w:r w:rsidR="007C7154" w:rsidRPr="003D44C0">
        <w:rPr>
          <w:rFonts w:ascii="Arial" w:eastAsia="Calibri" w:hAnsi="Arial" w:cs="Arial"/>
          <w:lang w:val="en-US"/>
        </w:rPr>
        <w:t xml:space="preserve"> which may lead to targeted medical therapies in the future</w:t>
      </w:r>
      <w:r w:rsidR="005823A8" w:rsidRPr="003D44C0">
        <w:rPr>
          <w:rFonts w:ascii="Arial" w:eastAsia="Calibri" w:hAnsi="Arial" w:cs="Arial"/>
          <w:lang w:val="en-US"/>
        </w:rPr>
        <w:t xml:space="preserve"> (48, 49</w:t>
      </w:r>
      <w:r w:rsidR="00A55AA2" w:rsidRPr="003D44C0">
        <w:rPr>
          <w:rFonts w:ascii="Arial" w:eastAsia="Calibri" w:hAnsi="Arial" w:cs="Arial"/>
          <w:lang w:val="en-US"/>
        </w:rPr>
        <w:t>).</w:t>
      </w:r>
      <w:r w:rsidR="00061048" w:rsidRPr="003D44C0">
        <w:rPr>
          <w:rFonts w:ascii="Arial" w:eastAsia="Calibri" w:hAnsi="Arial" w:cs="Arial"/>
          <w:lang w:val="en-US"/>
        </w:rPr>
        <w:t xml:space="preserve"> </w:t>
      </w:r>
    </w:p>
    <w:p w14:paraId="03045E09" w14:textId="77777777" w:rsidR="005B75C5" w:rsidRPr="003D44C0" w:rsidRDefault="005B75C5" w:rsidP="00B130EA">
      <w:pPr>
        <w:spacing w:after="0" w:line="276" w:lineRule="auto"/>
        <w:contextualSpacing/>
        <w:rPr>
          <w:rFonts w:ascii="Arial" w:eastAsia="Calibri" w:hAnsi="Arial" w:cs="Arial"/>
          <w:color w:val="FF0000"/>
          <w:lang w:val="en-US"/>
        </w:rPr>
      </w:pPr>
    </w:p>
    <w:p w14:paraId="59983BCF" w14:textId="77777777" w:rsidR="005B75C5" w:rsidRPr="003D44C0" w:rsidRDefault="0075046B" w:rsidP="00B130EA">
      <w:pPr>
        <w:spacing w:after="0" w:line="276" w:lineRule="auto"/>
        <w:contextualSpacing/>
        <w:rPr>
          <w:rFonts w:ascii="Arial" w:eastAsia="Calibri" w:hAnsi="Arial" w:cs="Arial"/>
          <w:color w:val="FF0000"/>
          <w:lang w:val="en-US"/>
        </w:rPr>
      </w:pPr>
      <w:r w:rsidRPr="003D44C0">
        <w:rPr>
          <w:rFonts w:ascii="Arial" w:eastAsia="Calibri" w:hAnsi="Arial" w:cs="Arial"/>
          <w:color w:val="FF0000"/>
          <w:lang w:val="en-US"/>
        </w:rPr>
        <w:t xml:space="preserve">ACTH-INDEPENDENT </w:t>
      </w:r>
      <w:r w:rsidR="005B75C5" w:rsidRPr="003D44C0">
        <w:rPr>
          <w:rFonts w:ascii="Arial" w:eastAsia="Calibri" w:hAnsi="Arial" w:cs="Arial"/>
          <w:color w:val="FF0000"/>
          <w:lang w:val="en-US"/>
        </w:rPr>
        <w:t>CUSHING’S SYNDROME</w:t>
      </w:r>
    </w:p>
    <w:p w14:paraId="403B6B6A" w14:textId="77777777" w:rsidR="005B75C5" w:rsidRPr="003D44C0" w:rsidRDefault="005B75C5" w:rsidP="00B130EA">
      <w:pPr>
        <w:spacing w:after="0" w:line="276" w:lineRule="auto"/>
        <w:contextualSpacing/>
        <w:rPr>
          <w:rFonts w:ascii="Arial" w:eastAsia="Calibri" w:hAnsi="Arial" w:cs="Arial"/>
          <w:color w:val="FF0000"/>
          <w:lang w:val="en-US"/>
        </w:rPr>
      </w:pPr>
    </w:p>
    <w:p w14:paraId="42948B9D" w14:textId="58EC4F6F" w:rsidR="006B1399" w:rsidRPr="003D44C0" w:rsidRDefault="004179A3" w:rsidP="00B130EA">
      <w:pPr>
        <w:spacing w:after="0" w:line="276" w:lineRule="auto"/>
        <w:contextualSpacing/>
        <w:rPr>
          <w:rFonts w:ascii="Arial" w:eastAsia="Calibri" w:hAnsi="Arial" w:cs="Arial"/>
          <w:color w:val="000000" w:themeColor="text1"/>
          <w:lang w:val="en-US"/>
        </w:rPr>
      </w:pPr>
      <w:r w:rsidRPr="003D44C0">
        <w:rPr>
          <w:rFonts w:ascii="Arial" w:eastAsia="Calibri" w:hAnsi="Arial" w:cs="Arial"/>
          <w:color w:val="000000" w:themeColor="text1"/>
          <w:lang w:val="en-US"/>
        </w:rPr>
        <w:t xml:space="preserve">Cushing’s syndrome in childhood and </w:t>
      </w:r>
      <w:r w:rsidR="000D1A7F" w:rsidRPr="003D44C0">
        <w:rPr>
          <w:rFonts w:ascii="Arial" w:eastAsia="Calibri" w:hAnsi="Arial" w:cs="Arial"/>
          <w:color w:val="000000" w:themeColor="text1"/>
          <w:lang w:val="en-US"/>
        </w:rPr>
        <w:t>adolescence</w:t>
      </w:r>
      <w:r w:rsidR="009E4B20" w:rsidRPr="003D44C0">
        <w:rPr>
          <w:rFonts w:ascii="Arial" w:eastAsia="Calibri" w:hAnsi="Arial" w:cs="Arial"/>
          <w:color w:val="000000" w:themeColor="text1"/>
          <w:lang w:val="en-US"/>
        </w:rPr>
        <w:t xml:space="preserve"> is c</w:t>
      </w:r>
      <w:r w:rsidR="007F528B" w:rsidRPr="003D44C0">
        <w:rPr>
          <w:rFonts w:ascii="Arial" w:eastAsia="Calibri" w:hAnsi="Arial" w:cs="Arial"/>
          <w:color w:val="000000" w:themeColor="text1"/>
          <w:lang w:val="en-US"/>
        </w:rPr>
        <w:t>aused</w:t>
      </w:r>
      <w:r w:rsidR="009E4B20" w:rsidRPr="003D44C0">
        <w:rPr>
          <w:rFonts w:ascii="Arial" w:eastAsia="Calibri" w:hAnsi="Arial" w:cs="Arial"/>
          <w:color w:val="000000" w:themeColor="text1"/>
          <w:lang w:val="en-US"/>
        </w:rPr>
        <w:t xml:space="preserve"> by autonomous (ACTH-independent) secretion of cortisol by the adrenal cortex</w:t>
      </w:r>
      <w:r w:rsidR="007F528B" w:rsidRPr="003D44C0">
        <w:rPr>
          <w:rFonts w:ascii="Arial" w:eastAsia="Calibri" w:hAnsi="Arial" w:cs="Arial"/>
          <w:color w:val="000000" w:themeColor="text1"/>
          <w:lang w:val="en-US"/>
        </w:rPr>
        <w:t xml:space="preserve"> </w:t>
      </w:r>
      <w:r w:rsidR="007F528B" w:rsidRPr="003D44C0">
        <w:rPr>
          <w:rFonts w:ascii="Arial" w:eastAsia="Calibri" w:hAnsi="Arial" w:cs="Arial"/>
          <w:color w:val="000000" w:themeColor="text1"/>
          <w:lang w:val="en-US"/>
        </w:rPr>
        <w:t>is an extremely rare condition</w:t>
      </w:r>
      <w:r w:rsidR="00343DCF" w:rsidRPr="003D44C0">
        <w:rPr>
          <w:rFonts w:ascii="Arial" w:eastAsia="Calibri" w:hAnsi="Arial" w:cs="Arial"/>
          <w:color w:val="000000" w:themeColor="text1"/>
          <w:lang w:val="en-US"/>
        </w:rPr>
        <w:t xml:space="preserve">. It accounts for 10%-15% of hypercortisolemia </w:t>
      </w:r>
      <w:r w:rsidR="0084771E" w:rsidRPr="003D44C0">
        <w:rPr>
          <w:rFonts w:ascii="Arial" w:eastAsia="Calibri" w:hAnsi="Arial" w:cs="Arial"/>
          <w:color w:val="000000" w:themeColor="text1"/>
          <w:lang w:val="en-US"/>
        </w:rPr>
        <w:t xml:space="preserve">and is caused by </w:t>
      </w:r>
      <w:r w:rsidR="003648CF" w:rsidRPr="003D44C0">
        <w:rPr>
          <w:rFonts w:ascii="Arial" w:eastAsia="Calibri" w:hAnsi="Arial" w:cs="Arial"/>
          <w:color w:val="000000" w:themeColor="text1"/>
          <w:lang w:val="en-US"/>
        </w:rPr>
        <w:t>unilateral adrenal lesions, including adrenocortical adenomas or carcinomas (discussed below), or bilateral adrenocortical disorders (50).</w:t>
      </w:r>
      <w:r w:rsidR="00C26EFE" w:rsidRPr="003D44C0">
        <w:rPr>
          <w:rFonts w:ascii="Arial" w:eastAsia="Calibri" w:hAnsi="Arial" w:cs="Arial"/>
          <w:color w:val="000000" w:themeColor="text1"/>
          <w:lang w:val="en-US"/>
        </w:rPr>
        <w:t xml:space="preserve"> Bilateral adrenocortical hyperplasias (BAH</w:t>
      </w:r>
      <w:r w:rsidR="0039710D" w:rsidRPr="003D44C0">
        <w:rPr>
          <w:rFonts w:ascii="Arial" w:eastAsia="Calibri" w:hAnsi="Arial" w:cs="Arial"/>
          <w:color w:val="000000" w:themeColor="text1"/>
          <w:lang w:val="en-US"/>
        </w:rPr>
        <w:t>s</w:t>
      </w:r>
      <w:r w:rsidR="00C26EFE" w:rsidRPr="003D44C0">
        <w:rPr>
          <w:rFonts w:ascii="Arial" w:eastAsia="Calibri" w:hAnsi="Arial" w:cs="Arial"/>
          <w:color w:val="000000" w:themeColor="text1"/>
          <w:lang w:val="en-US"/>
        </w:rPr>
        <w:t xml:space="preserve">) account for </w:t>
      </w:r>
      <w:r w:rsidR="0039710D" w:rsidRPr="003D44C0">
        <w:rPr>
          <w:rFonts w:ascii="Arial" w:eastAsia="Calibri" w:hAnsi="Arial" w:cs="Arial"/>
          <w:color w:val="000000" w:themeColor="text1"/>
          <w:lang w:val="en-US"/>
        </w:rPr>
        <w:t>less than 2% of all cases of Cushing’s syndrome</w:t>
      </w:r>
      <w:r w:rsidR="00C26EFE" w:rsidRPr="003D44C0">
        <w:rPr>
          <w:rFonts w:ascii="Arial" w:eastAsia="Calibri" w:hAnsi="Arial" w:cs="Arial"/>
          <w:color w:val="000000" w:themeColor="text1"/>
          <w:lang w:val="en-US"/>
        </w:rPr>
        <w:t xml:space="preserve"> in pediatric and adult patients (</w:t>
      </w:r>
      <w:r w:rsidR="00B91C90" w:rsidRPr="003D44C0">
        <w:rPr>
          <w:rFonts w:ascii="Arial" w:eastAsia="Calibri" w:hAnsi="Arial" w:cs="Arial"/>
          <w:color w:val="000000" w:themeColor="text1"/>
          <w:lang w:val="en-US"/>
        </w:rPr>
        <w:t>50</w:t>
      </w:r>
      <w:r w:rsidR="00C26EFE" w:rsidRPr="003D44C0">
        <w:rPr>
          <w:rFonts w:ascii="Arial" w:eastAsia="Calibri" w:hAnsi="Arial" w:cs="Arial"/>
          <w:color w:val="000000" w:themeColor="text1"/>
          <w:lang w:val="en-US"/>
        </w:rPr>
        <w:t>)</w:t>
      </w:r>
      <w:r w:rsidR="00FB3635" w:rsidRPr="003D44C0">
        <w:rPr>
          <w:rFonts w:ascii="Arial" w:eastAsia="Calibri" w:hAnsi="Arial" w:cs="Arial"/>
          <w:color w:val="000000" w:themeColor="text1"/>
          <w:lang w:val="en-US"/>
        </w:rPr>
        <w:t>.</w:t>
      </w:r>
      <w:r w:rsidR="00B91C90" w:rsidRPr="003D44C0">
        <w:rPr>
          <w:rFonts w:ascii="Arial" w:eastAsia="Calibri" w:hAnsi="Arial" w:cs="Arial"/>
          <w:color w:val="000000" w:themeColor="text1"/>
          <w:lang w:val="en-US"/>
        </w:rPr>
        <w:t xml:space="preserve"> </w:t>
      </w:r>
      <w:r w:rsidR="0039710D" w:rsidRPr="003D44C0">
        <w:rPr>
          <w:rFonts w:ascii="Arial" w:eastAsia="Calibri" w:hAnsi="Arial" w:cs="Arial"/>
          <w:color w:val="000000" w:themeColor="text1"/>
          <w:lang w:val="en-US"/>
        </w:rPr>
        <w:t>BAHs are classified as macronodular (nodules with diameter greater than 1 cm) or micronodular (nodules with diameter less than 1 cm) (51).</w:t>
      </w:r>
      <w:r w:rsidR="00F17992" w:rsidRPr="003D44C0">
        <w:rPr>
          <w:rFonts w:ascii="Arial" w:eastAsia="Calibri" w:hAnsi="Arial" w:cs="Arial"/>
          <w:color w:val="000000" w:themeColor="text1"/>
          <w:lang w:val="en-US"/>
        </w:rPr>
        <w:t xml:space="preserve"> In addition to the size of nodules identified on high-resolution computed tomography (CT), BAHs are classified based on the existence </w:t>
      </w:r>
      <w:r w:rsidR="00CE1B6C" w:rsidRPr="003D44C0">
        <w:rPr>
          <w:rFonts w:ascii="Arial" w:eastAsia="Calibri" w:hAnsi="Arial" w:cs="Arial"/>
          <w:color w:val="000000" w:themeColor="text1"/>
          <w:lang w:val="en-US"/>
        </w:rPr>
        <w:t>o</w:t>
      </w:r>
      <w:r w:rsidR="00F17992" w:rsidRPr="003D44C0">
        <w:rPr>
          <w:rFonts w:ascii="Arial" w:eastAsia="Calibri" w:hAnsi="Arial" w:cs="Arial"/>
          <w:color w:val="000000" w:themeColor="text1"/>
          <w:lang w:val="en-US"/>
        </w:rPr>
        <w:t>f pigmentation on pathologic examination</w:t>
      </w:r>
      <w:r w:rsidR="00530824" w:rsidRPr="003D44C0">
        <w:rPr>
          <w:rFonts w:ascii="Arial" w:eastAsia="Calibri" w:hAnsi="Arial" w:cs="Arial"/>
          <w:color w:val="000000" w:themeColor="text1"/>
          <w:lang w:val="en-US"/>
        </w:rPr>
        <w:t xml:space="preserve">. </w:t>
      </w:r>
      <w:r w:rsidR="00B50BF0" w:rsidRPr="003D44C0">
        <w:rPr>
          <w:rFonts w:ascii="Arial" w:eastAsia="Calibri" w:hAnsi="Arial" w:cs="Arial"/>
          <w:color w:val="000000" w:themeColor="text1"/>
          <w:lang w:val="en-US"/>
        </w:rPr>
        <w:t>The most common type of BAH in children is micronodular adrenocortical disease, which is further classified in primary pigmented nodular adrenocortical disease (PPNAD) and isolated micronodular adrenocortical disease (iMAD). PPNAD is characterized by dark brown pigmented adrenal micronodules</w:t>
      </w:r>
      <w:r w:rsidR="003648CF" w:rsidRPr="003D44C0">
        <w:rPr>
          <w:rFonts w:ascii="Arial" w:eastAsia="Calibri" w:hAnsi="Arial" w:cs="Arial"/>
          <w:color w:val="000000" w:themeColor="text1"/>
          <w:lang w:val="en-US"/>
        </w:rPr>
        <w:t xml:space="preserve"> </w:t>
      </w:r>
      <w:r w:rsidR="0020240C" w:rsidRPr="003D44C0">
        <w:rPr>
          <w:rFonts w:ascii="Arial" w:eastAsia="Calibri" w:hAnsi="Arial" w:cs="Arial"/>
          <w:color w:val="000000" w:themeColor="text1"/>
          <w:lang w:val="en-US"/>
        </w:rPr>
        <w:t>that are surrounded by an atrophic cortex</w:t>
      </w:r>
      <w:r w:rsidR="007C7154" w:rsidRPr="003D44C0">
        <w:rPr>
          <w:rFonts w:ascii="Arial" w:eastAsia="Calibri" w:hAnsi="Arial" w:cs="Arial"/>
          <w:color w:val="000000" w:themeColor="text1"/>
          <w:lang w:val="en-US"/>
        </w:rPr>
        <w:t xml:space="preserve"> and is due to </w:t>
      </w:r>
      <w:r w:rsidR="007C7154" w:rsidRPr="003D44C0">
        <w:rPr>
          <w:rFonts w:ascii="Arial" w:eastAsia="Calibri" w:hAnsi="Arial" w:cs="Arial"/>
          <w:i/>
          <w:color w:val="000000" w:themeColor="text1"/>
          <w:lang w:val="en-US"/>
        </w:rPr>
        <w:t>PRKAR1A</w:t>
      </w:r>
      <w:r w:rsidR="007C7154" w:rsidRPr="003D44C0">
        <w:rPr>
          <w:rFonts w:ascii="Arial" w:eastAsia="Calibri" w:hAnsi="Arial" w:cs="Arial"/>
          <w:color w:val="000000" w:themeColor="text1"/>
          <w:lang w:val="en-US"/>
        </w:rPr>
        <w:t xml:space="preserve"> mutations;</w:t>
      </w:r>
      <w:r w:rsidR="0020240C" w:rsidRPr="003D44C0">
        <w:rPr>
          <w:rFonts w:ascii="Arial" w:eastAsia="Calibri" w:hAnsi="Arial" w:cs="Arial"/>
          <w:color w:val="000000" w:themeColor="text1"/>
          <w:lang w:val="en-US"/>
        </w:rPr>
        <w:t xml:space="preserve"> </w:t>
      </w:r>
      <w:r w:rsidR="007C7154" w:rsidRPr="003D44C0">
        <w:rPr>
          <w:rFonts w:ascii="Arial" w:eastAsia="Calibri" w:hAnsi="Arial" w:cs="Arial"/>
          <w:color w:val="000000" w:themeColor="text1"/>
          <w:lang w:val="en-US"/>
        </w:rPr>
        <w:t>i</w:t>
      </w:r>
      <w:r w:rsidR="00C229B9" w:rsidRPr="003D44C0">
        <w:rPr>
          <w:rFonts w:ascii="Arial" w:eastAsia="Calibri" w:hAnsi="Arial" w:cs="Arial"/>
          <w:color w:val="000000" w:themeColor="text1"/>
          <w:lang w:val="en-US"/>
        </w:rPr>
        <w:t xml:space="preserve">n contrast, iMAD is characterized by the absence of </w:t>
      </w:r>
      <w:r w:rsidR="007C7154" w:rsidRPr="003D44C0">
        <w:rPr>
          <w:rFonts w:ascii="Arial" w:eastAsia="Calibri" w:hAnsi="Arial" w:cs="Arial"/>
          <w:color w:val="000000" w:themeColor="text1"/>
          <w:lang w:val="en-US"/>
        </w:rPr>
        <w:t xml:space="preserve">extensive </w:t>
      </w:r>
      <w:r w:rsidR="00C229B9" w:rsidRPr="003D44C0">
        <w:rPr>
          <w:rFonts w:ascii="Arial" w:eastAsia="Calibri" w:hAnsi="Arial" w:cs="Arial"/>
          <w:color w:val="000000" w:themeColor="text1"/>
          <w:lang w:val="en-US"/>
        </w:rPr>
        <w:t>pigmentation</w:t>
      </w:r>
      <w:r w:rsidR="007C7154" w:rsidRPr="003D44C0">
        <w:rPr>
          <w:rFonts w:ascii="Arial" w:eastAsia="Calibri" w:hAnsi="Arial" w:cs="Arial"/>
          <w:color w:val="000000" w:themeColor="text1"/>
          <w:lang w:val="en-US"/>
        </w:rPr>
        <w:t xml:space="preserve"> and lack of </w:t>
      </w:r>
      <w:r w:rsidR="007C7154" w:rsidRPr="003D44C0">
        <w:rPr>
          <w:rFonts w:ascii="Arial" w:eastAsia="Calibri" w:hAnsi="Arial" w:cs="Arial"/>
          <w:i/>
          <w:color w:val="000000" w:themeColor="text1"/>
          <w:lang w:val="en-US"/>
        </w:rPr>
        <w:t>PRKAR1A</w:t>
      </w:r>
      <w:r w:rsidR="007C7154" w:rsidRPr="003D44C0">
        <w:rPr>
          <w:rFonts w:ascii="Arial" w:eastAsia="Calibri" w:hAnsi="Arial" w:cs="Arial"/>
          <w:color w:val="000000" w:themeColor="text1"/>
          <w:lang w:val="en-US"/>
        </w:rPr>
        <w:t xml:space="preserve"> defects</w:t>
      </w:r>
      <w:r w:rsidR="00C229B9" w:rsidRPr="003D44C0">
        <w:rPr>
          <w:rFonts w:ascii="Arial" w:eastAsia="Calibri" w:hAnsi="Arial" w:cs="Arial"/>
          <w:color w:val="000000" w:themeColor="text1"/>
          <w:lang w:val="en-US"/>
        </w:rPr>
        <w:t xml:space="preserve"> (</w:t>
      </w:r>
      <w:r w:rsidR="006C634F" w:rsidRPr="003D44C0">
        <w:rPr>
          <w:rFonts w:ascii="Arial" w:eastAsia="Calibri" w:hAnsi="Arial" w:cs="Arial"/>
          <w:color w:val="000000" w:themeColor="text1"/>
          <w:lang w:val="en-US"/>
        </w:rPr>
        <w:t>52</w:t>
      </w:r>
      <w:r w:rsidR="00C229B9" w:rsidRPr="003D44C0">
        <w:rPr>
          <w:rFonts w:ascii="Arial" w:eastAsia="Calibri" w:hAnsi="Arial" w:cs="Arial"/>
          <w:color w:val="000000" w:themeColor="text1"/>
          <w:lang w:val="en-US"/>
        </w:rPr>
        <w:t>).</w:t>
      </w:r>
      <w:r w:rsidR="006D2254" w:rsidRPr="003D44C0">
        <w:rPr>
          <w:rFonts w:ascii="Arial" w:eastAsia="Calibri" w:hAnsi="Arial" w:cs="Arial"/>
          <w:color w:val="000000" w:themeColor="text1"/>
          <w:lang w:val="en-US"/>
        </w:rPr>
        <w:t xml:space="preserve"> Another cause of Cushing’s syndrome is primary bilateral macronodular adrenal hyperplasia (PBMAH) or massive macronodular adrenal hyperplasia (MMAD</w:t>
      </w:r>
      <w:r w:rsidR="00523E62" w:rsidRPr="003D44C0">
        <w:rPr>
          <w:rFonts w:ascii="Arial" w:eastAsia="Calibri" w:hAnsi="Arial" w:cs="Arial"/>
          <w:color w:val="000000" w:themeColor="text1"/>
          <w:lang w:val="en-US"/>
        </w:rPr>
        <w:t>)</w:t>
      </w:r>
      <w:r w:rsidR="006D2254" w:rsidRPr="003D44C0">
        <w:rPr>
          <w:rFonts w:ascii="Arial" w:eastAsia="Calibri" w:hAnsi="Arial" w:cs="Arial"/>
          <w:color w:val="000000" w:themeColor="text1"/>
          <w:lang w:val="en-US"/>
        </w:rPr>
        <w:t xml:space="preserve">, which is characterized by </w:t>
      </w:r>
      <w:r w:rsidR="00372946" w:rsidRPr="003D44C0">
        <w:rPr>
          <w:rFonts w:ascii="Arial" w:eastAsia="Calibri" w:hAnsi="Arial" w:cs="Arial"/>
          <w:color w:val="000000" w:themeColor="text1"/>
          <w:lang w:val="en-US"/>
        </w:rPr>
        <w:t xml:space="preserve">adrenal nodules with </w:t>
      </w:r>
      <w:r w:rsidR="00CF250E" w:rsidRPr="003D44C0">
        <w:rPr>
          <w:rFonts w:ascii="Arial" w:eastAsia="Calibri" w:hAnsi="Arial" w:cs="Arial"/>
          <w:color w:val="000000" w:themeColor="text1"/>
          <w:lang w:val="en-US"/>
        </w:rPr>
        <w:t xml:space="preserve">a </w:t>
      </w:r>
      <w:r w:rsidR="00372946" w:rsidRPr="003D44C0">
        <w:rPr>
          <w:rFonts w:ascii="Arial" w:eastAsia="Calibri" w:hAnsi="Arial" w:cs="Arial"/>
          <w:color w:val="000000" w:themeColor="text1"/>
          <w:lang w:val="en-US"/>
        </w:rPr>
        <w:t>diameter greater than 1 cm.</w:t>
      </w:r>
      <w:r w:rsidR="00523E62" w:rsidRPr="003D44C0">
        <w:rPr>
          <w:rFonts w:ascii="Arial" w:eastAsia="Calibri" w:hAnsi="Arial" w:cs="Arial"/>
          <w:color w:val="000000" w:themeColor="text1"/>
          <w:lang w:val="en-US"/>
        </w:rPr>
        <w:t xml:space="preserve"> The molecular basis of this condition has been ascribed to </w:t>
      </w:r>
      <w:r w:rsidR="00523E62" w:rsidRPr="003D44C0">
        <w:rPr>
          <w:rFonts w:ascii="Arial" w:eastAsia="Calibri" w:hAnsi="Arial" w:cs="Arial"/>
          <w:i/>
          <w:color w:val="000000" w:themeColor="text1"/>
          <w:lang w:val="en-US"/>
        </w:rPr>
        <w:t>ARMC5</w:t>
      </w:r>
      <w:r w:rsidR="00523E62" w:rsidRPr="003D44C0">
        <w:rPr>
          <w:rFonts w:ascii="Arial" w:eastAsia="Calibri" w:hAnsi="Arial" w:cs="Arial"/>
          <w:color w:val="000000" w:themeColor="text1"/>
          <w:lang w:val="en-US"/>
        </w:rPr>
        <w:t xml:space="preserve"> gene mutations</w:t>
      </w:r>
      <w:r w:rsidR="007C7154" w:rsidRPr="003D44C0">
        <w:rPr>
          <w:rFonts w:ascii="Arial" w:eastAsia="Calibri" w:hAnsi="Arial" w:cs="Arial"/>
          <w:color w:val="000000" w:themeColor="text1"/>
          <w:lang w:val="en-US"/>
        </w:rPr>
        <w:t xml:space="preserve"> in about 50% of the cases</w:t>
      </w:r>
      <w:r w:rsidR="00176039" w:rsidRPr="003D44C0">
        <w:rPr>
          <w:rFonts w:ascii="Arial" w:eastAsia="Calibri" w:hAnsi="Arial" w:cs="Arial"/>
          <w:color w:val="000000" w:themeColor="text1"/>
          <w:lang w:val="en-US"/>
        </w:rPr>
        <w:t xml:space="preserve"> (Figure 5)</w:t>
      </w:r>
      <w:r w:rsidR="00523E62" w:rsidRPr="003D44C0">
        <w:rPr>
          <w:rFonts w:ascii="Arial" w:eastAsia="Calibri" w:hAnsi="Arial" w:cs="Arial"/>
          <w:color w:val="000000" w:themeColor="text1"/>
          <w:lang w:val="en-US"/>
        </w:rPr>
        <w:t xml:space="preserve"> (53).</w:t>
      </w:r>
    </w:p>
    <w:p w14:paraId="394EA1A3" w14:textId="77777777" w:rsidR="00625B23" w:rsidRPr="003D44C0" w:rsidRDefault="00625B23" w:rsidP="00B130EA">
      <w:pPr>
        <w:spacing w:after="0" w:line="276" w:lineRule="auto"/>
        <w:contextualSpacing/>
        <w:rPr>
          <w:rFonts w:ascii="Arial" w:eastAsia="Calibri" w:hAnsi="Arial" w:cs="Arial"/>
          <w:color w:val="000000" w:themeColor="text1"/>
          <w:lang w:val="en-US"/>
        </w:rPr>
      </w:pPr>
    </w:p>
    <w:p w14:paraId="57BCD229" w14:textId="3A2D88D7" w:rsidR="00420D3D" w:rsidRPr="003D44C0" w:rsidRDefault="0031165C" w:rsidP="00B130EA">
      <w:pPr>
        <w:spacing w:after="0" w:line="276" w:lineRule="auto"/>
        <w:contextualSpacing/>
        <w:rPr>
          <w:rFonts w:ascii="Arial" w:eastAsia="Calibri" w:hAnsi="Arial" w:cs="Arial"/>
          <w:color w:val="000000" w:themeColor="text1"/>
          <w:lang w:val="en-US"/>
        </w:rPr>
      </w:pPr>
      <w:r w:rsidRPr="003D44C0">
        <w:rPr>
          <w:rFonts w:ascii="Arial" w:eastAsia="Calibri" w:hAnsi="Arial" w:cs="Arial"/>
          <w:noProof/>
          <w:color w:val="000000" w:themeColor="text1"/>
          <w:lang w:val="en-US" w:eastAsia="el-GR"/>
        </w:rPr>
        <w:lastRenderedPageBreak/>
        <w:drawing>
          <wp:inline distT="0" distB="0" distL="0" distR="0" wp14:anchorId="7FE764A9" wp14:editId="17C00221">
            <wp:extent cx="5274310" cy="3956050"/>
            <wp:effectExtent l="0" t="0" r="2540" b="635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Διαφάνεια5.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01D75DB8" w14:textId="77777777" w:rsidR="00E44299" w:rsidRPr="003D44C0" w:rsidRDefault="00E44299" w:rsidP="00B130EA">
      <w:pPr>
        <w:spacing w:after="0" w:line="276" w:lineRule="auto"/>
        <w:contextualSpacing/>
        <w:rPr>
          <w:rFonts w:ascii="Arial" w:eastAsia="Calibri" w:hAnsi="Arial" w:cs="Arial"/>
          <w:b/>
          <w:color w:val="000000" w:themeColor="text1"/>
          <w:lang w:val="en-US"/>
        </w:rPr>
      </w:pPr>
    </w:p>
    <w:p w14:paraId="5BF92C77" w14:textId="2B0ABB45" w:rsidR="00F6385B" w:rsidRPr="003D44C0" w:rsidRDefault="00420D3D" w:rsidP="00B130EA">
      <w:pPr>
        <w:spacing w:after="0" w:line="276" w:lineRule="auto"/>
        <w:contextualSpacing/>
        <w:rPr>
          <w:rFonts w:ascii="Arial" w:eastAsia="Calibri" w:hAnsi="Arial" w:cs="Arial"/>
          <w:color w:val="000000" w:themeColor="text1"/>
          <w:lang w:val="en-US"/>
        </w:rPr>
      </w:pPr>
      <w:r w:rsidRPr="003D44C0">
        <w:rPr>
          <w:rFonts w:ascii="Arial" w:eastAsia="Calibri" w:hAnsi="Arial" w:cs="Arial"/>
          <w:b/>
          <w:color w:val="000000" w:themeColor="text1"/>
          <w:lang w:val="en-US"/>
        </w:rPr>
        <w:t>Figure 5</w:t>
      </w:r>
      <w:r w:rsidR="00625B23" w:rsidRPr="003D44C0">
        <w:rPr>
          <w:rFonts w:ascii="Arial" w:eastAsia="Calibri" w:hAnsi="Arial" w:cs="Arial"/>
          <w:b/>
          <w:color w:val="000000" w:themeColor="text1"/>
          <w:lang w:val="en-US"/>
        </w:rPr>
        <w:t>.</w:t>
      </w:r>
      <w:r w:rsidR="00E44299" w:rsidRPr="003D44C0">
        <w:rPr>
          <w:rFonts w:ascii="Arial" w:eastAsia="Calibri" w:hAnsi="Arial" w:cs="Arial"/>
          <w:b/>
          <w:color w:val="000000" w:themeColor="text1"/>
          <w:lang w:val="en-US"/>
        </w:rPr>
        <w:t xml:space="preserve"> </w:t>
      </w:r>
      <w:r w:rsidR="00E44299" w:rsidRPr="003D44C0">
        <w:rPr>
          <w:rFonts w:ascii="Arial" w:eastAsia="Calibri" w:hAnsi="Arial" w:cs="Arial"/>
          <w:b/>
          <w:bCs/>
          <w:color w:val="000000" w:themeColor="text1"/>
          <w:lang w:val="en-US"/>
        </w:rPr>
        <w:t>Genetic defects of Cushing’s disease and Cushing’s syndrome.</w:t>
      </w:r>
      <w:r w:rsidR="00DE6541" w:rsidRPr="003D44C0">
        <w:rPr>
          <w:rFonts w:ascii="Arial" w:eastAsia="Calibri" w:hAnsi="Arial" w:cs="Arial"/>
          <w:b/>
          <w:bCs/>
          <w:color w:val="000000" w:themeColor="text1"/>
          <w:lang w:val="en-US"/>
        </w:rPr>
        <w:t xml:space="preserve"> </w:t>
      </w:r>
      <w:r w:rsidR="0071413A" w:rsidRPr="003D44C0">
        <w:rPr>
          <w:rFonts w:ascii="Arial" w:eastAsia="Calibri" w:hAnsi="Arial" w:cs="Arial"/>
          <w:b/>
          <w:bCs/>
          <w:color w:val="000000" w:themeColor="text1"/>
          <w:lang w:val="en-US"/>
        </w:rPr>
        <w:t xml:space="preserve">AC: adenylate cyclase; </w:t>
      </w:r>
      <w:r w:rsidR="00286489" w:rsidRPr="003D44C0">
        <w:rPr>
          <w:rFonts w:ascii="Arial" w:eastAsia="Calibri" w:hAnsi="Arial" w:cs="Arial"/>
          <w:b/>
          <w:bCs/>
          <w:color w:val="000000" w:themeColor="text1"/>
          <w:lang w:val="en-US"/>
        </w:rPr>
        <w:t xml:space="preserve">ACTH: </w:t>
      </w:r>
      <w:r w:rsidR="00DE6541" w:rsidRPr="003D44C0">
        <w:rPr>
          <w:rFonts w:ascii="Arial" w:eastAsia="Calibri" w:hAnsi="Arial" w:cs="Arial"/>
          <w:b/>
          <w:bCs/>
          <w:color w:val="000000" w:themeColor="text1"/>
          <w:lang w:val="en-US"/>
        </w:rPr>
        <w:t>ad</w:t>
      </w:r>
      <w:r w:rsidR="00286489" w:rsidRPr="003D44C0">
        <w:rPr>
          <w:rFonts w:ascii="Arial" w:eastAsia="Calibri" w:hAnsi="Arial" w:cs="Arial"/>
          <w:b/>
          <w:bCs/>
          <w:color w:val="000000" w:themeColor="text1"/>
          <w:lang w:val="en-US"/>
        </w:rPr>
        <w:t xml:space="preserve">renocorticotropic hormone; </w:t>
      </w:r>
      <w:r w:rsidR="0071413A" w:rsidRPr="003D44C0">
        <w:rPr>
          <w:rFonts w:ascii="Arial" w:eastAsia="Calibri" w:hAnsi="Arial" w:cs="Arial"/>
          <w:b/>
          <w:bCs/>
          <w:color w:val="000000" w:themeColor="text1"/>
          <w:lang w:val="en-US"/>
        </w:rPr>
        <w:t>AIP: aryl-hydrocarbon receptor-interacting protein; ARMC5: armadillo repeat containing 5; BMAH: bilateral macronodular adrenal hyperplasia; Brg1: Brahma</w:t>
      </w:r>
      <w:r w:rsidR="0071413A" w:rsidRPr="003D44C0">
        <w:rPr>
          <w:rFonts w:ascii="Cambria Math" w:eastAsia="Calibri" w:hAnsi="Cambria Math" w:cs="Cambria Math"/>
          <w:b/>
          <w:bCs/>
          <w:color w:val="000000" w:themeColor="text1"/>
          <w:lang w:val="en-US"/>
        </w:rPr>
        <w:t>‐</w:t>
      </w:r>
      <w:r w:rsidR="0071413A" w:rsidRPr="003D44C0">
        <w:rPr>
          <w:rFonts w:ascii="Arial" w:eastAsia="Calibri" w:hAnsi="Arial" w:cs="Arial"/>
          <w:b/>
          <w:bCs/>
          <w:color w:val="000000" w:themeColor="text1"/>
          <w:lang w:val="en-US"/>
        </w:rPr>
        <w:t xml:space="preserve">related gene 1; Cα: catalytic subunit of PKA; CDKI: cyclin-dependent kinase inhibitor; CDKN1B (also known as p27Kip1); CTNNB1: catenin beta 1; DOT1: Disruptor of telomeric silencing 1; EGFR: epidermal growth factor receptor; GNAS: Guanine Nucleotide binding protein; </w:t>
      </w:r>
      <w:r w:rsidR="00286489" w:rsidRPr="003D44C0">
        <w:rPr>
          <w:rFonts w:ascii="Arial" w:eastAsia="Calibri" w:hAnsi="Arial" w:cs="Arial"/>
          <w:b/>
          <w:bCs/>
          <w:color w:val="000000" w:themeColor="text1"/>
          <w:lang w:val="en-US"/>
        </w:rPr>
        <w:t xml:space="preserve">GPCR: G-protein-coupled receptor; </w:t>
      </w:r>
      <w:r w:rsidR="0071413A" w:rsidRPr="003D44C0">
        <w:rPr>
          <w:rFonts w:ascii="Arial" w:eastAsia="Calibri" w:hAnsi="Arial" w:cs="Arial"/>
          <w:b/>
          <w:bCs/>
          <w:color w:val="000000" w:themeColor="text1"/>
          <w:lang w:val="en-US"/>
        </w:rPr>
        <w:t xml:space="preserve">HDAC2: Histone Deacetylase 2; </w:t>
      </w:r>
      <w:r w:rsidR="0071413A" w:rsidRPr="003D44C0">
        <w:rPr>
          <w:rFonts w:ascii="Arial" w:hAnsi="Arial" w:cs="Arial"/>
          <w:b/>
          <w:bCs/>
          <w:lang w:val="en-US"/>
        </w:rPr>
        <w:t xml:space="preserve">MC2R: </w:t>
      </w:r>
      <w:r w:rsidR="0071413A" w:rsidRPr="003D44C0">
        <w:rPr>
          <w:rFonts w:ascii="Arial" w:eastAsia="Calibri" w:hAnsi="Arial" w:cs="Arial"/>
          <w:b/>
          <w:bCs/>
          <w:color w:val="000000" w:themeColor="text1"/>
          <w:lang w:val="en-US"/>
        </w:rPr>
        <w:t>melanocortin 2 receptor</w:t>
      </w:r>
      <w:r w:rsidR="00722566" w:rsidRPr="003D44C0">
        <w:rPr>
          <w:rFonts w:ascii="Arial" w:eastAsia="Calibri" w:hAnsi="Arial" w:cs="Arial"/>
          <w:b/>
          <w:bCs/>
          <w:color w:val="000000" w:themeColor="text1"/>
          <w:lang w:val="en-US"/>
        </w:rPr>
        <w:t>;</w:t>
      </w:r>
      <w:r w:rsidR="0071413A" w:rsidRPr="003D44C0">
        <w:rPr>
          <w:rFonts w:ascii="Arial" w:eastAsia="Calibri" w:hAnsi="Arial" w:cs="Arial"/>
          <w:b/>
          <w:bCs/>
          <w:color w:val="000000" w:themeColor="text1"/>
          <w:lang w:val="en-US"/>
        </w:rPr>
        <w:t xml:space="preserve"> MEN1: multiple endocrine ne</w:t>
      </w:r>
      <w:r w:rsidR="002D0321" w:rsidRPr="003D44C0">
        <w:rPr>
          <w:rFonts w:ascii="Arial" w:eastAsia="Calibri" w:hAnsi="Arial" w:cs="Arial"/>
          <w:b/>
          <w:bCs/>
          <w:color w:val="000000" w:themeColor="text1"/>
          <w:lang w:val="en-US"/>
        </w:rPr>
        <w:t>oplasia 1</w:t>
      </w:r>
      <w:r w:rsidR="0071413A" w:rsidRPr="003D44C0">
        <w:rPr>
          <w:rFonts w:ascii="Arial" w:eastAsia="Calibri" w:hAnsi="Arial" w:cs="Arial"/>
          <w:b/>
          <w:bCs/>
          <w:color w:val="000000" w:themeColor="text1"/>
          <w:lang w:val="en-US"/>
        </w:rPr>
        <w:t xml:space="preserve">; </w:t>
      </w:r>
      <w:r w:rsidR="00286489" w:rsidRPr="003D44C0">
        <w:rPr>
          <w:rFonts w:ascii="Arial" w:eastAsia="Calibri" w:hAnsi="Arial" w:cs="Arial"/>
          <w:b/>
          <w:bCs/>
          <w:color w:val="000000" w:themeColor="text1"/>
          <w:lang w:val="en-US"/>
        </w:rPr>
        <w:t xml:space="preserve">PDEs: phosphodiesterases; </w:t>
      </w:r>
      <w:r w:rsidR="0071413A" w:rsidRPr="003D44C0">
        <w:rPr>
          <w:rFonts w:ascii="Arial" w:eastAsia="Calibri" w:hAnsi="Arial" w:cs="Arial"/>
          <w:b/>
          <w:bCs/>
          <w:color w:val="000000" w:themeColor="text1"/>
          <w:lang w:val="en-US"/>
        </w:rPr>
        <w:t xml:space="preserve">PKA: protein kinase A; </w:t>
      </w:r>
      <w:r w:rsidR="00E710B4" w:rsidRPr="003D44C0">
        <w:rPr>
          <w:rFonts w:ascii="Arial" w:eastAsia="Calibri" w:hAnsi="Arial" w:cs="Arial"/>
          <w:b/>
          <w:bCs/>
          <w:color w:val="000000" w:themeColor="text1"/>
          <w:lang w:val="en-US"/>
        </w:rPr>
        <w:t xml:space="preserve">POMC: Pro-opiomelanocortin; </w:t>
      </w:r>
      <w:r w:rsidR="00286489" w:rsidRPr="003D44C0">
        <w:rPr>
          <w:rFonts w:ascii="Arial" w:eastAsia="Calibri" w:hAnsi="Arial" w:cs="Arial"/>
          <w:b/>
          <w:bCs/>
          <w:color w:val="000000" w:themeColor="text1"/>
          <w:lang w:val="en-US"/>
        </w:rPr>
        <w:t xml:space="preserve">PPNAD: </w:t>
      </w:r>
      <w:r w:rsidR="00DE6541" w:rsidRPr="003D44C0">
        <w:rPr>
          <w:rFonts w:ascii="Arial" w:eastAsia="Calibri" w:hAnsi="Arial" w:cs="Arial"/>
          <w:b/>
          <w:bCs/>
          <w:color w:val="000000" w:themeColor="text1"/>
          <w:lang w:val="en-US"/>
        </w:rPr>
        <w:t>primary pigmented nodu</w:t>
      </w:r>
      <w:r w:rsidR="00286489" w:rsidRPr="003D44C0">
        <w:rPr>
          <w:rFonts w:ascii="Arial" w:eastAsia="Calibri" w:hAnsi="Arial" w:cs="Arial"/>
          <w:b/>
          <w:bCs/>
          <w:color w:val="000000" w:themeColor="text1"/>
          <w:lang w:val="en-US"/>
        </w:rPr>
        <w:t xml:space="preserve">lar adrenocortical disease; </w:t>
      </w:r>
      <w:r w:rsidR="002D0321" w:rsidRPr="003D44C0">
        <w:rPr>
          <w:rFonts w:ascii="Arial" w:eastAsia="Calibri" w:hAnsi="Arial" w:cs="Arial"/>
          <w:b/>
          <w:bCs/>
          <w:color w:val="000000" w:themeColor="text1"/>
          <w:lang w:val="en-US"/>
        </w:rPr>
        <w:t xml:space="preserve">PRUNE2: prune homologue 2; </w:t>
      </w:r>
      <w:r w:rsidR="00722566" w:rsidRPr="003D44C0">
        <w:rPr>
          <w:rFonts w:ascii="Arial" w:eastAsia="Calibri" w:hAnsi="Arial" w:cs="Arial"/>
          <w:b/>
          <w:bCs/>
          <w:color w:val="000000" w:themeColor="text1"/>
          <w:lang w:val="en-US"/>
        </w:rPr>
        <w:t xml:space="preserve">PTTG: pituitary transforming gene; </w:t>
      </w:r>
      <w:r w:rsidR="00286489" w:rsidRPr="003D44C0">
        <w:rPr>
          <w:rFonts w:ascii="Arial" w:eastAsia="Calibri" w:hAnsi="Arial" w:cs="Arial"/>
          <w:b/>
          <w:bCs/>
          <w:color w:val="000000" w:themeColor="text1"/>
          <w:lang w:val="en-US"/>
        </w:rPr>
        <w:t xml:space="preserve">Rlα: </w:t>
      </w:r>
      <w:r w:rsidR="00DE6541" w:rsidRPr="003D44C0">
        <w:rPr>
          <w:rFonts w:ascii="Arial" w:eastAsia="Calibri" w:hAnsi="Arial" w:cs="Arial"/>
          <w:b/>
          <w:bCs/>
          <w:color w:val="000000" w:themeColor="text1"/>
          <w:lang w:val="en-US"/>
        </w:rPr>
        <w:t xml:space="preserve">type 1α </w:t>
      </w:r>
      <w:r w:rsidR="00F21FB5" w:rsidRPr="003D44C0">
        <w:rPr>
          <w:rFonts w:ascii="Arial" w:eastAsia="Calibri" w:hAnsi="Arial" w:cs="Arial"/>
          <w:b/>
          <w:bCs/>
          <w:color w:val="000000" w:themeColor="text1"/>
          <w:lang w:val="en-US"/>
        </w:rPr>
        <w:t xml:space="preserve">regulatory subunit of PKA; </w:t>
      </w:r>
      <w:r w:rsidR="00F6385B" w:rsidRPr="003D44C0">
        <w:rPr>
          <w:rFonts w:ascii="Arial" w:eastAsia="Calibri" w:hAnsi="Arial" w:cs="Arial"/>
          <w:b/>
          <w:bCs/>
          <w:color w:val="000000" w:themeColor="text1"/>
          <w:lang w:val="en-US"/>
        </w:rPr>
        <w:t>SDH: succinate dehydrogenase subunit; TR4: testicular orphan receptor 4; USP8: ubiquitin-specifi</w:t>
      </w:r>
      <w:r w:rsidR="00722566" w:rsidRPr="003D44C0">
        <w:rPr>
          <w:rFonts w:ascii="Arial" w:eastAsia="Calibri" w:hAnsi="Arial" w:cs="Arial"/>
          <w:b/>
          <w:bCs/>
          <w:color w:val="000000" w:themeColor="text1"/>
          <w:lang w:val="en-US"/>
        </w:rPr>
        <w:t>c peptidase 8.</w:t>
      </w:r>
      <w:r w:rsidR="00F6385B" w:rsidRPr="003D44C0">
        <w:rPr>
          <w:rFonts w:ascii="Arial" w:eastAsia="Calibri" w:hAnsi="Arial" w:cs="Arial"/>
          <w:color w:val="000000" w:themeColor="text1"/>
          <w:lang w:val="en-US"/>
        </w:rPr>
        <w:t xml:space="preserve"> </w:t>
      </w:r>
    </w:p>
    <w:p w14:paraId="45D745DF" w14:textId="77777777" w:rsidR="005B75C5" w:rsidRPr="003D44C0" w:rsidRDefault="00372946" w:rsidP="00B130EA">
      <w:pPr>
        <w:spacing w:after="0" w:line="276" w:lineRule="auto"/>
        <w:contextualSpacing/>
        <w:rPr>
          <w:rFonts w:ascii="Arial" w:eastAsia="Calibri" w:hAnsi="Arial" w:cs="Arial"/>
          <w:color w:val="000000" w:themeColor="text1"/>
          <w:lang w:val="en-US"/>
        </w:rPr>
      </w:pPr>
      <w:r w:rsidRPr="003D44C0">
        <w:rPr>
          <w:rFonts w:ascii="Arial" w:eastAsia="Calibri" w:hAnsi="Arial" w:cs="Arial"/>
          <w:color w:val="000000" w:themeColor="text1"/>
          <w:lang w:val="en-US"/>
        </w:rPr>
        <w:t xml:space="preserve"> </w:t>
      </w:r>
      <w:r w:rsidR="00C229B9" w:rsidRPr="003D44C0">
        <w:rPr>
          <w:rFonts w:ascii="Arial" w:eastAsia="Calibri" w:hAnsi="Arial" w:cs="Arial"/>
          <w:color w:val="000000" w:themeColor="text1"/>
          <w:lang w:val="en-US"/>
        </w:rPr>
        <w:t xml:space="preserve"> </w:t>
      </w:r>
      <w:r w:rsidR="004179A3" w:rsidRPr="003D44C0">
        <w:rPr>
          <w:rFonts w:ascii="Arial" w:eastAsia="Calibri" w:hAnsi="Arial" w:cs="Arial"/>
          <w:color w:val="000000" w:themeColor="text1"/>
          <w:lang w:val="en-US"/>
        </w:rPr>
        <w:t xml:space="preserve"> </w:t>
      </w:r>
    </w:p>
    <w:p w14:paraId="6EA0570C" w14:textId="77777777" w:rsidR="007C48D1" w:rsidRPr="003D44C0" w:rsidRDefault="007C48D1" w:rsidP="00B130EA">
      <w:pPr>
        <w:spacing w:after="0" w:line="276" w:lineRule="auto"/>
        <w:contextualSpacing/>
        <w:rPr>
          <w:rFonts w:ascii="Arial" w:eastAsia="Calibri" w:hAnsi="Arial" w:cs="Arial"/>
          <w:color w:val="FF0000"/>
          <w:lang w:val="en-US"/>
        </w:rPr>
      </w:pPr>
      <w:r w:rsidRPr="003D44C0">
        <w:rPr>
          <w:rFonts w:ascii="Arial" w:eastAsia="Calibri" w:hAnsi="Arial" w:cs="Arial"/>
          <w:color w:val="FF0000"/>
          <w:lang w:val="en-US"/>
        </w:rPr>
        <w:t>ADRENOCORTICAL CARCINOMA</w:t>
      </w:r>
    </w:p>
    <w:p w14:paraId="18385BCD" w14:textId="77777777" w:rsidR="005B75C5" w:rsidRPr="003D44C0" w:rsidRDefault="005B75C5" w:rsidP="00B130EA">
      <w:pPr>
        <w:spacing w:after="0" w:line="276" w:lineRule="auto"/>
        <w:contextualSpacing/>
        <w:rPr>
          <w:rFonts w:ascii="Arial" w:eastAsia="Calibri" w:hAnsi="Arial" w:cs="Arial"/>
          <w:color w:val="FF0000"/>
          <w:lang w:val="en-US"/>
        </w:rPr>
      </w:pPr>
    </w:p>
    <w:p w14:paraId="45268570" w14:textId="1C325776" w:rsidR="00AC2384" w:rsidRPr="003D44C0" w:rsidRDefault="00D61A5C" w:rsidP="00B130EA">
      <w:pPr>
        <w:spacing w:after="0" w:line="276" w:lineRule="auto"/>
        <w:contextualSpacing/>
        <w:rPr>
          <w:rFonts w:ascii="Arial" w:eastAsia="Calibri" w:hAnsi="Arial" w:cs="Arial"/>
          <w:color w:val="000000" w:themeColor="text1"/>
          <w:lang w:val="en-US"/>
        </w:rPr>
      </w:pPr>
      <w:r w:rsidRPr="003D44C0">
        <w:rPr>
          <w:rFonts w:ascii="Arial" w:eastAsia="Calibri" w:hAnsi="Arial" w:cs="Arial"/>
          <w:color w:val="000000" w:themeColor="text1"/>
          <w:lang w:val="en-US"/>
        </w:rPr>
        <w:t>Adrenocortical carcinoma is a very rare pathologic condition which may occur at any age with a first peak before the age of 5 years and a second peak in adulthood between the fourth and fifth decades</w:t>
      </w:r>
      <w:r w:rsidR="001B5AE1" w:rsidRPr="003D44C0">
        <w:rPr>
          <w:rFonts w:ascii="Arial" w:eastAsia="Calibri" w:hAnsi="Arial" w:cs="Arial"/>
          <w:color w:val="000000" w:themeColor="text1"/>
          <w:lang w:val="en-US"/>
        </w:rPr>
        <w:t xml:space="preserve"> (54</w:t>
      </w:r>
      <w:r w:rsidRPr="003D44C0">
        <w:rPr>
          <w:rFonts w:ascii="Arial" w:eastAsia="Calibri" w:hAnsi="Arial" w:cs="Arial"/>
          <w:color w:val="000000" w:themeColor="text1"/>
          <w:lang w:val="en-US"/>
        </w:rPr>
        <w:t xml:space="preserve">). </w:t>
      </w:r>
      <w:r w:rsidR="0061482C" w:rsidRPr="003D44C0">
        <w:rPr>
          <w:rFonts w:ascii="Arial" w:eastAsia="Calibri" w:hAnsi="Arial" w:cs="Arial"/>
          <w:color w:val="000000" w:themeColor="text1"/>
          <w:lang w:val="en-US"/>
        </w:rPr>
        <w:t xml:space="preserve">It may be present in the context of Li-Fraumeni </w:t>
      </w:r>
      <w:r w:rsidR="00F46FB4" w:rsidRPr="003D44C0">
        <w:rPr>
          <w:rFonts w:ascii="Arial" w:eastAsia="Calibri" w:hAnsi="Arial" w:cs="Arial"/>
          <w:color w:val="000000" w:themeColor="text1"/>
          <w:lang w:val="en-US"/>
        </w:rPr>
        <w:t>syndrome,</w:t>
      </w:r>
      <w:r w:rsidR="0061482C" w:rsidRPr="003D44C0">
        <w:rPr>
          <w:rFonts w:ascii="Arial" w:eastAsia="Calibri" w:hAnsi="Arial" w:cs="Arial"/>
          <w:color w:val="000000" w:themeColor="text1"/>
          <w:lang w:val="en-US"/>
        </w:rPr>
        <w:t xml:space="preserve"> which is caused by germline mutations in </w:t>
      </w:r>
      <w:r w:rsidR="0061482C" w:rsidRPr="003D44C0">
        <w:rPr>
          <w:rFonts w:ascii="Arial" w:eastAsia="Calibri" w:hAnsi="Arial" w:cs="Arial"/>
          <w:i/>
          <w:color w:val="000000" w:themeColor="text1"/>
          <w:lang w:val="en-US"/>
        </w:rPr>
        <w:t>TP53</w:t>
      </w:r>
      <w:r w:rsidR="0061482C" w:rsidRPr="003D44C0">
        <w:rPr>
          <w:rFonts w:ascii="Arial" w:eastAsia="Calibri" w:hAnsi="Arial" w:cs="Arial"/>
          <w:color w:val="000000" w:themeColor="text1"/>
          <w:lang w:val="en-US"/>
        </w:rPr>
        <w:t xml:space="preserve"> gene, a tumor suppressor gene located on chromosome 17. In contradistinction to adrenocortical carcinomas found in adults, mutations in</w:t>
      </w:r>
      <w:r w:rsidR="00CF58EA" w:rsidRPr="003D44C0">
        <w:rPr>
          <w:rFonts w:ascii="Arial" w:eastAsia="Calibri" w:hAnsi="Arial" w:cs="Arial"/>
          <w:color w:val="000000" w:themeColor="text1"/>
          <w:lang w:val="en-US"/>
        </w:rPr>
        <w:t xml:space="preserve"> the </w:t>
      </w:r>
      <w:r w:rsidR="00CF58EA" w:rsidRPr="003D44C0">
        <w:rPr>
          <w:rFonts w:ascii="Arial" w:eastAsia="Calibri" w:hAnsi="Arial" w:cs="Arial"/>
          <w:i/>
          <w:color w:val="000000" w:themeColor="text1"/>
          <w:lang w:val="en-US"/>
        </w:rPr>
        <w:t>CTNNB1</w:t>
      </w:r>
      <w:r w:rsidR="00CF58EA" w:rsidRPr="003D44C0">
        <w:rPr>
          <w:rFonts w:ascii="Arial" w:eastAsia="Calibri" w:hAnsi="Arial" w:cs="Arial"/>
          <w:color w:val="000000" w:themeColor="text1"/>
          <w:lang w:val="en-US"/>
        </w:rPr>
        <w:t xml:space="preserve"> gene that encodes for β</w:t>
      </w:r>
      <w:r w:rsidR="0061482C" w:rsidRPr="003D44C0">
        <w:rPr>
          <w:rFonts w:ascii="Arial" w:eastAsia="Calibri" w:hAnsi="Arial" w:cs="Arial"/>
          <w:color w:val="000000" w:themeColor="text1"/>
          <w:lang w:val="en-US"/>
        </w:rPr>
        <w:t>-</w:t>
      </w:r>
      <w:r w:rsidR="007C7154" w:rsidRPr="003D44C0">
        <w:rPr>
          <w:rFonts w:ascii="Arial" w:eastAsia="Calibri" w:hAnsi="Arial" w:cs="Arial"/>
          <w:color w:val="000000" w:themeColor="text1"/>
          <w:lang w:val="en-US"/>
        </w:rPr>
        <w:t>c</w:t>
      </w:r>
      <w:r w:rsidR="0061482C" w:rsidRPr="003D44C0">
        <w:rPr>
          <w:rFonts w:ascii="Arial" w:eastAsia="Calibri" w:hAnsi="Arial" w:cs="Arial"/>
          <w:color w:val="000000" w:themeColor="text1"/>
          <w:lang w:val="en-US"/>
        </w:rPr>
        <w:t>atenin</w:t>
      </w:r>
      <w:r w:rsidRPr="003D44C0">
        <w:rPr>
          <w:rFonts w:ascii="Arial" w:eastAsia="Calibri" w:hAnsi="Arial" w:cs="Arial"/>
          <w:color w:val="000000" w:themeColor="text1"/>
          <w:lang w:val="en-US"/>
        </w:rPr>
        <w:t xml:space="preserve"> </w:t>
      </w:r>
      <w:r w:rsidR="00D84B14" w:rsidRPr="003D44C0">
        <w:rPr>
          <w:rFonts w:ascii="Arial" w:eastAsia="Calibri" w:hAnsi="Arial" w:cs="Arial"/>
          <w:color w:val="000000" w:themeColor="text1"/>
          <w:lang w:val="en-US"/>
        </w:rPr>
        <w:t xml:space="preserve">are not frequently </w:t>
      </w:r>
      <w:r w:rsidR="001B5AE1" w:rsidRPr="003D44C0">
        <w:rPr>
          <w:rFonts w:ascii="Arial" w:eastAsia="Calibri" w:hAnsi="Arial" w:cs="Arial"/>
          <w:color w:val="000000" w:themeColor="text1"/>
          <w:lang w:val="en-US"/>
        </w:rPr>
        <w:t>detected (55</w:t>
      </w:r>
      <w:r w:rsidR="00CF58EA" w:rsidRPr="003D44C0">
        <w:rPr>
          <w:rFonts w:ascii="Arial" w:eastAsia="Calibri" w:hAnsi="Arial" w:cs="Arial"/>
          <w:color w:val="000000" w:themeColor="text1"/>
          <w:lang w:val="en-US"/>
        </w:rPr>
        <w:t xml:space="preserve">). Adrenocortical carcinoma </w:t>
      </w:r>
      <w:r w:rsidR="007C7154" w:rsidRPr="003D44C0">
        <w:rPr>
          <w:rFonts w:ascii="Arial" w:eastAsia="Calibri" w:hAnsi="Arial" w:cs="Arial"/>
          <w:color w:val="000000" w:themeColor="text1"/>
          <w:lang w:val="en-US"/>
        </w:rPr>
        <w:t>in children usually presents with hypertension and</w:t>
      </w:r>
      <w:r w:rsidR="00CF58EA" w:rsidRPr="003D44C0">
        <w:rPr>
          <w:rFonts w:ascii="Arial" w:eastAsia="Calibri" w:hAnsi="Arial" w:cs="Arial"/>
          <w:color w:val="000000" w:themeColor="text1"/>
          <w:lang w:val="en-US"/>
        </w:rPr>
        <w:t xml:space="preserve"> increased concentrations of adrenal androgens, especially DHEAS, causing virilization, early pubarche, altered voice timb</w:t>
      </w:r>
      <w:r w:rsidR="00390067" w:rsidRPr="003D44C0">
        <w:rPr>
          <w:rFonts w:ascii="Arial" w:eastAsia="Calibri" w:hAnsi="Arial" w:cs="Arial"/>
          <w:color w:val="000000" w:themeColor="text1"/>
          <w:lang w:val="en-US"/>
        </w:rPr>
        <w:t>er</w:t>
      </w:r>
      <w:r w:rsidR="00CF58EA" w:rsidRPr="003D44C0">
        <w:rPr>
          <w:rFonts w:ascii="Arial" w:eastAsia="Calibri" w:hAnsi="Arial" w:cs="Arial"/>
          <w:color w:val="000000" w:themeColor="text1"/>
          <w:lang w:val="en-US"/>
        </w:rPr>
        <w:t xml:space="preserve"> and irritability. </w:t>
      </w:r>
    </w:p>
    <w:p w14:paraId="71D9FBD7" w14:textId="77777777" w:rsidR="007C48D1" w:rsidRPr="003D44C0" w:rsidRDefault="007C48D1" w:rsidP="00B130EA">
      <w:pPr>
        <w:spacing w:after="0" w:line="276" w:lineRule="auto"/>
        <w:contextualSpacing/>
        <w:rPr>
          <w:rFonts w:ascii="Arial" w:eastAsia="Calibri" w:hAnsi="Arial" w:cs="Arial"/>
          <w:color w:val="ED7D31"/>
          <w:lang w:val="en-US"/>
        </w:rPr>
      </w:pPr>
    </w:p>
    <w:p w14:paraId="529F655C" w14:textId="77777777" w:rsidR="007C48D1" w:rsidRPr="003D44C0" w:rsidRDefault="007C48D1" w:rsidP="00B130EA">
      <w:pPr>
        <w:spacing w:after="0" w:line="276" w:lineRule="auto"/>
        <w:contextualSpacing/>
        <w:rPr>
          <w:rFonts w:ascii="Arial" w:eastAsia="Calibri" w:hAnsi="Arial" w:cs="Arial"/>
          <w:color w:val="FF0000"/>
          <w:lang w:val="en-US"/>
        </w:rPr>
      </w:pPr>
      <w:r w:rsidRPr="003D44C0">
        <w:rPr>
          <w:rFonts w:ascii="Arial" w:eastAsia="Calibri" w:hAnsi="Arial" w:cs="Arial"/>
          <w:color w:val="FF0000"/>
          <w:lang w:val="en-US"/>
        </w:rPr>
        <w:t>McCUNE-ALBRIGHT SYNDROME</w:t>
      </w:r>
    </w:p>
    <w:p w14:paraId="480056CF" w14:textId="77777777" w:rsidR="007C48D1" w:rsidRPr="003D44C0" w:rsidRDefault="007C48D1" w:rsidP="00B130EA">
      <w:pPr>
        <w:spacing w:after="0" w:line="276" w:lineRule="auto"/>
        <w:contextualSpacing/>
        <w:rPr>
          <w:rFonts w:ascii="Arial" w:eastAsia="Calibri" w:hAnsi="Arial" w:cs="Arial"/>
          <w:color w:val="FF0000"/>
          <w:lang w:val="en-US"/>
        </w:rPr>
      </w:pPr>
    </w:p>
    <w:p w14:paraId="500F1B9D" w14:textId="4E4F9F87" w:rsidR="007C48D1" w:rsidRPr="003D44C0" w:rsidRDefault="00104B6F" w:rsidP="00B130EA">
      <w:pPr>
        <w:spacing w:after="0" w:line="276" w:lineRule="auto"/>
        <w:contextualSpacing/>
        <w:rPr>
          <w:rFonts w:ascii="Arial" w:eastAsia="Calibri" w:hAnsi="Arial" w:cs="Arial"/>
          <w:color w:val="000000" w:themeColor="text1"/>
          <w:lang w:val="en-US"/>
        </w:rPr>
      </w:pPr>
      <w:r w:rsidRPr="003D44C0">
        <w:rPr>
          <w:rFonts w:ascii="Arial" w:eastAsia="Calibri" w:hAnsi="Arial" w:cs="Arial"/>
          <w:color w:val="000000" w:themeColor="text1"/>
          <w:lang w:val="en-US"/>
        </w:rPr>
        <w:t xml:space="preserve">This rare syndrome is characterized by the </w:t>
      </w:r>
      <w:r w:rsidR="00404E50" w:rsidRPr="003D44C0">
        <w:rPr>
          <w:rFonts w:ascii="Arial" w:eastAsia="Calibri" w:hAnsi="Arial" w:cs="Arial"/>
          <w:color w:val="000000" w:themeColor="text1"/>
          <w:lang w:val="en-US"/>
        </w:rPr>
        <w:t>classic triad of cafe-au-lait skin macules, polyostotic fibrous dysplasia, and hyper</w:t>
      </w:r>
      <w:r w:rsidR="001B5AE1" w:rsidRPr="003D44C0">
        <w:rPr>
          <w:rFonts w:ascii="Arial" w:eastAsia="Calibri" w:hAnsi="Arial" w:cs="Arial"/>
          <w:color w:val="000000" w:themeColor="text1"/>
          <w:lang w:val="en-US"/>
        </w:rPr>
        <w:t>functioning endocrinopathies (56</w:t>
      </w:r>
      <w:r w:rsidR="00404E50" w:rsidRPr="003D44C0">
        <w:rPr>
          <w:rFonts w:ascii="Arial" w:eastAsia="Calibri" w:hAnsi="Arial" w:cs="Arial"/>
          <w:color w:val="000000" w:themeColor="text1"/>
          <w:lang w:val="en-US"/>
        </w:rPr>
        <w:t>). The molecular basis of this condition has been ascribed to postzygotic somatic activating mutation</w:t>
      </w:r>
      <w:r w:rsidR="00B96E7D" w:rsidRPr="003D44C0">
        <w:rPr>
          <w:rFonts w:ascii="Arial" w:eastAsia="Calibri" w:hAnsi="Arial" w:cs="Arial"/>
          <w:color w:val="000000" w:themeColor="text1"/>
          <w:lang w:val="en-US"/>
        </w:rPr>
        <w:t xml:space="preserve">s in the </w:t>
      </w:r>
      <w:r w:rsidR="00B96E7D" w:rsidRPr="003D44C0">
        <w:rPr>
          <w:rFonts w:ascii="Arial" w:eastAsia="Calibri" w:hAnsi="Arial" w:cs="Arial"/>
          <w:i/>
          <w:color w:val="000000" w:themeColor="text1"/>
          <w:lang w:val="en-US"/>
        </w:rPr>
        <w:t>GNAS1</w:t>
      </w:r>
      <w:r w:rsidR="00B96E7D" w:rsidRPr="003D44C0">
        <w:rPr>
          <w:rFonts w:ascii="Arial" w:eastAsia="Calibri" w:hAnsi="Arial" w:cs="Arial"/>
          <w:color w:val="000000" w:themeColor="text1"/>
          <w:lang w:val="en-US"/>
        </w:rPr>
        <w:t xml:space="preserve"> gene encoding for the alpha subunit of Gs protein</w:t>
      </w:r>
      <w:r w:rsidR="001B5AE1" w:rsidRPr="003D44C0">
        <w:rPr>
          <w:rFonts w:ascii="Arial" w:eastAsia="Calibri" w:hAnsi="Arial" w:cs="Arial"/>
          <w:color w:val="000000" w:themeColor="text1"/>
          <w:lang w:val="en-US"/>
        </w:rPr>
        <w:t xml:space="preserve"> (57</w:t>
      </w:r>
      <w:r w:rsidR="00B96E7D" w:rsidRPr="003D44C0">
        <w:rPr>
          <w:rFonts w:ascii="Arial" w:eastAsia="Calibri" w:hAnsi="Arial" w:cs="Arial"/>
          <w:color w:val="000000" w:themeColor="text1"/>
          <w:lang w:val="en-US"/>
        </w:rPr>
        <w:t xml:space="preserve">). Hypertension in McCune-Albright syndrome has been associated with </w:t>
      </w:r>
      <w:r w:rsidR="00F05231" w:rsidRPr="003D44C0">
        <w:rPr>
          <w:rFonts w:ascii="Arial" w:eastAsia="Calibri" w:hAnsi="Arial" w:cs="Arial"/>
          <w:color w:val="000000" w:themeColor="text1"/>
          <w:lang w:val="en-US"/>
        </w:rPr>
        <w:t>Cushing syndrome</w:t>
      </w:r>
      <w:r w:rsidR="00DD6F0C" w:rsidRPr="003D44C0">
        <w:rPr>
          <w:rFonts w:ascii="Arial" w:eastAsia="Calibri" w:hAnsi="Arial" w:cs="Arial"/>
          <w:color w:val="000000" w:themeColor="text1"/>
          <w:lang w:val="en-US"/>
        </w:rPr>
        <w:t>,</w:t>
      </w:r>
      <w:r w:rsidR="00F05231" w:rsidRPr="003D44C0">
        <w:rPr>
          <w:rFonts w:ascii="Arial" w:eastAsia="Calibri" w:hAnsi="Arial" w:cs="Arial"/>
          <w:color w:val="000000" w:themeColor="text1"/>
          <w:lang w:val="en-US"/>
        </w:rPr>
        <w:t xml:space="preserve"> often seen in infancy, thyrotoxicosis</w:t>
      </w:r>
      <w:r w:rsidR="00DD6F0C" w:rsidRPr="003D44C0">
        <w:rPr>
          <w:rFonts w:ascii="Arial" w:eastAsia="Calibri" w:hAnsi="Arial" w:cs="Arial"/>
          <w:color w:val="000000" w:themeColor="text1"/>
          <w:lang w:val="en-US"/>
        </w:rPr>
        <w:t>,</w:t>
      </w:r>
      <w:r w:rsidR="00F05231" w:rsidRPr="003D44C0">
        <w:rPr>
          <w:rFonts w:ascii="Arial" w:eastAsia="Calibri" w:hAnsi="Arial" w:cs="Arial"/>
          <w:color w:val="000000" w:themeColor="text1"/>
          <w:lang w:val="en-US"/>
        </w:rPr>
        <w:t xml:space="preserve"> or hype</w:t>
      </w:r>
      <w:r w:rsidR="001B5AE1" w:rsidRPr="003D44C0">
        <w:rPr>
          <w:rFonts w:ascii="Arial" w:eastAsia="Calibri" w:hAnsi="Arial" w:cs="Arial"/>
          <w:color w:val="000000" w:themeColor="text1"/>
          <w:lang w:val="en-US"/>
        </w:rPr>
        <w:t>rsecretion of growth hormone (58</w:t>
      </w:r>
      <w:r w:rsidR="00F05231" w:rsidRPr="003D44C0">
        <w:rPr>
          <w:rFonts w:ascii="Arial" w:eastAsia="Calibri" w:hAnsi="Arial" w:cs="Arial"/>
          <w:color w:val="000000" w:themeColor="text1"/>
          <w:lang w:val="en-US"/>
        </w:rPr>
        <w:t>).</w:t>
      </w:r>
      <w:r w:rsidR="00B96E7D" w:rsidRPr="003D44C0">
        <w:rPr>
          <w:rFonts w:ascii="Arial" w:eastAsia="Calibri" w:hAnsi="Arial" w:cs="Arial"/>
          <w:color w:val="000000" w:themeColor="text1"/>
          <w:lang w:val="en-US"/>
        </w:rPr>
        <w:t xml:space="preserve"> </w:t>
      </w:r>
      <w:r w:rsidR="00404E50" w:rsidRPr="003D44C0">
        <w:rPr>
          <w:rFonts w:ascii="Arial" w:eastAsia="Calibri" w:hAnsi="Arial" w:cs="Arial"/>
          <w:color w:val="000000" w:themeColor="text1"/>
          <w:lang w:val="en-US"/>
        </w:rPr>
        <w:t xml:space="preserve"> </w:t>
      </w:r>
    </w:p>
    <w:p w14:paraId="6EA33CC2" w14:textId="77777777" w:rsidR="007C48D1" w:rsidRPr="003D44C0" w:rsidRDefault="007C48D1" w:rsidP="00B130EA">
      <w:pPr>
        <w:spacing w:after="0" w:line="276" w:lineRule="auto"/>
        <w:contextualSpacing/>
        <w:rPr>
          <w:rFonts w:ascii="Arial" w:eastAsia="Calibri" w:hAnsi="Arial" w:cs="Arial"/>
          <w:color w:val="FF0000"/>
          <w:lang w:val="en-US"/>
        </w:rPr>
      </w:pPr>
    </w:p>
    <w:p w14:paraId="075EDFCE" w14:textId="178B5F3C" w:rsidR="00F05231" w:rsidRPr="003D44C0" w:rsidRDefault="00F05231" w:rsidP="00B130EA">
      <w:pPr>
        <w:spacing w:after="0" w:line="276" w:lineRule="auto"/>
        <w:contextualSpacing/>
        <w:rPr>
          <w:rFonts w:ascii="Arial" w:eastAsia="Calibri" w:hAnsi="Arial" w:cs="Arial"/>
          <w:color w:val="FF0000"/>
          <w:lang w:val="en-US"/>
        </w:rPr>
      </w:pPr>
      <w:r w:rsidRPr="003D44C0">
        <w:rPr>
          <w:rFonts w:ascii="Arial" w:eastAsia="Calibri" w:hAnsi="Arial" w:cs="Arial"/>
          <w:color w:val="FF0000"/>
          <w:lang w:val="en-US"/>
        </w:rPr>
        <w:t xml:space="preserve">CARNEY </w:t>
      </w:r>
      <w:r w:rsidR="004954EF" w:rsidRPr="003D44C0">
        <w:rPr>
          <w:rFonts w:ascii="Arial" w:eastAsia="Calibri" w:hAnsi="Arial" w:cs="Arial"/>
          <w:color w:val="FF0000"/>
          <w:lang w:val="en-US"/>
        </w:rPr>
        <w:t>COMPLEX</w:t>
      </w:r>
    </w:p>
    <w:p w14:paraId="5DBCA917" w14:textId="77777777" w:rsidR="00F05231" w:rsidRPr="003D44C0" w:rsidRDefault="00F05231" w:rsidP="00B130EA">
      <w:pPr>
        <w:spacing w:after="0" w:line="276" w:lineRule="auto"/>
        <w:contextualSpacing/>
        <w:rPr>
          <w:rFonts w:ascii="Arial" w:eastAsia="Calibri" w:hAnsi="Arial" w:cs="Arial"/>
          <w:color w:val="FF0000"/>
          <w:lang w:val="en-US"/>
        </w:rPr>
      </w:pPr>
    </w:p>
    <w:p w14:paraId="29AFCD98" w14:textId="1C4C43BC" w:rsidR="007C48D1" w:rsidRPr="003D44C0" w:rsidRDefault="0011018B" w:rsidP="00B130EA">
      <w:pPr>
        <w:spacing w:after="0" w:line="276" w:lineRule="auto"/>
        <w:contextualSpacing/>
        <w:rPr>
          <w:rFonts w:ascii="Arial" w:eastAsia="Calibri" w:hAnsi="Arial" w:cs="Arial"/>
          <w:color w:val="000000" w:themeColor="text1"/>
          <w:lang w:val="en-US"/>
        </w:rPr>
      </w:pPr>
      <w:r w:rsidRPr="003D44C0">
        <w:rPr>
          <w:rFonts w:ascii="Arial" w:eastAsia="Calibri" w:hAnsi="Arial" w:cs="Arial"/>
          <w:color w:val="000000" w:themeColor="text1"/>
          <w:lang w:val="en-US"/>
        </w:rPr>
        <w:t xml:space="preserve">Carney </w:t>
      </w:r>
      <w:r w:rsidR="004954EF" w:rsidRPr="003D44C0">
        <w:rPr>
          <w:rFonts w:ascii="Arial" w:eastAsia="Calibri" w:hAnsi="Arial" w:cs="Arial"/>
          <w:color w:val="000000" w:themeColor="text1"/>
          <w:lang w:val="en-US"/>
        </w:rPr>
        <w:t>complex</w:t>
      </w:r>
      <w:r w:rsidRPr="003D44C0">
        <w:rPr>
          <w:rFonts w:ascii="Arial" w:eastAsia="Calibri" w:hAnsi="Arial" w:cs="Arial"/>
          <w:color w:val="000000" w:themeColor="text1"/>
          <w:lang w:val="en-US"/>
        </w:rPr>
        <w:t xml:space="preserve"> is inherited in an autosomal-dominant </w:t>
      </w:r>
      <w:r w:rsidR="00BC036B" w:rsidRPr="003D44C0">
        <w:rPr>
          <w:rFonts w:ascii="Arial" w:eastAsia="Calibri" w:hAnsi="Arial" w:cs="Arial"/>
          <w:color w:val="000000" w:themeColor="text1"/>
          <w:lang w:val="en-US"/>
        </w:rPr>
        <w:t>fashion and</w:t>
      </w:r>
      <w:r w:rsidRPr="003D44C0">
        <w:rPr>
          <w:rFonts w:ascii="Arial" w:eastAsia="Calibri" w:hAnsi="Arial" w:cs="Arial"/>
          <w:color w:val="000000" w:themeColor="text1"/>
          <w:lang w:val="en-US"/>
        </w:rPr>
        <w:t xml:space="preserve"> is caused by</w:t>
      </w:r>
      <w:r w:rsidRPr="003D44C0">
        <w:rPr>
          <w:rFonts w:ascii="Arial" w:hAnsi="Arial" w:cs="Arial"/>
          <w:lang w:val="en-US"/>
        </w:rPr>
        <w:t xml:space="preserve"> </w:t>
      </w:r>
      <w:r w:rsidRPr="003D44C0">
        <w:rPr>
          <w:rFonts w:ascii="Arial" w:eastAsia="Calibri" w:hAnsi="Arial" w:cs="Arial"/>
          <w:color w:val="000000" w:themeColor="text1"/>
          <w:lang w:val="en-US"/>
        </w:rPr>
        <w:t xml:space="preserve">mutations in the </w:t>
      </w:r>
      <w:r w:rsidRPr="003D44C0">
        <w:rPr>
          <w:rFonts w:ascii="Arial" w:eastAsia="Calibri" w:hAnsi="Arial" w:cs="Arial"/>
          <w:i/>
          <w:color w:val="000000" w:themeColor="text1"/>
          <w:lang w:val="en-US"/>
        </w:rPr>
        <w:t>PRKAR1A</w:t>
      </w:r>
      <w:r w:rsidRPr="003D44C0">
        <w:rPr>
          <w:rFonts w:ascii="Arial" w:eastAsia="Calibri" w:hAnsi="Arial" w:cs="Arial"/>
          <w:color w:val="000000" w:themeColor="text1"/>
          <w:lang w:val="en-US"/>
        </w:rPr>
        <w:t xml:space="preserve"> gene (17q22-24) encoding the regulatory subunit type I alpha of protein kinase A</w:t>
      </w:r>
      <w:r w:rsidR="001B5AE1" w:rsidRPr="003D44C0">
        <w:rPr>
          <w:rFonts w:ascii="Arial" w:eastAsia="Calibri" w:hAnsi="Arial" w:cs="Arial"/>
          <w:color w:val="000000" w:themeColor="text1"/>
          <w:lang w:val="en-US"/>
        </w:rPr>
        <w:t xml:space="preserve"> (59</w:t>
      </w:r>
      <w:r w:rsidRPr="003D44C0">
        <w:rPr>
          <w:rFonts w:ascii="Arial" w:eastAsia="Calibri" w:hAnsi="Arial" w:cs="Arial"/>
          <w:color w:val="000000" w:themeColor="text1"/>
          <w:lang w:val="en-US"/>
        </w:rPr>
        <w:t xml:space="preserve">). The cardinal clinical manifestations often seen in patients with </w:t>
      </w:r>
      <w:r w:rsidR="004954EF" w:rsidRPr="003D44C0">
        <w:rPr>
          <w:rFonts w:ascii="Arial" w:eastAsia="Calibri" w:hAnsi="Arial" w:cs="Arial"/>
          <w:color w:val="000000" w:themeColor="text1"/>
          <w:lang w:val="en-US"/>
        </w:rPr>
        <w:t>the complex</w:t>
      </w:r>
      <w:r w:rsidRPr="003D44C0">
        <w:rPr>
          <w:rFonts w:ascii="Arial" w:eastAsia="Calibri" w:hAnsi="Arial" w:cs="Arial"/>
          <w:color w:val="000000" w:themeColor="text1"/>
          <w:lang w:val="en-US"/>
        </w:rPr>
        <w:t xml:space="preserve"> include lentigines,</w:t>
      </w:r>
      <w:r w:rsidRPr="003D44C0">
        <w:rPr>
          <w:rFonts w:ascii="Arial" w:hAnsi="Arial" w:cs="Arial"/>
          <w:lang w:val="en-US"/>
        </w:rPr>
        <w:t xml:space="preserve"> </w:t>
      </w:r>
      <w:r w:rsidRPr="003D44C0">
        <w:rPr>
          <w:rFonts w:ascii="Arial" w:eastAsia="Calibri" w:hAnsi="Arial" w:cs="Arial"/>
          <w:color w:val="000000" w:themeColor="text1"/>
          <w:lang w:val="en-US"/>
        </w:rPr>
        <w:t xml:space="preserve">cardiac and breast myxomas, and </w:t>
      </w:r>
      <w:r w:rsidR="003A5C48" w:rsidRPr="003D44C0">
        <w:rPr>
          <w:rFonts w:ascii="Arial" w:eastAsia="Calibri" w:hAnsi="Arial" w:cs="Arial"/>
          <w:color w:val="000000" w:themeColor="text1"/>
          <w:lang w:val="en-US"/>
        </w:rPr>
        <w:t>PPNAD</w:t>
      </w:r>
      <w:r w:rsidRPr="003D44C0">
        <w:rPr>
          <w:rFonts w:ascii="Arial" w:eastAsia="Calibri" w:hAnsi="Arial" w:cs="Arial"/>
          <w:color w:val="000000" w:themeColor="text1"/>
          <w:lang w:val="en-US"/>
        </w:rPr>
        <w:t xml:space="preserve"> that causes ACTH-independent Cushing’s syndrome (</w:t>
      </w:r>
      <w:r w:rsidR="001B5AE1" w:rsidRPr="003D44C0">
        <w:rPr>
          <w:rFonts w:ascii="Arial" w:eastAsia="Calibri" w:hAnsi="Arial" w:cs="Arial"/>
          <w:color w:val="000000" w:themeColor="text1"/>
          <w:lang w:val="en-US"/>
        </w:rPr>
        <w:t>60, 61</w:t>
      </w:r>
      <w:r w:rsidRPr="003D44C0">
        <w:rPr>
          <w:rFonts w:ascii="Arial" w:eastAsia="Calibri" w:hAnsi="Arial" w:cs="Arial"/>
          <w:color w:val="000000" w:themeColor="text1"/>
          <w:lang w:val="en-US"/>
        </w:rPr>
        <w:t>). The latter is responsible for hypertension in these patients.</w:t>
      </w:r>
    </w:p>
    <w:p w14:paraId="586F0BD2" w14:textId="77777777" w:rsidR="0011018B" w:rsidRPr="003D44C0" w:rsidRDefault="0011018B" w:rsidP="00B130EA">
      <w:pPr>
        <w:spacing w:after="0" w:line="276" w:lineRule="auto"/>
        <w:contextualSpacing/>
        <w:rPr>
          <w:rFonts w:ascii="Arial" w:eastAsia="Calibri" w:hAnsi="Arial" w:cs="Arial"/>
          <w:color w:val="FF0000"/>
          <w:lang w:val="en-US"/>
        </w:rPr>
      </w:pPr>
    </w:p>
    <w:p w14:paraId="2F3B7E6D" w14:textId="77777777" w:rsidR="007C48D1" w:rsidRPr="003D44C0" w:rsidRDefault="007C48D1" w:rsidP="00B130EA">
      <w:pPr>
        <w:spacing w:after="0" w:line="276" w:lineRule="auto"/>
        <w:contextualSpacing/>
        <w:rPr>
          <w:rFonts w:ascii="Arial" w:eastAsia="Calibri" w:hAnsi="Arial" w:cs="Arial"/>
          <w:color w:val="0070C0"/>
          <w:lang w:val="en-US"/>
        </w:rPr>
      </w:pPr>
      <w:r w:rsidRPr="003D44C0">
        <w:rPr>
          <w:rFonts w:ascii="Arial" w:eastAsia="Calibri" w:hAnsi="Arial" w:cs="Arial"/>
          <w:b/>
          <w:color w:val="0070C0"/>
          <w:lang w:val="en-US"/>
        </w:rPr>
        <w:t>DISORDERS OF THE ADRENAL MEDULLA</w:t>
      </w:r>
    </w:p>
    <w:p w14:paraId="186DEF5F" w14:textId="77777777" w:rsidR="007C48D1" w:rsidRPr="003D44C0" w:rsidRDefault="007C48D1" w:rsidP="00B130EA">
      <w:pPr>
        <w:spacing w:after="0" w:line="276" w:lineRule="auto"/>
        <w:contextualSpacing/>
        <w:rPr>
          <w:rFonts w:ascii="Arial" w:eastAsia="Calibri" w:hAnsi="Arial" w:cs="Arial"/>
          <w:color w:val="0070C0"/>
          <w:lang w:val="en-US"/>
        </w:rPr>
      </w:pPr>
    </w:p>
    <w:p w14:paraId="4C84C5D6" w14:textId="77777777" w:rsidR="007C48D1" w:rsidRPr="003D44C0" w:rsidRDefault="007C48D1" w:rsidP="00B130EA">
      <w:pPr>
        <w:spacing w:after="0" w:line="276" w:lineRule="auto"/>
        <w:contextualSpacing/>
        <w:rPr>
          <w:rFonts w:ascii="Arial" w:eastAsia="Calibri" w:hAnsi="Arial" w:cs="Arial"/>
          <w:color w:val="0070C0"/>
          <w:lang w:val="en-US"/>
        </w:rPr>
      </w:pPr>
      <w:r w:rsidRPr="003D44C0">
        <w:rPr>
          <w:rFonts w:ascii="Arial" w:eastAsia="Calibri" w:hAnsi="Arial" w:cs="Arial"/>
          <w:b/>
          <w:color w:val="00B050"/>
          <w:lang w:val="en-US"/>
        </w:rPr>
        <w:t>Conditions with Catecholamine Excess</w:t>
      </w:r>
    </w:p>
    <w:p w14:paraId="1CA670AC" w14:textId="77777777" w:rsidR="007C48D1" w:rsidRPr="003D44C0" w:rsidRDefault="007C48D1" w:rsidP="00B130EA">
      <w:pPr>
        <w:spacing w:after="0" w:line="276" w:lineRule="auto"/>
        <w:contextualSpacing/>
        <w:rPr>
          <w:rFonts w:ascii="Arial" w:eastAsia="Calibri" w:hAnsi="Arial" w:cs="Arial"/>
          <w:color w:val="0070C0"/>
          <w:lang w:val="en-US"/>
        </w:rPr>
      </w:pPr>
    </w:p>
    <w:p w14:paraId="383D265D" w14:textId="77777777" w:rsidR="007C48D1" w:rsidRPr="003D44C0" w:rsidRDefault="007C48D1" w:rsidP="00B130EA">
      <w:pPr>
        <w:spacing w:after="0" w:line="276" w:lineRule="auto"/>
        <w:contextualSpacing/>
        <w:rPr>
          <w:rFonts w:ascii="Arial" w:eastAsia="Calibri" w:hAnsi="Arial" w:cs="Arial"/>
          <w:color w:val="FF0000"/>
          <w:lang w:val="en-US"/>
        </w:rPr>
      </w:pPr>
      <w:r w:rsidRPr="003D44C0">
        <w:rPr>
          <w:rFonts w:ascii="Arial" w:eastAsia="Calibri" w:hAnsi="Arial" w:cs="Arial"/>
          <w:color w:val="FF0000"/>
          <w:lang w:val="en-US"/>
        </w:rPr>
        <w:t>PHEOCHROMOCYTOMA</w:t>
      </w:r>
      <w:r w:rsidR="00663246" w:rsidRPr="003D44C0">
        <w:rPr>
          <w:rFonts w:ascii="Arial" w:eastAsia="Calibri" w:hAnsi="Arial" w:cs="Arial"/>
          <w:color w:val="FF0000"/>
          <w:lang w:val="en-US"/>
        </w:rPr>
        <w:t xml:space="preserve"> AND </w:t>
      </w:r>
      <w:r w:rsidRPr="003D44C0">
        <w:rPr>
          <w:rFonts w:ascii="Arial" w:eastAsia="Calibri" w:hAnsi="Arial" w:cs="Arial"/>
          <w:color w:val="FF0000"/>
          <w:lang w:val="en-US"/>
        </w:rPr>
        <w:t>PARAGANGLIOMA</w:t>
      </w:r>
    </w:p>
    <w:p w14:paraId="1CF59A40" w14:textId="77777777" w:rsidR="007C48D1" w:rsidRPr="003D44C0" w:rsidRDefault="007C48D1" w:rsidP="00B130EA">
      <w:pPr>
        <w:spacing w:after="0" w:line="276" w:lineRule="auto"/>
        <w:contextualSpacing/>
        <w:rPr>
          <w:rFonts w:ascii="Arial" w:eastAsia="Calibri" w:hAnsi="Arial" w:cs="Arial"/>
          <w:color w:val="0070C0"/>
          <w:lang w:val="en-US"/>
        </w:rPr>
      </w:pPr>
    </w:p>
    <w:p w14:paraId="152B4246" w14:textId="49399251" w:rsidR="00B35DEF" w:rsidRPr="003D44C0" w:rsidRDefault="003C752B" w:rsidP="00B130EA">
      <w:pPr>
        <w:spacing w:after="0" w:line="276" w:lineRule="auto"/>
        <w:contextualSpacing/>
        <w:rPr>
          <w:rFonts w:ascii="Arial" w:eastAsia="Calibri" w:hAnsi="Arial" w:cs="Arial"/>
          <w:color w:val="000000" w:themeColor="text1"/>
          <w:lang w:val="en-US"/>
        </w:rPr>
      </w:pPr>
      <w:r w:rsidRPr="003D44C0">
        <w:rPr>
          <w:rFonts w:ascii="Arial" w:eastAsia="Calibri" w:hAnsi="Arial" w:cs="Arial"/>
          <w:color w:val="000000" w:themeColor="text1"/>
          <w:lang w:val="en-US"/>
        </w:rPr>
        <w:t xml:space="preserve">Pheochromocytomas and paragangliomas are rare tumors that produce and release </w:t>
      </w:r>
      <w:r w:rsidR="00B4372C" w:rsidRPr="003D44C0">
        <w:rPr>
          <w:rFonts w:ascii="Arial" w:eastAsia="Calibri" w:hAnsi="Arial" w:cs="Arial"/>
          <w:color w:val="000000" w:themeColor="text1"/>
          <w:lang w:val="en-US"/>
        </w:rPr>
        <w:t xml:space="preserve">excess amount of catecholamines </w:t>
      </w:r>
      <w:r w:rsidRPr="003D44C0">
        <w:rPr>
          <w:rFonts w:ascii="Arial" w:eastAsia="Calibri" w:hAnsi="Arial" w:cs="Arial"/>
          <w:color w:val="000000" w:themeColor="text1"/>
          <w:lang w:val="en-US"/>
        </w:rPr>
        <w:t>into the systemic circulation. They both account for 0</w:t>
      </w:r>
      <w:r w:rsidR="00DD6F0C" w:rsidRPr="003D44C0">
        <w:rPr>
          <w:rFonts w:ascii="Arial" w:eastAsia="Calibri" w:hAnsi="Arial" w:cs="Arial"/>
          <w:color w:val="000000" w:themeColor="text1"/>
          <w:lang w:val="en-US"/>
        </w:rPr>
        <w:t>.</w:t>
      </w:r>
      <w:r w:rsidRPr="003D44C0">
        <w:rPr>
          <w:rFonts w:ascii="Arial" w:eastAsia="Calibri" w:hAnsi="Arial" w:cs="Arial"/>
          <w:color w:val="000000" w:themeColor="text1"/>
          <w:lang w:val="en-US"/>
        </w:rPr>
        <w:t>5%-2% of hypertension in children and adolescents (</w:t>
      </w:r>
      <w:r w:rsidR="0031149E" w:rsidRPr="003D44C0">
        <w:rPr>
          <w:rFonts w:ascii="Arial" w:eastAsia="Calibri" w:hAnsi="Arial" w:cs="Arial"/>
          <w:color w:val="000000" w:themeColor="text1"/>
          <w:lang w:val="en-US"/>
        </w:rPr>
        <w:t>62</w:t>
      </w:r>
      <w:r w:rsidRPr="003D44C0">
        <w:rPr>
          <w:rFonts w:ascii="Arial" w:eastAsia="Calibri" w:hAnsi="Arial" w:cs="Arial"/>
          <w:color w:val="000000" w:themeColor="text1"/>
          <w:lang w:val="en-US"/>
        </w:rPr>
        <w:t>).</w:t>
      </w:r>
      <w:r w:rsidR="002D44A9" w:rsidRPr="003D44C0">
        <w:rPr>
          <w:rFonts w:ascii="Arial" w:eastAsia="Calibri" w:hAnsi="Arial" w:cs="Arial"/>
          <w:color w:val="000000" w:themeColor="text1"/>
          <w:lang w:val="en-US"/>
        </w:rPr>
        <w:t xml:space="preserve"> According to Sarathi, 10% of pediatric pheochromocytomas and paragangliomas are malignant, 20% of them are </w:t>
      </w:r>
      <w:r w:rsidR="00D35D8C" w:rsidRPr="003D44C0">
        <w:rPr>
          <w:rFonts w:ascii="Arial" w:eastAsia="Calibri" w:hAnsi="Arial" w:cs="Arial"/>
          <w:color w:val="000000" w:themeColor="text1"/>
          <w:lang w:val="en-US"/>
        </w:rPr>
        <w:t xml:space="preserve">synchronous </w:t>
      </w:r>
      <w:r w:rsidR="002D44A9" w:rsidRPr="003D44C0">
        <w:rPr>
          <w:rFonts w:ascii="Arial" w:eastAsia="Calibri" w:hAnsi="Arial" w:cs="Arial"/>
          <w:color w:val="000000" w:themeColor="text1"/>
          <w:lang w:val="en-US"/>
        </w:rPr>
        <w:t>bilateral, 30% are extra-adrenal, and 40% are familial (63).</w:t>
      </w:r>
      <w:r w:rsidR="00D35D8C" w:rsidRPr="003D44C0">
        <w:rPr>
          <w:rFonts w:ascii="Arial" w:eastAsia="Calibri" w:hAnsi="Arial" w:cs="Arial"/>
          <w:color w:val="000000" w:themeColor="text1"/>
          <w:lang w:val="en-US"/>
        </w:rPr>
        <w:t xml:space="preserve"> These tumors occur more frequently in boys (60%), present with hypertension (70%), and may be sporadic or in the context o</w:t>
      </w:r>
      <w:r w:rsidR="00886854" w:rsidRPr="003D44C0">
        <w:rPr>
          <w:rFonts w:ascii="Arial" w:eastAsia="Calibri" w:hAnsi="Arial" w:cs="Arial"/>
          <w:color w:val="000000" w:themeColor="text1"/>
          <w:lang w:val="en-US"/>
        </w:rPr>
        <w:t xml:space="preserve">f specific syndromes, including neurofibromatosis type 1 caused by </w:t>
      </w:r>
      <w:r w:rsidR="00886854" w:rsidRPr="003D44C0">
        <w:rPr>
          <w:rFonts w:ascii="Arial" w:eastAsia="Calibri" w:hAnsi="Arial" w:cs="Arial"/>
          <w:i/>
          <w:color w:val="000000" w:themeColor="text1"/>
          <w:lang w:val="en-US"/>
        </w:rPr>
        <w:t>NF1</w:t>
      </w:r>
      <w:r w:rsidR="00886854" w:rsidRPr="003D44C0">
        <w:rPr>
          <w:rFonts w:ascii="Arial" w:eastAsia="Calibri" w:hAnsi="Arial" w:cs="Arial"/>
          <w:color w:val="000000" w:themeColor="text1"/>
          <w:lang w:val="en-US"/>
        </w:rPr>
        <w:t xml:space="preserve"> gene mutations, Von Hippel-Lindau disease type 2 due to </w:t>
      </w:r>
      <w:r w:rsidR="00886854" w:rsidRPr="003D44C0">
        <w:rPr>
          <w:rFonts w:ascii="Arial" w:eastAsia="Calibri" w:hAnsi="Arial" w:cs="Arial"/>
          <w:i/>
          <w:color w:val="000000" w:themeColor="text1"/>
          <w:lang w:val="en-US"/>
        </w:rPr>
        <w:t xml:space="preserve">VHL </w:t>
      </w:r>
      <w:r w:rsidR="00886854" w:rsidRPr="003D44C0">
        <w:rPr>
          <w:rFonts w:ascii="Arial" w:eastAsia="Calibri" w:hAnsi="Arial" w:cs="Arial"/>
          <w:color w:val="000000" w:themeColor="text1"/>
          <w:lang w:val="en-US"/>
        </w:rPr>
        <w:t xml:space="preserve">genetic defects, and multiple endocrine neoplasia type 2 caused by mutations in the </w:t>
      </w:r>
      <w:r w:rsidR="00886854" w:rsidRPr="003D44C0">
        <w:rPr>
          <w:rFonts w:ascii="Arial" w:eastAsia="Calibri" w:hAnsi="Arial" w:cs="Arial"/>
          <w:i/>
          <w:color w:val="000000" w:themeColor="text1"/>
          <w:lang w:val="en-US"/>
        </w:rPr>
        <w:t xml:space="preserve">RET </w:t>
      </w:r>
      <w:r w:rsidR="00886854" w:rsidRPr="003D44C0">
        <w:rPr>
          <w:rFonts w:ascii="Arial" w:eastAsia="Calibri" w:hAnsi="Arial" w:cs="Arial"/>
          <w:color w:val="000000" w:themeColor="text1"/>
          <w:lang w:val="en-US"/>
        </w:rPr>
        <w:t>gene (64).</w:t>
      </w:r>
      <w:r w:rsidR="00211EF3" w:rsidRPr="003D44C0">
        <w:rPr>
          <w:rFonts w:ascii="Arial" w:eastAsia="Calibri" w:hAnsi="Arial" w:cs="Arial"/>
          <w:color w:val="000000" w:themeColor="text1"/>
          <w:lang w:val="en-US"/>
        </w:rPr>
        <w:t xml:space="preserve"> Rarely, pheochromocytomas and paragangliomas may present in paragangliomas syndromes caused by germline mutations in genes encoding the subunits D, AF2, C, B, and A of succinate dehydrogenase (SDH), or </w:t>
      </w:r>
      <w:r w:rsidR="0089752D" w:rsidRPr="003D44C0">
        <w:rPr>
          <w:rFonts w:ascii="Arial" w:eastAsia="Calibri" w:hAnsi="Arial" w:cs="Arial"/>
          <w:color w:val="000000" w:themeColor="text1"/>
          <w:lang w:val="en-US"/>
        </w:rPr>
        <w:t>in the Pacak-Zhuang syndrome due to activating genetic defects in hypoxia-inducible factor 2 alpha (HIF2A)</w:t>
      </w:r>
      <w:r w:rsidR="00CE4BFE" w:rsidRPr="003D44C0">
        <w:rPr>
          <w:rFonts w:ascii="Arial" w:eastAsia="Calibri" w:hAnsi="Arial" w:cs="Arial"/>
          <w:color w:val="000000" w:themeColor="text1"/>
          <w:lang w:val="en-US"/>
        </w:rPr>
        <w:t>, or in familial pheochromocytomas characterized by Myc-associated protein X (MAX) and transmembrane protein 127 (TMEM127) gene mutations. Although an ever-increasing number of predisposing genes have been identified so far, it is worth mentioning that most genetic defects in patients with pheochromocytomas and paragangliomas remain unidentified (</w:t>
      </w:r>
      <w:r w:rsidR="00B94F25" w:rsidRPr="003D44C0">
        <w:rPr>
          <w:rFonts w:ascii="Arial" w:eastAsia="Calibri" w:hAnsi="Arial" w:cs="Arial"/>
          <w:color w:val="000000" w:themeColor="text1"/>
          <w:lang w:val="en-US"/>
        </w:rPr>
        <w:t>65</w:t>
      </w:r>
      <w:r w:rsidR="00CE4BFE" w:rsidRPr="003D44C0">
        <w:rPr>
          <w:rFonts w:ascii="Arial" w:eastAsia="Calibri" w:hAnsi="Arial" w:cs="Arial"/>
          <w:color w:val="000000" w:themeColor="text1"/>
          <w:lang w:val="en-US"/>
        </w:rPr>
        <w:t xml:space="preserve">). </w:t>
      </w:r>
      <w:r w:rsidR="003E074C" w:rsidRPr="003D44C0">
        <w:rPr>
          <w:rFonts w:ascii="Arial" w:eastAsia="Calibri" w:hAnsi="Arial" w:cs="Arial"/>
          <w:color w:val="000000" w:themeColor="text1"/>
          <w:lang w:val="en-US"/>
        </w:rPr>
        <w:t xml:space="preserve">Clinical manifestations include hypertension in 70%-90% of pediatric patients, </w:t>
      </w:r>
      <w:r w:rsidR="00747A80" w:rsidRPr="003D44C0">
        <w:rPr>
          <w:rFonts w:ascii="Arial" w:eastAsia="Calibri" w:hAnsi="Arial" w:cs="Arial"/>
          <w:color w:val="000000" w:themeColor="text1"/>
          <w:lang w:val="en-US"/>
        </w:rPr>
        <w:t>flushing, hyperhidrosis,</w:t>
      </w:r>
      <w:r w:rsidR="003E074C" w:rsidRPr="003D44C0">
        <w:rPr>
          <w:rFonts w:ascii="Arial" w:eastAsia="Calibri" w:hAnsi="Arial" w:cs="Arial"/>
          <w:color w:val="000000" w:themeColor="text1"/>
          <w:lang w:val="en-US"/>
        </w:rPr>
        <w:t xml:space="preserve"> </w:t>
      </w:r>
      <w:r w:rsidR="00747A80" w:rsidRPr="003D44C0">
        <w:rPr>
          <w:rFonts w:ascii="Arial" w:eastAsia="Calibri" w:hAnsi="Arial" w:cs="Arial"/>
          <w:color w:val="000000" w:themeColor="text1"/>
          <w:lang w:val="en-US"/>
        </w:rPr>
        <w:t xml:space="preserve">palpitations, </w:t>
      </w:r>
      <w:r w:rsidR="000D1A7F" w:rsidRPr="003D44C0">
        <w:rPr>
          <w:rFonts w:ascii="Arial" w:eastAsia="Calibri" w:hAnsi="Arial" w:cs="Arial"/>
          <w:color w:val="000000" w:themeColor="text1"/>
          <w:lang w:val="en-US"/>
        </w:rPr>
        <w:t>tremors</w:t>
      </w:r>
      <w:r w:rsidR="00747A80" w:rsidRPr="003D44C0">
        <w:rPr>
          <w:rFonts w:ascii="Arial" w:eastAsia="Calibri" w:hAnsi="Arial" w:cs="Arial"/>
          <w:color w:val="000000" w:themeColor="text1"/>
          <w:lang w:val="en-US"/>
        </w:rPr>
        <w:t>,</w:t>
      </w:r>
      <w:r w:rsidR="003E074C" w:rsidRPr="003D44C0">
        <w:rPr>
          <w:rFonts w:ascii="Arial" w:eastAsia="Calibri" w:hAnsi="Arial" w:cs="Arial"/>
          <w:color w:val="000000" w:themeColor="text1"/>
          <w:lang w:val="en-US"/>
        </w:rPr>
        <w:t xml:space="preserve"> </w:t>
      </w:r>
      <w:r w:rsidR="00747A80" w:rsidRPr="003D44C0">
        <w:rPr>
          <w:rFonts w:ascii="Arial" w:eastAsia="Calibri" w:hAnsi="Arial" w:cs="Arial"/>
          <w:color w:val="000000" w:themeColor="text1"/>
          <w:lang w:val="en-US"/>
        </w:rPr>
        <w:t xml:space="preserve">headaches, nausea and/or vomiting during exercise, </w:t>
      </w:r>
      <w:r w:rsidR="006F2085" w:rsidRPr="003D44C0">
        <w:rPr>
          <w:rFonts w:ascii="Arial" w:eastAsia="Calibri" w:hAnsi="Arial" w:cs="Arial"/>
          <w:color w:val="000000" w:themeColor="text1"/>
          <w:lang w:val="en-US"/>
        </w:rPr>
        <w:t>hyperactivity</w:t>
      </w:r>
      <w:r w:rsidR="00257033" w:rsidRPr="003D44C0">
        <w:rPr>
          <w:rFonts w:ascii="Arial" w:eastAsia="Calibri" w:hAnsi="Arial" w:cs="Arial"/>
          <w:color w:val="000000" w:themeColor="text1"/>
          <w:lang w:val="en-US"/>
        </w:rPr>
        <w:t>,</w:t>
      </w:r>
      <w:r w:rsidR="006F2085" w:rsidRPr="003D44C0">
        <w:rPr>
          <w:rFonts w:ascii="Arial" w:eastAsia="Calibri" w:hAnsi="Arial" w:cs="Arial"/>
          <w:color w:val="000000" w:themeColor="text1"/>
          <w:lang w:val="en-US"/>
        </w:rPr>
        <w:t xml:space="preserve"> or worsen</w:t>
      </w:r>
      <w:r w:rsidR="00257033" w:rsidRPr="003D44C0">
        <w:rPr>
          <w:rFonts w:ascii="Arial" w:eastAsia="Calibri" w:hAnsi="Arial" w:cs="Arial"/>
          <w:color w:val="000000" w:themeColor="text1"/>
          <w:lang w:val="en-US"/>
        </w:rPr>
        <w:t>ing of</w:t>
      </w:r>
      <w:r w:rsidR="006F2085" w:rsidRPr="003D44C0">
        <w:rPr>
          <w:rFonts w:ascii="Arial" w:eastAsia="Calibri" w:hAnsi="Arial" w:cs="Arial"/>
          <w:color w:val="000000" w:themeColor="text1"/>
          <w:lang w:val="en-US"/>
        </w:rPr>
        <w:t xml:space="preserve"> school performance.</w:t>
      </w:r>
      <w:r w:rsidR="00B72E53" w:rsidRPr="003D44C0">
        <w:rPr>
          <w:rFonts w:ascii="Arial" w:eastAsia="Calibri" w:hAnsi="Arial" w:cs="Arial"/>
          <w:color w:val="000000" w:themeColor="text1"/>
          <w:lang w:val="en-US"/>
        </w:rPr>
        <w:t xml:space="preserve"> According to the recently published international consensus statement on the diagnostic work-up and the therapeutic management of pheochromocytomas and paragangliomas (66),</w:t>
      </w:r>
      <w:r w:rsidR="00A746FE" w:rsidRPr="003D44C0">
        <w:rPr>
          <w:rFonts w:ascii="Arial" w:eastAsia="Calibri" w:hAnsi="Arial" w:cs="Arial"/>
          <w:color w:val="000000" w:themeColor="text1"/>
          <w:lang w:val="en-US"/>
        </w:rPr>
        <w:t xml:space="preserve"> the </w:t>
      </w:r>
      <w:r w:rsidR="006677DA" w:rsidRPr="003D44C0">
        <w:rPr>
          <w:rFonts w:ascii="Arial" w:eastAsia="Calibri" w:hAnsi="Arial" w:cs="Arial"/>
          <w:color w:val="000000" w:themeColor="text1"/>
          <w:lang w:val="en-US"/>
        </w:rPr>
        <w:t xml:space="preserve">laboratory evaluation includes plasma-free or urine (spot or 24-h) levels of normetanephrine and metanephrine </w:t>
      </w:r>
      <w:r w:rsidR="006677DA" w:rsidRPr="003D44C0">
        <w:rPr>
          <w:rFonts w:ascii="Arial" w:eastAsia="Calibri" w:hAnsi="Arial" w:cs="Arial"/>
          <w:color w:val="000000" w:themeColor="text1"/>
          <w:lang w:val="en-US"/>
        </w:rPr>
        <w:lastRenderedPageBreak/>
        <w:t xml:space="preserve">using liquid chromatography. In those children and adolescents with </w:t>
      </w:r>
      <w:r w:rsidR="00D91726" w:rsidRPr="003D44C0">
        <w:rPr>
          <w:rFonts w:ascii="Arial" w:eastAsia="Calibri" w:hAnsi="Arial" w:cs="Arial"/>
          <w:color w:val="000000" w:themeColor="text1"/>
          <w:lang w:val="en-US"/>
        </w:rPr>
        <w:t>elevated concentrations of catecholamines, either MRI or CT should be performed for tumor localization (66). I</w:t>
      </w:r>
      <w:r w:rsidR="005F60DB" w:rsidRPr="003D44C0">
        <w:rPr>
          <w:rFonts w:ascii="Arial" w:eastAsia="Calibri" w:hAnsi="Arial" w:cs="Arial"/>
          <w:color w:val="000000" w:themeColor="text1"/>
          <w:lang w:val="en-US"/>
        </w:rPr>
        <w:t xml:space="preserve">n cases of multiple </w:t>
      </w:r>
      <w:r w:rsidR="008242C4" w:rsidRPr="003D44C0">
        <w:rPr>
          <w:rFonts w:ascii="Arial" w:eastAsia="Calibri" w:hAnsi="Arial" w:cs="Arial"/>
          <w:color w:val="000000" w:themeColor="text1"/>
          <w:lang w:val="en-US"/>
        </w:rPr>
        <w:t xml:space="preserve">and/or metastatic </w:t>
      </w:r>
      <w:r w:rsidR="005F60DB" w:rsidRPr="003D44C0">
        <w:rPr>
          <w:rFonts w:ascii="Arial" w:eastAsia="Calibri" w:hAnsi="Arial" w:cs="Arial"/>
          <w:color w:val="000000" w:themeColor="text1"/>
          <w:lang w:val="en-US"/>
        </w:rPr>
        <w:t>lesions</w:t>
      </w:r>
      <w:r w:rsidR="008242C4" w:rsidRPr="003D44C0">
        <w:rPr>
          <w:rFonts w:ascii="Arial" w:eastAsia="Calibri" w:hAnsi="Arial" w:cs="Arial"/>
          <w:color w:val="000000" w:themeColor="text1"/>
          <w:lang w:val="en-US"/>
        </w:rPr>
        <w:t>, functional imaging, including [</w:t>
      </w:r>
      <w:r w:rsidR="008242C4" w:rsidRPr="003D44C0">
        <w:rPr>
          <w:rFonts w:ascii="Arial" w:eastAsia="Calibri" w:hAnsi="Arial" w:cs="Arial"/>
          <w:color w:val="000000" w:themeColor="text1"/>
          <w:vertAlign w:val="superscript"/>
          <w:lang w:val="en-US"/>
        </w:rPr>
        <w:t>68</w:t>
      </w:r>
      <w:r w:rsidR="008242C4" w:rsidRPr="003D44C0">
        <w:rPr>
          <w:rFonts w:ascii="Arial" w:eastAsia="Calibri" w:hAnsi="Arial" w:cs="Arial"/>
          <w:color w:val="000000" w:themeColor="text1"/>
          <w:lang w:val="en-US"/>
        </w:rPr>
        <w:t>Ga]DOTATATE, [</w:t>
      </w:r>
      <w:r w:rsidR="008242C4" w:rsidRPr="003D44C0">
        <w:rPr>
          <w:rFonts w:ascii="Arial" w:eastAsia="Calibri" w:hAnsi="Arial" w:cs="Arial"/>
          <w:color w:val="000000" w:themeColor="text1"/>
          <w:vertAlign w:val="superscript"/>
          <w:lang w:val="en-US"/>
        </w:rPr>
        <w:t>18</w:t>
      </w:r>
      <w:r w:rsidR="008242C4" w:rsidRPr="003D44C0">
        <w:rPr>
          <w:rFonts w:ascii="Arial" w:eastAsia="Calibri" w:hAnsi="Arial" w:cs="Arial"/>
          <w:color w:val="000000" w:themeColor="text1"/>
          <w:lang w:val="en-US"/>
        </w:rPr>
        <w:t>F]fluorodopa (FDOPA), and [</w:t>
      </w:r>
      <w:r w:rsidR="008242C4" w:rsidRPr="003D44C0">
        <w:rPr>
          <w:rFonts w:ascii="Arial" w:eastAsia="Calibri" w:hAnsi="Arial" w:cs="Arial"/>
          <w:color w:val="000000" w:themeColor="text1"/>
          <w:vertAlign w:val="superscript"/>
          <w:lang w:val="en-US"/>
        </w:rPr>
        <w:t>18</w:t>
      </w:r>
      <w:r w:rsidR="008242C4" w:rsidRPr="003D44C0">
        <w:rPr>
          <w:rFonts w:ascii="Arial" w:eastAsia="Calibri" w:hAnsi="Arial" w:cs="Arial"/>
          <w:color w:val="000000" w:themeColor="text1"/>
          <w:lang w:val="en-US"/>
        </w:rPr>
        <w:t>F]fluorodeoxyglucose (FDG) PET–CT, as well as [</w:t>
      </w:r>
      <w:r w:rsidR="008242C4" w:rsidRPr="003D44C0">
        <w:rPr>
          <w:rFonts w:ascii="Arial" w:eastAsia="Calibri" w:hAnsi="Arial" w:cs="Arial"/>
          <w:color w:val="000000" w:themeColor="text1"/>
          <w:vertAlign w:val="superscript"/>
          <w:lang w:val="en-US"/>
        </w:rPr>
        <w:t>123</w:t>
      </w:r>
      <w:r w:rsidR="008242C4" w:rsidRPr="003D44C0">
        <w:rPr>
          <w:rFonts w:ascii="Arial" w:eastAsia="Calibri" w:hAnsi="Arial" w:cs="Arial"/>
          <w:color w:val="000000" w:themeColor="text1"/>
          <w:lang w:val="en-US"/>
        </w:rPr>
        <w:t>I]MIBG scintigraphy,</w:t>
      </w:r>
      <w:r w:rsidR="008242C4" w:rsidRPr="003D44C0">
        <w:rPr>
          <w:rFonts w:ascii="Arial" w:hAnsi="Arial" w:cs="Arial"/>
          <w:lang w:val="en-US"/>
        </w:rPr>
        <w:t xml:space="preserve"> </w:t>
      </w:r>
      <w:r w:rsidR="008242C4" w:rsidRPr="003D44C0">
        <w:rPr>
          <w:rFonts w:ascii="Arial" w:eastAsia="Calibri" w:hAnsi="Arial" w:cs="Arial"/>
          <w:color w:val="000000" w:themeColor="text1"/>
          <w:lang w:val="en-US"/>
        </w:rPr>
        <w:t xml:space="preserve">should be considered. </w:t>
      </w:r>
      <w:r w:rsidR="000926B0" w:rsidRPr="003D44C0">
        <w:rPr>
          <w:rFonts w:ascii="Arial" w:eastAsia="Calibri" w:hAnsi="Arial" w:cs="Arial"/>
          <w:color w:val="000000" w:themeColor="text1"/>
          <w:lang w:val="en-US"/>
        </w:rPr>
        <w:t>All children with pheochromocytomas or paragangliomas are highly recommended to undergo genetic testing for germline mutations</w:t>
      </w:r>
      <w:r w:rsidR="00930DCC" w:rsidRPr="003D44C0">
        <w:rPr>
          <w:rFonts w:ascii="Arial" w:eastAsia="Calibri" w:hAnsi="Arial" w:cs="Arial"/>
          <w:color w:val="000000" w:themeColor="text1"/>
          <w:lang w:val="en-US"/>
        </w:rPr>
        <w:t xml:space="preserve"> (65, 66).</w:t>
      </w:r>
      <w:r w:rsidR="00904CB6" w:rsidRPr="003D44C0">
        <w:rPr>
          <w:rFonts w:ascii="Arial" w:eastAsia="Calibri" w:hAnsi="Arial" w:cs="Arial"/>
          <w:color w:val="000000" w:themeColor="text1"/>
          <w:lang w:val="en-US"/>
        </w:rPr>
        <w:t xml:space="preserve"> Surgical resection remains the treatment of choice in specialized centers with a multidisciplinary team. </w:t>
      </w:r>
      <w:r w:rsidR="004B16C0" w:rsidRPr="003D44C0">
        <w:rPr>
          <w:rFonts w:ascii="Arial" w:eastAsia="Calibri" w:hAnsi="Arial" w:cs="Arial"/>
          <w:color w:val="000000" w:themeColor="text1"/>
          <w:lang w:val="en-US"/>
        </w:rPr>
        <w:t>It is worth mentioning that</w:t>
      </w:r>
      <w:r w:rsidR="00904CB6" w:rsidRPr="003D44C0">
        <w:rPr>
          <w:rFonts w:ascii="Arial" w:eastAsia="Calibri" w:hAnsi="Arial" w:cs="Arial"/>
          <w:color w:val="000000" w:themeColor="text1"/>
          <w:lang w:val="en-US"/>
        </w:rPr>
        <w:t xml:space="preserve"> minimally invasive procedures are preferred in cases with abdominal and pelvic pheochromocytomas and paragangliomas.</w:t>
      </w:r>
      <w:r w:rsidR="004B16C0" w:rsidRPr="003D44C0">
        <w:rPr>
          <w:rFonts w:ascii="Arial" w:eastAsia="Calibri" w:hAnsi="Arial" w:cs="Arial"/>
          <w:color w:val="000000" w:themeColor="text1"/>
          <w:lang w:val="en-US"/>
        </w:rPr>
        <w:t xml:space="preserve"> Finally, special attention should be focused on preoperative treatment of hypertension </w:t>
      </w:r>
      <w:r w:rsidR="00BE1E49" w:rsidRPr="003D44C0">
        <w:rPr>
          <w:rFonts w:ascii="Arial" w:eastAsia="Calibri" w:hAnsi="Arial" w:cs="Arial"/>
          <w:color w:val="000000" w:themeColor="text1"/>
          <w:lang w:val="en-US"/>
        </w:rPr>
        <w:t xml:space="preserve">using α-adrenoceptor blockers or calcium channel blockers or beta-adrenoceptor blockers especially in patients with persistent tachycardia (66, </w:t>
      </w:r>
      <w:r w:rsidR="00EE544A" w:rsidRPr="003D44C0">
        <w:rPr>
          <w:rFonts w:ascii="Arial" w:eastAsia="Calibri" w:hAnsi="Arial" w:cs="Arial"/>
          <w:color w:val="000000" w:themeColor="text1"/>
          <w:lang w:val="en-US"/>
        </w:rPr>
        <w:t>67</w:t>
      </w:r>
      <w:r w:rsidR="00BE1E49" w:rsidRPr="003D44C0">
        <w:rPr>
          <w:rFonts w:ascii="Arial" w:eastAsia="Calibri" w:hAnsi="Arial" w:cs="Arial"/>
          <w:color w:val="000000" w:themeColor="text1"/>
          <w:lang w:val="en-US"/>
        </w:rPr>
        <w:t>)</w:t>
      </w:r>
      <w:r w:rsidR="00EE544A" w:rsidRPr="003D44C0">
        <w:rPr>
          <w:rFonts w:ascii="Arial" w:eastAsia="Calibri" w:hAnsi="Arial" w:cs="Arial"/>
          <w:color w:val="000000" w:themeColor="text1"/>
          <w:lang w:val="en-US"/>
        </w:rPr>
        <w:t>.</w:t>
      </w:r>
    </w:p>
    <w:p w14:paraId="379A33AC" w14:textId="77777777" w:rsidR="00B35DEF" w:rsidRPr="003D44C0" w:rsidRDefault="00B35DEF" w:rsidP="00B130EA">
      <w:pPr>
        <w:spacing w:after="0" w:line="276" w:lineRule="auto"/>
        <w:contextualSpacing/>
        <w:rPr>
          <w:rFonts w:ascii="Arial" w:eastAsia="Calibri" w:hAnsi="Arial" w:cs="Arial"/>
          <w:color w:val="0070C0"/>
          <w:lang w:val="en-US"/>
        </w:rPr>
      </w:pPr>
    </w:p>
    <w:p w14:paraId="40D3EA3D" w14:textId="77777777" w:rsidR="00B35DEF" w:rsidRPr="003D44C0" w:rsidRDefault="00B35DEF" w:rsidP="00B130EA">
      <w:pPr>
        <w:spacing w:after="0" w:line="276" w:lineRule="auto"/>
        <w:contextualSpacing/>
        <w:rPr>
          <w:rFonts w:ascii="Arial" w:eastAsia="Calibri" w:hAnsi="Arial" w:cs="Arial"/>
          <w:color w:val="0070C0"/>
          <w:lang w:val="en-US"/>
        </w:rPr>
      </w:pPr>
      <w:r w:rsidRPr="003D44C0">
        <w:rPr>
          <w:rFonts w:ascii="Arial" w:eastAsia="Calibri" w:hAnsi="Arial" w:cs="Arial"/>
          <w:b/>
          <w:color w:val="0070C0"/>
          <w:lang w:val="en-US"/>
        </w:rPr>
        <w:t xml:space="preserve">RENAL </w:t>
      </w:r>
      <w:r w:rsidR="00E7179D" w:rsidRPr="003D44C0">
        <w:rPr>
          <w:rFonts w:ascii="Arial" w:eastAsia="Calibri" w:hAnsi="Arial" w:cs="Arial"/>
          <w:b/>
          <w:color w:val="0070C0"/>
          <w:lang w:val="en-US"/>
        </w:rPr>
        <w:t>DISEASES</w:t>
      </w:r>
      <w:r w:rsidRPr="003D44C0">
        <w:rPr>
          <w:rFonts w:ascii="Arial" w:eastAsia="Calibri" w:hAnsi="Arial" w:cs="Arial"/>
          <w:b/>
          <w:color w:val="0070C0"/>
          <w:lang w:val="en-US"/>
        </w:rPr>
        <w:t xml:space="preserve"> MIMICKING ADRENAL DISORDERS</w:t>
      </w:r>
    </w:p>
    <w:p w14:paraId="1CCDF9DC" w14:textId="77777777" w:rsidR="00B35DEF" w:rsidRPr="003D44C0" w:rsidRDefault="00B35DEF" w:rsidP="00B130EA">
      <w:pPr>
        <w:spacing w:after="0" w:line="276" w:lineRule="auto"/>
        <w:contextualSpacing/>
        <w:rPr>
          <w:rFonts w:ascii="Arial" w:eastAsia="Calibri" w:hAnsi="Arial" w:cs="Arial"/>
          <w:color w:val="0070C0"/>
          <w:lang w:val="en-US"/>
        </w:rPr>
      </w:pPr>
    </w:p>
    <w:p w14:paraId="24F71C47" w14:textId="77777777" w:rsidR="00B35DEF" w:rsidRPr="003D44C0" w:rsidRDefault="00B35DEF" w:rsidP="00B130EA">
      <w:pPr>
        <w:spacing w:after="0" w:line="276" w:lineRule="auto"/>
        <w:contextualSpacing/>
        <w:rPr>
          <w:rFonts w:ascii="Arial" w:eastAsia="Calibri" w:hAnsi="Arial" w:cs="Arial"/>
          <w:color w:val="0070C0"/>
          <w:lang w:val="en-US"/>
        </w:rPr>
      </w:pPr>
      <w:r w:rsidRPr="003D44C0">
        <w:rPr>
          <w:rFonts w:ascii="Arial" w:eastAsia="Calibri" w:hAnsi="Arial" w:cs="Arial"/>
          <w:b/>
          <w:color w:val="00B050"/>
          <w:lang w:val="en-US"/>
        </w:rPr>
        <w:t>Syndromes of Inappropriate Salt Retention</w:t>
      </w:r>
    </w:p>
    <w:p w14:paraId="3704A1D7" w14:textId="77777777" w:rsidR="00B35DEF" w:rsidRPr="003D44C0" w:rsidRDefault="00B35DEF" w:rsidP="00B130EA">
      <w:pPr>
        <w:spacing w:after="0" w:line="276" w:lineRule="auto"/>
        <w:contextualSpacing/>
        <w:rPr>
          <w:rFonts w:ascii="Arial" w:eastAsia="Calibri" w:hAnsi="Arial" w:cs="Arial"/>
          <w:color w:val="0070C0"/>
          <w:lang w:val="en-US"/>
        </w:rPr>
      </w:pPr>
    </w:p>
    <w:p w14:paraId="47C18AF9" w14:textId="77777777" w:rsidR="00B35DEF" w:rsidRPr="003D44C0" w:rsidRDefault="00B35DEF" w:rsidP="00B130EA">
      <w:pPr>
        <w:spacing w:after="0" w:line="276" w:lineRule="auto"/>
        <w:contextualSpacing/>
        <w:rPr>
          <w:rFonts w:ascii="Arial" w:eastAsia="Calibri" w:hAnsi="Arial" w:cs="Arial"/>
          <w:color w:val="FF0000"/>
          <w:lang w:val="en-US"/>
        </w:rPr>
      </w:pPr>
      <w:r w:rsidRPr="003D44C0">
        <w:rPr>
          <w:rFonts w:ascii="Arial" w:eastAsia="Calibri" w:hAnsi="Arial" w:cs="Arial"/>
          <w:color w:val="FF0000"/>
          <w:lang w:val="en-US"/>
        </w:rPr>
        <w:t>LIDDLE SYNDROME</w:t>
      </w:r>
    </w:p>
    <w:p w14:paraId="66FD5270" w14:textId="77777777" w:rsidR="00B35DEF" w:rsidRPr="003D44C0" w:rsidRDefault="00B35DEF" w:rsidP="00B130EA">
      <w:pPr>
        <w:spacing w:after="0" w:line="276" w:lineRule="auto"/>
        <w:contextualSpacing/>
        <w:rPr>
          <w:rFonts w:ascii="Arial" w:eastAsia="Calibri" w:hAnsi="Arial" w:cs="Arial"/>
          <w:color w:val="FF0000"/>
          <w:lang w:val="en-US"/>
        </w:rPr>
      </w:pPr>
    </w:p>
    <w:p w14:paraId="1F5086AE" w14:textId="080D1776" w:rsidR="00B35DEF" w:rsidRPr="003D44C0" w:rsidRDefault="00E6197C" w:rsidP="00B130EA">
      <w:pPr>
        <w:spacing w:after="0" w:line="276" w:lineRule="auto"/>
        <w:contextualSpacing/>
        <w:rPr>
          <w:rFonts w:ascii="Arial" w:eastAsia="Calibri" w:hAnsi="Arial" w:cs="Arial"/>
          <w:lang w:val="en-US"/>
        </w:rPr>
      </w:pPr>
      <w:r w:rsidRPr="003D44C0">
        <w:rPr>
          <w:rFonts w:ascii="Arial" w:eastAsia="Calibri" w:hAnsi="Arial" w:cs="Arial"/>
          <w:lang w:val="en-US"/>
        </w:rPr>
        <w:t xml:space="preserve">Patients with Liddle syndrome present with hypertension starting at about two years of age, </w:t>
      </w:r>
      <w:r w:rsidR="00DF63F0" w:rsidRPr="003D44C0">
        <w:rPr>
          <w:rFonts w:ascii="Arial" w:eastAsia="Calibri" w:hAnsi="Arial" w:cs="Arial"/>
          <w:lang w:val="en-US"/>
        </w:rPr>
        <w:t>although the average age of hypertension onset was 15.5 ± 3.3 years, according to the large series of cases (</w:t>
      </w:r>
      <w:r w:rsidR="00D32E34" w:rsidRPr="003D44C0">
        <w:rPr>
          <w:rFonts w:ascii="Arial" w:eastAsia="Calibri" w:hAnsi="Arial" w:cs="Arial"/>
          <w:lang w:val="en-US"/>
        </w:rPr>
        <w:t>68</w:t>
      </w:r>
      <w:r w:rsidR="00DF63F0" w:rsidRPr="003D44C0">
        <w:rPr>
          <w:rFonts w:ascii="Arial" w:eastAsia="Calibri" w:hAnsi="Arial" w:cs="Arial"/>
          <w:lang w:val="en-US"/>
        </w:rPr>
        <w:t xml:space="preserve">). </w:t>
      </w:r>
      <w:r w:rsidR="004E347C" w:rsidRPr="003D44C0">
        <w:rPr>
          <w:rFonts w:ascii="Arial" w:eastAsia="Calibri" w:hAnsi="Arial" w:cs="Arial"/>
          <w:lang w:val="en-US"/>
        </w:rPr>
        <w:t>In addition to early-onset hypertension, patients with this condition display hypokalemia, metabolic alkalosis, and suppressed PAC. The genetic basis of Liddle syndrome has been ascribed to activating mutations in the sodium channel epithelial 1 alpha, beta and gamma (</w:t>
      </w:r>
      <w:r w:rsidR="004E347C" w:rsidRPr="003D44C0">
        <w:rPr>
          <w:rFonts w:ascii="Arial" w:eastAsia="Calibri" w:hAnsi="Arial" w:cs="Arial"/>
          <w:i/>
          <w:lang w:val="en-US"/>
        </w:rPr>
        <w:t>SCNN1A</w:t>
      </w:r>
      <w:r w:rsidR="004E347C" w:rsidRPr="003D44C0">
        <w:rPr>
          <w:rFonts w:ascii="Arial" w:eastAsia="Calibri" w:hAnsi="Arial" w:cs="Arial"/>
          <w:lang w:val="en-US"/>
        </w:rPr>
        <w:t xml:space="preserve">, </w:t>
      </w:r>
      <w:r w:rsidR="004E347C" w:rsidRPr="003D44C0">
        <w:rPr>
          <w:rFonts w:ascii="Arial" w:eastAsia="Calibri" w:hAnsi="Arial" w:cs="Arial"/>
          <w:i/>
          <w:lang w:val="en-US"/>
        </w:rPr>
        <w:t>SCNN1B</w:t>
      </w:r>
      <w:r w:rsidR="004E347C" w:rsidRPr="003D44C0">
        <w:rPr>
          <w:rFonts w:ascii="Arial" w:eastAsia="Calibri" w:hAnsi="Arial" w:cs="Arial"/>
          <w:lang w:val="en-US"/>
        </w:rPr>
        <w:t xml:space="preserve">, and </w:t>
      </w:r>
      <w:r w:rsidR="004E347C" w:rsidRPr="003D44C0">
        <w:rPr>
          <w:rFonts w:ascii="Arial" w:eastAsia="Calibri" w:hAnsi="Arial" w:cs="Arial"/>
          <w:i/>
          <w:lang w:val="en-US"/>
        </w:rPr>
        <w:t>SCNN1G</w:t>
      </w:r>
      <w:r w:rsidR="004E347C" w:rsidRPr="003D44C0">
        <w:rPr>
          <w:rFonts w:ascii="Arial" w:eastAsia="Calibri" w:hAnsi="Arial" w:cs="Arial"/>
          <w:lang w:val="en-US"/>
        </w:rPr>
        <w:t>)</w:t>
      </w:r>
      <w:r w:rsidR="00DA4085" w:rsidRPr="003D44C0">
        <w:rPr>
          <w:rFonts w:ascii="Arial" w:eastAsia="Calibri" w:hAnsi="Arial" w:cs="Arial"/>
          <w:lang w:val="en-US"/>
        </w:rPr>
        <w:t xml:space="preserve"> genes</w:t>
      </w:r>
      <w:r w:rsidR="00C46EB2" w:rsidRPr="003D44C0">
        <w:rPr>
          <w:rFonts w:ascii="Arial" w:eastAsia="Calibri" w:hAnsi="Arial" w:cs="Arial"/>
          <w:lang w:val="en-US"/>
        </w:rPr>
        <w:t xml:space="preserve"> that en</w:t>
      </w:r>
      <w:r w:rsidR="00491ECF" w:rsidRPr="003D44C0">
        <w:rPr>
          <w:rFonts w:ascii="Arial" w:eastAsia="Calibri" w:hAnsi="Arial" w:cs="Arial"/>
          <w:lang w:val="en-US"/>
        </w:rPr>
        <w:t>code for the</w:t>
      </w:r>
      <w:r w:rsidR="00C46EB2" w:rsidRPr="003D44C0">
        <w:rPr>
          <w:rFonts w:ascii="Arial" w:eastAsia="Calibri" w:hAnsi="Arial" w:cs="Arial"/>
          <w:lang w:val="en-US"/>
        </w:rPr>
        <w:t xml:space="preserve"> α, β, and γ subunits, respectively, of the epithelial sodium channel (ENaC) of the renal tubule, also known as the amiloride-sensitive channel</w:t>
      </w:r>
      <w:r w:rsidR="00176039" w:rsidRPr="003D44C0">
        <w:rPr>
          <w:rFonts w:ascii="Arial" w:eastAsia="Calibri" w:hAnsi="Arial" w:cs="Arial"/>
          <w:lang w:val="en-US"/>
        </w:rPr>
        <w:t xml:space="preserve"> (Figure 6)</w:t>
      </w:r>
      <w:r w:rsidR="00AA0A3C" w:rsidRPr="003D44C0">
        <w:rPr>
          <w:rFonts w:ascii="Arial" w:eastAsia="Calibri" w:hAnsi="Arial" w:cs="Arial"/>
          <w:lang w:val="en-US"/>
        </w:rPr>
        <w:t xml:space="preserve"> (</w:t>
      </w:r>
      <w:r w:rsidR="00D32E34" w:rsidRPr="003D44C0">
        <w:rPr>
          <w:rFonts w:ascii="Arial" w:eastAsia="Calibri" w:hAnsi="Arial" w:cs="Arial"/>
          <w:lang w:val="en-US"/>
        </w:rPr>
        <w:t>69</w:t>
      </w:r>
      <w:r w:rsidR="00AA0A3C" w:rsidRPr="003D44C0">
        <w:rPr>
          <w:rFonts w:ascii="Arial" w:eastAsia="Calibri" w:hAnsi="Arial" w:cs="Arial"/>
          <w:lang w:val="en-US"/>
        </w:rPr>
        <w:t>)</w:t>
      </w:r>
      <w:r w:rsidR="00C46EB2" w:rsidRPr="003D44C0">
        <w:rPr>
          <w:rFonts w:ascii="Arial" w:eastAsia="Calibri" w:hAnsi="Arial" w:cs="Arial"/>
          <w:lang w:val="en-US"/>
        </w:rPr>
        <w:t>.</w:t>
      </w:r>
      <w:r w:rsidR="0070634D" w:rsidRPr="003D44C0">
        <w:rPr>
          <w:rFonts w:ascii="Arial" w:eastAsia="Calibri" w:hAnsi="Arial" w:cs="Arial"/>
          <w:lang w:val="en-US"/>
        </w:rPr>
        <w:t xml:space="preserve"> ENaC inhibitors, such as amiloride or triamterene, with low salt diet remain the only effective treatment in patients with Liddle syndrome (</w:t>
      </w:r>
      <w:r w:rsidR="00D32E34" w:rsidRPr="003D44C0">
        <w:rPr>
          <w:rFonts w:ascii="Arial" w:eastAsia="Calibri" w:hAnsi="Arial" w:cs="Arial"/>
          <w:lang w:val="en-US"/>
        </w:rPr>
        <w:t>70</w:t>
      </w:r>
      <w:r w:rsidR="0070634D" w:rsidRPr="003D44C0">
        <w:rPr>
          <w:rFonts w:ascii="Arial" w:eastAsia="Calibri" w:hAnsi="Arial" w:cs="Arial"/>
          <w:lang w:val="en-US"/>
        </w:rPr>
        <w:t>)</w:t>
      </w:r>
      <w:r w:rsidR="00AA0A3C" w:rsidRPr="003D44C0">
        <w:rPr>
          <w:rFonts w:ascii="Arial" w:eastAsia="Calibri" w:hAnsi="Arial" w:cs="Arial"/>
          <w:lang w:val="en-US"/>
        </w:rPr>
        <w:t>.</w:t>
      </w:r>
      <w:r w:rsidR="0070634D" w:rsidRPr="003D44C0">
        <w:rPr>
          <w:rFonts w:ascii="Arial" w:eastAsia="Calibri" w:hAnsi="Arial" w:cs="Arial"/>
          <w:lang w:val="en-US"/>
        </w:rPr>
        <w:t xml:space="preserve"> </w:t>
      </w:r>
      <w:r w:rsidR="004E347C" w:rsidRPr="003D44C0">
        <w:rPr>
          <w:rFonts w:ascii="Arial" w:eastAsia="Calibri" w:hAnsi="Arial" w:cs="Arial"/>
          <w:lang w:val="en-US"/>
        </w:rPr>
        <w:t xml:space="preserve">   </w:t>
      </w:r>
    </w:p>
    <w:p w14:paraId="6F4B7B94" w14:textId="77777777" w:rsidR="00B35DEF" w:rsidRPr="003D44C0" w:rsidRDefault="00B35DEF" w:rsidP="00B130EA">
      <w:pPr>
        <w:spacing w:after="0" w:line="276" w:lineRule="auto"/>
        <w:contextualSpacing/>
        <w:rPr>
          <w:rFonts w:ascii="Arial" w:eastAsia="Calibri" w:hAnsi="Arial" w:cs="Arial"/>
          <w:color w:val="FF0000"/>
          <w:lang w:val="en-US"/>
        </w:rPr>
      </w:pPr>
    </w:p>
    <w:p w14:paraId="3DD0C9B6" w14:textId="700B3E88" w:rsidR="00B35DEF" w:rsidRPr="003D44C0" w:rsidRDefault="00B35DEF" w:rsidP="00B130EA">
      <w:pPr>
        <w:spacing w:after="0" w:line="276" w:lineRule="auto"/>
        <w:contextualSpacing/>
        <w:rPr>
          <w:rFonts w:ascii="Arial" w:eastAsia="Calibri" w:hAnsi="Arial" w:cs="Arial"/>
          <w:color w:val="FF0000"/>
          <w:lang w:val="en-US"/>
        </w:rPr>
      </w:pPr>
      <w:r w:rsidRPr="003D44C0">
        <w:rPr>
          <w:rFonts w:ascii="Arial" w:eastAsia="Calibri" w:hAnsi="Arial" w:cs="Arial"/>
          <w:color w:val="FF0000"/>
          <w:lang w:val="en-US"/>
        </w:rPr>
        <w:t>GORDON SYNDROME OR PSEUDOHYPOALDOSTERONISM TYPE 2 OR FAMILIAL HYPERKALEMIC HYPERTENSION</w:t>
      </w:r>
    </w:p>
    <w:p w14:paraId="0DD72928" w14:textId="77777777" w:rsidR="002D0992" w:rsidRPr="003D44C0" w:rsidRDefault="002D0992" w:rsidP="00B130EA">
      <w:pPr>
        <w:spacing w:after="0" w:line="276" w:lineRule="auto"/>
        <w:contextualSpacing/>
        <w:rPr>
          <w:rFonts w:ascii="Arial" w:eastAsia="Calibri" w:hAnsi="Arial" w:cs="Arial"/>
          <w:color w:val="FF0000"/>
          <w:lang w:val="en-US"/>
        </w:rPr>
      </w:pPr>
    </w:p>
    <w:p w14:paraId="12529570" w14:textId="7F9237F0" w:rsidR="002D0992" w:rsidRPr="003D44C0" w:rsidRDefault="00AA0A3C" w:rsidP="00B130EA">
      <w:pPr>
        <w:spacing w:after="0" w:line="276" w:lineRule="auto"/>
        <w:contextualSpacing/>
        <w:rPr>
          <w:rFonts w:ascii="Arial" w:eastAsia="Calibri" w:hAnsi="Arial" w:cs="Arial"/>
          <w:lang w:val="en-US"/>
        </w:rPr>
      </w:pPr>
      <w:r w:rsidRPr="003D44C0">
        <w:rPr>
          <w:rFonts w:ascii="Arial" w:eastAsia="Calibri" w:hAnsi="Arial" w:cs="Arial"/>
          <w:lang w:val="en-US"/>
        </w:rPr>
        <w:t>Gordon syndrome or type II pseudohypoaldosteronism (PHA II)</w:t>
      </w:r>
      <w:r w:rsidR="00441449" w:rsidRPr="003D44C0">
        <w:rPr>
          <w:rFonts w:ascii="Arial" w:eastAsia="Calibri" w:hAnsi="Arial" w:cs="Arial"/>
          <w:lang w:val="en-US"/>
        </w:rPr>
        <w:t xml:space="preserve"> </w:t>
      </w:r>
      <w:r w:rsidR="006A2F54" w:rsidRPr="003D44C0">
        <w:rPr>
          <w:rFonts w:ascii="Arial" w:eastAsia="Calibri" w:hAnsi="Arial" w:cs="Arial"/>
          <w:lang w:val="en-US"/>
        </w:rPr>
        <w:t>is inherited in an autosomal dominant fashion and is characterized by hypertension, metabolic acidosis, hyperkalemia and hyperchloremia</w:t>
      </w:r>
      <w:r w:rsidR="00E550BE" w:rsidRPr="003D44C0">
        <w:rPr>
          <w:rFonts w:ascii="Arial" w:eastAsia="Calibri" w:hAnsi="Arial" w:cs="Arial"/>
          <w:lang w:val="en-US"/>
        </w:rPr>
        <w:t xml:space="preserve"> (</w:t>
      </w:r>
      <w:r w:rsidR="00D32E34" w:rsidRPr="003D44C0">
        <w:rPr>
          <w:rFonts w:ascii="Arial" w:eastAsia="Calibri" w:hAnsi="Arial" w:cs="Arial"/>
          <w:lang w:val="en-US"/>
        </w:rPr>
        <w:t>71</w:t>
      </w:r>
      <w:r w:rsidR="00E550BE" w:rsidRPr="003D44C0">
        <w:rPr>
          <w:rFonts w:ascii="Arial" w:eastAsia="Calibri" w:hAnsi="Arial" w:cs="Arial"/>
          <w:lang w:val="en-US"/>
        </w:rPr>
        <w:t>)</w:t>
      </w:r>
      <w:r w:rsidR="006A2F54" w:rsidRPr="003D44C0">
        <w:rPr>
          <w:rFonts w:ascii="Arial" w:eastAsia="Calibri" w:hAnsi="Arial" w:cs="Arial"/>
          <w:lang w:val="en-US"/>
        </w:rPr>
        <w:t>. Endocrinolo</w:t>
      </w:r>
      <w:r w:rsidR="0044228C" w:rsidRPr="003D44C0">
        <w:rPr>
          <w:rFonts w:ascii="Arial" w:eastAsia="Calibri" w:hAnsi="Arial" w:cs="Arial"/>
          <w:lang w:val="en-US"/>
        </w:rPr>
        <w:t>gic evaluation reveals low PRA and, usually, decreased seru</w:t>
      </w:r>
      <w:r w:rsidR="00E550BE" w:rsidRPr="003D44C0">
        <w:rPr>
          <w:rFonts w:ascii="Arial" w:eastAsia="Calibri" w:hAnsi="Arial" w:cs="Arial"/>
          <w:lang w:val="en-US"/>
        </w:rPr>
        <w:t>m aldosterone concentrations (</w:t>
      </w:r>
      <w:r w:rsidR="00D32E34" w:rsidRPr="003D44C0">
        <w:rPr>
          <w:rFonts w:ascii="Arial" w:eastAsia="Calibri" w:hAnsi="Arial" w:cs="Arial"/>
          <w:lang w:val="en-US"/>
        </w:rPr>
        <w:t>71</w:t>
      </w:r>
      <w:r w:rsidR="00E550BE" w:rsidRPr="003D44C0">
        <w:rPr>
          <w:rFonts w:ascii="Arial" w:eastAsia="Calibri" w:hAnsi="Arial" w:cs="Arial"/>
          <w:lang w:val="en-US"/>
        </w:rPr>
        <w:t xml:space="preserve">). Five subtypes of PHA II have been reported with distinct genetic </w:t>
      </w:r>
      <w:r w:rsidR="000F7064" w:rsidRPr="003D44C0">
        <w:rPr>
          <w:rFonts w:ascii="Arial" w:eastAsia="Calibri" w:hAnsi="Arial" w:cs="Arial"/>
          <w:lang w:val="en-US"/>
        </w:rPr>
        <w:t>defects</w:t>
      </w:r>
      <w:r w:rsidR="00D32E34" w:rsidRPr="003D44C0">
        <w:rPr>
          <w:rFonts w:ascii="Arial" w:eastAsia="Calibri" w:hAnsi="Arial" w:cs="Arial"/>
          <w:lang w:val="en-US"/>
        </w:rPr>
        <w:t xml:space="preserve"> (72</w:t>
      </w:r>
      <w:r w:rsidR="00324051" w:rsidRPr="003D44C0">
        <w:rPr>
          <w:rFonts w:ascii="Arial" w:eastAsia="Calibri" w:hAnsi="Arial" w:cs="Arial"/>
          <w:lang w:val="en-US"/>
        </w:rPr>
        <w:t>)</w:t>
      </w:r>
      <w:r w:rsidR="00E550BE" w:rsidRPr="003D44C0">
        <w:rPr>
          <w:rFonts w:ascii="Arial" w:eastAsia="Calibri" w:hAnsi="Arial" w:cs="Arial"/>
          <w:lang w:val="en-US"/>
        </w:rPr>
        <w:t xml:space="preserve">. </w:t>
      </w:r>
      <w:r w:rsidR="000F7064" w:rsidRPr="003D44C0">
        <w:rPr>
          <w:rFonts w:ascii="Arial" w:eastAsia="Calibri" w:hAnsi="Arial" w:cs="Arial"/>
          <w:lang w:val="en-US"/>
        </w:rPr>
        <w:t xml:space="preserve">The genetic basis of </w:t>
      </w:r>
      <w:r w:rsidR="00E550BE" w:rsidRPr="003D44C0">
        <w:rPr>
          <w:rFonts w:ascii="Arial" w:eastAsia="Calibri" w:hAnsi="Arial" w:cs="Arial"/>
          <w:lang w:val="en-US"/>
        </w:rPr>
        <w:t>PHA II-A</w:t>
      </w:r>
      <w:r w:rsidR="000F7064" w:rsidRPr="003D44C0">
        <w:rPr>
          <w:rFonts w:ascii="Arial" w:eastAsia="Calibri" w:hAnsi="Arial" w:cs="Arial"/>
          <w:lang w:val="en-US"/>
        </w:rPr>
        <w:t xml:space="preserve"> is less known, since no genetic defect has been identified yet; however, this subtype has been associated with chromosome region 1q31-q42. PHA II-B has been linked to </w:t>
      </w:r>
      <w:r w:rsidR="005825C6" w:rsidRPr="003D44C0">
        <w:rPr>
          <w:rFonts w:ascii="Arial" w:eastAsia="Calibri" w:hAnsi="Arial" w:cs="Arial"/>
          <w:lang w:val="en-US"/>
        </w:rPr>
        <w:t>mutations in the with</w:t>
      </w:r>
      <w:r w:rsidR="00A42132" w:rsidRPr="003D44C0">
        <w:rPr>
          <w:rFonts w:ascii="Arial" w:eastAsia="Calibri" w:hAnsi="Arial" w:cs="Arial"/>
          <w:lang w:val="en-US"/>
        </w:rPr>
        <w:t>-no-lysine kinase</w:t>
      </w:r>
      <w:r w:rsidR="005825C6" w:rsidRPr="003D44C0">
        <w:rPr>
          <w:rFonts w:ascii="Arial" w:eastAsia="Calibri" w:hAnsi="Arial" w:cs="Arial"/>
          <w:lang w:val="en-US"/>
        </w:rPr>
        <w:t xml:space="preserve"> </w:t>
      </w:r>
      <w:r w:rsidR="00A42132" w:rsidRPr="003D44C0">
        <w:rPr>
          <w:rFonts w:ascii="Arial" w:eastAsia="Calibri" w:hAnsi="Arial" w:cs="Arial"/>
          <w:lang w:val="en-US"/>
        </w:rPr>
        <w:t>(</w:t>
      </w:r>
      <w:r w:rsidR="005825C6" w:rsidRPr="003D44C0">
        <w:rPr>
          <w:rFonts w:ascii="Arial" w:eastAsia="Calibri" w:hAnsi="Arial" w:cs="Arial"/>
          <w:i/>
          <w:lang w:val="en-US"/>
        </w:rPr>
        <w:t>WNK4</w:t>
      </w:r>
      <w:r w:rsidR="00A42132" w:rsidRPr="003D44C0">
        <w:rPr>
          <w:rFonts w:ascii="Arial" w:eastAsia="Calibri" w:hAnsi="Arial" w:cs="Arial"/>
          <w:lang w:val="en-US"/>
        </w:rPr>
        <w:t>)</w:t>
      </w:r>
      <w:r w:rsidR="005825C6" w:rsidRPr="003D44C0">
        <w:rPr>
          <w:rFonts w:ascii="Arial" w:eastAsia="Calibri" w:hAnsi="Arial" w:cs="Arial"/>
          <w:lang w:val="en-US"/>
        </w:rPr>
        <w:t xml:space="preserve"> gene (17q21), whereas genetic defects in the </w:t>
      </w:r>
      <w:r w:rsidR="005825C6" w:rsidRPr="003D44C0">
        <w:rPr>
          <w:rFonts w:ascii="Arial" w:eastAsia="Calibri" w:hAnsi="Arial" w:cs="Arial"/>
          <w:i/>
          <w:lang w:val="en-US"/>
        </w:rPr>
        <w:t>WNK1</w:t>
      </w:r>
      <w:r w:rsidR="005825C6" w:rsidRPr="003D44C0">
        <w:rPr>
          <w:rFonts w:ascii="Arial" w:eastAsia="Calibri" w:hAnsi="Arial" w:cs="Arial"/>
          <w:lang w:val="en-US"/>
        </w:rPr>
        <w:t xml:space="preserve"> gene (12p12.3.) have been associated with PHA II-C</w:t>
      </w:r>
      <w:r w:rsidR="00646920" w:rsidRPr="003D44C0">
        <w:rPr>
          <w:rFonts w:ascii="Arial" w:eastAsia="Calibri" w:hAnsi="Arial" w:cs="Arial"/>
          <w:lang w:val="en-US"/>
        </w:rPr>
        <w:t xml:space="preserve"> (Figure 6)</w:t>
      </w:r>
      <w:r w:rsidR="005825C6" w:rsidRPr="003D44C0">
        <w:rPr>
          <w:rFonts w:ascii="Arial" w:eastAsia="Calibri" w:hAnsi="Arial" w:cs="Arial"/>
          <w:lang w:val="en-US"/>
        </w:rPr>
        <w:t xml:space="preserve">. </w:t>
      </w:r>
      <w:r w:rsidR="00B8552A" w:rsidRPr="003D44C0">
        <w:rPr>
          <w:rFonts w:ascii="Arial" w:eastAsia="Calibri" w:hAnsi="Arial" w:cs="Arial"/>
          <w:i/>
          <w:lang w:val="en-US"/>
        </w:rPr>
        <w:t xml:space="preserve">WNK </w:t>
      </w:r>
      <w:r w:rsidR="00B8552A" w:rsidRPr="003D44C0">
        <w:rPr>
          <w:rFonts w:ascii="Arial" w:eastAsia="Calibri" w:hAnsi="Arial" w:cs="Arial"/>
          <w:lang w:val="en-US"/>
        </w:rPr>
        <w:t xml:space="preserve">genes encode WNK proteins, which function as serine-threonine protein kinases regulating the expression and action of </w:t>
      </w:r>
      <w:r w:rsidR="00B77BFF" w:rsidRPr="003D44C0">
        <w:rPr>
          <w:rFonts w:ascii="Arial" w:eastAsia="Calibri" w:hAnsi="Arial" w:cs="Arial"/>
          <w:lang w:val="en-US"/>
        </w:rPr>
        <w:t xml:space="preserve">cation-Cl− cotransporters (CCCs) such as the sodium chloride cotransporter (NCC), basolateral Na-K-Cl symporter (NKCC1), and potassium chloride cotransporter (KCC1) located within the distal nephron. </w:t>
      </w:r>
      <w:r w:rsidR="005825C6" w:rsidRPr="003D44C0">
        <w:rPr>
          <w:rFonts w:ascii="Arial" w:eastAsia="Calibri" w:hAnsi="Arial" w:cs="Arial"/>
          <w:lang w:val="en-US"/>
        </w:rPr>
        <w:t>Patients with PHA II-D and -E harbor variations in</w:t>
      </w:r>
      <w:r w:rsidR="00A42132" w:rsidRPr="003D44C0">
        <w:rPr>
          <w:rFonts w:ascii="Arial" w:eastAsia="Calibri" w:hAnsi="Arial" w:cs="Arial"/>
          <w:lang w:val="en-US"/>
        </w:rPr>
        <w:t xml:space="preserve"> kelch-like 3</w:t>
      </w:r>
      <w:r w:rsidR="005825C6" w:rsidRPr="003D44C0">
        <w:rPr>
          <w:rFonts w:ascii="Arial" w:eastAsia="Calibri" w:hAnsi="Arial" w:cs="Arial"/>
          <w:lang w:val="en-US"/>
        </w:rPr>
        <w:t xml:space="preserve"> </w:t>
      </w:r>
      <w:r w:rsidR="00A42132" w:rsidRPr="003D44C0">
        <w:rPr>
          <w:rFonts w:ascii="Arial" w:eastAsia="Calibri" w:hAnsi="Arial" w:cs="Arial"/>
          <w:lang w:val="en-US"/>
        </w:rPr>
        <w:t>(</w:t>
      </w:r>
      <w:r w:rsidR="005825C6" w:rsidRPr="003D44C0">
        <w:rPr>
          <w:rFonts w:ascii="Arial" w:eastAsia="Calibri" w:hAnsi="Arial" w:cs="Arial"/>
          <w:i/>
          <w:lang w:val="en-US"/>
        </w:rPr>
        <w:t>KLHL3</w:t>
      </w:r>
      <w:r w:rsidR="00A42132" w:rsidRPr="003D44C0">
        <w:rPr>
          <w:rFonts w:ascii="Arial" w:eastAsia="Calibri" w:hAnsi="Arial" w:cs="Arial"/>
          <w:lang w:val="en-US"/>
        </w:rPr>
        <w:t>)</w:t>
      </w:r>
      <w:r w:rsidR="005825C6" w:rsidRPr="003D44C0">
        <w:rPr>
          <w:rFonts w:ascii="Arial" w:eastAsia="Calibri" w:hAnsi="Arial" w:cs="Arial"/>
          <w:lang w:val="en-US"/>
        </w:rPr>
        <w:t xml:space="preserve"> gene (5q31.2)</w:t>
      </w:r>
      <w:r w:rsidR="00B77BFF" w:rsidRPr="003D44C0">
        <w:rPr>
          <w:rFonts w:ascii="Arial" w:eastAsia="Calibri" w:hAnsi="Arial" w:cs="Arial"/>
          <w:lang w:val="en-US"/>
        </w:rPr>
        <w:t xml:space="preserve"> that encodes for the adaptor protein KLHL3,</w:t>
      </w:r>
      <w:r w:rsidR="005825C6" w:rsidRPr="003D44C0">
        <w:rPr>
          <w:rFonts w:ascii="Arial" w:eastAsia="Calibri" w:hAnsi="Arial" w:cs="Arial"/>
          <w:lang w:val="en-US"/>
        </w:rPr>
        <w:t xml:space="preserve"> and</w:t>
      </w:r>
      <w:r w:rsidR="00A42132" w:rsidRPr="003D44C0">
        <w:rPr>
          <w:rFonts w:ascii="Arial" w:eastAsia="Calibri" w:hAnsi="Arial" w:cs="Arial"/>
          <w:lang w:val="en-US"/>
        </w:rPr>
        <w:t xml:space="preserve"> cullin-3</w:t>
      </w:r>
      <w:r w:rsidR="005825C6" w:rsidRPr="003D44C0">
        <w:rPr>
          <w:rFonts w:ascii="Arial" w:eastAsia="Calibri" w:hAnsi="Arial" w:cs="Arial"/>
          <w:lang w:val="en-US"/>
        </w:rPr>
        <w:t xml:space="preserve"> </w:t>
      </w:r>
      <w:r w:rsidR="00A42132" w:rsidRPr="003D44C0">
        <w:rPr>
          <w:rFonts w:ascii="Arial" w:eastAsia="Calibri" w:hAnsi="Arial" w:cs="Arial"/>
          <w:lang w:val="en-US"/>
        </w:rPr>
        <w:t>(</w:t>
      </w:r>
      <w:r w:rsidR="005825C6" w:rsidRPr="003D44C0">
        <w:rPr>
          <w:rFonts w:ascii="Arial" w:eastAsia="Calibri" w:hAnsi="Arial" w:cs="Arial"/>
          <w:i/>
          <w:lang w:val="en-US"/>
        </w:rPr>
        <w:t>CUL3</w:t>
      </w:r>
      <w:r w:rsidR="00A42132" w:rsidRPr="003D44C0">
        <w:rPr>
          <w:rFonts w:ascii="Arial" w:eastAsia="Calibri" w:hAnsi="Arial" w:cs="Arial"/>
          <w:lang w:val="en-US"/>
        </w:rPr>
        <w:t>)</w:t>
      </w:r>
      <w:r w:rsidR="005825C6" w:rsidRPr="003D44C0">
        <w:rPr>
          <w:rFonts w:ascii="Arial" w:eastAsia="Calibri" w:hAnsi="Arial" w:cs="Arial"/>
          <w:lang w:val="en-US"/>
        </w:rPr>
        <w:t xml:space="preserve"> gene (2q36)</w:t>
      </w:r>
      <w:r w:rsidR="00B77BFF" w:rsidRPr="003D44C0">
        <w:rPr>
          <w:rFonts w:ascii="Arial" w:eastAsia="Calibri" w:hAnsi="Arial" w:cs="Arial"/>
          <w:lang w:val="en-US"/>
        </w:rPr>
        <w:t xml:space="preserve"> expressing the ubiquitin scaffold protein CUL3</w:t>
      </w:r>
      <w:r w:rsidR="005825C6" w:rsidRPr="003D44C0">
        <w:rPr>
          <w:rFonts w:ascii="Arial" w:eastAsia="Calibri" w:hAnsi="Arial" w:cs="Arial"/>
          <w:lang w:val="en-US"/>
        </w:rPr>
        <w:t>, respectively</w:t>
      </w:r>
      <w:r w:rsidR="00646920" w:rsidRPr="003D44C0">
        <w:rPr>
          <w:rFonts w:ascii="Arial" w:eastAsia="Calibri" w:hAnsi="Arial" w:cs="Arial"/>
          <w:lang w:val="en-US"/>
        </w:rPr>
        <w:t xml:space="preserve"> (Figure 6)</w:t>
      </w:r>
      <w:r w:rsidR="00A42132" w:rsidRPr="003D44C0">
        <w:rPr>
          <w:rFonts w:ascii="Arial" w:eastAsia="Calibri" w:hAnsi="Arial" w:cs="Arial"/>
          <w:lang w:val="en-US"/>
        </w:rPr>
        <w:t xml:space="preserve"> (</w:t>
      </w:r>
      <w:r w:rsidR="00D32E34" w:rsidRPr="003D44C0">
        <w:rPr>
          <w:rFonts w:ascii="Arial" w:eastAsia="Calibri" w:hAnsi="Arial" w:cs="Arial"/>
          <w:lang w:val="en-US"/>
        </w:rPr>
        <w:t>73, 74</w:t>
      </w:r>
      <w:r w:rsidR="00A42132" w:rsidRPr="003D44C0">
        <w:rPr>
          <w:rFonts w:ascii="Arial" w:eastAsia="Calibri" w:hAnsi="Arial" w:cs="Arial"/>
          <w:lang w:val="en-US"/>
        </w:rPr>
        <w:t>).</w:t>
      </w:r>
      <w:r w:rsidR="00B77BFF" w:rsidRPr="003D44C0">
        <w:rPr>
          <w:rFonts w:ascii="Arial" w:eastAsia="Calibri" w:hAnsi="Arial" w:cs="Arial"/>
          <w:lang w:val="en-US"/>
        </w:rPr>
        <w:t xml:space="preserve"> Generally, </w:t>
      </w:r>
      <w:r w:rsidR="00B77BFF" w:rsidRPr="003D44C0">
        <w:rPr>
          <w:rFonts w:ascii="Arial" w:eastAsia="Calibri" w:hAnsi="Arial" w:cs="Arial"/>
          <w:lang w:val="en-US"/>
        </w:rPr>
        <w:lastRenderedPageBreak/>
        <w:t xml:space="preserve">patients with Gordon syndrome respond adequately to low sodium diet and </w:t>
      </w:r>
      <w:r w:rsidR="00CD7FE7" w:rsidRPr="003D44C0">
        <w:rPr>
          <w:rFonts w:ascii="Arial" w:eastAsia="Calibri" w:hAnsi="Arial" w:cs="Arial"/>
          <w:lang w:val="en-US"/>
        </w:rPr>
        <w:t>thiazide diuretics (28</w:t>
      </w:r>
      <w:r w:rsidR="00B77BFF" w:rsidRPr="003D44C0">
        <w:rPr>
          <w:rFonts w:ascii="Arial" w:eastAsia="Calibri" w:hAnsi="Arial" w:cs="Arial"/>
          <w:lang w:val="en-US"/>
        </w:rPr>
        <w:t xml:space="preserve">). </w:t>
      </w:r>
      <w:r w:rsidR="00A42132" w:rsidRPr="003D44C0">
        <w:rPr>
          <w:rFonts w:ascii="Arial" w:eastAsia="Calibri" w:hAnsi="Arial" w:cs="Arial"/>
          <w:lang w:val="en-US"/>
        </w:rPr>
        <w:t xml:space="preserve"> </w:t>
      </w:r>
      <w:r w:rsidR="000F7064" w:rsidRPr="003D44C0">
        <w:rPr>
          <w:rFonts w:ascii="Arial" w:eastAsia="Calibri" w:hAnsi="Arial" w:cs="Arial"/>
          <w:lang w:val="en-US"/>
        </w:rPr>
        <w:t xml:space="preserve"> </w:t>
      </w:r>
      <w:r w:rsidR="00E550BE" w:rsidRPr="003D44C0">
        <w:rPr>
          <w:rFonts w:ascii="Arial" w:eastAsia="Calibri" w:hAnsi="Arial" w:cs="Arial"/>
          <w:lang w:val="en-US"/>
        </w:rPr>
        <w:t xml:space="preserve"> </w:t>
      </w:r>
    </w:p>
    <w:p w14:paraId="053B9C1E" w14:textId="77777777" w:rsidR="002D0992" w:rsidRPr="003D44C0" w:rsidRDefault="002D0992" w:rsidP="00B130EA">
      <w:pPr>
        <w:spacing w:after="0" w:line="276" w:lineRule="auto"/>
        <w:contextualSpacing/>
        <w:rPr>
          <w:rFonts w:ascii="Arial" w:eastAsia="Calibri" w:hAnsi="Arial" w:cs="Arial"/>
          <w:color w:val="FF0000"/>
          <w:lang w:val="en-US"/>
        </w:rPr>
      </w:pPr>
    </w:p>
    <w:p w14:paraId="5AE0E7BD" w14:textId="77777777" w:rsidR="002D0992" w:rsidRPr="003D44C0" w:rsidRDefault="002D0992" w:rsidP="00B130EA">
      <w:pPr>
        <w:spacing w:after="0" w:line="276" w:lineRule="auto"/>
        <w:contextualSpacing/>
        <w:rPr>
          <w:rFonts w:ascii="Arial" w:eastAsia="Calibri" w:hAnsi="Arial" w:cs="Arial"/>
          <w:color w:val="FF0000"/>
          <w:lang w:val="en-US"/>
        </w:rPr>
      </w:pPr>
      <w:r w:rsidRPr="003D44C0">
        <w:rPr>
          <w:rFonts w:ascii="Arial" w:eastAsia="Calibri" w:hAnsi="Arial" w:cs="Arial"/>
          <w:color w:val="FF0000"/>
          <w:lang w:val="en-US"/>
        </w:rPr>
        <w:t xml:space="preserve">GELLER SYNDROME </w:t>
      </w:r>
      <w:r w:rsidR="0090094C" w:rsidRPr="003D44C0">
        <w:rPr>
          <w:rFonts w:ascii="Arial" w:eastAsia="Calibri" w:hAnsi="Arial" w:cs="Arial"/>
          <w:color w:val="FF0000"/>
          <w:lang w:val="en-US"/>
        </w:rPr>
        <w:t>(</w:t>
      </w:r>
      <w:r w:rsidRPr="003D44C0">
        <w:rPr>
          <w:rFonts w:ascii="Arial" w:eastAsia="Calibri" w:hAnsi="Arial" w:cs="Arial"/>
          <w:color w:val="FF0000"/>
          <w:lang w:val="en-US"/>
        </w:rPr>
        <w:t>MR ACTIVATING MUTATION SYNDROME</w:t>
      </w:r>
      <w:r w:rsidR="0090094C" w:rsidRPr="003D44C0">
        <w:rPr>
          <w:rFonts w:ascii="Arial" w:eastAsia="Calibri" w:hAnsi="Arial" w:cs="Arial"/>
          <w:color w:val="FF0000"/>
          <w:lang w:val="en-US"/>
        </w:rPr>
        <w:t>)</w:t>
      </w:r>
    </w:p>
    <w:p w14:paraId="01272A63" w14:textId="77777777" w:rsidR="00B35DEF" w:rsidRPr="003D44C0" w:rsidRDefault="00B35DEF" w:rsidP="00B130EA">
      <w:pPr>
        <w:spacing w:after="0" w:line="276" w:lineRule="auto"/>
        <w:contextualSpacing/>
        <w:rPr>
          <w:rFonts w:ascii="Arial" w:eastAsia="Calibri" w:hAnsi="Arial" w:cs="Arial"/>
          <w:color w:val="0070C0"/>
          <w:lang w:val="en-US"/>
        </w:rPr>
      </w:pPr>
    </w:p>
    <w:p w14:paraId="5691BA95" w14:textId="26D12086" w:rsidR="007C48D1" w:rsidRPr="003D44C0" w:rsidRDefault="0090094C" w:rsidP="00B130EA">
      <w:pPr>
        <w:spacing w:after="0" w:line="276" w:lineRule="auto"/>
        <w:contextualSpacing/>
        <w:rPr>
          <w:rFonts w:ascii="Arial" w:eastAsia="Calibri" w:hAnsi="Arial" w:cs="Arial"/>
          <w:lang w:val="en-US"/>
        </w:rPr>
      </w:pPr>
      <w:r w:rsidRPr="003D44C0">
        <w:rPr>
          <w:rFonts w:ascii="Arial" w:eastAsia="Calibri" w:hAnsi="Arial" w:cs="Arial"/>
          <w:lang w:val="en-US"/>
        </w:rPr>
        <w:t xml:space="preserve">Geller syndrome is a rare autosomal dominant disorder characterized by </w:t>
      </w:r>
      <w:r w:rsidR="004029BA" w:rsidRPr="003D44C0">
        <w:rPr>
          <w:rFonts w:ascii="Arial" w:eastAsia="Calibri" w:hAnsi="Arial" w:cs="Arial"/>
          <w:lang w:val="en-US"/>
        </w:rPr>
        <w:t xml:space="preserve">hypertension, hypokalemia, </w:t>
      </w:r>
      <w:r w:rsidR="00CA7328" w:rsidRPr="003D44C0">
        <w:rPr>
          <w:rFonts w:ascii="Arial" w:eastAsia="Calibri" w:hAnsi="Arial" w:cs="Arial"/>
          <w:lang w:val="en-US"/>
        </w:rPr>
        <w:t>low PRA</w:t>
      </w:r>
      <w:r w:rsidR="0086725C" w:rsidRPr="003D44C0">
        <w:rPr>
          <w:rFonts w:ascii="Arial" w:eastAsia="Calibri" w:hAnsi="Arial" w:cs="Arial"/>
          <w:lang w:val="en-US"/>
        </w:rPr>
        <w:t>,</w:t>
      </w:r>
      <w:r w:rsidR="00CA7328" w:rsidRPr="003D44C0">
        <w:rPr>
          <w:rFonts w:ascii="Arial" w:eastAsia="Calibri" w:hAnsi="Arial" w:cs="Arial"/>
          <w:lang w:val="en-US"/>
        </w:rPr>
        <w:t xml:space="preserve"> and low serum aldosterone concentrations </w:t>
      </w:r>
      <w:r w:rsidR="00EB4115" w:rsidRPr="003D44C0">
        <w:rPr>
          <w:rFonts w:ascii="Arial" w:eastAsia="Calibri" w:hAnsi="Arial" w:cs="Arial"/>
          <w:lang w:val="en-US"/>
        </w:rPr>
        <w:t>(2</w:t>
      </w:r>
      <w:r w:rsidR="009975DC" w:rsidRPr="003D44C0">
        <w:rPr>
          <w:rFonts w:ascii="Arial" w:eastAsia="Calibri" w:hAnsi="Arial" w:cs="Arial"/>
          <w:lang w:val="en-US"/>
        </w:rPr>
        <w:t xml:space="preserve">). Patients with Geller syndrome harbor an activating mutation in the </w:t>
      </w:r>
      <w:r w:rsidR="0008345A" w:rsidRPr="003D44C0">
        <w:rPr>
          <w:rFonts w:ascii="Arial" w:eastAsia="Calibri" w:hAnsi="Arial" w:cs="Arial"/>
          <w:i/>
          <w:lang w:val="en-US"/>
        </w:rPr>
        <w:t>NR3C2</w:t>
      </w:r>
      <w:r w:rsidR="009975DC" w:rsidRPr="003D44C0">
        <w:rPr>
          <w:rFonts w:ascii="Arial" w:eastAsia="Calibri" w:hAnsi="Arial" w:cs="Arial"/>
          <w:i/>
          <w:lang w:val="en-US"/>
        </w:rPr>
        <w:t xml:space="preserve"> </w:t>
      </w:r>
      <w:r w:rsidR="009975DC" w:rsidRPr="003D44C0">
        <w:rPr>
          <w:rFonts w:ascii="Arial" w:eastAsia="Calibri" w:hAnsi="Arial" w:cs="Arial"/>
          <w:lang w:val="en-US"/>
        </w:rPr>
        <w:t>gene that encodes for the mineralocorticoid receptor (MR)</w:t>
      </w:r>
      <w:r w:rsidR="00CA32DB" w:rsidRPr="003D44C0">
        <w:rPr>
          <w:rFonts w:ascii="Arial" w:eastAsia="Calibri" w:hAnsi="Arial" w:cs="Arial"/>
          <w:lang w:val="en-US"/>
        </w:rPr>
        <w:t xml:space="preserve"> </w:t>
      </w:r>
      <w:r w:rsidR="00646920" w:rsidRPr="003D44C0">
        <w:rPr>
          <w:rFonts w:ascii="Arial" w:eastAsia="Calibri" w:hAnsi="Arial" w:cs="Arial"/>
          <w:lang w:val="en-US"/>
        </w:rPr>
        <w:t xml:space="preserve">(Figure 6) </w:t>
      </w:r>
      <w:r w:rsidR="00CA32DB" w:rsidRPr="003D44C0">
        <w:rPr>
          <w:rFonts w:ascii="Arial" w:eastAsia="Calibri" w:hAnsi="Arial" w:cs="Arial"/>
          <w:lang w:val="en-US"/>
        </w:rPr>
        <w:t>(</w:t>
      </w:r>
      <w:r w:rsidR="00D32E34" w:rsidRPr="003D44C0">
        <w:rPr>
          <w:rFonts w:ascii="Arial" w:eastAsia="Calibri" w:hAnsi="Arial" w:cs="Arial"/>
          <w:lang w:val="en-US"/>
        </w:rPr>
        <w:t>75, 76</w:t>
      </w:r>
      <w:r w:rsidR="00CA32DB" w:rsidRPr="003D44C0">
        <w:rPr>
          <w:rFonts w:ascii="Arial" w:eastAsia="Calibri" w:hAnsi="Arial" w:cs="Arial"/>
          <w:lang w:val="en-US"/>
        </w:rPr>
        <w:t>)</w:t>
      </w:r>
      <w:r w:rsidR="009975DC" w:rsidRPr="003D44C0">
        <w:rPr>
          <w:rFonts w:ascii="Arial" w:eastAsia="Calibri" w:hAnsi="Arial" w:cs="Arial"/>
          <w:lang w:val="en-US"/>
        </w:rPr>
        <w:t>. This genetic defect leads to aberrant activation of the MR by cortisone, 11-</w:t>
      </w:r>
      <w:r w:rsidR="00CA32DB" w:rsidRPr="003D44C0">
        <w:rPr>
          <w:rFonts w:ascii="Arial" w:eastAsia="Calibri" w:hAnsi="Arial" w:cs="Arial"/>
          <w:lang w:val="en-US"/>
        </w:rPr>
        <w:t>DOC</w:t>
      </w:r>
      <w:r w:rsidR="0086725C" w:rsidRPr="003D44C0">
        <w:rPr>
          <w:rFonts w:ascii="Arial" w:eastAsia="Calibri" w:hAnsi="Arial" w:cs="Arial"/>
          <w:lang w:val="en-US"/>
        </w:rPr>
        <w:t>,</w:t>
      </w:r>
      <w:r w:rsidR="00CA32DB" w:rsidRPr="003D44C0">
        <w:rPr>
          <w:rFonts w:ascii="Arial" w:eastAsia="Calibri" w:hAnsi="Arial" w:cs="Arial"/>
          <w:lang w:val="en-US"/>
        </w:rPr>
        <w:t xml:space="preserve"> and progesterone, all acting as antagonists of the wild-type MR; therefore, hypertension worsens during pregnancy due to increased progesterone concentrations.</w:t>
      </w:r>
      <w:r w:rsidR="000F6106" w:rsidRPr="003D44C0">
        <w:rPr>
          <w:rFonts w:ascii="Arial" w:eastAsia="Calibri" w:hAnsi="Arial" w:cs="Arial"/>
          <w:lang w:val="en-US"/>
        </w:rPr>
        <w:t xml:space="preserve"> The therapeutic management includes administrati</w:t>
      </w:r>
      <w:r w:rsidR="00481DD9" w:rsidRPr="003D44C0">
        <w:rPr>
          <w:rFonts w:ascii="Arial" w:eastAsia="Calibri" w:hAnsi="Arial" w:cs="Arial"/>
          <w:lang w:val="en-US"/>
        </w:rPr>
        <w:t>on of amiloride and finerenone (</w:t>
      </w:r>
      <w:r w:rsidR="00D32E34" w:rsidRPr="003D44C0">
        <w:rPr>
          <w:rFonts w:ascii="Arial" w:eastAsia="Calibri" w:hAnsi="Arial" w:cs="Arial"/>
          <w:lang w:val="en-US"/>
        </w:rPr>
        <w:t>77</w:t>
      </w:r>
      <w:r w:rsidR="00481DD9" w:rsidRPr="003D44C0">
        <w:rPr>
          <w:rFonts w:ascii="Arial" w:eastAsia="Calibri" w:hAnsi="Arial" w:cs="Arial"/>
          <w:lang w:val="en-US"/>
        </w:rPr>
        <w:t>).</w:t>
      </w:r>
      <w:r w:rsidR="00CA32DB" w:rsidRPr="003D44C0">
        <w:rPr>
          <w:rFonts w:ascii="Arial" w:eastAsia="Calibri" w:hAnsi="Arial" w:cs="Arial"/>
          <w:lang w:val="en-US"/>
        </w:rPr>
        <w:t xml:space="preserve"> </w:t>
      </w:r>
      <w:r w:rsidR="009975DC" w:rsidRPr="003D44C0">
        <w:rPr>
          <w:rFonts w:ascii="Arial" w:eastAsia="Calibri" w:hAnsi="Arial" w:cs="Arial"/>
          <w:lang w:val="en-US"/>
        </w:rPr>
        <w:t xml:space="preserve"> </w:t>
      </w:r>
      <w:r w:rsidRPr="003D44C0">
        <w:rPr>
          <w:rFonts w:ascii="Arial" w:eastAsia="Calibri" w:hAnsi="Arial" w:cs="Arial"/>
          <w:lang w:val="en-US"/>
        </w:rPr>
        <w:t xml:space="preserve"> </w:t>
      </w:r>
    </w:p>
    <w:p w14:paraId="2FAFBCD3" w14:textId="77777777" w:rsidR="007C48D1" w:rsidRPr="003D44C0" w:rsidRDefault="007C48D1" w:rsidP="00B130EA">
      <w:pPr>
        <w:spacing w:after="0" w:line="276" w:lineRule="auto"/>
        <w:contextualSpacing/>
        <w:rPr>
          <w:rFonts w:ascii="Arial" w:eastAsia="Calibri" w:hAnsi="Arial" w:cs="Arial"/>
          <w:color w:val="ED7D31"/>
          <w:lang w:val="en-US"/>
        </w:rPr>
      </w:pPr>
    </w:p>
    <w:p w14:paraId="03BECB67" w14:textId="77777777" w:rsidR="004D4759" w:rsidRPr="003D44C0" w:rsidRDefault="004D4759" w:rsidP="00B130EA">
      <w:pPr>
        <w:spacing w:after="0" w:line="276" w:lineRule="auto"/>
        <w:contextualSpacing/>
        <w:rPr>
          <w:rFonts w:ascii="Arial" w:eastAsia="Calibri" w:hAnsi="Arial" w:cs="Arial"/>
          <w:color w:val="FF0000"/>
          <w:lang w:val="en-US"/>
        </w:rPr>
      </w:pPr>
      <w:r w:rsidRPr="003D44C0">
        <w:rPr>
          <w:rFonts w:ascii="Arial" w:eastAsia="Calibri" w:hAnsi="Arial" w:cs="Arial"/>
          <w:color w:val="FF0000"/>
          <w:lang w:val="en-US"/>
        </w:rPr>
        <w:t>A</w:t>
      </w:r>
      <w:r w:rsidR="00F23699" w:rsidRPr="003D44C0">
        <w:rPr>
          <w:rFonts w:ascii="Arial" w:eastAsia="Calibri" w:hAnsi="Arial" w:cs="Arial"/>
          <w:color w:val="FF0000"/>
          <w:lang w:val="en-US"/>
        </w:rPr>
        <w:t>PPARENT MINERALOCORTICOID EXCESS</w:t>
      </w:r>
      <w:r w:rsidRPr="003D44C0">
        <w:rPr>
          <w:rFonts w:ascii="Arial" w:eastAsia="Calibri" w:hAnsi="Arial" w:cs="Arial"/>
          <w:color w:val="FF0000"/>
          <w:lang w:val="en-US"/>
        </w:rPr>
        <w:t xml:space="preserve"> </w:t>
      </w:r>
      <w:r w:rsidR="00F23699" w:rsidRPr="003D44C0">
        <w:rPr>
          <w:rFonts w:ascii="Arial" w:eastAsia="Calibri" w:hAnsi="Arial" w:cs="Arial"/>
          <w:color w:val="FF0000"/>
          <w:lang w:val="en-US"/>
        </w:rPr>
        <w:t>(AME) SYNDROME</w:t>
      </w:r>
      <w:r w:rsidRPr="003D44C0">
        <w:rPr>
          <w:rFonts w:ascii="Arial" w:eastAsia="Calibri" w:hAnsi="Arial" w:cs="Arial"/>
          <w:color w:val="FF0000"/>
          <w:lang w:val="en-US"/>
        </w:rPr>
        <w:t xml:space="preserve"> (11β-Hydroxysteroid Dehydrogenase Deficiency Type 2)</w:t>
      </w:r>
    </w:p>
    <w:p w14:paraId="498DDC33" w14:textId="77777777" w:rsidR="007C7154" w:rsidRPr="003D44C0" w:rsidRDefault="007C7154" w:rsidP="00B130EA">
      <w:pPr>
        <w:spacing w:after="0" w:line="276" w:lineRule="auto"/>
        <w:contextualSpacing/>
        <w:rPr>
          <w:rFonts w:ascii="Arial" w:eastAsia="Calibri" w:hAnsi="Arial" w:cs="Arial"/>
          <w:color w:val="FF0000"/>
          <w:lang w:val="en-US"/>
        </w:rPr>
      </w:pPr>
    </w:p>
    <w:p w14:paraId="624569B1" w14:textId="50348C97" w:rsidR="00420D3D" w:rsidRPr="003D44C0" w:rsidRDefault="004C6D5B" w:rsidP="00B130EA">
      <w:pPr>
        <w:spacing w:after="0" w:line="276" w:lineRule="auto"/>
        <w:contextualSpacing/>
        <w:rPr>
          <w:rFonts w:ascii="Arial" w:eastAsia="Calibri" w:hAnsi="Arial" w:cs="Arial"/>
          <w:color w:val="000000" w:themeColor="text1"/>
          <w:lang w:val="en-US"/>
        </w:rPr>
      </w:pPr>
      <w:r w:rsidRPr="003D44C0">
        <w:rPr>
          <w:rFonts w:ascii="Arial" w:eastAsia="Calibri" w:hAnsi="Arial" w:cs="Arial"/>
          <w:color w:val="000000" w:themeColor="text1"/>
          <w:lang w:val="en-US"/>
        </w:rPr>
        <w:t xml:space="preserve">This syndrome is caused by inactivating genetic defects in the </w:t>
      </w:r>
      <w:bookmarkStart w:id="1" w:name="_Hlk191740895"/>
      <w:r w:rsidRPr="003D44C0">
        <w:rPr>
          <w:rFonts w:ascii="Arial" w:eastAsia="Calibri" w:hAnsi="Arial" w:cs="Arial"/>
          <w:color w:val="000000" w:themeColor="text1"/>
          <w:lang w:val="en-US"/>
        </w:rPr>
        <w:t xml:space="preserve">11β-hydroxysteroid dehydrogenase type 2 </w:t>
      </w:r>
      <w:bookmarkEnd w:id="1"/>
      <w:r w:rsidRPr="003D44C0">
        <w:rPr>
          <w:rFonts w:ascii="Arial" w:eastAsia="Calibri" w:hAnsi="Arial" w:cs="Arial"/>
          <w:color w:val="000000" w:themeColor="text1"/>
          <w:lang w:val="en-US"/>
        </w:rPr>
        <w:t>(</w:t>
      </w:r>
      <w:r w:rsidRPr="003D44C0">
        <w:rPr>
          <w:rFonts w:ascii="Arial" w:eastAsia="Calibri" w:hAnsi="Arial" w:cs="Arial"/>
          <w:i/>
          <w:color w:val="000000" w:themeColor="text1"/>
          <w:lang w:val="en-US"/>
        </w:rPr>
        <w:t>HSD11B2</w:t>
      </w:r>
      <w:r w:rsidRPr="003D44C0">
        <w:rPr>
          <w:rFonts w:ascii="Arial" w:eastAsia="Calibri" w:hAnsi="Arial" w:cs="Arial"/>
          <w:color w:val="000000" w:themeColor="text1"/>
          <w:lang w:val="en-US"/>
        </w:rPr>
        <w:t xml:space="preserve">) gene that encodes </w:t>
      </w:r>
      <w:r w:rsidR="004B2E8B" w:rsidRPr="003D44C0">
        <w:rPr>
          <w:rFonts w:ascii="Arial" w:eastAsia="Calibri" w:hAnsi="Arial" w:cs="Arial"/>
          <w:color w:val="000000" w:themeColor="text1"/>
          <w:lang w:val="en-US"/>
        </w:rPr>
        <w:t>for the enzyme 11β-hydroxysteroid dehydrogenase type 2 converting cortisol to inactive cortisone in aldosterone-responsive target tissues</w:t>
      </w:r>
      <w:r w:rsidR="00646920" w:rsidRPr="003D44C0">
        <w:rPr>
          <w:rFonts w:ascii="Arial" w:eastAsia="Calibri" w:hAnsi="Arial" w:cs="Arial"/>
          <w:color w:val="000000" w:themeColor="text1"/>
          <w:lang w:val="en-US"/>
        </w:rPr>
        <w:t xml:space="preserve"> (Figure 6)</w:t>
      </w:r>
      <w:r w:rsidR="004B2E8B" w:rsidRPr="003D44C0">
        <w:rPr>
          <w:rFonts w:ascii="Arial" w:eastAsia="Calibri" w:hAnsi="Arial" w:cs="Arial"/>
          <w:color w:val="000000" w:themeColor="text1"/>
          <w:lang w:val="en-US"/>
        </w:rPr>
        <w:t xml:space="preserve"> (e.g.</w:t>
      </w:r>
      <w:r w:rsidR="007D403A">
        <w:rPr>
          <w:rFonts w:ascii="Arial" w:eastAsia="Calibri" w:hAnsi="Arial" w:cs="Arial"/>
          <w:color w:val="000000" w:themeColor="text1"/>
          <w:lang w:val="en-US"/>
        </w:rPr>
        <w:t>,</w:t>
      </w:r>
      <w:r w:rsidR="004B2E8B" w:rsidRPr="003D44C0">
        <w:rPr>
          <w:rFonts w:ascii="Arial" w:eastAsia="Calibri" w:hAnsi="Arial" w:cs="Arial"/>
          <w:color w:val="000000" w:themeColor="text1"/>
          <w:lang w:val="en-US"/>
        </w:rPr>
        <w:t xml:space="preserve"> kidney)</w:t>
      </w:r>
      <w:r w:rsidR="00B05466" w:rsidRPr="003D44C0">
        <w:rPr>
          <w:rFonts w:ascii="Arial" w:eastAsia="Calibri" w:hAnsi="Arial" w:cs="Arial"/>
          <w:color w:val="000000" w:themeColor="text1"/>
          <w:lang w:val="en-US"/>
        </w:rPr>
        <w:t xml:space="preserve"> (78)</w:t>
      </w:r>
      <w:r w:rsidR="004B2E8B" w:rsidRPr="003D44C0">
        <w:rPr>
          <w:rFonts w:ascii="Arial" w:eastAsia="Calibri" w:hAnsi="Arial" w:cs="Arial"/>
          <w:color w:val="000000" w:themeColor="text1"/>
          <w:lang w:val="en-US"/>
        </w:rPr>
        <w:t xml:space="preserve">. The resultant high concentrations of cortisol bind </w:t>
      </w:r>
      <w:r w:rsidR="00C57410" w:rsidRPr="003D44C0">
        <w:rPr>
          <w:rFonts w:ascii="Arial" w:eastAsia="Calibri" w:hAnsi="Arial" w:cs="Arial"/>
          <w:color w:val="000000" w:themeColor="text1"/>
          <w:lang w:val="en-US"/>
        </w:rPr>
        <w:t xml:space="preserve">to </w:t>
      </w:r>
      <w:r w:rsidR="004B2E8B" w:rsidRPr="003D44C0">
        <w:rPr>
          <w:rFonts w:ascii="Arial" w:eastAsia="Calibri" w:hAnsi="Arial" w:cs="Arial"/>
          <w:color w:val="000000" w:themeColor="text1"/>
          <w:lang w:val="en-US"/>
        </w:rPr>
        <w:t>mineralocorticoid receptors which induce the expression of several responsive genes leading to hypertension, low renin and aldosterone concentrations, hypernatremia, hypokalemia</w:t>
      </w:r>
      <w:r w:rsidR="00C57410" w:rsidRPr="003D44C0">
        <w:rPr>
          <w:rFonts w:ascii="Arial" w:eastAsia="Calibri" w:hAnsi="Arial" w:cs="Arial"/>
          <w:color w:val="000000" w:themeColor="text1"/>
          <w:lang w:val="en-US"/>
        </w:rPr>
        <w:t>,</w:t>
      </w:r>
      <w:r w:rsidR="004B2E8B" w:rsidRPr="003D44C0">
        <w:rPr>
          <w:rFonts w:ascii="Arial" w:eastAsia="Calibri" w:hAnsi="Arial" w:cs="Arial"/>
          <w:color w:val="000000" w:themeColor="text1"/>
          <w:lang w:val="en-US"/>
        </w:rPr>
        <w:t xml:space="preserve"> and metabolic alkalosis. In addition to hypertension, patients with AME syndrome may present with short stature, failure to thrive, polyuria, polydipsia, as well as </w:t>
      </w:r>
      <w:r w:rsidR="00221F89" w:rsidRPr="003D44C0">
        <w:rPr>
          <w:rFonts w:ascii="Arial" w:eastAsia="Calibri" w:hAnsi="Arial" w:cs="Arial"/>
          <w:color w:val="000000" w:themeColor="text1"/>
          <w:lang w:val="en-US"/>
        </w:rPr>
        <w:t>hypercalciuria and nephrocalcinosis</w:t>
      </w:r>
      <w:r w:rsidR="00B05466" w:rsidRPr="003D44C0">
        <w:rPr>
          <w:rFonts w:ascii="Arial" w:eastAsia="Calibri" w:hAnsi="Arial" w:cs="Arial"/>
          <w:color w:val="000000" w:themeColor="text1"/>
          <w:lang w:val="en-US"/>
        </w:rPr>
        <w:t xml:space="preserve"> (78)</w:t>
      </w:r>
      <w:r w:rsidR="00221F89" w:rsidRPr="003D44C0">
        <w:rPr>
          <w:rFonts w:ascii="Arial" w:eastAsia="Calibri" w:hAnsi="Arial" w:cs="Arial"/>
          <w:color w:val="000000" w:themeColor="text1"/>
          <w:lang w:val="en-US"/>
        </w:rPr>
        <w:t>.</w:t>
      </w:r>
      <w:r w:rsidR="00582E72" w:rsidRPr="003D44C0">
        <w:rPr>
          <w:rFonts w:ascii="Arial" w:eastAsia="Calibri" w:hAnsi="Arial" w:cs="Arial"/>
          <w:color w:val="000000" w:themeColor="text1"/>
          <w:lang w:val="en-US"/>
        </w:rPr>
        <w:t xml:space="preserve"> To reach the diagnosis, a high ratio of 5b and 5a-tetrahydrocortisol steroids to tetrahydrocortisone in the urine should be confirmed, followed by sequencing of the</w:t>
      </w:r>
      <w:r w:rsidR="00582E72" w:rsidRPr="003D44C0">
        <w:rPr>
          <w:rFonts w:ascii="Arial" w:hAnsi="Arial" w:cs="Arial"/>
          <w:lang w:val="en-US"/>
        </w:rPr>
        <w:t xml:space="preserve"> </w:t>
      </w:r>
      <w:r w:rsidR="00582E72" w:rsidRPr="003D44C0">
        <w:rPr>
          <w:rFonts w:ascii="Arial" w:eastAsia="Calibri" w:hAnsi="Arial" w:cs="Arial"/>
          <w:i/>
          <w:color w:val="000000" w:themeColor="text1"/>
          <w:lang w:val="en-US"/>
        </w:rPr>
        <w:t>HSD11B2</w:t>
      </w:r>
      <w:r w:rsidR="00582E72" w:rsidRPr="003D44C0">
        <w:rPr>
          <w:rFonts w:ascii="Arial" w:eastAsia="Calibri" w:hAnsi="Arial" w:cs="Arial"/>
          <w:color w:val="000000" w:themeColor="text1"/>
          <w:lang w:val="en-US"/>
        </w:rPr>
        <w:t xml:space="preserve"> gene. </w:t>
      </w:r>
      <w:r w:rsidR="00E7179D" w:rsidRPr="003D44C0">
        <w:rPr>
          <w:rFonts w:ascii="Arial" w:eastAsia="Calibri" w:hAnsi="Arial" w:cs="Arial"/>
          <w:color w:val="000000" w:themeColor="text1"/>
          <w:lang w:val="en-US"/>
        </w:rPr>
        <w:t xml:space="preserve">Treatment should begin early to prevent left ventricular hypertrophy and/or cerebrovascular events, and includes spironolactone to block mineralocorticoid receptor activation, </w:t>
      </w:r>
      <w:r w:rsidR="005B7EEC" w:rsidRPr="003D44C0">
        <w:rPr>
          <w:rFonts w:ascii="Arial" w:eastAsia="Calibri" w:hAnsi="Arial" w:cs="Arial"/>
          <w:color w:val="000000" w:themeColor="text1"/>
          <w:lang w:val="en-US"/>
        </w:rPr>
        <w:t xml:space="preserve">restriction of dietary intake of sodium, and potassium supplementation. In cases of nephrocalcinosis, </w:t>
      </w:r>
      <w:r w:rsidR="00C01FA7" w:rsidRPr="003D44C0">
        <w:rPr>
          <w:rFonts w:ascii="Arial" w:eastAsia="Calibri" w:hAnsi="Arial" w:cs="Arial"/>
          <w:color w:val="000000" w:themeColor="text1"/>
          <w:lang w:val="en-US"/>
        </w:rPr>
        <w:t>patients should also receive chlorothiazide or hydrochlorothiazide to minimize hypercalciuria</w:t>
      </w:r>
      <w:r w:rsidR="00B05466" w:rsidRPr="003D44C0">
        <w:rPr>
          <w:rFonts w:ascii="Arial" w:eastAsia="Calibri" w:hAnsi="Arial" w:cs="Arial"/>
          <w:color w:val="000000" w:themeColor="text1"/>
          <w:lang w:val="en-US"/>
        </w:rPr>
        <w:t xml:space="preserve"> (78)</w:t>
      </w:r>
      <w:r w:rsidR="00C01FA7" w:rsidRPr="003D44C0">
        <w:rPr>
          <w:rFonts w:ascii="Arial" w:eastAsia="Calibri" w:hAnsi="Arial" w:cs="Arial"/>
          <w:color w:val="000000" w:themeColor="text1"/>
          <w:lang w:val="en-US"/>
        </w:rPr>
        <w:t>. Dexamethasone might be also administered as monotherapy or in addi</w:t>
      </w:r>
      <w:r w:rsidR="00E03C70" w:rsidRPr="003D44C0">
        <w:rPr>
          <w:rFonts w:ascii="Arial" w:eastAsia="Calibri" w:hAnsi="Arial" w:cs="Arial"/>
          <w:color w:val="000000" w:themeColor="text1"/>
          <w:lang w:val="en-US"/>
        </w:rPr>
        <w:t>tion to spironolactone, since dexamethasone reduces the activity of the hypothalamic-pituitary-adrenal axis through negative feedback loops at the levels of hypothalamus and pituitary. Moreover, dexamethasone does not have any affinity to 11β-HSD2</w:t>
      </w:r>
      <w:r w:rsidR="00B05466" w:rsidRPr="003D44C0">
        <w:rPr>
          <w:rFonts w:ascii="Arial" w:eastAsia="Calibri" w:hAnsi="Arial" w:cs="Arial"/>
          <w:color w:val="000000" w:themeColor="text1"/>
          <w:lang w:val="en-US"/>
        </w:rPr>
        <w:t xml:space="preserve"> (78)</w:t>
      </w:r>
      <w:r w:rsidR="00E03C70" w:rsidRPr="003D44C0">
        <w:rPr>
          <w:rFonts w:ascii="Arial" w:eastAsia="Calibri" w:hAnsi="Arial" w:cs="Arial"/>
          <w:color w:val="000000" w:themeColor="text1"/>
          <w:lang w:val="en-US"/>
        </w:rPr>
        <w:t>.</w:t>
      </w:r>
      <w:r w:rsidR="00B05466" w:rsidRPr="003D44C0">
        <w:rPr>
          <w:rFonts w:ascii="Arial" w:eastAsia="Calibri" w:hAnsi="Arial" w:cs="Arial"/>
          <w:color w:val="000000" w:themeColor="text1"/>
          <w:lang w:val="en-US"/>
        </w:rPr>
        <w:t xml:space="preserve"> </w:t>
      </w:r>
    </w:p>
    <w:p w14:paraId="74C563F3" w14:textId="77777777" w:rsidR="0031165C" w:rsidRPr="003D44C0" w:rsidRDefault="0031165C" w:rsidP="00B130EA">
      <w:pPr>
        <w:spacing w:after="0" w:line="276" w:lineRule="auto"/>
        <w:contextualSpacing/>
        <w:rPr>
          <w:rFonts w:ascii="Arial" w:eastAsia="Calibri" w:hAnsi="Arial" w:cs="Arial"/>
          <w:noProof/>
          <w:color w:val="000000" w:themeColor="text1"/>
          <w:lang w:val="en-US" w:eastAsia="el-GR"/>
        </w:rPr>
      </w:pPr>
    </w:p>
    <w:p w14:paraId="7B12C6EA" w14:textId="33BAC5E4" w:rsidR="005E3C1A" w:rsidRPr="003D44C0" w:rsidRDefault="0031165C" w:rsidP="00B130EA">
      <w:pPr>
        <w:spacing w:after="0" w:line="276" w:lineRule="auto"/>
        <w:contextualSpacing/>
        <w:rPr>
          <w:rFonts w:ascii="Arial" w:eastAsia="Calibri" w:hAnsi="Arial" w:cs="Arial"/>
          <w:b/>
          <w:lang w:val="en-US"/>
        </w:rPr>
      </w:pPr>
      <w:r w:rsidRPr="003D44C0">
        <w:rPr>
          <w:rFonts w:ascii="Arial" w:eastAsia="Calibri" w:hAnsi="Arial" w:cs="Arial"/>
          <w:noProof/>
          <w:color w:val="000000" w:themeColor="text1"/>
          <w:lang w:val="en-US" w:eastAsia="el-GR"/>
        </w:rPr>
        <w:lastRenderedPageBreak/>
        <w:drawing>
          <wp:inline distT="0" distB="0" distL="0" distR="0" wp14:anchorId="70D2B2B1" wp14:editId="0E6E2DC4">
            <wp:extent cx="5274310" cy="3956050"/>
            <wp:effectExtent l="0" t="0" r="2540" b="635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Διαφάνεια6.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0F84BDAA" w14:textId="51B00393" w:rsidR="006B1399" w:rsidRPr="003D44C0" w:rsidRDefault="00420D3D" w:rsidP="00B130EA">
      <w:pPr>
        <w:spacing w:after="0" w:line="276" w:lineRule="auto"/>
        <w:contextualSpacing/>
        <w:rPr>
          <w:rFonts w:ascii="Arial" w:eastAsia="Calibri" w:hAnsi="Arial" w:cs="Arial"/>
          <w:lang w:val="en-US"/>
        </w:rPr>
      </w:pPr>
      <w:r w:rsidRPr="003D44C0">
        <w:rPr>
          <w:rFonts w:ascii="Arial" w:eastAsia="Calibri" w:hAnsi="Arial" w:cs="Arial"/>
          <w:b/>
          <w:lang w:val="en-US"/>
        </w:rPr>
        <w:t>Figure 6</w:t>
      </w:r>
      <w:r w:rsidR="00E30D0E" w:rsidRPr="003D44C0">
        <w:rPr>
          <w:rFonts w:ascii="Arial" w:eastAsia="Calibri" w:hAnsi="Arial" w:cs="Arial"/>
          <w:b/>
          <w:lang w:val="en-US"/>
        </w:rPr>
        <w:t>.</w:t>
      </w:r>
      <w:r w:rsidR="00E44299" w:rsidRPr="003D44C0">
        <w:rPr>
          <w:rFonts w:ascii="Arial" w:eastAsia="Calibri" w:hAnsi="Arial" w:cs="Arial"/>
          <w:b/>
          <w:lang w:val="en-US"/>
        </w:rPr>
        <w:t xml:space="preserve"> </w:t>
      </w:r>
      <w:r w:rsidR="001C4395" w:rsidRPr="003D44C0">
        <w:rPr>
          <w:rFonts w:ascii="Arial" w:eastAsia="Calibri" w:hAnsi="Arial" w:cs="Arial"/>
          <w:b/>
          <w:bCs/>
          <w:lang w:val="en-US"/>
        </w:rPr>
        <w:t>Genetic defects of renal disorders mimicking adrenal diseases.</w:t>
      </w:r>
      <w:r w:rsidR="00217B76" w:rsidRPr="003D44C0">
        <w:rPr>
          <w:rFonts w:ascii="Arial" w:eastAsia="Calibri" w:hAnsi="Arial" w:cs="Arial"/>
          <w:b/>
          <w:bCs/>
          <w:lang w:val="en-US"/>
        </w:rPr>
        <w:t xml:space="preserve"> </w:t>
      </w:r>
      <w:r w:rsidR="0035617C" w:rsidRPr="003D44C0">
        <w:rPr>
          <w:rFonts w:ascii="Arial" w:eastAsia="Calibri" w:hAnsi="Arial" w:cs="Arial"/>
          <w:b/>
          <w:bCs/>
          <w:lang w:val="en-US"/>
        </w:rPr>
        <w:t xml:space="preserve">Apparent Mineralocorticoid Excess (AME) syndrome is caused by inactivating genetic defects in the </w:t>
      </w:r>
      <w:r w:rsidR="0035617C" w:rsidRPr="003D44C0">
        <w:rPr>
          <w:rFonts w:ascii="Arial" w:eastAsia="Calibri" w:hAnsi="Arial" w:cs="Arial"/>
          <w:b/>
          <w:bCs/>
          <w:i/>
          <w:lang w:val="en-US"/>
        </w:rPr>
        <w:t xml:space="preserve">HSD11B2 </w:t>
      </w:r>
      <w:r w:rsidR="0035617C" w:rsidRPr="003D44C0">
        <w:rPr>
          <w:rFonts w:ascii="Arial" w:eastAsia="Calibri" w:hAnsi="Arial" w:cs="Arial"/>
          <w:b/>
          <w:bCs/>
          <w:lang w:val="en-US"/>
        </w:rPr>
        <w:t xml:space="preserve">that encodes for the 11β-hydroxysteroid dehydrogenase type 2 converting cortisol to inactive cortisone. </w:t>
      </w:r>
      <w:r w:rsidR="007A0ADD" w:rsidRPr="003D44C0">
        <w:rPr>
          <w:rFonts w:ascii="Arial" w:eastAsia="Calibri" w:hAnsi="Arial" w:cs="Arial"/>
          <w:b/>
          <w:bCs/>
          <w:lang w:val="en-US"/>
        </w:rPr>
        <w:t xml:space="preserve">The molecular basis of </w:t>
      </w:r>
      <w:r w:rsidR="0035617C" w:rsidRPr="003D44C0">
        <w:rPr>
          <w:rFonts w:ascii="Arial" w:eastAsia="Calibri" w:hAnsi="Arial" w:cs="Arial"/>
          <w:b/>
          <w:bCs/>
          <w:lang w:val="en-US"/>
        </w:rPr>
        <w:t>Gordon syndrome</w:t>
      </w:r>
      <w:r w:rsidR="007A0ADD" w:rsidRPr="003D44C0">
        <w:rPr>
          <w:rFonts w:ascii="Arial" w:eastAsia="Calibri" w:hAnsi="Arial" w:cs="Arial"/>
          <w:b/>
          <w:bCs/>
          <w:lang w:val="en-US"/>
        </w:rPr>
        <w:t xml:space="preserve"> has been ascribed to mutations in</w:t>
      </w:r>
      <w:r w:rsidR="007A0ADD" w:rsidRPr="003D44C0">
        <w:rPr>
          <w:rFonts w:ascii="Arial" w:hAnsi="Arial" w:cs="Arial"/>
          <w:b/>
          <w:bCs/>
          <w:lang w:val="en-US"/>
        </w:rPr>
        <w:t xml:space="preserve"> the </w:t>
      </w:r>
      <w:r w:rsidR="007A0ADD" w:rsidRPr="003D44C0">
        <w:rPr>
          <w:rFonts w:ascii="Arial" w:eastAsia="Calibri" w:hAnsi="Arial" w:cs="Arial"/>
          <w:b/>
          <w:bCs/>
          <w:i/>
          <w:lang w:val="en-US"/>
        </w:rPr>
        <w:t>WNK</w:t>
      </w:r>
      <w:r w:rsidR="007A0ADD" w:rsidRPr="003D44C0">
        <w:rPr>
          <w:rFonts w:ascii="Arial" w:eastAsia="Calibri" w:hAnsi="Arial" w:cs="Arial"/>
          <w:b/>
          <w:bCs/>
          <w:lang w:val="en-US"/>
        </w:rPr>
        <w:t xml:space="preserve"> genes expressing proteins that function as serine-threonine protein kinases regulating the expression and action of cation-Cl− cotransporters, such as the sodium chloride cotransporter. Gordon syndrome is also caused by mutations in</w:t>
      </w:r>
      <w:r w:rsidR="0008345A" w:rsidRPr="003D44C0">
        <w:rPr>
          <w:rFonts w:ascii="Arial" w:hAnsi="Arial" w:cs="Arial"/>
          <w:b/>
          <w:bCs/>
          <w:lang w:val="en-US"/>
        </w:rPr>
        <w:t xml:space="preserve"> </w:t>
      </w:r>
      <w:r w:rsidR="0008345A" w:rsidRPr="003D44C0">
        <w:rPr>
          <w:rFonts w:ascii="Arial" w:eastAsia="Calibri" w:hAnsi="Arial" w:cs="Arial"/>
          <w:b/>
          <w:bCs/>
          <w:i/>
          <w:lang w:val="en-US"/>
        </w:rPr>
        <w:t>KLHL3</w:t>
      </w:r>
      <w:r w:rsidR="0008345A" w:rsidRPr="003D44C0">
        <w:rPr>
          <w:rFonts w:ascii="Arial" w:eastAsia="Calibri" w:hAnsi="Arial" w:cs="Arial"/>
          <w:b/>
          <w:bCs/>
          <w:lang w:val="en-US"/>
        </w:rPr>
        <w:t xml:space="preserve"> that encodes for the adaptor protein KLHL3, as well as in </w:t>
      </w:r>
      <w:r w:rsidR="0008345A" w:rsidRPr="003D44C0">
        <w:rPr>
          <w:rFonts w:ascii="Arial" w:eastAsia="Calibri" w:hAnsi="Arial" w:cs="Arial"/>
          <w:b/>
          <w:bCs/>
          <w:i/>
          <w:lang w:val="en-US"/>
        </w:rPr>
        <w:t>CUL3</w:t>
      </w:r>
      <w:r w:rsidR="0008345A" w:rsidRPr="003D44C0">
        <w:rPr>
          <w:rFonts w:ascii="Arial" w:eastAsia="Calibri" w:hAnsi="Arial" w:cs="Arial"/>
          <w:b/>
          <w:bCs/>
          <w:lang w:val="en-US"/>
        </w:rPr>
        <w:t xml:space="preserve"> expressing the ubiquitin scaffold protein CUL3. Geller syndrome has been associated with activating mutations in the </w:t>
      </w:r>
      <w:r w:rsidR="0008345A" w:rsidRPr="003D44C0">
        <w:rPr>
          <w:rFonts w:ascii="Arial" w:eastAsia="Calibri" w:hAnsi="Arial" w:cs="Arial"/>
          <w:b/>
          <w:bCs/>
          <w:i/>
          <w:lang w:val="en-US"/>
        </w:rPr>
        <w:t>NR3C2</w:t>
      </w:r>
      <w:r w:rsidR="0008345A" w:rsidRPr="003D44C0">
        <w:rPr>
          <w:rFonts w:ascii="Arial" w:eastAsia="Calibri" w:hAnsi="Arial" w:cs="Arial"/>
          <w:b/>
          <w:bCs/>
          <w:lang w:val="en-US"/>
        </w:rPr>
        <w:t xml:space="preserve"> that encodes for the mineralocorticoid receptor. Liddle syndrome is caused by mutations in the </w:t>
      </w:r>
      <w:r w:rsidR="0008345A" w:rsidRPr="003D44C0">
        <w:rPr>
          <w:rFonts w:ascii="Arial" w:eastAsia="Calibri" w:hAnsi="Arial" w:cs="Arial"/>
          <w:b/>
          <w:bCs/>
          <w:i/>
          <w:lang w:val="en-US"/>
        </w:rPr>
        <w:t>SCNN1A</w:t>
      </w:r>
      <w:r w:rsidR="0008345A" w:rsidRPr="003D44C0">
        <w:rPr>
          <w:rFonts w:ascii="Arial" w:eastAsia="Calibri" w:hAnsi="Arial" w:cs="Arial"/>
          <w:b/>
          <w:bCs/>
          <w:lang w:val="en-US"/>
        </w:rPr>
        <w:t xml:space="preserve">, </w:t>
      </w:r>
      <w:r w:rsidR="0008345A" w:rsidRPr="003D44C0">
        <w:rPr>
          <w:rFonts w:ascii="Arial" w:eastAsia="Calibri" w:hAnsi="Arial" w:cs="Arial"/>
          <w:b/>
          <w:bCs/>
          <w:i/>
          <w:lang w:val="en-US"/>
        </w:rPr>
        <w:t>SCNN1B</w:t>
      </w:r>
      <w:r w:rsidR="0008345A" w:rsidRPr="003D44C0">
        <w:rPr>
          <w:rFonts w:ascii="Arial" w:eastAsia="Calibri" w:hAnsi="Arial" w:cs="Arial"/>
          <w:b/>
          <w:bCs/>
          <w:lang w:val="en-US"/>
        </w:rPr>
        <w:t xml:space="preserve">, and </w:t>
      </w:r>
      <w:r w:rsidR="0008345A" w:rsidRPr="003D44C0">
        <w:rPr>
          <w:rFonts w:ascii="Arial" w:eastAsia="Calibri" w:hAnsi="Arial" w:cs="Arial"/>
          <w:b/>
          <w:bCs/>
          <w:i/>
          <w:lang w:val="en-US"/>
        </w:rPr>
        <w:t>SCNN1G</w:t>
      </w:r>
      <w:r w:rsidR="0008345A" w:rsidRPr="003D44C0">
        <w:rPr>
          <w:rFonts w:ascii="Arial" w:eastAsia="Calibri" w:hAnsi="Arial" w:cs="Arial"/>
          <w:b/>
          <w:bCs/>
          <w:lang w:val="en-US"/>
        </w:rPr>
        <w:t xml:space="preserve"> encoding for the α, β, and γ subunits, respectively, of the epithelial sodium channel (ENaC) of the renal tubule. HSD11B2: 11β-hydroxysteroid dehydrogenase type 2; HSPs: heat shock proteins; FKBP: immunophilin; </w:t>
      </w:r>
      <w:r w:rsidR="00262CDD" w:rsidRPr="003D44C0">
        <w:rPr>
          <w:rFonts w:ascii="Arial" w:eastAsia="Calibri" w:hAnsi="Arial" w:cs="Arial"/>
          <w:b/>
          <w:bCs/>
          <w:lang w:val="en-US"/>
        </w:rPr>
        <w:t xml:space="preserve">KLHL3: kelch-like 3; </w:t>
      </w:r>
      <w:r w:rsidR="0008345A" w:rsidRPr="003D44C0">
        <w:rPr>
          <w:rFonts w:ascii="Arial" w:eastAsia="Calibri" w:hAnsi="Arial" w:cs="Arial"/>
          <w:b/>
          <w:bCs/>
          <w:lang w:val="en-US"/>
        </w:rPr>
        <w:t>MR: mineralocorticoid receptor;</w:t>
      </w:r>
      <w:r w:rsidR="0008345A" w:rsidRPr="003D44C0">
        <w:rPr>
          <w:rFonts w:ascii="Arial" w:hAnsi="Arial" w:cs="Arial"/>
          <w:b/>
          <w:bCs/>
          <w:lang w:val="en-US"/>
        </w:rPr>
        <w:t xml:space="preserve"> </w:t>
      </w:r>
      <w:r w:rsidR="0008345A" w:rsidRPr="003D44C0">
        <w:rPr>
          <w:rFonts w:ascii="Arial" w:eastAsia="Calibri" w:hAnsi="Arial" w:cs="Arial"/>
          <w:b/>
          <w:bCs/>
          <w:lang w:val="en-US"/>
        </w:rPr>
        <w:t>NR3C2:</w:t>
      </w:r>
      <w:r w:rsidR="0008345A" w:rsidRPr="003D44C0">
        <w:rPr>
          <w:rFonts w:ascii="Arial" w:hAnsi="Arial" w:cs="Arial"/>
          <w:b/>
          <w:bCs/>
          <w:lang w:val="en-US"/>
        </w:rPr>
        <w:t xml:space="preserve"> </w:t>
      </w:r>
      <w:r w:rsidR="0008345A" w:rsidRPr="003D44C0">
        <w:rPr>
          <w:rFonts w:ascii="Arial" w:eastAsia="Calibri" w:hAnsi="Arial" w:cs="Arial"/>
          <w:b/>
          <w:bCs/>
          <w:lang w:val="en-US"/>
        </w:rPr>
        <w:t>nuclear receptor subfamily 3 group C member 2; WNK: with-no-lysine kinase</w:t>
      </w:r>
      <w:r w:rsidR="00262CDD" w:rsidRPr="003D44C0">
        <w:rPr>
          <w:rFonts w:ascii="Arial" w:eastAsia="Calibri" w:hAnsi="Arial" w:cs="Arial"/>
          <w:b/>
          <w:bCs/>
          <w:lang w:val="en-US"/>
        </w:rPr>
        <w:t>.</w:t>
      </w:r>
      <w:r w:rsidR="0008345A" w:rsidRPr="003D44C0">
        <w:rPr>
          <w:rFonts w:ascii="Arial" w:eastAsia="Calibri" w:hAnsi="Arial" w:cs="Arial"/>
          <w:lang w:val="en-US"/>
        </w:rPr>
        <w:t xml:space="preserve"> </w:t>
      </w:r>
    </w:p>
    <w:p w14:paraId="726CED9C" w14:textId="77777777" w:rsidR="002D0992" w:rsidRPr="003D44C0" w:rsidRDefault="002D0992" w:rsidP="00B130EA">
      <w:pPr>
        <w:spacing w:after="0" w:line="276" w:lineRule="auto"/>
        <w:contextualSpacing/>
        <w:rPr>
          <w:rFonts w:ascii="Arial" w:eastAsia="Calibri" w:hAnsi="Arial" w:cs="Arial"/>
          <w:color w:val="0070C0"/>
          <w:lang w:val="en-US"/>
        </w:rPr>
      </w:pPr>
    </w:p>
    <w:p w14:paraId="79A6AC67" w14:textId="4DCDE2C6" w:rsidR="005B6064" w:rsidRPr="003D44C0" w:rsidRDefault="005B6064" w:rsidP="00B130EA">
      <w:pPr>
        <w:spacing w:after="0" w:line="276" w:lineRule="auto"/>
        <w:contextualSpacing/>
        <w:rPr>
          <w:rFonts w:ascii="Arial" w:eastAsia="Calibri" w:hAnsi="Arial" w:cs="Arial"/>
          <w:color w:val="0070C0"/>
          <w:lang w:val="en-US"/>
        </w:rPr>
      </w:pPr>
      <w:r w:rsidRPr="003D44C0">
        <w:rPr>
          <w:rFonts w:ascii="Arial" w:eastAsia="Calibri" w:hAnsi="Arial" w:cs="Arial"/>
          <w:b/>
          <w:color w:val="0070C0"/>
          <w:lang w:val="en-US"/>
        </w:rPr>
        <w:t>OTHER CAUSES OF ENDOCRINE HYPERTENSION</w:t>
      </w:r>
    </w:p>
    <w:p w14:paraId="0A30DD2A" w14:textId="77777777" w:rsidR="005B6064" w:rsidRPr="003D44C0" w:rsidRDefault="005B6064" w:rsidP="00B130EA">
      <w:pPr>
        <w:spacing w:after="0" w:line="276" w:lineRule="auto"/>
        <w:contextualSpacing/>
        <w:rPr>
          <w:rFonts w:ascii="Arial" w:eastAsia="Calibri" w:hAnsi="Arial" w:cs="Arial"/>
          <w:color w:val="0070C0"/>
          <w:lang w:val="en-US"/>
        </w:rPr>
      </w:pPr>
    </w:p>
    <w:p w14:paraId="0FA13D8C" w14:textId="0539ED9E" w:rsidR="005B6064" w:rsidRPr="003D44C0" w:rsidRDefault="005B6064" w:rsidP="00B130EA">
      <w:pPr>
        <w:spacing w:after="0" w:line="276" w:lineRule="auto"/>
        <w:contextualSpacing/>
        <w:rPr>
          <w:rFonts w:ascii="Arial" w:eastAsia="Calibri" w:hAnsi="Arial" w:cs="Arial"/>
          <w:b/>
          <w:color w:val="00B050"/>
          <w:lang w:val="en-US"/>
        </w:rPr>
      </w:pPr>
      <w:r w:rsidRPr="003D44C0">
        <w:rPr>
          <w:rFonts w:ascii="Arial" w:eastAsia="Calibri" w:hAnsi="Arial" w:cs="Arial"/>
          <w:b/>
          <w:color w:val="00B050"/>
          <w:lang w:val="en-US"/>
        </w:rPr>
        <w:t>Acromegaly</w:t>
      </w:r>
    </w:p>
    <w:p w14:paraId="2D39C5C6" w14:textId="77777777" w:rsidR="00E30D0E" w:rsidRPr="003D44C0" w:rsidRDefault="00E30D0E" w:rsidP="00B130EA">
      <w:pPr>
        <w:spacing w:after="0" w:line="276" w:lineRule="auto"/>
        <w:contextualSpacing/>
        <w:rPr>
          <w:rFonts w:ascii="Arial" w:eastAsia="Calibri" w:hAnsi="Arial" w:cs="Arial"/>
          <w:lang w:val="en-US"/>
        </w:rPr>
      </w:pPr>
    </w:p>
    <w:p w14:paraId="43C55AD1" w14:textId="24D8B21F" w:rsidR="005B6064" w:rsidRPr="003D44C0" w:rsidRDefault="00D46665" w:rsidP="00B130EA">
      <w:pPr>
        <w:spacing w:after="0" w:line="276" w:lineRule="auto"/>
        <w:contextualSpacing/>
        <w:rPr>
          <w:rFonts w:ascii="Arial" w:eastAsia="Calibri" w:hAnsi="Arial" w:cs="Arial"/>
          <w:lang w:val="en-US"/>
        </w:rPr>
      </w:pPr>
      <w:r w:rsidRPr="003D44C0">
        <w:rPr>
          <w:rFonts w:ascii="Arial" w:eastAsia="Calibri" w:hAnsi="Arial" w:cs="Arial"/>
          <w:lang w:val="en-US"/>
        </w:rPr>
        <w:t xml:space="preserve">In children and adolescents, </w:t>
      </w:r>
      <w:r w:rsidR="00E565B8" w:rsidRPr="003D44C0">
        <w:rPr>
          <w:rFonts w:ascii="Arial" w:eastAsia="Calibri" w:hAnsi="Arial" w:cs="Arial"/>
          <w:lang w:val="en-US"/>
        </w:rPr>
        <w:t>growth hormone (GH)</w:t>
      </w:r>
      <w:r w:rsidRPr="003D44C0">
        <w:rPr>
          <w:rFonts w:ascii="Arial" w:eastAsia="Calibri" w:hAnsi="Arial" w:cs="Arial"/>
          <w:lang w:val="en-US"/>
        </w:rPr>
        <w:t xml:space="preserve"> excess is rare. Its prevalence is approximately 30 cases per million in children aged 0-17 years in United States without any differences between males and females</w:t>
      </w:r>
      <w:r w:rsidR="00262A29" w:rsidRPr="003D44C0">
        <w:rPr>
          <w:rFonts w:ascii="Arial" w:eastAsia="Calibri" w:hAnsi="Arial" w:cs="Arial"/>
          <w:lang w:val="en-US"/>
        </w:rPr>
        <w:t xml:space="preserve"> (79)</w:t>
      </w:r>
      <w:r w:rsidRPr="003D44C0">
        <w:rPr>
          <w:rFonts w:ascii="Arial" w:eastAsia="Calibri" w:hAnsi="Arial" w:cs="Arial"/>
          <w:lang w:val="en-US"/>
        </w:rPr>
        <w:t>.</w:t>
      </w:r>
      <w:r w:rsidR="00E565B8" w:rsidRPr="003D44C0">
        <w:rPr>
          <w:rFonts w:ascii="Arial" w:eastAsia="Calibri" w:hAnsi="Arial" w:cs="Arial"/>
          <w:lang w:val="en-US"/>
        </w:rPr>
        <w:t xml:space="preserve"> Acromegaly is usually caused by a GH-secreting pituitary adenoma, but other less common causes include pituitary hyperplasia, </w:t>
      </w:r>
      <w:r w:rsidR="006E6388" w:rsidRPr="003D44C0">
        <w:rPr>
          <w:rFonts w:ascii="Arial" w:eastAsia="Calibri" w:hAnsi="Arial" w:cs="Arial"/>
          <w:lang w:val="en-US"/>
        </w:rPr>
        <w:t>multiple adenomas</w:t>
      </w:r>
      <w:r w:rsidR="00C57410" w:rsidRPr="003D44C0">
        <w:rPr>
          <w:rFonts w:ascii="Arial" w:eastAsia="Calibri" w:hAnsi="Arial" w:cs="Arial"/>
          <w:lang w:val="en-US"/>
        </w:rPr>
        <w:t>,</w:t>
      </w:r>
      <w:r w:rsidR="006E6388" w:rsidRPr="003D44C0">
        <w:rPr>
          <w:rFonts w:ascii="Arial" w:eastAsia="Calibri" w:hAnsi="Arial" w:cs="Arial"/>
          <w:lang w:val="en-US"/>
        </w:rPr>
        <w:t xml:space="preserve"> or extremely rare cases of tumors secreting growth hormone-releasing </w:t>
      </w:r>
      <w:r w:rsidR="006E6388" w:rsidRPr="003D44C0">
        <w:rPr>
          <w:rFonts w:ascii="Arial" w:eastAsia="Calibri" w:hAnsi="Arial" w:cs="Arial"/>
          <w:lang w:val="en-US"/>
        </w:rPr>
        <w:lastRenderedPageBreak/>
        <w:t>hormone (GHRH)</w:t>
      </w:r>
      <w:r w:rsidR="00262A29" w:rsidRPr="003D44C0">
        <w:rPr>
          <w:rFonts w:ascii="Arial" w:eastAsia="Calibri" w:hAnsi="Arial" w:cs="Arial"/>
          <w:lang w:val="en-US"/>
        </w:rPr>
        <w:t xml:space="preserve"> (80)</w:t>
      </w:r>
      <w:r w:rsidR="006E6388" w:rsidRPr="003D44C0">
        <w:rPr>
          <w:rFonts w:ascii="Arial" w:eastAsia="Calibri" w:hAnsi="Arial" w:cs="Arial"/>
          <w:lang w:val="en-US"/>
        </w:rPr>
        <w:t xml:space="preserve">. </w:t>
      </w:r>
      <w:r w:rsidR="00DD3053" w:rsidRPr="003D44C0">
        <w:rPr>
          <w:rFonts w:ascii="Arial" w:eastAsia="Calibri" w:hAnsi="Arial" w:cs="Arial"/>
          <w:lang w:val="en-US"/>
        </w:rPr>
        <w:t xml:space="preserve">In 45% of cases, the molecular basis of GH-secreting adenomas or hyperplasia has been attributed to identifiable genetic defects, including mutations in the </w:t>
      </w:r>
      <w:r w:rsidR="00DD3053" w:rsidRPr="003D44C0">
        <w:rPr>
          <w:rFonts w:ascii="Arial" w:eastAsia="Calibri" w:hAnsi="Arial" w:cs="Arial"/>
          <w:i/>
          <w:lang w:val="en-US"/>
        </w:rPr>
        <w:t xml:space="preserve">AIP </w:t>
      </w:r>
      <w:r w:rsidR="00DD3053" w:rsidRPr="003D44C0">
        <w:rPr>
          <w:rFonts w:ascii="Arial" w:eastAsia="Calibri" w:hAnsi="Arial" w:cs="Arial"/>
          <w:lang w:val="en-US"/>
        </w:rPr>
        <w:t xml:space="preserve">gene (˃20%), duplications in the </w:t>
      </w:r>
      <w:r w:rsidR="00DD3053" w:rsidRPr="003D44C0">
        <w:rPr>
          <w:rFonts w:ascii="Arial" w:eastAsia="Calibri" w:hAnsi="Arial" w:cs="Arial"/>
          <w:i/>
          <w:lang w:val="en-US"/>
        </w:rPr>
        <w:t xml:space="preserve">GPR101 </w:t>
      </w:r>
      <w:r w:rsidR="00DD3053" w:rsidRPr="003D44C0">
        <w:rPr>
          <w:rFonts w:ascii="Arial" w:eastAsia="Calibri" w:hAnsi="Arial" w:cs="Arial"/>
          <w:lang w:val="en-US"/>
        </w:rPr>
        <w:t xml:space="preserve">gene that cause X-LAG, post-zygotic mosaic </w:t>
      </w:r>
      <w:r w:rsidR="00DD3053" w:rsidRPr="003D44C0">
        <w:rPr>
          <w:rFonts w:ascii="Arial" w:eastAsia="Calibri" w:hAnsi="Arial" w:cs="Arial"/>
          <w:i/>
          <w:lang w:val="en-US"/>
        </w:rPr>
        <w:t xml:space="preserve">GNAS </w:t>
      </w:r>
      <w:r w:rsidR="00DD3053" w:rsidRPr="003D44C0">
        <w:rPr>
          <w:rFonts w:ascii="Arial" w:eastAsia="Calibri" w:hAnsi="Arial" w:cs="Arial"/>
          <w:lang w:val="en-US"/>
        </w:rPr>
        <w:t xml:space="preserve">mutations responsible for McCune-Albright syndrome (5%), whereas genetic defects in other genes, such as </w:t>
      </w:r>
      <w:r w:rsidR="00DD3053" w:rsidRPr="003D44C0">
        <w:rPr>
          <w:rFonts w:ascii="Arial" w:eastAsia="Calibri" w:hAnsi="Arial" w:cs="Arial"/>
          <w:i/>
          <w:lang w:val="en-US"/>
        </w:rPr>
        <w:t>MEN1</w:t>
      </w:r>
      <w:r w:rsidR="00DD3053" w:rsidRPr="003D44C0">
        <w:rPr>
          <w:rFonts w:ascii="Arial" w:eastAsia="Calibri" w:hAnsi="Arial" w:cs="Arial"/>
          <w:lang w:val="en-US"/>
        </w:rPr>
        <w:t xml:space="preserve">, </w:t>
      </w:r>
      <w:r w:rsidR="00DD3053" w:rsidRPr="003D44C0">
        <w:rPr>
          <w:rFonts w:ascii="Arial" w:eastAsia="Calibri" w:hAnsi="Arial" w:cs="Arial"/>
          <w:i/>
          <w:lang w:val="en-US"/>
        </w:rPr>
        <w:t>CDKN1B</w:t>
      </w:r>
      <w:r w:rsidR="00DD3053" w:rsidRPr="003D44C0">
        <w:rPr>
          <w:rFonts w:ascii="Arial" w:eastAsia="Calibri" w:hAnsi="Arial" w:cs="Arial"/>
          <w:lang w:val="en-US"/>
        </w:rPr>
        <w:t xml:space="preserve">, </w:t>
      </w:r>
      <w:r w:rsidR="00150FD9" w:rsidRPr="003D44C0">
        <w:rPr>
          <w:rFonts w:ascii="Arial" w:eastAsia="Calibri" w:hAnsi="Arial" w:cs="Arial"/>
          <w:i/>
          <w:lang w:val="en-US"/>
        </w:rPr>
        <w:t>PRKAR1A</w:t>
      </w:r>
      <w:r w:rsidR="00150FD9" w:rsidRPr="003D44C0">
        <w:rPr>
          <w:rFonts w:ascii="Arial" w:eastAsia="Calibri" w:hAnsi="Arial" w:cs="Arial"/>
          <w:lang w:val="en-US"/>
        </w:rPr>
        <w:t xml:space="preserve">, </w:t>
      </w:r>
      <w:r w:rsidR="00150FD9" w:rsidRPr="003D44C0">
        <w:rPr>
          <w:rFonts w:ascii="Arial" w:eastAsia="Calibri" w:hAnsi="Arial" w:cs="Arial"/>
          <w:i/>
          <w:lang w:val="en-US"/>
        </w:rPr>
        <w:t>PRKACB</w:t>
      </w:r>
      <w:r w:rsidR="00994148" w:rsidRPr="003D44C0">
        <w:rPr>
          <w:rFonts w:ascii="Arial" w:eastAsia="Calibri" w:hAnsi="Arial" w:cs="Arial"/>
          <w:lang w:val="en-US"/>
        </w:rPr>
        <w:t xml:space="preserve"> and</w:t>
      </w:r>
      <w:r w:rsidR="00150FD9" w:rsidRPr="003D44C0">
        <w:rPr>
          <w:rFonts w:ascii="Arial" w:eastAsia="Calibri" w:hAnsi="Arial" w:cs="Arial"/>
          <w:lang w:val="en-US"/>
        </w:rPr>
        <w:t xml:space="preserve"> </w:t>
      </w:r>
      <w:r w:rsidR="00150FD9" w:rsidRPr="003D44C0">
        <w:rPr>
          <w:rFonts w:ascii="Arial" w:eastAsia="Calibri" w:hAnsi="Arial" w:cs="Arial"/>
          <w:i/>
          <w:lang w:val="en-US"/>
        </w:rPr>
        <w:t>SDH</w:t>
      </w:r>
      <w:r w:rsidR="00150FD9" w:rsidRPr="003D44C0">
        <w:rPr>
          <w:rFonts w:ascii="Arial" w:eastAsia="Calibri" w:hAnsi="Arial" w:cs="Arial"/>
          <w:lang w:val="en-US"/>
        </w:rPr>
        <w:t xml:space="preserve"> contribute in less than 1% each</w:t>
      </w:r>
      <w:r w:rsidR="0044702D" w:rsidRPr="003D44C0">
        <w:rPr>
          <w:rFonts w:ascii="Arial" w:eastAsia="Calibri" w:hAnsi="Arial" w:cs="Arial"/>
          <w:lang w:val="en-US"/>
        </w:rPr>
        <w:t xml:space="preserve"> (81)</w:t>
      </w:r>
      <w:r w:rsidR="00150FD9" w:rsidRPr="003D44C0">
        <w:rPr>
          <w:rFonts w:ascii="Arial" w:eastAsia="Calibri" w:hAnsi="Arial" w:cs="Arial"/>
          <w:lang w:val="en-US"/>
        </w:rPr>
        <w:t xml:space="preserve">. Typical clinical manifestations in children and adolescents with acromegaly include overgrowth and tall stature if excess secretion of GH occurs before epiphyseal closure, acral enlargement, </w:t>
      </w:r>
      <w:r w:rsidR="004C1829" w:rsidRPr="003D44C0">
        <w:rPr>
          <w:rFonts w:ascii="Arial" w:eastAsia="Calibri" w:hAnsi="Arial" w:cs="Arial"/>
          <w:lang w:val="en-US"/>
        </w:rPr>
        <w:t xml:space="preserve">rectangular face, </w:t>
      </w:r>
      <w:r w:rsidR="00150FD9" w:rsidRPr="003D44C0">
        <w:rPr>
          <w:rFonts w:ascii="Arial" w:eastAsia="Calibri" w:hAnsi="Arial" w:cs="Arial"/>
          <w:lang w:val="en-US"/>
        </w:rPr>
        <w:t>prognathism,</w:t>
      </w:r>
      <w:r w:rsidR="004C1829" w:rsidRPr="003D44C0">
        <w:rPr>
          <w:rFonts w:ascii="Arial" w:eastAsia="Calibri" w:hAnsi="Arial" w:cs="Arial"/>
          <w:lang w:val="en-US"/>
        </w:rPr>
        <w:t xml:space="preserve"> headache, visual filed defects, sweating, delayed puberty, left ventricular hypertrophy, diastolic dysfunction, sleep apnea, hypertension, as well as glucose intolerance or even diabetes</w:t>
      </w:r>
      <w:r w:rsidR="00EB69DA" w:rsidRPr="003D44C0">
        <w:rPr>
          <w:rFonts w:ascii="Arial" w:eastAsia="Calibri" w:hAnsi="Arial" w:cs="Arial"/>
          <w:lang w:val="en-US"/>
        </w:rPr>
        <w:t xml:space="preserve"> (79)</w:t>
      </w:r>
      <w:r w:rsidR="004C1829" w:rsidRPr="003D44C0">
        <w:rPr>
          <w:rFonts w:ascii="Arial" w:eastAsia="Calibri" w:hAnsi="Arial" w:cs="Arial"/>
          <w:lang w:val="en-US"/>
        </w:rPr>
        <w:t xml:space="preserve">. The biochemical diagnosis of GH excess relies on elevated age-adjusted serum IGF-1 concentrations and failure to suppress GH following an oral glucose tolerance test. </w:t>
      </w:r>
      <w:r w:rsidR="00D33E94" w:rsidRPr="003D44C0">
        <w:rPr>
          <w:rFonts w:ascii="Arial" w:eastAsia="Calibri" w:hAnsi="Arial" w:cs="Arial"/>
          <w:lang w:val="en-US"/>
        </w:rPr>
        <w:t>Treatment options include surgery, medical therapy</w:t>
      </w:r>
      <w:r w:rsidR="00431B4E" w:rsidRPr="003D44C0">
        <w:rPr>
          <w:rFonts w:ascii="Arial" w:eastAsia="Calibri" w:hAnsi="Arial" w:cs="Arial"/>
          <w:lang w:val="en-US"/>
        </w:rPr>
        <w:t>,</w:t>
      </w:r>
      <w:r w:rsidR="00D33E94" w:rsidRPr="003D44C0">
        <w:rPr>
          <w:rFonts w:ascii="Arial" w:eastAsia="Calibri" w:hAnsi="Arial" w:cs="Arial"/>
          <w:lang w:val="en-US"/>
        </w:rPr>
        <w:t xml:space="preserve"> and radiotherapy</w:t>
      </w:r>
      <w:r w:rsidR="00EB69DA" w:rsidRPr="003D44C0">
        <w:rPr>
          <w:rFonts w:ascii="Arial" w:eastAsia="Calibri" w:hAnsi="Arial" w:cs="Arial"/>
          <w:lang w:val="en-US"/>
        </w:rPr>
        <w:t xml:space="preserve"> (79)</w:t>
      </w:r>
      <w:r w:rsidR="00D33E94" w:rsidRPr="003D44C0">
        <w:rPr>
          <w:rFonts w:ascii="Arial" w:eastAsia="Calibri" w:hAnsi="Arial" w:cs="Arial"/>
          <w:lang w:val="en-US"/>
        </w:rPr>
        <w:t xml:space="preserve">. </w:t>
      </w:r>
      <w:r w:rsidR="004C1829" w:rsidRPr="003D44C0">
        <w:rPr>
          <w:rFonts w:ascii="Arial" w:eastAsia="Calibri" w:hAnsi="Arial" w:cs="Arial"/>
          <w:lang w:val="en-US"/>
        </w:rPr>
        <w:t xml:space="preserve">  </w:t>
      </w:r>
      <w:r w:rsidR="00150FD9" w:rsidRPr="003D44C0">
        <w:rPr>
          <w:rFonts w:ascii="Arial" w:eastAsia="Calibri" w:hAnsi="Arial" w:cs="Arial"/>
          <w:lang w:val="en-US"/>
        </w:rPr>
        <w:t xml:space="preserve">  </w:t>
      </w:r>
      <w:r w:rsidRPr="003D44C0">
        <w:rPr>
          <w:rFonts w:ascii="Arial" w:eastAsia="Calibri" w:hAnsi="Arial" w:cs="Arial"/>
          <w:lang w:val="en-US"/>
        </w:rPr>
        <w:t xml:space="preserve"> </w:t>
      </w:r>
    </w:p>
    <w:p w14:paraId="4ECB2842" w14:textId="77777777" w:rsidR="005B6064" w:rsidRPr="003D44C0" w:rsidRDefault="005B6064" w:rsidP="00B130EA">
      <w:pPr>
        <w:spacing w:after="0" w:line="276" w:lineRule="auto"/>
        <w:contextualSpacing/>
        <w:rPr>
          <w:rFonts w:ascii="Arial" w:eastAsia="Calibri" w:hAnsi="Arial" w:cs="Arial"/>
          <w:color w:val="00B050"/>
          <w:lang w:val="en-US"/>
        </w:rPr>
      </w:pPr>
    </w:p>
    <w:p w14:paraId="62D44E5B" w14:textId="7B9A9BD2" w:rsidR="005B6064" w:rsidRPr="003D44C0" w:rsidRDefault="005B6064" w:rsidP="00B130EA">
      <w:pPr>
        <w:spacing w:after="0" w:line="276" w:lineRule="auto"/>
        <w:contextualSpacing/>
        <w:rPr>
          <w:rFonts w:ascii="Arial" w:eastAsia="Calibri" w:hAnsi="Arial" w:cs="Arial"/>
          <w:b/>
          <w:color w:val="0070C0"/>
          <w:lang w:val="en-US"/>
        </w:rPr>
      </w:pPr>
      <w:r w:rsidRPr="003D44C0">
        <w:rPr>
          <w:rFonts w:ascii="Arial" w:eastAsia="Calibri" w:hAnsi="Arial" w:cs="Arial"/>
          <w:b/>
          <w:color w:val="00B050"/>
          <w:lang w:val="en-US"/>
        </w:rPr>
        <w:t>Thyroid / Parathyroid Dysfunction</w:t>
      </w:r>
    </w:p>
    <w:p w14:paraId="69EE5A5A" w14:textId="77777777" w:rsidR="00E30D0E" w:rsidRPr="003D44C0" w:rsidRDefault="00E30D0E" w:rsidP="00B130EA">
      <w:pPr>
        <w:spacing w:after="0" w:line="276" w:lineRule="auto"/>
        <w:contextualSpacing/>
        <w:rPr>
          <w:rFonts w:ascii="Arial" w:eastAsia="Calibri" w:hAnsi="Arial" w:cs="Arial"/>
          <w:lang w:val="en-US"/>
        </w:rPr>
      </w:pPr>
    </w:p>
    <w:p w14:paraId="57E4651E" w14:textId="1C650144" w:rsidR="001C4395" w:rsidRPr="003D44C0" w:rsidRDefault="0067718B" w:rsidP="00B130EA">
      <w:pPr>
        <w:spacing w:after="0" w:line="276" w:lineRule="auto"/>
        <w:contextualSpacing/>
        <w:rPr>
          <w:rFonts w:ascii="Arial" w:eastAsia="Calibri" w:hAnsi="Arial" w:cs="Arial"/>
          <w:b/>
          <w:color w:val="0070C0"/>
          <w:lang w:val="en-US"/>
        </w:rPr>
      </w:pPr>
      <w:r w:rsidRPr="003D44C0">
        <w:rPr>
          <w:rFonts w:ascii="Arial" w:eastAsia="Calibri" w:hAnsi="Arial" w:cs="Arial"/>
          <w:lang w:val="en-US"/>
        </w:rPr>
        <w:t xml:space="preserve">Thyroid or parathyroid dysfunction has been associated with hypertension in children and adolescents. Hypothyroidism is usually associated with increased diastolic blood pressure, whereas hyperthyroidism </w:t>
      </w:r>
      <w:r w:rsidR="00A7130D" w:rsidRPr="003D44C0">
        <w:rPr>
          <w:rFonts w:ascii="Arial" w:eastAsia="Calibri" w:hAnsi="Arial" w:cs="Arial"/>
          <w:lang w:val="en-US"/>
        </w:rPr>
        <w:t>with elevated systolic blood pressure (82).</w:t>
      </w:r>
      <w:r w:rsidR="008A67E5" w:rsidRPr="003D44C0">
        <w:rPr>
          <w:rFonts w:ascii="Arial" w:eastAsia="Calibri" w:hAnsi="Arial" w:cs="Arial"/>
          <w:lang w:val="en-US"/>
        </w:rPr>
        <w:t xml:space="preserve"> In addition to thyroid disorders, hypertension has also been reported in patients with parathyroid dysfunction, </w:t>
      </w:r>
      <w:r w:rsidR="00F36CCE" w:rsidRPr="003D44C0">
        <w:rPr>
          <w:rFonts w:ascii="Arial" w:eastAsia="Calibri" w:hAnsi="Arial" w:cs="Arial"/>
          <w:lang w:val="en-US"/>
        </w:rPr>
        <w:t xml:space="preserve">although there are no data on its prevalence (83). </w:t>
      </w:r>
      <w:r w:rsidR="008A67E5" w:rsidRPr="003D44C0">
        <w:rPr>
          <w:rFonts w:ascii="Arial" w:eastAsia="Calibri" w:hAnsi="Arial" w:cs="Arial"/>
          <w:b/>
          <w:color w:val="0070C0"/>
          <w:lang w:val="en-US"/>
        </w:rPr>
        <w:t xml:space="preserve"> </w:t>
      </w:r>
    </w:p>
    <w:p w14:paraId="37C2DA8F" w14:textId="77777777" w:rsidR="005B6064" w:rsidRPr="003D44C0" w:rsidRDefault="005B6064" w:rsidP="00B130EA">
      <w:pPr>
        <w:spacing w:after="0" w:line="276" w:lineRule="auto"/>
        <w:contextualSpacing/>
        <w:rPr>
          <w:rFonts w:ascii="Arial" w:eastAsia="Calibri" w:hAnsi="Arial" w:cs="Arial"/>
          <w:b/>
          <w:color w:val="0070C0"/>
          <w:lang w:val="en-US"/>
        </w:rPr>
      </w:pPr>
    </w:p>
    <w:p w14:paraId="70081C04" w14:textId="77777777" w:rsidR="00BE762F" w:rsidRPr="003D44C0" w:rsidRDefault="004D4759" w:rsidP="00B130EA">
      <w:pPr>
        <w:spacing w:after="0" w:line="276" w:lineRule="auto"/>
        <w:contextualSpacing/>
        <w:rPr>
          <w:rFonts w:ascii="Arial" w:eastAsia="Calibri" w:hAnsi="Arial" w:cs="Arial"/>
          <w:b/>
          <w:color w:val="0070C0"/>
          <w:lang w:val="en-US"/>
        </w:rPr>
      </w:pPr>
      <w:r w:rsidRPr="003D44C0">
        <w:rPr>
          <w:rFonts w:ascii="Arial" w:eastAsia="Calibri" w:hAnsi="Arial" w:cs="Arial"/>
          <w:b/>
          <w:color w:val="0070C0"/>
          <w:lang w:val="en-US"/>
        </w:rPr>
        <w:t>CONCLUSIONS</w:t>
      </w:r>
    </w:p>
    <w:p w14:paraId="0227C9C8" w14:textId="77777777" w:rsidR="007C7154" w:rsidRPr="003D44C0" w:rsidRDefault="007C7154" w:rsidP="00B130EA">
      <w:pPr>
        <w:spacing w:after="0" w:line="276" w:lineRule="auto"/>
        <w:contextualSpacing/>
        <w:rPr>
          <w:rFonts w:ascii="Arial" w:eastAsia="Calibri" w:hAnsi="Arial" w:cs="Arial"/>
          <w:lang w:val="en-US"/>
        </w:rPr>
      </w:pPr>
    </w:p>
    <w:p w14:paraId="03941500" w14:textId="649438CD" w:rsidR="006D33F4" w:rsidRPr="003D44C0" w:rsidRDefault="00380845" w:rsidP="00B130EA">
      <w:pPr>
        <w:spacing w:after="0" w:line="276" w:lineRule="auto"/>
        <w:contextualSpacing/>
        <w:rPr>
          <w:rFonts w:ascii="Arial" w:eastAsia="Calibri" w:hAnsi="Arial" w:cs="Arial"/>
          <w:lang w:val="en-US"/>
        </w:rPr>
      </w:pPr>
      <w:r w:rsidRPr="003D44C0">
        <w:rPr>
          <w:rFonts w:ascii="Arial" w:eastAsia="Calibri" w:hAnsi="Arial" w:cs="Arial"/>
          <w:lang w:val="en-US"/>
        </w:rPr>
        <w:t>Endocrine hypertension</w:t>
      </w:r>
      <w:r w:rsidR="007C7154" w:rsidRPr="003D44C0">
        <w:rPr>
          <w:rFonts w:ascii="Arial" w:eastAsia="Calibri" w:hAnsi="Arial" w:cs="Arial"/>
          <w:lang w:val="en-US"/>
        </w:rPr>
        <w:t xml:space="preserve"> in children is most often caused by excess steroids, with other hormonal abnormalities far less frequent</w:t>
      </w:r>
      <w:r w:rsidRPr="003D44C0">
        <w:rPr>
          <w:rFonts w:ascii="Arial" w:eastAsia="Calibri" w:hAnsi="Arial" w:cs="Arial"/>
          <w:lang w:val="en-US"/>
        </w:rPr>
        <w:t xml:space="preserve">. The tremendous progress </w:t>
      </w:r>
      <w:r w:rsidR="00652388" w:rsidRPr="003D44C0">
        <w:rPr>
          <w:rFonts w:ascii="Arial" w:eastAsia="Calibri" w:hAnsi="Arial" w:cs="Arial"/>
          <w:lang w:val="en-US"/>
        </w:rPr>
        <w:t xml:space="preserve">on </w:t>
      </w:r>
      <w:r w:rsidRPr="003D44C0">
        <w:rPr>
          <w:rFonts w:ascii="Arial" w:eastAsia="Calibri" w:hAnsi="Arial" w:cs="Arial"/>
          <w:lang w:val="en-US"/>
        </w:rPr>
        <w:t xml:space="preserve">endocrine genetics and molecular biology has enabled a deeper understanding </w:t>
      </w:r>
      <w:r w:rsidR="0055322C" w:rsidRPr="003D44C0">
        <w:rPr>
          <w:rFonts w:ascii="Arial" w:eastAsia="Calibri" w:hAnsi="Arial" w:cs="Arial"/>
          <w:lang w:val="en-US"/>
        </w:rPr>
        <w:t xml:space="preserve">of the genetic basis of several endocrine pathologic conditions leading to hypertension. A detailed medical history and physical examination, as well as </w:t>
      </w:r>
      <w:r w:rsidR="002977EB" w:rsidRPr="003D44C0">
        <w:rPr>
          <w:rFonts w:ascii="Arial" w:eastAsia="Calibri" w:hAnsi="Arial" w:cs="Arial"/>
          <w:lang w:val="en-US"/>
        </w:rPr>
        <w:t>a careful interpretation of laboratory and hormonal results may lead to an early and accurate diagnosis</w:t>
      </w:r>
      <w:r w:rsidR="006D33F4" w:rsidRPr="003D44C0">
        <w:rPr>
          <w:rFonts w:ascii="Arial" w:eastAsia="Calibri" w:hAnsi="Arial" w:cs="Arial"/>
          <w:lang w:val="en-US"/>
        </w:rPr>
        <w:t xml:space="preserve"> (Figure 7)</w:t>
      </w:r>
      <w:r w:rsidR="002977EB" w:rsidRPr="003D44C0">
        <w:rPr>
          <w:rFonts w:ascii="Arial" w:eastAsia="Calibri" w:hAnsi="Arial" w:cs="Arial"/>
          <w:lang w:val="en-US"/>
        </w:rPr>
        <w:t xml:space="preserve">. </w:t>
      </w:r>
      <w:r w:rsidR="00565243" w:rsidRPr="003D44C0">
        <w:rPr>
          <w:rFonts w:ascii="Arial" w:eastAsia="Calibri" w:hAnsi="Arial" w:cs="Arial"/>
          <w:lang w:val="en-US"/>
        </w:rPr>
        <w:t>The appropriate therapeutic management of these conditions is of paramount importance to prevent long term cardiovascular and other systemic complications.</w:t>
      </w:r>
    </w:p>
    <w:p w14:paraId="7F1413E1" w14:textId="77777777" w:rsidR="00BD380F" w:rsidRPr="003D44C0" w:rsidRDefault="00BD380F" w:rsidP="00B130EA">
      <w:pPr>
        <w:spacing w:after="0" w:line="276" w:lineRule="auto"/>
        <w:contextualSpacing/>
        <w:rPr>
          <w:rFonts w:ascii="Arial" w:eastAsia="Calibri" w:hAnsi="Arial" w:cs="Arial"/>
          <w:lang w:val="en-US"/>
        </w:rPr>
      </w:pPr>
    </w:p>
    <w:p w14:paraId="62F6439D" w14:textId="5213F311" w:rsidR="006D33F4" w:rsidRPr="003D44C0" w:rsidRDefault="00A35D3B" w:rsidP="00B130EA">
      <w:pPr>
        <w:spacing w:after="0" w:line="276" w:lineRule="auto"/>
        <w:contextualSpacing/>
        <w:rPr>
          <w:rFonts w:ascii="Arial" w:eastAsia="Calibri" w:hAnsi="Arial" w:cs="Arial"/>
          <w:lang w:val="en-US"/>
        </w:rPr>
      </w:pPr>
      <w:r w:rsidRPr="003D44C0">
        <w:rPr>
          <w:rFonts w:ascii="Arial" w:eastAsia="Calibri" w:hAnsi="Arial" w:cs="Arial"/>
          <w:noProof/>
          <w:lang w:val="en-US" w:eastAsia="el-GR"/>
        </w:rPr>
        <w:lastRenderedPageBreak/>
        <w:drawing>
          <wp:inline distT="0" distB="0" distL="0" distR="0" wp14:anchorId="6260BF38" wp14:editId="240A99A2">
            <wp:extent cx="5274310" cy="3956050"/>
            <wp:effectExtent l="0" t="0" r="2540" b="635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Διαφάνεια8.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1C8CDB18" w14:textId="1871A92E" w:rsidR="006D33F4" w:rsidRPr="003D44C0" w:rsidRDefault="006D33F4" w:rsidP="00B130EA">
      <w:pPr>
        <w:spacing w:after="0" w:line="276" w:lineRule="auto"/>
        <w:contextualSpacing/>
        <w:rPr>
          <w:rFonts w:ascii="Arial" w:eastAsia="Calibri" w:hAnsi="Arial" w:cs="Arial"/>
          <w:b/>
          <w:bCs/>
          <w:lang w:val="en-US"/>
        </w:rPr>
      </w:pPr>
      <w:r w:rsidRPr="003D44C0">
        <w:rPr>
          <w:rFonts w:ascii="Arial" w:eastAsia="Calibri" w:hAnsi="Arial" w:cs="Arial"/>
          <w:b/>
          <w:lang w:val="en-US"/>
        </w:rPr>
        <w:t>Figure 7</w:t>
      </w:r>
      <w:r w:rsidR="00BC5875" w:rsidRPr="003D44C0">
        <w:rPr>
          <w:rFonts w:ascii="Arial" w:eastAsia="Calibri" w:hAnsi="Arial" w:cs="Arial"/>
          <w:b/>
          <w:lang w:val="en-US"/>
        </w:rPr>
        <w:t xml:space="preserve">. </w:t>
      </w:r>
      <w:r w:rsidRPr="003D44C0">
        <w:rPr>
          <w:rFonts w:ascii="Arial" w:eastAsia="Calibri" w:hAnsi="Arial" w:cs="Arial"/>
          <w:b/>
          <w:bCs/>
          <w:lang w:val="en-US"/>
        </w:rPr>
        <w:t>Diagnostic approach to endocrine hypertension.</w:t>
      </w:r>
    </w:p>
    <w:p w14:paraId="557A4582" w14:textId="77777777" w:rsidR="002D0992" w:rsidRPr="003D44C0" w:rsidRDefault="002D0992" w:rsidP="00B130EA">
      <w:pPr>
        <w:spacing w:after="0" w:line="276" w:lineRule="auto"/>
        <w:contextualSpacing/>
        <w:rPr>
          <w:rFonts w:ascii="Arial" w:eastAsia="Calibri" w:hAnsi="Arial" w:cs="Arial"/>
          <w:b/>
          <w:bCs/>
          <w:color w:val="0070C0"/>
          <w:lang w:val="en-US"/>
        </w:rPr>
      </w:pPr>
    </w:p>
    <w:p w14:paraId="22ECA2DA" w14:textId="77777777" w:rsidR="004D4759" w:rsidRPr="003D44C0" w:rsidRDefault="004D4759" w:rsidP="00B130EA">
      <w:pPr>
        <w:spacing w:after="0" w:line="276" w:lineRule="auto"/>
        <w:contextualSpacing/>
        <w:rPr>
          <w:rFonts w:ascii="Arial" w:eastAsia="Calibri" w:hAnsi="Arial" w:cs="Arial"/>
          <w:b/>
          <w:color w:val="0070C0"/>
          <w:lang w:val="en-US"/>
        </w:rPr>
      </w:pPr>
      <w:r w:rsidRPr="003D44C0">
        <w:rPr>
          <w:rFonts w:ascii="Arial" w:eastAsia="Calibri" w:hAnsi="Arial" w:cs="Arial"/>
          <w:b/>
          <w:color w:val="0070C0"/>
          <w:lang w:val="en-US"/>
        </w:rPr>
        <w:t>REFERENCES</w:t>
      </w:r>
    </w:p>
    <w:p w14:paraId="6B305C8F" w14:textId="77777777" w:rsidR="007C7154" w:rsidRPr="00B43938" w:rsidRDefault="007C7154" w:rsidP="009544EE">
      <w:pPr>
        <w:spacing w:after="0" w:line="240" w:lineRule="auto"/>
        <w:contextualSpacing/>
        <w:jc w:val="both"/>
        <w:rPr>
          <w:rFonts w:ascii="Arial" w:eastAsia="Calibri" w:hAnsi="Arial" w:cs="Times New Roman"/>
          <w:color w:val="0070C0"/>
          <w:sz w:val="20"/>
          <w:szCs w:val="20"/>
          <w:lang w:val="en-US"/>
        </w:rPr>
      </w:pPr>
    </w:p>
    <w:p w14:paraId="395BD236" w14:textId="5D04E39A"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1.</w:t>
      </w:r>
      <w:r w:rsidR="00015B41" w:rsidRPr="00B130EA">
        <w:rPr>
          <w:rFonts w:ascii="Arial" w:hAnsi="Arial" w:cs="Arial"/>
          <w:lang w:val="en-US"/>
        </w:rPr>
        <w:t xml:space="preserve"> </w:t>
      </w:r>
      <w:r w:rsidR="00230607">
        <w:rPr>
          <w:rFonts w:ascii="Arial" w:hAnsi="Arial" w:cs="Arial"/>
          <w:lang w:val="en-US"/>
        </w:rPr>
        <w:t xml:space="preserve">     </w:t>
      </w:r>
      <w:r w:rsidR="00015B41" w:rsidRPr="00B130EA">
        <w:rPr>
          <w:rFonts w:ascii="Arial" w:eastAsia="Calibri" w:hAnsi="Arial" w:cs="Arial"/>
          <w:lang w:val="en-US"/>
        </w:rPr>
        <w:t>Flynn JT, Kaelber DC, Baker-Smith CM, Blowey D, Carroll AE, Daniels SR, de Ferranti SD, Dionne JM, Falkner B, Flinn SK, Gidding SS, Goodwin C, Leu MG, Powers ME, Rea C, Samuels J, Simasek M, Thaker VV, Urbina EM; SUBCOMMITTEE ON SCREENING AND MANAGEMENT OF HIGH BLOOD PRESSURE IN CHILDREN.</w:t>
      </w:r>
      <w:r w:rsidR="00015B41" w:rsidRPr="00B130EA">
        <w:rPr>
          <w:rFonts w:ascii="Arial" w:hAnsi="Arial" w:cs="Arial"/>
          <w:lang w:val="en-US"/>
        </w:rPr>
        <w:t xml:space="preserve"> </w:t>
      </w:r>
      <w:r w:rsidR="00E25DF1" w:rsidRPr="00B130EA">
        <w:rPr>
          <w:rFonts w:ascii="Arial" w:hAnsi="Arial" w:cs="Arial"/>
          <w:lang w:val="en-US"/>
        </w:rPr>
        <w:t xml:space="preserve">Clinical Practice Guideline for Screening and Management of High Blood Pressure in Children and Adolescents. </w:t>
      </w:r>
      <w:r w:rsidR="00015B41" w:rsidRPr="00B130EA">
        <w:rPr>
          <w:rFonts w:ascii="Arial" w:eastAsia="Calibri" w:hAnsi="Arial" w:cs="Arial"/>
          <w:lang w:val="en-US"/>
        </w:rPr>
        <w:t>Pediatrics. 2017 Sep;140(3):e20171904.</w:t>
      </w:r>
    </w:p>
    <w:p w14:paraId="0BF5A7F5" w14:textId="6E3CF5FF"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2.</w:t>
      </w:r>
      <w:r w:rsidR="00E25DF1" w:rsidRPr="00B130EA">
        <w:rPr>
          <w:rFonts w:ascii="Arial" w:hAnsi="Arial" w:cs="Arial"/>
          <w:lang w:val="en-US"/>
        </w:rPr>
        <w:t xml:space="preserve"> </w:t>
      </w:r>
      <w:r w:rsidR="00230607">
        <w:rPr>
          <w:rFonts w:ascii="Arial" w:hAnsi="Arial" w:cs="Arial"/>
          <w:lang w:val="en-US"/>
        </w:rPr>
        <w:t xml:space="preserve">     </w:t>
      </w:r>
      <w:r w:rsidR="00E25DF1" w:rsidRPr="00B130EA">
        <w:rPr>
          <w:rFonts w:ascii="Arial" w:eastAsia="Calibri" w:hAnsi="Arial" w:cs="Arial"/>
          <w:lang w:val="en-US"/>
        </w:rPr>
        <w:t>Kotanidou EP, Giza S, Tsinopoulou VR, Vogiatzi M, Galli-Tsinopoulou A.</w:t>
      </w:r>
      <w:r w:rsidR="00E25DF1" w:rsidRPr="00B130EA">
        <w:rPr>
          <w:rFonts w:ascii="Arial" w:hAnsi="Arial" w:cs="Arial"/>
          <w:lang w:val="en-US"/>
        </w:rPr>
        <w:t xml:space="preserve"> </w:t>
      </w:r>
      <w:r w:rsidR="00E25DF1" w:rsidRPr="00B130EA">
        <w:rPr>
          <w:rFonts w:ascii="Arial" w:eastAsia="Calibri" w:hAnsi="Arial" w:cs="Arial"/>
          <w:lang w:val="en-US"/>
        </w:rPr>
        <w:t>Diagnosis and Management of Endocrine Hypertension in Children and Adolescents. Curr Pharm Des</w:t>
      </w:r>
      <w:r w:rsidR="00A0656D">
        <w:rPr>
          <w:rFonts w:ascii="Arial" w:eastAsia="Calibri" w:hAnsi="Arial" w:cs="Arial"/>
          <w:lang w:val="en-US"/>
        </w:rPr>
        <w:t xml:space="preserve"> </w:t>
      </w:r>
      <w:r w:rsidR="00E25DF1" w:rsidRPr="00B130EA">
        <w:rPr>
          <w:rFonts w:ascii="Arial" w:eastAsia="Calibri" w:hAnsi="Arial" w:cs="Arial"/>
          <w:lang w:val="en-US"/>
        </w:rPr>
        <w:t>2020;26(43):5591-5608.</w:t>
      </w:r>
    </w:p>
    <w:p w14:paraId="2E2A3CA1" w14:textId="70CF204A"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3.</w:t>
      </w:r>
      <w:r w:rsidR="00E25DF1" w:rsidRPr="00B130EA">
        <w:rPr>
          <w:rFonts w:ascii="Arial" w:hAnsi="Arial" w:cs="Arial"/>
          <w:lang w:val="en-US"/>
        </w:rPr>
        <w:t xml:space="preserve"> </w:t>
      </w:r>
      <w:r w:rsidR="00230607">
        <w:rPr>
          <w:rFonts w:ascii="Arial" w:hAnsi="Arial" w:cs="Arial"/>
          <w:lang w:val="en-US"/>
        </w:rPr>
        <w:t xml:space="preserve">     </w:t>
      </w:r>
      <w:r w:rsidR="00E25DF1" w:rsidRPr="00B130EA">
        <w:rPr>
          <w:rFonts w:ascii="Arial" w:eastAsia="Calibri" w:hAnsi="Arial" w:cs="Arial"/>
          <w:lang w:val="en-US"/>
        </w:rPr>
        <w:t>Baracco R, Kapur G, Mattoo T, Jain A, Valentini R, Ahmed M, Thomas R.</w:t>
      </w:r>
      <w:r w:rsidR="00E25DF1" w:rsidRPr="00B130EA">
        <w:rPr>
          <w:rFonts w:ascii="Arial" w:hAnsi="Arial" w:cs="Arial"/>
          <w:lang w:val="en-US"/>
        </w:rPr>
        <w:t xml:space="preserve"> </w:t>
      </w:r>
      <w:r w:rsidR="00E25DF1" w:rsidRPr="00B130EA">
        <w:rPr>
          <w:rFonts w:ascii="Arial" w:eastAsia="Calibri" w:hAnsi="Arial" w:cs="Arial"/>
          <w:lang w:val="en-US"/>
        </w:rPr>
        <w:t>Prediction of primary vs secondary hypertension in children. J Clin Hypertens (Greenwich). 2012 May;14(5):316-21.</w:t>
      </w:r>
    </w:p>
    <w:p w14:paraId="2564B266" w14:textId="07027991"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4.</w:t>
      </w:r>
      <w:r w:rsidR="001B4D36" w:rsidRPr="00B130EA">
        <w:rPr>
          <w:rFonts w:ascii="Arial" w:hAnsi="Arial" w:cs="Arial"/>
          <w:lang w:val="en-US"/>
        </w:rPr>
        <w:t xml:space="preserve"> </w:t>
      </w:r>
      <w:r w:rsidR="00462FFB">
        <w:rPr>
          <w:rFonts w:ascii="Arial" w:hAnsi="Arial" w:cs="Arial"/>
          <w:lang w:val="en-US"/>
        </w:rPr>
        <w:t xml:space="preserve">     </w:t>
      </w:r>
      <w:r w:rsidR="001B4D36" w:rsidRPr="00B130EA">
        <w:rPr>
          <w:rFonts w:ascii="Arial" w:eastAsia="Calibri" w:hAnsi="Arial" w:cs="Arial"/>
          <w:lang w:val="en-US"/>
        </w:rPr>
        <w:t>Gupta-Malhotra M, Banker A, Shete S, Hashmi SS, Tyson JE, Barratt MS, Hecht JT, Milewicz DM, Boerwinkle E.</w:t>
      </w:r>
      <w:r w:rsidR="001B4D36" w:rsidRPr="00B130EA">
        <w:rPr>
          <w:rFonts w:ascii="Arial" w:hAnsi="Arial" w:cs="Arial"/>
          <w:lang w:val="en-US"/>
        </w:rPr>
        <w:t xml:space="preserve"> </w:t>
      </w:r>
      <w:r w:rsidR="001B4D36" w:rsidRPr="00B130EA">
        <w:rPr>
          <w:rFonts w:ascii="Arial" w:eastAsia="Calibri" w:hAnsi="Arial" w:cs="Arial"/>
          <w:lang w:val="en-US"/>
        </w:rPr>
        <w:t>Essential hypertension vs. secondary hypertension among children.</w:t>
      </w:r>
      <w:r w:rsidR="001B4D36" w:rsidRPr="00B130EA">
        <w:rPr>
          <w:rFonts w:ascii="Arial" w:hAnsi="Arial" w:cs="Arial"/>
          <w:lang w:val="en-US"/>
        </w:rPr>
        <w:t xml:space="preserve"> </w:t>
      </w:r>
      <w:r w:rsidR="001B4D36" w:rsidRPr="00B130EA">
        <w:rPr>
          <w:rFonts w:ascii="Arial" w:eastAsia="Calibri" w:hAnsi="Arial" w:cs="Arial"/>
          <w:lang w:val="en-US"/>
        </w:rPr>
        <w:t xml:space="preserve">Am J Hypertens. 2015 Jan;28(1):73-80. </w:t>
      </w:r>
    </w:p>
    <w:p w14:paraId="231CB897" w14:textId="350EE82A"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5.</w:t>
      </w:r>
      <w:r w:rsidR="002C7382" w:rsidRPr="00B130EA">
        <w:rPr>
          <w:rFonts w:ascii="Arial" w:hAnsi="Arial" w:cs="Arial"/>
          <w:lang w:val="en-US"/>
        </w:rPr>
        <w:t xml:space="preserve"> </w:t>
      </w:r>
      <w:r w:rsidR="00462FFB">
        <w:rPr>
          <w:rFonts w:ascii="Arial" w:hAnsi="Arial" w:cs="Arial"/>
          <w:lang w:val="en-US"/>
        </w:rPr>
        <w:t xml:space="preserve">     </w:t>
      </w:r>
      <w:r w:rsidR="002C7382" w:rsidRPr="00B130EA">
        <w:rPr>
          <w:rFonts w:ascii="Arial" w:eastAsia="Calibri" w:hAnsi="Arial" w:cs="Arial"/>
          <w:lang w:val="en-US"/>
        </w:rPr>
        <w:t>Pons Fernández N, Moreno F, Morata J, Moriano A, León S, De Mingo C, Zuñiga Á, Calvo F.</w:t>
      </w:r>
      <w:r w:rsidR="002C7382" w:rsidRPr="00B130EA">
        <w:rPr>
          <w:rFonts w:ascii="Arial" w:hAnsi="Arial" w:cs="Arial"/>
          <w:lang w:val="en-US"/>
        </w:rPr>
        <w:t xml:space="preserve"> </w:t>
      </w:r>
      <w:r w:rsidR="002C7382" w:rsidRPr="00B130EA">
        <w:rPr>
          <w:rFonts w:ascii="Arial" w:eastAsia="Calibri" w:hAnsi="Arial" w:cs="Arial"/>
          <w:lang w:val="en-US"/>
        </w:rPr>
        <w:t>Familial hyperaldosteronism type III a novel case and review of literature. Rev Endocr Metab Disord. 2019 Mar;20(1):27-36.</w:t>
      </w:r>
    </w:p>
    <w:p w14:paraId="1FE241EA" w14:textId="39B6FE48"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6.</w:t>
      </w:r>
      <w:r w:rsidR="00AC021F" w:rsidRPr="00B130EA">
        <w:rPr>
          <w:rFonts w:ascii="Arial" w:hAnsi="Arial" w:cs="Arial"/>
          <w:lang w:val="en-US"/>
        </w:rPr>
        <w:t xml:space="preserve"> </w:t>
      </w:r>
      <w:r w:rsidR="00462FFB">
        <w:rPr>
          <w:rFonts w:ascii="Arial" w:hAnsi="Arial" w:cs="Arial"/>
          <w:lang w:val="en-US"/>
        </w:rPr>
        <w:t xml:space="preserve">     </w:t>
      </w:r>
      <w:r w:rsidR="00AC021F" w:rsidRPr="00B130EA">
        <w:rPr>
          <w:rFonts w:ascii="Arial" w:hAnsi="Arial" w:cs="Arial"/>
          <w:lang w:val="en-US"/>
        </w:rPr>
        <w:t xml:space="preserve">He X, Modi Z, Else T. </w:t>
      </w:r>
      <w:r w:rsidR="00AC021F" w:rsidRPr="00B130EA">
        <w:rPr>
          <w:rFonts w:ascii="Arial" w:eastAsia="Calibri" w:hAnsi="Arial" w:cs="Arial"/>
          <w:lang w:val="en-US"/>
        </w:rPr>
        <w:t>Hereditary causes of primary aldosteronism and other disorders of apparent excess mineralocorticoid activity. Gland Surg. 2020 Feb;9(1):150-158.</w:t>
      </w:r>
    </w:p>
    <w:p w14:paraId="4607654E" w14:textId="41C79F95"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lastRenderedPageBreak/>
        <w:t>7.</w:t>
      </w:r>
      <w:r w:rsidR="00D71BD2" w:rsidRPr="00B130EA">
        <w:rPr>
          <w:rFonts w:ascii="Arial" w:hAnsi="Arial" w:cs="Arial"/>
          <w:lang w:val="en-US"/>
        </w:rPr>
        <w:t xml:space="preserve"> </w:t>
      </w:r>
      <w:r w:rsidR="00462FFB">
        <w:rPr>
          <w:rFonts w:ascii="Arial" w:hAnsi="Arial" w:cs="Arial"/>
          <w:lang w:val="en-US"/>
        </w:rPr>
        <w:t xml:space="preserve">     </w:t>
      </w:r>
      <w:r w:rsidR="00D71BD2" w:rsidRPr="00B130EA">
        <w:rPr>
          <w:rFonts w:ascii="Arial" w:eastAsia="Calibri" w:hAnsi="Arial" w:cs="Arial"/>
          <w:lang w:val="en-US"/>
        </w:rPr>
        <w:t>Baguet JP, Steichen O, Mounier-Véhier C, Gosse P.</w:t>
      </w:r>
      <w:r w:rsidR="00D71BD2" w:rsidRPr="00B130EA">
        <w:rPr>
          <w:rFonts w:ascii="Arial" w:hAnsi="Arial" w:cs="Arial"/>
          <w:lang w:val="en-US"/>
        </w:rPr>
        <w:t xml:space="preserve"> </w:t>
      </w:r>
      <w:r w:rsidR="00D71BD2" w:rsidRPr="00B130EA">
        <w:rPr>
          <w:rFonts w:ascii="Arial" w:eastAsia="Calibri" w:hAnsi="Arial" w:cs="Arial"/>
          <w:lang w:val="en-US"/>
        </w:rPr>
        <w:t>SFE/SFHTA/AFCE consensus on primary aldosteronism, part 1: Epidemiology of PA, who should be screened for sporadic PA?</w:t>
      </w:r>
      <w:r w:rsidR="00D71BD2" w:rsidRPr="00B130EA">
        <w:rPr>
          <w:rFonts w:ascii="Arial" w:hAnsi="Arial" w:cs="Arial"/>
          <w:lang w:val="en-US"/>
        </w:rPr>
        <w:t xml:space="preserve"> </w:t>
      </w:r>
      <w:r w:rsidR="00D71BD2" w:rsidRPr="00B130EA">
        <w:rPr>
          <w:rFonts w:ascii="Arial" w:eastAsia="Calibri" w:hAnsi="Arial" w:cs="Arial"/>
          <w:lang w:val="en-US"/>
        </w:rPr>
        <w:t>Ann Endocrinol (Paris). 2016 Jul;77(3):187-91.</w:t>
      </w:r>
    </w:p>
    <w:p w14:paraId="6423BBA8" w14:textId="2FFF7387"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8.</w:t>
      </w:r>
      <w:r w:rsidR="00D71BD2" w:rsidRPr="00B130EA">
        <w:rPr>
          <w:rFonts w:ascii="Arial" w:hAnsi="Arial" w:cs="Arial"/>
          <w:lang w:val="en-US"/>
        </w:rPr>
        <w:t xml:space="preserve"> </w:t>
      </w:r>
      <w:r w:rsidR="00462FFB">
        <w:rPr>
          <w:rFonts w:ascii="Arial" w:hAnsi="Arial" w:cs="Arial"/>
          <w:lang w:val="en-US"/>
        </w:rPr>
        <w:t xml:space="preserve">     </w:t>
      </w:r>
      <w:r w:rsidR="00D71BD2" w:rsidRPr="00B130EA">
        <w:rPr>
          <w:rFonts w:ascii="Arial" w:eastAsia="Calibri" w:hAnsi="Arial" w:cs="Arial"/>
          <w:lang w:val="en-US"/>
        </w:rPr>
        <w:t>Li X, Goswami R, Yang S, Li Q.</w:t>
      </w:r>
      <w:r w:rsidR="00D71BD2" w:rsidRPr="00B130EA">
        <w:rPr>
          <w:rFonts w:ascii="Arial" w:hAnsi="Arial" w:cs="Arial"/>
          <w:lang w:val="en-US"/>
        </w:rPr>
        <w:t xml:space="preserve"> </w:t>
      </w:r>
      <w:r w:rsidR="00D71BD2" w:rsidRPr="00B130EA">
        <w:rPr>
          <w:rFonts w:ascii="Arial" w:eastAsia="Calibri" w:hAnsi="Arial" w:cs="Arial"/>
          <w:lang w:val="en-US"/>
        </w:rPr>
        <w:t>Aldosterone/direct renin concentration ratio as a screening test for primary aldosteronism: A meta-analysis. J Renin Angiotensin Aldosterone Syst</w:t>
      </w:r>
      <w:r w:rsidR="00A0656D">
        <w:rPr>
          <w:rFonts w:ascii="Arial" w:eastAsia="Calibri" w:hAnsi="Arial" w:cs="Arial"/>
          <w:lang w:val="en-US"/>
        </w:rPr>
        <w:t xml:space="preserve"> </w:t>
      </w:r>
      <w:r w:rsidR="00D71BD2" w:rsidRPr="00B130EA">
        <w:rPr>
          <w:rFonts w:ascii="Arial" w:eastAsia="Calibri" w:hAnsi="Arial" w:cs="Arial"/>
          <w:lang w:val="en-US"/>
        </w:rPr>
        <w:t>2016 Aug 17;17(3):1470320316657450.</w:t>
      </w:r>
    </w:p>
    <w:p w14:paraId="49E2FD5D" w14:textId="542565B6"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9.</w:t>
      </w:r>
      <w:r w:rsidR="008D6543" w:rsidRPr="00B130EA">
        <w:rPr>
          <w:rFonts w:ascii="Arial" w:hAnsi="Arial" w:cs="Arial"/>
          <w:lang w:val="en-US"/>
        </w:rPr>
        <w:t xml:space="preserve"> </w:t>
      </w:r>
      <w:r w:rsidR="00462FFB">
        <w:rPr>
          <w:rFonts w:ascii="Arial" w:hAnsi="Arial" w:cs="Arial"/>
          <w:lang w:val="en-US"/>
        </w:rPr>
        <w:t xml:space="preserve">     </w:t>
      </w:r>
      <w:r w:rsidR="008D6543" w:rsidRPr="00B130EA">
        <w:rPr>
          <w:rFonts w:ascii="Arial" w:eastAsia="Calibri" w:hAnsi="Arial" w:cs="Arial"/>
          <w:lang w:val="en-US"/>
        </w:rPr>
        <w:t>Reznik Y, Amar L, Tabarin A.</w:t>
      </w:r>
      <w:r w:rsidR="008D6543" w:rsidRPr="00B130EA">
        <w:rPr>
          <w:rFonts w:ascii="Arial" w:hAnsi="Arial" w:cs="Arial"/>
          <w:lang w:val="en-US"/>
        </w:rPr>
        <w:t xml:space="preserve"> </w:t>
      </w:r>
      <w:r w:rsidR="008D6543" w:rsidRPr="00B130EA">
        <w:rPr>
          <w:rFonts w:ascii="Arial" w:eastAsia="Calibri" w:hAnsi="Arial" w:cs="Arial"/>
          <w:lang w:val="en-US"/>
        </w:rPr>
        <w:t>SFE/SFHTA/AFCE consensus on primary aldosteronism, part 3: Confirmatory testing. Ann Endocrinol (Paris). 2016 Jul;77(3):202-7.</w:t>
      </w:r>
    </w:p>
    <w:p w14:paraId="241EB0C1" w14:textId="2A032FC6"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10.</w:t>
      </w:r>
      <w:r w:rsidR="009014D5" w:rsidRPr="00B130EA">
        <w:rPr>
          <w:rFonts w:ascii="Arial" w:hAnsi="Arial" w:cs="Arial"/>
          <w:lang w:val="en-US"/>
        </w:rPr>
        <w:t xml:space="preserve"> </w:t>
      </w:r>
      <w:r w:rsidR="00462FFB">
        <w:rPr>
          <w:rFonts w:ascii="Arial" w:hAnsi="Arial" w:cs="Arial"/>
          <w:lang w:val="en-US"/>
        </w:rPr>
        <w:t xml:space="preserve">   </w:t>
      </w:r>
      <w:r w:rsidR="009014D5" w:rsidRPr="00B130EA">
        <w:rPr>
          <w:rFonts w:ascii="Arial" w:eastAsia="Calibri" w:hAnsi="Arial" w:cs="Arial"/>
          <w:lang w:val="en-US"/>
        </w:rPr>
        <w:t>Bardet S, Chamontin B, Douillard C, Pagny JY, Hernigou A, Joffre F, Plouin PF, Steichen O.</w:t>
      </w:r>
      <w:r w:rsidR="009014D5" w:rsidRPr="00B130EA">
        <w:rPr>
          <w:rFonts w:ascii="Arial" w:hAnsi="Arial" w:cs="Arial"/>
          <w:lang w:val="en-US"/>
        </w:rPr>
        <w:t xml:space="preserve"> </w:t>
      </w:r>
      <w:r w:rsidR="009014D5" w:rsidRPr="00B130EA">
        <w:rPr>
          <w:rFonts w:ascii="Arial" w:eastAsia="Calibri" w:hAnsi="Arial" w:cs="Arial"/>
          <w:lang w:val="en-US"/>
        </w:rPr>
        <w:t>SFE/SFHTA/AFCE consensus on primary aldosteronism, part 4: Subtype diagnosis. Ann Endocrinol (Paris). 2016 Jul;77(3):208-13.</w:t>
      </w:r>
    </w:p>
    <w:p w14:paraId="7C4E953B" w14:textId="55CD00BA"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11.</w:t>
      </w:r>
      <w:r w:rsidR="003454E2" w:rsidRPr="00B130EA">
        <w:rPr>
          <w:rFonts w:ascii="Arial" w:hAnsi="Arial" w:cs="Arial"/>
          <w:lang w:val="en-US"/>
        </w:rPr>
        <w:t xml:space="preserve"> </w:t>
      </w:r>
      <w:r w:rsidR="00462FFB">
        <w:rPr>
          <w:rFonts w:ascii="Arial" w:hAnsi="Arial" w:cs="Arial"/>
          <w:lang w:val="en-US"/>
        </w:rPr>
        <w:t xml:space="preserve">   </w:t>
      </w:r>
      <w:r w:rsidR="003454E2" w:rsidRPr="00B130EA">
        <w:rPr>
          <w:rFonts w:ascii="Arial" w:eastAsia="Calibri" w:hAnsi="Arial" w:cs="Arial"/>
          <w:lang w:val="en-US"/>
        </w:rPr>
        <w:t>Pechère-Bertschi A, Herpin D, Lefebvre H.</w:t>
      </w:r>
      <w:r w:rsidR="003454E2" w:rsidRPr="00B130EA">
        <w:rPr>
          <w:rFonts w:ascii="Arial" w:hAnsi="Arial" w:cs="Arial"/>
          <w:lang w:val="en-US"/>
        </w:rPr>
        <w:t xml:space="preserve"> </w:t>
      </w:r>
      <w:r w:rsidR="003454E2" w:rsidRPr="00B130EA">
        <w:rPr>
          <w:rFonts w:ascii="Arial" w:eastAsia="Calibri" w:hAnsi="Arial" w:cs="Arial"/>
          <w:lang w:val="en-US"/>
        </w:rPr>
        <w:t>SFE/SFHTA/AFCE consensus on primary aldosteronism, part 7: Medical treatment of primary aldosteronism. Ann Endocrinol (Paris)</w:t>
      </w:r>
      <w:r w:rsidR="00A0656D">
        <w:rPr>
          <w:rFonts w:ascii="Arial" w:eastAsia="Calibri" w:hAnsi="Arial" w:cs="Arial"/>
          <w:lang w:val="en-US"/>
        </w:rPr>
        <w:t xml:space="preserve"> </w:t>
      </w:r>
      <w:r w:rsidR="003454E2" w:rsidRPr="00B130EA">
        <w:rPr>
          <w:rFonts w:ascii="Arial" w:eastAsia="Calibri" w:hAnsi="Arial" w:cs="Arial"/>
          <w:lang w:val="en-US"/>
        </w:rPr>
        <w:t>2016 Jul;77(3):226-34.</w:t>
      </w:r>
    </w:p>
    <w:p w14:paraId="6DBFE3A7" w14:textId="66A8D072"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12.</w:t>
      </w:r>
      <w:r w:rsidR="00FA359A" w:rsidRPr="00B130EA">
        <w:rPr>
          <w:rFonts w:ascii="Arial" w:hAnsi="Arial" w:cs="Arial"/>
          <w:lang w:val="en-US"/>
        </w:rPr>
        <w:t xml:space="preserve"> </w:t>
      </w:r>
      <w:r w:rsidR="00462FFB">
        <w:rPr>
          <w:rFonts w:ascii="Arial" w:hAnsi="Arial" w:cs="Arial"/>
          <w:lang w:val="en-US"/>
        </w:rPr>
        <w:t xml:space="preserve">   </w:t>
      </w:r>
      <w:r w:rsidR="00FA359A" w:rsidRPr="00B130EA">
        <w:rPr>
          <w:rFonts w:ascii="Arial" w:eastAsia="Calibri" w:hAnsi="Arial" w:cs="Arial"/>
          <w:lang w:val="en-US"/>
        </w:rPr>
        <w:t>Lifton RP, Dluhy RG, Powers M, et al. A chimaeric 11 beta-hydroxylase/aldosterone synthase gene causes glucocorticoid-remediable aldosteronism and human hypertension. Nature 1992;355:262-5.</w:t>
      </w:r>
    </w:p>
    <w:p w14:paraId="758D7B2B" w14:textId="58836385"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13.</w:t>
      </w:r>
      <w:r w:rsidR="00051C17" w:rsidRPr="00B130EA">
        <w:rPr>
          <w:rFonts w:ascii="Arial" w:hAnsi="Arial" w:cs="Arial"/>
          <w:lang w:val="en-US"/>
        </w:rPr>
        <w:t xml:space="preserve"> </w:t>
      </w:r>
      <w:r w:rsidR="00462FFB">
        <w:rPr>
          <w:rFonts w:ascii="Arial" w:hAnsi="Arial" w:cs="Arial"/>
          <w:lang w:val="en-US"/>
        </w:rPr>
        <w:t xml:space="preserve">   </w:t>
      </w:r>
      <w:r w:rsidR="00051C17" w:rsidRPr="00B130EA">
        <w:rPr>
          <w:rFonts w:ascii="Arial" w:eastAsia="Calibri" w:hAnsi="Arial" w:cs="Arial"/>
          <w:lang w:val="en-US"/>
        </w:rPr>
        <w:t>Zennaro MC, Jeunemaitre X.</w:t>
      </w:r>
      <w:r w:rsidR="00051C17" w:rsidRPr="00B130EA">
        <w:rPr>
          <w:rFonts w:ascii="Arial" w:hAnsi="Arial" w:cs="Arial"/>
          <w:lang w:val="en-US"/>
        </w:rPr>
        <w:t xml:space="preserve"> </w:t>
      </w:r>
      <w:r w:rsidR="00051C17" w:rsidRPr="00B130EA">
        <w:rPr>
          <w:rFonts w:ascii="Arial" w:eastAsia="Calibri" w:hAnsi="Arial" w:cs="Arial"/>
          <w:lang w:val="en-US"/>
        </w:rPr>
        <w:t>SFE/SFHTA/AFCE consensus on primary aldosteronism, part 5: Genetic diagnosis of primary aldosteronism. Ann Endocrinol (Paris). 2016 Jul;77(3):214-9.</w:t>
      </w:r>
    </w:p>
    <w:p w14:paraId="4FBB2A6A" w14:textId="7C3F51E7"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14.</w:t>
      </w:r>
      <w:r w:rsidR="00CE05D1" w:rsidRPr="00B130EA">
        <w:rPr>
          <w:rFonts w:ascii="Arial" w:hAnsi="Arial" w:cs="Arial"/>
          <w:lang w:val="en-US"/>
        </w:rPr>
        <w:t xml:space="preserve"> </w:t>
      </w:r>
      <w:r w:rsidR="00462FFB">
        <w:rPr>
          <w:rFonts w:ascii="Arial" w:hAnsi="Arial" w:cs="Arial"/>
          <w:lang w:val="en-US"/>
        </w:rPr>
        <w:t xml:space="preserve">   </w:t>
      </w:r>
      <w:r w:rsidR="00CE05D1" w:rsidRPr="00B130EA">
        <w:rPr>
          <w:rFonts w:ascii="Arial" w:eastAsia="Calibri" w:hAnsi="Arial" w:cs="Arial"/>
          <w:lang w:val="en-US"/>
        </w:rPr>
        <w:t>Stowasser M, Bachmann AW, Jonsson JR, et al. Clinical, biochemical and genetic approaches to the detection of familial hyperaldosteronism type I. J Hypertens 1995;13:1610-3.</w:t>
      </w:r>
    </w:p>
    <w:p w14:paraId="5A56FFD8" w14:textId="0A853730"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15.</w:t>
      </w:r>
      <w:r w:rsidR="00CE05D1" w:rsidRPr="00B130EA">
        <w:rPr>
          <w:rFonts w:ascii="Arial" w:hAnsi="Arial" w:cs="Arial"/>
          <w:lang w:val="en-US"/>
        </w:rPr>
        <w:t xml:space="preserve"> </w:t>
      </w:r>
      <w:r w:rsidR="00462FFB">
        <w:rPr>
          <w:rFonts w:ascii="Arial" w:hAnsi="Arial" w:cs="Arial"/>
          <w:lang w:val="en-US"/>
        </w:rPr>
        <w:t xml:space="preserve">   </w:t>
      </w:r>
      <w:r w:rsidR="00CE05D1" w:rsidRPr="00B130EA">
        <w:rPr>
          <w:rFonts w:ascii="Arial" w:eastAsia="Calibri" w:hAnsi="Arial" w:cs="Arial"/>
          <w:lang w:val="en-US"/>
        </w:rPr>
        <w:t>Mulatero P, Veglio F, Pilon C, et al. Diagnosis of Glucocorticoid-Remediable Aldosteronism in Primary Aldosteronism: Aldosterone Response to Dexamethasone and Long Polymerase Chain Reaction for Chimeric Gene. J Clin Endocrinol Metab 1998;83:2573-5.</w:t>
      </w:r>
    </w:p>
    <w:p w14:paraId="56A1EB6B" w14:textId="111303C8"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16.</w:t>
      </w:r>
      <w:r w:rsidR="00A764EA" w:rsidRPr="00B130EA">
        <w:rPr>
          <w:rFonts w:ascii="Arial" w:hAnsi="Arial" w:cs="Arial"/>
          <w:lang w:val="en-US"/>
        </w:rPr>
        <w:t xml:space="preserve"> </w:t>
      </w:r>
      <w:r w:rsidR="00AE3CC5">
        <w:rPr>
          <w:rFonts w:ascii="Arial" w:hAnsi="Arial" w:cs="Arial"/>
          <w:lang w:val="en-US"/>
        </w:rPr>
        <w:t xml:space="preserve">   </w:t>
      </w:r>
      <w:r w:rsidR="00A764EA" w:rsidRPr="00B130EA">
        <w:rPr>
          <w:rFonts w:ascii="Arial" w:hAnsi="Arial" w:cs="Arial"/>
          <w:lang w:val="en-US"/>
        </w:rPr>
        <w:t xml:space="preserve">Nimkarn S, New M. </w:t>
      </w:r>
      <w:r w:rsidR="00A764EA" w:rsidRPr="00B130EA">
        <w:rPr>
          <w:rFonts w:ascii="Arial" w:eastAsia="Calibri" w:hAnsi="Arial" w:cs="Arial"/>
          <w:lang w:val="en-US"/>
        </w:rPr>
        <w:t>Endocrine Hypertension in Childhood. Kenneth R Feingold, Bradley Anawalt, Marc R Blackman, Alison Boyce, George Chrousos, Emiliano Corpas, Wouter W de Herder, Ketan Dhatariya, Kathleen Dungan, Johannes Hofland, Sanjay Kalra, Gregory Kaltsas, Nitin Kapoor, Christian Koch, Peter Kopp, Márta Korbonits, Christopher S Kovacs, Wendy Kuohung, Blandine Laferrère, Miles Levy, Elizabeth A McGee, Robert McLachlan, Maria New, Jonathan Purnell, Rakesh Sahay, Amy S Shah, Frederick Singer, Mark A Sperling, Constantine A Stratakis, Dace L Trence, Don P Wilson, editors. In: Endotext [Internet]. South Dartmouth (MA): MDText.com, Inc.; 2000. 2017 Mar 3.</w:t>
      </w:r>
    </w:p>
    <w:p w14:paraId="21E6FF65" w14:textId="2EF8CB31"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17.</w:t>
      </w:r>
      <w:r w:rsidR="00F91E70" w:rsidRPr="00B130EA">
        <w:rPr>
          <w:rFonts w:ascii="Arial" w:hAnsi="Arial" w:cs="Arial"/>
          <w:lang w:val="en-US"/>
        </w:rPr>
        <w:t xml:space="preserve"> </w:t>
      </w:r>
      <w:r w:rsidR="00AE3CC5">
        <w:rPr>
          <w:rFonts w:ascii="Arial" w:hAnsi="Arial" w:cs="Arial"/>
          <w:lang w:val="en-US"/>
        </w:rPr>
        <w:t xml:space="preserve">   </w:t>
      </w:r>
      <w:r w:rsidR="00F91E70" w:rsidRPr="00B130EA">
        <w:rPr>
          <w:rFonts w:ascii="Arial" w:eastAsia="Calibri" w:hAnsi="Arial" w:cs="Arial"/>
          <w:lang w:val="en-US"/>
        </w:rPr>
        <w:t>Funder JW, Carey RM, Mantero F, Murad MH, Reincke M, Shibata H, Stowasser M, Young WF Jr.</w:t>
      </w:r>
      <w:r w:rsidR="00F91E70" w:rsidRPr="00B130EA">
        <w:rPr>
          <w:rFonts w:ascii="Arial" w:hAnsi="Arial" w:cs="Arial"/>
          <w:lang w:val="en-US"/>
        </w:rPr>
        <w:t xml:space="preserve"> </w:t>
      </w:r>
      <w:r w:rsidR="00F91E70" w:rsidRPr="00B130EA">
        <w:rPr>
          <w:rFonts w:ascii="Arial" w:eastAsia="Calibri" w:hAnsi="Arial" w:cs="Arial"/>
          <w:lang w:val="en-US"/>
        </w:rPr>
        <w:t>The Management of Primary Aldosteronism: Case Detection, Diagnosis, and Treatment: An Endocrine Society Clinical Practice Guideline. J Clin Endocrinol Metab</w:t>
      </w:r>
      <w:r w:rsidR="00BC5875">
        <w:rPr>
          <w:rFonts w:ascii="Arial" w:eastAsia="Calibri" w:hAnsi="Arial" w:cs="Arial"/>
          <w:lang w:val="en-US"/>
        </w:rPr>
        <w:t xml:space="preserve">. </w:t>
      </w:r>
      <w:r w:rsidR="00F91E70" w:rsidRPr="00B130EA">
        <w:rPr>
          <w:rFonts w:ascii="Arial" w:eastAsia="Calibri" w:hAnsi="Arial" w:cs="Arial"/>
          <w:lang w:val="en-US"/>
        </w:rPr>
        <w:t>2016 May;101(5):1889-916.</w:t>
      </w:r>
    </w:p>
    <w:p w14:paraId="35E097BD" w14:textId="6F749809"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18.</w:t>
      </w:r>
      <w:r w:rsidR="00D21155" w:rsidRPr="00B130EA">
        <w:rPr>
          <w:rFonts w:ascii="Arial" w:hAnsi="Arial" w:cs="Arial"/>
          <w:lang w:val="en-US"/>
        </w:rPr>
        <w:t xml:space="preserve"> </w:t>
      </w:r>
      <w:r w:rsidR="00AE3CC5">
        <w:rPr>
          <w:rFonts w:ascii="Arial" w:hAnsi="Arial" w:cs="Arial"/>
          <w:lang w:val="en-US"/>
        </w:rPr>
        <w:t xml:space="preserve">   </w:t>
      </w:r>
      <w:r w:rsidR="00D21155" w:rsidRPr="00B130EA">
        <w:rPr>
          <w:rFonts w:ascii="Arial" w:eastAsia="Calibri" w:hAnsi="Arial" w:cs="Arial"/>
          <w:lang w:val="en-US"/>
        </w:rPr>
        <w:t>Scholl UI, Stolting G, Schewe J, Thiel A, Tan H, Nelson-Williams C, et al. CLCN2 chloride channel mutations in familial hyperaldosteronism type II. Nat Genet. 2018;50(3):349-54.</w:t>
      </w:r>
    </w:p>
    <w:p w14:paraId="042A0388" w14:textId="1C2E5F3F"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19.</w:t>
      </w:r>
      <w:r w:rsidR="00D21155" w:rsidRPr="00B130EA">
        <w:rPr>
          <w:rFonts w:ascii="Arial" w:hAnsi="Arial" w:cs="Arial"/>
          <w:lang w:val="en-US"/>
        </w:rPr>
        <w:t xml:space="preserve"> </w:t>
      </w:r>
      <w:r w:rsidR="00AE3CC5">
        <w:rPr>
          <w:rFonts w:ascii="Arial" w:hAnsi="Arial" w:cs="Arial"/>
          <w:lang w:val="en-US"/>
        </w:rPr>
        <w:t xml:space="preserve">   </w:t>
      </w:r>
      <w:r w:rsidR="00D21155" w:rsidRPr="00B130EA">
        <w:rPr>
          <w:rFonts w:ascii="Arial" w:eastAsia="Calibri" w:hAnsi="Arial" w:cs="Arial"/>
          <w:lang w:val="en-US"/>
        </w:rPr>
        <w:t>Fernandes-Rosa FL, Daniil G, Orozco IJ, Goppner C, El Zein R, Jain V, et al. A gain-of-function mutation in the CLCN2 chloride channel gene causes primary aldosteronism. Nat Genet. 2018;50(3):355-61.</w:t>
      </w:r>
    </w:p>
    <w:p w14:paraId="5AD63206" w14:textId="3997E0D3"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20.</w:t>
      </w:r>
      <w:r w:rsidR="007A239C" w:rsidRPr="00B130EA">
        <w:rPr>
          <w:rFonts w:ascii="Arial" w:hAnsi="Arial" w:cs="Arial"/>
          <w:lang w:val="en-US"/>
        </w:rPr>
        <w:t xml:space="preserve"> </w:t>
      </w:r>
      <w:r w:rsidR="00AE3CC5">
        <w:rPr>
          <w:rFonts w:ascii="Arial" w:hAnsi="Arial" w:cs="Arial"/>
          <w:lang w:val="en-US"/>
        </w:rPr>
        <w:t xml:space="preserve">   </w:t>
      </w:r>
      <w:r w:rsidR="007A239C" w:rsidRPr="00B130EA">
        <w:rPr>
          <w:rFonts w:ascii="Arial" w:eastAsia="Calibri" w:hAnsi="Arial" w:cs="Arial"/>
          <w:lang w:val="en-US"/>
        </w:rPr>
        <w:t>Mulatero P, Williams TA, Monticone S, Veglio F.</w:t>
      </w:r>
      <w:r w:rsidR="007A239C" w:rsidRPr="00B130EA">
        <w:rPr>
          <w:rFonts w:ascii="Arial" w:hAnsi="Arial" w:cs="Arial"/>
          <w:lang w:val="en-US"/>
        </w:rPr>
        <w:t xml:space="preserve"> </w:t>
      </w:r>
      <w:r w:rsidR="007A239C" w:rsidRPr="00B130EA">
        <w:rPr>
          <w:rFonts w:ascii="Arial" w:eastAsia="Calibri" w:hAnsi="Arial" w:cs="Arial"/>
          <w:lang w:val="en-US"/>
        </w:rPr>
        <w:t>Is familial hyperaldosteronism underdiagnosed in hypertensive children?</w:t>
      </w:r>
      <w:r w:rsidR="007A239C" w:rsidRPr="00B130EA">
        <w:rPr>
          <w:rFonts w:ascii="Arial" w:hAnsi="Arial" w:cs="Arial"/>
          <w:lang w:val="en-US"/>
        </w:rPr>
        <w:t xml:space="preserve"> </w:t>
      </w:r>
      <w:r w:rsidR="007A239C" w:rsidRPr="00B130EA">
        <w:rPr>
          <w:rFonts w:ascii="Arial" w:eastAsia="Calibri" w:hAnsi="Arial" w:cs="Arial"/>
          <w:lang w:val="en-US"/>
        </w:rPr>
        <w:t>Hypertension. 2011 Jun;57(6):1053-5.</w:t>
      </w:r>
    </w:p>
    <w:p w14:paraId="664A042B" w14:textId="310ECDF8"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lastRenderedPageBreak/>
        <w:t>21.</w:t>
      </w:r>
      <w:r w:rsidR="003319A5" w:rsidRPr="00B130EA">
        <w:rPr>
          <w:rFonts w:ascii="Arial" w:hAnsi="Arial" w:cs="Arial"/>
          <w:lang w:val="en-US"/>
        </w:rPr>
        <w:t xml:space="preserve"> </w:t>
      </w:r>
      <w:r w:rsidR="00AE3CC5">
        <w:rPr>
          <w:rFonts w:ascii="Arial" w:hAnsi="Arial" w:cs="Arial"/>
          <w:lang w:val="en-US"/>
        </w:rPr>
        <w:t xml:space="preserve">   </w:t>
      </w:r>
      <w:r w:rsidR="003319A5" w:rsidRPr="00B130EA">
        <w:rPr>
          <w:rFonts w:ascii="Arial" w:eastAsia="Calibri" w:hAnsi="Arial" w:cs="Arial"/>
          <w:lang w:val="en-US"/>
        </w:rPr>
        <w:t>Scholl UI, Stölting G, Schewe J, Thiel A, Tan H, Nelson-Williams C, Vichot AA, Jin SC, Loring E, Untiet V, Yoo T, Choi J, Xu S, Wu A, Kirchner M, Mertins P, Rump LC, Onder AM, Gamble C, McKenney D, Lash RW, Jones DP, Chune G, Gagliardi P, Choi M, Gordon R, Stowasser M, Fahlke C, Lifton RP.</w:t>
      </w:r>
      <w:r w:rsidR="003319A5" w:rsidRPr="00B130EA">
        <w:rPr>
          <w:rFonts w:ascii="Arial" w:hAnsi="Arial" w:cs="Arial"/>
          <w:lang w:val="en-US"/>
        </w:rPr>
        <w:t xml:space="preserve"> </w:t>
      </w:r>
      <w:r w:rsidR="003319A5" w:rsidRPr="00B130EA">
        <w:rPr>
          <w:rFonts w:ascii="Arial" w:eastAsia="Calibri" w:hAnsi="Arial" w:cs="Arial"/>
          <w:lang w:val="en-US"/>
        </w:rPr>
        <w:t>CLCN2 chloride channel mutations in familial hyperaldosteronism type II. Nat Genet. 2018 Mar;50(3):349-354.</w:t>
      </w:r>
    </w:p>
    <w:p w14:paraId="408EC65B" w14:textId="0E6FD991"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22.</w:t>
      </w:r>
      <w:r w:rsidR="003319A5" w:rsidRPr="00B130EA">
        <w:rPr>
          <w:rFonts w:ascii="Arial" w:hAnsi="Arial" w:cs="Arial"/>
          <w:lang w:val="en-US"/>
        </w:rPr>
        <w:t xml:space="preserve"> </w:t>
      </w:r>
      <w:r w:rsidR="00AE3CC5">
        <w:rPr>
          <w:rFonts w:ascii="Arial" w:hAnsi="Arial" w:cs="Arial"/>
          <w:lang w:val="en-US"/>
        </w:rPr>
        <w:t xml:space="preserve">   </w:t>
      </w:r>
      <w:r w:rsidR="003319A5" w:rsidRPr="00B130EA">
        <w:rPr>
          <w:rFonts w:ascii="Arial" w:eastAsia="Calibri" w:hAnsi="Arial" w:cs="Arial"/>
          <w:lang w:val="en-US"/>
        </w:rPr>
        <w:t>Perez-Rivas LG, Williams TA, Reincke M.</w:t>
      </w:r>
      <w:r w:rsidR="003319A5" w:rsidRPr="00B130EA">
        <w:rPr>
          <w:rFonts w:ascii="Arial" w:hAnsi="Arial" w:cs="Arial"/>
          <w:lang w:val="en-US"/>
        </w:rPr>
        <w:t xml:space="preserve"> </w:t>
      </w:r>
      <w:r w:rsidR="003319A5" w:rsidRPr="00B130EA">
        <w:rPr>
          <w:rFonts w:ascii="Arial" w:eastAsia="Calibri" w:hAnsi="Arial" w:cs="Arial"/>
          <w:lang w:val="en-US"/>
        </w:rPr>
        <w:t>Inherited Forms of Primary Hyperaldosteronism: New Genes, New Phenotypes and Proposition of A New Classification. Exp Clin Endocrinol Diabetes. 2019 Feb;127(2-03):93-99.</w:t>
      </w:r>
    </w:p>
    <w:p w14:paraId="405C57A4" w14:textId="66B539D5"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23.</w:t>
      </w:r>
      <w:r w:rsidR="00CC676D" w:rsidRPr="00B130EA">
        <w:rPr>
          <w:rFonts w:ascii="Arial" w:hAnsi="Arial" w:cs="Arial"/>
          <w:lang w:val="en-US"/>
        </w:rPr>
        <w:t xml:space="preserve"> </w:t>
      </w:r>
      <w:r w:rsidR="00AE3CC5">
        <w:rPr>
          <w:rFonts w:ascii="Arial" w:hAnsi="Arial" w:cs="Arial"/>
          <w:lang w:val="en-US"/>
        </w:rPr>
        <w:t xml:space="preserve">   </w:t>
      </w:r>
      <w:r w:rsidR="00CC676D" w:rsidRPr="00B130EA">
        <w:rPr>
          <w:rFonts w:ascii="Arial" w:eastAsia="Calibri" w:hAnsi="Arial" w:cs="Arial"/>
          <w:lang w:val="en-US"/>
        </w:rPr>
        <w:t>Hassan-Smith Z, Stewart PM.</w:t>
      </w:r>
      <w:r w:rsidR="00CC676D" w:rsidRPr="00B130EA">
        <w:rPr>
          <w:rFonts w:ascii="Arial" w:hAnsi="Arial" w:cs="Arial"/>
          <w:lang w:val="en-US"/>
        </w:rPr>
        <w:t xml:space="preserve"> </w:t>
      </w:r>
      <w:r w:rsidR="00CC676D" w:rsidRPr="00B130EA">
        <w:rPr>
          <w:rFonts w:ascii="Arial" w:eastAsia="Calibri" w:hAnsi="Arial" w:cs="Arial"/>
          <w:lang w:val="en-US"/>
        </w:rPr>
        <w:t>Inherited forms of mineralocorticoid hypertension. Curr Opin Endocrinol Diabetes Obes. 2011 Jun;18(3):177-85.</w:t>
      </w:r>
    </w:p>
    <w:p w14:paraId="319B0C77" w14:textId="4CA92648"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24.</w:t>
      </w:r>
      <w:r w:rsidR="00F71626" w:rsidRPr="00B130EA">
        <w:rPr>
          <w:rFonts w:ascii="Arial" w:hAnsi="Arial" w:cs="Arial"/>
          <w:lang w:val="en-US"/>
        </w:rPr>
        <w:t xml:space="preserve"> </w:t>
      </w:r>
      <w:r w:rsidR="00AE3CC5">
        <w:rPr>
          <w:rFonts w:ascii="Arial" w:hAnsi="Arial" w:cs="Arial"/>
          <w:lang w:val="en-US"/>
        </w:rPr>
        <w:t xml:space="preserve">   </w:t>
      </w:r>
      <w:r w:rsidR="00F71626" w:rsidRPr="00B130EA">
        <w:rPr>
          <w:rFonts w:ascii="Arial" w:eastAsia="Calibri" w:hAnsi="Arial" w:cs="Arial"/>
          <w:lang w:val="en-US"/>
        </w:rPr>
        <w:t>Choi M, Scholl UI, Yue P, Björklund P, Zhao B, Nelson-Williams C, Ji W, Cho Y, Patel A, Men CJ, Lolis E, Wisgerhof MV, Geller DS, Mane S, Hellman P, Westin G, Åkerström G, Wang W, Carling T, Lifton RP.</w:t>
      </w:r>
      <w:r w:rsidR="00F71626" w:rsidRPr="00B130EA">
        <w:rPr>
          <w:rFonts w:ascii="Arial" w:hAnsi="Arial" w:cs="Arial"/>
          <w:lang w:val="en-US"/>
        </w:rPr>
        <w:t xml:space="preserve"> </w:t>
      </w:r>
      <w:r w:rsidR="00F71626" w:rsidRPr="00B130EA">
        <w:rPr>
          <w:rFonts w:ascii="Arial" w:eastAsia="Calibri" w:hAnsi="Arial" w:cs="Arial"/>
          <w:lang w:val="en-US"/>
        </w:rPr>
        <w:t>K+ channel mutations in adrenal aldosterone-producing adenomas and hereditary hypertension. Science. 2011 Feb 11;331(6018):768-72.</w:t>
      </w:r>
    </w:p>
    <w:p w14:paraId="2439FB90" w14:textId="03AFC315"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25.</w:t>
      </w:r>
      <w:r w:rsidR="00296549" w:rsidRPr="00B130EA">
        <w:rPr>
          <w:rFonts w:ascii="Arial" w:hAnsi="Arial" w:cs="Arial"/>
          <w:lang w:val="en-US"/>
        </w:rPr>
        <w:t xml:space="preserve"> </w:t>
      </w:r>
      <w:r w:rsidR="00AE3CC5">
        <w:rPr>
          <w:rFonts w:ascii="Arial" w:hAnsi="Arial" w:cs="Arial"/>
          <w:lang w:val="en-US"/>
        </w:rPr>
        <w:t xml:space="preserve">   </w:t>
      </w:r>
      <w:r w:rsidR="00296549" w:rsidRPr="00B130EA">
        <w:rPr>
          <w:rFonts w:ascii="Arial" w:eastAsia="Calibri" w:hAnsi="Arial" w:cs="Arial"/>
          <w:lang w:val="en-US"/>
        </w:rPr>
        <w:t>Geller DS, Zhang J, Wisgerhof MV, Shackleton C, Kashgarian M, Lifton RP.</w:t>
      </w:r>
      <w:r w:rsidR="00296549" w:rsidRPr="00B130EA">
        <w:rPr>
          <w:rFonts w:ascii="Arial" w:hAnsi="Arial" w:cs="Arial"/>
          <w:lang w:val="en-US"/>
        </w:rPr>
        <w:t xml:space="preserve"> </w:t>
      </w:r>
      <w:r w:rsidR="00296549" w:rsidRPr="00B130EA">
        <w:rPr>
          <w:rFonts w:ascii="Arial" w:eastAsia="Calibri" w:hAnsi="Arial" w:cs="Arial"/>
          <w:lang w:val="en-US"/>
        </w:rPr>
        <w:t>A novel form of human mendelian hypertension featuring nonglucocorticoid-remediable aldosteronism. J Clin Endocrinol Metab. 2008 Aug;93(8):3117-23.</w:t>
      </w:r>
    </w:p>
    <w:p w14:paraId="5F747DFB" w14:textId="27EF126E"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26.</w:t>
      </w:r>
      <w:r w:rsidR="00B7633B" w:rsidRPr="00B130EA">
        <w:rPr>
          <w:rFonts w:ascii="Arial" w:hAnsi="Arial" w:cs="Arial"/>
          <w:lang w:val="en-US"/>
        </w:rPr>
        <w:t xml:space="preserve"> </w:t>
      </w:r>
      <w:r w:rsidR="00AE3CC5">
        <w:rPr>
          <w:rFonts w:ascii="Arial" w:hAnsi="Arial" w:cs="Arial"/>
          <w:lang w:val="en-US"/>
        </w:rPr>
        <w:t xml:space="preserve">   </w:t>
      </w:r>
      <w:r w:rsidR="00B7633B" w:rsidRPr="00B130EA">
        <w:rPr>
          <w:rFonts w:ascii="Arial" w:eastAsia="Calibri" w:hAnsi="Arial" w:cs="Arial"/>
          <w:lang w:val="en-US"/>
        </w:rPr>
        <w:t>Monticone S, Buffolo F, Tetti M, Veglio F, Pasini B, Mulatero P.</w:t>
      </w:r>
      <w:r w:rsidR="00B7633B" w:rsidRPr="00B130EA">
        <w:rPr>
          <w:rFonts w:ascii="Arial" w:hAnsi="Arial" w:cs="Arial"/>
          <w:lang w:val="en-US"/>
        </w:rPr>
        <w:t xml:space="preserve"> </w:t>
      </w:r>
      <w:r w:rsidR="00B7633B" w:rsidRPr="00B130EA">
        <w:rPr>
          <w:rFonts w:ascii="Arial" w:eastAsia="Calibri" w:hAnsi="Arial" w:cs="Arial"/>
          <w:lang w:val="en-US"/>
        </w:rPr>
        <w:t>GENETICS IN ENDOCRINOLOGY: The expanding genetic horizon of primary aldosteronism.</w:t>
      </w:r>
      <w:r w:rsidR="00917D08" w:rsidRPr="00B130EA">
        <w:rPr>
          <w:rFonts w:ascii="Arial" w:hAnsi="Arial" w:cs="Arial"/>
          <w:lang w:val="en-US"/>
        </w:rPr>
        <w:t xml:space="preserve"> </w:t>
      </w:r>
      <w:r w:rsidR="00917D08" w:rsidRPr="00B130EA">
        <w:rPr>
          <w:rFonts w:ascii="Arial" w:eastAsia="Calibri" w:hAnsi="Arial" w:cs="Arial"/>
          <w:lang w:val="en-US"/>
        </w:rPr>
        <w:t>Eur J Endocrinol. 2018 Mar;178(3):R101-R111.</w:t>
      </w:r>
      <w:r w:rsidR="00B7633B" w:rsidRPr="00B130EA">
        <w:rPr>
          <w:rFonts w:ascii="Arial" w:eastAsia="Calibri" w:hAnsi="Arial" w:cs="Arial"/>
          <w:lang w:val="en-US"/>
        </w:rPr>
        <w:t xml:space="preserve"> </w:t>
      </w:r>
    </w:p>
    <w:p w14:paraId="1311E8A4" w14:textId="7EE511CE"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27.</w:t>
      </w:r>
      <w:r w:rsidR="00D56DDD" w:rsidRPr="00B130EA">
        <w:rPr>
          <w:rFonts w:ascii="Arial" w:hAnsi="Arial" w:cs="Arial"/>
          <w:lang w:val="en-US"/>
        </w:rPr>
        <w:t xml:space="preserve"> </w:t>
      </w:r>
      <w:r w:rsidR="00AE3CC5">
        <w:rPr>
          <w:rFonts w:ascii="Arial" w:hAnsi="Arial" w:cs="Arial"/>
          <w:lang w:val="en-US"/>
        </w:rPr>
        <w:t xml:space="preserve">   </w:t>
      </w:r>
      <w:r w:rsidR="00D56DDD" w:rsidRPr="00B130EA">
        <w:rPr>
          <w:rFonts w:ascii="Arial" w:eastAsia="Calibri" w:hAnsi="Arial" w:cs="Arial"/>
          <w:lang w:val="en-US"/>
        </w:rPr>
        <w:t>Scholl UI, Goh G, Stolting G, de Oliveira RC, Choi M, Overton JD, et al. Somatic and germline CACNA1D calcium channel mutations in aldosterone-producing adenomas and primary aldosteronism. Nat Genet. 2013;45(9):1050-4.</w:t>
      </w:r>
    </w:p>
    <w:p w14:paraId="3116A8FB" w14:textId="1A14F547"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28.</w:t>
      </w:r>
      <w:r w:rsidR="00AA10C8" w:rsidRPr="00B130EA">
        <w:rPr>
          <w:rFonts w:ascii="Arial" w:hAnsi="Arial" w:cs="Arial"/>
          <w:lang w:val="en-US"/>
        </w:rPr>
        <w:t xml:space="preserve"> </w:t>
      </w:r>
      <w:r w:rsidR="00AE3CC5">
        <w:rPr>
          <w:rFonts w:ascii="Arial" w:hAnsi="Arial" w:cs="Arial"/>
          <w:lang w:val="en-US"/>
        </w:rPr>
        <w:t xml:space="preserve">   </w:t>
      </w:r>
      <w:r w:rsidR="00AA10C8" w:rsidRPr="00B130EA">
        <w:rPr>
          <w:rFonts w:ascii="Arial" w:eastAsia="Calibri" w:hAnsi="Arial" w:cs="Arial"/>
          <w:lang w:val="en-US"/>
        </w:rPr>
        <w:t>Costa-Barbosa FA, Giorgi RB, Kater CE.</w:t>
      </w:r>
      <w:r w:rsidR="00AA10C8" w:rsidRPr="00B130EA">
        <w:rPr>
          <w:rFonts w:ascii="Arial" w:hAnsi="Arial" w:cs="Arial"/>
          <w:lang w:val="en-US"/>
        </w:rPr>
        <w:t xml:space="preserve"> </w:t>
      </w:r>
      <w:r w:rsidR="00AA10C8" w:rsidRPr="00B130EA">
        <w:rPr>
          <w:rFonts w:ascii="Arial" w:eastAsia="Calibri" w:hAnsi="Arial" w:cs="Arial"/>
          <w:lang w:val="en-US"/>
        </w:rPr>
        <w:t>Focus on adrenal and related causes of hypertension in childhood and adolescence: Rare or rarely recognized?</w:t>
      </w:r>
      <w:r w:rsidR="00AA10C8" w:rsidRPr="00B130EA">
        <w:rPr>
          <w:rFonts w:ascii="Arial" w:hAnsi="Arial" w:cs="Arial"/>
          <w:lang w:val="en-US"/>
        </w:rPr>
        <w:t xml:space="preserve"> </w:t>
      </w:r>
      <w:r w:rsidR="00AA10C8" w:rsidRPr="00B130EA">
        <w:rPr>
          <w:rFonts w:ascii="Arial" w:eastAsia="Calibri" w:hAnsi="Arial" w:cs="Arial"/>
          <w:lang w:val="en-US"/>
        </w:rPr>
        <w:t>Arch Endocrinol Metab. 2022 Nov 17;66(6):895-907.</w:t>
      </w:r>
    </w:p>
    <w:p w14:paraId="4D5D7103" w14:textId="6CDCC908"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29.</w:t>
      </w:r>
      <w:r w:rsidR="00AA10C8" w:rsidRPr="00B130EA">
        <w:rPr>
          <w:rFonts w:ascii="Arial" w:hAnsi="Arial" w:cs="Arial"/>
          <w:lang w:val="en-US"/>
        </w:rPr>
        <w:t xml:space="preserve"> </w:t>
      </w:r>
      <w:r w:rsidR="00AE3CC5">
        <w:rPr>
          <w:rFonts w:ascii="Arial" w:hAnsi="Arial" w:cs="Arial"/>
          <w:lang w:val="en-US"/>
        </w:rPr>
        <w:t xml:space="preserve">   </w:t>
      </w:r>
      <w:r w:rsidR="00AA10C8" w:rsidRPr="00B130EA">
        <w:rPr>
          <w:rFonts w:ascii="Arial" w:eastAsia="Calibri" w:hAnsi="Arial" w:cs="Arial"/>
          <w:lang w:val="en-US"/>
        </w:rPr>
        <w:t>Hinz L, Pacaud D, Kline G.</w:t>
      </w:r>
      <w:r w:rsidR="00AA10C8" w:rsidRPr="00B130EA">
        <w:rPr>
          <w:rFonts w:ascii="Arial" w:hAnsi="Arial" w:cs="Arial"/>
          <w:lang w:val="en-US"/>
        </w:rPr>
        <w:t xml:space="preserve"> </w:t>
      </w:r>
      <w:r w:rsidR="00AA10C8" w:rsidRPr="00B130EA">
        <w:rPr>
          <w:rFonts w:ascii="Arial" w:eastAsia="Calibri" w:hAnsi="Arial" w:cs="Arial"/>
          <w:lang w:val="en-US"/>
        </w:rPr>
        <w:t>Congenital adrenal hyperplasia causing hypertension: an illustrative review. J Hum Hypertens. 2018 Feb;32(2):150-157.</w:t>
      </w:r>
    </w:p>
    <w:p w14:paraId="14C5530A" w14:textId="2CA17D2A"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30.</w:t>
      </w:r>
      <w:r w:rsidR="0044712E" w:rsidRPr="00B130EA">
        <w:rPr>
          <w:rFonts w:ascii="Arial" w:hAnsi="Arial" w:cs="Arial"/>
          <w:lang w:val="en-US"/>
        </w:rPr>
        <w:t xml:space="preserve"> </w:t>
      </w:r>
      <w:r w:rsidR="00AE3CC5">
        <w:rPr>
          <w:rFonts w:ascii="Arial" w:hAnsi="Arial" w:cs="Arial"/>
          <w:lang w:val="en-US"/>
        </w:rPr>
        <w:t xml:space="preserve">   </w:t>
      </w:r>
      <w:r w:rsidR="0044712E" w:rsidRPr="00B130EA">
        <w:rPr>
          <w:rFonts w:ascii="Arial" w:eastAsia="Calibri" w:hAnsi="Arial" w:cs="Arial"/>
          <w:lang w:val="en-US"/>
        </w:rPr>
        <w:t>Bulsari K, Falhammar H. Clinical perspectives in congenital adrenal hyperplasia due to 11beta-hydroxylase deficiency. Endocrine. 2017;55(1):19-36.</w:t>
      </w:r>
    </w:p>
    <w:p w14:paraId="710F5D07" w14:textId="74613853"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31.</w:t>
      </w:r>
      <w:r w:rsidR="0044712E" w:rsidRPr="00B130EA">
        <w:rPr>
          <w:rFonts w:ascii="Arial" w:hAnsi="Arial" w:cs="Arial"/>
          <w:lang w:val="en-US"/>
        </w:rPr>
        <w:t xml:space="preserve"> </w:t>
      </w:r>
      <w:r w:rsidR="00AE3CC5">
        <w:rPr>
          <w:rFonts w:ascii="Arial" w:hAnsi="Arial" w:cs="Arial"/>
          <w:lang w:val="en-US"/>
        </w:rPr>
        <w:t xml:space="preserve">   </w:t>
      </w:r>
      <w:r w:rsidR="0044712E" w:rsidRPr="00B130EA">
        <w:rPr>
          <w:rFonts w:ascii="Arial" w:eastAsia="Calibri" w:hAnsi="Arial" w:cs="Arial"/>
          <w:lang w:val="en-US"/>
        </w:rPr>
        <w:t>Mimouni M, Kaufman H, Roitman A, Morag C, Sadan N. Hypertension in a neonate with 11 beta-hydroxylase deficiency. Eur J Pediatr. 1985;143(3):231-3.</w:t>
      </w:r>
    </w:p>
    <w:p w14:paraId="7570D0CC" w14:textId="0F2AEBED"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32.</w:t>
      </w:r>
      <w:r w:rsidR="004D79AF" w:rsidRPr="00B130EA">
        <w:rPr>
          <w:rFonts w:ascii="Arial" w:hAnsi="Arial" w:cs="Arial"/>
          <w:lang w:val="en-US"/>
        </w:rPr>
        <w:t xml:space="preserve"> </w:t>
      </w:r>
      <w:r w:rsidR="00AE3CC5">
        <w:rPr>
          <w:rFonts w:ascii="Arial" w:hAnsi="Arial" w:cs="Arial"/>
          <w:lang w:val="en-US"/>
        </w:rPr>
        <w:t xml:space="preserve">   </w:t>
      </w:r>
      <w:r w:rsidR="004D79AF" w:rsidRPr="00B130EA">
        <w:rPr>
          <w:rFonts w:ascii="Arial" w:eastAsia="Calibri" w:hAnsi="Arial" w:cs="Arial"/>
          <w:lang w:val="en-US"/>
        </w:rPr>
        <w:t>Kater CE, Biglieri EG. Disorders of steroid 17 alpha-hydroxylase deficiency. Endocrinol Metab Clin North Am. 1994;23(2):341-57.</w:t>
      </w:r>
    </w:p>
    <w:p w14:paraId="04071AAC" w14:textId="6C1DA871"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33.</w:t>
      </w:r>
      <w:r w:rsidR="004D79AF" w:rsidRPr="00B130EA">
        <w:rPr>
          <w:rFonts w:ascii="Arial" w:hAnsi="Arial" w:cs="Arial"/>
          <w:lang w:val="en-US"/>
        </w:rPr>
        <w:t xml:space="preserve"> </w:t>
      </w:r>
      <w:r w:rsidR="00AE3CC5">
        <w:rPr>
          <w:rFonts w:ascii="Arial" w:hAnsi="Arial" w:cs="Arial"/>
          <w:lang w:val="en-US"/>
        </w:rPr>
        <w:t xml:space="preserve">   </w:t>
      </w:r>
      <w:r w:rsidR="004D79AF" w:rsidRPr="00B130EA">
        <w:rPr>
          <w:rFonts w:ascii="Arial" w:eastAsia="Calibri" w:hAnsi="Arial" w:cs="Arial"/>
          <w:lang w:val="en-US"/>
        </w:rPr>
        <w:t>Biglieri EG, Kater CE, Brust N, Chang B, Hirai J. The mineralocorticoid hormone pathways in hypertension with hyperaldosteronism. Clin Exp Hypertens A. 1982;4(9-10):1677 -83.</w:t>
      </w:r>
    </w:p>
    <w:p w14:paraId="1F96F601" w14:textId="546B9E97"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34.</w:t>
      </w:r>
      <w:r w:rsidR="004D79AF" w:rsidRPr="00B130EA">
        <w:rPr>
          <w:rFonts w:ascii="Arial" w:hAnsi="Arial" w:cs="Arial"/>
          <w:lang w:val="en-US"/>
        </w:rPr>
        <w:t xml:space="preserve"> </w:t>
      </w:r>
      <w:r w:rsidR="00AE3CC5">
        <w:rPr>
          <w:rFonts w:ascii="Arial" w:hAnsi="Arial" w:cs="Arial"/>
          <w:lang w:val="en-US"/>
        </w:rPr>
        <w:t xml:space="preserve">   </w:t>
      </w:r>
      <w:r w:rsidR="004D79AF" w:rsidRPr="00B130EA">
        <w:rPr>
          <w:rFonts w:ascii="Arial" w:eastAsia="Calibri" w:hAnsi="Arial" w:cs="Arial"/>
          <w:lang w:val="en-US"/>
        </w:rPr>
        <w:t>Biglieri EG, Herron MA, Brust N. 17-hydroxylation deficiency in man. J Clin Invest. 1966;45(12):1946-54.</w:t>
      </w:r>
    </w:p>
    <w:p w14:paraId="7D683CB5" w14:textId="3D888FAA"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35.</w:t>
      </w:r>
      <w:r w:rsidR="005E5DE9" w:rsidRPr="00B130EA">
        <w:rPr>
          <w:rFonts w:ascii="Arial" w:hAnsi="Arial" w:cs="Arial"/>
          <w:lang w:val="en-US"/>
        </w:rPr>
        <w:t xml:space="preserve"> </w:t>
      </w:r>
      <w:r w:rsidR="00AE3CC5">
        <w:rPr>
          <w:rFonts w:ascii="Arial" w:hAnsi="Arial" w:cs="Arial"/>
          <w:lang w:val="en-US"/>
        </w:rPr>
        <w:t xml:space="preserve">   </w:t>
      </w:r>
      <w:r w:rsidR="005E5DE9" w:rsidRPr="00B130EA">
        <w:rPr>
          <w:rFonts w:ascii="Arial" w:eastAsia="Calibri" w:hAnsi="Arial" w:cs="Arial"/>
          <w:lang w:val="en-US"/>
        </w:rPr>
        <w:t>Chrousos GP, Vingerhoeds A, Brandon D, Eil C, Pugeat M, DeVroede M, Loriaux DL, Lipsett MB.</w:t>
      </w:r>
      <w:r w:rsidR="005E5DE9" w:rsidRPr="00B130EA">
        <w:rPr>
          <w:rFonts w:ascii="Arial" w:hAnsi="Arial" w:cs="Arial"/>
          <w:lang w:val="en-US"/>
        </w:rPr>
        <w:t xml:space="preserve"> </w:t>
      </w:r>
      <w:r w:rsidR="005E5DE9" w:rsidRPr="00B130EA">
        <w:rPr>
          <w:rFonts w:ascii="Arial" w:eastAsia="Calibri" w:hAnsi="Arial" w:cs="Arial"/>
          <w:lang w:val="en-US"/>
        </w:rPr>
        <w:t>Primary cortisol resistance in man. A glucocorticoid receptor-mediated disease.</w:t>
      </w:r>
      <w:r w:rsidR="005E5DE9" w:rsidRPr="00B130EA">
        <w:rPr>
          <w:rFonts w:ascii="Arial" w:hAnsi="Arial" w:cs="Arial"/>
          <w:lang w:val="en-US"/>
        </w:rPr>
        <w:t xml:space="preserve"> </w:t>
      </w:r>
      <w:r w:rsidR="005E5DE9" w:rsidRPr="00B130EA">
        <w:rPr>
          <w:rFonts w:ascii="Arial" w:eastAsia="Calibri" w:hAnsi="Arial" w:cs="Arial"/>
          <w:lang w:val="en-US"/>
        </w:rPr>
        <w:t>J Clin Invest. 1982 Jun;69(6):1261-9.</w:t>
      </w:r>
    </w:p>
    <w:p w14:paraId="22EDDC60" w14:textId="234CE0BC"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36.</w:t>
      </w:r>
      <w:r w:rsidR="009C781B" w:rsidRPr="00B130EA">
        <w:rPr>
          <w:rFonts w:ascii="Arial" w:hAnsi="Arial" w:cs="Arial"/>
          <w:lang w:val="en-US"/>
        </w:rPr>
        <w:t xml:space="preserve"> </w:t>
      </w:r>
      <w:r w:rsidR="00AE3CC5">
        <w:rPr>
          <w:rFonts w:ascii="Arial" w:hAnsi="Arial" w:cs="Arial"/>
          <w:lang w:val="en-US"/>
        </w:rPr>
        <w:t xml:space="preserve">   </w:t>
      </w:r>
      <w:r w:rsidR="009C781B" w:rsidRPr="00B130EA">
        <w:rPr>
          <w:rFonts w:ascii="Arial" w:eastAsia="Calibri" w:hAnsi="Arial" w:cs="Arial"/>
          <w:lang w:val="en-US"/>
        </w:rPr>
        <w:t>Nicolaides NC, Charmandari E.</w:t>
      </w:r>
      <w:r w:rsidR="009C781B" w:rsidRPr="00B130EA">
        <w:rPr>
          <w:rFonts w:ascii="Arial" w:hAnsi="Arial" w:cs="Arial"/>
          <w:lang w:val="en-US"/>
        </w:rPr>
        <w:t xml:space="preserve"> </w:t>
      </w:r>
      <w:r w:rsidR="009C781B" w:rsidRPr="00B130EA">
        <w:rPr>
          <w:rFonts w:ascii="Arial" w:eastAsia="Calibri" w:hAnsi="Arial" w:cs="Arial"/>
          <w:lang w:val="en-US"/>
        </w:rPr>
        <w:t xml:space="preserve">Primary Generalized Glucocorticoid Resistance and Hypersensitivity Syndromes: A 2021 Update. </w:t>
      </w:r>
      <w:r w:rsidR="00D62E2F" w:rsidRPr="00B130EA">
        <w:rPr>
          <w:rFonts w:ascii="Arial" w:eastAsia="Calibri" w:hAnsi="Arial" w:cs="Arial"/>
          <w:lang w:val="en-US"/>
        </w:rPr>
        <w:t>Int J Mol Sci. 2021 Oct 7;22(19):10839.</w:t>
      </w:r>
    </w:p>
    <w:p w14:paraId="256E87DA" w14:textId="473B4309"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37.</w:t>
      </w:r>
      <w:r w:rsidR="00D62E2F" w:rsidRPr="00B130EA">
        <w:rPr>
          <w:rFonts w:ascii="Arial" w:hAnsi="Arial" w:cs="Arial"/>
          <w:lang w:val="en-US"/>
        </w:rPr>
        <w:t xml:space="preserve"> </w:t>
      </w:r>
      <w:r w:rsidR="00AE3CC5">
        <w:rPr>
          <w:rFonts w:ascii="Arial" w:hAnsi="Arial" w:cs="Arial"/>
          <w:lang w:val="en-US"/>
        </w:rPr>
        <w:t xml:space="preserve">   </w:t>
      </w:r>
      <w:r w:rsidR="00D62E2F" w:rsidRPr="00B130EA">
        <w:rPr>
          <w:rFonts w:ascii="Arial" w:eastAsia="Calibri" w:hAnsi="Arial" w:cs="Arial"/>
          <w:lang w:val="en-US"/>
        </w:rPr>
        <w:t>Nicolaides NC, Charmandari E.</w:t>
      </w:r>
      <w:r w:rsidR="00D62E2F" w:rsidRPr="00B130EA">
        <w:rPr>
          <w:rFonts w:ascii="Arial" w:hAnsi="Arial" w:cs="Arial"/>
          <w:lang w:val="en-US"/>
        </w:rPr>
        <w:t xml:space="preserve"> </w:t>
      </w:r>
      <w:r w:rsidR="00D62E2F" w:rsidRPr="00B130EA">
        <w:rPr>
          <w:rFonts w:ascii="Arial" w:eastAsia="Calibri" w:hAnsi="Arial" w:cs="Arial"/>
          <w:lang w:val="en-US"/>
        </w:rPr>
        <w:t>Novel insights into the molecular mechanisms underlying generalized glucocorticoid resistance and hypersensitivity syndromes. Hormones (Athens) 2017 Apr;16(2):124-138.</w:t>
      </w:r>
    </w:p>
    <w:p w14:paraId="1C5E7F1A" w14:textId="1D02D67A"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lastRenderedPageBreak/>
        <w:t>38.</w:t>
      </w:r>
      <w:r w:rsidR="00D62E2F" w:rsidRPr="00B130EA">
        <w:rPr>
          <w:rFonts w:ascii="Arial" w:hAnsi="Arial" w:cs="Arial"/>
          <w:lang w:val="en-US"/>
        </w:rPr>
        <w:t xml:space="preserve"> </w:t>
      </w:r>
      <w:r w:rsidR="00AE3CC5">
        <w:rPr>
          <w:rFonts w:ascii="Arial" w:hAnsi="Arial" w:cs="Arial"/>
          <w:lang w:val="en-US"/>
        </w:rPr>
        <w:t xml:space="preserve">   </w:t>
      </w:r>
      <w:r w:rsidR="00D62E2F" w:rsidRPr="00B130EA">
        <w:rPr>
          <w:rFonts w:ascii="Arial" w:eastAsia="Calibri" w:hAnsi="Arial" w:cs="Arial"/>
          <w:lang w:val="en-US"/>
        </w:rPr>
        <w:t>Nicolaides NC, Charmandari E.</w:t>
      </w:r>
      <w:r w:rsidR="00D62E2F" w:rsidRPr="00B130EA">
        <w:rPr>
          <w:rFonts w:ascii="Arial" w:hAnsi="Arial" w:cs="Arial"/>
          <w:lang w:val="en-US"/>
        </w:rPr>
        <w:t xml:space="preserve"> </w:t>
      </w:r>
      <w:r w:rsidR="00D62E2F" w:rsidRPr="00B130EA">
        <w:rPr>
          <w:rFonts w:ascii="Arial" w:eastAsia="Calibri" w:hAnsi="Arial" w:cs="Arial"/>
          <w:lang w:val="en-US"/>
        </w:rPr>
        <w:t>Chrousos syndrome: from molecular pathogenesis to therapeutic management. Eur J Clin Invest. 2015 May;45(5):504-14.</w:t>
      </w:r>
    </w:p>
    <w:p w14:paraId="703ED82B" w14:textId="3ED03014"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39.</w:t>
      </w:r>
      <w:r w:rsidR="00D62E2F" w:rsidRPr="00B130EA">
        <w:rPr>
          <w:rFonts w:ascii="Arial" w:hAnsi="Arial" w:cs="Arial"/>
          <w:lang w:val="en-US"/>
        </w:rPr>
        <w:t xml:space="preserve"> </w:t>
      </w:r>
      <w:r w:rsidR="00AE3CC5">
        <w:rPr>
          <w:rFonts w:ascii="Arial" w:hAnsi="Arial" w:cs="Arial"/>
          <w:lang w:val="en-US"/>
        </w:rPr>
        <w:t xml:space="preserve">   </w:t>
      </w:r>
      <w:r w:rsidR="00D62E2F" w:rsidRPr="00B130EA">
        <w:rPr>
          <w:rFonts w:ascii="Arial" w:hAnsi="Arial" w:cs="Arial"/>
          <w:lang w:val="en-US"/>
        </w:rPr>
        <w:t xml:space="preserve">Nicolaides N, Lamprokostopoulou A, Sertedaki A, Charmandari E. </w:t>
      </w:r>
      <w:r w:rsidR="00D62E2F" w:rsidRPr="00B130EA">
        <w:rPr>
          <w:rFonts w:ascii="Arial" w:eastAsia="Calibri" w:hAnsi="Arial" w:cs="Arial"/>
          <w:lang w:val="en-US"/>
        </w:rPr>
        <w:t>Recent advances in the molecular mechanisms causing primary generalized glucocorticoid resistance. Hormones (Athens). 2016 Jan-Mar;15(1):23-34.</w:t>
      </w:r>
    </w:p>
    <w:p w14:paraId="35F7CDA7" w14:textId="29FE0F4D"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40.</w:t>
      </w:r>
      <w:r w:rsidR="00F03BD5" w:rsidRPr="00B130EA">
        <w:rPr>
          <w:rFonts w:ascii="Arial" w:hAnsi="Arial" w:cs="Arial"/>
          <w:lang w:val="en-US"/>
        </w:rPr>
        <w:t xml:space="preserve"> </w:t>
      </w:r>
      <w:r w:rsidR="00AE3CC5">
        <w:rPr>
          <w:rFonts w:ascii="Arial" w:hAnsi="Arial" w:cs="Arial"/>
          <w:lang w:val="en-US"/>
        </w:rPr>
        <w:t xml:space="preserve">   </w:t>
      </w:r>
      <w:r w:rsidR="00F03BD5" w:rsidRPr="00B130EA">
        <w:rPr>
          <w:rFonts w:ascii="Arial" w:eastAsia="Calibri" w:hAnsi="Arial" w:cs="Arial"/>
          <w:lang w:val="en-US"/>
        </w:rPr>
        <w:t>Guemes M, Murray PG, Brain CE, Spoudeas HA, Peters CJ, Hindmarsh PC, et al. Management of Cushing syndrome in children and adolescents: experience of a single tertiary centre. Eur J Pediatr. 2016;175(7):967-76.</w:t>
      </w:r>
    </w:p>
    <w:p w14:paraId="7E994606" w14:textId="0D8FD97D"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41.</w:t>
      </w:r>
      <w:r w:rsidR="002C1257" w:rsidRPr="00B130EA">
        <w:rPr>
          <w:rFonts w:ascii="Arial" w:hAnsi="Arial" w:cs="Arial"/>
          <w:lang w:val="en-US"/>
        </w:rPr>
        <w:t xml:space="preserve"> </w:t>
      </w:r>
      <w:r w:rsidR="00AE3CC5">
        <w:rPr>
          <w:rFonts w:ascii="Arial" w:hAnsi="Arial" w:cs="Arial"/>
          <w:lang w:val="en-US"/>
        </w:rPr>
        <w:t xml:space="preserve">   </w:t>
      </w:r>
      <w:r w:rsidR="002C1257" w:rsidRPr="00B130EA">
        <w:rPr>
          <w:rFonts w:ascii="Arial" w:eastAsia="Calibri" w:hAnsi="Arial" w:cs="Arial"/>
          <w:lang w:val="en-US"/>
        </w:rPr>
        <w:t>Cicala MV, Mantero F. Hypertension in Cushing’s syndrome: from pathogenesis to treatment. Neuroendocrinology. 2010;92 Suppl 1:44-9.</w:t>
      </w:r>
    </w:p>
    <w:p w14:paraId="59204386" w14:textId="3BA1ECF4"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42.</w:t>
      </w:r>
      <w:r w:rsidR="00ED2B5D" w:rsidRPr="00B130EA">
        <w:rPr>
          <w:rFonts w:ascii="Arial" w:hAnsi="Arial" w:cs="Arial"/>
          <w:lang w:val="en-US"/>
        </w:rPr>
        <w:t xml:space="preserve"> </w:t>
      </w:r>
      <w:r w:rsidR="00AE3CC5">
        <w:rPr>
          <w:rFonts w:ascii="Arial" w:hAnsi="Arial" w:cs="Arial"/>
          <w:lang w:val="en-US"/>
        </w:rPr>
        <w:t xml:space="preserve">   </w:t>
      </w:r>
      <w:r w:rsidR="00ED2B5D" w:rsidRPr="00B130EA">
        <w:rPr>
          <w:rFonts w:ascii="Arial" w:eastAsia="Calibri" w:hAnsi="Arial" w:cs="Arial"/>
          <w:lang w:val="en-US"/>
        </w:rPr>
        <w:t>Magiakou MA, Chrousos GP. Cushing’s syndrome in children and adolescents: current diagnostic and therapeutic strategies. J Endocrinol Invest. 2002;25(2):181-94.</w:t>
      </w:r>
    </w:p>
    <w:p w14:paraId="21C3D62A" w14:textId="4AF1A8CF" w:rsidR="009265A1" w:rsidRPr="00B130EA" w:rsidRDefault="009265A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43.</w:t>
      </w:r>
      <w:r w:rsidR="00C97CD9" w:rsidRPr="00B130EA">
        <w:rPr>
          <w:rFonts w:ascii="Arial" w:hAnsi="Arial" w:cs="Arial"/>
          <w:lang w:val="en-US"/>
        </w:rPr>
        <w:t xml:space="preserve"> </w:t>
      </w:r>
      <w:r w:rsidR="00AE3CC5">
        <w:rPr>
          <w:rFonts w:ascii="Arial" w:hAnsi="Arial" w:cs="Arial"/>
          <w:lang w:val="en-US"/>
        </w:rPr>
        <w:t xml:space="preserve">   </w:t>
      </w:r>
      <w:r w:rsidR="00C97CD9" w:rsidRPr="00B130EA">
        <w:rPr>
          <w:rFonts w:ascii="Arial" w:eastAsia="Calibri" w:hAnsi="Arial" w:cs="Arial"/>
          <w:lang w:val="en-US"/>
        </w:rPr>
        <w:t>Greening JE, Brain CE, Perry LA, Mushtaq I, Sales Marques J, Grossman AB, et al. Efficient short-term control of hypercortisolaemia by low-dose etomidate in severe paediatric</w:t>
      </w:r>
      <w:r w:rsidR="00A44EE1">
        <w:rPr>
          <w:rFonts w:ascii="Arial" w:eastAsia="Calibri" w:hAnsi="Arial" w:cs="Arial"/>
          <w:lang w:val="en-US"/>
        </w:rPr>
        <w:t xml:space="preserve"> </w:t>
      </w:r>
      <w:r w:rsidR="00C97CD9" w:rsidRPr="00B130EA">
        <w:rPr>
          <w:rFonts w:ascii="Arial" w:eastAsia="Calibri" w:hAnsi="Arial" w:cs="Arial"/>
          <w:lang w:val="en-US"/>
        </w:rPr>
        <w:t>Cushing’s disease. Horm Res. 2005;64(3):140-3.</w:t>
      </w:r>
    </w:p>
    <w:p w14:paraId="70FBC7AC" w14:textId="79CFA4CC" w:rsidR="001A0EAA" w:rsidRPr="00B130EA" w:rsidRDefault="001A0EAA"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44.</w:t>
      </w:r>
      <w:r w:rsidRPr="00B130EA">
        <w:rPr>
          <w:rFonts w:ascii="Arial" w:hAnsi="Arial" w:cs="Arial"/>
          <w:lang w:val="en-US"/>
        </w:rPr>
        <w:t xml:space="preserve"> </w:t>
      </w:r>
      <w:r w:rsidR="00AE3CC5">
        <w:rPr>
          <w:rFonts w:ascii="Arial" w:hAnsi="Arial" w:cs="Arial"/>
          <w:lang w:val="en-US"/>
        </w:rPr>
        <w:t xml:space="preserve">   </w:t>
      </w:r>
      <w:r w:rsidRPr="00B130EA">
        <w:rPr>
          <w:rFonts w:ascii="Arial" w:eastAsia="Calibri" w:hAnsi="Arial" w:cs="Arial"/>
          <w:lang w:val="en-US"/>
        </w:rPr>
        <w:t>Tatsi C, Stratakis CA. Aggressive pituitary tumors in the young and elderly. Rev Endocr Metab Disord 2020;21(2):213–223</w:t>
      </w:r>
    </w:p>
    <w:p w14:paraId="0627F717" w14:textId="779075FA" w:rsidR="001A0EAA" w:rsidRPr="00B130EA" w:rsidRDefault="001A0EAA"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45.</w:t>
      </w:r>
      <w:r w:rsidR="00AE1AE4" w:rsidRPr="00B130EA">
        <w:rPr>
          <w:rFonts w:ascii="Arial" w:hAnsi="Arial" w:cs="Arial"/>
          <w:lang w:val="en-US"/>
        </w:rPr>
        <w:t xml:space="preserve"> </w:t>
      </w:r>
      <w:r w:rsidR="00927353">
        <w:rPr>
          <w:rFonts w:ascii="Arial" w:hAnsi="Arial" w:cs="Arial"/>
          <w:lang w:val="en-US"/>
        </w:rPr>
        <w:t xml:space="preserve">   </w:t>
      </w:r>
      <w:r w:rsidR="00AE1AE4" w:rsidRPr="00B130EA">
        <w:rPr>
          <w:rFonts w:ascii="Arial" w:eastAsia="Calibri" w:hAnsi="Arial" w:cs="Arial"/>
          <w:lang w:val="en-US"/>
        </w:rPr>
        <w:t>Karageorgiadis AS, Papadakis GZ, Biro J, Keil MF, Lyssikatos C, Quezado MM, Merino M, Schrump DS, Kebebew E, Patronas NJ, Hunter MK, Alwazeer MR, Karaviti LP, Balazs AE, Lodish MB, Stratakis CA. Ectopic adrenocorticotropic hormone and corticotropin-releasing hormone co-secreting tumors in children and adolescents causing cushing syndrome: a diagnostic dilemma and how to solve it. J Clin Endocrinol Metab 2015;100(1):141-148.</w:t>
      </w:r>
    </w:p>
    <w:p w14:paraId="463EEC85" w14:textId="772B9627" w:rsidR="001A0EAA" w:rsidRPr="00B130EA" w:rsidRDefault="001A0EAA"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46.</w:t>
      </w:r>
      <w:r w:rsidR="007610CF" w:rsidRPr="00B130EA">
        <w:rPr>
          <w:rFonts w:ascii="Arial" w:hAnsi="Arial" w:cs="Arial"/>
          <w:lang w:val="en-US"/>
        </w:rPr>
        <w:t xml:space="preserve"> </w:t>
      </w:r>
      <w:r w:rsidR="00927353">
        <w:rPr>
          <w:rFonts w:ascii="Arial" w:hAnsi="Arial" w:cs="Arial"/>
          <w:lang w:val="en-US"/>
        </w:rPr>
        <w:t xml:space="preserve">   </w:t>
      </w:r>
      <w:r w:rsidR="007610CF" w:rsidRPr="00B130EA">
        <w:rPr>
          <w:rFonts w:ascii="Arial" w:eastAsia="Calibri" w:hAnsi="Arial" w:cs="Arial"/>
          <w:lang w:val="en-US"/>
        </w:rPr>
        <w:t>Tatsi C, Stratakis CA. Neonatal Cushing syndrome: a rare but potentially devastating disease. Clin Perinatol 2018;45:103–118.</w:t>
      </w:r>
    </w:p>
    <w:p w14:paraId="770488DF" w14:textId="3CB118C5" w:rsidR="001A4C30" w:rsidRPr="00B130EA" w:rsidRDefault="005823A8"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47</w:t>
      </w:r>
      <w:r w:rsidR="001A4C30" w:rsidRPr="00B130EA">
        <w:rPr>
          <w:rFonts w:ascii="Arial" w:eastAsia="Calibri" w:hAnsi="Arial" w:cs="Arial"/>
          <w:lang w:val="en-US"/>
        </w:rPr>
        <w:t xml:space="preserve">. </w:t>
      </w:r>
      <w:r w:rsidR="00927353">
        <w:rPr>
          <w:rFonts w:ascii="Arial" w:eastAsia="Calibri" w:hAnsi="Arial" w:cs="Arial"/>
          <w:lang w:val="en-US"/>
        </w:rPr>
        <w:t xml:space="preserve">   </w:t>
      </w:r>
      <w:r w:rsidR="001A4C30" w:rsidRPr="00B130EA">
        <w:rPr>
          <w:rFonts w:ascii="Arial" w:eastAsia="Calibri" w:hAnsi="Arial" w:cs="Arial"/>
          <w:lang w:val="en-US"/>
        </w:rPr>
        <w:t>Chan LF, Storr HL, Grossman AB, Savage MO. Pediatric Cushing’s syndrome: clinical features, diagnosis, and treatment. Arq Bras Endocrinol Metabol. 2007;51(8):1261-71.</w:t>
      </w:r>
    </w:p>
    <w:p w14:paraId="0403DC0F" w14:textId="2521FA7A" w:rsidR="009265A1" w:rsidRPr="00B130EA" w:rsidRDefault="005823A8"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48</w:t>
      </w:r>
      <w:r w:rsidR="009265A1" w:rsidRPr="00B130EA">
        <w:rPr>
          <w:rFonts w:ascii="Arial" w:eastAsia="Calibri" w:hAnsi="Arial" w:cs="Arial"/>
          <w:lang w:val="en-US"/>
        </w:rPr>
        <w:t xml:space="preserve">. </w:t>
      </w:r>
      <w:r w:rsidR="00927353">
        <w:rPr>
          <w:rFonts w:ascii="Arial" w:eastAsia="Calibri" w:hAnsi="Arial" w:cs="Arial"/>
          <w:lang w:val="en-US"/>
        </w:rPr>
        <w:t xml:space="preserve">   </w:t>
      </w:r>
      <w:r w:rsidR="009265A1" w:rsidRPr="00B130EA">
        <w:rPr>
          <w:rFonts w:ascii="Arial" w:eastAsia="Calibri" w:hAnsi="Arial" w:cs="Arial"/>
          <w:lang w:val="en-US"/>
        </w:rPr>
        <w:t>Faucz FR, Tirosh A, Tatsi C, Berthon A, Hernández-Ramírez LC, Settas N, Angelousi A, Correa R, Papadakis GZ, Chittiboina P, Quezado M, Pankratz N, Lane J, Dimopoulos A, Mills JL, Lodish M, Stratakis CA. Somatic USP8 Gene Mutations Are a Common Cause of Pediatric Cushing Disease. J Clin Endocrinol Metab. 2017;102(8):2836-2843.</w:t>
      </w:r>
    </w:p>
    <w:p w14:paraId="231DE778" w14:textId="6A970691" w:rsidR="00890A64" w:rsidRPr="00B130EA" w:rsidRDefault="005823A8"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49</w:t>
      </w:r>
      <w:r w:rsidR="00890A64" w:rsidRPr="00B130EA">
        <w:rPr>
          <w:rFonts w:ascii="Arial" w:eastAsia="Calibri" w:hAnsi="Arial" w:cs="Arial"/>
          <w:lang w:val="en-US"/>
        </w:rPr>
        <w:t>.</w:t>
      </w:r>
      <w:r w:rsidR="00D075C0" w:rsidRPr="00B130EA">
        <w:rPr>
          <w:rFonts w:ascii="Arial" w:hAnsi="Arial" w:cs="Arial"/>
          <w:lang w:val="en-US"/>
        </w:rPr>
        <w:t xml:space="preserve"> </w:t>
      </w:r>
      <w:r w:rsidR="00927353">
        <w:rPr>
          <w:rFonts w:ascii="Arial" w:hAnsi="Arial" w:cs="Arial"/>
          <w:lang w:val="en-US"/>
        </w:rPr>
        <w:t xml:space="preserve">   </w:t>
      </w:r>
      <w:r w:rsidR="00D075C0" w:rsidRPr="00B130EA">
        <w:rPr>
          <w:rFonts w:ascii="Arial" w:eastAsia="Calibri" w:hAnsi="Arial" w:cs="Arial"/>
          <w:lang w:val="en-US"/>
        </w:rPr>
        <w:t>Tatsi C, Flippo C, Stratakis CA.</w:t>
      </w:r>
      <w:r w:rsidR="00D075C0" w:rsidRPr="00B130EA">
        <w:rPr>
          <w:rFonts w:ascii="Arial" w:hAnsi="Arial" w:cs="Arial"/>
          <w:lang w:val="en-US"/>
        </w:rPr>
        <w:t xml:space="preserve"> </w:t>
      </w:r>
      <w:r w:rsidR="00D075C0" w:rsidRPr="00B130EA">
        <w:rPr>
          <w:rFonts w:ascii="Arial" w:eastAsia="Calibri" w:hAnsi="Arial" w:cs="Arial"/>
          <w:lang w:val="en-US"/>
        </w:rPr>
        <w:t>Cushing syndrome: Old and new genes. Best Pract Res Clin Endocrinol Metab. 2020 Mar;34(2):101418.</w:t>
      </w:r>
    </w:p>
    <w:p w14:paraId="4D45AD07" w14:textId="4A2EFBFA" w:rsidR="00890A64" w:rsidRPr="00B130EA" w:rsidRDefault="00890A64"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50.</w:t>
      </w:r>
      <w:r w:rsidR="00503229" w:rsidRPr="00B130EA">
        <w:rPr>
          <w:rFonts w:ascii="Arial" w:hAnsi="Arial" w:cs="Arial"/>
          <w:lang w:val="en-US"/>
        </w:rPr>
        <w:t xml:space="preserve"> </w:t>
      </w:r>
      <w:r w:rsidR="00927353">
        <w:rPr>
          <w:rFonts w:ascii="Arial" w:hAnsi="Arial" w:cs="Arial"/>
          <w:lang w:val="en-US"/>
        </w:rPr>
        <w:t xml:space="preserve">   </w:t>
      </w:r>
      <w:r w:rsidR="00503229" w:rsidRPr="00B130EA">
        <w:rPr>
          <w:rFonts w:ascii="Arial" w:eastAsia="Calibri" w:hAnsi="Arial" w:cs="Arial"/>
          <w:lang w:val="en-US"/>
        </w:rPr>
        <w:t>Stratakis CA. Cushing syndrome caused by adrenocortical tumors and hyperplasias (corticotropin-independent Cushing syndrome). Endocr Dev 2008;13:117–132.</w:t>
      </w:r>
    </w:p>
    <w:p w14:paraId="050BB57F" w14:textId="0B78EBBE" w:rsidR="00890A64" w:rsidRPr="00B130EA" w:rsidRDefault="00890A64" w:rsidP="00B130EA">
      <w:pPr>
        <w:spacing w:after="0" w:line="276" w:lineRule="auto"/>
        <w:ind w:left="576" w:hanging="576"/>
        <w:contextualSpacing/>
        <w:rPr>
          <w:rFonts w:ascii="Arial" w:hAnsi="Arial" w:cs="Arial"/>
          <w:lang w:val="en-US"/>
        </w:rPr>
      </w:pPr>
      <w:r w:rsidRPr="00B130EA">
        <w:rPr>
          <w:rFonts w:ascii="Arial" w:eastAsia="Calibri" w:hAnsi="Arial" w:cs="Arial"/>
          <w:lang w:val="en-US"/>
        </w:rPr>
        <w:t>51.</w:t>
      </w:r>
      <w:r w:rsidR="00EE5072" w:rsidRPr="00B130EA">
        <w:rPr>
          <w:rFonts w:ascii="Arial" w:hAnsi="Arial" w:cs="Arial"/>
          <w:lang w:val="en-US"/>
        </w:rPr>
        <w:t xml:space="preserve"> </w:t>
      </w:r>
      <w:r w:rsidR="00927353">
        <w:rPr>
          <w:rFonts w:ascii="Arial" w:hAnsi="Arial" w:cs="Arial"/>
          <w:lang w:val="en-US"/>
        </w:rPr>
        <w:t xml:space="preserve">   </w:t>
      </w:r>
      <w:r w:rsidR="006C2923" w:rsidRPr="00B130EA">
        <w:rPr>
          <w:rFonts w:ascii="Arial" w:hAnsi="Arial" w:cs="Arial"/>
          <w:lang w:val="en-US"/>
        </w:rPr>
        <w:t>De Venanzi A, Alencar GA, Bourdeau I, et al. Primary bilateral macronodular adrenal hyperplasia. Curr Opin Endocrinol Diabetes Obes 2014;21(3):177–184.</w:t>
      </w:r>
    </w:p>
    <w:p w14:paraId="2D3E7559" w14:textId="04B034FC" w:rsidR="006C2923" w:rsidRPr="00B130EA" w:rsidRDefault="006C2923" w:rsidP="00B130EA">
      <w:pPr>
        <w:spacing w:after="0" w:line="276" w:lineRule="auto"/>
        <w:ind w:left="576" w:hanging="576"/>
        <w:contextualSpacing/>
        <w:rPr>
          <w:rFonts w:ascii="Arial" w:hAnsi="Arial" w:cs="Arial"/>
          <w:lang w:val="en-US"/>
        </w:rPr>
      </w:pPr>
      <w:r w:rsidRPr="00B130EA">
        <w:rPr>
          <w:rFonts w:ascii="Arial" w:hAnsi="Arial" w:cs="Arial"/>
          <w:lang w:val="en-US"/>
        </w:rPr>
        <w:t>52.</w:t>
      </w:r>
      <w:r w:rsidR="006C634F" w:rsidRPr="00B130EA">
        <w:rPr>
          <w:rFonts w:ascii="Arial" w:hAnsi="Arial" w:cs="Arial"/>
          <w:lang w:val="en-US"/>
        </w:rPr>
        <w:t xml:space="preserve"> </w:t>
      </w:r>
      <w:r w:rsidR="00927353">
        <w:rPr>
          <w:rFonts w:ascii="Arial" w:hAnsi="Arial" w:cs="Arial"/>
          <w:lang w:val="en-US"/>
        </w:rPr>
        <w:t xml:space="preserve">   </w:t>
      </w:r>
      <w:r w:rsidR="006C634F" w:rsidRPr="00B130EA">
        <w:rPr>
          <w:rFonts w:ascii="Arial" w:hAnsi="Arial" w:cs="Arial"/>
          <w:lang w:val="en-US"/>
        </w:rPr>
        <w:t>Powell AC, Stratakis CA, Patronas NJ, et al. Operative management of Cushing syndrome secondary to micronodular adrenal hyperplasia. Surgery 2008; 143(6):750-758.</w:t>
      </w:r>
    </w:p>
    <w:p w14:paraId="50289140" w14:textId="29D9558A" w:rsidR="006C2923" w:rsidRPr="00B130EA" w:rsidRDefault="006C2923" w:rsidP="00B130EA">
      <w:pPr>
        <w:spacing w:after="0" w:line="276" w:lineRule="auto"/>
        <w:ind w:left="576" w:hanging="576"/>
        <w:contextualSpacing/>
        <w:rPr>
          <w:rFonts w:ascii="Arial" w:hAnsi="Arial" w:cs="Arial"/>
          <w:lang w:val="en-US"/>
        </w:rPr>
      </w:pPr>
      <w:r w:rsidRPr="00B130EA">
        <w:rPr>
          <w:rFonts w:ascii="Arial" w:hAnsi="Arial" w:cs="Arial"/>
          <w:lang w:val="en-US"/>
        </w:rPr>
        <w:t>53.</w:t>
      </w:r>
      <w:r w:rsidR="002F7565" w:rsidRPr="00B130EA">
        <w:rPr>
          <w:rFonts w:ascii="Arial" w:hAnsi="Arial" w:cs="Arial"/>
          <w:lang w:val="en-US"/>
        </w:rPr>
        <w:t xml:space="preserve"> </w:t>
      </w:r>
      <w:r w:rsidR="00927353">
        <w:rPr>
          <w:rFonts w:ascii="Arial" w:hAnsi="Arial" w:cs="Arial"/>
          <w:lang w:val="en-US"/>
        </w:rPr>
        <w:t xml:space="preserve">   </w:t>
      </w:r>
      <w:r w:rsidR="002F7565" w:rsidRPr="00B130EA">
        <w:rPr>
          <w:rFonts w:ascii="Arial" w:hAnsi="Arial" w:cs="Arial"/>
          <w:lang w:val="en-US"/>
        </w:rPr>
        <w:t>Assie´ G, Libe´ R, Espiard S, et al. ARMC5 mutations in macronodular adrenal hyperplasia with Cushing’s syndrome. N Engl J Med 2013;369(22):2105–2114.</w:t>
      </w:r>
    </w:p>
    <w:p w14:paraId="3F592DC0" w14:textId="62B9FD10" w:rsidR="00890A64" w:rsidRPr="00B130EA" w:rsidRDefault="00D2682B"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54</w:t>
      </w:r>
      <w:r w:rsidR="00890A64" w:rsidRPr="00B130EA">
        <w:rPr>
          <w:rFonts w:ascii="Arial" w:eastAsia="Calibri" w:hAnsi="Arial" w:cs="Arial"/>
          <w:lang w:val="en-US"/>
        </w:rPr>
        <w:t>.</w:t>
      </w:r>
      <w:r w:rsidR="00686E2F" w:rsidRPr="00B130EA">
        <w:rPr>
          <w:rFonts w:ascii="Arial" w:hAnsi="Arial" w:cs="Arial"/>
          <w:lang w:val="en-US"/>
        </w:rPr>
        <w:t xml:space="preserve"> </w:t>
      </w:r>
      <w:r w:rsidR="00927353">
        <w:rPr>
          <w:rFonts w:ascii="Arial" w:hAnsi="Arial" w:cs="Arial"/>
          <w:lang w:val="en-US"/>
        </w:rPr>
        <w:t xml:space="preserve">   </w:t>
      </w:r>
      <w:r w:rsidR="00686E2F" w:rsidRPr="00B130EA">
        <w:rPr>
          <w:rFonts w:ascii="Arial" w:eastAsia="Calibri" w:hAnsi="Arial" w:cs="Arial"/>
          <w:lang w:val="en-US"/>
        </w:rPr>
        <w:t>Pereira RM, Michalkiewicz E, Sandrini F, Figueiredo BC, Pianovski M, Franca SN, et al. [Childhood adrenocortical tumors]. Arq Bras Endocrinol Metabol. 2004;48(5):651-8.</w:t>
      </w:r>
    </w:p>
    <w:p w14:paraId="5B3CEEFF" w14:textId="0149A429" w:rsidR="00890A64" w:rsidRPr="00B130EA" w:rsidRDefault="00D2682B"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55</w:t>
      </w:r>
      <w:r w:rsidR="00890A64" w:rsidRPr="00B130EA">
        <w:rPr>
          <w:rFonts w:ascii="Arial" w:eastAsia="Calibri" w:hAnsi="Arial" w:cs="Arial"/>
          <w:lang w:val="en-US"/>
        </w:rPr>
        <w:t>.</w:t>
      </w:r>
      <w:r w:rsidR="00D84B14" w:rsidRPr="00B130EA">
        <w:rPr>
          <w:rFonts w:ascii="Arial" w:hAnsi="Arial" w:cs="Arial"/>
          <w:lang w:val="en-US"/>
        </w:rPr>
        <w:t xml:space="preserve"> </w:t>
      </w:r>
      <w:r w:rsidR="00927353">
        <w:rPr>
          <w:rFonts w:ascii="Arial" w:hAnsi="Arial" w:cs="Arial"/>
          <w:lang w:val="en-US"/>
        </w:rPr>
        <w:t xml:space="preserve">   </w:t>
      </w:r>
      <w:r w:rsidR="00D84B14" w:rsidRPr="00B130EA">
        <w:rPr>
          <w:rFonts w:ascii="Arial" w:eastAsia="Calibri" w:hAnsi="Arial" w:cs="Arial"/>
          <w:lang w:val="en-US"/>
        </w:rPr>
        <w:t>Leal LF, Mermejo LM, Ramalho LZ, Martinelli CE Jr, Yunes JA, Seidinger AL, et al. Wnt/beta-catenin pathway deregulation in childhood adrenocortical tumors. J Clin Endocrinol Metab. 2011;96(10):3106-14.</w:t>
      </w:r>
    </w:p>
    <w:p w14:paraId="4BA99B15" w14:textId="336CB25E" w:rsidR="00890A64" w:rsidRPr="00B130EA" w:rsidRDefault="00D2682B"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lastRenderedPageBreak/>
        <w:t>56</w:t>
      </w:r>
      <w:r w:rsidR="00890A64" w:rsidRPr="00B130EA">
        <w:rPr>
          <w:rFonts w:ascii="Arial" w:eastAsia="Calibri" w:hAnsi="Arial" w:cs="Arial"/>
          <w:lang w:val="en-US"/>
        </w:rPr>
        <w:t>.</w:t>
      </w:r>
      <w:r w:rsidR="00D949FC" w:rsidRPr="00B130EA">
        <w:rPr>
          <w:rFonts w:ascii="Arial" w:hAnsi="Arial" w:cs="Arial"/>
          <w:lang w:val="en-US"/>
        </w:rPr>
        <w:t xml:space="preserve"> </w:t>
      </w:r>
      <w:r w:rsidR="00927353">
        <w:rPr>
          <w:rFonts w:ascii="Arial" w:hAnsi="Arial" w:cs="Arial"/>
          <w:lang w:val="en-US"/>
        </w:rPr>
        <w:t xml:space="preserve">   </w:t>
      </w:r>
      <w:r w:rsidR="00D949FC" w:rsidRPr="00B130EA">
        <w:rPr>
          <w:rFonts w:ascii="Arial" w:eastAsia="Calibri" w:hAnsi="Arial" w:cs="Arial"/>
          <w:lang w:val="en-US"/>
        </w:rPr>
        <w:t>Boyce AM, Collins MT.</w:t>
      </w:r>
      <w:r w:rsidR="00D949FC" w:rsidRPr="00B130EA">
        <w:rPr>
          <w:rFonts w:ascii="Arial" w:hAnsi="Arial" w:cs="Arial"/>
          <w:lang w:val="en-US"/>
        </w:rPr>
        <w:t xml:space="preserve"> </w:t>
      </w:r>
      <w:r w:rsidR="00D949FC" w:rsidRPr="00B130EA">
        <w:rPr>
          <w:rFonts w:ascii="Arial" w:eastAsia="Calibri" w:hAnsi="Arial" w:cs="Arial"/>
          <w:lang w:val="en-US"/>
        </w:rPr>
        <w:t>Fibrous Dysplasia/McCune-Albright Syndrome: A Rare, Mosaic Disease of Gα s Activation. Endocr Rev. 2020 Apr 1;41(2):345-370.</w:t>
      </w:r>
    </w:p>
    <w:p w14:paraId="44AF446D" w14:textId="321AD826" w:rsidR="00890A64" w:rsidRPr="00B130EA" w:rsidRDefault="00D2682B"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57</w:t>
      </w:r>
      <w:r w:rsidR="00890A64" w:rsidRPr="00B130EA">
        <w:rPr>
          <w:rFonts w:ascii="Arial" w:eastAsia="Calibri" w:hAnsi="Arial" w:cs="Arial"/>
          <w:lang w:val="en-US"/>
        </w:rPr>
        <w:t>.</w:t>
      </w:r>
      <w:r w:rsidR="001A61EC" w:rsidRPr="00B130EA">
        <w:rPr>
          <w:rFonts w:ascii="Arial" w:hAnsi="Arial" w:cs="Arial"/>
          <w:lang w:val="en-US"/>
        </w:rPr>
        <w:t xml:space="preserve"> </w:t>
      </w:r>
      <w:r w:rsidR="00927353">
        <w:rPr>
          <w:rFonts w:ascii="Arial" w:hAnsi="Arial" w:cs="Arial"/>
          <w:lang w:val="en-US"/>
        </w:rPr>
        <w:t xml:space="preserve">   </w:t>
      </w:r>
      <w:r w:rsidR="001A61EC" w:rsidRPr="00B130EA">
        <w:rPr>
          <w:rFonts w:ascii="Arial" w:eastAsia="Calibri" w:hAnsi="Arial" w:cs="Arial"/>
          <w:lang w:val="en-US"/>
        </w:rPr>
        <w:t>Weinstein LS, Shenker A, Gejman PV, Merino MJ, Friedman E, Spiegel AM.</w:t>
      </w:r>
      <w:r w:rsidR="001A61EC" w:rsidRPr="00B130EA">
        <w:rPr>
          <w:rFonts w:ascii="Arial" w:hAnsi="Arial" w:cs="Arial"/>
          <w:lang w:val="en-US"/>
        </w:rPr>
        <w:t xml:space="preserve"> </w:t>
      </w:r>
      <w:r w:rsidR="001A61EC" w:rsidRPr="00B130EA">
        <w:rPr>
          <w:rFonts w:ascii="Arial" w:eastAsia="Calibri" w:hAnsi="Arial" w:cs="Arial"/>
          <w:lang w:val="en-US"/>
        </w:rPr>
        <w:t>Activating mutations of the stimulatory G protein in the McCune-Albright syndrome. N Engl J Med. 1991 Dec 12;325(24):1688-95.</w:t>
      </w:r>
    </w:p>
    <w:p w14:paraId="12E0F499" w14:textId="61C71F7E" w:rsidR="00890A64" w:rsidRPr="00B130EA" w:rsidRDefault="00D2682B"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58</w:t>
      </w:r>
      <w:r w:rsidR="00890A64" w:rsidRPr="00B130EA">
        <w:rPr>
          <w:rFonts w:ascii="Arial" w:eastAsia="Calibri" w:hAnsi="Arial" w:cs="Arial"/>
          <w:lang w:val="en-US"/>
        </w:rPr>
        <w:t>.</w:t>
      </w:r>
      <w:r w:rsidR="00C535D4" w:rsidRPr="00B130EA">
        <w:rPr>
          <w:rFonts w:ascii="Arial" w:hAnsi="Arial" w:cs="Arial"/>
          <w:lang w:val="en-US"/>
        </w:rPr>
        <w:t xml:space="preserve"> </w:t>
      </w:r>
      <w:r w:rsidR="00927353">
        <w:rPr>
          <w:rFonts w:ascii="Arial" w:hAnsi="Arial" w:cs="Arial"/>
          <w:lang w:val="en-US"/>
        </w:rPr>
        <w:t xml:space="preserve">   </w:t>
      </w:r>
      <w:r w:rsidR="00C535D4" w:rsidRPr="00B130EA">
        <w:rPr>
          <w:rFonts w:ascii="Arial" w:eastAsia="Calibri" w:hAnsi="Arial" w:cs="Arial"/>
          <w:lang w:val="en-US"/>
        </w:rPr>
        <w:t>Ohata Y, Yamamoto T, Mori I, Kikuchi T, Michigami T, Imanishi Y, et al. Severe arterial hypertension: a possible complication of McCune-Albright syndrome. Eur J Pediatr. 2009;168(7):871-6.</w:t>
      </w:r>
    </w:p>
    <w:p w14:paraId="5B1453BE" w14:textId="60026C70" w:rsidR="00890A64" w:rsidRPr="00B130EA" w:rsidRDefault="00D2682B"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59</w:t>
      </w:r>
      <w:r w:rsidR="00890A64" w:rsidRPr="00B130EA">
        <w:rPr>
          <w:rFonts w:ascii="Arial" w:eastAsia="Calibri" w:hAnsi="Arial" w:cs="Arial"/>
          <w:lang w:val="en-US"/>
        </w:rPr>
        <w:t>.</w:t>
      </w:r>
      <w:r w:rsidR="00501C02" w:rsidRPr="00B130EA">
        <w:rPr>
          <w:rFonts w:ascii="Arial" w:hAnsi="Arial" w:cs="Arial"/>
          <w:lang w:val="en-US"/>
        </w:rPr>
        <w:t xml:space="preserve"> </w:t>
      </w:r>
      <w:r w:rsidR="00927353">
        <w:rPr>
          <w:rFonts w:ascii="Arial" w:hAnsi="Arial" w:cs="Arial"/>
          <w:lang w:val="en-US"/>
        </w:rPr>
        <w:t xml:space="preserve">   </w:t>
      </w:r>
      <w:r w:rsidR="00501C02" w:rsidRPr="00B130EA">
        <w:rPr>
          <w:rFonts w:ascii="Arial" w:eastAsia="Calibri" w:hAnsi="Arial" w:cs="Arial"/>
          <w:lang w:val="en-US"/>
        </w:rPr>
        <w:t>Kirschner LS, Carney JA, Pack SD, Taymans SE, Giatzakis C, Cho YS, Cho-Chung YS, Stratakis CA.</w:t>
      </w:r>
      <w:r w:rsidR="00501C02" w:rsidRPr="00B130EA">
        <w:rPr>
          <w:rFonts w:ascii="Arial" w:hAnsi="Arial" w:cs="Arial"/>
          <w:lang w:val="en-US"/>
        </w:rPr>
        <w:t xml:space="preserve"> </w:t>
      </w:r>
      <w:r w:rsidR="00501C02" w:rsidRPr="00B130EA">
        <w:rPr>
          <w:rFonts w:ascii="Arial" w:eastAsia="Calibri" w:hAnsi="Arial" w:cs="Arial"/>
          <w:lang w:val="en-US"/>
        </w:rPr>
        <w:t>Mutations of the gene encoding the protein kinase A type I-alpha regulatory subunit in patients with the Carney complex. Nat Genet. 2000 Sep;26(1):89-92.</w:t>
      </w:r>
    </w:p>
    <w:p w14:paraId="35DD88C6" w14:textId="0BD1300C" w:rsidR="00890A64" w:rsidRPr="00B130EA" w:rsidRDefault="00D2682B"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60</w:t>
      </w:r>
      <w:r w:rsidR="00890A64" w:rsidRPr="00B130EA">
        <w:rPr>
          <w:rFonts w:ascii="Arial" w:eastAsia="Calibri" w:hAnsi="Arial" w:cs="Arial"/>
          <w:lang w:val="en-US"/>
        </w:rPr>
        <w:t>.</w:t>
      </w:r>
      <w:r w:rsidR="00D44667" w:rsidRPr="00B130EA">
        <w:rPr>
          <w:rFonts w:ascii="Arial" w:hAnsi="Arial" w:cs="Arial"/>
          <w:lang w:val="en-US"/>
        </w:rPr>
        <w:t xml:space="preserve"> </w:t>
      </w:r>
      <w:r w:rsidR="00927353">
        <w:rPr>
          <w:rFonts w:ascii="Arial" w:hAnsi="Arial" w:cs="Arial"/>
          <w:lang w:val="en-US"/>
        </w:rPr>
        <w:t xml:space="preserve">   </w:t>
      </w:r>
      <w:r w:rsidR="00D44667" w:rsidRPr="00B130EA">
        <w:rPr>
          <w:rFonts w:ascii="Arial" w:eastAsia="Calibri" w:hAnsi="Arial" w:cs="Arial"/>
          <w:lang w:val="en-US"/>
        </w:rPr>
        <w:t>Carney JA, Gordon H, Carpenter PC, Shenoy BV, Go VL.</w:t>
      </w:r>
      <w:r w:rsidR="00D44667" w:rsidRPr="00B130EA">
        <w:rPr>
          <w:rFonts w:ascii="Arial" w:hAnsi="Arial" w:cs="Arial"/>
          <w:lang w:val="en-US"/>
        </w:rPr>
        <w:t xml:space="preserve"> </w:t>
      </w:r>
      <w:r w:rsidR="00D44667" w:rsidRPr="00B130EA">
        <w:rPr>
          <w:rFonts w:ascii="Arial" w:eastAsia="Calibri" w:hAnsi="Arial" w:cs="Arial"/>
          <w:lang w:val="en-US"/>
        </w:rPr>
        <w:t>The complex of myxomas, spotty pigmentation, and endocrine overactivity. Medicine (Baltimore). 1985 Jul;64(4):270-83.</w:t>
      </w:r>
    </w:p>
    <w:p w14:paraId="0ED4EB39" w14:textId="29A5B75F" w:rsidR="00890A64" w:rsidRPr="00B130EA" w:rsidRDefault="00D2682B"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61</w:t>
      </w:r>
      <w:r w:rsidR="00890A64" w:rsidRPr="00B130EA">
        <w:rPr>
          <w:rFonts w:ascii="Arial" w:eastAsia="Calibri" w:hAnsi="Arial" w:cs="Arial"/>
          <w:lang w:val="en-US"/>
        </w:rPr>
        <w:t>.</w:t>
      </w:r>
      <w:r w:rsidR="00C635A5" w:rsidRPr="00B130EA">
        <w:rPr>
          <w:rFonts w:ascii="Arial" w:hAnsi="Arial" w:cs="Arial"/>
          <w:lang w:val="en-US"/>
        </w:rPr>
        <w:t xml:space="preserve"> </w:t>
      </w:r>
      <w:r w:rsidR="00927353">
        <w:rPr>
          <w:rFonts w:ascii="Arial" w:hAnsi="Arial" w:cs="Arial"/>
          <w:lang w:val="en-US"/>
        </w:rPr>
        <w:t xml:space="preserve">   </w:t>
      </w:r>
      <w:r w:rsidR="00C635A5" w:rsidRPr="00B130EA">
        <w:rPr>
          <w:rFonts w:ascii="Arial" w:eastAsia="Calibri" w:hAnsi="Arial" w:cs="Arial"/>
          <w:lang w:val="en-US"/>
        </w:rPr>
        <w:t>Stratakis CA. Carney Complex. 2003 Feb 5 [updated 2023 Sep 21]. In: Adam MP, Feldman J, Mirzaa GM, Pagon RA, Wallace SE, Bean LJH, Gripp KW, Amemiya A, editors. GeneReviews® [Internet]. Seattle (WA): University of Washington, Seattle; 1993–2024.</w:t>
      </w:r>
    </w:p>
    <w:p w14:paraId="1950B4A3" w14:textId="7B5C5863" w:rsidR="00890A64" w:rsidRPr="00B130EA" w:rsidRDefault="00D2682B"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62</w:t>
      </w:r>
      <w:r w:rsidR="00890A64" w:rsidRPr="00B130EA">
        <w:rPr>
          <w:rFonts w:ascii="Arial" w:eastAsia="Calibri" w:hAnsi="Arial" w:cs="Arial"/>
          <w:lang w:val="en-US"/>
        </w:rPr>
        <w:t>.</w:t>
      </w:r>
      <w:r w:rsidR="00810ECB" w:rsidRPr="00B130EA">
        <w:rPr>
          <w:rFonts w:ascii="Arial" w:hAnsi="Arial" w:cs="Arial"/>
          <w:lang w:val="en-US"/>
        </w:rPr>
        <w:t xml:space="preserve"> </w:t>
      </w:r>
      <w:r w:rsidR="00DB27FD">
        <w:rPr>
          <w:rFonts w:ascii="Arial" w:hAnsi="Arial" w:cs="Arial"/>
          <w:lang w:val="en-US"/>
        </w:rPr>
        <w:t xml:space="preserve">   </w:t>
      </w:r>
      <w:r w:rsidR="00810ECB" w:rsidRPr="00B130EA">
        <w:rPr>
          <w:rFonts w:ascii="Arial" w:eastAsia="Calibri" w:hAnsi="Arial" w:cs="Arial"/>
          <w:lang w:val="en-US"/>
        </w:rPr>
        <w:t>Havekes B, Romijn JA, Eisenhofer G, Adams K, Pacak K.</w:t>
      </w:r>
      <w:r w:rsidR="00810ECB" w:rsidRPr="00B130EA">
        <w:rPr>
          <w:rFonts w:ascii="Arial" w:hAnsi="Arial" w:cs="Arial"/>
          <w:lang w:val="en-US"/>
        </w:rPr>
        <w:t xml:space="preserve"> </w:t>
      </w:r>
      <w:r w:rsidR="00810ECB" w:rsidRPr="00B130EA">
        <w:rPr>
          <w:rFonts w:ascii="Arial" w:eastAsia="Calibri" w:hAnsi="Arial" w:cs="Arial"/>
          <w:lang w:val="en-US"/>
        </w:rPr>
        <w:t>Update on pediatric pheochromocytomas. Pediatr Nephrol. 2009;24(5):943-950</w:t>
      </w:r>
    </w:p>
    <w:p w14:paraId="482E9D44" w14:textId="38DCFCE8" w:rsidR="00392FA0" w:rsidRPr="00B130EA" w:rsidRDefault="00D2682B"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63</w:t>
      </w:r>
      <w:r w:rsidR="00392FA0" w:rsidRPr="00B130EA">
        <w:rPr>
          <w:rFonts w:ascii="Arial" w:eastAsia="Calibri" w:hAnsi="Arial" w:cs="Arial"/>
          <w:lang w:val="en-US"/>
        </w:rPr>
        <w:t>.</w:t>
      </w:r>
      <w:r w:rsidR="008E1A7C" w:rsidRPr="00B130EA">
        <w:rPr>
          <w:rFonts w:ascii="Arial" w:hAnsi="Arial" w:cs="Arial"/>
          <w:lang w:val="en-US"/>
        </w:rPr>
        <w:t xml:space="preserve"> </w:t>
      </w:r>
      <w:r w:rsidR="00DB27FD">
        <w:rPr>
          <w:rFonts w:ascii="Arial" w:hAnsi="Arial" w:cs="Arial"/>
          <w:lang w:val="en-US"/>
        </w:rPr>
        <w:t xml:space="preserve">   </w:t>
      </w:r>
      <w:r w:rsidR="008E1A7C" w:rsidRPr="00B130EA">
        <w:rPr>
          <w:rFonts w:ascii="Arial" w:eastAsia="Calibri" w:hAnsi="Arial" w:cs="Arial"/>
          <w:lang w:val="en-US"/>
        </w:rPr>
        <w:t>Sarathi V.</w:t>
      </w:r>
      <w:r w:rsidR="008E1A7C" w:rsidRPr="00B130EA">
        <w:rPr>
          <w:rFonts w:ascii="Arial" w:hAnsi="Arial" w:cs="Arial"/>
          <w:lang w:val="en-US"/>
        </w:rPr>
        <w:t xml:space="preserve"> </w:t>
      </w:r>
      <w:r w:rsidR="008E1A7C" w:rsidRPr="00B130EA">
        <w:rPr>
          <w:rFonts w:ascii="Arial" w:eastAsia="Calibri" w:hAnsi="Arial" w:cs="Arial"/>
          <w:lang w:val="en-US"/>
        </w:rPr>
        <w:t>Characteristics of Pediatric Pheochromocytoma/paragangliomas. Indian J Endocrinol Metab. 2017;21(3):470-474.</w:t>
      </w:r>
    </w:p>
    <w:p w14:paraId="3F54218E" w14:textId="69B035A2" w:rsidR="00392FA0" w:rsidRPr="00B130EA" w:rsidRDefault="00D2682B"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64</w:t>
      </w:r>
      <w:r w:rsidR="00392FA0" w:rsidRPr="00B130EA">
        <w:rPr>
          <w:rFonts w:ascii="Arial" w:eastAsia="Calibri" w:hAnsi="Arial" w:cs="Arial"/>
          <w:lang w:val="en-US"/>
        </w:rPr>
        <w:t>.</w:t>
      </w:r>
      <w:r w:rsidR="00167482" w:rsidRPr="00B130EA">
        <w:rPr>
          <w:rFonts w:ascii="Arial" w:hAnsi="Arial" w:cs="Arial"/>
          <w:lang w:val="en-US"/>
        </w:rPr>
        <w:t xml:space="preserve"> </w:t>
      </w:r>
      <w:r w:rsidR="00DB27FD">
        <w:rPr>
          <w:rFonts w:ascii="Arial" w:hAnsi="Arial" w:cs="Arial"/>
          <w:lang w:val="en-US"/>
        </w:rPr>
        <w:t xml:space="preserve">   </w:t>
      </w:r>
      <w:r w:rsidR="00167482" w:rsidRPr="00B130EA">
        <w:rPr>
          <w:rFonts w:ascii="Arial" w:eastAsia="Calibri" w:hAnsi="Arial" w:cs="Arial"/>
          <w:lang w:val="en-US"/>
        </w:rPr>
        <w:t>Bholah R and Bunchman TE. Review of Pediatric Pheochromocytoma and Paraganglioma. Front Pediatr. 2017;5:155.</w:t>
      </w:r>
    </w:p>
    <w:p w14:paraId="7A69DD90" w14:textId="5C134B7C" w:rsidR="00392FA0" w:rsidRPr="00B130EA" w:rsidRDefault="00D2682B"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65</w:t>
      </w:r>
      <w:r w:rsidR="00392FA0" w:rsidRPr="00B130EA">
        <w:rPr>
          <w:rFonts w:ascii="Arial" w:eastAsia="Calibri" w:hAnsi="Arial" w:cs="Arial"/>
          <w:lang w:val="en-US"/>
        </w:rPr>
        <w:t>.</w:t>
      </w:r>
      <w:r w:rsidR="00B94F25" w:rsidRPr="00B130EA">
        <w:rPr>
          <w:rFonts w:ascii="Arial" w:hAnsi="Arial" w:cs="Arial"/>
          <w:lang w:val="en-US"/>
        </w:rPr>
        <w:t xml:space="preserve"> </w:t>
      </w:r>
      <w:r w:rsidR="00DB27FD">
        <w:rPr>
          <w:rFonts w:ascii="Arial" w:hAnsi="Arial" w:cs="Arial"/>
          <w:lang w:val="en-US"/>
        </w:rPr>
        <w:t xml:space="preserve">   </w:t>
      </w:r>
      <w:r w:rsidR="00B94F25" w:rsidRPr="00B130EA">
        <w:rPr>
          <w:rFonts w:ascii="Arial" w:eastAsia="Calibri" w:hAnsi="Arial" w:cs="Arial"/>
          <w:lang w:val="en-US"/>
        </w:rPr>
        <w:t>Pamporaki C, Casey RT.</w:t>
      </w:r>
      <w:r w:rsidR="00B94F25" w:rsidRPr="00B130EA">
        <w:rPr>
          <w:rFonts w:ascii="Arial" w:hAnsi="Arial" w:cs="Arial"/>
          <w:lang w:val="en-US"/>
        </w:rPr>
        <w:t xml:space="preserve"> </w:t>
      </w:r>
      <w:r w:rsidR="00B94F25" w:rsidRPr="00B130EA">
        <w:rPr>
          <w:rFonts w:ascii="Arial" w:eastAsia="Calibri" w:hAnsi="Arial" w:cs="Arial"/>
          <w:lang w:val="en-US"/>
        </w:rPr>
        <w:t>Current views on paediatric phaeochromocytoma and paraganglioma with a focus on newest guidelines. Best Pract Res Clin Endocrinol Metab</w:t>
      </w:r>
      <w:r w:rsidR="0065633A">
        <w:rPr>
          <w:rFonts w:ascii="Arial" w:eastAsia="Calibri" w:hAnsi="Arial" w:cs="Arial"/>
          <w:lang w:val="en-US"/>
        </w:rPr>
        <w:t xml:space="preserve"> </w:t>
      </w:r>
      <w:r w:rsidR="00B94F25" w:rsidRPr="00B130EA">
        <w:rPr>
          <w:rFonts w:ascii="Arial" w:eastAsia="Calibri" w:hAnsi="Arial" w:cs="Arial"/>
          <w:lang w:val="en-US"/>
        </w:rPr>
        <w:t>2024 Nov 14:101957.</w:t>
      </w:r>
    </w:p>
    <w:p w14:paraId="4A65CB3B" w14:textId="09D4C344" w:rsidR="00392FA0" w:rsidRPr="00B130EA" w:rsidRDefault="00D2682B"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66</w:t>
      </w:r>
      <w:r w:rsidR="00392FA0" w:rsidRPr="00B130EA">
        <w:rPr>
          <w:rFonts w:ascii="Arial" w:eastAsia="Calibri" w:hAnsi="Arial" w:cs="Arial"/>
          <w:lang w:val="en-US"/>
        </w:rPr>
        <w:t>.</w:t>
      </w:r>
      <w:r w:rsidR="002131B4" w:rsidRPr="00B130EA">
        <w:rPr>
          <w:rFonts w:ascii="Arial" w:hAnsi="Arial" w:cs="Arial"/>
          <w:lang w:val="en-US"/>
        </w:rPr>
        <w:t xml:space="preserve"> </w:t>
      </w:r>
      <w:r w:rsidR="00DB27FD">
        <w:rPr>
          <w:rFonts w:ascii="Arial" w:hAnsi="Arial" w:cs="Arial"/>
          <w:lang w:val="en-US"/>
        </w:rPr>
        <w:t xml:space="preserve">   </w:t>
      </w:r>
      <w:r w:rsidR="002131B4" w:rsidRPr="00B130EA">
        <w:rPr>
          <w:rFonts w:ascii="Arial" w:eastAsia="Calibri" w:hAnsi="Arial" w:cs="Arial"/>
          <w:lang w:val="en-US"/>
        </w:rPr>
        <w:t>Casey RT, Hendriks E, Deal C, Waguespack SG, Wiegering V, Redlich A, et al.</w:t>
      </w:r>
      <w:r w:rsidR="002131B4" w:rsidRPr="00B130EA">
        <w:rPr>
          <w:rFonts w:ascii="Arial" w:hAnsi="Arial" w:cs="Arial"/>
          <w:lang w:val="en-US"/>
        </w:rPr>
        <w:t xml:space="preserve"> </w:t>
      </w:r>
      <w:r w:rsidR="002E5B29" w:rsidRPr="00B130EA">
        <w:rPr>
          <w:rFonts w:ascii="Arial" w:eastAsia="Calibri" w:hAnsi="Arial" w:cs="Arial"/>
          <w:lang w:val="en-US"/>
        </w:rPr>
        <w:t>International consensus statement on the diagnosis and management of phaeochromocytoma and paraganglioma in children and adolescents. Nat Rev Endocrinol. 2024 Dec;20(12):729-748.</w:t>
      </w:r>
    </w:p>
    <w:p w14:paraId="3E328241" w14:textId="71CFAE28" w:rsidR="00392FA0" w:rsidRPr="00B130EA" w:rsidRDefault="00D2682B"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67</w:t>
      </w:r>
      <w:r w:rsidR="00392FA0" w:rsidRPr="00B130EA">
        <w:rPr>
          <w:rFonts w:ascii="Arial" w:eastAsia="Calibri" w:hAnsi="Arial" w:cs="Arial"/>
          <w:lang w:val="en-US"/>
        </w:rPr>
        <w:t>.</w:t>
      </w:r>
      <w:r w:rsidR="008977FD" w:rsidRPr="00B130EA">
        <w:rPr>
          <w:rFonts w:ascii="Arial" w:hAnsi="Arial" w:cs="Arial"/>
          <w:lang w:val="en-US"/>
        </w:rPr>
        <w:t xml:space="preserve"> </w:t>
      </w:r>
      <w:r w:rsidR="00DB27FD">
        <w:rPr>
          <w:rFonts w:ascii="Arial" w:hAnsi="Arial" w:cs="Arial"/>
          <w:lang w:val="en-US"/>
        </w:rPr>
        <w:t xml:space="preserve">   </w:t>
      </w:r>
      <w:r w:rsidR="008977FD" w:rsidRPr="00B130EA">
        <w:rPr>
          <w:rFonts w:ascii="Arial" w:eastAsia="Calibri" w:hAnsi="Arial" w:cs="Arial"/>
          <w:lang w:val="en-US"/>
        </w:rPr>
        <w:t>Romero M, Kapur G, Baracco R, et al. Treatment of hypertension in children with catecholamine-secreting tumors: a systematic approach. J Clin Hypertens 2015;17(9):720-725.</w:t>
      </w:r>
    </w:p>
    <w:p w14:paraId="32BBE011" w14:textId="6147A79E" w:rsidR="00392FA0" w:rsidRPr="00B130EA" w:rsidRDefault="00D2682B"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68</w:t>
      </w:r>
      <w:r w:rsidR="00392FA0" w:rsidRPr="00B130EA">
        <w:rPr>
          <w:rFonts w:ascii="Arial" w:eastAsia="Calibri" w:hAnsi="Arial" w:cs="Arial"/>
          <w:lang w:val="en-US"/>
        </w:rPr>
        <w:t xml:space="preserve">. </w:t>
      </w:r>
      <w:r w:rsidR="00DB27FD">
        <w:rPr>
          <w:rFonts w:ascii="Arial" w:eastAsia="Calibri" w:hAnsi="Arial" w:cs="Arial"/>
          <w:lang w:val="en-US"/>
        </w:rPr>
        <w:t xml:space="preserve">   </w:t>
      </w:r>
      <w:r w:rsidR="00392FA0" w:rsidRPr="00B130EA">
        <w:rPr>
          <w:rFonts w:ascii="Arial" w:eastAsia="Calibri" w:hAnsi="Arial" w:cs="Arial"/>
          <w:lang w:val="en-US"/>
        </w:rPr>
        <w:t>Cui Y, Tong A, Jiang J, Wang F, Li C. Liddle syndrome: clinical and genetic profiles. J Clin Hypertens (Greenwich). 2017;19(5):524-9.</w:t>
      </w:r>
    </w:p>
    <w:p w14:paraId="6C8FA797" w14:textId="3271F2A7" w:rsidR="00A631F5" w:rsidRPr="00B130EA" w:rsidRDefault="00D2682B"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69</w:t>
      </w:r>
      <w:r w:rsidR="00A631F5" w:rsidRPr="00B130EA">
        <w:rPr>
          <w:rFonts w:ascii="Arial" w:eastAsia="Calibri" w:hAnsi="Arial" w:cs="Arial"/>
          <w:lang w:val="en-US"/>
        </w:rPr>
        <w:t xml:space="preserve">. </w:t>
      </w:r>
      <w:r w:rsidR="00DB27FD">
        <w:rPr>
          <w:rFonts w:ascii="Arial" w:eastAsia="Calibri" w:hAnsi="Arial" w:cs="Arial"/>
          <w:lang w:val="en-US"/>
        </w:rPr>
        <w:t xml:space="preserve">   </w:t>
      </w:r>
      <w:r w:rsidR="00A631F5" w:rsidRPr="00B130EA">
        <w:rPr>
          <w:rFonts w:ascii="Arial" w:eastAsia="Calibri" w:hAnsi="Arial" w:cs="Arial"/>
          <w:lang w:val="en-US"/>
        </w:rPr>
        <w:t>Tetti M, Monticone S, Burrello J, Matarazzo P, Veglio F, Pasini B, et al. Liddle Syndrome: Review of the Literature and Description of a New Case. Int J Mol Sci. 2018;19(3).</w:t>
      </w:r>
    </w:p>
    <w:p w14:paraId="5E1D4DA1" w14:textId="7F27F5BF" w:rsidR="00846407" w:rsidRPr="00B130EA" w:rsidRDefault="00D2682B"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70</w:t>
      </w:r>
      <w:r w:rsidR="00846407" w:rsidRPr="00B130EA">
        <w:rPr>
          <w:rFonts w:ascii="Arial" w:eastAsia="Calibri" w:hAnsi="Arial" w:cs="Arial"/>
          <w:lang w:val="en-US"/>
        </w:rPr>
        <w:t>.</w:t>
      </w:r>
      <w:r w:rsidR="00846407" w:rsidRPr="00B130EA">
        <w:rPr>
          <w:rFonts w:ascii="Arial" w:hAnsi="Arial" w:cs="Arial"/>
          <w:lang w:val="en-US"/>
        </w:rPr>
        <w:t xml:space="preserve"> </w:t>
      </w:r>
      <w:r w:rsidR="00DB27FD">
        <w:rPr>
          <w:rFonts w:ascii="Arial" w:hAnsi="Arial" w:cs="Arial"/>
          <w:lang w:val="en-US"/>
        </w:rPr>
        <w:t xml:space="preserve">   </w:t>
      </w:r>
      <w:r w:rsidR="00846407" w:rsidRPr="00B130EA">
        <w:rPr>
          <w:rFonts w:ascii="Arial" w:eastAsia="Calibri" w:hAnsi="Arial" w:cs="Arial"/>
          <w:lang w:val="en-US"/>
        </w:rPr>
        <w:t>Enslow BT, Stockand JD, Berman JM. Liddle’s syndrome mechanisms, diagnosis and management. Integr Blood Press Control. 2019;12:13-22.</w:t>
      </w:r>
    </w:p>
    <w:p w14:paraId="25380A68" w14:textId="1CEF4C9A" w:rsidR="00846407" w:rsidRPr="00B130EA" w:rsidRDefault="00D2682B"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71</w:t>
      </w:r>
      <w:r w:rsidR="00846407" w:rsidRPr="00B130EA">
        <w:rPr>
          <w:rFonts w:ascii="Arial" w:eastAsia="Calibri" w:hAnsi="Arial" w:cs="Arial"/>
          <w:lang w:val="en-US"/>
        </w:rPr>
        <w:t xml:space="preserve">. </w:t>
      </w:r>
      <w:r w:rsidR="00DB27FD">
        <w:rPr>
          <w:rFonts w:ascii="Arial" w:eastAsia="Calibri" w:hAnsi="Arial" w:cs="Arial"/>
          <w:lang w:val="en-US"/>
        </w:rPr>
        <w:t xml:space="preserve">   </w:t>
      </w:r>
      <w:r w:rsidR="005542FA" w:rsidRPr="00B130EA">
        <w:rPr>
          <w:rFonts w:ascii="Arial" w:eastAsia="Calibri" w:hAnsi="Arial" w:cs="Arial"/>
          <w:lang w:val="en-US"/>
        </w:rPr>
        <w:t>Gordon RD, Geddes RA, Pawsey CG, O'Halloran MW.</w:t>
      </w:r>
      <w:r w:rsidR="005542FA" w:rsidRPr="00B130EA">
        <w:rPr>
          <w:rFonts w:ascii="Arial" w:hAnsi="Arial" w:cs="Arial"/>
          <w:lang w:val="en-US"/>
        </w:rPr>
        <w:t xml:space="preserve"> </w:t>
      </w:r>
      <w:r w:rsidR="005542FA" w:rsidRPr="00B130EA">
        <w:rPr>
          <w:rFonts w:ascii="Arial" w:eastAsia="Calibri" w:hAnsi="Arial" w:cs="Arial"/>
          <w:lang w:val="en-US"/>
        </w:rPr>
        <w:t>Hypertension and severe hyperkalaemia associated with suppression of renin and aldosterone and completely reversed by dietary sodium restriction. Australas Ann Med. 1970 Nov;19(4):287-94.</w:t>
      </w:r>
    </w:p>
    <w:p w14:paraId="71F4075A" w14:textId="50E5C642" w:rsidR="005542FA" w:rsidRPr="00B130EA" w:rsidRDefault="00D2682B"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72</w:t>
      </w:r>
      <w:r w:rsidR="005542FA" w:rsidRPr="00B130EA">
        <w:rPr>
          <w:rFonts w:ascii="Arial" w:eastAsia="Calibri" w:hAnsi="Arial" w:cs="Arial"/>
          <w:lang w:val="en-US"/>
        </w:rPr>
        <w:t xml:space="preserve">. </w:t>
      </w:r>
      <w:r w:rsidR="00DB27FD">
        <w:rPr>
          <w:rFonts w:ascii="Arial" w:eastAsia="Calibri" w:hAnsi="Arial" w:cs="Arial"/>
          <w:lang w:val="en-US"/>
        </w:rPr>
        <w:t xml:space="preserve">   </w:t>
      </w:r>
      <w:r w:rsidR="00324051" w:rsidRPr="00B130EA">
        <w:rPr>
          <w:rFonts w:ascii="Arial" w:eastAsia="Calibri" w:hAnsi="Arial" w:cs="Arial"/>
          <w:lang w:val="en-US"/>
        </w:rPr>
        <w:t>Mabillard H, Sayer JA. The Molecular Genetics of Gordon Syndrome. Genes (Basel). 2019;10(12).</w:t>
      </w:r>
    </w:p>
    <w:p w14:paraId="39CB0427" w14:textId="4CACF22B" w:rsidR="00324051" w:rsidRPr="00B130EA" w:rsidRDefault="00D2682B"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lastRenderedPageBreak/>
        <w:t>73</w:t>
      </w:r>
      <w:r w:rsidR="00324051" w:rsidRPr="00B130EA">
        <w:rPr>
          <w:rFonts w:ascii="Arial" w:eastAsia="Calibri" w:hAnsi="Arial" w:cs="Arial"/>
          <w:lang w:val="en-US"/>
        </w:rPr>
        <w:t>.</w:t>
      </w:r>
      <w:r w:rsidR="00324051" w:rsidRPr="00B130EA">
        <w:rPr>
          <w:rFonts w:ascii="Arial" w:hAnsi="Arial" w:cs="Arial"/>
          <w:lang w:val="en-US"/>
        </w:rPr>
        <w:t xml:space="preserve"> </w:t>
      </w:r>
      <w:r w:rsidR="00DB27FD">
        <w:rPr>
          <w:rFonts w:ascii="Arial" w:hAnsi="Arial" w:cs="Arial"/>
          <w:lang w:val="en-US"/>
        </w:rPr>
        <w:t xml:space="preserve">   </w:t>
      </w:r>
      <w:r w:rsidR="00324051" w:rsidRPr="00B130EA">
        <w:rPr>
          <w:rFonts w:ascii="Arial" w:eastAsia="Calibri" w:hAnsi="Arial" w:cs="Arial"/>
          <w:lang w:val="en-US"/>
        </w:rPr>
        <w:t>Casas-Alba D, Vila Cots J, Monfort Carretero L, Martorell Sampol L, Zennaro MC, Jeunemaitre X, et al. Pseudohypoaldosteronism types I and II: little more than a name in common. J Pediatr Endocrinol Metab. 2017;30(5):597-601.</w:t>
      </w:r>
    </w:p>
    <w:p w14:paraId="3C6B1AC5" w14:textId="4D045EDE" w:rsidR="00324051" w:rsidRPr="00B130EA" w:rsidRDefault="00D2682B"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74</w:t>
      </w:r>
      <w:r w:rsidR="00324051" w:rsidRPr="00B130EA">
        <w:rPr>
          <w:rFonts w:ascii="Arial" w:eastAsia="Calibri" w:hAnsi="Arial" w:cs="Arial"/>
          <w:lang w:val="en-US"/>
        </w:rPr>
        <w:t xml:space="preserve">. </w:t>
      </w:r>
      <w:r w:rsidR="00DB27FD">
        <w:rPr>
          <w:rFonts w:ascii="Arial" w:eastAsia="Calibri" w:hAnsi="Arial" w:cs="Arial"/>
          <w:lang w:val="en-US"/>
        </w:rPr>
        <w:t xml:space="preserve">   </w:t>
      </w:r>
      <w:r w:rsidR="00324051" w:rsidRPr="00B130EA">
        <w:rPr>
          <w:rFonts w:ascii="Arial" w:eastAsia="Calibri" w:hAnsi="Arial" w:cs="Arial"/>
          <w:lang w:val="en-US"/>
        </w:rPr>
        <w:t>Boyden LM, Choi M, Choate KA, Nelson-Williams CJ, Farhi A, Toka HR, et al. Mutations in kelch-like 3 and cullin 3 cause hypertension and electrolyte abnormalities. Nature. 2012;482(7383):98-102.</w:t>
      </w:r>
    </w:p>
    <w:p w14:paraId="73EEBFCB" w14:textId="180220E9" w:rsidR="00647062" w:rsidRPr="00B130EA" w:rsidRDefault="00D2682B"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75</w:t>
      </w:r>
      <w:r w:rsidR="00324051" w:rsidRPr="00B130EA">
        <w:rPr>
          <w:rFonts w:ascii="Arial" w:eastAsia="Calibri" w:hAnsi="Arial" w:cs="Arial"/>
          <w:lang w:val="en-US"/>
        </w:rPr>
        <w:t xml:space="preserve">. </w:t>
      </w:r>
      <w:r w:rsidR="00DB27FD">
        <w:rPr>
          <w:rFonts w:ascii="Arial" w:eastAsia="Calibri" w:hAnsi="Arial" w:cs="Arial"/>
          <w:lang w:val="en-US"/>
        </w:rPr>
        <w:t xml:space="preserve">   </w:t>
      </w:r>
      <w:r w:rsidR="00647062" w:rsidRPr="00B130EA">
        <w:rPr>
          <w:rFonts w:ascii="Arial" w:eastAsia="Calibri" w:hAnsi="Arial" w:cs="Arial"/>
          <w:lang w:val="en-US"/>
        </w:rPr>
        <w:t>Ceccato F, Mantero F. Monogenic Forms of Hypertension. Endocrinol Metab Clin North Am. 2019;48(4):795-810.</w:t>
      </w:r>
    </w:p>
    <w:p w14:paraId="2940D2D9" w14:textId="5022BCDF" w:rsidR="00324051" w:rsidRPr="00B130EA" w:rsidRDefault="00D2682B"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76</w:t>
      </w:r>
      <w:r w:rsidR="00647062" w:rsidRPr="00B130EA">
        <w:rPr>
          <w:rFonts w:ascii="Arial" w:eastAsia="Calibri" w:hAnsi="Arial" w:cs="Arial"/>
          <w:lang w:val="en-US"/>
        </w:rPr>
        <w:t xml:space="preserve">. </w:t>
      </w:r>
      <w:r w:rsidR="00DB27FD">
        <w:rPr>
          <w:rFonts w:ascii="Arial" w:eastAsia="Calibri" w:hAnsi="Arial" w:cs="Arial"/>
          <w:lang w:val="en-US"/>
        </w:rPr>
        <w:t xml:space="preserve">   </w:t>
      </w:r>
      <w:r w:rsidR="00647062" w:rsidRPr="00B130EA">
        <w:rPr>
          <w:rFonts w:ascii="Arial" w:eastAsia="Calibri" w:hAnsi="Arial" w:cs="Arial"/>
          <w:lang w:val="en-US"/>
        </w:rPr>
        <w:t>Geller DS, Farhi A, Pinkerton N, Fradley M, Moritz M, Spitzer A, et al. Activating mineralocorticoid receptor mutation in hypertension exacerbated by pregnancy. Science. 2000;289(5476):119-23.</w:t>
      </w:r>
      <w:r w:rsidR="00324051" w:rsidRPr="00B130EA">
        <w:rPr>
          <w:rFonts w:ascii="Arial" w:eastAsia="Calibri" w:hAnsi="Arial" w:cs="Arial"/>
          <w:lang w:val="en-US"/>
        </w:rPr>
        <w:t xml:space="preserve"> </w:t>
      </w:r>
    </w:p>
    <w:p w14:paraId="36E58B4D" w14:textId="62BD6D54" w:rsidR="00647062" w:rsidRPr="00B130EA" w:rsidRDefault="001B5AE1"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77</w:t>
      </w:r>
      <w:r w:rsidR="00647062" w:rsidRPr="00B130EA">
        <w:rPr>
          <w:rFonts w:ascii="Arial" w:eastAsia="Calibri" w:hAnsi="Arial" w:cs="Arial"/>
          <w:lang w:val="en-US"/>
        </w:rPr>
        <w:t xml:space="preserve">. </w:t>
      </w:r>
      <w:r w:rsidR="00450D36">
        <w:rPr>
          <w:rFonts w:ascii="Arial" w:eastAsia="Calibri" w:hAnsi="Arial" w:cs="Arial"/>
          <w:lang w:val="en-US"/>
        </w:rPr>
        <w:t xml:space="preserve">   </w:t>
      </w:r>
      <w:r w:rsidR="000B0A3D" w:rsidRPr="00B130EA">
        <w:rPr>
          <w:rFonts w:ascii="Arial" w:eastAsia="Calibri" w:hAnsi="Arial" w:cs="Arial"/>
          <w:lang w:val="en-US"/>
        </w:rPr>
        <w:t>Zennaro MC, Boulkroun S, Fernandes-Rosa F.</w:t>
      </w:r>
      <w:r w:rsidR="000B0A3D" w:rsidRPr="00B130EA">
        <w:rPr>
          <w:rFonts w:ascii="Arial" w:hAnsi="Arial" w:cs="Arial"/>
          <w:lang w:val="en-US"/>
        </w:rPr>
        <w:t xml:space="preserve"> </w:t>
      </w:r>
      <w:r w:rsidR="000B0A3D" w:rsidRPr="00B130EA">
        <w:rPr>
          <w:rFonts w:ascii="Arial" w:eastAsia="Calibri" w:hAnsi="Arial" w:cs="Arial"/>
          <w:lang w:val="en-US"/>
        </w:rPr>
        <w:t>Inherited forms of mineralocorticoid hypertension. Best Pract Res Clin Endocrinol Metab. 2015 Aug;29(4):633-45.</w:t>
      </w:r>
    </w:p>
    <w:p w14:paraId="1F1DD2DB" w14:textId="4000AC56" w:rsidR="00E25EFA" w:rsidRPr="00B130EA" w:rsidRDefault="00E25EFA"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 xml:space="preserve">78. </w:t>
      </w:r>
      <w:r w:rsidR="00450D36">
        <w:rPr>
          <w:rFonts w:ascii="Arial" w:eastAsia="Calibri" w:hAnsi="Arial" w:cs="Arial"/>
          <w:lang w:val="en-US"/>
        </w:rPr>
        <w:t xml:space="preserve">   </w:t>
      </w:r>
      <w:r w:rsidRPr="00B130EA">
        <w:rPr>
          <w:rFonts w:ascii="Arial" w:eastAsia="Calibri" w:hAnsi="Arial" w:cs="Arial"/>
          <w:lang w:val="en-US"/>
        </w:rPr>
        <w:t>Lu YT, Zhang D, Zhang QY, Zhou ZM, Yang KQ, Zhou XL, Peng F.</w:t>
      </w:r>
      <w:r w:rsidRPr="00B130EA">
        <w:rPr>
          <w:rFonts w:ascii="Arial" w:hAnsi="Arial" w:cs="Arial"/>
          <w:lang w:val="en-US"/>
        </w:rPr>
        <w:t xml:space="preserve"> </w:t>
      </w:r>
      <w:r w:rsidRPr="00B130EA">
        <w:rPr>
          <w:rFonts w:ascii="Arial" w:eastAsia="Calibri" w:hAnsi="Arial" w:cs="Arial"/>
          <w:lang w:val="en-US"/>
        </w:rPr>
        <w:t>Apparent mineralocorticoid excess: comprehensive overview of molecular genetics. J Transl Med. 2022;20(1):500.</w:t>
      </w:r>
    </w:p>
    <w:p w14:paraId="7BB6CBBD" w14:textId="707F0CE3" w:rsidR="00262A29" w:rsidRPr="00B130EA" w:rsidRDefault="00262A29"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 xml:space="preserve">79. </w:t>
      </w:r>
      <w:r w:rsidR="00450D36">
        <w:rPr>
          <w:rFonts w:ascii="Arial" w:eastAsia="Calibri" w:hAnsi="Arial" w:cs="Arial"/>
          <w:lang w:val="en-US"/>
        </w:rPr>
        <w:t xml:space="preserve">   </w:t>
      </w:r>
      <w:r w:rsidRPr="00B130EA">
        <w:rPr>
          <w:rFonts w:ascii="Arial" w:eastAsia="Calibri" w:hAnsi="Arial" w:cs="Arial"/>
          <w:lang w:val="en-US"/>
        </w:rPr>
        <w:t>Maiter D, Chanson P, Constantinescu SM, Linglart A. Diagnosis and management of pituitary adenomas in children and adolescents. Eur J Endocrinol. 2024 Sep 30;191(4):R55-R69.</w:t>
      </w:r>
    </w:p>
    <w:p w14:paraId="273ED58C" w14:textId="09A7C432" w:rsidR="00EB69DA" w:rsidRPr="00B130EA" w:rsidRDefault="00262A29"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80.</w:t>
      </w:r>
      <w:r w:rsidRPr="00B130EA">
        <w:rPr>
          <w:rFonts w:ascii="Arial" w:hAnsi="Arial" w:cs="Arial"/>
          <w:lang w:val="en-US"/>
        </w:rPr>
        <w:t xml:space="preserve"> </w:t>
      </w:r>
      <w:r w:rsidR="00450D36">
        <w:rPr>
          <w:rFonts w:ascii="Arial" w:hAnsi="Arial" w:cs="Arial"/>
          <w:lang w:val="en-US"/>
        </w:rPr>
        <w:t xml:space="preserve">   </w:t>
      </w:r>
      <w:r w:rsidRPr="00B130EA">
        <w:rPr>
          <w:rFonts w:ascii="Arial" w:eastAsia="Calibri" w:hAnsi="Arial" w:cs="Arial"/>
          <w:lang w:val="en-US"/>
        </w:rPr>
        <w:t>Asa SL, Ezzat S. An update on pituitary neuroendocrine tumors leading to acromegaly and gigantism. J Clin Med. 2021;10(11): 2254.</w:t>
      </w:r>
    </w:p>
    <w:p w14:paraId="5981124D" w14:textId="55CC3154" w:rsidR="00EB69DA" w:rsidRPr="00B130EA" w:rsidRDefault="00EB69DA"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 xml:space="preserve">81. </w:t>
      </w:r>
      <w:r w:rsidR="00450D36">
        <w:rPr>
          <w:rFonts w:ascii="Arial" w:eastAsia="Calibri" w:hAnsi="Arial" w:cs="Arial"/>
          <w:lang w:val="en-US"/>
        </w:rPr>
        <w:t xml:space="preserve">   </w:t>
      </w:r>
      <w:r w:rsidRPr="00B130EA">
        <w:rPr>
          <w:rFonts w:ascii="Arial" w:eastAsia="Calibri" w:hAnsi="Arial" w:cs="Arial"/>
          <w:lang w:val="en-US"/>
        </w:rPr>
        <w:t>Rostomyan L, Daly AF, Petrossians P, et al. Clinical and genetic characterization of pituitary gigantism: an international collaborative study in 208 patients. Endocr Relat Cancer. 2015;22(5):745-757.</w:t>
      </w:r>
    </w:p>
    <w:p w14:paraId="620E2353" w14:textId="2ED80793" w:rsidR="008A67E5" w:rsidRPr="00B130EA" w:rsidRDefault="00EB69DA"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82.</w:t>
      </w:r>
      <w:r w:rsidR="008A67E5" w:rsidRPr="00B130EA">
        <w:rPr>
          <w:rFonts w:ascii="Arial" w:hAnsi="Arial" w:cs="Arial"/>
          <w:lang w:val="en-US"/>
        </w:rPr>
        <w:t xml:space="preserve"> </w:t>
      </w:r>
      <w:r w:rsidR="00450D36">
        <w:rPr>
          <w:rFonts w:ascii="Arial" w:hAnsi="Arial" w:cs="Arial"/>
          <w:lang w:val="en-US"/>
        </w:rPr>
        <w:t xml:space="preserve">   </w:t>
      </w:r>
      <w:r w:rsidR="008A67E5" w:rsidRPr="00B130EA">
        <w:rPr>
          <w:rFonts w:ascii="Arial" w:eastAsia="Calibri" w:hAnsi="Arial" w:cs="Arial"/>
          <w:lang w:val="en-US"/>
        </w:rPr>
        <w:t>Berta E, Lengyel I, Halmi S, Zrínyi M, Erdei A, Harangi M, Páll D, Nagy EV, Bodor M.</w:t>
      </w:r>
      <w:r w:rsidRPr="00B130EA">
        <w:rPr>
          <w:rFonts w:ascii="Arial" w:eastAsia="Calibri" w:hAnsi="Arial" w:cs="Arial"/>
          <w:lang w:val="en-US"/>
        </w:rPr>
        <w:t xml:space="preserve"> </w:t>
      </w:r>
      <w:r w:rsidR="008A67E5" w:rsidRPr="00B130EA">
        <w:rPr>
          <w:rFonts w:ascii="Arial" w:eastAsia="Calibri" w:hAnsi="Arial" w:cs="Arial"/>
          <w:lang w:val="en-US"/>
        </w:rPr>
        <w:t>Hypertension in Thyroid Disorders. Front Endocrinol (Lausanne). 2019 Jul 17:10:482.</w:t>
      </w:r>
    </w:p>
    <w:p w14:paraId="22C9A568" w14:textId="793FF8C1" w:rsidR="00262A29" w:rsidRPr="00B130EA" w:rsidRDefault="008A67E5" w:rsidP="00B130EA">
      <w:pPr>
        <w:spacing w:after="0" w:line="276" w:lineRule="auto"/>
        <w:ind w:left="576" w:hanging="576"/>
        <w:contextualSpacing/>
        <w:rPr>
          <w:rFonts w:ascii="Arial" w:eastAsia="Calibri" w:hAnsi="Arial" w:cs="Arial"/>
          <w:lang w:val="en-US"/>
        </w:rPr>
      </w:pPr>
      <w:r w:rsidRPr="00B130EA">
        <w:rPr>
          <w:rFonts w:ascii="Arial" w:eastAsia="Calibri" w:hAnsi="Arial" w:cs="Arial"/>
          <w:lang w:val="en-US"/>
        </w:rPr>
        <w:t xml:space="preserve">83. </w:t>
      </w:r>
      <w:r w:rsidR="00450D36">
        <w:rPr>
          <w:rFonts w:ascii="Arial" w:eastAsia="Calibri" w:hAnsi="Arial" w:cs="Arial"/>
          <w:lang w:val="en-US"/>
        </w:rPr>
        <w:t xml:space="preserve">   </w:t>
      </w:r>
      <w:r w:rsidRPr="00B130EA">
        <w:rPr>
          <w:rFonts w:ascii="Arial" w:eastAsia="Calibri" w:hAnsi="Arial" w:cs="Arial"/>
          <w:lang w:val="en-US"/>
        </w:rPr>
        <w:t>de Freminville JB, Amar L, Azizi M, Mallart-Riancho J.</w:t>
      </w:r>
      <w:r w:rsidRPr="00B130EA">
        <w:rPr>
          <w:rFonts w:ascii="Arial" w:hAnsi="Arial" w:cs="Arial"/>
          <w:lang w:val="en-US"/>
        </w:rPr>
        <w:t xml:space="preserve"> </w:t>
      </w:r>
      <w:r w:rsidRPr="00B130EA">
        <w:rPr>
          <w:rFonts w:ascii="Arial" w:eastAsia="Calibri" w:hAnsi="Arial" w:cs="Arial"/>
          <w:lang w:val="en-US"/>
        </w:rPr>
        <w:t xml:space="preserve">Endocrine causes of hypertension: literature review and practical approach. Hypertens Res. 2023 Dec;46(12):2679-2692. </w:t>
      </w:r>
      <w:r w:rsidR="00262A29" w:rsidRPr="00B130EA">
        <w:rPr>
          <w:rFonts w:ascii="Arial" w:eastAsia="Calibri" w:hAnsi="Arial" w:cs="Arial"/>
          <w:lang w:val="en-US"/>
        </w:rPr>
        <w:t xml:space="preserve"> </w:t>
      </w:r>
    </w:p>
    <w:p w14:paraId="562ED2C8" w14:textId="77777777" w:rsidR="002E0CFD" w:rsidRPr="00B130EA" w:rsidRDefault="002E0CFD" w:rsidP="00B130EA">
      <w:pPr>
        <w:spacing w:after="0" w:line="276" w:lineRule="auto"/>
        <w:ind w:left="576" w:hanging="576"/>
        <w:rPr>
          <w:rFonts w:ascii="Arial" w:hAnsi="Arial" w:cs="Arial"/>
          <w:lang w:val="en-US"/>
        </w:rPr>
      </w:pPr>
    </w:p>
    <w:sectPr w:rsidR="002E0CFD" w:rsidRPr="00B130EA" w:rsidSect="00766A13">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5EA042" w14:textId="77777777" w:rsidR="00F8231D" w:rsidRDefault="00F8231D" w:rsidP="00DC4837">
      <w:pPr>
        <w:spacing w:after="0" w:line="240" w:lineRule="auto"/>
      </w:pPr>
      <w:r>
        <w:separator/>
      </w:r>
    </w:p>
  </w:endnote>
  <w:endnote w:type="continuationSeparator" w:id="0">
    <w:p w14:paraId="2CC390CF" w14:textId="77777777" w:rsidR="00F8231D" w:rsidRDefault="00F8231D" w:rsidP="00DC4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8CA7A" w14:textId="77777777" w:rsidR="00B77128" w:rsidRDefault="00B771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4BDCE" w14:textId="77777777" w:rsidR="00F8231D" w:rsidRDefault="00F8231D" w:rsidP="00DC4837">
      <w:pPr>
        <w:spacing w:after="0" w:line="240" w:lineRule="auto"/>
      </w:pPr>
      <w:r>
        <w:separator/>
      </w:r>
    </w:p>
  </w:footnote>
  <w:footnote w:type="continuationSeparator" w:id="0">
    <w:p w14:paraId="49796E96" w14:textId="77777777" w:rsidR="00F8231D" w:rsidRDefault="00F8231D" w:rsidP="00DC483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837"/>
    <w:rsid w:val="00000ACA"/>
    <w:rsid w:val="00000CF5"/>
    <w:rsid w:val="00001716"/>
    <w:rsid w:val="000022C4"/>
    <w:rsid w:val="00003D49"/>
    <w:rsid w:val="000073EF"/>
    <w:rsid w:val="00007AB2"/>
    <w:rsid w:val="00015B41"/>
    <w:rsid w:val="00020821"/>
    <w:rsid w:val="00020B07"/>
    <w:rsid w:val="00025294"/>
    <w:rsid w:val="00036B36"/>
    <w:rsid w:val="000462AB"/>
    <w:rsid w:val="00051C17"/>
    <w:rsid w:val="00053BEE"/>
    <w:rsid w:val="00057C19"/>
    <w:rsid w:val="00061048"/>
    <w:rsid w:val="0006334B"/>
    <w:rsid w:val="00064AA7"/>
    <w:rsid w:val="0007785D"/>
    <w:rsid w:val="0008345A"/>
    <w:rsid w:val="0008431F"/>
    <w:rsid w:val="00091D6B"/>
    <w:rsid w:val="000926B0"/>
    <w:rsid w:val="000A6083"/>
    <w:rsid w:val="000B0A3D"/>
    <w:rsid w:val="000C4530"/>
    <w:rsid w:val="000C6AEA"/>
    <w:rsid w:val="000D1A7F"/>
    <w:rsid w:val="000D7B14"/>
    <w:rsid w:val="000D7FA6"/>
    <w:rsid w:val="000E1B86"/>
    <w:rsid w:val="000F6106"/>
    <w:rsid w:val="000F6D28"/>
    <w:rsid w:val="000F7064"/>
    <w:rsid w:val="001002B9"/>
    <w:rsid w:val="00104B6F"/>
    <w:rsid w:val="0011018B"/>
    <w:rsid w:val="00111633"/>
    <w:rsid w:val="00112A0B"/>
    <w:rsid w:val="0011418C"/>
    <w:rsid w:val="00150FD9"/>
    <w:rsid w:val="00167482"/>
    <w:rsid w:val="00176039"/>
    <w:rsid w:val="00177500"/>
    <w:rsid w:val="001A0EAA"/>
    <w:rsid w:val="001A2193"/>
    <w:rsid w:val="001A291C"/>
    <w:rsid w:val="001A29B1"/>
    <w:rsid w:val="001A479E"/>
    <w:rsid w:val="001A4C30"/>
    <w:rsid w:val="001A61EC"/>
    <w:rsid w:val="001B2C2E"/>
    <w:rsid w:val="001B4D36"/>
    <w:rsid w:val="001B5AE1"/>
    <w:rsid w:val="001C4395"/>
    <w:rsid w:val="001C6A76"/>
    <w:rsid w:val="001F13CB"/>
    <w:rsid w:val="001F696B"/>
    <w:rsid w:val="0020240C"/>
    <w:rsid w:val="002039DF"/>
    <w:rsid w:val="00211AD0"/>
    <w:rsid w:val="00211EF3"/>
    <w:rsid w:val="002131B4"/>
    <w:rsid w:val="00217B76"/>
    <w:rsid w:val="002212D2"/>
    <w:rsid w:val="00221F89"/>
    <w:rsid w:val="00230607"/>
    <w:rsid w:val="00235150"/>
    <w:rsid w:val="00257033"/>
    <w:rsid w:val="00260532"/>
    <w:rsid w:val="00262A29"/>
    <w:rsid w:val="00262CDD"/>
    <w:rsid w:val="00275D51"/>
    <w:rsid w:val="00286489"/>
    <w:rsid w:val="00296079"/>
    <w:rsid w:val="00296549"/>
    <w:rsid w:val="002977EB"/>
    <w:rsid w:val="002B1EDC"/>
    <w:rsid w:val="002C0637"/>
    <w:rsid w:val="002C1257"/>
    <w:rsid w:val="002C7382"/>
    <w:rsid w:val="002D0321"/>
    <w:rsid w:val="002D0992"/>
    <w:rsid w:val="002D44A9"/>
    <w:rsid w:val="002E0CFD"/>
    <w:rsid w:val="002E446C"/>
    <w:rsid w:val="002E5B29"/>
    <w:rsid w:val="002F0471"/>
    <w:rsid w:val="002F372F"/>
    <w:rsid w:val="002F52CA"/>
    <w:rsid w:val="002F7565"/>
    <w:rsid w:val="00305CDF"/>
    <w:rsid w:val="00310ADC"/>
    <w:rsid w:val="0031149E"/>
    <w:rsid w:val="0031165C"/>
    <w:rsid w:val="00323F42"/>
    <w:rsid w:val="00324051"/>
    <w:rsid w:val="003254C7"/>
    <w:rsid w:val="003319A5"/>
    <w:rsid w:val="00343DCF"/>
    <w:rsid w:val="003454E2"/>
    <w:rsid w:val="00352EFD"/>
    <w:rsid w:val="0035617C"/>
    <w:rsid w:val="003648CF"/>
    <w:rsid w:val="00372946"/>
    <w:rsid w:val="00374686"/>
    <w:rsid w:val="00380072"/>
    <w:rsid w:val="00380845"/>
    <w:rsid w:val="00390067"/>
    <w:rsid w:val="00392FA0"/>
    <w:rsid w:val="003937EA"/>
    <w:rsid w:val="0039710D"/>
    <w:rsid w:val="003A157E"/>
    <w:rsid w:val="003A5C48"/>
    <w:rsid w:val="003C701B"/>
    <w:rsid w:val="003C752B"/>
    <w:rsid w:val="003C7E5A"/>
    <w:rsid w:val="003D1C5D"/>
    <w:rsid w:val="003D3785"/>
    <w:rsid w:val="003D4251"/>
    <w:rsid w:val="003D44C0"/>
    <w:rsid w:val="003E074C"/>
    <w:rsid w:val="003F2B05"/>
    <w:rsid w:val="003F318D"/>
    <w:rsid w:val="004029BA"/>
    <w:rsid w:val="00403801"/>
    <w:rsid w:val="00404E50"/>
    <w:rsid w:val="00405700"/>
    <w:rsid w:val="00411AAC"/>
    <w:rsid w:val="004179A3"/>
    <w:rsid w:val="004203F2"/>
    <w:rsid w:val="00420D3D"/>
    <w:rsid w:val="00426FA1"/>
    <w:rsid w:val="00431B4E"/>
    <w:rsid w:val="00433DCA"/>
    <w:rsid w:val="00441449"/>
    <w:rsid w:val="0044228C"/>
    <w:rsid w:val="00442713"/>
    <w:rsid w:val="0044702D"/>
    <w:rsid w:val="0044712E"/>
    <w:rsid w:val="00447D51"/>
    <w:rsid w:val="00450D36"/>
    <w:rsid w:val="004524DF"/>
    <w:rsid w:val="00462FFB"/>
    <w:rsid w:val="00481DD9"/>
    <w:rsid w:val="00491ECF"/>
    <w:rsid w:val="004950D0"/>
    <w:rsid w:val="004954EF"/>
    <w:rsid w:val="004B1386"/>
    <w:rsid w:val="004B16C0"/>
    <w:rsid w:val="004B2E8B"/>
    <w:rsid w:val="004B518B"/>
    <w:rsid w:val="004B6CA2"/>
    <w:rsid w:val="004C1829"/>
    <w:rsid w:val="004C6D5B"/>
    <w:rsid w:val="004C77CD"/>
    <w:rsid w:val="004D1AD4"/>
    <w:rsid w:val="004D43E7"/>
    <w:rsid w:val="004D4759"/>
    <w:rsid w:val="004D79AF"/>
    <w:rsid w:val="004E01EE"/>
    <w:rsid w:val="004E2E69"/>
    <w:rsid w:val="004E347C"/>
    <w:rsid w:val="004E64EC"/>
    <w:rsid w:val="004F4255"/>
    <w:rsid w:val="00501C02"/>
    <w:rsid w:val="00501DC6"/>
    <w:rsid w:val="00503229"/>
    <w:rsid w:val="00510C2A"/>
    <w:rsid w:val="00523E62"/>
    <w:rsid w:val="00530824"/>
    <w:rsid w:val="0055322C"/>
    <w:rsid w:val="005542FA"/>
    <w:rsid w:val="00565243"/>
    <w:rsid w:val="005660DC"/>
    <w:rsid w:val="00572352"/>
    <w:rsid w:val="005823A8"/>
    <w:rsid w:val="005825C6"/>
    <w:rsid w:val="00582E72"/>
    <w:rsid w:val="005845E2"/>
    <w:rsid w:val="005A57EE"/>
    <w:rsid w:val="005B2A55"/>
    <w:rsid w:val="005B6064"/>
    <w:rsid w:val="005B75C5"/>
    <w:rsid w:val="005B7EEC"/>
    <w:rsid w:val="005C38E3"/>
    <w:rsid w:val="005D104D"/>
    <w:rsid w:val="005E3C1A"/>
    <w:rsid w:val="005E5DE9"/>
    <w:rsid w:val="005E5E91"/>
    <w:rsid w:val="005F60DB"/>
    <w:rsid w:val="00600A97"/>
    <w:rsid w:val="0060392C"/>
    <w:rsid w:val="0061482C"/>
    <w:rsid w:val="00623499"/>
    <w:rsid w:val="00625B23"/>
    <w:rsid w:val="00631668"/>
    <w:rsid w:val="00632135"/>
    <w:rsid w:val="00635246"/>
    <w:rsid w:val="006372FE"/>
    <w:rsid w:val="00646920"/>
    <w:rsid w:val="00647062"/>
    <w:rsid w:val="0065024B"/>
    <w:rsid w:val="00652388"/>
    <w:rsid w:val="00655FD9"/>
    <w:rsid w:val="0065633A"/>
    <w:rsid w:val="00662FAC"/>
    <w:rsid w:val="00663246"/>
    <w:rsid w:val="0066416B"/>
    <w:rsid w:val="006677DA"/>
    <w:rsid w:val="0067718B"/>
    <w:rsid w:val="00686E2F"/>
    <w:rsid w:val="00691A96"/>
    <w:rsid w:val="006A2F54"/>
    <w:rsid w:val="006A4AA6"/>
    <w:rsid w:val="006B1399"/>
    <w:rsid w:val="006B753D"/>
    <w:rsid w:val="006B78EF"/>
    <w:rsid w:val="006C0C4B"/>
    <w:rsid w:val="006C2923"/>
    <w:rsid w:val="006C634F"/>
    <w:rsid w:val="006D2254"/>
    <w:rsid w:val="006D33F4"/>
    <w:rsid w:val="006D72A8"/>
    <w:rsid w:val="006E1913"/>
    <w:rsid w:val="006E1E81"/>
    <w:rsid w:val="006E1F5C"/>
    <w:rsid w:val="006E21D0"/>
    <w:rsid w:val="006E6388"/>
    <w:rsid w:val="006F2085"/>
    <w:rsid w:val="006F343A"/>
    <w:rsid w:val="006F663A"/>
    <w:rsid w:val="0070634D"/>
    <w:rsid w:val="0071413A"/>
    <w:rsid w:val="00714CA0"/>
    <w:rsid w:val="00714D77"/>
    <w:rsid w:val="00722566"/>
    <w:rsid w:val="00722A87"/>
    <w:rsid w:val="00747A80"/>
    <w:rsid w:val="0075046B"/>
    <w:rsid w:val="00753C78"/>
    <w:rsid w:val="007610CF"/>
    <w:rsid w:val="00766A13"/>
    <w:rsid w:val="00767F1A"/>
    <w:rsid w:val="0077655F"/>
    <w:rsid w:val="007A08C7"/>
    <w:rsid w:val="007A0ADD"/>
    <w:rsid w:val="007A206A"/>
    <w:rsid w:val="007A239C"/>
    <w:rsid w:val="007A5DD4"/>
    <w:rsid w:val="007C3069"/>
    <w:rsid w:val="007C48D1"/>
    <w:rsid w:val="007C4A21"/>
    <w:rsid w:val="007C4EB0"/>
    <w:rsid w:val="007C6847"/>
    <w:rsid w:val="007C7154"/>
    <w:rsid w:val="007D403A"/>
    <w:rsid w:val="007D410B"/>
    <w:rsid w:val="007D4426"/>
    <w:rsid w:val="007E071D"/>
    <w:rsid w:val="007F317E"/>
    <w:rsid w:val="007F528B"/>
    <w:rsid w:val="007F7426"/>
    <w:rsid w:val="008006C9"/>
    <w:rsid w:val="00800DE8"/>
    <w:rsid w:val="00801076"/>
    <w:rsid w:val="00805C70"/>
    <w:rsid w:val="00810ECB"/>
    <w:rsid w:val="008242C4"/>
    <w:rsid w:val="0082679D"/>
    <w:rsid w:val="008309EB"/>
    <w:rsid w:val="00844498"/>
    <w:rsid w:val="00846407"/>
    <w:rsid w:val="0084771E"/>
    <w:rsid w:val="0086725C"/>
    <w:rsid w:val="00870E23"/>
    <w:rsid w:val="008712DB"/>
    <w:rsid w:val="0087660A"/>
    <w:rsid w:val="00884253"/>
    <w:rsid w:val="00886854"/>
    <w:rsid w:val="00890A64"/>
    <w:rsid w:val="0089752D"/>
    <w:rsid w:val="008977FD"/>
    <w:rsid w:val="008A67E5"/>
    <w:rsid w:val="008C461A"/>
    <w:rsid w:val="008D6543"/>
    <w:rsid w:val="008E1A7C"/>
    <w:rsid w:val="0090094C"/>
    <w:rsid w:val="009014D5"/>
    <w:rsid w:val="00904CB6"/>
    <w:rsid w:val="009054BE"/>
    <w:rsid w:val="00913C31"/>
    <w:rsid w:val="00916468"/>
    <w:rsid w:val="00917D08"/>
    <w:rsid w:val="00925DA8"/>
    <w:rsid w:val="00925FEB"/>
    <w:rsid w:val="009265A1"/>
    <w:rsid w:val="00927353"/>
    <w:rsid w:val="00930DCC"/>
    <w:rsid w:val="00936BA0"/>
    <w:rsid w:val="00941447"/>
    <w:rsid w:val="00942E5E"/>
    <w:rsid w:val="009544EE"/>
    <w:rsid w:val="009632CD"/>
    <w:rsid w:val="00965FCA"/>
    <w:rsid w:val="0097167E"/>
    <w:rsid w:val="00972326"/>
    <w:rsid w:val="009742A6"/>
    <w:rsid w:val="00987CF9"/>
    <w:rsid w:val="00994148"/>
    <w:rsid w:val="009975DC"/>
    <w:rsid w:val="009B4983"/>
    <w:rsid w:val="009C4E10"/>
    <w:rsid w:val="009C781B"/>
    <w:rsid w:val="009D025C"/>
    <w:rsid w:val="009D6D49"/>
    <w:rsid w:val="009E4B20"/>
    <w:rsid w:val="009E68C7"/>
    <w:rsid w:val="009F3D84"/>
    <w:rsid w:val="009F44A3"/>
    <w:rsid w:val="00A0656D"/>
    <w:rsid w:val="00A178E0"/>
    <w:rsid w:val="00A2271B"/>
    <w:rsid w:val="00A2331E"/>
    <w:rsid w:val="00A268BA"/>
    <w:rsid w:val="00A35D3B"/>
    <w:rsid w:val="00A41C16"/>
    <w:rsid w:val="00A42132"/>
    <w:rsid w:val="00A44EE1"/>
    <w:rsid w:val="00A46069"/>
    <w:rsid w:val="00A55AA2"/>
    <w:rsid w:val="00A56AD6"/>
    <w:rsid w:val="00A631F5"/>
    <w:rsid w:val="00A7130D"/>
    <w:rsid w:val="00A713FA"/>
    <w:rsid w:val="00A73D68"/>
    <w:rsid w:val="00A746FE"/>
    <w:rsid w:val="00A764EA"/>
    <w:rsid w:val="00A80DDE"/>
    <w:rsid w:val="00A80EFD"/>
    <w:rsid w:val="00A91851"/>
    <w:rsid w:val="00A92718"/>
    <w:rsid w:val="00AA084E"/>
    <w:rsid w:val="00AA0A3C"/>
    <w:rsid w:val="00AA10C8"/>
    <w:rsid w:val="00AA3F58"/>
    <w:rsid w:val="00AA5D0E"/>
    <w:rsid w:val="00AB35D1"/>
    <w:rsid w:val="00AC021F"/>
    <w:rsid w:val="00AC2384"/>
    <w:rsid w:val="00AD0DE8"/>
    <w:rsid w:val="00AE1AE4"/>
    <w:rsid w:val="00AE3CC5"/>
    <w:rsid w:val="00AE552D"/>
    <w:rsid w:val="00AF11A8"/>
    <w:rsid w:val="00AF6922"/>
    <w:rsid w:val="00B001C3"/>
    <w:rsid w:val="00B0349C"/>
    <w:rsid w:val="00B05466"/>
    <w:rsid w:val="00B130EA"/>
    <w:rsid w:val="00B17790"/>
    <w:rsid w:val="00B2348E"/>
    <w:rsid w:val="00B33908"/>
    <w:rsid w:val="00B35DEF"/>
    <w:rsid w:val="00B4372C"/>
    <w:rsid w:val="00B437A1"/>
    <w:rsid w:val="00B43938"/>
    <w:rsid w:val="00B50BF0"/>
    <w:rsid w:val="00B5244E"/>
    <w:rsid w:val="00B5686D"/>
    <w:rsid w:val="00B57A80"/>
    <w:rsid w:val="00B65FFF"/>
    <w:rsid w:val="00B72E53"/>
    <w:rsid w:val="00B7633B"/>
    <w:rsid w:val="00B77128"/>
    <w:rsid w:val="00B77BFF"/>
    <w:rsid w:val="00B8552A"/>
    <w:rsid w:val="00B91C90"/>
    <w:rsid w:val="00B92B5F"/>
    <w:rsid w:val="00B94F25"/>
    <w:rsid w:val="00B95882"/>
    <w:rsid w:val="00B95D22"/>
    <w:rsid w:val="00B96E7D"/>
    <w:rsid w:val="00BB5634"/>
    <w:rsid w:val="00BB7019"/>
    <w:rsid w:val="00BB7F10"/>
    <w:rsid w:val="00BC036B"/>
    <w:rsid w:val="00BC070F"/>
    <w:rsid w:val="00BC21E5"/>
    <w:rsid w:val="00BC5875"/>
    <w:rsid w:val="00BD25AC"/>
    <w:rsid w:val="00BD380F"/>
    <w:rsid w:val="00BD617F"/>
    <w:rsid w:val="00BD6D7C"/>
    <w:rsid w:val="00BE1E49"/>
    <w:rsid w:val="00BE38BA"/>
    <w:rsid w:val="00BE5FE4"/>
    <w:rsid w:val="00BE762F"/>
    <w:rsid w:val="00BF2046"/>
    <w:rsid w:val="00BF7B04"/>
    <w:rsid w:val="00C00DBE"/>
    <w:rsid w:val="00C01FA7"/>
    <w:rsid w:val="00C203E8"/>
    <w:rsid w:val="00C229B9"/>
    <w:rsid w:val="00C26EFE"/>
    <w:rsid w:val="00C27DF2"/>
    <w:rsid w:val="00C37D05"/>
    <w:rsid w:val="00C43875"/>
    <w:rsid w:val="00C45159"/>
    <w:rsid w:val="00C46EB2"/>
    <w:rsid w:val="00C535D4"/>
    <w:rsid w:val="00C57410"/>
    <w:rsid w:val="00C635A5"/>
    <w:rsid w:val="00C64E07"/>
    <w:rsid w:val="00C73D64"/>
    <w:rsid w:val="00C9155D"/>
    <w:rsid w:val="00C95200"/>
    <w:rsid w:val="00C97CD9"/>
    <w:rsid w:val="00CA1797"/>
    <w:rsid w:val="00CA32DB"/>
    <w:rsid w:val="00CA5D4E"/>
    <w:rsid w:val="00CA7328"/>
    <w:rsid w:val="00CB424A"/>
    <w:rsid w:val="00CB6238"/>
    <w:rsid w:val="00CC0A54"/>
    <w:rsid w:val="00CC676D"/>
    <w:rsid w:val="00CD1BB2"/>
    <w:rsid w:val="00CD5856"/>
    <w:rsid w:val="00CD7FE7"/>
    <w:rsid w:val="00CE05D1"/>
    <w:rsid w:val="00CE1B6C"/>
    <w:rsid w:val="00CE4BFE"/>
    <w:rsid w:val="00CE6BBA"/>
    <w:rsid w:val="00CF250E"/>
    <w:rsid w:val="00CF2DB6"/>
    <w:rsid w:val="00CF58EA"/>
    <w:rsid w:val="00D0389A"/>
    <w:rsid w:val="00D075C0"/>
    <w:rsid w:val="00D16139"/>
    <w:rsid w:val="00D21155"/>
    <w:rsid w:val="00D235FE"/>
    <w:rsid w:val="00D2682B"/>
    <w:rsid w:val="00D32E34"/>
    <w:rsid w:val="00D3354D"/>
    <w:rsid w:val="00D33E94"/>
    <w:rsid w:val="00D348AC"/>
    <w:rsid w:val="00D35D8C"/>
    <w:rsid w:val="00D35F1F"/>
    <w:rsid w:val="00D44667"/>
    <w:rsid w:val="00D46665"/>
    <w:rsid w:val="00D476C1"/>
    <w:rsid w:val="00D52E1B"/>
    <w:rsid w:val="00D538FB"/>
    <w:rsid w:val="00D56DDD"/>
    <w:rsid w:val="00D5740D"/>
    <w:rsid w:val="00D60696"/>
    <w:rsid w:val="00D61A5C"/>
    <w:rsid w:val="00D62E2F"/>
    <w:rsid w:val="00D64162"/>
    <w:rsid w:val="00D67773"/>
    <w:rsid w:val="00D7185A"/>
    <w:rsid w:val="00D71BD2"/>
    <w:rsid w:val="00D732B1"/>
    <w:rsid w:val="00D813D5"/>
    <w:rsid w:val="00D84B14"/>
    <w:rsid w:val="00D91726"/>
    <w:rsid w:val="00D949FC"/>
    <w:rsid w:val="00DA4085"/>
    <w:rsid w:val="00DB16D2"/>
    <w:rsid w:val="00DB27FD"/>
    <w:rsid w:val="00DB58EC"/>
    <w:rsid w:val="00DB6451"/>
    <w:rsid w:val="00DC4837"/>
    <w:rsid w:val="00DD3053"/>
    <w:rsid w:val="00DD44C5"/>
    <w:rsid w:val="00DD6F0C"/>
    <w:rsid w:val="00DD7E15"/>
    <w:rsid w:val="00DE5154"/>
    <w:rsid w:val="00DE6541"/>
    <w:rsid w:val="00DF2204"/>
    <w:rsid w:val="00DF488E"/>
    <w:rsid w:val="00DF63F0"/>
    <w:rsid w:val="00E03C70"/>
    <w:rsid w:val="00E046A0"/>
    <w:rsid w:val="00E0749A"/>
    <w:rsid w:val="00E25B03"/>
    <w:rsid w:val="00E25DF1"/>
    <w:rsid w:val="00E25EFA"/>
    <w:rsid w:val="00E30D0E"/>
    <w:rsid w:val="00E37FA8"/>
    <w:rsid w:val="00E41FD9"/>
    <w:rsid w:val="00E43D47"/>
    <w:rsid w:val="00E44299"/>
    <w:rsid w:val="00E44BE5"/>
    <w:rsid w:val="00E54E89"/>
    <w:rsid w:val="00E550BE"/>
    <w:rsid w:val="00E565B8"/>
    <w:rsid w:val="00E6197C"/>
    <w:rsid w:val="00E6619C"/>
    <w:rsid w:val="00E710B4"/>
    <w:rsid w:val="00E7179D"/>
    <w:rsid w:val="00E71FE1"/>
    <w:rsid w:val="00E8006D"/>
    <w:rsid w:val="00EA3951"/>
    <w:rsid w:val="00EA6EFE"/>
    <w:rsid w:val="00EB4115"/>
    <w:rsid w:val="00EB4667"/>
    <w:rsid w:val="00EB69DA"/>
    <w:rsid w:val="00ED2B5D"/>
    <w:rsid w:val="00ED376C"/>
    <w:rsid w:val="00EE5072"/>
    <w:rsid w:val="00EE544A"/>
    <w:rsid w:val="00F03BD5"/>
    <w:rsid w:val="00F05231"/>
    <w:rsid w:val="00F059CF"/>
    <w:rsid w:val="00F06321"/>
    <w:rsid w:val="00F136BD"/>
    <w:rsid w:val="00F13C48"/>
    <w:rsid w:val="00F155CA"/>
    <w:rsid w:val="00F17992"/>
    <w:rsid w:val="00F2037D"/>
    <w:rsid w:val="00F21FB5"/>
    <w:rsid w:val="00F22F79"/>
    <w:rsid w:val="00F23699"/>
    <w:rsid w:val="00F2514C"/>
    <w:rsid w:val="00F25DA2"/>
    <w:rsid w:val="00F30E66"/>
    <w:rsid w:val="00F36CCE"/>
    <w:rsid w:val="00F37349"/>
    <w:rsid w:val="00F46FB4"/>
    <w:rsid w:val="00F47B88"/>
    <w:rsid w:val="00F5494E"/>
    <w:rsid w:val="00F6385B"/>
    <w:rsid w:val="00F648D8"/>
    <w:rsid w:val="00F71626"/>
    <w:rsid w:val="00F729C1"/>
    <w:rsid w:val="00F76FC1"/>
    <w:rsid w:val="00F77A79"/>
    <w:rsid w:val="00F8231D"/>
    <w:rsid w:val="00F86153"/>
    <w:rsid w:val="00F91E70"/>
    <w:rsid w:val="00F937AD"/>
    <w:rsid w:val="00FA359A"/>
    <w:rsid w:val="00FB3635"/>
    <w:rsid w:val="00FC2888"/>
    <w:rsid w:val="00FC598B"/>
    <w:rsid w:val="00FC7FD3"/>
    <w:rsid w:val="00FF700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651F2"/>
  <w15:chartTrackingRefBased/>
  <w15:docId w15:val="{4640E167-F33E-49BB-B3F1-3D029242C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0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4837"/>
    <w:pPr>
      <w:tabs>
        <w:tab w:val="center" w:pos="4153"/>
        <w:tab w:val="right" w:pos="8306"/>
      </w:tabs>
      <w:spacing w:after="0" w:line="240" w:lineRule="auto"/>
    </w:pPr>
  </w:style>
  <w:style w:type="character" w:customStyle="1" w:styleId="HeaderChar">
    <w:name w:val="Header Char"/>
    <w:basedOn w:val="DefaultParagraphFont"/>
    <w:link w:val="Header"/>
    <w:uiPriority w:val="99"/>
    <w:rsid w:val="00DC4837"/>
  </w:style>
  <w:style w:type="paragraph" w:styleId="Footer">
    <w:name w:val="footer"/>
    <w:basedOn w:val="Normal"/>
    <w:link w:val="FooterChar"/>
    <w:uiPriority w:val="99"/>
    <w:unhideWhenUsed/>
    <w:rsid w:val="00DC4837"/>
    <w:pPr>
      <w:tabs>
        <w:tab w:val="center" w:pos="4153"/>
        <w:tab w:val="right" w:pos="8306"/>
      </w:tabs>
      <w:spacing w:after="0" w:line="240" w:lineRule="auto"/>
    </w:pPr>
  </w:style>
  <w:style w:type="character" w:customStyle="1" w:styleId="FooterChar">
    <w:name w:val="Footer Char"/>
    <w:basedOn w:val="DefaultParagraphFont"/>
    <w:link w:val="Footer"/>
    <w:uiPriority w:val="99"/>
    <w:rsid w:val="00DC4837"/>
  </w:style>
  <w:style w:type="character" w:styleId="Hyperlink">
    <w:name w:val="Hyperlink"/>
    <w:basedOn w:val="DefaultParagraphFont"/>
    <w:uiPriority w:val="99"/>
    <w:unhideWhenUsed/>
    <w:rsid w:val="00631668"/>
    <w:rPr>
      <w:color w:val="0563C1" w:themeColor="hyperlink"/>
      <w:u w:val="single"/>
    </w:rPr>
  </w:style>
  <w:style w:type="paragraph" w:styleId="BalloonText">
    <w:name w:val="Balloon Text"/>
    <w:basedOn w:val="Normal"/>
    <w:link w:val="BalloonTextChar"/>
    <w:uiPriority w:val="99"/>
    <w:semiHidden/>
    <w:unhideWhenUsed/>
    <w:rsid w:val="009544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44EE"/>
    <w:rPr>
      <w:rFonts w:ascii="Segoe UI" w:hAnsi="Segoe UI" w:cs="Segoe UI"/>
      <w:sz w:val="18"/>
      <w:szCs w:val="18"/>
    </w:rPr>
  </w:style>
  <w:style w:type="character" w:styleId="CommentReference">
    <w:name w:val="annotation reference"/>
    <w:basedOn w:val="DefaultParagraphFont"/>
    <w:uiPriority w:val="99"/>
    <w:semiHidden/>
    <w:unhideWhenUsed/>
    <w:rsid w:val="00C45159"/>
    <w:rPr>
      <w:sz w:val="16"/>
      <w:szCs w:val="16"/>
    </w:rPr>
  </w:style>
  <w:style w:type="paragraph" w:styleId="CommentText">
    <w:name w:val="annotation text"/>
    <w:basedOn w:val="Normal"/>
    <w:link w:val="CommentTextChar"/>
    <w:uiPriority w:val="99"/>
    <w:unhideWhenUsed/>
    <w:rsid w:val="00C45159"/>
    <w:pPr>
      <w:spacing w:line="240" w:lineRule="auto"/>
    </w:pPr>
    <w:rPr>
      <w:sz w:val="20"/>
      <w:szCs w:val="20"/>
    </w:rPr>
  </w:style>
  <w:style w:type="character" w:customStyle="1" w:styleId="CommentTextChar">
    <w:name w:val="Comment Text Char"/>
    <w:basedOn w:val="DefaultParagraphFont"/>
    <w:link w:val="CommentText"/>
    <w:uiPriority w:val="99"/>
    <w:rsid w:val="00C45159"/>
    <w:rPr>
      <w:sz w:val="20"/>
      <w:szCs w:val="20"/>
    </w:rPr>
  </w:style>
  <w:style w:type="paragraph" w:styleId="CommentSubject">
    <w:name w:val="annotation subject"/>
    <w:basedOn w:val="CommentText"/>
    <w:next w:val="CommentText"/>
    <w:link w:val="CommentSubjectChar"/>
    <w:uiPriority w:val="99"/>
    <w:semiHidden/>
    <w:unhideWhenUsed/>
    <w:rsid w:val="00C45159"/>
    <w:rPr>
      <w:b/>
      <w:bCs/>
    </w:rPr>
  </w:style>
  <w:style w:type="character" w:customStyle="1" w:styleId="CommentSubjectChar">
    <w:name w:val="Comment Subject Char"/>
    <w:basedOn w:val="CommentTextChar"/>
    <w:link w:val="CommentSubject"/>
    <w:uiPriority w:val="99"/>
    <w:semiHidden/>
    <w:rsid w:val="00C45159"/>
    <w:rPr>
      <w:b/>
      <w:bCs/>
      <w:sz w:val="20"/>
      <w:szCs w:val="20"/>
    </w:rPr>
  </w:style>
  <w:style w:type="paragraph" w:styleId="Revision">
    <w:name w:val="Revision"/>
    <w:hidden/>
    <w:uiPriority w:val="99"/>
    <w:semiHidden/>
    <w:rsid w:val="00652388"/>
    <w:pPr>
      <w:spacing w:after="0" w:line="240" w:lineRule="auto"/>
    </w:pPr>
  </w:style>
  <w:style w:type="character" w:customStyle="1" w:styleId="UnresolvedMention1">
    <w:name w:val="Unresolved Mention1"/>
    <w:basedOn w:val="DefaultParagraphFont"/>
    <w:uiPriority w:val="99"/>
    <w:semiHidden/>
    <w:unhideWhenUsed/>
    <w:rsid w:val="00B43938"/>
    <w:rPr>
      <w:color w:val="605E5C"/>
      <w:shd w:val="clear" w:color="auto" w:fill="E1DFDD"/>
    </w:rPr>
  </w:style>
  <w:style w:type="character" w:styleId="UnresolvedMention">
    <w:name w:val="Unresolved Mention"/>
    <w:basedOn w:val="DefaultParagraphFont"/>
    <w:uiPriority w:val="99"/>
    <w:semiHidden/>
    <w:unhideWhenUsed/>
    <w:rsid w:val="006372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stratakis@verizon.net" TargetMode="Externa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nicolaides.nicolas@ucy.ac.cy" TargetMode="Externa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FFB32-56B3-4F32-A89A-8C054667A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21</Pages>
  <Words>7544</Words>
  <Characters>43001</Characters>
  <Application>Microsoft Office Word</Application>
  <DocSecurity>0</DocSecurity>
  <Lines>358</Lines>
  <Paragraphs>100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HP</Company>
  <LinksUpToDate>false</LinksUpToDate>
  <CharactersWithSpaces>50445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ΝΙΚΟΛΑΣ</dc:creator>
  <cp:keywords/>
  <dc:description/>
  <cp:lastModifiedBy>Kenneth Feingold</cp:lastModifiedBy>
  <cp:revision>72</cp:revision>
  <dcterms:created xsi:type="dcterms:W3CDTF">2025-03-01T20:47:00Z</dcterms:created>
  <dcterms:modified xsi:type="dcterms:W3CDTF">2025-03-01T22:51:00Z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2025-02-03T16:51:51Z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c11b82d8-043a-4e13-9016-b64231b4ab8d</vt:lpwstr>
  </property>
  <property fmtid="{D5CDD505-2E9C-101B-9397-08002B2CF9AE}" pid="8" name="MSIP_Label_5e4b1be8-281e-475d-98b0-21c3457e5a46_ContentBits">
    <vt:lpwstr>0</vt:lpwstr>
  </property>
</Properties>
</file>