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81801AB" w14:textId="6F23E305" w:rsidR="000C2CA8" w:rsidRPr="00952264" w:rsidRDefault="00D12970" w:rsidP="00952264">
      <w:pPr>
        <w:pStyle w:val="Heading3"/>
        <w:spacing w:before="0" w:after="0" w:line="276" w:lineRule="auto"/>
        <w:rPr>
          <w:rFonts w:ascii="Arial" w:hAnsi="Arial" w:cs="Arial"/>
          <w:sz w:val="28"/>
          <w:szCs w:val="28"/>
          <w:lang w:val="en-GB"/>
        </w:rPr>
      </w:pPr>
      <w:bookmarkStart w:id="0" w:name="_Hlk122522824"/>
      <w:r w:rsidRPr="00952264">
        <w:rPr>
          <w:rFonts w:ascii="Arial" w:hAnsi="Arial" w:cs="Arial"/>
          <w:sz w:val="28"/>
          <w:szCs w:val="28"/>
          <w:lang w:val="en-GB"/>
        </w:rPr>
        <w:t>ENDOCRINE TESTING FOR THE SYNDROME OF INAPPROPRIATE ANTIDIURETIC HORMONE SECRETION (SIADH)</w:t>
      </w:r>
    </w:p>
    <w:bookmarkEnd w:id="0"/>
    <w:p w14:paraId="4EC9349F" w14:textId="77777777" w:rsidR="00952264" w:rsidRPr="00952264" w:rsidRDefault="00952264" w:rsidP="00952264">
      <w:pPr>
        <w:pStyle w:val="BodyText"/>
        <w:rPr>
          <w:lang w:val="en-GB"/>
        </w:rPr>
      </w:pPr>
    </w:p>
    <w:p w14:paraId="650FDAFD" w14:textId="22A3BEE2" w:rsidR="000C2CA8" w:rsidRPr="00B045E1" w:rsidRDefault="00D12970" w:rsidP="00952264">
      <w:pPr>
        <w:pStyle w:val="Heading3"/>
        <w:spacing w:before="0" w:after="0" w:line="276" w:lineRule="auto"/>
        <w:rPr>
          <w:rFonts w:ascii="Arial" w:hAnsi="Arial" w:cs="Arial"/>
          <w:b w:val="0"/>
          <w:bCs w:val="0"/>
          <w:sz w:val="24"/>
          <w:szCs w:val="24"/>
          <w:lang w:val="en-GB"/>
        </w:rPr>
      </w:pPr>
      <w:r w:rsidRPr="00952264">
        <w:rPr>
          <w:rFonts w:ascii="Arial" w:hAnsi="Arial" w:cs="Arial"/>
          <w:sz w:val="24"/>
          <w:szCs w:val="24"/>
          <w:lang w:val="en-GB"/>
        </w:rPr>
        <w:t xml:space="preserve">Rainer U. </w:t>
      </w:r>
      <w:proofErr w:type="spellStart"/>
      <w:r w:rsidRPr="00952264">
        <w:rPr>
          <w:rFonts w:ascii="Arial" w:hAnsi="Arial" w:cs="Arial"/>
          <w:sz w:val="24"/>
          <w:szCs w:val="24"/>
          <w:lang w:val="en-GB"/>
        </w:rPr>
        <w:t>Pliquett</w:t>
      </w:r>
      <w:proofErr w:type="spellEnd"/>
      <w:r w:rsidRPr="00952264">
        <w:rPr>
          <w:rFonts w:ascii="Arial" w:hAnsi="Arial" w:cs="Arial"/>
          <w:sz w:val="24"/>
          <w:szCs w:val="24"/>
          <w:lang w:val="en-GB"/>
        </w:rPr>
        <w:t>, MD</w:t>
      </w:r>
      <w:r w:rsidRPr="00952264">
        <w:rPr>
          <w:rFonts w:ascii="Arial" w:hAnsi="Arial" w:cs="Arial"/>
          <w:b w:val="0"/>
          <w:bCs w:val="0"/>
          <w:sz w:val="24"/>
          <w:szCs w:val="24"/>
          <w:lang w:val="en-GB"/>
        </w:rPr>
        <w:t xml:space="preserve">, </w:t>
      </w:r>
      <w:r w:rsidRPr="00952264">
        <w:rPr>
          <w:rFonts w:ascii="Arial" w:hAnsi="Arial" w:cs="Arial"/>
          <w:b w:val="0"/>
          <w:bCs w:val="0"/>
          <w:sz w:val="20"/>
          <w:szCs w:val="20"/>
          <w:lang w:val="en-GB"/>
        </w:rPr>
        <w:t>Privatdozent, Department of Nephrology and Diabetology, Carl-Thiem Hospital, Cottbus, Germany</w:t>
      </w:r>
      <w:r w:rsidR="00952264" w:rsidRPr="00952264">
        <w:rPr>
          <w:rFonts w:ascii="Arial" w:hAnsi="Arial" w:cs="Arial"/>
          <w:b w:val="0"/>
          <w:bCs w:val="0"/>
          <w:sz w:val="20"/>
          <w:szCs w:val="20"/>
          <w:lang w:val="en-GB"/>
        </w:rPr>
        <w:t>,</w:t>
      </w:r>
      <w:r w:rsidR="00952264" w:rsidRPr="00B045E1">
        <w:rPr>
          <w:rFonts w:ascii="Arial" w:hAnsi="Arial" w:cs="Arial"/>
          <w:b w:val="0"/>
          <w:bCs w:val="0"/>
          <w:sz w:val="20"/>
          <w:szCs w:val="20"/>
          <w:lang w:val="en-GB"/>
        </w:rPr>
        <w:t xml:space="preserve"> </w:t>
      </w:r>
      <w:hyperlink r:id="rId7">
        <w:r w:rsidRPr="00B045E1">
          <w:rPr>
            <w:rStyle w:val="Hyperlink"/>
            <w:rFonts w:ascii="Arial" w:hAnsi="Arial" w:cs="Arial"/>
            <w:b w:val="0"/>
            <w:bCs w:val="0"/>
            <w:color w:val="auto"/>
            <w:sz w:val="20"/>
            <w:szCs w:val="20"/>
            <w:u w:val="none"/>
            <w:lang w:val="en-GB"/>
          </w:rPr>
          <w:t>rpliquett@endothel.de</w:t>
        </w:r>
      </w:hyperlink>
    </w:p>
    <w:p w14:paraId="3B57BCBF" w14:textId="525E569E" w:rsidR="000C2CA8" w:rsidRDefault="00D12970" w:rsidP="00952264">
      <w:pPr>
        <w:pStyle w:val="Heading3"/>
        <w:spacing w:before="0" w:after="0" w:line="276" w:lineRule="auto"/>
        <w:rPr>
          <w:lang w:val="en-US"/>
        </w:rPr>
      </w:pPr>
      <w:r>
        <w:rPr>
          <w:rFonts w:ascii="Arial" w:hAnsi="Arial" w:cs="Arial"/>
          <w:sz w:val="24"/>
          <w:szCs w:val="24"/>
          <w:lang w:val="en-GB"/>
        </w:rPr>
        <w:t>Nicholas Obermüller, MD</w:t>
      </w:r>
      <w:r>
        <w:rPr>
          <w:rFonts w:ascii="Arial" w:hAnsi="Arial" w:cs="Arial"/>
          <w:b w:val="0"/>
          <w:bCs w:val="0"/>
          <w:sz w:val="24"/>
          <w:szCs w:val="24"/>
          <w:lang w:val="en-GB"/>
        </w:rPr>
        <w:t xml:space="preserve">, </w:t>
      </w:r>
      <w:r w:rsidRPr="00952264">
        <w:rPr>
          <w:rFonts w:ascii="Arial" w:hAnsi="Arial" w:cs="Arial"/>
          <w:b w:val="0"/>
          <w:bCs w:val="0"/>
          <w:sz w:val="20"/>
          <w:szCs w:val="20"/>
          <w:lang w:val="en-GB"/>
        </w:rPr>
        <w:t>Professor, Department of Nephrology, University Hospital, Johann Wolfgang Goethe University, Frankfurt/Main, Germany</w:t>
      </w:r>
      <w:r w:rsidR="00594CCC">
        <w:rPr>
          <w:rFonts w:ascii="Arial" w:hAnsi="Arial" w:cs="Arial"/>
          <w:b w:val="0"/>
          <w:bCs w:val="0"/>
          <w:sz w:val="20"/>
          <w:szCs w:val="20"/>
          <w:lang w:val="en-GB"/>
        </w:rPr>
        <w:t>,</w:t>
      </w:r>
      <w:r w:rsidRPr="00952264">
        <w:rPr>
          <w:rFonts w:ascii="Arial" w:hAnsi="Arial" w:cs="Arial"/>
          <w:b w:val="0"/>
          <w:bCs w:val="0"/>
          <w:sz w:val="20"/>
          <w:szCs w:val="20"/>
          <w:lang w:val="en-GB"/>
        </w:rPr>
        <w:t xml:space="preserve"> obermueller@em.uni-frankfurt.de</w:t>
      </w:r>
    </w:p>
    <w:p w14:paraId="3C02730D" w14:textId="77777777" w:rsidR="00952264" w:rsidRDefault="00952264" w:rsidP="00952264">
      <w:pPr>
        <w:pStyle w:val="Heading3"/>
        <w:spacing w:before="0" w:after="0" w:line="276" w:lineRule="auto"/>
        <w:rPr>
          <w:rFonts w:ascii="Arial" w:hAnsi="Arial" w:cs="Arial"/>
          <w:b w:val="0"/>
          <w:bCs w:val="0"/>
          <w:sz w:val="24"/>
          <w:szCs w:val="24"/>
          <w:lang w:val="en-GB"/>
        </w:rPr>
      </w:pPr>
    </w:p>
    <w:p w14:paraId="2FF0C53A" w14:textId="5C52A013" w:rsidR="000C2CA8" w:rsidRPr="00341067" w:rsidRDefault="00952264" w:rsidP="00341067">
      <w:pPr>
        <w:pStyle w:val="Heading3"/>
        <w:spacing w:before="0" w:after="0" w:line="276" w:lineRule="auto"/>
        <w:rPr>
          <w:rFonts w:ascii="Arial" w:hAnsi="Arial" w:cs="Arial"/>
          <w:sz w:val="22"/>
          <w:szCs w:val="22"/>
          <w:lang w:val="en-GB"/>
        </w:rPr>
      </w:pPr>
      <w:r w:rsidRPr="00341067">
        <w:rPr>
          <w:rFonts w:ascii="Arial" w:hAnsi="Arial" w:cs="Arial"/>
          <w:sz w:val="22"/>
          <w:szCs w:val="22"/>
          <w:lang w:val="en-GB"/>
        </w:rPr>
        <w:t xml:space="preserve">Updated </w:t>
      </w:r>
      <w:r w:rsidR="008D3DA9" w:rsidRPr="00341067">
        <w:rPr>
          <w:rFonts w:ascii="Arial" w:hAnsi="Arial" w:cs="Arial"/>
          <w:sz w:val="22"/>
          <w:szCs w:val="22"/>
          <w:lang w:val="en-GB"/>
        </w:rPr>
        <w:t xml:space="preserve">December </w:t>
      </w:r>
      <w:r w:rsidR="00216EE7">
        <w:rPr>
          <w:rFonts w:ascii="Arial" w:hAnsi="Arial" w:cs="Arial"/>
          <w:sz w:val="22"/>
          <w:szCs w:val="22"/>
          <w:lang w:val="en-GB"/>
        </w:rPr>
        <w:t>2</w:t>
      </w:r>
      <w:r w:rsidR="008D3DA9" w:rsidRPr="00341067">
        <w:rPr>
          <w:rFonts w:ascii="Arial" w:hAnsi="Arial" w:cs="Arial"/>
          <w:sz w:val="22"/>
          <w:szCs w:val="22"/>
          <w:lang w:val="en-GB"/>
        </w:rPr>
        <w:t>1, 2022</w:t>
      </w:r>
    </w:p>
    <w:p w14:paraId="1CAC0D25" w14:textId="0F810063" w:rsidR="00952264" w:rsidRPr="00341067" w:rsidRDefault="00952264" w:rsidP="00341067">
      <w:pPr>
        <w:pStyle w:val="BodyText"/>
        <w:spacing w:before="0" w:line="276" w:lineRule="auto"/>
        <w:ind w:left="0"/>
        <w:rPr>
          <w:sz w:val="22"/>
          <w:szCs w:val="22"/>
          <w:lang w:val="en-GB"/>
        </w:rPr>
      </w:pPr>
    </w:p>
    <w:p w14:paraId="1FC8F1D7" w14:textId="71A7F5DC" w:rsidR="000C2CA8" w:rsidRPr="00D05450" w:rsidRDefault="00D12970" w:rsidP="00341067">
      <w:pPr>
        <w:spacing w:line="276" w:lineRule="auto"/>
        <w:rPr>
          <w:rFonts w:ascii="Arial" w:hAnsi="Arial" w:cs="Arial"/>
          <w:b/>
          <w:color w:val="0070C0"/>
          <w:sz w:val="22"/>
          <w:szCs w:val="22"/>
          <w:lang w:val="en-US"/>
        </w:rPr>
      </w:pPr>
      <w:bookmarkStart w:id="1" w:name="_Hlk122523029"/>
      <w:r w:rsidRPr="00D05450">
        <w:rPr>
          <w:rFonts w:ascii="Arial" w:hAnsi="Arial" w:cs="Arial"/>
          <w:b/>
          <w:color w:val="0070C0"/>
          <w:sz w:val="22"/>
          <w:szCs w:val="22"/>
          <w:lang w:val="en-US"/>
        </w:rPr>
        <w:t>A</w:t>
      </w:r>
      <w:r w:rsidR="00341067" w:rsidRPr="00D05450">
        <w:rPr>
          <w:rFonts w:ascii="Arial" w:hAnsi="Arial" w:cs="Arial"/>
          <w:b/>
          <w:color w:val="0070C0"/>
          <w:sz w:val="22"/>
          <w:szCs w:val="22"/>
          <w:lang w:val="en-US"/>
        </w:rPr>
        <w:t>BSTRACT</w:t>
      </w:r>
    </w:p>
    <w:p w14:paraId="34C2121B" w14:textId="77777777" w:rsidR="00952264" w:rsidRPr="00D05450" w:rsidRDefault="00952264" w:rsidP="00341067">
      <w:pPr>
        <w:spacing w:line="276" w:lineRule="auto"/>
        <w:rPr>
          <w:rFonts w:ascii="Arial" w:hAnsi="Arial" w:cs="Arial"/>
          <w:sz w:val="22"/>
          <w:szCs w:val="22"/>
          <w:lang w:val="en-US"/>
        </w:rPr>
      </w:pPr>
    </w:p>
    <w:p w14:paraId="7AF296A0" w14:textId="7B199C43"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The diagnosis of Syndrome of Inappropriate Antidiuretic Hormone Secretion (SIADH) relies on an adequate assessment of a hyponatremic state (that is a serum sodium level &lt;136 mmol/l) and on the exclusion of other causative conditions leading to an </w:t>
      </w:r>
      <w:r w:rsidR="00216EE7">
        <w:rPr>
          <w:rFonts w:ascii="Arial" w:hAnsi="Arial" w:cs="Arial"/>
          <w:sz w:val="22"/>
          <w:szCs w:val="22"/>
          <w:lang w:val="en-US"/>
        </w:rPr>
        <w:t>appropriate</w:t>
      </w:r>
      <w:r w:rsidRPr="00D05450">
        <w:rPr>
          <w:rFonts w:ascii="Arial" w:hAnsi="Arial" w:cs="Arial"/>
          <w:sz w:val="22"/>
          <w:szCs w:val="22"/>
          <w:lang w:val="en-US"/>
        </w:rPr>
        <w:t xml:space="preserve"> secretion of antidiuretic hormone (ADH). The understanding of mechanisms involved in pathological ADH secretion is essential for diagnosis and therapy. Although some forms are due to dysregulation in central nervous system regulation, other forms are dependent on diseases in peripheral organs and structures including ADH-producing/secreting neuroendocrine tumors, while others are induced by </w:t>
      </w:r>
      <w:r w:rsidR="00216EE7">
        <w:rPr>
          <w:rFonts w:ascii="Arial" w:hAnsi="Arial" w:cs="Arial"/>
          <w:sz w:val="22"/>
          <w:szCs w:val="22"/>
          <w:lang w:val="en-US"/>
        </w:rPr>
        <w:t>drugs</w:t>
      </w:r>
      <w:r w:rsidRPr="00D05450">
        <w:rPr>
          <w:rFonts w:ascii="Arial" w:hAnsi="Arial" w:cs="Arial"/>
          <w:sz w:val="22"/>
          <w:szCs w:val="22"/>
          <w:lang w:val="en-US"/>
        </w:rPr>
        <w:t>. ADH regulation is closely linked to other systems such as the sympathetic nervous system via and baroreflex regulation. Patients with hyponatremia should be assessed carefully whether or not neurological symptoms exist. Further, assessment of volume status is needed. Based on symptoms and volume status, the need for intensive-care monitoring is determined. In parallel, laboratory findings of blood and urine must be analyzed appropriately. It is important to demonstrate true hyponatremia, which is paralleled by a decrease in serum osmolality. Mandatory laboratory diagnostic steps comprise the determination of blood and urine electrolytes and serum and urine osmolality, analysis of thyroid, adrenocortical, and kidney function as well as uric acid. Different test results such as a high fractional uric acid excretion may hint to an existing SIADH. Assessment of urine osmolality and urine sodium concentration and intravascular volume level may allow for further discrimination and may be indicative for a specific underlying disorder, c</w:t>
      </w:r>
      <w:r w:rsidR="00216EE7">
        <w:rPr>
          <w:rFonts w:ascii="Arial" w:hAnsi="Arial" w:cs="Arial"/>
          <w:sz w:val="22"/>
          <w:szCs w:val="22"/>
          <w:lang w:val="en-US"/>
        </w:rPr>
        <w:t>ausing</w:t>
      </w:r>
      <w:r w:rsidRPr="00D05450">
        <w:rPr>
          <w:rFonts w:ascii="Arial" w:hAnsi="Arial" w:cs="Arial"/>
          <w:sz w:val="22"/>
          <w:szCs w:val="22"/>
          <w:lang w:val="en-US"/>
        </w:rPr>
        <w:t xml:space="preserve"> SIADH. Brain volume changes (“hydrocephalus ex vacuo”) may depend on age rendering the elderly more tolerant to acute or chronic serum sodium changes. The course of incident hyponatremia, if documented, may affect therapy. A serum sodium drop within less than 48 hours is considered acute hyponatremia. A rapid bolus of 100 to 150 ml of intravenous 3% hypertonic saline is appropriate to avoid catastrophic outcomes in severe cases of acute symptomatic hyponatremia.</w:t>
      </w:r>
    </w:p>
    <w:bookmarkEnd w:id="1"/>
    <w:p w14:paraId="478969F1" w14:textId="77777777" w:rsidR="000C2CA8" w:rsidRPr="00D05450" w:rsidRDefault="000C2CA8" w:rsidP="00341067">
      <w:pPr>
        <w:spacing w:line="276" w:lineRule="auto"/>
        <w:rPr>
          <w:rFonts w:ascii="Arial" w:hAnsi="Arial" w:cs="Arial"/>
          <w:sz w:val="22"/>
          <w:szCs w:val="22"/>
          <w:lang w:val="en-US"/>
        </w:rPr>
      </w:pPr>
    </w:p>
    <w:p w14:paraId="5DA2E6E2" w14:textId="4EB72FDD" w:rsidR="000C2CA8" w:rsidRPr="00D05450" w:rsidRDefault="00341067" w:rsidP="00341067">
      <w:pPr>
        <w:spacing w:line="276" w:lineRule="auto"/>
        <w:rPr>
          <w:rFonts w:ascii="Arial" w:hAnsi="Arial" w:cs="Arial"/>
          <w:b/>
          <w:sz w:val="22"/>
          <w:szCs w:val="22"/>
          <w:lang w:val="en-US"/>
        </w:rPr>
      </w:pPr>
      <w:bookmarkStart w:id="2" w:name="_Hlk122523100"/>
      <w:r w:rsidRPr="00D05450">
        <w:rPr>
          <w:rFonts w:ascii="Arial" w:hAnsi="Arial" w:cs="Arial"/>
          <w:b/>
          <w:color w:val="0070C0"/>
          <w:sz w:val="22"/>
          <w:szCs w:val="22"/>
          <w:lang w:val="en-US"/>
        </w:rPr>
        <w:t>INTRODUCTION</w:t>
      </w:r>
      <w:r w:rsidRPr="00D05450">
        <w:rPr>
          <w:rFonts w:ascii="Arial" w:hAnsi="Arial" w:cs="Arial"/>
          <w:b/>
          <w:sz w:val="22"/>
          <w:szCs w:val="22"/>
          <w:lang w:val="en-US"/>
        </w:rPr>
        <w:t xml:space="preserve"> </w:t>
      </w:r>
    </w:p>
    <w:p w14:paraId="4CC57295" w14:textId="77777777" w:rsidR="00341067" w:rsidRPr="00D05450" w:rsidRDefault="00341067" w:rsidP="00341067">
      <w:pPr>
        <w:spacing w:line="276" w:lineRule="auto"/>
        <w:rPr>
          <w:rFonts w:ascii="Arial" w:hAnsi="Arial" w:cs="Arial"/>
          <w:sz w:val="22"/>
          <w:szCs w:val="22"/>
          <w:lang w:val="en-US"/>
        </w:rPr>
      </w:pPr>
    </w:p>
    <w:p w14:paraId="4D8062DD" w14:textId="219B32FE"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“Antidiuretic hormone” or “arginine vasopressin” (AVP) is physiologically released into the blood stream upon increases of plasma osmolality. AVP, a nine-amino-acid peptide, originates in the supraophthalmic nucleus (SON) of the hypothalamus and is directly regulated by plasma osmolality detected via a splice variant of the capsaicin receptor, the transient receptor potential vanilloid type-1 (Trpv1) receptor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&lt;Refman&gt;&lt;Cite&gt;&lt;Author&gt;Naeini&lt;/Author&gt;&lt;Year&gt;2006&lt;/Year&gt;&lt;RecNum&gt;224&lt;/RecNum&gt;&lt;IDText&gt;An N-terminal variant of Trpv1 channel is required for osmosensory transduction&lt;/IDText&gt;&lt;MDL Ref_Type="Journal"&gt;&lt;Ref_Type&gt;Journal&lt;/Ref_Type&gt;&lt;Ref_ID&gt;224&lt;/Ref_ID&gt;&lt;Title_Primary&gt;An N-terminal variant of Trpv1 channel is required for osmosensory transduction&lt;/Title_Primary&gt;&lt;Authors_Primary&gt;Naeini,Reza Sharif&lt;/Authors_Primary&gt;&lt;Authors_Primary&gt;Witty,Marie France&lt;/Authors_Primary&gt;&lt;Authors_Primary&gt;Seguela,Philippe&lt;/Authors_Primary&gt;&lt;Authors_Primary&gt;Bourque,Charles W.&lt;/Authors_Primary&gt;&lt;Date_Primary&gt;2006/1=print&lt;/Date_Primary&gt;&lt;Reprint&gt;Not in File&lt;/Reprint&gt;&lt;Start_Page&gt;93&lt;/Start_Page&gt;&lt;End_Page&gt;98&lt;/End_Page&gt;&lt;Periodical&gt;Nat Neurosci&lt;/Periodical&gt;&lt;Volume&gt;9&lt;/Volume&gt;&lt;Issue&gt;1&lt;/Issue&gt;&lt;ISSN_ISBN&gt;1097-6256&lt;/ISSN_ISBN&gt;&lt;Web_URL&gt;http://dx.doi.org/10.1038/nn1614&lt;/Web_URL&gt;&lt;ZZ_JournalStdAbbrev&gt;&lt;f name="System"&gt;Nat Neurosci&lt;/f&gt;&lt;/ZZ_JournalStdAbbrev&gt;&lt;ZZ_WorkformID&gt;1&lt;/ZZ_WorkformID&gt;&lt;/MDL&gt;&lt;/Cite&gt;&lt;/Refman&gt;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1</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 xml:space="preserve">. AVP is axonally transported to the posterior pituitary and released into the blood upon respective stimulation. AVP regulation is, however, more complex than a mere response to changes of plasma </w:t>
      </w:r>
      <w:r w:rsidRPr="00D05450">
        <w:rPr>
          <w:rFonts w:ascii="Arial" w:hAnsi="Arial" w:cs="Arial"/>
          <w:sz w:val="22"/>
          <w:szCs w:val="22"/>
          <w:lang w:val="en-US"/>
        </w:rPr>
        <w:lastRenderedPageBreak/>
        <w:t>osmolality. In fact, hypovolemia enhances AVP release upon increases of plasma osmolality. Conversely, hypervolemia attenuates AVP release for given increases of plasma osmolality.</w:t>
      </w:r>
    </w:p>
    <w:p w14:paraId="515D8E4D" w14:textId="303F8915"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In patients with “Syndrome of Inappropriate Antidiuretic Hormone Secretion” or SIADH, the cornerstone of diagnosis is hyponatremia (Na&lt;136 mmol/l)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&lt;Refman&gt;&lt;Cite&gt;&lt;Author&gt;Hoorn&lt;/Author&gt;&lt;Year&gt;2017&lt;/Year&gt;&lt;RecNum&gt;87&lt;/RecNum&gt;&lt;IDText&gt;Diagnosis and Treatment of Hyponatremia: Compilation of the Guidelines&lt;/IDText&gt;&lt;MDL Ref_Type="Journal"&gt;&lt;Ref_Type&gt;Journal&lt;/Ref_Type&gt;&lt;Ref_ID&gt;87&lt;/Ref_ID&gt;&lt;Title_Primary&gt;Diagnosis and Treatment of Hyponatremia: Compilation of the Guidelines&lt;/Title_Primary&gt;&lt;Authors_Primary&gt;Hoorn,E.J.&lt;/Authors_Primary&gt;&lt;Authors_Primary&gt;Zietse,R.&lt;/Authors_Primary&gt;&lt;Date_Primary&gt;2017/2/7&lt;/Date_Primary&gt;&lt;Keywords&gt;diagnosis&lt;/Keywords&gt;&lt;Keywords&gt;Diuretics&lt;/Keywords&gt;&lt;Keywords&gt;therapy&lt;/Keywords&gt;&lt;Keywords&gt;urine&lt;/Keywords&gt;&lt;Reprint&gt;Not in File&lt;/Reprint&gt;&lt;Periodical&gt;J Am Soc Nephrol&lt;/Periodical&gt;&lt;Address&gt;Department of Internal Medicine, Division of Nephrology and Transplantation, Erasmus Medical Center, Rotterdam, The Netherlands e.j.hoorn@erasmusmc.nl&amp;#xA;Department of Internal Medicine, Division of Nephrology and Transplantation, Erasmus Medical Center, Rotterdam, The Netherlands&lt;/Address&gt;&lt;Web_URL&gt;PM:28174217&lt;/Web_URL&gt;&lt;ZZ_JournalStdAbbrev&gt;&lt;f name="System"&gt;J Am Soc Nephrol&lt;/f&gt;&lt;/ZZ_JournalStdAbbrev&gt;&lt;ZZ_WorkformID&gt;1&lt;/ZZ_WorkformID&gt;&lt;/MDL&gt;&lt;/Cite&gt;&lt;/Refman&gt;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2</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 xml:space="preserve"> in a state of euvolemia, i.e. absence of either over- or dehydration. SIADH-related hyponatremia is caused by excess water reabsorption due to inappropriately high levels of AVP. Specifically, AVP binds to stimulatory G-protein-coupled vasopressin V</w:t>
      </w:r>
      <w:r w:rsidRPr="00D05450">
        <w:rPr>
          <w:rFonts w:ascii="Arial" w:hAnsi="Arial" w:cs="Arial"/>
          <w:sz w:val="22"/>
          <w:szCs w:val="22"/>
          <w:vertAlign w:val="subscript"/>
          <w:lang w:val="en-US"/>
        </w:rPr>
        <w:t>2</w:t>
      </w:r>
      <w:r w:rsidRPr="00D05450">
        <w:rPr>
          <w:rFonts w:ascii="Arial" w:hAnsi="Arial" w:cs="Arial"/>
          <w:sz w:val="22"/>
          <w:szCs w:val="22"/>
          <w:lang w:val="en-US"/>
        </w:rPr>
        <w:t xml:space="preserve">-receptors of the basolateral membrane of collecting-duct cells, thereby increasing the intracellular cAMP level, which, in turn, activates Aquaporin-2 channels of the brush-border membrane or urine side of the collecting-duct principal cells. AVP action </w:t>
      </w:r>
      <w:r w:rsidR="00216EE7">
        <w:rPr>
          <w:rFonts w:ascii="Arial" w:hAnsi="Arial" w:cs="Arial"/>
          <w:sz w:val="22"/>
          <w:szCs w:val="22"/>
          <w:lang w:val="en-US"/>
        </w:rPr>
        <w:t>results in</w:t>
      </w:r>
      <w:r w:rsidRPr="00D05450">
        <w:rPr>
          <w:rFonts w:ascii="Arial" w:hAnsi="Arial" w:cs="Arial"/>
          <w:sz w:val="22"/>
          <w:szCs w:val="22"/>
          <w:lang w:val="en-US"/>
        </w:rPr>
        <w:t xml:space="preserve"> a reduced free-water clearance resulting in a more concentrated urine and total-body water (TBW) expansion. AVP-mediated TBW expansion mediates sympathoinhibition (Figure 1). </w:t>
      </w:r>
    </w:p>
    <w:p w14:paraId="0D290DE5" w14:textId="77777777" w:rsidR="000C2CA8" w:rsidRPr="00D05450" w:rsidRDefault="000C2CA8" w:rsidP="00341067">
      <w:pPr>
        <w:spacing w:line="276" w:lineRule="auto"/>
        <w:rPr>
          <w:rFonts w:ascii="Arial" w:hAnsi="Arial" w:cs="Arial"/>
          <w:sz w:val="22"/>
          <w:szCs w:val="22"/>
          <w:lang w:val="en-US"/>
        </w:rPr>
      </w:pPr>
    </w:p>
    <w:p w14:paraId="4F561BE2" w14:textId="77777777" w:rsidR="000C2CA8" w:rsidRPr="00D05450" w:rsidRDefault="00D12970" w:rsidP="00341067">
      <w:pPr>
        <w:spacing w:line="276" w:lineRule="auto"/>
        <w:rPr>
          <w:rFonts w:ascii="Arial" w:hAnsi="Arial" w:cs="Arial"/>
          <w:b/>
          <w:bCs/>
          <w:sz w:val="22"/>
          <w:szCs w:val="22"/>
          <w:lang w:val="en-US"/>
        </w:rPr>
      </w:pPr>
      <w:r w:rsidRPr="00D05450">
        <w:rPr>
          <w:rFonts w:ascii="Arial" w:hAnsi="Arial" w:cs="Arial"/>
          <w:noProof/>
          <w:sz w:val="22"/>
          <w:szCs w:val="22"/>
          <w:lang w:val="en-US" w:eastAsia="en-US"/>
        </w:rPr>
        <w:drawing>
          <wp:inline distT="0" distB="0" distL="0" distR="0" wp14:anchorId="62CA8198" wp14:editId="0DDA9032">
            <wp:extent cx="4537075" cy="336804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4537075" cy="3368040"/>
                    </a:xfrm>
                    <a:prstGeom prst="rect">
                      <a:avLst/>
                    </a:prstGeom>
                    <a:ln w="6350">
                      <a:solidFill>
                        <a:srgbClr val="000000"/>
                      </a:solidFill>
                    </a:ln>
                  </pic:spPr>
                </pic:pic>
              </a:graphicData>
            </a:graphic>
          </wp:inline>
        </w:drawing>
      </w:r>
    </w:p>
    <w:p w14:paraId="35789314" w14:textId="71D4FDBE" w:rsidR="000C2CA8" w:rsidRPr="00D05450" w:rsidRDefault="00D12970" w:rsidP="00341067">
      <w:pPr>
        <w:spacing w:line="276" w:lineRule="auto"/>
        <w:rPr>
          <w:rFonts w:ascii="Arial" w:hAnsi="Arial" w:cs="Arial"/>
          <w:b/>
          <w:bCs/>
          <w:sz w:val="22"/>
          <w:szCs w:val="22"/>
          <w:lang w:val="en-US"/>
        </w:rPr>
      </w:pPr>
      <w:r w:rsidRPr="00D05450">
        <w:rPr>
          <w:rFonts w:ascii="Arial" w:hAnsi="Arial" w:cs="Arial"/>
          <w:b/>
          <w:bCs/>
          <w:sz w:val="22"/>
          <w:szCs w:val="22"/>
          <w:lang w:val="en-US"/>
        </w:rPr>
        <w:t>Figure 1</w:t>
      </w:r>
      <w:r w:rsidR="00341067" w:rsidRPr="00D05450">
        <w:rPr>
          <w:rFonts w:ascii="Arial" w:hAnsi="Arial" w:cs="Arial"/>
          <w:b/>
          <w:bCs/>
          <w:sz w:val="22"/>
          <w:szCs w:val="22"/>
          <w:lang w:val="en-US"/>
        </w:rPr>
        <w:t>.</w:t>
      </w:r>
      <w:r w:rsidRPr="00D05450">
        <w:rPr>
          <w:rFonts w:ascii="Arial" w:hAnsi="Arial" w:cs="Arial"/>
          <w:sz w:val="22"/>
          <w:szCs w:val="22"/>
          <w:lang w:val="en-US"/>
        </w:rPr>
        <w:t xml:space="preserve"> </w:t>
      </w:r>
      <w:r w:rsidRPr="00D05450">
        <w:rPr>
          <w:rFonts w:ascii="Arial" w:hAnsi="Arial" w:cs="Arial"/>
          <w:b/>
          <w:bCs/>
          <w:sz w:val="22"/>
          <w:szCs w:val="22"/>
          <w:lang w:val="en-US"/>
        </w:rPr>
        <w:t xml:space="preserve">Role of AVP in regulation of sympathetic tone. AVP translates into sympathoinhibition (Figure amended from </w:t>
      </w:r>
      <w:r w:rsidRPr="00D05450">
        <w:rPr>
          <w:rFonts w:ascii="Arial" w:hAnsi="Arial" w:cs="Arial"/>
          <w:b/>
          <w:bCs/>
          <w:sz w:val="22"/>
          <w:szCs w:val="22"/>
          <w:lang w:val="en-US"/>
        </w:rPr>
        <w:fldChar w:fldCharType="begin"/>
      </w:r>
      <w:r w:rsidRPr="00D05450">
        <w:rPr>
          <w:rFonts w:ascii="Arial" w:hAnsi="Arial" w:cs="Arial"/>
          <w:b/>
          <w:bCs/>
          <w:sz w:val="22"/>
          <w:szCs w:val="22"/>
          <w:lang w:val="en-US"/>
        </w:rPr>
        <w:instrText>ADDIN REFMGR.CITE &lt;Refman&gt;&lt;Cite&gt;&lt;Author&gt;Zucker&lt;/Author&gt;&lt;Year&gt;2002&lt;/Year&gt;&lt;RecNum&gt;24&lt;/RecNum&gt;&lt;IDText&gt;Novel mechanisms of sympatho-excitation in chronic heart failure&lt;/IDText&gt;&lt;MDL Ref_Type="Journal"&gt;&lt;Ref_Type&gt;Journal&lt;/Ref_Type&gt;&lt;Ref_ID&gt;24&lt;/Ref_ID&gt;&lt;Title_Primary&gt;Novel mechanisms of sympatho-excitation in chronic heart failure&lt;/Title_Primary&gt;&lt;Authors_Primary&gt;Zucker,I.H.&lt;/Authors_Primary&gt;&lt;Authors_Primary&gt;Pliquett,R.U.&lt;/Authors_Primary&gt;&lt;Date_Primary&gt;2002&lt;/Date_Primary&gt;&lt;Keywords&gt;Angiotensin II&lt;/Keywords&gt;&lt;Keywords&gt;metabolism&lt;/Keywords&gt;&lt;Keywords&gt;Baroreflex&lt;/Keywords&gt;&lt;Keywords&gt;physiology&lt;/Keywords&gt;&lt;Keywords&gt;Endothelin-1&lt;/Keywords&gt;&lt;Keywords&gt;Excitatory Postsynaptic Potentials&lt;/Keywords&gt;&lt;Keywords&gt;Heart Failure&lt;/Keywords&gt;&lt;Keywords&gt;physiopathology&lt;/Keywords&gt;&lt;Keywords&gt;Humans&lt;/Keywords&gt;&lt;Keywords&gt;Nitric Oxide&lt;/Keywords&gt;&lt;Keywords&gt;Sympathetic Nervous System&lt;/Keywords&gt;&lt;Reprint&gt;Not in File&lt;/Reprint&gt;&lt;Start_Page&gt;2&lt;/Start_Page&gt;&lt;End_Page&gt;7&lt;/End_Page&gt;&lt;Periodical&gt;Heart Fail Monit.&lt;/Periodical&gt;&lt;Volume&gt;3&lt;/Volume&gt;&lt;Issue&gt;1&lt;/Issue&gt;&lt;Address&gt;Department of Physiology and Biophysics, University of Nebraska Medical Center, Omaha, NE 68198-4575, USA&lt;/Address&gt;&lt;Web_URL&gt;PM:12634882&lt;/Web_URL&gt;&lt;ZZ_JournalStdAbbrev&gt;&lt;f name="System"&gt;Heart Fail Monit.&lt;/f&gt;&lt;/ZZ_JournalStdAbbrev&gt;&lt;ZZ_WorkformID&gt;1&lt;/ZZ_WorkformID&gt;&lt;/MDL&gt;&lt;/Cite&gt;&lt;/Refman&gt;</w:instrText>
      </w:r>
      <w:r w:rsidRPr="00D05450">
        <w:rPr>
          <w:rFonts w:ascii="Arial" w:hAnsi="Arial" w:cs="Arial"/>
          <w:b/>
          <w:bCs/>
          <w:sz w:val="22"/>
          <w:szCs w:val="22"/>
          <w:lang w:val="en-US"/>
        </w:rPr>
        <w:fldChar w:fldCharType="separate"/>
      </w:r>
      <w:r w:rsidR="00341067" w:rsidRPr="00D05450">
        <w:rPr>
          <w:rFonts w:ascii="Arial" w:hAnsi="Arial" w:cs="Arial"/>
          <w:b/>
          <w:bCs/>
          <w:sz w:val="22"/>
          <w:szCs w:val="22"/>
          <w:lang w:val="en-US"/>
        </w:rPr>
        <w:t>(</w:t>
      </w:r>
      <w:r w:rsidRPr="00D05450">
        <w:rPr>
          <w:rFonts w:ascii="Arial" w:hAnsi="Arial" w:cs="Arial"/>
          <w:b/>
          <w:bCs/>
          <w:sz w:val="22"/>
          <w:szCs w:val="22"/>
          <w:lang w:val="en-US"/>
        </w:rPr>
        <w:t>3</w:t>
      </w:r>
      <w:r w:rsidR="00341067" w:rsidRPr="00D05450">
        <w:rPr>
          <w:rFonts w:ascii="Arial" w:hAnsi="Arial" w:cs="Arial"/>
          <w:b/>
          <w:bCs/>
          <w:sz w:val="22"/>
          <w:szCs w:val="22"/>
          <w:lang w:val="en-US"/>
        </w:rPr>
        <w:t>)</w:t>
      </w:r>
      <w:r w:rsidRPr="00D05450">
        <w:rPr>
          <w:rFonts w:ascii="Arial" w:hAnsi="Arial" w:cs="Arial"/>
          <w:b/>
          <w:bCs/>
          <w:sz w:val="22"/>
          <w:szCs w:val="22"/>
          <w:lang w:val="en-US"/>
        </w:rPr>
        <w:fldChar w:fldCharType="end"/>
      </w:r>
      <w:r w:rsidRPr="00D05450">
        <w:rPr>
          <w:rFonts w:ascii="Arial" w:hAnsi="Arial" w:cs="Arial"/>
          <w:b/>
          <w:bCs/>
          <w:sz w:val="22"/>
          <w:szCs w:val="22"/>
          <w:lang w:val="en-US"/>
        </w:rPr>
        <w:t xml:space="preserve"> ).</w:t>
      </w:r>
    </w:p>
    <w:p w14:paraId="6DAF4845" w14:textId="77777777" w:rsidR="000C2CA8" w:rsidRPr="00D05450" w:rsidRDefault="000C2CA8" w:rsidP="00341067">
      <w:pPr>
        <w:spacing w:line="276" w:lineRule="auto"/>
        <w:rPr>
          <w:rFonts w:ascii="Arial" w:hAnsi="Arial" w:cs="Arial"/>
          <w:sz w:val="22"/>
          <w:szCs w:val="22"/>
          <w:lang w:val="en-US"/>
        </w:rPr>
      </w:pPr>
    </w:p>
    <w:p w14:paraId="78746F61" w14:textId="77777777"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In addition, AVP-induced TBW expansion translates into plasma-solute dilution leading to hyponatremia. Thereby, plasma osmolality (OSM) is decreased given the fact that sodium strongly determines OSM according to the following equation:   </w:t>
      </w:r>
    </w:p>
    <w:p w14:paraId="25E1E73B" w14:textId="77777777" w:rsidR="000C2CA8" w:rsidRPr="00D05450" w:rsidRDefault="000C2CA8" w:rsidP="00341067">
      <w:pPr>
        <w:spacing w:line="276" w:lineRule="auto"/>
        <w:rPr>
          <w:rFonts w:ascii="Arial" w:hAnsi="Arial" w:cs="Arial"/>
          <w:sz w:val="22"/>
          <w:szCs w:val="22"/>
          <w:lang w:val="en-US"/>
        </w:rPr>
      </w:pPr>
    </w:p>
    <w:p w14:paraId="66709A2C" w14:textId="77777777" w:rsidR="000C2CA8" w:rsidRPr="00D05450" w:rsidRDefault="00D12970" w:rsidP="00341067">
      <w:pPr>
        <w:spacing w:line="276" w:lineRule="auto"/>
        <w:rPr>
          <w:rFonts w:ascii="Arial" w:hAnsi="Arial" w:cs="Arial"/>
          <w:b/>
          <w:sz w:val="22"/>
          <w:szCs w:val="22"/>
          <w:lang w:val="en-US"/>
        </w:rPr>
      </w:pPr>
      <w:r w:rsidRPr="00D05450">
        <w:rPr>
          <w:rFonts w:ascii="Arial" w:hAnsi="Arial" w:cs="Arial"/>
          <w:b/>
          <w:sz w:val="22"/>
          <w:szCs w:val="22"/>
          <w:lang w:val="en-US"/>
        </w:rPr>
        <w:t xml:space="preserve">OSM (calculated) = 2 x Na (mmol/l) + Glucose (mmol/l) + Urea (mmol/l)  </w:t>
      </w:r>
    </w:p>
    <w:p w14:paraId="08D77EBA" w14:textId="77777777" w:rsidR="000C2CA8" w:rsidRPr="00D05450" w:rsidRDefault="000C2CA8" w:rsidP="00341067">
      <w:pPr>
        <w:spacing w:line="276" w:lineRule="auto"/>
        <w:rPr>
          <w:rFonts w:ascii="Arial" w:hAnsi="Arial" w:cs="Arial"/>
          <w:b/>
          <w:sz w:val="22"/>
          <w:szCs w:val="22"/>
          <w:lang w:val="en-US"/>
        </w:rPr>
      </w:pPr>
    </w:p>
    <w:p w14:paraId="4E2558E5" w14:textId="3BAECFDD"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Besides AVP actions on OSM, AVP also enhances endothelial-cell synthesis and the release of von-Willebrand Factor, thereby affecting </w:t>
      </w:r>
      <w:r w:rsidRPr="00D05450">
        <w:rPr>
          <w:rFonts w:ascii="Arial" w:hAnsi="Arial" w:cs="Arial"/>
          <w:bCs/>
          <w:sz w:val="22"/>
          <w:szCs w:val="22"/>
          <w:lang w:val="en-US"/>
        </w:rPr>
        <w:t>hemostasis</w:t>
      </w:r>
      <w:r w:rsidRPr="00D05450">
        <w:rPr>
          <w:rFonts w:ascii="Arial" w:hAnsi="Arial" w:cs="Arial"/>
          <w:sz w:val="22"/>
          <w:szCs w:val="22"/>
          <w:lang w:val="en-US"/>
        </w:rPr>
        <w:t xml:space="preserve">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&lt;Refman&gt;&lt;Cite&gt;&lt;Author&gt;Kaufmann&lt;/Author&gt;&lt;Year&gt;2000&lt;/Year&gt;&lt;RecNum&gt;87&lt;/RecNum&gt;&lt;IDText&gt;Vasopressin-induced von Willebrand factor secretion from endothelial cells involves V2 receptors and cAMP&lt;/IDText&gt;&lt;MDL Ref_Type="Journal"&gt;&lt;Ref_Type&gt;Journal&lt;/Ref_Type&gt;&lt;Ref_ID&gt;87&lt;/Ref_ID&gt;&lt;Title_Primary&gt;Vasopressin-induced von Willebrand factor secretion from endothelial cells involves V2 receptors and cAMP&lt;/Title_Primary&gt;&lt;Authors_Primary&gt;Kaufmann,J.E.&lt;/Authors_Primary&gt;&lt;Authors_Primary&gt;Oksche,A.&lt;/Authors_Primary&gt;&lt;Authors_Primary&gt;Wollheim,C.B.&lt;/Authors_Primary&gt;&lt;Authors_Primary&gt;Gunther,G.&lt;/Authors_Primary&gt;&lt;Authors_Primary&gt;Rosenthal,W.&lt;/Authors_Primary&gt;&lt;Authors_Primary&gt;Vischer,U.M.&lt;/Authors_Primary&gt;&lt;Date_Primary&gt;2000/7&lt;/Date_Primary&gt;&lt;Keywords&gt;analysis&lt;/Keywords&gt;&lt;Keywords&gt;Arginine Vasopressin&lt;/Keywords&gt;&lt;Keywords&gt;Cells,Cultured&lt;/Keywords&gt;&lt;Keywords&gt;Cyclic AMP&lt;/Keywords&gt;&lt;Keywords&gt;Deamino Arginine Vasopressin&lt;/Keywords&gt;&lt;Keywords&gt;drug effects&lt;/Keywords&gt;&lt;Keywords&gt;Endothelium,Vascular&lt;/Keywords&gt;&lt;Keywords&gt;genetics&lt;/Keywords&gt;&lt;Keywords&gt;Humans&lt;/Keywords&gt;&lt;Keywords&gt;Kidney&lt;/Keywords&gt;&lt;Keywords&gt;Lung&lt;/Keywords&gt;&lt;Keywords&gt;metabolism&lt;/Keywords&gt;&lt;Keywords&gt;pharmacology&lt;/Keywords&gt;&lt;Keywords&gt;physiology&lt;/Keywords&gt;&lt;Keywords&gt;Receptors,Vasopressin&lt;/Keywords&gt;&lt;Keywords&gt;Research&lt;/Keywords&gt;&lt;Keywords&gt;Reverse Transcriptase Polymerase Chain Reaction&lt;/Keywords&gt;&lt;Keywords&gt;RNA,Messenger&lt;/Keywords&gt;&lt;Keywords&gt;secretion&lt;/Keywords&gt;&lt;Keywords&gt;von Willebrand Factor&lt;/Keywords&gt;&lt;Reprint&gt;Not in File&lt;/Reprint&gt;&lt;Start_Page&gt;107&lt;/Start_Page&gt;&lt;End_Page&gt;116&lt;/End_Page&gt;&lt;Periodical&gt;J Clin Invest&lt;/Periodical&gt;&lt;Volume&gt;106&lt;/Volume&gt;&lt;Issue&gt;1&lt;/Issue&gt;&lt;Address&gt;Division of Clinical Biochemistry, Geneva, Switzerland. Research Institute for Molecular Pharmacology, Berlin, Germany. kaufmann@cmu.unige.ch&lt;/Address&gt;&lt;Web_URL&gt;PM:10880054&lt;/Web_URL&gt;&lt;ZZ_JournalStdAbbrev&gt;&lt;f name="System"&gt;J Clin Invest&lt;/f&gt;&lt;/ZZ_JournalStdAbbrev&gt;&lt;ZZ_WorkformID&gt;1&lt;/ZZ_WorkformID&gt;&lt;/MDL&gt;&lt;/Cite&gt;&lt;/Refman&gt;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4</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 xml:space="preserve">. This AVP effect on hemostasis is therapeutically used in bleeding disorders involving Factor VIII or von-Willebrand factor deficiency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&lt;Refman&gt;&lt;Cite&gt;&lt;Author&gt;Castaman&lt;/Author&gt;&lt;Year&gt;2011&lt;/Year&gt;&lt;RecNum&gt;88&lt;/RecNum&gt;&lt;IDText&gt;Bleeding tendency and efficacy of anti-haemorrhagic treatments in patients with type 1 von Willebrand disease and increased von Willebrand factor clearance&lt;/IDText&gt;&lt;MDL Ref_Type="Journal"&gt;&lt;Ref_Type&gt;Journal&lt;/Ref_Type&gt;&lt;Ref_ID&gt;88&lt;/Ref_ID&gt;&lt;Title_Primary&gt;Bleeding tendency and efficacy of anti-haemorrhagic treatments in patients with type 1 von Willebrand disease and increased von Willebrand factor clearance&lt;/Title_Primary&gt;&lt;Authors_Primary&gt;Castaman,G.&lt;/Authors_Primary&gt;&lt;Authors_Primary&gt;Tosetto,A.&lt;/Authors_Primary&gt;&lt;Authors_Primary&gt;Federici,A.B.&lt;/Authors_Primary&gt;&lt;Authors_Primary&gt;Rodeghiero,F.&lt;/Authors_Primary&gt;&lt;Date_Primary&gt;2011/4&lt;/Date_Primary&gt;&lt;Keywords&gt;Adolescent&lt;/Keywords&gt;&lt;Keywords&gt;Adult&lt;/Keywords&gt;&lt;Keywords&gt;Aged&lt;/Keywords&gt;&lt;Keywords&gt;Aged,80 and over&lt;/Keywords&gt;&lt;Keywords&gt;analysis&lt;/Keywords&gt;&lt;Keywords&gt;Arginine Vasopressin&lt;/Keywords&gt;&lt;Keywords&gt;blood&lt;/Keywords&gt;&lt;Keywords&gt;Child&lt;/Keywords&gt;&lt;Keywords&gt;Child,Preschool&lt;/Keywords&gt;&lt;Keywords&gt;Deamino Arginine Vasopressin&lt;/Keywords&gt;&lt;Keywords&gt;drug therapy&lt;/Keywords&gt;&lt;Keywords&gt;epidemiology&lt;/Keywords&gt;&lt;Keywords&gt;Female&lt;/Keywords&gt;&lt;Keywords&gt;Follow-Up Studies&lt;/Keywords&gt;&lt;Keywords&gt;genetics&lt;/Keywords&gt;&lt;Keywords&gt;Hemorrhage&lt;/Keywords&gt;&lt;Keywords&gt;Hemostatics&lt;/Keywords&gt;&lt;Keywords&gt;Humans&lt;/Keywords&gt;&lt;Keywords&gt;Infant&lt;/Keywords&gt;&lt;Keywords&gt;Italy&lt;/Keywords&gt;&lt;Keywords&gt;Male&lt;/Keywords&gt;&lt;Keywords&gt;Menorrhagia&lt;/Keywords&gt;&lt;Keywords&gt;metabolism&lt;/Keywords&gt;&lt;Keywords&gt;Middle Aged&lt;/Keywords&gt;&lt;Keywords&gt;Mutation&lt;/Keywords&gt;&lt;Keywords&gt;Prospective Studies&lt;/Keywords&gt;&lt;Keywords&gt;Risk&lt;/Keywords&gt;&lt;Keywords&gt;Sex Factors&lt;/Keywords&gt;&lt;Keywords&gt;surgery&lt;/Keywords&gt;&lt;Keywords&gt;therapeutic use&lt;/Keywords&gt;&lt;Keywords&gt;von Willebrand Disease,Type 1&lt;/Keywords&gt;&lt;Keywords&gt;von Willebrand Diseases&lt;/Keywords&gt;&lt;Keywords&gt;von Willebrand Factor&lt;/Keywords&gt;&lt;Reprint&gt;Not in File&lt;/Reprint&gt;&lt;Start_Page&gt;647&lt;/Start_Page&gt;&lt;End_Page&gt;654&lt;/End_Page&gt;&lt;Periodical&gt;Thromb Haemost.&lt;/Periodical&gt;&lt;Volume&gt;105&lt;/Volume&gt;&lt;Issue&gt;4&lt;/Issue&gt;&lt;Address&gt;Department of Hematology and Hemophilia and Thrombosis Center, San Bortolo Hospital, Vicenza, Italy. castaman@hemato.ven.it&lt;/Address&gt;&lt;Web_URL&gt;PM:21264446&lt;/Web_URL&gt;&lt;ZZ_JournalStdAbbrev&gt;&lt;f name="System"&gt;Thromb Haemost.&lt;/f&gt;&lt;/ZZ_JournalStdAbbrev&gt;&lt;ZZ_WorkformID&gt;1&lt;/ZZ_WorkformID&gt;&lt;/MDL&gt;&lt;/Cite&gt;&lt;Cite&gt;&lt;Author&gt;Chistolini&lt;/Author&gt;&lt;Year&gt;1991&lt;/Year&gt;&lt;RecNum&gt;89&lt;/RecNum&gt;&lt;IDText&gt;Intranasal DDAVP: biological and clinical evaluation in mild factor VIII deficiency&lt;/IDText&gt;&lt;MDL Ref_Type="Journal"&gt;&lt;Ref_Type&gt;Journal&lt;/Ref_Type&gt;&lt;Ref_ID&gt;89&lt;/Ref_ID&gt;&lt;Title_Primary&gt;Intranasal DDAVP: biological and clinical evaluation in mild factor VIII deficiency&lt;/Title_Primary&gt;&lt;Authors_Primary&gt;Chistolini,A.&lt;/Authors_Primary&gt;&lt;Authors_Primary&gt;Dragoni,F.&lt;/Authors_Primary&gt;&lt;Authors_Primary&gt;Ferrari,A.&lt;/Authors_Primary&gt;&lt;Authors_Primary&gt;La,Verde G.&lt;/Authors_Primary&gt;&lt;Authors_Primary&gt;Arcieri,R.&lt;/Authors_Primary&gt;&lt;Authors_Primary&gt;Ege,Mohamud A.&lt;/Authors_Primary&gt;&lt;Authors_Primary&gt;Mazzucconi,M.G.&lt;/Authors_Primary&gt;&lt;Date_Primary&gt;1991&lt;/Date_Primary&gt;&lt;Keywords&gt;administration &amp;amp; dosage&lt;/Keywords&gt;&lt;Keywords&gt;Administration,Intranasal&lt;/Keywords&gt;&lt;Keywords&gt;Adolescent&lt;/Keywords&gt;&lt;Keywords&gt;Adult&lt;/Keywords&gt;&lt;Keywords&gt;analysis&lt;/Keywords&gt;&lt;Keywords&gt;Arginine Vasopressin&lt;/Keywords&gt;&lt;Keywords&gt;blood&lt;/Keywords&gt;&lt;Keywords&gt;Child&lt;/Keywords&gt;&lt;Keywords&gt;complications&lt;/Keywords&gt;&lt;Keywords&gt;Deamino Arginine Vasopressin&lt;/Keywords&gt;&lt;Keywords&gt;Drug Evaluation&lt;/Keywords&gt;&lt;Keywords&gt;Factor Viii&lt;/Keywords&gt;&lt;Keywords&gt;Fibrinolysis&lt;/Keywords&gt;&lt;Keywords&gt;Hemophilia A&lt;/Keywords&gt;&lt;Keywords&gt;Hemorrhage&lt;/Keywords&gt;&lt;Keywords&gt;Humans&lt;/Keywords&gt;&lt;Keywords&gt;Immunologic Factors&lt;/Keywords&gt;&lt;Keywords&gt;Italy&lt;/Keywords&gt;&lt;Keywords&gt;Middle Aged&lt;/Keywords&gt;&lt;Keywords&gt;prevention &amp;amp; control&lt;/Keywords&gt;&lt;Keywords&gt;therapeutic use&lt;/Keywords&gt;&lt;Keywords&gt;therapy&lt;/Keywords&gt;&lt;Keywords&gt;von Willebrand Factor&lt;/Keywords&gt;&lt;Reprint&gt;Not in File&lt;/Reprint&gt;&lt;Start_Page&gt;273&lt;/Start_Page&gt;&lt;End_Page&gt;277&lt;/End_Page&gt;&lt;Periodical&gt;Haemostasis&lt;/Periodical&gt;&lt;Volume&gt;21&lt;/Volume&gt;&lt;Issue&gt;5&lt;/Issue&gt;&lt;Address&gt;Section of Haematology, Department of Human Biopathology, Rome, Italy&lt;/Address&gt;&lt;Web_URL&gt;PM:1806455&lt;/Web_URL&gt;&lt;ZZ_JournalStdAbbrev&gt;&lt;f name="System"&gt;Haemostasis&lt;/f&gt;&lt;/ZZ_JournalStdAbbrev&gt;&lt;ZZ_WorkformID&gt;1&lt;/ZZ_WorkformID&gt;&lt;/MDL&gt;&lt;/Cite&gt;&lt;/Refman&gt;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5, 6</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w:t>
      </w:r>
    </w:p>
    <w:p w14:paraId="3C692BB9" w14:textId="77777777" w:rsidR="00341067" w:rsidRPr="00D05450" w:rsidRDefault="00341067" w:rsidP="00341067">
      <w:pPr>
        <w:spacing w:line="276" w:lineRule="auto"/>
        <w:rPr>
          <w:rFonts w:ascii="Arial" w:hAnsi="Arial" w:cs="Arial"/>
          <w:sz w:val="22"/>
          <w:szCs w:val="22"/>
          <w:lang w:val="en-US"/>
        </w:rPr>
      </w:pPr>
    </w:p>
    <w:p w14:paraId="09D0334B" w14:textId="749D8D27"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SIADH may be viewed as a primary central-nervous system dysregulation of OSM and/or thirst. The etiology still is incompletely understood. Alternatively, SIADH may relate to </w:t>
      </w:r>
      <w:r w:rsidRPr="00D05450">
        <w:rPr>
          <w:rFonts w:ascii="Arial" w:hAnsi="Arial" w:cs="Arial"/>
          <w:sz w:val="22"/>
          <w:szCs w:val="22"/>
          <w:lang w:val="en-US"/>
        </w:rPr>
        <w:lastRenderedPageBreak/>
        <w:t xml:space="preserve">baroreceptor unloading due to clinically inapparent hypovolemia or, hypothetically, to carotid-artery atherosclerosis affecting baroreflex regulation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&lt;Refman&gt;&lt;Cite&gt;&lt;Author&gt;Magovern&lt;/Author&gt;&lt;Year&gt;1989&lt;/Year&gt;&lt;RecNum&gt;92&lt;/RecNum&gt;&lt;IDText&gt;The syndrome of inappropriate secretion of antidiuretic hormone following carotid endarterectomy. A case report and review of the literature&lt;/IDText&gt;&lt;MDL Ref_Type="Journal"&gt;&lt;Ref_Type&gt;Journal&lt;/Ref_Type&gt;&lt;Ref_ID&gt;92&lt;/Ref_ID&gt;&lt;Title_Primary&gt;The syndrome of inappropriate secretion of antidiuretic hormone following carotid endarterectomy. A case report and review of the literature&lt;/Title_Primary&gt;&lt;Authors_Primary&gt;Magovern,J.A.&lt;/Authors_Primary&gt;&lt;Authors_Primary&gt;Sieber,P.R.&lt;/Authors_Primary&gt;&lt;Authors_Primary&gt;Thiele,B.L.&lt;/Authors_Primary&gt;&lt;Date_Primary&gt;1989/7&lt;/Date_Primary&gt;&lt;Keywords&gt;adverse effects&lt;/Keywords&gt;&lt;Keywords&gt;Carotid Artery Diseases&lt;/Keywords&gt;&lt;Keywords&gt;Constriction,Pathologic&lt;/Keywords&gt;&lt;Keywords&gt;Endarterectomy&lt;/Keywords&gt;&lt;Keywords&gt;etiology&lt;/Keywords&gt;&lt;Keywords&gt;Female&lt;/Keywords&gt;&lt;Keywords&gt;Humans&lt;/Keywords&gt;&lt;Keywords&gt;Inappropriate ADH Syndrome&lt;/Keywords&gt;&lt;Keywords&gt;Middle Aged&lt;/Keywords&gt;&lt;Keywords&gt;Reperfusion Injury&lt;/Keywords&gt;&lt;Keywords&gt;secretion&lt;/Keywords&gt;&lt;Keywords&gt;surgery&lt;/Keywords&gt;&lt;Reprint&gt;Not in File&lt;/Reprint&gt;&lt;Start_Page&gt;544&lt;/Start_Page&gt;&lt;End_Page&gt;546&lt;/End_Page&gt;&lt;Periodical&gt;J Cardiovasc Surg.(Torino)&lt;/Periodical&gt;&lt;Volume&gt;30&lt;/Volume&gt;&lt;Issue&gt;4&lt;/Issue&gt;&lt;Address&gt;Department of Surgery, College of Medicine, Pennsylvania State University, Milton S. Hershey Medical Center, Hershey&lt;/Address&gt;&lt;Web_URL&gt;PM:2674154&lt;/Web_URL&gt;&lt;ZZ_JournalStdAbbrev&gt;&lt;f name="System"&gt;J Cardiovasc Surg.(Torino)&lt;/f&gt;&lt;/ZZ_JournalStdAbbrev&gt;&lt;ZZ_WorkformID&gt;1&lt;/ZZ_WorkformID&gt;&lt;/MDL&gt;&lt;/Cite&gt;&lt;/Refman&gt;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7</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 xml:space="preserve">. This alternative route of increased AVP release may ultimately translate into the clinical picture of SIADH. Generally, less wall distension of the carotid arterial walls and/or the aortic arch may lead to a decrease of arterial baroreceptor-related afferent autonomic nerve traffic to the rostral ventrolateral medulla and nucleus tractus solitarii (NTS) translating into less sympathoinhibition (sympathoexcitation) and to an increased release of AVP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&lt;Refman&gt;&lt;Cite&gt;&lt;Author&gt;Leimbach&lt;/Author&gt;&lt;Year&gt;1984&lt;/Year&gt;&lt;RecNum&gt;93&lt;/RecNum&gt;&lt;IDText&gt;Baroreflex control of plasma arginine vasopressin in humans&lt;/IDText&gt;&lt;MDL Ref_Type="Journal"&gt;&lt;Ref_Type&gt;Journal&lt;/Ref_Type&gt;&lt;Ref_ID&gt;93&lt;/Ref_ID&gt;&lt;Title_Primary&gt;Baroreflex control of plasma arginine vasopressin in humans&lt;/Title_Primary&gt;&lt;Authors_Primary&gt;Leimbach,W.N.,Jr.&lt;/Authors_Primary&gt;&lt;Authors_Primary&gt;Schmid,P.G.&lt;/Authors_Primary&gt;&lt;Authors_Primary&gt;Mark,A.L.&lt;/Authors_Primary&gt;&lt;Date_Primary&gt;1984/10&lt;/Date_Primary&gt;&lt;Keywords&gt;Adult&lt;/Keywords&gt;&lt;Keywords&gt;analysis&lt;/Keywords&gt;&lt;Keywords&gt;Arginine Vasopressin&lt;/Keywords&gt;&lt;Keywords&gt;Baroreflex&lt;/Keywords&gt;&lt;Keywords&gt;blood&lt;/Keywords&gt;&lt;Keywords&gt;Blood Pressure&lt;/Keywords&gt;&lt;Keywords&gt;blood supply&lt;/Keywords&gt;&lt;Keywords&gt;Forearm&lt;/Keywords&gt;&lt;Keywords&gt;Heart Rate&lt;/Keywords&gt;&lt;Keywords&gt;Humans&lt;/Keywords&gt;&lt;Keywords&gt;Male&lt;/Keywords&gt;&lt;Keywords&gt;Muscles&lt;/Keywords&gt;&lt;Keywords&gt;Osmolar Concentration&lt;/Keywords&gt;&lt;Keywords&gt;physiology&lt;/Keywords&gt;&lt;Keywords&gt;Pressoreceptors&lt;/Keywords&gt;&lt;Keywords&gt;Pressure&lt;/Keywords&gt;&lt;Keywords&gt;Pulse&lt;/Keywords&gt;&lt;Keywords&gt;Regional Blood Flow&lt;/Keywords&gt;&lt;Keywords&gt;Research&lt;/Keywords&gt;&lt;Keywords&gt;Vascular Resistance&lt;/Keywords&gt;&lt;Reprint&gt;Not in File&lt;/Reprint&gt;&lt;Start_Page&gt;H638&lt;/Start_Page&gt;&lt;End_Page&gt;H644&lt;/End_Page&gt;&lt;Periodical&gt;Am J Physiol&lt;/Periodical&gt;&lt;Volume&gt;247&lt;/Volume&gt;&lt;Issue&gt;4 Pt 2&lt;/Issue&gt;&lt;Web_URL&gt;PM:6496706&lt;/Web_URL&gt;&lt;ZZ_JournalStdAbbrev&gt;&lt;f name="System"&gt;Am J Physiol&lt;/f&gt;&lt;/ZZ_JournalStdAbbrev&gt;&lt;ZZ_WorkformID&gt;1&lt;/ZZ_WorkformID&gt;&lt;/MDL&gt;&lt;/Cite&gt;&lt;/Refman&gt;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8</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 xml:space="preserve"> (Figure 2). </w:t>
      </w:r>
    </w:p>
    <w:p w14:paraId="134C7F84" w14:textId="77777777" w:rsidR="000C2CA8" w:rsidRPr="00D05450" w:rsidRDefault="000C2CA8" w:rsidP="00341067">
      <w:pPr>
        <w:spacing w:line="276" w:lineRule="auto"/>
        <w:rPr>
          <w:rFonts w:ascii="Arial" w:hAnsi="Arial" w:cs="Arial"/>
          <w:sz w:val="22"/>
          <w:szCs w:val="22"/>
          <w:lang w:val="en-US"/>
        </w:rPr>
      </w:pPr>
    </w:p>
    <w:p w14:paraId="78C4B86D" w14:textId="77777777" w:rsidR="000C2CA8" w:rsidRPr="00D05450" w:rsidRDefault="00D12970" w:rsidP="00341067">
      <w:pPr>
        <w:spacing w:line="276" w:lineRule="auto"/>
        <w:rPr>
          <w:rFonts w:ascii="Arial" w:hAnsi="Arial" w:cs="Arial"/>
          <w:b/>
          <w:sz w:val="22"/>
          <w:szCs w:val="22"/>
          <w:lang w:val="en-US"/>
        </w:rPr>
      </w:pPr>
      <w:r w:rsidRPr="00D05450">
        <w:rPr>
          <w:rFonts w:ascii="Arial" w:hAnsi="Arial" w:cs="Arial"/>
          <w:noProof/>
          <w:sz w:val="22"/>
          <w:szCs w:val="22"/>
          <w:lang w:val="en-US" w:eastAsia="en-US"/>
        </w:rPr>
        <w:drawing>
          <wp:inline distT="0" distB="0" distL="0" distR="0" wp14:anchorId="14DA77D4" wp14:editId="1C33B332">
            <wp:extent cx="4537075" cy="336804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4537075" cy="3368040"/>
                    </a:xfrm>
                    <a:prstGeom prst="rect">
                      <a:avLst/>
                    </a:prstGeom>
                    <a:ln w="6350">
                      <a:solidFill>
                        <a:srgbClr val="000000"/>
                      </a:solidFill>
                    </a:ln>
                  </pic:spPr>
                </pic:pic>
              </a:graphicData>
            </a:graphic>
          </wp:inline>
        </w:drawing>
      </w:r>
    </w:p>
    <w:p w14:paraId="2DE426C2" w14:textId="53AE94D9" w:rsidR="000C2CA8" w:rsidRPr="00D05450" w:rsidRDefault="00D12970" w:rsidP="00341067">
      <w:pPr>
        <w:spacing w:line="276" w:lineRule="auto"/>
        <w:rPr>
          <w:rFonts w:ascii="Arial" w:hAnsi="Arial" w:cs="Arial"/>
          <w:b/>
          <w:bCs/>
          <w:sz w:val="22"/>
          <w:szCs w:val="22"/>
          <w:lang w:val="en-US"/>
        </w:rPr>
      </w:pPr>
      <w:r w:rsidRPr="00D05450">
        <w:rPr>
          <w:rFonts w:ascii="Arial" w:hAnsi="Arial" w:cs="Arial"/>
          <w:b/>
          <w:sz w:val="22"/>
          <w:szCs w:val="22"/>
          <w:lang w:val="en-US"/>
        </w:rPr>
        <w:t>Figure 2</w:t>
      </w:r>
      <w:r w:rsidR="00341067" w:rsidRPr="00D05450">
        <w:rPr>
          <w:rFonts w:ascii="Arial" w:hAnsi="Arial" w:cs="Arial"/>
          <w:b/>
          <w:sz w:val="22"/>
          <w:szCs w:val="22"/>
          <w:lang w:val="en-US"/>
        </w:rPr>
        <w:t>.</w:t>
      </w:r>
      <w:r w:rsidRPr="00D05450">
        <w:rPr>
          <w:rFonts w:ascii="Arial" w:hAnsi="Arial" w:cs="Arial"/>
          <w:sz w:val="22"/>
          <w:szCs w:val="22"/>
          <w:lang w:val="en-US"/>
        </w:rPr>
        <w:t xml:space="preserve"> </w:t>
      </w:r>
      <w:r w:rsidRPr="00D05450">
        <w:rPr>
          <w:rFonts w:ascii="Arial" w:hAnsi="Arial" w:cs="Arial"/>
          <w:b/>
          <w:bCs/>
          <w:sz w:val="22"/>
          <w:szCs w:val="22"/>
          <w:lang w:val="en-US"/>
        </w:rPr>
        <w:t>Baroreflex regulation and SIADH: arterial hypotension lowers baroreflex-mediated afferent nerve traffic to the nucleus tractus solitarii leading to an elevated efferent sympathetic nerve activity and increased AVP release.</w:t>
      </w:r>
    </w:p>
    <w:p w14:paraId="24AFAF61" w14:textId="77777777" w:rsidR="000C2CA8" w:rsidRPr="00D05450" w:rsidRDefault="000C2CA8" w:rsidP="00341067">
      <w:pPr>
        <w:spacing w:line="276" w:lineRule="auto"/>
        <w:rPr>
          <w:rFonts w:ascii="Arial" w:hAnsi="Arial" w:cs="Arial"/>
          <w:sz w:val="22"/>
          <w:szCs w:val="22"/>
          <w:lang w:val="en-US"/>
        </w:rPr>
      </w:pPr>
    </w:p>
    <w:p w14:paraId="02E7D9FC" w14:textId="6B911EC6"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Lastly, hypovolemia-related cardiopulmonary (CP) reflex deactivation mediated by less wall distension of the right atrial wall and pulmonary veins may increase plasma AVP leading to SIADH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&lt;Refman&gt;&lt;Cite&gt;&lt;Author&gt;Egan&lt;/Author&gt;&lt;Year&gt;1984&lt;/Year&gt;&lt;RecNum&gt;95&lt;/RecNum&gt;&lt;IDText&gt;Role of cardiopulmonary mechanoreceptors in ADH release in normal humans&lt;/IDText&gt;&lt;MDL Ref_Type="Journal"&gt;&lt;Ref_Type&gt;Journal&lt;/Ref_Type&gt;&lt;Ref_ID&gt;95&lt;/Ref_ID&gt;&lt;Title_Primary&gt;Role of cardiopulmonary mechanoreceptors in ADH release in normal humans&lt;/Title_Primary&gt;&lt;Authors_Primary&gt;Egan,B.&lt;/Authors_Primary&gt;&lt;Authors_Primary&gt;Grekin,R.&lt;/Authors_Primary&gt;&lt;Authors_Primary&gt;Ibsen,H.&lt;/Authors_Primary&gt;&lt;Authors_Primary&gt;Osterziel,K.&lt;/Authors_Primary&gt;&lt;Authors_Primary&gt;Julius,S.&lt;/Authors_Primary&gt;&lt;Date_Primary&gt;1984/11&lt;/Date_Primary&gt;&lt;Keywords&gt;Adolescent&lt;/Keywords&gt;&lt;Keywords&gt;Adult&lt;/Keywords&gt;&lt;Keywords&gt;blood&lt;/Keywords&gt;&lt;Keywords&gt;Blood Pressure&lt;/Keywords&gt;&lt;Keywords&gt;Blood Volume&lt;/Keywords&gt;&lt;Keywords&gt;Carbon Dioxide&lt;/Keywords&gt;&lt;Keywords&gt;Heart&lt;/Keywords&gt;&lt;Keywords&gt;Heart Rate&lt;/Keywords&gt;&lt;Keywords&gt;Hemodynamics&lt;/Keywords&gt;&lt;Keywords&gt;Humans&lt;/Keywords&gt;&lt;Keywords&gt;Lung&lt;/Keywords&gt;&lt;Keywords&gt;Male&lt;/Keywords&gt;&lt;Keywords&gt;Mechanoreceptors&lt;/Keywords&gt;&lt;Keywords&gt;Osmolar Concentration&lt;/Keywords&gt;&lt;Keywords&gt;physiology&lt;/Keywords&gt;&lt;Keywords&gt;Posture&lt;/Keywords&gt;&lt;Keywords&gt;Pressoreceptors&lt;/Keywords&gt;&lt;Keywords&gt;Pressure&lt;/Keywords&gt;&lt;Keywords&gt;Pulse&lt;/Keywords&gt;&lt;Keywords&gt;Renin&lt;/Keywords&gt;&lt;Keywords&gt;Research&lt;/Keywords&gt;&lt;Keywords&gt;Vasopressins&lt;/Keywords&gt;&lt;Reprint&gt;Not in File&lt;/Reprint&gt;&lt;Start_Page&gt;832&lt;/Start_Page&gt;&lt;End_Page&gt;836&lt;/End_Page&gt;&lt;Periodical&gt;Hypertension&lt;/Periodical&gt;&lt;Volume&gt;6&lt;/Volume&gt;&lt;Issue&gt;6 Pt 1&lt;/Issue&gt;&lt;Web_URL&gt;PM:6440862&lt;/Web_URL&gt;&lt;ZZ_JournalStdAbbrev&gt;&lt;f name="System"&gt;Hypertension&lt;/f&gt;&lt;/ZZ_JournalStdAbbrev&gt;&lt;ZZ_WorkformID&gt;1&lt;/ZZ_WorkformID&gt;&lt;/MDL&gt;&lt;/Cite&gt;&lt;Cite&gt;&lt;Author&gt;Rogge&lt;/Author&gt;&lt;Year&gt;1968&lt;/Year&gt;&lt;RecNum&gt;94&lt;/RecNum&gt;&lt;IDText&gt;Influence of lower body negative pressure on peripheral venous ADH levels in man&lt;/IDText&gt;&lt;MDL Ref_Type="Journal"&gt;&lt;Ref_Type&gt;Journal&lt;/Ref_Type&gt;&lt;Ref_ID&gt;94&lt;/Ref_ID&gt;&lt;Title_Primary&gt;Influence of lower body negative pressure on peripheral venous ADH levels in man&lt;/Title_Primary&gt;&lt;Authors_Primary&gt;Rogge,J.D.&lt;/Authors_Primary&gt;&lt;Authors_Primary&gt;Moore,W.W.&lt;/Authors_Primary&gt;&lt;Date_Primary&gt;1968/8&lt;/Date_Primary&gt;&lt;Keywords&gt;Arteries&lt;/Keywords&gt;&lt;Keywords&gt;blood&lt;/Keywords&gt;&lt;Keywords&gt;Blood Pressure&lt;/Keywords&gt;&lt;Keywords&gt;Heart Rate&lt;/Keywords&gt;&lt;Keywords&gt;Humans&lt;/Keywords&gt;&lt;Keywords&gt;Male&lt;/Keywords&gt;&lt;Keywords&gt;physiology&lt;/Keywords&gt;&lt;Keywords&gt;Pressure&lt;/Keywords&gt;&lt;Keywords&gt;Vasopressins&lt;/Keywords&gt;&lt;Keywords&gt;Weightlessness&lt;/Keywords&gt;&lt;Reprint&gt;Not in File&lt;/Reprint&gt;&lt;Start_Page&gt;134&lt;/Start_Page&gt;&lt;End_Page&gt;138&lt;/End_Page&gt;&lt;Periodical&gt;J Appl Physiol&lt;/Periodical&gt;&lt;Volume&gt;25&lt;/Volume&gt;&lt;Issue&gt;2&lt;/Issue&gt;&lt;Web_URL&gt;PM:5666087&lt;/Web_URL&gt;&lt;ZZ_JournalStdAbbrev&gt;&lt;f name="System"&gt;J Appl Physiol&lt;/f&gt;&lt;/ZZ_JournalStdAbbrev&gt;&lt;ZZ_WorkformID&gt;1&lt;/ZZ_WorkformID&gt;&lt;/MDL&gt;&lt;/Cite&gt;&lt;/Refman&gt;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9, 10</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 xml:space="preserve">. Conversely, CP reflex activation mediated by more right-atrial wall distension e.g. after body immersion in water is able to decrease plasma AVP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&lt;Refman&gt;&lt;Cite&gt;&lt;Author&gt;Epstein&lt;/Author&gt;&lt;Year&gt;1981&lt;/Year&gt;&lt;RecNum&gt;96&lt;/RecNum&gt;&lt;IDText&gt;Isoosmotic central blood volume expansion suppresses plasma arginine vasopressin in normal man&lt;/IDText&gt;&lt;MDL Ref_Type="Journal"&gt;&lt;Ref_Type&gt;Journal&lt;/Ref_Type&gt;&lt;Ref_ID&gt;96&lt;/Ref_ID&gt;&lt;Title_Primary&gt;Isoosmotic central blood volume expansion suppresses plasma arginine vasopressin in normal man&lt;/Title_Primary&gt;&lt;Authors_Primary&gt;Epstein,M.&lt;/Authors_Primary&gt;&lt;Authors_Primary&gt;Preston,S.&lt;/Authors_Primary&gt;&lt;Authors_Primary&gt;Weitzman,R.E.&lt;/Authors_Primary&gt;&lt;Date_Primary&gt;1981/2&lt;/Date_Primary&gt;&lt;Keywords&gt;Adult&lt;/Keywords&gt;&lt;Keywords&gt;Arginine Vasopressin&lt;/Keywords&gt;&lt;Keywords&gt;blood&lt;/Keywords&gt;&lt;Keywords&gt;Blood Volume&lt;/Keywords&gt;&lt;Keywords&gt;Creatinine&lt;/Keywords&gt;&lt;Keywords&gt;Humans&lt;/Keywords&gt;&lt;Keywords&gt;Immersion&lt;/Keywords&gt;&lt;Keywords&gt;Kinetics&lt;/Keywords&gt;&lt;Keywords&gt;Male&lt;/Keywords&gt;&lt;Keywords&gt;Middle Aged&lt;/Keywords&gt;&lt;Keywords&gt;Osmolar Concentration&lt;/Keywords&gt;&lt;Keywords&gt;Potassium&lt;/Keywords&gt;&lt;Keywords&gt;Renin&lt;/Keywords&gt;&lt;Keywords&gt;Research&lt;/Keywords&gt;&lt;Keywords&gt;Sodium&lt;/Keywords&gt;&lt;Keywords&gt;urine&lt;/Keywords&gt;&lt;Keywords&gt;Water&lt;/Keywords&gt;&lt;Keywords&gt;Water Deprivation&lt;/Keywords&gt;&lt;Reprint&gt;Not in File&lt;/Reprint&gt;&lt;Start_Page&gt;256&lt;/Start_Page&gt;&lt;End_Page&gt;262&lt;/End_Page&gt;&lt;Periodical&gt;J Clin Endocrinol.Metab&lt;/Periodical&gt;&lt;Volume&gt;52&lt;/Volume&gt;&lt;Issue&gt;2&lt;/Issue&gt;&lt;Web_URL&gt;PM:7007402&lt;/Web_URL&gt;&lt;ZZ_JournalStdAbbrev&gt;&lt;f name="System"&gt;J Clin Endocrinol.Metab&lt;/f&gt;&lt;/ZZ_JournalStdAbbrev&gt;&lt;ZZ_WorkformID&gt;1&lt;/ZZ_WorkformID&gt;&lt;/MDL&gt;&lt;/Cite&gt;&lt;/Refman&gt;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11</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w:t>
      </w:r>
    </w:p>
    <w:p w14:paraId="395678E2" w14:textId="77777777" w:rsidR="00341067" w:rsidRPr="00D05450" w:rsidRDefault="00341067" w:rsidP="00341067">
      <w:pPr>
        <w:spacing w:line="276" w:lineRule="auto"/>
        <w:rPr>
          <w:rFonts w:ascii="Arial" w:hAnsi="Arial" w:cs="Arial"/>
          <w:sz w:val="22"/>
          <w:szCs w:val="22"/>
          <w:lang w:val="en-US"/>
        </w:rPr>
      </w:pPr>
    </w:p>
    <w:p w14:paraId="13A23F70" w14:textId="45683FC2"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The term “primary SIADH” is used for all above-mentioned causes involving a known or suspected dysregulation of OSM and/or circulating-blood volume. The term “secondary SIADH” is attributed to pituitary-independent causes of AVP increases, e.g.</w:t>
      </w:r>
      <w:r w:rsidR="00341067" w:rsidRPr="00D05450">
        <w:rPr>
          <w:rFonts w:ascii="Arial" w:hAnsi="Arial" w:cs="Arial"/>
          <w:sz w:val="22"/>
          <w:szCs w:val="22"/>
          <w:lang w:val="en-US"/>
        </w:rPr>
        <w:t>,</w:t>
      </w:r>
      <w:r w:rsidRPr="00D05450">
        <w:rPr>
          <w:rFonts w:ascii="Arial" w:hAnsi="Arial" w:cs="Arial"/>
          <w:sz w:val="22"/>
          <w:szCs w:val="22"/>
          <w:lang w:val="en-US"/>
        </w:rPr>
        <w:t xml:space="preserve"> in hormone-active neoplasms such as small-cell lung cancer. In addition, a drug-induced type of SIADH is detailed here.</w:t>
      </w:r>
    </w:p>
    <w:p w14:paraId="52686994" w14:textId="77777777" w:rsidR="000C2CA8" w:rsidRPr="00D05450" w:rsidRDefault="000C2CA8" w:rsidP="00341067">
      <w:pPr>
        <w:spacing w:line="276" w:lineRule="auto"/>
        <w:rPr>
          <w:rFonts w:ascii="Arial" w:hAnsi="Arial" w:cs="Arial"/>
          <w:b/>
          <w:bCs/>
          <w:sz w:val="22"/>
          <w:szCs w:val="22"/>
          <w:lang w:val="en-US"/>
        </w:rPr>
      </w:pPr>
    </w:p>
    <w:p w14:paraId="0AA744F6" w14:textId="09AFAC1C" w:rsidR="000C2CA8" w:rsidRPr="00D05450" w:rsidRDefault="00D12970" w:rsidP="00341067">
      <w:pPr>
        <w:spacing w:line="276" w:lineRule="auto"/>
        <w:rPr>
          <w:rFonts w:ascii="Arial" w:hAnsi="Arial" w:cs="Arial"/>
          <w:b/>
          <w:bCs/>
          <w:color w:val="0070C0"/>
          <w:sz w:val="22"/>
          <w:szCs w:val="22"/>
          <w:lang w:val="en-US"/>
        </w:rPr>
      </w:pPr>
      <w:r w:rsidRPr="00D05450">
        <w:rPr>
          <w:rFonts w:ascii="Arial" w:hAnsi="Arial" w:cs="Arial"/>
          <w:b/>
          <w:bCs/>
          <w:color w:val="0070C0"/>
          <w:sz w:val="22"/>
          <w:szCs w:val="22"/>
          <w:lang w:val="en-US"/>
        </w:rPr>
        <w:t>C</w:t>
      </w:r>
      <w:r w:rsidR="00341067" w:rsidRPr="00D05450">
        <w:rPr>
          <w:rFonts w:ascii="Arial" w:hAnsi="Arial" w:cs="Arial"/>
          <w:b/>
          <w:bCs/>
          <w:color w:val="0070C0"/>
          <w:sz w:val="22"/>
          <w:szCs w:val="22"/>
          <w:lang w:val="en-US"/>
        </w:rPr>
        <w:t xml:space="preserve">LINICAL PRESENTATION OF </w:t>
      </w:r>
      <w:r w:rsidRPr="00D05450">
        <w:rPr>
          <w:rFonts w:ascii="Arial" w:hAnsi="Arial" w:cs="Arial"/>
          <w:b/>
          <w:bCs/>
          <w:color w:val="0070C0"/>
          <w:sz w:val="22"/>
          <w:szCs w:val="22"/>
          <w:lang w:val="en-US"/>
        </w:rPr>
        <w:t>SIADH</w:t>
      </w:r>
    </w:p>
    <w:p w14:paraId="2625E5B7" w14:textId="77777777" w:rsidR="00341067" w:rsidRPr="00D05450" w:rsidRDefault="00341067" w:rsidP="00341067">
      <w:pPr>
        <w:pStyle w:val="Heading3"/>
        <w:spacing w:before="0" w:after="0" w:line="276" w:lineRule="auto"/>
        <w:rPr>
          <w:rFonts w:ascii="Arial" w:hAnsi="Arial" w:cs="Arial"/>
          <w:sz w:val="22"/>
          <w:szCs w:val="22"/>
          <w:lang w:val="en-US"/>
        </w:rPr>
      </w:pPr>
    </w:p>
    <w:p w14:paraId="4E0D3DF3" w14:textId="3C0C3507" w:rsidR="000C2CA8" w:rsidRPr="00D05450" w:rsidRDefault="00D12970" w:rsidP="00341067">
      <w:pPr>
        <w:pStyle w:val="Heading3"/>
        <w:spacing w:before="0" w:after="0" w:line="276" w:lineRule="auto"/>
        <w:rPr>
          <w:rFonts w:ascii="Arial" w:hAnsi="Arial" w:cs="Arial"/>
          <w:b w:val="0"/>
          <w:sz w:val="22"/>
          <w:szCs w:val="22"/>
          <w:lang w:val="en-US"/>
        </w:rPr>
      </w:pPr>
      <w:r w:rsidRPr="00D05450">
        <w:rPr>
          <w:rFonts w:ascii="Arial" w:hAnsi="Arial" w:cs="Arial"/>
          <w:b w:val="0"/>
          <w:sz w:val="22"/>
          <w:szCs w:val="22"/>
          <w:lang w:val="en-US"/>
        </w:rPr>
        <w:t xml:space="preserve">Both moderate and especially severe hyponatremia (Na &lt; 125 mmol/l) found in newly admitted hospital patients is linked with a significantly elevated in-hospital mortality of 28% compared to 9% in-hospital mortality in normonatremic, matched control patients </w:t>
      </w:r>
      <w:r w:rsidRPr="00D05450">
        <w:rPr>
          <w:rFonts w:ascii="Arial" w:hAnsi="Arial" w:cs="Arial"/>
          <w:sz w:val="22"/>
          <w:szCs w:val="22"/>
          <w:lang w:val="en-US"/>
        </w:rPr>
        <w:fldChar w:fldCharType="begin"/>
      </w:r>
      <w:r w:rsidRPr="00D05450">
        <w:rPr>
          <w:rFonts w:ascii="Arial" w:hAnsi="Arial" w:cs="Arial"/>
          <w:b w:val="0"/>
          <w:sz w:val="22"/>
          <w:szCs w:val="22"/>
          <w:lang w:val="en-US"/>
        </w:rPr>
        <w:instrText>ADDIN REFMGR.CITE &lt;Refman&gt;&lt;Cite&gt;&lt;Author&gt;Hoorn&lt;/Author&gt;&lt;Year&gt;2009&lt;/Year&gt;&lt;RecNum&gt;223&lt;/RecNum&gt;&lt;IDText&gt;SIADH and hyponatraemia: why does it matter?&lt;/IDText&gt;&lt;MDL Ref_Type="Journal"&gt;&lt;Ref_Type&gt;Journal&lt;/Ref_Type&gt;&lt;Ref_ID&gt;223&lt;/Ref_ID&gt;&lt;Title_Primary&gt;SIADH and hyponatraemia: why does it matter?&lt;/Title_Primary&gt;&lt;Authors_Primary&gt;Hoorn,Ewout J.&lt;/Authors_Primary&gt;&lt;Authors_Primary&gt;van der Lubbe,Nils&lt;/Authors_Primary&gt;&lt;Authors_Primary&gt;Zietse,Robert&lt;/Authors_Primary&gt;&lt;Date_Primary&gt;2009/11/1&lt;/Date_Primary&gt;&lt;Reprint&gt;Not in File&lt;/Reprint&gt;&lt;Start_Page&gt;iii5&lt;/Start_Page&gt;&lt;End_Page&gt;iii11&lt;/End_Page&gt;&lt;Periodical&gt;NDT Plus&lt;/Periodical&gt;&lt;Volume&gt;2&lt;/Volume&gt;&lt;Issue&gt;suppl 3&lt;/Issue&gt;&lt;Web_URL&gt;http://ckj.oxfordjournals.org/content/2/suppl_3/iii5.abstract&lt;/Web_URL&gt;&lt;ZZ_JournalFull&gt;&lt;f name="System"&gt;NDT Plus&lt;/f&gt;&lt;/ZZ_JournalFull&gt;&lt;ZZ_WorkformID&gt;1&lt;/ZZ_WorkformID&gt;&lt;/MDL&gt;&lt;/Cite&gt;&lt;/Refman&gt;</w:instrText>
      </w:r>
      <w:r w:rsidRPr="00D05450">
        <w:rPr>
          <w:rFonts w:ascii="Arial" w:hAnsi="Arial" w:cs="Arial"/>
          <w:b w:val="0"/>
          <w:sz w:val="22"/>
          <w:szCs w:val="22"/>
          <w:lang w:val="en-US"/>
        </w:rPr>
        <w:fldChar w:fldCharType="separate"/>
      </w:r>
      <w:r w:rsidR="00341067" w:rsidRPr="00D05450">
        <w:rPr>
          <w:rFonts w:ascii="Arial" w:hAnsi="Arial" w:cs="Arial"/>
          <w:b w:val="0"/>
          <w:sz w:val="22"/>
          <w:szCs w:val="22"/>
          <w:lang w:val="en-US"/>
        </w:rPr>
        <w:t>(</w:t>
      </w:r>
      <w:r w:rsidRPr="00D05450">
        <w:rPr>
          <w:rFonts w:ascii="Arial" w:hAnsi="Arial" w:cs="Arial"/>
          <w:b w:val="0"/>
          <w:sz w:val="22"/>
          <w:szCs w:val="22"/>
          <w:lang w:val="en-US"/>
        </w:rPr>
        <w:t>12</w:t>
      </w:r>
      <w:r w:rsidR="00341067" w:rsidRPr="00D05450">
        <w:rPr>
          <w:rFonts w:ascii="Arial" w:hAnsi="Arial" w:cs="Arial"/>
          <w:b w:val="0"/>
          <w:sz w:val="22"/>
          <w:szCs w:val="22"/>
          <w:lang w:val="en-US"/>
        </w:rPr>
        <w:t>)</w:t>
      </w:r>
      <w:r w:rsidRPr="00D05450">
        <w:rPr>
          <w:rFonts w:ascii="Arial" w:hAnsi="Arial" w:cs="Arial"/>
          <w:b w:val="0"/>
          <w:sz w:val="22"/>
          <w:szCs w:val="22"/>
          <w:lang w:val="en-US"/>
        </w:rPr>
        <w:fldChar w:fldCharType="end"/>
      </w:r>
      <w:r w:rsidRPr="00D05450">
        <w:rPr>
          <w:rFonts w:ascii="Arial" w:hAnsi="Arial" w:cs="Arial"/>
          <w:b w:val="0"/>
          <w:sz w:val="22"/>
          <w:szCs w:val="22"/>
          <w:lang w:val="en-US"/>
        </w:rPr>
        <w:t xml:space="preserve">. Mortality, in fact, increases when serum Na levels are below 137 mmol/L </w:t>
      </w:r>
      <w:r w:rsidRPr="00D05450">
        <w:rPr>
          <w:rFonts w:ascii="Arial" w:hAnsi="Arial" w:cs="Arial"/>
          <w:sz w:val="22"/>
          <w:szCs w:val="22"/>
          <w:lang w:val="en-US"/>
        </w:rPr>
        <w:fldChar w:fldCharType="begin"/>
      </w:r>
      <w:r w:rsidRPr="00D05450">
        <w:rPr>
          <w:rFonts w:ascii="Arial" w:hAnsi="Arial" w:cs="Arial"/>
          <w:b w:val="0"/>
          <w:sz w:val="22"/>
          <w:szCs w:val="22"/>
          <w:lang w:val="en-US"/>
        </w:rPr>
        <w:instrText>ADDIN REFMGR.CITE &lt;Refman&gt;&lt;Cite&gt;&lt;Author&gt;Verbalis&lt;/Author&gt;&lt;Year&gt;2013&lt;/Year&gt;&lt;RecNum&gt;365&lt;/RecNum&gt;&lt;IDText&gt;Diagnosis, evaluation, and treatment of hyponatremia: expert panel recommendations&lt;/IDText&gt;&lt;MDL Ref_Type="Journal"&gt;&lt;Ref_Type&gt;Journal&lt;/Ref_Type&gt;&lt;Ref_ID&gt;365&lt;/Ref_ID&gt;&lt;Title_Primary&gt;Diagnosis, evaluation, and treatment of hyponatremia: expert panel recommendations&lt;/Title_Primary&gt;&lt;Authors_Primary&gt;Verbalis,J.G.&lt;/Authors_Primary&gt;&lt;Authors_Primary&gt;Goldsmith,S.R.&lt;/Authors_Primary&gt;&lt;Authors_Primary&gt;Greenberg,A.&lt;/Authors_Primary&gt;&lt;Authors_Primary&gt;Korzelius,C.&lt;/Authors_Primary&gt;&lt;Authors_Primary&gt;Schrier,R.W.&lt;/Authors_Primary&gt;&lt;Authors_Primary&gt;Sterns,R.H.&lt;/Authors_Primary&gt;&lt;Authors_Primary&gt;Thompson,C.J.&lt;/Authors_Primary&gt;&lt;Date_Primary&gt;2013/10&lt;/Date_Primary&gt;&lt;Keywords&gt;Adrenal Insufficiency&lt;/Keywords&gt;&lt;Keywords&gt;adverse effects&lt;/Keywords&gt;&lt;Keywords&gt;Antidiuretic Hormone Receptor Antagonists&lt;/Keywords&gt;&lt;Keywords&gt;Clinical Trials as Topic&lt;/Keywords&gt;&lt;Keywords&gt;Comorbidity&lt;/Keywords&gt;&lt;Keywords&gt;complications&lt;/Keywords&gt;&lt;Keywords&gt;Consensus&lt;/Keywords&gt;&lt;Keywords&gt;diagnosis&lt;/Keywords&gt;&lt;Keywords&gt;Diagnosis,Differential&lt;/Keywords&gt;&lt;Keywords&gt;Diuretics&lt;/Keywords&gt;&lt;Keywords&gt;drug therapy&lt;/Keywords&gt;&lt;Keywords&gt;Edema&lt;/Keywords&gt;&lt;Keywords&gt;etiology&lt;/Keywords&gt;&lt;Keywords&gt;Gastrointestinal Diseases&lt;/Keywords&gt;&lt;Keywords&gt;Genetic Diseases,X-Linked&lt;/Keywords&gt;&lt;Keywords&gt;Humans&lt;/Keywords&gt;&lt;Keywords&gt;Hyponatremia&lt;/Keywords&gt;&lt;Keywords&gt;Hypothyroidism&lt;/Keywords&gt;&lt;Keywords&gt;Hypovolemia&lt;/Keywords&gt;&lt;Keywords&gt;Inappropriate ADH Syndrome&lt;/Keywords&gt;&lt;Keywords&gt;Liver Cirrhosis&lt;/Keywords&gt;&lt;Keywords&gt;metabolism&lt;/Keywords&gt;&lt;Keywords&gt;Morbidity&lt;/Keywords&gt;&lt;Keywords&gt;mortality&lt;/Keywords&gt;&lt;Keywords&gt;pathology&lt;/Keywords&gt;&lt;Keywords&gt;Polydipsia&lt;/Keywords&gt;&lt;Keywords&gt;Receptors,Vasopressin&lt;/Keywords&gt;&lt;Keywords&gt;Research&lt;/Keywords&gt;&lt;Keywords&gt;Sodium&lt;/Keywords&gt;&lt;Keywords&gt;Sodium Chloride&lt;/Keywords&gt;&lt;Keywords&gt;Syndrome&lt;/Keywords&gt;&lt;Keywords&gt;therapeutic use&lt;/Keywords&gt;&lt;Keywords&gt;therapy&lt;/Keywords&gt;&lt;Keywords&gt;Vasopressins&lt;/Keywords&gt;&lt;Reprint&gt;Not in File&lt;/Reprint&gt;&lt;Start_Page&gt;S1&lt;/Start_Page&gt;&lt;End_Page&gt;42&lt;/End_Page&gt;&lt;Periodical&gt;Am J Med&lt;/Periodical&gt;&lt;Volume&gt;126&lt;/Volume&gt;&lt;Issue&gt;10 Suppl 1&lt;/Issue&gt;&lt;Address&gt;Georgetown University Medical Center, Washington, DC. Electronic address: verbalis@georgetown.edu&lt;/Address&gt;&lt;Web_URL&gt;PM:24074529&lt;/Web_URL&gt;&lt;ZZ_JournalStdAbbrev&gt;&lt;f name="System"&gt;Am J Med&lt;/f&gt;&lt;/ZZ_JournalStdAbbrev&gt;&lt;ZZ_WorkformID&gt;1&lt;/ZZ_WorkformID&gt;&lt;/MDL&gt;&lt;/Cite&gt;&lt;/Refman&gt;</w:instrText>
      </w:r>
      <w:r w:rsidRPr="00D05450">
        <w:rPr>
          <w:rFonts w:ascii="Arial" w:hAnsi="Arial" w:cs="Arial"/>
          <w:b w:val="0"/>
          <w:sz w:val="22"/>
          <w:szCs w:val="22"/>
          <w:lang w:val="en-US"/>
        </w:rPr>
        <w:fldChar w:fldCharType="separate"/>
      </w:r>
      <w:r w:rsidR="00341067" w:rsidRPr="00D05450">
        <w:rPr>
          <w:rFonts w:ascii="Arial" w:hAnsi="Arial" w:cs="Arial"/>
          <w:b w:val="0"/>
          <w:sz w:val="22"/>
          <w:szCs w:val="22"/>
          <w:lang w:val="en-US"/>
        </w:rPr>
        <w:t>(</w:t>
      </w:r>
      <w:r w:rsidRPr="00D05450">
        <w:rPr>
          <w:rFonts w:ascii="Arial" w:hAnsi="Arial" w:cs="Arial"/>
          <w:b w:val="0"/>
          <w:sz w:val="22"/>
          <w:szCs w:val="22"/>
          <w:lang w:val="en-US"/>
        </w:rPr>
        <w:t>13</w:t>
      </w:r>
      <w:r w:rsidR="00341067" w:rsidRPr="00D05450">
        <w:rPr>
          <w:rFonts w:ascii="Arial" w:hAnsi="Arial" w:cs="Arial"/>
          <w:b w:val="0"/>
          <w:sz w:val="22"/>
          <w:szCs w:val="22"/>
          <w:lang w:val="en-US"/>
        </w:rPr>
        <w:t>)</w:t>
      </w:r>
      <w:r w:rsidRPr="00D05450">
        <w:rPr>
          <w:rFonts w:ascii="Arial" w:hAnsi="Arial" w:cs="Arial"/>
          <w:b w:val="0"/>
          <w:sz w:val="22"/>
          <w:szCs w:val="22"/>
          <w:lang w:val="en-US"/>
        </w:rPr>
        <w:fldChar w:fldCharType="end"/>
      </w:r>
      <w:r w:rsidRPr="00D05450">
        <w:rPr>
          <w:rFonts w:ascii="Arial" w:hAnsi="Arial" w:cs="Arial"/>
          <w:b w:val="0"/>
          <w:sz w:val="22"/>
          <w:szCs w:val="22"/>
          <w:lang w:val="en-US"/>
        </w:rPr>
        <w:t xml:space="preserve">. While </w:t>
      </w:r>
      <w:r w:rsidRPr="00D05450">
        <w:rPr>
          <w:rFonts w:ascii="Arial" w:hAnsi="Arial" w:cs="Arial"/>
          <w:b w:val="0"/>
          <w:sz w:val="22"/>
          <w:szCs w:val="22"/>
          <w:lang w:val="en-US"/>
        </w:rPr>
        <w:lastRenderedPageBreak/>
        <w:t xml:space="preserve">(neurological) symptoms of hyponatremia such as gait disturbances, cognitive dysfunction and dizziness may lead to falls leading to subsequent injuries requiring medical care, either preceding symptom may be subtle and difficult to diagnose. Therefore, hyponatremia often is overseen or not given full attention. Furthermore, if hyponatremia is diagnosed, it is regularly classified to be asymptomatic. Diagnostic differentiation remains absent or incomplete. Thus, underlying reasons often remain obscure </w:t>
      </w:r>
      <w:r w:rsidRPr="00D05450">
        <w:rPr>
          <w:rFonts w:ascii="Arial" w:hAnsi="Arial" w:cs="Arial"/>
          <w:sz w:val="22"/>
          <w:szCs w:val="22"/>
          <w:lang w:val="en-US"/>
        </w:rPr>
        <w:fldChar w:fldCharType="begin"/>
      </w:r>
      <w:r w:rsidRPr="00D05450">
        <w:rPr>
          <w:rFonts w:ascii="Arial" w:hAnsi="Arial" w:cs="Arial"/>
          <w:b w:val="0"/>
          <w:sz w:val="22"/>
          <w:szCs w:val="22"/>
          <w:lang w:val="en-US"/>
        </w:rPr>
        <w:instrText>ADDIN REFMGR.CITE &lt;Refman&gt;&lt;Cite&gt;&lt;Author&gt;Clayton&lt;/Author&gt;&lt;Year&gt;2006&lt;/Year&gt;&lt;RecNum&gt;366&lt;/RecNum&gt;&lt;IDText&gt;Severe hyponatraemia in medical in-patients: aetiology, assessment and outcome&lt;/IDText&gt;&lt;MDL Ref_Type="Journal"&gt;&lt;Ref_Type&gt;Journal&lt;/Ref_Type&gt;&lt;Ref_ID&gt;366&lt;/Ref_ID&gt;&lt;Title_Primary&gt;Severe hyponatraemia in medical in-patients: aetiology, assessment and outcome&lt;/Title_Primary&gt;&lt;Authors_Primary&gt;Clayton,J.A.&lt;/Authors_Primary&gt;&lt;Authors_Primary&gt;Le,Jeune,I&lt;/Authors_Primary&gt;&lt;Authors_Primary&gt;Hall,I.P.&lt;/Authors_Primary&gt;&lt;Date_Primary&gt;2006/8&lt;/Date_Primary&gt;&lt;Keywords&gt;Adult&lt;/Keywords&gt;&lt;Keywords&gt;Aged&lt;/Keywords&gt;&lt;Keywords&gt;Aged,80 and over&lt;/Keywords&gt;&lt;Keywords&gt;chemistry&lt;/Keywords&gt;&lt;Keywords&gt;diagnosis&lt;/Keywords&gt;&lt;Keywords&gt;Epidemiologic Methods&lt;/Keywords&gt;&lt;Keywords&gt;etiology&lt;/Keywords&gt;&lt;Keywords&gt;Female&lt;/Keywords&gt;&lt;Keywords&gt;history&lt;/Keywords&gt;&lt;Keywords&gt;Hospitalization&lt;/Keywords&gt;&lt;Keywords&gt;Humans&lt;/Keywords&gt;&lt;Keywords&gt;Hyponatremia&lt;/Keywords&gt;&lt;Keywords&gt;Inappropriate ADH Syndrome&lt;/Keywords&gt;&lt;Keywords&gt;Inpatients&lt;/Keywords&gt;&lt;Keywords&gt;Male&lt;/Keywords&gt;&lt;Keywords&gt;methods&lt;/Keywords&gt;&lt;Keywords&gt;Middle Aged&lt;/Keywords&gt;&lt;Keywords&gt;mortality&lt;/Keywords&gt;&lt;Keywords&gt;Outcome Assessment (Health Care)&lt;/Keywords&gt;&lt;Keywords&gt;Prognosis&lt;/Keywords&gt;&lt;Keywords&gt;Research&lt;/Keywords&gt;&lt;Keywords&gt;Sodium&lt;/Keywords&gt;&lt;Keywords&gt;Syndrome&lt;/Keywords&gt;&lt;Keywords&gt;therapy&lt;/Keywords&gt;&lt;Keywords&gt;Time&lt;/Keywords&gt;&lt;Reprint&gt;Not in File&lt;/Reprint&gt;&lt;Start_Page&gt;505&lt;/Start_Page&gt;&lt;End_Page&gt;511&lt;/End_Page&gt;&lt;Periodical&gt;QJM.&lt;/Periodical&gt;&lt;Volume&gt;99&lt;/Volume&gt;&lt;Issue&gt;8&lt;/Issue&gt;&lt;Address&gt;Division of Therapeutics and Molecular Medicine, Queen&amp;apos;s Medical Centre, Nottingham NG7 2UH. jennifer.marshall@nottingham.ac.uk&lt;/Address&gt;&lt;Web_URL&gt;PM:16861720&lt;/Web_URL&gt;&lt;ZZ_JournalStdAbbrev&gt;&lt;f name="System"&gt;QJM.&lt;/f&gt;&lt;/ZZ_JournalStdAbbrev&gt;&lt;ZZ_WorkformID&gt;1&lt;/ZZ_WorkformID&gt;&lt;/MDL&gt;&lt;/Cite&gt;&lt;/Refman&gt;</w:instrText>
      </w:r>
      <w:r w:rsidRPr="00D05450">
        <w:rPr>
          <w:rFonts w:ascii="Arial" w:hAnsi="Arial" w:cs="Arial"/>
          <w:b w:val="0"/>
          <w:sz w:val="22"/>
          <w:szCs w:val="22"/>
          <w:lang w:val="en-US"/>
        </w:rPr>
        <w:fldChar w:fldCharType="separate"/>
      </w:r>
      <w:r w:rsidR="00341067" w:rsidRPr="00D05450">
        <w:rPr>
          <w:rFonts w:ascii="Arial" w:hAnsi="Arial" w:cs="Arial"/>
          <w:b w:val="0"/>
          <w:sz w:val="22"/>
          <w:szCs w:val="22"/>
          <w:lang w:val="en-US"/>
        </w:rPr>
        <w:t>(</w:t>
      </w:r>
      <w:r w:rsidRPr="00D05450">
        <w:rPr>
          <w:rFonts w:ascii="Arial" w:hAnsi="Arial" w:cs="Arial"/>
          <w:b w:val="0"/>
          <w:sz w:val="22"/>
          <w:szCs w:val="22"/>
          <w:lang w:val="en-US"/>
        </w:rPr>
        <w:t>14</w:t>
      </w:r>
      <w:r w:rsidR="00341067" w:rsidRPr="00D05450">
        <w:rPr>
          <w:rFonts w:ascii="Arial" w:hAnsi="Arial" w:cs="Arial"/>
          <w:b w:val="0"/>
          <w:sz w:val="22"/>
          <w:szCs w:val="22"/>
          <w:lang w:val="en-US"/>
        </w:rPr>
        <w:t>)</w:t>
      </w:r>
      <w:r w:rsidRPr="00D05450">
        <w:rPr>
          <w:rFonts w:ascii="Arial" w:hAnsi="Arial" w:cs="Arial"/>
          <w:b w:val="0"/>
          <w:sz w:val="22"/>
          <w:szCs w:val="22"/>
          <w:lang w:val="en-US"/>
        </w:rPr>
        <w:fldChar w:fldCharType="end"/>
      </w:r>
      <w:r w:rsidRPr="00D05450">
        <w:rPr>
          <w:rFonts w:ascii="Arial" w:hAnsi="Arial" w:cs="Arial"/>
          <w:b w:val="0"/>
          <w:sz w:val="22"/>
          <w:szCs w:val="22"/>
          <w:lang w:val="en-US"/>
        </w:rPr>
        <w:t xml:space="preserve">. However, </w:t>
      </w:r>
      <w:r w:rsidRPr="00D05450">
        <w:rPr>
          <w:rFonts w:ascii="Arial" w:hAnsi="Arial" w:cs="Arial"/>
          <w:b w:val="0"/>
          <w:bCs w:val="0"/>
          <w:sz w:val="22"/>
          <w:szCs w:val="22"/>
          <w:lang w:val="en-US"/>
        </w:rPr>
        <w:t xml:space="preserve">cognitive and/or geriatric functional tests </w:t>
      </w:r>
      <w:r w:rsidRPr="00D05450">
        <w:rPr>
          <w:rFonts w:ascii="Arial" w:hAnsi="Arial" w:cs="Arial"/>
          <w:b w:val="0"/>
          <w:sz w:val="22"/>
          <w:szCs w:val="22"/>
          <w:lang w:val="en-US"/>
        </w:rPr>
        <w:t xml:space="preserve">regularly reveal a significant impairment in states of hyponatremia. </w:t>
      </w:r>
    </w:p>
    <w:p w14:paraId="3B5B1A45" w14:textId="77777777" w:rsidR="00092BC2" w:rsidRPr="00D05450" w:rsidRDefault="00092BC2" w:rsidP="00092BC2">
      <w:pPr>
        <w:pStyle w:val="BodyText"/>
      </w:pPr>
    </w:p>
    <w:p w14:paraId="6D0E7009" w14:textId="74BC5D62" w:rsidR="000C2CA8" w:rsidRPr="00D05450" w:rsidRDefault="00D12970" w:rsidP="00341067">
      <w:pPr>
        <w:pStyle w:val="Heading3"/>
        <w:spacing w:before="0" w:after="0" w:line="276" w:lineRule="auto"/>
        <w:rPr>
          <w:rFonts w:ascii="Arial" w:hAnsi="Arial" w:cs="Arial"/>
          <w:sz w:val="22"/>
          <w:szCs w:val="22"/>
          <w:lang w:val="en-US"/>
        </w:rPr>
      </w:pPr>
      <w:r w:rsidRPr="00D05450">
        <w:rPr>
          <w:rFonts w:ascii="Arial" w:hAnsi="Arial" w:cs="Arial"/>
          <w:b w:val="0"/>
          <w:sz w:val="22"/>
          <w:szCs w:val="22"/>
          <w:lang w:val="en-US"/>
        </w:rPr>
        <w:t xml:space="preserve">Clearly, symptoms of hyponatremia depend on the time elapsed since the start of hyponatremia development. Hyponatremia developing in less than 48 hours may already present with </w:t>
      </w:r>
      <w:r w:rsidRPr="00D05450">
        <w:rPr>
          <w:rFonts w:ascii="Arial" w:hAnsi="Arial" w:cs="Arial"/>
          <w:b w:val="0"/>
          <w:bCs w:val="0"/>
          <w:sz w:val="22"/>
          <w:szCs w:val="22"/>
          <w:lang w:val="en-US"/>
        </w:rPr>
        <w:t>severe</w:t>
      </w:r>
      <w:r w:rsidRPr="00D05450">
        <w:rPr>
          <w:rFonts w:ascii="Arial" w:hAnsi="Arial" w:cs="Arial"/>
          <w:b w:val="0"/>
          <w:sz w:val="22"/>
          <w:szCs w:val="22"/>
          <w:lang w:val="en-US"/>
        </w:rPr>
        <w:t xml:space="preserve"> symptoms which are mainly caused by cerebral edema and a high intracranial pressure. These include epileptic convulsions, a pronounced somnolence or coma, vomiting and/or a compromised respiratory regulation. Symptoms like headache or modest nausea generally reflect a rather </w:t>
      </w:r>
      <w:r w:rsidRPr="00D05450">
        <w:rPr>
          <w:rFonts w:ascii="Arial" w:hAnsi="Arial" w:cs="Arial"/>
          <w:b w:val="0"/>
          <w:bCs w:val="0"/>
          <w:sz w:val="22"/>
          <w:szCs w:val="22"/>
          <w:lang w:val="en-US"/>
        </w:rPr>
        <w:t>moderate</w:t>
      </w:r>
      <w:r w:rsidRPr="00D05450">
        <w:rPr>
          <w:rFonts w:ascii="Arial" w:hAnsi="Arial" w:cs="Arial"/>
          <w:b w:val="0"/>
          <w:sz w:val="22"/>
          <w:szCs w:val="22"/>
          <w:lang w:val="en-US"/>
        </w:rPr>
        <w:t xml:space="preserve"> severity.</w:t>
      </w:r>
    </w:p>
    <w:p w14:paraId="2A7A9754" w14:textId="77777777" w:rsidR="00092BC2" w:rsidRPr="00D05450" w:rsidRDefault="00092BC2" w:rsidP="00092BC2">
      <w:pPr>
        <w:pStyle w:val="Heading3"/>
        <w:numPr>
          <w:ilvl w:val="0"/>
          <w:numId w:val="0"/>
        </w:numPr>
        <w:spacing w:before="0" w:after="0" w:line="276" w:lineRule="auto"/>
        <w:rPr>
          <w:rFonts w:ascii="Arial" w:hAnsi="Arial" w:cs="Arial"/>
          <w:b w:val="0"/>
          <w:sz w:val="22"/>
          <w:szCs w:val="22"/>
          <w:lang w:val="en-US"/>
        </w:rPr>
      </w:pPr>
    </w:p>
    <w:p w14:paraId="5DED0486" w14:textId="79577042" w:rsidR="000C2CA8" w:rsidRPr="00D05450" w:rsidRDefault="00D12970" w:rsidP="00092BC2">
      <w:pPr>
        <w:pStyle w:val="Heading3"/>
        <w:numPr>
          <w:ilvl w:val="0"/>
          <w:numId w:val="0"/>
        </w:numPr>
        <w:spacing w:before="0" w:after="0" w:line="276" w:lineRule="auto"/>
        <w:rPr>
          <w:rFonts w:ascii="Arial" w:hAnsi="Arial" w:cs="Arial"/>
          <w:sz w:val="22"/>
          <w:szCs w:val="22"/>
          <w:lang w:val="en-US"/>
        </w:rPr>
      </w:pPr>
      <w:r w:rsidRPr="00D05450">
        <w:rPr>
          <w:rFonts w:ascii="Arial" w:hAnsi="Arial" w:cs="Arial"/>
          <w:b w:val="0"/>
          <w:sz w:val="22"/>
          <w:szCs w:val="22"/>
          <w:lang w:val="en-US"/>
        </w:rPr>
        <w:t xml:space="preserve">In patients with acute hyponatremia, a brief patient history and a physical examination should be performed (Table 1). In cases of a rather slowly developing or chronic hyponatremia, intracellular regulations such as decreased uptake of taurin aim to adapt to the decreased extracellular osmolality. Therefore, those patients may show very subtle or even no clinical alterations. Taurin is an endogenous amino acid that mediates cellular adaptation to hyperosmotic stress </w:t>
      </w:r>
      <w:r w:rsidRPr="00D05450">
        <w:rPr>
          <w:rFonts w:ascii="Arial" w:hAnsi="Arial" w:cs="Arial"/>
          <w:sz w:val="22"/>
          <w:szCs w:val="22"/>
          <w:lang w:val="en-US"/>
        </w:rPr>
        <w:fldChar w:fldCharType="begin"/>
      </w:r>
      <w:r w:rsidRPr="00D05450">
        <w:rPr>
          <w:rFonts w:ascii="Arial" w:hAnsi="Arial" w:cs="Arial"/>
          <w:b w:val="0"/>
          <w:sz w:val="22"/>
          <w:szCs w:val="22"/>
          <w:lang w:val="en-US"/>
        </w:rPr>
        <w:instrText>ADDIN REFMGR.CITE &lt;Refman&gt;&lt;Cite&gt;&lt;Author&gt;Ito&lt;/Author&gt;&lt;Year&gt;2004&lt;/Year&gt;&lt;RecNum&gt;367&lt;/RecNum&gt;&lt;IDText&gt;Expression of taurine transporter is regulated through the TonE (tonicity-responsive element)/TonEBP (TonE-binding protein) pathway and contributes to cytoprotection in HepG2 cells&lt;/IDText&gt;&lt;MDL Ref_Type="Journal"&gt;&lt;Ref_Type&gt;Journal&lt;/Ref_Type&gt;&lt;Ref_ID&gt;367&lt;/Ref_ID&gt;&lt;Title_Primary&gt;Expression of taurine transporter is regulated through the TonE (tonicity-responsive element)/TonEBP (TonE-binding protein) pathway and contributes to cytoprotection in HepG2 cells&lt;/Title_Primary&gt;&lt;Authors_Primary&gt;Ito,T.&lt;/Authors_Primary&gt;&lt;Authors_Primary&gt;Fujio,Y.&lt;/Authors_Primary&gt;&lt;Authors_Primary&gt;Hirata,M.&lt;/Authors_Primary&gt;&lt;Authors_Primary&gt;Takatani,T.&lt;/Authors_Primary&gt;&lt;Authors_Primary&gt;Matsuda,T.&lt;/Authors_Primary&gt;&lt;Authors_Primary&gt;Muraoka,S.&lt;/Authors_Primary&gt;&lt;Authors_Primary&gt;Takahashi,K.&lt;/Authors_Primary&gt;&lt;Authors_Primary&gt;Azuma,J.&lt;/Authors_Primary&gt;&lt;Date_Primary&gt;2004/8/15&lt;/Date_Primary&gt;&lt;Keywords&gt;Animals&lt;/Keywords&gt;&lt;Keywords&gt;Base Sequence&lt;/Keywords&gt;&lt;Keywords&gt;Carcinoma,Hepatocellular&lt;/Keywords&gt;&lt;Keywords&gt;Cell Line,Tumor&lt;/Keywords&gt;&lt;Keywords&gt;Dna&lt;/Keywords&gt;&lt;Keywords&gt;DNA,Neoplasm&lt;/Keywords&gt;&lt;Keywords&gt;drug effects&lt;/Keywords&gt;&lt;Keywords&gt;Gene Expression Regulation,Neoplastic&lt;/Keywords&gt;&lt;Keywords&gt;genetics&lt;/Keywords&gt;&lt;Keywords&gt;Humans&lt;/Keywords&gt;&lt;Keywords&gt;Japan&lt;/Keywords&gt;&lt;Keywords&gt;Liver Neoplasms&lt;/Keywords&gt;&lt;Keywords&gt;Membrane Glycoproteins&lt;/Keywords&gt;&lt;Keywords&gt;Membrane Transport Proteins&lt;/Keywords&gt;&lt;Keywords&gt;metabolism&lt;/Keywords&gt;&lt;Keywords&gt;methods&lt;/Keywords&gt;&lt;Keywords&gt;Molecular Sequence Data&lt;/Keywords&gt;&lt;Keywords&gt;pathology&lt;/Keywords&gt;&lt;Keywords&gt;pharmacology&lt;/Keywords&gt;&lt;Keywords&gt;physiology&lt;/Keywords&gt;&lt;Keywords&gt;Promoter Regions,Genetic&lt;/Keywords&gt;&lt;Keywords&gt;Protective Agents&lt;/Keywords&gt;&lt;Keywords&gt;Proteins&lt;/Keywords&gt;&lt;Keywords&gt;Rats&lt;/Keywords&gt;&lt;Keywords&gt;Repressor Proteins&lt;/Keywords&gt;&lt;Keywords&gt;Research&lt;/Keywords&gt;&lt;Keywords&gt;Sequence Homology,Nucleic Acid&lt;/Keywords&gt;&lt;Keywords&gt;Taurine&lt;/Keywords&gt;&lt;Keywords&gt;Trans-Activators&lt;/Keywords&gt;&lt;Keywords&gt;Transcription Factors&lt;/Keywords&gt;&lt;Keywords&gt;Transcription,Genetic&lt;/Keywords&gt;&lt;Keywords&gt;Transfection&lt;/Keywords&gt;&lt;Keywords&gt;Up-Regulation&lt;/Keywords&gt;&lt;Keywords&gt;Water-Electrolyte Balance&lt;/Keywords&gt;&lt;Reprint&gt;Not in File&lt;/Reprint&gt;&lt;Start_Page&gt;177&lt;/Start_Page&gt;&lt;End_Page&gt;182&lt;/End_Page&gt;&lt;Periodical&gt;Biochem.J&lt;/Periodical&gt;&lt;Volume&gt;382&lt;/Volume&gt;&lt;Issue&gt;Pt 1&lt;/Issue&gt;&lt;Address&gt;Department of Clinical Evaluation of Medicines and Therapeutics, Graduate School of Pharmaceutical Sciences, Osaka University, 1-6 Yamadaoka, Suita City, Osaka 565-0871, Japan&lt;/Address&gt;&lt;Web_URL&gt;PM:15142033&lt;/Web_URL&gt;&lt;ZZ_JournalStdAbbrev&gt;&lt;f name="System"&gt;Biochem.J&lt;/f&gt;&lt;/ZZ_JournalStdAbbrev&gt;&lt;ZZ_WorkformID&gt;1&lt;/ZZ_WorkformID&gt;&lt;/MDL&gt;&lt;/Cite&gt;&lt;/Refman&gt;</w:instrText>
      </w:r>
      <w:r w:rsidRPr="00D05450">
        <w:rPr>
          <w:rFonts w:ascii="Arial" w:hAnsi="Arial" w:cs="Arial"/>
          <w:b w:val="0"/>
          <w:sz w:val="22"/>
          <w:szCs w:val="22"/>
          <w:lang w:val="en-US"/>
        </w:rPr>
        <w:fldChar w:fldCharType="separate"/>
      </w:r>
      <w:r w:rsidR="00341067" w:rsidRPr="00D05450">
        <w:rPr>
          <w:rFonts w:ascii="Arial" w:hAnsi="Arial" w:cs="Arial"/>
          <w:b w:val="0"/>
          <w:sz w:val="22"/>
          <w:szCs w:val="22"/>
          <w:lang w:val="en-US"/>
        </w:rPr>
        <w:t>(</w:t>
      </w:r>
      <w:r w:rsidRPr="00D05450">
        <w:rPr>
          <w:rFonts w:ascii="Arial" w:hAnsi="Arial" w:cs="Arial"/>
          <w:b w:val="0"/>
          <w:sz w:val="22"/>
          <w:szCs w:val="22"/>
          <w:lang w:val="en-US"/>
        </w:rPr>
        <w:t>15</w:t>
      </w:r>
      <w:r w:rsidR="00341067" w:rsidRPr="00D05450">
        <w:rPr>
          <w:rFonts w:ascii="Arial" w:hAnsi="Arial" w:cs="Arial"/>
          <w:b w:val="0"/>
          <w:sz w:val="22"/>
          <w:szCs w:val="22"/>
          <w:lang w:val="en-US"/>
        </w:rPr>
        <w:t>)</w:t>
      </w:r>
      <w:r w:rsidRPr="00D05450">
        <w:rPr>
          <w:rFonts w:ascii="Arial" w:hAnsi="Arial" w:cs="Arial"/>
          <w:b w:val="0"/>
          <w:sz w:val="22"/>
          <w:szCs w:val="22"/>
          <w:lang w:val="en-US"/>
        </w:rPr>
        <w:fldChar w:fldCharType="end"/>
      </w:r>
      <w:r w:rsidRPr="00D05450">
        <w:rPr>
          <w:rFonts w:ascii="Arial" w:hAnsi="Arial" w:cs="Arial"/>
          <w:b w:val="0"/>
          <w:sz w:val="22"/>
          <w:szCs w:val="22"/>
          <w:lang w:val="en-US"/>
        </w:rPr>
        <w:t>.</w:t>
      </w:r>
      <w:r w:rsidRPr="00D05450">
        <w:rPr>
          <w:rFonts w:ascii="Arial" w:hAnsi="Arial" w:cs="Arial"/>
          <w:b w:val="0"/>
          <w:sz w:val="22"/>
          <w:szCs w:val="22"/>
          <w:lang w:val="en-US"/>
        </w:rPr>
        <w:br/>
      </w:r>
    </w:p>
    <w:tbl>
      <w:tblPr>
        <w:tblW w:w="9038" w:type="dxa"/>
        <w:tblInd w:w="-5" w:type="dxa"/>
        <w:tblLayout w:type="fixed"/>
        <w:tblLook w:val="04A0" w:firstRow="1" w:lastRow="0" w:firstColumn="1" w:lastColumn="0" w:noHBand="0" w:noVBand="1"/>
      </w:tblPr>
      <w:tblGrid>
        <w:gridCol w:w="9038"/>
      </w:tblGrid>
      <w:tr w:rsidR="00092BC2" w:rsidRPr="00D05450" w14:paraId="72743CC7" w14:textId="77777777" w:rsidTr="00092BC2">
        <w:trPr>
          <w:trHeight w:val="611"/>
        </w:trPr>
        <w:tc>
          <w:tcPr>
            <w:tcW w:w="9038" w:type="dxa"/>
            <w:tcBorders>
              <w:top w:val="single" w:sz="4" w:space="0" w:color="000000"/>
              <w:left w:val="single" w:sz="4" w:space="0" w:color="000000"/>
              <w:bottom w:val="single" w:sz="4" w:space="0" w:color="000000"/>
              <w:right w:val="single" w:sz="4" w:space="0" w:color="000000"/>
            </w:tcBorders>
            <w:shd w:val="clear" w:color="auto" w:fill="FFFF00"/>
          </w:tcPr>
          <w:p w14:paraId="6A5FA61B" w14:textId="625DF26B" w:rsidR="00092BC2" w:rsidRPr="00D05450" w:rsidRDefault="00092BC2" w:rsidP="00092BC2">
            <w:pPr>
              <w:pStyle w:val="Heading3"/>
              <w:spacing w:before="0" w:after="0" w:line="276" w:lineRule="auto"/>
              <w:rPr>
                <w:rFonts w:ascii="Arial" w:hAnsi="Arial" w:cs="Arial"/>
                <w:sz w:val="22"/>
                <w:szCs w:val="22"/>
                <w:lang w:val="en-US"/>
              </w:rPr>
            </w:pPr>
            <w:r w:rsidRPr="00D05450">
              <w:rPr>
                <w:rFonts w:ascii="Arial" w:hAnsi="Arial" w:cs="Arial"/>
                <w:bCs w:val="0"/>
                <w:sz w:val="22"/>
                <w:szCs w:val="22"/>
                <w:lang w:val="en-US"/>
              </w:rPr>
              <w:t>Table 1. Anamnestic Factors and Conditions Responsible for the Occurrence of an Acute Hyponatremic State (&lt;48h)</w:t>
            </w:r>
          </w:p>
        </w:tc>
      </w:tr>
      <w:tr w:rsidR="000C2CA8" w:rsidRPr="00D05450" w14:paraId="1620FB55" w14:textId="77777777" w:rsidTr="00092BC2">
        <w:trPr>
          <w:trHeight w:val="845"/>
        </w:trPr>
        <w:tc>
          <w:tcPr>
            <w:tcW w:w="9038" w:type="dxa"/>
            <w:tcBorders>
              <w:top w:val="single" w:sz="4" w:space="0" w:color="000000"/>
              <w:left w:val="single" w:sz="4" w:space="0" w:color="000000"/>
              <w:bottom w:val="single" w:sz="4" w:space="0" w:color="000000"/>
              <w:right w:val="single" w:sz="4" w:space="0" w:color="000000"/>
            </w:tcBorders>
          </w:tcPr>
          <w:p w14:paraId="5494FDC6"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Medical interventions:</w:t>
            </w:r>
          </w:p>
          <w:p w14:paraId="72D8768F"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General post-operative phase</w:t>
            </w:r>
          </w:p>
          <w:p w14:paraId="75493FC9"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Resection of the prostate</w:t>
            </w:r>
          </w:p>
        </w:tc>
      </w:tr>
      <w:tr w:rsidR="000C2CA8" w:rsidRPr="00D05450" w14:paraId="389F328F" w14:textId="77777777" w:rsidTr="00092BC2">
        <w:trPr>
          <w:trHeight w:val="323"/>
        </w:trPr>
        <w:tc>
          <w:tcPr>
            <w:tcW w:w="9038" w:type="dxa"/>
            <w:tcBorders>
              <w:top w:val="single" w:sz="4" w:space="0" w:color="000000"/>
              <w:left w:val="single" w:sz="4" w:space="0" w:color="000000"/>
              <w:bottom w:val="single" w:sz="4" w:space="0" w:color="000000"/>
              <w:right w:val="single" w:sz="4" w:space="0" w:color="000000"/>
            </w:tcBorders>
          </w:tcPr>
          <w:p w14:paraId="0A56A25B" w14:textId="614907B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Exercise (e.g.</w:t>
            </w:r>
            <w:r w:rsidR="00092BC2" w:rsidRPr="00D05450">
              <w:rPr>
                <w:rFonts w:ascii="Arial" w:hAnsi="Arial" w:cs="Arial"/>
                <w:sz w:val="22"/>
                <w:szCs w:val="22"/>
                <w:lang w:val="en-US"/>
              </w:rPr>
              <w:t>,</w:t>
            </w:r>
            <w:r w:rsidRPr="00D05450">
              <w:rPr>
                <w:rFonts w:ascii="Arial" w:hAnsi="Arial" w:cs="Arial"/>
                <w:sz w:val="22"/>
                <w:szCs w:val="22"/>
                <w:lang w:val="en-US"/>
              </w:rPr>
              <w:t xml:space="preserve"> long distance run) with increased and rapid fluid (water) intake</w:t>
            </w:r>
          </w:p>
        </w:tc>
      </w:tr>
      <w:tr w:rsidR="000C2CA8" w:rsidRPr="00D05450" w14:paraId="564AF87D" w14:textId="77777777" w:rsidTr="00092BC2">
        <w:trPr>
          <w:trHeight w:val="269"/>
        </w:trPr>
        <w:tc>
          <w:tcPr>
            <w:tcW w:w="9038" w:type="dxa"/>
            <w:tcBorders>
              <w:top w:val="single" w:sz="4" w:space="0" w:color="000000"/>
              <w:left w:val="single" w:sz="4" w:space="0" w:color="000000"/>
              <w:bottom w:val="single" w:sz="4" w:space="0" w:color="000000"/>
              <w:right w:val="single" w:sz="4" w:space="0" w:color="000000"/>
            </w:tcBorders>
          </w:tcPr>
          <w:p w14:paraId="4E6365F3"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Extended sauna visit</w:t>
            </w:r>
          </w:p>
        </w:tc>
      </w:tr>
      <w:tr w:rsidR="000C2CA8" w:rsidRPr="00D05450" w14:paraId="4768C482" w14:textId="77777777" w:rsidTr="00092BC2">
        <w:trPr>
          <w:trHeight w:val="224"/>
        </w:trPr>
        <w:tc>
          <w:tcPr>
            <w:tcW w:w="9038" w:type="dxa"/>
            <w:tcBorders>
              <w:top w:val="single" w:sz="4" w:space="0" w:color="000000"/>
              <w:left w:val="single" w:sz="4" w:space="0" w:color="000000"/>
              <w:bottom w:val="single" w:sz="4" w:space="0" w:color="000000"/>
              <w:right w:val="single" w:sz="4" w:space="0" w:color="000000"/>
            </w:tcBorders>
          </w:tcPr>
          <w:p w14:paraId="152BABC1"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Polydipsia (transient)</w:t>
            </w:r>
          </w:p>
        </w:tc>
      </w:tr>
      <w:tr w:rsidR="000C2CA8" w:rsidRPr="00D05450" w14:paraId="692B59CB" w14:textId="77777777" w:rsidTr="00092BC2">
        <w:trPr>
          <w:trHeight w:val="287"/>
        </w:trPr>
        <w:tc>
          <w:tcPr>
            <w:tcW w:w="9038" w:type="dxa"/>
            <w:tcBorders>
              <w:top w:val="single" w:sz="4" w:space="0" w:color="000000"/>
              <w:left w:val="single" w:sz="4" w:space="0" w:color="000000"/>
              <w:bottom w:val="single" w:sz="4" w:space="0" w:color="000000"/>
              <w:right w:val="single" w:sz="4" w:space="0" w:color="000000"/>
            </w:tcBorders>
          </w:tcPr>
          <w:p w14:paraId="19478E50"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Severe pain attacks (including concomitant pharmacotherapy)</w:t>
            </w:r>
          </w:p>
        </w:tc>
      </w:tr>
      <w:tr w:rsidR="000C2CA8" w:rsidRPr="00D05450" w14:paraId="1E7BF069" w14:textId="77777777" w:rsidTr="00092BC2">
        <w:trPr>
          <w:trHeight w:val="620"/>
        </w:trPr>
        <w:tc>
          <w:tcPr>
            <w:tcW w:w="9038" w:type="dxa"/>
            <w:tcBorders>
              <w:top w:val="single" w:sz="4" w:space="0" w:color="000000"/>
              <w:left w:val="single" w:sz="4" w:space="0" w:color="000000"/>
              <w:bottom w:val="single" w:sz="4" w:space="0" w:color="000000"/>
              <w:right w:val="single" w:sz="4" w:space="0" w:color="000000"/>
            </w:tcBorders>
          </w:tcPr>
          <w:p w14:paraId="3F20AC91"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Initiation of new drugs</w:t>
            </w:r>
          </w:p>
          <w:p w14:paraId="63891F20" w14:textId="1AB92E45"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e.g.</w:t>
            </w:r>
            <w:r w:rsidR="00092BC2" w:rsidRPr="00D05450">
              <w:rPr>
                <w:rFonts w:ascii="Arial" w:hAnsi="Arial" w:cs="Arial"/>
                <w:sz w:val="22"/>
                <w:szCs w:val="22"/>
                <w:lang w:val="en-US"/>
              </w:rPr>
              <w:t>,</w:t>
            </w:r>
            <w:r w:rsidRPr="00D05450">
              <w:rPr>
                <w:rFonts w:ascii="Arial" w:hAnsi="Arial" w:cs="Arial"/>
                <w:sz w:val="22"/>
                <w:szCs w:val="22"/>
                <w:lang w:val="en-US"/>
              </w:rPr>
              <w:t xml:space="preserve"> thiazides, terlipressin, psychiatric medication</w:t>
            </w:r>
          </w:p>
        </w:tc>
      </w:tr>
    </w:tbl>
    <w:p w14:paraId="13C2A132" w14:textId="790F23F1" w:rsidR="000C2CA8" w:rsidRPr="00D05450" w:rsidRDefault="00D12970" w:rsidP="00341067">
      <w:pPr>
        <w:pStyle w:val="Heading3"/>
        <w:spacing w:before="0" w:after="0" w:line="276" w:lineRule="auto"/>
        <w:rPr>
          <w:rFonts w:ascii="Arial" w:hAnsi="Arial" w:cs="Arial"/>
          <w:b w:val="0"/>
          <w:sz w:val="22"/>
          <w:szCs w:val="22"/>
          <w:lang w:val="en-US"/>
        </w:rPr>
      </w:pPr>
      <w:r w:rsidRPr="00D05450">
        <w:rPr>
          <w:rFonts w:ascii="Arial" w:hAnsi="Arial" w:cs="Arial"/>
          <w:b w:val="0"/>
          <w:sz w:val="22"/>
          <w:szCs w:val="22"/>
          <w:lang w:val="en-US"/>
        </w:rPr>
        <w:br/>
        <w:t xml:space="preserve">For the diagnosis of SIADH, </w:t>
      </w:r>
      <w:r w:rsidR="001F56DD">
        <w:rPr>
          <w:rFonts w:ascii="Arial" w:hAnsi="Arial" w:cs="Arial"/>
          <w:b w:val="0"/>
          <w:sz w:val="22"/>
          <w:szCs w:val="22"/>
          <w:lang w:val="en-US"/>
        </w:rPr>
        <w:t>the</w:t>
      </w:r>
      <w:r w:rsidRPr="00D05450">
        <w:rPr>
          <w:rFonts w:ascii="Arial" w:hAnsi="Arial" w:cs="Arial"/>
          <w:b w:val="0"/>
          <w:sz w:val="22"/>
          <w:szCs w:val="22"/>
          <w:lang w:val="en-US"/>
        </w:rPr>
        <w:t xml:space="preserve"> first diagnostic step, hyponatremia needs to be ascertained. False laboratory “measurements” of serum Na+ comprise primarily a hyperglycemic state. According to Hillier et al </w:t>
      </w:r>
      <w:r w:rsidRPr="00D05450">
        <w:rPr>
          <w:rFonts w:ascii="Arial" w:hAnsi="Arial" w:cs="Arial"/>
          <w:sz w:val="22"/>
          <w:szCs w:val="22"/>
          <w:lang w:val="en-US"/>
        </w:rPr>
        <w:fldChar w:fldCharType="begin"/>
      </w:r>
      <w:r w:rsidRPr="00D05450">
        <w:rPr>
          <w:rFonts w:ascii="Arial" w:hAnsi="Arial" w:cs="Arial"/>
          <w:b w:val="0"/>
          <w:sz w:val="22"/>
          <w:szCs w:val="22"/>
          <w:lang w:val="en-US"/>
        </w:rPr>
        <w:instrText>ADDIN REFMGR.CITE &lt;Refman&gt;&lt;Cite&gt;&lt;Author&gt;Hillier&lt;/Author&gt;&lt;Year&gt;1999&lt;/Year&gt;&lt;RecNum&gt;368&lt;/RecNum&gt;&lt;IDText&gt;Hyponatremia: evaluating the correction factor for hyperglycemia&lt;/IDText&gt;&lt;MDL Ref_Type="Journal"&gt;&lt;Ref_Type&gt;Journal&lt;/Ref_Type&gt;&lt;Ref_ID&gt;368&lt;/Ref_ID&gt;&lt;Title_Primary&gt;Hyponatremia: evaluating the correction factor for hyperglycemia&lt;/Title_Primary&gt;&lt;Authors_Primary&gt;Hillier,Teresa A.&lt;/Authors_Primary&gt;&lt;Authors_Primary&gt;Abbott,Robert D.&lt;/Authors_Primary&gt;&lt;Authors_Primary&gt;Barrett,Eugene J.&lt;/Authors_Primary&gt;&lt;Date_Primary&gt;1999/4&lt;/Date_Primary&gt;&lt;Keywords&gt;Glucose&lt;/Keywords&gt;&lt;Keywords&gt;Hyperglycemia&lt;/Keywords&gt;&lt;Keywords&gt;Hyponatremia&lt;/Keywords&gt;&lt;Keywords&gt;Insulin&lt;/Keywords&gt;&lt;Keywords&gt;methods&lt;/Keywords&gt;&lt;Keywords&gt;Plasma&lt;/Keywords&gt;&lt;Keywords&gt;secretion&lt;/Keywords&gt;&lt;Keywords&gt;Sodium&lt;/Keywords&gt;&lt;Reprint&gt;Not in File&lt;/Reprint&gt;&lt;Start_Page&gt;399&lt;/Start_Page&gt;&lt;End_Page&gt;403&lt;/End_Page&gt;&lt;Periodical&gt;The American Journal of Medicine&lt;/Periodical&gt;&lt;Volume&gt;106&lt;/Volume&gt;&lt;Issue&gt;4&lt;/Issue&gt;&lt;ISSN_ISBN&gt;0002-9343&lt;/ISSN_ISBN&gt;&lt;Web_URL&gt;http://www.sciencedirect.com/science/article/pii/S0002934399000558&lt;/Web_URL&gt;&lt;ZZ_JournalStdAbbrev&gt;&lt;f name="System"&gt;The American Journal of Medicine&lt;/f&gt;&lt;/ZZ_JournalStdAbbrev&gt;&lt;ZZ_WorkformID&gt;1&lt;/ZZ_WorkformID&gt;&lt;/MDL&gt;&lt;/Cite&gt;&lt;/Refman&gt;</w:instrText>
      </w:r>
      <w:r w:rsidRPr="00D05450">
        <w:rPr>
          <w:rFonts w:ascii="Arial" w:hAnsi="Arial" w:cs="Arial"/>
          <w:b w:val="0"/>
          <w:sz w:val="22"/>
          <w:szCs w:val="22"/>
          <w:lang w:val="en-US"/>
        </w:rPr>
        <w:fldChar w:fldCharType="separate"/>
      </w:r>
      <w:r w:rsidR="00341067" w:rsidRPr="00D05450">
        <w:rPr>
          <w:rFonts w:ascii="Arial" w:hAnsi="Arial" w:cs="Arial"/>
          <w:b w:val="0"/>
          <w:sz w:val="22"/>
          <w:szCs w:val="22"/>
          <w:lang w:val="en-US"/>
        </w:rPr>
        <w:t>(</w:t>
      </w:r>
      <w:r w:rsidRPr="00D05450">
        <w:rPr>
          <w:rFonts w:ascii="Arial" w:hAnsi="Arial" w:cs="Arial"/>
          <w:b w:val="0"/>
          <w:sz w:val="22"/>
          <w:szCs w:val="22"/>
          <w:lang w:val="en-US"/>
        </w:rPr>
        <w:t>16</w:t>
      </w:r>
      <w:r w:rsidR="00341067" w:rsidRPr="00D05450">
        <w:rPr>
          <w:rFonts w:ascii="Arial" w:hAnsi="Arial" w:cs="Arial"/>
          <w:b w:val="0"/>
          <w:sz w:val="22"/>
          <w:szCs w:val="22"/>
          <w:lang w:val="en-US"/>
        </w:rPr>
        <w:t>)</w:t>
      </w:r>
      <w:r w:rsidRPr="00D05450">
        <w:rPr>
          <w:rFonts w:ascii="Arial" w:hAnsi="Arial" w:cs="Arial"/>
          <w:b w:val="0"/>
          <w:sz w:val="22"/>
          <w:szCs w:val="22"/>
          <w:lang w:val="en-US"/>
        </w:rPr>
        <w:fldChar w:fldCharType="end"/>
      </w:r>
      <w:r w:rsidRPr="00D05450">
        <w:rPr>
          <w:rFonts w:ascii="Arial" w:hAnsi="Arial" w:cs="Arial"/>
          <w:b w:val="0"/>
          <w:sz w:val="22"/>
          <w:szCs w:val="22"/>
          <w:lang w:val="en-US"/>
        </w:rPr>
        <w:t xml:space="preserve"> an estimation of the true sodium concentration in serum can be drawn from the formula:</w:t>
      </w:r>
    </w:p>
    <w:p w14:paraId="1F9CE93E" w14:textId="77777777" w:rsidR="00A30811" w:rsidRPr="00D05450" w:rsidRDefault="00A30811" w:rsidP="00A30811">
      <w:pPr>
        <w:pStyle w:val="BodyText"/>
      </w:pPr>
    </w:p>
    <w:p w14:paraId="2CAEC5B8" w14:textId="77777777" w:rsidR="000C2CA8" w:rsidRPr="00580651" w:rsidRDefault="00D12970" w:rsidP="00341067">
      <w:pPr>
        <w:pStyle w:val="Heading3"/>
        <w:spacing w:before="0" w:after="0" w:line="276" w:lineRule="auto"/>
        <w:rPr>
          <w:rFonts w:ascii="Arial" w:hAnsi="Arial" w:cs="Arial"/>
          <w:sz w:val="22"/>
          <w:szCs w:val="22"/>
          <w:lang w:val="en-US"/>
        </w:rPr>
      </w:pPr>
      <w:r w:rsidRPr="00580651">
        <w:rPr>
          <w:rFonts w:ascii="Arial" w:hAnsi="Arial" w:cs="Arial"/>
          <w:sz w:val="22"/>
          <w:szCs w:val="22"/>
          <w:lang w:val="en-US"/>
        </w:rPr>
        <w:t>Corrected (Na+) = Measured (Na+) + 2.4 x (glucose (mg/dl) - 100 mg/dl)/100mg/dl</w:t>
      </w:r>
    </w:p>
    <w:p w14:paraId="3A7F7FEF" w14:textId="77777777" w:rsidR="00A30811" w:rsidRPr="00D05450" w:rsidRDefault="00A30811" w:rsidP="00341067">
      <w:pPr>
        <w:pStyle w:val="Heading3"/>
        <w:spacing w:before="0" w:after="0" w:line="276" w:lineRule="auto"/>
        <w:rPr>
          <w:rFonts w:ascii="Arial" w:hAnsi="Arial" w:cs="Arial"/>
          <w:sz w:val="22"/>
          <w:szCs w:val="22"/>
          <w:lang w:val="en-US"/>
        </w:rPr>
      </w:pPr>
    </w:p>
    <w:p w14:paraId="47E3F36B" w14:textId="54E2C192" w:rsidR="000C2CA8" w:rsidRDefault="00D12970" w:rsidP="00341067">
      <w:pPr>
        <w:pStyle w:val="Heading3"/>
        <w:spacing w:before="0" w:after="0" w:line="276" w:lineRule="auto"/>
        <w:rPr>
          <w:rFonts w:ascii="Arial" w:hAnsi="Arial" w:cs="Arial"/>
          <w:b w:val="0"/>
          <w:sz w:val="22"/>
          <w:szCs w:val="22"/>
          <w:lang w:val="en-US"/>
        </w:rPr>
      </w:pPr>
      <w:r w:rsidRPr="00D05450">
        <w:rPr>
          <w:rFonts w:ascii="Arial" w:hAnsi="Arial" w:cs="Arial"/>
          <w:b w:val="0"/>
          <w:sz w:val="22"/>
          <w:szCs w:val="22"/>
          <w:lang w:val="en-US"/>
        </w:rPr>
        <w:t xml:space="preserve">For example, a serum glucose level of 400 mg/dl with a measured serum sodium of 120 mmol/l corresponds to a true sodium value of 127 mmol/l </w:t>
      </w:r>
      <w:r w:rsidRPr="00D05450">
        <w:rPr>
          <w:rFonts w:ascii="Arial" w:hAnsi="Arial" w:cs="Arial"/>
          <w:sz w:val="22"/>
          <w:szCs w:val="22"/>
          <w:lang w:val="en-US"/>
        </w:rPr>
        <w:fldChar w:fldCharType="begin"/>
      </w:r>
      <w:r w:rsidRPr="00D05450">
        <w:rPr>
          <w:rFonts w:ascii="Arial" w:hAnsi="Arial" w:cs="Arial"/>
          <w:b w:val="0"/>
          <w:sz w:val="22"/>
          <w:szCs w:val="22"/>
          <w:lang w:val="en-US"/>
        </w:rPr>
        <w:instrText>ADDIN REFMGR.CITE &lt;Refman&gt;&lt;Cite&gt;&lt;Author&gt;Hillier&lt;/Author&gt;&lt;Year&gt;1999&lt;/Year&gt;&lt;RecNum&gt;368&lt;/RecNum&gt;&lt;IDText&gt;Hyponatremia: evaluating the correction factor for hyperglycemia&lt;/IDText&gt;&lt;MDL Ref_Type="Journal"&gt;&lt;Ref_Type&gt;Journal&lt;/Ref_Type&gt;&lt;Ref_ID&gt;368&lt;/Ref_ID&gt;&lt;Title_Primary&gt;Hyponatremia: evaluating the correction factor for hyperglycemia&lt;/Title_Primary&gt;&lt;Authors_Primary&gt;Hillier,Teresa A.&lt;/Authors_Primary&gt;&lt;Authors_Primary&gt;Abbott,Robert D.&lt;/Authors_Primary&gt;&lt;Authors_Primary&gt;Barrett,Eugene J.&lt;/Authors_Primary&gt;&lt;Date_Primary&gt;1999/4&lt;/Date_Primary&gt;&lt;Keywords&gt;Glucose&lt;/Keywords&gt;&lt;Keywords&gt;Hyperglycemia&lt;/Keywords&gt;&lt;Keywords&gt;Hyponatremia&lt;/Keywords&gt;&lt;Keywords&gt;Insulin&lt;/Keywords&gt;&lt;Keywords&gt;methods&lt;/Keywords&gt;&lt;Keywords&gt;Plasma&lt;/Keywords&gt;&lt;Keywords&gt;secretion&lt;/Keywords&gt;&lt;Keywords&gt;Sodium&lt;/Keywords&gt;&lt;Reprint&gt;Not in File&lt;/Reprint&gt;&lt;Start_Page&gt;399&lt;/Start_Page&gt;&lt;End_Page&gt;403&lt;/End_Page&gt;&lt;Periodical&gt;The American Journal of Medicine&lt;/Periodical&gt;&lt;Volume&gt;106&lt;/Volume&gt;&lt;Issue&gt;4&lt;/Issue&gt;&lt;ISSN_ISBN&gt;0002-9343&lt;/ISSN_ISBN&gt;&lt;Web_URL&gt;http://www.sciencedirect.com/science/article/pii/S0002934399000558&lt;/Web_URL&gt;&lt;ZZ_JournalStdAbbrev&gt;&lt;f name="System"&gt;The American Journal of Medicine&lt;/f&gt;&lt;/ZZ_JournalStdAbbrev&gt;&lt;ZZ_WorkformID&gt;1&lt;/ZZ_WorkformID&gt;&lt;/MDL&gt;&lt;/Cite&gt;&lt;/Refman&gt;</w:instrText>
      </w:r>
      <w:r w:rsidRPr="00D05450">
        <w:rPr>
          <w:rFonts w:ascii="Arial" w:hAnsi="Arial" w:cs="Arial"/>
          <w:b w:val="0"/>
          <w:sz w:val="22"/>
          <w:szCs w:val="22"/>
          <w:lang w:val="en-US"/>
        </w:rPr>
        <w:fldChar w:fldCharType="separate"/>
      </w:r>
      <w:r w:rsidR="00341067" w:rsidRPr="00D05450">
        <w:rPr>
          <w:rFonts w:ascii="Arial" w:hAnsi="Arial" w:cs="Arial"/>
          <w:b w:val="0"/>
          <w:sz w:val="22"/>
          <w:szCs w:val="22"/>
          <w:lang w:val="en-US"/>
        </w:rPr>
        <w:t>(</w:t>
      </w:r>
      <w:r w:rsidRPr="00D05450">
        <w:rPr>
          <w:rFonts w:ascii="Arial" w:hAnsi="Arial" w:cs="Arial"/>
          <w:b w:val="0"/>
          <w:sz w:val="22"/>
          <w:szCs w:val="22"/>
          <w:lang w:val="en-US"/>
        </w:rPr>
        <w:t>16</w:t>
      </w:r>
      <w:r w:rsidR="00341067" w:rsidRPr="00D05450">
        <w:rPr>
          <w:rFonts w:ascii="Arial" w:hAnsi="Arial" w:cs="Arial"/>
          <w:b w:val="0"/>
          <w:sz w:val="22"/>
          <w:szCs w:val="22"/>
          <w:lang w:val="en-US"/>
        </w:rPr>
        <w:t>)</w:t>
      </w:r>
      <w:r w:rsidRPr="00D05450">
        <w:rPr>
          <w:rFonts w:ascii="Arial" w:hAnsi="Arial" w:cs="Arial"/>
          <w:b w:val="0"/>
          <w:sz w:val="22"/>
          <w:szCs w:val="22"/>
          <w:lang w:val="en-US"/>
        </w:rPr>
        <w:fldChar w:fldCharType="end"/>
      </w:r>
      <w:r w:rsidRPr="00D05450">
        <w:rPr>
          <w:rFonts w:ascii="Arial" w:hAnsi="Arial" w:cs="Arial"/>
          <w:b w:val="0"/>
          <w:sz w:val="22"/>
          <w:szCs w:val="22"/>
          <w:lang w:val="en-US"/>
        </w:rPr>
        <w:t>.</w:t>
      </w:r>
    </w:p>
    <w:p w14:paraId="1A28E2F8" w14:textId="77777777" w:rsidR="001F56DD" w:rsidRPr="001F56DD" w:rsidRDefault="001F56DD" w:rsidP="001F56DD">
      <w:pPr>
        <w:pStyle w:val="BodyText"/>
      </w:pPr>
    </w:p>
    <w:p w14:paraId="0EFE25F8" w14:textId="485BD36F" w:rsidR="000C2CA8" w:rsidRPr="00D05450" w:rsidRDefault="00D12970" w:rsidP="00341067">
      <w:pPr>
        <w:pStyle w:val="Heading3"/>
        <w:spacing w:before="0" w:after="0" w:line="276" w:lineRule="auto"/>
        <w:rPr>
          <w:rFonts w:ascii="Arial" w:hAnsi="Arial" w:cs="Arial"/>
          <w:b w:val="0"/>
          <w:sz w:val="22"/>
          <w:szCs w:val="22"/>
          <w:lang w:val="en-US"/>
        </w:rPr>
      </w:pPr>
      <w:r w:rsidRPr="00D05450">
        <w:rPr>
          <w:rFonts w:ascii="Arial" w:hAnsi="Arial" w:cs="Arial"/>
          <w:b w:val="0"/>
          <w:sz w:val="22"/>
          <w:szCs w:val="22"/>
          <w:lang w:val="en-US"/>
        </w:rPr>
        <w:t xml:space="preserve">Likewise, pseudohyponatremia may occur in patients with paraproteinemia, e.g. multiple-myeloma patients </w:t>
      </w:r>
      <w:r w:rsidRPr="00D05450">
        <w:rPr>
          <w:rFonts w:ascii="Arial" w:hAnsi="Arial" w:cs="Arial"/>
          <w:sz w:val="22"/>
          <w:szCs w:val="22"/>
          <w:lang w:val="en-US"/>
        </w:rPr>
        <w:fldChar w:fldCharType="begin"/>
      </w:r>
      <w:r w:rsidRPr="00D05450">
        <w:rPr>
          <w:rFonts w:ascii="Arial" w:hAnsi="Arial" w:cs="Arial"/>
          <w:b w:val="0"/>
          <w:sz w:val="22"/>
          <w:szCs w:val="22"/>
          <w:lang w:val="en-US"/>
        </w:rPr>
        <w:instrText>ADDIN REFMGR.CITE &lt;Refman&gt;&lt;Cite&gt;&lt;Author&gt;Overlack&lt;/Author&gt;&lt;Year&gt;1980&lt;/Year&gt;&lt;RecNum&gt;369&lt;/RecNum&gt;&lt;IDText&gt;[Pseudohyponatremia in multiple myeloma (author&amp;apos;s transl)]&lt;/IDText&gt;&lt;MDL Ref_Type="Journal"&gt;&lt;Ref_Type&gt;Journal&lt;/Ref_Type&gt;&lt;Ref_ID&gt;369&lt;/Ref_ID&gt;&lt;Title_Primary&gt;[Pseudohyponatremia in multiple myeloma (author&amp;apos;s transl)]&lt;/Title_Primary&gt;&lt;Authors_Primary&gt;Overlack,A.&lt;/Authors_Primary&gt;&lt;Authors_Primary&gt;Niederle,N.&lt;/Authors_Primary&gt;&lt;Authors_Primary&gt;Klautke,G.&lt;/Authors_Primary&gt;&lt;Authors_Primary&gt;Stumpe,K.O.&lt;/Authors_Primary&gt;&lt;Authors_Primary&gt;Kruck,F.&lt;/Authors_Primary&gt;&lt;Date_Primary&gt;1980/9/1&lt;/Date_Primary&gt;&lt;Keywords&gt;Aged&lt;/Keywords&gt;&lt;Keywords&gt;Blood Viscosity&lt;/Keywords&gt;&lt;Keywords&gt;Body Water&lt;/Keywords&gt;&lt;Keywords&gt;complications&lt;/Keywords&gt;&lt;Keywords&gt;etiology&lt;/Keywords&gt;&lt;Keywords&gt;Female&lt;/Keywords&gt;&lt;Keywords&gt;Humans&lt;/Keywords&gt;&lt;Keywords&gt;Hyponatremia&lt;/Keywords&gt;&lt;Keywords&gt;Immunoglobulin A&lt;/Keywords&gt;&lt;Keywords&gt;Immunoglobulin G&lt;/Keywords&gt;&lt;Keywords&gt;Immunoglobulin M&lt;/Keywords&gt;&lt;Keywords&gt;Male&lt;/Keywords&gt;&lt;Keywords&gt;Middle Aged&lt;/Keywords&gt;&lt;Keywords&gt;Plasmacytoma&lt;/Keywords&gt;&lt;Keywords&gt;Sodium&lt;/Keywords&gt;&lt;Keywords&gt;therapy&lt;/Keywords&gt;&lt;Reprint&gt;Not in File&lt;/Reprint&gt;&lt;Start_Page&gt;875&lt;/Start_Page&gt;&lt;End_Page&gt;880&lt;/End_Page&gt;&lt;Periodical&gt;Klin.Wochenschr.&lt;/Periodical&gt;&lt;Volume&gt;58&lt;/Volume&gt;&lt;Issue&gt;17&lt;/Issue&gt;&lt;Web_URL&gt;PM:7442087&lt;/Web_URL&gt;&lt;ZZ_JournalStdAbbrev&gt;&lt;f name="System"&gt;Klin.Wochenschr.&lt;/f&gt;&lt;/ZZ_JournalStdAbbrev&gt;&lt;ZZ_WorkformID&gt;1&lt;/ZZ_WorkformID&gt;&lt;/MDL&gt;&lt;/Cite&gt;&lt;/Refman&gt;</w:instrText>
      </w:r>
      <w:r w:rsidRPr="00D05450">
        <w:rPr>
          <w:rFonts w:ascii="Arial" w:hAnsi="Arial" w:cs="Arial"/>
          <w:b w:val="0"/>
          <w:sz w:val="22"/>
          <w:szCs w:val="22"/>
          <w:lang w:val="en-US"/>
        </w:rPr>
        <w:fldChar w:fldCharType="separate"/>
      </w:r>
      <w:r w:rsidR="00341067" w:rsidRPr="00D05450">
        <w:rPr>
          <w:rFonts w:ascii="Arial" w:hAnsi="Arial" w:cs="Arial"/>
          <w:b w:val="0"/>
          <w:sz w:val="22"/>
          <w:szCs w:val="22"/>
          <w:lang w:val="en-US"/>
        </w:rPr>
        <w:t>(</w:t>
      </w:r>
      <w:r w:rsidRPr="00D05450">
        <w:rPr>
          <w:rFonts w:ascii="Arial" w:hAnsi="Arial" w:cs="Arial"/>
          <w:b w:val="0"/>
          <w:sz w:val="22"/>
          <w:szCs w:val="22"/>
          <w:lang w:val="en-US"/>
        </w:rPr>
        <w:t>17</w:t>
      </w:r>
      <w:r w:rsidR="00341067" w:rsidRPr="00D05450">
        <w:rPr>
          <w:rFonts w:ascii="Arial" w:hAnsi="Arial" w:cs="Arial"/>
          <w:b w:val="0"/>
          <w:sz w:val="22"/>
          <w:szCs w:val="22"/>
          <w:lang w:val="en-US"/>
        </w:rPr>
        <w:t>)</w:t>
      </w:r>
      <w:r w:rsidRPr="00D05450">
        <w:rPr>
          <w:rFonts w:ascii="Arial" w:hAnsi="Arial" w:cs="Arial"/>
          <w:b w:val="0"/>
          <w:sz w:val="22"/>
          <w:szCs w:val="22"/>
          <w:lang w:val="en-US"/>
        </w:rPr>
        <w:fldChar w:fldCharType="end"/>
      </w:r>
      <w:r w:rsidRPr="00D05450">
        <w:rPr>
          <w:rFonts w:ascii="Arial" w:hAnsi="Arial" w:cs="Arial"/>
          <w:b w:val="0"/>
          <w:sz w:val="22"/>
          <w:szCs w:val="22"/>
          <w:lang w:val="en-US"/>
        </w:rPr>
        <w:t>.</w:t>
      </w:r>
    </w:p>
    <w:p w14:paraId="05CB1A7A" w14:textId="77777777" w:rsidR="00A30811" w:rsidRPr="00D05450" w:rsidRDefault="00A30811" w:rsidP="00A30811">
      <w:pPr>
        <w:pStyle w:val="BodyText"/>
      </w:pPr>
    </w:p>
    <w:p w14:paraId="47034341" w14:textId="667666A9" w:rsidR="000C2CA8" w:rsidRPr="00D05450" w:rsidRDefault="00D12970" w:rsidP="00341067">
      <w:pPr>
        <w:pStyle w:val="Heading3"/>
        <w:spacing w:before="0" w:after="0" w:line="276" w:lineRule="auto"/>
        <w:rPr>
          <w:rFonts w:ascii="Arial" w:hAnsi="Arial" w:cs="Arial"/>
          <w:b w:val="0"/>
          <w:sz w:val="22"/>
          <w:szCs w:val="22"/>
          <w:lang w:val="en-US"/>
        </w:rPr>
      </w:pPr>
      <w:r w:rsidRPr="00D05450">
        <w:rPr>
          <w:rFonts w:ascii="Arial" w:hAnsi="Arial" w:cs="Arial"/>
          <w:b w:val="0"/>
          <w:sz w:val="22"/>
          <w:szCs w:val="22"/>
          <w:lang w:val="en-US"/>
        </w:rPr>
        <w:t xml:space="preserve">Another pitfall with serum sodium is the mode of its determination: the </w:t>
      </w:r>
      <w:r w:rsidR="001F56DD">
        <w:rPr>
          <w:rFonts w:ascii="Arial" w:hAnsi="Arial" w:cs="Arial"/>
          <w:b w:val="0"/>
          <w:sz w:val="22"/>
          <w:szCs w:val="22"/>
          <w:lang w:val="en-US"/>
        </w:rPr>
        <w:t xml:space="preserve">usual method </w:t>
      </w:r>
      <w:r w:rsidRPr="00D05450">
        <w:rPr>
          <w:rFonts w:ascii="Arial" w:hAnsi="Arial" w:cs="Arial"/>
          <w:b w:val="0"/>
          <w:sz w:val="22"/>
          <w:szCs w:val="22"/>
          <w:lang w:val="en-US"/>
        </w:rPr>
        <w:t>involves ion-selective electrodes, no</w:t>
      </w:r>
      <w:r w:rsidR="001F56DD">
        <w:rPr>
          <w:rFonts w:ascii="Arial" w:hAnsi="Arial" w:cs="Arial"/>
          <w:b w:val="0"/>
          <w:sz w:val="22"/>
          <w:szCs w:val="22"/>
          <w:lang w:val="en-US"/>
        </w:rPr>
        <w:t>t</w:t>
      </w:r>
      <w:r w:rsidRPr="00D05450">
        <w:rPr>
          <w:rFonts w:ascii="Arial" w:hAnsi="Arial" w:cs="Arial"/>
          <w:b w:val="0"/>
          <w:sz w:val="22"/>
          <w:szCs w:val="22"/>
          <w:lang w:val="en-US"/>
        </w:rPr>
        <w:t xml:space="preserve"> flame-photometric determination</w:t>
      </w:r>
      <w:r w:rsidR="001F56DD">
        <w:rPr>
          <w:rFonts w:ascii="Arial" w:hAnsi="Arial" w:cs="Arial"/>
          <w:b w:val="0"/>
          <w:sz w:val="22"/>
          <w:szCs w:val="22"/>
          <w:lang w:val="en-US"/>
        </w:rPr>
        <w:t xml:space="preserve"> and</w:t>
      </w:r>
      <w:r w:rsidRPr="00D05450">
        <w:rPr>
          <w:rFonts w:ascii="Arial" w:hAnsi="Arial" w:cs="Arial"/>
          <w:b w:val="0"/>
          <w:sz w:val="22"/>
          <w:szCs w:val="22"/>
          <w:lang w:val="en-US"/>
        </w:rPr>
        <w:t xml:space="preserve"> may yield occasionally “diluted” Na</w:t>
      </w:r>
      <w:r w:rsidRPr="00D05450">
        <w:rPr>
          <w:rFonts w:ascii="Arial" w:hAnsi="Arial" w:cs="Arial"/>
          <w:b w:val="0"/>
          <w:sz w:val="22"/>
          <w:szCs w:val="22"/>
          <w:vertAlign w:val="superscript"/>
          <w:lang w:val="en-US"/>
        </w:rPr>
        <w:t>+</w:t>
      </w:r>
      <w:r w:rsidRPr="00D05450">
        <w:rPr>
          <w:rFonts w:ascii="Arial" w:hAnsi="Arial" w:cs="Arial"/>
          <w:b w:val="0"/>
          <w:sz w:val="22"/>
          <w:szCs w:val="22"/>
          <w:lang w:val="en-US"/>
        </w:rPr>
        <w:t xml:space="preserve"> levels</w:t>
      </w:r>
      <w:r w:rsidR="001F56DD">
        <w:rPr>
          <w:rFonts w:ascii="Arial" w:hAnsi="Arial" w:cs="Arial"/>
          <w:b w:val="0"/>
          <w:sz w:val="22"/>
          <w:szCs w:val="22"/>
          <w:lang w:val="en-US"/>
        </w:rPr>
        <w:t xml:space="preserve"> (elevated triglyceride levels, paraproteinemia)</w:t>
      </w:r>
      <w:r w:rsidRPr="00D05450">
        <w:rPr>
          <w:rFonts w:ascii="Arial" w:hAnsi="Arial" w:cs="Arial"/>
          <w:b w:val="0"/>
          <w:sz w:val="22"/>
          <w:szCs w:val="22"/>
          <w:lang w:val="en-US"/>
        </w:rPr>
        <w:t>. Measured, not calculated serum osmolality may help discriminate true from pseudohyponatremia: true hyponatremia associates with a decreased serum osmolality.</w:t>
      </w:r>
    </w:p>
    <w:p w14:paraId="1ACBE390" w14:textId="77777777" w:rsidR="00861096" w:rsidRPr="00D05450" w:rsidRDefault="00861096" w:rsidP="00861096">
      <w:pPr>
        <w:pStyle w:val="BodyText"/>
      </w:pPr>
    </w:p>
    <w:p w14:paraId="6337FC3D" w14:textId="6337B423" w:rsidR="000C2CA8" w:rsidRPr="00D05450" w:rsidRDefault="00D12970" w:rsidP="00341067">
      <w:pPr>
        <w:pStyle w:val="Heading3"/>
        <w:spacing w:before="0" w:after="0" w:line="276" w:lineRule="auto"/>
        <w:rPr>
          <w:rFonts w:ascii="Arial" w:hAnsi="Arial" w:cs="Arial"/>
          <w:sz w:val="22"/>
          <w:szCs w:val="22"/>
          <w:lang w:val="en-US"/>
        </w:rPr>
      </w:pPr>
      <w:r w:rsidRPr="00D05450">
        <w:rPr>
          <w:rFonts w:ascii="Arial" w:hAnsi="Arial" w:cs="Arial"/>
          <w:b w:val="0"/>
          <w:sz w:val="22"/>
          <w:szCs w:val="22"/>
          <w:lang w:val="en-US"/>
        </w:rPr>
        <w:t>True-hyponatremic patients are regularly identified at hospital admission, e.g.</w:t>
      </w:r>
      <w:r w:rsidR="00F76827" w:rsidRPr="00D05450">
        <w:rPr>
          <w:rFonts w:ascii="Arial" w:hAnsi="Arial" w:cs="Arial"/>
          <w:b w:val="0"/>
          <w:sz w:val="22"/>
          <w:szCs w:val="22"/>
          <w:lang w:val="en-US"/>
        </w:rPr>
        <w:t>,</w:t>
      </w:r>
      <w:r w:rsidRPr="00D05450">
        <w:rPr>
          <w:rFonts w:ascii="Arial" w:hAnsi="Arial" w:cs="Arial"/>
          <w:b w:val="0"/>
          <w:sz w:val="22"/>
          <w:szCs w:val="22"/>
          <w:lang w:val="en-US"/>
        </w:rPr>
        <w:t xml:space="preserve"> in the emergency room. However, a large number of hospitalized patients have or develop either </w:t>
      </w:r>
      <w:r w:rsidRPr="00D05450">
        <w:rPr>
          <w:rFonts w:ascii="Arial" w:hAnsi="Arial" w:cs="Arial"/>
          <w:b w:val="0"/>
          <w:bCs w:val="0"/>
          <w:sz w:val="22"/>
          <w:szCs w:val="22"/>
          <w:lang w:val="en-US"/>
        </w:rPr>
        <w:t>mild (Na 131 – 136 mmol/l), moderate (Na 126 – 130 mmol/l) or severe (Na &lt;</w:t>
      </w:r>
      <w:r w:rsidRPr="00D05450">
        <w:rPr>
          <w:rFonts w:ascii="Arial" w:hAnsi="Arial" w:cs="Arial"/>
          <w:b w:val="0"/>
          <w:sz w:val="22"/>
          <w:szCs w:val="22"/>
          <w:lang w:val="en-US"/>
        </w:rPr>
        <w:t>125 mmol/l) hyponatremia after admission during the hospital stay. Although many hyponatremic patients will present with chronic hyponatremia, however, some patients present with a proven acute hyponatremia. Since acute hyponatremia means an incomplete adjustment of the difference in osmolality between plasma (extracellular space) and intracellular cell space of tissues and organs such as the brain, a 48-hours threshold to discern acute from chronic hyponatremia appears reasonable. However, in everyday practice, this discrimination might not be feasible due to a lack of documentation of serum sodium levels in newly hospitalized patients.</w:t>
      </w:r>
    </w:p>
    <w:p w14:paraId="1BAC3E87" w14:textId="77777777" w:rsidR="001F56DD" w:rsidRDefault="001F56DD" w:rsidP="00341067">
      <w:pPr>
        <w:pStyle w:val="Heading3"/>
        <w:spacing w:before="0" w:after="0" w:line="276" w:lineRule="auto"/>
        <w:rPr>
          <w:rFonts w:ascii="Arial" w:hAnsi="Arial" w:cs="Arial"/>
          <w:b w:val="0"/>
          <w:sz w:val="22"/>
          <w:szCs w:val="22"/>
          <w:lang w:val="en-US"/>
        </w:rPr>
      </w:pPr>
    </w:p>
    <w:p w14:paraId="75D49203" w14:textId="0DFD5C09" w:rsidR="000C2CA8" w:rsidRPr="00D05450" w:rsidRDefault="00D12970" w:rsidP="00341067">
      <w:pPr>
        <w:pStyle w:val="Heading3"/>
        <w:spacing w:before="0" w:after="0" w:line="276" w:lineRule="auto"/>
        <w:rPr>
          <w:rFonts w:ascii="Arial" w:hAnsi="Arial" w:cs="Arial"/>
          <w:b w:val="0"/>
          <w:sz w:val="22"/>
          <w:szCs w:val="22"/>
          <w:lang w:val="en-US"/>
        </w:rPr>
      </w:pPr>
      <w:r w:rsidRPr="00D05450">
        <w:rPr>
          <w:rFonts w:ascii="Arial" w:hAnsi="Arial" w:cs="Arial"/>
          <w:b w:val="0"/>
          <w:sz w:val="22"/>
          <w:szCs w:val="22"/>
          <w:lang w:val="en-US"/>
        </w:rPr>
        <w:t xml:space="preserve">As an important step </w:t>
      </w:r>
      <w:r w:rsidR="001F56DD">
        <w:rPr>
          <w:rFonts w:ascii="Arial" w:hAnsi="Arial" w:cs="Arial"/>
          <w:b w:val="0"/>
          <w:sz w:val="22"/>
          <w:szCs w:val="22"/>
          <w:lang w:val="en-US"/>
        </w:rPr>
        <w:t>in the</w:t>
      </w:r>
      <w:r w:rsidRPr="00D05450">
        <w:rPr>
          <w:rFonts w:ascii="Arial" w:hAnsi="Arial" w:cs="Arial"/>
          <w:b w:val="0"/>
          <w:sz w:val="22"/>
          <w:szCs w:val="22"/>
          <w:lang w:val="en-US"/>
        </w:rPr>
        <w:t xml:space="preserve"> approach </w:t>
      </w:r>
      <w:r w:rsidR="001F56DD">
        <w:rPr>
          <w:rFonts w:ascii="Arial" w:hAnsi="Arial" w:cs="Arial"/>
          <w:b w:val="0"/>
          <w:sz w:val="22"/>
          <w:szCs w:val="22"/>
          <w:lang w:val="en-US"/>
        </w:rPr>
        <w:t xml:space="preserve">to </w:t>
      </w:r>
      <w:r w:rsidRPr="00D05450">
        <w:rPr>
          <w:rFonts w:ascii="Arial" w:hAnsi="Arial" w:cs="Arial"/>
          <w:b w:val="0"/>
          <w:sz w:val="22"/>
          <w:szCs w:val="22"/>
          <w:lang w:val="en-US"/>
        </w:rPr>
        <w:t xml:space="preserve">the hyponatremic patient </w:t>
      </w:r>
      <w:r w:rsidR="001F56DD">
        <w:rPr>
          <w:rFonts w:ascii="Arial" w:hAnsi="Arial" w:cs="Arial"/>
          <w:b w:val="0"/>
          <w:sz w:val="22"/>
          <w:szCs w:val="22"/>
          <w:lang w:val="en-US"/>
        </w:rPr>
        <w:t xml:space="preserve">is to determine </w:t>
      </w:r>
      <w:r w:rsidRPr="00D05450">
        <w:rPr>
          <w:rFonts w:ascii="Arial" w:hAnsi="Arial" w:cs="Arial"/>
          <w:b w:val="0"/>
          <w:sz w:val="22"/>
          <w:szCs w:val="22"/>
          <w:lang w:val="en-US"/>
        </w:rPr>
        <w:t xml:space="preserve">volume status. Accordingly, a state of overhydration characterized by the presence of peripheral edema needs to be ruled out. Hyponatremia accompanied by </w:t>
      </w:r>
      <w:r w:rsidRPr="00D05450">
        <w:rPr>
          <w:rFonts w:ascii="Arial" w:hAnsi="Arial" w:cs="Arial"/>
          <w:b w:val="0"/>
          <w:bCs w:val="0"/>
          <w:sz w:val="22"/>
          <w:szCs w:val="22"/>
          <w:lang w:val="en-US"/>
        </w:rPr>
        <w:t>peripheral edema,</w:t>
      </w:r>
      <w:r w:rsidRPr="00D05450">
        <w:rPr>
          <w:rFonts w:ascii="Arial" w:hAnsi="Arial" w:cs="Arial"/>
          <w:b w:val="0"/>
          <w:sz w:val="22"/>
          <w:szCs w:val="22"/>
          <w:lang w:val="en-US"/>
        </w:rPr>
        <w:t xml:space="preserve"> anasarca, jugular vein distension in absence of a significant tricuspid-valve regurgitation, dyspnea, and/or signs of a lung fluid or pulmonary edema on the chest radiograph are not consistent with the diagnosis of SIADH. Here, underlying diseases such as </w:t>
      </w:r>
      <w:r w:rsidRPr="00D05450">
        <w:rPr>
          <w:rFonts w:ascii="Arial" w:hAnsi="Arial" w:cs="Arial"/>
          <w:b w:val="0"/>
          <w:bCs w:val="0"/>
          <w:sz w:val="22"/>
          <w:szCs w:val="22"/>
          <w:lang w:val="en-US"/>
        </w:rPr>
        <w:t>chronic heart failure should be diagnosed and addressed. Likewise, hyponatremia in a state</w:t>
      </w:r>
      <w:r w:rsidRPr="00D05450">
        <w:rPr>
          <w:rFonts w:ascii="Arial" w:hAnsi="Arial" w:cs="Arial"/>
          <w:b w:val="0"/>
          <w:sz w:val="22"/>
          <w:szCs w:val="22"/>
          <w:lang w:val="en-US"/>
        </w:rPr>
        <w:t xml:space="preserve"> of hypovolemia needs to be excluded. In exsiccosis, e.g.</w:t>
      </w:r>
      <w:r w:rsidR="00861096" w:rsidRPr="00D05450">
        <w:rPr>
          <w:rFonts w:ascii="Arial" w:hAnsi="Arial" w:cs="Arial"/>
          <w:b w:val="0"/>
          <w:sz w:val="22"/>
          <w:szCs w:val="22"/>
          <w:lang w:val="en-US"/>
        </w:rPr>
        <w:t>,</w:t>
      </w:r>
      <w:r w:rsidRPr="00D05450">
        <w:rPr>
          <w:rFonts w:ascii="Arial" w:hAnsi="Arial" w:cs="Arial"/>
          <w:b w:val="0"/>
          <w:sz w:val="22"/>
          <w:szCs w:val="22"/>
          <w:lang w:val="en-US"/>
        </w:rPr>
        <w:t xml:space="preserve"> due to diuretics, both water and solutes may be lost. Hypovolemia triggers sympathoactivation via CP and baroreflex leading to an appropriate ADH release.</w:t>
      </w:r>
    </w:p>
    <w:p w14:paraId="27C70E7E" w14:textId="77777777" w:rsidR="00861096" w:rsidRPr="00D05450" w:rsidRDefault="00861096" w:rsidP="00861096">
      <w:pPr>
        <w:pStyle w:val="BodyText"/>
      </w:pPr>
    </w:p>
    <w:p w14:paraId="76F285D5" w14:textId="4E69D978" w:rsidR="000C2CA8" w:rsidRPr="00D05450" w:rsidRDefault="00D12970" w:rsidP="00341067">
      <w:pPr>
        <w:pStyle w:val="Heading3"/>
        <w:spacing w:before="0" w:after="0" w:line="276" w:lineRule="auto"/>
        <w:rPr>
          <w:rFonts w:ascii="Arial" w:hAnsi="Arial" w:cs="Arial"/>
          <w:b w:val="0"/>
          <w:sz w:val="22"/>
          <w:szCs w:val="22"/>
          <w:lang w:val="en-US"/>
        </w:rPr>
      </w:pPr>
      <w:r w:rsidRPr="00D05450">
        <w:rPr>
          <w:rFonts w:ascii="Arial" w:hAnsi="Arial" w:cs="Arial"/>
          <w:b w:val="0"/>
          <w:sz w:val="22"/>
          <w:szCs w:val="22"/>
          <w:lang w:val="en-US"/>
        </w:rPr>
        <w:t xml:space="preserve">In patients presenting with hyponatremia in a state of euvolemia, </w:t>
      </w:r>
      <w:r w:rsidR="00D32D7A" w:rsidRPr="00D05450">
        <w:rPr>
          <w:rFonts w:ascii="Arial" w:hAnsi="Arial" w:cs="Arial"/>
          <w:b w:val="0"/>
          <w:sz w:val="22"/>
          <w:szCs w:val="22"/>
          <w:lang w:val="en-US"/>
        </w:rPr>
        <w:t>i.e.,</w:t>
      </w:r>
      <w:r w:rsidRPr="00D05450">
        <w:rPr>
          <w:rFonts w:ascii="Arial" w:hAnsi="Arial" w:cs="Arial"/>
          <w:b w:val="0"/>
          <w:sz w:val="22"/>
          <w:szCs w:val="22"/>
          <w:lang w:val="en-US"/>
        </w:rPr>
        <w:t xml:space="preserve"> absence of overhydration or exsiccosis, the diagnosis of SIADH should be </w:t>
      </w:r>
      <w:r w:rsidR="001F56DD">
        <w:rPr>
          <w:rFonts w:ascii="Arial" w:hAnsi="Arial" w:cs="Arial"/>
          <w:b w:val="0"/>
          <w:sz w:val="22"/>
          <w:szCs w:val="22"/>
          <w:lang w:val="en-US"/>
        </w:rPr>
        <w:t>considered</w:t>
      </w:r>
      <w:r w:rsidRPr="00D05450">
        <w:rPr>
          <w:rFonts w:ascii="Arial" w:hAnsi="Arial" w:cs="Arial"/>
          <w:b w:val="0"/>
          <w:sz w:val="22"/>
          <w:szCs w:val="22"/>
          <w:lang w:val="en-US"/>
        </w:rPr>
        <w:t>, after excluding conditions such as chronic heart failure. A known and medically treated chronic heart failure condition may present as a hypervolemic, euvolemic or – when vigorously treated – hypovolemic state. Both, chronic heart failure and liver cirrhosis are characterized by arterial underfilling and, hence, activation of both the renin-angiotensin-aldosterone system and antidiuretic hormone leading to both sodium chloride retention and water retention. The net effect may be hyponatremia, if AVP stimulation dominates. Thus, urine-sodium measurements in 24-hours urine collection may prove the presence of a sodium-sparing disorder, thereby rendering SIADH unlikely.</w:t>
      </w:r>
    </w:p>
    <w:p w14:paraId="4B94E229" w14:textId="77777777" w:rsidR="00861096" w:rsidRPr="00D05450" w:rsidRDefault="00861096" w:rsidP="00861096">
      <w:pPr>
        <w:pStyle w:val="BodyText"/>
      </w:pPr>
    </w:p>
    <w:p w14:paraId="51052940" w14:textId="29B50A33" w:rsidR="000C2CA8" w:rsidRPr="00D05450" w:rsidRDefault="00D12970" w:rsidP="00341067">
      <w:pPr>
        <w:pStyle w:val="Heading3"/>
        <w:spacing w:before="0" w:after="0" w:line="276" w:lineRule="auto"/>
        <w:rPr>
          <w:rFonts w:ascii="Arial" w:hAnsi="Arial" w:cs="Arial"/>
          <w:b w:val="0"/>
          <w:sz w:val="22"/>
          <w:szCs w:val="22"/>
          <w:lang w:val="en-US"/>
        </w:rPr>
      </w:pPr>
      <w:r w:rsidRPr="00D05450">
        <w:rPr>
          <w:rFonts w:ascii="Arial" w:hAnsi="Arial" w:cs="Arial"/>
          <w:b w:val="0"/>
          <w:sz w:val="22"/>
          <w:szCs w:val="22"/>
          <w:lang w:val="en-US"/>
        </w:rPr>
        <w:t>A useful algorithm to approach hyponatremia is depicted in Figure 3</w:t>
      </w:r>
      <w:r w:rsidR="00861096" w:rsidRPr="00D05450">
        <w:rPr>
          <w:rFonts w:ascii="Arial" w:hAnsi="Arial" w:cs="Arial"/>
          <w:b w:val="0"/>
          <w:sz w:val="22"/>
          <w:szCs w:val="22"/>
          <w:lang w:val="en-US"/>
        </w:rPr>
        <w:t>.</w:t>
      </w:r>
      <w:r w:rsidRPr="00D05450">
        <w:rPr>
          <w:rFonts w:ascii="Arial" w:hAnsi="Arial" w:cs="Arial"/>
          <w:b w:val="0"/>
          <w:sz w:val="22"/>
          <w:szCs w:val="22"/>
          <w:lang w:val="en-US"/>
        </w:rPr>
        <w:t xml:space="preserve"> </w:t>
      </w:r>
    </w:p>
    <w:tbl>
      <w:tblPr>
        <w:tblW w:w="9256" w:type="dxa"/>
        <w:tblInd w:w="-6" w:type="dxa"/>
        <w:tblLayout w:type="fixed"/>
        <w:tblCellMar>
          <w:left w:w="70" w:type="dxa"/>
          <w:right w:w="70" w:type="dxa"/>
        </w:tblCellMar>
        <w:tblLook w:val="04A0" w:firstRow="1" w:lastRow="0" w:firstColumn="1" w:lastColumn="0" w:noHBand="0" w:noVBand="1"/>
      </w:tblPr>
      <w:tblGrid>
        <w:gridCol w:w="9256"/>
      </w:tblGrid>
      <w:tr w:rsidR="000C2CA8" w:rsidRPr="00D05450" w14:paraId="49E246F1" w14:textId="77777777">
        <w:trPr>
          <w:trHeight w:val="11704"/>
        </w:trPr>
        <w:tc>
          <w:tcPr>
            <w:tcW w:w="9256" w:type="dxa"/>
            <w:tcBorders>
              <w:top w:val="single" w:sz="6" w:space="0" w:color="000000"/>
              <w:left w:val="single" w:sz="6" w:space="0" w:color="000000"/>
              <w:bottom w:val="single" w:sz="6" w:space="0" w:color="000000"/>
              <w:right w:val="single" w:sz="6" w:space="0" w:color="000000"/>
            </w:tcBorders>
          </w:tcPr>
          <w:p w14:paraId="4E0C533E" w14:textId="5528CFEF" w:rsidR="000C2CA8" w:rsidRPr="00D05450" w:rsidRDefault="00D12970" w:rsidP="00341067">
            <w:pPr>
              <w:pStyle w:val="Heading3"/>
              <w:widowControl w:val="0"/>
              <w:spacing w:before="0" w:after="0" w:line="276" w:lineRule="auto"/>
              <w:rPr>
                <w:rFonts w:ascii="Arial" w:hAnsi="Arial" w:cs="Arial"/>
                <w:b w:val="0"/>
                <w:sz w:val="22"/>
                <w:szCs w:val="22"/>
                <w:lang w:val="en-US"/>
              </w:rPr>
            </w:pPr>
            <w:r w:rsidRPr="00D05450">
              <w:rPr>
                <w:rFonts w:ascii="Arial" w:hAnsi="Arial" w:cs="Arial"/>
                <w:noProof/>
                <w:sz w:val="22"/>
                <w:szCs w:val="22"/>
                <w:lang w:val="en-US" w:eastAsia="en-US"/>
              </w:rPr>
              <w:lastRenderedPageBreak/>
              <w:drawing>
                <wp:inline distT="0" distB="0" distL="0" distR="0" wp14:anchorId="066E3AF7" wp14:editId="4DD8D93E">
                  <wp:extent cx="5792470" cy="7599680"/>
                  <wp:effectExtent l="0" t="0" r="0" b="0"/>
                  <wp:docPr id="3"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36"/>
                          <pic:cNvPicPr>
                            <a:picLocks noChangeAspect="1" noChangeArrowheads="1"/>
                          </pic:cNvPicPr>
                        </pic:nvPicPr>
                        <pic:blipFill>
                          <a:blip r:embed="rId10"/>
                          <a:stretch>
                            <a:fillRect/>
                          </a:stretch>
                        </pic:blipFill>
                        <pic:spPr bwMode="auto">
                          <a:xfrm>
                            <a:off x="0" y="0"/>
                            <a:ext cx="5792470" cy="7599680"/>
                          </a:xfrm>
                          <a:prstGeom prst="rect">
                            <a:avLst/>
                          </a:prstGeom>
                        </pic:spPr>
                      </pic:pic>
                    </a:graphicData>
                  </a:graphic>
                </wp:inline>
              </w:drawing>
            </w:r>
          </w:p>
        </w:tc>
      </w:tr>
    </w:tbl>
    <w:p w14:paraId="08C86817" w14:textId="572F85B2" w:rsidR="000C2CA8" w:rsidRPr="00D05450" w:rsidRDefault="00D12970" w:rsidP="00341067">
      <w:pPr>
        <w:spacing w:line="276" w:lineRule="auto"/>
        <w:rPr>
          <w:rFonts w:ascii="Arial" w:hAnsi="Arial" w:cs="Arial"/>
          <w:b/>
          <w:bCs/>
          <w:sz w:val="22"/>
          <w:szCs w:val="22"/>
          <w:lang w:val="en-US"/>
        </w:rPr>
      </w:pPr>
      <w:r w:rsidRPr="00D05450">
        <w:rPr>
          <w:rFonts w:ascii="Arial" w:hAnsi="Arial" w:cs="Arial"/>
          <w:b/>
          <w:bCs/>
          <w:sz w:val="22"/>
          <w:szCs w:val="22"/>
          <w:lang w:val="en-US"/>
        </w:rPr>
        <w:t>Figure 3</w:t>
      </w:r>
      <w:r w:rsidR="00861096" w:rsidRPr="00D05450">
        <w:rPr>
          <w:rFonts w:ascii="Arial" w:hAnsi="Arial" w:cs="Arial"/>
          <w:b/>
          <w:bCs/>
          <w:sz w:val="22"/>
          <w:szCs w:val="22"/>
          <w:lang w:val="en-US"/>
        </w:rPr>
        <w:t>.</w:t>
      </w:r>
      <w:r w:rsidRPr="00D05450">
        <w:rPr>
          <w:rFonts w:ascii="Arial" w:hAnsi="Arial" w:cs="Arial"/>
          <w:b/>
          <w:bCs/>
          <w:sz w:val="22"/>
          <w:szCs w:val="22"/>
          <w:lang w:val="en-US"/>
        </w:rPr>
        <w:t xml:space="preserve"> Approach to the patient with hyponatremia (adapted and modified from </w:t>
      </w:r>
      <w:r w:rsidRPr="00D05450">
        <w:rPr>
          <w:rFonts w:ascii="Arial" w:hAnsi="Arial" w:cs="Arial"/>
          <w:b/>
          <w:bCs/>
          <w:sz w:val="22"/>
          <w:szCs w:val="22"/>
          <w:lang w:val="en-US"/>
        </w:rPr>
        <w:fldChar w:fldCharType="begin"/>
      </w:r>
      <w:r w:rsidRPr="00D05450">
        <w:rPr>
          <w:rFonts w:ascii="Arial" w:hAnsi="Arial" w:cs="Arial"/>
          <w:b/>
          <w:bCs/>
          <w:sz w:val="22"/>
          <w:szCs w:val="22"/>
          <w:lang w:val="en-US"/>
        </w:rPr>
        <w:instrText>ADDIN REFMGR.CITE &lt;Refman&gt;&lt;Cite&gt;&lt;Author&gt;Spasovski&lt;/Author&gt;&lt;Year&gt;2014&lt;/Year&gt;&lt;RecNum&gt;370&lt;/RecNum&gt;&lt;IDText&gt;Clinical practice guideline on diagnosis and treatment of hyponatraemia&lt;/IDText&gt;&lt;MDL Ref_Type="Journal"&gt;&lt;Ref_Type&gt;Journal&lt;/Ref_Type&gt;&lt;Ref_ID&gt;370&lt;/Ref_ID&gt;&lt;Title_Primary&gt;Clinical practice guideline on diagnosis and treatment of hyponatraemia&lt;/Title_Primary&gt;&lt;Authors_Primary&gt;Spasovski,G.&lt;/Authors_Primary&gt;&lt;Authors_Primary&gt;Vanholder,R.&lt;/Authors_Primary&gt;&lt;Authors_Primary&gt;Allolio,B.&lt;/Authors_Primary&gt;&lt;Authors_Primary&gt;Annane,D.&lt;/Authors_Primary&gt;&lt;Authors_Primary&gt;Ball,S.&lt;/Authors_Primary&gt;&lt;Authors_Primary&gt;Bichet,D.&lt;/Authors_Primary&gt;&lt;Authors_Primary&gt;Decaux,G.&lt;/Authors_Primary&gt;&lt;Authors_Primary&gt;Fenske,W.&lt;/Authors_Primary&gt;&lt;Authors_Primary&gt;Hoorn,E.J.&lt;/Authors_Primary&gt;&lt;Authors_Primary&gt;Ichai,C.&lt;/Authors_Primary&gt;&lt;Authors_Primary&gt;Joannidis,M.&lt;/Authors_Primary&gt;&lt;Authors_Primary&gt;Soupart,A.&lt;/Authors_Primary&gt;&lt;Authors_Primary&gt;Zietse,R.&lt;/Authors_Primary&gt;&lt;Authors_Primary&gt;Haller,M.&lt;/Authors_Primary&gt;&lt;Authors_Primary&gt;van,der,V&lt;/Authors_Primary&gt;&lt;Authors_Primary&gt;Van,Biesen W.&lt;/Authors_Primary&gt;&lt;Authors_Primary&gt;Nagler,E.&lt;/Authors_Primary&gt;&lt;Date_Primary&gt;2014/3&lt;/Date_Primary&gt;&lt;Keywords&gt;administration &amp;amp; dosage&lt;/Keywords&gt;&lt;Keywords&gt;Adult&lt;/Keywords&gt;&lt;Keywords&gt;Algorithms&lt;/Keywords&gt;&lt;Keywords&gt;blood&lt;/Keywords&gt;&lt;Keywords&gt;Blood Glucose&lt;/Keywords&gt;&lt;Keywords&gt;Brain Edema&lt;/Keywords&gt;&lt;Keywords&gt;complications&lt;/Keywords&gt;&lt;Keywords&gt;Critical Care&lt;/Keywords&gt;&lt;Keywords&gt;diagnosis&lt;/Keywords&gt;&lt;Keywords&gt;Endocrinology&lt;/Keywords&gt;&lt;Keywords&gt;Evidence-Based Medicine&lt;/Keywords&gt;&lt;Keywords&gt;Female&lt;/Keywords&gt;&lt;Keywords&gt;Glucose&lt;/Keywords&gt;&lt;Keywords&gt;Humans&lt;/Keywords&gt;&lt;Keywords&gt;Hyponatremia&lt;/Keywords&gt;&lt;Keywords&gt;Inappropriate ADH Syndrome&lt;/Keywords&gt;&lt;Keywords&gt;Infusions,Intravenous&lt;/Keywords&gt;&lt;Keywords&gt;Kidney Diseases&lt;/Keywords&gt;&lt;Keywords&gt;Male&lt;/Keywords&gt;&lt;Keywords&gt;metabolism&lt;/Keywords&gt;&lt;Keywords&gt;Morbidity&lt;/Keywords&gt;&lt;Keywords&gt;mortality&lt;/Keywords&gt;&lt;Keywords&gt;Nephrology&lt;/Keywords&gt;&lt;Keywords&gt;organization &amp;amp; administration&lt;/Keywords&gt;&lt;Keywords&gt;Osmolar Concentration&lt;/Keywords&gt;&lt;Keywords&gt;physiology&lt;/Keywords&gt;&lt;Keywords&gt;physiopathology&lt;/Keywords&gt;&lt;Keywords&gt;Prevalence&lt;/Keywords&gt;&lt;Keywords&gt;Research&lt;/Keywords&gt;&lt;Keywords&gt;Saline Solution,Hypertonic&lt;/Keywords&gt;&lt;Keywords&gt;secretion&lt;/Keywords&gt;&lt;Keywords&gt;Sodium&lt;/Keywords&gt;&lt;Keywords&gt;therapy&lt;/Keywords&gt;&lt;Keywords&gt;Urine&lt;/Keywords&gt;&lt;Keywords&gt;Vasopressins&lt;/Keywords&gt;&lt;Reprint&gt;Not in File&lt;/Reprint&gt;&lt;Start_Page&gt;G1&lt;/Start_Page&gt;&lt;End_Page&gt;47&lt;/End_Page&gt;&lt;Periodical&gt;Eur.J Endocrinol.&lt;/Periodical&gt;&lt;Volume&gt;170&lt;/Volume&gt;&lt;Issue&gt;3&lt;/Issue&gt;&lt;Address&gt;State University Hospital Skopje, Skopje, Macedonia&lt;/Address&gt;&lt;Web_URL&gt;PM:24569125&lt;/Web_URL&gt;&lt;ZZ_JournalStdAbbrev&gt;&lt;f name="System"&gt;Eur.J Endocrinol.&lt;/f&gt;&lt;/ZZ_JournalStdAbbrev&gt;&lt;ZZ_WorkformID&gt;1&lt;/ZZ_WorkformID&gt;&lt;/MDL&gt;&lt;/Cite&gt;&lt;/Refman&gt;</w:instrText>
      </w:r>
      <w:r w:rsidRPr="00D05450">
        <w:rPr>
          <w:rFonts w:ascii="Arial" w:hAnsi="Arial" w:cs="Arial"/>
          <w:b/>
          <w:bCs/>
          <w:sz w:val="22"/>
          <w:szCs w:val="22"/>
          <w:lang w:val="en-US"/>
        </w:rPr>
        <w:fldChar w:fldCharType="separate"/>
      </w:r>
      <w:r w:rsidR="00341067" w:rsidRPr="00D05450">
        <w:rPr>
          <w:rFonts w:ascii="Arial" w:hAnsi="Arial" w:cs="Arial"/>
          <w:b/>
          <w:bCs/>
          <w:sz w:val="22"/>
          <w:szCs w:val="22"/>
          <w:lang w:val="en-US"/>
        </w:rPr>
        <w:t>(</w:t>
      </w:r>
      <w:r w:rsidRPr="00D05450">
        <w:rPr>
          <w:rFonts w:ascii="Arial" w:hAnsi="Arial" w:cs="Arial"/>
          <w:b/>
          <w:bCs/>
          <w:sz w:val="22"/>
          <w:szCs w:val="22"/>
          <w:lang w:val="en-US"/>
        </w:rPr>
        <w:t>18</w:t>
      </w:r>
      <w:r w:rsidR="00341067" w:rsidRPr="00D05450">
        <w:rPr>
          <w:rFonts w:ascii="Arial" w:hAnsi="Arial" w:cs="Arial"/>
          <w:b/>
          <w:bCs/>
          <w:sz w:val="22"/>
          <w:szCs w:val="22"/>
          <w:lang w:val="en-US"/>
        </w:rPr>
        <w:t>)</w:t>
      </w:r>
      <w:r w:rsidRPr="00D05450">
        <w:rPr>
          <w:rFonts w:ascii="Arial" w:hAnsi="Arial" w:cs="Arial"/>
          <w:b/>
          <w:bCs/>
          <w:sz w:val="22"/>
          <w:szCs w:val="22"/>
          <w:lang w:val="en-US"/>
        </w:rPr>
        <w:fldChar w:fldCharType="end"/>
      </w:r>
      <w:r w:rsidRPr="00D05450">
        <w:rPr>
          <w:rFonts w:ascii="Arial" w:hAnsi="Arial" w:cs="Arial"/>
          <w:b/>
          <w:bCs/>
          <w:sz w:val="22"/>
          <w:szCs w:val="22"/>
          <w:lang w:val="en-US"/>
        </w:rPr>
        <w:t>, with permission).</w:t>
      </w:r>
    </w:p>
    <w:p w14:paraId="0B4DFA59" w14:textId="77777777" w:rsidR="000C2CA8" w:rsidRPr="00D05450" w:rsidRDefault="000C2CA8" w:rsidP="00341067">
      <w:pPr>
        <w:pStyle w:val="Heading3"/>
        <w:spacing w:before="0" w:after="0" w:line="276" w:lineRule="auto"/>
        <w:rPr>
          <w:rFonts w:ascii="Arial" w:hAnsi="Arial" w:cs="Arial"/>
          <w:b w:val="0"/>
          <w:bCs w:val="0"/>
          <w:sz w:val="22"/>
          <w:szCs w:val="22"/>
          <w:lang w:val="en-US"/>
        </w:rPr>
      </w:pPr>
    </w:p>
    <w:p w14:paraId="4989E074" w14:textId="19BDEE9A"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In the clinical assessment, </w:t>
      </w:r>
      <w:r w:rsidRPr="00D05450">
        <w:rPr>
          <w:rFonts w:ascii="Arial" w:hAnsi="Arial" w:cs="Arial"/>
          <w:bCs/>
          <w:sz w:val="22"/>
          <w:szCs w:val="22"/>
          <w:lang w:val="en-US"/>
        </w:rPr>
        <w:t>euvolemic patients suspected to have primary SIADH often show a slight weight gain by 5 – 10 % of body weight</w:t>
      </w:r>
      <w:r w:rsidRPr="00D05450">
        <w:rPr>
          <w:rFonts w:ascii="Arial" w:hAnsi="Arial" w:cs="Arial"/>
          <w:sz w:val="22"/>
          <w:szCs w:val="22"/>
          <w:lang w:val="en-US"/>
        </w:rPr>
        <w:t xml:space="preserve"> and/or a worsened condition of arterial hypertension, and urine output is normal or slightly reduced. In secondary, neoplasm-</w:t>
      </w:r>
      <w:r w:rsidRPr="00D05450">
        <w:rPr>
          <w:rFonts w:ascii="Arial" w:hAnsi="Arial" w:cs="Arial"/>
          <w:sz w:val="22"/>
          <w:szCs w:val="22"/>
          <w:lang w:val="en-US"/>
        </w:rPr>
        <w:lastRenderedPageBreak/>
        <w:t>associated SIADH, however, an unexplained weight loss and/or state of cachexia may prompt further diagnostics including chest radiograph and thoracic computed tomography scan, if deemed necessary.</w:t>
      </w:r>
    </w:p>
    <w:p w14:paraId="26773734" w14:textId="77777777" w:rsidR="00861096" w:rsidRPr="00D05450" w:rsidRDefault="00861096" w:rsidP="00341067">
      <w:pPr>
        <w:spacing w:line="276" w:lineRule="auto"/>
        <w:rPr>
          <w:rFonts w:ascii="Arial" w:hAnsi="Arial" w:cs="Arial"/>
          <w:sz w:val="22"/>
          <w:szCs w:val="22"/>
          <w:lang w:val="en-US"/>
        </w:rPr>
      </w:pPr>
    </w:p>
    <w:p w14:paraId="49749DDA" w14:textId="77777777"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It is crucial to assess and to treat infections effectively, since they may establish or worsen a tendency to hyponatremia.</w:t>
      </w:r>
    </w:p>
    <w:p w14:paraId="19D89AA0" w14:textId="77777777" w:rsidR="000C2CA8" w:rsidRPr="00D05450" w:rsidRDefault="00D12970" w:rsidP="00341067">
      <w:pPr>
        <w:tabs>
          <w:tab w:val="left" w:pos="1680"/>
        </w:tabs>
        <w:spacing w:line="276" w:lineRule="auto"/>
        <w:rPr>
          <w:rFonts w:ascii="Arial" w:hAnsi="Arial" w:cs="Arial"/>
          <w:sz w:val="22"/>
          <w:szCs w:val="22"/>
          <w:lang w:val="en-US"/>
        </w:rPr>
      </w:pPr>
      <w:r w:rsidRPr="00D05450">
        <w:rPr>
          <w:rFonts w:ascii="Arial" w:hAnsi="Arial" w:cs="Arial"/>
          <w:sz w:val="22"/>
          <w:szCs w:val="22"/>
          <w:lang w:val="en-US"/>
        </w:rPr>
        <w:tab/>
      </w:r>
    </w:p>
    <w:p w14:paraId="25B0AB37" w14:textId="77777777"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To correctly evaluate laboratory results besides aspects of methodology, diuretics, </w:t>
      </w:r>
    </w:p>
    <w:p w14:paraId="05A53493" w14:textId="77777777" w:rsidR="000C2CA8" w:rsidRPr="00D05450" w:rsidRDefault="00D12970" w:rsidP="00341067">
      <w:pPr>
        <w:spacing w:line="276" w:lineRule="auto"/>
        <w:rPr>
          <w:rFonts w:ascii="Arial" w:hAnsi="Arial" w:cs="Arial"/>
          <w:bCs/>
          <w:sz w:val="22"/>
          <w:szCs w:val="22"/>
          <w:lang w:val="en-US"/>
        </w:rPr>
      </w:pPr>
      <w:r w:rsidRPr="00D05450">
        <w:rPr>
          <w:rFonts w:ascii="Arial" w:hAnsi="Arial" w:cs="Arial"/>
          <w:sz w:val="22"/>
          <w:szCs w:val="22"/>
          <w:lang w:val="en-US"/>
        </w:rPr>
        <w:t xml:space="preserve">especially thiazides, should be discontinued, and nutritional </w:t>
      </w:r>
      <w:r w:rsidRPr="00D05450">
        <w:rPr>
          <w:rFonts w:ascii="Arial" w:hAnsi="Arial" w:cs="Arial"/>
          <w:bCs/>
          <w:sz w:val="22"/>
          <w:szCs w:val="22"/>
          <w:lang w:val="en-US"/>
        </w:rPr>
        <w:t>sodium chloride intake should not exceed 5 – 6 g per day.</w:t>
      </w:r>
    </w:p>
    <w:p w14:paraId="2DDEABD8" w14:textId="77777777" w:rsidR="000C2CA8" w:rsidRPr="00D05450" w:rsidRDefault="000C2CA8" w:rsidP="00341067">
      <w:pPr>
        <w:spacing w:line="276" w:lineRule="auto"/>
        <w:rPr>
          <w:rFonts w:ascii="Arial" w:hAnsi="Arial" w:cs="Arial"/>
          <w:sz w:val="22"/>
          <w:szCs w:val="22"/>
          <w:lang w:val="en-US"/>
        </w:rPr>
      </w:pPr>
    </w:p>
    <w:p w14:paraId="3A31D3FE" w14:textId="12FB3A53" w:rsidR="000C2CA8" w:rsidRPr="00D05450" w:rsidRDefault="00D12970" w:rsidP="00341067">
      <w:pPr>
        <w:spacing w:line="276" w:lineRule="auto"/>
        <w:rPr>
          <w:rFonts w:ascii="Arial" w:hAnsi="Arial" w:cs="Arial"/>
          <w:b/>
          <w:bCs/>
          <w:color w:val="0070C0"/>
          <w:sz w:val="22"/>
          <w:szCs w:val="22"/>
          <w:lang w:val="en-US"/>
        </w:rPr>
      </w:pPr>
      <w:r w:rsidRPr="00D05450">
        <w:rPr>
          <w:rFonts w:ascii="Arial" w:hAnsi="Arial" w:cs="Arial"/>
          <w:b/>
          <w:bCs/>
          <w:color w:val="0070C0"/>
          <w:sz w:val="22"/>
          <w:szCs w:val="22"/>
          <w:lang w:val="en-US"/>
        </w:rPr>
        <w:t>H</w:t>
      </w:r>
      <w:r w:rsidR="00861096" w:rsidRPr="00D05450">
        <w:rPr>
          <w:rFonts w:ascii="Arial" w:hAnsi="Arial" w:cs="Arial"/>
          <w:b/>
          <w:bCs/>
          <w:color w:val="0070C0"/>
          <w:sz w:val="22"/>
          <w:szCs w:val="22"/>
          <w:lang w:val="en-US"/>
        </w:rPr>
        <w:t xml:space="preserve">YPONATREMIA IN EUVOLEMIA: ASSESSMENT FOR SIADH </w:t>
      </w:r>
    </w:p>
    <w:bookmarkEnd w:id="2"/>
    <w:p w14:paraId="408C2DBF" w14:textId="77777777" w:rsidR="00861096" w:rsidRPr="00D05450" w:rsidRDefault="00861096" w:rsidP="00341067">
      <w:pPr>
        <w:pStyle w:val="Heading3"/>
        <w:spacing w:before="0" w:after="0" w:line="276" w:lineRule="auto"/>
        <w:rPr>
          <w:rFonts w:ascii="Arial" w:hAnsi="Arial" w:cs="Arial"/>
          <w:b w:val="0"/>
          <w:bCs w:val="0"/>
          <w:sz w:val="22"/>
          <w:szCs w:val="22"/>
          <w:lang w:val="en-US"/>
        </w:rPr>
      </w:pPr>
    </w:p>
    <w:p w14:paraId="249E92B0" w14:textId="4AF942E4" w:rsidR="000C2CA8" w:rsidRPr="00D05450" w:rsidRDefault="00D12970" w:rsidP="00341067">
      <w:pPr>
        <w:pStyle w:val="Heading3"/>
        <w:spacing w:before="0" w:after="0" w:line="276" w:lineRule="auto"/>
        <w:rPr>
          <w:rFonts w:ascii="Arial" w:hAnsi="Arial" w:cs="Arial"/>
          <w:b w:val="0"/>
          <w:bCs w:val="0"/>
          <w:sz w:val="22"/>
          <w:szCs w:val="22"/>
          <w:lang w:val="en-US"/>
        </w:rPr>
      </w:pPr>
      <w:bookmarkStart w:id="3" w:name="_Hlk122523150"/>
      <w:r w:rsidRPr="00D05450">
        <w:rPr>
          <w:rFonts w:ascii="Arial" w:hAnsi="Arial" w:cs="Arial"/>
          <w:b w:val="0"/>
          <w:bCs w:val="0"/>
          <w:sz w:val="22"/>
          <w:szCs w:val="22"/>
          <w:lang w:val="en-US"/>
        </w:rPr>
        <w:t>The diagnostic, step-wise approach for evaluating hyponatremia in euvolemic patients is detailed below:</w:t>
      </w:r>
    </w:p>
    <w:p w14:paraId="5787FC45" w14:textId="77777777" w:rsidR="00861096" w:rsidRPr="00D05450" w:rsidRDefault="00861096" w:rsidP="00861096">
      <w:pPr>
        <w:pStyle w:val="BodyText"/>
      </w:pPr>
    </w:p>
    <w:p w14:paraId="726E347D" w14:textId="260BD67E" w:rsidR="000C2CA8" w:rsidRPr="00D05450" w:rsidRDefault="00D12970" w:rsidP="00341067">
      <w:pPr>
        <w:pStyle w:val="Heading3"/>
        <w:spacing w:before="0" w:after="0" w:line="276" w:lineRule="auto"/>
        <w:rPr>
          <w:rFonts w:ascii="Arial" w:hAnsi="Arial" w:cs="Arial"/>
          <w:color w:val="00B050"/>
          <w:sz w:val="22"/>
          <w:szCs w:val="22"/>
          <w:lang w:val="en-US"/>
        </w:rPr>
      </w:pPr>
      <w:r w:rsidRPr="00D05450">
        <w:rPr>
          <w:rFonts w:ascii="Arial" w:hAnsi="Arial" w:cs="Arial"/>
          <w:color w:val="00B050"/>
          <w:sz w:val="22"/>
          <w:szCs w:val="22"/>
          <w:lang w:val="en-US"/>
        </w:rPr>
        <w:t>1</w:t>
      </w:r>
      <w:r w:rsidRPr="00D05450">
        <w:rPr>
          <w:rFonts w:ascii="Arial" w:hAnsi="Arial" w:cs="Arial"/>
          <w:color w:val="00B050"/>
          <w:sz w:val="22"/>
          <w:szCs w:val="22"/>
          <w:vertAlign w:val="superscript"/>
          <w:lang w:val="en-US"/>
        </w:rPr>
        <w:t>st</w:t>
      </w:r>
      <w:r w:rsidRPr="00D05450">
        <w:rPr>
          <w:rFonts w:ascii="Arial" w:hAnsi="Arial" w:cs="Arial"/>
          <w:color w:val="00B050"/>
          <w:sz w:val="22"/>
          <w:szCs w:val="22"/>
          <w:lang w:val="en-US"/>
        </w:rPr>
        <w:t xml:space="preserve"> </w:t>
      </w:r>
      <w:r w:rsidR="00C32946" w:rsidRPr="00D05450">
        <w:rPr>
          <w:rFonts w:ascii="Arial" w:hAnsi="Arial" w:cs="Arial"/>
          <w:color w:val="00B050"/>
          <w:sz w:val="22"/>
          <w:szCs w:val="22"/>
          <w:lang w:val="en-US"/>
        </w:rPr>
        <w:t>S</w:t>
      </w:r>
      <w:r w:rsidRPr="00D05450">
        <w:rPr>
          <w:rFonts w:ascii="Arial" w:hAnsi="Arial" w:cs="Arial"/>
          <w:color w:val="00B050"/>
          <w:sz w:val="22"/>
          <w:szCs w:val="22"/>
          <w:lang w:val="en-US"/>
        </w:rPr>
        <w:t>tep</w:t>
      </w:r>
    </w:p>
    <w:p w14:paraId="6E216276" w14:textId="77777777" w:rsidR="00C32946" w:rsidRPr="00D05450" w:rsidRDefault="00C32946" w:rsidP="00341067">
      <w:pPr>
        <w:spacing w:line="276" w:lineRule="auto"/>
        <w:rPr>
          <w:rFonts w:ascii="Arial" w:hAnsi="Arial" w:cs="Arial"/>
          <w:bCs/>
          <w:sz w:val="22"/>
          <w:szCs w:val="22"/>
          <w:lang w:val="en-US"/>
        </w:rPr>
      </w:pPr>
    </w:p>
    <w:p w14:paraId="08E0955A" w14:textId="2F3061B6" w:rsidR="000C2CA8" w:rsidRPr="00D05450" w:rsidRDefault="00D12970" w:rsidP="00341067">
      <w:pPr>
        <w:spacing w:line="276" w:lineRule="auto"/>
        <w:rPr>
          <w:rFonts w:ascii="Arial" w:hAnsi="Arial" w:cs="Arial"/>
          <w:bCs/>
          <w:sz w:val="22"/>
          <w:szCs w:val="22"/>
          <w:lang w:val="en-US"/>
        </w:rPr>
      </w:pPr>
      <w:r w:rsidRPr="00D05450">
        <w:rPr>
          <w:rFonts w:ascii="Arial" w:hAnsi="Arial" w:cs="Arial"/>
          <w:bCs/>
          <w:sz w:val="22"/>
          <w:szCs w:val="22"/>
          <w:lang w:val="en-US"/>
        </w:rPr>
        <w:t xml:space="preserve">Here, a </w:t>
      </w:r>
      <w:r w:rsidR="00C32946" w:rsidRPr="00D05450">
        <w:rPr>
          <w:rFonts w:ascii="Arial" w:hAnsi="Arial" w:cs="Arial"/>
          <w:bCs/>
          <w:sz w:val="22"/>
          <w:szCs w:val="22"/>
          <w:lang w:val="en-US"/>
        </w:rPr>
        <w:t>l</w:t>
      </w:r>
      <w:r w:rsidRPr="00D05450">
        <w:rPr>
          <w:rFonts w:ascii="Arial" w:hAnsi="Arial" w:cs="Arial"/>
          <w:bCs/>
          <w:sz w:val="22"/>
          <w:szCs w:val="22"/>
          <w:lang w:val="en-US"/>
        </w:rPr>
        <w:t>aboratory work-up (</w:t>
      </w:r>
      <w:r w:rsidRPr="00D05450">
        <w:rPr>
          <w:rFonts w:ascii="Arial" w:hAnsi="Arial" w:cs="Arial"/>
          <w:sz w:val="22"/>
          <w:szCs w:val="22"/>
          <w:lang w:val="en-US"/>
        </w:rPr>
        <w:t>Table 2</w:t>
      </w:r>
      <w:r w:rsidRPr="00D05450">
        <w:rPr>
          <w:rFonts w:ascii="Arial" w:hAnsi="Arial" w:cs="Arial"/>
          <w:bCs/>
          <w:sz w:val="22"/>
          <w:szCs w:val="22"/>
          <w:lang w:val="en-US"/>
        </w:rPr>
        <w:t xml:space="preserve">) is proposed to establish a preliminary diagnosis being consistent with SIADH. </w:t>
      </w:r>
    </w:p>
    <w:p w14:paraId="141340A7" w14:textId="1413F111" w:rsidR="00C32946" w:rsidRPr="00D05450" w:rsidRDefault="00C32946" w:rsidP="00341067">
      <w:pPr>
        <w:spacing w:line="276" w:lineRule="auto"/>
        <w:rPr>
          <w:rFonts w:ascii="Arial" w:hAnsi="Arial" w:cs="Arial"/>
          <w:bCs/>
          <w:sz w:val="22"/>
          <w:szCs w:val="22"/>
          <w:lang w:val="en-US"/>
        </w:rPr>
      </w:pPr>
    </w:p>
    <w:tbl>
      <w:tblPr>
        <w:tblStyle w:val="TableGrid1"/>
        <w:tblW w:w="0" w:type="auto"/>
        <w:tblLook w:val="04A0" w:firstRow="1" w:lastRow="0" w:firstColumn="1" w:lastColumn="0" w:noHBand="0" w:noVBand="1"/>
      </w:tblPr>
      <w:tblGrid>
        <w:gridCol w:w="2991"/>
        <w:gridCol w:w="3003"/>
        <w:gridCol w:w="3022"/>
      </w:tblGrid>
      <w:tr w:rsidR="00C32946" w:rsidRPr="00C32946" w14:paraId="7CFDF709" w14:textId="77777777" w:rsidTr="000B2675">
        <w:trPr>
          <w:trHeight w:val="260"/>
        </w:trPr>
        <w:tc>
          <w:tcPr>
            <w:tcW w:w="9576" w:type="dxa"/>
            <w:gridSpan w:val="3"/>
            <w:shd w:val="clear" w:color="auto" w:fill="FFFF00"/>
          </w:tcPr>
          <w:p w14:paraId="02406F64" w14:textId="77777777" w:rsidR="00C32946" w:rsidRPr="00C32946" w:rsidRDefault="00C32946" w:rsidP="00C32946">
            <w:pPr>
              <w:spacing w:line="276" w:lineRule="auto"/>
              <w:rPr>
                <w:rFonts w:ascii="Arial" w:eastAsia="Calibri" w:hAnsi="Arial" w:cs="Arial"/>
              </w:rPr>
            </w:pPr>
            <w:r w:rsidRPr="00C32946">
              <w:rPr>
                <w:rFonts w:ascii="Arial" w:hAnsi="Arial" w:cs="Arial"/>
                <w:b/>
              </w:rPr>
              <w:t>Table 2.</w:t>
            </w:r>
            <w:r w:rsidRPr="00C32946">
              <w:rPr>
                <w:rFonts w:ascii="Arial" w:hAnsi="Arial" w:cs="Arial"/>
                <w:bCs/>
              </w:rPr>
              <w:t xml:space="preserve"> </w:t>
            </w:r>
            <w:r w:rsidRPr="00C32946">
              <w:rPr>
                <w:rFonts w:ascii="Arial" w:hAnsi="Arial" w:cs="Arial"/>
                <w:b/>
              </w:rPr>
              <w:t>Laboratory Work-Up for SIADH</w:t>
            </w:r>
          </w:p>
        </w:tc>
      </w:tr>
      <w:tr w:rsidR="00C32946" w:rsidRPr="00C32946" w14:paraId="1D626288" w14:textId="77777777" w:rsidTr="000B2675">
        <w:tc>
          <w:tcPr>
            <w:tcW w:w="3192" w:type="dxa"/>
          </w:tcPr>
          <w:p w14:paraId="35FB1ED1" w14:textId="77777777" w:rsidR="00C32946" w:rsidRPr="00C32946" w:rsidRDefault="00C32946" w:rsidP="00C32946">
            <w:pPr>
              <w:spacing w:line="276" w:lineRule="auto"/>
              <w:rPr>
                <w:rFonts w:ascii="Arial" w:eastAsia="Calibri" w:hAnsi="Arial" w:cs="Arial"/>
              </w:rPr>
            </w:pPr>
          </w:p>
        </w:tc>
        <w:tc>
          <w:tcPr>
            <w:tcW w:w="3192" w:type="dxa"/>
          </w:tcPr>
          <w:p w14:paraId="7DD9FCC8" w14:textId="77777777" w:rsidR="00C32946" w:rsidRPr="00C32946" w:rsidRDefault="00C32946" w:rsidP="00C32946">
            <w:pPr>
              <w:spacing w:line="276" w:lineRule="auto"/>
              <w:rPr>
                <w:rFonts w:ascii="Arial" w:eastAsia="Calibri" w:hAnsi="Arial" w:cs="Arial"/>
                <w:b/>
                <w:bCs/>
              </w:rPr>
            </w:pPr>
            <w:r w:rsidRPr="00C32946">
              <w:rPr>
                <w:rFonts w:ascii="Arial" w:eastAsia="Calibri" w:hAnsi="Arial" w:cs="Arial"/>
                <w:b/>
                <w:bCs/>
              </w:rPr>
              <w:t>Parameter</w:t>
            </w:r>
          </w:p>
        </w:tc>
        <w:tc>
          <w:tcPr>
            <w:tcW w:w="3192" w:type="dxa"/>
          </w:tcPr>
          <w:p w14:paraId="2EC38216" w14:textId="77777777" w:rsidR="00C32946" w:rsidRPr="00C32946" w:rsidRDefault="00C32946" w:rsidP="00C32946">
            <w:pPr>
              <w:spacing w:line="276" w:lineRule="auto"/>
              <w:rPr>
                <w:rFonts w:ascii="Arial" w:eastAsia="Calibri" w:hAnsi="Arial" w:cs="Arial"/>
                <w:b/>
                <w:bCs/>
              </w:rPr>
            </w:pPr>
            <w:r w:rsidRPr="00C32946">
              <w:rPr>
                <w:rFonts w:ascii="Arial" w:eastAsia="Calibri" w:hAnsi="Arial" w:cs="Arial"/>
                <w:b/>
                <w:bCs/>
              </w:rPr>
              <w:t>SIADH Diagnosis</w:t>
            </w:r>
          </w:p>
        </w:tc>
      </w:tr>
      <w:tr w:rsidR="00C32946" w:rsidRPr="00C32946" w14:paraId="4ABBB1C9" w14:textId="77777777" w:rsidTr="000B2675">
        <w:tc>
          <w:tcPr>
            <w:tcW w:w="3192" w:type="dxa"/>
          </w:tcPr>
          <w:p w14:paraId="626ABB65"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Serum</w:t>
            </w:r>
          </w:p>
        </w:tc>
        <w:tc>
          <w:tcPr>
            <w:tcW w:w="3192" w:type="dxa"/>
          </w:tcPr>
          <w:p w14:paraId="33A3F02D"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Sodium</w:t>
            </w:r>
          </w:p>
          <w:p w14:paraId="3341CA10"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Potassium</w:t>
            </w:r>
          </w:p>
          <w:p w14:paraId="7DF187DF"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 xml:space="preserve">Glucose </w:t>
            </w:r>
          </w:p>
          <w:p w14:paraId="35F681D4"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Urea</w:t>
            </w:r>
          </w:p>
          <w:p w14:paraId="4CDF79C2"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Creatinine</w:t>
            </w:r>
          </w:p>
          <w:p w14:paraId="344ED5DA"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Uric acid</w:t>
            </w:r>
          </w:p>
          <w:p w14:paraId="4F6EE5E2"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Thyroid hormones</w:t>
            </w:r>
          </w:p>
          <w:p w14:paraId="6C75F933"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Cortisol</w:t>
            </w:r>
          </w:p>
          <w:p w14:paraId="04E5FB2A"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Aldosterone</w:t>
            </w:r>
          </w:p>
          <w:p w14:paraId="05E12173"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Copeptin</w:t>
            </w:r>
          </w:p>
        </w:tc>
        <w:tc>
          <w:tcPr>
            <w:tcW w:w="3192" w:type="dxa"/>
          </w:tcPr>
          <w:p w14:paraId="28CCEC2E"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&lt;136 mmol/l</w:t>
            </w:r>
          </w:p>
          <w:p w14:paraId="588D6B6A"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Normal</w:t>
            </w:r>
          </w:p>
          <w:p w14:paraId="445E9F05"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Normal</w:t>
            </w:r>
          </w:p>
          <w:p w14:paraId="7D0750AA"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Normal</w:t>
            </w:r>
          </w:p>
          <w:p w14:paraId="1CAE7F66"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Normal</w:t>
            </w:r>
          </w:p>
          <w:p w14:paraId="6D5A266C"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Normal</w:t>
            </w:r>
          </w:p>
          <w:p w14:paraId="3680EA2E"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Normal</w:t>
            </w:r>
          </w:p>
          <w:p w14:paraId="0AA4C4C0"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Normal</w:t>
            </w:r>
          </w:p>
          <w:p w14:paraId="6E1CABA6"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Normal</w:t>
            </w:r>
          </w:p>
          <w:p w14:paraId="5CF1FE75"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Elevated</w:t>
            </w:r>
          </w:p>
        </w:tc>
      </w:tr>
      <w:tr w:rsidR="00C32946" w:rsidRPr="00C32946" w14:paraId="4EE4B42A" w14:textId="77777777" w:rsidTr="000B2675">
        <w:tc>
          <w:tcPr>
            <w:tcW w:w="3192" w:type="dxa"/>
          </w:tcPr>
          <w:p w14:paraId="1DA03959"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Urine</w:t>
            </w:r>
          </w:p>
        </w:tc>
        <w:tc>
          <w:tcPr>
            <w:tcW w:w="3192" w:type="dxa"/>
          </w:tcPr>
          <w:p w14:paraId="26C4D031"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Osmolality</w:t>
            </w:r>
          </w:p>
          <w:p w14:paraId="6773BEDE"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Sodium</w:t>
            </w:r>
          </w:p>
          <w:p w14:paraId="5E6E2709" w14:textId="5A57119C" w:rsidR="00C32946" w:rsidRPr="00C32946" w:rsidRDefault="00C32946" w:rsidP="00C32946">
            <w:pPr>
              <w:spacing w:line="276" w:lineRule="auto"/>
              <w:rPr>
                <w:rFonts w:ascii="Arial" w:eastAsia="Calibri" w:hAnsi="Arial" w:cs="Arial"/>
              </w:rPr>
            </w:pPr>
            <w:r w:rsidRPr="00C32946">
              <w:rPr>
                <w:rFonts w:ascii="Arial" w:eastAsia="Calibri" w:hAnsi="Arial" w:cs="Arial"/>
              </w:rPr>
              <w:t>Uric acid</w:t>
            </w:r>
          </w:p>
          <w:p w14:paraId="42DC5CAF" w14:textId="594B7C91" w:rsidR="00C32946" w:rsidRPr="00C32946" w:rsidRDefault="00C32946" w:rsidP="00C32946">
            <w:pPr>
              <w:spacing w:line="276" w:lineRule="auto"/>
              <w:rPr>
                <w:rFonts w:ascii="Arial" w:eastAsia="Calibri" w:hAnsi="Arial" w:cs="Arial"/>
              </w:rPr>
            </w:pPr>
            <w:r w:rsidRPr="00C32946">
              <w:rPr>
                <w:rFonts w:ascii="Arial" w:eastAsia="Calibri" w:hAnsi="Arial" w:cs="Arial"/>
              </w:rPr>
              <w:t>Creatinine</w:t>
            </w:r>
          </w:p>
          <w:p w14:paraId="1ADC8C4E" w14:textId="3FF699EC" w:rsidR="00C32946" w:rsidRPr="00C32946" w:rsidRDefault="00C32946" w:rsidP="00C32946">
            <w:pPr>
              <w:spacing w:line="276" w:lineRule="auto"/>
              <w:rPr>
                <w:rFonts w:ascii="Arial" w:eastAsia="Calibri" w:hAnsi="Arial" w:cs="Arial"/>
              </w:rPr>
            </w:pPr>
            <w:r w:rsidRPr="00C32946">
              <w:rPr>
                <w:rFonts w:ascii="Arial" w:eastAsia="Calibri" w:hAnsi="Arial" w:cs="Arial"/>
              </w:rPr>
              <w:t>Osmolality</w:t>
            </w:r>
          </w:p>
        </w:tc>
        <w:tc>
          <w:tcPr>
            <w:tcW w:w="3192" w:type="dxa"/>
          </w:tcPr>
          <w:p w14:paraId="19FF40F0"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&gt;100 mosm/kg</w:t>
            </w:r>
          </w:p>
          <w:p w14:paraId="706AFE4B"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&gt; 30 mmol/l</w:t>
            </w:r>
          </w:p>
          <w:p w14:paraId="53AA6B8C" w14:textId="19367C9B" w:rsidR="00C32946" w:rsidRPr="00C32946" w:rsidRDefault="00A0621E" w:rsidP="00C32946">
            <w:pPr>
              <w:spacing w:line="276" w:lineRule="auto"/>
              <w:rPr>
                <w:rFonts w:ascii="Arial" w:eastAsia="Calibri" w:hAnsi="Arial" w:cs="Arial"/>
              </w:rPr>
            </w:pPr>
            <w:r>
              <w:rPr>
                <w:rFonts w:ascii="Arial" w:eastAsia="Calibri" w:hAnsi="Arial" w:cs="Arial"/>
              </w:rPr>
              <w:t>Normal or Low</w:t>
            </w:r>
          </w:p>
          <w:p w14:paraId="4BECADB4" w14:textId="3D491DAB" w:rsidR="00C32946" w:rsidRPr="00C32946" w:rsidRDefault="00A0621E" w:rsidP="00C32946">
            <w:pPr>
              <w:spacing w:line="276" w:lineRule="auto"/>
              <w:rPr>
                <w:rFonts w:ascii="Arial" w:eastAsia="Calibri" w:hAnsi="Arial" w:cs="Arial"/>
              </w:rPr>
            </w:pPr>
            <w:r>
              <w:rPr>
                <w:rFonts w:ascii="Arial" w:eastAsia="Calibri" w:hAnsi="Arial" w:cs="Arial"/>
              </w:rPr>
              <w:t>Normal</w:t>
            </w:r>
          </w:p>
          <w:p w14:paraId="51D0B60B" w14:textId="77777777" w:rsidR="00C32946" w:rsidRPr="00C32946" w:rsidRDefault="00C32946" w:rsidP="00C32946">
            <w:pPr>
              <w:spacing w:line="276" w:lineRule="auto"/>
              <w:rPr>
                <w:rFonts w:ascii="Arial" w:eastAsia="Calibri" w:hAnsi="Arial" w:cs="Arial"/>
              </w:rPr>
            </w:pPr>
            <w:r w:rsidRPr="00C32946">
              <w:rPr>
                <w:rFonts w:ascii="Arial" w:eastAsia="Calibri" w:hAnsi="Arial" w:cs="Arial"/>
              </w:rPr>
              <w:t>&gt;12%</w:t>
            </w:r>
          </w:p>
        </w:tc>
      </w:tr>
    </w:tbl>
    <w:p w14:paraId="5C13C8D4" w14:textId="77777777" w:rsidR="00C32946" w:rsidRPr="00D05450" w:rsidRDefault="00C32946" w:rsidP="00C32946">
      <w:pPr>
        <w:spacing w:line="276" w:lineRule="auto"/>
        <w:rPr>
          <w:rFonts w:ascii="Arial" w:hAnsi="Arial" w:cs="Arial"/>
          <w:sz w:val="22"/>
          <w:szCs w:val="22"/>
          <w:lang w:val="en-US"/>
        </w:rPr>
      </w:pPr>
    </w:p>
    <w:p w14:paraId="4782DCDD" w14:textId="601C7265" w:rsidR="000C2CA8" w:rsidRPr="00D05450" w:rsidRDefault="00D12970" w:rsidP="00C32946">
      <w:pPr>
        <w:spacing w:line="276" w:lineRule="auto"/>
        <w:rPr>
          <w:rFonts w:ascii="Arial" w:hAnsi="Arial" w:cs="Arial"/>
          <w:noProof/>
          <w:sz w:val="22"/>
          <w:szCs w:val="22"/>
          <w:lang w:val="en-US" w:eastAsia="en-US"/>
        </w:rPr>
      </w:pPr>
      <w:r w:rsidRPr="00D05450">
        <w:rPr>
          <w:rFonts w:ascii="Arial" w:hAnsi="Arial" w:cs="Arial"/>
          <w:bCs/>
          <w:sz w:val="22"/>
          <w:szCs w:val="22"/>
          <w:lang w:val="en-US"/>
        </w:rPr>
        <w:t>As a diagnostic cornerstone of SIADH diagnosis, determination of fractional uric-acid excretion has recently emerged</w:t>
      </w:r>
      <w:r w:rsidR="00703B23">
        <w:rPr>
          <w:rFonts w:ascii="Arial" w:hAnsi="Arial" w:cs="Arial"/>
          <w:bCs/>
          <w:sz w:val="22"/>
          <w:szCs w:val="22"/>
          <w:lang w:val="en-US"/>
        </w:rPr>
        <w:t xml:space="preserve"> (SIADH increased)</w:t>
      </w:r>
      <w:r w:rsidRPr="00D05450">
        <w:rPr>
          <w:rFonts w:ascii="Arial" w:hAnsi="Arial" w:cs="Arial"/>
          <w:bCs/>
          <w:sz w:val="22"/>
          <w:szCs w:val="22"/>
          <w:lang w:val="en-US"/>
        </w:rPr>
        <w:t xml:space="preserve">. Fenske et al. </w:t>
      </w:r>
      <w:r w:rsidRPr="00D05450">
        <w:rPr>
          <w:rFonts w:ascii="Arial" w:hAnsi="Arial" w:cs="Arial"/>
          <w:sz w:val="22"/>
          <w:szCs w:val="22"/>
          <w:lang w:val="en-US"/>
        </w:rPr>
        <w:fldChar w:fldCharType="begin"/>
      </w:r>
      <w:r w:rsidRPr="00D05450">
        <w:rPr>
          <w:rFonts w:ascii="Arial" w:hAnsi="Arial" w:cs="Arial"/>
          <w:bCs/>
          <w:sz w:val="22"/>
          <w:szCs w:val="22"/>
          <w:lang w:val="en-US"/>
        </w:rPr>
        <w:instrText>ADDIN REFMGR.CITE &lt;Refman&gt;&lt;Cite&gt;&lt;Author&gt;Fenske&lt;/Author&gt;&lt;Year&gt;2008&lt;/Year&gt;&lt;RecNum&gt;371&lt;/RecNum&gt;&lt;IDText&gt;Value of fractional uric acid excretion in differential diagnosis of hyponatremic patients on diuretics&lt;/IDText&gt;&lt;MDL Ref_Type="Journal"&gt;&lt;Ref_Type&gt;Journal&lt;/Ref_Type&gt;&lt;Ref_ID&gt;371&lt;/Ref_ID&gt;&lt;Title_Primary&gt;Value of fractional uric acid excretion in differential diagnosis of hyponatremic patients on diuretics&lt;/Title_Primary&gt;&lt;Authors_Primary&gt;Fenske,W.&lt;/Authors_Primary&gt;&lt;Authors_Primary&gt;Stork,S.&lt;/Authors_Primary&gt;&lt;Authors_Primary&gt;Koschker,A.C.&lt;/Authors_Primary&gt;&lt;Authors_Primary&gt;Blechschmidt,A.&lt;/Authors_Primary&gt;&lt;Authors_Primary&gt;Lorenz,D.&lt;/Authors_Primary&gt;&lt;Authors_Primary&gt;Wortmann,S.&lt;/Authors_Primary&gt;&lt;Authors_Primary&gt;Allolio,B.&lt;/Authors_Primary&gt;&lt;Date_Primary&gt;2008/8&lt;/Date_Primary&gt;&lt;Keywords&gt;Aged&lt;/Keywords&gt;&lt;Keywords&gt;analysis&lt;/Keywords&gt;&lt;Keywords&gt;diagnosis&lt;/Keywords&gt;&lt;Keywords&gt;Diagnosis,Differential&lt;/Keywords&gt;&lt;Keywords&gt;Diuretics&lt;/Keywords&gt;&lt;Keywords&gt;drug therapy&lt;/Keywords&gt;&lt;Keywords&gt;Endocrinology&lt;/Keywords&gt;&lt;Keywords&gt;Female&lt;/Keywords&gt;&lt;Keywords&gt;Germany&lt;/Keywords&gt;&lt;Keywords&gt;history&lt;/Keywords&gt;&lt;Keywords&gt;Humans&lt;/Keywords&gt;&lt;Keywords&gt;Hyponatremia&lt;/Keywords&gt;&lt;Keywords&gt;Inappropriate ADH Syndrome&lt;/Keywords&gt;&lt;Keywords&gt;Male&lt;/Keywords&gt;&lt;Keywords&gt;methods&lt;/Keywords&gt;&lt;Keywords&gt;Middle Aged&lt;/Keywords&gt;&lt;Keywords&gt;Roc Curve&lt;/Keywords&gt;&lt;Keywords&gt;Sodium&lt;/Keywords&gt;&lt;Keywords&gt;Syndrome&lt;/Keywords&gt;&lt;Keywords&gt;therapeutic use&lt;/Keywords&gt;&lt;Keywords&gt;therapy&lt;/Keywords&gt;&lt;Keywords&gt;Urea&lt;/Keywords&gt;&lt;Keywords&gt;Uric Acid&lt;/Keywords&gt;&lt;Keywords&gt;Urine&lt;/Keywords&gt;&lt;Reprint&gt;Not in File&lt;/Reprint&gt;&lt;Start_Page&gt;2991&lt;/Start_Page&gt;&lt;End_Page&gt;2997&lt;/End_Page&gt;&lt;Periodical&gt;J Clin Endocrinol.Metab&lt;/Periodical&gt;&lt;Volume&gt;93&lt;/Volume&gt;&lt;Issue&gt;8&lt;/Issue&gt;&lt;Address&gt;Endocrinology &amp;amp; Diabetes Unit, Department of Medicine I, University of Wuerzburg, Josef-Schneider-Strasse 2, D-97080 Wuerzburg, Germany&lt;/Address&gt;&lt;Web_URL&gt;PM:18477658&lt;/Web_URL&gt;&lt;ZZ_JournalStdAbbrev&gt;&lt;f name="System"&gt;J Clin Endocrinol.Metab&lt;/f&gt;&lt;/ZZ_JournalStdAbbrev&gt;&lt;ZZ_WorkformID&gt;1&lt;/ZZ_WorkformID&gt;&lt;/MDL&gt;&lt;/Cite&gt;&lt;/Refman&gt;</w:instrText>
      </w:r>
      <w:r w:rsidRPr="00D05450">
        <w:rPr>
          <w:rFonts w:ascii="Arial" w:hAnsi="Arial" w:cs="Arial"/>
          <w:bCs/>
          <w:sz w:val="22"/>
          <w:szCs w:val="22"/>
          <w:lang w:val="en-US"/>
        </w:rPr>
        <w:fldChar w:fldCharType="separate"/>
      </w:r>
      <w:r w:rsidR="00341067" w:rsidRPr="00D05450">
        <w:rPr>
          <w:rFonts w:ascii="Arial" w:hAnsi="Arial" w:cs="Arial"/>
          <w:bCs/>
          <w:sz w:val="22"/>
          <w:szCs w:val="22"/>
          <w:lang w:val="en-US"/>
        </w:rPr>
        <w:t>(</w:t>
      </w:r>
      <w:r w:rsidRPr="00D05450">
        <w:rPr>
          <w:rFonts w:ascii="Arial" w:hAnsi="Arial" w:cs="Arial"/>
          <w:bCs/>
          <w:sz w:val="22"/>
          <w:szCs w:val="22"/>
          <w:lang w:val="en-US"/>
        </w:rPr>
        <w:t>19</w:t>
      </w:r>
      <w:r w:rsidR="00341067" w:rsidRPr="00D05450">
        <w:rPr>
          <w:rFonts w:ascii="Arial" w:hAnsi="Arial" w:cs="Arial"/>
          <w:bCs/>
          <w:sz w:val="22"/>
          <w:szCs w:val="22"/>
          <w:lang w:val="en-US"/>
        </w:rPr>
        <w:t>)</w:t>
      </w:r>
      <w:r w:rsidRPr="00D05450">
        <w:rPr>
          <w:rFonts w:ascii="Arial" w:hAnsi="Arial" w:cs="Arial"/>
          <w:bCs/>
          <w:sz w:val="22"/>
          <w:szCs w:val="22"/>
          <w:lang w:val="en-US"/>
        </w:rPr>
        <w:fldChar w:fldCharType="end"/>
      </w:r>
      <w:r w:rsidRPr="00D05450">
        <w:rPr>
          <w:rFonts w:ascii="Arial" w:hAnsi="Arial" w:cs="Arial"/>
          <w:bCs/>
          <w:sz w:val="22"/>
          <w:szCs w:val="22"/>
          <w:lang w:val="en-US"/>
        </w:rPr>
        <w:t xml:space="preserve"> confirm</w:t>
      </w:r>
      <w:r w:rsidR="00A0621E">
        <w:rPr>
          <w:rFonts w:ascii="Arial" w:hAnsi="Arial" w:cs="Arial"/>
          <w:bCs/>
          <w:sz w:val="22"/>
          <w:szCs w:val="22"/>
          <w:lang w:val="en-US"/>
        </w:rPr>
        <w:t>ed</w:t>
      </w:r>
      <w:r w:rsidRPr="00D05450">
        <w:rPr>
          <w:rFonts w:ascii="Arial" w:hAnsi="Arial" w:cs="Arial"/>
          <w:bCs/>
          <w:sz w:val="22"/>
          <w:szCs w:val="22"/>
          <w:lang w:val="en-US"/>
        </w:rPr>
        <w:t xml:space="preserve"> earlier reports demonstrating fractional uric-acid excretion (cut-off </w:t>
      </w:r>
      <w:r w:rsidR="00703B23">
        <w:rPr>
          <w:rFonts w:ascii="Arial" w:hAnsi="Arial" w:cs="Arial"/>
          <w:bCs/>
          <w:sz w:val="22"/>
          <w:szCs w:val="22"/>
          <w:lang w:val="en-US"/>
        </w:rPr>
        <w:t xml:space="preserve">greater than </w:t>
      </w:r>
      <w:r w:rsidRPr="00D05450">
        <w:rPr>
          <w:rFonts w:ascii="Arial" w:hAnsi="Arial" w:cs="Arial"/>
          <w:bCs/>
          <w:sz w:val="22"/>
          <w:szCs w:val="22"/>
          <w:lang w:val="en-US"/>
        </w:rPr>
        <w:t>12 %) to rule out hyponatremic states with reduced extracellular fluid volume, e.g. due to diuretics</w:t>
      </w:r>
      <w:r w:rsidR="00C32946" w:rsidRPr="00D05450">
        <w:rPr>
          <w:rFonts w:ascii="Arial" w:hAnsi="Arial" w:cs="Arial"/>
          <w:bCs/>
          <w:sz w:val="22"/>
          <w:szCs w:val="22"/>
          <w:lang w:val="en-US"/>
        </w:rPr>
        <w:t xml:space="preserve"> (Figure 4)</w:t>
      </w:r>
      <w:r w:rsidRPr="00D05450">
        <w:rPr>
          <w:rFonts w:ascii="Arial" w:hAnsi="Arial" w:cs="Arial"/>
          <w:bCs/>
          <w:sz w:val="22"/>
          <w:szCs w:val="22"/>
          <w:lang w:val="en-US"/>
        </w:rPr>
        <w:t xml:space="preserve">. </w:t>
      </w:r>
    </w:p>
    <w:p w14:paraId="0DCD4FB9" w14:textId="268856F4" w:rsidR="00C32946" w:rsidRPr="00D05450" w:rsidRDefault="00C32946" w:rsidP="00C32946">
      <w:pPr>
        <w:spacing w:line="276" w:lineRule="auto"/>
        <w:rPr>
          <w:rFonts w:ascii="Arial" w:hAnsi="Arial" w:cs="Arial"/>
          <w:noProof/>
          <w:sz w:val="22"/>
          <w:szCs w:val="22"/>
          <w:lang w:val="en-US" w:eastAsia="en-US"/>
        </w:rPr>
      </w:pPr>
    </w:p>
    <w:p w14:paraId="577C8F9A" w14:textId="712C099B" w:rsidR="00C32946" w:rsidRPr="00D05450" w:rsidRDefault="00C32946" w:rsidP="00C32946">
      <w:pPr>
        <w:spacing w:line="276" w:lineRule="auto"/>
        <w:rPr>
          <w:rFonts w:ascii="Arial" w:hAnsi="Arial" w:cs="Arial"/>
          <w:noProof/>
          <w:sz w:val="22"/>
          <w:szCs w:val="22"/>
          <w:lang w:val="en-US" w:eastAsia="en-US"/>
        </w:rPr>
      </w:pPr>
      <w:r w:rsidRPr="00D05450">
        <w:rPr>
          <w:rFonts w:ascii="Arial" w:hAnsi="Arial" w:cs="Arial"/>
          <w:noProof/>
          <w:sz w:val="22"/>
          <w:szCs w:val="22"/>
          <w:lang w:val="en-US" w:eastAsia="en-US"/>
        </w:rPr>
        <w:lastRenderedPageBreak/>
        <w:drawing>
          <wp:inline distT="0" distB="0" distL="0" distR="0" wp14:anchorId="41797DF0" wp14:editId="6C1FD30B">
            <wp:extent cx="5731510" cy="20783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31510" cy="2078355"/>
                    </a:xfrm>
                    <a:prstGeom prst="rect">
                      <a:avLst/>
                    </a:prstGeom>
                  </pic:spPr>
                </pic:pic>
              </a:graphicData>
            </a:graphic>
          </wp:inline>
        </w:drawing>
      </w:r>
    </w:p>
    <w:p w14:paraId="268B50C0" w14:textId="30401C0A" w:rsidR="00C32946" w:rsidRPr="00D05450" w:rsidRDefault="00C32946" w:rsidP="00C32946">
      <w:pPr>
        <w:spacing w:line="276" w:lineRule="auto"/>
        <w:rPr>
          <w:rFonts w:ascii="Arial" w:hAnsi="Arial" w:cs="Arial"/>
          <w:b/>
          <w:bCs/>
          <w:sz w:val="22"/>
          <w:szCs w:val="22"/>
          <w:lang w:val="en-US"/>
        </w:rPr>
      </w:pPr>
      <w:r w:rsidRPr="00D05450">
        <w:rPr>
          <w:rFonts w:ascii="Arial" w:hAnsi="Arial" w:cs="Arial"/>
          <w:b/>
          <w:bCs/>
          <w:sz w:val="22"/>
          <w:szCs w:val="22"/>
          <w:lang w:val="en-US"/>
        </w:rPr>
        <w:t>Figure 4. Calculation of fractional uric acid excretion.</w:t>
      </w:r>
    </w:p>
    <w:p w14:paraId="2680810E" w14:textId="77777777" w:rsidR="00C32946" w:rsidRPr="00D05450" w:rsidRDefault="00C32946" w:rsidP="00C32946">
      <w:pPr>
        <w:spacing w:line="276" w:lineRule="auto"/>
        <w:rPr>
          <w:rFonts w:ascii="Arial" w:hAnsi="Arial" w:cs="Arial"/>
          <w:sz w:val="22"/>
          <w:szCs w:val="22"/>
          <w:lang w:val="en-US"/>
        </w:rPr>
      </w:pPr>
    </w:p>
    <w:p w14:paraId="025FE9AC" w14:textId="758D786A" w:rsidR="000C2CA8" w:rsidRPr="00D05450" w:rsidRDefault="00D12970" w:rsidP="00341067">
      <w:pPr>
        <w:spacing w:line="276" w:lineRule="auto"/>
        <w:rPr>
          <w:rFonts w:ascii="Arial" w:hAnsi="Arial" w:cs="Arial"/>
          <w:sz w:val="22"/>
          <w:szCs w:val="22"/>
          <w:lang w:val="en-US"/>
        </w:rPr>
      </w:pPr>
      <w:r w:rsidRPr="00D05450">
        <w:rPr>
          <w:rFonts w:ascii="Arial" w:hAnsi="Arial" w:cs="Arial"/>
          <w:bCs/>
          <w:sz w:val="22"/>
          <w:szCs w:val="22"/>
          <w:lang w:val="en-US"/>
        </w:rPr>
        <w:t xml:space="preserve">There is sometimes debate on whether measurements of AVP in the plasma are helpful or not for diagnosis of SIADH or other hyponatremic circumstances. There are, however; multiple obstacles rendering AVP determination and interpretation difficult. Only </w:t>
      </w:r>
      <w:r w:rsidR="00703B23">
        <w:rPr>
          <w:rFonts w:ascii="Arial" w:hAnsi="Arial" w:cs="Arial"/>
          <w:bCs/>
          <w:sz w:val="22"/>
          <w:szCs w:val="22"/>
          <w:lang w:val="en-US"/>
        </w:rPr>
        <w:t xml:space="preserve">a </w:t>
      </w:r>
      <w:r w:rsidRPr="00D05450">
        <w:rPr>
          <w:rFonts w:ascii="Arial" w:hAnsi="Arial" w:cs="Arial"/>
          <w:bCs/>
          <w:sz w:val="22"/>
          <w:szCs w:val="22"/>
          <w:lang w:val="en-US"/>
        </w:rPr>
        <w:t xml:space="preserve">few laboratories provide tests with good sensitivity, since AVP is very unstable when isolated from plasma and binds to other structures. A potential alternative is the more stable copeptin, also called C-terminal proarginine vasopressin, which is generated by enzymatic cleavage of the vasopressin prohormone. Strikingly, SIADH patients were shown to have an elevated plasma copeptin </w:t>
      </w:r>
      <w:r w:rsidR="00341067" w:rsidRPr="00D05450">
        <w:rPr>
          <w:rFonts w:ascii="Arial" w:hAnsi="Arial" w:cs="Arial"/>
          <w:bCs/>
          <w:sz w:val="22"/>
          <w:szCs w:val="22"/>
          <w:lang w:val="en-US"/>
        </w:rPr>
        <w:t>(</w:t>
      </w:r>
      <w:r w:rsidRPr="00D05450">
        <w:rPr>
          <w:rFonts w:ascii="Arial" w:hAnsi="Arial" w:cs="Arial"/>
          <w:bCs/>
          <w:sz w:val="22"/>
          <w:szCs w:val="22"/>
          <w:lang w:val="en-US"/>
        </w:rPr>
        <w:t>20</w:t>
      </w:r>
      <w:r w:rsidR="00341067" w:rsidRPr="00D05450">
        <w:rPr>
          <w:rFonts w:ascii="Arial" w:hAnsi="Arial" w:cs="Arial"/>
          <w:bCs/>
          <w:sz w:val="22"/>
          <w:szCs w:val="22"/>
          <w:lang w:val="en-US"/>
        </w:rPr>
        <w:t>)</w:t>
      </w:r>
      <w:r w:rsidRPr="00D05450">
        <w:rPr>
          <w:rFonts w:ascii="Arial" w:hAnsi="Arial" w:cs="Arial"/>
          <w:bCs/>
          <w:sz w:val="22"/>
          <w:szCs w:val="22"/>
          <w:lang w:val="en-US"/>
        </w:rPr>
        <w:t xml:space="preserve">. As an additional way to diagnose SIADH, correlation of plasma copeptin with changes in plasma osmolality (step 2, step 3) can be </w:t>
      </w:r>
      <w:r w:rsidR="00703B23">
        <w:rPr>
          <w:rFonts w:ascii="Arial" w:hAnsi="Arial" w:cs="Arial"/>
          <w:bCs/>
          <w:sz w:val="22"/>
          <w:szCs w:val="22"/>
          <w:lang w:val="en-US"/>
        </w:rPr>
        <w:t xml:space="preserve">used </w:t>
      </w:r>
      <w:r w:rsidR="00341067" w:rsidRPr="00D05450">
        <w:rPr>
          <w:rFonts w:ascii="Arial" w:hAnsi="Arial" w:cs="Arial"/>
          <w:bCs/>
          <w:sz w:val="22"/>
          <w:szCs w:val="22"/>
          <w:lang w:val="en-US"/>
        </w:rPr>
        <w:t>(</w:t>
      </w:r>
      <w:r w:rsidRPr="00D05450">
        <w:rPr>
          <w:rFonts w:ascii="Arial" w:hAnsi="Arial" w:cs="Arial"/>
          <w:bCs/>
          <w:sz w:val="22"/>
          <w:szCs w:val="22"/>
          <w:lang w:val="en-US"/>
        </w:rPr>
        <w:t>21</w:t>
      </w:r>
      <w:r w:rsidR="00341067" w:rsidRPr="00D05450">
        <w:rPr>
          <w:rFonts w:ascii="Arial" w:hAnsi="Arial" w:cs="Arial"/>
          <w:bCs/>
          <w:sz w:val="22"/>
          <w:szCs w:val="22"/>
          <w:lang w:val="en-US"/>
        </w:rPr>
        <w:t>)</w:t>
      </w:r>
      <w:r w:rsidRPr="00D05450">
        <w:rPr>
          <w:rFonts w:ascii="Arial" w:hAnsi="Arial" w:cs="Arial"/>
          <w:bCs/>
          <w:sz w:val="22"/>
          <w:szCs w:val="22"/>
          <w:lang w:val="en-US"/>
        </w:rPr>
        <w:t xml:space="preserve">. Furthermore, a hypertonic (3%) saline test has been proposed for SIADH </w:t>
      </w:r>
      <w:r w:rsidR="00341067" w:rsidRPr="00D05450">
        <w:rPr>
          <w:rFonts w:ascii="Arial" w:hAnsi="Arial" w:cs="Arial"/>
          <w:bCs/>
          <w:sz w:val="22"/>
          <w:szCs w:val="22"/>
          <w:lang w:val="en-US"/>
        </w:rPr>
        <w:t>(</w:t>
      </w:r>
      <w:r w:rsidRPr="00D05450">
        <w:rPr>
          <w:rFonts w:ascii="Arial" w:hAnsi="Arial" w:cs="Arial"/>
          <w:bCs/>
          <w:sz w:val="22"/>
          <w:szCs w:val="22"/>
          <w:lang w:val="en-US"/>
        </w:rPr>
        <w:t>20</w:t>
      </w:r>
      <w:r w:rsidR="00341067" w:rsidRPr="00D05450">
        <w:rPr>
          <w:rFonts w:ascii="Arial" w:hAnsi="Arial" w:cs="Arial"/>
          <w:bCs/>
          <w:sz w:val="22"/>
          <w:szCs w:val="22"/>
          <w:lang w:val="en-US"/>
        </w:rPr>
        <w:t>)</w:t>
      </w:r>
      <w:r w:rsidRPr="00D05450">
        <w:rPr>
          <w:rFonts w:ascii="Arial" w:hAnsi="Arial" w:cs="Arial"/>
          <w:bCs/>
          <w:sz w:val="22"/>
          <w:szCs w:val="22"/>
          <w:lang w:val="en-US"/>
        </w:rPr>
        <w:t>. However, this test strategy still needs to be validated.</w:t>
      </w:r>
    </w:p>
    <w:p w14:paraId="349427BA" w14:textId="77777777" w:rsidR="000C2CA8" w:rsidRPr="00D05450" w:rsidRDefault="000C2CA8" w:rsidP="00341067">
      <w:pPr>
        <w:spacing w:line="276" w:lineRule="auto"/>
        <w:rPr>
          <w:rFonts w:ascii="Arial" w:hAnsi="Arial" w:cs="Arial"/>
          <w:bCs/>
          <w:sz w:val="22"/>
          <w:szCs w:val="22"/>
          <w:lang w:val="en-US"/>
        </w:rPr>
      </w:pPr>
    </w:p>
    <w:p w14:paraId="32C4E5E9" w14:textId="79D2D717" w:rsidR="000C2CA8" w:rsidRPr="00D05450" w:rsidRDefault="00D12970" w:rsidP="00341067">
      <w:pPr>
        <w:spacing w:line="276" w:lineRule="auto"/>
        <w:rPr>
          <w:rFonts w:ascii="Arial" w:hAnsi="Arial" w:cs="Arial"/>
          <w:b/>
          <w:bCs/>
          <w:color w:val="00B050"/>
          <w:sz w:val="22"/>
          <w:szCs w:val="22"/>
          <w:lang w:val="en-US"/>
        </w:rPr>
      </w:pPr>
      <w:r w:rsidRPr="00D05450">
        <w:rPr>
          <w:rFonts w:ascii="Arial" w:hAnsi="Arial" w:cs="Arial"/>
          <w:b/>
          <w:bCs/>
          <w:color w:val="00B050"/>
          <w:sz w:val="22"/>
          <w:szCs w:val="22"/>
          <w:lang w:val="en-US"/>
        </w:rPr>
        <w:t>2</w:t>
      </w:r>
      <w:r w:rsidRPr="00D05450">
        <w:rPr>
          <w:rFonts w:ascii="Arial" w:hAnsi="Arial" w:cs="Arial"/>
          <w:b/>
          <w:bCs/>
          <w:color w:val="00B050"/>
          <w:sz w:val="22"/>
          <w:szCs w:val="22"/>
          <w:vertAlign w:val="superscript"/>
          <w:lang w:val="en-US"/>
        </w:rPr>
        <w:t>nd</w:t>
      </w:r>
      <w:r w:rsidRPr="00D05450">
        <w:rPr>
          <w:rFonts w:ascii="Arial" w:hAnsi="Arial" w:cs="Arial"/>
          <w:b/>
          <w:bCs/>
          <w:color w:val="00B050"/>
          <w:sz w:val="22"/>
          <w:szCs w:val="22"/>
          <w:lang w:val="en-US"/>
        </w:rPr>
        <w:t xml:space="preserve"> </w:t>
      </w:r>
      <w:r w:rsidR="00C32946" w:rsidRPr="00D05450">
        <w:rPr>
          <w:rFonts w:ascii="Arial" w:hAnsi="Arial" w:cs="Arial"/>
          <w:b/>
          <w:bCs/>
          <w:color w:val="00B050"/>
          <w:sz w:val="22"/>
          <w:szCs w:val="22"/>
          <w:lang w:val="en-US"/>
        </w:rPr>
        <w:t>S</w:t>
      </w:r>
      <w:r w:rsidRPr="00D05450">
        <w:rPr>
          <w:rFonts w:ascii="Arial" w:hAnsi="Arial" w:cs="Arial"/>
          <w:b/>
          <w:bCs/>
          <w:color w:val="00B050"/>
          <w:sz w:val="22"/>
          <w:szCs w:val="22"/>
          <w:lang w:val="en-US"/>
        </w:rPr>
        <w:t>tep</w:t>
      </w:r>
    </w:p>
    <w:p w14:paraId="3F851E5E" w14:textId="77777777" w:rsidR="00C32946" w:rsidRPr="00D05450" w:rsidRDefault="00C32946" w:rsidP="00341067">
      <w:pPr>
        <w:spacing w:line="276" w:lineRule="auto"/>
        <w:rPr>
          <w:rFonts w:ascii="Arial" w:hAnsi="Arial" w:cs="Arial"/>
          <w:sz w:val="22"/>
          <w:szCs w:val="22"/>
          <w:lang w:val="en-US"/>
        </w:rPr>
      </w:pPr>
    </w:p>
    <w:p w14:paraId="46B4F63C" w14:textId="541C28BC"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Administration of 500 ml saline (NaCl 0.9 %) is regarded as an empiric, first-line therapeutic and diagnostic measure. Especially when arterial underfilling and baroreflex and/or CP reflex deactivation are thought to be relevant, i.v. saline corrects the initial disturbance </w:t>
      </w:r>
      <w:r w:rsidR="00703B23">
        <w:rPr>
          <w:rFonts w:ascii="Arial" w:hAnsi="Arial" w:cs="Arial"/>
          <w:sz w:val="22"/>
          <w:szCs w:val="22"/>
          <w:lang w:val="en-US"/>
        </w:rPr>
        <w:t xml:space="preserve">that </w:t>
      </w:r>
      <w:r w:rsidRPr="00D05450">
        <w:rPr>
          <w:rFonts w:ascii="Arial" w:hAnsi="Arial" w:cs="Arial"/>
          <w:sz w:val="22"/>
          <w:szCs w:val="22"/>
          <w:lang w:val="en-US"/>
        </w:rPr>
        <w:t>led to hyponatremia/SIADH. This relates, strictly speaking, to volume regulation and respective reflex stimulation. Isotonic saline may not resolve hyponatremia in cases of ongoing urine concentration with urine osmolality exceeding 400 mosm/kg.</w:t>
      </w:r>
    </w:p>
    <w:p w14:paraId="2757266D" w14:textId="77777777" w:rsidR="000C2CA8" w:rsidRPr="00D05450" w:rsidRDefault="000C2CA8" w:rsidP="00341067">
      <w:pPr>
        <w:spacing w:line="276" w:lineRule="auto"/>
        <w:rPr>
          <w:rFonts w:ascii="Arial" w:hAnsi="Arial" w:cs="Arial"/>
          <w:sz w:val="22"/>
          <w:szCs w:val="22"/>
          <w:lang w:val="en-US"/>
        </w:rPr>
      </w:pPr>
    </w:p>
    <w:p w14:paraId="5569FA24" w14:textId="408DBF8D"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In addition, a </w:t>
      </w:r>
      <w:r w:rsidRPr="00D05450">
        <w:rPr>
          <w:rFonts w:ascii="Arial" w:hAnsi="Arial" w:cs="Arial"/>
          <w:bCs/>
          <w:sz w:val="22"/>
          <w:szCs w:val="22"/>
          <w:lang w:val="en-US"/>
        </w:rPr>
        <w:t>water-load test</w:t>
      </w:r>
      <w:r w:rsidRPr="00D05450">
        <w:rPr>
          <w:rFonts w:ascii="Arial" w:hAnsi="Arial" w:cs="Arial"/>
          <w:sz w:val="22"/>
          <w:szCs w:val="22"/>
          <w:lang w:val="en-US"/>
        </w:rPr>
        <w:t xml:space="preserve"> as described in </w:t>
      </w:r>
      <w:hyperlink r:id="rId12">
        <w:r w:rsidRPr="00D05450">
          <w:rPr>
            <w:rStyle w:val="Hyperlink"/>
            <w:rFonts w:ascii="Arial" w:hAnsi="Arial" w:cs="Arial"/>
            <w:sz w:val="22"/>
            <w:szCs w:val="22"/>
            <w:lang w:val="en-US"/>
          </w:rPr>
          <w:t>www.endotext.org</w:t>
        </w:r>
      </w:hyperlink>
      <w:r w:rsidRPr="00D05450">
        <w:rPr>
          <w:rFonts w:ascii="Arial" w:hAnsi="Arial" w:cs="Arial"/>
          <w:sz w:val="22"/>
          <w:szCs w:val="22"/>
          <w:lang w:val="en-US"/>
        </w:rPr>
        <w:t xml:space="preserve">, NEUROENDOCRINOLOGY, HYPOTHALAMUS, AND PITUITARY may be performed the next morning under utmost scrutiny and precaution, in the hospital. The water-load test relates to the fact that normal subjects excrete 78-82% of the ingested water load within 4 hours due to AVP suppression. In patients with SIADH, the expected urine amount within 4 hours is reduced to 30-40%. However, the test involves a massive water intake in a short period of time and, therefore, is </w:t>
      </w:r>
      <w:r w:rsidRPr="00D05450">
        <w:rPr>
          <w:rFonts w:ascii="Arial" w:hAnsi="Arial" w:cs="Arial"/>
          <w:bCs/>
          <w:sz w:val="22"/>
          <w:szCs w:val="22"/>
          <w:lang w:val="en-US"/>
        </w:rPr>
        <w:t>not considered a safe procedure</w:t>
      </w:r>
      <w:r w:rsidRPr="00D05450">
        <w:rPr>
          <w:rFonts w:ascii="Arial" w:hAnsi="Arial" w:cs="Arial"/>
          <w:sz w:val="22"/>
          <w:szCs w:val="22"/>
          <w:lang w:val="en-US"/>
        </w:rPr>
        <w:t xml:space="preserve"> for the majority of patients for the following three reasons: </w:t>
      </w:r>
    </w:p>
    <w:p w14:paraId="5DAE090C" w14:textId="3A76D4F3" w:rsidR="000C2CA8" w:rsidRPr="00D05450" w:rsidRDefault="00D12970" w:rsidP="00C32946">
      <w:pPr>
        <w:numPr>
          <w:ilvl w:val="0"/>
          <w:numId w:val="2"/>
        </w:numPr>
        <w:spacing w:line="276" w:lineRule="auto"/>
        <w:ind w:left="360"/>
        <w:rPr>
          <w:rFonts w:ascii="Arial" w:hAnsi="Arial" w:cs="Arial"/>
          <w:sz w:val="22"/>
          <w:szCs w:val="22"/>
          <w:lang w:val="en-US"/>
        </w:rPr>
      </w:pPr>
      <w:r w:rsidRPr="00D05450">
        <w:rPr>
          <w:rFonts w:ascii="Arial" w:eastAsia="Arial" w:hAnsi="Arial" w:cs="Arial"/>
          <w:sz w:val="22"/>
          <w:szCs w:val="22"/>
          <w:lang w:val="en-US"/>
        </w:rPr>
        <w:t xml:space="preserve"> </w:t>
      </w:r>
      <w:r w:rsidRPr="00D05450">
        <w:rPr>
          <w:rFonts w:ascii="Arial" w:hAnsi="Arial" w:cs="Arial"/>
          <w:sz w:val="22"/>
          <w:szCs w:val="22"/>
          <w:lang w:val="en-US"/>
        </w:rPr>
        <w:t>In SIADH patients, a relative intravascular overhydration will be enhanced</w:t>
      </w:r>
      <w:r w:rsidR="00703B23">
        <w:rPr>
          <w:rFonts w:ascii="Arial" w:hAnsi="Arial" w:cs="Arial"/>
          <w:sz w:val="22"/>
          <w:szCs w:val="22"/>
          <w:lang w:val="en-US"/>
        </w:rPr>
        <w:t>.</w:t>
      </w:r>
    </w:p>
    <w:p w14:paraId="789E069E" w14:textId="7BD43F0C" w:rsidR="000C2CA8" w:rsidRPr="00D05450" w:rsidRDefault="00D12970" w:rsidP="00C32946">
      <w:pPr>
        <w:numPr>
          <w:ilvl w:val="0"/>
          <w:numId w:val="2"/>
        </w:numPr>
        <w:spacing w:line="276" w:lineRule="auto"/>
        <w:ind w:left="360"/>
        <w:rPr>
          <w:rFonts w:ascii="Arial" w:hAnsi="Arial" w:cs="Arial"/>
          <w:sz w:val="22"/>
          <w:szCs w:val="22"/>
          <w:lang w:val="en-US"/>
        </w:rPr>
      </w:pPr>
      <w:r w:rsidRPr="00D05450">
        <w:rPr>
          <w:rFonts w:ascii="Arial" w:eastAsia="Arial" w:hAnsi="Arial" w:cs="Arial"/>
          <w:sz w:val="22"/>
          <w:szCs w:val="22"/>
          <w:lang w:val="en-US"/>
        </w:rPr>
        <w:t xml:space="preserve"> </w:t>
      </w:r>
      <w:r w:rsidRPr="00D05450">
        <w:rPr>
          <w:rFonts w:ascii="Arial" w:hAnsi="Arial" w:cs="Arial"/>
          <w:sz w:val="22"/>
          <w:szCs w:val="22"/>
          <w:lang w:val="en-US"/>
        </w:rPr>
        <w:t>An underlying cardiac co-morbidity may be adversely affected</w:t>
      </w:r>
      <w:r w:rsidR="00703B23">
        <w:rPr>
          <w:rFonts w:ascii="Arial" w:hAnsi="Arial" w:cs="Arial"/>
          <w:sz w:val="22"/>
          <w:szCs w:val="22"/>
          <w:lang w:val="en-US"/>
        </w:rPr>
        <w:t>.</w:t>
      </w:r>
    </w:p>
    <w:p w14:paraId="6170E5DD" w14:textId="2FD93299" w:rsidR="000C2CA8" w:rsidRPr="00D05450" w:rsidRDefault="00D12970" w:rsidP="00C32946">
      <w:pPr>
        <w:numPr>
          <w:ilvl w:val="0"/>
          <w:numId w:val="2"/>
        </w:numPr>
        <w:spacing w:line="276" w:lineRule="auto"/>
        <w:ind w:left="360"/>
        <w:rPr>
          <w:rFonts w:ascii="Arial" w:hAnsi="Arial" w:cs="Arial"/>
          <w:sz w:val="22"/>
          <w:szCs w:val="22"/>
          <w:lang w:val="en-US"/>
        </w:rPr>
      </w:pPr>
      <w:r w:rsidRPr="00D05450">
        <w:rPr>
          <w:rFonts w:ascii="Arial" w:eastAsia="Arial" w:hAnsi="Arial" w:cs="Arial"/>
          <w:sz w:val="22"/>
          <w:szCs w:val="22"/>
          <w:lang w:val="en-US"/>
        </w:rPr>
        <w:t xml:space="preserve"> </w:t>
      </w:r>
      <w:r w:rsidRPr="00D05450">
        <w:rPr>
          <w:rFonts w:ascii="Arial" w:hAnsi="Arial" w:cs="Arial"/>
          <w:sz w:val="22"/>
          <w:szCs w:val="22"/>
          <w:lang w:val="en-US"/>
        </w:rPr>
        <w:t xml:space="preserve">The water challenge may </w:t>
      </w:r>
      <w:r w:rsidR="00703B23">
        <w:rPr>
          <w:rFonts w:ascii="Arial" w:hAnsi="Arial" w:cs="Arial"/>
          <w:sz w:val="22"/>
          <w:szCs w:val="22"/>
          <w:lang w:val="en-US"/>
        </w:rPr>
        <w:t xml:space="preserve">worsen the </w:t>
      </w:r>
      <w:r w:rsidRPr="00D05450">
        <w:rPr>
          <w:rFonts w:ascii="Arial" w:hAnsi="Arial" w:cs="Arial"/>
          <w:sz w:val="22"/>
          <w:szCs w:val="22"/>
          <w:lang w:val="en-US"/>
        </w:rPr>
        <w:t xml:space="preserve">hyponatremia </w:t>
      </w:r>
      <w:r w:rsidR="00703B23">
        <w:rPr>
          <w:rFonts w:ascii="Arial" w:hAnsi="Arial" w:cs="Arial"/>
          <w:sz w:val="22"/>
          <w:szCs w:val="22"/>
          <w:lang w:val="en-US"/>
        </w:rPr>
        <w:t>increasing</w:t>
      </w:r>
      <w:r w:rsidRPr="00D05450">
        <w:rPr>
          <w:rFonts w:ascii="Arial" w:hAnsi="Arial" w:cs="Arial"/>
          <w:sz w:val="22"/>
          <w:szCs w:val="22"/>
          <w:lang w:val="en-US"/>
        </w:rPr>
        <w:t xml:space="preserve"> the  </w:t>
      </w:r>
    </w:p>
    <w:p w14:paraId="432F42E6" w14:textId="1883A839" w:rsidR="000C2CA8" w:rsidRPr="00D05450" w:rsidRDefault="00D12970" w:rsidP="00C32946">
      <w:pPr>
        <w:spacing w:line="276" w:lineRule="auto"/>
        <w:ind w:left="360" w:hanging="360"/>
        <w:rPr>
          <w:rFonts w:ascii="Arial" w:hAnsi="Arial" w:cs="Arial"/>
          <w:sz w:val="22"/>
          <w:szCs w:val="22"/>
          <w:lang w:val="en-US"/>
        </w:rPr>
      </w:pPr>
      <w:r w:rsidRPr="00D05450">
        <w:rPr>
          <w:rFonts w:ascii="Arial" w:eastAsia="Arial" w:hAnsi="Arial" w:cs="Arial"/>
          <w:sz w:val="22"/>
          <w:szCs w:val="22"/>
          <w:lang w:val="en-US"/>
        </w:rPr>
        <w:t xml:space="preserve"> </w:t>
      </w:r>
      <w:r w:rsidRPr="00D05450">
        <w:rPr>
          <w:rFonts w:ascii="Arial" w:hAnsi="Arial" w:cs="Arial"/>
          <w:sz w:val="22"/>
          <w:szCs w:val="22"/>
          <w:lang w:val="en-US"/>
        </w:rPr>
        <w:t>risk of symptoms such as epileptic convulsions</w:t>
      </w:r>
      <w:r w:rsidR="00703B23">
        <w:rPr>
          <w:rFonts w:ascii="Arial" w:hAnsi="Arial" w:cs="Arial"/>
          <w:sz w:val="22"/>
          <w:szCs w:val="22"/>
          <w:lang w:val="en-US"/>
        </w:rPr>
        <w:t>.</w:t>
      </w:r>
    </w:p>
    <w:p w14:paraId="072655D0" w14:textId="77777777" w:rsidR="000C2CA8" w:rsidRPr="00D05450" w:rsidRDefault="000C2CA8" w:rsidP="00C32946">
      <w:pPr>
        <w:spacing w:line="276" w:lineRule="auto"/>
        <w:ind w:left="360" w:hanging="360"/>
        <w:rPr>
          <w:rFonts w:ascii="Arial" w:hAnsi="Arial" w:cs="Arial"/>
          <w:sz w:val="22"/>
          <w:szCs w:val="22"/>
          <w:lang w:val="en-US"/>
        </w:rPr>
      </w:pPr>
    </w:p>
    <w:p w14:paraId="64B6C163" w14:textId="77777777"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lastRenderedPageBreak/>
        <w:t>In the majority of patients with hyponatremia suspected to have SIADH, this test can be replaced by the following 3</w:t>
      </w:r>
      <w:r w:rsidRPr="00D05450">
        <w:rPr>
          <w:rFonts w:ascii="Arial" w:hAnsi="Arial" w:cs="Arial"/>
          <w:sz w:val="22"/>
          <w:szCs w:val="22"/>
          <w:vertAlign w:val="superscript"/>
          <w:lang w:val="en-US"/>
        </w:rPr>
        <w:t>rd</w:t>
      </w:r>
      <w:r w:rsidRPr="00D05450">
        <w:rPr>
          <w:rFonts w:ascii="Arial" w:hAnsi="Arial" w:cs="Arial"/>
          <w:sz w:val="22"/>
          <w:szCs w:val="22"/>
          <w:lang w:val="en-US"/>
        </w:rPr>
        <w:t xml:space="preserve"> and 4</w:t>
      </w:r>
      <w:r w:rsidRPr="00D05450">
        <w:rPr>
          <w:rFonts w:ascii="Arial" w:hAnsi="Arial" w:cs="Arial"/>
          <w:sz w:val="22"/>
          <w:szCs w:val="22"/>
          <w:vertAlign w:val="superscript"/>
          <w:lang w:val="en-US"/>
        </w:rPr>
        <w:t>th</w:t>
      </w:r>
      <w:r w:rsidRPr="00D05450">
        <w:rPr>
          <w:rFonts w:ascii="Arial" w:hAnsi="Arial" w:cs="Arial"/>
          <w:sz w:val="22"/>
          <w:szCs w:val="22"/>
          <w:lang w:val="en-US"/>
        </w:rPr>
        <w:t xml:space="preserve"> diagnostic step (below). The water-load test </w:t>
      </w:r>
      <w:r w:rsidRPr="00D05450">
        <w:rPr>
          <w:rFonts w:ascii="Arial" w:hAnsi="Arial" w:cs="Arial"/>
          <w:bCs/>
          <w:sz w:val="22"/>
          <w:szCs w:val="22"/>
          <w:lang w:val="en-US"/>
        </w:rPr>
        <w:t>only adds information in hospitalized individuals free of cardiac conditions presenting with rather mild hyponatremia in whom the 4</w:t>
      </w:r>
      <w:r w:rsidRPr="00D05450">
        <w:rPr>
          <w:rFonts w:ascii="Arial" w:hAnsi="Arial" w:cs="Arial"/>
          <w:bCs/>
          <w:sz w:val="22"/>
          <w:szCs w:val="22"/>
          <w:vertAlign w:val="superscript"/>
          <w:lang w:val="en-US"/>
        </w:rPr>
        <w:t>th</w:t>
      </w:r>
      <w:r w:rsidRPr="00D05450">
        <w:rPr>
          <w:rFonts w:ascii="Arial" w:hAnsi="Arial" w:cs="Arial"/>
          <w:bCs/>
          <w:sz w:val="22"/>
          <w:szCs w:val="22"/>
          <w:lang w:val="en-US"/>
        </w:rPr>
        <w:t xml:space="preserve"> step usually will not be performed.</w:t>
      </w:r>
      <w:r w:rsidRPr="00D05450">
        <w:rPr>
          <w:rFonts w:ascii="Arial" w:hAnsi="Arial" w:cs="Arial"/>
          <w:sz w:val="22"/>
          <w:szCs w:val="22"/>
          <w:lang w:val="en-US"/>
        </w:rPr>
        <w:t xml:space="preserve"> Again, the physician has to weigh risks and benefits of this water challenge versus alternate diagnostic steps (step 3, step 4 below).</w:t>
      </w:r>
    </w:p>
    <w:p w14:paraId="5225CEFA" w14:textId="77777777" w:rsidR="000C2CA8" w:rsidRPr="00D05450" w:rsidRDefault="000C2CA8" w:rsidP="00341067">
      <w:pPr>
        <w:spacing w:line="276" w:lineRule="auto"/>
        <w:rPr>
          <w:rFonts w:ascii="Arial" w:hAnsi="Arial" w:cs="Arial"/>
          <w:sz w:val="22"/>
          <w:szCs w:val="22"/>
          <w:lang w:val="en-US"/>
        </w:rPr>
      </w:pPr>
    </w:p>
    <w:p w14:paraId="0F8228C3" w14:textId="537D8840" w:rsidR="000C2CA8" w:rsidRPr="00D05450" w:rsidRDefault="00D12970" w:rsidP="00341067">
      <w:pPr>
        <w:spacing w:line="276" w:lineRule="auto"/>
        <w:rPr>
          <w:rFonts w:ascii="Arial" w:hAnsi="Arial" w:cs="Arial"/>
          <w:color w:val="00B050"/>
          <w:sz w:val="22"/>
          <w:szCs w:val="22"/>
          <w:lang w:val="en-US"/>
        </w:rPr>
      </w:pPr>
      <w:r w:rsidRPr="00D05450">
        <w:rPr>
          <w:rFonts w:ascii="Arial" w:hAnsi="Arial" w:cs="Arial"/>
          <w:b/>
          <w:bCs/>
          <w:color w:val="00B050"/>
          <w:sz w:val="22"/>
          <w:szCs w:val="22"/>
          <w:lang w:val="en-US"/>
        </w:rPr>
        <w:t>3</w:t>
      </w:r>
      <w:r w:rsidRPr="00D05450">
        <w:rPr>
          <w:rFonts w:ascii="Arial" w:hAnsi="Arial" w:cs="Arial"/>
          <w:b/>
          <w:bCs/>
          <w:color w:val="00B050"/>
          <w:sz w:val="22"/>
          <w:szCs w:val="22"/>
          <w:vertAlign w:val="superscript"/>
          <w:lang w:val="en-US"/>
        </w:rPr>
        <w:t>rd</w:t>
      </w:r>
      <w:r w:rsidRPr="00D05450">
        <w:rPr>
          <w:rFonts w:ascii="Arial" w:hAnsi="Arial" w:cs="Arial"/>
          <w:b/>
          <w:bCs/>
          <w:color w:val="00B050"/>
          <w:sz w:val="22"/>
          <w:szCs w:val="22"/>
          <w:lang w:val="en-US"/>
        </w:rPr>
        <w:t xml:space="preserve"> </w:t>
      </w:r>
      <w:r w:rsidR="00C32946" w:rsidRPr="00D05450">
        <w:rPr>
          <w:rFonts w:ascii="Arial" w:hAnsi="Arial" w:cs="Arial"/>
          <w:b/>
          <w:bCs/>
          <w:color w:val="00B050"/>
          <w:sz w:val="22"/>
          <w:szCs w:val="22"/>
          <w:lang w:val="en-US"/>
        </w:rPr>
        <w:t>S</w:t>
      </w:r>
      <w:r w:rsidRPr="00D05450">
        <w:rPr>
          <w:rFonts w:ascii="Arial" w:hAnsi="Arial" w:cs="Arial"/>
          <w:b/>
          <w:bCs/>
          <w:color w:val="00B050"/>
          <w:sz w:val="22"/>
          <w:szCs w:val="22"/>
          <w:lang w:val="en-US"/>
        </w:rPr>
        <w:t>tep</w:t>
      </w:r>
    </w:p>
    <w:p w14:paraId="1C3582F0" w14:textId="77777777" w:rsidR="000D4FAD" w:rsidRPr="00D05450" w:rsidRDefault="000D4FAD" w:rsidP="00341067">
      <w:pPr>
        <w:spacing w:line="276" w:lineRule="auto"/>
        <w:rPr>
          <w:rFonts w:ascii="Arial" w:hAnsi="Arial" w:cs="Arial"/>
          <w:sz w:val="22"/>
          <w:szCs w:val="22"/>
          <w:lang w:val="en-US"/>
        </w:rPr>
      </w:pPr>
    </w:p>
    <w:p w14:paraId="0F626F73" w14:textId="778E77DA"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A balanced fluid-intake restriction (500 ml/d</w:t>
      </w:r>
      <w:r w:rsidR="00703B23">
        <w:rPr>
          <w:rFonts w:ascii="Arial" w:hAnsi="Arial" w:cs="Arial"/>
          <w:sz w:val="22"/>
          <w:szCs w:val="22"/>
          <w:lang w:val="en-US"/>
        </w:rPr>
        <w:t>ay</w:t>
      </w:r>
      <w:r w:rsidRPr="00D05450">
        <w:rPr>
          <w:rFonts w:ascii="Arial" w:hAnsi="Arial" w:cs="Arial"/>
          <w:sz w:val="22"/>
          <w:szCs w:val="22"/>
          <w:lang w:val="en-US"/>
        </w:rPr>
        <w:t>) is able to correct hyponatremia over the next 3 to 4 days with an aimed plasma-sodium increase of 0.5 mmol/l/h or less than 10 mmol/l/d</w:t>
      </w:r>
      <w:r w:rsidR="00703B23">
        <w:rPr>
          <w:rFonts w:ascii="Arial" w:hAnsi="Arial" w:cs="Arial"/>
          <w:sz w:val="22"/>
          <w:szCs w:val="22"/>
          <w:lang w:val="en-US"/>
        </w:rPr>
        <w:t>ay</w:t>
      </w:r>
      <w:r w:rsidRPr="00D05450">
        <w:rPr>
          <w:rFonts w:ascii="Arial" w:hAnsi="Arial" w:cs="Arial"/>
          <w:sz w:val="22"/>
          <w:szCs w:val="22"/>
          <w:lang w:val="en-US"/>
        </w:rPr>
        <w:t>. Most patient do not tolerate a very strict fluid intake reduction.</w:t>
      </w:r>
    </w:p>
    <w:p w14:paraId="4E5A4181" w14:textId="77777777" w:rsidR="000C2CA8" w:rsidRPr="00D05450" w:rsidRDefault="000C2CA8" w:rsidP="00341067">
      <w:pPr>
        <w:spacing w:line="276" w:lineRule="auto"/>
        <w:rPr>
          <w:rFonts w:ascii="Arial" w:hAnsi="Arial" w:cs="Arial"/>
          <w:sz w:val="22"/>
          <w:szCs w:val="22"/>
          <w:lang w:val="en-US"/>
        </w:rPr>
      </w:pPr>
    </w:p>
    <w:p w14:paraId="778FCA93" w14:textId="5FBD35EF" w:rsidR="000C2CA8" w:rsidRPr="00D05450" w:rsidRDefault="00D12970" w:rsidP="00341067">
      <w:pPr>
        <w:spacing w:line="276" w:lineRule="auto"/>
        <w:rPr>
          <w:rFonts w:ascii="Arial" w:hAnsi="Arial" w:cs="Arial"/>
          <w:b/>
          <w:bCs/>
          <w:color w:val="00B050"/>
          <w:sz w:val="22"/>
          <w:szCs w:val="22"/>
          <w:lang w:val="en-US"/>
        </w:rPr>
      </w:pPr>
      <w:r w:rsidRPr="00D05450">
        <w:rPr>
          <w:rFonts w:ascii="Arial" w:hAnsi="Arial" w:cs="Arial"/>
          <w:b/>
          <w:bCs/>
          <w:color w:val="00B050"/>
          <w:sz w:val="22"/>
          <w:szCs w:val="22"/>
          <w:lang w:val="en-US"/>
        </w:rPr>
        <w:t>4</w:t>
      </w:r>
      <w:r w:rsidRPr="00D05450">
        <w:rPr>
          <w:rFonts w:ascii="Arial" w:hAnsi="Arial" w:cs="Arial"/>
          <w:b/>
          <w:bCs/>
          <w:color w:val="00B050"/>
          <w:sz w:val="22"/>
          <w:szCs w:val="22"/>
          <w:vertAlign w:val="superscript"/>
          <w:lang w:val="en-US"/>
        </w:rPr>
        <w:t>th</w:t>
      </w:r>
      <w:r w:rsidRPr="00D05450">
        <w:rPr>
          <w:rFonts w:ascii="Arial" w:hAnsi="Arial" w:cs="Arial"/>
          <w:b/>
          <w:bCs/>
          <w:color w:val="00B050"/>
          <w:sz w:val="22"/>
          <w:szCs w:val="22"/>
          <w:lang w:val="en-US"/>
        </w:rPr>
        <w:t xml:space="preserve"> </w:t>
      </w:r>
      <w:r w:rsidR="00C32946" w:rsidRPr="00D05450">
        <w:rPr>
          <w:rFonts w:ascii="Arial" w:hAnsi="Arial" w:cs="Arial"/>
          <w:b/>
          <w:bCs/>
          <w:color w:val="00B050"/>
          <w:sz w:val="22"/>
          <w:szCs w:val="22"/>
          <w:lang w:val="en-US"/>
        </w:rPr>
        <w:t>S</w:t>
      </w:r>
      <w:r w:rsidRPr="00D05450">
        <w:rPr>
          <w:rFonts w:ascii="Arial" w:hAnsi="Arial" w:cs="Arial"/>
          <w:b/>
          <w:bCs/>
          <w:color w:val="00B050"/>
          <w:sz w:val="22"/>
          <w:szCs w:val="22"/>
          <w:lang w:val="en-US"/>
        </w:rPr>
        <w:t>tep</w:t>
      </w:r>
    </w:p>
    <w:p w14:paraId="2D0F7AE8" w14:textId="77777777" w:rsidR="00C32946" w:rsidRPr="00D05450" w:rsidRDefault="00C32946" w:rsidP="00341067">
      <w:pPr>
        <w:spacing w:line="276" w:lineRule="auto"/>
        <w:rPr>
          <w:rFonts w:ascii="Arial" w:hAnsi="Arial" w:cs="Arial"/>
          <w:sz w:val="22"/>
          <w:szCs w:val="22"/>
          <w:lang w:val="en-US"/>
        </w:rPr>
      </w:pPr>
    </w:p>
    <w:p w14:paraId="625B6C00" w14:textId="16FF91E9"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If step 1 – step 3 did not lead to an improvement of hyponatremia, therapy with an antagonist of the vasopressin V</w:t>
      </w:r>
      <w:r w:rsidRPr="00D05450">
        <w:rPr>
          <w:rFonts w:ascii="Arial" w:hAnsi="Arial" w:cs="Arial"/>
          <w:sz w:val="22"/>
          <w:szCs w:val="22"/>
          <w:vertAlign w:val="subscript"/>
          <w:lang w:val="en-US"/>
        </w:rPr>
        <w:t>2</w:t>
      </w:r>
      <w:r w:rsidRPr="00D05450">
        <w:rPr>
          <w:rFonts w:ascii="Arial" w:hAnsi="Arial" w:cs="Arial"/>
          <w:sz w:val="22"/>
          <w:szCs w:val="22"/>
          <w:lang w:val="en-US"/>
        </w:rPr>
        <w:t xml:space="preserve">-receptors, e.g. tolvaptan, for four days should be instituted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&lt;Refman&gt;&lt;Cite&gt;&lt;Author&gt;Schrier&lt;/Author&gt;&lt;Year&gt;2006&lt;/Year&gt;&lt;RecNum&gt;225&lt;/RecNum&gt;&lt;IDText&gt;Tolvaptan, a Selective Oral Vasopressin V2-Receptor Antagonist, for Hyponatremia&lt;/IDText&gt;&lt;MDL Ref_Type="Journal"&gt;&lt;Ref_Type&gt;Journal&lt;/Ref_Type&gt;&lt;Ref_ID&gt;225&lt;/Ref_ID&gt;&lt;Title_Primary&gt;Tolvaptan, a Selective Oral Vasopressin V2-Receptor Antagonist, for Hyponatremia&lt;/Title_Primary&gt;&lt;Authors_Primary&gt;Schrier,Robert W.&lt;/Authors_Primary&gt;&lt;Authors_Primary&gt;Gross,Peter&lt;/Authors_Primary&gt;&lt;Authors_Primary&gt;Gheorghiade,Mihai&lt;/Authors_Primary&gt;&lt;Authors_Primary&gt;Berl,Tomas&lt;/Authors_Primary&gt;&lt;Authors_Primary&gt;Verbalis,Joseph G.&lt;/Authors_Primary&gt;&lt;Authors_Primary&gt;Czerwiec,Frank S.&lt;/Authors_Primary&gt;&lt;Authors_Primary&gt;Orlandi,Cesare&lt;/Authors_Primary&gt;&lt;Date_Primary&gt;2006/11/16&lt;/Date_Primary&gt;&lt;Reprint&gt;Not in File&lt;/Reprint&gt;&lt;Start_Page&gt;2099&lt;/Start_Page&gt;&lt;End_Page&gt;2112&lt;/End_Page&gt;&lt;Periodical&gt;New England Journal of Medicine&lt;/Periodical&gt;&lt;Volume&gt;355&lt;/Volume&gt;&lt;Issue&gt;20&lt;/Issue&gt;&lt;ISSN_ISBN&gt;0028-4793&lt;/ISSN_ISBN&gt;&lt;Web_URL&gt;http://dx.doi.org/10.1056/NEJMoa065181&lt;/Web_URL&gt;&lt;ZZ_JournalStdAbbrev&gt;&lt;f name="System"&gt;New England Journal of Medicine&lt;/f&gt;&lt;/ZZ_JournalStdAbbrev&gt;&lt;ZZ_WorkformID&gt;1&lt;/ZZ_WorkformID&gt;&lt;/MDL&gt;&lt;/Cite&gt;&lt;/Refman&gt;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22</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 xml:space="preserve"> with an aimed plasma-sodium increase of 0.5 mmol/l/h or less than 10 mmol/l/d</w:t>
      </w:r>
      <w:r w:rsidR="00703B23">
        <w:rPr>
          <w:rFonts w:ascii="Arial" w:hAnsi="Arial" w:cs="Arial"/>
          <w:sz w:val="22"/>
          <w:szCs w:val="22"/>
          <w:lang w:val="en-US"/>
        </w:rPr>
        <w:t>ay</w:t>
      </w:r>
      <w:r w:rsidRPr="00D05450">
        <w:rPr>
          <w:rFonts w:ascii="Arial" w:hAnsi="Arial" w:cs="Arial"/>
          <w:sz w:val="22"/>
          <w:szCs w:val="22"/>
          <w:lang w:val="en-US"/>
        </w:rPr>
        <w:t>.</w:t>
      </w:r>
    </w:p>
    <w:p w14:paraId="14BA1F41" w14:textId="77777777" w:rsidR="000C2CA8" w:rsidRPr="00D05450" w:rsidRDefault="000C2CA8" w:rsidP="00341067">
      <w:pPr>
        <w:spacing w:line="276" w:lineRule="auto"/>
        <w:rPr>
          <w:rFonts w:ascii="Arial" w:hAnsi="Arial" w:cs="Arial"/>
          <w:bCs/>
          <w:sz w:val="22"/>
          <w:szCs w:val="22"/>
          <w:lang w:val="en-US"/>
        </w:rPr>
      </w:pPr>
    </w:p>
    <w:p w14:paraId="0EEE8460" w14:textId="7CA17C72" w:rsidR="000D4FAD" w:rsidRPr="00D05450" w:rsidRDefault="00D12970" w:rsidP="00341067">
      <w:pPr>
        <w:spacing w:line="276" w:lineRule="auto"/>
        <w:rPr>
          <w:rFonts w:ascii="Arial" w:hAnsi="Arial" w:cs="Arial"/>
          <w:b/>
          <w:sz w:val="22"/>
          <w:szCs w:val="22"/>
          <w:lang w:val="en-US"/>
        </w:rPr>
      </w:pPr>
      <w:r w:rsidRPr="00D05450">
        <w:rPr>
          <w:rFonts w:ascii="Arial" w:hAnsi="Arial" w:cs="Arial"/>
          <w:bCs/>
          <w:noProof/>
          <w:color w:val="0070C0"/>
          <w:sz w:val="22"/>
          <w:szCs w:val="22"/>
          <w:lang w:val="en-US" w:eastAsia="en-US"/>
        </w:rPr>
        <mc:AlternateContent>
          <mc:Choice Requires="wps">
            <w:drawing>
              <wp:anchor distT="0" distB="0" distL="0" distR="0" simplePos="0" relativeHeight="8" behindDoc="1" locked="0" layoutInCell="0" allowOverlap="1" wp14:anchorId="5F53150C" wp14:editId="5D0ABBE2">
                <wp:simplePos x="0" y="0"/>
                <wp:positionH relativeFrom="page">
                  <wp:posOffset>720090</wp:posOffset>
                </wp:positionH>
                <wp:positionV relativeFrom="page">
                  <wp:posOffset>1223010</wp:posOffset>
                </wp:positionV>
                <wp:extent cx="2039620" cy="322580"/>
                <wp:effectExtent l="0" t="0" r="0" b="0"/>
                <wp:wrapNone/>
                <wp:docPr id="7" name="Frame1"/>
                <wp:cNvGraphicFramePr/>
                <a:graphic xmlns:a="http://schemas.openxmlformats.org/drawingml/2006/main">
                  <a:graphicData uri="http://schemas.microsoft.com/office/word/2010/wordprocessingShape">
                    <wps:wsp>
                      <wps:cNvSpPr/>
                      <wps:spPr>
                        <a:xfrm>
                          <a:off x="0" y="0"/>
                          <a:ext cx="2039040" cy="321840"/>
                        </a:xfrm>
                        <a:prstGeom prst="rect">
                          <a:avLst/>
                        </a:prstGeom>
                        <a:noFill/>
                        <a:ln w="0">
                          <a:noFill/>
                        </a:ln>
                      </wps:spPr>
                      <wps:style>
                        <a:lnRef idx="0">
                          <a:scrgbClr r="0" g="0" b="0"/>
                        </a:lnRef>
                        <a:fillRef idx="0">
                          <a:scrgbClr r="0" g="0" b="0"/>
                        </a:fillRef>
                        <a:effectRef idx="0">
                          <a:scrgbClr r="0" g="0" b="0"/>
                        </a:effectRef>
                        <a:fontRef idx="minor"/>
                      </wps:style>
                      <wps:txbx>
                        <w:txbxContent>
                          <w:p w14:paraId="3B750FED" w14:textId="77777777" w:rsidR="000C2CA8" w:rsidRDefault="000C2CA8">
                            <w:pPr>
                              <w:pStyle w:val="FrameContents"/>
                              <w:spacing w:line="200" w:lineRule="exact"/>
                              <w:ind w:left="40"/>
                              <w:rPr>
                                <w:sz w:val="20"/>
                                <w:szCs w:val="20"/>
                              </w:rPr>
                            </w:pPr>
                          </w:p>
                        </w:txbxContent>
                      </wps:txbx>
                      <wps:bodyPr lIns="3240" tIns="3240" rIns="3240" bIns="3240">
                        <a:noAutofit/>
                      </wps:bodyPr>
                    </wps:wsp>
                  </a:graphicData>
                </a:graphic>
              </wp:anchor>
            </w:drawing>
          </mc:Choice>
          <mc:Fallback>
            <w:pict>
              <v:rect w14:anchorId="5F53150C" id="Frame1" o:spid="_x0000_s1026" style="position:absolute;margin-left:56.7pt;margin-top:96.3pt;width:160.6pt;height:25.4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waxQEAAP0DAAAOAAAAZHJzL2Uyb0RvYy54bWysU1GP0zAMfkfiP0R5Z+06hI5q3QlxOoSE&#10;4MTBD0jTZI2UxJGTW7t/j5PtugFPh3hJXcffZ/uzs72dnWUHhdGA7/h6VXOmvITB+H3Hf/64f3PD&#10;WUzCD8KCVx0/qshvd69fbafQqgZGsINCRiQ+tlPo+JhSaKsqylE5EVcQlKdLDehEol/cVwOKidid&#10;rZq6fldNgENAkCpG8t6dLvmu8GutZPqmdVSJ2Y5TbamcWM4+n9VuK9o9ijAaeS5D/EMVThhPSReq&#10;O5EEe0LzF5UzEiGCTisJrgKtjVSlB+pmXf/RzeMogiq9kDgxLDLF/0crvx4ewwOSDFOIbSQzdzFr&#10;dPlL9bG5iHVcxFJzYpKcTb15X78lTSXdbZr1DdlEU13QAWP6pMCxbHQcaRhFI3H4EtMp9DkkJ/Nw&#10;b6wtA7GeTTnhb25itp4SXAotVjpaleOs/640M0OpNzuixH3/0SI7jZv2kYp9HnohI0AO1JT2hdgz&#10;JKNV2bIX4hdQyQ8+LXhnPGAR8qq7bKa5n89j6mE4PiCznz1twqbJQ0hXNl7Z/cXOqTx8eEqgTZE/&#10;s56ozqrSjpUBnt9DXuLr/xJ1ebW7XwAAAP//AwBQSwMEFAAGAAgAAAAhAONu+gDfAAAACwEAAA8A&#10;AABkcnMvZG93bnJldi54bWxMj0FPg0AQhe8m/ofNmHizSymhiiyNMWk8VE1EDx4HmAKRnUV226K/&#10;3vGkt/cyL2++l29mO6gjTb53bGC5iEAR167puTXw9rq9ugblA3KDg2My8EUeNsX5WY5Z4078Qscy&#10;tEpK2GdooAthzLT2dUcW/cKNxHLbu8liEDu1upnwJOV20HEUpdpiz/Khw5HuO6o/yoM1sP7W1UO1&#10;f9/N22iXrp+f8LHsP425vJjvbkEFmsNfGH7xBR0KYarcgRuvBvHLVSJRETdxCkoSySoRURmIRYEu&#10;cv1/Q/EDAAD//wMAUEsBAi0AFAAGAAgAAAAhALaDOJL+AAAA4QEAABMAAAAAAAAAAAAAAAAAAAAA&#10;AFtDb250ZW50X1R5cGVzXS54bWxQSwECLQAUAAYACAAAACEAOP0h/9YAAACUAQAACwAAAAAAAAAA&#10;AAAAAAAvAQAAX3JlbHMvLnJlbHNQSwECLQAUAAYACAAAACEA1lAcGsUBAAD9AwAADgAAAAAAAAAA&#10;AAAAAAAuAgAAZHJzL2Uyb0RvYy54bWxQSwECLQAUAAYACAAAACEA4276AN8AAAALAQAADwAAAAAA&#10;AAAAAAAAAAAfBAAAZHJzL2Rvd25yZXYueG1sUEsFBgAAAAAEAAQA8wAAACsFAAAAAA==&#10;" o:allowincell="f" filled="f" stroked="f" strokeweight="0">
                <v:textbox inset=".09mm,.09mm,.09mm,.09mm">
                  <w:txbxContent>
                    <w:p w14:paraId="3B750FED" w14:textId="77777777" w:rsidR="000C2CA8" w:rsidRDefault="000C2CA8">
                      <w:pPr>
                        <w:pStyle w:val="FrameContents"/>
                        <w:spacing w:line="200" w:lineRule="exact"/>
                        <w:ind w:left="40"/>
                        <w:rPr>
                          <w:sz w:val="20"/>
                          <w:szCs w:val="20"/>
                        </w:rPr>
                      </w:pPr>
                    </w:p>
                  </w:txbxContent>
                </v:textbox>
                <w10:wrap anchorx="page" anchory="page"/>
              </v:rect>
            </w:pict>
          </mc:Fallback>
        </mc:AlternateContent>
      </w:r>
      <w:r w:rsidRPr="00D05450">
        <w:rPr>
          <w:rFonts w:ascii="Arial" w:hAnsi="Arial" w:cs="Arial"/>
          <w:bCs/>
          <w:noProof/>
          <w:color w:val="0070C0"/>
          <w:sz w:val="22"/>
          <w:szCs w:val="22"/>
          <w:lang w:val="en-US" w:eastAsia="en-US"/>
        </w:rPr>
        <mc:AlternateContent>
          <mc:Choice Requires="wps">
            <w:drawing>
              <wp:anchor distT="0" distB="0" distL="0" distR="0" simplePos="0" relativeHeight="11" behindDoc="1" locked="0" layoutInCell="0" allowOverlap="1" wp14:anchorId="3C33F95E" wp14:editId="30F267C3">
                <wp:simplePos x="0" y="0"/>
                <wp:positionH relativeFrom="page">
                  <wp:posOffset>4800600</wp:posOffset>
                </wp:positionH>
                <wp:positionV relativeFrom="page">
                  <wp:posOffset>1223010</wp:posOffset>
                </wp:positionV>
                <wp:extent cx="2039620" cy="322580"/>
                <wp:effectExtent l="0" t="0" r="0" b="0"/>
                <wp:wrapNone/>
                <wp:docPr id="11" name="Frame3"/>
                <wp:cNvGraphicFramePr/>
                <a:graphic xmlns:a="http://schemas.openxmlformats.org/drawingml/2006/main">
                  <a:graphicData uri="http://schemas.microsoft.com/office/word/2010/wordprocessingShape">
                    <wps:wsp>
                      <wps:cNvSpPr/>
                      <wps:spPr>
                        <a:xfrm>
                          <a:off x="0" y="0"/>
                          <a:ext cx="2039040" cy="321840"/>
                        </a:xfrm>
                        <a:prstGeom prst="rect">
                          <a:avLst/>
                        </a:prstGeom>
                        <a:noFill/>
                        <a:ln w="0">
                          <a:noFill/>
                        </a:ln>
                      </wps:spPr>
                      <wps:style>
                        <a:lnRef idx="0">
                          <a:scrgbClr r="0" g="0" b="0"/>
                        </a:lnRef>
                        <a:fillRef idx="0">
                          <a:scrgbClr r="0" g="0" b="0"/>
                        </a:fillRef>
                        <a:effectRef idx="0">
                          <a:scrgbClr r="0" g="0" b="0"/>
                        </a:effectRef>
                        <a:fontRef idx="minor"/>
                      </wps:style>
                      <wps:txbx>
                        <w:txbxContent>
                          <w:p w14:paraId="6E8E0289" w14:textId="78CAFCE5" w:rsidR="000C2CA8" w:rsidRDefault="000C2CA8">
                            <w:pPr>
                              <w:pStyle w:val="BodyText"/>
                              <w:ind w:left="56"/>
                              <w:rPr>
                                <w:color w:val="000000"/>
                              </w:rPr>
                            </w:pPr>
                          </w:p>
                        </w:txbxContent>
                      </wps:txbx>
                      <wps:bodyPr lIns="3240" tIns="3240" rIns="3240" bIns="3240">
                        <a:noAutofit/>
                      </wps:bodyPr>
                    </wps:wsp>
                  </a:graphicData>
                </a:graphic>
              </wp:anchor>
            </w:drawing>
          </mc:Choice>
          <mc:Fallback>
            <w:pict>
              <v:rect w14:anchorId="3C33F95E" id="Frame3" o:spid="_x0000_s1027" style="position:absolute;margin-left:378pt;margin-top:96.3pt;width:160.6pt;height:25.4pt;z-index:-5033164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wEyAEAAAQEAAAOAAAAZHJzL2Uyb0RvYy54bWysU1GP0zAMfkfiP0R5Z+06hI5p3QlxOoSE&#10;4MTBD0jTZI2UxJGTW7t/j5Pt2gFPh3hJXcffZ/uzs7udnGVHhdGAb/l6VXOmvITe+EPLf/64f3PD&#10;WUzC98KCVy0/qchv969f7cawVQ0MYHuFjEh83I6h5UNKYVtVUQ7KibiCoDxdakAnEv3ioepRjMTu&#10;bNXU9btqBOwDglQxkvfufMn3hV9rJdM3raNKzLacakvlxHJ2+az2O7E9oAiDkZcyxD9U4YTxlHSm&#10;uhNJsCc0f1E5IxEi6LSS4CrQ2khVeqBu1vUf3TwOIqjSC4kTwyxT/H+08uvxMTwgyTCGuI1k5i4m&#10;jS5/qT42FbFOs1hqSkySs6k37+u3pKmku02zviGbaKoFHTCmTwocy0bLkYZRNBLHLzGdQ59DcjIP&#10;98baMhDr2ZgT/uYmZuspwVJosdLJqhxn/XelmelLvdkRJR66jxbZedy0j1Ts89ALGQFyoKa0L8Re&#10;IBmtypa9ED+DSn7wacY74wGLkFfdZTNN3UTt0SPLt9nTQX96QGY/e1qITZNnka5svLK7xc4ZPXx4&#10;SqBNmcJCdRGXVq3M8fIs8i5f/5eo5fHufwEAAP//AwBQSwMEFAAGAAgAAAAhADRmVkbiAAAADAEA&#10;AA8AAABkcnMvZG93bnJldi54bWxMj8FOwzAQRO9I/IO1SNyoTSgJhDgVQqo4FJAIHDg68TaJiNch&#10;dtvA17M9wXE1o7dvitXsBrHHKfSeNFwuFAikxtueWg3vb+uLGxAhGrJm8IQavjHAqjw9KUxu/YFe&#10;cV/FVjCEQm40dDGOuZSh6dCZsPAjEmdbPzkT+ZxaaSdzYLgbZKJUKp3piT90ZsSHDpvPauc0ZD+y&#10;fqy3H5t5rTZp9vJsnqr+S+vzs/n+DkTEOf6V4ajP6lCyU+13ZIMYmHGd8pbIwW2Sgjg2VJYlIGoN&#10;yfJqCbIs5P8R5S8AAAD//wMAUEsBAi0AFAAGAAgAAAAhALaDOJL+AAAA4QEAABMAAAAAAAAAAAAA&#10;AAAAAAAAAFtDb250ZW50X1R5cGVzXS54bWxQSwECLQAUAAYACAAAACEAOP0h/9YAAACUAQAACwAA&#10;AAAAAAAAAAAAAAAvAQAAX3JlbHMvLnJlbHNQSwECLQAUAAYACAAAACEAuR0MBMgBAAAEBAAADgAA&#10;AAAAAAAAAAAAAAAuAgAAZHJzL2Uyb0RvYy54bWxQSwECLQAUAAYACAAAACEANGZWRuIAAAAMAQAA&#10;DwAAAAAAAAAAAAAAAAAiBAAAZHJzL2Rvd25yZXYueG1sUEsFBgAAAAAEAAQA8wAAADEFAAAAAA==&#10;" o:allowincell="f" filled="f" stroked="f" strokeweight="0">
                <v:textbox inset=".09mm,.09mm,.09mm,.09mm">
                  <w:txbxContent>
                    <w:p w14:paraId="6E8E0289" w14:textId="78CAFCE5" w:rsidR="000C2CA8" w:rsidRDefault="000C2CA8">
                      <w:pPr>
                        <w:pStyle w:val="BodyText"/>
                        <w:ind w:left="56"/>
                        <w:rPr>
                          <w:color w:val="000000"/>
                        </w:rPr>
                      </w:pPr>
                    </w:p>
                  </w:txbxContent>
                </v:textbox>
                <w10:wrap anchorx="page" anchory="page"/>
              </v:rect>
            </w:pict>
          </mc:Fallback>
        </mc:AlternateContent>
      </w:r>
      <w:r w:rsidRPr="00D05450">
        <w:rPr>
          <w:rFonts w:ascii="Arial" w:hAnsi="Arial" w:cs="Arial"/>
          <w:bCs/>
          <w:noProof/>
          <w:color w:val="0070C0"/>
          <w:sz w:val="22"/>
          <w:szCs w:val="22"/>
          <w:lang w:val="en-US" w:eastAsia="en-US"/>
        </w:rPr>
        <mc:AlternateContent>
          <mc:Choice Requires="wps">
            <w:drawing>
              <wp:anchor distT="0" distB="0" distL="0" distR="0" simplePos="0" relativeHeight="17" behindDoc="1" locked="0" layoutInCell="0" allowOverlap="1" wp14:anchorId="26B21095" wp14:editId="265CB2FF">
                <wp:simplePos x="0" y="0"/>
                <wp:positionH relativeFrom="page">
                  <wp:posOffset>720090</wp:posOffset>
                </wp:positionH>
                <wp:positionV relativeFrom="page">
                  <wp:posOffset>2188845</wp:posOffset>
                </wp:positionV>
                <wp:extent cx="2039620" cy="322580"/>
                <wp:effectExtent l="0" t="0" r="0" b="0"/>
                <wp:wrapNone/>
                <wp:docPr id="23" name="Frame9"/>
                <wp:cNvGraphicFramePr/>
                <a:graphic xmlns:a="http://schemas.openxmlformats.org/drawingml/2006/main">
                  <a:graphicData uri="http://schemas.microsoft.com/office/word/2010/wordprocessingShape">
                    <wps:wsp>
                      <wps:cNvSpPr/>
                      <wps:spPr>
                        <a:xfrm>
                          <a:off x="0" y="0"/>
                          <a:ext cx="2039040" cy="321840"/>
                        </a:xfrm>
                        <a:prstGeom prst="rect">
                          <a:avLst/>
                        </a:prstGeom>
                        <a:noFill/>
                        <a:ln w="0">
                          <a:noFill/>
                        </a:ln>
                      </wps:spPr>
                      <wps:style>
                        <a:lnRef idx="0">
                          <a:scrgbClr r="0" g="0" b="0"/>
                        </a:lnRef>
                        <a:fillRef idx="0">
                          <a:scrgbClr r="0" g="0" b="0"/>
                        </a:fillRef>
                        <a:effectRef idx="0">
                          <a:scrgbClr r="0" g="0" b="0"/>
                        </a:effectRef>
                        <a:fontRef idx="minor"/>
                      </wps:style>
                      <wps:txbx>
                        <w:txbxContent>
                          <w:p w14:paraId="79788A82" w14:textId="77777777" w:rsidR="000C2CA8" w:rsidRDefault="000C2CA8">
                            <w:pPr>
                              <w:pStyle w:val="FrameContents"/>
                              <w:spacing w:line="200" w:lineRule="exact"/>
                              <w:ind w:left="284"/>
                              <w:rPr>
                                <w:sz w:val="20"/>
                                <w:szCs w:val="20"/>
                              </w:rPr>
                            </w:pPr>
                          </w:p>
                        </w:txbxContent>
                      </wps:txbx>
                      <wps:bodyPr lIns="3240" tIns="3240" rIns="3240" bIns="3240">
                        <a:noAutofit/>
                      </wps:bodyPr>
                    </wps:wsp>
                  </a:graphicData>
                </a:graphic>
              </wp:anchor>
            </w:drawing>
          </mc:Choice>
          <mc:Fallback>
            <w:pict>
              <v:rect w14:anchorId="26B21095" id="Frame9" o:spid="_x0000_s1028" style="position:absolute;margin-left:56.7pt;margin-top:172.35pt;width:160.6pt;height:25.4pt;z-index:-5033164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vyAEAAAQEAAAOAAAAZHJzL2Uyb0RvYy54bWysU1GP0zAMfkfiP0R5Z+06hI5p3QlxOoSE&#10;4MTBD0jTZI2UxJGTW7t/j5Pt2gFPh3hJXcffZ/uzs7udnGVHhdGAb/l6VXOmvITe+EPLf/64f3PD&#10;WUzC98KCVy0/qchv969f7cawVQ0MYHuFjEh83I6h5UNKYVtVUQ7KibiCoDxdakAnEv3ioepRjMTu&#10;bNXU9btqBOwDglQxkvfufMn3hV9rJdM3raNKzLacakvlxHJ2+az2O7E9oAiDkZcyxD9U4YTxlHSm&#10;uhNJsCc0f1E5IxEi6LSS4CrQ2khVeqBu1vUf3TwOIqjSC4kTwyxT/H+08uvxMTwgyTCGuI1k5i4m&#10;jS5/qT42FbFOs1hqSkySs6k37+u3pKmku02zviGbaKoFHTCmTwocy0bLkYZRNBLHLzGdQ59DcjIP&#10;98baMhDr2ZgT/uYmZuspwVJosdLJqhxn/XelmelLvdkRJR66jxbZedy0j1Ts89ALGQFyoKa0L8Re&#10;IBmtypa9ED+DSn7wacY74wGLkFfdZTNN3UTtkfD5Nns66E8PyOxnTwuxafIs0pWNV3a32Dmjhw9P&#10;CbQpU1ioLuLSqpU5Xp5F3uXr/xK1PN79LwAAAP//AwBQSwMEFAAGAAgAAAAhACTYHcThAAAACwEA&#10;AA8AAABkcnMvZG93bnJldi54bWxMj8FOg0AQhu8mvsNmTLzZpUJBkaUxJo2HWhPRg8eFnQKRnUV2&#10;26JP73jS4z/z5Z9vivVsB3HEyfeOFCwXEQikxpmeWgVvr5urGxA+aDJ6cIQKvtDDujw/K3Ru3Ile&#10;8FiFVnAJ+Vwr6EIYcyl906HVfuFGJN7t3WR14Di10kz6xOV2kNdRlEqre+ILnR7xocPmozpYBdm3&#10;rB/r/ft23kTbNHve6aeq/1Tq8mK+vwMRcA5/MPzqszqU7FS7AxkvBs7LOGFUQZwkGQgmkjhJQdQ8&#10;uV2tQJaF/P9D+QMAAP//AwBQSwECLQAUAAYACAAAACEAtoM4kv4AAADhAQAAEwAAAAAAAAAAAAAA&#10;AAAAAAAAW0NvbnRlbnRfVHlwZXNdLnhtbFBLAQItABQABgAIAAAAIQA4/SH/1gAAAJQBAAALAAAA&#10;AAAAAAAAAAAAAC8BAABfcmVscy8ucmVsc1BLAQItABQABgAIAAAAIQD+CdVvyAEAAAQEAAAOAAAA&#10;AAAAAAAAAAAAAC4CAABkcnMvZTJvRG9jLnhtbFBLAQItABQABgAIAAAAIQAk2B3E4QAAAAsBAAAP&#10;AAAAAAAAAAAAAAAAACIEAABkcnMvZG93bnJldi54bWxQSwUGAAAAAAQABADzAAAAMAUAAAAA&#10;" o:allowincell="f" filled="f" stroked="f" strokeweight="0">
                <v:textbox inset=".09mm,.09mm,.09mm,.09mm">
                  <w:txbxContent>
                    <w:p w14:paraId="79788A82" w14:textId="77777777" w:rsidR="000C2CA8" w:rsidRDefault="000C2CA8">
                      <w:pPr>
                        <w:pStyle w:val="FrameContents"/>
                        <w:spacing w:line="200" w:lineRule="exact"/>
                        <w:ind w:left="284"/>
                        <w:rPr>
                          <w:sz w:val="20"/>
                          <w:szCs w:val="20"/>
                        </w:rPr>
                      </w:pPr>
                    </w:p>
                  </w:txbxContent>
                </v:textbox>
                <w10:wrap anchorx="page" anchory="page"/>
              </v:rect>
            </w:pict>
          </mc:Fallback>
        </mc:AlternateContent>
      </w:r>
      <w:r w:rsidRPr="00D05450">
        <w:rPr>
          <w:rFonts w:ascii="Arial" w:hAnsi="Arial" w:cs="Arial"/>
          <w:bCs/>
          <w:noProof/>
          <w:color w:val="0070C0"/>
          <w:sz w:val="22"/>
          <w:szCs w:val="22"/>
          <w:lang w:val="en-US" w:eastAsia="en-US"/>
        </w:rPr>
        <mc:AlternateContent>
          <mc:Choice Requires="wps">
            <w:drawing>
              <wp:anchor distT="0" distB="0" distL="0" distR="0" simplePos="0" relativeHeight="43" behindDoc="1" locked="0" layoutInCell="0" allowOverlap="1" wp14:anchorId="105091A3" wp14:editId="5A3027E9">
                <wp:simplePos x="0" y="0"/>
                <wp:positionH relativeFrom="page">
                  <wp:posOffset>4800600</wp:posOffset>
                </wp:positionH>
                <wp:positionV relativeFrom="page">
                  <wp:posOffset>4765040</wp:posOffset>
                </wp:positionV>
                <wp:extent cx="2039620" cy="322580"/>
                <wp:effectExtent l="0" t="0" r="0" b="0"/>
                <wp:wrapNone/>
                <wp:docPr id="73" name="Frame34"/>
                <wp:cNvGraphicFramePr/>
                <a:graphic xmlns:a="http://schemas.openxmlformats.org/drawingml/2006/main">
                  <a:graphicData uri="http://schemas.microsoft.com/office/word/2010/wordprocessingShape">
                    <wps:wsp>
                      <wps:cNvSpPr/>
                      <wps:spPr>
                        <a:xfrm>
                          <a:off x="0" y="0"/>
                          <a:ext cx="2039040" cy="321840"/>
                        </a:xfrm>
                        <a:prstGeom prst="rect">
                          <a:avLst/>
                        </a:prstGeom>
                        <a:noFill/>
                        <a:ln w="0">
                          <a:noFill/>
                        </a:ln>
                      </wps:spPr>
                      <wps:style>
                        <a:lnRef idx="0">
                          <a:scrgbClr r="0" g="0" b="0"/>
                        </a:lnRef>
                        <a:fillRef idx="0">
                          <a:scrgbClr r="0" g="0" b="0"/>
                        </a:fillRef>
                        <a:effectRef idx="0">
                          <a:scrgbClr r="0" g="0" b="0"/>
                        </a:effectRef>
                        <a:fontRef idx="minor"/>
                      </wps:style>
                      <wps:txbx>
                        <w:txbxContent>
                          <w:p w14:paraId="4BD5F57F" w14:textId="77777777" w:rsidR="000C2CA8" w:rsidRDefault="000C2CA8">
                            <w:pPr>
                              <w:pStyle w:val="FrameContents"/>
                              <w:spacing w:line="200" w:lineRule="exact"/>
                              <w:ind w:left="40"/>
                              <w:rPr>
                                <w:sz w:val="20"/>
                                <w:szCs w:val="20"/>
                              </w:rPr>
                            </w:pPr>
                          </w:p>
                        </w:txbxContent>
                      </wps:txbx>
                      <wps:bodyPr lIns="3240" tIns="3240" rIns="3240" bIns="3240">
                        <a:noAutofit/>
                      </wps:bodyPr>
                    </wps:wsp>
                  </a:graphicData>
                </a:graphic>
              </wp:anchor>
            </w:drawing>
          </mc:Choice>
          <mc:Fallback>
            <w:pict>
              <v:rect w14:anchorId="105091A3" id="Frame34" o:spid="_x0000_s1029" style="position:absolute;margin-left:378pt;margin-top:375.2pt;width:160.6pt;height:25.4pt;z-index:-5033164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JJyAEAAAQEAAAOAAAAZHJzL2Uyb0RvYy54bWysU1GP0zAMfkfiP0R5Z+06hI5p3QlxOoSE&#10;4MTBD0jTZI2UxJGTW7t/j5Pt2gFPh3hJXcffZ/uzs7udnGVHhdGAb/l6VXOmvITe+EPLf/64f3PD&#10;WUzC98KCVy0/qchv969f7cawVQ0MYHuFjEh83I6h5UNKYVtVUQ7KibiCoDxdakAnEv3ioepRjMTu&#10;bNXU9btqBOwDglQxkvfufMn3hV9rJdM3raNKzLacakvlxHJ2+az2O7E9oAiDkZcyxD9U4YTxlHSm&#10;uhNJsCc0f1E5IxEi6LSS4CrQ2khVeqBu1vUf3TwOIqjSC4kTwyxT/H+08uvxMTwgyTCGuI1k5i4m&#10;jS5/qT42FbFOs1hqSkySs6k37+u3pKmku02zviGbaKoFHTCmTwocy0bLkYZRNBLHLzGdQ59DcjIP&#10;98baMhDr2ZgT/uYmZuspwVJosdLJqhxn/XelmelLvdkRJR66jxbZedy0j1Ts89ALGQFyoKa0L8Re&#10;IBmtypa9ED+DSn7wacY74wGLkFfdZTNN3UTtkdb5Nns66E8PyOxnTwuxafIs0pWNV3a32Dmjhw9P&#10;CbQpU1ioLuLSqpU5Xp5F3uXr/xK1PN79LwAAAP//AwBQSwMEFAAGAAgAAAAhAGKxzH7hAAAADAEA&#10;AA8AAABkcnMvZG93bnJldi54bWxMj8FOg0AQhu8mvsNmTLzZ3RKFhrI0xqTxUDUpevA4wBRI2Vlk&#10;ty369C4nvc1k/nzz/dlmMr040+g6yxqWCwWCuLJ1x42Gj/ft3QqE88g19pZJwzc52OTXVxmmtb3w&#10;ns6Fb0SAsEtRQ+v9kErpqpYMuoUdiMPtYEeDPqxjI+sRLwFuehkpFUuDHYcPLQ701FJ1LE5GQ/Ij&#10;y+fy8LmbtmoXJ2+v+FJ0X1rf3kyPaxCeJv8Xhlk/qEMenEp74tqJPjAe4tDFz4O6BzEnVJJEIEoN&#10;K7WMQOaZ/F8i/wUAAP//AwBQSwECLQAUAAYACAAAACEAtoM4kv4AAADhAQAAEwAAAAAAAAAAAAAA&#10;AAAAAAAAW0NvbnRlbnRfVHlwZXNdLnhtbFBLAQItABQABgAIAAAAIQA4/SH/1gAAAJQBAAALAAAA&#10;AAAAAAAAAAAAAC8BAABfcmVscy8ucmVsc1BLAQItABQABgAIAAAAIQDDBWJJyAEAAAQEAAAOAAAA&#10;AAAAAAAAAAAAAC4CAABkcnMvZTJvRG9jLnhtbFBLAQItABQABgAIAAAAIQBiscx+4QAAAAwBAAAP&#10;AAAAAAAAAAAAAAAAACIEAABkcnMvZG93bnJldi54bWxQSwUGAAAAAAQABADzAAAAMAUAAAAA&#10;" o:allowincell="f" filled="f" stroked="f" strokeweight="0">
                <v:textbox inset=".09mm,.09mm,.09mm,.09mm">
                  <w:txbxContent>
                    <w:p w14:paraId="4BD5F57F" w14:textId="77777777" w:rsidR="000C2CA8" w:rsidRDefault="000C2CA8">
                      <w:pPr>
                        <w:pStyle w:val="FrameContents"/>
                        <w:spacing w:line="200" w:lineRule="exact"/>
                        <w:ind w:left="40"/>
                        <w:rPr>
                          <w:sz w:val="20"/>
                          <w:szCs w:val="20"/>
                        </w:rPr>
                      </w:pPr>
                    </w:p>
                  </w:txbxContent>
                </v:textbox>
                <w10:wrap anchorx="page" anchory="page"/>
              </v:rect>
            </w:pict>
          </mc:Fallback>
        </mc:AlternateContent>
      </w:r>
      <w:r w:rsidRPr="00D05450">
        <w:rPr>
          <w:rFonts w:ascii="Arial" w:hAnsi="Arial" w:cs="Arial"/>
          <w:bCs/>
          <w:noProof/>
          <w:color w:val="0070C0"/>
          <w:sz w:val="22"/>
          <w:szCs w:val="22"/>
          <w:lang w:val="en-US" w:eastAsia="en-US"/>
        </w:rPr>
        <mc:AlternateContent>
          <mc:Choice Requires="wps">
            <w:drawing>
              <wp:anchor distT="0" distB="0" distL="0" distR="0" simplePos="0" relativeHeight="52" behindDoc="1" locked="0" layoutInCell="0" allowOverlap="1" wp14:anchorId="37247E30" wp14:editId="37AD9E8F">
                <wp:simplePos x="0" y="0"/>
                <wp:positionH relativeFrom="page">
                  <wp:posOffset>4800600</wp:posOffset>
                </wp:positionH>
                <wp:positionV relativeFrom="page">
                  <wp:posOffset>5730875</wp:posOffset>
                </wp:positionV>
                <wp:extent cx="2039620" cy="321310"/>
                <wp:effectExtent l="0" t="0" r="0" b="0"/>
                <wp:wrapNone/>
                <wp:docPr id="91" name="Frame43"/>
                <wp:cNvGraphicFramePr/>
                <a:graphic xmlns:a="http://schemas.openxmlformats.org/drawingml/2006/main">
                  <a:graphicData uri="http://schemas.microsoft.com/office/word/2010/wordprocessingShape">
                    <wps:wsp>
                      <wps:cNvSpPr/>
                      <wps:spPr>
                        <a:xfrm>
                          <a:off x="0" y="0"/>
                          <a:ext cx="2039040" cy="320760"/>
                        </a:xfrm>
                        <a:prstGeom prst="rect">
                          <a:avLst/>
                        </a:prstGeom>
                        <a:noFill/>
                        <a:ln w="0">
                          <a:noFill/>
                        </a:ln>
                      </wps:spPr>
                      <wps:style>
                        <a:lnRef idx="0">
                          <a:scrgbClr r="0" g="0" b="0"/>
                        </a:lnRef>
                        <a:fillRef idx="0">
                          <a:scrgbClr r="0" g="0" b="0"/>
                        </a:fillRef>
                        <a:effectRef idx="0">
                          <a:scrgbClr r="0" g="0" b="0"/>
                        </a:effectRef>
                        <a:fontRef idx="minor"/>
                      </wps:style>
                      <wps:txbx>
                        <w:txbxContent>
                          <w:p w14:paraId="2603B7E1" w14:textId="77777777" w:rsidR="000C2CA8" w:rsidRDefault="000C2CA8">
                            <w:pPr>
                              <w:pStyle w:val="FrameContents"/>
                              <w:spacing w:line="200" w:lineRule="exact"/>
                              <w:ind w:left="40"/>
                              <w:rPr>
                                <w:sz w:val="20"/>
                                <w:szCs w:val="20"/>
                              </w:rPr>
                            </w:pPr>
                          </w:p>
                        </w:txbxContent>
                      </wps:txbx>
                      <wps:bodyPr lIns="3240" tIns="3240" rIns="3240" bIns="3240">
                        <a:noAutofit/>
                      </wps:bodyPr>
                    </wps:wsp>
                  </a:graphicData>
                </a:graphic>
              </wp:anchor>
            </w:drawing>
          </mc:Choice>
          <mc:Fallback>
            <w:pict>
              <v:rect w14:anchorId="37247E30" id="Frame43" o:spid="_x0000_s1030" style="position:absolute;margin-left:378pt;margin-top:451.25pt;width:160.6pt;height:25.3pt;z-index:-5033164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vOzAEAAAQEAAAOAAAAZHJzL2Uyb0RvYy54bWysU1Fv0zAQfkfiP1h+p8nSaUDUdEJMQ0gI&#10;JgY/wHHs1pLts85ek/57zm6XFHga4sW5nO/77r678+Z2cpYdFEYDvuNXq5oz5SUMxu86/vPH/Zt3&#10;nMUk/CAseNXxo4r8dvv61WYMrWpgD3ZQyIjEx3YMHd+nFNqqinKvnIgrCMrTpQZ0ItEv7qoBxUjs&#10;zlZNXd9UI+AQEKSKkbx3p0u+LfxaK5m+aR1VYrbjVFsqJ5azz2e13Yh2hyLsjTyXIf6hCieMp6Qz&#10;1Z1Igj2h+YvKGYkQQaeVBFeB1kaqooHUXNV/qHnci6CKFmpODHOb4v+jlV8Pj+EBqQ1jiG0kM6uY&#10;NLr8pfrYVJp1nJulpsQkOZt6/b6+pp5Kuls39dub0s1qQQeM6ZMCx7LRcaRhlB6Jw5eYKCOFPofk&#10;ZB7ujbVlINazMSf8zU3h1hNqKbRY6WhVjrP+u9LMDKXe7IgSd/1Hi+w0btpHKvZ56IWMADlQU9oX&#10;Ys+QjFZly16In0ElP/g0453xgHktTzpP6rLQNPUTyev4db7Nnh6G4wMy+9nTQqybPIt0YeOF3S92&#10;zujhw1MCbcoUFqpzUlq1Mpzzs8i7fPlfopbHu/0FAAD//wMAUEsDBBQABgAIAAAAIQCDbJrS4gAA&#10;AAwBAAAPAAAAZHJzL2Rvd25yZXYueG1sTI/BToNAEIbvJr7DZky82d1iAIssjTFpPFRNRA89DjAF&#10;IruL7LZFn97pSY8z8+eb78/XsxnEkSbfO6thuVAgyNau6W2r4eN9c3MHwge0DQ7OkoZv8rAuLi9y&#10;zBp3sm90LEMrGGJ9hhq6EMZMSl93ZNAv3EiWb3s3GQw8Tq1sJjwx3AwyUiqRBnvLHzoc6bGj+rM8&#10;GA3pj6yeqv1uO2/UNklfX/C57L+0vr6aH+5BBJrDXxjO+qwOBTtV7mAbLwZmxAl3CRpWKopBnBMq&#10;TSMQFa/i2yXIIpf/SxS/AAAA//8DAFBLAQItABQABgAIAAAAIQC2gziS/gAAAOEBAAATAAAAAAAA&#10;AAAAAAAAAAAAAABbQ29udGVudF9UeXBlc10ueG1sUEsBAi0AFAAGAAgAAAAhADj9If/WAAAAlAEA&#10;AAsAAAAAAAAAAAAAAAAALwEAAF9yZWxzLy5yZWxzUEsBAi0AFAAGAAgAAAAhAJLSS87MAQAABAQA&#10;AA4AAAAAAAAAAAAAAAAALgIAAGRycy9lMm9Eb2MueG1sUEsBAi0AFAAGAAgAAAAhAINsmtLiAAAA&#10;DAEAAA8AAAAAAAAAAAAAAAAAJgQAAGRycy9kb3ducmV2LnhtbFBLBQYAAAAABAAEAPMAAAA1BQAA&#10;AAA=&#10;" o:allowincell="f" filled="f" stroked="f" strokeweight="0">
                <v:textbox inset=".09mm,.09mm,.09mm,.09mm">
                  <w:txbxContent>
                    <w:p w14:paraId="2603B7E1" w14:textId="77777777" w:rsidR="000C2CA8" w:rsidRDefault="000C2CA8">
                      <w:pPr>
                        <w:pStyle w:val="FrameContents"/>
                        <w:spacing w:line="200" w:lineRule="exact"/>
                        <w:ind w:left="40"/>
                        <w:rPr>
                          <w:sz w:val="20"/>
                          <w:szCs w:val="20"/>
                        </w:rPr>
                      </w:pPr>
                    </w:p>
                  </w:txbxContent>
                </v:textbox>
                <w10:wrap anchorx="page" anchory="page"/>
              </v:rect>
            </w:pict>
          </mc:Fallback>
        </mc:AlternateContent>
      </w:r>
      <w:r w:rsidRPr="00D05450">
        <w:rPr>
          <w:rFonts w:ascii="Arial" w:hAnsi="Arial" w:cs="Arial"/>
          <w:bCs/>
          <w:noProof/>
          <w:color w:val="0070C0"/>
          <w:sz w:val="22"/>
          <w:szCs w:val="22"/>
          <w:lang w:val="en-US" w:eastAsia="en-US"/>
        </w:rPr>
        <mc:AlternateContent>
          <mc:Choice Requires="wps">
            <w:drawing>
              <wp:anchor distT="0" distB="0" distL="0" distR="0" simplePos="0" relativeHeight="55" behindDoc="1" locked="0" layoutInCell="0" allowOverlap="1" wp14:anchorId="7E320F03" wp14:editId="5112133B">
                <wp:simplePos x="0" y="0"/>
                <wp:positionH relativeFrom="page">
                  <wp:posOffset>4800600</wp:posOffset>
                </wp:positionH>
                <wp:positionV relativeFrom="page">
                  <wp:posOffset>6052820</wp:posOffset>
                </wp:positionV>
                <wp:extent cx="2039620" cy="246380"/>
                <wp:effectExtent l="0" t="0" r="0" b="0"/>
                <wp:wrapNone/>
                <wp:docPr id="97" name="Frame46"/>
                <wp:cNvGraphicFramePr/>
                <a:graphic xmlns:a="http://schemas.openxmlformats.org/drawingml/2006/main">
                  <a:graphicData uri="http://schemas.microsoft.com/office/word/2010/wordprocessingShape">
                    <wps:wsp>
                      <wps:cNvSpPr/>
                      <wps:spPr>
                        <a:xfrm>
                          <a:off x="0" y="0"/>
                          <a:ext cx="2039040" cy="245880"/>
                        </a:xfrm>
                        <a:prstGeom prst="rect">
                          <a:avLst/>
                        </a:prstGeom>
                        <a:noFill/>
                        <a:ln w="0">
                          <a:noFill/>
                        </a:ln>
                      </wps:spPr>
                      <wps:style>
                        <a:lnRef idx="0">
                          <a:scrgbClr r="0" g="0" b="0"/>
                        </a:lnRef>
                        <a:fillRef idx="0">
                          <a:scrgbClr r="0" g="0" b="0"/>
                        </a:fillRef>
                        <a:effectRef idx="0">
                          <a:scrgbClr r="0" g="0" b="0"/>
                        </a:effectRef>
                        <a:fontRef idx="minor"/>
                      </wps:style>
                      <wps:txbx>
                        <w:txbxContent>
                          <w:p w14:paraId="3355EB5C" w14:textId="77777777" w:rsidR="000C2CA8" w:rsidRDefault="000C2CA8">
                            <w:pPr>
                              <w:pStyle w:val="FrameContents"/>
                              <w:spacing w:line="200" w:lineRule="exact"/>
                              <w:ind w:left="40"/>
                              <w:rPr>
                                <w:sz w:val="20"/>
                                <w:szCs w:val="20"/>
                              </w:rPr>
                            </w:pPr>
                          </w:p>
                        </w:txbxContent>
                      </wps:txbx>
                      <wps:bodyPr lIns="3240" tIns="3240" rIns="3240" bIns="3240">
                        <a:noAutofit/>
                      </wps:bodyPr>
                    </wps:wsp>
                  </a:graphicData>
                </a:graphic>
              </wp:anchor>
            </w:drawing>
          </mc:Choice>
          <mc:Fallback>
            <w:pict>
              <v:rect w14:anchorId="7E320F03" id="Frame46" o:spid="_x0000_s1031" style="position:absolute;margin-left:378pt;margin-top:476.6pt;width:160.6pt;height:19.4pt;z-index:-5033164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zBzQEAAAQEAAAOAAAAZHJzL2Uyb0RvYy54bWysU8Fu2zAMvQ/YPwi6L3bddsiMOEXRosOA&#10;YSva7QNkWYoFyKJAqbHz96OU1M62U4ddZJrie+Qjqc3NNFi2VxgMuIZfrErOlJPQGbdr+M8fDx/W&#10;nIUoXCcsONXwgwr8Zvv+3Wb0taqgB9spZETiQj36hvcx+rooguzVIMIKvHJ0qQEHEekXd0WHYiT2&#10;wRZVWX4sRsDOI0gVAnnvj5d8m/m1VjJ+1zqoyGzDqbaYT8xnm85iuxH1DoXvjTyVIf6hikEYR0ln&#10;qnsRBXtB8xfVYCRCAB1XEoYCtDZSZQ2k5qL8Q81zL7zKWqg5wc9tCv+PVn7bP/tHpDaMPtSBzKRi&#10;0jikL9XHptysw9wsNUUmyVmVl5/KK+qppLvq6nq9zt0sFrTHED8rGFgyGo40jNwjsf8aImWk0NeQ&#10;lMzBg7E2D8Q6NqaEv7kp3DpCLYVmKx6sSnHWPSnNTJfrTY4gcdfeWWTHcdM+UrGvQ89kBEiBmtK+&#10;EXuCJLTKW/ZG/AzK+cHFGT8YB5jW8qjzqC4JjVM7kbyGX6fb5GmhOzwis18cLcRllWYRz2w8s9vF&#10;Thkd3L5E0CZPYaE6JaVVy8M5PYu0y+f/OWp5vNtfAAAA//8DAFBLAwQUAAYACAAAACEATf0AcOIA&#10;AAAMAQAADwAAAGRycy9kb3ducmV2LnhtbEyPQU/DMAyF70j8h8hI3FhC0VpWmk4IaeIwQKJw4Og2&#10;WVvROKXJtsKvxzvBzfZ7ev5esZ7dIA52Cr0nDdcLBcJS401PrYb3t83VLYgQkQwOnqyGbxtgXZ6f&#10;FZgbf6RXe6hiKziEQo4auhjHXMrQdNZhWPjREms7PzmMvE6tNBMeOdwNMlEqlQ574g8djvahs81n&#10;tXcash9ZP9a7j+28Uds0e3nGp6r/0vryYr6/AxHtHP/McMJndCiZqfZ7MkEMnLFMuUvUsFreJCBO&#10;DpVlPNV8WiUKZFnI/yXKXwAAAP//AwBQSwECLQAUAAYACAAAACEAtoM4kv4AAADhAQAAEwAAAAAA&#10;AAAAAAAAAAAAAAAAW0NvbnRlbnRfVHlwZXNdLnhtbFBLAQItABQABgAIAAAAIQA4/SH/1gAAAJQB&#10;AAALAAAAAAAAAAAAAAAAAC8BAABfcmVscy8ucmVsc1BLAQItABQABgAIAAAAIQDX9uzBzQEAAAQE&#10;AAAOAAAAAAAAAAAAAAAAAC4CAABkcnMvZTJvRG9jLnhtbFBLAQItABQABgAIAAAAIQBN/QBw4gAA&#10;AAwBAAAPAAAAAAAAAAAAAAAAACcEAABkcnMvZG93bnJldi54bWxQSwUGAAAAAAQABADzAAAANgUA&#10;AAAA&#10;" o:allowincell="f" filled="f" stroked="f" strokeweight="0">
                <v:textbox inset=".09mm,.09mm,.09mm,.09mm">
                  <w:txbxContent>
                    <w:p w14:paraId="3355EB5C" w14:textId="77777777" w:rsidR="000C2CA8" w:rsidRDefault="000C2CA8">
                      <w:pPr>
                        <w:pStyle w:val="FrameContents"/>
                        <w:spacing w:line="200" w:lineRule="exact"/>
                        <w:ind w:left="40"/>
                        <w:rPr>
                          <w:sz w:val="20"/>
                          <w:szCs w:val="20"/>
                        </w:rPr>
                      </w:pPr>
                    </w:p>
                  </w:txbxContent>
                </v:textbox>
                <w10:wrap anchorx="page" anchory="page"/>
              </v:rect>
            </w:pict>
          </mc:Fallback>
        </mc:AlternateContent>
      </w:r>
      <w:r w:rsidRPr="00D05450">
        <w:rPr>
          <w:rFonts w:ascii="Arial" w:hAnsi="Arial" w:cs="Arial"/>
          <w:b/>
          <w:color w:val="0070C0"/>
          <w:sz w:val="22"/>
          <w:szCs w:val="22"/>
          <w:lang w:val="en-US"/>
        </w:rPr>
        <w:t>I</w:t>
      </w:r>
      <w:r w:rsidR="000D4FAD" w:rsidRPr="00D05450">
        <w:rPr>
          <w:rFonts w:ascii="Arial" w:hAnsi="Arial" w:cs="Arial"/>
          <w:b/>
          <w:color w:val="0070C0"/>
          <w:sz w:val="22"/>
          <w:szCs w:val="22"/>
          <w:lang w:val="en-US"/>
        </w:rPr>
        <w:t xml:space="preserve">NTERPRETATION OF CLINICAL </w:t>
      </w:r>
      <w:bookmarkEnd w:id="3"/>
      <w:r w:rsidR="000D4FAD" w:rsidRPr="00D05450">
        <w:rPr>
          <w:rFonts w:ascii="Arial" w:hAnsi="Arial" w:cs="Arial"/>
          <w:b/>
          <w:color w:val="0070C0"/>
          <w:sz w:val="22"/>
          <w:szCs w:val="22"/>
          <w:lang w:val="en-US"/>
        </w:rPr>
        <w:t xml:space="preserve">AND LABORATORY RESULTS </w:t>
      </w:r>
    </w:p>
    <w:p w14:paraId="48CBEF64" w14:textId="77777777" w:rsidR="000D4FAD" w:rsidRPr="00D05450" w:rsidRDefault="000D4FAD" w:rsidP="00341067">
      <w:pPr>
        <w:spacing w:line="276" w:lineRule="auto"/>
        <w:rPr>
          <w:rFonts w:ascii="Arial" w:hAnsi="Arial" w:cs="Arial"/>
          <w:b/>
          <w:sz w:val="22"/>
          <w:szCs w:val="22"/>
          <w:lang w:val="en-US"/>
        </w:rPr>
      </w:pPr>
    </w:p>
    <w:p w14:paraId="60DA60A1" w14:textId="53385D2B" w:rsidR="000C2CA8" w:rsidRPr="00D05450" w:rsidRDefault="00D12970" w:rsidP="00341067">
      <w:pPr>
        <w:spacing w:line="276" w:lineRule="auto"/>
        <w:rPr>
          <w:rFonts w:ascii="Arial" w:hAnsi="Arial" w:cs="Arial"/>
          <w:sz w:val="22"/>
          <w:szCs w:val="22"/>
          <w:lang w:val="en-US"/>
        </w:rPr>
      </w:pPr>
      <w:bookmarkStart w:id="4" w:name="_Hlk122523271"/>
      <w:r w:rsidRPr="00D05450">
        <w:rPr>
          <w:rFonts w:ascii="Arial" w:hAnsi="Arial" w:cs="Arial"/>
          <w:sz w:val="22"/>
          <w:szCs w:val="22"/>
          <w:lang w:val="en-US"/>
        </w:rPr>
        <w:t xml:space="preserve">SIADH leads to an increase of free-water reabsorption, thereby increasing the circulating blood volume. By virtue of dilution mediated by AVP, both hematocrit and plasma sodium are </w:t>
      </w:r>
      <w:r w:rsidR="00703B23">
        <w:rPr>
          <w:rFonts w:ascii="Arial" w:hAnsi="Arial" w:cs="Arial"/>
          <w:sz w:val="22"/>
          <w:szCs w:val="22"/>
          <w:lang w:val="en-US"/>
        </w:rPr>
        <w:t>decreased</w:t>
      </w:r>
      <w:r w:rsidRPr="00D05450">
        <w:rPr>
          <w:rFonts w:ascii="Arial" w:hAnsi="Arial" w:cs="Arial"/>
          <w:sz w:val="22"/>
          <w:szCs w:val="22"/>
          <w:lang w:val="en-US"/>
        </w:rPr>
        <w:t>. Likewise, a decrease of urine output can be found.</w:t>
      </w:r>
    </w:p>
    <w:p w14:paraId="0870369E" w14:textId="77777777" w:rsidR="0072648B" w:rsidRPr="00D05450" w:rsidRDefault="0072648B" w:rsidP="00341067">
      <w:pPr>
        <w:spacing w:line="276" w:lineRule="auto"/>
        <w:rPr>
          <w:rFonts w:ascii="Arial" w:hAnsi="Arial" w:cs="Arial"/>
          <w:sz w:val="22"/>
          <w:szCs w:val="22"/>
          <w:lang w:val="en-US"/>
        </w:rPr>
      </w:pPr>
    </w:p>
    <w:p w14:paraId="34B9F59A" w14:textId="640A229F"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In cases of a </w:t>
      </w:r>
      <w:r w:rsidRPr="00D05450">
        <w:rPr>
          <w:rFonts w:ascii="Arial" w:hAnsi="Arial" w:cs="Arial"/>
          <w:b/>
          <w:sz w:val="22"/>
          <w:szCs w:val="22"/>
          <w:lang w:val="en-US"/>
        </w:rPr>
        <w:t xml:space="preserve">prolonged, </w:t>
      </w:r>
      <w:r w:rsidRPr="00D05450">
        <w:rPr>
          <w:rFonts w:ascii="Arial" w:hAnsi="Arial" w:cs="Arial"/>
          <w:bCs/>
          <w:sz w:val="22"/>
          <w:szCs w:val="22"/>
          <w:lang w:val="en-US"/>
        </w:rPr>
        <w:t>subclinical hypovolemia</w:t>
      </w:r>
      <w:r w:rsidRPr="00D05450">
        <w:rPr>
          <w:rFonts w:ascii="Arial" w:hAnsi="Arial" w:cs="Arial"/>
          <w:sz w:val="22"/>
          <w:szCs w:val="22"/>
          <w:lang w:val="en-US"/>
        </w:rPr>
        <w:t xml:space="preserve">, baroreflex- and/or CP-reflex unloading stimulates AVP secretion leading to the clinical picture of SIADH. There, discontinuation of diuretics and/or the </w:t>
      </w:r>
      <w:r w:rsidRPr="00D05450">
        <w:rPr>
          <w:rFonts w:ascii="Arial" w:hAnsi="Arial" w:cs="Arial"/>
          <w:bCs/>
          <w:sz w:val="22"/>
          <w:szCs w:val="22"/>
          <w:lang w:val="en-US"/>
        </w:rPr>
        <w:t>empirical infusion of 500 ml saline (0.9 %)</w:t>
      </w:r>
      <w:r w:rsidRPr="00D05450">
        <w:rPr>
          <w:rFonts w:ascii="Arial" w:hAnsi="Arial" w:cs="Arial"/>
          <w:sz w:val="22"/>
          <w:szCs w:val="22"/>
          <w:lang w:val="en-US"/>
        </w:rPr>
        <w:t xml:space="preserve"> as outlined above </w:t>
      </w:r>
      <w:r w:rsidR="00A445CC">
        <w:rPr>
          <w:rFonts w:ascii="Arial" w:hAnsi="Arial" w:cs="Arial"/>
          <w:sz w:val="22"/>
          <w:szCs w:val="22"/>
          <w:lang w:val="en-US"/>
        </w:rPr>
        <w:t>in</w:t>
      </w:r>
      <w:r w:rsidRPr="00D05450">
        <w:rPr>
          <w:rFonts w:ascii="Arial" w:hAnsi="Arial" w:cs="Arial"/>
          <w:sz w:val="22"/>
          <w:szCs w:val="22"/>
          <w:lang w:val="en-US"/>
        </w:rPr>
        <w:t xml:space="preserve"> step 2 may correct such a state of subclinical hypovolemia and lead to an improvement in hyponatremia driven by SIADH.</w:t>
      </w:r>
    </w:p>
    <w:p w14:paraId="2022008F" w14:textId="77777777" w:rsidR="0072648B" w:rsidRPr="00D05450" w:rsidRDefault="0072648B" w:rsidP="00341067">
      <w:pPr>
        <w:spacing w:line="276" w:lineRule="auto"/>
        <w:rPr>
          <w:rFonts w:ascii="Arial" w:hAnsi="Arial" w:cs="Arial"/>
          <w:sz w:val="22"/>
          <w:szCs w:val="22"/>
          <w:lang w:val="en-US"/>
        </w:rPr>
      </w:pPr>
    </w:p>
    <w:p w14:paraId="5D0FEB1D" w14:textId="537C2F36"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In assessing key laboratory results including plasma and urine sodium concentration and -osmolality, both the theoretical or calculated OSM should be compared to the actually measured OSM. That way, states of hyponatremia due to uremia or hyperglycemia can be ruled out. In such cases of hyponatremia, high plasma urea or high plasma glucose lead to a rise in OSM prompting a physiologic release of AVP, which, in turn, leads to a plasma-sodium dilution in order to maintain a normal OSM. </w:t>
      </w:r>
    </w:p>
    <w:p w14:paraId="5E2C0C79" w14:textId="77777777" w:rsidR="0072648B" w:rsidRPr="00D05450" w:rsidRDefault="0072648B" w:rsidP="00341067">
      <w:pPr>
        <w:spacing w:line="276" w:lineRule="auto"/>
        <w:rPr>
          <w:rFonts w:ascii="Arial" w:hAnsi="Arial" w:cs="Arial"/>
          <w:sz w:val="22"/>
          <w:szCs w:val="22"/>
          <w:lang w:val="en-US"/>
        </w:rPr>
      </w:pPr>
    </w:p>
    <w:p w14:paraId="46BB8D07" w14:textId="77777777"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Urine sodium within normal range rules out a dietary sodium deficiency or states of increased tubular sodium reabsorption such as in chronic heart failure or liver cirrhosis.</w:t>
      </w:r>
    </w:p>
    <w:p w14:paraId="241E290D" w14:textId="77777777" w:rsidR="000C2CA8" w:rsidRPr="00D05450" w:rsidRDefault="000C2CA8" w:rsidP="00341067">
      <w:pPr>
        <w:spacing w:line="276" w:lineRule="auto"/>
        <w:rPr>
          <w:rFonts w:ascii="Arial" w:hAnsi="Arial" w:cs="Arial"/>
          <w:sz w:val="22"/>
          <w:szCs w:val="22"/>
          <w:lang w:val="en-US"/>
        </w:rPr>
      </w:pPr>
    </w:p>
    <w:p w14:paraId="34199397" w14:textId="77777777"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After fulfilling the above-mentioned steps to diagnose SIADH, the following conditions should be separately considered as a possible differential diagnosis:</w:t>
      </w:r>
    </w:p>
    <w:p w14:paraId="3282D2AC" w14:textId="77777777" w:rsidR="000C2CA8" w:rsidRPr="00D05450" w:rsidRDefault="00D12970" w:rsidP="00341067">
      <w:pPr>
        <w:spacing w:line="276" w:lineRule="auto"/>
        <w:rPr>
          <w:rFonts w:ascii="Arial" w:eastAsia="Arial" w:hAnsi="Arial" w:cs="Arial"/>
          <w:sz w:val="22"/>
          <w:szCs w:val="22"/>
          <w:lang w:val="en-US"/>
        </w:rPr>
      </w:pPr>
      <w:r w:rsidRPr="00D05450">
        <w:rPr>
          <w:rFonts w:ascii="Arial" w:eastAsia="Arial" w:hAnsi="Arial" w:cs="Arial"/>
          <w:sz w:val="22"/>
          <w:szCs w:val="22"/>
          <w:lang w:val="en-US"/>
        </w:rPr>
        <w:t xml:space="preserve"> </w:t>
      </w:r>
    </w:p>
    <w:p w14:paraId="7967B009" w14:textId="3D5DE059" w:rsidR="0072648B" w:rsidRPr="00A445CC" w:rsidRDefault="00D12970" w:rsidP="00341067">
      <w:pPr>
        <w:spacing w:line="276" w:lineRule="auto"/>
        <w:rPr>
          <w:rFonts w:ascii="Arial" w:hAnsi="Arial" w:cs="Arial"/>
          <w:b/>
          <w:color w:val="0070C0"/>
          <w:sz w:val="22"/>
          <w:szCs w:val="22"/>
          <w:lang w:val="en-US"/>
        </w:rPr>
      </w:pPr>
      <w:r w:rsidRPr="00A445CC">
        <w:rPr>
          <w:rFonts w:ascii="Arial" w:hAnsi="Arial" w:cs="Arial"/>
          <w:b/>
          <w:color w:val="0070C0"/>
          <w:sz w:val="22"/>
          <w:szCs w:val="22"/>
          <w:lang w:val="en-US"/>
        </w:rPr>
        <w:t>D</w:t>
      </w:r>
      <w:r w:rsidR="0072648B" w:rsidRPr="00A445CC">
        <w:rPr>
          <w:rFonts w:ascii="Arial" w:hAnsi="Arial" w:cs="Arial"/>
          <w:b/>
          <w:color w:val="0070C0"/>
          <w:sz w:val="22"/>
          <w:szCs w:val="22"/>
          <w:lang w:val="en-US"/>
        </w:rPr>
        <w:t xml:space="preserve">IFFERENTIAL DIAGNOSIS OF HYPONATEMIA OTHER THAN SIADH </w:t>
      </w:r>
    </w:p>
    <w:p w14:paraId="55748096" w14:textId="77777777" w:rsidR="0072648B" w:rsidRPr="00D05450" w:rsidRDefault="0072648B" w:rsidP="00341067">
      <w:pPr>
        <w:spacing w:line="276" w:lineRule="auto"/>
        <w:rPr>
          <w:rFonts w:ascii="Arial" w:hAnsi="Arial" w:cs="Arial"/>
          <w:b/>
          <w:sz w:val="22"/>
          <w:szCs w:val="22"/>
          <w:lang w:val="en-US"/>
        </w:rPr>
      </w:pPr>
    </w:p>
    <w:p w14:paraId="17A28CBE" w14:textId="5D4B7753" w:rsidR="000C2CA8" w:rsidRPr="00D05450" w:rsidRDefault="00D12970" w:rsidP="0072648B">
      <w:pPr>
        <w:numPr>
          <w:ilvl w:val="0"/>
          <w:numId w:val="3"/>
        </w:numPr>
        <w:spacing w:line="276" w:lineRule="auto"/>
        <w:ind w:left="360"/>
        <w:rPr>
          <w:rFonts w:ascii="Arial" w:hAnsi="Arial" w:cs="Arial"/>
          <w:sz w:val="22"/>
          <w:szCs w:val="22"/>
          <w:lang w:val="en-US"/>
        </w:rPr>
      </w:pPr>
      <w:r w:rsidRPr="00D05450">
        <w:rPr>
          <w:rFonts w:ascii="Arial" w:hAnsi="Arial" w:cs="Arial"/>
          <w:b/>
          <w:bCs/>
          <w:sz w:val="22"/>
          <w:szCs w:val="22"/>
          <w:lang w:val="en-US"/>
        </w:rPr>
        <w:t>Sodium chloride depletion, low dietary sodium intake</w:t>
      </w:r>
      <w:r w:rsidRPr="00D05450">
        <w:rPr>
          <w:rFonts w:ascii="Arial" w:hAnsi="Arial" w:cs="Arial"/>
          <w:sz w:val="22"/>
          <w:szCs w:val="22"/>
          <w:lang w:val="en-US"/>
        </w:rPr>
        <w:t xml:space="preserve"> regularly is accompanied by hypovolemia, low urine sodium, elevated serum uric</w:t>
      </w:r>
      <w:r w:rsidR="00F76827" w:rsidRPr="00D05450">
        <w:rPr>
          <w:rFonts w:ascii="Arial" w:hAnsi="Arial" w:cs="Arial"/>
          <w:sz w:val="22"/>
          <w:szCs w:val="22"/>
          <w:lang w:val="en-US"/>
        </w:rPr>
        <w:t xml:space="preserve"> </w:t>
      </w:r>
      <w:r w:rsidRPr="00D05450">
        <w:rPr>
          <w:rFonts w:ascii="Arial" w:hAnsi="Arial" w:cs="Arial"/>
          <w:sz w:val="22"/>
          <w:szCs w:val="22"/>
          <w:lang w:val="en-US"/>
        </w:rPr>
        <w:t>acid and serum urea.</w:t>
      </w:r>
    </w:p>
    <w:p w14:paraId="51FE2186" w14:textId="77777777" w:rsidR="000C2CA8" w:rsidRPr="00D05450" w:rsidRDefault="000C2CA8" w:rsidP="0072648B">
      <w:pPr>
        <w:spacing w:line="276" w:lineRule="auto"/>
        <w:ind w:left="360" w:hanging="360"/>
        <w:rPr>
          <w:rFonts w:ascii="Arial" w:hAnsi="Arial" w:cs="Arial"/>
          <w:sz w:val="22"/>
          <w:szCs w:val="22"/>
          <w:lang w:val="en-US"/>
        </w:rPr>
      </w:pPr>
    </w:p>
    <w:p w14:paraId="1D58FCFB" w14:textId="77777777" w:rsidR="000C2CA8" w:rsidRPr="00D05450" w:rsidRDefault="00D12970" w:rsidP="0072648B">
      <w:pPr>
        <w:numPr>
          <w:ilvl w:val="0"/>
          <w:numId w:val="3"/>
        </w:numPr>
        <w:spacing w:line="276" w:lineRule="auto"/>
        <w:ind w:left="360"/>
        <w:rPr>
          <w:rFonts w:ascii="Arial" w:hAnsi="Arial" w:cs="Arial"/>
          <w:sz w:val="22"/>
          <w:szCs w:val="22"/>
          <w:lang w:val="en-US"/>
        </w:rPr>
      </w:pPr>
      <w:r w:rsidRPr="00D05450">
        <w:rPr>
          <w:rFonts w:ascii="Arial" w:hAnsi="Arial" w:cs="Arial"/>
          <w:b/>
          <w:bCs/>
          <w:sz w:val="22"/>
          <w:szCs w:val="22"/>
          <w:lang w:val="en-US"/>
        </w:rPr>
        <w:t>Anterior-lobe pituitary gland insufficiency</w:t>
      </w:r>
      <w:r w:rsidRPr="00D05450">
        <w:rPr>
          <w:rFonts w:ascii="Arial" w:hAnsi="Arial" w:cs="Arial"/>
          <w:sz w:val="22"/>
          <w:szCs w:val="22"/>
          <w:lang w:val="en-US"/>
        </w:rPr>
        <w:t xml:space="preserve"> often is accompanied with signs and symptoms, and respective laboratory findings indicating hormone deficiencies such as hypothyroidism, hypocortisolism or hypogonadism. In addition, bitemporal hemianopsia and hyperprolactinemia are found in cases of anterior-lobe pituitary tumors as a cause of anterior-lobe pituitary gland insufficiency.</w:t>
      </w:r>
    </w:p>
    <w:p w14:paraId="79EDE0DA" w14:textId="77777777" w:rsidR="000C2CA8" w:rsidRPr="00D05450" w:rsidRDefault="000C2CA8" w:rsidP="0072648B">
      <w:pPr>
        <w:spacing w:line="276" w:lineRule="auto"/>
        <w:ind w:left="360" w:hanging="360"/>
        <w:rPr>
          <w:rFonts w:ascii="Arial" w:hAnsi="Arial" w:cs="Arial"/>
          <w:sz w:val="22"/>
          <w:szCs w:val="22"/>
          <w:lang w:val="en-US"/>
        </w:rPr>
      </w:pPr>
    </w:p>
    <w:p w14:paraId="35D809D3" w14:textId="77777777" w:rsidR="000C2CA8" w:rsidRPr="00D05450" w:rsidRDefault="00D12970" w:rsidP="0072648B">
      <w:pPr>
        <w:numPr>
          <w:ilvl w:val="0"/>
          <w:numId w:val="3"/>
        </w:numPr>
        <w:spacing w:line="276" w:lineRule="auto"/>
        <w:ind w:left="360"/>
        <w:rPr>
          <w:rFonts w:ascii="Arial" w:hAnsi="Arial" w:cs="Arial"/>
          <w:sz w:val="22"/>
          <w:szCs w:val="22"/>
          <w:lang w:val="en-US"/>
        </w:rPr>
      </w:pPr>
      <w:r w:rsidRPr="00D05450">
        <w:rPr>
          <w:rFonts w:ascii="Arial" w:hAnsi="Arial" w:cs="Arial"/>
          <w:b/>
          <w:bCs/>
          <w:sz w:val="22"/>
          <w:szCs w:val="22"/>
          <w:lang w:val="en-US"/>
        </w:rPr>
        <w:t>Adrenal-gland insufficiency</w:t>
      </w:r>
      <w:r w:rsidRPr="00D05450">
        <w:rPr>
          <w:rFonts w:ascii="Arial" w:hAnsi="Arial" w:cs="Arial"/>
          <w:sz w:val="22"/>
          <w:szCs w:val="22"/>
          <w:lang w:val="en-US"/>
        </w:rPr>
        <w:t xml:space="preserve"> including iatrogenic mineralocorticoid-receptor antagonism (spironolactone/eplerenone) regularly is accompanied by hyperkalemia and hypovolemia. </w:t>
      </w:r>
    </w:p>
    <w:p w14:paraId="3BFDBC98" w14:textId="77777777" w:rsidR="000C2CA8" w:rsidRPr="00D05450" w:rsidRDefault="000C2CA8" w:rsidP="0072648B">
      <w:pPr>
        <w:spacing w:line="276" w:lineRule="auto"/>
        <w:ind w:left="360" w:hanging="360"/>
        <w:rPr>
          <w:rFonts w:ascii="Arial" w:hAnsi="Arial" w:cs="Arial"/>
          <w:sz w:val="22"/>
          <w:szCs w:val="22"/>
          <w:lang w:val="en-US"/>
        </w:rPr>
      </w:pPr>
    </w:p>
    <w:p w14:paraId="1038DE00" w14:textId="77777777" w:rsidR="000C2CA8" w:rsidRPr="00D05450" w:rsidRDefault="00D12970" w:rsidP="0072648B">
      <w:pPr>
        <w:numPr>
          <w:ilvl w:val="0"/>
          <w:numId w:val="3"/>
        </w:numPr>
        <w:spacing w:line="276" w:lineRule="auto"/>
        <w:ind w:left="360"/>
        <w:rPr>
          <w:rFonts w:ascii="Arial" w:hAnsi="Arial" w:cs="Arial"/>
          <w:sz w:val="22"/>
          <w:szCs w:val="22"/>
          <w:lang w:val="en-US"/>
        </w:rPr>
      </w:pPr>
      <w:r w:rsidRPr="00D05450">
        <w:rPr>
          <w:rFonts w:ascii="Arial" w:hAnsi="Arial" w:cs="Arial"/>
          <w:b/>
          <w:bCs/>
          <w:sz w:val="22"/>
          <w:szCs w:val="22"/>
          <w:lang w:val="en-US"/>
        </w:rPr>
        <w:t>Thiazide diuretics</w:t>
      </w:r>
      <w:r w:rsidRPr="00D05450">
        <w:rPr>
          <w:rFonts w:ascii="Arial" w:hAnsi="Arial" w:cs="Arial"/>
          <w:sz w:val="22"/>
          <w:szCs w:val="22"/>
          <w:lang w:val="en-US"/>
        </w:rPr>
        <w:t xml:space="preserve"> can induce hyponatremia by an AVP-dependent mechanism and by a thiazide-induced increase of water permeability in the medullary collecting duct. </w:t>
      </w:r>
    </w:p>
    <w:p w14:paraId="70A9641D" w14:textId="77777777" w:rsidR="000C2CA8" w:rsidRPr="00D05450" w:rsidRDefault="000C2CA8" w:rsidP="0072648B">
      <w:pPr>
        <w:spacing w:line="276" w:lineRule="auto"/>
        <w:ind w:left="360" w:hanging="360"/>
        <w:rPr>
          <w:rFonts w:ascii="Arial" w:hAnsi="Arial" w:cs="Arial"/>
          <w:sz w:val="22"/>
          <w:szCs w:val="22"/>
          <w:lang w:val="en-US"/>
        </w:rPr>
      </w:pPr>
    </w:p>
    <w:p w14:paraId="2D729CA1" w14:textId="77777777" w:rsidR="000C2CA8" w:rsidRPr="00D05450" w:rsidRDefault="00D12970" w:rsidP="0072648B">
      <w:pPr>
        <w:numPr>
          <w:ilvl w:val="0"/>
          <w:numId w:val="3"/>
        </w:numPr>
        <w:spacing w:line="276" w:lineRule="auto"/>
        <w:ind w:left="360"/>
        <w:rPr>
          <w:rFonts w:ascii="Arial" w:hAnsi="Arial" w:cs="Arial"/>
          <w:sz w:val="22"/>
          <w:szCs w:val="22"/>
          <w:lang w:val="en-US"/>
        </w:rPr>
      </w:pPr>
      <w:r w:rsidRPr="00D05450">
        <w:rPr>
          <w:rFonts w:ascii="Arial" w:hAnsi="Arial" w:cs="Arial"/>
          <w:sz w:val="22"/>
          <w:szCs w:val="22"/>
          <w:lang w:val="en-US"/>
        </w:rPr>
        <w:t>Severe</w:t>
      </w:r>
      <w:r w:rsidRPr="00D05450">
        <w:rPr>
          <w:rFonts w:ascii="Arial" w:hAnsi="Arial" w:cs="Arial"/>
          <w:b/>
          <w:bCs/>
          <w:sz w:val="22"/>
          <w:szCs w:val="22"/>
          <w:lang w:val="en-US"/>
        </w:rPr>
        <w:t xml:space="preserve"> hypothyroidism</w:t>
      </w:r>
      <w:r w:rsidRPr="00D05450">
        <w:rPr>
          <w:rFonts w:ascii="Arial" w:hAnsi="Arial" w:cs="Arial"/>
          <w:sz w:val="22"/>
          <w:szCs w:val="22"/>
          <w:lang w:val="en-US"/>
        </w:rPr>
        <w:t xml:space="preserve"> regularly is accompanied by dilutional hyponatremia due to a reduced free-water clearance.</w:t>
      </w:r>
    </w:p>
    <w:p w14:paraId="20EF9C24" w14:textId="77777777" w:rsidR="000C2CA8" w:rsidRPr="00D05450" w:rsidRDefault="000C2CA8" w:rsidP="0072648B">
      <w:pPr>
        <w:spacing w:line="276" w:lineRule="auto"/>
        <w:ind w:left="360" w:hanging="360"/>
        <w:rPr>
          <w:rFonts w:ascii="Arial" w:hAnsi="Arial" w:cs="Arial"/>
          <w:sz w:val="22"/>
          <w:szCs w:val="22"/>
          <w:lang w:val="en-US"/>
        </w:rPr>
      </w:pPr>
    </w:p>
    <w:p w14:paraId="2345C7C7" w14:textId="404FCB74" w:rsidR="000C2CA8" w:rsidRPr="00D05450" w:rsidRDefault="00D12970" w:rsidP="0072648B">
      <w:pPr>
        <w:numPr>
          <w:ilvl w:val="0"/>
          <w:numId w:val="3"/>
        </w:numPr>
        <w:spacing w:line="276" w:lineRule="auto"/>
        <w:ind w:left="360"/>
        <w:rPr>
          <w:rFonts w:ascii="Arial" w:hAnsi="Arial" w:cs="Arial"/>
          <w:sz w:val="22"/>
          <w:szCs w:val="22"/>
          <w:lang w:val="en-US"/>
        </w:rPr>
      </w:pPr>
      <w:r w:rsidRPr="00D05450">
        <w:rPr>
          <w:rFonts w:ascii="Arial" w:hAnsi="Arial" w:cs="Arial"/>
          <w:b/>
          <w:sz w:val="22"/>
          <w:szCs w:val="22"/>
          <w:lang w:val="en-US"/>
        </w:rPr>
        <w:t>Chronic kidney disease</w:t>
      </w:r>
      <w:r w:rsidRPr="00D05450">
        <w:rPr>
          <w:rFonts w:ascii="Arial" w:hAnsi="Arial" w:cs="Arial"/>
          <w:sz w:val="22"/>
          <w:szCs w:val="22"/>
          <w:lang w:val="en-US"/>
        </w:rPr>
        <w:t>: In salt losing nephropathy, a condition that occurs in advanced kidney failure with a GFR below 15 ml/min, hyponatremia is paralleled by hypovolemia. This is a feature classically seen in interstitial kidney disease. On the other hand, many patients with near end-stage renal failure show increased Na excretion to balance body sodium content, but, due to (continuous) reduction in urine production, a diluted urine cannot be achieved, leading to hyponatremia.</w:t>
      </w:r>
    </w:p>
    <w:p w14:paraId="470DE7B2" w14:textId="77777777" w:rsidR="000C2CA8" w:rsidRPr="00D05450" w:rsidRDefault="000C2CA8" w:rsidP="0072648B">
      <w:pPr>
        <w:spacing w:line="276" w:lineRule="auto"/>
        <w:ind w:left="360" w:hanging="360"/>
        <w:rPr>
          <w:rFonts w:ascii="Arial" w:hAnsi="Arial" w:cs="Arial"/>
          <w:sz w:val="22"/>
          <w:szCs w:val="22"/>
          <w:lang w:val="en-US"/>
        </w:rPr>
      </w:pPr>
    </w:p>
    <w:p w14:paraId="7B7E7FA9" w14:textId="77777777" w:rsidR="000C2CA8" w:rsidRPr="00D05450" w:rsidRDefault="00D12970" w:rsidP="0072648B">
      <w:pPr>
        <w:numPr>
          <w:ilvl w:val="0"/>
          <w:numId w:val="3"/>
        </w:numPr>
        <w:spacing w:line="276" w:lineRule="auto"/>
        <w:ind w:left="360"/>
        <w:rPr>
          <w:rFonts w:ascii="Arial" w:hAnsi="Arial" w:cs="Arial"/>
          <w:sz w:val="22"/>
          <w:szCs w:val="22"/>
          <w:lang w:val="en-US"/>
        </w:rPr>
      </w:pPr>
      <w:r w:rsidRPr="00D05450">
        <w:rPr>
          <w:rFonts w:ascii="Arial" w:hAnsi="Arial" w:cs="Arial"/>
          <w:b/>
          <w:bCs/>
          <w:sz w:val="22"/>
          <w:szCs w:val="22"/>
          <w:lang w:val="en-US"/>
        </w:rPr>
        <w:t xml:space="preserve">Acute kidney (transplant) failure </w:t>
      </w:r>
      <w:r w:rsidRPr="00D05450">
        <w:rPr>
          <w:rFonts w:ascii="Arial" w:hAnsi="Arial" w:cs="Arial"/>
          <w:sz w:val="22"/>
          <w:szCs w:val="22"/>
          <w:lang w:val="en-US"/>
        </w:rPr>
        <w:t>without signs of uremia, a water-excretion dysfunction may lead to dilutional hyponatremia.</w:t>
      </w:r>
    </w:p>
    <w:p w14:paraId="3EF47B18" w14:textId="77777777" w:rsidR="000C2CA8" w:rsidRPr="00D05450" w:rsidRDefault="000C2CA8" w:rsidP="0072648B">
      <w:pPr>
        <w:spacing w:line="276" w:lineRule="auto"/>
        <w:ind w:left="360" w:hanging="360"/>
        <w:rPr>
          <w:rFonts w:ascii="Arial" w:hAnsi="Arial" w:cs="Arial"/>
          <w:sz w:val="22"/>
          <w:szCs w:val="22"/>
          <w:lang w:val="en-US"/>
        </w:rPr>
      </w:pPr>
    </w:p>
    <w:p w14:paraId="44231592" w14:textId="77777777" w:rsidR="000C2CA8" w:rsidRPr="00D05450" w:rsidRDefault="00D12970" w:rsidP="0072648B">
      <w:pPr>
        <w:numPr>
          <w:ilvl w:val="0"/>
          <w:numId w:val="3"/>
        </w:numPr>
        <w:spacing w:line="276" w:lineRule="auto"/>
        <w:ind w:left="360"/>
        <w:rPr>
          <w:rFonts w:ascii="Arial" w:hAnsi="Arial" w:cs="Arial"/>
          <w:sz w:val="22"/>
          <w:szCs w:val="22"/>
          <w:lang w:val="en-US"/>
        </w:rPr>
      </w:pPr>
      <w:r w:rsidRPr="00D05450">
        <w:rPr>
          <w:rFonts w:ascii="Arial" w:hAnsi="Arial" w:cs="Arial"/>
          <w:b/>
          <w:bCs/>
          <w:sz w:val="22"/>
          <w:szCs w:val="22"/>
          <w:lang w:val="en-US"/>
        </w:rPr>
        <w:t>Hyperglycemia</w:t>
      </w:r>
      <w:r w:rsidRPr="00D05450">
        <w:rPr>
          <w:rFonts w:ascii="Arial" w:hAnsi="Arial" w:cs="Arial"/>
          <w:sz w:val="22"/>
          <w:szCs w:val="22"/>
          <w:lang w:val="en-US"/>
        </w:rPr>
        <w:t xml:space="preserve"> or poor diabetes mellitus control may lead to a so-called translational hyponatremia due to intra- to extracellular water shift and consequent plasma sodium dilution (see above).</w:t>
      </w:r>
    </w:p>
    <w:p w14:paraId="10FF5151" w14:textId="77777777" w:rsidR="000C2CA8" w:rsidRPr="00D05450" w:rsidRDefault="000C2CA8" w:rsidP="0072648B">
      <w:pPr>
        <w:spacing w:line="276" w:lineRule="auto"/>
        <w:ind w:left="360" w:hanging="360"/>
        <w:rPr>
          <w:rFonts w:ascii="Arial" w:hAnsi="Arial" w:cs="Arial"/>
          <w:sz w:val="22"/>
          <w:szCs w:val="22"/>
          <w:lang w:val="en-US"/>
        </w:rPr>
      </w:pPr>
    </w:p>
    <w:p w14:paraId="2DDF4AA6" w14:textId="77777777" w:rsidR="000C2CA8" w:rsidRPr="00D05450" w:rsidRDefault="00D12970" w:rsidP="0072648B">
      <w:pPr>
        <w:numPr>
          <w:ilvl w:val="0"/>
          <w:numId w:val="3"/>
        </w:numPr>
        <w:spacing w:line="276" w:lineRule="auto"/>
        <w:ind w:left="360"/>
        <w:rPr>
          <w:rFonts w:ascii="Arial" w:hAnsi="Arial" w:cs="Arial"/>
          <w:sz w:val="22"/>
          <w:szCs w:val="22"/>
          <w:lang w:val="en-US"/>
        </w:rPr>
      </w:pPr>
      <w:r w:rsidRPr="00D05450">
        <w:rPr>
          <w:rFonts w:ascii="Arial" w:hAnsi="Arial" w:cs="Arial"/>
          <w:b/>
          <w:bCs/>
          <w:sz w:val="22"/>
          <w:szCs w:val="22"/>
          <w:lang w:val="en-US"/>
        </w:rPr>
        <w:t>Cerebral salt wasting</w:t>
      </w:r>
      <w:r w:rsidRPr="00D05450">
        <w:rPr>
          <w:rFonts w:ascii="Arial" w:hAnsi="Arial" w:cs="Arial"/>
          <w:sz w:val="22"/>
          <w:szCs w:val="22"/>
          <w:lang w:val="en-US"/>
        </w:rPr>
        <w:t xml:space="preserve"> is an important differential diagnosis to SIADH occurring in cases of aneurysmal subarachnoidal hemorrhage and in other intracranial pathologies. Cerebral salt wasting still is not completely characterized and most likely involves a putative central nervous system-derived factor and/or a sudden decrease of renal sympathetic nerve activity favoring a urinary loss of sodium chloride. Cerebral-salt wasting - associated urinary sodium-chloride loss improves after successful neurosurgical care of the initial intracranial disease condition and may require temporary high amounts of sodium chloride replacement.</w:t>
      </w:r>
    </w:p>
    <w:p w14:paraId="6A3F7AF3" w14:textId="77777777" w:rsidR="000C2CA8" w:rsidRPr="00D05450" w:rsidRDefault="000C2CA8" w:rsidP="0072648B">
      <w:pPr>
        <w:spacing w:line="276" w:lineRule="auto"/>
        <w:ind w:left="360" w:hanging="360"/>
        <w:rPr>
          <w:rFonts w:ascii="Arial" w:hAnsi="Arial" w:cs="Arial"/>
          <w:b/>
          <w:bCs/>
          <w:sz w:val="22"/>
          <w:szCs w:val="22"/>
          <w:lang w:val="en-US"/>
        </w:rPr>
      </w:pPr>
    </w:p>
    <w:p w14:paraId="205CA268" w14:textId="3E940567" w:rsidR="000C2CA8" w:rsidRPr="00D05450" w:rsidRDefault="00D12970" w:rsidP="0072648B">
      <w:pPr>
        <w:numPr>
          <w:ilvl w:val="0"/>
          <w:numId w:val="3"/>
        </w:numPr>
        <w:spacing w:line="276" w:lineRule="auto"/>
        <w:ind w:left="360"/>
        <w:rPr>
          <w:rFonts w:ascii="Arial" w:hAnsi="Arial" w:cs="Arial"/>
          <w:sz w:val="22"/>
          <w:szCs w:val="22"/>
          <w:lang w:val="en-US"/>
        </w:rPr>
      </w:pPr>
      <w:r w:rsidRPr="00D05450">
        <w:rPr>
          <w:rFonts w:ascii="Arial" w:hAnsi="Arial" w:cs="Arial"/>
          <w:b/>
          <w:bCs/>
          <w:sz w:val="22"/>
          <w:szCs w:val="22"/>
          <w:lang w:val="en-US"/>
        </w:rPr>
        <w:t>Overdose of antidiuretic-hormone analogs</w:t>
      </w:r>
      <w:r w:rsidRPr="00D05450">
        <w:rPr>
          <w:rFonts w:ascii="Arial" w:hAnsi="Arial" w:cs="Arial"/>
          <w:sz w:val="22"/>
          <w:szCs w:val="22"/>
          <w:lang w:val="en-US"/>
        </w:rPr>
        <w:t xml:space="preserve"> in cases of known central diabetes insipidus. If the primary physician is unaware of the underlying medical condition, SIADH may be suspected based </w:t>
      </w:r>
      <w:r w:rsidR="00A445CC">
        <w:rPr>
          <w:rFonts w:ascii="Arial" w:hAnsi="Arial" w:cs="Arial"/>
          <w:sz w:val="22"/>
          <w:szCs w:val="22"/>
          <w:lang w:val="en-US"/>
        </w:rPr>
        <w:t>o</w:t>
      </w:r>
      <w:r w:rsidRPr="00D05450">
        <w:rPr>
          <w:rFonts w:ascii="Arial" w:hAnsi="Arial" w:cs="Arial"/>
          <w:sz w:val="22"/>
          <w:szCs w:val="22"/>
          <w:lang w:val="en-US"/>
        </w:rPr>
        <w:t xml:space="preserve">n laboratory results </w:t>
      </w:r>
      <w:r w:rsidR="00A445CC">
        <w:rPr>
          <w:rFonts w:ascii="Arial" w:hAnsi="Arial" w:cs="Arial"/>
          <w:sz w:val="22"/>
          <w:szCs w:val="22"/>
          <w:lang w:val="en-US"/>
        </w:rPr>
        <w:t>described</w:t>
      </w:r>
      <w:r w:rsidRPr="00D05450">
        <w:rPr>
          <w:rFonts w:ascii="Arial" w:hAnsi="Arial" w:cs="Arial"/>
          <w:sz w:val="22"/>
          <w:szCs w:val="22"/>
          <w:lang w:val="en-US"/>
        </w:rPr>
        <w:t xml:space="preserve"> above. Patient history including </w:t>
      </w:r>
      <w:r w:rsidR="00A445CC">
        <w:rPr>
          <w:rFonts w:ascii="Arial" w:hAnsi="Arial" w:cs="Arial"/>
          <w:sz w:val="22"/>
          <w:szCs w:val="22"/>
          <w:lang w:val="en-US"/>
        </w:rPr>
        <w:t xml:space="preserve">the </w:t>
      </w:r>
      <w:r w:rsidRPr="00D05450">
        <w:rPr>
          <w:rFonts w:ascii="Arial" w:hAnsi="Arial" w:cs="Arial"/>
          <w:sz w:val="22"/>
          <w:szCs w:val="22"/>
          <w:lang w:val="en-US"/>
        </w:rPr>
        <w:t>medication list clarifies th</w:t>
      </w:r>
      <w:r w:rsidR="00A445CC">
        <w:rPr>
          <w:rFonts w:ascii="Arial" w:hAnsi="Arial" w:cs="Arial"/>
          <w:sz w:val="22"/>
          <w:szCs w:val="22"/>
          <w:lang w:val="en-US"/>
        </w:rPr>
        <w:t>e diagnosis</w:t>
      </w:r>
      <w:r w:rsidRPr="00D05450">
        <w:rPr>
          <w:rFonts w:ascii="Arial" w:hAnsi="Arial" w:cs="Arial"/>
          <w:sz w:val="22"/>
          <w:szCs w:val="22"/>
          <w:lang w:val="en-US"/>
        </w:rPr>
        <w:t>.</w:t>
      </w:r>
    </w:p>
    <w:p w14:paraId="1CCF395D" w14:textId="77777777" w:rsidR="000C2CA8" w:rsidRPr="00D05450" w:rsidRDefault="000C2CA8" w:rsidP="0072648B">
      <w:pPr>
        <w:spacing w:line="276" w:lineRule="auto"/>
        <w:ind w:left="360" w:hanging="360"/>
        <w:rPr>
          <w:rFonts w:ascii="Arial" w:hAnsi="Arial" w:cs="Arial"/>
          <w:sz w:val="22"/>
          <w:szCs w:val="22"/>
          <w:lang w:val="en-US"/>
        </w:rPr>
      </w:pPr>
    </w:p>
    <w:p w14:paraId="2E1AE7B5" w14:textId="5FC235DB" w:rsidR="000C2CA8" w:rsidRPr="00EC48A6" w:rsidRDefault="00D12970" w:rsidP="00341067">
      <w:pPr>
        <w:spacing w:line="276" w:lineRule="auto"/>
        <w:rPr>
          <w:rFonts w:ascii="Arial" w:hAnsi="Arial" w:cs="Arial"/>
          <w:b/>
          <w:color w:val="0070C0"/>
          <w:sz w:val="22"/>
          <w:szCs w:val="22"/>
          <w:lang w:val="en-US"/>
        </w:rPr>
      </w:pPr>
      <w:r w:rsidRPr="00EC48A6">
        <w:rPr>
          <w:rFonts w:ascii="Arial" w:hAnsi="Arial" w:cs="Arial"/>
          <w:b/>
          <w:color w:val="0070C0"/>
          <w:sz w:val="22"/>
          <w:szCs w:val="22"/>
          <w:lang w:val="en-US"/>
        </w:rPr>
        <w:t>T</w:t>
      </w:r>
      <w:r w:rsidR="0072648B" w:rsidRPr="00EC48A6">
        <w:rPr>
          <w:rFonts w:ascii="Arial" w:hAnsi="Arial" w:cs="Arial"/>
          <w:b/>
          <w:color w:val="0070C0"/>
          <w:sz w:val="22"/>
          <w:szCs w:val="22"/>
          <w:lang w:val="en-US"/>
        </w:rPr>
        <w:t xml:space="preserve">HERAPY OF SIADH </w:t>
      </w:r>
    </w:p>
    <w:p w14:paraId="5937D36F" w14:textId="77777777"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lastRenderedPageBreak/>
        <w:t xml:space="preserve">If left untreated, SIADH may lead to a severe, life-threatening hyponatremia with or without clinically apparent overhydration. Acute complications of SIADH include cerebral edema and epileptic convulsions. SIADH therapy clearly depends on the specific etiology and the severity of symptoms. </w:t>
      </w:r>
    </w:p>
    <w:p w14:paraId="4DB72A81" w14:textId="77777777" w:rsidR="000C2CA8" w:rsidRPr="00D05450" w:rsidRDefault="000C2CA8" w:rsidP="00341067">
      <w:pPr>
        <w:spacing w:line="276" w:lineRule="auto"/>
        <w:rPr>
          <w:rFonts w:ascii="Arial" w:hAnsi="Arial" w:cs="Arial"/>
          <w:sz w:val="22"/>
          <w:szCs w:val="22"/>
          <w:lang w:val="en-US"/>
        </w:rPr>
      </w:pPr>
    </w:p>
    <w:p w14:paraId="06E68742" w14:textId="7D49B079"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Once therapy is initiated, repeat measurements of plasma sodium are mandatory to gauge the therapeutic </w:t>
      </w:r>
      <w:r w:rsidR="00A445CC">
        <w:rPr>
          <w:rFonts w:ascii="Arial" w:hAnsi="Arial" w:cs="Arial"/>
          <w:sz w:val="22"/>
          <w:szCs w:val="22"/>
          <w:lang w:val="en-US"/>
        </w:rPr>
        <w:t>response</w:t>
      </w:r>
      <w:r w:rsidRPr="00D05450">
        <w:rPr>
          <w:rFonts w:ascii="Arial" w:hAnsi="Arial" w:cs="Arial"/>
          <w:sz w:val="22"/>
          <w:szCs w:val="22"/>
          <w:lang w:val="en-US"/>
        </w:rPr>
        <w:t xml:space="preserve">, and, most importantly, to ascertain a slow plasma-sodium normalization with a recommended maximum rate of 0.5 mmol/l/h plasma-sodium increase. Again, the delivery of higher concentrated sodium chloride solution is allowed strictly for symptomatic patients. A significant proportion of in-hospital mortality relating to hyponatremia likely is due to a too rapid sodium normalization in long-standing hyponatremia. The consequence of too rapid sodium normalization is the osmotic demyelination syndrome due to a rapid intra- to-extracellular water transfer and subsequent brain swelling that exceeds the percentage of cerebrospinal fluid volume capacity (usually around 8% but higher in elderly with a hydrocephalus ex vacuo). </w:t>
      </w:r>
    </w:p>
    <w:p w14:paraId="6B93A5C8" w14:textId="77777777" w:rsidR="0072648B" w:rsidRPr="00D05450" w:rsidRDefault="0072648B" w:rsidP="00341067">
      <w:pPr>
        <w:spacing w:line="276" w:lineRule="auto"/>
        <w:rPr>
          <w:rFonts w:ascii="Arial" w:hAnsi="Arial" w:cs="Arial"/>
          <w:sz w:val="22"/>
          <w:szCs w:val="22"/>
          <w:lang w:val="en-US"/>
        </w:rPr>
      </w:pPr>
    </w:p>
    <w:p w14:paraId="54DFB422" w14:textId="77777777"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Besides the therapeutic goal to avoid rapid changes in plasma osmolality, the underlying reason of hyponatremia in SIADH, excess total body water, should be addressed by balanced fluid-intake reduction. All therapeutic interventions discussed here target the consequences of exaggerated AVP secretion rather than sodium-chloride supplementation. </w:t>
      </w:r>
    </w:p>
    <w:p w14:paraId="250E6F4B" w14:textId="77777777" w:rsidR="000C2CA8" w:rsidRPr="00D05450" w:rsidRDefault="000C2CA8" w:rsidP="00341067">
      <w:pPr>
        <w:spacing w:line="276" w:lineRule="auto"/>
        <w:rPr>
          <w:rFonts w:ascii="Arial" w:hAnsi="Arial" w:cs="Arial"/>
          <w:sz w:val="22"/>
          <w:szCs w:val="22"/>
          <w:lang w:val="en-US"/>
        </w:rPr>
      </w:pPr>
    </w:p>
    <w:p w14:paraId="35D05C26" w14:textId="44A7B9B1"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In primary SIADH, plasma-sodium dilution can be addressed by an ongoing fluid-intake restriction of 500-800 ml/d</w:t>
      </w:r>
      <w:r w:rsidR="00CA7713">
        <w:rPr>
          <w:rFonts w:ascii="Arial" w:hAnsi="Arial" w:cs="Arial"/>
          <w:sz w:val="22"/>
          <w:szCs w:val="22"/>
          <w:lang w:val="en-US"/>
        </w:rPr>
        <w:t>ay</w:t>
      </w:r>
      <w:r w:rsidRPr="00D05450">
        <w:rPr>
          <w:rFonts w:ascii="Arial" w:hAnsi="Arial" w:cs="Arial"/>
          <w:sz w:val="22"/>
          <w:szCs w:val="22"/>
          <w:lang w:val="en-US"/>
        </w:rPr>
        <w:t xml:space="preserve"> which many patients do not tolerate well. </w:t>
      </w:r>
    </w:p>
    <w:p w14:paraId="689D4530" w14:textId="77777777" w:rsidR="0072648B" w:rsidRPr="00D05450" w:rsidRDefault="0072648B" w:rsidP="00341067">
      <w:pPr>
        <w:spacing w:line="276" w:lineRule="auto"/>
        <w:rPr>
          <w:rFonts w:ascii="Arial" w:hAnsi="Arial" w:cs="Arial"/>
          <w:sz w:val="22"/>
          <w:szCs w:val="22"/>
          <w:lang w:val="en-US"/>
        </w:rPr>
      </w:pPr>
    </w:p>
    <w:p w14:paraId="156BF7B9" w14:textId="77777777"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However, subclinical hypovolemia and ensuing baroreflex and CP reflex suppression leading to AVP stimulation should be kept in mind. Addressing arterial hypotension and/or central-venous hypotension is effective in lowering AVP in plasma. At the same time, fluid-intake restriction may appear contradictory. Even though fluid-intake restriction appears to be a proven measure in terms of attenuation of AVP consequences, it is the clinician`s judgement to test both interventions and compare the best results in terms of a slow plasma</w:t>
      </w:r>
      <w:r w:rsidRPr="00D05450">
        <w:rPr>
          <w:rFonts w:ascii="Arial" w:hAnsi="Arial" w:cs="Arial"/>
          <w:color w:val="FF0000"/>
          <w:sz w:val="22"/>
          <w:szCs w:val="22"/>
          <w:lang w:val="en-US"/>
        </w:rPr>
        <w:t>-</w:t>
      </w:r>
      <w:r w:rsidRPr="00D05450">
        <w:rPr>
          <w:rFonts w:ascii="Arial" w:hAnsi="Arial" w:cs="Arial"/>
          <w:sz w:val="22"/>
          <w:szCs w:val="22"/>
          <w:lang w:val="en-US"/>
        </w:rPr>
        <w:t xml:space="preserve">sodium increase. </w:t>
      </w:r>
    </w:p>
    <w:p w14:paraId="6A0B267B" w14:textId="77777777" w:rsidR="000C2CA8" w:rsidRPr="00D05450" w:rsidRDefault="000C2CA8" w:rsidP="00341067">
      <w:pPr>
        <w:spacing w:line="276" w:lineRule="auto"/>
        <w:rPr>
          <w:rFonts w:ascii="Arial" w:hAnsi="Arial" w:cs="Arial"/>
          <w:b/>
          <w:bCs/>
          <w:sz w:val="22"/>
          <w:szCs w:val="22"/>
          <w:u w:val="single"/>
          <w:lang w:val="en-US"/>
        </w:rPr>
      </w:pPr>
    </w:p>
    <w:p w14:paraId="770D4A06" w14:textId="52437A3A"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In secondary SIADH, identification of the neoplasm is the goal. A thorough tumor search using positron-emission tomography and computed tomography is warranted to further determine the underlying pathology and, if applicable, consider all options of curative therapy. Chemotherapy, surgical and/or radiation therapy of malignancies with AVP activity represent definitive therapeutic approaches. On clinical grounds, neoplasm-associated, secondary SIADH often requires V2-receptor antagonism therapy until a specific oncologic </w:t>
      </w:r>
      <w:r w:rsidR="008D3DA9" w:rsidRPr="00D05450">
        <w:rPr>
          <w:rFonts w:ascii="Arial" w:hAnsi="Arial" w:cs="Arial"/>
          <w:sz w:val="22"/>
          <w:szCs w:val="22"/>
          <w:lang w:val="en-US"/>
        </w:rPr>
        <w:t xml:space="preserve">care </w:t>
      </w:r>
      <w:r w:rsidRPr="00D05450">
        <w:rPr>
          <w:rFonts w:ascii="Arial" w:hAnsi="Arial" w:cs="Arial"/>
          <w:sz w:val="22"/>
          <w:szCs w:val="22"/>
          <w:lang w:val="en-US"/>
        </w:rPr>
        <w:t>plan is employed.</w:t>
      </w:r>
      <w:r w:rsidR="00CA7713">
        <w:rPr>
          <w:rFonts w:ascii="Arial" w:hAnsi="Arial" w:cs="Arial"/>
          <w:sz w:val="22"/>
          <w:szCs w:val="22"/>
          <w:lang w:val="en-US"/>
        </w:rPr>
        <w:t xml:space="preserve"> </w:t>
      </w:r>
      <w:r w:rsidRPr="00D05450">
        <w:rPr>
          <w:rFonts w:ascii="Arial" w:hAnsi="Arial" w:cs="Arial"/>
          <w:sz w:val="22"/>
          <w:szCs w:val="22"/>
          <w:lang w:val="en-US"/>
        </w:rPr>
        <w:t>This might be especially true while performing cytostatic therapy cycles with increased intravenously administered fluid volumes</w:t>
      </w:r>
      <w:r w:rsidR="008D3DA9" w:rsidRPr="00D05450">
        <w:rPr>
          <w:rFonts w:ascii="Arial" w:hAnsi="Arial" w:cs="Arial"/>
          <w:sz w:val="22"/>
          <w:szCs w:val="22"/>
          <w:lang w:val="en-US"/>
        </w:rPr>
        <w:t>.</w:t>
      </w:r>
      <w:r w:rsidRPr="00D05450">
        <w:rPr>
          <w:rFonts w:ascii="Arial" w:hAnsi="Arial" w:cs="Arial"/>
          <w:sz w:val="22"/>
          <w:szCs w:val="22"/>
          <w:lang w:val="en-US"/>
        </w:rPr>
        <w:t xml:space="preserve"> However, to date, no survival benefit has been demonstrated in </w:t>
      </w:r>
      <w:r w:rsidR="00D32D7A" w:rsidRPr="00D05450">
        <w:rPr>
          <w:rFonts w:ascii="Arial" w:hAnsi="Arial" w:cs="Arial"/>
          <w:sz w:val="22"/>
          <w:szCs w:val="22"/>
          <w:lang w:val="en-US"/>
        </w:rPr>
        <w:t>favor</w:t>
      </w:r>
      <w:r w:rsidRPr="00D05450">
        <w:rPr>
          <w:rFonts w:ascii="Arial" w:hAnsi="Arial" w:cs="Arial"/>
          <w:sz w:val="22"/>
          <w:szCs w:val="22"/>
          <w:lang w:val="en-US"/>
        </w:rPr>
        <w:t xml:space="preserve"> of V2-receptor antagonism in oncologic</w:t>
      </w:r>
      <w:r w:rsidR="008D3DA9" w:rsidRPr="00D05450">
        <w:rPr>
          <w:rFonts w:ascii="Arial" w:hAnsi="Arial" w:cs="Arial"/>
          <w:sz w:val="22"/>
          <w:szCs w:val="22"/>
          <w:lang w:val="en-US"/>
        </w:rPr>
        <w:t xml:space="preserve"> </w:t>
      </w:r>
      <w:r w:rsidRPr="00D05450">
        <w:rPr>
          <w:rFonts w:ascii="Arial" w:hAnsi="Arial" w:cs="Arial"/>
          <w:sz w:val="22"/>
          <w:szCs w:val="22"/>
          <w:lang w:val="en-US"/>
        </w:rPr>
        <w:t>care of patients with secondary, neoplasm-associated SIADH.</w:t>
      </w:r>
    </w:p>
    <w:p w14:paraId="42018CAC" w14:textId="77777777" w:rsidR="0072648B" w:rsidRPr="00D05450" w:rsidRDefault="0072648B" w:rsidP="00341067">
      <w:pPr>
        <w:spacing w:line="276" w:lineRule="auto"/>
        <w:rPr>
          <w:rFonts w:ascii="Arial" w:hAnsi="Arial" w:cs="Arial"/>
          <w:sz w:val="22"/>
          <w:szCs w:val="22"/>
          <w:lang w:val="en-US"/>
        </w:rPr>
      </w:pPr>
    </w:p>
    <w:p w14:paraId="53DDB6C6" w14:textId="3509845D"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Besides malignancies, infections such as tuberculosis have been associated with occurrence of SIADH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&lt;Refman&gt;&lt;Cite&gt;&lt;Author&gt;Knoop&lt;/Author&gt;&lt;Year&gt;2013&lt;/Year&gt;&lt;RecNum&gt;372&lt;/RecNum&gt;&lt;IDText&gt;Syndrome of inadequate antidiuretic hormone secretion in pulmonary tuberculosis - a therapeutic challenge&lt;/IDText&gt;&lt;MDL Ref_Type="Journal"&gt;&lt;Ref_Type&gt;Journal&lt;/Ref_Type&gt;&lt;Ref_ID&gt;372&lt;/Ref_ID&gt;&lt;Title_Primary&gt;Syndrome of inadequate antidiuretic hormone secretion in pulmonary tuberculosis - a therapeutic challenge&lt;/Title_Primary&gt;&lt;Authors_Primary&gt;Knoop,H.&lt;/Authors_Primary&gt;&lt;Authors_Primary&gt;Knoop,U.&lt;/Authors_Primary&gt;&lt;Authors_Primary&gt;Behr,J.&lt;/Authors_Primary&gt;&lt;Authors_Primary&gt;Heyer,C.M.&lt;/Authors_Primary&gt;&lt;Authors_Primary&gt;Kuert,S.&lt;/Authors_Primary&gt;&lt;Authors_Primary&gt;Roggenland,D.&lt;/Authors_Primary&gt;&lt;Authors_Primary&gt;Suermann,M.&lt;/Authors_Primary&gt;&lt;Authors_Primary&gt;Dietrich,J.W.&lt;/Authors_Primary&gt;&lt;Date_Primary&gt;2013/4&lt;/Date_Primary&gt;&lt;Keywords&gt;administration &amp;amp; dosage&lt;/Keywords&gt;&lt;Keywords&gt;Antibiotics,Antitubercular&lt;/Keywords&gt;&lt;Keywords&gt;Benzazepines&lt;/Keywords&gt;&lt;Keywords&gt;Combined Modality Therapy&lt;/Keywords&gt;&lt;Keywords&gt;Diet,Sodium-Restricted&lt;/Keywords&gt;&lt;Keywords&gt;Drug Interactions&lt;/Keywords&gt;&lt;Keywords&gt;drug therapy&lt;/Keywords&gt;&lt;Keywords&gt;Female&lt;/Keywords&gt;&lt;Keywords&gt;Fluid Therapy&lt;/Keywords&gt;&lt;Keywords&gt;Humans&lt;/Keywords&gt;&lt;Keywords&gt;Inappropriate ADH Syndrome&lt;/Keywords&gt;&lt;Keywords&gt;methods&lt;/Keywords&gt;&lt;Keywords&gt;Middle Aged&lt;/Keywords&gt;&lt;Keywords&gt;Rifampin&lt;/Keywords&gt;&lt;Keywords&gt;secretion&lt;/Keywords&gt;&lt;Keywords&gt;Syndrome&lt;/Keywords&gt;&lt;Keywords&gt;therapy&lt;/Keywords&gt;&lt;Keywords&gt;Treatment Failure&lt;/Keywords&gt;&lt;Keywords&gt;Tuberculosis,Pulmonary&lt;/Keywords&gt;&lt;Reprint&gt;Not in File&lt;/Reprint&gt;&lt;Start_Page&gt;219&lt;/Start_Page&gt;&lt;End_Page&gt;222&lt;/End_Page&gt;&lt;Periodical&gt;Pneumologie&lt;/Periodical&gt;&lt;Volume&gt;67&lt;/Volume&gt;&lt;Issue&gt;4&lt;/Issue&gt;&lt;Address&gt;Department of Internal Medicine&lt;/Address&gt;&lt;Web_URL&gt;PM:23420227&lt;/Web_URL&gt;&lt;ZZ_JournalStdAbbrev&gt;&lt;f name="System"&gt;Pneumologie&lt;/f&gt;&lt;/ZZ_JournalStdAbbrev&gt;&lt;ZZ_WorkformID&gt;1&lt;/ZZ_WorkformID&gt;&lt;/MDL&gt;&lt;/Cite&gt;&lt;/Refman&gt;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24</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w:t>
      </w:r>
    </w:p>
    <w:p w14:paraId="7BB9A7A9" w14:textId="77777777" w:rsidR="000C2CA8" w:rsidRPr="00D05450" w:rsidRDefault="000C2CA8" w:rsidP="00341067">
      <w:pPr>
        <w:spacing w:line="276" w:lineRule="auto"/>
        <w:rPr>
          <w:rFonts w:ascii="Arial" w:hAnsi="Arial" w:cs="Arial"/>
          <w:sz w:val="22"/>
          <w:szCs w:val="22"/>
          <w:lang w:val="en-US"/>
        </w:rPr>
      </w:pPr>
    </w:p>
    <w:p w14:paraId="1C620784" w14:textId="7BCC8AE6" w:rsidR="000C2CA8" w:rsidRPr="00D05450" w:rsidRDefault="00D12970" w:rsidP="00341067">
      <w:pPr>
        <w:spacing w:line="276" w:lineRule="auto"/>
        <w:rPr>
          <w:rFonts w:ascii="Arial" w:hAnsi="Arial" w:cs="Arial"/>
          <w:b/>
          <w:bCs/>
          <w:color w:val="00B050"/>
          <w:sz w:val="22"/>
          <w:szCs w:val="22"/>
          <w:lang w:val="en-US"/>
        </w:rPr>
      </w:pPr>
      <w:r w:rsidRPr="00D05450">
        <w:rPr>
          <w:rFonts w:ascii="Arial" w:hAnsi="Arial" w:cs="Arial"/>
          <w:b/>
          <w:bCs/>
          <w:color w:val="00B050"/>
          <w:sz w:val="22"/>
          <w:szCs w:val="22"/>
          <w:lang w:val="en-US"/>
        </w:rPr>
        <w:t xml:space="preserve">Severity of </w:t>
      </w:r>
      <w:r w:rsidR="0072648B" w:rsidRPr="00D05450">
        <w:rPr>
          <w:rFonts w:ascii="Arial" w:hAnsi="Arial" w:cs="Arial"/>
          <w:b/>
          <w:bCs/>
          <w:color w:val="00B050"/>
          <w:sz w:val="22"/>
          <w:szCs w:val="22"/>
          <w:lang w:val="en-US"/>
        </w:rPr>
        <w:t>H</w:t>
      </w:r>
      <w:r w:rsidRPr="00D05450">
        <w:rPr>
          <w:rFonts w:ascii="Arial" w:hAnsi="Arial" w:cs="Arial"/>
          <w:b/>
          <w:bCs/>
          <w:color w:val="00B050"/>
          <w:sz w:val="22"/>
          <w:szCs w:val="22"/>
          <w:lang w:val="en-US"/>
        </w:rPr>
        <w:t>yponatremia-</w:t>
      </w:r>
      <w:r w:rsidR="0072648B" w:rsidRPr="00D05450">
        <w:rPr>
          <w:rFonts w:ascii="Arial" w:hAnsi="Arial" w:cs="Arial"/>
          <w:b/>
          <w:bCs/>
          <w:color w:val="00B050"/>
          <w:sz w:val="22"/>
          <w:szCs w:val="22"/>
          <w:lang w:val="en-US"/>
        </w:rPr>
        <w:t>R</w:t>
      </w:r>
      <w:r w:rsidRPr="00D05450">
        <w:rPr>
          <w:rFonts w:ascii="Arial" w:hAnsi="Arial" w:cs="Arial"/>
          <w:b/>
          <w:bCs/>
          <w:color w:val="00B050"/>
          <w:sz w:val="22"/>
          <w:szCs w:val="22"/>
          <w:lang w:val="en-US"/>
        </w:rPr>
        <w:t xml:space="preserve">elated </w:t>
      </w:r>
      <w:r w:rsidR="0072648B" w:rsidRPr="00D05450">
        <w:rPr>
          <w:rFonts w:ascii="Arial" w:hAnsi="Arial" w:cs="Arial"/>
          <w:b/>
          <w:bCs/>
          <w:color w:val="00B050"/>
          <w:sz w:val="22"/>
          <w:szCs w:val="22"/>
          <w:lang w:val="en-US"/>
        </w:rPr>
        <w:t>S</w:t>
      </w:r>
      <w:r w:rsidRPr="00D05450">
        <w:rPr>
          <w:rFonts w:ascii="Arial" w:hAnsi="Arial" w:cs="Arial"/>
          <w:b/>
          <w:bCs/>
          <w:color w:val="00B050"/>
          <w:sz w:val="22"/>
          <w:szCs w:val="22"/>
          <w:lang w:val="en-US"/>
        </w:rPr>
        <w:t>ymptoms</w:t>
      </w:r>
    </w:p>
    <w:p w14:paraId="2203B057" w14:textId="77777777" w:rsidR="0072648B" w:rsidRPr="00D05450" w:rsidRDefault="0072648B" w:rsidP="00341067">
      <w:pPr>
        <w:spacing w:line="276" w:lineRule="auto"/>
        <w:rPr>
          <w:rFonts w:ascii="Arial" w:hAnsi="Arial" w:cs="Arial"/>
          <w:sz w:val="22"/>
          <w:szCs w:val="22"/>
          <w:lang w:val="en-US"/>
        </w:rPr>
      </w:pPr>
    </w:p>
    <w:p w14:paraId="77C71603" w14:textId="7BC3BD35"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lastRenderedPageBreak/>
        <w:t xml:space="preserve">Only if there are </w:t>
      </w:r>
      <w:r w:rsidRPr="00D05450">
        <w:rPr>
          <w:rFonts w:ascii="Arial" w:hAnsi="Arial" w:cs="Arial"/>
          <w:bCs/>
          <w:sz w:val="22"/>
          <w:szCs w:val="22"/>
          <w:lang w:val="en-US"/>
        </w:rPr>
        <w:t>severe symptoms</w:t>
      </w:r>
      <w:r w:rsidRPr="00D05450">
        <w:rPr>
          <w:rFonts w:ascii="Arial" w:hAnsi="Arial" w:cs="Arial"/>
          <w:sz w:val="22"/>
          <w:szCs w:val="22"/>
          <w:lang w:val="en-US"/>
        </w:rPr>
        <w:t xml:space="preserve"> related hyponatremia, is </w:t>
      </w:r>
      <w:r w:rsidR="00F76827" w:rsidRPr="00D05450">
        <w:rPr>
          <w:rFonts w:ascii="Arial" w:hAnsi="Arial" w:cs="Arial"/>
          <w:sz w:val="22"/>
          <w:szCs w:val="22"/>
          <w:lang w:val="en-US"/>
        </w:rPr>
        <w:t xml:space="preserve">it </w:t>
      </w:r>
      <w:r w:rsidRPr="00D05450">
        <w:rPr>
          <w:rFonts w:ascii="Arial" w:hAnsi="Arial" w:cs="Arial"/>
          <w:sz w:val="22"/>
          <w:szCs w:val="22"/>
          <w:lang w:val="en-US"/>
        </w:rPr>
        <w:t xml:space="preserve">advised to administer a small amount of a hypertonic NaCl-solution for a very short period of time. In practice, this must be accomplished with closely monitored sodium concentration measurements which can be accomplished on a regular ward rather than in the intensive care unit, especially when considering the urgency. </w:t>
      </w:r>
      <w:r w:rsidRPr="00D05450">
        <w:rPr>
          <w:rFonts w:ascii="Arial" w:hAnsi="Arial" w:cs="Arial"/>
          <w:bCs/>
          <w:sz w:val="22"/>
          <w:szCs w:val="22"/>
          <w:lang w:val="en-US"/>
        </w:rPr>
        <w:t>150 ml of a 3% saline solution can be infused over 20 minutes. If the symptom</w:t>
      </w:r>
      <w:r w:rsidRPr="00D05450">
        <w:rPr>
          <w:rFonts w:ascii="Arial" w:hAnsi="Arial" w:cs="Arial"/>
          <w:sz w:val="22"/>
          <w:szCs w:val="22"/>
          <w:lang w:val="en-US"/>
        </w:rPr>
        <w:t xml:space="preserve">s do not ameliorate with this management, the infusion with 100 ml of 3% hypertonic saline can be repeated every 30 minutes until the target serum Na is reached (usually 5-8 mmol increase from baseline). Above all, a 5 mmol/l increase in serum sodium concentration should not be exceeded within the first hour. These recommendations have also been summarized in recent guideline reports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&lt;Refman&gt;&lt;Cite&gt;&lt;Author&gt;Spasovski&lt;/Author&gt;&lt;Year&gt;2014&lt;/Year&gt;&lt;RecNum&gt;370&lt;/RecNum&gt;&lt;IDText&gt;Clinical practice guideline on diagnosis and treatment of hyponatraemia&lt;/IDText&gt;&lt;MDL Ref_Type="Journal"&gt;&lt;Ref_Type&gt;Journal&lt;/Ref_Type&gt;&lt;Ref_ID&gt;370&lt;/Ref_ID&gt;&lt;Title_Primary&gt;Clinical practice guideline on diagnosis and treatment of hyponatraemia&lt;/Title_Primary&gt;&lt;Authors_Primary&gt;Spasovski,G.&lt;/Authors_Primary&gt;&lt;Authors_Primary&gt;Vanholder,R.&lt;/Authors_Primary&gt;&lt;Authors_Primary&gt;Allolio,B.&lt;/Authors_Primary&gt;&lt;Authors_Primary&gt;Annane,D.&lt;/Authors_Primary&gt;&lt;Authors_Primary&gt;Ball,S.&lt;/Authors_Primary&gt;&lt;Authors_Primary&gt;Bichet,D.&lt;/Authors_Primary&gt;&lt;Authors_Primary&gt;Decaux,G.&lt;/Authors_Primary&gt;&lt;Authors_Primary&gt;Fenske,W.&lt;/Authors_Primary&gt;&lt;Authors_Primary&gt;Hoorn,E.J.&lt;/Authors_Primary&gt;&lt;Authors_Primary&gt;Ichai,C.&lt;/Authors_Primary&gt;&lt;Authors_Primary&gt;Joannidis,M.&lt;/Authors_Primary&gt;&lt;Authors_Primary&gt;Soupart,A.&lt;/Authors_Primary&gt;&lt;Authors_Primary&gt;Zietse,R.&lt;/Authors_Primary&gt;&lt;Authors_Primary&gt;Haller,M.&lt;/Authors_Primary&gt;&lt;Authors_Primary&gt;van,der,V&lt;/Authors_Primary&gt;&lt;Authors_Primary&gt;Van,Biesen W.&lt;/Authors_Primary&gt;&lt;Authors_Primary&gt;Nagler,E.&lt;/Authors_Primary&gt;&lt;Date_Primary&gt;2014/3&lt;/Date_Primary&gt;&lt;Keywords&gt;administration &amp;amp; dosage&lt;/Keywords&gt;&lt;Keywords&gt;Adult&lt;/Keywords&gt;&lt;Keywords&gt;Algorithms&lt;/Keywords&gt;&lt;Keywords&gt;blood&lt;/Keywords&gt;&lt;Keywords&gt;Blood Glucose&lt;/Keywords&gt;&lt;Keywords&gt;Brain Edema&lt;/Keywords&gt;&lt;Keywords&gt;complications&lt;/Keywords&gt;&lt;Keywords&gt;Critical Care&lt;/Keywords&gt;&lt;Keywords&gt;diagnosis&lt;/Keywords&gt;&lt;Keywords&gt;Endocrinology&lt;/Keywords&gt;&lt;Keywords&gt;Evidence-Based Medicine&lt;/Keywords&gt;&lt;Keywords&gt;Female&lt;/Keywords&gt;&lt;Keywords&gt;Glucose&lt;/Keywords&gt;&lt;Keywords&gt;Humans&lt;/Keywords&gt;&lt;Keywords&gt;Hyponatremia&lt;/Keywords&gt;&lt;Keywords&gt;Inappropriate ADH Syndrome&lt;/Keywords&gt;&lt;Keywords&gt;Infusions,Intravenous&lt;/Keywords&gt;&lt;Keywords&gt;Kidney Diseases&lt;/Keywords&gt;&lt;Keywords&gt;Male&lt;/Keywords&gt;&lt;Keywords&gt;metabolism&lt;/Keywords&gt;&lt;Keywords&gt;Morbidity&lt;/Keywords&gt;&lt;Keywords&gt;mortality&lt;/Keywords&gt;&lt;Keywords&gt;Nephrology&lt;/Keywords&gt;&lt;Keywords&gt;organization &amp;amp; administration&lt;/Keywords&gt;&lt;Keywords&gt;Osmolar Concentration&lt;/Keywords&gt;&lt;Keywords&gt;physiology&lt;/Keywords&gt;&lt;Keywords&gt;physiopathology&lt;/Keywords&gt;&lt;Keywords&gt;Prevalence&lt;/Keywords&gt;&lt;Keywords&gt;Research&lt;/Keywords&gt;&lt;Keywords&gt;Saline Solution,Hypertonic&lt;/Keywords&gt;&lt;Keywords&gt;secretion&lt;/Keywords&gt;&lt;Keywords&gt;Sodium&lt;/Keywords&gt;&lt;Keywords&gt;therapy&lt;/Keywords&gt;&lt;Keywords&gt;Urine&lt;/Keywords&gt;&lt;Keywords&gt;Vasopressins&lt;/Keywords&gt;&lt;Reprint&gt;Not in File&lt;/Reprint&gt;&lt;Start_Page&gt;G1&lt;/Start_Page&gt;&lt;End_Page&gt;47&lt;/End_Page&gt;&lt;Periodical&gt;Eur.J Endocrinol.&lt;/Periodical&gt;&lt;Volume&gt;170&lt;/Volume&gt;&lt;Issue&gt;3&lt;/Issue&gt;&lt;Address&gt;State University Hospital Skopje, Skopje, Macedonia&lt;/Address&gt;&lt;Web_URL&gt;PM:24569125&lt;/Web_URL&gt;&lt;ZZ_JournalStdAbbrev&gt;&lt;f name="System"&gt;Eur.J Endocrinol.&lt;/f&gt;&lt;/ZZ_JournalStdAbbrev&gt;&lt;ZZ_WorkformID&gt;1&lt;/ZZ_WorkformID&gt;&lt;/MDL&gt;&lt;/Cite&gt;&lt;/Refman&gt;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18</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w:t>
      </w:r>
    </w:p>
    <w:p w14:paraId="4DE471E0" w14:textId="77777777" w:rsidR="00496EE5" w:rsidRPr="00D05450" w:rsidRDefault="00496EE5" w:rsidP="00341067">
      <w:pPr>
        <w:spacing w:line="276" w:lineRule="auto"/>
        <w:rPr>
          <w:rFonts w:ascii="Arial" w:hAnsi="Arial" w:cs="Arial"/>
          <w:sz w:val="22"/>
          <w:szCs w:val="22"/>
          <w:lang w:val="en-US"/>
        </w:rPr>
      </w:pPr>
    </w:p>
    <w:p w14:paraId="4CC735AA" w14:textId="26A87F34"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The management after relief of the symptoms should be focused on a careful administration of 0.9% (only) sodium chloride solution. Independently of the initial rise in serum sodium concentration by the above measures, the maximal rise within the first 24 hours should not exceed 10 mmol/l. In some cases of overcorrection, desmopressin can be administered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&lt;Refman&gt;&lt;Cite&gt;&lt;Author&gt;Verbalis&lt;/Author&gt;&lt;Year&gt;2013&lt;/Year&gt;&lt;RecNum&gt;365&lt;/RecNum&gt;&lt;IDText&gt;Diagnosis, evaluation, and treatment of hyponatremia: expert panel recommendations&lt;/IDText&gt;&lt;MDL Ref_Type="Journal"&gt;&lt;Ref_Type&gt;Journal&lt;/Ref_Type&gt;&lt;Ref_ID&gt;365&lt;/Ref_ID&gt;&lt;Title_Primary&gt;Diagnosis, evaluation, and treatment of hyponatremia: expert panel recommendations&lt;/Title_Primary&gt;&lt;Authors_Primary&gt;Verbalis,J.G.&lt;/Authors_Primary&gt;&lt;Authors_Primary&gt;Goldsmith,S.R.&lt;/Authors_Primary&gt;&lt;Authors_Primary&gt;Greenberg,A.&lt;/Authors_Primary&gt;&lt;Authors_Primary&gt;Korzelius,C.&lt;/Authors_Primary&gt;&lt;Authors_Primary&gt;Schrier,R.W.&lt;/Authors_Primary&gt;&lt;Authors_Primary&gt;Sterns,R.H.&lt;/Authors_Primary&gt;&lt;Authors_Primary&gt;Thompson,C.J.&lt;/Authors_Primary&gt;&lt;Date_Primary&gt;2013/10&lt;/Date_Primary&gt;&lt;Keywords&gt;Adrenal Insufficiency&lt;/Keywords&gt;&lt;Keywords&gt;adverse effects&lt;/Keywords&gt;&lt;Keywords&gt;Antidiuretic Hormone Receptor Antagonists&lt;/Keywords&gt;&lt;Keywords&gt;Clinical Trials as Topic&lt;/Keywords&gt;&lt;Keywords&gt;Comorbidity&lt;/Keywords&gt;&lt;Keywords&gt;complications&lt;/Keywords&gt;&lt;Keywords&gt;Consensus&lt;/Keywords&gt;&lt;Keywords&gt;diagnosis&lt;/Keywords&gt;&lt;Keywords&gt;Diagnosis,Differential&lt;/Keywords&gt;&lt;Keywords&gt;Diuretics&lt;/Keywords&gt;&lt;Keywords&gt;drug therapy&lt;/Keywords&gt;&lt;Keywords&gt;Edema&lt;/Keywords&gt;&lt;Keywords&gt;etiology&lt;/Keywords&gt;&lt;Keywords&gt;Gastrointestinal Diseases&lt;/Keywords&gt;&lt;Keywords&gt;Genetic Diseases,X-Linked&lt;/Keywords&gt;&lt;Keywords&gt;Humans&lt;/Keywords&gt;&lt;Keywords&gt;Hyponatremia&lt;/Keywords&gt;&lt;Keywords&gt;Hypothyroidism&lt;/Keywords&gt;&lt;Keywords&gt;Hypovolemia&lt;/Keywords&gt;&lt;Keywords&gt;Inappropriate ADH Syndrome&lt;/Keywords&gt;&lt;Keywords&gt;Liver Cirrhosis&lt;/Keywords&gt;&lt;Keywords&gt;metabolism&lt;/Keywords&gt;&lt;Keywords&gt;Morbidity&lt;/Keywords&gt;&lt;Keywords&gt;mortality&lt;/Keywords&gt;&lt;Keywords&gt;pathology&lt;/Keywords&gt;&lt;Keywords&gt;Polydipsia&lt;/Keywords&gt;&lt;Keywords&gt;Receptors,Vasopressin&lt;/Keywords&gt;&lt;Keywords&gt;Research&lt;/Keywords&gt;&lt;Keywords&gt;Sodium&lt;/Keywords&gt;&lt;Keywords&gt;Sodium Chloride&lt;/Keywords&gt;&lt;Keywords&gt;Syndrome&lt;/Keywords&gt;&lt;Keywords&gt;therapeutic use&lt;/Keywords&gt;&lt;Keywords&gt;therapy&lt;/Keywords&gt;&lt;Keywords&gt;Vasopressins&lt;/Keywords&gt;&lt;Reprint&gt;Not in File&lt;/Reprint&gt;&lt;Start_Page&gt;S1&lt;/Start_Page&gt;&lt;End_Page&gt;42&lt;/End_Page&gt;&lt;Periodical&gt;Am J Med&lt;/Periodical&gt;&lt;Volume&gt;126&lt;/Volume&gt;&lt;Issue&gt;10 Suppl 1&lt;/Issue&gt;&lt;Address&gt;Georgetown University Medical Center, Washington, DC. Electronic address: verbalis@georgetown.edu&lt;/Address&gt;&lt;Web_URL&gt;PM:24074529&lt;/Web_URL&gt;&lt;ZZ_JournalStdAbbrev&gt;&lt;f name="System"&gt;Am J Med&lt;/f&gt;&lt;/ZZ_JournalStdAbbrev&gt;&lt;ZZ_WorkformID&gt;1&lt;/ZZ_WorkformID&gt;&lt;/MDL&gt;&lt;/Cite&gt;&lt;Cite&gt;&lt;Author&gt;Gharaibeh&lt;/Author&gt;&lt;Year&gt;2013&lt;/Year&gt;&lt;RecNum&gt;501&lt;/RecNum&gt;&lt;IDText&gt;Desmopression is an effective adjunct treatment for reversing excessive hyponatremia overcorrection&lt;/IDText&gt;&lt;MDL Ref_Type="Journal"&gt;&lt;Ref_Type&gt;Journal&lt;/Ref_Type&gt;&lt;Ref_ID&gt;501&lt;/Ref_ID&gt;&lt;Title_Primary&gt;Desmopression is an effective adjunct treatment for reversing excessive hyponatremia overcorrection&lt;/Title_Primary&gt;&lt;Authors_Primary&gt;Gharaibeh,K.A.&lt;/Authors_Primary&gt;&lt;Authors_Primary&gt;Craig,M.J.&lt;/Authors_Primary&gt;&lt;Authors_Primary&gt;Koch,C.A.&lt;/Authors_Primary&gt;&lt;Authors_Primary&gt;Lerant,A.A.&lt;/Authors_Primary&gt;&lt;Authors_Primary&gt;Fulop,T.&lt;/Authors_Primary&gt;&lt;Authors_Primary&gt;Csongradi,E.&lt;/Authors_Primary&gt;&lt;Date_Primary&gt;2013/8/16&lt;/Date_Primary&gt;&lt;Keywords&gt;Emergencies&lt;/Keywords&gt;&lt;Keywords&gt;Hyponatremia&lt;/Keywords&gt;&lt;Keywords&gt;Male&lt;/Keywords&gt;&lt;Keywords&gt;Potassium&lt;/Keywords&gt;&lt;Keywords&gt;Sodium&lt;/Keywords&gt;&lt;Keywords&gt;urine&lt;/Keywords&gt;&lt;Keywords&gt;Water&lt;/Keywords&gt;&lt;Reprint&gt;Not in File&lt;/Reprint&gt;&lt;Start_Page&gt;155&lt;/Start_Page&gt;&lt;End_Page&gt;158&lt;/End_Page&gt;&lt;Periodical&gt;World J Clin Cases.&lt;/Periodical&gt;&lt;Volume&gt;1&lt;/Volume&gt;&lt;Issue&gt;5&lt;/Issue&gt;&lt;Address&gt;Kamel A Gharaibeh, Matthew J Craig, Christian A Koch, Tibor Fulop, Eva Csongradi, Department of Internal Medicine, University of Mississippi Medical Center, Jackson, MS 39216-4505, United States&lt;/Address&gt;&lt;Web_URL&gt;PM:24303490&lt;/Web_URL&gt;&lt;ZZ_JournalStdAbbrev&gt;&lt;f name="System"&gt;World J Clin Cases.&lt;/f&gt;&lt;/ZZ_JournalStdAbbrev&gt;&lt;ZZ_WorkformID&gt;1&lt;/ZZ_WorkformID&gt;&lt;/MDL&gt;&lt;/Cite&gt;&lt;/Refman&gt;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13, 23</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w:t>
      </w:r>
      <w:r w:rsidR="00AF7083">
        <w:rPr>
          <w:rFonts w:ascii="Arial" w:hAnsi="Arial" w:cs="Arial"/>
          <w:sz w:val="22"/>
          <w:szCs w:val="22"/>
          <w:lang w:val="en-US"/>
        </w:rPr>
        <w:t xml:space="preserve"> </w:t>
      </w:r>
      <w:r w:rsidRPr="00D05450">
        <w:rPr>
          <w:rFonts w:ascii="Arial" w:hAnsi="Arial" w:cs="Arial"/>
          <w:sz w:val="22"/>
          <w:szCs w:val="22"/>
          <w:lang w:val="en-US"/>
        </w:rPr>
        <w:t xml:space="preserve">In terms of reaching a sodium goal within a short time, a rapid intermittent bolus infusion of hypertonic solution is preferred to a slow continuous infusion </w:t>
      </w:r>
      <w:r w:rsidR="00341067" w:rsidRPr="00D05450">
        <w:rPr>
          <w:rFonts w:ascii="Arial" w:hAnsi="Arial" w:cs="Arial"/>
          <w:sz w:val="22"/>
          <w:szCs w:val="22"/>
          <w:lang w:val="en-US"/>
        </w:rPr>
        <w:t>(</w:t>
      </w:r>
      <w:r w:rsidRPr="00D05450">
        <w:rPr>
          <w:rFonts w:ascii="Arial" w:hAnsi="Arial" w:cs="Arial"/>
          <w:sz w:val="22"/>
          <w:szCs w:val="22"/>
          <w:lang w:val="en-US"/>
        </w:rPr>
        <w:t>25</w:t>
      </w:r>
      <w:r w:rsidR="00341067" w:rsidRPr="00D05450">
        <w:rPr>
          <w:rFonts w:ascii="Arial" w:hAnsi="Arial" w:cs="Arial"/>
          <w:sz w:val="22"/>
          <w:szCs w:val="22"/>
          <w:lang w:val="en-US"/>
        </w:rPr>
        <w:t>)</w:t>
      </w:r>
      <w:r w:rsidRPr="00D05450">
        <w:rPr>
          <w:rFonts w:ascii="Arial" w:hAnsi="Arial" w:cs="Arial"/>
          <w:sz w:val="22"/>
          <w:szCs w:val="22"/>
          <w:lang w:val="en-US"/>
        </w:rPr>
        <w:t>.</w:t>
      </w:r>
    </w:p>
    <w:p w14:paraId="1162A10A" w14:textId="77777777" w:rsidR="000C2CA8" w:rsidRPr="00D05450" w:rsidRDefault="000C2CA8" w:rsidP="00341067">
      <w:pPr>
        <w:spacing w:line="276" w:lineRule="auto"/>
        <w:rPr>
          <w:rFonts w:ascii="Arial" w:hAnsi="Arial" w:cs="Arial"/>
          <w:sz w:val="22"/>
          <w:szCs w:val="22"/>
          <w:lang w:val="en-US"/>
        </w:rPr>
      </w:pPr>
    </w:p>
    <w:p w14:paraId="6DA68661" w14:textId="63EB49BB" w:rsidR="00AF7083" w:rsidRPr="00AF7083" w:rsidRDefault="00D12970" w:rsidP="00341067">
      <w:pPr>
        <w:spacing w:line="276" w:lineRule="auto"/>
        <w:rPr>
          <w:rFonts w:ascii="Arial" w:hAnsi="Arial" w:cs="Arial"/>
          <w:b/>
          <w:bCs/>
          <w:color w:val="00B050"/>
          <w:sz w:val="22"/>
          <w:szCs w:val="22"/>
          <w:lang w:val="en-US"/>
        </w:rPr>
      </w:pPr>
      <w:r w:rsidRPr="00AF7083">
        <w:rPr>
          <w:rFonts w:ascii="Arial" w:hAnsi="Arial" w:cs="Arial"/>
          <w:b/>
          <w:bCs/>
          <w:color w:val="00B050"/>
          <w:sz w:val="22"/>
          <w:szCs w:val="22"/>
          <w:lang w:val="en-US"/>
        </w:rPr>
        <w:t>Drug-</w:t>
      </w:r>
      <w:r w:rsidR="00AF7083" w:rsidRPr="00AF7083">
        <w:rPr>
          <w:rFonts w:ascii="Arial" w:hAnsi="Arial" w:cs="Arial"/>
          <w:b/>
          <w:bCs/>
          <w:color w:val="00B050"/>
          <w:sz w:val="22"/>
          <w:szCs w:val="22"/>
          <w:lang w:val="en-US"/>
        </w:rPr>
        <w:t>I</w:t>
      </w:r>
      <w:r w:rsidRPr="00AF7083">
        <w:rPr>
          <w:rFonts w:ascii="Arial" w:hAnsi="Arial" w:cs="Arial"/>
          <w:b/>
          <w:bCs/>
          <w:color w:val="00B050"/>
          <w:sz w:val="22"/>
          <w:szCs w:val="22"/>
          <w:lang w:val="en-US"/>
        </w:rPr>
        <w:t>nduced SIADH</w:t>
      </w:r>
    </w:p>
    <w:p w14:paraId="0C1667E7" w14:textId="77777777" w:rsidR="00AF7083" w:rsidRDefault="00AF7083" w:rsidP="00341067">
      <w:pPr>
        <w:spacing w:line="276" w:lineRule="auto"/>
        <w:rPr>
          <w:rFonts w:ascii="Arial" w:hAnsi="Arial" w:cs="Arial"/>
          <w:b/>
          <w:bCs/>
          <w:sz w:val="22"/>
          <w:szCs w:val="22"/>
          <w:u w:val="single"/>
          <w:lang w:val="en-US"/>
        </w:rPr>
      </w:pPr>
    </w:p>
    <w:p w14:paraId="0224401B" w14:textId="204B01F5" w:rsidR="000C2CA8" w:rsidRPr="00D05450" w:rsidRDefault="00AF7083" w:rsidP="00341067">
      <w:pPr>
        <w:spacing w:line="276" w:lineRule="auto"/>
        <w:rPr>
          <w:rFonts w:ascii="Arial" w:hAnsi="Arial" w:cs="Arial"/>
          <w:sz w:val="22"/>
          <w:szCs w:val="22"/>
          <w:lang w:val="en-US"/>
        </w:rPr>
      </w:pPr>
      <w:r>
        <w:rPr>
          <w:rFonts w:ascii="Arial" w:hAnsi="Arial" w:cs="Arial"/>
          <w:sz w:val="22"/>
          <w:szCs w:val="22"/>
          <w:lang w:val="en-US"/>
        </w:rPr>
        <w:t>D</w:t>
      </w:r>
      <w:r w:rsidR="00D12970" w:rsidRPr="00D05450">
        <w:rPr>
          <w:rFonts w:ascii="Arial" w:hAnsi="Arial" w:cs="Arial"/>
          <w:sz w:val="22"/>
          <w:szCs w:val="22"/>
          <w:lang w:val="en-US"/>
        </w:rPr>
        <w:t>rugs (see Table in Ref. 18) such as</w:t>
      </w:r>
      <w:r w:rsidR="00496EE5" w:rsidRPr="00D05450">
        <w:rPr>
          <w:rFonts w:ascii="Arial" w:hAnsi="Arial" w:cs="Arial"/>
          <w:sz w:val="22"/>
          <w:szCs w:val="22"/>
          <w:lang w:val="en-US"/>
        </w:rPr>
        <w:t xml:space="preserve"> v</w:t>
      </w:r>
      <w:r w:rsidR="00D12970" w:rsidRPr="00D05450">
        <w:rPr>
          <w:rFonts w:ascii="Arial" w:hAnsi="Arial" w:cs="Arial"/>
          <w:sz w:val="22"/>
          <w:szCs w:val="22"/>
          <w:lang w:val="en-US"/>
        </w:rPr>
        <w:t>incristine</w:t>
      </w:r>
      <w:r w:rsidR="00496EE5" w:rsidRPr="00D05450">
        <w:rPr>
          <w:rFonts w:ascii="Arial" w:hAnsi="Arial" w:cs="Arial"/>
          <w:sz w:val="22"/>
          <w:szCs w:val="22"/>
          <w:lang w:val="en-US"/>
        </w:rPr>
        <w:t>, v</w:t>
      </w:r>
      <w:r w:rsidR="00D12970" w:rsidRPr="00D05450">
        <w:rPr>
          <w:rFonts w:ascii="Arial" w:hAnsi="Arial" w:cs="Arial"/>
          <w:sz w:val="22"/>
          <w:szCs w:val="22"/>
          <w:lang w:val="en-US"/>
        </w:rPr>
        <w:t>inblastine</w:t>
      </w:r>
      <w:r w:rsidR="00496EE5" w:rsidRPr="00D05450">
        <w:rPr>
          <w:rFonts w:ascii="Arial" w:hAnsi="Arial" w:cs="Arial"/>
          <w:sz w:val="22"/>
          <w:szCs w:val="22"/>
          <w:lang w:val="en-US"/>
        </w:rPr>
        <w:t>, c</w:t>
      </w:r>
      <w:r w:rsidR="00D12970" w:rsidRPr="00D05450">
        <w:rPr>
          <w:rFonts w:ascii="Arial" w:hAnsi="Arial" w:cs="Arial"/>
          <w:sz w:val="22"/>
          <w:szCs w:val="22"/>
          <w:lang w:val="en-US"/>
        </w:rPr>
        <w:t>yclophosphamide</w:t>
      </w:r>
      <w:r w:rsidR="00496EE5" w:rsidRPr="00D05450">
        <w:rPr>
          <w:rFonts w:ascii="Arial" w:hAnsi="Arial" w:cs="Arial"/>
          <w:sz w:val="22"/>
          <w:szCs w:val="22"/>
          <w:lang w:val="en-US"/>
        </w:rPr>
        <w:t>, c</w:t>
      </w:r>
      <w:r w:rsidR="00D12970" w:rsidRPr="00D05450">
        <w:rPr>
          <w:rFonts w:ascii="Arial" w:hAnsi="Arial" w:cs="Arial"/>
          <w:sz w:val="22"/>
          <w:szCs w:val="22"/>
          <w:lang w:val="en-US"/>
        </w:rPr>
        <w:t>arbamazepine</w:t>
      </w:r>
      <w:r w:rsidR="00496EE5" w:rsidRPr="00D05450">
        <w:rPr>
          <w:rFonts w:ascii="Arial" w:hAnsi="Arial" w:cs="Arial"/>
          <w:sz w:val="22"/>
          <w:szCs w:val="22"/>
          <w:lang w:val="en-US"/>
        </w:rPr>
        <w:t>, t</w:t>
      </w:r>
      <w:r w:rsidR="00D12970" w:rsidRPr="00D05450">
        <w:rPr>
          <w:rFonts w:ascii="Arial" w:hAnsi="Arial" w:cs="Arial"/>
          <w:sz w:val="22"/>
          <w:szCs w:val="22"/>
          <w:lang w:val="en-US"/>
        </w:rPr>
        <w:t>ricyclic antidepressants</w:t>
      </w:r>
      <w:r w:rsidR="00496EE5" w:rsidRPr="00D05450">
        <w:rPr>
          <w:rFonts w:ascii="Arial" w:hAnsi="Arial" w:cs="Arial"/>
          <w:sz w:val="22"/>
          <w:szCs w:val="22"/>
          <w:lang w:val="en-US"/>
        </w:rPr>
        <w:t>, s</w:t>
      </w:r>
      <w:r w:rsidR="00D12970" w:rsidRPr="00D05450">
        <w:rPr>
          <w:rFonts w:ascii="Arial" w:hAnsi="Arial" w:cs="Arial"/>
          <w:sz w:val="22"/>
          <w:szCs w:val="22"/>
          <w:lang w:val="en-US"/>
        </w:rPr>
        <w:t xml:space="preserve">elective </w:t>
      </w:r>
      <w:r w:rsidR="00496EE5" w:rsidRPr="00D05450">
        <w:rPr>
          <w:rFonts w:ascii="Arial" w:hAnsi="Arial" w:cs="Arial"/>
          <w:sz w:val="22"/>
          <w:szCs w:val="22"/>
          <w:lang w:val="en-US"/>
        </w:rPr>
        <w:t>s</w:t>
      </w:r>
      <w:r w:rsidR="00D12970" w:rsidRPr="00D05450">
        <w:rPr>
          <w:rFonts w:ascii="Arial" w:hAnsi="Arial" w:cs="Arial"/>
          <w:sz w:val="22"/>
          <w:szCs w:val="22"/>
          <w:lang w:val="en-US"/>
        </w:rPr>
        <w:t xml:space="preserve">erotonin </w:t>
      </w:r>
      <w:r w:rsidR="00496EE5" w:rsidRPr="00D05450">
        <w:rPr>
          <w:rFonts w:ascii="Arial" w:hAnsi="Arial" w:cs="Arial"/>
          <w:sz w:val="22"/>
          <w:szCs w:val="22"/>
          <w:lang w:val="en-US"/>
        </w:rPr>
        <w:t>r</w:t>
      </w:r>
      <w:r w:rsidR="00D12970" w:rsidRPr="00D05450">
        <w:rPr>
          <w:rFonts w:ascii="Arial" w:hAnsi="Arial" w:cs="Arial"/>
          <w:sz w:val="22"/>
          <w:szCs w:val="22"/>
          <w:lang w:val="en-US"/>
        </w:rPr>
        <w:t xml:space="preserve">euptake </w:t>
      </w:r>
      <w:r w:rsidR="00496EE5" w:rsidRPr="00D05450">
        <w:rPr>
          <w:rFonts w:ascii="Arial" w:hAnsi="Arial" w:cs="Arial"/>
          <w:sz w:val="22"/>
          <w:szCs w:val="22"/>
          <w:lang w:val="en-US"/>
        </w:rPr>
        <w:t>i</w:t>
      </w:r>
      <w:r w:rsidR="00D12970" w:rsidRPr="00D05450">
        <w:rPr>
          <w:rFonts w:ascii="Arial" w:hAnsi="Arial" w:cs="Arial"/>
          <w:sz w:val="22"/>
          <w:szCs w:val="22"/>
          <w:lang w:val="en-US"/>
        </w:rPr>
        <w:t>nhibitors (e.g.</w:t>
      </w:r>
      <w:r w:rsidR="00496EE5" w:rsidRPr="00D05450">
        <w:rPr>
          <w:rFonts w:ascii="Arial" w:hAnsi="Arial" w:cs="Arial"/>
          <w:sz w:val="22"/>
          <w:szCs w:val="22"/>
          <w:lang w:val="en-US"/>
        </w:rPr>
        <w:t xml:space="preserve">, </w:t>
      </w:r>
      <w:r w:rsidR="00D12970" w:rsidRPr="00D05450">
        <w:rPr>
          <w:rFonts w:ascii="Arial" w:hAnsi="Arial" w:cs="Arial"/>
          <w:sz w:val="22"/>
          <w:szCs w:val="22"/>
          <w:lang w:val="en-US"/>
        </w:rPr>
        <w:t>citalopram)</w:t>
      </w:r>
      <w:r w:rsidR="00496EE5" w:rsidRPr="00D05450">
        <w:rPr>
          <w:rFonts w:ascii="Arial" w:hAnsi="Arial" w:cs="Arial"/>
          <w:sz w:val="22"/>
          <w:szCs w:val="22"/>
          <w:lang w:val="en-US"/>
        </w:rPr>
        <w:t>, o</w:t>
      </w:r>
      <w:r w:rsidR="00D12970" w:rsidRPr="00D05450">
        <w:rPr>
          <w:rFonts w:ascii="Arial" w:hAnsi="Arial" w:cs="Arial"/>
          <w:sz w:val="22"/>
          <w:szCs w:val="22"/>
          <w:lang w:val="en-US"/>
        </w:rPr>
        <w:t>xytocin</w:t>
      </w:r>
      <w:r w:rsidR="00496EE5" w:rsidRPr="00D05450">
        <w:rPr>
          <w:rFonts w:ascii="Arial" w:hAnsi="Arial" w:cs="Arial"/>
          <w:sz w:val="22"/>
          <w:szCs w:val="22"/>
          <w:lang w:val="en-US"/>
        </w:rPr>
        <w:t>, o</w:t>
      </w:r>
      <w:r w:rsidR="00D12970" w:rsidRPr="00D05450">
        <w:rPr>
          <w:rFonts w:ascii="Arial" w:hAnsi="Arial" w:cs="Arial"/>
          <w:sz w:val="22"/>
          <w:szCs w:val="22"/>
          <w:lang w:val="en-US"/>
        </w:rPr>
        <w:t>piates</w:t>
      </w:r>
      <w:r w:rsidR="00496EE5" w:rsidRPr="00D05450">
        <w:rPr>
          <w:rFonts w:ascii="Arial" w:hAnsi="Arial" w:cs="Arial"/>
          <w:sz w:val="22"/>
          <w:szCs w:val="22"/>
          <w:lang w:val="en-US"/>
        </w:rPr>
        <w:t>, b</w:t>
      </w:r>
      <w:r w:rsidR="00D12970" w:rsidRPr="00D05450">
        <w:rPr>
          <w:rFonts w:ascii="Arial" w:hAnsi="Arial" w:cs="Arial"/>
          <w:sz w:val="22"/>
          <w:szCs w:val="22"/>
          <w:lang w:val="en-US"/>
        </w:rPr>
        <w:t>arbiturates</w:t>
      </w:r>
      <w:r w:rsidR="00496EE5" w:rsidRPr="00D05450">
        <w:rPr>
          <w:rFonts w:ascii="Arial" w:hAnsi="Arial" w:cs="Arial"/>
          <w:sz w:val="22"/>
          <w:szCs w:val="22"/>
          <w:lang w:val="en-US"/>
        </w:rPr>
        <w:t>, and n</w:t>
      </w:r>
      <w:r w:rsidR="00D12970" w:rsidRPr="00D05450">
        <w:rPr>
          <w:rFonts w:ascii="Arial" w:hAnsi="Arial" w:cs="Arial"/>
          <w:sz w:val="22"/>
          <w:szCs w:val="22"/>
          <w:lang w:val="en-US"/>
        </w:rPr>
        <w:t>icotine</w:t>
      </w:r>
      <w:r w:rsidR="00496EE5" w:rsidRPr="00D05450">
        <w:rPr>
          <w:rFonts w:ascii="Arial" w:hAnsi="Arial" w:cs="Arial"/>
          <w:sz w:val="22"/>
          <w:szCs w:val="22"/>
          <w:lang w:val="en-US"/>
        </w:rPr>
        <w:t xml:space="preserve"> </w:t>
      </w:r>
      <w:r w:rsidR="00D12970" w:rsidRPr="00D05450">
        <w:rPr>
          <w:rFonts w:ascii="Arial" w:hAnsi="Arial" w:cs="Arial"/>
          <w:sz w:val="22"/>
          <w:szCs w:val="22"/>
          <w:lang w:val="en-US"/>
        </w:rPr>
        <w:t xml:space="preserve">may cause SIADH. Either they enhance ADH release, are analogues of ADH, or they amplify </w:t>
      </w:r>
      <w:r>
        <w:rPr>
          <w:rFonts w:ascii="Arial" w:hAnsi="Arial" w:cs="Arial"/>
          <w:sz w:val="22"/>
          <w:szCs w:val="22"/>
          <w:lang w:val="en-US"/>
        </w:rPr>
        <w:t xml:space="preserve">the </w:t>
      </w:r>
      <w:r w:rsidR="00D12970" w:rsidRPr="00D05450">
        <w:rPr>
          <w:rFonts w:ascii="Arial" w:hAnsi="Arial" w:cs="Arial"/>
          <w:sz w:val="22"/>
          <w:szCs w:val="22"/>
          <w:lang w:val="en-US"/>
        </w:rPr>
        <w:t xml:space="preserve">renal effects of ADH. However, for some drugs, the mechanism remains unclear. If applicable, a suspected drug should be discontinued </w:t>
      </w:r>
      <w:r>
        <w:rPr>
          <w:rFonts w:ascii="Arial" w:hAnsi="Arial" w:cs="Arial"/>
          <w:sz w:val="22"/>
          <w:szCs w:val="22"/>
          <w:lang w:val="en-US"/>
        </w:rPr>
        <w:t>with</w:t>
      </w:r>
      <w:r w:rsidR="00D12970" w:rsidRPr="00D05450">
        <w:rPr>
          <w:rFonts w:ascii="Arial" w:hAnsi="Arial" w:cs="Arial"/>
          <w:sz w:val="22"/>
          <w:szCs w:val="22"/>
          <w:lang w:val="en-US"/>
        </w:rPr>
        <w:t xml:space="preserve"> close supervision of plasma sodium levels. Once hyponatremia improves after cessation of a specific drug, drug-induced SIADH is likely. However, unless re</w:t>
      </w:r>
      <w:r w:rsidR="008D3DA9" w:rsidRPr="00D05450">
        <w:rPr>
          <w:rFonts w:ascii="Arial" w:hAnsi="Arial" w:cs="Arial"/>
          <w:sz w:val="22"/>
          <w:szCs w:val="22"/>
          <w:lang w:val="en-US"/>
        </w:rPr>
        <w:t>-</w:t>
      </w:r>
      <w:r w:rsidR="00D12970" w:rsidRPr="00D05450">
        <w:rPr>
          <w:rFonts w:ascii="Arial" w:hAnsi="Arial" w:cs="Arial"/>
          <w:sz w:val="22"/>
          <w:szCs w:val="22"/>
          <w:lang w:val="en-US"/>
        </w:rPr>
        <w:t>exposure takes place, drug- induced SIADH is not proven.</w:t>
      </w:r>
    </w:p>
    <w:p w14:paraId="43BBF10C" w14:textId="77777777" w:rsidR="000C2CA8" w:rsidRPr="00D05450" w:rsidRDefault="000C2CA8" w:rsidP="00341067">
      <w:pPr>
        <w:spacing w:line="276" w:lineRule="auto"/>
        <w:rPr>
          <w:rFonts w:ascii="Arial" w:hAnsi="Arial" w:cs="Arial"/>
          <w:sz w:val="22"/>
          <w:szCs w:val="22"/>
          <w:lang w:val="en-US"/>
        </w:rPr>
      </w:pPr>
    </w:p>
    <w:p w14:paraId="4DCD5D82" w14:textId="77777777" w:rsidR="00AF7083" w:rsidRPr="00AF7083" w:rsidRDefault="00AF7083" w:rsidP="00341067">
      <w:pPr>
        <w:spacing w:line="276" w:lineRule="auto"/>
        <w:rPr>
          <w:rFonts w:ascii="Arial" w:hAnsi="Arial" w:cs="Arial"/>
          <w:b/>
          <w:bCs/>
          <w:color w:val="00B050"/>
          <w:sz w:val="22"/>
          <w:szCs w:val="22"/>
          <w:lang w:val="en-US"/>
        </w:rPr>
      </w:pPr>
      <w:r w:rsidRPr="00AF7083">
        <w:rPr>
          <w:rFonts w:ascii="Arial" w:hAnsi="Arial" w:cs="Arial"/>
          <w:b/>
          <w:bCs/>
          <w:color w:val="00B050"/>
          <w:sz w:val="22"/>
          <w:szCs w:val="22"/>
          <w:lang w:val="en-US"/>
        </w:rPr>
        <w:t>Primary and Secondary SIADH</w:t>
      </w:r>
    </w:p>
    <w:p w14:paraId="5BD44702" w14:textId="77777777" w:rsidR="00AF7083" w:rsidRDefault="00AF7083" w:rsidP="00341067">
      <w:pPr>
        <w:spacing w:line="276" w:lineRule="auto"/>
        <w:rPr>
          <w:rFonts w:ascii="Arial" w:hAnsi="Arial" w:cs="Arial"/>
          <w:b/>
          <w:bCs/>
          <w:sz w:val="22"/>
          <w:szCs w:val="22"/>
          <w:u w:val="single"/>
          <w:lang w:val="en-US"/>
        </w:rPr>
      </w:pPr>
    </w:p>
    <w:p w14:paraId="1C1B3DC5" w14:textId="4AC1E2A2" w:rsidR="000C2CA8" w:rsidRPr="00D05450" w:rsidRDefault="00D12970" w:rsidP="00341067">
      <w:pPr>
        <w:spacing w:line="276" w:lineRule="auto"/>
        <w:rPr>
          <w:rFonts w:ascii="Arial" w:hAnsi="Arial" w:cs="Arial"/>
          <w:sz w:val="22"/>
          <w:szCs w:val="22"/>
          <w:lang w:val="en-US"/>
        </w:rPr>
      </w:pPr>
      <w:r w:rsidRPr="00AF7083">
        <w:rPr>
          <w:rFonts w:ascii="Arial" w:hAnsi="Arial" w:cs="Arial"/>
          <w:sz w:val="22"/>
          <w:szCs w:val="22"/>
          <w:lang w:val="en-US"/>
        </w:rPr>
        <w:t xml:space="preserve">In both primary and secondary SIADH </w:t>
      </w:r>
      <w:r w:rsidRPr="00D05450">
        <w:rPr>
          <w:rFonts w:ascii="Arial" w:hAnsi="Arial" w:cs="Arial"/>
          <w:sz w:val="22"/>
          <w:szCs w:val="22"/>
          <w:lang w:val="en-US"/>
        </w:rPr>
        <w:t>or in euvolemic, hyponatremic patients with suspected SIADH without a therapeutic effect of fluid-intake restriction, the lowest recommended standard dose of a vasopressin V</w:t>
      </w:r>
      <w:r w:rsidRPr="00D05450">
        <w:rPr>
          <w:rFonts w:ascii="Arial" w:hAnsi="Arial" w:cs="Arial"/>
          <w:sz w:val="22"/>
          <w:szCs w:val="22"/>
          <w:vertAlign w:val="subscript"/>
          <w:lang w:val="en-US"/>
        </w:rPr>
        <w:t>2</w:t>
      </w:r>
      <w:r w:rsidRPr="00D05450">
        <w:rPr>
          <w:rFonts w:ascii="Arial" w:hAnsi="Arial" w:cs="Arial"/>
          <w:sz w:val="22"/>
          <w:szCs w:val="22"/>
          <w:lang w:val="en-US"/>
        </w:rPr>
        <w:t>-receptor blocker, e.g.</w:t>
      </w:r>
      <w:r w:rsidR="00496EE5" w:rsidRPr="00D05450">
        <w:rPr>
          <w:rFonts w:ascii="Arial" w:hAnsi="Arial" w:cs="Arial"/>
          <w:sz w:val="22"/>
          <w:szCs w:val="22"/>
          <w:lang w:val="en-US"/>
        </w:rPr>
        <w:t>,</w:t>
      </w:r>
      <w:r w:rsidRPr="00D05450">
        <w:rPr>
          <w:rFonts w:ascii="Arial" w:hAnsi="Arial" w:cs="Arial"/>
          <w:sz w:val="22"/>
          <w:szCs w:val="22"/>
          <w:lang w:val="en-US"/>
        </w:rPr>
        <w:t xml:space="preserve"> Tolvaptan, should be </w:t>
      </w:r>
      <w:r w:rsidR="00AF7083">
        <w:rPr>
          <w:rFonts w:ascii="Arial" w:hAnsi="Arial" w:cs="Arial"/>
          <w:sz w:val="22"/>
          <w:szCs w:val="22"/>
          <w:lang w:val="en-US"/>
        </w:rPr>
        <w:t>administered</w:t>
      </w:r>
      <w:r w:rsidRPr="00D05450">
        <w:rPr>
          <w:rFonts w:ascii="Arial" w:hAnsi="Arial" w:cs="Arial"/>
          <w:sz w:val="22"/>
          <w:szCs w:val="22"/>
          <w:lang w:val="en-US"/>
        </w:rPr>
        <w:t xml:space="preserve"> orally. Besides the diagnostic approach outlined above as step 4, empiric V2-receptor antagonism represents a rescue therapy and is suitable to gain time needed to perform further diagnostics and therapies in (suspected) SIADH.</w:t>
      </w:r>
    </w:p>
    <w:p w14:paraId="60A8557B" w14:textId="77777777" w:rsidR="00496EE5" w:rsidRPr="00D05450" w:rsidRDefault="00496EE5" w:rsidP="00341067">
      <w:pPr>
        <w:spacing w:line="276" w:lineRule="auto"/>
        <w:rPr>
          <w:rFonts w:ascii="Arial" w:hAnsi="Arial" w:cs="Arial"/>
          <w:sz w:val="22"/>
          <w:szCs w:val="22"/>
          <w:lang w:val="en-US"/>
        </w:rPr>
      </w:pPr>
    </w:p>
    <w:p w14:paraId="5C1D61F7" w14:textId="39B49AED"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 xml:space="preserve">Low-dose Tolvaptan therapy was shown to significantly improve hyponatremia (by 3 – 4 mmol/l) within 4 days when compared to placebo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&lt;Refman&gt;&lt;Cite&gt;&lt;Author&gt;Verbalis&lt;/Author&gt;&lt;Year&gt;2011&lt;/Year&gt;&lt;RecNum&gt;375&lt;/RecNum&gt;&lt;IDText&gt;Efficacy and safety of oral tolvaptan therapy in patients with the syndrome of inappropriate antidiuretic hormone secretion&lt;/IDText&gt;&lt;MDL Ref_Type="Journal"&gt;&lt;Ref_Type&gt;Journal&lt;/Ref_Type&gt;&lt;Ref_ID&gt;375&lt;/Ref_ID&gt;&lt;Title_Primary&gt;Efficacy and safety of oral tolvaptan therapy in patients with the syndrome of inappropriate antidiuretic hormone secretion&lt;/Title_Primary&gt;&lt;Authors_Primary&gt;Verbalis,J.G.&lt;/Authors_Primary&gt;&lt;Authors_Primary&gt;Adler,S.&lt;/Authors_Primary&gt;&lt;Authors_Primary&gt;Schrier,R.W.&lt;/Authors_Primary&gt;&lt;Authors_Primary&gt;Berl,T.&lt;/Authors_Primary&gt;&lt;Authors_Primary&gt;Zhao,Q.&lt;/Authors_Primary&gt;&lt;Authors_Primary&gt;Czerwiec,F.S.&lt;/Authors_Primary&gt;&lt;Date_Primary&gt;2011/5&lt;/Date_Primary&gt;&lt;Keywords&gt;administration &amp;amp; dosage&lt;/Keywords&gt;&lt;Keywords&gt;Administration,Oral&lt;/Keywords&gt;&lt;Keywords&gt;adverse effects&lt;/Keywords&gt;&lt;Keywords&gt;Aged&lt;/Keywords&gt;&lt;Keywords&gt;Benzazepines&lt;/Keywords&gt;&lt;Keywords&gt;blood&lt;/Keywords&gt;&lt;Keywords&gt;chemically induced&lt;/Keywords&gt;&lt;Keywords&gt;diagnosis&lt;/Keywords&gt;&lt;Keywords&gt;Dizziness&lt;/Keywords&gt;&lt;Keywords&gt;Double-Blind Method&lt;/Keywords&gt;&lt;Keywords&gt;drug effects&lt;/Keywords&gt;&lt;Keywords&gt;drug therapy&lt;/Keywords&gt;&lt;Keywords&gt;etiology&lt;/Keywords&gt;&lt;Keywords&gt;Female&lt;/Keywords&gt;&lt;Keywords&gt;Follow-Up Studies&lt;/Keywords&gt;&lt;Keywords&gt;Humans&lt;/Keywords&gt;&lt;Keywords&gt;Hyponatremia&lt;/Keywords&gt;&lt;Keywords&gt;Inappropriate ADH Syndrome&lt;/Keywords&gt;&lt;Keywords&gt;Incidence&lt;/Keywords&gt;&lt;Keywords&gt;Male&lt;/Keywords&gt;&lt;Keywords&gt;Middle Aged&lt;/Keywords&gt;&lt;Keywords&gt;physiology&lt;/Keywords&gt;&lt;Keywords&gt;Research&lt;/Keywords&gt;&lt;Keywords&gt;secretion&lt;/Keywords&gt;&lt;Keywords&gt;Syndrome&lt;/Keywords&gt;&lt;Keywords&gt;therapy&lt;/Keywords&gt;&lt;Keywords&gt;Thirst&lt;/Keywords&gt;&lt;Keywords&gt;Treatment Outcome&lt;/Keywords&gt;&lt;Keywords&gt;Urination&lt;/Keywords&gt;&lt;Keywords&gt;Urine&lt;/Keywords&gt;&lt;Reprint&gt;Not in File&lt;/Reprint&gt;&lt;Start_Page&gt;725&lt;/Start_Page&gt;&lt;End_Page&gt;732&lt;/End_Page&gt;&lt;Periodical&gt;Eur.J Endocrinol.&lt;/Periodical&gt;&lt;Volume&gt;164&lt;/Volume&gt;&lt;Issue&gt;5&lt;/Issue&gt;&lt;Address&gt;Georgetown University Medical Center, Georgetown University, Washington, DC 20007, USA. verbalis@georgetown.edu&lt;/Address&gt;&lt;Web_URL&gt;PM:21317283&lt;/Web_URL&gt;&lt;ZZ_JournalStdAbbrev&gt;&lt;f name="System"&gt;Eur.J Endocrinol.&lt;/f&gt;&lt;/ZZ_JournalStdAbbrev&gt;&lt;ZZ_WorkformID&gt;1&lt;/ZZ_WorkformID&gt;&lt;/MDL&gt;&lt;/Cite&gt;&lt;Cite&gt;&lt;Author&gt;Schrier&lt;/Author&gt;&lt;Year&gt;2006&lt;/Year&gt;&lt;RecNum&gt;374&lt;/RecNum&gt;&lt;IDText&gt;Tolvaptan, a selective oral vasopressin V2-receptor antagonist, for hyponatremia&lt;/IDText&gt;&lt;MDL Ref_Type="Journal"&gt;&lt;Ref_Type&gt;Journal&lt;/Ref_Type&gt;&lt;Ref_ID&gt;374&lt;/Ref_ID&gt;&lt;Title_Primary&gt;Tolvaptan, a selective oral vasopressin V2-receptor antagonist, for hyponatremia&lt;/Title_Primary&gt;&lt;Authors_Primary&gt;Schrier,R.W.&lt;/Authors_Primary&gt;&lt;Authors_Primary&gt;Gross,P.&lt;/Authors_Primary&gt;&lt;Authors_Primary&gt;Gheorghiade,M.&lt;/Authors_Primary&gt;&lt;Authors_Primary&gt;Berl,T.&lt;/Authors_Primary&gt;&lt;Authors_Primary&gt;Verbalis,J.G.&lt;/Authors_Primary&gt;&lt;Authors_Primary&gt;Czerwiec,F.S.&lt;/Authors_Primary&gt;&lt;Authors_Primary&gt;Orlandi,C.&lt;/Authors_Primary&gt;&lt;Date_Primary&gt;2006/11/16&lt;/Date_Primary&gt;&lt;Keywords&gt;Administration,Oral&lt;/Keywords&gt;&lt;Keywords&gt;Adolescent&lt;/Keywords&gt;&lt;Keywords&gt;Adult&lt;/Keywords&gt;&lt;Keywords&gt;adverse effects&lt;/Keywords&gt;&lt;Keywords&gt;Aged&lt;/Keywords&gt;&lt;Keywords&gt;Aged,80 and over&lt;/Keywords&gt;&lt;Keywords&gt;analysis&lt;/Keywords&gt;&lt;Keywords&gt;Antidiuretic Hormone Receptor Antagonists&lt;/Keywords&gt;&lt;Keywords&gt;Area Under Curve&lt;/Keywords&gt;&lt;Keywords&gt;Benzazepines&lt;/Keywords&gt;&lt;Keywords&gt;blood&lt;/Keywords&gt;&lt;Keywords&gt;complications&lt;/Keywords&gt;&lt;Keywords&gt;Double-Blind Method&lt;/Keywords&gt;&lt;Keywords&gt;drug therapy&lt;/Keywords&gt;&lt;Keywords&gt;etiology&lt;/Keywords&gt;&lt;Keywords&gt;Female&lt;/Keywords&gt;&lt;Keywords&gt;Heart&lt;/Keywords&gt;&lt;Keywords&gt;Heart Failure&lt;/Keywords&gt;&lt;Keywords&gt;Humans&lt;/Keywords&gt;&lt;Keywords&gt;Hyponatremia&lt;/Keywords&gt;&lt;Keywords&gt;Inappropriate ADH Syndrome&lt;/Keywords&gt;&lt;Keywords&gt;Liver Cirrhosis&lt;/Keywords&gt;&lt;Keywords&gt;Male&lt;/Keywords&gt;&lt;Keywords&gt;methods&lt;/Keywords&gt;&lt;Keywords&gt;Middle Aged&lt;/Keywords&gt;&lt;Keywords&gt;Research&lt;/Keywords&gt;&lt;Keywords&gt;Sodium&lt;/Keywords&gt;&lt;Keywords&gt;therapeutic use&lt;/Keywords&gt;&lt;Keywords&gt;therapy&lt;/Keywords&gt;&lt;Keywords&gt;Thirst&lt;/Keywords&gt;&lt;Keywords&gt;Urination&lt;/Keywords&gt;&lt;Reprint&gt;Not in File&lt;/Reprint&gt;&lt;Start_Page&gt;2099&lt;/Start_Page&gt;&lt;End_Page&gt;2112&lt;/End_Page&gt;&lt;Periodical&gt;N Engl J Med&lt;/Periodical&gt;&lt;Volume&gt;355&lt;/Volume&gt;&lt;Issue&gt;20&lt;/Issue&gt;&lt;Address&gt;University of Colorado, Denver, USA. robert.schrier@uchsc.edu&lt;/Address&gt;&lt;Web_URL&gt;PM:17105757&lt;/Web_URL&gt;&lt;ZZ_JournalStdAbbrev&gt;&lt;f name="System"&gt;N Engl J Med&lt;/f&gt;&lt;/ZZ_JournalStdAbbrev&gt;&lt;ZZ_WorkformID&gt;1&lt;/ZZ_WorkformID&gt;&lt;/MDL&gt;&lt;/Cite&gt;&lt;/Refman&gt;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26, 27</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 xml:space="preserve">. Alternatively, conivaptan (approved for SIADH in the United States) has a broader target than its competitors tolvaptan or mozavaptan. Conivaptan selectively targets the V1a and V2 receptors. Conivaptan can be administered intravenously in patients who are unable to take drugs orally. In addition, conivaptan has a longer bioavailability than newer vaptans including tolvaptan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&lt;Refman&gt;&lt;Cite&gt;&lt;Author&gt;Li-Ng&lt;/Author&gt;&lt;Year&gt;2010&lt;/Year&gt;&lt;RecNum&gt;376&lt;/RecNum&gt;&lt;IDText&gt;Conivaptan: Evidence supporting its therapeutic use in hyponatremia&lt;/IDText&gt;&lt;MDL Ref_Type="Journal"&gt;&lt;Ref_Type&gt;Journal&lt;/Ref_Type&gt;&lt;Ref_ID&gt;376&lt;/Ref_ID&gt;&lt;Title_Primary&gt;Conivaptan: Evidence supporting its therapeutic use in hyponatremia&lt;/Title_Primary&gt;&lt;Authors_Primary&gt;Li-Ng,M.&lt;/Authors_Primary&gt;&lt;Authors_Primary&gt;Verbalis,J.G.&lt;/Authors_Primary&gt;&lt;Date_Primary&gt;2010/6/15&lt;/Date_Primary&gt;&lt;Keywords&gt;adverse effects&lt;/Keywords&gt;&lt;Keywords&gt;Diuresis&lt;/Keywords&gt;&lt;Keywords&gt;Endocrinology&lt;/Keywords&gt;&lt;Keywords&gt;Hyponatremia&lt;/Keywords&gt;&lt;Keywords&gt;metabolism&lt;/Keywords&gt;&lt;Keywords&gt;Sodium&lt;/Keywords&gt;&lt;Keywords&gt;therapeutic use&lt;/Keywords&gt;&lt;Keywords&gt;therapy&lt;/Keywords&gt;&lt;Reprint&gt;Not in File&lt;/Reprint&gt;&lt;Start_Page&gt;83&lt;/Start_Page&gt;&lt;End_Page&gt;92&lt;/End_Page&gt;&lt;Periodical&gt;Core.Evid.&lt;/Periodical&gt;&lt;Volume&gt;4&lt;/Volume&gt;&lt;Address&gt;Division of Endocrinology and Metabolism, Georgetown University Medical Center, Washington, DC, USA&lt;/Address&gt;&lt;Web_URL&gt;PM:20694067&lt;/Web_URL&gt;&lt;ZZ_JournalStdAbbrev&gt;&lt;f name="System"&gt;Core.Evid.&lt;/f&gt;&lt;/ZZ_JournalStdAbbrev&gt;&lt;ZZ_WorkformID&gt;1&lt;/ZZ_WorkformID&gt;&lt;/MDL&gt;&lt;/Cite&gt;&lt;/Refman&gt;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28</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 xml:space="preserve">. In a large proportion of SIADH patients, whether or not the underlying circumstances leading to SIADH are known, fluid-intake restriction controls hyponatremia attributed to SIADH. It is important to note, that with the use of higher daily  tolvaptan </w:t>
      </w:r>
      <w:r w:rsidRPr="00D05450">
        <w:rPr>
          <w:rFonts w:ascii="Arial" w:hAnsi="Arial" w:cs="Arial"/>
          <w:sz w:val="22"/>
          <w:szCs w:val="22"/>
          <w:lang w:val="en-US"/>
        </w:rPr>
        <w:lastRenderedPageBreak/>
        <w:t xml:space="preserve">dosages, the risk of liver injury may increase, as revealed in a recent study in which vaptans were tested to treat autosomal-polycystic kidney disease (ADPKD) </w:t>
      </w: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&lt;Refman&gt;&lt;Cite&gt;&lt;Author&gt;Torres&lt;/Author&gt;&lt;Year&gt;2012&lt;/Year&gt;&lt;RecNum&gt;377&lt;/RecNum&gt;&lt;IDText&gt;Tolvaptan in patients with autosomal dominant polycystic kidney disease&lt;/IDText&gt;&lt;MDL Ref_Type="Journal"&gt;&lt;Ref_Type&gt;Journal&lt;/Ref_Type&gt;&lt;Ref_ID&gt;377&lt;/Ref_ID&gt;&lt;Title_Primary&gt;Tolvaptan in patients with autosomal dominant polycystic kidney disease&lt;/Title_Primary&gt;&lt;Authors_Primary&gt;Torres,V.E.&lt;/Authors_Primary&gt;&lt;Authors_Primary&gt;Chapman,A.B.&lt;/Authors_Primary&gt;&lt;Authors_Primary&gt;Devuyst,O.&lt;/Authors_Primary&gt;&lt;Authors_Primary&gt;Gansevoort,R.T.&lt;/Authors_Primary&gt;&lt;Authors_Primary&gt;Grantham,J.J.&lt;/Authors_Primary&gt;&lt;Authors_Primary&gt;Higashihara,E.&lt;/Authors_Primary&gt;&lt;Authors_Primary&gt;Perrone,R.D.&lt;/Authors_Primary&gt;&lt;Authors_Primary&gt;Krasa,H.B.&lt;/Authors_Primary&gt;&lt;Authors_Primary&gt;Ouyang,J.&lt;/Authors_Primary&gt;&lt;Authors_Primary&gt;Czerwiec,F.S.&lt;/Authors_Primary&gt;&lt;Date_Primary&gt;2012/12/20&lt;/Date_Primary&gt;&lt;Keywords&gt;Adolescent&lt;/Keywords&gt;&lt;Keywords&gt;Adult&lt;/Keywords&gt;&lt;Keywords&gt;adverse effects&lt;/Keywords&gt;&lt;Keywords&gt;Albuminuria&lt;/Keywords&gt;&lt;Keywords&gt;Antidiuretic Hormone Receptor Antagonists&lt;/Keywords&gt;&lt;Keywords&gt;Benzazepines&lt;/Keywords&gt;&lt;Keywords&gt;blood&lt;/Keywords&gt;&lt;Keywords&gt;Creatinine&lt;/Keywords&gt;&lt;Keywords&gt;Double-Blind Method&lt;/Keywords&gt;&lt;Keywords&gt;drug effects&lt;/Keywords&gt;&lt;Keywords&gt;drug therapy&lt;/Keywords&gt;&lt;Keywords&gt;Female&lt;/Keywords&gt;&lt;Keywords&gt;Glomerular Filtration Rate&lt;/Keywords&gt;&lt;Keywords&gt;Humans&lt;/Keywords&gt;&lt;Keywords&gt;Hypertension&lt;/Keywords&gt;&lt;Keywords&gt;Kidney&lt;/Keywords&gt;&lt;Keywords&gt;Male&lt;/Keywords&gt;&lt;Keywords&gt;methods&lt;/Keywords&gt;&lt;Keywords&gt;Middle Aged&lt;/Keywords&gt;&lt;Keywords&gt;Nephrology&lt;/Keywords&gt;&lt;Keywords&gt;Organ Size&lt;/Keywords&gt;&lt;Keywords&gt;pathology&lt;/Keywords&gt;&lt;Keywords&gt;physiopathology&lt;/Keywords&gt;&lt;Keywords&gt;Polycystic Kidney,Autosomal Dominant&lt;/Keywords&gt;&lt;Keywords&gt;Research&lt;/Keywords&gt;&lt;Keywords&gt;Serum creatinine&lt;/Keywords&gt;&lt;Keywords&gt;Sodium&lt;/Keywords&gt;&lt;Keywords&gt;therapeutic use&lt;/Keywords&gt;&lt;Keywords&gt;Time&lt;/Keywords&gt;&lt;Keywords&gt;Young Adult&lt;/Keywords&gt;&lt;Reprint&gt;Not in File&lt;/Reprint&gt;&lt;Start_Page&gt;2407&lt;/Start_Page&gt;&lt;End_Page&gt;2418&lt;/End_Page&gt;&lt;Periodical&gt;N Engl J Med&lt;/Periodical&gt;&lt;Volume&gt;367&lt;/Volume&gt;&lt;Issue&gt;25&lt;/Issue&gt;&lt;Address&gt;Division of Nephrology and Hypertension, Department of Internal Medicine, Mayo Clinic, Rochester, MN 55905, USA. torres.vicente@mayo.edu&lt;/Address&gt;&lt;Web_URL&gt;PM:23121377&lt;/Web_URL&gt;&lt;ZZ_JournalStdAbbrev&gt;&lt;f name="System"&gt;N Engl J Med&lt;/f&gt;&lt;/ZZ_JournalStdAbbrev&gt;&lt;ZZ_WorkformID&gt;1&lt;/ZZ_WorkformID&gt;&lt;/MDL&gt;&lt;/Cite&gt;&lt;/Refman&gt;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29</w:t>
      </w:r>
      <w:r w:rsidR="00341067" w:rsidRPr="00D05450">
        <w:rPr>
          <w:rFonts w:ascii="Arial" w:hAnsi="Arial" w:cs="Arial"/>
          <w:sz w:val="22"/>
          <w:szCs w:val="22"/>
          <w:lang w:val="en-US"/>
        </w:rPr>
        <w:t>)</w:t>
      </w:r>
      <w:r w:rsidRPr="00D05450">
        <w:rPr>
          <w:rFonts w:ascii="Arial" w:hAnsi="Arial" w:cs="Arial"/>
          <w:sz w:val="22"/>
          <w:szCs w:val="22"/>
          <w:lang w:val="en-US"/>
        </w:rPr>
        <w:fldChar w:fldCharType="end"/>
      </w:r>
      <w:r w:rsidRPr="00D05450">
        <w:rPr>
          <w:rFonts w:ascii="Arial" w:hAnsi="Arial" w:cs="Arial"/>
          <w:sz w:val="22"/>
          <w:szCs w:val="22"/>
          <w:lang w:val="en-US"/>
        </w:rPr>
        <w:t xml:space="preserve">. </w:t>
      </w:r>
    </w:p>
    <w:p w14:paraId="316A1C39" w14:textId="77777777" w:rsidR="00496EE5" w:rsidRPr="00D05450" w:rsidRDefault="00496EE5" w:rsidP="00341067">
      <w:pPr>
        <w:spacing w:line="276" w:lineRule="auto"/>
        <w:rPr>
          <w:rFonts w:ascii="Arial" w:hAnsi="Arial" w:cs="Arial"/>
          <w:sz w:val="22"/>
          <w:szCs w:val="22"/>
          <w:lang w:val="en-US"/>
        </w:rPr>
      </w:pPr>
    </w:p>
    <w:p w14:paraId="6E4431CB" w14:textId="158CD34F"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In essence, V</w:t>
      </w:r>
      <w:r w:rsidRPr="00D05450">
        <w:rPr>
          <w:rFonts w:ascii="Arial" w:hAnsi="Arial" w:cs="Arial"/>
          <w:sz w:val="22"/>
          <w:szCs w:val="22"/>
          <w:vertAlign w:val="subscript"/>
          <w:lang w:val="en-US"/>
        </w:rPr>
        <w:t>2</w:t>
      </w:r>
      <w:r w:rsidRPr="00D05450">
        <w:rPr>
          <w:rFonts w:ascii="Arial" w:hAnsi="Arial" w:cs="Arial"/>
          <w:sz w:val="22"/>
          <w:szCs w:val="22"/>
          <w:lang w:val="en-US"/>
        </w:rPr>
        <w:t>-receptor antagonism remains both a diagnostic and a therapeutic tool for SIADH when applied under scrutiny and for a limited period of time. To date, data on long-term use of V</w:t>
      </w:r>
      <w:r w:rsidRPr="00D05450">
        <w:rPr>
          <w:rFonts w:ascii="Arial" w:hAnsi="Arial" w:cs="Arial"/>
          <w:sz w:val="22"/>
          <w:szCs w:val="22"/>
          <w:vertAlign w:val="subscript"/>
          <w:lang w:val="en-US"/>
        </w:rPr>
        <w:t>2</w:t>
      </w:r>
      <w:r w:rsidRPr="00D05450">
        <w:rPr>
          <w:rFonts w:ascii="Arial" w:hAnsi="Arial" w:cs="Arial"/>
          <w:sz w:val="22"/>
          <w:szCs w:val="22"/>
          <w:lang w:val="en-US"/>
        </w:rPr>
        <w:t>-receptor blockers have not been published, especially for the use of a combined V1a-V2 receptor blockade. V2 antagonists that have been used for the treatment of SIADH are listed in Table 3. The fact that hyponatremia may reoccur shortly after V</w:t>
      </w:r>
      <w:r w:rsidRPr="00D05450">
        <w:rPr>
          <w:rFonts w:ascii="Arial" w:hAnsi="Arial" w:cs="Arial"/>
          <w:sz w:val="22"/>
          <w:szCs w:val="22"/>
          <w:vertAlign w:val="subscript"/>
          <w:lang w:val="en-US"/>
        </w:rPr>
        <w:t>2</w:t>
      </w:r>
      <w:r w:rsidRPr="00D05450">
        <w:rPr>
          <w:rFonts w:ascii="Arial" w:hAnsi="Arial" w:cs="Arial"/>
          <w:sz w:val="22"/>
          <w:szCs w:val="22"/>
          <w:lang w:val="en-US"/>
        </w:rPr>
        <w:t>-receptor-blocker discontinuation emphasizes the need to identify the underlying cause of SIADH in order to devise a definitive therapy.</w:t>
      </w:r>
    </w:p>
    <w:p w14:paraId="49373C9F" w14:textId="77777777" w:rsidR="000C2CA8" w:rsidRPr="00D05450" w:rsidRDefault="000C2CA8" w:rsidP="00341067">
      <w:pPr>
        <w:spacing w:line="276" w:lineRule="auto"/>
        <w:rPr>
          <w:rFonts w:ascii="Arial" w:hAnsi="Arial" w:cs="Arial"/>
          <w:sz w:val="22"/>
          <w:szCs w:val="22"/>
          <w:lang w:val="en-US"/>
        </w:rPr>
      </w:pPr>
    </w:p>
    <w:tbl>
      <w:tblPr>
        <w:tblW w:w="9213" w:type="dxa"/>
        <w:tblInd w:w="-128" w:type="dxa"/>
        <w:tblLayout w:type="fixed"/>
        <w:tblLook w:val="04A0" w:firstRow="1" w:lastRow="0" w:firstColumn="1" w:lastColumn="0" w:noHBand="0" w:noVBand="1"/>
      </w:tblPr>
      <w:tblGrid>
        <w:gridCol w:w="2823"/>
        <w:gridCol w:w="2790"/>
        <w:gridCol w:w="2070"/>
        <w:gridCol w:w="1530"/>
      </w:tblGrid>
      <w:tr w:rsidR="00496EE5" w:rsidRPr="00D05450" w14:paraId="7DAA3284" w14:textId="77777777" w:rsidTr="00496EE5">
        <w:tc>
          <w:tcPr>
            <w:tcW w:w="9213" w:type="dxa"/>
            <w:gridSpan w:val="4"/>
            <w:tcBorders>
              <w:top w:val="single" w:sz="4" w:space="0" w:color="000000"/>
              <w:left w:val="single" w:sz="4" w:space="0" w:color="000000"/>
              <w:bottom w:val="single" w:sz="4" w:space="0" w:color="000000"/>
              <w:right w:val="single" w:sz="4" w:space="0" w:color="000000"/>
            </w:tcBorders>
            <w:shd w:val="clear" w:color="auto" w:fill="FFFF00"/>
          </w:tcPr>
          <w:p w14:paraId="20E49EBB" w14:textId="04BE3D69" w:rsidR="00496EE5" w:rsidRPr="00D05450" w:rsidRDefault="00496EE5" w:rsidP="00341067">
            <w:pPr>
              <w:widowControl w:val="0"/>
              <w:spacing w:line="276" w:lineRule="auto"/>
              <w:rPr>
                <w:rFonts w:ascii="Arial" w:hAnsi="Arial" w:cs="Arial"/>
                <w:b/>
                <w:bCs/>
                <w:sz w:val="22"/>
                <w:szCs w:val="22"/>
                <w:lang w:val="en-US"/>
              </w:rPr>
            </w:pPr>
            <w:r w:rsidRPr="00D05450">
              <w:rPr>
                <w:rFonts w:ascii="Arial" w:hAnsi="Arial" w:cs="Arial"/>
                <w:b/>
                <w:bCs/>
                <w:sz w:val="22"/>
                <w:szCs w:val="22"/>
                <w:lang w:val="en-US"/>
              </w:rPr>
              <w:t>Table 3. V2 Receptor Antagonists</w:t>
            </w:r>
          </w:p>
        </w:tc>
      </w:tr>
      <w:tr w:rsidR="000C2CA8" w:rsidRPr="00D05450" w14:paraId="67FB396F" w14:textId="77777777" w:rsidTr="00496EE5">
        <w:tc>
          <w:tcPr>
            <w:tcW w:w="2823" w:type="dxa"/>
            <w:tcBorders>
              <w:top w:val="single" w:sz="4" w:space="0" w:color="000000"/>
              <w:left w:val="single" w:sz="4" w:space="0" w:color="000000"/>
              <w:bottom w:val="single" w:sz="4" w:space="0" w:color="000000"/>
              <w:right w:val="single" w:sz="4" w:space="0" w:color="000000"/>
            </w:tcBorders>
          </w:tcPr>
          <w:p w14:paraId="6F02EF4F" w14:textId="77777777" w:rsidR="000C2CA8" w:rsidRPr="00D05450" w:rsidRDefault="00D12970" w:rsidP="00341067">
            <w:pPr>
              <w:widowControl w:val="0"/>
              <w:spacing w:line="276" w:lineRule="auto"/>
              <w:rPr>
                <w:rFonts w:ascii="Arial" w:hAnsi="Arial" w:cs="Arial"/>
                <w:b/>
                <w:bCs/>
                <w:sz w:val="22"/>
                <w:szCs w:val="22"/>
                <w:lang w:val="en-US"/>
              </w:rPr>
            </w:pPr>
            <w:r w:rsidRPr="00D05450">
              <w:rPr>
                <w:rFonts w:ascii="Arial" w:hAnsi="Arial" w:cs="Arial"/>
                <w:b/>
                <w:bCs/>
                <w:sz w:val="22"/>
                <w:szCs w:val="22"/>
                <w:lang w:val="en-US"/>
              </w:rPr>
              <w:t>Drug</w:t>
            </w:r>
          </w:p>
        </w:tc>
        <w:tc>
          <w:tcPr>
            <w:tcW w:w="2790" w:type="dxa"/>
            <w:tcBorders>
              <w:top w:val="single" w:sz="4" w:space="0" w:color="000000"/>
              <w:left w:val="single" w:sz="4" w:space="0" w:color="000000"/>
              <w:bottom w:val="single" w:sz="4" w:space="0" w:color="000000"/>
              <w:right w:val="single" w:sz="4" w:space="0" w:color="000000"/>
            </w:tcBorders>
          </w:tcPr>
          <w:p w14:paraId="5EA38A48" w14:textId="77777777" w:rsidR="000C2CA8" w:rsidRPr="00D05450" w:rsidRDefault="00D12970" w:rsidP="00341067">
            <w:pPr>
              <w:widowControl w:val="0"/>
              <w:spacing w:line="276" w:lineRule="auto"/>
              <w:rPr>
                <w:rFonts w:ascii="Arial" w:hAnsi="Arial" w:cs="Arial"/>
                <w:b/>
                <w:bCs/>
                <w:sz w:val="22"/>
                <w:szCs w:val="22"/>
                <w:lang w:val="en-US"/>
              </w:rPr>
            </w:pPr>
            <w:r w:rsidRPr="00D05450">
              <w:rPr>
                <w:rFonts w:ascii="Arial" w:hAnsi="Arial" w:cs="Arial"/>
                <w:b/>
                <w:bCs/>
                <w:sz w:val="22"/>
                <w:szCs w:val="22"/>
                <w:lang w:val="en-US"/>
              </w:rPr>
              <w:t>Route of administration</w:t>
            </w:r>
          </w:p>
        </w:tc>
        <w:tc>
          <w:tcPr>
            <w:tcW w:w="2070" w:type="dxa"/>
            <w:tcBorders>
              <w:top w:val="single" w:sz="4" w:space="0" w:color="000000"/>
              <w:left w:val="single" w:sz="4" w:space="0" w:color="000000"/>
              <w:bottom w:val="single" w:sz="4" w:space="0" w:color="000000"/>
              <w:right w:val="single" w:sz="4" w:space="0" w:color="000000"/>
            </w:tcBorders>
          </w:tcPr>
          <w:p w14:paraId="42FCCB3E" w14:textId="77777777" w:rsidR="000C2CA8" w:rsidRPr="00D05450" w:rsidRDefault="00D12970" w:rsidP="00341067">
            <w:pPr>
              <w:widowControl w:val="0"/>
              <w:spacing w:line="276" w:lineRule="auto"/>
              <w:rPr>
                <w:rFonts w:ascii="Arial" w:hAnsi="Arial" w:cs="Arial"/>
                <w:b/>
                <w:bCs/>
                <w:sz w:val="22"/>
                <w:szCs w:val="22"/>
                <w:lang w:val="en-US"/>
              </w:rPr>
            </w:pPr>
            <w:r w:rsidRPr="00D05450">
              <w:rPr>
                <w:rFonts w:ascii="Arial" w:hAnsi="Arial" w:cs="Arial"/>
                <w:b/>
                <w:bCs/>
                <w:sz w:val="22"/>
                <w:szCs w:val="22"/>
                <w:lang w:val="en-US"/>
              </w:rPr>
              <w:t>Receptor affinity</w:t>
            </w:r>
          </w:p>
        </w:tc>
        <w:tc>
          <w:tcPr>
            <w:tcW w:w="1530" w:type="dxa"/>
            <w:tcBorders>
              <w:top w:val="single" w:sz="4" w:space="0" w:color="000000"/>
              <w:left w:val="single" w:sz="4" w:space="0" w:color="000000"/>
              <w:bottom w:val="single" w:sz="4" w:space="0" w:color="000000"/>
              <w:right w:val="single" w:sz="4" w:space="0" w:color="000000"/>
            </w:tcBorders>
          </w:tcPr>
          <w:p w14:paraId="770DD041" w14:textId="77777777" w:rsidR="000C2CA8" w:rsidRPr="00D05450" w:rsidRDefault="00D12970" w:rsidP="00341067">
            <w:pPr>
              <w:widowControl w:val="0"/>
              <w:spacing w:line="276" w:lineRule="auto"/>
              <w:rPr>
                <w:rFonts w:ascii="Arial" w:hAnsi="Arial" w:cs="Arial"/>
                <w:b/>
                <w:bCs/>
                <w:sz w:val="22"/>
                <w:szCs w:val="22"/>
                <w:lang w:val="en-US"/>
              </w:rPr>
            </w:pPr>
            <w:r w:rsidRPr="00D05450">
              <w:rPr>
                <w:rFonts w:ascii="Arial" w:hAnsi="Arial" w:cs="Arial"/>
                <w:b/>
                <w:bCs/>
                <w:sz w:val="22"/>
                <w:szCs w:val="22"/>
                <w:lang w:val="en-US"/>
              </w:rPr>
              <w:t>Literature</w:t>
            </w:r>
          </w:p>
        </w:tc>
      </w:tr>
      <w:tr w:rsidR="000C2CA8" w:rsidRPr="00D05450" w14:paraId="2F0212DD" w14:textId="77777777" w:rsidTr="00496EE5">
        <w:tc>
          <w:tcPr>
            <w:tcW w:w="2823" w:type="dxa"/>
            <w:tcBorders>
              <w:top w:val="single" w:sz="4" w:space="0" w:color="000000"/>
              <w:left w:val="single" w:sz="4" w:space="0" w:color="000000"/>
              <w:bottom w:val="single" w:sz="4" w:space="0" w:color="000000"/>
              <w:right w:val="single" w:sz="4" w:space="0" w:color="000000"/>
            </w:tcBorders>
          </w:tcPr>
          <w:p w14:paraId="2BD73FDA"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Tolvaptan</w:t>
            </w:r>
          </w:p>
        </w:tc>
        <w:tc>
          <w:tcPr>
            <w:tcW w:w="2790" w:type="dxa"/>
            <w:vMerge w:val="restart"/>
            <w:tcBorders>
              <w:top w:val="single" w:sz="4" w:space="0" w:color="000000"/>
              <w:left w:val="single" w:sz="4" w:space="0" w:color="000000"/>
              <w:bottom w:val="single" w:sz="4" w:space="0" w:color="000000"/>
              <w:right w:val="single" w:sz="4" w:space="0" w:color="000000"/>
            </w:tcBorders>
          </w:tcPr>
          <w:p w14:paraId="7BB95094" w14:textId="77777777" w:rsidR="000C2CA8" w:rsidRPr="00D05450" w:rsidRDefault="000C2CA8" w:rsidP="00341067">
            <w:pPr>
              <w:widowControl w:val="0"/>
              <w:snapToGrid w:val="0"/>
              <w:spacing w:line="276" w:lineRule="auto"/>
              <w:rPr>
                <w:rFonts w:ascii="Arial" w:hAnsi="Arial" w:cs="Arial"/>
                <w:sz w:val="22"/>
                <w:szCs w:val="22"/>
                <w:lang w:val="en-US"/>
              </w:rPr>
            </w:pPr>
          </w:p>
          <w:p w14:paraId="0F553B6C" w14:textId="77777777" w:rsidR="000C2CA8" w:rsidRPr="00D05450" w:rsidRDefault="000C2CA8" w:rsidP="00341067">
            <w:pPr>
              <w:widowControl w:val="0"/>
              <w:spacing w:line="276" w:lineRule="auto"/>
              <w:rPr>
                <w:rFonts w:ascii="Arial" w:hAnsi="Arial" w:cs="Arial"/>
                <w:sz w:val="22"/>
                <w:szCs w:val="22"/>
                <w:lang w:val="en-US"/>
              </w:rPr>
            </w:pPr>
          </w:p>
          <w:p w14:paraId="53D5693D" w14:textId="39A3EE6C" w:rsidR="000C2CA8" w:rsidRPr="00D05450" w:rsidRDefault="00D12970" w:rsidP="00341067">
            <w:pPr>
              <w:widowControl w:val="0"/>
              <w:spacing w:line="276" w:lineRule="auto"/>
              <w:rPr>
                <w:rFonts w:ascii="Arial" w:eastAsia="Arial" w:hAnsi="Arial" w:cs="Arial"/>
                <w:sz w:val="22"/>
                <w:szCs w:val="22"/>
                <w:lang w:val="en-US"/>
              </w:rPr>
            </w:pPr>
            <w:r w:rsidRPr="00D05450">
              <w:rPr>
                <w:rFonts w:ascii="Arial" w:hAnsi="Arial" w:cs="Arial"/>
                <w:sz w:val="22"/>
                <w:szCs w:val="22"/>
                <w:lang w:val="en-US"/>
              </w:rPr>
              <w:t>oral</w:t>
            </w:r>
          </w:p>
        </w:tc>
        <w:tc>
          <w:tcPr>
            <w:tcW w:w="2070" w:type="dxa"/>
            <w:vMerge w:val="restart"/>
            <w:tcBorders>
              <w:top w:val="single" w:sz="4" w:space="0" w:color="000000"/>
              <w:left w:val="single" w:sz="4" w:space="0" w:color="000000"/>
              <w:bottom w:val="single" w:sz="4" w:space="0" w:color="000000"/>
              <w:right w:val="single" w:sz="4" w:space="0" w:color="000000"/>
            </w:tcBorders>
          </w:tcPr>
          <w:p w14:paraId="34DF4CF8" w14:textId="77777777" w:rsidR="00496EE5" w:rsidRPr="00D05450" w:rsidRDefault="00496EE5" w:rsidP="00341067">
            <w:pPr>
              <w:widowControl w:val="0"/>
              <w:spacing w:line="276" w:lineRule="auto"/>
              <w:rPr>
                <w:rFonts w:ascii="Arial" w:hAnsi="Arial" w:cs="Arial"/>
                <w:sz w:val="22"/>
                <w:szCs w:val="22"/>
                <w:lang w:val="en-US"/>
              </w:rPr>
            </w:pPr>
          </w:p>
          <w:p w14:paraId="0DCA63D4" w14:textId="50270A01" w:rsidR="000C2CA8" w:rsidRPr="00D05450" w:rsidRDefault="00D12970" w:rsidP="00341067">
            <w:pPr>
              <w:widowControl w:val="0"/>
              <w:spacing w:line="276" w:lineRule="auto"/>
              <w:rPr>
                <w:rFonts w:ascii="Arial" w:hAnsi="Arial" w:cs="Arial"/>
                <w:sz w:val="22"/>
                <w:szCs w:val="22"/>
                <w:lang w:val="en-US"/>
              </w:rPr>
            </w:pPr>
            <w:r w:rsidRPr="00D05450">
              <w:rPr>
                <w:rFonts w:ascii="Arial" w:eastAsia="Arial" w:hAnsi="Arial" w:cs="Arial"/>
                <w:sz w:val="22"/>
                <w:szCs w:val="22"/>
                <w:lang w:val="en-US"/>
              </w:rPr>
              <w:t xml:space="preserve">          </w:t>
            </w:r>
            <w:r w:rsidRPr="00D05450">
              <w:rPr>
                <w:rFonts w:ascii="Arial" w:hAnsi="Arial" w:cs="Arial"/>
                <w:sz w:val="22"/>
                <w:szCs w:val="22"/>
                <w:lang w:val="en-US"/>
              </w:rPr>
              <w:t>V2</w:t>
            </w:r>
          </w:p>
        </w:tc>
        <w:tc>
          <w:tcPr>
            <w:tcW w:w="1530" w:type="dxa"/>
            <w:tcBorders>
              <w:top w:val="single" w:sz="4" w:space="0" w:color="000000"/>
              <w:left w:val="single" w:sz="4" w:space="0" w:color="000000"/>
              <w:bottom w:val="single" w:sz="4" w:space="0" w:color="000000"/>
              <w:right w:val="single" w:sz="4" w:space="0" w:color="000000"/>
            </w:tcBorders>
          </w:tcPr>
          <w:p w14:paraId="2864684D" w14:textId="12687A70"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&lt;Refman&gt;&lt;Cite&gt;&lt;Author&gt;Verbalis&lt;/Author&gt;&lt;Year&gt;2011&lt;/Year&gt;&lt;RecNum&gt;375&lt;/RecNum&gt;&lt;IDText&gt;Efficacy and safety of oral tolvaptan therapy in patients with the syndrome of inappropriate antidiuretic hormone secretion&lt;/IDText&gt;&lt;MDL Ref_Type="Journal"&gt;&lt;Ref_Type&gt;Journal&lt;/Ref_Type&gt;&lt;Ref_ID&gt;375&lt;/Ref_ID&gt;&lt;Title_Primary&gt;Efficacy and safety of oral tolvaptan therapy in patients with the syndrome of inappropriate antidiuretic hormone secretion&lt;/Title_Primary&gt;&lt;Authors_Primary&gt;Verbalis,J.G.&lt;/Authors_Primary&gt;&lt;Authors_Primary&gt;Adler,S.&lt;/Authors_Primary&gt;&lt;Authors_Primary&gt;Schrier,R.W.&lt;/Authors_Primary&gt;&lt;Authors_Primary&gt;Berl,T.&lt;/Authors_Primary&gt;&lt;Authors_Primary&gt;Zhao,Q.&lt;/Authors_Primary&gt;&lt;Authors_Primary&gt;Czerwiec,F.S.&lt;/Authors_Primary&gt;&lt;Date_Primary&gt;2011/5&lt;/Date_Primary&gt;&lt;Keywords&gt;administration &amp;amp; dosage&lt;/Keywords&gt;&lt;Keywords&gt;Administration,Oral&lt;/Keywords&gt;&lt;Keywords&gt;adverse effects&lt;/Keywords&gt;&lt;Keywords&gt;Aged&lt;/Keywords&gt;&lt;Keywords&gt;Benzazepines&lt;/Keywords&gt;&lt;Keywords&gt;blood&lt;/Keywords&gt;&lt;Keywords&gt;chemically induced&lt;/Keywords&gt;&lt;Keywords&gt;diagnosis&lt;/Keywords&gt;&lt;Keywords&gt;Dizziness&lt;/Keywords&gt;&lt;Keywords&gt;Double-Blind Method&lt;/Keywords&gt;&lt;Keywords&gt;drug effects&lt;/Keywords&gt;&lt;Keywords&gt;drug therapy&lt;/Keywords&gt;&lt;Keywords&gt;etiology&lt;/Keywords&gt;&lt;Keywords&gt;Female&lt;/Keywords&gt;&lt;Keywords&gt;Follow-Up Studies&lt;/Keywords&gt;&lt;Keywords&gt;Humans&lt;/Keywords&gt;&lt;Keywords&gt;Hyponatremia&lt;/Keywords&gt;&lt;Keywords&gt;Inappropriate ADH Syndrome&lt;/Keywords&gt;&lt;Keywords&gt;Incidence&lt;/Keywords&gt;&lt;Keywords&gt;Male&lt;/Keywords&gt;&lt;Keywords&gt;Middle Aged&lt;/Keywords&gt;&lt;Keywords&gt;physiology&lt;/Keywords&gt;&lt;Keywords&gt;Research&lt;/Keywords&gt;&lt;Keywords&gt;secretion&lt;/Keywords&gt;&lt;Keywords&gt;Syndrome&lt;/Keywords&gt;&lt;Keywords&gt;therapy&lt;/Keywords&gt;&lt;Keywords&gt;Thirst&lt;/Keywords&gt;&lt;Keywords&gt;Treatment Outcome&lt;/Keywords&gt;&lt;Keywords&gt;Urination&lt;/Keywords&gt;&lt;Keywords&gt;Urine&lt;/Keywords&gt;&lt;Reprint&gt;Not in File&lt;/Reprint&gt;&lt;Start_Page&gt;725&lt;/Start_Page&gt;&lt;End_Page&gt;732&lt;/End_Page&gt;&lt;Periodical&gt;Eur.J Endocrinol.&lt;/Periodical&gt;&lt;Volume&gt;164&lt;/Volume&gt;&lt;Issue&gt;5&lt;/Issue&gt;&lt;Address&gt;Georgetown University Medical Center, Georgetown University, Washington, DC 20007, USA. verbalis@georgetown.edu&lt;/Address&gt;&lt;Web_URL&gt;PM:21317283&lt;/Web_URL&gt;&lt;ZZ_JournalStdAbbrev&gt;&lt;f name="System"&gt;Eur.J Endocrinol.&lt;/f&gt;&lt;/ZZ_JournalStdAbbrev&gt;&lt;ZZ_WorkformID&gt;1&lt;/ZZ_WorkformID&gt;&lt;/MDL&gt;&lt;/Cite&gt;&lt;Cite&gt;&lt;Author&gt;Schrier&lt;/Author&gt;&lt;Year&gt;2006&lt;/Year&gt;&lt;RecNum&gt;374&lt;/RecNum&gt;&lt;IDText&gt;Tolvaptan, a selective oral vasopressin V2-receptor antagonist, for hyponatremia&lt;/IDText&gt;&lt;MDL Ref_Type="Journal"&gt;&lt;Ref_Type&gt;Journal&lt;/Ref_Type&gt;&lt;Ref_ID&gt;374&lt;/Ref_ID&gt;&lt;Title_Primary&gt;Tolvaptan, a selective oral vasopressin V2-receptor antagonist, for hyponatremia&lt;/Title_Primary&gt;&lt;Authors_Primary&gt;Schrier,R.W.&lt;/Authors_Primary&gt;&lt;Authors_Primary&gt;Gross,P.&lt;/Authors_Primary&gt;&lt;Authors_Primary&gt;Gheorghiade,M.&lt;/Authors_Primary&gt;&lt;Authors_Primary&gt;Berl,T.&lt;/Authors_Primary&gt;&lt;Authors_Primary&gt;Verbalis,J.G.&lt;/Authors_Primary&gt;&lt;Authors_Primary&gt;Czerwiec,F.S.&lt;/Authors_Primary&gt;&lt;Authors_Primary&gt;Orlandi,C.&lt;/Authors_Primary&gt;&lt;Date_Primary&gt;2006/11/16&lt;/Date_Primary&gt;&lt;Keywords&gt;Administration,Oral&lt;/Keywords&gt;&lt;Keywords&gt;Adolescent&lt;/Keywords&gt;&lt;Keywords&gt;Adult&lt;/Keywords&gt;&lt;Keywords&gt;adverse effects&lt;/Keywords&gt;&lt;Keywords&gt;Aged&lt;/Keywords&gt;&lt;Keywords&gt;Aged,80 and over&lt;/Keywords&gt;&lt;Keywords&gt;analysis&lt;/Keywords&gt;&lt;Keywords&gt;Antidiuretic Hormone Receptor Antagonists&lt;/Keywords&gt;&lt;Keywords&gt;Area Under Curve&lt;/Keywords&gt;&lt;Keywords&gt;Benzazepines&lt;/Keywords&gt;&lt;Keywords&gt;blood&lt;/Keywords&gt;&lt;Keywords&gt;complications&lt;/Keywords&gt;&lt;Keywords&gt;Double-Blind Method&lt;/Keywords&gt;&lt;Keywords&gt;drug therapy&lt;/Keywords&gt;&lt;Keywords&gt;etiology&lt;/Keywords&gt;&lt;Keywords&gt;Female&lt;/Keywords&gt;&lt;Keywords&gt;Heart&lt;/Keywords&gt;&lt;Keywords&gt;Heart Failure&lt;/Keywords&gt;&lt;Keywords&gt;Humans&lt;/Keywords&gt;&lt;Keywords&gt;Hyponatremia&lt;/Keywords&gt;&lt;Keywords&gt;Inappropriate ADH Syndrome&lt;/Keywords&gt;&lt;Keywords&gt;Liver Cirrhosis&lt;/Keywords&gt;&lt;Keywords&gt;Male&lt;/Keywords&gt;&lt;Keywords&gt;methods&lt;/Keywords&gt;&lt;Keywords&gt;Middle Aged&lt;/Keywords&gt;&lt;Keywords&gt;Research&lt;/Keywords&gt;&lt;Keywords&gt;Sodium&lt;/Keywords&gt;&lt;Keywords&gt;therapeutic use&lt;/Keywords&gt;&lt;Keywords&gt;therapy&lt;/Keywords&gt;&lt;Keywords&gt;Thirst&lt;/Keywords&gt;&lt;Keywords&gt;Urination&lt;/Keywords&gt;&lt;Reprint&gt;Not in File&lt;/Reprint&gt;&lt;Start_Page&gt;2099&lt;/Start_Page&gt;&lt;End_Page&gt;2112&lt;/End_Page&gt;&lt;Periodical&gt;N Engl J Med&lt;/Periodical&gt;&lt;Volume&gt;355&lt;/Volume&gt;&lt;Issue&gt;20&lt;/Issue&gt;&lt;Address&gt;University of Colorado, Denver, USA. robert.schrier@uchsc.edu&lt;/Address&gt;&lt;Web_URL&gt;PM:17105757&lt;/Web_URL&gt;&lt;ZZ_JournalStdAbbrev&gt;&lt;f name="System"&gt;N Engl J Med&lt;/f&gt;&lt;/ZZ_JournalStdAbbrev&gt;&lt;ZZ_WorkformID&gt;1&lt;/ZZ_WorkformID&gt;&lt;/MDL&gt;&lt;/Cite&gt;&lt;/Refman&gt;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26, 27</w:t>
            </w:r>
            <w:r w:rsidR="00341067" w:rsidRPr="00D05450">
              <w:rPr>
                <w:rFonts w:ascii="Arial" w:hAnsi="Arial" w:cs="Arial"/>
                <w:sz w:val="22"/>
                <w:szCs w:val="22"/>
                <w:lang w:val="en-US"/>
              </w:rPr>
              <w:t>)</w:t>
            </w:r>
            <w:r w:rsidRPr="00D05450">
              <w:rPr>
                <w:rFonts w:ascii="Arial" w:hAnsi="Arial" w:cs="Arial"/>
                <w:sz w:val="22"/>
                <w:szCs w:val="22"/>
                <w:lang w:val="en-US"/>
              </w:rPr>
              <w:fldChar w:fldCharType="end"/>
            </w:r>
          </w:p>
        </w:tc>
      </w:tr>
      <w:tr w:rsidR="000C2CA8" w:rsidRPr="00D05450" w14:paraId="64E63CB8" w14:textId="77777777" w:rsidTr="00496EE5">
        <w:tc>
          <w:tcPr>
            <w:tcW w:w="2823" w:type="dxa"/>
            <w:tcBorders>
              <w:top w:val="single" w:sz="4" w:space="0" w:color="000000"/>
              <w:left w:val="single" w:sz="4" w:space="0" w:color="000000"/>
              <w:bottom w:val="single" w:sz="4" w:space="0" w:color="000000"/>
              <w:right w:val="single" w:sz="4" w:space="0" w:color="000000"/>
            </w:tcBorders>
          </w:tcPr>
          <w:p w14:paraId="7D9A674C"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(Lixivaptan)</w:t>
            </w:r>
          </w:p>
        </w:tc>
        <w:tc>
          <w:tcPr>
            <w:tcW w:w="2790" w:type="dxa"/>
            <w:vMerge/>
            <w:tcBorders>
              <w:top w:val="single" w:sz="4" w:space="0" w:color="000000"/>
              <w:left w:val="single" w:sz="4" w:space="0" w:color="000000"/>
              <w:bottom w:val="single" w:sz="4" w:space="0" w:color="000000"/>
              <w:right w:val="single" w:sz="4" w:space="0" w:color="000000"/>
            </w:tcBorders>
          </w:tcPr>
          <w:p w14:paraId="2779C599" w14:textId="77777777" w:rsidR="000C2CA8" w:rsidRPr="00D05450" w:rsidRDefault="000C2CA8" w:rsidP="00341067">
            <w:pPr>
              <w:widowControl w:val="0"/>
              <w:snapToGrid w:val="0"/>
              <w:spacing w:line="276" w:lineRule="auto"/>
              <w:rPr>
                <w:rFonts w:ascii="Arial" w:hAnsi="Arial" w:cs="Arial"/>
                <w:sz w:val="22"/>
                <w:szCs w:val="22"/>
                <w:lang w:val="en-US"/>
              </w:rPr>
            </w:pPr>
          </w:p>
        </w:tc>
        <w:tc>
          <w:tcPr>
            <w:tcW w:w="2070" w:type="dxa"/>
            <w:vMerge/>
            <w:tcBorders>
              <w:top w:val="single" w:sz="4" w:space="0" w:color="000000"/>
              <w:left w:val="single" w:sz="4" w:space="0" w:color="000000"/>
              <w:bottom w:val="single" w:sz="4" w:space="0" w:color="000000"/>
              <w:right w:val="single" w:sz="4" w:space="0" w:color="000000"/>
            </w:tcBorders>
          </w:tcPr>
          <w:p w14:paraId="059E4325" w14:textId="77777777" w:rsidR="000C2CA8" w:rsidRPr="00D05450" w:rsidRDefault="000C2CA8" w:rsidP="00341067">
            <w:pPr>
              <w:widowControl w:val="0"/>
              <w:snapToGrid w:val="0"/>
              <w:spacing w:line="276" w:lineRule="auto"/>
              <w:rPr>
                <w:rFonts w:ascii="Arial" w:hAnsi="Arial" w:cs="Arial"/>
                <w:sz w:val="22"/>
                <w:szCs w:val="22"/>
                <w:lang w:val="en-US"/>
              </w:rPr>
            </w:pPr>
          </w:p>
        </w:tc>
        <w:tc>
          <w:tcPr>
            <w:tcW w:w="1530" w:type="dxa"/>
            <w:tcBorders>
              <w:top w:val="single" w:sz="4" w:space="0" w:color="000000"/>
              <w:left w:val="single" w:sz="4" w:space="0" w:color="000000"/>
              <w:bottom w:val="single" w:sz="4" w:space="0" w:color="000000"/>
              <w:right w:val="single" w:sz="4" w:space="0" w:color="000000"/>
            </w:tcBorders>
          </w:tcPr>
          <w:p w14:paraId="23829DA3" w14:textId="73D77592"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&lt;Refman&gt;&lt;Cite&gt;&lt;Author&gt;Abraham&lt;/Author&gt;&lt;Year&gt;2006&lt;/Year&gt;&lt;RecNum&gt;378&lt;/RecNum&gt;&lt;IDText&gt;Aquaretic effect of lixivaptan, an oral, non-peptide, selective V2 receptor vasopressin antagonist, in New York Heart Association functional class II and III chronic heart failure patients&lt;/IDText&gt;&lt;MDL Ref_Type="Journal"&gt;&lt;Ref_Type&gt;Journal&lt;/Ref_Type&gt;&lt;Ref_ID&gt;378&lt;/Ref_ID&gt;&lt;Title_Primary&gt;Aquaretic effect of lixivaptan, an oral, non-peptide, selective V2 receptor vasopressin antagonist, in New York Heart Association functional class II and III chronic heart failure patients&lt;/Title_Primary&gt;&lt;Authors_Primary&gt;Abraham,W.T.&lt;/Authors_Primary&gt;&lt;Authors_Primary&gt;Shamshirsaz,A.A.&lt;/Authors_Primary&gt;&lt;Authors_Primary&gt;McFann,K.&lt;/Authors_Primary&gt;&lt;Authors_Primary&gt;Oren,R.M.&lt;/Authors_Primary&gt;&lt;Authors_Primary&gt;Schrier,R.W.&lt;/Authors_Primary&gt;&lt;Date_Primary&gt;2006/4/18&lt;/Date_Primary&gt;&lt;Keywords&gt;Administration,Oral&lt;/Keywords&gt;&lt;Keywords&gt;Antidiuretic Hormone Receptor Antagonists&lt;/Keywords&gt;&lt;Keywords&gt;Arginine&lt;/Keywords&gt;&lt;Keywords&gt;Arginine Vasopressin&lt;/Keywords&gt;&lt;Keywords&gt;blood&lt;/Keywords&gt;&lt;Keywords&gt;Cardiac Output,Low&lt;/Keywords&gt;&lt;Keywords&gt;Chronic Disease&lt;/Keywords&gt;&lt;Keywords&gt;Diuresis&lt;/Keywords&gt;&lt;Keywords&gt;Dose-Response Relationship,Drug&lt;/Keywords&gt;&lt;Keywords&gt;Double-Blind Method&lt;/Keywords&gt;&lt;Keywords&gt;drug effects&lt;/Keywords&gt;&lt;Keywords&gt;drug therapy&lt;/Keywords&gt;&lt;Keywords&gt;Electrolytes&lt;/Keywords&gt;&lt;Keywords&gt;Female&lt;/Keywords&gt;&lt;Keywords&gt;Heart&lt;/Keywords&gt;&lt;Keywords&gt;Heart Failure&lt;/Keywords&gt;&lt;Keywords&gt;Hormones&lt;/Keywords&gt;&lt;Keywords&gt;Humans&lt;/Keywords&gt;&lt;Keywords&gt;Hyponatremia&lt;/Keywords&gt;&lt;Keywords&gt;Male&lt;/Keywords&gt;&lt;Keywords&gt;methods&lt;/Keywords&gt;&lt;Keywords&gt;Middle Aged&lt;/Keywords&gt;&lt;Keywords&gt;Osmolar Concentration&lt;/Keywords&gt;&lt;Keywords&gt;physiopathology&lt;/Keywords&gt;&lt;Keywords&gt;Research&lt;/Keywords&gt;&lt;Keywords&gt;Severity of Illness Index&lt;/Keywords&gt;&lt;Keywords&gt;Sodium&lt;/Keywords&gt;&lt;Keywords&gt;Urine&lt;/Keywords&gt;&lt;Keywords&gt;Vasopressins&lt;/Keywords&gt;&lt;Reprint&gt;Not in File&lt;/Reprint&gt;&lt;Start_Page&gt;1615&lt;/Start_Page&gt;&lt;End_Page&gt;1621&lt;/End_Page&gt;&lt;Periodical&gt;J Am Coll.Cardiol.&lt;/Periodical&gt;&lt;Volume&gt;47&lt;/Volume&gt;&lt;Issue&gt;8&lt;/Issue&gt;&lt;Address&gt;The Ohio State University Heart Center, Division of Cardiovascular Medicine, Columbus, Ohio 43210-1252, USA. abraham-1@medctr.osu.edu&lt;/Address&gt;&lt;Web_URL&gt;PM:16630999&lt;/Web_URL&gt;&lt;ZZ_JournalStdAbbrev&gt;&lt;f name="System"&gt;J Am Coll.Cardiol.&lt;/f&gt;&lt;/ZZ_JournalStdAbbrev&gt;&lt;ZZ_WorkformID&gt;1&lt;/ZZ_WorkformID&gt;&lt;/MDL&gt;&lt;/Cite&gt;&lt;/Refman&gt;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30</w:t>
            </w:r>
            <w:r w:rsidR="00341067" w:rsidRPr="00D05450">
              <w:rPr>
                <w:rFonts w:ascii="Arial" w:hAnsi="Arial" w:cs="Arial"/>
                <w:sz w:val="22"/>
                <w:szCs w:val="22"/>
                <w:lang w:val="en-US"/>
              </w:rPr>
              <w:t>)</w:t>
            </w:r>
            <w:r w:rsidRPr="00D05450">
              <w:rPr>
                <w:rFonts w:ascii="Arial" w:hAnsi="Arial" w:cs="Arial"/>
                <w:sz w:val="22"/>
                <w:szCs w:val="22"/>
                <w:lang w:val="en-US"/>
              </w:rPr>
              <w:fldChar w:fldCharType="end"/>
            </w:r>
          </w:p>
        </w:tc>
      </w:tr>
      <w:tr w:rsidR="000C2CA8" w:rsidRPr="00D05450" w14:paraId="4D4B4BDB" w14:textId="77777777" w:rsidTr="00496EE5">
        <w:tc>
          <w:tcPr>
            <w:tcW w:w="2823" w:type="dxa"/>
            <w:tcBorders>
              <w:top w:val="single" w:sz="4" w:space="0" w:color="000000"/>
              <w:left w:val="single" w:sz="4" w:space="0" w:color="000000"/>
              <w:bottom w:val="single" w:sz="4" w:space="0" w:color="000000"/>
              <w:right w:val="single" w:sz="4" w:space="0" w:color="000000"/>
            </w:tcBorders>
          </w:tcPr>
          <w:p w14:paraId="6FB45C1F"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(Mozavaptan)</w:t>
            </w:r>
          </w:p>
          <w:p w14:paraId="753F0612"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(only approved in Japan)</w:t>
            </w:r>
          </w:p>
        </w:tc>
        <w:tc>
          <w:tcPr>
            <w:tcW w:w="2790" w:type="dxa"/>
            <w:vMerge/>
            <w:tcBorders>
              <w:top w:val="single" w:sz="4" w:space="0" w:color="000000"/>
              <w:left w:val="single" w:sz="4" w:space="0" w:color="000000"/>
              <w:bottom w:val="single" w:sz="4" w:space="0" w:color="000000"/>
              <w:right w:val="single" w:sz="4" w:space="0" w:color="000000"/>
            </w:tcBorders>
          </w:tcPr>
          <w:p w14:paraId="0DD8E7A3" w14:textId="77777777" w:rsidR="000C2CA8" w:rsidRPr="00D05450" w:rsidRDefault="000C2CA8" w:rsidP="00341067">
            <w:pPr>
              <w:widowControl w:val="0"/>
              <w:snapToGrid w:val="0"/>
              <w:spacing w:line="276" w:lineRule="auto"/>
              <w:rPr>
                <w:rFonts w:ascii="Arial" w:hAnsi="Arial" w:cs="Arial"/>
                <w:sz w:val="22"/>
                <w:szCs w:val="22"/>
                <w:lang w:val="en-US"/>
              </w:rPr>
            </w:pPr>
          </w:p>
        </w:tc>
        <w:tc>
          <w:tcPr>
            <w:tcW w:w="2070" w:type="dxa"/>
            <w:vMerge/>
            <w:tcBorders>
              <w:top w:val="single" w:sz="4" w:space="0" w:color="000000"/>
              <w:left w:val="single" w:sz="4" w:space="0" w:color="000000"/>
              <w:bottom w:val="single" w:sz="4" w:space="0" w:color="000000"/>
              <w:right w:val="single" w:sz="4" w:space="0" w:color="000000"/>
            </w:tcBorders>
          </w:tcPr>
          <w:p w14:paraId="553B1EDF" w14:textId="77777777" w:rsidR="000C2CA8" w:rsidRPr="00D05450" w:rsidRDefault="000C2CA8" w:rsidP="00341067">
            <w:pPr>
              <w:widowControl w:val="0"/>
              <w:snapToGrid w:val="0"/>
              <w:spacing w:line="276" w:lineRule="auto"/>
              <w:rPr>
                <w:rFonts w:ascii="Arial" w:hAnsi="Arial" w:cs="Arial"/>
                <w:sz w:val="22"/>
                <w:szCs w:val="22"/>
                <w:lang w:val="en-US"/>
              </w:rPr>
            </w:pPr>
          </w:p>
        </w:tc>
        <w:tc>
          <w:tcPr>
            <w:tcW w:w="1530" w:type="dxa"/>
            <w:tcBorders>
              <w:top w:val="single" w:sz="4" w:space="0" w:color="000000"/>
              <w:left w:val="single" w:sz="4" w:space="0" w:color="000000"/>
              <w:bottom w:val="single" w:sz="4" w:space="0" w:color="000000"/>
              <w:right w:val="single" w:sz="4" w:space="0" w:color="000000"/>
            </w:tcBorders>
          </w:tcPr>
          <w:p w14:paraId="581C35DD" w14:textId="726C3072"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&lt;Refman&gt;&lt;Cite&gt;&lt;Author&gt;Yamaguchi&lt;/Author&gt;&lt;Year&gt;2011&lt;/Year&gt;&lt;RecNum&gt;379&lt;/RecNum&gt;&lt;IDText&gt;Clinical implication of the antidiuretic hormone (ADH) receptor antagonist mozavaptan hydrochloride in patients with ectopic ADH syndrome&lt;/IDText&gt;&lt;MDL Ref_Type="Journal"&gt;&lt;Ref_Type&gt;Journal&lt;/Ref_Type&gt;&lt;Ref_ID&gt;379&lt;/Ref_ID&gt;&lt;Title_Primary&gt;Clinical implication of the antidiuretic hormone (ADH) receptor antagonist mozavaptan hydrochloride in patients with ectopic ADH syndrome&lt;/Title_Primary&gt;&lt;Authors_Primary&gt;Yamaguchi,K.&lt;/Authors_Primary&gt;&lt;Authors_Primary&gt;Shijubo,N.&lt;/Authors_Primary&gt;&lt;Authors_Primary&gt;Kodama,T.&lt;/Authors_Primary&gt;&lt;Authors_Primary&gt;Mori,K.&lt;/Authors_Primary&gt;&lt;Authors_Primary&gt;Sugiura,T.&lt;/Authors_Primary&gt;&lt;Authors_Primary&gt;Kuriyama,T.&lt;/Authors_Primary&gt;&lt;Authors_Primary&gt;Kawahara,M.&lt;/Authors_Primary&gt;&lt;Authors_Primary&gt;Shinkai,T.&lt;/Authors_Primary&gt;&lt;Authors_Primary&gt;Iguchi,H.&lt;/Authors_Primary&gt;&lt;Authors_Primary&gt;Sakurai,M.&lt;/Authors_Primary&gt;&lt;Date_Primary&gt;2011/1&lt;/Date_Primary&gt;&lt;Keywords&gt;adverse effects&lt;/Keywords&gt;&lt;Keywords&gt;Aged&lt;/Keywords&gt;&lt;Keywords&gt;Antidiuretic Hormone Receptor Antagonists&lt;/Keywords&gt;&lt;Keywords&gt;Antineoplastic Agents&lt;/Keywords&gt;&lt;Keywords&gt;Benzamides&lt;/Keywords&gt;&lt;Keywords&gt;Benzazepines&lt;/Keywords&gt;&lt;Keywords&gt;Biomarkers&lt;/Keywords&gt;&lt;Keywords&gt;blood&lt;/Keywords&gt;&lt;Keywords&gt;Carcinoma,Small Cell&lt;/Keywords&gt;&lt;Keywords&gt;complications&lt;/Keywords&gt;&lt;Keywords&gt;drug therapy&lt;/Keywords&gt;&lt;Keywords&gt;etiology&lt;/Keywords&gt;&lt;Keywords&gt;Female&lt;/Keywords&gt;&lt;Keywords&gt;Humans&lt;/Keywords&gt;&lt;Keywords&gt;Hyponatremia&lt;/Keywords&gt;&lt;Keywords&gt;Inappropriate ADH Syndrome&lt;/Keywords&gt;&lt;Keywords&gt;Japan&lt;/Keywords&gt;&lt;Keywords&gt;Lung Neoplasms&lt;/Keywords&gt;&lt;Keywords&gt;Male&lt;/Keywords&gt;&lt;Keywords&gt;methods&lt;/Keywords&gt;&lt;Keywords&gt;Middle Aged&lt;/Keywords&gt;&lt;Keywords&gt;Palliative Care&lt;/Keywords&gt;&lt;Keywords&gt;pharmacology&lt;/Keywords&gt;&lt;Keywords&gt;Quality of Life&lt;/Keywords&gt;&lt;Keywords&gt;Sodium&lt;/Keywords&gt;&lt;Keywords&gt;Syndrome&lt;/Keywords&gt;&lt;Keywords&gt;therapeutic use&lt;/Keywords&gt;&lt;Keywords&gt;Thymus Neoplasms&lt;/Keywords&gt;&lt;Keywords&gt;Time Factors&lt;/Keywords&gt;&lt;Keywords&gt;Treatment Outcome&lt;/Keywords&gt;&lt;Keywords&gt;Uterine Cervical Neoplasms&lt;/Keywords&gt;&lt;Reprint&gt;Not in File&lt;/Reprint&gt;&lt;Start_Page&gt;148&lt;/Start_Page&gt;&lt;End_Page&gt;152&lt;/End_Page&gt;&lt;Periodical&gt;Jpn.J Clin Oncol.&lt;/Periodical&gt;&lt;Volume&gt;41&lt;/Volume&gt;&lt;Issue&gt;1&lt;/Issue&gt;&lt;Address&gt;Office of the President, Shizuoka Cancer Center, Sunto-gun, Shizuoka 411-8777, Japan. k.yamaguchi@scchr.jp&lt;/Address&gt;&lt;Web_URL&gt;PM:21087977&lt;/Web_URL&gt;&lt;ZZ_JournalStdAbbrev&gt;&lt;f name="System"&gt;Jpn.J Clin Oncol.&lt;/f&gt;&lt;/ZZ_JournalStdAbbrev&gt;&lt;ZZ_WorkformID&gt;1&lt;/ZZ_WorkformID&gt;&lt;/MDL&gt;&lt;/Cite&gt;&lt;/Refman&gt;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31</w:t>
            </w:r>
            <w:r w:rsidR="00341067" w:rsidRPr="00D05450">
              <w:rPr>
                <w:rFonts w:ascii="Arial" w:hAnsi="Arial" w:cs="Arial"/>
                <w:sz w:val="22"/>
                <w:szCs w:val="22"/>
                <w:lang w:val="en-US"/>
              </w:rPr>
              <w:t>)</w:t>
            </w:r>
            <w:r w:rsidRPr="00D05450">
              <w:rPr>
                <w:rFonts w:ascii="Arial" w:hAnsi="Arial" w:cs="Arial"/>
                <w:sz w:val="22"/>
                <w:szCs w:val="22"/>
                <w:lang w:val="en-US"/>
              </w:rPr>
              <w:fldChar w:fldCharType="end"/>
            </w:r>
          </w:p>
        </w:tc>
      </w:tr>
      <w:tr w:rsidR="000C2CA8" w:rsidRPr="00D05450" w14:paraId="51966E0E" w14:textId="77777777" w:rsidTr="00496EE5">
        <w:tc>
          <w:tcPr>
            <w:tcW w:w="2823" w:type="dxa"/>
            <w:tcBorders>
              <w:top w:val="single" w:sz="4" w:space="0" w:color="000000"/>
              <w:left w:val="single" w:sz="4" w:space="0" w:color="000000"/>
              <w:bottom w:val="single" w:sz="4" w:space="0" w:color="000000"/>
              <w:right w:val="single" w:sz="4" w:space="0" w:color="000000"/>
            </w:tcBorders>
          </w:tcPr>
          <w:p w14:paraId="5CA9F1F7"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(Satavaptan)</w:t>
            </w:r>
          </w:p>
        </w:tc>
        <w:tc>
          <w:tcPr>
            <w:tcW w:w="2790" w:type="dxa"/>
            <w:vMerge/>
            <w:tcBorders>
              <w:top w:val="single" w:sz="4" w:space="0" w:color="000000"/>
              <w:left w:val="single" w:sz="4" w:space="0" w:color="000000"/>
              <w:bottom w:val="single" w:sz="4" w:space="0" w:color="000000"/>
              <w:right w:val="single" w:sz="4" w:space="0" w:color="000000"/>
            </w:tcBorders>
          </w:tcPr>
          <w:p w14:paraId="7EB46FA9" w14:textId="77777777" w:rsidR="000C2CA8" w:rsidRPr="00D05450" w:rsidRDefault="000C2CA8" w:rsidP="00341067">
            <w:pPr>
              <w:widowControl w:val="0"/>
              <w:snapToGrid w:val="0"/>
              <w:spacing w:line="276" w:lineRule="auto"/>
              <w:rPr>
                <w:rFonts w:ascii="Arial" w:hAnsi="Arial" w:cs="Arial"/>
                <w:sz w:val="22"/>
                <w:szCs w:val="22"/>
                <w:lang w:val="en-US"/>
              </w:rPr>
            </w:pPr>
          </w:p>
        </w:tc>
        <w:tc>
          <w:tcPr>
            <w:tcW w:w="2070" w:type="dxa"/>
            <w:vMerge/>
            <w:tcBorders>
              <w:top w:val="single" w:sz="4" w:space="0" w:color="000000"/>
              <w:left w:val="single" w:sz="4" w:space="0" w:color="000000"/>
              <w:bottom w:val="single" w:sz="4" w:space="0" w:color="000000"/>
              <w:right w:val="single" w:sz="4" w:space="0" w:color="000000"/>
            </w:tcBorders>
          </w:tcPr>
          <w:p w14:paraId="6B2CABEA" w14:textId="77777777" w:rsidR="000C2CA8" w:rsidRPr="00D05450" w:rsidRDefault="000C2CA8" w:rsidP="00341067">
            <w:pPr>
              <w:widowControl w:val="0"/>
              <w:snapToGrid w:val="0"/>
              <w:spacing w:line="276" w:lineRule="auto"/>
              <w:rPr>
                <w:rFonts w:ascii="Arial" w:hAnsi="Arial" w:cs="Arial"/>
                <w:sz w:val="22"/>
                <w:szCs w:val="22"/>
                <w:lang w:val="en-US"/>
              </w:rPr>
            </w:pPr>
          </w:p>
        </w:tc>
        <w:tc>
          <w:tcPr>
            <w:tcW w:w="1530" w:type="dxa"/>
            <w:tcBorders>
              <w:top w:val="single" w:sz="4" w:space="0" w:color="000000"/>
              <w:left w:val="single" w:sz="4" w:space="0" w:color="000000"/>
              <w:bottom w:val="single" w:sz="4" w:space="0" w:color="000000"/>
              <w:right w:val="single" w:sz="4" w:space="0" w:color="000000"/>
            </w:tcBorders>
          </w:tcPr>
          <w:p w14:paraId="2BCC2439" w14:textId="7163FDCC"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&lt;Refman&gt;&lt;Cite&gt;&lt;Author&gt;Soupart&lt;/Author&gt;&lt;Year&gt;2006&lt;/Year&gt;&lt;RecNum&gt;380&lt;/RecNum&gt;&lt;IDText&gt;Successful long-term treatment of hyponatremia in syndrome of inappropriate antidiuretic hormone secretion with satavaptan (SR121463B), an orally active nonpeptide vasopressin V2-receptor antagonist&lt;/IDText&gt;&lt;MDL Ref_Type="Journal"&gt;&lt;Ref_Type&gt;Journal&lt;/Ref_Type&gt;&lt;Ref_ID&gt;380&lt;/Ref_ID&gt;&lt;Title_Primary&gt;Successful long-term treatment of hyponatremia in syndrome of inappropriate antidiuretic hormone secretion with satavaptan (SR121463B), an orally active nonpeptide vasopressin V2-receptor antagonist&lt;/Title_Primary&gt;&lt;Authors_Primary&gt;Soupart,A.&lt;/Authors_Primary&gt;&lt;Authors_Primary&gt;Gross,P.&lt;/Authors_Primary&gt;&lt;Authors_Primary&gt;Legros,J.J.&lt;/Authors_Primary&gt;&lt;Authors_Primary&gt;Alfoldi,S.&lt;/Authors_Primary&gt;&lt;Authors_Primary&gt;Annane,D.&lt;/Authors_Primary&gt;&lt;Authors_Primary&gt;Heshmati,H.M.&lt;/Authors_Primary&gt;&lt;Authors_Primary&gt;Decaux,G.&lt;/Authors_Primary&gt;&lt;Date_Primary&gt;2006/11&lt;/Date_Primary&gt;&lt;Keywords&gt;Administration,Oral&lt;/Keywords&gt;&lt;Keywords&gt;Adult&lt;/Keywords&gt;&lt;Keywords&gt;Aged&lt;/Keywords&gt;&lt;Keywords&gt;Antidiuretic Hormone Receptor Antagonists&lt;/Keywords&gt;&lt;Keywords&gt;blood&lt;/Keywords&gt;&lt;Keywords&gt;Body Water&lt;/Keywords&gt;&lt;Keywords&gt;Double-Blind Method&lt;/Keywords&gt;&lt;Keywords&gt;drug therapy&lt;/Keywords&gt;&lt;Keywords&gt;etiology&lt;/Keywords&gt;&lt;Keywords&gt;Female&lt;/Keywords&gt;&lt;Keywords&gt;Follow-Up Studies&lt;/Keywords&gt;&lt;Keywords&gt;Humans&lt;/Keywords&gt;&lt;Keywords&gt;Hyponatremia&lt;/Keywords&gt;&lt;Keywords&gt;Inappropriate ADH Syndrome&lt;/Keywords&gt;&lt;Keywords&gt;Male&lt;/Keywords&gt;&lt;Keywords&gt;metabolism&lt;/Keywords&gt;&lt;Keywords&gt;Middle Aged&lt;/Keywords&gt;&lt;Keywords&gt;Morpholines&lt;/Keywords&gt;&lt;Keywords&gt;Placebos&lt;/Keywords&gt;&lt;Keywords&gt;Research&lt;/Keywords&gt;&lt;Keywords&gt;secretion&lt;/Keywords&gt;&lt;Keywords&gt;Sodium&lt;/Keywords&gt;&lt;Keywords&gt;Spiro Compounds&lt;/Keywords&gt;&lt;Keywords&gt;Syndrome&lt;/Keywords&gt;&lt;Keywords&gt;therapeutic use&lt;/Keywords&gt;&lt;Keywords&gt;Time&lt;/Keywords&gt;&lt;Keywords&gt;Urine&lt;/Keywords&gt;&lt;Reprint&gt;Not in File&lt;/Reprint&gt;&lt;Start_Page&gt;1154&lt;/Start_Page&gt;&lt;End_Page&gt;1160&lt;/End_Page&gt;&lt;Periodical&gt;Clin J Am Soc Nephrol&lt;/Periodical&gt;&lt;Volume&gt;1&lt;/Volume&gt;&lt;Issue&gt;6&lt;/Issue&gt;&lt;Address&gt;Department of Internal Medicine, Jolimont/Tubize-Nivelles Hospital, Tubize, Belgium. alainsoupart@swing.be&lt;/Address&gt;&lt;Web_URL&gt;PM:17699341&lt;/Web_URL&gt;&lt;ZZ_JournalStdAbbrev&gt;&lt;f name="System"&gt;Clin J Am Soc Nephrol&lt;/f&gt;&lt;/ZZ_JournalStdAbbrev&gt;&lt;ZZ_WorkformID&gt;1&lt;/ZZ_WorkformID&gt;&lt;/MDL&gt;&lt;/Cite&gt;&lt;/Refman&gt;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32</w:t>
            </w:r>
            <w:r w:rsidR="00341067" w:rsidRPr="00D05450">
              <w:rPr>
                <w:rFonts w:ascii="Arial" w:hAnsi="Arial" w:cs="Arial"/>
                <w:sz w:val="22"/>
                <w:szCs w:val="22"/>
                <w:lang w:val="en-US"/>
              </w:rPr>
              <w:t>)</w:t>
            </w:r>
            <w:r w:rsidRPr="00D05450">
              <w:rPr>
                <w:rFonts w:ascii="Arial" w:hAnsi="Arial" w:cs="Arial"/>
                <w:sz w:val="22"/>
                <w:szCs w:val="22"/>
                <w:lang w:val="en-US"/>
              </w:rPr>
              <w:fldChar w:fldCharType="end"/>
            </w:r>
          </w:p>
        </w:tc>
      </w:tr>
      <w:tr w:rsidR="000C2CA8" w:rsidRPr="00D05450" w14:paraId="46D9784B" w14:textId="77777777" w:rsidTr="00496EE5">
        <w:tc>
          <w:tcPr>
            <w:tcW w:w="2823" w:type="dxa"/>
            <w:tcBorders>
              <w:top w:val="single" w:sz="4" w:space="0" w:color="000000"/>
              <w:left w:val="single" w:sz="4" w:space="0" w:color="000000"/>
              <w:bottom w:val="single" w:sz="4" w:space="0" w:color="000000"/>
              <w:right w:val="single" w:sz="4" w:space="0" w:color="000000"/>
            </w:tcBorders>
          </w:tcPr>
          <w:p w14:paraId="1308F6A4"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(Conivaptan)</w:t>
            </w:r>
          </w:p>
          <w:p w14:paraId="59EAA61A"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(only approved in U.S.A.)</w:t>
            </w:r>
          </w:p>
        </w:tc>
        <w:tc>
          <w:tcPr>
            <w:tcW w:w="2790" w:type="dxa"/>
            <w:tcBorders>
              <w:top w:val="single" w:sz="4" w:space="0" w:color="000000"/>
              <w:left w:val="single" w:sz="4" w:space="0" w:color="000000"/>
              <w:bottom w:val="single" w:sz="4" w:space="0" w:color="000000"/>
              <w:right w:val="single" w:sz="4" w:space="0" w:color="000000"/>
            </w:tcBorders>
          </w:tcPr>
          <w:p w14:paraId="19F319F3" w14:textId="77777777"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t>intravenous</w:t>
            </w:r>
          </w:p>
        </w:tc>
        <w:tc>
          <w:tcPr>
            <w:tcW w:w="2070" w:type="dxa"/>
            <w:tcBorders>
              <w:top w:val="single" w:sz="4" w:space="0" w:color="000000"/>
              <w:left w:val="single" w:sz="4" w:space="0" w:color="000000"/>
              <w:bottom w:val="single" w:sz="4" w:space="0" w:color="000000"/>
              <w:right w:val="single" w:sz="4" w:space="0" w:color="000000"/>
            </w:tcBorders>
          </w:tcPr>
          <w:p w14:paraId="1E374556" w14:textId="3BA60C9B" w:rsidR="000C2CA8" w:rsidRPr="00D05450" w:rsidRDefault="00D12970" w:rsidP="00341067">
            <w:pPr>
              <w:widowControl w:val="0"/>
              <w:spacing w:line="276" w:lineRule="auto"/>
              <w:rPr>
                <w:rFonts w:ascii="Arial" w:hAnsi="Arial" w:cs="Arial"/>
                <w:sz w:val="22"/>
                <w:szCs w:val="22"/>
                <w:lang w:val="en-US"/>
              </w:rPr>
            </w:pPr>
            <w:r w:rsidRPr="00D05450">
              <w:rPr>
                <w:rFonts w:ascii="Arial" w:eastAsia="Arial" w:hAnsi="Arial" w:cs="Arial"/>
                <w:sz w:val="22"/>
                <w:szCs w:val="22"/>
                <w:lang w:val="en-US"/>
              </w:rPr>
              <w:t xml:space="preserve">      </w:t>
            </w:r>
            <w:r w:rsidRPr="00D05450">
              <w:rPr>
                <w:rFonts w:ascii="Arial" w:hAnsi="Arial" w:cs="Arial"/>
                <w:sz w:val="22"/>
                <w:szCs w:val="22"/>
                <w:lang w:val="en-US"/>
              </w:rPr>
              <w:t>V2  /V1A</w:t>
            </w:r>
          </w:p>
        </w:tc>
        <w:tc>
          <w:tcPr>
            <w:tcW w:w="1530" w:type="dxa"/>
            <w:tcBorders>
              <w:top w:val="single" w:sz="4" w:space="0" w:color="000000"/>
              <w:left w:val="single" w:sz="4" w:space="0" w:color="000000"/>
              <w:bottom w:val="single" w:sz="4" w:space="0" w:color="000000"/>
              <w:right w:val="single" w:sz="4" w:space="0" w:color="000000"/>
            </w:tcBorders>
          </w:tcPr>
          <w:p w14:paraId="496BC7B6" w14:textId="0BC43655" w:rsidR="000C2CA8" w:rsidRPr="00D05450" w:rsidRDefault="00D12970" w:rsidP="00341067">
            <w:pPr>
              <w:widowControl w:val="0"/>
              <w:spacing w:line="276" w:lineRule="auto"/>
              <w:rPr>
                <w:rFonts w:ascii="Arial" w:hAnsi="Arial" w:cs="Arial"/>
                <w:sz w:val="22"/>
                <w:szCs w:val="22"/>
                <w:lang w:val="en-US"/>
              </w:rPr>
            </w:pPr>
            <w:r w:rsidRPr="00D05450">
              <w:rPr>
                <w:rFonts w:ascii="Arial" w:hAnsi="Arial" w:cs="Arial"/>
                <w:sz w:val="22"/>
                <w:szCs w:val="22"/>
                <w:lang w:val="en-US"/>
              </w:rPr>
              <w:fldChar w:fldCharType="begin"/>
            </w:r>
            <w:r w:rsidRPr="00D05450">
              <w:rPr>
                <w:rFonts w:ascii="Arial" w:hAnsi="Arial" w:cs="Arial"/>
                <w:sz w:val="22"/>
                <w:szCs w:val="22"/>
                <w:lang w:val="en-US"/>
              </w:rPr>
              <w:instrText>ADDIN REFMGR.CITE &lt;Refman&gt;&lt;Cite&gt;&lt;Author&gt;Annane&lt;/Author&gt;&lt;Year&gt;2009&lt;/Year&gt;&lt;RecNum&gt;381&lt;/RecNum&gt;&lt;IDText&gt;Efficacy and safety of oral conivaptan, a vasopressin-receptor antagonist, evaluated in a randomized, controlled trial in patients with euvolemic or hypervolemic hyponatremia&lt;/IDText&gt;&lt;MDL Ref_Type="Journal"&gt;&lt;Ref_Type&gt;Journal&lt;/Ref_Type&gt;&lt;Ref_ID&gt;381&lt;/Ref_ID&gt;&lt;Title_Primary&gt;Efficacy and safety of oral conivaptan, a vasopressin-receptor antagonist, evaluated in a randomized, controlled trial in patients with euvolemic or hypervolemic hyponatremia&lt;/Title_Primary&gt;&lt;Authors_Primary&gt;Annane,D.&lt;/Authors_Primary&gt;&lt;Authors_Primary&gt;Decaux,G.&lt;/Authors_Primary&gt;&lt;Authors_Primary&gt;Smith,N.&lt;/Authors_Primary&gt;&lt;Date_Primary&gt;2009/1&lt;/Date_Primary&gt;&lt;Keywords&gt;administration &amp;amp; dosage&lt;/Keywords&gt;&lt;Keywords&gt;Administration,Oral&lt;/Keywords&gt;&lt;Keywords&gt;Adult&lt;/Keywords&gt;&lt;Keywords&gt;adverse effects&lt;/Keywords&gt;&lt;Keywords&gt;Aged&lt;/Keywords&gt;&lt;Keywords&gt;Anemia&lt;/Keywords&gt;&lt;Keywords&gt;Antidiuretic Hormone Receptor Antagonists&lt;/Keywords&gt;&lt;Keywords&gt;Arginine&lt;/Keywords&gt;&lt;Keywords&gt;Arginine Vasopressin&lt;/Keywords&gt;&lt;Keywords&gt;Benzazepines&lt;/Keywords&gt;&lt;Keywords&gt;blood&lt;/Keywords&gt;&lt;Keywords&gt;Critical Care&lt;/Keywords&gt;&lt;Keywords&gt;Double-Blind Method&lt;/Keywords&gt;&lt;Keywords&gt;drug therapy&lt;/Keywords&gt;&lt;Keywords&gt;Female&lt;/Keywords&gt;&lt;Keywords&gt;Humans&lt;/Keywords&gt;&lt;Keywords&gt;Hypokalemia&lt;/Keywords&gt;&lt;Keywords&gt;Hyponatremia&lt;/Keywords&gt;&lt;Keywords&gt;Hypotension&lt;/Keywords&gt;&lt;Keywords&gt;Male&lt;/Keywords&gt;&lt;Keywords&gt;methods&lt;/Keywords&gt;&lt;Keywords&gt;Middle Aged&lt;/Keywords&gt;&lt;Keywords&gt;Research&lt;/Keywords&gt;&lt;Keywords&gt;secretion&lt;/Keywords&gt;&lt;Keywords&gt;Sodium&lt;/Keywords&gt;&lt;Keywords&gt;surgery&lt;/Keywords&gt;&lt;Keywords&gt;therapeutic use&lt;/Keywords&gt;&lt;Keywords&gt;Time&lt;/Keywords&gt;&lt;Reprint&gt;Not in File&lt;/Reprint&gt;&lt;Start_Page&gt;28&lt;/Start_Page&gt;&lt;End_Page&gt;36&lt;/End_Page&gt;&lt;Periodical&gt;Am J Med Sci.&lt;/Periodical&gt;&lt;Volume&gt;337&lt;/Volume&gt;&lt;Issue&gt;1&lt;/Issue&gt;&lt;Address&gt;Department of General Critical Care Medicine/Division of Acute Medicine and Surgery, University of Versailles SQY Raymond Poincare Hospital, Garches, France. djillali.annane@rpc.aphp.fr&lt;/Address&gt;&lt;Web_URL&gt;PM:19057376&lt;/Web_URL&gt;&lt;ZZ_JournalStdAbbrev&gt;&lt;f name="System"&gt;Am J Med Sci.&lt;/f&gt;&lt;/ZZ_JournalStdAbbrev&gt;&lt;ZZ_WorkformID&gt;1&lt;/ZZ_WorkformID&gt;&lt;/MDL&gt;&lt;/Cite&gt;&lt;Cite&gt;&lt;Author&gt;Li-Ng&lt;/Author&gt;&lt;Year&gt;2010&lt;/Year&gt;&lt;RecNum&gt;376&lt;/RecNum&gt;&lt;IDText&gt;Conivaptan: Evidence supporting its therapeutic use in hyponatremia&lt;/IDText&gt;&lt;MDL Ref_Type="Journal"&gt;&lt;Ref_Type&gt;Journal&lt;/Ref_Type&gt;&lt;Ref_ID&gt;376&lt;/Ref_ID&gt;&lt;Title_Primary&gt;Conivaptan: Evidence supporting its therapeutic use in hyponatremia&lt;/Title_Primary&gt;&lt;Authors_Primary&gt;Li-Ng,M.&lt;/Authors_Primary&gt;&lt;Authors_Primary&gt;Verbalis,J.G.&lt;/Authors_Primary&gt;&lt;Date_Primary&gt;2010/6/15&lt;/Date_Primary&gt;&lt;Keywords&gt;adverse effects&lt;/Keywords&gt;&lt;Keywords&gt;Diuresis&lt;/Keywords&gt;&lt;Keywords&gt;Endocrinology&lt;/Keywords&gt;&lt;Keywords&gt;Hyponatremia&lt;/Keywords&gt;&lt;Keywords&gt;metabolism&lt;/Keywords&gt;&lt;Keywords&gt;Sodium&lt;/Keywords&gt;&lt;Keywords&gt;therapeutic use&lt;/Keywords&gt;&lt;Keywords&gt;therapy&lt;/Keywords&gt;&lt;Reprint&gt;Not in File&lt;/Reprint&gt;&lt;Start_Page&gt;83&lt;/Start_Page&gt;&lt;End_Page&gt;92&lt;/End_Page&gt;&lt;Periodical&gt;Core.Evid.&lt;/Periodical&gt;&lt;Volume&gt;4&lt;/Volume&gt;&lt;Address&gt;Division of Endocrinology and Metabolism, Georgetown University Medical Center, Washington, DC, USA&lt;/Address&gt;&lt;Web_URL&gt;PM:20694067&lt;/Web_URL&gt;&lt;ZZ_JournalStdAbbrev&gt;&lt;f name="System"&gt;Core.Evid.&lt;/f&gt;&lt;/ZZ_JournalStdAbbrev&gt;&lt;ZZ_WorkformID&gt;1&lt;/ZZ_WorkformID&gt;&lt;/MDL&gt;&lt;/Cite&gt;&lt;/Refman&gt;</w:instrText>
            </w:r>
            <w:r w:rsidRPr="00D05450">
              <w:rPr>
                <w:rFonts w:ascii="Arial" w:hAnsi="Arial" w:cs="Arial"/>
                <w:sz w:val="22"/>
                <w:szCs w:val="22"/>
                <w:lang w:val="en-US"/>
              </w:rPr>
              <w:fldChar w:fldCharType="separate"/>
            </w:r>
            <w:r w:rsidR="00341067" w:rsidRPr="00D05450">
              <w:rPr>
                <w:rFonts w:ascii="Arial" w:hAnsi="Arial" w:cs="Arial"/>
                <w:sz w:val="22"/>
                <w:szCs w:val="22"/>
                <w:lang w:val="en-US"/>
              </w:rPr>
              <w:t>(</w:t>
            </w:r>
            <w:r w:rsidRPr="00D05450">
              <w:rPr>
                <w:rFonts w:ascii="Arial" w:hAnsi="Arial" w:cs="Arial"/>
                <w:sz w:val="22"/>
                <w:szCs w:val="22"/>
                <w:lang w:val="en-US"/>
              </w:rPr>
              <w:t>28, 33</w:t>
            </w:r>
            <w:r w:rsidR="00341067" w:rsidRPr="00D05450">
              <w:rPr>
                <w:rFonts w:ascii="Arial" w:hAnsi="Arial" w:cs="Arial"/>
                <w:sz w:val="22"/>
                <w:szCs w:val="22"/>
                <w:lang w:val="en-US"/>
              </w:rPr>
              <w:t>)</w:t>
            </w:r>
            <w:r w:rsidRPr="00D05450">
              <w:rPr>
                <w:rFonts w:ascii="Arial" w:hAnsi="Arial" w:cs="Arial"/>
                <w:sz w:val="22"/>
                <w:szCs w:val="22"/>
                <w:lang w:val="en-US"/>
              </w:rPr>
              <w:fldChar w:fldCharType="end"/>
            </w:r>
          </w:p>
        </w:tc>
      </w:tr>
    </w:tbl>
    <w:p w14:paraId="3D4108C7" w14:textId="3980543C" w:rsidR="000C2CA8" w:rsidRPr="00D05450" w:rsidRDefault="00D12970" w:rsidP="00341067">
      <w:pPr>
        <w:spacing w:line="276" w:lineRule="auto"/>
        <w:rPr>
          <w:rFonts w:ascii="Arial" w:hAnsi="Arial" w:cs="Arial"/>
          <w:sz w:val="22"/>
          <w:szCs w:val="22"/>
          <w:lang w:val="en-US"/>
        </w:rPr>
      </w:pPr>
      <w:r w:rsidRPr="00D05450">
        <w:rPr>
          <w:rFonts w:ascii="Arial" w:hAnsi="Arial" w:cs="Arial"/>
          <w:sz w:val="22"/>
          <w:szCs w:val="22"/>
          <w:lang w:val="en-US"/>
        </w:rPr>
        <w:t>In parenthesis: limited or no availability.</w:t>
      </w:r>
    </w:p>
    <w:p w14:paraId="02FA7E7B" w14:textId="77777777" w:rsidR="000C2CA8" w:rsidRPr="00D05450" w:rsidRDefault="000C2CA8" w:rsidP="00341067">
      <w:pPr>
        <w:spacing w:line="276" w:lineRule="auto"/>
        <w:rPr>
          <w:rFonts w:ascii="Arial" w:hAnsi="Arial" w:cs="Arial"/>
          <w:sz w:val="22"/>
          <w:szCs w:val="22"/>
          <w:lang w:val="en-US"/>
        </w:rPr>
      </w:pPr>
    </w:p>
    <w:p w14:paraId="3E1BCF5B" w14:textId="110B6661" w:rsidR="00496EE5" w:rsidRPr="00AF7083" w:rsidRDefault="00D12970" w:rsidP="00341067">
      <w:pPr>
        <w:spacing w:line="276" w:lineRule="auto"/>
        <w:rPr>
          <w:rFonts w:ascii="Arial" w:hAnsi="Arial" w:cs="Arial"/>
          <w:b/>
          <w:bCs/>
          <w:color w:val="0070C0"/>
          <w:sz w:val="22"/>
          <w:szCs w:val="22"/>
          <w:lang w:val="en-US"/>
        </w:rPr>
      </w:pPr>
      <w:r w:rsidRPr="00AF7083">
        <w:rPr>
          <w:rFonts w:ascii="Arial" w:hAnsi="Arial" w:cs="Arial"/>
          <w:color w:val="0070C0"/>
          <w:sz w:val="22"/>
          <w:szCs w:val="22"/>
          <w:lang w:val="en-US"/>
        </w:rPr>
        <w:fldChar w:fldCharType="begin"/>
      </w:r>
      <w:r w:rsidRPr="00AF7083">
        <w:rPr>
          <w:rFonts w:ascii="Arial" w:hAnsi="Arial" w:cs="Arial"/>
          <w:color w:val="0070C0"/>
          <w:sz w:val="22"/>
          <w:szCs w:val="22"/>
          <w:lang w:val="en-US"/>
        </w:rPr>
        <w:instrText>[13, 18] we</w:instrText>
      </w:r>
      <w:r w:rsidRPr="00AF7083">
        <w:rPr>
          <w:rFonts w:ascii="Arial" w:hAnsi="Arial" w:cs="Arial"/>
          <w:color w:val="0070C0"/>
          <w:sz w:val="22"/>
          <w:szCs w:val="22"/>
          <w:lang w:val="en-US"/>
        </w:rPr>
        <w:fldChar w:fldCharType="end"/>
      </w:r>
      <w:r w:rsidRPr="00AF7083">
        <w:rPr>
          <w:rFonts w:ascii="Arial" w:hAnsi="Arial" w:cs="Arial"/>
          <w:b/>
          <w:bCs/>
          <w:color w:val="0070C0"/>
          <w:sz w:val="22"/>
          <w:szCs w:val="22"/>
          <w:lang w:val="en-US"/>
        </w:rPr>
        <w:t>R</w:t>
      </w:r>
      <w:r w:rsidR="00496EE5" w:rsidRPr="00AF7083">
        <w:rPr>
          <w:rFonts w:ascii="Arial" w:hAnsi="Arial" w:cs="Arial"/>
          <w:b/>
          <w:bCs/>
          <w:color w:val="0070C0"/>
          <w:sz w:val="22"/>
          <w:szCs w:val="22"/>
          <w:lang w:val="en-US"/>
        </w:rPr>
        <w:t xml:space="preserve">EFERENCES </w:t>
      </w:r>
    </w:p>
    <w:bookmarkEnd w:id="4"/>
    <w:p w14:paraId="7D635743" w14:textId="77777777" w:rsidR="00496EE5" w:rsidRPr="00341067" w:rsidRDefault="00496EE5" w:rsidP="00341067">
      <w:pPr>
        <w:spacing w:line="276" w:lineRule="auto"/>
        <w:rPr>
          <w:rFonts w:ascii="Arial" w:hAnsi="Arial" w:cs="Arial"/>
          <w:b/>
          <w:bCs/>
          <w:sz w:val="22"/>
          <w:szCs w:val="22"/>
          <w:lang w:val="en-GB"/>
        </w:rPr>
      </w:pPr>
    </w:p>
    <w:p w14:paraId="1FAC3CAC" w14:textId="0D89C3FA" w:rsidR="000C2CA8" w:rsidRPr="00496EE5" w:rsidRDefault="00D12970" w:rsidP="00496EE5">
      <w:pPr>
        <w:spacing w:line="276" w:lineRule="auto"/>
        <w:ind w:left="576" w:hanging="576"/>
        <w:rPr>
          <w:rFonts w:ascii="Arial" w:hAnsi="Arial" w:cs="Arial"/>
          <w:sz w:val="22"/>
          <w:szCs w:val="22"/>
          <w:lang w:val="en-GB"/>
        </w:rPr>
      </w:pPr>
      <w:bookmarkStart w:id="5" w:name="_Hlk122523339"/>
      <w:r w:rsidRPr="00496EE5">
        <w:rPr>
          <w:rFonts w:ascii="Arial" w:hAnsi="Arial" w:cs="Arial"/>
          <w:sz w:val="22"/>
          <w:szCs w:val="22"/>
          <w:lang w:val="en-GB"/>
        </w:rPr>
        <w:t xml:space="preserve">1) </w:t>
      </w:r>
      <w:r w:rsidRPr="00496EE5">
        <w:rPr>
          <w:rFonts w:ascii="Arial" w:hAnsi="Arial" w:cs="Arial"/>
          <w:sz w:val="22"/>
          <w:szCs w:val="22"/>
          <w:lang w:val="en-GB"/>
        </w:rPr>
        <w:tab/>
        <w:t xml:space="preserve">Naeini RS, Witty MF, </w:t>
      </w:r>
      <w:proofErr w:type="spellStart"/>
      <w:r w:rsidRPr="00496EE5">
        <w:rPr>
          <w:rFonts w:ascii="Arial" w:hAnsi="Arial" w:cs="Arial"/>
          <w:sz w:val="22"/>
          <w:szCs w:val="22"/>
          <w:lang w:val="en-GB"/>
        </w:rPr>
        <w:t>Seguela</w:t>
      </w:r>
      <w:proofErr w:type="spellEnd"/>
      <w:r w:rsidRPr="00496EE5">
        <w:rPr>
          <w:rFonts w:ascii="Arial" w:hAnsi="Arial" w:cs="Arial"/>
          <w:sz w:val="22"/>
          <w:szCs w:val="22"/>
          <w:lang w:val="en-GB"/>
        </w:rPr>
        <w:t xml:space="preserve"> P, Bourque CW. An N-terminal variant of Trpv1 channel is required for </w:t>
      </w:r>
      <w:proofErr w:type="spellStart"/>
      <w:r w:rsidRPr="00496EE5">
        <w:rPr>
          <w:rFonts w:ascii="Arial" w:hAnsi="Arial" w:cs="Arial"/>
          <w:sz w:val="22"/>
          <w:szCs w:val="22"/>
          <w:lang w:val="en-GB"/>
        </w:rPr>
        <w:t>osmosensory</w:t>
      </w:r>
      <w:proofErr w:type="spellEnd"/>
      <w:r w:rsidRPr="00496EE5">
        <w:rPr>
          <w:rFonts w:ascii="Arial" w:hAnsi="Arial" w:cs="Arial"/>
          <w:sz w:val="22"/>
          <w:szCs w:val="22"/>
          <w:lang w:val="en-GB"/>
        </w:rPr>
        <w:t xml:space="preserve"> transduction. Nat </w:t>
      </w:r>
      <w:proofErr w:type="spellStart"/>
      <w:r w:rsidRPr="00496EE5">
        <w:rPr>
          <w:rFonts w:ascii="Arial" w:hAnsi="Arial" w:cs="Arial"/>
          <w:sz w:val="22"/>
          <w:szCs w:val="22"/>
          <w:lang w:val="en-GB"/>
        </w:rPr>
        <w:t>Neurosci</w:t>
      </w:r>
      <w:proofErr w:type="spellEnd"/>
      <w:r w:rsidRPr="00496EE5">
        <w:rPr>
          <w:rFonts w:ascii="Arial" w:hAnsi="Arial" w:cs="Arial"/>
          <w:sz w:val="22"/>
          <w:szCs w:val="22"/>
          <w:lang w:val="en-GB"/>
        </w:rPr>
        <w:t xml:space="preserve"> 2006; 9(1):93-8.</w:t>
      </w:r>
    </w:p>
    <w:p w14:paraId="783B84F3" w14:textId="792FF5D4"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2) </w:t>
      </w:r>
      <w:r w:rsidRPr="00496EE5">
        <w:rPr>
          <w:rFonts w:ascii="Arial" w:hAnsi="Arial" w:cs="Arial"/>
          <w:sz w:val="22"/>
          <w:szCs w:val="22"/>
          <w:lang w:val="en-GB"/>
        </w:rPr>
        <w:tab/>
        <w:t xml:space="preserve">Hoorn EJ, </w:t>
      </w:r>
      <w:proofErr w:type="spellStart"/>
      <w:r w:rsidRPr="00496EE5">
        <w:rPr>
          <w:rFonts w:ascii="Arial" w:hAnsi="Arial" w:cs="Arial"/>
          <w:sz w:val="22"/>
          <w:szCs w:val="22"/>
          <w:lang w:val="en-GB"/>
        </w:rPr>
        <w:t>Zietse</w:t>
      </w:r>
      <w:proofErr w:type="spellEnd"/>
      <w:r w:rsidRPr="00496EE5">
        <w:rPr>
          <w:rFonts w:ascii="Arial" w:hAnsi="Arial" w:cs="Arial"/>
          <w:sz w:val="22"/>
          <w:szCs w:val="22"/>
          <w:lang w:val="en-GB"/>
        </w:rPr>
        <w:t xml:space="preserve"> R. Diagnosis and Treatment of Hyponatremia: Compilation of the Guidelines. J Am Soc Nephrol 2017;28(5):1340-</w:t>
      </w:r>
      <w:proofErr w:type="gramStart"/>
      <w:r w:rsidRPr="00496EE5">
        <w:rPr>
          <w:rFonts w:ascii="Arial" w:hAnsi="Arial" w:cs="Arial"/>
          <w:sz w:val="22"/>
          <w:szCs w:val="22"/>
          <w:lang w:val="en-GB"/>
        </w:rPr>
        <w:t>1349 .</w:t>
      </w:r>
      <w:proofErr w:type="gramEnd"/>
    </w:p>
    <w:p w14:paraId="2564E1C7" w14:textId="3FF6C612"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3) </w:t>
      </w:r>
      <w:r w:rsidRPr="00496EE5">
        <w:rPr>
          <w:rFonts w:ascii="Arial" w:hAnsi="Arial" w:cs="Arial"/>
          <w:sz w:val="22"/>
          <w:szCs w:val="22"/>
          <w:lang w:val="en-GB"/>
        </w:rPr>
        <w:tab/>
        <w:t xml:space="preserve">Zucker IH, </w:t>
      </w:r>
      <w:proofErr w:type="spellStart"/>
      <w:r w:rsidRPr="00496EE5">
        <w:rPr>
          <w:rFonts w:ascii="Arial" w:hAnsi="Arial" w:cs="Arial"/>
          <w:sz w:val="22"/>
          <w:szCs w:val="22"/>
          <w:lang w:val="en-GB"/>
        </w:rPr>
        <w:t>Pliquett</w:t>
      </w:r>
      <w:proofErr w:type="spellEnd"/>
      <w:r w:rsidRPr="00496EE5">
        <w:rPr>
          <w:rFonts w:ascii="Arial" w:hAnsi="Arial" w:cs="Arial"/>
          <w:sz w:val="22"/>
          <w:szCs w:val="22"/>
          <w:lang w:val="en-GB"/>
        </w:rPr>
        <w:t xml:space="preserve"> RU. Novel mechanisms of </w:t>
      </w:r>
      <w:proofErr w:type="spellStart"/>
      <w:r w:rsidRPr="00496EE5">
        <w:rPr>
          <w:rFonts w:ascii="Arial" w:hAnsi="Arial" w:cs="Arial"/>
          <w:sz w:val="22"/>
          <w:szCs w:val="22"/>
          <w:lang w:val="en-GB"/>
        </w:rPr>
        <w:t>sympatho</w:t>
      </w:r>
      <w:proofErr w:type="spellEnd"/>
      <w:r w:rsidRPr="00496EE5">
        <w:rPr>
          <w:rFonts w:ascii="Arial" w:hAnsi="Arial" w:cs="Arial"/>
          <w:sz w:val="22"/>
          <w:szCs w:val="22"/>
          <w:lang w:val="en-GB"/>
        </w:rPr>
        <w:t>-excitation in chronic heart failure. Heart Fail Monit 2002; 3(1):2-7.</w:t>
      </w:r>
    </w:p>
    <w:p w14:paraId="0069DD32" w14:textId="79196459"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4) </w:t>
      </w:r>
      <w:r w:rsidRPr="00496EE5">
        <w:rPr>
          <w:rFonts w:ascii="Arial" w:hAnsi="Arial" w:cs="Arial"/>
          <w:sz w:val="22"/>
          <w:szCs w:val="22"/>
          <w:lang w:val="en-GB"/>
        </w:rPr>
        <w:tab/>
        <w:t xml:space="preserve">Kaufmann JE, </w:t>
      </w:r>
      <w:proofErr w:type="spellStart"/>
      <w:r w:rsidRPr="00496EE5">
        <w:rPr>
          <w:rFonts w:ascii="Arial" w:hAnsi="Arial" w:cs="Arial"/>
          <w:sz w:val="22"/>
          <w:szCs w:val="22"/>
          <w:lang w:val="en-GB"/>
        </w:rPr>
        <w:t>Oksche</w:t>
      </w:r>
      <w:proofErr w:type="spellEnd"/>
      <w:r w:rsidRPr="00496EE5">
        <w:rPr>
          <w:rFonts w:ascii="Arial" w:hAnsi="Arial" w:cs="Arial"/>
          <w:sz w:val="22"/>
          <w:szCs w:val="22"/>
          <w:lang w:val="en-GB"/>
        </w:rPr>
        <w:t xml:space="preserve"> A, </w:t>
      </w:r>
      <w:proofErr w:type="spellStart"/>
      <w:r w:rsidRPr="00496EE5">
        <w:rPr>
          <w:rFonts w:ascii="Arial" w:hAnsi="Arial" w:cs="Arial"/>
          <w:sz w:val="22"/>
          <w:szCs w:val="22"/>
          <w:lang w:val="en-GB"/>
        </w:rPr>
        <w:t>Wollheim</w:t>
      </w:r>
      <w:proofErr w:type="spellEnd"/>
      <w:r w:rsidRPr="00496EE5">
        <w:rPr>
          <w:rFonts w:ascii="Arial" w:hAnsi="Arial" w:cs="Arial"/>
          <w:sz w:val="22"/>
          <w:szCs w:val="22"/>
          <w:lang w:val="en-GB"/>
        </w:rPr>
        <w:t xml:space="preserve"> CB, Gunther G, Rosenthal W, Vischer UM. Vasopressin-induced von Willebrand factor secretion from endothelial cells involves V2 receptors and cAMP. J Clin Invest 2000 Jul; 106(1):107-16.</w:t>
      </w:r>
    </w:p>
    <w:p w14:paraId="50FA00E1" w14:textId="5E2B92EE"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5) </w:t>
      </w:r>
      <w:r w:rsidRPr="00496EE5">
        <w:rPr>
          <w:rFonts w:ascii="Arial" w:hAnsi="Arial" w:cs="Arial"/>
          <w:sz w:val="22"/>
          <w:szCs w:val="22"/>
          <w:lang w:val="en-GB"/>
        </w:rPr>
        <w:tab/>
      </w:r>
      <w:proofErr w:type="spellStart"/>
      <w:r w:rsidRPr="00496EE5">
        <w:rPr>
          <w:rFonts w:ascii="Arial" w:hAnsi="Arial" w:cs="Arial"/>
          <w:sz w:val="22"/>
          <w:szCs w:val="22"/>
          <w:lang w:val="en-GB"/>
        </w:rPr>
        <w:t>Castaman</w:t>
      </w:r>
      <w:proofErr w:type="spellEnd"/>
      <w:r w:rsidRPr="00496EE5">
        <w:rPr>
          <w:rFonts w:ascii="Arial" w:hAnsi="Arial" w:cs="Arial"/>
          <w:sz w:val="22"/>
          <w:szCs w:val="22"/>
          <w:lang w:val="en-GB"/>
        </w:rPr>
        <w:t xml:space="preserve"> G, </w:t>
      </w:r>
      <w:proofErr w:type="spellStart"/>
      <w:r w:rsidRPr="00496EE5">
        <w:rPr>
          <w:rFonts w:ascii="Arial" w:hAnsi="Arial" w:cs="Arial"/>
          <w:sz w:val="22"/>
          <w:szCs w:val="22"/>
          <w:lang w:val="en-GB"/>
        </w:rPr>
        <w:t>Tosetto</w:t>
      </w:r>
      <w:proofErr w:type="spellEnd"/>
      <w:r w:rsidRPr="00496EE5">
        <w:rPr>
          <w:rFonts w:ascii="Arial" w:hAnsi="Arial" w:cs="Arial"/>
          <w:sz w:val="22"/>
          <w:szCs w:val="22"/>
          <w:lang w:val="en-GB"/>
        </w:rPr>
        <w:t xml:space="preserve"> A, Federici AB, Rodeghiero F. Bleeding tendency and efficacy of anti-haemorrhagic treatments in patients with type 1 von Willebrand disease and increased von Willebrand factor clearance. </w:t>
      </w:r>
      <w:proofErr w:type="spellStart"/>
      <w:r w:rsidRPr="00496EE5">
        <w:rPr>
          <w:rFonts w:ascii="Arial" w:hAnsi="Arial" w:cs="Arial"/>
          <w:sz w:val="22"/>
          <w:szCs w:val="22"/>
          <w:lang w:val="en-GB"/>
        </w:rPr>
        <w:t>Thromb</w:t>
      </w:r>
      <w:proofErr w:type="spellEnd"/>
      <w:r w:rsidRPr="00496EE5">
        <w:rPr>
          <w:rFonts w:ascii="Arial" w:hAnsi="Arial" w:cs="Arial"/>
          <w:sz w:val="22"/>
          <w:szCs w:val="22"/>
          <w:lang w:val="en-GB"/>
        </w:rPr>
        <w:t xml:space="preserve"> </w:t>
      </w:r>
      <w:proofErr w:type="spellStart"/>
      <w:r w:rsidRPr="00496EE5">
        <w:rPr>
          <w:rFonts w:ascii="Arial" w:hAnsi="Arial" w:cs="Arial"/>
          <w:sz w:val="22"/>
          <w:szCs w:val="22"/>
          <w:lang w:val="en-GB"/>
        </w:rPr>
        <w:t>Haemost</w:t>
      </w:r>
      <w:proofErr w:type="spellEnd"/>
      <w:r w:rsidRPr="00496EE5">
        <w:rPr>
          <w:rFonts w:ascii="Arial" w:hAnsi="Arial" w:cs="Arial"/>
          <w:sz w:val="22"/>
          <w:szCs w:val="22"/>
          <w:lang w:val="en-GB"/>
        </w:rPr>
        <w:t xml:space="preserve"> 2011 Apr; 105(4):647-54.</w:t>
      </w:r>
    </w:p>
    <w:p w14:paraId="099BBAED" w14:textId="48B0A42E"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6) </w:t>
      </w:r>
      <w:r w:rsidRPr="00496EE5">
        <w:rPr>
          <w:rFonts w:ascii="Arial" w:hAnsi="Arial" w:cs="Arial"/>
          <w:sz w:val="22"/>
          <w:szCs w:val="22"/>
          <w:lang w:val="en-GB"/>
        </w:rPr>
        <w:tab/>
      </w:r>
      <w:proofErr w:type="spellStart"/>
      <w:r w:rsidRPr="00496EE5">
        <w:rPr>
          <w:rFonts w:ascii="Arial" w:hAnsi="Arial" w:cs="Arial"/>
          <w:sz w:val="22"/>
          <w:szCs w:val="22"/>
          <w:lang w:val="en-GB"/>
        </w:rPr>
        <w:t>Chistolini</w:t>
      </w:r>
      <w:proofErr w:type="spellEnd"/>
      <w:r w:rsidRPr="00496EE5">
        <w:rPr>
          <w:rFonts w:ascii="Arial" w:hAnsi="Arial" w:cs="Arial"/>
          <w:sz w:val="22"/>
          <w:szCs w:val="22"/>
          <w:lang w:val="en-GB"/>
        </w:rPr>
        <w:t xml:space="preserve"> A, </w:t>
      </w:r>
      <w:proofErr w:type="spellStart"/>
      <w:r w:rsidRPr="00496EE5">
        <w:rPr>
          <w:rFonts w:ascii="Arial" w:hAnsi="Arial" w:cs="Arial"/>
          <w:sz w:val="22"/>
          <w:szCs w:val="22"/>
          <w:lang w:val="en-GB"/>
        </w:rPr>
        <w:t>Dragoni</w:t>
      </w:r>
      <w:proofErr w:type="spellEnd"/>
      <w:r w:rsidRPr="00496EE5">
        <w:rPr>
          <w:rFonts w:ascii="Arial" w:hAnsi="Arial" w:cs="Arial"/>
          <w:sz w:val="22"/>
          <w:szCs w:val="22"/>
          <w:lang w:val="en-GB"/>
        </w:rPr>
        <w:t xml:space="preserve"> F, Ferrari A, et al. Intranasal DDAVP: biological and clinical evaluation in mild factor VIII deficiency. Haemostasis 1991; 21(5):273-7.</w:t>
      </w:r>
    </w:p>
    <w:p w14:paraId="6D849CC7" w14:textId="3B974BE2"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7) </w:t>
      </w:r>
      <w:r w:rsidRPr="00496EE5">
        <w:rPr>
          <w:rFonts w:ascii="Arial" w:hAnsi="Arial" w:cs="Arial"/>
          <w:sz w:val="22"/>
          <w:szCs w:val="22"/>
          <w:lang w:val="en-GB"/>
        </w:rPr>
        <w:tab/>
        <w:t xml:space="preserve">Magovern JA, Sieber PR, Thiele BL. The syndrome of inappropriate secretion of antidiuretic hormone following carotid endarterectomy. A case report and review of the literature. J Cardiovasc </w:t>
      </w:r>
      <w:proofErr w:type="spellStart"/>
      <w:r w:rsidRPr="00496EE5">
        <w:rPr>
          <w:rFonts w:ascii="Arial" w:hAnsi="Arial" w:cs="Arial"/>
          <w:sz w:val="22"/>
          <w:szCs w:val="22"/>
          <w:lang w:val="en-GB"/>
        </w:rPr>
        <w:t>Surg</w:t>
      </w:r>
      <w:proofErr w:type="spellEnd"/>
      <w:r w:rsidRPr="00496EE5">
        <w:rPr>
          <w:rFonts w:ascii="Arial" w:hAnsi="Arial" w:cs="Arial"/>
          <w:sz w:val="22"/>
          <w:szCs w:val="22"/>
          <w:lang w:val="en-GB"/>
        </w:rPr>
        <w:t xml:space="preserve"> (Torino) 1989 Jul; 30(4):544-6.</w:t>
      </w:r>
    </w:p>
    <w:p w14:paraId="1CA62594" w14:textId="3646E868"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rPr>
        <w:t xml:space="preserve">8) </w:t>
      </w:r>
      <w:r w:rsidRPr="00496EE5">
        <w:rPr>
          <w:rFonts w:ascii="Arial" w:hAnsi="Arial" w:cs="Arial"/>
          <w:sz w:val="22"/>
          <w:szCs w:val="22"/>
        </w:rPr>
        <w:tab/>
        <w:t xml:space="preserve">Leimbach WN, Jr., Schmid PG, Mark AL. </w:t>
      </w:r>
      <w:r w:rsidRPr="00496EE5">
        <w:rPr>
          <w:rFonts w:ascii="Arial" w:hAnsi="Arial" w:cs="Arial"/>
          <w:sz w:val="22"/>
          <w:szCs w:val="22"/>
          <w:lang w:val="en-GB"/>
        </w:rPr>
        <w:t xml:space="preserve">Baroreflex control of plasma arginine vasopressin in humans. Am J </w:t>
      </w:r>
      <w:proofErr w:type="spellStart"/>
      <w:r w:rsidRPr="00496EE5">
        <w:rPr>
          <w:rFonts w:ascii="Arial" w:hAnsi="Arial" w:cs="Arial"/>
          <w:sz w:val="22"/>
          <w:szCs w:val="22"/>
          <w:lang w:val="en-GB"/>
        </w:rPr>
        <w:t>Physiol</w:t>
      </w:r>
      <w:proofErr w:type="spellEnd"/>
      <w:r w:rsidRPr="00496EE5">
        <w:rPr>
          <w:rFonts w:ascii="Arial" w:hAnsi="Arial" w:cs="Arial"/>
          <w:sz w:val="22"/>
          <w:szCs w:val="22"/>
          <w:lang w:val="en-GB"/>
        </w:rPr>
        <w:t xml:space="preserve"> 1984 Oct; 247(4 Pt 2):H638-H644.</w:t>
      </w:r>
    </w:p>
    <w:p w14:paraId="66538D0C" w14:textId="594EA650"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9) </w:t>
      </w:r>
      <w:r w:rsidRPr="00496EE5">
        <w:rPr>
          <w:rFonts w:ascii="Arial" w:hAnsi="Arial" w:cs="Arial"/>
          <w:sz w:val="22"/>
          <w:szCs w:val="22"/>
          <w:lang w:val="en-GB"/>
        </w:rPr>
        <w:tab/>
        <w:t xml:space="preserve">Egan B, Grekin R, Ibsen H, </w:t>
      </w:r>
      <w:proofErr w:type="spellStart"/>
      <w:r w:rsidRPr="00496EE5">
        <w:rPr>
          <w:rFonts w:ascii="Arial" w:hAnsi="Arial" w:cs="Arial"/>
          <w:sz w:val="22"/>
          <w:szCs w:val="22"/>
          <w:lang w:val="en-GB"/>
        </w:rPr>
        <w:t>Osterziel</w:t>
      </w:r>
      <w:proofErr w:type="spellEnd"/>
      <w:r w:rsidRPr="00496EE5">
        <w:rPr>
          <w:rFonts w:ascii="Arial" w:hAnsi="Arial" w:cs="Arial"/>
          <w:sz w:val="22"/>
          <w:szCs w:val="22"/>
          <w:lang w:val="en-GB"/>
        </w:rPr>
        <w:t xml:space="preserve"> K, Julius S. Role of cardiopulmonary mechanoreceptors in ADH release in normal humans. Hypertension 1984 Nov; 6(6 Pt 1):832-6.</w:t>
      </w:r>
    </w:p>
    <w:p w14:paraId="59A8AC10" w14:textId="394F1E4F"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lastRenderedPageBreak/>
        <w:t xml:space="preserve">10) </w:t>
      </w:r>
      <w:r w:rsidRPr="00496EE5">
        <w:rPr>
          <w:rFonts w:ascii="Arial" w:hAnsi="Arial" w:cs="Arial"/>
          <w:sz w:val="22"/>
          <w:szCs w:val="22"/>
          <w:lang w:val="en-GB"/>
        </w:rPr>
        <w:tab/>
        <w:t xml:space="preserve">Rogge JD, Moore WW. Influence of lower body negative pressure on peripheral venous ADH levels in man. J Appl </w:t>
      </w:r>
      <w:proofErr w:type="spellStart"/>
      <w:r w:rsidRPr="00496EE5">
        <w:rPr>
          <w:rFonts w:ascii="Arial" w:hAnsi="Arial" w:cs="Arial"/>
          <w:sz w:val="22"/>
          <w:szCs w:val="22"/>
          <w:lang w:val="en-GB"/>
        </w:rPr>
        <w:t>Physiol</w:t>
      </w:r>
      <w:proofErr w:type="spellEnd"/>
      <w:r w:rsidRPr="00496EE5">
        <w:rPr>
          <w:rFonts w:ascii="Arial" w:hAnsi="Arial" w:cs="Arial"/>
          <w:sz w:val="22"/>
          <w:szCs w:val="22"/>
          <w:lang w:val="en-GB"/>
        </w:rPr>
        <w:t xml:space="preserve"> 1968 Aug; 25(2):134-8.</w:t>
      </w:r>
    </w:p>
    <w:p w14:paraId="7651C65C" w14:textId="77777777"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(11) </w:t>
      </w:r>
      <w:r w:rsidRPr="00496EE5">
        <w:rPr>
          <w:rFonts w:ascii="Arial" w:hAnsi="Arial" w:cs="Arial"/>
          <w:sz w:val="22"/>
          <w:szCs w:val="22"/>
          <w:lang w:val="en-GB"/>
        </w:rPr>
        <w:tab/>
        <w:t xml:space="preserve">Epstein M, Preston S, Weitzman RE. </w:t>
      </w:r>
      <w:proofErr w:type="spellStart"/>
      <w:r w:rsidRPr="00496EE5">
        <w:rPr>
          <w:rFonts w:ascii="Arial" w:hAnsi="Arial" w:cs="Arial"/>
          <w:sz w:val="22"/>
          <w:szCs w:val="22"/>
          <w:lang w:val="en-GB"/>
        </w:rPr>
        <w:t>Isoosmotic</w:t>
      </w:r>
      <w:proofErr w:type="spellEnd"/>
      <w:r w:rsidRPr="00496EE5">
        <w:rPr>
          <w:rFonts w:ascii="Arial" w:hAnsi="Arial" w:cs="Arial"/>
          <w:sz w:val="22"/>
          <w:szCs w:val="22"/>
          <w:lang w:val="en-GB"/>
        </w:rPr>
        <w:t xml:space="preserve"> central blood volume expansion suppresses plasma arginine vasopressin in normal man. J Clin Endocrinol </w:t>
      </w:r>
      <w:proofErr w:type="spellStart"/>
      <w:r w:rsidRPr="00496EE5">
        <w:rPr>
          <w:rFonts w:ascii="Arial" w:hAnsi="Arial" w:cs="Arial"/>
          <w:sz w:val="22"/>
          <w:szCs w:val="22"/>
          <w:lang w:val="en-GB"/>
        </w:rPr>
        <w:t>Metab</w:t>
      </w:r>
      <w:proofErr w:type="spellEnd"/>
      <w:r w:rsidRPr="00496EE5">
        <w:rPr>
          <w:rFonts w:ascii="Arial" w:hAnsi="Arial" w:cs="Arial"/>
          <w:sz w:val="22"/>
          <w:szCs w:val="22"/>
          <w:lang w:val="en-GB"/>
        </w:rPr>
        <w:t xml:space="preserve"> 1981 Feb; 52(2):256-62.</w:t>
      </w:r>
    </w:p>
    <w:p w14:paraId="6AC54191" w14:textId="2B4A8EF9"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12) </w:t>
      </w:r>
      <w:r w:rsidRPr="00496EE5">
        <w:rPr>
          <w:rFonts w:ascii="Arial" w:hAnsi="Arial" w:cs="Arial"/>
          <w:sz w:val="22"/>
          <w:szCs w:val="22"/>
          <w:lang w:val="en-GB"/>
        </w:rPr>
        <w:tab/>
        <w:t xml:space="preserve">Hoorn EJ, van der Lubbe N, </w:t>
      </w:r>
      <w:proofErr w:type="spellStart"/>
      <w:r w:rsidRPr="00496EE5">
        <w:rPr>
          <w:rFonts w:ascii="Arial" w:hAnsi="Arial" w:cs="Arial"/>
          <w:sz w:val="22"/>
          <w:szCs w:val="22"/>
          <w:lang w:val="en-GB"/>
        </w:rPr>
        <w:t>Zietse</w:t>
      </w:r>
      <w:proofErr w:type="spellEnd"/>
      <w:r w:rsidRPr="00496EE5">
        <w:rPr>
          <w:rFonts w:ascii="Arial" w:hAnsi="Arial" w:cs="Arial"/>
          <w:sz w:val="22"/>
          <w:szCs w:val="22"/>
          <w:lang w:val="en-GB"/>
        </w:rPr>
        <w:t xml:space="preserve"> R. SIADH and hyponatraemia: why does it matter? NDT Plus 2009 Nov 1; 2(</w:t>
      </w:r>
      <w:proofErr w:type="spellStart"/>
      <w:r w:rsidRPr="00496EE5">
        <w:rPr>
          <w:rFonts w:ascii="Arial" w:hAnsi="Arial" w:cs="Arial"/>
          <w:sz w:val="22"/>
          <w:szCs w:val="22"/>
          <w:lang w:val="en-GB"/>
        </w:rPr>
        <w:t>suppl</w:t>
      </w:r>
      <w:proofErr w:type="spellEnd"/>
      <w:r w:rsidRPr="00496EE5">
        <w:rPr>
          <w:rFonts w:ascii="Arial" w:hAnsi="Arial" w:cs="Arial"/>
          <w:sz w:val="22"/>
          <w:szCs w:val="22"/>
          <w:lang w:val="en-GB"/>
        </w:rPr>
        <w:t xml:space="preserve"> 3</w:t>
      </w:r>
      <w:proofErr w:type="gramStart"/>
      <w:r w:rsidRPr="00496EE5">
        <w:rPr>
          <w:rFonts w:ascii="Arial" w:hAnsi="Arial" w:cs="Arial"/>
          <w:sz w:val="22"/>
          <w:szCs w:val="22"/>
          <w:lang w:val="en-GB"/>
        </w:rPr>
        <w:t>):iii</w:t>
      </w:r>
      <w:proofErr w:type="gramEnd"/>
      <w:r w:rsidRPr="00496EE5">
        <w:rPr>
          <w:rFonts w:ascii="Arial" w:hAnsi="Arial" w:cs="Arial"/>
          <w:sz w:val="22"/>
          <w:szCs w:val="22"/>
          <w:lang w:val="en-GB"/>
        </w:rPr>
        <w:t>5-iii11.</w:t>
      </w:r>
    </w:p>
    <w:p w14:paraId="0ECFF7E8" w14:textId="665BAADD"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13) </w:t>
      </w:r>
      <w:r w:rsidRPr="00496EE5">
        <w:rPr>
          <w:rFonts w:ascii="Arial" w:hAnsi="Arial" w:cs="Arial"/>
          <w:sz w:val="22"/>
          <w:szCs w:val="22"/>
          <w:lang w:val="en-GB"/>
        </w:rPr>
        <w:tab/>
      </w:r>
      <w:proofErr w:type="spellStart"/>
      <w:r w:rsidRPr="00496EE5">
        <w:rPr>
          <w:rFonts w:ascii="Arial" w:hAnsi="Arial" w:cs="Arial"/>
          <w:sz w:val="22"/>
          <w:szCs w:val="22"/>
          <w:lang w:val="en-GB"/>
        </w:rPr>
        <w:t>Verbalis</w:t>
      </w:r>
      <w:proofErr w:type="spellEnd"/>
      <w:r w:rsidRPr="00496EE5">
        <w:rPr>
          <w:rFonts w:ascii="Arial" w:hAnsi="Arial" w:cs="Arial"/>
          <w:sz w:val="22"/>
          <w:szCs w:val="22"/>
          <w:lang w:val="en-GB"/>
        </w:rPr>
        <w:t xml:space="preserve"> JG, Goldsmith SR, Greenberg A, et al. Diagnosis, evaluation, and treatment of hyponatremia: expert panel recommendations. Am J Med 2013 Oct; 126(10 </w:t>
      </w:r>
      <w:proofErr w:type="spellStart"/>
      <w:r w:rsidRPr="00496EE5">
        <w:rPr>
          <w:rFonts w:ascii="Arial" w:hAnsi="Arial" w:cs="Arial"/>
          <w:sz w:val="22"/>
          <w:szCs w:val="22"/>
          <w:lang w:val="en-GB"/>
        </w:rPr>
        <w:t>Suppl</w:t>
      </w:r>
      <w:proofErr w:type="spellEnd"/>
      <w:r w:rsidRPr="00496EE5">
        <w:rPr>
          <w:rFonts w:ascii="Arial" w:hAnsi="Arial" w:cs="Arial"/>
          <w:sz w:val="22"/>
          <w:szCs w:val="22"/>
          <w:lang w:val="en-GB"/>
        </w:rPr>
        <w:t xml:space="preserve"> 1</w:t>
      </w:r>
      <w:proofErr w:type="gramStart"/>
      <w:r w:rsidRPr="00496EE5">
        <w:rPr>
          <w:rFonts w:ascii="Arial" w:hAnsi="Arial" w:cs="Arial"/>
          <w:sz w:val="22"/>
          <w:szCs w:val="22"/>
          <w:lang w:val="en-GB"/>
        </w:rPr>
        <w:t>):S</w:t>
      </w:r>
      <w:proofErr w:type="gramEnd"/>
      <w:r w:rsidRPr="00496EE5">
        <w:rPr>
          <w:rFonts w:ascii="Arial" w:hAnsi="Arial" w:cs="Arial"/>
          <w:sz w:val="22"/>
          <w:szCs w:val="22"/>
          <w:lang w:val="en-GB"/>
        </w:rPr>
        <w:t>1-42.</w:t>
      </w:r>
    </w:p>
    <w:p w14:paraId="7AB32E46" w14:textId="65B6DA44"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14) </w:t>
      </w:r>
      <w:r w:rsidRPr="00496EE5">
        <w:rPr>
          <w:rFonts w:ascii="Arial" w:hAnsi="Arial" w:cs="Arial"/>
          <w:sz w:val="22"/>
          <w:szCs w:val="22"/>
          <w:lang w:val="en-GB"/>
        </w:rPr>
        <w:tab/>
        <w:t>Clayton JA, Le J, I, Hall IP. Severe hyponatraemia in medical in-patients: aetiology, assessment and outcome. QJM 2006 Aug; 99(8):505-11.</w:t>
      </w:r>
    </w:p>
    <w:p w14:paraId="4703374E" w14:textId="0AAC355C"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15) </w:t>
      </w:r>
      <w:r w:rsidRPr="00496EE5">
        <w:rPr>
          <w:rFonts w:ascii="Arial" w:hAnsi="Arial" w:cs="Arial"/>
          <w:sz w:val="22"/>
          <w:szCs w:val="22"/>
          <w:lang w:val="en-GB"/>
        </w:rPr>
        <w:tab/>
        <w:t xml:space="preserve">Ito T, Fujio Y, Hirata M, et al. Expression of taurine transporter is regulated through the </w:t>
      </w:r>
      <w:proofErr w:type="spellStart"/>
      <w:r w:rsidRPr="00496EE5">
        <w:rPr>
          <w:rFonts w:ascii="Arial" w:hAnsi="Arial" w:cs="Arial"/>
          <w:sz w:val="22"/>
          <w:szCs w:val="22"/>
          <w:lang w:val="en-GB"/>
        </w:rPr>
        <w:t>TonE</w:t>
      </w:r>
      <w:proofErr w:type="spellEnd"/>
      <w:r w:rsidRPr="00496EE5">
        <w:rPr>
          <w:rFonts w:ascii="Arial" w:hAnsi="Arial" w:cs="Arial"/>
          <w:sz w:val="22"/>
          <w:szCs w:val="22"/>
          <w:lang w:val="en-GB"/>
        </w:rPr>
        <w:t xml:space="preserve"> (tonicity-responsive element)/</w:t>
      </w:r>
      <w:proofErr w:type="spellStart"/>
      <w:r w:rsidRPr="00496EE5">
        <w:rPr>
          <w:rFonts w:ascii="Arial" w:hAnsi="Arial" w:cs="Arial"/>
          <w:sz w:val="22"/>
          <w:szCs w:val="22"/>
          <w:lang w:val="en-GB"/>
        </w:rPr>
        <w:t>TonEBP</w:t>
      </w:r>
      <w:proofErr w:type="spellEnd"/>
      <w:r w:rsidRPr="00496EE5">
        <w:rPr>
          <w:rFonts w:ascii="Arial" w:hAnsi="Arial" w:cs="Arial"/>
          <w:sz w:val="22"/>
          <w:szCs w:val="22"/>
          <w:lang w:val="en-GB"/>
        </w:rPr>
        <w:t xml:space="preserve"> (</w:t>
      </w:r>
      <w:proofErr w:type="spellStart"/>
      <w:r w:rsidRPr="00496EE5">
        <w:rPr>
          <w:rFonts w:ascii="Arial" w:hAnsi="Arial" w:cs="Arial"/>
          <w:sz w:val="22"/>
          <w:szCs w:val="22"/>
          <w:lang w:val="en-GB"/>
        </w:rPr>
        <w:t>TonE</w:t>
      </w:r>
      <w:proofErr w:type="spellEnd"/>
      <w:r w:rsidRPr="00496EE5">
        <w:rPr>
          <w:rFonts w:ascii="Arial" w:hAnsi="Arial" w:cs="Arial"/>
          <w:sz w:val="22"/>
          <w:szCs w:val="22"/>
          <w:lang w:val="en-GB"/>
        </w:rPr>
        <w:t xml:space="preserve">-binding protein) pathway and contributes to </w:t>
      </w:r>
      <w:proofErr w:type="spellStart"/>
      <w:r w:rsidRPr="00496EE5">
        <w:rPr>
          <w:rFonts w:ascii="Arial" w:hAnsi="Arial" w:cs="Arial"/>
          <w:sz w:val="22"/>
          <w:szCs w:val="22"/>
          <w:lang w:val="en-GB"/>
        </w:rPr>
        <w:t>cytoprotection</w:t>
      </w:r>
      <w:proofErr w:type="spellEnd"/>
      <w:r w:rsidRPr="00496EE5">
        <w:rPr>
          <w:rFonts w:ascii="Arial" w:hAnsi="Arial" w:cs="Arial"/>
          <w:sz w:val="22"/>
          <w:szCs w:val="22"/>
          <w:lang w:val="en-GB"/>
        </w:rPr>
        <w:t xml:space="preserve"> in HepG2 cells. </w:t>
      </w:r>
      <w:proofErr w:type="spellStart"/>
      <w:r w:rsidRPr="00496EE5">
        <w:rPr>
          <w:rFonts w:ascii="Arial" w:hAnsi="Arial" w:cs="Arial"/>
          <w:sz w:val="22"/>
          <w:szCs w:val="22"/>
          <w:lang w:val="en-GB"/>
        </w:rPr>
        <w:t>Biochem</w:t>
      </w:r>
      <w:proofErr w:type="spellEnd"/>
      <w:r w:rsidRPr="00496EE5">
        <w:rPr>
          <w:rFonts w:ascii="Arial" w:hAnsi="Arial" w:cs="Arial"/>
          <w:sz w:val="22"/>
          <w:szCs w:val="22"/>
          <w:lang w:val="en-GB"/>
        </w:rPr>
        <w:t xml:space="preserve"> J 2004 Aug 15; 382(Pt 1):177-82.</w:t>
      </w:r>
    </w:p>
    <w:p w14:paraId="3FCEF5B6" w14:textId="0B87D162"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16) </w:t>
      </w:r>
      <w:r w:rsidRPr="00496EE5">
        <w:rPr>
          <w:rFonts w:ascii="Arial" w:hAnsi="Arial" w:cs="Arial"/>
          <w:sz w:val="22"/>
          <w:szCs w:val="22"/>
          <w:lang w:val="en-GB"/>
        </w:rPr>
        <w:tab/>
        <w:t xml:space="preserve">Hillier TA, Abbott RD, Barrett EJ. Hyponatremia: evaluating the correction factor for </w:t>
      </w:r>
      <w:proofErr w:type="spellStart"/>
      <w:r w:rsidRPr="00496EE5">
        <w:rPr>
          <w:rFonts w:ascii="Arial" w:hAnsi="Arial" w:cs="Arial"/>
          <w:sz w:val="22"/>
          <w:szCs w:val="22"/>
          <w:lang w:val="en-GB"/>
        </w:rPr>
        <w:t>hyperglycemia</w:t>
      </w:r>
      <w:proofErr w:type="spellEnd"/>
      <w:r w:rsidRPr="00496EE5">
        <w:rPr>
          <w:rFonts w:ascii="Arial" w:hAnsi="Arial" w:cs="Arial"/>
          <w:sz w:val="22"/>
          <w:szCs w:val="22"/>
          <w:lang w:val="en-GB"/>
        </w:rPr>
        <w:t>. The American Journal of Medicine 1999 Apr; 106(4):399-403.</w:t>
      </w:r>
    </w:p>
    <w:p w14:paraId="1DC0DD0A" w14:textId="74785099" w:rsidR="000C2CA8" w:rsidRPr="00496EE5" w:rsidRDefault="00D12970" w:rsidP="00496EE5">
      <w:pPr>
        <w:spacing w:line="276" w:lineRule="auto"/>
        <w:ind w:left="576" w:hanging="576"/>
        <w:rPr>
          <w:rFonts w:ascii="Arial" w:hAnsi="Arial" w:cs="Arial"/>
          <w:sz w:val="22"/>
          <w:szCs w:val="22"/>
          <w:lang w:val="en-US"/>
        </w:rPr>
      </w:pPr>
      <w:r w:rsidRPr="00496EE5">
        <w:rPr>
          <w:rFonts w:ascii="Arial" w:hAnsi="Arial" w:cs="Arial"/>
          <w:sz w:val="22"/>
          <w:szCs w:val="22"/>
          <w:lang w:val="en-GB"/>
        </w:rPr>
        <w:t xml:space="preserve">17) </w:t>
      </w:r>
      <w:r w:rsidRPr="00496EE5">
        <w:rPr>
          <w:rFonts w:ascii="Arial" w:hAnsi="Arial" w:cs="Arial"/>
          <w:sz w:val="22"/>
          <w:szCs w:val="22"/>
          <w:lang w:val="en-GB"/>
        </w:rPr>
        <w:tab/>
      </w:r>
      <w:proofErr w:type="spellStart"/>
      <w:r w:rsidRPr="00496EE5">
        <w:rPr>
          <w:rFonts w:ascii="Arial" w:hAnsi="Arial" w:cs="Arial"/>
          <w:sz w:val="22"/>
          <w:szCs w:val="22"/>
          <w:lang w:val="en-GB"/>
        </w:rPr>
        <w:t>Overlack</w:t>
      </w:r>
      <w:proofErr w:type="spellEnd"/>
      <w:r w:rsidRPr="00496EE5">
        <w:rPr>
          <w:rFonts w:ascii="Arial" w:hAnsi="Arial" w:cs="Arial"/>
          <w:sz w:val="22"/>
          <w:szCs w:val="22"/>
          <w:lang w:val="en-GB"/>
        </w:rPr>
        <w:t xml:space="preserve"> A, </w:t>
      </w:r>
      <w:proofErr w:type="spellStart"/>
      <w:r w:rsidRPr="00496EE5">
        <w:rPr>
          <w:rFonts w:ascii="Arial" w:hAnsi="Arial" w:cs="Arial"/>
          <w:sz w:val="22"/>
          <w:szCs w:val="22"/>
          <w:lang w:val="en-GB"/>
        </w:rPr>
        <w:t>Niederle</w:t>
      </w:r>
      <w:proofErr w:type="spellEnd"/>
      <w:r w:rsidRPr="00496EE5">
        <w:rPr>
          <w:rFonts w:ascii="Arial" w:hAnsi="Arial" w:cs="Arial"/>
          <w:sz w:val="22"/>
          <w:szCs w:val="22"/>
          <w:lang w:val="en-GB"/>
        </w:rPr>
        <w:t xml:space="preserve"> N, </w:t>
      </w:r>
      <w:proofErr w:type="spellStart"/>
      <w:r w:rsidRPr="00496EE5">
        <w:rPr>
          <w:rFonts w:ascii="Arial" w:hAnsi="Arial" w:cs="Arial"/>
          <w:sz w:val="22"/>
          <w:szCs w:val="22"/>
          <w:lang w:val="en-GB"/>
        </w:rPr>
        <w:t>Klautke</w:t>
      </w:r>
      <w:proofErr w:type="spellEnd"/>
      <w:r w:rsidRPr="00496EE5">
        <w:rPr>
          <w:rFonts w:ascii="Arial" w:hAnsi="Arial" w:cs="Arial"/>
          <w:sz w:val="22"/>
          <w:szCs w:val="22"/>
          <w:lang w:val="en-GB"/>
        </w:rPr>
        <w:t xml:space="preserve"> G, Stumpe KO, Kruck F. </w:t>
      </w:r>
      <w:r w:rsidR="00341067" w:rsidRPr="00496EE5">
        <w:rPr>
          <w:rFonts w:ascii="Arial" w:hAnsi="Arial" w:cs="Arial"/>
          <w:sz w:val="22"/>
          <w:szCs w:val="22"/>
          <w:lang w:val="en-GB"/>
        </w:rPr>
        <w:t>(</w:t>
      </w:r>
      <w:r w:rsidRPr="00496EE5">
        <w:rPr>
          <w:rFonts w:ascii="Arial" w:hAnsi="Arial" w:cs="Arial"/>
          <w:sz w:val="22"/>
          <w:szCs w:val="22"/>
          <w:lang w:val="en-GB"/>
        </w:rPr>
        <w:t xml:space="preserve">Pseudohyponatremia in multiple myeloma (author's </w:t>
      </w:r>
      <w:proofErr w:type="spellStart"/>
      <w:r w:rsidRPr="00496EE5">
        <w:rPr>
          <w:rFonts w:ascii="Arial" w:hAnsi="Arial" w:cs="Arial"/>
          <w:sz w:val="22"/>
          <w:szCs w:val="22"/>
          <w:lang w:val="en-GB"/>
        </w:rPr>
        <w:t>transl</w:t>
      </w:r>
      <w:proofErr w:type="spellEnd"/>
      <w:r w:rsidRPr="00496EE5">
        <w:rPr>
          <w:rFonts w:ascii="Arial" w:hAnsi="Arial" w:cs="Arial"/>
          <w:sz w:val="22"/>
          <w:szCs w:val="22"/>
          <w:lang w:val="en-GB"/>
        </w:rPr>
        <w:t>)</w:t>
      </w:r>
      <w:r w:rsidR="00341067" w:rsidRPr="00496EE5">
        <w:rPr>
          <w:rFonts w:ascii="Arial" w:hAnsi="Arial" w:cs="Arial"/>
          <w:sz w:val="22"/>
          <w:szCs w:val="22"/>
          <w:lang w:val="en-GB"/>
        </w:rPr>
        <w:t>)</w:t>
      </w:r>
      <w:r w:rsidRPr="00496EE5">
        <w:rPr>
          <w:rFonts w:ascii="Arial" w:hAnsi="Arial" w:cs="Arial"/>
          <w:sz w:val="22"/>
          <w:szCs w:val="22"/>
          <w:lang w:val="en-GB"/>
        </w:rPr>
        <w:t xml:space="preserve">. </w:t>
      </w:r>
      <w:r w:rsidRPr="00496EE5">
        <w:rPr>
          <w:rFonts w:ascii="Arial" w:hAnsi="Arial" w:cs="Arial"/>
          <w:sz w:val="22"/>
          <w:szCs w:val="22"/>
          <w:lang w:val="en-US"/>
        </w:rPr>
        <w:t xml:space="preserve">Klin </w:t>
      </w:r>
      <w:proofErr w:type="spellStart"/>
      <w:r w:rsidRPr="00496EE5">
        <w:rPr>
          <w:rFonts w:ascii="Arial" w:hAnsi="Arial" w:cs="Arial"/>
          <w:sz w:val="22"/>
          <w:szCs w:val="22"/>
          <w:lang w:val="en-US"/>
        </w:rPr>
        <w:t>Wochenschr</w:t>
      </w:r>
      <w:proofErr w:type="spellEnd"/>
      <w:r w:rsidRPr="00496EE5">
        <w:rPr>
          <w:rFonts w:ascii="Arial" w:hAnsi="Arial" w:cs="Arial"/>
          <w:sz w:val="22"/>
          <w:szCs w:val="22"/>
          <w:lang w:val="en-US"/>
        </w:rPr>
        <w:t xml:space="preserve"> 1980 Sep 1; 58(17):875-80.</w:t>
      </w:r>
    </w:p>
    <w:p w14:paraId="2F3991A3" w14:textId="46B90008"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US"/>
        </w:rPr>
        <w:t xml:space="preserve">18) </w:t>
      </w:r>
      <w:r w:rsidRPr="00496EE5">
        <w:rPr>
          <w:rFonts w:ascii="Arial" w:hAnsi="Arial" w:cs="Arial"/>
          <w:sz w:val="22"/>
          <w:szCs w:val="22"/>
          <w:lang w:val="en-US"/>
        </w:rPr>
        <w:tab/>
      </w:r>
      <w:proofErr w:type="spellStart"/>
      <w:r w:rsidRPr="00496EE5">
        <w:rPr>
          <w:rFonts w:ascii="Arial" w:hAnsi="Arial" w:cs="Arial"/>
          <w:sz w:val="22"/>
          <w:szCs w:val="22"/>
          <w:lang w:val="en-US"/>
        </w:rPr>
        <w:t>Spasovski</w:t>
      </w:r>
      <w:proofErr w:type="spellEnd"/>
      <w:r w:rsidRPr="00496EE5">
        <w:rPr>
          <w:rFonts w:ascii="Arial" w:hAnsi="Arial" w:cs="Arial"/>
          <w:sz w:val="22"/>
          <w:szCs w:val="22"/>
          <w:lang w:val="en-US"/>
        </w:rPr>
        <w:t xml:space="preserve"> G, </w:t>
      </w:r>
      <w:proofErr w:type="spellStart"/>
      <w:r w:rsidRPr="00496EE5">
        <w:rPr>
          <w:rFonts w:ascii="Arial" w:hAnsi="Arial" w:cs="Arial"/>
          <w:sz w:val="22"/>
          <w:szCs w:val="22"/>
          <w:lang w:val="en-US"/>
        </w:rPr>
        <w:t>Vanholder</w:t>
      </w:r>
      <w:proofErr w:type="spellEnd"/>
      <w:r w:rsidRPr="00496EE5">
        <w:rPr>
          <w:rFonts w:ascii="Arial" w:hAnsi="Arial" w:cs="Arial"/>
          <w:sz w:val="22"/>
          <w:szCs w:val="22"/>
          <w:lang w:val="en-US"/>
        </w:rPr>
        <w:t xml:space="preserve"> R, </w:t>
      </w:r>
      <w:proofErr w:type="spellStart"/>
      <w:r w:rsidRPr="00496EE5">
        <w:rPr>
          <w:rFonts w:ascii="Arial" w:hAnsi="Arial" w:cs="Arial"/>
          <w:sz w:val="22"/>
          <w:szCs w:val="22"/>
          <w:lang w:val="en-US"/>
        </w:rPr>
        <w:t>Allolio</w:t>
      </w:r>
      <w:proofErr w:type="spellEnd"/>
      <w:r w:rsidRPr="00496EE5">
        <w:rPr>
          <w:rFonts w:ascii="Arial" w:hAnsi="Arial" w:cs="Arial"/>
          <w:sz w:val="22"/>
          <w:szCs w:val="22"/>
          <w:lang w:val="en-US"/>
        </w:rPr>
        <w:t xml:space="preserve"> B, et al. </w:t>
      </w:r>
      <w:r w:rsidRPr="00496EE5">
        <w:rPr>
          <w:rFonts w:ascii="Arial" w:hAnsi="Arial" w:cs="Arial"/>
          <w:sz w:val="22"/>
          <w:szCs w:val="22"/>
          <w:lang w:val="en-GB"/>
        </w:rPr>
        <w:t xml:space="preserve">Clinical practice guideline on diagnosis and treatment of hyponatraemia. </w:t>
      </w:r>
      <w:proofErr w:type="spellStart"/>
      <w:r w:rsidRPr="00496EE5">
        <w:rPr>
          <w:rFonts w:ascii="Arial" w:hAnsi="Arial" w:cs="Arial"/>
          <w:sz w:val="22"/>
          <w:szCs w:val="22"/>
          <w:lang w:val="en-GB"/>
        </w:rPr>
        <w:t>Eur</w:t>
      </w:r>
      <w:proofErr w:type="spellEnd"/>
      <w:r w:rsidRPr="00496EE5">
        <w:rPr>
          <w:rFonts w:ascii="Arial" w:hAnsi="Arial" w:cs="Arial"/>
          <w:sz w:val="22"/>
          <w:szCs w:val="22"/>
          <w:lang w:val="en-GB"/>
        </w:rPr>
        <w:t xml:space="preserve"> J Endocrinol 2014 Mar; 170(3</w:t>
      </w:r>
      <w:proofErr w:type="gramStart"/>
      <w:r w:rsidRPr="00496EE5">
        <w:rPr>
          <w:rFonts w:ascii="Arial" w:hAnsi="Arial" w:cs="Arial"/>
          <w:sz w:val="22"/>
          <w:szCs w:val="22"/>
          <w:lang w:val="en-GB"/>
        </w:rPr>
        <w:t>):G</w:t>
      </w:r>
      <w:proofErr w:type="gramEnd"/>
      <w:r w:rsidRPr="00496EE5">
        <w:rPr>
          <w:rFonts w:ascii="Arial" w:hAnsi="Arial" w:cs="Arial"/>
          <w:sz w:val="22"/>
          <w:szCs w:val="22"/>
          <w:lang w:val="en-GB"/>
        </w:rPr>
        <w:t>1-47.</w:t>
      </w:r>
    </w:p>
    <w:p w14:paraId="4429E5D6" w14:textId="424315E3"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19) </w:t>
      </w:r>
      <w:r w:rsidRPr="00496EE5">
        <w:rPr>
          <w:rFonts w:ascii="Arial" w:hAnsi="Arial" w:cs="Arial"/>
          <w:sz w:val="22"/>
          <w:szCs w:val="22"/>
          <w:lang w:val="en-GB"/>
        </w:rPr>
        <w:tab/>
        <w:t xml:space="preserve">Fenske W, Stork S, </w:t>
      </w:r>
      <w:proofErr w:type="spellStart"/>
      <w:r w:rsidRPr="00496EE5">
        <w:rPr>
          <w:rFonts w:ascii="Arial" w:hAnsi="Arial" w:cs="Arial"/>
          <w:sz w:val="22"/>
          <w:szCs w:val="22"/>
          <w:lang w:val="en-GB"/>
        </w:rPr>
        <w:t>Koschker</w:t>
      </w:r>
      <w:proofErr w:type="spellEnd"/>
      <w:r w:rsidRPr="00496EE5">
        <w:rPr>
          <w:rFonts w:ascii="Arial" w:hAnsi="Arial" w:cs="Arial"/>
          <w:sz w:val="22"/>
          <w:szCs w:val="22"/>
          <w:lang w:val="en-GB"/>
        </w:rPr>
        <w:t xml:space="preserve"> AC, et al. Value of fractional uric acid excretion in differential diagnosis of </w:t>
      </w:r>
      <w:proofErr w:type="spellStart"/>
      <w:r w:rsidRPr="00496EE5">
        <w:rPr>
          <w:rFonts w:ascii="Arial" w:hAnsi="Arial" w:cs="Arial"/>
          <w:sz w:val="22"/>
          <w:szCs w:val="22"/>
          <w:lang w:val="en-GB"/>
        </w:rPr>
        <w:t>hyponatremic</w:t>
      </w:r>
      <w:proofErr w:type="spellEnd"/>
      <w:r w:rsidRPr="00496EE5">
        <w:rPr>
          <w:rFonts w:ascii="Arial" w:hAnsi="Arial" w:cs="Arial"/>
          <w:sz w:val="22"/>
          <w:szCs w:val="22"/>
          <w:lang w:val="en-GB"/>
        </w:rPr>
        <w:t xml:space="preserve"> patients on diuretics. J Clin Endocrinol </w:t>
      </w:r>
      <w:proofErr w:type="spellStart"/>
      <w:r w:rsidRPr="00496EE5">
        <w:rPr>
          <w:rFonts w:ascii="Arial" w:hAnsi="Arial" w:cs="Arial"/>
          <w:sz w:val="22"/>
          <w:szCs w:val="22"/>
          <w:lang w:val="en-GB"/>
        </w:rPr>
        <w:t>Metab</w:t>
      </w:r>
      <w:proofErr w:type="spellEnd"/>
      <w:r w:rsidRPr="00496EE5">
        <w:rPr>
          <w:rFonts w:ascii="Arial" w:hAnsi="Arial" w:cs="Arial"/>
          <w:sz w:val="22"/>
          <w:szCs w:val="22"/>
          <w:lang w:val="en-GB"/>
        </w:rPr>
        <w:t xml:space="preserve"> 2008 Aug; 93(8):2991-7.</w:t>
      </w:r>
    </w:p>
    <w:p w14:paraId="70DC8DDD" w14:textId="22AB7D48"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20)</w:t>
      </w:r>
      <w:r w:rsidRPr="00496EE5">
        <w:rPr>
          <w:rFonts w:ascii="Arial" w:hAnsi="Arial" w:cs="Arial"/>
          <w:sz w:val="22"/>
          <w:szCs w:val="22"/>
          <w:lang w:val="en-GB"/>
        </w:rPr>
        <w:tab/>
        <w:t xml:space="preserve">Fenske WK, Christ-Crain M, </w:t>
      </w:r>
      <w:proofErr w:type="spellStart"/>
      <w:r w:rsidRPr="00496EE5">
        <w:rPr>
          <w:rFonts w:ascii="Arial" w:hAnsi="Arial" w:cs="Arial"/>
          <w:sz w:val="22"/>
          <w:szCs w:val="22"/>
          <w:lang w:val="en-GB"/>
        </w:rPr>
        <w:t>Hörning</w:t>
      </w:r>
      <w:proofErr w:type="spellEnd"/>
      <w:r w:rsidRPr="00496EE5">
        <w:rPr>
          <w:rFonts w:ascii="Arial" w:hAnsi="Arial" w:cs="Arial"/>
          <w:sz w:val="22"/>
          <w:szCs w:val="22"/>
          <w:lang w:val="en-GB"/>
        </w:rPr>
        <w:t xml:space="preserve"> A, Simet J, </w:t>
      </w:r>
      <w:proofErr w:type="spellStart"/>
      <w:r w:rsidRPr="00496EE5">
        <w:rPr>
          <w:rFonts w:ascii="Arial" w:hAnsi="Arial" w:cs="Arial"/>
          <w:sz w:val="22"/>
          <w:szCs w:val="22"/>
          <w:lang w:val="en-GB"/>
        </w:rPr>
        <w:t>Szinnai</w:t>
      </w:r>
      <w:proofErr w:type="spellEnd"/>
      <w:r w:rsidRPr="00496EE5">
        <w:rPr>
          <w:rFonts w:ascii="Arial" w:hAnsi="Arial" w:cs="Arial"/>
          <w:sz w:val="22"/>
          <w:szCs w:val="22"/>
          <w:lang w:val="en-GB"/>
        </w:rPr>
        <w:t xml:space="preserve"> </w:t>
      </w:r>
      <w:proofErr w:type="gramStart"/>
      <w:r w:rsidRPr="00496EE5">
        <w:rPr>
          <w:rFonts w:ascii="Arial" w:hAnsi="Arial" w:cs="Arial"/>
          <w:sz w:val="22"/>
          <w:szCs w:val="22"/>
          <w:lang w:val="en-GB"/>
        </w:rPr>
        <w:t>G,‖</w:t>
      </w:r>
      <w:proofErr w:type="gramEnd"/>
      <w:r w:rsidRPr="00496EE5">
        <w:rPr>
          <w:rFonts w:ascii="Arial" w:hAnsi="Arial" w:cs="Arial"/>
          <w:sz w:val="22"/>
          <w:szCs w:val="22"/>
          <w:lang w:val="en-GB"/>
        </w:rPr>
        <w:t xml:space="preserve"> Fassnacht M, Rutishauser J, </w:t>
      </w:r>
      <w:proofErr w:type="spellStart"/>
      <w:r w:rsidRPr="00496EE5">
        <w:rPr>
          <w:rFonts w:ascii="Arial" w:hAnsi="Arial" w:cs="Arial"/>
          <w:sz w:val="22"/>
          <w:szCs w:val="22"/>
          <w:lang w:val="en-GB"/>
        </w:rPr>
        <w:t>Bichet</w:t>
      </w:r>
      <w:proofErr w:type="spellEnd"/>
      <w:r w:rsidRPr="00496EE5">
        <w:rPr>
          <w:rFonts w:ascii="Arial" w:hAnsi="Arial" w:cs="Arial"/>
          <w:sz w:val="22"/>
          <w:szCs w:val="22"/>
          <w:lang w:val="en-GB"/>
        </w:rPr>
        <w:t xml:space="preserve"> DG, </w:t>
      </w:r>
      <w:proofErr w:type="spellStart"/>
      <w:r w:rsidRPr="00496EE5">
        <w:rPr>
          <w:rFonts w:ascii="Arial" w:hAnsi="Arial" w:cs="Arial"/>
          <w:sz w:val="22"/>
          <w:szCs w:val="22"/>
          <w:lang w:val="en-GB"/>
        </w:rPr>
        <w:t>Störk</w:t>
      </w:r>
      <w:proofErr w:type="spellEnd"/>
      <w:r w:rsidRPr="00496EE5">
        <w:rPr>
          <w:rFonts w:ascii="Arial" w:hAnsi="Arial" w:cs="Arial"/>
          <w:sz w:val="22"/>
          <w:szCs w:val="22"/>
          <w:lang w:val="en-GB"/>
        </w:rPr>
        <w:t xml:space="preserve"> S, </w:t>
      </w:r>
      <w:proofErr w:type="spellStart"/>
      <w:r w:rsidRPr="00496EE5">
        <w:rPr>
          <w:rFonts w:ascii="Arial" w:hAnsi="Arial" w:cs="Arial"/>
          <w:sz w:val="22"/>
          <w:szCs w:val="22"/>
          <w:lang w:val="en-GB"/>
        </w:rPr>
        <w:t>Allolio</w:t>
      </w:r>
      <w:proofErr w:type="spellEnd"/>
      <w:r w:rsidRPr="00496EE5">
        <w:rPr>
          <w:rFonts w:ascii="Arial" w:hAnsi="Arial" w:cs="Arial"/>
          <w:sz w:val="22"/>
          <w:szCs w:val="22"/>
          <w:lang w:val="en-GB"/>
        </w:rPr>
        <w:t xml:space="preserve"> B. A Copeptin-Based Classification of the Osmoregulatory Defects in the Syndrome of Inappropriate Antidiuresis. Am Soc Nephrol. 2014 Oct; 25(10): 2376–2383.</w:t>
      </w:r>
    </w:p>
    <w:p w14:paraId="73903682" w14:textId="27F20880"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21)</w:t>
      </w:r>
      <w:r w:rsidRPr="00496EE5">
        <w:rPr>
          <w:rFonts w:ascii="Arial" w:hAnsi="Arial" w:cs="Arial"/>
          <w:sz w:val="22"/>
          <w:szCs w:val="22"/>
          <w:lang w:val="en-GB"/>
        </w:rPr>
        <w:tab/>
        <w:t xml:space="preserve">Wuttke A, Dixit KC, </w:t>
      </w:r>
      <w:proofErr w:type="spellStart"/>
      <w:r w:rsidRPr="00496EE5">
        <w:rPr>
          <w:rFonts w:ascii="Arial" w:hAnsi="Arial" w:cs="Arial"/>
          <w:sz w:val="22"/>
          <w:szCs w:val="22"/>
          <w:lang w:val="en-GB"/>
        </w:rPr>
        <w:t>Szinnai</w:t>
      </w:r>
      <w:proofErr w:type="spellEnd"/>
      <w:r w:rsidRPr="00496EE5">
        <w:rPr>
          <w:rFonts w:ascii="Arial" w:hAnsi="Arial" w:cs="Arial"/>
          <w:sz w:val="22"/>
          <w:szCs w:val="22"/>
          <w:lang w:val="en-GB"/>
        </w:rPr>
        <w:t xml:space="preserve"> G, Werth SC, Haagen U, Christ-Crain M, Morgenthaler N, Brabant G. Copeptin as a marker for arginine-vasopressin/antidiuretic hormone secretion in the diagnosis of paraneoplastic syndrome of inappropriate ADH secretion. Endocrine. 2013 Dec;44(3):744-9.</w:t>
      </w:r>
    </w:p>
    <w:p w14:paraId="43B22066" w14:textId="0B3CEC12"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22) </w:t>
      </w:r>
      <w:r w:rsidRPr="00496EE5">
        <w:rPr>
          <w:rFonts w:ascii="Arial" w:hAnsi="Arial" w:cs="Arial"/>
          <w:sz w:val="22"/>
          <w:szCs w:val="22"/>
          <w:lang w:val="en-GB"/>
        </w:rPr>
        <w:tab/>
        <w:t xml:space="preserve">Schrier RW, Gross P, </w:t>
      </w:r>
      <w:proofErr w:type="spellStart"/>
      <w:r w:rsidRPr="00496EE5">
        <w:rPr>
          <w:rFonts w:ascii="Arial" w:hAnsi="Arial" w:cs="Arial"/>
          <w:sz w:val="22"/>
          <w:szCs w:val="22"/>
          <w:lang w:val="en-GB"/>
        </w:rPr>
        <w:t>Gheorghiade</w:t>
      </w:r>
      <w:proofErr w:type="spellEnd"/>
      <w:r w:rsidRPr="00496EE5">
        <w:rPr>
          <w:rFonts w:ascii="Arial" w:hAnsi="Arial" w:cs="Arial"/>
          <w:sz w:val="22"/>
          <w:szCs w:val="22"/>
          <w:lang w:val="en-GB"/>
        </w:rPr>
        <w:t xml:space="preserve"> M, et al. Tolvaptan, a Selective Oral Vasopressin V2-Receptor Antagonist, for Hyponatremia. New England Journal of Medicine 2006 Nov 16; 355(20):2099-112.</w:t>
      </w:r>
    </w:p>
    <w:p w14:paraId="29A99FF8" w14:textId="3B3932A6"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23) </w:t>
      </w:r>
      <w:r w:rsidRPr="00496EE5">
        <w:rPr>
          <w:rFonts w:ascii="Arial" w:hAnsi="Arial" w:cs="Arial"/>
          <w:sz w:val="22"/>
          <w:szCs w:val="22"/>
          <w:lang w:val="en-GB"/>
        </w:rPr>
        <w:tab/>
      </w:r>
      <w:proofErr w:type="spellStart"/>
      <w:r w:rsidRPr="00496EE5">
        <w:rPr>
          <w:rFonts w:ascii="Arial" w:hAnsi="Arial" w:cs="Arial"/>
          <w:sz w:val="22"/>
          <w:szCs w:val="22"/>
          <w:lang w:val="en-GB"/>
        </w:rPr>
        <w:t>Gharaibeh</w:t>
      </w:r>
      <w:proofErr w:type="spellEnd"/>
      <w:r w:rsidRPr="00496EE5">
        <w:rPr>
          <w:rFonts w:ascii="Arial" w:hAnsi="Arial" w:cs="Arial"/>
          <w:sz w:val="22"/>
          <w:szCs w:val="22"/>
          <w:lang w:val="en-GB"/>
        </w:rPr>
        <w:t xml:space="preserve"> KA, Craig MJ, Koch CA, </w:t>
      </w:r>
      <w:proofErr w:type="spellStart"/>
      <w:r w:rsidRPr="00496EE5">
        <w:rPr>
          <w:rFonts w:ascii="Arial" w:hAnsi="Arial" w:cs="Arial"/>
          <w:sz w:val="22"/>
          <w:szCs w:val="22"/>
          <w:lang w:val="en-GB"/>
        </w:rPr>
        <w:t>Lerant</w:t>
      </w:r>
      <w:proofErr w:type="spellEnd"/>
      <w:r w:rsidRPr="00496EE5">
        <w:rPr>
          <w:rFonts w:ascii="Arial" w:hAnsi="Arial" w:cs="Arial"/>
          <w:sz w:val="22"/>
          <w:szCs w:val="22"/>
          <w:lang w:val="en-GB"/>
        </w:rPr>
        <w:t xml:space="preserve"> AA, Fulop T, </w:t>
      </w:r>
      <w:proofErr w:type="spellStart"/>
      <w:r w:rsidRPr="00496EE5">
        <w:rPr>
          <w:rFonts w:ascii="Arial" w:hAnsi="Arial" w:cs="Arial"/>
          <w:sz w:val="22"/>
          <w:szCs w:val="22"/>
          <w:lang w:val="en-GB"/>
        </w:rPr>
        <w:t>Csongradi</w:t>
      </w:r>
      <w:proofErr w:type="spellEnd"/>
      <w:r w:rsidRPr="00496EE5">
        <w:rPr>
          <w:rFonts w:ascii="Arial" w:hAnsi="Arial" w:cs="Arial"/>
          <w:sz w:val="22"/>
          <w:szCs w:val="22"/>
          <w:lang w:val="en-GB"/>
        </w:rPr>
        <w:t xml:space="preserve"> E. Desmopressin is an effective adjunct treatment for reversing excessive hyponatremia overcorrection. World J Clin Cases 2013 Aug 16; 1(5):155-8.</w:t>
      </w:r>
    </w:p>
    <w:p w14:paraId="77E06D34" w14:textId="1C58E86B"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24) </w:t>
      </w:r>
      <w:r w:rsidRPr="00496EE5">
        <w:rPr>
          <w:rFonts w:ascii="Arial" w:hAnsi="Arial" w:cs="Arial"/>
          <w:sz w:val="22"/>
          <w:szCs w:val="22"/>
          <w:lang w:val="en-GB"/>
        </w:rPr>
        <w:tab/>
        <w:t xml:space="preserve">Knoop H, Knoop U, Behr J, et al. Syndrome of inadequate antidiuretic hormone secretion in pulmonary tuberculosis - a therapeutic challenge. </w:t>
      </w:r>
      <w:proofErr w:type="spellStart"/>
      <w:r w:rsidRPr="00496EE5">
        <w:rPr>
          <w:rFonts w:ascii="Arial" w:hAnsi="Arial" w:cs="Arial"/>
          <w:sz w:val="22"/>
          <w:szCs w:val="22"/>
          <w:lang w:val="en-GB"/>
        </w:rPr>
        <w:t>Pneumologie</w:t>
      </w:r>
      <w:proofErr w:type="spellEnd"/>
      <w:r w:rsidRPr="00496EE5">
        <w:rPr>
          <w:rFonts w:ascii="Arial" w:hAnsi="Arial" w:cs="Arial"/>
          <w:sz w:val="22"/>
          <w:szCs w:val="22"/>
          <w:lang w:val="en-GB"/>
        </w:rPr>
        <w:t xml:space="preserve"> 2013 Apr; 67(4):219-22.</w:t>
      </w:r>
    </w:p>
    <w:p w14:paraId="297D4955" w14:textId="19D909BF" w:rsidR="000C2CA8" w:rsidRPr="00496EE5" w:rsidRDefault="00D12970" w:rsidP="00496EE5">
      <w:pPr>
        <w:spacing w:line="276" w:lineRule="auto"/>
        <w:ind w:left="576" w:hanging="576"/>
        <w:rPr>
          <w:rFonts w:ascii="Arial" w:hAnsi="Arial" w:cs="Arial"/>
          <w:sz w:val="22"/>
          <w:szCs w:val="22"/>
        </w:rPr>
      </w:pPr>
      <w:r w:rsidRPr="00496EE5">
        <w:rPr>
          <w:rFonts w:ascii="Arial" w:hAnsi="Arial" w:cs="Arial"/>
          <w:sz w:val="22"/>
          <w:szCs w:val="22"/>
          <w:lang w:val="en-GB"/>
        </w:rPr>
        <w:t xml:space="preserve">25) </w:t>
      </w:r>
      <w:r w:rsidRPr="00496EE5">
        <w:rPr>
          <w:rFonts w:ascii="Arial" w:hAnsi="Arial" w:cs="Arial"/>
          <w:sz w:val="22"/>
          <w:szCs w:val="22"/>
          <w:lang w:val="en-GB"/>
        </w:rPr>
        <w:tab/>
        <w:t>Baek SH, Jo YH, Ahn S, Medina-</w:t>
      </w:r>
      <w:proofErr w:type="spellStart"/>
      <w:r w:rsidRPr="00496EE5">
        <w:rPr>
          <w:rFonts w:ascii="Arial" w:hAnsi="Arial" w:cs="Arial"/>
          <w:sz w:val="22"/>
          <w:szCs w:val="22"/>
          <w:lang w:val="en-GB"/>
        </w:rPr>
        <w:t>Liabres</w:t>
      </w:r>
      <w:proofErr w:type="spellEnd"/>
      <w:r w:rsidRPr="00496EE5">
        <w:rPr>
          <w:rFonts w:ascii="Arial" w:hAnsi="Arial" w:cs="Arial"/>
          <w:sz w:val="22"/>
          <w:szCs w:val="22"/>
          <w:lang w:val="en-GB"/>
        </w:rPr>
        <w:t xml:space="preserve"> </w:t>
      </w:r>
      <w:proofErr w:type="gramStart"/>
      <w:r w:rsidRPr="00496EE5">
        <w:rPr>
          <w:rFonts w:ascii="Arial" w:hAnsi="Arial" w:cs="Arial"/>
          <w:sz w:val="22"/>
          <w:szCs w:val="22"/>
          <w:lang w:val="en-GB"/>
        </w:rPr>
        <w:t>K,,</w:t>
      </w:r>
      <w:proofErr w:type="gramEnd"/>
      <w:r w:rsidRPr="00496EE5">
        <w:rPr>
          <w:rFonts w:ascii="Arial" w:hAnsi="Arial" w:cs="Arial"/>
          <w:sz w:val="22"/>
          <w:szCs w:val="22"/>
          <w:lang w:val="en-GB"/>
        </w:rPr>
        <w:t xml:space="preserve"> Oh YK, Lee JB, Kim S. Risk of Overcorrection in Rapid Intermittent Bolus vs Slow Continuous Infusion Therapies of Hypertonic Saline for Patients With Symptomatic Hyponatremia: The SALSA Randomized Clinical Trial. </w:t>
      </w:r>
      <w:r w:rsidRPr="00496EE5">
        <w:rPr>
          <w:rFonts w:ascii="Arial" w:hAnsi="Arial" w:cs="Arial"/>
          <w:sz w:val="22"/>
          <w:szCs w:val="22"/>
        </w:rPr>
        <w:t>JAMA Intern Med 2020 26;e205519</w:t>
      </w:r>
    </w:p>
    <w:p w14:paraId="445AE8CC" w14:textId="365792B1"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rPr>
        <w:lastRenderedPageBreak/>
        <w:t xml:space="preserve">26) </w:t>
      </w:r>
      <w:r w:rsidRPr="00496EE5">
        <w:rPr>
          <w:rFonts w:ascii="Arial" w:hAnsi="Arial" w:cs="Arial"/>
          <w:sz w:val="22"/>
          <w:szCs w:val="22"/>
        </w:rPr>
        <w:tab/>
        <w:t xml:space="preserve">Verbalis JG, Adler S, Schrier RW, Berl T, Zhao Q, Czerwiec FS. </w:t>
      </w:r>
      <w:r w:rsidRPr="00496EE5">
        <w:rPr>
          <w:rFonts w:ascii="Arial" w:hAnsi="Arial" w:cs="Arial"/>
          <w:sz w:val="22"/>
          <w:szCs w:val="22"/>
          <w:lang w:val="en-GB"/>
        </w:rPr>
        <w:t xml:space="preserve">Efficacy and safety of oral tolvaptan therapy in patients with the syndrome of inappropriate antidiuretic hormone secretion. </w:t>
      </w:r>
      <w:proofErr w:type="spellStart"/>
      <w:r w:rsidRPr="00496EE5">
        <w:rPr>
          <w:rFonts w:ascii="Arial" w:hAnsi="Arial" w:cs="Arial"/>
          <w:sz w:val="22"/>
          <w:szCs w:val="22"/>
          <w:lang w:val="en-GB"/>
        </w:rPr>
        <w:t>Eur</w:t>
      </w:r>
      <w:proofErr w:type="spellEnd"/>
      <w:r w:rsidRPr="00496EE5">
        <w:rPr>
          <w:rFonts w:ascii="Arial" w:hAnsi="Arial" w:cs="Arial"/>
          <w:sz w:val="22"/>
          <w:szCs w:val="22"/>
          <w:lang w:val="en-GB"/>
        </w:rPr>
        <w:t xml:space="preserve"> J Endocrinol 2011 May; 164(5):725-32.</w:t>
      </w:r>
    </w:p>
    <w:p w14:paraId="4DEB72A7" w14:textId="58A373E1" w:rsidR="000C2CA8" w:rsidRPr="00496EE5" w:rsidRDefault="00D12970" w:rsidP="00496EE5">
      <w:pPr>
        <w:spacing w:line="276" w:lineRule="auto"/>
        <w:ind w:left="576" w:hanging="576"/>
        <w:rPr>
          <w:rFonts w:ascii="Arial" w:hAnsi="Arial" w:cs="Arial"/>
          <w:sz w:val="22"/>
          <w:szCs w:val="22"/>
        </w:rPr>
      </w:pPr>
      <w:r w:rsidRPr="00496EE5">
        <w:rPr>
          <w:rFonts w:ascii="Arial" w:hAnsi="Arial" w:cs="Arial"/>
          <w:sz w:val="22"/>
          <w:szCs w:val="22"/>
          <w:lang w:val="en-GB"/>
        </w:rPr>
        <w:t xml:space="preserve">27) </w:t>
      </w:r>
      <w:r w:rsidRPr="00496EE5">
        <w:rPr>
          <w:rFonts w:ascii="Arial" w:hAnsi="Arial" w:cs="Arial"/>
          <w:sz w:val="22"/>
          <w:szCs w:val="22"/>
          <w:lang w:val="en-GB"/>
        </w:rPr>
        <w:tab/>
        <w:t xml:space="preserve">Schrier RW, Gross P, </w:t>
      </w:r>
      <w:proofErr w:type="spellStart"/>
      <w:r w:rsidRPr="00496EE5">
        <w:rPr>
          <w:rFonts w:ascii="Arial" w:hAnsi="Arial" w:cs="Arial"/>
          <w:sz w:val="22"/>
          <w:szCs w:val="22"/>
          <w:lang w:val="en-GB"/>
        </w:rPr>
        <w:t>Gheorghiade</w:t>
      </w:r>
      <w:proofErr w:type="spellEnd"/>
      <w:r w:rsidRPr="00496EE5">
        <w:rPr>
          <w:rFonts w:ascii="Arial" w:hAnsi="Arial" w:cs="Arial"/>
          <w:sz w:val="22"/>
          <w:szCs w:val="22"/>
          <w:lang w:val="en-GB"/>
        </w:rPr>
        <w:t xml:space="preserve"> M, et al. Tolvaptan, a selective oral vasopressin V2-receptor antagonist, for hyponatremia. </w:t>
      </w:r>
      <w:r w:rsidRPr="00496EE5">
        <w:rPr>
          <w:rFonts w:ascii="Arial" w:hAnsi="Arial" w:cs="Arial"/>
          <w:sz w:val="22"/>
          <w:szCs w:val="22"/>
        </w:rPr>
        <w:t>N Engl J Med 2006 Nov 16; 355(20):2099-112.</w:t>
      </w:r>
    </w:p>
    <w:p w14:paraId="28C410E6" w14:textId="11A167F1"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rPr>
        <w:t xml:space="preserve">28) </w:t>
      </w:r>
      <w:r w:rsidRPr="00496EE5">
        <w:rPr>
          <w:rFonts w:ascii="Arial" w:hAnsi="Arial" w:cs="Arial"/>
          <w:sz w:val="22"/>
          <w:szCs w:val="22"/>
        </w:rPr>
        <w:tab/>
        <w:t xml:space="preserve">Li-Ng M, Verbalis JG. </w:t>
      </w:r>
      <w:r w:rsidRPr="00496EE5">
        <w:rPr>
          <w:rFonts w:ascii="Arial" w:hAnsi="Arial" w:cs="Arial"/>
          <w:sz w:val="22"/>
          <w:szCs w:val="22"/>
          <w:lang w:val="en-GB"/>
        </w:rPr>
        <w:t>Conivaptan: Evidence supporting its therapeutic use in hyponatremia. Core Evid 2010 Jun 15; 4:83-92.</w:t>
      </w:r>
    </w:p>
    <w:p w14:paraId="2DB4EF2F" w14:textId="781D3CEC"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29) </w:t>
      </w:r>
      <w:r w:rsidRPr="00496EE5">
        <w:rPr>
          <w:rFonts w:ascii="Arial" w:hAnsi="Arial" w:cs="Arial"/>
          <w:sz w:val="22"/>
          <w:szCs w:val="22"/>
          <w:lang w:val="en-GB"/>
        </w:rPr>
        <w:tab/>
        <w:t>Torres VE, Chapman AB, Devuyst O, et al. Tolvaptan in patients with autosomal dominant polycystic kidney disease. N Engl J Med 2012 Dec 20; 367(25):2407-18.</w:t>
      </w:r>
    </w:p>
    <w:p w14:paraId="29F309A7" w14:textId="14B728AA"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30) </w:t>
      </w:r>
      <w:r w:rsidRPr="00496EE5">
        <w:rPr>
          <w:rFonts w:ascii="Arial" w:hAnsi="Arial" w:cs="Arial"/>
          <w:sz w:val="22"/>
          <w:szCs w:val="22"/>
          <w:lang w:val="en-GB"/>
        </w:rPr>
        <w:tab/>
        <w:t xml:space="preserve">Abraham WT, </w:t>
      </w:r>
      <w:proofErr w:type="spellStart"/>
      <w:r w:rsidRPr="00496EE5">
        <w:rPr>
          <w:rFonts w:ascii="Arial" w:hAnsi="Arial" w:cs="Arial"/>
          <w:sz w:val="22"/>
          <w:szCs w:val="22"/>
          <w:lang w:val="en-GB"/>
        </w:rPr>
        <w:t>Shamshirsaz</w:t>
      </w:r>
      <w:proofErr w:type="spellEnd"/>
      <w:r w:rsidRPr="00496EE5">
        <w:rPr>
          <w:rFonts w:ascii="Arial" w:hAnsi="Arial" w:cs="Arial"/>
          <w:sz w:val="22"/>
          <w:szCs w:val="22"/>
          <w:lang w:val="en-GB"/>
        </w:rPr>
        <w:t xml:space="preserve"> AA, McFann K, Oren RM, Schrier RW. Aquaretic effect of lixivaptan, an oral, non-peptide, selective V2 receptor vasopressin antagonist, in New York Heart Association functional class II and III chronic heart failure patients. J Am Coll </w:t>
      </w:r>
      <w:proofErr w:type="spellStart"/>
      <w:r w:rsidRPr="00496EE5">
        <w:rPr>
          <w:rFonts w:ascii="Arial" w:hAnsi="Arial" w:cs="Arial"/>
          <w:sz w:val="22"/>
          <w:szCs w:val="22"/>
          <w:lang w:val="en-GB"/>
        </w:rPr>
        <w:t>Cardiol</w:t>
      </w:r>
      <w:proofErr w:type="spellEnd"/>
      <w:r w:rsidRPr="00496EE5">
        <w:rPr>
          <w:rFonts w:ascii="Arial" w:hAnsi="Arial" w:cs="Arial"/>
          <w:sz w:val="22"/>
          <w:szCs w:val="22"/>
          <w:lang w:val="en-GB"/>
        </w:rPr>
        <w:t xml:space="preserve"> 2006 Apr 18; 47(8):1615-21.</w:t>
      </w:r>
    </w:p>
    <w:p w14:paraId="28CB1E3B" w14:textId="519FD035"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31) </w:t>
      </w:r>
      <w:r w:rsidRPr="00496EE5">
        <w:rPr>
          <w:rFonts w:ascii="Arial" w:hAnsi="Arial" w:cs="Arial"/>
          <w:sz w:val="22"/>
          <w:szCs w:val="22"/>
          <w:lang w:val="en-GB"/>
        </w:rPr>
        <w:tab/>
        <w:t xml:space="preserve">Yamaguchi K, </w:t>
      </w:r>
      <w:proofErr w:type="spellStart"/>
      <w:r w:rsidRPr="00496EE5">
        <w:rPr>
          <w:rFonts w:ascii="Arial" w:hAnsi="Arial" w:cs="Arial"/>
          <w:sz w:val="22"/>
          <w:szCs w:val="22"/>
          <w:lang w:val="en-GB"/>
        </w:rPr>
        <w:t>Shijubo</w:t>
      </w:r>
      <w:proofErr w:type="spellEnd"/>
      <w:r w:rsidRPr="00496EE5">
        <w:rPr>
          <w:rFonts w:ascii="Arial" w:hAnsi="Arial" w:cs="Arial"/>
          <w:sz w:val="22"/>
          <w:szCs w:val="22"/>
          <w:lang w:val="en-GB"/>
        </w:rPr>
        <w:t xml:space="preserve"> N, Kodama T, et al. Clinical implication of the antidiuretic hormone (ADH) receptor antagonist mozavaptan hydrochloride in patients with ectopic ADH syndrome. </w:t>
      </w:r>
      <w:proofErr w:type="spellStart"/>
      <w:r w:rsidRPr="00496EE5">
        <w:rPr>
          <w:rFonts w:ascii="Arial" w:hAnsi="Arial" w:cs="Arial"/>
          <w:sz w:val="22"/>
          <w:szCs w:val="22"/>
          <w:lang w:val="en-GB"/>
        </w:rPr>
        <w:t>Jpn</w:t>
      </w:r>
      <w:proofErr w:type="spellEnd"/>
      <w:r w:rsidRPr="00496EE5">
        <w:rPr>
          <w:rFonts w:ascii="Arial" w:hAnsi="Arial" w:cs="Arial"/>
          <w:sz w:val="22"/>
          <w:szCs w:val="22"/>
          <w:lang w:val="en-GB"/>
        </w:rPr>
        <w:t xml:space="preserve"> J Clin Oncol 2011 Jan; 41(1):148-52.</w:t>
      </w:r>
    </w:p>
    <w:p w14:paraId="07F93474" w14:textId="7B0361E8"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32) </w:t>
      </w:r>
      <w:r w:rsidRPr="00496EE5">
        <w:rPr>
          <w:rFonts w:ascii="Arial" w:hAnsi="Arial" w:cs="Arial"/>
          <w:sz w:val="22"/>
          <w:szCs w:val="22"/>
          <w:lang w:val="en-GB"/>
        </w:rPr>
        <w:tab/>
      </w:r>
      <w:proofErr w:type="spellStart"/>
      <w:r w:rsidRPr="00496EE5">
        <w:rPr>
          <w:rFonts w:ascii="Arial" w:hAnsi="Arial" w:cs="Arial"/>
          <w:sz w:val="22"/>
          <w:szCs w:val="22"/>
          <w:lang w:val="en-GB"/>
        </w:rPr>
        <w:t>Soupart</w:t>
      </w:r>
      <w:proofErr w:type="spellEnd"/>
      <w:r w:rsidRPr="00496EE5">
        <w:rPr>
          <w:rFonts w:ascii="Arial" w:hAnsi="Arial" w:cs="Arial"/>
          <w:sz w:val="22"/>
          <w:szCs w:val="22"/>
          <w:lang w:val="en-GB"/>
        </w:rPr>
        <w:t xml:space="preserve"> A, Gross P, </w:t>
      </w:r>
      <w:proofErr w:type="spellStart"/>
      <w:r w:rsidRPr="00496EE5">
        <w:rPr>
          <w:rFonts w:ascii="Arial" w:hAnsi="Arial" w:cs="Arial"/>
          <w:sz w:val="22"/>
          <w:szCs w:val="22"/>
          <w:lang w:val="en-GB"/>
        </w:rPr>
        <w:t>Legros</w:t>
      </w:r>
      <w:proofErr w:type="spellEnd"/>
      <w:r w:rsidRPr="00496EE5">
        <w:rPr>
          <w:rFonts w:ascii="Arial" w:hAnsi="Arial" w:cs="Arial"/>
          <w:sz w:val="22"/>
          <w:szCs w:val="22"/>
          <w:lang w:val="en-GB"/>
        </w:rPr>
        <w:t xml:space="preserve"> JJ, et al. Successful long-term treatment of hyponatremia in syndrome of inappropriate antidiuretic hormone secretion with </w:t>
      </w:r>
      <w:proofErr w:type="spellStart"/>
      <w:r w:rsidRPr="00496EE5">
        <w:rPr>
          <w:rFonts w:ascii="Arial" w:hAnsi="Arial" w:cs="Arial"/>
          <w:sz w:val="22"/>
          <w:szCs w:val="22"/>
          <w:lang w:val="en-GB"/>
        </w:rPr>
        <w:t>satavaptan</w:t>
      </w:r>
      <w:proofErr w:type="spellEnd"/>
      <w:r w:rsidRPr="00496EE5">
        <w:rPr>
          <w:rFonts w:ascii="Arial" w:hAnsi="Arial" w:cs="Arial"/>
          <w:sz w:val="22"/>
          <w:szCs w:val="22"/>
          <w:lang w:val="en-GB"/>
        </w:rPr>
        <w:t xml:space="preserve"> (SR121463B), an orally active nonpeptide vasopressin V2-receptor antagonist. Clin J Am Soc Nephrol 2006 Nov; 1(6):1154-60.</w:t>
      </w:r>
    </w:p>
    <w:p w14:paraId="73D6CFBE" w14:textId="79F3CDDC" w:rsidR="000C2CA8" w:rsidRPr="00496EE5" w:rsidRDefault="00D12970" w:rsidP="00496EE5">
      <w:pPr>
        <w:spacing w:line="276" w:lineRule="auto"/>
        <w:ind w:left="576" w:hanging="576"/>
        <w:rPr>
          <w:rFonts w:ascii="Arial" w:hAnsi="Arial" w:cs="Arial"/>
          <w:sz w:val="22"/>
          <w:szCs w:val="22"/>
          <w:lang w:val="en-GB"/>
        </w:rPr>
      </w:pPr>
      <w:r w:rsidRPr="00496EE5">
        <w:rPr>
          <w:rFonts w:ascii="Arial" w:hAnsi="Arial" w:cs="Arial"/>
          <w:sz w:val="22"/>
          <w:szCs w:val="22"/>
          <w:lang w:val="en-GB"/>
        </w:rPr>
        <w:t xml:space="preserve">33) </w:t>
      </w:r>
      <w:r w:rsidRPr="00496EE5">
        <w:rPr>
          <w:rFonts w:ascii="Arial" w:hAnsi="Arial" w:cs="Arial"/>
          <w:sz w:val="22"/>
          <w:szCs w:val="22"/>
          <w:lang w:val="en-GB"/>
        </w:rPr>
        <w:tab/>
      </w:r>
      <w:proofErr w:type="spellStart"/>
      <w:r w:rsidRPr="00496EE5">
        <w:rPr>
          <w:rFonts w:ascii="Arial" w:hAnsi="Arial" w:cs="Arial"/>
          <w:sz w:val="22"/>
          <w:szCs w:val="22"/>
          <w:lang w:val="en-GB"/>
        </w:rPr>
        <w:t>Annane</w:t>
      </w:r>
      <w:proofErr w:type="spellEnd"/>
      <w:r w:rsidRPr="00496EE5">
        <w:rPr>
          <w:rFonts w:ascii="Arial" w:hAnsi="Arial" w:cs="Arial"/>
          <w:sz w:val="22"/>
          <w:szCs w:val="22"/>
          <w:lang w:val="en-GB"/>
        </w:rPr>
        <w:t xml:space="preserve"> D, Decaux G, Smith N. Efficacy and safety of oral conivaptan, a vasopressin-receptor antagonist, evaluated in a randomized, controlled trial in patients with euvolemic or hypervolemic hyponatremia. Am J Med Sci 2009 Jan; 337(1):28-36.</w:t>
      </w:r>
      <w:bookmarkEnd w:id="5"/>
    </w:p>
    <w:sectPr w:rsidR="000C2CA8" w:rsidRPr="00496EE5" w:rsidSect="00CC0547">
      <w:headerReference w:type="default" r:id="rId13"/>
      <w:footerReference w:type="default" r:id="rId14"/>
      <w:pgSz w:w="11906" w:h="16838"/>
      <w:pgMar w:top="1440" w:right="1440" w:bottom="1440" w:left="1440"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8AD5D" w14:textId="77777777" w:rsidR="00BC3242" w:rsidRDefault="00BC3242">
      <w:r>
        <w:separator/>
      </w:r>
    </w:p>
  </w:endnote>
  <w:endnote w:type="continuationSeparator" w:id="0">
    <w:p w14:paraId="1C0DED5B" w14:textId="77777777" w:rsidR="00BC3242" w:rsidRDefault="00BC3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Arial">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113EC" w14:textId="285CE86B" w:rsidR="000C2CA8" w:rsidRDefault="000C2CA8">
    <w:pPr>
      <w:pStyle w:val="Footer"/>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554D9" w14:textId="77777777" w:rsidR="00BC3242" w:rsidRDefault="00BC3242">
      <w:r>
        <w:separator/>
      </w:r>
    </w:p>
  </w:footnote>
  <w:footnote w:type="continuationSeparator" w:id="0">
    <w:p w14:paraId="19BEADF7" w14:textId="77777777" w:rsidR="00BC3242" w:rsidRDefault="00BC3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FD8E2" w14:textId="77777777" w:rsidR="000C2CA8" w:rsidRDefault="000C2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11DF0"/>
    <w:multiLevelType w:val="multilevel"/>
    <w:tmpl w:val="562A1A36"/>
    <w:lvl w:ilvl="0">
      <w:start w:val="1"/>
      <w:numFmt w:val="decimal"/>
      <w:lvlText w:val="%1)"/>
      <w:lvlJc w:val="left"/>
      <w:pPr>
        <w:tabs>
          <w:tab w:val="num" w:pos="0"/>
        </w:tabs>
        <w:ind w:left="720" w:hanging="360"/>
      </w:pPr>
      <w:rPr>
        <w:rFonts w:ascii="Arial" w:hAnsi="Arial" w:cs="Arial"/>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46305F6"/>
    <w:multiLevelType w:val="multilevel"/>
    <w:tmpl w:val="B43AAC3E"/>
    <w:lvl w:ilvl="0">
      <w:start w:val="1"/>
      <w:numFmt w:val="bullet"/>
      <w:lvlText w:val=""/>
      <w:lvlJc w:val="left"/>
      <w:pPr>
        <w:tabs>
          <w:tab w:val="num" w:pos="0"/>
        </w:tabs>
        <w:ind w:left="1425" w:hanging="360"/>
      </w:pPr>
      <w:rPr>
        <w:rFonts w:ascii="Symbol" w:hAnsi="Symbol" w:cs="Symbol" w:hint="default"/>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66D71D8A"/>
    <w:multiLevelType w:val="multilevel"/>
    <w:tmpl w:val="CDFCB514"/>
    <w:lvl w:ilvl="0">
      <w:start w:val="1"/>
      <w:numFmt w:val="bullet"/>
      <w:lvlText w:val=""/>
      <w:lvlJc w:val="left"/>
      <w:pPr>
        <w:tabs>
          <w:tab w:val="num" w:pos="0"/>
        </w:tabs>
        <w:ind w:left="720" w:hanging="360"/>
      </w:pPr>
      <w:rPr>
        <w:rFonts w:ascii="Symbol" w:hAnsi="Symbol" w:cs="Symbol" w:hint="default"/>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7EC2377D"/>
    <w:multiLevelType w:val="multilevel"/>
    <w:tmpl w:val="F71A2198"/>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852842350">
    <w:abstractNumId w:val="3"/>
  </w:num>
  <w:num w:numId="2" w16cid:durableId="839005697">
    <w:abstractNumId w:val="0"/>
  </w:num>
  <w:num w:numId="3" w16cid:durableId="1770201276">
    <w:abstractNumId w:val="2"/>
  </w:num>
  <w:num w:numId="4" w16cid:durableId="1322464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CA8"/>
    <w:rsid w:val="00092BC2"/>
    <w:rsid w:val="000C2CA8"/>
    <w:rsid w:val="000D4FAD"/>
    <w:rsid w:val="001F56DD"/>
    <w:rsid w:val="00204FFB"/>
    <w:rsid w:val="00216EE7"/>
    <w:rsid w:val="00341067"/>
    <w:rsid w:val="00354200"/>
    <w:rsid w:val="00496EE5"/>
    <w:rsid w:val="00580651"/>
    <w:rsid w:val="00594CCC"/>
    <w:rsid w:val="00703B23"/>
    <w:rsid w:val="0072648B"/>
    <w:rsid w:val="007E3F73"/>
    <w:rsid w:val="00861096"/>
    <w:rsid w:val="008D3DA9"/>
    <w:rsid w:val="008F6AB3"/>
    <w:rsid w:val="00952264"/>
    <w:rsid w:val="00A0621E"/>
    <w:rsid w:val="00A30811"/>
    <w:rsid w:val="00A445CC"/>
    <w:rsid w:val="00AF7083"/>
    <w:rsid w:val="00B045E1"/>
    <w:rsid w:val="00BC3242"/>
    <w:rsid w:val="00C32946"/>
    <w:rsid w:val="00CA7713"/>
    <w:rsid w:val="00CC0547"/>
    <w:rsid w:val="00D05450"/>
    <w:rsid w:val="00D05DC8"/>
    <w:rsid w:val="00D12970"/>
    <w:rsid w:val="00D32D7A"/>
    <w:rsid w:val="00EC48A6"/>
    <w:rsid w:val="00ED312F"/>
    <w:rsid w:val="00F7682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40F22"/>
  <w15:docId w15:val="{E6639FB7-53E1-45B8-A46C-75C611E5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Mangal"/>
        <w:sz w:val="24"/>
        <w:szCs w:val="24"/>
        <w:lang w:val="de-D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ar-SA"/>
    </w:rPr>
  </w:style>
  <w:style w:type="paragraph" w:styleId="Heading1">
    <w:name w:val="heading 1"/>
    <w:basedOn w:val="Normal"/>
    <w:next w:val="Normal"/>
    <w:uiPriority w:val="9"/>
    <w:qFormat/>
    <w:pPr>
      <w:keepNext/>
      <w:numPr>
        <w:numId w:val="1"/>
      </w:numPr>
      <w:spacing w:before="240" w:after="60"/>
      <w:outlineLvl w:val="0"/>
    </w:pPr>
    <w:rPr>
      <w:rFonts w:ascii="Cambria" w:hAnsi="Cambria" w:cs="Cambria"/>
      <w:b/>
      <w:bCs/>
      <w:kern w:val="2"/>
      <w:sz w:val="32"/>
      <w:szCs w:val="32"/>
    </w:rPr>
  </w:style>
  <w:style w:type="paragraph" w:styleId="Heading2">
    <w:name w:val="heading 2"/>
    <w:basedOn w:val="Normal"/>
    <w:next w:val="Normal"/>
    <w:uiPriority w:val="9"/>
    <w:unhideWhenUsed/>
    <w:qFormat/>
    <w:pPr>
      <w:keepNext/>
      <w:numPr>
        <w:ilvl w:val="1"/>
        <w:numId w:val="1"/>
      </w:numPr>
      <w:spacing w:before="240" w:after="60"/>
      <w:outlineLvl w:val="1"/>
    </w:pPr>
    <w:rPr>
      <w:rFonts w:ascii="Cambria" w:hAnsi="Cambria" w:cs="Cambria"/>
      <w:b/>
      <w:bCs/>
      <w:i/>
      <w:iCs/>
      <w:sz w:val="28"/>
      <w:szCs w:val="28"/>
    </w:rPr>
  </w:style>
  <w:style w:type="paragraph" w:styleId="Heading3">
    <w:name w:val="heading 3"/>
    <w:basedOn w:val="Normal"/>
    <w:next w:val="BodyText"/>
    <w:uiPriority w:val="9"/>
    <w:unhideWhenUsed/>
    <w:qFormat/>
    <w:pPr>
      <w:numPr>
        <w:ilvl w:val="2"/>
        <w:numId w:val="1"/>
      </w:numPr>
      <w:spacing w:before="280" w:after="280"/>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hAnsi="Arial" w:cs="Arial"/>
      <w:lang w:val="en-GB"/>
    </w:rPr>
  </w:style>
  <w:style w:type="character" w:customStyle="1" w:styleId="WW8Num3z0">
    <w:name w:val="WW8Num3z0"/>
    <w:qFormat/>
    <w:rPr>
      <w:rFonts w:ascii="Symbol" w:hAnsi="Symbol" w:cs="Symbol"/>
      <w:lang w:val="en-GB"/>
    </w:rPr>
  </w:style>
  <w:style w:type="character" w:customStyle="1" w:styleId="WW8Num4z0">
    <w:name w:val="WW8Num4z0"/>
    <w:qFormat/>
    <w:rPr>
      <w:rFonts w:ascii="Symbol" w:hAnsi="Symbol" w:cs="Symbol"/>
      <w:lang w:val="en-GB"/>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Arial" w:eastAsia="Times New Roman" w:hAnsi="Arial" w:cs="Aria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sz w:val="20"/>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0">
    <w:name w:val="WW8Num9z0"/>
    <w:qFormat/>
    <w:rPr>
      <w:rFonts w:ascii="Times New Roman" w:eastAsia="Times New Roman" w:hAnsi="Times New Roman" w:cs="Times New Roman"/>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eastAsia="Times New Roman" w:hAnsi="Arial" w:cs="Aria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rFonts w:ascii="Arial" w:eastAsia="Times New Roman" w:hAnsi="Arial" w:cs="Aria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Arial" w:eastAsia="Times New Roman" w:hAnsi="Arial" w:cs="Aria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rPr>
      <w:rFonts w:ascii="Symbol" w:hAnsi="Symbol" w:cs="Symbol"/>
      <w:lang w:val="en-GB"/>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Symbol" w:hAnsi="Symbol" w:cs="Symbol"/>
      <w:lang w:val="en-GB"/>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styleId="CommentReference">
    <w:name w:val="annotation reference"/>
    <w:qFormat/>
    <w:rPr>
      <w:sz w:val="16"/>
      <w:szCs w:val="16"/>
    </w:r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character" w:styleId="Hyperlink">
    <w:name w:val="Hyperlink"/>
    <w:rPr>
      <w:color w:val="0000FF"/>
      <w:u w:val="single"/>
    </w:rPr>
  </w:style>
  <w:style w:type="character" w:styleId="PageNumber">
    <w:name w:val="page number"/>
    <w:basedOn w:val="DefaultParagraphFont"/>
    <w:qFormat/>
  </w:style>
  <w:style w:type="character" w:customStyle="1" w:styleId="ZchnZchn1">
    <w:name w:val="Zchn Zchn1"/>
    <w:qFormat/>
    <w:rPr>
      <w:rFonts w:ascii="Cambria" w:eastAsia="Times New Roman" w:hAnsi="Cambria" w:cs="Times New Roman"/>
      <w:b/>
      <w:bCs/>
      <w:i/>
      <w:iCs/>
      <w:sz w:val="28"/>
      <w:szCs w:val="28"/>
      <w:lang w:val="de-DE"/>
    </w:rPr>
  </w:style>
  <w:style w:type="character" w:customStyle="1" w:styleId="StrongEmphasis">
    <w:name w:val="Strong Emphasis"/>
    <w:qFormat/>
    <w:rPr>
      <w:b/>
      <w:bCs/>
    </w:rPr>
  </w:style>
  <w:style w:type="character" w:customStyle="1" w:styleId="jrnl">
    <w:name w:val="jrnl"/>
    <w:basedOn w:val="DefaultParagraphFont"/>
    <w:qFormat/>
  </w:style>
  <w:style w:type="character" w:customStyle="1" w:styleId="ZchnZchn2">
    <w:name w:val="Zchn Zchn2"/>
    <w:qFormat/>
    <w:rPr>
      <w:rFonts w:ascii="Cambria" w:eastAsia="Times New Roman" w:hAnsi="Cambria" w:cs="Times New Roman"/>
      <w:b/>
      <w:bCs/>
      <w:kern w:val="2"/>
      <w:sz w:val="32"/>
      <w:szCs w:val="32"/>
      <w:lang w:val="de-DE"/>
    </w:rPr>
  </w:style>
  <w:style w:type="character" w:customStyle="1" w:styleId="highlight">
    <w:name w:val="highlight"/>
    <w:basedOn w:val="DefaultParagraphFont"/>
    <w:qFormat/>
  </w:style>
  <w:style w:type="character" w:customStyle="1" w:styleId="ZchnZchn">
    <w:name w:val="Zchn Zchn"/>
    <w:qFormat/>
    <w:rPr>
      <w:rFonts w:ascii="Arial" w:eastAsia="Arial" w:hAnsi="Arial" w:cs="Times New Roman"/>
      <w:b/>
      <w:bCs/>
      <w:sz w:val="24"/>
      <w:szCs w:val="24"/>
      <w:lang w:val="en-US"/>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Arial" w:eastAsia="Microsoft YaHei" w:hAnsi="Liberation Sans;Arial" w:cs="Mangal"/>
      <w:sz w:val="28"/>
      <w:szCs w:val="28"/>
    </w:rPr>
  </w:style>
  <w:style w:type="paragraph" w:styleId="BodyText">
    <w:name w:val="Body Text"/>
    <w:basedOn w:val="Normal"/>
    <w:pPr>
      <w:widowControl w:val="0"/>
      <w:spacing w:before="57"/>
      <w:ind w:left="57"/>
    </w:pPr>
    <w:rPr>
      <w:rFonts w:ascii="Arial" w:eastAsia="Arial" w:hAnsi="Arial" w:cs="Arial"/>
      <w:b/>
      <w:bCs/>
      <w:lang w:val="en-US"/>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styleId="BalloonText">
    <w:name w:val="Balloon Text"/>
    <w:basedOn w:val="Normal"/>
    <w:qFormat/>
    <w:rPr>
      <w:rFonts w:ascii="Tahoma" w:hAnsi="Tahoma" w:cs="Tahoma"/>
      <w:sz w:val="16"/>
      <w:szCs w:val="16"/>
    </w:r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style>
  <w:style w:type="paragraph" w:styleId="Footer">
    <w:name w:val="footer"/>
    <w:basedOn w:val="Normal"/>
  </w:style>
  <w:style w:type="paragraph" w:styleId="NormalWeb">
    <w:name w:val="Normal (Web)"/>
    <w:basedOn w:val="Normal"/>
    <w:qFormat/>
    <w:pPr>
      <w:spacing w:before="280" w:after="280"/>
    </w:pPr>
    <w:rPr>
      <w:color w:val="000000"/>
      <w:lang w:val="en-US"/>
    </w:rPr>
  </w:style>
  <w:style w:type="paragraph" w:customStyle="1" w:styleId="Title1">
    <w:name w:val="Title1"/>
    <w:basedOn w:val="Normal"/>
    <w:qFormat/>
    <w:pPr>
      <w:spacing w:before="280" w:after="280"/>
    </w:pPr>
    <w:rPr>
      <w:lang w:val="en-US"/>
    </w:rPr>
  </w:style>
  <w:style w:type="paragraph" w:customStyle="1" w:styleId="desc">
    <w:name w:val="desc"/>
    <w:basedOn w:val="Normal"/>
    <w:qFormat/>
    <w:pPr>
      <w:spacing w:before="280" w:after="280"/>
    </w:pPr>
    <w:rPr>
      <w:lang w:val="en-US"/>
    </w:rPr>
  </w:style>
  <w:style w:type="paragraph" w:customStyle="1" w:styleId="details">
    <w:name w:val="details"/>
    <w:basedOn w:val="Normal"/>
    <w:qFormat/>
    <w:pPr>
      <w:spacing w:before="280" w:after="280"/>
    </w:pPr>
    <w:rPr>
      <w:lang w:val="en-US"/>
    </w:rPr>
  </w:style>
  <w:style w:type="paragraph" w:customStyle="1" w:styleId="title10">
    <w:name w:val="title1"/>
    <w:basedOn w:val="Normal"/>
    <w:qFormat/>
    <w:rPr>
      <w:sz w:val="27"/>
      <w:szCs w:val="27"/>
      <w:lang w:val="en-US"/>
    </w:rPr>
  </w:style>
  <w:style w:type="paragraph" w:customStyle="1" w:styleId="desc2">
    <w:name w:val="desc2"/>
    <w:basedOn w:val="Normal"/>
    <w:qFormat/>
    <w:rPr>
      <w:sz w:val="26"/>
      <w:szCs w:val="26"/>
      <w:lang w:val="en-US"/>
    </w:rPr>
  </w:style>
  <w:style w:type="paragraph" w:customStyle="1" w:styleId="details1">
    <w:name w:val="details1"/>
    <w:basedOn w:val="Normal"/>
    <w:qFormat/>
    <w:rPr>
      <w:sz w:val="22"/>
      <w:szCs w:val="22"/>
      <w:lang w:val="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paragraph" w:styleId="Revision">
    <w:name w:val="Revision"/>
    <w:hidden/>
    <w:uiPriority w:val="99"/>
    <w:semiHidden/>
    <w:rsid w:val="00ED312F"/>
    <w:pPr>
      <w:suppressAutoHyphens w:val="0"/>
    </w:pPr>
    <w:rPr>
      <w:rFonts w:ascii="Times New Roman" w:eastAsia="Times New Roman" w:hAnsi="Times New Roman" w:cs="Times New Roman"/>
      <w:lang w:bidi="ar-SA"/>
    </w:rPr>
  </w:style>
  <w:style w:type="table" w:customStyle="1" w:styleId="TableGrid1">
    <w:name w:val="Table Grid1"/>
    <w:basedOn w:val="TableNormal"/>
    <w:next w:val="TableGrid"/>
    <w:uiPriority w:val="39"/>
    <w:rsid w:val="00C32946"/>
    <w:pPr>
      <w:suppressAutoHyphens w:val="0"/>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32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pliquett@endothel.de" TargetMode="External"/><Relationship Id="rId12" Type="http://schemas.openxmlformats.org/officeDocument/2006/relationships/hyperlink" Target="http://www.endotext.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1366</TotalTime>
  <Pages>15</Pages>
  <Words>15187</Words>
  <Characters>86570</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Endocrine testing for the Syndrome of Inappropriate Antidiuretic Hormone Secretion (SIADH)</vt:lpstr>
    </vt:vector>
  </TitlesOfParts>
  <Company>Temple University Health System</Company>
  <LinksUpToDate>false</LinksUpToDate>
  <CharactersWithSpaces>101554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Endocrine testing for the Syndrome of Inappropriate Antidiuretic Hormone Secretion (SIADH)</dc:title>
  <dc:subject/>
  <dc:creator>Universitätsklinikum</dc:creator>
  <dc:description/>
  <cp:lastModifiedBy>Kenneth Feingold</cp:lastModifiedBy>
  <cp:revision>11</cp:revision>
  <cp:lastPrinted>1995-11-21T17:41:00Z</cp:lastPrinted>
  <dcterms:created xsi:type="dcterms:W3CDTF">2022-12-19T01:39:00Z</dcterms:created>
  <dcterms:modified xsi:type="dcterms:W3CDTF">2022-12-21T22:17:00Z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MGR.InstantFormat">
    <vt:lpwstr>REFMGR.InstantFormat</vt:lpwstr>
  </property>
  <property fmtid="{D5CDD505-2E9C-101B-9397-08002B2CF9AE}" pid="3" name="REFMGR.Layout">
    <vt:lpwstr>REFMGR.Layout</vt:lpwstr>
  </property>
  <property fmtid="{D5CDD505-2E9C-101B-9397-08002B2CF9AE}" pid="4" name="REFMGR.Libraries">
    <vt:lpwstr>REFMGR.Libraries</vt:lpwstr>
  </property>
</Properties>
</file>