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5B8C99" w14:textId="7F516AA4" w:rsidR="00290B68" w:rsidRPr="00AF6446" w:rsidRDefault="00290B68" w:rsidP="00AF6446">
      <w:pPr>
        <w:shd w:val="clear" w:color="auto" w:fill="FFFFFF"/>
        <w:outlineLvl w:val="0"/>
        <w:rPr>
          <w:rFonts w:eastAsia="Times New Roman" w:cs="Arial"/>
          <w:b/>
          <w:bCs/>
          <w:color w:val="000000"/>
          <w:kern w:val="36"/>
          <w:sz w:val="28"/>
          <w:szCs w:val="28"/>
        </w:rPr>
      </w:pPr>
      <w:r w:rsidRPr="00AF6446">
        <w:rPr>
          <w:rFonts w:eastAsia="Times New Roman" w:cs="Arial"/>
          <w:b/>
          <w:bCs/>
          <w:color w:val="000000"/>
          <w:kern w:val="36"/>
          <w:sz w:val="28"/>
          <w:szCs w:val="28"/>
        </w:rPr>
        <w:t>GLUCOCORTICOID RECEPTOR</w:t>
      </w:r>
    </w:p>
    <w:p w14:paraId="2020A76A" w14:textId="77777777" w:rsidR="000524AB" w:rsidRPr="00AF6446" w:rsidRDefault="000524AB" w:rsidP="00AF6446">
      <w:pPr>
        <w:shd w:val="clear" w:color="auto" w:fill="FFFFFF"/>
        <w:rPr>
          <w:rFonts w:eastAsia="Times New Roman" w:cs="Arial"/>
          <w:b/>
          <w:bCs/>
          <w:color w:val="000000"/>
          <w:szCs w:val="22"/>
        </w:rPr>
      </w:pPr>
    </w:p>
    <w:p w14:paraId="79E95193" w14:textId="4B8C20F5" w:rsidR="00290B68" w:rsidRPr="00AF6446" w:rsidRDefault="00AD7169" w:rsidP="00AF6446">
      <w:pPr>
        <w:shd w:val="clear" w:color="auto" w:fill="FFFFFF"/>
        <w:rPr>
          <w:rFonts w:eastAsia="Times New Roman" w:cs="Arial"/>
          <w:bCs/>
          <w:color w:val="000000"/>
          <w:sz w:val="20"/>
        </w:rPr>
      </w:pPr>
      <w:r w:rsidRPr="00AF6446">
        <w:rPr>
          <w:rFonts w:eastAsia="Times New Roman" w:cs="Arial"/>
          <w:b/>
          <w:bCs/>
          <w:color w:val="000000"/>
          <w:sz w:val="24"/>
          <w:szCs w:val="24"/>
        </w:rPr>
        <w:t>Nicolas C. Nicolaides, M.D., Ph.D</w:t>
      </w:r>
      <w:r w:rsidRPr="00AF6446">
        <w:rPr>
          <w:rFonts w:eastAsia="Times New Roman" w:cs="Arial"/>
          <w:b/>
          <w:bCs/>
          <w:color w:val="000000"/>
          <w:szCs w:val="22"/>
        </w:rPr>
        <w:t xml:space="preserve">., </w:t>
      </w:r>
      <w:r w:rsidRPr="00AF6446">
        <w:rPr>
          <w:rFonts w:eastAsia="Times New Roman" w:cs="Arial"/>
          <w:bCs/>
          <w:color w:val="000000"/>
          <w:sz w:val="20"/>
        </w:rPr>
        <w:t>Division of Endocrinology, Metabolism and Diabetes, First Department of Pediatrics, National and Kapodistrian University of Athens Medical School, ‘Aghia Sophia’ Children's Hospital, Athens, 11527, Greece; Division of Endocrinology and Metabolism, Center of Clinical, Experimental Surgery and Translational Research, Biomedical Research Foundation of the Academy of Athens, Athens, 11527, Greece; University Research Institute of Maternal and Child Health and Precision Medicine, National and Kapodistrian University of Athens Medical School, Athens, Greece.</w:t>
      </w:r>
      <w:r w:rsidR="00AF6446" w:rsidRPr="00AF6446">
        <w:rPr>
          <w:rFonts w:eastAsia="Times New Roman" w:cs="Arial"/>
          <w:bCs/>
          <w:color w:val="000000"/>
          <w:sz w:val="20"/>
        </w:rPr>
        <w:t xml:space="preserve"> </w:t>
      </w:r>
      <w:r w:rsidRPr="00AF6446">
        <w:rPr>
          <w:rFonts w:eastAsia="Times New Roman" w:cs="Arial"/>
          <w:bCs/>
          <w:color w:val="000000"/>
          <w:sz w:val="20"/>
        </w:rPr>
        <w:t>E-mail:</w:t>
      </w:r>
      <w:r w:rsidR="00253C8C" w:rsidRPr="00AF6446">
        <w:rPr>
          <w:rFonts w:eastAsia="Times New Roman" w:cs="Arial"/>
          <w:bCs/>
          <w:color w:val="000000"/>
          <w:sz w:val="20"/>
        </w:rPr>
        <w:t xml:space="preserve"> </w:t>
      </w:r>
      <w:r w:rsidRPr="00AF6446">
        <w:rPr>
          <w:rFonts w:eastAsia="Times New Roman" w:cs="Arial"/>
          <w:bCs/>
          <w:color w:val="000000"/>
          <w:sz w:val="20"/>
        </w:rPr>
        <w:t>nnicolaides@bioacademy.gr</w:t>
      </w:r>
    </w:p>
    <w:p w14:paraId="130CC2FD" w14:textId="1FB99699" w:rsidR="008F431A" w:rsidRPr="00AF6446" w:rsidRDefault="000524AB" w:rsidP="00AF6446">
      <w:pPr>
        <w:rPr>
          <w:rFonts w:cs="Arial"/>
          <w:bCs/>
          <w:sz w:val="20"/>
          <w:lang w:eastAsia="en-GB"/>
        </w:rPr>
      </w:pPr>
      <w:r w:rsidRPr="00AF6446">
        <w:rPr>
          <w:rFonts w:cs="Arial"/>
          <w:b/>
          <w:sz w:val="24"/>
          <w:szCs w:val="24"/>
        </w:rPr>
        <w:t>George Chrousos, MD, MACP, MACE, FRCP</w:t>
      </w:r>
      <w:r w:rsidR="00AF6446" w:rsidRPr="00AF6446">
        <w:rPr>
          <w:rFonts w:cs="Arial"/>
          <w:b/>
          <w:szCs w:val="22"/>
        </w:rPr>
        <w:t xml:space="preserve">, </w:t>
      </w:r>
      <w:r w:rsidRPr="00AF6446">
        <w:rPr>
          <w:rFonts w:cs="Arial"/>
          <w:bCs/>
          <w:sz w:val="20"/>
          <w:lang w:eastAsia="en-GB"/>
        </w:rPr>
        <w:t xml:space="preserve">Division of Endocrinology, Metabolism and Diabetes, First Department of Pediatrics, National and Kapodistrian University of Athens Medical School, ‘Aghia Sophia’ Children's Hospital, Athens, 11527, Greece; Division of Endocrinology and Metabolism, Center of Clinical, Experimental Surgery and Translational Research, Biomedical Research Foundation of the Academy of Athens, Athens, 11527, Greece; University Research Institute of Maternal and Child Health and Precision Medicine, National and Kapodistrian University of Athens Medical School, Athens, Greece. E-mail: </w:t>
      </w:r>
      <w:hyperlink r:id="rId6" w:history="1">
        <w:r w:rsidR="008F431A" w:rsidRPr="00AF6446">
          <w:rPr>
            <w:rStyle w:val="Hyperlink"/>
            <w:rFonts w:cs="Arial"/>
            <w:bCs/>
            <w:sz w:val="20"/>
            <w:lang w:eastAsia="en-GB"/>
          </w:rPr>
          <w:t>chrousos@gmail.com</w:t>
        </w:r>
      </w:hyperlink>
    </w:p>
    <w:p w14:paraId="630460F3" w14:textId="6A15AE40" w:rsidR="008F431A" w:rsidRPr="00AF6446" w:rsidRDefault="008F431A" w:rsidP="00AF6446">
      <w:pPr>
        <w:shd w:val="clear" w:color="auto" w:fill="FFFFFF"/>
        <w:rPr>
          <w:rFonts w:eastAsia="Times New Roman" w:cs="Arial"/>
          <w:color w:val="000000"/>
          <w:sz w:val="20"/>
        </w:rPr>
      </w:pPr>
      <w:r w:rsidRPr="00AF6446">
        <w:rPr>
          <w:rFonts w:eastAsia="Times New Roman" w:cs="Arial"/>
          <w:b/>
          <w:bCs/>
          <w:color w:val="000000"/>
          <w:sz w:val="24"/>
          <w:szCs w:val="24"/>
        </w:rPr>
        <w:t>Tomoshige Kino, M.D., Ph.D</w:t>
      </w:r>
      <w:r w:rsidRPr="00AF6446">
        <w:rPr>
          <w:rFonts w:eastAsia="Times New Roman" w:cs="Arial"/>
          <w:b/>
          <w:bCs/>
          <w:color w:val="000000"/>
          <w:szCs w:val="22"/>
        </w:rPr>
        <w:t xml:space="preserve">., </w:t>
      </w:r>
      <w:r w:rsidRPr="00AF6446">
        <w:rPr>
          <w:rFonts w:eastAsia="Times New Roman" w:cs="Arial"/>
          <w:color w:val="000000"/>
          <w:sz w:val="20"/>
        </w:rPr>
        <w:t xml:space="preserve">Division of Translational Medicine, Sidra Medical and Research Center. E-mail: </w:t>
      </w:r>
      <w:hyperlink r:id="rId7" w:history="1">
        <w:r w:rsidRPr="00AF6446">
          <w:rPr>
            <w:rStyle w:val="Hyperlink"/>
            <w:rFonts w:eastAsia="Times New Roman" w:cs="Arial"/>
            <w:sz w:val="20"/>
          </w:rPr>
          <w:t>tkino@sidra.org</w:t>
        </w:r>
      </w:hyperlink>
    </w:p>
    <w:p w14:paraId="6E89B7BC" w14:textId="77777777" w:rsidR="009B08C3" w:rsidRPr="00AF6446" w:rsidRDefault="009B08C3" w:rsidP="00AF6446">
      <w:pPr>
        <w:shd w:val="clear" w:color="auto" w:fill="FFFFFF"/>
        <w:rPr>
          <w:rFonts w:eastAsia="Times New Roman" w:cs="Arial"/>
          <w:b/>
          <w:bCs/>
          <w:szCs w:val="22"/>
        </w:rPr>
      </w:pPr>
    </w:p>
    <w:p w14:paraId="06EB5EBB" w14:textId="1A5DB02B" w:rsidR="00290B68" w:rsidRPr="00AF6446" w:rsidRDefault="00AD7169" w:rsidP="00AF6446">
      <w:pPr>
        <w:shd w:val="clear" w:color="auto" w:fill="FFFFFF"/>
        <w:rPr>
          <w:rFonts w:eastAsia="Times New Roman" w:cs="Arial"/>
          <w:b/>
          <w:bCs/>
          <w:szCs w:val="22"/>
        </w:rPr>
      </w:pPr>
      <w:r w:rsidRPr="00AF6446">
        <w:rPr>
          <w:rFonts w:eastAsia="Times New Roman" w:cs="Arial"/>
          <w:b/>
          <w:bCs/>
          <w:szCs w:val="22"/>
        </w:rPr>
        <w:t>Last Update: </w:t>
      </w:r>
      <w:r w:rsidR="00253C8C" w:rsidRPr="00AF6446">
        <w:rPr>
          <w:rFonts w:eastAsia="Times New Roman" w:cs="Arial"/>
          <w:b/>
          <w:bCs/>
          <w:szCs w:val="22"/>
        </w:rPr>
        <w:t>November</w:t>
      </w:r>
      <w:r w:rsidRPr="00AF6446">
        <w:rPr>
          <w:rFonts w:eastAsia="Times New Roman" w:cs="Arial"/>
          <w:b/>
          <w:bCs/>
          <w:szCs w:val="22"/>
        </w:rPr>
        <w:t xml:space="preserve"> </w:t>
      </w:r>
      <w:r w:rsidR="00253C8C" w:rsidRPr="00AF6446">
        <w:rPr>
          <w:rFonts w:eastAsia="Times New Roman" w:cs="Arial"/>
          <w:b/>
          <w:bCs/>
          <w:szCs w:val="22"/>
        </w:rPr>
        <w:t>1</w:t>
      </w:r>
      <w:r w:rsidR="00AF6446" w:rsidRPr="00AF6446">
        <w:rPr>
          <w:rFonts w:eastAsia="Times New Roman" w:cs="Arial"/>
          <w:b/>
          <w:bCs/>
          <w:szCs w:val="22"/>
        </w:rPr>
        <w:t>9</w:t>
      </w:r>
      <w:r w:rsidRPr="00AF6446">
        <w:rPr>
          <w:rFonts w:eastAsia="Times New Roman" w:cs="Arial"/>
          <w:b/>
          <w:bCs/>
          <w:szCs w:val="22"/>
        </w:rPr>
        <w:t>, 2020</w:t>
      </w:r>
      <w:r w:rsidR="00290B68" w:rsidRPr="00AF6446">
        <w:rPr>
          <w:rFonts w:eastAsia="Times New Roman" w:cs="Arial"/>
          <w:b/>
          <w:bCs/>
          <w:szCs w:val="22"/>
        </w:rPr>
        <w:t>.</w:t>
      </w:r>
    </w:p>
    <w:p w14:paraId="047C5C4B" w14:textId="77777777" w:rsidR="00290B68" w:rsidRPr="00AF6446" w:rsidRDefault="00290B68" w:rsidP="00EE2D13">
      <w:pPr>
        <w:shd w:val="clear" w:color="auto" w:fill="FFFFFF"/>
        <w:outlineLvl w:val="1"/>
        <w:rPr>
          <w:rFonts w:eastAsia="Times New Roman" w:cs="Arial"/>
          <w:b/>
          <w:bCs/>
          <w:szCs w:val="22"/>
        </w:rPr>
      </w:pPr>
    </w:p>
    <w:p w14:paraId="6183CF3C" w14:textId="31ED4CEA" w:rsidR="00290B68" w:rsidRPr="0043315C" w:rsidRDefault="00290B68" w:rsidP="00EE2D13">
      <w:pPr>
        <w:shd w:val="clear" w:color="auto" w:fill="FFFFFF"/>
        <w:outlineLvl w:val="1"/>
        <w:rPr>
          <w:rFonts w:eastAsia="Times New Roman" w:cs="Arial"/>
          <w:b/>
          <w:bCs/>
          <w:color w:val="0070C0"/>
          <w:szCs w:val="22"/>
        </w:rPr>
      </w:pPr>
      <w:r w:rsidRPr="0043315C">
        <w:rPr>
          <w:rFonts w:eastAsia="Times New Roman" w:cs="Arial"/>
          <w:b/>
          <w:bCs/>
          <w:color w:val="0070C0"/>
          <w:szCs w:val="22"/>
        </w:rPr>
        <w:t>ABSTRACT</w:t>
      </w:r>
    </w:p>
    <w:p w14:paraId="66D02340" w14:textId="77777777" w:rsidR="00290B68" w:rsidRPr="00AF6446" w:rsidRDefault="00290B68" w:rsidP="00EE2D13">
      <w:pPr>
        <w:shd w:val="clear" w:color="auto" w:fill="FFFFFF"/>
        <w:outlineLvl w:val="1"/>
        <w:rPr>
          <w:rFonts w:eastAsia="Times New Roman" w:cs="Arial"/>
          <w:szCs w:val="22"/>
        </w:rPr>
      </w:pPr>
    </w:p>
    <w:p w14:paraId="72173262" w14:textId="62BF68AB" w:rsidR="00290B68" w:rsidRPr="00AF6446" w:rsidRDefault="00290B68" w:rsidP="00EE2D13">
      <w:pPr>
        <w:shd w:val="clear" w:color="auto" w:fill="FFFFFF"/>
        <w:outlineLvl w:val="1"/>
        <w:rPr>
          <w:rFonts w:eastAsia="Times New Roman" w:cs="Arial"/>
          <w:szCs w:val="22"/>
        </w:rPr>
      </w:pPr>
      <w:r w:rsidRPr="00AF6446">
        <w:rPr>
          <w:rFonts w:eastAsia="Times New Roman" w:cs="Arial"/>
          <w:szCs w:val="22"/>
        </w:rPr>
        <w:t xml:space="preserve">The glucocorticoid receptor (GR) is an evolutionally conserved nuclear receptor superfamily protein </w:t>
      </w:r>
      <w:r w:rsidR="008F431A" w:rsidRPr="00AF6446">
        <w:rPr>
          <w:rFonts w:eastAsia="Times New Roman" w:cs="Arial"/>
          <w:szCs w:val="22"/>
        </w:rPr>
        <w:t>that</w:t>
      </w:r>
      <w:r w:rsidRPr="00AF6446">
        <w:rPr>
          <w:rFonts w:eastAsia="Times New Roman" w:cs="Arial"/>
          <w:szCs w:val="22"/>
        </w:rPr>
        <w:t xml:space="preserve"> mediates </w:t>
      </w:r>
      <w:r w:rsidR="008F431A" w:rsidRPr="00AF6446">
        <w:rPr>
          <w:rFonts w:eastAsia="Times New Roman" w:cs="Arial"/>
          <w:szCs w:val="22"/>
        </w:rPr>
        <w:t xml:space="preserve">the </w:t>
      </w:r>
      <w:r w:rsidRPr="00AF6446">
        <w:rPr>
          <w:rFonts w:eastAsia="Times New Roman" w:cs="Arial"/>
          <w:szCs w:val="22"/>
        </w:rPr>
        <w:t>diverse actions of glucocorticoid</w:t>
      </w:r>
      <w:r w:rsidR="008F431A" w:rsidRPr="00AF6446">
        <w:rPr>
          <w:rFonts w:eastAsia="Times New Roman" w:cs="Arial"/>
          <w:szCs w:val="22"/>
        </w:rPr>
        <w:t>s</w:t>
      </w:r>
      <w:r w:rsidRPr="00AF6446">
        <w:rPr>
          <w:rFonts w:eastAsia="Times New Roman" w:cs="Arial"/>
          <w:szCs w:val="22"/>
        </w:rPr>
        <w:t xml:space="preserve"> as a ligand-dependent transcription factor. This receptor is a protein </w:t>
      </w:r>
      <w:r w:rsidR="008F431A" w:rsidRPr="00AF6446">
        <w:rPr>
          <w:rFonts w:eastAsia="Times New Roman" w:cs="Arial"/>
          <w:szCs w:val="22"/>
        </w:rPr>
        <w:t xml:space="preserve">that </w:t>
      </w:r>
      <w:r w:rsidRPr="00AF6446">
        <w:rPr>
          <w:rFonts w:eastAsia="Times New Roman" w:cs="Arial"/>
          <w:szCs w:val="22"/>
        </w:rPr>
        <w:t>shuttl</w:t>
      </w:r>
      <w:r w:rsidR="008F431A" w:rsidRPr="00AF6446">
        <w:rPr>
          <w:rFonts w:eastAsia="Times New Roman" w:cs="Arial"/>
          <w:szCs w:val="22"/>
        </w:rPr>
        <w:t>es</w:t>
      </w:r>
      <w:r w:rsidRPr="00AF6446">
        <w:rPr>
          <w:rFonts w:eastAsia="Times New Roman" w:cs="Arial"/>
          <w:szCs w:val="22"/>
        </w:rPr>
        <w:t xml:space="preserve"> </w:t>
      </w:r>
      <w:r w:rsidR="008F431A" w:rsidRPr="00AF6446">
        <w:rPr>
          <w:rFonts w:eastAsia="Times New Roman" w:cs="Arial"/>
          <w:szCs w:val="22"/>
        </w:rPr>
        <w:t>from</w:t>
      </w:r>
      <w:r w:rsidRPr="00AF6446">
        <w:rPr>
          <w:rFonts w:eastAsia="Times New Roman" w:cs="Arial"/>
          <w:szCs w:val="22"/>
        </w:rPr>
        <w:t xml:space="preserve"> the cytoplasm </w:t>
      </w:r>
      <w:r w:rsidR="008F431A" w:rsidRPr="00AF6446">
        <w:rPr>
          <w:rFonts w:eastAsia="Times New Roman" w:cs="Arial"/>
          <w:szCs w:val="22"/>
        </w:rPr>
        <w:t>to the nucleus</w:t>
      </w:r>
      <w:r w:rsidRPr="00AF6446">
        <w:rPr>
          <w:rFonts w:eastAsia="Times New Roman" w:cs="Arial"/>
          <w:szCs w:val="22"/>
        </w:rPr>
        <w:t xml:space="preserve"> upon binding to its ligand glucocorticoid</w:t>
      </w:r>
      <w:r w:rsidR="008F431A" w:rsidRPr="00AF6446">
        <w:rPr>
          <w:rFonts w:eastAsia="Times New Roman" w:cs="Arial"/>
          <w:szCs w:val="22"/>
        </w:rPr>
        <w:t xml:space="preserve"> hormone, where it</w:t>
      </w:r>
      <w:r w:rsidRPr="00AF6446">
        <w:rPr>
          <w:rFonts w:eastAsia="Times New Roman" w:cs="Arial"/>
          <w:szCs w:val="22"/>
        </w:rPr>
        <w:t xml:space="preserve"> modulates the transcription rates of glucocorticoid-responsive genes positively </w:t>
      </w:r>
      <w:r w:rsidR="008F431A" w:rsidRPr="00AF6446">
        <w:rPr>
          <w:rFonts w:eastAsia="Times New Roman" w:cs="Arial"/>
          <w:szCs w:val="22"/>
        </w:rPr>
        <w:t>or</w:t>
      </w:r>
      <w:r w:rsidRPr="00AF6446">
        <w:rPr>
          <w:rFonts w:eastAsia="Times New Roman" w:cs="Arial"/>
          <w:szCs w:val="22"/>
        </w:rPr>
        <w:t xml:space="preserve"> negatively. Tremendous efforts have been </w:t>
      </w:r>
      <w:r w:rsidR="008F431A" w:rsidRPr="00AF6446">
        <w:rPr>
          <w:rFonts w:eastAsia="Times New Roman" w:cs="Arial"/>
          <w:szCs w:val="22"/>
        </w:rPr>
        <w:t>made</w:t>
      </w:r>
      <w:r w:rsidRPr="00AF6446">
        <w:rPr>
          <w:rFonts w:eastAsia="Times New Roman" w:cs="Arial"/>
          <w:szCs w:val="22"/>
        </w:rPr>
        <w:t xml:space="preserve"> to reveal </w:t>
      </w:r>
      <w:r w:rsidR="008F431A" w:rsidRPr="00AF6446">
        <w:rPr>
          <w:rFonts w:eastAsia="Times New Roman" w:cs="Arial"/>
          <w:szCs w:val="22"/>
        </w:rPr>
        <w:t xml:space="preserve">the </w:t>
      </w:r>
      <w:r w:rsidRPr="00AF6446">
        <w:rPr>
          <w:rFonts w:eastAsia="Times New Roman" w:cs="Arial"/>
          <w:szCs w:val="22"/>
        </w:rPr>
        <w:t xml:space="preserve">molecular </w:t>
      </w:r>
      <w:r w:rsidR="008F431A" w:rsidRPr="00AF6446">
        <w:rPr>
          <w:rFonts w:eastAsia="Times New Roman" w:cs="Arial"/>
          <w:szCs w:val="22"/>
        </w:rPr>
        <w:t xml:space="preserve">signaling </w:t>
      </w:r>
      <w:r w:rsidRPr="00AF6446">
        <w:rPr>
          <w:rFonts w:eastAsia="Times New Roman" w:cs="Arial"/>
          <w:szCs w:val="22"/>
        </w:rPr>
        <w:t>actions</w:t>
      </w:r>
      <w:r w:rsidR="008F431A" w:rsidRPr="00AF6446">
        <w:rPr>
          <w:rFonts w:eastAsia="Times New Roman" w:cs="Arial"/>
          <w:szCs w:val="22"/>
        </w:rPr>
        <w:t xml:space="preserve"> of the GR,</w:t>
      </w:r>
      <w:r w:rsidRPr="00AF6446">
        <w:rPr>
          <w:rFonts w:eastAsia="Times New Roman" w:cs="Arial"/>
          <w:szCs w:val="22"/>
        </w:rPr>
        <w:t xml:space="preserve"> including intracellular shuttling, transcriptional regulation and interaction with other intracellular signaling pathways. </w:t>
      </w:r>
      <w:r w:rsidR="008F431A" w:rsidRPr="00AF6446">
        <w:rPr>
          <w:rFonts w:eastAsia="Times New Roman" w:cs="Arial"/>
          <w:szCs w:val="22"/>
        </w:rPr>
        <w:t>G</w:t>
      </w:r>
      <w:r w:rsidRPr="00AF6446">
        <w:rPr>
          <w:rFonts w:eastAsia="Times New Roman" w:cs="Arial"/>
          <w:szCs w:val="22"/>
        </w:rPr>
        <w:t xml:space="preserve">lucocorticoids are essential for </w:t>
      </w:r>
      <w:r w:rsidR="008F431A" w:rsidRPr="00AF6446">
        <w:rPr>
          <w:rFonts w:eastAsia="Times New Roman" w:cs="Arial"/>
          <w:szCs w:val="22"/>
        </w:rPr>
        <w:t xml:space="preserve">both maintenance of the resting state and the </w:t>
      </w:r>
      <w:r w:rsidRPr="00AF6446">
        <w:rPr>
          <w:rFonts w:eastAsia="Times New Roman" w:cs="Arial"/>
          <w:szCs w:val="22"/>
        </w:rPr>
        <w:t>stress response</w:t>
      </w:r>
      <w:r w:rsidR="008F431A" w:rsidRPr="00AF6446">
        <w:rPr>
          <w:rFonts w:eastAsia="Times New Roman" w:cs="Arial"/>
          <w:szCs w:val="22"/>
        </w:rPr>
        <w:t>,</w:t>
      </w:r>
      <w:r w:rsidRPr="00AF6446">
        <w:rPr>
          <w:rFonts w:eastAsia="Times New Roman" w:cs="Arial"/>
          <w:szCs w:val="22"/>
        </w:rPr>
        <w:t xml:space="preserve"> and are pivotal in the treatment of </w:t>
      </w:r>
      <w:r w:rsidR="008F431A" w:rsidRPr="00AF6446">
        <w:rPr>
          <w:rFonts w:eastAsia="Times New Roman" w:cs="Arial"/>
          <w:szCs w:val="22"/>
        </w:rPr>
        <w:t xml:space="preserve">many disorders, including </w:t>
      </w:r>
      <w:r w:rsidRPr="00AF6446">
        <w:rPr>
          <w:rFonts w:eastAsia="Times New Roman" w:cs="Arial"/>
          <w:szCs w:val="22"/>
        </w:rPr>
        <w:t>autoimmune, inflammatory</w:t>
      </w:r>
      <w:r w:rsidR="008F431A" w:rsidRPr="00AF6446">
        <w:rPr>
          <w:rFonts w:eastAsia="Times New Roman" w:cs="Arial"/>
          <w:szCs w:val="22"/>
        </w:rPr>
        <w:t>,</w:t>
      </w:r>
      <w:r w:rsidRPr="00AF6446">
        <w:rPr>
          <w:rFonts w:eastAsia="Times New Roman" w:cs="Arial"/>
          <w:szCs w:val="22"/>
        </w:rPr>
        <w:t xml:space="preserve"> allergic</w:t>
      </w:r>
      <w:r w:rsidR="008F431A" w:rsidRPr="00AF6446">
        <w:rPr>
          <w:rFonts w:eastAsia="Times New Roman" w:cs="Arial"/>
          <w:szCs w:val="22"/>
        </w:rPr>
        <w:t>,</w:t>
      </w:r>
      <w:r w:rsidRPr="00AF6446">
        <w:rPr>
          <w:rFonts w:eastAsia="Times New Roman" w:cs="Arial"/>
          <w:szCs w:val="22"/>
        </w:rPr>
        <w:t xml:space="preserve"> and lymphoproliferative diseases. Thus, pathologic or therapeutic implications of </w:t>
      </w:r>
      <w:r w:rsidR="008F431A" w:rsidRPr="00AF6446">
        <w:rPr>
          <w:rFonts w:eastAsia="Times New Roman" w:cs="Arial"/>
          <w:szCs w:val="22"/>
        </w:rPr>
        <w:t xml:space="preserve">the </w:t>
      </w:r>
      <w:r w:rsidRPr="00AF6446">
        <w:rPr>
          <w:rFonts w:eastAsia="Times New Roman" w:cs="Arial"/>
          <w:szCs w:val="22"/>
        </w:rPr>
        <w:t>GR</w:t>
      </w:r>
      <w:r w:rsidR="008F431A" w:rsidRPr="00AF6446">
        <w:rPr>
          <w:rFonts w:eastAsia="Times New Roman" w:cs="Arial"/>
          <w:szCs w:val="22"/>
        </w:rPr>
        <w:t>,</w:t>
      </w:r>
      <w:r w:rsidRPr="00AF6446">
        <w:rPr>
          <w:rFonts w:eastAsia="Times New Roman" w:cs="Arial"/>
          <w:szCs w:val="22"/>
        </w:rPr>
        <w:t xml:space="preserve"> including genetic alterations in the human </w:t>
      </w:r>
      <w:r w:rsidRPr="00AF6446">
        <w:rPr>
          <w:rFonts w:eastAsia="Times New Roman" w:cs="Arial"/>
          <w:i/>
          <w:iCs/>
          <w:szCs w:val="22"/>
        </w:rPr>
        <w:t>GR</w:t>
      </w:r>
      <w:r w:rsidRPr="00AF6446">
        <w:rPr>
          <w:rFonts w:eastAsia="Times New Roman" w:cs="Arial"/>
          <w:szCs w:val="22"/>
        </w:rPr>
        <w:t> gene, disease-associated GR regulatory molecules, and development of GR ligands with selective GR actions</w:t>
      </w:r>
      <w:r w:rsidR="0030672F" w:rsidRPr="00AF6446">
        <w:rPr>
          <w:rFonts w:eastAsia="Times New Roman" w:cs="Arial"/>
          <w:szCs w:val="22"/>
        </w:rPr>
        <w:t xml:space="preserve">, </w:t>
      </w:r>
      <w:r w:rsidR="00831230" w:rsidRPr="00AF6446">
        <w:rPr>
          <w:rFonts w:eastAsia="Times New Roman" w:cs="Arial"/>
          <w:szCs w:val="22"/>
        </w:rPr>
        <w:t>are of great importance</w:t>
      </w:r>
      <w:r w:rsidRPr="00AF6446">
        <w:rPr>
          <w:rFonts w:eastAsia="Times New Roman" w:cs="Arial"/>
          <w:szCs w:val="22"/>
        </w:rPr>
        <w:t xml:space="preserve">. This chapter provides </w:t>
      </w:r>
      <w:r w:rsidR="00831230" w:rsidRPr="00AF6446">
        <w:rPr>
          <w:rFonts w:eastAsia="Times New Roman" w:cs="Arial"/>
          <w:szCs w:val="22"/>
        </w:rPr>
        <w:t xml:space="preserve">an </w:t>
      </w:r>
      <w:r w:rsidRPr="00AF6446">
        <w:rPr>
          <w:rFonts w:eastAsia="Times New Roman" w:cs="Arial"/>
          <w:szCs w:val="22"/>
        </w:rPr>
        <w:t xml:space="preserve">overview on such </w:t>
      </w:r>
      <w:r w:rsidR="006D6DCB" w:rsidRPr="00AF6446">
        <w:rPr>
          <w:rFonts w:eastAsia="Times New Roman" w:cs="Arial"/>
          <w:szCs w:val="22"/>
        </w:rPr>
        <w:t xml:space="preserve">GR-related </w:t>
      </w:r>
      <w:r w:rsidRPr="00AF6446">
        <w:rPr>
          <w:rFonts w:eastAsia="Times New Roman" w:cs="Arial"/>
          <w:szCs w:val="22"/>
        </w:rPr>
        <w:t xml:space="preserve">research activities. </w:t>
      </w:r>
    </w:p>
    <w:p w14:paraId="43BB2BE2" w14:textId="77777777" w:rsidR="00290B68" w:rsidRPr="00AF6446" w:rsidRDefault="00290B68" w:rsidP="00EE2D13">
      <w:pPr>
        <w:shd w:val="clear" w:color="auto" w:fill="FFFFFF"/>
        <w:outlineLvl w:val="1"/>
        <w:rPr>
          <w:rFonts w:eastAsia="Times New Roman" w:cs="Arial"/>
          <w:b/>
          <w:bCs/>
          <w:szCs w:val="22"/>
        </w:rPr>
      </w:pPr>
    </w:p>
    <w:p w14:paraId="47737AD1" w14:textId="77777777" w:rsidR="00290B68" w:rsidRPr="0043315C" w:rsidRDefault="00290B68" w:rsidP="00EE2D13">
      <w:pPr>
        <w:shd w:val="clear" w:color="auto" w:fill="FFFFFF"/>
        <w:outlineLvl w:val="1"/>
        <w:rPr>
          <w:rFonts w:eastAsia="Times New Roman" w:cs="Arial"/>
          <w:b/>
          <w:bCs/>
          <w:color w:val="0070C0"/>
          <w:szCs w:val="22"/>
        </w:rPr>
      </w:pPr>
      <w:r w:rsidRPr="0043315C">
        <w:rPr>
          <w:rFonts w:eastAsia="Times New Roman" w:cs="Arial"/>
          <w:b/>
          <w:bCs/>
          <w:color w:val="0070C0"/>
          <w:szCs w:val="22"/>
        </w:rPr>
        <w:t>INTRODUCTION</w:t>
      </w:r>
    </w:p>
    <w:p w14:paraId="693ABB09" w14:textId="77777777" w:rsidR="00290B68" w:rsidRPr="00AF6446" w:rsidRDefault="00290B68" w:rsidP="00EE2D13">
      <w:pPr>
        <w:shd w:val="clear" w:color="auto" w:fill="FFFFFF"/>
        <w:outlineLvl w:val="1"/>
        <w:rPr>
          <w:rFonts w:eastAsia="Times New Roman" w:cs="Arial"/>
          <w:b/>
          <w:bCs/>
          <w:szCs w:val="22"/>
        </w:rPr>
      </w:pPr>
    </w:p>
    <w:p w14:paraId="7EEE7E96" w14:textId="269ADCCA" w:rsidR="00290B68" w:rsidRPr="00AF6446" w:rsidRDefault="00290B68" w:rsidP="00EE2D13">
      <w:pPr>
        <w:shd w:val="clear" w:color="auto" w:fill="FFFFFF"/>
        <w:outlineLvl w:val="1"/>
        <w:rPr>
          <w:rFonts w:eastAsia="Times New Roman" w:cs="Arial"/>
          <w:szCs w:val="22"/>
        </w:rPr>
      </w:pPr>
      <w:r w:rsidRPr="00AF6446">
        <w:rPr>
          <w:rFonts w:eastAsia="Times New Roman" w:cs="Arial"/>
          <w:szCs w:val="22"/>
        </w:rPr>
        <w:t>Glucocorticoids ar</w:t>
      </w:r>
      <w:r w:rsidR="00F34D85" w:rsidRPr="00AF6446">
        <w:rPr>
          <w:rFonts w:eastAsia="Times New Roman" w:cs="Arial"/>
          <w:szCs w:val="22"/>
        </w:rPr>
        <w:t>e steroid hormones secreted by the adrenal glands. They are</w:t>
      </w:r>
      <w:r w:rsidRPr="00AF6446">
        <w:rPr>
          <w:rFonts w:eastAsia="Times New Roman" w:cs="Arial"/>
          <w:szCs w:val="22"/>
        </w:rPr>
        <w:t xml:space="preserve"> important for the maintenance of basal and stress-related homeostasis by acting as end products of the stress-responsive hypothalamic-pituit</w:t>
      </w:r>
      <w:r w:rsidR="00F34D85" w:rsidRPr="00AF6446">
        <w:rPr>
          <w:rFonts w:eastAsia="Times New Roman" w:cs="Arial"/>
          <w:szCs w:val="22"/>
        </w:rPr>
        <w:t>ary-adrenal (HPA) axis (1). Glucocorticoids</w:t>
      </w:r>
      <w:r w:rsidRPr="00AF6446">
        <w:rPr>
          <w:rFonts w:eastAsia="Times New Roman" w:cs="Arial"/>
          <w:szCs w:val="22"/>
        </w:rPr>
        <w:t xml:space="preserve"> regulate a variety of biologic processes and exert profound influences on many physiologic functions (2,3). In pharmacologic doses, glucocorticoids are used as potent immunosuppressive agents in the </w:t>
      </w:r>
      <w:r w:rsidR="00F34D85" w:rsidRPr="00AF6446">
        <w:rPr>
          <w:rFonts w:eastAsia="Times New Roman" w:cs="Arial"/>
          <w:szCs w:val="22"/>
        </w:rPr>
        <w:t xml:space="preserve">therapeutic </w:t>
      </w:r>
      <w:r w:rsidRPr="00AF6446">
        <w:rPr>
          <w:rFonts w:eastAsia="Times New Roman" w:cs="Arial"/>
          <w:szCs w:val="22"/>
        </w:rPr>
        <w:t xml:space="preserve">management of many inflammatory, autoimmune and lympho-proliferative diseases </w:t>
      </w:r>
      <w:r w:rsidRPr="00AF6446">
        <w:rPr>
          <w:rFonts w:eastAsia="Times New Roman" w:cs="Arial"/>
          <w:szCs w:val="22"/>
        </w:rPr>
        <w:lastRenderedPageBreak/>
        <w:t xml:space="preserve">(4). At the cellular level, </w:t>
      </w:r>
      <w:r w:rsidR="00F34D85" w:rsidRPr="00AF6446">
        <w:rPr>
          <w:rFonts w:eastAsia="Times New Roman" w:cs="Arial"/>
          <w:szCs w:val="22"/>
        </w:rPr>
        <w:t xml:space="preserve">the </w:t>
      </w:r>
      <w:r w:rsidRPr="00AF6446">
        <w:rPr>
          <w:rFonts w:eastAsia="Times New Roman" w:cs="Arial"/>
          <w:szCs w:val="22"/>
        </w:rPr>
        <w:t>actions of glucocorticoids are mediated by an intracellular receptor protein, the glucocorticoid receptor (GR) (its gene name is “nuclear receptor subfamily 3, group C, member 1: </w:t>
      </w:r>
      <w:r w:rsidRPr="00AF6446">
        <w:rPr>
          <w:rFonts w:eastAsia="Times New Roman" w:cs="Arial"/>
          <w:i/>
          <w:iCs/>
          <w:szCs w:val="22"/>
        </w:rPr>
        <w:t>NR3C1</w:t>
      </w:r>
      <w:r w:rsidRPr="00AF6446">
        <w:rPr>
          <w:rFonts w:eastAsia="Times New Roman" w:cs="Arial"/>
          <w:szCs w:val="22"/>
        </w:rPr>
        <w:t xml:space="preserve">”), which belongs to the steroid/sterol/thyroid/retinoid/orphan receptor superfamily of nuclear transactivating factors with over 200 members in general and over 40 in mammals currently cloned and characterized across species (5). Human GR consists of 777 amino acid residues (5). GR is ubiquitously expressed in almost all human tissues and organs including neural stem cells (6). GR functions as a hormone-dependent transcription factor that regulates the expression of glucocorticoid-responsive genes, which probably represent 3-10% of the human genome and can be influenced by the ligand-activated GR directly or indirectly (7). </w:t>
      </w:r>
    </w:p>
    <w:p w14:paraId="4EEACF12" w14:textId="77777777" w:rsidR="00290B68" w:rsidRPr="00AF6446" w:rsidRDefault="00290B68" w:rsidP="00EE2D13">
      <w:pPr>
        <w:shd w:val="clear" w:color="auto" w:fill="FFFFFF"/>
        <w:outlineLvl w:val="1"/>
        <w:rPr>
          <w:rFonts w:eastAsia="Times New Roman" w:cs="Arial"/>
          <w:b/>
          <w:bCs/>
          <w:szCs w:val="22"/>
        </w:rPr>
      </w:pPr>
    </w:p>
    <w:p w14:paraId="20D53D4E" w14:textId="77777777" w:rsidR="00290B68" w:rsidRPr="008063DA" w:rsidRDefault="00290B68" w:rsidP="00EE2D13">
      <w:pPr>
        <w:shd w:val="clear" w:color="auto" w:fill="FFFFFF"/>
        <w:outlineLvl w:val="1"/>
        <w:rPr>
          <w:rFonts w:eastAsia="Times New Roman" w:cs="Arial"/>
          <w:b/>
          <w:bCs/>
          <w:color w:val="0070C0"/>
          <w:szCs w:val="22"/>
        </w:rPr>
      </w:pPr>
      <w:r w:rsidRPr="008063DA">
        <w:rPr>
          <w:rFonts w:eastAsia="Times New Roman" w:cs="Arial"/>
          <w:b/>
          <w:bCs/>
          <w:color w:val="0070C0"/>
          <w:szCs w:val="22"/>
        </w:rPr>
        <w:t>EVOLUTION OF GR</w:t>
      </w:r>
    </w:p>
    <w:p w14:paraId="4D718ABB" w14:textId="77777777" w:rsidR="00290B68" w:rsidRPr="00AF6446" w:rsidRDefault="00290B68" w:rsidP="00EE2D13">
      <w:pPr>
        <w:shd w:val="clear" w:color="auto" w:fill="FFFFFF"/>
        <w:outlineLvl w:val="1"/>
        <w:rPr>
          <w:rFonts w:eastAsia="Times New Roman" w:cs="Arial"/>
          <w:b/>
          <w:bCs/>
          <w:szCs w:val="22"/>
        </w:rPr>
      </w:pPr>
    </w:p>
    <w:p w14:paraId="6A5028C7" w14:textId="0D663D2D" w:rsidR="00290B68" w:rsidRDefault="00290B68" w:rsidP="00EE2D13">
      <w:pPr>
        <w:shd w:val="clear" w:color="auto" w:fill="FFFFFF"/>
        <w:outlineLvl w:val="1"/>
        <w:rPr>
          <w:rFonts w:eastAsia="Times New Roman" w:cs="Arial"/>
          <w:szCs w:val="22"/>
        </w:rPr>
      </w:pPr>
      <w:r w:rsidRPr="00AF6446">
        <w:rPr>
          <w:rFonts w:eastAsia="Times New Roman" w:cs="Arial"/>
          <w:szCs w:val="22"/>
        </w:rPr>
        <w:t>Nuclear hormone receptors (NRs) form a highly conserved protein family observed even in simple metazoans. They are phylogenically differentiated into 7 subfamilies under the evolu</w:t>
      </w:r>
      <w:r w:rsidR="00113D1A" w:rsidRPr="00AF6446">
        <w:rPr>
          <w:rFonts w:eastAsia="Times New Roman" w:cs="Arial"/>
          <w:szCs w:val="22"/>
        </w:rPr>
        <w:t>tional selection pressure, and</w:t>
      </w:r>
      <w:r w:rsidRPr="00AF6446">
        <w:rPr>
          <w:rFonts w:eastAsia="Times New Roman" w:cs="Arial"/>
          <w:szCs w:val="22"/>
        </w:rPr>
        <w:t xml:space="preserve"> are still active in the current human population (8). GR is a member of the steroid hormone receptor (SR) subfamily (subfamily 3) of NRs. This receptor family of vertebrates consists of six evolutionarily related SRs: two for estrogens (estrogen receptor (ER) a and ERβ) and one each for androgens (androgen receptor: AR), progestins (progesterone receptor: PR), glucocorticoids (GR), and mineralocorticoids (mineralocorticoid receptor: MR) (</w:t>
      </w:r>
      <w:hyperlink r:id="rId8" w:tgtFrame="object" w:history="1">
        <w:r w:rsidRPr="00EE2D13">
          <w:rPr>
            <w:rFonts w:eastAsia="Times New Roman" w:cs="Arial"/>
            <w:szCs w:val="22"/>
          </w:rPr>
          <w:t>Figure 1</w:t>
        </w:r>
      </w:hyperlink>
      <w:r w:rsidRPr="00AF6446">
        <w:rPr>
          <w:rFonts w:eastAsia="Times New Roman" w:cs="Arial"/>
          <w:szCs w:val="22"/>
        </w:rPr>
        <w:t xml:space="preserve">). These steroid receptors are also categorized as type I receptors, based on their functional characteristics, such as cytoplasmic localization in the absence of ligand with association to the heat shock proteins, homo-dimerization and recognition of their target DNA sequence (see below), while the other NRs </w:t>
      </w:r>
      <w:r w:rsidR="00113D1A" w:rsidRPr="00AF6446">
        <w:rPr>
          <w:rFonts w:eastAsia="Times New Roman" w:cs="Arial"/>
          <w:szCs w:val="22"/>
        </w:rPr>
        <w:t xml:space="preserve">belong </w:t>
      </w:r>
      <w:r w:rsidRPr="00AF6446">
        <w:rPr>
          <w:rFonts w:eastAsia="Times New Roman" w:cs="Arial"/>
          <w:szCs w:val="22"/>
        </w:rPr>
        <w:t>to type II to IV (5).</w:t>
      </w:r>
    </w:p>
    <w:p w14:paraId="26458CF7" w14:textId="553D9A40" w:rsidR="00EE2D13" w:rsidRDefault="00EE2D13" w:rsidP="00EE2D13">
      <w:pPr>
        <w:shd w:val="clear" w:color="auto" w:fill="FFFFFF"/>
        <w:outlineLvl w:val="1"/>
        <w:rPr>
          <w:rFonts w:eastAsia="Times New Roman" w:cs="Arial"/>
          <w:szCs w:val="22"/>
        </w:rPr>
      </w:pPr>
    </w:p>
    <w:p w14:paraId="158E0298" w14:textId="2EC58370" w:rsidR="00290B68" w:rsidRPr="00AF6446" w:rsidRDefault="00290B68" w:rsidP="00EE2D13">
      <w:pP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20Steroid%20hormone%20receptors%20(SRs%3A%20class%20I%20receptors)%20and%20their%20homologies%20expressed%20as%20percent%20identity%20to%20the%20protein%20sequence%20of%20human%20GR.&amp;p=BOOKS&amp;id=279171_glucocort-receptor_GR-Figure-1.jpg" \o "Click on image to zoom" \t "tileshopwindow" </w:instrText>
      </w:r>
      <w:r w:rsidRPr="00AF6446">
        <w:rPr>
          <w:rFonts w:eastAsia="Times New Roman" w:cs="Arial"/>
          <w:szCs w:val="22"/>
        </w:rPr>
        <w:fldChar w:fldCharType="separate"/>
      </w:r>
    </w:p>
    <w:p w14:paraId="19DF7399" w14:textId="51FC5DD4"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67FE2ACE" wp14:editId="24B42A3F">
            <wp:extent cx="6343650" cy="3806190"/>
            <wp:effectExtent l="0" t="0" r="0" b="3810"/>
            <wp:docPr id="21" name="Picture 21" descr="Figure 1. Steroid hormone receptors (SRs: class I receptors) and their homologies expressed as percent identity to the protein sequence of human GR.">
              <a:hlinkClick xmlns:a="http://schemas.openxmlformats.org/drawingml/2006/main" r:id="rId9"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 Steroid hormone receptors (SRs: class I receptors) and their homologies expressed as percent identity to the protein sequence of human GR.">
                      <a:hlinkClick r:id="rId9" tgtFrame="&quot;tileshopwindow&quot;" tooltip="&quot;Click on image to zoom&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3650" cy="3806190"/>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 Steroid hormone receptors (SRs: class I receptors) and their homologies</w:t>
      </w:r>
      <w:r w:rsidR="00EE2D13">
        <w:rPr>
          <w:rFonts w:eastAsia="Times New Roman" w:cs="Arial"/>
          <w:b/>
          <w:bCs/>
          <w:szCs w:val="22"/>
        </w:rPr>
        <w:t xml:space="preserve"> </w:t>
      </w:r>
      <w:r w:rsidRPr="00AF6446">
        <w:rPr>
          <w:rFonts w:eastAsia="Times New Roman" w:cs="Arial"/>
          <w:b/>
          <w:bCs/>
          <w:szCs w:val="22"/>
        </w:rPr>
        <w:t>expressed as percent identity to the protein sequence of human GR.</w:t>
      </w:r>
      <w:r w:rsidR="00EE2D13">
        <w:rPr>
          <w:rFonts w:eastAsia="Times New Roman" w:cs="Arial"/>
          <w:b/>
          <w:bCs/>
          <w:szCs w:val="22"/>
        </w:rPr>
        <w:t xml:space="preserve"> </w:t>
      </w:r>
      <w:r w:rsidRPr="00AF6446">
        <w:rPr>
          <w:rFonts w:eastAsia="Times New Roman" w:cs="Arial"/>
          <w:b/>
          <w:bCs/>
          <w:szCs w:val="22"/>
        </w:rPr>
        <w:t>AR; androgen receptor, ER: estrogen receptor, ER: estrogen receptor, GR; glucocorticoid receptor, MR: mineralocorticoid receptor, PR-A: progesterone receptor-A</w:t>
      </w:r>
      <w:r w:rsidR="00EE2D13">
        <w:rPr>
          <w:rFonts w:eastAsia="Times New Roman" w:cs="Arial"/>
          <w:b/>
          <w:bCs/>
          <w:szCs w:val="22"/>
        </w:rPr>
        <w:t xml:space="preserve">. </w:t>
      </w:r>
      <w:r w:rsidRPr="00AF6446">
        <w:rPr>
          <w:rFonts w:eastAsia="Times New Roman" w:cs="Arial"/>
          <w:b/>
          <w:bCs/>
          <w:szCs w:val="22"/>
        </w:rPr>
        <w:t>Modified from (9).</w:t>
      </w:r>
    </w:p>
    <w:p w14:paraId="33D63DDB" w14:textId="77777777" w:rsidR="00290B68" w:rsidRPr="00AF6446" w:rsidRDefault="00290B68" w:rsidP="00AF6446">
      <w:pPr>
        <w:shd w:val="clear" w:color="auto" w:fill="FFFFFF"/>
        <w:rPr>
          <w:rFonts w:eastAsia="Times New Roman" w:cs="Arial"/>
          <w:szCs w:val="22"/>
        </w:rPr>
      </w:pPr>
    </w:p>
    <w:p w14:paraId="2C626CEE" w14:textId="7F0A6FCE" w:rsidR="00290B68" w:rsidRPr="00AF6446" w:rsidRDefault="00290B68" w:rsidP="00AF6446">
      <w:pPr>
        <w:shd w:val="clear" w:color="auto" w:fill="FFFFFF"/>
        <w:rPr>
          <w:rFonts w:eastAsia="Times New Roman" w:cs="Arial"/>
          <w:szCs w:val="22"/>
        </w:rPr>
      </w:pPr>
      <w:r w:rsidRPr="00AF6446">
        <w:rPr>
          <w:rFonts w:eastAsia="Times New Roman" w:cs="Arial"/>
          <w:szCs w:val="22"/>
        </w:rPr>
        <w:t>SRs evolved in the chordate lineage after the separation of deuterostomes and protostomes, prior to or at the base of the Cambrian explosion about 540 million years ago (10,11) (Figure 2A). The receptor phylogeny suggests that two serial gene duplications of an ancestral </w:t>
      </w:r>
      <w:r w:rsidRPr="00AF6446">
        <w:rPr>
          <w:rFonts w:eastAsia="Times New Roman" w:cs="Arial"/>
          <w:i/>
          <w:iCs/>
          <w:szCs w:val="22"/>
        </w:rPr>
        <w:t>SR</w:t>
      </w:r>
      <w:r w:rsidRPr="00AF6446">
        <w:rPr>
          <w:rFonts w:eastAsia="Times New Roman" w:cs="Arial"/>
          <w:szCs w:val="22"/>
        </w:rPr>
        <w:t> gene occurred before the divergence of lamprey and jawed vertebrates (Figure 2B). The first gene duplication (duplication #1 in Figure 2B) created an estrogen receptor (ER) and a 3-ketosteroid receptor, whereas the second duplication (duplication #2 in Figure 2B) of the latter gene produced a corticoid receptor and a receptor for 3-ketogonadal steroids (androgens, progestins, or both). Therefore, the ancestral vertebrates (e.g., lamprey) had three SRs: an estrogen receptor (ER), a receptor for corticoids (corticosteroid receptor: CR) and a receptor that bound androgens, progestins or both (ancestral PR). At some</w:t>
      </w:r>
      <w:r w:rsidR="000524AB" w:rsidRPr="00AF6446">
        <w:rPr>
          <w:rFonts w:eastAsia="Times New Roman" w:cs="Arial"/>
          <w:szCs w:val="22"/>
        </w:rPr>
        <w:t xml:space="preserve"> later</w:t>
      </w:r>
      <w:r w:rsidRPr="00AF6446">
        <w:rPr>
          <w:rFonts w:eastAsia="Times New Roman" w:cs="Arial"/>
          <w:szCs w:val="22"/>
        </w:rPr>
        <w:t xml:space="preserve"> </w:t>
      </w:r>
      <w:r w:rsidR="00944C80" w:rsidRPr="00AF6446">
        <w:rPr>
          <w:rFonts w:eastAsia="Times New Roman" w:cs="Arial"/>
          <w:szCs w:val="22"/>
        </w:rPr>
        <w:t>time within</w:t>
      </w:r>
      <w:r w:rsidRPr="00AF6446">
        <w:rPr>
          <w:rFonts w:eastAsia="Times New Roman" w:cs="Arial"/>
          <w:szCs w:val="22"/>
        </w:rPr>
        <w:t xml:space="preserve"> the gnathostome lineage, each of these three receptor genes were duplicated again (duplications #3, #4 and #5 in Figure 2B) to yield the six SRs currently found in jawed vertebrates: the ER creating ERa and ERβ, CR yielding the GR and MR, and the 3-ketogonadal steroid receptor (ancestral PR) producing the PR and AR. Therefore, the genome of ‘higher’ vertebrates is thought to be the result of three genome duplication events that occurred early in chordate evolution (10,12). Although the timing of these events is not entirely clear, it is most likely that the first 2 duplications occurred before the lamprey-gnathostome divergence and one after (10,13).</w:t>
      </w:r>
    </w:p>
    <w:p w14:paraId="56F9B0B7"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"https://www.ncbi.nlm.nih.gov/core/lw/2.0/html/tileshop_pmc/tileshop_pmc_inline.html?title=Figure%202.%20Evolution%20of%20SRs%20including%20GR.&amp;p=BOOKS&amp;id=279171_glucocort-receptor_GR-Figure-2.jpg" \o "Click on image to zoom" \t "tileshopwindow" </w:instrText>
      </w:r>
      <w:r w:rsidRPr="00AF6446">
        <w:rPr>
          <w:rFonts w:eastAsia="Times New Roman" w:cs="Arial"/>
          <w:szCs w:val="22"/>
        </w:rPr>
        <w:fldChar w:fldCharType="separate"/>
      </w:r>
    </w:p>
    <w:p w14:paraId="599A3FA3" w14:textId="0A723761"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1D8CBB1C" wp14:editId="42C9418E">
            <wp:extent cx="6292746" cy="3838575"/>
            <wp:effectExtent l="0" t="0" r="0" b="0"/>
            <wp:docPr id="22" name="Picture 22" descr="Figure 2. Evolution of SRs including GR.">
              <a:hlinkClick xmlns:a="http://schemas.openxmlformats.org/drawingml/2006/main" r:id="rId11"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2. Evolution of SRs including GR.">
                      <a:hlinkClick r:id="rId11" tgtFrame="&quot;tileshopwindow&quot;" tooltip="&quot;Click on image to zoom&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0800" cy="3855688"/>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2. Evolution of SRs including GR.</w:t>
      </w:r>
      <w:r w:rsidR="00EE2D13">
        <w:rPr>
          <w:rFonts w:eastAsia="Times New Roman" w:cs="Arial"/>
          <w:b/>
          <w:bCs/>
          <w:szCs w:val="22"/>
        </w:rPr>
        <w:t xml:space="preserve"> </w:t>
      </w:r>
      <w:r w:rsidRPr="00AF6446">
        <w:rPr>
          <w:rFonts w:eastAsia="Times New Roman" w:cs="Arial"/>
          <w:b/>
          <w:bCs/>
          <w:szCs w:val="22"/>
        </w:rPr>
        <w:t>A: Appearance of the SR member receptors through evolution of the chordate lineage.</w:t>
      </w:r>
      <w:r w:rsidR="00EE2D13">
        <w:rPr>
          <w:rFonts w:eastAsia="Times New Roman" w:cs="Arial"/>
          <w:b/>
          <w:bCs/>
          <w:szCs w:val="22"/>
        </w:rPr>
        <w:t xml:space="preserve"> </w:t>
      </w:r>
      <w:r w:rsidRPr="00AF6446">
        <w:rPr>
          <w:rFonts w:eastAsia="Times New Roman" w:cs="Arial"/>
          <w:b/>
          <w:bCs/>
          <w:szCs w:val="22"/>
        </w:rPr>
        <w:t>The first ancestral SR, which is close to the current ER, appeared ~540 million years ago. At lamprey, 3 receptors, ER, PR and CR, emerged. From the ray-finned fishes, all SR members, ER, PR, AR, GR and MR, appeared. Modified from (14).</w:t>
      </w:r>
      <w:r w:rsidR="00EE2D13">
        <w:rPr>
          <w:rFonts w:eastAsia="Times New Roman" w:cs="Arial"/>
          <w:b/>
          <w:bCs/>
          <w:szCs w:val="22"/>
        </w:rPr>
        <w:t xml:space="preserve"> </w:t>
      </w:r>
      <w:r w:rsidRPr="00AF6446">
        <w:rPr>
          <w:rFonts w:eastAsia="Times New Roman" w:cs="Arial"/>
          <w:b/>
          <w:bCs/>
          <w:szCs w:val="22"/>
        </w:rPr>
        <w:t>B: Phylogeny of the SR family genes.</w:t>
      </w:r>
      <w:r w:rsidR="00EE2D13">
        <w:rPr>
          <w:rFonts w:eastAsia="Times New Roman" w:cs="Arial"/>
          <w:b/>
          <w:bCs/>
          <w:szCs w:val="22"/>
        </w:rPr>
        <w:t xml:space="preserve"> </w:t>
      </w:r>
      <w:r w:rsidRPr="00AF6446">
        <w:rPr>
          <w:rFonts w:eastAsia="Times New Roman" w:cs="Arial"/>
          <w:b/>
          <w:bCs/>
          <w:szCs w:val="22"/>
        </w:rPr>
        <w:t>Current human SRs including GR were generated through several gene duplications (shown as orange squares). Appearance of the ancestral (Anc) SR1, SR2 and CR are shown with arrows in the phylogeny tree. Blue lines indicate the lamprey-gnathostome divergence. Modified from (10).</w:t>
      </w:r>
    </w:p>
    <w:p w14:paraId="756BBB79" w14:textId="77777777" w:rsidR="00290B68" w:rsidRPr="00AF6446" w:rsidRDefault="00290B68" w:rsidP="00AF6446">
      <w:pPr>
        <w:shd w:val="clear" w:color="auto" w:fill="FFFFFF"/>
        <w:rPr>
          <w:rFonts w:eastAsia="Times New Roman" w:cs="Arial"/>
          <w:b/>
          <w:bCs/>
          <w:szCs w:val="22"/>
        </w:rPr>
      </w:pPr>
    </w:p>
    <w:p w14:paraId="0D8836B8" w14:textId="4D98A214" w:rsidR="00290B68" w:rsidRPr="00AF6446" w:rsidRDefault="00290B68" w:rsidP="00AF6446">
      <w:pPr>
        <w:shd w:val="clear" w:color="auto" w:fill="FFFFFF"/>
        <w:rPr>
          <w:rFonts w:eastAsia="Times New Roman" w:cs="Arial"/>
          <w:szCs w:val="22"/>
        </w:rPr>
      </w:pPr>
      <w:r w:rsidRPr="00AF6446">
        <w:rPr>
          <w:rFonts w:eastAsia="Times New Roman" w:cs="Arial"/>
          <w:szCs w:val="22"/>
        </w:rPr>
        <w:t>The GR and its closest family member MR, both descend from duplication of the ancestral CR (</w:t>
      </w:r>
      <w:r w:rsidRPr="00AF6446">
        <w:rPr>
          <w:rFonts w:eastAsia="Times New Roman" w:cs="Arial"/>
          <w:i/>
          <w:iCs/>
          <w:szCs w:val="22"/>
        </w:rPr>
        <w:t>AncCR</w:t>
      </w:r>
      <w:r w:rsidRPr="00AF6446">
        <w:rPr>
          <w:rFonts w:eastAsia="Times New Roman" w:cs="Arial"/>
          <w:szCs w:val="22"/>
        </w:rPr>
        <w:t>) gene, and emerged in the vertebrate lineage approximately 450 million years ago (</w:t>
      </w:r>
      <w:r w:rsidR="00116372" w:rsidRPr="00AF6446">
        <w:rPr>
          <w:rFonts w:eastAsia="Times New Roman" w:cs="Arial"/>
          <w:szCs w:val="22"/>
        </w:rPr>
        <w:t>12,</w:t>
      </w:r>
      <w:r w:rsidRPr="00AF6446">
        <w:rPr>
          <w:rFonts w:eastAsia="Times New Roman" w:cs="Arial"/>
          <w:szCs w:val="22"/>
        </w:rPr>
        <w:t>15) (Figure 2B). The GR is activated by cortisol, while the MR is activated by aldosterone in tetrapods and by deoxycorticosterone (DOC) in teleosts. The MR is also sensitive to cortisol, though considerably less so than to aldosterone and DOC (</w:t>
      </w:r>
      <w:r w:rsidR="00116372" w:rsidRPr="00AF6446">
        <w:rPr>
          <w:rFonts w:eastAsia="Times New Roman" w:cs="Arial"/>
          <w:szCs w:val="22"/>
        </w:rPr>
        <w:t>12,</w:t>
      </w:r>
      <w:r w:rsidRPr="00AF6446">
        <w:rPr>
          <w:rFonts w:eastAsia="Times New Roman" w:cs="Arial"/>
          <w:szCs w:val="22"/>
        </w:rPr>
        <w:t>15). Like the MR, the AncCR is sensitive to aldosterone, DOC and cortisol, indicating that the specificity of GR for cortisol is evolutionarily derived (</w:t>
      </w:r>
      <w:r w:rsidR="00116372" w:rsidRPr="00AF6446">
        <w:rPr>
          <w:rFonts w:eastAsia="Times New Roman" w:cs="Arial"/>
          <w:szCs w:val="22"/>
        </w:rPr>
        <w:t>12,</w:t>
      </w:r>
      <w:r w:rsidRPr="00AF6446">
        <w:rPr>
          <w:rFonts w:eastAsia="Times New Roman" w:cs="Arial"/>
          <w:szCs w:val="22"/>
        </w:rPr>
        <w:t>15).</w:t>
      </w:r>
    </w:p>
    <w:p w14:paraId="50AF0AB2" w14:textId="77777777" w:rsidR="00290B68" w:rsidRPr="00AF6446" w:rsidRDefault="00290B68" w:rsidP="00AF6446">
      <w:pPr>
        <w:shd w:val="clear" w:color="auto" w:fill="FFFFFF"/>
        <w:rPr>
          <w:rFonts w:eastAsia="Times New Roman" w:cs="Arial"/>
          <w:szCs w:val="22"/>
        </w:rPr>
      </w:pPr>
    </w:p>
    <w:p w14:paraId="3DA7F6E7" w14:textId="663A3FF4" w:rsidR="00290B68" w:rsidRPr="00AF6446" w:rsidRDefault="00290B68" w:rsidP="00AF6446">
      <w:pPr>
        <w:shd w:val="clear" w:color="auto" w:fill="FFFFFF"/>
        <w:rPr>
          <w:rFonts w:eastAsia="Times New Roman" w:cs="Arial"/>
          <w:szCs w:val="22"/>
        </w:rPr>
      </w:pPr>
      <w:r w:rsidRPr="00AF6446">
        <w:rPr>
          <w:rFonts w:eastAsia="Times New Roman" w:cs="Arial"/>
          <w:szCs w:val="22"/>
        </w:rPr>
        <w:t>To determine how the preference of the GR for cortisol evolved, Ortlund </w:t>
      </w:r>
      <w:r w:rsidRPr="00AF6446">
        <w:rPr>
          <w:rFonts w:eastAsia="Times New Roman" w:cs="Arial"/>
          <w:i/>
          <w:iCs/>
          <w:szCs w:val="22"/>
        </w:rPr>
        <w:t>et al.</w:t>
      </w:r>
      <w:r w:rsidRPr="00AF6446">
        <w:rPr>
          <w:rFonts w:eastAsia="Times New Roman" w:cs="Arial"/>
          <w:szCs w:val="22"/>
        </w:rPr>
        <w:t xml:space="preserve"> identified substitutions that occurred during the same period as the shift in GR function (16). Using maximum likelihood phylogenetics, he revealed that GR retained AncCR’s sensitivity to aldosterone, DOC and cortisol, from the common ancestor of all jawed vertebrates, but the GR from the common ancestor of bony vertebrates obtained a phenotype like that of the current </w:t>
      </w:r>
      <w:r w:rsidRPr="00AF6446">
        <w:rPr>
          <w:rFonts w:eastAsia="Times New Roman" w:cs="Arial"/>
          <w:szCs w:val="22"/>
        </w:rPr>
        <w:lastRenderedPageBreak/>
        <w:t>GRs that respond only to cortisol. These findings indicate that the specificity of GR for cortisol evolved during the interval between these two speciation events, approximately 420 to 440 million years ago (16). Amino acid substitutions found in the modern GR compared to AncGR are not a consequence of the direct introduction of corresponding nucleotide changes, but supported by permissive mutations that enabled the intermediate receptor to tolerate insertion of the final substitutions (17).</w:t>
      </w:r>
    </w:p>
    <w:p w14:paraId="63B4660E" w14:textId="77777777" w:rsidR="00290B68" w:rsidRPr="00AF6446" w:rsidRDefault="00290B68" w:rsidP="00AF6446">
      <w:pPr>
        <w:shd w:val="clear" w:color="auto" w:fill="FFFFFF"/>
        <w:rPr>
          <w:rFonts w:eastAsia="Times New Roman" w:cs="Arial"/>
          <w:szCs w:val="22"/>
        </w:rPr>
      </w:pPr>
    </w:p>
    <w:p w14:paraId="3BCDBD44" w14:textId="77777777" w:rsidR="00290B68" w:rsidRPr="00AF6446" w:rsidRDefault="00290B68" w:rsidP="00AF6446">
      <w:pPr>
        <w:shd w:val="clear" w:color="auto" w:fill="FFFFFF"/>
        <w:rPr>
          <w:rFonts w:eastAsia="Times New Roman" w:cs="Arial"/>
          <w:szCs w:val="22"/>
        </w:rPr>
      </w:pPr>
      <w:r w:rsidRPr="00AF6446">
        <w:rPr>
          <w:rFonts w:eastAsia="Times New Roman" w:cs="Arial"/>
          <w:szCs w:val="22"/>
        </w:rPr>
        <w:t>Teleosts, one of the 3 subgroups of ray-finned fishes that covers most of the living fishes today, underwent an additional gene duplication event about 350 million years ago (18). Thus, all fishes that belong to this subclass, including carp and rainbow trout, have 2 </w:t>
      </w:r>
      <w:r w:rsidRPr="00AF6446">
        <w:rPr>
          <w:rFonts w:eastAsia="Times New Roman" w:cs="Arial"/>
          <w:i/>
          <w:iCs/>
          <w:szCs w:val="22"/>
        </w:rPr>
        <w:t>GR</w:t>
      </w:r>
      <w:r w:rsidRPr="00AF6446">
        <w:rPr>
          <w:rFonts w:eastAsia="Times New Roman" w:cs="Arial"/>
          <w:szCs w:val="22"/>
        </w:rPr>
        <w:t> genes (GR1 and 2 in rainbow trout). However, zebrafish has only one </w:t>
      </w:r>
      <w:r w:rsidRPr="00AF6446">
        <w:rPr>
          <w:rFonts w:eastAsia="Times New Roman" w:cs="Arial"/>
          <w:i/>
          <w:iCs/>
          <w:szCs w:val="22"/>
        </w:rPr>
        <w:t>GR</w:t>
      </w:r>
      <w:r w:rsidRPr="00AF6446">
        <w:rPr>
          <w:rFonts w:eastAsia="Times New Roman" w:cs="Arial"/>
          <w:szCs w:val="22"/>
        </w:rPr>
        <w:t> gene in contrast to the other teleost families, because this species lost the 2</w:t>
      </w:r>
      <w:r w:rsidRPr="00AF6446">
        <w:rPr>
          <w:rFonts w:eastAsia="Times New Roman" w:cs="Arial"/>
          <w:szCs w:val="22"/>
          <w:vertAlign w:val="superscript"/>
        </w:rPr>
        <w:t>nd</w:t>
      </w:r>
      <w:r w:rsidRPr="00AF6446">
        <w:rPr>
          <w:rFonts w:eastAsia="Times New Roman" w:cs="Arial"/>
          <w:szCs w:val="22"/>
        </w:rPr>
        <w:t> </w:t>
      </w:r>
      <w:r w:rsidRPr="00AF6446">
        <w:rPr>
          <w:rFonts w:eastAsia="Times New Roman" w:cs="Arial"/>
          <w:i/>
          <w:iCs/>
          <w:szCs w:val="22"/>
        </w:rPr>
        <w:t>GR</w:t>
      </w:r>
      <w:r w:rsidRPr="00AF6446">
        <w:rPr>
          <w:rFonts w:eastAsia="Times New Roman" w:cs="Arial"/>
          <w:szCs w:val="22"/>
        </w:rPr>
        <w:t> gene sometime during the last 33 million years (18).</w:t>
      </w:r>
    </w:p>
    <w:p w14:paraId="799BF023" w14:textId="04A7FE26"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 </w:t>
      </w:r>
    </w:p>
    <w:p w14:paraId="52E504AB" w14:textId="77777777" w:rsidR="00290B68" w:rsidRPr="008063DA" w:rsidRDefault="00290B68" w:rsidP="00EE2D13">
      <w:pPr>
        <w:shd w:val="clear" w:color="auto" w:fill="FFFFFF"/>
        <w:outlineLvl w:val="1"/>
        <w:rPr>
          <w:rFonts w:eastAsia="Times New Roman" w:cs="Arial"/>
          <w:b/>
          <w:bCs/>
          <w:color w:val="0070C0"/>
          <w:szCs w:val="22"/>
        </w:rPr>
      </w:pPr>
      <w:r w:rsidRPr="008063DA">
        <w:rPr>
          <w:rFonts w:eastAsia="Times New Roman" w:cs="Arial"/>
          <w:b/>
          <w:bCs/>
          <w:color w:val="0070C0"/>
          <w:szCs w:val="22"/>
        </w:rPr>
        <w:t>STRUCTURE OF THE HUMAN </w:t>
      </w:r>
      <w:r w:rsidRPr="008063DA">
        <w:rPr>
          <w:rFonts w:eastAsia="Times New Roman" w:cs="Arial"/>
          <w:b/>
          <w:bCs/>
          <w:i/>
          <w:iCs/>
          <w:color w:val="0070C0"/>
          <w:szCs w:val="22"/>
        </w:rPr>
        <w:t>GR</w:t>
      </w:r>
      <w:r w:rsidRPr="008063DA">
        <w:rPr>
          <w:rFonts w:eastAsia="Times New Roman" w:cs="Arial"/>
          <w:b/>
          <w:bCs/>
          <w:color w:val="0070C0"/>
          <w:szCs w:val="22"/>
        </w:rPr>
        <w:t> GENE AND PROTEIN</w:t>
      </w:r>
    </w:p>
    <w:p w14:paraId="575B2035" w14:textId="77777777" w:rsidR="00290B68" w:rsidRPr="00AF6446" w:rsidRDefault="00290B68" w:rsidP="00EE2D13">
      <w:pPr>
        <w:shd w:val="clear" w:color="auto" w:fill="FFFFFF"/>
        <w:outlineLvl w:val="1"/>
        <w:rPr>
          <w:rFonts w:eastAsia="Times New Roman" w:cs="Arial"/>
          <w:b/>
          <w:bCs/>
          <w:szCs w:val="22"/>
        </w:rPr>
      </w:pPr>
    </w:p>
    <w:p w14:paraId="2E07AC30" w14:textId="7ADFBDEA" w:rsidR="00290B68" w:rsidRDefault="00290B68" w:rsidP="00EE2D13">
      <w:pPr>
        <w:shd w:val="clear" w:color="auto" w:fill="FFFFFF"/>
        <w:outlineLvl w:val="1"/>
        <w:rPr>
          <w:rFonts w:eastAsia="Times New Roman" w:cs="Arial"/>
          <w:szCs w:val="22"/>
        </w:rPr>
      </w:pPr>
      <w:r w:rsidRPr="00AF6446">
        <w:rPr>
          <w:rFonts w:eastAsia="Times New Roman" w:cs="Arial"/>
          <w:szCs w:val="22"/>
        </w:rPr>
        <w:t>All SRs including GR display a modular structure comprised of five to six regions (A-F): the amino-terminal A/B region, also called immunogenic or N-terminal domain (NTD), and the C and E regions, which correspond to the DNA- (DBD) and ligand-binding (LBD) domains, respectively (</w:t>
      </w:r>
      <w:hyperlink r:id="rId13" w:tgtFrame="object" w:history="1">
        <w:r w:rsidRPr="00F47850">
          <w:rPr>
            <w:rFonts w:eastAsia="Times New Roman" w:cs="Arial"/>
            <w:szCs w:val="22"/>
          </w:rPr>
          <w:t>Figure 3</w:t>
        </w:r>
      </w:hyperlink>
      <w:r w:rsidRPr="00AF6446">
        <w:rPr>
          <w:rFonts w:eastAsia="Times New Roman" w:cs="Arial"/>
          <w:szCs w:val="22"/>
        </w:rPr>
        <w:t>). D region represents the hinge region (HR), while F region is located in the C-terminal end of the NRs with high variability. GR does not have a F region. The GR cDNA was isolated by expression cloning in 1985 (19). The human </w:t>
      </w:r>
      <w:r w:rsidRPr="00AF6446">
        <w:rPr>
          <w:rFonts w:eastAsia="Times New Roman" w:cs="Arial"/>
          <w:i/>
          <w:iCs/>
          <w:szCs w:val="22"/>
        </w:rPr>
        <w:t>GR</w:t>
      </w:r>
      <w:r w:rsidRPr="00AF6446">
        <w:rPr>
          <w:rFonts w:eastAsia="Times New Roman" w:cs="Arial"/>
          <w:szCs w:val="22"/>
        </w:rPr>
        <w:t> gene consists of 9 exons and is located in the long arm of the chromosome 5 (5q31.3) in an inverse orientation and spanning ~160 kbs. Alternative splicing of the human </w:t>
      </w:r>
      <w:r w:rsidRPr="00AF6446">
        <w:rPr>
          <w:rFonts w:eastAsia="Times New Roman" w:cs="Arial"/>
          <w:i/>
          <w:iCs/>
          <w:szCs w:val="22"/>
        </w:rPr>
        <w:t>GR</w:t>
      </w:r>
      <w:r w:rsidRPr="00AF6446">
        <w:rPr>
          <w:rFonts w:eastAsia="Times New Roman" w:cs="Arial"/>
          <w:szCs w:val="22"/>
        </w:rPr>
        <w:t xml:space="preserve"> gene in exon 9 generates two highly homologous receptor isoforms, termed a and b. These are identical through amino acid 727, but then diverge, with human GRa having an additional 50 amino acids and human GRb having an additional, nonhomologous 15 amino acids (20). The molecular weights of these receptor isoforms are 97 and 94 kilo-Dalton, respectively. Human GRa is expressed virtually </w:t>
      </w:r>
      <w:r w:rsidR="00F34D85" w:rsidRPr="00AF6446">
        <w:rPr>
          <w:rFonts w:eastAsia="Times New Roman" w:cs="Arial"/>
          <w:szCs w:val="22"/>
        </w:rPr>
        <w:t xml:space="preserve">in </w:t>
      </w:r>
      <w:r w:rsidR="00E40315" w:rsidRPr="00AF6446">
        <w:rPr>
          <w:rFonts w:eastAsia="Times New Roman" w:cs="Arial"/>
          <w:szCs w:val="22"/>
        </w:rPr>
        <w:t>all organs and tissues,</w:t>
      </w:r>
      <w:r w:rsidRPr="00AF6446">
        <w:rPr>
          <w:rFonts w:eastAsia="Times New Roman" w:cs="Arial"/>
          <w:szCs w:val="22"/>
        </w:rPr>
        <w:t xml:space="preserve"> resides primarily in the cytoplasm, and represents the classic glucocorticoid receptor that functions as a ligand-dependent transcription factor. Human GRb, also expressed ubiquitously, does not bind glucocorticoid agonists and functions as a dominant negative receptor for GRa-induced transcriptional activity (see Section </w:t>
      </w:r>
      <w:r w:rsidRPr="00AF6446">
        <w:rPr>
          <w:rFonts w:eastAsia="Times New Roman" w:cs="Arial"/>
          <w:b/>
          <w:bCs/>
          <w:szCs w:val="22"/>
        </w:rPr>
        <w:t xml:space="preserve">7. </w:t>
      </w:r>
      <w:r w:rsidRPr="00EE2D13">
        <w:rPr>
          <w:rFonts w:eastAsia="Times New Roman" w:cs="Arial"/>
          <w:szCs w:val="22"/>
        </w:rPr>
        <w:t>THE SPLI</w:t>
      </w:r>
      <w:r w:rsidR="000524AB" w:rsidRPr="00EE2D13">
        <w:rPr>
          <w:rFonts w:eastAsia="Times New Roman" w:cs="Arial"/>
          <w:szCs w:val="22"/>
        </w:rPr>
        <w:t>CE</w:t>
      </w:r>
      <w:r w:rsidRPr="00EE2D13">
        <w:rPr>
          <w:rFonts w:eastAsia="Times New Roman" w:cs="Arial"/>
          <w:szCs w:val="22"/>
        </w:rPr>
        <w:t xml:space="preserve"> VARIANT GR</w:t>
      </w:r>
      <w:r w:rsidR="000524AB" w:rsidRPr="00EE2D13">
        <w:rPr>
          <w:rFonts w:eastAsia="Times New Roman" w:cs="Arial"/>
          <w:szCs w:val="22"/>
        </w:rPr>
        <w:t>-</w:t>
      </w:r>
      <w:r w:rsidRPr="00EE2D13">
        <w:rPr>
          <w:rFonts w:eastAsia="Times New Roman" w:cs="Arial"/>
          <w:szCs w:val="22"/>
        </w:rPr>
        <w:t>b</w:t>
      </w:r>
      <w:r w:rsidR="000524AB" w:rsidRPr="00EE2D13">
        <w:rPr>
          <w:rFonts w:eastAsia="Times New Roman" w:cs="Arial"/>
          <w:szCs w:val="22"/>
        </w:rPr>
        <w:t>eta</w:t>
      </w:r>
      <w:r w:rsidRPr="00EE2D13">
        <w:rPr>
          <w:rFonts w:eastAsia="Times New Roman" w:cs="Arial"/>
          <w:szCs w:val="22"/>
        </w:rPr>
        <w:t> ISOFORM</w:t>
      </w:r>
      <w:r w:rsidRPr="00AF6446">
        <w:rPr>
          <w:rFonts w:eastAsia="Times New Roman" w:cs="Arial"/>
          <w:szCs w:val="22"/>
        </w:rPr>
        <w:t>) (21).</w:t>
      </w:r>
    </w:p>
    <w:p w14:paraId="7485AE38" w14:textId="4779900E" w:rsidR="00EE2D13" w:rsidRDefault="00EE2D13" w:rsidP="00EE2D13">
      <w:pPr>
        <w:shd w:val="clear" w:color="auto" w:fill="FFFFFF"/>
        <w:outlineLvl w:val="1"/>
        <w:rPr>
          <w:rFonts w:eastAsia="Times New Roman" w:cs="Arial"/>
          <w:szCs w:val="22"/>
        </w:rPr>
      </w:pPr>
    </w:p>
    <w:p w14:paraId="508CA78D" w14:textId="445C8FDB" w:rsidR="00290B68" w:rsidRPr="00AF6446" w:rsidRDefault="00290B68" w:rsidP="00EE2D13">
      <w:pP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203.%20Genomic%20and%20complementary%20DNA%20and%20protein%20structures%20of%20the%20human%20(h)%20GR%20with%20its%20functional%20distribution%2C%20and%20the%20isoform%20produced%20through%20alternative%20splicing.&amp;p=BOOKS&amp;id=279171_glucocort-receptor_GR-Figure-3.jpg" \o "Click on image to zoom" \t "tileshopwindow" </w:instrText>
      </w:r>
      <w:r w:rsidRPr="00AF6446">
        <w:rPr>
          <w:rFonts w:eastAsia="Times New Roman" w:cs="Arial"/>
          <w:szCs w:val="22"/>
        </w:rPr>
        <w:fldChar w:fldCharType="separate"/>
      </w:r>
    </w:p>
    <w:p w14:paraId="0AC877E5" w14:textId="5E1D0A5E" w:rsidR="00290B68" w:rsidRPr="00AF6446" w:rsidRDefault="00290B68" w:rsidP="00EE2D13">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1469ACB9" wp14:editId="286969F6">
            <wp:extent cx="6328197" cy="3686175"/>
            <wp:effectExtent l="0" t="0" r="0" b="0"/>
            <wp:docPr id="23" name="Picture 23" descr="Figure 3. Genomic and complementary DNA and protein structures of the human (h) GR with its functional distribution, and the isoform produced through alternative splicing.">
              <a:hlinkClick xmlns:a="http://schemas.openxmlformats.org/drawingml/2006/main" r:id="rId14"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3. Genomic and complementary DNA and protein structures of the human (h) GR with its functional distribution, and the isoform produced through alternative splicing.">
                      <a:hlinkClick r:id="rId14" tgtFrame="&quot;tileshopwindow&quot;" tooltip="&quot;Click on image to zoom&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9359" cy="3715977"/>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3. Genomic and complementary DNA and protein structures of the human (h) GR with its functional distribution, and the isoform</w:t>
      </w:r>
      <w:r w:rsidR="00E40315" w:rsidRPr="00AF6446">
        <w:rPr>
          <w:rFonts w:eastAsia="Times New Roman" w:cs="Arial"/>
          <w:b/>
          <w:bCs/>
          <w:szCs w:val="22"/>
        </w:rPr>
        <w:t>s</w:t>
      </w:r>
      <w:r w:rsidRPr="00AF6446">
        <w:rPr>
          <w:rFonts w:eastAsia="Times New Roman" w:cs="Arial"/>
          <w:b/>
          <w:bCs/>
          <w:szCs w:val="22"/>
        </w:rPr>
        <w:t xml:space="preserve"> produced through alternative splicing.</w:t>
      </w:r>
    </w:p>
    <w:p w14:paraId="4EB9710C" w14:textId="4E392DD6" w:rsidR="00290B68" w:rsidRPr="00AF6446" w:rsidRDefault="00290B68" w:rsidP="00AF6446">
      <w:pPr>
        <w:shd w:val="clear" w:color="auto" w:fill="FFFFFF"/>
        <w:rPr>
          <w:rFonts w:eastAsia="Times New Roman" w:cs="Arial"/>
          <w:b/>
          <w:szCs w:val="22"/>
        </w:rPr>
      </w:pPr>
      <w:r w:rsidRPr="00AF6446">
        <w:rPr>
          <w:rFonts w:eastAsia="Times New Roman" w:cs="Arial"/>
          <w:b/>
          <w:szCs w:val="22"/>
        </w:rPr>
        <w:t xml:space="preserve">The hGR (NR3C1) gene consists of 10 exons. Exon 1 is an untranslated region (UTR), exon 2 </w:t>
      </w:r>
      <w:r w:rsidR="00D37FDF" w:rsidRPr="00AF6446">
        <w:rPr>
          <w:rFonts w:eastAsia="Times New Roman" w:cs="Arial"/>
          <w:b/>
          <w:szCs w:val="22"/>
        </w:rPr>
        <w:t>en</w:t>
      </w:r>
      <w:r w:rsidRPr="00AF6446">
        <w:rPr>
          <w:rFonts w:eastAsia="Times New Roman" w:cs="Arial"/>
          <w:b/>
          <w:szCs w:val="22"/>
        </w:rPr>
        <w:t>codes for NTD (A/B), exon 3 and 4 for DBD (C), and exons 5-9 for the hinge region (D) and LBD (E). GR does not have an F region in contrast to the other steroid hormone receptors. The GR (NR3C1) gene contains two terminal exons 9 (exon 9 and 9) alternatively spliced to produce the classic GR and the nonligand-binding GR isoform. C-terminal gray-colored domains in GR and GR show their specific portions. Locations of several functional domains are also indicated.</w:t>
      </w:r>
      <w:r w:rsidR="00EE2D13">
        <w:rPr>
          <w:rFonts w:eastAsia="Times New Roman" w:cs="Arial"/>
          <w:b/>
          <w:szCs w:val="22"/>
        </w:rPr>
        <w:t xml:space="preserve"> </w:t>
      </w:r>
      <w:r w:rsidRPr="00AF6446">
        <w:rPr>
          <w:rFonts w:eastAsia="Times New Roman" w:cs="Arial"/>
          <w:b/>
          <w:szCs w:val="22"/>
        </w:rPr>
        <w:t>AF-1 and -2: activation function-1 and -2; DBD; DNA-binding domain; HD: hinge region; LBD: Ligand-binding domain; NTD: N-terminal domain, NL1 and 2: Nuclear translocation signal 1 and 2.</w:t>
      </w:r>
    </w:p>
    <w:p w14:paraId="22942E58" w14:textId="77777777" w:rsidR="00290B68" w:rsidRPr="00AF6446" w:rsidRDefault="00290B68" w:rsidP="00AF6446">
      <w:pPr>
        <w:shd w:val="clear" w:color="auto" w:fill="FFFFFF"/>
        <w:rPr>
          <w:rFonts w:eastAsia="Times New Roman" w:cs="Arial"/>
          <w:szCs w:val="22"/>
        </w:rPr>
      </w:pPr>
    </w:p>
    <w:p w14:paraId="3B32AFFA" w14:textId="6BF92CC5" w:rsidR="00290B68" w:rsidRPr="00AF6446" w:rsidRDefault="00290B68" w:rsidP="00AF6446">
      <w:pPr>
        <w:shd w:val="clear" w:color="auto" w:fill="FFFFFF"/>
        <w:rPr>
          <w:rFonts w:eastAsia="Times New Roman" w:cs="Arial"/>
          <w:szCs w:val="22"/>
        </w:rPr>
      </w:pPr>
      <w:r w:rsidRPr="00AF6446">
        <w:rPr>
          <w:rFonts w:eastAsia="Times New Roman" w:cs="Arial"/>
          <w:szCs w:val="22"/>
        </w:rPr>
        <w:t>The N-terminal domain (NTD) of GRa contains a major transactivation domain, termed activation function (AF)-1, which is located between amino acids 77 and 262 of the human GRa (22,23). AF-1 belongs to a group of acidic activators, such as VP16, nuclear factor of kB (NF-kB), p65 and p53, contains four a-helices, and plays an important role in the c</w:t>
      </w:r>
      <w:r w:rsidR="00F91371" w:rsidRPr="00AF6446">
        <w:rPr>
          <w:rFonts w:eastAsia="Times New Roman" w:cs="Arial"/>
          <w:szCs w:val="22"/>
        </w:rPr>
        <w:t>ommunication between the receptor</w:t>
      </w:r>
      <w:r w:rsidRPr="00AF6446">
        <w:rPr>
          <w:rFonts w:eastAsia="Times New Roman" w:cs="Arial"/>
          <w:szCs w:val="22"/>
        </w:rPr>
        <w:t xml:space="preserve"> and molecules necessary for the init</w:t>
      </w:r>
      <w:r w:rsidR="00F91371" w:rsidRPr="00AF6446">
        <w:rPr>
          <w:rFonts w:eastAsia="Times New Roman" w:cs="Arial"/>
          <w:szCs w:val="22"/>
        </w:rPr>
        <w:t>iation of transcription, including</w:t>
      </w:r>
      <w:r w:rsidRPr="00AF6446">
        <w:rPr>
          <w:rFonts w:eastAsia="Times New Roman" w:cs="Arial"/>
          <w:szCs w:val="22"/>
        </w:rPr>
        <w:t xml:space="preserve"> coactivators, chromatin modulators and basal t</w:t>
      </w:r>
      <w:r w:rsidR="00745393" w:rsidRPr="00AF6446">
        <w:rPr>
          <w:rFonts w:eastAsia="Times New Roman" w:cs="Arial"/>
          <w:szCs w:val="22"/>
        </w:rPr>
        <w:t>ranscription factors [</w:t>
      </w:r>
      <w:r w:rsidRPr="00AF6446">
        <w:rPr>
          <w:rFonts w:eastAsia="Times New Roman" w:cs="Arial"/>
          <w:szCs w:val="22"/>
        </w:rPr>
        <w:t>RNA polymerase II, TATA-binding protein (TBP) and a host of TBP-associated proteins (TAFIIs)</w:t>
      </w:r>
      <w:r w:rsidR="00745393" w:rsidRPr="00AF6446">
        <w:rPr>
          <w:rFonts w:eastAsia="Times New Roman" w:cs="Arial"/>
          <w:szCs w:val="22"/>
        </w:rPr>
        <w:t>]</w:t>
      </w:r>
      <w:r w:rsidRPr="00AF6446">
        <w:rPr>
          <w:rFonts w:eastAsia="Times New Roman" w:cs="Arial"/>
          <w:szCs w:val="22"/>
        </w:rPr>
        <w:t xml:space="preserve"> (24). GRa AF-1 is relatively unfolded at the basal state, while it forms a significantly complex helical structure in response to binding to cofactors, such as TBP and p160 coactivators (25,26). TBP-induced conformational change in AF-1 facilitates association of this domain to a p160 coactivator (27).</w:t>
      </w:r>
    </w:p>
    <w:p w14:paraId="0F0C034A" w14:textId="77777777" w:rsidR="002C21A7" w:rsidRDefault="002C21A7" w:rsidP="00AF6446">
      <w:pPr>
        <w:shd w:val="clear" w:color="auto" w:fill="FFFFFF"/>
        <w:rPr>
          <w:rFonts w:eastAsia="Times New Roman" w:cs="Arial"/>
          <w:szCs w:val="22"/>
        </w:rPr>
      </w:pPr>
    </w:p>
    <w:p w14:paraId="2295E2C3" w14:textId="21F6AB08" w:rsidR="00290B68" w:rsidRPr="00AF6446" w:rsidRDefault="00290B68" w:rsidP="00AF6446">
      <w:pPr>
        <w:shd w:val="clear" w:color="auto" w:fill="FFFFFF"/>
        <w:rPr>
          <w:rFonts w:eastAsia="Times New Roman" w:cs="Arial"/>
          <w:szCs w:val="22"/>
        </w:rPr>
      </w:pPr>
      <w:r w:rsidRPr="00AF6446">
        <w:rPr>
          <w:rFonts w:eastAsia="Times New Roman" w:cs="Arial"/>
          <w:szCs w:val="22"/>
        </w:rPr>
        <w:lastRenderedPageBreak/>
        <w:t>The DNA-binding domain (DBD) of the human GRa corresponds to amino acids 420-480 and contains two C4-type zinc finger motifs through which GRa binds to specific DNA sequences, the glucocorticoid-responsive elements (GREs) (28,29). The DBD is the most highly conserved domain throughout the NR family. It has two similar zinc finger modules, each nucleated by a zinc ion coordination center held by four cysteine (C) residues and followed by a-helix (Figure 4A). The N-terminal’s first a-helix lies in the major groove of the double-stranded DNA, while the C-terminal part of the second a-helix is positioned over the minor groove (Figure 4B).</w:t>
      </w:r>
    </w:p>
    <w:p w14:paraId="6B291D9E"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"https://www.ncbi.nlm.nih.gov/core/lw/2.0/html/tileshop_pmc/tileshop_pmc_inline.html?title=Figure%204.%20Structure%20of%20GR%20DBD%20and%20its%20interaction%20with%20DNA%20GRE.&amp;p=BOOKS&amp;id=279171_glucocort-receptor_GR-Figure-4.jpg" \o "Click on image to zoom" \t "tileshopwindow" </w:instrText>
      </w:r>
      <w:r w:rsidRPr="00AF6446">
        <w:rPr>
          <w:rFonts w:eastAsia="Times New Roman" w:cs="Arial"/>
          <w:szCs w:val="22"/>
        </w:rPr>
        <w:fldChar w:fldCharType="separate"/>
      </w:r>
    </w:p>
    <w:p w14:paraId="068FE22D" w14:textId="1A2FA162"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drawing>
          <wp:inline distT="0" distB="0" distL="0" distR="0" wp14:anchorId="5BF70386" wp14:editId="1413A9F6">
            <wp:extent cx="6231296" cy="5857418"/>
            <wp:effectExtent l="0" t="0" r="0" b="0"/>
            <wp:docPr id="24" name="Picture 24" descr="Figure 4. Structure of GR DBD and its interaction with DNA GRE.">
              <a:hlinkClick xmlns:a="http://schemas.openxmlformats.org/drawingml/2006/main" r:id="rId16"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4. Structure of GR DBD and its interaction with DNA GRE.">
                      <a:hlinkClick r:id="rId16" tgtFrame="&quot;tileshopwindow&quot;" tooltip="&quot;Click on image to zoom&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619" cy="5897201"/>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4. Structure of GR DBD and its interaction with DNA GRE</w:t>
      </w:r>
      <w:r w:rsidR="00EE2D13">
        <w:rPr>
          <w:rFonts w:eastAsia="Times New Roman" w:cs="Arial"/>
          <w:b/>
          <w:bCs/>
          <w:szCs w:val="22"/>
        </w:rPr>
        <w:t xml:space="preserve">. </w:t>
      </w:r>
      <w:r w:rsidRPr="00AF6446">
        <w:rPr>
          <w:rFonts w:eastAsia="Times New Roman" w:cs="Arial"/>
          <w:b/>
          <w:bCs/>
          <w:szCs w:val="22"/>
        </w:rPr>
        <w:t xml:space="preserve">A: Zinc finger structures in DBD of hGR. Numbered eight cysteine (C) residues chelate Zn2+ to form two separate finger structures. Red-colored amino acid residues form -helical structures. Box with bold line indicates lever arm, while that with dashed line shows D-box. Modified </w:t>
      </w:r>
      <w:r w:rsidRPr="00AF6446">
        <w:rPr>
          <w:rFonts w:eastAsia="Times New Roman" w:cs="Arial"/>
          <w:b/>
          <w:bCs/>
          <w:szCs w:val="22"/>
        </w:rPr>
        <w:lastRenderedPageBreak/>
        <w:t>from (30).</w:t>
      </w:r>
      <w:r w:rsidR="00EE2D13">
        <w:rPr>
          <w:rFonts w:eastAsia="Times New Roman" w:cs="Arial"/>
          <w:b/>
          <w:bCs/>
          <w:szCs w:val="22"/>
        </w:rPr>
        <w:t xml:space="preserve"> </w:t>
      </w:r>
      <w:r w:rsidRPr="00AF6446">
        <w:rPr>
          <w:rFonts w:eastAsia="Times New Roman" w:cs="Arial"/>
          <w:b/>
          <w:bCs/>
          <w:szCs w:val="22"/>
        </w:rPr>
        <w:t>B: 3-Dimensional model of the physical interaction between the GR DBD and DNA GRE. The N-terminal’s first -helix of the GR DBD lies in the major groove of the double-stranded DNA, while the C-terminal part of the second -helix is positioned over the minor groove. The image was created and donated by Dr. D.E. Hurt (National Institute of Allergy and Infectious Diseases, NIH, Bethesda, MD)</w:t>
      </w:r>
      <w:r w:rsidR="00EE2D13">
        <w:rPr>
          <w:rFonts w:eastAsia="Times New Roman" w:cs="Arial"/>
          <w:b/>
          <w:bCs/>
          <w:szCs w:val="22"/>
        </w:rPr>
        <w:t xml:space="preserve">. </w:t>
      </w:r>
      <w:r w:rsidRPr="00AF6446">
        <w:rPr>
          <w:rFonts w:eastAsia="Times New Roman" w:cs="Arial"/>
          <w:b/>
          <w:bCs/>
          <w:szCs w:val="22"/>
        </w:rPr>
        <w:t>Box with bold line indicates lever arm, while that with dashed line shows D-box. Modified from (30).</w:t>
      </w:r>
    </w:p>
    <w:p w14:paraId="7271F01A" w14:textId="77777777" w:rsidR="00290B68" w:rsidRPr="00AF6446" w:rsidRDefault="00290B68" w:rsidP="00AF6446">
      <w:pPr>
        <w:shd w:val="clear" w:color="auto" w:fill="FFFFFF"/>
        <w:rPr>
          <w:rFonts w:eastAsia="Times New Roman" w:cs="Arial"/>
          <w:szCs w:val="22"/>
        </w:rPr>
      </w:pPr>
    </w:p>
    <w:p w14:paraId="089150DA" w14:textId="5164F67B"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t>The ligand-binding domain (LBD) of the human GRa corresponds to amino acids 481-777, binds to glucocorticoids</w:t>
      </w:r>
      <w:r w:rsidR="00A97E39" w:rsidRPr="00AF6446">
        <w:rPr>
          <w:rFonts w:eastAsia="Times New Roman" w:cs="Arial"/>
          <w:szCs w:val="22"/>
        </w:rPr>
        <w:t>,</w:t>
      </w:r>
      <w:r w:rsidRPr="00AF6446">
        <w:rPr>
          <w:rFonts w:eastAsia="Times New Roman" w:cs="Arial"/>
          <w:szCs w:val="22"/>
        </w:rPr>
        <w:t xml:space="preserve"> and plays a critical role in the ligand-induced activation of GRa</w:t>
      </w:r>
      <w:r w:rsidR="000524AB" w:rsidRPr="00AF6446">
        <w:rPr>
          <w:rFonts w:eastAsia="Times New Roman" w:cs="Arial"/>
          <w:szCs w:val="22"/>
        </w:rPr>
        <w:t>lpha</w:t>
      </w:r>
      <w:r w:rsidRPr="00AF6446">
        <w:rPr>
          <w:rFonts w:eastAsia="Times New Roman" w:cs="Arial"/>
          <w:szCs w:val="22"/>
        </w:rPr>
        <w:t>. The crystal structure of the GRa</w:t>
      </w:r>
      <w:r w:rsidR="000524AB" w:rsidRPr="00AF6446">
        <w:rPr>
          <w:rFonts w:eastAsia="Times New Roman" w:cs="Arial"/>
          <w:szCs w:val="22"/>
        </w:rPr>
        <w:t>lpha</w:t>
      </w:r>
      <w:r w:rsidRPr="00AF6446">
        <w:rPr>
          <w:rFonts w:eastAsia="Times New Roman" w:cs="Arial"/>
          <w:szCs w:val="22"/>
        </w:rPr>
        <w:t xml:space="preserve"> LBD was successfully analyzed by using a point mutant containing a single replacement of phenylalanine at amino acid 602 by serine, and is comprised of 12 a-helices and 4 small β-sheets that fold into a three-layer helical domain (31) (</w:t>
      </w:r>
      <w:hyperlink r:id="rId18" w:tgtFrame="object" w:history="1">
        <w:r w:rsidRPr="00F47850">
          <w:rPr>
            <w:rFonts w:eastAsia="Times New Roman" w:cs="Arial"/>
            <w:szCs w:val="22"/>
          </w:rPr>
          <w:t>Figure 5</w:t>
        </w:r>
      </w:hyperlink>
      <w:r w:rsidRPr="00AF6446">
        <w:rPr>
          <w:rFonts w:eastAsia="Times New Roman" w:cs="Arial"/>
          <w:szCs w:val="22"/>
        </w:rPr>
        <w:t>). Helices 1 and 3 form one side of a helical sandwich, while helices 7 and 10 form the other side. The middle layer of the helices (helices 4, 5, 8, and 9) is present in the top but not the bottom half of the protein. This arrangement of helices creates a cavity in the bottom half of the LBD, which is surrounded by helices 3, 4, 11 and 12, and functions as a ligand-binding pocket (31-33). Interaction of the LBD with the heat shock protein (hsp) 90 contributes to the maintenance of the protein structure that allows LBD to associate with ligand. Ligand-binding induces a conformational change in the LBD and allows GRa to communicate with several molecules, such as importin a of the nuclear import system, components of the transcription initiation complexes and other transcription factors that mediate the ligand-dependent actions of GRa. The LBD also contains one transactivation domain, termed AF-2. The activity of AF-2 is ligand-dependent.</w:t>
      </w: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"https://www.ncbi.nlm.nih.gov/core/lw/2.0/html/tileshop_pmc/tileshop_pmc_inline.html?title=Figure%205.%20Structure%20of%20the%20GR%20LBD.&amp;p=BOOKS&amp;id=279171_glucocort-receptor_GR-Figure-5.jpg" \o "Click on image to zoom" \t "tileshopwindow" </w:instrText>
      </w:r>
      <w:r w:rsidRPr="00AF6446">
        <w:rPr>
          <w:rFonts w:eastAsia="Times New Roman" w:cs="Arial"/>
          <w:szCs w:val="22"/>
        </w:rPr>
        <w:fldChar w:fldCharType="separate"/>
      </w:r>
    </w:p>
    <w:p w14:paraId="1495C56D" w14:textId="77777777" w:rsidR="00EE2D13" w:rsidRDefault="00290B68" w:rsidP="00AF6446">
      <w:pPr>
        <w:shd w:val="clear" w:color="auto" w:fill="FFFFFF"/>
        <w:rPr>
          <w:rFonts w:eastAsia="Times New Roman" w:cs="Arial"/>
          <w:szCs w:val="22"/>
        </w:rPr>
      </w:pPr>
      <w:r w:rsidRPr="00AF6446">
        <w:rPr>
          <w:rFonts w:eastAsia="Times New Roman" w:cs="Arial"/>
          <w:noProof/>
          <w:szCs w:val="22"/>
          <w:bdr w:val="single" w:sz="6" w:space="0" w:color="C0C0C0" w:frame="1"/>
          <w:lang w:val="el-GR" w:eastAsia="el-GR"/>
        </w:rPr>
        <w:lastRenderedPageBreak/>
        <w:drawing>
          <wp:inline distT="0" distB="0" distL="0" distR="0" wp14:anchorId="2A9619D7" wp14:editId="7C18759D">
            <wp:extent cx="4794637" cy="4740697"/>
            <wp:effectExtent l="0" t="0" r="6350" b="3175"/>
            <wp:docPr id="25" name="Picture 25" descr="Figure 5. Structure of the GR LBD.">
              <a:hlinkClick xmlns:a="http://schemas.openxmlformats.org/drawingml/2006/main" r:id="rId19"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5. Structure of the GR LBD.">
                      <a:hlinkClick r:id="rId19" tgtFrame="&quot;tileshopwindow&quot;" tooltip="&quot;Click on image to zoom&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4373" cy="4799761"/>
                    </a:xfrm>
                    <a:prstGeom prst="rect">
                      <a:avLst/>
                    </a:prstGeom>
                    <a:noFill/>
                    <a:ln>
                      <a:noFill/>
                    </a:ln>
                  </pic:spPr>
                </pic:pic>
              </a:graphicData>
            </a:graphic>
          </wp:inline>
        </w:drawing>
      </w:r>
      <w:r w:rsidRPr="00AF6446">
        <w:rPr>
          <w:rFonts w:eastAsia="Times New Roman" w:cs="Arial"/>
          <w:szCs w:val="22"/>
        </w:rPr>
        <w:fldChar w:fldCharType="end"/>
      </w:r>
    </w:p>
    <w:p w14:paraId="11E9C65C" w14:textId="7BF1D173" w:rsidR="00290B68" w:rsidRPr="00AF6446" w:rsidRDefault="00290B68" w:rsidP="00AF6446">
      <w:pPr>
        <w:shd w:val="clear" w:color="auto" w:fill="FFFFFF"/>
        <w:rPr>
          <w:rFonts w:eastAsia="Times New Roman" w:cs="Arial"/>
          <w:b/>
          <w:bCs/>
          <w:szCs w:val="22"/>
        </w:rPr>
      </w:pPr>
      <w:r w:rsidRPr="00AF6446">
        <w:rPr>
          <w:rFonts w:eastAsia="Times New Roman" w:cs="Arial"/>
          <w:b/>
          <w:bCs/>
          <w:szCs w:val="22"/>
        </w:rPr>
        <w:t>Figure 5. Structure of the GR LBD.</w:t>
      </w:r>
      <w:r w:rsidR="00EE2D13">
        <w:rPr>
          <w:rFonts w:eastAsia="Times New Roman" w:cs="Arial"/>
          <w:b/>
          <w:bCs/>
          <w:szCs w:val="22"/>
        </w:rPr>
        <w:t xml:space="preserve"> </w:t>
      </w:r>
      <w:r w:rsidRPr="00AF6446">
        <w:rPr>
          <w:rFonts w:eastAsia="Times New Roman" w:cs="Arial"/>
          <w:b/>
          <w:bCs/>
          <w:szCs w:val="22"/>
        </w:rPr>
        <w:t>The GR consists of 12 -helices and 4 small β-sheets that fold into a three-layer helical domain. Helices 1 and 3 form one side of a helical sandwich, while helices 7 and 10 form the other side. The middle layer of helices 4, 5, 8, and 9 are present in the top but not in the bottom half of the protein, thus creating a ligand-binding pocket (shown as yellow star) in the bottom half of the LBD, surrounded by helices 3, 4, 11 and 12. The image was created with the MacPyMOL software using 3K22 of the RCSB Protein Data Bank (PDB) (http://www.rcsb.org/pdb/home/home.do).</w:t>
      </w:r>
    </w:p>
    <w:p w14:paraId="506B8426" w14:textId="3E18E052" w:rsidR="00290B68" w:rsidRPr="00AF6446" w:rsidRDefault="00290B68" w:rsidP="00AF6446">
      <w:pPr>
        <w:shd w:val="clear" w:color="auto" w:fill="FFFFFF"/>
        <w:rPr>
          <w:rFonts w:eastAsia="Times New Roman" w:cs="Arial"/>
          <w:szCs w:val="22"/>
        </w:rPr>
      </w:pPr>
    </w:p>
    <w:p w14:paraId="45A9B566" w14:textId="77777777" w:rsidR="00290B68" w:rsidRPr="008063DA" w:rsidRDefault="00290B68" w:rsidP="00AF6446">
      <w:pPr>
        <w:pBdr>
          <w:bottom w:val="single" w:sz="6" w:space="0" w:color="97B0C8"/>
        </w:pBdr>
        <w:shd w:val="clear" w:color="auto" w:fill="FFFFFF"/>
        <w:outlineLvl w:val="1"/>
        <w:rPr>
          <w:rFonts w:eastAsia="Times New Roman" w:cs="Arial"/>
          <w:b/>
          <w:bCs/>
          <w:color w:val="0070C0"/>
          <w:szCs w:val="22"/>
        </w:rPr>
      </w:pPr>
      <w:r w:rsidRPr="008063DA">
        <w:rPr>
          <w:rFonts w:eastAsia="Times New Roman" w:cs="Arial"/>
          <w:b/>
          <w:bCs/>
          <w:color w:val="0070C0"/>
          <w:szCs w:val="22"/>
        </w:rPr>
        <w:t>TRANSCRIPTIONAL AND TRANSLATIONAL REGULATION OF GR ISOFORMS</w:t>
      </w:r>
    </w:p>
    <w:p w14:paraId="27511104" w14:textId="77777777" w:rsidR="00290B68" w:rsidRPr="00AF6446" w:rsidRDefault="00290B68" w:rsidP="00AF6446">
      <w:pPr>
        <w:pBdr>
          <w:bottom w:val="single" w:sz="6" w:space="0" w:color="97B0C8"/>
        </w:pBdr>
        <w:shd w:val="clear" w:color="auto" w:fill="FFFFFF"/>
        <w:outlineLvl w:val="1"/>
        <w:rPr>
          <w:rFonts w:eastAsia="Times New Roman" w:cs="Arial"/>
          <w:b/>
          <w:bCs/>
          <w:szCs w:val="22"/>
        </w:rPr>
      </w:pPr>
    </w:p>
    <w:p w14:paraId="0C8A2BE9" w14:textId="77777777" w:rsidR="00290B68"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As described above, the human </w:t>
      </w:r>
      <w:r w:rsidRPr="00AF6446">
        <w:rPr>
          <w:rFonts w:eastAsia="Times New Roman" w:cs="Arial"/>
          <w:i/>
          <w:iCs/>
          <w:szCs w:val="22"/>
        </w:rPr>
        <w:t>GR</w:t>
      </w:r>
      <w:r w:rsidRPr="00AF6446">
        <w:rPr>
          <w:rFonts w:eastAsia="Times New Roman" w:cs="Arial"/>
          <w:szCs w:val="22"/>
        </w:rPr>
        <w:t> gene expresses two mRNAs through alternative use of exon 9a and 9b, and produces two splice variants. The human GRa mRNA further expresses multiple isoforms by using at least 8 alternative translation initiation sites (34) (</w:t>
      </w:r>
      <w:hyperlink r:id="rId21" w:tgtFrame="object" w:history="1">
        <w:r w:rsidRPr="00F47850">
          <w:rPr>
            <w:rFonts w:eastAsia="Times New Roman" w:cs="Arial"/>
            <w:szCs w:val="22"/>
          </w:rPr>
          <w:t>Figure 6</w:t>
        </w:r>
      </w:hyperlink>
      <w:r w:rsidRPr="00AF6446">
        <w:rPr>
          <w:rFonts w:eastAsia="Times New Roman" w:cs="Arial"/>
          <w:szCs w:val="22"/>
        </w:rPr>
        <w:t>). Since human GRb shares a common mRNA domain that contains the same translation initiation sites with human GRa (19), the human GRb variant mRNA seems also to be translated through the same initiation sites to a similar host of b isoforms. They are produced by ribosomal leaky scanning and/or ribosomal shunting from their alternative translation initiation sites located at amino acids 27 (GRa-B), 86 (GRa-C1), 90 (GRa-C2), 98 (GRa-C3), 316 (GRa-D1), 331 (GRa-</w:t>
      </w:r>
      <w:r w:rsidRPr="00AF6446">
        <w:rPr>
          <w:rFonts w:eastAsia="Times New Roman" w:cs="Arial"/>
          <w:szCs w:val="22"/>
        </w:rPr>
        <w:lastRenderedPageBreak/>
        <w:t>D2) and 336 (GRa-D3), C-terminally from the classic translation start site (1: for the GRa-A) (34). Thus, they have different lengths of NTDs but the same DBDs and LBDs. Compared to GRa-A, GRa-C2 and GRa-C3 isoforms have stronger transcriptional activities on a synthetic GRE-driven promoter, while GRa-D1, GRa-D2 and GRa-D3 demonstrate weaker activities (34). GRa-B and GRa-C1, however, possess transcriptional activities similar to that of GRa-A (34). Absence of AF-1 in GRa-D isoforms may explain their reduced transcriptional activity, while ~100 amino acids (particularly 3 polar amino acids) located in the N-terminal portion of AF-1 appear to support increased transcriptional activity of GRa-C isoforms (35). All human GRa isoforms translocate into the nucleus in response to ligand, while they are differentially distributed in the cytoplasm and/or the nucleus in the absence of ligand and display distinct transactivation or transrepression patterns on global gene expression examined by cDNA microarray analyses (34). Such isoform-specific transcriptional activity is in part explained by their distinct chromatin modulatory activity, which is evident in the different potencies of the translational isoforms to induce apoptosis in T-cell Jurkat cells (36).</w:t>
      </w:r>
    </w:p>
    <w:p w14:paraId="0ED1966E" w14:textId="570C4399" w:rsidR="00290B68" w:rsidRPr="00AF6446" w:rsidRDefault="00290B68" w:rsidP="00AF6446">
      <w:pPr>
        <w:pBdr>
          <w:bottom w:val="single" w:sz="6" w:space="0" w:color="97B0C8"/>
        </w:pBd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206.%20GR%20isoforms%20produced%20through%20alternative%20splicing%20or%20use%20of%20different%20translational%20initiation%20sites.&amp;p=BOOKS&amp;id=279171_glucocort-receptor_GR-Figure-6.jpg" \o "Click on image to zoom" \t "tileshopwindow" </w:instrText>
      </w:r>
      <w:r w:rsidRPr="00AF6446">
        <w:rPr>
          <w:rFonts w:eastAsia="Times New Roman" w:cs="Arial"/>
          <w:szCs w:val="22"/>
        </w:rPr>
        <w:fldChar w:fldCharType="separate"/>
      </w:r>
    </w:p>
    <w:p w14:paraId="1984A1D3" w14:textId="77777777" w:rsidR="00290B68" w:rsidRPr="00AF6446" w:rsidRDefault="00290B68" w:rsidP="00AF6446">
      <w:pPr>
        <w:shd w:val="clear" w:color="auto" w:fill="FFFFFF"/>
        <w:rPr>
          <w:rFonts w:eastAsia="Times New Roman" w:cs="Arial"/>
          <w:szCs w:val="22"/>
        </w:rPr>
      </w:pPr>
      <w:r w:rsidRPr="00AF6446">
        <w:rPr>
          <w:rFonts w:eastAsia="Times New Roman" w:cs="Arial"/>
          <w:noProof/>
          <w:szCs w:val="22"/>
          <w:bdr w:val="single" w:sz="6" w:space="0" w:color="C0C0C0" w:frame="1"/>
          <w:lang w:val="el-GR" w:eastAsia="el-GR"/>
        </w:rPr>
        <w:drawing>
          <wp:inline distT="0" distB="0" distL="0" distR="0" wp14:anchorId="1103537F" wp14:editId="7597AE72">
            <wp:extent cx="6000750" cy="3570446"/>
            <wp:effectExtent l="0" t="0" r="0" b="0"/>
            <wp:docPr id="26" name="Picture 26" descr="Figure 6. GR isoforms produced through alternative splicing or use of different translational initiation sites.">
              <a:hlinkClick xmlns:a="http://schemas.openxmlformats.org/drawingml/2006/main" r:id="rId22"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6. GR isoforms produced through alternative splicing or use of different translational initiation sites.">
                      <a:hlinkClick r:id="rId22" tgtFrame="&quot;tileshopwindow&quot;" tooltip="&quot;Click on image to zoom&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6224" cy="3591553"/>
                    </a:xfrm>
                    <a:prstGeom prst="rect">
                      <a:avLst/>
                    </a:prstGeom>
                    <a:noFill/>
                    <a:ln>
                      <a:noFill/>
                    </a:ln>
                  </pic:spPr>
                </pic:pic>
              </a:graphicData>
            </a:graphic>
          </wp:inline>
        </w:drawing>
      </w:r>
      <w:r w:rsidRPr="00AF6446">
        <w:rPr>
          <w:rFonts w:eastAsia="Times New Roman" w:cs="Arial"/>
          <w:szCs w:val="22"/>
        </w:rPr>
        <w:fldChar w:fldCharType="end"/>
      </w:r>
    </w:p>
    <w:p w14:paraId="24FA4CC3" w14:textId="07774269" w:rsidR="00290B68" w:rsidRPr="00AF6446" w:rsidRDefault="00290B68" w:rsidP="00AF6446">
      <w:pPr>
        <w:shd w:val="clear" w:color="auto" w:fill="FFFFFF"/>
        <w:outlineLvl w:val="2"/>
        <w:rPr>
          <w:rFonts w:eastAsia="Times New Roman" w:cs="Arial"/>
          <w:b/>
          <w:bCs/>
          <w:szCs w:val="22"/>
        </w:rPr>
      </w:pPr>
      <w:r w:rsidRPr="00AF6446">
        <w:rPr>
          <w:rFonts w:eastAsia="Times New Roman" w:cs="Arial"/>
          <w:b/>
          <w:bCs/>
          <w:szCs w:val="22"/>
        </w:rPr>
        <w:t>Figure 6</w:t>
      </w:r>
      <w:r w:rsidR="004F3BEB" w:rsidRPr="00AF6446">
        <w:rPr>
          <w:rFonts w:eastAsia="Times New Roman" w:cs="Arial"/>
          <w:b/>
          <w:bCs/>
          <w:szCs w:val="22"/>
        </w:rPr>
        <w:t xml:space="preserve">. </w:t>
      </w:r>
      <w:r w:rsidRPr="00AF6446">
        <w:rPr>
          <w:rFonts w:eastAsia="Times New Roman" w:cs="Arial"/>
          <w:b/>
          <w:bCs/>
          <w:szCs w:val="22"/>
        </w:rPr>
        <w:t>GR isoforms produced through alternative splicing or use of different translational initiation sites. The human GR (NR3C1) gene contains two terminal exons 9 (9</w:t>
      </w:r>
      <w:r w:rsidR="00380E61" w:rsidRPr="00AF6446">
        <w:rPr>
          <w:rFonts w:eastAsia="Times New Roman" w:cs="Arial"/>
          <w:b/>
          <w:bCs/>
          <w:szCs w:val="22"/>
        </w:rPr>
        <w:t>a</w:t>
      </w:r>
      <w:r w:rsidR="000524AB" w:rsidRPr="00AF6446">
        <w:rPr>
          <w:rFonts w:eastAsia="Times New Roman" w:cs="Arial"/>
          <w:b/>
          <w:bCs/>
          <w:szCs w:val="22"/>
        </w:rPr>
        <w:t>lpha</w:t>
      </w:r>
      <w:r w:rsidRPr="00AF6446">
        <w:rPr>
          <w:rFonts w:eastAsia="Times New Roman" w:cs="Arial"/>
          <w:b/>
          <w:bCs/>
          <w:szCs w:val="22"/>
        </w:rPr>
        <w:t xml:space="preserve"> and 9</w:t>
      </w:r>
      <w:r w:rsidR="00380E61" w:rsidRPr="00AF6446">
        <w:rPr>
          <w:rFonts w:eastAsia="Times New Roman" w:cs="Arial"/>
          <w:b/>
          <w:bCs/>
          <w:szCs w:val="22"/>
        </w:rPr>
        <w:t>b</w:t>
      </w:r>
      <w:r w:rsidR="000524AB" w:rsidRPr="00AF6446">
        <w:rPr>
          <w:rFonts w:eastAsia="Times New Roman" w:cs="Arial"/>
          <w:b/>
          <w:bCs/>
          <w:szCs w:val="22"/>
        </w:rPr>
        <w:t>eta</w:t>
      </w:r>
      <w:r w:rsidRPr="00AF6446">
        <w:rPr>
          <w:rFonts w:eastAsia="Times New Roman" w:cs="Arial"/>
          <w:b/>
          <w:bCs/>
          <w:szCs w:val="22"/>
        </w:rPr>
        <w:t>) alternatively spliced to produce the classic GR (GR</w:t>
      </w:r>
      <w:r w:rsidR="00380E61" w:rsidRPr="00AF6446">
        <w:rPr>
          <w:rFonts w:eastAsia="Times New Roman" w:cs="Arial"/>
          <w:b/>
          <w:bCs/>
          <w:szCs w:val="22"/>
        </w:rPr>
        <w:t>a</w:t>
      </w:r>
      <w:r w:rsidR="000524AB" w:rsidRPr="00AF6446">
        <w:rPr>
          <w:rFonts w:eastAsia="Times New Roman" w:cs="Arial"/>
          <w:b/>
          <w:bCs/>
          <w:szCs w:val="22"/>
        </w:rPr>
        <w:t>lpha</w:t>
      </w:r>
      <w:r w:rsidRPr="00AF6446">
        <w:rPr>
          <w:rFonts w:eastAsia="Times New Roman" w:cs="Arial"/>
          <w:b/>
          <w:bCs/>
          <w:szCs w:val="22"/>
        </w:rPr>
        <w:t>-A) and GR</w:t>
      </w:r>
      <w:r w:rsidR="00380E61" w:rsidRPr="00AF6446">
        <w:rPr>
          <w:rFonts w:eastAsia="Times New Roman" w:cs="Arial"/>
          <w:b/>
          <w:bCs/>
          <w:szCs w:val="22"/>
        </w:rPr>
        <w:t>b</w:t>
      </w:r>
      <w:r w:rsidR="000524AB" w:rsidRPr="00AF6446">
        <w:rPr>
          <w:rFonts w:eastAsia="Times New Roman" w:cs="Arial"/>
          <w:b/>
          <w:bCs/>
          <w:szCs w:val="22"/>
        </w:rPr>
        <w:t>eta</w:t>
      </w:r>
      <w:r w:rsidRPr="00AF6446">
        <w:rPr>
          <w:rFonts w:eastAsia="Times New Roman" w:cs="Arial"/>
          <w:b/>
          <w:bCs/>
          <w:szCs w:val="22"/>
        </w:rPr>
        <w:t>-A. C-terminal dark yellow-colored domains in GR</w:t>
      </w:r>
      <w:r w:rsidR="00380E61" w:rsidRPr="00AF6446">
        <w:rPr>
          <w:rFonts w:eastAsia="Times New Roman" w:cs="Arial"/>
          <w:b/>
          <w:bCs/>
          <w:szCs w:val="22"/>
        </w:rPr>
        <w:t>a</w:t>
      </w:r>
      <w:r w:rsidR="000524AB" w:rsidRPr="00AF6446">
        <w:rPr>
          <w:rFonts w:eastAsia="Times New Roman" w:cs="Arial"/>
          <w:b/>
          <w:bCs/>
          <w:szCs w:val="22"/>
        </w:rPr>
        <w:t>lpha</w:t>
      </w:r>
      <w:r w:rsidRPr="00AF6446">
        <w:rPr>
          <w:rFonts w:eastAsia="Times New Roman" w:cs="Arial"/>
          <w:b/>
          <w:bCs/>
          <w:szCs w:val="22"/>
        </w:rPr>
        <w:t>-A and GR</w:t>
      </w:r>
      <w:r w:rsidR="00380E61" w:rsidRPr="00AF6446">
        <w:rPr>
          <w:rFonts w:eastAsia="Times New Roman" w:cs="Arial"/>
          <w:b/>
          <w:bCs/>
          <w:szCs w:val="22"/>
        </w:rPr>
        <w:t>b</w:t>
      </w:r>
      <w:r w:rsidR="000524AB" w:rsidRPr="00AF6446">
        <w:rPr>
          <w:rFonts w:eastAsia="Times New Roman" w:cs="Arial"/>
          <w:b/>
          <w:bCs/>
          <w:szCs w:val="22"/>
        </w:rPr>
        <w:t>eta</w:t>
      </w:r>
      <w:r w:rsidRPr="00AF6446">
        <w:rPr>
          <w:rFonts w:eastAsia="Times New Roman" w:cs="Arial"/>
          <w:b/>
          <w:bCs/>
          <w:szCs w:val="22"/>
        </w:rPr>
        <w:t>-A show their specific portions. Using at least 8 different translation initiation sites located in NTD, the human GR (NR3C1) gene produces multiple GR isoforms termed A through D (A, B, C1-C3 and D1-D3) with distinct transcriptional activities on glucocorticoid-responsive genes. Since GR</w:t>
      </w:r>
      <w:r w:rsidR="007338CD" w:rsidRPr="00AF6446">
        <w:rPr>
          <w:rFonts w:eastAsia="Times New Roman" w:cs="Arial"/>
          <w:b/>
          <w:bCs/>
          <w:szCs w:val="22"/>
        </w:rPr>
        <w:t>a</w:t>
      </w:r>
      <w:r w:rsidR="000524AB" w:rsidRPr="00AF6446">
        <w:rPr>
          <w:rFonts w:eastAsia="Times New Roman" w:cs="Arial"/>
          <w:b/>
          <w:bCs/>
          <w:szCs w:val="22"/>
        </w:rPr>
        <w:t>lpha</w:t>
      </w:r>
      <w:r w:rsidRPr="00AF6446">
        <w:rPr>
          <w:rFonts w:eastAsia="Times New Roman" w:cs="Arial"/>
          <w:b/>
          <w:bCs/>
          <w:szCs w:val="22"/>
        </w:rPr>
        <w:t xml:space="preserve"> and GR</w:t>
      </w:r>
      <w:r w:rsidR="007338CD" w:rsidRPr="00AF6446">
        <w:rPr>
          <w:rFonts w:eastAsia="Times New Roman" w:cs="Arial"/>
          <w:b/>
          <w:bCs/>
          <w:szCs w:val="22"/>
        </w:rPr>
        <w:t>b</w:t>
      </w:r>
      <w:r w:rsidR="000524AB" w:rsidRPr="00AF6446">
        <w:rPr>
          <w:rFonts w:eastAsia="Times New Roman" w:cs="Arial"/>
          <w:b/>
          <w:bCs/>
          <w:szCs w:val="22"/>
        </w:rPr>
        <w:t>eta</w:t>
      </w:r>
      <w:r w:rsidRPr="00AF6446">
        <w:rPr>
          <w:rFonts w:eastAsia="Times New Roman" w:cs="Arial"/>
          <w:b/>
          <w:bCs/>
          <w:szCs w:val="22"/>
        </w:rPr>
        <w:t xml:space="preserve"> share a common mRNA domain that contains the same translation initiation sites, the GR</w:t>
      </w:r>
      <w:r w:rsidR="007338CD" w:rsidRPr="00AF6446">
        <w:rPr>
          <w:rFonts w:eastAsia="Times New Roman" w:cs="Arial"/>
          <w:b/>
          <w:bCs/>
          <w:szCs w:val="22"/>
        </w:rPr>
        <w:t>b</w:t>
      </w:r>
      <w:r w:rsidR="000524AB" w:rsidRPr="00AF6446">
        <w:rPr>
          <w:rFonts w:eastAsia="Times New Roman" w:cs="Arial"/>
          <w:b/>
          <w:bCs/>
          <w:szCs w:val="22"/>
        </w:rPr>
        <w:t>eta</w:t>
      </w:r>
      <w:r w:rsidRPr="00AF6446">
        <w:rPr>
          <w:rFonts w:eastAsia="Times New Roman" w:cs="Arial"/>
          <w:b/>
          <w:bCs/>
          <w:szCs w:val="22"/>
        </w:rPr>
        <w:t xml:space="preserve"> variant mRNA appears to be </w:t>
      </w:r>
      <w:r w:rsidRPr="00AF6446">
        <w:rPr>
          <w:rFonts w:eastAsia="Times New Roman" w:cs="Arial"/>
          <w:b/>
          <w:bCs/>
          <w:szCs w:val="22"/>
        </w:rPr>
        <w:lastRenderedPageBreak/>
        <w:t>also translated through the same initiation sites and to produce 8 isoforms with different lengths of NTD. Modified from (20,37). AF-1 and -2: activation function-1 and -2; DBD; DNA-binding domain; HD: hinge region; LBD: Ligand-binding domain</w:t>
      </w:r>
    </w:p>
    <w:p w14:paraId="37F40051" w14:textId="77777777" w:rsidR="004F3BEB" w:rsidRPr="00AF6446" w:rsidRDefault="004F3BEB" w:rsidP="00AF6446">
      <w:pPr>
        <w:shd w:val="clear" w:color="auto" w:fill="FFFFFF"/>
        <w:rPr>
          <w:rFonts w:eastAsia="Times New Roman" w:cs="Arial"/>
          <w:b/>
          <w:bCs/>
          <w:szCs w:val="22"/>
        </w:rPr>
      </w:pPr>
    </w:p>
    <w:p w14:paraId="315F8F5C" w14:textId="38CB2125" w:rsidR="00290B68" w:rsidRPr="00AF6446" w:rsidRDefault="00290B68" w:rsidP="00AF6446">
      <w:pPr>
        <w:shd w:val="clear" w:color="auto" w:fill="FFFFFF"/>
        <w:rPr>
          <w:rFonts w:eastAsia="Times New Roman" w:cs="Arial"/>
          <w:szCs w:val="22"/>
        </w:rPr>
      </w:pPr>
      <w:r w:rsidRPr="00AF6446">
        <w:rPr>
          <w:rFonts w:eastAsia="Times New Roman" w:cs="Arial"/>
          <w:szCs w:val="22"/>
        </w:rPr>
        <w:t>Translational Human GRa isoforms are differentially expressed in various cell lines, tissues and at different developmental stages (34). For example, GRa-D isoforms are predominant in immature bone marrow-derived dendritic cells (DCs), while GRa-A is a main isoform in mature DCs, and this characteristic expression explains maturation-specific alteration of glucocorticoid sensitivity in these cells (38). GRa-A is highly expressed in brains of toddlers to teenagers, whereas peak expression of GRa-D is observed in those of neonates (39). Thus, these N-terminal human GRa isoforms may differentially transduce glucocorticoid hormone signals to tissues, depending on their selective expression and inherent activities.</w:t>
      </w:r>
    </w:p>
    <w:p w14:paraId="63C36A39" w14:textId="77777777" w:rsidR="004F3BEB" w:rsidRPr="00AF6446" w:rsidRDefault="004F3BEB" w:rsidP="00AF6446">
      <w:pPr>
        <w:shd w:val="clear" w:color="auto" w:fill="FFFFFF"/>
        <w:rPr>
          <w:rFonts w:eastAsia="Times New Roman" w:cs="Arial"/>
          <w:szCs w:val="22"/>
        </w:rPr>
      </w:pPr>
    </w:p>
    <w:p w14:paraId="3A0B90F1" w14:textId="0B074FA0" w:rsidR="00290B68" w:rsidRPr="00AF6446" w:rsidRDefault="00290B68" w:rsidP="00AF6446">
      <w:pPr>
        <w:shd w:val="clear" w:color="auto" w:fill="FFFFFF"/>
        <w:rPr>
          <w:rFonts w:eastAsia="Times New Roman" w:cs="Arial"/>
          <w:szCs w:val="22"/>
        </w:rPr>
      </w:pPr>
      <w:r w:rsidRPr="00AF6446">
        <w:rPr>
          <w:rFonts w:eastAsia="Times New Roman" w:cs="Arial"/>
          <w:szCs w:val="22"/>
        </w:rPr>
        <w:t>The human </w:t>
      </w:r>
      <w:r w:rsidRPr="00AF6446">
        <w:rPr>
          <w:rFonts w:eastAsia="Times New Roman" w:cs="Arial"/>
          <w:i/>
          <w:iCs/>
          <w:szCs w:val="22"/>
        </w:rPr>
        <w:t>GR</w:t>
      </w:r>
      <w:r w:rsidRPr="00AF6446">
        <w:rPr>
          <w:rFonts w:eastAsia="Times New Roman" w:cs="Arial"/>
          <w:szCs w:val="22"/>
        </w:rPr>
        <w:t> gene has eleven different promoters with their alternative first exons (1A1, 1A2, 1A3, 1B, 1C, 1D, 1E, 1F, 1H, 1I and 1J) (40,41) (</w:t>
      </w:r>
      <w:hyperlink r:id="rId24" w:tgtFrame="object" w:history="1">
        <w:r w:rsidRPr="00F47850">
          <w:rPr>
            <w:rFonts w:eastAsia="Times New Roman" w:cs="Arial"/>
            <w:szCs w:val="22"/>
          </w:rPr>
          <w:t>Figure 7</w:t>
        </w:r>
      </w:hyperlink>
      <w:r w:rsidRPr="00AF6446">
        <w:rPr>
          <w:rFonts w:eastAsia="Times New Roman" w:cs="Arial"/>
          <w:szCs w:val="22"/>
        </w:rPr>
        <w:t>). Therefore, the human </w:t>
      </w:r>
      <w:r w:rsidRPr="00AF6446">
        <w:rPr>
          <w:rFonts w:eastAsia="Times New Roman" w:cs="Arial"/>
          <w:i/>
          <w:iCs/>
          <w:szCs w:val="22"/>
        </w:rPr>
        <w:t>GR</w:t>
      </w:r>
      <w:r w:rsidRPr="00AF6446">
        <w:rPr>
          <w:rFonts w:eastAsia="Times New Roman" w:cs="Arial"/>
          <w:szCs w:val="22"/>
        </w:rPr>
        <w:t> gene can produce eleven different transcripts from different promoters that encode the same GR proteins sharing a common exon 2 containing the translating ATG codon. 1A1, 1A2, 1A3 and 1I are located in the distal promoter region spanning ~32,000-36,000 bps upstream of the translation start site, while 1B, 1C, 1D, 1E, 1F, 1H and 1J position in the proximal promoter region located up to ~5,000 bps upstream of such a site (40). Through differential use of these promoters, expression levels of GR protein isoforms can vary considerably among tissues and disease states (40,42). DNA methylation of the human </w:t>
      </w:r>
      <w:r w:rsidRPr="00AF6446">
        <w:rPr>
          <w:rFonts w:eastAsia="Times New Roman" w:cs="Arial"/>
          <w:i/>
          <w:iCs/>
          <w:szCs w:val="22"/>
        </w:rPr>
        <w:t>GR</w:t>
      </w:r>
      <w:r w:rsidRPr="00AF6446">
        <w:rPr>
          <w:rFonts w:eastAsia="Times New Roman" w:cs="Arial"/>
          <w:szCs w:val="22"/>
        </w:rPr>
        <w:t> gene promoter area is one of the mechanisms that regulate the activity of specific </w:t>
      </w:r>
      <w:r w:rsidRPr="00AF6446">
        <w:rPr>
          <w:rFonts w:eastAsia="Times New Roman" w:cs="Arial"/>
          <w:i/>
          <w:iCs/>
          <w:szCs w:val="22"/>
        </w:rPr>
        <w:t>GR</w:t>
      </w:r>
      <w:r w:rsidRPr="00AF6446">
        <w:rPr>
          <w:rFonts w:eastAsia="Times New Roman" w:cs="Arial"/>
          <w:szCs w:val="22"/>
        </w:rPr>
        <w:t> gene promoters. Indeed, childhood trauma, which influences development of the borderline personality disorder by affecting the str</w:t>
      </w:r>
      <w:r w:rsidR="00BF4D10" w:rsidRPr="00AF6446">
        <w:rPr>
          <w:rFonts w:eastAsia="Times New Roman" w:cs="Arial"/>
          <w:szCs w:val="22"/>
        </w:rPr>
        <w:t>ess-responsive HPA axis, contributes to the alteration of</w:t>
      </w:r>
      <w:r w:rsidRPr="00AF6446">
        <w:rPr>
          <w:rFonts w:eastAsia="Times New Roman" w:cs="Arial"/>
          <w:szCs w:val="22"/>
        </w:rPr>
        <w:t xml:space="preserve"> DNA methylation levels of the human </w:t>
      </w:r>
      <w:r w:rsidRPr="00AF6446">
        <w:rPr>
          <w:rFonts w:eastAsia="Times New Roman" w:cs="Arial"/>
          <w:i/>
          <w:iCs/>
          <w:szCs w:val="22"/>
        </w:rPr>
        <w:t>GR</w:t>
      </w:r>
      <w:r w:rsidRPr="00AF6446">
        <w:rPr>
          <w:rFonts w:eastAsia="Times New Roman" w:cs="Arial"/>
          <w:szCs w:val="22"/>
        </w:rPr>
        <w:t> gene promoter in the brain (43). Elevated DNA methylation in the human </w:t>
      </w:r>
      <w:r w:rsidRPr="00AF6446">
        <w:rPr>
          <w:rFonts w:eastAsia="Times New Roman" w:cs="Arial"/>
          <w:i/>
          <w:iCs/>
          <w:szCs w:val="22"/>
        </w:rPr>
        <w:t>GR</w:t>
      </w:r>
      <w:r w:rsidRPr="00AF6446">
        <w:rPr>
          <w:rFonts w:eastAsia="Times New Roman" w:cs="Arial"/>
          <w:szCs w:val="22"/>
        </w:rPr>
        <w:t> gene promoter is also found in the brain hippocampus of the patients with major depression (44). Further</w:t>
      </w:r>
      <w:r w:rsidR="00BF4D10" w:rsidRPr="00AF6446">
        <w:rPr>
          <w:rFonts w:eastAsia="Times New Roman" w:cs="Arial"/>
          <w:szCs w:val="22"/>
        </w:rPr>
        <w:t>more</w:t>
      </w:r>
      <w:r w:rsidRPr="00AF6446">
        <w:rPr>
          <w:rFonts w:eastAsia="Times New Roman" w:cs="Arial"/>
          <w:szCs w:val="22"/>
        </w:rPr>
        <w:t xml:space="preserve">, </w:t>
      </w:r>
      <w:r w:rsidR="00BF4D10" w:rsidRPr="00AF6446">
        <w:rPr>
          <w:rFonts w:eastAsia="Times New Roman" w:cs="Arial"/>
          <w:szCs w:val="22"/>
        </w:rPr>
        <w:t xml:space="preserve">the methylation </w:t>
      </w:r>
      <w:r w:rsidRPr="00AF6446">
        <w:rPr>
          <w:rFonts w:eastAsia="Times New Roman" w:cs="Arial"/>
          <w:szCs w:val="22"/>
        </w:rPr>
        <w:t>s</w:t>
      </w:r>
      <w:r w:rsidR="00BF4D10" w:rsidRPr="00AF6446">
        <w:rPr>
          <w:rFonts w:eastAsia="Times New Roman" w:cs="Arial"/>
          <w:szCs w:val="22"/>
        </w:rPr>
        <w:t>tatus</w:t>
      </w:r>
      <w:r w:rsidRPr="00AF6446">
        <w:rPr>
          <w:rFonts w:eastAsia="Times New Roman" w:cs="Arial"/>
          <w:szCs w:val="22"/>
        </w:rPr>
        <w:t xml:space="preserve"> of the human </w:t>
      </w:r>
      <w:r w:rsidRPr="00AF6446">
        <w:rPr>
          <w:rFonts w:eastAsia="Times New Roman" w:cs="Arial"/>
          <w:i/>
          <w:iCs/>
          <w:szCs w:val="22"/>
        </w:rPr>
        <w:t>GR</w:t>
      </w:r>
      <w:r w:rsidRPr="00AF6446">
        <w:rPr>
          <w:rFonts w:eastAsia="Times New Roman" w:cs="Arial"/>
          <w:szCs w:val="22"/>
        </w:rPr>
        <w:t> gene promoter</w:t>
      </w:r>
      <w:r w:rsidR="00BF4D10" w:rsidRPr="00AF6446">
        <w:rPr>
          <w:rFonts w:eastAsia="Times New Roman" w:cs="Arial"/>
          <w:szCs w:val="22"/>
        </w:rPr>
        <w:t xml:space="preserve"> in the peripheral blood is highly </w:t>
      </w:r>
      <w:r w:rsidRPr="00AF6446">
        <w:rPr>
          <w:rFonts w:eastAsia="Times New Roman" w:cs="Arial"/>
          <w:szCs w:val="22"/>
        </w:rPr>
        <w:t>alter</w:t>
      </w:r>
      <w:r w:rsidR="00BF4D10" w:rsidRPr="00AF6446">
        <w:rPr>
          <w:rFonts w:eastAsia="Times New Roman" w:cs="Arial"/>
          <w:szCs w:val="22"/>
        </w:rPr>
        <w:t>ed</w:t>
      </w:r>
      <w:r w:rsidRPr="00AF6446">
        <w:rPr>
          <w:rFonts w:eastAsia="Times New Roman" w:cs="Arial"/>
          <w:szCs w:val="22"/>
        </w:rPr>
        <w:t xml:space="preserve"> </w:t>
      </w:r>
      <w:r w:rsidR="00BF4D10" w:rsidRPr="00AF6446">
        <w:rPr>
          <w:rFonts w:eastAsia="Times New Roman" w:cs="Arial"/>
          <w:szCs w:val="22"/>
        </w:rPr>
        <w:t>during the perinatal period.</w:t>
      </w:r>
      <w:r w:rsidRPr="00AF6446">
        <w:rPr>
          <w:rFonts w:eastAsia="Times New Roman" w:cs="Arial"/>
          <w:szCs w:val="22"/>
        </w:rPr>
        <w:t xml:space="preserve"> </w:t>
      </w:r>
      <w:r w:rsidR="00BF4D10" w:rsidRPr="00AF6446">
        <w:rPr>
          <w:rFonts w:eastAsia="Times New Roman" w:cs="Arial"/>
          <w:szCs w:val="22"/>
        </w:rPr>
        <w:t xml:space="preserve">Interestingly, </w:t>
      </w:r>
      <w:r w:rsidRPr="00AF6446">
        <w:rPr>
          <w:rFonts w:eastAsia="Times New Roman" w:cs="Arial"/>
          <w:szCs w:val="22"/>
        </w:rPr>
        <w:t>preterm infants demonstrate significantly lower levels of the DNA methylation compared to full-term infants, explaining in part relative glucocorticoid insensitivity observed in preterm babies (45).</w:t>
      </w:r>
    </w:p>
    <w:p w14:paraId="4EABB7D1" w14:textId="77777777" w:rsidR="004F3BEB" w:rsidRPr="00AF6446" w:rsidRDefault="004F3BEB" w:rsidP="00AF6446">
      <w:pPr>
        <w:shd w:val="clear" w:color="auto" w:fill="FFFFFF"/>
        <w:rPr>
          <w:rFonts w:eastAsia="Times New Roman" w:cs="Arial"/>
          <w:szCs w:val="22"/>
        </w:rPr>
      </w:pPr>
    </w:p>
    <w:p w14:paraId="68C44331" w14:textId="18F0841F" w:rsidR="00290B68" w:rsidRPr="00AF6446" w:rsidRDefault="00290B68" w:rsidP="00AF6446">
      <w:pPr>
        <w:shd w:val="clear" w:color="auto" w:fill="FFFFFF"/>
        <w:rPr>
          <w:rFonts w:eastAsia="Times New Roman" w:cs="Arial"/>
          <w:szCs w:val="22"/>
        </w:rPr>
      </w:pPr>
      <w:r w:rsidRPr="00AF6446">
        <w:rPr>
          <w:rFonts w:eastAsia="Times New Roman" w:cs="Arial"/>
          <w:szCs w:val="22"/>
        </w:rPr>
        <w:t>In addition to selective use/activation-inactivation of the specific </w:t>
      </w:r>
      <w:r w:rsidRPr="00AF6446">
        <w:rPr>
          <w:rFonts w:eastAsia="Times New Roman" w:cs="Arial"/>
          <w:i/>
          <w:iCs/>
          <w:szCs w:val="22"/>
        </w:rPr>
        <w:t>GR</w:t>
      </w:r>
      <w:r w:rsidRPr="00AF6446">
        <w:rPr>
          <w:rFonts w:eastAsia="Times New Roman" w:cs="Arial"/>
          <w:szCs w:val="22"/>
        </w:rPr>
        <w:t> gene promoters, alternative untranslated 1</w:t>
      </w:r>
      <w:r w:rsidRPr="00AF6446">
        <w:rPr>
          <w:rFonts w:eastAsia="Times New Roman" w:cs="Arial"/>
          <w:szCs w:val="22"/>
          <w:vertAlign w:val="superscript"/>
        </w:rPr>
        <w:t>st</w:t>
      </w:r>
      <w:r w:rsidRPr="00AF6446">
        <w:rPr>
          <w:rFonts w:eastAsia="Times New Roman" w:cs="Arial"/>
          <w:szCs w:val="22"/>
        </w:rPr>
        <w:t> exon transcripts differentially control stability and translational efficiency of their existing GR mRNA, and contribute to differential tissue expression of the GR proteins (46). By employing many splice/translational GR isoforms expressed from different promoters, human GR appears to form at least 256 different combinations of homo- and hetero-dimers with varying expression levels and</w:t>
      </w:r>
      <w:r w:rsidR="008808C4" w:rsidRPr="00AF6446">
        <w:rPr>
          <w:rFonts w:eastAsia="Times New Roman" w:cs="Arial"/>
          <w:szCs w:val="22"/>
        </w:rPr>
        <w:t xml:space="preserve"> transcriptional activities. This</w:t>
      </w:r>
      <w:r w:rsidRPr="00AF6446">
        <w:rPr>
          <w:rFonts w:eastAsia="Times New Roman" w:cs="Arial"/>
          <w:szCs w:val="22"/>
        </w:rPr>
        <w:t xml:space="preserve"> marked complexity in the transcription/translation of the human </w:t>
      </w:r>
      <w:r w:rsidRPr="00AF6446">
        <w:rPr>
          <w:rFonts w:eastAsia="Times New Roman" w:cs="Arial"/>
          <w:i/>
          <w:iCs/>
          <w:szCs w:val="22"/>
        </w:rPr>
        <w:t>GR</w:t>
      </w:r>
      <w:r w:rsidRPr="00AF6446">
        <w:rPr>
          <w:rFonts w:eastAsia="Times New Roman" w:cs="Arial"/>
          <w:szCs w:val="22"/>
        </w:rPr>
        <w:t> gene allows cells/tissues to respond differentially to the circulating concentrations of glucocorticoids depending on the needs of respective tissues (20).</w:t>
      </w:r>
    </w:p>
    <w:p w14:paraId="4C52A03E"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207.%20The%20human%20(h)%20GR%20(NR3C1)%20gene%20has%2011%20different%20promoters%20with%20specific%20exon%201%20sequences.&amp;p=BOOKS&amp;id=279171_glucocort-receptor_GR-Figure-7.jpg" \o "Click on image to zoom" \t "tileshopwindow" </w:instrText>
      </w:r>
      <w:r w:rsidRPr="00AF6446">
        <w:rPr>
          <w:rFonts w:eastAsia="Times New Roman" w:cs="Arial"/>
          <w:szCs w:val="22"/>
        </w:rPr>
        <w:fldChar w:fldCharType="separate"/>
      </w:r>
    </w:p>
    <w:p w14:paraId="2C9CB6AD" w14:textId="28EC9CB9" w:rsidR="00290B68" w:rsidRPr="00AF6446" w:rsidRDefault="00290B68" w:rsidP="00AF6446">
      <w:pPr>
        <w:shd w:val="clear" w:color="auto" w:fill="FFFFFF"/>
        <w:rPr>
          <w:rFonts w:eastAsia="Times New Roman" w:cs="Arial"/>
          <w:b/>
          <w:szCs w:val="22"/>
        </w:rPr>
      </w:pPr>
      <w:r w:rsidRPr="00AF6446">
        <w:rPr>
          <w:rFonts w:eastAsia="Times New Roman" w:cs="Arial"/>
          <w:noProof/>
          <w:szCs w:val="22"/>
          <w:bdr w:val="single" w:sz="6" w:space="0" w:color="C0C0C0" w:frame="1"/>
          <w:lang w:val="el-GR" w:eastAsia="el-GR"/>
        </w:rPr>
        <w:lastRenderedPageBreak/>
        <w:drawing>
          <wp:inline distT="0" distB="0" distL="0" distR="0" wp14:anchorId="69788562" wp14:editId="31C9D507">
            <wp:extent cx="6257925" cy="1627061"/>
            <wp:effectExtent l="0" t="0" r="0" b="0"/>
            <wp:docPr id="27" name="Picture 27" descr="Figure 7. The human (h) GR (NR3C1) gene has 11 different promoters with specific exon 1 sequences.">
              <a:hlinkClick xmlns:a="http://schemas.openxmlformats.org/drawingml/2006/main" r:id="rId25"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7. The human (h) GR (NR3C1) gene has 11 different promoters with specific exon 1 sequences.">
                      <a:hlinkClick r:id="rId25" tgtFrame="&quot;tileshopwindow&quot;" tooltip="&quot;Click on image to zoom&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0279" cy="1653673"/>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7</w:t>
      </w:r>
      <w:r w:rsidR="004F3BEB" w:rsidRPr="00AF6446">
        <w:rPr>
          <w:rFonts w:eastAsia="Times New Roman" w:cs="Arial"/>
          <w:b/>
          <w:bCs/>
          <w:szCs w:val="22"/>
        </w:rPr>
        <w:t xml:space="preserve">. </w:t>
      </w:r>
      <w:r w:rsidRPr="00AF6446">
        <w:rPr>
          <w:rFonts w:eastAsia="Times New Roman" w:cs="Arial"/>
          <w:b/>
          <w:bCs/>
          <w:szCs w:val="22"/>
        </w:rPr>
        <w:t>The human (h) GR (NR3C1) gene has 11 different promoters with specific exon 1 sequences.</w:t>
      </w:r>
      <w:r w:rsidR="00ED1422">
        <w:rPr>
          <w:rFonts w:eastAsia="Times New Roman" w:cs="Arial"/>
          <w:b/>
          <w:bCs/>
          <w:szCs w:val="22"/>
        </w:rPr>
        <w:t xml:space="preserve"> </w:t>
      </w:r>
      <w:r w:rsidRPr="00AF6446">
        <w:rPr>
          <w:rFonts w:eastAsia="Times New Roman" w:cs="Arial"/>
          <w:b/>
          <w:szCs w:val="22"/>
        </w:rPr>
        <w:t>The hGR (NR3C1) gene has 11 different promoters harboring specific exon 1 sequences. Alternative exon 1s are shown as yellow arrows or arrowheads. The 5’ flanking region of the hGR (NR3C1) gene has proximal and distal promoter regions, which respectively span from ~-37,000 to ~-32,000 and from ~-5,000 to ~0, upstream of the translation initiation site located in the exon 2 (shown as “ATG” and arrowhead)</w:t>
      </w:r>
      <w:r w:rsidR="008808C4" w:rsidRPr="00AF6446">
        <w:rPr>
          <w:rFonts w:eastAsia="Times New Roman" w:cs="Arial"/>
          <w:b/>
          <w:szCs w:val="22"/>
        </w:rPr>
        <w:t>, and contain</w:t>
      </w:r>
      <w:r w:rsidRPr="00AF6446">
        <w:rPr>
          <w:rFonts w:eastAsia="Times New Roman" w:cs="Arial"/>
          <w:b/>
          <w:szCs w:val="22"/>
        </w:rPr>
        <w:t xml:space="preserve"> exons 1A1, 1A2, 1A3, and 1I, and 1B, 1C, 1D, 1E, 1F and 1H, respectively. Modified from (40,41).</w:t>
      </w:r>
    </w:p>
    <w:p w14:paraId="1318D9D3" w14:textId="1E8C0E20" w:rsidR="00290B68" w:rsidRPr="00AF6446" w:rsidRDefault="00290B68" w:rsidP="00AF6446">
      <w:pPr>
        <w:shd w:val="clear" w:color="auto" w:fill="FFFFFF"/>
        <w:rPr>
          <w:rFonts w:eastAsia="Times New Roman" w:cs="Arial"/>
          <w:szCs w:val="22"/>
        </w:rPr>
      </w:pPr>
    </w:p>
    <w:p w14:paraId="4D31C263" w14:textId="77777777" w:rsidR="004F3BEB" w:rsidRPr="008063DA" w:rsidRDefault="00290B68" w:rsidP="00AF6446">
      <w:pPr>
        <w:pBdr>
          <w:bottom w:val="single" w:sz="6" w:space="0" w:color="97B0C8"/>
        </w:pBdr>
        <w:shd w:val="clear" w:color="auto" w:fill="FFFFFF"/>
        <w:outlineLvl w:val="1"/>
        <w:rPr>
          <w:rFonts w:eastAsia="Times New Roman" w:cs="Arial"/>
          <w:b/>
          <w:bCs/>
          <w:color w:val="0070C0"/>
          <w:szCs w:val="22"/>
        </w:rPr>
      </w:pPr>
      <w:r w:rsidRPr="008063DA">
        <w:rPr>
          <w:rFonts w:eastAsia="Times New Roman" w:cs="Arial"/>
          <w:b/>
          <w:bCs/>
          <w:color w:val="0070C0"/>
          <w:szCs w:val="22"/>
        </w:rPr>
        <w:t>ACTIONS OF GR</w:t>
      </w:r>
    </w:p>
    <w:p w14:paraId="2923171E" w14:textId="77777777" w:rsidR="004F3BEB" w:rsidRPr="00AF6446" w:rsidRDefault="004F3BEB" w:rsidP="00AF6446">
      <w:pPr>
        <w:pBdr>
          <w:bottom w:val="single" w:sz="6" w:space="0" w:color="97B0C8"/>
        </w:pBdr>
        <w:shd w:val="clear" w:color="auto" w:fill="FFFFFF"/>
        <w:outlineLvl w:val="1"/>
        <w:rPr>
          <w:rFonts w:eastAsia="Times New Roman" w:cs="Arial"/>
          <w:b/>
          <w:bCs/>
          <w:szCs w:val="22"/>
        </w:rPr>
      </w:pPr>
    </w:p>
    <w:p w14:paraId="09990598" w14:textId="77777777" w:rsidR="004F3BEB" w:rsidRPr="008063DA" w:rsidRDefault="00290B68" w:rsidP="00AF6446">
      <w:pPr>
        <w:pBdr>
          <w:bottom w:val="single" w:sz="6" w:space="0" w:color="97B0C8"/>
        </w:pBdr>
        <w:shd w:val="clear" w:color="auto" w:fill="FFFFFF"/>
        <w:outlineLvl w:val="1"/>
        <w:rPr>
          <w:rFonts w:eastAsia="Times New Roman" w:cs="Arial"/>
          <w:b/>
          <w:bCs/>
          <w:color w:val="00B050"/>
          <w:szCs w:val="22"/>
        </w:rPr>
      </w:pPr>
      <w:r w:rsidRPr="008063DA">
        <w:rPr>
          <w:rFonts w:eastAsia="Times New Roman" w:cs="Arial"/>
          <w:b/>
          <w:bCs/>
          <w:color w:val="00B050"/>
          <w:szCs w:val="22"/>
        </w:rPr>
        <w:t>Nucleocytoplasmic Shuttling of GRa</w:t>
      </w:r>
    </w:p>
    <w:p w14:paraId="7A63E1A8" w14:textId="77777777" w:rsidR="004F3BEB" w:rsidRPr="00AF6446" w:rsidRDefault="004F3BEB" w:rsidP="00AF6446">
      <w:pPr>
        <w:pBdr>
          <w:bottom w:val="single" w:sz="6" w:space="0" w:color="97B0C8"/>
        </w:pBdr>
        <w:shd w:val="clear" w:color="auto" w:fill="FFFFFF"/>
        <w:outlineLvl w:val="1"/>
        <w:rPr>
          <w:rFonts w:eastAsia="Times New Roman" w:cs="Arial"/>
          <w:b/>
          <w:bCs/>
          <w:szCs w:val="22"/>
        </w:rPr>
      </w:pPr>
    </w:p>
    <w:p w14:paraId="09240C85" w14:textId="28A257C3" w:rsidR="004F3BEB"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 xml:space="preserve">In the absence of ligand, GRa resides primarily in the cytoplasm of cells as part of a large multiprotein complex, which consists of the receptor polypeptide, two molecules of hsp90, and several other proteins (28,47-49) </w:t>
      </w:r>
      <w:r w:rsidRPr="00F47850">
        <w:rPr>
          <w:rFonts w:eastAsia="Times New Roman" w:cs="Arial"/>
          <w:szCs w:val="22"/>
        </w:rPr>
        <w:t>(</w:t>
      </w:r>
      <w:hyperlink r:id="rId27" w:tgtFrame="object" w:history="1">
        <w:r w:rsidRPr="00F47850">
          <w:rPr>
            <w:rFonts w:eastAsia="Times New Roman" w:cs="Arial"/>
            <w:szCs w:val="22"/>
          </w:rPr>
          <w:t>Figure 8</w:t>
        </w:r>
      </w:hyperlink>
      <w:r w:rsidRPr="00AF6446">
        <w:rPr>
          <w:rFonts w:eastAsia="Times New Roman" w:cs="Arial"/>
          <w:szCs w:val="22"/>
        </w:rPr>
        <w:t>). Following ligand binding, the receptor dissociates from the hsps and translocates into the nucleus. The GRa contains two nuclear translocation signals (NL), NL1 and NL2 (</w:t>
      </w:r>
      <w:hyperlink r:id="rId28" w:tgtFrame="object" w:history="1">
        <w:r w:rsidRPr="00F47850">
          <w:rPr>
            <w:rFonts w:eastAsia="Times New Roman" w:cs="Arial"/>
            <w:szCs w:val="22"/>
          </w:rPr>
          <w:t>Figure 3</w:t>
        </w:r>
      </w:hyperlink>
      <w:r w:rsidRPr="00AF6446">
        <w:rPr>
          <w:rFonts w:eastAsia="Times New Roman" w:cs="Arial"/>
          <w:szCs w:val="22"/>
        </w:rPr>
        <w:t xml:space="preserve">): NL1 contains a classic basic-type nuclear localization signal (NLS) structure that overlaps with and extends C-terminally from the DBD of GRa (50). The function of NL1 is dependent on importin a, a protein component of the nuclear translocation system, which is energy-dependent and facilitates the translocation of the activated receptor into the nucleus through the nuclear pore. NL2 spans over almost the entire LBD. In the absence of ligand, binding of hsps with the LBD of GRa masks/inactivates NL1 and NL2, thereby maintaining GRa in the cytoplasm. Inside the nucleus, GRa binds to GREs in the promoter regions of target genes. The interaction of GRa with GREs is dynamic, with the GRa binding to and dissociating from GREs in the order of seconds, while the GRE-bound receptor helps other GRas to bind DNA by increasing chromatin accessibility (the mechanism called “assisted loading”), and ultimately up-regulates their steady state association on glucocorticoid-responsive gene promoters (51,52). </w:t>
      </w:r>
      <w:r w:rsidR="00E7007C" w:rsidRPr="00AF6446">
        <w:rPr>
          <w:rFonts w:eastAsia="Times New Roman" w:cs="Arial"/>
          <w:szCs w:val="22"/>
        </w:rPr>
        <w:t>The a</w:t>
      </w:r>
      <w:r w:rsidRPr="00AF6446">
        <w:rPr>
          <w:rFonts w:eastAsia="Times New Roman" w:cs="Arial"/>
          <w:szCs w:val="22"/>
        </w:rPr>
        <w:t xml:space="preserve">bove findings were obtained using the multi-copy GREs artificially inserted into the host cell chromatin, but a recent report confirmed them by examining endogenous GREs using a single molecule imaging technique (53). GRa also modulates transcriptional activity of other transcription factors by physically interacting with them. After modulating the transcription of its responsive genes, GRa dissociates from the ligand and slowly returns to the cytoplasm as a component of the heterocomplexes with hsps (54-56). The ubiquitin-proteasomal pathway degrades ligand-bound GRa in the nucleus, </w:t>
      </w:r>
      <w:r w:rsidRPr="00AF6446">
        <w:rPr>
          <w:rFonts w:eastAsia="Times New Roman" w:cs="Arial"/>
          <w:szCs w:val="22"/>
        </w:rPr>
        <w:lastRenderedPageBreak/>
        <w:t>facilitating clea</w:t>
      </w:r>
      <w:r w:rsidR="00E7007C" w:rsidRPr="00AF6446">
        <w:rPr>
          <w:rFonts w:eastAsia="Times New Roman" w:cs="Arial"/>
          <w:szCs w:val="22"/>
        </w:rPr>
        <w:t>rance of the receptor from GREs;</w:t>
      </w:r>
      <w:r w:rsidRPr="00AF6446">
        <w:rPr>
          <w:rFonts w:eastAsia="Times New Roman" w:cs="Arial"/>
          <w:szCs w:val="22"/>
        </w:rPr>
        <w:t xml:space="preserve"> thus, this system regulates the transcriptional activity of GRa</w:t>
      </w:r>
      <w:r w:rsidR="000524AB" w:rsidRPr="00AF6446">
        <w:rPr>
          <w:rFonts w:eastAsia="Times New Roman" w:cs="Arial"/>
          <w:szCs w:val="22"/>
        </w:rPr>
        <w:t>lpha</w:t>
      </w:r>
      <w:r w:rsidRPr="00AF6446">
        <w:rPr>
          <w:rFonts w:eastAsia="Times New Roman" w:cs="Arial"/>
          <w:szCs w:val="22"/>
        </w:rPr>
        <w:t xml:space="preserve"> </w:t>
      </w:r>
      <w:r w:rsidR="00E7007C" w:rsidRPr="00AF6446">
        <w:rPr>
          <w:rFonts w:eastAsia="Times New Roman" w:cs="Arial"/>
          <w:szCs w:val="22"/>
        </w:rPr>
        <w:t xml:space="preserve">in a negative fashion </w:t>
      </w:r>
      <w:r w:rsidRPr="00AF6446">
        <w:rPr>
          <w:rFonts w:eastAsia="Times New Roman" w:cs="Arial"/>
          <w:szCs w:val="22"/>
        </w:rPr>
        <w:t>(57,58).</w:t>
      </w:r>
    </w:p>
    <w:p w14:paraId="688FD5E1" w14:textId="0514C707" w:rsidR="00290B68" w:rsidRPr="00AF6446" w:rsidRDefault="00290B68" w:rsidP="00AF6446">
      <w:pPr>
        <w:pBdr>
          <w:bottom w:val="single" w:sz="6" w:space="0" w:color="97B0C8"/>
        </w:pBd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"https://www.ncbi.nlm.nih.gov/core/lw/2.0/html/tileshop_pmc/tileshop_pmc_inline.html?title=Figure%208.%20Intracellular%20circulation%20of%20GR.&amp;p=BOOKS&amp;id=279171_glucocort-receptor_GR-Figure-8.jpg" \o "Click on image to zoom" \t "tileshopwindow" </w:instrText>
      </w:r>
      <w:r w:rsidRPr="00AF6446">
        <w:rPr>
          <w:rFonts w:eastAsia="Times New Roman" w:cs="Arial"/>
          <w:szCs w:val="22"/>
        </w:rPr>
        <w:fldChar w:fldCharType="separate"/>
      </w:r>
    </w:p>
    <w:p w14:paraId="011FADAF" w14:textId="286CAF51"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drawing>
          <wp:inline distT="0" distB="0" distL="0" distR="0" wp14:anchorId="1495958E" wp14:editId="3CC8F967">
            <wp:extent cx="6028874" cy="4619625"/>
            <wp:effectExtent l="0" t="0" r="0" b="0"/>
            <wp:docPr id="28" name="Picture 28" descr="Figure 8. Intracellular circulation of GR.">
              <a:hlinkClick xmlns:a="http://schemas.openxmlformats.org/drawingml/2006/main" r:id="rId29"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8. Intracellular circulation of GR.">
                      <a:hlinkClick r:id="rId29" tgtFrame="&quot;tileshopwindow&quot;" tooltip="&quot;Click on image to zoom&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7440" cy="4664501"/>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8</w:t>
      </w:r>
      <w:r w:rsidR="004F3BEB" w:rsidRPr="00AF6446">
        <w:rPr>
          <w:rFonts w:eastAsia="Times New Roman" w:cs="Arial"/>
          <w:b/>
          <w:bCs/>
          <w:szCs w:val="22"/>
        </w:rPr>
        <w:t xml:space="preserve">. </w:t>
      </w:r>
      <w:r w:rsidRPr="00AF6446">
        <w:rPr>
          <w:rFonts w:eastAsia="Times New Roman" w:cs="Arial"/>
          <w:b/>
          <w:bCs/>
          <w:szCs w:val="22"/>
        </w:rPr>
        <w:t>Intracellular circulation of GR.</w:t>
      </w:r>
      <w:r w:rsidR="00ED1422">
        <w:rPr>
          <w:rFonts w:eastAsia="Times New Roman" w:cs="Arial"/>
          <w:b/>
          <w:bCs/>
          <w:szCs w:val="22"/>
        </w:rPr>
        <w:t xml:space="preserve"> </w:t>
      </w:r>
      <w:r w:rsidRPr="00AF6446">
        <w:rPr>
          <w:rFonts w:eastAsia="Times New Roman" w:cs="Arial"/>
          <w:b/>
          <w:bCs/>
          <w:szCs w:val="22"/>
        </w:rPr>
        <w:t>Circulation of GR between the cytoplasm and the nucleus, and its transcriptional regulation on the glucocorticoid-responsive genes in the nucleus are shown in the panel. GR translocates into mitochondria or lysosomes as well.</w:t>
      </w:r>
      <w:r w:rsidR="002C21A7">
        <w:rPr>
          <w:rFonts w:eastAsia="Times New Roman" w:cs="Arial"/>
          <w:b/>
          <w:bCs/>
          <w:szCs w:val="22"/>
        </w:rPr>
        <w:t xml:space="preserve"> </w:t>
      </w:r>
      <w:r w:rsidRPr="00AF6446">
        <w:rPr>
          <w:rFonts w:eastAsia="Times New Roman" w:cs="Arial"/>
          <w:b/>
          <w:bCs/>
          <w:szCs w:val="22"/>
        </w:rPr>
        <w:t>GREs: glucocorticoid responsive elements; TFREs: transcription factor responsive elements; HSPs: heat shock proteins; TF: transcription factor</w:t>
      </w:r>
      <w:r w:rsidR="004F3BEB" w:rsidRPr="00AF6446">
        <w:rPr>
          <w:rFonts w:eastAsia="Times New Roman" w:cs="Arial"/>
          <w:b/>
          <w:bCs/>
          <w:szCs w:val="22"/>
        </w:rPr>
        <w:t xml:space="preserve">. </w:t>
      </w:r>
      <w:r w:rsidRPr="00AF6446">
        <w:rPr>
          <w:rFonts w:eastAsia="Times New Roman" w:cs="Arial"/>
          <w:b/>
          <w:bCs/>
          <w:szCs w:val="22"/>
        </w:rPr>
        <w:t>From (59).</w:t>
      </w:r>
    </w:p>
    <w:p w14:paraId="660AE204" w14:textId="77777777" w:rsidR="004F3BEB" w:rsidRPr="00AF6446" w:rsidRDefault="004F3BEB" w:rsidP="00AF6446">
      <w:pPr>
        <w:shd w:val="clear" w:color="auto" w:fill="FFFFFF"/>
        <w:rPr>
          <w:rFonts w:eastAsia="Times New Roman" w:cs="Arial"/>
          <w:szCs w:val="22"/>
        </w:rPr>
      </w:pPr>
    </w:p>
    <w:p w14:paraId="3756BD36" w14:textId="6A5520B8" w:rsidR="00290B68" w:rsidRPr="00AF6446" w:rsidRDefault="00290B68" w:rsidP="00AF6446">
      <w:pPr>
        <w:shd w:val="clear" w:color="auto" w:fill="FFFFFF"/>
        <w:rPr>
          <w:rFonts w:eastAsia="Times New Roman" w:cs="Arial"/>
          <w:szCs w:val="22"/>
        </w:rPr>
      </w:pPr>
      <w:r w:rsidRPr="00AF6446">
        <w:rPr>
          <w:rFonts w:eastAsia="Times New Roman" w:cs="Arial"/>
          <w:szCs w:val="22"/>
        </w:rPr>
        <w:t>Several mechanisms have been postulated for the regulation of GRa nuclear export [27]. The Ca</w:t>
      </w:r>
      <w:r w:rsidRPr="00AF6446">
        <w:rPr>
          <w:rFonts w:eastAsia="Times New Roman" w:cs="Arial"/>
          <w:szCs w:val="22"/>
          <w:vertAlign w:val="superscript"/>
        </w:rPr>
        <w:t>2+</w:t>
      </w:r>
      <w:r w:rsidRPr="00AF6446">
        <w:rPr>
          <w:rFonts w:eastAsia="Times New Roman" w:cs="Arial"/>
          <w:szCs w:val="22"/>
        </w:rPr>
        <w:t>-binding protein calreticulin plays a role in the nuclear export of GRa, directly binding to the DBD of this receptor (60-62). In contrast, the CRM1/exportin and the classic nuclear export signal (NES)-mediated nuclear export machinery does not appear to be functional directly on GR (50,60,63). Rather, NES-harboring and phospho-serine/threonine-binding protein 14-3-3s can bind the human GR phosphorylated at serine 134, and segregates the nuclear GRa into the cytoplasm (64,65) (see also Section </w:t>
      </w:r>
      <w:r w:rsidRPr="00ED1422">
        <w:rPr>
          <w:rFonts w:eastAsia="Times New Roman" w:cs="Arial"/>
          <w:szCs w:val="22"/>
        </w:rPr>
        <w:t>FACTORS THAT MODULATE GR ACTIONS, B. </w:t>
      </w:r>
      <w:r w:rsidRPr="00AF6446">
        <w:rPr>
          <w:rFonts w:eastAsia="Times New Roman" w:cs="Arial"/>
          <w:szCs w:val="22"/>
        </w:rPr>
        <w:t>Epigenetic Modulation of GRa, Phosphorylation).</w:t>
      </w:r>
    </w:p>
    <w:p w14:paraId="0E1E31C0" w14:textId="77777777" w:rsidR="004F3BEB" w:rsidRPr="00AF6446" w:rsidRDefault="004F3BEB" w:rsidP="00AF6446">
      <w:pPr>
        <w:shd w:val="clear" w:color="auto" w:fill="FFFFFF"/>
        <w:rPr>
          <w:rFonts w:eastAsia="Times New Roman" w:cs="Arial"/>
          <w:szCs w:val="22"/>
        </w:rPr>
      </w:pPr>
    </w:p>
    <w:p w14:paraId="15A581A9" w14:textId="37675A3C" w:rsidR="00290B68" w:rsidRPr="00AF6446" w:rsidRDefault="00290B68" w:rsidP="00AF6446">
      <w:pPr>
        <w:shd w:val="clear" w:color="auto" w:fill="FFFFFF"/>
        <w:rPr>
          <w:rFonts w:eastAsia="Times New Roman" w:cs="Arial"/>
          <w:szCs w:val="22"/>
        </w:rPr>
      </w:pPr>
      <w:r w:rsidRPr="00AF6446">
        <w:rPr>
          <w:rFonts w:eastAsia="Times New Roman" w:cs="Arial"/>
          <w:szCs w:val="22"/>
        </w:rPr>
        <w:lastRenderedPageBreak/>
        <w:t>In addition to translocating into the nucleus, GRa was reported to shuttle into mitochondria upon ligand activation and to stimulate mitochondrial gene expression by binding to their own DNA (66) (</w:t>
      </w:r>
      <w:hyperlink r:id="rId31" w:tgtFrame="object" w:history="1">
        <w:r w:rsidRPr="00F47850">
          <w:rPr>
            <w:rFonts w:eastAsia="Times New Roman" w:cs="Arial"/>
            <w:szCs w:val="22"/>
          </w:rPr>
          <w:t>Figure 8</w:t>
        </w:r>
      </w:hyperlink>
      <w:r w:rsidRPr="00AF6446">
        <w:rPr>
          <w:rFonts w:eastAsia="Times New Roman" w:cs="Arial"/>
          <w:szCs w:val="22"/>
        </w:rPr>
        <w:t>). Exposure of rats to stress or corticosterone induces translocation of GRa to mitochondria and modulates mitochondrial mRNA expression (67), indicating that this activity of GRa is evident at an animal level. GRa was also shown to move into the lysosome, which leads to the negative regulation of its transcriptional activity (68).</w:t>
      </w:r>
    </w:p>
    <w:p w14:paraId="12FD6E37" w14:textId="77777777" w:rsidR="004F3BEB" w:rsidRPr="00AF6446" w:rsidRDefault="004F3BEB" w:rsidP="00AF6446">
      <w:pPr>
        <w:shd w:val="clear" w:color="auto" w:fill="FFFFFF"/>
        <w:rPr>
          <w:rFonts w:eastAsia="Times New Roman" w:cs="Arial"/>
          <w:szCs w:val="22"/>
        </w:rPr>
      </w:pPr>
    </w:p>
    <w:p w14:paraId="096BE273" w14:textId="1F79F339"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Mechanisms of GRa-mediated Activation of Transcription</w:t>
      </w:r>
    </w:p>
    <w:p w14:paraId="247490E0" w14:textId="77777777" w:rsidR="004F3BEB" w:rsidRPr="00AF6446" w:rsidRDefault="004F3BEB" w:rsidP="00AF6446">
      <w:pPr>
        <w:shd w:val="clear" w:color="auto" w:fill="FFFFFF"/>
        <w:outlineLvl w:val="2"/>
        <w:rPr>
          <w:rFonts w:eastAsia="Times New Roman" w:cs="Arial"/>
          <w:b/>
          <w:bCs/>
          <w:szCs w:val="22"/>
        </w:rPr>
      </w:pPr>
    </w:p>
    <w:p w14:paraId="0ADB1625" w14:textId="77777777" w:rsidR="00290B68" w:rsidRPr="00AF6446" w:rsidRDefault="00290B68" w:rsidP="00AF6446">
      <w:pPr>
        <w:shd w:val="clear" w:color="auto" w:fill="FFFFFF"/>
        <w:rPr>
          <w:rFonts w:eastAsia="Times New Roman" w:cs="Arial"/>
          <w:szCs w:val="22"/>
        </w:rPr>
      </w:pPr>
      <w:r w:rsidRPr="00AF6446">
        <w:rPr>
          <w:rFonts w:eastAsia="Times New Roman" w:cs="Arial"/>
          <w:szCs w:val="22"/>
        </w:rPr>
        <w:t>Classically, GRa exerts its transcriptional activity on glucocorticoid-responsive genes by binding to GREs located in the promoter region of these genes (69). The optimal tandem GREs is an inverted hexameric palindrome separated by 3 base pairs, PuGNACANNNTGTNCPy, on which each GRa molecule binds one of the palindromes, forming a homodimer on this binding site through multiple contacts between the 2 receptors (70,71). Recent research indicated that sequence variation of GREs, including 3 non-specific spacer nucleotides, influences the 3-dimensional structure of DBD and modulates the transcriptional activity of whole GRa molecule (72,73); Binding of GRa DBD to GRE DNA sequence induces conformational changes in the dimerization surface located in D-loop through the lever arm, which positions itself between the first a-helix and D-loop (Figure 4A). Two receptors bound on each GRE half site then communicate with each other with their GRE sequence-specific dimerization surfaces, and ultimately develop net transcriptional activity. These findings suggest that DNA GRE is a sequence-specific allosteric modulator of GRa transcriptional activity through alteration of its protein conformation, explaining in part gene-specific transcriptional effects of this receptor.</w:t>
      </w:r>
    </w:p>
    <w:p w14:paraId="11ED3E0B" w14:textId="26E69993" w:rsidR="00290B68" w:rsidRPr="00AF6446" w:rsidRDefault="00290B68" w:rsidP="00AF6446">
      <w:pPr>
        <w:shd w:val="clear" w:color="auto" w:fill="FFFFFF"/>
        <w:rPr>
          <w:rFonts w:eastAsia="Times New Roman" w:cs="Arial"/>
          <w:szCs w:val="22"/>
        </w:rPr>
      </w:pPr>
      <w:r w:rsidRPr="00AF6446">
        <w:rPr>
          <w:rFonts w:eastAsia="Times New Roman" w:cs="Arial"/>
          <w:szCs w:val="22"/>
        </w:rPr>
        <w:t>The GRE-bound GRa stimulates the transcription rates of glucocorticoid-responsive genes by facilitating formation of the transcription initiation complex on the GREs-containing promoter of these genes via its AF-1 and AF-2 transactivation domains (74) (</w:t>
      </w:r>
      <w:hyperlink r:id="rId32" w:tgtFrame="object" w:history="1">
        <w:r w:rsidRPr="00F47850">
          <w:rPr>
            <w:rFonts w:eastAsia="Times New Roman" w:cs="Arial"/>
            <w:szCs w:val="22"/>
          </w:rPr>
          <w:t>Figure 3</w:t>
        </w:r>
      </w:hyperlink>
      <w:r w:rsidRPr="00AF6446">
        <w:rPr>
          <w:rFonts w:eastAsia="Times New Roman" w:cs="Arial"/>
          <w:szCs w:val="22"/>
        </w:rPr>
        <w:t>). Actions of AF-1 located in NTD of GRa is ligand-independent, while AF-2 is created on GRa LBD upon ligand-binding (75).</w:t>
      </w:r>
    </w:p>
    <w:p w14:paraId="779E58B7" w14:textId="77777777" w:rsidR="004F3BEB" w:rsidRPr="00AF6446" w:rsidRDefault="004F3BEB" w:rsidP="00AF6446">
      <w:pPr>
        <w:shd w:val="clear" w:color="auto" w:fill="FFFFFF"/>
        <w:rPr>
          <w:rFonts w:eastAsia="Times New Roman" w:cs="Arial"/>
          <w:szCs w:val="22"/>
        </w:rPr>
      </w:pPr>
    </w:p>
    <w:p w14:paraId="5571F31A" w14:textId="77777777" w:rsidR="00290B68" w:rsidRPr="00AF6446" w:rsidRDefault="00290B68" w:rsidP="00AF6446">
      <w:pPr>
        <w:shd w:val="clear" w:color="auto" w:fill="FFFFFF"/>
        <w:rPr>
          <w:rFonts w:eastAsia="Times New Roman" w:cs="Arial"/>
          <w:szCs w:val="22"/>
        </w:rPr>
      </w:pPr>
      <w:r w:rsidRPr="00AF6446">
        <w:rPr>
          <w:rFonts w:eastAsia="Times New Roman" w:cs="Arial"/>
          <w:szCs w:val="22"/>
        </w:rPr>
        <w:t>The transcription initiation complex attracted and formed on DNA-bound GRa is a mega protein structure that include over 100 proteins with different activities, such as RNA polymerase II and its ancillary factors, general transcription factors and numerous co-regulatory molecules with/without enzymatic activities (74). Research studies aimed to identify molecules interacting with GRa AF-2 have led to several proteins and protein complexes, called coactivators or cofactors, that form a bridge between DNA-bound GRa and the transcription initiation complex, and assist enzymatically with the transmission of the glucocorticoid signal to RNA synthesis promoted by the RNA polymerase II (76) (</w:t>
      </w:r>
      <w:hyperlink r:id="rId33" w:tgtFrame="object" w:history="1">
        <w:r w:rsidRPr="00F47850">
          <w:rPr>
            <w:rFonts w:eastAsia="Times New Roman" w:cs="Arial"/>
            <w:szCs w:val="22"/>
          </w:rPr>
          <w:t>Figure 9</w:t>
        </w:r>
      </w:hyperlink>
      <w:r w:rsidRPr="00AF6446">
        <w:rPr>
          <w:rFonts w:eastAsia="Times New Roman" w:cs="Arial"/>
          <w:szCs w:val="22"/>
        </w:rPr>
        <w:t xml:space="preserve">). These include: (1) p300 and the homologous cAMP-responsive element-binding protein (CREB)-binding protein (CBP), which also serve as macromolecular docking “platforms” for transcription factors from several signal transduction cascades, including NRs, CREB, activator protein-1 (AP-1), NF-kB, p53, Ras-dependent growth factor, and signal transducers and stimulators of transcription (STATs) (77). Because of their central position in many signal transduction cascades, the p300/CBP coactivators are also called co-integrators; (2) p300/CBP-associated factor (p/CAF), originally reported as a human homologue of yeast Gcn5, which interacts with p300/CBP and is also a </w:t>
      </w:r>
      <w:r w:rsidRPr="00AF6446">
        <w:rPr>
          <w:rFonts w:eastAsia="Times New Roman" w:cs="Arial"/>
          <w:szCs w:val="22"/>
        </w:rPr>
        <w:lastRenderedPageBreak/>
        <w:t>broad transcription coactivator (78,79); and (3) the p160 family of coactivators, which preferentially interact with SRs (80). These include the steroid receptor coactivator-1 (SRC-1), SRC-2, which consists of transcription intermediate factor-II (TIF-II) and the glucocorticoid receptor-interacting protein-1 (GRIP1), and SRC-3, which consists of the p300/CBP/co-integrator-associated protein (p/CIP), activator of thyroid receptor (ACTR) and the receptor-associated coactivator-3 (RAC3) (76,80,81). These 3 subclasses of p160 family coactivators are also called, respectively, as nuclear receptor coactivators (NCoA) 1, 2 and 3.</w:t>
      </w:r>
    </w:p>
    <w:p w14:paraId="0F8814C0"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209.%20Schematic%20model%20demonstrating%20the%20interaction%20and%20activity%20of%20HAT%20coactivators%20and%20other%20chromatin%20modulators%2C%20which%20are%20attracted%20by%20GR%20to%20the%20promoter%20region%20of%20glucocorticoid-responsive%20genes.&amp;p=BOOKS&amp;id=279171_glucocort-receptor_GR-Figure-9.jpg" \o "Click on image to zoom" \t "tileshopwindow" </w:instrText>
      </w:r>
      <w:r w:rsidRPr="00AF6446">
        <w:rPr>
          <w:rFonts w:eastAsia="Times New Roman" w:cs="Arial"/>
          <w:szCs w:val="22"/>
        </w:rPr>
        <w:fldChar w:fldCharType="separate"/>
      </w:r>
    </w:p>
    <w:p w14:paraId="4DD0ED41" w14:textId="0F05C06F"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drawing>
          <wp:inline distT="0" distB="0" distL="0" distR="0" wp14:anchorId="4621F7B7" wp14:editId="016024C2">
            <wp:extent cx="6144883" cy="3871276"/>
            <wp:effectExtent l="0" t="0" r="8890" b="0"/>
            <wp:docPr id="29" name="Picture 29" descr="Figure 9. Schematic model demonstrating the interaction and activity of HAT coactivators and other chromatin modulators, which are attracted by GR to the promoter region of glucocorticoid-responsive genes.">
              <a:hlinkClick xmlns:a="http://schemas.openxmlformats.org/drawingml/2006/main" r:id="rId34"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9. Schematic model demonstrating the interaction and activity of HAT coactivators and other chromatin modulators, which are attracted by GR to the promoter region of glucocorticoid-responsive genes.">
                      <a:hlinkClick r:id="rId34" tgtFrame="&quot;tileshopwindow&quot;" tooltip="&quot;Click on image to zoom&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3715" cy="3908340"/>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9</w:t>
      </w:r>
      <w:r w:rsidR="004F3BEB" w:rsidRPr="00AF6446">
        <w:rPr>
          <w:rFonts w:eastAsia="Times New Roman" w:cs="Arial"/>
          <w:b/>
          <w:bCs/>
          <w:szCs w:val="22"/>
        </w:rPr>
        <w:t xml:space="preserve">. </w:t>
      </w:r>
      <w:r w:rsidRPr="00AF6446">
        <w:rPr>
          <w:rFonts w:eastAsia="Times New Roman" w:cs="Arial"/>
          <w:b/>
          <w:bCs/>
          <w:szCs w:val="22"/>
        </w:rPr>
        <w:t>Schematic model demonstrating the interaction and activity of HAT coactivators and other chromatin modulators, which are attracted by GR to the promoter region of glucocorticoid-responsive genes. Promoter-associated GR is cleared by the ubiquitin-proteasomal pathway, which regulates turnover of GR on DNA. Modified from (82)</w:t>
      </w:r>
      <w:r w:rsidR="00ED1422">
        <w:rPr>
          <w:rFonts w:eastAsia="Times New Roman" w:cs="Arial"/>
          <w:b/>
          <w:bCs/>
          <w:szCs w:val="22"/>
        </w:rPr>
        <w:t xml:space="preserve">. </w:t>
      </w:r>
      <w:r w:rsidRPr="00AF6446">
        <w:rPr>
          <w:rFonts w:eastAsia="Times New Roman" w:cs="Arial"/>
          <w:b/>
          <w:bCs/>
          <w:szCs w:val="22"/>
        </w:rPr>
        <w:t>AF-1 and -2: activation function-1 and -2; CBP: cAMP-responsive element-binding protein (CREB)-binding protein; DRIP: vitamin D receptor-interacting protein; GREs: glucocorticoid response elements; p/CAF: p300/CBP-associated factor; SWI/SNF: mating-type switching/sucrose non-fermenting; TRAP: thyroid hormone receptor-associated protein.</w:t>
      </w:r>
    </w:p>
    <w:p w14:paraId="65036250" w14:textId="77777777" w:rsidR="004F3BEB" w:rsidRPr="00AF6446" w:rsidRDefault="004F3BEB" w:rsidP="00AF6446">
      <w:pPr>
        <w:shd w:val="clear" w:color="auto" w:fill="FFFFFF"/>
        <w:rPr>
          <w:rFonts w:eastAsia="Times New Roman" w:cs="Arial"/>
          <w:szCs w:val="22"/>
        </w:rPr>
      </w:pPr>
    </w:p>
    <w:p w14:paraId="632AA776" w14:textId="072B666B"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The p160 coactivators are the first to be attracted to the DNA-bound NRs and help accumulating p300/CBP and p/CAF proteins to the promoter region, indicating that p160 proteins play a pivotal role in NR-mediated transactivation. A study using the cryoelectron microscopy demonstrated detailed attraction modes of p160 proteins and p300/CBP to DNA-bound and ligand-activated ERa (83); Each of the tandem ER response elements (EREs)-bound </w:t>
      </w:r>
      <w:r w:rsidRPr="00AF6446">
        <w:rPr>
          <w:rFonts w:eastAsia="Times New Roman" w:cs="Arial"/>
          <w:szCs w:val="22"/>
        </w:rPr>
        <w:lastRenderedPageBreak/>
        <w:t>receptors independently attracts one p160 molecule via the transactivation surface of the receptor created by their AF-1 and AF-2. Then, the two NCoAs attracted to the receptors recruits one p300/CBP molecule to the DNA/receptors/p160s complex through multiple contacts mediated by different portions of the p160 proteins.</w:t>
      </w:r>
    </w:p>
    <w:p w14:paraId="11A48C74" w14:textId="77777777" w:rsidR="004F3BEB" w:rsidRPr="00AF6446" w:rsidRDefault="004F3BEB" w:rsidP="00AF6446">
      <w:pPr>
        <w:shd w:val="clear" w:color="auto" w:fill="FFFFFF"/>
        <w:rPr>
          <w:rFonts w:eastAsia="Times New Roman" w:cs="Arial"/>
          <w:szCs w:val="22"/>
        </w:rPr>
      </w:pPr>
    </w:p>
    <w:p w14:paraId="76673354" w14:textId="2788EEE7" w:rsidR="00290B68" w:rsidRPr="00AF6446" w:rsidRDefault="00290B68" w:rsidP="00AF6446">
      <w:pPr>
        <w:shd w:val="clear" w:color="auto" w:fill="FFFFFF"/>
        <w:rPr>
          <w:rFonts w:eastAsia="Times New Roman" w:cs="Arial"/>
          <w:szCs w:val="22"/>
        </w:rPr>
      </w:pPr>
      <w:r w:rsidRPr="00AF6446">
        <w:rPr>
          <w:rFonts w:eastAsia="Times New Roman" w:cs="Arial"/>
          <w:szCs w:val="22"/>
        </w:rPr>
        <w:t>In addition to physical interaction and subsequent formation of the transcriptional initiating complex on the DNA-bound receptors by these coactivators (that is assembly of transcriptional initiation complex), these molecules have intrinsic histone acetyltransferase (HAT) activity through which they acetylate specific lysine residues of chromatin-bound histones, loosen the tightly assembled chromatin structure and facilitate access of other transcription factors and transcriptional complexes to the promoter region (76). These HAT coactivators also acetylate specific lysine residues of their own molecules, NRs and other transcription factors, and modulate their mutual protein-protein interaction and/or association to attracted promoters (84-86). The p160 family coactivators and p300/CBP protein contain one or more copies of the coactivator signature motif sequence LxxLL, where L is leucine and x is any amino acid (80,87). LxxLL forms a helical structure, and develops multiple hydrophobic bonds with its leucine residues to the AF-2 surface, which is created by helixes 3, 4 and 12 of the GRa LBD upon binding to ligand glucocorticoid (Figure 10A). p160-type coactivators contain 3 LxxLL motifs in its nuclear receptor-binding box (NRB) located in their central portion (76) (Figure 10B). Each of these motifs demonstrates different affinity to various NRs, indicating that specific p160 proteins participate in the transcriptional activity of particular NRs through preferential use of LxxLL motifs (88). For example, GRa preferentially interacts with GRIP1 p160 protein through C-terminally located 3</w:t>
      </w:r>
      <w:r w:rsidRPr="00AF6446">
        <w:rPr>
          <w:rFonts w:eastAsia="Times New Roman" w:cs="Arial"/>
          <w:szCs w:val="22"/>
          <w:vertAlign w:val="superscript"/>
        </w:rPr>
        <w:t>rd</w:t>
      </w:r>
      <w:r w:rsidRPr="00AF6446">
        <w:rPr>
          <w:rFonts w:eastAsia="Times New Roman" w:cs="Arial"/>
          <w:szCs w:val="22"/>
        </w:rPr>
        <w:t> LxxLL motif of this coactivator (89).</w:t>
      </w:r>
    </w:p>
    <w:p w14:paraId="70291912"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2010.%20p160%20coactivators%20physically%20interact%20with%20its%20multiple%20LxxLL%20motifs%20to%20the%20AF-2%20surface%20of%20GR.&amp;p=BOOKS&amp;id=279171_glucocort-receptor_GR-Figure-10.jpg" \o "Click on image to zoom" \t "tileshopwindow" </w:instrText>
      </w:r>
      <w:r w:rsidRPr="00AF6446">
        <w:rPr>
          <w:rFonts w:eastAsia="Times New Roman" w:cs="Arial"/>
          <w:szCs w:val="22"/>
        </w:rPr>
        <w:fldChar w:fldCharType="separate"/>
      </w:r>
    </w:p>
    <w:p w14:paraId="2DCB5EB3" w14:textId="218A5257"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615DCA5D" wp14:editId="4D5277E6">
            <wp:extent cx="6193379" cy="4606326"/>
            <wp:effectExtent l="0" t="0" r="0" b="3810"/>
            <wp:docPr id="30" name="Picture 30" descr="Figure 10. p160 coactivators physically interact with its multiple LxxLL motifs to the AF-2 surface of GR.">
              <a:hlinkClick xmlns:a="http://schemas.openxmlformats.org/drawingml/2006/main" r:id="rId36"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10. p160 coactivators physically interact with its multiple LxxLL motifs to the AF-2 surface of GR.">
                      <a:hlinkClick r:id="rId36" tgtFrame="&quot;tileshopwindow&quot;" tooltip="&quot;Click on image to zoom&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7209" cy="4631487"/>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10</w:t>
      </w:r>
      <w:r w:rsidR="004F3BEB" w:rsidRPr="00AF6446">
        <w:rPr>
          <w:rFonts w:eastAsia="Times New Roman" w:cs="Arial"/>
          <w:b/>
          <w:bCs/>
          <w:szCs w:val="22"/>
        </w:rPr>
        <w:t xml:space="preserve">. </w:t>
      </w:r>
      <w:r w:rsidRPr="00AF6446">
        <w:rPr>
          <w:rFonts w:eastAsia="Times New Roman" w:cs="Arial"/>
          <w:b/>
          <w:bCs/>
          <w:szCs w:val="22"/>
        </w:rPr>
        <w:t>p160 coactivators physically interact with its multiple LxxLL motifs to the AF-2 surface of GR.</w:t>
      </w:r>
      <w:r w:rsidR="00ED1422">
        <w:rPr>
          <w:rFonts w:eastAsia="Times New Roman" w:cs="Arial"/>
          <w:b/>
          <w:bCs/>
          <w:szCs w:val="22"/>
        </w:rPr>
        <w:t xml:space="preserve"> </w:t>
      </w:r>
      <w:r w:rsidRPr="00AF6446">
        <w:rPr>
          <w:rFonts w:eastAsia="Times New Roman" w:cs="Arial"/>
          <w:b/>
          <w:bCs/>
          <w:szCs w:val="22"/>
        </w:rPr>
        <w:t>A: 3-dimensional interaction image of GR AF-2 and the LXXLL peptide.</w:t>
      </w:r>
      <w:r w:rsidR="00080643">
        <w:rPr>
          <w:rFonts w:eastAsia="Times New Roman" w:cs="Arial"/>
          <w:b/>
          <w:bCs/>
          <w:szCs w:val="22"/>
        </w:rPr>
        <w:t xml:space="preserve"> </w:t>
      </w:r>
      <w:r w:rsidRPr="00AF6446">
        <w:rPr>
          <w:rFonts w:eastAsia="Times New Roman" w:cs="Arial"/>
          <w:b/>
          <w:bCs/>
          <w:szCs w:val="22"/>
        </w:rPr>
        <w:t>The GR AF-2 surface has three large pockets into which core leucines (L745, L748 and L749) of the LXXLL peptide deeply bury themselves. There are additional intermolecular contacts that are important for peptide binding, including the electrostatic bonds created between (i) R746 (LXXLL peptide) and D590 (receptor), (ii) D750 (LXXLL peptide) and R585 (receptor) and (iii) D752 (LXXLL peptide) and K579 (receptor).</w:t>
      </w:r>
      <w:r w:rsidR="00ED1422">
        <w:rPr>
          <w:rFonts w:eastAsia="Times New Roman" w:cs="Arial"/>
          <w:b/>
          <w:bCs/>
          <w:szCs w:val="22"/>
        </w:rPr>
        <w:t xml:space="preserve"> </w:t>
      </w:r>
      <w:r w:rsidRPr="00AF6446">
        <w:rPr>
          <w:rFonts w:eastAsia="Times New Roman" w:cs="Arial"/>
          <w:b/>
          <w:bCs/>
          <w:szCs w:val="22"/>
        </w:rPr>
        <w:t>From (89).</w:t>
      </w:r>
      <w:r w:rsidR="00ED1422">
        <w:rPr>
          <w:rFonts w:eastAsia="Times New Roman" w:cs="Arial"/>
          <w:b/>
          <w:bCs/>
          <w:szCs w:val="22"/>
        </w:rPr>
        <w:t xml:space="preserve"> </w:t>
      </w:r>
      <w:r w:rsidRPr="00AF6446">
        <w:rPr>
          <w:rFonts w:eastAsia="Times New Roman" w:cs="Arial"/>
          <w:b/>
          <w:bCs/>
          <w:szCs w:val="22"/>
        </w:rPr>
        <w:t>B: p160-type coactivators (NCoAs) have 3 LxxLL motifs in their NR-binding box (NRB).</w:t>
      </w:r>
      <w:r w:rsidR="00080643">
        <w:rPr>
          <w:rFonts w:eastAsia="Times New Roman" w:cs="Arial"/>
          <w:b/>
          <w:bCs/>
          <w:szCs w:val="22"/>
        </w:rPr>
        <w:t xml:space="preserve"> </w:t>
      </w:r>
      <w:r w:rsidRPr="00AF6446">
        <w:rPr>
          <w:rFonts w:eastAsia="Times New Roman" w:cs="Arial"/>
          <w:b/>
          <w:bCs/>
          <w:szCs w:val="22"/>
        </w:rPr>
        <w:t>Linearlized GRIP1 (NCoA2) molecule with NRB located in the middle portion is shown as a representative of the p160-type coactivators (NCoAs). In addition to NRB, GRIP1 has the basic helix-loop-helix (bLHL) and the PAS domains in its N-terminal portion, and p300/CBP-binding domain and one transactivation domain containing the HAT domain in the C-terminus.</w:t>
      </w:r>
    </w:p>
    <w:p w14:paraId="16FFFABE" w14:textId="77777777" w:rsidR="004F3BEB" w:rsidRPr="00AF6446" w:rsidRDefault="004F3BEB" w:rsidP="00AF6446">
      <w:pPr>
        <w:shd w:val="clear" w:color="auto" w:fill="FFFFFF"/>
        <w:rPr>
          <w:rFonts w:eastAsia="Times New Roman" w:cs="Arial"/>
          <w:szCs w:val="22"/>
        </w:rPr>
      </w:pPr>
    </w:p>
    <w:p w14:paraId="6DFCBDA9" w14:textId="75430C0F"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The AF-2 transactivation domain of GRa also attracts several other distinct chromatin modulators, such as the mating-type switching/sucrose non-fermenting (SWI/SNF) complex and components of the vitamin D receptor-interacting protein/thyroid hormone receptor-associated protein (DRIP/TRAP) complex (76). The SWI/SNF complex is an ATP-dependent chromatin remodeling factor with a multi-subunit structure in which the ATPase domain functions as the </w:t>
      </w:r>
      <w:r w:rsidRPr="00AF6446">
        <w:rPr>
          <w:rFonts w:eastAsia="Times New Roman" w:cs="Arial"/>
          <w:szCs w:val="22"/>
        </w:rPr>
        <w:lastRenderedPageBreak/>
        <w:t>catalytic center (90). Depending on the energy of ATP hydrolysis, the SWI/SNF complex introduces superhelical torsion into DNA. One of its components, SNF2 binds to AF-2 of GRa directly, functioning as an interface between the GRa and the SWI/SNF complex (91). The DRIP/TRAP complex is also a multiprotein conglomerate, which consists of over 10 different proteins, including DRIP205/TRAP220/PBP and components of SMCC (76). The DRIP/TRAP complex may modulate transcription through interaction and modification of general transcription factors, such as TFIIH or the C-terminal tail of the RNA polymerase II. DRIP205/TRAP220 contains two LxxLL motifs through which it binds to the ligand-activated AF-2 directly (92). Since the DRIP/TRAP complex and p160 coactivators use the same motif for interaction with NRs, they may bind to the same site of these receptors and sequentially interact with them for full activation of transcription. Alternatively, they may interact with a particular set of NRs, or have a different effect on different tissues (76,81).</w:t>
      </w:r>
    </w:p>
    <w:p w14:paraId="28328EC4" w14:textId="77777777" w:rsidR="004F3BEB" w:rsidRPr="00AF6446" w:rsidRDefault="004F3BEB" w:rsidP="00AF6446">
      <w:pPr>
        <w:shd w:val="clear" w:color="auto" w:fill="FFFFFF"/>
        <w:rPr>
          <w:rFonts w:eastAsia="Times New Roman" w:cs="Arial"/>
          <w:szCs w:val="22"/>
        </w:rPr>
      </w:pPr>
    </w:p>
    <w:p w14:paraId="1404E4EC" w14:textId="369BBDA9" w:rsidR="00290B68" w:rsidRPr="00AF6446" w:rsidRDefault="00290B68" w:rsidP="00AF6446">
      <w:pPr>
        <w:shd w:val="clear" w:color="auto" w:fill="FFFFFF"/>
        <w:rPr>
          <w:rFonts w:eastAsia="Times New Roman" w:cs="Arial"/>
          <w:szCs w:val="22"/>
        </w:rPr>
      </w:pPr>
      <w:r w:rsidRPr="00AF6446">
        <w:rPr>
          <w:rFonts w:eastAsia="Times New Roman" w:cs="Arial"/>
          <w:szCs w:val="22"/>
        </w:rPr>
        <w:t>In contrast to the mechanisms of transactivation by AF-2, those of AF-1 are not as well elucidated yet. Using the yeast system, the Ada complex may act on AF-1-mediated transcriptional activation through direct interaction to this module (93). The SWI/SNF complex, TBP and the HAT coactivators, such as p160 and p300/CBP, also physically interact with AF-1 and mediate its transcriptional activity (94-97). In addition, DRIP150, a component of the DRIP/TRAP complex, and the tumor susceptibility gene 101 (TSG101) interact with the AF-1 of the GRa in a yeast two-hybrid screening (98). The RNA coactivator, steroid RNA activator (SRA), also interacts with AF-1 (99). Given that any of these molecules and complexes interact with both AF-1 and AF-2, it is likely that concurrent activation of AF-1 and AF-2 by their common and/or distinct binding partners may be necessary for optimal activation of GRa-mediated transcriptional activity (100).</w:t>
      </w:r>
    </w:p>
    <w:p w14:paraId="0FC7C8AD" w14:textId="77777777" w:rsidR="004F3BEB" w:rsidRPr="00AF6446" w:rsidRDefault="004F3BEB" w:rsidP="00AF6446">
      <w:pPr>
        <w:shd w:val="clear" w:color="auto" w:fill="FFFFFF"/>
        <w:rPr>
          <w:rFonts w:eastAsia="Times New Roman" w:cs="Arial"/>
          <w:szCs w:val="22"/>
        </w:rPr>
      </w:pPr>
    </w:p>
    <w:p w14:paraId="1ACEF433" w14:textId="723E5EA4" w:rsidR="00290B68" w:rsidRDefault="00290B68" w:rsidP="00AF6446">
      <w:pPr>
        <w:shd w:val="clear" w:color="auto" w:fill="FFFFFF"/>
        <w:rPr>
          <w:rFonts w:eastAsia="Times New Roman" w:cs="Arial"/>
          <w:szCs w:val="22"/>
        </w:rPr>
      </w:pPr>
      <w:r w:rsidRPr="00AF6446">
        <w:rPr>
          <w:rFonts w:eastAsia="Times New Roman" w:cs="Arial"/>
          <w:szCs w:val="22"/>
        </w:rPr>
        <w:t>Several coactivators supporting the particular actions of glucocorticoids have been identified for GRa. The PPARg coactivator-1a (PGC1a) is a ~800 amino acid single polypeptide molecule originally identified as a cofactor physically interacting with PPARg in the yeast two-hybrid screening using a brown adipocyte cDNA library (101). PGC1a has an essential role in thermogeneration and energy metabolism by controlling mitochondrial biogenesis (101). It also regulates gluconeogenesis and cholesterol metabolism, as well as blood pressure and muscle fiber determination through physical interaction with various NRs, transcriptional factors and coactivators, such as PPARa, hepatocyte nuclear factor 4, CREB, nuclear respiratory factors, and p160 and p300/CBP coactivators (101). GRa also interacts physically with PGC1a through the latter’s LxxLL motif and this interaction is important for stimulation of gluconeogenesis through transcriptional stimulation of the 2 key genes respectively encoding the glucose-6-phosphatase (G6P) and the phosphoenolpyruvate carboxykinase (PEPCK) (101). It is known that longevity-associated histone deacetylase Sirt1 regulates PGC1a activity through its deacetylase activity-dependent or -independent manner (102,103). Sirt1 is shown to interact physically with GRa as well, and PGC1a and Sirt1 cooperatively enhance GR-induced transcriptional activity of glucocorticoid-re</w:t>
      </w:r>
      <w:r w:rsidR="00C2630B" w:rsidRPr="00AF6446">
        <w:rPr>
          <w:rFonts w:eastAsia="Times New Roman" w:cs="Arial"/>
          <w:szCs w:val="22"/>
        </w:rPr>
        <w:t>sponsive genes (104</w:t>
      </w:r>
      <w:r w:rsidRPr="00AF6446">
        <w:rPr>
          <w:rFonts w:eastAsia="Times New Roman" w:cs="Arial"/>
          <w:szCs w:val="22"/>
        </w:rPr>
        <w:t>).</w:t>
      </w:r>
    </w:p>
    <w:p w14:paraId="5DC1B19D" w14:textId="77777777" w:rsidR="00ED1422" w:rsidRPr="00AF6446" w:rsidRDefault="00ED1422" w:rsidP="00AF6446">
      <w:pPr>
        <w:shd w:val="clear" w:color="auto" w:fill="FFFFFF"/>
        <w:rPr>
          <w:rFonts w:eastAsia="Times New Roman" w:cs="Arial"/>
          <w:szCs w:val="22"/>
        </w:rPr>
      </w:pPr>
    </w:p>
    <w:p w14:paraId="107B006D" w14:textId="188D7EB0"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The CREB-regulated transcription coactivator 2 (CRTC2) is a coactivator previously known to be specific to CREB, and plays a central role in the glucagon-mediated activation of </w:t>
      </w:r>
      <w:r w:rsidRPr="00AF6446">
        <w:rPr>
          <w:rFonts w:eastAsia="Times New Roman" w:cs="Arial"/>
          <w:szCs w:val="22"/>
        </w:rPr>
        <w:lastRenderedPageBreak/>
        <w:t>gluconeogenesis in</w:t>
      </w:r>
      <w:r w:rsidR="0053711F" w:rsidRPr="00AF6446">
        <w:rPr>
          <w:rFonts w:eastAsia="Times New Roman" w:cs="Arial"/>
          <w:szCs w:val="22"/>
        </w:rPr>
        <w:t xml:space="preserve"> the early phase of fasting (105</w:t>
      </w:r>
      <w:r w:rsidRPr="00AF6446">
        <w:rPr>
          <w:rFonts w:eastAsia="Times New Roman" w:cs="Arial"/>
          <w:szCs w:val="22"/>
        </w:rPr>
        <w:t>). This coactivator functions also as a coactivator of GRa by physically interacting with its LBD outside of AF-2, and is required for glucocorticoid-mediated early phase gluconeogenesis by supporting the transcriptional activity of GRa on the </w:t>
      </w:r>
      <w:r w:rsidRPr="00AF6446">
        <w:rPr>
          <w:rFonts w:eastAsia="Times New Roman" w:cs="Arial"/>
          <w:i/>
          <w:iCs/>
          <w:szCs w:val="22"/>
        </w:rPr>
        <w:t>G6P</w:t>
      </w:r>
      <w:r w:rsidRPr="00AF6446">
        <w:rPr>
          <w:rFonts w:eastAsia="Times New Roman" w:cs="Arial"/>
          <w:szCs w:val="22"/>
        </w:rPr>
        <w:t> and </w:t>
      </w:r>
      <w:r w:rsidRPr="00AF6446">
        <w:rPr>
          <w:rFonts w:eastAsia="Times New Roman" w:cs="Arial"/>
          <w:i/>
          <w:iCs/>
          <w:szCs w:val="22"/>
        </w:rPr>
        <w:t>PEPCK</w:t>
      </w:r>
      <w:r w:rsidRPr="00AF6446">
        <w:rPr>
          <w:rFonts w:eastAsia="Times New Roman" w:cs="Arial"/>
          <w:szCs w:val="22"/>
        </w:rPr>
        <w:t> genes, while PGC1a cooperates with GRa for maintaining a late phase of fast</w:t>
      </w:r>
      <w:r w:rsidR="0053711F" w:rsidRPr="00AF6446">
        <w:rPr>
          <w:rFonts w:eastAsia="Times New Roman" w:cs="Arial"/>
          <w:szCs w:val="22"/>
        </w:rPr>
        <w:t>ing-induced gluconeogenesis (106</w:t>
      </w:r>
      <w:r w:rsidRPr="00AF6446">
        <w:rPr>
          <w:rFonts w:eastAsia="Times New Roman" w:cs="Arial"/>
          <w:szCs w:val="22"/>
        </w:rPr>
        <w:t>).</w:t>
      </w:r>
    </w:p>
    <w:p w14:paraId="2BE7D826" w14:textId="77777777" w:rsidR="00F13F73" w:rsidRPr="00AF6446" w:rsidRDefault="00F13F73" w:rsidP="00AF6446">
      <w:pPr>
        <w:shd w:val="clear" w:color="auto" w:fill="FFFFFF"/>
        <w:rPr>
          <w:rFonts w:eastAsia="Times New Roman" w:cs="Arial"/>
          <w:szCs w:val="22"/>
        </w:rPr>
      </w:pPr>
    </w:p>
    <w:p w14:paraId="59CC1C67" w14:textId="412666DA" w:rsidR="00290B68" w:rsidRPr="00AF6446" w:rsidRDefault="00290B68" w:rsidP="00AF6446">
      <w:pPr>
        <w:shd w:val="clear" w:color="auto" w:fill="FFFFFF"/>
        <w:rPr>
          <w:rFonts w:eastAsia="Times New Roman" w:cs="Arial"/>
          <w:szCs w:val="22"/>
        </w:rPr>
      </w:pPr>
      <w:r w:rsidRPr="00AF6446">
        <w:rPr>
          <w:rFonts w:eastAsia="Times New Roman" w:cs="Arial"/>
          <w:szCs w:val="22"/>
        </w:rPr>
        <w:t>Presence of numerous transcriptional cofactors that interact with GRa and influence its transcriptional activity indicate that they may have functional redundancy and/or activities specific to each of them, regulating p</w:t>
      </w:r>
      <w:r w:rsidR="00661222" w:rsidRPr="00AF6446">
        <w:rPr>
          <w:rFonts w:eastAsia="Times New Roman" w:cs="Arial"/>
          <w:szCs w:val="22"/>
        </w:rPr>
        <w:t>articular sets of GRa-responsive genes. A</w:t>
      </w:r>
      <w:r w:rsidRPr="00AF6446">
        <w:rPr>
          <w:rFonts w:eastAsia="Times New Roman" w:cs="Arial"/>
          <w:szCs w:val="22"/>
        </w:rPr>
        <w:t xml:space="preserve"> </w:t>
      </w:r>
      <w:r w:rsidR="00661222" w:rsidRPr="00AF6446">
        <w:rPr>
          <w:rFonts w:eastAsia="Times New Roman" w:cs="Arial"/>
          <w:szCs w:val="22"/>
        </w:rPr>
        <w:t>study</w:t>
      </w:r>
      <w:r w:rsidRPr="00AF6446">
        <w:rPr>
          <w:rFonts w:eastAsia="Times New Roman" w:cs="Arial"/>
          <w:szCs w:val="22"/>
        </w:rPr>
        <w:t xml:space="preserve"> employing knockdown of GRa</w:t>
      </w:r>
      <w:r w:rsidR="000524AB" w:rsidRPr="00AF6446">
        <w:rPr>
          <w:rFonts w:eastAsia="Times New Roman" w:cs="Arial"/>
          <w:szCs w:val="22"/>
        </w:rPr>
        <w:t>lpha</w:t>
      </w:r>
      <w:r w:rsidRPr="00AF6446">
        <w:rPr>
          <w:rFonts w:eastAsia="Times New Roman" w:cs="Arial"/>
          <w:szCs w:val="22"/>
        </w:rPr>
        <w:t xml:space="preserve"> cofactors, such as </w:t>
      </w:r>
      <w:r w:rsidRPr="00AF6446">
        <w:rPr>
          <w:rFonts w:eastAsia="Times New Roman" w:cs="Arial"/>
          <w:i/>
          <w:iCs/>
          <w:szCs w:val="22"/>
        </w:rPr>
        <w:t>CCAR1</w:t>
      </w:r>
      <w:r w:rsidRPr="00AF6446">
        <w:rPr>
          <w:rFonts w:eastAsia="Times New Roman" w:cs="Arial"/>
          <w:szCs w:val="22"/>
        </w:rPr>
        <w:t>, </w:t>
      </w:r>
      <w:r w:rsidRPr="00AF6446">
        <w:rPr>
          <w:rFonts w:eastAsia="Times New Roman" w:cs="Arial"/>
          <w:i/>
          <w:iCs/>
          <w:szCs w:val="22"/>
        </w:rPr>
        <w:t>CCAR2</w:t>
      </w:r>
      <w:r w:rsidRPr="00AF6446">
        <w:rPr>
          <w:rFonts w:eastAsia="Times New Roman" w:cs="Arial"/>
          <w:szCs w:val="22"/>
        </w:rPr>
        <w:t>, </w:t>
      </w:r>
      <w:r w:rsidRPr="00AF6446">
        <w:rPr>
          <w:rFonts w:eastAsia="Times New Roman" w:cs="Arial"/>
          <w:i/>
          <w:iCs/>
          <w:szCs w:val="22"/>
        </w:rPr>
        <w:t>CALCOCO1</w:t>
      </w:r>
      <w:r w:rsidRPr="00AF6446">
        <w:rPr>
          <w:rFonts w:eastAsia="Times New Roman" w:cs="Arial"/>
          <w:szCs w:val="22"/>
        </w:rPr>
        <w:t> or </w:t>
      </w:r>
      <w:r w:rsidRPr="00AF6446">
        <w:rPr>
          <w:rFonts w:eastAsia="Times New Roman" w:cs="Arial"/>
          <w:i/>
          <w:iCs/>
          <w:szCs w:val="22"/>
        </w:rPr>
        <w:t>ZNF282</w:t>
      </w:r>
      <w:r w:rsidRPr="00AF6446">
        <w:rPr>
          <w:rFonts w:eastAsia="Times New Roman" w:cs="Arial"/>
          <w:szCs w:val="22"/>
        </w:rPr>
        <w:t>, has addressed this important issue: it revealed that knockdown of any of these cofactor molecules resulted in specific impact on the expression of a particular set of gluc</w:t>
      </w:r>
      <w:r w:rsidR="00661222" w:rsidRPr="00AF6446">
        <w:rPr>
          <w:rFonts w:eastAsia="Times New Roman" w:cs="Arial"/>
          <w:szCs w:val="22"/>
        </w:rPr>
        <w:t>ocorticoid-responsive genes (107</w:t>
      </w:r>
      <w:r w:rsidRPr="00AF6446">
        <w:rPr>
          <w:rFonts w:eastAsia="Times New Roman" w:cs="Arial"/>
          <w:szCs w:val="22"/>
        </w:rPr>
        <w:t>), suggesting that each cofactor molecule has distinct transcriptional regulatory activity on GRa, thus their expression profiles in tissues/organs potentially influence the transcriptional activity of GRa in respective tissues.</w:t>
      </w:r>
    </w:p>
    <w:p w14:paraId="7CA8A6C0" w14:textId="77777777" w:rsidR="00F13F73" w:rsidRPr="00AF6446" w:rsidRDefault="00F13F73" w:rsidP="00AF6446">
      <w:pPr>
        <w:shd w:val="clear" w:color="auto" w:fill="FFFFFF"/>
        <w:rPr>
          <w:rFonts w:eastAsia="Times New Roman" w:cs="Arial"/>
          <w:szCs w:val="22"/>
        </w:rPr>
      </w:pPr>
    </w:p>
    <w:p w14:paraId="066A8E36" w14:textId="6D11FE12" w:rsidR="00290B68" w:rsidRPr="00AF6446" w:rsidRDefault="00290B68" w:rsidP="00AF6446">
      <w:pPr>
        <w:shd w:val="clear" w:color="auto" w:fill="FFFFFF"/>
        <w:outlineLvl w:val="2"/>
        <w:rPr>
          <w:rFonts w:eastAsia="Times New Roman" w:cs="Arial"/>
          <w:b/>
          <w:bCs/>
          <w:szCs w:val="22"/>
        </w:rPr>
      </w:pPr>
      <w:r w:rsidRPr="008063DA">
        <w:rPr>
          <w:rFonts w:eastAsia="Times New Roman" w:cs="Arial"/>
          <w:b/>
          <w:bCs/>
          <w:color w:val="00B050"/>
          <w:szCs w:val="22"/>
        </w:rPr>
        <w:t>Emerging Concept on GRa-mediated Transcriptional Repression</w:t>
      </w:r>
    </w:p>
    <w:p w14:paraId="664CEF26" w14:textId="77777777" w:rsidR="00F13F73" w:rsidRPr="00AF6446" w:rsidRDefault="00F13F73" w:rsidP="00AF6446">
      <w:pPr>
        <w:shd w:val="clear" w:color="auto" w:fill="FFFFFF"/>
        <w:outlineLvl w:val="2"/>
        <w:rPr>
          <w:rFonts w:eastAsia="Times New Roman" w:cs="Arial"/>
          <w:b/>
          <w:bCs/>
          <w:szCs w:val="22"/>
        </w:rPr>
      </w:pPr>
    </w:p>
    <w:p w14:paraId="40DE6B95" w14:textId="527B339E" w:rsidR="00290B68" w:rsidRPr="00AF6446" w:rsidRDefault="00290B68" w:rsidP="00AF6446">
      <w:pPr>
        <w:shd w:val="clear" w:color="auto" w:fill="FFFFFF"/>
        <w:rPr>
          <w:rFonts w:eastAsia="Times New Roman" w:cs="Arial"/>
          <w:szCs w:val="22"/>
        </w:rPr>
      </w:pPr>
      <w:r w:rsidRPr="00AF6446">
        <w:rPr>
          <w:rFonts w:eastAsia="Times New Roman" w:cs="Arial"/>
          <w:szCs w:val="22"/>
        </w:rPr>
        <w:t>GRa has long been believed to exert its transcriptional activity by binding to the classic GREs, which consists of inverted hexameric palindrome separated by 3 base pairs. However, Surjit, </w:t>
      </w:r>
      <w:r w:rsidRPr="00AF6446">
        <w:rPr>
          <w:rFonts w:eastAsia="Times New Roman" w:cs="Arial"/>
          <w:i/>
          <w:iCs/>
          <w:szCs w:val="22"/>
        </w:rPr>
        <w:t>et al</w:t>
      </w:r>
      <w:r w:rsidRPr="00AF6446">
        <w:rPr>
          <w:rFonts w:eastAsia="Times New Roman" w:cs="Arial"/>
          <w:szCs w:val="22"/>
        </w:rPr>
        <w:t>. identified unique DNA sequences also targeted by the GRa DBD, called “negative” GREs (nGREs), which play substantial roles in gene tr</w:t>
      </w:r>
      <w:r w:rsidR="00A12174" w:rsidRPr="00AF6446">
        <w:rPr>
          <w:rFonts w:eastAsia="Times New Roman" w:cs="Arial"/>
          <w:szCs w:val="22"/>
        </w:rPr>
        <w:t>ansrepression caused by GRa (108</w:t>
      </w:r>
      <w:r w:rsidRPr="00AF6446">
        <w:rPr>
          <w:rFonts w:eastAsia="Times New Roman" w:cs="Arial"/>
          <w:szCs w:val="22"/>
        </w:rPr>
        <w:t>). The consensus sequence of nGREs is an inverted quadrimeric palindrome separated by 0-2 nucleotide pairs (</w:t>
      </w:r>
      <w:r w:rsidRPr="00AF6446">
        <w:rPr>
          <w:rFonts w:eastAsia="Times New Roman" w:cs="Arial"/>
          <w:szCs w:val="22"/>
          <w:u w:val="single"/>
        </w:rPr>
        <w:t>CTCC</w:t>
      </w:r>
      <w:r w:rsidRPr="00AF6446">
        <w:rPr>
          <w:rFonts w:eastAsia="Times New Roman" w:cs="Arial"/>
          <w:szCs w:val="22"/>
        </w:rPr>
        <w:t>(N)0–2</w:t>
      </w:r>
      <w:r w:rsidRPr="00AF6446">
        <w:rPr>
          <w:rFonts w:eastAsia="Times New Roman" w:cs="Arial"/>
          <w:szCs w:val="22"/>
          <w:u w:val="single"/>
        </w:rPr>
        <w:t>GGAG</w:t>
      </w:r>
      <w:r w:rsidRPr="00AF6446">
        <w:rPr>
          <w:rFonts w:eastAsia="Times New Roman" w:cs="Arial"/>
          <w:szCs w:val="22"/>
        </w:rPr>
        <w:t>A). In the structural study employing the prototype nGREs found in the thymic stromal lymphoprotein (</w:t>
      </w:r>
      <w:r w:rsidRPr="00AF6446">
        <w:rPr>
          <w:rFonts w:eastAsia="Times New Roman" w:cs="Arial"/>
          <w:i/>
          <w:iCs/>
          <w:szCs w:val="22"/>
        </w:rPr>
        <w:t>TSLP</w:t>
      </w:r>
      <w:r w:rsidRPr="00AF6446">
        <w:rPr>
          <w:rFonts w:eastAsia="Times New Roman" w:cs="Arial"/>
          <w:szCs w:val="22"/>
        </w:rPr>
        <w:t>) promoter as a model, 2 GRa molecules bound each palindrome as a monomer with different affinity in a head-to-tail fashion, in contrast to GRa-classic GREs where 2 receptors bind DN</w:t>
      </w:r>
      <w:r w:rsidR="00A12174" w:rsidRPr="00AF6446">
        <w:rPr>
          <w:rFonts w:eastAsia="Times New Roman" w:cs="Arial"/>
          <w:szCs w:val="22"/>
        </w:rPr>
        <w:t>A in a head-to-head fashion (109</w:t>
      </w:r>
      <w:r w:rsidRPr="00AF6446">
        <w:rPr>
          <w:rFonts w:eastAsia="Times New Roman" w:cs="Arial"/>
          <w:szCs w:val="22"/>
        </w:rPr>
        <w:t>) (</w:t>
      </w:r>
      <w:hyperlink r:id="rId38" w:tgtFrame="object" w:history="1">
        <w:r w:rsidRPr="00F47850">
          <w:rPr>
            <w:rFonts w:eastAsia="Times New Roman" w:cs="Arial"/>
            <w:szCs w:val="22"/>
          </w:rPr>
          <w:t>Figure 11</w:t>
        </w:r>
      </w:hyperlink>
      <w:r w:rsidRPr="00AF6446">
        <w:rPr>
          <w:rFonts w:eastAsia="Times New Roman" w:cs="Arial"/>
          <w:szCs w:val="22"/>
        </w:rPr>
        <w:t>). nGREs are ubiquitously present in the genes repressed by glucocorticoids throughout several animal species, facilitating access of the silencing mediator for retinoid and thyroid hormone receptors (SMRT)/nuclear receptor corepressor (NCoR)-repressing complexes on the agonist-associated GRa bound on these sequences. This is a new concept, indicating that direct binding of GRa through its DBD to DNA sequences distinct from those of the classic GREs mediates glucocorticoid-induced transcription</w:t>
      </w:r>
      <w:r w:rsidR="00A12174" w:rsidRPr="00AF6446">
        <w:rPr>
          <w:rFonts w:eastAsia="Times New Roman" w:cs="Arial"/>
          <w:szCs w:val="22"/>
        </w:rPr>
        <w:t>al repression. However, a</w:t>
      </w:r>
      <w:r w:rsidRPr="00AF6446">
        <w:rPr>
          <w:rFonts w:eastAsia="Times New Roman" w:cs="Arial"/>
          <w:szCs w:val="22"/>
        </w:rPr>
        <w:t xml:space="preserve"> genome-wide study revealed that classic GREs and the “new” nGREs both contribute to transactivation and transrepression of glucocorticoid-responsive genes, suggesting that GRa-targeting DNA sequences </w:t>
      </w:r>
      <w:r w:rsidRPr="00AF6446">
        <w:rPr>
          <w:rFonts w:eastAsia="Times New Roman" w:cs="Arial"/>
          <w:i/>
          <w:iCs/>
          <w:szCs w:val="22"/>
        </w:rPr>
        <w:t>per se</w:t>
      </w:r>
      <w:r w:rsidRPr="00AF6446">
        <w:rPr>
          <w:rFonts w:eastAsia="Times New Roman" w:cs="Arial"/>
          <w:szCs w:val="22"/>
        </w:rPr>
        <w:t> are insufficient to confer direction of transcriptional regulation, but epigenetic factors and subsequent chromatin modificat</w:t>
      </w:r>
      <w:r w:rsidR="00A12174" w:rsidRPr="00AF6446">
        <w:rPr>
          <w:rFonts w:eastAsia="Times New Roman" w:cs="Arial"/>
          <w:szCs w:val="22"/>
        </w:rPr>
        <w:t>ion may play critical roles (110</w:t>
      </w:r>
      <w:r w:rsidRPr="00AF6446">
        <w:rPr>
          <w:rFonts w:eastAsia="Times New Roman" w:cs="Arial"/>
          <w:szCs w:val="22"/>
        </w:rPr>
        <w:t>).</w:t>
      </w:r>
    </w:p>
    <w:p w14:paraId="2FD21549"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"https://www.ncbi.nlm.nih.gov/core/lw/2.0/html/tileshop_pmc/tileshop_pmc_inline.html?title=Figure%2011.%20GR%20binds%20nGREs%20as%20a%20monomer.&amp;p=BOOKS&amp;id=279171_glucocort-receptor_GR-Figure-11.jpg" \o "Click on image to zoom" \t "tileshopwindow" </w:instrText>
      </w:r>
      <w:r w:rsidRPr="00AF6446">
        <w:rPr>
          <w:rFonts w:eastAsia="Times New Roman" w:cs="Arial"/>
          <w:szCs w:val="22"/>
        </w:rPr>
        <w:fldChar w:fldCharType="separate"/>
      </w:r>
    </w:p>
    <w:p w14:paraId="68C60F1F" w14:textId="2E5F1FE8"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5616784D" wp14:editId="064D9960">
            <wp:extent cx="6205268" cy="3234496"/>
            <wp:effectExtent l="0" t="0" r="5080" b="4445"/>
            <wp:docPr id="31" name="Picture 31" descr="Figure 11. GR binds nGREs as a monomer.">
              <a:hlinkClick xmlns:a="http://schemas.openxmlformats.org/drawingml/2006/main" r:id="rId39"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11. GR binds nGREs as a monomer.">
                      <a:hlinkClick r:id="rId39" tgtFrame="&quot;tileshopwindow&quot;" tooltip="&quot;Click on image to zoom&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1973" cy="3274478"/>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11</w:t>
      </w:r>
      <w:r w:rsidR="00F13F73" w:rsidRPr="00AF6446">
        <w:rPr>
          <w:rFonts w:eastAsia="Times New Roman" w:cs="Arial"/>
          <w:b/>
          <w:bCs/>
          <w:szCs w:val="22"/>
        </w:rPr>
        <w:t xml:space="preserve">. </w:t>
      </w:r>
      <w:r w:rsidRPr="00AF6446">
        <w:rPr>
          <w:rFonts w:eastAsia="Times New Roman" w:cs="Arial"/>
          <w:b/>
          <w:bCs/>
          <w:szCs w:val="22"/>
        </w:rPr>
        <w:t>GR binds nGREs as a monomer.</w:t>
      </w:r>
      <w:r w:rsidR="00ED1422">
        <w:rPr>
          <w:rFonts w:eastAsia="Times New Roman" w:cs="Arial"/>
          <w:b/>
          <w:bCs/>
          <w:szCs w:val="22"/>
        </w:rPr>
        <w:t xml:space="preserve"> </w:t>
      </w:r>
      <w:r w:rsidRPr="00AF6446">
        <w:rPr>
          <w:rFonts w:eastAsia="Times New Roman" w:cs="Arial"/>
          <w:b/>
          <w:bCs/>
          <w:szCs w:val="22"/>
        </w:rPr>
        <w:t>GR binds nGREs as a monomer at each of its half site (A) in contrast to its binding as a homo-dimer to classic GREs (B). nGREs of the mouse TSLP gene is used as an example.</w:t>
      </w:r>
      <w:r w:rsidR="00ED1422">
        <w:rPr>
          <w:rFonts w:eastAsia="Times New Roman" w:cs="Arial"/>
          <w:b/>
          <w:bCs/>
          <w:szCs w:val="22"/>
        </w:rPr>
        <w:t xml:space="preserve"> </w:t>
      </w:r>
      <w:r w:rsidRPr="00AF6446">
        <w:rPr>
          <w:rFonts w:eastAsia="Times New Roman" w:cs="Arial"/>
          <w:b/>
          <w:bCs/>
          <w:szCs w:val="22"/>
        </w:rPr>
        <w:t>Images are from the PDB Website (www.rcsb.org). Image data for GR interaction with nGREs and classic GREs are DOI: 10.2210/pdb4hn5/pdb and DOI: 10.2210/pdb3g9m/pdb, respectively.</w:t>
      </w:r>
    </w:p>
    <w:p w14:paraId="5FE2692C" w14:textId="77777777" w:rsidR="00F13F73" w:rsidRPr="00AF6446" w:rsidRDefault="00F13F73" w:rsidP="00AF6446">
      <w:pPr>
        <w:shd w:val="clear" w:color="auto" w:fill="FFFFFF"/>
        <w:rPr>
          <w:rFonts w:eastAsia="Times New Roman" w:cs="Arial"/>
          <w:b/>
          <w:bCs/>
          <w:szCs w:val="22"/>
        </w:rPr>
      </w:pPr>
    </w:p>
    <w:p w14:paraId="113F1937" w14:textId="0BE9AF54"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Interaction of GRa with Transcription Factors</w:t>
      </w:r>
    </w:p>
    <w:p w14:paraId="1EF7E409" w14:textId="77777777" w:rsidR="00F13F73" w:rsidRPr="00AF6446" w:rsidRDefault="00F13F73" w:rsidP="00AF6446">
      <w:pPr>
        <w:shd w:val="clear" w:color="auto" w:fill="FFFFFF"/>
        <w:outlineLvl w:val="2"/>
        <w:rPr>
          <w:rFonts w:eastAsia="Times New Roman" w:cs="Arial"/>
          <w:b/>
          <w:bCs/>
          <w:szCs w:val="22"/>
        </w:rPr>
      </w:pPr>
    </w:p>
    <w:p w14:paraId="3CB71D9C" w14:textId="26F401CA" w:rsidR="00290B68" w:rsidRPr="00AF6446" w:rsidRDefault="00290B68" w:rsidP="00AF6446">
      <w:pPr>
        <w:shd w:val="clear" w:color="auto" w:fill="FFFFFF"/>
        <w:rPr>
          <w:rFonts w:eastAsia="Times New Roman" w:cs="Arial"/>
          <w:szCs w:val="22"/>
        </w:rPr>
      </w:pPr>
      <w:r w:rsidRPr="00AF6446">
        <w:rPr>
          <w:rFonts w:eastAsia="Times New Roman" w:cs="Arial"/>
          <w:szCs w:val="22"/>
        </w:rPr>
        <w:t>Glucocorticoids exert their diverse effects through its single receptor protein module, the GRa. In addition to direct regulation of gene expression through GRa/DNA interaction, these hormones affect other signal transduction cascades through mutual protein-protein interactions between specific transcription factors and GRa, influencing the former’s ability to stimulate or inhibit the transcription rates of the respective target genes.</w:t>
      </w:r>
    </w:p>
    <w:p w14:paraId="79F57806" w14:textId="77777777" w:rsidR="00F13F73" w:rsidRPr="00AF6446" w:rsidRDefault="00F13F73" w:rsidP="00AF6446">
      <w:pPr>
        <w:shd w:val="clear" w:color="auto" w:fill="FFFFFF"/>
        <w:rPr>
          <w:rFonts w:eastAsia="Times New Roman" w:cs="Arial"/>
          <w:szCs w:val="22"/>
        </w:rPr>
      </w:pPr>
    </w:p>
    <w:p w14:paraId="57F7C037" w14:textId="7C043257"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The protein-protein interaction of GRa with other transcription factors may take place on the promoters that do not contain GREs (tethering mechanism), as well as on those having both GRE(s) and responsive element(s) of the transcription factors that interact with </w:t>
      </w:r>
      <w:r w:rsidR="00371409" w:rsidRPr="00AF6446">
        <w:rPr>
          <w:rFonts w:eastAsia="Times New Roman" w:cs="Arial"/>
          <w:szCs w:val="22"/>
        </w:rPr>
        <w:t>GRa (“composite promoters”) (111</w:t>
      </w:r>
      <w:r w:rsidRPr="00AF6446">
        <w:rPr>
          <w:rFonts w:eastAsia="Times New Roman" w:cs="Arial"/>
          <w:szCs w:val="22"/>
        </w:rPr>
        <w:t>) (</w:t>
      </w:r>
      <w:hyperlink r:id="rId41" w:tgtFrame="object" w:history="1">
        <w:r w:rsidRPr="00ED1422">
          <w:rPr>
            <w:rFonts w:eastAsia="Times New Roman" w:cs="Arial"/>
            <w:szCs w:val="22"/>
          </w:rPr>
          <w:t>Figure 12</w:t>
        </w:r>
      </w:hyperlink>
      <w:r w:rsidRPr="00AF6446">
        <w:rPr>
          <w:rFonts w:eastAsia="Times New Roman" w:cs="Arial"/>
          <w:szCs w:val="22"/>
        </w:rPr>
        <w:t>). Repression of the transactivation activity of other transcription factors through protein-protein interaction may be particularly important in suppression of immune function and infl</w:t>
      </w:r>
      <w:r w:rsidR="00371409" w:rsidRPr="00AF6446">
        <w:rPr>
          <w:rFonts w:eastAsia="Times New Roman" w:cs="Arial"/>
          <w:szCs w:val="22"/>
        </w:rPr>
        <w:t>ammation by glucocorticoids (112,113</w:t>
      </w:r>
      <w:r w:rsidRPr="00AF6446">
        <w:rPr>
          <w:rFonts w:eastAsia="Times New Roman" w:cs="Arial"/>
          <w:szCs w:val="22"/>
        </w:rPr>
        <w:t>). Substantial part of the effects of glucocorticoids on the immune system may be explained by the interaction between GRa and NF-kB, AP-1 and p</w:t>
      </w:r>
      <w:r w:rsidR="00371409" w:rsidRPr="00AF6446">
        <w:rPr>
          <w:rFonts w:eastAsia="Times New Roman" w:cs="Arial"/>
          <w:szCs w:val="22"/>
        </w:rPr>
        <w:t>robably STATs (114-116</w:t>
      </w:r>
      <w:r w:rsidRPr="00AF6446">
        <w:rPr>
          <w:rFonts w:eastAsia="Times New Roman" w:cs="Arial"/>
          <w:szCs w:val="22"/>
        </w:rPr>
        <w:t xml:space="preserve">). It was also reported that GRa directly interacts with </w:t>
      </w:r>
      <w:r w:rsidR="00371409" w:rsidRPr="00AF6446">
        <w:rPr>
          <w:rFonts w:eastAsia="Times New Roman" w:cs="Arial"/>
          <w:szCs w:val="22"/>
        </w:rPr>
        <w:t xml:space="preserve">the </w:t>
      </w:r>
      <w:r w:rsidRPr="00AF6446">
        <w:rPr>
          <w:rFonts w:eastAsia="Times New Roman" w:cs="Arial"/>
          <w:szCs w:val="22"/>
        </w:rPr>
        <w:t>transcription factors “T-box expressed in T-cells” (T-bet) and GATA-3, which play key roles respectively in the differentiation of T helper-1 and T helper-2 lymphocytes</w:t>
      </w:r>
      <w:r w:rsidR="00371409" w:rsidRPr="00AF6446">
        <w:rPr>
          <w:rFonts w:eastAsia="Times New Roman" w:cs="Arial"/>
          <w:szCs w:val="22"/>
        </w:rPr>
        <w:t xml:space="preserve"> (117,118</w:t>
      </w:r>
      <w:r w:rsidRPr="00AF6446">
        <w:rPr>
          <w:rFonts w:eastAsia="Times New Roman" w:cs="Arial"/>
          <w:szCs w:val="22"/>
        </w:rPr>
        <w:t>). GRa also influences indirectly the actions of the interferon regulatory factor-3 (IRF-3) through the p160 nuclear receptor GRIP1, by competing with this factor for</w:t>
      </w:r>
      <w:r w:rsidR="00371409" w:rsidRPr="00AF6446">
        <w:rPr>
          <w:rFonts w:eastAsia="Times New Roman" w:cs="Arial"/>
          <w:szCs w:val="22"/>
        </w:rPr>
        <w:t xml:space="preserve"> binding to the </w:t>
      </w:r>
      <w:r w:rsidR="00371409" w:rsidRPr="00AF6446">
        <w:rPr>
          <w:rFonts w:eastAsia="Times New Roman" w:cs="Arial"/>
          <w:szCs w:val="22"/>
        </w:rPr>
        <w:lastRenderedPageBreak/>
        <w:t>coactivator (119</w:t>
      </w:r>
      <w:r w:rsidRPr="00AF6446">
        <w:rPr>
          <w:rFonts w:eastAsia="Times New Roman" w:cs="Arial"/>
          <w:szCs w:val="22"/>
        </w:rPr>
        <w:t>). These transcription factors are important for the regulation of immune function and the above interactions may explain some GR actions on the immune system. The following subsections will discuss GRa-interacting</w:t>
      </w:r>
      <w:r w:rsidR="00371409" w:rsidRPr="00AF6446">
        <w:rPr>
          <w:rFonts w:eastAsia="Times New Roman" w:cs="Arial"/>
          <w:szCs w:val="22"/>
        </w:rPr>
        <w:t xml:space="preserve"> </w:t>
      </w:r>
      <w:r w:rsidRPr="00AF6446">
        <w:rPr>
          <w:rFonts w:eastAsia="Times New Roman" w:cs="Arial"/>
          <w:szCs w:val="22"/>
        </w:rPr>
        <w:t>transcription factors and their effects on GRa-induced transcriptional activity.</w:t>
      </w:r>
    </w:p>
    <w:p w14:paraId="5695CFF3"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2012.%20Three%20different%20modes%20of%20transcriptional%20regulation%20of%20the%20glucocorticoid-responsive%20promoters%20by%20GR.&amp;p=BOOKS&amp;id=279171_glucocort-receptor_GR-Figure-12.jpg" \o "Click on image to zoom" \t "tileshopwindow" </w:instrText>
      </w:r>
      <w:r w:rsidRPr="00AF6446">
        <w:rPr>
          <w:rFonts w:eastAsia="Times New Roman" w:cs="Arial"/>
          <w:szCs w:val="22"/>
        </w:rPr>
        <w:fldChar w:fldCharType="separate"/>
      </w:r>
    </w:p>
    <w:p w14:paraId="75C6A965" w14:textId="7620034E"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drawing>
          <wp:inline distT="0" distB="0" distL="0" distR="0" wp14:anchorId="4B90E2B8" wp14:editId="0908B399">
            <wp:extent cx="5963728" cy="2348218"/>
            <wp:effectExtent l="0" t="0" r="0" b="0"/>
            <wp:docPr id="32" name="Picture 32" descr="Figure 12. Three different modes of transcriptional regulation of the glucocorticoid-responsive promoters by GR.">
              <a:hlinkClick xmlns:a="http://schemas.openxmlformats.org/drawingml/2006/main" r:id="rId42"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2. Three different modes of transcriptional regulation of the glucocorticoid-responsive promoters by GR.">
                      <a:hlinkClick r:id="rId42" tgtFrame="&quot;tileshopwindow&quot;" tooltip="&quot;Click on image to zoom&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542" cy="2396576"/>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12</w:t>
      </w:r>
      <w:r w:rsidR="00F13F73" w:rsidRPr="00AF6446">
        <w:rPr>
          <w:rFonts w:eastAsia="Times New Roman" w:cs="Arial"/>
          <w:b/>
          <w:bCs/>
          <w:szCs w:val="22"/>
        </w:rPr>
        <w:t xml:space="preserve">. </w:t>
      </w:r>
      <w:r w:rsidRPr="00AF6446">
        <w:rPr>
          <w:rFonts w:eastAsia="Times New Roman" w:cs="Arial"/>
          <w:b/>
          <w:bCs/>
          <w:szCs w:val="22"/>
        </w:rPr>
        <w:t>Three different modes of transcriptional regulation of the glucocorticoid-responsive promoters by GR.</w:t>
      </w:r>
      <w:r w:rsidR="00ED1422">
        <w:rPr>
          <w:rFonts w:eastAsia="Times New Roman" w:cs="Arial"/>
          <w:b/>
          <w:bCs/>
          <w:szCs w:val="22"/>
        </w:rPr>
        <w:t xml:space="preserve"> </w:t>
      </w:r>
      <w:r w:rsidRPr="00AF6446">
        <w:rPr>
          <w:rFonts w:eastAsia="Times New Roman" w:cs="Arial"/>
          <w:b/>
          <w:bCs/>
          <w:szCs w:val="22"/>
        </w:rPr>
        <w:t>GR may interact with other transcription factors directly or indirectly. Protein(s) or protein complex(es) may intermediate their interaction in the latter case.</w:t>
      </w:r>
      <w:r w:rsidR="00ED1422">
        <w:rPr>
          <w:rFonts w:eastAsia="Times New Roman" w:cs="Arial"/>
          <w:b/>
          <w:bCs/>
          <w:szCs w:val="22"/>
        </w:rPr>
        <w:t xml:space="preserve"> </w:t>
      </w:r>
      <w:r w:rsidRPr="00AF6446">
        <w:rPr>
          <w:rFonts w:eastAsia="Times New Roman" w:cs="Arial"/>
          <w:b/>
          <w:bCs/>
          <w:szCs w:val="22"/>
        </w:rPr>
        <w:t>GREs: glucocorticoid responsive elements; TF: transcription factor; TFREs: transcription factor responsive elements</w:t>
      </w:r>
    </w:p>
    <w:p w14:paraId="46BC41FF" w14:textId="77777777" w:rsidR="00F13F73" w:rsidRPr="00AF6446" w:rsidRDefault="00F13F73" w:rsidP="00AF6446">
      <w:pPr>
        <w:shd w:val="clear" w:color="auto" w:fill="FFFFFF"/>
        <w:rPr>
          <w:rFonts w:eastAsia="Times New Roman" w:cs="Arial"/>
          <w:szCs w:val="22"/>
        </w:rPr>
      </w:pPr>
    </w:p>
    <w:p w14:paraId="615D8964" w14:textId="3F3CA0D0"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Nuclear Factor-kB (NF-kB)</w:t>
      </w:r>
    </w:p>
    <w:p w14:paraId="13F23451" w14:textId="77777777" w:rsidR="00F13F73" w:rsidRPr="00AF6446" w:rsidRDefault="00F13F73" w:rsidP="00AF6446">
      <w:pPr>
        <w:shd w:val="clear" w:color="auto" w:fill="FFFFFF"/>
        <w:outlineLvl w:val="2"/>
        <w:rPr>
          <w:rFonts w:eastAsia="Times New Roman" w:cs="Arial"/>
          <w:b/>
          <w:bCs/>
          <w:szCs w:val="22"/>
        </w:rPr>
      </w:pPr>
    </w:p>
    <w:p w14:paraId="5C6CAB5A" w14:textId="537A3DD1" w:rsidR="00290B68" w:rsidRPr="00AF6446" w:rsidRDefault="00290B68" w:rsidP="00AF6446">
      <w:pPr>
        <w:shd w:val="clear" w:color="auto" w:fill="FFFFFF"/>
        <w:rPr>
          <w:rFonts w:eastAsia="Times New Roman" w:cs="Arial"/>
          <w:szCs w:val="22"/>
        </w:rPr>
      </w:pPr>
      <w:r w:rsidRPr="00AF6446">
        <w:rPr>
          <w:rFonts w:eastAsia="Times New Roman" w:cs="Arial"/>
          <w:szCs w:val="22"/>
        </w:rPr>
        <w:t>NF-kB is one of the most important transcription factors that regulate inflammation and immune function. NF-kB is stimulated by many inflamm</w:t>
      </w:r>
      <w:r w:rsidR="0084613D" w:rsidRPr="00AF6446">
        <w:rPr>
          <w:rFonts w:eastAsia="Times New Roman" w:cs="Arial"/>
          <w:szCs w:val="22"/>
        </w:rPr>
        <w:t>atory signals and cytokines (115,120</w:t>
      </w:r>
      <w:r w:rsidRPr="00AF6446">
        <w:rPr>
          <w:rFonts w:eastAsia="Times New Roman" w:cs="Arial"/>
          <w:szCs w:val="22"/>
        </w:rPr>
        <w:t xml:space="preserve">). It is a dimer of various members of the NF-kB/Rel family, including p50 (and its precursor p105), p52 (and its precursor p100), c-Rel, RelA and RelB in mammalian organisms. The heterodimer p65/p50 is a major and the most abundant form of NF-kB. In its inactive form, NF-kB creates a trimer with an additional regulatory protein, IkB in the cytoplasm. A variety of extracellular signals, such as bacterial and viral products (like lipopolysaccharide (LPS)) and several proinflammatory cytokines, induces phosphorylation of IkB by activating a cascade of kinases. The phosphorylated IkB then dissociates from NF-kB and is catabolized, while the liberated NF-kB enters into the nucleus where it binds to the kB-responsive elements in the promoter regions of its responsive genes. Ligand-activated GRa directly binds NF-kB p65 at its Rel homology domain through its DBD and suppresses the transcriptional activity of NF-kB, while NF-kB suppresses GRa-induced transactivation through GREs. Interaction with GRa inhibits binding of NF-kB to its responsive elements or neutralizes its ability to transmit an effective </w:t>
      </w:r>
      <w:r w:rsidR="0084613D" w:rsidRPr="00AF6446">
        <w:rPr>
          <w:rFonts w:eastAsia="Times New Roman" w:cs="Arial"/>
          <w:szCs w:val="22"/>
        </w:rPr>
        <w:t>signal (121-124</w:t>
      </w:r>
      <w:r w:rsidRPr="00AF6446">
        <w:rPr>
          <w:rFonts w:eastAsia="Times New Roman" w:cs="Arial"/>
          <w:szCs w:val="22"/>
        </w:rPr>
        <w:t xml:space="preserve">). The LBD of GRa is necessary </w:t>
      </w:r>
      <w:r w:rsidR="0084613D" w:rsidRPr="00AF6446">
        <w:rPr>
          <w:rFonts w:eastAsia="Times New Roman" w:cs="Arial"/>
          <w:szCs w:val="22"/>
        </w:rPr>
        <w:t>for this suppressive action (125</w:t>
      </w:r>
      <w:r w:rsidRPr="00AF6446">
        <w:rPr>
          <w:rFonts w:eastAsia="Times New Roman" w:cs="Arial"/>
          <w:szCs w:val="22"/>
        </w:rPr>
        <w:t>). GRa also suppresses NF-kB-induced transactivation by an additional mechanism, in which the GRa tethered to the kB-responsive promoters attracts histone deacetylases (HDACs) and/or modulates the phosphorylation of the RNA po</w:t>
      </w:r>
      <w:r w:rsidR="004D0A4F" w:rsidRPr="00AF6446">
        <w:rPr>
          <w:rFonts w:eastAsia="Times New Roman" w:cs="Arial"/>
          <w:szCs w:val="22"/>
        </w:rPr>
        <w:t>lymerase II C-terminal tail (126,127</w:t>
      </w:r>
      <w:r w:rsidRPr="00AF6446">
        <w:rPr>
          <w:rFonts w:eastAsia="Times New Roman" w:cs="Arial"/>
          <w:szCs w:val="22"/>
        </w:rPr>
        <w:t xml:space="preserve">). In addition, ligand-activated </w:t>
      </w:r>
      <w:r w:rsidRPr="00AF6446">
        <w:rPr>
          <w:rFonts w:eastAsia="Times New Roman" w:cs="Arial"/>
          <w:szCs w:val="22"/>
        </w:rPr>
        <w:lastRenderedPageBreak/>
        <w:t>GRa increases the synthesis of IkB by stimulating its promoter activity through classic GREs, thus segregating active NF-kB from the nucleus by forming inactive heterocomplexe</w:t>
      </w:r>
      <w:r w:rsidR="004D0A4F" w:rsidRPr="00AF6446">
        <w:rPr>
          <w:rFonts w:eastAsia="Times New Roman" w:cs="Arial"/>
          <w:szCs w:val="22"/>
        </w:rPr>
        <w:t>s with IkB in the cytoplasm (128</w:t>
      </w:r>
      <w:r w:rsidRPr="00AF6446">
        <w:rPr>
          <w:rFonts w:eastAsia="Times New Roman" w:cs="Arial"/>
          <w:szCs w:val="22"/>
        </w:rPr>
        <w:t>). A study further indicated that attraction of the p160 coactivator GRIP1 together with GRa to NF-kB is required for glucocorticoid-induced repression of NF-kB-mediated cytokine gene expression i</w:t>
      </w:r>
      <w:r w:rsidR="004D0A4F" w:rsidRPr="00AF6446">
        <w:rPr>
          <w:rFonts w:eastAsia="Times New Roman" w:cs="Arial"/>
          <w:szCs w:val="22"/>
        </w:rPr>
        <w:t>n mouse primary macrophages (129</w:t>
      </w:r>
      <w:r w:rsidRPr="00AF6446">
        <w:rPr>
          <w:rFonts w:eastAsia="Times New Roman" w:cs="Arial"/>
          <w:szCs w:val="22"/>
        </w:rPr>
        <w:t>).</w:t>
      </w:r>
    </w:p>
    <w:p w14:paraId="682645FC" w14:textId="77777777" w:rsidR="00F13F73" w:rsidRPr="00AF6446" w:rsidRDefault="00F13F73" w:rsidP="00AF6446">
      <w:pPr>
        <w:shd w:val="clear" w:color="auto" w:fill="FFFFFF"/>
        <w:rPr>
          <w:rFonts w:eastAsia="Times New Roman" w:cs="Arial"/>
          <w:szCs w:val="22"/>
        </w:rPr>
      </w:pPr>
    </w:p>
    <w:p w14:paraId="4FF6765C" w14:textId="1F57C6F7"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Activator Protein-1 (AP-1)</w:t>
      </w:r>
    </w:p>
    <w:p w14:paraId="0578B339" w14:textId="77777777" w:rsidR="00F13F73" w:rsidRPr="00AF6446" w:rsidRDefault="00F13F73" w:rsidP="00AF6446">
      <w:pPr>
        <w:shd w:val="clear" w:color="auto" w:fill="FFFFFF"/>
        <w:outlineLvl w:val="2"/>
        <w:rPr>
          <w:rFonts w:eastAsia="Times New Roman" w:cs="Arial"/>
          <w:b/>
          <w:bCs/>
          <w:szCs w:val="22"/>
        </w:rPr>
      </w:pPr>
    </w:p>
    <w:p w14:paraId="3D277905" w14:textId="56A69E29" w:rsidR="00290B68" w:rsidRPr="00AF6446" w:rsidRDefault="00290B68" w:rsidP="00AF6446">
      <w:pPr>
        <w:shd w:val="clear" w:color="auto" w:fill="FFFFFF"/>
        <w:rPr>
          <w:rFonts w:eastAsia="Times New Roman" w:cs="Arial"/>
          <w:szCs w:val="22"/>
        </w:rPr>
      </w:pPr>
      <w:r w:rsidRPr="00AF6446">
        <w:rPr>
          <w:rFonts w:eastAsia="Times New Roman" w:cs="Arial"/>
          <w:szCs w:val="22"/>
        </w:rPr>
        <w:t>AP-1 is a transcription factor, which regulates diverse gene expression involved in cell prolif</w:t>
      </w:r>
      <w:r w:rsidR="0017133A" w:rsidRPr="00AF6446">
        <w:rPr>
          <w:rFonts w:eastAsia="Times New Roman" w:cs="Arial"/>
          <w:szCs w:val="22"/>
        </w:rPr>
        <w:t>eration and differentiation (114,130,131</w:t>
      </w:r>
      <w:r w:rsidRPr="00AF6446">
        <w:rPr>
          <w:rFonts w:eastAsia="Times New Roman" w:cs="Arial"/>
          <w:szCs w:val="22"/>
        </w:rPr>
        <w:t>). It acts as a dimer of the bZip protein family members, in which c-Fos and c-Jun heterodimers are most abundant. AP-1 transduces biological activities of phorbol esters, growth factors and pro-inflammatory cytokines, such as IL-1 and tumor necrosis factor (TNF) a. These compounds/cytokines stimulate different members of the mitogen-activated protein kinase (MAPK) family, e.g., p38 MAPK, extracellular signal-regulated kinase (ERK) and Jun N-terminal kinase (JNK). Once these kinases are activated, they stimulate the synthesis of specific transcription factors involved in the induction of </w:t>
      </w:r>
      <w:r w:rsidRPr="00AF6446">
        <w:rPr>
          <w:rFonts w:eastAsia="Times New Roman" w:cs="Arial"/>
          <w:i/>
          <w:iCs/>
          <w:szCs w:val="22"/>
        </w:rPr>
        <w:t>fos</w:t>
      </w:r>
      <w:r w:rsidRPr="00AF6446">
        <w:rPr>
          <w:rFonts w:eastAsia="Times New Roman" w:cs="Arial"/>
          <w:szCs w:val="22"/>
        </w:rPr>
        <w:t> and </w:t>
      </w:r>
      <w:r w:rsidRPr="00AF6446">
        <w:rPr>
          <w:rFonts w:eastAsia="Times New Roman" w:cs="Arial"/>
          <w:i/>
          <w:iCs/>
          <w:szCs w:val="22"/>
        </w:rPr>
        <w:t>jun</w:t>
      </w:r>
      <w:r w:rsidRPr="00AF6446">
        <w:rPr>
          <w:rFonts w:eastAsia="Times New Roman" w:cs="Arial"/>
          <w:szCs w:val="22"/>
        </w:rPr>
        <w:t> gene transcription, as well as enhance the transcriptional activity of both pre-existing and newly synthesized c-Fos/c-Jun proteins. AP-1 and GRa mutually interact and repress each other’s transcriptional activity on their respective responsive promoters. The LBD and DBD of GRa and the leucine zipper domain of c-Jun are necessary for this interaction (29). Inhibition of the binding of AP-1 to DNA may be one of the underlying mechanisms of GRa-induced suppression of AP-1-mediated transcriptional activity. Furthermore, GRa competes with AP-1 for the p300/CBP coactivator, which has a limited reserve, therefore, AP-1 may not have access to adequate amounts of this coactivator to exert its transcriptional activ</w:t>
      </w:r>
      <w:r w:rsidR="007E49DB" w:rsidRPr="00AF6446">
        <w:rPr>
          <w:rFonts w:eastAsia="Times New Roman" w:cs="Arial"/>
          <w:szCs w:val="22"/>
        </w:rPr>
        <w:t>ity fully (132</w:t>
      </w:r>
      <w:r w:rsidRPr="00AF6446">
        <w:rPr>
          <w:rFonts w:eastAsia="Times New Roman" w:cs="Arial"/>
          <w:szCs w:val="22"/>
        </w:rPr>
        <w:t>).</w:t>
      </w:r>
    </w:p>
    <w:p w14:paraId="0C80BE0B" w14:textId="77777777" w:rsidR="00F13F73" w:rsidRPr="00AF6446" w:rsidRDefault="00F13F73" w:rsidP="00AF6446">
      <w:pPr>
        <w:shd w:val="clear" w:color="auto" w:fill="FFFFFF"/>
        <w:rPr>
          <w:rFonts w:eastAsia="Times New Roman" w:cs="Arial"/>
          <w:szCs w:val="22"/>
        </w:rPr>
      </w:pPr>
    </w:p>
    <w:p w14:paraId="2E5A873D" w14:textId="4207738E"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cAMP Response Element-binding Protein (CREB)</w:t>
      </w:r>
    </w:p>
    <w:p w14:paraId="32E8EAF7" w14:textId="77777777" w:rsidR="00F13F73" w:rsidRPr="00AF6446" w:rsidRDefault="00F13F73" w:rsidP="00AF6446">
      <w:pPr>
        <w:shd w:val="clear" w:color="auto" w:fill="FFFFFF"/>
        <w:outlineLvl w:val="2"/>
        <w:rPr>
          <w:rFonts w:eastAsia="Times New Roman" w:cs="Arial"/>
          <w:b/>
          <w:bCs/>
          <w:szCs w:val="22"/>
        </w:rPr>
      </w:pPr>
    </w:p>
    <w:p w14:paraId="62030181" w14:textId="452BB628" w:rsidR="00290B68" w:rsidRDefault="00290B68" w:rsidP="00AF6446">
      <w:pPr>
        <w:shd w:val="clear" w:color="auto" w:fill="FFFFFF"/>
        <w:rPr>
          <w:rFonts w:eastAsia="Times New Roman" w:cs="Arial"/>
          <w:szCs w:val="22"/>
        </w:rPr>
      </w:pPr>
      <w:r w:rsidRPr="00AF6446">
        <w:rPr>
          <w:rFonts w:eastAsia="Times New Roman" w:cs="Arial"/>
          <w:szCs w:val="22"/>
        </w:rPr>
        <w:t>CREB functions downstream of many hormones and bioactive molecules, which bind to the cell surface-located G-protein-coupled receptors that employ cAMP as their second messenger. CREB is also a member of the</w:t>
      </w:r>
      <w:r w:rsidR="00241199" w:rsidRPr="00AF6446">
        <w:rPr>
          <w:rFonts w:eastAsia="Times New Roman" w:cs="Arial"/>
          <w:szCs w:val="22"/>
        </w:rPr>
        <w:t xml:space="preserve"> bZip transcription factors (133</w:t>
      </w:r>
      <w:r w:rsidRPr="00AF6446">
        <w:rPr>
          <w:rFonts w:eastAsia="Times New Roman" w:cs="Arial"/>
          <w:szCs w:val="22"/>
        </w:rPr>
        <w:t xml:space="preserve">). It forms homo- and hetero-dimers with other proteins of the same family and binds to the cAMP-responsive element (CRE). Stimulation of the above receptors induces the accumulation of cAMP that leads to activation of the cAMP-dependent protein kinase A (PKA). This kinase then phosphorylates CREB at a specific serine residue and promotes recruitment of the transcriptional co-integrator CBP and its specific coactivator CRTC2 to stimulate the transcription of cAMP-responsive genes. GRa and CREB mutually repress the transcription from their </w:t>
      </w:r>
      <w:r w:rsidR="00241199" w:rsidRPr="00AF6446">
        <w:rPr>
          <w:rFonts w:eastAsia="Times New Roman" w:cs="Arial"/>
          <w:szCs w:val="22"/>
        </w:rPr>
        <w:t>simple responsive promoters (134,135</w:t>
      </w:r>
      <w:r w:rsidRPr="00AF6446">
        <w:rPr>
          <w:rFonts w:eastAsia="Times New Roman" w:cs="Arial"/>
          <w:szCs w:val="22"/>
        </w:rPr>
        <w:t>). Although direct association of GRa and CREB has been reported </w:t>
      </w:r>
      <w:r w:rsidRPr="00AF6446">
        <w:rPr>
          <w:rFonts w:eastAsia="Times New Roman" w:cs="Arial"/>
          <w:i/>
          <w:iCs/>
          <w:szCs w:val="22"/>
        </w:rPr>
        <w:t>in vitro</w:t>
      </w:r>
      <w:r w:rsidRPr="00AF6446">
        <w:rPr>
          <w:rFonts w:eastAsia="Times New Roman" w:cs="Arial"/>
          <w:szCs w:val="22"/>
        </w:rPr>
        <w:t>, their physical i</w:t>
      </w:r>
      <w:r w:rsidR="00241199" w:rsidRPr="00AF6446">
        <w:rPr>
          <w:rFonts w:eastAsia="Times New Roman" w:cs="Arial"/>
          <w:szCs w:val="22"/>
        </w:rPr>
        <w:t>nteraction is still unclear (134,136</w:t>
      </w:r>
      <w:r w:rsidRPr="00AF6446">
        <w:rPr>
          <w:rFonts w:eastAsia="Times New Roman" w:cs="Arial"/>
          <w:szCs w:val="22"/>
        </w:rPr>
        <w:t>). CRTC2 might act as a bridging factor between CREB and GRa, particularly in their synergistic activation of the composite promoters, such as that of </w:t>
      </w:r>
      <w:r w:rsidRPr="00AF6446">
        <w:rPr>
          <w:rFonts w:eastAsia="Times New Roman" w:cs="Arial"/>
          <w:i/>
          <w:iCs/>
          <w:szCs w:val="22"/>
        </w:rPr>
        <w:t>G6P</w:t>
      </w:r>
      <w:r w:rsidRPr="00AF6446">
        <w:rPr>
          <w:rFonts w:eastAsia="Times New Roman" w:cs="Arial"/>
          <w:szCs w:val="22"/>
        </w:rPr>
        <w:t>, </w:t>
      </w:r>
      <w:r w:rsidRPr="00AF6446">
        <w:rPr>
          <w:rFonts w:eastAsia="Times New Roman" w:cs="Arial"/>
          <w:i/>
          <w:iCs/>
          <w:szCs w:val="22"/>
        </w:rPr>
        <w:t>PEPCK</w:t>
      </w:r>
      <w:r w:rsidRPr="00AF6446">
        <w:rPr>
          <w:rFonts w:eastAsia="Times New Roman" w:cs="Arial"/>
          <w:szCs w:val="22"/>
        </w:rPr>
        <w:t xml:space="preserve"> and the somatostatin gene, which contain </w:t>
      </w:r>
      <w:r w:rsidR="00241199" w:rsidRPr="00AF6446">
        <w:rPr>
          <w:rFonts w:eastAsia="Times New Roman" w:cs="Arial"/>
          <w:szCs w:val="22"/>
        </w:rPr>
        <w:t>both GREs and CRE sequences (106,136,137</w:t>
      </w:r>
      <w:r w:rsidRPr="00AF6446">
        <w:rPr>
          <w:rFonts w:eastAsia="Times New Roman" w:cs="Arial"/>
          <w:szCs w:val="22"/>
        </w:rPr>
        <w:t>) (see also Section </w:t>
      </w:r>
      <w:r w:rsidRPr="00AF6446">
        <w:rPr>
          <w:rFonts w:eastAsia="Times New Roman" w:cs="Arial"/>
          <w:b/>
          <w:bCs/>
          <w:szCs w:val="22"/>
        </w:rPr>
        <w:t xml:space="preserve">5. </w:t>
      </w:r>
      <w:r w:rsidRPr="00ED1422">
        <w:rPr>
          <w:rFonts w:eastAsia="Times New Roman" w:cs="Arial"/>
          <w:szCs w:val="22"/>
        </w:rPr>
        <w:t>ACTIONS OF GR, B. Mechanisms of GRa</w:t>
      </w:r>
      <w:r w:rsidR="000524AB" w:rsidRPr="00ED1422">
        <w:rPr>
          <w:rFonts w:eastAsia="Times New Roman" w:cs="Arial"/>
          <w:szCs w:val="22"/>
        </w:rPr>
        <w:t>lpha</w:t>
      </w:r>
      <w:r w:rsidRPr="00ED1422">
        <w:rPr>
          <w:rFonts w:eastAsia="Times New Roman" w:cs="Arial"/>
          <w:szCs w:val="22"/>
        </w:rPr>
        <w:t>-mediated Activation of Transcription).</w:t>
      </w:r>
    </w:p>
    <w:p w14:paraId="38F7E8E2" w14:textId="77777777" w:rsidR="00ED1422" w:rsidRPr="00ED1422" w:rsidRDefault="00ED1422" w:rsidP="00AF6446">
      <w:pPr>
        <w:shd w:val="clear" w:color="auto" w:fill="FFFFFF"/>
        <w:rPr>
          <w:rFonts w:eastAsia="Times New Roman" w:cs="Arial"/>
          <w:szCs w:val="22"/>
        </w:rPr>
      </w:pPr>
    </w:p>
    <w:p w14:paraId="285DA39B" w14:textId="02CCF7B0"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Transforming Growth Factor (TGF) b Downstream Smad6</w:t>
      </w:r>
    </w:p>
    <w:p w14:paraId="0C46BEFB" w14:textId="77777777" w:rsidR="00837168" w:rsidRPr="00AF6446" w:rsidRDefault="00837168" w:rsidP="00AF6446">
      <w:pPr>
        <w:shd w:val="clear" w:color="auto" w:fill="FFFFFF"/>
        <w:outlineLvl w:val="2"/>
        <w:rPr>
          <w:rFonts w:eastAsia="Times New Roman" w:cs="Arial"/>
          <w:b/>
          <w:bCs/>
          <w:szCs w:val="22"/>
        </w:rPr>
      </w:pPr>
    </w:p>
    <w:p w14:paraId="2B5A40CF" w14:textId="047C90AB"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Members of the Smad family of proteins transduce signals of transforming growth factor (TGF) b superfamily members, such as TGFb, activin and bone morphogenetic proteins (BMPs), by associating with the cytoplasmic side of the type I cell surface </w:t>
      </w:r>
      <w:r w:rsidR="00522E70" w:rsidRPr="00AF6446">
        <w:rPr>
          <w:rFonts w:eastAsia="Times New Roman" w:cs="Arial"/>
          <w:szCs w:val="22"/>
        </w:rPr>
        <w:t>receptors of these hormones (138</w:t>
      </w:r>
      <w:r w:rsidRPr="00AF6446">
        <w:rPr>
          <w:rFonts w:eastAsia="Times New Roman" w:cs="Arial"/>
          <w:szCs w:val="22"/>
        </w:rPr>
        <w:t>). Nine distinct vertebrate Smad family members have been identified, which are classified into three groups: receptor-regulated Smads (R-Smads), such as Smad1, 2, 3, 5 and 8, a common-partner Smad (Co-Smad), Smad4, and inhibitory Smads (I-</w:t>
      </w:r>
      <w:r w:rsidR="00522E70" w:rsidRPr="00AF6446">
        <w:rPr>
          <w:rFonts w:eastAsia="Times New Roman" w:cs="Arial"/>
          <w:szCs w:val="22"/>
        </w:rPr>
        <w:t>Smads) like Smad6 and Smad7 (138</w:t>
      </w:r>
      <w:r w:rsidRPr="00AF6446">
        <w:rPr>
          <w:rFonts w:eastAsia="Times New Roman" w:cs="Arial"/>
          <w:szCs w:val="22"/>
        </w:rPr>
        <w:t>).</w:t>
      </w:r>
    </w:p>
    <w:p w14:paraId="163DC19F" w14:textId="77777777" w:rsidR="00837168" w:rsidRPr="00AF6446" w:rsidRDefault="00837168" w:rsidP="00AF6446">
      <w:pPr>
        <w:shd w:val="clear" w:color="auto" w:fill="FFFFFF"/>
        <w:rPr>
          <w:rFonts w:eastAsia="Times New Roman" w:cs="Arial"/>
          <w:szCs w:val="22"/>
        </w:rPr>
      </w:pPr>
    </w:p>
    <w:p w14:paraId="40751453" w14:textId="61BFD379"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Upon binding of TGFb, activin or BMP to their receptors, cytoplasmic R-Smads are phosphorylated by the receptor kinases, translocate into the nucleus and stimulate the transcriptional activity of TFGb-, activin- or BMP-responsive genes by binding to their response elements located in their promoter region as a hetero-trimer with </w:t>
      </w:r>
      <w:r w:rsidR="006B7A8B" w:rsidRPr="00AF6446">
        <w:rPr>
          <w:rFonts w:eastAsia="Times New Roman" w:cs="Arial"/>
          <w:szCs w:val="22"/>
        </w:rPr>
        <w:t>Co-Smad (138</w:t>
      </w:r>
      <w:r w:rsidRPr="00AF6446">
        <w:rPr>
          <w:rFonts w:eastAsia="Times New Roman" w:cs="Arial"/>
          <w:szCs w:val="22"/>
        </w:rPr>
        <w:t>). I-Smads, such as Smad6 and Smad7, act as inhibitory molecules in the TGFb family signaling, by forming stable associations with activated type I receptors, which prevent the</w:t>
      </w:r>
      <w:r w:rsidR="006B7A8B" w:rsidRPr="00AF6446">
        <w:rPr>
          <w:rFonts w:eastAsia="Times New Roman" w:cs="Arial"/>
          <w:szCs w:val="22"/>
        </w:rPr>
        <w:t xml:space="preserve"> phosphorylation of R-Smads (138</w:t>
      </w:r>
      <w:r w:rsidRPr="00AF6446">
        <w:rPr>
          <w:rFonts w:eastAsia="Times New Roman" w:cs="Arial"/>
          <w:szCs w:val="22"/>
        </w:rPr>
        <w:t>). Smad6 also competes with Smad4 in the heteromeric complex formation</w:t>
      </w:r>
      <w:r w:rsidR="006B7A8B" w:rsidRPr="00AF6446">
        <w:rPr>
          <w:rFonts w:eastAsia="Times New Roman" w:cs="Arial"/>
          <w:szCs w:val="22"/>
        </w:rPr>
        <w:t xml:space="preserve"> induced by activated Smad1 (139</w:t>
      </w:r>
      <w:r w:rsidRPr="00AF6446">
        <w:rPr>
          <w:rFonts w:eastAsia="Times New Roman" w:cs="Arial"/>
          <w:szCs w:val="22"/>
        </w:rPr>
        <w:t>). In addition, I-Smads directly suppress the transcriptional activity of TGFb family signaling by binding to promoter DNA and attracting HDACs and/or the C-terminal binding protein (CtBP) (</w:t>
      </w:r>
      <w:r w:rsidR="006B7A8B" w:rsidRPr="00AF6446">
        <w:rPr>
          <w:rFonts w:eastAsia="Times New Roman" w:cs="Arial"/>
          <w:szCs w:val="22"/>
        </w:rPr>
        <w:t>140-142</w:t>
      </w:r>
      <w:r w:rsidRPr="00AF6446">
        <w:rPr>
          <w:rFonts w:eastAsia="Times New Roman" w:cs="Arial"/>
          <w:szCs w:val="22"/>
        </w:rPr>
        <w:t>). Since I-Smads are produced in response to activation o</w:t>
      </w:r>
      <w:r w:rsidR="006B7A8B" w:rsidRPr="00AF6446">
        <w:rPr>
          <w:rFonts w:eastAsia="Times New Roman" w:cs="Arial"/>
          <w:szCs w:val="22"/>
        </w:rPr>
        <w:t>f the TGFb family signaling (143</w:t>
      </w:r>
      <w:r w:rsidRPr="00AF6446">
        <w:rPr>
          <w:rFonts w:eastAsia="Times New Roman" w:cs="Arial"/>
          <w:szCs w:val="22"/>
        </w:rPr>
        <w:t>), they literally function in the negative feedback regulation of the Smad signaling pathways. Smad6 preferably inhibits BMP signaling, while Smad7 is a more general inhibitor, repressing TGFb and activin signaling,</w:t>
      </w:r>
      <w:r w:rsidR="006B7A8B" w:rsidRPr="00AF6446">
        <w:rPr>
          <w:rFonts w:eastAsia="Times New Roman" w:cs="Arial"/>
          <w:szCs w:val="22"/>
        </w:rPr>
        <w:t xml:space="preserve"> in addition to that of BMP (144</w:t>
      </w:r>
      <w:r w:rsidRPr="00AF6446">
        <w:rPr>
          <w:rFonts w:eastAsia="Times New Roman" w:cs="Arial"/>
          <w:szCs w:val="22"/>
        </w:rPr>
        <w:t>).</w:t>
      </w:r>
    </w:p>
    <w:p w14:paraId="669986CC" w14:textId="57D0CA4E" w:rsidR="00290B68" w:rsidRPr="00AF6446" w:rsidRDefault="00290B68" w:rsidP="00AF6446">
      <w:pPr>
        <w:shd w:val="clear" w:color="auto" w:fill="FFFFFF"/>
        <w:rPr>
          <w:rFonts w:eastAsia="Times New Roman" w:cs="Arial"/>
          <w:szCs w:val="22"/>
        </w:rPr>
      </w:pPr>
      <w:r w:rsidRPr="00AF6446">
        <w:rPr>
          <w:rFonts w:eastAsia="Times New Roman" w:cs="Arial"/>
          <w:szCs w:val="22"/>
        </w:rPr>
        <w:t>We found that Smad6 physically interacts with the N-terminal domain of the GRa through its Mad-homology 2 domain and suppresses GRa-mediated transcriptional activity </w:t>
      </w:r>
      <w:r w:rsidRPr="00AF6446">
        <w:rPr>
          <w:rFonts w:eastAsia="Times New Roman" w:cs="Arial"/>
          <w:i/>
          <w:iCs/>
          <w:szCs w:val="22"/>
        </w:rPr>
        <w:t>in vitro</w:t>
      </w:r>
      <w:r w:rsidR="006B7A8B" w:rsidRPr="00AF6446">
        <w:rPr>
          <w:rFonts w:eastAsia="Times New Roman" w:cs="Arial"/>
          <w:szCs w:val="22"/>
        </w:rPr>
        <w:t> (145</w:t>
      </w:r>
      <w:r w:rsidRPr="00AF6446">
        <w:rPr>
          <w:rFonts w:eastAsia="Times New Roman" w:cs="Arial"/>
          <w:szCs w:val="22"/>
        </w:rPr>
        <w:t>). Adenovirus-mediated Smad6 overexpression also inhibits glucocorticoid action in rat liver </w:t>
      </w:r>
      <w:r w:rsidRPr="00AF6446">
        <w:rPr>
          <w:rFonts w:eastAsia="Times New Roman" w:cs="Arial"/>
          <w:i/>
          <w:iCs/>
          <w:szCs w:val="22"/>
        </w:rPr>
        <w:t>in vivo</w:t>
      </w:r>
      <w:r w:rsidRPr="00AF6446">
        <w:rPr>
          <w:rFonts w:eastAsia="Times New Roman" w:cs="Arial"/>
          <w:szCs w:val="22"/>
        </w:rPr>
        <w:t>, preventing dexamethasone-induced elevation of blood glucose levels and hepatic mRNA expression of </w:t>
      </w:r>
      <w:r w:rsidRPr="00AF6446">
        <w:rPr>
          <w:rFonts w:eastAsia="Times New Roman" w:cs="Arial"/>
          <w:i/>
          <w:iCs/>
          <w:szCs w:val="22"/>
        </w:rPr>
        <w:t>PEPCK</w:t>
      </w:r>
      <w:r w:rsidRPr="00AF6446">
        <w:rPr>
          <w:rFonts w:eastAsia="Times New Roman" w:cs="Arial"/>
          <w:szCs w:val="22"/>
        </w:rPr>
        <w:t>, a well-known rate-limiting enzyme of</w:t>
      </w:r>
      <w:r w:rsidR="006B7A8B" w:rsidRPr="00AF6446">
        <w:rPr>
          <w:rFonts w:eastAsia="Times New Roman" w:cs="Arial"/>
          <w:szCs w:val="22"/>
        </w:rPr>
        <w:t xml:space="preserve"> hepatic gluconeogenesis (145</w:t>
      </w:r>
      <w:r w:rsidRPr="00AF6446">
        <w:rPr>
          <w:rFonts w:eastAsia="Times New Roman" w:cs="Arial"/>
          <w:szCs w:val="22"/>
        </w:rPr>
        <w:t>). Smad6 suppresses GRa-induced transactivation by attracting HDAC3 to DNA-bound GRa and by antagonizing acetylation of the histones H3 and H4 induc</w:t>
      </w:r>
      <w:r w:rsidR="006B7A8B" w:rsidRPr="00AF6446">
        <w:rPr>
          <w:rFonts w:eastAsia="Times New Roman" w:cs="Arial"/>
          <w:szCs w:val="22"/>
        </w:rPr>
        <w:t>ed by p160 HAT coactivators (145</w:t>
      </w:r>
      <w:r w:rsidRPr="00AF6446">
        <w:rPr>
          <w:rFonts w:eastAsia="Times New Roman" w:cs="Arial"/>
          <w:szCs w:val="22"/>
        </w:rPr>
        <w:t>). Thus, Smad6 regulates glucocorticoid actions as a corepressor of GRa. It appears that the anti-glucocorticoid actions of Smad6 may contribute to the neuroprotective, anti-catabolic and pro-wound healing properties of the TGFb family of proteins through cross-talk between TGFb family members and gluc</w:t>
      </w:r>
      <w:r w:rsidR="006B7A8B" w:rsidRPr="00AF6446">
        <w:rPr>
          <w:rFonts w:eastAsia="Times New Roman" w:cs="Arial"/>
          <w:szCs w:val="22"/>
        </w:rPr>
        <w:t>ocorticoids (145</w:t>
      </w:r>
      <w:r w:rsidRPr="00AF6446">
        <w:rPr>
          <w:rFonts w:eastAsia="Times New Roman" w:cs="Arial"/>
          <w:szCs w:val="22"/>
        </w:rPr>
        <w:t>).</w:t>
      </w:r>
    </w:p>
    <w:p w14:paraId="70AAB667" w14:textId="77777777" w:rsidR="00837168" w:rsidRPr="00AF6446" w:rsidRDefault="00837168" w:rsidP="00AF6446">
      <w:pPr>
        <w:shd w:val="clear" w:color="auto" w:fill="FFFFFF"/>
        <w:rPr>
          <w:rFonts w:eastAsia="Times New Roman" w:cs="Arial"/>
          <w:szCs w:val="22"/>
        </w:rPr>
      </w:pPr>
    </w:p>
    <w:p w14:paraId="2AD5275D" w14:textId="60247FE8"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C2H2-type Zinc Finger Proteins (ZNFs)</w:t>
      </w:r>
    </w:p>
    <w:p w14:paraId="734BD619" w14:textId="77777777" w:rsidR="00837168" w:rsidRPr="00AF6446" w:rsidRDefault="00837168" w:rsidP="00AF6446">
      <w:pPr>
        <w:shd w:val="clear" w:color="auto" w:fill="FFFFFF"/>
        <w:outlineLvl w:val="2"/>
        <w:rPr>
          <w:rFonts w:eastAsia="Times New Roman" w:cs="Arial"/>
          <w:b/>
          <w:bCs/>
          <w:szCs w:val="22"/>
        </w:rPr>
      </w:pPr>
    </w:p>
    <w:p w14:paraId="4E53D9CD" w14:textId="2443D046"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C2H2-type ZNFs constitute the largest class of putative human transcription factors consisting </w:t>
      </w:r>
      <w:r w:rsidR="00E43B85" w:rsidRPr="00AF6446">
        <w:rPr>
          <w:rFonts w:eastAsia="Times New Roman" w:cs="Arial"/>
          <w:szCs w:val="22"/>
        </w:rPr>
        <w:t>of over 700 member proteins (146,147</w:t>
      </w:r>
      <w:r w:rsidRPr="00AF6446">
        <w:rPr>
          <w:rFonts w:eastAsia="Times New Roman" w:cs="Arial"/>
          <w:szCs w:val="22"/>
        </w:rPr>
        <w:t xml:space="preserve">). In addition to C2H2-type zinc fingers (ZFs), these proteins harbor several structural modules, such as the Broad-Complex, Tramtrack, and Bric-a-brac (BTB)/Poxvirus and zinc finger (POZ), Krüppel-associated </w:t>
      </w:r>
      <w:r w:rsidR="00E43B85" w:rsidRPr="00AF6446">
        <w:rPr>
          <w:rFonts w:eastAsia="Times New Roman" w:cs="Arial"/>
          <w:szCs w:val="22"/>
        </w:rPr>
        <w:t>box (KRAB) and SCAN domains (147</w:t>
      </w:r>
      <w:r w:rsidRPr="00AF6446">
        <w:rPr>
          <w:rFonts w:eastAsia="Times New Roman" w:cs="Arial"/>
          <w:szCs w:val="22"/>
        </w:rPr>
        <w:t>). These modules are usually located in the N-terminal portion, and function as platforms for protein-protein interactions, whereas ZFs are positioned in the C-terminal area and function mai</w:t>
      </w:r>
      <w:r w:rsidR="00F13B31" w:rsidRPr="00AF6446">
        <w:rPr>
          <w:rFonts w:eastAsia="Times New Roman" w:cs="Arial"/>
          <w:szCs w:val="22"/>
        </w:rPr>
        <w:t>nly as a DNA-binding domain (147</w:t>
      </w:r>
      <w:r w:rsidRPr="00AF6446">
        <w:rPr>
          <w:rFonts w:eastAsia="Times New Roman" w:cs="Arial"/>
          <w:szCs w:val="22"/>
        </w:rPr>
        <w:t>). The BTB/POZ and KRAB domains have transcriptional regulatory activity (mostly repressive), whereas the SCAN doma</w:t>
      </w:r>
      <w:r w:rsidR="00F13B31" w:rsidRPr="00AF6446">
        <w:rPr>
          <w:rFonts w:eastAsia="Times New Roman" w:cs="Arial"/>
          <w:szCs w:val="22"/>
        </w:rPr>
        <w:t>in does not (148</w:t>
      </w:r>
      <w:r w:rsidRPr="00AF6446">
        <w:rPr>
          <w:rFonts w:eastAsia="Times New Roman" w:cs="Arial"/>
          <w:szCs w:val="22"/>
        </w:rPr>
        <w:t xml:space="preserve">). Among </w:t>
      </w:r>
      <w:r w:rsidRPr="00AF6446">
        <w:rPr>
          <w:rFonts w:eastAsia="Times New Roman" w:cs="Arial"/>
          <w:szCs w:val="22"/>
        </w:rPr>
        <w:lastRenderedPageBreak/>
        <w:t>human C2H2-type ZNFs, about 7% have a BTB/POZ domain (BTB/POZ-ZNFs), 43% harbor a KRAB domain (KRAB-ZNFs) and 7% contai</w:t>
      </w:r>
      <w:r w:rsidR="00F13B31" w:rsidRPr="00AF6446">
        <w:rPr>
          <w:rFonts w:eastAsia="Times New Roman" w:cs="Arial"/>
          <w:szCs w:val="22"/>
        </w:rPr>
        <w:t>n a SCAN domain (SCAN-ZNFs) (146</w:t>
      </w:r>
      <w:r w:rsidRPr="00AF6446">
        <w:rPr>
          <w:rFonts w:eastAsia="Times New Roman" w:cs="Arial"/>
          <w:szCs w:val="22"/>
        </w:rPr>
        <w:t>). Sixty-seven % of the human C2H2-type ZNFs have only ZFs without any of these domains (</w:t>
      </w:r>
      <w:r w:rsidR="00F13B31" w:rsidRPr="00AF6446">
        <w:rPr>
          <w:rFonts w:eastAsia="Times New Roman" w:cs="Arial"/>
          <w:szCs w:val="22"/>
        </w:rPr>
        <w:t>thus, they are “poly-ZNFs”) (146</w:t>
      </w:r>
      <w:r w:rsidRPr="00AF6446">
        <w:rPr>
          <w:rFonts w:eastAsia="Times New Roman" w:cs="Arial"/>
          <w:szCs w:val="22"/>
        </w:rPr>
        <w:t xml:space="preserve">). Some poly-ZNFs, such as members of the specificity protein (SP)/Krüppel-like factor (KLF) family transcription factors (e.g., SP1, KLF4 and KLF11) cooperate with GRa for regulating the transcriptional activity of specific glucocorticoid-responsive genes in distinct biological pathways, such as monoamine oxidase A expression in CNS and glucocorticoid-mediated skin barrier </w:t>
      </w:r>
      <w:r w:rsidR="00F13B31" w:rsidRPr="00AF6446">
        <w:rPr>
          <w:rFonts w:eastAsia="Times New Roman" w:cs="Arial"/>
          <w:szCs w:val="22"/>
        </w:rPr>
        <w:t>formation in prenatal fetus (147</w:t>
      </w:r>
      <w:r w:rsidRPr="00AF6446">
        <w:rPr>
          <w:rFonts w:eastAsia="Times New Roman" w:cs="Arial"/>
          <w:szCs w:val="22"/>
        </w:rPr>
        <w:t>). Further</w:t>
      </w:r>
      <w:r w:rsidR="00F13B31" w:rsidRPr="00AF6446">
        <w:rPr>
          <w:rFonts w:eastAsia="Times New Roman" w:cs="Arial"/>
          <w:szCs w:val="22"/>
        </w:rPr>
        <w:t>more</w:t>
      </w:r>
      <w:r w:rsidRPr="00AF6446">
        <w:rPr>
          <w:rFonts w:eastAsia="Times New Roman" w:cs="Arial"/>
          <w:szCs w:val="22"/>
        </w:rPr>
        <w:t>, GRa stimulates the transcriptional activity of the </w:t>
      </w:r>
      <w:r w:rsidRPr="00AF6446">
        <w:rPr>
          <w:rFonts w:eastAsia="Times New Roman" w:cs="Arial"/>
          <w:i/>
          <w:iCs/>
          <w:szCs w:val="22"/>
        </w:rPr>
        <w:t>KLF9</w:t>
      </w:r>
      <w:r w:rsidRPr="00AF6446">
        <w:rPr>
          <w:rFonts w:eastAsia="Times New Roman" w:cs="Arial"/>
          <w:szCs w:val="22"/>
        </w:rPr>
        <w:t> gene through the GREs located in the promoter region of this gene, and expressed KLF9 play</w:t>
      </w:r>
      <w:r w:rsidR="00F13B31" w:rsidRPr="00AF6446">
        <w:rPr>
          <w:rFonts w:eastAsia="Times New Roman" w:cs="Arial"/>
          <w:szCs w:val="22"/>
        </w:rPr>
        <w:t>s</w:t>
      </w:r>
      <w:r w:rsidRPr="00AF6446">
        <w:rPr>
          <w:rFonts w:eastAsia="Times New Roman" w:cs="Arial"/>
          <w:szCs w:val="22"/>
        </w:rPr>
        <w:t xml:space="preserve"> important roles in glucocorticoid-mediated survival of the newly differentiated </w:t>
      </w:r>
      <w:r w:rsidR="00F13B31" w:rsidRPr="00AF6446">
        <w:rPr>
          <w:rFonts w:eastAsia="Times New Roman" w:cs="Arial"/>
          <w:szCs w:val="22"/>
        </w:rPr>
        <w:t>hippocampal granule neurons (147</w:t>
      </w:r>
      <w:r w:rsidRPr="00AF6446">
        <w:rPr>
          <w:rFonts w:eastAsia="Times New Roman" w:cs="Arial"/>
          <w:szCs w:val="22"/>
        </w:rPr>
        <w:t>). One poly-ZNF called CCCTC-binding factor (CTCF) is an architectural protein playing a major role in the formation of chromatin looping, which governs enhancer-gene promoter communication, and ultimately contributes to the tissue/phase-specific expression of gluc</w:t>
      </w:r>
      <w:r w:rsidR="00F13B31" w:rsidRPr="00AF6446">
        <w:rPr>
          <w:rFonts w:eastAsia="Times New Roman" w:cs="Arial"/>
          <w:szCs w:val="22"/>
        </w:rPr>
        <w:t>ocorticoid-responsive genes (149</w:t>
      </w:r>
      <w:r w:rsidRPr="00AF6446">
        <w:rPr>
          <w:rFonts w:eastAsia="Times New Roman" w:cs="Arial"/>
          <w:szCs w:val="22"/>
        </w:rPr>
        <w:t>). Although direct evidence of its interaction to GRa is still missing, CTCF interacts with ERa and the thyroid hormone receptors (TRs) and regulates the</w:t>
      </w:r>
      <w:r w:rsidR="00F01461" w:rsidRPr="00AF6446">
        <w:rPr>
          <w:rFonts w:eastAsia="Times New Roman" w:cs="Arial"/>
          <w:szCs w:val="22"/>
        </w:rPr>
        <w:t>ir transcriptional activity (150,151</w:t>
      </w:r>
      <w:r w:rsidRPr="00AF6446">
        <w:rPr>
          <w:rFonts w:eastAsia="Times New Roman" w:cs="Arial"/>
          <w:szCs w:val="22"/>
        </w:rPr>
        <w:t>), thus it is highly possible that this molecule also plays roles in the regulation of GRa transcriptional activity. One KRAB-ZNF, the zinc finger protein 764 (ZNF764), which composes of a N-terminally located KRAB domain and seven C</w:t>
      </w:r>
      <w:r w:rsidRPr="00AF6446">
        <w:rPr>
          <w:rFonts w:eastAsia="Times New Roman" w:cs="Arial"/>
          <w:szCs w:val="22"/>
          <w:vertAlign w:val="subscript"/>
        </w:rPr>
        <w:t>2</w:t>
      </w:r>
      <w:r w:rsidRPr="00AF6446">
        <w:rPr>
          <w:rFonts w:eastAsia="Times New Roman" w:cs="Arial"/>
          <w:szCs w:val="22"/>
        </w:rPr>
        <w:t>H</w:t>
      </w:r>
      <w:r w:rsidRPr="00AF6446">
        <w:rPr>
          <w:rFonts w:eastAsia="Times New Roman" w:cs="Arial"/>
          <w:szCs w:val="22"/>
          <w:vertAlign w:val="subscript"/>
        </w:rPr>
        <w:t>2</w:t>
      </w:r>
      <w:r w:rsidRPr="00AF6446">
        <w:rPr>
          <w:rFonts w:eastAsia="Times New Roman" w:cs="Arial"/>
          <w:szCs w:val="22"/>
        </w:rPr>
        <w:t>-type ZF motifs in the C-terminal area, was identified as a coactivator of several SRs including GRa, possibly cooperating</w:t>
      </w:r>
      <w:r w:rsidR="00F01461" w:rsidRPr="00AF6446">
        <w:rPr>
          <w:rFonts w:eastAsia="Times New Roman" w:cs="Arial"/>
          <w:szCs w:val="22"/>
        </w:rPr>
        <w:t xml:space="preserve"> with other NR coactivators (152</w:t>
      </w:r>
      <w:r w:rsidRPr="00AF6446">
        <w:rPr>
          <w:rFonts w:eastAsia="Times New Roman" w:cs="Arial"/>
          <w:szCs w:val="22"/>
        </w:rPr>
        <w:t>). Indeed, haploinsufficiency of the </w:t>
      </w:r>
      <w:r w:rsidRPr="00AF6446">
        <w:rPr>
          <w:rFonts w:eastAsia="Times New Roman" w:cs="Arial"/>
          <w:i/>
          <w:iCs/>
          <w:szCs w:val="22"/>
        </w:rPr>
        <w:t>ZNF764</w:t>
      </w:r>
      <w:r w:rsidRPr="00AF6446">
        <w:rPr>
          <w:rFonts w:eastAsia="Times New Roman" w:cs="Arial"/>
          <w:szCs w:val="22"/>
        </w:rPr>
        <w:t> gene by microdeletion was associated with partial tissue insensitivity to glucocorticoids and developmental abnormalities of androgen-dependen</w:t>
      </w:r>
      <w:r w:rsidR="00F01461" w:rsidRPr="00AF6446">
        <w:rPr>
          <w:rFonts w:eastAsia="Times New Roman" w:cs="Arial"/>
          <w:szCs w:val="22"/>
        </w:rPr>
        <w:t>t organs in an affected boy (152</w:t>
      </w:r>
      <w:r w:rsidRPr="00AF6446">
        <w:rPr>
          <w:rFonts w:eastAsia="Times New Roman" w:cs="Arial"/>
          <w:szCs w:val="22"/>
        </w:rPr>
        <w:t>). In a genome-wide binding study using ChIP-sequencing, ZNF764- and GRa-binding sites are found in close proximity, indicating that ZNF764 modulates GRa transcriptional activity by incorporated in the transcriptional com</w:t>
      </w:r>
      <w:r w:rsidR="00F01461" w:rsidRPr="00AF6446">
        <w:rPr>
          <w:rFonts w:eastAsia="Times New Roman" w:cs="Arial"/>
          <w:szCs w:val="22"/>
        </w:rPr>
        <w:t>plex formed on DNA-bound GR (153</w:t>
      </w:r>
      <w:r w:rsidRPr="00AF6446">
        <w:rPr>
          <w:rFonts w:eastAsia="Times New Roman" w:cs="Arial"/>
          <w:szCs w:val="22"/>
        </w:rPr>
        <w:t>).</w:t>
      </w:r>
    </w:p>
    <w:p w14:paraId="1807E2C1" w14:textId="77777777" w:rsidR="00837168" w:rsidRPr="00AF6446" w:rsidRDefault="00837168" w:rsidP="00AF6446">
      <w:pPr>
        <w:shd w:val="clear" w:color="auto" w:fill="FFFFFF"/>
        <w:rPr>
          <w:rFonts w:eastAsia="Times New Roman" w:cs="Arial"/>
          <w:szCs w:val="22"/>
        </w:rPr>
      </w:pPr>
    </w:p>
    <w:p w14:paraId="01D75E1A" w14:textId="0192B1BA"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Forkhead Transcription Factors</w:t>
      </w:r>
    </w:p>
    <w:p w14:paraId="73B8D51B" w14:textId="77777777" w:rsidR="00837168" w:rsidRPr="00AF6446" w:rsidRDefault="00837168" w:rsidP="00AF6446">
      <w:pPr>
        <w:shd w:val="clear" w:color="auto" w:fill="FFFFFF"/>
        <w:outlineLvl w:val="2"/>
        <w:rPr>
          <w:rFonts w:eastAsia="Times New Roman" w:cs="Arial"/>
          <w:b/>
          <w:bCs/>
          <w:szCs w:val="22"/>
        </w:rPr>
      </w:pPr>
    </w:p>
    <w:p w14:paraId="3E41A9A4" w14:textId="745513D4" w:rsidR="00290B68" w:rsidRPr="00AF6446" w:rsidRDefault="00290B68" w:rsidP="00AF6446">
      <w:pPr>
        <w:shd w:val="clear" w:color="auto" w:fill="FFFFFF"/>
        <w:rPr>
          <w:rFonts w:eastAsia="Times New Roman" w:cs="Arial"/>
          <w:szCs w:val="22"/>
        </w:rPr>
      </w:pPr>
      <w:r w:rsidRPr="00AF6446">
        <w:rPr>
          <w:rFonts w:eastAsia="Times New Roman" w:cs="Arial"/>
          <w:szCs w:val="22"/>
        </w:rPr>
        <w:t>Forkhead transcription factors are characterized by their DNA-binding domain called “Forkhead Box”, and consist of over 100 family members c</w:t>
      </w:r>
      <w:r w:rsidR="00895893" w:rsidRPr="00AF6446">
        <w:rPr>
          <w:rFonts w:eastAsia="Times New Roman" w:cs="Arial"/>
          <w:szCs w:val="22"/>
        </w:rPr>
        <w:t>lassified from FOXA to FOXR (154</w:t>
      </w:r>
      <w:r w:rsidRPr="00AF6446">
        <w:rPr>
          <w:rFonts w:eastAsia="Times New Roman" w:cs="Arial"/>
          <w:szCs w:val="22"/>
        </w:rPr>
        <w:t>). Among them, FOXO subgroup proteins (FOXO1, 3, 4 and 6 in humans) mediate biological actions of the insulin/PI3K/Akt signaling pathway through phosphorylation of several serine/threonine residues of this subgroup proteins, acting on cell proliferation, cell cycle regulation, oxidative stress, DNA repair, en</w:t>
      </w:r>
      <w:r w:rsidR="00895893" w:rsidRPr="00AF6446">
        <w:rPr>
          <w:rFonts w:eastAsia="Times New Roman" w:cs="Arial"/>
          <w:szCs w:val="22"/>
        </w:rPr>
        <w:t>ergy and glucose metabolism (154</w:t>
      </w:r>
      <w:r w:rsidRPr="00AF6446">
        <w:rPr>
          <w:rFonts w:eastAsia="Times New Roman" w:cs="Arial"/>
          <w:szCs w:val="22"/>
        </w:rPr>
        <w:t>). Some of forkhead transcription factors (e.g., FOXA1) can act as pioneer factors for other transcription factors including NRs, by opening DNA-binding sites of the latter molecules on the chromatin (see also Section </w:t>
      </w:r>
      <w:r w:rsidRPr="00AF6446">
        <w:rPr>
          <w:rFonts w:eastAsia="Times New Roman" w:cs="Arial"/>
          <w:b/>
          <w:bCs/>
          <w:szCs w:val="22"/>
        </w:rPr>
        <w:t xml:space="preserve">5. </w:t>
      </w:r>
      <w:r w:rsidRPr="00ED1422">
        <w:rPr>
          <w:rFonts w:eastAsia="Times New Roman" w:cs="Arial"/>
          <w:szCs w:val="22"/>
        </w:rPr>
        <w:t>ACTIONS OF GR, E. New Findings on Genome-wide Transcriptional Regulation by GRa)</w:t>
      </w:r>
      <w:r w:rsidR="00895893" w:rsidRPr="00AF6446">
        <w:rPr>
          <w:rFonts w:eastAsia="Times New Roman" w:cs="Arial"/>
          <w:szCs w:val="22"/>
        </w:rPr>
        <w:t> (155</w:t>
      </w:r>
      <w:r w:rsidRPr="00AF6446">
        <w:rPr>
          <w:rFonts w:eastAsia="Times New Roman" w:cs="Arial"/>
          <w:szCs w:val="22"/>
        </w:rPr>
        <w:t>). FOXA3 acts as a pioneer factor for GRa by facilitating the latter binding to DNA possibly through modulation of the chromatin accessibility and is required for glucocorticoid-mediated fat accu</w:t>
      </w:r>
      <w:r w:rsidR="00895893" w:rsidRPr="00AF6446">
        <w:rPr>
          <w:rFonts w:eastAsia="Times New Roman" w:cs="Arial"/>
          <w:szCs w:val="22"/>
        </w:rPr>
        <w:t>mulation in adipose tissues (156</w:t>
      </w:r>
      <w:r w:rsidRPr="00AF6446">
        <w:rPr>
          <w:rFonts w:eastAsia="Times New Roman" w:cs="Arial"/>
          <w:szCs w:val="22"/>
        </w:rPr>
        <w:t>).</w:t>
      </w:r>
    </w:p>
    <w:p w14:paraId="3030F9CD" w14:textId="77777777" w:rsidR="00837168" w:rsidRPr="00AF6446" w:rsidRDefault="00837168" w:rsidP="00AF6446">
      <w:pPr>
        <w:shd w:val="clear" w:color="auto" w:fill="FFFFFF"/>
        <w:rPr>
          <w:rFonts w:eastAsia="Times New Roman" w:cs="Arial"/>
          <w:szCs w:val="22"/>
        </w:rPr>
      </w:pPr>
    </w:p>
    <w:p w14:paraId="7815DA22" w14:textId="77777777" w:rsidR="00290B68" w:rsidRPr="008063DA" w:rsidRDefault="00290B68" w:rsidP="00AF6446">
      <w:pPr>
        <w:shd w:val="clear" w:color="auto" w:fill="FFFFFF"/>
        <w:outlineLvl w:val="2"/>
        <w:rPr>
          <w:rFonts w:eastAsia="Times New Roman" w:cs="Arial"/>
          <w:b/>
          <w:bCs/>
          <w:color w:val="00B050"/>
          <w:szCs w:val="22"/>
        </w:rPr>
      </w:pPr>
      <w:r w:rsidRPr="008063DA">
        <w:rPr>
          <w:rFonts w:eastAsia="Times New Roman" w:cs="Arial"/>
          <w:b/>
          <w:bCs/>
          <w:color w:val="00B050"/>
          <w:szCs w:val="22"/>
        </w:rPr>
        <w:t>Other Transcription Factors</w:t>
      </w:r>
    </w:p>
    <w:p w14:paraId="48211DB9" w14:textId="77777777" w:rsidR="00080643" w:rsidRDefault="00080643" w:rsidP="00AF6446">
      <w:pPr>
        <w:shd w:val="clear" w:color="auto" w:fill="FFFFFF"/>
        <w:rPr>
          <w:rFonts w:eastAsia="Times New Roman" w:cs="Arial"/>
          <w:szCs w:val="22"/>
        </w:rPr>
      </w:pPr>
    </w:p>
    <w:p w14:paraId="795E4E39" w14:textId="24B4D376" w:rsidR="00290B68" w:rsidRPr="00AF6446" w:rsidRDefault="00290B68" w:rsidP="00AF6446">
      <w:pPr>
        <w:shd w:val="clear" w:color="auto" w:fill="FFFFFF"/>
        <w:rPr>
          <w:rFonts w:eastAsia="Times New Roman" w:cs="Arial"/>
          <w:szCs w:val="22"/>
        </w:rPr>
      </w:pPr>
      <w:r w:rsidRPr="00AF6446">
        <w:rPr>
          <w:rFonts w:eastAsia="Times New Roman" w:cs="Arial"/>
          <w:szCs w:val="22"/>
        </w:rPr>
        <w:lastRenderedPageBreak/>
        <w:t>Functional interaction of GRa has also been reported with other transcription factors, including the chicken ovalbumin promoter-upstream transcription factor II (COUP-TFII), HNF-6, NR4A orphan receptors (neuron-derived orphan receptor-1 (NOR-1), nuclear receptor-related 1 (NURR1) and Nur77), liver X receptors (LXRs), farnesoid X receptor (FXR), p53, T-bet, GATA-1 and -3, Oct-1 and -2, NF-1 and C/EBPb. COUP-TFII is an orphan nuclear receptor, which plays important roles in neurogenesis as well as glucose, lipid and xenobiotic metabolism. This NR physically interacts with the hinge region of GRa and suppresses GRa-induced transcriptional activity by attracting the corepres</w:t>
      </w:r>
      <w:r w:rsidR="00B71673" w:rsidRPr="00AF6446">
        <w:rPr>
          <w:rFonts w:eastAsia="Times New Roman" w:cs="Arial"/>
          <w:szCs w:val="22"/>
        </w:rPr>
        <w:t>sor SMRT (157</w:t>
      </w:r>
      <w:r w:rsidRPr="00AF6446">
        <w:rPr>
          <w:rFonts w:eastAsia="Times New Roman" w:cs="Arial"/>
          <w:szCs w:val="22"/>
        </w:rPr>
        <w:t>). Mutual protein-protein interaction of GRa and COUP-TFII was necessary for glucocorticoid-induced enhancement of the promoter activity and the endogenous mRNA expression of the COUP-TFII-responsive </w:t>
      </w:r>
      <w:r w:rsidRPr="00AF6446">
        <w:rPr>
          <w:rFonts w:eastAsia="Times New Roman" w:cs="Arial"/>
          <w:i/>
          <w:iCs/>
          <w:szCs w:val="22"/>
        </w:rPr>
        <w:t>PEPCK</w:t>
      </w:r>
      <w:r w:rsidRPr="00AF6446">
        <w:rPr>
          <w:rFonts w:eastAsia="Times New Roman" w:cs="Arial"/>
          <w:szCs w:val="22"/>
        </w:rPr>
        <w:t>, suggesting that COUP-TFII may participate in some of the metabolic effects of glucocorticoids through d</w:t>
      </w:r>
      <w:r w:rsidR="00B71673" w:rsidRPr="00AF6446">
        <w:rPr>
          <w:rFonts w:eastAsia="Times New Roman" w:cs="Arial"/>
          <w:szCs w:val="22"/>
        </w:rPr>
        <w:t>irect interactions with GRa (157</w:t>
      </w:r>
      <w:r w:rsidRPr="00AF6446">
        <w:rPr>
          <w:rFonts w:eastAsia="Times New Roman" w:cs="Arial"/>
          <w:szCs w:val="22"/>
        </w:rPr>
        <w:t>). The hepatocyte nuclear factor 6 (HNF6) is a tr</w:t>
      </w:r>
      <w:r w:rsidR="00B71673" w:rsidRPr="00AF6446">
        <w:rPr>
          <w:rFonts w:eastAsia="Times New Roman" w:cs="Arial"/>
          <w:szCs w:val="22"/>
        </w:rPr>
        <w:t>anscription factor that consists</w:t>
      </w:r>
      <w:r w:rsidRPr="00AF6446">
        <w:rPr>
          <w:rFonts w:eastAsia="Times New Roman" w:cs="Arial"/>
          <w:szCs w:val="22"/>
        </w:rPr>
        <w:t xml:space="preserve"> of 2 different DNA binding domains (CUT and homeobox) and plays an important role in the hepatic metabolism of glucose. It represses GRa-induced transactivation by </w:t>
      </w:r>
      <w:r w:rsidR="00B71673" w:rsidRPr="00AF6446">
        <w:rPr>
          <w:rFonts w:eastAsia="Times New Roman" w:cs="Arial"/>
          <w:szCs w:val="22"/>
        </w:rPr>
        <w:t>directly binding to GRa DBD (158</w:t>
      </w:r>
      <w:r w:rsidRPr="00AF6446">
        <w:rPr>
          <w:rFonts w:eastAsia="Times New Roman" w:cs="Arial"/>
          <w:szCs w:val="22"/>
        </w:rPr>
        <w:t>). Interaction of another orphan nuclear receptor Nur77 and GRa is critical for the regulation of proopiomelanocortin (</w:t>
      </w:r>
      <w:r w:rsidRPr="00AF6446">
        <w:rPr>
          <w:rFonts w:eastAsia="Times New Roman" w:cs="Arial"/>
          <w:i/>
          <w:iCs/>
          <w:szCs w:val="22"/>
        </w:rPr>
        <w:t>POMC</w:t>
      </w:r>
      <w:r w:rsidRPr="00AF6446">
        <w:rPr>
          <w:rFonts w:eastAsia="Times New Roman" w:cs="Arial"/>
          <w:szCs w:val="22"/>
        </w:rPr>
        <w:t>) gene expre</w:t>
      </w:r>
      <w:r w:rsidR="00B71673" w:rsidRPr="00AF6446">
        <w:rPr>
          <w:rFonts w:eastAsia="Times New Roman" w:cs="Arial"/>
          <w:szCs w:val="22"/>
        </w:rPr>
        <w:t>ssion (159</w:t>
      </w:r>
      <w:r w:rsidRPr="00AF6446">
        <w:rPr>
          <w:rFonts w:eastAsia="Times New Roman" w:cs="Arial"/>
          <w:szCs w:val="22"/>
        </w:rPr>
        <w:t xml:space="preserve">). LXRs consist of 2 isoforms LXRa and LXRb, and play a central role in the regulation of cholesterol/fatty acid metabolism by binding to their metabolites as a ligand, while FXR acts on bile acid metabolism. GRa and these NRs modulate each other’s transcriptional activity by communicating through direct </w:t>
      </w:r>
      <w:r w:rsidR="00B71673" w:rsidRPr="00AF6446">
        <w:rPr>
          <w:rFonts w:eastAsia="Times New Roman" w:cs="Arial"/>
          <w:szCs w:val="22"/>
        </w:rPr>
        <w:t>protein-protein interaction (160-162</w:t>
      </w:r>
      <w:r w:rsidRPr="00AF6446">
        <w:rPr>
          <w:rFonts w:eastAsia="Times New Roman" w:cs="Arial"/>
          <w:szCs w:val="22"/>
        </w:rPr>
        <w:t>). p53, a transcription factor functioning as a tumor suppressor, physically interacts with GRa in the cytoplasm along with an additional protein Hdm2. GRa and p53 mutually repress each other’s transcriptional activity by increas</w:t>
      </w:r>
      <w:r w:rsidR="00D80362" w:rsidRPr="00AF6446">
        <w:rPr>
          <w:rFonts w:eastAsia="Times New Roman" w:cs="Arial"/>
          <w:szCs w:val="22"/>
        </w:rPr>
        <w:t>ing their degradation rates (163,164</w:t>
      </w:r>
      <w:r w:rsidRPr="00AF6446">
        <w:rPr>
          <w:rFonts w:eastAsia="Times New Roman" w:cs="Arial"/>
          <w:szCs w:val="22"/>
        </w:rPr>
        <w:t>). GRa also interacts with Oct-1 and -2 on the mouse mammary tumor virus (MMTV) promoter and the gonadotropin</w:t>
      </w:r>
      <w:r w:rsidR="00D80362" w:rsidRPr="00AF6446">
        <w:rPr>
          <w:rFonts w:eastAsia="Times New Roman" w:cs="Arial"/>
          <w:szCs w:val="22"/>
        </w:rPr>
        <w:t>-releasing hormone promoter (165-169</w:t>
      </w:r>
      <w:r w:rsidRPr="00AF6446">
        <w:rPr>
          <w:rFonts w:eastAsia="Times New Roman" w:cs="Arial"/>
          <w:szCs w:val="22"/>
        </w:rPr>
        <w:t>). The POU domain of Oct-1 and the DBD of GRa interact with each other </w:t>
      </w:r>
      <w:r w:rsidRPr="00AF6446">
        <w:rPr>
          <w:rFonts w:eastAsia="Times New Roman" w:cs="Arial"/>
          <w:i/>
          <w:iCs/>
          <w:szCs w:val="22"/>
        </w:rPr>
        <w:t>in vitro</w:t>
      </w:r>
      <w:r w:rsidRPr="00AF6446">
        <w:rPr>
          <w:rFonts w:eastAsia="Times New Roman" w:cs="Arial"/>
          <w:szCs w:val="22"/>
        </w:rPr>
        <w:t>. NF-1, which also stimulates the MMTV promoter, interacts with GRa and cooperatively modulates th</w:t>
      </w:r>
      <w:r w:rsidR="00915508" w:rsidRPr="00AF6446">
        <w:rPr>
          <w:rFonts w:eastAsia="Times New Roman" w:cs="Arial"/>
          <w:szCs w:val="22"/>
        </w:rPr>
        <w:t>e activity of this promoter (169,170</w:t>
      </w:r>
      <w:r w:rsidRPr="00AF6446">
        <w:rPr>
          <w:rFonts w:eastAsia="Times New Roman" w:cs="Arial"/>
          <w:szCs w:val="22"/>
        </w:rPr>
        <w:t xml:space="preserve">). The transcriptional activity of GATA-1, a transcription factor that plays an essential role in the erythroid differentiation is repressed by GRa at the experimental cellular levels. NTD of GRa is necessary for </w:t>
      </w:r>
      <w:r w:rsidR="00915508" w:rsidRPr="00AF6446">
        <w:rPr>
          <w:rFonts w:eastAsia="Times New Roman" w:cs="Arial"/>
          <w:szCs w:val="22"/>
        </w:rPr>
        <w:t>the interaction with GATA-1 (171</w:t>
      </w:r>
      <w:r w:rsidRPr="00AF6446">
        <w:rPr>
          <w:rFonts w:eastAsia="Times New Roman" w:cs="Arial"/>
          <w:szCs w:val="22"/>
        </w:rPr>
        <w:t>). The CAAT/Enhancer-binding Protein (C/EBP) is one of the bZip family transcription factors that have diverse effects on proliferation, development and differentiation of embryonic cells/fetus, and influence functions of the liver, adipose, immune and hema</w:t>
      </w:r>
      <w:r w:rsidR="00915508" w:rsidRPr="00AF6446">
        <w:rPr>
          <w:rFonts w:eastAsia="Times New Roman" w:cs="Arial"/>
          <w:szCs w:val="22"/>
        </w:rPr>
        <w:t>topoietic tissues in adults (172</w:t>
      </w:r>
      <w:r w:rsidRPr="00AF6446">
        <w:rPr>
          <w:rFonts w:eastAsia="Times New Roman" w:cs="Arial"/>
          <w:szCs w:val="22"/>
        </w:rPr>
        <w:t>). C/EBPb, also known as the nuclear factor IL-6 (NF-IL6), synergistically stimulates transcription of GRa on the composite promoter that contains both C/</w:t>
      </w:r>
      <w:r w:rsidR="00915508" w:rsidRPr="00AF6446">
        <w:rPr>
          <w:rFonts w:eastAsia="Times New Roman" w:cs="Arial"/>
          <w:szCs w:val="22"/>
        </w:rPr>
        <w:t>EBPb- and GRa-binding sites (173</w:t>
      </w:r>
      <w:r w:rsidRPr="00AF6446">
        <w:rPr>
          <w:rFonts w:eastAsia="Times New Roman" w:cs="Arial"/>
          <w:szCs w:val="22"/>
        </w:rPr>
        <w:t>). GRa, on the other hand, enhances C/EBPb activity on its</w:t>
      </w:r>
      <w:r w:rsidR="00915508" w:rsidRPr="00AF6446">
        <w:rPr>
          <w:rFonts w:eastAsia="Times New Roman" w:cs="Arial"/>
          <w:szCs w:val="22"/>
        </w:rPr>
        <w:t xml:space="preserve"> simple responsive promoter (173,174</w:t>
      </w:r>
      <w:r w:rsidRPr="00AF6446">
        <w:rPr>
          <w:rFonts w:eastAsia="Times New Roman" w:cs="Arial"/>
          <w:szCs w:val="22"/>
        </w:rPr>
        <w:t>). Direct </w:t>
      </w:r>
      <w:r w:rsidRPr="00AF6446">
        <w:rPr>
          <w:rFonts w:eastAsia="Times New Roman" w:cs="Arial"/>
          <w:i/>
          <w:iCs/>
          <w:szCs w:val="22"/>
        </w:rPr>
        <w:t>in vitro</w:t>
      </w:r>
      <w:r w:rsidRPr="00AF6446">
        <w:rPr>
          <w:rFonts w:eastAsia="Times New Roman" w:cs="Arial"/>
          <w:szCs w:val="22"/>
        </w:rPr>
        <w:t> binding of these proteins has been reported.</w:t>
      </w:r>
    </w:p>
    <w:p w14:paraId="31EBD4EC" w14:textId="61EBEA50" w:rsidR="00290B68" w:rsidRPr="00AF6446" w:rsidRDefault="00290B68" w:rsidP="00AF6446">
      <w:pPr>
        <w:shd w:val="clear" w:color="auto" w:fill="FFFFFF"/>
        <w:rPr>
          <w:rFonts w:eastAsia="Times New Roman" w:cs="Arial"/>
          <w:szCs w:val="22"/>
        </w:rPr>
      </w:pPr>
    </w:p>
    <w:p w14:paraId="7012A1B0" w14:textId="7C19DF87" w:rsidR="00837168" w:rsidRPr="008063DA" w:rsidRDefault="00290B68" w:rsidP="00AF6446">
      <w:pPr>
        <w:pBdr>
          <w:bottom w:val="single" w:sz="6" w:space="0" w:color="97B0C8"/>
        </w:pBdr>
        <w:shd w:val="clear" w:color="auto" w:fill="FFFFFF"/>
        <w:outlineLvl w:val="1"/>
        <w:rPr>
          <w:rFonts w:eastAsia="Times New Roman" w:cs="Arial"/>
          <w:b/>
          <w:bCs/>
          <w:color w:val="0070C0"/>
          <w:szCs w:val="22"/>
        </w:rPr>
      </w:pPr>
      <w:r w:rsidRPr="008063DA">
        <w:rPr>
          <w:rFonts w:eastAsia="Times New Roman" w:cs="Arial"/>
          <w:b/>
          <w:bCs/>
          <w:color w:val="0070C0"/>
          <w:szCs w:val="22"/>
        </w:rPr>
        <w:t>GENOME-WIDE TRANSCRIPTIONAL REGULATION BY GRa</w:t>
      </w:r>
    </w:p>
    <w:p w14:paraId="30065547"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10077A0E" w14:textId="77777777" w:rsidR="00837168" w:rsidRPr="008063DA" w:rsidRDefault="00290B68" w:rsidP="00AF6446">
      <w:pPr>
        <w:pBdr>
          <w:bottom w:val="single" w:sz="6" w:space="0" w:color="97B0C8"/>
        </w:pBdr>
        <w:shd w:val="clear" w:color="auto" w:fill="FFFFFF"/>
        <w:outlineLvl w:val="1"/>
        <w:rPr>
          <w:rFonts w:eastAsia="Times New Roman" w:cs="Arial"/>
          <w:b/>
          <w:bCs/>
          <w:color w:val="00B050"/>
          <w:szCs w:val="22"/>
        </w:rPr>
      </w:pPr>
      <w:r w:rsidRPr="008063DA">
        <w:rPr>
          <w:rFonts w:eastAsia="Times New Roman" w:cs="Arial"/>
          <w:b/>
          <w:bCs/>
          <w:color w:val="00B050"/>
          <w:szCs w:val="22"/>
        </w:rPr>
        <w:t>Chromatin-based Regulation of GRa Transcriptional Activity</w:t>
      </w:r>
    </w:p>
    <w:p w14:paraId="448A172A"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25D82E5C" w14:textId="0253DC09" w:rsidR="00837168"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 xml:space="preserve">GRa regulates expression of glucocorticoid-responsive genes by influencing their transcriptional activity through direct or indirect interaction with their enhancer/promoter regions. In eukaryotic cells, DNA is packed into chromatin by associating with numerous nuclear proteins, such as </w:t>
      </w:r>
      <w:r w:rsidRPr="00AF6446">
        <w:rPr>
          <w:rFonts w:eastAsia="Times New Roman" w:cs="Arial"/>
          <w:szCs w:val="22"/>
        </w:rPr>
        <w:lastRenderedPageBreak/>
        <w:t xml:space="preserve">histones and </w:t>
      </w:r>
      <w:r w:rsidR="0054497D" w:rsidRPr="00AF6446">
        <w:rPr>
          <w:rFonts w:eastAsia="Times New Roman" w:cs="Arial"/>
          <w:szCs w:val="22"/>
        </w:rPr>
        <w:t>chromatin-modifying factors (175,176</w:t>
      </w:r>
      <w:r w:rsidRPr="00AF6446">
        <w:rPr>
          <w:rFonts w:eastAsia="Times New Roman" w:cs="Arial"/>
          <w:szCs w:val="22"/>
        </w:rPr>
        <w:t>). Double-stranded DNA wraps by 1.67 turns around a histone octamer that consists of 2 copies of each core histones H2A, H2B, H3 and H4, and forms the smallest structural unit called “nucleosome”, which is further compacted into a higher order chromatin. Nucleosome-associated histones possess a highly flexible N-terminal tail whose ch</w:t>
      </w:r>
      <w:r w:rsidR="0054497D" w:rsidRPr="00AF6446">
        <w:rPr>
          <w:rFonts w:eastAsia="Times New Roman" w:cs="Arial"/>
          <w:szCs w:val="22"/>
        </w:rPr>
        <w:t>emical modifications, such as</w:t>
      </w:r>
      <w:r w:rsidRPr="00AF6446">
        <w:rPr>
          <w:rFonts w:eastAsia="Times New Roman" w:cs="Arial"/>
          <w:szCs w:val="22"/>
        </w:rPr>
        <w:t xml:space="preserve"> acetylation and methylation at specific lysine (K) residues, modulate accessibility of GRa to its target DNA sequences residing in chromatin. Chromatin is further packed into the 3-dimensional structure called topologically associated domains (TADs) in which several protein-coding gene bodies, promoters and regulatory elements interact with each other through formation of chromatin looping, and their modes of interaction alter in different cellular circumstances. A poly-ZNF protein CTCF plays a central role in the formation of chromatin looping by cooperating with the </w:t>
      </w:r>
      <w:r w:rsidR="001752CD" w:rsidRPr="00AF6446">
        <w:rPr>
          <w:rFonts w:eastAsia="Times New Roman" w:cs="Arial"/>
          <w:szCs w:val="22"/>
        </w:rPr>
        <w:t>cohesion</w:t>
      </w:r>
      <w:r w:rsidRPr="00AF6446">
        <w:rPr>
          <w:rFonts w:eastAsia="Times New Roman" w:cs="Arial"/>
          <w:szCs w:val="22"/>
        </w:rPr>
        <w:t xml:space="preserve"> protein complex and other accessory factors, including the transcription factor IIIC (TFIIIC), ZNF143, PR domain zinc finger protein 5 (PRDM5) and chromodomain helicase D</w:t>
      </w:r>
      <w:r w:rsidR="0054497D" w:rsidRPr="00AF6446">
        <w:rPr>
          <w:rFonts w:eastAsia="Times New Roman" w:cs="Arial"/>
          <w:szCs w:val="22"/>
        </w:rPr>
        <w:t>NA-binding protein 8 (CHD8) (147,149</w:t>
      </w:r>
      <w:r w:rsidRPr="00AF6446">
        <w:rPr>
          <w:rFonts w:eastAsia="Times New Roman" w:cs="Arial"/>
          <w:szCs w:val="22"/>
        </w:rPr>
        <w:t>) (</w:t>
      </w:r>
      <w:hyperlink r:id="rId44" w:tgtFrame="object" w:history="1">
        <w:r w:rsidRPr="00ED1422">
          <w:rPr>
            <w:rFonts w:eastAsia="Times New Roman" w:cs="Arial"/>
            <w:szCs w:val="22"/>
          </w:rPr>
          <w:t>Figure 13</w:t>
        </w:r>
      </w:hyperlink>
      <w:r w:rsidRPr="00AF6446">
        <w:rPr>
          <w:rFonts w:eastAsia="Times New Roman" w:cs="Arial"/>
          <w:szCs w:val="22"/>
        </w:rPr>
        <w:t>). In addition to CTCF, interaction of transcription factors, such as between GRa and NF-kB, influences formation of chromatin looping possibly th</w:t>
      </w:r>
      <w:r w:rsidR="0054497D" w:rsidRPr="00AF6446">
        <w:rPr>
          <w:rFonts w:eastAsia="Times New Roman" w:cs="Arial"/>
          <w:szCs w:val="22"/>
        </w:rPr>
        <w:t>rough cooperation with CTCF (177). A study</w:t>
      </w:r>
      <w:r w:rsidRPr="00AF6446">
        <w:rPr>
          <w:rFonts w:eastAsia="Times New Roman" w:cs="Arial"/>
          <w:szCs w:val="22"/>
        </w:rPr>
        <w:t xml:space="preserve"> using a new technique called Hi-C (high throughput 3C) further revealed that even chromosomes are packed into the nucleus with some orders sh</w:t>
      </w:r>
      <w:r w:rsidR="0054497D" w:rsidRPr="00AF6446">
        <w:rPr>
          <w:rFonts w:eastAsia="Times New Roman" w:cs="Arial"/>
          <w:szCs w:val="22"/>
        </w:rPr>
        <w:t>ared by many tissues/organs (178,179</w:t>
      </w:r>
      <w:r w:rsidRPr="00AF6446">
        <w:rPr>
          <w:rFonts w:eastAsia="Times New Roman" w:cs="Arial"/>
          <w:szCs w:val="22"/>
        </w:rPr>
        <w:t>).</w:t>
      </w:r>
    </w:p>
    <w:p w14:paraId="11CA6116" w14:textId="365995E4" w:rsidR="00290B68" w:rsidRPr="00AF6446" w:rsidRDefault="00290B68" w:rsidP="00AF6446">
      <w:pPr>
        <w:pBdr>
          <w:bottom w:val="single" w:sz="6" w:space="0" w:color="97B0C8"/>
        </w:pBd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2013.%20Organization%20of%20the%20topologically%20associated%20domain%20(TADs)%20and%20chromatin%20looping%20promoted%20by%20CTCF%20for%20differential%20expression%20of%20glucocorticoid-responsive%20genes.&amp;p=BOOKS&amp;id=279171_glucocort-receptor_GR-Figure-13.jpg" \o "Click on image to zoom" \t "tileshopwindow" </w:instrText>
      </w:r>
      <w:r w:rsidRPr="00AF6446">
        <w:rPr>
          <w:rFonts w:eastAsia="Times New Roman" w:cs="Arial"/>
          <w:szCs w:val="22"/>
        </w:rPr>
        <w:fldChar w:fldCharType="separate"/>
      </w:r>
    </w:p>
    <w:p w14:paraId="137A33FB" w14:textId="342D9326" w:rsidR="00290B68" w:rsidRPr="00AF6446" w:rsidRDefault="00290B68" w:rsidP="00AF6446">
      <w:pPr>
        <w:shd w:val="clear" w:color="auto" w:fill="FFFFFF"/>
        <w:rPr>
          <w:rFonts w:eastAsia="Times New Roman" w:cs="Arial"/>
          <w:b/>
          <w:szCs w:val="22"/>
        </w:rPr>
      </w:pPr>
      <w:r w:rsidRPr="00AF6446">
        <w:rPr>
          <w:rFonts w:eastAsia="Times New Roman" w:cs="Arial"/>
          <w:noProof/>
          <w:szCs w:val="22"/>
          <w:bdr w:val="single" w:sz="6" w:space="0" w:color="C0C0C0" w:frame="1"/>
          <w:lang w:val="el-GR" w:eastAsia="el-GR"/>
        </w:rPr>
        <w:drawing>
          <wp:inline distT="0" distB="0" distL="0" distR="0" wp14:anchorId="656237C0" wp14:editId="6A349821">
            <wp:extent cx="6101751" cy="3508507"/>
            <wp:effectExtent l="0" t="0" r="0" b="0"/>
            <wp:docPr id="33" name="Picture 33" descr="Figure 13. Organization of the topologically associated domain (TADs) and chromatin looping promoted by CTCF for differential expression of glucocorticoid-responsive genes.">
              <a:hlinkClick xmlns:a="http://schemas.openxmlformats.org/drawingml/2006/main" r:id="rId45"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13. Organization of the topologically associated domain (TADs) and chromatin looping promoted by CTCF for differential expression of glucocorticoid-responsive genes.">
                      <a:hlinkClick r:id="rId45" tgtFrame="&quot;tileshopwindow&quot;" tooltip="&quot;Click on image to zoom&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1814" cy="3566043"/>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13</w:t>
      </w:r>
      <w:r w:rsidR="00837168" w:rsidRPr="00AF6446">
        <w:rPr>
          <w:rFonts w:eastAsia="Times New Roman" w:cs="Arial"/>
          <w:b/>
          <w:bCs/>
          <w:szCs w:val="22"/>
        </w:rPr>
        <w:t xml:space="preserve">. </w:t>
      </w:r>
      <w:r w:rsidRPr="00AF6446">
        <w:rPr>
          <w:rFonts w:eastAsia="Times New Roman" w:cs="Arial"/>
          <w:b/>
          <w:bCs/>
          <w:szCs w:val="22"/>
        </w:rPr>
        <w:t>Organization of the topologically associated domain (TADs) and chromatin looping promoted by CTCF for differential expression of glucocorticoid-responsive genes.</w:t>
      </w:r>
      <w:r w:rsidR="00ED1422">
        <w:rPr>
          <w:rFonts w:eastAsia="Times New Roman" w:cs="Arial"/>
          <w:b/>
          <w:bCs/>
          <w:szCs w:val="22"/>
        </w:rPr>
        <w:t xml:space="preserve"> </w:t>
      </w:r>
      <w:r w:rsidRPr="00AF6446">
        <w:rPr>
          <w:rFonts w:eastAsia="Times New Roman" w:cs="Arial"/>
          <w:b/>
          <w:szCs w:val="22"/>
        </w:rPr>
        <w:t xml:space="preserve">CTCF organizes 3-dimensional chromatin interaction for the formation of TADs and chromatin looping, in cooperating with the </w:t>
      </w:r>
      <w:r w:rsidR="001752CD" w:rsidRPr="00AF6446">
        <w:rPr>
          <w:rFonts w:eastAsia="Times New Roman" w:cs="Arial"/>
          <w:b/>
          <w:szCs w:val="22"/>
        </w:rPr>
        <w:t>cohesion</w:t>
      </w:r>
      <w:r w:rsidRPr="00AF6446">
        <w:rPr>
          <w:rFonts w:eastAsia="Times New Roman" w:cs="Arial"/>
          <w:b/>
          <w:szCs w:val="22"/>
        </w:rPr>
        <w:t xml:space="preserve"> protein complex and other component proteins. Chromatin loop-forming activity of CTCF is essential for differential </w:t>
      </w:r>
      <w:r w:rsidRPr="00AF6446">
        <w:rPr>
          <w:rFonts w:eastAsia="Times New Roman" w:cs="Arial"/>
          <w:b/>
          <w:szCs w:val="22"/>
        </w:rPr>
        <w:lastRenderedPageBreak/>
        <w:t>use of enhancers/promoters by GR-responding genes, and underlies organ/tissue-specific actions of glu</w:t>
      </w:r>
      <w:r w:rsidR="0054497D" w:rsidRPr="00AF6446">
        <w:rPr>
          <w:rFonts w:eastAsia="Times New Roman" w:cs="Arial"/>
          <w:b/>
          <w:szCs w:val="22"/>
        </w:rPr>
        <w:t>cocorticoids. Modified from (147</w:t>
      </w:r>
      <w:r w:rsidRPr="00AF6446">
        <w:rPr>
          <w:rFonts w:eastAsia="Times New Roman" w:cs="Arial"/>
          <w:b/>
          <w:szCs w:val="22"/>
        </w:rPr>
        <w:t>).</w:t>
      </w:r>
    </w:p>
    <w:p w14:paraId="6A863BE1" w14:textId="77777777" w:rsidR="00837168" w:rsidRPr="00AF6446" w:rsidRDefault="00837168" w:rsidP="00AF6446">
      <w:pPr>
        <w:shd w:val="clear" w:color="auto" w:fill="FFFFFF"/>
        <w:rPr>
          <w:rFonts w:eastAsia="Times New Roman" w:cs="Arial"/>
          <w:szCs w:val="22"/>
        </w:rPr>
      </w:pPr>
    </w:p>
    <w:p w14:paraId="5228DC3B" w14:textId="5ED40BE4" w:rsidR="00290B68" w:rsidRPr="00AF6446" w:rsidRDefault="00290B68" w:rsidP="00AF6446">
      <w:pPr>
        <w:shd w:val="clear" w:color="auto" w:fill="FFFFFF"/>
        <w:rPr>
          <w:rFonts w:eastAsia="Times New Roman" w:cs="Arial"/>
          <w:szCs w:val="22"/>
        </w:rPr>
      </w:pPr>
      <w:r w:rsidRPr="00AF6446">
        <w:rPr>
          <w:rFonts w:eastAsia="Times New Roman" w:cs="Arial"/>
          <w:szCs w:val="22"/>
        </w:rPr>
        <w:t>In rat liver, more than 11,000 GR-binding sites (GBSs) are identified primarily at intergenic distal and intronic regions, but only ~10% of GBSs are located in the promoter area (~2.5 kbs from the transcription start site: TSS), consistent with the fact that distantly located enhancer regions can communicate with the gene pr</w:t>
      </w:r>
      <w:r w:rsidR="00B95AB5" w:rsidRPr="00AF6446">
        <w:rPr>
          <w:rFonts w:eastAsia="Times New Roman" w:cs="Arial"/>
          <w:szCs w:val="22"/>
        </w:rPr>
        <w:t>omoter through gene looping (180,181</w:t>
      </w:r>
      <w:r w:rsidRPr="00AF6446">
        <w:rPr>
          <w:rFonts w:eastAsia="Times New Roman" w:cs="Arial"/>
          <w:szCs w:val="22"/>
        </w:rPr>
        <w:t>). Interestingly, ~80-90% of GRa-accessible sites exists prior to glucocorticoid addition/GRa stimulation, while their distribution is highly tissue-specific, indicating that local tissue factor(s) mainly determine(s) the sets of genes responsive to glucocorticoids by regulat</w:t>
      </w:r>
      <w:r w:rsidR="00185232" w:rsidRPr="00AF6446">
        <w:rPr>
          <w:rFonts w:eastAsia="Times New Roman" w:cs="Arial"/>
          <w:szCs w:val="22"/>
        </w:rPr>
        <w:t>ing chromatin accessibility (180</w:t>
      </w:r>
      <w:r w:rsidRPr="00AF6446">
        <w:rPr>
          <w:rFonts w:eastAsia="Times New Roman" w:cs="Arial"/>
          <w:szCs w:val="22"/>
        </w:rPr>
        <w:t xml:space="preserve">). Indeed, some transcription factors, such as C/EBPb, AP-1 and FoxA1, have their binding sites close to GBSs (thus, composite sites) and act as tissue-specific priming factors (or pioneer factors) for the access of GRa to GBSs, respectively in murine mammary epithelial cells, rat liver and </w:t>
      </w:r>
      <w:r w:rsidR="00185232" w:rsidRPr="00AF6446">
        <w:rPr>
          <w:rFonts w:eastAsia="Times New Roman" w:cs="Arial"/>
          <w:szCs w:val="22"/>
        </w:rPr>
        <w:t>human prostate cancer cells (181-183</w:t>
      </w:r>
      <w:r w:rsidRPr="00AF6446">
        <w:rPr>
          <w:rFonts w:eastAsia="Times New Roman" w:cs="Arial"/>
          <w:szCs w:val="22"/>
        </w:rPr>
        <w:t>). These pre-existing GBSs are en</w:t>
      </w:r>
      <w:r w:rsidR="00185232" w:rsidRPr="00AF6446">
        <w:rPr>
          <w:rFonts w:eastAsia="Times New Roman" w:cs="Arial"/>
          <w:szCs w:val="22"/>
        </w:rPr>
        <w:t>riched with CpG islands and</w:t>
      </w:r>
      <w:r w:rsidRPr="00AF6446">
        <w:rPr>
          <w:rFonts w:eastAsia="Times New Roman" w:cs="Arial"/>
          <w:szCs w:val="22"/>
        </w:rPr>
        <w:t xml:space="preserve"> are generally demethylated, further suggesting that DNA methylation also contributes negati</w:t>
      </w:r>
      <w:r w:rsidR="00185232" w:rsidRPr="00AF6446">
        <w:rPr>
          <w:rFonts w:eastAsia="Times New Roman" w:cs="Arial"/>
          <w:szCs w:val="22"/>
        </w:rPr>
        <w:t>vely to the opening of GBSs (184). However, a study</w:t>
      </w:r>
      <w:r w:rsidRPr="00AF6446">
        <w:rPr>
          <w:rFonts w:eastAsia="Times New Roman" w:cs="Arial"/>
          <w:szCs w:val="22"/>
        </w:rPr>
        <w:t xml:space="preserve"> revealed that GRa can act as a pioneer factor for several other transcription factors previously reported to</w:t>
      </w:r>
      <w:r w:rsidR="00185232" w:rsidRPr="00AF6446">
        <w:rPr>
          <w:rFonts w:eastAsia="Times New Roman" w:cs="Arial"/>
          <w:szCs w:val="22"/>
        </w:rPr>
        <w:t xml:space="preserve"> be pioneer factors for GRa (185</w:t>
      </w:r>
      <w:r w:rsidRPr="00AF6446">
        <w:rPr>
          <w:rFonts w:eastAsia="Times New Roman" w:cs="Arial"/>
          <w:szCs w:val="22"/>
        </w:rPr>
        <w:t>). This report indicates that GRa can function both as a pioneer and a dependent factor based on the composition of the binding sites in the regulatory elements and/or local chromatin conditions.</w:t>
      </w:r>
    </w:p>
    <w:p w14:paraId="2B4CA87A" w14:textId="77777777" w:rsidR="00837168" w:rsidRPr="00AF6446" w:rsidRDefault="00837168" w:rsidP="00AF6446">
      <w:pPr>
        <w:shd w:val="clear" w:color="auto" w:fill="FFFFFF"/>
        <w:rPr>
          <w:rFonts w:eastAsia="Times New Roman" w:cs="Arial"/>
          <w:szCs w:val="22"/>
        </w:rPr>
      </w:pPr>
    </w:p>
    <w:p w14:paraId="0495982E" w14:textId="36E8109C" w:rsidR="00290B68" w:rsidRPr="008063DA" w:rsidRDefault="00290B68" w:rsidP="00AF6446">
      <w:pPr>
        <w:shd w:val="clear" w:color="auto" w:fill="FFFFFF"/>
        <w:rPr>
          <w:rFonts w:eastAsia="Times New Roman" w:cs="Arial"/>
          <w:b/>
          <w:bCs/>
          <w:color w:val="00B050"/>
          <w:szCs w:val="22"/>
        </w:rPr>
      </w:pPr>
      <w:r w:rsidRPr="008063DA">
        <w:rPr>
          <w:rFonts w:eastAsia="Times New Roman" w:cs="Arial"/>
          <w:b/>
          <w:bCs/>
          <w:color w:val="00B050"/>
          <w:szCs w:val="22"/>
        </w:rPr>
        <w:t>Influence of Gene Variation (Single Nucleotide Polymorphisms: SNPs) to Tissue Glucocorticoid Responsiveness</w:t>
      </w:r>
    </w:p>
    <w:p w14:paraId="7FD204AA" w14:textId="77777777" w:rsidR="00837168" w:rsidRPr="00AF6446" w:rsidRDefault="00837168" w:rsidP="00AF6446">
      <w:pPr>
        <w:shd w:val="clear" w:color="auto" w:fill="FFFFFF"/>
        <w:rPr>
          <w:rFonts w:eastAsia="Times New Roman" w:cs="Arial"/>
          <w:szCs w:val="22"/>
        </w:rPr>
      </w:pPr>
    </w:p>
    <w:p w14:paraId="79FBE0E4" w14:textId="494EC559" w:rsidR="00290B68" w:rsidRPr="00AF6446" w:rsidRDefault="00290B68" w:rsidP="00AF6446">
      <w:pPr>
        <w:shd w:val="clear" w:color="auto" w:fill="FFFFFF"/>
        <w:rPr>
          <w:rFonts w:eastAsia="Times New Roman" w:cs="Arial"/>
          <w:szCs w:val="22"/>
        </w:rPr>
      </w:pPr>
      <w:r w:rsidRPr="00AF6446">
        <w:rPr>
          <w:rFonts w:eastAsia="Times New Roman" w:cs="Arial"/>
          <w:szCs w:val="22"/>
        </w:rPr>
        <w:t>Humans demonstrate variation in their responsiveness to glucocorticoids (sensitivity to glucocorticoi</w:t>
      </w:r>
      <w:r w:rsidR="007A296A" w:rsidRPr="00AF6446">
        <w:rPr>
          <w:rFonts w:eastAsia="Times New Roman" w:cs="Arial"/>
          <w:szCs w:val="22"/>
        </w:rPr>
        <w:t>ds), which then influences the</w:t>
      </w:r>
      <w:r w:rsidRPr="00AF6446">
        <w:rPr>
          <w:rFonts w:eastAsia="Times New Roman" w:cs="Arial"/>
          <w:szCs w:val="22"/>
        </w:rPr>
        <w:t xml:space="preserve"> development of numerous disorders, such as hypertension, obesity, diabetes mellitus, osteoporosis and ischemic heart diseases, asthma and acute lymphoblastic leukemias. However, genetic background(s) that explain(s) such difference in glucocorticoid responsiveness among human subjects is(are) not known. To access this problem, variation of the single nucleotide polymorphisms (SNPs) in over 100 individuals was compared with glucocorticoid-induced mRNA expression profiles in subjects’ EBV-transformed lymphocytes and their </w:t>
      </w:r>
      <w:r w:rsidR="003E22DF" w:rsidRPr="00AF6446">
        <w:rPr>
          <w:rFonts w:eastAsia="Times New Roman" w:cs="Arial"/>
          <w:szCs w:val="22"/>
        </w:rPr>
        <w:t>secretion of some cytokines (186</w:t>
      </w:r>
      <w:r w:rsidRPr="00AF6446">
        <w:rPr>
          <w:rFonts w:eastAsia="Times New Roman" w:cs="Arial"/>
          <w:szCs w:val="22"/>
        </w:rPr>
        <w:t>). The results revealed that the SNPs located close (~100 kbps) to the glucocorticoid-responsive genes were associated with variation in glucocorticoid responsiveness of their own mRNA expression, while SNPs located in the transcription factors known to regulate GRa transcriptional activity did not show statistically significant differences. These results suggest that the genetic areas close to glucocorticoid-responsive genes, possibly containing enhancer regions and/or other gene regulatory sequences, influence primarily the responsiveness of mRNA expression of their associated genes to glucocorticoids, rather than those found in the protein-coding sequence of GRa, its partner molecules or glucocorticoi</w:t>
      </w:r>
      <w:r w:rsidR="004C5ABD" w:rsidRPr="00AF6446">
        <w:rPr>
          <w:rFonts w:eastAsia="Times New Roman" w:cs="Arial"/>
          <w:szCs w:val="22"/>
        </w:rPr>
        <w:t>d-responsive genes themselves. The a</w:t>
      </w:r>
      <w:r w:rsidRPr="00AF6446">
        <w:rPr>
          <w:rFonts w:eastAsia="Times New Roman" w:cs="Arial"/>
          <w:szCs w:val="22"/>
        </w:rPr>
        <w:t>bove results on the genetic factors determining individu</w:t>
      </w:r>
      <w:r w:rsidR="004C5ABD" w:rsidRPr="00AF6446">
        <w:rPr>
          <w:rFonts w:eastAsia="Times New Roman" w:cs="Arial"/>
          <w:szCs w:val="22"/>
        </w:rPr>
        <w:t>al glucocorticoid sensitivity are consistent with</w:t>
      </w:r>
      <w:r w:rsidRPr="00AF6446">
        <w:rPr>
          <w:rFonts w:eastAsia="Times New Roman" w:cs="Arial"/>
          <w:szCs w:val="22"/>
        </w:rPr>
        <w:t xml:space="preserve"> recent findings obtained in the genome-wide</w:t>
      </w:r>
      <w:r w:rsidR="004C5ABD" w:rsidRPr="00AF6446">
        <w:rPr>
          <w:rFonts w:eastAsia="Times New Roman" w:cs="Arial"/>
          <w:szCs w:val="22"/>
        </w:rPr>
        <w:t xml:space="preserve"> association studies (GWAS) in which</w:t>
      </w:r>
      <w:r w:rsidRPr="00AF6446">
        <w:rPr>
          <w:rFonts w:eastAsia="Times New Roman" w:cs="Arial"/>
          <w:szCs w:val="22"/>
        </w:rPr>
        <w:t xml:space="preserve"> ~70% of SNPs associated with susceptibility to common disorders and traits (thus individual variation) are found in the gene regulatory regions but not in t</w:t>
      </w:r>
      <w:r w:rsidR="004C5ABD" w:rsidRPr="00AF6446">
        <w:rPr>
          <w:rFonts w:eastAsia="Times New Roman" w:cs="Arial"/>
          <w:szCs w:val="22"/>
        </w:rPr>
        <w:t>he protein-coding sequences (187</w:t>
      </w:r>
      <w:r w:rsidRPr="00AF6446">
        <w:rPr>
          <w:rFonts w:eastAsia="Times New Roman" w:cs="Arial"/>
          <w:szCs w:val="22"/>
        </w:rPr>
        <w:t>).</w:t>
      </w:r>
    </w:p>
    <w:p w14:paraId="10CA4143" w14:textId="77777777" w:rsidR="00837168" w:rsidRPr="00AF6446" w:rsidRDefault="00837168" w:rsidP="00AF6446">
      <w:pPr>
        <w:shd w:val="clear" w:color="auto" w:fill="FFFFFF"/>
        <w:rPr>
          <w:rFonts w:eastAsia="Times New Roman" w:cs="Arial"/>
          <w:szCs w:val="22"/>
        </w:rPr>
      </w:pPr>
    </w:p>
    <w:p w14:paraId="4EEF9645" w14:textId="3A365858" w:rsidR="00290B68" w:rsidRPr="00AF6446" w:rsidRDefault="00290B68" w:rsidP="00AF6446">
      <w:pPr>
        <w:shd w:val="clear" w:color="auto" w:fill="FFFFFF"/>
        <w:outlineLvl w:val="2"/>
        <w:rPr>
          <w:rFonts w:eastAsia="Times New Roman" w:cs="Arial"/>
          <w:b/>
          <w:bCs/>
          <w:szCs w:val="22"/>
        </w:rPr>
      </w:pPr>
      <w:r w:rsidRPr="008063DA">
        <w:rPr>
          <w:rFonts w:eastAsia="Times New Roman" w:cs="Arial"/>
          <w:b/>
          <w:bCs/>
          <w:color w:val="00B050"/>
          <w:szCs w:val="22"/>
        </w:rPr>
        <w:t>Tissue/Organ-specific Actions of GRa Revealed by </w:t>
      </w:r>
      <w:r w:rsidRPr="008063DA">
        <w:rPr>
          <w:rFonts w:eastAsia="Times New Roman" w:cs="Arial"/>
          <w:b/>
          <w:bCs/>
          <w:i/>
          <w:iCs/>
          <w:color w:val="00B050"/>
          <w:szCs w:val="22"/>
        </w:rPr>
        <w:t>GR</w:t>
      </w:r>
      <w:r w:rsidRPr="008063DA">
        <w:rPr>
          <w:rFonts w:eastAsia="Times New Roman" w:cs="Arial"/>
          <w:b/>
          <w:bCs/>
          <w:color w:val="00B050"/>
          <w:szCs w:val="22"/>
        </w:rPr>
        <w:t> Gene Knockout/Knockin Studies</w:t>
      </w:r>
    </w:p>
    <w:p w14:paraId="51E7F9DD" w14:textId="77777777" w:rsidR="00837168" w:rsidRPr="00AF6446" w:rsidRDefault="00837168" w:rsidP="00AF6446">
      <w:pPr>
        <w:shd w:val="clear" w:color="auto" w:fill="FFFFFF"/>
        <w:outlineLvl w:val="2"/>
        <w:rPr>
          <w:rFonts w:eastAsia="Times New Roman" w:cs="Arial"/>
          <w:b/>
          <w:bCs/>
          <w:szCs w:val="22"/>
        </w:rPr>
      </w:pPr>
    </w:p>
    <w:p w14:paraId="5864B041" w14:textId="5372DE43" w:rsidR="00290B68" w:rsidRPr="00AF6446" w:rsidRDefault="00290B68" w:rsidP="00AF6446">
      <w:pPr>
        <w:shd w:val="clear" w:color="auto" w:fill="FFFFFF"/>
        <w:rPr>
          <w:rFonts w:eastAsia="Times New Roman" w:cs="Arial"/>
          <w:szCs w:val="22"/>
        </w:rPr>
      </w:pPr>
      <w:r w:rsidRPr="00AF6446">
        <w:rPr>
          <w:rFonts w:eastAsia="Times New Roman" w:cs="Arial"/>
          <w:szCs w:val="22"/>
        </w:rPr>
        <w:t>Modifications of gene expression with gene knockout (deletion of existing genes) are tremendously helpful for understanding physiologic actions of endogenous GRa in glucocorticoid-target tissues. Whole body </w:t>
      </w:r>
      <w:r w:rsidRPr="00AF6446">
        <w:rPr>
          <w:rFonts w:eastAsia="Times New Roman" w:cs="Arial"/>
          <w:i/>
          <w:iCs/>
          <w:szCs w:val="22"/>
        </w:rPr>
        <w:t>GR</w:t>
      </w:r>
      <w:r w:rsidRPr="00AF6446">
        <w:rPr>
          <w:rFonts w:eastAsia="Times New Roman" w:cs="Arial"/>
          <w:szCs w:val="22"/>
        </w:rPr>
        <w:t> gene knockout revealed that GR deficient pups die just after birth due to respiratory insufficiency caused by lack of lung surfactant, indicating that GR actio</w:t>
      </w:r>
      <w:r w:rsidR="00880757" w:rsidRPr="00AF6446">
        <w:rPr>
          <w:rFonts w:eastAsia="Times New Roman" w:cs="Arial"/>
          <w:szCs w:val="22"/>
        </w:rPr>
        <w:t>n is essential for survival (188</w:t>
      </w:r>
      <w:r w:rsidRPr="00AF6446">
        <w:rPr>
          <w:rFonts w:eastAsia="Times New Roman" w:cs="Arial"/>
          <w:szCs w:val="22"/>
        </w:rPr>
        <w:t xml:space="preserve">). By using the same mice, GR is also shown to be required for gluconeogenesis upon fasting and erythropoiesis under stress (such </w:t>
      </w:r>
      <w:r w:rsidR="00880757" w:rsidRPr="00AF6446">
        <w:rPr>
          <w:rFonts w:eastAsia="Times New Roman" w:cs="Arial"/>
          <w:szCs w:val="22"/>
        </w:rPr>
        <w:t>as erythrolysis or hypoxia) (189,190</w:t>
      </w:r>
      <w:r w:rsidRPr="00AF6446">
        <w:rPr>
          <w:rFonts w:eastAsia="Times New Roman" w:cs="Arial"/>
          <w:szCs w:val="22"/>
        </w:rPr>
        <w:t>). Mice harboring forebrain-specific </w:t>
      </w:r>
      <w:r w:rsidRPr="00AF6446">
        <w:rPr>
          <w:rFonts w:eastAsia="Times New Roman" w:cs="Arial"/>
          <w:i/>
          <w:iCs/>
          <w:szCs w:val="22"/>
        </w:rPr>
        <w:t>GR</w:t>
      </w:r>
      <w:r w:rsidRPr="00AF6446">
        <w:rPr>
          <w:rFonts w:eastAsia="Times New Roman" w:cs="Arial"/>
          <w:szCs w:val="22"/>
        </w:rPr>
        <w:t> gene knockout developed a phenotype mimicking major depressive disorder in humans, including hyperactivity and impaired negative regulation of the HPA axis, indicating that alteration of GRa actions in the forebrain plays a causative role in the disease onset o</w:t>
      </w:r>
      <w:r w:rsidR="00880757" w:rsidRPr="00AF6446">
        <w:rPr>
          <w:rFonts w:eastAsia="Times New Roman" w:cs="Arial"/>
          <w:szCs w:val="22"/>
        </w:rPr>
        <w:t>f major depressive disorder (191</w:t>
      </w:r>
      <w:r w:rsidRPr="00AF6446">
        <w:rPr>
          <w:rFonts w:eastAsia="Times New Roman" w:cs="Arial"/>
          <w:szCs w:val="22"/>
        </w:rPr>
        <w:t>). Paraventricular nucleus (PVN) of the brain hypothalamus is the central component of the HPA axis (1), thus </w:t>
      </w:r>
      <w:r w:rsidRPr="00AF6446">
        <w:rPr>
          <w:rFonts w:eastAsia="Times New Roman" w:cs="Arial"/>
          <w:i/>
          <w:iCs/>
          <w:szCs w:val="22"/>
        </w:rPr>
        <w:t>GR</w:t>
      </w:r>
      <w:r w:rsidRPr="00AF6446">
        <w:rPr>
          <w:rFonts w:eastAsia="Times New Roman" w:cs="Arial"/>
          <w:szCs w:val="22"/>
        </w:rPr>
        <w:t> gene knockout mice in this brain region was developed and their HPA axis was evaluated. The results indicated that PVN GR is required for negative regulation of the HPA axis at a basal condition and under stress</w:t>
      </w:r>
      <w:r w:rsidR="00880757" w:rsidRPr="00AF6446">
        <w:rPr>
          <w:rFonts w:eastAsia="Times New Roman" w:cs="Arial"/>
          <w:szCs w:val="22"/>
        </w:rPr>
        <w:t xml:space="preserve"> (192</w:t>
      </w:r>
      <w:r w:rsidRPr="00AF6446">
        <w:rPr>
          <w:rFonts w:eastAsia="Times New Roman" w:cs="Arial"/>
          <w:szCs w:val="22"/>
        </w:rPr>
        <w:t>). </w:t>
      </w:r>
      <w:r w:rsidRPr="00AF6446">
        <w:rPr>
          <w:rFonts w:eastAsia="Times New Roman" w:cs="Arial"/>
          <w:i/>
          <w:iCs/>
          <w:szCs w:val="22"/>
        </w:rPr>
        <w:t>GR</w:t>
      </w:r>
      <w:r w:rsidRPr="00AF6446">
        <w:rPr>
          <w:rFonts w:eastAsia="Times New Roman" w:cs="Arial"/>
          <w:szCs w:val="22"/>
        </w:rPr>
        <w:t> gene knockout mice specific in the noradrenergic neurons, components of the neural circuit mediating the adaptive stress response together with the HP</w:t>
      </w:r>
      <w:r w:rsidR="00880757" w:rsidRPr="00AF6446">
        <w:rPr>
          <w:rFonts w:eastAsia="Times New Roman" w:cs="Arial"/>
          <w:szCs w:val="22"/>
        </w:rPr>
        <w:t>A axis, were also created (1,193</w:t>
      </w:r>
      <w:r w:rsidRPr="00AF6446">
        <w:rPr>
          <w:rFonts w:eastAsia="Times New Roman" w:cs="Arial"/>
          <w:szCs w:val="22"/>
        </w:rPr>
        <w:t>). These mice demonstrated depressive- and anxiety-like behavior upon stress with specificity to duration and gender, indicating that GR in the noradrenergic neurons plays an important role in stress response and associated behavioral changes in addition to its actions in the HPA axis. In mice with cardiomyocyte/vascular smooth muscle cell-specific </w:t>
      </w:r>
      <w:r w:rsidRPr="00AF6446">
        <w:rPr>
          <w:rFonts w:eastAsia="Times New Roman" w:cs="Arial"/>
          <w:i/>
          <w:iCs/>
          <w:szCs w:val="22"/>
        </w:rPr>
        <w:t>GR</w:t>
      </w:r>
      <w:r w:rsidRPr="00AF6446">
        <w:rPr>
          <w:rFonts w:eastAsia="Times New Roman" w:cs="Arial"/>
          <w:szCs w:val="22"/>
        </w:rPr>
        <w:t> gene knockout, fetal heart function is impaired and causes generalized edema in embryonic day (E) 17.5. Histologically, disorganized myofibrils and cardiomyocytes are found in fetal heart, while altered expression of the genes involved in contractile function, calcium handling and energy metabolism are observed. These results suggest that GRa actions in the cardiomyocytes and vascular smooth muscle cells are important for proper functioning and maturation of the fetal hear</w:t>
      </w:r>
      <w:r w:rsidR="00880757" w:rsidRPr="00AF6446">
        <w:rPr>
          <w:rFonts w:eastAsia="Times New Roman" w:cs="Arial"/>
          <w:szCs w:val="22"/>
        </w:rPr>
        <w:t>t (194</w:t>
      </w:r>
      <w:r w:rsidRPr="00AF6446">
        <w:rPr>
          <w:rFonts w:eastAsia="Times New Roman" w:cs="Arial"/>
          <w:szCs w:val="22"/>
        </w:rPr>
        <w:t>). </w:t>
      </w:r>
      <w:r w:rsidRPr="00AF6446">
        <w:rPr>
          <w:rFonts w:eastAsia="Times New Roman" w:cs="Arial"/>
          <w:i/>
          <w:iCs/>
          <w:szCs w:val="22"/>
        </w:rPr>
        <w:t>GR</w:t>
      </w:r>
      <w:r w:rsidRPr="00AF6446">
        <w:rPr>
          <w:rFonts w:eastAsia="Times New Roman" w:cs="Arial"/>
          <w:szCs w:val="22"/>
        </w:rPr>
        <w:t xml:space="preserve"> gene knockout specific in the vascular endothelial cells revealed that GRa in this tissue mediates a tonic effect of glucocorticoids on blood pressure, possibly by supporting autocrine or paracrine activity of this tissue for releasing vasoactive mediators in response </w:t>
      </w:r>
      <w:r w:rsidR="00880757" w:rsidRPr="00AF6446">
        <w:rPr>
          <w:rFonts w:eastAsia="Times New Roman" w:cs="Arial"/>
          <w:szCs w:val="22"/>
        </w:rPr>
        <w:t>to glucocorticoid treatment (195</w:t>
      </w:r>
      <w:r w:rsidRPr="00AF6446">
        <w:rPr>
          <w:rFonts w:eastAsia="Times New Roman" w:cs="Arial"/>
          <w:szCs w:val="22"/>
        </w:rPr>
        <w:t xml:space="preserve">). GRa in this tissue is also required for the protective response against sepsis by conferring glucocorticoid-mediated suppression of cytokine </w:t>
      </w:r>
      <w:r w:rsidR="00880757" w:rsidRPr="00AF6446">
        <w:rPr>
          <w:rFonts w:eastAsia="Times New Roman" w:cs="Arial"/>
          <w:szCs w:val="22"/>
        </w:rPr>
        <w:t>and nitric oxide production (196</w:t>
      </w:r>
      <w:r w:rsidRPr="00AF6446">
        <w:rPr>
          <w:rFonts w:eastAsia="Times New Roman" w:cs="Arial"/>
          <w:szCs w:val="22"/>
        </w:rPr>
        <w:t>). Challenge of vascular endothelial cell-specific </w:t>
      </w:r>
      <w:r w:rsidRPr="00AF6446">
        <w:rPr>
          <w:rFonts w:eastAsia="Times New Roman" w:cs="Arial"/>
          <w:i/>
          <w:iCs/>
          <w:szCs w:val="22"/>
        </w:rPr>
        <w:t>GR</w:t>
      </w:r>
      <w:r w:rsidRPr="00AF6446">
        <w:rPr>
          <w:rFonts w:eastAsia="Times New Roman" w:cs="Arial"/>
          <w:szCs w:val="22"/>
        </w:rPr>
        <w:t> knockout mice with LPS also revealed that GRa in this tissue is required for survival of animals against this compound by appropriately suppressing circulating levels of inflammatory cytokines (TNFa and IL-6) and release of t</w:t>
      </w:r>
      <w:r w:rsidR="00880757" w:rsidRPr="00AF6446">
        <w:rPr>
          <w:rFonts w:eastAsia="Times New Roman" w:cs="Arial"/>
          <w:szCs w:val="22"/>
        </w:rPr>
        <w:t>he nitric oxide (197</w:t>
      </w:r>
      <w:r w:rsidRPr="00AF6446">
        <w:rPr>
          <w:rFonts w:eastAsia="Times New Roman" w:cs="Arial"/>
          <w:szCs w:val="22"/>
        </w:rPr>
        <w:t>), indicating the important actions of the vascular endothelial cell-residing GRa for controlling otherwise overshooting inflammatory response. T-lymphocyte-specific </w:t>
      </w:r>
      <w:r w:rsidRPr="00AF6446">
        <w:rPr>
          <w:rFonts w:eastAsia="Times New Roman" w:cs="Arial"/>
          <w:i/>
          <w:iCs/>
          <w:szCs w:val="22"/>
        </w:rPr>
        <w:t>GR</w:t>
      </w:r>
      <w:r w:rsidRPr="00AF6446">
        <w:rPr>
          <w:rFonts w:eastAsia="Times New Roman" w:cs="Arial"/>
          <w:szCs w:val="22"/>
        </w:rPr>
        <w:t> gene knockout mice revealed that GRa-mediated immune suppression mainly through Th1 lymphocytes is also necessary for survival of the mice against </w:t>
      </w:r>
      <w:r w:rsidRPr="00AF6446">
        <w:rPr>
          <w:rFonts w:eastAsia="Times New Roman" w:cs="Arial"/>
          <w:i/>
          <w:iCs/>
          <w:szCs w:val="22"/>
        </w:rPr>
        <w:t>Toxoplasma gondii</w:t>
      </w:r>
      <w:r w:rsidR="00D74C26" w:rsidRPr="00AF6446">
        <w:rPr>
          <w:rFonts w:eastAsia="Times New Roman" w:cs="Arial"/>
          <w:szCs w:val="22"/>
        </w:rPr>
        <w:t> infection (198</w:t>
      </w:r>
      <w:r w:rsidRPr="00AF6446">
        <w:rPr>
          <w:rFonts w:eastAsia="Times New Roman" w:cs="Arial"/>
          <w:szCs w:val="22"/>
        </w:rPr>
        <w:t>). Uterine-specific GR knockout mice generated with the Cre-recombinase expressed under the </w:t>
      </w:r>
      <w:r w:rsidRPr="00AF6446">
        <w:rPr>
          <w:rFonts w:eastAsia="Times New Roman" w:cs="Arial"/>
          <w:i/>
          <w:iCs/>
          <w:szCs w:val="22"/>
        </w:rPr>
        <w:t>PR</w:t>
      </w:r>
      <w:r w:rsidRPr="00AF6446">
        <w:rPr>
          <w:rFonts w:eastAsia="Times New Roman" w:cs="Arial"/>
          <w:szCs w:val="22"/>
        </w:rPr>
        <w:t> gene promoter revealed that uterine GRa is required to establish the local cellular environment necessary for maintaining normal ut</w:t>
      </w:r>
      <w:r w:rsidR="00D74C26" w:rsidRPr="00AF6446">
        <w:rPr>
          <w:rFonts w:eastAsia="Times New Roman" w:cs="Arial"/>
          <w:szCs w:val="22"/>
        </w:rPr>
        <w:t>erine biology and fertility (199</w:t>
      </w:r>
      <w:r w:rsidRPr="00AF6446">
        <w:rPr>
          <w:rFonts w:eastAsia="Times New Roman" w:cs="Arial"/>
          <w:szCs w:val="22"/>
        </w:rPr>
        <w:t>). The </w:t>
      </w:r>
      <w:r w:rsidRPr="00AF6446">
        <w:rPr>
          <w:rFonts w:eastAsia="Times New Roman" w:cs="Arial"/>
          <w:i/>
          <w:iCs/>
          <w:szCs w:val="22"/>
        </w:rPr>
        <w:t>GR</w:t>
      </w:r>
      <w:r w:rsidRPr="00AF6446">
        <w:rPr>
          <w:rFonts w:eastAsia="Times New Roman" w:cs="Arial"/>
          <w:szCs w:val="22"/>
        </w:rPr>
        <w:t xml:space="preserve"> gene knockout specific to testicular Sertoli cell identified that GRa in these cells is required to maintain normal testicular </w:t>
      </w:r>
      <w:r w:rsidRPr="00AF6446">
        <w:rPr>
          <w:rFonts w:eastAsia="Times New Roman" w:cs="Arial"/>
          <w:szCs w:val="22"/>
        </w:rPr>
        <w:lastRenderedPageBreak/>
        <w:t>Sertoli/germ cell numbers and circulating gonadotropin levels, as well as optimal Leydig cell maturation and steroidogenesis, thus GRa in these cells is required for supporti</w:t>
      </w:r>
      <w:r w:rsidR="00D74C26" w:rsidRPr="00AF6446">
        <w:rPr>
          <w:rFonts w:eastAsia="Times New Roman" w:cs="Arial"/>
          <w:szCs w:val="22"/>
        </w:rPr>
        <w:t>ng normal male reproduction (200</w:t>
      </w:r>
      <w:r w:rsidRPr="00AF6446">
        <w:rPr>
          <w:rFonts w:eastAsia="Times New Roman" w:cs="Arial"/>
          <w:szCs w:val="22"/>
        </w:rPr>
        <w:t>).</w:t>
      </w:r>
    </w:p>
    <w:p w14:paraId="299CF2FE" w14:textId="77777777" w:rsidR="00837168" w:rsidRPr="00AF6446" w:rsidRDefault="00837168" w:rsidP="00AF6446">
      <w:pPr>
        <w:shd w:val="clear" w:color="auto" w:fill="FFFFFF"/>
        <w:rPr>
          <w:rFonts w:eastAsia="Times New Roman" w:cs="Arial"/>
          <w:szCs w:val="22"/>
        </w:rPr>
      </w:pPr>
    </w:p>
    <w:p w14:paraId="29CA89A0" w14:textId="6EFDBE40" w:rsidR="00290B68" w:rsidRPr="00AF6446" w:rsidRDefault="00290B68" w:rsidP="00AF6446">
      <w:pPr>
        <w:shd w:val="clear" w:color="auto" w:fill="FFFFFF"/>
        <w:rPr>
          <w:rFonts w:eastAsia="Times New Roman" w:cs="Arial"/>
          <w:szCs w:val="22"/>
        </w:rPr>
      </w:pPr>
      <w:r w:rsidRPr="00AF6446">
        <w:rPr>
          <w:rFonts w:eastAsia="Times New Roman" w:cs="Arial"/>
          <w:szCs w:val="22"/>
        </w:rPr>
        <w:t>By using a knockin procedure (replacement of wild type genes with their mutants), physiologic importance of the specific GRa functions associated with introduced mutations was evaluated. For example, knockin of the mutant GRa defective in binding to classic GREs (GR</w:t>
      </w:r>
      <w:r w:rsidRPr="00AF6446">
        <w:rPr>
          <w:rFonts w:eastAsia="Times New Roman" w:cs="Arial"/>
          <w:szCs w:val="22"/>
          <w:vertAlign w:val="superscript"/>
        </w:rPr>
        <w:t>dim</w:t>
      </w:r>
      <w:r w:rsidRPr="00AF6446">
        <w:rPr>
          <w:rFonts w:eastAsia="Times New Roman" w:cs="Arial"/>
          <w:szCs w:val="22"/>
        </w:rPr>
        <w:t> harboring A458T replacement, which is inactive in transactivation of glucocorticoid-responsive genes harboring GREs, but active in transrepression through protein-protein interaction with other transcription factors), revealed that transactivational activity of GRa is not essential for survi</w:t>
      </w:r>
      <w:r w:rsidR="0023133E" w:rsidRPr="00AF6446">
        <w:rPr>
          <w:rFonts w:eastAsia="Times New Roman" w:cs="Arial"/>
          <w:szCs w:val="22"/>
        </w:rPr>
        <w:t>val (112</w:t>
      </w:r>
      <w:r w:rsidRPr="00AF6446">
        <w:rPr>
          <w:rFonts w:eastAsia="Times New Roman" w:cs="Arial"/>
          <w:szCs w:val="22"/>
        </w:rPr>
        <w:t>). Indeed, mice harboring GR</w:t>
      </w:r>
      <w:r w:rsidRPr="00AF6446">
        <w:rPr>
          <w:rFonts w:eastAsia="Times New Roman" w:cs="Arial"/>
          <w:szCs w:val="22"/>
          <w:vertAlign w:val="superscript"/>
        </w:rPr>
        <w:t>dim</w:t>
      </w:r>
      <w:r w:rsidRPr="00AF6446">
        <w:rPr>
          <w:rFonts w:eastAsia="Times New Roman" w:cs="Arial"/>
          <w:szCs w:val="22"/>
        </w:rPr>
        <w:t> demonstrated partially active HPA axis, full activity in glucocorticoid-mediated development of adrenal medulla, and defective glucocorticoid-mediated thymocyte apoptosis. However, the GR</w:t>
      </w:r>
      <w:r w:rsidRPr="00AF6446">
        <w:rPr>
          <w:rFonts w:eastAsia="Times New Roman" w:cs="Arial"/>
          <w:szCs w:val="22"/>
          <w:vertAlign w:val="superscript"/>
        </w:rPr>
        <w:t>dim</w:t>
      </w:r>
      <w:r w:rsidRPr="00AF6446">
        <w:rPr>
          <w:rFonts w:eastAsia="Times New Roman" w:cs="Arial"/>
          <w:szCs w:val="22"/>
        </w:rPr>
        <w:t> mutant receptor was subsequently shown to bind GREs of the N-methyltransferase (</w:t>
      </w:r>
      <w:r w:rsidRPr="00AF6446">
        <w:rPr>
          <w:rFonts w:eastAsia="Times New Roman" w:cs="Arial"/>
          <w:i/>
          <w:iCs/>
          <w:szCs w:val="22"/>
        </w:rPr>
        <w:t>PNMT</w:t>
      </w:r>
      <w:r w:rsidRPr="00AF6446">
        <w:rPr>
          <w:rFonts w:eastAsia="Times New Roman" w:cs="Arial"/>
          <w:szCs w:val="22"/>
        </w:rPr>
        <w:t xml:space="preserve">) gene, which is a rate-limiting enzyme for the production of catecholamines in the adrenal medulla, and to activate strongly </w:t>
      </w:r>
      <w:r w:rsidR="0023133E" w:rsidRPr="00AF6446">
        <w:rPr>
          <w:rFonts w:eastAsia="Times New Roman" w:cs="Arial"/>
          <w:szCs w:val="22"/>
        </w:rPr>
        <w:t>the expression of this gene (201</w:t>
      </w:r>
      <w:r w:rsidRPr="00AF6446">
        <w:rPr>
          <w:rFonts w:eastAsia="Times New Roman" w:cs="Arial"/>
          <w:szCs w:val="22"/>
        </w:rPr>
        <w:t>). Thus, the GR</w:t>
      </w:r>
      <w:r w:rsidRPr="00AF6446">
        <w:rPr>
          <w:rFonts w:eastAsia="Times New Roman" w:cs="Arial"/>
          <w:szCs w:val="22"/>
          <w:vertAlign w:val="superscript"/>
        </w:rPr>
        <w:t>dim</w:t>
      </w:r>
      <w:r w:rsidRPr="00AF6446">
        <w:rPr>
          <w:rFonts w:eastAsia="Times New Roman" w:cs="Arial"/>
          <w:szCs w:val="22"/>
        </w:rPr>
        <w:t> mutation cannot completely abolish transactivational activity of GRa, further suggesting that this activity of GRa may be required for survival. In addition, the effect of this mutant receptor on recently identified nGREs is not known, making the original conclusion elusive.</w:t>
      </w:r>
    </w:p>
    <w:p w14:paraId="223EE495" w14:textId="77777777" w:rsidR="00837168" w:rsidRPr="00AF6446" w:rsidRDefault="00837168" w:rsidP="00276A02">
      <w:pPr>
        <w:shd w:val="clear" w:color="auto" w:fill="FFFFFF"/>
        <w:outlineLvl w:val="1"/>
        <w:rPr>
          <w:rFonts w:eastAsia="Times New Roman" w:cs="Arial"/>
          <w:b/>
          <w:bCs/>
          <w:szCs w:val="22"/>
        </w:rPr>
      </w:pPr>
    </w:p>
    <w:p w14:paraId="24899A8A" w14:textId="77777777" w:rsidR="00837168" w:rsidRPr="008063DA" w:rsidRDefault="00290B68" w:rsidP="00276A02">
      <w:pPr>
        <w:shd w:val="clear" w:color="auto" w:fill="FFFFFF"/>
        <w:outlineLvl w:val="1"/>
        <w:rPr>
          <w:rFonts w:eastAsia="Times New Roman" w:cs="Arial"/>
          <w:b/>
          <w:bCs/>
          <w:color w:val="0070C0"/>
          <w:szCs w:val="22"/>
        </w:rPr>
      </w:pPr>
      <w:r w:rsidRPr="008063DA">
        <w:rPr>
          <w:rFonts w:eastAsia="Times New Roman" w:cs="Arial"/>
          <w:b/>
          <w:bCs/>
          <w:color w:val="0070C0"/>
          <w:szCs w:val="22"/>
        </w:rPr>
        <w:t>FACTORS THAT MODULATE GR ACTIONS</w:t>
      </w:r>
    </w:p>
    <w:p w14:paraId="1A9C745C" w14:textId="77777777" w:rsidR="00837168" w:rsidRPr="00AF6446" w:rsidRDefault="00837168" w:rsidP="00276A02">
      <w:pPr>
        <w:shd w:val="clear" w:color="auto" w:fill="FFFFFF"/>
        <w:outlineLvl w:val="1"/>
        <w:rPr>
          <w:rFonts w:eastAsia="Times New Roman" w:cs="Arial"/>
          <w:b/>
          <w:bCs/>
          <w:szCs w:val="22"/>
        </w:rPr>
      </w:pPr>
    </w:p>
    <w:p w14:paraId="4A86F0BD" w14:textId="77777777" w:rsidR="00837168" w:rsidRPr="008063DA" w:rsidRDefault="00290B68" w:rsidP="00276A02">
      <w:pPr>
        <w:shd w:val="clear" w:color="auto" w:fill="FFFFFF"/>
        <w:outlineLvl w:val="1"/>
        <w:rPr>
          <w:rFonts w:eastAsia="Times New Roman" w:cs="Arial"/>
          <w:b/>
          <w:bCs/>
          <w:color w:val="00B050"/>
          <w:szCs w:val="22"/>
        </w:rPr>
      </w:pPr>
      <w:r w:rsidRPr="008063DA">
        <w:rPr>
          <w:rFonts w:eastAsia="Times New Roman" w:cs="Arial"/>
          <w:b/>
          <w:bCs/>
          <w:color w:val="00B050"/>
          <w:szCs w:val="22"/>
        </w:rPr>
        <w:t>New Ligands with Specific Activities</w:t>
      </w:r>
    </w:p>
    <w:p w14:paraId="4AFB7270" w14:textId="77777777" w:rsidR="00837168" w:rsidRPr="00AF6446" w:rsidRDefault="00837168" w:rsidP="00276A02">
      <w:pPr>
        <w:shd w:val="clear" w:color="auto" w:fill="FFFFFF"/>
        <w:outlineLvl w:val="1"/>
        <w:rPr>
          <w:rFonts w:eastAsia="Times New Roman" w:cs="Arial"/>
          <w:b/>
          <w:bCs/>
          <w:szCs w:val="22"/>
        </w:rPr>
      </w:pPr>
    </w:p>
    <w:p w14:paraId="03E4F62E" w14:textId="6E7D1DAE" w:rsidR="00290B68" w:rsidRDefault="00290B68" w:rsidP="00276A02">
      <w:pPr>
        <w:shd w:val="clear" w:color="auto" w:fill="FFFFFF"/>
        <w:outlineLvl w:val="1"/>
        <w:rPr>
          <w:rFonts w:eastAsia="Times New Roman" w:cs="Arial"/>
          <w:szCs w:val="22"/>
        </w:rPr>
      </w:pPr>
      <w:r w:rsidRPr="00AF6446">
        <w:rPr>
          <w:rFonts w:eastAsia="Times New Roman" w:cs="Arial"/>
          <w:szCs w:val="22"/>
        </w:rPr>
        <w:t>Glucocorticoids have two major activities on the transcription of glucocorticoid-responsive genes, namely transact</w:t>
      </w:r>
      <w:r w:rsidR="00531FA7" w:rsidRPr="00AF6446">
        <w:rPr>
          <w:rFonts w:eastAsia="Times New Roman" w:cs="Arial"/>
          <w:szCs w:val="22"/>
        </w:rPr>
        <w:t>ivation and transrepression (202</w:t>
      </w:r>
      <w:r w:rsidRPr="00AF6446">
        <w:rPr>
          <w:rFonts w:eastAsia="Times New Roman" w:cs="Arial"/>
          <w:szCs w:val="22"/>
        </w:rPr>
        <w:t>). The former activity is mainly mediated by binding of GRa to its DNA responsive sequences in the promoter region of glucocorticoid-responsive genes and stimulating the transcription of downstream protein-coding sequences. Mechanisms underlying the latter activity are more complex, mostly me</w:t>
      </w:r>
      <w:r w:rsidR="00531FA7" w:rsidRPr="00AF6446">
        <w:rPr>
          <w:rFonts w:eastAsia="Times New Roman" w:cs="Arial"/>
          <w:szCs w:val="22"/>
        </w:rPr>
        <w:t>diated by suppression of</w:t>
      </w:r>
      <w:r w:rsidRPr="00AF6446">
        <w:rPr>
          <w:rFonts w:eastAsia="Times New Roman" w:cs="Arial"/>
          <w:szCs w:val="22"/>
        </w:rPr>
        <w:t xml:space="preserve"> other transcription factor activities by GRa. At pharmacologic levels, the transactivation activity is well correlated with side effects of glucocorticoids, such as glucose intolerance and overt diabetes mellitus, central obesity, oste</w:t>
      </w:r>
      <w:r w:rsidR="00531FA7" w:rsidRPr="00AF6446">
        <w:rPr>
          <w:rFonts w:eastAsia="Times New Roman" w:cs="Arial"/>
          <w:szCs w:val="22"/>
        </w:rPr>
        <w:t>oporosis and muscle wasting (202</w:t>
      </w:r>
      <w:r w:rsidRPr="00AF6446">
        <w:rPr>
          <w:rFonts w:eastAsia="Times New Roman" w:cs="Arial"/>
          <w:szCs w:val="22"/>
        </w:rPr>
        <w:t xml:space="preserve">). On the other hand, the transrepressive activity of glucocorticoids is associated mostly with their beneficial therapeutic effects, such as suppression of the inflammation and immune activity, and induction of apoptosis of several neoplastic cells/tissues. Thus, significant efforts have been put to produce dissociated glucocorticoids with transrepression but </w:t>
      </w:r>
      <w:r w:rsidR="00AE56EF" w:rsidRPr="00AF6446">
        <w:rPr>
          <w:rFonts w:eastAsia="Times New Roman" w:cs="Arial"/>
          <w:szCs w:val="22"/>
        </w:rPr>
        <w:t>no transactivation activity (202</w:t>
      </w:r>
      <w:r w:rsidRPr="00AF6446">
        <w:rPr>
          <w:rFonts w:eastAsia="Times New Roman" w:cs="Arial"/>
          <w:szCs w:val="22"/>
        </w:rPr>
        <w:t>).</w:t>
      </w:r>
    </w:p>
    <w:p w14:paraId="50E89DC3" w14:textId="77777777" w:rsidR="00276A02" w:rsidRPr="00AF6446" w:rsidRDefault="00276A02" w:rsidP="00276A02">
      <w:pPr>
        <w:shd w:val="clear" w:color="auto" w:fill="FFFFFF"/>
        <w:outlineLvl w:val="1"/>
        <w:rPr>
          <w:rFonts w:eastAsia="Times New Roman" w:cs="Arial"/>
          <w:szCs w:val="22"/>
        </w:rPr>
      </w:pPr>
    </w:p>
    <w:p w14:paraId="01C4FF8F" w14:textId="3067EF81" w:rsidR="00290B68" w:rsidRPr="00AF6446" w:rsidRDefault="00290B68" w:rsidP="00AF6446">
      <w:pPr>
        <w:shd w:val="clear" w:color="auto" w:fill="FFFFFF"/>
        <w:rPr>
          <w:rFonts w:eastAsia="Times New Roman" w:cs="Arial"/>
          <w:szCs w:val="22"/>
        </w:rPr>
      </w:pPr>
      <w:r w:rsidRPr="00AF6446">
        <w:rPr>
          <w:rFonts w:eastAsia="Times New Roman" w:cs="Arial"/>
          <w:szCs w:val="22"/>
        </w:rPr>
        <w:t>RU24858, RU40066 and RU24782 were the first steroids reported to have such selectivity, having an efficient inhibitory effect on AP-1- and NF-kB-mediated gene induction with reduced transactivation activity </w:t>
      </w:r>
      <w:r w:rsidRPr="00AF6446">
        <w:rPr>
          <w:rFonts w:eastAsia="Times New Roman" w:cs="Arial"/>
          <w:i/>
          <w:iCs/>
          <w:szCs w:val="22"/>
        </w:rPr>
        <w:t>in vitro</w:t>
      </w:r>
      <w:r w:rsidR="00AE56EF" w:rsidRPr="00AF6446">
        <w:rPr>
          <w:rFonts w:eastAsia="Times New Roman" w:cs="Arial"/>
          <w:szCs w:val="22"/>
        </w:rPr>
        <w:t> (203</w:t>
      </w:r>
      <w:r w:rsidRPr="00AF6446">
        <w:rPr>
          <w:rFonts w:eastAsia="Times New Roman" w:cs="Arial"/>
          <w:szCs w:val="22"/>
        </w:rPr>
        <w:t>). However, they did not have any therapeutic advantage when they were used </w:t>
      </w:r>
      <w:r w:rsidRPr="00AF6446">
        <w:rPr>
          <w:rFonts w:eastAsia="Times New Roman" w:cs="Arial"/>
          <w:i/>
          <w:iCs/>
          <w:szCs w:val="22"/>
        </w:rPr>
        <w:t>in vivo</w:t>
      </w:r>
      <w:r w:rsidRPr="00AF6446">
        <w:rPr>
          <w:rFonts w:eastAsia="Times New Roman" w:cs="Arial"/>
          <w:szCs w:val="22"/>
        </w:rPr>
        <w:t xml:space="preserve">. Compound Abbott-Ligand (AL)-438, a derivative of a synthetic progestin scaffold, binds GRa with similar affinity to that of prednisolone and shows the activity equivalent to prednisolone in suppressing paw-edema </w:t>
      </w:r>
      <w:r w:rsidR="00AE56EF" w:rsidRPr="00AF6446">
        <w:rPr>
          <w:rFonts w:eastAsia="Times New Roman" w:cs="Arial"/>
          <w:szCs w:val="22"/>
        </w:rPr>
        <w:t>in a rat experimental model (204</w:t>
      </w:r>
      <w:r w:rsidRPr="00AF6446">
        <w:rPr>
          <w:rFonts w:eastAsia="Times New Roman" w:cs="Arial"/>
          <w:szCs w:val="22"/>
        </w:rPr>
        <w:t xml:space="preserve">). AL-438 does not increase circulating glucose levels and bone absorption in contrast to </w:t>
      </w:r>
      <w:r w:rsidRPr="00AF6446">
        <w:rPr>
          <w:rFonts w:eastAsia="Times New Roman" w:cs="Arial"/>
          <w:szCs w:val="22"/>
        </w:rPr>
        <w:lastRenderedPageBreak/>
        <w:t>prednisolone, indicating that this compound is a promising selective glucocorticoid. ZK216348, the (+)-enanitomer of the racemic compound ZK209614, binds GRa and demonstrates anti-inflammatory activity comparable to that of prednisolone under both systemic and topical applications with much less unwanted effects on blo</w:t>
      </w:r>
      <w:r w:rsidR="001B6DE3" w:rsidRPr="00AF6446">
        <w:rPr>
          <w:rFonts w:eastAsia="Times New Roman" w:cs="Arial"/>
          <w:szCs w:val="22"/>
        </w:rPr>
        <w:t>od glucose and skin atrophy (205</w:t>
      </w:r>
      <w:r w:rsidRPr="00AF6446">
        <w:rPr>
          <w:rFonts w:eastAsia="Times New Roman" w:cs="Arial"/>
          <w:szCs w:val="22"/>
        </w:rPr>
        <w:t>). This compound, however, binds PR and AR in addition to GRa, and does not show clear selectivity between transactivation and transrepression </w:t>
      </w:r>
      <w:r w:rsidRPr="00AF6446">
        <w:rPr>
          <w:rFonts w:eastAsia="Times New Roman" w:cs="Arial"/>
          <w:i/>
          <w:iCs/>
          <w:szCs w:val="22"/>
        </w:rPr>
        <w:t>in vitro</w:t>
      </w:r>
      <w:r w:rsidRPr="00AF6446">
        <w:rPr>
          <w:rFonts w:eastAsia="Times New Roman" w:cs="Arial"/>
          <w:szCs w:val="22"/>
        </w:rPr>
        <w:t xml:space="preserve">. C108297 functions as a GRa modulator through induction of unique interaction profiles of GRa to some splice variants of the p160 coactivator SRC1. This compound potently enhances GR-mediated memory consolidation, partially suppresses hypothalamic expression of the corticotropin-releasing hormone (CRH), and antagonizes to GR-mediated inhibition </w:t>
      </w:r>
      <w:r w:rsidR="001B6DE3" w:rsidRPr="00AF6446">
        <w:rPr>
          <w:rFonts w:eastAsia="Times New Roman" w:cs="Arial"/>
          <w:szCs w:val="22"/>
        </w:rPr>
        <w:t>of hippocampal neurogenesis (206</w:t>
      </w:r>
      <w:r w:rsidRPr="00AF6446">
        <w:rPr>
          <w:rFonts w:eastAsia="Times New Roman" w:cs="Arial"/>
          <w:szCs w:val="22"/>
        </w:rPr>
        <w:t>). Cortivazol, a pyrazolosteroid, induces nuclear translocation of GRa and stimulates GRa-induc</w:t>
      </w:r>
      <w:r w:rsidR="001B6DE3" w:rsidRPr="00AF6446">
        <w:rPr>
          <w:rFonts w:eastAsia="Times New Roman" w:cs="Arial"/>
          <w:szCs w:val="22"/>
        </w:rPr>
        <w:t>ed transcriptional activity (207</w:t>
      </w:r>
      <w:r w:rsidRPr="00AF6446">
        <w:rPr>
          <w:rFonts w:eastAsia="Times New Roman" w:cs="Arial"/>
          <w:szCs w:val="22"/>
        </w:rPr>
        <w:t>). Another compound, AL082D06 (D06), the tri-aryl methane, specifically binds GRa with a nano-molar affinity and acts as an antagonist for GRa but not for other</w:t>
      </w:r>
      <w:r w:rsidR="001B6DE3" w:rsidRPr="00AF6446">
        <w:rPr>
          <w:rFonts w:eastAsia="Times New Roman" w:cs="Arial"/>
          <w:szCs w:val="22"/>
        </w:rPr>
        <w:t xml:space="preserve"> SRs, in contrast to RU 486 (208</w:t>
      </w:r>
      <w:r w:rsidRPr="00AF6446">
        <w:rPr>
          <w:rFonts w:eastAsia="Times New Roman" w:cs="Arial"/>
          <w:szCs w:val="22"/>
        </w:rPr>
        <w:t>). CORT-108297 acts also as a competitive GRa antagonist with high affinity to GRa (Ki 0.9 nM), but almost 1000</w:t>
      </w:r>
      <w:r w:rsidR="000524AB" w:rsidRPr="00AF6446">
        <w:rPr>
          <w:rFonts w:eastAsia="Times New Roman" w:cs="Arial"/>
          <w:szCs w:val="22"/>
        </w:rPr>
        <w:t>-</w:t>
      </w:r>
      <w:r w:rsidRPr="00AF6446">
        <w:rPr>
          <w:rFonts w:eastAsia="Times New Roman" w:cs="Arial"/>
          <w:szCs w:val="22"/>
        </w:rPr>
        <w:t>fold lower affinity to o</w:t>
      </w:r>
      <w:r w:rsidR="001B6DE3" w:rsidRPr="00AF6446">
        <w:rPr>
          <w:rFonts w:eastAsia="Times New Roman" w:cs="Arial"/>
          <w:szCs w:val="22"/>
        </w:rPr>
        <w:t>ther SRs, PR, ER, AR and MR (209,210</w:t>
      </w:r>
      <w:r w:rsidRPr="00AF6446">
        <w:rPr>
          <w:rFonts w:eastAsia="Times New Roman" w:cs="Arial"/>
          <w:szCs w:val="22"/>
        </w:rPr>
        <w:t>).</w:t>
      </w:r>
    </w:p>
    <w:p w14:paraId="694B6273" w14:textId="77777777" w:rsidR="00837168" w:rsidRPr="00AF6446" w:rsidRDefault="00837168" w:rsidP="00AF6446">
      <w:pPr>
        <w:shd w:val="clear" w:color="auto" w:fill="FFFFFF"/>
        <w:rPr>
          <w:rFonts w:eastAsia="Times New Roman" w:cs="Arial"/>
          <w:szCs w:val="22"/>
        </w:rPr>
      </w:pPr>
    </w:p>
    <w:p w14:paraId="7D8CB0F1" w14:textId="7FD90968" w:rsidR="00290B68" w:rsidRPr="00AF6446" w:rsidRDefault="00290B68" w:rsidP="00AF6446">
      <w:pPr>
        <w:shd w:val="clear" w:color="auto" w:fill="FFFFFF"/>
        <w:rPr>
          <w:rFonts w:eastAsia="Times New Roman" w:cs="Arial"/>
          <w:szCs w:val="22"/>
        </w:rPr>
      </w:pPr>
      <w:r w:rsidRPr="00AF6446">
        <w:rPr>
          <w:rFonts w:eastAsia="Times New Roman" w:cs="Arial"/>
          <w:szCs w:val="22"/>
        </w:rPr>
        <w:t>Two new non-steroidal GRa ligands, GSK47867A and GSK47869A, act as potent agonists with prolonged e</w:t>
      </w:r>
      <w:r w:rsidR="002C2E1E" w:rsidRPr="00AF6446">
        <w:rPr>
          <w:rFonts w:eastAsia="Times New Roman" w:cs="Arial"/>
          <w:szCs w:val="22"/>
        </w:rPr>
        <w:t>ffects (211</w:t>
      </w:r>
      <w:r w:rsidRPr="00AF6446">
        <w:rPr>
          <w:rFonts w:eastAsia="Times New Roman" w:cs="Arial"/>
          <w:szCs w:val="22"/>
        </w:rPr>
        <w:t xml:space="preserve">). These compounds bind the ligand-binding pocket of GRa with high affinity and induce both transactivational and transrepressional activities at concentrations ~10-50 times less than those of dexamethasone. Interestingly, GSK47867A and GSK47869A induce very slow GRa nuclear translocation and prolonged nuclear retention that leads to delayed but prolonged activation of the receptor. In computer-based structural simulation, these compounds induce unique GRa LBD conformation at its hsp90-binding site, which may underlie their extended GRa activation by causing defective interaction to hsp90 and altered intracellular circulation of GRa. By employing high throughput screening of 3.87 million compounds with the GR fluorescence polarization binding assay, heterobiaryl sulfonamide 2 was recently identified as a potent </w:t>
      </w:r>
      <w:r w:rsidR="002C2E1E" w:rsidRPr="00AF6446">
        <w:rPr>
          <w:rFonts w:eastAsia="Times New Roman" w:cs="Arial"/>
          <w:szCs w:val="22"/>
        </w:rPr>
        <w:t>non-steroidal GR antagonist (212</w:t>
      </w:r>
      <w:r w:rsidRPr="00AF6446">
        <w:rPr>
          <w:rFonts w:eastAsia="Times New Roman" w:cs="Arial"/>
          <w:szCs w:val="22"/>
        </w:rPr>
        <w:t>). Non-steroidal compounds mapracorat (also known as BOL-303242 and ZK245186) and the plant origin ginsenide Rg1 function as selective agonists with strong anti-inflammatory effects and a</w:t>
      </w:r>
      <w:r w:rsidR="002C2E1E" w:rsidRPr="00AF6446">
        <w:rPr>
          <w:rFonts w:eastAsia="Times New Roman" w:cs="Arial"/>
          <w:szCs w:val="22"/>
        </w:rPr>
        <w:t xml:space="preserve"> better side effect profile (213,214</w:t>
      </w:r>
      <w:r w:rsidRPr="00AF6446">
        <w:rPr>
          <w:rFonts w:eastAsia="Times New Roman" w:cs="Arial"/>
          <w:szCs w:val="22"/>
        </w:rPr>
        <w:t>).</w:t>
      </w:r>
    </w:p>
    <w:p w14:paraId="27D07E12" w14:textId="77777777" w:rsidR="00276A02" w:rsidRDefault="00276A02" w:rsidP="00AF6446">
      <w:pPr>
        <w:shd w:val="clear" w:color="auto" w:fill="FFFFFF"/>
        <w:rPr>
          <w:rFonts w:eastAsia="Times New Roman" w:cs="Arial"/>
          <w:szCs w:val="22"/>
        </w:rPr>
      </w:pPr>
    </w:p>
    <w:p w14:paraId="196CFCE6" w14:textId="715E8968" w:rsidR="00290B68" w:rsidRDefault="00290B68" w:rsidP="00AF6446">
      <w:pPr>
        <w:shd w:val="clear" w:color="auto" w:fill="FFFFFF"/>
        <w:rPr>
          <w:rFonts w:eastAsia="Times New Roman" w:cs="Arial"/>
          <w:szCs w:val="22"/>
        </w:rPr>
      </w:pPr>
      <w:r w:rsidRPr="00AF6446">
        <w:rPr>
          <w:rFonts w:eastAsia="Times New Roman" w:cs="Arial"/>
          <w:szCs w:val="22"/>
        </w:rPr>
        <w:t>Compound A (CpdA), a stable analogue of the hydroxyl phenyl aziridine precursor found in the Namibian shrub </w:t>
      </w:r>
      <w:r w:rsidRPr="00AF6446">
        <w:rPr>
          <w:rFonts w:eastAsia="Times New Roman" w:cs="Arial"/>
          <w:i/>
          <w:iCs/>
          <w:szCs w:val="22"/>
        </w:rPr>
        <w:t>Salsola tuberculatiformis</w:t>
      </w:r>
      <w:r w:rsidRPr="00AF6446">
        <w:rPr>
          <w:rFonts w:eastAsia="Times New Roman" w:cs="Arial"/>
          <w:szCs w:val="22"/>
        </w:rPr>
        <w:t xml:space="preserve"> Botschantzev, exerts anti-inflammatory activity by down-regulating TNFa-induced pro-inflammatory gene expression through inhibition of the negative effects of GRa on NF-kB, but demonstrates virtually no stimulatory activity on </w:t>
      </w:r>
      <w:r w:rsidR="002C2E1E" w:rsidRPr="00AF6446">
        <w:rPr>
          <w:rFonts w:eastAsia="Times New Roman" w:cs="Arial"/>
          <w:szCs w:val="22"/>
        </w:rPr>
        <w:t>GRa-induced transactivation (215</w:t>
      </w:r>
      <w:r w:rsidRPr="00AF6446">
        <w:rPr>
          <w:rFonts w:eastAsia="Times New Roman" w:cs="Arial"/>
          <w:szCs w:val="22"/>
        </w:rPr>
        <w:t xml:space="preserve">). This compound also suppresses similarly to dexamethasone the transcriptional activity of the T-bet transcription factor, a master regulator of Th1-mediated immune response, and reduces production of the Th1 cytokine interferon g </w:t>
      </w:r>
      <w:r w:rsidR="002C2E1E" w:rsidRPr="00AF6446">
        <w:rPr>
          <w:rFonts w:eastAsia="Times New Roman" w:cs="Arial"/>
          <w:szCs w:val="22"/>
        </w:rPr>
        <w:t>from murine primary T-cells (216</w:t>
      </w:r>
      <w:r w:rsidRPr="00AF6446">
        <w:rPr>
          <w:rFonts w:eastAsia="Times New Roman" w:cs="Arial"/>
          <w:szCs w:val="22"/>
        </w:rPr>
        <w:t>). By sparing AP-1-induced transcriptional activity and subsequent activation of the JNK/MAPK signaling pathway, CpdA does not influence epithelial cell restitution, an indicator of wound healing, in contrast</w:t>
      </w:r>
      <w:r w:rsidR="002C2E1E" w:rsidRPr="00AF6446">
        <w:rPr>
          <w:rFonts w:eastAsia="Times New Roman" w:cs="Arial"/>
          <w:szCs w:val="22"/>
        </w:rPr>
        <w:t xml:space="preserve"> to regular glucocorticoids (217,218</w:t>
      </w:r>
      <w:r w:rsidRPr="00AF6446">
        <w:rPr>
          <w:rFonts w:eastAsia="Times New Roman" w:cs="Arial"/>
          <w:szCs w:val="22"/>
        </w:rPr>
        <w:t xml:space="preserve">). Thus, CpdA appears to be a dissociated compound of plant origin retaining the beneficial anti-inflammatory effect of glucocorticoids, being in part devoid of some of the known side effects of these compounds. CpdA also preserves the anti-cancer effect of glucocorticoids in human T-, B- and multiple </w:t>
      </w:r>
      <w:r w:rsidRPr="00AF6446">
        <w:rPr>
          <w:rFonts w:eastAsia="Times New Roman" w:cs="Arial"/>
          <w:szCs w:val="22"/>
        </w:rPr>
        <w:lastRenderedPageBreak/>
        <w:t xml:space="preserve">myeloma cells, and cooperates with the anti-leukemic proteasome inhibitor Brtezomib in suppressing growth </w:t>
      </w:r>
      <w:r w:rsidR="002C2E1E" w:rsidRPr="00AF6446">
        <w:rPr>
          <w:rFonts w:eastAsia="Times New Roman" w:cs="Arial"/>
          <w:szCs w:val="22"/>
        </w:rPr>
        <w:t>and survival of these cells (219</w:t>
      </w:r>
      <w:r w:rsidRPr="00AF6446">
        <w:rPr>
          <w:rFonts w:eastAsia="Times New Roman" w:cs="Arial"/>
          <w:szCs w:val="22"/>
        </w:rPr>
        <w:t>). This compound is also beneficial for the treatment of bladder cancer by suppressing cell growth by promoting transrepressive actions of GRa and partially by</w:t>
      </w:r>
      <w:r w:rsidR="00E04293" w:rsidRPr="00AF6446">
        <w:rPr>
          <w:rFonts w:eastAsia="Times New Roman" w:cs="Arial"/>
          <w:szCs w:val="22"/>
        </w:rPr>
        <w:t xml:space="preserve"> acting as an AR antagonist (220</w:t>
      </w:r>
      <w:r w:rsidRPr="00AF6446">
        <w:rPr>
          <w:rFonts w:eastAsia="Times New Roman" w:cs="Arial"/>
          <w:szCs w:val="22"/>
        </w:rPr>
        <w:t>). CpdA does not allow GRa to bind single GRE (half-site) sites in contrast to glucocorticoids, and this activity of CpdA is beneficial for its use in the treatment of triple-negative breast cancer, as single GRE-mediated gene regulation by glucocorticoids is associated with development</w:t>
      </w:r>
      <w:r w:rsidR="003D67D1" w:rsidRPr="00AF6446">
        <w:rPr>
          <w:rFonts w:eastAsia="Times New Roman" w:cs="Arial"/>
          <w:szCs w:val="22"/>
        </w:rPr>
        <w:t xml:space="preserve"> of chemotherapy resistance (221</w:t>
      </w:r>
      <w:r w:rsidRPr="00AF6446">
        <w:rPr>
          <w:rFonts w:eastAsia="Times New Roman" w:cs="Arial"/>
          <w:szCs w:val="22"/>
        </w:rPr>
        <w:t>).</w:t>
      </w:r>
    </w:p>
    <w:p w14:paraId="52CA5956" w14:textId="77777777" w:rsidR="00276A02" w:rsidRPr="00AF6446" w:rsidRDefault="00276A02" w:rsidP="00AF6446">
      <w:pPr>
        <w:shd w:val="clear" w:color="auto" w:fill="FFFFFF"/>
        <w:rPr>
          <w:rFonts w:eastAsia="Times New Roman" w:cs="Arial"/>
          <w:szCs w:val="22"/>
        </w:rPr>
      </w:pPr>
    </w:p>
    <w:p w14:paraId="052ECAF7" w14:textId="37D20A24" w:rsidR="00290B68" w:rsidRDefault="00290B68" w:rsidP="00AF6446">
      <w:pPr>
        <w:shd w:val="clear" w:color="auto" w:fill="FFFFFF"/>
        <w:rPr>
          <w:rFonts w:eastAsia="Times New Roman" w:cs="Arial"/>
          <w:szCs w:val="22"/>
        </w:rPr>
      </w:pPr>
      <w:r w:rsidRPr="00AF6446">
        <w:rPr>
          <w:rFonts w:eastAsia="Times New Roman" w:cs="Arial"/>
          <w:szCs w:val="22"/>
        </w:rPr>
        <w:t>Industrial chemicals are known to influence actions of several SRs, and are major threats for the life of living organisms including humans by interfering with the physiological</w:t>
      </w:r>
      <w:r w:rsidR="003D67D1" w:rsidRPr="00AF6446">
        <w:rPr>
          <w:rFonts w:eastAsia="Times New Roman" w:cs="Arial"/>
          <w:szCs w:val="22"/>
        </w:rPr>
        <w:t xml:space="preserve"> actions of these receptors (222,223</w:t>
      </w:r>
      <w:r w:rsidRPr="00AF6446">
        <w:rPr>
          <w:rFonts w:eastAsia="Times New Roman" w:cs="Arial"/>
          <w:szCs w:val="22"/>
        </w:rPr>
        <w:t>). Recent screening of these compounds using MDA-kb2 human breast cancer cells identified bisphenol Z and its analog bis[4-(2-hydroxyethoxy(phenyl)sulfone (BHEPS) as GR agonists, binding to the ligand-binding pocket of GRa and by shifting the helix-12 to the antagonist conformation i</w:t>
      </w:r>
      <w:r w:rsidR="003D67D1" w:rsidRPr="00AF6446">
        <w:rPr>
          <w:rFonts w:eastAsia="Times New Roman" w:cs="Arial"/>
          <w:szCs w:val="22"/>
        </w:rPr>
        <w:t>n the structural simulation (224</w:t>
      </w:r>
      <w:r w:rsidRPr="00AF6446">
        <w:rPr>
          <w:rFonts w:eastAsia="Times New Roman" w:cs="Arial"/>
          <w:szCs w:val="22"/>
        </w:rPr>
        <w:t>). Phthalates, ubiquitous environmental pollutants known for their adverse effects on health, bind GRa and other ketosteroid receptors, such as AR and PR, with high binding potencies comparable to natural ligands, suggesting that they may alter transcriptional ac</w:t>
      </w:r>
      <w:r w:rsidR="001315B6" w:rsidRPr="00AF6446">
        <w:rPr>
          <w:rFonts w:eastAsia="Times New Roman" w:cs="Arial"/>
          <w:szCs w:val="22"/>
        </w:rPr>
        <w:t>tivities of these receptors (225</w:t>
      </w:r>
      <w:r w:rsidRPr="00AF6446">
        <w:rPr>
          <w:rFonts w:eastAsia="Times New Roman" w:cs="Arial"/>
          <w:szCs w:val="22"/>
        </w:rPr>
        <w:t>). Although underlying mechanism(s) are still unknown, chronic low doses of ingested petroleum can alter tissue expression levels of GRa in house sparrows, and modulates the glucocorticoid-signal</w:t>
      </w:r>
      <w:r w:rsidR="001315B6" w:rsidRPr="00AF6446">
        <w:rPr>
          <w:rFonts w:eastAsia="Times New Roman" w:cs="Arial"/>
          <w:szCs w:val="22"/>
        </w:rPr>
        <w:t>ing system and the HPA axis (226</w:t>
      </w:r>
      <w:r w:rsidRPr="00AF6446">
        <w:rPr>
          <w:rFonts w:eastAsia="Times New Roman" w:cs="Arial"/>
          <w:szCs w:val="22"/>
        </w:rPr>
        <w:t>). Tolylfluanid, a commonly detected fungicide in Europe can induce biological changes that recapitulate many features of the human metabolic syndrome in part through modulating the GRa sig</w:t>
      </w:r>
      <w:r w:rsidR="001315B6" w:rsidRPr="00AF6446">
        <w:rPr>
          <w:rFonts w:eastAsia="Times New Roman" w:cs="Arial"/>
          <w:szCs w:val="22"/>
        </w:rPr>
        <w:t>naling pathway in male mice (227</w:t>
      </w:r>
      <w:r w:rsidRPr="00AF6446">
        <w:rPr>
          <w:rFonts w:eastAsia="Times New Roman" w:cs="Arial"/>
          <w:szCs w:val="22"/>
        </w:rPr>
        <w:t>).</w:t>
      </w:r>
    </w:p>
    <w:p w14:paraId="0FDBCF03" w14:textId="77777777" w:rsidR="00276A02" w:rsidRPr="00AF6446" w:rsidRDefault="00276A02" w:rsidP="00AF6446">
      <w:pPr>
        <w:shd w:val="clear" w:color="auto" w:fill="FFFFFF"/>
        <w:rPr>
          <w:rFonts w:eastAsia="Times New Roman" w:cs="Arial"/>
          <w:szCs w:val="22"/>
        </w:rPr>
      </w:pPr>
    </w:p>
    <w:p w14:paraId="6F2D1D2D" w14:textId="24D8340A" w:rsidR="00290B68" w:rsidRPr="00AF6446" w:rsidRDefault="00290B68" w:rsidP="00AF6446">
      <w:pPr>
        <w:shd w:val="clear" w:color="auto" w:fill="FFFFFF"/>
        <w:rPr>
          <w:rFonts w:eastAsia="Times New Roman" w:cs="Arial"/>
          <w:szCs w:val="22"/>
        </w:rPr>
      </w:pPr>
      <w:r w:rsidRPr="00AF6446">
        <w:rPr>
          <w:rFonts w:eastAsia="Times New Roman" w:cs="Arial"/>
          <w:szCs w:val="22"/>
        </w:rPr>
        <w:t>In addition to the above-explained compounds with agonistic or antagonistic actions on GRa, expanding numbers of new compounds with such activities have been identified, including: 2-aryl-3-methyloctahy</w:t>
      </w:r>
      <w:r w:rsidR="00BB6F2B" w:rsidRPr="00AF6446">
        <w:rPr>
          <w:rFonts w:eastAsia="Times New Roman" w:cs="Arial"/>
          <w:szCs w:val="22"/>
        </w:rPr>
        <w:t>droohenanthrene-2,3,7-trils (228), C118335 (229</w:t>
      </w:r>
      <w:r w:rsidRPr="00AF6446">
        <w:rPr>
          <w:rFonts w:eastAsia="Times New Roman" w:cs="Arial"/>
          <w:szCs w:val="22"/>
        </w:rPr>
        <w:t>), 6-(3,5-dimethylisoxazol-4-yl)-2,2,4,4-tetramethyl-2,3,4,7,8,9-hexahydro-1H-cyclopenta[h]q</w:t>
      </w:r>
      <w:r w:rsidR="00BB6F2B" w:rsidRPr="00AF6446">
        <w:rPr>
          <w:rFonts w:eastAsia="Times New Roman" w:cs="Arial"/>
          <w:szCs w:val="22"/>
        </w:rPr>
        <w:t>uinolin-3-one 3d (QCA-1093) (230</w:t>
      </w:r>
      <w:r w:rsidRPr="00AF6446">
        <w:rPr>
          <w:rFonts w:eastAsia="Times New Roman" w:cs="Arial"/>
          <w:szCs w:val="22"/>
        </w:rPr>
        <w:t>), several compounds contai</w:t>
      </w:r>
      <w:r w:rsidR="00BB6F2B" w:rsidRPr="00AF6446">
        <w:rPr>
          <w:rFonts w:eastAsia="Times New Roman" w:cs="Arial"/>
          <w:szCs w:val="22"/>
        </w:rPr>
        <w:t>ning “diazaindole” moieties (231</w:t>
      </w:r>
      <w:r w:rsidRPr="00AF6446">
        <w:rPr>
          <w:rFonts w:eastAsia="Times New Roman" w:cs="Arial"/>
          <w:szCs w:val="22"/>
        </w:rPr>
        <w:t>), heterocyclic GR modulators with a 2,2-dimethyl-3-phenyl-N-(thiazol or thiadi</w:t>
      </w:r>
      <w:r w:rsidR="00BB6F2B" w:rsidRPr="00AF6446">
        <w:rPr>
          <w:rFonts w:eastAsia="Times New Roman" w:cs="Arial"/>
          <w:szCs w:val="22"/>
        </w:rPr>
        <w:t>azol-2-yl) propanamide core (232), LLY-2707 (233</w:t>
      </w:r>
      <w:r w:rsidR="00E25110" w:rsidRPr="00AF6446">
        <w:rPr>
          <w:rFonts w:eastAsia="Times New Roman" w:cs="Arial"/>
          <w:szCs w:val="22"/>
        </w:rPr>
        <w:t>),</w:t>
      </w:r>
      <w:r w:rsidRPr="00AF6446">
        <w:rPr>
          <w:rFonts w:eastAsia="Times New Roman" w:cs="Arial"/>
          <w:szCs w:val="22"/>
        </w:rPr>
        <w:t xml:space="preserve"> trierpenes (alisol M 23-aceta</w:t>
      </w:r>
      <w:r w:rsidR="00BB6F2B" w:rsidRPr="00AF6446">
        <w:rPr>
          <w:rFonts w:eastAsia="Times New Roman" w:cs="Arial"/>
          <w:szCs w:val="22"/>
        </w:rPr>
        <w:t>te and alisol A 23-acetate) (234</w:t>
      </w:r>
      <w:r w:rsidR="00E25110" w:rsidRPr="00AF6446">
        <w:rPr>
          <w:rFonts w:eastAsia="Times New Roman" w:cs="Arial"/>
          <w:szCs w:val="22"/>
        </w:rPr>
        <w:t xml:space="preserve">), GSK866 analogs UAMC-1217 and UAMC-1218 (235), </w:t>
      </w:r>
      <w:r w:rsidR="00D73EF4" w:rsidRPr="00AF6446">
        <w:rPr>
          <w:rFonts w:eastAsia="Times New Roman" w:cs="Arial"/>
          <w:szCs w:val="22"/>
        </w:rPr>
        <w:t>AZD9567 (236), 1,3-benzothiazole analogs (237), 20(R, S)-protopanaxadiol and 20(R, S)-protopanaxatriol (238) and β-Sitosterol (239)</w:t>
      </w:r>
      <w:r w:rsidR="00E25110" w:rsidRPr="00AF6446">
        <w:rPr>
          <w:rFonts w:eastAsia="Times New Roman" w:cs="Arial"/>
          <w:szCs w:val="22"/>
        </w:rPr>
        <w:t>.</w:t>
      </w:r>
    </w:p>
    <w:p w14:paraId="5FD399E2"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7B9592B0" w14:textId="77777777" w:rsidR="00837168" w:rsidRPr="008063DA" w:rsidRDefault="00290B68" w:rsidP="00AF6446">
      <w:pPr>
        <w:pBdr>
          <w:bottom w:val="single" w:sz="6" w:space="0" w:color="97B0C8"/>
        </w:pBdr>
        <w:shd w:val="clear" w:color="auto" w:fill="FFFFFF"/>
        <w:outlineLvl w:val="1"/>
        <w:rPr>
          <w:rFonts w:eastAsia="Times New Roman" w:cs="Arial"/>
          <w:b/>
          <w:bCs/>
          <w:color w:val="0070C0"/>
          <w:szCs w:val="22"/>
        </w:rPr>
      </w:pPr>
      <w:r w:rsidRPr="008063DA">
        <w:rPr>
          <w:rFonts w:eastAsia="Times New Roman" w:cs="Arial"/>
          <w:b/>
          <w:bCs/>
          <w:color w:val="0070C0"/>
          <w:szCs w:val="22"/>
        </w:rPr>
        <w:t>EPIGENETIC MODULATION OF GRa</w:t>
      </w:r>
    </w:p>
    <w:p w14:paraId="34FEEBA2"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3DBA91EE" w14:textId="77777777" w:rsidR="00837168" w:rsidRPr="008063DA" w:rsidRDefault="00290B68" w:rsidP="00AF6446">
      <w:pPr>
        <w:pBdr>
          <w:bottom w:val="single" w:sz="6" w:space="0" w:color="97B0C8"/>
        </w:pBdr>
        <w:shd w:val="clear" w:color="auto" w:fill="FFFFFF"/>
        <w:outlineLvl w:val="1"/>
        <w:rPr>
          <w:rFonts w:eastAsia="Times New Roman" w:cs="Arial"/>
          <w:b/>
          <w:bCs/>
          <w:color w:val="00B050"/>
          <w:szCs w:val="22"/>
        </w:rPr>
      </w:pPr>
      <w:r w:rsidRPr="008063DA">
        <w:rPr>
          <w:rFonts w:eastAsia="Times New Roman" w:cs="Arial"/>
          <w:b/>
          <w:bCs/>
          <w:color w:val="00B050"/>
          <w:szCs w:val="22"/>
        </w:rPr>
        <w:t>Acetylation and CLOCK-mediated Counter Regulation of Target Tissue Glucocorticoid Action against Diurnally Fluctuating Circulating Glucocorticoids</w:t>
      </w:r>
    </w:p>
    <w:p w14:paraId="117A786D"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0BC01996" w14:textId="5F57B23E" w:rsidR="00837168"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All SRs including GRa are acetylated by several acetyltransferases, such as p300, p/CAF and Tip60, and have common acetylation sites in a consensus amino acid motif, KXKK, located in their hinge region (2</w:t>
      </w:r>
      <w:r w:rsidR="00E678F7" w:rsidRPr="00AF6446">
        <w:rPr>
          <w:rFonts w:eastAsia="Times New Roman" w:cs="Arial"/>
          <w:szCs w:val="22"/>
        </w:rPr>
        <w:t>40-242</w:t>
      </w:r>
      <w:r w:rsidRPr="00AF6446">
        <w:rPr>
          <w:rFonts w:eastAsia="Times New Roman" w:cs="Arial"/>
          <w:szCs w:val="22"/>
        </w:rPr>
        <w:t>). The human GRa is acetylat</w:t>
      </w:r>
      <w:r w:rsidR="00E678F7" w:rsidRPr="00AF6446">
        <w:rPr>
          <w:rFonts w:eastAsia="Times New Roman" w:cs="Arial"/>
          <w:szCs w:val="22"/>
        </w:rPr>
        <w:t>ed at lysine 494 and 495 within</w:t>
      </w:r>
      <w:r w:rsidRPr="00AF6446">
        <w:rPr>
          <w:rFonts w:eastAsia="Times New Roman" w:cs="Arial"/>
          <w:szCs w:val="22"/>
        </w:rPr>
        <w:t xml:space="preserve"> an acetylation motif also located in its hinge region, and was reported to be deacetylated by the HDAC2, an effect that is required for suppression of NF-kB-induced transcriptional activity</w:t>
      </w:r>
      <w:r w:rsidR="004463DD" w:rsidRPr="00AF6446">
        <w:rPr>
          <w:rFonts w:eastAsia="Times New Roman" w:cs="Arial"/>
          <w:szCs w:val="22"/>
        </w:rPr>
        <w:t xml:space="preserve"> by the activated GRa (243</w:t>
      </w:r>
      <w:r w:rsidRPr="00AF6446">
        <w:rPr>
          <w:rFonts w:eastAsia="Times New Roman" w:cs="Arial"/>
          <w:szCs w:val="22"/>
        </w:rPr>
        <w:t>) (</w:t>
      </w:r>
      <w:hyperlink r:id="rId47" w:tgtFrame="object" w:history="1">
        <w:r w:rsidRPr="00F47850">
          <w:rPr>
            <w:rFonts w:eastAsia="Times New Roman" w:cs="Arial"/>
            <w:szCs w:val="22"/>
          </w:rPr>
          <w:t>Figure 14</w:t>
        </w:r>
      </w:hyperlink>
      <w:r w:rsidRPr="00AF6446">
        <w:rPr>
          <w:rFonts w:eastAsia="Times New Roman" w:cs="Arial"/>
          <w:szCs w:val="22"/>
        </w:rPr>
        <w:t xml:space="preserve">). This finding indicates that acetylation of the GRa at these </w:t>
      </w:r>
      <w:r w:rsidRPr="00AF6446">
        <w:rPr>
          <w:rFonts w:eastAsia="Times New Roman" w:cs="Arial"/>
          <w:szCs w:val="22"/>
        </w:rPr>
        <w:lastRenderedPageBreak/>
        <w:t>lysine residues attenuates the repressive effect of GRa on this transcription factor. In agreement with these results, we recently found that the Clock transcription factor acetylates GRa at the multiple lysine cluster that includes lysines 494 and 495, and represses GRa-induced transcription of several gluc</w:t>
      </w:r>
      <w:r w:rsidR="004463DD" w:rsidRPr="00AF6446">
        <w:rPr>
          <w:rFonts w:eastAsia="Times New Roman" w:cs="Arial"/>
          <w:szCs w:val="22"/>
        </w:rPr>
        <w:t>ocorticoid-responsive genes (244</w:t>
      </w:r>
      <w:r w:rsidRPr="00AF6446">
        <w:rPr>
          <w:rFonts w:eastAsia="Times New Roman" w:cs="Arial"/>
          <w:szCs w:val="22"/>
        </w:rPr>
        <w:t>). Clock, the “circadian locomotor output cycle kaput”, and its heterodimer partner “brain-muscle-arnt-like protein 1” (Bmal1), belong to the basic helix-loop-helix (bHLH)-PER-ARNT-SIM (PAS) superfamily of transcription factors, and play an essential role in the formation of the diurnal oscillation rhythms of</w:t>
      </w:r>
      <w:r w:rsidR="004463DD" w:rsidRPr="00AF6446">
        <w:rPr>
          <w:rFonts w:eastAsia="Times New Roman" w:cs="Arial"/>
          <w:szCs w:val="22"/>
        </w:rPr>
        <w:t xml:space="preserve"> the circadian CLOCK system (245</w:t>
      </w:r>
      <w:r w:rsidRPr="00AF6446">
        <w:rPr>
          <w:rFonts w:eastAsia="Times New Roman" w:cs="Arial"/>
          <w:szCs w:val="22"/>
        </w:rPr>
        <w:t>). The CLOCK system</w:t>
      </w:r>
      <w:r w:rsidR="000624A7" w:rsidRPr="00AF6446">
        <w:rPr>
          <w:rFonts w:eastAsia="Times New Roman" w:cs="Arial"/>
          <w:szCs w:val="22"/>
        </w:rPr>
        <w:t>,</w:t>
      </w:r>
      <w:r w:rsidRPr="00AF6446">
        <w:rPr>
          <w:rFonts w:eastAsia="Times New Roman" w:cs="Arial"/>
          <w:szCs w:val="22"/>
        </w:rPr>
        <w:t xml:space="preserve"> located in the suprachiasmatic nucleus (SCN) of the brain hypothalamus, acts as the “master” oscillator and generator of the body’s circadian rhythm, while the peripheral CLOCK system</w:t>
      </w:r>
      <w:r w:rsidR="000624A7" w:rsidRPr="00AF6446">
        <w:rPr>
          <w:rFonts w:eastAsia="Times New Roman" w:cs="Arial"/>
          <w:szCs w:val="22"/>
        </w:rPr>
        <w:t>,</w:t>
      </w:r>
      <w:r w:rsidRPr="00AF6446">
        <w:rPr>
          <w:rFonts w:eastAsia="Times New Roman" w:cs="Arial"/>
          <w:szCs w:val="22"/>
        </w:rPr>
        <w:t xml:space="preserve"> virtually distributed in all organs and tissues including the CNS outside the SCN, acts generally as a “slave” CLOCK under the influence of the central SCN CLOCK. The Clock transcription factor shares high amino acid and structural similarity with the activator of thyroid receptor (ACTR), a member of the p160-type nuclear receptor coactivator family with inherent histone acetyltransferase activity, and thus, has</w:t>
      </w:r>
      <w:r w:rsidR="000624A7" w:rsidRPr="00AF6446">
        <w:rPr>
          <w:rFonts w:eastAsia="Times New Roman" w:cs="Arial"/>
          <w:szCs w:val="22"/>
        </w:rPr>
        <w:t xml:space="preserve"> such an enzymatic function (246</w:t>
      </w:r>
      <w:r w:rsidRPr="00AF6446">
        <w:rPr>
          <w:rFonts w:eastAsia="Times New Roman" w:cs="Arial"/>
          <w:szCs w:val="22"/>
        </w:rPr>
        <w:t>).</w:t>
      </w:r>
    </w:p>
    <w:p w14:paraId="001D6152" w14:textId="00F9D72A" w:rsidR="00290B68" w:rsidRPr="00AF6446" w:rsidRDefault="00290B68" w:rsidP="00AF6446">
      <w:pPr>
        <w:pBdr>
          <w:bottom w:val="single" w:sz="6" w:space="0" w:color="97B0C8"/>
        </w:pBdr>
        <w:shd w:val="clear" w:color="auto" w:fill="FFFFFF"/>
        <w:outlineLvl w:val="1"/>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2014.%20Distribution%20of%20the%20amino%20acid%20residues%20of%20the%20human%20GR%20susceptible%20to%20acetylation%2C%20phosphorylation%2C%20ubiquitination%20or%20SUMOylation.&amp;p=BOOKS&amp;id=279171_glucocort-receptor_GR-Figure-14.jpg" \o "Click on image to zoom" \t "tileshopwindow" </w:instrText>
      </w:r>
      <w:r w:rsidRPr="00AF6446">
        <w:rPr>
          <w:rFonts w:eastAsia="Times New Roman" w:cs="Arial"/>
          <w:szCs w:val="22"/>
        </w:rPr>
        <w:fldChar w:fldCharType="separate"/>
      </w:r>
    </w:p>
    <w:p w14:paraId="1B69B893" w14:textId="212D3CD7" w:rsidR="00290B68" w:rsidRPr="00AF6446" w:rsidRDefault="00290B68" w:rsidP="00AF6446">
      <w:pPr>
        <w:shd w:val="clear" w:color="auto" w:fill="FFFFFF"/>
        <w:rPr>
          <w:rFonts w:eastAsia="Times New Roman" w:cs="Arial"/>
          <w:b/>
          <w:szCs w:val="22"/>
        </w:rPr>
      </w:pPr>
      <w:r w:rsidRPr="00AF6446">
        <w:rPr>
          <w:rFonts w:eastAsia="Times New Roman" w:cs="Arial"/>
          <w:noProof/>
          <w:szCs w:val="22"/>
          <w:bdr w:val="single" w:sz="6" w:space="0" w:color="C0C0C0" w:frame="1"/>
          <w:lang w:val="el-GR" w:eastAsia="el-GR"/>
        </w:rPr>
        <w:drawing>
          <wp:inline distT="0" distB="0" distL="0" distR="0" wp14:anchorId="4D88B989" wp14:editId="0AA166B6">
            <wp:extent cx="6213894" cy="1235011"/>
            <wp:effectExtent l="0" t="0" r="0" b="3810"/>
            <wp:docPr id="34" name="Picture 34">
              <a:hlinkClick xmlns:a="http://schemas.openxmlformats.org/drawingml/2006/main" r:id="rId48"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48" tgtFrame="&quot;tileshopwindow&quot;" tooltip="&quot;Click on image to zoom&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36538" cy="1279261"/>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14</w:t>
      </w:r>
      <w:r w:rsidR="00837168" w:rsidRPr="00AF6446">
        <w:rPr>
          <w:rFonts w:eastAsia="Times New Roman" w:cs="Arial"/>
          <w:b/>
          <w:bCs/>
          <w:szCs w:val="22"/>
        </w:rPr>
        <w:t xml:space="preserve">. </w:t>
      </w:r>
      <w:r w:rsidRPr="00AF6446">
        <w:rPr>
          <w:rFonts w:eastAsia="Times New Roman" w:cs="Arial"/>
          <w:b/>
          <w:bCs/>
          <w:szCs w:val="22"/>
        </w:rPr>
        <w:t>Distribution of the amino acid residues of the human GR susceptible to acetylation, phosphorylation, ubiquitination or SUMOylation.</w:t>
      </w:r>
      <w:r w:rsidR="00ED1422">
        <w:rPr>
          <w:rFonts w:eastAsia="Times New Roman" w:cs="Arial"/>
          <w:b/>
          <w:bCs/>
          <w:szCs w:val="22"/>
        </w:rPr>
        <w:t xml:space="preserve"> </w:t>
      </w:r>
      <w:r w:rsidRPr="00AF6446">
        <w:rPr>
          <w:rFonts w:eastAsia="Times New Roman" w:cs="Arial"/>
          <w:b/>
          <w:szCs w:val="22"/>
        </w:rPr>
        <w:t>Human GR has 4 acetylation sites (lysines: K at amino acid position 480, 492, 494 and 495, shown with “A”), at least 5 phosphorylation sites (serines: S at amino acid position 45, 203, 211, 226 and 395, shown with “P”), 1 ubiqitination site (Lysine: K at amino acid position 419, shown with “U”) and 3 SUMOylation sites (Lysines: K at amino acid position 277, 293 and 703, shown with “S”).</w:t>
      </w:r>
    </w:p>
    <w:p w14:paraId="6B7A9E4E" w14:textId="77777777" w:rsidR="00837168" w:rsidRPr="00AF6446" w:rsidRDefault="00837168" w:rsidP="00AF6446">
      <w:pPr>
        <w:shd w:val="clear" w:color="auto" w:fill="FFFFFF"/>
        <w:rPr>
          <w:rFonts w:eastAsia="Times New Roman" w:cs="Arial"/>
          <w:szCs w:val="22"/>
        </w:rPr>
      </w:pPr>
    </w:p>
    <w:p w14:paraId="41DA91D4" w14:textId="7241376B" w:rsidR="00290B68" w:rsidRPr="00AF6446" w:rsidRDefault="00290B68" w:rsidP="00AF6446">
      <w:pPr>
        <w:shd w:val="clear" w:color="auto" w:fill="FFFFFF"/>
        <w:rPr>
          <w:rFonts w:eastAsia="Times New Roman" w:cs="Arial"/>
          <w:szCs w:val="22"/>
        </w:rPr>
      </w:pPr>
      <w:r w:rsidRPr="00AF6446">
        <w:rPr>
          <w:rFonts w:eastAsia="Times New Roman" w:cs="Arial"/>
          <w:szCs w:val="22"/>
        </w:rPr>
        <w:t>Clock physically interacts with GRa LBD through its nuclear receptor-interacting domain (NRID) in its middle portion, and acetylates human GRa at amino acid</w:t>
      </w:r>
      <w:r w:rsidR="006B7843" w:rsidRPr="00AF6446">
        <w:rPr>
          <w:rFonts w:eastAsia="Times New Roman" w:cs="Arial"/>
          <w:szCs w:val="22"/>
        </w:rPr>
        <w:t>s</w:t>
      </w:r>
      <w:r w:rsidRPr="00AF6446">
        <w:rPr>
          <w:rFonts w:eastAsia="Times New Roman" w:cs="Arial"/>
          <w:szCs w:val="22"/>
        </w:rPr>
        <w:t xml:space="preserve"> 480, 492, 494 and 495. Acetylation of GRa attenuates binding of the receptor to GREs, and hence, represses GR-ind</w:t>
      </w:r>
      <w:r w:rsidR="006B7843" w:rsidRPr="00AF6446">
        <w:rPr>
          <w:rFonts w:eastAsia="Times New Roman" w:cs="Arial"/>
          <w:szCs w:val="22"/>
        </w:rPr>
        <w:t>uced transactivation of the GRE-driven promoters (244</w:t>
      </w:r>
      <w:r w:rsidRPr="00AF6446">
        <w:rPr>
          <w:rFonts w:eastAsia="Times New Roman" w:cs="Arial"/>
          <w:szCs w:val="22"/>
        </w:rPr>
        <w:t>) (</w:t>
      </w:r>
      <w:hyperlink r:id="rId50" w:tgtFrame="object" w:history="1">
        <w:r w:rsidRPr="00F47850">
          <w:rPr>
            <w:rFonts w:eastAsia="Times New Roman" w:cs="Arial"/>
            <w:szCs w:val="22"/>
          </w:rPr>
          <w:t>Figure 15</w:t>
        </w:r>
      </w:hyperlink>
      <w:r w:rsidRPr="00AF6446">
        <w:rPr>
          <w:rFonts w:eastAsia="Times New Roman" w:cs="Arial"/>
          <w:szCs w:val="22"/>
        </w:rPr>
        <w:t>). Since the lysine residues acetylated by Clock are located in the C-terminal extension (CTE) that follows DBD and plays a rol</w:t>
      </w:r>
      <w:r w:rsidR="006B7843" w:rsidRPr="00AF6446">
        <w:rPr>
          <w:rFonts w:eastAsia="Times New Roman" w:cs="Arial"/>
          <w:szCs w:val="22"/>
        </w:rPr>
        <w:t>e in DNA recognition by SRs (247</w:t>
      </w:r>
      <w:r w:rsidRPr="00AF6446">
        <w:rPr>
          <w:rFonts w:eastAsia="Times New Roman" w:cs="Arial"/>
          <w:szCs w:val="22"/>
        </w:rPr>
        <w:t>), it is likely that acetylation of these residues reduces binding of GRa to GREs by altering the action of CTE. The part of the hinge region acetylated by Clock also overlaps with the nuclear localization signal (NL)-</w:t>
      </w:r>
      <w:r w:rsidR="006B7843" w:rsidRPr="00AF6446">
        <w:rPr>
          <w:rFonts w:eastAsia="Times New Roman" w:cs="Arial"/>
          <w:szCs w:val="22"/>
        </w:rPr>
        <w:t>1 (50,244</w:t>
      </w:r>
      <w:r w:rsidRPr="00AF6446">
        <w:rPr>
          <w:rFonts w:eastAsia="Times New Roman" w:cs="Arial"/>
          <w:szCs w:val="22"/>
        </w:rPr>
        <w:t>), thus it is also possible that acetylation of GRa alters nuclear translocation of this receptor. It is well known that the central master CLOCK located in SCN creates diurnal fluctuation of circulating cortisol, therefore peripheral CLOCK-mediated repression of GRa transcriptional activity in glucocorticoid target tissues functions as a local counter regulatory mechanism for oscil</w:t>
      </w:r>
      <w:r w:rsidR="006B7843" w:rsidRPr="00AF6446">
        <w:rPr>
          <w:rFonts w:eastAsia="Times New Roman" w:cs="Arial"/>
          <w:szCs w:val="22"/>
        </w:rPr>
        <w:t>lating circulating cortisol (248</w:t>
      </w:r>
      <w:r w:rsidRPr="00AF6446">
        <w:rPr>
          <w:rFonts w:eastAsia="Times New Roman" w:cs="Arial"/>
          <w:szCs w:val="22"/>
        </w:rPr>
        <w:t>).</w:t>
      </w:r>
    </w:p>
    <w:p w14:paraId="79195538"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lastRenderedPageBreak/>
        <w:fldChar w:fldCharType="begin"/>
      </w:r>
      <w:r w:rsidRPr="00AF6446">
        <w:rPr>
          <w:rFonts w:eastAsia="Times New Roman" w:cs="Arial"/>
          <w:szCs w:val="22"/>
        </w:rPr>
        <w:instrText xml:space="preserve"> HYPERLINK "https://www.ncbi.nlm.nih.gov/core/lw/2.0/html/tileshop_pmc/tileshop_pmc_inline.html?title=Figure%2015.%20Clock%2FBmal1%20suppresses%20GR-induced%20transcriptional%20activity%20through%20acetylation.&amp;p=BOOKS&amp;id=279171_glucocort-receptor_GR-Figure-15.jpg" \o "Click on image to zoom" \t "tileshopwindow" </w:instrText>
      </w:r>
      <w:r w:rsidRPr="00AF6446">
        <w:rPr>
          <w:rFonts w:eastAsia="Times New Roman" w:cs="Arial"/>
          <w:szCs w:val="22"/>
        </w:rPr>
        <w:fldChar w:fldCharType="separate"/>
      </w:r>
    </w:p>
    <w:p w14:paraId="1490FE43" w14:textId="3A80EFB3"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drawing>
          <wp:inline distT="0" distB="0" distL="0" distR="0" wp14:anchorId="41C6D9C9" wp14:editId="3919B169">
            <wp:extent cx="6351479" cy="5787785"/>
            <wp:effectExtent l="0" t="0" r="0" b="3810"/>
            <wp:docPr id="35" name="Picture 35" descr="Figure 15. Clock/Bmal1 suppresses GR-induced transcriptional activity through acetylation.">
              <a:hlinkClick xmlns:a="http://schemas.openxmlformats.org/drawingml/2006/main" r:id="rId51"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15. Clock/Bmal1 suppresses GR-induced transcriptional activity through acetylation.">
                      <a:hlinkClick r:id="rId51" tgtFrame="&quot;tileshopwindow&quot;" tooltip="&quot;Click on image to zoom&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9032" cy="5812893"/>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15</w:t>
      </w:r>
      <w:r w:rsidR="00837168" w:rsidRPr="00AF6446">
        <w:rPr>
          <w:rFonts w:eastAsia="Times New Roman" w:cs="Arial"/>
          <w:b/>
          <w:bCs/>
          <w:szCs w:val="22"/>
        </w:rPr>
        <w:t xml:space="preserve">. </w:t>
      </w:r>
      <w:r w:rsidRPr="00AF6446">
        <w:rPr>
          <w:rFonts w:eastAsia="Times New Roman" w:cs="Arial"/>
          <w:b/>
          <w:bCs/>
          <w:szCs w:val="22"/>
        </w:rPr>
        <w:t>Clock/Bmal1 suppresses GR-induced transcriptional activity through acetylation.</w:t>
      </w:r>
      <w:r w:rsidR="00ED1422">
        <w:rPr>
          <w:rFonts w:eastAsia="Times New Roman" w:cs="Arial"/>
          <w:b/>
          <w:bCs/>
          <w:szCs w:val="22"/>
        </w:rPr>
        <w:t xml:space="preserve"> </w:t>
      </w:r>
      <w:r w:rsidRPr="00AF6446">
        <w:rPr>
          <w:rFonts w:eastAsia="Times New Roman" w:cs="Arial"/>
          <w:b/>
          <w:bCs/>
          <w:szCs w:val="22"/>
        </w:rPr>
        <w:t>Clock physically interacts with GR LBD through its nuclear receptor-interacting domain and suppresses GR-induced transcriptional activity by acetylating with its intrinsic HAT activity a lysine cluster located in the hinge region of the GR (A) through which Clock reduces affinity of GR to its cognate DNA GREs (B).</w:t>
      </w:r>
      <w:r w:rsidR="00ED1422">
        <w:rPr>
          <w:rFonts w:eastAsia="Times New Roman" w:cs="Arial"/>
          <w:b/>
          <w:bCs/>
          <w:szCs w:val="22"/>
        </w:rPr>
        <w:t xml:space="preserve"> </w:t>
      </w:r>
      <w:r w:rsidRPr="00AF6446">
        <w:rPr>
          <w:rFonts w:eastAsia="Times New Roman" w:cs="Arial"/>
          <w:b/>
          <w:bCs/>
          <w:szCs w:val="22"/>
        </w:rPr>
        <w:t xml:space="preserve">A: acetylation; Bmal1: brain-muscle-arnt-like protein 1; DBD: DNA-binding domain; GREs: </w:t>
      </w:r>
      <w:r w:rsidR="00ED1422">
        <w:rPr>
          <w:rFonts w:eastAsia="Times New Roman" w:cs="Arial"/>
          <w:b/>
          <w:bCs/>
          <w:szCs w:val="22"/>
        </w:rPr>
        <w:t>g</w:t>
      </w:r>
      <w:r w:rsidRPr="00AF6446">
        <w:rPr>
          <w:rFonts w:eastAsia="Times New Roman" w:cs="Arial"/>
          <w:b/>
          <w:bCs/>
          <w:szCs w:val="22"/>
        </w:rPr>
        <w:t>lucocorticoid response elements; HR: hinge region; K: lysine residue; LBD: ligand-binding domain; NTD: N-terminal domain</w:t>
      </w:r>
      <w:r w:rsidR="00837168" w:rsidRPr="00AF6446">
        <w:rPr>
          <w:rFonts w:eastAsia="Times New Roman" w:cs="Arial"/>
          <w:b/>
          <w:bCs/>
          <w:szCs w:val="22"/>
        </w:rPr>
        <w:t xml:space="preserve">. </w:t>
      </w:r>
      <w:r w:rsidR="001354F3" w:rsidRPr="00AF6446">
        <w:rPr>
          <w:rFonts w:eastAsia="Times New Roman" w:cs="Arial"/>
          <w:b/>
          <w:bCs/>
          <w:szCs w:val="22"/>
        </w:rPr>
        <w:t>From (244</w:t>
      </w:r>
      <w:r w:rsidRPr="00AF6446">
        <w:rPr>
          <w:rFonts w:eastAsia="Times New Roman" w:cs="Arial"/>
          <w:b/>
          <w:bCs/>
          <w:szCs w:val="22"/>
        </w:rPr>
        <w:t>).</w:t>
      </w:r>
    </w:p>
    <w:p w14:paraId="03237647" w14:textId="77777777" w:rsidR="00837168" w:rsidRPr="00AF6446" w:rsidRDefault="00837168" w:rsidP="00AF6446">
      <w:pPr>
        <w:shd w:val="clear" w:color="auto" w:fill="FFFFFF"/>
        <w:rPr>
          <w:rFonts w:eastAsia="Times New Roman" w:cs="Arial"/>
          <w:szCs w:val="22"/>
        </w:rPr>
      </w:pPr>
    </w:p>
    <w:p w14:paraId="19770B50" w14:textId="38F6BEB6" w:rsidR="00290B68" w:rsidRPr="00AF6446" w:rsidRDefault="00290B68" w:rsidP="00AF6446">
      <w:pPr>
        <w:shd w:val="clear" w:color="auto" w:fill="FFFFFF"/>
        <w:rPr>
          <w:rFonts w:eastAsia="Times New Roman" w:cs="Arial"/>
          <w:szCs w:val="22"/>
        </w:rPr>
      </w:pPr>
      <w:r w:rsidRPr="00AF6446">
        <w:rPr>
          <w:rFonts w:eastAsia="Times New Roman" w:cs="Arial"/>
          <w:szCs w:val="22"/>
        </w:rPr>
        <w:t>In addition to the above findings obtained in </w:t>
      </w:r>
      <w:r w:rsidRPr="00AF6446">
        <w:rPr>
          <w:rFonts w:eastAsia="Times New Roman" w:cs="Arial"/>
          <w:i/>
          <w:iCs/>
          <w:szCs w:val="22"/>
        </w:rPr>
        <w:t>in vitro</w:t>
      </w:r>
      <w:r w:rsidRPr="00AF6446">
        <w:rPr>
          <w:rFonts w:eastAsia="Times New Roman" w:cs="Arial"/>
          <w:szCs w:val="22"/>
        </w:rPr>
        <w:t> cellular systems, we examined the acetylation status of human GRa and the expression of Clock-related and glucocorticoid-responsive genes </w:t>
      </w:r>
      <w:r w:rsidRPr="00AF6446">
        <w:rPr>
          <w:rFonts w:eastAsia="Times New Roman" w:cs="Arial"/>
          <w:i/>
          <w:iCs/>
          <w:szCs w:val="22"/>
        </w:rPr>
        <w:t>in vivo</w:t>
      </w:r>
      <w:r w:rsidRPr="00AF6446">
        <w:rPr>
          <w:rFonts w:eastAsia="Times New Roman" w:cs="Arial"/>
          <w:szCs w:val="22"/>
        </w:rPr>
        <w:t> and </w:t>
      </w:r>
      <w:r w:rsidRPr="00AF6446">
        <w:rPr>
          <w:rFonts w:eastAsia="Times New Roman" w:cs="Arial"/>
          <w:i/>
          <w:iCs/>
          <w:szCs w:val="22"/>
        </w:rPr>
        <w:t>ex vivo</w:t>
      </w:r>
      <w:r w:rsidRPr="00AF6446">
        <w:rPr>
          <w:rFonts w:eastAsia="Times New Roman" w:cs="Arial"/>
          <w:szCs w:val="22"/>
        </w:rPr>
        <w:t xml:space="preserve">, using peripheral blood mononuclear cells (PBMCs) from </w:t>
      </w:r>
      <w:r w:rsidR="00E57E15" w:rsidRPr="00AF6446">
        <w:rPr>
          <w:rFonts w:eastAsia="Times New Roman" w:cs="Arial"/>
          <w:szCs w:val="22"/>
        </w:rPr>
        <w:lastRenderedPageBreak/>
        <w:t>healthy adult volunteers (249</w:t>
      </w:r>
      <w:r w:rsidRPr="00AF6446">
        <w:rPr>
          <w:rFonts w:eastAsia="Times New Roman" w:cs="Arial"/>
          <w:szCs w:val="22"/>
        </w:rPr>
        <w:t>). The levels of acetylated GRa were higher in the morning and lower in the evening, mirroring the fluctuations of circulating cortisol in reverse phase. All known glucocorticoid-responsive genes tested responded as expected to hydrocortisone, however, some of these genes did not show the expected diurnal mRNA fluctuations </w:t>
      </w:r>
      <w:r w:rsidRPr="00AF6446">
        <w:rPr>
          <w:rFonts w:eastAsia="Times New Roman" w:cs="Arial"/>
          <w:i/>
          <w:iCs/>
          <w:szCs w:val="22"/>
        </w:rPr>
        <w:t>in vivo</w:t>
      </w:r>
      <w:r w:rsidRPr="00AF6446">
        <w:rPr>
          <w:rFonts w:eastAsia="Times New Roman" w:cs="Arial"/>
          <w:szCs w:val="22"/>
        </w:rPr>
        <w:t>. Instead, their mRNA oscillated in a Cl</w:t>
      </w:r>
      <w:r w:rsidR="003E7CAF" w:rsidRPr="00AF6446">
        <w:rPr>
          <w:rFonts w:eastAsia="Times New Roman" w:cs="Arial"/>
          <w:szCs w:val="22"/>
        </w:rPr>
        <w:t>ock- and a</w:t>
      </w:r>
      <w:r w:rsidRPr="00AF6446">
        <w:rPr>
          <w:rFonts w:eastAsia="Times New Roman" w:cs="Arial"/>
          <w:szCs w:val="22"/>
        </w:rPr>
        <w:t xml:space="preserve"> GRa acetylation-dependent fashion in the absence of endogenous glucocorticoid </w:t>
      </w:r>
      <w:r w:rsidRPr="00AF6446">
        <w:rPr>
          <w:rFonts w:eastAsia="Times New Roman" w:cs="Arial"/>
          <w:i/>
          <w:iCs/>
          <w:szCs w:val="22"/>
        </w:rPr>
        <w:t>ex vivo</w:t>
      </w:r>
      <w:r w:rsidRPr="00AF6446">
        <w:rPr>
          <w:rFonts w:eastAsia="Times New Roman" w:cs="Arial"/>
          <w:szCs w:val="22"/>
        </w:rPr>
        <w:t>, indicating that circulating cortisol might prevent circadian GRa acetylation-dependent effects in some glucocorticoid-responsive genes </w:t>
      </w:r>
      <w:r w:rsidRPr="00AF6446">
        <w:rPr>
          <w:rFonts w:eastAsia="Times New Roman" w:cs="Arial"/>
          <w:i/>
          <w:iCs/>
          <w:szCs w:val="22"/>
        </w:rPr>
        <w:t>in vivo</w:t>
      </w:r>
      <w:r w:rsidRPr="00AF6446">
        <w:rPr>
          <w:rFonts w:eastAsia="Times New Roman" w:cs="Arial"/>
          <w:szCs w:val="22"/>
        </w:rPr>
        <w:t>. These findings indicate that peripheral CLOCK-mediated circadian acetylation of GRa functions as a target tissue- and gene-specific counter regulatory mechanism to the actions of diurnally fluctuating cortisol, effectively decreasing tissue sensitivity to glucocorticoids in the morning and increasing it at night (</w:t>
      </w:r>
      <w:r w:rsidRPr="00AF6446">
        <w:rPr>
          <w:rFonts w:eastAsia="Times New Roman" w:cs="Arial"/>
          <w:bCs/>
          <w:szCs w:val="22"/>
        </w:rPr>
        <w:t>36</w:t>
      </w:r>
      <w:r w:rsidRPr="00AF6446">
        <w:rPr>
          <w:rFonts w:eastAsia="Times New Roman" w:cs="Arial"/>
          <w:szCs w:val="22"/>
        </w:rPr>
        <w:t>). Indeed, in another study where we measured mRNA expression of ~190 GRa action-regulating and glucocorticoid-responsive genes in subcutaneous fat biopsies from 25 obese subjects, we found that the lev</w:t>
      </w:r>
      <w:r w:rsidR="003E7CAF" w:rsidRPr="00AF6446">
        <w:rPr>
          <w:rFonts w:eastAsia="Times New Roman" w:cs="Arial"/>
          <w:szCs w:val="22"/>
        </w:rPr>
        <w:t>els of evening cortisol were</w:t>
      </w:r>
      <w:r w:rsidRPr="00AF6446">
        <w:rPr>
          <w:rFonts w:eastAsia="Times New Roman" w:cs="Arial"/>
          <w:szCs w:val="22"/>
        </w:rPr>
        <w:t xml:space="preserve"> much more important than those in the morning to regulate mRNA expression of glucocorticoid-responsive</w:t>
      </w:r>
      <w:r w:rsidR="00E8650F" w:rsidRPr="00AF6446">
        <w:rPr>
          <w:rFonts w:eastAsia="Times New Roman" w:cs="Arial"/>
          <w:szCs w:val="22"/>
        </w:rPr>
        <w:t xml:space="preserve"> genes in this human tissue (250</w:t>
      </w:r>
      <w:r w:rsidRPr="00AF6446">
        <w:rPr>
          <w:rFonts w:eastAsia="Times New Roman" w:cs="Arial"/>
          <w:szCs w:val="22"/>
        </w:rPr>
        <w:t>). It appears that higher sensitivity of tissues to circulating glucocorticoids in the evening due to reduced GRa acetylation by CLOCK underlies stronger impact of evening serum cortisol levels to glucocorticoid-regulated</w:t>
      </w:r>
      <w:r w:rsidR="00E8650F" w:rsidRPr="00AF6446">
        <w:rPr>
          <w:rFonts w:eastAsia="Times New Roman" w:cs="Arial"/>
          <w:szCs w:val="22"/>
        </w:rPr>
        <w:t xml:space="preserve"> gene expression compared to</w:t>
      </w:r>
      <w:r w:rsidRPr="00AF6446">
        <w:rPr>
          <w:rFonts w:eastAsia="Times New Roman" w:cs="Arial"/>
          <w:szCs w:val="22"/>
        </w:rPr>
        <w:t xml:space="preserve"> morning levels.</w:t>
      </w:r>
    </w:p>
    <w:p w14:paraId="17187943" w14:textId="77777777" w:rsidR="00837168" w:rsidRPr="00AF6446" w:rsidRDefault="00837168" w:rsidP="00AF6446">
      <w:pPr>
        <w:shd w:val="clear" w:color="auto" w:fill="FFFFFF"/>
        <w:rPr>
          <w:rFonts w:eastAsia="Times New Roman" w:cs="Arial"/>
          <w:szCs w:val="22"/>
        </w:rPr>
      </w:pPr>
    </w:p>
    <w:p w14:paraId="06F9ADAB" w14:textId="0FCB014A" w:rsidR="00290B68" w:rsidRPr="00AF6446" w:rsidRDefault="00290B68" w:rsidP="00AF6446">
      <w:pPr>
        <w:shd w:val="clear" w:color="auto" w:fill="FFFFFF"/>
        <w:rPr>
          <w:rFonts w:eastAsia="Times New Roman" w:cs="Arial"/>
          <w:szCs w:val="22"/>
        </w:rPr>
      </w:pPr>
      <w:r w:rsidRPr="00AF6446">
        <w:rPr>
          <w:rFonts w:eastAsia="Times New Roman" w:cs="Arial"/>
          <w:szCs w:val="22"/>
        </w:rPr>
        <w:t>The circadian CLOCK system and the HPA axis regulate each other’s activity through multilevel interactions in order to ultimately coordinate homeostasis against the day/night change and various unforeseen random internal and external stressors</w:t>
      </w:r>
      <w:r w:rsidR="00DA6821" w:rsidRPr="00AF6446">
        <w:rPr>
          <w:rFonts w:eastAsia="Times New Roman" w:cs="Arial"/>
          <w:szCs w:val="22"/>
        </w:rPr>
        <w:t xml:space="preserve"> (</w:t>
      </w:r>
      <w:r w:rsidR="00E30CE3" w:rsidRPr="00AF6446">
        <w:rPr>
          <w:rFonts w:eastAsia="Times New Roman" w:cs="Arial"/>
          <w:szCs w:val="22"/>
        </w:rPr>
        <w:t>251,252</w:t>
      </w:r>
      <w:r w:rsidR="00DA6821" w:rsidRPr="00AF6446">
        <w:rPr>
          <w:rFonts w:eastAsia="Times New Roman" w:cs="Arial"/>
          <w:szCs w:val="22"/>
        </w:rPr>
        <w:t>)</w:t>
      </w:r>
      <w:r w:rsidRPr="00AF6446">
        <w:rPr>
          <w:rFonts w:eastAsia="Times New Roman" w:cs="Arial"/>
          <w:szCs w:val="22"/>
        </w:rPr>
        <w:t>. For example, one CLOCK transcription factor Cry2 interacts with GRa and represses its tran</w:t>
      </w:r>
      <w:r w:rsidR="00A476C5" w:rsidRPr="00AF6446">
        <w:rPr>
          <w:rFonts w:eastAsia="Times New Roman" w:cs="Arial"/>
          <w:szCs w:val="22"/>
        </w:rPr>
        <w:t>scriptional activity (253</w:t>
      </w:r>
      <w:r w:rsidRPr="00AF6446">
        <w:rPr>
          <w:rFonts w:eastAsia="Times New Roman" w:cs="Arial"/>
          <w:szCs w:val="22"/>
        </w:rPr>
        <w:t>). Further</w:t>
      </w:r>
      <w:r w:rsidR="00A476C5" w:rsidRPr="00AF6446">
        <w:rPr>
          <w:rFonts w:eastAsia="Times New Roman" w:cs="Arial"/>
          <w:szCs w:val="22"/>
        </w:rPr>
        <w:t>more, GRa binds</w:t>
      </w:r>
      <w:r w:rsidRPr="00AF6446">
        <w:rPr>
          <w:rFonts w:eastAsia="Times New Roman" w:cs="Arial"/>
          <w:szCs w:val="22"/>
        </w:rPr>
        <w:t xml:space="preserve"> GREs located in the promoter region of the </w:t>
      </w:r>
      <w:r w:rsidRPr="00AF6446">
        <w:rPr>
          <w:rFonts w:eastAsia="Times New Roman" w:cs="Arial"/>
          <w:i/>
          <w:iCs/>
          <w:szCs w:val="22"/>
        </w:rPr>
        <w:t>Per1</w:t>
      </w:r>
      <w:r w:rsidRPr="00AF6446">
        <w:rPr>
          <w:rFonts w:eastAsia="Times New Roman" w:cs="Arial"/>
          <w:szCs w:val="22"/>
        </w:rPr>
        <w:t>, </w:t>
      </w:r>
      <w:r w:rsidRPr="00AF6446">
        <w:rPr>
          <w:rFonts w:eastAsia="Times New Roman" w:cs="Arial"/>
          <w:i/>
          <w:iCs/>
          <w:szCs w:val="22"/>
        </w:rPr>
        <w:t>Per2</w:t>
      </w:r>
      <w:r w:rsidRPr="00AF6446">
        <w:rPr>
          <w:rFonts w:eastAsia="Times New Roman" w:cs="Arial"/>
          <w:szCs w:val="22"/>
        </w:rPr>
        <w:t> and other CLOCK components and s</w:t>
      </w:r>
      <w:r w:rsidR="00A476C5" w:rsidRPr="00AF6446">
        <w:rPr>
          <w:rFonts w:eastAsia="Times New Roman" w:cs="Arial"/>
          <w:szCs w:val="22"/>
        </w:rPr>
        <w:t>timulate their expression, an effect that</w:t>
      </w:r>
      <w:r w:rsidRPr="00AF6446">
        <w:rPr>
          <w:rFonts w:eastAsia="Times New Roman" w:cs="Arial"/>
          <w:szCs w:val="22"/>
        </w:rPr>
        <w:t xml:space="preserve"> contributes to resetting of the circadian</w:t>
      </w:r>
      <w:r w:rsidR="00A476C5" w:rsidRPr="00AF6446">
        <w:rPr>
          <w:rFonts w:eastAsia="Times New Roman" w:cs="Arial"/>
          <w:szCs w:val="22"/>
        </w:rPr>
        <w:t xml:space="preserve"> rhythms by glucocorticoids (254,255</w:t>
      </w:r>
      <w:r w:rsidRPr="00AF6446">
        <w:rPr>
          <w:rFonts w:eastAsia="Times New Roman" w:cs="Arial"/>
          <w:szCs w:val="22"/>
        </w:rPr>
        <w:t>). The peripheral CLOCK system residing in the adrenal glands contributes to the creation of circadian glucocorticoid secretion from this organ in addition to diurnally secreted AC</w:t>
      </w:r>
      <w:r w:rsidR="00A476C5" w:rsidRPr="00AF6446">
        <w:rPr>
          <w:rFonts w:eastAsia="Times New Roman" w:cs="Arial"/>
          <w:szCs w:val="22"/>
        </w:rPr>
        <w:t>TH from the pituitary gland (256</w:t>
      </w:r>
      <w:r w:rsidRPr="00AF6446">
        <w:rPr>
          <w:rFonts w:eastAsia="Times New Roman" w:cs="Arial"/>
          <w:szCs w:val="22"/>
        </w:rPr>
        <w:t>). A</w:t>
      </w:r>
      <w:r w:rsidR="00A476C5" w:rsidRPr="00AF6446">
        <w:rPr>
          <w:rFonts w:eastAsia="Times New Roman" w:cs="Arial"/>
          <w:szCs w:val="22"/>
        </w:rPr>
        <w:t>n important</w:t>
      </w:r>
      <w:r w:rsidRPr="00AF6446">
        <w:rPr>
          <w:rFonts w:eastAsia="Times New Roman" w:cs="Arial"/>
          <w:szCs w:val="22"/>
        </w:rPr>
        <w:t xml:space="preserve"> study further revealed new local factors, which also regulate circadian production of glucocorticoids in the adrenal glands: the intermediate opioid peptides secreted from the adrenal cortex influence in a paracrine fashion </w:t>
      </w:r>
      <w:r w:rsidR="00A476C5" w:rsidRPr="00AF6446">
        <w:rPr>
          <w:rFonts w:eastAsia="Times New Roman" w:cs="Arial"/>
          <w:szCs w:val="22"/>
        </w:rPr>
        <w:t xml:space="preserve">the </w:t>
      </w:r>
      <w:r w:rsidRPr="00AF6446">
        <w:rPr>
          <w:rFonts w:eastAsia="Times New Roman" w:cs="Arial"/>
          <w:szCs w:val="22"/>
        </w:rPr>
        <w:t xml:space="preserve">amplitude of the serum corticosterone oscillations in mice through the C-X-C motif chemokine receptor 7 (CXCR7), a b-arrestin-biased G-protein-coupled receptor expressed </w:t>
      </w:r>
      <w:r w:rsidR="00A476C5" w:rsidRPr="00AF6446">
        <w:rPr>
          <w:rFonts w:eastAsia="Times New Roman" w:cs="Arial"/>
          <w:szCs w:val="22"/>
        </w:rPr>
        <w:t>on the adrenocortical cells (257</w:t>
      </w:r>
      <w:r w:rsidRPr="00AF6446">
        <w:rPr>
          <w:rFonts w:eastAsia="Times New Roman" w:cs="Arial"/>
          <w:szCs w:val="22"/>
        </w:rPr>
        <w:t>).</w:t>
      </w:r>
    </w:p>
    <w:p w14:paraId="4FC8DFED" w14:textId="77777777" w:rsidR="00837168" w:rsidRPr="00AF6446" w:rsidRDefault="00837168" w:rsidP="00AF6446">
      <w:pPr>
        <w:shd w:val="clear" w:color="auto" w:fill="FFFFFF"/>
        <w:rPr>
          <w:rFonts w:eastAsia="Times New Roman" w:cs="Arial"/>
          <w:szCs w:val="22"/>
        </w:rPr>
      </w:pPr>
    </w:p>
    <w:p w14:paraId="3388360A" w14:textId="1C64D8A9" w:rsidR="00290B68" w:rsidRPr="00AF6446" w:rsidRDefault="00290B68" w:rsidP="00AF6446">
      <w:pPr>
        <w:shd w:val="clear" w:color="auto" w:fill="FFFFFF"/>
        <w:rPr>
          <w:rFonts w:eastAsia="Times New Roman" w:cs="Arial"/>
          <w:szCs w:val="22"/>
        </w:rPr>
      </w:pPr>
      <w:r w:rsidRPr="00AF6446">
        <w:rPr>
          <w:rFonts w:eastAsia="Times New Roman" w:cs="Arial"/>
          <w:szCs w:val="22"/>
        </w:rPr>
        <w:t>Based on the above-indicated multilevel interaction between the CLOCK system and the HPA axis, uncoupling of or dysfunction in either system alters internal homeostasis and causes pathologic changes virtually in all organs and tissues, including those responsible for intermediary metabolism and immunity (</w:t>
      </w:r>
      <w:r w:rsidR="00F66814" w:rsidRPr="00AF6446">
        <w:rPr>
          <w:rFonts w:eastAsia="Times New Roman" w:cs="Arial"/>
          <w:szCs w:val="22"/>
        </w:rPr>
        <w:t>248,251,252</w:t>
      </w:r>
      <w:r w:rsidRPr="00AF6446">
        <w:rPr>
          <w:rFonts w:eastAsia="Times New Roman" w:cs="Arial"/>
          <w:szCs w:val="22"/>
        </w:rPr>
        <w:t xml:space="preserve">). Disrupted coupling of cortisol secretion and target tissue sensitivity to glucocorticoids may account for (1) development of central obesity and the metabolic syndrome in chronically stressed individuals, whose HPA axis circadian rhythm is characterized by blunting of the evening decreases of circulating glucocorticoids, as a result of enhanced input of higher centers upon the hypothalamic PVN’s secretion of CRH and arginine vasopressin (AVP); and (2) increased cardiometabolic risk and increased mortality of night-shift workers or subjects exposed to frequent jet-lag because of </w:t>
      </w:r>
      <w:r w:rsidR="00F3021E" w:rsidRPr="00AF6446">
        <w:rPr>
          <w:rFonts w:eastAsia="Times New Roman" w:cs="Arial"/>
          <w:szCs w:val="22"/>
        </w:rPr>
        <w:t>traveling across time zones (248,258</w:t>
      </w:r>
      <w:r w:rsidRPr="00AF6446">
        <w:rPr>
          <w:rFonts w:eastAsia="Times New Roman" w:cs="Arial"/>
          <w:szCs w:val="22"/>
        </w:rPr>
        <w:t xml:space="preserve">). In addition, given that tissue sensitivity to glucocorticoids </w:t>
      </w:r>
      <w:r w:rsidRPr="00AF6446">
        <w:rPr>
          <w:rFonts w:eastAsia="Times New Roman" w:cs="Arial"/>
          <w:szCs w:val="22"/>
        </w:rPr>
        <w:lastRenderedPageBreak/>
        <w:t>is increased in the evening as mentioned above (t</w:t>
      </w:r>
      <w:r w:rsidR="00F3021E" w:rsidRPr="00AF6446">
        <w:rPr>
          <w:rFonts w:eastAsia="Times New Roman" w:cs="Arial"/>
          <w:szCs w:val="22"/>
        </w:rPr>
        <w:t>hus, evening cortisol levels have</w:t>
      </w:r>
      <w:r w:rsidRPr="00AF6446">
        <w:rPr>
          <w:rFonts w:eastAsia="Times New Roman" w:cs="Arial"/>
          <w:szCs w:val="22"/>
        </w:rPr>
        <w:t xml:space="preserve"> stronger impact to gene expression than those in the morning), supplemental administration of high-dose glucocorticoids at night for the treatment of adrenal insufficiency or congenital adrenal hyperplasia may increase a possibility of glucocorticoid-related side effects. Further</w:t>
      </w:r>
      <w:r w:rsidR="00FD0D2C" w:rsidRPr="00AF6446">
        <w:rPr>
          <w:rFonts w:eastAsia="Times New Roman" w:cs="Arial"/>
          <w:szCs w:val="22"/>
        </w:rPr>
        <w:t>more</w:t>
      </w:r>
      <w:r w:rsidRPr="00AF6446">
        <w:rPr>
          <w:rFonts w:eastAsia="Times New Roman" w:cs="Arial"/>
          <w:szCs w:val="22"/>
        </w:rPr>
        <w:t>, administration of glucocorticoids at a specific period of the circadian cycle might increase their pharmacological efficacy, while at the same time reducing their unwanted side effects, because CLOCK differentially regulates transactivational and transrepressive actions of glucocorticoids, which are respectively correlated with side-effects and beneficial anti-inflammatory activities of these compounds used at pha</w:t>
      </w:r>
      <w:r w:rsidR="00FD0D2C" w:rsidRPr="00AF6446">
        <w:rPr>
          <w:rFonts w:eastAsia="Times New Roman" w:cs="Arial"/>
          <w:szCs w:val="22"/>
        </w:rPr>
        <w:t>rmacological concentrations (258</w:t>
      </w:r>
      <w:r w:rsidRPr="00AF6446">
        <w:rPr>
          <w:rFonts w:eastAsia="Times New Roman" w:cs="Arial"/>
          <w:szCs w:val="22"/>
        </w:rPr>
        <w:t>).</w:t>
      </w:r>
    </w:p>
    <w:p w14:paraId="7B8EACFF" w14:textId="77777777" w:rsidR="00837168" w:rsidRPr="00AF6446" w:rsidRDefault="00837168" w:rsidP="00AF6446">
      <w:pPr>
        <w:shd w:val="clear" w:color="auto" w:fill="FFFFFF"/>
        <w:rPr>
          <w:rFonts w:eastAsia="Times New Roman" w:cs="Arial"/>
          <w:szCs w:val="22"/>
        </w:rPr>
      </w:pPr>
    </w:p>
    <w:p w14:paraId="0B8DEAF6" w14:textId="77777777"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Phosphorylation</w:t>
      </w:r>
    </w:p>
    <w:p w14:paraId="3F7F99E0" w14:textId="77777777" w:rsidR="00837168" w:rsidRPr="00AF6446" w:rsidRDefault="00837168" w:rsidP="00AF6446">
      <w:pPr>
        <w:shd w:val="clear" w:color="auto" w:fill="FFFFFF"/>
        <w:rPr>
          <w:rFonts w:eastAsia="Times New Roman" w:cs="Arial"/>
          <w:szCs w:val="22"/>
        </w:rPr>
      </w:pPr>
    </w:p>
    <w:p w14:paraId="5E7BA43A" w14:textId="53C8E2E2" w:rsidR="00290B68" w:rsidRPr="00AF6446" w:rsidRDefault="00290B68" w:rsidP="00AF6446">
      <w:pPr>
        <w:shd w:val="clear" w:color="auto" w:fill="FFFFFF"/>
        <w:rPr>
          <w:rFonts w:eastAsia="Times New Roman" w:cs="Arial"/>
          <w:szCs w:val="22"/>
        </w:rPr>
      </w:pPr>
      <w:r w:rsidRPr="00AF6446">
        <w:rPr>
          <w:rFonts w:eastAsia="Times New Roman" w:cs="Arial"/>
          <w:szCs w:val="22"/>
        </w:rPr>
        <w:t>GRa has several phosphorylation sites and all of them are located in the NTD (20,25</w:t>
      </w:r>
      <w:r w:rsidR="009B1A30" w:rsidRPr="00AF6446">
        <w:rPr>
          <w:rFonts w:eastAsia="Times New Roman" w:cs="Arial"/>
          <w:szCs w:val="22"/>
        </w:rPr>
        <w:t>9</w:t>
      </w:r>
      <w:r w:rsidRPr="00AF6446">
        <w:rPr>
          <w:rFonts w:eastAsia="Times New Roman" w:cs="Arial"/>
          <w:szCs w:val="22"/>
        </w:rPr>
        <w:t xml:space="preserve">) </w:t>
      </w:r>
      <w:r w:rsidRPr="00F47850">
        <w:rPr>
          <w:rFonts w:eastAsia="Times New Roman" w:cs="Arial"/>
          <w:szCs w:val="22"/>
        </w:rPr>
        <w:t>(</w:t>
      </w:r>
      <w:hyperlink r:id="rId53" w:tgtFrame="object" w:history="1">
        <w:r w:rsidRPr="00F47850">
          <w:rPr>
            <w:rFonts w:eastAsia="Times New Roman" w:cs="Arial"/>
            <w:szCs w:val="22"/>
          </w:rPr>
          <w:t>Figure 14</w:t>
        </w:r>
      </w:hyperlink>
      <w:r w:rsidRPr="00AF6446">
        <w:rPr>
          <w:rFonts w:eastAsia="Times New Roman" w:cs="Arial"/>
          <w:szCs w:val="22"/>
        </w:rPr>
        <w:t>). Classically, GRa is phosphorylated after binding to its ligand and this may determine target promoter specificity, cofactor interaction, strength and duration of receptor signa</w:t>
      </w:r>
      <w:r w:rsidR="009B1A30" w:rsidRPr="00AF6446">
        <w:rPr>
          <w:rFonts w:eastAsia="Times New Roman" w:cs="Arial"/>
          <w:szCs w:val="22"/>
        </w:rPr>
        <w:t>ling and receptor stability (259,260</w:t>
      </w:r>
      <w:r w:rsidRPr="00AF6446">
        <w:rPr>
          <w:rFonts w:eastAsia="Times New Roman" w:cs="Arial"/>
          <w:szCs w:val="22"/>
        </w:rPr>
        <w:t>). There are several kinases that phosphorylate GRa </w:t>
      </w:r>
      <w:r w:rsidRPr="00AF6446">
        <w:rPr>
          <w:rFonts w:eastAsia="Times New Roman" w:cs="Arial"/>
          <w:i/>
          <w:iCs/>
          <w:szCs w:val="22"/>
        </w:rPr>
        <w:t>in vitro</w:t>
      </w:r>
      <w:r w:rsidRPr="00AF6446">
        <w:rPr>
          <w:rFonts w:eastAsia="Times New Roman" w:cs="Arial"/>
          <w:szCs w:val="22"/>
        </w:rPr>
        <w:t> and </w:t>
      </w:r>
      <w:r w:rsidRPr="00AF6446">
        <w:rPr>
          <w:rFonts w:eastAsia="Times New Roman" w:cs="Arial"/>
          <w:i/>
          <w:iCs/>
          <w:szCs w:val="22"/>
        </w:rPr>
        <w:t>in vivo</w:t>
      </w:r>
      <w:r w:rsidR="009B1A30" w:rsidRPr="00AF6446">
        <w:rPr>
          <w:rFonts w:eastAsia="Times New Roman" w:cs="Arial"/>
          <w:iCs/>
          <w:szCs w:val="22"/>
        </w:rPr>
        <w:t xml:space="preserve"> (261)</w:t>
      </w:r>
      <w:r w:rsidRPr="00AF6446">
        <w:rPr>
          <w:rFonts w:eastAsia="Times New Roman" w:cs="Arial"/>
          <w:szCs w:val="22"/>
        </w:rPr>
        <w:t>. Yeast cyclin-dependent kinase p34CDC28 phosphorylates rat GRa at serines 224 and 232, which are orthologous to serines 203 and 211 of the human GRa, with the resultant phosphorylation enhancing rat GRa transc</w:t>
      </w:r>
      <w:r w:rsidR="007B6503" w:rsidRPr="00AF6446">
        <w:rPr>
          <w:rFonts w:eastAsia="Times New Roman" w:cs="Arial"/>
          <w:szCs w:val="22"/>
        </w:rPr>
        <w:t>riptional activity in yeast (262</w:t>
      </w:r>
      <w:r w:rsidRPr="00AF6446">
        <w:rPr>
          <w:rFonts w:eastAsia="Times New Roman" w:cs="Arial"/>
          <w:szCs w:val="22"/>
        </w:rPr>
        <w:t>). These residues are also phosphorylated after binding of the GRa with agonists or antagonists and the phosphorylated receptor shows reduced translocation into the nucleus and/or altered subcellular loca</w:t>
      </w:r>
      <w:r w:rsidR="007B6503" w:rsidRPr="00AF6446">
        <w:rPr>
          <w:rFonts w:eastAsia="Times New Roman" w:cs="Arial"/>
          <w:szCs w:val="22"/>
        </w:rPr>
        <w:t>lization in mammalian cells (259,263</w:t>
      </w:r>
      <w:r w:rsidRPr="00AF6446">
        <w:rPr>
          <w:rFonts w:eastAsia="Times New Roman" w:cs="Arial"/>
          <w:szCs w:val="22"/>
        </w:rPr>
        <w:t>). The p38 MAPK phosphorylates serine 211 of the human GRa, enhances its transcriptional activity and media</w:t>
      </w:r>
      <w:r w:rsidR="00581D93" w:rsidRPr="00AF6446">
        <w:rPr>
          <w:rFonts w:eastAsia="Times New Roman" w:cs="Arial"/>
          <w:szCs w:val="22"/>
        </w:rPr>
        <w:t>tes GRa-dependent apoptosis (264</w:t>
      </w:r>
      <w:r w:rsidRPr="00AF6446">
        <w:rPr>
          <w:rFonts w:eastAsia="Times New Roman" w:cs="Arial"/>
          <w:szCs w:val="22"/>
        </w:rPr>
        <w:t xml:space="preserve">). p38 MAPK and JNK also phosphorylate serine 226 of the human GRa and suppress its transcriptional activity by enhancing nuclear export of the receptor (63). Modulation of the molecular interactions between GRa AF-1 and cofactors through phosphorylation of these serine resides underlies in part the transcriptional regulation of this receptor by these kinases, as </w:t>
      </w:r>
      <w:r w:rsidR="00581D93" w:rsidRPr="00AF6446">
        <w:rPr>
          <w:rFonts w:eastAsia="Times New Roman" w:cs="Arial"/>
          <w:szCs w:val="22"/>
        </w:rPr>
        <w:t>these serines are located within the AF-1 domain (265</w:t>
      </w:r>
      <w:r w:rsidRPr="00AF6446">
        <w:rPr>
          <w:rFonts w:eastAsia="Times New Roman" w:cs="Arial"/>
          <w:szCs w:val="22"/>
        </w:rPr>
        <w:t>). Threonine 171 of the rat GRa is also phosphorylated by p38 MAPK and glycogen synthase kinase-3 (GSK3): phosphorylated rat GRa demonstrates reduced transcriptional activity in yeast and human cells, however, the human GRa does not have a threonine residue equiva</w:t>
      </w:r>
      <w:r w:rsidR="00581D93" w:rsidRPr="00AF6446">
        <w:rPr>
          <w:rFonts w:eastAsia="Times New Roman" w:cs="Arial"/>
          <w:szCs w:val="22"/>
        </w:rPr>
        <w:t>lent to that of the rat GRa (266</w:t>
      </w:r>
      <w:r w:rsidRPr="00AF6446">
        <w:rPr>
          <w:rFonts w:eastAsia="Times New Roman" w:cs="Arial"/>
          <w:szCs w:val="22"/>
        </w:rPr>
        <w:t>,2</w:t>
      </w:r>
      <w:r w:rsidR="00581D93" w:rsidRPr="00AF6446">
        <w:rPr>
          <w:rFonts w:eastAsia="Times New Roman" w:cs="Arial"/>
          <w:szCs w:val="22"/>
        </w:rPr>
        <w:t>67</w:t>
      </w:r>
      <w:r w:rsidRPr="00AF6446">
        <w:rPr>
          <w:rFonts w:eastAsia="Times New Roman" w:cs="Arial"/>
          <w:szCs w:val="22"/>
        </w:rPr>
        <w:t xml:space="preserve">). </w:t>
      </w:r>
      <w:r w:rsidR="00581D93" w:rsidRPr="00AF6446">
        <w:rPr>
          <w:rFonts w:eastAsia="Times New Roman" w:cs="Arial"/>
          <w:szCs w:val="22"/>
        </w:rPr>
        <w:t>On the other hand, o</w:t>
      </w:r>
      <w:r w:rsidRPr="00AF6446">
        <w:rPr>
          <w:rFonts w:eastAsia="Times New Roman" w:cs="Arial"/>
          <w:szCs w:val="22"/>
        </w:rPr>
        <w:t>ne GSK3 family protein</w:t>
      </w:r>
      <w:r w:rsidR="00581D93" w:rsidRPr="00AF6446">
        <w:rPr>
          <w:rFonts w:eastAsia="Times New Roman" w:cs="Arial"/>
          <w:szCs w:val="22"/>
        </w:rPr>
        <w:t>,</w:t>
      </w:r>
      <w:r w:rsidRPr="00AF6446">
        <w:rPr>
          <w:rFonts w:eastAsia="Times New Roman" w:cs="Arial"/>
          <w:szCs w:val="22"/>
        </w:rPr>
        <w:t xml:space="preserve"> GSK3b, phosphorylates human GRa at serine 404 and modulates hGRa transcriptional activity including its</w:t>
      </w:r>
      <w:r w:rsidR="00581D93" w:rsidRPr="00AF6446">
        <w:rPr>
          <w:rFonts w:eastAsia="Times New Roman" w:cs="Arial"/>
          <w:szCs w:val="22"/>
        </w:rPr>
        <w:t xml:space="preserve"> repressive effect on NF-kB (268</w:t>
      </w:r>
      <w:r w:rsidRPr="00AF6446">
        <w:rPr>
          <w:rFonts w:eastAsia="Times New Roman" w:cs="Arial"/>
          <w:szCs w:val="22"/>
        </w:rPr>
        <w:t>).</w:t>
      </w:r>
    </w:p>
    <w:p w14:paraId="2DBCD22D" w14:textId="77777777" w:rsidR="00276A02" w:rsidRDefault="00276A02" w:rsidP="00AF6446">
      <w:pPr>
        <w:shd w:val="clear" w:color="auto" w:fill="FFFFFF"/>
        <w:rPr>
          <w:rFonts w:eastAsia="Times New Roman" w:cs="Arial"/>
          <w:szCs w:val="22"/>
        </w:rPr>
      </w:pPr>
    </w:p>
    <w:p w14:paraId="48581C23" w14:textId="0D7DCA0B" w:rsidR="00290B68" w:rsidRPr="00AF6446" w:rsidRDefault="00290B68" w:rsidP="00AF6446">
      <w:pPr>
        <w:shd w:val="clear" w:color="auto" w:fill="FFFFFF"/>
        <w:rPr>
          <w:rFonts w:eastAsia="Times New Roman" w:cs="Arial"/>
          <w:szCs w:val="22"/>
        </w:rPr>
      </w:pPr>
      <w:r w:rsidRPr="00AF6446">
        <w:rPr>
          <w:rFonts w:eastAsia="Times New Roman" w:cs="Arial"/>
          <w:szCs w:val="22"/>
        </w:rPr>
        <w:t>Several serine/threonine phosphatases, such as the protein phosphatase 2A (PP2A) and protein phosphatase 5, dephosphorylate human GRa at serine 203, 211 and/or 226, possibly through the</w:t>
      </w:r>
      <w:r w:rsidR="00581D93" w:rsidRPr="00AF6446">
        <w:rPr>
          <w:rFonts w:eastAsia="Times New Roman" w:cs="Arial"/>
          <w:szCs w:val="22"/>
        </w:rPr>
        <w:t>ir association with GRa LBD (269,270</w:t>
      </w:r>
      <w:r w:rsidRPr="00AF6446">
        <w:rPr>
          <w:rFonts w:eastAsia="Times New Roman" w:cs="Arial"/>
          <w:szCs w:val="22"/>
        </w:rPr>
        <w:t xml:space="preserve">). Stimulation of </w:t>
      </w:r>
      <w:r w:rsidR="00BA0E5F" w:rsidRPr="00AF6446">
        <w:rPr>
          <w:rFonts w:eastAsia="Times New Roman" w:cs="Arial"/>
          <w:szCs w:val="22"/>
        </w:rPr>
        <w:t xml:space="preserve">A549 </w:t>
      </w:r>
      <w:r w:rsidRPr="00AF6446">
        <w:rPr>
          <w:rFonts w:eastAsia="Times New Roman" w:cs="Arial"/>
          <w:szCs w:val="22"/>
        </w:rPr>
        <w:t>human respiratory epithelial cells with b2 adrenergic receptor agonists increases PP2A, which in turn increases glucocorticoid sensitivity by dephosph</w:t>
      </w:r>
      <w:r w:rsidR="00BA0E5F" w:rsidRPr="00AF6446">
        <w:rPr>
          <w:rFonts w:eastAsia="Times New Roman" w:cs="Arial"/>
          <w:szCs w:val="22"/>
        </w:rPr>
        <w:t>orylating GRa at serine 226 (271</w:t>
      </w:r>
      <w:r w:rsidRPr="00AF6446">
        <w:rPr>
          <w:rFonts w:eastAsia="Times New Roman" w:cs="Arial"/>
          <w:szCs w:val="22"/>
        </w:rPr>
        <w:t>). However, PP2A also regulates indirectly GRa phosphorylation by increasing dephosphorylation of JNK and subsequent activation of this kinase, as JNK direc</w:t>
      </w:r>
      <w:r w:rsidR="00BA0E5F" w:rsidRPr="00AF6446">
        <w:rPr>
          <w:rFonts w:eastAsia="Times New Roman" w:cs="Arial"/>
          <w:szCs w:val="22"/>
        </w:rPr>
        <w:t>tly phosphorylates GRa (272</w:t>
      </w:r>
      <w:r w:rsidRPr="00AF6446">
        <w:rPr>
          <w:rFonts w:eastAsia="Times New Roman" w:cs="Arial"/>
          <w:szCs w:val="22"/>
        </w:rPr>
        <w:t>).</w:t>
      </w:r>
    </w:p>
    <w:p w14:paraId="570A68BF" w14:textId="77777777" w:rsidR="00276A02" w:rsidRDefault="00276A02" w:rsidP="00AF6446">
      <w:pPr>
        <w:shd w:val="clear" w:color="auto" w:fill="FFFFFF"/>
        <w:rPr>
          <w:rFonts w:eastAsia="Times New Roman" w:cs="Arial"/>
          <w:szCs w:val="22"/>
        </w:rPr>
      </w:pPr>
    </w:p>
    <w:p w14:paraId="773C4719" w14:textId="3FD7DB72"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The cyclin-dependent kinase 5 (CDK5) physically interacts with the human GRa through its activator component p35, phosphorylates GRa at multiple serines including those at 203 and </w:t>
      </w:r>
      <w:r w:rsidRPr="00AF6446">
        <w:rPr>
          <w:rFonts w:eastAsia="Times New Roman" w:cs="Arial"/>
          <w:szCs w:val="22"/>
        </w:rPr>
        <w:lastRenderedPageBreak/>
        <w:t>211, and modulates GRa-induced transcriptional activity by changing accumulation of t</w:t>
      </w:r>
      <w:r w:rsidR="009301A4" w:rsidRPr="00AF6446">
        <w:rPr>
          <w:rFonts w:eastAsia="Times New Roman" w:cs="Arial"/>
          <w:szCs w:val="22"/>
        </w:rPr>
        <w:t>ranscriptional cofactors on GRE-bound GRa (273</w:t>
      </w:r>
      <w:r w:rsidRPr="00AF6446">
        <w:rPr>
          <w:rFonts w:eastAsia="Times New Roman" w:cs="Arial"/>
          <w:szCs w:val="22"/>
        </w:rPr>
        <w:t>). CDK5 and p35 are expressed mainly in neuronal cells and play important roles in embryonic brain development. Aberrant activation of CDK5 in CNS also plays a significant role in the pathogenesis of neurodegenerative disorders, such as Alzheimer’s disease and am</w:t>
      </w:r>
      <w:r w:rsidR="009301A4" w:rsidRPr="00AF6446">
        <w:rPr>
          <w:rFonts w:eastAsia="Times New Roman" w:cs="Arial"/>
          <w:szCs w:val="22"/>
        </w:rPr>
        <w:t>yotrophic lateral sclerosis (274</w:t>
      </w:r>
      <w:r w:rsidRPr="00AF6446">
        <w:rPr>
          <w:rFonts w:eastAsia="Times New Roman" w:cs="Arial"/>
          <w:szCs w:val="22"/>
        </w:rPr>
        <w:t>). We reported that, in addition to GRa, CDK5 phosphorylates MR and strongly suppresses i</w:t>
      </w:r>
      <w:r w:rsidR="00631F7B" w:rsidRPr="00AF6446">
        <w:rPr>
          <w:rFonts w:eastAsia="Times New Roman" w:cs="Arial"/>
          <w:szCs w:val="22"/>
        </w:rPr>
        <w:t>ts transcriptional activity (275</w:t>
      </w:r>
      <w:r w:rsidRPr="00AF6446">
        <w:rPr>
          <w:rFonts w:eastAsia="Times New Roman" w:cs="Arial"/>
          <w:szCs w:val="22"/>
        </w:rPr>
        <w:t>). In brain regions, such as hippocampus and amygdala, which do not express 11b-HSD2, MR functions as a physiologic receptor for circulating glucocorticoids, and activation/suppression of MR plays an important role in glucocorticoid-related memory deficits and altera</w:t>
      </w:r>
      <w:r w:rsidR="00942A09" w:rsidRPr="00AF6446">
        <w:rPr>
          <w:rFonts w:eastAsia="Times New Roman" w:cs="Arial"/>
          <w:szCs w:val="22"/>
        </w:rPr>
        <w:t>tions in mood and cognition (276</w:t>
      </w:r>
      <w:r w:rsidRPr="00AF6446">
        <w:rPr>
          <w:rFonts w:eastAsia="Times New Roman" w:cs="Arial"/>
          <w:szCs w:val="22"/>
        </w:rPr>
        <w:t>). Indeed, MR mediates enhancement of neuronal excitability, stabilization of synaptic transmission, and stimulation of long-term potentiation (LTP) in CA1 hippocampal cells, while MR activation is protective to hippocampal granular cell neurons. Thus, it is possible that CDK5-mediated regulation of MR might underlie development of glucocorticoid-associated pathologic conditions, such as neurodegenerative d</w:t>
      </w:r>
      <w:r w:rsidR="00942A09" w:rsidRPr="00AF6446">
        <w:rPr>
          <w:rFonts w:eastAsia="Times New Roman" w:cs="Arial"/>
          <w:szCs w:val="22"/>
        </w:rPr>
        <w:t>isorders and mood disorders (277,278</w:t>
      </w:r>
      <w:r w:rsidRPr="00AF6446">
        <w:rPr>
          <w:rFonts w:eastAsia="Times New Roman" w:cs="Arial"/>
          <w:szCs w:val="22"/>
        </w:rPr>
        <w:t xml:space="preserve">). We examined changes of the CDK5 activity in mice under stress, and found that acute and chronic stressful stimuli differentially regulate the kinase activity together with contemporaneous alteration of the GRa phosphorylation in a brain region-specific fashion, indicating that CDK5 and its regulatory effects on GRa is an integral component of the stress </w:t>
      </w:r>
      <w:r w:rsidR="00942A09" w:rsidRPr="00AF6446">
        <w:rPr>
          <w:rFonts w:eastAsia="Times New Roman" w:cs="Arial"/>
          <w:szCs w:val="22"/>
        </w:rPr>
        <w:t>response and mood disorders (279</w:t>
      </w:r>
      <w:r w:rsidRPr="00AF6446">
        <w:rPr>
          <w:rFonts w:eastAsia="Times New Roman" w:cs="Arial"/>
          <w:szCs w:val="22"/>
        </w:rPr>
        <w:t>).</w:t>
      </w:r>
    </w:p>
    <w:p w14:paraId="138B0014" w14:textId="77777777" w:rsidR="00837168" w:rsidRPr="00AF6446" w:rsidRDefault="00837168" w:rsidP="00AF6446">
      <w:pPr>
        <w:shd w:val="clear" w:color="auto" w:fill="FFFFFF"/>
        <w:rPr>
          <w:rFonts w:eastAsia="Times New Roman" w:cs="Arial"/>
          <w:szCs w:val="22"/>
        </w:rPr>
      </w:pPr>
    </w:p>
    <w:p w14:paraId="5E8088DC" w14:textId="1E39FF9A" w:rsidR="00290B68" w:rsidRPr="00AF6446" w:rsidRDefault="00290B68" w:rsidP="00AF6446">
      <w:pPr>
        <w:shd w:val="clear" w:color="auto" w:fill="FFFFFF"/>
        <w:rPr>
          <w:rFonts w:eastAsia="Times New Roman" w:cs="Arial"/>
          <w:szCs w:val="22"/>
        </w:rPr>
      </w:pPr>
      <w:r w:rsidRPr="00AF6446">
        <w:rPr>
          <w:rFonts w:eastAsia="Times New Roman" w:cs="Arial"/>
          <w:szCs w:val="22"/>
        </w:rPr>
        <w:t>We also found that adenosine 5’ monophosphate-activated protein kinase (AMPK), a central regulator of energy homeostasis that plays a major role in appetite modulation and energy expenditure, indirectly phosphorylates human GRa at serine 211 thr</w:t>
      </w:r>
      <w:r w:rsidR="00E03B0C" w:rsidRPr="00AF6446">
        <w:rPr>
          <w:rFonts w:eastAsia="Times New Roman" w:cs="Arial"/>
          <w:szCs w:val="22"/>
        </w:rPr>
        <w:t>ough activation of p38 MAPK (280</w:t>
      </w:r>
      <w:r w:rsidRPr="00AF6446">
        <w:rPr>
          <w:rFonts w:eastAsia="Times New Roman" w:cs="Arial"/>
          <w:szCs w:val="22"/>
        </w:rPr>
        <w:t>). Through phosphorylation of GRa, AMPK regulates glucocorticoid actions on carbohydrate metabolism, modifying transcription of glucocorticoid-responsive genes in a tissue- and promoter-specific fashion. Indeed, activation of AMPK in rats reverses glucocorticoid-induced hepatic steatosis and suppresses glucocorticoid-mediated stimulation of glucose metabolism. These findings indicate that the AMPK-mediated energy control system modulates glucocorticoid action at target tissues, and activation of AMPK could be a promising target for developing pharmacologic interventions in metabolic disorders in which glucocorticoids play major pathogenetic roles.</w:t>
      </w:r>
    </w:p>
    <w:p w14:paraId="3F0C6AEC" w14:textId="77777777" w:rsidR="00837168" w:rsidRPr="00AF6446" w:rsidRDefault="00837168" w:rsidP="00AF6446">
      <w:pPr>
        <w:shd w:val="clear" w:color="auto" w:fill="FFFFFF"/>
        <w:rPr>
          <w:rFonts w:eastAsia="Times New Roman" w:cs="Arial"/>
          <w:szCs w:val="22"/>
        </w:rPr>
      </w:pPr>
    </w:p>
    <w:p w14:paraId="040F46A7" w14:textId="69A02622" w:rsidR="00290B68" w:rsidRPr="00AF6446" w:rsidRDefault="00290B68" w:rsidP="00AF6446">
      <w:pPr>
        <w:shd w:val="clear" w:color="auto" w:fill="FFFFFF"/>
        <w:rPr>
          <w:rFonts w:eastAsia="Times New Roman" w:cs="Arial"/>
          <w:szCs w:val="22"/>
        </w:rPr>
      </w:pPr>
      <w:r w:rsidRPr="00AF6446">
        <w:rPr>
          <w:rFonts w:eastAsia="Times New Roman" w:cs="Arial"/>
          <w:szCs w:val="22"/>
        </w:rPr>
        <w:t>The v-akt murine thymoma viral oncogene homolog 1 (AKT1) or protein kinase B, another serine-threonine kinase known to regulate cell proliferation and survival, and aberrantly activated in various malignancies including acute leukemia, also phosphorylates human GRa at serine 134, which is loca</w:t>
      </w:r>
      <w:r w:rsidR="00E03B0C" w:rsidRPr="00AF6446">
        <w:rPr>
          <w:rFonts w:eastAsia="Times New Roman" w:cs="Arial"/>
          <w:szCs w:val="22"/>
        </w:rPr>
        <w:t>ted in NTD of this receptor (281</w:t>
      </w:r>
      <w:r w:rsidRPr="00AF6446">
        <w:rPr>
          <w:rFonts w:eastAsia="Times New Roman" w:cs="Arial"/>
          <w:szCs w:val="22"/>
        </w:rPr>
        <w:t>). This phosphorylation of GRa retains the receptor in the cytoplasm through which activated AKT1 develops glucocorticoid resistance in acute leukemic cells, a major determinant for the pro</w:t>
      </w:r>
      <w:r w:rsidR="00E03B0C" w:rsidRPr="00AF6446">
        <w:rPr>
          <w:rFonts w:eastAsia="Times New Roman" w:cs="Arial"/>
          <w:szCs w:val="22"/>
        </w:rPr>
        <w:t>gnosis of leukemic patients (281</w:t>
      </w:r>
      <w:r w:rsidRPr="00AF6446">
        <w:rPr>
          <w:rFonts w:eastAsia="Times New Roman" w:cs="Arial"/>
          <w:szCs w:val="22"/>
        </w:rPr>
        <w:t xml:space="preserve">). AKT1 cooperates with phospho-serine/threonine-binding proteins 14-3-3s for regulating the transcriptional activity of GRa with 2 distinct mechanisms, one through segregation of GRa in the cytoplasm upon phosphorylation of serine 134 by AKT1 and subsequent association of 14-3-3 to GRa, and the other through direct modulation of GRa transcriptional activity in the nucleus (65). For the latter, AKT1 and 14-3-3 are attracted to DNA-bound GRa, accompanied by AKT1-dependent p300 phosphorylation, histone 3 (H3) serine (S) 10 (H3S10) </w:t>
      </w:r>
      <w:r w:rsidRPr="00AF6446">
        <w:rPr>
          <w:rFonts w:eastAsia="Times New Roman" w:cs="Arial"/>
          <w:szCs w:val="22"/>
        </w:rPr>
        <w:lastRenderedPageBreak/>
        <w:t>phosphorylation and H3K14 acetylation at the DNA site in which 14-3-3 acts</w:t>
      </w:r>
      <w:r w:rsidR="00E03B0C" w:rsidRPr="00AF6446">
        <w:rPr>
          <w:rFonts w:eastAsia="Times New Roman" w:cs="Arial"/>
          <w:szCs w:val="22"/>
        </w:rPr>
        <w:t xml:space="preserve"> as a molecular scaffold (65). The a</w:t>
      </w:r>
      <w:r w:rsidRPr="00AF6446">
        <w:rPr>
          <w:rFonts w:eastAsia="Times New Roman" w:cs="Arial"/>
          <w:szCs w:val="22"/>
        </w:rPr>
        <w:t>bove findings suggest that specific inhibition of the AKT1/14-3-3 activity on the cytoplasmic retention of GR but sparing the activity inside the nucleus may be a promising target for the treatment of glucocorticoid resistance observed in acute leukemia. Further</w:t>
      </w:r>
      <w:r w:rsidR="00E03B0C" w:rsidRPr="00AF6446">
        <w:rPr>
          <w:rFonts w:eastAsia="Times New Roman" w:cs="Arial"/>
          <w:szCs w:val="22"/>
        </w:rPr>
        <w:t>more</w:t>
      </w:r>
      <w:r w:rsidRPr="00AF6446">
        <w:rPr>
          <w:rFonts w:eastAsia="Times New Roman" w:cs="Arial"/>
          <w:szCs w:val="22"/>
        </w:rPr>
        <w:t>, they may also provide an explanation to somewhat conflicting findings previously reported for the a</w:t>
      </w:r>
      <w:r w:rsidR="000D1812" w:rsidRPr="00AF6446">
        <w:rPr>
          <w:rFonts w:eastAsia="Times New Roman" w:cs="Arial"/>
          <w:szCs w:val="22"/>
        </w:rPr>
        <w:t>ctions of 14-3-3s on GRa (64,268,281,282</w:t>
      </w:r>
      <w:r w:rsidRPr="00AF6446">
        <w:rPr>
          <w:rFonts w:eastAsia="Times New Roman" w:cs="Arial"/>
          <w:szCs w:val="22"/>
        </w:rPr>
        <w:t>).</w:t>
      </w:r>
    </w:p>
    <w:p w14:paraId="667E5ACD" w14:textId="77777777" w:rsidR="00837168" w:rsidRPr="00AF6446" w:rsidRDefault="00837168" w:rsidP="00AF6446">
      <w:pPr>
        <w:shd w:val="clear" w:color="auto" w:fill="FFFFFF"/>
        <w:rPr>
          <w:rFonts w:eastAsia="Times New Roman" w:cs="Arial"/>
          <w:szCs w:val="22"/>
        </w:rPr>
      </w:pPr>
    </w:p>
    <w:p w14:paraId="59162944" w14:textId="186E6A01"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Ubiquitination</w:t>
      </w:r>
    </w:p>
    <w:p w14:paraId="5EE561AF" w14:textId="77777777" w:rsidR="00837168" w:rsidRPr="00AF6446" w:rsidRDefault="00837168" w:rsidP="00AF6446">
      <w:pPr>
        <w:shd w:val="clear" w:color="auto" w:fill="FFFFFF"/>
        <w:outlineLvl w:val="2"/>
        <w:rPr>
          <w:rFonts w:eastAsia="Times New Roman" w:cs="Arial"/>
          <w:b/>
          <w:bCs/>
          <w:szCs w:val="22"/>
        </w:rPr>
      </w:pPr>
    </w:p>
    <w:p w14:paraId="423A032C" w14:textId="150AD5E9" w:rsidR="00290B68" w:rsidRPr="00AF6446" w:rsidRDefault="00290B68" w:rsidP="00AF6446">
      <w:pPr>
        <w:shd w:val="clear" w:color="auto" w:fill="FFFFFF"/>
        <w:rPr>
          <w:rFonts w:eastAsia="Times New Roman" w:cs="Arial"/>
          <w:szCs w:val="22"/>
        </w:rPr>
      </w:pPr>
      <w:r w:rsidRPr="00AF6446">
        <w:rPr>
          <w:rFonts w:eastAsia="Times New Roman" w:cs="Arial"/>
          <w:szCs w:val="22"/>
        </w:rPr>
        <w:t>The ubiquitin/proteasome pathway plays important roles in transcriptional regulation promoted by numerous trans-acting molecules. NRs, including GRa, ERs, PR, TRs, RARs and PPARs, as well as other transcription factors, such as p53, cJun, cMyc and E2F-1, are ubiquitinated and subsequently de</w:t>
      </w:r>
      <w:r w:rsidR="00DA5D10" w:rsidRPr="00AF6446">
        <w:rPr>
          <w:rFonts w:eastAsia="Times New Roman" w:cs="Arial"/>
          <w:szCs w:val="22"/>
        </w:rPr>
        <w:t>graded by the proteasome (57,283</w:t>
      </w:r>
      <w:r w:rsidRPr="00AF6446">
        <w:rPr>
          <w:rFonts w:eastAsia="Times New Roman" w:cs="Arial"/>
          <w:szCs w:val="22"/>
        </w:rPr>
        <w:t>). The transcriptional intermediate molecules, such as NR coactivators, chromatin remodeling factors, and some chromatin components, such as histone H1 and high mobility group (HMG) proteins, are also ubiquitinated and</w:t>
      </w:r>
      <w:r w:rsidR="00CA74A7" w:rsidRPr="00AF6446">
        <w:rPr>
          <w:rFonts w:eastAsia="Times New Roman" w:cs="Arial"/>
          <w:szCs w:val="22"/>
        </w:rPr>
        <w:t xml:space="preserve"> lysed by the proteasome (57,283,284</w:t>
      </w:r>
      <w:r w:rsidRPr="00AF6446">
        <w:rPr>
          <w:rFonts w:eastAsia="Times New Roman" w:cs="Arial"/>
          <w:szCs w:val="22"/>
        </w:rPr>
        <w:t>). Moreover, the proteasome interacts with the C-terminal tail of the RNA polymerase II and is directly associated with the promoter regions of several genes, influencing their</w:t>
      </w:r>
      <w:r w:rsidR="00CA74A7" w:rsidRPr="00AF6446">
        <w:rPr>
          <w:rFonts w:eastAsia="Times New Roman" w:cs="Arial"/>
          <w:szCs w:val="22"/>
        </w:rPr>
        <w:t xml:space="preserve"> transcriptional activities (285</w:t>
      </w:r>
      <w:r w:rsidRPr="00AF6446">
        <w:rPr>
          <w:rFonts w:eastAsia="Times New Roman" w:cs="Arial"/>
          <w:szCs w:val="22"/>
        </w:rPr>
        <w:t xml:space="preserve">). Thus, ubiquitination and subsequent processing of these molecules by the proteasome appear to regulate the transcriptional activity of GRa, possibly by facilitating rapid turnover of promoter-attracted and -associated GRa, ultimately down-regulating the transcriptional activity of this receptor. Indeed, mouse GRa contains a PEST motif at amino acids 407-426 (399-419 in human GRa) through which the </w:t>
      </w:r>
      <w:r w:rsidR="001752CD" w:rsidRPr="00AF6446">
        <w:rPr>
          <w:rFonts w:eastAsia="Times New Roman" w:cs="Arial"/>
          <w:szCs w:val="22"/>
        </w:rPr>
        <w:t>ubiquitin</w:t>
      </w:r>
      <w:r w:rsidRPr="00AF6446">
        <w:rPr>
          <w:rFonts w:eastAsia="Times New Roman" w:cs="Arial"/>
          <w:szCs w:val="22"/>
        </w:rPr>
        <w:t xml:space="preserve">-conjugating enzyme E2 and the </w:t>
      </w:r>
      <w:r w:rsidR="001752CD" w:rsidRPr="00AF6446">
        <w:rPr>
          <w:rFonts w:eastAsia="Times New Roman" w:cs="Arial"/>
          <w:szCs w:val="22"/>
        </w:rPr>
        <w:t>ubiquitin</w:t>
      </w:r>
      <w:r w:rsidRPr="00AF6446">
        <w:rPr>
          <w:rFonts w:eastAsia="Times New Roman" w:cs="Arial"/>
          <w:szCs w:val="22"/>
        </w:rPr>
        <w:t>-ligase enzyme E3</w:t>
      </w:r>
      <w:r w:rsidR="00CA74A7" w:rsidRPr="00AF6446">
        <w:rPr>
          <w:rFonts w:eastAsia="Times New Roman" w:cs="Arial"/>
          <w:szCs w:val="22"/>
        </w:rPr>
        <w:t xml:space="preserve"> recognize their substrates (286</w:t>
      </w:r>
      <w:r w:rsidRPr="00AF6446">
        <w:rPr>
          <w:rFonts w:eastAsia="Times New Roman" w:cs="Arial"/>
          <w:szCs w:val="22"/>
        </w:rPr>
        <w:t>). The lysine residue of the mouse GRa located at amino acid 426 (419 in human GRa) appears to be ubiquitinated, as inhibition of ubiquitination by compound MG-132 enhances the transcriptional activity of wild type GRa, while the mutant receptor with lysine to alanine replacement at amino acid 426 demonstrates elevated transcriptional activity a</w:t>
      </w:r>
      <w:r w:rsidR="00CA74A7" w:rsidRPr="00AF6446">
        <w:rPr>
          <w:rFonts w:eastAsia="Times New Roman" w:cs="Arial"/>
          <w:szCs w:val="22"/>
        </w:rPr>
        <w:t>nd is insensitive to MG-132 (286</w:t>
      </w:r>
      <w:r w:rsidRPr="00AF6446">
        <w:rPr>
          <w:rFonts w:eastAsia="Times New Roman" w:cs="Arial"/>
          <w:szCs w:val="22"/>
        </w:rPr>
        <w:t>) (</w:t>
      </w:r>
      <w:hyperlink r:id="rId54" w:tgtFrame="object" w:history="1">
        <w:r w:rsidRPr="00F47850">
          <w:rPr>
            <w:rFonts w:eastAsia="Times New Roman" w:cs="Arial"/>
            <w:szCs w:val="22"/>
          </w:rPr>
          <w:t>Figure 14</w:t>
        </w:r>
      </w:hyperlink>
      <w:r w:rsidRPr="00AF6446">
        <w:rPr>
          <w:rFonts w:eastAsia="Times New Roman" w:cs="Arial"/>
          <w:szCs w:val="22"/>
        </w:rPr>
        <w:t>). Ubiquitination of GRa also influences motility of the receptor inside the nucleus, which was evaluated with the fluorescence recovery after photobleaching (FRAP) technique, possibly by changing association of the receptor to the nuclear matri</w:t>
      </w:r>
      <w:r w:rsidR="00CA74A7" w:rsidRPr="00AF6446">
        <w:rPr>
          <w:rFonts w:eastAsia="Times New Roman" w:cs="Arial"/>
          <w:szCs w:val="22"/>
        </w:rPr>
        <w:t>x through ubiquitination (58,287,288</w:t>
      </w:r>
      <w:r w:rsidRPr="00AF6446">
        <w:rPr>
          <w:rFonts w:eastAsia="Times New Roman" w:cs="Arial"/>
          <w:szCs w:val="22"/>
        </w:rPr>
        <w:t>).</w:t>
      </w:r>
    </w:p>
    <w:p w14:paraId="7E94A727" w14:textId="77777777" w:rsidR="00837168" w:rsidRPr="00AF6446" w:rsidRDefault="00837168" w:rsidP="00AF6446">
      <w:pPr>
        <w:shd w:val="clear" w:color="auto" w:fill="FFFFFF"/>
        <w:rPr>
          <w:rFonts w:eastAsia="Times New Roman" w:cs="Arial"/>
          <w:szCs w:val="22"/>
        </w:rPr>
      </w:pPr>
    </w:p>
    <w:p w14:paraId="46989749" w14:textId="27DD6E9E"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SUMOylation</w:t>
      </w:r>
    </w:p>
    <w:p w14:paraId="74E96927" w14:textId="77777777" w:rsidR="00837168" w:rsidRPr="00AF6446" w:rsidRDefault="00837168" w:rsidP="00AF6446">
      <w:pPr>
        <w:shd w:val="clear" w:color="auto" w:fill="FFFFFF"/>
        <w:outlineLvl w:val="2"/>
        <w:rPr>
          <w:rFonts w:eastAsia="Times New Roman" w:cs="Arial"/>
          <w:b/>
          <w:bCs/>
          <w:szCs w:val="22"/>
        </w:rPr>
      </w:pPr>
    </w:p>
    <w:p w14:paraId="66F09F5D" w14:textId="7F786A79" w:rsidR="00290B68" w:rsidRDefault="00290B68" w:rsidP="00AF6446">
      <w:pPr>
        <w:shd w:val="clear" w:color="auto" w:fill="FFFFFF"/>
        <w:rPr>
          <w:rFonts w:eastAsia="Times New Roman" w:cs="Arial"/>
          <w:szCs w:val="22"/>
        </w:rPr>
      </w:pPr>
      <w:r w:rsidRPr="00AF6446">
        <w:rPr>
          <w:rFonts w:eastAsia="Times New Roman" w:cs="Arial"/>
          <w:szCs w:val="22"/>
        </w:rPr>
        <w:t xml:space="preserve">GRa is also SUMOylated. SUMOylation is the reaction conjugating the small ubiquitin-related modifier (SUMO) peptide (~100 amino acid peptide with molecular mass of ~11 kDa) to substrate proteins and conducted by an enzymatic cascade similar to those of ubiquitination </w:t>
      </w:r>
      <w:r w:rsidR="002232ED" w:rsidRPr="00AF6446">
        <w:rPr>
          <w:rFonts w:eastAsia="Times New Roman" w:cs="Arial"/>
          <w:szCs w:val="22"/>
        </w:rPr>
        <w:t>but specific to SUMOylation (289</w:t>
      </w:r>
      <w:r w:rsidRPr="00AF6446">
        <w:rPr>
          <w:rFonts w:eastAsia="Times New Roman" w:cs="Arial"/>
          <w:szCs w:val="22"/>
        </w:rPr>
        <w:t xml:space="preserve">). The human GRa has three SUMOylation sites, </w:t>
      </w:r>
      <w:r w:rsidR="002232ED" w:rsidRPr="00AF6446">
        <w:rPr>
          <w:rFonts w:eastAsia="Times New Roman" w:cs="Arial"/>
          <w:szCs w:val="22"/>
        </w:rPr>
        <w:t>at lysines 277, 293 and 703 (290</w:t>
      </w:r>
      <w:r w:rsidRPr="00AF6446">
        <w:rPr>
          <w:rFonts w:eastAsia="Times New Roman" w:cs="Arial"/>
          <w:szCs w:val="22"/>
        </w:rPr>
        <w:t>) (</w:t>
      </w:r>
      <w:hyperlink r:id="rId55" w:tgtFrame="object" w:history="1">
        <w:r w:rsidRPr="00ED1422">
          <w:rPr>
            <w:rFonts w:eastAsia="Times New Roman" w:cs="Arial"/>
            <w:szCs w:val="22"/>
          </w:rPr>
          <w:t>Figure 14</w:t>
        </w:r>
      </w:hyperlink>
      <w:r w:rsidRPr="00AF6446">
        <w:rPr>
          <w:rFonts w:eastAsia="Times New Roman" w:cs="Arial"/>
          <w:szCs w:val="22"/>
        </w:rPr>
        <w:t>). The first 2 sites are located in the NTD and act as major SUMOylation sites, while the last site is positioned in the LBD. SUMOylation of the former 2 sites (K277 and K293) suppresses GRa-induced transcriptional activity of a promoter containing multiple GREs, possibly by influencing the synergistic eff</w:t>
      </w:r>
      <w:r w:rsidR="009226F5" w:rsidRPr="00AF6446">
        <w:rPr>
          <w:rFonts w:eastAsia="Times New Roman" w:cs="Arial"/>
          <w:szCs w:val="22"/>
        </w:rPr>
        <w:t>ect of multiple GRs bound on this promoter (291-293</w:t>
      </w:r>
      <w:r w:rsidRPr="00AF6446">
        <w:rPr>
          <w:rFonts w:eastAsia="Times New Roman" w:cs="Arial"/>
          <w:szCs w:val="22"/>
        </w:rPr>
        <w:t>). In contrast, SUMOylation of the 3</w:t>
      </w:r>
      <w:r w:rsidRPr="00AF6446">
        <w:rPr>
          <w:rFonts w:eastAsia="Times New Roman" w:cs="Arial"/>
          <w:szCs w:val="22"/>
          <w:vertAlign w:val="superscript"/>
        </w:rPr>
        <w:t>rd</w:t>
      </w:r>
      <w:r w:rsidRPr="00AF6446">
        <w:rPr>
          <w:rFonts w:eastAsia="Times New Roman" w:cs="Arial"/>
          <w:szCs w:val="22"/>
        </w:rPr>
        <w:t xml:space="preserve"> site (K703) enhances GRa-induced </w:t>
      </w:r>
      <w:r w:rsidRPr="00AF6446">
        <w:rPr>
          <w:rFonts w:eastAsia="Times New Roman" w:cs="Arial"/>
          <w:szCs w:val="22"/>
        </w:rPr>
        <w:lastRenderedPageBreak/>
        <w:t>transcriptional activity, which is further enhanced by RSUME (RWD-containing SUMOylation enhancer) by changing attraction of the GRI</w:t>
      </w:r>
      <w:r w:rsidR="009226F5" w:rsidRPr="00AF6446">
        <w:rPr>
          <w:rFonts w:eastAsia="Times New Roman" w:cs="Arial"/>
          <w:szCs w:val="22"/>
        </w:rPr>
        <w:t>P1 coactivator (294</w:t>
      </w:r>
      <w:r w:rsidRPr="00AF6446">
        <w:rPr>
          <w:rFonts w:eastAsia="Times New Roman" w:cs="Arial"/>
          <w:szCs w:val="22"/>
        </w:rPr>
        <w:t>).</w:t>
      </w:r>
    </w:p>
    <w:p w14:paraId="49998E35" w14:textId="77777777" w:rsidR="00ED1422" w:rsidRPr="00AF6446" w:rsidRDefault="00ED1422" w:rsidP="00AF6446">
      <w:pPr>
        <w:shd w:val="clear" w:color="auto" w:fill="FFFFFF"/>
        <w:rPr>
          <w:rFonts w:eastAsia="Times New Roman" w:cs="Arial"/>
          <w:szCs w:val="22"/>
        </w:rPr>
      </w:pPr>
    </w:p>
    <w:p w14:paraId="381E9671" w14:textId="72A3CFED" w:rsidR="00290B68" w:rsidRPr="00AF6446" w:rsidRDefault="00290B68" w:rsidP="00AF6446">
      <w:pPr>
        <w:shd w:val="clear" w:color="auto" w:fill="FFFFFF"/>
        <w:rPr>
          <w:rFonts w:eastAsia="Times New Roman" w:cs="Arial"/>
          <w:szCs w:val="22"/>
        </w:rPr>
      </w:pPr>
      <w:r w:rsidRPr="00AF6446">
        <w:rPr>
          <w:rFonts w:eastAsia="Times New Roman" w:cs="Arial"/>
          <w:szCs w:val="22"/>
        </w:rPr>
        <w:t>The death domain-associated protein (DAXX), a protein mediating the Fas-induced apoptosis through interacting with the death domain of Fas, was postulated to mediate SUMOylation-induced repression of G</w:t>
      </w:r>
      <w:r w:rsidR="00F52D28" w:rsidRPr="00AF6446">
        <w:rPr>
          <w:rFonts w:eastAsia="Times New Roman" w:cs="Arial"/>
          <w:szCs w:val="22"/>
        </w:rPr>
        <w:t>Ra transcriptional activity (295</w:t>
      </w:r>
      <w:r w:rsidRPr="00AF6446">
        <w:rPr>
          <w:rFonts w:eastAsia="Times New Roman" w:cs="Arial"/>
          <w:szCs w:val="22"/>
        </w:rPr>
        <w:t>). Other molecules, such as HDACs and the protein inhibitors of activated STAT (PIAS) family, which interact with SUMOyla</w:t>
      </w:r>
      <w:r w:rsidR="00F52D28" w:rsidRPr="00AF6446">
        <w:rPr>
          <w:rFonts w:eastAsia="Times New Roman" w:cs="Arial"/>
          <w:szCs w:val="22"/>
        </w:rPr>
        <w:t>ted proteins including GRa (296,297</w:t>
      </w:r>
      <w:r w:rsidRPr="00AF6446">
        <w:rPr>
          <w:rFonts w:eastAsia="Times New Roman" w:cs="Arial"/>
          <w:szCs w:val="22"/>
        </w:rPr>
        <w:t>), might also participate in SUMO-mediated repression of GRa transcriptional activity, as the DAXX effect appears to be cell type- and/o</w:t>
      </w:r>
      <w:r w:rsidR="00F52D28" w:rsidRPr="00AF6446">
        <w:rPr>
          <w:rFonts w:eastAsia="Times New Roman" w:cs="Arial"/>
          <w:szCs w:val="22"/>
        </w:rPr>
        <w:t>r cellular context-specific (298</w:t>
      </w:r>
      <w:r w:rsidRPr="00AF6446">
        <w:rPr>
          <w:rFonts w:eastAsia="Times New Roman" w:cs="Arial"/>
          <w:szCs w:val="22"/>
        </w:rPr>
        <w:t>). SUMOylation of GRa is necessary for GRa-induced transrepression through the nGREs (an inverted quadrimeric palindrome separated by 0-2 nucleotide, see Section </w:t>
      </w:r>
      <w:r w:rsidRPr="00AF6446">
        <w:rPr>
          <w:rFonts w:eastAsia="Times New Roman" w:cs="Arial"/>
          <w:b/>
          <w:bCs/>
          <w:szCs w:val="22"/>
        </w:rPr>
        <w:t xml:space="preserve">5. </w:t>
      </w:r>
      <w:r w:rsidRPr="00ED1422">
        <w:rPr>
          <w:rFonts w:eastAsia="Times New Roman" w:cs="Arial"/>
          <w:szCs w:val="22"/>
        </w:rPr>
        <w:t>ACTIONS OF GR, C. Emerging Concept on GRa-mediated Transcriptional Repression</w:t>
      </w:r>
      <w:r w:rsidRPr="00AF6446">
        <w:rPr>
          <w:rFonts w:eastAsia="Times New Roman" w:cs="Arial"/>
          <w:szCs w:val="22"/>
        </w:rPr>
        <w:t>) by facilitating the formation of a complex consisting of SUMOylate</w:t>
      </w:r>
      <w:r w:rsidR="00F52D28" w:rsidRPr="00AF6446">
        <w:rPr>
          <w:rFonts w:eastAsia="Times New Roman" w:cs="Arial"/>
          <w:szCs w:val="22"/>
        </w:rPr>
        <w:t>d GRa, SMRT/NCoR1 and HDAC3 (299</w:t>
      </w:r>
      <w:r w:rsidRPr="00AF6446">
        <w:rPr>
          <w:rFonts w:eastAsia="Times New Roman" w:cs="Arial"/>
          <w:szCs w:val="22"/>
        </w:rPr>
        <w:t>). It is known that phosphorylation of rat GR at amino acid position 246 (226 in the human GRa) by JNK facilitates SUMOylation of the receptor and regulates GRa-induced transcriptional activity in a t</w:t>
      </w:r>
      <w:r w:rsidR="00F52D28" w:rsidRPr="00AF6446">
        <w:rPr>
          <w:rFonts w:eastAsia="Times New Roman" w:cs="Arial"/>
          <w:szCs w:val="22"/>
        </w:rPr>
        <w:t>arget gene-specific fashion (291</w:t>
      </w:r>
      <w:r w:rsidRPr="00AF6446">
        <w:rPr>
          <w:rFonts w:eastAsia="Times New Roman" w:cs="Arial"/>
          <w:szCs w:val="22"/>
        </w:rPr>
        <w:t>).</w:t>
      </w:r>
    </w:p>
    <w:p w14:paraId="326A1039" w14:textId="77777777" w:rsidR="00837168" w:rsidRPr="00AF6446" w:rsidRDefault="00837168" w:rsidP="00AF6446">
      <w:pPr>
        <w:shd w:val="clear" w:color="auto" w:fill="FFFFFF"/>
        <w:rPr>
          <w:rFonts w:eastAsia="Times New Roman" w:cs="Arial"/>
          <w:szCs w:val="22"/>
        </w:rPr>
      </w:pPr>
    </w:p>
    <w:p w14:paraId="087E36DC" w14:textId="29FD1F31"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11b-Hydroxysteroid Dehydrogenases (11b-HSDs)</w:t>
      </w:r>
    </w:p>
    <w:p w14:paraId="6EA27563" w14:textId="77777777" w:rsidR="00837168" w:rsidRPr="00AF6446" w:rsidRDefault="00837168" w:rsidP="00AF6446">
      <w:pPr>
        <w:shd w:val="clear" w:color="auto" w:fill="FFFFFF"/>
        <w:outlineLvl w:val="2"/>
        <w:rPr>
          <w:rFonts w:eastAsia="Times New Roman" w:cs="Arial"/>
          <w:b/>
          <w:bCs/>
          <w:szCs w:val="22"/>
        </w:rPr>
      </w:pPr>
    </w:p>
    <w:p w14:paraId="6D0B462C" w14:textId="508DA48E" w:rsidR="00290B68" w:rsidRPr="00AF6446" w:rsidRDefault="00290B68" w:rsidP="00AF6446">
      <w:pPr>
        <w:shd w:val="clear" w:color="auto" w:fill="FFFFFF"/>
        <w:rPr>
          <w:rFonts w:eastAsia="Times New Roman" w:cs="Arial"/>
          <w:szCs w:val="22"/>
        </w:rPr>
      </w:pPr>
      <w:r w:rsidRPr="00AF6446">
        <w:rPr>
          <w:rFonts w:eastAsia="Times New Roman" w:cs="Arial"/>
          <w:szCs w:val="22"/>
        </w:rPr>
        <w:t>There are 2 types of 11b-hydroxysteroid dehydrogenases (11b-HSDs), type 1 and 2 (11b-HSD1 and 2). 11b-HSD1 catalyzes the conversion of the inactive cortisone to active cortisol, thus increases intracellular cortisol levels potentially contributing to tissue hypersensitivity to glucocorticoids. 11b-HSD1 is widely expressed, particularly in the liver, but also in the lung, adipose tissue, b</w:t>
      </w:r>
      <w:r w:rsidR="006A24F3" w:rsidRPr="00AF6446">
        <w:rPr>
          <w:rFonts w:eastAsia="Times New Roman" w:cs="Arial"/>
          <w:szCs w:val="22"/>
        </w:rPr>
        <w:t>lood vessels, ovary and CNS (300</w:t>
      </w:r>
      <w:r w:rsidRPr="00AF6446">
        <w:rPr>
          <w:rFonts w:eastAsia="Times New Roman" w:cs="Arial"/>
          <w:szCs w:val="22"/>
        </w:rPr>
        <w:t xml:space="preserve">). The transgenic mice over-expressing 11b-HSD1 in adipose tissues develop insulin-resistant diabetes mellitus, significant accumulation of visceral fat and hyperlipidemia, and increased systemic blood pressure, indicating that this enzyme may play a role in the development of visceral obesity-related metabolic syndrome by increasing availability of local </w:t>
      </w:r>
      <w:r w:rsidR="006A24F3" w:rsidRPr="00AF6446">
        <w:rPr>
          <w:rFonts w:eastAsia="Times New Roman" w:cs="Arial"/>
          <w:szCs w:val="22"/>
        </w:rPr>
        <w:t>cortisol in adipose tissues (301,302</w:t>
      </w:r>
      <w:r w:rsidRPr="00AF6446">
        <w:rPr>
          <w:rFonts w:eastAsia="Times New Roman" w:cs="Arial"/>
          <w:szCs w:val="22"/>
        </w:rPr>
        <w:t>). 11b-HSD2, on the other hand, catalyzes the conversion of active cortisol into inactive cortisone, and is expressed in the classic mineralocorticoid-responsive tissues, such as kid</w:t>
      </w:r>
      <w:r w:rsidR="006A24F3" w:rsidRPr="00AF6446">
        <w:rPr>
          <w:rFonts w:eastAsia="Times New Roman" w:cs="Arial"/>
          <w:szCs w:val="22"/>
        </w:rPr>
        <w:t>ney, colon and sweat glands (300</w:t>
      </w:r>
      <w:r w:rsidRPr="00AF6446">
        <w:rPr>
          <w:rFonts w:eastAsia="Times New Roman" w:cs="Arial"/>
          <w:szCs w:val="22"/>
        </w:rPr>
        <w:t>). This enzyme enables these tissues to respond to the circulating mineralocorticoid aldosterone, protecting MR from binding to the excess amou</w:t>
      </w:r>
      <w:r w:rsidR="006A24F3" w:rsidRPr="00AF6446">
        <w:rPr>
          <w:rFonts w:eastAsia="Times New Roman" w:cs="Arial"/>
          <w:szCs w:val="22"/>
        </w:rPr>
        <w:t>nts of circulating cortisol (300</w:t>
      </w:r>
      <w:r w:rsidRPr="00AF6446">
        <w:rPr>
          <w:rFonts w:eastAsia="Times New Roman" w:cs="Arial"/>
          <w:szCs w:val="22"/>
        </w:rPr>
        <w:t>).</w:t>
      </w:r>
    </w:p>
    <w:p w14:paraId="2C9B588C" w14:textId="77777777" w:rsidR="00837168" w:rsidRPr="00AF6446" w:rsidRDefault="00837168" w:rsidP="00AF6446">
      <w:pPr>
        <w:shd w:val="clear" w:color="auto" w:fill="FFFFFF"/>
        <w:rPr>
          <w:rFonts w:eastAsia="Times New Roman" w:cs="Arial"/>
          <w:szCs w:val="22"/>
        </w:rPr>
      </w:pPr>
    </w:p>
    <w:p w14:paraId="64900549" w14:textId="5EA0C4D4"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Chaperones and Co-chaperones</w:t>
      </w:r>
    </w:p>
    <w:p w14:paraId="58ABEE47" w14:textId="77777777" w:rsidR="00837168" w:rsidRPr="00AF6446" w:rsidRDefault="00837168" w:rsidP="00AF6446">
      <w:pPr>
        <w:shd w:val="clear" w:color="auto" w:fill="FFFFFF"/>
        <w:outlineLvl w:val="2"/>
        <w:rPr>
          <w:rFonts w:eastAsia="Times New Roman" w:cs="Arial"/>
          <w:b/>
          <w:bCs/>
          <w:szCs w:val="22"/>
        </w:rPr>
      </w:pPr>
    </w:p>
    <w:p w14:paraId="0427B2BD" w14:textId="5339406F" w:rsidR="00290B68" w:rsidRPr="00AF6446" w:rsidRDefault="00290B68" w:rsidP="00AF6446">
      <w:pPr>
        <w:shd w:val="clear" w:color="auto" w:fill="FFFFFF"/>
        <w:rPr>
          <w:rFonts w:eastAsia="Times New Roman" w:cs="Arial"/>
          <w:szCs w:val="22"/>
        </w:rPr>
      </w:pPr>
      <w:r w:rsidRPr="00AF6446">
        <w:rPr>
          <w:rFonts w:eastAsia="Times New Roman" w:cs="Arial"/>
          <w:szCs w:val="22"/>
        </w:rPr>
        <w:t>GRa forms a heterocomplex with several heat shock proteins (hsps), including hsp90, hsp70, hsp40 and hsp23 (69). These proteins bind many proteins and help their correct assembly and folding, therefore they are called as chaperones. In addition to hsps, th</w:t>
      </w:r>
      <w:r w:rsidR="00032E7D" w:rsidRPr="00AF6446">
        <w:rPr>
          <w:rFonts w:eastAsia="Times New Roman" w:cs="Arial"/>
          <w:szCs w:val="22"/>
        </w:rPr>
        <w:t>ere is</w:t>
      </w:r>
      <w:r w:rsidRPr="00AF6446">
        <w:rPr>
          <w:rFonts w:eastAsia="Times New Roman" w:cs="Arial"/>
          <w:szCs w:val="22"/>
        </w:rPr>
        <w:t xml:space="preserve"> an additional protein group called co-chaperones, such as Hop (hsp70-hsp90 organizing protein), SGTA (small glutamine-rich tetratricopeptide repeat-containing protein a), FKBP51 (FK506-binding protein 51) and FKBP52, which support folding function of hsps by forming a protein complex with the latter molecules (69). Hsps modulate the transcriptional activity of GRa by influencing maintenance, activation and intracellular c</w:t>
      </w:r>
      <w:r w:rsidR="00032E7D" w:rsidRPr="00AF6446">
        <w:rPr>
          <w:rFonts w:eastAsia="Times New Roman" w:cs="Arial"/>
          <w:szCs w:val="22"/>
        </w:rPr>
        <w:t>irculation of this receptor (303</w:t>
      </w:r>
      <w:r w:rsidRPr="00AF6446">
        <w:rPr>
          <w:rFonts w:eastAsia="Times New Roman" w:cs="Arial"/>
          <w:szCs w:val="22"/>
        </w:rPr>
        <w:t xml:space="preserve">). Specifically, hsp90, hsp70 and hsp40 organize proper folding of the GRa protein, and are required for the </w:t>
      </w:r>
      <w:r w:rsidRPr="00AF6446">
        <w:rPr>
          <w:rFonts w:eastAsia="Times New Roman" w:cs="Arial"/>
          <w:szCs w:val="22"/>
        </w:rPr>
        <w:lastRenderedPageBreak/>
        <w:t xml:space="preserve">maintenance of its high affinity state against ligand where interaction of hsp90 to Hop as well as that between </w:t>
      </w:r>
      <w:r w:rsidR="00032E7D" w:rsidRPr="00AF6446">
        <w:rPr>
          <w:rFonts w:eastAsia="Times New Roman" w:cs="Arial"/>
          <w:szCs w:val="22"/>
        </w:rPr>
        <w:t>hsp70 and SGTA are required (304,305</w:t>
      </w:r>
      <w:r w:rsidRPr="00AF6446">
        <w:rPr>
          <w:rFonts w:eastAsia="Times New Roman" w:cs="Arial"/>
          <w:szCs w:val="22"/>
        </w:rPr>
        <w:t>). Upon binding of the GRa to glucocorticoids, hsp90 helps the receptor to translocate close to the nuclear pore in the side of the cytoplasm by facilitating GRa’s association to microtubules through FKBP52. After GRa goes through the nuclear pore complex and enters into the nucleus, hsp90 regulates GRa-induced transactivation negatively, possibly by reducing the ass</w:t>
      </w:r>
      <w:r w:rsidR="00C51F0F" w:rsidRPr="00AF6446">
        <w:rPr>
          <w:rFonts w:eastAsia="Times New Roman" w:cs="Arial"/>
          <w:szCs w:val="22"/>
        </w:rPr>
        <w:t>ociation of GRa to DNA GREs (306</w:t>
      </w:r>
      <w:r w:rsidRPr="00AF6446">
        <w:rPr>
          <w:rFonts w:eastAsia="Times New Roman" w:cs="Arial"/>
          <w:szCs w:val="22"/>
        </w:rPr>
        <w:t>). However, there are conflicting reports indicating that hsp90 stabilizes the association of ligand-bound GRa to DNA and helps GRa stimulating the transcriptional activity of gluc</w:t>
      </w:r>
      <w:r w:rsidR="00C51F0F" w:rsidRPr="00AF6446">
        <w:rPr>
          <w:rFonts w:eastAsia="Times New Roman" w:cs="Arial"/>
          <w:szCs w:val="22"/>
        </w:rPr>
        <w:t>ocorticoid-responsive genes (307</w:t>
      </w:r>
      <w:r w:rsidRPr="00AF6446">
        <w:rPr>
          <w:rFonts w:eastAsia="Times New Roman" w:cs="Arial"/>
          <w:szCs w:val="22"/>
        </w:rPr>
        <w:t>). These chaperones also protect GRa from the degradation mediated by the ubiquitin-proteos</w:t>
      </w:r>
      <w:r w:rsidR="00C51F0F" w:rsidRPr="00AF6446">
        <w:rPr>
          <w:rFonts w:eastAsia="Times New Roman" w:cs="Arial"/>
          <w:szCs w:val="22"/>
        </w:rPr>
        <w:t>omal pathway in the nucleus (308</w:t>
      </w:r>
      <w:r w:rsidRPr="00AF6446">
        <w:rPr>
          <w:rFonts w:eastAsia="Times New Roman" w:cs="Arial"/>
          <w:szCs w:val="22"/>
        </w:rPr>
        <w:t>). Receptor-associating protein 46 (RAP46), another co-chaperone associated with several hsps, synergizes with hsp70 to regulate GRa</w:t>
      </w:r>
      <w:r w:rsidR="00C51F0F" w:rsidRPr="00AF6446">
        <w:rPr>
          <w:rFonts w:eastAsia="Times New Roman" w:cs="Arial"/>
          <w:szCs w:val="22"/>
        </w:rPr>
        <w:t xml:space="preserve"> transactivation negatively (309</w:t>
      </w:r>
      <w:r w:rsidRPr="00AF6446">
        <w:rPr>
          <w:rFonts w:eastAsia="Times New Roman" w:cs="Arial"/>
          <w:szCs w:val="22"/>
        </w:rPr>
        <w:t>). Impact of co-chaperones on </w:t>
      </w:r>
      <w:r w:rsidRPr="00AF6446">
        <w:rPr>
          <w:rFonts w:eastAsia="Times New Roman" w:cs="Arial"/>
          <w:i/>
          <w:iCs/>
          <w:szCs w:val="22"/>
        </w:rPr>
        <w:t>in vivo</w:t>
      </w:r>
      <w:r w:rsidRPr="00AF6446">
        <w:rPr>
          <w:rFonts w:eastAsia="Times New Roman" w:cs="Arial"/>
          <w:szCs w:val="22"/>
        </w:rPr>
        <w:t> actions of GRa was evaluated in humans and mice. FKBP51 is a co-chaperon known as a negative regulator of GRa activity by reducing the latter’s affinity to glucocorticoids, and nucleotide variations in its encoding gene </w:t>
      </w:r>
      <w:r w:rsidRPr="00AF6446">
        <w:rPr>
          <w:rFonts w:eastAsia="Times New Roman" w:cs="Arial"/>
          <w:i/>
          <w:iCs/>
          <w:szCs w:val="22"/>
        </w:rPr>
        <w:t>FKBP5</w:t>
      </w:r>
      <w:r w:rsidRPr="00AF6446">
        <w:rPr>
          <w:rFonts w:eastAsia="Times New Roman" w:cs="Arial"/>
          <w:szCs w:val="22"/>
        </w:rPr>
        <w:t> are associated with development of mood disorders and anxiety in humans possibly by skewi</w:t>
      </w:r>
      <w:r w:rsidR="00C51F0F" w:rsidRPr="00AF6446">
        <w:rPr>
          <w:rFonts w:eastAsia="Times New Roman" w:cs="Arial"/>
          <w:szCs w:val="22"/>
        </w:rPr>
        <w:t>ng the GRa-signaling system (310,311</w:t>
      </w:r>
      <w:r w:rsidRPr="00AF6446">
        <w:rPr>
          <w:rFonts w:eastAsia="Times New Roman" w:cs="Arial"/>
          <w:szCs w:val="22"/>
        </w:rPr>
        <w:t>). FKBP51 knockout mice demonstrate reduced basal activity of the HPA axis, a blunted response to acute stress and an enhanced r</w:t>
      </w:r>
      <w:r w:rsidR="00C51F0F" w:rsidRPr="00AF6446">
        <w:rPr>
          <w:rFonts w:eastAsia="Times New Roman" w:cs="Arial"/>
          <w:szCs w:val="22"/>
        </w:rPr>
        <w:t>ecovery from this challenge (312</w:t>
      </w:r>
      <w:r w:rsidRPr="00AF6446">
        <w:rPr>
          <w:rFonts w:eastAsia="Times New Roman" w:cs="Arial"/>
          <w:szCs w:val="22"/>
        </w:rPr>
        <w:t>).</w:t>
      </w:r>
    </w:p>
    <w:p w14:paraId="10792DCF" w14:textId="77777777" w:rsidR="00837168" w:rsidRPr="00AF6446" w:rsidRDefault="00837168" w:rsidP="00AF6446">
      <w:pPr>
        <w:shd w:val="clear" w:color="auto" w:fill="FFFFFF"/>
        <w:rPr>
          <w:rFonts w:eastAsia="Times New Roman" w:cs="Arial"/>
          <w:szCs w:val="22"/>
        </w:rPr>
      </w:pPr>
    </w:p>
    <w:p w14:paraId="0200C1C0" w14:textId="13DF1C18"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Chemical Compounds</w:t>
      </w:r>
    </w:p>
    <w:p w14:paraId="7145798A" w14:textId="77777777" w:rsidR="00837168" w:rsidRPr="00AF6446" w:rsidRDefault="00837168" w:rsidP="00AF6446">
      <w:pPr>
        <w:shd w:val="clear" w:color="auto" w:fill="FFFFFF"/>
        <w:outlineLvl w:val="2"/>
        <w:rPr>
          <w:rFonts w:eastAsia="Times New Roman" w:cs="Arial"/>
          <w:b/>
          <w:bCs/>
          <w:szCs w:val="22"/>
        </w:rPr>
      </w:pPr>
    </w:p>
    <w:p w14:paraId="721581FE" w14:textId="7E6BBEB4" w:rsidR="00290B68" w:rsidRPr="00AF6446" w:rsidRDefault="00290B68" w:rsidP="00AF6446">
      <w:pPr>
        <w:shd w:val="clear" w:color="auto" w:fill="FFFFFF"/>
        <w:rPr>
          <w:rFonts w:eastAsia="Times New Roman" w:cs="Arial"/>
          <w:szCs w:val="22"/>
        </w:rPr>
      </w:pPr>
      <w:r w:rsidRPr="00AF6446">
        <w:rPr>
          <w:rFonts w:eastAsia="Times New Roman" w:cs="Arial"/>
          <w:szCs w:val="22"/>
        </w:rPr>
        <w:t>There are several chemical compounds that modulate GRa activity. 2,3,7,8-Tetrachlorodibenzo-p-dioxin (TCDD), a wide-spread environmental contaminant that produces adverse biologic effects, such as carcinogenesis, reproductive toxicity, immune dysfunction, hepatotoxicity and teratogenesis, suppresses GRa-induced transactivation possibly by reducing the ligand-bind</w:t>
      </w:r>
      <w:r w:rsidR="006E7FA3" w:rsidRPr="00AF6446">
        <w:rPr>
          <w:rFonts w:eastAsia="Times New Roman" w:cs="Arial"/>
          <w:szCs w:val="22"/>
        </w:rPr>
        <w:t>ing affinity of GRa (313-315</w:t>
      </w:r>
      <w:r w:rsidRPr="00AF6446">
        <w:rPr>
          <w:rFonts w:eastAsia="Times New Roman" w:cs="Arial"/>
          <w:szCs w:val="22"/>
        </w:rPr>
        <w:t>). Geldanamycin, a benzoquinone ansamycin, which specifically binds hsp90 and disrupts its function, suppresses GRa-induced transactivation by inhibiting the translocat</w:t>
      </w:r>
      <w:r w:rsidR="006E7FA3" w:rsidRPr="00AF6446">
        <w:rPr>
          <w:rFonts w:eastAsia="Times New Roman" w:cs="Arial"/>
          <w:szCs w:val="22"/>
        </w:rPr>
        <w:t>ion of GRa into the nucleus (308,316</w:t>
      </w:r>
      <w:r w:rsidRPr="00AF6446">
        <w:rPr>
          <w:rFonts w:eastAsia="Times New Roman" w:cs="Arial"/>
          <w:szCs w:val="22"/>
        </w:rPr>
        <w:t>). GRa is also regulated by the cellular redox state. Thioredoxin, a compound accumulated during oxidative stress, enhances GRa transactivation, most likely due to func</w:t>
      </w:r>
      <w:r w:rsidR="006E7FA3" w:rsidRPr="00AF6446">
        <w:rPr>
          <w:rFonts w:eastAsia="Times New Roman" w:cs="Arial"/>
          <w:szCs w:val="22"/>
        </w:rPr>
        <w:t>tional replenishment of GRa (317</w:t>
      </w:r>
      <w:r w:rsidRPr="00AF6446">
        <w:rPr>
          <w:rFonts w:eastAsia="Times New Roman" w:cs="Arial"/>
          <w:szCs w:val="22"/>
        </w:rPr>
        <w:t xml:space="preserve">). Ursodeoxycholic acid (UDCA), one of the hydrophilic bile acids, which acts as a bile </w:t>
      </w:r>
      <w:r w:rsidR="001752CD" w:rsidRPr="00AF6446">
        <w:rPr>
          <w:rFonts w:eastAsia="Times New Roman" w:cs="Arial"/>
          <w:szCs w:val="22"/>
        </w:rPr>
        <w:t>secretago</w:t>
      </w:r>
      <w:r w:rsidR="001752CD">
        <w:rPr>
          <w:rFonts w:eastAsia="Times New Roman" w:cs="Arial"/>
          <w:szCs w:val="22"/>
        </w:rPr>
        <w:t>g</w:t>
      </w:r>
      <w:r w:rsidR="001752CD" w:rsidRPr="00AF6446">
        <w:rPr>
          <w:rFonts w:eastAsia="Times New Roman" w:cs="Arial"/>
          <w:szCs w:val="22"/>
        </w:rPr>
        <w:t>u</w:t>
      </w:r>
      <w:r w:rsidR="001752CD">
        <w:rPr>
          <w:rFonts w:eastAsia="Times New Roman" w:cs="Arial"/>
          <w:szCs w:val="22"/>
        </w:rPr>
        <w:t>e</w:t>
      </w:r>
      <w:r w:rsidRPr="00AF6446">
        <w:rPr>
          <w:rFonts w:eastAsia="Times New Roman" w:cs="Arial"/>
          <w:szCs w:val="22"/>
        </w:rPr>
        <w:t>, cytoprotective agent and immunomodulator, and is used for the treatment of various liver diseases including primary biliary cirrhosis, induces translocation of GRa into the nucleus and causes GRa-mediated inhibition of NF-kB transactiva</w:t>
      </w:r>
      <w:r w:rsidR="006E7FA3" w:rsidRPr="00AF6446">
        <w:rPr>
          <w:rFonts w:eastAsia="Times New Roman" w:cs="Arial"/>
          <w:szCs w:val="22"/>
        </w:rPr>
        <w:t>tion (318</w:t>
      </w:r>
      <w:r w:rsidRPr="00AF6446">
        <w:rPr>
          <w:rFonts w:eastAsia="Times New Roman" w:cs="Arial"/>
          <w:szCs w:val="22"/>
        </w:rPr>
        <w:t>). Mizoribine (4-carbamyl-1-b-D-ribofurano-sylimidazolium-5-olate), an imidazole nucleotide with immunosuppressive activity binds to 14-3-3 and enhances 14-3-3/GRa interaction, which may further potentiate 14-3-3’s effect on GRa transactivation (3</w:t>
      </w:r>
      <w:r w:rsidR="006E7FA3" w:rsidRPr="00AF6446">
        <w:rPr>
          <w:rFonts w:eastAsia="Times New Roman" w:cs="Arial"/>
          <w:szCs w:val="22"/>
        </w:rPr>
        <w:t>19</w:t>
      </w:r>
      <w:r w:rsidRPr="00AF6446">
        <w:rPr>
          <w:rFonts w:eastAsia="Times New Roman" w:cs="Arial"/>
          <w:szCs w:val="22"/>
        </w:rPr>
        <w:t>). For more details of the GRa/14-3-3 interaction, please see Section </w:t>
      </w:r>
      <w:r w:rsidRPr="00ED1422">
        <w:rPr>
          <w:rFonts w:eastAsia="Times New Roman" w:cs="Arial"/>
          <w:szCs w:val="22"/>
        </w:rPr>
        <w:t>FACTORS THAT MODULATE GR ACTIONS, Epigenetic Modulation of GRa, b Phosphorylation</w:t>
      </w:r>
      <w:r w:rsidRPr="00AF6446">
        <w:rPr>
          <w:rFonts w:eastAsia="Times New Roman" w:cs="Arial"/>
          <w:szCs w:val="22"/>
        </w:rPr>
        <w:t>.</w:t>
      </w:r>
    </w:p>
    <w:p w14:paraId="775E4829"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3A23676D" w14:textId="77777777" w:rsidR="00837168" w:rsidRPr="00810420" w:rsidRDefault="00290B68" w:rsidP="00AF6446">
      <w:pPr>
        <w:pBdr>
          <w:bottom w:val="single" w:sz="6" w:space="0" w:color="97B0C8"/>
        </w:pBdr>
        <w:shd w:val="clear" w:color="auto" w:fill="FFFFFF"/>
        <w:outlineLvl w:val="1"/>
        <w:rPr>
          <w:rFonts w:eastAsia="Times New Roman" w:cs="Arial"/>
          <w:b/>
          <w:bCs/>
          <w:color w:val="0070C0"/>
          <w:szCs w:val="22"/>
        </w:rPr>
      </w:pPr>
      <w:r w:rsidRPr="00810420">
        <w:rPr>
          <w:rFonts w:eastAsia="Times New Roman" w:cs="Arial"/>
          <w:b/>
          <w:bCs/>
          <w:color w:val="0070C0"/>
          <w:szCs w:val="22"/>
        </w:rPr>
        <w:t>NON-CODING RNAS</w:t>
      </w:r>
    </w:p>
    <w:p w14:paraId="6BB3AA6B"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4D5E5C6E" w14:textId="0E68D59A" w:rsidR="00837168"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 xml:space="preserve">Human genome expresses numerous non-protein-coding RNAs in addition to protein-coding mRNAs. Indeed, over half of the genome sequence expresses RNAs in both directions either as </w:t>
      </w:r>
      <w:r w:rsidRPr="00AF6446">
        <w:rPr>
          <w:rFonts w:eastAsia="Times New Roman" w:cs="Arial"/>
          <w:szCs w:val="22"/>
        </w:rPr>
        <w:lastRenderedPageBreak/>
        <w:t>sing</w:t>
      </w:r>
      <w:r w:rsidR="00076DC3" w:rsidRPr="00AF6446">
        <w:rPr>
          <w:rFonts w:eastAsia="Times New Roman" w:cs="Arial"/>
          <w:szCs w:val="22"/>
        </w:rPr>
        <w:t>le- or double-stranded RNAs (320,321</w:t>
      </w:r>
      <w:r w:rsidRPr="00AF6446">
        <w:rPr>
          <w:rFonts w:eastAsia="Times New Roman" w:cs="Arial"/>
          <w:szCs w:val="22"/>
        </w:rPr>
        <w:t>). Classic examples of the former RNAs are ribosomal RNAs and transfer RNAs, while several distinct new members ha</w:t>
      </w:r>
      <w:r w:rsidR="00076DC3" w:rsidRPr="00AF6446">
        <w:rPr>
          <w:rFonts w:eastAsia="Times New Roman" w:cs="Arial"/>
          <w:szCs w:val="22"/>
        </w:rPr>
        <w:t>ve been identified recently (322</w:t>
      </w:r>
      <w:r w:rsidRPr="00AF6446">
        <w:rPr>
          <w:rFonts w:eastAsia="Times New Roman" w:cs="Arial"/>
          <w:szCs w:val="22"/>
        </w:rPr>
        <w:t xml:space="preserve">). Depending on their size, non-coding (nc) RNAs are empirically categorized as </w:t>
      </w:r>
      <w:r w:rsidR="00076DC3" w:rsidRPr="00AF6446">
        <w:rPr>
          <w:rFonts w:eastAsia="Times New Roman" w:cs="Arial"/>
          <w:szCs w:val="22"/>
        </w:rPr>
        <w:t>short (~</w:t>
      </w:r>
      <w:r w:rsidRPr="00AF6446">
        <w:rPr>
          <w:rFonts w:eastAsia="Times New Roman" w:cs="Arial"/>
          <w:szCs w:val="22"/>
        </w:rPr>
        <w:t>200 bs) or long (&gt;200 bs) ncRNAs. The former family includes micro (mi) RNAs, small interfering (si) RNAs, small nucleolar (sno) RNAs, piwi (pi) RNAs and transcription start site (TSS)-associated RNAs, while the latter consists of long intergenic (linc) RNAs, enhancer-associated (e) RNAs, exon-encoding long ncRNAs, circular (c) RNAs, promoter-associated RNAs and others. ncRNAs are also produced from protein-encoding mRNAs through nuclease dig</w:t>
      </w:r>
      <w:r w:rsidR="00076DC3" w:rsidRPr="00AF6446">
        <w:rPr>
          <w:rFonts w:eastAsia="Times New Roman" w:cs="Arial"/>
          <w:szCs w:val="22"/>
        </w:rPr>
        <w:t>estion, such as 3’ UTR RNAs (323</w:t>
      </w:r>
      <w:r w:rsidRPr="00AF6446">
        <w:rPr>
          <w:rFonts w:eastAsia="Times New Roman" w:cs="Arial"/>
          <w:szCs w:val="22"/>
        </w:rPr>
        <w:t>). Recently, some of these distinct classes of ncRNAs have been revealed to regulate mRNA/protein degradation and transcriptional activity of GRa and other NRs. In this subsection, new findings on miRNAs and long ncRNAs will be discussed.</w:t>
      </w:r>
    </w:p>
    <w:p w14:paraId="5F3C8712" w14:textId="77777777" w:rsidR="00837168" w:rsidRPr="00AF6446" w:rsidRDefault="00837168" w:rsidP="00AF6446">
      <w:pPr>
        <w:pBdr>
          <w:bottom w:val="single" w:sz="6" w:space="0" w:color="97B0C8"/>
        </w:pBdr>
        <w:shd w:val="clear" w:color="auto" w:fill="FFFFFF"/>
        <w:outlineLvl w:val="1"/>
        <w:rPr>
          <w:rFonts w:eastAsia="Times New Roman" w:cs="Arial"/>
          <w:szCs w:val="22"/>
        </w:rPr>
      </w:pPr>
    </w:p>
    <w:p w14:paraId="48A8A592" w14:textId="77777777" w:rsidR="00837168" w:rsidRPr="00810420" w:rsidRDefault="00290B68" w:rsidP="00AF6446">
      <w:pPr>
        <w:pBdr>
          <w:bottom w:val="single" w:sz="6" w:space="0" w:color="97B0C8"/>
        </w:pBdr>
        <w:shd w:val="clear" w:color="auto" w:fill="FFFFFF"/>
        <w:outlineLvl w:val="1"/>
        <w:rPr>
          <w:rFonts w:eastAsia="Times New Roman" w:cs="Arial"/>
          <w:b/>
          <w:bCs/>
          <w:color w:val="00B050"/>
          <w:szCs w:val="22"/>
        </w:rPr>
      </w:pPr>
      <w:r w:rsidRPr="00810420">
        <w:rPr>
          <w:rFonts w:eastAsia="Times New Roman" w:cs="Arial"/>
          <w:b/>
          <w:bCs/>
          <w:color w:val="00B050"/>
          <w:szCs w:val="22"/>
        </w:rPr>
        <w:t>Micro (mi) RNAs</w:t>
      </w:r>
    </w:p>
    <w:p w14:paraId="4A268B71"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35889B0C" w14:textId="0CC336C0" w:rsidR="00837168"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miRNAs are single-stranded, ~22 b-long RNAs transcribed mainly by the RNA polymerase II either from their own genes or from the intronic sequence of the prot</w:t>
      </w:r>
      <w:r w:rsidR="007C0066" w:rsidRPr="00AF6446">
        <w:rPr>
          <w:rFonts w:eastAsia="Times New Roman" w:cs="Arial"/>
          <w:szCs w:val="22"/>
        </w:rPr>
        <w:t>ein-coding/non-coding genes (324</w:t>
      </w:r>
      <w:r w:rsidRPr="00AF6446">
        <w:rPr>
          <w:rFonts w:eastAsia="Times New Roman" w:cs="Arial"/>
          <w:szCs w:val="22"/>
        </w:rPr>
        <w:t>). Transcribed precursor miRNAs are processed by multiple reactions including digestion by the RNase III enzyme Dicer, and are liberated as mature forms into the cytoplasm. miRNAs are incorporated as binding modules for target mRNAs into the RNA-induced silencing complex (RISC), a multi-protein machinery containing Dicer, Argonaut (AGO), human immunodeficiency virus (HIV)-transactivating response RNA (TAR)-binding protein (TRBP) and the protein activator of the interferon-induced protein kinase (PACT). Binding of the RICS complex mainly to 3’UTR of the target mRNAs through the complemental 6-8 nucleotides of miRNAs leads to degradation of associated mRNAs or to inhibition of their translation to proteins. In addition to functioning inside the produced cells, miRNAs are secreted into extracellular space/circulation as components of the exosome, and act as “hormones” by influencing the functions of distant</w:t>
      </w:r>
      <w:r w:rsidR="007C0066" w:rsidRPr="00AF6446">
        <w:rPr>
          <w:rFonts w:eastAsia="Times New Roman" w:cs="Arial"/>
          <w:szCs w:val="22"/>
        </w:rPr>
        <w:t xml:space="preserve"> organs and tissues (325</w:t>
      </w:r>
      <w:r w:rsidRPr="00AF6446">
        <w:rPr>
          <w:rFonts w:eastAsia="Times New Roman" w:cs="Arial"/>
          <w:szCs w:val="22"/>
        </w:rPr>
        <w:t>). This unique action of miRNA was confirmed </w:t>
      </w:r>
      <w:r w:rsidRPr="00AF6446">
        <w:rPr>
          <w:rFonts w:eastAsia="Times New Roman" w:cs="Arial"/>
          <w:i/>
          <w:iCs/>
          <w:szCs w:val="22"/>
        </w:rPr>
        <w:t>in vivo</w:t>
      </w:r>
      <w:r w:rsidRPr="00AF6446">
        <w:rPr>
          <w:rFonts w:eastAsia="Times New Roman" w:cs="Arial"/>
          <w:szCs w:val="22"/>
        </w:rPr>
        <w:t> using adipocyte-specific Dicer knockout mice supplemented with exosomes o</w:t>
      </w:r>
      <w:r w:rsidR="007C0066" w:rsidRPr="00AF6446">
        <w:rPr>
          <w:rFonts w:eastAsia="Times New Roman" w:cs="Arial"/>
          <w:szCs w:val="22"/>
        </w:rPr>
        <w:t>btained from normal animals (326</w:t>
      </w:r>
      <w:r w:rsidRPr="00AF6446">
        <w:rPr>
          <w:rFonts w:eastAsia="Times New Roman" w:cs="Arial"/>
          <w:szCs w:val="22"/>
        </w:rPr>
        <w:t>). Human genome contains over 1,000 miRNAs and some of them are known to regulate expression of the GRa protein, while glucocorticoids/GRa regulate expression of other miRNAs.</w:t>
      </w:r>
    </w:p>
    <w:p w14:paraId="1FDBC3D2" w14:textId="77777777" w:rsidR="00837168" w:rsidRPr="00AF6446" w:rsidRDefault="00837168" w:rsidP="00AF6446">
      <w:pPr>
        <w:pBdr>
          <w:bottom w:val="single" w:sz="6" w:space="0" w:color="97B0C8"/>
        </w:pBdr>
        <w:shd w:val="clear" w:color="auto" w:fill="FFFFFF"/>
        <w:outlineLvl w:val="1"/>
        <w:rPr>
          <w:rFonts w:eastAsia="Times New Roman" w:cs="Arial"/>
          <w:szCs w:val="22"/>
        </w:rPr>
      </w:pPr>
    </w:p>
    <w:p w14:paraId="1091C409" w14:textId="5BC74745" w:rsidR="00837168" w:rsidRPr="00AF6446" w:rsidRDefault="007C0066"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In a</w:t>
      </w:r>
      <w:r w:rsidR="00290B68" w:rsidRPr="00AF6446">
        <w:rPr>
          <w:rFonts w:eastAsia="Times New Roman" w:cs="Arial"/>
          <w:szCs w:val="22"/>
        </w:rPr>
        <w:t xml:space="preserve"> study exploring the miRNAs that mediate ACTH-dependent downregulation of GRa in mouse adrenal glands, 4 miRNAs, miR-96, -101a, -142-3p and -433 induced by ACTH injection, suppress GRa</w:t>
      </w:r>
      <w:r w:rsidR="00D14733" w:rsidRPr="00AF6446">
        <w:rPr>
          <w:rFonts w:eastAsia="Times New Roman" w:cs="Arial"/>
          <w:szCs w:val="22"/>
        </w:rPr>
        <w:t xml:space="preserve"> protein expression by ~40% (327</w:t>
      </w:r>
      <w:r w:rsidR="00290B68" w:rsidRPr="00AF6446">
        <w:rPr>
          <w:rFonts w:eastAsia="Times New Roman" w:cs="Arial"/>
          <w:szCs w:val="22"/>
        </w:rPr>
        <w:t>). miR-142-3p reduces GRa expression by directly interacting with its 3’UTR region, and attenuates responsiveness to glucocorticoi</w:t>
      </w:r>
      <w:r w:rsidR="00D14733" w:rsidRPr="00AF6446">
        <w:rPr>
          <w:rFonts w:eastAsia="Times New Roman" w:cs="Arial"/>
          <w:szCs w:val="22"/>
        </w:rPr>
        <w:t>ds in T-cell leukemia cells (328</w:t>
      </w:r>
      <w:r w:rsidR="00290B68" w:rsidRPr="00AF6446">
        <w:rPr>
          <w:rFonts w:eastAsia="Times New Roman" w:cs="Arial"/>
          <w:szCs w:val="22"/>
        </w:rPr>
        <w:t>). miR-124a, -18, -18a and -124 also attenuate GRa protein expression and regulate GRa-induced transcriptional activity i</w:t>
      </w:r>
      <w:r w:rsidR="004F37B6" w:rsidRPr="00AF6446">
        <w:rPr>
          <w:rFonts w:eastAsia="Times New Roman" w:cs="Arial"/>
          <w:szCs w:val="22"/>
        </w:rPr>
        <w:t>n various cells and tissues (329-331</w:t>
      </w:r>
      <w:r w:rsidR="00290B68" w:rsidRPr="00AF6446">
        <w:rPr>
          <w:rFonts w:eastAsia="Times New Roman" w:cs="Arial"/>
          <w:szCs w:val="22"/>
        </w:rPr>
        <w:t>). miR-29a mitigates glucocorticoid-induced bone loss in part</w:t>
      </w:r>
      <w:r w:rsidR="004F37B6" w:rsidRPr="00AF6446">
        <w:rPr>
          <w:rFonts w:eastAsia="Times New Roman" w:cs="Arial"/>
          <w:szCs w:val="22"/>
        </w:rPr>
        <w:t xml:space="preserve"> by reducing GRa expression (332</w:t>
      </w:r>
      <w:r w:rsidR="00290B68" w:rsidRPr="00AF6446">
        <w:rPr>
          <w:rFonts w:eastAsia="Times New Roman" w:cs="Arial"/>
          <w:szCs w:val="22"/>
        </w:rPr>
        <w:t>). Glucocorticoids, on the other hand, modulate expression of some miRNAs, such as miR-449a, -98, and miR-155, which in turn mediate hormona</w:t>
      </w:r>
      <w:r w:rsidR="004F37B6" w:rsidRPr="00AF6446">
        <w:rPr>
          <w:rFonts w:eastAsia="Times New Roman" w:cs="Arial"/>
          <w:szCs w:val="22"/>
        </w:rPr>
        <w:t>l effects of these steroids (333,334</w:t>
      </w:r>
      <w:r w:rsidR="00290B68" w:rsidRPr="00AF6446">
        <w:rPr>
          <w:rFonts w:eastAsia="Times New Roman" w:cs="Arial"/>
          <w:szCs w:val="22"/>
        </w:rPr>
        <w:t xml:space="preserve">). Systematic screening of glucocorticoid-responsive miRNAs in rat primary thymocytes identified over 200 miRNAs responsive to this hormone, and some validated miRNAs </w:t>
      </w:r>
      <w:r w:rsidR="004F37B6" w:rsidRPr="00AF6446">
        <w:rPr>
          <w:rFonts w:eastAsia="Times New Roman" w:cs="Arial"/>
          <w:szCs w:val="22"/>
        </w:rPr>
        <w:t>regulate cell death pathway (335</w:t>
      </w:r>
      <w:r w:rsidR="00290B68" w:rsidRPr="00AF6446">
        <w:rPr>
          <w:rFonts w:eastAsia="Times New Roman" w:cs="Arial"/>
          <w:szCs w:val="22"/>
        </w:rPr>
        <w:t xml:space="preserve">). In myeloma cells, glucocorticoids induce miR-150-5p, which changes expression </w:t>
      </w:r>
      <w:r w:rsidR="00290B68" w:rsidRPr="00AF6446">
        <w:rPr>
          <w:rFonts w:eastAsia="Times New Roman" w:cs="Arial"/>
          <w:szCs w:val="22"/>
        </w:rPr>
        <w:lastRenderedPageBreak/>
        <w:t>of the genes involved in cell death and cell proliferation pathways, thus this miRNA mediates in some part the therapeutic effects of glucocor</w:t>
      </w:r>
      <w:r w:rsidR="004F37B6" w:rsidRPr="00AF6446">
        <w:rPr>
          <w:rFonts w:eastAsia="Times New Roman" w:cs="Arial"/>
          <w:szCs w:val="22"/>
        </w:rPr>
        <w:t>ticoids on multiple myeloma (336</w:t>
      </w:r>
      <w:r w:rsidR="00290B68" w:rsidRPr="00AF6446">
        <w:rPr>
          <w:rFonts w:eastAsia="Times New Roman" w:cs="Arial"/>
          <w:szCs w:val="22"/>
        </w:rPr>
        <w:t>). miR-119a-5p is also glucocorticoid-responsive miRNA that mediates anti-proliferative effects of glucocorticoids on osteoblasts by affecting the WNT signaling</w:t>
      </w:r>
      <w:r w:rsidR="004F37B6" w:rsidRPr="00AF6446">
        <w:rPr>
          <w:rFonts w:eastAsia="Times New Roman" w:cs="Arial"/>
          <w:szCs w:val="22"/>
        </w:rPr>
        <w:t xml:space="preserve"> pathway (337</w:t>
      </w:r>
      <w:r w:rsidR="00290B68" w:rsidRPr="00AF6446">
        <w:rPr>
          <w:rFonts w:eastAsia="Times New Roman" w:cs="Arial"/>
          <w:szCs w:val="22"/>
        </w:rPr>
        <w:t>).</w:t>
      </w:r>
    </w:p>
    <w:p w14:paraId="60DC74F0" w14:textId="77777777" w:rsidR="00837168" w:rsidRPr="00AF6446" w:rsidRDefault="00837168" w:rsidP="00AF6446">
      <w:pPr>
        <w:pBdr>
          <w:bottom w:val="single" w:sz="6" w:space="0" w:color="97B0C8"/>
        </w:pBdr>
        <w:shd w:val="clear" w:color="auto" w:fill="FFFFFF"/>
        <w:outlineLvl w:val="1"/>
        <w:rPr>
          <w:rFonts w:eastAsia="Times New Roman" w:cs="Arial"/>
          <w:szCs w:val="22"/>
        </w:rPr>
      </w:pPr>
    </w:p>
    <w:p w14:paraId="1156C691" w14:textId="77777777" w:rsidR="00837168" w:rsidRPr="00810420" w:rsidRDefault="00290B68" w:rsidP="00AF6446">
      <w:pPr>
        <w:pBdr>
          <w:bottom w:val="single" w:sz="6" w:space="0" w:color="97B0C8"/>
        </w:pBdr>
        <w:shd w:val="clear" w:color="auto" w:fill="FFFFFF"/>
        <w:outlineLvl w:val="1"/>
        <w:rPr>
          <w:rFonts w:eastAsia="Times New Roman" w:cs="Arial"/>
          <w:b/>
          <w:bCs/>
          <w:color w:val="00B050"/>
          <w:szCs w:val="22"/>
        </w:rPr>
      </w:pPr>
      <w:r w:rsidRPr="00810420">
        <w:rPr>
          <w:rFonts w:eastAsia="Times New Roman" w:cs="Arial"/>
          <w:b/>
          <w:bCs/>
          <w:color w:val="00B050"/>
          <w:szCs w:val="22"/>
        </w:rPr>
        <w:t>Long Non-coding (lnc) RNAs</w:t>
      </w:r>
    </w:p>
    <w:p w14:paraId="78CB0643" w14:textId="77777777" w:rsidR="00837168" w:rsidRPr="00AF6446" w:rsidRDefault="00837168" w:rsidP="00AF6446">
      <w:pPr>
        <w:pBdr>
          <w:bottom w:val="single" w:sz="6" w:space="0" w:color="97B0C8"/>
        </w:pBdr>
        <w:shd w:val="clear" w:color="auto" w:fill="FFFFFF"/>
        <w:outlineLvl w:val="1"/>
        <w:rPr>
          <w:rFonts w:eastAsia="Times New Roman" w:cs="Arial"/>
          <w:b/>
          <w:bCs/>
          <w:szCs w:val="22"/>
        </w:rPr>
      </w:pPr>
    </w:p>
    <w:p w14:paraId="09D72672" w14:textId="52BC50C5" w:rsidR="00190CCD"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Several lncRNAs regulate the transcriptional activity of GRa and/or other SRs. The steroid RNA coactivator (SRA) is a prototype lncRNA that regulates the transcriptional activity of several SRs (99). SRA was originally cloned in the yeast two-hybrid assay by using NTD of the PR as bait. It enhances ligand-induced transcriptional activity of AR, ER, GRa and PR. It is found in the complex containing the p160 coactivator SRC1, and regulates transcriptional activity in part by associating with the SRA stem-loop-interacting RNA binding-protein (SLI</w:t>
      </w:r>
      <w:r w:rsidR="009406F2" w:rsidRPr="00AF6446">
        <w:rPr>
          <w:rFonts w:eastAsia="Times New Roman" w:cs="Arial"/>
          <w:szCs w:val="22"/>
        </w:rPr>
        <w:t>RP) and the RISC complex (99,338,339</w:t>
      </w:r>
      <w:r w:rsidRPr="00AF6446">
        <w:rPr>
          <w:rFonts w:eastAsia="Times New Roman" w:cs="Arial"/>
          <w:szCs w:val="22"/>
        </w:rPr>
        <w:t>). Recently, SRA was shown to function also as a repressor of transcription, acting as a scaff</w:t>
      </w:r>
      <w:r w:rsidR="009406F2" w:rsidRPr="00AF6446">
        <w:rPr>
          <w:rFonts w:eastAsia="Times New Roman" w:cs="Arial"/>
          <w:szCs w:val="22"/>
        </w:rPr>
        <w:t>old for a repressor complex (340</w:t>
      </w:r>
      <w:r w:rsidRPr="00AF6446">
        <w:rPr>
          <w:rFonts w:eastAsia="Times New Roman" w:cs="Arial"/>
          <w:szCs w:val="22"/>
        </w:rPr>
        <w:t>).</w:t>
      </w:r>
    </w:p>
    <w:p w14:paraId="49FC4DE6" w14:textId="77777777" w:rsidR="00190CCD" w:rsidRPr="00AF6446" w:rsidRDefault="00190CCD" w:rsidP="00AF6446">
      <w:pPr>
        <w:pBdr>
          <w:bottom w:val="single" w:sz="6" w:space="0" w:color="97B0C8"/>
        </w:pBdr>
        <w:shd w:val="clear" w:color="auto" w:fill="FFFFFF"/>
        <w:outlineLvl w:val="1"/>
        <w:rPr>
          <w:rFonts w:eastAsia="Times New Roman" w:cs="Arial"/>
          <w:szCs w:val="22"/>
        </w:rPr>
      </w:pPr>
    </w:p>
    <w:p w14:paraId="41E51F86" w14:textId="7570012C" w:rsidR="00290B68" w:rsidRPr="00AF6446" w:rsidRDefault="00290B68" w:rsidP="00AF6446">
      <w:pPr>
        <w:pBdr>
          <w:bottom w:val="single" w:sz="6" w:space="0" w:color="97B0C8"/>
        </w:pBdr>
        <w:shd w:val="clear" w:color="auto" w:fill="FFFFFF"/>
        <w:outlineLvl w:val="1"/>
        <w:rPr>
          <w:rFonts w:eastAsia="Times New Roman" w:cs="Arial"/>
          <w:szCs w:val="22"/>
          <w:bdr w:val="single" w:sz="6" w:space="0" w:color="C0C0C0" w:frame="1"/>
        </w:rPr>
      </w:pPr>
      <w:r w:rsidRPr="00AF6446">
        <w:rPr>
          <w:rFonts w:eastAsia="Times New Roman" w:cs="Arial"/>
          <w:szCs w:val="22"/>
        </w:rPr>
        <w:t>The growth arrest-specific 5 (Gas5), which is a multi-exon-containing ncRNA with a poly-A tail</w:t>
      </w:r>
      <w:r w:rsidR="009869F2" w:rsidRPr="00AF6446">
        <w:rPr>
          <w:rFonts w:eastAsia="Times New Roman" w:cs="Arial"/>
          <w:szCs w:val="22"/>
        </w:rPr>
        <w:t xml:space="preserve">, </w:t>
      </w:r>
      <w:r w:rsidRPr="00AF6446">
        <w:rPr>
          <w:rFonts w:eastAsia="Times New Roman" w:cs="Arial"/>
          <w:szCs w:val="22"/>
        </w:rPr>
        <w:t xml:space="preserve">is accumulated in cells whose growth is arrested due to lack of </w:t>
      </w:r>
      <w:r w:rsidR="009869F2" w:rsidRPr="00AF6446">
        <w:rPr>
          <w:rFonts w:eastAsia="Times New Roman" w:cs="Arial"/>
          <w:szCs w:val="22"/>
        </w:rPr>
        <w:t>nutrients or growth factors (341</w:t>
      </w:r>
      <w:r w:rsidRPr="00AF6446">
        <w:rPr>
          <w:rFonts w:eastAsia="Times New Roman" w:cs="Arial"/>
          <w:szCs w:val="22"/>
        </w:rPr>
        <w:t>). Gas5 functions as a repressor of</w:t>
      </w:r>
      <w:r w:rsidR="009869F2" w:rsidRPr="00AF6446">
        <w:rPr>
          <w:rFonts w:eastAsia="Times New Roman" w:cs="Arial"/>
          <w:szCs w:val="22"/>
        </w:rPr>
        <w:t xml:space="preserve"> the GRa and some other SRs (342</w:t>
      </w:r>
      <w:r w:rsidRPr="00AF6446">
        <w:rPr>
          <w:rFonts w:eastAsia="Times New Roman" w:cs="Arial"/>
          <w:szCs w:val="22"/>
        </w:rPr>
        <w:t>). Gas5 sensitizes cells to apoptosis by suppressing glucocorticoid-mediated induction of several responsive genes, including those encoding the cellular inhibitor of apoptosis 2 and the serum/glucocorticoid-responsive kinase. Gas5 binds GRa DBD and acts as a decoy “GRE”, thus, it competes with DNA GREs for binding to GRa (</w:t>
      </w:r>
      <w:hyperlink r:id="rId56" w:tgtFrame="object" w:history="1">
        <w:r w:rsidRPr="00F47850">
          <w:rPr>
            <w:rFonts w:eastAsia="Times New Roman" w:cs="Arial"/>
            <w:szCs w:val="22"/>
          </w:rPr>
          <w:t>Figure 16</w:t>
        </w:r>
      </w:hyperlink>
      <w:r w:rsidRPr="00AF6446">
        <w:rPr>
          <w:rFonts w:eastAsia="Times New Roman" w:cs="Arial"/>
          <w:szCs w:val="22"/>
        </w:rPr>
        <w:t xml:space="preserve">). These findings indicate that Gas5 is a ribo-repressor of the GRa, influencing cell survival and metabolic activities during starvation by modulating the transcriptional activity of GRa. Accumulation of Gas5 upon growth arrest or starvation was previously demonstrated in a cellular context, but a study revealed that fasting of mice also accumulates Gas5 in their metabolic organs, such as liver and adipose tissues, through modulation of the mammalian target of rapamycin (mTOR) signaling pathway, but not in the brain and immune organs </w:t>
      </w:r>
      <w:r w:rsidR="009869F2" w:rsidRPr="00AF6446">
        <w:rPr>
          <w:rFonts w:eastAsia="Times New Roman" w:cs="Arial"/>
          <w:szCs w:val="22"/>
        </w:rPr>
        <w:t>including thymus and spleen (343</w:t>
      </w:r>
      <w:r w:rsidRPr="00AF6446">
        <w:rPr>
          <w:rFonts w:eastAsia="Times New Roman" w:cs="Arial"/>
          <w:szCs w:val="22"/>
        </w:rPr>
        <w:t>). Since basal expression levels of Gas5 in the immune organs are much higher than those of the metabolic organs, Gas5 may have a regulatory activity on GRa in the immune system independent to the nutrient/energy availability, as evidenced by the fact that Gas5 is differentially expressed in blood leukocytes of the patients with autoimmune, inflamma</w:t>
      </w:r>
      <w:r w:rsidR="009869F2" w:rsidRPr="00AF6446">
        <w:rPr>
          <w:rFonts w:eastAsia="Times New Roman" w:cs="Arial"/>
          <w:szCs w:val="22"/>
        </w:rPr>
        <w:t>tory or infectious diseases (343</w:t>
      </w:r>
      <w:r w:rsidRPr="00AF6446">
        <w:rPr>
          <w:rFonts w:eastAsia="Times New Roman" w:cs="Arial"/>
          <w:szCs w:val="22"/>
        </w:rPr>
        <w:t xml:space="preserve">). </w:t>
      </w:r>
      <w:r w:rsidR="00085F07" w:rsidRPr="00AF6446">
        <w:rPr>
          <w:rFonts w:eastAsia="Times New Roman" w:cs="Arial"/>
          <w:szCs w:val="22"/>
        </w:rPr>
        <w:t xml:space="preserve">Moreover, Gas5 has been shown to be implicated in glucocorticoid response in children with inflammatory bowel disease (344), in multiple sclerosis (345-347), </w:t>
      </w:r>
      <w:r w:rsidR="00B851C2" w:rsidRPr="00AF6446">
        <w:rPr>
          <w:rFonts w:eastAsia="Times New Roman" w:cs="Arial"/>
          <w:szCs w:val="22"/>
        </w:rPr>
        <w:t>in human beta cell dysfunction (348), as well as in hematologic malignancies (</w:t>
      </w:r>
      <w:r w:rsidR="00C85C22" w:rsidRPr="00AF6446">
        <w:rPr>
          <w:rFonts w:eastAsia="Times New Roman" w:cs="Arial"/>
          <w:szCs w:val="22"/>
        </w:rPr>
        <w:t>349,350</w:t>
      </w:r>
      <w:r w:rsidR="00B851C2" w:rsidRPr="00AF6446">
        <w:rPr>
          <w:rFonts w:eastAsia="Times New Roman" w:cs="Arial"/>
          <w:szCs w:val="22"/>
        </w:rPr>
        <w:t>)</w:t>
      </w:r>
      <w:r w:rsidR="00085F07" w:rsidRPr="00AF6446">
        <w:rPr>
          <w:rFonts w:eastAsia="Times New Roman" w:cs="Arial"/>
          <w:szCs w:val="22"/>
        </w:rPr>
        <w:t xml:space="preserve">. </w:t>
      </w:r>
      <w:r w:rsidRPr="00AF6446">
        <w:rPr>
          <w:rFonts w:eastAsia="Times New Roman" w:cs="Arial"/>
          <w:szCs w:val="22"/>
        </w:rPr>
        <w:t>Similar to Gas5, PRNCR1 (also known as PCAT8) and PCGEM1 bind AR DBD</w:t>
      </w:r>
      <w:r w:rsidR="002E3225" w:rsidRPr="00AF6446">
        <w:rPr>
          <w:rFonts w:eastAsia="Times New Roman" w:cs="Arial"/>
          <w:szCs w:val="22"/>
        </w:rPr>
        <w:t xml:space="preserve"> and</w:t>
      </w:r>
      <w:r w:rsidRPr="00AF6446">
        <w:rPr>
          <w:rFonts w:eastAsia="Times New Roman" w:cs="Arial"/>
          <w:szCs w:val="22"/>
        </w:rPr>
        <w:t xml:space="preserve"> enhance the transcriptiona</w:t>
      </w:r>
      <w:r w:rsidR="00C85C22" w:rsidRPr="00AF6446">
        <w:rPr>
          <w:rFonts w:eastAsia="Times New Roman" w:cs="Arial"/>
          <w:szCs w:val="22"/>
        </w:rPr>
        <w:t>l activity of this receptor (351</w:t>
      </w:r>
      <w:r w:rsidRPr="00AF6446">
        <w:rPr>
          <w:rFonts w:eastAsia="Times New Roman" w:cs="Arial"/>
          <w:szCs w:val="22"/>
        </w:rPr>
        <w:t>). These lncRNAs are highly expressed in the prostate gland,</w:t>
      </w:r>
      <w:r w:rsidR="002E3225" w:rsidRPr="00AF6446">
        <w:rPr>
          <w:rFonts w:eastAsia="Times New Roman" w:cs="Arial"/>
          <w:szCs w:val="22"/>
        </w:rPr>
        <w:t xml:space="preserve"> </w:t>
      </w:r>
      <w:r w:rsidRPr="00AF6446">
        <w:rPr>
          <w:rFonts w:eastAsia="Times New Roman" w:cs="Arial"/>
          <w:szCs w:val="22"/>
        </w:rPr>
        <w:t>and play a role in the androgen-dependent development of prostate cancer. Their effects on GRa have not been tested as yet.</w:t>
      </w: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2016.%20Interaction%20model%20of%20the%20Gas5%20RNA%20%0201CGRE%0201D%20to%20GR%20DBD%20and%20the%20molecular%20actions%20of%20Gas5%20on%20GR-induced%20transcriptional%20activity.&amp;p=BOOKS&amp;id=279171_glucocort-receptor_GR-Figure-16.jpg" \o "Click on image to zoom" \t "tileshopwindow" </w:instrText>
      </w:r>
      <w:r w:rsidRPr="00AF6446">
        <w:rPr>
          <w:rFonts w:eastAsia="Times New Roman" w:cs="Arial"/>
          <w:szCs w:val="22"/>
        </w:rPr>
        <w:fldChar w:fldCharType="separate"/>
      </w:r>
    </w:p>
    <w:p w14:paraId="7B8390C9" w14:textId="1AF6D882"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33F52DD9" wp14:editId="034CBDCE">
            <wp:extent cx="5955102" cy="3007327"/>
            <wp:effectExtent l="0" t="0" r="7620" b="3175"/>
            <wp:docPr id="36" name="Picture 36" descr="Figure 16. Interaction model of the Gas5 RNA “GRE” to GR DBD and the molecular actions of Gas5 on GR-induced transcriptional activity.">
              <a:hlinkClick xmlns:a="http://schemas.openxmlformats.org/drawingml/2006/main" r:id="rId57"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16. Interaction model of the Gas5 RNA “GRE” to GR DBD and the molecular actions of Gas5 on GR-induced transcriptional activity.">
                      <a:hlinkClick r:id="rId57" tgtFrame="&quot;tileshopwindow&quot;" tooltip="&quot;Click on image to zoom&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5688" cy="3058123"/>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16</w:t>
      </w:r>
      <w:r w:rsidR="00190CCD" w:rsidRPr="00AF6446">
        <w:rPr>
          <w:rFonts w:eastAsia="Times New Roman" w:cs="Arial"/>
          <w:b/>
          <w:bCs/>
          <w:szCs w:val="22"/>
        </w:rPr>
        <w:t xml:space="preserve">. </w:t>
      </w:r>
      <w:r w:rsidRPr="00AF6446">
        <w:rPr>
          <w:rFonts w:eastAsia="Times New Roman" w:cs="Arial"/>
          <w:b/>
          <w:bCs/>
          <w:szCs w:val="22"/>
        </w:rPr>
        <w:t>Interaction model of the Gas5 RNA “GRE” to GR DBD and the molecular actions of Gas5 on GR-induced transcriptional activity.</w:t>
      </w:r>
      <w:r w:rsidR="00ED1422">
        <w:rPr>
          <w:rFonts w:eastAsia="Times New Roman" w:cs="Arial"/>
          <w:b/>
          <w:bCs/>
          <w:szCs w:val="22"/>
        </w:rPr>
        <w:t xml:space="preserve"> </w:t>
      </w:r>
      <w:r w:rsidRPr="00AF6446">
        <w:rPr>
          <w:rFonts w:eastAsia="Times New Roman" w:cs="Arial"/>
          <w:b/>
          <w:bCs/>
          <w:szCs w:val="22"/>
        </w:rPr>
        <w:t>A: 3-Dimenstional structure of Gas5 “GRE”-mimic and its interact</w:t>
      </w:r>
      <w:r w:rsidR="00085F07" w:rsidRPr="00AF6446">
        <w:rPr>
          <w:rFonts w:eastAsia="Times New Roman" w:cs="Arial"/>
          <w:b/>
          <w:bCs/>
          <w:szCs w:val="22"/>
        </w:rPr>
        <w:t>ion model with GR DBD. From (342</w:t>
      </w:r>
      <w:r w:rsidRPr="00AF6446">
        <w:rPr>
          <w:rFonts w:eastAsia="Times New Roman" w:cs="Arial"/>
          <w:b/>
          <w:bCs/>
          <w:szCs w:val="22"/>
        </w:rPr>
        <w:t>).</w:t>
      </w:r>
      <w:r w:rsidR="00ED1422">
        <w:rPr>
          <w:rFonts w:eastAsia="Times New Roman" w:cs="Arial"/>
          <w:b/>
          <w:bCs/>
          <w:szCs w:val="22"/>
        </w:rPr>
        <w:t xml:space="preserve"> </w:t>
      </w:r>
      <w:r w:rsidRPr="00AF6446">
        <w:rPr>
          <w:rFonts w:eastAsia="Times New Roman" w:cs="Arial"/>
          <w:b/>
          <w:bCs/>
          <w:szCs w:val="22"/>
        </w:rPr>
        <w:t>B: Schematic model of Gas5 molecular actions on GR-induced transcriptional activity.</w:t>
      </w:r>
      <w:r w:rsidR="00ED1422">
        <w:rPr>
          <w:rFonts w:eastAsia="Times New Roman" w:cs="Arial"/>
          <w:b/>
          <w:bCs/>
          <w:szCs w:val="22"/>
        </w:rPr>
        <w:t xml:space="preserve"> </w:t>
      </w:r>
      <w:r w:rsidRPr="00AF6446">
        <w:rPr>
          <w:rFonts w:eastAsia="Times New Roman" w:cs="Arial"/>
          <w:b/>
          <w:bCs/>
          <w:szCs w:val="22"/>
        </w:rPr>
        <w:t>Gas5 accumulated in response to growth arrest/starvation binds GR DBD and attenuates GR-induced transcriptional activity by competing with DNA GREs located in the promoter region of glucocorticoid-responsive genes.</w:t>
      </w:r>
    </w:p>
    <w:p w14:paraId="01566A6E" w14:textId="40290499" w:rsidR="00290B68" w:rsidRPr="00AF6446" w:rsidRDefault="00290B68" w:rsidP="00AF6446">
      <w:pPr>
        <w:shd w:val="clear" w:color="auto" w:fill="FFFFFF"/>
        <w:rPr>
          <w:rFonts w:eastAsia="Times New Roman" w:cs="Arial"/>
          <w:szCs w:val="22"/>
        </w:rPr>
      </w:pPr>
    </w:p>
    <w:p w14:paraId="186081C3" w14:textId="266D9A54" w:rsidR="00190CCD" w:rsidRPr="00810420" w:rsidRDefault="00290B68" w:rsidP="00FF176B">
      <w:pPr>
        <w:shd w:val="clear" w:color="auto" w:fill="FFFFFF"/>
        <w:outlineLvl w:val="1"/>
        <w:rPr>
          <w:rFonts w:eastAsia="Times New Roman" w:cs="Arial"/>
          <w:b/>
          <w:bCs/>
          <w:color w:val="0070C0"/>
          <w:szCs w:val="22"/>
        </w:rPr>
      </w:pPr>
      <w:r w:rsidRPr="00810420">
        <w:rPr>
          <w:rFonts w:eastAsia="Times New Roman" w:cs="Arial"/>
          <w:b/>
          <w:bCs/>
          <w:color w:val="0070C0"/>
          <w:szCs w:val="22"/>
        </w:rPr>
        <w:t>THE SPLICING VARIANT GRb</w:t>
      </w:r>
      <w:r w:rsidR="002E3225" w:rsidRPr="00810420">
        <w:rPr>
          <w:rFonts w:eastAsia="Times New Roman" w:cs="Arial"/>
          <w:b/>
          <w:bCs/>
          <w:color w:val="0070C0"/>
          <w:szCs w:val="22"/>
        </w:rPr>
        <w:t>eta</w:t>
      </w:r>
      <w:r w:rsidRPr="00810420">
        <w:rPr>
          <w:rFonts w:eastAsia="Times New Roman" w:cs="Arial"/>
          <w:b/>
          <w:bCs/>
          <w:color w:val="0070C0"/>
          <w:szCs w:val="22"/>
        </w:rPr>
        <w:t xml:space="preserve"> ISOFORM</w:t>
      </w:r>
    </w:p>
    <w:p w14:paraId="542FFC2A" w14:textId="77777777" w:rsidR="00190CCD" w:rsidRPr="00AF6446" w:rsidRDefault="00190CCD" w:rsidP="00FF176B">
      <w:pPr>
        <w:shd w:val="clear" w:color="auto" w:fill="FFFFFF"/>
        <w:outlineLvl w:val="1"/>
        <w:rPr>
          <w:rFonts w:eastAsia="Times New Roman" w:cs="Arial"/>
          <w:b/>
          <w:bCs/>
          <w:szCs w:val="22"/>
        </w:rPr>
      </w:pPr>
    </w:p>
    <w:p w14:paraId="2A48CAED" w14:textId="6428207C" w:rsidR="00190CCD" w:rsidRPr="00AF6446" w:rsidRDefault="00290B68" w:rsidP="00FF176B">
      <w:pPr>
        <w:shd w:val="clear" w:color="auto" w:fill="FFFFFF"/>
        <w:outlineLvl w:val="1"/>
        <w:rPr>
          <w:rFonts w:eastAsia="Times New Roman" w:cs="Arial"/>
          <w:szCs w:val="22"/>
        </w:rPr>
      </w:pPr>
      <w:r w:rsidRPr="00AF6446">
        <w:rPr>
          <w:rFonts w:eastAsia="Times New Roman" w:cs="Arial"/>
          <w:szCs w:val="22"/>
        </w:rPr>
        <w:t>The GRb isoform, which is expressed from the human </w:t>
      </w:r>
      <w:r w:rsidRPr="00AF6446">
        <w:rPr>
          <w:rFonts w:eastAsia="Times New Roman" w:cs="Arial"/>
          <w:i/>
          <w:iCs/>
          <w:szCs w:val="22"/>
        </w:rPr>
        <w:t>GR</w:t>
      </w:r>
      <w:r w:rsidRPr="00AF6446">
        <w:rPr>
          <w:rFonts w:eastAsia="Times New Roman" w:cs="Arial"/>
          <w:szCs w:val="22"/>
        </w:rPr>
        <w:t xml:space="preserve"> gene through alternative use of its specific exon 9b, is known to have a dominant negative activity on classic GRa-induced </w:t>
      </w:r>
      <w:r w:rsidR="00381F6A" w:rsidRPr="00AF6446">
        <w:rPr>
          <w:rFonts w:eastAsia="Times New Roman" w:cs="Arial"/>
          <w:szCs w:val="22"/>
        </w:rPr>
        <w:t>transcriptional activity (21,352</w:t>
      </w:r>
      <w:r w:rsidRPr="00AF6446">
        <w:rPr>
          <w:rFonts w:eastAsia="Times New Roman" w:cs="Arial"/>
          <w:szCs w:val="22"/>
        </w:rPr>
        <w:t>). This isoform was originally identi</w:t>
      </w:r>
      <w:r w:rsidR="00381F6A" w:rsidRPr="00AF6446">
        <w:rPr>
          <w:rFonts w:eastAsia="Times New Roman" w:cs="Arial"/>
          <w:szCs w:val="22"/>
        </w:rPr>
        <w:t>fied in humans, and was also</w:t>
      </w:r>
      <w:r w:rsidRPr="00AF6446">
        <w:rPr>
          <w:rFonts w:eastAsia="Times New Roman" w:cs="Arial"/>
          <w:szCs w:val="22"/>
        </w:rPr>
        <w:t xml:space="preserve"> reported in </w:t>
      </w:r>
      <w:r w:rsidR="00381F6A" w:rsidRPr="00AF6446">
        <w:rPr>
          <w:rFonts w:eastAsia="Times New Roman" w:cs="Arial"/>
          <w:szCs w:val="22"/>
        </w:rPr>
        <w:t>zebrafish, mice and rats (19,353-355</w:t>
      </w:r>
      <w:r w:rsidRPr="00AF6446">
        <w:rPr>
          <w:rFonts w:eastAsia="Times New Roman" w:cs="Arial"/>
          <w:szCs w:val="22"/>
        </w:rPr>
        <w:t xml:space="preserve">). Since human (h) GRb shares the first 727 amino acids from </w:t>
      </w:r>
      <w:r w:rsidR="00381F6A" w:rsidRPr="00AF6446">
        <w:rPr>
          <w:rFonts w:eastAsia="Times New Roman" w:cs="Arial"/>
          <w:szCs w:val="22"/>
        </w:rPr>
        <w:t>the N-terminus with hGRa (19,356</w:t>
      </w:r>
      <w:r w:rsidRPr="00AF6446">
        <w:rPr>
          <w:rFonts w:eastAsia="Times New Roman" w:cs="Arial"/>
          <w:szCs w:val="22"/>
        </w:rPr>
        <w:t>) (</w:t>
      </w:r>
      <w:hyperlink r:id="rId59" w:tgtFrame="object" w:history="1">
        <w:r w:rsidRPr="00F47850">
          <w:rPr>
            <w:rFonts w:eastAsia="Times New Roman" w:cs="Arial"/>
            <w:szCs w:val="22"/>
          </w:rPr>
          <w:t>Figure 3</w:t>
        </w:r>
      </w:hyperlink>
      <w:r w:rsidRPr="00AF6446">
        <w:rPr>
          <w:rFonts w:eastAsia="Times New Roman" w:cs="Arial"/>
          <w:szCs w:val="22"/>
        </w:rPr>
        <w:t xml:space="preserve">), hGRb shares the same NTD and DBD with hGRa, but has a unique “LBD”. The divergence point (amino acid 727) of hGRa and hGRb is located at the C-terminal end of helix 10 in the hGRa LBD, therefore the hGRb “LBD” does not have helices 11 and 12 of the hGRa. As these helices are important for forming the ligand-binding pocket and for the creation of the AF-2 surface upon ligand binding (31), GRb cannot form an active ligand-binding pocket, does not bind glucocorticoids, and so, does not directly regulate </w:t>
      </w:r>
      <w:r w:rsidR="00381F6A" w:rsidRPr="00AF6446">
        <w:rPr>
          <w:rFonts w:eastAsia="Times New Roman" w:cs="Arial"/>
          <w:szCs w:val="22"/>
        </w:rPr>
        <w:t>GRE</w:t>
      </w:r>
      <w:r w:rsidRPr="00AF6446">
        <w:rPr>
          <w:rFonts w:eastAsia="Times New Roman" w:cs="Arial"/>
          <w:szCs w:val="22"/>
        </w:rPr>
        <w:t xml:space="preserve">-containing, glucocorticoid-responsive gene promoters. In the absence of the hGRb “LBD”, the truncated hGR consisting of the NTD and DBD is </w:t>
      </w:r>
      <w:r w:rsidR="00381F6A" w:rsidRPr="00AF6446">
        <w:rPr>
          <w:rFonts w:eastAsia="Times New Roman" w:cs="Arial"/>
          <w:szCs w:val="22"/>
        </w:rPr>
        <w:t>transcriptionally active on GRE-containing promoters (357</w:t>
      </w:r>
      <w:r w:rsidRPr="00AF6446">
        <w:rPr>
          <w:rFonts w:eastAsia="Times New Roman" w:cs="Arial"/>
          <w:szCs w:val="22"/>
        </w:rPr>
        <w:t>), thus the hGRb “LBD” somehow attenuates the transcriptional activity of the other subdomains of the molecule on GRE-driven promoters.</w:t>
      </w:r>
    </w:p>
    <w:p w14:paraId="4B6F7EAF" w14:textId="77777777" w:rsidR="00190CCD" w:rsidRPr="00AF6446" w:rsidRDefault="00190CCD" w:rsidP="00FF176B">
      <w:pPr>
        <w:shd w:val="clear" w:color="auto" w:fill="FFFFFF"/>
        <w:outlineLvl w:val="1"/>
        <w:rPr>
          <w:rFonts w:eastAsia="Times New Roman" w:cs="Arial"/>
          <w:szCs w:val="22"/>
        </w:rPr>
      </w:pPr>
    </w:p>
    <w:p w14:paraId="376CF19F" w14:textId="7A61DC9A" w:rsidR="00190CCD" w:rsidRPr="00AF6446" w:rsidRDefault="00290B68" w:rsidP="00FF176B">
      <w:pPr>
        <w:shd w:val="clear" w:color="auto" w:fill="FFFFFF"/>
        <w:outlineLvl w:val="1"/>
        <w:rPr>
          <w:rFonts w:eastAsia="Times New Roman" w:cs="Arial"/>
          <w:szCs w:val="22"/>
        </w:rPr>
      </w:pPr>
      <w:r w:rsidRPr="00AF6446">
        <w:rPr>
          <w:rFonts w:eastAsia="Times New Roman" w:cs="Arial"/>
          <w:szCs w:val="22"/>
        </w:rPr>
        <w:t>The dominant negative activity of GRb was first demonstrated in transient transfection-</w:t>
      </w:r>
      <w:r w:rsidR="00381F6A" w:rsidRPr="00AF6446">
        <w:rPr>
          <w:rFonts w:eastAsia="Times New Roman" w:cs="Arial"/>
          <w:szCs w:val="22"/>
        </w:rPr>
        <w:t>based reporter assays using GRE-driven reporter genes (21,358</w:t>
      </w:r>
      <w:r w:rsidRPr="00AF6446">
        <w:rPr>
          <w:rFonts w:eastAsia="Times New Roman" w:cs="Arial"/>
          <w:szCs w:val="22"/>
        </w:rPr>
        <w:t xml:space="preserve">), but was subsequently confirmed on endogenous, glucocorticoid-responsive genes, such as the mitogen-activated protein kinase </w:t>
      </w:r>
      <w:r w:rsidRPr="00AF6446">
        <w:rPr>
          <w:rFonts w:eastAsia="Times New Roman" w:cs="Arial"/>
          <w:szCs w:val="22"/>
        </w:rPr>
        <w:lastRenderedPageBreak/>
        <w:t>phosphatase-1 (MPK-1</w:t>
      </w:r>
      <w:r w:rsidR="00381F6A" w:rsidRPr="00AF6446">
        <w:rPr>
          <w:rFonts w:eastAsia="Times New Roman" w:cs="Arial"/>
          <w:szCs w:val="22"/>
        </w:rPr>
        <w:t>), myocilin and fibronectin (359,360</w:t>
      </w:r>
      <w:r w:rsidRPr="00AF6446">
        <w:rPr>
          <w:rFonts w:eastAsia="Times New Roman" w:cs="Arial"/>
          <w:szCs w:val="22"/>
        </w:rPr>
        <w:t>). Further, GRb was shown to attenuate glucocorticoid-induced repression of the </w:t>
      </w:r>
      <w:r w:rsidRPr="00AF6446">
        <w:rPr>
          <w:rFonts w:eastAsia="Times New Roman" w:cs="Arial"/>
          <w:i/>
          <w:iCs/>
          <w:szCs w:val="22"/>
        </w:rPr>
        <w:t>TNFa</w:t>
      </w:r>
      <w:r w:rsidRPr="00AF6446">
        <w:rPr>
          <w:rFonts w:eastAsia="Times New Roman" w:cs="Arial"/>
          <w:szCs w:val="22"/>
        </w:rPr>
        <w:t> and interleukin (</w:t>
      </w:r>
      <w:r w:rsidRPr="00AF6446">
        <w:rPr>
          <w:rFonts w:eastAsia="Times New Roman" w:cs="Arial"/>
          <w:i/>
          <w:iCs/>
          <w:szCs w:val="22"/>
        </w:rPr>
        <w:t>IL</w:t>
      </w:r>
      <w:r w:rsidR="00C73F0D" w:rsidRPr="00AF6446">
        <w:rPr>
          <w:rFonts w:eastAsia="Times New Roman" w:cs="Arial"/>
          <w:szCs w:val="22"/>
        </w:rPr>
        <w:t>)-6 genes (359</w:t>
      </w:r>
      <w:r w:rsidRPr="00AF6446">
        <w:rPr>
          <w:rFonts w:eastAsia="Times New Roman" w:cs="Arial"/>
          <w:szCs w:val="22"/>
        </w:rPr>
        <w:t>). We also confirmed this negative effect of GRb on GRa-mediated transrepressio</w:t>
      </w:r>
      <w:r w:rsidR="00C73F0D" w:rsidRPr="00AF6446">
        <w:rPr>
          <w:rFonts w:eastAsia="Times New Roman" w:cs="Arial"/>
          <w:szCs w:val="22"/>
        </w:rPr>
        <w:t>n using microarray analyses (361</w:t>
      </w:r>
      <w:r w:rsidRPr="00AF6446">
        <w:rPr>
          <w:rFonts w:eastAsia="Times New Roman" w:cs="Arial"/>
          <w:szCs w:val="22"/>
        </w:rPr>
        <w:t>). Several mechanisms explaining this GRb function have been reported, including (1) competition for GRE binding through their shared DBD, (2) heterodimerization with GRa and (3) coactivator squelching through t</w:t>
      </w:r>
      <w:r w:rsidR="00C73F0D" w:rsidRPr="00AF6446">
        <w:rPr>
          <w:rFonts w:eastAsia="Times New Roman" w:cs="Arial"/>
          <w:szCs w:val="22"/>
        </w:rPr>
        <w:t>he preserved AF-1 domain (21,357,358</w:t>
      </w:r>
      <w:r w:rsidRPr="00AF6446">
        <w:rPr>
          <w:rFonts w:eastAsia="Times New Roman" w:cs="Arial"/>
          <w:szCs w:val="22"/>
        </w:rPr>
        <w:t>). All these different mechanisms of actions appear to be functional, depending on the promoters and the tissues affected by this GR isoform. Recently, the human GRb was shown to possess intrinsic transcriptional activity independent to its dominant negative effect on GRa-induced transcriptional activity, while the physiologic role(s) of this activi</w:t>
      </w:r>
      <w:r w:rsidR="007F00F7" w:rsidRPr="00AF6446">
        <w:rPr>
          <w:rFonts w:eastAsia="Times New Roman" w:cs="Arial"/>
          <w:szCs w:val="22"/>
        </w:rPr>
        <w:t>ty remain(s) to be examined (342,361</w:t>
      </w:r>
      <w:r w:rsidRPr="00AF6446">
        <w:rPr>
          <w:rFonts w:eastAsia="Times New Roman" w:cs="Arial"/>
          <w:szCs w:val="22"/>
        </w:rPr>
        <w:t>,3</w:t>
      </w:r>
      <w:r w:rsidR="007F00F7" w:rsidRPr="00AF6446">
        <w:rPr>
          <w:rFonts w:eastAsia="Times New Roman" w:cs="Arial"/>
          <w:szCs w:val="22"/>
        </w:rPr>
        <w:t>62</w:t>
      </w:r>
      <w:r w:rsidRPr="00AF6446">
        <w:rPr>
          <w:rFonts w:eastAsia="Times New Roman" w:cs="Arial"/>
          <w:szCs w:val="22"/>
        </w:rPr>
        <w:t>) (see below). Inside the cells, hGRb can localize both in the c</w:t>
      </w:r>
      <w:r w:rsidR="007F00F7" w:rsidRPr="00AF6446">
        <w:rPr>
          <w:rFonts w:eastAsia="Times New Roman" w:cs="Arial"/>
          <w:szCs w:val="22"/>
        </w:rPr>
        <w:t>ytoplasm and in the nucleus (363,364</w:t>
      </w:r>
      <w:r w:rsidRPr="00AF6446">
        <w:rPr>
          <w:rFonts w:eastAsia="Times New Roman" w:cs="Arial"/>
          <w:szCs w:val="22"/>
        </w:rPr>
        <w:t>).</w:t>
      </w:r>
    </w:p>
    <w:p w14:paraId="2902C9FC" w14:textId="77777777" w:rsidR="00190CCD" w:rsidRPr="00AF6446" w:rsidRDefault="00190CCD" w:rsidP="00FF176B">
      <w:pPr>
        <w:shd w:val="clear" w:color="auto" w:fill="FFFFFF"/>
        <w:outlineLvl w:val="1"/>
        <w:rPr>
          <w:rFonts w:eastAsia="Times New Roman" w:cs="Arial"/>
          <w:szCs w:val="22"/>
        </w:rPr>
      </w:pPr>
    </w:p>
    <w:p w14:paraId="6938994A" w14:textId="28116597" w:rsidR="00290B68" w:rsidRPr="00AF6446" w:rsidRDefault="00290B68" w:rsidP="00FF176B">
      <w:pPr>
        <w:shd w:val="clear" w:color="auto" w:fill="FFFFFF"/>
        <w:outlineLvl w:val="1"/>
        <w:rPr>
          <w:rFonts w:eastAsia="Times New Roman" w:cs="Arial"/>
          <w:szCs w:val="22"/>
          <w:bdr w:val="single" w:sz="6" w:space="0" w:color="C0C0C0" w:frame="1"/>
        </w:rPr>
      </w:pPr>
      <w:r w:rsidRPr="00AF6446">
        <w:rPr>
          <w:rFonts w:eastAsia="Times New Roman" w:cs="Arial"/>
          <w:szCs w:val="22"/>
        </w:rPr>
        <w:t>Similar to the human </w:t>
      </w:r>
      <w:r w:rsidRPr="00AF6446">
        <w:rPr>
          <w:rFonts w:eastAsia="Times New Roman" w:cs="Arial"/>
          <w:i/>
          <w:iCs/>
          <w:szCs w:val="22"/>
        </w:rPr>
        <w:t>GR</w:t>
      </w:r>
      <w:r w:rsidRPr="00AF6446">
        <w:rPr>
          <w:rFonts w:eastAsia="Times New Roman" w:cs="Arial"/>
          <w:szCs w:val="22"/>
        </w:rPr>
        <w:t> gene, the zebrafish (z) </w:t>
      </w:r>
      <w:r w:rsidRPr="00AF6446">
        <w:rPr>
          <w:rFonts w:eastAsia="Times New Roman" w:cs="Arial"/>
          <w:i/>
          <w:iCs/>
          <w:szCs w:val="22"/>
        </w:rPr>
        <w:t>GR</w:t>
      </w:r>
      <w:r w:rsidRPr="00AF6446">
        <w:rPr>
          <w:rFonts w:eastAsia="Times New Roman" w:cs="Arial"/>
          <w:szCs w:val="22"/>
        </w:rPr>
        <w:t> gene consists of 9 exons and produces zGRa and zGRb proteins, which contain 746 and 737 amino acids</w:t>
      </w:r>
      <w:r w:rsidR="0079485A" w:rsidRPr="00AF6446">
        <w:rPr>
          <w:rFonts w:eastAsia="Times New Roman" w:cs="Arial"/>
          <w:szCs w:val="22"/>
        </w:rPr>
        <w:t>, respectively (353</w:t>
      </w:r>
      <w:r w:rsidRPr="00AF6446">
        <w:rPr>
          <w:rFonts w:eastAsia="Times New Roman" w:cs="Arial"/>
          <w:szCs w:val="22"/>
        </w:rPr>
        <w:t>) (</w:t>
      </w:r>
      <w:hyperlink r:id="rId60" w:tgtFrame="object" w:history="1">
        <w:r w:rsidRPr="00F47850">
          <w:rPr>
            <w:rFonts w:eastAsia="Times New Roman" w:cs="Arial"/>
            <w:szCs w:val="22"/>
          </w:rPr>
          <w:t>Figure 17</w:t>
        </w:r>
      </w:hyperlink>
      <w:r w:rsidRPr="00AF6446">
        <w:rPr>
          <w:rFonts w:eastAsia="Times New Roman" w:cs="Arial"/>
          <w:szCs w:val="22"/>
        </w:rPr>
        <w:t>). zGRa and zGRb share the N-terminal 697 amino acids, whereas they have specific C-terminal portions, which contain 47 and 40 amino acids, respectively. In contrast to hGRa and hGRb, which are produced through alternative use of specific exon 9a and 9b, zGRa and zGRb are formed as a</w:t>
      </w:r>
      <w:r w:rsidR="0079485A" w:rsidRPr="00AF6446">
        <w:rPr>
          <w:rFonts w:eastAsia="Times New Roman" w:cs="Arial"/>
          <w:szCs w:val="22"/>
        </w:rPr>
        <w:t xml:space="preserve"> result of intron retention (353</w:t>
      </w:r>
      <w:r w:rsidRPr="00AF6446">
        <w:rPr>
          <w:rFonts w:eastAsia="Times New Roman" w:cs="Arial"/>
          <w:szCs w:val="22"/>
        </w:rPr>
        <w:t>). zGRa and zGRb use exon 1 to exon 8 for their common N-terminal 697 amino acids. zGRa uses exon 9 for its specific C-terminal portion, while zGRb continuously employs the rest of exon 8 and uses a stop codon located at the 3’ portion of this exon to express its speci</w:t>
      </w:r>
      <w:r w:rsidR="0079485A" w:rsidRPr="00AF6446">
        <w:rPr>
          <w:rFonts w:eastAsia="Times New Roman" w:cs="Arial"/>
          <w:szCs w:val="22"/>
        </w:rPr>
        <w:t>fic C-terminal peptide (353</w:t>
      </w:r>
      <w:r w:rsidRPr="00AF6446">
        <w:rPr>
          <w:rFonts w:eastAsia="Times New Roman" w:cs="Arial"/>
          <w:szCs w:val="22"/>
        </w:rPr>
        <w:t>). Protein alignment comparison of hGRb and zGRb indicated that these two molecules employ exactly the same divergence point, while their b isoform-specific C-terminal peptides sh</w:t>
      </w:r>
      <w:r w:rsidR="0079485A" w:rsidRPr="00AF6446">
        <w:rPr>
          <w:rFonts w:eastAsia="Times New Roman" w:cs="Arial"/>
          <w:szCs w:val="22"/>
        </w:rPr>
        <w:t>ow little sequence homology (353</w:t>
      </w:r>
      <w:r w:rsidRPr="00AF6446">
        <w:rPr>
          <w:rFonts w:eastAsia="Times New Roman" w:cs="Arial"/>
          <w:szCs w:val="22"/>
        </w:rPr>
        <w:t>). These pieces of molecular information indicate that hGRb and zGRb evolved independently. Mouse (m), and recently, rat (r) GRb are also shown to produce in the same fashion as zGRb, indicating that intron retention may be a general mechanism for expressing this receptor isoform in organisms, while splicing-mediated expression employ</w:t>
      </w:r>
      <w:r w:rsidR="00E02D48" w:rsidRPr="00AF6446">
        <w:rPr>
          <w:rFonts w:eastAsia="Times New Roman" w:cs="Arial"/>
          <w:szCs w:val="22"/>
        </w:rPr>
        <w:t>ed by hGRb is rather unique (355,365</w:t>
      </w:r>
      <w:r w:rsidRPr="00AF6446">
        <w:rPr>
          <w:rFonts w:eastAsia="Times New Roman" w:cs="Arial"/>
          <w:szCs w:val="22"/>
        </w:rPr>
        <w:t xml:space="preserve">). Nevertheless, zebrafish, mouse and rat GRb demonstrated the same functional properties as those of hGRb, namely, inability to bind glucocorticoids, a dominant negative activity on respectively zGRa-, mGRa- and rGRa-induced transactivation of GREs-drive promoters, and a strikingly similar </w:t>
      </w:r>
      <w:r w:rsidR="00C24E27" w:rsidRPr="00AF6446">
        <w:rPr>
          <w:rFonts w:eastAsia="Times New Roman" w:cs="Arial"/>
          <w:szCs w:val="22"/>
        </w:rPr>
        <w:t>tissue distribution as hGRb (353,365</w:t>
      </w:r>
      <w:r w:rsidRPr="00AF6446">
        <w:rPr>
          <w:rFonts w:eastAsia="Times New Roman" w:cs="Arial"/>
          <w:szCs w:val="22"/>
        </w:rPr>
        <w:t>). Thus, hGRb, mGRb, rGRb and zGRb were produced through convergent evolution, most likely developed through a strong requirement of this type of GR isoform in the survival of these species. Indeed, the presence of nonligand-binding C-terminal variants is not unique to the GR. Similar to the human, mouse, rat and zebrafish GR, several other human NRs, e.g. ERb, TRa, vitamin D receptor (VDR), constitutive androstane receptor (CAR), dosage-sensitive sex reversal-1 (DAX-1), NURR-2, NOR-2, PPARα and PPARγ, all have C-terminally truncated receptor isoforms that are defective in binding to cognate ligands and have a dominant negative activity on their corr</w:t>
      </w:r>
      <w:r w:rsidR="00C24E27" w:rsidRPr="00AF6446">
        <w:rPr>
          <w:rFonts w:eastAsia="Times New Roman" w:cs="Arial"/>
          <w:szCs w:val="22"/>
        </w:rPr>
        <w:t>esponding classic receptors (366-375</w:t>
      </w:r>
      <w:r w:rsidRPr="00AF6446">
        <w:rPr>
          <w:rFonts w:eastAsia="Times New Roman" w:cs="Arial"/>
          <w:szCs w:val="22"/>
        </w:rPr>
        <w:t>). This suggests that evolution has allowed the development and retention of such alternative NRs, probably because they play important biologic roles.</w:t>
      </w: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"https://www.ncbi.nlm.nih.gov/core/lw/2.0/html/tileshop_pmc/tileshop_pmc_inline.html?title=Figure%2017.%20Genomic%20and%20complementary%20DNA%20and%20protein%20structure%20of%20the%20zebrafish%20GR%20isoforms.&amp;p=BOOKS&amp;id=279171_glucocort-receptor_GR-Figure-17.jpg" \o "Click on image to zoom" \t "tileshopwindow" </w:instrText>
      </w:r>
      <w:r w:rsidRPr="00AF6446">
        <w:rPr>
          <w:rFonts w:eastAsia="Times New Roman" w:cs="Arial"/>
          <w:szCs w:val="22"/>
        </w:rPr>
        <w:fldChar w:fldCharType="separate"/>
      </w:r>
    </w:p>
    <w:p w14:paraId="3674DAAB" w14:textId="32DA34B0" w:rsidR="00290B68" w:rsidRPr="00AF6446" w:rsidRDefault="00290B68" w:rsidP="00FF176B">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137ADF42" wp14:editId="7D4E10CD">
            <wp:extent cx="6040793" cy="3299783"/>
            <wp:effectExtent l="0" t="0" r="0" b="0"/>
            <wp:docPr id="37" name="Picture 37" descr="Figure 17. Genomic and complementary DNA and protein structure of the zebrafish GR isoforms.">
              <a:hlinkClick xmlns:a="http://schemas.openxmlformats.org/drawingml/2006/main" r:id="rId61"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17. Genomic and complementary DNA and protein structure of the zebrafish GR isoforms.">
                      <a:hlinkClick r:id="rId61" tgtFrame="&quot;tileshopwindow&quot;" tooltip="&quot;Click on image to zoom&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4891" cy="3323871"/>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17</w:t>
      </w:r>
      <w:r w:rsidR="00190CCD" w:rsidRPr="00AF6446">
        <w:rPr>
          <w:rFonts w:eastAsia="Times New Roman" w:cs="Arial"/>
          <w:b/>
          <w:bCs/>
          <w:szCs w:val="22"/>
        </w:rPr>
        <w:t xml:space="preserve">. </w:t>
      </w:r>
      <w:r w:rsidRPr="00AF6446">
        <w:rPr>
          <w:rFonts w:eastAsia="Times New Roman" w:cs="Arial"/>
          <w:b/>
          <w:bCs/>
          <w:szCs w:val="22"/>
        </w:rPr>
        <w:t>Genomic and complementary DNA and protein structure of the zebrafish GR isoforms.</w:t>
      </w:r>
      <w:r w:rsidR="007350DA">
        <w:rPr>
          <w:rFonts w:eastAsia="Times New Roman" w:cs="Arial"/>
          <w:b/>
          <w:bCs/>
          <w:szCs w:val="22"/>
        </w:rPr>
        <w:t xml:space="preserve"> </w:t>
      </w:r>
      <w:r w:rsidRPr="00AF6446">
        <w:rPr>
          <w:rFonts w:eastAsia="Times New Roman" w:cs="Arial"/>
          <w:b/>
          <w:bCs/>
          <w:szCs w:val="22"/>
        </w:rPr>
        <w:t>The zebrafish (z) GR gene consists of 9 exons. The zGR gene expresses zGR</w:t>
      </w:r>
      <w:r w:rsidR="007B42D5" w:rsidRPr="00AF6446">
        <w:rPr>
          <w:rFonts w:eastAsia="Times New Roman" w:cs="Arial"/>
          <w:b/>
          <w:bCs/>
          <w:szCs w:val="22"/>
        </w:rPr>
        <w:t>a</w:t>
      </w:r>
      <w:r w:rsidRPr="00AF6446">
        <w:rPr>
          <w:rFonts w:eastAsia="Times New Roman" w:cs="Arial"/>
          <w:b/>
          <w:bCs/>
          <w:szCs w:val="22"/>
        </w:rPr>
        <w:t xml:space="preserve"> and zGR</w:t>
      </w:r>
      <w:r w:rsidR="007B42D5" w:rsidRPr="00AF6446">
        <w:rPr>
          <w:rFonts w:eastAsia="Times New Roman" w:cs="Arial"/>
          <w:b/>
          <w:bCs/>
          <w:szCs w:val="22"/>
        </w:rPr>
        <w:t>b</w:t>
      </w:r>
      <w:r w:rsidRPr="00AF6446">
        <w:rPr>
          <w:rFonts w:eastAsia="Times New Roman" w:cs="Arial"/>
          <w:b/>
          <w:bCs/>
          <w:szCs w:val="22"/>
        </w:rPr>
        <w:t xml:space="preserve"> splicing variants</w:t>
      </w:r>
      <w:r w:rsidR="007B42D5" w:rsidRPr="00AF6446">
        <w:rPr>
          <w:rFonts w:eastAsia="Times New Roman" w:cs="Arial"/>
          <w:b/>
          <w:bCs/>
          <w:szCs w:val="22"/>
        </w:rPr>
        <w:t xml:space="preserve"> through intron retention (353</w:t>
      </w:r>
      <w:r w:rsidRPr="00AF6446">
        <w:rPr>
          <w:rFonts w:eastAsia="Times New Roman" w:cs="Arial"/>
          <w:b/>
          <w:bCs/>
          <w:szCs w:val="22"/>
        </w:rPr>
        <w:t>). C-terminal gray colored and shaded domains in zGR</w:t>
      </w:r>
      <w:r w:rsidR="007B42D5" w:rsidRPr="00AF6446">
        <w:rPr>
          <w:rFonts w:eastAsia="Times New Roman" w:cs="Arial"/>
          <w:b/>
          <w:bCs/>
          <w:szCs w:val="22"/>
        </w:rPr>
        <w:t>a</w:t>
      </w:r>
      <w:r w:rsidRPr="00AF6446">
        <w:rPr>
          <w:rFonts w:eastAsia="Times New Roman" w:cs="Arial"/>
          <w:b/>
          <w:bCs/>
          <w:szCs w:val="22"/>
        </w:rPr>
        <w:t xml:space="preserve"> and zGR</w:t>
      </w:r>
      <w:r w:rsidR="007B42D5" w:rsidRPr="00AF6446">
        <w:rPr>
          <w:rFonts w:eastAsia="Times New Roman" w:cs="Arial"/>
          <w:b/>
          <w:bCs/>
          <w:szCs w:val="22"/>
        </w:rPr>
        <w:t>b</w:t>
      </w:r>
      <w:r w:rsidRPr="00AF6446">
        <w:rPr>
          <w:rFonts w:eastAsia="Times New Roman" w:cs="Arial"/>
          <w:b/>
          <w:bCs/>
          <w:szCs w:val="22"/>
        </w:rPr>
        <w:t xml:space="preserve"> show their specific portions. They are respectively encoded by exon 9 and the 3’ portion of exon 8, which are also shown in the same labeling in the genomic and complementary DNA models. Mouse and rat GR are produ</w:t>
      </w:r>
      <w:r w:rsidR="007B42D5" w:rsidRPr="00AF6446">
        <w:rPr>
          <w:rFonts w:eastAsia="Times New Roman" w:cs="Arial"/>
          <w:b/>
          <w:bCs/>
          <w:szCs w:val="22"/>
        </w:rPr>
        <w:t>ced with the same mechanism (355). Modified from (352</w:t>
      </w:r>
      <w:r w:rsidRPr="00AF6446">
        <w:rPr>
          <w:rFonts w:eastAsia="Times New Roman" w:cs="Arial"/>
          <w:b/>
          <w:bCs/>
          <w:szCs w:val="22"/>
        </w:rPr>
        <w:t>).</w:t>
      </w:r>
      <w:r w:rsidR="007350DA">
        <w:rPr>
          <w:rFonts w:eastAsia="Times New Roman" w:cs="Arial"/>
          <w:b/>
          <w:bCs/>
          <w:szCs w:val="22"/>
        </w:rPr>
        <w:t xml:space="preserve"> </w:t>
      </w:r>
      <w:r w:rsidRPr="00AF6446">
        <w:rPr>
          <w:rFonts w:eastAsia="Times New Roman" w:cs="Arial"/>
          <w:b/>
          <w:bCs/>
          <w:szCs w:val="22"/>
        </w:rPr>
        <w:t>DBD: DNA-binding domain; LBD: Ligand-binding domain; NTD: N-terminal domain; UTR: untranslated region.</w:t>
      </w:r>
    </w:p>
    <w:p w14:paraId="507D0905" w14:textId="77777777" w:rsidR="00190CCD" w:rsidRPr="00AF6446" w:rsidRDefault="00190CCD" w:rsidP="00AF6446">
      <w:pPr>
        <w:shd w:val="clear" w:color="auto" w:fill="FFFFFF"/>
        <w:rPr>
          <w:rFonts w:eastAsia="Times New Roman" w:cs="Arial"/>
          <w:szCs w:val="22"/>
        </w:rPr>
      </w:pPr>
    </w:p>
    <w:p w14:paraId="3BF59675" w14:textId="08A2CB0A" w:rsidR="00290B68" w:rsidRPr="00AF6446" w:rsidRDefault="00290B68" w:rsidP="00AF6446">
      <w:pPr>
        <w:shd w:val="clear" w:color="auto" w:fill="FFFFFF"/>
        <w:rPr>
          <w:rFonts w:eastAsia="Times New Roman" w:cs="Arial"/>
          <w:szCs w:val="22"/>
        </w:rPr>
      </w:pPr>
      <w:r w:rsidRPr="00AF6446">
        <w:rPr>
          <w:rFonts w:eastAsia="Times New Roman" w:cs="Arial"/>
          <w:szCs w:val="22"/>
        </w:rPr>
        <w:t>Biological actions of GRb and associated molecular mechanisms have been e</w:t>
      </w:r>
      <w:r w:rsidR="007B42D5" w:rsidRPr="00AF6446">
        <w:rPr>
          <w:rFonts w:eastAsia="Times New Roman" w:cs="Arial"/>
          <w:szCs w:val="22"/>
        </w:rPr>
        <w:t>xamined further during the last</w:t>
      </w:r>
      <w:r w:rsidRPr="00AF6446">
        <w:rPr>
          <w:rFonts w:eastAsia="Times New Roman" w:cs="Arial"/>
          <w:szCs w:val="22"/>
        </w:rPr>
        <w:t xml:space="preserve"> years. Using adeno-associated virus-based transfer of GRb to mouse liver, this isoform modulates mRNA expression of many genes in this organ including those related to endocrine system disorders, cancer, gastrointestinal diseases and immune diseases/inflammatory response both in a GRa-dependen</w:t>
      </w:r>
      <w:r w:rsidR="007B42D5" w:rsidRPr="00AF6446">
        <w:rPr>
          <w:rFonts w:eastAsia="Times New Roman" w:cs="Arial"/>
          <w:szCs w:val="22"/>
        </w:rPr>
        <w:t>t and -independent fashions (376</w:t>
      </w:r>
      <w:r w:rsidRPr="00AF6446">
        <w:rPr>
          <w:rFonts w:eastAsia="Times New Roman" w:cs="Arial"/>
          <w:szCs w:val="22"/>
        </w:rPr>
        <w:t>). Specifically, GRb attenuates GRa-dependent expression of the hepatic </w:t>
      </w:r>
      <w:r w:rsidRPr="00AF6446">
        <w:rPr>
          <w:rFonts w:eastAsia="Times New Roman" w:cs="Arial"/>
          <w:i/>
          <w:iCs/>
          <w:szCs w:val="22"/>
        </w:rPr>
        <w:t>PEPCK</w:t>
      </w:r>
      <w:r w:rsidRPr="00AF6446">
        <w:rPr>
          <w:rFonts w:eastAsia="Times New Roman" w:cs="Arial"/>
          <w:szCs w:val="22"/>
        </w:rPr>
        <w:t> gene and hepatic gluconeogenesis, while GRb stimulates expression of STAT1 through GREs located in the intergenic area close to the latter gene. The latter finding suggests that GRb can regulate gene expression by binding to classic GREs, in contrast to the prev</w:t>
      </w:r>
      <w:r w:rsidR="007B42D5" w:rsidRPr="00AF6446">
        <w:rPr>
          <w:rFonts w:eastAsia="Times New Roman" w:cs="Arial"/>
          <w:szCs w:val="22"/>
        </w:rPr>
        <w:t>ious findings obtained with GRE</w:t>
      </w:r>
      <w:r w:rsidRPr="00AF6446">
        <w:rPr>
          <w:rFonts w:eastAsia="Times New Roman" w:cs="Arial"/>
          <w:szCs w:val="22"/>
        </w:rPr>
        <w:t>-driven reporter genes. In addition, GRb antagonizes to GRa-mediated suppression of bladder cancer cell migration and m</w:t>
      </w:r>
      <w:r w:rsidR="007B42D5" w:rsidRPr="00AF6446">
        <w:rPr>
          <w:rFonts w:eastAsia="Times New Roman" w:cs="Arial"/>
          <w:szCs w:val="22"/>
        </w:rPr>
        <w:t>yogenesis of cardiomyocytes (377,378</w:t>
      </w:r>
      <w:r w:rsidRPr="00AF6446">
        <w:rPr>
          <w:rFonts w:eastAsia="Times New Roman" w:cs="Arial"/>
          <w:szCs w:val="22"/>
        </w:rPr>
        <w:t>). GRb suppresses PTEN expression and enhances insulin-stimulated growth by stimulating the phosphorylation of AKT1 i</w:t>
      </w:r>
      <w:r w:rsidR="007B42D5" w:rsidRPr="00AF6446">
        <w:rPr>
          <w:rFonts w:eastAsia="Times New Roman" w:cs="Arial"/>
          <w:szCs w:val="22"/>
        </w:rPr>
        <w:t>n a GRa-independent fashion (379</w:t>
      </w:r>
      <w:r w:rsidRPr="00AF6446">
        <w:rPr>
          <w:rFonts w:eastAsia="Times New Roman" w:cs="Arial"/>
          <w:szCs w:val="22"/>
        </w:rPr>
        <w:t xml:space="preserve">). Further, GRb acts as a coactivator of T-cell factor-4 and enhances glioma cell proliferation also </w:t>
      </w:r>
      <w:r w:rsidR="007B42D5" w:rsidRPr="00AF6446">
        <w:rPr>
          <w:rFonts w:eastAsia="Times New Roman" w:cs="Arial"/>
          <w:szCs w:val="22"/>
        </w:rPr>
        <w:t>in a GRa-independent manner (380</w:t>
      </w:r>
      <w:r w:rsidRPr="00AF6446">
        <w:rPr>
          <w:rFonts w:eastAsia="Times New Roman" w:cs="Arial"/>
          <w:szCs w:val="22"/>
        </w:rPr>
        <w:t>).</w:t>
      </w:r>
    </w:p>
    <w:p w14:paraId="5799D328" w14:textId="4CA32F67"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Several clinically oriented investigations suggest that GRb is responsible for the development of tissue-specific insensitivity to glucocorticoids in various disorders, most of them associated with </w:t>
      </w:r>
      <w:r w:rsidRPr="00AF6446">
        <w:rPr>
          <w:rFonts w:eastAsia="Times New Roman" w:cs="Arial"/>
          <w:szCs w:val="22"/>
        </w:rPr>
        <w:lastRenderedPageBreak/>
        <w:t>dysregulation of immune function. They include glucocorticoid-resistant asthma, rheumatoid arthritis (RA), systemic lupus erythematosus (SLE), ankylosing spondylitis, chronic lymphocyti</w:t>
      </w:r>
      <w:r w:rsidR="006362B2" w:rsidRPr="00AF6446">
        <w:rPr>
          <w:rFonts w:eastAsia="Times New Roman" w:cs="Arial"/>
          <w:szCs w:val="22"/>
        </w:rPr>
        <w:t>c leukemia and nasal polyps (381-387</w:t>
      </w:r>
      <w:r w:rsidRPr="00AF6446">
        <w:rPr>
          <w:rFonts w:eastAsia="Times New Roman" w:cs="Arial"/>
          <w:szCs w:val="22"/>
        </w:rPr>
        <w:t>). In these studies, various immune cells express elevated levels of GRb, which correlate with reduced sensitivity to glucocorticoids. Viral infection also stimulates GRb expression: for example, its expression in the peripheral mononuclear cells is strongly stimulated in the infants with bronchiolitis caused by the respiratory syncytial virus infection, and its expression levels are correlated w</w:t>
      </w:r>
      <w:r w:rsidR="00EA26E8" w:rsidRPr="00AF6446">
        <w:rPr>
          <w:rFonts w:eastAsia="Times New Roman" w:cs="Arial"/>
          <w:szCs w:val="22"/>
        </w:rPr>
        <w:t>ith severity of the disease (388</w:t>
      </w:r>
      <w:r w:rsidRPr="00AF6446">
        <w:rPr>
          <w:rFonts w:eastAsia="Times New Roman" w:cs="Arial"/>
          <w:szCs w:val="22"/>
        </w:rPr>
        <w:t>). Elevated levels of pro-inflammatory cytokines, such as IL-1, -2, -4, -7, -8 and -18, TNFa, and interferons a and g, might be responsible for increased GRb expression in cells from patients with these pathologic conditions, as these cytokines experimentally stimulate the expression of GRb in lymphocytes, neutrophils or</w:t>
      </w:r>
      <w:r w:rsidR="00EA26E8" w:rsidRPr="00AF6446">
        <w:rPr>
          <w:rFonts w:eastAsia="Times New Roman" w:cs="Arial"/>
          <w:szCs w:val="22"/>
        </w:rPr>
        <w:t xml:space="preserve"> airway smooth muscle cells (389-394</w:t>
      </w:r>
      <w:r w:rsidRPr="00AF6446">
        <w:rPr>
          <w:rFonts w:eastAsia="Times New Roman" w:cs="Arial"/>
          <w:szCs w:val="22"/>
        </w:rPr>
        <w:t>). Further, presence of a single nucleotide polymorphism in the 3’ UTR of the hGRb mRNA (rs6198G allele), which increases its stability, and thus, causes elevated expression of the GRb protein, was associated with increased incidence of RA, SLE, high blood pressure, ischemic heart disease and nasal carriage of </w:t>
      </w:r>
      <w:r w:rsidRPr="00AF6446">
        <w:rPr>
          <w:rFonts w:eastAsia="Times New Roman" w:cs="Arial"/>
          <w:i/>
          <w:iCs/>
          <w:szCs w:val="22"/>
        </w:rPr>
        <w:t>Staphylococcus aureus</w:t>
      </w:r>
      <w:r w:rsidR="00797821" w:rsidRPr="00AF6446">
        <w:rPr>
          <w:rFonts w:eastAsia="Times New Roman" w:cs="Arial"/>
          <w:szCs w:val="22"/>
        </w:rPr>
        <w:t> (382,395-397</w:t>
      </w:r>
      <w:r w:rsidRPr="00AF6446">
        <w:rPr>
          <w:rFonts w:eastAsia="Times New Roman" w:cs="Arial"/>
          <w:szCs w:val="22"/>
        </w:rPr>
        <w:t>), possibly through inhibition of glucocorticoid actions by the increased concentrations of GRb. These pieces of clinical evidence further support that GRb has a dominant negative activity on GRa-induced transcription inside the human body, functioning as a negative regulator of glucocorticoid actions in local tissues.</w:t>
      </w:r>
    </w:p>
    <w:p w14:paraId="2D38DDB9" w14:textId="77777777" w:rsidR="00190CCD" w:rsidRPr="00AF6446" w:rsidRDefault="00190CCD" w:rsidP="00AF6446">
      <w:pPr>
        <w:pBdr>
          <w:bottom w:val="single" w:sz="6" w:space="0" w:color="97B0C8"/>
        </w:pBdr>
        <w:shd w:val="clear" w:color="auto" w:fill="FFFFFF"/>
        <w:outlineLvl w:val="1"/>
        <w:rPr>
          <w:rFonts w:eastAsia="Times New Roman" w:cs="Arial"/>
          <w:b/>
          <w:bCs/>
          <w:szCs w:val="22"/>
        </w:rPr>
      </w:pPr>
    </w:p>
    <w:p w14:paraId="528C1BEE" w14:textId="77777777" w:rsidR="00190CCD" w:rsidRPr="00810420" w:rsidRDefault="00290B68" w:rsidP="00AF6446">
      <w:pPr>
        <w:pBdr>
          <w:bottom w:val="single" w:sz="6" w:space="0" w:color="97B0C8"/>
        </w:pBdr>
        <w:shd w:val="clear" w:color="auto" w:fill="FFFFFF"/>
        <w:outlineLvl w:val="1"/>
        <w:rPr>
          <w:rFonts w:eastAsia="Times New Roman" w:cs="Arial"/>
          <w:b/>
          <w:bCs/>
          <w:color w:val="0070C0"/>
          <w:szCs w:val="22"/>
        </w:rPr>
      </w:pPr>
      <w:r w:rsidRPr="00810420">
        <w:rPr>
          <w:rFonts w:eastAsia="Times New Roman" w:cs="Arial"/>
          <w:b/>
          <w:bCs/>
          <w:color w:val="0070C0"/>
          <w:szCs w:val="22"/>
        </w:rPr>
        <w:t>PATHOLOGIC MODULATION OF GR ACTIVITY</w:t>
      </w:r>
    </w:p>
    <w:p w14:paraId="143DA2C7" w14:textId="77777777" w:rsidR="00190CCD" w:rsidRPr="00AF6446" w:rsidRDefault="00190CCD" w:rsidP="00AF6446">
      <w:pPr>
        <w:pBdr>
          <w:bottom w:val="single" w:sz="6" w:space="0" w:color="97B0C8"/>
        </w:pBdr>
        <w:shd w:val="clear" w:color="auto" w:fill="FFFFFF"/>
        <w:outlineLvl w:val="1"/>
        <w:rPr>
          <w:rFonts w:eastAsia="Times New Roman" w:cs="Arial"/>
          <w:b/>
          <w:bCs/>
          <w:szCs w:val="22"/>
        </w:rPr>
      </w:pPr>
    </w:p>
    <w:p w14:paraId="63337431" w14:textId="77777777" w:rsidR="00190CCD" w:rsidRPr="00810420" w:rsidRDefault="00290B68" w:rsidP="00AF6446">
      <w:pPr>
        <w:pBdr>
          <w:bottom w:val="single" w:sz="6" w:space="0" w:color="97B0C8"/>
        </w:pBdr>
        <w:shd w:val="clear" w:color="auto" w:fill="FFFFFF"/>
        <w:outlineLvl w:val="1"/>
        <w:rPr>
          <w:rFonts w:eastAsia="Times New Roman" w:cs="Arial"/>
          <w:b/>
          <w:bCs/>
          <w:color w:val="00B050"/>
          <w:szCs w:val="22"/>
        </w:rPr>
      </w:pPr>
      <w:r w:rsidRPr="00810420">
        <w:rPr>
          <w:rFonts w:eastAsia="Times New Roman" w:cs="Arial"/>
          <w:b/>
          <w:bCs/>
          <w:color w:val="00B050"/>
          <w:szCs w:val="22"/>
        </w:rPr>
        <w:t>Natural Pathologic </w:t>
      </w:r>
      <w:r w:rsidRPr="00810420">
        <w:rPr>
          <w:rFonts w:eastAsia="Times New Roman" w:cs="Arial"/>
          <w:b/>
          <w:bCs/>
          <w:i/>
          <w:iCs/>
          <w:color w:val="00B050"/>
          <w:szCs w:val="22"/>
        </w:rPr>
        <w:t>GR</w:t>
      </w:r>
      <w:r w:rsidRPr="00810420">
        <w:rPr>
          <w:rFonts w:eastAsia="Times New Roman" w:cs="Arial"/>
          <w:b/>
          <w:bCs/>
          <w:color w:val="00B050"/>
          <w:szCs w:val="22"/>
        </w:rPr>
        <w:t> Gene Mutations that Cause Familial/Sporadic Generalized Glucocorticoid Resistance or Chrousos Syndrome</w:t>
      </w:r>
    </w:p>
    <w:p w14:paraId="5DCDFA9C" w14:textId="77777777" w:rsidR="00190CCD" w:rsidRPr="00AF6446" w:rsidRDefault="00190CCD" w:rsidP="00AF6446">
      <w:pPr>
        <w:pBdr>
          <w:bottom w:val="single" w:sz="6" w:space="0" w:color="97B0C8"/>
        </w:pBdr>
        <w:shd w:val="clear" w:color="auto" w:fill="FFFFFF"/>
        <w:outlineLvl w:val="1"/>
        <w:rPr>
          <w:rFonts w:eastAsia="Times New Roman" w:cs="Arial"/>
          <w:b/>
          <w:bCs/>
          <w:szCs w:val="22"/>
        </w:rPr>
      </w:pPr>
    </w:p>
    <w:p w14:paraId="0EA7ECCD" w14:textId="76B12512" w:rsidR="00190CCD" w:rsidRPr="00AF6446" w:rsidRDefault="00290B68"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t>Mutations in the human </w:t>
      </w:r>
      <w:r w:rsidRPr="00AF6446">
        <w:rPr>
          <w:rFonts w:eastAsia="Times New Roman" w:cs="Arial"/>
          <w:i/>
          <w:iCs/>
          <w:szCs w:val="22"/>
        </w:rPr>
        <w:t>GR</w:t>
      </w:r>
      <w:r w:rsidRPr="00AF6446">
        <w:rPr>
          <w:rFonts w:eastAsia="Times New Roman" w:cs="Arial"/>
          <w:szCs w:val="22"/>
        </w:rPr>
        <w:t> gene result in familial/sporadic generalized glucocorticoid resistanc</w:t>
      </w:r>
      <w:r w:rsidR="00984329" w:rsidRPr="00AF6446">
        <w:rPr>
          <w:rFonts w:eastAsia="Times New Roman" w:cs="Arial"/>
          <w:szCs w:val="22"/>
        </w:rPr>
        <w:t>e syndrome [see reviews (398-402</w:t>
      </w:r>
      <w:r w:rsidRPr="00AF6446">
        <w:rPr>
          <w:rFonts w:eastAsia="Times New Roman" w:cs="Arial"/>
          <w:szCs w:val="22"/>
        </w:rPr>
        <w:t>)]. Since this syndrome was first reported by Chrousos </w:t>
      </w:r>
      <w:r w:rsidRPr="00AF6446">
        <w:rPr>
          <w:rFonts w:eastAsia="Times New Roman" w:cs="Arial"/>
          <w:i/>
          <w:iCs/>
          <w:szCs w:val="22"/>
        </w:rPr>
        <w:t>et al.</w:t>
      </w:r>
      <w:r w:rsidR="00670D24" w:rsidRPr="00AF6446">
        <w:rPr>
          <w:rFonts w:eastAsia="Times New Roman" w:cs="Arial"/>
          <w:szCs w:val="22"/>
        </w:rPr>
        <w:t> (403</w:t>
      </w:r>
      <w:r w:rsidRPr="00AF6446">
        <w:rPr>
          <w:rFonts w:eastAsia="Times New Roman" w:cs="Arial"/>
          <w:szCs w:val="22"/>
        </w:rPr>
        <w:t>), we now call it as “Chrousos syndrome”</w:t>
      </w:r>
      <w:r w:rsidR="00670D24" w:rsidRPr="00AF6446">
        <w:rPr>
          <w:rFonts w:eastAsia="Times New Roman" w:cs="Arial"/>
          <w:szCs w:val="22"/>
        </w:rPr>
        <w:t xml:space="preserve"> (398,404)</w:t>
      </w:r>
      <w:r w:rsidRPr="00AF6446">
        <w:rPr>
          <w:rFonts w:eastAsia="Times New Roman" w:cs="Arial"/>
          <w:szCs w:val="22"/>
        </w:rPr>
        <w:t xml:space="preserve">. The condition is characterized by </w:t>
      </w:r>
      <w:r w:rsidR="001752CD" w:rsidRPr="00AF6446">
        <w:rPr>
          <w:rFonts w:eastAsia="Times New Roman" w:cs="Arial"/>
          <w:szCs w:val="22"/>
        </w:rPr>
        <w:t>hypercortisolism</w:t>
      </w:r>
      <w:r w:rsidRPr="00AF6446">
        <w:rPr>
          <w:rFonts w:eastAsia="Times New Roman" w:cs="Arial"/>
          <w:szCs w:val="22"/>
        </w:rPr>
        <w:t xml:space="preserve"> </w:t>
      </w:r>
      <w:r w:rsidR="00D30DF8" w:rsidRPr="00AF6446">
        <w:rPr>
          <w:rFonts w:eastAsia="Times New Roman" w:cs="Arial"/>
          <w:szCs w:val="22"/>
        </w:rPr>
        <w:t>without Cushingoid features (403,405</w:t>
      </w:r>
      <w:r w:rsidRPr="00AF6446">
        <w:rPr>
          <w:rFonts w:eastAsia="Times New Roman" w:cs="Arial"/>
          <w:szCs w:val="22"/>
        </w:rPr>
        <w:t>). To overcome reduced sensitivity to glucocorticoids in tissues, affected subjects have compensatory elevations in circulating cortisol and ACTH concentrations, which maintain circadian rhythmicity and appropriate responsiveness to stressors, and resistance of the HPA axis to dexamethasone suppression, but no clinical evidence of hypercortisolism</w:t>
      </w:r>
      <w:r w:rsidR="004F5EED" w:rsidRPr="00AF6446">
        <w:rPr>
          <w:rFonts w:eastAsia="Times New Roman" w:cs="Arial"/>
          <w:szCs w:val="22"/>
        </w:rPr>
        <w:t xml:space="preserve"> (404)</w:t>
      </w:r>
      <w:r w:rsidRPr="00AF6446">
        <w:rPr>
          <w:rFonts w:eastAsia="Times New Roman" w:cs="Arial"/>
          <w:szCs w:val="22"/>
        </w:rPr>
        <w:t>. Instead, the excess ACTH secretion causes increased production of adrenal steroids with mineralocorticoid activity, such as deoxycorticosterone (DOC) and corticosterone and/or androgenic activity, such as androstenedione, dehydroepiandrosterone (DHEA) and DHEA-sulfate (DHEA-S); The former accounts for symptoms and signs of mineralocorticoid excess, such as hypertension and hypokalemic alkalosis. The latter accounts for the manifestations of androgen excess, such as ambiguous genitalia and precocious puberty in children, acne, hirsutism and infertility in both sexes, male-pattern hair-loss, menstrual irregularities and oligo-anovulation in females, and adrenal rests in the testes and oligospermia in males. The clinical spectrum of the condition is broad and a large number of subjects may be asymptomatic, displaying biochemical alterations only (</w:t>
      </w:r>
      <w:r w:rsidR="004F5EED" w:rsidRPr="00AF6446">
        <w:rPr>
          <w:rFonts w:eastAsia="Times New Roman" w:cs="Arial"/>
          <w:szCs w:val="22"/>
        </w:rPr>
        <w:t>404</w:t>
      </w:r>
      <w:r w:rsidRPr="00AF6446">
        <w:rPr>
          <w:rFonts w:eastAsia="Times New Roman" w:cs="Arial"/>
          <w:szCs w:val="22"/>
        </w:rPr>
        <w:t>).</w:t>
      </w:r>
    </w:p>
    <w:p w14:paraId="7CA53329" w14:textId="77777777" w:rsidR="00190CCD" w:rsidRPr="00AF6446" w:rsidRDefault="00190CCD" w:rsidP="00AF6446">
      <w:pPr>
        <w:pBdr>
          <w:bottom w:val="single" w:sz="6" w:space="0" w:color="97B0C8"/>
        </w:pBdr>
        <w:shd w:val="clear" w:color="auto" w:fill="FFFFFF"/>
        <w:outlineLvl w:val="1"/>
        <w:rPr>
          <w:rFonts w:eastAsia="Times New Roman" w:cs="Arial"/>
          <w:szCs w:val="22"/>
        </w:rPr>
      </w:pPr>
    </w:p>
    <w:p w14:paraId="514E91D7" w14:textId="78240725" w:rsidR="00B0169F" w:rsidRDefault="00E77ED6" w:rsidP="00AF6446">
      <w:pPr>
        <w:pBdr>
          <w:bottom w:val="single" w:sz="6" w:space="0" w:color="97B0C8"/>
        </w:pBdr>
        <w:shd w:val="clear" w:color="auto" w:fill="FFFFFF"/>
        <w:outlineLvl w:val="1"/>
        <w:rPr>
          <w:rFonts w:eastAsia="Times New Roman" w:cs="Arial"/>
          <w:szCs w:val="22"/>
        </w:rPr>
      </w:pPr>
      <w:r w:rsidRPr="00AF6446">
        <w:rPr>
          <w:rFonts w:eastAsia="Times New Roman" w:cs="Arial"/>
          <w:szCs w:val="22"/>
        </w:rPr>
        <w:lastRenderedPageBreak/>
        <w:t>An increasing number of</w:t>
      </w:r>
      <w:r w:rsidR="00290B68" w:rsidRPr="00AF6446">
        <w:rPr>
          <w:rFonts w:eastAsia="Times New Roman" w:cs="Arial"/>
          <w:szCs w:val="22"/>
        </w:rPr>
        <w:t xml:space="preserve"> kindreds and sporadic cases with abnormalities in the GR number, affinity for glucocorticoid, stability, and translocation into the</w:t>
      </w:r>
      <w:r w:rsidRPr="00AF6446">
        <w:rPr>
          <w:rFonts w:eastAsia="Times New Roman" w:cs="Arial"/>
          <w:szCs w:val="22"/>
        </w:rPr>
        <w:t xml:space="preserve"> nucleus have been reported (406-414</w:t>
      </w:r>
      <w:r w:rsidR="00290B68" w:rsidRPr="00AF6446">
        <w:rPr>
          <w:rFonts w:eastAsia="Times New Roman" w:cs="Arial"/>
          <w:szCs w:val="22"/>
        </w:rPr>
        <w:t xml:space="preserve">). The molecular defects </w:t>
      </w:r>
      <w:r w:rsidRPr="00AF6446">
        <w:rPr>
          <w:rFonts w:eastAsia="Times New Roman" w:cs="Arial"/>
          <w:szCs w:val="22"/>
        </w:rPr>
        <w:t xml:space="preserve">that </w:t>
      </w:r>
      <w:r w:rsidR="00290B68" w:rsidRPr="00AF6446">
        <w:rPr>
          <w:rFonts w:eastAsia="Times New Roman" w:cs="Arial"/>
          <w:szCs w:val="22"/>
        </w:rPr>
        <w:t xml:space="preserve">have been elucidated </w:t>
      </w:r>
      <w:r w:rsidRPr="00AF6446">
        <w:rPr>
          <w:rFonts w:eastAsia="Times New Roman" w:cs="Arial"/>
          <w:szCs w:val="22"/>
        </w:rPr>
        <w:t xml:space="preserve">are presented in </w:t>
      </w:r>
      <w:hyperlink r:id="rId63" w:tgtFrame="object" w:history="1">
        <w:r w:rsidR="00290B68" w:rsidRPr="00F47850">
          <w:rPr>
            <w:rFonts w:eastAsia="Times New Roman" w:cs="Arial"/>
            <w:szCs w:val="22"/>
          </w:rPr>
          <w:t>Figure 18</w:t>
        </w:r>
      </w:hyperlink>
      <w:r w:rsidR="00290B68" w:rsidRPr="00AF6446">
        <w:rPr>
          <w:rFonts w:eastAsia="Times New Roman" w:cs="Arial"/>
          <w:szCs w:val="22"/>
        </w:rPr>
        <w:t> and </w:t>
      </w:r>
      <w:hyperlink r:id="rId64" w:tgtFrame="object" w:history="1">
        <w:r w:rsidR="00290B68" w:rsidRPr="00F47850">
          <w:rPr>
            <w:rFonts w:eastAsia="Times New Roman" w:cs="Arial"/>
            <w:szCs w:val="22"/>
          </w:rPr>
          <w:t>Table 1</w:t>
        </w:r>
      </w:hyperlink>
      <w:r w:rsidR="00290B68" w:rsidRPr="00AF6446">
        <w:rPr>
          <w:rFonts w:eastAsia="Times New Roman" w:cs="Arial"/>
          <w:szCs w:val="22"/>
        </w:rPr>
        <w:t xml:space="preserve">. The propositus of the original kindred was a homozygote for a single nonconservative point mutation, replacing aspartic acid with valine at amino acid 641 in the LBD of GRa; this mutation reduces the binding affinity of the affected receptor for dexamethasone by three-fold and causes loss </w:t>
      </w:r>
      <w:r w:rsidRPr="00AF6446">
        <w:rPr>
          <w:rFonts w:eastAsia="Times New Roman" w:cs="Arial"/>
          <w:szCs w:val="22"/>
        </w:rPr>
        <w:t>of transactivation activity (411</w:t>
      </w:r>
      <w:r w:rsidR="00290B68" w:rsidRPr="00AF6446">
        <w:rPr>
          <w:rFonts w:eastAsia="Times New Roman" w:cs="Arial"/>
          <w:szCs w:val="22"/>
        </w:rPr>
        <w:t>). The proposita of the second family had a 4-base deletion at the 3’-boundary of exon 6, removing a donor splice site. This results in complete ablation of one of the GR alleles in affected members of the family (</w:t>
      </w:r>
      <w:r w:rsidR="00BA0C71" w:rsidRPr="00AF6446">
        <w:rPr>
          <w:rFonts w:eastAsia="Times New Roman" w:cs="Arial"/>
          <w:szCs w:val="22"/>
        </w:rPr>
        <w:t>41</w:t>
      </w:r>
      <w:r w:rsidR="00290B68" w:rsidRPr="00AF6446">
        <w:rPr>
          <w:rFonts w:eastAsia="Times New Roman" w:cs="Arial"/>
          <w:szCs w:val="22"/>
        </w:rPr>
        <w:t>2). Recent research employing mice with GR haploinsufficiency confirmed that ablation of one </w:t>
      </w:r>
      <w:r w:rsidR="00290B68" w:rsidRPr="00AF6446">
        <w:rPr>
          <w:rFonts w:eastAsia="Times New Roman" w:cs="Arial"/>
          <w:i/>
          <w:iCs/>
          <w:szCs w:val="22"/>
        </w:rPr>
        <w:t>GR</w:t>
      </w:r>
      <w:r w:rsidR="00290B68" w:rsidRPr="00AF6446">
        <w:rPr>
          <w:rFonts w:eastAsia="Times New Roman" w:cs="Arial"/>
          <w:szCs w:val="22"/>
        </w:rPr>
        <w:t> allele is sufficient to develop generalize</w:t>
      </w:r>
      <w:r w:rsidR="00995BFF" w:rsidRPr="00AF6446">
        <w:rPr>
          <w:rFonts w:eastAsia="Times New Roman" w:cs="Arial"/>
          <w:szCs w:val="22"/>
        </w:rPr>
        <w:t>d glucocorticoid resistance (415</w:t>
      </w:r>
      <w:r w:rsidR="00290B68" w:rsidRPr="00AF6446">
        <w:rPr>
          <w:rFonts w:eastAsia="Times New Roman" w:cs="Arial"/>
          <w:szCs w:val="22"/>
        </w:rPr>
        <w:t>). The propositus of the third kindred had a single homozygotic point mutation at amino acid 729 (valine to isoleucine: V729I) in the LBD, which reduced both the affinity and the tran</w:t>
      </w:r>
      <w:r w:rsidR="00464D14" w:rsidRPr="00AF6446">
        <w:rPr>
          <w:rFonts w:eastAsia="Times New Roman" w:cs="Arial"/>
          <w:szCs w:val="22"/>
        </w:rPr>
        <w:t>sactivation activity of GRa (41</w:t>
      </w:r>
      <w:r w:rsidR="00995BFF" w:rsidRPr="00AF6446">
        <w:rPr>
          <w:rFonts w:eastAsia="Times New Roman" w:cs="Arial"/>
          <w:szCs w:val="22"/>
        </w:rPr>
        <w:t>4</w:t>
      </w:r>
      <w:r w:rsidR="00290B68" w:rsidRPr="00AF6446">
        <w:rPr>
          <w:rFonts w:eastAsia="Times New Roman" w:cs="Arial"/>
          <w:szCs w:val="22"/>
        </w:rPr>
        <w:t xml:space="preserve">). Several pathologic heterozygotic </w:t>
      </w:r>
      <w:r w:rsidR="00B0169F" w:rsidRPr="00AF6446">
        <w:rPr>
          <w:rFonts w:eastAsia="Times New Roman" w:cs="Arial"/>
          <w:szCs w:val="22"/>
        </w:rPr>
        <w:t xml:space="preserve">or homozygotic </w:t>
      </w:r>
      <w:r w:rsidR="00290B68" w:rsidRPr="00AF6446">
        <w:rPr>
          <w:rFonts w:eastAsia="Times New Roman" w:cs="Arial"/>
          <w:szCs w:val="22"/>
        </w:rPr>
        <w:t xml:space="preserve">mutations </w:t>
      </w:r>
      <w:r w:rsidR="00B0169F" w:rsidRPr="00AF6446">
        <w:rPr>
          <w:rFonts w:eastAsia="Times New Roman" w:cs="Arial"/>
          <w:szCs w:val="22"/>
        </w:rPr>
        <w:t xml:space="preserve">of the </w:t>
      </w:r>
      <w:r w:rsidR="00B0169F" w:rsidRPr="00AF6446">
        <w:rPr>
          <w:rFonts w:eastAsia="Times New Roman" w:cs="Arial"/>
          <w:i/>
          <w:szCs w:val="22"/>
        </w:rPr>
        <w:t>GR</w:t>
      </w:r>
      <w:r w:rsidR="00290B68" w:rsidRPr="00AF6446">
        <w:rPr>
          <w:rFonts w:eastAsia="Times New Roman" w:cs="Arial"/>
          <w:szCs w:val="22"/>
        </w:rPr>
        <w:t xml:space="preserve"> </w:t>
      </w:r>
      <w:r w:rsidR="00B0169F" w:rsidRPr="00AF6446">
        <w:rPr>
          <w:rFonts w:eastAsia="Times New Roman" w:cs="Arial"/>
          <w:szCs w:val="22"/>
        </w:rPr>
        <w:t xml:space="preserve">gene </w:t>
      </w:r>
      <w:r w:rsidR="00290B68" w:rsidRPr="00AF6446">
        <w:rPr>
          <w:rFonts w:eastAsia="Times New Roman" w:cs="Arial"/>
          <w:szCs w:val="22"/>
        </w:rPr>
        <w:t>have been recently identified in the patients as listed in </w:t>
      </w:r>
      <w:hyperlink r:id="rId65" w:tgtFrame="object" w:history="1">
        <w:r w:rsidR="00290B68" w:rsidRPr="007350DA">
          <w:rPr>
            <w:rFonts w:eastAsia="Times New Roman" w:cs="Arial"/>
            <w:szCs w:val="22"/>
          </w:rPr>
          <w:t>Table 1</w:t>
        </w:r>
      </w:hyperlink>
      <w:r w:rsidR="00B0169F" w:rsidRPr="00AF6446">
        <w:rPr>
          <w:rFonts w:eastAsia="Times New Roman" w:cs="Arial"/>
          <w:szCs w:val="22"/>
        </w:rPr>
        <w:t xml:space="preserve"> (</w:t>
      </w:r>
      <w:r w:rsidR="00CE6FBE" w:rsidRPr="00AF6446">
        <w:rPr>
          <w:rFonts w:eastAsia="Times New Roman" w:cs="Arial"/>
          <w:szCs w:val="22"/>
        </w:rPr>
        <w:t>403,</w:t>
      </w:r>
      <w:r w:rsidR="00FC6746" w:rsidRPr="00AF6446">
        <w:rPr>
          <w:rFonts w:eastAsia="Times New Roman" w:cs="Arial"/>
          <w:szCs w:val="22"/>
        </w:rPr>
        <w:t>411-</w:t>
      </w:r>
      <w:r w:rsidR="00C153F9" w:rsidRPr="00AF6446">
        <w:rPr>
          <w:rFonts w:eastAsia="Times New Roman" w:cs="Arial"/>
          <w:szCs w:val="22"/>
        </w:rPr>
        <w:t>444</w:t>
      </w:r>
      <w:r w:rsidR="00B0169F" w:rsidRPr="00AF6446">
        <w:rPr>
          <w:rFonts w:eastAsia="Times New Roman" w:cs="Arial"/>
          <w:szCs w:val="22"/>
        </w:rPr>
        <w:t>)</w:t>
      </w:r>
      <w:r w:rsidR="00290B68" w:rsidRPr="00AF6446">
        <w:rPr>
          <w:rFonts w:eastAsia="Times New Roman" w:cs="Arial"/>
          <w:szCs w:val="22"/>
        </w:rPr>
        <w:t>.</w:t>
      </w:r>
    </w:p>
    <w:p w14:paraId="19331406" w14:textId="77777777" w:rsidR="007350DA" w:rsidRPr="00AF6446" w:rsidRDefault="007350DA" w:rsidP="00AF6446">
      <w:pPr>
        <w:pBdr>
          <w:bottom w:val="single" w:sz="6" w:space="0" w:color="97B0C8"/>
        </w:pBdr>
        <w:shd w:val="clear" w:color="auto" w:fill="FFFFFF"/>
        <w:outlineLvl w:val="1"/>
        <w:rPr>
          <w:rFonts w:eastAsia="Times New Roman" w:cs="Arial"/>
          <w:szCs w:val="22"/>
        </w:rPr>
      </w:pPr>
    </w:p>
    <w:p w14:paraId="0E17DEFB" w14:textId="29708BF4" w:rsidR="00B0169F" w:rsidRPr="00AF6446" w:rsidRDefault="00DB25DC" w:rsidP="00AF6446">
      <w:pPr>
        <w:shd w:val="clear" w:color="auto" w:fill="FFFFFF"/>
        <w:rPr>
          <w:rFonts w:eastAsia="Times New Roman" w:cs="Arial"/>
          <w:szCs w:val="22"/>
        </w:rPr>
      </w:pPr>
      <w:r w:rsidRPr="00AF6446">
        <w:rPr>
          <w:rFonts w:eastAsia="Times New Roman" w:cs="Arial"/>
          <w:noProof/>
          <w:szCs w:val="22"/>
          <w:lang w:val="el-GR" w:eastAsia="el-GR"/>
        </w:rPr>
        <w:drawing>
          <wp:inline distT="0" distB="0" distL="0" distR="0" wp14:anchorId="5DB5C5F6" wp14:editId="1049A659">
            <wp:extent cx="5943600" cy="44577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Διαφάνεια1.TIF"/>
                    <pic:cNvPicPr/>
                  </pic:nvPicPr>
                  <pic:blipFill>
                    <a:blip r:embed="rId6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F374CAF" w14:textId="0CFCC6FD" w:rsidR="00190CCD" w:rsidRPr="00AF6446" w:rsidRDefault="00290B68" w:rsidP="00AF6446">
      <w:pPr>
        <w:shd w:val="clear" w:color="auto" w:fill="FFFFFF"/>
        <w:rPr>
          <w:rFonts w:eastAsia="Times New Roman" w:cs="Arial"/>
          <w:szCs w:val="22"/>
        </w:rPr>
      </w:pPr>
      <w:r w:rsidRPr="00AF6446">
        <w:rPr>
          <w:rFonts w:eastAsia="Times New Roman" w:cs="Arial"/>
          <w:b/>
          <w:bCs/>
          <w:szCs w:val="22"/>
        </w:rPr>
        <w:t>Figure 18</w:t>
      </w:r>
      <w:r w:rsidR="00190CCD" w:rsidRPr="00AF6446">
        <w:rPr>
          <w:rFonts w:eastAsia="Times New Roman" w:cs="Arial"/>
          <w:b/>
          <w:bCs/>
          <w:szCs w:val="22"/>
        </w:rPr>
        <w:t xml:space="preserve">. </w:t>
      </w:r>
      <w:r w:rsidRPr="00AF6446">
        <w:rPr>
          <w:rFonts w:eastAsia="Times New Roman" w:cs="Arial"/>
          <w:b/>
          <w:bCs/>
          <w:szCs w:val="22"/>
        </w:rPr>
        <w:t xml:space="preserve">Location of the known human GR mutations causing Chrousos syndrome or its mirror image, sporadic glucocorticoid hypersensitivity, in the human </w:t>
      </w:r>
      <w:r w:rsidRPr="00AF6446">
        <w:rPr>
          <w:rFonts w:eastAsia="Times New Roman" w:cs="Arial"/>
          <w:b/>
          <w:bCs/>
          <w:i/>
          <w:szCs w:val="22"/>
        </w:rPr>
        <w:t>GR</w:t>
      </w:r>
      <w:r w:rsidRPr="00AF6446">
        <w:rPr>
          <w:rFonts w:eastAsia="Times New Roman" w:cs="Arial"/>
          <w:b/>
          <w:bCs/>
          <w:szCs w:val="22"/>
        </w:rPr>
        <w:t xml:space="preserve"> (NR3C1) gene (A) and in the linearized hGR protein molecule (B).</w:t>
      </w:r>
      <w:r w:rsidR="007350DA">
        <w:rPr>
          <w:rFonts w:eastAsia="Times New Roman" w:cs="Arial"/>
          <w:b/>
          <w:bCs/>
          <w:szCs w:val="22"/>
        </w:rPr>
        <w:t xml:space="preserve"> </w:t>
      </w:r>
      <w:r w:rsidRPr="00AF6446">
        <w:rPr>
          <w:rFonts w:eastAsia="Times New Roman" w:cs="Arial"/>
          <w:b/>
          <w:bCs/>
          <w:szCs w:val="22"/>
        </w:rPr>
        <w:t xml:space="preserve">Nucleoside numbers of the </w:t>
      </w:r>
      <w:r w:rsidRPr="00AF6446">
        <w:rPr>
          <w:rFonts w:eastAsia="Times New Roman" w:cs="Arial"/>
          <w:b/>
          <w:bCs/>
          <w:szCs w:val="22"/>
        </w:rPr>
        <w:lastRenderedPageBreak/>
        <w:t xml:space="preserve">mutated sites are determined by the definition employing adenine of the translation initiation site as number 1. </w:t>
      </w:r>
    </w:p>
    <w:p w14:paraId="70482FAB" w14:textId="7273AB48" w:rsidR="00290B68" w:rsidRPr="00AF6446" w:rsidRDefault="00290B68" w:rsidP="00AF6446">
      <w:pPr>
        <w:shd w:val="clear" w:color="auto" w:fill="FFFFFF"/>
        <w:outlineLvl w:val="2"/>
        <w:rPr>
          <w:rFonts w:eastAsia="Times New Roman" w:cs="Arial"/>
          <w:b/>
          <w:bCs/>
          <w:szCs w:val="22"/>
        </w:rPr>
      </w:pPr>
    </w:p>
    <w:tbl>
      <w:tblPr>
        <w:tblStyle w:val="TableGrid1"/>
        <w:tblW w:w="5680" w:type="pct"/>
        <w:tblInd w:w="-545" w:type="dxa"/>
        <w:tblLayout w:type="fixed"/>
        <w:tblLook w:val="04A0" w:firstRow="1" w:lastRow="0" w:firstColumn="1" w:lastColumn="0" w:noHBand="0" w:noVBand="1"/>
      </w:tblPr>
      <w:tblGrid>
        <w:gridCol w:w="1620"/>
        <w:gridCol w:w="1171"/>
        <w:gridCol w:w="1349"/>
        <w:gridCol w:w="2250"/>
        <w:gridCol w:w="1621"/>
        <w:gridCol w:w="2611"/>
      </w:tblGrid>
      <w:tr w:rsidR="00F176DC" w:rsidRPr="00AF6446" w14:paraId="740A0B32" w14:textId="77777777" w:rsidTr="00F176DC">
        <w:tc>
          <w:tcPr>
            <w:tcW w:w="5000" w:type="pct"/>
            <w:gridSpan w:val="6"/>
            <w:shd w:val="clear" w:color="auto" w:fill="FFFF00"/>
          </w:tcPr>
          <w:p w14:paraId="27AB5C8B" w14:textId="62FB3F66" w:rsidR="00F176DC" w:rsidRPr="00AF6446" w:rsidRDefault="00F176DC" w:rsidP="00AF6446">
            <w:pPr>
              <w:rPr>
                <w:rFonts w:cs="Arial"/>
                <w:b/>
                <w:bCs/>
                <w:szCs w:val="22"/>
              </w:rPr>
            </w:pPr>
            <w:r w:rsidRPr="00F176DC">
              <w:rPr>
                <w:rFonts w:cs="Arial"/>
                <w:b/>
                <w:bCs/>
                <w:szCs w:val="22"/>
              </w:rPr>
              <w:t>Table 1. Mutations in the NR3C1 Gene Causing Familial/Sporadic Generalized Glucocorticoid Resistance (Chrousos) or Hypersensitivity Syndromes</w:t>
            </w:r>
          </w:p>
        </w:tc>
      </w:tr>
      <w:tr w:rsidR="00070953" w:rsidRPr="00AF6446" w14:paraId="101836FD" w14:textId="77777777" w:rsidTr="00F176DC">
        <w:tc>
          <w:tcPr>
            <w:tcW w:w="763" w:type="pct"/>
            <w:shd w:val="clear" w:color="auto" w:fill="auto"/>
            <w:hideMark/>
          </w:tcPr>
          <w:p w14:paraId="1C59B965" w14:textId="77777777" w:rsidR="00664058" w:rsidRPr="00AF6446" w:rsidRDefault="00664058" w:rsidP="00AF6446">
            <w:pPr>
              <w:rPr>
                <w:rFonts w:cs="Arial"/>
                <w:b/>
                <w:bCs/>
                <w:szCs w:val="22"/>
              </w:rPr>
            </w:pPr>
            <w:r w:rsidRPr="00AF6446">
              <w:rPr>
                <w:rFonts w:cs="Arial"/>
                <w:b/>
                <w:bCs/>
                <w:szCs w:val="22"/>
              </w:rPr>
              <w:t>Authors</w:t>
            </w:r>
          </w:p>
        </w:tc>
        <w:tc>
          <w:tcPr>
            <w:tcW w:w="551" w:type="pct"/>
            <w:shd w:val="clear" w:color="auto" w:fill="auto"/>
            <w:hideMark/>
          </w:tcPr>
          <w:p w14:paraId="392A1E59" w14:textId="77777777" w:rsidR="00664058" w:rsidRPr="00AF6446" w:rsidRDefault="00664058" w:rsidP="00AF6446">
            <w:pPr>
              <w:rPr>
                <w:rFonts w:cs="Arial"/>
                <w:b/>
                <w:bCs/>
                <w:szCs w:val="22"/>
              </w:rPr>
            </w:pPr>
            <w:r w:rsidRPr="00AF6446">
              <w:rPr>
                <w:rFonts w:cs="Arial"/>
                <w:b/>
                <w:bCs/>
                <w:szCs w:val="22"/>
              </w:rPr>
              <w:t>cDNA*</w:t>
            </w:r>
          </w:p>
        </w:tc>
        <w:tc>
          <w:tcPr>
            <w:tcW w:w="635" w:type="pct"/>
            <w:shd w:val="clear" w:color="auto" w:fill="auto"/>
            <w:hideMark/>
          </w:tcPr>
          <w:p w14:paraId="1FDB2130" w14:textId="77777777" w:rsidR="00664058" w:rsidRPr="00AF6446" w:rsidRDefault="00664058" w:rsidP="00AF6446">
            <w:pPr>
              <w:rPr>
                <w:rFonts w:cs="Arial"/>
                <w:b/>
                <w:bCs/>
                <w:szCs w:val="22"/>
              </w:rPr>
            </w:pPr>
            <w:r w:rsidRPr="00AF6446">
              <w:rPr>
                <w:rFonts w:cs="Arial"/>
                <w:b/>
                <w:bCs/>
                <w:szCs w:val="22"/>
              </w:rPr>
              <w:t>Amino acid</w:t>
            </w:r>
          </w:p>
        </w:tc>
        <w:tc>
          <w:tcPr>
            <w:tcW w:w="1059" w:type="pct"/>
            <w:shd w:val="clear" w:color="auto" w:fill="auto"/>
            <w:hideMark/>
          </w:tcPr>
          <w:p w14:paraId="3494F4A5" w14:textId="77777777" w:rsidR="00664058" w:rsidRPr="00AF6446" w:rsidRDefault="00664058" w:rsidP="00AF6446">
            <w:pPr>
              <w:rPr>
                <w:rFonts w:cs="Arial"/>
                <w:b/>
                <w:bCs/>
                <w:szCs w:val="22"/>
              </w:rPr>
            </w:pPr>
            <w:r w:rsidRPr="00AF6446">
              <w:rPr>
                <w:rFonts w:cs="Arial"/>
                <w:b/>
                <w:bCs/>
                <w:szCs w:val="22"/>
              </w:rPr>
              <w:t>Molecular Defects</w:t>
            </w:r>
          </w:p>
        </w:tc>
        <w:tc>
          <w:tcPr>
            <w:tcW w:w="763" w:type="pct"/>
            <w:shd w:val="clear" w:color="auto" w:fill="auto"/>
            <w:hideMark/>
          </w:tcPr>
          <w:p w14:paraId="517A3F59" w14:textId="77777777" w:rsidR="00664058" w:rsidRPr="00AF6446" w:rsidRDefault="00664058" w:rsidP="00AF6446">
            <w:pPr>
              <w:rPr>
                <w:rFonts w:cs="Arial"/>
                <w:b/>
                <w:bCs/>
                <w:szCs w:val="22"/>
              </w:rPr>
            </w:pPr>
            <w:r w:rsidRPr="00AF6446">
              <w:rPr>
                <w:rFonts w:cs="Arial"/>
                <w:b/>
                <w:bCs/>
                <w:szCs w:val="22"/>
              </w:rPr>
              <w:t>Genotype</w:t>
            </w:r>
          </w:p>
        </w:tc>
        <w:tc>
          <w:tcPr>
            <w:tcW w:w="1229" w:type="pct"/>
            <w:shd w:val="clear" w:color="auto" w:fill="auto"/>
            <w:hideMark/>
          </w:tcPr>
          <w:p w14:paraId="59DD1844" w14:textId="77777777" w:rsidR="00664058" w:rsidRPr="00AF6446" w:rsidRDefault="00664058" w:rsidP="00AF6446">
            <w:pPr>
              <w:rPr>
                <w:rFonts w:cs="Arial"/>
                <w:b/>
                <w:bCs/>
                <w:szCs w:val="22"/>
              </w:rPr>
            </w:pPr>
            <w:r w:rsidRPr="00AF6446">
              <w:rPr>
                <w:rFonts w:cs="Arial"/>
                <w:b/>
                <w:bCs/>
                <w:szCs w:val="22"/>
              </w:rPr>
              <w:t>Phenotype</w:t>
            </w:r>
          </w:p>
        </w:tc>
      </w:tr>
      <w:tr w:rsidR="00070953" w:rsidRPr="00AF6446" w14:paraId="51469073" w14:textId="77777777" w:rsidTr="00F176DC">
        <w:tc>
          <w:tcPr>
            <w:tcW w:w="763" w:type="pct"/>
            <w:shd w:val="clear" w:color="auto" w:fill="auto"/>
            <w:hideMark/>
          </w:tcPr>
          <w:p w14:paraId="50AC04CB" w14:textId="77777777" w:rsidR="00664058" w:rsidRDefault="00664058" w:rsidP="00AF6446">
            <w:pPr>
              <w:rPr>
                <w:rFonts w:cs="Arial"/>
                <w:szCs w:val="22"/>
              </w:rPr>
            </w:pPr>
            <w:r w:rsidRPr="00AF6446">
              <w:rPr>
                <w:rFonts w:cs="Arial"/>
                <w:szCs w:val="22"/>
              </w:rPr>
              <w:t>Chrousos </w:t>
            </w:r>
            <w:r w:rsidRPr="00AF6446">
              <w:rPr>
                <w:rFonts w:cs="Arial"/>
                <w:i/>
                <w:iCs/>
                <w:szCs w:val="22"/>
              </w:rPr>
              <w:t>et al.</w:t>
            </w:r>
            <w:r>
              <w:rPr>
                <w:rFonts w:cs="Arial"/>
                <w:i/>
                <w:iCs/>
                <w:szCs w:val="22"/>
              </w:rPr>
              <w:t xml:space="preserve"> (403)</w:t>
            </w:r>
            <w:r w:rsidRPr="00AF6446">
              <w:rPr>
                <w:rFonts w:cs="Arial"/>
                <w:szCs w:val="22"/>
              </w:rPr>
              <w:br/>
              <w:t>Hurley </w:t>
            </w:r>
            <w:r w:rsidRPr="00AF6446">
              <w:rPr>
                <w:rFonts w:cs="Arial"/>
                <w:i/>
                <w:iCs/>
                <w:szCs w:val="22"/>
              </w:rPr>
              <w:t>et al</w:t>
            </w:r>
            <w:r w:rsidRPr="00AF6446">
              <w:rPr>
                <w:rFonts w:cs="Arial"/>
                <w:szCs w:val="22"/>
              </w:rPr>
              <w:t>.</w:t>
            </w:r>
          </w:p>
          <w:p w14:paraId="0C024940" w14:textId="5088AC88" w:rsidR="00664058" w:rsidRPr="00AF6446" w:rsidRDefault="00664058" w:rsidP="00AF6446">
            <w:pPr>
              <w:rPr>
                <w:rFonts w:cs="Arial"/>
                <w:szCs w:val="22"/>
              </w:rPr>
            </w:pPr>
            <w:r>
              <w:rPr>
                <w:rFonts w:cs="Arial"/>
                <w:szCs w:val="22"/>
              </w:rPr>
              <w:t>(411)</w:t>
            </w:r>
          </w:p>
        </w:tc>
        <w:tc>
          <w:tcPr>
            <w:tcW w:w="551" w:type="pct"/>
            <w:shd w:val="clear" w:color="auto" w:fill="auto"/>
            <w:hideMark/>
          </w:tcPr>
          <w:p w14:paraId="4EC0DEB6" w14:textId="77777777" w:rsidR="00664058" w:rsidRPr="00AF6446" w:rsidRDefault="00664058" w:rsidP="00AF6446">
            <w:pPr>
              <w:rPr>
                <w:rFonts w:cs="Arial"/>
                <w:szCs w:val="22"/>
              </w:rPr>
            </w:pPr>
            <w:r w:rsidRPr="00AF6446">
              <w:rPr>
                <w:rFonts w:cs="Arial"/>
                <w:szCs w:val="22"/>
              </w:rPr>
              <w:t>1922A&gt;T</w:t>
            </w:r>
          </w:p>
        </w:tc>
        <w:tc>
          <w:tcPr>
            <w:tcW w:w="635" w:type="pct"/>
            <w:shd w:val="clear" w:color="auto" w:fill="auto"/>
            <w:hideMark/>
          </w:tcPr>
          <w:p w14:paraId="582CCA60" w14:textId="491F25DD" w:rsidR="00664058" w:rsidRPr="00AF6446" w:rsidRDefault="00664058" w:rsidP="00AF6446">
            <w:pPr>
              <w:rPr>
                <w:rFonts w:cs="Arial"/>
                <w:szCs w:val="22"/>
              </w:rPr>
            </w:pPr>
            <w:r w:rsidRPr="00AF6446">
              <w:rPr>
                <w:rFonts w:cs="Arial"/>
                <w:szCs w:val="22"/>
              </w:rPr>
              <w:t>Asp641Val</w:t>
            </w:r>
          </w:p>
        </w:tc>
        <w:tc>
          <w:tcPr>
            <w:tcW w:w="1059" w:type="pct"/>
            <w:shd w:val="clear" w:color="auto" w:fill="auto"/>
            <w:hideMark/>
          </w:tcPr>
          <w:p w14:paraId="495CB20C" w14:textId="411EDA8D" w:rsidR="00664058" w:rsidRPr="00AF6446" w:rsidRDefault="00664058" w:rsidP="00AF6446">
            <w:pPr>
              <w:rPr>
                <w:rFonts w:cs="Arial"/>
                <w:szCs w:val="22"/>
              </w:rPr>
            </w:pPr>
            <w:r w:rsidRPr="00AF6446">
              <w:rPr>
                <w:rFonts w:cs="Arial"/>
                <w:szCs w:val="22"/>
              </w:rPr>
              <w:t>Transactivation: Decreased</w:t>
            </w:r>
            <w:r w:rsidRPr="00AF6446">
              <w:rPr>
                <w:rFonts w:cs="Arial"/>
                <w:szCs w:val="22"/>
              </w:rPr>
              <w:br/>
              <w:t>Affinity to ligand: Decreased (x3)</w:t>
            </w:r>
            <w:r w:rsidRPr="00AF6446">
              <w:rPr>
                <w:rFonts w:cs="Arial"/>
                <w:szCs w:val="22"/>
              </w:rPr>
              <w:br/>
              <w:t>Nuclear translocation: 22 min</w:t>
            </w:r>
            <w:r w:rsidRPr="00AF6446">
              <w:rPr>
                <w:rFonts w:cs="Arial"/>
                <w:szCs w:val="22"/>
              </w:rPr>
              <w:br/>
              <w:t>Abnormal interaction with GRIP1</w:t>
            </w:r>
          </w:p>
        </w:tc>
        <w:tc>
          <w:tcPr>
            <w:tcW w:w="763" w:type="pct"/>
            <w:shd w:val="clear" w:color="auto" w:fill="auto"/>
            <w:hideMark/>
          </w:tcPr>
          <w:p w14:paraId="042742CA" w14:textId="4424F22C" w:rsidR="00664058" w:rsidRPr="00AF6446" w:rsidRDefault="00664058" w:rsidP="00AF6446">
            <w:pPr>
              <w:rPr>
                <w:rFonts w:cs="Arial"/>
                <w:szCs w:val="22"/>
              </w:rPr>
            </w:pPr>
            <w:r w:rsidRPr="00AF6446">
              <w:rPr>
                <w:rFonts w:cs="Arial"/>
                <w:szCs w:val="22"/>
              </w:rPr>
              <w:t>Homo</w:t>
            </w:r>
            <w:r w:rsidR="00070953">
              <w:rPr>
                <w:rFonts w:cs="Arial"/>
                <w:szCs w:val="22"/>
              </w:rPr>
              <w:t>zygous</w:t>
            </w:r>
          </w:p>
        </w:tc>
        <w:tc>
          <w:tcPr>
            <w:tcW w:w="1229" w:type="pct"/>
            <w:shd w:val="clear" w:color="auto" w:fill="auto"/>
            <w:hideMark/>
          </w:tcPr>
          <w:p w14:paraId="7139FD59" w14:textId="77777777" w:rsidR="00664058" w:rsidRPr="00AF6446" w:rsidRDefault="00664058" w:rsidP="00AF6446">
            <w:pPr>
              <w:rPr>
                <w:rFonts w:cs="Arial"/>
                <w:szCs w:val="22"/>
              </w:rPr>
            </w:pPr>
            <w:r w:rsidRPr="00AF6446">
              <w:rPr>
                <w:rFonts w:cs="Arial"/>
                <w:szCs w:val="22"/>
              </w:rPr>
              <w:t>Hypertension</w:t>
            </w:r>
            <w:r w:rsidRPr="00AF6446">
              <w:rPr>
                <w:rFonts w:cs="Arial"/>
                <w:szCs w:val="22"/>
              </w:rPr>
              <w:br/>
              <w:t>Hypokalemic alkalosis</w:t>
            </w:r>
          </w:p>
        </w:tc>
      </w:tr>
      <w:tr w:rsidR="00070953" w:rsidRPr="00AF6446" w14:paraId="665D3386" w14:textId="77777777" w:rsidTr="00F176DC">
        <w:tc>
          <w:tcPr>
            <w:tcW w:w="763" w:type="pct"/>
            <w:shd w:val="clear" w:color="auto" w:fill="auto"/>
            <w:hideMark/>
          </w:tcPr>
          <w:p w14:paraId="59D14D98" w14:textId="77777777" w:rsidR="00664058" w:rsidRDefault="00664058" w:rsidP="00AF6446">
            <w:pPr>
              <w:rPr>
                <w:rFonts w:cs="Arial"/>
                <w:i/>
                <w:iCs/>
                <w:szCs w:val="22"/>
              </w:rPr>
            </w:pPr>
            <w:r w:rsidRPr="00AF6446">
              <w:rPr>
                <w:rFonts w:cs="Arial"/>
                <w:szCs w:val="22"/>
              </w:rPr>
              <w:t>Karl </w:t>
            </w:r>
            <w:r w:rsidRPr="00AF6446">
              <w:rPr>
                <w:rFonts w:cs="Arial"/>
                <w:i/>
                <w:iCs/>
                <w:szCs w:val="22"/>
              </w:rPr>
              <w:t>et al.</w:t>
            </w:r>
          </w:p>
          <w:p w14:paraId="1B207607" w14:textId="51B1DC1D" w:rsidR="00664058" w:rsidRPr="00AF6446" w:rsidRDefault="00664058" w:rsidP="00AF6446">
            <w:pPr>
              <w:rPr>
                <w:rFonts w:cs="Arial"/>
                <w:szCs w:val="22"/>
              </w:rPr>
            </w:pPr>
            <w:r>
              <w:rPr>
                <w:rFonts w:cs="Arial"/>
                <w:szCs w:val="22"/>
              </w:rPr>
              <w:t>(412)</w:t>
            </w:r>
          </w:p>
        </w:tc>
        <w:tc>
          <w:tcPr>
            <w:tcW w:w="551" w:type="pct"/>
            <w:shd w:val="clear" w:color="auto" w:fill="auto"/>
            <w:hideMark/>
          </w:tcPr>
          <w:p w14:paraId="475CB3BF" w14:textId="77777777" w:rsidR="00664058" w:rsidRPr="00AF6446" w:rsidRDefault="00664058" w:rsidP="00AF6446">
            <w:pPr>
              <w:rPr>
                <w:rFonts w:cs="Arial"/>
                <w:szCs w:val="22"/>
              </w:rPr>
            </w:pPr>
            <w:r w:rsidRPr="00AF6446">
              <w:rPr>
                <w:rFonts w:cs="Arial"/>
                <w:szCs w:val="22"/>
              </w:rPr>
              <w:t>4bp deletion in exon-intron 6</w:t>
            </w:r>
          </w:p>
        </w:tc>
        <w:tc>
          <w:tcPr>
            <w:tcW w:w="635" w:type="pct"/>
            <w:shd w:val="clear" w:color="auto" w:fill="auto"/>
            <w:hideMark/>
          </w:tcPr>
          <w:p w14:paraId="4A6891FC" w14:textId="77777777" w:rsidR="00664058" w:rsidRPr="00AF6446" w:rsidRDefault="00664058" w:rsidP="00AF6446">
            <w:pPr>
              <w:rPr>
                <w:rFonts w:cs="Arial"/>
                <w:szCs w:val="22"/>
              </w:rPr>
            </w:pPr>
          </w:p>
        </w:tc>
        <w:tc>
          <w:tcPr>
            <w:tcW w:w="1059" w:type="pct"/>
            <w:shd w:val="clear" w:color="auto" w:fill="auto"/>
            <w:hideMark/>
          </w:tcPr>
          <w:p w14:paraId="28B54418" w14:textId="77777777" w:rsidR="00664058" w:rsidRPr="00AF6446" w:rsidRDefault="00664058" w:rsidP="00AF6446">
            <w:pPr>
              <w:rPr>
                <w:rFonts w:cs="Arial"/>
                <w:szCs w:val="22"/>
              </w:rPr>
            </w:pPr>
            <w:r w:rsidRPr="00AF6446">
              <w:rPr>
                <w:rFonts w:cs="Arial"/>
                <w:szCs w:val="22"/>
              </w:rPr>
              <w:t>GRa number: 50% reduction</w:t>
            </w:r>
            <w:r w:rsidRPr="00AF6446">
              <w:rPr>
                <w:rFonts w:cs="Arial"/>
                <w:szCs w:val="22"/>
              </w:rPr>
              <w:br/>
              <w:t>Inactivation of affected allele</w:t>
            </w:r>
          </w:p>
        </w:tc>
        <w:tc>
          <w:tcPr>
            <w:tcW w:w="763" w:type="pct"/>
            <w:shd w:val="clear" w:color="auto" w:fill="auto"/>
            <w:hideMark/>
          </w:tcPr>
          <w:p w14:paraId="4D021480"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63D94CC9" w14:textId="77777777" w:rsidR="00664058" w:rsidRPr="00AF6446" w:rsidRDefault="00664058" w:rsidP="00AF6446">
            <w:pPr>
              <w:rPr>
                <w:rFonts w:cs="Arial"/>
                <w:szCs w:val="22"/>
              </w:rPr>
            </w:pPr>
            <w:r w:rsidRPr="00AF6446">
              <w:rPr>
                <w:rFonts w:cs="Arial"/>
                <w:szCs w:val="22"/>
              </w:rPr>
              <w:t>Hirsutism</w:t>
            </w:r>
            <w:r w:rsidRPr="00AF6446">
              <w:rPr>
                <w:rFonts w:cs="Arial"/>
                <w:szCs w:val="22"/>
              </w:rPr>
              <w:br/>
              <w:t>Male-pattern hair-loss</w:t>
            </w:r>
            <w:r w:rsidRPr="00AF6446">
              <w:rPr>
                <w:rFonts w:cs="Arial"/>
                <w:szCs w:val="22"/>
              </w:rPr>
              <w:br/>
              <w:t>Menstrual irregularities</w:t>
            </w:r>
          </w:p>
        </w:tc>
      </w:tr>
      <w:tr w:rsidR="00070953" w:rsidRPr="00AF6446" w14:paraId="0419256E" w14:textId="77777777" w:rsidTr="00F176DC">
        <w:tc>
          <w:tcPr>
            <w:tcW w:w="763" w:type="pct"/>
            <w:shd w:val="clear" w:color="auto" w:fill="auto"/>
            <w:hideMark/>
          </w:tcPr>
          <w:p w14:paraId="208E9285" w14:textId="39F2936A" w:rsidR="00664058" w:rsidRPr="00AF6446" w:rsidRDefault="00664058" w:rsidP="00AF6446">
            <w:pPr>
              <w:rPr>
                <w:rFonts w:cs="Arial"/>
                <w:szCs w:val="22"/>
              </w:rPr>
            </w:pPr>
            <w:r w:rsidRPr="00AF6446">
              <w:rPr>
                <w:rFonts w:cs="Arial"/>
                <w:szCs w:val="22"/>
              </w:rPr>
              <w:t>Malchoff </w:t>
            </w:r>
            <w:r w:rsidRPr="00AF6446">
              <w:rPr>
                <w:rFonts w:cs="Arial"/>
                <w:i/>
                <w:iCs/>
                <w:szCs w:val="22"/>
              </w:rPr>
              <w:t>et al</w:t>
            </w:r>
            <w:r w:rsidRPr="00AF6446">
              <w:rPr>
                <w:rFonts w:cs="Arial"/>
                <w:szCs w:val="22"/>
              </w:rPr>
              <w:t>.</w:t>
            </w:r>
            <w:r>
              <w:rPr>
                <w:rFonts w:cs="Arial"/>
                <w:szCs w:val="22"/>
              </w:rPr>
              <w:t xml:space="preserve"> (414)</w:t>
            </w:r>
          </w:p>
        </w:tc>
        <w:tc>
          <w:tcPr>
            <w:tcW w:w="551" w:type="pct"/>
            <w:shd w:val="clear" w:color="auto" w:fill="auto"/>
            <w:hideMark/>
          </w:tcPr>
          <w:p w14:paraId="1897AEF1" w14:textId="77777777" w:rsidR="00664058" w:rsidRPr="00AF6446" w:rsidRDefault="00664058" w:rsidP="00AF6446">
            <w:pPr>
              <w:rPr>
                <w:rFonts w:cs="Arial"/>
                <w:szCs w:val="22"/>
              </w:rPr>
            </w:pPr>
            <w:r w:rsidRPr="00AF6446">
              <w:rPr>
                <w:rFonts w:cs="Arial"/>
                <w:szCs w:val="22"/>
              </w:rPr>
              <w:t>2185G&gt;A</w:t>
            </w:r>
          </w:p>
        </w:tc>
        <w:tc>
          <w:tcPr>
            <w:tcW w:w="635" w:type="pct"/>
            <w:shd w:val="clear" w:color="auto" w:fill="auto"/>
            <w:hideMark/>
          </w:tcPr>
          <w:p w14:paraId="0E1F16FD" w14:textId="709B820E" w:rsidR="00664058" w:rsidRPr="00AF6446" w:rsidRDefault="00664058" w:rsidP="00AF6446">
            <w:pPr>
              <w:rPr>
                <w:rFonts w:cs="Arial"/>
                <w:szCs w:val="22"/>
              </w:rPr>
            </w:pPr>
            <w:r w:rsidRPr="00AF6446">
              <w:rPr>
                <w:rFonts w:cs="Arial"/>
                <w:szCs w:val="22"/>
              </w:rPr>
              <w:t>Val729Ile</w:t>
            </w:r>
          </w:p>
        </w:tc>
        <w:tc>
          <w:tcPr>
            <w:tcW w:w="1059" w:type="pct"/>
            <w:shd w:val="clear" w:color="auto" w:fill="auto"/>
            <w:hideMark/>
          </w:tcPr>
          <w:p w14:paraId="59C1ADAB" w14:textId="0377A591" w:rsidR="00664058" w:rsidRPr="00AF6446" w:rsidRDefault="00664058" w:rsidP="00AF6446">
            <w:pPr>
              <w:rPr>
                <w:rFonts w:cs="Arial"/>
                <w:szCs w:val="22"/>
              </w:rPr>
            </w:pPr>
            <w:r w:rsidRPr="00AF6446">
              <w:rPr>
                <w:rFonts w:cs="Arial"/>
                <w:szCs w:val="22"/>
              </w:rPr>
              <w:t>Transactivation: Decreased</w:t>
            </w:r>
            <w:r w:rsidRPr="00AF6446">
              <w:rPr>
                <w:rFonts w:cs="Arial"/>
                <w:szCs w:val="22"/>
              </w:rPr>
              <w:br/>
              <w:t>Affinity to ligand: Decreased (x4)</w:t>
            </w:r>
            <w:r w:rsidRPr="00AF6446">
              <w:rPr>
                <w:rFonts w:cs="Arial"/>
                <w:szCs w:val="22"/>
              </w:rPr>
              <w:br/>
              <w:t>Nuclear translocation: 120 min</w:t>
            </w:r>
            <w:r w:rsidRPr="00AF6446">
              <w:rPr>
                <w:rFonts w:cs="Arial"/>
                <w:szCs w:val="22"/>
              </w:rPr>
              <w:br/>
              <w:t>Abnormal interaction with GRIP1</w:t>
            </w:r>
          </w:p>
        </w:tc>
        <w:tc>
          <w:tcPr>
            <w:tcW w:w="763" w:type="pct"/>
            <w:shd w:val="clear" w:color="auto" w:fill="auto"/>
            <w:hideMark/>
          </w:tcPr>
          <w:p w14:paraId="76305714" w14:textId="77777777" w:rsidR="00664058" w:rsidRPr="00AF6446" w:rsidRDefault="00664058" w:rsidP="00AF6446">
            <w:pPr>
              <w:rPr>
                <w:rFonts w:cs="Arial"/>
                <w:szCs w:val="22"/>
              </w:rPr>
            </w:pPr>
            <w:r w:rsidRPr="00AF6446">
              <w:rPr>
                <w:rFonts w:cs="Arial"/>
                <w:szCs w:val="22"/>
              </w:rPr>
              <w:t>Homozygous</w:t>
            </w:r>
          </w:p>
        </w:tc>
        <w:tc>
          <w:tcPr>
            <w:tcW w:w="1229" w:type="pct"/>
            <w:shd w:val="clear" w:color="auto" w:fill="auto"/>
            <w:hideMark/>
          </w:tcPr>
          <w:p w14:paraId="378991ED" w14:textId="77777777" w:rsidR="00664058" w:rsidRPr="00AF6446" w:rsidRDefault="00664058" w:rsidP="00AF6446">
            <w:pPr>
              <w:rPr>
                <w:rFonts w:cs="Arial"/>
                <w:szCs w:val="22"/>
              </w:rPr>
            </w:pPr>
            <w:r w:rsidRPr="00AF6446">
              <w:rPr>
                <w:rFonts w:cs="Arial"/>
                <w:szCs w:val="22"/>
              </w:rPr>
              <w:t>Precocious puberty</w:t>
            </w:r>
            <w:r w:rsidRPr="00AF6446">
              <w:rPr>
                <w:rFonts w:cs="Arial"/>
                <w:szCs w:val="22"/>
              </w:rPr>
              <w:br/>
              <w:t>Hyperandrogenism</w:t>
            </w:r>
          </w:p>
        </w:tc>
      </w:tr>
      <w:tr w:rsidR="00070953" w:rsidRPr="00AF6446" w14:paraId="6FF1B7D4" w14:textId="77777777" w:rsidTr="00F176DC">
        <w:tc>
          <w:tcPr>
            <w:tcW w:w="763" w:type="pct"/>
            <w:shd w:val="clear" w:color="auto" w:fill="auto"/>
            <w:hideMark/>
          </w:tcPr>
          <w:p w14:paraId="53BDB2B8" w14:textId="1E3EC693" w:rsidR="00664058" w:rsidRPr="00AF6446" w:rsidRDefault="00664058" w:rsidP="00AF6446">
            <w:pPr>
              <w:rPr>
                <w:rFonts w:cs="Arial"/>
                <w:szCs w:val="22"/>
              </w:rPr>
            </w:pPr>
            <w:r w:rsidRPr="00AF6446">
              <w:rPr>
                <w:rFonts w:cs="Arial"/>
                <w:szCs w:val="22"/>
              </w:rPr>
              <w:t>Karl </w:t>
            </w:r>
            <w:r w:rsidRPr="00AF6446">
              <w:rPr>
                <w:rFonts w:cs="Arial"/>
                <w:i/>
                <w:iCs/>
                <w:szCs w:val="22"/>
              </w:rPr>
              <w:t>et al.</w:t>
            </w:r>
            <w:r>
              <w:rPr>
                <w:rFonts w:cs="Arial"/>
                <w:i/>
                <w:iCs/>
                <w:szCs w:val="22"/>
              </w:rPr>
              <w:t xml:space="preserve"> (413)</w:t>
            </w:r>
            <w:r w:rsidRPr="00AF6446">
              <w:rPr>
                <w:rFonts w:cs="Arial"/>
                <w:szCs w:val="22"/>
              </w:rPr>
              <w:br/>
              <w:t>Kino </w:t>
            </w:r>
            <w:r w:rsidRPr="00AF6446">
              <w:rPr>
                <w:rFonts w:cs="Arial"/>
                <w:i/>
                <w:iCs/>
                <w:szCs w:val="22"/>
              </w:rPr>
              <w:t>et al.</w:t>
            </w:r>
            <w:r>
              <w:rPr>
                <w:rFonts w:cs="Arial"/>
                <w:i/>
                <w:iCs/>
                <w:szCs w:val="22"/>
              </w:rPr>
              <w:t xml:space="preserve"> (416)</w:t>
            </w:r>
          </w:p>
        </w:tc>
        <w:tc>
          <w:tcPr>
            <w:tcW w:w="551" w:type="pct"/>
            <w:shd w:val="clear" w:color="auto" w:fill="auto"/>
            <w:hideMark/>
          </w:tcPr>
          <w:p w14:paraId="2F7E1ACE" w14:textId="77777777" w:rsidR="00664058" w:rsidRPr="00AF6446" w:rsidRDefault="00664058" w:rsidP="00AF6446">
            <w:pPr>
              <w:rPr>
                <w:rFonts w:cs="Arial"/>
                <w:szCs w:val="22"/>
              </w:rPr>
            </w:pPr>
            <w:r w:rsidRPr="00AF6446">
              <w:rPr>
                <w:rFonts w:cs="Arial"/>
                <w:szCs w:val="22"/>
              </w:rPr>
              <w:t>1676T&gt;A</w:t>
            </w:r>
          </w:p>
        </w:tc>
        <w:tc>
          <w:tcPr>
            <w:tcW w:w="635" w:type="pct"/>
            <w:shd w:val="clear" w:color="auto" w:fill="auto"/>
            <w:hideMark/>
          </w:tcPr>
          <w:p w14:paraId="13D72223" w14:textId="7F1D8711" w:rsidR="00664058" w:rsidRPr="00AF6446" w:rsidRDefault="00664058" w:rsidP="00AF6446">
            <w:pPr>
              <w:rPr>
                <w:rFonts w:cs="Arial"/>
                <w:szCs w:val="22"/>
              </w:rPr>
            </w:pPr>
            <w:r w:rsidRPr="00AF6446">
              <w:rPr>
                <w:rFonts w:cs="Arial"/>
                <w:szCs w:val="22"/>
              </w:rPr>
              <w:t>Ile559Asn</w:t>
            </w:r>
          </w:p>
        </w:tc>
        <w:tc>
          <w:tcPr>
            <w:tcW w:w="1059" w:type="pct"/>
            <w:shd w:val="clear" w:color="auto" w:fill="auto"/>
            <w:hideMark/>
          </w:tcPr>
          <w:p w14:paraId="3F454F43" w14:textId="14BF7479"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w:t>
            </w:r>
            <w:r w:rsidRPr="00AF6446">
              <w:rPr>
                <w:rFonts w:cs="Arial"/>
                <w:szCs w:val="22"/>
              </w:rPr>
              <w:br/>
              <w:t>Decrease in GR binding sites</w:t>
            </w:r>
            <w:r w:rsidRPr="00AF6446">
              <w:rPr>
                <w:rFonts w:cs="Arial"/>
                <w:szCs w:val="22"/>
              </w:rPr>
              <w:br/>
              <w:t>Nuclear translocation: 180&lt; min</w:t>
            </w:r>
            <w:r w:rsidRPr="00AF6446">
              <w:rPr>
                <w:rFonts w:cs="Arial"/>
                <w:szCs w:val="22"/>
              </w:rPr>
              <w:br/>
              <w:t>Abnormal interaction with GRIP1</w:t>
            </w:r>
          </w:p>
        </w:tc>
        <w:tc>
          <w:tcPr>
            <w:tcW w:w="763" w:type="pct"/>
            <w:shd w:val="clear" w:color="auto" w:fill="auto"/>
            <w:hideMark/>
          </w:tcPr>
          <w:p w14:paraId="60FEA02B"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235381DE" w14:textId="77777777" w:rsidR="00664058" w:rsidRPr="00AF6446" w:rsidRDefault="00664058" w:rsidP="00AF6446">
            <w:pPr>
              <w:rPr>
                <w:rFonts w:cs="Arial"/>
                <w:szCs w:val="22"/>
              </w:rPr>
            </w:pPr>
            <w:r w:rsidRPr="00AF6446">
              <w:rPr>
                <w:rFonts w:cs="Arial"/>
                <w:szCs w:val="22"/>
              </w:rPr>
              <w:t>Hypertension</w:t>
            </w:r>
            <w:r w:rsidRPr="00AF6446">
              <w:rPr>
                <w:rFonts w:cs="Arial"/>
                <w:szCs w:val="22"/>
              </w:rPr>
              <w:br/>
              <w:t>Oligospermia</w:t>
            </w:r>
            <w:r w:rsidRPr="00AF6446">
              <w:rPr>
                <w:rFonts w:cs="Arial"/>
                <w:szCs w:val="22"/>
              </w:rPr>
              <w:br/>
              <w:t>Infertility</w:t>
            </w:r>
          </w:p>
        </w:tc>
      </w:tr>
      <w:tr w:rsidR="00070953" w:rsidRPr="00AF6446" w14:paraId="5EC797BE" w14:textId="77777777" w:rsidTr="00F176DC">
        <w:tc>
          <w:tcPr>
            <w:tcW w:w="763" w:type="pct"/>
            <w:shd w:val="clear" w:color="auto" w:fill="auto"/>
            <w:hideMark/>
          </w:tcPr>
          <w:p w14:paraId="27263189" w14:textId="13A7AF98" w:rsidR="00664058" w:rsidRPr="00AF6446" w:rsidRDefault="00664058" w:rsidP="00AF6446">
            <w:pPr>
              <w:rPr>
                <w:rFonts w:cs="Arial"/>
                <w:szCs w:val="22"/>
              </w:rPr>
            </w:pPr>
            <w:r w:rsidRPr="00AF6446">
              <w:rPr>
                <w:rFonts w:cs="Arial"/>
                <w:szCs w:val="22"/>
              </w:rPr>
              <w:t>Ruiz </w:t>
            </w:r>
            <w:r w:rsidRPr="00AF6446">
              <w:rPr>
                <w:rFonts w:cs="Arial"/>
                <w:i/>
                <w:iCs/>
                <w:szCs w:val="22"/>
              </w:rPr>
              <w:t>et al.</w:t>
            </w:r>
            <w:r>
              <w:rPr>
                <w:rFonts w:cs="Arial"/>
                <w:i/>
                <w:iCs/>
                <w:szCs w:val="22"/>
              </w:rPr>
              <w:t xml:space="preserve"> (418)</w:t>
            </w:r>
            <w:r w:rsidRPr="00AF6446">
              <w:rPr>
                <w:rFonts w:cs="Arial"/>
                <w:szCs w:val="22"/>
              </w:rPr>
              <w:br/>
              <w:t>Charmandari </w:t>
            </w:r>
            <w:r w:rsidRPr="00AF6446">
              <w:rPr>
                <w:rFonts w:cs="Arial"/>
                <w:i/>
                <w:iCs/>
                <w:szCs w:val="22"/>
              </w:rPr>
              <w:t>et al.</w:t>
            </w:r>
            <w:r>
              <w:rPr>
                <w:rFonts w:cs="Arial"/>
                <w:i/>
                <w:iCs/>
                <w:szCs w:val="22"/>
              </w:rPr>
              <w:t xml:space="preserve"> (419)</w:t>
            </w:r>
          </w:p>
        </w:tc>
        <w:tc>
          <w:tcPr>
            <w:tcW w:w="551" w:type="pct"/>
            <w:shd w:val="clear" w:color="auto" w:fill="auto"/>
            <w:hideMark/>
          </w:tcPr>
          <w:p w14:paraId="7F470F6F" w14:textId="77777777" w:rsidR="00664058" w:rsidRPr="00AF6446" w:rsidRDefault="00664058" w:rsidP="00AF6446">
            <w:pPr>
              <w:rPr>
                <w:rFonts w:cs="Arial"/>
                <w:szCs w:val="22"/>
              </w:rPr>
            </w:pPr>
            <w:r w:rsidRPr="00AF6446">
              <w:rPr>
                <w:rFonts w:cs="Arial"/>
                <w:szCs w:val="22"/>
              </w:rPr>
              <w:t>1430G&gt;A</w:t>
            </w:r>
          </w:p>
        </w:tc>
        <w:tc>
          <w:tcPr>
            <w:tcW w:w="635" w:type="pct"/>
            <w:shd w:val="clear" w:color="auto" w:fill="auto"/>
            <w:hideMark/>
          </w:tcPr>
          <w:p w14:paraId="64281E24" w14:textId="6CC15449" w:rsidR="00664058" w:rsidRPr="00AF6446" w:rsidRDefault="00664058" w:rsidP="00AF6446">
            <w:pPr>
              <w:rPr>
                <w:rFonts w:cs="Arial"/>
                <w:szCs w:val="22"/>
              </w:rPr>
            </w:pPr>
            <w:r w:rsidRPr="00AF6446">
              <w:rPr>
                <w:rFonts w:cs="Arial"/>
                <w:szCs w:val="22"/>
              </w:rPr>
              <w:t>Arg477His</w:t>
            </w:r>
          </w:p>
        </w:tc>
        <w:tc>
          <w:tcPr>
            <w:tcW w:w="1059" w:type="pct"/>
            <w:shd w:val="clear" w:color="auto" w:fill="auto"/>
            <w:hideMark/>
          </w:tcPr>
          <w:p w14:paraId="72193EFD" w14:textId="4D7BED4C" w:rsidR="00664058" w:rsidRPr="00AF6446" w:rsidRDefault="00664058" w:rsidP="00AF6446">
            <w:pPr>
              <w:rPr>
                <w:rFonts w:cs="Arial"/>
                <w:szCs w:val="22"/>
              </w:rPr>
            </w:pPr>
            <w:r w:rsidRPr="00AF6446">
              <w:rPr>
                <w:rFonts w:cs="Arial"/>
                <w:szCs w:val="22"/>
              </w:rPr>
              <w:t>Transactivation: Decreased</w:t>
            </w:r>
            <w:r w:rsidRPr="00AF6446">
              <w:rPr>
                <w:rFonts w:cs="Arial"/>
                <w:szCs w:val="22"/>
              </w:rPr>
              <w:br/>
              <w:t>No GREs binding</w:t>
            </w:r>
            <w:r w:rsidRPr="00AF6446">
              <w:rPr>
                <w:rFonts w:cs="Arial"/>
                <w:szCs w:val="22"/>
              </w:rPr>
              <w:br/>
              <w:t>Decrease in GR binding sites</w:t>
            </w:r>
            <w:r w:rsidRPr="00AF6446">
              <w:rPr>
                <w:rFonts w:cs="Arial"/>
                <w:szCs w:val="22"/>
              </w:rPr>
              <w:br/>
            </w:r>
            <w:r w:rsidRPr="00AF6446">
              <w:rPr>
                <w:rFonts w:cs="Arial"/>
                <w:szCs w:val="22"/>
              </w:rPr>
              <w:lastRenderedPageBreak/>
              <w:t>Nuclear translocation: 20 min</w:t>
            </w:r>
          </w:p>
        </w:tc>
        <w:tc>
          <w:tcPr>
            <w:tcW w:w="763" w:type="pct"/>
            <w:shd w:val="clear" w:color="auto" w:fill="auto"/>
            <w:hideMark/>
          </w:tcPr>
          <w:p w14:paraId="4D927009" w14:textId="77777777" w:rsidR="00664058" w:rsidRPr="00AF6446" w:rsidRDefault="00664058" w:rsidP="00AF6446">
            <w:pPr>
              <w:rPr>
                <w:rFonts w:cs="Arial"/>
                <w:szCs w:val="22"/>
              </w:rPr>
            </w:pPr>
            <w:r w:rsidRPr="00AF6446">
              <w:rPr>
                <w:rFonts w:cs="Arial"/>
                <w:szCs w:val="22"/>
              </w:rPr>
              <w:lastRenderedPageBreak/>
              <w:t>Heterozygous</w:t>
            </w:r>
          </w:p>
        </w:tc>
        <w:tc>
          <w:tcPr>
            <w:tcW w:w="1229" w:type="pct"/>
            <w:shd w:val="clear" w:color="auto" w:fill="auto"/>
            <w:hideMark/>
          </w:tcPr>
          <w:p w14:paraId="05E0FA7D" w14:textId="77777777" w:rsidR="00664058" w:rsidRPr="00AF6446" w:rsidRDefault="00664058" w:rsidP="00AF6446">
            <w:pPr>
              <w:rPr>
                <w:rFonts w:cs="Arial"/>
                <w:szCs w:val="22"/>
              </w:rPr>
            </w:pPr>
            <w:r w:rsidRPr="00AF6446">
              <w:rPr>
                <w:rFonts w:cs="Arial"/>
                <w:szCs w:val="22"/>
              </w:rPr>
              <w:t>Hirsutism</w:t>
            </w:r>
            <w:r w:rsidRPr="00AF6446">
              <w:rPr>
                <w:rFonts w:cs="Arial"/>
                <w:szCs w:val="22"/>
              </w:rPr>
              <w:br/>
              <w:t>Fatigue</w:t>
            </w:r>
            <w:r w:rsidRPr="00AF6446">
              <w:rPr>
                <w:rFonts w:cs="Arial"/>
                <w:szCs w:val="22"/>
              </w:rPr>
              <w:br/>
              <w:t>Hypertension</w:t>
            </w:r>
          </w:p>
        </w:tc>
      </w:tr>
      <w:tr w:rsidR="00070953" w:rsidRPr="00AF6446" w14:paraId="60A87F3C" w14:textId="77777777" w:rsidTr="00F176DC">
        <w:tc>
          <w:tcPr>
            <w:tcW w:w="763" w:type="pct"/>
            <w:shd w:val="clear" w:color="auto" w:fill="auto"/>
            <w:hideMark/>
          </w:tcPr>
          <w:p w14:paraId="2A154A69" w14:textId="6D143C39" w:rsidR="00664058" w:rsidRPr="00AF6446" w:rsidRDefault="00664058" w:rsidP="00AF6446">
            <w:pPr>
              <w:rPr>
                <w:rFonts w:cs="Arial"/>
                <w:szCs w:val="22"/>
              </w:rPr>
            </w:pPr>
            <w:r w:rsidRPr="00AF6446">
              <w:rPr>
                <w:rFonts w:cs="Arial"/>
                <w:szCs w:val="22"/>
              </w:rPr>
              <w:t>Ruiz </w:t>
            </w:r>
            <w:r w:rsidRPr="00AF6446">
              <w:rPr>
                <w:rFonts w:cs="Arial"/>
                <w:i/>
                <w:iCs/>
                <w:szCs w:val="22"/>
              </w:rPr>
              <w:t>et al.</w:t>
            </w:r>
            <w:r>
              <w:rPr>
                <w:rFonts w:cs="Arial"/>
                <w:i/>
                <w:iCs/>
                <w:szCs w:val="22"/>
              </w:rPr>
              <w:t xml:space="preserve"> (418)</w:t>
            </w:r>
            <w:r w:rsidRPr="00AF6446">
              <w:rPr>
                <w:rFonts w:cs="Arial"/>
                <w:szCs w:val="22"/>
              </w:rPr>
              <w:br/>
              <w:t>Charmandari </w:t>
            </w:r>
            <w:r w:rsidRPr="00AF6446">
              <w:rPr>
                <w:rFonts w:cs="Arial"/>
                <w:i/>
                <w:iCs/>
                <w:szCs w:val="22"/>
              </w:rPr>
              <w:t>et al.</w:t>
            </w:r>
            <w:r>
              <w:rPr>
                <w:rFonts w:cs="Arial"/>
                <w:i/>
                <w:iCs/>
                <w:szCs w:val="22"/>
              </w:rPr>
              <w:t xml:space="preserve"> (419)</w:t>
            </w:r>
          </w:p>
        </w:tc>
        <w:tc>
          <w:tcPr>
            <w:tcW w:w="551" w:type="pct"/>
            <w:shd w:val="clear" w:color="auto" w:fill="auto"/>
            <w:hideMark/>
          </w:tcPr>
          <w:p w14:paraId="0DD477B0" w14:textId="77777777" w:rsidR="00664058" w:rsidRPr="00AF6446" w:rsidRDefault="00664058" w:rsidP="00AF6446">
            <w:pPr>
              <w:rPr>
                <w:rFonts w:cs="Arial"/>
                <w:szCs w:val="22"/>
              </w:rPr>
            </w:pPr>
            <w:r w:rsidRPr="00AF6446">
              <w:rPr>
                <w:rFonts w:cs="Arial"/>
                <w:szCs w:val="22"/>
              </w:rPr>
              <w:t>2035G&gt;A</w:t>
            </w:r>
          </w:p>
        </w:tc>
        <w:tc>
          <w:tcPr>
            <w:tcW w:w="635" w:type="pct"/>
            <w:shd w:val="clear" w:color="auto" w:fill="auto"/>
            <w:hideMark/>
          </w:tcPr>
          <w:p w14:paraId="2B0050BD" w14:textId="427F8C83" w:rsidR="00664058" w:rsidRPr="00AF6446" w:rsidRDefault="00664058" w:rsidP="00AF6446">
            <w:pPr>
              <w:rPr>
                <w:rFonts w:cs="Arial"/>
                <w:szCs w:val="22"/>
              </w:rPr>
            </w:pPr>
            <w:r w:rsidRPr="00AF6446">
              <w:rPr>
                <w:rFonts w:cs="Arial"/>
                <w:szCs w:val="22"/>
              </w:rPr>
              <w:t>Gly679Ser</w:t>
            </w:r>
          </w:p>
        </w:tc>
        <w:tc>
          <w:tcPr>
            <w:tcW w:w="1059" w:type="pct"/>
            <w:shd w:val="clear" w:color="auto" w:fill="auto"/>
            <w:hideMark/>
          </w:tcPr>
          <w:p w14:paraId="4626262C" w14:textId="26006C22" w:rsidR="00664058" w:rsidRPr="00AF6446" w:rsidRDefault="00664058" w:rsidP="00AF6446">
            <w:pPr>
              <w:rPr>
                <w:rFonts w:cs="Arial"/>
                <w:szCs w:val="22"/>
              </w:rPr>
            </w:pPr>
            <w:r w:rsidRPr="00AF6446">
              <w:rPr>
                <w:rFonts w:cs="Arial"/>
                <w:szCs w:val="22"/>
              </w:rPr>
              <w:t>Transactivation: Decreased</w:t>
            </w:r>
            <w:r w:rsidRPr="00AF6446">
              <w:rPr>
                <w:rFonts w:cs="Arial"/>
                <w:szCs w:val="22"/>
              </w:rPr>
              <w:br/>
              <w:t>Affinity to ligand: Decreased (x2)</w:t>
            </w:r>
            <w:r w:rsidRPr="00AF6446">
              <w:rPr>
                <w:rFonts w:cs="Arial"/>
                <w:szCs w:val="22"/>
              </w:rPr>
              <w:br/>
              <w:t>Nuclear translocation: 30 min</w:t>
            </w:r>
            <w:r w:rsidRPr="00AF6446">
              <w:rPr>
                <w:rFonts w:cs="Arial"/>
                <w:szCs w:val="22"/>
              </w:rPr>
              <w:br/>
              <w:t>Abnormal interaction with GRIP1</w:t>
            </w:r>
          </w:p>
        </w:tc>
        <w:tc>
          <w:tcPr>
            <w:tcW w:w="763" w:type="pct"/>
            <w:shd w:val="clear" w:color="auto" w:fill="auto"/>
            <w:hideMark/>
          </w:tcPr>
          <w:p w14:paraId="409332B6"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6A0D49F4" w14:textId="77777777" w:rsidR="00664058" w:rsidRPr="00AF6446" w:rsidRDefault="00664058" w:rsidP="00AF6446">
            <w:pPr>
              <w:rPr>
                <w:rFonts w:cs="Arial"/>
                <w:szCs w:val="22"/>
              </w:rPr>
            </w:pPr>
            <w:r w:rsidRPr="00AF6446">
              <w:rPr>
                <w:rFonts w:cs="Arial"/>
                <w:szCs w:val="22"/>
              </w:rPr>
              <w:t>Hirsutism</w:t>
            </w:r>
            <w:r w:rsidRPr="00AF6446">
              <w:rPr>
                <w:rFonts w:cs="Arial"/>
                <w:szCs w:val="22"/>
              </w:rPr>
              <w:br/>
              <w:t>Fatigue</w:t>
            </w:r>
            <w:r w:rsidRPr="00AF6446">
              <w:rPr>
                <w:rFonts w:cs="Arial"/>
                <w:szCs w:val="22"/>
              </w:rPr>
              <w:br/>
              <w:t>Hypertension</w:t>
            </w:r>
          </w:p>
        </w:tc>
      </w:tr>
      <w:tr w:rsidR="00070953" w:rsidRPr="00AF6446" w14:paraId="05C22F54" w14:textId="77777777" w:rsidTr="00F176DC">
        <w:tc>
          <w:tcPr>
            <w:tcW w:w="763" w:type="pct"/>
            <w:shd w:val="clear" w:color="auto" w:fill="auto"/>
            <w:hideMark/>
          </w:tcPr>
          <w:p w14:paraId="3B261563" w14:textId="4DFD51D5" w:rsidR="00664058" w:rsidRPr="00AF6446" w:rsidRDefault="00664058" w:rsidP="00AF6446">
            <w:pPr>
              <w:rPr>
                <w:rFonts w:cs="Arial"/>
                <w:szCs w:val="22"/>
              </w:rPr>
            </w:pPr>
            <w:r w:rsidRPr="00AF6446">
              <w:rPr>
                <w:rFonts w:cs="Arial"/>
                <w:szCs w:val="22"/>
              </w:rPr>
              <w:t>Mendonca </w:t>
            </w:r>
            <w:r w:rsidRPr="00AF6446">
              <w:rPr>
                <w:rFonts w:cs="Arial"/>
                <w:i/>
                <w:iCs/>
                <w:szCs w:val="22"/>
              </w:rPr>
              <w:t>et al.</w:t>
            </w:r>
            <w:r>
              <w:rPr>
                <w:rFonts w:cs="Arial"/>
                <w:i/>
                <w:iCs/>
                <w:szCs w:val="22"/>
              </w:rPr>
              <w:t xml:space="preserve"> (417)</w:t>
            </w:r>
          </w:p>
        </w:tc>
        <w:tc>
          <w:tcPr>
            <w:tcW w:w="551" w:type="pct"/>
            <w:shd w:val="clear" w:color="auto" w:fill="auto"/>
            <w:hideMark/>
          </w:tcPr>
          <w:p w14:paraId="3F0F42B8" w14:textId="77777777" w:rsidR="00664058" w:rsidRPr="00AF6446" w:rsidRDefault="00664058" w:rsidP="00AF6446">
            <w:pPr>
              <w:rPr>
                <w:rFonts w:cs="Arial"/>
                <w:szCs w:val="22"/>
              </w:rPr>
            </w:pPr>
            <w:r w:rsidRPr="00AF6446">
              <w:rPr>
                <w:rFonts w:cs="Arial"/>
                <w:szCs w:val="22"/>
              </w:rPr>
              <w:t>1712T&gt;C</w:t>
            </w:r>
          </w:p>
        </w:tc>
        <w:tc>
          <w:tcPr>
            <w:tcW w:w="635" w:type="pct"/>
            <w:shd w:val="clear" w:color="auto" w:fill="auto"/>
            <w:hideMark/>
          </w:tcPr>
          <w:p w14:paraId="477F58D2" w14:textId="706B0211" w:rsidR="00664058" w:rsidRPr="00AF6446" w:rsidRDefault="00664058" w:rsidP="00AF6446">
            <w:pPr>
              <w:rPr>
                <w:rFonts w:cs="Arial"/>
                <w:szCs w:val="22"/>
              </w:rPr>
            </w:pPr>
            <w:r w:rsidRPr="00AF6446">
              <w:rPr>
                <w:rFonts w:cs="Arial"/>
                <w:szCs w:val="22"/>
              </w:rPr>
              <w:t>Val571Ala</w:t>
            </w:r>
          </w:p>
        </w:tc>
        <w:tc>
          <w:tcPr>
            <w:tcW w:w="1059" w:type="pct"/>
            <w:shd w:val="clear" w:color="auto" w:fill="auto"/>
            <w:hideMark/>
          </w:tcPr>
          <w:p w14:paraId="7B7F512B" w14:textId="51786D09" w:rsidR="00664058" w:rsidRPr="00AF6446" w:rsidRDefault="00664058" w:rsidP="00AF6446">
            <w:pPr>
              <w:rPr>
                <w:rFonts w:cs="Arial"/>
                <w:szCs w:val="22"/>
              </w:rPr>
            </w:pPr>
            <w:r w:rsidRPr="00AF6446">
              <w:rPr>
                <w:rFonts w:cs="Arial"/>
                <w:szCs w:val="22"/>
              </w:rPr>
              <w:t>Transactivation: Decreased</w:t>
            </w:r>
            <w:r w:rsidRPr="00AF6446">
              <w:rPr>
                <w:rFonts w:cs="Arial"/>
                <w:szCs w:val="22"/>
              </w:rPr>
              <w:br/>
              <w:t>Affinity to ligand: Decreased (x6)</w:t>
            </w:r>
            <w:r w:rsidRPr="00AF6446">
              <w:rPr>
                <w:rFonts w:cs="Arial"/>
                <w:szCs w:val="22"/>
              </w:rPr>
              <w:br/>
              <w:t>Nuclear translocation: 25 min</w:t>
            </w:r>
            <w:r w:rsidRPr="00AF6446">
              <w:rPr>
                <w:rFonts w:cs="Arial"/>
                <w:szCs w:val="22"/>
              </w:rPr>
              <w:br/>
              <w:t>Abnormal interaction with GRIP1</w:t>
            </w:r>
          </w:p>
        </w:tc>
        <w:tc>
          <w:tcPr>
            <w:tcW w:w="763" w:type="pct"/>
            <w:shd w:val="clear" w:color="auto" w:fill="auto"/>
            <w:hideMark/>
          </w:tcPr>
          <w:p w14:paraId="5E59D981" w14:textId="77777777" w:rsidR="00664058" w:rsidRPr="00AF6446" w:rsidRDefault="00664058" w:rsidP="00AF6446">
            <w:pPr>
              <w:rPr>
                <w:rFonts w:cs="Arial"/>
                <w:szCs w:val="22"/>
              </w:rPr>
            </w:pPr>
            <w:r w:rsidRPr="00AF6446">
              <w:rPr>
                <w:rFonts w:cs="Arial"/>
                <w:szCs w:val="22"/>
              </w:rPr>
              <w:t>Homozygous</w:t>
            </w:r>
          </w:p>
        </w:tc>
        <w:tc>
          <w:tcPr>
            <w:tcW w:w="1229" w:type="pct"/>
            <w:shd w:val="clear" w:color="auto" w:fill="auto"/>
            <w:hideMark/>
          </w:tcPr>
          <w:p w14:paraId="37F9FF82" w14:textId="77777777" w:rsidR="00664058" w:rsidRPr="00AF6446" w:rsidRDefault="00664058" w:rsidP="00AF6446">
            <w:pPr>
              <w:rPr>
                <w:rFonts w:cs="Arial"/>
                <w:szCs w:val="22"/>
              </w:rPr>
            </w:pPr>
            <w:r w:rsidRPr="00AF6446">
              <w:rPr>
                <w:rFonts w:cs="Arial"/>
                <w:szCs w:val="22"/>
              </w:rPr>
              <w:t>Ambiguous genitalia</w:t>
            </w:r>
            <w:r w:rsidRPr="00AF6446">
              <w:rPr>
                <w:rFonts w:cs="Arial"/>
                <w:szCs w:val="22"/>
              </w:rPr>
              <w:br/>
              <w:t>Hypertension</w:t>
            </w:r>
            <w:r w:rsidRPr="00AF6446">
              <w:rPr>
                <w:rFonts w:cs="Arial"/>
                <w:szCs w:val="22"/>
              </w:rPr>
              <w:br/>
              <w:t>Hypokalemia</w:t>
            </w:r>
            <w:r w:rsidRPr="00AF6446">
              <w:rPr>
                <w:rFonts w:cs="Arial"/>
                <w:szCs w:val="22"/>
              </w:rPr>
              <w:br/>
              <w:t>Oligo-amenorrhea</w:t>
            </w:r>
          </w:p>
        </w:tc>
      </w:tr>
      <w:tr w:rsidR="00070953" w:rsidRPr="00AF6446" w14:paraId="6F573351" w14:textId="77777777" w:rsidTr="00F176DC">
        <w:tc>
          <w:tcPr>
            <w:tcW w:w="763" w:type="pct"/>
            <w:shd w:val="clear" w:color="auto" w:fill="auto"/>
            <w:hideMark/>
          </w:tcPr>
          <w:p w14:paraId="059E62C4" w14:textId="56558C74" w:rsidR="00664058" w:rsidRPr="00AF6446" w:rsidRDefault="00664058" w:rsidP="00AF6446">
            <w:pPr>
              <w:rPr>
                <w:rFonts w:cs="Arial"/>
                <w:szCs w:val="22"/>
              </w:rPr>
            </w:pPr>
            <w:r w:rsidRPr="00AF6446">
              <w:rPr>
                <w:rFonts w:cs="Arial"/>
                <w:szCs w:val="22"/>
              </w:rPr>
              <w:t>Vottero </w:t>
            </w:r>
            <w:r w:rsidRPr="00AF6446">
              <w:rPr>
                <w:rFonts w:cs="Arial"/>
                <w:i/>
                <w:iCs/>
                <w:szCs w:val="22"/>
              </w:rPr>
              <w:t>et al.</w:t>
            </w:r>
            <w:r>
              <w:rPr>
                <w:rFonts w:cs="Arial"/>
                <w:i/>
                <w:iCs/>
                <w:szCs w:val="22"/>
              </w:rPr>
              <w:t xml:space="preserve"> (420)</w:t>
            </w:r>
          </w:p>
        </w:tc>
        <w:tc>
          <w:tcPr>
            <w:tcW w:w="551" w:type="pct"/>
            <w:shd w:val="clear" w:color="auto" w:fill="auto"/>
            <w:hideMark/>
          </w:tcPr>
          <w:p w14:paraId="283FA3FD" w14:textId="77777777" w:rsidR="00664058" w:rsidRPr="00AF6446" w:rsidRDefault="00664058" w:rsidP="00AF6446">
            <w:pPr>
              <w:rPr>
                <w:rFonts w:cs="Arial"/>
                <w:szCs w:val="22"/>
              </w:rPr>
            </w:pPr>
            <w:r w:rsidRPr="00AF6446">
              <w:rPr>
                <w:rFonts w:cs="Arial"/>
                <w:szCs w:val="22"/>
              </w:rPr>
              <w:t>2241T&gt;G</w:t>
            </w:r>
          </w:p>
        </w:tc>
        <w:tc>
          <w:tcPr>
            <w:tcW w:w="635" w:type="pct"/>
            <w:shd w:val="clear" w:color="auto" w:fill="auto"/>
            <w:hideMark/>
          </w:tcPr>
          <w:p w14:paraId="2C82EFE3" w14:textId="5A498BDC" w:rsidR="00664058" w:rsidRPr="00AF6446" w:rsidRDefault="00664058" w:rsidP="00AF6446">
            <w:pPr>
              <w:rPr>
                <w:rFonts w:cs="Arial"/>
                <w:szCs w:val="22"/>
              </w:rPr>
            </w:pPr>
            <w:r w:rsidRPr="00AF6446">
              <w:rPr>
                <w:rFonts w:cs="Arial"/>
                <w:szCs w:val="22"/>
              </w:rPr>
              <w:t>Ile747Meth</w:t>
            </w:r>
          </w:p>
        </w:tc>
        <w:tc>
          <w:tcPr>
            <w:tcW w:w="1059" w:type="pct"/>
            <w:shd w:val="clear" w:color="auto" w:fill="auto"/>
            <w:hideMark/>
          </w:tcPr>
          <w:p w14:paraId="36399C2D" w14:textId="23FF19B6"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w:t>
            </w:r>
            <w:r w:rsidRPr="00AF6446">
              <w:rPr>
                <w:rFonts w:cs="Arial"/>
                <w:szCs w:val="22"/>
              </w:rPr>
              <w:br/>
              <w:t>Affinity to ligand: Decreased (x2)</w:t>
            </w:r>
            <w:r w:rsidRPr="00AF6446">
              <w:rPr>
                <w:rFonts w:cs="Arial"/>
                <w:szCs w:val="22"/>
              </w:rPr>
              <w:br/>
              <w:t>Nuclear translocation: Decreased</w:t>
            </w:r>
            <w:r w:rsidRPr="00AF6446">
              <w:rPr>
                <w:rFonts w:cs="Arial"/>
                <w:szCs w:val="22"/>
              </w:rPr>
              <w:br/>
              <w:t>Abnormal interaction with GRIP1</w:t>
            </w:r>
          </w:p>
        </w:tc>
        <w:tc>
          <w:tcPr>
            <w:tcW w:w="763" w:type="pct"/>
            <w:shd w:val="clear" w:color="auto" w:fill="auto"/>
            <w:hideMark/>
          </w:tcPr>
          <w:p w14:paraId="5B29337A"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56A8B3F3" w14:textId="18E54242" w:rsidR="00664058" w:rsidRPr="00AF6446" w:rsidRDefault="00664058" w:rsidP="00AF6446">
            <w:pPr>
              <w:rPr>
                <w:rFonts w:cs="Arial"/>
                <w:szCs w:val="22"/>
              </w:rPr>
            </w:pPr>
            <w:r w:rsidRPr="00AF6446">
              <w:rPr>
                <w:rFonts w:cs="Arial"/>
                <w:szCs w:val="22"/>
              </w:rPr>
              <w:t>Cystic acne</w:t>
            </w:r>
            <w:r w:rsidRPr="00AF6446">
              <w:rPr>
                <w:rFonts w:cs="Arial"/>
                <w:szCs w:val="22"/>
              </w:rPr>
              <w:br/>
              <w:t>Hirsutism</w:t>
            </w:r>
            <w:r w:rsidRPr="00AF6446">
              <w:rPr>
                <w:rFonts w:cs="Arial"/>
                <w:szCs w:val="22"/>
              </w:rPr>
              <w:br/>
              <w:t>Oligo-amenorrhea</w:t>
            </w:r>
          </w:p>
        </w:tc>
      </w:tr>
      <w:tr w:rsidR="00070953" w:rsidRPr="00AF6446" w14:paraId="03495557" w14:textId="77777777" w:rsidTr="00F176DC">
        <w:tc>
          <w:tcPr>
            <w:tcW w:w="763" w:type="pct"/>
            <w:shd w:val="clear" w:color="auto" w:fill="auto"/>
            <w:hideMark/>
          </w:tcPr>
          <w:p w14:paraId="7F58AE99" w14:textId="5F3D92CD" w:rsidR="00664058" w:rsidRPr="00AF6446" w:rsidRDefault="00664058" w:rsidP="00AF6446">
            <w:pPr>
              <w:rPr>
                <w:rFonts w:cs="Arial"/>
                <w:szCs w:val="22"/>
              </w:rPr>
            </w:pPr>
            <w:r w:rsidRPr="00AF6446">
              <w:rPr>
                <w:rFonts w:cs="Arial"/>
                <w:szCs w:val="22"/>
              </w:rPr>
              <w:t>Charmandari </w:t>
            </w:r>
            <w:r w:rsidRPr="00AF6446">
              <w:rPr>
                <w:rFonts w:cs="Arial"/>
                <w:i/>
                <w:iCs/>
                <w:szCs w:val="22"/>
              </w:rPr>
              <w:t>et al.</w:t>
            </w:r>
            <w:r>
              <w:rPr>
                <w:rFonts w:cs="Arial"/>
                <w:i/>
                <w:iCs/>
                <w:szCs w:val="22"/>
              </w:rPr>
              <w:t xml:space="preserve"> (421)</w:t>
            </w:r>
          </w:p>
        </w:tc>
        <w:tc>
          <w:tcPr>
            <w:tcW w:w="551" w:type="pct"/>
            <w:shd w:val="clear" w:color="auto" w:fill="auto"/>
            <w:hideMark/>
          </w:tcPr>
          <w:p w14:paraId="082F0D4F" w14:textId="77777777" w:rsidR="00664058" w:rsidRPr="00AF6446" w:rsidRDefault="00664058" w:rsidP="00AF6446">
            <w:pPr>
              <w:rPr>
                <w:rFonts w:cs="Arial"/>
                <w:szCs w:val="22"/>
              </w:rPr>
            </w:pPr>
            <w:r w:rsidRPr="00AF6446">
              <w:rPr>
                <w:rFonts w:cs="Arial"/>
                <w:szCs w:val="22"/>
              </w:rPr>
              <w:t>2318T&gt;C</w:t>
            </w:r>
          </w:p>
        </w:tc>
        <w:tc>
          <w:tcPr>
            <w:tcW w:w="635" w:type="pct"/>
            <w:shd w:val="clear" w:color="auto" w:fill="auto"/>
            <w:hideMark/>
          </w:tcPr>
          <w:p w14:paraId="101E4E91" w14:textId="63515576" w:rsidR="00664058" w:rsidRPr="00AF6446" w:rsidRDefault="00664058" w:rsidP="00AF6446">
            <w:pPr>
              <w:rPr>
                <w:rFonts w:cs="Arial"/>
                <w:szCs w:val="22"/>
              </w:rPr>
            </w:pPr>
            <w:r w:rsidRPr="00AF6446">
              <w:rPr>
                <w:rFonts w:cs="Arial"/>
                <w:szCs w:val="22"/>
              </w:rPr>
              <w:t>Leu773Pro</w:t>
            </w:r>
          </w:p>
        </w:tc>
        <w:tc>
          <w:tcPr>
            <w:tcW w:w="1059" w:type="pct"/>
            <w:shd w:val="clear" w:color="auto" w:fill="auto"/>
            <w:hideMark/>
          </w:tcPr>
          <w:p w14:paraId="75B8D35C" w14:textId="2C8EA05E"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w:t>
            </w:r>
            <w:r w:rsidRPr="00AF6446">
              <w:rPr>
                <w:rFonts w:cs="Arial"/>
                <w:szCs w:val="22"/>
              </w:rPr>
              <w:br/>
              <w:t>Affinity to ligand: Decreased (x2.6)</w:t>
            </w:r>
            <w:r w:rsidRPr="00AF6446">
              <w:rPr>
                <w:rFonts w:cs="Arial"/>
                <w:szCs w:val="22"/>
              </w:rPr>
              <w:br/>
              <w:t>Nuclear translocation: 30 min</w:t>
            </w:r>
            <w:r w:rsidRPr="00AF6446">
              <w:rPr>
                <w:rFonts w:cs="Arial"/>
                <w:szCs w:val="22"/>
              </w:rPr>
              <w:br/>
              <w:t>Abnormal interaction with GRIP1</w:t>
            </w:r>
          </w:p>
        </w:tc>
        <w:tc>
          <w:tcPr>
            <w:tcW w:w="763" w:type="pct"/>
            <w:shd w:val="clear" w:color="auto" w:fill="auto"/>
            <w:hideMark/>
          </w:tcPr>
          <w:p w14:paraId="4E916396"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3AA65260" w14:textId="77777777" w:rsidR="00664058" w:rsidRPr="00AF6446" w:rsidRDefault="00664058" w:rsidP="00AF6446">
            <w:pPr>
              <w:rPr>
                <w:rFonts w:cs="Arial"/>
                <w:szCs w:val="22"/>
              </w:rPr>
            </w:pPr>
            <w:r w:rsidRPr="00AF6446">
              <w:rPr>
                <w:rFonts w:cs="Arial"/>
                <w:szCs w:val="22"/>
              </w:rPr>
              <w:t>Fatigue</w:t>
            </w:r>
            <w:r w:rsidRPr="00AF6446">
              <w:rPr>
                <w:rFonts w:cs="Arial"/>
                <w:szCs w:val="22"/>
              </w:rPr>
              <w:br/>
              <w:t>Anxiety</w:t>
            </w:r>
            <w:r w:rsidRPr="00AF6446">
              <w:rPr>
                <w:rFonts w:cs="Arial"/>
                <w:szCs w:val="22"/>
              </w:rPr>
              <w:br/>
              <w:t>Acne</w:t>
            </w:r>
            <w:r w:rsidRPr="00AF6446">
              <w:rPr>
                <w:rFonts w:cs="Arial"/>
                <w:szCs w:val="22"/>
              </w:rPr>
              <w:br/>
              <w:t>Hirsutism</w:t>
            </w:r>
            <w:r w:rsidRPr="00AF6446">
              <w:rPr>
                <w:rFonts w:cs="Arial"/>
                <w:szCs w:val="22"/>
              </w:rPr>
              <w:br/>
              <w:t>Hypertension</w:t>
            </w:r>
          </w:p>
        </w:tc>
      </w:tr>
      <w:tr w:rsidR="00070953" w:rsidRPr="00AF6446" w14:paraId="794ECA8E" w14:textId="77777777" w:rsidTr="00F176DC">
        <w:tc>
          <w:tcPr>
            <w:tcW w:w="763" w:type="pct"/>
            <w:shd w:val="clear" w:color="auto" w:fill="auto"/>
            <w:hideMark/>
          </w:tcPr>
          <w:p w14:paraId="2F5B8F52" w14:textId="25319BDF" w:rsidR="00664058" w:rsidRPr="00AF6446" w:rsidRDefault="00664058" w:rsidP="00AF6446">
            <w:pPr>
              <w:rPr>
                <w:rFonts w:cs="Arial"/>
                <w:szCs w:val="22"/>
              </w:rPr>
            </w:pPr>
            <w:r w:rsidRPr="00AF6446">
              <w:rPr>
                <w:rFonts w:cs="Arial"/>
                <w:szCs w:val="22"/>
              </w:rPr>
              <w:t>Charmandari </w:t>
            </w:r>
            <w:r w:rsidRPr="00AF6446">
              <w:rPr>
                <w:rFonts w:cs="Arial"/>
                <w:i/>
                <w:iCs/>
                <w:szCs w:val="22"/>
              </w:rPr>
              <w:t>et al.</w:t>
            </w:r>
            <w:r>
              <w:rPr>
                <w:rFonts w:cs="Arial"/>
                <w:i/>
                <w:iCs/>
                <w:szCs w:val="22"/>
              </w:rPr>
              <w:t xml:space="preserve"> (431)</w:t>
            </w:r>
          </w:p>
        </w:tc>
        <w:tc>
          <w:tcPr>
            <w:tcW w:w="551" w:type="pct"/>
            <w:shd w:val="clear" w:color="auto" w:fill="auto"/>
            <w:hideMark/>
          </w:tcPr>
          <w:p w14:paraId="669616C7" w14:textId="77777777" w:rsidR="00664058" w:rsidRPr="00AF6446" w:rsidRDefault="00664058" w:rsidP="00AF6446">
            <w:pPr>
              <w:rPr>
                <w:rFonts w:cs="Arial"/>
                <w:szCs w:val="22"/>
              </w:rPr>
            </w:pPr>
            <w:r w:rsidRPr="00AF6446">
              <w:rPr>
                <w:rFonts w:cs="Arial"/>
                <w:szCs w:val="22"/>
              </w:rPr>
              <w:t>2209T&gt;C</w:t>
            </w:r>
          </w:p>
        </w:tc>
        <w:tc>
          <w:tcPr>
            <w:tcW w:w="635" w:type="pct"/>
            <w:shd w:val="clear" w:color="auto" w:fill="auto"/>
            <w:hideMark/>
          </w:tcPr>
          <w:p w14:paraId="26F4C6E8" w14:textId="7ED88694" w:rsidR="00664058" w:rsidRPr="00AF6446" w:rsidRDefault="00664058" w:rsidP="00AF6446">
            <w:pPr>
              <w:rPr>
                <w:rFonts w:cs="Arial"/>
                <w:szCs w:val="22"/>
              </w:rPr>
            </w:pPr>
            <w:r w:rsidRPr="00AF6446">
              <w:rPr>
                <w:rFonts w:cs="Arial"/>
                <w:szCs w:val="22"/>
              </w:rPr>
              <w:t>Phe737Leu</w:t>
            </w:r>
          </w:p>
        </w:tc>
        <w:tc>
          <w:tcPr>
            <w:tcW w:w="1059" w:type="pct"/>
            <w:shd w:val="clear" w:color="auto" w:fill="auto"/>
            <w:hideMark/>
          </w:tcPr>
          <w:p w14:paraId="177F7A5D" w14:textId="01821447"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w:t>
            </w:r>
            <w:r w:rsidRPr="00AF6446">
              <w:rPr>
                <w:rFonts w:cs="Arial"/>
                <w:szCs w:val="22"/>
              </w:rPr>
              <w:br/>
              <w:t>Affinity to ligand: Decreased (x1.5)</w:t>
            </w:r>
            <w:r w:rsidRPr="00AF6446">
              <w:rPr>
                <w:rFonts w:cs="Arial"/>
                <w:szCs w:val="22"/>
              </w:rPr>
              <w:br/>
              <w:t xml:space="preserve">Nuclear </w:t>
            </w:r>
            <w:r w:rsidRPr="00AF6446">
              <w:rPr>
                <w:rFonts w:cs="Arial"/>
                <w:szCs w:val="22"/>
              </w:rPr>
              <w:lastRenderedPageBreak/>
              <w:t>translocation: 180 min</w:t>
            </w:r>
          </w:p>
        </w:tc>
        <w:tc>
          <w:tcPr>
            <w:tcW w:w="763" w:type="pct"/>
            <w:shd w:val="clear" w:color="auto" w:fill="auto"/>
            <w:hideMark/>
          </w:tcPr>
          <w:p w14:paraId="10861196" w14:textId="77777777" w:rsidR="00664058" w:rsidRPr="00AF6446" w:rsidRDefault="00664058" w:rsidP="00AF6446">
            <w:pPr>
              <w:rPr>
                <w:rFonts w:cs="Arial"/>
                <w:szCs w:val="22"/>
              </w:rPr>
            </w:pPr>
            <w:r w:rsidRPr="00AF6446">
              <w:rPr>
                <w:rFonts w:cs="Arial"/>
                <w:szCs w:val="22"/>
              </w:rPr>
              <w:lastRenderedPageBreak/>
              <w:t>Heterozygous</w:t>
            </w:r>
          </w:p>
        </w:tc>
        <w:tc>
          <w:tcPr>
            <w:tcW w:w="1229" w:type="pct"/>
            <w:shd w:val="clear" w:color="auto" w:fill="auto"/>
            <w:hideMark/>
          </w:tcPr>
          <w:p w14:paraId="025D6C21" w14:textId="77777777" w:rsidR="00664058" w:rsidRPr="00AF6446" w:rsidRDefault="00664058" w:rsidP="00AF6446">
            <w:pPr>
              <w:rPr>
                <w:rFonts w:cs="Arial"/>
                <w:szCs w:val="22"/>
              </w:rPr>
            </w:pPr>
            <w:r w:rsidRPr="00AF6446">
              <w:rPr>
                <w:rFonts w:cs="Arial"/>
                <w:szCs w:val="22"/>
              </w:rPr>
              <w:t>Hypertension</w:t>
            </w:r>
            <w:r w:rsidRPr="00AF6446">
              <w:rPr>
                <w:rFonts w:cs="Arial"/>
                <w:szCs w:val="22"/>
              </w:rPr>
              <w:br/>
              <w:t>Hypokalemia</w:t>
            </w:r>
          </w:p>
        </w:tc>
      </w:tr>
      <w:tr w:rsidR="00070953" w:rsidRPr="00AF6446" w14:paraId="558E50A2" w14:textId="77777777" w:rsidTr="00F176DC">
        <w:tc>
          <w:tcPr>
            <w:tcW w:w="763" w:type="pct"/>
            <w:shd w:val="clear" w:color="auto" w:fill="auto"/>
            <w:hideMark/>
          </w:tcPr>
          <w:p w14:paraId="5EBD97E1" w14:textId="53642A8E" w:rsidR="00664058" w:rsidRPr="00AF6446" w:rsidRDefault="00664058" w:rsidP="00AF6446">
            <w:pPr>
              <w:rPr>
                <w:rFonts w:cs="Arial"/>
                <w:szCs w:val="22"/>
              </w:rPr>
            </w:pPr>
            <w:r w:rsidRPr="00AF6446">
              <w:rPr>
                <w:rFonts w:cs="Arial"/>
                <w:szCs w:val="22"/>
              </w:rPr>
              <w:t>Charmandari </w:t>
            </w:r>
            <w:r w:rsidRPr="00AF6446">
              <w:rPr>
                <w:rFonts w:cs="Arial"/>
                <w:i/>
                <w:iCs/>
                <w:szCs w:val="22"/>
              </w:rPr>
              <w:t>et al.</w:t>
            </w:r>
            <w:r>
              <w:rPr>
                <w:rFonts w:cs="Arial"/>
                <w:i/>
                <w:iCs/>
                <w:szCs w:val="22"/>
              </w:rPr>
              <w:t xml:space="preserve"> (430)</w:t>
            </w:r>
          </w:p>
        </w:tc>
        <w:tc>
          <w:tcPr>
            <w:tcW w:w="551" w:type="pct"/>
            <w:shd w:val="clear" w:color="auto" w:fill="auto"/>
            <w:hideMark/>
          </w:tcPr>
          <w:p w14:paraId="2A787AF7" w14:textId="77777777" w:rsidR="00664058" w:rsidRPr="00AF6446" w:rsidRDefault="00664058" w:rsidP="00AF6446">
            <w:pPr>
              <w:rPr>
                <w:rFonts w:cs="Arial"/>
                <w:szCs w:val="22"/>
              </w:rPr>
            </w:pPr>
            <w:r w:rsidRPr="00AF6446">
              <w:rPr>
                <w:rFonts w:cs="Arial"/>
                <w:szCs w:val="22"/>
              </w:rPr>
              <w:t>1201G&gt;C</w:t>
            </w:r>
          </w:p>
        </w:tc>
        <w:tc>
          <w:tcPr>
            <w:tcW w:w="635" w:type="pct"/>
            <w:shd w:val="clear" w:color="auto" w:fill="auto"/>
            <w:hideMark/>
          </w:tcPr>
          <w:p w14:paraId="6B12229B" w14:textId="0A2EC35E" w:rsidR="00664058" w:rsidRPr="00AF6446" w:rsidRDefault="00664058" w:rsidP="00AF6446">
            <w:pPr>
              <w:rPr>
                <w:rFonts w:cs="Arial"/>
                <w:szCs w:val="22"/>
              </w:rPr>
            </w:pPr>
            <w:r w:rsidRPr="00AF6446">
              <w:rPr>
                <w:rFonts w:cs="Arial"/>
                <w:szCs w:val="22"/>
              </w:rPr>
              <w:t>Asp401His</w:t>
            </w:r>
          </w:p>
        </w:tc>
        <w:tc>
          <w:tcPr>
            <w:tcW w:w="1059" w:type="pct"/>
            <w:shd w:val="clear" w:color="auto" w:fill="auto"/>
            <w:hideMark/>
          </w:tcPr>
          <w:p w14:paraId="31C67C16" w14:textId="64D7FCD8" w:rsidR="00664058" w:rsidRPr="00AF6446" w:rsidRDefault="00664058" w:rsidP="00AF6446">
            <w:pPr>
              <w:rPr>
                <w:rFonts w:cs="Arial"/>
                <w:szCs w:val="22"/>
              </w:rPr>
            </w:pPr>
            <w:r w:rsidRPr="00AF6446">
              <w:rPr>
                <w:rFonts w:cs="Arial"/>
                <w:szCs w:val="22"/>
              </w:rPr>
              <w:t>Transactivation: Increased</w:t>
            </w:r>
            <w:r w:rsidRPr="00AF6446">
              <w:rPr>
                <w:rFonts w:cs="Arial"/>
                <w:szCs w:val="22"/>
              </w:rPr>
              <w:softHyphen/>
            </w:r>
            <w:r w:rsidRPr="00AF6446">
              <w:rPr>
                <w:rFonts w:cs="Arial"/>
                <w:szCs w:val="22"/>
              </w:rPr>
              <w:br/>
              <w:t>Transdominance (-)</w:t>
            </w:r>
            <w:r w:rsidRPr="00AF6446">
              <w:rPr>
                <w:rFonts w:cs="Arial"/>
                <w:szCs w:val="22"/>
              </w:rPr>
              <w:br/>
              <w:t>Affinity to ligand: no change</w:t>
            </w:r>
            <w:r w:rsidRPr="00AF6446">
              <w:rPr>
                <w:rFonts w:cs="Arial"/>
                <w:szCs w:val="22"/>
              </w:rPr>
              <w:br/>
              <w:t>Nuclear translocation: Normal</w:t>
            </w:r>
          </w:p>
        </w:tc>
        <w:tc>
          <w:tcPr>
            <w:tcW w:w="763" w:type="pct"/>
            <w:shd w:val="clear" w:color="auto" w:fill="auto"/>
            <w:hideMark/>
          </w:tcPr>
          <w:p w14:paraId="26932180"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7578E63E" w14:textId="77777777" w:rsidR="00664058" w:rsidRPr="00AF6446" w:rsidRDefault="00664058" w:rsidP="00AF6446">
            <w:pPr>
              <w:rPr>
                <w:rFonts w:cs="Arial"/>
                <w:szCs w:val="22"/>
              </w:rPr>
            </w:pPr>
            <w:r w:rsidRPr="00AF6446">
              <w:rPr>
                <w:rFonts w:cs="Arial"/>
                <w:szCs w:val="22"/>
              </w:rPr>
              <w:t>Hypertension</w:t>
            </w:r>
            <w:r w:rsidRPr="00AF6446">
              <w:rPr>
                <w:rFonts w:cs="Arial"/>
                <w:szCs w:val="22"/>
              </w:rPr>
              <w:br/>
              <w:t>Diabetes mellitus</w:t>
            </w:r>
            <w:r w:rsidRPr="00AF6446">
              <w:rPr>
                <w:rFonts w:cs="Arial"/>
                <w:szCs w:val="22"/>
              </w:rPr>
              <w:br/>
              <w:t>Accumulation of visceral fat</w:t>
            </w:r>
          </w:p>
        </w:tc>
      </w:tr>
      <w:tr w:rsidR="00070953" w:rsidRPr="00AF6446" w14:paraId="541FACC5" w14:textId="77777777" w:rsidTr="00F176DC">
        <w:tc>
          <w:tcPr>
            <w:tcW w:w="763" w:type="pct"/>
            <w:shd w:val="clear" w:color="auto" w:fill="auto"/>
            <w:hideMark/>
          </w:tcPr>
          <w:p w14:paraId="4FB82A05" w14:textId="7CB84069" w:rsidR="00664058" w:rsidRPr="00AF6446" w:rsidRDefault="00664058" w:rsidP="00AF6446">
            <w:pPr>
              <w:rPr>
                <w:rFonts w:cs="Arial"/>
                <w:szCs w:val="22"/>
              </w:rPr>
            </w:pPr>
            <w:r w:rsidRPr="00AF6446">
              <w:rPr>
                <w:rFonts w:cs="Arial"/>
                <w:szCs w:val="22"/>
              </w:rPr>
              <w:t>McMahon </w:t>
            </w:r>
            <w:r w:rsidRPr="00AF6446">
              <w:rPr>
                <w:rFonts w:cs="Arial"/>
                <w:i/>
                <w:iCs/>
                <w:szCs w:val="22"/>
              </w:rPr>
              <w:t>et al.</w:t>
            </w:r>
            <w:r>
              <w:rPr>
                <w:rFonts w:cs="Arial"/>
                <w:i/>
                <w:iCs/>
                <w:szCs w:val="22"/>
              </w:rPr>
              <w:t xml:space="preserve"> (426)</w:t>
            </w:r>
          </w:p>
        </w:tc>
        <w:tc>
          <w:tcPr>
            <w:tcW w:w="551" w:type="pct"/>
            <w:shd w:val="clear" w:color="auto" w:fill="auto"/>
            <w:hideMark/>
          </w:tcPr>
          <w:p w14:paraId="6730F37B" w14:textId="77777777" w:rsidR="00664058" w:rsidRPr="00AF6446" w:rsidRDefault="00664058" w:rsidP="00AF6446">
            <w:pPr>
              <w:rPr>
                <w:rFonts w:cs="Arial"/>
                <w:szCs w:val="22"/>
              </w:rPr>
            </w:pPr>
            <w:r w:rsidRPr="00AF6446">
              <w:rPr>
                <w:rFonts w:cs="Arial"/>
                <w:szCs w:val="22"/>
              </w:rPr>
              <w:t>2bp (TG) deletion at 2318 and 2319</w:t>
            </w:r>
          </w:p>
        </w:tc>
        <w:tc>
          <w:tcPr>
            <w:tcW w:w="635" w:type="pct"/>
            <w:shd w:val="clear" w:color="auto" w:fill="auto"/>
            <w:hideMark/>
          </w:tcPr>
          <w:p w14:paraId="5BF9A493" w14:textId="190D4910" w:rsidR="00664058" w:rsidRPr="00AF6446" w:rsidRDefault="00664058" w:rsidP="00AF6446">
            <w:pPr>
              <w:rPr>
                <w:rFonts w:cs="Arial"/>
                <w:szCs w:val="22"/>
              </w:rPr>
            </w:pPr>
            <w:r w:rsidRPr="00AF6446">
              <w:rPr>
                <w:rFonts w:cs="Arial"/>
                <w:szCs w:val="22"/>
              </w:rPr>
              <w:t>Phe774Ser</w:t>
            </w:r>
            <w:r w:rsidRPr="00AF6446">
              <w:rPr>
                <w:rFonts w:cs="Arial"/>
                <w:i/>
                <w:szCs w:val="22"/>
              </w:rPr>
              <w:t>fs⃰</w:t>
            </w:r>
          </w:p>
        </w:tc>
        <w:tc>
          <w:tcPr>
            <w:tcW w:w="1059" w:type="pct"/>
            <w:shd w:val="clear" w:color="auto" w:fill="auto"/>
            <w:hideMark/>
          </w:tcPr>
          <w:p w14:paraId="132B9504" w14:textId="77777777" w:rsidR="00664058" w:rsidRPr="00AF6446" w:rsidRDefault="00664058" w:rsidP="00AF6446">
            <w:pPr>
              <w:rPr>
                <w:rFonts w:cs="Arial"/>
                <w:szCs w:val="22"/>
              </w:rPr>
            </w:pPr>
            <w:r w:rsidRPr="00AF6446">
              <w:rPr>
                <w:rFonts w:cs="Arial"/>
                <w:szCs w:val="22"/>
              </w:rPr>
              <w:t>No transactivation activity</w:t>
            </w:r>
            <w:r w:rsidRPr="00AF6446">
              <w:rPr>
                <w:rFonts w:cs="Arial"/>
                <w:szCs w:val="22"/>
              </w:rPr>
              <w:br/>
              <w:t>No ligand-binding activity</w:t>
            </w:r>
          </w:p>
        </w:tc>
        <w:tc>
          <w:tcPr>
            <w:tcW w:w="763" w:type="pct"/>
            <w:shd w:val="clear" w:color="auto" w:fill="auto"/>
            <w:hideMark/>
          </w:tcPr>
          <w:p w14:paraId="0A00665D" w14:textId="77777777" w:rsidR="00664058" w:rsidRPr="00AF6446" w:rsidRDefault="00664058" w:rsidP="00AF6446">
            <w:pPr>
              <w:rPr>
                <w:rFonts w:cs="Arial"/>
                <w:szCs w:val="22"/>
              </w:rPr>
            </w:pPr>
            <w:r w:rsidRPr="00AF6446">
              <w:rPr>
                <w:rFonts w:cs="Arial"/>
                <w:szCs w:val="22"/>
              </w:rPr>
              <w:t>Homozygous</w:t>
            </w:r>
          </w:p>
        </w:tc>
        <w:tc>
          <w:tcPr>
            <w:tcW w:w="1229" w:type="pct"/>
            <w:shd w:val="clear" w:color="auto" w:fill="auto"/>
            <w:hideMark/>
          </w:tcPr>
          <w:p w14:paraId="4C63C232" w14:textId="77777777" w:rsidR="00664058" w:rsidRPr="00AF6446" w:rsidRDefault="00664058" w:rsidP="00AF6446">
            <w:pPr>
              <w:rPr>
                <w:rFonts w:cs="Arial"/>
                <w:szCs w:val="22"/>
              </w:rPr>
            </w:pPr>
            <w:r w:rsidRPr="00AF6446">
              <w:rPr>
                <w:rFonts w:cs="Arial"/>
                <w:szCs w:val="22"/>
              </w:rPr>
              <w:t>Severe hypoglycemia developed 1 day after birth</w:t>
            </w:r>
            <w:r w:rsidRPr="00AF6446">
              <w:rPr>
                <w:rFonts w:cs="Arial"/>
                <w:szCs w:val="22"/>
              </w:rPr>
              <w:br/>
              <w:t>Hypertension</w:t>
            </w:r>
            <w:r w:rsidRPr="00AF6446">
              <w:rPr>
                <w:rFonts w:cs="Arial"/>
                <w:szCs w:val="22"/>
              </w:rPr>
              <w:br/>
              <w:t>Fatigues with feeding</w:t>
            </w:r>
          </w:p>
        </w:tc>
      </w:tr>
      <w:tr w:rsidR="00070953" w:rsidRPr="00AF6446" w14:paraId="12E642B6" w14:textId="77777777" w:rsidTr="00F176DC">
        <w:tc>
          <w:tcPr>
            <w:tcW w:w="763" w:type="pct"/>
            <w:shd w:val="clear" w:color="auto" w:fill="auto"/>
            <w:hideMark/>
          </w:tcPr>
          <w:p w14:paraId="5E33D7BC" w14:textId="077C0051" w:rsidR="00664058" w:rsidRPr="00AF6446" w:rsidRDefault="00664058" w:rsidP="00AF6446">
            <w:pPr>
              <w:rPr>
                <w:rFonts w:cs="Arial"/>
                <w:szCs w:val="22"/>
              </w:rPr>
            </w:pPr>
            <w:r w:rsidRPr="00AF6446">
              <w:rPr>
                <w:rFonts w:cs="Arial"/>
                <w:szCs w:val="22"/>
              </w:rPr>
              <w:t>Nader </w:t>
            </w:r>
            <w:r w:rsidRPr="00AF6446">
              <w:rPr>
                <w:rFonts w:cs="Arial"/>
                <w:i/>
                <w:iCs/>
                <w:szCs w:val="22"/>
              </w:rPr>
              <w:t>et al.</w:t>
            </w:r>
            <w:r>
              <w:rPr>
                <w:rFonts w:cs="Arial"/>
                <w:i/>
                <w:iCs/>
                <w:szCs w:val="22"/>
              </w:rPr>
              <w:t xml:space="preserve"> (422) (443)</w:t>
            </w:r>
          </w:p>
        </w:tc>
        <w:tc>
          <w:tcPr>
            <w:tcW w:w="551" w:type="pct"/>
            <w:shd w:val="clear" w:color="auto" w:fill="auto"/>
            <w:hideMark/>
          </w:tcPr>
          <w:p w14:paraId="05E81CCB" w14:textId="77777777" w:rsidR="00664058" w:rsidRPr="00AF6446" w:rsidRDefault="00664058" w:rsidP="00AF6446">
            <w:pPr>
              <w:rPr>
                <w:rFonts w:cs="Arial"/>
                <w:szCs w:val="22"/>
              </w:rPr>
            </w:pPr>
            <w:r w:rsidRPr="00AF6446">
              <w:rPr>
                <w:rFonts w:cs="Arial"/>
                <w:szCs w:val="22"/>
              </w:rPr>
              <w:t>2141G&gt;A</w:t>
            </w:r>
          </w:p>
        </w:tc>
        <w:tc>
          <w:tcPr>
            <w:tcW w:w="635" w:type="pct"/>
            <w:shd w:val="clear" w:color="auto" w:fill="auto"/>
            <w:hideMark/>
          </w:tcPr>
          <w:p w14:paraId="34A554E3" w14:textId="1277EE11" w:rsidR="00664058" w:rsidRPr="00AF6446" w:rsidRDefault="00664058" w:rsidP="00AF6446">
            <w:pPr>
              <w:rPr>
                <w:rFonts w:cs="Arial"/>
                <w:szCs w:val="22"/>
              </w:rPr>
            </w:pPr>
            <w:r w:rsidRPr="00AF6446">
              <w:rPr>
                <w:rFonts w:cs="Arial"/>
                <w:szCs w:val="22"/>
              </w:rPr>
              <w:t>Arg714Gln</w:t>
            </w:r>
          </w:p>
        </w:tc>
        <w:tc>
          <w:tcPr>
            <w:tcW w:w="1059" w:type="pct"/>
            <w:shd w:val="clear" w:color="auto" w:fill="auto"/>
            <w:hideMark/>
          </w:tcPr>
          <w:p w14:paraId="45B66AB2" w14:textId="1E99A055"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w:t>
            </w:r>
            <w:r w:rsidRPr="00AF6446">
              <w:rPr>
                <w:rFonts w:cs="Arial"/>
                <w:szCs w:val="22"/>
              </w:rPr>
              <w:br/>
              <w:t>Affinity to ligand: Decreased (x2.0)</w:t>
            </w:r>
            <w:r w:rsidRPr="00AF6446">
              <w:rPr>
                <w:rFonts w:cs="Arial"/>
                <w:szCs w:val="22"/>
              </w:rPr>
              <w:br/>
              <w:t>Nuclear translocation: 20 min</w:t>
            </w:r>
            <w:r w:rsidRPr="00AF6446">
              <w:rPr>
                <w:rFonts w:cs="Arial"/>
                <w:szCs w:val="22"/>
              </w:rPr>
              <w:br/>
              <w:t>Abnormal interaction with GRIP1</w:t>
            </w:r>
          </w:p>
        </w:tc>
        <w:tc>
          <w:tcPr>
            <w:tcW w:w="763" w:type="pct"/>
            <w:shd w:val="clear" w:color="auto" w:fill="auto"/>
            <w:hideMark/>
          </w:tcPr>
          <w:p w14:paraId="6E2006D0" w14:textId="77777777" w:rsidR="00664058" w:rsidRPr="00AF6446" w:rsidRDefault="00664058" w:rsidP="00AF6446">
            <w:pPr>
              <w:rPr>
                <w:rFonts w:cs="Arial"/>
                <w:szCs w:val="22"/>
              </w:rPr>
            </w:pPr>
            <w:r w:rsidRPr="00AF6446">
              <w:rPr>
                <w:rFonts w:cs="Arial"/>
                <w:szCs w:val="22"/>
              </w:rPr>
              <w:t>Heterozygous</w:t>
            </w:r>
          </w:p>
          <w:p w14:paraId="5DB252DF" w14:textId="77777777" w:rsidR="00664058" w:rsidRPr="00AF6446" w:rsidRDefault="00664058" w:rsidP="00AF6446">
            <w:pPr>
              <w:rPr>
                <w:rFonts w:cs="Arial"/>
                <w:szCs w:val="22"/>
              </w:rPr>
            </w:pPr>
          </w:p>
          <w:p w14:paraId="1D2211DA" w14:textId="77777777" w:rsidR="00664058" w:rsidRPr="00AF6446" w:rsidRDefault="00664058" w:rsidP="00AF6446">
            <w:pPr>
              <w:rPr>
                <w:rFonts w:cs="Arial"/>
                <w:szCs w:val="22"/>
              </w:rPr>
            </w:pPr>
          </w:p>
          <w:p w14:paraId="3F138DB2" w14:textId="77777777" w:rsidR="00664058" w:rsidRPr="00AF6446" w:rsidRDefault="00664058" w:rsidP="00AF6446">
            <w:pPr>
              <w:rPr>
                <w:rFonts w:cs="Arial"/>
                <w:szCs w:val="22"/>
              </w:rPr>
            </w:pPr>
          </w:p>
          <w:p w14:paraId="6C2FB3A9" w14:textId="77777777" w:rsidR="00664058" w:rsidRPr="00AF6446" w:rsidRDefault="00664058" w:rsidP="00AF6446">
            <w:pPr>
              <w:rPr>
                <w:rFonts w:cs="Arial"/>
                <w:szCs w:val="22"/>
              </w:rPr>
            </w:pPr>
          </w:p>
          <w:p w14:paraId="7D0C5DF7" w14:textId="77777777" w:rsidR="00664058" w:rsidRPr="00AF6446" w:rsidRDefault="00664058" w:rsidP="00AF6446">
            <w:pPr>
              <w:rPr>
                <w:rFonts w:cs="Arial"/>
                <w:szCs w:val="22"/>
              </w:rPr>
            </w:pPr>
          </w:p>
          <w:p w14:paraId="5E7DCB6F" w14:textId="77777777" w:rsidR="00664058" w:rsidRPr="00AF6446" w:rsidRDefault="00664058" w:rsidP="00AF6446">
            <w:pPr>
              <w:rPr>
                <w:rFonts w:cs="Arial"/>
                <w:szCs w:val="22"/>
              </w:rPr>
            </w:pPr>
          </w:p>
          <w:p w14:paraId="1AF24129" w14:textId="77777777" w:rsidR="00664058" w:rsidRPr="00AF6446" w:rsidRDefault="00664058" w:rsidP="00AF6446">
            <w:pPr>
              <w:rPr>
                <w:rFonts w:cs="Arial"/>
                <w:szCs w:val="22"/>
              </w:rPr>
            </w:pPr>
          </w:p>
          <w:p w14:paraId="5ABA8195" w14:textId="77777777" w:rsidR="00664058" w:rsidRPr="00AF6446" w:rsidRDefault="00664058" w:rsidP="00AF6446">
            <w:pPr>
              <w:rPr>
                <w:rFonts w:cs="Arial"/>
                <w:szCs w:val="22"/>
              </w:rPr>
            </w:pPr>
          </w:p>
          <w:p w14:paraId="400A1A1B" w14:textId="77777777" w:rsidR="00664058" w:rsidRPr="00AF6446" w:rsidRDefault="00664058" w:rsidP="00AF6446">
            <w:pPr>
              <w:rPr>
                <w:rFonts w:cs="Arial"/>
                <w:szCs w:val="22"/>
              </w:rPr>
            </w:pPr>
          </w:p>
          <w:p w14:paraId="5E9843A4" w14:textId="77777777" w:rsidR="00664058" w:rsidRPr="00AF6446" w:rsidRDefault="00664058" w:rsidP="00AF6446">
            <w:pPr>
              <w:rPr>
                <w:rFonts w:cs="Arial"/>
                <w:szCs w:val="22"/>
              </w:rPr>
            </w:pPr>
          </w:p>
          <w:p w14:paraId="1267CF82" w14:textId="77777777" w:rsidR="00664058" w:rsidRPr="00AF6446" w:rsidRDefault="00664058" w:rsidP="00AF6446">
            <w:pPr>
              <w:rPr>
                <w:rFonts w:cs="Arial"/>
                <w:szCs w:val="22"/>
              </w:rPr>
            </w:pPr>
          </w:p>
          <w:p w14:paraId="2DCB9A5C" w14:textId="77777777" w:rsidR="00664058" w:rsidRPr="00AF6446" w:rsidRDefault="00664058" w:rsidP="00AF6446">
            <w:pPr>
              <w:rPr>
                <w:rFonts w:cs="Arial"/>
                <w:szCs w:val="22"/>
              </w:rPr>
            </w:pPr>
          </w:p>
          <w:p w14:paraId="76ED83CD" w14:textId="77777777" w:rsidR="00664058" w:rsidRPr="00AF6446" w:rsidRDefault="00664058" w:rsidP="00AF6446">
            <w:pPr>
              <w:rPr>
                <w:rFonts w:cs="Arial"/>
                <w:szCs w:val="22"/>
              </w:rPr>
            </w:pPr>
          </w:p>
          <w:p w14:paraId="02280D87" w14:textId="48DAFBB4"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6B77D507" w14:textId="44C915ED" w:rsidR="00664058" w:rsidRPr="00AF6446" w:rsidRDefault="00664058" w:rsidP="00AF6446">
            <w:pPr>
              <w:rPr>
                <w:rFonts w:cs="Arial"/>
                <w:szCs w:val="22"/>
              </w:rPr>
            </w:pPr>
            <w:r w:rsidRPr="00AF6446">
              <w:rPr>
                <w:rFonts w:cs="Arial"/>
                <w:szCs w:val="22"/>
              </w:rPr>
              <w:t>Hypoglycemia developed at age 2 years and 10 months</w:t>
            </w:r>
            <w:r w:rsidRPr="00AF6446">
              <w:rPr>
                <w:rFonts w:cs="Arial"/>
                <w:szCs w:val="22"/>
              </w:rPr>
              <w:br/>
              <w:t>Hypertension</w:t>
            </w:r>
            <w:r w:rsidRPr="00AF6446">
              <w:rPr>
                <w:rFonts w:cs="Arial"/>
                <w:szCs w:val="22"/>
              </w:rPr>
              <w:br/>
              <w:t>Accelerated bone age</w:t>
            </w:r>
            <w:r w:rsidRPr="00AF6446">
              <w:rPr>
                <w:rFonts w:cs="Arial"/>
                <w:szCs w:val="22"/>
              </w:rPr>
              <w:br/>
              <w:t>Mild clitoromegaly</w:t>
            </w:r>
          </w:p>
          <w:p w14:paraId="66B4DA92" w14:textId="77777777" w:rsidR="00070953" w:rsidRDefault="00070953" w:rsidP="00AF6446">
            <w:pPr>
              <w:rPr>
                <w:rFonts w:cs="Arial"/>
                <w:szCs w:val="22"/>
              </w:rPr>
            </w:pPr>
          </w:p>
          <w:p w14:paraId="71B4933B" w14:textId="77777777" w:rsidR="00070953" w:rsidRDefault="00070953" w:rsidP="00AF6446">
            <w:pPr>
              <w:rPr>
                <w:rFonts w:cs="Arial"/>
                <w:szCs w:val="22"/>
              </w:rPr>
            </w:pPr>
          </w:p>
          <w:p w14:paraId="705332BE" w14:textId="77777777" w:rsidR="00070953" w:rsidRDefault="00070953" w:rsidP="00AF6446">
            <w:pPr>
              <w:rPr>
                <w:rFonts w:cs="Arial"/>
                <w:szCs w:val="22"/>
              </w:rPr>
            </w:pPr>
          </w:p>
          <w:p w14:paraId="07BB4EE6" w14:textId="77777777" w:rsidR="00070953" w:rsidRDefault="00070953" w:rsidP="00AF6446">
            <w:pPr>
              <w:rPr>
                <w:rFonts w:cs="Arial"/>
                <w:szCs w:val="22"/>
              </w:rPr>
            </w:pPr>
          </w:p>
          <w:p w14:paraId="0904F866" w14:textId="77777777" w:rsidR="00070953" w:rsidRDefault="00070953" w:rsidP="00AF6446">
            <w:pPr>
              <w:rPr>
                <w:rFonts w:cs="Arial"/>
                <w:szCs w:val="22"/>
              </w:rPr>
            </w:pPr>
          </w:p>
          <w:p w14:paraId="65C63F27" w14:textId="77777777" w:rsidR="00070953" w:rsidRDefault="00070953" w:rsidP="00AF6446">
            <w:pPr>
              <w:rPr>
                <w:rFonts w:cs="Arial"/>
                <w:szCs w:val="22"/>
              </w:rPr>
            </w:pPr>
          </w:p>
          <w:p w14:paraId="7E17D7C4" w14:textId="77777777" w:rsidR="00070953" w:rsidRDefault="00070953" w:rsidP="00AF6446">
            <w:pPr>
              <w:rPr>
                <w:rFonts w:cs="Arial"/>
                <w:szCs w:val="22"/>
              </w:rPr>
            </w:pPr>
          </w:p>
          <w:p w14:paraId="450B3C24" w14:textId="77777777" w:rsidR="00070953" w:rsidRDefault="00070953" w:rsidP="00AF6446">
            <w:pPr>
              <w:rPr>
                <w:rFonts w:cs="Arial"/>
                <w:szCs w:val="22"/>
              </w:rPr>
            </w:pPr>
          </w:p>
          <w:p w14:paraId="559BA5DF" w14:textId="73BD6CFE" w:rsidR="00664058" w:rsidRPr="00AF6446" w:rsidRDefault="00664058" w:rsidP="00AF6446">
            <w:pPr>
              <w:rPr>
                <w:rFonts w:cs="Arial"/>
                <w:szCs w:val="22"/>
              </w:rPr>
            </w:pPr>
            <w:r w:rsidRPr="00AF6446">
              <w:rPr>
                <w:rFonts w:cs="Arial"/>
                <w:szCs w:val="22"/>
              </w:rPr>
              <w:t>Infertility</w:t>
            </w:r>
          </w:p>
        </w:tc>
      </w:tr>
      <w:tr w:rsidR="00070953" w:rsidRPr="00AF6446" w14:paraId="2315048F" w14:textId="77777777" w:rsidTr="00F176DC">
        <w:tc>
          <w:tcPr>
            <w:tcW w:w="763" w:type="pct"/>
            <w:shd w:val="clear" w:color="auto" w:fill="auto"/>
            <w:hideMark/>
          </w:tcPr>
          <w:p w14:paraId="2699FD09" w14:textId="5BCE1AFC" w:rsidR="00664058" w:rsidRPr="00AF6446" w:rsidRDefault="00664058" w:rsidP="00AF6446">
            <w:pPr>
              <w:rPr>
                <w:rFonts w:cs="Arial"/>
                <w:szCs w:val="22"/>
              </w:rPr>
            </w:pPr>
            <w:r w:rsidRPr="00AF6446">
              <w:rPr>
                <w:rFonts w:cs="Arial"/>
                <w:szCs w:val="22"/>
              </w:rPr>
              <w:t>Bouligand </w:t>
            </w:r>
            <w:r w:rsidRPr="00AF6446">
              <w:rPr>
                <w:rFonts w:cs="Arial"/>
                <w:i/>
                <w:iCs/>
                <w:szCs w:val="22"/>
              </w:rPr>
              <w:t>et al.</w:t>
            </w:r>
            <w:r>
              <w:rPr>
                <w:rFonts w:cs="Arial"/>
                <w:i/>
                <w:iCs/>
                <w:szCs w:val="22"/>
              </w:rPr>
              <w:t xml:space="preserve"> (429)</w:t>
            </w:r>
          </w:p>
        </w:tc>
        <w:tc>
          <w:tcPr>
            <w:tcW w:w="551" w:type="pct"/>
            <w:shd w:val="clear" w:color="auto" w:fill="auto"/>
            <w:hideMark/>
          </w:tcPr>
          <w:p w14:paraId="7C8D0F98" w14:textId="77777777" w:rsidR="00664058" w:rsidRPr="00AF6446" w:rsidRDefault="00664058" w:rsidP="00AF6446">
            <w:pPr>
              <w:rPr>
                <w:rFonts w:cs="Arial"/>
                <w:szCs w:val="22"/>
              </w:rPr>
            </w:pPr>
            <w:r w:rsidRPr="00AF6446">
              <w:rPr>
                <w:rFonts w:cs="Arial"/>
                <w:szCs w:val="22"/>
              </w:rPr>
              <w:t>1405C&gt;T</w:t>
            </w:r>
          </w:p>
        </w:tc>
        <w:tc>
          <w:tcPr>
            <w:tcW w:w="635" w:type="pct"/>
            <w:shd w:val="clear" w:color="auto" w:fill="auto"/>
            <w:hideMark/>
          </w:tcPr>
          <w:p w14:paraId="4A9C2571" w14:textId="1981B243" w:rsidR="00664058" w:rsidRPr="00AF6446" w:rsidRDefault="00664058" w:rsidP="00AF6446">
            <w:pPr>
              <w:rPr>
                <w:rFonts w:cs="Arial"/>
                <w:szCs w:val="22"/>
              </w:rPr>
            </w:pPr>
            <w:r w:rsidRPr="00AF6446">
              <w:rPr>
                <w:rFonts w:cs="Arial"/>
                <w:szCs w:val="22"/>
              </w:rPr>
              <w:t>Arg469Ter</w:t>
            </w:r>
          </w:p>
        </w:tc>
        <w:tc>
          <w:tcPr>
            <w:tcW w:w="1059" w:type="pct"/>
            <w:shd w:val="clear" w:color="auto" w:fill="auto"/>
            <w:hideMark/>
          </w:tcPr>
          <w:p w14:paraId="63553731" w14:textId="7EC67A20" w:rsidR="00664058" w:rsidRPr="00AF6446" w:rsidRDefault="00664058" w:rsidP="00AF6446">
            <w:pPr>
              <w:rPr>
                <w:rFonts w:cs="Arial"/>
                <w:szCs w:val="22"/>
              </w:rPr>
            </w:pPr>
            <w:r w:rsidRPr="00AF6446">
              <w:rPr>
                <w:rFonts w:cs="Arial"/>
                <w:szCs w:val="22"/>
              </w:rPr>
              <w:t>Transactivation</w:t>
            </w:r>
            <w:r w:rsidRPr="00AF6446">
              <w:rPr>
                <w:rFonts w:eastAsia="MS Mincho" w:cs="Arial"/>
                <w:szCs w:val="22"/>
              </w:rPr>
              <w:t>: Decreased</w:t>
            </w:r>
            <w:r w:rsidRPr="00AF6446">
              <w:rPr>
                <w:rFonts w:cs="Arial"/>
                <w:szCs w:val="22"/>
              </w:rPr>
              <w:br/>
              <w:t>Affinity to ligand: Decreased</w:t>
            </w:r>
            <w:r w:rsidRPr="00AF6446">
              <w:rPr>
                <w:rFonts w:cs="Arial"/>
                <w:szCs w:val="22"/>
              </w:rPr>
              <w:br/>
              <w:t>Nuclear Translocation: No</w:t>
            </w:r>
          </w:p>
        </w:tc>
        <w:tc>
          <w:tcPr>
            <w:tcW w:w="763" w:type="pct"/>
            <w:shd w:val="clear" w:color="auto" w:fill="auto"/>
            <w:hideMark/>
          </w:tcPr>
          <w:p w14:paraId="57333628"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62B170D3" w14:textId="77777777" w:rsidR="00664058" w:rsidRPr="00AF6446" w:rsidRDefault="00664058" w:rsidP="00AF6446">
            <w:pPr>
              <w:rPr>
                <w:rFonts w:cs="Arial"/>
                <w:szCs w:val="22"/>
              </w:rPr>
            </w:pPr>
            <w:r w:rsidRPr="00AF6446">
              <w:rPr>
                <w:rFonts w:cs="Arial"/>
                <w:szCs w:val="22"/>
              </w:rPr>
              <w:t>Bilateral adrenal hyperplasia</w:t>
            </w:r>
            <w:r w:rsidRPr="00AF6446">
              <w:rPr>
                <w:rFonts w:cs="Arial"/>
                <w:szCs w:val="22"/>
              </w:rPr>
              <w:br/>
              <w:t>Hypertension</w:t>
            </w:r>
            <w:r w:rsidRPr="00AF6446">
              <w:rPr>
                <w:rFonts w:cs="Arial"/>
                <w:szCs w:val="22"/>
              </w:rPr>
              <w:br/>
              <w:t>Hypokalemia</w:t>
            </w:r>
          </w:p>
        </w:tc>
      </w:tr>
      <w:tr w:rsidR="00070953" w:rsidRPr="00AF6446" w14:paraId="6FBF8D40" w14:textId="77777777" w:rsidTr="00F176DC">
        <w:tc>
          <w:tcPr>
            <w:tcW w:w="763" w:type="pct"/>
            <w:shd w:val="clear" w:color="auto" w:fill="auto"/>
            <w:hideMark/>
          </w:tcPr>
          <w:p w14:paraId="785C9473" w14:textId="04FB5A65" w:rsidR="00664058" w:rsidRPr="00AF6446" w:rsidRDefault="00664058" w:rsidP="00AF6446">
            <w:pPr>
              <w:rPr>
                <w:rFonts w:cs="Arial"/>
                <w:szCs w:val="22"/>
              </w:rPr>
            </w:pPr>
            <w:r w:rsidRPr="00AF6446">
              <w:rPr>
                <w:rFonts w:cs="Arial"/>
                <w:szCs w:val="22"/>
              </w:rPr>
              <w:t>Zhu </w:t>
            </w:r>
            <w:r w:rsidRPr="00AF6446">
              <w:rPr>
                <w:rFonts w:cs="Arial"/>
                <w:i/>
                <w:iCs/>
                <w:szCs w:val="22"/>
              </w:rPr>
              <w:t>et al.</w:t>
            </w:r>
            <w:r w:rsidRPr="00AF6446">
              <w:rPr>
                <w:rFonts w:cs="Arial"/>
                <w:szCs w:val="22"/>
              </w:rPr>
              <w:br/>
              <w:t>Nicolaides </w:t>
            </w:r>
            <w:r w:rsidRPr="00AF6446">
              <w:rPr>
                <w:rFonts w:cs="Arial"/>
                <w:i/>
                <w:iCs/>
                <w:szCs w:val="22"/>
              </w:rPr>
              <w:t>et al.</w:t>
            </w:r>
            <w:r>
              <w:rPr>
                <w:rFonts w:cs="Arial"/>
                <w:i/>
                <w:iCs/>
                <w:szCs w:val="22"/>
              </w:rPr>
              <w:t xml:space="preserve"> (423) (424)</w:t>
            </w:r>
          </w:p>
        </w:tc>
        <w:tc>
          <w:tcPr>
            <w:tcW w:w="551" w:type="pct"/>
            <w:shd w:val="clear" w:color="auto" w:fill="auto"/>
            <w:hideMark/>
          </w:tcPr>
          <w:p w14:paraId="12B7E9F4" w14:textId="77777777" w:rsidR="00664058" w:rsidRPr="00AF6446" w:rsidRDefault="00664058" w:rsidP="00AF6446">
            <w:pPr>
              <w:rPr>
                <w:rFonts w:cs="Arial"/>
                <w:szCs w:val="22"/>
              </w:rPr>
            </w:pPr>
            <w:r w:rsidRPr="00AF6446">
              <w:rPr>
                <w:rFonts w:cs="Arial"/>
                <w:szCs w:val="22"/>
              </w:rPr>
              <w:t>1667C&gt;T</w:t>
            </w:r>
          </w:p>
        </w:tc>
        <w:tc>
          <w:tcPr>
            <w:tcW w:w="635" w:type="pct"/>
            <w:shd w:val="clear" w:color="auto" w:fill="auto"/>
            <w:hideMark/>
          </w:tcPr>
          <w:p w14:paraId="3496F7F4" w14:textId="4054F75D" w:rsidR="00664058" w:rsidRPr="00AF6446" w:rsidRDefault="00664058" w:rsidP="00AF6446">
            <w:pPr>
              <w:rPr>
                <w:rFonts w:cs="Arial"/>
                <w:szCs w:val="22"/>
              </w:rPr>
            </w:pPr>
            <w:r w:rsidRPr="00AF6446">
              <w:rPr>
                <w:rFonts w:cs="Arial"/>
                <w:szCs w:val="22"/>
              </w:rPr>
              <w:t>Threo556Ile</w:t>
            </w:r>
          </w:p>
        </w:tc>
        <w:tc>
          <w:tcPr>
            <w:tcW w:w="1059" w:type="pct"/>
            <w:shd w:val="clear" w:color="auto" w:fill="auto"/>
            <w:hideMark/>
          </w:tcPr>
          <w:p w14:paraId="1EB31BF7" w14:textId="6301A7D1"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No</w:t>
            </w:r>
            <w:r w:rsidRPr="00AF6446">
              <w:rPr>
                <w:rFonts w:cs="Arial"/>
                <w:szCs w:val="22"/>
              </w:rPr>
              <w:br/>
              <w:t>Affinity to ligand: Decreased</w:t>
            </w:r>
            <w:r w:rsidRPr="00AF6446">
              <w:rPr>
                <w:rFonts w:cs="Arial"/>
                <w:szCs w:val="22"/>
              </w:rPr>
              <w:br/>
              <w:t>Nuclear translocation: 50 min</w:t>
            </w:r>
          </w:p>
        </w:tc>
        <w:tc>
          <w:tcPr>
            <w:tcW w:w="763" w:type="pct"/>
            <w:shd w:val="clear" w:color="auto" w:fill="auto"/>
            <w:hideMark/>
          </w:tcPr>
          <w:p w14:paraId="5844A1C7"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5BFF4155" w14:textId="77777777" w:rsidR="00664058" w:rsidRPr="00AF6446" w:rsidRDefault="00664058" w:rsidP="00AF6446">
            <w:pPr>
              <w:rPr>
                <w:rFonts w:cs="Arial"/>
                <w:szCs w:val="22"/>
              </w:rPr>
            </w:pPr>
            <w:r w:rsidRPr="00AF6446">
              <w:rPr>
                <w:rFonts w:cs="Arial"/>
                <w:szCs w:val="22"/>
              </w:rPr>
              <w:t>Bilateral adrenal hyperplasia</w:t>
            </w:r>
          </w:p>
        </w:tc>
      </w:tr>
      <w:tr w:rsidR="00070953" w:rsidRPr="00AF6446" w14:paraId="77647CEB" w14:textId="77777777" w:rsidTr="00F176DC">
        <w:tc>
          <w:tcPr>
            <w:tcW w:w="763" w:type="pct"/>
            <w:shd w:val="clear" w:color="auto" w:fill="auto"/>
            <w:hideMark/>
          </w:tcPr>
          <w:p w14:paraId="35CE3628" w14:textId="77777777" w:rsidR="00664058" w:rsidRDefault="00664058" w:rsidP="00AF6446">
            <w:pPr>
              <w:rPr>
                <w:rFonts w:cs="Arial"/>
                <w:i/>
                <w:iCs/>
                <w:szCs w:val="22"/>
              </w:rPr>
            </w:pPr>
            <w:r w:rsidRPr="00AF6446">
              <w:rPr>
                <w:rFonts w:cs="Arial"/>
                <w:szCs w:val="22"/>
              </w:rPr>
              <w:lastRenderedPageBreak/>
              <w:t>Roberts </w:t>
            </w:r>
            <w:r w:rsidRPr="00AF6446">
              <w:rPr>
                <w:rFonts w:cs="Arial"/>
                <w:i/>
                <w:iCs/>
                <w:szCs w:val="22"/>
              </w:rPr>
              <w:t>et al.</w:t>
            </w:r>
          </w:p>
          <w:p w14:paraId="229ACAC3" w14:textId="0E7A3779" w:rsidR="00664058" w:rsidRPr="00AF6446" w:rsidRDefault="00664058" w:rsidP="00AF6446">
            <w:pPr>
              <w:rPr>
                <w:rFonts w:cs="Arial"/>
                <w:szCs w:val="22"/>
              </w:rPr>
            </w:pPr>
            <w:r>
              <w:rPr>
                <w:rFonts w:cs="Arial"/>
                <w:szCs w:val="22"/>
              </w:rPr>
              <w:t>(428)</w:t>
            </w:r>
          </w:p>
        </w:tc>
        <w:tc>
          <w:tcPr>
            <w:tcW w:w="551" w:type="pct"/>
            <w:shd w:val="clear" w:color="auto" w:fill="auto"/>
            <w:hideMark/>
          </w:tcPr>
          <w:p w14:paraId="27614DB8" w14:textId="77777777" w:rsidR="00664058" w:rsidRPr="00AF6446" w:rsidRDefault="00664058" w:rsidP="00AF6446">
            <w:pPr>
              <w:rPr>
                <w:rFonts w:cs="Arial"/>
                <w:szCs w:val="22"/>
              </w:rPr>
            </w:pPr>
            <w:r w:rsidRPr="00AF6446">
              <w:rPr>
                <w:rFonts w:cs="Arial"/>
                <w:szCs w:val="22"/>
              </w:rPr>
              <w:t>1268T&gt;C</w:t>
            </w:r>
          </w:p>
        </w:tc>
        <w:tc>
          <w:tcPr>
            <w:tcW w:w="635" w:type="pct"/>
            <w:shd w:val="clear" w:color="auto" w:fill="auto"/>
            <w:hideMark/>
          </w:tcPr>
          <w:p w14:paraId="5AEF4C22" w14:textId="7E5DED79" w:rsidR="00664058" w:rsidRPr="00AF6446" w:rsidRDefault="00664058" w:rsidP="00AF6446">
            <w:pPr>
              <w:rPr>
                <w:rFonts w:cs="Arial"/>
                <w:szCs w:val="22"/>
              </w:rPr>
            </w:pPr>
            <w:r w:rsidRPr="00AF6446">
              <w:rPr>
                <w:rFonts w:cs="Arial"/>
                <w:szCs w:val="22"/>
              </w:rPr>
              <w:t>Val423Ala</w:t>
            </w:r>
          </w:p>
        </w:tc>
        <w:tc>
          <w:tcPr>
            <w:tcW w:w="1059" w:type="pct"/>
            <w:shd w:val="clear" w:color="auto" w:fill="auto"/>
            <w:hideMark/>
          </w:tcPr>
          <w:p w14:paraId="29488859" w14:textId="0A653AA9"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No</w:t>
            </w:r>
            <w:r w:rsidRPr="00AF6446">
              <w:rPr>
                <w:rFonts w:cs="Arial"/>
                <w:szCs w:val="22"/>
              </w:rPr>
              <w:br/>
              <w:t>Affinity to ligand: no change</w:t>
            </w:r>
            <w:r w:rsidRPr="00AF6446">
              <w:rPr>
                <w:rFonts w:cs="Arial"/>
                <w:szCs w:val="22"/>
              </w:rPr>
              <w:br/>
              <w:t>Nuclear translocation: 2.6-fold delay</w:t>
            </w:r>
          </w:p>
        </w:tc>
        <w:tc>
          <w:tcPr>
            <w:tcW w:w="763" w:type="pct"/>
            <w:shd w:val="clear" w:color="auto" w:fill="auto"/>
            <w:hideMark/>
          </w:tcPr>
          <w:p w14:paraId="5EA3898F"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42E11AE0" w14:textId="77777777" w:rsidR="00664058" w:rsidRPr="00AF6446" w:rsidRDefault="00664058" w:rsidP="00AF6446">
            <w:pPr>
              <w:rPr>
                <w:rFonts w:cs="Arial"/>
                <w:szCs w:val="22"/>
              </w:rPr>
            </w:pPr>
            <w:r w:rsidRPr="00AF6446">
              <w:rPr>
                <w:rFonts w:cs="Arial"/>
                <w:szCs w:val="22"/>
              </w:rPr>
              <w:t>Hypertension</w:t>
            </w:r>
          </w:p>
        </w:tc>
      </w:tr>
      <w:tr w:rsidR="00070953" w:rsidRPr="00AF6446" w14:paraId="31BAA4D8" w14:textId="77777777" w:rsidTr="00F176DC">
        <w:tc>
          <w:tcPr>
            <w:tcW w:w="763" w:type="pct"/>
            <w:shd w:val="clear" w:color="auto" w:fill="auto"/>
            <w:hideMark/>
          </w:tcPr>
          <w:p w14:paraId="651931AA" w14:textId="233D1746" w:rsidR="00664058" w:rsidRPr="00AF6446" w:rsidRDefault="00664058" w:rsidP="00AF6446">
            <w:pPr>
              <w:rPr>
                <w:rFonts w:cs="Arial"/>
                <w:szCs w:val="22"/>
              </w:rPr>
            </w:pPr>
            <w:r w:rsidRPr="00AF6446">
              <w:rPr>
                <w:rFonts w:cs="Arial"/>
                <w:szCs w:val="22"/>
              </w:rPr>
              <w:t>Nicolaides </w:t>
            </w:r>
            <w:r w:rsidRPr="00AF6446">
              <w:rPr>
                <w:rFonts w:cs="Arial"/>
                <w:i/>
                <w:iCs/>
                <w:szCs w:val="22"/>
              </w:rPr>
              <w:t>et al.</w:t>
            </w:r>
            <w:r>
              <w:rPr>
                <w:rFonts w:cs="Arial"/>
                <w:i/>
                <w:iCs/>
                <w:szCs w:val="22"/>
              </w:rPr>
              <w:t xml:space="preserve"> (425)</w:t>
            </w:r>
          </w:p>
        </w:tc>
        <w:tc>
          <w:tcPr>
            <w:tcW w:w="551" w:type="pct"/>
            <w:shd w:val="clear" w:color="auto" w:fill="auto"/>
            <w:hideMark/>
          </w:tcPr>
          <w:p w14:paraId="12932EFC" w14:textId="77777777" w:rsidR="00664058" w:rsidRPr="00AF6446" w:rsidRDefault="00664058" w:rsidP="00AF6446">
            <w:pPr>
              <w:rPr>
                <w:rFonts w:cs="Arial"/>
                <w:szCs w:val="22"/>
              </w:rPr>
            </w:pPr>
            <w:r w:rsidRPr="00AF6446">
              <w:rPr>
                <w:rFonts w:cs="Arial"/>
                <w:szCs w:val="22"/>
              </w:rPr>
              <w:t>2177A&gt;G</w:t>
            </w:r>
          </w:p>
        </w:tc>
        <w:tc>
          <w:tcPr>
            <w:tcW w:w="635" w:type="pct"/>
            <w:shd w:val="clear" w:color="auto" w:fill="auto"/>
            <w:hideMark/>
          </w:tcPr>
          <w:p w14:paraId="337E466D" w14:textId="584A950A" w:rsidR="00664058" w:rsidRPr="00AF6446" w:rsidRDefault="00664058" w:rsidP="00AF6446">
            <w:pPr>
              <w:rPr>
                <w:rFonts w:cs="Arial"/>
                <w:szCs w:val="22"/>
              </w:rPr>
            </w:pPr>
            <w:r w:rsidRPr="00AF6446">
              <w:rPr>
                <w:rFonts w:cs="Arial"/>
                <w:szCs w:val="22"/>
              </w:rPr>
              <w:t>His726Arg</w:t>
            </w:r>
          </w:p>
        </w:tc>
        <w:tc>
          <w:tcPr>
            <w:tcW w:w="1059" w:type="pct"/>
            <w:shd w:val="clear" w:color="auto" w:fill="auto"/>
            <w:hideMark/>
          </w:tcPr>
          <w:p w14:paraId="0E608503" w14:textId="13F2CCEC" w:rsidR="00664058" w:rsidRPr="00AF6446" w:rsidRDefault="00664058" w:rsidP="00AF6446">
            <w:pPr>
              <w:rPr>
                <w:rFonts w:cs="Arial"/>
                <w:szCs w:val="22"/>
              </w:rPr>
            </w:pPr>
            <w:r w:rsidRPr="00AF6446">
              <w:rPr>
                <w:rFonts w:cs="Arial"/>
                <w:szCs w:val="22"/>
              </w:rPr>
              <w:t>Transactivation: Decreased</w:t>
            </w:r>
            <w:r w:rsidRPr="00AF6446">
              <w:rPr>
                <w:rFonts w:cs="Arial"/>
                <w:szCs w:val="22"/>
              </w:rPr>
              <w:br/>
              <w:t>Transdominance: No</w:t>
            </w:r>
            <w:r w:rsidRPr="00AF6446">
              <w:rPr>
                <w:rFonts w:cs="Arial"/>
                <w:szCs w:val="22"/>
              </w:rPr>
              <w:br/>
              <w:t>Affinity to ligand: Decreased</w:t>
            </w:r>
            <w:r w:rsidRPr="00AF6446">
              <w:rPr>
                <w:rFonts w:cs="Arial"/>
                <w:szCs w:val="22"/>
              </w:rPr>
              <w:br/>
              <w:t>Nuclear translocation: 60 min</w:t>
            </w:r>
          </w:p>
        </w:tc>
        <w:tc>
          <w:tcPr>
            <w:tcW w:w="763" w:type="pct"/>
            <w:shd w:val="clear" w:color="auto" w:fill="auto"/>
            <w:hideMark/>
          </w:tcPr>
          <w:p w14:paraId="27DB8D85" w14:textId="77777777" w:rsidR="00664058" w:rsidRPr="00AF6446" w:rsidRDefault="00664058" w:rsidP="00AF6446">
            <w:pPr>
              <w:rPr>
                <w:rFonts w:cs="Arial"/>
                <w:szCs w:val="22"/>
              </w:rPr>
            </w:pPr>
            <w:r w:rsidRPr="00AF6446">
              <w:rPr>
                <w:rFonts w:cs="Arial"/>
                <w:szCs w:val="22"/>
              </w:rPr>
              <w:t>Heterozygous</w:t>
            </w:r>
          </w:p>
        </w:tc>
        <w:tc>
          <w:tcPr>
            <w:tcW w:w="1229" w:type="pct"/>
            <w:shd w:val="clear" w:color="auto" w:fill="auto"/>
            <w:hideMark/>
          </w:tcPr>
          <w:p w14:paraId="2CD10175" w14:textId="77777777" w:rsidR="00664058" w:rsidRPr="00AF6446" w:rsidRDefault="00664058" w:rsidP="00AF6446">
            <w:pPr>
              <w:rPr>
                <w:rFonts w:cs="Arial"/>
                <w:szCs w:val="22"/>
              </w:rPr>
            </w:pPr>
            <w:r w:rsidRPr="00AF6446">
              <w:rPr>
                <w:rFonts w:cs="Arial"/>
                <w:szCs w:val="22"/>
              </w:rPr>
              <w:t>Hirsutism</w:t>
            </w:r>
            <w:r w:rsidRPr="00AF6446">
              <w:rPr>
                <w:rFonts w:cs="Arial"/>
                <w:szCs w:val="22"/>
              </w:rPr>
              <w:br/>
              <w:t>Acne</w:t>
            </w:r>
            <w:r w:rsidRPr="00AF6446">
              <w:rPr>
                <w:rFonts w:cs="Arial"/>
                <w:szCs w:val="22"/>
              </w:rPr>
              <w:br/>
              <w:t>Alopecia</w:t>
            </w:r>
            <w:r w:rsidRPr="00AF6446">
              <w:rPr>
                <w:rFonts w:cs="Arial"/>
                <w:szCs w:val="22"/>
              </w:rPr>
              <w:br/>
              <w:t>Fatigue</w:t>
            </w:r>
            <w:r w:rsidRPr="00AF6446">
              <w:rPr>
                <w:rFonts w:cs="Arial"/>
                <w:szCs w:val="22"/>
              </w:rPr>
              <w:br/>
              <w:t>Anxiety</w:t>
            </w:r>
            <w:r w:rsidRPr="00AF6446">
              <w:rPr>
                <w:rFonts w:cs="Arial"/>
                <w:szCs w:val="22"/>
              </w:rPr>
              <w:br/>
              <w:t>Irregular menstrual cycle</w:t>
            </w:r>
          </w:p>
        </w:tc>
      </w:tr>
      <w:tr w:rsidR="00070953" w:rsidRPr="00AF6446" w14:paraId="6DA3E20B" w14:textId="77777777" w:rsidTr="00F176DC">
        <w:tc>
          <w:tcPr>
            <w:tcW w:w="763" w:type="pct"/>
            <w:shd w:val="clear" w:color="auto" w:fill="auto"/>
          </w:tcPr>
          <w:p w14:paraId="6C536766" w14:textId="6D257CA5" w:rsidR="00664058" w:rsidRPr="00AF6446" w:rsidRDefault="00664058" w:rsidP="00AF6446">
            <w:pPr>
              <w:rPr>
                <w:rFonts w:cs="Arial"/>
                <w:i/>
                <w:szCs w:val="22"/>
              </w:rPr>
            </w:pPr>
            <w:r w:rsidRPr="00AF6446">
              <w:rPr>
                <w:rFonts w:cs="Arial"/>
                <w:szCs w:val="22"/>
              </w:rPr>
              <w:t xml:space="preserve">Lin </w:t>
            </w:r>
            <w:r w:rsidRPr="00AF6446">
              <w:rPr>
                <w:rFonts w:cs="Arial"/>
                <w:i/>
                <w:szCs w:val="22"/>
              </w:rPr>
              <w:t>et al.</w:t>
            </w:r>
            <w:r>
              <w:rPr>
                <w:rFonts w:cs="Arial"/>
                <w:i/>
                <w:szCs w:val="22"/>
              </w:rPr>
              <w:t xml:space="preserve"> (432)</w:t>
            </w:r>
          </w:p>
        </w:tc>
        <w:tc>
          <w:tcPr>
            <w:tcW w:w="551" w:type="pct"/>
            <w:shd w:val="clear" w:color="auto" w:fill="auto"/>
          </w:tcPr>
          <w:p w14:paraId="56B2A199" w14:textId="7C4FA91D" w:rsidR="00664058" w:rsidRPr="00AF6446" w:rsidRDefault="00664058" w:rsidP="00AF6446">
            <w:pPr>
              <w:rPr>
                <w:rFonts w:cs="Arial"/>
                <w:szCs w:val="22"/>
              </w:rPr>
            </w:pPr>
            <w:r w:rsidRPr="00AF6446">
              <w:rPr>
                <w:rFonts w:cs="Arial"/>
                <w:szCs w:val="22"/>
              </w:rPr>
              <w:t>26C&gt;G</w:t>
            </w:r>
          </w:p>
        </w:tc>
        <w:tc>
          <w:tcPr>
            <w:tcW w:w="635" w:type="pct"/>
            <w:shd w:val="clear" w:color="auto" w:fill="auto"/>
          </w:tcPr>
          <w:p w14:paraId="1DEE5A01" w14:textId="32B0462A" w:rsidR="00664058" w:rsidRPr="00AF6446" w:rsidRDefault="00664058" w:rsidP="00AF6446">
            <w:pPr>
              <w:rPr>
                <w:rFonts w:cs="Arial"/>
                <w:szCs w:val="22"/>
              </w:rPr>
            </w:pPr>
            <w:r w:rsidRPr="00AF6446">
              <w:rPr>
                <w:rFonts w:cs="Arial"/>
                <w:szCs w:val="22"/>
              </w:rPr>
              <w:t>Pro9Arg</w:t>
            </w:r>
          </w:p>
        </w:tc>
        <w:tc>
          <w:tcPr>
            <w:tcW w:w="1059" w:type="pct"/>
            <w:shd w:val="clear" w:color="auto" w:fill="auto"/>
          </w:tcPr>
          <w:p w14:paraId="5BFF8FA9" w14:textId="46FC7E29"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7637222E" w14:textId="6B8F2061"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3C272C1B" w14:textId="3070FC17" w:rsidR="00664058" w:rsidRPr="00AF6446" w:rsidRDefault="00664058" w:rsidP="00AF6446">
            <w:pPr>
              <w:rPr>
                <w:rFonts w:cs="Arial"/>
                <w:szCs w:val="22"/>
              </w:rPr>
            </w:pPr>
            <w:r w:rsidRPr="00AF6446">
              <w:rPr>
                <w:rFonts w:cs="Arial"/>
                <w:szCs w:val="22"/>
              </w:rPr>
              <w:t>Hypertension</w:t>
            </w:r>
          </w:p>
        </w:tc>
      </w:tr>
      <w:tr w:rsidR="00070953" w:rsidRPr="00AF6446" w14:paraId="324C34F0" w14:textId="77777777" w:rsidTr="00F176DC">
        <w:tc>
          <w:tcPr>
            <w:tcW w:w="763" w:type="pct"/>
            <w:shd w:val="clear" w:color="auto" w:fill="auto"/>
          </w:tcPr>
          <w:p w14:paraId="2E4EB995" w14:textId="1BE81DCC" w:rsidR="00664058" w:rsidRPr="00AF6446" w:rsidRDefault="00664058" w:rsidP="00AF6446">
            <w:pPr>
              <w:rPr>
                <w:rFonts w:cs="Arial"/>
                <w:i/>
                <w:szCs w:val="22"/>
              </w:rPr>
            </w:pPr>
            <w:r w:rsidRPr="00AF6446">
              <w:rPr>
                <w:rFonts w:cs="Arial"/>
                <w:szCs w:val="22"/>
              </w:rPr>
              <w:t xml:space="preserve">Paragliola </w:t>
            </w:r>
            <w:r w:rsidRPr="00AF6446">
              <w:rPr>
                <w:rFonts w:cs="Arial"/>
                <w:i/>
                <w:szCs w:val="22"/>
              </w:rPr>
              <w:t>et al.</w:t>
            </w:r>
            <w:r>
              <w:rPr>
                <w:rFonts w:cs="Arial"/>
                <w:i/>
                <w:szCs w:val="22"/>
              </w:rPr>
              <w:t xml:space="preserve"> (433)</w:t>
            </w:r>
          </w:p>
        </w:tc>
        <w:tc>
          <w:tcPr>
            <w:tcW w:w="551" w:type="pct"/>
            <w:shd w:val="clear" w:color="auto" w:fill="auto"/>
          </w:tcPr>
          <w:p w14:paraId="1D32642B" w14:textId="29B9416F" w:rsidR="00664058" w:rsidRPr="00AF6446" w:rsidRDefault="00664058" w:rsidP="00AF6446">
            <w:pPr>
              <w:rPr>
                <w:rFonts w:cs="Arial"/>
                <w:szCs w:val="22"/>
              </w:rPr>
            </w:pPr>
            <w:r w:rsidRPr="00AF6446">
              <w:rPr>
                <w:rFonts w:cs="Arial"/>
                <w:szCs w:val="22"/>
              </w:rPr>
              <w:t>367G˃T</w:t>
            </w:r>
          </w:p>
        </w:tc>
        <w:tc>
          <w:tcPr>
            <w:tcW w:w="635" w:type="pct"/>
            <w:shd w:val="clear" w:color="auto" w:fill="auto"/>
          </w:tcPr>
          <w:p w14:paraId="313993B3" w14:textId="0265540E" w:rsidR="00664058" w:rsidRPr="00AF6446" w:rsidRDefault="00664058" w:rsidP="00AF6446">
            <w:pPr>
              <w:rPr>
                <w:rFonts w:cs="Arial"/>
                <w:szCs w:val="22"/>
              </w:rPr>
            </w:pPr>
            <w:r w:rsidRPr="00AF6446">
              <w:rPr>
                <w:rFonts w:cs="Arial"/>
                <w:szCs w:val="22"/>
              </w:rPr>
              <w:t>Glu123Ter</w:t>
            </w:r>
          </w:p>
        </w:tc>
        <w:tc>
          <w:tcPr>
            <w:tcW w:w="1059" w:type="pct"/>
            <w:shd w:val="clear" w:color="auto" w:fill="auto"/>
          </w:tcPr>
          <w:p w14:paraId="08E3F7D9" w14:textId="38F7721A"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2CA7EDB1" w14:textId="6064B072"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3CE72158" w14:textId="77777777" w:rsidR="00664058" w:rsidRPr="00AF6446" w:rsidRDefault="00664058" w:rsidP="00AF6446">
            <w:pPr>
              <w:rPr>
                <w:rFonts w:cs="Arial"/>
                <w:szCs w:val="22"/>
              </w:rPr>
            </w:pPr>
            <w:r w:rsidRPr="00AF6446">
              <w:rPr>
                <w:rFonts w:cs="Arial"/>
                <w:szCs w:val="22"/>
              </w:rPr>
              <w:t>Chronic fatigue</w:t>
            </w:r>
          </w:p>
          <w:p w14:paraId="226CEF1B" w14:textId="77777777" w:rsidR="00664058" w:rsidRPr="00AF6446" w:rsidRDefault="00664058" w:rsidP="00AF6446">
            <w:pPr>
              <w:rPr>
                <w:rFonts w:cs="Arial"/>
                <w:szCs w:val="22"/>
              </w:rPr>
            </w:pPr>
            <w:r w:rsidRPr="00AF6446">
              <w:rPr>
                <w:rFonts w:cs="Arial"/>
                <w:szCs w:val="22"/>
              </w:rPr>
              <w:t>Anxiety</w:t>
            </w:r>
          </w:p>
          <w:p w14:paraId="77811B4C" w14:textId="77777777" w:rsidR="00664058" w:rsidRPr="00AF6446" w:rsidRDefault="00664058" w:rsidP="00AF6446">
            <w:pPr>
              <w:rPr>
                <w:rFonts w:cs="Arial"/>
                <w:szCs w:val="22"/>
              </w:rPr>
            </w:pPr>
            <w:r w:rsidRPr="00AF6446">
              <w:rPr>
                <w:rFonts w:cs="Arial"/>
                <w:szCs w:val="22"/>
              </w:rPr>
              <w:t>Hirsutism</w:t>
            </w:r>
          </w:p>
          <w:p w14:paraId="5CB39F8C" w14:textId="77777777" w:rsidR="00664058" w:rsidRPr="00AF6446" w:rsidRDefault="00664058" w:rsidP="00AF6446">
            <w:pPr>
              <w:rPr>
                <w:rFonts w:cs="Arial"/>
                <w:szCs w:val="22"/>
              </w:rPr>
            </w:pPr>
            <w:r w:rsidRPr="00AF6446">
              <w:rPr>
                <w:rFonts w:cs="Arial"/>
                <w:szCs w:val="22"/>
              </w:rPr>
              <w:t>Irregular menstrual cycles</w:t>
            </w:r>
          </w:p>
          <w:p w14:paraId="41565912" w14:textId="4EBF44ED" w:rsidR="00664058" w:rsidRPr="00AF6446" w:rsidRDefault="00664058" w:rsidP="00AF6446">
            <w:pPr>
              <w:rPr>
                <w:rFonts w:cs="Arial"/>
                <w:szCs w:val="22"/>
              </w:rPr>
            </w:pPr>
            <w:r w:rsidRPr="00AF6446">
              <w:rPr>
                <w:rFonts w:cs="Arial"/>
                <w:szCs w:val="22"/>
              </w:rPr>
              <w:t>Infertility</w:t>
            </w:r>
          </w:p>
        </w:tc>
      </w:tr>
      <w:tr w:rsidR="00070953" w:rsidRPr="00AF6446" w14:paraId="261A83A4" w14:textId="77777777" w:rsidTr="00F176DC">
        <w:tc>
          <w:tcPr>
            <w:tcW w:w="763" w:type="pct"/>
            <w:shd w:val="clear" w:color="auto" w:fill="auto"/>
          </w:tcPr>
          <w:p w14:paraId="677552E0" w14:textId="474E1AF7" w:rsidR="00664058" w:rsidRPr="00AF6446" w:rsidRDefault="00664058" w:rsidP="00AF6446">
            <w:pPr>
              <w:rPr>
                <w:rFonts w:cs="Arial"/>
                <w:i/>
                <w:szCs w:val="22"/>
              </w:rPr>
            </w:pPr>
            <w:r w:rsidRPr="00AF6446">
              <w:rPr>
                <w:rFonts w:cs="Arial"/>
                <w:szCs w:val="22"/>
              </w:rPr>
              <w:t xml:space="preserve">Tatsi </w:t>
            </w:r>
            <w:r w:rsidRPr="00AF6446">
              <w:rPr>
                <w:rFonts w:cs="Arial"/>
                <w:i/>
                <w:szCs w:val="22"/>
              </w:rPr>
              <w:t>et al.</w:t>
            </w:r>
            <w:r>
              <w:rPr>
                <w:rFonts w:cs="Arial"/>
                <w:i/>
                <w:szCs w:val="22"/>
              </w:rPr>
              <w:t xml:space="preserve"> (434)</w:t>
            </w:r>
          </w:p>
        </w:tc>
        <w:tc>
          <w:tcPr>
            <w:tcW w:w="551" w:type="pct"/>
            <w:shd w:val="clear" w:color="auto" w:fill="auto"/>
          </w:tcPr>
          <w:p w14:paraId="1AF9415B" w14:textId="37B0BE18" w:rsidR="00664058" w:rsidRPr="00AF6446" w:rsidRDefault="00664058" w:rsidP="00AF6446">
            <w:pPr>
              <w:rPr>
                <w:rFonts w:cs="Arial"/>
                <w:szCs w:val="22"/>
              </w:rPr>
            </w:pPr>
            <w:r w:rsidRPr="00AF6446">
              <w:rPr>
                <w:rFonts w:cs="Arial"/>
                <w:szCs w:val="22"/>
              </w:rPr>
              <w:t>592G˃T</w:t>
            </w:r>
          </w:p>
        </w:tc>
        <w:tc>
          <w:tcPr>
            <w:tcW w:w="635" w:type="pct"/>
            <w:shd w:val="clear" w:color="auto" w:fill="auto"/>
          </w:tcPr>
          <w:p w14:paraId="674CFBB3" w14:textId="3CCCCD54" w:rsidR="00664058" w:rsidRPr="00AF6446" w:rsidRDefault="00664058" w:rsidP="00AF6446">
            <w:pPr>
              <w:rPr>
                <w:rFonts w:cs="Arial"/>
                <w:szCs w:val="22"/>
                <w:highlight w:val="yellow"/>
              </w:rPr>
            </w:pPr>
            <w:r w:rsidRPr="00AF6446">
              <w:rPr>
                <w:rFonts w:cs="Arial"/>
                <w:szCs w:val="22"/>
              </w:rPr>
              <w:t>Glu198Ter</w:t>
            </w:r>
          </w:p>
        </w:tc>
        <w:tc>
          <w:tcPr>
            <w:tcW w:w="1059" w:type="pct"/>
            <w:shd w:val="clear" w:color="auto" w:fill="auto"/>
          </w:tcPr>
          <w:p w14:paraId="0F60F259" w14:textId="1B05B444"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153DFE87" w14:textId="0BAE23B6" w:rsidR="00664058" w:rsidRPr="00AF6446" w:rsidRDefault="00664058" w:rsidP="00AF6446">
            <w:pPr>
              <w:rPr>
                <w:rFonts w:cs="Arial"/>
                <w:szCs w:val="22"/>
              </w:rPr>
            </w:pPr>
            <w:r w:rsidRPr="00AF6446">
              <w:rPr>
                <w:rFonts w:cs="Arial"/>
                <w:szCs w:val="22"/>
              </w:rPr>
              <w:t>Compound heterozygous</w:t>
            </w:r>
          </w:p>
        </w:tc>
        <w:tc>
          <w:tcPr>
            <w:tcW w:w="1229" w:type="pct"/>
            <w:shd w:val="clear" w:color="auto" w:fill="auto"/>
          </w:tcPr>
          <w:p w14:paraId="065A2B62" w14:textId="3F9CEF7D" w:rsidR="00664058" w:rsidRPr="00AF6446" w:rsidRDefault="00664058" w:rsidP="00AF6446">
            <w:pPr>
              <w:rPr>
                <w:rFonts w:cs="Arial"/>
                <w:szCs w:val="22"/>
              </w:rPr>
            </w:pPr>
            <w:r w:rsidRPr="00AF6446">
              <w:rPr>
                <w:rFonts w:cs="Arial"/>
                <w:szCs w:val="22"/>
              </w:rPr>
              <w:t>Hypertensive encephalopathy</w:t>
            </w:r>
          </w:p>
        </w:tc>
      </w:tr>
      <w:tr w:rsidR="00070953" w:rsidRPr="00AF6446" w14:paraId="48A9378D" w14:textId="77777777" w:rsidTr="00F176DC">
        <w:tc>
          <w:tcPr>
            <w:tcW w:w="763" w:type="pct"/>
            <w:shd w:val="clear" w:color="auto" w:fill="auto"/>
          </w:tcPr>
          <w:p w14:paraId="38613232" w14:textId="33F10CD1" w:rsidR="00664058" w:rsidRPr="00AF6446" w:rsidRDefault="00664058" w:rsidP="00AF6446">
            <w:pPr>
              <w:rPr>
                <w:rFonts w:cs="Arial"/>
                <w:i/>
                <w:szCs w:val="22"/>
              </w:rPr>
            </w:pPr>
            <w:r w:rsidRPr="00AF6446">
              <w:rPr>
                <w:rFonts w:cs="Arial"/>
                <w:szCs w:val="22"/>
              </w:rPr>
              <w:t xml:space="preserve">Al Argan </w:t>
            </w:r>
            <w:r w:rsidRPr="00AF6446">
              <w:rPr>
                <w:rFonts w:cs="Arial"/>
                <w:i/>
                <w:szCs w:val="22"/>
              </w:rPr>
              <w:t>et al.</w:t>
            </w:r>
            <w:r>
              <w:rPr>
                <w:rFonts w:cs="Arial"/>
                <w:i/>
                <w:szCs w:val="22"/>
              </w:rPr>
              <w:t xml:space="preserve"> (435)</w:t>
            </w:r>
          </w:p>
        </w:tc>
        <w:tc>
          <w:tcPr>
            <w:tcW w:w="551" w:type="pct"/>
            <w:shd w:val="clear" w:color="auto" w:fill="auto"/>
          </w:tcPr>
          <w:p w14:paraId="03CF696E" w14:textId="2B8AF7B0" w:rsidR="00664058" w:rsidRPr="00AF6446" w:rsidRDefault="00664058" w:rsidP="00AF6446">
            <w:pPr>
              <w:rPr>
                <w:rFonts w:cs="Arial"/>
                <w:szCs w:val="22"/>
              </w:rPr>
            </w:pPr>
            <w:r w:rsidRPr="00AF6446">
              <w:rPr>
                <w:rFonts w:cs="Arial"/>
                <w:szCs w:val="22"/>
              </w:rPr>
              <w:t>1392delC</w:t>
            </w:r>
          </w:p>
        </w:tc>
        <w:tc>
          <w:tcPr>
            <w:tcW w:w="635" w:type="pct"/>
            <w:shd w:val="clear" w:color="auto" w:fill="auto"/>
          </w:tcPr>
          <w:p w14:paraId="470C5C74" w14:textId="6264FDD6" w:rsidR="00664058" w:rsidRPr="00AF6446" w:rsidRDefault="00664058" w:rsidP="00AF6446">
            <w:pPr>
              <w:rPr>
                <w:rFonts w:cs="Arial"/>
                <w:i/>
                <w:szCs w:val="22"/>
              </w:rPr>
            </w:pPr>
            <w:r w:rsidRPr="00AF6446">
              <w:rPr>
                <w:rFonts w:cs="Arial"/>
                <w:szCs w:val="22"/>
              </w:rPr>
              <w:t>Ile464Ile</w:t>
            </w:r>
            <w:r w:rsidRPr="00AF6446">
              <w:rPr>
                <w:rFonts w:cs="Arial"/>
                <w:i/>
                <w:szCs w:val="22"/>
              </w:rPr>
              <w:t>fs⃰</w:t>
            </w:r>
          </w:p>
        </w:tc>
        <w:tc>
          <w:tcPr>
            <w:tcW w:w="1059" w:type="pct"/>
            <w:shd w:val="clear" w:color="auto" w:fill="auto"/>
          </w:tcPr>
          <w:p w14:paraId="4043B086" w14:textId="3B2A6A1E"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7FD7CB1C" w14:textId="5B843706"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7ACE16C9" w14:textId="77777777" w:rsidR="00664058" w:rsidRPr="00AF6446" w:rsidRDefault="00664058" w:rsidP="00AF6446">
            <w:pPr>
              <w:rPr>
                <w:rFonts w:cs="Arial"/>
                <w:szCs w:val="22"/>
              </w:rPr>
            </w:pPr>
            <w:r w:rsidRPr="00AF6446">
              <w:rPr>
                <w:rFonts w:cs="Arial"/>
                <w:szCs w:val="22"/>
              </w:rPr>
              <w:t>Low body weight</w:t>
            </w:r>
          </w:p>
          <w:p w14:paraId="4D236337" w14:textId="77777777" w:rsidR="00664058" w:rsidRPr="00AF6446" w:rsidRDefault="00664058" w:rsidP="00AF6446">
            <w:pPr>
              <w:rPr>
                <w:rFonts w:cs="Arial"/>
                <w:szCs w:val="22"/>
              </w:rPr>
            </w:pPr>
            <w:r w:rsidRPr="00AF6446">
              <w:rPr>
                <w:rFonts w:cs="Arial"/>
                <w:szCs w:val="22"/>
              </w:rPr>
              <w:t>Hyperandrogenism</w:t>
            </w:r>
          </w:p>
          <w:p w14:paraId="27FFD353" w14:textId="77777777" w:rsidR="00664058" w:rsidRPr="00AF6446" w:rsidRDefault="00664058" w:rsidP="00AF6446">
            <w:pPr>
              <w:rPr>
                <w:rFonts w:cs="Arial"/>
                <w:szCs w:val="22"/>
              </w:rPr>
            </w:pPr>
            <w:r w:rsidRPr="00AF6446">
              <w:rPr>
                <w:rFonts w:cs="Arial"/>
                <w:szCs w:val="22"/>
              </w:rPr>
              <w:t>Severe anxiety</w:t>
            </w:r>
          </w:p>
          <w:p w14:paraId="1497E77D" w14:textId="7CBC6511" w:rsidR="00664058" w:rsidRPr="00AF6446" w:rsidRDefault="00664058" w:rsidP="00AF6446">
            <w:pPr>
              <w:rPr>
                <w:rFonts w:cs="Arial"/>
                <w:szCs w:val="22"/>
              </w:rPr>
            </w:pPr>
            <w:r w:rsidRPr="00AF6446">
              <w:rPr>
                <w:rFonts w:cs="Arial"/>
                <w:szCs w:val="22"/>
              </w:rPr>
              <w:t>Adrenocortical hyperplasia</w:t>
            </w:r>
          </w:p>
        </w:tc>
      </w:tr>
      <w:tr w:rsidR="00070953" w:rsidRPr="00AF6446" w14:paraId="5A43A545" w14:textId="77777777" w:rsidTr="00F176DC">
        <w:tc>
          <w:tcPr>
            <w:tcW w:w="763" w:type="pct"/>
            <w:shd w:val="clear" w:color="auto" w:fill="auto"/>
          </w:tcPr>
          <w:p w14:paraId="5DFF8AEA" w14:textId="7DD5C4A8" w:rsidR="00664058" w:rsidRPr="00AF6446" w:rsidRDefault="00664058" w:rsidP="00AF6446">
            <w:pPr>
              <w:rPr>
                <w:rFonts w:cs="Arial"/>
                <w:i/>
                <w:szCs w:val="22"/>
              </w:rPr>
            </w:pPr>
            <w:r w:rsidRPr="00AF6446">
              <w:rPr>
                <w:rFonts w:cs="Arial"/>
                <w:szCs w:val="22"/>
              </w:rPr>
              <w:t xml:space="preserve">Vitellius </w:t>
            </w:r>
            <w:r w:rsidRPr="00AF6446">
              <w:rPr>
                <w:rFonts w:cs="Arial"/>
                <w:i/>
                <w:szCs w:val="22"/>
              </w:rPr>
              <w:t>et al.</w:t>
            </w:r>
            <w:r>
              <w:rPr>
                <w:rFonts w:cs="Arial"/>
                <w:i/>
                <w:szCs w:val="22"/>
              </w:rPr>
              <w:t xml:space="preserve"> (436)</w:t>
            </w:r>
          </w:p>
        </w:tc>
        <w:tc>
          <w:tcPr>
            <w:tcW w:w="551" w:type="pct"/>
            <w:shd w:val="clear" w:color="auto" w:fill="auto"/>
          </w:tcPr>
          <w:p w14:paraId="2F81164A" w14:textId="52554B7B" w:rsidR="00664058" w:rsidRPr="00AF6446" w:rsidRDefault="00664058" w:rsidP="00AF6446">
            <w:pPr>
              <w:rPr>
                <w:rFonts w:cs="Arial"/>
                <w:szCs w:val="22"/>
              </w:rPr>
            </w:pPr>
            <w:r w:rsidRPr="00AF6446">
              <w:rPr>
                <w:rFonts w:cs="Arial"/>
                <w:szCs w:val="22"/>
              </w:rPr>
              <w:t>1429C˃A</w:t>
            </w:r>
          </w:p>
        </w:tc>
        <w:tc>
          <w:tcPr>
            <w:tcW w:w="635" w:type="pct"/>
            <w:shd w:val="clear" w:color="auto" w:fill="auto"/>
          </w:tcPr>
          <w:p w14:paraId="0640E236" w14:textId="419BD072" w:rsidR="00664058" w:rsidRPr="00AF6446" w:rsidRDefault="00664058" w:rsidP="00AF6446">
            <w:pPr>
              <w:rPr>
                <w:rFonts w:cs="Arial"/>
                <w:szCs w:val="22"/>
              </w:rPr>
            </w:pPr>
            <w:r w:rsidRPr="00AF6446">
              <w:rPr>
                <w:rFonts w:cs="Arial"/>
                <w:szCs w:val="22"/>
              </w:rPr>
              <w:t>Arg477Ser</w:t>
            </w:r>
          </w:p>
        </w:tc>
        <w:tc>
          <w:tcPr>
            <w:tcW w:w="1059" w:type="pct"/>
            <w:shd w:val="clear" w:color="auto" w:fill="auto"/>
          </w:tcPr>
          <w:p w14:paraId="032B8C57" w14:textId="77777777" w:rsidR="00664058" w:rsidRPr="00AF6446" w:rsidRDefault="00664058" w:rsidP="00AF6446">
            <w:pPr>
              <w:rPr>
                <w:rFonts w:cs="Arial"/>
                <w:szCs w:val="22"/>
              </w:rPr>
            </w:pPr>
            <w:r w:rsidRPr="00AF6446">
              <w:rPr>
                <w:rFonts w:cs="Arial"/>
                <w:szCs w:val="22"/>
              </w:rPr>
              <w:t>Cytoplasm to nuclear translocation: Decreased</w:t>
            </w:r>
          </w:p>
          <w:p w14:paraId="38B3A465" w14:textId="19D009A7" w:rsidR="00664058" w:rsidRPr="00AF6446" w:rsidRDefault="00664058" w:rsidP="00AF6446">
            <w:pPr>
              <w:rPr>
                <w:rFonts w:cs="Arial"/>
                <w:szCs w:val="22"/>
              </w:rPr>
            </w:pPr>
            <w:r w:rsidRPr="00AF6446">
              <w:rPr>
                <w:rFonts w:cs="Arial"/>
                <w:szCs w:val="22"/>
              </w:rPr>
              <w:t>DNA binding: (-)</w:t>
            </w:r>
          </w:p>
          <w:p w14:paraId="0232F67B" w14:textId="56D67038" w:rsidR="00664058" w:rsidRPr="00AF6446" w:rsidRDefault="00664058" w:rsidP="00AF6446">
            <w:pPr>
              <w:rPr>
                <w:rFonts w:cs="Arial"/>
                <w:szCs w:val="22"/>
              </w:rPr>
            </w:pPr>
            <w:r w:rsidRPr="00AF6446">
              <w:rPr>
                <w:rFonts w:cs="Arial"/>
                <w:szCs w:val="22"/>
              </w:rPr>
              <w:t>Dominant negative effect: (-) Transactivation: (-)</w:t>
            </w:r>
          </w:p>
        </w:tc>
        <w:tc>
          <w:tcPr>
            <w:tcW w:w="763" w:type="pct"/>
            <w:shd w:val="clear" w:color="auto" w:fill="auto"/>
          </w:tcPr>
          <w:p w14:paraId="78267D62" w14:textId="1F7113A7"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77A51B5A" w14:textId="6D3CAB8E" w:rsidR="00664058" w:rsidRPr="00AF6446" w:rsidRDefault="00664058" w:rsidP="00AF6446">
            <w:pPr>
              <w:rPr>
                <w:rFonts w:cs="Arial"/>
                <w:szCs w:val="22"/>
              </w:rPr>
            </w:pPr>
            <w:r w:rsidRPr="00AF6446">
              <w:rPr>
                <w:rFonts w:cs="Arial"/>
                <w:szCs w:val="22"/>
              </w:rPr>
              <w:t>Obesity</w:t>
            </w:r>
          </w:p>
        </w:tc>
      </w:tr>
      <w:tr w:rsidR="00070953" w:rsidRPr="00AF6446" w14:paraId="6EF832E1" w14:textId="77777777" w:rsidTr="00F176DC">
        <w:tc>
          <w:tcPr>
            <w:tcW w:w="763" w:type="pct"/>
            <w:shd w:val="clear" w:color="auto" w:fill="auto"/>
          </w:tcPr>
          <w:p w14:paraId="5545ACCF" w14:textId="16A2CF85" w:rsidR="00664058" w:rsidRPr="00AF6446" w:rsidRDefault="00664058" w:rsidP="00AF6446">
            <w:pPr>
              <w:rPr>
                <w:rFonts w:cs="Arial"/>
                <w:i/>
                <w:szCs w:val="22"/>
              </w:rPr>
            </w:pPr>
            <w:r w:rsidRPr="00AF6446">
              <w:rPr>
                <w:rFonts w:cs="Arial"/>
                <w:szCs w:val="22"/>
              </w:rPr>
              <w:t xml:space="preserve">Velayos </w:t>
            </w:r>
            <w:r w:rsidRPr="00AF6446">
              <w:rPr>
                <w:rFonts w:cs="Arial"/>
                <w:i/>
                <w:szCs w:val="22"/>
              </w:rPr>
              <w:t>et al.</w:t>
            </w:r>
            <w:r>
              <w:rPr>
                <w:rFonts w:cs="Arial"/>
                <w:i/>
                <w:szCs w:val="22"/>
              </w:rPr>
              <w:t xml:space="preserve"> (437)</w:t>
            </w:r>
          </w:p>
        </w:tc>
        <w:tc>
          <w:tcPr>
            <w:tcW w:w="551" w:type="pct"/>
            <w:shd w:val="clear" w:color="auto" w:fill="auto"/>
          </w:tcPr>
          <w:p w14:paraId="6D036274" w14:textId="4390B501" w:rsidR="00664058" w:rsidRPr="00AF6446" w:rsidRDefault="00664058" w:rsidP="00AF6446">
            <w:pPr>
              <w:rPr>
                <w:rFonts w:cs="Arial"/>
                <w:szCs w:val="22"/>
              </w:rPr>
            </w:pPr>
            <w:r w:rsidRPr="00AF6446">
              <w:rPr>
                <w:rFonts w:cs="Arial"/>
                <w:szCs w:val="22"/>
              </w:rPr>
              <w:t>1429C˃T</w:t>
            </w:r>
          </w:p>
        </w:tc>
        <w:tc>
          <w:tcPr>
            <w:tcW w:w="635" w:type="pct"/>
            <w:shd w:val="clear" w:color="auto" w:fill="auto"/>
          </w:tcPr>
          <w:p w14:paraId="35E4F381" w14:textId="72FCCEF5" w:rsidR="00664058" w:rsidRPr="00AF6446" w:rsidRDefault="00664058" w:rsidP="00AF6446">
            <w:pPr>
              <w:rPr>
                <w:rFonts w:cs="Arial"/>
                <w:szCs w:val="22"/>
              </w:rPr>
            </w:pPr>
            <w:r w:rsidRPr="00AF6446">
              <w:rPr>
                <w:rFonts w:cs="Arial"/>
                <w:szCs w:val="22"/>
              </w:rPr>
              <w:t>Arg477Cys</w:t>
            </w:r>
          </w:p>
        </w:tc>
        <w:tc>
          <w:tcPr>
            <w:tcW w:w="1059" w:type="pct"/>
            <w:shd w:val="clear" w:color="auto" w:fill="auto"/>
          </w:tcPr>
          <w:p w14:paraId="2B5E5CFA" w14:textId="7C54F6D3"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5E21B6BD" w14:textId="7B6F57C8"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4E6C5B48" w14:textId="632BBAA1" w:rsidR="00664058" w:rsidRPr="00AF6446" w:rsidRDefault="00664058" w:rsidP="00AF6446">
            <w:pPr>
              <w:rPr>
                <w:rFonts w:cs="Arial"/>
                <w:szCs w:val="22"/>
              </w:rPr>
            </w:pPr>
            <w:r w:rsidRPr="00AF6446">
              <w:rPr>
                <w:rFonts w:cs="Arial"/>
                <w:szCs w:val="22"/>
              </w:rPr>
              <w:t>Mild hirsutism</w:t>
            </w:r>
          </w:p>
        </w:tc>
      </w:tr>
      <w:tr w:rsidR="00070953" w:rsidRPr="00AF6446" w14:paraId="48E9D4AD" w14:textId="77777777" w:rsidTr="00F176DC">
        <w:tc>
          <w:tcPr>
            <w:tcW w:w="763" w:type="pct"/>
            <w:shd w:val="clear" w:color="auto" w:fill="auto"/>
          </w:tcPr>
          <w:p w14:paraId="4B4DB351" w14:textId="7D2F5098" w:rsidR="00664058" w:rsidRPr="00AF6446" w:rsidRDefault="00664058" w:rsidP="00AF6446">
            <w:pPr>
              <w:rPr>
                <w:rFonts w:cs="Arial"/>
                <w:szCs w:val="22"/>
              </w:rPr>
            </w:pPr>
            <w:r w:rsidRPr="00AF6446">
              <w:rPr>
                <w:rFonts w:cs="Arial"/>
                <w:szCs w:val="22"/>
              </w:rPr>
              <w:t>Vitellius et al.</w:t>
            </w:r>
            <w:r>
              <w:rPr>
                <w:rFonts w:cs="Arial"/>
                <w:szCs w:val="22"/>
              </w:rPr>
              <w:t xml:space="preserve"> (436)</w:t>
            </w:r>
          </w:p>
        </w:tc>
        <w:tc>
          <w:tcPr>
            <w:tcW w:w="551" w:type="pct"/>
            <w:shd w:val="clear" w:color="auto" w:fill="auto"/>
          </w:tcPr>
          <w:p w14:paraId="7EE518DE" w14:textId="0B4AF4D1" w:rsidR="00664058" w:rsidRPr="00AF6446" w:rsidRDefault="00664058" w:rsidP="00AF6446">
            <w:pPr>
              <w:rPr>
                <w:rFonts w:cs="Arial"/>
                <w:szCs w:val="22"/>
              </w:rPr>
            </w:pPr>
            <w:r w:rsidRPr="00AF6446">
              <w:rPr>
                <w:rFonts w:cs="Arial"/>
                <w:szCs w:val="22"/>
              </w:rPr>
              <w:t>1433A˃G</w:t>
            </w:r>
          </w:p>
        </w:tc>
        <w:tc>
          <w:tcPr>
            <w:tcW w:w="635" w:type="pct"/>
            <w:shd w:val="clear" w:color="auto" w:fill="auto"/>
          </w:tcPr>
          <w:p w14:paraId="35F7F2D0" w14:textId="2B0E9E31" w:rsidR="00664058" w:rsidRPr="00AF6446" w:rsidRDefault="00664058" w:rsidP="00AF6446">
            <w:pPr>
              <w:rPr>
                <w:rFonts w:cs="Arial"/>
                <w:szCs w:val="22"/>
              </w:rPr>
            </w:pPr>
            <w:r w:rsidRPr="00AF6446">
              <w:rPr>
                <w:rFonts w:cs="Arial"/>
                <w:szCs w:val="22"/>
              </w:rPr>
              <w:t>Tyr478Cys</w:t>
            </w:r>
          </w:p>
        </w:tc>
        <w:tc>
          <w:tcPr>
            <w:tcW w:w="1059" w:type="pct"/>
            <w:shd w:val="clear" w:color="auto" w:fill="auto"/>
          </w:tcPr>
          <w:p w14:paraId="626FEF91" w14:textId="77777777" w:rsidR="00664058" w:rsidRPr="00AF6446" w:rsidRDefault="00664058" w:rsidP="00AF6446">
            <w:pPr>
              <w:rPr>
                <w:rFonts w:cs="Arial"/>
                <w:szCs w:val="22"/>
              </w:rPr>
            </w:pPr>
            <w:r w:rsidRPr="00AF6446">
              <w:rPr>
                <w:rFonts w:cs="Arial"/>
                <w:szCs w:val="22"/>
              </w:rPr>
              <w:t xml:space="preserve">Cytoplasm to nuclear </w:t>
            </w:r>
            <w:r w:rsidRPr="00AF6446">
              <w:rPr>
                <w:rFonts w:cs="Arial"/>
                <w:szCs w:val="22"/>
              </w:rPr>
              <w:lastRenderedPageBreak/>
              <w:t>translocation: Decreased</w:t>
            </w:r>
          </w:p>
          <w:p w14:paraId="7B467C57" w14:textId="77777777" w:rsidR="00664058" w:rsidRPr="00AF6446" w:rsidRDefault="00664058" w:rsidP="00AF6446">
            <w:pPr>
              <w:rPr>
                <w:rFonts w:cs="Arial"/>
                <w:szCs w:val="22"/>
              </w:rPr>
            </w:pPr>
            <w:r w:rsidRPr="00AF6446">
              <w:rPr>
                <w:rFonts w:cs="Arial"/>
                <w:szCs w:val="22"/>
              </w:rPr>
              <w:t>DNA binding: Weak and delayed</w:t>
            </w:r>
          </w:p>
          <w:p w14:paraId="5A1D20AC" w14:textId="09EB0F14" w:rsidR="00664058" w:rsidRPr="00AF6446" w:rsidRDefault="00664058" w:rsidP="00AF6446">
            <w:pPr>
              <w:rPr>
                <w:rFonts w:cs="Arial"/>
                <w:szCs w:val="22"/>
              </w:rPr>
            </w:pPr>
            <w:r w:rsidRPr="00AF6446">
              <w:rPr>
                <w:rFonts w:cs="Arial"/>
                <w:szCs w:val="22"/>
              </w:rPr>
              <w:t>Dominant negative effect: (-)</w:t>
            </w:r>
          </w:p>
          <w:p w14:paraId="042ADA47" w14:textId="2A7B451F" w:rsidR="00664058" w:rsidRPr="00AF6446" w:rsidRDefault="00664058" w:rsidP="00AF6446">
            <w:pPr>
              <w:rPr>
                <w:rFonts w:cs="Arial"/>
                <w:szCs w:val="22"/>
              </w:rPr>
            </w:pPr>
            <w:r w:rsidRPr="00AF6446">
              <w:rPr>
                <w:rFonts w:cs="Arial"/>
                <w:szCs w:val="22"/>
              </w:rPr>
              <w:t>Transactivation: Decreased</w:t>
            </w:r>
          </w:p>
        </w:tc>
        <w:tc>
          <w:tcPr>
            <w:tcW w:w="763" w:type="pct"/>
            <w:shd w:val="clear" w:color="auto" w:fill="auto"/>
          </w:tcPr>
          <w:p w14:paraId="7B04788E" w14:textId="66FBF8A2" w:rsidR="00664058" w:rsidRPr="00AF6446" w:rsidRDefault="00664058" w:rsidP="00AF6446">
            <w:pPr>
              <w:rPr>
                <w:rFonts w:cs="Arial"/>
                <w:szCs w:val="22"/>
              </w:rPr>
            </w:pPr>
            <w:r w:rsidRPr="00AF6446">
              <w:rPr>
                <w:rFonts w:cs="Arial"/>
                <w:szCs w:val="22"/>
              </w:rPr>
              <w:lastRenderedPageBreak/>
              <w:t>Heterozygous</w:t>
            </w:r>
          </w:p>
        </w:tc>
        <w:tc>
          <w:tcPr>
            <w:tcW w:w="1229" w:type="pct"/>
            <w:shd w:val="clear" w:color="auto" w:fill="auto"/>
          </w:tcPr>
          <w:p w14:paraId="7591EA93" w14:textId="69147923" w:rsidR="00664058" w:rsidRPr="00AF6446" w:rsidRDefault="00664058" w:rsidP="00AF6446">
            <w:pPr>
              <w:rPr>
                <w:rFonts w:cs="Arial"/>
                <w:szCs w:val="22"/>
              </w:rPr>
            </w:pPr>
            <w:r w:rsidRPr="00AF6446">
              <w:rPr>
                <w:rFonts w:cs="Arial"/>
                <w:szCs w:val="22"/>
              </w:rPr>
              <w:t>Adrenal mass</w:t>
            </w:r>
          </w:p>
        </w:tc>
      </w:tr>
      <w:tr w:rsidR="00070953" w:rsidRPr="00AF6446" w14:paraId="7A482BD1" w14:textId="77777777" w:rsidTr="00F176DC">
        <w:tc>
          <w:tcPr>
            <w:tcW w:w="763" w:type="pct"/>
            <w:shd w:val="clear" w:color="auto" w:fill="auto"/>
          </w:tcPr>
          <w:p w14:paraId="7620B26C" w14:textId="53DD6EA4" w:rsidR="00664058" w:rsidRPr="00AF6446" w:rsidRDefault="00664058" w:rsidP="00AF6446">
            <w:pPr>
              <w:rPr>
                <w:rFonts w:cs="Arial"/>
                <w:i/>
                <w:szCs w:val="22"/>
              </w:rPr>
            </w:pPr>
            <w:r w:rsidRPr="00AF6446">
              <w:rPr>
                <w:rFonts w:cs="Arial"/>
                <w:szCs w:val="22"/>
              </w:rPr>
              <w:t xml:space="preserve">Vitellius </w:t>
            </w:r>
            <w:r w:rsidRPr="00AF6446">
              <w:rPr>
                <w:rFonts w:cs="Arial"/>
                <w:i/>
                <w:szCs w:val="22"/>
              </w:rPr>
              <w:t>et al.</w:t>
            </w:r>
            <w:r>
              <w:rPr>
                <w:rFonts w:cs="Arial"/>
                <w:i/>
                <w:szCs w:val="22"/>
              </w:rPr>
              <w:t xml:space="preserve"> (438)</w:t>
            </w:r>
          </w:p>
        </w:tc>
        <w:tc>
          <w:tcPr>
            <w:tcW w:w="551" w:type="pct"/>
            <w:shd w:val="clear" w:color="auto" w:fill="auto"/>
          </w:tcPr>
          <w:p w14:paraId="5F69DB88" w14:textId="54723E20" w:rsidR="00664058" w:rsidRPr="00AF6446" w:rsidRDefault="00664058" w:rsidP="00AF6446">
            <w:pPr>
              <w:rPr>
                <w:rFonts w:cs="Arial"/>
                <w:szCs w:val="22"/>
              </w:rPr>
            </w:pPr>
            <w:r w:rsidRPr="00AF6446">
              <w:rPr>
                <w:rFonts w:cs="Arial"/>
                <w:szCs w:val="22"/>
              </w:rPr>
              <w:t>1471C˃T</w:t>
            </w:r>
          </w:p>
        </w:tc>
        <w:tc>
          <w:tcPr>
            <w:tcW w:w="635" w:type="pct"/>
            <w:shd w:val="clear" w:color="auto" w:fill="auto"/>
          </w:tcPr>
          <w:p w14:paraId="7B17EBCF" w14:textId="569F7E66" w:rsidR="00664058" w:rsidRPr="00AF6446" w:rsidRDefault="00664058" w:rsidP="00AF6446">
            <w:pPr>
              <w:rPr>
                <w:rFonts w:cs="Arial"/>
                <w:szCs w:val="22"/>
              </w:rPr>
            </w:pPr>
            <w:r w:rsidRPr="00AF6446">
              <w:rPr>
                <w:rFonts w:cs="Arial"/>
                <w:szCs w:val="22"/>
              </w:rPr>
              <w:t>Arg491Ter</w:t>
            </w:r>
          </w:p>
        </w:tc>
        <w:tc>
          <w:tcPr>
            <w:tcW w:w="1059" w:type="pct"/>
            <w:shd w:val="clear" w:color="auto" w:fill="auto"/>
          </w:tcPr>
          <w:p w14:paraId="5FBE6A9E" w14:textId="5D5073B4" w:rsidR="00664058" w:rsidRPr="00AF6446" w:rsidRDefault="00664058" w:rsidP="00AF6446">
            <w:pPr>
              <w:rPr>
                <w:rFonts w:cs="Arial"/>
                <w:szCs w:val="22"/>
              </w:rPr>
            </w:pPr>
            <w:r w:rsidRPr="00AF6446">
              <w:rPr>
                <w:rFonts w:cs="Arial"/>
                <w:szCs w:val="22"/>
              </w:rPr>
              <w:t>Transactivation: (-)</w:t>
            </w:r>
          </w:p>
        </w:tc>
        <w:tc>
          <w:tcPr>
            <w:tcW w:w="763" w:type="pct"/>
            <w:shd w:val="clear" w:color="auto" w:fill="auto"/>
          </w:tcPr>
          <w:p w14:paraId="270D2A82" w14:textId="5C6E6760"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3F248169" w14:textId="6CD16799" w:rsidR="00664058" w:rsidRPr="00AF6446" w:rsidRDefault="00664058" w:rsidP="00AF6446">
            <w:pPr>
              <w:rPr>
                <w:rFonts w:cs="Arial"/>
                <w:szCs w:val="22"/>
              </w:rPr>
            </w:pPr>
            <w:r w:rsidRPr="00AF6446">
              <w:rPr>
                <w:rFonts w:cs="Arial"/>
                <w:szCs w:val="22"/>
              </w:rPr>
              <w:t>Bilateral adrenal hyperplasia</w:t>
            </w:r>
          </w:p>
        </w:tc>
      </w:tr>
      <w:tr w:rsidR="00070953" w:rsidRPr="00AF6446" w14:paraId="40ECBDA1" w14:textId="77777777" w:rsidTr="00F176DC">
        <w:tc>
          <w:tcPr>
            <w:tcW w:w="763" w:type="pct"/>
            <w:shd w:val="clear" w:color="auto" w:fill="auto"/>
          </w:tcPr>
          <w:p w14:paraId="21CDA835" w14:textId="7076B201" w:rsidR="00664058" w:rsidRPr="00AF6446" w:rsidRDefault="00664058" w:rsidP="00AF6446">
            <w:pPr>
              <w:rPr>
                <w:rFonts w:cs="Arial"/>
                <w:szCs w:val="22"/>
              </w:rPr>
            </w:pPr>
            <w:r w:rsidRPr="00AF6446">
              <w:rPr>
                <w:rFonts w:cs="Arial"/>
                <w:szCs w:val="22"/>
              </w:rPr>
              <w:t xml:space="preserve">Vitellius </w:t>
            </w:r>
            <w:r w:rsidRPr="00AF6446">
              <w:rPr>
                <w:rFonts w:cs="Arial"/>
                <w:i/>
                <w:szCs w:val="22"/>
              </w:rPr>
              <w:t>et al.</w:t>
            </w:r>
            <w:r>
              <w:rPr>
                <w:rFonts w:cs="Arial"/>
                <w:i/>
                <w:szCs w:val="22"/>
              </w:rPr>
              <w:t xml:space="preserve"> (438)</w:t>
            </w:r>
          </w:p>
        </w:tc>
        <w:tc>
          <w:tcPr>
            <w:tcW w:w="551" w:type="pct"/>
            <w:shd w:val="clear" w:color="auto" w:fill="auto"/>
          </w:tcPr>
          <w:p w14:paraId="69BAB917" w14:textId="017B9F09" w:rsidR="00664058" w:rsidRPr="00AF6446" w:rsidRDefault="00664058" w:rsidP="00AF6446">
            <w:pPr>
              <w:rPr>
                <w:rFonts w:cs="Arial"/>
                <w:szCs w:val="22"/>
              </w:rPr>
            </w:pPr>
            <w:r w:rsidRPr="00AF6446">
              <w:rPr>
                <w:rFonts w:cs="Arial"/>
                <w:szCs w:val="22"/>
              </w:rPr>
              <w:t>1503G˃T</w:t>
            </w:r>
          </w:p>
        </w:tc>
        <w:tc>
          <w:tcPr>
            <w:tcW w:w="635" w:type="pct"/>
            <w:shd w:val="clear" w:color="auto" w:fill="auto"/>
          </w:tcPr>
          <w:p w14:paraId="3B5B9E44" w14:textId="161A5D89" w:rsidR="00664058" w:rsidRPr="00AF6446" w:rsidRDefault="00664058" w:rsidP="00AF6446">
            <w:pPr>
              <w:rPr>
                <w:rFonts w:cs="Arial"/>
                <w:szCs w:val="22"/>
              </w:rPr>
            </w:pPr>
            <w:r w:rsidRPr="00AF6446">
              <w:rPr>
                <w:rFonts w:cs="Arial"/>
                <w:szCs w:val="22"/>
              </w:rPr>
              <w:t>Gln501His</w:t>
            </w:r>
          </w:p>
        </w:tc>
        <w:tc>
          <w:tcPr>
            <w:tcW w:w="1059" w:type="pct"/>
            <w:shd w:val="clear" w:color="auto" w:fill="auto"/>
          </w:tcPr>
          <w:p w14:paraId="44D37AA8" w14:textId="19D74996" w:rsidR="00664058" w:rsidRPr="00AF6446" w:rsidRDefault="00664058" w:rsidP="00AF6446">
            <w:pPr>
              <w:rPr>
                <w:rFonts w:cs="Arial"/>
                <w:szCs w:val="22"/>
              </w:rPr>
            </w:pPr>
            <w:r w:rsidRPr="00AF6446">
              <w:rPr>
                <w:rFonts w:cs="Arial"/>
                <w:szCs w:val="22"/>
              </w:rPr>
              <w:t>Transactivation: Decreased</w:t>
            </w:r>
          </w:p>
        </w:tc>
        <w:tc>
          <w:tcPr>
            <w:tcW w:w="763" w:type="pct"/>
            <w:shd w:val="clear" w:color="auto" w:fill="auto"/>
          </w:tcPr>
          <w:p w14:paraId="001564B7" w14:textId="60ABD03D"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4FC56040" w14:textId="292DF9E4" w:rsidR="00664058" w:rsidRPr="00AF6446" w:rsidRDefault="00664058" w:rsidP="00AF6446">
            <w:pPr>
              <w:rPr>
                <w:rFonts w:cs="Arial"/>
                <w:szCs w:val="22"/>
              </w:rPr>
            </w:pPr>
            <w:r w:rsidRPr="00AF6446">
              <w:rPr>
                <w:rFonts w:cs="Arial"/>
                <w:szCs w:val="22"/>
              </w:rPr>
              <w:t>Bilateral adrenal hyperplasia</w:t>
            </w:r>
          </w:p>
        </w:tc>
      </w:tr>
      <w:tr w:rsidR="00070953" w:rsidRPr="00AF6446" w14:paraId="2EB0709E" w14:textId="77777777" w:rsidTr="00F176DC">
        <w:tc>
          <w:tcPr>
            <w:tcW w:w="763" w:type="pct"/>
            <w:shd w:val="clear" w:color="auto" w:fill="auto"/>
          </w:tcPr>
          <w:p w14:paraId="0A7457EB" w14:textId="770C55E4" w:rsidR="00664058" w:rsidRPr="00AF6446" w:rsidRDefault="00664058" w:rsidP="00AF6446">
            <w:pPr>
              <w:rPr>
                <w:rFonts w:cs="Arial"/>
                <w:i/>
                <w:szCs w:val="22"/>
              </w:rPr>
            </w:pPr>
            <w:r w:rsidRPr="00AF6446">
              <w:rPr>
                <w:rFonts w:cs="Arial"/>
                <w:szCs w:val="22"/>
              </w:rPr>
              <w:t xml:space="preserve">Ma </w:t>
            </w:r>
            <w:r w:rsidRPr="00AF6446">
              <w:rPr>
                <w:rFonts w:cs="Arial"/>
                <w:i/>
                <w:szCs w:val="22"/>
              </w:rPr>
              <w:t>et al.</w:t>
            </w:r>
            <w:r>
              <w:rPr>
                <w:rFonts w:cs="Arial"/>
                <w:i/>
                <w:szCs w:val="22"/>
              </w:rPr>
              <w:t xml:space="preserve"> (439)</w:t>
            </w:r>
          </w:p>
        </w:tc>
        <w:tc>
          <w:tcPr>
            <w:tcW w:w="551" w:type="pct"/>
            <w:shd w:val="clear" w:color="auto" w:fill="auto"/>
          </w:tcPr>
          <w:p w14:paraId="2C5D88D8" w14:textId="7E154CB5" w:rsidR="00664058" w:rsidRPr="00AF6446" w:rsidRDefault="00664058" w:rsidP="00AF6446">
            <w:pPr>
              <w:rPr>
                <w:rFonts w:cs="Arial"/>
                <w:szCs w:val="22"/>
              </w:rPr>
            </w:pPr>
            <w:r w:rsidRPr="00AF6446">
              <w:rPr>
                <w:rFonts w:cs="Arial"/>
                <w:szCs w:val="22"/>
              </w:rPr>
              <w:t>1652C˃A</w:t>
            </w:r>
          </w:p>
        </w:tc>
        <w:tc>
          <w:tcPr>
            <w:tcW w:w="635" w:type="pct"/>
            <w:shd w:val="clear" w:color="auto" w:fill="auto"/>
          </w:tcPr>
          <w:p w14:paraId="1B57A255" w14:textId="7E71E9DD" w:rsidR="00664058" w:rsidRPr="00AF6446" w:rsidRDefault="00664058" w:rsidP="00AF6446">
            <w:pPr>
              <w:rPr>
                <w:rFonts w:cs="Arial"/>
                <w:szCs w:val="22"/>
              </w:rPr>
            </w:pPr>
            <w:r w:rsidRPr="00AF6446">
              <w:rPr>
                <w:rFonts w:cs="Arial"/>
                <w:szCs w:val="22"/>
              </w:rPr>
              <w:t>Ser551Tyr</w:t>
            </w:r>
          </w:p>
        </w:tc>
        <w:tc>
          <w:tcPr>
            <w:tcW w:w="1059" w:type="pct"/>
            <w:shd w:val="clear" w:color="auto" w:fill="auto"/>
          </w:tcPr>
          <w:p w14:paraId="5B6FC447" w14:textId="77777777" w:rsidR="00664058" w:rsidRPr="00AF6446" w:rsidRDefault="00664058" w:rsidP="00AF6446">
            <w:pPr>
              <w:rPr>
                <w:rFonts w:cs="Arial"/>
                <w:szCs w:val="22"/>
              </w:rPr>
            </w:pPr>
            <w:r w:rsidRPr="00AF6446">
              <w:rPr>
                <w:rFonts w:cs="Arial"/>
                <w:szCs w:val="22"/>
              </w:rPr>
              <w:t>Ligand binding: Decreased</w:t>
            </w:r>
          </w:p>
          <w:p w14:paraId="69C9CD34" w14:textId="77777777" w:rsidR="00664058" w:rsidRPr="00AF6446" w:rsidRDefault="00664058" w:rsidP="00AF6446">
            <w:pPr>
              <w:rPr>
                <w:rFonts w:cs="Arial"/>
                <w:szCs w:val="22"/>
              </w:rPr>
            </w:pPr>
            <w:r w:rsidRPr="00AF6446">
              <w:rPr>
                <w:rFonts w:cs="Arial"/>
                <w:szCs w:val="22"/>
              </w:rPr>
              <w:t>Cytoplasm to nuclear translocation: Decreased</w:t>
            </w:r>
          </w:p>
          <w:p w14:paraId="0BFB64E2" w14:textId="7DD235EE" w:rsidR="00664058" w:rsidRPr="00AF6446" w:rsidRDefault="00664058" w:rsidP="00AF6446">
            <w:pPr>
              <w:rPr>
                <w:rFonts w:cs="Arial"/>
                <w:szCs w:val="22"/>
              </w:rPr>
            </w:pPr>
            <w:r w:rsidRPr="00AF6446">
              <w:rPr>
                <w:rFonts w:cs="Arial"/>
                <w:szCs w:val="22"/>
              </w:rPr>
              <w:t>Transactivation: Decreased</w:t>
            </w:r>
          </w:p>
        </w:tc>
        <w:tc>
          <w:tcPr>
            <w:tcW w:w="763" w:type="pct"/>
            <w:shd w:val="clear" w:color="auto" w:fill="auto"/>
          </w:tcPr>
          <w:p w14:paraId="4659E8F3" w14:textId="0898DD4E" w:rsidR="00664058" w:rsidRPr="00AF6446" w:rsidRDefault="00664058" w:rsidP="00AF6446">
            <w:pPr>
              <w:rPr>
                <w:rFonts w:cs="Arial"/>
                <w:szCs w:val="22"/>
              </w:rPr>
            </w:pPr>
            <w:r w:rsidRPr="00AF6446">
              <w:rPr>
                <w:rFonts w:cs="Arial"/>
                <w:szCs w:val="22"/>
              </w:rPr>
              <w:t>Homozygous</w:t>
            </w:r>
          </w:p>
        </w:tc>
        <w:tc>
          <w:tcPr>
            <w:tcW w:w="1229" w:type="pct"/>
            <w:shd w:val="clear" w:color="auto" w:fill="auto"/>
          </w:tcPr>
          <w:p w14:paraId="0F8C7D60" w14:textId="77777777" w:rsidR="00664058" w:rsidRPr="00AF6446" w:rsidRDefault="00664058" w:rsidP="00AF6446">
            <w:pPr>
              <w:rPr>
                <w:rFonts w:cs="Arial"/>
                <w:szCs w:val="22"/>
              </w:rPr>
            </w:pPr>
            <w:r w:rsidRPr="00AF6446">
              <w:rPr>
                <w:rFonts w:cs="Arial"/>
                <w:szCs w:val="22"/>
              </w:rPr>
              <w:t>Fatigue</w:t>
            </w:r>
          </w:p>
          <w:p w14:paraId="67A8FC7B" w14:textId="77777777" w:rsidR="00664058" w:rsidRPr="00AF6446" w:rsidRDefault="00664058" w:rsidP="00AF6446">
            <w:pPr>
              <w:rPr>
                <w:rFonts w:cs="Arial"/>
                <w:szCs w:val="22"/>
              </w:rPr>
            </w:pPr>
            <w:r w:rsidRPr="00AF6446">
              <w:rPr>
                <w:rFonts w:cs="Arial"/>
                <w:szCs w:val="22"/>
              </w:rPr>
              <w:t>Hypokalemia</w:t>
            </w:r>
          </w:p>
          <w:p w14:paraId="382F72BE" w14:textId="77777777" w:rsidR="00664058" w:rsidRPr="00AF6446" w:rsidRDefault="00664058" w:rsidP="00AF6446">
            <w:pPr>
              <w:rPr>
                <w:rFonts w:cs="Arial"/>
                <w:szCs w:val="22"/>
              </w:rPr>
            </w:pPr>
            <w:r w:rsidRPr="00AF6446">
              <w:rPr>
                <w:rFonts w:cs="Arial"/>
                <w:szCs w:val="22"/>
              </w:rPr>
              <w:t>Hypertension</w:t>
            </w:r>
          </w:p>
          <w:p w14:paraId="024A8A9F" w14:textId="10E0478D" w:rsidR="00664058" w:rsidRPr="00AF6446" w:rsidRDefault="00664058" w:rsidP="00AF6446">
            <w:pPr>
              <w:rPr>
                <w:rFonts w:cs="Arial"/>
                <w:szCs w:val="22"/>
              </w:rPr>
            </w:pPr>
            <w:r w:rsidRPr="00AF6446">
              <w:rPr>
                <w:rFonts w:cs="Arial"/>
                <w:szCs w:val="22"/>
              </w:rPr>
              <w:t>Polyuria</w:t>
            </w:r>
          </w:p>
        </w:tc>
      </w:tr>
      <w:tr w:rsidR="00070953" w:rsidRPr="00AF6446" w14:paraId="5045FA43" w14:textId="77777777" w:rsidTr="00F176DC">
        <w:tc>
          <w:tcPr>
            <w:tcW w:w="763" w:type="pct"/>
            <w:shd w:val="clear" w:color="auto" w:fill="auto"/>
          </w:tcPr>
          <w:p w14:paraId="7D6034D5" w14:textId="118275FF" w:rsidR="00664058" w:rsidRPr="00AF6446" w:rsidRDefault="00664058" w:rsidP="00AF6446">
            <w:pPr>
              <w:rPr>
                <w:rFonts w:cs="Arial"/>
                <w:szCs w:val="22"/>
              </w:rPr>
            </w:pPr>
            <w:r w:rsidRPr="00AF6446">
              <w:rPr>
                <w:rFonts w:cs="Arial"/>
                <w:szCs w:val="22"/>
              </w:rPr>
              <w:t xml:space="preserve">Velayos </w:t>
            </w:r>
            <w:r w:rsidRPr="00AF6446">
              <w:rPr>
                <w:rFonts w:cs="Arial"/>
                <w:i/>
                <w:szCs w:val="22"/>
              </w:rPr>
              <w:t>et al.</w:t>
            </w:r>
            <w:r>
              <w:rPr>
                <w:rFonts w:cs="Arial"/>
                <w:i/>
                <w:szCs w:val="22"/>
              </w:rPr>
              <w:t xml:space="preserve"> (437)</w:t>
            </w:r>
          </w:p>
        </w:tc>
        <w:tc>
          <w:tcPr>
            <w:tcW w:w="551" w:type="pct"/>
            <w:shd w:val="clear" w:color="auto" w:fill="auto"/>
          </w:tcPr>
          <w:p w14:paraId="6ED7D20D" w14:textId="0D6BAAF1" w:rsidR="00664058" w:rsidRPr="00AF6446" w:rsidRDefault="00664058" w:rsidP="00AF6446">
            <w:pPr>
              <w:rPr>
                <w:rFonts w:cs="Arial"/>
                <w:szCs w:val="22"/>
              </w:rPr>
            </w:pPr>
            <w:r w:rsidRPr="00AF6446">
              <w:rPr>
                <w:rFonts w:cs="Arial"/>
                <w:szCs w:val="22"/>
              </w:rPr>
              <w:t>1762_1763insTTAC</w:t>
            </w:r>
          </w:p>
        </w:tc>
        <w:tc>
          <w:tcPr>
            <w:tcW w:w="635" w:type="pct"/>
            <w:shd w:val="clear" w:color="auto" w:fill="auto"/>
          </w:tcPr>
          <w:p w14:paraId="68A23488" w14:textId="7ACA6133" w:rsidR="00664058" w:rsidRPr="00AF6446" w:rsidRDefault="00664058" w:rsidP="00AF6446">
            <w:pPr>
              <w:rPr>
                <w:rFonts w:cs="Arial"/>
                <w:szCs w:val="22"/>
              </w:rPr>
            </w:pPr>
            <w:r w:rsidRPr="00AF6446">
              <w:rPr>
                <w:rFonts w:cs="Arial"/>
                <w:szCs w:val="22"/>
              </w:rPr>
              <w:t>His588Leu</w:t>
            </w:r>
            <w:r w:rsidRPr="00AF6446">
              <w:rPr>
                <w:rFonts w:cs="Arial"/>
                <w:i/>
                <w:szCs w:val="22"/>
              </w:rPr>
              <w:t>fs⃰</w:t>
            </w:r>
          </w:p>
        </w:tc>
        <w:tc>
          <w:tcPr>
            <w:tcW w:w="1059" w:type="pct"/>
            <w:shd w:val="clear" w:color="auto" w:fill="auto"/>
          </w:tcPr>
          <w:p w14:paraId="31C63055" w14:textId="7F8176BA"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1B38E813" w14:textId="2FEE9DDD"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45C9FC20" w14:textId="77777777" w:rsidR="00664058" w:rsidRPr="00AF6446" w:rsidRDefault="00664058" w:rsidP="00AF6446">
            <w:pPr>
              <w:rPr>
                <w:rFonts w:cs="Arial"/>
                <w:szCs w:val="22"/>
              </w:rPr>
            </w:pPr>
            <w:r w:rsidRPr="00AF6446">
              <w:rPr>
                <w:rFonts w:cs="Arial"/>
                <w:szCs w:val="22"/>
              </w:rPr>
              <w:t>Hirsutism</w:t>
            </w:r>
          </w:p>
          <w:p w14:paraId="14E20C50" w14:textId="77777777" w:rsidR="00664058" w:rsidRPr="00AF6446" w:rsidRDefault="00664058" w:rsidP="00AF6446">
            <w:pPr>
              <w:rPr>
                <w:rFonts w:cs="Arial"/>
                <w:szCs w:val="22"/>
              </w:rPr>
            </w:pPr>
            <w:r w:rsidRPr="00AF6446">
              <w:rPr>
                <w:rFonts w:cs="Arial"/>
                <w:szCs w:val="22"/>
              </w:rPr>
              <w:t>Chronic fatigue</w:t>
            </w:r>
          </w:p>
          <w:p w14:paraId="712BE768" w14:textId="6DDC4983" w:rsidR="00664058" w:rsidRPr="00AF6446" w:rsidRDefault="00664058" w:rsidP="00AF6446">
            <w:pPr>
              <w:rPr>
                <w:rFonts w:cs="Arial"/>
                <w:szCs w:val="22"/>
              </w:rPr>
            </w:pPr>
            <w:r w:rsidRPr="00AF6446">
              <w:rPr>
                <w:rFonts w:cs="Arial"/>
                <w:szCs w:val="22"/>
              </w:rPr>
              <w:t>Anxiety</w:t>
            </w:r>
          </w:p>
        </w:tc>
      </w:tr>
      <w:tr w:rsidR="00070953" w:rsidRPr="00AF6446" w14:paraId="72CDE183" w14:textId="77777777" w:rsidTr="00F176DC">
        <w:tc>
          <w:tcPr>
            <w:tcW w:w="763" w:type="pct"/>
            <w:shd w:val="clear" w:color="auto" w:fill="auto"/>
          </w:tcPr>
          <w:p w14:paraId="3CEF91D4" w14:textId="5C6B2B42" w:rsidR="00664058" w:rsidRPr="00AF6446" w:rsidRDefault="00664058" w:rsidP="00AF6446">
            <w:pPr>
              <w:rPr>
                <w:rFonts w:cs="Arial"/>
                <w:i/>
                <w:szCs w:val="22"/>
              </w:rPr>
            </w:pPr>
            <w:r w:rsidRPr="00AF6446">
              <w:rPr>
                <w:rFonts w:cs="Arial"/>
                <w:szCs w:val="22"/>
              </w:rPr>
              <w:t xml:space="preserve">Cannavò </w:t>
            </w:r>
            <w:r w:rsidRPr="00AF6446">
              <w:rPr>
                <w:rFonts w:cs="Arial"/>
                <w:i/>
                <w:szCs w:val="22"/>
              </w:rPr>
              <w:t>et al.</w:t>
            </w:r>
            <w:r>
              <w:rPr>
                <w:rFonts w:cs="Arial"/>
                <w:i/>
                <w:szCs w:val="22"/>
              </w:rPr>
              <w:t xml:space="preserve"> (440)</w:t>
            </w:r>
          </w:p>
        </w:tc>
        <w:tc>
          <w:tcPr>
            <w:tcW w:w="551" w:type="pct"/>
            <w:shd w:val="clear" w:color="auto" w:fill="auto"/>
          </w:tcPr>
          <w:p w14:paraId="4DBA4483" w14:textId="0A39E286" w:rsidR="00664058" w:rsidRPr="00AF6446" w:rsidRDefault="00664058" w:rsidP="00AF6446">
            <w:pPr>
              <w:rPr>
                <w:rFonts w:cs="Arial"/>
                <w:szCs w:val="22"/>
              </w:rPr>
            </w:pPr>
            <w:r w:rsidRPr="00AF6446">
              <w:rPr>
                <w:rFonts w:cs="Arial"/>
                <w:szCs w:val="22"/>
              </w:rPr>
              <w:t>1915C˃G</w:t>
            </w:r>
          </w:p>
        </w:tc>
        <w:tc>
          <w:tcPr>
            <w:tcW w:w="635" w:type="pct"/>
            <w:shd w:val="clear" w:color="auto" w:fill="auto"/>
          </w:tcPr>
          <w:p w14:paraId="7DE32EE7" w14:textId="70EA1975" w:rsidR="00664058" w:rsidRPr="00AF6446" w:rsidRDefault="00664058" w:rsidP="00AF6446">
            <w:pPr>
              <w:rPr>
                <w:rFonts w:cs="Arial"/>
                <w:szCs w:val="22"/>
              </w:rPr>
            </w:pPr>
            <w:r w:rsidRPr="00AF6446">
              <w:rPr>
                <w:rFonts w:cs="Arial"/>
                <w:szCs w:val="22"/>
              </w:rPr>
              <w:t>Leu595Val</w:t>
            </w:r>
          </w:p>
        </w:tc>
        <w:tc>
          <w:tcPr>
            <w:tcW w:w="1059" w:type="pct"/>
            <w:shd w:val="clear" w:color="auto" w:fill="auto"/>
          </w:tcPr>
          <w:p w14:paraId="0F8B418B" w14:textId="1F44EADA" w:rsidR="00664058" w:rsidRPr="00AF6446" w:rsidRDefault="00664058" w:rsidP="00AF6446">
            <w:pPr>
              <w:rPr>
                <w:rFonts w:cs="Arial"/>
                <w:szCs w:val="22"/>
              </w:rPr>
            </w:pPr>
            <w:r w:rsidRPr="00AF6446">
              <w:rPr>
                <w:rFonts w:cs="Arial"/>
                <w:szCs w:val="22"/>
              </w:rPr>
              <w:t>Not performed</w:t>
            </w:r>
          </w:p>
        </w:tc>
        <w:tc>
          <w:tcPr>
            <w:tcW w:w="763" w:type="pct"/>
            <w:shd w:val="clear" w:color="auto" w:fill="auto"/>
          </w:tcPr>
          <w:p w14:paraId="6C5E1B14" w14:textId="3E13EE62" w:rsidR="00664058" w:rsidRPr="00AF6446" w:rsidRDefault="00664058" w:rsidP="00AF6446">
            <w:pPr>
              <w:rPr>
                <w:rFonts w:cs="Arial"/>
                <w:szCs w:val="22"/>
              </w:rPr>
            </w:pPr>
            <w:r w:rsidRPr="00AF6446">
              <w:rPr>
                <w:rFonts w:cs="Arial"/>
                <w:szCs w:val="22"/>
              </w:rPr>
              <w:t>Not available</w:t>
            </w:r>
          </w:p>
        </w:tc>
        <w:tc>
          <w:tcPr>
            <w:tcW w:w="1229" w:type="pct"/>
            <w:shd w:val="clear" w:color="auto" w:fill="auto"/>
          </w:tcPr>
          <w:p w14:paraId="127CB075" w14:textId="77777777" w:rsidR="00664058" w:rsidRPr="00AF6446" w:rsidRDefault="00664058" w:rsidP="00AF6446">
            <w:pPr>
              <w:rPr>
                <w:rFonts w:cs="Arial"/>
                <w:szCs w:val="22"/>
              </w:rPr>
            </w:pPr>
            <w:r w:rsidRPr="00AF6446">
              <w:rPr>
                <w:rFonts w:cs="Arial"/>
                <w:szCs w:val="22"/>
              </w:rPr>
              <w:t>Hirsutism</w:t>
            </w:r>
          </w:p>
          <w:p w14:paraId="0F94AAEF" w14:textId="77777777" w:rsidR="00664058" w:rsidRPr="00AF6446" w:rsidRDefault="00664058" w:rsidP="00AF6446">
            <w:pPr>
              <w:rPr>
                <w:rFonts w:cs="Arial"/>
                <w:szCs w:val="22"/>
              </w:rPr>
            </w:pPr>
            <w:r w:rsidRPr="00AF6446">
              <w:rPr>
                <w:rFonts w:cs="Arial"/>
                <w:szCs w:val="22"/>
              </w:rPr>
              <w:t>Amenorrhea</w:t>
            </w:r>
          </w:p>
          <w:p w14:paraId="7141C732" w14:textId="2D94A638" w:rsidR="00664058" w:rsidRPr="00AF6446" w:rsidRDefault="00664058" w:rsidP="00AF6446">
            <w:pPr>
              <w:rPr>
                <w:rFonts w:cs="Arial"/>
                <w:szCs w:val="22"/>
              </w:rPr>
            </w:pPr>
            <w:r w:rsidRPr="00AF6446">
              <w:rPr>
                <w:rFonts w:cs="Arial"/>
                <w:szCs w:val="22"/>
              </w:rPr>
              <w:t>Hypertension</w:t>
            </w:r>
          </w:p>
        </w:tc>
      </w:tr>
      <w:tr w:rsidR="00070953" w:rsidRPr="00AF6446" w14:paraId="3E1ECAF5" w14:textId="77777777" w:rsidTr="00F176DC">
        <w:tc>
          <w:tcPr>
            <w:tcW w:w="763" w:type="pct"/>
            <w:shd w:val="clear" w:color="auto" w:fill="auto"/>
          </w:tcPr>
          <w:p w14:paraId="0A440FEA" w14:textId="52153AAF" w:rsidR="00664058" w:rsidRPr="00AF6446" w:rsidRDefault="00664058" w:rsidP="00AF6446">
            <w:pPr>
              <w:rPr>
                <w:rFonts w:cs="Arial"/>
                <w:i/>
                <w:szCs w:val="22"/>
              </w:rPr>
            </w:pPr>
            <w:r w:rsidRPr="00AF6446">
              <w:rPr>
                <w:rFonts w:cs="Arial"/>
                <w:szCs w:val="22"/>
              </w:rPr>
              <w:t xml:space="preserve">Trebble </w:t>
            </w:r>
            <w:r w:rsidRPr="00AF6446">
              <w:rPr>
                <w:rFonts w:cs="Arial"/>
                <w:i/>
                <w:szCs w:val="22"/>
              </w:rPr>
              <w:t>et al.</w:t>
            </w:r>
            <w:r>
              <w:rPr>
                <w:rFonts w:cs="Arial"/>
                <w:i/>
                <w:szCs w:val="22"/>
              </w:rPr>
              <w:t xml:space="preserve"> (441)</w:t>
            </w:r>
          </w:p>
        </w:tc>
        <w:tc>
          <w:tcPr>
            <w:tcW w:w="551" w:type="pct"/>
            <w:shd w:val="clear" w:color="auto" w:fill="auto"/>
          </w:tcPr>
          <w:p w14:paraId="70233A41" w14:textId="4537BEE9" w:rsidR="00664058" w:rsidRPr="00AF6446" w:rsidRDefault="00664058" w:rsidP="00AF6446">
            <w:pPr>
              <w:rPr>
                <w:rFonts w:cs="Arial"/>
                <w:szCs w:val="22"/>
              </w:rPr>
            </w:pPr>
            <w:r w:rsidRPr="00AF6446">
              <w:rPr>
                <w:rFonts w:cs="Arial"/>
                <w:szCs w:val="22"/>
              </w:rPr>
              <w:t>1835delC</w:t>
            </w:r>
          </w:p>
        </w:tc>
        <w:tc>
          <w:tcPr>
            <w:tcW w:w="635" w:type="pct"/>
            <w:shd w:val="clear" w:color="auto" w:fill="auto"/>
          </w:tcPr>
          <w:p w14:paraId="127ED3EE" w14:textId="4D3B9CD0" w:rsidR="00664058" w:rsidRPr="00AF6446" w:rsidRDefault="00664058" w:rsidP="00AF6446">
            <w:pPr>
              <w:rPr>
                <w:rFonts w:cs="Arial"/>
                <w:i/>
                <w:szCs w:val="22"/>
              </w:rPr>
            </w:pPr>
            <w:r w:rsidRPr="00AF6446">
              <w:rPr>
                <w:rFonts w:cs="Arial"/>
                <w:szCs w:val="22"/>
              </w:rPr>
              <w:t>Ser612Tyr</w:t>
            </w:r>
            <w:r w:rsidRPr="00AF6446">
              <w:rPr>
                <w:rFonts w:cs="Arial"/>
                <w:i/>
                <w:szCs w:val="22"/>
              </w:rPr>
              <w:t>fs⃰</w:t>
            </w:r>
          </w:p>
        </w:tc>
        <w:tc>
          <w:tcPr>
            <w:tcW w:w="1059" w:type="pct"/>
            <w:shd w:val="clear" w:color="auto" w:fill="auto"/>
          </w:tcPr>
          <w:p w14:paraId="1FEC6206" w14:textId="7C550D43" w:rsidR="00664058" w:rsidRPr="00AF6446" w:rsidRDefault="00664058" w:rsidP="00AF6446">
            <w:pPr>
              <w:rPr>
                <w:rFonts w:cs="Arial"/>
                <w:szCs w:val="22"/>
              </w:rPr>
            </w:pPr>
            <w:r w:rsidRPr="00AF6446">
              <w:rPr>
                <w:rFonts w:cs="Arial"/>
                <w:szCs w:val="22"/>
              </w:rPr>
              <w:t>Protein expression: (-)</w:t>
            </w:r>
          </w:p>
          <w:p w14:paraId="4A793A66" w14:textId="1D95C314" w:rsidR="00664058" w:rsidRPr="00AF6446" w:rsidRDefault="00664058" w:rsidP="00AF6446">
            <w:pPr>
              <w:rPr>
                <w:rFonts w:cs="Arial"/>
                <w:szCs w:val="22"/>
              </w:rPr>
            </w:pPr>
            <w:r w:rsidRPr="00AF6446">
              <w:rPr>
                <w:rFonts w:cs="Arial"/>
                <w:szCs w:val="22"/>
              </w:rPr>
              <w:t>Ligand binding: (-)</w:t>
            </w:r>
          </w:p>
          <w:p w14:paraId="27C23A11" w14:textId="1CEE7A70" w:rsidR="00664058" w:rsidRPr="00AF6446" w:rsidRDefault="00664058" w:rsidP="00AF6446">
            <w:pPr>
              <w:rPr>
                <w:rFonts w:cs="Arial"/>
                <w:szCs w:val="22"/>
              </w:rPr>
            </w:pPr>
            <w:r w:rsidRPr="00AF6446">
              <w:rPr>
                <w:rFonts w:cs="Arial"/>
                <w:szCs w:val="22"/>
              </w:rPr>
              <w:t>Cytoplasm to nuclear translocation: (-)</w:t>
            </w:r>
          </w:p>
          <w:p w14:paraId="613A5DF0" w14:textId="77777777" w:rsidR="00664058" w:rsidRPr="00AF6446" w:rsidRDefault="00664058" w:rsidP="00AF6446">
            <w:pPr>
              <w:rPr>
                <w:rFonts w:cs="Arial"/>
                <w:szCs w:val="22"/>
              </w:rPr>
            </w:pPr>
            <w:r w:rsidRPr="00AF6446">
              <w:rPr>
                <w:rFonts w:cs="Arial"/>
                <w:szCs w:val="22"/>
              </w:rPr>
              <w:t>Dominant negative effect: Yes</w:t>
            </w:r>
          </w:p>
          <w:p w14:paraId="269513A0" w14:textId="228F8550" w:rsidR="00664058" w:rsidRPr="00AF6446" w:rsidRDefault="00664058" w:rsidP="00AF6446">
            <w:pPr>
              <w:rPr>
                <w:rFonts w:cs="Arial"/>
                <w:szCs w:val="22"/>
              </w:rPr>
            </w:pPr>
            <w:r w:rsidRPr="00AF6446">
              <w:rPr>
                <w:rFonts w:cs="Arial"/>
                <w:szCs w:val="22"/>
              </w:rPr>
              <w:t>Transactivation: (-)</w:t>
            </w:r>
          </w:p>
        </w:tc>
        <w:tc>
          <w:tcPr>
            <w:tcW w:w="763" w:type="pct"/>
            <w:shd w:val="clear" w:color="auto" w:fill="auto"/>
          </w:tcPr>
          <w:p w14:paraId="401EA383" w14:textId="348177CE"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7273AFE1" w14:textId="0B9B4AE6" w:rsidR="00664058" w:rsidRPr="00AF6446" w:rsidRDefault="00664058" w:rsidP="00AF6446">
            <w:pPr>
              <w:rPr>
                <w:rFonts w:cs="Arial"/>
                <w:szCs w:val="22"/>
              </w:rPr>
            </w:pPr>
            <w:r w:rsidRPr="00AF6446">
              <w:rPr>
                <w:rFonts w:cs="Arial"/>
                <w:szCs w:val="22"/>
              </w:rPr>
              <w:t>Fatigue</w:t>
            </w:r>
          </w:p>
        </w:tc>
      </w:tr>
      <w:tr w:rsidR="00070953" w:rsidRPr="00AF6446" w14:paraId="42276617" w14:textId="77777777" w:rsidTr="00F176DC">
        <w:tc>
          <w:tcPr>
            <w:tcW w:w="763" w:type="pct"/>
            <w:shd w:val="clear" w:color="auto" w:fill="auto"/>
          </w:tcPr>
          <w:p w14:paraId="7EF411BE" w14:textId="7B18AD23" w:rsidR="00664058" w:rsidRPr="00AF6446" w:rsidRDefault="00664058" w:rsidP="00AF6446">
            <w:pPr>
              <w:rPr>
                <w:rFonts w:cs="Arial"/>
                <w:i/>
                <w:szCs w:val="22"/>
              </w:rPr>
            </w:pPr>
            <w:r w:rsidRPr="00AF6446">
              <w:rPr>
                <w:rFonts w:cs="Arial"/>
                <w:szCs w:val="22"/>
              </w:rPr>
              <w:t xml:space="preserve">Vitellius </w:t>
            </w:r>
            <w:r w:rsidRPr="00AF6446">
              <w:rPr>
                <w:rFonts w:cs="Arial"/>
                <w:i/>
                <w:szCs w:val="22"/>
              </w:rPr>
              <w:t>et al.</w:t>
            </w:r>
            <w:r>
              <w:rPr>
                <w:rFonts w:cs="Arial"/>
                <w:i/>
                <w:szCs w:val="22"/>
              </w:rPr>
              <w:t xml:space="preserve"> (442)</w:t>
            </w:r>
          </w:p>
        </w:tc>
        <w:tc>
          <w:tcPr>
            <w:tcW w:w="551" w:type="pct"/>
            <w:shd w:val="clear" w:color="auto" w:fill="auto"/>
          </w:tcPr>
          <w:p w14:paraId="74599A89" w14:textId="7C665692" w:rsidR="00664058" w:rsidRPr="00AF6446" w:rsidRDefault="00664058" w:rsidP="00AF6446">
            <w:pPr>
              <w:rPr>
                <w:rFonts w:cs="Arial"/>
                <w:szCs w:val="22"/>
              </w:rPr>
            </w:pPr>
            <w:r w:rsidRPr="00AF6446">
              <w:rPr>
                <w:rFonts w:cs="Arial"/>
                <w:szCs w:val="22"/>
              </w:rPr>
              <w:t>1980T˃G</w:t>
            </w:r>
          </w:p>
        </w:tc>
        <w:tc>
          <w:tcPr>
            <w:tcW w:w="635" w:type="pct"/>
            <w:shd w:val="clear" w:color="auto" w:fill="auto"/>
          </w:tcPr>
          <w:p w14:paraId="2C8A64FE" w14:textId="65DFF27C" w:rsidR="00664058" w:rsidRPr="00AF6446" w:rsidRDefault="00664058" w:rsidP="00AF6446">
            <w:pPr>
              <w:rPr>
                <w:rFonts w:cs="Arial"/>
                <w:szCs w:val="22"/>
              </w:rPr>
            </w:pPr>
            <w:r w:rsidRPr="00AF6446">
              <w:rPr>
                <w:rFonts w:cs="Arial"/>
                <w:szCs w:val="22"/>
              </w:rPr>
              <w:t>Tyr660Ter</w:t>
            </w:r>
          </w:p>
        </w:tc>
        <w:tc>
          <w:tcPr>
            <w:tcW w:w="1059" w:type="pct"/>
            <w:shd w:val="clear" w:color="auto" w:fill="auto"/>
          </w:tcPr>
          <w:p w14:paraId="54513B6A" w14:textId="778C251B" w:rsidR="00664058" w:rsidRPr="00AF6446" w:rsidRDefault="00664058" w:rsidP="00AF6446">
            <w:pPr>
              <w:rPr>
                <w:rFonts w:cs="Arial"/>
                <w:szCs w:val="22"/>
              </w:rPr>
            </w:pPr>
            <w:r w:rsidRPr="00AF6446">
              <w:rPr>
                <w:rFonts w:cs="Arial"/>
                <w:szCs w:val="22"/>
              </w:rPr>
              <w:t>Transactivation: (-)</w:t>
            </w:r>
          </w:p>
        </w:tc>
        <w:tc>
          <w:tcPr>
            <w:tcW w:w="763" w:type="pct"/>
            <w:shd w:val="clear" w:color="auto" w:fill="auto"/>
          </w:tcPr>
          <w:p w14:paraId="4B6134DD" w14:textId="0260F7A3"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6B35D694" w14:textId="3995D351" w:rsidR="00664058" w:rsidRPr="00AF6446" w:rsidRDefault="00664058" w:rsidP="00AF6446">
            <w:pPr>
              <w:rPr>
                <w:rFonts w:cs="Arial"/>
                <w:szCs w:val="22"/>
              </w:rPr>
            </w:pPr>
            <w:r w:rsidRPr="00AF6446">
              <w:rPr>
                <w:rFonts w:cs="Arial"/>
                <w:szCs w:val="22"/>
              </w:rPr>
              <w:t>Hypertension</w:t>
            </w:r>
          </w:p>
        </w:tc>
      </w:tr>
      <w:tr w:rsidR="00070953" w:rsidRPr="00AF6446" w14:paraId="7A45D776" w14:textId="77777777" w:rsidTr="00F176DC">
        <w:tc>
          <w:tcPr>
            <w:tcW w:w="763" w:type="pct"/>
            <w:shd w:val="clear" w:color="auto" w:fill="auto"/>
          </w:tcPr>
          <w:p w14:paraId="0628A3FD" w14:textId="6DA29BB4" w:rsidR="00664058" w:rsidRPr="00AF6446" w:rsidRDefault="00664058" w:rsidP="00AF6446">
            <w:pPr>
              <w:rPr>
                <w:rFonts w:cs="Arial"/>
                <w:szCs w:val="22"/>
              </w:rPr>
            </w:pPr>
            <w:r w:rsidRPr="00AF6446">
              <w:rPr>
                <w:rFonts w:cs="Arial"/>
                <w:szCs w:val="22"/>
              </w:rPr>
              <w:t xml:space="preserve">Vitellius </w:t>
            </w:r>
            <w:r w:rsidRPr="00AF6446">
              <w:rPr>
                <w:rFonts w:cs="Arial"/>
                <w:i/>
                <w:szCs w:val="22"/>
              </w:rPr>
              <w:t>et al.</w:t>
            </w:r>
            <w:r>
              <w:rPr>
                <w:rFonts w:cs="Arial"/>
                <w:i/>
                <w:szCs w:val="22"/>
              </w:rPr>
              <w:t xml:space="preserve"> (436)</w:t>
            </w:r>
          </w:p>
        </w:tc>
        <w:tc>
          <w:tcPr>
            <w:tcW w:w="551" w:type="pct"/>
            <w:shd w:val="clear" w:color="auto" w:fill="auto"/>
          </w:tcPr>
          <w:p w14:paraId="6027DCED" w14:textId="03E87663" w:rsidR="00664058" w:rsidRPr="00AF6446" w:rsidRDefault="00664058" w:rsidP="00AF6446">
            <w:pPr>
              <w:rPr>
                <w:rFonts w:cs="Arial"/>
                <w:szCs w:val="22"/>
              </w:rPr>
            </w:pPr>
            <w:r w:rsidRPr="00AF6446">
              <w:rPr>
                <w:rFonts w:cs="Arial"/>
                <w:szCs w:val="22"/>
              </w:rPr>
              <w:t>2015T˃C</w:t>
            </w:r>
          </w:p>
        </w:tc>
        <w:tc>
          <w:tcPr>
            <w:tcW w:w="635" w:type="pct"/>
            <w:shd w:val="clear" w:color="auto" w:fill="auto"/>
          </w:tcPr>
          <w:p w14:paraId="74535CE4" w14:textId="593DA858" w:rsidR="00664058" w:rsidRPr="00AF6446" w:rsidRDefault="00664058" w:rsidP="00AF6446">
            <w:pPr>
              <w:rPr>
                <w:rFonts w:cs="Arial"/>
                <w:szCs w:val="22"/>
              </w:rPr>
            </w:pPr>
            <w:r w:rsidRPr="00AF6446">
              <w:rPr>
                <w:rFonts w:cs="Arial"/>
                <w:szCs w:val="22"/>
              </w:rPr>
              <w:t>Leu672Pro</w:t>
            </w:r>
          </w:p>
        </w:tc>
        <w:tc>
          <w:tcPr>
            <w:tcW w:w="1059" w:type="pct"/>
            <w:shd w:val="clear" w:color="auto" w:fill="auto"/>
          </w:tcPr>
          <w:p w14:paraId="39EF10DF" w14:textId="77777777" w:rsidR="00664058" w:rsidRPr="00AF6446" w:rsidRDefault="00664058" w:rsidP="00AF6446">
            <w:pPr>
              <w:rPr>
                <w:rFonts w:cs="Arial"/>
                <w:szCs w:val="22"/>
              </w:rPr>
            </w:pPr>
            <w:r w:rsidRPr="00AF6446">
              <w:rPr>
                <w:rFonts w:cs="Arial"/>
                <w:szCs w:val="22"/>
              </w:rPr>
              <w:t>Protein expression: Decreased</w:t>
            </w:r>
          </w:p>
          <w:p w14:paraId="2366FDDA" w14:textId="4A816CCC" w:rsidR="00664058" w:rsidRPr="00AF6446" w:rsidRDefault="00664058" w:rsidP="00AF6446">
            <w:pPr>
              <w:rPr>
                <w:rFonts w:cs="Arial"/>
                <w:szCs w:val="22"/>
              </w:rPr>
            </w:pPr>
            <w:r w:rsidRPr="00AF6446">
              <w:rPr>
                <w:rFonts w:cs="Arial"/>
                <w:szCs w:val="22"/>
              </w:rPr>
              <w:t>Ligand binding: (-)</w:t>
            </w:r>
          </w:p>
          <w:p w14:paraId="41254892" w14:textId="3D03F557" w:rsidR="00664058" w:rsidRPr="00AF6446" w:rsidRDefault="00664058" w:rsidP="00AF6446">
            <w:pPr>
              <w:rPr>
                <w:rFonts w:cs="Arial"/>
                <w:szCs w:val="22"/>
              </w:rPr>
            </w:pPr>
            <w:r w:rsidRPr="00AF6446">
              <w:rPr>
                <w:rFonts w:cs="Arial"/>
                <w:szCs w:val="22"/>
              </w:rPr>
              <w:t>Cytoplasm to nuclear translocation: (-)</w:t>
            </w:r>
          </w:p>
          <w:p w14:paraId="4E5DE19B" w14:textId="55582159" w:rsidR="00664058" w:rsidRPr="00AF6446" w:rsidRDefault="00664058" w:rsidP="00AF6446">
            <w:pPr>
              <w:rPr>
                <w:rFonts w:cs="Arial"/>
                <w:szCs w:val="22"/>
              </w:rPr>
            </w:pPr>
            <w:r w:rsidRPr="00AF6446">
              <w:rPr>
                <w:rFonts w:cs="Arial"/>
                <w:szCs w:val="22"/>
              </w:rPr>
              <w:t>DNA binding: (-)</w:t>
            </w:r>
          </w:p>
          <w:p w14:paraId="02A4C59D" w14:textId="77777777" w:rsidR="00664058" w:rsidRPr="00AF6446" w:rsidRDefault="00664058" w:rsidP="00AF6446">
            <w:pPr>
              <w:rPr>
                <w:rFonts w:cs="Arial"/>
                <w:szCs w:val="22"/>
              </w:rPr>
            </w:pPr>
            <w:r w:rsidRPr="00AF6446">
              <w:rPr>
                <w:rFonts w:cs="Arial"/>
                <w:szCs w:val="22"/>
              </w:rPr>
              <w:lastRenderedPageBreak/>
              <w:t>Dominant negative effect: No</w:t>
            </w:r>
          </w:p>
          <w:p w14:paraId="3D1F8D24" w14:textId="59DE2C69" w:rsidR="00664058" w:rsidRPr="00AF6446" w:rsidRDefault="00664058" w:rsidP="00AF6446">
            <w:pPr>
              <w:rPr>
                <w:rFonts w:cs="Arial"/>
                <w:szCs w:val="22"/>
              </w:rPr>
            </w:pPr>
            <w:r w:rsidRPr="00AF6446">
              <w:rPr>
                <w:rFonts w:cs="Arial"/>
                <w:szCs w:val="22"/>
              </w:rPr>
              <w:t>Transactivation: (-)</w:t>
            </w:r>
          </w:p>
        </w:tc>
        <w:tc>
          <w:tcPr>
            <w:tcW w:w="763" w:type="pct"/>
            <w:shd w:val="clear" w:color="auto" w:fill="auto"/>
          </w:tcPr>
          <w:p w14:paraId="7E7670B8" w14:textId="42B23DFB" w:rsidR="00664058" w:rsidRPr="00AF6446" w:rsidRDefault="00664058" w:rsidP="00AF6446">
            <w:pPr>
              <w:rPr>
                <w:rFonts w:cs="Arial"/>
                <w:szCs w:val="22"/>
              </w:rPr>
            </w:pPr>
            <w:r w:rsidRPr="00AF6446">
              <w:rPr>
                <w:rFonts w:cs="Arial"/>
                <w:szCs w:val="22"/>
              </w:rPr>
              <w:lastRenderedPageBreak/>
              <w:t>Heterozygous</w:t>
            </w:r>
          </w:p>
        </w:tc>
        <w:tc>
          <w:tcPr>
            <w:tcW w:w="1229" w:type="pct"/>
            <w:shd w:val="clear" w:color="auto" w:fill="auto"/>
          </w:tcPr>
          <w:p w14:paraId="20CF5076" w14:textId="6F3C180D" w:rsidR="00664058" w:rsidRPr="00AF6446" w:rsidRDefault="00664058" w:rsidP="00AF6446">
            <w:pPr>
              <w:rPr>
                <w:rFonts w:cs="Arial"/>
                <w:szCs w:val="22"/>
              </w:rPr>
            </w:pPr>
            <w:r w:rsidRPr="00AF6446">
              <w:rPr>
                <w:rFonts w:cs="Arial"/>
                <w:szCs w:val="22"/>
              </w:rPr>
              <w:t>Adrenal mass</w:t>
            </w:r>
          </w:p>
        </w:tc>
      </w:tr>
      <w:tr w:rsidR="00070953" w:rsidRPr="00AF6446" w14:paraId="6CFA65E5" w14:textId="77777777" w:rsidTr="00F176DC">
        <w:tc>
          <w:tcPr>
            <w:tcW w:w="763" w:type="pct"/>
            <w:shd w:val="clear" w:color="auto" w:fill="auto"/>
          </w:tcPr>
          <w:p w14:paraId="1D1DC3F7" w14:textId="3A81D010" w:rsidR="00664058" w:rsidRPr="00AF6446" w:rsidRDefault="00664058" w:rsidP="00AF6446">
            <w:pPr>
              <w:rPr>
                <w:rFonts w:cs="Arial"/>
                <w:i/>
                <w:szCs w:val="22"/>
              </w:rPr>
            </w:pPr>
            <w:r w:rsidRPr="00AF6446">
              <w:rPr>
                <w:rFonts w:cs="Arial"/>
                <w:szCs w:val="22"/>
              </w:rPr>
              <w:t xml:space="preserve">Donner </w:t>
            </w:r>
            <w:r w:rsidRPr="00AF6446">
              <w:rPr>
                <w:rFonts w:cs="Arial"/>
                <w:i/>
                <w:szCs w:val="22"/>
              </w:rPr>
              <w:t>et al.</w:t>
            </w:r>
            <w:r>
              <w:rPr>
                <w:rFonts w:cs="Arial"/>
                <w:i/>
                <w:szCs w:val="22"/>
              </w:rPr>
              <w:t xml:space="preserve"> (444)</w:t>
            </w:r>
          </w:p>
        </w:tc>
        <w:tc>
          <w:tcPr>
            <w:tcW w:w="551" w:type="pct"/>
            <w:shd w:val="clear" w:color="auto" w:fill="auto"/>
          </w:tcPr>
          <w:p w14:paraId="19F3A2D0" w14:textId="3FCED036" w:rsidR="00664058" w:rsidRPr="00AF6446" w:rsidRDefault="00664058" w:rsidP="00AF6446">
            <w:pPr>
              <w:rPr>
                <w:rFonts w:cs="Arial"/>
                <w:szCs w:val="22"/>
              </w:rPr>
            </w:pPr>
            <w:r w:rsidRPr="00AF6446">
              <w:rPr>
                <w:rFonts w:cs="Arial"/>
                <w:szCs w:val="22"/>
              </w:rPr>
              <w:t>2317_2318delCT</w:t>
            </w:r>
          </w:p>
        </w:tc>
        <w:tc>
          <w:tcPr>
            <w:tcW w:w="635" w:type="pct"/>
            <w:shd w:val="clear" w:color="auto" w:fill="auto"/>
          </w:tcPr>
          <w:p w14:paraId="32B9D55D" w14:textId="353C2B54" w:rsidR="00664058" w:rsidRPr="00AF6446" w:rsidRDefault="00664058" w:rsidP="00AF6446">
            <w:pPr>
              <w:rPr>
                <w:rFonts w:cs="Arial"/>
                <w:i/>
                <w:szCs w:val="22"/>
              </w:rPr>
            </w:pPr>
            <w:r w:rsidRPr="00AF6446">
              <w:rPr>
                <w:rFonts w:cs="Arial"/>
                <w:szCs w:val="22"/>
              </w:rPr>
              <w:t>Leu773Val</w:t>
            </w:r>
            <w:r w:rsidRPr="00AF6446">
              <w:rPr>
                <w:rFonts w:cs="Arial"/>
                <w:i/>
                <w:szCs w:val="22"/>
              </w:rPr>
              <w:t>fs⃰</w:t>
            </w:r>
          </w:p>
        </w:tc>
        <w:tc>
          <w:tcPr>
            <w:tcW w:w="1059" w:type="pct"/>
            <w:shd w:val="clear" w:color="auto" w:fill="auto"/>
          </w:tcPr>
          <w:p w14:paraId="55DC80CD" w14:textId="77777777" w:rsidR="00664058" w:rsidRPr="00AF6446" w:rsidRDefault="00664058" w:rsidP="00AF6446">
            <w:pPr>
              <w:rPr>
                <w:rFonts w:cs="Arial"/>
                <w:szCs w:val="22"/>
              </w:rPr>
            </w:pPr>
            <w:r w:rsidRPr="00AF6446">
              <w:rPr>
                <w:rFonts w:cs="Arial"/>
                <w:szCs w:val="22"/>
              </w:rPr>
              <w:t>Protein expression: slightly reduced</w:t>
            </w:r>
          </w:p>
          <w:p w14:paraId="07460DF8" w14:textId="77777777" w:rsidR="00664058" w:rsidRPr="00AF6446" w:rsidRDefault="00664058" w:rsidP="00AF6446">
            <w:pPr>
              <w:rPr>
                <w:rFonts w:cs="Arial"/>
                <w:szCs w:val="22"/>
              </w:rPr>
            </w:pPr>
            <w:r w:rsidRPr="00AF6446">
              <w:rPr>
                <w:rFonts w:cs="Arial"/>
                <w:szCs w:val="22"/>
              </w:rPr>
              <w:t>Transactivation: Decreased</w:t>
            </w:r>
          </w:p>
          <w:p w14:paraId="2592A03D" w14:textId="77777777" w:rsidR="00664058" w:rsidRPr="00AF6446" w:rsidRDefault="00664058" w:rsidP="00AF6446">
            <w:pPr>
              <w:rPr>
                <w:rFonts w:cs="Arial"/>
                <w:szCs w:val="22"/>
              </w:rPr>
            </w:pPr>
            <w:r w:rsidRPr="00AF6446">
              <w:rPr>
                <w:rFonts w:cs="Arial"/>
                <w:szCs w:val="22"/>
              </w:rPr>
              <w:t>Dominant negative effect: No</w:t>
            </w:r>
          </w:p>
          <w:p w14:paraId="1E3B156C" w14:textId="08C9306F" w:rsidR="00664058" w:rsidRPr="00AF6446" w:rsidRDefault="00664058" w:rsidP="00AF6446">
            <w:pPr>
              <w:rPr>
                <w:rFonts w:cs="Arial"/>
                <w:szCs w:val="22"/>
              </w:rPr>
            </w:pPr>
            <w:r w:rsidRPr="00AF6446">
              <w:rPr>
                <w:rFonts w:cs="Arial"/>
                <w:szCs w:val="22"/>
              </w:rPr>
              <w:t>Ligand binding: (-)</w:t>
            </w:r>
          </w:p>
        </w:tc>
        <w:tc>
          <w:tcPr>
            <w:tcW w:w="763" w:type="pct"/>
            <w:shd w:val="clear" w:color="auto" w:fill="auto"/>
          </w:tcPr>
          <w:p w14:paraId="5BB19265" w14:textId="0611D1F3" w:rsidR="00664058" w:rsidRPr="00AF6446" w:rsidRDefault="00664058" w:rsidP="00AF6446">
            <w:pPr>
              <w:rPr>
                <w:rFonts w:cs="Arial"/>
                <w:szCs w:val="22"/>
              </w:rPr>
            </w:pPr>
            <w:r w:rsidRPr="00AF6446">
              <w:rPr>
                <w:rFonts w:cs="Arial"/>
                <w:szCs w:val="22"/>
              </w:rPr>
              <w:t>Heterozygous</w:t>
            </w:r>
          </w:p>
        </w:tc>
        <w:tc>
          <w:tcPr>
            <w:tcW w:w="1229" w:type="pct"/>
            <w:shd w:val="clear" w:color="auto" w:fill="auto"/>
          </w:tcPr>
          <w:p w14:paraId="464A1571" w14:textId="2353E05C" w:rsidR="00664058" w:rsidRPr="00AF6446" w:rsidRDefault="00664058" w:rsidP="00AF6446">
            <w:pPr>
              <w:rPr>
                <w:rFonts w:cs="Arial"/>
                <w:szCs w:val="22"/>
              </w:rPr>
            </w:pPr>
            <w:r w:rsidRPr="00AF6446">
              <w:rPr>
                <w:rFonts w:cs="Arial"/>
                <w:szCs w:val="22"/>
              </w:rPr>
              <w:t>Hypertension</w:t>
            </w:r>
          </w:p>
        </w:tc>
      </w:tr>
    </w:tbl>
    <w:p w14:paraId="2FF7A863" w14:textId="77777777" w:rsidR="00190CCD" w:rsidRPr="00AF6446" w:rsidRDefault="00190CCD" w:rsidP="00AF6446">
      <w:pPr>
        <w:shd w:val="clear" w:color="auto" w:fill="FFFFFF"/>
        <w:rPr>
          <w:rFonts w:eastAsia="Times New Roman" w:cs="Arial"/>
          <w:szCs w:val="22"/>
        </w:rPr>
      </w:pPr>
    </w:p>
    <w:p w14:paraId="6C3C5E5E" w14:textId="77777777" w:rsidR="00070953" w:rsidRDefault="00290B68" w:rsidP="00AF6446">
      <w:pPr>
        <w:shd w:val="clear" w:color="auto" w:fill="FFFFFF"/>
        <w:rPr>
          <w:rFonts w:eastAsia="Times New Roman" w:cs="Arial"/>
          <w:szCs w:val="22"/>
        </w:rPr>
      </w:pPr>
      <w:r w:rsidRPr="00AF6446">
        <w:rPr>
          <w:rFonts w:eastAsia="Times New Roman" w:cs="Arial"/>
          <w:szCs w:val="22"/>
        </w:rPr>
        <w:t xml:space="preserve">We examined </w:t>
      </w:r>
      <w:r w:rsidR="00E028B4" w:rsidRPr="00AF6446">
        <w:rPr>
          <w:rFonts w:eastAsia="Times New Roman" w:cs="Arial"/>
          <w:szCs w:val="22"/>
        </w:rPr>
        <w:t xml:space="preserve">the </w:t>
      </w:r>
      <w:r w:rsidRPr="00AF6446">
        <w:rPr>
          <w:rFonts w:eastAsia="Times New Roman" w:cs="Arial"/>
          <w:szCs w:val="22"/>
        </w:rPr>
        <w:t>impact of 10 pathologic GRa point mutations (559N, V571A, V575G, D641V, G679S, R714Q, V729I, F737L, I747M and L773P) to the molecular structure of the GRa LBD focusing on its ligand-binding pocket and AF-2 surface by using computer-based molecular simulation, and found some rules on the molecular disruption of these structural units by the mutations (89); (1) Topology of the peptide backbones is highly preserved in pathologic GRa mutant LBDs (Figure 19A). This result suggests that alteration in property and/or positioning of the side chain of replaced amino acids is rather crucial for developing molecular defects. (2) Defects in the ligand-binding pocket of the mutant receptors are driven primarily by loss/reduction (indirectly through structural changes in LBD induced by the mutations) of the electrostatic interaction formed by arginine 611 and threonine 739 of the receptor to glucocorticoid and a subsequent conformational mismatch (Figure 19B). (3) Defects of the AF-2 surface that reduce affinity to the LxxLL motif are caused mainly (also indirectly) by disruption of the electrostatic bonds to the non-core leucine residues of this peptide that determine the peptide’s specificity to GRa LBD (Figure 19C), as well as by reduced non-covalent interaction against core leucines and subsequent exposure of the AF-2 surface to solvent.</w:t>
      </w:r>
    </w:p>
    <w:p w14:paraId="61F0B5D4" w14:textId="5B0F1242"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"https://www.ncbi.nlm.nih.gov/core/lw/2.0/html/tileshop_pmc/tileshop_pmc_inline.html?title=Figure%2019.%20Impact%20of%20pathologic%20GR%20point%20mutations%20to%20the%20molecular%20structure%20of%20GR%20LBD.&amp;p=BOOKS&amp;id=279171_glucocort-receptor_GR-Figure-19.jpg" \o "Click on image to zoom" \t "tileshopwindow" </w:instrText>
      </w:r>
      <w:r w:rsidRPr="00AF6446">
        <w:rPr>
          <w:rFonts w:eastAsia="Times New Roman" w:cs="Arial"/>
          <w:szCs w:val="22"/>
        </w:rPr>
        <w:fldChar w:fldCharType="separate"/>
      </w:r>
    </w:p>
    <w:p w14:paraId="6A7C72A9" w14:textId="77777777" w:rsidR="00290B68" w:rsidRPr="00AF6446" w:rsidRDefault="00290B68" w:rsidP="00AF6446">
      <w:pPr>
        <w:shd w:val="clear" w:color="auto" w:fill="FFFFFF"/>
        <w:rPr>
          <w:rFonts w:eastAsia="Times New Roman" w:cs="Arial"/>
          <w:szCs w:val="22"/>
        </w:rPr>
      </w:pPr>
      <w:r w:rsidRPr="00AF6446">
        <w:rPr>
          <w:rFonts w:eastAsia="Times New Roman" w:cs="Arial"/>
          <w:noProof/>
          <w:szCs w:val="22"/>
          <w:bdr w:val="single" w:sz="6" w:space="0" w:color="C0C0C0" w:frame="1"/>
          <w:lang w:val="el-GR" w:eastAsia="el-GR"/>
        </w:rPr>
        <w:lastRenderedPageBreak/>
        <w:drawing>
          <wp:inline distT="0" distB="0" distL="0" distR="0" wp14:anchorId="15181004" wp14:editId="199B5645">
            <wp:extent cx="5184476" cy="8502541"/>
            <wp:effectExtent l="0" t="0" r="0" b="0"/>
            <wp:docPr id="39" name="Picture 39" descr="Figure 19. Impact of pathologic GR point mutations to the molecular structure of GR LBD.">
              <a:hlinkClick xmlns:a="http://schemas.openxmlformats.org/drawingml/2006/main" r:id="rId67"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19. Impact of pathologic GR point mutations to the molecular structure of GR LBD.">
                      <a:hlinkClick r:id="rId67" tgtFrame="&quot;tileshopwindow&quot;" tooltip="&quot;Click on image to zoom&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577" cy="8656867"/>
                    </a:xfrm>
                    <a:prstGeom prst="rect">
                      <a:avLst/>
                    </a:prstGeom>
                    <a:noFill/>
                    <a:ln>
                      <a:noFill/>
                    </a:ln>
                  </pic:spPr>
                </pic:pic>
              </a:graphicData>
            </a:graphic>
          </wp:inline>
        </w:drawing>
      </w:r>
      <w:r w:rsidRPr="00AF6446">
        <w:rPr>
          <w:rFonts w:eastAsia="Times New Roman" w:cs="Arial"/>
          <w:szCs w:val="22"/>
        </w:rPr>
        <w:fldChar w:fldCharType="end"/>
      </w:r>
    </w:p>
    <w:p w14:paraId="125C246A" w14:textId="227AAC42" w:rsidR="00290B68" w:rsidRPr="00AF6446" w:rsidRDefault="00290B68" w:rsidP="00F176DC">
      <w:pPr>
        <w:shd w:val="clear" w:color="auto" w:fill="FFFFFF"/>
        <w:outlineLvl w:val="2"/>
        <w:rPr>
          <w:rFonts w:eastAsia="Times New Roman" w:cs="Arial"/>
          <w:b/>
          <w:bCs/>
          <w:szCs w:val="22"/>
        </w:rPr>
      </w:pPr>
      <w:r w:rsidRPr="00AF6446">
        <w:rPr>
          <w:rFonts w:eastAsia="Times New Roman" w:cs="Arial"/>
          <w:b/>
          <w:bCs/>
          <w:szCs w:val="22"/>
        </w:rPr>
        <w:lastRenderedPageBreak/>
        <w:t>Figure 19</w:t>
      </w:r>
      <w:r w:rsidR="00190CCD" w:rsidRPr="00AF6446">
        <w:rPr>
          <w:rFonts w:eastAsia="Times New Roman" w:cs="Arial"/>
          <w:b/>
          <w:bCs/>
          <w:szCs w:val="22"/>
        </w:rPr>
        <w:t xml:space="preserve">. </w:t>
      </w:r>
      <w:r w:rsidRPr="00AF6446">
        <w:rPr>
          <w:rFonts w:eastAsia="Times New Roman" w:cs="Arial"/>
          <w:b/>
          <w:bCs/>
          <w:szCs w:val="22"/>
        </w:rPr>
        <w:t>Impact of pathologic GR point mutations to the molecular structure of GR LBD.</w:t>
      </w:r>
      <w:r w:rsidR="00F176DC">
        <w:rPr>
          <w:rFonts w:eastAsia="Times New Roman" w:cs="Arial"/>
          <w:b/>
          <w:bCs/>
          <w:szCs w:val="22"/>
        </w:rPr>
        <w:t xml:space="preserve"> </w:t>
      </w:r>
      <w:r w:rsidRPr="00AF6446">
        <w:rPr>
          <w:rFonts w:eastAsia="Times New Roman" w:cs="Arial"/>
          <w:b/>
          <w:bCs/>
          <w:szCs w:val="22"/>
        </w:rPr>
        <w:t xml:space="preserve">A: Distribution of the pathologic GR point mutations in its LBD and their </w:t>
      </w:r>
      <w:r w:rsidR="00E028B4" w:rsidRPr="00AF6446">
        <w:rPr>
          <w:rFonts w:eastAsia="Times New Roman" w:cs="Arial"/>
          <w:b/>
          <w:bCs/>
          <w:szCs w:val="22"/>
        </w:rPr>
        <w:t>overall impact on the 3-dimens</w:t>
      </w:r>
      <w:r w:rsidRPr="00AF6446">
        <w:rPr>
          <w:rFonts w:eastAsia="Times New Roman" w:cs="Arial"/>
          <w:b/>
          <w:bCs/>
          <w:szCs w:val="22"/>
        </w:rPr>
        <w:t>ional LBD peptide backbone.</w:t>
      </w:r>
      <w:r w:rsidR="00F176DC">
        <w:rPr>
          <w:rFonts w:eastAsia="Times New Roman" w:cs="Arial"/>
          <w:b/>
          <w:bCs/>
          <w:szCs w:val="22"/>
        </w:rPr>
        <w:t xml:space="preserve"> </w:t>
      </w:r>
      <w:r w:rsidRPr="00AF6446">
        <w:rPr>
          <w:rFonts w:eastAsia="Times New Roman" w:cs="Arial"/>
          <w:b/>
          <w:bCs/>
          <w:szCs w:val="22"/>
        </w:rPr>
        <w:t>Thickness and color of the overlaid C-traces of the GR mutant receptor LBDs and the wild type GR LBD indicate the areas of least (thin and blue) to most (thick and red) motion over the course of simulation. Locations and side chains of the mutated amino acids are indicated, whereas dexamethasone (shown with the white and red spheres of space-filling model) is located inside LBP.</w:t>
      </w:r>
      <w:r w:rsidR="00F176DC">
        <w:rPr>
          <w:rFonts w:eastAsia="Times New Roman" w:cs="Arial"/>
          <w:b/>
          <w:bCs/>
          <w:szCs w:val="22"/>
        </w:rPr>
        <w:t xml:space="preserve"> </w:t>
      </w:r>
      <w:r w:rsidRPr="00AF6446">
        <w:rPr>
          <w:rFonts w:eastAsia="Times New Roman" w:cs="Arial"/>
          <w:b/>
          <w:bCs/>
          <w:szCs w:val="22"/>
        </w:rPr>
        <w:t>B: Alteration of the electrostatic bond formed by arginine (R) 611 and threonine (T) 739 of pathologic GR mutants to dexamethasone may largely explain the reduced affinity of many pathologic GR mutants to this steroid.</w:t>
      </w:r>
      <w:r w:rsidR="00F176DC">
        <w:rPr>
          <w:rFonts w:eastAsia="Times New Roman" w:cs="Arial"/>
          <w:b/>
          <w:bCs/>
          <w:szCs w:val="22"/>
        </w:rPr>
        <w:t xml:space="preserve"> </w:t>
      </w:r>
      <w:r w:rsidRPr="00AF6446">
        <w:rPr>
          <w:rFonts w:eastAsia="Times New Roman" w:cs="Arial"/>
          <w:b/>
          <w:bCs/>
          <w:szCs w:val="22"/>
        </w:rPr>
        <w:t>The left panel demonstrates superimposed 3-dimensional interaction images of dexamethasone and the key residues of all pathologic GRa mutants. Among the key amino acids of pathologic mutants participating in interaction with dexamethasone, R611 is largely deviated in these mutant receptors, which underlies reduced/disappeared electrostatic interaction between this residue and the carbonyl oxygen at carbon-3 of dexamethasone. Q570 and N564 are omitted from these panels. Major changes observed in the electrostatic bond formed by R611 and T739 are indicated with a purple dotted circle. The right panel shows schematic molecular interaction between wild type GRa and dexamethasone. Purple and orange arrows indicate electrostatic and non-covalent bonds, respectively. DEX: dexamethasone.</w:t>
      </w:r>
      <w:r w:rsidR="00F176DC">
        <w:rPr>
          <w:rFonts w:eastAsia="Times New Roman" w:cs="Arial"/>
          <w:b/>
          <w:bCs/>
          <w:szCs w:val="22"/>
        </w:rPr>
        <w:t xml:space="preserve"> </w:t>
      </w:r>
      <w:r w:rsidRPr="00AF6446">
        <w:rPr>
          <w:rFonts w:eastAsia="Times New Roman" w:cs="Arial"/>
          <w:b/>
          <w:bCs/>
          <w:szCs w:val="22"/>
        </w:rPr>
        <w:t>C: Defective non-covalent bonds formed between Q597, D590, K579 and R585 of the pathologic GRa mutants and N742, R746, D750 and D752 of the LxxLL peptide mainly explain reduced interaction of the mutant receptor AF-2s to this peptide.</w:t>
      </w:r>
      <w:r w:rsidR="00F176DC">
        <w:rPr>
          <w:rFonts w:eastAsia="Times New Roman" w:cs="Arial"/>
          <w:b/>
          <w:bCs/>
          <w:szCs w:val="22"/>
        </w:rPr>
        <w:t xml:space="preserve"> </w:t>
      </w:r>
      <w:r w:rsidRPr="00AF6446">
        <w:rPr>
          <w:rFonts w:eastAsia="Times New Roman" w:cs="Arial"/>
          <w:b/>
          <w:bCs/>
          <w:szCs w:val="22"/>
        </w:rPr>
        <w:t>The panel demonstrates 3-dimensional image of the molecular intera</w:t>
      </w:r>
      <w:r w:rsidR="00E028B4" w:rsidRPr="00AF6446">
        <w:rPr>
          <w:rFonts w:eastAsia="Times New Roman" w:cs="Arial"/>
          <w:b/>
          <w:bCs/>
          <w:szCs w:val="22"/>
        </w:rPr>
        <w:t>ction between the LXXLL peptide</w:t>
      </w:r>
      <w:r w:rsidRPr="00AF6446">
        <w:rPr>
          <w:rFonts w:eastAsia="Times New Roman" w:cs="Arial"/>
          <w:b/>
          <w:bCs/>
          <w:szCs w:val="22"/>
        </w:rPr>
        <w:t xml:space="preserve"> and key residues of the wild type GRa. The LxxLL peptide forms important electrostatic bonds with its non-core leucine residues (N742, R746, D750 and D752) against the receptor residues (Q597, D590, R585 and K579, respectively) as marked with purple dotted boxes. Pat</w:t>
      </w:r>
      <w:r w:rsidR="00E028B4" w:rsidRPr="00AF6446">
        <w:rPr>
          <w:rFonts w:eastAsia="Times New Roman" w:cs="Arial"/>
          <w:b/>
          <w:bCs/>
          <w:szCs w:val="22"/>
        </w:rPr>
        <w:t>hologic GRa mutants demonstrate</w:t>
      </w:r>
      <w:r w:rsidRPr="00AF6446">
        <w:rPr>
          <w:rFonts w:eastAsia="Times New Roman" w:cs="Arial"/>
          <w:b/>
          <w:bCs/>
          <w:szCs w:val="22"/>
        </w:rPr>
        <w:t xml:space="preserve"> significant shift of the side chains of some of these receptor residues among which the side chain of R585 shows the most significant deviation (shown in square inserts).</w:t>
      </w:r>
      <w:r w:rsidR="00F176DC">
        <w:rPr>
          <w:rFonts w:eastAsia="Times New Roman" w:cs="Arial"/>
          <w:b/>
          <w:bCs/>
          <w:szCs w:val="22"/>
        </w:rPr>
        <w:t xml:space="preserve"> </w:t>
      </w:r>
      <w:r w:rsidRPr="00AF6446">
        <w:rPr>
          <w:rFonts w:eastAsia="Times New Roman" w:cs="Arial"/>
          <w:b/>
          <w:bCs/>
          <w:szCs w:val="22"/>
        </w:rPr>
        <w:t>Modified from (89).</w:t>
      </w:r>
    </w:p>
    <w:p w14:paraId="24D4AD07" w14:textId="77777777" w:rsidR="00190CCD" w:rsidRPr="00AF6446" w:rsidRDefault="00190CCD" w:rsidP="00AF6446">
      <w:pPr>
        <w:shd w:val="clear" w:color="auto" w:fill="FFFFFF"/>
        <w:rPr>
          <w:rFonts w:eastAsia="Times New Roman" w:cs="Arial"/>
          <w:szCs w:val="22"/>
        </w:rPr>
      </w:pPr>
    </w:p>
    <w:p w14:paraId="73EDA5EF" w14:textId="44F8B014"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i/>
          <w:iCs/>
          <w:color w:val="00B050"/>
          <w:szCs w:val="22"/>
        </w:rPr>
        <w:t>GR</w:t>
      </w:r>
      <w:r w:rsidRPr="00810420">
        <w:rPr>
          <w:rFonts w:eastAsia="Times New Roman" w:cs="Arial"/>
          <w:b/>
          <w:bCs/>
          <w:color w:val="00B050"/>
          <w:szCs w:val="22"/>
        </w:rPr>
        <w:t> Gene Mutation-</w:t>
      </w:r>
      <w:r w:rsidR="00F176DC" w:rsidRPr="00810420">
        <w:rPr>
          <w:rFonts w:eastAsia="Times New Roman" w:cs="Arial"/>
          <w:b/>
          <w:bCs/>
          <w:color w:val="00B050"/>
          <w:szCs w:val="22"/>
        </w:rPr>
        <w:t>M</w:t>
      </w:r>
      <w:r w:rsidRPr="00810420">
        <w:rPr>
          <w:rFonts w:eastAsia="Times New Roman" w:cs="Arial"/>
          <w:b/>
          <w:bCs/>
          <w:color w:val="00B050"/>
          <w:szCs w:val="22"/>
        </w:rPr>
        <w:t>ediated Hypersensitivity Syndrome</w:t>
      </w:r>
    </w:p>
    <w:p w14:paraId="7BFEDDF3" w14:textId="77777777" w:rsidR="00190CCD" w:rsidRPr="00AF6446" w:rsidRDefault="00190CCD" w:rsidP="00AF6446">
      <w:pPr>
        <w:shd w:val="clear" w:color="auto" w:fill="FFFFFF"/>
        <w:outlineLvl w:val="2"/>
        <w:rPr>
          <w:rFonts w:eastAsia="Times New Roman" w:cs="Arial"/>
          <w:b/>
          <w:bCs/>
          <w:szCs w:val="22"/>
        </w:rPr>
      </w:pPr>
    </w:p>
    <w:p w14:paraId="7F03C133" w14:textId="55A17156"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Only one mutation has been reported in the GRa NTD that replaces aspartic acid at amino acid 401 by histidine (D401H) (G to C replacement </w:t>
      </w:r>
      <w:r w:rsidR="00CF03BE" w:rsidRPr="00AF6446">
        <w:rPr>
          <w:rFonts w:eastAsia="Times New Roman" w:cs="Arial"/>
          <w:szCs w:val="22"/>
        </w:rPr>
        <w:t>at nucleotide position 1201) (43</w:t>
      </w:r>
      <w:r w:rsidRPr="00AF6446">
        <w:rPr>
          <w:rFonts w:eastAsia="Times New Roman" w:cs="Arial"/>
          <w:szCs w:val="22"/>
        </w:rPr>
        <w:t xml:space="preserve">0). The patient harboring this </w:t>
      </w:r>
      <w:r w:rsidR="00CF03BE" w:rsidRPr="00AF6446">
        <w:rPr>
          <w:rFonts w:eastAsia="Times New Roman" w:cs="Arial"/>
          <w:szCs w:val="22"/>
        </w:rPr>
        <w:t>heterozygous mutation present</w:t>
      </w:r>
      <w:r w:rsidRPr="00AF6446">
        <w:rPr>
          <w:rFonts w:eastAsia="Times New Roman" w:cs="Arial"/>
          <w:szCs w:val="22"/>
        </w:rPr>
        <w:t>ed</w:t>
      </w:r>
      <w:r w:rsidR="00CF03BE" w:rsidRPr="00AF6446">
        <w:rPr>
          <w:rFonts w:eastAsia="Times New Roman" w:cs="Arial"/>
          <w:szCs w:val="22"/>
        </w:rPr>
        <w:t xml:space="preserve"> with</w:t>
      </w:r>
      <w:r w:rsidRPr="00AF6446">
        <w:rPr>
          <w:rFonts w:eastAsia="Times New Roman" w:cs="Arial"/>
          <w:szCs w:val="22"/>
        </w:rPr>
        <w:t xml:space="preserve"> manifestations consistent with glucocorticoid hypersensitivity, in accordance with the </w:t>
      </w:r>
      <w:r w:rsidRPr="00AF6446">
        <w:rPr>
          <w:rFonts w:eastAsia="Times New Roman" w:cs="Arial"/>
          <w:i/>
          <w:iCs/>
          <w:szCs w:val="22"/>
        </w:rPr>
        <w:t>in vitro</w:t>
      </w:r>
      <w:r w:rsidRPr="00AF6446">
        <w:rPr>
          <w:rFonts w:eastAsia="Times New Roman" w:cs="Arial"/>
          <w:szCs w:val="22"/>
        </w:rPr>
        <w:t xml:space="preserve"> results </w:t>
      </w:r>
      <w:r w:rsidR="006076F9" w:rsidRPr="00AF6446">
        <w:rPr>
          <w:rFonts w:eastAsia="Times New Roman" w:cs="Arial"/>
          <w:szCs w:val="22"/>
        </w:rPr>
        <w:t xml:space="preserve">showing </w:t>
      </w:r>
      <w:r w:rsidRPr="00AF6446">
        <w:rPr>
          <w:rFonts w:eastAsia="Times New Roman" w:cs="Arial"/>
          <w:szCs w:val="22"/>
        </w:rPr>
        <w:t xml:space="preserve">that the mutant receptor hGRaD401H demonstrated a 2.4-fold increase in its ability to transactivate the glucocorticoid-responsive promoters. This condition represents the mirror image of the Chrousos syndrome. Although not </w:t>
      </w:r>
      <w:r w:rsidR="006076F9" w:rsidRPr="00AF6446">
        <w:rPr>
          <w:rFonts w:eastAsia="Times New Roman" w:cs="Arial"/>
          <w:szCs w:val="22"/>
        </w:rPr>
        <w:t xml:space="preserve">in </w:t>
      </w:r>
      <w:r w:rsidRPr="00AF6446">
        <w:rPr>
          <w:rFonts w:eastAsia="Times New Roman" w:cs="Arial"/>
          <w:szCs w:val="22"/>
        </w:rPr>
        <w:t xml:space="preserve">humans, one porcine heterozygotic substitution that replaces alanine at amino acid 610 with valine (A610V) in LBD of the porcine GR causes a gain-of-function phenotype, shifting the titration curve of GR-transcriptional activity to leftward (this suggests increase of the receptor </w:t>
      </w:r>
      <w:r w:rsidR="006076F9" w:rsidRPr="00AF6446">
        <w:rPr>
          <w:rFonts w:eastAsia="Times New Roman" w:cs="Arial"/>
          <w:szCs w:val="22"/>
        </w:rPr>
        <w:t>affinity to glucocorticoid) (445</w:t>
      </w:r>
      <w:r w:rsidRPr="00AF6446">
        <w:rPr>
          <w:rFonts w:eastAsia="Times New Roman" w:cs="Arial"/>
          <w:szCs w:val="22"/>
        </w:rPr>
        <w:t>).</w:t>
      </w:r>
    </w:p>
    <w:p w14:paraId="387DCE28" w14:textId="77777777" w:rsidR="00190CCD" w:rsidRPr="00AF6446" w:rsidRDefault="00190CCD" w:rsidP="00AF6446">
      <w:pPr>
        <w:shd w:val="clear" w:color="auto" w:fill="FFFFFF"/>
        <w:rPr>
          <w:rFonts w:eastAsia="Times New Roman" w:cs="Arial"/>
          <w:szCs w:val="22"/>
        </w:rPr>
      </w:pPr>
    </w:p>
    <w:p w14:paraId="4E17B9A3" w14:textId="4D5AA514"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i/>
          <w:iCs/>
          <w:color w:val="00B050"/>
          <w:szCs w:val="22"/>
        </w:rPr>
        <w:lastRenderedPageBreak/>
        <w:t>GR</w:t>
      </w:r>
      <w:r w:rsidRPr="00810420">
        <w:rPr>
          <w:rFonts w:eastAsia="Times New Roman" w:cs="Arial"/>
          <w:b/>
          <w:bCs/>
          <w:color w:val="00B050"/>
          <w:szCs w:val="22"/>
        </w:rPr>
        <w:t> Gene Polymorphisms</w:t>
      </w:r>
    </w:p>
    <w:p w14:paraId="297BD439" w14:textId="77777777" w:rsidR="00190CCD" w:rsidRPr="00AF6446" w:rsidRDefault="00190CCD" w:rsidP="00AF6446">
      <w:pPr>
        <w:shd w:val="clear" w:color="auto" w:fill="FFFFFF"/>
        <w:outlineLvl w:val="2"/>
        <w:rPr>
          <w:rFonts w:eastAsia="Times New Roman" w:cs="Arial"/>
          <w:b/>
          <w:bCs/>
          <w:szCs w:val="22"/>
        </w:rPr>
      </w:pPr>
    </w:p>
    <w:p w14:paraId="7F3982A5" w14:textId="77420D43" w:rsidR="00290B68" w:rsidRPr="00AF6446" w:rsidRDefault="00290B68" w:rsidP="00AF6446">
      <w:pPr>
        <w:shd w:val="clear" w:color="auto" w:fill="FFFFFF"/>
        <w:rPr>
          <w:rFonts w:eastAsia="Times New Roman" w:cs="Arial"/>
          <w:szCs w:val="22"/>
        </w:rPr>
      </w:pPr>
      <w:r w:rsidRPr="00AF6446">
        <w:rPr>
          <w:rFonts w:eastAsia="Times New Roman" w:cs="Arial"/>
          <w:szCs w:val="22"/>
        </w:rPr>
        <w:t>Polymorphisms of the human </w:t>
      </w:r>
      <w:r w:rsidRPr="00AF6446">
        <w:rPr>
          <w:rFonts w:eastAsia="Times New Roman" w:cs="Arial"/>
          <w:i/>
          <w:iCs/>
          <w:szCs w:val="22"/>
        </w:rPr>
        <w:t>GR</w:t>
      </w:r>
      <w:r w:rsidRPr="00AF6446">
        <w:rPr>
          <w:rFonts w:eastAsia="Times New Roman" w:cs="Arial"/>
          <w:szCs w:val="22"/>
        </w:rPr>
        <w:t> gene have also been reported</w:t>
      </w:r>
      <w:r w:rsidR="00465400" w:rsidRPr="00AF6446">
        <w:rPr>
          <w:rFonts w:eastAsia="Times New Roman" w:cs="Arial"/>
          <w:szCs w:val="22"/>
        </w:rPr>
        <w:t xml:space="preserve"> (446)</w:t>
      </w:r>
      <w:r w:rsidRPr="00AF6446">
        <w:rPr>
          <w:rFonts w:eastAsia="Times New Roman" w:cs="Arial"/>
          <w:szCs w:val="22"/>
        </w:rPr>
        <w:t>. A heterozygous polymorphism replacing aspartic acid to serine at amino acid 363 (N363S) that mildly increases transcriptional activity of the affected receptor </w:t>
      </w:r>
      <w:r w:rsidRPr="00AF6446">
        <w:rPr>
          <w:rFonts w:eastAsia="Times New Roman" w:cs="Arial"/>
          <w:i/>
          <w:iCs/>
          <w:szCs w:val="22"/>
        </w:rPr>
        <w:t>in vitro</w:t>
      </w:r>
      <w:r w:rsidRPr="00AF6446">
        <w:rPr>
          <w:rFonts w:eastAsia="Times New Roman" w:cs="Arial"/>
          <w:szCs w:val="22"/>
        </w:rPr>
        <w:t> is associated with increased sensitivity to glucocorticoids, weakly correlating with the development of central obesity, and thus, influencing the metabolic profile and the longevity of h</w:t>
      </w:r>
      <w:r w:rsidR="00465400" w:rsidRPr="00AF6446">
        <w:rPr>
          <w:rFonts w:eastAsia="Times New Roman" w:cs="Arial"/>
          <w:szCs w:val="22"/>
        </w:rPr>
        <w:t>umans in a negative fashion (447-449</w:t>
      </w:r>
      <w:r w:rsidRPr="00AF6446">
        <w:rPr>
          <w:rFonts w:eastAsia="Times New Roman" w:cs="Arial"/>
          <w:szCs w:val="22"/>
        </w:rPr>
        <w:t>). This polymorphism found at amino acid 363 was first described by Karl </w:t>
      </w:r>
      <w:r w:rsidRPr="00AF6446">
        <w:rPr>
          <w:rFonts w:eastAsia="Times New Roman" w:cs="Arial"/>
          <w:i/>
          <w:iCs/>
          <w:szCs w:val="22"/>
        </w:rPr>
        <w:t>et al.</w:t>
      </w:r>
      <w:r w:rsidR="005C4D0C" w:rsidRPr="00AF6446">
        <w:rPr>
          <w:rFonts w:eastAsia="Times New Roman" w:cs="Arial"/>
          <w:szCs w:val="22"/>
        </w:rPr>
        <w:t> (41</w:t>
      </w:r>
      <w:r w:rsidRPr="00AF6446">
        <w:rPr>
          <w:rFonts w:eastAsia="Times New Roman" w:cs="Arial"/>
          <w:szCs w:val="22"/>
        </w:rPr>
        <w:t>2).</w:t>
      </w:r>
    </w:p>
    <w:p w14:paraId="44830250" w14:textId="77777777" w:rsidR="00190CCD" w:rsidRPr="00AF6446" w:rsidRDefault="00190CCD" w:rsidP="00AF6446">
      <w:pPr>
        <w:shd w:val="clear" w:color="auto" w:fill="FFFFFF"/>
        <w:rPr>
          <w:rFonts w:eastAsia="Times New Roman" w:cs="Arial"/>
          <w:szCs w:val="22"/>
        </w:rPr>
      </w:pPr>
    </w:p>
    <w:p w14:paraId="5C55EB60" w14:textId="06FE11A4" w:rsidR="00290B68" w:rsidRPr="00AF6446" w:rsidRDefault="00290B68" w:rsidP="00AF6446">
      <w:pPr>
        <w:shd w:val="clear" w:color="auto" w:fill="FFFFFF"/>
        <w:rPr>
          <w:rFonts w:eastAsia="Times New Roman" w:cs="Arial"/>
          <w:szCs w:val="22"/>
        </w:rPr>
      </w:pPr>
      <w:r w:rsidRPr="00AF6446">
        <w:rPr>
          <w:rFonts w:eastAsia="Times New Roman" w:cs="Arial"/>
          <w:szCs w:val="22"/>
        </w:rPr>
        <w:t>The polymorphism in the human </w:t>
      </w:r>
      <w:r w:rsidRPr="00AF6446">
        <w:rPr>
          <w:rFonts w:eastAsia="Times New Roman" w:cs="Arial"/>
          <w:i/>
          <w:iCs/>
          <w:szCs w:val="22"/>
        </w:rPr>
        <w:t>GR</w:t>
      </w:r>
      <w:r w:rsidRPr="00AF6446">
        <w:rPr>
          <w:rFonts w:eastAsia="Times New Roman" w:cs="Arial"/>
          <w:szCs w:val="22"/>
        </w:rPr>
        <w:t> gene that causes arginine to lysine replacement at amino acid 23 (ER22/23EK: GAG AGG to GA</w:t>
      </w:r>
      <w:r w:rsidRPr="00AF6446">
        <w:rPr>
          <w:rFonts w:eastAsia="Times New Roman" w:cs="Arial"/>
          <w:szCs w:val="22"/>
          <w:u w:val="single"/>
        </w:rPr>
        <w:t>A</w:t>
      </w:r>
      <w:r w:rsidRPr="00AF6446">
        <w:rPr>
          <w:rFonts w:eastAsia="Times New Roman" w:cs="Arial"/>
          <w:szCs w:val="22"/>
        </w:rPr>
        <w:t> A</w:t>
      </w:r>
      <w:r w:rsidRPr="00AF6446">
        <w:rPr>
          <w:rFonts w:eastAsia="Times New Roman" w:cs="Arial"/>
          <w:szCs w:val="22"/>
          <w:u w:val="single"/>
        </w:rPr>
        <w:t>A</w:t>
      </w:r>
      <w:r w:rsidRPr="00AF6446">
        <w:rPr>
          <w:rFonts w:eastAsia="Times New Roman" w:cs="Arial"/>
          <w:szCs w:val="22"/>
        </w:rPr>
        <w:t>G) is associated with relative glucocorticoid resistance by altering the expression levels of</w:t>
      </w:r>
      <w:r w:rsidR="00465400" w:rsidRPr="00AF6446">
        <w:rPr>
          <w:rFonts w:eastAsia="Times New Roman" w:cs="Arial"/>
          <w:szCs w:val="22"/>
        </w:rPr>
        <w:t xml:space="preserve"> GRa translational isoforms (450</w:t>
      </w:r>
      <w:r w:rsidRPr="00AF6446">
        <w:rPr>
          <w:rFonts w:eastAsia="Times New Roman" w:cs="Arial"/>
          <w:szCs w:val="22"/>
        </w:rPr>
        <w:t>). This polymorphism increases muscle mass in males and reduces waist to hip ratio in females, and is associated with greater insulin sensitivity, and lower total and low-density lipoprotein cholesterol levels, indicating that this polymorphism causes beneficial effects on longevity by redu</w:t>
      </w:r>
      <w:r w:rsidR="00F009BC" w:rsidRPr="00AF6446">
        <w:rPr>
          <w:rFonts w:eastAsia="Times New Roman" w:cs="Arial"/>
          <w:szCs w:val="22"/>
        </w:rPr>
        <w:t>cing glucocorticoid actions (</w:t>
      </w:r>
      <w:r w:rsidR="00465400" w:rsidRPr="00AF6446">
        <w:rPr>
          <w:rFonts w:eastAsia="Times New Roman" w:cs="Arial"/>
          <w:szCs w:val="22"/>
        </w:rPr>
        <w:t>451,452</w:t>
      </w:r>
      <w:r w:rsidRPr="00AF6446">
        <w:rPr>
          <w:rFonts w:eastAsia="Times New Roman" w:cs="Arial"/>
          <w:szCs w:val="22"/>
        </w:rPr>
        <w:t>).</w:t>
      </w:r>
    </w:p>
    <w:p w14:paraId="2466BE8F" w14:textId="77777777" w:rsidR="00190CCD" w:rsidRPr="00AF6446" w:rsidRDefault="00190CCD" w:rsidP="00AF6446">
      <w:pPr>
        <w:shd w:val="clear" w:color="auto" w:fill="FFFFFF"/>
        <w:rPr>
          <w:rFonts w:eastAsia="Times New Roman" w:cs="Arial"/>
          <w:szCs w:val="22"/>
        </w:rPr>
      </w:pPr>
    </w:p>
    <w:p w14:paraId="6733B064" w14:textId="3DAAE017" w:rsidR="00290B68" w:rsidRPr="00AF6446" w:rsidRDefault="00290B68" w:rsidP="00AF6446">
      <w:pPr>
        <w:shd w:val="clear" w:color="auto" w:fill="FFFFFF"/>
        <w:rPr>
          <w:rFonts w:eastAsia="Times New Roman" w:cs="Arial"/>
          <w:szCs w:val="22"/>
        </w:rPr>
      </w:pPr>
      <w:r w:rsidRPr="00AF6446">
        <w:rPr>
          <w:rFonts w:eastAsia="Times New Roman" w:cs="Arial"/>
          <w:szCs w:val="22"/>
        </w:rPr>
        <w:t>One recent study examined influence of N363S and ER</w:t>
      </w:r>
      <w:r w:rsidR="009724C0" w:rsidRPr="00AF6446">
        <w:rPr>
          <w:rFonts w:eastAsia="Times New Roman" w:cs="Arial"/>
          <w:szCs w:val="22"/>
        </w:rPr>
        <w:t>22/</w:t>
      </w:r>
      <w:r w:rsidRPr="00AF6446">
        <w:rPr>
          <w:rFonts w:eastAsia="Times New Roman" w:cs="Arial"/>
          <w:szCs w:val="22"/>
        </w:rPr>
        <w:t>23EK polymorphisms to intelligence quotient (IQ) and behavior of 344 young subjects who have been f</w:t>
      </w:r>
      <w:r w:rsidR="00465400" w:rsidRPr="00AF6446">
        <w:rPr>
          <w:rFonts w:eastAsia="Times New Roman" w:cs="Arial"/>
          <w:szCs w:val="22"/>
        </w:rPr>
        <w:t>ollowed up from their birth (453</w:t>
      </w:r>
      <w:r w:rsidRPr="00AF6446">
        <w:rPr>
          <w:rFonts w:eastAsia="Times New Roman" w:cs="Arial"/>
          <w:szCs w:val="22"/>
        </w:rPr>
        <w:t>). The study found that N363S is not associated with IQ, while ER</w:t>
      </w:r>
      <w:r w:rsidR="009724C0" w:rsidRPr="00AF6446">
        <w:rPr>
          <w:rFonts w:eastAsia="Times New Roman" w:cs="Arial"/>
          <w:szCs w:val="22"/>
        </w:rPr>
        <w:t>22/</w:t>
      </w:r>
      <w:r w:rsidRPr="00AF6446">
        <w:rPr>
          <w:rFonts w:eastAsia="Times New Roman" w:cs="Arial"/>
          <w:szCs w:val="22"/>
        </w:rPr>
        <w:t>23EK showed significantly higher IQ scores. Both polymorphisms did not show any effects on the behavior scores. Antenatal glucocorticoid treatment reduces IQ scores in the subjects carrying N363S or ER2</w:t>
      </w:r>
      <w:r w:rsidR="009724C0" w:rsidRPr="00AF6446">
        <w:rPr>
          <w:rFonts w:eastAsia="Times New Roman" w:cs="Arial"/>
          <w:szCs w:val="22"/>
        </w:rPr>
        <w:t>2/23</w:t>
      </w:r>
      <w:r w:rsidRPr="00AF6446">
        <w:rPr>
          <w:rFonts w:eastAsia="Times New Roman" w:cs="Arial"/>
          <w:szCs w:val="22"/>
        </w:rPr>
        <w:t>EK polymorphism.</w:t>
      </w:r>
    </w:p>
    <w:p w14:paraId="391DC97A" w14:textId="77777777" w:rsidR="00190CCD" w:rsidRPr="00AF6446" w:rsidRDefault="00190CCD" w:rsidP="00AF6446">
      <w:pPr>
        <w:shd w:val="clear" w:color="auto" w:fill="FFFFFF"/>
        <w:rPr>
          <w:rFonts w:eastAsia="Times New Roman" w:cs="Arial"/>
          <w:szCs w:val="22"/>
        </w:rPr>
      </w:pPr>
    </w:p>
    <w:p w14:paraId="4502E975" w14:textId="61DE87C3" w:rsidR="00290B68" w:rsidRPr="00AF6446" w:rsidRDefault="00290B68" w:rsidP="00AF6446">
      <w:pPr>
        <w:shd w:val="clear" w:color="auto" w:fill="FFFFFF"/>
        <w:rPr>
          <w:rFonts w:eastAsia="Times New Roman" w:cs="Arial"/>
          <w:szCs w:val="22"/>
        </w:rPr>
      </w:pPr>
      <w:r w:rsidRPr="00AF6446">
        <w:rPr>
          <w:rFonts w:eastAsia="Times New Roman" w:cs="Arial"/>
          <w:szCs w:val="22"/>
        </w:rPr>
        <w:t>The </w:t>
      </w:r>
      <w:r w:rsidRPr="00AF6446">
        <w:rPr>
          <w:rFonts w:eastAsia="Times New Roman" w:cs="Arial"/>
          <w:i/>
          <w:iCs/>
          <w:szCs w:val="22"/>
        </w:rPr>
        <w:t>Bcl</w:t>
      </w:r>
      <w:r w:rsidRPr="00AF6446">
        <w:rPr>
          <w:rFonts w:eastAsia="Times New Roman" w:cs="Arial"/>
          <w:szCs w:val="22"/>
        </w:rPr>
        <w:t>I GR polymorphism comprises a C to G nucleotide substitution at 646 bp downstream of exon 2 in intron B of the human </w:t>
      </w:r>
      <w:r w:rsidRPr="00AF6446">
        <w:rPr>
          <w:rFonts w:eastAsia="Times New Roman" w:cs="Arial"/>
          <w:i/>
          <w:iCs/>
          <w:szCs w:val="22"/>
        </w:rPr>
        <w:t>GR</w:t>
      </w:r>
      <w:r w:rsidRPr="00AF6446">
        <w:rPr>
          <w:rFonts w:eastAsia="Times New Roman" w:cs="Arial"/>
          <w:szCs w:val="22"/>
        </w:rPr>
        <w:t> gene that creates a cutting site for the </w:t>
      </w:r>
      <w:r w:rsidRPr="00AF6446">
        <w:rPr>
          <w:rFonts w:eastAsia="Times New Roman" w:cs="Arial"/>
          <w:i/>
          <w:iCs/>
          <w:szCs w:val="22"/>
        </w:rPr>
        <w:t>Bcl</w:t>
      </w:r>
      <w:r w:rsidRPr="00AF6446">
        <w:rPr>
          <w:rFonts w:eastAsia="Times New Roman" w:cs="Arial"/>
          <w:szCs w:val="22"/>
        </w:rPr>
        <w:t>I restriction enzyme. G-allele of this polymorphism increases tissue sensitivity to glucocorticoids as shown by greater suppression of serum cortisol levels after d</w:t>
      </w:r>
      <w:r w:rsidR="00564F3B" w:rsidRPr="00AF6446">
        <w:rPr>
          <w:rFonts w:eastAsia="Times New Roman" w:cs="Arial"/>
          <w:szCs w:val="22"/>
        </w:rPr>
        <w:t>examethasone administration (454</w:t>
      </w:r>
      <w:r w:rsidRPr="00AF6446">
        <w:rPr>
          <w:rFonts w:eastAsia="Times New Roman" w:cs="Arial"/>
          <w:szCs w:val="22"/>
        </w:rPr>
        <w:t xml:space="preserve">). This polymorphism is associated with development of mood disorders, psychopathology, bronchial asthma, hypertension, </w:t>
      </w:r>
      <w:r w:rsidR="00564F3B" w:rsidRPr="00AF6446">
        <w:rPr>
          <w:rFonts w:eastAsia="Times New Roman" w:cs="Arial"/>
          <w:szCs w:val="22"/>
        </w:rPr>
        <w:t>hyperinsulinism and obesity (455,456</w:t>
      </w:r>
      <w:r w:rsidRPr="00AF6446">
        <w:rPr>
          <w:rFonts w:eastAsia="Times New Roman" w:cs="Arial"/>
          <w:szCs w:val="22"/>
        </w:rPr>
        <w:t>). It is also associated with increased bone resorption in patients receiving glucoco</w:t>
      </w:r>
      <w:r w:rsidR="00564F3B" w:rsidRPr="00AF6446">
        <w:rPr>
          <w:rFonts w:eastAsia="Times New Roman" w:cs="Arial"/>
          <w:szCs w:val="22"/>
        </w:rPr>
        <w:t>rticoid replacement therapy (457</w:t>
      </w:r>
      <w:r w:rsidRPr="00AF6446">
        <w:rPr>
          <w:rFonts w:eastAsia="Times New Roman" w:cs="Arial"/>
          <w:szCs w:val="22"/>
        </w:rPr>
        <w:t>). Although a large study employing adolescents (15-17 years old) did not confirm the association of the </w:t>
      </w:r>
      <w:r w:rsidRPr="00AF6446">
        <w:rPr>
          <w:rFonts w:eastAsia="Times New Roman" w:cs="Arial"/>
          <w:i/>
          <w:iCs/>
          <w:szCs w:val="22"/>
        </w:rPr>
        <w:t>Bcl</w:t>
      </w:r>
      <w:r w:rsidRPr="00AF6446">
        <w:rPr>
          <w:rFonts w:eastAsia="Times New Roman" w:cs="Arial"/>
          <w:szCs w:val="22"/>
        </w:rPr>
        <w:t>I polymorphisms to changes in several stress-related neurological parameter</w:t>
      </w:r>
      <w:r w:rsidR="00564F3B" w:rsidRPr="00AF6446">
        <w:rPr>
          <w:rFonts w:eastAsia="Times New Roman" w:cs="Arial"/>
          <w:szCs w:val="22"/>
        </w:rPr>
        <w:t xml:space="preserve">s (458), a </w:t>
      </w:r>
      <w:r w:rsidRPr="00AF6446">
        <w:rPr>
          <w:rFonts w:eastAsia="Times New Roman" w:cs="Arial"/>
          <w:szCs w:val="22"/>
        </w:rPr>
        <w:t>study employing 460 subjects with post-traumatic stress disorder (PTSD) found that this polymorphism and another polymorphism </w:t>
      </w:r>
      <w:hyperlink r:id="rId69" w:history="1">
        <w:r w:rsidRPr="00AF6446">
          <w:rPr>
            <w:rFonts w:eastAsia="Times New Roman" w:cs="Arial"/>
            <w:szCs w:val="22"/>
            <w:u w:val="single"/>
          </w:rPr>
          <w:t>rs258747</w:t>
        </w:r>
      </w:hyperlink>
      <w:r w:rsidR="00564F3B" w:rsidRPr="00AF6446">
        <w:rPr>
          <w:rFonts w:eastAsia="Times New Roman" w:cs="Arial"/>
          <w:szCs w:val="22"/>
        </w:rPr>
        <w:t>,</w:t>
      </w:r>
      <w:r w:rsidRPr="00AF6446">
        <w:rPr>
          <w:rFonts w:eastAsia="Times New Roman" w:cs="Arial"/>
          <w:szCs w:val="22"/>
        </w:rPr>
        <w:t> located in the 3’-flanking region of the human </w:t>
      </w:r>
      <w:r w:rsidRPr="00AF6446">
        <w:rPr>
          <w:rFonts w:eastAsia="Times New Roman" w:cs="Arial"/>
          <w:i/>
          <w:iCs/>
          <w:szCs w:val="22"/>
        </w:rPr>
        <w:t>GR</w:t>
      </w:r>
      <w:r w:rsidRPr="00AF6446">
        <w:rPr>
          <w:rFonts w:eastAsia="Times New Roman" w:cs="Arial"/>
          <w:szCs w:val="22"/>
        </w:rPr>
        <w:t> gene and</w:t>
      </w:r>
      <w:r w:rsidR="00564F3B" w:rsidRPr="00AF6446">
        <w:rPr>
          <w:rFonts w:eastAsia="Times New Roman" w:cs="Arial"/>
          <w:szCs w:val="22"/>
        </w:rPr>
        <w:t xml:space="preserve"> potentially influencing</w:t>
      </w:r>
      <w:r w:rsidRPr="00AF6446">
        <w:rPr>
          <w:rFonts w:eastAsia="Times New Roman" w:cs="Arial"/>
          <w:szCs w:val="22"/>
        </w:rPr>
        <w:t xml:space="preserve"> stability of GR mRNA, significantly increase</w:t>
      </w:r>
      <w:r w:rsidR="00717ABF" w:rsidRPr="00AF6446">
        <w:rPr>
          <w:rFonts w:eastAsia="Times New Roman" w:cs="Arial"/>
          <w:szCs w:val="22"/>
        </w:rPr>
        <w:t xml:space="preserve"> a risk for developing PTSD (459</w:t>
      </w:r>
      <w:r w:rsidRPr="00AF6446">
        <w:rPr>
          <w:rFonts w:eastAsia="Times New Roman" w:cs="Arial"/>
          <w:szCs w:val="22"/>
        </w:rPr>
        <w:t>). In one study, the </w:t>
      </w:r>
      <w:r w:rsidRPr="00AF6446">
        <w:rPr>
          <w:rFonts w:eastAsia="Times New Roman" w:cs="Arial"/>
          <w:i/>
          <w:iCs/>
          <w:szCs w:val="22"/>
        </w:rPr>
        <w:t>Bcl</w:t>
      </w:r>
      <w:r w:rsidRPr="00AF6446">
        <w:rPr>
          <w:rFonts w:eastAsia="Times New Roman" w:cs="Arial"/>
          <w:szCs w:val="22"/>
        </w:rPr>
        <w:t>I </w:t>
      </w:r>
      <w:r w:rsidRPr="00AF6446">
        <w:rPr>
          <w:rFonts w:eastAsia="Times New Roman" w:cs="Arial"/>
          <w:i/>
          <w:iCs/>
          <w:szCs w:val="22"/>
        </w:rPr>
        <w:t>GR</w:t>
      </w:r>
      <w:r w:rsidR="00717ABF" w:rsidRPr="00AF6446">
        <w:rPr>
          <w:rFonts w:eastAsia="Times New Roman" w:cs="Arial"/>
          <w:szCs w:val="22"/>
        </w:rPr>
        <w:t> polymorphism was</w:t>
      </w:r>
      <w:r w:rsidRPr="00AF6446">
        <w:rPr>
          <w:rFonts w:eastAsia="Times New Roman" w:cs="Arial"/>
          <w:szCs w:val="22"/>
        </w:rPr>
        <w:t xml:space="preserve"> associated with lower frequency of insulin resistance in the women with polycystic ovary syndrome (PCOS) in contrast to the findings </w:t>
      </w:r>
      <w:r w:rsidR="00717ABF" w:rsidRPr="00AF6446">
        <w:rPr>
          <w:rFonts w:eastAsia="Times New Roman" w:cs="Arial"/>
          <w:szCs w:val="22"/>
        </w:rPr>
        <w:t>obtained in normal subjects (460</w:t>
      </w:r>
      <w:r w:rsidRPr="00AF6446">
        <w:rPr>
          <w:rFonts w:eastAsia="Times New Roman" w:cs="Arial"/>
          <w:szCs w:val="22"/>
        </w:rPr>
        <w:t>).</w:t>
      </w:r>
    </w:p>
    <w:p w14:paraId="5F647684" w14:textId="77777777" w:rsidR="00190CCD" w:rsidRPr="00AF6446" w:rsidRDefault="00190CCD" w:rsidP="00AF6446">
      <w:pPr>
        <w:shd w:val="clear" w:color="auto" w:fill="FFFFFF"/>
        <w:rPr>
          <w:rFonts w:eastAsia="Times New Roman" w:cs="Arial"/>
          <w:szCs w:val="22"/>
        </w:rPr>
      </w:pPr>
    </w:p>
    <w:p w14:paraId="1BC31462" w14:textId="5A9A5DA3" w:rsidR="00290B68" w:rsidRPr="00AF6446" w:rsidRDefault="00290B68" w:rsidP="00AF6446">
      <w:pPr>
        <w:shd w:val="clear" w:color="auto" w:fill="FFFFFF"/>
        <w:rPr>
          <w:rFonts w:eastAsia="Times New Roman" w:cs="Arial"/>
          <w:szCs w:val="22"/>
        </w:rPr>
      </w:pPr>
      <w:r w:rsidRPr="00AF6446">
        <w:rPr>
          <w:rFonts w:eastAsia="Times New Roman" w:cs="Arial"/>
          <w:szCs w:val="22"/>
        </w:rPr>
        <w:t>A single nucleotide polymorphism that replaces A with G at the nucleoside 3669 (A3669G) located in the 3’ end of exon 9b has been describ</w:t>
      </w:r>
      <w:r w:rsidR="00DE4BB7" w:rsidRPr="00AF6446">
        <w:rPr>
          <w:rFonts w:eastAsia="Times New Roman" w:cs="Arial"/>
          <w:szCs w:val="22"/>
        </w:rPr>
        <w:t>ed in a European population (461</w:t>
      </w:r>
      <w:r w:rsidRPr="00AF6446">
        <w:rPr>
          <w:rFonts w:eastAsia="Times New Roman" w:cs="Arial"/>
          <w:szCs w:val="22"/>
        </w:rPr>
        <w:t xml:space="preserve">). This polymorphism does not change the amino acid sequence but increases the stability of GRb mRNA and increases GRb protein expression, leading to greater inhibition of GRa-induced </w:t>
      </w:r>
      <w:r w:rsidRPr="00AF6446">
        <w:rPr>
          <w:rFonts w:eastAsia="Times New Roman" w:cs="Arial"/>
          <w:szCs w:val="22"/>
        </w:rPr>
        <w:lastRenderedPageBreak/>
        <w:t>transcriptional activity and causing glucocorticoid resistance in tissues. The presence of the A3669G allele is associated with reduced central obesity and a more favorable lipid p</w:t>
      </w:r>
      <w:r w:rsidR="00DE4BB7" w:rsidRPr="00AF6446">
        <w:rPr>
          <w:rFonts w:eastAsia="Times New Roman" w:cs="Arial"/>
          <w:szCs w:val="22"/>
        </w:rPr>
        <w:t>rofile in affected subjects (461</w:t>
      </w:r>
      <w:r w:rsidRPr="00AF6446">
        <w:rPr>
          <w:rFonts w:eastAsia="Times New Roman" w:cs="Arial"/>
          <w:szCs w:val="22"/>
        </w:rPr>
        <w:t>).</w:t>
      </w:r>
    </w:p>
    <w:p w14:paraId="6B29468D" w14:textId="77777777" w:rsidR="00190CCD" w:rsidRPr="00AF6446" w:rsidRDefault="00190CCD" w:rsidP="00AF6446">
      <w:pPr>
        <w:shd w:val="clear" w:color="auto" w:fill="FFFFFF"/>
        <w:rPr>
          <w:rFonts w:eastAsia="Times New Roman" w:cs="Arial"/>
          <w:szCs w:val="22"/>
        </w:rPr>
      </w:pPr>
    </w:p>
    <w:p w14:paraId="25F1B624" w14:textId="29847C65" w:rsidR="00290B68" w:rsidRPr="00810420" w:rsidRDefault="00290B68" w:rsidP="00AF6446">
      <w:pPr>
        <w:shd w:val="clear" w:color="auto" w:fill="FFFFFF"/>
        <w:outlineLvl w:val="2"/>
        <w:rPr>
          <w:rFonts w:eastAsia="Times New Roman" w:cs="Arial"/>
          <w:b/>
          <w:bCs/>
          <w:color w:val="00B050"/>
          <w:szCs w:val="22"/>
        </w:rPr>
      </w:pPr>
      <w:r w:rsidRPr="00810420">
        <w:rPr>
          <w:rFonts w:eastAsia="Times New Roman" w:cs="Arial"/>
          <w:b/>
          <w:bCs/>
          <w:color w:val="00B050"/>
          <w:szCs w:val="22"/>
        </w:rPr>
        <w:t>Viral Infection</w:t>
      </w:r>
    </w:p>
    <w:p w14:paraId="5AA4FB31" w14:textId="77777777" w:rsidR="00190CCD" w:rsidRPr="00AF6446" w:rsidRDefault="00190CCD" w:rsidP="00AF6446">
      <w:pPr>
        <w:shd w:val="clear" w:color="auto" w:fill="FFFFFF"/>
        <w:outlineLvl w:val="2"/>
        <w:rPr>
          <w:rFonts w:eastAsia="Times New Roman" w:cs="Arial"/>
          <w:b/>
          <w:bCs/>
          <w:szCs w:val="22"/>
        </w:rPr>
      </w:pPr>
    </w:p>
    <w:p w14:paraId="44E541F1" w14:textId="65446CE0" w:rsidR="00290B68" w:rsidRPr="00810420" w:rsidRDefault="00290B68" w:rsidP="00AF6446">
      <w:pPr>
        <w:shd w:val="clear" w:color="auto" w:fill="FFFFFF"/>
        <w:outlineLvl w:val="3"/>
        <w:rPr>
          <w:rFonts w:eastAsia="Times New Roman" w:cs="Arial"/>
          <w:color w:val="FF0000"/>
          <w:szCs w:val="22"/>
        </w:rPr>
      </w:pPr>
      <w:r w:rsidRPr="00810420">
        <w:rPr>
          <w:rFonts w:eastAsia="Times New Roman" w:cs="Arial"/>
          <w:color w:val="FF0000"/>
          <w:szCs w:val="22"/>
        </w:rPr>
        <w:t>H</w:t>
      </w:r>
      <w:r w:rsidR="00FF176B" w:rsidRPr="00810420">
        <w:rPr>
          <w:rFonts w:eastAsia="Times New Roman" w:cs="Arial"/>
          <w:color w:val="FF0000"/>
          <w:szCs w:val="22"/>
        </w:rPr>
        <w:t>UMAN IMMUNODEFICIENCY VIRUS TYPE-1</w:t>
      </w:r>
    </w:p>
    <w:p w14:paraId="3137071E" w14:textId="77777777" w:rsidR="00190CCD" w:rsidRPr="00AF6446" w:rsidRDefault="00190CCD" w:rsidP="00AF6446">
      <w:pPr>
        <w:shd w:val="clear" w:color="auto" w:fill="FFFFFF"/>
        <w:outlineLvl w:val="3"/>
        <w:rPr>
          <w:rFonts w:eastAsia="Times New Roman" w:cs="Arial"/>
          <w:b/>
          <w:bCs/>
          <w:szCs w:val="22"/>
        </w:rPr>
      </w:pPr>
    </w:p>
    <w:p w14:paraId="2A1FA39A" w14:textId="2E010F74" w:rsidR="00290B68" w:rsidRPr="00AF6446" w:rsidRDefault="00290B68" w:rsidP="00AF6446">
      <w:pPr>
        <w:shd w:val="clear" w:color="auto" w:fill="FFFFFF"/>
        <w:rPr>
          <w:rFonts w:eastAsia="Times New Roman" w:cs="Arial"/>
          <w:szCs w:val="22"/>
        </w:rPr>
      </w:pPr>
      <w:r w:rsidRPr="00AF6446">
        <w:rPr>
          <w:rFonts w:eastAsia="Times New Roman" w:cs="Arial"/>
          <w:szCs w:val="22"/>
        </w:rPr>
        <w:t>Patients with the Acquired Immunodeficiency Syndrome (AIDS), which is caused by infection of the Human Immunodeficiency Virus type-1 (HIV-1), have several manifestations compatible with increased activity of GRa. They develop reduction of innate and Th1-directed cellular immunity, which is also seen in the conditions of glucocorticoid excess. Patients with AIDS often develop symptoms and signs that manifest in hypercortisolemic states, such as muscle wasting, myopathy, dyslipidemia and visceral obesity</w:t>
      </w:r>
      <w:r w:rsidR="00764A22" w:rsidRPr="00AF6446">
        <w:rPr>
          <w:rFonts w:eastAsia="Times New Roman" w:cs="Arial"/>
          <w:szCs w:val="22"/>
        </w:rPr>
        <w:t>-related insulin resistance (462-466</w:t>
      </w:r>
      <w:r w:rsidRPr="00AF6446">
        <w:rPr>
          <w:rFonts w:eastAsia="Times New Roman" w:cs="Arial"/>
          <w:szCs w:val="22"/>
        </w:rPr>
        <w:t>). Therefore, it is possible that some HIV-1-related factor(s) may modulate the function of GRa in patients with AIDS. Please see for more details </w:t>
      </w:r>
      <w:r w:rsidR="00F176DC">
        <w:rPr>
          <w:rFonts w:eastAsia="Times New Roman" w:cs="Arial"/>
          <w:szCs w:val="22"/>
        </w:rPr>
        <w:t xml:space="preserve">the chapter on AIDS and the HPA Axis in the Adrenal Section of Endotext. </w:t>
      </w:r>
    </w:p>
    <w:p w14:paraId="00A93E0D" w14:textId="77777777" w:rsidR="00190CCD" w:rsidRPr="00AF6446" w:rsidRDefault="00190CCD" w:rsidP="00AF6446">
      <w:pPr>
        <w:shd w:val="clear" w:color="auto" w:fill="FFFFFF"/>
        <w:rPr>
          <w:rFonts w:eastAsia="Times New Roman" w:cs="Arial"/>
          <w:szCs w:val="22"/>
        </w:rPr>
      </w:pPr>
    </w:p>
    <w:p w14:paraId="1AD417C0" w14:textId="17142656" w:rsidR="00290B68" w:rsidRPr="00AF6446" w:rsidRDefault="00290B68" w:rsidP="00AF6446">
      <w:pPr>
        <w:shd w:val="clear" w:color="auto" w:fill="FFFFFF"/>
        <w:rPr>
          <w:rFonts w:eastAsia="Times New Roman" w:cs="Arial"/>
          <w:szCs w:val="22"/>
        </w:rPr>
      </w:pPr>
      <w:r w:rsidRPr="00AF6446">
        <w:rPr>
          <w:rFonts w:eastAsia="Times New Roman" w:cs="Arial"/>
          <w:szCs w:val="22"/>
        </w:rPr>
        <w:t>We have shown that one of the HIV-1 accessory proteins, Vpr, a 96-amino acid virion-associated prot</w:t>
      </w:r>
      <w:r w:rsidR="003B3DE0" w:rsidRPr="00AF6446">
        <w:rPr>
          <w:rFonts w:eastAsia="Times New Roman" w:cs="Arial"/>
          <w:szCs w:val="22"/>
        </w:rPr>
        <w:t>ein with multiple functions (467,468</w:t>
      </w:r>
      <w:r w:rsidRPr="00AF6446">
        <w:rPr>
          <w:rFonts w:eastAsia="Times New Roman" w:cs="Arial"/>
          <w:szCs w:val="22"/>
        </w:rPr>
        <w:t>), enhances GRa transactivation by f</w:t>
      </w:r>
      <w:r w:rsidR="003B3DE0" w:rsidRPr="00AF6446">
        <w:rPr>
          <w:rFonts w:eastAsia="Times New Roman" w:cs="Arial"/>
          <w:szCs w:val="22"/>
        </w:rPr>
        <w:t>unctioning as a coactivator (469</w:t>
      </w:r>
      <w:r w:rsidRPr="00AF6446">
        <w:rPr>
          <w:rFonts w:eastAsia="Times New Roman" w:cs="Arial"/>
          <w:szCs w:val="22"/>
        </w:rPr>
        <w:t>) (</w:t>
      </w:r>
      <w:hyperlink r:id="rId70" w:tgtFrame="object" w:history="1">
        <w:r w:rsidRPr="00F47850">
          <w:rPr>
            <w:rFonts w:eastAsia="Times New Roman" w:cs="Arial"/>
            <w:szCs w:val="22"/>
          </w:rPr>
          <w:t>Figure 20</w:t>
        </w:r>
      </w:hyperlink>
      <w:r w:rsidRPr="00AF6446">
        <w:rPr>
          <w:rFonts w:eastAsia="Times New Roman" w:cs="Arial"/>
          <w:szCs w:val="22"/>
        </w:rPr>
        <w:t xml:space="preserve">). Indeed, Vpr contains a NR </w:t>
      </w:r>
      <w:r w:rsidR="001752CD" w:rsidRPr="00AF6446">
        <w:rPr>
          <w:rFonts w:eastAsia="Times New Roman" w:cs="Arial"/>
          <w:szCs w:val="22"/>
        </w:rPr>
        <w:t>coactivator</w:t>
      </w:r>
      <w:r w:rsidRPr="00AF6446">
        <w:rPr>
          <w:rFonts w:eastAsia="Times New Roman" w:cs="Arial"/>
          <w:szCs w:val="22"/>
        </w:rPr>
        <w:t xml:space="preserve"> motif LxxLL at amino acids 64-68. This motif is used by host NR coactivators to bind NRs (80) (see Section </w:t>
      </w:r>
      <w:r w:rsidR="00F176DC">
        <w:rPr>
          <w:rFonts w:eastAsia="Times New Roman" w:cs="Arial"/>
          <w:szCs w:val="22"/>
        </w:rPr>
        <w:t>ln</w:t>
      </w:r>
      <w:r w:rsidRPr="00AF6446">
        <w:rPr>
          <w:rFonts w:eastAsia="Times New Roman" w:cs="Arial"/>
          <w:b/>
          <w:bCs/>
          <w:szCs w:val="22"/>
        </w:rPr>
        <w:t xml:space="preserve"> </w:t>
      </w:r>
      <w:r w:rsidRPr="00F176DC">
        <w:rPr>
          <w:rFonts w:eastAsia="Times New Roman" w:cs="Arial"/>
          <w:szCs w:val="22"/>
        </w:rPr>
        <w:t>ACTIONS OF GR, Mechanism of GRa-mediated Activation of Transcription</w:t>
      </w:r>
      <w:r w:rsidRPr="00AF6446">
        <w:rPr>
          <w:rFonts w:eastAsia="Times New Roman" w:cs="Arial"/>
          <w:szCs w:val="22"/>
        </w:rPr>
        <w:t>). Similarly, through this motif, Vpr directly binds GRa and cooperatively enhances its activity on its responsive promoters along with host NR coactivators SRC-1 (p160-type p</w:t>
      </w:r>
      <w:r w:rsidR="003B3DE0" w:rsidRPr="00AF6446">
        <w:rPr>
          <w:rFonts w:eastAsia="Times New Roman" w:cs="Arial"/>
          <w:szCs w:val="22"/>
        </w:rPr>
        <w:t>rotein, NCoA1) and p300/CBP (469</w:t>
      </w:r>
      <w:r w:rsidRPr="00AF6446">
        <w:rPr>
          <w:rFonts w:eastAsia="Times New Roman" w:cs="Arial"/>
          <w:szCs w:val="22"/>
        </w:rPr>
        <w:t>). Vpr directly binds p300 at its C-terminal amino acids 2045-2191, where the p160 coa</w:t>
      </w:r>
      <w:r w:rsidR="003B3DE0" w:rsidRPr="00AF6446">
        <w:rPr>
          <w:rFonts w:eastAsia="Times New Roman" w:cs="Arial"/>
          <w:szCs w:val="22"/>
        </w:rPr>
        <w:t>ctivators (NCoAs) also bind (470</w:t>
      </w:r>
      <w:r w:rsidRPr="00AF6446">
        <w:rPr>
          <w:rFonts w:eastAsia="Times New Roman" w:cs="Arial"/>
          <w:szCs w:val="22"/>
        </w:rPr>
        <w:t xml:space="preserve">). Since Vpr circulates at detectable levels in HIV-1-infected individuals and is able to penetrate the cell membrane, its effects may be extended to </w:t>
      </w:r>
      <w:r w:rsidR="003B3DE0" w:rsidRPr="00AF6446">
        <w:rPr>
          <w:rFonts w:eastAsia="Times New Roman" w:cs="Arial"/>
          <w:szCs w:val="22"/>
        </w:rPr>
        <w:t>cells not infected by HIV-1 (471,472</w:t>
      </w:r>
      <w:r w:rsidRPr="00AF6446">
        <w:rPr>
          <w:rFonts w:eastAsia="Times New Roman" w:cs="Arial"/>
          <w:szCs w:val="22"/>
        </w:rPr>
        <w:t>). Indeed, extracellularly administered Vpr polypeptide regulates glucocorticoid-responsive genes, such as </w:t>
      </w:r>
      <w:r w:rsidRPr="00AF6446">
        <w:rPr>
          <w:rFonts w:eastAsia="Times New Roman" w:cs="Arial"/>
          <w:i/>
          <w:iCs/>
          <w:szCs w:val="22"/>
        </w:rPr>
        <w:t>IL-12 p40</w:t>
      </w:r>
      <w:r w:rsidRPr="00AF6446">
        <w:rPr>
          <w:rFonts w:eastAsia="Times New Roman" w:cs="Arial"/>
          <w:szCs w:val="22"/>
        </w:rPr>
        <w:t>, in the same way as the potent gl</w:t>
      </w:r>
      <w:r w:rsidR="003B3DE0" w:rsidRPr="00AF6446">
        <w:rPr>
          <w:rFonts w:eastAsia="Times New Roman" w:cs="Arial"/>
          <w:szCs w:val="22"/>
        </w:rPr>
        <w:t>ucocorticoid, dexamethasone (473</w:t>
      </w:r>
      <w:r w:rsidRPr="00AF6446">
        <w:rPr>
          <w:rFonts w:eastAsia="Times New Roman" w:cs="Arial"/>
          <w:szCs w:val="22"/>
        </w:rPr>
        <w:t>). In addition to regulating GRa activity, Vpr modulates the transcriptional activity of PPARb/d and PPARg, the NR family proteins importan</w:t>
      </w:r>
      <w:r w:rsidR="003B3DE0" w:rsidRPr="00AF6446">
        <w:rPr>
          <w:rFonts w:eastAsia="Times New Roman" w:cs="Arial"/>
          <w:szCs w:val="22"/>
        </w:rPr>
        <w:t>t for fatty acid metabolism (474,475</w:t>
      </w:r>
      <w:r w:rsidRPr="00AF6446">
        <w:rPr>
          <w:rFonts w:eastAsia="Times New Roman" w:cs="Arial"/>
          <w:szCs w:val="22"/>
        </w:rPr>
        <w:t xml:space="preserve">). Through modulating activities of GRa and the PPARs, Vpr appears to participate in the development of </w:t>
      </w:r>
      <w:r w:rsidR="003B3DE0" w:rsidRPr="00AF6446">
        <w:rPr>
          <w:rFonts w:eastAsia="Times New Roman" w:cs="Arial"/>
          <w:szCs w:val="22"/>
        </w:rPr>
        <w:t xml:space="preserve">the </w:t>
      </w:r>
      <w:r w:rsidRPr="00AF6446">
        <w:rPr>
          <w:rFonts w:eastAsia="Times New Roman" w:cs="Arial"/>
          <w:szCs w:val="22"/>
        </w:rPr>
        <w:t>characteristic AIDS-related lipodystrophy syndrome, which is quite pr</w:t>
      </w:r>
      <w:r w:rsidR="003B3DE0" w:rsidRPr="00AF6446">
        <w:rPr>
          <w:rFonts w:eastAsia="Times New Roman" w:cs="Arial"/>
          <w:szCs w:val="22"/>
        </w:rPr>
        <w:t>evalent among AIDS patients (476,477</w:t>
      </w:r>
      <w:r w:rsidRPr="00AF6446">
        <w:rPr>
          <w:rFonts w:eastAsia="Times New Roman" w:cs="Arial"/>
          <w:szCs w:val="22"/>
        </w:rPr>
        <w:t>).</w:t>
      </w:r>
    </w:p>
    <w:p w14:paraId="559FDB31" w14:textId="77777777" w:rsidR="00290B68" w:rsidRPr="00AF6446" w:rsidRDefault="00290B68" w:rsidP="00AF6446">
      <w:pPr>
        <w:shd w:val="clear" w:color="auto" w:fill="FFFFFF"/>
        <w:rPr>
          <w:rFonts w:eastAsia="Times New Roman" w:cs="Arial"/>
          <w:szCs w:val="22"/>
          <w:bdr w:val="single" w:sz="6" w:space="0" w:color="C0C0C0" w:frame="1"/>
        </w:rPr>
      </w:pPr>
      <w:r w:rsidRPr="00AF6446">
        <w:rPr>
          <w:rFonts w:eastAsia="Times New Roman" w:cs="Arial"/>
          <w:szCs w:val="22"/>
        </w:rPr>
        <w:fldChar w:fldCharType="begin"/>
      </w:r>
      <w:r w:rsidRPr="00AF6446">
        <w:rPr>
          <w:rFonts w:eastAsia="Times New Roman" w:cs="Arial"/>
          <w:szCs w:val="22"/>
        </w:rPr>
        <w:instrText xml:space="preserve"> HYPERLINK "https://www.ncbi.nlm.nih.gov/core/lw/2.0/html/tileshop_pmc/tileshop_pmc_inline.html?title=Figure%2020.%20Linearized%20Vpr%2C%20Tat%2C%20E1A%2C%20p300%20and%20CtBP1%20molecules%20and%20their%20mutual%20interaction%20domains.&amp;p=BOOKS&amp;id=279171_glucocort-receptor_GR-Figure-20.jpg" \o "Click on image to zoom" \t "tileshopwindow" </w:instrText>
      </w:r>
      <w:r w:rsidRPr="00AF6446">
        <w:rPr>
          <w:rFonts w:eastAsia="Times New Roman" w:cs="Arial"/>
          <w:szCs w:val="22"/>
        </w:rPr>
        <w:fldChar w:fldCharType="separate"/>
      </w:r>
    </w:p>
    <w:p w14:paraId="52E7E51B" w14:textId="651258CF" w:rsidR="00290B68" w:rsidRPr="00AF6446" w:rsidRDefault="00290B68" w:rsidP="00AF6446">
      <w:pPr>
        <w:shd w:val="clear" w:color="auto" w:fill="FFFFFF"/>
        <w:rPr>
          <w:rFonts w:eastAsia="Times New Roman" w:cs="Arial"/>
          <w:b/>
          <w:bCs/>
          <w:szCs w:val="22"/>
        </w:rPr>
      </w:pPr>
      <w:r w:rsidRPr="00AF6446">
        <w:rPr>
          <w:rFonts w:eastAsia="Times New Roman" w:cs="Arial"/>
          <w:noProof/>
          <w:szCs w:val="22"/>
          <w:bdr w:val="single" w:sz="6" w:space="0" w:color="C0C0C0" w:frame="1"/>
          <w:lang w:val="el-GR" w:eastAsia="el-GR"/>
        </w:rPr>
        <w:lastRenderedPageBreak/>
        <w:drawing>
          <wp:inline distT="0" distB="0" distL="0" distR="0" wp14:anchorId="2E744BF1" wp14:editId="2B5DCEEE">
            <wp:extent cx="5989589" cy="3676110"/>
            <wp:effectExtent l="0" t="0" r="0" b="635"/>
            <wp:docPr id="40" name="Picture 40" descr="Figure 20. Linearized Vpr, Tat, E1A, p300 and CtBP1 molecules and their mutual interaction domains.">
              <a:hlinkClick xmlns:a="http://schemas.openxmlformats.org/drawingml/2006/main" r:id="rId71" tgtFrame="&quot;tileshopwindow&quot;" tooltip="&quot;Click on image to 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20. Linearized Vpr, Tat, E1A, p300 and CtBP1 molecules and their mutual interaction domains.">
                      <a:hlinkClick r:id="rId71" tgtFrame="&quot;tileshopwindow&quot;" tooltip="&quot;Click on image to zoom&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8808" cy="3694043"/>
                    </a:xfrm>
                    <a:prstGeom prst="rect">
                      <a:avLst/>
                    </a:prstGeom>
                    <a:noFill/>
                    <a:ln>
                      <a:noFill/>
                    </a:ln>
                  </pic:spPr>
                </pic:pic>
              </a:graphicData>
            </a:graphic>
          </wp:inline>
        </w:drawing>
      </w:r>
      <w:r w:rsidRPr="00AF6446">
        <w:rPr>
          <w:rFonts w:eastAsia="Times New Roman" w:cs="Arial"/>
          <w:szCs w:val="22"/>
        </w:rPr>
        <w:fldChar w:fldCharType="end"/>
      </w:r>
      <w:r w:rsidRPr="00AF6446">
        <w:rPr>
          <w:rFonts w:eastAsia="Times New Roman" w:cs="Arial"/>
          <w:b/>
          <w:bCs/>
          <w:szCs w:val="22"/>
        </w:rPr>
        <w:t>Figure 20</w:t>
      </w:r>
      <w:r w:rsidR="00190CCD" w:rsidRPr="00AF6446">
        <w:rPr>
          <w:rFonts w:eastAsia="Times New Roman" w:cs="Arial"/>
          <w:b/>
          <w:bCs/>
          <w:szCs w:val="22"/>
        </w:rPr>
        <w:t xml:space="preserve">. </w:t>
      </w:r>
      <w:r w:rsidRPr="00AF6446">
        <w:rPr>
          <w:rFonts w:eastAsia="Times New Roman" w:cs="Arial"/>
          <w:b/>
          <w:bCs/>
          <w:szCs w:val="22"/>
        </w:rPr>
        <w:t>Linearized Vpr, Tat, E1A, p300 and CtBP1 molecules and their mutual interaction domains.</w:t>
      </w:r>
      <w:r w:rsidR="009D1B1F">
        <w:rPr>
          <w:rFonts w:eastAsia="Times New Roman" w:cs="Arial"/>
          <w:b/>
          <w:bCs/>
          <w:szCs w:val="22"/>
        </w:rPr>
        <w:t xml:space="preserve"> </w:t>
      </w:r>
      <w:r w:rsidRPr="00AF6446">
        <w:rPr>
          <w:rFonts w:eastAsia="Times New Roman" w:cs="Arial"/>
          <w:b/>
          <w:bCs/>
          <w:szCs w:val="22"/>
        </w:rPr>
        <w:t xml:space="preserve">Vpr interacts with GR and several other NRs through its LxxLL motif located at amino acids 64 to 69. Binding sites of Vpr and p160-type HAT coactivators overlap with each other on p300. Since Vpr has a LxxLL motif similar to p160 </w:t>
      </w:r>
      <w:r w:rsidR="001752CD" w:rsidRPr="00AF6446">
        <w:rPr>
          <w:rFonts w:eastAsia="Times New Roman" w:cs="Arial"/>
          <w:b/>
          <w:bCs/>
          <w:szCs w:val="22"/>
        </w:rPr>
        <w:t>coactivators</w:t>
      </w:r>
      <w:r w:rsidRPr="00AF6446">
        <w:rPr>
          <w:rFonts w:eastAsia="Times New Roman" w:cs="Arial"/>
          <w:b/>
          <w:bCs/>
          <w:szCs w:val="22"/>
        </w:rPr>
        <w:t>, Vpr mimics host p160 coactivators and enhances GR transcriptional activity. Tat also binds both p300 and p160 coactivators. p300 facilitates attraction of many transcription factors, cofactors and general transcription complexes, and loosens the histone/DNA interaction through acetylation of the histone tails by its histone acetyltransferase (HAT) domain. E1A binds p300 at the latter’s C-terminal portion, while it physically interacts with the N-terminal portion of CtBP1 through its C-terminal end. The N-terminal portion of CtBP1 physically interacts with HDAC5 and Retinoblastoma protein (Rb), which have repressive activity on transcription. CtBP1 regulates its interaction to binding partners by sensing cellular NAD+ levels through its NAD+-binding domain. The HAT domain of p300 and the NAD+-binding domain of CtBP1 are indic</w:t>
      </w:r>
      <w:r w:rsidR="004B30F4" w:rsidRPr="00AF6446">
        <w:rPr>
          <w:rFonts w:eastAsia="Times New Roman" w:cs="Arial"/>
          <w:b/>
          <w:bCs/>
          <w:szCs w:val="22"/>
        </w:rPr>
        <w:t>ated in grey. Modified from (478</w:t>
      </w:r>
      <w:r w:rsidRPr="00AF6446">
        <w:rPr>
          <w:rFonts w:eastAsia="Times New Roman" w:cs="Arial"/>
          <w:b/>
          <w:bCs/>
          <w:szCs w:val="22"/>
        </w:rPr>
        <w:t>).</w:t>
      </w:r>
      <w:r w:rsidR="0043315C">
        <w:rPr>
          <w:rFonts w:eastAsia="Times New Roman" w:cs="Arial"/>
          <w:b/>
          <w:bCs/>
          <w:szCs w:val="22"/>
        </w:rPr>
        <w:t xml:space="preserve"> </w:t>
      </w:r>
      <w:r w:rsidRPr="00AF6446">
        <w:rPr>
          <w:rFonts w:eastAsia="Times New Roman" w:cs="Arial"/>
          <w:b/>
          <w:bCs/>
          <w:szCs w:val="22"/>
        </w:rPr>
        <w:t>CREB: CRE-binding protein, HAT: histone acetyltransferase, HDAC5: histone deacetylases 5, NF-B: nuclear factor-B, NAD: nicotinamide adenine dinucleotide, NR: nuclear hormone receptor, p/CAF: p300/CBP-associating factor, pTEFb: positive-acting transcription elongation factor b, Rb: retinoblastoma protein, SF-1: steroidogenic factor-1, STAT2: signal transducer and activator of transcription 2, TFIIB: transcription factor IIB.</w:t>
      </w:r>
    </w:p>
    <w:p w14:paraId="3C652DAB" w14:textId="77777777" w:rsidR="009B08C3" w:rsidRPr="00AF6446" w:rsidRDefault="009B08C3" w:rsidP="00AF6446">
      <w:pPr>
        <w:shd w:val="clear" w:color="auto" w:fill="FFFFFF"/>
        <w:rPr>
          <w:rFonts w:eastAsia="Times New Roman" w:cs="Arial"/>
          <w:szCs w:val="22"/>
        </w:rPr>
      </w:pPr>
    </w:p>
    <w:p w14:paraId="254D28C8" w14:textId="6A5E3461" w:rsidR="00290B68" w:rsidRPr="00AF6446" w:rsidRDefault="00290B68" w:rsidP="00AF6446">
      <w:pPr>
        <w:shd w:val="clear" w:color="auto" w:fill="FFFFFF"/>
        <w:rPr>
          <w:rFonts w:eastAsia="Times New Roman" w:cs="Arial"/>
          <w:szCs w:val="22"/>
        </w:rPr>
      </w:pPr>
      <w:r w:rsidRPr="00AF6446">
        <w:rPr>
          <w:rFonts w:eastAsia="Times New Roman" w:cs="Arial"/>
          <w:szCs w:val="22"/>
        </w:rPr>
        <w:t>Another HIV-1 accessory protein, Tat, which functions as a major transactivator of the HIV-1 lo</w:t>
      </w:r>
      <w:r w:rsidR="00BD0D0C" w:rsidRPr="00AF6446">
        <w:rPr>
          <w:rFonts w:eastAsia="Times New Roman" w:cs="Arial"/>
          <w:szCs w:val="22"/>
        </w:rPr>
        <w:t>ng terminal repeat promoter (479</w:t>
      </w:r>
      <w:r w:rsidRPr="00AF6446">
        <w:rPr>
          <w:rFonts w:eastAsia="Times New Roman" w:cs="Arial"/>
          <w:szCs w:val="22"/>
        </w:rPr>
        <w:t xml:space="preserve">) also potentiates GRa activity moderately by increasing accumulation of the positive transcription </w:t>
      </w:r>
      <w:r w:rsidR="00BD0D0C" w:rsidRPr="00AF6446">
        <w:rPr>
          <w:rFonts w:eastAsia="Times New Roman" w:cs="Arial"/>
          <w:szCs w:val="22"/>
        </w:rPr>
        <w:t>elongation factor b (pTEFb) (480-482</w:t>
      </w:r>
      <w:r w:rsidRPr="00AF6446">
        <w:rPr>
          <w:rFonts w:eastAsia="Times New Roman" w:cs="Arial"/>
          <w:szCs w:val="22"/>
        </w:rPr>
        <w:t>) (</w:t>
      </w:r>
      <w:hyperlink r:id="rId73" w:tgtFrame="object" w:history="1">
        <w:r w:rsidRPr="00F47850">
          <w:rPr>
            <w:rFonts w:eastAsia="Times New Roman" w:cs="Arial"/>
            <w:szCs w:val="22"/>
          </w:rPr>
          <w:t>Figure 20</w:t>
        </w:r>
      </w:hyperlink>
      <w:r w:rsidRPr="00AF6446">
        <w:rPr>
          <w:rFonts w:eastAsia="Times New Roman" w:cs="Arial"/>
          <w:szCs w:val="22"/>
        </w:rPr>
        <w:t xml:space="preserve">). </w:t>
      </w:r>
      <w:r w:rsidRPr="00AF6446">
        <w:rPr>
          <w:rFonts w:eastAsia="Times New Roman" w:cs="Arial"/>
          <w:szCs w:val="22"/>
        </w:rPr>
        <w:lastRenderedPageBreak/>
        <w:t>Like Vpr, Tat readily pe</w:t>
      </w:r>
      <w:r w:rsidR="00BD0D0C" w:rsidRPr="00AF6446">
        <w:rPr>
          <w:rFonts w:eastAsia="Times New Roman" w:cs="Arial"/>
          <w:szCs w:val="22"/>
        </w:rPr>
        <w:t>netrates the cell membranes (483</w:t>
      </w:r>
      <w:r w:rsidRPr="00AF6446">
        <w:rPr>
          <w:rFonts w:eastAsia="Times New Roman" w:cs="Arial"/>
          <w:szCs w:val="22"/>
        </w:rPr>
        <w:t>) and may, therefore, modulate the transcriptional activity of GRa in the cells/tissues not infected by HIV-1.</w:t>
      </w:r>
    </w:p>
    <w:p w14:paraId="5D4CAA3D" w14:textId="77777777" w:rsidR="009B08C3" w:rsidRPr="00AF6446" w:rsidRDefault="009B08C3" w:rsidP="00AF6446">
      <w:pPr>
        <w:shd w:val="clear" w:color="auto" w:fill="FFFFFF"/>
        <w:rPr>
          <w:rFonts w:eastAsia="Times New Roman" w:cs="Arial"/>
          <w:szCs w:val="22"/>
        </w:rPr>
      </w:pPr>
    </w:p>
    <w:p w14:paraId="1C2250AF" w14:textId="04CA95EE" w:rsidR="00290B68" w:rsidRPr="00AF6446" w:rsidRDefault="00290B68" w:rsidP="00AF6446">
      <w:pPr>
        <w:shd w:val="clear" w:color="auto" w:fill="FFFFFF"/>
        <w:rPr>
          <w:rFonts w:eastAsia="Times New Roman" w:cs="Arial"/>
          <w:szCs w:val="22"/>
        </w:rPr>
      </w:pPr>
      <w:r w:rsidRPr="00AF6446">
        <w:rPr>
          <w:rFonts w:eastAsia="Times New Roman" w:cs="Arial"/>
          <w:szCs w:val="22"/>
        </w:rPr>
        <w:t>Through Vpr and Tat, HIV-1 may facilitate the transcription of genes encoding its own proteins by directly stimulating viral proliferation. On the other hand, by enhancing transactivation of GRa and other NRs, these proteins may contribute to the viral proliferation possibly by suppressing the host immune system, while they participate in the development of several pathologic conditions asso</w:t>
      </w:r>
      <w:r w:rsidR="00424A4F" w:rsidRPr="00AF6446">
        <w:rPr>
          <w:rFonts w:eastAsia="Times New Roman" w:cs="Arial"/>
          <w:szCs w:val="22"/>
        </w:rPr>
        <w:t>ciated with HIV-1 infection (480,484</w:t>
      </w:r>
      <w:r w:rsidRPr="00AF6446">
        <w:rPr>
          <w:rFonts w:eastAsia="Times New Roman" w:cs="Arial"/>
          <w:szCs w:val="22"/>
        </w:rPr>
        <w:t>).</w:t>
      </w:r>
    </w:p>
    <w:p w14:paraId="6806DF6F" w14:textId="77777777" w:rsidR="009B08C3" w:rsidRPr="00AF6446" w:rsidRDefault="009B08C3" w:rsidP="00AF6446">
      <w:pPr>
        <w:shd w:val="clear" w:color="auto" w:fill="FFFFFF"/>
        <w:rPr>
          <w:rFonts w:eastAsia="Times New Roman" w:cs="Arial"/>
          <w:szCs w:val="22"/>
        </w:rPr>
      </w:pPr>
    </w:p>
    <w:p w14:paraId="6B7DFCBF" w14:textId="3146ADB1" w:rsidR="00290B68" w:rsidRPr="00810420" w:rsidRDefault="00290B68" w:rsidP="00AF6446">
      <w:pPr>
        <w:shd w:val="clear" w:color="auto" w:fill="FFFFFF"/>
        <w:outlineLvl w:val="3"/>
        <w:rPr>
          <w:rFonts w:eastAsia="Times New Roman" w:cs="Arial"/>
          <w:color w:val="FF0000"/>
          <w:szCs w:val="22"/>
        </w:rPr>
      </w:pPr>
      <w:r w:rsidRPr="00810420">
        <w:rPr>
          <w:rFonts w:eastAsia="Times New Roman" w:cs="Arial"/>
          <w:color w:val="FF0000"/>
          <w:szCs w:val="22"/>
        </w:rPr>
        <w:t>A</w:t>
      </w:r>
      <w:r w:rsidR="0043315C" w:rsidRPr="00810420">
        <w:rPr>
          <w:rFonts w:eastAsia="Times New Roman" w:cs="Arial"/>
          <w:color w:val="FF0000"/>
          <w:szCs w:val="22"/>
        </w:rPr>
        <w:t xml:space="preserve">DENOVIRUS </w:t>
      </w:r>
    </w:p>
    <w:p w14:paraId="7B102830" w14:textId="77777777" w:rsidR="009B08C3" w:rsidRPr="00AF6446" w:rsidRDefault="009B08C3" w:rsidP="00AF6446">
      <w:pPr>
        <w:shd w:val="clear" w:color="auto" w:fill="FFFFFF"/>
        <w:outlineLvl w:val="3"/>
        <w:rPr>
          <w:rFonts w:eastAsia="Times New Roman" w:cs="Arial"/>
          <w:b/>
          <w:bCs/>
          <w:szCs w:val="22"/>
        </w:rPr>
      </w:pPr>
    </w:p>
    <w:p w14:paraId="5B562DE9" w14:textId="41169B3E" w:rsidR="00290B68" w:rsidRPr="00AF6446" w:rsidRDefault="00290B68" w:rsidP="00AF6446">
      <w:pPr>
        <w:shd w:val="clear" w:color="auto" w:fill="FFFFFF"/>
        <w:rPr>
          <w:rFonts w:eastAsia="Times New Roman" w:cs="Arial"/>
          <w:szCs w:val="22"/>
        </w:rPr>
      </w:pPr>
      <w:r w:rsidRPr="00AF6446">
        <w:rPr>
          <w:rFonts w:eastAsia="Times New Roman" w:cs="Arial"/>
          <w:szCs w:val="22"/>
        </w:rPr>
        <w:t>Adenoviruses cause illness of the respiratory system, such as common cold syndrome, pneumonia, croup and bronchitis, as well as illnesses of other organs, such as gastroenteritis, conjunctivitis and cystitis. They encode the E1A protein, which is expressed just after the infection and is necessary for the transcriptional regulation of t</w:t>
      </w:r>
      <w:r w:rsidR="00D53EAD" w:rsidRPr="00AF6446">
        <w:rPr>
          <w:rFonts w:eastAsia="Times New Roman" w:cs="Arial"/>
          <w:szCs w:val="22"/>
        </w:rPr>
        <w:t>he adenovirus-encoded genes (485</w:t>
      </w:r>
      <w:r w:rsidRPr="00AF6446">
        <w:rPr>
          <w:rFonts w:eastAsia="Times New Roman" w:cs="Arial"/>
          <w:szCs w:val="22"/>
        </w:rPr>
        <w:t>). In addition to the viral genes, E1A regulates the transcriptional activity of a variety of host genes through interaction with the host transcriptional integrator p300 and its</w:t>
      </w:r>
      <w:r w:rsidR="00D53EAD" w:rsidRPr="00AF6446">
        <w:rPr>
          <w:rFonts w:eastAsia="Times New Roman" w:cs="Arial"/>
          <w:szCs w:val="22"/>
        </w:rPr>
        <w:t xml:space="preserve"> homologous molecule CBP (77,486</w:t>
      </w:r>
      <w:r w:rsidRPr="00AF6446">
        <w:rPr>
          <w:rFonts w:eastAsia="Times New Roman" w:cs="Arial"/>
          <w:szCs w:val="22"/>
        </w:rPr>
        <w:t>) (</w:t>
      </w:r>
      <w:hyperlink r:id="rId74" w:tgtFrame="object" w:history="1">
        <w:r w:rsidRPr="009D1B1F">
          <w:rPr>
            <w:rFonts w:eastAsia="Times New Roman" w:cs="Arial"/>
            <w:szCs w:val="22"/>
          </w:rPr>
          <w:t>Figure 20</w:t>
        </w:r>
      </w:hyperlink>
      <w:r w:rsidRPr="00AF6446">
        <w:rPr>
          <w:rFonts w:eastAsia="Times New Roman" w:cs="Arial"/>
          <w:szCs w:val="22"/>
        </w:rPr>
        <w:t>). In an </w:t>
      </w:r>
      <w:r w:rsidRPr="00AF6446">
        <w:rPr>
          <w:rFonts w:eastAsia="Times New Roman" w:cs="Arial"/>
          <w:i/>
          <w:iCs/>
          <w:szCs w:val="22"/>
        </w:rPr>
        <w:t>in vitro</w:t>
      </w:r>
      <w:r w:rsidRPr="00AF6446">
        <w:rPr>
          <w:rFonts w:eastAsia="Times New Roman" w:cs="Arial"/>
          <w:szCs w:val="22"/>
        </w:rPr>
        <w:t> system, E1A, in contrast to Vpr, blocks the actions of glucocorticoids on the transcriptional activity of genes, producing re</w:t>
      </w:r>
      <w:r w:rsidR="00D53EAD" w:rsidRPr="00AF6446">
        <w:rPr>
          <w:rFonts w:eastAsia="Times New Roman" w:cs="Arial"/>
          <w:szCs w:val="22"/>
        </w:rPr>
        <w:t>sistance to glucocorticoids (470</w:t>
      </w:r>
      <w:r w:rsidRPr="00AF6446">
        <w:rPr>
          <w:rFonts w:eastAsia="Times New Roman" w:cs="Arial"/>
          <w:szCs w:val="22"/>
        </w:rPr>
        <w:t>).</w:t>
      </w:r>
    </w:p>
    <w:p w14:paraId="542F8ED0" w14:textId="77777777" w:rsidR="009B08C3" w:rsidRPr="00AF6446" w:rsidRDefault="009B08C3" w:rsidP="00AF6446">
      <w:pPr>
        <w:shd w:val="clear" w:color="auto" w:fill="FFFFFF"/>
        <w:rPr>
          <w:rFonts w:eastAsia="Times New Roman" w:cs="Arial"/>
          <w:szCs w:val="22"/>
        </w:rPr>
      </w:pPr>
    </w:p>
    <w:p w14:paraId="142C2DAC" w14:textId="13340BED"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E1A also interacts with the C-terminal tail-binding protein 1 (CtBP1), which functions as a transcriptional repressor for numerous transcription factors, by communicating with the class II HDACs and other inhibitory molecules like the </w:t>
      </w:r>
      <w:r w:rsidR="00B30F57" w:rsidRPr="00AF6446">
        <w:rPr>
          <w:rFonts w:eastAsia="Times New Roman" w:cs="Arial"/>
          <w:szCs w:val="22"/>
        </w:rPr>
        <w:t>retinoblastoma protein (Rb) (487</w:t>
      </w:r>
      <w:r w:rsidRPr="00AF6446">
        <w:rPr>
          <w:rFonts w:eastAsia="Times New Roman" w:cs="Arial"/>
          <w:szCs w:val="22"/>
        </w:rPr>
        <w:t>) (</w:t>
      </w:r>
      <w:hyperlink r:id="rId75" w:tgtFrame="object" w:history="1">
        <w:r w:rsidRPr="00F47850">
          <w:rPr>
            <w:rFonts w:eastAsia="Times New Roman" w:cs="Arial"/>
            <w:szCs w:val="22"/>
          </w:rPr>
          <w:t>Figure 20</w:t>
        </w:r>
      </w:hyperlink>
      <w:r w:rsidRPr="00AF6446">
        <w:rPr>
          <w:rFonts w:eastAsia="Times New Roman" w:cs="Arial"/>
          <w:szCs w:val="22"/>
        </w:rPr>
        <w:t>). E1A suppresses functions of p300/CBP and CtBP1 by binding to their funct</w:t>
      </w:r>
      <w:r w:rsidR="00B30F57" w:rsidRPr="00AF6446">
        <w:rPr>
          <w:rFonts w:eastAsia="Times New Roman" w:cs="Arial"/>
          <w:szCs w:val="22"/>
        </w:rPr>
        <w:t>ionally critical domains (77,487</w:t>
      </w:r>
      <w:r w:rsidRPr="00AF6446">
        <w:rPr>
          <w:rFonts w:eastAsia="Times New Roman" w:cs="Arial"/>
          <w:szCs w:val="22"/>
        </w:rPr>
        <w:t>). Although there is no supportive clinical evidence, it is highly possible that adenovirus changes the peripheral action of glucocorticoids as well as of other bioactive molecules that activate NRs and directly regulates the transcriptional activity of their target genes, ultimately contributing to the pathologic states observed in adenoviral infection.</w:t>
      </w:r>
    </w:p>
    <w:p w14:paraId="2A692B91" w14:textId="77777777" w:rsidR="009B08C3" w:rsidRPr="00AF6446" w:rsidRDefault="009B08C3" w:rsidP="00AF6446">
      <w:pPr>
        <w:shd w:val="clear" w:color="auto" w:fill="FFFFFF"/>
        <w:rPr>
          <w:rFonts w:eastAsia="Times New Roman" w:cs="Arial"/>
          <w:szCs w:val="22"/>
        </w:rPr>
      </w:pPr>
    </w:p>
    <w:p w14:paraId="7DE0D3C8" w14:textId="09815AD2" w:rsidR="00290B68" w:rsidRPr="000726C6" w:rsidRDefault="00290B68" w:rsidP="00AF6446">
      <w:pPr>
        <w:shd w:val="clear" w:color="auto" w:fill="FFFFFF"/>
        <w:outlineLvl w:val="3"/>
        <w:rPr>
          <w:rFonts w:eastAsia="Times New Roman" w:cs="Arial"/>
          <w:color w:val="FF0000"/>
          <w:szCs w:val="22"/>
        </w:rPr>
      </w:pPr>
      <w:r w:rsidRPr="000726C6">
        <w:rPr>
          <w:rFonts w:eastAsia="Times New Roman" w:cs="Arial"/>
          <w:color w:val="FF0000"/>
          <w:szCs w:val="22"/>
        </w:rPr>
        <w:t>O</w:t>
      </w:r>
      <w:r w:rsidR="0043315C" w:rsidRPr="000726C6">
        <w:rPr>
          <w:rFonts w:eastAsia="Times New Roman" w:cs="Arial"/>
          <w:color w:val="FF0000"/>
          <w:szCs w:val="22"/>
        </w:rPr>
        <w:t xml:space="preserve">THER VIRUSES </w:t>
      </w:r>
    </w:p>
    <w:p w14:paraId="1A8AB3B6" w14:textId="77777777" w:rsidR="009B08C3" w:rsidRPr="00AF6446" w:rsidRDefault="009B08C3" w:rsidP="00AF6446">
      <w:pPr>
        <w:shd w:val="clear" w:color="auto" w:fill="FFFFFF"/>
        <w:outlineLvl w:val="3"/>
        <w:rPr>
          <w:rFonts w:eastAsia="Times New Roman" w:cs="Arial"/>
          <w:b/>
          <w:bCs/>
          <w:szCs w:val="22"/>
        </w:rPr>
      </w:pPr>
    </w:p>
    <w:p w14:paraId="3529979E" w14:textId="3045D0D5" w:rsidR="00290B68" w:rsidRPr="00AF6446" w:rsidRDefault="00290B68" w:rsidP="00AF6446">
      <w:pPr>
        <w:shd w:val="clear" w:color="auto" w:fill="FFFFFF"/>
        <w:rPr>
          <w:rFonts w:eastAsia="Times New Roman" w:cs="Arial"/>
          <w:szCs w:val="22"/>
        </w:rPr>
      </w:pPr>
      <w:r w:rsidRPr="00AF6446">
        <w:rPr>
          <w:rFonts w:eastAsia="Times New Roman" w:cs="Arial"/>
          <w:szCs w:val="22"/>
        </w:rPr>
        <w:t xml:space="preserve">We examined </w:t>
      </w:r>
      <w:r w:rsidR="00604A19" w:rsidRPr="00AF6446">
        <w:rPr>
          <w:rFonts w:eastAsia="Times New Roman" w:cs="Arial"/>
          <w:szCs w:val="22"/>
        </w:rPr>
        <w:t xml:space="preserve">the </w:t>
      </w:r>
      <w:r w:rsidRPr="00AF6446">
        <w:rPr>
          <w:rFonts w:eastAsia="Times New Roman" w:cs="Arial"/>
          <w:szCs w:val="22"/>
        </w:rPr>
        <w:t>impact of viral infection (murine cytomegalovirus: mCMV) on glucocorticoid-mediated modulation of gene ex</w:t>
      </w:r>
      <w:r w:rsidR="00604A19" w:rsidRPr="00AF6446">
        <w:rPr>
          <w:rFonts w:eastAsia="Times New Roman" w:cs="Arial"/>
          <w:szCs w:val="22"/>
        </w:rPr>
        <w:t>pression in dendritic cells (488</w:t>
      </w:r>
      <w:r w:rsidRPr="00AF6446">
        <w:rPr>
          <w:rFonts w:eastAsia="Times New Roman" w:cs="Arial"/>
          <w:szCs w:val="22"/>
        </w:rPr>
        <w:t>). Among 96 genes examined, the viral infection significantly enhanced dexamethasone-induced IL-10 expression. Activation of the toll-like receptors (TLRs) by the virus stimulates the extracellular signal-regulated kinase (ERK) 1/2, which in turn increases phosphorylation of the human GRa at serine 203, resulting in the enhancement of GRa transcriptional activity on the </w:t>
      </w:r>
      <w:r w:rsidRPr="00AF6446">
        <w:rPr>
          <w:rFonts w:eastAsia="Times New Roman" w:cs="Arial"/>
          <w:i/>
          <w:iCs/>
          <w:szCs w:val="22"/>
        </w:rPr>
        <w:t>IL-10</w:t>
      </w:r>
      <w:r w:rsidRPr="00AF6446">
        <w:rPr>
          <w:rFonts w:eastAsia="Times New Roman" w:cs="Arial"/>
          <w:szCs w:val="22"/>
        </w:rPr>
        <w:t xml:space="preserve"> gene promoter. Since IL-10 is a potent anti-inflammatory cytokine, it appears that the virus stimulates its own infection/propagation by enhancing GRa activity on this cytokine. Respiratory syncytial virus (RSV), which is one of the major causes of lower respiratory tract infection and hospital visits during infancy and childhood, is reported to repress the anti-inflammatory action of </w:t>
      </w:r>
      <w:r w:rsidR="00604A19" w:rsidRPr="00AF6446">
        <w:rPr>
          <w:rFonts w:eastAsia="Times New Roman" w:cs="Arial"/>
          <w:szCs w:val="22"/>
        </w:rPr>
        <w:t>glucocorticoids through GRa (489</w:t>
      </w:r>
      <w:r w:rsidR="00917D9A" w:rsidRPr="00AF6446">
        <w:rPr>
          <w:rFonts w:eastAsia="Times New Roman" w:cs="Arial"/>
          <w:szCs w:val="22"/>
        </w:rPr>
        <w:t>-491</w:t>
      </w:r>
      <w:r w:rsidRPr="00AF6446">
        <w:rPr>
          <w:rFonts w:eastAsia="Times New Roman" w:cs="Arial"/>
          <w:szCs w:val="22"/>
        </w:rPr>
        <w:t>).</w:t>
      </w:r>
    </w:p>
    <w:p w14:paraId="60C0FF45" w14:textId="77777777" w:rsidR="009D1B1F" w:rsidRDefault="009D1B1F" w:rsidP="009D1B1F">
      <w:pPr>
        <w:shd w:val="clear" w:color="auto" w:fill="FFFFFF"/>
        <w:outlineLvl w:val="1"/>
        <w:rPr>
          <w:rFonts w:eastAsia="Times New Roman" w:cs="Arial"/>
          <w:b/>
          <w:bCs/>
          <w:szCs w:val="22"/>
        </w:rPr>
      </w:pPr>
    </w:p>
    <w:p w14:paraId="62952AB5" w14:textId="78AB5AA2" w:rsidR="009B08C3" w:rsidRPr="000726C6" w:rsidRDefault="00290B68" w:rsidP="009D1B1F">
      <w:pPr>
        <w:shd w:val="clear" w:color="auto" w:fill="FFFFFF"/>
        <w:outlineLvl w:val="1"/>
        <w:rPr>
          <w:rFonts w:eastAsia="Times New Roman" w:cs="Arial"/>
          <w:b/>
          <w:bCs/>
          <w:color w:val="0070C0"/>
          <w:szCs w:val="22"/>
        </w:rPr>
      </w:pPr>
      <w:r w:rsidRPr="000726C6">
        <w:rPr>
          <w:rFonts w:eastAsia="Times New Roman" w:cs="Arial"/>
          <w:b/>
          <w:bCs/>
          <w:color w:val="0070C0"/>
          <w:szCs w:val="22"/>
        </w:rPr>
        <w:lastRenderedPageBreak/>
        <w:t>ACKNOWLEDGEMENTS</w:t>
      </w:r>
    </w:p>
    <w:p w14:paraId="0113B40A" w14:textId="77777777" w:rsidR="009B08C3" w:rsidRPr="00AF6446" w:rsidRDefault="009B08C3" w:rsidP="009D1B1F">
      <w:pPr>
        <w:shd w:val="clear" w:color="auto" w:fill="FFFFFF"/>
        <w:outlineLvl w:val="1"/>
        <w:rPr>
          <w:rFonts w:eastAsia="Times New Roman" w:cs="Arial"/>
          <w:b/>
          <w:bCs/>
          <w:szCs w:val="22"/>
        </w:rPr>
      </w:pPr>
    </w:p>
    <w:p w14:paraId="7A511AFE" w14:textId="4953D320" w:rsidR="00D6425A" w:rsidRPr="00AF6446" w:rsidRDefault="00290B68" w:rsidP="009D1B1F">
      <w:pPr>
        <w:shd w:val="clear" w:color="auto" w:fill="FFFFFF"/>
        <w:outlineLvl w:val="1"/>
        <w:rPr>
          <w:rFonts w:eastAsia="Times New Roman" w:cs="Arial"/>
          <w:szCs w:val="22"/>
        </w:rPr>
      </w:pPr>
      <w:r w:rsidRPr="00AF6446">
        <w:rPr>
          <w:rFonts w:eastAsia="Times New Roman" w:cs="Arial"/>
          <w:szCs w:val="22"/>
        </w:rPr>
        <w:t>This literary work was supported by the intramural fund of the Sidra Medical and Research Center to T. Kino.</w:t>
      </w:r>
    </w:p>
    <w:p w14:paraId="2FD7529C" w14:textId="21A562A1" w:rsidR="009B08C3" w:rsidRPr="00AF6446" w:rsidRDefault="009B08C3" w:rsidP="009D1B1F">
      <w:pPr>
        <w:shd w:val="clear" w:color="auto" w:fill="FFFFFF"/>
        <w:outlineLvl w:val="1"/>
        <w:rPr>
          <w:rFonts w:eastAsia="Times New Roman" w:cs="Arial"/>
          <w:szCs w:val="22"/>
        </w:rPr>
      </w:pPr>
    </w:p>
    <w:p w14:paraId="744ED744" w14:textId="5433A872" w:rsidR="009B08C3" w:rsidRPr="000726C6" w:rsidRDefault="009B08C3" w:rsidP="009D1B1F">
      <w:pPr>
        <w:shd w:val="clear" w:color="auto" w:fill="FFFFFF"/>
        <w:ind w:left="576" w:hanging="576"/>
        <w:outlineLvl w:val="1"/>
        <w:rPr>
          <w:rFonts w:eastAsia="Times New Roman" w:cs="Arial"/>
          <w:b/>
          <w:bCs/>
          <w:color w:val="0070C0"/>
          <w:szCs w:val="22"/>
        </w:rPr>
      </w:pPr>
      <w:r w:rsidRPr="000726C6">
        <w:rPr>
          <w:rFonts w:eastAsia="Times New Roman" w:cs="Arial"/>
          <w:b/>
          <w:bCs/>
          <w:color w:val="0070C0"/>
          <w:szCs w:val="22"/>
        </w:rPr>
        <w:t>REFERENCES</w:t>
      </w:r>
    </w:p>
    <w:p w14:paraId="5CD20F74" w14:textId="01A7C084" w:rsidR="00E126EF" w:rsidRDefault="00E126EF" w:rsidP="009D1B1F">
      <w:pPr>
        <w:shd w:val="clear" w:color="auto" w:fill="FFFFFF"/>
        <w:ind w:left="576" w:hanging="576"/>
        <w:outlineLvl w:val="1"/>
        <w:rPr>
          <w:rFonts w:eastAsia="Times New Roman" w:cs="Arial"/>
          <w:b/>
          <w:bCs/>
          <w:szCs w:val="22"/>
        </w:rPr>
      </w:pPr>
    </w:p>
    <w:p w14:paraId="3BA7A69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w:t>
      </w:r>
      <w:r w:rsidRPr="00E126EF">
        <w:rPr>
          <w:rFonts w:eastAsiaTheme="minorHAnsi" w:cstheme="minorBidi"/>
          <w:szCs w:val="22"/>
        </w:rPr>
        <w:tab/>
        <w:t xml:space="preserve">Chrousos GP. The hypothalamic-pituitary-adrenal axis and immune-mediated inflammation. N </w:t>
      </w:r>
      <w:proofErr w:type="spellStart"/>
      <w:r w:rsidRPr="00E126EF">
        <w:rPr>
          <w:rFonts w:eastAsiaTheme="minorHAnsi" w:cstheme="minorBidi"/>
          <w:szCs w:val="22"/>
        </w:rPr>
        <w:t>Engl</w:t>
      </w:r>
      <w:proofErr w:type="spellEnd"/>
      <w:r w:rsidRPr="00E126EF">
        <w:rPr>
          <w:rFonts w:eastAsiaTheme="minorHAnsi" w:cstheme="minorBidi"/>
          <w:szCs w:val="22"/>
        </w:rPr>
        <w:t xml:space="preserve"> J Med 1995; 332:1351-1362</w:t>
      </w:r>
    </w:p>
    <w:p w14:paraId="29AF4C3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w:t>
      </w:r>
      <w:r w:rsidRPr="00E126EF">
        <w:rPr>
          <w:rFonts w:eastAsiaTheme="minorHAnsi" w:cstheme="minorBidi"/>
          <w:szCs w:val="22"/>
        </w:rPr>
        <w:tab/>
      </w:r>
      <w:proofErr w:type="spellStart"/>
      <w:r w:rsidRPr="00E126EF">
        <w:rPr>
          <w:rFonts w:eastAsiaTheme="minorHAnsi" w:cstheme="minorBidi"/>
          <w:szCs w:val="22"/>
        </w:rPr>
        <w:t>Munck</w:t>
      </w:r>
      <w:proofErr w:type="spellEnd"/>
      <w:r w:rsidRPr="00E126EF">
        <w:rPr>
          <w:rFonts w:eastAsiaTheme="minorHAnsi" w:cstheme="minorBidi"/>
          <w:szCs w:val="22"/>
        </w:rPr>
        <w:t xml:space="preserve"> A, </w:t>
      </w:r>
      <w:proofErr w:type="spellStart"/>
      <w:r w:rsidRPr="00E126EF">
        <w:rPr>
          <w:rFonts w:eastAsiaTheme="minorHAnsi" w:cstheme="minorBidi"/>
          <w:szCs w:val="22"/>
        </w:rPr>
        <w:t>Guyre</w:t>
      </w:r>
      <w:proofErr w:type="spellEnd"/>
      <w:r w:rsidRPr="00E126EF">
        <w:rPr>
          <w:rFonts w:eastAsiaTheme="minorHAnsi" w:cstheme="minorBidi"/>
          <w:szCs w:val="22"/>
        </w:rPr>
        <w:t xml:space="preserve"> PM, Holbrook NJ. Physiological functions of glucocorticoids in stress and their relation to pharmacological actions.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1984; 5:25-44</w:t>
      </w:r>
    </w:p>
    <w:p w14:paraId="450AE35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w:t>
      </w:r>
      <w:r w:rsidRPr="00E126EF">
        <w:rPr>
          <w:rFonts w:eastAsiaTheme="minorHAnsi" w:cstheme="minorBidi"/>
          <w:szCs w:val="22"/>
        </w:rPr>
        <w:tab/>
        <w:t xml:space="preserve">Glucocorticoids, Overview. Nicolaides NC, Charmandari E, Chrousos GP. In Encyclopedia of Endocrine Diseases (2nd Edition), edited by Ilpo </w:t>
      </w:r>
      <w:proofErr w:type="spellStart"/>
      <w:r w:rsidRPr="00E126EF">
        <w:rPr>
          <w:rFonts w:eastAsiaTheme="minorHAnsi" w:cstheme="minorBidi"/>
          <w:szCs w:val="22"/>
        </w:rPr>
        <w:t>Huhtaniemi</w:t>
      </w:r>
      <w:proofErr w:type="spellEnd"/>
      <w:r w:rsidRPr="00E126EF">
        <w:rPr>
          <w:rFonts w:eastAsiaTheme="minorHAnsi" w:cstheme="minorBidi"/>
          <w:szCs w:val="22"/>
        </w:rPr>
        <w:t xml:space="preserve"> and Luciano Martini, New York 2018, pp. 64-71. </w:t>
      </w:r>
    </w:p>
    <w:p w14:paraId="4DC178B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w:t>
      </w:r>
      <w:r w:rsidRPr="00E126EF">
        <w:rPr>
          <w:rFonts w:eastAsiaTheme="minorHAnsi" w:cstheme="minorBidi"/>
          <w:szCs w:val="22"/>
        </w:rPr>
        <w:tab/>
      </w:r>
      <w:proofErr w:type="spellStart"/>
      <w:r w:rsidRPr="00E126EF">
        <w:rPr>
          <w:rFonts w:eastAsiaTheme="minorHAnsi" w:cstheme="minorBidi"/>
          <w:szCs w:val="22"/>
        </w:rPr>
        <w:t>Boumpas</w:t>
      </w:r>
      <w:proofErr w:type="spellEnd"/>
      <w:r w:rsidRPr="00E126EF">
        <w:rPr>
          <w:rFonts w:eastAsiaTheme="minorHAnsi" w:cstheme="minorBidi"/>
          <w:szCs w:val="22"/>
        </w:rPr>
        <w:t xml:space="preserve"> DT, Chrousos GP, Wilder RL, </w:t>
      </w:r>
      <w:proofErr w:type="spellStart"/>
      <w:r w:rsidRPr="00E126EF">
        <w:rPr>
          <w:rFonts w:eastAsiaTheme="minorHAnsi" w:cstheme="minorBidi"/>
          <w:szCs w:val="22"/>
        </w:rPr>
        <w:t>Cupps</w:t>
      </w:r>
      <w:proofErr w:type="spellEnd"/>
      <w:r w:rsidRPr="00E126EF">
        <w:rPr>
          <w:rFonts w:eastAsiaTheme="minorHAnsi" w:cstheme="minorBidi"/>
          <w:szCs w:val="22"/>
        </w:rPr>
        <w:t xml:space="preserve"> TR, </w:t>
      </w:r>
      <w:proofErr w:type="spellStart"/>
      <w:r w:rsidRPr="00E126EF">
        <w:rPr>
          <w:rFonts w:eastAsiaTheme="minorHAnsi" w:cstheme="minorBidi"/>
          <w:szCs w:val="22"/>
        </w:rPr>
        <w:t>Balow</w:t>
      </w:r>
      <w:proofErr w:type="spellEnd"/>
      <w:r w:rsidRPr="00E126EF">
        <w:rPr>
          <w:rFonts w:eastAsiaTheme="minorHAnsi" w:cstheme="minorBidi"/>
          <w:szCs w:val="22"/>
        </w:rPr>
        <w:t xml:space="preserve"> JE. Glucocorticoid therapy for immune-mediated diseases: basic and clinical correlates. Ann Intern Med 1993; 119:1198-1208</w:t>
      </w:r>
    </w:p>
    <w:p w14:paraId="12420AE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w:t>
      </w:r>
      <w:r w:rsidRPr="00E126EF">
        <w:rPr>
          <w:rFonts w:eastAsiaTheme="minorHAnsi" w:cstheme="minorBidi"/>
          <w:szCs w:val="22"/>
        </w:rPr>
        <w:tab/>
        <w:t xml:space="preserve">Mangelsdorf DJ, </w:t>
      </w:r>
      <w:proofErr w:type="spellStart"/>
      <w:r w:rsidRPr="00E126EF">
        <w:rPr>
          <w:rFonts w:eastAsiaTheme="minorHAnsi" w:cstheme="minorBidi"/>
          <w:szCs w:val="22"/>
        </w:rPr>
        <w:t>Thummel</w:t>
      </w:r>
      <w:proofErr w:type="spellEnd"/>
      <w:r w:rsidRPr="00E126EF">
        <w:rPr>
          <w:rFonts w:eastAsiaTheme="minorHAnsi" w:cstheme="minorBidi"/>
          <w:szCs w:val="22"/>
        </w:rPr>
        <w:t xml:space="preserve"> C, </w:t>
      </w:r>
      <w:proofErr w:type="spellStart"/>
      <w:r w:rsidRPr="00E126EF">
        <w:rPr>
          <w:rFonts w:eastAsiaTheme="minorHAnsi" w:cstheme="minorBidi"/>
          <w:szCs w:val="22"/>
        </w:rPr>
        <w:t>Beato</w:t>
      </w:r>
      <w:proofErr w:type="spellEnd"/>
      <w:r w:rsidRPr="00E126EF">
        <w:rPr>
          <w:rFonts w:eastAsiaTheme="minorHAnsi" w:cstheme="minorBidi"/>
          <w:szCs w:val="22"/>
        </w:rPr>
        <w:t xml:space="preserve"> M, </w:t>
      </w:r>
      <w:proofErr w:type="spellStart"/>
      <w:r w:rsidRPr="00E126EF">
        <w:rPr>
          <w:rFonts w:eastAsiaTheme="minorHAnsi" w:cstheme="minorBidi"/>
          <w:szCs w:val="22"/>
        </w:rPr>
        <w:t>Herrlich</w:t>
      </w:r>
      <w:proofErr w:type="spellEnd"/>
      <w:r w:rsidRPr="00E126EF">
        <w:rPr>
          <w:rFonts w:eastAsiaTheme="minorHAnsi" w:cstheme="minorBidi"/>
          <w:szCs w:val="22"/>
        </w:rPr>
        <w:t xml:space="preserve"> P, Schutz G, </w:t>
      </w:r>
      <w:proofErr w:type="spellStart"/>
      <w:r w:rsidRPr="00E126EF">
        <w:rPr>
          <w:rFonts w:eastAsiaTheme="minorHAnsi" w:cstheme="minorBidi"/>
          <w:szCs w:val="22"/>
        </w:rPr>
        <w:t>Umesono</w:t>
      </w:r>
      <w:proofErr w:type="spellEnd"/>
      <w:r w:rsidRPr="00E126EF">
        <w:rPr>
          <w:rFonts w:eastAsiaTheme="minorHAnsi" w:cstheme="minorBidi"/>
          <w:szCs w:val="22"/>
        </w:rPr>
        <w:t xml:space="preserve"> K, Blumberg B, Kastner P, Mark M, </w:t>
      </w:r>
      <w:proofErr w:type="spellStart"/>
      <w:r w:rsidRPr="00E126EF">
        <w:rPr>
          <w:rFonts w:eastAsiaTheme="minorHAnsi" w:cstheme="minorBidi"/>
          <w:szCs w:val="22"/>
        </w:rPr>
        <w:t>Chambon</w:t>
      </w:r>
      <w:proofErr w:type="spellEnd"/>
      <w:r w:rsidRPr="00E126EF">
        <w:rPr>
          <w:rFonts w:eastAsiaTheme="minorHAnsi" w:cstheme="minorBidi"/>
          <w:szCs w:val="22"/>
        </w:rPr>
        <w:t xml:space="preserve"> P, Evans RM. The nuclear receptor superfamily: the second decade. Cell 1995; 83:835-839</w:t>
      </w:r>
    </w:p>
    <w:p w14:paraId="0AAA3A9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w:t>
      </w:r>
      <w:r w:rsidRPr="00E126EF">
        <w:rPr>
          <w:rFonts w:eastAsiaTheme="minorHAnsi" w:cstheme="minorBidi"/>
          <w:szCs w:val="22"/>
        </w:rPr>
        <w:tab/>
      </w:r>
      <w:proofErr w:type="spellStart"/>
      <w:r w:rsidRPr="00E126EF">
        <w:rPr>
          <w:rFonts w:eastAsiaTheme="minorHAnsi" w:cstheme="minorBidi"/>
          <w:szCs w:val="22"/>
        </w:rPr>
        <w:t>Androutsellis-Theotokis</w:t>
      </w:r>
      <w:proofErr w:type="spellEnd"/>
      <w:r w:rsidRPr="00E126EF">
        <w:rPr>
          <w:rFonts w:eastAsiaTheme="minorHAnsi" w:cstheme="minorBidi"/>
          <w:szCs w:val="22"/>
        </w:rPr>
        <w:t xml:space="preserve"> A, Chrousos GP, McKay RD, </w:t>
      </w:r>
      <w:proofErr w:type="spellStart"/>
      <w:r w:rsidRPr="00E126EF">
        <w:rPr>
          <w:rFonts w:eastAsiaTheme="minorHAnsi" w:cstheme="minorBidi"/>
          <w:szCs w:val="22"/>
        </w:rPr>
        <w:t>DeCherney</w:t>
      </w:r>
      <w:proofErr w:type="spellEnd"/>
      <w:r w:rsidRPr="00E126EF">
        <w:rPr>
          <w:rFonts w:eastAsiaTheme="minorHAnsi" w:cstheme="minorBidi"/>
          <w:szCs w:val="22"/>
        </w:rPr>
        <w:t xml:space="preserve"> AH, Kino T. Expression profiles of the nuclear receptors and their transcriptional coregulators during differentiation of neural stem cells. </w:t>
      </w:r>
      <w:proofErr w:type="spellStart"/>
      <w:r w:rsidRPr="00E126EF">
        <w:rPr>
          <w:rFonts w:eastAsiaTheme="minorHAnsi" w:cstheme="minorBidi"/>
          <w:szCs w:val="22"/>
        </w:rPr>
        <w:t>Horm</w:t>
      </w:r>
      <w:proofErr w:type="spellEnd"/>
      <w:r w:rsidRPr="00E126EF">
        <w:rPr>
          <w:rFonts w:eastAsiaTheme="minorHAnsi" w:cstheme="minorBidi"/>
          <w:szCs w:val="22"/>
        </w:rPr>
        <w:t xml:space="preserve"> </w:t>
      </w:r>
      <w:proofErr w:type="spellStart"/>
      <w:r w:rsidRPr="00E126EF">
        <w:rPr>
          <w:rFonts w:eastAsiaTheme="minorHAnsi" w:cstheme="minorBidi"/>
          <w:szCs w:val="22"/>
        </w:rPr>
        <w:t>Metab</w:t>
      </w:r>
      <w:proofErr w:type="spellEnd"/>
      <w:r w:rsidRPr="00E126EF">
        <w:rPr>
          <w:rFonts w:eastAsiaTheme="minorHAnsi" w:cstheme="minorBidi"/>
          <w:szCs w:val="22"/>
        </w:rPr>
        <w:t xml:space="preserve"> Res 2013; 45:159-168</w:t>
      </w:r>
    </w:p>
    <w:p w14:paraId="3F97269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w:t>
      </w:r>
      <w:r w:rsidRPr="00E126EF">
        <w:rPr>
          <w:rFonts w:eastAsiaTheme="minorHAnsi" w:cstheme="minorBidi"/>
          <w:szCs w:val="22"/>
        </w:rPr>
        <w:tab/>
      </w:r>
      <w:proofErr w:type="spellStart"/>
      <w:r w:rsidRPr="00E126EF">
        <w:rPr>
          <w:rFonts w:eastAsiaTheme="minorHAnsi" w:cstheme="minorBidi"/>
          <w:szCs w:val="22"/>
        </w:rPr>
        <w:t>Galon</w:t>
      </w:r>
      <w:proofErr w:type="spellEnd"/>
      <w:r w:rsidRPr="00E126EF">
        <w:rPr>
          <w:rFonts w:eastAsiaTheme="minorHAnsi" w:cstheme="minorBidi"/>
          <w:szCs w:val="22"/>
        </w:rPr>
        <w:t xml:space="preserve"> J, </w:t>
      </w:r>
      <w:proofErr w:type="spellStart"/>
      <w:r w:rsidRPr="00E126EF">
        <w:rPr>
          <w:rFonts w:eastAsiaTheme="minorHAnsi" w:cstheme="minorBidi"/>
          <w:szCs w:val="22"/>
        </w:rPr>
        <w:t>Franchimont</w:t>
      </w:r>
      <w:proofErr w:type="spellEnd"/>
      <w:r w:rsidRPr="00E126EF">
        <w:rPr>
          <w:rFonts w:eastAsiaTheme="minorHAnsi" w:cstheme="minorBidi"/>
          <w:szCs w:val="22"/>
        </w:rPr>
        <w:t xml:space="preserve"> D, </w:t>
      </w:r>
      <w:proofErr w:type="spellStart"/>
      <w:r w:rsidRPr="00E126EF">
        <w:rPr>
          <w:rFonts w:eastAsiaTheme="minorHAnsi" w:cstheme="minorBidi"/>
          <w:szCs w:val="22"/>
        </w:rPr>
        <w:t>Hiroi</w:t>
      </w:r>
      <w:proofErr w:type="spellEnd"/>
      <w:r w:rsidRPr="00E126EF">
        <w:rPr>
          <w:rFonts w:eastAsiaTheme="minorHAnsi" w:cstheme="minorBidi"/>
          <w:szCs w:val="22"/>
        </w:rPr>
        <w:t xml:space="preserve"> N, Frey G, </w:t>
      </w:r>
      <w:proofErr w:type="spellStart"/>
      <w:r w:rsidRPr="00E126EF">
        <w:rPr>
          <w:rFonts w:eastAsiaTheme="minorHAnsi" w:cstheme="minorBidi"/>
          <w:szCs w:val="22"/>
        </w:rPr>
        <w:t>Boettner</w:t>
      </w:r>
      <w:proofErr w:type="spellEnd"/>
      <w:r w:rsidRPr="00E126EF">
        <w:rPr>
          <w:rFonts w:eastAsiaTheme="minorHAnsi" w:cstheme="minorBidi"/>
          <w:szCs w:val="22"/>
        </w:rPr>
        <w:t xml:space="preserve"> A, Ehrhart-Bornstein M, O'Shea JJ, Chrousos GP, Bornstein SR. Gene profiling reveals unknown enhancing and suppressive actions of glucocorticoids on immune cells. FASEB J 2002; 16:61-71</w:t>
      </w:r>
    </w:p>
    <w:p w14:paraId="24B090B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w:t>
      </w:r>
      <w:r w:rsidRPr="00E126EF">
        <w:rPr>
          <w:rFonts w:eastAsiaTheme="minorHAnsi" w:cstheme="minorBidi"/>
          <w:szCs w:val="22"/>
        </w:rPr>
        <w:tab/>
      </w:r>
      <w:proofErr w:type="spellStart"/>
      <w:r w:rsidRPr="00E126EF">
        <w:rPr>
          <w:rFonts w:eastAsiaTheme="minorHAnsi" w:cstheme="minorBidi"/>
          <w:szCs w:val="22"/>
        </w:rPr>
        <w:t>Mackeh</w:t>
      </w:r>
      <w:proofErr w:type="spellEnd"/>
      <w:r w:rsidRPr="00E126EF">
        <w:rPr>
          <w:rFonts w:eastAsiaTheme="minorHAnsi" w:cstheme="minorBidi"/>
          <w:szCs w:val="22"/>
        </w:rPr>
        <w:t xml:space="preserve"> R, Marr AK, </w:t>
      </w:r>
      <w:proofErr w:type="spellStart"/>
      <w:r w:rsidRPr="00E126EF">
        <w:rPr>
          <w:rFonts w:eastAsiaTheme="minorHAnsi" w:cstheme="minorBidi"/>
          <w:szCs w:val="22"/>
        </w:rPr>
        <w:t>Dargham</w:t>
      </w:r>
      <w:proofErr w:type="spellEnd"/>
      <w:r w:rsidRPr="00E126EF">
        <w:rPr>
          <w:rFonts w:eastAsiaTheme="minorHAnsi" w:cstheme="minorBidi"/>
          <w:szCs w:val="22"/>
        </w:rPr>
        <w:t xml:space="preserve"> S, Syed N, </w:t>
      </w:r>
      <w:proofErr w:type="spellStart"/>
      <w:r w:rsidRPr="00E126EF">
        <w:rPr>
          <w:rFonts w:eastAsiaTheme="minorHAnsi" w:cstheme="minorBidi"/>
          <w:szCs w:val="22"/>
        </w:rPr>
        <w:t>Fakhro</w:t>
      </w:r>
      <w:proofErr w:type="spellEnd"/>
      <w:r w:rsidRPr="00E126EF">
        <w:rPr>
          <w:rFonts w:eastAsiaTheme="minorHAnsi" w:cstheme="minorBidi"/>
          <w:szCs w:val="22"/>
        </w:rPr>
        <w:t xml:space="preserve"> K, Kino T. Single nucleotide variations in the human nuclear hormone receptor genes: their distribution in major domains and link to receptor gene ages and functionality. 2017 (unpublished data)</w:t>
      </w:r>
    </w:p>
    <w:p w14:paraId="24AC0A0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w:t>
      </w:r>
      <w:r w:rsidRPr="00E126EF">
        <w:rPr>
          <w:rFonts w:eastAsiaTheme="minorHAnsi" w:cstheme="minorBidi"/>
          <w:szCs w:val="22"/>
        </w:rPr>
        <w:tab/>
        <w:t>Kovacs WJ, Orth DN. The adrenal cortex. In: Wilson J, D., Foster DW, eds. Williams Textbook of Endocrinology. Philadelphia, PA: W.B. Saunders Company; 1998:517-750.</w:t>
      </w:r>
    </w:p>
    <w:p w14:paraId="770A8B8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w:t>
      </w:r>
      <w:r w:rsidRPr="00E126EF">
        <w:rPr>
          <w:rFonts w:eastAsiaTheme="minorHAnsi" w:cstheme="minorBidi"/>
          <w:szCs w:val="22"/>
        </w:rPr>
        <w:tab/>
        <w:t xml:space="preserve">Thornton JW. Evolution of vertebrate steroid receptors from an ancestral estrogen receptor by ligand exploitation and serial genome expansions.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2001; 98:5671-5676</w:t>
      </w:r>
    </w:p>
    <w:p w14:paraId="6A98C9E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w:t>
      </w:r>
      <w:r w:rsidRPr="00E126EF">
        <w:rPr>
          <w:rFonts w:eastAsiaTheme="minorHAnsi" w:cstheme="minorBidi"/>
          <w:szCs w:val="22"/>
        </w:rPr>
        <w:tab/>
        <w:t>Thornton JW, Need E, Crews D. Resurrecting the ancestral steroid receptor: ancient origin of estrogen signaling. Science 2003; 301:1714-1717</w:t>
      </w:r>
    </w:p>
    <w:p w14:paraId="0287BFB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w:t>
      </w:r>
      <w:r w:rsidRPr="00E126EF">
        <w:rPr>
          <w:rFonts w:eastAsiaTheme="minorHAnsi" w:cstheme="minorBidi"/>
          <w:szCs w:val="22"/>
        </w:rPr>
        <w:tab/>
        <w:t xml:space="preserve">Baker ME. Steroid receptors and vertebrate evolution. Mol Cell Endocrinol 2019; 496: 110526 </w:t>
      </w:r>
    </w:p>
    <w:p w14:paraId="2CD202C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w:t>
      </w:r>
      <w:r w:rsidRPr="00E126EF">
        <w:rPr>
          <w:rFonts w:eastAsiaTheme="minorHAnsi" w:cstheme="minorBidi"/>
          <w:szCs w:val="22"/>
        </w:rPr>
        <w:tab/>
      </w:r>
      <w:proofErr w:type="spellStart"/>
      <w:r w:rsidRPr="00E126EF">
        <w:rPr>
          <w:rFonts w:eastAsiaTheme="minorHAnsi" w:cstheme="minorBidi"/>
          <w:szCs w:val="22"/>
        </w:rPr>
        <w:t>Kuraku</w:t>
      </w:r>
      <w:proofErr w:type="spellEnd"/>
      <w:r w:rsidRPr="00E126EF">
        <w:rPr>
          <w:rFonts w:eastAsiaTheme="minorHAnsi" w:cstheme="minorBidi"/>
          <w:szCs w:val="22"/>
        </w:rPr>
        <w:t xml:space="preserve"> S, </w:t>
      </w:r>
      <w:proofErr w:type="spellStart"/>
      <w:r w:rsidRPr="00E126EF">
        <w:rPr>
          <w:rFonts w:eastAsiaTheme="minorHAnsi" w:cstheme="minorBidi"/>
          <w:szCs w:val="22"/>
        </w:rPr>
        <w:t>Hoshiyama</w:t>
      </w:r>
      <w:proofErr w:type="spellEnd"/>
      <w:r w:rsidRPr="00E126EF">
        <w:rPr>
          <w:rFonts w:eastAsiaTheme="minorHAnsi" w:cstheme="minorBidi"/>
          <w:szCs w:val="22"/>
        </w:rPr>
        <w:t xml:space="preserve"> D, </w:t>
      </w:r>
      <w:proofErr w:type="spellStart"/>
      <w:r w:rsidRPr="00E126EF">
        <w:rPr>
          <w:rFonts w:eastAsiaTheme="minorHAnsi" w:cstheme="minorBidi"/>
          <w:szCs w:val="22"/>
        </w:rPr>
        <w:t>Katoh</w:t>
      </w:r>
      <w:proofErr w:type="spellEnd"/>
      <w:r w:rsidRPr="00E126EF">
        <w:rPr>
          <w:rFonts w:eastAsiaTheme="minorHAnsi" w:cstheme="minorBidi"/>
          <w:szCs w:val="22"/>
        </w:rPr>
        <w:t xml:space="preserve"> K, Suga H, Miyata T. Monophyly of lampreys and hagfishes supported by nuclear DNA-coded genes. J Mol </w:t>
      </w:r>
      <w:proofErr w:type="spellStart"/>
      <w:r w:rsidRPr="00E126EF">
        <w:rPr>
          <w:rFonts w:eastAsiaTheme="minorHAnsi" w:cstheme="minorBidi"/>
          <w:szCs w:val="22"/>
        </w:rPr>
        <w:t>Evol</w:t>
      </w:r>
      <w:proofErr w:type="spellEnd"/>
      <w:r w:rsidRPr="00E126EF">
        <w:rPr>
          <w:rFonts w:eastAsiaTheme="minorHAnsi" w:cstheme="minorBidi"/>
          <w:szCs w:val="22"/>
        </w:rPr>
        <w:t xml:space="preserve"> 1999; 49:729-735</w:t>
      </w:r>
    </w:p>
    <w:p w14:paraId="0FC07FF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w:t>
      </w:r>
      <w:r w:rsidRPr="00E126EF">
        <w:rPr>
          <w:rFonts w:eastAsiaTheme="minorHAnsi" w:cstheme="minorBidi"/>
          <w:szCs w:val="22"/>
        </w:rPr>
        <w:tab/>
        <w:t>Baker ME. Co-evolution of steroidogenic and steroid-inactivating enzymes and adrenal and sex steroid receptors. Mol Cell Endocrinol 2004; 215:55-62</w:t>
      </w:r>
    </w:p>
    <w:p w14:paraId="66F99C5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w:t>
      </w:r>
      <w:r w:rsidRPr="00E126EF">
        <w:rPr>
          <w:rFonts w:eastAsiaTheme="minorHAnsi" w:cstheme="minorBidi"/>
          <w:szCs w:val="22"/>
        </w:rPr>
        <w:tab/>
      </w:r>
      <w:proofErr w:type="spellStart"/>
      <w:r w:rsidRPr="00E126EF">
        <w:rPr>
          <w:rFonts w:eastAsiaTheme="minorHAnsi" w:cstheme="minorBidi"/>
          <w:szCs w:val="22"/>
        </w:rPr>
        <w:t>Bridgham</w:t>
      </w:r>
      <w:proofErr w:type="spellEnd"/>
      <w:r w:rsidRPr="00E126EF">
        <w:rPr>
          <w:rFonts w:eastAsiaTheme="minorHAnsi" w:cstheme="minorBidi"/>
          <w:szCs w:val="22"/>
        </w:rPr>
        <w:t xml:space="preserve"> JT, Carroll SM, Thornton JW. Evolution of hormone-receptor complexity by molecular exploitation. Science 2006; 312:97-101</w:t>
      </w:r>
    </w:p>
    <w:p w14:paraId="10EE9FC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16.</w:t>
      </w:r>
      <w:r w:rsidRPr="00E126EF">
        <w:rPr>
          <w:rFonts w:eastAsiaTheme="minorHAnsi" w:cstheme="minorBidi"/>
          <w:szCs w:val="22"/>
        </w:rPr>
        <w:tab/>
        <w:t xml:space="preserve">Ortlund EA, </w:t>
      </w:r>
      <w:proofErr w:type="spellStart"/>
      <w:r w:rsidRPr="00E126EF">
        <w:rPr>
          <w:rFonts w:eastAsiaTheme="minorHAnsi" w:cstheme="minorBidi"/>
          <w:szCs w:val="22"/>
        </w:rPr>
        <w:t>Bridgham</w:t>
      </w:r>
      <w:proofErr w:type="spellEnd"/>
      <w:r w:rsidRPr="00E126EF">
        <w:rPr>
          <w:rFonts w:eastAsiaTheme="minorHAnsi" w:cstheme="minorBidi"/>
          <w:szCs w:val="22"/>
        </w:rPr>
        <w:t xml:space="preserve"> JT, </w:t>
      </w:r>
      <w:proofErr w:type="spellStart"/>
      <w:r w:rsidRPr="00E126EF">
        <w:rPr>
          <w:rFonts w:eastAsiaTheme="minorHAnsi" w:cstheme="minorBidi"/>
          <w:szCs w:val="22"/>
        </w:rPr>
        <w:t>Redinbo</w:t>
      </w:r>
      <w:proofErr w:type="spellEnd"/>
      <w:r w:rsidRPr="00E126EF">
        <w:rPr>
          <w:rFonts w:eastAsiaTheme="minorHAnsi" w:cstheme="minorBidi"/>
          <w:szCs w:val="22"/>
        </w:rPr>
        <w:t xml:space="preserve"> MR, Thornton JW. Crystal structure of an ancient protein: evolution by conformational epistasis. Science 2007; 317:1544-1548</w:t>
      </w:r>
    </w:p>
    <w:p w14:paraId="2D7357C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w:t>
      </w:r>
      <w:r w:rsidRPr="00E126EF">
        <w:rPr>
          <w:rFonts w:eastAsiaTheme="minorHAnsi" w:cstheme="minorBidi"/>
          <w:szCs w:val="22"/>
        </w:rPr>
        <w:tab/>
        <w:t>Harms MJ, Thornton JW. Historical contingency and its biophysical basis in glucocorticoid receptor evolution. Nature 2014; 512:203-207</w:t>
      </w:r>
    </w:p>
    <w:p w14:paraId="3CFC1F2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w:t>
      </w:r>
      <w:r w:rsidRPr="00E126EF">
        <w:rPr>
          <w:rFonts w:eastAsiaTheme="minorHAnsi" w:cstheme="minorBidi"/>
          <w:szCs w:val="22"/>
        </w:rPr>
        <w:tab/>
        <w:t>Alsop D, Vijayan M. The zebrafish stress axis: molecular fallout from the teleost-specific genome duplication event. Gen Comp Endocrinol 2009; 161:62-66</w:t>
      </w:r>
    </w:p>
    <w:p w14:paraId="2F43E02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w:t>
      </w:r>
      <w:r w:rsidRPr="00E126EF">
        <w:rPr>
          <w:rFonts w:eastAsiaTheme="minorHAnsi" w:cstheme="minorBidi"/>
          <w:szCs w:val="22"/>
        </w:rPr>
        <w:tab/>
      </w:r>
      <w:proofErr w:type="spellStart"/>
      <w:r w:rsidRPr="00E126EF">
        <w:rPr>
          <w:rFonts w:eastAsiaTheme="minorHAnsi" w:cstheme="minorBidi"/>
          <w:szCs w:val="22"/>
        </w:rPr>
        <w:t>Hollenberg</w:t>
      </w:r>
      <w:proofErr w:type="spellEnd"/>
      <w:r w:rsidRPr="00E126EF">
        <w:rPr>
          <w:rFonts w:eastAsiaTheme="minorHAnsi" w:cstheme="minorBidi"/>
          <w:szCs w:val="22"/>
        </w:rPr>
        <w:t xml:space="preserve"> SM, Weinberger C, Ong ES, </w:t>
      </w:r>
      <w:proofErr w:type="spellStart"/>
      <w:r w:rsidRPr="00E126EF">
        <w:rPr>
          <w:rFonts w:eastAsiaTheme="minorHAnsi" w:cstheme="minorBidi"/>
          <w:szCs w:val="22"/>
        </w:rPr>
        <w:t>Cerelli</w:t>
      </w:r>
      <w:proofErr w:type="spellEnd"/>
      <w:r w:rsidRPr="00E126EF">
        <w:rPr>
          <w:rFonts w:eastAsiaTheme="minorHAnsi" w:cstheme="minorBidi"/>
          <w:szCs w:val="22"/>
        </w:rPr>
        <w:t xml:space="preserve"> G, Oro A, </w:t>
      </w:r>
      <w:proofErr w:type="spellStart"/>
      <w:r w:rsidRPr="00E126EF">
        <w:rPr>
          <w:rFonts w:eastAsiaTheme="minorHAnsi" w:cstheme="minorBidi"/>
          <w:szCs w:val="22"/>
        </w:rPr>
        <w:t>Lebo</w:t>
      </w:r>
      <w:proofErr w:type="spellEnd"/>
      <w:r w:rsidRPr="00E126EF">
        <w:rPr>
          <w:rFonts w:eastAsiaTheme="minorHAnsi" w:cstheme="minorBidi"/>
          <w:szCs w:val="22"/>
        </w:rPr>
        <w:t xml:space="preserve"> R, Thompson EB, Rosenfeld MG, Evans RM. Primary structure and expression of a functional human glucocorticoid receptor cDNA. Nature 1985; 318:635-641</w:t>
      </w:r>
    </w:p>
    <w:p w14:paraId="59FC035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w:t>
      </w:r>
      <w:r w:rsidRPr="00E126EF">
        <w:rPr>
          <w:rFonts w:eastAsiaTheme="minorHAnsi" w:cstheme="minorBidi"/>
          <w:szCs w:val="22"/>
        </w:rPr>
        <w:tab/>
        <w:t>Chrousos GP, Kino T. Intracellular glucocorticoid signaling: a formerly simple system turns stochastic. Sci STKE 2005; 2005:pe48</w:t>
      </w:r>
    </w:p>
    <w:p w14:paraId="341967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w:t>
      </w:r>
      <w:r w:rsidRPr="00E126EF">
        <w:rPr>
          <w:rFonts w:eastAsiaTheme="minorHAnsi" w:cstheme="minorBidi"/>
          <w:szCs w:val="22"/>
        </w:rPr>
        <w:tab/>
        <w:t>Bamberger CM, Bamberger AM, de Castro M, Chrousos GP. Glucocorticoid receptor b, a potential endogenous inhibitor of glucocorticoid action in humans. J Clin Invest 1995; 95:2435-2441</w:t>
      </w:r>
    </w:p>
    <w:p w14:paraId="4DB17C4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w:t>
      </w:r>
      <w:r w:rsidRPr="00E126EF">
        <w:rPr>
          <w:rFonts w:eastAsiaTheme="minorHAnsi" w:cstheme="minorBidi"/>
          <w:szCs w:val="22"/>
        </w:rPr>
        <w:tab/>
      </w:r>
      <w:proofErr w:type="spellStart"/>
      <w:r w:rsidRPr="00E126EF">
        <w:rPr>
          <w:rFonts w:eastAsiaTheme="minorHAnsi" w:cstheme="minorBidi"/>
          <w:szCs w:val="22"/>
        </w:rPr>
        <w:t>Almlof</w:t>
      </w:r>
      <w:proofErr w:type="spellEnd"/>
      <w:r w:rsidRPr="00E126EF">
        <w:rPr>
          <w:rFonts w:eastAsiaTheme="minorHAnsi" w:cstheme="minorBidi"/>
          <w:szCs w:val="22"/>
        </w:rPr>
        <w:t xml:space="preserve"> T, Gustafsson JA, Wright AP. Role of hydrophobic amino acid clusters in the transactivation activity of the human glucocorticoid receptor. Mol Cell Biol 1997; 17:934-945</w:t>
      </w:r>
    </w:p>
    <w:p w14:paraId="2CF942C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w:t>
      </w:r>
      <w:r w:rsidRPr="00E126EF">
        <w:rPr>
          <w:rFonts w:eastAsiaTheme="minorHAnsi" w:cstheme="minorBidi"/>
          <w:szCs w:val="22"/>
        </w:rPr>
        <w:tab/>
      </w:r>
      <w:proofErr w:type="spellStart"/>
      <w:r w:rsidRPr="00E126EF">
        <w:rPr>
          <w:rFonts w:eastAsiaTheme="minorHAnsi" w:cstheme="minorBidi"/>
          <w:szCs w:val="22"/>
        </w:rPr>
        <w:t>Almlof</w:t>
      </w:r>
      <w:proofErr w:type="spellEnd"/>
      <w:r w:rsidRPr="00E126EF">
        <w:rPr>
          <w:rFonts w:eastAsiaTheme="minorHAnsi" w:cstheme="minorBidi"/>
          <w:szCs w:val="22"/>
        </w:rPr>
        <w:t xml:space="preserve"> T, </w:t>
      </w:r>
      <w:proofErr w:type="spellStart"/>
      <w:r w:rsidRPr="00E126EF">
        <w:rPr>
          <w:rFonts w:eastAsiaTheme="minorHAnsi" w:cstheme="minorBidi"/>
          <w:szCs w:val="22"/>
        </w:rPr>
        <w:t>Wallberg</w:t>
      </w:r>
      <w:proofErr w:type="spellEnd"/>
      <w:r w:rsidRPr="00E126EF">
        <w:rPr>
          <w:rFonts w:eastAsiaTheme="minorHAnsi" w:cstheme="minorBidi"/>
          <w:szCs w:val="22"/>
        </w:rPr>
        <w:t xml:space="preserve"> AE, Gustafsson JA, Wright AP. Role of important hydrophobic amino acids in the interaction between the glucocorticoid receptor tau 1-core activation domain and target factors. Biochemistry 1998; 37:9586-9594</w:t>
      </w:r>
    </w:p>
    <w:p w14:paraId="718297D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w:t>
      </w:r>
      <w:r w:rsidRPr="00E126EF">
        <w:rPr>
          <w:rFonts w:eastAsiaTheme="minorHAnsi" w:cstheme="minorBidi"/>
          <w:szCs w:val="22"/>
        </w:rPr>
        <w:tab/>
      </w:r>
      <w:proofErr w:type="spellStart"/>
      <w:r w:rsidRPr="00E126EF">
        <w:rPr>
          <w:rFonts w:eastAsiaTheme="minorHAnsi" w:cstheme="minorBidi"/>
          <w:szCs w:val="22"/>
        </w:rPr>
        <w:t>Warnmark</w:t>
      </w:r>
      <w:proofErr w:type="spellEnd"/>
      <w:r w:rsidRPr="00E126EF">
        <w:rPr>
          <w:rFonts w:eastAsiaTheme="minorHAnsi" w:cstheme="minorBidi"/>
          <w:szCs w:val="22"/>
        </w:rPr>
        <w:t xml:space="preserve"> A, Gustafsson JA, Wright AP. Architectural principles for the structure and function of the glucocorticoid receptor tau 1 core activation domain. J Biol Chem 2000; 275:15014-15018</w:t>
      </w:r>
    </w:p>
    <w:p w14:paraId="3A08EA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w:t>
      </w:r>
      <w:r w:rsidRPr="00E126EF">
        <w:rPr>
          <w:rFonts w:eastAsiaTheme="minorHAnsi" w:cstheme="minorBidi"/>
          <w:szCs w:val="22"/>
        </w:rPr>
        <w:tab/>
        <w:t xml:space="preserve">Kumar R, Volk DE, Li J, Lee JC, </w:t>
      </w:r>
      <w:proofErr w:type="spellStart"/>
      <w:r w:rsidRPr="00E126EF">
        <w:rPr>
          <w:rFonts w:eastAsiaTheme="minorHAnsi" w:cstheme="minorBidi"/>
          <w:szCs w:val="22"/>
        </w:rPr>
        <w:t>Gorenstein</w:t>
      </w:r>
      <w:proofErr w:type="spellEnd"/>
      <w:r w:rsidRPr="00E126EF">
        <w:rPr>
          <w:rFonts w:eastAsiaTheme="minorHAnsi" w:cstheme="minorBidi"/>
          <w:szCs w:val="22"/>
        </w:rPr>
        <w:t xml:space="preserve"> DG, Thompson EB. TATA box binding protein induces structure in the recombinant glucocorticoid receptor AF1 domain.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2004; 101:16425-16430</w:t>
      </w:r>
    </w:p>
    <w:p w14:paraId="03191C0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w:t>
      </w:r>
      <w:r w:rsidRPr="00E126EF">
        <w:rPr>
          <w:rFonts w:eastAsiaTheme="minorHAnsi" w:cstheme="minorBidi"/>
          <w:szCs w:val="22"/>
        </w:rPr>
        <w:tab/>
        <w:t>Khan SH, Awasthi S, Guo C, Goswami D, Ling J, Griffin PR, Simons SS, Jr., Kumar R. Binding of the N-terminal region of coactivator TIF2 to the intrinsically disordered AF1 domain of the glucocorticoid receptor is accompanied by conformational reorganizations. J Biol Chem 2012; 287:44546-44560</w:t>
      </w:r>
    </w:p>
    <w:p w14:paraId="7554DEC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w:t>
      </w:r>
      <w:r w:rsidRPr="00E126EF">
        <w:rPr>
          <w:rFonts w:eastAsiaTheme="minorHAnsi" w:cstheme="minorBidi"/>
          <w:szCs w:val="22"/>
        </w:rPr>
        <w:tab/>
        <w:t xml:space="preserve">Khan SH, Ling J, Kumar R. TBP binding-induced folding of the glucocorticoid receptor AF1 domain facilitates its interaction with steroid receptor coactivator-1.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2011; </w:t>
      </w:r>
      <w:proofErr w:type="gramStart"/>
      <w:r w:rsidRPr="00E126EF">
        <w:rPr>
          <w:rFonts w:eastAsiaTheme="minorHAnsi" w:cstheme="minorBidi"/>
          <w:szCs w:val="22"/>
        </w:rPr>
        <w:t>6:e</w:t>
      </w:r>
      <w:proofErr w:type="gramEnd"/>
      <w:r w:rsidRPr="00E126EF">
        <w:rPr>
          <w:rFonts w:eastAsiaTheme="minorHAnsi" w:cstheme="minorBidi"/>
          <w:szCs w:val="22"/>
        </w:rPr>
        <w:t>21939</w:t>
      </w:r>
    </w:p>
    <w:p w14:paraId="53F2846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w:t>
      </w:r>
      <w:r w:rsidRPr="00E126EF">
        <w:rPr>
          <w:rFonts w:eastAsiaTheme="minorHAnsi" w:cstheme="minorBidi"/>
          <w:szCs w:val="22"/>
        </w:rPr>
        <w:tab/>
        <w:t xml:space="preserve">Howard KJ, Holley SJ, Yamamoto KR, </w:t>
      </w:r>
      <w:proofErr w:type="spellStart"/>
      <w:r w:rsidRPr="00E126EF">
        <w:rPr>
          <w:rFonts w:eastAsiaTheme="minorHAnsi" w:cstheme="minorBidi"/>
          <w:szCs w:val="22"/>
        </w:rPr>
        <w:t>Distelhorst</w:t>
      </w:r>
      <w:proofErr w:type="spellEnd"/>
      <w:r w:rsidRPr="00E126EF">
        <w:rPr>
          <w:rFonts w:eastAsiaTheme="minorHAnsi" w:cstheme="minorBidi"/>
          <w:szCs w:val="22"/>
        </w:rPr>
        <w:t xml:space="preserve"> CW. Mapping the HSP90 binding region of the glucocorticoid receptor. J Biol Chem 1990; 265:11928-11935</w:t>
      </w:r>
    </w:p>
    <w:p w14:paraId="19CD6E2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w:t>
      </w:r>
      <w:r w:rsidRPr="00E126EF">
        <w:rPr>
          <w:rFonts w:eastAsiaTheme="minorHAnsi" w:cstheme="minorBidi"/>
          <w:szCs w:val="22"/>
        </w:rPr>
        <w:tab/>
        <w:t xml:space="preserve">Schule R, Rangarajan P, </w:t>
      </w:r>
      <w:proofErr w:type="spellStart"/>
      <w:r w:rsidRPr="00E126EF">
        <w:rPr>
          <w:rFonts w:eastAsiaTheme="minorHAnsi" w:cstheme="minorBidi"/>
          <w:szCs w:val="22"/>
        </w:rPr>
        <w:t>Kliewer</w:t>
      </w:r>
      <w:proofErr w:type="spellEnd"/>
      <w:r w:rsidRPr="00E126EF">
        <w:rPr>
          <w:rFonts w:eastAsiaTheme="minorHAnsi" w:cstheme="minorBidi"/>
          <w:szCs w:val="22"/>
        </w:rPr>
        <w:t xml:space="preserve"> S, </w:t>
      </w:r>
      <w:proofErr w:type="spellStart"/>
      <w:r w:rsidRPr="00E126EF">
        <w:rPr>
          <w:rFonts w:eastAsiaTheme="minorHAnsi" w:cstheme="minorBidi"/>
          <w:szCs w:val="22"/>
        </w:rPr>
        <w:t>Ransone</w:t>
      </w:r>
      <w:proofErr w:type="spellEnd"/>
      <w:r w:rsidRPr="00E126EF">
        <w:rPr>
          <w:rFonts w:eastAsiaTheme="minorHAnsi" w:cstheme="minorBidi"/>
          <w:szCs w:val="22"/>
        </w:rPr>
        <w:t xml:space="preserve"> LJ, </w:t>
      </w:r>
      <w:proofErr w:type="spellStart"/>
      <w:r w:rsidRPr="00E126EF">
        <w:rPr>
          <w:rFonts w:eastAsiaTheme="minorHAnsi" w:cstheme="minorBidi"/>
          <w:szCs w:val="22"/>
        </w:rPr>
        <w:t>Bolado</w:t>
      </w:r>
      <w:proofErr w:type="spellEnd"/>
      <w:r w:rsidRPr="00E126EF">
        <w:rPr>
          <w:rFonts w:eastAsiaTheme="minorHAnsi" w:cstheme="minorBidi"/>
          <w:szCs w:val="22"/>
        </w:rPr>
        <w:t xml:space="preserve"> J, Yang N, Verma IM, Evans RM. Functional antagonism between oncoprotein c-Jun and the glucocorticoid receptor. Cell 1990; 62:1217-1226</w:t>
      </w:r>
    </w:p>
    <w:p w14:paraId="7907C41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w:t>
      </w:r>
      <w:r w:rsidRPr="00E126EF">
        <w:rPr>
          <w:rFonts w:eastAsiaTheme="minorHAnsi" w:cstheme="minorBidi"/>
          <w:szCs w:val="22"/>
        </w:rPr>
        <w:tab/>
        <w:t>Burris TP. The nuclear receptor superfamily. In: Burris TP, McCabe ERB, eds. Nuclear receptors and genetic disease. London: Academic Press; 2001:1-58.</w:t>
      </w:r>
    </w:p>
    <w:p w14:paraId="39FB15E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w:t>
      </w:r>
      <w:r w:rsidRPr="00E126EF">
        <w:rPr>
          <w:rFonts w:eastAsiaTheme="minorHAnsi" w:cstheme="minorBidi"/>
          <w:szCs w:val="22"/>
        </w:rPr>
        <w:tab/>
        <w:t xml:space="preserve">Bledsoe RK, Montana VG, Stanley TB, Delves CJ, </w:t>
      </w:r>
      <w:proofErr w:type="spellStart"/>
      <w:r w:rsidRPr="00E126EF">
        <w:rPr>
          <w:rFonts w:eastAsiaTheme="minorHAnsi" w:cstheme="minorBidi"/>
          <w:szCs w:val="22"/>
        </w:rPr>
        <w:t>Apolito</w:t>
      </w:r>
      <w:proofErr w:type="spellEnd"/>
      <w:r w:rsidRPr="00E126EF">
        <w:rPr>
          <w:rFonts w:eastAsiaTheme="minorHAnsi" w:cstheme="minorBidi"/>
          <w:szCs w:val="22"/>
        </w:rPr>
        <w:t xml:space="preserve"> CJ, McKee DD, </w:t>
      </w:r>
      <w:proofErr w:type="spellStart"/>
      <w:r w:rsidRPr="00E126EF">
        <w:rPr>
          <w:rFonts w:eastAsiaTheme="minorHAnsi" w:cstheme="minorBidi"/>
          <w:szCs w:val="22"/>
        </w:rPr>
        <w:t>Consler</w:t>
      </w:r>
      <w:proofErr w:type="spellEnd"/>
      <w:r w:rsidRPr="00E126EF">
        <w:rPr>
          <w:rFonts w:eastAsiaTheme="minorHAnsi" w:cstheme="minorBidi"/>
          <w:szCs w:val="22"/>
        </w:rPr>
        <w:t xml:space="preserve"> TG, Parks DJ, Stewart EL, </w:t>
      </w:r>
      <w:proofErr w:type="spellStart"/>
      <w:r w:rsidRPr="00E126EF">
        <w:rPr>
          <w:rFonts w:eastAsiaTheme="minorHAnsi" w:cstheme="minorBidi"/>
          <w:szCs w:val="22"/>
        </w:rPr>
        <w:t>Willson</w:t>
      </w:r>
      <w:proofErr w:type="spellEnd"/>
      <w:r w:rsidRPr="00E126EF">
        <w:rPr>
          <w:rFonts w:eastAsiaTheme="minorHAnsi" w:cstheme="minorBidi"/>
          <w:szCs w:val="22"/>
        </w:rPr>
        <w:t xml:space="preserve"> TM, Lambert MH, Moore JT, Pearce KH, Xu HE. Crystal structure of the glucocorticoid receptor ligand binding domain reveals a novel mode of receptor dimerization and coactivator recognition. Cell 2002; 110:93-105</w:t>
      </w:r>
    </w:p>
    <w:p w14:paraId="70840D8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32.</w:t>
      </w:r>
      <w:r w:rsidRPr="00E126EF">
        <w:rPr>
          <w:rFonts w:eastAsiaTheme="minorHAnsi" w:cstheme="minorBidi"/>
          <w:szCs w:val="22"/>
        </w:rPr>
        <w:tab/>
        <w:t xml:space="preserve">Tanenbaum DM, Wang Y, Williams SP, Sigler PB. Crystallographic comparison of the estrogen and progesterone receptor's ligand binding domains.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1998; 95:5998-6003</w:t>
      </w:r>
    </w:p>
    <w:p w14:paraId="15076F8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w:t>
      </w:r>
      <w:r w:rsidRPr="00E126EF">
        <w:rPr>
          <w:rFonts w:eastAsiaTheme="minorHAnsi" w:cstheme="minorBidi"/>
          <w:szCs w:val="22"/>
        </w:rPr>
        <w:tab/>
        <w:t>Williams SP, Sigler PB. Atomic structure of progesterone complexed with its receptor. Nature 1998; 393:392-396</w:t>
      </w:r>
    </w:p>
    <w:p w14:paraId="594F2B9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w:t>
      </w:r>
      <w:r w:rsidRPr="00E126EF">
        <w:rPr>
          <w:rFonts w:eastAsiaTheme="minorHAnsi" w:cstheme="minorBidi"/>
          <w:szCs w:val="22"/>
        </w:rPr>
        <w:tab/>
        <w:t xml:space="preserve">Lu NZ,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Translational regulatory mechanisms generate N-terminal glucocorticoid receptor isoforms with unique transcriptional target genes. Mol Cell 2005; 18:331-342</w:t>
      </w:r>
    </w:p>
    <w:p w14:paraId="4D4848F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w:t>
      </w:r>
      <w:r w:rsidRPr="00E126EF">
        <w:rPr>
          <w:rFonts w:eastAsiaTheme="minorHAnsi" w:cstheme="minorBidi"/>
          <w:szCs w:val="22"/>
        </w:rPr>
        <w:tab/>
        <w:t>Bender IK, Cao Y, Lu NZ. Determinants of the heightened activity of glucocorticoid receptor translational isoforms. Mol Endocrinol 2013; 27:1577-1587</w:t>
      </w:r>
    </w:p>
    <w:p w14:paraId="692461B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w:t>
      </w:r>
      <w:r w:rsidRPr="00E126EF">
        <w:rPr>
          <w:rFonts w:eastAsiaTheme="minorHAnsi" w:cstheme="minorBidi"/>
          <w:szCs w:val="22"/>
        </w:rPr>
        <w:tab/>
        <w:t xml:space="preserve">Wu I, Shin SC, Cao Y, Bender IK, Jafari N, Feng G, Lin S,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w:t>
      </w:r>
      <w:proofErr w:type="spellStart"/>
      <w:r w:rsidRPr="00E126EF">
        <w:rPr>
          <w:rFonts w:eastAsiaTheme="minorHAnsi" w:cstheme="minorBidi"/>
          <w:szCs w:val="22"/>
        </w:rPr>
        <w:t>Schleimer</w:t>
      </w:r>
      <w:proofErr w:type="spellEnd"/>
      <w:r w:rsidRPr="00E126EF">
        <w:rPr>
          <w:rFonts w:eastAsiaTheme="minorHAnsi" w:cstheme="minorBidi"/>
          <w:szCs w:val="22"/>
        </w:rPr>
        <w:t xml:space="preserve"> RP, Lu NZ. Selective glucocorticoid receptor translational isoforms reveal glucocorticoid-induced apoptotic transcriptomes. Cell Death Dis 2013; </w:t>
      </w:r>
      <w:proofErr w:type="gramStart"/>
      <w:r w:rsidRPr="00E126EF">
        <w:rPr>
          <w:rFonts w:eastAsiaTheme="minorHAnsi" w:cstheme="minorBidi"/>
          <w:szCs w:val="22"/>
        </w:rPr>
        <w:t>4:e</w:t>
      </w:r>
      <w:proofErr w:type="gramEnd"/>
      <w:r w:rsidRPr="00E126EF">
        <w:rPr>
          <w:rFonts w:eastAsiaTheme="minorHAnsi" w:cstheme="minorBidi"/>
          <w:szCs w:val="22"/>
        </w:rPr>
        <w:t>453</w:t>
      </w:r>
    </w:p>
    <w:p w14:paraId="33C624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w:t>
      </w:r>
      <w:r w:rsidRPr="00E126EF">
        <w:rPr>
          <w:rFonts w:eastAsiaTheme="minorHAnsi" w:cstheme="minorBidi"/>
          <w:szCs w:val="22"/>
        </w:rPr>
        <w:tab/>
        <w:t>Kino T, Chrousos GP. Tissue-specific glucocorticoid resistance-hypersensitivity syndromes: multifactorial states of clinical importance. J Allergy Clin Immunol 2002; 109:609-613</w:t>
      </w:r>
    </w:p>
    <w:p w14:paraId="53787C0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w:t>
      </w:r>
      <w:r w:rsidRPr="00E126EF">
        <w:rPr>
          <w:rFonts w:eastAsiaTheme="minorHAnsi" w:cstheme="minorBidi"/>
          <w:szCs w:val="22"/>
        </w:rPr>
        <w:tab/>
        <w:t xml:space="preserve">Cao Y, Bender IK, Konstantinidis AK, Shin SC, Jewell CM,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w:t>
      </w:r>
      <w:proofErr w:type="spellStart"/>
      <w:r w:rsidRPr="00E126EF">
        <w:rPr>
          <w:rFonts w:eastAsiaTheme="minorHAnsi" w:cstheme="minorBidi"/>
          <w:szCs w:val="22"/>
        </w:rPr>
        <w:t>Schleimer</w:t>
      </w:r>
      <w:proofErr w:type="spellEnd"/>
      <w:r w:rsidRPr="00E126EF">
        <w:rPr>
          <w:rFonts w:eastAsiaTheme="minorHAnsi" w:cstheme="minorBidi"/>
          <w:szCs w:val="22"/>
        </w:rPr>
        <w:t xml:space="preserve"> RP, Lu NZ. Glucocorticoid receptor translational isoforms underlie maturational stage-specific glucocorticoid sensitivities of dendritic cells in mice and humans. Blood 2013; 121:1553-1562</w:t>
      </w:r>
    </w:p>
    <w:p w14:paraId="503AC0D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w:t>
      </w:r>
      <w:r w:rsidRPr="00E126EF">
        <w:rPr>
          <w:rFonts w:eastAsiaTheme="minorHAnsi" w:cstheme="minorBidi"/>
          <w:szCs w:val="22"/>
        </w:rPr>
        <w:tab/>
        <w:t xml:space="preserve">Sinclair D, Webster MJ, Wong J, </w:t>
      </w:r>
      <w:proofErr w:type="spellStart"/>
      <w:r w:rsidRPr="00E126EF">
        <w:rPr>
          <w:rFonts w:eastAsiaTheme="minorHAnsi" w:cstheme="minorBidi"/>
          <w:szCs w:val="22"/>
        </w:rPr>
        <w:t>Weickert</w:t>
      </w:r>
      <w:proofErr w:type="spellEnd"/>
      <w:r w:rsidRPr="00E126EF">
        <w:rPr>
          <w:rFonts w:eastAsiaTheme="minorHAnsi" w:cstheme="minorBidi"/>
          <w:szCs w:val="22"/>
        </w:rPr>
        <w:t xml:space="preserve"> CS. Dynamic molecular and anatomical changes in the glucocorticoid receptor in human cortical development. Mol Psychiatry 2011; 16:504-515</w:t>
      </w:r>
    </w:p>
    <w:p w14:paraId="790560C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w:t>
      </w:r>
      <w:r w:rsidRPr="00E126EF">
        <w:rPr>
          <w:rFonts w:eastAsiaTheme="minorHAnsi" w:cstheme="minorBidi"/>
          <w:szCs w:val="22"/>
        </w:rPr>
        <w:tab/>
      </w:r>
      <w:proofErr w:type="spellStart"/>
      <w:r w:rsidRPr="00E126EF">
        <w:rPr>
          <w:rFonts w:eastAsiaTheme="minorHAnsi" w:cstheme="minorBidi"/>
          <w:szCs w:val="22"/>
        </w:rPr>
        <w:t>Presul</w:t>
      </w:r>
      <w:proofErr w:type="spellEnd"/>
      <w:r w:rsidRPr="00E126EF">
        <w:rPr>
          <w:rFonts w:eastAsiaTheme="minorHAnsi" w:cstheme="minorBidi"/>
          <w:szCs w:val="22"/>
        </w:rPr>
        <w:t xml:space="preserve"> E, Schmidt S, </w:t>
      </w:r>
      <w:proofErr w:type="spellStart"/>
      <w:r w:rsidRPr="00E126EF">
        <w:rPr>
          <w:rFonts w:eastAsiaTheme="minorHAnsi" w:cstheme="minorBidi"/>
          <w:szCs w:val="22"/>
        </w:rPr>
        <w:t>Kofler</w:t>
      </w:r>
      <w:proofErr w:type="spellEnd"/>
      <w:r w:rsidRPr="00E126EF">
        <w:rPr>
          <w:rFonts w:eastAsiaTheme="minorHAnsi" w:cstheme="minorBidi"/>
          <w:szCs w:val="22"/>
        </w:rPr>
        <w:t xml:space="preserve"> R, </w:t>
      </w:r>
      <w:proofErr w:type="spellStart"/>
      <w:r w:rsidRPr="00E126EF">
        <w:rPr>
          <w:rFonts w:eastAsiaTheme="minorHAnsi" w:cstheme="minorBidi"/>
          <w:szCs w:val="22"/>
        </w:rPr>
        <w:t>Helmberg</w:t>
      </w:r>
      <w:proofErr w:type="spellEnd"/>
      <w:r w:rsidRPr="00E126EF">
        <w:rPr>
          <w:rFonts w:eastAsiaTheme="minorHAnsi" w:cstheme="minorBidi"/>
          <w:szCs w:val="22"/>
        </w:rPr>
        <w:t xml:space="preserve"> A. Identification, tissue expression, and glucocorticoid responsiveness of alternative first exons of the human glucocorticoid receptor. J Mol Endocrinol 2007; 38:79-90</w:t>
      </w:r>
    </w:p>
    <w:p w14:paraId="5E5DCC1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w:t>
      </w:r>
      <w:r w:rsidRPr="00E126EF">
        <w:rPr>
          <w:rFonts w:eastAsiaTheme="minorHAnsi" w:cstheme="minorBidi"/>
          <w:szCs w:val="22"/>
        </w:rPr>
        <w:tab/>
        <w:t>Turner JD, Muller CP. Structure of the glucocorticoid receptor (NR3C1) gene 5' untranslated region: identification, and tissue distribution of multiple new human exon 1. J Mol Endocrinol 2005; 35:283-292</w:t>
      </w:r>
    </w:p>
    <w:p w14:paraId="4F6B717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w:t>
      </w:r>
      <w:r w:rsidRPr="00E126EF">
        <w:rPr>
          <w:rFonts w:eastAsiaTheme="minorHAnsi" w:cstheme="minorBidi"/>
          <w:szCs w:val="22"/>
        </w:rPr>
        <w:tab/>
        <w:t xml:space="preserve">Sinclair D, Fullerton JM, Webster MJ, Shannon </w:t>
      </w:r>
      <w:proofErr w:type="spellStart"/>
      <w:r w:rsidRPr="00E126EF">
        <w:rPr>
          <w:rFonts w:eastAsiaTheme="minorHAnsi" w:cstheme="minorBidi"/>
          <w:szCs w:val="22"/>
        </w:rPr>
        <w:t>Weickert</w:t>
      </w:r>
      <w:proofErr w:type="spellEnd"/>
      <w:r w:rsidRPr="00E126EF">
        <w:rPr>
          <w:rFonts w:eastAsiaTheme="minorHAnsi" w:cstheme="minorBidi"/>
          <w:szCs w:val="22"/>
        </w:rPr>
        <w:t xml:space="preserve"> C. Glucocorticoid receptor 1B and 1C mRNA transcript alterations in schizophrenia and bipolar disorder, and their possible regulation by GR gene variants.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2012; </w:t>
      </w:r>
      <w:proofErr w:type="gramStart"/>
      <w:r w:rsidRPr="00E126EF">
        <w:rPr>
          <w:rFonts w:eastAsiaTheme="minorHAnsi" w:cstheme="minorBidi"/>
          <w:szCs w:val="22"/>
        </w:rPr>
        <w:t>7:e</w:t>
      </w:r>
      <w:proofErr w:type="gramEnd"/>
      <w:r w:rsidRPr="00E126EF">
        <w:rPr>
          <w:rFonts w:eastAsiaTheme="minorHAnsi" w:cstheme="minorBidi"/>
          <w:szCs w:val="22"/>
        </w:rPr>
        <w:t>31720</w:t>
      </w:r>
    </w:p>
    <w:p w14:paraId="67ED87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w:t>
      </w:r>
      <w:r w:rsidRPr="00E126EF">
        <w:rPr>
          <w:rFonts w:eastAsiaTheme="minorHAnsi" w:cstheme="minorBidi"/>
          <w:szCs w:val="22"/>
        </w:rPr>
        <w:tab/>
        <w:t xml:space="preserve">Martin-Blanco A, Ferrer M, Soler J, Salazar J, Vega D, </w:t>
      </w:r>
      <w:proofErr w:type="spellStart"/>
      <w:r w:rsidRPr="00E126EF">
        <w:rPr>
          <w:rFonts w:eastAsiaTheme="minorHAnsi" w:cstheme="minorBidi"/>
          <w:szCs w:val="22"/>
        </w:rPr>
        <w:t>Andion</w:t>
      </w:r>
      <w:proofErr w:type="spellEnd"/>
      <w:r w:rsidRPr="00E126EF">
        <w:rPr>
          <w:rFonts w:eastAsiaTheme="minorHAnsi" w:cstheme="minorBidi"/>
          <w:szCs w:val="22"/>
        </w:rPr>
        <w:t xml:space="preserve"> O, Sanchez-Mora C, </w:t>
      </w:r>
      <w:proofErr w:type="spellStart"/>
      <w:r w:rsidRPr="00E126EF">
        <w:rPr>
          <w:rFonts w:eastAsiaTheme="minorHAnsi" w:cstheme="minorBidi"/>
          <w:szCs w:val="22"/>
        </w:rPr>
        <w:t>Arranz</w:t>
      </w:r>
      <w:proofErr w:type="spellEnd"/>
      <w:r w:rsidRPr="00E126EF">
        <w:rPr>
          <w:rFonts w:eastAsiaTheme="minorHAnsi" w:cstheme="minorBidi"/>
          <w:szCs w:val="22"/>
        </w:rPr>
        <w:t xml:space="preserve"> MJ, </w:t>
      </w:r>
      <w:proofErr w:type="spellStart"/>
      <w:r w:rsidRPr="00E126EF">
        <w:rPr>
          <w:rFonts w:eastAsiaTheme="minorHAnsi" w:cstheme="minorBidi"/>
          <w:szCs w:val="22"/>
        </w:rPr>
        <w:t>Ribases</w:t>
      </w:r>
      <w:proofErr w:type="spellEnd"/>
      <w:r w:rsidRPr="00E126EF">
        <w:rPr>
          <w:rFonts w:eastAsiaTheme="minorHAnsi" w:cstheme="minorBidi"/>
          <w:szCs w:val="22"/>
        </w:rPr>
        <w:t xml:space="preserve"> M, </w:t>
      </w:r>
      <w:proofErr w:type="spellStart"/>
      <w:r w:rsidRPr="00E126EF">
        <w:rPr>
          <w:rFonts w:eastAsiaTheme="minorHAnsi" w:cstheme="minorBidi"/>
          <w:szCs w:val="22"/>
        </w:rPr>
        <w:t>Feliu</w:t>
      </w:r>
      <w:proofErr w:type="spellEnd"/>
      <w:r w:rsidRPr="00E126EF">
        <w:rPr>
          <w:rFonts w:eastAsiaTheme="minorHAnsi" w:cstheme="minorBidi"/>
          <w:szCs w:val="22"/>
        </w:rPr>
        <w:t xml:space="preserve">-Soler A, Perez V, Pascual JC. Association between methylation of the glucocorticoid receptor gene, childhood maltreatment, and clinical severity in borderline personality disorder. J </w:t>
      </w:r>
      <w:proofErr w:type="spellStart"/>
      <w:r w:rsidRPr="00E126EF">
        <w:rPr>
          <w:rFonts w:eastAsiaTheme="minorHAnsi" w:cstheme="minorBidi"/>
          <w:szCs w:val="22"/>
        </w:rPr>
        <w:t>Psychiatr</w:t>
      </w:r>
      <w:proofErr w:type="spellEnd"/>
      <w:r w:rsidRPr="00E126EF">
        <w:rPr>
          <w:rFonts w:eastAsiaTheme="minorHAnsi" w:cstheme="minorBidi"/>
          <w:szCs w:val="22"/>
        </w:rPr>
        <w:t xml:space="preserve"> Res 2014; 57:34-40</w:t>
      </w:r>
    </w:p>
    <w:p w14:paraId="1E7F909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w:t>
      </w:r>
      <w:r w:rsidRPr="00E126EF">
        <w:rPr>
          <w:rFonts w:eastAsiaTheme="minorHAnsi" w:cstheme="minorBidi"/>
          <w:szCs w:val="22"/>
        </w:rPr>
        <w:tab/>
        <w:t xml:space="preserve">Na KS, Chang HS, Won E, Han KM, Choi S, Tae WS, Yoon HK, Kim YK, Joe SH, Jung IK, Lee MS, Ham BJ. Association between glucocorticoid receptor methylation and hippocampal subfields in major depressive disorder.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2014; </w:t>
      </w:r>
      <w:proofErr w:type="gramStart"/>
      <w:r w:rsidRPr="00E126EF">
        <w:rPr>
          <w:rFonts w:eastAsiaTheme="minorHAnsi" w:cstheme="minorBidi"/>
          <w:szCs w:val="22"/>
        </w:rPr>
        <w:t>9:e</w:t>
      </w:r>
      <w:proofErr w:type="gramEnd"/>
      <w:r w:rsidRPr="00E126EF">
        <w:rPr>
          <w:rFonts w:eastAsiaTheme="minorHAnsi" w:cstheme="minorBidi"/>
          <w:szCs w:val="22"/>
        </w:rPr>
        <w:t>85425</w:t>
      </w:r>
    </w:p>
    <w:p w14:paraId="1EDA2DB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w:t>
      </w:r>
      <w:r w:rsidRPr="00E126EF">
        <w:rPr>
          <w:rFonts w:eastAsiaTheme="minorHAnsi" w:cstheme="minorBidi"/>
          <w:szCs w:val="22"/>
        </w:rPr>
        <w:tab/>
      </w:r>
      <w:proofErr w:type="spellStart"/>
      <w:r w:rsidRPr="00E126EF">
        <w:rPr>
          <w:rFonts w:eastAsiaTheme="minorHAnsi" w:cstheme="minorBidi"/>
          <w:szCs w:val="22"/>
        </w:rPr>
        <w:t>Kantake</w:t>
      </w:r>
      <w:proofErr w:type="spellEnd"/>
      <w:r w:rsidRPr="00E126EF">
        <w:rPr>
          <w:rFonts w:eastAsiaTheme="minorHAnsi" w:cstheme="minorBidi"/>
          <w:szCs w:val="22"/>
        </w:rPr>
        <w:t xml:space="preserve"> M, </w:t>
      </w:r>
      <w:proofErr w:type="spellStart"/>
      <w:r w:rsidRPr="00E126EF">
        <w:rPr>
          <w:rFonts w:eastAsiaTheme="minorHAnsi" w:cstheme="minorBidi"/>
          <w:szCs w:val="22"/>
        </w:rPr>
        <w:t>Yoshitake</w:t>
      </w:r>
      <w:proofErr w:type="spellEnd"/>
      <w:r w:rsidRPr="00E126EF">
        <w:rPr>
          <w:rFonts w:eastAsiaTheme="minorHAnsi" w:cstheme="minorBidi"/>
          <w:szCs w:val="22"/>
        </w:rPr>
        <w:t xml:space="preserve"> H, Ishikawa H, Araki Y, Shimizu T. Postnatal epigenetic modification of glucocorticoid receptor gene in preterm infants: a prospective cohort study. BMJ Open 2014; </w:t>
      </w:r>
      <w:proofErr w:type="gramStart"/>
      <w:r w:rsidRPr="00E126EF">
        <w:rPr>
          <w:rFonts w:eastAsiaTheme="minorHAnsi" w:cstheme="minorBidi"/>
          <w:szCs w:val="22"/>
        </w:rPr>
        <w:t>4:e</w:t>
      </w:r>
      <w:proofErr w:type="gramEnd"/>
      <w:r w:rsidRPr="00E126EF">
        <w:rPr>
          <w:rFonts w:eastAsiaTheme="minorHAnsi" w:cstheme="minorBidi"/>
          <w:szCs w:val="22"/>
        </w:rPr>
        <w:t>005318</w:t>
      </w:r>
    </w:p>
    <w:p w14:paraId="3318CF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46.</w:t>
      </w:r>
      <w:r w:rsidRPr="00E126EF">
        <w:rPr>
          <w:rFonts w:eastAsiaTheme="minorHAnsi" w:cstheme="minorBidi"/>
          <w:szCs w:val="22"/>
        </w:rPr>
        <w:tab/>
      </w:r>
      <w:proofErr w:type="spellStart"/>
      <w:r w:rsidRPr="00E126EF">
        <w:rPr>
          <w:rFonts w:eastAsiaTheme="minorHAnsi" w:cstheme="minorBidi"/>
          <w:szCs w:val="22"/>
        </w:rPr>
        <w:t>Bockmuhl</w:t>
      </w:r>
      <w:proofErr w:type="spellEnd"/>
      <w:r w:rsidRPr="00E126EF">
        <w:rPr>
          <w:rFonts w:eastAsiaTheme="minorHAnsi" w:cstheme="minorBidi"/>
          <w:szCs w:val="22"/>
        </w:rPr>
        <w:t xml:space="preserve"> Y, Murgatroyd CA, </w:t>
      </w:r>
      <w:proofErr w:type="spellStart"/>
      <w:r w:rsidRPr="00E126EF">
        <w:rPr>
          <w:rFonts w:eastAsiaTheme="minorHAnsi" w:cstheme="minorBidi"/>
          <w:szCs w:val="22"/>
        </w:rPr>
        <w:t>Kuczynska</w:t>
      </w:r>
      <w:proofErr w:type="spellEnd"/>
      <w:r w:rsidRPr="00E126EF">
        <w:rPr>
          <w:rFonts w:eastAsiaTheme="minorHAnsi" w:cstheme="minorBidi"/>
          <w:szCs w:val="22"/>
        </w:rPr>
        <w:t xml:space="preserve"> A, Adcock IM, Almeida OF, Spengler D. Differential regulation and function of 5'-untranslated GR-exon 1 transcripts. Mol Endocrinol 2011; 25:1100-1110</w:t>
      </w:r>
    </w:p>
    <w:p w14:paraId="59D48BB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w:t>
      </w:r>
      <w:r w:rsidRPr="00E126EF">
        <w:rPr>
          <w:rFonts w:eastAsiaTheme="minorHAnsi" w:cstheme="minorBidi"/>
          <w:szCs w:val="22"/>
        </w:rPr>
        <w:tab/>
        <w:t xml:space="preserve">Denis M, Gustafsson JA, </w:t>
      </w:r>
      <w:proofErr w:type="spellStart"/>
      <w:r w:rsidRPr="00E126EF">
        <w:rPr>
          <w:rFonts w:eastAsiaTheme="minorHAnsi" w:cstheme="minorBidi"/>
          <w:szCs w:val="22"/>
        </w:rPr>
        <w:t>Wikstrom</w:t>
      </w:r>
      <w:proofErr w:type="spellEnd"/>
      <w:r w:rsidRPr="00E126EF">
        <w:rPr>
          <w:rFonts w:eastAsiaTheme="minorHAnsi" w:cstheme="minorBidi"/>
          <w:szCs w:val="22"/>
        </w:rPr>
        <w:t xml:space="preserve"> AC. Interaction of the </w:t>
      </w:r>
      <w:proofErr w:type="spellStart"/>
      <w:r w:rsidRPr="00E126EF">
        <w:rPr>
          <w:rFonts w:eastAsiaTheme="minorHAnsi" w:cstheme="minorBidi"/>
          <w:szCs w:val="22"/>
        </w:rPr>
        <w:t>Mr</w:t>
      </w:r>
      <w:proofErr w:type="spellEnd"/>
      <w:r w:rsidRPr="00E126EF">
        <w:rPr>
          <w:rFonts w:eastAsiaTheme="minorHAnsi" w:cstheme="minorBidi"/>
          <w:szCs w:val="22"/>
        </w:rPr>
        <w:t xml:space="preserve"> = 90,000 heat shock protein with the steroid-binding domain of the glucocorticoid receptor. J Biol Chem 1988; 263:18520-18523</w:t>
      </w:r>
    </w:p>
    <w:p w14:paraId="49FFE84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w:t>
      </w:r>
      <w:r w:rsidRPr="00E126EF">
        <w:rPr>
          <w:rFonts w:eastAsiaTheme="minorHAnsi" w:cstheme="minorBidi"/>
          <w:szCs w:val="22"/>
        </w:rPr>
        <w:tab/>
        <w:t>Czar MJ, Lyons RH, Welsh MJ, Renoir JM, Pratt WB. Evidence that the FK506-binding immunophilin heat shock protein 56 is required for trafficking of the glucocorticoid receptor from the cytoplasm to the nucleus. Mol Endocrinol 1995; 9:1549-1560</w:t>
      </w:r>
    </w:p>
    <w:p w14:paraId="797EE9F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49.</w:t>
      </w:r>
      <w:r w:rsidRPr="00E126EF">
        <w:rPr>
          <w:rFonts w:eastAsiaTheme="minorHAnsi" w:cstheme="minorBidi"/>
          <w:szCs w:val="22"/>
        </w:rPr>
        <w:tab/>
        <w:t xml:space="preserve">Owens-Grillo JK, Hoffmann K, Hutchison KA, </w:t>
      </w:r>
      <w:proofErr w:type="spellStart"/>
      <w:r w:rsidRPr="00E126EF">
        <w:rPr>
          <w:rFonts w:eastAsiaTheme="minorHAnsi" w:cstheme="minorBidi"/>
          <w:szCs w:val="22"/>
        </w:rPr>
        <w:t>Yem</w:t>
      </w:r>
      <w:proofErr w:type="spellEnd"/>
      <w:r w:rsidRPr="00E126EF">
        <w:rPr>
          <w:rFonts w:eastAsiaTheme="minorHAnsi" w:cstheme="minorBidi"/>
          <w:szCs w:val="22"/>
        </w:rPr>
        <w:t xml:space="preserve"> AW, </w:t>
      </w:r>
      <w:proofErr w:type="spellStart"/>
      <w:r w:rsidRPr="00E126EF">
        <w:rPr>
          <w:rFonts w:eastAsiaTheme="minorHAnsi" w:cstheme="minorBidi"/>
          <w:szCs w:val="22"/>
        </w:rPr>
        <w:t>Deibel</w:t>
      </w:r>
      <w:proofErr w:type="spellEnd"/>
      <w:r w:rsidRPr="00E126EF">
        <w:rPr>
          <w:rFonts w:eastAsiaTheme="minorHAnsi" w:cstheme="minorBidi"/>
          <w:szCs w:val="22"/>
        </w:rPr>
        <w:t xml:space="preserve"> MR, Jr., </w:t>
      </w:r>
      <w:proofErr w:type="spellStart"/>
      <w:r w:rsidRPr="00E126EF">
        <w:rPr>
          <w:rFonts w:eastAsiaTheme="minorHAnsi" w:cstheme="minorBidi"/>
          <w:szCs w:val="22"/>
        </w:rPr>
        <w:t>Handschumacher</w:t>
      </w:r>
      <w:proofErr w:type="spellEnd"/>
      <w:r w:rsidRPr="00E126EF">
        <w:rPr>
          <w:rFonts w:eastAsiaTheme="minorHAnsi" w:cstheme="minorBidi"/>
          <w:szCs w:val="22"/>
        </w:rPr>
        <w:t xml:space="preserve"> RE, Pratt WB. The cyclosporin A-binding immunophilin CyP-40 and the FK506-binding immunophilin hsp56 bind to a common site on hsp90 and exist in independent cytosolic heterocomplexes with the untransformed glucocorticoid receptor. J Biol Chem 1995; 270:20479-20484</w:t>
      </w:r>
    </w:p>
    <w:p w14:paraId="14E2CAC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50.</w:t>
      </w:r>
      <w:r w:rsidRPr="00E126EF">
        <w:rPr>
          <w:rFonts w:eastAsiaTheme="minorHAnsi" w:cstheme="minorBidi"/>
          <w:szCs w:val="22"/>
        </w:rPr>
        <w:tab/>
        <w:t xml:space="preserve">Savory JG, Hsu B, </w:t>
      </w:r>
      <w:proofErr w:type="spellStart"/>
      <w:r w:rsidRPr="00E126EF">
        <w:rPr>
          <w:rFonts w:eastAsiaTheme="minorHAnsi" w:cstheme="minorBidi"/>
          <w:szCs w:val="22"/>
        </w:rPr>
        <w:t>Laquian</w:t>
      </w:r>
      <w:proofErr w:type="spellEnd"/>
      <w:r w:rsidRPr="00E126EF">
        <w:rPr>
          <w:rFonts w:eastAsiaTheme="minorHAnsi" w:cstheme="minorBidi"/>
          <w:szCs w:val="22"/>
        </w:rPr>
        <w:t xml:space="preserve"> IR, </w:t>
      </w:r>
      <w:proofErr w:type="spellStart"/>
      <w:r w:rsidRPr="00E126EF">
        <w:rPr>
          <w:rFonts w:eastAsiaTheme="minorHAnsi" w:cstheme="minorBidi"/>
          <w:szCs w:val="22"/>
        </w:rPr>
        <w:t>Giffin</w:t>
      </w:r>
      <w:proofErr w:type="spellEnd"/>
      <w:r w:rsidRPr="00E126EF">
        <w:rPr>
          <w:rFonts w:eastAsiaTheme="minorHAnsi" w:cstheme="minorBidi"/>
          <w:szCs w:val="22"/>
        </w:rPr>
        <w:t xml:space="preserve"> W, Reich T, </w:t>
      </w:r>
      <w:proofErr w:type="spellStart"/>
      <w:r w:rsidRPr="00E126EF">
        <w:rPr>
          <w:rFonts w:eastAsiaTheme="minorHAnsi" w:cstheme="minorBidi"/>
          <w:szCs w:val="22"/>
        </w:rPr>
        <w:t>Hache</w:t>
      </w:r>
      <w:proofErr w:type="spellEnd"/>
      <w:r w:rsidRPr="00E126EF">
        <w:rPr>
          <w:rFonts w:eastAsiaTheme="minorHAnsi" w:cstheme="minorBidi"/>
          <w:szCs w:val="22"/>
        </w:rPr>
        <w:t xml:space="preserve"> RJ, Lefebvre YA. Discrimination between NL1- and NL2-mediated nuclear localization of the glucocorticoid receptor. Mol Cell Biol 1999; 19:1025-1037</w:t>
      </w:r>
    </w:p>
    <w:p w14:paraId="5B8AF01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51.</w:t>
      </w:r>
      <w:r w:rsidRPr="00E126EF">
        <w:rPr>
          <w:rFonts w:eastAsiaTheme="minorHAnsi" w:cstheme="minorBidi"/>
          <w:szCs w:val="22"/>
        </w:rPr>
        <w:tab/>
        <w:t>McNally JG, Muller WG, Walker D, Wolford R, Hager GL. The glucocorticoid receptor: rapid exchange with regulatory sites in living cells. Science 2000; 287:1262-1265</w:t>
      </w:r>
    </w:p>
    <w:p w14:paraId="7C2A79F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52.</w:t>
      </w:r>
      <w:r w:rsidRPr="00E126EF">
        <w:rPr>
          <w:rFonts w:eastAsiaTheme="minorHAnsi" w:cstheme="minorBidi"/>
          <w:szCs w:val="22"/>
        </w:rPr>
        <w:tab/>
        <w:t xml:space="preserve">Voss TC, </w:t>
      </w:r>
      <w:proofErr w:type="spellStart"/>
      <w:r w:rsidRPr="00E126EF">
        <w:rPr>
          <w:rFonts w:eastAsiaTheme="minorHAnsi" w:cstheme="minorBidi"/>
          <w:szCs w:val="22"/>
        </w:rPr>
        <w:t>Schiltz</w:t>
      </w:r>
      <w:proofErr w:type="spellEnd"/>
      <w:r w:rsidRPr="00E126EF">
        <w:rPr>
          <w:rFonts w:eastAsiaTheme="minorHAnsi" w:cstheme="minorBidi"/>
          <w:szCs w:val="22"/>
        </w:rPr>
        <w:t xml:space="preserve"> RL, Sung MH, Yen PM, </w:t>
      </w:r>
      <w:proofErr w:type="spellStart"/>
      <w:r w:rsidRPr="00E126EF">
        <w:rPr>
          <w:rFonts w:eastAsiaTheme="minorHAnsi" w:cstheme="minorBidi"/>
          <w:szCs w:val="22"/>
        </w:rPr>
        <w:t>Stamatoyannopoulos</w:t>
      </w:r>
      <w:proofErr w:type="spellEnd"/>
      <w:r w:rsidRPr="00E126EF">
        <w:rPr>
          <w:rFonts w:eastAsiaTheme="minorHAnsi" w:cstheme="minorBidi"/>
          <w:szCs w:val="22"/>
        </w:rPr>
        <w:t xml:space="preserve"> JA, </w:t>
      </w:r>
      <w:proofErr w:type="spellStart"/>
      <w:r w:rsidRPr="00E126EF">
        <w:rPr>
          <w:rFonts w:eastAsiaTheme="minorHAnsi" w:cstheme="minorBidi"/>
          <w:szCs w:val="22"/>
        </w:rPr>
        <w:t>Biddie</w:t>
      </w:r>
      <w:proofErr w:type="spellEnd"/>
      <w:r w:rsidRPr="00E126EF">
        <w:rPr>
          <w:rFonts w:eastAsiaTheme="minorHAnsi" w:cstheme="minorBidi"/>
          <w:szCs w:val="22"/>
        </w:rPr>
        <w:t xml:space="preserve"> SC, Johnson TA, Miranda TB, John S, Hager GL. Dynamic exchange at regulatory elements during chromatin remodeling underlies assisted loading mechanism. Cell 2011; 146:544-554</w:t>
      </w:r>
    </w:p>
    <w:p w14:paraId="049645D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53.</w:t>
      </w:r>
      <w:r w:rsidRPr="00E126EF">
        <w:rPr>
          <w:rFonts w:eastAsiaTheme="minorHAnsi" w:cstheme="minorBidi"/>
          <w:szCs w:val="22"/>
        </w:rPr>
        <w:tab/>
      </w:r>
      <w:proofErr w:type="spellStart"/>
      <w:r w:rsidRPr="00E126EF">
        <w:rPr>
          <w:rFonts w:eastAsiaTheme="minorHAnsi" w:cstheme="minorBidi"/>
          <w:szCs w:val="22"/>
        </w:rPr>
        <w:t>Morisaki</w:t>
      </w:r>
      <w:proofErr w:type="spellEnd"/>
      <w:r w:rsidRPr="00E126EF">
        <w:rPr>
          <w:rFonts w:eastAsiaTheme="minorHAnsi" w:cstheme="minorBidi"/>
          <w:szCs w:val="22"/>
        </w:rPr>
        <w:t xml:space="preserve"> T, Muller WG, </w:t>
      </w:r>
      <w:proofErr w:type="spellStart"/>
      <w:r w:rsidRPr="00E126EF">
        <w:rPr>
          <w:rFonts w:eastAsiaTheme="minorHAnsi" w:cstheme="minorBidi"/>
          <w:szCs w:val="22"/>
        </w:rPr>
        <w:t>Golob</w:t>
      </w:r>
      <w:proofErr w:type="spellEnd"/>
      <w:r w:rsidRPr="00E126EF">
        <w:rPr>
          <w:rFonts w:eastAsiaTheme="minorHAnsi" w:cstheme="minorBidi"/>
          <w:szCs w:val="22"/>
        </w:rPr>
        <w:t xml:space="preserve"> N, Mazza D, McNally JG. Single-molecule analysis of transcription factor binding at transcription sites in live cells. Nat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2014; 5:4456</w:t>
      </w:r>
    </w:p>
    <w:p w14:paraId="1400F5E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54.</w:t>
      </w:r>
      <w:r w:rsidRPr="00E126EF">
        <w:rPr>
          <w:rFonts w:eastAsiaTheme="minorHAnsi" w:cstheme="minorBidi"/>
          <w:szCs w:val="22"/>
        </w:rPr>
        <w:tab/>
      </w:r>
      <w:proofErr w:type="spellStart"/>
      <w:r w:rsidRPr="00E126EF">
        <w:rPr>
          <w:rFonts w:eastAsiaTheme="minorHAnsi" w:cstheme="minorBidi"/>
          <w:szCs w:val="22"/>
        </w:rPr>
        <w:t>Hache</w:t>
      </w:r>
      <w:proofErr w:type="spellEnd"/>
      <w:r w:rsidRPr="00E126EF">
        <w:rPr>
          <w:rFonts w:eastAsiaTheme="minorHAnsi" w:cstheme="minorBidi"/>
          <w:szCs w:val="22"/>
        </w:rPr>
        <w:t xml:space="preserve"> RJ, </w:t>
      </w:r>
      <w:proofErr w:type="spellStart"/>
      <w:r w:rsidRPr="00E126EF">
        <w:rPr>
          <w:rFonts w:eastAsiaTheme="minorHAnsi" w:cstheme="minorBidi"/>
          <w:szCs w:val="22"/>
        </w:rPr>
        <w:t>Tse</w:t>
      </w:r>
      <w:proofErr w:type="spellEnd"/>
      <w:r w:rsidRPr="00E126EF">
        <w:rPr>
          <w:rFonts w:eastAsiaTheme="minorHAnsi" w:cstheme="minorBidi"/>
          <w:szCs w:val="22"/>
        </w:rPr>
        <w:t xml:space="preserve"> R, Reich T, Savory JG, Lefebvre YA. Nucleocytoplasmic trafficking of steroid-free glucocorticoid receptor. J Biol Chem 1999; 274:1432-1439</w:t>
      </w:r>
    </w:p>
    <w:p w14:paraId="03E5B73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55.</w:t>
      </w:r>
      <w:r w:rsidRPr="00E126EF">
        <w:rPr>
          <w:rFonts w:eastAsiaTheme="minorHAnsi" w:cstheme="minorBidi"/>
          <w:szCs w:val="22"/>
        </w:rPr>
        <w:tab/>
        <w:t xml:space="preserve">Yang J, Liu J, </w:t>
      </w:r>
      <w:proofErr w:type="spellStart"/>
      <w:r w:rsidRPr="00E126EF">
        <w:rPr>
          <w:rFonts w:eastAsiaTheme="minorHAnsi" w:cstheme="minorBidi"/>
          <w:szCs w:val="22"/>
        </w:rPr>
        <w:t>DeFranco</w:t>
      </w:r>
      <w:proofErr w:type="spellEnd"/>
      <w:r w:rsidRPr="00E126EF">
        <w:rPr>
          <w:rFonts w:eastAsiaTheme="minorHAnsi" w:cstheme="minorBidi"/>
          <w:szCs w:val="22"/>
        </w:rPr>
        <w:t xml:space="preserve"> DB. Subnuclear trafficking of glucocorticoid receptors in vitro: chromatin recycling and nuclear export. J Cell Biol 1997; 137:523-538</w:t>
      </w:r>
    </w:p>
    <w:p w14:paraId="1EB2AA3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56.</w:t>
      </w:r>
      <w:r w:rsidRPr="00E126EF">
        <w:rPr>
          <w:rFonts w:eastAsiaTheme="minorHAnsi" w:cstheme="minorBidi"/>
          <w:szCs w:val="22"/>
        </w:rPr>
        <w:tab/>
      </w:r>
      <w:proofErr w:type="spellStart"/>
      <w:r w:rsidRPr="00E126EF">
        <w:rPr>
          <w:rFonts w:eastAsiaTheme="minorHAnsi" w:cstheme="minorBidi"/>
          <w:szCs w:val="22"/>
        </w:rPr>
        <w:t>DeFranco</w:t>
      </w:r>
      <w:proofErr w:type="spellEnd"/>
      <w:r w:rsidRPr="00E126EF">
        <w:rPr>
          <w:rFonts w:eastAsiaTheme="minorHAnsi" w:cstheme="minorBidi"/>
          <w:szCs w:val="22"/>
        </w:rPr>
        <w:t xml:space="preserve"> DB. Subnuclear trafficking of steroid receptors.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Soc Trans 1997; 25:592-597</w:t>
      </w:r>
    </w:p>
    <w:p w14:paraId="47382B9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57.</w:t>
      </w:r>
      <w:r w:rsidRPr="00E126EF">
        <w:rPr>
          <w:rFonts w:eastAsiaTheme="minorHAnsi" w:cstheme="minorBidi"/>
          <w:szCs w:val="22"/>
        </w:rPr>
        <w:tab/>
      </w:r>
      <w:proofErr w:type="spellStart"/>
      <w:r w:rsidRPr="00E126EF">
        <w:rPr>
          <w:rFonts w:eastAsiaTheme="minorHAnsi" w:cstheme="minorBidi"/>
          <w:szCs w:val="22"/>
        </w:rPr>
        <w:t>Kinyamu</w:t>
      </w:r>
      <w:proofErr w:type="spellEnd"/>
      <w:r w:rsidRPr="00E126EF">
        <w:rPr>
          <w:rFonts w:eastAsiaTheme="minorHAnsi" w:cstheme="minorBidi"/>
          <w:szCs w:val="22"/>
        </w:rPr>
        <w:t xml:space="preserve"> HK, Chen J, Archer TK. Linking the ubiquitin-proteasome pathway to chromatin remodeling/modification by nuclear receptors. J Mol Endocrinol 2005; 34:281-297</w:t>
      </w:r>
    </w:p>
    <w:p w14:paraId="50EDEBA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58.</w:t>
      </w:r>
      <w:r w:rsidRPr="00E126EF">
        <w:rPr>
          <w:rFonts w:eastAsiaTheme="minorHAnsi" w:cstheme="minorBidi"/>
          <w:szCs w:val="22"/>
        </w:rPr>
        <w:tab/>
        <w:t xml:space="preserve">Kino T, </w:t>
      </w:r>
      <w:proofErr w:type="spellStart"/>
      <w:r w:rsidRPr="00E126EF">
        <w:rPr>
          <w:rFonts w:eastAsiaTheme="minorHAnsi" w:cstheme="minorBidi"/>
          <w:szCs w:val="22"/>
        </w:rPr>
        <w:t>Liou</w:t>
      </w:r>
      <w:proofErr w:type="spellEnd"/>
      <w:r w:rsidRPr="00E126EF">
        <w:rPr>
          <w:rFonts w:eastAsiaTheme="minorHAnsi" w:cstheme="minorBidi"/>
          <w:szCs w:val="22"/>
        </w:rPr>
        <w:t xml:space="preserve"> SH, Charmandari E, Chrousos GP. Glucocorticoid receptor mutants demonstrate increased motility inside the nucleus of living cells: time of fluorescence recovery after photobleaching (FRAP) is an integrated measure of receptor function. Mol Med 2004; 10:80-88</w:t>
      </w:r>
    </w:p>
    <w:p w14:paraId="5275E8F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59.</w:t>
      </w:r>
      <w:r w:rsidRPr="00E126EF">
        <w:rPr>
          <w:rFonts w:eastAsiaTheme="minorHAnsi" w:cstheme="minorBidi"/>
          <w:szCs w:val="22"/>
        </w:rPr>
        <w:tab/>
        <w:t xml:space="preserve">Kino T, De Martino MU, Charmandari E, Mirani M, Chrousos GP. Tissue glucocorticoid resistance/hypersensitivity syndromes. J Steroid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Mol Biol 2003; 85:457-467</w:t>
      </w:r>
    </w:p>
    <w:p w14:paraId="107725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60.</w:t>
      </w:r>
      <w:r w:rsidRPr="00E126EF">
        <w:rPr>
          <w:rFonts w:eastAsiaTheme="minorHAnsi" w:cstheme="minorBidi"/>
          <w:szCs w:val="22"/>
        </w:rPr>
        <w:tab/>
      </w:r>
      <w:proofErr w:type="spellStart"/>
      <w:r w:rsidRPr="00E126EF">
        <w:rPr>
          <w:rFonts w:eastAsiaTheme="minorHAnsi" w:cstheme="minorBidi"/>
          <w:szCs w:val="22"/>
        </w:rPr>
        <w:t>Holaska</w:t>
      </w:r>
      <w:proofErr w:type="spellEnd"/>
      <w:r w:rsidRPr="00E126EF">
        <w:rPr>
          <w:rFonts w:eastAsiaTheme="minorHAnsi" w:cstheme="minorBidi"/>
          <w:szCs w:val="22"/>
        </w:rPr>
        <w:t xml:space="preserve"> JM, Black BE, Love DC, Hanover JA, </w:t>
      </w:r>
      <w:proofErr w:type="spellStart"/>
      <w:r w:rsidRPr="00E126EF">
        <w:rPr>
          <w:rFonts w:eastAsiaTheme="minorHAnsi" w:cstheme="minorBidi"/>
          <w:szCs w:val="22"/>
        </w:rPr>
        <w:t>Leszyk</w:t>
      </w:r>
      <w:proofErr w:type="spellEnd"/>
      <w:r w:rsidRPr="00E126EF">
        <w:rPr>
          <w:rFonts w:eastAsiaTheme="minorHAnsi" w:cstheme="minorBidi"/>
          <w:szCs w:val="22"/>
        </w:rPr>
        <w:t xml:space="preserve"> J, Paschal BM. Calreticulin is a receptor for nuclear export. J Cell Biol 2001; 152:127-140</w:t>
      </w:r>
    </w:p>
    <w:p w14:paraId="45DDA43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61.</w:t>
      </w:r>
      <w:r w:rsidRPr="00E126EF">
        <w:rPr>
          <w:rFonts w:eastAsiaTheme="minorHAnsi" w:cstheme="minorBidi"/>
          <w:szCs w:val="22"/>
        </w:rPr>
        <w:tab/>
        <w:t xml:space="preserve">Black BE, </w:t>
      </w:r>
      <w:proofErr w:type="spellStart"/>
      <w:r w:rsidRPr="00E126EF">
        <w:rPr>
          <w:rFonts w:eastAsiaTheme="minorHAnsi" w:cstheme="minorBidi"/>
          <w:szCs w:val="22"/>
        </w:rPr>
        <w:t>Holaska</w:t>
      </w:r>
      <w:proofErr w:type="spellEnd"/>
      <w:r w:rsidRPr="00E126EF">
        <w:rPr>
          <w:rFonts w:eastAsiaTheme="minorHAnsi" w:cstheme="minorBidi"/>
          <w:szCs w:val="22"/>
        </w:rPr>
        <w:t xml:space="preserve"> JM, </w:t>
      </w:r>
      <w:proofErr w:type="spellStart"/>
      <w:r w:rsidRPr="00E126EF">
        <w:rPr>
          <w:rFonts w:eastAsiaTheme="minorHAnsi" w:cstheme="minorBidi"/>
          <w:szCs w:val="22"/>
        </w:rPr>
        <w:t>Rastinejad</w:t>
      </w:r>
      <w:proofErr w:type="spellEnd"/>
      <w:r w:rsidRPr="00E126EF">
        <w:rPr>
          <w:rFonts w:eastAsiaTheme="minorHAnsi" w:cstheme="minorBidi"/>
          <w:szCs w:val="22"/>
        </w:rPr>
        <w:t xml:space="preserve"> F, Paschal BM. DNA binding domains in diverse nuclear receptors function as nuclear export signals. </w:t>
      </w:r>
      <w:proofErr w:type="spellStart"/>
      <w:r w:rsidRPr="00E126EF">
        <w:rPr>
          <w:rFonts w:eastAsiaTheme="minorHAnsi" w:cstheme="minorBidi"/>
          <w:szCs w:val="22"/>
        </w:rPr>
        <w:t>Curr</w:t>
      </w:r>
      <w:proofErr w:type="spellEnd"/>
      <w:r w:rsidRPr="00E126EF">
        <w:rPr>
          <w:rFonts w:eastAsiaTheme="minorHAnsi" w:cstheme="minorBidi"/>
          <w:szCs w:val="22"/>
        </w:rPr>
        <w:t xml:space="preserve"> Biol 2001; 11:1749-1758</w:t>
      </w:r>
    </w:p>
    <w:p w14:paraId="62F22EF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62.</w:t>
      </w:r>
      <w:r w:rsidRPr="00E126EF">
        <w:rPr>
          <w:rFonts w:eastAsiaTheme="minorHAnsi" w:cstheme="minorBidi"/>
          <w:szCs w:val="22"/>
        </w:rPr>
        <w:tab/>
      </w:r>
      <w:proofErr w:type="spellStart"/>
      <w:r w:rsidRPr="00E126EF">
        <w:rPr>
          <w:rFonts w:eastAsiaTheme="minorHAnsi" w:cstheme="minorBidi"/>
          <w:szCs w:val="22"/>
        </w:rPr>
        <w:t>Holaska</w:t>
      </w:r>
      <w:proofErr w:type="spellEnd"/>
      <w:r w:rsidRPr="00E126EF">
        <w:rPr>
          <w:rFonts w:eastAsiaTheme="minorHAnsi" w:cstheme="minorBidi"/>
          <w:szCs w:val="22"/>
        </w:rPr>
        <w:t xml:space="preserve"> JM, Black BE, </w:t>
      </w:r>
      <w:proofErr w:type="spellStart"/>
      <w:r w:rsidRPr="00E126EF">
        <w:rPr>
          <w:rFonts w:eastAsiaTheme="minorHAnsi" w:cstheme="minorBidi"/>
          <w:szCs w:val="22"/>
        </w:rPr>
        <w:t>Rastinejad</w:t>
      </w:r>
      <w:proofErr w:type="spellEnd"/>
      <w:r w:rsidRPr="00E126EF">
        <w:rPr>
          <w:rFonts w:eastAsiaTheme="minorHAnsi" w:cstheme="minorBidi"/>
          <w:szCs w:val="22"/>
        </w:rPr>
        <w:t xml:space="preserve"> F, Paschal BM. Ca2+-dependent nuclear export mediated by calreticulin. Mol Cell Biol 2002; 22:6286-6297</w:t>
      </w:r>
    </w:p>
    <w:p w14:paraId="7FFFC6A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63.</w:t>
      </w:r>
      <w:r w:rsidRPr="00E126EF">
        <w:rPr>
          <w:rFonts w:eastAsiaTheme="minorHAnsi" w:cstheme="minorBidi"/>
          <w:szCs w:val="22"/>
        </w:rPr>
        <w:tab/>
        <w:t xml:space="preserve">Itoh M, Adachi M, </w:t>
      </w:r>
      <w:proofErr w:type="spellStart"/>
      <w:r w:rsidRPr="00E126EF">
        <w:rPr>
          <w:rFonts w:eastAsiaTheme="minorHAnsi" w:cstheme="minorBidi"/>
          <w:szCs w:val="22"/>
        </w:rPr>
        <w:t>Yasui</w:t>
      </w:r>
      <w:proofErr w:type="spellEnd"/>
      <w:r w:rsidRPr="00E126EF">
        <w:rPr>
          <w:rFonts w:eastAsiaTheme="minorHAnsi" w:cstheme="minorBidi"/>
          <w:szCs w:val="22"/>
        </w:rPr>
        <w:t xml:space="preserve"> H, </w:t>
      </w:r>
      <w:proofErr w:type="spellStart"/>
      <w:r w:rsidRPr="00E126EF">
        <w:rPr>
          <w:rFonts w:eastAsiaTheme="minorHAnsi" w:cstheme="minorBidi"/>
          <w:szCs w:val="22"/>
        </w:rPr>
        <w:t>Takekawa</w:t>
      </w:r>
      <w:proofErr w:type="spellEnd"/>
      <w:r w:rsidRPr="00E126EF">
        <w:rPr>
          <w:rFonts w:eastAsiaTheme="minorHAnsi" w:cstheme="minorBidi"/>
          <w:szCs w:val="22"/>
        </w:rPr>
        <w:t xml:space="preserve"> M, Tanaka H, Imai K. Nuclear export of glucocorticoid receptor is enhanced by c-Jun N-terminal kinase-mediated phosphorylation. Mol Endocrinol 2002; 16:2382-2392</w:t>
      </w:r>
    </w:p>
    <w:p w14:paraId="12745B6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64.</w:t>
      </w:r>
      <w:r w:rsidRPr="00E126EF">
        <w:rPr>
          <w:rFonts w:eastAsiaTheme="minorHAnsi" w:cstheme="minorBidi"/>
          <w:szCs w:val="22"/>
        </w:rPr>
        <w:tab/>
        <w:t xml:space="preserve">Kino T, </w:t>
      </w:r>
      <w:proofErr w:type="spellStart"/>
      <w:r w:rsidRPr="00E126EF">
        <w:rPr>
          <w:rFonts w:eastAsiaTheme="minorHAnsi" w:cstheme="minorBidi"/>
          <w:szCs w:val="22"/>
        </w:rPr>
        <w:t>Souvatzoglou</w:t>
      </w:r>
      <w:proofErr w:type="spellEnd"/>
      <w:r w:rsidRPr="00E126EF">
        <w:rPr>
          <w:rFonts w:eastAsiaTheme="minorHAnsi" w:cstheme="minorBidi"/>
          <w:szCs w:val="22"/>
        </w:rPr>
        <w:t xml:space="preserve"> E, De Martino MU, </w:t>
      </w:r>
      <w:proofErr w:type="spellStart"/>
      <w:r w:rsidRPr="00E126EF">
        <w:rPr>
          <w:rFonts w:eastAsiaTheme="minorHAnsi" w:cstheme="minorBidi"/>
          <w:szCs w:val="22"/>
        </w:rPr>
        <w:t>Tsopanomihalu</w:t>
      </w:r>
      <w:proofErr w:type="spellEnd"/>
      <w:r w:rsidRPr="00E126EF">
        <w:rPr>
          <w:rFonts w:eastAsiaTheme="minorHAnsi" w:cstheme="minorBidi"/>
          <w:szCs w:val="22"/>
        </w:rPr>
        <w:t xml:space="preserve"> M, Wan Y, Chrousos GP. Protein 14-3-3s interacts with and favors cytoplasmic subcellular localization of the glucocorticoid receptor, acting as a negative regulator of the glucocorticoid signaling pathway. J Biol Chem 2003; 278:25651-25656</w:t>
      </w:r>
    </w:p>
    <w:p w14:paraId="14E3E99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65.</w:t>
      </w:r>
      <w:r w:rsidRPr="00E126EF">
        <w:rPr>
          <w:rFonts w:eastAsiaTheme="minorHAnsi" w:cstheme="minorBidi"/>
          <w:szCs w:val="22"/>
        </w:rPr>
        <w:tab/>
        <w:t xml:space="preserve">Habib T, </w:t>
      </w:r>
      <w:proofErr w:type="spellStart"/>
      <w:r w:rsidRPr="00E126EF">
        <w:rPr>
          <w:rFonts w:eastAsiaTheme="minorHAnsi" w:cstheme="minorBidi"/>
          <w:szCs w:val="22"/>
        </w:rPr>
        <w:t>Sadoun</w:t>
      </w:r>
      <w:proofErr w:type="spellEnd"/>
      <w:r w:rsidRPr="00E126EF">
        <w:rPr>
          <w:rFonts w:eastAsiaTheme="minorHAnsi" w:cstheme="minorBidi"/>
          <w:szCs w:val="22"/>
        </w:rPr>
        <w:t xml:space="preserve"> A, Nader N, Suzuki S, Liu W, </w:t>
      </w:r>
      <w:proofErr w:type="spellStart"/>
      <w:r w:rsidRPr="00E126EF">
        <w:rPr>
          <w:rFonts w:eastAsiaTheme="minorHAnsi" w:cstheme="minorBidi"/>
          <w:szCs w:val="22"/>
        </w:rPr>
        <w:t>Jithesh</w:t>
      </w:r>
      <w:proofErr w:type="spellEnd"/>
      <w:r w:rsidRPr="00E126EF">
        <w:rPr>
          <w:rFonts w:eastAsiaTheme="minorHAnsi" w:cstheme="minorBidi"/>
          <w:szCs w:val="22"/>
        </w:rPr>
        <w:t xml:space="preserve"> PV, Kino T. AKT1 has dual actions on the glucocorticoid receptor by cooperating with 14-3-3. Mol Cell Endocrinol 2017; 439:431-443</w:t>
      </w:r>
    </w:p>
    <w:p w14:paraId="068632C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66.</w:t>
      </w:r>
      <w:r w:rsidRPr="00E126EF">
        <w:rPr>
          <w:rFonts w:eastAsiaTheme="minorHAnsi" w:cstheme="minorBidi"/>
          <w:szCs w:val="22"/>
        </w:rPr>
        <w:tab/>
      </w:r>
      <w:proofErr w:type="spellStart"/>
      <w:r w:rsidRPr="00E126EF">
        <w:rPr>
          <w:rFonts w:eastAsiaTheme="minorHAnsi" w:cstheme="minorBidi"/>
          <w:szCs w:val="22"/>
        </w:rPr>
        <w:t>Psarra</w:t>
      </w:r>
      <w:proofErr w:type="spellEnd"/>
      <w:r w:rsidRPr="00E126EF">
        <w:rPr>
          <w:rFonts w:eastAsiaTheme="minorHAnsi" w:cstheme="minorBidi"/>
          <w:szCs w:val="22"/>
        </w:rPr>
        <w:t xml:space="preserve"> AM, </w:t>
      </w:r>
      <w:proofErr w:type="spellStart"/>
      <w:r w:rsidRPr="00E126EF">
        <w:rPr>
          <w:rFonts w:eastAsiaTheme="minorHAnsi" w:cstheme="minorBidi"/>
          <w:szCs w:val="22"/>
        </w:rPr>
        <w:t>Sekeris</w:t>
      </w:r>
      <w:proofErr w:type="spellEnd"/>
      <w:r w:rsidRPr="00E126EF">
        <w:rPr>
          <w:rFonts w:eastAsiaTheme="minorHAnsi" w:cstheme="minorBidi"/>
          <w:szCs w:val="22"/>
        </w:rPr>
        <w:t xml:space="preserve"> CE. Glucocorticoids induce mitochondrial gene transcription in HepG2 cells: role of the mitochondrial glucocorticoid receptor. </w:t>
      </w:r>
      <w:proofErr w:type="spellStart"/>
      <w:r w:rsidRPr="00E126EF">
        <w:rPr>
          <w:rFonts w:eastAsiaTheme="minorHAnsi" w:cstheme="minorBidi"/>
          <w:szCs w:val="22"/>
        </w:rPr>
        <w:t>Biochim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Acta 2011; 1813:1814-1821</w:t>
      </w:r>
    </w:p>
    <w:p w14:paraId="6556069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67.</w:t>
      </w:r>
      <w:r w:rsidRPr="00E126EF">
        <w:rPr>
          <w:rFonts w:eastAsiaTheme="minorHAnsi" w:cstheme="minorBidi"/>
          <w:szCs w:val="22"/>
        </w:rPr>
        <w:tab/>
        <w:t xml:space="preserve">Hunter RG, </w:t>
      </w:r>
      <w:proofErr w:type="spellStart"/>
      <w:r w:rsidRPr="00E126EF">
        <w:rPr>
          <w:rFonts w:eastAsiaTheme="minorHAnsi" w:cstheme="minorBidi"/>
          <w:szCs w:val="22"/>
        </w:rPr>
        <w:t>Seligsohn</w:t>
      </w:r>
      <w:proofErr w:type="spellEnd"/>
      <w:r w:rsidRPr="00E126EF">
        <w:rPr>
          <w:rFonts w:eastAsiaTheme="minorHAnsi" w:cstheme="minorBidi"/>
          <w:szCs w:val="22"/>
        </w:rPr>
        <w:t xml:space="preserve"> M, Rubin TG, Griffiths BB, </w:t>
      </w:r>
      <w:proofErr w:type="spellStart"/>
      <w:r w:rsidRPr="00E126EF">
        <w:rPr>
          <w:rFonts w:eastAsiaTheme="minorHAnsi" w:cstheme="minorBidi"/>
          <w:szCs w:val="22"/>
        </w:rPr>
        <w:t>Ozdemir</w:t>
      </w:r>
      <w:proofErr w:type="spellEnd"/>
      <w:r w:rsidRPr="00E126EF">
        <w:rPr>
          <w:rFonts w:eastAsiaTheme="minorHAnsi" w:cstheme="minorBidi"/>
          <w:szCs w:val="22"/>
        </w:rPr>
        <w:t xml:space="preserve"> Y, Pfaff DW, </w:t>
      </w:r>
      <w:proofErr w:type="spellStart"/>
      <w:r w:rsidRPr="00E126EF">
        <w:rPr>
          <w:rFonts w:eastAsiaTheme="minorHAnsi" w:cstheme="minorBidi"/>
          <w:szCs w:val="22"/>
        </w:rPr>
        <w:t>Datson</w:t>
      </w:r>
      <w:proofErr w:type="spellEnd"/>
      <w:r w:rsidRPr="00E126EF">
        <w:rPr>
          <w:rFonts w:eastAsiaTheme="minorHAnsi" w:cstheme="minorBidi"/>
          <w:szCs w:val="22"/>
        </w:rPr>
        <w:t xml:space="preserve"> NA, McEwen BS. Stress and corticosteroids regulate rat hippocampal mitochondrial DNA gene expression via the glucocorticoid receptor.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2016; 113:9099-9104</w:t>
      </w:r>
    </w:p>
    <w:p w14:paraId="30474E4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68.</w:t>
      </w:r>
      <w:r w:rsidRPr="00E126EF">
        <w:rPr>
          <w:rFonts w:eastAsiaTheme="minorHAnsi" w:cstheme="minorBidi"/>
          <w:szCs w:val="22"/>
        </w:rPr>
        <w:tab/>
        <w:t xml:space="preserve">He Y, Xu Y, Zhang C, Gao X, Dykema KJ, Martin KR, </w:t>
      </w:r>
      <w:proofErr w:type="spellStart"/>
      <w:r w:rsidRPr="00E126EF">
        <w:rPr>
          <w:rFonts w:eastAsiaTheme="minorHAnsi" w:cstheme="minorBidi"/>
          <w:szCs w:val="22"/>
        </w:rPr>
        <w:t>Ke</w:t>
      </w:r>
      <w:proofErr w:type="spellEnd"/>
      <w:r w:rsidRPr="00E126EF">
        <w:rPr>
          <w:rFonts w:eastAsiaTheme="minorHAnsi" w:cstheme="minorBidi"/>
          <w:szCs w:val="22"/>
        </w:rPr>
        <w:t xml:space="preserve"> J, Hudson EA, Khoo SK, </w:t>
      </w:r>
      <w:proofErr w:type="spellStart"/>
      <w:r w:rsidRPr="00E126EF">
        <w:rPr>
          <w:rFonts w:eastAsiaTheme="minorHAnsi" w:cstheme="minorBidi"/>
          <w:szCs w:val="22"/>
        </w:rPr>
        <w:t>Resau</w:t>
      </w:r>
      <w:proofErr w:type="spellEnd"/>
      <w:r w:rsidRPr="00E126EF">
        <w:rPr>
          <w:rFonts w:eastAsiaTheme="minorHAnsi" w:cstheme="minorBidi"/>
          <w:szCs w:val="22"/>
        </w:rPr>
        <w:t xml:space="preserve"> JH, Alberts AS, MacKeigan JP, </w:t>
      </w:r>
      <w:proofErr w:type="spellStart"/>
      <w:r w:rsidRPr="00E126EF">
        <w:rPr>
          <w:rFonts w:eastAsiaTheme="minorHAnsi" w:cstheme="minorBidi"/>
          <w:szCs w:val="22"/>
        </w:rPr>
        <w:t>Furge</w:t>
      </w:r>
      <w:proofErr w:type="spellEnd"/>
      <w:r w:rsidRPr="00E126EF">
        <w:rPr>
          <w:rFonts w:eastAsiaTheme="minorHAnsi" w:cstheme="minorBidi"/>
          <w:szCs w:val="22"/>
        </w:rPr>
        <w:t xml:space="preserve"> KA, Xu HE. Identification of a lysosomal pathway that modulates glucocorticoid signaling and the inflammatory response. Sci Signal 2011; 4:ra44</w:t>
      </w:r>
    </w:p>
    <w:p w14:paraId="3A92026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69.</w:t>
      </w:r>
      <w:r w:rsidRPr="00E126EF">
        <w:rPr>
          <w:rFonts w:eastAsiaTheme="minorHAnsi" w:cstheme="minorBidi"/>
          <w:szCs w:val="22"/>
        </w:rPr>
        <w:tab/>
        <w:t xml:space="preserve">Bamberger CM, Schulte HM, Chrousos GP. Molecular determinants of glucocorticoid receptor function and tissue sensitivity to glucocorticoids.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1996; 17:245-261</w:t>
      </w:r>
    </w:p>
    <w:p w14:paraId="0E74289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70.</w:t>
      </w:r>
      <w:r w:rsidRPr="00E126EF">
        <w:rPr>
          <w:rFonts w:eastAsiaTheme="minorHAnsi" w:cstheme="minorBidi"/>
          <w:szCs w:val="22"/>
        </w:rPr>
        <w:tab/>
        <w:t xml:space="preserve">Lieberman BA, Bona BJ, Edwards DP, </w:t>
      </w:r>
      <w:proofErr w:type="spellStart"/>
      <w:r w:rsidRPr="00E126EF">
        <w:rPr>
          <w:rFonts w:eastAsiaTheme="minorHAnsi" w:cstheme="minorBidi"/>
          <w:szCs w:val="22"/>
        </w:rPr>
        <w:t>Nordeen</w:t>
      </w:r>
      <w:proofErr w:type="spellEnd"/>
      <w:r w:rsidRPr="00E126EF">
        <w:rPr>
          <w:rFonts w:eastAsiaTheme="minorHAnsi" w:cstheme="minorBidi"/>
          <w:szCs w:val="22"/>
        </w:rPr>
        <w:t xml:space="preserve"> SK. The constitution of a progesterone response element. Mol Endocrinol 1993; 7:515-527</w:t>
      </w:r>
    </w:p>
    <w:p w14:paraId="1946725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71.</w:t>
      </w:r>
      <w:r w:rsidRPr="00E126EF">
        <w:rPr>
          <w:rFonts w:eastAsiaTheme="minorHAnsi" w:cstheme="minorBidi"/>
          <w:szCs w:val="22"/>
        </w:rPr>
        <w:tab/>
      </w:r>
      <w:proofErr w:type="spellStart"/>
      <w:r w:rsidRPr="00E126EF">
        <w:rPr>
          <w:rFonts w:eastAsiaTheme="minorHAnsi" w:cstheme="minorBidi"/>
          <w:szCs w:val="22"/>
        </w:rPr>
        <w:t>Presman</w:t>
      </w:r>
      <w:proofErr w:type="spellEnd"/>
      <w:r w:rsidRPr="00E126EF">
        <w:rPr>
          <w:rFonts w:eastAsiaTheme="minorHAnsi" w:cstheme="minorBidi"/>
          <w:szCs w:val="22"/>
        </w:rPr>
        <w:t xml:space="preserve"> DM, </w:t>
      </w:r>
      <w:proofErr w:type="spellStart"/>
      <w:r w:rsidRPr="00E126EF">
        <w:rPr>
          <w:rFonts w:eastAsiaTheme="minorHAnsi" w:cstheme="minorBidi"/>
          <w:szCs w:val="22"/>
        </w:rPr>
        <w:t>Ogara</w:t>
      </w:r>
      <w:proofErr w:type="spellEnd"/>
      <w:r w:rsidRPr="00E126EF">
        <w:rPr>
          <w:rFonts w:eastAsiaTheme="minorHAnsi" w:cstheme="minorBidi"/>
          <w:szCs w:val="22"/>
        </w:rPr>
        <w:t xml:space="preserve"> MF, </w:t>
      </w:r>
      <w:proofErr w:type="spellStart"/>
      <w:r w:rsidRPr="00E126EF">
        <w:rPr>
          <w:rFonts w:eastAsiaTheme="minorHAnsi" w:cstheme="minorBidi"/>
          <w:szCs w:val="22"/>
        </w:rPr>
        <w:t>Stortz</w:t>
      </w:r>
      <w:proofErr w:type="spellEnd"/>
      <w:r w:rsidRPr="00E126EF">
        <w:rPr>
          <w:rFonts w:eastAsiaTheme="minorHAnsi" w:cstheme="minorBidi"/>
          <w:szCs w:val="22"/>
        </w:rPr>
        <w:t xml:space="preserve"> M, Alvarez LD, Pooley JR, </w:t>
      </w:r>
      <w:proofErr w:type="spellStart"/>
      <w:r w:rsidRPr="00E126EF">
        <w:rPr>
          <w:rFonts w:eastAsiaTheme="minorHAnsi" w:cstheme="minorBidi"/>
          <w:szCs w:val="22"/>
        </w:rPr>
        <w:t>Schiltz</w:t>
      </w:r>
      <w:proofErr w:type="spellEnd"/>
      <w:r w:rsidRPr="00E126EF">
        <w:rPr>
          <w:rFonts w:eastAsiaTheme="minorHAnsi" w:cstheme="minorBidi"/>
          <w:szCs w:val="22"/>
        </w:rPr>
        <w:t xml:space="preserve"> RL, </w:t>
      </w:r>
      <w:proofErr w:type="spellStart"/>
      <w:r w:rsidRPr="00E126EF">
        <w:rPr>
          <w:rFonts w:eastAsiaTheme="minorHAnsi" w:cstheme="minorBidi"/>
          <w:szCs w:val="22"/>
        </w:rPr>
        <w:t>Grontved</w:t>
      </w:r>
      <w:proofErr w:type="spellEnd"/>
      <w:r w:rsidRPr="00E126EF">
        <w:rPr>
          <w:rFonts w:eastAsiaTheme="minorHAnsi" w:cstheme="minorBidi"/>
          <w:szCs w:val="22"/>
        </w:rPr>
        <w:t xml:space="preserve"> L, Johnson TA, </w:t>
      </w:r>
      <w:proofErr w:type="spellStart"/>
      <w:r w:rsidRPr="00E126EF">
        <w:rPr>
          <w:rFonts w:eastAsiaTheme="minorHAnsi" w:cstheme="minorBidi"/>
          <w:szCs w:val="22"/>
        </w:rPr>
        <w:t>Mittelstadt</w:t>
      </w:r>
      <w:proofErr w:type="spellEnd"/>
      <w:r w:rsidRPr="00E126EF">
        <w:rPr>
          <w:rFonts w:eastAsiaTheme="minorHAnsi" w:cstheme="minorBidi"/>
          <w:szCs w:val="22"/>
        </w:rPr>
        <w:t xml:space="preserve"> PR, Ashwell JD, Ganesan S, Burton G, Levi V, Hager GL, </w:t>
      </w:r>
      <w:proofErr w:type="spellStart"/>
      <w:r w:rsidRPr="00E126EF">
        <w:rPr>
          <w:rFonts w:eastAsiaTheme="minorHAnsi" w:cstheme="minorBidi"/>
          <w:szCs w:val="22"/>
        </w:rPr>
        <w:t>Pecci</w:t>
      </w:r>
      <w:proofErr w:type="spellEnd"/>
      <w:r w:rsidRPr="00E126EF">
        <w:rPr>
          <w:rFonts w:eastAsiaTheme="minorHAnsi" w:cstheme="minorBidi"/>
          <w:szCs w:val="22"/>
        </w:rPr>
        <w:t xml:space="preserve"> A. Live cell imaging unveils multiple domain requirements for in vivo dimerization of the glucocorticoid receptor. </w:t>
      </w:r>
      <w:proofErr w:type="spellStart"/>
      <w:r w:rsidRPr="00E126EF">
        <w:rPr>
          <w:rFonts w:eastAsiaTheme="minorHAnsi" w:cstheme="minorBidi"/>
          <w:szCs w:val="22"/>
        </w:rPr>
        <w:t>PLoS</w:t>
      </w:r>
      <w:proofErr w:type="spellEnd"/>
      <w:r w:rsidRPr="00E126EF">
        <w:rPr>
          <w:rFonts w:eastAsiaTheme="minorHAnsi" w:cstheme="minorBidi"/>
          <w:szCs w:val="22"/>
        </w:rPr>
        <w:t xml:space="preserve"> Biol 2014; </w:t>
      </w:r>
      <w:proofErr w:type="gramStart"/>
      <w:r w:rsidRPr="00E126EF">
        <w:rPr>
          <w:rFonts w:eastAsiaTheme="minorHAnsi" w:cstheme="minorBidi"/>
          <w:szCs w:val="22"/>
        </w:rPr>
        <w:t>12:e</w:t>
      </w:r>
      <w:proofErr w:type="gramEnd"/>
      <w:r w:rsidRPr="00E126EF">
        <w:rPr>
          <w:rFonts w:eastAsiaTheme="minorHAnsi" w:cstheme="minorBidi"/>
          <w:szCs w:val="22"/>
        </w:rPr>
        <w:t>1001813</w:t>
      </w:r>
    </w:p>
    <w:p w14:paraId="3E9D37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72.</w:t>
      </w:r>
      <w:r w:rsidRPr="00E126EF">
        <w:rPr>
          <w:rFonts w:eastAsiaTheme="minorHAnsi" w:cstheme="minorBidi"/>
          <w:szCs w:val="22"/>
        </w:rPr>
        <w:tab/>
      </w:r>
      <w:proofErr w:type="spellStart"/>
      <w:r w:rsidRPr="00E126EF">
        <w:rPr>
          <w:rFonts w:eastAsiaTheme="minorHAnsi" w:cstheme="minorBidi"/>
          <w:szCs w:val="22"/>
        </w:rPr>
        <w:t>Meijsing</w:t>
      </w:r>
      <w:proofErr w:type="spellEnd"/>
      <w:r w:rsidRPr="00E126EF">
        <w:rPr>
          <w:rFonts w:eastAsiaTheme="minorHAnsi" w:cstheme="minorBidi"/>
          <w:szCs w:val="22"/>
        </w:rPr>
        <w:t xml:space="preserve"> SH, </w:t>
      </w:r>
      <w:proofErr w:type="spellStart"/>
      <w:r w:rsidRPr="00E126EF">
        <w:rPr>
          <w:rFonts w:eastAsiaTheme="minorHAnsi" w:cstheme="minorBidi"/>
          <w:szCs w:val="22"/>
        </w:rPr>
        <w:t>Pufall</w:t>
      </w:r>
      <w:proofErr w:type="spellEnd"/>
      <w:r w:rsidRPr="00E126EF">
        <w:rPr>
          <w:rFonts w:eastAsiaTheme="minorHAnsi" w:cstheme="minorBidi"/>
          <w:szCs w:val="22"/>
        </w:rPr>
        <w:t xml:space="preserve"> MA, So AY, Bates DL, Chen L, Yamamoto KR. DNA binding site sequence directs glucocorticoid receptor structure and activity. Science 2009; 324:407-410</w:t>
      </w:r>
    </w:p>
    <w:p w14:paraId="306C65B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73.</w:t>
      </w:r>
      <w:r w:rsidRPr="00E126EF">
        <w:rPr>
          <w:rFonts w:eastAsiaTheme="minorHAnsi" w:cstheme="minorBidi"/>
          <w:szCs w:val="22"/>
        </w:rPr>
        <w:tab/>
        <w:t xml:space="preserve">Watson LC, Kuchenbecker KM, Schiller BJ, Gross JD, </w:t>
      </w:r>
      <w:proofErr w:type="spellStart"/>
      <w:r w:rsidRPr="00E126EF">
        <w:rPr>
          <w:rFonts w:eastAsiaTheme="minorHAnsi" w:cstheme="minorBidi"/>
          <w:szCs w:val="22"/>
        </w:rPr>
        <w:t>Pufall</w:t>
      </w:r>
      <w:proofErr w:type="spellEnd"/>
      <w:r w:rsidRPr="00E126EF">
        <w:rPr>
          <w:rFonts w:eastAsiaTheme="minorHAnsi" w:cstheme="minorBidi"/>
          <w:szCs w:val="22"/>
        </w:rPr>
        <w:t xml:space="preserve"> MA, Yamamoto KR. The glucocorticoid receptor dimer interface allosterically transmits sequence-specific DNA signals. Nat Struct Mol Biol 2013; 20:876-883</w:t>
      </w:r>
    </w:p>
    <w:p w14:paraId="4987273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74.</w:t>
      </w:r>
      <w:r w:rsidRPr="00E126EF">
        <w:rPr>
          <w:rFonts w:eastAsiaTheme="minorHAnsi" w:cstheme="minorBidi"/>
          <w:szCs w:val="22"/>
        </w:rPr>
        <w:tab/>
      </w:r>
      <w:proofErr w:type="spellStart"/>
      <w:r w:rsidRPr="00E126EF">
        <w:rPr>
          <w:rFonts w:eastAsiaTheme="minorHAnsi" w:cstheme="minorBidi"/>
          <w:szCs w:val="22"/>
        </w:rPr>
        <w:t>Beato</w:t>
      </w:r>
      <w:proofErr w:type="spellEnd"/>
      <w:r w:rsidRPr="00E126EF">
        <w:rPr>
          <w:rFonts w:eastAsiaTheme="minorHAnsi" w:cstheme="minorBidi"/>
          <w:szCs w:val="22"/>
        </w:rPr>
        <w:t xml:space="preserve"> M, Sanchez-Pacheco A. Interaction of steroid hormone receptors with the transcription initiation complex.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1996; 17:587-609</w:t>
      </w:r>
    </w:p>
    <w:p w14:paraId="60F7A3D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75.</w:t>
      </w:r>
      <w:r w:rsidRPr="00E126EF">
        <w:rPr>
          <w:rFonts w:eastAsiaTheme="minorHAnsi" w:cstheme="minorBidi"/>
          <w:szCs w:val="22"/>
        </w:rPr>
        <w:tab/>
      </w:r>
      <w:proofErr w:type="spellStart"/>
      <w:r w:rsidRPr="00E126EF">
        <w:rPr>
          <w:rFonts w:eastAsiaTheme="minorHAnsi" w:cstheme="minorBidi"/>
          <w:szCs w:val="22"/>
        </w:rPr>
        <w:t>Giguere</w:t>
      </w:r>
      <w:proofErr w:type="spellEnd"/>
      <w:r w:rsidRPr="00E126EF">
        <w:rPr>
          <w:rFonts w:eastAsiaTheme="minorHAnsi" w:cstheme="minorBidi"/>
          <w:szCs w:val="22"/>
        </w:rPr>
        <w:t xml:space="preserve"> V, </w:t>
      </w:r>
      <w:proofErr w:type="spellStart"/>
      <w:r w:rsidRPr="00E126EF">
        <w:rPr>
          <w:rFonts w:eastAsiaTheme="minorHAnsi" w:cstheme="minorBidi"/>
          <w:szCs w:val="22"/>
        </w:rPr>
        <w:t>Hollenberg</w:t>
      </w:r>
      <w:proofErr w:type="spellEnd"/>
      <w:r w:rsidRPr="00E126EF">
        <w:rPr>
          <w:rFonts w:eastAsiaTheme="minorHAnsi" w:cstheme="minorBidi"/>
          <w:szCs w:val="22"/>
        </w:rPr>
        <w:t xml:space="preserve"> SM, Rosenfeld MG, Evans RM. Functional domains of the human glucocorticoid receptor. Cell 1986; 46:645-652</w:t>
      </w:r>
    </w:p>
    <w:p w14:paraId="1754966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76.</w:t>
      </w:r>
      <w:r w:rsidRPr="00E126EF">
        <w:rPr>
          <w:rFonts w:eastAsiaTheme="minorHAnsi" w:cstheme="minorBidi"/>
          <w:szCs w:val="22"/>
        </w:rPr>
        <w:tab/>
        <w:t xml:space="preserve">McKenna NJ, </w:t>
      </w:r>
      <w:proofErr w:type="spellStart"/>
      <w:r w:rsidRPr="00E126EF">
        <w:rPr>
          <w:rFonts w:eastAsiaTheme="minorHAnsi" w:cstheme="minorBidi"/>
          <w:szCs w:val="22"/>
        </w:rPr>
        <w:t>Lanz</w:t>
      </w:r>
      <w:proofErr w:type="spellEnd"/>
      <w:r w:rsidRPr="00E126EF">
        <w:rPr>
          <w:rFonts w:eastAsiaTheme="minorHAnsi" w:cstheme="minorBidi"/>
          <w:szCs w:val="22"/>
        </w:rPr>
        <w:t xml:space="preserve"> RB, O'Malley BW. Nuclear receptor coregulators: cellular and molecular biology.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1999; 20:321-344</w:t>
      </w:r>
    </w:p>
    <w:p w14:paraId="231A51C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77.</w:t>
      </w:r>
      <w:r w:rsidRPr="00E126EF">
        <w:rPr>
          <w:rFonts w:eastAsiaTheme="minorHAnsi" w:cstheme="minorBidi"/>
          <w:szCs w:val="22"/>
        </w:rPr>
        <w:tab/>
        <w:t xml:space="preserve">Goodman RH, </w:t>
      </w:r>
      <w:proofErr w:type="spellStart"/>
      <w:r w:rsidRPr="00E126EF">
        <w:rPr>
          <w:rFonts w:eastAsiaTheme="minorHAnsi" w:cstheme="minorBidi"/>
          <w:szCs w:val="22"/>
        </w:rPr>
        <w:t>Smolik</w:t>
      </w:r>
      <w:proofErr w:type="spellEnd"/>
      <w:r w:rsidRPr="00E126EF">
        <w:rPr>
          <w:rFonts w:eastAsiaTheme="minorHAnsi" w:cstheme="minorBidi"/>
          <w:szCs w:val="22"/>
        </w:rPr>
        <w:t xml:space="preserve"> S. CBP/p300 in cell growth, transformation, and development. Genes Dev 2000; 14:1553-1577</w:t>
      </w:r>
    </w:p>
    <w:p w14:paraId="43BFCB6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78.</w:t>
      </w:r>
      <w:r w:rsidRPr="00E126EF">
        <w:rPr>
          <w:rFonts w:eastAsiaTheme="minorHAnsi" w:cstheme="minorBidi"/>
          <w:szCs w:val="22"/>
        </w:rPr>
        <w:tab/>
        <w:t xml:space="preserve">Yang XJ, </w:t>
      </w:r>
      <w:proofErr w:type="spellStart"/>
      <w:r w:rsidRPr="00E126EF">
        <w:rPr>
          <w:rFonts w:eastAsiaTheme="minorHAnsi" w:cstheme="minorBidi"/>
          <w:szCs w:val="22"/>
        </w:rPr>
        <w:t>Ogryzko</w:t>
      </w:r>
      <w:proofErr w:type="spellEnd"/>
      <w:r w:rsidRPr="00E126EF">
        <w:rPr>
          <w:rFonts w:eastAsiaTheme="minorHAnsi" w:cstheme="minorBidi"/>
          <w:szCs w:val="22"/>
        </w:rPr>
        <w:t xml:space="preserve"> VV, Nishikawa J, Howard BH, Nakatani Y. A p300/CBP-associated factor that competes with the adenoviral oncoprotein E1A. Nature 1996; 382:319-324</w:t>
      </w:r>
    </w:p>
    <w:p w14:paraId="2FEC252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79.</w:t>
      </w:r>
      <w:r w:rsidRPr="00E126EF">
        <w:rPr>
          <w:rFonts w:eastAsiaTheme="minorHAnsi" w:cstheme="minorBidi"/>
          <w:szCs w:val="22"/>
        </w:rPr>
        <w:tab/>
        <w:t xml:space="preserve">Blanco JC, </w:t>
      </w:r>
      <w:proofErr w:type="spellStart"/>
      <w:r w:rsidRPr="00E126EF">
        <w:rPr>
          <w:rFonts w:eastAsiaTheme="minorHAnsi" w:cstheme="minorBidi"/>
          <w:szCs w:val="22"/>
        </w:rPr>
        <w:t>Minucci</w:t>
      </w:r>
      <w:proofErr w:type="spellEnd"/>
      <w:r w:rsidRPr="00E126EF">
        <w:rPr>
          <w:rFonts w:eastAsiaTheme="minorHAnsi" w:cstheme="minorBidi"/>
          <w:szCs w:val="22"/>
        </w:rPr>
        <w:t xml:space="preserve"> S, Lu J, Yang XJ, Walker KK, Chen H, Evans RM, Nakatani Y, </w:t>
      </w:r>
      <w:proofErr w:type="spellStart"/>
      <w:r w:rsidRPr="00E126EF">
        <w:rPr>
          <w:rFonts w:eastAsiaTheme="minorHAnsi" w:cstheme="minorBidi"/>
          <w:szCs w:val="22"/>
        </w:rPr>
        <w:t>Ozato</w:t>
      </w:r>
      <w:proofErr w:type="spellEnd"/>
      <w:r w:rsidRPr="00E126EF">
        <w:rPr>
          <w:rFonts w:eastAsiaTheme="minorHAnsi" w:cstheme="minorBidi"/>
          <w:szCs w:val="22"/>
        </w:rPr>
        <w:t xml:space="preserve"> K. The histone acetylase PCAF is a nuclear receptor coactivator. Genes Dev 1998; 12:1638-1651</w:t>
      </w:r>
    </w:p>
    <w:p w14:paraId="115971F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80.</w:t>
      </w:r>
      <w:r w:rsidRPr="00E126EF">
        <w:rPr>
          <w:rFonts w:eastAsiaTheme="minorHAnsi" w:cstheme="minorBidi"/>
          <w:szCs w:val="22"/>
        </w:rPr>
        <w:tab/>
        <w:t>Leo C, Chen JD. The SRC family of nuclear receptor coactivators. Gene 2000; 245:1-11</w:t>
      </w:r>
    </w:p>
    <w:p w14:paraId="2F7566F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81.</w:t>
      </w:r>
      <w:r w:rsidRPr="00E126EF">
        <w:rPr>
          <w:rFonts w:eastAsiaTheme="minorHAnsi" w:cstheme="minorBidi"/>
          <w:szCs w:val="22"/>
        </w:rPr>
        <w:tab/>
        <w:t>Glass CK, Rosenfeld MG. The coregulator exchange in transcriptional functions of nuclear receptors. Genes Dev 2000; 14:121-141</w:t>
      </w:r>
    </w:p>
    <w:p w14:paraId="45FD17C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82.</w:t>
      </w:r>
      <w:r w:rsidRPr="00E126EF">
        <w:rPr>
          <w:rFonts w:eastAsiaTheme="minorHAnsi" w:cstheme="minorBidi"/>
          <w:szCs w:val="22"/>
        </w:rPr>
        <w:tab/>
        <w:t xml:space="preserve">Charmandari E, Kino T, Chrousos GP. Familial/sporadic glucocorticoid resistance: clinical phenotype and molecular mechanisms. Ann N Y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2004; 1024:168-181</w:t>
      </w:r>
    </w:p>
    <w:p w14:paraId="19872B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83.</w:t>
      </w:r>
      <w:r w:rsidRPr="00E126EF">
        <w:rPr>
          <w:rFonts w:eastAsiaTheme="minorHAnsi" w:cstheme="minorBidi"/>
          <w:szCs w:val="22"/>
        </w:rPr>
        <w:tab/>
        <w:t xml:space="preserve">Yi P, Wang Z, Feng Q, </w:t>
      </w:r>
      <w:proofErr w:type="spellStart"/>
      <w:r w:rsidRPr="00E126EF">
        <w:rPr>
          <w:rFonts w:eastAsiaTheme="minorHAnsi" w:cstheme="minorBidi"/>
          <w:szCs w:val="22"/>
        </w:rPr>
        <w:t>Pintilie</w:t>
      </w:r>
      <w:proofErr w:type="spellEnd"/>
      <w:r w:rsidRPr="00E126EF">
        <w:rPr>
          <w:rFonts w:eastAsiaTheme="minorHAnsi" w:cstheme="minorBidi"/>
          <w:szCs w:val="22"/>
        </w:rPr>
        <w:t xml:space="preserve"> GD, </w:t>
      </w:r>
      <w:proofErr w:type="spellStart"/>
      <w:r w:rsidRPr="00E126EF">
        <w:rPr>
          <w:rFonts w:eastAsiaTheme="minorHAnsi" w:cstheme="minorBidi"/>
          <w:szCs w:val="22"/>
        </w:rPr>
        <w:t>Foulds</w:t>
      </w:r>
      <w:proofErr w:type="spellEnd"/>
      <w:r w:rsidRPr="00E126EF">
        <w:rPr>
          <w:rFonts w:eastAsiaTheme="minorHAnsi" w:cstheme="minorBidi"/>
          <w:szCs w:val="22"/>
        </w:rPr>
        <w:t xml:space="preserve"> CE, </w:t>
      </w:r>
      <w:proofErr w:type="spellStart"/>
      <w:r w:rsidRPr="00E126EF">
        <w:rPr>
          <w:rFonts w:eastAsiaTheme="minorHAnsi" w:cstheme="minorBidi"/>
          <w:szCs w:val="22"/>
        </w:rPr>
        <w:t>Lanz</w:t>
      </w:r>
      <w:proofErr w:type="spellEnd"/>
      <w:r w:rsidRPr="00E126EF">
        <w:rPr>
          <w:rFonts w:eastAsiaTheme="minorHAnsi" w:cstheme="minorBidi"/>
          <w:szCs w:val="22"/>
        </w:rPr>
        <w:t xml:space="preserve"> RB, </w:t>
      </w:r>
      <w:proofErr w:type="spellStart"/>
      <w:r w:rsidRPr="00E126EF">
        <w:rPr>
          <w:rFonts w:eastAsiaTheme="minorHAnsi" w:cstheme="minorBidi"/>
          <w:szCs w:val="22"/>
        </w:rPr>
        <w:t>Ludtke</w:t>
      </w:r>
      <w:proofErr w:type="spellEnd"/>
      <w:r w:rsidRPr="00E126EF">
        <w:rPr>
          <w:rFonts w:eastAsiaTheme="minorHAnsi" w:cstheme="minorBidi"/>
          <w:szCs w:val="22"/>
        </w:rPr>
        <w:t xml:space="preserve"> SJ, Schmid MF, Chiu W, O'Malley BW. Structure of a biologically active estrogen receptor-coactivator complex on DNA. Mol Cell 2015; 57:1047-1058</w:t>
      </w:r>
    </w:p>
    <w:p w14:paraId="719CBC6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84.</w:t>
      </w:r>
      <w:r w:rsidRPr="00E126EF">
        <w:rPr>
          <w:rFonts w:eastAsiaTheme="minorHAnsi" w:cstheme="minorBidi"/>
          <w:szCs w:val="22"/>
        </w:rPr>
        <w:tab/>
        <w:t xml:space="preserve">Boyes J, Byfield P, Nakatani Y, </w:t>
      </w:r>
      <w:proofErr w:type="spellStart"/>
      <w:r w:rsidRPr="00E126EF">
        <w:rPr>
          <w:rFonts w:eastAsiaTheme="minorHAnsi" w:cstheme="minorBidi"/>
          <w:szCs w:val="22"/>
        </w:rPr>
        <w:t>Ogryzko</w:t>
      </w:r>
      <w:proofErr w:type="spellEnd"/>
      <w:r w:rsidRPr="00E126EF">
        <w:rPr>
          <w:rFonts w:eastAsiaTheme="minorHAnsi" w:cstheme="minorBidi"/>
          <w:szCs w:val="22"/>
        </w:rPr>
        <w:t xml:space="preserve"> V. Regulation of activity of the transcription factor GATA-1 by acetylation. Nature 1998; 396:594-598</w:t>
      </w:r>
    </w:p>
    <w:p w14:paraId="24F441F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85.</w:t>
      </w:r>
      <w:r w:rsidRPr="00E126EF">
        <w:rPr>
          <w:rFonts w:eastAsiaTheme="minorHAnsi" w:cstheme="minorBidi"/>
          <w:szCs w:val="22"/>
        </w:rPr>
        <w:tab/>
        <w:t>Gu W, Roeder RG. Activation of p53 sequence-specific DNA binding by acetylation of the p53 C-terminal domain. Cell 1997; 90:595-606</w:t>
      </w:r>
    </w:p>
    <w:p w14:paraId="4992668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86.</w:t>
      </w:r>
      <w:r w:rsidRPr="00E126EF">
        <w:rPr>
          <w:rFonts w:eastAsiaTheme="minorHAnsi" w:cstheme="minorBidi"/>
          <w:szCs w:val="22"/>
        </w:rPr>
        <w:tab/>
        <w:t xml:space="preserve">Chen H, Lin RJ, </w:t>
      </w:r>
      <w:proofErr w:type="spellStart"/>
      <w:r w:rsidRPr="00E126EF">
        <w:rPr>
          <w:rFonts w:eastAsiaTheme="minorHAnsi" w:cstheme="minorBidi"/>
          <w:szCs w:val="22"/>
        </w:rPr>
        <w:t>Xie</w:t>
      </w:r>
      <w:proofErr w:type="spellEnd"/>
      <w:r w:rsidRPr="00E126EF">
        <w:rPr>
          <w:rFonts w:eastAsiaTheme="minorHAnsi" w:cstheme="minorBidi"/>
          <w:szCs w:val="22"/>
        </w:rPr>
        <w:t xml:space="preserve"> W, </w:t>
      </w:r>
      <w:proofErr w:type="spellStart"/>
      <w:r w:rsidRPr="00E126EF">
        <w:rPr>
          <w:rFonts w:eastAsiaTheme="minorHAnsi" w:cstheme="minorBidi"/>
          <w:szCs w:val="22"/>
        </w:rPr>
        <w:t>Wilpitz</w:t>
      </w:r>
      <w:proofErr w:type="spellEnd"/>
      <w:r w:rsidRPr="00E126EF">
        <w:rPr>
          <w:rFonts w:eastAsiaTheme="minorHAnsi" w:cstheme="minorBidi"/>
          <w:szCs w:val="22"/>
        </w:rPr>
        <w:t xml:space="preserve"> D, Evans RM. Regulation of hormone-induced histone hyperacetylation and gene activation via acetylation of an acetylase. Cell 1999; 98:675-686</w:t>
      </w:r>
    </w:p>
    <w:p w14:paraId="1074612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87.</w:t>
      </w:r>
      <w:r w:rsidRPr="00E126EF">
        <w:rPr>
          <w:rFonts w:eastAsiaTheme="minorHAnsi" w:cstheme="minorBidi"/>
          <w:szCs w:val="22"/>
        </w:rPr>
        <w:tab/>
      </w:r>
      <w:proofErr w:type="spellStart"/>
      <w:r w:rsidRPr="00E126EF">
        <w:rPr>
          <w:rFonts w:eastAsiaTheme="minorHAnsi" w:cstheme="minorBidi"/>
          <w:szCs w:val="22"/>
        </w:rPr>
        <w:t>Heery</w:t>
      </w:r>
      <w:proofErr w:type="spellEnd"/>
      <w:r w:rsidRPr="00E126EF">
        <w:rPr>
          <w:rFonts w:eastAsiaTheme="minorHAnsi" w:cstheme="minorBidi"/>
          <w:szCs w:val="22"/>
        </w:rPr>
        <w:t xml:space="preserve"> DM, </w:t>
      </w:r>
      <w:proofErr w:type="spellStart"/>
      <w:r w:rsidRPr="00E126EF">
        <w:rPr>
          <w:rFonts w:eastAsiaTheme="minorHAnsi" w:cstheme="minorBidi"/>
          <w:szCs w:val="22"/>
        </w:rPr>
        <w:t>Kalkhoven</w:t>
      </w:r>
      <w:proofErr w:type="spellEnd"/>
      <w:r w:rsidRPr="00E126EF">
        <w:rPr>
          <w:rFonts w:eastAsiaTheme="minorHAnsi" w:cstheme="minorBidi"/>
          <w:szCs w:val="22"/>
        </w:rPr>
        <w:t xml:space="preserve"> E, Hoare S, Parker MG. A signature motif in transcriptional co-activators mediates binding to nuclear receptors. Nature 1997; 387:733-736</w:t>
      </w:r>
    </w:p>
    <w:p w14:paraId="5BBFBE4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88.</w:t>
      </w:r>
      <w:r w:rsidRPr="00E126EF">
        <w:rPr>
          <w:rFonts w:eastAsiaTheme="minorHAnsi" w:cstheme="minorBidi"/>
          <w:szCs w:val="22"/>
        </w:rPr>
        <w:tab/>
      </w:r>
      <w:proofErr w:type="spellStart"/>
      <w:r w:rsidRPr="00E126EF">
        <w:rPr>
          <w:rFonts w:eastAsiaTheme="minorHAnsi" w:cstheme="minorBidi"/>
          <w:szCs w:val="22"/>
        </w:rPr>
        <w:t>Darimont</w:t>
      </w:r>
      <w:proofErr w:type="spellEnd"/>
      <w:r w:rsidRPr="00E126EF">
        <w:rPr>
          <w:rFonts w:eastAsiaTheme="minorHAnsi" w:cstheme="minorBidi"/>
          <w:szCs w:val="22"/>
        </w:rPr>
        <w:t xml:space="preserve"> BD, Wagner RL, </w:t>
      </w:r>
      <w:proofErr w:type="spellStart"/>
      <w:r w:rsidRPr="00E126EF">
        <w:rPr>
          <w:rFonts w:eastAsiaTheme="minorHAnsi" w:cstheme="minorBidi"/>
          <w:szCs w:val="22"/>
        </w:rPr>
        <w:t>Apriletti</w:t>
      </w:r>
      <w:proofErr w:type="spellEnd"/>
      <w:r w:rsidRPr="00E126EF">
        <w:rPr>
          <w:rFonts w:eastAsiaTheme="minorHAnsi" w:cstheme="minorBidi"/>
          <w:szCs w:val="22"/>
        </w:rPr>
        <w:t xml:space="preserve"> JW, </w:t>
      </w:r>
      <w:proofErr w:type="spellStart"/>
      <w:r w:rsidRPr="00E126EF">
        <w:rPr>
          <w:rFonts w:eastAsiaTheme="minorHAnsi" w:cstheme="minorBidi"/>
          <w:szCs w:val="22"/>
        </w:rPr>
        <w:t>Stallcup</w:t>
      </w:r>
      <w:proofErr w:type="spellEnd"/>
      <w:r w:rsidRPr="00E126EF">
        <w:rPr>
          <w:rFonts w:eastAsiaTheme="minorHAnsi" w:cstheme="minorBidi"/>
          <w:szCs w:val="22"/>
        </w:rPr>
        <w:t xml:space="preserve"> MR, Kushner PJ, Baxter JD, </w:t>
      </w:r>
      <w:proofErr w:type="spellStart"/>
      <w:r w:rsidRPr="00E126EF">
        <w:rPr>
          <w:rFonts w:eastAsiaTheme="minorHAnsi" w:cstheme="minorBidi"/>
          <w:szCs w:val="22"/>
        </w:rPr>
        <w:t>Fletterick</w:t>
      </w:r>
      <w:proofErr w:type="spellEnd"/>
      <w:r w:rsidRPr="00E126EF">
        <w:rPr>
          <w:rFonts w:eastAsiaTheme="minorHAnsi" w:cstheme="minorBidi"/>
          <w:szCs w:val="22"/>
        </w:rPr>
        <w:t xml:space="preserve"> RJ, Yamamoto KR. Structure and specificity of nuclear receptor-coactivator interactions. Genes Dev 1998; 12:3343-3356</w:t>
      </w:r>
    </w:p>
    <w:p w14:paraId="65F4857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89.</w:t>
      </w:r>
      <w:r w:rsidRPr="00E126EF">
        <w:rPr>
          <w:rFonts w:eastAsiaTheme="minorHAnsi" w:cstheme="minorBidi"/>
          <w:szCs w:val="22"/>
        </w:rPr>
        <w:tab/>
        <w:t xml:space="preserve">Hurt DE, Suzuki S, </w:t>
      </w:r>
      <w:proofErr w:type="spellStart"/>
      <w:r w:rsidRPr="00E126EF">
        <w:rPr>
          <w:rFonts w:eastAsiaTheme="minorHAnsi" w:cstheme="minorBidi"/>
          <w:szCs w:val="22"/>
        </w:rPr>
        <w:t>Mayama</w:t>
      </w:r>
      <w:proofErr w:type="spellEnd"/>
      <w:r w:rsidRPr="00E126EF">
        <w:rPr>
          <w:rFonts w:eastAsiaTheme="minorHAnsi" w:cstheme="minorBidi"/>
          <w:szCs w:val="22"/>
        </w:rPr>
        <w:t xml:space="preserve"> T, Charmandari E, Kino T. Structural Analysis on the Pathologic Mutant Glucocorticoid Receptor Ligand-Binding Domains. Mol Endocrinol 2016; 30:173-188</w:t>
      </w:r>
    </w:p>
    <w:p w14:paraId="70B0D28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90.</w:t>
      </w:r>
      <w:r w:rsidRPr="00E126EF">
        <w:rPr>
          <w:rFonts w:eastAsiaTheme="minorHAnsi" w:cstheme="minorBidi"/>
          <w:szCs w:val="22"/>
        </w:rPr>
        <w:tab/>
        <w:t xml:space="preserve">Fry CJ, Peterson CL. Chromatin remodeling enzymes: who's on first? </w:t>
      </w:r>
      <w:proofErr w:type="spellStart"/>
      <w:r w:rsidRPr="00E126EF">
        <w:rPr>
          <w:rFonts w:eastAsiaTheme="minorHAnsi" w:cstheme="minorBidi"/>
          <w:szCs w:val="22"/>
        </w:rPr>
        <w:t>Curr</w:t>
      </w:r>
      <w:proofErr w:type="spellEnd"/>
      <w:r w:rsidRPr="00E126EF">
        <w:rPr>
          <w:rFonts w:eastAsiaTheme="minorHAnsi" w:cstheme="minorBidi"/>
          <w:szCs w:val="22"/>
        </w:rPr>
        <w:t xml:space="preserve"> Biol 2001; </w:t>
      </w:r>
      <w:proofErr w:type="gramStart"/>
      <w:r w:rsidRPr="00E126EF">
        <w:rPr>
          <w:rFonts w:eastAsiaTheme="minorHAnsi" w:cstheme="minorBidi"/>
          <w:szCs w:val="22"/>
        </w:rPr>
        <w:t>11:R</w:t>
      </w:r>
      <w:proofErr w:type="gramEnd"/>
      <w:r w:rsidRPr="00E126EF">
        <w:rPr>
          <w:rFonts w:eastAsiaTheme="minorHAnsi" w:cstheme="minorBidi"/>
          <w:szCs w:val="22"/>
        </w:rPr>
        <w:t>185-197</w:t>
      </w:r>
    </w:p>
    <w:p w14:paraId="4A88D2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91.</w:t>
      </w:r>
      <w:r w:rsidRPr="00E126EF">
        <w:rPr>
          <w:rFonts w:eastAsiaTheme="minorHAnsi" w:cstheme="minorBidi"/>
          <w:szCs w:val="22"/>
        </w:rPr>
        <w:tab/>
        <w:t>Yoshinaga SK, Peterson CL, Herskowitz I, Yamamoto KR. Roles of SWI1, SWI2, and SWI3 proteins for transcriptional enhancement by steroid receptors. Science 1992; 258:1598-1604</w:t>
      </w:r>
    </w:p>
    <w:p w14:paraId="7E0D67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92.</w:t>
      </w:r>
      <w:r w:rsidRPr="00E126EF">
        <w:rPr>
          <w:rFonts w:eastAsiaTheme="minorHAnsi" w:cstheme="minorBidi"/>
          <w:szCs w:val="22"/>
        </w:rPr>
        <w:tab/>
      </w:r>
      <w:proofErr w:type="spellStart"/>
      <w:r w:rsidRPr="00E126EF">
        <w:rPr>
          <w:rFonts w:eastAsiaTheme="minorHAnsi" w:cstheme="minorBidi"/>
          <w:szCs w:val="22"/>
        </w:rPr>
        <w:t>Rachez</w:t>
      </w:r>
      <w:proofErr w:type="spellEnd"/>
      <w:r w:rsidRPr="00E126EF">
        <w:rPr>
          <w:rFonts w:eastAsiaTheme="minorHAnsi" w:cstheme="minorBidi"/>
          <w:szCs w:val="22"/>
        </w:rPr>
        <w:t xml:space="preserve"> C, Freedman LP. Mediator complexes and transcription. </w:t>
      </w:r>
      <w:proofErr w:type="spellStart"/>
      <w:r w:rsidRPr="00E126EF">
        <w:rPr>
          <w:rFonts w:eastAsiaTheme="minorHAnsi" w:cstheme="minorBidi"/>
          <w:szCs w:val="22"/>
        </w:rPr>
        <w:t>Curr</w:t>
      </w:r>
      <w:proofErr w:type="spellEnd"/>
      <w:r w:rsidRPr="00E126EF">
        <w:rPr>
          <w:rFonts w:eastAsiaTheme="minorHAnsi" w:cstheme="minorBidi"/>
          <w:szCs w:val="22"/>
        </w:rPr>
        <w:t xml:space="preserve"> </w:t>
      </w:r>
      <w:proofErr w:type="spellStart"/>
      <w:r w:rsidRPr="00E126EF">
        <w:rPr>
          <w:rFonts w:eastAsiaTheme="minorHAnsi" w:cstheme="minorBidi"/>
          <w:szCs w:val="22"/>
        </w:rPr>
        <w:t>Opin</w:t>
      </w:r>
      <w:proofErr w:type="spellEnd"/>
      <w:r w:rsidRPr="00E126EF">
        <w:rPr>
          <w:rFonts w:eastAsiaTheme="minorHAnsi" w:cstheme="minorBidi"/>
          <w:szCs w:val="22"/>
        </w:rPr>
        <w:t xml:space="preserve"> Cell Biol 2001; 13:274-280</w:t>
      </w:r>
    </w:p>
    <w:p w14:paraId="634D906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93.</w:t>
      </w:r>
      <w:r w:rsidRPr="00E126EF">
        <w:rPr>
          <w:rFonts w:eastAsiaTheme="minorHAnsi" w:cstheme="minorBidi"/>
          <w:szCs w:val="22"/>
        </w:rPr>
        <w:tab/>
      </w:r>
      <w:proofErr w:type="spellStart"/>
      <w:r w:rsidRPr="00E126EF">
        <w:rPr>
          <w:rFonts w:eastAsiaTheme="minorHAnsi" w:cstheme="minorBidi"/>
          <w:szCs w:val="22"/>
        </w:rPr>
        <w:t>Henriksson</w:t>
      </w:r>
      <w:proofErr w:type="spellEnd"/>
      <w:r w:rsidRPr="00E126EF">
        <w:rPr>
          <w:rFonts w:eastAsiaTheme="minorHAnsi" w:cstheme="minorBidi"/>
          <w:szCs w:val="22"/>
        </w:rPr>
        <w:t xml:space="preserve"> A, </w:t>
      </w:r>
      <w:proofErr w:type="spellStart"/>
      <w:r w:rsidRPr="00E126EF">
        <w:rPr>
          <w:rFonts w:eastAsiaTheme="minorHAnsi" w:cstheme="minorBidi"/>
          <w:szCs w:val="22"/>
        </w:rPr>
        <w:t>Almlof</w:t>
      </w:r>
      <w:proofErr w:type="spellEnd"/>
      <w:r w:rsidRPr="00E126EF">
        <w:rPr>
          <w:rFonts w:eastAsiaTheme="minorHAnsi" w:cstheme="minorBidi"/>
          <w:szCs w:val="22"/>
        </w:rPr>
        <w:t xml:space="preserve"> T, Ford J, McEwan IJ, Gustafsson JA, Wright AP. Role of the Ada adaptor complex in gene activation by the glucocorticoid receptor. Mol Cell Biol 1997; 17:3065-3073</w:t>
      </w:r>
    </w:p>
    <w:p w14:paraId="31A9EEF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94.</w:t>
      </w:r>
      <w:r w:rsidRPr="00E126EF">
        <w:rPr>
          <w:rFonts w:eastAsiaTheme="minorHAnsi" w:cstheme="minorBidi"/>
          <w:szCs w:val="22"/>
        </w:rPr>
        <w:tab/>
      </w:r>
      <w:proofErr w:type="spellStart"/>
      <w:r w:rsidRPr="00E126EF">
        <w:rPr>
          <w:rFonts w:eastAsiaTheme="minorHAnsi" w:cstheme="minorBidi"/>
          <w:szCs w:val="22"/>
        </w:rPr>
        <w:t>Wallberg</w:t>
      </w:r>
      <w:proofErr w:type="spellEnd"/>
      <w:r w:rsidRPr="00E126EF">
        <w:rPr>
          <w:rFonts w:eastAsiaTheme="minorHAnsi" w:cstheme="minorBidi"/>
          <w:szCs w:val="22"/>
        </w:rPr>
        <w:t xml:space="preserve"> AE, Neely KE, Hassan AH, Gustafsson JA, Workman JL, Wright AP. Recruitment of the SWI-SNF chromatin remodeling complex as a mechanism of gene activation by the glucocorticoid receptor tau1 activation domain. Mol Cell Biol 2000; 20:2004-2013</w:t>
      </w:r>
    </w:p>
    <w:p w14:paraId="5F41B6B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95.</w:t>
      </w:r>
      <w:r w:rsidRPr="00E126EF">
        <w:rPr>
          <w:rFonts w:eastAsiaTheme="minorHAnsi" w:cstheme="minorBidi"/>
          <w:szCs w:val="22"/>
        </w:rPr>
        <w:tab/>
        <w:t xml:space="preserve">Ma H, Hong H, Huang SM, Irvine RA, Webb P, Kushner PJ, Coetzee GA, </w:t>
      </w:r>
      <w:proofErr w:type="spellStart"/>
      <w:r w:rsidRPr="00E126EF">
        <w:rPr>
          <w:rFonts w:eastAsiaTheme="minorHAnsi" w:cstheme="minorBidi"/>
          <w:szCs w:val="22"/>
        </w:rPr>
        <w:t>Stallcup</w:t>
      </w:r>
      <w:proofErr w:type="spellEnd"/>
      <w:r w:rsidRPr="00E126EF">
        <w:rPr>
          <w:rFonts w:eastAsiaTheme="minorHAnsi" w:cstheme="minorBidi"/>
          <w:szCs w:val="22"/>
        </w:rPr>
        <w:t xml:space="preserve"> MR. Multiple signal input and output domains of the 160-kilodalton nuclear receptor coactivator proteins. Mol Cell Biol 1999; 19:6164-6173</w:t>
      </w:r>
    </w:p>
    <w:p w14:paraId="770ACE9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96.</w:t>
      </w:r>
      <w:r w:rsidRPr="00E126EF">
        <w:rPr>
          <w:rFonts w:eastAsiaTheme="minorHAnsi" w:cstheme="minorBidi"/>
          <w:szCs w:val="22"/>
        </w:rPr>
        <w:tab/>
        <w:t xml:space="preserve">Webb P, Nguyen P, </w:t>
      </w:r>
      <w:proofErr w:type="spellStart"/>
      <w:r w:rsidRPr="00E126EF">
        <w:rPr>
          <w:rFonts w:eastAsiaTheme="minorHAnsi" w:cstheme="minorBidi"/>
          <w:szCs w:val="22"/>
        </w:rPr>
        <w:t>Shinsako</w:t>
      </w:r>
      <w:proofErr w:type="spellEnd"/>
      <w:r w:rsidRPr="00E126EF">
        <w:rPr>
          <w:rFonts w:eastAsiaTheme="minorHAnsi" w:cstheme="minorBidi"/>
          <w:szCs w:val="22"/>
        </w:rPr>
        <w:t xml:space="preserve"> J, Anderson C, Feng W, Nguyen MP, Chen D, Huang SM, Subramanian S, </w:t>
      </w:r>
      <w:proofErr w:type="spellStart"/>
      <w:r w:rsidRPr="00E126EF">
        <w:rPr>
          <w:rFonts w:eastAsiaTheme="minorHAnsi" w:cstheme="minorBidi"/>
          <w:szCs w:val="22"/>
        </w:rPr>
        <w:t>McKinerney</w:t>
      </w:r>
      <w:proofErr w:type="spellEnd"/>
      <w:r w:rsidRPr="00E126EF">
        <w:rPr>
          <w:rFonts w:eastAsiaTheme="minorHAnsi" w:cstheme="minorBidi"/>
          <w:szCs w:val="22"/>
        </w:rPr>
        <w:t xml:space="preserve"> E, </w:t>
      </w:r>
      <w:proofErr w:type="spellStart"/>
      <w:r w:rsidRPr="00E126EF">
        <w:rPr>
          <w:rFonts w:eastAsiaTheme="minorHAnsi" w:cstheme="minorBidi"/>
          <w:szCs w:val="22"/>
        </w:rPr>
        <w:t>Katzenellenbogen</w:t>
      </w:r>
      <w:proofErr w:type="spellEnd"/>
      <w:r w:rsidRPr="00E126EF">
        <w:rPr>
          <w:rFonts w:eastAsiaTheme="minorHAnsi" w:cstheme="minorBidi"/>
          <w:szCs w:val="22"/>
        </w:rPr>
        <w:t xml:space="preserve"> BS, </w:t>
      </w:r>
      <w:proofErr w:type="spellStart"/>
      <w:r w:rsidRPr="00E126EF">
        <w:rPr>
          <w:rFonts w:eastAsiaTheme="minorHAnsi" w:cstheme="minorBidi"/>
          <w:szCs w:val="22"/>
        </w:rPr>
        <w:t>Stallcup</w:t>
      </w:r>
      <w:proofErr w:type="spellEnd"/>
      <w:r w:rsidRPr="00E126EF">
        <w:rPr>
          <w:rFonts w:eastAsiaTheme="minorHAnsi" w:cstheme="minorBidi"/>
          <w:szCs w:val="22"/>
        </w:rPr>
        <w:t xml:space="preserve"> MR, Kushner PJ. Estrogen receptor activation function 1 works by binding p160 coactivator proteins. Mol Endocrinol 1998; 12:1605-1618</w:t>
      </w:r>
    </w:p>
    <w:p w14:paraId="74A531D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97.</w:t>
      </w:r>
      <w:r w:rsidRPr="00E126EF">
        <w:rPr>
          <w:rFonts w:eastAsiaTheme="minorHAnsi" w:cstheme="minorBidi"/>
          <w:szCs w:val="22"/>
        </w:rPr>
        <w:tab/>
      </w:r>
      <w:proofErr w:type="spellStart"/>
      <w:r w:rsidRPr="00E126EF">
        <w:rPr>
          <w:rFonts w:eastAsiaTheme="minorHAnsi" w:cstheme="minorBidi"/>
          <w:szCs w:val="22"/>
        </w:rPr>
        <w:t>Wallberg</w:t>
      </w:r>
      <w:proofErr w:type="spellEnd"/>
      <w:r w:rsidRPr="00E126EF">
        <w:rPr>
          <w:rFonts w:eastAsiaTheme="minorHAnsi" w:cstheme="minorBidi"/>
          <w:szCs w:val="22"/>
        </w:rPr>
        <w:t xml:space="preserve"> AE, Neely KE, Gustafsson JA, Workman JL, Wright AP, Grant PA. Histone acetyltransferase complexes can mediate transcriptional activation by the major glucocorticoid receptor activation domain. Mol Cell Biol 1999; 19:5952-5959</w:t>
      </w:r>
    </w:p>
    <w:p w14:paraId="007669B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98.</w:t>
      </w:r>
      <w:r w:rsidRPr="00E126EF">
        <w:rPr>
          <w:rFonts w:eastAsiaTheme="minorHAnsi" w:cstheme="minorBidi"/>
          <w:szCs w:val="22"/>
        </w:rPr>
        <w:tab/>
      </w:r>
      <w:proofErr w:type="spellStart"/>
      <w:r w:rsidRPr="00E126EF">
        <w:rPr>
          <w:rFonts w:eastAsiaTheme="minorHAnsi" w:cstheme="minorBidi"/>
          <w:szCs w:val="22"/>
        </w:rPr>
        <w:t>Hittelman</w:t>
      </w:r>
      <w:proofErr w:type="spellEnd"/>
      <w:r w:rsidRPr="00E126EF">
        <w:rPr>
          <w:rFonts w:eastAsiaTheme="minorHAnsi" w:cstheme="minorBidi"/>
          <w:szCs w:val="22"/>
        </w:rPr>
        <w:t xml:space="preserve"> AB, </w:t>
      </w:r>
      <w:proofErr w:type="spellStart"/>
      <w:r w:rsidRPr="00E126EF">
        <w:rPr>
          <w:rFonts w:eastAsiaTheme="minorHAnsi" w:cstheme="minorBidi"/>
          <w:szCs w:val="22"/>
        </w:rPr>
        <w:t>Burakov</w:t>
      </w:r>
      <w:proofErr w:type="spellEnd"/>
      <w:r w:rsidRPr="00E126EF">
        <w:rPr>
          <w:rFonts w:eastAsiaTheme="minorHAnsi" w:cstheme="minorBidi"/>
          <w:szCs w:val="22"/>
        </w:rPr>
        <w:t xml:space="preserve"> D, Iniguez-</w:t>
      </w:r>
      <w:proofErr w:type="spellStart"/>
      <w:r w:rsidRPr="00E126EF">
        <w:rPr>
          <w:rFonts w:eastAsiaTheme="minorHAnsi" w:cstheme="minorBidi"/>
          <w:szCs w:val="22"/>
        </w:rPr>
        <w:t>Lluhi</w:t>
      </w:r>
      <w:proofErr w:type="spellEnd"/>
      <w:r w:rsidRPr="00E126EF">
        <w:rPr>
          <w:rFonts w:eastAsiaTheme="minorHAnsi" w:cstheme="minorBidi"/>
          <w:szCs w:val="22"/>
        </w:rPr>
        <w:t xml:space="preserve"> JA, Freedman LP,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Differential regulation of glucocorticoid receptor transcriptional activation via AF-1-associated proteins. EMBO J 1999; 18:5380-5388</w:t>
      </w:r>
    </w:p>
    <w:p w14:paraId="59C24C2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99.</w:t>
      </w:r>
      <w:r w:rsidRPr="00E126EF">
        <w:rPr>
          <w:rFonts w:eastAsiaTheme="minorHAnsi" w:cstheme="minorBidi"/>
          <w:szCs w:val="22"/>
        </w:rPr>
        <w:tab/>
      </w:r>
      <w:proofErr w:type="spellStart"/>
      <w:r w:rsidRPr="00E126EF">
        <w:rPr>
          <w:rFonts w:eastAsiaTheme="minorHAnsi" w:cstheme="minorBidi"/>
          <w:szCs w:val="22"/>
        </w:rPr>
        <w:t>Lanz</w:t>
      </w:r>
      <w:proofErr w:type="spellEnd"/>
      <w:r w:rsidRPr="00E126EF">
        <w:rPr>
          <w:rFonts w:eastAsiaTheme="minorHAnsi" w:cstheme="minorBidi"/>
          <w:szCs w:val="22"/>
        </w:rPr>
        <w:t xml:space="preserve"> RB, McKenna NJ, Onate SA, Albrecht U, Wong J, Tsai SY, Tsai MJ, O'Malley BW. A steroid receptor coactivator, SRA, functions as an RNA and is present in an SRC-1 complex. Cell 1999; 97:17-27</w:t>
      </w:r>
    </w:p>
    <w:p w14:paraId="0DF0304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100.</w:t>
      </w:r>
      <w:r w:rsidRPr="00E126EF">
        <w:rPr>
          <w:rFonts w:eastAsiaTheme="minorHAnsi" w:cstheme="minorBidi"/>
          <w:szCs w:val="22"/>
        </w:rPr>
        <w:tab/>
      </w:r>
      <w:proofErr w:type="spellStart"/>
      <w:r w:rsidRPr="00E126EF">
        <w:rPr>
          <w:rFonts w:eastAsiaTheme="minorHAnsi" w:cstheme="minorBidi"/>
          <w:szCs w:val="22"/>
        </w:rPr>
        <w:t>Benecke</w:t>
      </w:r>
      <w:proofErr w:type="spellEnd"/>
      <w:r w:rsidRPr="00E126EF">
        <w:rPr>
          <w:rFonts w:eastAsiaTheme="minorHAnsi" w:cstheme="minorBidi"/>
          <w:szCs w:val="22"/>
        </w:rPr>
        <w:t xml:space="preserve"> A, </w:t>
      </w:r>
      <w:proofErr w:type="spellStart"/>
      <w:r w:rsidRPr="00E126EF">
        <w:rPr>
          <w:rFonts w:eastAsiaTheme="minorHAnsi" w:cstheme="minorBidi"/>
          <w:szCs w:val="22"/>
        </w:rPr>
        <w:t>Chambon</w:t>
      </w:r>
      <w:proofErr w:type="spellEnd"/>
      <w:r w:rsidRPr="00E126EF">
        <w:rPr>
          <w:rFonts w:eastAsiaTheme="minorHAnsi" w:cstheme="minorBidi"/>
          <w:szCs w:val="22"/>
        </w:rPr>
        <w:t xml:space="preserve"> P, </w:t>
      </w:r>
      <w:proofErr w:type="spellStart"/>
      <w:r w:rsidRPr="00E126EF">
        <w:rPr>
          <w:rFonts w:eastAsiaTheme="minorHAnsi" w:cstheme="minorBidi"/>
          <w:szCs w:val="22"/>
        </w:rPr>
        <w:t>Gronemeyer</w:t>
      </w:r>
      <w:proofErr w:type="spellEnd"/>
      <w:r w:rsidRPr="00E126EF">
        <w:rPr>
          <w:rFonts w:eastAsiaTheme="minorHAnsi" w:cstheme="minorBidi"/>
          <w:szCs w:val="22"/>
        </w:rPr>
        <w:t xml:space="preserve"> H. Synergy between estrogen receptor </w:t>
      </w:r>
      <w:proofErr w:type="gramStart"/>
      <w:r w:rsidRPr="00E126EF">
        <w:rPr>
          <w:rFonts w:eastAsiaTheme="minorHAnsi" w:cstheme="minorBidi"/>
          <w:szCs w:val="22"/>
        </w:rPr>
        <w:t>a</w:t>
      </w:r>
      <w:proofErr w:type="gramEnd"/>
      <w:r w:rsidRPr="00E126EF">
        <w:rPr>
          <w:rFonts w:eastAsiaTheme="minorHAnsi" w:cstheme="minorBidi"/>
          <w:szCs w:val="22"/>
        </w:rPr>
        <w:t xml:space="preserve"> activation functions AF1 and AF2 mediated by transcription intermediary factor TIF2. EMBO Rep 2000; 1:151-157</w:t>
      </w:r>
    </w:p>
    <w:p w14:paraId="5278533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101.</w:t>
      </w:r>
      <w:r w:rsidRPr="00E126EF">
        <w:rPr>
          <w:rFonts w:eastAsiaTheme="minorHAnsi" w:cstheme="minorBidi"/>
          <w:szCs w:val="22"/>
        </w:rPr>
        <w:tab/>
      </w:r>
      <w:proofErr w:type="spellStart"/>
      <w:r w:rsidRPr="00E126EF">
        <w:rPr>
          <w:rFonts w:eastAsiaTheme="minorHAnsi" w:cstheme="minorBidi"/>
          <w:szCs w:val="22"/>
        </w:rPr>
        <w:t>Puigserver</w:t>
      </w:r>
      <w:proofErr w:type="spellEnd"/>
      <w:r w:rsidRPr="00E126EF">
        <w:rPr>
          <w:rFonts w:eastAsiaTheme="minorHAnsi" w:cstheme="minorBidi"/>
          <w:szCs w:val="22"/>
        </w:rPr>
        <w:t xml:space="preserve"> P, Spiegelman BM. Peroxisome proliferator-activated receptor-g coactivator 1a (PGC-1a): transcriptional coactivator and metabolic regulator.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2003; 24:78-90</w:t>
      </w:r>
    </w:p>
    <w:p w14:paraId="6D1CDC1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102.</w:t>
      </w:r>
      <w:r w:rsidRPr="00E126EF">
        <w:rPr>
          <w:rFonts w:eastAsiaTheme="minorHAnsi" w:cstheme="minorBidi"/>
          <w:szCs w:val="22"/>
        </w:rPr>
        <w:tab/>
      </w:r>
      <w:proofErr w:type="spellStart"/>
      <w:r w:rsidRPr="00E126EF">
        <w:rPr>
          <w:rFonts w:eastAsiaTheme="minorHAnsi" w:cstheme="minorBidi"/>
          <w:szCs w:val="22"/>
        </w:rPr>
        <w:t>Higashida</w:t>
      </w:r>
      <w:proofErr w:type="spellEnd"/>
      <w:r w:rsidRPr="00E126EF">
        <w:rPr>
          <w:rFonts w:eastAsiaTheme="minorHAnsi" w:cstheme="minorBidi"/>
          <w:szCs w:val="22"/>
        </w:rPr>
        <w:t xml:space="preserve"> K, Kim SH, Jung SR, </w:t>
      </w:r>
      <w:proofErr w:type="spellStart"/>
      <w:r w:rsidRPr="00E126EF">
        <w:rPr>
          <w:rFonts w:eastAsiaTheme="minorHAnsi" w:cstheme="minorBidi"/>
          <w:szCs w:val="22"/>
        </w:rPr>
        <w:t>Asaka</w:t>
      </w:r>
      <w:proofErr w:type="spellEnd"/>
      <w:r w:rsidRPr="00E126EF">
        <w:rPr>
          <w:rFonts w:eastAsiaTheme="minorHAnsi" w:cstheme="minorBidi"/>
          <w:szCs w:val="22"/>
        </w:rPr>
        <w:t xml:space="preserve"> M, </w:t>
      </w:r>
      <w:proofErr w:type="spellStart"/>
      <w:r w:rsidRPr="00E126EF">
        <w:rPr>
          <w:rFonts w:eastAsiaTheme="minorHAnsi" w:cstheme="minorBidi"/>
          <w:szCs w:val="22"/>
        </w:rPr>
        <w:t>Holloszy</w:t>
      </w:r>
      <w:proofErr w:type="spellEnd"/>
      <w:r w:rsidRPr="00E126EF">
        <w:rPr>
          <w:rFonts w:eastAsiaTheme="minorHAnsi" w:cstheme="minorBidi"/>
          <w:szCs w:val="22"/>
        </w:rPr>
        <w:t xml:space="preserve"> JO, Han DH. Effects of resveratrol and SIRT1 on PGC-1a activity and mitochondrial biogenesis: a reevaluation. </w:t>
      </w:r>
      <w:proofErr w:type="spellStart"/>
      <w:r w:rsidRPr="00E126EF">
        <w:rPr>
          <w:rFonts w:eastAsiaTheme="minorHAnsi" w:cstheme="minorBidi"/>
          <w:szCs w:val="22"/>
        </w:rPr>
        <w:t>PLoS</w:t>
      </w:r>
      <w:proofErr w:type="spellEnd"/>
      <w:r w:rsidRPr="00E126EF">
        <w:rPr>
          <w:rFonts w:eastAsiaTheme="minorHAnsi" w:cstheme="minorBidi"/>
          <w:szCs w:val="22"/>
        </w:rPr>
        <w:t xml:space="preserve"> Biol 2013; </w:t>
      </w:r>
      <w:proofErr w:type="gramStart"/>
      <w:r w:rsidRPr="00E126EF">
        <w:rPr>
          <w:rFonts w:eastAsiaTheme="minorHAnsi" w:cstheme="minorBidi"/>
          <w:szCs w:val="22"/>
        </w:rPr>
        <w:t>11:e</w:t>
      </w:r>
      <w:proofErr w:type="gramEnd"/>
      <w:r w:rsidRPr="00E126EF">
        <w:rPr>
          <w:rFonts w:eastAsiaTheme="minorHAnsi" w:cstheme="minorBidi"/>
          <w:szCs w:val="22"/>
        </w:rPr>
        <w:t>1001603</w:t>
      </w:r>
    </w:p>
    <w:p w14:paraId="07333A6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103.</w:t>
      </w:r>
      <w:r w:rsidRPr="00E126EF">
        <w:rPr>
          <w:rFonts w:eastAsiaTheme="minorHAnsi" w:cstheme="minorBidi"/>
          <w:szCs w:val="22"/>
        </w:rPr>
        <w:tab/>
        <w:t xml:space="preserve">Philp A, Chen A, Lan D, Meyer GA, Murphy AN, Knapp AE, Olfert IM, McCurdy CE, Marcotte GR, Hogan MC, </w:t>
      </w:r>
      <w:proofErr w:type="spellStart"/>
      <w:r w:rsidRPr="00E126EF">
        <w:rPr>
          <w:rFonts w:eastAsiaTheme="minorHAnsi" w:cstheme="minorBidi"/>
          <w:szCs w:val="22"/>
        </w:rPr>
        <w:t>Baar</w:t>
      </w:r>
      <w:proofErr w:type="spellEnd"/>
      <w:r w:rsidRPr="00E126EF">
        <w:rPr>
          <w:rFonts w:eastAsiaTheme="minorHAnsi" w:cstheme="minorBidi"/>
          <w:szCs w:val="22"/>
        </w:rPr>
        <w:t xml:space="preserve"> K, Schenk S. </w:t>
      </w:r>
      <w:proofErr w:type="spellStart"/>
      <w:r w:rsidRPr="00E126EF">
        <w:rPr>
          <w:rFonts w:eastAsiaTheme="minorHAnsi" w:cstheme="minorBidi"/>
          <w:szCs w:val="22"/>
        </w:rPr>
        <w:t>Sirtuin</w:t>
      </w:r>
      <w:proofErr w:type="spellEnd"/>
      <w:r w:rsidRPr="00E126EF">
        <w:rPr>
          <w:rFonts w:eastAsiaTheme="minorHAnsi" w:cstheme="minorBidi"/>
          <w:szCs w:val="22"/>
        </w:rPr>
        <w:t xml:space="preserve"> 1 (SIRT1) deacetylase activity is not required for mitochondrial biogenesis or peroxisome proliferator-activated receptor-g coactivator-1a (PGC-1a) deacetylation following endurance exercise. J Biol Chem 2011; 286:30561-30570</w:t>
      </w:r>
    </w:p>
    <w:p w14:paraId="5354BDD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104.</w:t>
      </w:r>
      <w:r w:rsidRPr="00E126EF">
        <w:rPr>
          <w:rFonts w:eastAsiaTheme="minorHAnsi" w:cstheme="minorBidi"/>
          <w:szCs w:val="22"/>
        </w:rPr>
        <w:tab/>
        <w:t xml:space="preserve">Suzuki S, </w:t>
      </w:r>
      <w:proofErr w:type="spellStart"/>
      <w:r w:rsidRPr="00E126EF">
        <w:rPr>
          <w:rFonts w:eastAsiaTheme="minorHAnsi" w:cstheme="minorBidi"/>
          <w:szCs w:val="22"/>
        </w:rPr>
        <w:t>Iben</w:t>
      </w:r>
      <w:proofErr w:type="spellEnd"/>
      <w:r w:rsidRPr="00E126EF">
        <w:rPr>
          <w:rFonts w:eastAsiaTheme="minorHAnsi" w:cstheme="minorBidi"/>
          <w:szCs w:val="22"/>
        </w:rPr>
        <w:t xml:space="preserve"> JR, Coon SL, Kino T. SIRT1 is a transcriptional enhancer of the glucocorticoid receptor acting independently to its deacetylase activity Mol Cell Endocrinol 2018; 461:178-187 </w:t>
      </w:r>
    </w:p>
    <w:p w14:paraId="75049A7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105.</w:t>
      </w:r>
      <w:r w:rsidRPr="00E126EF">
        <w:rPr>
          <w:rFonts w:eastAsiaTheme="minorHAnsi" w:cstheme="minorBidi"/>
          <w:szCs w:val="22"/>
        </w:rPr>
        <w:tab/>
      </w:r>
      <w:proofErr w:type="spellStart"/>
      <w:r w:rsidRPr="00E126EF">
        <w:rPr>
          <w:rFonts w:eastAsiaTheme="minorHAnsi" w:cstheme="minorBidi"/>
          <w:szCs w:val="22"/>
        </w:rPr>
        <w:t>Altarejos</w:t>
      </w:r>
      <w:proofErr w:type="spellEnd"/>
      <w:r w:rsidRPr="00E126EF">
        <w:rPr>
          <w:rFonts w:eastAsiaTheme="minorHAnsi" w:cstheme="minorBidi"/>
          <w:szCs w:val="22"/>
        </w:rPr>
        <w:t xml:space="preserve"> JY, </w:t>
      </w:r>
      <w:proofErr w:type="spellStart"/>
      <w:r w:rsidRPr="00E126EF">
        <w:rPr>
          <w:rFonts w:eastAsiaTheme="minorHAnsi" w:cstheme="minorBidi"/>
          <w:szCs w:val="22"/>
        </w:rPr>
        <w:t>Montminy</w:t>
      </w:r>
      <w:proofErr w:type="spellEnd"/>
      <w:r w:rsidRPr="00E126EF">
        <w:rPr>
          <w:rFonts w:eastAsiaTheme="minorHAnsi" w:cstheme="minorBidi"/>
          <w:szCs w:val="22"/>
        </w:rPr>
        <w:t xml:space="preserve"> M. CREB and the CRTC co-activators: sensors for hormonal and metabolic signals. Nat Rev Mol Cell Biol 2011; 12:141-151</w:t>
      </w:r>
    </w:p>
    <w:p w14:paraId="4CA645C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106.</w:t>
      </w:r>
      <w:r w:rsidRPr="00E126EF">
        <w:rPr>
          <w:rFonts w:eastAsiaTheme="minorHAnsi" w:cstheme="minorBidi"/>
          <w:szCs w:val="22"/>
        </w:rPr>
        <w:tab/>
        <w:t>Hill MJ, Suzuki S, Segars JH, Kino T. CRTC2 Is a Coactivator of GR and Couples GR and CREB in the Regulation of Hepatic Gluconeogenesis. Mol Endocrinol 2016; 30:104-117</w:t>
      </w:r>
    </w:p>
    <w:p w14:paraId="21D0DEC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107.</w:t>
      </w:r>
      <w:r w:rsidRPr="00E126EF">
        <w:rPr>
          <w:rFonts w:eastAsiaTheme="minorHAnsi" w:cstheme="minorBidi"/>
          <w:szCs w:val="22"/>
        </w:rPr>
        <w:tab/>
        <w:t xml:space="preserve">Wu DY, </w:t>
      </w:r>
      <w:proofErr w:type="spellStart"/>
      <w:r w:rsidRPr="00E126EF">
        <w:rPr>
          <w:rFonts w:eastAsiaTheme="minorHAnsi" w:cstheme="minorBidi"/>
          <w:szCs w:val="22"/>
        </w:rPr>
        <w:t>Ou</w:t>
      </w:r>
      <w:proofErr w:type="spellEnd"/>
      <w:r w:rsidRPr="00E126EF">
        <w:rPr>
          <w:rFonts w:eastAsiaTheme="minorHAnsi" w:cstheme="minorBidi"/>
          <w:szCs w:val="22"/>
        </w:rPr>
        <w:t xml:space="preserve"> CY, </w:t>
      </w:r>
      <w:proofErr w:type="spellStart"/>
      <w:r w:rsidRPr="00E126EF">
        <w:rPr>
          <w:rFonts w:eastAsiaTheme="minorHAnsi" w:cstheme="minorBidi"/>
          <w:szCs w:val="22"/>
        </w:rPr>
        <w:t>Chodankar</w:t>
      </w:r>
      <w:proofErr w:type="spellEnd"/>
      <w:r w:rsidRPr="00E126EF">
        <w:rPr>
          <w:rFonts w:eastAsiaTheme="minorHAnsi" w:cstheme="minorBidi"/>
          <w:szCs w:val="22"/>
        </w:rPr>
        <w:t xml:space="preserve"> R, </w:t>
      </w:r>
      <w:proofErr w:type="spellStart"/>
      <w:r w:rsidRPr="00E126EF">
        <w:rPr>
          <w:rFonts w:eastAsiaTheme="minorHAnsi" w:cstheme="minorBidi"/>
          <w:szCs w:val="22"/>
        </w:rPr>
        <w:t>Siegmund</w:t>
      </w:r>
      <w:proofErr w:type="spellEnd"/>
      <w:r w:rsidRPr="00E126EF">
        <w:rPr>
          <w:rFonts w:eastAsiaTheme="minorHAnsi" w:cstheme="minorBidi"/>
          <w:szCs w:val="22"/>
        </w:rPr>
        <w:t xml:space="preserve"> KD, </w:t>
      </w:r>
      <w:proofErr w:type="spellStart"/>
      <w:r w:rsidRPr="00E126EF">
        <w:rPr>
          <w:rFonts w:eastAsiaTheme="minorHAnsi" w:cstheme="minorBidi"/>
          <w:szCs w:val="22"/>
        </w:rPr>
        <w:t>Stallcup</w:t>
      </w:r>
      <w:proofErr w:type="spellEnd"/>
      <w:r w:rsidRPr="00E126EF">
        <w:rPr>
          <w:rFonts w:eastAsiaTheme="minorHAnsi" w:cstheme="minorBidi"/>
          <w:szCs w:val="22"/>
        </w:rPr>
        <w:t xml:space="preserve"> MR. Distinct, genome-wide, gene-specific selectivity patterns of four glucocorticoid receptor coregulators. </w:t>
      </w:r>
      <w:proofErr w:type="spellStart"/>
      <w:r w:rsidRPr="00E126EF">
        <w:rPr>
          <w:rFonts w:eastAsiaTheme="minorHAnsi" w:cstheme="minorBidi"/>
          <w:szCs w:val="22"/>
        </w:rPr>
        <w:t>Nucl</w:t>
      </w:r>
      <w:proofErr w:type="spellEnd"/>
      <w:r w:rsidRPr="00E126EF">
        <w:rPr>
          <w:rFonts w:eastAsiaTheme="minorHAnsi" w:cstheme="minorBidi"/>
          <w:szCs w:val="22"/>
        </w:rPr>
        <w:t xml:space="preserve"> </w:t>
      </w:r>
      <w:proofErr w:type="spellStart"/>
      <w:r w:rsidRPr="00E126EF">
        <w:rPr>
          <w:rFonts w:eastAsiaTheme="minorHAnsi" w:cstheme="minorBidi"/>
          <w:szCs w:val="22"/>
        </w:rPr>
        <w:t>Recept</w:t>
      </w:r>
      <w:proofErr w:type="spellEnd"/>
      <w:r w:rsidRPr="00E126EF">
        <w:rPr>
          <w:rFonts w:eastAsiaTheme="minorHAnsi" w:cstheme="minorBidi"/>
          <w:szCs w:val="22"/>
        </w:rPr>
        <w:t xml:space="preserve"> Signal 2014; </w:t>
      </w:r>
      <w:proofErr w:type="gramStart"/>
      <w:r w:rsidRPr="00E126EF">
        <w:rPr>
          <w:rFonts w:eastAsiaTheme="minorHAnsi" w:cstheme="minorBidi"/>
          <w:szCs w:val="22"/>
        </w:rPr>
        <w:t>12:e</w:t>
      </w:r>
      <w:proofErr w:type="gramEnd"/>
      <w:r w:rsidRPr="00E126EF">
        <w:rPr>
          <w:rFonts w:eastAsiaTheme="minorHAnsi" w:cstheme="minorBidi"/>
          <w:szCs w:val="22"/>
        </w:rPr>
        <w:t>002</w:t>
      </w:r>
    </w:p>
    <w:p w14:paraId="65005F0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108.</w:t>
      </w:r>
      <w:r w:rsidRPr="00E126EF">
        <w:rPr>
          <w:rFonts w:eastAsiaTheme="minorHAnsi" w:cstheme="minorBidi"/>
          <w:szCs w:val="22"/>
        </w:rPr>
        <w:tab/>
        <w:t xml:space="preserve">Surjit M, </w:t>
      </w:r>
      <w:proofErr w:type="spellStart"/>
      <w:r w:rsidRPr="00E126EF">
        <w:rPr>
          <w:rFonts w:eastAsiaTheme="minorHAnsi" w:cstheme="minorBidi"/>
          <w:szCs w:val="22"/>
        </w:rPr>
        <w:t>Ganti</w:t>
      </w:r>
      <w:proofErr w:type="spellEnd"/>
      <w:r w:rsidRPr="00E126EF">
        <w:rPr>
          <w:rFonts w:eastAsiaTheme="minorHAnsi" w:cstheme="minorBidi"/>
          <w:szCs w:val="22"/>
        </w:rPr>
        <w:t xml:space="preserve"> KP, Mukherji A, Ye T, Hua G, Metzger D, Li M, </w:t>
      </w:r>
      <w:proofErr w:type="spellStart"/>
      <w:r w:rsidRPr="00E126EF">
        <w:rPr>
          <w:rFonts w:eastAsiaTheme="minorHAnsi" w:cstheme="minorBidi"/>
          <w:szCs w:val="22"/>
        </w:rPr>
        <w:t>Chambon</w:t>
      </w:r>
      <w:proofErr w:type="spellEnd"/>
      <w:r w:rsidRPr="00E126EF">
        <w:rPr>
          <w:rFonts w:eastAsiaTheme="minorHAnsi" w:cstheme="minorBidi"/>
          <w:szCs w:val="22"/>
        </w:rPr>
        <w:t xml:space="preserve"> P. Widespread negative response elements mediate direct repression by agonist-liganded glucocorticoid receptor. Cell 2011; 145:224-241</w:t>
      </w:r>
    </w:p>
    <w:p w14:paraId="5A4B43D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109.</w:t>
      </w:r>
      <w:r w:rsidRPr="00E126EF">
        <w:rPr>
          <w:rFonts w:eastAsiaTheme="minorHAnsi" w:cstheme="minorBidi"/>
          <w:szCs w:val="22"/>
        </w:rPr>
        <w:tab/>
        <w:t xml:space="preserve">Hudson WH, </w:t>
      </w:r>
      <w:proofErr w:type="spellStart"/>
      <w:r w:rsidRPr="00E126EF">
        <w:rPr>
          <w:rFonts w:eastAsiaTheme="minorHAnsi" w:cstheme="minorBidi"/>
          <w:szCs w:val="22"/>
        </w:rPr>
        <w:t>Youn</w:t>
      </w:r>
      <w:proofErr w:type="spellEnd"/>
      <w:r w:rsidRPr="00E126EF">
        <w:rPr>
          <w:rFonts w:eastAsiaTheme="minorHAnsi" w:cstheme="minorBidi"/>
          <w:szCs w:val="22"/>
        </w:rPr>
        <w:t xml:space="preserve"> C, Ortlund EA. The structural basis of direct glucocorticoid-mediated transrepression. Nat Struct Mol Biol 2013; 20:53-58</w:t>
      </w:r>
    </w:p>
    <w:p w14:paraId="1477AD2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110.</w:t>
      </w:r>
      <w:r w:rsidRPr="00E126EF">
        <w:rPr>
          <w:rFonts w:eastAsiaTheme="minorHAnsi" w:cstheme="minorBidi"/>
          <w:szCs w:val="22"/>
        </w:rPr>
        <w:tab/>
      </w:r>
      <w:proofErr w:type="spellStart"/>
      <w:r w:rsidRPr="00E126EF">
        <w:rPr>
          <w:rFonts w:eastAsiaTheme="minorHAnsi" w:cstheme="minorBidi"/>
          <w:szCs w:val="22"/>
        </w:rPr>
        <w:t>Uhlenhaut</w:t>
      </w:r>
      <w:proofErr w:type="spellEnd"/>
      <w:r w:rsidRPr="00E126EF">
        <w:rPr>
          <w:rFonts w:eastAsiaTheme="minorHAnsi" w:cstheme="minorBidi"/>
          <w:szCs w:val="22"/>
        </w:rPr>
        <w:t xml:space="preserve"> NH, </w:t>
      </w:r>
      <w:proofErr w:type="spellStart"/>
      <w:r w:rsidRPr="00E126EF">
        <w:rPr>
          <w:rFonts w:eastAsiaTheme="minorHAnsi" w:cstheme="minorBidi"/>
          <w:szCs w:val="22"/>
        </w:rPr>
        <w:t>Barish</w:t>
      </w:r>
      <w:proofErr w:type="spellEnd"/>
      <w:r w:rsidRPr="00E126EF">
        <w:rPr>
          <w:rFonts w:eastAsiaTheme="minorHAnsi" w:cstheme="minorBidi"/>
          <w:szCs w:val="22"/>
        </w:rPr>
        <w:t xml:space="preserve"> GD, Yu RT, Downes M, </w:t>
      </w:r>
      <w:proofErr w:type="spellStart"/>
      <w:r w:rsidRPr="00E126EF">
        <w:rPr>
          <w:rFonts w:eastAsiaTheme="minorHAnsi" w:cstheme="minorBidi"/>
          <w:szCs w:val="22"/>
        </w:rPr>
        <w:t>Karunasiri</w:t>
      </w:r>
      <w:proofErr w:type="spellEnd"/>
      <w:r w:rsidRPr="00E126EF">
        <w:rPr>
          <w:rFonts w:eastAsiaTheme="minorHAnsi" w:cstheme="minorBidi"/>
          <w:szCs w:val="22"/>
        </w:rPr>
        <w:t xml:space="preserve"> M, Liddle C, </w:t>
      </w:r>
      <w:proofErr w:type="spellStart"/>
      <w:r w:rsidRPr="00E126EF">
        <w:rPr>
          <w:rFonts w:eastAsiaTheme="minorHAnsi" w:cstheme="minorBidi"/>
          <w:szCs w:val="22"/>
        </w:rPr>
        <w:t>Schwalie</w:t>
      </w:r>
      <w:proofErr w:type="spellEnd"/>
      <w:r w:rsidRPr="00E126EF">
        <w:rPr>
          <w:rFonts w:eastAsiaTheme="minorHAnsi" w:cstheme="minorBidi"/>
          <w:szCs w:val="22"/>
        </w:rPr>
        <w:t xml:space="preserve"> P, </w:t>
      </w:r>
      <w:proofErr w:type="spellStart"/>
      <w:r w:rsidRPr="00E126EF">
        <w:rPr>
          <w:rFonts w:eastAsiaTheme="minorHAnsi" w:cstheme="minorBidi"/>
          <w:szCs w:val="22"/>
        </w:rPr>
        <w:t>Hubner</w:t>
      </w:r>
      <w:proofErr w:type="spellEnd"/>
      <w:r w:rsidRPr="00E126EF">
        <w:rPr>
          <w:rFonts w:eastAsiaTheme="minorHAnsi" w:cstheme="minorBidi"/>
          <w:szCs w:val="22"/>
        </w:rPr>
        <w:t xml:space="preserve"> N, Evans RM. Insights into negative regulation by the glucocorticoid receptor from genome-wide profiling of inflammatory </w:t>
      </w:r>
      <w:proofErr w:type="spellStart"/>
      <w:r w:rsidRPr="00E126EF">
        <w:rPr>
          <w:rFonts w:eastAsiaTheme="minorHAnsi" w:cstheme="minorBidi"/>
          <w:szCs w:val="22"/>
        </w:rPr>
        <w:t>cistromes</w:t>
      </w:r>
      <w:proofErr w:type="spellEnd"/>
      <w:r w:rsidRPr="00E126EF">
        <w:rPr>
          <w:rFonts w:eastAsiaTheme="minorHAnsi" w:cstheme="minorBidi"/>
          <w:szCs w:val="22"/>
        </w:rPr>
        <w:t>. Mol Cell 2013; 49:158-171</w:t>
      </w:r>
    </w:p>
    <w:p w14:paraId="4E3ACDF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111.</w:t>
      </w:r>
      <w:r w:rsidRPr="00E126EF">
        <w:rPr>
          <w:rFonts w:eastAsiaTheme="minorHAnsi" w:cstheme="minorBidi"/>
          <w:szCs w:val="22"/>
        </w:rPr>
        <w:tab/>
        <w:t xml:space="preserve">Miner JN, Yamamoto KR. Regulatory crosstalk at composite response elements. Trends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Sci 1991; 16:423-426</w:t>
      </w:r>
    </w:p>
    <w:p w14:paraId="40FD69C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112.</w:t>
      </w:r>
      <w:r w:rsidRPr="00E126EF">
        <w:rPr>
          <w:rFonts w:eastAsiaTheme="minorHAnsi" w:cstheme="minorBidi"/>
          <w:szCs w:val="22"/>
        </w:rPr>
        <w:tab/>
        <w:t xml:space="preserve">Reichardt HM, </w:t>
      </w:r>
      <w:proofErr w:type="spellStart"/>
      <w:r w:rsidRPr="00E126EF">
        <w:rPr>
          <w:rFonts w:eastAsiaTheme="minorHAnsi" w:cstheme="minorBidi"/>
          <w:szCs w:val="22"/>
        </w:rPr>
        <w:t>Kaestner</w:t>
      </w:r>
      <w:proofErr w:type="spellEnd"/>
      <w:r w:rsidRPr="00E126EF">
        <w:rPr>
          <w:rFonts w:eastAsiaTheme="minorHAnsi" w:cstheme="minorBidi"/>
          <w:szCs w:val="22"/>
        </w:rPr>
        <w:t xml:space="preserve"> KH, </w:t>
      </w:r>
      <w:proofErr w:type="spellStart"/>
      <w:r w:rsidRPr="00E126EF">
        <w:rPr>
          <w:rFonts w:eastAsiaTheme="minorHAnsi" w:cstheme="minorBidi"/>
          <w:szCs w:val="22"/>
        </w:rPr>
        <w:t>Tuckermann</w:t>
      </w:r>
      <w:proofErr w:type="spellEnd"/>
      <w:r w:rsidRPr="00E126EF">
        <w:rPr>
          <w:rFonts w:eastAsiaTheme="minorHAnsi" w:cstheme="minorBidi"/>
          <w:szCs w:val="22"/>
        </w:rPr>
        <w:t xml:space="preserve"> J, </w:t>
      </w:r>
      <w:proofErr w:type="spellStart"/>
      <w:r w:rsidRPr="00E126EF">
        <w:rPr>
          <w:rFonts w:eastAsiaTheme="minorHAnsi" w:cstheme="minorBidi"/>
          <w:szCs w:val="22"/>
        </w:rPr>
        <w:t>Kretz</w:t>
      </w:r>
      <w:proofErr w:type="spellEnd"/>
      <w:r w:rsidRPr="00E126EF">
        <w:rPr>
          <w:rFonts w:eastAsiaTheme="minorHAnsi" w:cstheme="minorBidi"/>
          <w:szCs w:val="22"/>
        </w:rPr>
        <w:t xml:space="preserve"> O, </w:t>
      </w:r>
      <w:proofErr w:type="spellStart"/>
      <w:r w:rsidRPr="00E126EF">
        <w:rPr>
          <w:rFonts w:eastAsiaTheme="minorHAnsi" w:cstheme="minorBidi"/>
          <w:szCs w:val="22"/>
        </w:rPr>
        <w:t>Wessely</w:t>
      </w:r>
      <w:proofErr w:type="spellEnd"/>
      <w:r w:rsidRPr="00E126EF">
        <w:rPr>
          <w:rFonts w:eastAsiaTheme="minorHAnsi" w:cstheme="minorBidi"/>
          <w:szCs w:val="22"/>
        </w:rPr>
        <w:t xml:space="preserve"> O, Bock R, </w:t>
      </w:r>
      <w:proofErr w:type="spellStart"/>
      <w:r w:rsidRPr="00E126EF">
        <w:rPr>
          <w:rFonts w:eastAsiaTheme="minorHAnsi" w:cstheme="minorBidi"/>
          <w:szCs w:val="22"/>
        </w:rPr>
        <w:t>Gass</w:t>
      </w:r>
      <w:proofErr w:type="spellEnd"/>
      <w:r w:rsidRPr="00E126EF">
        <w:rPr>
          <w:rFonts w:eastAsiaTheme="minorHAnsi" w:cstheme="minorBidi"/>
          <w:szCs w:val="22"/>
        </w:rPr>
        <w:t xml:space="preserve"> P, Schmid W, </w:t>
      </w:r>
      <w:proofErr w:type="spellStart"/>
      <w:r w:rsidRPr="00E126EF">
        <w:rPr>
          <w:rFonts w:eastAsiaTheme="minorHAnsi" w:cstheme="minorBidi"/>
          <w:szCs w:val="22"/>
        </w:rPr>
        <w:t>Herrlich</w:t>
      </w:r>
      <w:proofErr w:type="spellEnd"/>
      <w:r w:rsidRPr="00E126EF">
        <w:rPr>
          <w:rFonts w:eastAsiaTheme="minorHAnsi" w:cstheme="minorBidi"/>
          <w:szCs w:val="22"/>
        </w:rPr>
        <w:t xml:space="preserve"> P, Angel P, Schutz G. DNA binding of the glucocorticoid receptor is not essential for survival. Cell 1998; 93:531-541</w:t>
      </w:r>
    </w:p>
    <w:p w14:paraId="54CFF5B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113.</w:t>
      </w:r>
      <w:r w:rsidRPr="00E126EF">
        <w:rPr>
          <w:rFonts w:eastAsiaTheme="minorHAnsi" w:cstheme="minorBidi"/>
          <w:szCs w:val="22"/>
        </w:rPr>
        <w:tab/>
        <w:t xml:space="preserve">Reichardt HM, </w:t>
      </w:r>
      <w:proofErr w:type="spellStart"/>
      <w:r w:rsidRPr="00E126EF">
        <w:rPr>
          <w:rFonts w:eastAsiaTheme="minorHAnsi" w:cstheme="minorBidi"/>
          <w:szCs w:val="22"/>
        </w:rPr>
        <w:t>Tuckermann</w:t>
      </w:r>
      <w:proofErr w:type="spellEnd"/>
      <w:r w:rsidRPr="00E126EF">
        <w:rPr>
          <w:rFonts w:eastAsiaTheme="minorHAnsi" w:cstheme="minorBidi"/>
          <w:szCs w:val="22"/>
        </w:rPr>
        <w:t xml:space="preserve"> JP, </w:t>
      </w:r>
      <w:proofErr w:type="spellStart"/>
      <w:r w:rsidRPr="00E126EF">
        <w:rPr>
          <w:rFonts w:eastAsiaTheme="minorHAnsi" w:cstheme="minorBidi"/>
          <w:szCs w:val="22"/>
        </w:rPr>
        <w:t>Gottlicher</w:t>
      </w:r>
      <w:proofErr w:type="spellEnd"/>
      <w:r w:rsidRPr="00E126EF">
        <w:rPr>
          <w:rFonts w:eastAsiaTheme="minorHAnsi" w:cstheme="minorBidi"/>
          <w:szCs w:val="22"/>
        </w:rPr>
        <w:t xml:space="preserve"> M, </w:t>
      </w:r>
      <w:proofErr w:type="spellStart"/>
      <w:r w:rsidRPr="00E126EF">
        <w:rPr>
          <w:rFonts w:eastAsiaTheme="minorHAnsi" w:cstheme="minorBidi"/>
          <w:szCs w:val="22"/>
        </w:rPr>
        <w:t>Vujic</w:t>
      </w:r>
      <w:proofErr w:type="spellEnd"/>
      <w:r w:rsidRPr="00E126EF">
        <w:rPr>
          <w:rFonts w:eastAsiaTheme="minorHAnsi" w:cstheme="minorBidi"/>
          <w:szCs w:val="22"/>
        </w:rPr>
        <w:t xml:space="preserve"> M, </w:t>
      </w:r>
      <w:proofErr w:type="spellStart"/>
      <w:r w:rsidRPr="00E126EF">
        <w:rPr>
          <w:rFonts w:eastAsiaTheme="minorHAnsi" w:cstheme="minorBidi"/>
          <w:szCs w:val="22"/>
        </w:rPr>
        <w:t>Weih</w:t>
      </w:r>
      <w:proofErr w:type="spellEnd"/>
      <w:r w:rsidRPr="00E126EF">
        <w:rPr>
          <w:rFonts w:eastAsiaTheme="minorHAnsi" w:cstheme="minorBidi"/>
          <w:szCs w:val="22"/>
        </w:rPr>
        <w:t xml:space="preserve"> F, Angel P, </w:t>
      </w:r>
      <w:proofErr w:type="spellStart"/>
      <w:r w:rsidRPr="00E126EF">
        <w:rPr>
          <w:rFonts w:eastAsiaTheme="minorHAnsi" w:cstheme="minorBidi"/>
          <w:szCs w:val="22"/>
        </w:rPr>
        <w:t>Herrlich</w:t>
      </w:r>
      <w:proofErr w:type="spellEnd"/>
      <w:r w:rsidRPr="00E126EF">
        <w:rPr>
          <w:rFonts w:eastAsiaTheme="minorHAnsi" w:cstheme="minorBidi"/>
          <w:szCs w:val="22"/>
        </w:rPr>
        <w:t xml:space="preserve"> P, Schutz G. Repression of inflammatory responses in the absence of DNA binding by the glucocorticoid receptor. EMBO J 2001; 20:7168-7173</w:t>
      </w:r>
    </w:p>
    <w:p w14:paraId="491197E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114.</w:t>
      </w:r>
      <w:r w:rsidRPr="00E126EF">
        <w:rPr>
          <w:rFonts w:eastAsiaTheme="minorHAnsi" w:cstheme="minorBidi"/>
          <w:szCs w:val="22"/>
        </w:rPr>
        <w:tab/>
        <w:t>Karin M, Chang L. AP-1-glucocorticoid receptor crosstalk taken to a higher level. J Endocrinol 2001; 169:447-451</w:t>
      </w:r>
    </w:p>
    <w:p w14:paraId="42FDB53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115.</w:t>
      </w:r>
      <w:r w:rsidRPr="00E126EF">
        <w:rPr>
          <w:rFonts w:eastAsiaTheme="minorHAnsi" w:cstheme="minorBidi"/>
          <w:szCs w:val="22"/>
        </w:rPr>
        <w:tab/>
        <w:t xml:space="preserve">Barnes PJ, Karin M. Nuclear factor-kB: a pivotal transcription factor in chronic inflammatory diseases. N </w:t>
      </w:r>
      <w:proofErr w:type="spellStart"/>
      <w:r w:rsidRPr="00E126EF">
        <w:rPr>
          <w:rFonts w:eastAsiaTheme="minorHAnsi" w:cstheme="minorBidi"/>
          <w:szCs w:val="22"/>
        </w:rPr>
        <w:t>Engl</w:t>
      </w:r>
      <w:proofErr w:type="spellEnd"/>
      <w:r w:rsidRPr="00E126EF">
        <w:rPr>
          <w:rFonts w:eastAsiaTheme="minorHAnsi" w:cstheme="minorBidi"/>
          <w:szCs w:val="22"/>
        </w:rPr>
        <w:t xml:space="preserve"> J Med 1997; 336:1066-1071</w:t>
      </w:r>
    </w:p>
    <w:p w14:paraId="1A1DC43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116.</w:t>
      </w:r>
      <w:r w:rsidRPr="00E126EF">
        <w:rPr>
          <w:rFonts w:eastAsiaTheme="minorHAnsi" w:cstheme="minorBidi"/>
          <w:szCs w:val="22"/>
        </w:rPr>
        <w:tab/>
      </w:r>
      <w:proofErr w:type="spellStart"/>
      <w:r w:rsidRPr="00E126EF">
        <w:rPr>
          <w:rFonts w:eastAsiaTheme="minorHAnsi" w:cstheme="minorBidi"/>
          <w:szCs w:val="22"/>
        </w:rPr>
        <w:t>Didonato</w:t>
      </w:r>
      <w:proofErr w:type="spellEnd"/>
      <w:r w:rsidRPr="00E126EF">
        <w:rPr>
          <w:rFonts w:eastAsiaTheme="minorHAnsi" w:cstheme="minorBidi"/>
          <w:szCs w:val="22"/>
        </w:rPr>
        <w:t xml:space="preserve"> JA, </w:t>
      </w:r>
      <w:proofErr w:type="spellStart"/>
      <w:r w:rsidRPr="00E126EF">
        <w:rPr>
          <w:rFonts w:eastAsiaTheme="minorHAnsi" w:cstheme="minorBidi"/>
          <w:szCs w:val="22"/>
        </w:rPr>
        <w:t>Saatcioglu</w:t>
      </w:r>
      <w:proofErr w:type="spellEnd"/>
      <w:r w:rsidRPr="00E126EF">
        <w:rPr>
          <w:rFonts w:eastAsiaTheme="minorHAnsi" w:cstheme="minorBidi"/>
          <w:szCs w:val="22"/>
        </w:rPr>
        <w:t xml:space="preserve"> F, Karin M. Molecular mechanisms of immunosuppression and anti-inflammatory activities by glucocorticoids. Am J Respir Crit Care Med 1996; </w:t>
      </w:r>
      <w:proofErr w:type="gramStart"/>
      <w:r w:rsidRPr="00E126EF">
        <w:rPr>
          <w:rFonts w:eastAsiaTheme="minorHAnsi" w:cstheme="minorBidi"/>
          <w:szCs w:val="22"/>
        </w:rPr>
        <w:t>154:S</w:t>
      </w:r>
      <w:proofErr w:type="gramEnd"/>
      <w:r w:rsidRPr="00E126EF">
        <w:rPr>
          <w:rFonts w:eastAsiaTheme="minorHAnsi" w:cstheme="minorBidi"/>
          <w:szCs w:val="22"/>
        </w:rPr>
        <w:t>11-15</w:t>
      </w:r>
    </w:p>
    <w:p w14:paraId="02FD458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117.</w:t>
      </w:r>
      <w:r w:rsidRPr="00E126EF">
        <w:rPr>
          <w:rFonts w:eastAsiaTheme="minorHAnsi" w:cstheme="minorBidi"/>
          <w:szCs w:val="22"/>
        </w:rPr>
        <w:tab/>
        <w:t xml:space="preserve">Liberman AC, </w:t>
      </w:r>
      <w:proofErr w:type="spellStart"/>
      <w:r w:rsidRPr="00E126EF">
        <w:rPr>
          <w:rFonts w:eastAsiaTheme="minorHAnsi" w:cstheme="minorBidi"/>
          <w:szCs w:val="22"/>
        </w:rPr>
        <w:t>Druker</w:t>
      </w:r>
      <w:proofErr w:type="spellEnd"/>
      <w:r w:rsidRPr="00E126EF">
        <w:rPr>
          <w:rFonts w:eastAsiaTheme="minorHAnsi" w:cstheme="minorBidi"/>
          <w:szCs w:val="22"/>
        </w:rPr>
        <w:t xml:space="preserve"> J, Garcia FA, </w:t>
      </w:r>
      <w:proofErr w:type="spellStart"/>
      <w:r w:rsidRPr="00E126EF">
        <w:rPr>
          <w:rFonts w:eastAsiaTheme="minorHAnsi" w:cstheme="minorBidi"/>
          <w:szCs w:val="22"/>
        </w:rPr>
        <w:t>Holsboer</w:t>
      </w:r>
      <w:proofErr w:type="spellEnd"/>
      <w:r w:rsidRPr="00E126EF">
        <w:rPr>
          <w:rFonts w:eastAsiaTheme="minorHAnsi" w:cstheme="minorBidi"/>
          <w:szCs w:val="22"/>
        </w:rPr>
        <w:t xml:space="preserve"> F, </w:t>
      </w:r>
      <w:proofErr w:type="spellStart"/>
      <w:r w:rsidRPr="00E126EF">
        <w:rPr>
          <w:rFonts w:eastAsiaTheme="minorHAnsi" w:cstheme="minorBidi"/>
          <w:szCs w:val="22"/>
        </w:rPr>
        <w:t>Arzt</w:t>
      </w:r>
      <w:proofErr w:type="spellEnd"/>
      <w:r w:rsidRPr="00E126EF">
        <w:rPr>
          <w:rFonts w:eastAsiaTheme="minorHAnsi" w:cstheme="minorBidi"/>
          <w:szCs w:val="22"/>
        </w:rPr>
        <w:t xml:space="preserve"> E. Intracellular molecular signaling. Basis for specificity to glucocorticoid anti-inflammatory actions. Ann N Y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2009; 1153:6-13</w:t>
      </w:r>
    </w:p>
    <w:p w14:paraId="496113D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118.</w:t>
      </w:r>
      <w:r w:rsidRPr="00E126EF">
        <w:rPr>
          <w:rFonts w:eastAsiaTheme="minorHAnsi" w:cstheme="minorBidi"/>
          <w:szCs w:val="22"/>
        </w:rPr>
        <w:tab/>
        <w:t xml:space="preserve">Liberman AC, </w:t>
      </w:r>
      <w:proofErr w:type="spellStart"/>
      <w:r w:rsidRPr="00E126EF">
        <w:rPr>
          <w:rFonts w:eastAsiaTheme="minorHAnsi" w:cstheme="minorBidi"/>
          <w:szCs w:val="22"/>
        </w:rPr>
        <w:t>Refojo</w:t>
      </w:r>
      <w:proofErr w:type="spellEnd"/>
      <w:r w:rsidRPr="00E126EF">
        <w:rPr>
          <w:rFonts w:eastAsiaTheme="minorHAnsi" w:cstheme="minorBidi"/>
          <w:szCs w:val="22"/>
        </w:rPr>
        <w:t xml:space="preserve"> D, </w:t>
      </w:r>
      <w:proofErr w:type="spellStart"/>
      <w:r w:rsidRPr="00E126EF">
        <w:rPr>
          <w:rFonts w:eastAsiaTheme="minorHAnsi" w:cstheme="minorBidi"/>
          <w:szCs w:val="22"/>
        </w:rPr>
        <w:t>Druker</w:t>
      </w:r>
      <w:proofErr w:type="spellEnd"/>
      <w:r w:rsidRPr="00E126EF">
        <w:rPr>
          <w:rFonts w:eastAsiaTheme="minorHAnsi" w:cstheme="minorBidi"/>
          <w:szCs w:val="22"/>
        </w:rPr>
        <w:t xml:space="preserve"> J, Toscano M, Rein T, </w:t>
      </w:r>
      <w:proofErr w:type="spellStart"/>
      <w:r w:rsidRPr="00E126EF">
        <w:rPr>
          <w:rFonts w:eastAsiaTheme="minorHAnsi" w:cstheme="minorBidi"/>
          <w:szCs w:val="22"/>
        </w:rPr>
        <w:t>Holsboer</w:t>
      </w:r>
      <w:proofErr w:type="spellEnd"/>
      <w:r w:rsidRPr="00E126EF">
        <w:rPr>
          <w:rFonts w:eastAsiaTheme="minorHAnsi" w:cstheme="minorBidi"/>
          <w:szCs w:val="22"/>
        </w:rPr>
        <w:t xml:space="preserve"> F, </w:t>
      </w:r>
      <w:proofErr w:type="spellStart"/>
      <w:r w:rsidRPr="00E126EF">
        <w:rPr>
          <w:rFonts w:eastAsiaTheme="minorHAnsi" w:cstheme="minorBidi"/>
          <w:szCs w:val="22"/>
        </w:rPr>
        <w:t>Arzt</w:t>
      </w:r>
      <w:proofErr w:type="spellEnd"/>
      <w:r w:rsidRPr="00E126EF">
        <w:rPr>
          <w:rFonts w:eastAsiaTheme="minorHAnsi" w:cstheme="minorBidi"/>
          <w:szCs w:val="22"/>
        </w:rPr>
        <w:t xml:space="preserve"> E. The activated glucocorticoid receptor inhibits the transcription factor T-bet by direct protein-protein interaction. FASEB J 2007; 21:1177-1188</w:t>
      </w:r>
    </w:p>
    <w:p w14:paraId="2C425FF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119.</w:t>
      </w:r>
      <w:r w:rsidRPr="00E126EF">
        <w:rPr>
          <w:rFonts w:eastAsiaTheme="minorHAnsi" w:cstheme="minorBidi"/>
          <w:szCs w:val="22"/>
        </w:rPr>
        <w:tab/>
      </w:r>
      <w:proofErr w:type="spellStart"/>
      <w:r w:rsidRPr="00E126EF">
        <w:rPr>
          <w:rFonts w:eastAsiaTheme="minorHAnsi" w:cstheme="minorBidi"/>
          <w:szCs w:val="22"/>
        </w:rPr>
        <w:t>Reily</w:t>
      </w:r>
      <w:proofErr w:type="spellEnd"/>
      <w:r w:rsidRPr="00E126EF">
        <w:rPr>
          <w:rFonts w:eastAsiaTheme="minorHAnsi" w:cstheme="minorBidi"/>
          <w:szCs w:val="22"/>
        </w:rPr>
        <w:t xml:space="preserve"> MM, Pantoja C, Hu X, </w:t>
      </w:r>
      <w:proofErr w:type="spellStart"/>
      <w:r w:rsidRPr="00E126EF">
        <w:rPr>
          <w:rFonts w:eastAsiaTheme="minorHAnsi" w:cstheme="minorBidi"/>
          <w:szCs w:val="22"/>
        </w:rPr>
        <w:t>Chinenov</w:t>
      </w:r>
      <w:proofErr w:type="spellEnd"/>
      <w:r w:rsidRPr="00E126EF">
        <w:rPr>
          <w:rFonts w:eastAsiaTheme="minorHAnsi" w:cstheme="minorBidi"/>
          <w:szCs w:val="22"/>
        </w:rPr>
        <w:t xml:space="preserve"> Y, </w:t>
      </w:r>
      <w:proofErr w:type="spellStart"/>
      <w:r w:rsidRPr="00E126EF">
        <w:rPr>
          <w:rFonts w:eastAsiaTheme="minorHAnsi" w:cstheme="minorBidi"/>
          <w:szCs w:val="22"/>
        </w:rPr>
        <w:t>Rogatsky</w:t>
      </w:r>
      <w:proofErr w:type="spellEnd"/>
      <w:r w:rsidRPr="00E126EF">
        <w:rPr>
          <w:rFonts w:eastAsiaTheme="minorHAnsi" w:cstheme="minorBidi"/>
          <w:szCs w:val="22"/>
        </w:rPr>
        <w:t xml:space="preserve"> I. The GRIP1:IRF3 interaction as a target for glucocorticoid receptor-mediated immunosuppression. EMBO J 2006; 25:108-117</w:t>
      </w:r>
    </w:p>
    <w:p w14:paraId="09678CA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120.</w:t>
      </w:r>
      <w:r w:rsidRPr="00E126EF">
        <w:rPr>
          <w:rFonts w:eastAsiaTheme="minorHAnsi" w:cstheme="minorBidi"/>
          <w:szCs w:val="22"/>
        </w:rPr>
        <w:tab/>
        <w:t xml:space="preserve">Perkins ND. The Rel/NF-kB family: friend and foe. Trends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Sci 2000; 25:434-440</w:t>
      </w:r>
    </w:p>
    <w:p w14:paraId="648C807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121.</w:t>
      </w:r>
      <w:r w:rsidRPr="00E126EF">
        <w:rPr>
          <w:rFonts w:eastAsiaTheme="minorHAnsi" w:cstheme="minorBidi"/>
          <w:szCs w:val="22"/>
        </w:rPr>
        <w:tab/>
        <w:t xml:space="preserve">McKay LI,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Molecular control of immune/inflammatory responses: interactions between nuclear factor-kB and steroid receptor-signaling pathways.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1999; 20:435-459</w:t>
      </w:r>
    </w:p>
    <w:p w14:paraId="7D2866B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122.</w:t>
      </w:r>
      <w:r w:rsidRPr="00E126EF">
        <w:rPr>
          <w:rFonts w:eastAsiaTheme="minorHAnsi" w:cstheme="minorBidi"/>
          <w:szCs w:val="22"/>
        </w:rPr>
        <w:tab/>
      </w:r>
      <w:proofErr w:type="spellStart"/>
      <w:r w:rsidRPr="00E126EF">
        <w:rPr>
          <w:rFonts w:eastAsiaTheme="minorHAnsi" w:cstheme="minorBidi"/>
          <w:szCs w:val="22"/>
        </w:rPr>
        <w:t>Caldenhoven</w:t>
      </w:r>
      <w:proofErr w:type="spellEnd"/>
      <w:r w:rsidRPr="00E126EF">
        <w:rPr>
          <w:rFonts w:eastAsiaTheme="minorHAnsi" w:cstheme="minorBidi"/>
          <w:szCs w:val="22"/>
        </w:rPr>
        <w:t xml:space="preserve"> E, Liden J, </w:t>
      </w:r>
      <w:proofErr w:type="spellStart"/>
      <w:r w:rsidRPr="00E126EF">
        <w:rPr>
          <w:rFonts w:eastAsiaTheme="minorHAnsi" w:cstheme="minorBidi"/>
          <w:szCs w:val="22"/>
        </w:rPr>
        <w:t>Wissink</w:t>
      </w:r>
      <w:proofErr w:type="spellEnd"/>
      <w:r w:rsidRPr="00E126EF">
        <w:rPr>
          <w:rFonts w:eastAsiaTheme="minorHAnsi" w:cstheme="minorBidi"/>
          <w:szCs w:val="22"/>
        </w:rPr>
        <w:t xml:space="preserve"> S, Van de </w:t>
      </w:r>
      <w:proofErr w:type="spellStart"/>
      <w:r w:rsidRPr="00E126EF">
        <w:rPr>
          <w:rFonts w:eastAsiaTheme="minorHAnsi" w:cstheme="minorBidi"/>
          <w:szCs w:val="22"/>
        </w:rPr>
        <w:t>Stolpe</w:t>
      </w:r>
      <w:proofErr w:type="spellEnd"/>
      <w:r w:rsidRPr="00E126EF">
        <w:rPr>
          <w:rFonts w:eastAsiaTheme="minorHAnsi" w:cstheme="minorBidi"/>
          <w:szCs w:val="22"/>
        </w:rPr>
        <w:t xml:space="preserve"> A, </w:t>
      </w:r>
      <w:proofErr w:type="spellStart"/>
      <w:r w:rsidRPr="00E126EF">
        <w:rPr>
          <w:rFonts w:eastAsiaTheme="minorHAnsi" w:cstheme="minorBidi"/>
          <w:szCs w:val="22"/>
        </w:rPr>
        <w:t>Raaijmakers</w:t>
      </w:r>
      <w:proofErr w:type="spellEnd"/>
      <w:r w:rsidRPr="00E126EF">
        <w:rPr>
          <w:rFonts w:eastAsiaTheme="minorHAnsi" w:cstheme="minorBidi"/>
          <w:szCs w:val="22"/>
        </w:rPr>
        <w:t xml:space="preserve"> J, </w:t>
      </w:r>
      <w:proofErr w:type="spellStart"/>
      <w:r w:rsidRPr="00E126EF">
        <w:rPr>
          <w:rFonts w:eastAsiaTheme="minorHAnsi" w:cstheme="minorBidi"/>
          <w:szCs w:val="22"/>
        </w:rPr>
        <w:t>Koenderman</w:t>
      </w:r>
      <w:proofErr w:type="spellEnd"/>
      <w:r w:rsidRPr="00E126EF">
        <w:rPr>
          <w:rFonts w:eastAsiaTheme="minorHAnsi" w:cstheme="minorBidi"/>
          <w:szCs w:val="22"/>
        </w:rPr>
        <w:t xml:space="preserve"> L, </w:t>
      </w:r>
      <w:proofErr w:type="spellStart"/>
      <w:r w:rsidRPr="00E126EF">
        <w:rPr>
          <w:rFonts w:eastAsiaTheme="minorHAnsi" w:cstheme="minorBidi"/>
          <w:szCs w:val="22"/>
        </w:rPr>
        <w:t>Okret</w:t>
      </w:r>
      <w:proofErr w:type="spellEnd"/>
      <w:r w:rsidRPr="00E126EF">
        <w:rPr>
          <w:rFonts w:eastAsiaTheme="minorHAnsi" w:cstheme="minorBidi"/>
          <w:szCs w:val="22"/>
        </w:rPr>
        <w:t xml:space="preserve"> S, Gustafsson JA, Van der Saag PT. Negative cross-talk between RelA and the glucocorticoid receptor: a possible mechanism for the </w:t>
      </w:r>
      <w:proofErr w:type="spellStart"/>
      <w:r w:rsidRPr="00E126EF">
        <w:rPr>
          <w:rFonts w:eastAsiaTheme="minorHAnsi" w:cstheme="minorBidi"/>
          <w:szCs w:val="22"/>
        </w:rPr>
        <w:t>antiinflammatory</w:t>
      </w:r>
      <w:proofErr w:type="spellEnd"/>
      <w:r w:rsidRPr="00E126EF">
        <w:rPr>
          <w:rFonts w:eastAsiaTheme="minorHAnsi" w:cstheme="minorBidi"/>
          <w:szCs w:val="22"/>
        </w:rPr>
        <w:t xml:space="preserve"> action of glucocorticoids. Mol Endocrinol 1995; 9:401-412</w:t>
      </w:r>
    </w:p>
    <w:p w14:paraId="11F9310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123.</w:t>
      </w:r>
      <w:r w:rsidRPr="00E126EF">
        <w:rPr>
          <w:rFonts w:eastAsiaTheme="minorHAnsi" w:cstheme="minorBidi"/>
          <w:szCs w:val="22"/>
        </w:rPr>
        <w:tab/>
        <w:t xml:space="preserve">Liden J, Delaunay F, Rafter I, Gustafsson J, </w:t>
      </w:r>
      <w:proofErr w:type="spellStart"/>
      <w:r w:rsidRPr="00E126EF">
        <w:rPr>
          <w:rFonts w:eastAsiaTheme="minorHAnsi" w:cstheme="minorBidi"/>
          <w:szCs w:val="22"/>
        </w:rPr>
        <w:t>Okret</w:t>
      </w:r>
      <w:proofErr w:type="spellEnd"/>
      <w:r w:rsidRPr="00E126EF">
        <w:rPr>
          <w:rFonts w:eastAsiaTheme="minorHAnsi" w:cstheme="minorBidi"/>
          <w:szCs w:val="22"/>
        </w:rPr>
        <w:t xml:space="preserve"> S. A new function for the C-terminal zinc finger of the glucocorticoid receptor. Repression of RelA transactivation. J Biol Chem 1997; 272:21467-21472</w:t>
      </w:r>
    </w:p>
    <w:p w14:paraId="1FDABC6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124.</w:t>
      </w:r>
      <w:r w:rsidRPr="00E126EF">
        <w:rPr>
          <w:rFonts w:eastAsiaTheme="minorHAnsi" w:cstheme="minorBidi"/>
          <w:szCs w:val="22"/>
        </w:rPr>
        <w:tab/>
      </w:r>
      <w:proofErr w:type="spellStart"/>
      <w:r w:rsidRPr="00E126EF">
        <w:rPr>
          <w:rFonts w:eastAsiaTheme="minorHAnsi" w:cstheme="minorBidi"/>
          <w:szCs w:val="22"/>
        </w:rPr>
        <w:t>Wissink</w:t>
      </w:r>
      <w:proofErr w:type="spellEnd"/>
      <w:r w:rsidRPr="00E126EF">
        <w:rPr>
          <w:rFonts w:eastAsiaTheme="minorHAnsi" w:cstheme="minorBidi"/>
          <w:szCs w:val="22"/>
        </w:rPr>
        <w:t xml:space="preserve"> S, van </w:t>
      </w:r>
      <w:proofErr w:type="spellStart"/>
      <w:r w:rsidRPr="00E126EF">
        <w:rPr>
          <w:rFonts w:eastAsiaTheme="minorHAnsi" w:cstheme="minorBidi"/>
          <w:szCs w:val="22"/>
        </w:rPr>
        <w:t>Heerde</w:t>
      </w:r>
      <w:proofErr w:type="spellEnd"/>
      <w:r w:rsidRPr="00E126EF">
        <w:rPr>
          <w:rFonts w:eastAsiaTheme="minorHAnsi" w:cstheme="minorBidi"/>
          <w:szCs w:val="22"/>
        </w:rPr>
        <w:t xml:space="preserve"> EC, Schmitz ML, </w:t>
      </w:r>
      <w:proofErr w:type="spellStart"/>
      <w:r w:rsidRPr="00E126EF">
        <w:rPr>
          <w:rFonts w:eastAsiaTheme="minorHAnsi" w:cstheme="minorBidi"/>
          <w:szCs w:val="22"/>
        </w:rPr>
        <w:t>Kalkhoven</w:t>
      </w:r>
      <w:proofErr w:type="spellEnd"/>
      <w:r w:rsidRPr="00E126EF">
        <w:rPr>
          <w:rFonts w:eastAsiaTheme="minorHAnsi" w:cstheme="minorBidi"/>
          <w:szCs w:val="22"/>
        </w:rPr>
        <w:t xml:space="preserve"> E, van der Burg B, </w:t>
      </w:r>
      <w:proofErr w:type="spellStart"/>
      <w:r w:rsidRPr="00E126EF">
        <w:rPr>
          <w:rFonts w:eastAsiaTheme="minorHAnsi" w:cstheme="minorBidi"/>
          <w:szCs w:val="22"/>
        </w:rPr>
        <w:t>Baeuerle</w:t>
      </w:r>
      <w:proofErr w:type="spellEnd"/>
      <w:r w:rsidRPr="00E126EF">
        <w:rPr>
          <w:rFonts w:eastAsiaTheme="minorHAnsi" w:cstheme="minorBidi"/>
          <w:szCs w:val="22"/>
        </w:rPr>
        <w:t xml:space="preserve"> PA, van der Saag PT. Distinct domains of the RelA NF-kB subunit are required for negative cross-talk and direct interaction with the glucocorticoid receptor. J Biol Chem 1997; 272:22278-22284</w:t>
      </w:r>
    </w:p>
    <w:p w14:paraId="257978C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125.</w:t>
      </w:r>
      <w:r w:rsidRPr="00E126EF">
        <w:rPr>
          <w:rFonts w:eastAsiaTheme="minorHAnsi" w:cstheme="minorBidi"/>
          <w:szCs w:val="22"/>
        </w:rPr>
        <w:tab/>
        <w:t xml:space="preserve">McKay LI,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Cross-talk between nuclear factor-kB and the steroid hormone receptors: mechanisms of mutual antagonism. Mol Endocrinol 1998; 12:45-56</w:t>
      </w:r>
    </w:p>
    <w:p w14:paraId="401A61B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126.</w:t>
      </w:r>
      <w:r w:rsidRPr="00E126EF">
        <w:rPr>
          <w:rFonts w:eastAsiaTheme="minorHAnsi" w:cstheme="minorBidi"/>
          <w:szCs w:val="22"/>
        </w:rPr>
        <w:tab/>
        <w:t>Ito K, Barnes PJ, Adcock IM. Glucocorticoid receptor recruitment of histone deacetylase 2 inhibits interleukin-1b-induced histone H4 acetylation on lysines 8 and 12. Mol Cell Biol 2000; 20:6891-6903</w:t>
      </w:r>
    </w:p>
    <w:p w14:paraId="4F22E4D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127.</w:t>
      </w:r>
      <w:r w:rsidRPr="00E126EF">
        <w:rPr>
          <w:rFonts w:eastAsiaTheme="minorHAnsi" w:cstheme="minorBidi"/>
          <w:szCs w:val="22"/>
        </w:rPr>
        <w:tab/>
        <w:t xml:space="preserve">Nissen RM, Yamamoto KR. The glucocorticoid receptor inhibits </w:t>
      </w:r>
      <w:proofErr w:type="spellStart"/>
      <w:r w:rsidRPr="00E126EF">
        <w:rPr>
          <w:rFonts w:eastAsiaTheme="minorHAnsi" w:cstheme="minorBidi"/>
          <w:szCs w:val="22"/>
        </w:rPr>
        <w:t>NFkB</w:t>
      </w:r>
      <w:proofErr w:type="spellEnd"/>
      <w:r w:rsidRPr="00E126EF">
        <w:rPr>
          <w:rFonts w:eastAsiaTheme="minorHAnsi" w:cstheme="minorBidi"/>
          <w:szCs w:val="22"/>
        </w:rPr>
        <w:t xml:space="preserve"> by interfering with serine-2 phosphorylation of the RNA polymerase II carboxy-terminal domain. Genes Dev 2000; 14:2314-2329</w:t>
      </w:r>
    </w:p>
    <w:p w14:paraId="08B223F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128.</w:t>
      </w:r>
      <w:r w:rsidRPr="00E126EF">
        <w:rPr>
          <w:rFonts w:eastAsiaTheme="minorHAnsi" w:cstheme="minorBidi"/>
          <w:szCs w:val="22"/>
        </w:rPr>
        <w:tab/>
      </w:r>
      <w:proofErr w:type="spellStart"/>
      <w:r w:rsidRPr="00E126EF">
        <w:rPr>
          <w:rFonts w:eastAsiaTheme="minorHAnsi" w:cstheme="minorBidi"/>
          <w:szCs w:val="22"/>
        </w:rPr>
        <w:t>Auphan</w:t>
      </w:r>
      <w:proofErr w:type="spellEnd"/>
      <w:r w:rsidRPr="00E126EF">
        <w:rPr>
          <w:rFonts w:eastAsiaTheme="minorHAnsi" w:cstheme="minorBidi"/>
          <w:szCs w:val="22"/>
        </w:rPr>
        <w:t xml:space="preserve"> N, DiDonato JA, Rosette C, </w:t>
      </w:r>
      <w:proofErr w:type="spellStart"/>
      <w:r w:rsidRPr="00E126EF">
        <w:rPr>
          <w:rFonts w:eastAsiaTheme="minorHAnsi" w:cstheme="minorBidi"/>
          <w:szCs w:val="22"/>
        </w:rPr>
        <w:t>Helmberg</w:t>
      </w:r>
      <w:proofErr w:type="spellEnd"/>
      <w:r w:rsidRPr="00E126EF">
        <w:rPr>
          <w:rFonts w:eastAsiaTheme="minorHAnsi" w:cstheme="minorBidi"/>
          <w:szCs w:val="22"/>
        </w:rPr>
        <w:t xml:space="preserve"> A, Karin M. Immunosuppression by glucocorticoids: inhibition of NF-kB activity through induction of IkB synthesis. Science 1995; 270:286-290</w:t>
      </w:r>
    </w:p>
    <w:p w14:paraId="351B5B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129.</w:t>
      </w:r>
      <w:r w:rsidRPr="00E126EF">
        <w:rPr>
          <w:rFonts w:eastAsiaTheme="minorHAnsi" w:cstheme="minorBidi"/>
          <w:szCs w:val="22"/>
        </w:rPr>
        <w:tab/>
      </w:r>
      <w:proofErr w:type="spellStart"/>
      <w:r w:rsidRPr="00E126EF">
        <w:rPr>
          <w:rFonts w:eastAsiaTheme="minorHAnsi" w:cstheme="minorBidi"/>
          <w:szCs w:val="22"/>
        </w:rPr>
        <w:t>Chinenov</w:t>
      </w:r>
      <w:proofErr w:type="spellEnd"/>
      <w:r w:rsidRPr="00E126EF">
        <w:rPr>
          <w:rFonts w:eastAsiaTheme="minorHAnsi" w:cstheme="minorBidi"/>
          <w:szCs w:val="22"/>
        </w:rPr>
        <w:t xml:space="preserve"> Y, Gupte R, </w:t>
      </w:r>
      <w:proofErr w:type="spellStart"/>
      <w:r w:rsidRPr="00E126EF">
        <w:rPr>
          <w:rFonts w:eastAsiaTheme="minorHAnsi" w:cstheme="minorBidi"/>
          <w:szCs w:val="22"/>
        </w:rPr>
        <w:t>Dobrovolna</w:t>
      </w:r>
      <w:proofErr w:type="spellEnd"/>
      <w:r w:rsidRPr="00E126EF">
        <w:rPr>
          <w:rFonts w:eastAsiaTheme="minorHAnsi" w:cstheme="minorBidi"/>
          <w:szCs w:val="22"/>
        </w:rPr>
        <w:t xml:space="preserve"> J, Flammer JR, Liu B, </w:t>
      </w:r>
      <w:proofErr w:type="spellStart"/>
      <w:r w:rsidRPr="00E126EF">
        <w:rPr>
          <w:rFonts w:eastAsiaTheme="minorHAnsi" w:cstheme="minorBidi"/>
          <w:szCs w:val="22"/>
        </w:rPr>
        <w:t>Michelassi</w:t>
      </w:r>
      <w:proofErr w:type="spellEnd"/>
      <w:r w:rsidRPr="00E126EF">
        <w:rPr>
          <w:rFonts w:eastAsiaTheme="minorHAnsi" w:cstheme="minorBidi"/>
          <w:szCs w:val="22"/>
        </w:rPr>
        <w:t xml:space="preserve"> FE, </w:t>
      </w:r>
      <w:proofErr w:type="spellStart"/>
      <w:r w:rsidRPr="00E126EF">
        <w:rPr>
          <w:rFonts w:eastAsiaTheme="minorHAnsi" w:cstheme="minorBidi"/>
          <w:szCs w:val="22"/>
        </w:rPr>
        <w:t>Rogatsky</w:t>
      </w:r>
      <w:proofErr w:type="spellEnd"/>
      <w:r w:rsidRPr="00E126EF">
        <w:rPr>
          <w:rFonts w:eastAsiaTheme="minorHAnsi" w:cstheme="minorBidi"/>
          <w:szCs w:val="22"/>
        </w:rPr>
        <w:t xml:space="preserve"> I. Role of transcriptional coregulator GRIP1 in the anti-inflammatory actions of glucocorticoids.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2012; 109:11776-11781</w:t>
      </w:r>
    </w:p>
    <w:p w14:paraId="75923F5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130.</w:t>
      </w:r>
      <w:r w:rsidRPr="00E126EF">
        <w:rPr>
          <w:rFonts w:eastAsiaTheme="minorHAnsi" w:cstheme="minorBidi"/>
          <w:szCs w:val="22"/>
        </w:rPr>
        <w:tab/>
      </w:r>
      <w:proofErr w:type="spellStart"/>
      <w:r w:rsidRPr="00E126EF">
        <w:rPr>
          <w:rFonts w:eastAsiaTheme="minorHAnsi" w:cstheme="minorBidi"/>
          <w:szCs w:val="22"/>
        </w:rPr>
        <w:t>Herrlich</w:t>
      </w:r>
      <w:proofErr w:type="spellEnd"/>
      <w:r w:rsidRPr="00E126EF">
        <w:rPr>
          <w:rFonts w:eastAsiaTheme="minorHAnsi" w:cstheme="minorBidi"/>
          <w:szCs w:val="22"/>
        </w:rPr>
        <w:t xml:space="preserve"> P. Cross-talk between glucocorticoid receptor and AP-1. Oncogene 2001; 20:2465-2475</w:t>
      </w:r>
    </w:p>
    <w:p w14:paraId="0695313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131.</w:t>
      </w:r>
      <w:r w:rsidRPr="00E126EF">
        <w:rPr>
          <w:rFonts w:eastAsiaTheme="minorHAnsi" w:cstheme="minorBidi"/>
          <w:szCs w:val="22"/>
        </w:rPr>
        <w:tab/>
        <w:t xml:space="preserve">van Dam H, </w:t>
      </w:r>
      <w:proofErr w:type="spellStart"/>
      <w:r w:rsidRPr="00E126EF">
        <w:rPr>
          <w:rFonts w:eastAsiaTheme="minorHAnsi" w:cstheme="minorBidi"/>
          <w:szCs w:val="22"/>
        </w:rPr>
        <w:t>Castellazzi</w:t>
      </w:r>
      <w:proofErr w:type="spellEnd"/>
      <w:r w:rsidRPr="00E126EF">
        <w:rPr>
          <w:rFonts w:eastAsiaTheme="minorHAnsi" w:cstheme="minorBidi"/>
          <w:szCs w:val="22"/>
        </w:rPr>
        <w:t xml:space="preserve"> M. Distinct roles of </w:t>
      </w:r>
      <w:proofErr w:type="gramStart"/>
      <w:r w:rsidRPr="00E126EF">
        <w:rPr>
          <w:rFonts w:eastAsiaTheme="minorHAnsi" w:cstheme="minorBidi"/>
          <w:szCs w:val="22"/>
        </w:rPr>
        <w:t>Jun :</w:t>
      </w:r>
      <w:proofErr w:type="gramEnd"/>
      <w:r w:rsidRPr="00E126EF">
        <w:rPr>
          <w:rFonts w:eastAsiaTheme="minorHAnsi" w:cstheme="minorBidi"/>
          <w:szCs w:val="22"/>
        </w:rPr>
        <w:t xml:space="preserve"> Fos and Jun : ATF dimers in oncogenesis. Oncogene 2001; 20:2453-2464</w:t>
      </w:r>
    </w:p>
    <w:p w14:paraId="248DFC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132.</w:t>
      </w:r>
      <w:r w:rsidRPr="00E126EF">
        <w:rPr>
          <w:rFonts w:eastAsiaTheme="minorHAnsi" w:cstheme="minorBidi"/>
          <w:szCs w:val="22"/>
        </w:rPr>
        <w:tab/>
        <w:t xml:space="preserve">Kamei Y, Xu L, </w:t>
      </w:r>
      <w:proofErr w:type="spellStart"/>
      <w:r w:rsidRPr="00E126EF">
        <w:rPr>
          <w:rFonts w:eastAsiaTheme="minorHAnsi" w:cstheme="minorBidi"/>
          <w:szCs w:val="22"/>
        </w:rPr>
        <w:t>Heinzel</w:t>
      </w:r>
      <w:proofErr w:type="spellEnd"/>
      <w:r w:rsidRPr="00E126EF">
        <w:rPr>
          <w:rFonts w:eastAsiaTheme="minorHAnsi" w:cstheme="minorBidi"/>
          <w:szCs w:val="22"/>
        </w:rPr>
        <w:t xml:space="preserve"> T, Torchia J, </w:t>
      </w:r>
      <w:proofErr w:type="spellStart"/>
      <w:r w:rsidRPr="00E126EF">
        <w:rPr>
          <w:rFonts w:eastAsiaTheme="minorHAnsi" w:cstheme="minorBidi"/>
          <w:szCs w:val="22"/>
        </w:rPr>
        <w:t>Kurokawa</w:t>
      </w:r>
      <w:proofErr w:type="spellEnd"/>
      <w:r w:rsidRPr="00E126EF">
        <w:rPr>
          <w:rFonts w:eastAsiaTheme="minorHAnsi" w:cstheme="minorBidi"/>
          <w:szCs w:val="22"/>
        </w:rPr>
        <w:t xml:space="preserve"> R, Gloss B, Lin SC, Heyman RA, Rose DW, Glass CK, Rosenfeld MG. A CBP integrator complex mediates transcriptional activation and AP-1 inhibition by nuclear receptors. Cell 1996; 85:403-414</w:t>
      </w:r>
    </w:p>
    <w:p w14:paraId="7627F49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133.</w:t>
      </w:r>
      <w:r w:rsidRPr="00E126EF">
        <w:rPr>
          <w:rFonts w:eastAsiaTheme="minorHAnsi" w:cstheme="minorBidi"/>
          <w:szCs w:val="22"/>
        </w:rPr>
        <w:tab/>
        <w:t xml:space="preserve">Mayr B, </w:t>
      </w:r>
      <w:proofErr w:type="spellStart"/>
      <w:r w:rsidRPr="00E126EF">
        <w:rPr>
          <w:rFonts w:eastAsiaTheme="minorHAnsi" w:cstheme="minorBidi"/>
          <w:szCs w:val="22"/>
        </w:rPr>
        <w:t>Montminy</w:t>
      </w:r>
      <w:proofErr w:type="spellEnd"/>
      <w:r w:rsidRPr="00E126EF">
        <w:rPr>
          <w:rFonts w:eastAsiaTheme="minorHAnsi" w:cstheme="minorBidi"/>
          <w:szCs w:val="22"/>
        </w:rPr>
        <w:t xml:space="preserve"> M. Transcriptional regulation by the phosphorylation-dependent factor CREB. Nat Rev Mol Cell Biol 2001; 2:599-609</w:t>
      </w:r>
    </w:p>
    <w:p w14:paraId="75DE9CC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134.</w:t>
      </w:r>
      <w:r w:rsidRPr="00E126EF">
        <w:rPr>
          <w:rFonts w:eastAsiaTheme="minorHAnsi" w:cstheme="minorBidi"/>
          <w:szCs w:val="22"/>
        </w:rPr>
        <w:tab/>
      </w:r>
      <w:proofErr w:type="spellStart"/>
      <w:r w:rsidRPr="00E126EF">
        <w:rPr>
          <w:rFonts w:eastAsiaTheme="minorHAnsi" w:cstheme="minorBidi"/>
          <w:szCs w:val="22"/>
        </w:rPr>
        <w:t>Stauber</w:t>
      </w:r>
      <w:proofErr w:type="spellEnd"/>
      <w:r w:rsidRPr="00E126EF">
        <w:rPr>
          <w:rFonts w:eastAsiaTheme="minorHAnsi" w:cstheme="minorBidi"/>
          <w:szCs w:val="22"/>
        </w:rPr>
        <w:t xml:space="preserve"> C, </w:t>
      </w:r>
      <w:proofErr w:type="spellStart"/>
      <w:r w:rsidRPr="00E126EF">
        <w:rPr>
          <w:rFonts w:eastAsiaTheme="minorHAnsi" w:cstheme="minorBidi"/>
          <w:szCs w:val="22"/>
        </w:rPr>
        <w:t>Altschmied</w:t>
      </w:r>
      <w:proofErr w:type="spellEnd"/>
      <w:r w:rsidRPr="00E126EF">
        <w:rPr>
          <w:rFonts w:eastAsiaTheme="minorHAnsi" w:cstheme="minorBidi"/>
          <w:szCs w:val="22"/>
        </w:rPr>
        <w:t xml:space="preserve"> J, </w:t>
      </w:r>
      <w:proofErr w:type="spellStart"/>
      <w:r w:rsidRPr="00E126EF">
        <w:rPr>
          <w:rFonts w:eastAsiaTheme="minorHAnsi" w:cstheme="minorBidi"/>
          <w:szCs w:val="22"/>
        </w:rPr>
        <w:t>Akerblom</w:t>
      </w:r>
      <w:proofErr w:type="spellEnd"/>
      <w:r w:rsidRPr="00E126EF">
        <w:rPr>
          <w:rFonts w:eastAsiaTheme="minorHAnsi" w:cstheme="minorBidi"/>
          <w:szCs w:val="22"/>
        </w:rPr>
        <w:t xml:space="preserve"> IE, Marron JL, Mellon PL. Mutual cross-interference between glucocorticoid receptor and CREB inhibits transactivation in placental cells. New Biol 1992; 4:527-540</w:t>
      </w:r>
    </w:p>
    <w:p w14:paraId="783104A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135.</w:t>
      </w:r>
      <w:r w:rsidRPr="00E126EF">
        <w:rPr>
          <w:rFonts w:eastAsiaTheme="minorHAnsi" w:cstheme="minorBidi"/>
          <w:szCs w:val="22"/>
        </w:rPr>
        <w:tab/>
        <w:t>Chatterjee VK, Madison LD, Mayo S, Jameson JL. Repression of the human glycoprotein hormone a-subunit gene by glucocorticoids: evidence for receptor interactions with limiting transcriptional activators. Mol Endocrinol 1991; 5:100-110</w:t>
      </w:r>
    </w:p>
    <w:p w14:paraId="0B8CB22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136.</w:t>
      </w:r>
      <w:r w:rsidRPr="00E126EF">
        <w:rPr>
          <w:rFonts w:eastAsiaTheme="minorHAnsi" w:cstheme="minorBidi"/>
          <w:szCs w:val="22"/>
        </w:rPr>
        <w:tab/>
        <w:t xml:space="preserve">Imai E, Miner JN, Mitchell JA, Yamamoto KR, </w:t>
      </w:r>
      <w:proofErr w:type="spellStart"/>
      <w:r w:rsidRPr="00E126EF">
        <w:rPr>
          <w:rFonts w:eastAsiaTheme="minorHAnsi" w:cstheme="minorBidi"/>
          <w:szCs w:val="22"/>
        </w:rPr>
        <w:t>Granner</w:t>
      </w:r>
      <w:proofErr w:type="spellEnd"/>
      <w:r w:rsidRPr="00E126EF">
        <w:rPr>
          <w:rFonts w:eastAsiaTheme="minorHAnsi" w:cstheme="minorBidi"/>
          <w:szCs w:val="22"/>
        </w:rPr>
        <w:t xml:space="preserve"> DK. Glucocorticoid receptor-cAMP response element-binding protein interaction and the response of the phosphoenolpyruvate carboxykinase gene to glucocorticoids. J Biol Chem 1993; 268:5353-5356</w:t>
      </w:r>
    </w:p>
    <w:p w14:paraId="2F9BEF5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137.</w:t>
      </w:r>
      <w:r w:rsidRPr="00E126EF">
        <w:rPr>
          <w:rFonts w:eastAsiaTheme="minorHAnsi" w:cstheme="minorBidi"/>
          <w:szCs w:val="22"/>
        </w:rPr>
        <w:tab/>
        <w:t xml:space="preserve">Liu JL, </w:t>
      </w:r>
      <w:proofErr w:type="spellStart"/>
      <w:r w:rsidRPr="00E126EF">
        <w:rPr>
          <w:rFonts w:eastAsiaTheme="minorHAnsi" w:cstheme="minorBidi"/>
          <w:szCs w:val="22"/>
        </w:rPr>
        <w:t>Papachristou</w:t>
      </w:r>
      <w:proofErr w:type="spellEnd"/>
      <w:r w:rsidRPr="00E126EF">
        <w:rPr>
          <w:rFonts w:eastAsiaTheme="minorHAnsi" w:cstheme="minorBidi"/>
          <w:szCs w:val="22"/>
        </w:rPr>
        <w:t xml:space="preserve"> DN, Patel YC. Glucocorticoids activate somatostatin gene transcription through co-operative interaction with the cyclic AMP </w:t>
      </w:r>
      <w:proofErr w:type="spellStart"/>
      <w:r w:rsidRPr="00E126EF">
        <w:rPr>
          <w:rFonts w:eastAsiaTheme="minorHAnsi" w:cstheme="minorBidi"/>
          <w:szCs w:val="22"/>
        </w:rPr>
        <w:t>signalling</w:t>
      </w:r>
      <w:proofErr w:type="spellEnd"/>
      <w:r w:rsidRPr="00E126EF">
        <w:rPr>
          <w:rFonts w:eastAsiaTheme="minorHAnsi" w:cstheme="minorBidi"/>
          <w:szCs w:val="22"/>
        </w:rPr>
        <w:t xml:space="preserve"> pathway.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J 1994; 301:863-869</w:t>
      </w:r>
    </w:p>
    <w:p w14:paraId="0C38CC2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138.</w:t>
      </w:r>
      <w:r w:rsidRPr="00E126EF">
        <w:rPr>
          <w:rFonts w:eastAsiaTheme="minorHAnsi" w:cstheme="minorBidi"/>
          <w:szCs w:val="22"/>
        </w:rPr>
        <w:tab/>
        <w:t xml:space="preserve">ten </w:t>
      </w:r>
      <w:proofErr w:type="spellStart"/>
      <w:r w:rsidRPr="00E126EF">
        <w:rPr>
          <w:rFonts w:eastAsiaTheme="minorHAnsi" w:cstheme="minorBidi"/>
          <w:szCs w:val="22"/>
        </w:rPr>
        <w:t>Dijke</w:t>
      </w:r>
      <w:proofErr w:type="spellEnd"/>
      <w:r w:rsidRPr="00E126EF">
        <w:rPr>
          <w:rFonts w:eastAsiaTheme="minorHAnsi" w:cstheme="minorBidi"/>
          <w:szCs w:val="22"/>
        </w:rPr>
        <w:t xml:space="preserve"> P, Miyazono K, </w:t>
      </w:r>
      <w:proofErr w:type="spellStart"/>
      <w:r w:rsidRPr="00E126EF">
        <w:rPr>
          <w:rFonts w:eastAsiaTheme="minorHAnsi" w:cstheme="minorBidi"/>
          <w:szCs w:val="22"/>
        </w:rPr>
        <w:t>Heldin</w:t>
      </w:r>
      <w:proofErr w:type="spellEnd"/>
      <w:r w:rsidRPr="00E126EF">
        <w:rPr>
          <w:rFonts w:eastAsiaTheme="minorHAnsi" w:cstheme="minorBidi"/>
          <w:szCs w:val="22"/>
        </w:rPr>
        <w:t xml:space="preserve"> CH. Signaling inputs converge on nuclear effectors in TGF-b signaling. Trends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Sci 2000; 25:64-70</w:t>
      </w:r>
    </w:p>
    <w:p w14:paraId="79FC797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139.</w:t>
      </w:r>
      <w:r w:rsidRPr="00E126EF">
        <w:rPr>
          <w:rFonts w:eastAsiaTheme="minorHAnsi" w:cstheme="minorBidi"/>
          <w:szCs w:val="22"/>
        </w:rPr>
        <w:tab/>
      </w:r>
      <w:proofErr w:type="spellStart"/>
      <w:r w:rsidRPr="00E126EF">
        <w:rPr>
          <w:rFonts w:eastAsiaTheme="minorHAnsi" w:cstheme="minorBidi"/>
          <w:szCs w:val="22"/>
        </w:rPr>
        <w:t>Hata</w:t>
      </w:r>
      <w:proofErr w:type="spellEnd"/>
      <w:r w:rsidRPr="00E126EF">
        <w:rPr>
          <w:rFonts w:eastAsiaTheme="minorHAnsi" w:cstheme="minorBidi"/>
          <w:szCs w:val="22"/>
        </w:rPr>
        <w:t xml:space="preserve"> A, </w:t>
      </w:r>
      <w:proofErr w:type="spellStart"/>
      <w:r w:rsidRPr="00E126EF">
        <w:rPr>
          <w:rFonts w:eastAsiaTheme="minorHAnsi" w:cstheme="minorBidi"/>
          <w:szCs w:val="22"/>
        </w:rPr>
        <w:t>Lagna</w:t>
      </w:r>
      <w:proofErr w:type="spellEnd"/>
      <w:r w:rsidRPr="00E126EF">
        <w:rPr>
          <w:rFonts w:eastAsiaTheme="minorHAnsi" w:cstheme="minorBidi"/>
          <w:szCs w:val="22"/>
        </w:rPr>
        <w:t xml:space="preserve"> G, </w:t>
      </w:r>
      <w:proofErr w:type="spellStart"/>
      <w:r w:rsidRPr="00E126EF">
        <w:rPr>
          <w:rFonts w:eastAsiaTheme="minorHAnsi" w:cstheme="minorBidi"/>
          <w:szCs w:val="22"/>
        </w:rPr>
        <w:t>Massague</w:t>
      </w:r>
      <w:proofErr w:type="spellEnd"/>
      <w:r w:rsidRPr="00E126EF">
        <w:rPr>
          <w:rFonts w:eastAsiaTheme="minorHAnsi" w:cstheme="minorBidi"/>
          <w:szCs w:val="22"/>
        </w:rPr>
        <w:t xml:space="preserve"> J, </w:t>
      </w:r>
      <w:proofErr w:type="spellStart"/>
      <w:r w:rsidRPr="00E126EF">
        <w:rPr>
          <w:rFonts w:eastAsiaTheme="minorHAnsi" w:cstheme="minorBidi"/>
          <w:szCs w:val="22"/>
        </w:rPr>
        <w:t>Hemmati-Brivanlou</w:t>
      </w:r>
      <w:proofErr w:type="spellEnd"/>
      <w:r w:rsidRPr="00E126EF">
        <w:rPr>
          <w:rFonts w:eastAsiaTheme="minorHAnsi" w:cstheme="minorBidi"/>
          <w:szCs w:val="22"/>
        </w:rPr>
        <w:t xml:space="preserve"> A. Smad6 inhibits BMP/Smad1 signaling by specifically competing with the Smad4 tumor suppressor. Genes Dev 1998; 12:186-197</w:t>
      </w:r>
    </w:p>
    <w:p w14:paraId="65CD864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140.</w:t>
      </w:r>
      <w:r w:rsidRPr="00E126EF">
        <w:rPr>
          <w:rFonts w:eastAsiaTheme="minorHAnsi" w:cstheme="minorBidi"/>
          <w:szCs w:val="22"/>
        </w:rPr>
        <w:tab/>
        <w:t>Bai S, Shi X, Yang X, Cao X. Smad6 as a transcriptional corepressor. J Biol Chem 2000; 275:8267-8270</w:t>
      </w:r>
    </w:p>
    <w:p w14:paraId="18A531E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141.</w:t>
      </w:r>
      <w:r w:rsidRPr="00E126EF">
        <w:rPr>
          <w:rFonts w:eastAsiaTheme="minorHAnsi" w:cstheme="minorBidi"/>
          <w:szCs w:val="22"/>
        </w:rPr>
        <w:tab/>
        <w:t>Bai S, Cao X. A nuclear antagonistic mechanism of inhibitory Smads in transforming growth factor-b signaling. J Biol Chem 2002; 277:4176-4182</w:t>
      </w:r>
    </w:p>
    <w:p w14:paraId="14792CA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142.</w:t>
      </w:r>
      <w:r w:rsidRPr="00E126EF">
        <w:rPr>
          <w:rFonts w:eastAsiaTheme="minorHAnsi" w:cstheme="minorBidi"/>
          <w:szCs w:val="22"/>
        </w:rPr>
        <w:tab/>
        <w:t xml:space="preserve">Lin X, Liang YY, Sun B, Liang M, Shi Y, </w:t>
      </w:r>
      <w:proofErr w:type="spellStart"/>
      <w:r w:rsidRPr="00E126EF">
        <w:rPr>
          <w:rFonts w:eastAsiaTheme="minorHAnsi" w:cstheme="minorBidi"/>
          <w:szCs w:val="22"/>
        </w:rPr>
        <w:t>Brunicardi</w:t>
      </w:r>
      <w:proofErr w:type="spellEnd"/>
      <w:r w:rsidRPr="00E126EF">
        <w:rPr>
          <w:rFonts w:eastAsiaTheme="minorHAnsi" w:cstheme="minorBidi"/>
          <w:szCs w:val="22"/>
        </w:rPr>
        <w:t xml:space="preserve"> FC, Feng XH. Smad6 </w:t>
      </w:r>
      <w:proofErr w:type="gramStart"/>
      <w:r w:rsidRPr="00E126EF">
        <w:rPr>
          <w:rFonts w:eastAsiaTheme="minorHAnsi" w:cstheme="minorBidi"/>
          <w:szCs w:val="22"/>
        </w:rPr>
        <w:t>recruits</w:t>
      </w:r>
      <w:proofErr w:type="gramEnd"/>
      <w:r w:rsidRPr="00E126EF">
        <w:rPr>
          <w:rFonts w:eastAsiaTheme="minorHAnsi" w:cstheme="minorBidi"/>
          <w:szCs w:val="22"/>
        </w:rPr>
        <w:t xml:space="preserve"> transcription corepressor CtBP to repress bone morphogenetic protein-induced transcription. Mol Cell Biol 2003; 23:9081-9093</w:t>
      </w:r>
    </w:p>
    <w:p w14:paraId="07B327E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143.</w:t>
      </w:r>
      <w:r w:rsidRPr="00E126EF">
        <w:rPr>
          <w:rFonts w:eastAsiaTheme="minorHAnsi" w:cstheme="minorBidi"/>
          <w:szCs w:val="22"/>
        </w:rPr>
        <w:tab/>
      </w:r>
      <w:proofErr w:type="spellStart"/>
      <w:r w:rsidRPr="00E126EF">
        <w:rPr>
          <w:rFonts w:eastAsiaTheme="minorHAnsi" w:cstheme="minorBidi"/>
          <w:szCs w:val="22"/>
        </w:rPr>
        <w:t>Afrakhte</w:t>
      </w:r>
      <w:proofErr w:type="spellEnd"/>
      <w:r w:rsidRPr="00E126EF">
        <w:rPr>
          <w:rFonts w:eastAsiaTheme="minorHAnsi" w:cstheme="minorBidi"/>
          <w:szCs w:val="22"/>
        </w:rPr>
        <w:t xml:space="preserve"> M, </w:t>
      </w:r>
      <w:proofErr w:type="spellStart"/>
      <w:r w:rsidRPr="00E126EF">
        <w:rPr>
          <w:rFonts w:eastAsiaTheme="minorHAnsi" w:cstheme="minorBidi"/>
          <w:szCs w:val="22"/>
        </w:rPr>
        <w:t>Moren</w:t>
      </w:r>
      <w:proofErr w:type="spellEnd"/>
      <w:r w:rsidRPr="00E126EF">
        <w:rPr>
          <w:rFonts w:eastAsiaTheme="minorHAnsi" w:cstheme="minorBidi"/>
          <w:szCs w:val="22"/>
        </w:rPr>
        <w:t xml:space="preserve"> A, </w:t>
      </w:r>
      <w:proofErr w:type="spellStart"/>
      <w:r w:rsidRPr="00E126EF">
        <w:rPr>
          <w:rFonts w:eastAsiaTheme="minorHAnsi" w:cstheme="minorBidi"/>
          <w:szCs w:val="22"/>
        </w:rPr>
        <w:t>Jossan</w:t>
      </w:r>
      <w:proofErr w:type="spellEnd"/>
      <w:r w:rsidRPr="00E126EF">
        <w:rPr>
          <w:rFonts w:eastAsiaTheme="minorHAnsi" w:cstheme="minorBidi"/>
          <w:szCs w:val="22"/>
        </w:rPr>
        <w:t xml:space="preserve"> S, Itoh S, Sampath K, </w:t>
      </w:r>
      <w:proofErr w:type="spellStart"/>
      <w:r w:rsidRPr="00E126EF">
        <w:rPr>
          <w:rFonts w:eastAsiaTheme="minorHAnsi" w:cstheme="minorBidi"/>
          <w:szCs w:val="22"/>
        </w:rPr>
        <w:t>Westermark</w:t>
      </w:r>
      <w:proofErr w:type="spellEnd"/>
      <w:r w:rsidRPr="00E126EF">
        <w:rPr>
          <w:rFonts w:eastAsiaTheme="minorHAnsi" w:cstheme="minorBidi"/>
          <w:szCs w:val="22"/>
        </w:rPr>
        <w:t xml:space="preserve"> B, </w:t>
      </w:r>
      <w:proofErr w:type="spellStart"/>
      <w:r w:rsidRPr="00E126EF">
        <w:rPr>
          <w:rFonts w:eastAsiaTheme="minorHAnsi" w:cstheme="minorBidi"/>
          <w:szCs w:val="22"/>
        </w:rPr>
        <w:t>Heldin</w:t>
      </w:r>
      <w:proofErr w:type="spellEnd"/>
      <w:r w:rsidRPr="00E126EF">
        <w:rPr>
          <w:rFonts w:eastAsiaTheme="minorHAnsi" w:cstheme="minorBidi"/>
          <w:szCs w:val="22"/>
        </w:rPr>
        <w:t xml:space="preserve"> CH, </w:t>
      </w:r>
      <w:proofErr w:type="spellStart"/>
      <w:r w:rsidRPr="00E126EF">
        <w:rPr>
          <w:rFonts w:eastAsiaTheme="minorHAnsi" w:cstheme="minorBidi"/>
          <w:szCs w:val="22"/>
        </w:rPr>
        <w:t>Heldin</w:t>
      </w:r>
      <w:proofErr w:type="spellEnd"/>
      <w:r w:rsidRPr="00E126EF">
        <w:rPr>
          <w:rFonts w:eastAsiaTheme="minorHAnsi" w:cstheme="minorBidi"/>
          <w:szCs w:val="22"/>
        </w:rPr>
        <w:t xml:space="preserve"> NE, ten </w:t>
      </w:r>
      <w:proofErr w:type="spellStart"/>
      <w:r w:rsidRPr="00E126EF">
        <w:rPr>
          <w:rFonts w:eastAsiaTheme="minorHAnsi" w:cstheme="minorBidi"/>
          <w:szCs w:val="22"/>
        </w:rPr>
        <w:t>Dijke</w:t>
      </w:r>
      <w:proofErr w:type="spellEnd"/>
      <w:r w:rsidRPr="00E126EF">
        <w:rPr>
          <w:rFonts w:eastAsiaTheme="minorHAnsi" w:cstheme="minorBidi"/>
          <w:szCs w:val="22"/>
        </w:rPr>
        <w:t xml:space="preserve"> P. Induction of inhibitory Smad6 and Smad7 mRNA by TGF-b family members.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1998; 249:505-511</w:t>
      </w:r>
    </w:p>
    <w:p w14:paraId="7F0DF6C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144.</w:t>
      </w:r>
      <w:r w:rsidRPr="00E126EF">
        <w:rPr>
          <w:rFonts w:eastAsiaTheme="minorHAnsi" w:cstheme="minorBidi"/>
          <w:szCs w:val="22"/>
        </w:rPr>
        <w:tab/>
        <w:t>Miyazono K. Positive and negative regulation of TGF-b signaling. J Cell Sci 2000; 113:1101-1109</w:t>
      </w:r>
    </w:p>
    <w:p w14:paraId="55C1C6F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145.</w:t>
      </w:r>
      <w:r w:rsidRPr="00E126EF">
        <w:rPr>
          <w:rFonts w:eastAsiaTheme="minorHAnsi" w:cstheme="minorBidi"/>
          <w:szCs w:val="22"/>
        </w:rPr>
        <w:tab/>
      </w:r>
      <w:proofErr w:type="spellStart"/>
      <w:r w:rsidRPr="00E126EF">
        <w:rPr>
          <w:rFonts w:eastAsiaTheme="minorHAnsi" w:cstheme="minorBidi"/>
          <w:szCs w:val="22"/>
        </w:rPr>
        <w:t>Ichijo</w:t>
      </w:r>
      <w:proofErr w:type="spellEnd"/>
      <w:r w:rsidRPr="00E126EF">
        <w:rPr>
          <w:rFonts w:eastAsiaTheme="minorHAnsi" w:cstheme="minorBidi"/>
          <w:szCs w:val="22"/>
        </w:rPr>
        <w:t xml:space="preserve"> T, </w:t>
      </w:r>
      <w:proofErr w:type="spellStart"/>
      <w:r w:rsidRPr="00E126EF">
        <w:rPr>
          <w:rFonts w:eastAsiaTheme="minorHAnsi" w:cstheme="minorBidi"/>
          <w:szCs w:val="22"/>
        </w:rPr>
        <w:t>Voutetakis</w:t>
      </w:r>
      <w:proofErr w:type="spellEnd"/>
      <w:r w:rsidRPr="00E126EF">
        <w:rPr>
          <w:rFonts w:eastAsiaTheme="minorHAnsi" w:cstheme="minorBidi"/>
          <w:szCs w:val="22"/>
        </w:rPr>
        <w:t xml:space="preserve"> A, </w:t>
      </w:r>
      <w:proofErr w:type="spellStart"/>
      <w:r w:rsidRPr="00E126EF">
        <w:rPr>
          <w:rFonts w:eastAsiaTheme="minorHAnsi" w:cstheme="minorBidi"/>
          <w:szCs w:val="22"/>
        </w:rPr>
        <w:t>Cotrim</w:t>
      </w:r>
      <w:proofErr w:type="spellEnd"/>
      <w:r w:rsidRPr="00E126EF">
        <w:rPr>
          <w:rFonts w:eastAsiaTheme="minorHAnsi" w:cstheme="minorBidi"/>
          <w:szCs w:val="22"/>
        </w:rPr>
        <w:t xml:space="preserve"> AP, </w:t>
      </w:r>
      <w:proofErr w:type="spellStart"/>
      <w:r w:rsidRPr="00E126EF">
        <w:rPr>
          <w:rFonts w:eastAsiaTheme="minorHAnsi" w:cstheme="minorBidi"/>
          <w:szCs w:val="22"/>
        </w:rPr>
        <w:t>Bhattachryya</w:t>
      </w:r>
      <w:proofErr w:type="spellEnd"/>
      <w:r w:rsidRPr="00E126EF">
        <w:rPr>
          <w:rFonts w:eastAsiaTheme="minorHAnsi" w:cstheme="minorBidi"/>
          <w:szCs w:val="22"/>
        </w:rPr>
        <w:t xml:space="preserve"> N, </w:t>
      </w:r>
      <w:proofErr w:type="spellStart"/>
      <w:r w:rsidRPr="00E126EF">
        <w:rPr>
          <w:rFonts w:eastAsiaTheme="minorHAnsi" w:cstheme="minorBidi"/>
          <w:szCs w:val="22"/>
        </w:rPr>
        <w:t>Fujii</w:t>
      </w:r>
      <w:proofErr w:type="spellEnd"/>
      <w:r w:rsidRPr="00E126EF">
        <w:rPr>
          <w:rFonts w:eastAsiaTheme="minorHAnsi" w:cstheme="minorBidi"/>
          <w:szCs w:val="22"/>
        </w:rPr>
        <w:t xml:space="preserve"> M, Chrousos GP, Kino T. The Smad6-histone deacetylase 3 complex silences the transcriptional activity of the glucocorticoid receptor: potential clinical implications. J Biol Chem 2005; 280:42067-42077</w:t>
      </w:r>
    </w:p>
    <w:p w14:paraId="05FA463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146.</w:t>
      </w:r>
      <w:r w:rsidRPr="00E126EF">
        <w:rPr>
          <w:rFonts w:eastAsiaTheme="minorHAnsi" w:cstheme="minorBidi"/>
          <w:szCs w:val="22"/>
        </w:rPr>
        <w:tab/>
        <w:t xml:space="preserve">Emerson RO, Thomas JH. Adaptive evolution in zinc finger transcription factors. </w:t>
      </w:r>
      <w:proofErr w:type="spellStart"/>
      <w:r w:rsidRPr="00E126EF">
        <w:rPr>
          <w:rFonts w:eastAsiaTheme="minorHAnsi" w:cstheme="minorBidi"/>
          <w:szCs w:val="22"/>
        </w:rPr>
        <w:t>PLoS</w:t>
      </w:r>
      <w:proofErr w:type="spellEnd"/>
      <w:r w:rsidRPr="00E126EF">
        <w:rPr>
          <w:rFonts w:eastAsiaTheme="minorHAnsi" w:cstheme="minorBidi"/>
          <w:szCs w:val="22"/>
        </w:rPr>
        <w:t xml:space="preserve"> Genet 2009; </w:t>
      </w:r>
      <w:proofErr w:type="gramStart"/>
      <w:r w:rsidRPr="00E126EF">
        <w:rPr>
          <w:rFonts w:eastAsiaTheme="minorHAnsi" w:cstheme="minorBidi"/>
          <w:szCs w:val="22"/>
        </w:rPr>
        <w:t>5:e</w:t>
      </w:r>
      <w:proofErr w:type="gramEnd"/>
      <w:r w:rsidRPr="00E126EF">
        <w:rPr>
          <w:rFonts w:eastAsiaTheme="minorHAnsi" w:cstheme="minorBidi"/>
          <w:szCs w:val="22"/>
        </w:rPr>
        <w:t>1000325</w:t>
      </w:r>
    </w:p>
    <w:p w14:paraId="6D63D7E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147.</w:t>
      </w:r>
      <w:r w:rsidRPr="00E126EF">
        <w:rPr>
          <w:rFonts w:eastAsiaTheme="minorHAnsi" w:cstheme="minorBidi"/>
          <w:szCs w:val="22"/>
        </w:rPr>
        <w:tab/>
      </w:r>
      <w:proofErr w:type="spellStart"/>
      <w:r w:rsidRPr="00E126EF">
        <w:rPr>
          <w:rFonts w:eastAsiaTheme="minorHAnsi" w:cstheme="minorBidi"/>
          <w:szCs w:val="22"/>
        </w:rPr>
        <w:t>Mackeh</w:t>
      </w:r>
      <w:proofErr w:type="spellEnd"/>
      <w:r w:rsidRPr="00E126EF">
        <w:rPr>
          <w:rFonts w:eastAsiaTheme="minorHAnsi" w:cstheme="minorBidi"/>
          <w:szCs w:val="22"/>
        </w:rPr>
        <w:t xml:space="preserve"> R, Marr AK, </w:t>
      </w:r>
      <w:proofErr w:type="spellStart"/>
      <w:r w:rsidRPr="00E126EF">
        <w:rPr>
          <w:rFonts w:eastAsiaTheme="minorHAnsi" w:cstheme="minorBidi"/>
          <w:szCs w:val="22"/>
        </w:rPr>
        <w:t>Fadda</w:t>
      </w:r>
      <w:proofErr w:type="spellEnd"/>
      <w:r w:rsidRPr="00E126EF">
        <w:rPr>
          <w:rFonts w:eastAsiaTheme="minorHAnsi" w:cstheme="minorBidi"/>
          <w:szCs w:val="22"/>
        </w:rPr>
        <w:t xml:space="preserve"> A, Kino T. C2H2-type zinc finger proteins: evolutionarily old and new partners of the nuclear hormone receptors. </w:t>
      </w:r>
      <w:proofErr w:type="spellStart"/>
      <w:r w:rsidRPr="00E126EF">
        <w:rPr>
          <w:rFonts w:eastAsiaTheme="minorHAnsi" w:cstheme="minorBidi"/>
          <w:szCs w:val="22"/>
        </w:rPr>
        <w:t>Nucl</w:t>
      </w:r>
      <w:proofErr w:type="spellEnd"/>
      <w:r w:rsidRPr="00E126EF">
        <w:rPr>
          <w:rFonts w:eastAsiaTheme="minorHAnsi" w:cstheme="minorBidi"/>
          <w:szCs w:val="22"/>
        </w:rPr>
        <w:t xml:space="preserve"> </w:t>
      </w:r>
      <w:proofErr w:type="spellStart"/>
      <w:r w:rsidRPr="00E126EF">
        <w:rPr>
          <w:rFonts w:eastAsiaTheme="minorHAnsi" w:cstheme="minorBidi"/>
          <w:szCs w:val="22"/>
        </w:rPr>
        <w:t>Recept</w:t>
      </w:r>
      <w:proofErr w:type="spellEnd"/>
      <w:r w:rsidRPr="00E126EF">
        <w:rPr>
          <w:rFonts w:eastAsiaTheme="minorHAnsi" w:cstheme="minorBidi"/>
          <w:szCs w:val="22"/>
        </w:rPr>
        <w:t xml:space="preserve"> Signal 2017 (in press)</w:t>
      </w:r>
    </w:p>
    <w:p w14:paraId="2A5EE72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148.</w:t>
      </w:r>
      <w:r w:rsidRPr="00E126EF">
        <w:rPr>
          <w:rFonts w:eastAsiaTheme="minorHAnsi" w:cstheme="minorBidi"/>
          <w:szCs w:val="22"/>
        </w:rPr>
        <w:tab/>
        <w:t>Collins T, Stone JR, Williams AJ. All in the family: the BTB/POZ, KRAB, and SCAN domains. Mol Cell Biol 2001; 21:3609-3615</w:t>
      </w:r>
    </w:p>
    <w:p w14:paraId="15D59C9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149.</w:t>
      </w:r>
      <w:r w:rsidRPr="00E126EF">
        <w:rPr>
          <w:rFonts w:eastAsiaTheme="minorHAnsi" w:cstheme="minorBidi"/>
          <w:szCs w:val="22"/>
        </w:rPr>
        <w:tab/>
        <w:t xml:space="preserve">Ong CT, </w:t>
      </w:r>
      <w:proofErr w:type="spellStart"/>
      <w:r w:rsidRPr="00E126EF">
        <w:rPr>
          <w:rFonts w:eastAsiaTheme="minorHAnsi" w:cstheme="minorBidi"/>
          <w:szCs w:val="22"/>
        </w:rPr>
        <w:t>Corces</w:t>
      </w:r>
      <w:proofErr w:type="spellEnd"/>
      <w:r w:rsidRPr="00E126EF">
        <w:rPr>
          <w:rFonts w:eastAsiaTheme="minorHAnsi" w:cstheme="minorBidi"/>
          <w:szCs w:val="22"/>
        </w:rPr>
        <w:t xml:space="preserve"> VG. CTCF: an architectural protein bridging genome topology and function. Nat Rev Genet 2014; 15:234-246</w:t>
      </w:r>
    </w:p>
    <w:p w14:paraId="3EE5A1F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150.</w:t>
      </w:r>
      <w:r w:rsidRPr="00E126EF">
        <w:rPr>
          <w:rFonts w:eastAsiaTheme="minorHAnsi" w:cstheme="minorBidi"/>
          <w:szCs w:val="22"/>
        </w:rPr>
        <w:tab/>
        <w:t xml:space="preserve">Ross-Innes CS, Brown GD, Carroll JS. A </w:t>
      </w:r>
      <w:proofErr w:type="spellStart"/>
      <w:r w:rsidRPr="00E126EF">
        <w:rPr>
          <w:rFonts w:eastAsiaTheme="minorHAnsi" w:cstheme="minorBidi"/>
          <w:szCs w:val="22"/>
        </w:rPr>
        <w:t>co-ordinated</w:t>
      </w:r>
      <w:proofErr w:type="spellEnd"/>
      <w:r w:rsidRPr="00E126EF">
        <w:rPr>
          <w:rFonts w:eastAsiaTheme="minorHAnsi" w:cstheme="minorBidi"/>
          <w:szCs w:val="22"/>
        </w:rPr>
        <w:t xml:space="preserve"> interaction between CTCF and ER in breast cancer cells. BMC Genomics 2011; 12:593</w:t>
      </w:r>
    </w:p>
    <w:p w14:paraId="0A82D79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151.</w:t>
      </w:r>
      <w:r w:rsidRPr="00E126EF">
        <w:rPr>
          <w:rFonts w:eastAsiaTheme="minorHAnsi" w:cstheme="minorBidi"/>
          <w:szCs w:val="22"/>
        </w:rPr>
        <w:tab/>
      </w:r>
      <w:proofErr w:type="spellStart"/>
      <w:r w:rsidRPr="00E126EF">
        <w:rPr>
          <w:rFonts w:eastAsiaTheme="minorHAnsi" w:cstheme="minorBidi"/>
          <w:szCs w:val="22"/>
        </w:rPr>
        <w:t>Awad</w:t>
      </w:r>
      <w:proofErr w:type="spellEnd"/>
      <w:r w:rsidRPr="00E126EF">
        <w:rPr>
          <w:rFonts w:eastAsiaTheme="minorHAnsi" w:cstheme="minorBidi"/>
          <w:szCs w:val="22"/>
        </w:rPr>
        <w:t xml:space="preserve"> TA, Bigler J, Ulmer JE, Hu YJ, Moore JM, Lutz M, Neiman PE, Collins SJ, </w:t>
      </w:r>
      <w:proofErr w:type="spellStart"/>
      <w:r w:rsidRPr="00E126EF">
        <w:rPr>
          <w:rFonts w:eastAsiaTheme="minorHAnsi" w:cstheme="minorBidi"/>
          <w:szCs w:val="22"/>
        </w:rPr>
        <w:t>Renkawitz</w:t>
      </w:r>
      <w:proofErr w:type="spellEnd"/>
      <w:r w:rsidRPr="00E126EF">
        <w:rPr>
          <w:rFonts w:eastAsiaTheme="minorHAnsi" w:cstheme="minorBidi"/>
          <w:szCs w:val="22"/>
        </w:rPr>
        <w:t xml:space="preserve"> R, </w:t>
      </w:r>
      <w:proofErr w:type="spellStart"/>
      <w:r w:rsidRPr="00E126EF">
        <w:rPr>
          <w:rFonts w:eastAsiaTheme="minorHAnsi" w:cstheme="minorBidi"/>
          <w:szCs w:val="22"/>
        </w:rPr>
        <w:t>Lobanenkov</w:t>
      </w:r>
      <w:proofErr w:type="spellEnd"/>
      <w:r w:rsidRPr="00E126EF">
        <w:rPr>
          <w:rFonts w:eastAsiaTheme="minorHAnsi" w:cstheme="minorBidi"/>
          <w:szCs w:val="22"/>
        </w:rPr>
        <w:t xml:space="preserve"> VV, </w:t>
      </w:r>
      <w:proofErr w:type="spellStart"/>
      <w:r w:rsidRPr="00E126EF">
        <w:rPr>
          <w:rFonts w:eastAsiaTheme="minorHAnsi" w:cstheme="minorBidi"/>
          <w:szCs w:val="22"/>
        </w:rPr>
        <w:t>Filippova</w:t>
      </w:r>
      <w:proofErr w:type="spellEnd"/>
      <w:r w:rsidRPr="00E126EF">
        <w:rPr>
          <w:rFonts w:eastAsiaTheme="minorHAnsi" w:cstheme="minorBidi"/>
          <w:szCs w:val="22"/>
        </w:rPr>
        <w:t xml:space="preserve"> GN. Negative transcriptional regulation mediated by thyroid hormone response element 144 requires binding of the multivalent factor CTCF to a novel target DNA sequence. J Biol Chem 1999; 274:27092-27098</w:t>
      </w:r>
    </w:p>
    <w:p w14:paraId="5895C6C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152.</w:t>
      </w:r>
      <w:r w:rsidRPr="00E126EF">
        <w:rPr>
          <w:rFonts w:eastAsiaTheme="minorHAnsi" w:cstheme="minorBidi"/>
          <w:szCs w:val="22"/>
        </w:rPr>
        <w:tab/>
        <w:t xml:space="preserve">Kino T, </w:t>
      </w:r>
      <w:proofErr w:type="spellStart"/>
      <w:r w:rsidRPr="00E126EF">
        <w:rPr>
          <w:rFonts w:eastAsiaTheme="minorHAnsi" w:cstheme="minorBidi"/>
          <w:szCs w:val="22"/>
        </w:rPr>
        <w:t>Pavlatou</w:t>
      </w:r>
      <w:proofErr w:type="spellEnd"/>
      <w:r w:rsidRPr="00E126EF">
        <w:rPr>
          <w:rFonts w:eastAsiaTheme="minorHAnsi" w:cstheme="minorBidi"/>
          <w:szCs w:val="22"/>
        </w:rPr>
        <w:t xml:space="preserve"> MG, </w:t>
      </w:r>
      <w:proofErr w:type="spellStart"/>
      <w:r w:rsidRPr="00E126EF">
        <w:rPr>
          <w:rFonts w:eastAsiaTheme="minorHAnsi" w:cstheme="minorBidi"/>
          <w:szCs w:val="22"/>
        </w:rPr>
        <w:t>Moraitis</w:t>
      </w:r>
      <w:proofErr w:type="spellEnd"/>
      <w:r w:rsidRPr="00E126EF">
        <w:rPr>
          <w:rFonts w:eastAsiaTheme="minorHAnsi" w:cstheme="minorBidi"/>
          <w:szCs w:val="22"/>
        </w:rPr>
        <w:t xml:space="preserve"> AG, </w:t>
      </w:r>
      <w:proofErr w:type="spellStart"/>
      <w:r w:rsidRPr="00E126EF">
        <w:rPr>
          <w:rFonts w:eastAsiaTheme="minorHAnsi" w:cstheme="minorBidi"/>
          <w:szCs w:val="22"/>
        </w:rPr>
        <w:t>Nemery</w:t>
      </w:r>
      <w:proofErr w:type="spellEnd"/>
      <w:r w:rsidRPr="00E126EF">
        <w:rPr>
          <w:rFonts w:eastAsiaTheme="minorHAnsi" w:cstheme="minorBidi"/>
          <w:szCs w:val="22"/>
        </w:rPr>
        <w:t xml:space="preserve"> RL, </w:t>
      </w:r>
      <w:proofErr w:type="spellStart"/>
      <w:r w:rsidRPr="00E126EF">
        <w:rPr>
          <w:rFonts w:eastAsiaTheme="minorHAnsi" w:cstheme="minorBidi"/>
          <w:szCs w:val="22"/>
        </w:rPr>
        <w:t>Raygada</w:t>
      </w:r>
      <w:proofErr w:type="spellEnd"/>
      <w:r w:rsidRPr="00E126EF">
        <w:rPr>
          <w:rFonts w:eastAsiaTheme="minorHAnsi" w:cstheme="minorBidi"/>
          <w:szCs w:val="22"/>
        </w:rPr>
        <w:t xml:space="preserve"> M, </w:t>
      </w:r>
      <w:proofErr w:type="spellStart"/>
      <w:r w:rsidRPr="00E126EF">
        <w:rPr>
          <w:rFonts w:eastAsiaTheme="minorHAnsi" w:cstheme="minorBidi"/>
          <w:szCs w:val="22"/>
        </w:rPr>
        <w:t>Stratakis</w:t>
      </w:r>
      <w:proofErr w:type="spellEnd"/>
      <w:r w:rsidRPr="00E126EF">
        <w:rPr>
          <w:rFonts w:eastAsiaTheme="minorHAnsi" w:cstheme="minorBidi"/>
          <w:szCs w:val="22"/>
        </w:rPr>
        <w:t xml:space="preserve"> CA. ZNF764 haploinsufficiency may explain partial glucocorticoid, androgen, and thyroid hormone resistance associated with 16p11.2 microdeletion.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2012; </w:t>
      </w:r>
      <w:proofErr w:type="gramStart"/>
      <w:r w:rsidRPr="00E126EF">
        <w:rPr>
          <w:rFonts w:eastAsiaTheme="minorHAnsi" w:cstheme="minorBidi"/>
          <w:szCs w:val="22"/>
        </w:rPr>
        <w:t>97:E</w:t>
      </w:r>
      <w:proofErr w:type="gramEnd"/>
      <w:r w:rsidRPr="00E126EF">
        <w:rPr>
          <w:rFonts w:eastAsiaTheme="minorHAnsi" w:cstheme="minorBidi"/>
          <w:szCs w:val="22"/>
        </w:rPr>
        <w:t>1557-1566</w:t>
      </w:r>
    </w:p>
    <w:p w14:paraId="04F76A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153.</w:t>
      </w:r>
      <w:r w:rsidRPr="00E126EF">
        <w:rPr>
          <w:rFonts w:eastAsiaTheme="minorHAnsi" w:cstheme="minorBidi"/>
          <w:szCs w:val="22"/>
        </w:rPr>
        <w:tab/>
      </w:r>
      <w:proofErr w:type="spellStart"/>
      <w:r w:rsidRPr="00E126EF">
        <w:rPr>
          <w:rFonts w:eastAsiaTheme="minorHAnsi" w:cstheme="minorBidi"/>
          <w:szCs w:val="22"/>
        </w:rPr>
        <w:t>Fadda</w:t>
      </w:r>
      <w:proofErr w:type="spellEnd"/>
      <w:r w:rsidRPr="00E126EF">
        <w:rPr>
          <w:rFonts w:eastAsiaTheme="minorHAnsi" w:cstheme="minorBidi"/>
          <w:szCs w:val="22"/>
        </w:rPr>
        <w:t xml:space="preserve"> A, Syed N, </w:t>
      </w:r>
      <w:proofErr w:type="spellStart"/>
      <w:r w:rsidRPr="00E126EF">
        <w:rPr>
          <w:rFonts w:eastAsiaTheme="minorHAnsi" w:cstheme="minorBidi"/>
          <w:szCs w:val="22"/>
        </w:rPr>
        <w:t>Mackeh</w:t>
      </w:r>
      <w:proofErr w:type="spellEnd"/>
      <w:r w:rsidRPr="00E126EF">
        <w:rPr>
          <w:rFonts w:eastAsiaTheme="minorHAnsi" w:cstheme="minorBidi"/>
          <w:szCs w:val="22"/>
        </w:rPr>
        <w:t xml:space="preserve"> R, </w:t>
      </w:r>
      <w:proofErr w:type="spellStart"/>
      <w:r w:rsidRPr="00E126EF">
        <w:rPr>
          <w:rFonts w:eastAsiaTheme="minorHAnsi" w:cstheme="minorBidi"/>
          <w:szCs w:val="22"/>
        </w:rPr>
        <w:t>Papadopoulou</w:t>
      </w:r>
      <w:proofErr w:type="spellEnd"/>
      <w:r w:rsidRPr="00E126EF">
        <w:rPr>
          <w:rFonts w:eastAsiaTheme="minorHAnsi" w:cstheme="minorBidi"/>
          <w:szCs w:val="22"/>
        </w:rPr>
        <w:t xml:space="preserve"> A, Suzuki S, </w:t>
      </w:r>
      <w:proofErr w:type="spellStart"/>
      <w:r w:rsidRPr="00E126EF">
        <w:rPr>
          <w:rFonts w:eastAsiaTheme="minorHAnsi" w:cstheme="minorBidi"/>
          <w:szCs w:val="22"/>
        </w:rPr>
        <w:t>Jithesh</w:t>
      </w:r>
      <w:proofErr w:type="spellEnd"/>
      <w:r w:rsidRPr="00E126EF">
        <w:rPr>
          <w:rFonts w:eastAsiaTheme="minorHAnsi" w:cstheme="minorBidi"/>
          <w:szCs w:val="22"/>
        </w:rPr>
        <w:t xml:space="preserve"> PV, Kino T. Genome-wide Regulatory Roles of the C2H2-type Zinc Finger Protein ZNF764 on the Glucocorticoid Receptor. Sci Rep 2017; 7:41598</w:t>
      </w:r>
    </w:p>
    <w:p w14:paraId="22C26E0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154.</w:t>
      </w:r>
      <w:r w:rsidRPr="00E126EF">
        <w:rPr>
          <w:rFonts w:eastAsiaTheme="minorHAnsi" w:cstheme="minorBidi"/>
          <w:szCs w:val="22"/>
        </w:rPr>
        <w:tab/>
        <w:t xml:space="preserve">Carter ME, Brunet A. FOXO transcription factors. </w:t>
      </w:r>
      <w:proofErr w:type="spellStart"/>
      <w:r w:rsidRPr="00E126EF">
        <w:rPr>
          <w:rFonts w:eastAsiaTheme="minorHAnsi" w:cstheme="minorBidi"/>
          <w:szCs w:val="22"/>
        </w:rPr>
        <w:t>Curr</w:t>
      </w:r>
      <w:proofErr w:type="spellEnd"/>
      <w:r w:rsidRPr="00E126EF">
        <w:rPr>
          <w:rFonts w:eastAsiaTheme="minorHAnsi" w:cstheme="minorBidi"/>
          <w:szCs w:val="22"/>
        </w:rPr>
        <w:t xml:space="preserve"> Biol 2007; </w:t>
      </w:r>
      <w:proofErr w:type="gramStart"/>
      <w:r w:rsidRPr="00E126EF">
        <w:rPr>
          <w:rFonts w:eastAsiaTheme="minorHAnsi" w:cstheme="minorBidi"/>
          <w:szCs w:val="22"/>
        </w:rPr>
        <w:t>17:R</w:t>
      </w:r>
      <w:proofErr w:type="gramEnd"/>
      <w:r w:rsidRPr="00E126EF">
        <w:rPr>
          <w:rFonts w:eastAsiaTheme="minorHAnsi" w:cstheme="minorBidi"/>
          <w:szCs w:val="22"/>
        </w:rPr>
        <w:t>113-114</w:t>
      </w:r>
    </w:p>
    <w:p w14:paraId="18036CE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155.</w:t>
      </w:r>
      <w:r w:rsidRPr="00E126EF">
        <w:rPr>
          <w:rFonts w:eastAsiaTheme="minorHAnsi" w:cstheme="minorBidi"/>
          <w:szCs w:val="22"/>
        </w:rPr>
        <w:tab/>
        <w:t>Hurtado A, Holmes KA, Ross-Innes CS, Schmidt D, Carroll JS. FOXA1 is a key determinant of estrogen receptor function and endocrine response. Nat Genet 2011; 43:27-33</w:t>
      </w:r>
    </w:p>
    <w:p w14:paraId="56752DB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156.</w:t>
      </w:r>
      <w:r w:rsidRPr="00E126EF">
        <w:rPr>
          <w:rFonts w:eastAsiaTheme="minorHAnsi" w:cstheme="minorBidi"/>
          <w:szCs w:val="22"/>
        </w:rPr>
        <w:tab/>
        <w:t xml:space="preserve">Ma X, Xu L, Mueller E. Forkhead box A3 mediates glucocorticoid receptor function in adipose tissue.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2016; 113:3377-3382</w:t>
      </w:r>
    </w:p>
    <w:p w14:paraId="6867728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157.</w:t>
      </w:r>
      <w:r w:rsidRPr="00E126EF">
        <w:rPr>
          <w:rFonts w:eastAsiaTheme="minorHAnsi" w:cstheme="minorBidi"/>
          <w:szCs w:val="22"/>
        </w:rPr>
        <w:tab/>
        <w:t xml:space="preserve">De Martino MU, </w:t>
      </w:r>
      <w:proofErr w:type="spellStart"/>
      <w:r w:rsidRPr="00E126EF">
        <w:rPr>
          <w:rFonts w:eastAsiaTheme="minorHAnsi" w:cstheme="minorBidi"/>
          <w:szCs w:val="22"/>
        </w:rPr>
        <w:t>Bhattachryya</w:t>
      </w:r>
      <w:proofErr w:type="spellEnd"/>
      <w:r w:rsidRPr="00E126EF">
        <w:rPr>
          <w:rFonts w:eastAsiaTheme="minorHAnsi" w:cstheme="minorBidi"/>
          <w:szCs w:val="22"/>
        </w:rPr>
        <w:t xml:space="preserve"> N, </w:t>
      </w:r>
      <w:proofErr w:type="spellStart"/>
      <w:r w:rsidRPr="00E126EF">
        <w:rPr>
          <w:rFonts w:eastAsiaTheme="minorHAnsi" w:cstheme="minorBidi"/>
          <w:szCs w:val="22"/>
        </w:rPr>
        <w:t>Alesci</w:t>
      </w:r>
      <w:proofErr w:type="spellEnd"/>
      <w:r w:rsidRPr="00E126EF">
        <w:rPr>
          <w:rFonts w:eastAsiaTheme="minorHAnsi" w:cstheme="minorBidi"/>
          <w:szCs w:val="22"/>
        </w:rPr>
        <w:t xml:space="preserve"> S,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Chrousos GP, Kino T. The glucocorticoid receptor and the orphan nuclear receptor chicken ovalbumin upstream promoter-transcription factor II interact with and mutually affect each other's transcriptional activities: implications for intermediary metabolism. Mol Endocrinol 2004; 18:820-833</w:t>
      </w:r>
    </w:p>
    <w:p w14:paraId="63A0EB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158.</w:t>
      </w:r>
      <w:r w:rsidRPr="00E126EF">
        <w:rPr>
          <w:rFonts w:eastAsiaTheme="minorHAnsi" w:cstheme="minorBidi"/>
          <w:szCs w:val="22"/>
        </w:rPr>
        <w:tab/>
      </w:r>
      <w:proofErr w:type="spellStart"/>
      <w:r w:rsidRPr="00E126EF">
        <w:rPr>
          <w:rFonts w:eastAsiaTheme="minorHAnsi" w:cstheme="minorBidi"/>
          <w:szCs w:val="22"/>
        </w:rPr>
        <w:t>Pierreux</w:t>
      </w:r>
      <w:proofErr w:type="spellEnd"/>
      <w:r w:rsidRPr="00E126EF">
        <w:rPr>
          <w:rFonts w:eastAsiaTheme="minorHAnsi" w:cstheme="minorBidi"/>
          <w:szCs w:val="22"/>
        </w:rPr>
        <w:t xml:space="preserve"> CE, Stafford J, Demonte D, Scott DK, </w:t>
      </w:r>
      <w:proofErr w:type="spellStart"/>
      <w:r w:rsidRPr="00E126EF">
        <w:rPr>
          <w:rFonts w:eastAsiaTheme="minorHAnsi" w:cstheme="minorBidi"/>
          <w:szCs w:val="22"/>
        </w:rPr>
        <w:t>Vandenhaute</w:t>
      </w:r>
      <w:proofErr w:type="spellEnd"/>
      <w:r w:rsidRPr="00E126EF">
        <w:rPr>
          <w:rFonts w:eastAsiaTheme="minorHAnsi" w:cstheme="minorBidi"/>
          <w:szCs w:val="22"/>
        </w:rPr>
        <w:t xml:space="preserve"> J, O'Brien RM, </w:t>
      </w:r>
      <w:proofErr w:type="spellStart"/>
      <w:r w:rsidRPr="00E126EF">
        <w:rPr>
          <w:rFonts w:eastAsiaTheme="minorHAnsi" w:cstheme="minorBidi"/>
          <w:szCs w:val="22"/>
        </w:rPr>
        <w:t>Granner</w:t>
      </w:r>
      <w:proofErr w:type="spellEnd"/>
      <w:r w:rsidRPr="00E126EF">
        <w:rPr>
          <w:rFonts w:eastAsiaTheme="minorHAnsi" w:cstheme="minorBidi"/>
          <w:szCs w:val="22"/>
        </w:rPr>
        <w:t xml:space="preserve"> DK, Rousseau GG, </w:t>
      </w:r>
      <w:proofErr w:type="spellStart"/>
      <w:r w:rsidRPr="00E126EF">
        <w:rPr>
          <w:rFonts w:eastAsiaTheme="minorHAnsi" w:cstheme="minorBidi"/>
          <w:szCs w:val="22"/>
        </w:rPr>
        <w:t>Lemaigre</w:t>
      </w:r>
      <w:proofErr w:type="spellEnd"/>
      <w:r w:rsidRPr="00E126EF">
        <w:rPr>
          <w:rFonts w:eastAsiaTheme="minorHAnsi" w:cstheme="minorBidi"/>
          <w:szCs w:val="22"/>
        </w:rPr>
        <w:t xml:space="preserve"> FP. </w:t>
      </w:r>
      <w:proofErr w:type="spellStart"/>
      <w:r w:rsidRPr="00E126EF">
        <w:rPr>
          <w:rFonts w:eastAsiaTheme="minorHAnsi" w:cstheme="minorBidi"/>
          <w:szCs w:val="22"/>
        </w:rPr>
        <w:t>Antiglucocorticoid</w:t>
      </w:r>
      <w:proofErr w:type="spellEnd"/>
      <w:r w:rsidRPr="00E126EF">
        <w:rPr>
          <w:rFonts w:eastAsiaTheme="minorHAnsi" w:cstheme="minorBidi"/>
          <w:szCs w:val="22"/>
        </w:rPr>
        <w:t xml:space="preserve"> activity of hepatocyte nuclear factor-6.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1999; 96:8961-8966</w:t>
      </w:r>
    </w:p>
    <w:p w14:paraId="2F82D3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159.</w:t>
      </w:r>
      <w:r w:rsidRPr="00E126EF">
        <w:rPr>
          <w:rFonts w:eastAsiaTheme="minorHAnsi" w:cstheme="minorBidi"/>
          <w:szCs w:val="22"/>
        </w:rPr>
        <w:tab/>
        <w:t xml:space="preserve">Philips A, </w:t>
      </w:r>
      <w:proofErr w:type="spellStart"/>
      <w:r w:rsidRPr="00E126EF">
        <w:rPr>
          <w:rFonts w:eastAsiaTheme="minorHAnsi" w:cstheme="minorBidi"/>
          <w:szCs w:val="22"/>
        </w:rPr>
        <w:t>Maira</w:t>
      </w:r>
      <w:proofErr w:type="spellEnd"/>
      <w:r w:rsidRPr="00E126EF">
        <w:rPr>
          <w:rFonts w:eastAsiaTheme="minorHAnsi" w:cstheme="minorBidi"/>
          <w:szCs w:val="22"/>
        </w:rPr>
        <w:t xml:space="preserve"> M, </w:t>
      </w:r>
      <w:proofErr w:type="spellStart"/>
      <w:r w:rsidRPr="00E126EF">
        <w:rPr>
          <w:rFonts w:eastAsiaTheme="minorHAnsi" w:cstheme="minorBidi"/>
          <w:szCs w:val="22"/>
        </w:rPr>
        <w:t>Mullick</w:t>
      </w:r>
      <w:proofErr w:type="spellEnd"/>
      <w:r w:rsidRPr="00E126EF">
        <w:rPr>
          <w:rFonts w:eastAsiaTheme="minorHAnsi" w:cstheme="minorBidi"/>
          <w:szCs w:val="22"/>
        </w:rPr>
        <w:t xml:space="preserve"> A, Chamberland M, Lesage S, Hugo P, Drouin J. Antagonism between Nur77 and glucocorticoid receptor for control of transcription. Mol Cell Biol 1997; 17:5952-5959</w:t>
      </w:r>
    </w:p>
    <w:p w14:paraId="48FE0EF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160.</w:t>
      </w:r>
      <w:r w:rsidRPr="00E126EF">
        <w:rPr>
          <w:rFonts w:eastAsiaTheme="minorHAnsi" w:cstheme="minorBidi"/>
          <w:szCs w:val="22"/>
        </w:rPr>
        <w:tab/>
        <w:t xml:space="preserve">Nader N, Ng SS, Wang Y, Abel BS, Chrousos GP, Kino T. Liver X receptors regulate the transcriptional activity of the glucocorticoid receptor: implications for the carbohydrate metabolism.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2012; </w:t>
      </w:r>
      <w:proofErr w:type="gramStart"/>
      <w:r w:rsidRPr="00E126EF">
        <w:rPr>
          <w:rFonts w:eastAsiaTheme="minorHAnsi" w:cstheme="minorBidi"/>
          <w:szCs w:val="22"/>
        </w:rPr>
        <w:t>7:e</w:t>
      </w:r>
      <w:proofErr w:type="gramEnd"/>
      <w:r w:rsidRPr="00E126EF">
        <w:rPr>
          <w:rFonts w:eastAsiaTheme="minorHAnsi" w:cstheme="minorBidi"/>
          <w:szCs w:val="22"/>
        </w:rPr>
        <w:t>26751</w:t>
      </w:r>
    </w:p>
    <w:p w14:paraId="559047F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161.</w:t>
      </w:r>
      <w:r w:rsidRPr="00E126EF">
        <w:rPr>
          <w:rFonts w:eastAsiaTheme="minorHAnsi" w:cstheme="minorBidi"/>
          <w:szCs w:val="22"/>
        </w:rPr>
        <w:tab/>
        <w:t xml:space="preserve">Patel R, Patel M, Tsai R, Lin V, </w:t>
      </w:r>
      <w:proofErr w:type="spellStart"/>
      <w:r w:rsidRPr="00E126EF">
        <w:rPr>
          <w:rFonts w:eastAsiaTheme="minorHAnsi" w:cstheme="minorBidi"/>
          <w:szCs w:val="22"/>
        </w:rPr>
        <w:t>Bookout</w:t>
      </w:r>
      <w:proofErr w:type="spellEnd"/>
      <w:r w:rsidRPr="00E126EF">
        <w:rPr>
          <w:rFonts w:eastAsiaTheme="minorHAnsi" w:cstheme="minorBidi"/>
          <w:szCs w:val="22"/>
        </w:rPr>
        <w:t xml:space="preserve"> AL, Zhang Y, </w:t>
      </w:r>
      <w:proofErr w:type="spellStart"/>
      <w:r w:rsidRPr="00E126EF">
        <w:rPr>
          <w:rFonts w:eastAsiaTheme="minorHAnsi" w:cstheme="minorBidi"/>
          <w:szCs w:val="22"/>
        </w:rPr>
        <w:t>Magomedova</w:t>
      </w:r>
      <w:proofErr w:type="spellEnd"/>
      <w:r w:rsidRPr="00E126EF">
        <w:rPr>
          <w:rFonts w:eastAsiaTheme="minorHAnsi" w:cstheme="minorBidi"/>
          <w:szCs w:val="22"/>
        </w:rPr>
        <w:t xml:space="preserve"> L, Li T, Chan JF, Budd C, Mangelsdorf DJ, Cummins CL. LXRb is required for glucocorticoid-induced hyperglycemia and </w:t>
      </w:r>
      <w:proofErr w:type="spellStart"/>
      <w:r w:rsidRPr="00E126EF">
        <w:rPr>
          <w:rFonts w:eastAsiaTheme="minorHAnsi" w:cstheme="minorBidi"/>
          <w:szCs w:val="22"/>
        </w:rPr>
        <w:t>hepatosteatosis</w:t>
      </w:r>
      <w:proofErr w:type="spellEnd"/>
      <w:r w:rsidRPr="00E126EF">
        <w:rPr>
          <w:rFonts w:eastAsiaTheme="minorHAnsi" w:cstheme="minorBidi"/>
          <w:szCs w:val="22"/>
        </w:rPr>
        <w:t xml:space="preserve"> in mice. J Clin Invest 2011; 121:431-441</w:t>
      </w:r>
    </w:p>
    <w:p w14:paraId="1B2661D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162.</w:t>
      </w:r>
      <w:r w:rsidRPr="00E126EF">
        <w:rPr>
          <w:rFonts w:eastAsiaTheme="minorHAnsi" w:cstheme="minorBidi"/>
          <w:szCs w:val="22"/>
        </w:rPr>
        <w:tab/>
      </w:r>
      <w:proofErr w:type="spellStart"/>
      <w:r w:rsidRPr="00E126EF">
        <w:rPr>
          <w:rFonts w:eastAsiaTheme="minorHAnsi" w:cstheme="minorBidi"/>
          <w:szCs w:val="22"/>
        </w:rPr>
        <w:t>Renga</w:t>
      </w:r>
      <w:proofErr w:type="spellEnd"/>
      <w:r w:rsidRPr="00E126EF">
        <w:rPr>
          <w:rFonts w:eastAsiaTheme="minorHAnsi" w:cstheme="minorBidi"/>
          <w:szCs w:val="22"/>
        </w:rPr>
        <w:t xml:space="preserve"> B, </w:t>
      </w:r>
      <w:proofErr w:type="spellStart"/>
      <w:r w:rsidRPr="00E126EF">
        <w:rPr>
          <w:rFonts w:eastAsiaTheme="minorHAnsi" w:cstheme="minorBidi"/>
          <w:szCs w:val="22"/>
        </w:rPr>
        <w:t>Mencarelli</w:t>
      </w:r>
      <w:proofErr w:type="spellEnd"/>
      <w:r w:rsidRPr="00E126EF">
        <w:rPr>
          <w:rFonts w:eastAsiaTheme="minorHAnsi" w:cstheme="minorBidi"/>
          <w:szCs w:val="22"/>
        </w:rPr>
        <w:t xml:space="preserve"> A, </w:t>
      </w:r>
      <w:proofErr w:type="spellStart"/>
      <w:r w:rsidRPr="00E126EF">
        <w:rPr>
          <w:rFonts w:eastAsiaTheme="minorHAnsi" w:cstheme="minorBidi"/>
          <w:szCs w:val="22"/>
        </w:rPr>
        <w:t>D'Amore</w:t>
      </w:r>
      <w:proofErr w:type="spellEnd"/>
      <w:r w:rsidRPr="00E126EF">
        <w:rPr>
          <w:rFonts w:eastAsiaTheme="minorHAnsi" w:cstheme="minorBidi"/>
          <w:szCs w:val="22"/>
        </w:rPr>
        <w:t xml:space="preserve"> C, Cipriani S, Baldelli F, </w:t>
      </w:r>
      <w:proofErr w:type="spellStart"/>
      <w:r w:rsidRPr="00E126EF">
        <w:rPr>
          <w:rFonts w:eastAsiaTheme="minorHAnsi" w:cstheme="minorBidi"/>
          <w:szCs w:val="22"/>
        </w:rPr>
        <w:t>Zampella</w:t>
      </w:r>
      <w:proofErr w:type="spellEnd"/>
      <w:r w:rsidRPr="00E126EF">
        <w:rPr>
          <w:rFonts w:eastAsiaTheme="minorHAnsi" w:cstheme="minorBidi"/>
          <w:szCs w:val="22"/>
        </w:rPr>
        <w:t xml:space="preserve"> A, </w:t>
      </w:r>
      <w:proofErr w:type="spellStart"/>
      <w:r w:rsidRPr="00E126EF">
        <w:rPr>
          <w:rFonts w:eastAsiaTheme="minorHAnsi" w:cstheme="minorBidi"/>
          <w:szCs w:val="22"/>
        </w:rPr>
        <w:t>Distrutti</w:t>
      </w:r>
      <w:proofErr w:type="spellEnd"/>
      <w:r w:rsidRPr="00E126EF">
        <w:rPr>
          <w:rFonts w:eastAsiaTheme="minorHAnsi" w:cstheme="minorBidi"/>
          <w:szCs w:val="22"/>
        </w:rPr>
        <w:t xml:space="preserve"> E, Fiorucci S. Glucocorticoid receptor mediates the gluconeogenic activity of the farnesoid X receptor in the fasting condition. FASEB J 2012; 26:3021-3031</w:t>
      </w:r>
    </w:p>
    <w:p w14:paraId="2A855AE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163.</w:t>
      </w:r>
      <w:r w:rsidRPr="00E126EF">
        <w:rPr>
          <w:rFonts w:eastAsiaTheme="minorHAnsi" w:cstheme="minorBidi"/>
          <w:szCs w:val="22"/>
        </w:rPr>
        <w:tab/>
        <w:t xml:space="preserve">Sengupta S, </w:t>
      </w:r>
      <w:proofErr w:type="spellStart"/>
      <w:r w:rsidRPr="00E126EF">
        <w:rPr>
          <w:rFonts w:eastAsiaTheme="minorHAnsi" w:cstheme="minorBidi"/>
          <w:szCs w:val="22"/>
        </w:rPr>
        <w:t>Vonesch</w:t>
      </w:r>
      <w:proofErr w:type="spellEnd"/>
      <w:r w:rsidRPr="00E126EF">
        <w:rPr>
          <w:rFonts w:eastAsiaTheme="minorHAnsi" w:cstheme="minorBidi"/>
          <w:szCs w:val="22"/>
        </w:rPr>
        <w:t xml:space="preserve"> JL, </w:t>
      </w:r>
      <w:proofErr w:type="spellStart"/>
      <w:r w:rsidRPr="00E126EF">
        <w:rPr>
          <w:rFonts w:eastAsiaTheme="minorHAnsi" w:cstheme="minorBidi"/>
          <w:szCs w:val="22"/>
        </w:rPr>
        <w:t>Waltzinger</w:t>
      </w:r>
      <w:proofErr w:type="spellEnd"/>
      <w:r w:rsidRPr="00E126EF">
        <w:rPr>
          <w:rFonts w:eastAsiaTheme="minorHAnsi" w:cstheme="minorBidi"/>
          <w:szCs w:val="22"/>
        </w:rPr>
        <w:t xml:space="preserve"> C, Zheng H, Wasylyk B. Negative cross-talk between p53 and the glucocorticoid receptor and its role in neuroblastoma cells. EMBO J 2000; 19:6051-6064</w:t>
      </w:r>
    </w:p>
    <w:p w14:paraId="58FC9D1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164.</w:t>
      </w:r>
      <w:r w:rsidRPr="00E126EF">
        <w:rPr>
          <w:rFonts w:eastAsiaTheme="minorHAnsi" w:cstheme="minorBidi"/>
          <w:szCs w:val="22"/>
        </w:rPr>
        <w:tab/>
        <w:t>Sengupta S, Wasylyk B. Ligand-dependent interaction of the glucocorticoid receptor with p53 enhances their degradation by Hdm2. Genes Dev 2001; 15:2367-2380</w:t>
      </w:r>
    </w:p>
    <w:p w14:paraId="6E245BE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165.</w:t>
      </w:r>
      <w:r w:rsidRPr="00E126EF">
        <w:rPr>
          <w:rFonts w:eastAsiaTheme="minorHAnsi" w:cstheme="minorBidi"/>
          <w:szCs w:val="22"/>
        </w:rPr>
        <w:tab/>
        <w:t xml:space="preserve">Chandran UR, Warren BS, Baumann CT, Hager GL, </w:t>
      </w:r>
      <w:proofErr w:type="spellStart"/>
      <w:r w:rsidRPr="00E126EF">
        <w:rPr>
          <w:rFonts w:eastAsiaTheme="minorHAnsi" w:cstheme="minorBidi"/>
          <w:szCs w:val="22"/>
        </w:rPr>
        <w:t>DeFranco</w:t>
      </w:r>
      <w:proofErr w:type="spellEnd"/>
      <w:r w:rsidRPr="00E126EF">
        <w:rPr>
          <w:rFonts w:eastAsiaTheme="minorHAnsi" w:cstheme="minorBidi"/>
          <w:szCs w:val="22"/>
        </w:rPr>
        <w:t xml:space="preserve"> DB. The glucocorticoid receptor is tethered to DNA-bound Oct-1 at the mouse gonadotropin-releasing hormone distal negative glucocorticoid response element. J Biol Chem 1999; 274:2372-2378</w:t>
      </w:r>
    </w:p>
    <w:p w14:paraId="03E62B6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166.</w:t>
      </w:r>
      <w:r w:rsidRPr="00E126EF">
        <w:rPr>
          <w:rFonts w:eastAsiaTheme="minorHAnsi" w:cstheme="minorBidi"/>
          <w:szCs w:val="22"/>
        </w:rPr>
        <w:tab/>
        <w:t xml:space="preserve">Subramaniam N, Cairns W, </w:t>
      </w:r>
      <w:proofErr w:type="spellStart"/>
      <w:r w:rsidRPr="00E126EF">
        <w:rPr>
          <w:rFonts w:eastAsiaTheme="minorHAnsi" w:cstheme="minorBidi"/>
          <w:szCs w:val="22"/>
        </w:rPr>
        <w:t>Okret</w:t>
      </w:r>
      <w:proofErr w:type="spellEnd"/>
      <w:r w:rsidRPr="00E126EF">
        <w:rPr>
          <w:rFonts w:eastAsiaTheme="minorHAnsi" w:cstheme="minorBidi"/>
          <w:szCs w:val="22"/>
        </w:rPr>
        <w:t xml:space="preserve"> S. Glucocorticoids repress transcription from a negative glucocorticoid response element recognized by two homeodomain-containing proteins, </w:t>
      </w:r>
      <w:proofErr w:type="spellStart"/>
      <w:r w:rsidRPr="00E126EF">
        <w:rPr>
          <w:rFonts w:eastAsiaTheme="minorHAnsi" w:cstheme="minorBidi"/>
          <w:szCs w:val="22"/>
        </w:rPr>
        <w:t>Pbx</w:t>
      </w:r>
      <w:proofErr w:type="spellEnd"/>
      <w:r w:rsidRPr="00E126EF">
        <w:rPr>
          <w:rFonts w:eastAsiaTheme="minorHAnsi" w:cstheme="minorBidi"/>
          <w:szCs w:val="22"/>
        </w:rPr>
        <w:t xml:space="preserve"> and Oct-1. J Biol Chem 1998; 273:23567-23574</w:t>
      </w:r>
    </w:p>
    <w:p w14:paraId="301C8F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167.</w:t>
      </w:r>
      <w:r w:rsidRPr="00E126EF">
        <w:rPr>
          <w:rFonts w:eastAsiaTheme="minorHAnsi" w:cstheme="minorBidi"/>
          <w:szCs w:val="22"/>
        </w:rPr>
        <w:tab/>
        <w:t xml:space="preserve">Prefontaine GG, Lemieux ME, </w:t>
      </w:r>
      <w:proofErr w:type="spellStart"/>
      <w:r w:rsidRPr="00E126EF">
        <w:rPr>
          <w:rFonts w:eastAsiaTheme="minorHAnsi" w:cstheme="minorBidi"/>
          <w:szCs w:val="22"/>
        </w:rPr>
        <w:t>Giffin</w:t>
      </w:r>
      <w:proofErr w:type="spellEnd"/>
      <w:r w:rsidRPr="00E126EF">
        <w:rPr>
          <w:rFonts w:eastAsiaTheme="minorHAnsi" w:cstheme="minorBidi"/>
          <w:szCs w:val="22"/>
        </w:rPr>
        <w:t xml:space="preserve"> W, </w:t>
      </w:r>
      <w:proofErr w:type="spellStart"/>
      <w:r w:rsidRPr="00E126EF">
        <w:rPr>
          <w:rFonts w:eastAsiaTheme="minorHAnsi" w:cstheme="minorBidi"/>
          <w:szCs w:val="22"/>
        </w:rPr>
        <w:t>Schild</w:t>
      </w:r>
      <w:proofErr w:type="spellEnd"/>
      <w:r w:rsidRPr="00E126EF">
        <w:rPr>
          <w:rFonts w:eastAsiaTheme="minorHAnsi" w:cstheme="minorBidi"/>
          <w:szCs w:val="22"/>
        </w:rPr>
        <w:t xml:space="preserve">-Poulter C, Pope L, </w:t>
      </w:r>
      <w:proofErr w:type="spellStart"/>
      <w:r w:rsidRPr="00E126EF">
        <w:rPr>
          <w:rFonts w:eastAsiaTheme="minorHAnsi" w:cstheme="minorBidi"/>
          <w:szCs w:val="22"/>
        </w:rPr>
        <w:t>LaCasse</w:t>
      </w:r>
      <w:proofErr w:type="spellEnd"/>
      <w:r w:rsidRPr="00E126EF">
        <w:rPr>
          <w:rFonts w:eastAsiaTheme="minorHAnsi" w:cstheme="minorBidi"/>
          <w:szCs w:val="22"/>
        </w:rPr>
        <w:t xml:space="preserve"> E, Walker P, </w:t>
      </w:r>
      <w:proofErr w:type="spellStart"/>
      <w:r w:rsidRPr="00E126EF">
        <w:rPr>
          <w:rFonts w:eastAsiaTheme="minorHAnsi" w:cstheme="minorBidi"/>
          <w:szCs w:val="22"/>
        </w:rPr>
        <w:t>Hache</w:t>
      </w:r>
      <w:proofErr w:type="spellEnd"/>
      <w:r w:rsidRPr="00E126EF">
        <w:rPr>
          <w:rFonts w:eastAsiaTheme="minorHAnsi" w:cstheme="minorBidi"/>
          <w:szCs w:val="22"/>
        </w:rPr>
        <w:t xml:space="preserve"> RJ. Recruitment of octamer transcription factors to DNA by glucocorticoid receptor. Mol Cell Biol 1998; 18:3416-3430</w:t>
      </w:r>
    </w:p>
    <w:p w14:paraId="52C55C7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168.</w:t>
      </w:r>
      <w:r w:rsidRPr="00E126EF">
        <w:rPr>
          <w:rFonts w:eastAsiaTheme="minorHAnsi" w:cstheme="minorBidi"/>
          <w:szCs w:val="22"/>
        </w:rPr>
        <w:tab/>
        <w:t xml:space="preserve">Truss M, Bartsch J, </w:t>
      </w:r>
      <w:proofErr w:type="spellStart"/>
      <w:r w:rsidRPr="00E126EF">
        <w:rPr>
          <w:rFonts w:eastAsiaTheme="minorHAnsi" w:cstheme="minorBidi"/>
          <w:szCs w:val="22"/>
        </w:rPr>
        <w:t>Schelbert</w:t>
      </w:r>
      <w:proofErr w:type="spellEnd"/>
      <w:r w:rsidRPr="00E126EF">
        <w:rPr>
          <w:rFonts w:eastAsiaTheme="minorHAnsi" w:cstheme="minorBidi"/>
          <w:szCs w:val="22"/>
        </w:rPr>
        <w:t xml:space="preserve"> A, </w:t>
      </w:r>
      <w:proofErr w:type="spellStart"/>
      <w:r w:rsidRPr="00E126EF">
        <w:rPr>
          <w:rFonts w:eastAsiaTheme="minorHAnsi" w:cstheme="minorBidi"/>
          <w:szCs w:val="22"/>
        </w:rPr>
        <w:t>Hache</w:t>
      </w:r>
      <w:proofErr w:type="spellEnd"/>
      <w:r w:rsidRPr="00E126EF">
        <w:rPr>
          <w:rFonts w:eastAsiaTheme="minorHAnsi" w:cstheme="minorBidi"/>
          <w:szCs w:val="22"/>
        </w:rPr>
        <w:t xml:space="preserve"> RJ, </w:t>
      </w:r>
      <w:proofErr w:type="spellStart"/>
      <w:r w:rsidRPr="00E126EF">
        <w:rPr>
          <w:rFonts w:eastAsiaTheme="minorHAnsi" w:cstheme="minorBidi"/>
          <w:szCs w:val="22"/>
        </w:rPr>
        <w:t>Beato</w:t>
      </w:r>
      <w:proofErr w:type="spellEnd"/>
      <w:r w:rsidRPr="00E126EF">
        <w:rPr>
          <w:rFonts w:eastAsiaTheme="minorHAnsi" w:cstheme="minorBidi"/>
          <w:szCs w:val="22"/>
        </w:rPr>
        <w:t xml:space="preserve"> M. Hormone induces binding of receptors and transcription factors to a rearranged nucleosome on the MMTV promoter in vivo. EMBO J 1995; 14:1737-1751</w:t>
      </w:r>
    </w:p>
    <w:p w14:paraId="7879863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169.</w:t>
      </w:r>
      <w:r w:rsidRPr="00E126EF">
        <w:rPr>
          <w:rFonts w:eastAsiaTheme="minorHAnsi" w:cstheme="minorBidi"/>
          <w:szCs w:val="22"/>
        </w:rPr>
        <w:tab/>
      </w:r>
      <w:proofErr w:type="spellStart"/>
      <w:r w:rsidRPr="00E126EF">
        <w:rPr>
          <w:rFonts w:eastAsiaTheme="minorHAnsi" w:cstheme="minorBidi"/>
          <w:szCs w:val="22"/>
        </w:rPr>
        <w:t>Hartig</w:t>
      </w:r>
      <w:proofErr w:type="spellEnd"/>
      <w:r w:rsidRPr="00E126EF">
        <w:rPr>
          <w:rFonts w:eastAsiaTheme="minorHAnsi" w:cstheme="minorBidi"/>
          <w:szCs w:val="22"/>
        </w:rPr>
        <w:t xml:space="preserve"> E, Cato AC. In vivo binding of proteins to stably integrated MMTV DNA in murine cell lines: occupancy of NFI and OTF1 binding sites in the absence and presence of glucocorticoids. Cell Mol Biol Res 1994; 40:643-652</w:t>
      </w:r>
    </w:p>
    <w:p w14:paraId="691EDA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170.</w:t>
      </w:r>
      <w:r w:rsidRPr="00E126EF">
        <w:rPr>
          <w:rFonts w:eastAsiaTheme="minorHAnsi" w:cstheme="minorBidi"/>
          <w:szCs w:val="22"/>
        </w:rPr>
        <w:tab/>
        <w:t xml:space="preserve">Archer TK, </w:t>
      </w:r>
      <w:proofErr w:type="spellStart"/>
      <w:r w:rsidRPr="00E126EF">
        <w:rPr>
          <w:rFonts w:eastAsiaTheme="minorHAnsi" w:cstheme="minorBidi"/>
          <w:szCs w:val="22"/>
        </w:rPr>
        <w:t>Cordingley</w:t>
      </w:r>
      <w:proofErr w:type="spellEnd"/>
      <w:r w:rsidRPr="00E126EF">
        <w:rPr>
          <w:rFonts w:eastAsiaTheme="minorHAnsi" w:cstheme="minorBidi"/>
          <w:szCs w:val="22"/>
        </w:rPr>
        <w:t xml:space="preserve"> MG, Wolford RG, Hager GL. Transcription factor access is mediated by accurately positioned nucleosomes on the mouse mammary tumor virus promoter. Mol Cell Biol 1991; 11:688-698</w:t>
      </w:r>
    </w:p>
    <w:p w14:paraId="5FA897A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171.</w:t>
      </w:r>
      <w:r w:rsidRPr="00E126EF">
        <w:rPr>
          <w:rFonts w:eastAsiaTheme="minorHAnsi" w:cstheme="minorBidi"/>
          <w:szCs w:val="22"/>
        </w:rPr>
        <w:tab/>
        <w:t xml:space="preserve">Chang TJ, </w:t>
      </w:r>
      <w:proofErr w:type="spellStart"/>
      <w:r w:rsidRPr="00E126EF">
        <w:rPr>
          <w:rFonts w:eastAsiaTheme="minorHAnsi" w:cstheme="minorBidi"/>
          <w:szCs w:val="22"/>
        </w:rPr>
        <w:t>Scher</w:t>
      </w:r>
      <w:proofErr w:type="spellEnd"/>
      <w:r w:rsidRPr="00E126EF">
        <w:rPr>
          <w:rFonts w:eastAsiaTheme="minorHAnsi" w:cstheme="minorBidi"/>
          <w:szCs w:val="22"/>
        </w:rPr>
        <w:t xml:space="preserve"> BM, Waxman S, </w:t>
      </w:r>
      <w:proofErr w:type="spellStart"/>
      <w:r w:rsidRPr="00E126EF">
        <w:rPr>
          <w:rFonts w:eastAsiaTheme="minorHAnsi" w:cstheme="minorBidi"/>
          <w:szCs w:val="22"/>
        </w:rPr>
        <w:t>Scher</w:t>
      </w:r>
      <w:proofErr w:type="spellEnd"/>
      <w:r w:rsidRPr="00E126EF">
        <w:rPr>
          <w:rFonts w:eastAsiaTheme="minorHAnsi" w:cstheme="minorBidi"/>
          <w:szCs w:val="22"/>
        </w:rPr>
        <w:t xml:space="preserve"> W. Inhibition of mouse GATA-1 function by the glucocorticoid receptor: possible mechanism of steroid inhibition of erythroleukemia cell differentiation. Mol Endocrinol 1993; 7:528-542</w:t>
      </w:r>
    </w:p>
    <w:p w14:paraId="61CED4E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172.</w:t>
      </w:r>
      <w:r w:rsidRPr="00E126EF">
        <w:rPr>
          <w:rFonts w:eastAsiaTheme="minorHAnsi" w:cstheme="minorBidi"/>
          <w:szCs w:val="22"/>
        </w:rPr>
        <w:tab/>
      </w:r>
      <w:proofErr w:type="spellStart"/>
      <w:r w:rsidRPr="00E126EF">
        <w:rPr>
          <w:rFonts w:eastAsiaTheme="minorHAnsi" w:cstheme="minorBidi"/>
          <w:szCs w:val="22"/>
        </w:rPr>
        <w:t>Lekstrom</w:t>
      </w:r>
      <w:proofErr w:type="spellEnd"/>
      <w:r w:rsidRPr="00E126EF">
        <w:rPr>
          <w:rFonts w:eastAsiaTheme="minorHAnsi" w:cstheme="minorBidi"/>
          <w:szCs w:val="22"/>
        </w:rPr>
        <w:t xml:space="preserve">-Himes J, </w:t>
      </w:r>
      <w:proofErr w:type="spellStart"/>
      <w:r w:rsidRPr="00E126EF">
        <w:rPr>
          <w:rFonts w:eastAsiaTheme="minorHAnsi" w:cstheme="minorBidi"/>
          <w:szCs w:val="22"/>
        </w:rPr>
        <w:t>Xanthopoulos</w:t>
      </w:r>
      <w:proofErr w:type="spellEnd"/>
      <w:r w:rsidRPr="00E126EF">
        <w:rPr>
          <w:rFonts w:eastAsiaTheme="minorHAnsi" w:cstheme="minorBidi"/>
          <w:szCs w:val="22"/>
        </w:rPr>
        <w:t xml:space="preserve"> KG. Biological role of the CCAAT/enhancer-binding protein family of transcription factors. J Biol Chem 1998; 273:28545-28548</w:t>
      </w:r>
    </w:p>
    <w:p w14:paraId="56CAB00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173.</w:t>
      </w:r>
      <w:r w:rsidRPr="00E126EF">
        <w:rPr>
          <w:rFonts w:eastAsiaTheme="minorHAnsi" w:cstheme="minorBidi"/>
          <w:szCs w:val="22"/>
        </w:rPr>
        <w:tab/>
      </w:r>
      <w:proofErr w:type="spellStart"/>
      <w:r w:rsidRPr="00E126EF">
        <w:rPr>
          <w:rFonts w:eastAsiaTheme="minorHAnsi" w:cstheme="minorBidi"/>
          <w:szCs w:val="22"/>
        </w:rPr>
        <w:t>Nishio</w:t>
      </w:r>
      <w:proofErr w:type="spellEnd"/>
      <w:r w:rsidRPr="00E126EF">
        <w:rPr>
          <w:rFonts w:eastAsiaTheme="minorHAnsi" w:cstheme="minorBidi"/>
          <w:szCs w:val="22"/>
        </w:rPr>
        <w:t xml:space="preserve"> Y, </w:t>
      </w:r>
      <w:proofErr w:type="spellStart"/>
      <w:r w:rsidRPr="00E126EF">
        <w:rPr>
          <w:rFonts w:eastAsiaTheme="minorHAnsi" w:cstheme="minorBidi"/>
          <w:szCs w:val="22"/>
        </w:rPr>
        <w:t>Isshiki</w:t>
      </w:r>
      <w:proofErr w:type="spellEnd"/>
      <w:r w:rsidRPr="00E126EF">
        <w:rPr>
          <w:rFonts w:eastAsiaTheme="minorHAnsi" w:cstheme="minorBidi"/>
          <w:szCs w:val="22"/>
        </w:rPr>
        <w:t xml:space="preserve"> H, </w:t>
      </w:r>
      <w:proofErr w:type="spellStart"/>
      <w:r w:rsidRPr="00E126EF">
        <w:rPr>
          <w:rFonts w:eastAsiaTheme="minorHAnsi" w:cstheme="minorBidi"/>
          <w:szCs w:val="22"/>
        </w:rPr>
        <w:t>Kishimoto</w:t>
      </w:r>
      <w:proofErr w:type="spellEnd"/>
      <w:r w:rsidRPr="00E126EF">
        <w:rPr>
          <w:rFonts w:eastAsiaTheme="minorHAnsi" w:cstheme="minorBidi"/>
          <w:szCs w:val="22"/>
        </w:rPr>
        <w:t xml:space="preserve"> T, Akira S. A nuclear factor for interleukin-6 expression (NF-IL6) and the glucocorticoid receptor synergistically activate transcription of the rat a1-acid glycoprotein gene via direct protein-protein interaction. Mol Cell Biol 1993; 13:1854-1862</w:t>
      </w:r>
    </w:p>
    <w:p w14:paraId="38D0F8E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174.</w:t>
      </w:r>
      <w:r w:rsidRPr="00E126EF">
        <w:rPr>
          <w:rFonts w:eastAsiaTheme="minorHAnsi" w:cstheme="minorBidi"/>
          <w:szCs w:val="22"/>
        </w:rPr>
        <w:tab/>
      </w:r>
      <w:proofErr w:type="spellStart"/>
      <w:r w:rsidRPr="00E126EF">
        <w:rPr>
          <w:rFonts w:eastAsiaTheme="minorHAnsi" w:cstheme="minorBidi"/>
          <w:szCs w:val="22"/>
        </w:rPr>
        <w:t>Boruk</w:t>
      </w:r>
      <w:proofErr w:type="spellEnd"/>
      <w:r w:rsidRPr="00E126EF">
        <w:rPr>
          <w:rFonts w:eastAsiaTheme="minorHAnsi" w:cstheme="minorBidi"/>
          <w:szCs w:val="22"/>
        </w:rPr>
        <w:t xml:space="preserve"> M, Savory JG, </w:t>
      </w:r>
      <w:proofErr w:type="spellStart"/>
      <w:r w:rsidRPr="00E126EF">
        <w:rPr>
          <w:rFonts w:eastAsiaTheme="minorHAnsi" w:cstheme="minorBidi"/>
          <w:szCs w:val="22"/>
        </w:rPr>
        <w:t>Hache</w:t>
      </w:r>
      <w:proofErr w:type="spellEnd"/>
      <w:r w:rsidRPr="00E126EF">
        <w:rPr>
          <w:rFonts w:eastAsiaTheme="minorHAnsi" w:cstheme="minorBidi"/>
          <w:szCs w:val="22"/>
        </w:rPr>
        <w:t xml:space="preserve"> RJ. AF-2-dependent potentiation of CCAAT enhancer binding protein b-mediated transcriptional activation by glucocorticoid receptor. Mol Endocrinol 1998; 12:1749-1763</w:t>
      </w:r>
    </w:p>
    <w:p w14:paraId="43E8A9E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175.</w:t>
      </w:r>
      <w:r w:rsidRPr="00E126EF">
        <w:rPr>
          <w:rFonts w:eastAsiaTheme="minorHAnsi" w:cstheme="minorBidi"/>
          <w:szCs w:val="22"/>
        </w:rPr>
        <w:tab/>
      </w:r>
      <w:proofErr w:type="spellStart"/>
      <w:r w:rsidRPr="00E126EF">
        <w:rPr>
          <w:rFonts w:eastAsiaTheme="minorHAnsi" w:cstheme="minorBidi"/>
          <w:szCs w:val="22"/>
        </w:rPr>
        <w:t>Kulaeva</w:t>
      </w:r>
      <w:proofErr w:type="spellEnd"/>
      <w:r w:rsidRPr="00E126EF">
        <w:rPr>
          <w:rFonts w:eastAsiaTheme="minorHAnsi" w:cstheme="minorBidi"/>
          <w:szCs w:val="22"/>
        </w:rPr>
        <w:t xml:space="preserve"> OI, Hsieh FK, Chang HW, </w:t>
      </w:r>
      <w:proofErr w:type="spellStart"/>
      <w:r w:rsidRPr="00E126EF">
        <w:rPr>
          <w:rFonts w:eastAsiaTheme="minorHAnsi" w:cstheme="minorBidi"/>
          <w:szCs w:val="22"/>
        </w:rPr>
        <w:t>Luse</w:t>
      </w:r>
      <w:proofErr w:type="spellEnd"/>
      <w:r w:rsidRPr="00E126EF">
        <w:rPr>
          <w:rFonts w:eastAsiaTheme="minorHAnsi" w:cstheme="minorBidi"/>
          <w:szCs w:val="22"/>
        </w:rPr>
        <w:t xml:space="preserve"> DS, </w:t>
      </w:r>
      <w:proofErr w:type="spellStart"/>
      <w:r w:rsidRPr="00E126EF">
        <w:rPr>
          <w:rFonts w:eastAsiaTheme="minorHAnsi" w:cstheme="minorBidi"/>
          <w:szCs w:val="22"/>
        </w:rPr>
        <w:t>Studitsky</w:t>
      </w:r>
      <w:proofErr w:type="spellEnd"/>
      <w:r w:rsidRPr="00E126EF">
        <w:rPr>
          <w:rFonts w:eastAsiaTheme="minorHAnsi" w:cstheme="minorBidi"/>
          <w:szCs w:val="22"/>
        </w:rPr>
        <w:t xml:space="preserve"> VM. Mechanism of transcription through a nucleosome by RNA polymerase II. </w:t>
      </w:r>
      <w:proofErr w:type="spellStart"/>
      <w:r w:rsidRPr="00E126EF">
        <w:rPr>
          <w:rFonts w:eastAsiaTheme="minorHAnsi" w:cstheme="minorBidi"/>
          <w:szCs w:val="22"/>
        </w:rPr>
        <w:t>Biochim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Acta 2013; 1829:76-83</w:t>
      </w:r>
    </w:p>
    <w:p w14:paraId="4FC9E3E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176.</w:t>
      </w:r>
      <w:r w:rsidRPr="00E126EF">
        <w:rPr>
          <w:rFonts w:eastAsiaTheme="minorHAnsi" w:cstheme="minorBidi"/>
          <w:szCs w:val="22"/>
        </w:rPr>
        <w:tab/>
        <w:t>Kornberg RD, Lorch Y. Twenty-five years of the nucleosome, fundamental particle of the eukaryote chromosome. Cell 1999; 98:285-294</w:t>
      </w:r>
    </w:p>
    <w:p w14:paraId="0F399DA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177.</w:t>
      </w:r>
      <w:r w:rsidRPr="00E126EF">
        <w:rPr>
          <w:rFonts w:eastAsiaTheme="minorHAnsi" w:cstheme="minorBidi"/>
          <w:szCs w:val="22"/>
        </w:rPr>
        <w:tab/>
        <w:t xml:space="preserve">Kuznetsova T, Wang SY, Rao NA, </w:t>
      </w:r>
      <w:proofErr w:type="spellStart"/>
      <w:r w:rsidRPr="00E126EF">
        <w:rPr>
          <w:rFonts w:eastAsiaTheme="minorHAnsi" w:cstheme="minorBidi"/>
          <w:szCs w:val="22"/>
        </w:rPr>
        <w:t>Mandoli</w:t>
      </w:r>
      <w:proofErr w:type="spellEnd"/>
      <w:r w:rsidRPr="00E126EF">
        <w:rPr>
          <w:rFonts w:eastAsiaTheme="minorHAnsi" w:cstheme="minorBidi"/>
          <w:szCs w:val="22"/>
        </w:rPr>
        <w:t xml:space="preserve"> A, Martens JH, Rother N, </w:t>
      </w:r>
      <w:proofErr w:type="spellStart"/>
      <w:r w:rsidRPr="00E126EF">
        <w:rPr>
          <w:rFonts w:eastAsiaTheme="minorHAnsi" w:cstheme="minorBidi"/>
          <w:szCs w:val="22"/>
        </w:rPr>
        <w:t>Aartse</w:t>
      </w:r>
      <w:proofErr w:type="spellEnd"/>
      <w:r w:rsidRPr="00E126EF">
        <w:rPr>
          <w:rFonts w:eastAsiaTheme="minorHAnsi" w:cstheme="minorBidi"/>
          <w:szCs w:val="22"/>
        </w:rPr>
        <w:t xml:space="preserve"> A, Groh L, Janssen-</w:t>
      </w:r>
      <w:proofErr w:type="spellStart"/>
      <w:r w:rsidRPr="00E126EF">
        <w:rPr>
          <w:rFonts w:eastAsiaTheme="minorHAnsi" w:cstheme="minorBidi"/>
          <w:szCs w:val="22"/>
        </w:rPr>
        <w:t>Megens</w:t>
      </w:r>
      <w:proofErr w:type="spellEnd"/>
      <w:r w:rsidRPr="00E126EF">
        <w:rPr>
          <w:rFonts w:eastAsiaTheme="minorHAnsi" w:cstheme="minorBidi"/>
          <w:szCs w:val="22"/>
        </w:rPr>
        <w:t xml:space="preserve"> EM, Li G, </w:t>
      </w:r>
      <w:proofErr w:type="spellStart"/>
      <w:r w:rsidRPr="00E126EF">
        <w:rPr>
          <w:rFonts w:eastAsiaTheme="minorHAnsi" w:cstheme="minorBidi"/>
          <w:szCs w:val="22"/>
        </w:rPr>
        <w:t>Ruan</w:t>
      </w:r>
      <w:proofErr w:type="spellEnd"/>
      <w:r w:rsidRPr="00E126EF">
        <w:rPr>
          <w:rFonts w:eastAsiaTheme="minorHAnsi" w:cstheme="minorBidi"/>
          <w:szCs w:val="22"/>
        </w:rPr>
        <w:t xml:space="preserve"> Y, </w:t>
      </w:r>
      <w:proofErr w:type="spellStart"/>
      <w:r w:rsidRPr="00E126EF">
        <w:rPr>
          <w:rFonts w:eastAsiaTheme="minorHAnsi" w:cstheme="minorBidi"/>
          <w:szCs w:val="22"/>
        </w:rPr>
        <w:t>Logie</w:t>
      </w:r>
      <w:proofErr w:type="spellEnd"/>
      <w:r w:rsidRPr="00E126EF">
        <w:rPr>
          <w:rFonts w:eastAsiaTheme="minorHAnsi" w:cstheme="minorBidi"/>
          <w:szCs w:val="22"/>
        </w:rPr>
        <w:t xml:space="preserve"> C, </w:t>
      </w:r>
      <w:proofErr w:type="spellStart"/>
      <w:r w:rsidRPr="00E126EF">
        <w:rPr>
          <w:rFonts w:eastAsiaTheme="minorHAnsi" w:cstheme="minorBidi"/>
          <w:szCs w:val="22"/>
        </w:rPr>
        <w:t>Stunnenberg</w:t>
      </w:r>
      <w:proofErr w:type="spellEnd"/>
      <w:r w:rsidRPr="00E126EF">
        <w:rPr>
          <w:rFonts w:eastAsiaTheme="minorHAnsi" w:cstheme="minorBidi"/>
          <w:szCs w:val="22"/>
        </w:rPr>
        <w:t xml:space="preserve"> HG. Glucocorticoid receptor and nuclear factor k-b affect three-dimensional chromatin organization. Genome Biol 2015; 16:264</w:t>
      </w:r>
    </w:p>
    <w:p w14:paraId="30616C4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178.</w:t>
      </w:r>
      <w:r w:rsidRPr="00E126EF">
        <w:rPr>
          <w:rFonts w:eastAsiaTheme="minorHAnsi" w:cstheme="minorBidi"/>
          <w:szCs w:val="22"/>
        </w:rPr>
        <w:tab/>
        <w:t>Baker M. Genomics: Genomes in three dimensions. Nature 2011; 470:289-294</w:t>
      </w:r>
    </w:p>
    <w:p w14:paraId="2484AA0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179.</w:t>
      </w:r>
      <w:r w:rsidRPr="00E126EF">
        <w:rPr>
          <w:rFonts w:eastAsiaTheme="minorHAnsi" w:cstheme="minorBidi"/>
          <w:szCs w:val="22"/>
        </w:rPr>
        <w:tab/>
        <w:t xml:space="preserve">Stevens TJ, </w:t>
      </w:r>
      <w:proofErr w:type="spellStart"/>
      <w:r w:rsidRPr="00E126EF">
        <w:rPr>
          <w:rFonts w:eastAsiaTheme="minorHAnsi" w:cstheme="minorBidi"/>
          <w:szCs w:val="22"/>
        </w:rPr>
        <w:t>Lando</w:t>
      </w:r>
      <w:proofErr w:type="spellEnd"/>
      <w:r w:rsidRPr="00E126EF">
        <w:rPr>
          <w:rFonts w:eastAsiaTheme="minorHAnsi" w:cstheme="minorBidi"/>
          <w:szCs w:val="22"/>
        </w:rPr>
        <w:t xml:space="preserve"> D, </w:t>
      </w:r>
      <w:proofErr w:type="spellStart"/>
      <w:r w:rsidRPr="00E126EF">
        <w:rPr>
          <w:rFonts w:eastAsiaTheme="minorHAnsi" w:cstheme="minorBidi"/>
          <w:szCs w:val="22"/>
        </w:rPr>
        <w:t>Basu</w:t>
      </w:r>
      <w:proofErr w:type="spellEnd"/>
      <w:r w:rsidRPr="00E126EF">
        <w:rPr>
          <w:rFonts w:eastAsiaTheme="minorHAnsi" w:cstheme="minorBidi"/>
          <w:szCs w:val="22"/>
        </w:rPr>
        <w:t xml:space="preserve"> S, Atkinson LP, Cao Y, Lee SF, </w:t>
      </w:r>
      <w:proofErr w:type="spellStart"/>
      <w:r w:rsidRPr="00E126EF">
        <w:rPr>
          <w:rFonts w:eastAsiaTheme="minorHAnsi" w:cstheme="minorBidi"/>
          <w:szCs w:val="22"/>
        </w:rPr>
        <w:t>Leeb</w:t>
      </w:r>
      <w:proofErr w:type="spellEnd"/>
      <w:r w:rsidRPr="00E126EF">
        <w:rPr>
          <w:rFonts w:eastAsiaTheme="minorHAnsi" w:cstheme="minorBidi"/>
          <w:szCs w:val="22"/>
        </w:rPr>
        <w:t xml:space="preserve"> M, </w:t>
      </w:r>
      <w:proofErr w:type="spellStart"/>
      <w:r w:rsidRPr="00E126EF">
        <w:rPr>
          <w:rFonts w:eastAsiaTheme="minorHAnsi" w:cstheme="minorBidi"/>
          <w:szCs w:val="22"/>
        </w:rPr>
        <w:t>Wohlfahrt</w:t>
      </w:r>
      <w:proofErr w:type="spellEnd"/>
      <w:r w:rsidRPr="00E126EF">
        <w:rPr>
          <w:rFonts w:eastAsiaTheme="minorHAnsi" w:cstheme="minorBidi"/>
          <w:szCs w:val="22"/>
        </w:rPr>
        <w:t xml:space="preserve"> KJ, Boucher W, O'Shaughnessy-Kirwan A, </w:t>
      </w:r>
      <w:proofErr w:type="spellStart"/>
      <w:r w:rsidRPr="00E126EF">
        <w:rPr>
          <w:rFonts w:eastAsiaTheme="minorHAnsi" w:cstheme="minorBidi"/>
          <w:szCs w:val="22"/>
        </w:rPr>
        <w:t>Cramard</w:t>
      </w:r>
      <w:proofErr w:type="spellEnd"/>
      <w:r w:rsidRPr="00E126EF">
        <w:rPr>
          <w:rFonts w:eastAsiaTheme="minorHAnsi" w:cstheme="minorBidi"/>
          <w:szCs w:val="22"/>
        </w:rPr>
        <w:t xml:space="preserve"> J, Faure AJ, </w:t>
      </w:r>
      <w:proofErr w:type="spellStart"/>
      <w:r w:rsidRPr="00E126EF">
        <w:rPr>
          <w:rFonts w:eastAsiaTheme="minorHAnsi" w:cstheme="minorBidi"/>
          <w:szCs w:val="22"/>
        </w:rPr>
        <w:t>Ralser</w:t>
      </w:r>
      <w:proofErr w:type="spellEnd"/>
      <w:r w:rsidRPr="00E126EF">
        <w:rPr>
          <w:rFonts w:eastAsiaTheme="minorHAnsi" w:cstheme="minorBidi"/>
          <w:szCs w:val="22"/>
        </w:rPr>
        <w:t xml:space="preserve"> M, Blanco E, Morey L, Sanso M, </w:t>
      </w:r>
      <w:proofErr w:type="spellStart"/>
      <w:r w:rsidRPr="00E126EF">
        <w:rPr>
          <w:rFonts w:eastAsiaTheme="minorHAnsi" w:cstheme="minorBidi"/>
          <w:szCs w:val="22"/>
        </w:rPr>
        <w:t>Palayret</w:t>
      </w:r>
      <w:proofErr w:type="spellEnd"/>
      <w:r w:rsidRPr="00E126EF">
        <w:rPr>
          <w:rFonts w:eastAsiaTheme="minorHAnsi" w:cstheme="minorBidi"/>
          <w:szCs w:val="22"/>
        </w:rPr>
        <w:t xml:space="preserve"> MG, Lehner B, Di Croce L, </w:t>
      </w:r>
      <w:proofErr w:type="spellStart"/>
      <w:r w:rsidRPr="00E126EF">
        <w:rPr>
          <w:rFonts w:eastAsiaTheme="minorHAnsi" w:cstheme="minorBidi"/>
          <w:szCs w:val="22"/>
        </w:rPr>
        <w:t>Wutz</w:t>
      </w:r>
      <w:proofErr w:type="spellEnd"/>
      <w:r w:rsidRPr="00E126EF">
        <w:rPr>
          <w:rFonts w:eastAsiaTheme="minorHAnsi" w:cstheme="minorBidi"/>
          <w:szCs w:val="22"/>
        </w:rPr>
        <w:t xml:space="preserve"> A, Hendrich B, </w:t>
      </w:r>
      <w:proofErr w:type="spellStart"/>
      <w:r w:rsidRPr="00E126EF">
        <w:rPr>
          <w:rFonts w:eastAsiaTheme="minorHAnsi" w:cstheme="minorBidi"/>
          <w:szCs w:val="22"/>
        </w:rPr>
        <w:t>Klenerman</w:t>
      </w:r>
      <w:proofErr w:type="spellEnd"/>
      <w:r w:rsidRPr="00E126EF">
        <w:rPr>
          <w:rFonts w:eastAsiaTheme="minorHAnsi" w:cstheme="minorBidi"/>
          <w:szCs w:val="22"/>
        </w:rPr>
        <w:t xml:space="preserve"> D, Laue ED. 3D structures of individual mammalian genomes studied by single-cell Hi-C. Nature 2017; 544:59-64</w:t>
      </w:r>
    </w:p>
    <w:p w14:paraId="107AAEA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180.</w:t>
      </w:r>
      <w:r w:rsidRPr="00E126EF">
        <w:rPr>
          <w:rFonts w:eastAsiaTheme="minorHAnsi" w:cstheme="minorBidi"/>
          <w:szCs w:val="22"/>
        </w:rPr>
        <w:tab/>
        <w:t xml:space="preserve">John S, Sabo PJ, Thurman RE, Sung MH, </w:t>
      </w:r>
      <w:proofErr w:type="spellStart"/>
      <w:r w:rsidRPr="00E126EF">
        <w:rPr>
          <w:rFonts w:eastAsiaTheme="minorHAnsi" w:cstheme="minorBidi"/>
          <w:szCs w:val="22"/>
        </w:rPr>
        <w:t>Biddie</w:t>
      </w:r>
      <w:proofErr w:type="spellEnd"/>
      <w:r w:rsidRPr="00E126EF">
        <w:rPr>
          <w:rFonts w:eastAsiaTheme="minorHAnsi" w:cstheme="minorBidi"/>
          <w:szCs w:val="22"/>
        </w:rPr>
        <w:t xml:space="preserve"> SC, Johnson TA, Hager GL, </w:t>
      </w:r>
      <w:proofErr w:type="spellStart"/>
      <w:r w:rsidRPr="00E126EF">
        <w:rPr>
          <w:rFonts w:eastAsiaTheme="minorHAnsi" w:cstheme="minorBidi"/>
          <w:szCs w:val="22"/>
        </w:rPr>
        <w:t>Stamatoyannopoulos</w:t>
      </w:r>
      <w:proofErr w:type="spellEnd"/>
      <w:r w:rsidRPr="00E126EF">
        <w:rPr>
          <w:rFonts w:eastAsiaTheme="minorHAnsi" w:cstheme="minorBidi"/>
          <w:szCs w:val="22"/>
        </w:rPr>
        <w:t xml:space="preserve"> JA. Chromatin accessibility pre-determines glucocorticoid receptor binding patterns. Nat Genet 2011; 43:264-268</w:t>
      </w:r>
    </w:p>
    <w:p w14:paraId="4D8AD85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181.</w:t>
      </w:r>
      <w:r w:rsidRPr="00E126EF">
        <w:rPr>
          <w:rFonts w:eastAsiaTheme="minorHAnsi" w:cstheme="minorBidi"/>
          <w:szCs w:val="22"/>
        </w:rPr>
        <w:tab/>
      </w:r>
      <w:proofErr w:type="spellStart"/>
      <w:r w:rsidRPr="00E126EF">
        <w:rPr>
          <w:rFonts w:eastAsiaTheme="minorHAnsi" w:cstheme="minorBidi"/>
          <w:szCs w:val="22"/>
        </w:rPr>
        <w:t>Grontved</w:t>
      </w:r>
      <w:proofErr w:type="spellEnd"/>
      <w:r w:rsidRPr="00E126EF">
        <w:rPr>
          <w:rFonts w:eastAsiaTheme="minorHAnsi" w:cstheme="minorBidi"/>
          <w:szCs w:val="22"/>
        </w:rPr>
        <w:t xml:space="preserve"> L, John S, </w:t>
      </w:r>
      <w:proofErr w:type="spellStart"/>
      <w:r w:rsidRPr="00E126EF">
        <w:rPr>
          <w:rFonts w:eastAsiaTheme="minorHAnsi" w:cstheme="minorBidi"/>
          <w:szCs w:val="22"/>
        </w:rPr>
        <w:t>Baek</w:t>
      </w:r>
      <w:proofErr w:type="spellEnd"/>
      <w:r w:rsidRPr="00E126EF">
        <w:rPr>
          <w:rFonts w:eastAsiaTheme="minorHAnsi" w:cstheme="minorBidi"/>
          <w:szCs w:val="22"/>
        </w:rPr>
        <w:t xml:space="preserve"> S, Liu Y, Buckley JR, Vinson C, Aguilera G, Hager GL. C/EBP maintains chromatin accessibility in liver and facilitates glucocorticoid receptor recruitment to steroid response elements. EMBO J 2013; 32:1568-1583</w:t>
      </w:r>
    </w:p>
    <w:p w14:paraId="6299763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182.</w:t>
      </w:r>
      <w:r w:rsidRPr="00E126EF">
        <w:rPr>
          <w:rFonts w:eastAsiaTheme="minorHAnsi" w:cstheme="minorBidi"/>
          <w:szCs w:val="22"/>
        </w:rPr>
        <w:tab/>
      </w:r>
      <w:proofErr w:type="spellStart"/>
      <w:r w:rsidRPr="00E126EF">
        <w:rPr>
          <w:rFonts w:eastAsiaTheme="minorHAnsi" w:cstheme="minorBidi"/>
          <w:szCs w:val="22"/>
        </w:rPr>
        <w:t>Biddie</w:t>
      </w:r>
      <w:proofErr w:type="spellEnd"/>
      <w:r w:rsidRPr="00E126EF">
        <w:rPr>
          <w:rFonts w:eastAsiaTheme="minorHAnsi" w:cstheme="minorBidi"/>
          <w:szCs w:val="22"/>
        </w:rPr>
        <w:t xml:space="preserve"> SC, John S, Sabo PJ, Thurman RE, Johnson TA, </w:t>
      </w:r>
      <w:proofErr w:type="spellStart"/>
      <w:r w:rsidRPr="00E126EF">
        <w:rPr>
          <w:rFonts w:eastAsiaTheme="minorHAnsi" w:cstheme="minorBidi"/>
          <w:szCs w:val="22"/>
        </w:rPr>
        <w:t>Schiltz</w:t>
      </w:r>
      <w:proofErr w:type="spellEnd"/>
      <w:r w:rsidRPr="00E126EF">
        <w:rPr>
          <w:rFonts w:eastAsiaTheme="minorHAnsi" w:cstheme="minorBidi"/>
          <w:szCs w:val="22"/>
        </w:rPr>
        <w:t xml:space="preserve"> RL, Miranda TB, Sung MH, Trump S, Lightman SL, Vinson C, </w:t>
      </w:r>
      <w:proofErr w:type="spellStart"/>
      <w:r w:rsidRPr="00E126EF">
        <w:rPr>
          <w:rFonts w:eastAsiaTheme="minorHAnsi" w:cstheme="minorBidi"/>
          <w:szCs w:val="22"/>
        </w:rPr>
        <w:t>Stamatoyannopoulos</w:t>
      </w:r>
      <w:proofErr w:type="spellEnd"/>
      <w:r w:rsidRPr="00E126EF">
        <w:rPr>
          <w:rFonts w:eastAsiaTheme="minorHAnsi" w:cstheme="minorBidi"/>
          <w:szCs w:val="22"/>
        </w:rPr>
        <w:t xml:space="preserve"> JA, Hager GL. Transcription factor AP1 potentiates chromatin accessibility and glucocorticoid receptor binding. Mol Cell 2011; 43:145-155</w:t>
      </w:r>
    </w:p>
    <w:p w14:paraId="3459E1B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183.</w:t>
      </w:r>
      <w:r w:rsidRPr="00E126EF">
        <w:rPr>
          <w:rFonts w:eastAsiaTheme="minorHAnsi" w:cstheme="minorBidi"/>
          <w:szCs w:val="22"/>
        </w:rPr>
        <w:tab/>
      </w:r>
      <w:proofErr w:type="spellStart"/>
      <w:r w:rsidRPr="00E126EF">
        <w:rPr>
          <w:rFonts w:eastAsiaTheme="minorHAnsi" w:cstheme="minorBidi"/>
          <w:szCs w:val="22"/>
        </w:rPr>
        <w:t>Sahu</w:t>
      </w:r>
      <w:proofErr w:type="spellEnd"/>
      <w:r w:rsidRPr="00E126EF">
        <w:rPr>
          <w:rFonts w:eastAsiaTheme="minorHAnsi" w:cstheme="minorBidi"/>
          <w:szCs w:val="22"/>
        </w:rPr>
        <w:t xml:space="preserve"> B, </w:t>
      </w:r>
      <w:proofErr w:type="spellStart"/>
      <w:r w:rsidRPr="00E126EF">
        <w:rPr>
          <w:rFonts w:eastAsiaTheme="minorHAnsi" w:cstheme="minorBidi"/>
          <w:szCs w:val="22"/>
        </w:rPr>
        <w:t>Laakso</w:t>
      </w:r>
      <w:proofErr w:type="spellEnd"/>
      <w:r w:rsidRPr="00E126EF">
        <w:rPr>
          <w:rFonts w:eastAsiaTheme="minorHAnsi" w:cstheme="minorBidi"/>
          <w:szCs w:val="22"/>
        </w:rPr>
        <w:t xml:space="preserve"> M, </w:t>
      </w:r>
      <w:proofErr w:type="spellStart"/>
      <w:r w:rsidRPr="00E126EF">
        <w:rPr>
          <w:rFonts w:eastAsiaTheme="minorHAnsi" w:cstheme="minorBidi"/>
          <w:szCs w:val="22"/>
        </w:rPr>
        <w:t>Pihlajamaa</w:t>
      </w:r>
      <w:proofErr w:type="spellEnd"/>
      <w:r w:rsidRPr="00E126EF">
        <w:rPr>
          <w:rFonts w:eastAsiaTheme="minorHAnsi" w:cstheme="minorBidi"/>
          <w:szCs w:val="22"/>
        </w:rPr>
        <w:t xml:space="preserve"> P, </w:t>
      </w:r>
      <w:proofErr w:type="spellStart"/>
      <w:r w:rsidRPr="00E126EF">
        <w:rPr>
          <w:rFonts w:eastAsiaTheme="minorHAnsi" w:cstheme="minorBidi"/>
          <w:szCs w:val="22"/>
        </w:rPr>
        <w:t>Ovaska</w:t>
      </w:r>
      <w:proofErr w:type="spellEnd"/>
      <w:r w:rsidRPr="00E126EF">
        <w:rPr>
          <w:rFonts w:eastAsiaTheme="minorHAnsi" w:cstheme="minorBidi"/>
          <w:szCs w:val="22"/>
        </w:rPr>
        <w:t xml:space="preserve"> K, </w:t>
      </w:r>
      <w:proofErr w:type="spellStart"/>
      <w:r w:rsidRPr="00E126EF">
        <w:rPr>
          <w:rFonts w:eastAsiaTheme="minorHAnsi" w:cstheme="minorBidi"/>
          <w:szCs w:val="22"/>
        </w:rPr>
        <w:t>Sinielnikov</w:t>
      </w:r>
      <w:proofErr w:type="spellEnd"/>
      <w:r w:rsidRPr="00E126EF">
        <w:rPr>
          <w:rFonts w:eastAsiaTheme="minorHAnsi" w:cstheme="minorBidi"/>
          <w:szCs w:val="22"/>
        </w:rPr>
        <w:t xml:space="preserve"> I, </w:t>
      </w:r>
      <w:proofErr w:type="spellStart"/>
      <w:r w:rsidRPr="00E126EF">
        <w:rPr>
          <w:rFonts w:eastAsiaTheme="minorHAnsi" w:cstheme="minorBidi"/>
          <w:szCs w:val="22"/>
        </w:rPr>
        <w:t>Hautaniemi</w:t>
      </w:r>
      <w:proofErr w:type="spellEnd"/>
      <w:r w:rsidRPr="00E126EF">
        <w:rPr>
          <w:rFonts w:eastAsiaTheme="minorHAnsi" w:cstheme="minorBidi"/>
          <w:szCs w:val="22"/>
        </w:rPr>
        <w:t xml:space="preserve"> S, </w:t>
      </w:r>
      <w:proofErr w:type="spellStart"/>
      <w:r w:rsidRPr="00E126EF">
        <w:rPr>
          <w:rFonts w:eastAsiaTheme="minorHAnsi" w:cstheme="minorBidi"/>
          <w:szCs w:val="22"/>
        </w:rPr>
        <w:t>Janne</w:t>
      </w:r>
      <w:proofErr w:type="spellEnd"/>
      <w:r w:rsidRPr="00E126EF">
        <w:rPr>
          <w:rFonts w:eastAsiaTheme="minorHAnsi" w:cstheme="minorBidi"/>
          <w:szCs w:val="22"/>
        </w:rPr>
        <w:t xml:space="preserve"> OA. FoxA1 specifies unique androgen and glucocorticoid receptor binding events in prostate cancer cells. Cancer Res 2013; 73:1570-1580</w:t>
      </w:r>
    </w:p>
    <w:p w14:paraId="773433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184.</w:t>
      </w:r>
      <w:r w:rsidRPr="00E126EF">
        <w:rPr>
          <w:rFonts w:eastAsiaTheme="minorHAnsi" w:cstheme="minorBidi"/>
          <w:szCs w:val="22"/>
        </w:rPr>
        <w:tab/>
      </w:r>
      <w:proofErr w:type="spellStart"/>
      <w:r w:rsidRPr="00E126EF">
        <w:rPr>
          <w:rFonts w:eastAsiaTheme="minorHAnsi" w:cstheme="minorBidi"/>
          <w:szCs w:val="22"/>
        </w:rPr>
        <w:t>Wiench</w:t>
      </w:r>
      <w:proofErr w:type="spellEnd"/>
      <w:r w:rsidRPr="00E126EF">
        <w:rPr>
          <w:rFonts w:eastAsiaTheme="minorHAnsi" w:cstheme="minorBidi"/>
          <w:szCs w:val="22"/>
        </w:rPr>
        <w:t xml:space="preserve"> M, John S, </w:t>
      </w:r>
      <w:proofErr w:type="spellStart"/>
      <w:r w:rsidRPr="00E126EF">
        <w:rPr>
          <w:rFonts w:eastAsiaTheme="minorHAnsi" w:cstheme="minorBidi"/>
          <w:szCs w:val="22"/>
        </w:rPr>
        <w:t>Baek</w:t>
      </w:r>
      <w:proofErr w:type="spellEnd"/>
      <w:r w:rsidRPr="00E126EF">
        <w:rPr>
          <w:rFonts w:eastAsiaTheme="minorHAnsi" w:cstheme="minorBidi"/>
          <w:szCs w:val="22"/>
        </w:rPr>
        <w:t xml:space="preserve"> S, Johnson TA, Sung MH, Escobar T, Simmons CA, Pearce KH, </w:t>
      </w:r>
      <w:proofErr w:type="spellStart"/>
      <w:r w:rsidRPr="00E126EF">
        <w:rPr>
          <w:rFonts w:eastAsiaTheme="minorHAnsi" w:cstheme="minorBidi"/>
          <w:szCs w:val="22"/>
        </w:rPr>
        <w:t>Biddie</w:t>
      </w:r>
      <w:proofErr w:type="spellEnd"/>
      <w:r w:rsidRPr="00E126EF">
        <w:rPr>
          <w:rFonts w:eastAsiaTheme="minorHAnsi" w:cstheme="minorBidi"/>
          <w:szCs w:val="22"/>
        </w:rPr>
        <w:t xml:space="preserve"> SC, Sabo PJ, Thurman RE, </w:t>
      </w:r>
      <w:proofErr w:type="spellStart"/>
      <w:r w:rsidRPr="00E126EF">
        <w:rPr>
          <w:rFonts w:eastAsiaTheme="minorHAnsi" w:cstheme="minorBidi"/>
          <w:szCs w:val="22"/>
        </w:rPr>
        <w:t>Stamatoyannopoulos</w:t>
      </w:r>
      <w:proofErr w:type="spellEnd"/>
      <w:r w:rsidRPr="00E126EF">
        <w:rPr>
          <w:rFonts w:eastAsiaTheme="minorHAnsi" w:cstheme="minorBidi"/>
          <w:szCs w:val="22"/>
        </w:rPr>
        <w:t xml:space="preserve"> JA, Hager GL. DNA methylation status predicts cell type-specific enhancer activity. EMBO J 2011; 30:3028-3039</w:t>
      </w:r>
    </w:p>
    <w:p w14:paraId="28B5B89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185.</w:t>
      </w:r>
      <w:r w:rsidRPr="00E126EF">
        <w:rPr>
          <w:rFonts w:eastAsiaTheme="minorHAnsi" w:cstheme="minorBidi"/>
          <w:szCs w:val="22"/>
        </w:rPr>
        <w:tab/>
      </w:r>
      <w:proofErr w:type="spellStart"/>
      <w:r w:rsidRPr="00E126EF">
        <w:rPr>
          <w:rFonts w:eastAsiaTheme="minorHAnsi" w:cstheme="minorBidi"/>
          <w:szCs w:val="22"/>
        </w:rPr>
        <w:t>Swinstead</w:t>
      </w:r>
      <w:proofErr w:type="spellEnd"/>
      <w:r w:rsidRPr="00E126EF">
        <w:rPr>
          <w:rFonts w:eastAsiaTheme="minorHAnsi" w:cstheme="minorBidi"/>
          <w:szCs w:val="22"/>
        </w:rPr>
        <w:t xml:space="preserve"> EE, Miranda TB, </w:t>
      </w:r>
      <w:proofErr w:type="spellStart"/>
      <w:r w:rsidRPr="00E126EF">
        <w:rPr>
          <w:rFonts w:eastAsiaTheme="minorHAnsi" w:cstheme="minorBidi"/>
          <w:szCs w:val="22"/>
        </w:rPr>
        <w:t>Paakinaho</w:t>
      </w:r>
      <w:proofErr w:type="spellEnd"/>
      <w:r w:rsidRPr="00E126EF">
        <w:rPr>
          <w:rFonts w:eastAsiaTheme="minorHAnsi" w:cstheme="minorBidi"/>
          <w:szCs w:val="22"/>
        </w:rPr>
        <w:t xml:space="preserve"> V, </w:t>
      </w:r>
      <w:proofErr w:type="spellStart"/>
      <w:r w:rsidRPr="00E126EF">
        <w:rPr>
          <w:rFonts w:eastAsiaTheme="minorHAnsi" w:cstheme="minorBidi"/>
          <w:szCs w:val="22"/>
        </w:rPr>
        <w:t>Baek</w:t>
      </w:r>
      <w:proofErr w:type="spellEnd"/>
      <w:r w:rsidRPr="00E126EF">
        <w:rPr>
          <w:rFonts w:eastAsiaTheme="minorHAnsi" w:cstheme="minorBidi"/>
          <w:szCs w:val="22"/>
        </w:rPr>
        <w:t xml:space="preserve"> S, Goldstein I, Hawkins M, </w:t>
      </w:r>
      <w:proofErr w:type="spellStart"/>
      <w:r w:rsidRPr="00E126EF">
        <w:rPr>
          <w:rFonts w:eastAsiaTheme="minorHAnsi" w:cstheme="minorBidi"/>
          <w:szCs w:val="22"/>
        </w:rPr>
        <w:t>Karpova</w:t>
      </w:r>
      <w:proofErr w:type="spellEnd"/>
      <w:r w:rsidRPr="00E126EF">
        <w:rPr>
          <w:rFonts w:eastAsiaTheme="minorHAnsi" w:cstheme="minorBidi"/>
          <w:szCs w:val="22"/>
        </w:rPr>
        <w:t xml:space="preserve"> TS, Ball D, Mazza D, </w:t>
      </w:r>
      <w:proofErr w:type="spellStart"/>
      <w:r w:rsidRPr="00E126EF">
        <w:rPr>
          <w:rFonts w:eastAsiaTheme="minorHAnsi" w:cstheme="minorBidi"/>
          <w:szCs w:val="22"/>
        </w:rPr>
        <w:t>Lavis</w:t>
      </w:r>
      <w:proofErr w:type="spellEnd"/>
      <w:r w:rsidRPr="00E126EF">
        <w:rPr>
          <w:rFonts w:eastAsiaTheme="minorHAnsi" w:cstheme="minorBidi"/>
          <w:szCs w:val="22"/>
        </w:rPr>
        <w:t xml:space="preserve"> LD, Grimm JB, </w:t>
      </w:r>
      <w:proofErr w:type="spellStart"/>
      <w:r w:rsidRPr="00E126EF">
        <w:rPr>
          <w:rFonts w:eastAsiaTheme="minorHAnsi" w:cstheme="minorBidi"/>
          <w:szCs w:val="22"/>
        </w:rPr>
        <w:t>Morisaki</w:t>
      </w:r>
      <w:proofErr w:type="spellEnd"/>
      <w:r w:rsidRPr="00E126EF">
        <w:rPr>
          <w:rFonts w:eastAsiaTheme="minorHAnsi" w:cstheme="minorBidi"/>
          <w:szCs w:val="22"/>
        </w:rPr>
        <w:t xml:space="preserve"> T, </w:t>
      </w:r>
      <w:proofErr w:type="spellStart"/>
      <w:r w:rsidRPr="00E126EF">
        <w:rPr>
          <w:rFonts w:eastAsiaTheme="minorHAnsi" w:cstheme="minorBidi"/>
          <w:szCs w:val="22"/>
        </w:rPr>
        <w:t>Grontved</w:t>
      </w:r>
      <w:proofErr w:type="spellEnd"/>
      <w:r w:rsidRPr="00E126EF">
        <w:rPr>
          <w:rFonts w:eastAsiaTheme="minorHAnsi" w:cstheme="minorBidi"/>
          <w:szCs w:val="22"/>
        </w:rPr>
        <w:t xml:space="preserve"> L, </w:t>
      </w:r>
      <w:proofErr w:type="spellStart"/>
      <w:r w:rsidRPr="00E126EF">
        <w:rPr>
          <w:rFonts w:eastAsiaTheme="minorHAnsi" w:cstheme="minorBidi"/>
          <w:szCs w:val="22"/>
        </w:rPr>
        <w:t>Presman</w:t>
      </w:r>
      <w:proofErr w:type="spellEnd"/>
      <w:r w:rsidRPr="00E126EF">
        <w:rPr>
          <w:rFonts w:eastAsiaTheme="minorHAnsi" w:cstheme="minorBidi"/>
          <w:szCs w:val="22"/>
        </w:rPr>
        <w:t xml:space="preserve"> DM, Hager GL. Steroid Receptors Reprogram FoxA1 Occupancy through Dynamic Chromatin Transitions. Cell 2016; 165:593-605</w:t>
      </w:r>
    </w:p>
    <w:p w14:paraId="5E76571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186.</w:t>
      </w:r>
      <w:r w:rsidRPr="00E126EF">
        <w:rPr>
          <w:rFonts w:eastAsiaTheme="minorHAnsi" w:cstheme="minorBidi"/>
          <w:szCs w:val="22"/>
        </w:rPr>
        <w:tab/>
      </w:r>
      <w:proofErr w:type="spellStart"/>
      <w:r w:rsidRPr="00E126EF">
        <w:rPr>
          <w:rFonts w:eastAsiaTheme="minorHAnsi" w:cstheme="minorBidi"/>
          <w:szCs w:val="22"/>
        </w:rPr>
        <w:t>Maranville</w:t>
      </w:r>
      <w:proofErr w:type="spellEnd"/>
      <w:r w:rsidRPr="00E126EF">
        <w:rPr>
          <w:rFonts w:eastAsiaTheme="minorHAnsi" w:cstheme="minorBidi"/>
          <w:szCs w:val="22"/>
        </w:rPr>
        <w:t xml:space="preserve"> JC, Luca F, Richards AL, Wen X, </w:t>
      </w:r>
      <w:proofErr w:type="spellStart"/>
      <w:r w:rsidRPr="00E126EF">
        <w:rPr>
          <w:rFonts w:eastAsiaTheme="minorHAnsi" w:cstheme="minorBidi"/>
          <w:szCs w:val="22"/>
        </w:rPr>
        <w:t>Witonsky</w:t>
      </w:r>
      <w:proofErr w:type="spellEnd"/>
      <w:r w:rsidRPr="00E126EF">
        <w:rPr>
          <w:rFonts w:eastAsiaTheme="minorHAnsi" w:cstheme="minorBidi"/>
          <w:szCs w:val="22"/>
        </w:rPr>
        <w:t xml:space="preserve"> DB, Baxter S, Stephens M, Di </w:t>
      </w:r>
      <w:proofErr w:type="spellStart"/>
      <w:r w:rsidRPr="00E126EF">
        <w:rPr>
          <w:rFonts w:eastAsiaTheme="minorHAnsi" w:cstheme="minorBidi"/>
          <w:szCs w:val="22"/>
        </w:rPr>
        <w:t>Rienzo</w:t>
      </w:r>
      <w:proofErr w:type="spellEnd"/>
      <w:r w:rsidRPr="00E126EF">
        <w:rPr>
          <w:rFonts w:eastAsiaTheme="minorHAnsi" w:cstheme="minorBidi"/>
          <w:szCs w:val="22"/>
        </w:rPr>
        <w:t xml:space="preserve"> A. Interactions between glucocorticoid treatment and cis-regulatory polymorphisms contribute to cellular response phenotypes. </w:t>
      </w:r>
      <w:proofErr w:type="spellStart"/>
      <w:r w:rsidRPr="00E126EF">
        <w:rPr>
          <w:rFonts w:eastAsiaTheme="minorHAnsi" w:cstheme="minorBidi"/>
          <w:szCs w:val="22"/>
        </w:rPr>
        <w:t>PLoS</w:t>
      </w:r>
      <w:proofErr w:type="spellEnd"/>
      <w:r w:rsidRPr="00E126EF">
        <w:rPr>
          <w:rFonts w:eastAsiaTheme="minorHAnsi" w:cstheme="minorBidi"/>
          <w:szCs w:val="22"/>
        </w:rPr>
        <w:t xml:space="preserve"> Genet 2011; </w:t>
      </w:r>
      <w:proofErr w:type="gramStart"/>
      <w:r w:rsidRPr="00E126EF">
        <w:rPr>
          <w:rFonts w:eastAsiaTheme="minorHAnsi" w:cstheme="minorBidi"/>
          <w:szCs w:val="22"/>
        </w:rPr>
        <w:t>7:e</w:t>
      </w:r>
      <w:proofErr w:type="gramEnd"/>
      <w:r w:rsidRPr="00E126EF">
        <w:rPr>
          <w:rFonts w:eastAsiaTheme="minorHAnsi" w:cstheme="minorBidi"/>
          <w:szCs w:val="22"/>
        </w:rPr>
        <w:t>1002162</w:t>
      </w:r>
    </w:p>
    <w:p w14:paraId="7CF7BA9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187.</w:t>
      </w:r>
      <w:r w:rsidRPr="00E126EF">
        <w:rPr>
          <w:rFonts w:eastAsiaTheme="minorHAnsi" w:cstheme="minorBidi"/>
          <w:szCs w:val="22"/>
        </w:rPr>
        <w:tab/>
      </w:r>
      <w:proofErr w:type="spellStart"/>
      <w:r w:rsidRPr="00E126EF">
        <w:rPr>
          <w:rFonts w:eastAsiaTheme="minorHAnsi" w:cstheme="minorBidi"/>
          <w:szCs w:val="22"/>
        </w:rPr>
        <w:t>Maurano</w:t>
      </w:r>
      <w:proofErr w:type="spellEnd"/>
      <w:r w:rsidRPr="00E126EF">
        <w:rPr>
          <w:rFonts w:eastAsiaTheme="minorHAnsi" w:cstheme="minorBidi"/>
          <w:szCs w:val="22"/>
        </w:rPr>
        <w:t xml:space="preserve"> MT, Humbert R, </w:t>
      </w:r>
      <w:proofErr w:type="spellStart"/>
      <w:r w:rsidRPr="00E126EF">
        <w:rPr>
          <w:rFonts w:eastAsiaTheme="minorHAnsi" w:cstheme="minorBidi"/>
          <w:szCs w:val="22"/>
        </w:rPr>
        <w:t>Rynes</w:t>
      </w:r>
      <w:proofErr w:type="spellEnd"/>
      <w:r w:rsidRPr="00E126EF">
        <w:rPr>
          <w:rFonts w:eastAsiaTheme="minorHAnsi" w:cstheme="minorBidi"/>
          <w:szCs w:val="22"/>
        </w:rPr>
        <w:t xml:space="preserve"> E, Thurman RE, Haugen E, Wang H, Reynolds AP, Sandstrom R, Qu H, Brody J, Shafer A, </w:t>
      </w:r>
      <w:proofErr w:type="spellStart"/>
      <w:r w:rsidRPr="00E126EF">
        <w:rPr>
          <w:rFonts w:eastAsiaTheme="minorHAnsi" w:cstheme="minorBidi"/>
          <w:szCs w:val="22"/>
        </w:rPr>
        <w:t>Neri</w:t>
      </w:r>
      <w:proofErr w:type="spellEnd"/>
      <w:r w:rsidRPr="00E126EF">
        <w:rPr>
          <w:rFonts w:eastAsiaTheme="minorHAnsi" w:cstheme="minorBidi"/>
          <w:szCs w:val="22"/>
        </w:rPr>
        <w:t xml:space="preserve"> F, Lee K, </w:t>
      </w:r>
      <w:proofErr w:type="spellStart"/>
      <w:r w:rsidRPr="00E126EF">
        <w:rPr>
          <w:rFonts w:eastAsiaTheme="minorHAnsi" w:cstheme="minorBidi"/>
          <w:szCs w:val="22"/>
        </w:rPr>
        <w:t>Kutyavin</w:t>
      </w:r>
      <w:proofErr w:type="spellEnd"/>
      <w:r w:rsidRPr="00E126EF">
        <w:rPr>
          <w:rFonts w:eastAsiaTheme="minorHAnsi" w:cstheme="minorBidi"/>
          <w:szCs w:val="22"/>
        </w:rPr>
        <w:t xml:space="preserve"> T, </w:t>
      </w:r>
      <w:proofErr w:type="spellStart"/>
      <w:r w:rsidRPr="00E126EF">
        <w:rPr>
          <w:rFonts w:eastAsiaTheme="minorHAnsi" w:cstheme="minorBidi"/>
          <w:szCs w:val="22"/>
        </w:rPr>
        <w:t>Stehling</w:t>
      </w:r>
      <w:proofErr w:type="spellEnd"/>
      <w:r w:rsidRPr="00E126EF">
        <w:rPr>
          <w:rFonts w:eastAsiaTheme="minorHAnsi" w:cstheme="minorBidi"/>
          <w:szCs w:val="22"/>
        </w:rPr>
        <w:t xml:space="preserve">-Sun S, Johnson AK, Canfield TK, </w:t>
      </w:r>
      <w:proofErr w:type="spellStart"/>
      <w:r w:rsidRPr="00E126EF">
        <w:rPr>
          <w:rFonts w:eastAsiaTheme="minorHAnsi" w:cstheme="minorBidi"/>
          <w:szCs w:val="22"/>
        </w:rPr>
        <w:t>Giste</w:t>
      </w:r>
      <w:proofErr w:type="spellEnd"/>
      <w:r w:rsidRPr="00E126EF">
        <w:rPr>
          <w:rFonts w:eastAsiaTheme="minorHAnsi" w:cstheme="minorBidi"/>
          <w:szCs w:val="22"/>
        </w:rPr>
        <w:t xml:space="preserve"> E, </w:t>
      </w:r>
      <w:proofErr w:type="spellStart"/>
      <w:r w:rsidRPr="00E126EF">
        <w:rPr>
          <w:rFonts w:eastAsiaTheme="minorHAnsi" w:cstheme="minorBidi"/>
          <w:szCs w:val="22"/>
        </w:rPr>
        <w:t>Diegel</w:t>
      </w:r>
      <w:proofErr w:type="spellEnd"/>
      <w:r w:rsidRPr="00E126EF">
        <w:rPr>
          <w:rFonts w:eastAsiaTheme="minorHAnsi" w:cstheme="minorBidi"/>
          <w:szCs w:val="22"/>
        </w:rPr>
        <w:t xml:space="preserve"> M, Bates D, Hansen RS, </w:t>
      </w:r>
      <w:proofErr w:type="spellStart"/>
      <w:r w:rsidRPr="00E126EF">
        <w:rPr>
          <w:rFonts w:eastAsiaTheme="minorHAnsi" w:cstheme="minorBidi"/>
          <w:szCs w:val="22"/>
        </w:rPr>
        <w:t>Neph</w:t>
      </w:r>
      <w:proofErr w:type="spellEnd"/>
      <w:r w:rsidRPr="00E126EF">
        <w:rPr>
          <w:rFonts w:eastAsiaTheme="minorHAnsi" w:cstheme="minorBidi"/>
          <w:szCs w:val="22"/>
        </w:rPr>
        <w:t xml:space="preserve"> S, Sabo PJ, </w:t>
      </w:r>
      <w:proofErr w:type="spellStart"/>
      <w:r w:rsidRPr="00E126EF">
        <w:rPr>
          <w:rFonts w:eastAsiaTheme="minorHAnsi" w:cstheme="minorBidi"/>
          <w:szCs w:val="22"/>
        </w:rPr>
        <w:t>Heimfeld</w:t>
      </w:r>
      <w:proofErr w:type="spellEnd"/>
      <w:r w:rsidRPr="00E126EF">
        <w:rPr>
          <w:rFonts w:eastAsiaTheme="minorHAnsi" w:cstheme="minorBidi"/>
          <w:szCs w:val="22"/>
        </w:rPr>
        <w:t xml:space="preserve"> S, </w:t>
      </w:r>
      <w:proofErr w:type="spellStart"/>
      <w:r w:rsidRPr="00E126EF">
        <w:rPr>
          <w:rFonts w:eastAsiaTheme="minorHAnsi" w:cstheme="minorBidi"/>
          <w:szCs w:val="22"/>
        </w:rPr>
        <w:t>Raubitschek</w:t>
      </w:r>
      <w:proofErr w:type="spellEnd"/>
      <w:r w:rsidRPr="00E126EF">
        <w:rPr>
          <w:rFonts w:eastAsiaTheme="minorHAnsi" w:cstheme="minorBidi"/>
          <w:szCs w:val="22"/>
        </w:rPr>
        <w:t xml:space="preserve"> A, Ziegler S, </w:t>
      </w:r>
      <w:proofErr w:type="spellStart"/>
      <w:r w:rsidRPr="00E126EF">
        <w:rPr>
          <w:rFonts w:eastAsiaTheme="minorHAnsi" w:cstheme="minorBidi"/>
          <w:szCs w:val="22"/>
        </w:rPr>
        <w:t>Cotsapas</w:t>
      </w:r>
      <w:proofErr w:type="spellEnd"/>
      <w:r w:rsidRPr="00E126EF">
        <w:rPr>
          <w:rFonts w:eastAsiaTheme="minorHAnsi" w:cstheme="minorBidi"/>
          <w:szCs w:val="22"/>
        </w:rPr>
        <w:t xml:space="preserve"> C, </w:t>
      </w:r>
      <w:proofErr w:type="spellStart"/>
      <w:r w:rsidRPr="00E126EF">
        <w:rPr>
          <w:rFonts w:eastAsiaTheme="minorHAnsi" w:cstheme="minorBidi"/>
          <w:szCs w:val="22"/>
        </w:rPr>
        <w:t>Sotoodehnia</w:t>
      </w:r>
      <w:proofErr w:type="spellEnd"/>
      <w:r w:rsidRPr="00E126EF">
        <w:rPr>
          <w:rFonts w:eastAsiaTheme="minorHAnsi" w:cstheme="minorBidi"/>
          <w:szCs w:val="22"/>
        </w:rPr>
        <w:t xml:space="preserve"> N, Glass I, </w:t>
      </w:r>
      <w:proofErr w:type="spellStart"/>
      <w:r w:rsidRPr="00E126EF">
        <w:rPr>
          <w:rFonts w:eastAsiaTheme="minorHAnsi" w:cstheme="minorBidi"/>
          <w:szCs w:val="22"/>
        </w:rPr>
        <w:t>Sunyaev</w:t>
      </w:r>
      <w:proofErr w:type="spellEnd"/>
      <w:r w:rsidRPr="00E126EF">
        <w:rPr>
          <w:rFonts w:eastAsiaTheme="minorHAnsi" w:cstheme="minorBidi"/>
          <w:szCs w:val="22"/>
        </w:rPr>
        <w:t xml:space="preserve"> SR, Kaul R, </w:t>
      </w:r>
      <w:proofErr w:type="spellStart"/>
      <w:r w:rsidRPr="00E126EF">
        <w:rPr>
          <w:rFonts w:eastAsiaTheme="minorHAnsi" w:cstheme="minorBidi"/>
          <w:szCs w:val="22"/>
        </w:rPr>
        <w:t>Stamatoyannopoulos</w:t>
      </w:r>
      <w:proofErr w:type="spellEnd"/>
      <w:r w:rsidRPr="00E126EF">
        <w:rPr>
          <w:rFonts w:eastAsiaTheme="minorHAnsi" w:cstheme="minorBidi"/>
          <w:szCs w:val="22"/>
        </w:rPr>
        <w:t xml:space="preserve"> JA. Systematic localization of common disease-associated variation in regulatory DNA. Science 2012; 337:1190-1195</w:t>
      </w:r>
    </w:p>
    <w:p w14:paraId="46BEE7C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188.</w:t>
      </w:r>
      <w:r w:rsidRPr="00E126EF">
        <w:rPr>
          <w:rFonts w:eastAsiaTheme="minorHAnsi" w:cstheme="minorBidi"/>
          <w:szCs w:val="22"/>
        </w:rPr>
        <w:tab/>
      </w:r>
      <w:proofErr w:type="spellStart"/>
      <w:r w:rsidRPr="00E126EF">
        <w:rPr>
          <w:rFonts w:eastAsiaTheme="minorHAnsi" w:cstheme="minorBidi"/>
          <w:szCs w:val="22"/>
        </w:rPr>
        <w:t>Kellendonk</w:t>
      </w:r>
      <w:proofErr w:type="spellEnd"/>
      <w:r w:rsidRPr="00E126EF">
        <w:rPr>
          <w:rFonts w:eastAsiaTheme="minorHAnsi" w:cstheme="minorBidi"/>
          <w:szCs w:val="22"/>
        </w:rPr>
        <w:t xml:space="preserve"> C, </w:t>
      </w:r>
      <w:proofErr w:type="spellStart"/>
      <w:r w:rsidRPr="00E126EF">
        <w:rPr>
          <w:rFonts w:eastAsiaTheme="minorHAnsi" w:cstheme="minorBidi"/>
          <w:szCs w:val="22"/>
        </w:rPr>
        <w:t>Tronche</w:t>
      </w:r>
      <w:proofErr w:type="spellEnd"/>
      <w:r w:rsidRPr="00E126EF">
        <w:rPr>
          <w:rFonts w:eastAsiaTheme="minorHAnsi" w:cstheme="minorBidi"/>
          <w:szCs w:val="22"/>
        </w:rPr>
        <w:t xml:space="preserve"> F, Reichardt HM, Bauer A, Greiner E, Schmid W, Schutz G. Analysis of glucocorticoid receptor function in the mouse by gene targeting. Ernst Schering Res Found Workshop 2002:305-318</w:t>
      </w:r>
    </w:p>
    <w:p w14:paraId="24CEE04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189.</w:t>
      </w:r>
      <w:r w:rsidRPr="00E126EF">
        <w:rPr>
          <w:rFonts w:eastAsiaTheme="minorHAnsi" w:cstheme="minorBidi"/>
          <w:szCs w:val="22"/>
        </w:rPr>
        <w:tab/>
        <w:t xml:space="preserve">Bauer A, </w:t>
      </w:r>
      <w:proofErr w:type="spellStart"/>
      <w:r w:rsidRPr="00E126EF">
        <w:rPr>
          <w:rFonts w:eastAsiaTheme="minorHAnsi" w:cstheme="minorBidi"/>
          <w:szCs w:val="22"/>
        </w:rPr>
        <w:t>Tronche</w:t>
      </w:r>
      <w:proofErr w:type="spellEnd"/>
      <w:r w:rsidRPr="00E126EF">
        <w:rPr>
          <w:rFonts w:eastAsiaTheme="minorHAnsi" w:cstheme="minorBidi"/>
          <w:szCs w:val="22"/>
        </w:rPr>
        <w:t xml:space="preserve"> F, </w:t>
      </w:r>
      <w:proofErr w:type="spellStart"/>
      <w:r w:rsidRPr="00E126EF">
        <w:rPr>
          <w:rFonts w:eastAsiaTheme="minorHAnsi" w:cstheme="minorBidi"/>
          <w:szCs w:val="22"/>
        </w:rPr>
        <w:t>Wessely</w:t>
      </w:r>
      <w:proofErr w:type="spellEnd"/>
      <w:r w:rsidRPr="00E126EF">
        <w:rPr>
          <w:rFonts w:eastAsiaTheme="minorHAnsi" w:cstheme="minorBidi"/>
          <w:szCs w:val="22"/>
        </w:rPr>
        <w:t xml:space="preserve"> O, </w:t>
      </w:r>
      <w:proofErr w:type="spellStart"/>
      <w:r w:rsidRPr="00E126EF">
        <w:rPr>
          <w:rFonts w:eastAsiaTheme="minorHAnsi" w:cstheme="minorBidi"/>
          <w:szCs w:val="22"/>
        </w:rPr>
        <w:t>Kellendonk</w:t>
      </w:r>
      <w:proofErr w:type="spellEnd"/>
      <w:r w:rsidRPr="00E126EF">
        <w:rPr>
          <w:rFonts w:eastAsiaTheme="minorHAnsi" w:cstheme="minorBidi"/>
          <w:szCs w:val="22"/>
        </w:rPr>
        <w:t xml:space="preserve"> C, Reichardt HM, </w:t>
      </w:r>
      <w:proofErr w:type="spellStart"/>
      <w:r w:rsidRPr="00E126EF">
        <w:rPr>
          <w:rFonts w:eastAsiaTheme="minorHAnsi" w:cstheme="minorBidi"/>
          <w:szCs w:val="22"/>
        </w:rPr>
        <w:t>Steinlein</w:t>
      </w:r>
      <w:proofErr w:type="spellEnd"/>
      <w:r w:rsidRPr="00E126EF">
        <w:rPr>
          <w:rFonts w:eastAsiaTheme="minorHAnsi" w:cstheme="minorBidi"/>
          <w:szCs w:val="22"/>
        </w:rPr>
        <w:t xml:space="preserve"> P, Schutz G, </w:t>
      </w:r>
      <w:proofErr w:type="spellStart"/>
      <w:r w:rsidRPr="00E126EF">
        <w:rPr>
          <w:rFonts w:eastAsiaTheme="minorHAnsi" w:cstheme="minorBidi"/>
          <w:szCs w:val="22"/>
        </w:rPr>
        <w:t>Beug</w:t>
      </w:r>
      <w:proofErr w:type="spellEnd"/>
      <w:r w:rsidRPr="00E126EF">
        <w:rPr>
          <w:rFonts w:eastAsiaTheme="minorHAnsi" w:cstheme="minorBidi"/>
          <w:szCs w:val="22"/>
        </w:rPr>
        <w:t xml:space="preserve"> H. The glucocorticoid receptor is required for stress erythropoiesis. Genes Dev 1999; 13:2996-3002</w:t>
      </w:r>
    </w:p>
    <w:p w14:paraId="2F7E46C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190.</w:t>
      </w:r>
      <w:r w:rsidRPr="00E126EF">
        <w:rPr>
          <w:rFonts w:eastAsiaTheme="minorHAnsi" w:cstheme="minorBidi"/>
          <w:szCs w:val="22"/>
        </w:rPr>
        <w:tab/>
      </w:r>
      <w:proofErr w:type="spellStart"/>
      <w:r w:rsidRPr="00E126EF">
        <w:rPr>
          <w:rFonts w:eastAsiaTheme="minorHAnsi" w:cstheme="minorBidi"/>
          <w:szCs w:val="22"/>
        </w:rPr>
        <w:t>Opherk</w:t>
      </w:r>
      <w:proofErr w:type="spellEnd"/>
      <w:r w:rsidRPr="00E126EF">
        <w:rPr>
          <w:rFonts w:eastAsiaTheme="minorHAnsi" w:cstheme="minorBidi"/>
          <w:szCs w:val="22"/>
        </w:rPr>
        <w:t xml:space="preserve"> C, </w:t>
      </w:r>
      <w:proofErr w:type="spellStart"/>
      <w:r w:rsidRPr="00E126EF">
        <w:rPr>
          <w:rFonts w:eastAsiaTheme="minorHAnsi" w:cstheme="minorBidi"/>
          <w:szCs w:val="22"/>
        </w:rPr>
        <w:t>Tronche</w:t>
      </w:r>
      <w:proofErr w:type="spellEnd"/>
      <w:r w:rsidRPr="00E126EF">
        <w:rPr>
          <w:rFonts w:eastAsiaTheme="minorHAnsi" w:cstheme="minorBidi"/>
          <w:szCs w:val="22"/>
        </w:rPr>
        <w:t xml:space="preserve"> F, </w:t>
      </w:r>
      <w:proofErr w:type="spellStart"/>
      <w:r w:rsidRPr="00E126EF">
        <w:rPr>
          <w:rFonts w:eastAsiaTheme="minorHAnsi" w:cstheme="minorBidi"/>
          <w:szCs w:val="22"/>
        </w:rPr>
        <w:t>Kellendonk</w:t>
      </w:r>
      <w:proofErr w:type="spellEnd"/>
      <w:r w:rsidRPr="00E126EF">
        <w:rPr>
          <w:rFonts w:eastAsiaTheme="minorHAnsi" w:cstheme="minorBidi"/>
          <w:szCs w:val="22"/>
        </w:rPr>
        <w:t xml:space="preserve"> C, </w:t>
      </w:r>
      <w:proofErr w:type="spellStart"/>
      <w:r w:rsidRPr="00E126EF">
        <w:rPr>
          <w:rFonts w:eastAsiaTheme="minorHAnsi" w:cstheme="minorBidi"/>
          <w:szCs w:val="22"/>
        </w:rPr>
        <w:t>Kohlmuller</w:t>
      </w:r>
      <w:proofErr w:type="spellEnd"/>
      <w:r w:rsidRPr="00E126EF">
        <w:rPr>
          <w:rFonts w:eastAsiaTheme="minorHAnsi" w:cstheme="minorBidi"/>
          <w:szCs w:val="22"/>
        </w:rPr>
        <w:t xml:space="preserve"> D, Schulze A, Schmid W, Schutz G. Inactivation of the glucocorticoid receptor in hepatocytes leads to fasting hypoglycemia and ameliorates hyperglycemia in streptozotocin-induced diabetes mellitus. Mol Endocrinol 2004; 18:1346-1353</w:t>
      </w:r>
    </w:p>
    <w:p w14:paraId="1A6F05D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191.</w:t>
      </w:r>
      <w:r w:rsidRPr="00E126EF">
        <w:rPr>
          <w:rFonts w:eastAsiaTheme="minorHAnsi" w:cstheme="minorBidi"/>
          <w:szCs w:val="22"/>
        </w:rPr>
        <w:tab/>
        <w:t xml:space="preserve">Boyle MP, Brewer JA, </w:t>
      </w:r>
      <w:proofErr w:type="spellStart"/>
      <w:r w:rsidRPr="00E126EF">
        <w:rPr>
          <w:rFonts w:eastAsiaTheme="minorHAnsi" w:cstheme="minorBidi"/>
          <w:szCs w:val="22"/>
        </w:rPr>
        <w:t>Funatsu</w:t>
      </w:r>
      <w:proofErr w:type="spellEnd"/>
      <w:r w:rsidRPr="00E126EF">
        <w:rPr>
          <w:rFonts w:eastAsiaTheme="minorHAnsi" w:cstheme="minorBidi"/>
          <w:szCs w:val="22"/>
        </w:rPr>
        <w:t xml:space="preserve"> M, Wozniak DF, </w:t>
      </w:r>
      <w:proofErr w:type="spellStart"/>
      <w:r w:rsidRPr="00E126EF">
        <w:rPr>
          <w:rFonts w:eastAsiaTheme="minorHAnsi" w:cstheme="minorBidi"/>
          <w:szCs w:val="22"/>
        </w:rPr>
        <w:t>Tsien</w:t>
      </w:r>
      <w:proofErr w:type="spellEnd"/>
      <w:r w:rsidRPr="00E126EF">
        <w:rPr>
          <w:rFonts w:eastAsiaTheme="minorHAnsi" w:cstheme="minorBidi"/>
          <w:szCs w:val="22"/>
        </w:rPr>
        <w:t xml:space="preserve"> JZ, Izumi Y, Muglia LJ. Acquired deficit of forebrain glucocorticoid receptor produces depression-like changes in adrenal axis regulation and behavior.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2005; 102:473-478</w:t>
      </w:r>
    </w:p>
    <w:p w14:paraId="3040852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192.</w:t>
      </w:r>
      <w:r w:rsidRPr="00E126EF">
        <w:rPr>
          <w:rFonts w:eastAsiaTheme="minorHAnsi" w:cstheme="minorBidi"/>
          <w:szCs w:val="22"/>
        </w:rPr>
        <w:tab/>
        <w:t>Laryea G, Schutz G, Muglia LJ. Disrupting hypothalamic glucocorticoid receptors causes HPA axis hyperactivity and excess adiposity. Mol Endocrinol 2013; 27:1655-1665</w:t>
      </w:r>
    </w:p>
    <w:p w14:paraId="3641779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193.</w:t>
      </w:r>
      <w:r w:rsidRPr="00E126EF">
        <w:rPr>
          <w:rFonts w:eastAsiaTheme="minorHAnsi" w:cstheme="minorBidi"/>
          <w:szCs w:val="22"/>
        </w:rPr>
        <w:tab/>
      </w:r>
      <w:proofErr w:type="spellStart"/>
      <w:r w:rsidRPr="00E126EF">
        <w:rPr>
          <w:rFonts w:eastAsiaTheme="minorHAnsi" w:cstheme="minorBidi"/>
          <w:szCs w:val="22"/>
        </w:rPr>
        <w:t>Chmielarz</w:t>
      </w:r>
      <w:proofErr w:type="spellEnd"/>
      <w:r w:rsidRPr="00E126EF">
        <w:rPr>
          <w:rFonts w:eastAsiaTheme="minorHAnsi" w:cstheme="minorBidi"/>
          <w:szCs w:val="22"/>
        </w:rPr>
        <w:t xml:space="preserve"> P, </w:t>
      </w:r>
      <w:proofErr w:type="spellStart"/>
      <w:r w:rsidRPr="00E126EF">
        <w:rPr>
          <w:rFonts w:eastAsiaTheme="minorHAnsi" w:cstheme="minorBidi"/>
          <w:szCs w:val="22"/>
        </w:rPr>
        <w:t>Kusmierczyk</w:t>
      </w:r>
      <w:proofErr w:type="spellEnd"/>
      <w:r w:rsidRPr="00E126EF">
        <w:rPr>
          <w:rFonts w:eastAsiaTheme="minorHAnsi" w:cstheme="minorBidi"/>
          <w:szCs w:val="22"/>
        </w:rPr>
        <w:t xml:space="preserve"> J, </w:t>
      </w:r>
      <w:proofErr w:type="spellStart"/>
      <w:r w:rsidRPr="00E126EF">
        <w:rPr>
          <w:rFonts w:eastAsiaTheme="minorHAnsi" w:cstheme="minorBidi"/>
          <w:szCs w:val="22"/>
        </w:rPr>
        <w:t>Parlato</w:t>
      </w:r>
      <w:proofErr w:type="spellEnd"/>
      <w:r w:rsidRPr="00E126EF">
        <w:rPr>
          <w:rFonts w:eastAsiaTheme="minorHAnsi" w:cstheme="minorBidi"/>
          <w:szCs w:val="22"/>
        </w:rPr>
        <w:t xml:space="preserve"> R, Schutz G, </w:t>
      </w:r>
      <w:proofErr w:type="spellStart"/>
      <w:r w:rsidRPr="00E126EF">
        <w:rPr>
          <w:rFonts w:eastAsiaTheme="minorHAnsi" w:cstheme="minorBidi"/>
          <w:szCs w:val="22"/>
        </w:rPr>
        <w:t>Nalepa</w:t>
      </w:r>
      <w:proofErr w:type="spellEnd"/>
      <w:r w:rsidRPr="00E126EF">
        <w:rPr>
          <w:rFonts w:eastAsiaTheme="minorHAnsi" w:cstheme="minorBidi"/>
          <w:szCs w:val="22"/>
        </w:rPr>
        <w:t xml:space="preserve"> I, </w:t>
      </w:r>
      <w:proofErr w:type="spellStart"/>
      <w:r w:rsidRPr="00E126EF">
        <w:rPr>
          <w:rFonts w:eastAsiaTheme="minorHAnsi" w:cstheme="minorBidi"/>
          <w:szCs w:val="22"/>
        </w:rPr>
        <w:t>Kreiner</w:t>
      </w:r>
      <w:proofErr w:type="spellEnd"/>
      <w:r w:rsidRPr="00E126EF">
        <w:rPr>
          <w:rFonts w:eastAsiaTheme="minorHAnsi" w:cstheme="minorBidi"/>
          <w:szCs w:val="22"/>
        </w:rPr>
        <w:t xml:space="preserve"> G. Inactivation of glucocorticoid receptor in noradrenergic system influences anxiety- and depressive-like behavior in mice.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2013; </w:t>
      </w:r>
      <w:proofErr w:type="gramStart"/>
      <w:r w:rsidRPr="00E126EF">
        <w:rPr>
          <w:rFonts w:eastAsiaTheme="minorHAnsi" w:cstheme="minorBidi"/>
          <w:szCs w:val="22"/>
        </w:rPr>
        <w:t>8:e</w:t>
      </w:r>
      <w:proofErr w:type="gramEnd"/>
      <w:r w:rsidRPr="00E126EF">
        <w:rPr>
          <w:rFonts w:eastAsiaTheme="minorHAnsi" w:cstheme="minorBidi"/>
          <w:szCs w:val="22"/>
        </w:rPr>
        <w:t>72632</w:t>
      </w:r>
    </w:p>
    <w:p w14:paraId="0895EC2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194.</w:t>
      </w:r>
      <w:r w:rsidRPr="00E126EF">
        <w:rPr>
          <w:rFonts w:eastAsiaTheme="minorHAnsi" w:cstheme="minorBidi"/>
          <w:szCs w:val="22"/>
        </w:rPr>
        <w:tab/>
        <w:t>Rog-</w:t>
      </w:r>
      <w:proofErr w:type="spellStart"/>
      <w:r w:rsidRPr="00E126EF">
        <w:rPr>
          <w:rFonts w:eastAsiaTheme="minorHAnsi" w:cstheme="minorBidi"/>
          <w:szCs w:val="22"/>
        </w:rPr>
        <w:t>Zielinska</w:t>
      </w:r>
      <w:proofErr w:type="spellEnd"/>
      <w:r w:rsidRPr="00E126EF">
        <w:rPr>
          <w:rFonts w:eastAsiaTheme="minorHAnsi" w:cstheme="minorBidi"/>
          <w:szCs w:val="22"/>
        </w:rPr>
        <w:t xml:space="preserve"> EA, Thomson A, Kenyon CJ, Brownstein DG, Moran CM, </w:t>
      </w:r>
      <w:proofErr w:type="spellStart"/>
      <w:r w:rsidRPr="00E126EF">
        <w:rPr>
          <w:rFonts w:eastAsiaTheme="minorHAnsi" w:cstheme="minorBidi"/>
          <w:szCs w:val="22"/>
        </w:rPr>
        <w:t>Szumska</w:t>
      </w:r>
      <w:proofErr w:type="spellEnd"/>
      <w:r w:rsidRPr="00E126EF">
        <w:rPr>
          <w:rFonts w:eastAsiaTheme="minorHAnsi" w:cstheme="minorBidi"/>
          <w:szCs w:val="22"/>
        </w:rPr>
        <w:t xml:space="preserve"> D, </w:t>
      </w:r>
      <w:proofErr w:type="spellStart"/>
      <w:r w:rsidRPr="00E126EF">
        <w:rPr>
          <w:rFonts w:eastAsiaTheme="minorHAnsi" w:cstheme="minorBidi"/>
          <w:szCs w:val="22"/>
        </w:rPr>
        <w:t>Michailidou</w:t>
      </w:r>
      <w:proofErr w:type="spellEnd"/>
      <w:r w:rsidRPr="00E126EF">
        <w:rPr>
          <w:rFonts w:eastAsiaTheme="minorHAnsi" w:cstheme="minorBidi"/>
          <w:szCs w:val="22"/>
        </w:rPr>
        <w:t xml:space="preserve"> Z, Richardson J, Owen E, Watt A, Morrison H, Forrester LM, Bhattacharya S, Holmes MC, Chapman KE. Glucocorticoid receptor is required for </w:t>
      </w:r>
      <w:proofErr w:type="spellStart"/>
      <w:r w:rsidRPr="00E126EF">
        <w:rPr>
          <w:rFonts w:eastAsiaTheme="minorHAnsi" w:cstheme="minorBidi"/>
          <w:szCs w:val="22"/>
        </w:rPr>
        <w:t>foetal</w:t>
      </w:r>
      <w:proofErr w:type="spellEnd"/>
      <w:r w:rsidRPr="00E126EF">
        <w:rPr>
          <w:rFonts w:eastAsiaTheme="minorHAnsi" w:cstheme="minorBidi"/>
          <w:szCs w:val="22"/>
        </w:rPr>
        <w:t xml:space="preserve"> heart maturation. Hum Mol Genet 2013; 22:3269-3282</w:t>
      </w:r>
    </w:p>
    <w:p w14:paraId="7A92015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195.</w:t>
      </w:r>
      <w:r w:rsidRPr="00E126EF">
        <w:rPr>
          <w:rFonts w:eastAsiaTheme="minorHAnsi" w:cstheme="minorBidi"/>
          <w:szCs w:val="22"/>
        </w:rPr>
        <w:tab/>
        <w:t xml:space="preserve">Goodwin JE, Zhang J, Gonzalez D, </w:t>
      </w:r>
      <w:proofErr w:type="spellStart"/>
      <w:r w:rsidRPr="00E126EF">
        <w:rPr>
          <w:rFonts w:eastAsiaTheme="minorHAnsi" w:cstheme="minorBidi"/>
          <w:szCs w:val="22"/>
        </w:rPr>
        <w:t>Albinsson</w:t>
      </w:r>
      <w:proofErr w:type="spellEnd"/>
      <w:r w:rsidRPr="00E126EF">
        <w:rPr>
          <w:rFonts w:eastAsiaTheme="minorHAnsi" w:cstheme="minorBidi"/>
          <w:szCs w:val="22"/>
        </w:rPr>
        <w:t xml:space="preserve"> S, Geller DS. Knockout of the vascular endothelial glucocorticoid receptor abrogates dexamethasone-induced hypertension. J </w:t>
      </w:r>
      <w:proofErr w:type="spellStart"/>
      <w:r w:rsidRPr="00E126EF">
        <w:rPr>
          <w:rFonts w:eastAsiaTheme="minorHAnsi" w:cstheme="minorBidi"/>
          <w:szCs w:val="22"/>
        </w:rPr>
        <w:t>Hypertens</w:t>
      </w:r>
      <w:proofErr w:type="spellEnd"/>
      <w:r w:rsidRPr="00E126EF">
        <w:rPr>
          <w:rFonts w:eastAsiaTheme="minorHAnsi" w:cstheme="minorBidi"/>
          <w:szCs w:val="22"/>
        </w:rPr>
        <w:t xml:space="preserve"> 2011; 29:1347-1356</w:t>
      </w:r>
    </w:p>
    <w:p w14:paraId="4E49562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196.</w:t>
      </w:r>
      <w:r w:rsidRPr="00E126EF">
        <w:rPr>
          <w:rFonts w:eastAsiaTheme="minorHAnsi" w:cstheme="minorBidi"/>
          <w:szCs w:val="22"/>
        </w:rPr>
        <w:tab/>
        <w:t xml:space="preserve">Goodwin JE, Feng Y, Velazquez H, Sessa WC. Endothelial glucocorticoid receptor is required for protection against sepsis.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2013; 110:306-311</w:t>
      </w:r>
    </w:p>
    <w:p w14:paraId="6E7A9B7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197.</w:t>
      </w:r>
      <w:r w:rsidRPr="00E126EF">
        <w:rPr>
          <w:rFonts w:eastAsiaTheme="minorHAnsi" w:cstheme="minorBidi"/>
          <w:szCs w:val="22"/>
        </w:rPr>
        <w:tab/>
        <w:t xml:space="preserve">Goodwin JE, Feng Y, Velazquez H, Zhou H, Sessa WC. Loss of the endothelial glucocorticoid receptor prevents the therapeutic protection afforded by dexamethasone after LPS.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2014; </w:t>
      </w:r>
      <w:proofErr w:type="gramStart"/>
      <w:r w:rsidRPr="00E126EF">
        <w:rPr>
          <w:rFonts w:eastAsiaTheme="minorHAnsi" w:cstheme="minorBidi"/>
          <w:szCs w:val="22"/>
        </w:rPr>
        <w:t>9:e</w:t>
      </w:r>
      <w:proofErr w:type="gramEnd"/>
      <w:r w:rsidRPr="00E126EF">
        <w:rPr>
          <w:rFonts w:eastAsiaTheme="minorHAnsi" w:cstheme="minorBidi"/>
          <w:szCs w:val="22"/>
        </w:rPr>
        <w:t>108126</w:t>
      </w:r>
    </w:p>
    <w:p w14:paraId="70ABE0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198.</w:t>
      </w:r>
      <w:r w:rsidRPr="00E126EF">
        <w:rPr>
          <w:rFonts w:eastAsiaTheme="minorHAnsi" w:cstheme="minorBidi"/>
          <w:szCs w:val="22"/>
        </w:rPr>
        <w:tab/>
        <w:t xml:space="preserve">Kugler DG, </w:t>
      </w:r>
      <w:proofErr w:type="spellStart"/>
      <w:r w:rsidRPr="00E126EF">
        <w:rPr>
          <w:rFonts w:eastAsiaTheme="minorHAnsi" w:cstheme="minorBidi"/>
          <w:szCs w:val="22"/>
        </w:rPr>
        <w:t>Mittelstadt</w:t>
      </w:r>
      <w:proofErr w:type="spellEnd"/>
      <w:r w:rsidRPr="00E126EF">
        <w:rPr>
          <w:rFonts w:eastAsiaTheme="minorHAnsi" w:cstheme="minorBidi"/>
          <w:szCs w:val="22"/>
        </w:rPr>
        <w:t xml:space="preserve"> PR, Ashwell JD, Sher A, Jankovic D. CD4+ T cells are trigger and target of the glucocorticoid response that prevents lethal immunopathology in toxoplasma infection. J Exp Med 2013; 210:1919-1927</w:t>
      </w:r>
    </w:p>
    <w:p w14:paraId="0CC7E3E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199.</w:t>
      </w:r>
      <w:r w:rsidRPr="00E126EF">
        <w:rPr>
          <w:rFonts w:eastAsiaTheme="minorHAnsi" w:cstheme="minorBidi"/>
          <w:szCs w:val="22"/>
        </w:rPr>
        <w:tab/>
      </w:r>
      <w:proofErr w:type="spellStart"/>
      <w:r w:rsidRPr="00E126EF">
        <w:rPr>
          <w:rFonts w:eastAsiaTheme="minorHAnsi" w:cstheme="minorBidi"/>
          <w:szCs w:val="22"/>
        </w:rPr>
        <w:t>Whirledge</w:t>
      </w:r>
      <w:proofErr w:type="spellEnd"/>
      <w:r w:rsidRPr="00E126EF">
        <w:rPr>
          <w:rFonts w:eastAsiaTheme="minorHAnsi" w:cstheme="minorBidi"/>
          <w:szCs w:val="22"/>
        </w:rPr>
        <w:t xml:space="preserve"> SD, Oakley RH, Myers PH, Lydon JP, </w:t>
      </w:r>
      <w:proofErr w:type="spellStart"/>
      <w:r w:rsidRPr="00E126EF">
        <w:rPr>
          <w:rFonts w:eastAsiaTheme="minorHAnsi" w:cstheme="minorBidi"/>
          <w:szCs w:val="22"/>
        </w:rPr>
        <w:t>DeMayo</w:t>
      </w:r>
      <w:proofErr w:type="spellEnd"/>
      <w:r w:rsidRPr="00E126EF">
        <w:rPr>
          <w:rFonts w:eastAsiaTheme="minorHAnsi" w:cstheme="minorBidi"/>
          <w:szCs w:val="22"/>
        </w:rPr>
        <w:t xml:space="preserve"> F,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Uterine glucocorticoid receptors are critical for fertility in mice through control of embryo implantation and decidualization.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2015; 112:15166-15171</w:t>
      </w:r>
    </w:p>
    <w:p w14:paraId="6B7FD6B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200.</w:t>
      </w:r>
      <w:r w:rsidRPr="00E126EF">
        <w:rPr>
          <w:rFonts w:eastAsiaTheme="minorHAnsi" w:cstheme="minorBidi"/>
          <w:szCs w:val="22"/>
        </w:rPr>
        <w:tab/>
      </w:r>
      <w:proofErr w:type="spellStart"/>
      <w:r w:rsidRPr="00E126EF">
        <w:rPr>
          <w:rFonts w:eastAsiaTheme="minorHAnsi" w:cstheme="minorBidi"/>
          <w:szCs w:val="22"/>
        </w:rPr>
        <w:t>Hazra</w:t>
      </w:r>
      <w:proofErr w:type="spellEnd"/>
      <w:r w:rsidRPr="00E126EF">
        <w:rPr>
          <w:rFonts w:eastAsiaTheme="minorHAnsi" w:cstheme="minorBidi"/>
          <w:szCs w:val="22"/>
        </w:rPr>
        <w:t xml:space="preserve"> R, Upton D, Jimenez M, Desai R, </w:t>
      </w:r>
      <w:proofErr w:type="spellStart"/>
      <w:r w:rsidRPr="00E126EF">
        <w:rPr>
          <w:rFonts w:eastAsiaTheme="minorHAnsi" w:cstheme="minorBidi"/>
          <w:szCs w:val="22"/>
        </w:rPr>
        <w:t>Handelsman</w:t>
      </w:r>
      <w:proofErr w:type="spellEnd"/>
      <w:r w:rsidRPr="00E126EF">
        <w:rPr>
          <w:rFonts w:eastAsiaTheme="minorHAnsi" w:cstheme="minorBidi"/>
          <w:szCs w:val="22"/>
        </w:rPr>
        <w:t xml:space="preserve"> DJ, Allan CM. In vivo actions of the Sertoli cell glucocorticoid receptor. Endocrinology 2014; 155:1120-1130</w:t>
      </w:r>
    </w:p>
    <w:p w14:paraId="225DC9C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201.</w:t>
      </w:r>
      <w:r w:rsidRPr="00E126EF">
        <w:rPr>
          <w:rFonts w:eastAsiaTheme="minorHAnsi" w:cstheme="minorBidi"/>
          <w:szCs w:val="22"/>
        </w:rPr>
        <w:tab/>
        <w:t xml:space="preserve">Adams M, Meijer OC, Wang J, Bhargava A, Pearce D. Homodimerization of the glucocorticoid receptor is not essential for response element binding: activation of the </w:t>
      </w:r>
      <w:proofErr w:type="spellStart"/>
      <w:r w:rsidRPr="00E126EF">
        <w:rPr>
          <w:rFonts w:eastAsiaTheme="minorHAnsi" w:cstheme="minorBidi"/>
          <w:szCs w:val="22"/>
        </w:rPr>
        <w:t>phenylethanolamine</w:t>
      </w:r>
      <w:proofErr w:type="spellEnd"/>
      <w:r w:rsidRPr="00E126EF">
        <w:rPr>
          <w:rFonts w:eastAsiaTheme="minorHAnsi" w:cstheme="minorBidi"/>
          <w:szCs w:val="22"/>
        </w:rPr>
        <w:t xml:space="preserve"> N-methyltransferase gene by dimerization-defective mutants. Mol Endocrinol 2003; 17:2583-2592</w:t>
      </w:r>
    </w:p>
    <w:p w14:paraId="0311DA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202.</w:t>
      </w:r>
      <w:r w:rsidRPr="00E126EF">
        <w:rPr>
          <w:rFonts w:eastAsiaTheme="minorHAnsi" w:cstheme="minorBidi"/>
          <w:szCs w:val="22"/>
        </w:rPr>
        <w:tab/>
        <w:t xml:space="preserve">Rosen J, Miner JN. The search for safer glucocorticoid receptor ligands. </w:t>
      </w:r>
      <w:proofErr w:type="spellStart"/>
      <w:r w:rsidRPr="00E126EF">
        <w:rPr>
          <w:rFonts w:eastAsiaTheme="minorHAnsi" w:cstheme="minorBidi"/>
          <w:szCs w:val="22"/>
        </w:rPr>
        <w:t>Endocr</w:t>
      </w:r>
      <w:proofErr w:type="spellEnd"/>
      <w:r w:rsidRPr="00E126EF">
        <w:rPr>
          <w:rFonts w:eastAsiaTheme="minorHAnsi" w:cstheme="minorBidi"/>
          <w:szCs w:val="22"/>
        </w:rPr>
        <w:t xml:space="preserve"> Rev 2005; 26:452-464</w:t>
      </w:r>
    </w:p>
    <w:p w14:paraId="5F0528E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203.</w:t>
      </w:r>
      <w:r w:rsidRPr="00E126EF">
        <w:rPr>
          <w:rFonts w:eastAsiaTheme="minorHAnsi" w:cstheme="minorBidi"/>
          <w:szCs w:val="22"/>
        </w:rPr>
        <w:tab/>
      </w:r>
      <w:proofErr w:type="spellStart"/>
      <w:r w:rsidRPr="00E126EF">
        <w:rPr>
          <w:rFonts w:eastAsiaTheme="minorHAnsi" w:cstheme="minorBidi"/>
          <w:szCs w:val="22"/>
        </w:rPr>
        <w:t>Vayssiere</w:t>
      </w:r>
      <w:proofErr w:type="spellEnd"/>
      <w:r w:rsidRPr="00E126EF">
        <w:rPr>
          <w:rFonts w:eastAsiaTheme="minorHAnsi" w:cstheme="minorBidi"/>
          <w:szCs w:val="22"/>
        </w:rPr>
        <w:t xml:space="preserve"> BM, Dupont S, </w:t>
      </w:r>
      <w:proofErr w:type="spellStart"/>
      <w:r w:rsidRPr="00E126EF">
        <w:rPr>
          <w:rFonts w:eastAsiaTheme="minorHAnsi" w:cstheme="minorBidi"/>
          <w:szCs w:val="22"/>
        </w:rPr>
        <w:t>Choquart</w:t>
      </w:r>
      <w:proofErr w:type="spellEnd"/>
      <w:r w:rsidRPr="00E126EF">
        <w:rPr>
          <w:rFonts w:eastAsiaTheme="minorHAnsi" w:cstheme="minorBidi"/>
          <w:szCs w:val="22"/>
        </w:rPr>
        <w:t xml:space="preserve"> A, Petit F, Garcia T, </w:t>
      </w:r>
      <w:proofErr w:type="spellStart"/>
      <w:r w:rsidRPr="00E126EF">
        <w:rPr>
          <w:rFonts w:eastAsiaTheme="minorHAnsi" w:cstheme="minorBidi"/>
          <w:szCs w:val="22"/>
        </w:rPr>
        <w:t>Marchandeau</w:t>
      </w:r>
      <w:proofErr w:type="spellEnd"/>
      <w:r w:rsidRPr="00E126EF">
        <w:rPr>
          <w:rFonts w:eastAsiaTheme="minorHAnsi" w:cstheme="minorBidi"/>
          <w:szCs w:val="22"/>
        </w:rPr>
        <w:t xml:space="preserve"> C, </w:t>
      </w:r>
      <w:proofErr w:type="spellStart"/>
      <w:r w:rsidRPr="00E126EF">
        <w:rPr>
          <w:rFonts w:eastAsiaTheme="minorHAnsi" w:cstheme="minorBidi"/>
          <w:szCs w:val="22"/>
        </w:rPr>
        <w:t>Gronemeyer</w:t>
      </w:r>
      <w:proofErr w:type="spellEnd"/>
      <w:r w:rsidRPr="00E126EF">
        <w:rPr>
          <w:rFonts w:eastAsiaTheme="minorHAnsi" w:cstheme="minorBidi"/>
          <w:szCs w:val="22"/>
        </w:rPr>
        <w:t xml:space="preserve"> H, </w:t>
      </w:r>
      <w:proofErr w:type="spellStart"/>
      <w:r w:rsidRPr="00E126EF">
        <w:rPr>
          <w:rFonts w:eastAsiaTheme="minorHAnsi" w:cstheme="minorBidi"/>
          <w:szCs w:val="22"/>
        </w:rPr>
        <w:t>Resche-Rigon</w:t>
      </w:r>
      <w:proofErr w:type="spellEnd"/>
      <w:r w:rsidRPr="00E126EF">
        <w:rPr>
          <w:rFonts w:eastAsiaTheme="minorHAnsi" w:cstheme="minorBidi"/>
          <w:szCs w:val="22"/>
        </w:rPr>
        <w:t xml:space="preserve"> M. Synthetic glucocorticoids that dissociate transactivation and AP-1 transrepression exhibit </w:t>
      </w:r>
      <w:proofErr w:type="spellStart"/>
      <w:r w:rsidRPr="00E126EF">
        <w:rPr>
          <w:rFonts w:eastAsiaTheme="minorHAnsi" w:cstheme="minorBidi"/>
          <w:szCs w:val="22"/>
        </w:rPr>
        <w:t>antiinflammatory</w:t>
      </w:r>
      <w:proofErr w:type="spellEnd"/>
      <w:r w:rsidRPr="00E126EF">
        <w:rPr>
          <w:rFonts w:eastAsiaTheme="minorHAnsi" w:cstheme="minorBidi"/>
          <w:szCs w:val="22"/>
        </w:rPr>
        <w:t xml:space="preserve"> activity in vivo. Mol Endocrinol 1997; 11:1245-1255</w:t>
      </w:r>
    </w:p>
    <w:p w14:paraId="63FEBB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204.</w:t>
      </w:r>
      <w:r w:rsidRPr="00E126EF">
        <w:rPr>
          <w:rFonts w:eastAsiaTheme="minorHAnsi" w:cstheme="minorBidi"/>
          <w:szCs w:val="22"/>
        </w:rPr>
        <w:tab/>
        <w:t xml:space="preserve">Coghlan MJ, Jacobson PB, Lane B, </w:t>
      </w:r>
      <w:proofErr w:type="spellStart"/>
      <w:r w:rsidRPr="00E126EF">
        <w:rPr>
          <w:rFonts w:eastAsiaTheme="minorHAnsi" w:cstheme="minorBidi"/>
          <w:szCs w:val="22"/>
        </w:rPr>
        <w:t>Nakane</w:t>
      </w:r>
      <w:proofErr w:type="spellEnd"/>
      <w:r w:rsidRPr="00E126EF">
        <w:rPr>
          <w:rFonts w:eastAsiaTheme="minorHAnsi" w:cstheme="minorBidi"/>
          <w:szCs w:val="22"/>
        </w:rPr>
        <w:t xml:space="preserve"> M, Lin CW, Elmore SW, Kym PR, </w:t>
      </w:r>
      <w:proofErr w:type="spellStart"/>
      <w:r w:rsidRPr="00E126EF">
        <w:rPr>
          <w:rFonts w:eastAsiaTheme="minorHAnsi" w:cstheme="minorBidi"/>
          <w:szCs w:val="22"/>
        </w:rPr>
        <w:t>Luly</w:t>
      </w:r>
      <w:proofErr w:type="spellEnd"/>
      <w:r w:rsidRPr="00E126EF">
        <w:rPr>
          <w:rFonts w:eastAsiaTheme="minorHAnsi" w:cstheme="minorBidi"/>
          <w:szCs w:val="22"/>
        </w:rPr>
        <w:t xml:space="preserve"> JR, Carter GW, Turner R, Tyree CM, Hu J, Elgort M, Rosen J, Miner JN. A novel </w:t>
      </w:r>
      <w:proofErr w:type="spellStart"/>
      <w:r w:rsidRPr="00E126EF">
        <w:rPr>
          <w:rFonts w:eastAsiaTheme="minorHAnsi" w:cstheme="minorBidi"/>
          <w:szCs w:val="22"/>
        </w:rPr>
        <w:t>antiinflammatory</w:t>
      </w:r>
      <w:proofErr w:type="spellEnd"/>
      <w:r w:rsidRPr="00E126EF">
        <w:rPr>
          <w:rFonts w:eastAsiaTheme="minorHAnsi" w:cstheme="minorBidi"/>
          <w:szCs w:val="22"/>
        </w:rPr>
        <w:t xml:space="preserve"> maintains glucocorticoid efficacy with reduced side effects. Mol Endocrinol 2003; 17:860-869</w:t>
      </w:r>
    </w:p>
    <w:p w14:paraId="3E63545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205.</w:t>
      </w:r>
      <w:r w:rsidRPr="00E126EF">
        <w:rPr>
          <w:rFonts w:eastAsiaTheme="minorHAnsi" w:cstheme="minorBidi"/>
          <w:szCs w:val="22"/>
        </w:rPr>
        <w:tab/>
      </w:r>
      <w:proofErr w:type="spellStart"/>
      <w:r w:rsidRPr="00E126EF">
        <w:rPr>
          <w:rFonts w:eastAsiaTheme="minorHAnsi" w:cstheme="minorBidi"/>
          <w:szCs w:val="22"/>
        </w:rPr>
        <w:t>Schacke</w:t>
      </w:r>
      <w:proofErr w:type="spellEnd"/>
      <w:r w:rsidRPr="00E126EF">
        <w:rPr>
          <w:rFonts w:eastAsiaTheme="minorHAnsi" w:cstheme="minorBidi"/>
          <w:szCs w:val="22"/>
        </w:rPr>
        <w:t xml:space="preserve"> H, </w:t>
      </w:r>
      <w:proofErr w:type="spellStart"/>
      <w:r w:rsidRPr="00E126EF">
        <w:rPr>
          <w:rFonts w:eastAsiaTheme="minorHAnsi" w:cstheme="minorBidi"/>
          <w:szCs w:val="22"/>
        </w:rPr>
        <w:t>Schottelius</w:t>
      </w:r>
      <w:proofErr w:type="spellEnd"/>
      <w:r w:rsidRPr="00E126EF">
        <w:rPr>
          <w:rFonts w:eastAsiaTheme="minorHAnsi" w:cstheme="minorBidi"/>
          <w:szCs w:val="22"/>
        </w:rPr>
        <w:t xml:space="preserve"> A, </w:t>
      </w:r>
      <w:proofErr w:type="spellStart"/>
      <w:r w:rsidRPr="00E126EF">
        <w:rPr>
          <w:rFonts w:eastAsiaTheme="minorHAnsi" w:cstheme="minorBidi"/>
          <w:szCs w:val="22"/>
        </w:rPr>
        <w:t>Docke</w:t>
      </w:r>
      <w:proofErr w:type="spellEnd"/>
      <w:r w:rsidRPr="00E126EF">
        <w:rPr>
          <w:rFonts w:eastAsiaTheme="minorHAnsi" w:cstheme="minorBidi"/>
          <w:szCs w:val="22"/>
        </w:rPr>
        <w:t xml:space="preserve"> WD, </w:t>
      </w:r>
      <w:proofErr w:type="spellStart"/>
      <w:r w:rsidRPr="00E126EF">
        <w:rPr>
          <w:rFonts w:eastAsiaTheme="minorHAnsi" w:cstheme="minorBidi"/>
          <w:szCs w:val="22"/>
        </w:rPr>
        <w:t>Strehlke</w:t>
      </w:r>
      <w:proofErr w:type="spellEnd"/>
      <w:r w:rsidRPr="00E126EF">
        <w:rPr>
          <w:rFonts w:eastAsiaTheme="minorHAnsi" w:cstheme="minorBidi"/>
          <w:szCs w:val="22"/>
        </w:rPr>
        <w:t xml:space="preserve"> P, </w:t>
      </w:r>
      <w:proofErr w:type="spellStart"/>
      <w:r w:rsidRPr="00E126EF">
        <w:rPr>
          <w:rFonts w:eastAsiaTheme="minorHAnsi" w:cstheme="minorBidi"/>
          <w:szCs w:val="22"/>
        </w:rPr>
        <w:t>Jaroch</w:t>
      </w:r>
      <w:proofErr w:type="spellEnd"/>
      <w:r w:rsidRPr="00E126EF">
        <w:rPr>
          <w:rFonts w:eastAsiaTheme="minorHAnsi" w:cstheme="minorBidi"/>
          <w:szCs w:val="22"/>
        </w:rPr>
        <w:t xml:space="preserve"> S, </w:t>
      </w:r>
      <w:proofErr w:type="spellStart"/>
      <w:r w:rsidRPr="00E126EF">
        <w:rPr>
          <w:rFonts w:eastAsiaTheme="minorHAnsi" w:cstheme="minorBidi"/>
          <w:szCs w:val="22"/>
        </w:rPr>
        <w:t>Schmees</w:t>
      </w:r>
      <w:proofErr w:type="spellEnd"/>
      <w:r w:rsidRPr="00E126EF">
        <w:rPr>
          <w:rFonts w:eastAsiaTheme="minorHAnsi" w:cstheme="minorBidi"/>
          <w:szCs w:val="22"/>
        </w:rPr>
        <w:t xml:space="preserve"> N, Rehwinkel H, </w:t>
      </w:r>
      <w:proofErr w:type="spellStart"/>
      <w:r w:rsidRPr="00E126EF">
        <w:rPr>
          <w:rFonts w:eastAsiaTheme="minorHAnsi" w:cstheme="minorBidi"/>
          <w:szCs w:val="22"/>
        </w:rPr>
        <w:t>Hennekes</w:t>
      </w:r>
      <w:proofErr w:type="spellEnd"/>
      <w:r w:rsidRPr="00E126EF">
        <w:rPr>
          <w:rFonts w:eastAsiaTheme="minorHAnsi" w:cstheme="minorBidi"/>
          <w:szCs w:val="22"/>
        </w:rPr>
        <w:t xml:space="preserve"> H, Asadullah K. Dissociation of transactivation from transrepression by a selective glucocorticoid receptor agonist leads to separation of therapeutic effects from side effects.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2004; 101:227-232</w:t>
      </w:r>
    </w:p>
    <w:p w14:paraId="03A7FE6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206.</w:t>
      </w:r>
      <w:r w:rsidRPr="00E126EF">
        <w:rPr>
          <w:rFonts w:eastAsiaTheme="minorHAnsi" w:cstheme="minorBidi"/>
          <w:szCs w:val="22"/>
        </w:rPr>
        <w:tab/>
      </w:r>
      <w:proofErr w:type="spellStart"/>
      <w:r w:rsidRPr="00E126EF">
        <w:rPr>
          <w:rFonts w:eastAsiaTheme="minorHAnsi" w:cstheme="minorBidi"/>
          <w:szCs w:val="22"/>
        </w:rPr>
        <w:t>Zalachoras</w:t>
      </w:r>
      <w:proofErr w:type="spellEnd"/>
      <w:r w:rsidRPr="00E126EF">
        <w:rPr>
          <w:rFonts w:eastAsiaTheme="minorHAnsi" w:cstheme="minorBidi"/>
          <w:szCs w:val="22"/>
        </w:rPr>
        <w:t xml:space="preserve"> I, </w:t>
      </w:r>
      <w:proofErr w:type="spellStart"/>
      <w:r w:rsidRPr="00E126EF">
        <w:rPr>
          <w:rFonts w:eastAsiaTheme="minorHAnsi" w:cstheme="minorBidi"/>
          <w:szCs w:val="22"/>
        </w:rPr>
        <w:t>Houtman</w:t>
      </w:r>
      <w:proofErr w:type="spellEnd"/>
      <w:r w:rsidRPr="00E126EF">
        <w:rPr>
          <w:rFonts w:eastAsiaTheme="minorHAnsi" w:cstheme="minorBidi"/>
          <w:szCs w:val="22"/>
        </w:rPr>
        <w:t xml:space="preserve"> R, </w:t>
      </w:r>
      <w:proofErr w:type="spellStart"/>
      <w:r w:rsidRPr="00E126EF">
        <w:rPr>
          <w:rFonts w:eastAsiaTheme="minorHAnsi" w:cstheme="minorBidi"/>
          <w:szCs w:val="22"/>
        </w:rPr>
        <w:t>Atucha</w:t>
      </w:r>
      <w:proofErr w:type="spellEnd"/>
      <w:r w:rsidRPr="00E126EF">
        <w:rPr>
          <w:rFonts w:eastAsiaTheme="minorHAnsi" w:cstheme="minorBidi"/>
          <w:szCs w:val="22"/>
        </w:rPr>
        <w:t xml:space="preserve"> E, Devos R, </w:t>
      </w:r>
      <w:proofErr w:type="spellStart"/>
      <w:r w:rsidRPr="00E126EF">
        <w:rPr>
          <w:rFonts w:eastAsiaTheme="minorHAnsi" w:cstheme="minorBidi"/>
          <w:szCs w:val="22"/>
        </w:rPr>
        <w:t>Tijssen</w:t>
      </w:r>
      <w:proofErr w:type="spellEnd"/>
      <w:r w:rsidRPr="00E126EF">
        <w:rPr>
          <w:rFonts w:eastAsiaTheme="minorHAnsi" w:cstheme="minorBidi"/>
          <w:szCs w:val="22"/>
        </w:rPr>
        <w:t xml:space="preserve"> AM, Hu P, </w:t>
      </w:r>
      <w:proofErr w:type="spellStart"/>
      <w:r w:rsidRPr="00E126EF">
        <w:rPr>
          <w:rFonts w:eastAsiaTheme="minorHAnsi" w:cstheme="minorBidi"/>
          <w:szCs w:val="22"/>
        </w:rPr>
        <w:t>Lockey</w:t>
      </w:r>
      <w:proofErr w:type="spellEnd"/>
      <w:r w:rsidRPr="00E126EF">
        <w:rPr>
          <w:rFonts w:eastAsiaTheme="minorHAnsi" w:cstheme="minorBidi"/>
          <w:szCs w:val="22"/>
        </w:rPr>
        <w:t xml:space="preserve"> PM, </w:t>
      </w:r>
      <w:proofErr w:type="spellStart"/>
      <w:r w:rsidRPr="00E126EF">
        <w:rPr>
          <w:rFonts w:eastAsiaTheme="minorHAnsi" w:cstheme="minorBidi"/>
          <w:szCs w:val="22"/>
        </w:rPr>
        <w:t>Datson</w:t>
      </w:r>
      <w:proofErr w:type="spellEnd"/>
      <w:r w:rsidRPr="00E126EF">
        <w:rPr>
          <w:rFonts w:eastAsiaTheme="minorHAnsi" w:cstheme="minorBidi"/>
          <w:szCs w:val="22"/>
        </w:rPr>
        <w:t xml:space="preserve"> NA, </w:t>
      </w:r>
      <w:proofErr w:type="spellStart"/>
      <w:r w:rsidRPr="00E126EF">
        <w:rPr>
          <w:rFonts w:eastAsiaTheme="minorHAnsi" w:cstheme="minorBidi"/>
          <w:szCs w:val="22"/>
        </w:rPr>
        <w:t>Belanoff</w:t>
      </w:r>
      <w:proofErr w:type="spellEnd"/>
      <w:r w:rsidRPr="00E126EF">
        <w:rPr>
          <w:rFonts w:eastAsiaTheme="minorHAnsi" w:cstheme="minorBidi"/>
          <w:szCs w:val="22"/>
        </w:rPr>
        <w:t xml:space="preserve"> JK, Lucassen PJ, </w:t>
      </w:r>
      <w:proofErr w:type="spellStart"/>
      <w:r w:rsidRPr="00E126EF">
        <w:rPr>
          <w:rFonts w:eastAsiaTheme="minorHAnsi" w:cstheme="minorBidi"/>
          <w:szCs w:val="22"/>
        </w:rPr>
        <w:t>Joels</w:t>
      </w:r>
      <w:proofErr w:type="spellEnd"/>
      <w:r w:rsidRPr="00E126EF">
        <w:rPr>
          <w:rFonts w:eastAsiaTheme="minorHAnsi" w:cstheme="minorBidi"/>
          <w:szCs w:val="22"/>
        </w:rPr>
        <w:t xml:space="preserve"> M, de </w:t>
      </w:r>
      <w:proofErr w:type="spellStart"/>
      <w:r w:rsidRPr="00E126EF">
        <w:rPr>
          <w:rFonts w:eastAsiaTheme="minorHAnsi" w:cstheme="minorBidi"/>
          <w:szCs w:val="22"/>
        </w:rPr>
        <w:t>Kloet</w:t>
      </w:r>
      <w:proofErr w:type="spellEnd"/>
      <w:r w:rsidRPr="00E126EF">
        <w:rPr>
          <w:rFonts w:eastAsiaTheme="minorHAnsi" w:cstheme="minorBidi"/>
          <w:szCs w:val="22"/>
        </w:rPr>
        <w:t xml:space="preserve"> ER, </w:t>
      </w:r>
      <w:proofErr w:type="spellStart"/>
      <w:r w:rsidRPr="00E126EF">
        <w:rPr>
          <w:rFonts w:eastAsiaTheme="minorHAnsi" w:cstheme="minorBidi"/>
          <w:szCs w:val="22"/>
        </w:rPr>
        <w:t>Roozendaal</w:t>
      </w:r>
      <w:proofErr w:type="spellEnd"/>
      <w:r w:rsidRPr="00E126EF">
        <w:rPr>
          <w:rFonts w:eastAsiaTheme="minorHAnsi" w:cstheme="minorBidi"/>
          <w:szCs w:val="22"/>
        </w:rPr>
        <w:t xml:space="preserve"> B, Hunt H, Meijer OC. Differential targeting of brain stress circuits with a selective glucocorticoid receptor modulator.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2013; 110:7910-7915</w:t>
      </w:r>
    </w:p>
    <w:p w14:paraId="5ED86D7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207.</w:t>
      </w:r>
      <w:r w:rsidRPr="00E126EF">
        <w:rPr>
          <w:rFonts w:eastAsiaTheme="minorHAnsi" w:cstheme="minorBidi"/>
          <w:szCs w:val="22"/>
        </w:rPr>
        <w:tab/>
        <w:t xml:space="preserve">Yoshikawa N, Makino Y, Okamoto K, Morimoto C, Makino I, Tanaka H. Distinct interaction of </w:t>
      </w:r>
      <w:proofErr w:type="spellStart"/>
      <w:r w:rsidRPr="00E126EF">
        <w:rPr>
          <w:rFonts w:eastAsiaTheme="minorHAnsi" w:cstheme="minorBidi"/>
          <w:szCs w:val="22"/>
        </w:rPr>
        <w:t>cortivazol</w:t>
      </w:r>
      <w:proofErr w:type="spellEnd"/>
      <w:r w:rsidRPr="00E126EF">
        <w:rPr>
          <w:rFonts w:eastAsiaTheme="minorHAnsi" w:cstheme="minorBidi"/>
          <w:szCs w:val="22"/>
        </w:rPr>
        <w:t xml:space="preserve"> with the ligand binding domain confers glucocorticoid receptor specificity: </w:t>
      </w:r>
      <w:proofErr w:type="spellStart"/>
      <w:r w:rsidRPr="00E126EF">
        <w:rPr>
          <w:rFonts w:eastAsiaTheme="minorHAnsi" w:cstheme="minorBidi"/>
          <w:szCs w:val="22"/>
        </w:rPr>
        <w:t>cortivazol</w:t>
      </w:r>
      <w:proofErr w:type="spellEnd"/>
      <w:r w:rsidRPr="00E126EF">
        <w:rPr>
          <w:rFonts w:eastAsiaTheme="minorHAnsi" w:cstheme="minorBidi"/>
          <w:szCs w:val="22"/>
        </w:rPr>
        <w:t xml:space="preserve"> is a specific ligand for the glucocorticoid receptor. J Biol Chem 2002; 277:5529-5540</w:t>
      </w:r>
    </w:p>
    <w:p w14:paraId="2FED691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208.</w:t>
      </w:r>
      <w:r w:rsidRPr="00E126EF">
        <w:rPr>
          <w:rFonts w:eastAsiaTheme="minorHAnsi" w:cstheme="minorBidi"/>
          <w:szCs w:val="22"/>
        </w:rPr>
        <w:tab/>
        <w:t xml:space="preserve">Miner JN, Tyree C, Hu J, Berger E, Marschke K, </w:t>
      </w:r>
      <w:proofErr w:type="spellStart"/>
      <w:r w:rsidRPr="00E126EF">
        <w:rPr>
          <w:rFonts w:eastAsiaTheme="minorHAnsi" w:cstheme="minorBidi"/>
          <w:szCs w:val="22"/>
        </w:rPr>
        <w:t>Nakane</w:t>
      </w:r>
      <w:proofErr w:type="spellEnd"/>
      <w:r w:rsidRPr="00E126EF">
        <w:rPr>
          <w:rFonts w:eastAsiaTheme="minorHAnsi" w:cstheme="minorBidi"/>
          <w:szCs w:val="22"/>
        </w:rPr>
        <w:t xml:space="preserve"> M, Coghlan MJ, Clemm D, Lane B, Rosen J. A nonsteroidal glucocorticoid receptor antagonist. Mol Endocrinol 2003; 17:117-127</w:t>
      </w:r>
    </w:p>
    <w:p w14:paraId="41E4996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209.</w:t>
      </w:r>
      <w:r w:rsidRPr="00E126EF">
        <w:rPr>
          <w:rFonts w:eastAsiaTheme="minorHAnsi" w:cstheme="minorBidi"/>
          <w:szCs w:val="22"/>
        </w:rPr>
        <w:tab/>
        <w:t xml:space="preserve">Clark RD, Ray NC, Williams K, Blaney P, Ward S, </w:t>
      </w:r>
      <w:proofErr w:type="spellStart"/>
      <w:r w:rsidRPr="00E126EF">
        <w:rPr>
          <w:rFonts w:eastAsiaTheme="minorHAnsi" w:cstheme="minorBidi"/>
          <w:szCs w:val="22"/>
        </w:rPr>
        <w:t>Crackett</w:t>
      </w:r>
      <w:proofErr w:type="spellEnd"/>
      <w:r w:rsidRPr="00E126EF">
        <w:rPr>
          <w:rFonts w:eastAsiaTheme="minorHAnsi" w:cstheme="minorBidi"/>
          <w:szCs w:val="22"/>
        </w:rPr>
        <w:t xml:space="preserve"> PH, Hurley C, Dyke HJ, Clark DE, </w:t>
      </w:r>
      <w:proofErr w:type="spellStart"/>
      <w:r w:rsidRPr="00E126EF">
        <w:rPr>
          <w:rFonts w:eastAsiaTheme="minorHAnsi" w:cstheme="minorBidi"/>
          <w:szCs w:val="22"/>
        </w:rPr>
        <w:t>Lockey</w:t>
      </w:r>
      <w:proofErr w:type="spellEnd"/>
      <w:r w:rsidRPr="00E126EF">
        <w:rPr>
          <w:rFonts w:eastAsiaTheme="minorHAnsi" w:cstheme="minorBidi"/>
          <w:szCs w:val="22"/>
        </w:rPr>
        <w:t xml:space="preserve"> P, Devos R, Wong M, </w:t>
      </w:r>
      <w:proofErr w:type="spellStart"/>
      <w:r w:rsidRPr="00E126EF">
        <w:rPr>
          <w:rFonts w:eastAsiaTheme="minorHAnsi" w:cstheme="minorBidi"/>
          <w:szCs w:val="22"/>
        </w:rPr>
        <w:t>Porres</w:t>
      </w:r>
      <w:proofErr w:type="spellEnd"/>
      <w:r w:rsidRPr="00E126EF">
        <w:rPr>
          <w:rFonts w:eastAsiaTheme="minorHAnsi" w:cstheme="minorBidi"/>
          <w:szCs w:val="22"/>
        </w:rPr>
        <w:t xml:space="preserve"> SS, Bright CP, Jenkins RE, </w:t>
      </w:r>
      <w:proofErr w:type="spellStart"/>
      <w:r w:rsidRPr="00E126EF">
        <w:rPr>
          <w:rFonts w:eastAsiaTheme="minorHAnsi" w:cstheme="minorBidi"/>
          <w:szCs w:val="22"/>
        </w:rPr>
        <w:t>Belanoff</w:t>
      </w:r>
      <w:proofErr w:type="spellEnd"/>
      <w:r w:rsidRPr="00E126EF">
        <w:rPr>
          <w:rFonts w:eastAsiaTheme="minorHAnsi" w:cstheme="minorBidi"/>
          <w:szCs w:val="22"/>
        </w:rPr>
        <w:t xml:space="preserve"> J. 1H-Pyrazolo[3,4-</w:t>
      </w:r>
      <w:proofErr w:type="gramStart"/>
      <w:r w:rsidRPr="00E126EF">
        <w:rPr>
          <w:rFonts w:eastAsiaTheme="minorHAnsi" w:cstheme="minorBidi"/>
          <w:szCs w:val="22"/>
        </w:rPr>
        <w:t>g]hexahydro</w:t>
      </w:r>
      <w:proofErr w:type="gramEnd"/>
      <w:r w:rsidRPr="00E126EF">
        <w:rPr>
          <w:rFonts w:eastAsiaTheme="minorHAnsi" w:cstheme="minorBidi"/>
          <w:szCs w:val="22"/>
        </w:rPr>
        <w:t>-</w:t>
      </w:r>
      <w:proofErr w:type="spellStart"/>
      <w:r w:rsidRPr="00E126EF">
        <w:rPr>
          <w:rFonts w:eastAsiaTheme="minorHAnsi" w:cstheme="minorBidi"/>
          <w:szCs w:val="22"/>
        </w:rPr>
        <w:t>isoquinolines</w:t>
      </w:r>
      <w:proofErr w:type="spellEnd"/>
      <w:r w:rsidRPr="00E126EF">
        <w:rPr>
          <w:rFonts w:eastAsiaTheme="minorHAnsi" w:cstheme="minorBidi"/>
          <w:szCs w:val="22"/>
        </w:rPr>
        <w:t xml:space="preserve"> as selective glucocorticoid receptor antagonists with high functional activity. </w:t>
      </w:r>
      <w:proofErr w:type="spellStart"/>
      <w:r w:rsidRPr="00E126EF">
        <w:rPr>
          <w:rFonts w:eastAsiaTheme="minorHAnsi" w:cstheme="minorBidi"/>
          <w:szCs w:val="22"/>
        </w:rPr>
        <w:t>Bioorg</w:t>
      </w:r>
      <w:proofErr w:type="spellEnd"/>
      <w:r w:rsidRPr="00E126EF">
        <w:rPr>
          <w:rFonts w:eastAsiaTheme="minorHAnsi" w:cstheme="minorBidi"/>
          <w:szCs w:val="22"/>
        </w:rPr>
        <w:t xml:space="preserve"> Med Chem Lett 2008; 18:1312-1317</w:t>
      </w:r>
    </w:p>
    <w:p w14:paraId="79DDD14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210.</w:t>
      </w:r>
      <w:r w:rsidRPr="00E126EF">
        <w:rPr>
          <w:rFonts w:eastAsiaTheme="minorHAnsi" w:cstheme="minorBidi"/>
          <w:szCs w:val="22"/>
        </w:rPr>
        <w:tab/>
        <w:t xml:space="preserve">Solomon MB, </w:t>
      </w:r>
      <w:proofErr w:type="spellStart"/>
      <w:r w:rsidRPr="00E126EF">
        <w:rPr>
          <w:rFonts w:eastAsiaTheme="minorHAnsi" w:cstheme="minorBidi"/>
          <w:szCs w:val="22"/>
        </w:rPr>
        <w:t>Wulsin</w:t>
      </w:r>
      <w:proofErr w:type="spellEnd"/>
      <w:r w:rsidRPr="00E126EF">
        <w:rPr>
          <w:rFonts w:eastAsiaTheme="minorHAnsi" w:cstheme="minorBidi"/>
          <w:szCs w:val="22"/>
        </w:rPr>
        <w:t xml:space="preserve"> AC, Rice T, Wick D, Myers B, </w:t>
      </w:r>
      <w:proofErr w:type="spellStart"/>
      <w:r w:rsidRPr="00E126EF">
        <w:rPr>
          <w:rFonts w:eastAsiaTheme="minorHAnsi" w:cstheme="minorBidi"/>
          <w:szCs w:val="22"/>
        </w:rPr>
        <w:t>McKlveen</w:t>
      </w:r>
      <w:proofErr w:type="spellEnd"/>
      <w:r w:rsidRPr="00E126EF">
        <w:rPr>
          <w:rFonts w:eastAsiaTheme="minorHAnsi" w:cstheme="minorBidi"/>
          <w:szCs w:val="22"/>
        </w:rPr>
        <w:t xml:space="preserve"> J, Flak JN, Ulrich-Lai Y, Herman JP. The selective glucocorticoid receptor antagonist CORT 108297 decreases neuroendocrine stress responses and immobility in the forced swim test. </w:t>
      </w:r>
      <w:proofErr w:type="spellStart"/>
      <w:r w:rsidRPr="00E126EF">
        <w:rPr>
          <w:rFonts w:eastAsiaTheme="minorHAnsi" w:cstheme="minorBidi"/>
          <w:szCs w:val="22"/>
        </w:rPr>
        <w:t>Horm</w:t>
      </w:r>
      <w:proofErr w:type="spellEnd"/>
      <w:r w:rsidRPr="00E126EF">
        <w:rPr>
          <w:rFonts w:eastAsiaTheme="minorHAnsi" w:cstheme="minorBidi"/>
          <w:szCs w:val="22"/>
        </w:rPr>
        <w:t xml:space="preserve"> </w:t>
      </w:r>
      <w:proofErr w:type="spellStart"/>
      <w:r w:rsidRPr="00E126EF">
        <w:rPr>
          <w:rFonts w:eastAsiaTheme="minorHAnsi" w:cstheme="minorBidi"/>
          <w:szCs w:val="22"/>
        </w:rPr>
        <w:t>Behav</w:t>
      </w:r>
      <w:proofErr w:type="spellEnd"/>
      <w:r w:rsidRPr="00E126EF">
        <w:rPr>
          <w:rFonts w:eastAsiaTheme="minorHAnsi" w:cstheme="minorBidi"/>
          <w:szCs w:val="22"/>
        </w:rPr>
        <w:t xml:space="preserve"> 2014; 65:363-371</w:t>
      </w:r>
    </w:p>
    <w:p w14:paraId="4DB3120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211.</w:t>
      </w:r>
      <w:r w:rsidRPr="00E126EF">
        <w:rPr>
          <w:rFonts w:eastAsiaTheme="minorHAnsi" w:cstheme="minorBidi"/>
          <w:szCs w:val="22"/>
        </w:rPr>
        <w:tab/>
        <w:t xml:space="preserve">Trebble PJ, </w:t>
      </w:r>
      <w:proofErr w:type="spellStart"/>
      <w:r w:rsidRPr="00E126EF">
        <w:rPr>
          <w:rFonts w:eastAsiaTheme="minorHAnsi" w:cstheme="minorBidi"/>
          <w:szCs w:val="22"/>
        </w:rPr>
        <w:t>Woolven</w:t>
      </w:r>
      <w:proofErr w:type="spellEnd"/>
      <w:r w:rsidRPr="00E126EF">
        <w:rPr>
          <w:rFonts w:eastAsiaTheme="minorHAnsi" w:cstheme="minorBidi"/>
          <w:szCs w:val="22"/>
        </w:rPr>
        <w:t xml:space="preserve"> JM, Saunders KA, Simpson KD, Farrow SN, Matthews LC, Ray DW. A ligand-specific kinetic switch regulates glucocorticoid receptor trafficking and function. J Cell Sci 2013; 126:3159-3169</w:t>
      </w:r>
    </w:p>
    <w:p w14:paraId="69C739A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212.</w:t>
      </w:r>
      <w:r w:rsidRPr="00E126EF">
        <w:rPr>
          <w:rFonts w:eastAsiaTheme="minorHAnsi" w:cstheme="minorBidi"/>
          <w:szCs w:val="22"/>
        </w:rPr>
        <w:tab/>
        <w:t xml:space="preserve">Brown AR, </w:t>
      </w:r>
      <w:proofErr w:type="spellStart"/>
      <w:r w:rsidRPr="00E126EF">
        <w:rPr>
          <w:rFonts w:eastAsiaTheme="minorHAnsi" w:cstheme="minorBidi"/>
          <w:szCs w:val="22"/>
        </w:rPr>
        <w:t>Bosies</w:t>
      </w:r>
      <w:proofErr w:type="spellEnd"/>
      <w:r w:rsidRPr="00E126EF">
        <w:rPr>
          <w:rFonts w:eastAsiaTheme="minorHAnsi" w:cstheme="minorBidi"/>
          <w:szCs w:val="22"/>
        </w:rPr>
        <w:t xml:space="preserve"> M, Cameron H, Clark J, Cowley A, Craighead M, Elmore MA, Firth A, Goodwin R, </w:t>
      </w:r>
      <w:proofErr w:type="spellStart"/>
      <w:r w:rsidRPr="00E126EF">
        <w:rPr>
          <w:rFonts w:eastAsiaTheme="minorHAnsi" w:cstheme="minorBidi"/>
          <w:szCs w:val="22"/>
        </w:rPr>
        <w:t>Goutcher</w:t>
      </w:r>
      <w:proofErr w:type="spellEnd"/>
      <w:r w:rsidRPr="00E126EF">
        <w:rPr>
          <w:rFonts w:eastAsiaTheme="minorHAnsi" w:cstheme="minorBidi"/>
          <w:szCs w:val="22"/>
        </w:rPr>
        <w:t xml:space="preserve"> S, Grant E, </w:t>
      </w:r>
      <w:proofErr w:type="spellStart"/>
      <w:r w:rsidRPr="00E126EF">
        <w:rPr>
          <w:rFonts w:eastAsiaTheme="minorHAnsi" w:cstheme="minorBidi"/>
          <w:szCs w:val="22"/>
        </w:rPr>
        <w:t>Grassie</w:t>
      </w:r>
      <w:proofErr w:type="spellEnd"/>
      <w:r w:rsidRPr="00E126EF">
        <w:rPr>
          <w:rFonts w:eastAsiaTheme="minorHAnsi" w:cstheme="minorBidi"/>
          <w:szCs w:val="22"/>
        </w:rPr>
        <w:t xml:space="preserve"> M, Grove SJ, Hamilton NM, Hampson H, Hillier A, Ho KK, </w:t>
      </w:r>
      <w:proofErr w:type="spellStart"/>
      <w:r w:rsidRPr="00E126EF">
        <w:rPr>
          <w:rFonts w:eastAsiaTheme="minorHAnsi" w:cstheme="minorBidi"/>
          <w:szCs w:val="22"/>
        </w:rPr>
        <w:t>Kiczun</w:t>
      </w:r>
      <w:proofErr w:type="spellEnd"/>
      <w:r w:rsidRPr="00E126EF">
        <w:rPr>
          <w:rFonts w:eastAsiaTheme="minorHAnsi" w:cstheme="minorBidi"/>
          <w:szCs w:val="22"/>
        </w:rPr>
        <w:t xml:space="preserve"> M, Kingsbury C, Kultgen SG, Littlewood PT, Lusher SJ, Macdonald S, McIntosh L, McIntyre T, Mistry A, </w:t>
      </w:r>
      <w:proofErr w:type="spellStart"/>
      <w:r w:rsidRPr="00E126EF">
        <w:rPr>
          <w:rFonts w:eastAsiaTheme="minorHAnsi" w:cstheme="minorBidi"/>
          <w:szCs w:val="22"/>
        </w:rPr>
        <w:t>Morphy</w:t>
      </w:r>
      <w:proofErr w:type="spellEnd"/>
      <w:r w:rsidRPr="00E126EF">
        <w:rPr>
          <w:rFonts w:eastAsiaTheme="minorHAnsi" w:cstheme="minorBidi"/>
          <w:szCs w:val="22"/>
        </w:rPr>
        <w:t xml:space="preserve"> JR, </w:t>
      </w:r>
      <w:proofErr w:type="spellStart"/>
      <w:r w:rsidRPr="00E126EF">
        <w:rPr>
          <w:rFonts w:eastAsiaTheme="minorHAnsi" w:cstheme="minorBidi"/>
          <w:szCs w:val="22"/>
        </w:rPr>
        <w:t>Nimz</w:t>
      </w:r>
      <w:proofErr w:type="spellEnd"/>
      <w:r w:rsidRPr="00E126EF">
        <w:rPr>
          <w:rFonts w:eastAsiaTheme="minorHAnsi" w:cstheme="minorBidi"/>
          <w:szCs w:val="22"/>
        </w:rPr>
        <w:t xml:space="preserve"> O, </w:t>
      </w:r>
      <w:proofErr w:type="spellStart"/>
      <w:r w:rsidRPr="00E126EF">
        <w:rPr>
          <w:rFonts w:eastAsiaTheme="minorHAnsi" w:cstheme="minorBidi"/>
          <w:szCs w:val="22"/>
        </w:rPr>
        <w:t>Ohlmeyer</w:t>
      </w:r>
      <w:proofErr w:type="spellEnd"/>
      <w:r w:rsidRPr="00E126EF">
        <w:rPr>
          <w:rFonts w:eastAsiaTheme="minorHAnsi" w:cstheme="minorBidi"/>
          <w:szCs w:val="22"/>
        </w:rPr>
        <w:t xml:space="preserve"> M, Pick J, </w:t>
      </w:r>
      <w:proofErr w:type="spellStart"/>
      <w:r w:rsidRPr="00E126EF">
        <w:rPr>
          <w:rFonts w:eastAsiaTheme="minorHAnsi" w:cstheme="minorBidi"/>
          <w:szCs w:val="22"/>
        </w:rPr>
        <w:t>Rankovic</w:t>
      </w:r>
      <w:proofErr w:type="spellEnd"/>
      <w:r w:rsidRPr="00E126EF">
        <w:rPr>
          <w:rFonts w:eastAsiaTheme="minorHAnsi" w:cstheme="minorBidi"/>
          <w:szCs w:val="22"/>
        </w:rPr>
        <w:t xml:space="preserve"> Z, </w:t>
      </w:r>
      <w:proofErr w:type="spellStart"/>
      <w:r w:rsidRPr="00E126EF">
        <w:rPr>
          <w:rFonts w:eastAsiaTheme="minorHAnsi" w:cstheme="minorBidi"/>
          <w:szCs w:val="22"/>
        </w:rPr>
        <w:lastRenderedPageBreak/>
        <w:t>Sherborne</w:t>
      </w:r>
      <w:proofErr w:type="spellEnd"/>
      <w:r w:rsidRPr="00E126EF">
        <w:rPr>
          <w:rFonts w:eastAsiaTheme="minorHAnsi" w:cstheme="minorBidi"/>
          <w:szCs w:val="22"/>
        </w:rPr>
        <w:t xml:space="preserve"> B, Smith A, Speake M, Spinks G, Thomson F, Watson L, Weston M. Discovery and </w:t>
      </w:r>
      <w:proofErr w:type="spellStart"/>
      <w:r w:rsidRPr="00E126EF">
        <w:rPr>
          <w:rFonts w:eastAsiaTheme="minorHAnsi" w:cstheme="minorBidi"/>
          <w:szCs w:val="22"/>
        </w:rPr>
        <w:t>optimisation</w:t>
      </w:r>
      <w:proofErr w:type="spellEnd"/>
      <w:r w:rsidRPr="00E126EF">
        <w:rPr>
          <w:rFonts w:eastAsiaTheme="minorHAnsi" w:cstheme="minorBidi"/>
          <w:szCs w:val="22"/>
        </w:rPr>
        <w:t xml:space="preserve"> of a selective non-steroidal glucocorticoid receptor antagonist. </w:t>
      </w:r>
      <w:proofErr w:type="spellStart"/>
      <w:r w:rsidRPr="00E126EF">
        <w:rPr>
          <w:rFonts w:eastAsiaTheme="minorHAnsi" w:cstheme="minorBidi"/>
          <w:szCs w:val="22"/>
        </w:rPr>
        <w:t>Bioorg</w:t>
      </w:r>
      <w:proofErr w:type="spellEnd"/>
      <w:r w:rsidRPr="00E126EF">
        <w:rPr>
          <w:rFonts w:eastAsiaTheme="minorHAnsi" w:cstheme="minorBidi"/>
          <w:szCs w:val="22"/>
        </w:rPr>
        <w:t xml:space="preserve"> Med Chem Lett 2011; 21:137-140</w:t>
      </w:r>
    </w:p>
    <w:p w14:paraId="1AFCCFA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213.</w:t>
      </w:r>
      <w:r w:rsidRPr="00E126EF">
        <w:rPr>
          <w:rFonts w:eastAsiaTheme="minorHAnsi" w:cstheme="minorBidi"/>
          <w:szCs w:val="22"/>
        </w:rPr>
        <w:tab/>
        <w:t>Vollmer TR, Stockhausen A, Zhang JZ. Anti-inflammatory effects of mapracorat, a novel selective glucocorticoid receptor agonist, is partially mediated by MAP kinase phosphatase-1 (MKP-1). J Biol Chem 2012; 287:35212-35221</w:t>
      </w:r>
    </w:p>
    <w:p w14:paraId="6FB82F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214.</w:t>
      </w:r>
      <w:r w:rsidRPr="00E126EF">
        <w:rPr>
          <w:rFonts w:eastAsiaTheme="minorHAnsi" w:cstheme="minorBidi"/>
          <w:szCs w:val="22"/>
        </w:rPr>
        <w:tab/>
        <w:t>Du J, Cheng B, Zhu X, Ling C. Ginsenoside Rg1, a novel glucocorticoid receptor agonist of plant origin, maintains glucocorticoid efficacy with reduced side effects. J Immunol 2011; 187:942-950</w:t>
      </w:r>
    </w:p>
    <w:p w14:paraId="0808498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215.</w:t>
      </w:r>
      <w:r w:rsidRPr="00E126EF">
        <w:rPr>
          <w:rFonts w:eastAsiaTheme="minorHAnsi" w:cstheme="minorBidi"/>
          <w:szCs w:val="22"/>
        </w:rPr>
        <w:tab/>
        <w:t xml:space="preserve">De </w:t>
      </w:r>
      <w:proofErr w:type="spellStart"/>
      <w:r w:rsidRPr="00E126EF">
        <w:rPr>
          <w:rFonts w:eastAsiaTheme="minorHAnsi" w:cstheme="minorBidi"/>
          <w:szCs w:val="22"/>
        </w:rPr>
        <w:t>Bosscher</w:t>
      </w:r>
      <w:proofErr w:type="spellEnd"/>
      <w:r w:rsidRPr="00E126EF">
        <w:rPr>
          <w:rFonts w:eastAsiaTheme="minorHAnsi" w:cstheme="minorBidi"/>
          <w:szCs w:val="22"/>
        </w:rPr>
        <w:t xml:space="preserve"> K, Vanden </w:t>
      </w:r>
      <w:proofErr w:type="spellStart"/>
      <w:r w:rsidRPr="00E126EF">
        <w:rPr>
          <w:rFonts w:eastAsiaTheme="minorHAnsi" w:cstheme="minorBidi"/>
          <w:szCs w:val="22"/>
        </w:rPr>
        <w:t>Berghe</w:t>
      </w:r>
      <w:proofErr w:type="spellEnd"/>
      <w:r w:rsidRPr="00E126EF">
        <w:rPr>
          <w:rFonts w:eastAsiaTheme="minorHAnsi" w:cstheme="minorBidi"/>
          <w:szCs w:val="22"/>
        </w:rPr>
        <w:t xml:space="preserve"> W, Beck IM, Van </w:t>
      </w:r>
      <w:proofErr w:type="spellStart"/>
      <w:r w:rsidRPr="00E126EF">
        <w:rPr>
          <w:rFonts w:eastAsiaTheme="minorHAnsi" w:cstheme="minorBidi"/>
          <w:szCs w:val="22"/>
        </w:rPr>
        <w:t>Molle</w:t>
      </w:r>
      <w:proofErr w:type="spellEnd"/>
      <w:r w:rsidRPr="00E126EF">
        <w:rPr>
          <w:rFonts w:eastAsiaTheme="minorHAnsi" w:cstheme="minorBidi"/>
          <w:szCs w:val="22"/>
        </w:rPr>
        <w:t xml:space="preserve"> W, </w:t>
      </w:r>
      <w:proofErr w:type="spellStart"/>
      <w:r w:rsidRPr="00E126EF">
        <w:rPr>
          <w:rFonts w:eastAsiaTheme="minorHAnsi" w:cstheme="minorBidi"/>
          <w:szCs w:val="22"/>
        </w:rPr>
        <w:t>Hennuyer</w:t>
      </w:r>
      <w:proofErr w:type="spellEnd"/>
      <w:r w:rsidRPr="00E126EF">
        <w:rPr>
          <w:rFonts w:eastAsiaTheme="minorHAnsi" w:cstheme="minorBidi"/>
          <w:szCs w:val="22"/>
        </w:rPr>
        <w:t xml:space="preserve"> N, </w:t>
      </w:r>
      <w:proofErr w:type="spellStart"/>
      <w:r w:rsidRPr="00E126EF">
        <w:rPr>
          <w:rFonts w:eastAsiaTheme="minorHAnsi" w:cstheme="minorBidi"/>
          <w:szCs w:val="22"/>
        </w:rPr>
        <w:t>Hapgood</w:t>
      </w:r>
      <w:proofErr w:type="spellEnd"/>
      <w:r w:rsidRPr="00E126EF">
        <w:rPr>
          <w:rFonts w:eastAsiaTheme="minorHAnsi" w:cstheme="minorBidi"/>
          <w:szCs w:val="22"/>
        </w:rPr>
        <w:t xml:space="preserve"> J, </w:t>
      </w:r>
      <w:proofErr w:type="spellStart"/>
      <w:r w:rsidRPr="00E126EF">
        <w:rPr>
          <w:rFonts w:eastAsiaTheme="minorHAnsi" w:cstheme="minorBidi"/>
          <w:szCs w:val="22"/>
        </w:rPr>
        <w:t>Libert</w:t>
      </w:r>
      <w:proofErr w:type="spellEnd"/>
      <w:r w:rsidRPr="00E126EF">
        <w:rPr>
          <w:rFonts w:eastAsiaTheme="minorHAnsi" w:cstheme="minorBidi"/>
          <w:szCs w:val="22"/>
        </w:rPr>
        <w:t xml:space="preserve"> C, </w:t>
      </w:r>
      <w:proofErr w:type="spellStart"/>
      <w:r w:rsidRPr="00E126EF">
        <w:rPr>
          <w:rFonts w:eastAsiaTheme="minorHAnsi" w:cstheme="minorBidi"/>
          <w:szCs w:val="22"/>
        </w:rPr>
        <w:t>Staels</w:t>
      </w:r>
      <w:proofErr w:type="spellEnd"/>
      <w:r w:rsidRPr="00E126EF">
        <w:rPr>
          <w:rFonts w:eastAsiaTheme="minorHAnsi" w:cstheme="minorBidi"/>
          <w:szCs w:val="22"/>
        </w:rPr>
        <w:t xml:space="preserve"> B, </w:t>
      </w:r>
      <w:proofErr w:type="spellStart"/>
      <w:r w:rsidRPr="00E126EF">
        <w:rPr>
          <w:rFonts w:eastAsiaTheme="minorHAnsi" w:cstheme="minorBidi"/>
          <w:szCs w:val="22"/>
        </w:rPr>
        <w:t>Louw</w:t>
      </w:r>
      <w:proofErr w:type="spellEnd"/>
      <w:r w:rsidRPr="00E126EF">
        <w:rPr>
          <w:rFonts w:eastAsiaTheme="minorHAnsi" w:cstheme="minorBidi"/>
          <w:szCs w:val="22"/>
        </w:rPr>
        <w:t xml:space="preserve"> A, </w:t>
      </w:r>
      <w:proofErr w:type="spellStart"/>
      <w:r w:rsidRPr="00E126EF">
        <w:rPr>
          <w:rFonts w:eastAsiaTheme="minorHAnsi" w:cstheme="minorBidi"/>
          <w:szCs w:val="22"/>
        </w:rPr>
        <w:t>Haegeman</w:t>
      </w:r>
      <w:proofErr w:type="spellEnd"/>
      <w:r w:rsidRPr="00E126EF">
        <w:rPr>
          <w:rFonts w:eastAsiaTheme="minorHAnsi" w:cstheme="minorBidi"/>
          <w:szCs w:val="22"/>
        </w:rPr>
        <w:t xml:space="preserve"> G. A fully dissociated compound of plant origin for inflammatory gene repression.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2005; 102:15827-15832</w:t>
      </w:r>
    </w:p>
    <w:p w14:paraId="40F8597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216.</w:t>
      </w:r>
      <w:r w:rsidRPr="00E126EF">
        <w:rPr>
          <w:rFonts w:eastAsiaTheme="minorHAnsi" w:cstheme="minorBidi"/>
          <w:szCs w:val="22"/>
        </w:rPr>
        <w:tab/>
        <w:t xml:space="preserve">Liberman AC, </w:t>
      </w:r>
      <w:proofErr w:type="spellStart"/>
      <w:r w:rsidRPr="00E126EF">
        <w:rPr>
          <w:rFonts w:eastAsiaTheme="minorHAnsi" w:cstheme="minorBidi"/>
          <w:szCs w:val="22"/>
        </w:rPr>
        <w:t>Antunica-Noguerol</w:t>
      </w:r>
      <w:proofErr w:type="spellEnd"/>
      <w:r w:rsidRPr="00E126EF">
        <w:rPr>
          <w:rFonts w:eastAsiaTheme="minorHAnsi" w:cstheme="minorBidi"/>
          <w:szCs w:val="22"/>
        </w:rPr>
        <w:t xml:space="preserve"> M, </w:t>
      </w:r>
      <w:proofErr w:type="spellStart"/>
      <w:r w:rsidRPr="00E126EF">
        <w:rPr>
          <w:rFonts w:eastAsiaTheme="minorHAnsi" w:cstheme="minorBidi"/>
          <w:szCs w:val="22"/>
        </w:rPr>
        <w:t>Ferraz</w:t>
      </w:r>
      <w:proofErr w:type="spellEnd"/>
      <w:r w:rsidRPr="00E126EF">
        <w:rPr>
          <w:rFonts w:eastAsiaTheme="minorHAnsi" w:cstheme="minorBidi"/>
          <w:szCs w:val="22"/>
        </w:rPr>
        <w:t xml:space="preserve">-de-Paula V, Palermo-Neto J, Castro CN, </w:t>
      </w:r>
      <w:proofErr w:type="spellStart"/>
      <w:r w:rsidRPr="00E126EF">
        <w:rPr>
          <w:rFonts w:eastAsiaTheme="minorHAnsi" w:cstheme="minorBidi"/>
          <w:szCs w:val="22"/>
        </w:rPr>
        <w:t>Druker</w:t>
      </w:r>
      <w:proofErr w:type="spellEnd"/>
      <w:r w:rsidRPr="00E126EF">
        <w:rPr>
          <w:rFonts w:eastAsiaTheme="minorHAnsi" w:cstheme="minorBidi"/>
          <w:szCs w:val="22"/>
        </w:rPr>
        <w:t xml:space="preserve"> J, </w:t>
      </w:r>
      <w:proofErr w:type="spellStart"/>
      <w:r w:rsidRPr="00E126EF">
        <w:rPr>
          <w:rFonts w:eastAsiaTheme="minorHAnsi" w:cstheme="minorBidi"/>
          <w:szCs w:val="22"/>
        </w:rPr>
        <w:t>Holsboer</w:t>
      </w:r>
      <w:proofErr w:type="spellEnd"/>
      <w:r w:rsidRPr="00E126EF">
        <w:rPr>
          <w:rFonts w:eastAsiaTheme="minorHAnsi" w:cstheme="minorBidi"/>
          <w:szCs w:val="22"/>
        </w:rPr>
        <w:t xml:space="preserve"> F, Perone MJ, </w:t>
      </w:r>
      <w:proofErr w:type="spellStart"/>
      <w:r w:rsidRPr="00E126EF">
        <w:rPr>
          <w:rFonts w:eastAsiaTheme="minorHAnsi" w:cstheme="minorBidi"/>
          <w:szCs w:val="22"/>
        </w:rPr>
        <w:t>Gerlo</w:t>
      </w:r>
      <w:proofErr w:type="spellEnd"/>
      <w:r w:rsidRPr="00E126EF">
        <w:rPr>
          <w:rFonts w:eastAsiaTheme="minorHAnsi" w:cstheme="minorBidi"/>
          <w:szCs w:val="22"/>
        </w:rPr>
        <w:t xml:space="preserve"> S, De </w:t>
      </w:r>
      <w:proofErr w:type="spellStart"/>
      <w:r w:rsidRPr="00E126EF">
        <w:rPr>
          <w:rFonts w:eastAsiaTheme="minorHAnsi" w:cstheme="minorBidi"/>
          <w:szCs w:val="22"/>
        </w:rPr>
        <w:t>Bosscher</w:t>
      </w:r>
      <w:proofErr w:type="spellEnd"/>
      <w:r w:rsidRPr="00E126EF">
        <w:rPr>
          <w:rFonts w:eastAsiaTheme="minorHAnsi" w:cstheme="minorBidi"/>
          <w:szCs w:val="22"/>
        </w:rPr>
        <w:t xml:space="preserve"> K, </w:t>
      </w:r>
      <w:proofErr w:type="spellStart"/>
      <w:r w:rsidRPr="00E126EF">
        <w:rPr>
          <w:rFonts w:eastAsiaTheme="minorHAnsi" w:cstheme="minorBidi"/>
          <w:szCs w:val="22"/>
        </w:rPr>
        <w:t>Haegeman</w:t>
      </w:r>
      <w:proofErr w:type="spellEnd"/>
      <w:r w:rsidRPr="00E126EF">
        <w:rPr>
          <w:rFonts w:eastAsiaTheme="minorHAnsi" w:cstheme="minorBidi"/>
          <w:szCs w:val="22"/>
        </w:rPr>
        <w:t xml:space="preserve"> G, </w:t>
      </w:r>
      <w:proofErr w:type="spellStart"/>
      <w:r w:rsidRPr="00E126EF">
        <w:rPr>
          <w:rFonts w:eastAsiaTheme="minorHAnsi" w:cstheme="minorBidi"/>
          <w:szCs w:val="22"/>
        </w:rPr>
        <w:t>Arzt</w:t>
      </w:r>
      <w:proofErr w:type="spellEnd"/>
      <w:r w:rsidRPr="00E126EF">
        <w:rPr>
          <w:rFonts w:eastAsiaTheme="minorHAnsi" w:cstheme="minorBidi"/>
          <w:szCs w:val="22"/>
        </w:rPr>
        <w:t xml:space="preserve"> E. Compound A, a dissociated glucocorticoid receptor modulator, inhibits T-bet (Th1) and induces GATA-3 (Th2) activity in immune cells.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2012; </w:t>
      </w:r>
      <w:proofErr w:type="gramStart"/>
      <w:r w:rsidRPr="00E126EF">
        <w:rPr>
          <w:rFonts w:eastAsiaTheme="minorHAnsi" w:cstheme="minorBidi"/>
          <w:szCs w:val="22"/>
        </w:rPr>
        <w:t>7:e</w:t>
      </w:r>
      <w:proofErr w:type="gramEnd"/>
      <w:r w:rsidRPr="00E126EF">
        <w:rPr>
          <w:rFonts w:eastAsiaTheme="minorHAnsi" w:cstheme="minorBidi"/>
          <w:szCs w:val="22"/>
        </w:rPr>
        <w:t>35155</w:t>
      </w:r>
    </w:p>
    <w:p w14:paraId="128DEDC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217.</w:t>
      </w:r>
      <w:r w:rsidRPr="00E126EF">
        <w:rPr>
          <w:rFonts w:eastAsiaTheme="minorHAnsi" w:cstheme="minorBidi"/>
          <w:szCs w:val="22"/>
        </w:rPr>
        <w:tab/>
        <w:t xml:space="preserve">Reuter KC, </w:t>
      </w:r>
      <w:proofErr w:type="spellStart"/>
      <w:r w:rsidRPr="00E126EF">
        <w:rPr>
          <w:rFonts w:eastAsiaTheme="minorHAnsi" w:cstheme="minorBidi"/>
          <w:szCs w:val="22"/>
        </w:rPr>
        <w:t>Loitsch</w:t>
      </w:r>
      <w:proofErr w:type="spellEnd"/>
      <w:r w:rsidRPr="00E126EF">
        <w:rPr>
          <w:rFonts w:eastAsiaTheme="minorHAnsi" w:cstheme="minorBidi"/>
          <w:szCs w:val="22"/>
        </w:rPr>
        <w:t xml:space="preserve"> SM, </w:t>
      </w:r>
      <w:proofErr w:type="spellStart"/>
      <w:r w:rsidRPr="00E126EF">
        <w:rPr>
          <w:rFonts w:eastAsiaTheme="minorHAnsi" w:cstheme="minorBidi"/>
          <w:szCs w:val="22"/>
        </w:rPr>
        <w:t>Dignass</w:t>
      </w:r>
      <w:proofErr w:type="spellEnd"/>
      <w:r w:rsidRPr="00E126EF">
        <w:rPr>
          <w:rFonts w:eastAsiaTheme="minorHAnsi" w:cstheme="minorBidi"/>
          <w:szCs w:val="22"/>
        </w:rPr>
        <w:t xml:space="preserve"> AU, </w:t>
      </w:r>
      <w:proofErr w:type="spellStart"/>
      <w:r w:rsidRPr="00E126EF">
        <w:rPr>
          <w:rFonts w:eastAsiaTheme="minorHAnsi" w:cstheme="minorBidi"/>
          <w:szCs w:val="22"/>
        </w:rPr>
        <w:t>Steinhilber</w:t>
      </w:r>
      <w:proofErr w:type="spellEnd"/>
      <w:r w:rsidRPr="00E126EF">
        <w:rPr>
          <w:rFonts w:eastAsiaTheme="minorHAnsi" w:cstheme="minorBidi"/>
          <w:szCs w:val="22"/>
        </w:rPr>
        <w:t xml:space="preserve"> D, Stein J. Selective non-steroidal glucocorticoid receptor agonists attenuate inflammation but do not impair intestinal epithelial cell restitution in vitro.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2012; </w:t>
      </w:r>
      <w:proofErr w:type="gramStart"/>
      <w:r w:rsidRPr="00E126EF">
        <w:rPr>
          <w:rFonts w:eastAsiaTheme="minorHAnsi" w:cstheme="minorBidi"/>
          <w:szCs w:val="22"/>
        </w:rPr>
        <w:t>7:e</w:t>
      </w:r>
      <w:proofErr w:type="gramEnd"/>
      <w:r w:rsidRPr="00E126EF">
        <w:rPr>
          <w:rFonts w:eastAsiaTheme="minorHAnsi" w:cstheme="minorBidi"/>
          <w:szCs w:val="22"/>
        </w:rPr>
        <w:t>29756</w:t>
      </w:r>
    </w:p>
    <w:p w14:paraId="69E784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218.</w:t>
      </w:r>
      <w:r w:rsidRPr="00E126EF">
        <w:rPr>
          <w:rFonts w:eastAsiaTheme="minorHAnsi" w:cstheme="minorBidi"/>
          <w:szCs w:val="22"/>
        </w:rPr>
        <w:tab/>
        <w:t xml:space="preserve">De </w:t>
      </w:r>
      <w:proofErr w:type="spellStart"/>
      <w:r w:rsidRPr="00E126EF">
        <w:rPr>
          <w:rFonts w:eastAsiaTheme="minorHAnsi" w:cstheme="minorBidi"/>
          <w:szCs w:val="22"/>
        </w:rPr>
        <w:t>Bosscher</w:t>
      </w:r>
      <w:proofErr w:type="spellEnd"/>
      <w:r w:rsidRPr="00E126EF">
        <w:rPr>
          <w:rFonts w:eastAsiaTheme="minorHAnsi" w:cstheme="minorBidi"/>
          <w:szCs w:val="22"/>
        </w:rPr>
        <w:t xml:space="preserve"> K, Beck IM, </w:t>
      </w:r>
      <w:proofErr w:type="spellStart"/>
      <w:r w:rsidRPr="00E126EF">
        <w:rPr>
          <w:rFonts w:eastAsiaTheme="minorHAnsi" w:cstheme="minorBidi"/>
          <w:szCs w:val="22"/>
        </w:rPr>
        <w:t>Dejager</w:t>
      </w:r>
      <w:proofErr w:type="spellEnd"/>
      <w:r w:rsidRPr="00E126EF">
        <w:rPr>
          <w:rFonts w:eastAsiaTheme="minorHAnsi" w:cstheme="minorBidi"/>
          <w:szCs w:val="22"/>
        </w:rPr>
        <w:t xml:space="preserve"> L, </w:t>
      </w:r>
      <w:proofErr w:type="spellStart"/>
      <w:r w:rsidRPr="00E126EF">
        <w:rPr>
          <w:rFonts w:eastAsiaTheme="minorHAnsi" w:cstheme="minorBidi"/>
          <w:szCs w:val="22"/>
        </w:rPr>
        <w:t>Bougarne</w:t>
      </w:r>
      <w:proofErr w:type="spellEnd"/>
      <w:r w:rsidRPr="00E126EF">
        <w:rPr>
          <w:rFonts w:eastAsiaTheme="minorHAnsi" w:cstheme="minorBidi"/>
          <w:szCs w:val="22"/>
        </w:rPr>
        <w:t xml:space="preserve"> N, </w:t>
      </w:r>
      <w:proofErr w:type="spellStart"/>
      <w:r w:rsidRPr="00E126EF">
        <w:rPr>
          <w:rFonts w:eastAsiaTheme="minorHAnsi" w:cstheme="minorBidi"/>
          <w:szCs w:val="22"/>
        </w:rPr>
        <w:t>Gaigneaux</w:t>
      </w:r>
      <w:proofErr w:type="spellEnd"/>
      <w:r w:rsidRPr="00E126EF">
        <w:rPr>
          <w:rFonts w:eastAsiaTheme="minorHAnsi" w:cstheme="minorBidi"/>
          <w:szCs w:val="22"/>
        </w:rPr>
        <w:t xml:space="preserve"> A, </w:t>
      </w:r>
      <w:proofErr w:type="spellStart"/>
      <w:r w:rsidRPr="00E126EF">
        <w:rPr>
          <w:rFonts w:eastAsiaTheme="minorHAnsi" w:cstheme="minorBidi"/>
          <w:szCs w:val="22"/>
        </w:rPr>
        <w:t>Chateauvieux</w:t>
      </w:r>
      <w:proofErr w:type="spellEnd"/>
      <w:r w:rsidRPr="00E126EF">
        <w:rPr>
          <w:rFonts w:eastAsiaTheme="minorHAnsi" w:cstheme="minorBidi"/>
          <w:szCs w:val="22"/>
        </w:rPr>
        <w:t xml:space="preserve"> S, Ratman D, </w:t>
      </w:r>
      <w:proofErr w:type="spellStart"/>
      <w:r w:rsidRPr="00E126EF">
        <w:rPr>
          <w:rFonts w:eastAsiaTheme="minorHAnsi" w:cstheme="minorBidi"/>
          <w:szCs w:val="22"/>
        </w:rPr>
        <w:t>Bracke</w:t>
      </w:r>
      <w:proofErr w:type="spellEnd"/>
      <w:r w:rsidRPr="00E126EF">
        <w:rPr>
          <w:rFonts w:eastAsiaTheme="minorHAnsi" w:cstheme="minorBidi"/>
          <w:szCs w:val="22"/>
        </w:rPr>
        <w:t xml:space="preserve"> M, Tavernier J, Vanden </w:t>
      </w:r>
      <w:proofErr w:type="spellStart"/>
      <w:r w:rsidRPr="00E126EF">
        <w:rPr>
          <w:rFonts w:eastAsiaTheme="minorHAnsi" w:cstheme="minorBidi"/>
          <w:szCs w:val="22"/>
        </w:rPr>
        <w:t>Berghe</w:t>
      </w:r>
      <w:proofErr w:type="spellEnd"/>
      <w:r w:rsidRPr="00E126EF">
        <w:rPr>
          <w:rFonts w:eastAsiaTheme="minorHAnsi" w:cstheme="minorBidi"/>
          <w:szCs w:val="22"/>
        </w:rPr>
        <w:t xml:space="preserve"> W, </w:t>
      </w:r>
      <w:proofErr w:type="spellStart"/>
      <w:r w:rsidRPr="00E126EF">
        <w:rPr>
          <w:rFonts w:eastAsiaTheme="minorHAnsi" w:cstheme="minorBidi"/>
          <w:szCs w:val="22"/>
        </w:rPr>
        <w:t>Libert</w:t>
      </w:r>
      <w:proofErr w:type="spellEnd"/>
      <w:r w:rsidRPr="00E126EF">
        <w:rPr>
          <w:rFonts w:eastAsiaTheme="minorHAnsi" w:cstheme="minorBidi"/>
          <w:szCs w:val="22"/>
        </w:rPr>
        <w:t xml:space="preserve"> C, </w:t>
      </w:r>
      <w:proofErr w:type="spellStart"/>
      <w:r w:rsidRPr="00E126EF">
        <w:rPr>
          <w:rFonts w:eastAsiaTheme="minorHAnsi" w:cstheme="minorBidi"/>
          <w:szCs w:val="22"/>
        </w:rPr>
        <w:t>Diederich</w:t>
      </w:r>
      <w:proofErr w:type="spellEnd"/>
      <w:r w:rsidRPr="00E126EF">
        <w:rPr>
          <w:rFonts w:eastAsiaTheme="minorHAnsi" w:cstheme="minorBidi"/>
          <w:szCs w:val="22"/>
        </w:rPr>
        <w:t xml:space="preserve"> M, </w:t>
      </w:r>
      <w:proofErr w:type="spellStart"/>
      <w:r w:rsidRPr="00E126EF">
        <w:rPr>
          <w:rFonts w:eastAsiaTheme="minorHAnsi" w:cstheme="minorBidi"/>
          <w:szCs w:val="22"/>
        </w:rPr>
        <w:t>Haegeman</w:t>
      </w:r>
      <w:proofErr w:type="spellEnd"/>
      <w:r w:rsidRPr="00E126EF">
        <w:rPr>
          <w:rFonts w:eastAsiaTheme="minorHAnsi" w:cstheme="minorBidi"/>
          <w:szCs w:val="22"/>
        </w:rPr>
        <w:t xml:space="preserve"> G. Selective modulation of the glucocorticoid receptor can distinguish between transrepression of NF-kB and AP-1. Cell Mol Life Sci 2014; 71:143-163</w:t>
      </w:r>
    </w:p>
    <w:p w14:paraId="71E029F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219.</w:t>
      </w:r>
      <w:r w:rsidRPr="00E126EF">
        <w:rPr>
          <w:rFonts w:eastAsiaTheme="minorHAnsi" w:cstheme="minorBidi"/>
          <w:szCs w:val="22"/>
        </w:rPr>
        <w:tab/>
      </w:r>
      <w:proofErr w:type="spellStart"/>
      <w:r w:rsidRPr="00E126EF">
        <w:rPr>
          <w:rFonts w:eastAsiaTheme="minorHAnsi" w:cstheme="minorBidi"/>
          <w:szCs w:val="22"/>
        </w:rPr>
        <w:t>Lesovaya</w:t>
      </w:r>
      <w:proofErr w:type="spellEnd"/>
      <w:r w:rsidRPr="00E126EF">
        <w:rPr>
          <w:rFonts w:eastAsiaTheme="minorHAnsi" w:cstheme="minorBidi"/>
          <w:szCs w:val="22"/>
        </w:rPr>
        <w:t xml:space="preserve"> E, </w:t>
      </w:r>
      <w:proofErr w:type="spellStart"/>
      <w:r w:rsidRPr="00E126EF">
        <w:rPr>
          <w:rFonts w:eastAsiaTheme="minorHAnsi" w:cstheme="minorBidi"/>
          <w:szCs w:val="22"/>
        </w:rPr>
        <w:t>Yemelyanov</w:t>
      </w:r>
      <w:proofErr w:type="spellEnd"/>
      <w:r w:rsidRPr="00E126EF">
        <w:rPr>
          <w:rFonts w:eastAsiaTheme="minorHAnsi" w:cstheme="minorBidi"/>
          <w:szCs w:val="22"/>
        </w:rPr>
        <w:t xml:space="preserve"> A, </w:t>
      </w:r>
      <w:proofErr w:type="spellStart"/>
      <w:r w:rsidRPr="00E126EF">
        <w:rPr>
          <w:rFonts w:eastAsiaTheme="minorHAnsi" w:cstheme="minorBidi"/>
          <w:szCs w:val="22"/>
        </w:rPr>
        <w:t>Kirsanov</w:t>
      </w:r>
      <w:proofErr w:type="spellEnd"/>
      <w:r w:rsidRPr="00E126EF">
        <w:rPr>
          <w:rFonts w:eastAsiaTheme="minorHAnsi" w:cstheme="minorBidi"/>
          <w:szCs w:val="22"/>
        </w:rPr>
        <w:t xml:space="preserve"> K, Popa A, </w:t>
      </w:r>
      <w:proofErr w:type="spellStart"/>
      <w:r w:rsidRPr="00E126EF">
        <w:rPr>
          <w:rFonts w:eastAsiaTheme="minorHAnsi" w:cstheme="minorBidi"/>
          <w:szCs w:val="22"/>
        </w:rPr>
        <w:t>Belitsky</w:t>
      </w:r>
      <w:proofErr w:type="spellEnd"/>
      <w:r w:rsidRPr="00E126EF">
        <w:rPr>
          <w:rFonts w:eastAsiaTheme="minorHAnsi" w:cstheme="minorBidi"/>
          <w:szCs w:val="22"/>
        </w:rPr>
        <w:t xml:space="preserve"> G, </w:t>
      </w:r>
      <w:proofErr w:type="spellStart"/>
      <w:r w:rsidRPr="00E126EF">
        <w:rPr>
          <w:rFonts w:eastAsiaTheme="minorHAnsi" w:cstheme="minorBidi"/>
          <w:szCs w:val="22"/>
        </w:rPr>
        <w:t>Yakubovskaya</w:t>
      </w:r>
      <w:proofErr w:type="spellEnd"/>
      <w:r w:rsidRPr="00E126EF">
        <w:rPr>
          <w:rFonts w:eastAsiaTheme="minorHAnsi" w:cstheme="minorBidi"/>
          <w:szCs w:val="22"/>
        </w:rPr>
        <w:t xml:space="preserve"> M, Gordon LI, Rosen ST, </w:t>
      </w:r>
      <w:proofErr w:type="spellStart"/>
      <w:r w:rsidRPr="00E126EF">
        <w:rPr>
          <w:rFonts w:eastAsiaTheme="minorHAnsi" w:cstheme="minorBidi"/>
          <w:szCs w:val="22"/>
        </w:rPr>
        <w:t>Budunova</w:t>
      </w:r>
      <w:proofErr w:type="spellEnd"/>
      <w:r w:rsidRPr="00E126EF">
        <w:rPr>
          <w:rFonts w:eastAsiaTheme="minorHAnsi" w:cstheme="minorBidi"/>
          <w:szCs w:val="22"/>
        </w:rPr>
        <w:t xml:space="preserve"> I. Combination of a selective activator of the glucocorticoid receptor Compound A with a proteasome inhibitor as a novel strategy for chemotherapy of hematologic malignancies. Cell Cycle 2013; 12:133-144</w:t>
      </w:r>
    </w:p>
    <w:p w14:paraId="3FB7886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220.</w:t>
      </w:r>
      <w:r w:rsidRPr="00E126EF">
        <w:rPr>
          <w:rFonts w:eastAsiaTheme="minorHAnsi" w:cstheme="minorBidi"/>
          <w:szCs w:val="22"/>
        </w:rPr>
        <w:tab/>
        <w:t xml:space="preserve">Zheng Y, Ishiguro H, Ide H, Inoue S, </w:t>
      </w:r>
      <w:proofErr w:type="spellStart"/>
      <w:r w:rsidRPr="00E126EF">
        <w:rPr>
          <w:rFonts w:eastAsiaTheme="minorHAnsi" w:cstheme="minorBidi"/>
          <w:szCs w:val="22"/>
        </w:rPr>
        <w:t>Kashiwagi</w:t>
      </w:r>
      <w:proofErr w:type="spellEnd"/>
      <w:r w:rsidRPr="00E126EF">
        <w:rPr>
          <w:rFonts w:eastAsiaTheme="minorHAnsi" w:cstheme="minorBidi"/>
          <w:szCs w:val="22"/>
        </w:rPr>
        <w:t xml:space="preserve"> E, Kawahara T, </w:t>
      </w:r>
      <w:proofErr w:type="spellStart"/>
      <w:r w:rsidRPr="00E126EF">
        <w:rPr>
          <w:rFonts w:eastAsiaTheme="minorHAnsi" w:cstheme="minorBidi"/>
          <w:szCs w:val="22"/>
        </w:rPr>
        <w:t>Jalalizadeh</w:t>
      </w:r>
      <w:proofErr w:type="spellEnd"/>
      <w:r w:rsidRPr="00E126EF">
        <w:rPr>
          <w:rFonts w:eastAsiaTheme="minorHAnsi" w:cstheme="minorBidi"/>
          <w:szCs w:val="22"/>
        </w:rPr>
        <w:t xml:space="preserve"> M, Reis LO, Miyamoto H. Compound A inhibits bladder cancer growth predominantly via glucocorticoid receptor transrepression. Mol Endocrinol 2015; 29:1486-1497</w:t>
      </w:r>
    </w:p>
    <w:p w14:paraId="7EF7D75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221.</w:t>
      </w:r>
      <w:r w:rsidRPr="00E126EF">
        <w:rPr>
          <w:rFonts w:eastAsiaTheme="minorHAnsi" w:cstheme="minorBidi"/>
          <w:szCs w:val="22"/>
        </w:rPr>
        <w:tab/>
        <w:t xml:space="preserve">Chen Z, Lan X, Wu D, </w:t>
      </w:r>
      <w:proofErr w:type="spellStart"/>
      <w:r w:rsidRPr="00E126EF">
        <w:rPr>
          <w:rFonts w:eastAsiaTheme="minorHAnsi" w:cstheme="minorBidi"/>
          <w:szCs w:val="22"/>
        </w:rPr>
        <w:t>Sunkel</w:t>
      </w:r>
      <w:proofErr w:type="spellEnd"/>
      <w:r w:rsidRPr="00E126EF">
        <w:rPr>
          <w:rFonts w:eastAsiaTheme="minorHAnsi" w:cstheme="minorBidi"/>
          <w:szCs w:val="22"/>
        </w:rPr>
        <w:t xml:space="preserve"> B, Ye Z, Huang J, Liu Z, Clinton SK, </w:t>
      </w:r>
      <w:proofErr w:type="spellStart"/>
      <w:r w:rsidRPr="00E126EF">
        <w:rPr>
          <w:rFonts w:eastAsiaTheme="minorHAnsi" w:cstheme="minorBidi"/>
          <w:szCs w:val="22"/>
        </w:rPr>
        <w:t>Jin</w:t>
      </w:r>
      <w:proofErr w:type="spellEnd"/>
      <w:r w:rsidRPr="00E126EF">
        <w:rPr>
          <w:rFonts w:eastAsiaTheme="minorHAnsi" w:cstheme="minorBidi"/>
          <w:szCs w:val="22"/>
        </w:rPr>
        <w:t xml:space="preserve"> VX, Wang Q. Ligand-dependent genomic function of glucocorticoid receptor in triple-negative breast cancer. Nat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2015; 6:8323</w:t>
      </w:r>
    </w:p>
    <w:p w14:paraId="050DFAB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222.</w:t>
      </w:r>
      <w:r w:rsidRPr="00E126EF">
        <w:rPr>
          <w:rFonts w:eastAsiaTheme="minorHAnsi" w:cstheme="minorBidi"/>
          <w:szCs w:val="22"/>
        </w:rPr>
        <w:tab/>
        <w:t>Muir DC, Howard PH. Are there other persistent organic pollutants? A challenge for environmental chemists. Environ Sci Technol 2006; 40:7157-7166</w:t>
      </w:r>
    </w:p>
    <w:p w14:paraId="045899C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223.</w:t>
      </w:r>
      <w:r w:rsidRPr="00E126EF">
        <w:rPr>
          <w:rFonts w:eastAsiaTheme="minorHAnsi" w:cstheme="minorBidi"/>
          <w:szCs w:val="22"/>
        </w:rPr>
        <w:tab/>
        <w:t xml:space="preserve">Soto AM, Rubin BS, </w:t>
      </w:r>
      <w:proofErr w:type="spellStart"/>
      <w:r w:rsidRPr="00E126EF">
        <w:rPr>
          <w:rFonts w:eastAsiaTheme="minorHAnsi" w:cstheme="minorBidi"/>
          <w:szCs w:val="22"/>
        </w:rPr>
        <w:t>Sonnenschein</w:t>
      </w:r>
      <w:proofErr w:type="spellEnd"/>
      <w:r w:rsidRPr="00E126EF">
        <w:rPr>
          <w:rFonts w:eastAsiaTheme="minorHAnsi" w:cstheme="minorBidi"/>
          <w:szCs w:val="22"/>
        </w:rPr>
        <w:t xml:space="preserve"> C. Interpreting endocrine disruption from an integrative biology perspective. Mol Cell Endocrinol 2009; 304:3-7</w:t>
      </w:r>
    </w:p>
    <w:p w14:paraId="5610F3F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224.</w:t>
      </w:r>
      <w:r w:rsidRPr="00E126EF">
        <w:rPr>
          <w:rFonts w:eastAsiaTheme="minorHAnsi" w:cstheme="minorBidi"/>
          <w:szCs w:val="22"/>
        </w:rPr>
        <w:tab/>
      </w:r>
      <w:proofErr w:type="spellStart"/>
      <w:r w:rsidRPr="00E126EF">
        <w:rPr>
          <w:rFonts w:eastAsiaTheme="minorHAnsi" w:cstheme="minorBidi"/>
          <w:szCs w:val="22"/>
        </w:rPr>
        <w:t>Kolsek</w:t>
      </w:r>
      <w:proofErr w:type="spellEnd"/>
      <w:r w:rsidRPr="00E126EF">
        <w:rPr>
          <w:rFonts w:eastAsiaTheme="minorHAnsi" w:cstheme="minorBidi"/>
          <w:szCs w:val="22"/>
        </w:rPr>
        <w:t xml:space="preserve"> K, </w:t>
      </w:r>
      <w:proofErr w:type="spellStart"/>
      <w:r w:rsidRPr="00E126EF">
        <w:rPr>
          <w:rFonts w:eastAsiaTheme="minorHAnsi" w:cstheme="minorBidi"/>
          <w:szCs w:val="22"/>
        </w:rPr>
        <w:t>Gobec</w:t>
      </w:r>
      <w:proofErr w:type="spellEnd"/>
      <w:r w:rsidRPr="00E126EF">
        <w:rPr>
          <w:rFonts w:eastAsiaTheme="minorHAnsi" w:cstheme="minorBidi"/>
          <w:szCs w:val="22"/>
        </w:rPr>
        <w:t xml:space="preserve"> M, </w:t>
      </w:r>
      <w:proofErr w:type="spellStart"/>
      <w:r w:rsidRPr="00E126EF">
        <w:rPr>
          <w:rFonts w:eastAsiaTheme="minorHAnsi" w:cstheme="minorBidi"/>
          <w:szCs w:val="22"/>
        </w:rPr>
        <w:t>Mlinaric</w:t>
      </w:r>
      <w:proofErr w:type="spellEnd"/>
      <w:r w:rsidRPr="00E126EF">
        <w:rPr>
          <w:rFonts w:eastAsiaTheme="minorHAnsi" w:cstheme="minorBidi"/>
          <w:szCs w:val="22"/>
        </w:rPr>
        <w:t xml:space="preserve"> </w:t>
      </w:r>
      <w:proofErr w:type="spellStart"/>
      <w:r w:rsidRPr="00E126EF">
        <w:rPr>
          <w:rFonts w:eastAsiaTheme="minorHAnsi" w:cstheme="minorBidi"/>
          <w:szCs w:val="22"/>
        </w:rPr>
        <w:t>Rascan</w:t>
      </w:r>
      <w:proofErr w:type="spellEnd"/>
      <w:r w:rsidRPr="00E126EF">
        <w:rPr>
          <w:rFonts w:eastAsiaTheme="minorHAnsi" w:cstheme="minorBidi"/>
          <w:szCs w:val="22"/>
        </w:rPr>
        <w:t xml:space="preserve"> I, </w:t>
      </w:r>
      <w:proofErr w:type="spellStart"/>
      <w:r w:rsidRPr="00E126EF">
        <w:rPr>
          <w:rFonts w:eastAsiaTheme="minorHAnsi" w:cstheme="minorBidi"/>
          <w:szCs w:val="22"/>
        </w:rPr>
        <w:t>Sollner</w:t>
      </w:r>
      <w:proofErr w:type="spellEnd"/>
      <w:r w:rsidRPr="00E126EF">
        <w:rPr>
          <w:rFonts w:eastAsiaTheme="minorHAnsi" w:cstheme="minorBidi"/>
          <w:szCs w:val="22"/>
        </w:rPr>
        <w:t xml:space="preserve"> </w:t>
      </w:r>
      <w:proofErr w:type="spellStart"/>
      <w:r w:rsidRPr="00E126EF">
        <w:rPr>
          <w:rFonts w:eastAsiaTheme="minorHAnsi" w:cstheme="minorBidi"/>
          <w:szCs w:val="22"/>
        </w:rPr>
        <w:t>Dolenc</w:t>
      </w:r>
      <w:proofErr w:type="spellEnd"/>
      <w:r w:rsidRPr="00E126EF">
        <w:rPr>
          <w:rFonts w:eastAsiaTheme="minorHAnsi" w:cstheme="minorBidi"/>
          <w:szCs w:val="22"/>
        </w:rPr>
        <w:t xml:space="preserve"> M. Screening of bisphenol A, triclosan and paraben analogues as modulators of the glucocorticoid and androgen receptor activities. </w:t>
      </w:r>
      <w:proofErr w:type="spellStart"/>
      <w:r w:rsidRPr="00E126EF">
        <w:rPr>
          <w:rFonts w:eastAsiaTheme="minorHAnsi" w:cstheme="minorBidi"/>
          <w:szCs w:val="22"/>
        </w:rPr>
        <w:t>Toxicol</w:t>
      </w:r>
      <w:proofErr w:type="spellEnd"/>
      <w:r w:rsidRPr="00E126EF">
        <w:rPr>
          <w:rFonts w:eastAsiaTheme="minorHAnsi" w:cstheme="minorBidi"/>
          <w:szCs w:val="22"/>
        </w:rPr>
        <w:t xml:space="preserve"> In Vitro 2015; 29:8-15</w:t>
      </w:r>
    </w:p>
    <w:p w14:paraId="636CF25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225.</w:t>
      </w:r>
      <w:r w:rsidRPr="00E126EF">
        <w:rPr>
          <w:rFonts w:eastAsiaTheme="minorHAnsi" w:cstheme="minorBidi"/>
          <w:szCs w:val="22"/>
        </w:rPr>
        <w:tab/>
      </w:r>
      <w:proofErr w:type="spellStart"/>
      <w:r w:rsidRPr="00E126EF">
        <w:rPr>
          <w:rFonts w:eastAsiaTheme="minorHAnsi" w:cstheme="minorBidi"/>
          <w:szCs w:val="22"/>
        </w:rPr>
        <w:t>Sarath</w:t>
      </w:r>
      <w:proofErr w:type="spellEnd"/>
      <w:r w:rsidRPr="00E126EF">
        <w:rPr>
          <w:rFonts w:eastAsiaTheme="minorHAnsi" w:cstheme="minorBidi"/>
          <w:szCs w:val="22"/>
        </w:rPr>
        <w:t xml:space="preserve"> Josh MK, Pradeep S, </w:t>
      </w:r>
      <w:proofErr w:type="spellStart"/>
      <w:r w:rsidRPr="00E126EF">
        <w:rPr>
          <w:rFonts w:eastAsiaTheme="minorHAnsi" w:cstheme="minorBidi"/>
          <w:szCs w:val="22"/>
        </w:rPr>
        <w:t>Vijayalekshmy</w:t>
      </w:r>
      <w:proofErr w:type="spellEnd"/>
      <w:r w:rsidRPr="00E126EF">
        <w:rPr>
          <w:rFonts w:eastAsiaTheme="minorHAnsi" w:cstheme="minorBidi"/>
          <w:szCs w:val="22"/>
        </w:rPr>
        <w:t xml:space="preserve"> Amma KS, Sudha Devi R, Balachandran S, Sreejith MN, Benjamin S. Human ketosteroid receptors interact with hazardous phthalate plasticizers and their metabolites: an </w:t>
      </w:r>
      <w:proofErr w:type="gramStart"/>
      <w:r w:rsidRPr="00E126EF">
        <w:rPr>
          <w:rFonts w:eastAsiaTheme="minorHAnsi" w:cstheme="minorBidi"/>
          <w:szCs w:val="22"/>
        </w:rPr>
        <w:t>in silico</w:t>
      </w:r>
      <w:proofErr w:type="gramEnd"/>
      <w:r w:rsidRPr="00E126EF">
        <w:rPr>
          <w:rFonts w:eastAsiaTheme="minorHAnsi" w:cstheme="minorBidi"/>
          <w:szCs w:val="22"/>
        </w:rPr>
        <w:t xml:space="preserve"> study. J Appl </w:t>
      </w:r>
      <w:proofErr w:type="spellStart"/>
      <w:r w:rsidRPr="00E126EF">
        <w:rPr>
          <w:rFonts w:eastAsiaTheme="minorHAnsi" w:cstheme="minorBidi"/>
          <w:szCs w:val="22"/>
        </w:rPr>
        <w:t>Toxicol</w:t>
      </w:r>
      <w:proofErr w:type="spellEnd"/>
      <w:r w:rsidRPr="00E126EF">
        <w:rPr>
          <w:rFonts w:eastAsiaTheme="minorHAnsi" w:cstheme="minorBidi"/>
          <w:szCs w:val="22"/>
        </w:rPr>
        <w:t xml:space="preserve"> 2016; 36:836-843</w:t>
      </w:r>
    </w:p>
    <w:p w14:paraId="6599239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226.</w:t>
      </w:r>
      <w:r w:rsidRPr="00E126EF">
        <w:rPr>
          <w:rFonts w:eastAsiaTheme="minorHAnsi" w:cstheme="minorBidi"/>
          <w:szCs w:val="22"/>
        </w:rPr>
        <w:tab/>
        <w:t xml:space="preserve">Lattin CR, Romero LM. Chronic exposure to a low dose of ingested petroleum disrupts corticosterone receptor </w:t>
      </w:r>
      <w:proofErr w:type="spellStart"/>
      <w:r w:rsidRPr="00E126EF">
        <w:rPr>
          <w:rFonts w:eastAsiaTheme="minorHAnsi" w:cstheme="minorBidi"/>
          <w:szCs w:val="22"/>
        </w:rPr>
        <w:t>signalling</w:t>
      </w:r>
      <w:proofErr w:type="spellEnd"/>
      <w:r w:rsidRPr="00E126EF">
        <w:rPr>
          <w:rFonts w:eastAsiaTheme="minorHAnsi" w:cstheme="minorBidi"/>
          <w:szCs w:val="22"/>
        </w:rPr>
        <w:t xml:space="preserve"> in a tissue-specific manner in the house sparrow (Passer </w:t>
      </w:r>
      <w:proofErr w:type="spellStart"/>
      <w:r w:rsidRPr="00E126EF">
        <w:rPr>
          <w:rFonts w:eastAsiaTheme="minorHAnsi" w:cstheme="minorBidi"/>
          <w:szCs w:val="22"/>
        </w:rPr>
        <w:t>domesticus</w:t>
      </w:r>
      <w:proofErr w:type="spellEnd"/>
      <w:r w:rsidRPr="00E126EF">
        <w:rPr>
          <w:rFonts w:eastAsiaTheme="minorHAnsi" w:cstheme="minorBidi"/>
          <w:szCs w:val="22"/>
        </w:rPr>
        <w:t xml:space="preserve">). </w:t>
      </w:r>
      <w:proofErr w:type="spellStart"/>
      <w:r w:rsidRPr="00E126EF">
        <w:rPr>
          <w:rFonts w:eastAsiaTheme="minorHAnsi" w:cstheme="minorBidi"/>
          <w:szCs w:val="22"/>
        </w:rPr>
        <w:t>Conserv</w:t>
      </w:r>
      <w:proofErr w:type="spellEnd"/>
      <w:r w:rsidRPr="00E126EF">
        <w:rPr>
          <w:rFonts w:eastAsiaTheme="minorHAnsi" w:cstheme="minorBidi"/>
          <w:szCs w:val="22"/>
        </w:rPr>
        <w:t xml:space="preserve"> </w:t>
      </w:r>
      <w:proofErr w:type="spellStart"/>
      <w:r w:rsidRPr="00E126EF">
        <w:rPr>
          <w:rFonts w:eastAsiaTheme="minorHAnsi" w:cstheme="minorBidi"/>
          <w:szCs w:val="22"/>
        </w:rPr>
        <w:t>Physiol</w:t>
      </w:r>
      <w:proofErr w:type="spellEnd"/>
      <w:r w:rsidRPr="00E126EF">
        <w:rPr>
          <w:rFonts w:eastAsiaTheme="minorHAnsi" w:cstheme="minorBidi"/>
          <w:szCs w:val="22"/>
        </w:rPr>
        <w:t xml:space="preserve"> 2014; </w:t>
      </w:r>
      <w:proofErr w:type="gramStart"/>
      <w:r w:rsidRPr="00E126EF">
        <w:rPr>
          <w:rFonts w:eastAsiaTheme="minorHAnsi" w:cstheme="minorBidi"/>
          <w:szCs w:val="22"/>
        </w:rPr>
        <w:t>2:cou</w:t>
      </w:r>
      <w:proofErr w:type="gramEnd"/>
      <w:r w:rsidRPr="00E126EF">
        <w:rPr>
          <w:rFonts w:eastAsiaTheme="minorHAnsi" w:cstheme="minorBidi"/>
          <w:szCs w:val="22"/>
        </w:rPr>
        <w:t>058</w:t>
      </w:r>
    </w:p>
    <w:p w14:paraId="3EF6E54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227.</w:t>
      </w:r>
      <w:r w:rsidRPr="00E126EF">
        <w:rPr>
          <w:rFonts w:eastAsiaTheme="minorHAnsi" w:cstheme="minorBidi"/>
          <w:szCs w:val="22"/>
        </w:rPr>
        <w:tab/>
      </w:r>
      <w:proofErr w:type="spellStart"/>
      <w:r w:rsidRPr="00E126EF">
        <w:rPr>
          <w:rFonts w:eastAsiaTheme="minorHAnsi" w:cstheme="minorBidi"/>
          <w:szCs w:val="22"/>
        </w:rPr>
        <w:t>Regnier</w:t>
      </w:r>
      <w:proofErr w:type="spellEnd"/>
      <w:r w:rsidRPr="00E126EF">
        <w:rPr>
          <w:rFonts w:eastAsiaTheme="minorHAnsi" w:cstheme="minorBidi"/>
          <w:szCs w:val="22"/>
        </w:rPr>
        <w:t xml:space="preserve"> SM, Kirkley AG, Ye H, El-</w:t>
      </w:r>
      <w:proofErr w:type="spellStart"/>
      <w:r w:rsidRPr="00E126EF">
        <w:rPr>
          <w:rFonts w:eastAsiaTheme="minorHAnsi" w:cstheme="minorBidi"/>
          <w:szCs w:val="22"/>
        </w:rPr>
        <w:t>Hashani</w:t>
      </w:r>
      <w:proofErr w:type="spellEnd"/>
      <w:r w:rsidRPr="00E126EF">
        <w:rPr>
          <w:rFonts w:eastAsiaTheme="minorHAnsi" w:cstheme="minorBidi"/>
          <w:szCs w:val="22"/>
        </w:rPr>
        <w:t xml:space="preserve"> E, Zhang X, Neel BA, Kamau W, Thomas CC, Williams AK, Hayes ET, </w:t>
      </w:r>
      <w:proofErr w:type="spellStart"/>
      <w:r w:rsidRPr="00E126EF">
        <w:rPr>
          <w:rFonts w:eastAsiaTheme="minorHAnsi" w:cstheme="minorBidi"/>
          <w:szCs w:val="22"/>
        </w:rPr>
        <w:t>Massad</w:t>
      </w:r>
      <w:proofErr w:type="spellEnd"/>
      <w:r w:rsidRPr="00E126EF">
        <w:rPr>
          <w:rFonts w:eastAsiaTheme="minorHAnsi" w:cstheme="minorBidi"/>
          <w:szCs w:val="22"/>
        </w:rPr>
        <w:t xml:space="preserve"> NL, Johnson DN, Huang L, Zhang C, </w:t>
      </w:r>
      <w:proofErr w:type="spellStart"/>
      <w:r w:rsidRPr="00E126EF">
        <w:rPr>
          <w:rFonts w:eastAsiaTheme="minorHAnsi" w:cstheme="minorBidi"/>
          <w:szCs w:val="22"/>
        </w:rPr>
        <w:t>Sargis</w:t>
      </w:r>
      <w:proofErr w:type="spellEnd"/>
      <w:r w:rsidRPr="00E126EF">
        <w:rPr>
          <w:rFonts w:eastAsiaTheme="minorHAnsi" w:cstheme="minorBidi"/>
          <w:szCs w:val="22"/>
        </w:rPr>
        <w:t xml:space="preserve"> RM. Dietary exposure to the endocrine disruptor </w:t>
      </w:r>
      <w:proofErr w:type="spellStart"/>
      <w:r w:rsidRPr="00E126EF">
        <w:rPr>
          <w:rFonts w:eastAsiaTheme="minorHAnsi" w:cstheme="minorBidi"/>
          <w:szCs w:val="22"/>
        </w:rPr>
        <w:t>tolylfluanid</w:t>
      </w:r>
      <w:proofErr w:type="spellEnd"/>
      <w:r w:rsidRPr="00E126EF">
        <w:rPr>
          <w:rFonts w:eastAsiaTheme="minorHAnsi" w:cstheme="minorBidi"/>
          <w:szCs w:val="22"/>
        </w:rPr>
        <w:t xml:space="preserve"> promotes global metabolic dysfunction in male mice. Endocrinology 2015; 156:896-910</w:t>
      </w:r>
    </w:p>
    <w:p w14:paraId="20C64F4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228.</w:t>
      </w:r>
      <w:r w:rsidRPr="00E126EF">
        <w:rPr>
          <w:rFonts w:eastAsiaTheme="minorHAnsi" w:cstheme="minorBidi"/>
          <w:szCs w:val="22"/>
        </w:rPr>
        <w:tab/>
      </w:r>
      <w:proofErr w:type="spellStart"/>
      <w:r w:rsidRPr="00E126EF">
        <w:rPr>
          <w:rFonts w:eastAsiaTheme="minorHAnsi" w:cstheme="minorBidi"/>
          <w:szCs w:val="22"/>
        </w:rPr>
        <w:t>Chantigny</w:t>
      </w:r>
      <w:proofErr w:type="spellEnd"/>
      <w:r w:rsidRPr="00E126EF">
        <w:rPr>
          <w:rFonts w:eastAsiaTheme="minorHAnsi" w:cstheme="minorBidi"/>
          <w:szCs w:val="22"/>
        </w:rPr>
        <w:t xml:space="preserve"> YA, Murray JC, Kleinman EF, Robinson RP, Plotkin MA, Reese MR, </w:t>
      </w:r>
      <w:proofErr w:type="spellStart"/>
      <w:r w:rsidRPr="00E126EF">
        <w:rPr>
          <w:rFonts w:eastAsiaTheme="minorHAnsi" w:cstheme="minorBidi"/>
          <w:szCs w:val="22"/>
        </w:rPr>
        <w:t>Buckbinder</w:t>
      </w:r>
      <w:proofErr w:type="spellEnd"/>
      <w:r w:rsidRPr="00E126EF">
        <w:rPr>
          <w:rFonts w:eastAsiaTheme="minorHAnsi" w:cstheme="minorBidi"/>
          <w:szCs w:val="22"/>
        </w:rPr>
        <w:t xml:space="preserve"> L, McNiff PA, </w:t>
      </w:r>
      <w:proofErr w:type="spellStart"/>
      <w:r w:rsidRPr="00E126EF">
        <w:rPr>
          <w:rFonts w:eastAsiaTheme="minorHAnsi" w:cstheme="minorBidi"/>
          <w:szCs w:val="22"/>
        </w:rPr>
        <w:t>Millham</w:t>
      </w:r>
      <w:proofErr w:type="spellEnd"/>
      <w:r w:rsidRPr="00E126EF">
        <w:rPr>
          <w:rFonts w:eastAsiaTheme="minorHAnsi" w:cstheme="minorBidi"/>
          <w:szCs w:val="22"/>
        </w:rPr>
        <w:t xml:space="preserve"> ML, Schaefer JF, Abramov YA, </w:t>
      </w:r>
      <w:proofErr w:type="spellStart"/>
      <w:r w:rsidRPr="00E126EF">
        <w:rPr>
          <w:rFonts w:eastAsiaTheme="minorHAnsi" w:cstheme="minorBidi"/>
          <w:szCs w:val="22"/>
        </w:rPr>
        <w:t>Bordner</w:t>
      </w:r>
      <w:proofErr w:type="spellEnd"/>
      <w:r w:rsidRPr="00E126EF">
        <w:rPr>
          <w:rFonts w:eastAsiaTheme="minorHAnsi" w:cstheme="minorBidi"/>
          <w:szCs w:val="22"/>
        </w:rPr>
        <w:t xml:space="preserve"> J. 2-Aryl-3-methyloctahydrophenanthrene-2,3,7-triols as potent dissociated glucocorticoid receptor agonists. J Med Chem 2015; 58:2658-2677</w:t>
      </w:r>
    </w:p>
    <w:p w14:paraId="72DB132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229.</w:t>
      </w:r>
      <w:r w:rsidRPr="00E126EF">
        <w:rPr>
          <w:rFonts w:eastAsiaTheme="minorHAnsi" w:cstheme="minorBidi"/>
          <w:szCs w:val="22"/>
        </w:rPr>
        <w:tab/>
      </w:r>
      <w:proofErr w:type="spellStart"/>
      <w:r w:rsidRPr="00E126EF">
        <w:rPr>
          <w:rFonts w:eastAsiaTheme="minorHAnsi" w:cstheme="minorBidi"/>
          <w:szCs w:val="22"/>
        </w:rPr>
        <w:t>Atucha</w:t>
      </w:r>
      <w:proofErr w:type="spellEnd"/>
      <w:r w:rsidRPr="00E126EF">
        <w:rPr>
          <w:rFonts w:eastAsiaTheme="minorHAnsi" w:cstheme="minorBidi"/>
          <w:szCs w:val="22"/>
        </w:rPr>
        <w:t xml:space="preserve"> E, </w:t>
      </w:r>
      <w:proofErr w:type="spellStart"/>
      <w:r w:rsidRPr="00E126EF">
        <w:rPr>
          <w:rFonts w:eastAsiaTheme="minorHAnsi" w:cstheme="minorBidi"/>
          <w:szCs w:val="22"/>
        </w:rPr>
        <w:t>Zalachoras</w:t>
      </w:r>
      <w:proofErr w:type="spellEnd"/>
      <w:r w:rsidRPr="00E126EF">
        <w:rPr>
          <w:rFonts w:eastAsiaTheme="minorHAnsi" w:cstheme="minorBidi"/>
          <w:szCs w:val="22"/>
        </w:rPr>
        <w:t xml:space="preserve"> I, van den Heuvel JK, van </w:t>
      </w:r>
      <w:proofErr w:type="spellStart"/>
      <w:r w:rsidRPr="00E126EF">
        <w:rPr>
          <w:rFonts w:eastAsiaTheme="minorHAnsi" w:cstheme="minorBidi"/>
          <w:szCs w:val="22"/>
        </w:rPr>
        <w:t>Weert</w:t>
      </w:r>
      <w:proofErr w:type="spellEnd"/>
      <w:r w:rsidRPr="00E126EF">
        <w:rPr>
          <w:rFonts w:eastAsiaTheme="minorHAnsi" w:cstheme="minorBidi"/>
          <w:szCs w:val="22"/>
        </w:rPr>
        <w:t xml:space="preserve"> LT, Melchers D, Mol IM, </w:t>
      </w:r>
      <w:proofErr w:type="spellStart"/>
      <w:r w:rsidRPr="00E126EF">
        <w:rPr>
          <w:rFonts w:eastAsiaTheme="minorHAnsi" w:cstheme="minorBidi"/>
          <w:szCs w:val="22"/>
        </w:rPr>
        <w:t>Belanoff</w:t>
      </w:r>
      <w:proofErr w:type="spellEnd"/>
      <w:r w:rsidRPr="00E126EF">
        <w:rPr>
          <w:rFonts w:eastAsiaTheme="minorHAnsi" w:cstheme="minorBidi"/>
          <w:szCs w:val="22"/>
        </w:rPr>
        <w:t xml:space="preserve"> JK, </w:t>
      </w:r>
      <w:proofErr w:type="spellStart"/>
      <w:r w:rsidRPr="00E126EF">
        <w:rPr>
          <w:rFonts w:eastAsiaTheme="minorHAnsi" w:cstheme="minorBidi"/>
          <w:szCs w:val="22"/>
        </w:rPr>
        <w:t>Houtman</w:t>
      </w:r>
      <w:proofErr w:type="spellEnd"/>
      <w:r w:rsidRPr="00E126EF">
        <w:rPr>
          <w:rFonts w:eastAsiaTheme="minorHAnsi" w:cstheme="minorBidi"/>
          <w:szCs w:val="22"/>
        </w:rPr>
        <w:t xml:space="preserve"> R, Hunt H, </w:t>
      </w:r>
      <w:proofErr w:type="spellStart"/>
      <w:r w:rsidRPr="00E126EF">
        <w:rPr>
          <w:rFonts w:eastAsiaTheme="minorHAnsi" w:cstheme="minorBidi"/>
          <w:szCs w:val="22"/>
        </w:rPr>
        <w:t>Roozendaal</w:t>
      </w:r>
      <w:proofErr w:type="spellEnd"/>
      <w:r w:rsidRPr="00E126EF">
        <w:rPr>
          <w:rFonts w:eastAsiaTheme="minorHAnsi" w:cstheme="minorBidi"/>
          <w:szCs w:val="22"/>
        </w:rPr>
        <w:t xml:space="preserve"> B, Meijer OC. A mixed glucocorticoid/mineralocorticoid selective modulator with dominant antagonism in the male rat brain. Endocrinology 2015; 156:4105-4114</w:t>
      </w:r>
    </w:p>
    <w:p w14:paraId="597AB54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230.</w:t>
      </w:r>
      <w:r w:rsidRPr="00E126EF">
        <w:rPr>
          <w:rFonts w:eastAsiaTheme="minorHAnsi" w:cstheme="minorBidi"/>
          <w:szCs w:val="22"/>
        </w:rPr>
        <w:tab/>
        <w:t xml:space="preserve">Eda M, Kuroda T, Kaneko S, Aoki Y, Yamashita M, Okumura C, Ikeda Y, </w:t>
      </w:r>
      <w:proofErr w:type="spellStart"/>
      <w:r w:rsidRPr="00E126EF">
        <w:rPr>
          <w:rFonts w:eastAsiaTheme="minorHAnsi" w:cstheme="minorBidi"/>
          <w:szCs w:val="22"/>
        </w:rPr>
        <w:t>Ohbora</w:t>
      </w:r>
      <w:proofErr w:type="spellEnd"/>
      <w:r w:rsidRPr="00E126EF">
        <w:rPr>
          <w:rFonts w:eastAsiaTheme="minorHAnsi" w:cstheme="minorBidi"/>
          <w:szCs w:val="22"/>
        </w:rPr>
        <w:t xml:space="preserve"> T, </w:t>
      </w:r>
      <w:proofErr w:type="spellStart"/>
      <w:r w:rsidRPr="00E126EF">
        <w:rPr>
          <w:rFonts w:eastAsiaTheme="minorHAnsi" w:cstheme="minorBidi"/>
          <w:szCs w:val="22"/>
        </w:rPr>
        <w:t>Sakaue</w:t>
      </w:r>
      <w:proofErr w:type="spellEnd"/>
      <w:r w:rsidRPr="00E126EF">
        <w:rPr>
          <w:rFonts w:eastAsiaTheme="minorHAnsi" w:cstheme="minorBidi"/>
          <w:szCs w:val="22"/>
        </w:rPr>
        <w:t xml:space="preserve"> M, Koyama N, </w:t>
      </w:r>
      <w:proofErr w:type="spellStart"/>
      <w:r w:rsidRPr="00E126EF">
        <w:rPr>
          <w:rFonts w:eastAsiaTheme="minorHAnsi" w:cstheme="minorBidi"/>
          <w:szCs w:val="22"/>
        </w:rPr>
        <w:t>Aritomo</w:t>
      </w:r>
      <w:proofErr w:type="spellEnd"/>
      <w:r w:rsidRPr="00E126EF">
        <w:rPr>
          <w:rFonts w:eastAsiaTheme="minorHAnsi" w:cstheme="minorBidi"/>
          <w:szCs w:val="22"/>
        </w:rPr>
        <w:t xml:space="preserve"> K. Synthesis and biological evaluation of </w:t>
      </w:r>
      <w:proofErr w:type="spellStart"/>
      <w:r w:rsidRPr="00E126EF">
        <w:rPr>
          <w:rFonts w:eastAsiaTheme="minorHAnsi" w:cstheme="minorBidi"/>
          <w:szCs w:val="22"/>
        </w:rPr>
        <w:t>cyclopentaquinoline</w:t>
      </w:r>
      <w:proofErr w:type="spellEnd"/>
      <w:r w:rsidRPr="00E126EF">
        <w:rPr>
          <w:rFonts w:eastAsiaTheme="minorHAnsi" w:cstheme="minorBidi"/>
          <w:szCs w:val="22"/>
        </w:rPr>
        <w:t xml:space="preserve"> derivatives as nonsteroidal glucocorticoid receptor antagonists. J Med Chem 2015; 58:4918-4926</w:t>
      </w:r>
    </w:p>
    <w:p w14:paraId="538862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231.</w:t>
      </w:r>
      <w:r w:rsidRPr="00E126EF">
        <w:rPr>
          <w:rFonts w:eastAsiaTheme="minorHAnsi" w:cstheme="minorBidi"/>
          <w:szCs w:val="22"/>
        </w:rPr>
        <w:tab/>
      </w:r>
      <w:proofErr w:type="spellStart"/>
      <w:r w:rsidRPr="00E126EF">
        <w:rPr>
          <w:rFonts w:eastAsiaTheme="minorHAnsi" w:cstheme="minorBidi"/>
          <w:szCs w:val="22"/>
        </w:rPr>
        <w:t>Harcken</w:t>
      </w:r>
      <w:proofErr w:type="spellEnd"/>
      <w:r w:rsidRPr="00E126EF">
        <w:rPr>
          <w:rFonts w:eastAsiaTheme="minorHAnsi" w:cstheme="minorBidi"/>
          <w:szCs w:val="22"/>
        </w:rPr>
        <w:t xml:space="preserve"> C, </w:t>
      </w:r>
      <w:proofErr w:type="spellStart"/>
      <w:r w:rsidRPr="00E126EF">
        <w:rPr>
          <w:rFonts w:eastAsiaTheme="minorHAnsi" w:cstheme="minorBidi"/>
          <w:szCs w:val="22"/>
        </w:rPr>
        <w:t>Riether</w:t>
      </w:r>
      <w:proofErr w:type="spellEnd"/>
      <w:r w:rsidRPr="00E126EF">
        <w:rPr>
          <w:rFonts w:eastAsiaTheme="minorHAnsi" w:cstheme="minorBidi"/>
          <w:szCs w:val="22"/>
        </w:rPr>
        <w:t xml:space="preserve"> D, </w:t>
      </w:r>
      <w:proofErr w:type="spellStart"/>
      <w:r w:rsidRPr="00E126EF">
        <w:rPr>
          <w:rFonts w:eastAsiaTheme="minorHAnsi" w:cstheme="minorBidi"/>
          <w:szCs w:val="22"/>
        </w:rPr>
        <w:t>Kuzmich</w:t>
      </w:r>
      <w:proofErr w:type="spellEnd"/>
      <w:r w:rsidRPr="00E126EF">
        <w:rPr>
          <w:rFonts w:eastAsiaTheme="minorHAnsi" w:cstheme="minorBidi"/>
          <w:szCs w:val="22"/>
        </w:rPr>
        <w:t xml:space="preserve"> D, Liu P, </w:t>
      </w:r>
      <w:proofErr w:type="spellStart"/>
      <w:r w:rsidRPr="00E126EF">
        <w:rPr>
          <w:rFonts w:eastAsiaTheme="minorHAnsi" w:cstheme="minorBidi"/>
          <w:szCs w:val="22"/>
        </w:rPr>
        <w:t>Betageri</w:t>
      </w:r>
      <w:proofErr w:type="spellEnd"/>
      <w:r w:rsidRPr="00E126EF">
        <w:rPr>
          <w:rFonts w:eastAsiaTheme="minorHAnsi" w:cstheme="minorBidi"/>
          <w:szCs w:val="22"/>
        </w:rPr>
        <w:t xml:space="preserve"> R, Ralph M, Emmanuel M, Reeves JT, Berry A, Souza D, Nelson RM, </w:t>
      </w:r>
      <w:proofErr w:type="spellStart"/>
      <w:r w:rsidRPr="00E126EF">
        <w:rPr>
          <w:rFonts w:eastAsiaTheme="minorHAnsi" w:cstheme="minorBidi"/>
          <w:szCs w:val="22"/>
        </w:rPr>
        <w:t>Kukulka</w:t>
      </w:r>
      <w:proofErr w:type="spellEnd"/>
      <w:r w:rsidRPr="00E126EF">
        <w:rPr>
          <w:rFonts w:eastAsiaTheme="minorHAnsi" w:cstheme="minorBidi"/>
          <w:szCs w:val="22"/>
        </w:rPr>
        <w:t xml:space="preserve"> A, </w:t>
      </w:r>
      <w:proofErr w:type="spellStart"/>
      <w:r w:rsidRPr="00E126EF">
        <w:rPr>
          <w:rFonts w:eastAsiaTheme="minorHAnsi" w:cstheme="minorBidi"/>
          <w:szCs w:val="22"/>
        </w:rPr>
        <w:t>Fadra</w:t>
      </w:r>
      <w:proofErr w:type="spellEnd"/>
      <w:r w:rsidRPr="00E126EF">
        <w:rPr>
          <w:rFonts w:eastAsiaTheme="minorHAnsi" w:cstheme="minorBidi"/>
          <w:szCs w:val="22"/>
        </w:rPr>
        <w:t xml:space="preserve"> TN, </w:t>
      </w:r>
      <w:proofErr w:type="spellStart"/>
      <w:r w:rsidRPr="00E126EF">
        <w:rPr>
          <w:rFonts w:eastAsiaTheme="minorHAnsi" w:cstheme="minorBidi"/>
          <w:szCs w:val="22"/>
        </w:rPr>
        <w:t>Zuvela-Jelaska</w:t>
      </w:r>
      <w:proofErr w:type="spellEnd"/>
      <w:r w:rsidRPr="00E126EF">
        <w:rPr>
          <w:rFonts w:eastAsiaTheme="minorHAnsi" w:cstheme="minorBidi"/>
          <w:szCs w:val="22"/>
        </w:rPr>
        <w:t xml:space="preserve"> L, </w:t>
      </w:r>
      <w:proofErr w:type="spellStart"/>
      <w:r w:rsidRPr="00E126EF">
        <w:rPr>
          <w:rFonts w:eastAsiaTheme="minorHAnsi" w:cstheme="minorBidi"/>
          <w:szCs w:val="22"/>
        </w:rPr>
        <w:t>Dinallo</w:t>
      </w:r>
      <w:proofErr w:type="spellEnd"/>
      <w:r w:rsidRPr="00E126EF">
        <w:rPr>
          <w:rFonts w:eastAsiaTheme="minorHAnsi" w:cstheme="minorBidi"/>
          <w:szCs w:val="22"/>
        </w:rPr>
        <w:t xml:space="preserve"> R, </w:t>
      </w:r>
      <w:proofErr w:type="spellStart"/>
      <w:r w:rsidRPr="00E126EF">
        <w:rPr>
          <w:rFonts w:eastAsiaTheme="minorHAnsi" w:cstheme="minorBidi"/>
          <w:szCs w:val="22"/>
        </w:rPr>
        <w:t>Bentzien</w:t>
      </w:r>
      <w:proofErr w:type="spellEnd"/>
      <w:r w:rsidRPr="00E126EF">
        <w:rPr>
          <w:rFonts w:eastAsiaTheme="minorHAnsi" w:cstheme="minorBidi"/>
          <w:szCs w:val="22"/>
        </w:rPr>
        <w:t xml:space="preserve"> J, </w:t>
      </w:r>
      <w:proofErr w:type="spellStart"/>
      <w:r w:rsidRPr="00E126EF">
        <w:rPr>
          <w:rFonts w:eastAsiaTheme="minorHAnsi" w:cstheme="minorBidi"/>
          <w:szCs w:val="22"/>
        </w:rPr>
        <w:t>Nabozny</w:t>
      </w:r>
      <w:proofErr w:type="spellEnd"/>
      <w:r w:rsidRPr="00E126EF">
        <w:rPr>
          <w:rFonts w:eastAsiaTheme="minorHAnsi" w:cstheme="minorBidi"/>
          <w:szCs w:val="22"/>
        </w:rPr>
        <w:t xml:space="preserve"> GH, Thomson DS. Identification of highly efficacious glucocorticoid receptor agonists with a potential for reduced clinical bone side effects. J Med Chem 2014; 57:1583-1598</w:t>
      </w:r>
    </w:p>
    <w:p w14:paraId="323D1A3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232.</w:t>
      </w:r>
      <w:r w:rsidRPr="00E126EF">
        <w:rPr>
          <w:rFonts w:eastAsiaTheme="minorHAnsi" w:cstheme="minorBidi"/>
          <w:szCs w:val="22"/>
        </w:rPr>
        <w:tab/>
        <w:t xml:space="preserve">Xiao HY, Wu DR, </w:t>
      </w:r>
      <w:proofErr w:type="spellStart"/>
      <w:r w:rsidRPr="00E126EF">
        <w:rPr>
          <w:rFonts w:eastAsiaTheme="minorHAnsi" w:cstheme="minorBidi"/>
          <w:szCs w:val="22"/>
        </w:rPr>
        <w:t>Sheppeck</w:t>
      </w:r>
      <w:proofErr w:type="spellEnd"/>
      <w:r w:rsidRPr="00E126EF">
        <w:rPr>
          <w:rFonts w:eastAsiaTheme="minorHAnsi" w:cstheme="minorBidi"/>
          <w:szCs w:val="22"/>
        </w:rPr>
        <w:t xml:space="preserve"> JE, 2nd, Habte SF, Cunningham MD, Somerville JE, </w:t>
      </w:r>
      <w:proofErr w:type="spellStart"/>
      <w:r w:rsidRPr="00E126EF">
        <w:rPr>
          <w:rFonts w:eastAsiaTheme="minorHAnsi" w:cstheme="minorBidi"/>
          <w:szCs w:val="22"/>
        </w:rPr>
        <w:t>Barrish</w:t>
      </w:r>
      <w:proofErr w:type="spellEnd"/>
      <w:r w:rsidRPr="00E126EF">
        <w:rPr>
          <w:rFonts w:eastAsiaTheme="minorHAnsi" w:cstheme="minorBidi"/>
          <w:szCs w:val="22"/>
        </w:rPr>
        <w:t xml:space="preserve"> JC, Nadler SG, Dhar TG. Heterocyclic glucocorticoid receptor modulators with a 2,2-dimethyl-3-phenyl-N-(thiazol or thiadiazol-2-</w:t>
      </w:r>
      <w:proofErr w:type="gramStart"/>
      <w:r w:rsidRPr="00E126EF">
        <w:rPr>
          <w:rFonts w:eastAsiaTheme="minorHAnsi" w:cstheme="minorBidi"/>
          <w:szCs w:val="22"/>
        </w:rPr>
        <w:t>yl)propanamide</w:t>
      </w:r>
      <w:proofErr w:type="gramEnd"/>
      <w:r w:rsidRPr="00E126EF">
        <w:rPr>
          <w:rFonts w:eastAsiaTheme="minorHAnsi" w:cstheme="minorBidi"/>
          <w:szCs w:val="22"/>
        </w:rPr>
        <w:t xml:space="preserve"> core. </w:t>
      </w:r>
      <w:proofErr w:type="spellStart"/>
      <w:r w:rsidRPr="00E126EF">
        <w:rPr>
          <w:rFonts w:eastAsiaTheme="minorHAnsi" w:cstheme="minorBidi"/>
          <w:szCs w:val="22"/>
        </w:rPr>
        <w:t>Bioorg</w:t>
      </w:r>
      <w:proofErr w:type="spellEnd"/>
      <w:r w:rsidRPr="00E126EF">
        <w:rPr>
          <w:rFonts w:eastAsiaTheme="minorHAnsi" w:cstheme="minorBidi"/>
          <w:szCs w:val="22"/>
        </w:rPr>
        <w:t xml:space="preserve"> Med Chem Lett 2013; 23:5571-5574</w:t>
      </w:r>
    </w:p>
    <w:p w14:paraId="6D23E51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233.</w:t>
      </w:r>
      <w:r w:rsidRPr="00E126EF">
        <w:rPr>
          <w:rFonts w:eastAsiaTheme="minorHAnsi" w:cstheme="minorBidi"/>
          <w:szCs w:val="22"/>
        </w:rPr>
        <w:tab/>
      </w:r>
      <w:proofErr w:type="spellStart"/>
      <w:r w:rsidRPr="00E126EF">
        <w:rPr>
          <w:rFonts w:eastAsiaTheme="minorHAnsi" w:cstheme="minorBidi"/>
          <w:szCs w:val="22"/>
        </w:rPr>
        <w:t>Sindelar</w:t>
      </w:r>
      <w:proofErr w:type="spellEnd"/>
      <w:r w:rsidRPr="00E126EF">
        <w:rPr>
          <w:rFonts w:eastAsiaTheme="minorHAnsi" w:cstheme="minorBidi"/>
          <w:szCs w:val="22"/>
        </w:rPr>
        <w:t xml:space="preserve"> DK, Carson MW, Morin M, Shaw J, Barr RJ, Need A, Alexander-Chacko J, Coghlan M, </w:t>
      </w:r>
      <w:proofErr w:type="spellStart"/>
      <w:r w:rsidRPr="00E126EF">
        <w:rPr>
          <w:rFonts w:eastAsiaTheme="minorHAnsi" w:cstheme="minorBidi"/>
          <w:szCs w:val="22"/>
        </w:rPr>
        <w:t>Gehlert</w:t>
      </w:r>
      <w:proofErr w:type="spellEnd"/>
      <w:r w:rsidRPr="00E126EF">
        <w:rPr>
          <w:rFonts w:eastAsiaTheme="minorHAnsi" w:cstheme="minorBidi"/>
          <w:szCs w:val="22"/>
        </w:rPr>
        <w:t xml:space="preserve"> DR. LLY-2707, a novel nonsteroidal glucocorticoid antagonist that reduces atypical antipsychotic-associated weight gain in rats. J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Exp </w:t>
      </w:r>
      <w:proofErr w:type="spellStart"/>
      <w:r w:rsidRPr="00E126EF">
        <w:rPr>
          <w:rFonts w:eastAsiaTheme="minorHAnsi" w:cstheme="minorBidi"/>
          <w:szCs w:val="22"/>
        </w:rPr>
        <w:t>Ther</w:t>
      </w:r>
      <w:proofErr w:type="spellEnd"/>
      <w:r w:rsidRPr="00E126EF">
        <w:rPr>
          <w:rFonts w:eastAsiaTheme="minorHAnsi" w:cstheme="minorBidi"/>
          <w:szCs w:val="22"/>
        </w:rPr>
        <w:t xml:space="preserve"> 2014; 348:192-201</w:t>
      </w:r>
    </w:p>
    <w:p w14:paraId="1518317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234.</w:t>
      </w:r>
      <w:r w:rsidRPr="00E126EF">
        <w:rPr>
          <w:rFonts w:eastAsiaTheme="minorHAnsi" w:cstheme="minorBidi"/>
          <w:szCs w:val="22"/>
        </w:rPr>
        <w:tab/>
        <w:t xml:space="preserve">Lin HR. Triterpenes from Alisma </w:t>
      </w:r>
      <w:proofErr w:type="spellStart"/>
      <w:r w:rsidRPr="00E126EF">
        <w:rPr>
          <w:rFonts w:eastAsiaTheme="minorHAnsi" w:cstheme="minorBidi"/>
          <w:szCs w:val="22"/>
        </w:rPr>
        <w:t>orientalis</w:t>
      </w:r>
      <w:proofErr w:type="spellEnd"/>
      <w:r w:rsidRPr="00E126EF">
        <w:rPr>
          <w:rFonts w:eastAsiaTheme="minorHAnsi" w:cstheme="minorBidi"/>
          <w:szCs w:val="22"/>
        </w:rPr>
        <w:t xml:space="preserve"> act as androgen receptor agonists, progesterone receptor antagonists, and glucocorticoid receptor antagonists. </w:t>
      </w:r>
      <w:proofErr w:type="spellStart"/>
      <w:r w:rsidRPr="00E126EF">
        <w:rPr>
          <w:rFonts w:eastAsiaTheme="minorHAnsi" w:cstheme="minorBidi"/>
          <w:szCs w:val="22"/>
        </w:rPr>
        <w:t>Bioorg</w:t>
      </w:r>
      <w:proofErr w:type="spellEnd"/>
      <w:r w:rsidRPr="00E126EF">
        <w:rPr>
          <w:rFonts w:eastAsiaTheme="minorHAnsi" w:cstheme="minorBidi"/>
          <w:szCs w:val="22"/>
        </w:rPr>
        <w:t xml:space="preserve"> Med Chem Lett 2014; 24:3626-3632</w:t>
      </w:r>
    </w:p>
    <w:p w14:paraId="5C2D9B9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235.</w:t>
      </w:r>
      <w:r w:rsidRPr="00E126EF">
        <w:rPr>
          <w:rFonts w:eastAsiaTheme="minorHAnsi" w:cstheme="minorBidi"/>
          <w:szCs w:val="22"/>
        </w:rPr>
        <w:tab/>
      </w:r>
      <w:proofErr w:type="spellStart"/>
      <w:r w:rsidRPr="00E126EF">
        <w:rPr>
          <w:rFonts w:eastAsiaTheme="minorHAnsi" w:cstheme="minorBidi"/>
          <w:szCs w:val="22"/>
        </w:rPr>
        <w:t>Chirumamilla</w:t>
      </w:r>
      <w:proofErr w:type="spellEnd"/>
      <w:r w:rsidRPr="00E126EF">
        <w:rPr>
          <w:rFonts w:eastAsiaTheme="minorHAnsi" w:cstheme="minorBidi"/>
          <w:szCs w:val="22"/>
        </w:rPr>
        <w:t xml:space="preserve"> CS, </w:t>
      </w:r>
      <w:proofErr w:type="spellStart"/>
      <w:r w:rsidRPr="00E126EF">
        <w:rPr>
          <w:rFonts w:eastAsiaTheme="minorHAnsi" w:cstheme="minorBidi"/>
          <w:szCs w:val="22"/>
        </w:rPr>
        <w:t>Palagani</w:t>
      </w:r>
      <w:proofErr w:type="spellEnd"/>
      <w:r w:rsidRPr="00E126EF">
        <w:rPr>
          <w:rFonts w:eastAsiaTheme="minorHAnsi" w:cstheme="minorBidi"/>
          <w:szCs w:val="22"/>
        </w:rPr>
        <w:t xml:space="preserve"> A, Kamaraj B, </w:t>
      </w:r>
      <w:proofErr w:type="spellStart"/>
      <w:r w:rsidRPr="00E126EF">
        <w:rPr>
          <w:rFonts w:eastAsiaTheme="minorHAnsi" w:cstheme="minorBidi"/>
          <w:szCs w:val="22"/>
        </w:rPr>
        <w:t>Declerck</w:t>
      </w:r>
      <w:proofErr w:type="spellEnd"/>
      <w:r w:rsidRPr="00E126EF">
        <w:rPr>
          <w:rFonts w:eastAsiaTheme="minorHAnsi" w:cstheme="minorBidi"/>
          <w:szCs w:val="22"/>
        </w:rPr>
        <w:t xml:space="preserve"> K, Verbeek MWC, Oksana R, De </w:t>
      </w:r>
      <w:proofErr w:type="spellStart"/>
      <w:r w:rsidRPr="00E126EF">
        <w:rPr>
          <w:rFonts w:eastAsiaTheme="minorHAnsi" w:cstheme="minorBidi"/>
          <w:szCs w:val="22"/>
        </w:rPr>
        <w:t>Bosscher</w:t>
      </w:r>
      <w:proofErr w:type="spellEnd"/>
      <w:r w:rsidRPr="00E126EF">
        <w:rPr>
          <w:rFonts w:eastAsiaTheme="minorHAnsi" w:cstheme="minorBidi"/>
          <w:szCs w:val="22"/>
        </w:rPr>
        <w:t xml:space="preserve"> K, </w:t>
      </w:r>
      <w:proofErr w:type="spellStart"/>
      <w:r w:rsidRPr="00E126EF">
        <w:rPr>
          <w:rFonts w:eastAsiaTheme="minorHAnsi" w:cstheme="minorBidi"/>
          <w:szCs w:val="22"/>
        </w:rPr>
        <w:t>Bougarne</w:t>
      </w:r>
      <w:proofErr w:type="spellEnd"/>
      <w:r w:rsidRPr="00E126EF">
        <w:rPr>
          <w:rFonts w:eastAsiaTheme="minorHAnsi" w:cstheme="minorBidi"/>
          <w:szCs w:val="22"/>
        </w:rPr>
        <w:t xml:space="preserve"> N, Ruttens B, </w:t>
      </w:r>
      <w:proofErr w:type="spellStart"/>
      <w:r w:rsidRPr="00E126EF">
        <w:rPr>
          <w:rFonts w:eastAsiaTheme="minorHAnsi" w:cstheme="minorBidi"/>
          <w:szCs w:val="22"/>
        </w:rPr>
        <w:t>Gevaert</w:t>
      </w:r>
      <w:proofErr w:type="spellEnd"/>
      <w:r w:rsidRPr="00E126EF">
        <w:rPr>
          <w:rFonts w:eastAsiaTheme="minorHAnsi" w:cstheme="minorBidi"/>
          <w:szCs w:val="22"/>
        </w:rPr>
        <w:t xml:space="preserve"> K, </w:t>
      </w:r>
      <w:proofErr w:type="spellStart"/>
      <w:r w:rsidRPr="00E126EF">
        <w:rPr>
          <w:rFonts w:eastAsiaTheme="minorHAnsi" w:cstheme="minorBidi"/>
          <w:szCs w:val="22"/>
        </w:rPr>
        <w:t>Houtman</w:t>
      </w:r>
      <w:proofErr w:type="spellEnd"/>
      <w:r w:rsidRPr="00E126EF">
        <w:rPr>
          <w:rFonts w:eastAsiaTheme="minorHAnsi" w:cstheme="minorBidi"/>
          <w:szCs w:val="22"/>
        </w:rPr>
        <w:t xml:space="preserve"> R, De Vos WH, </w:t>
      </w:r>
      <w:proofErr w:type="spellStart"/>
      <w:r w:rsidRPr="00E126EF">
        <w:rPr>
          <w:rFonts w:eastAsiaTheme="minorHAnsi" w:cstheme="minorBidi"/>
          <w:szCs w:val="22"/>
        </w:rPr>
        <w:t>Joossens</w:t>
      </w:r>
      <w:proofErr w:type="spellEnd"/>
      <w:r w:rsidRPr="00E126EF">
        <w:rPr>
          <w:rFonts w:eastAsiaTheme="minorHAnsi" w:cstheme="minorBidi"/>
          <w:szCs w:val="22"/>
        </w:rPr>
        <w:t xml:space="preserve"> J, Van Der </w:t>
      </w:r>
      <w:proofErr w:type="spellStart"/>
      <w:r w:rsidRPr="00E126EF">
        <w:rPr>
          <w:rFonts w:eastAsiaTheme="minorHAnsi" w:cstheme="minorBidi"/>
          <w:szCs w:val="22"/>
        </w:rPr>
        <w:t>Veken</w:t>
      </w:r>
      <w:proofErr w:type="spellEnd"/>
      <w:r w:rsidRPr="00E126EF">
        <w:rPr>
          <w:rFonts w:eastAsiaTheme="minorHAnsi" w:cstheme="minorBidi"/>
          <w:szCs w:val="22"/>
        </w:rPr>
        <w:t xml:space="preserve"> P, </w:t>
      </w:r>
      <w:proofErr w:type="spellStart"/>
      <w:r w:rsidRPr="00E126EF">
        <w:rPr>
          <w:rFonts w:eastAsiaTheme="minorHAnsi" w:cstheme="minorBidi"/>
          <w:szCs w:val="22"/>
        </w:rPr>
        <w:t>Augustyns</w:t>
      </w:r>
      <w:proofErr w:type="spellEnd"/>
      <w:r w:rsidRPr="00E126EF">
        <w:rPr>
          <w:rFonts w:eastAsiaTheme="minorHAnsi" w:cstheme="minorBidi"/>
          <w:szCs w:val="22"/>
        </w:rPr>
        <w:t xml:space="preserve"> K, Van </w:t>
      </w:r>
      <w:proofErr w:type="spellStart"/>
      <w:r w:rsidRPr="00E126EF">
        <w:rPr>
          <w:rFonts w:eastAsiaTheme="minorHAnsi" w:cstheme="minorBidi"/>
          <w:szCs w:val="22"/>
        </w:rPr>
        <w:t>Ostade</w:t>
      </w:r>
      <w:proofErr w:type="spellEnd"/>
      <w:r w:rsidRPr="00E126EF">
        <w:rPr>
          <w:rFonts w:eastAsiaTheme="minorHAnsi" w:cstheme="minorBidi"/>
          <w:szCs w:val="22"/>
        </w:rPr>
        <w:t xml:space="preserve"> X, Bogaerts A, De Winter H, Vanden </w:t>
      </w:r>
      <w:proofErr w:type="spellStart"/>
      <w:r w:rsidRPr="00E126EF">
        <w:rPr>
          <w:rFonts w:eastAsiaTheme="minorHAnsi" w:cstheme="minorBidi"/>
          <w:szCs w:val="22"/>
        </w:rPr>
        <w:t>Berghe</w:t>
      </w:r>
      <w:proofErr w:type="spellEnd"/>
      <w:r w:rsidRPr="00E126EF">
        <w:rPr>
          <w:rFonts w:eastAsiaTheme="minorHAnsi" w:cstheme="minorBidi"/>
          <w:szCs w:val="22"/>
        </w:rPr>
        <w:t xml:space="preserve"> W. Selective Glucocorticoid Receptor Properties of GSK866 Analogs with Cysteine Reactive Warheads. Front Immunol. 2017; 8:1324</w:t>
      </w:r>
    </w:p>
    <w:p w14:paraId="5CB693A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236.</w:t>
      </w:r>
      <w:r w:rsidRPr="00E126EF">
        <w:rPr>
          <w:rFonts w:eastAsiaTheme="minorHAnsi" w:cstheme="minorBidi"/>
          <w:szCs w:val="22"/>
        </w:rPr>
        <w:tab/>
      </w:r>
      <w:proofErr w:type="spellStart"/>
      <w:r w:rsidRPr="00E126EF">
        <w:rPr>
          <w:rFonts w:eastAsiaTheme="minorHAnsi" w:cstheme="minorBidi"/>
          <w:szCs w:val="22"/>
        </w:rPr>
        <w:t>Ripa</w:t>
      </w:r>
      <w:proofErr w:type="spellEnd"/>
      <w:r w:rsidRPr="00E126EF">
        <w:rPr>
          <w:rFonts w:eastAsiaTheme="minorHAnsi" w:cstheme="minorBidi"/>
          <w:szCs w:val="22"/>
        </w:rPr>
        <w:t xml:space="preserve"> L, Edman K, Dearman M, </w:t>
      </w:r>
      <w:proofErr w:type="spellStart"/>
      <w:r w:rsidRPr="00E126EF">
        <w:rPr>
          <w:rFonts w:eastAsiaTheme="minorHAnsi" w:cstheme="minorBidi"/>
          <w:szCs w:val="22"/>
        </w:rPr>
        <w:t>Edenro</w:t>
      </w:r>
      <w:proofErr w:type="spellEnd"/>
      <w:r w:rsidRPr="00E126EF">
        <w:rPr>
          <w:rFonts w:eastAsiaTheme="minorHAnsi" w:cstheme="minorBidi"/>
          <w:szCs w:val="22"/>
        </w:rPr>
        <w:t xml:space="preserve"> G, </w:t>
      </w:r>
      <w:proofErr w:type="spellStart"/>
      <w:r w:rsidRPr="00E126EF">
        <w:rPr>
          <w:rFonts w:eastAsiaTheme="minorHAnsi" w:cstheme="minorBidi"/>
          <w:szCs w:val="22"/>
        </w:rPr>
        <w:t>Hendrickx</w:t>
      </w:r>
      <w:proofErr w:type="spellEnd"/>
      <w:r w:rsidRPr="00E126EF">
        <w:rPr>
          <w:rFonts w:eastAsiaTheme="minorHAnsi" w:cstheme="minorBidi"/>
          <w:szCs w:val="22"/>
        </w:rPr>
        <w:t xml:space="preserve"> R, Ullah V, Chang HF, </w:t>
      </w:r>
      <w:proofErr w:type="spellStart"/>
      <w:r w:rsidRPr="00E126EF">
        <w:rPr>
          <w:rFonts w:eastAsiaTheme="minorHAnsi" w:cstheme="minorBidi"/>
          <w:szCs w:val="22"/>
        </w:rPr>
        <w:t>Lepistö</w:t>
      </w:r>
      <w:proofErr w:type="spellEnd"/>
      <w:r w:rsidRPr="00E126EF">
        <w:rPr>
          <w:rFonts w:eastAsiaTheme="minorHAnsi" w:cstheme="minorBidi"/>
          <w:szCs w:val="22"/>
        </w:rPr>
        <w:t xml:space="preserve"> M, Chapman D, </w:t>
      </w:r>
      <w:proofErr w:type="spellStart"/>
      <w:r w:rsidRPr="00E126EF">
        <w:rPr>
          <w:rFonts w:eastAsiaTheme="minorHAnsi" w:cstheme="minorBidi"/>
          <w:szCs w:val="22"/>
        </w:rPr>
        <w:t>Geschwindner</w:t>
      </w:r>
      <w:proofErr w:type="spellEnd"/>
      <w:r w:rsidRPr="00E126EF">
        <w:rPr>
          <w:rFonts w:eastAsiaTheme="minorHAnsi" w:cstheme="minorBidi"/>
          <w:szCs w:val="22"/>
        </w:rPr>
        <w:t xml:space="preserve"> S, Wissler L, </w:t>
      </w:r>
      <w:proofErr w:type="spellStart"/>
      <w:r w:rsidRPr="00E126EF">
        <w:rPr>
          <w:rFonts w:eastAsiaTheme="minorHAnsi" w:cstheme="minorBidi"/>
          <w:szCs w:val="22"/>
        </w:rPr>
        <w:t>Svanberg</w:t>
      </w:r>
      <w:proofErr w:type="spellEnd"/>
      <w:r w:rsidRPr="00E126EF">
        <w:rPr>
          <w:rFonts w:eastAsiaTheme="minorHAnsi" w:cstheme="minorBidi"/>
          <w:szCs w:val="22"/>
        </w:rPr>
        <w:t xml:space="preserve"> P, </w:t>
      </w:r>
      <w:proofErr w:type="spellStart"/>
      <w:r w:rsidRPr="00E126EF">
        <w:rPr>
          <w:rFonts w:eastAsiaTheme="minorHAnsi" w:cstheme="minorBidi"/>
          <w:szCs w:val="22"/>
        </w:rPr>
        <w:t>Lawitz</w:t>
      </w:r>
      <w:proofErr w:type="spellEnd"/>
      <w:r w:rsidRPr="00E126EF">
        <w:rPr>
          <w:rFonts w:eastAsiaTheme="minorHAnsi" w:cstheme="minorBidi"/>
          <w:szCs w:val="22"/>
        </w:rPr>
        <w:t xml:space="preserve"> K, </w:t>
      </w:r>
      <w:proofErr w:type="spellStart"/>
      <w:r w:rsidRPr="00E126EF">
        <w:rPr>
          <w:rFonts w:eastAsiaTheme="minorHAnsi" w:cstheme="minorBidi"/>
          <w:szCs w:val="22"/>
        </w:rPr>
        <w:t>Malmberg</w:t>
      </w:r>
      <w:proofErr w:type="spellEnd"/>
      <w:r w:rsidRPr="00E126EF">
        <w:rPr>
          <w:rFonts w:eastAsiaTheme="minorHAnsi" w:cstheme="minorBidi"/>
          <w:szCs w:val="22"/>
        </w:rPr>
        <w:t xml:space="preserve"> J, </w:t>
      </w:r>
      <w:proofErr w:type="spellStart"/>
      <w:r w:rsidRPr="00E126EF">
        <w:rPr>
          <w:rFonts w:eastAsiaTheme="minorHAnsi" w:cstheme="minorBidi"/>
          <w:szCs w:val="22"/>
        </w:rPr>
        <w:t>Nikitidis</w:t>
      </w:r>
      <w:proofErr w:type="spellEnd"/>
      <w:r w:rsidRPr="00E126EF">
        <w:rPr>
          <w:rFonts w:eastAsiaTheme="minorHAnsi" w:cstheme="minorBidi"/>
          <w:szCs w:val="22"/>
        </w:rPr>
        <w:t xml:space="preserve"> A, Olsson RI, Bird J, </w:t>
      </w:r>
      <w:proofErr w:type="spellStart"/>
      <w:r w:rsidRPr="00E126EF">
        <w:rPr>
          <w:rFonts w:eastAsiaTheme="minorHAnsi" w:cstheme="minorBidi"/>
          <w:szCs w:val="22"/>
        </w:rPr>
        <w:t>Llinas</w:t>
      </w:r>
      <w:proofErr w:type="spellEnd"/>
      <w:r w:rsidRPr="00E126EF">
        <w:rPr>
          <w:rFonts w:eastAsiaTheme="minorHAnsi" w:cstheme="minorBidi"/>
          <w:szCs w:val="22"/>
        </w:rPr>
        <w:t xml:space="preserve"> A, </w:t>
      </w:r>
      <w:proofErr w:type="spellStart"/>
      <w:r w:rsidRPr="00E126EF">
        <w:rPr>
          <w:rFonts w:eastAsiaTheme="minorHAnsi" w:cstheme="minorBidi"/>
          <w:szCs w:val="22"/>
        </w:rPr>
        <w:t>Hegelund-Myrbäck</w:t>
      </w:r>
      <w:proofErr w:type="spellEnd"/>
      <w:r w:rsidRPr="00E126EF">
        <w:rPr>
          <w:rFonts w:eastAsiaTheme="minorHAnsi" w:cstheme="minorBidi"/>
          <w:szCs w:val="22"/>
        </w:rPr>
        <w:t xml:space="preserve"> T, Berger M, Thorne P, Harrison R, Köhler </w:t>
      </w:r>
      <w:r w:rsidRPr="00E126EF">
        <w:rPr>
          <w:rFonts w:eastAsiaTheme="minorHAnsi" w:cstheme="minorBidi"/>
          <w:szCs w:val="22"/>
        </w:rPr>
        <w:lastRenderedPageBreak/>
        <w:t xml:space="preserve">C, </w:t>
      </w:r>
      <w:proofErr w:type="spellStart"/>
      <w:r w:rsidRPr="00E126EF">
        <w:rPr>
          <w:rFonts w:eastAsiaTheme="minorHAnsi" w:cstheme="minorBidi"/>
          <w:szCs w:val="22"/>
        </w:rPr>
        <w:t>Drmota</w:t>
      </w:r>
      <w:proofErr w:type="spellEnd"/>
      <w:r w:rsidRPr="00E126EF">
        <w:rPr>
          <w:rFonts w:eastAsiaTheme="minorHAnsi" w:cstheme="minorBidi"/>
          <w:szCs w:val="22"/>
        </w:rPr>
        <w:t xml:space="preserve"> T. Discovery of a Novel Oral Glucocorticoid Receptor Modulator (AZD9567) with Improved Side Effect Profile. J Med Chem. 2018; 61(5):1785-1799</w:t>
      </w:r>
    </w:p>
    <w:p w14:paraId="634C009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237.</w:t>
      </w:r>
      <w:r w:rsidRPr="00E126EF">
        <w:rPr>
          <w:rFonts w:eastAsiaTheme="minorHAnsi" w:cstheme="minorBidi"/>
          <w:szCs w:val="22"/>
        </w:rPr>
        <w:tab/>
      </w:r>
      <w:proofErr w:type="spellStart"/>
      <w:r w:rsidRPr="00E126EF">
        <w:rPr>
          <w:rFonts w:eastAsiaTheme="minorHAnsi" w:cstheme="minorBidi"/>
          <w:szCs w:val="22"/>
        </w:rPr>
        <w:t>Potamitis</w:t>
      </w:r>
      <w:proofErr w:type="spellEnd"/>
      <w:r w:rsidRPr="00E126EF">
        <w:rPr>
          <w:rFonts w:eastAsiaTheme="minorHAnsi" w:cstheme="minorBidi"/>
          <w:szCs w:val="22"/>
        </w:rPr>
        <w:t xml:space="preserve"> C, </w:t>
      </w:r>
      <w:proofErr w:type="spellStart"/>
      <w:r w:rsidRPr="00E126EF">
        <w:rPr>
          <w:rFonts w:eastAsiaTheme="minorHAnsi" w:cstheme="minorBidi"/>
          <w:szCs w:val="22"/>
        </w:rPr>
        <w:t>Siakouli</w:t>
      </w:r>
      <w:proofErr w:type="spellEnd"/>
      <w:r w:rsidRPr="00E126EF">
        <w:rPr>
          <w:rFonts w:eastAsiaTheme="minorHAnsi" w:cstheme="minorBidi"/>
          <w:szCs w:val="22"/>
        </w:rPr>
        <w:t xml:space="preserve"> D, </w:t>
      </w:r>
      <w:proofErr w:type="spellStart"/>
      <w:r w:rsidRPr="00E126EF">
        <w:rPr>
          <w:rFonts w:eastAsiaTheme="minorHAnsi" w:cstheme="minorBidi"/>
          <w:szCs w:val="22"/>
        </w:rPr>
        <w:t>Papavasileiou</w:t>
      </w:r>
      <w:proofErr w:type="spellEnd"/>
      <w:r w:rsidRPr="00E126EF">
        <w:rPr>
          <w:rFonts w:eastAsiaTheme="minorHAnsi" w:cstheme="minorBidi"/>
          <w:szCs w:val="22"/>
        </w:rPr>
        <w:t xml:space="preserve"> KD, </w:t>
      </w:r>
      <w:proofErr w:type="spellStart"/>
      <w:r w:rsidRPr="00E126EF">
        <w:rPr>
          <w:rFonts w:eastAsiaTheme="minorHAnsi" w:cstheme="minorBidi"/>
          <w:szCs w:val="22"/>
        </w:rPr>
        <w:t>Boulaka</w:t>
      </w:r>
      <w:proofErr w:type="spellEnd"/>
      <w:r w:rsidRPr="00E126EF">
        <w:rPr>
          <w:rFonts w:eastAsiaTheme="minorHAnsi" w:cstheme="minorBidi"/>
          <w:szCs w:val="22"/>
        </w:rPr>
        <w:t xml:space="preserve"> A, </w:t>
      </w:r>
      <w:proofErr w:type="spellStart"/>
      <w:r w:rsidRPr="00E126EF">
        <w:rPr>
          <w:rFonts w:eastAsiaTheme="minorHAnsi" w:cstheme="minorBidi"/>
          <w:szCs w:val="22"/>
        </w:rPr>
        <w:t>Ganou</w:t>
      </w:r>
      <w:proofErr w:type="spellEnd"/>
      <w:r w:rsidRPr="00E126EF">
        <w:rPr>
          <w:rFonts w:eastAsiaTheme="minorHAnsi" w:cstheme="minorBidi"/>
          <w:szCs w:val="22"/>
        </w:rPr>
        <w:t xml:space="preserve"> V, </w:t>
      </w:r>
      <w:proofErr w:type="spellStart"/>
      <w:r w:rsidRPr="00E126EF">
        <w:rPr>
          <w:rFonts w:eastAsiaTheme="minorHAnsi" w:cstheme="minorBidi"/>
          <w:szCs w:val="22"/>
        </w:rPr>
        <w:t>Roussaki</w:t>
      </w:r>
      <w:proofErr w:type="spellEnd"/>
      <w:r w:rsidRPr="00E126EF">
        <w:rPr>
          <w:rFonts w:eastAsiaTheme="minorHAnsi" w:cstheme="minorBidi"/>
          <w:szCs w:val="22"/>
        </w:rPr>
        <w:t xml:space="preserve"> M, </w:t>
      </w:r>
      <w:proofErr w:type="spellStart"/>
      <w:r w:rsidRPr="00E126EF">
        <w:rPr>
          <w:rFonts w:eastAsiaTheme="minorHAnsi" w:cstheme="minorBidi"/>
          <w:szCs w:val="22"/>
        </w:rPr>
        <w:t>Calogeropoulou</w:t>
      </w:r>
      <w:proofErr w:type="spellEnd"/>
      <w:r w:rsidRPr="00E126EF">
        <w:rPr>
          <w:rFonts w:eastAsiaTheme="minorHAnsi" w:cstheme="minorBidi"/>
          <w:szCs w:val="22"/>
        </w:rPr>
        <w:t xml:space="preserve"> T, </w:t>
      </w:r>
      <w:proofErr w:type="spellStart"/>
      <w:r w:rsidRPr="00E126EF">
        <w:rPr>
          <w:rFonts w:eastAsiaTheme="minorHAnsi" w:cstheme="minorBidi"/>
          <w:szCs w:val="22"/>
        </w:rPr>
        <w:t>Zoumpoulakis</w:t>
      </w:r>
      <w:proofErr w:type="spellEnd"/>
      <w:r w:rsidRPr="00E126EF">
        <w:rPr>
          <w:rFonts w:eastAsiaTheme="minorHAnsi" w:cstheme="minorBidi"/>
          <w:szCs w:val="22"/>
        </w:rPr>
        <w:t xml:space="preserve"> P, Alexis MN, </w:t>
      </w:r>
      <w:proofErr w:type="spellStart"/>
      <w:r w:rsidRPr="00E126EF">
        <w:rPr>
          <w:rFonts w:eastAsiaTheme="minorHAnsi" w:cstheme="minorBidi"/>
          <w:szCs w:val="22"/>
        </w:rPr>
        <w:t>Zervou</w:t>
      </w:r>
      <w:proofErr w:type="spellEnd"/>
      <w:r w:rsidRPr="00E126EF">
        <w:rPr>
          <w:rFonts w:eastAsiaTheme="minorHAnsi" w:cstheme="minorBidi"/>
          <w:szCs w:val="22"/>
        </w:rPr>
        <w:t xml:space="preserve"> M, </w:t>
      </w:r>
      <w:proofErr w:type="spellStart"/>
      <w:r w:rsidRPr="00E126EF">
        <w:rPr>
          <w:rFonts w:eastAsiaTheme="minorHAnsi" w:cstheme="minorBidi"/>
          <w:szCs w:val="22"/>
        </w:rPr>
        <w:t>Mitsiou</w:t>
      </w:r>
      <w:proofErr w:type="spellEnd"/>
      <w:r w:rsidRPr="00E126EF">
        <w:rPr>
          <w:rFonts w:eastAsiaTheme="minorHAnsi" w:cstheme="minorBidi"/>
          <w:szCs w:val="22"/>
        </w:rPr>
        <w:t xml:space="preserve"> DJ. Discovery of new non-steroidal selective glucocorticoid receptor agonists. J Steroid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Mol Biol. 2019; 186:142-153</w:t>
      </w:r>
    </w:p>
    <w:p w14:paraId="75BF187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238.</w:t>
      </w:r>
      <w:r w:rsidRPr="00E126EF">
        <w:rPr>
          <w:rFonts w:eastAsiaTheme="minorHAnsi" w:cstheme="minorBidi"/>
          <w:szCs w:val="22"/>
        </w:rPr>
        <w:tab/>
        <w:t xml:space="preserve">Zhang T, Liang Y, </w:t>
      </w:r>
      <w:proofErr w:type="spellStart"/>
      <w:r w:rsidRPr="00E126EF">
        <w:rPr>
          <w:rFonts w:eastAsiaTheme="minorHAnsi" w:cstheme="minorBidi"/>
          <w:szCs w:val="22"/>
        </w:rPr>
        <w:t>Zuo</w:t>
      </w:r>
      <w:proofErr w:type="spellEnd"/>
      <w:r w:rsidRPr="00E126EF">
        <w:rPr>
          <w:rFonts w:eastAsiaTheme="minorHAnsi" w:cstheme="minorBidi"/>
          <w:szCs w:val="22"/>
        </w:rPr>
        <w:t xml:space="preserve"> P, Yan M, Jing S, Li T, Wang Y, Zhang J, Wei Z. Identification of 20(R, S)-protopanaxadiol and 20(R, S)-protopanaxatriol for potential selective modulation of glucocorticoid receptor. Food Chem </w:t>
      </w:r>
      <w:proofErr w:type="spellStart"/>
      <w:r w:rsidRPr="00E126EF">
        <w:rPr>
          <w:rFonts w:eastAsiaTheme="minorHAnsi" w:cstheme="minorBidi"/>
          <w:szCs w:val="22"/>
        </w:rPr>
        <w:t>Toxicol</w:t>
      </w:r>
      <w:proofErr w:type="spellEnd"/>
      <w:r w:rsidRPr="00E126EF">
        <w:rPr>
          <w:rFonts w:eastAsiaTheme="minorHAnsi" w:cstheme="minorBidi"/>
          <w:szCs w:val="22"/>
        </w:rPr>
        <w:t>. 2019; 131:110642</w:t>
      </w:r>
    </w:p>
    <w:p w14:paraId="3F1A59E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239.</w:t>
      </w:r>
      <w:r w:rsidRPr="00E126EF">
        <w:rPr>
          <w:rFonts w:eastAsiaTheme="minorHAnsi" w:cstheme="minorBidi"/>
          <w:szCs w:val="22"/>
        </w:rPr>
        <w:tab/>
      </w:r>
      <w:proofErr w:type="spellStart"/>
      <w:r w:rsidRPr="00E126EF">
        <w:rPr>
          <w:rFonts w:eastAsiaTheme="minorHAnsi" w:cstheme="minorBidi"/>
          <w:szCs w:val="22"/>
        </w:rPr>
        <w:t>Leng</w:t>
      </w:r>
      <w:proofErr w:type="spellEnd"/>
      <w:r w:rsidRPr="00E126EF">
        <w:rPr>
          <w:rFonts w:eastAsiaTheme="minorHAnsi" w:cstheme="minorBidi"/>
          <w:szCs w:val="22"/>
        </w:rPr>
        <w:t xml:space="preserve"> Y, Sun Y, </w:t>
      </w:r>
      <w:proofErr w:type="spellStart"/>
      <w:r w:rsidRPr="00E126EF">
        <w:rPr>
          <w:rFonts w:eastAsiaTheme="minorHAnsi" w:cstheme="minorBidi"/>
          <w:szCs w:val="22"/>
        </w:rPr>
        <w:t>Lv</w:t>
      </w:r>
      <w:proofErr w:type="spellEnd"/>
      <w:r w:rsidRPr="00E126EF">
        <w:rPr>
          <w:rFonts w:eastAsiaTheme="minorHAnsi" w:cstheme="minorBidi"/>
          <w:szCs w:val="22"/>
        </w:rPr>
        <w:t xml:space="preserve"> C, Li Z, Yuan C, Zhang J, Li T, Wang Y. Characterization of β-Sitosterol for Potential Selective GR Modulation. Protein </w:t>
      </w:r>
      <w:proofErr w:type="spellStart"/>
      <w:r w:rsidRPr="00E126EF">
        <w:rPr>
          <w:rFonts w:eastAsiaTheme="minorHAnsi" w:cstheme="minorBidi"/>
          <w:szCs w:val="22"/>
        </w:rPr>
        <w:t>Pept</w:t>
      </w:r>
      <w:proofErr w:type="spellEnd"/>
      <w:r w:rsidRPr="00E126EF">
        <w:rPr>
          <w:rFonts w:eastAsiaTheme="minorHAnsi" w:cstheme="minorBidi"/>
          <w:szCs w:val="22"/>
        </w:rPr>
        <w:t xml:space="preserve"> Lett. 2020 Aug 13. </w:t>
      </w:r>
      <w:proofErr w:type="spellStart"/>
      <w:r w:rsidRPr="00E126EF">
        <w:rPr>
          <w:rFonts w:eastAsiaTheme="minorHAnsi" w:cstheme="minorBidi"/>
          <w:szCs w:val="22"/>
        </w:rPr>
        <w:t>doi</w:t>
      </w:r>
      <w:proofErr w:type="spellEnd"/>
      <w:r w:rsidRPr="00E126EF">
        <w:rPr>
          <w:rFonts w:eastAsiaTheme="minorHAnsi" w:cstheme="minorBidi"/>
          <w:szCs w:val="22"/>
        </w:rPr>
        <w:t>: 10.2174/0929866527666200813204833. Online ahead of print.</w:t>
      </w:r>
    </w:p>
    <w:p w14:paraId="70F7060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240.</w:t>
      </w:r>
      <w:r w:rsidRPr="00E126EF">
        <w:rPr>
          <w:rFonts w:eastAsiaTheme="minorHAnsi" w:cstheme="minorBidi"/>
          <w:szCs w:val="22"/>
        </w:rPr>
        <w:tab/>
      </w:r>
      <w:proofErr w:type="spellStart"/>
      <w:r w:rsidRPr="00E126EF">
        <w:rPr>
          <w:rFonts w:eastAsiaTheme="minorHAnsi" w:cstheme="minorBidi"/>
          <w:szCs w:val="22"/>
        </w:rPr>
        <w:t>Faus</w:t>
      </w:r>
      <w:proofErr w:type="spellEnd"/>
      <w:r w:rsidRPr="00E126EF">
        <w:rPr>
          <w:rFonts w:eastAsiaTheme="minorHAnsi" w:cstheme="minorBidi"/>
          <w:szCs w:val="22"/>
        </w:rPr>
        <w:t xml:space="preserve"> H, </w:t>
      </w:r>
      <w:proofErr w:type="spellStart"/>
      <w:r w:rsidRPr="00E126EF">
        <w:rPr>
          <w:rFonts w:eastAsiaTheme="minorHAnsi" w:cstheme="minorBidi"/>
          <w:szCs w:val="22"/>
        </w:rPr>
        <w:t>Haendler</w:t>
      </w:r>
      <w:proofErr w:type="spellEnd"/>
      <w:r w:rsidRPr="00E126EF">
        <w:rPr>
          <w:rFonts w:eastAsiaTheme="minorHAnsi" w:cstheme="minorBidi"/>
          <w:szCs w:val="22"/>
        </w:rPr>
        <w:t xml:space="preserve"> B. Post-translational modifications of steroid receptors. Biomed </w:t>
      </w:r>
      <w:proofErr w:type="spellStart"/>
      <w:r w:rsidRPr="00E126EF">
        <w:rPr>
          <w:rFonts w:eastAsiaTheme="minorHAnsi" w:cstheme="minorBidi"/>
          <w:szCs w:val="22"/>
        </w:rPr>
        <w:t>Pharmacother</w:t>
      </w:r>
      <w:proofErr w:type="spellEnd"/>
      <w:r w:rsidRPr="00E126EF">
        <w:rPr>
          <w:rFonts w:eastAsiaTheme="minorHAnsi" w:cstheme="minorBidi"/>
          <w:szCs w:val="22"/>
        </w:rPr>
        <w:t xml:space="preserve"> 2006; 60:520-528</w:t>
      </w:r>
    </w:p>
    <w:p w14:paraId="4FAFD71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241.</w:t>
      </w:r>
      <w:r w:rsidRPr="00E126EF">
        <w:rPr>
          <w:rFonts w:eastAsiaTheme="minorHAnsi" w:cstheme="minorBidi"/>
          <w:szCs w:val="22"/>
        </w:rPr>
        <w:tab/>
        <w:t xml:space="preserve">Fu M, Liu M, </w:t>
      </w:r>
      <w:proofErr w:type="spellStart"/>
      <w:r w:rsidRPr="00E126EF">
        <w:rPr>
          <w:rFonts w:eastAsiaTheme="minorHAnsi" w:cstheme="minorBidi"/>
          <w:szCs w:val="22"/>
        </w:rPr>
        <w:t>Sauve</w:t>
      </w:r>
      <w:proofErr w:type="spellEnd"/>
      <w:r w:rsidRPr="00E126EF">
        <w:rPr>
          <w:rFonts w:eastAsiaTheme="minorHAnsi" w:cstheme="minorBidi"/>
          <w:szCs w:val="22"/>
        </w:rPr>
        <w:t xml:space="preserve"> AA, Jiao X, Zhang X, Wu X, Powell MJ, Yang T, Gu W, </w:t>
      </w:r>
      <w:proofErr w:type="spellStart"/>
      <w:r w:rsidRPr="00E126EF">
        <w:rPr>
          <w:rFonts w:eastAsiaTheme="minorHAnsi" w:cstheme="minorBidi"/>
          <w:szCs w:val="22"/>
        </w:rPr>
        <w:t>Avantaggiati</w:t>
      </w:r>
      <w:proofErr w:type="spellEnd"/>
      <w:r w:rsidRPr="00E126EF">
        <w:rPr>
          <w:rFonts w:eastAsiaTheme="minorHAnsi" w:cstheme="minorBidi"/>
          <w:szCs w:val="22"/>
        </w:rPr>
        <w:t xml:space="preserve"> ML, </w:t>
      </w:r>
      <w:proofErr w:type="spellStart"/>
      <w:r w:rsidRPr="00E126EF">
        <w:rPr>
          <w:rFonts w:eastAsiaTheme="minorHAnsi" w:cstheme="minorBidi"/>
          <w:szCs w:val="22"/>
        </w:rPr>
        <w:t>Pattabiraman</w:t>
      </w:r>
      <w:proofErr w:type="spellEnd"/>
      <w:r w:rsidRPr="00E126EF">
        <w:rPr>
          <w:rFonts w:eastAsiaTheme="minorHAnsi" w:cstheme="minorBidi"/>
          <w:szCs w:val="22"/>
        </w:rPr>
        <w:t xml:space="preserve"> N, </w:t>
      </w:r>
      <w:proofErr w:type="spellStart"/>
      <w:r w:rsidRPr="00E126EF">
        <w:rPr>
          <w:rFonts w:eastAsiaTheme="minorHAnsi" w:cstheme="minorBidi"/>
          <w:szCs w:val="22"/>
        </w:rPr>
        <w:t>Pestell</w:t>
      </w:r>
      <w:proofErr w:type="spellEnd"/>
      <w:r w:rsidRPr="00E126EF">
        <w:rPr>
          <w:rFonts w:eastAsiaTheme="minorHAnsi" w:cstheme="minorBidi"/>
          <w:szCs w:val="22"/>
        </w:rPr>
        <w:t xml:space="preserve"> TG, Wang F, </w:t>
      </w:r>
      <w:proofErr w:type="spellStart"/>
      <w:r w:rsidRPr="00E126EF">
        <w:rPr>
          <w:rFonts w:eastAsiaTheme="minorHAnsi" w:cstheme="minorBidi"/>
          <w:szCs w:val="22"/>
        </w:rPr>
        <w:t>Quong</w:t>
      </w:r>
      <w:proofErr w:type="spellEnd"/>
      <w:r w:rsidRPr="00E126EF">
        <w:rPr>
          <w:rFonts w:eastAsiaTheme="minorHAnsi" w:cstheme="minorBidi"/>
          <w:szCs w:val="22"/>
        </w:rPr>
        <w:t xml:space="preserve"> AA, Wang C, </w:t>
      </w:r>
      <w:proofErr w:type="spellStart"/>
      <w:r w:rsidRPr="00E126EF">
        <w:rPr>
          <w:rFonts w:eastAsiaTheme="minorHAnsi" w:cstheme="minorBidi"/>
          <w:szCs w:val="22"/>
        </w:rPr>
        <w:t>Pestell</w:t>
      </w:r>
      <w:proofErr w:type="spellEnd"/>
      <w:r w:rsidRPr="00E126EF">
        <w:rPr>
          <w:rFonts w:eastAsiaTheme="minorHAnsi" w:cstheme="minorBidi"/>
          <w:szCs w:val="22"/>
        </w:rPr>
        <w:t xml:space="preserve"> RG. Hormonal control of androgen receptor function through SIRT1. Mol Cell Biol 2006; 26:8122-8135</w:t>
      </w:r>
    </w:p>
    <w:p w14:paraId="27DC954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242.</w:t>
      </w:r>
      <w:r w:rsidRPr="00E126EF">
        <w:rPr>
          <w:rFonts w:eastAsiaTheme="minorHAnsi" w:cstheme="minorBidi"/>
          <w:szCs w:val="22"/>
        </w:rPr>
        <w:tab/>
        <w:t xml:space="preserve">Kim MY, Woo EM, Chong YT, </w:t>
      </w:r>
      <w:proofErr w:type="spellStart"/>
      <w:r w:rsidRPr="00E126EF">
        <w:rPr>
          <w:rFonts w:eastAsiaTheme="minorHAnsi" w:cstheme="minorBidi"/>
          <w:szCs w:val="22"/>
        </w:rPr>
        <w:t>Homenko</w:t>
      </w:r>
      <w:proofErr w:type="spellEnd"/>
      <w:r w:rsidRPr="00E126EF">
        <w:rPr>
          <w:rFonts w:eastAsiaTheme="minorHAnsi" w:cstheme="minorBidi"/>
          <w:szCs w:val="22"/>
        </w:rPr>
        <w:t xml:space="preserve"> DR, Kraus WL. Acetylation of estrogen receptor a by p300 at lysines 266 and 268 enhances the deoxyribonucleic acid binding and transactivation activities of the receptor. Mol Endocrinol 2006; 20:1479-1493</w:t>
      </w:r>
    </w:p>
    <w:p w14:paraId="5458B16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243.</w:t>
      </w:r>
      <w:r w:rsidRPr="00E126EF">
        <w:rPr>
          <w:rFonts w:eastAsiaTheme="minorHAnsi" w:cstheme="minorBidi"/>
          <w:szCs w:val="22"/>
        </w:rPr>
        <w:tab/>
        <w:t xml:space="preserve">Ito K, Yamamura S, </w:t>
      </w:r>
      <w:proofErr w:type="spellStart"/>
      <w:r w:rsidRPr="00E126EF">
        <w:rPr>
          <w:rFonts w:eastAsiaTheme="minorHAnsi" w:cstheme="minorBidi"/>
          <w:szCs w:val="22"/>
        </w:rPr>
        <w:t>Essilfie</w:t>
      </w:r>
      <w:proofErr w:type="spellEnd"/>
      <w:r w:rsidRPr="00E126EF">
        <w:rPr>
          <w:rFonts w:eastAsiaTheme="minorHAnsi" w:cstheme="minorBidi"/>
          <w:szCs w:val="22"/>
        </w:rPr>
        <w:t xml:space="preserve">-Quaye S, </w:t>
      </w:r>
      <w:proofErr w:type="spellStart"/>
      <w:r w:rsidRPr="00E126EF">
        <w:rPr>
          <w:rFonts w:eastAsiaTheme="minorHAnsi" w:cstheme="minorBidi"/>
          <w:szCs w:val="22"/>
        </w:rPr>
        <w:t>Cosio</w:t>
      </w:r>
      <w:proofErr w:type="spellEnd"/>
      <w:r w:rsidRPr="00E126EF">
        <w:rPr>
          <w:rFonts w:eastAsiaTheme="minorHAnsi" w:cstheme="minorBidi"/>
          <w:szCs w:val="22"/>
        </w:rPr>
        <w:t xml:space="preserve"> B, Ito M, Barnes PJ, Adcock IM. Histone deacetylase 2-mediated deacetylation of the glucocorticoid receptor enables NF-kB suppression. J Exp Med 2006; 203:7-13</w:t>
      </w:r>
    </w:p>
    <w:p w14:paraId="699A444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244.</w:t>
      </w:r>
      <w:r w:rsidRPr="00E126EF">
        <w:rPr>
          <w:rFonts w:eastAsiaTheme="minorHAnsi" w:cstheme="minorBidi"/>
          <w:szCs w:val="22"/>
        </w:rPr>
        <w:tab/>
        <w:t>Nader N, Chrousos GP, Kino T. Circadian rhythm transcription factor CLOCK regulates the transcriptional activity of the glucocorticoid receptor by acetylating its hinge region lysine cluster: potential physiological implications. FASEB J 2009; 23:1572-1583</w:t>
      </w:r>
    </w:p>
    <w:p w14:paraId="5E3A812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245.</w:t>
      </w:r>
      <w:r w:rsidRPr="00E126EF">
        <w:rPr>
          <w:rFonts w:eastAsiaTheme="minorHAnsi" w:cstheme="minorBidi"/>
          <w:szCs w:val="22"/>
        </w:rPr>
        <w:tab/>
        <w:t xml:space="preserve">Takahashi JS, Hong HK, Ko CH, </w:t>
      </w:r>
      <w:proofErr w:type="spellStart"/>
      <w:r w:rsidRPr="00E126EF">
        <w:rPr>
          <w:rFonts w:eastAsiaTheme="minorHAnsi" w:cstheme="minorBidi"/>
          <w:szCs w:val="22"/>
        </w:rPr>
        <w:t>McDearmon</w:t>
      </w:r>
      <w:proofErr w:type="spellEnd"/>
      <w:r w:rsidRPr="00E126EF">
        <w:rPr>
          <w:rFonts w:eastAsiaTheme="minorHAnsi" w:cstheme="minorBidi"/>
          <w:szCs w:val="22"/>
        </w:rPr>
        <w:t xml:space="preserve"> EL. The genetics of mammalian circadian order and disorder: implications for physiology and disease. Nat Rev Genet 2008; 9:764-775</w:t>
      </w:r>
    </w:p>
    <w:p w14:paraId="0578BC5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246.</w:t>
      </w:r>
      <w:r w:rsidRPr="00E126EF">
        <w:rPr>
          <w:rFonts w:eastAsiaTheme="minorHAnsi" w:cstheme="minorBidi"/>
          <w:szCs w:val="22"/>
        </w:rPr>
        <w:tab/>
        <w:t xml:space="preserve">Doi M, Hirayama J, </w:t>
      </w:r>
      <w:proofErr w:type="spellStart"/>
      <w:r w:rsidRPr="00E126EF">
        <w:rPr>
          <w:rFonts w:eastAsiaTheme="minorHAnsi" w:cstheme="minorBidi"/>
          <w:szCs w:val="22"/>
        </w:rPr>
        <w:t>Sassone-Corsi</w:t>
      </w:r>
      <w:proofErr w:type="spellEnd"/>
      <w:r w:rsidRPr="00E126EF">
        <w:rPr>
          <w:rFonts w:eastAsiaTheme="minorHAnsi" w:cstheme="minorBidi"/>
          <w:szCs w:val="22"/>
        </w:rPr>
        <w:t xml:space="preserve"> P. Circadian regulator CLOCK is a histone acetyltransferase. Cell 2006; 125:497-508</w:t>
      </w:r>
    </w:p>
    <w:p w14:paraId="03DCFD1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247.</w:t>
      </w:r>
      <w:r w:rsidRPr="00E126EF">
        <w:rPr>
          <w:rFonts w:eastAsiaTheme="minorHAnsi" w:cstheme="minorBidi"/>
          <w:szCs w:val="22"/>
        </w:rPr>
        <w:tab/>
        <w:t>Melvin VS, Harrell C, Adelman JS, Kraus WL, Churchill M, Edwards DP. The role of the C-terminal extension (CTE) of the estrogen receptor a and b DNA binding domain in DNA binding and interaction with HMGB. J Biol Chem 2004; 279:14763-14771</w:t>
      </w:r>
    </w:p>
    <w:p w14:paraId="4FE52AE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248.</w:t>
      </w:r>
      <w:r w:rsidRPr="00E126EF">
        <w:rPr>
          <w:rFonts w:eastAsiaTheme="minorHAnsi" w:cstheme="minorBidi"/>
          <w:szCs w:val="22"/>
        </w:rPr>
        <w:tab/>
        <w:t xml:space="preserve">Nader N, Chrousos GP, Kino T. Interactions of the circadian CLOCK system and the HPA axis. Trends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2010; 21:277-286</w:t>
      </w:r>
    </w:p>
    <w:p w14:paraId="25AB9C7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249.</w:t>
      </w:r>
      <w:r w:rsidRPr="00E126EF">
        <w:rPr>
          <w:rFonts w:eastAsiaTheme="minorHAnsi" w:cstheme="minorBidi"/>
          <w:szCs w:val="22"/>
        </w:rPr>
        <w:tab/>
        <w:t xml:space="preserve">Charmandari E, Chrousos GP, </w:t>
      </w:r>
      <w:proofErr w:type="spellStart"/>
      <w:r w:rsidRPr="00E126EF">
        <w:rPr>
          <w:rFonts w:eastAsiaTheme="minorHAnsi" w:cstheme="minorBidi"/>
          <w:szCs w:val="22"/>
        </w:rPr>
        <w:t>Lambrou</w:t>
      </w:r>
      <w:proofErr w:type="spellEnd"/>
      <w:r w:rsidRPr="00E126EF">
        <w:rPr>
          <w:rFonts w:eastAsiaTheme="minorHAnsi" w:cstheme="minorBidi"/>
          <w:szCs w:val="22"/>
        </w:rPr>
        <w:t xml:space="preserve"> GI, </w:t>
      </w:r>
      <w:proofErr w:type="spellStart"/>
      <w:r w:rsidRPr="00E126EF">
        <w:rPr>
          <w:rFonts w:eastAsiaTheme="minorHAnsi" w:cstheme="minorBidi"/>
          <w:szCs w:val="22"/>
        </w:rPr>
        <w:t>Pavlaki</w:t>
      </w:r>
      <w:proofErr w:type="spellEnd"/>
      <w:r w:rsidRPr="00E126EF">
        <w:rPr>
          <w:rFonts w:eastAsiaTheme="minorHAnsi" w:cstheme="minorBidi"/>
          <w:szCs w:val="22"/>
        </w:rPr>
        <w:t xml:space="preserve"> A, Koide H, Ng SS, Kino T. Peripheral CLOCK regulates target-tissue glucocorticoid receptor transcriptional activity in a circadian fashion in man.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2011; </w:t>
      </w:r>
      <w:proofErr w:type="gramStart"/>
      <w:r w:rsidRPr="00E126EF">
        <w:rPr>
          <w:rFonts w:eastAsiaTheme="minorHAnsi" w:cstheme="minorBidi"/>
          <w:szCs w:val="22"/>
        </w:rPr>
        <w:t>6:e</w:t>
      </w:r>
      <w:proofErr w:type="gramEnd"/>
      <w:r w:rsidRPr="00E126EF">
        <w:rPr>
          <w:rFonts w:eastAsiaTheme="minorHAnsi" w:cstheme="minorBidi"/>
          <w:szCs w:val="22"/>
        </w:rPr>
        <w:t>25612</w:t>
      </w:r>
    </w:p>
    <w:p w14:paraId="439E2BB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250.</w:t>
      </w:r>
      <w:r w:rsidRPr="00E126EF">
        <w:rPr>
          <w:rFonts w:eastAsiaTheme="minorHAnsi" w:cstheme="minorBidi"/>
          <w:szCs w:val="22"/>
        </w:rPr>
        <w:tab/>
      </w:r>
      <w:proofErr w:type="spellStart"/>
      <w:r w:rsidRPr="00E126EF">
        <w:rPr>
          <w:rFonts w:eastAsiaTheme="minorHAnsi" w:cstheme="minorBidi"/>
          <w:szCs w:val="22"/>
        </w:rPr>
        <w:t>Pavlatou</w:t>
      </w:r>
      <w:proofErr w:type="spellEnd"/>
      <w:r w:rsidRPr="00E126EF">
        <w:rPr>
          <w:rFonts w:eastAsiaTheme="minorHAnsi" w:cstheme="minorBidi"/>
          <w:szCs w:val="22"/>
        </w:rPr>
        <w:t xml:space="preserve"> MG, Vickers KC, Varma S, Malek R, Sampson M, </w:t>
      </w:r>
      <w:proofErr w:type="spellStart"/>
      <w:r w:rsidRPr="00E126EF">
        <w:rPr>
          <w:rFonts w:eastAsiaTheme="minorHAnsi" w:cstheme="minorBidi"/>
          <w:szCs w:val="22"/>
        </w:rPr>
        <w:t>Remaley</w:t>
      </w:r>
      <w:proofErr w:type="spellEnd"/>
      <w:r w:rsidRPr="00E126EF">
        <w:rPr>
          <w:rFonts w:eastAsiaTheme="minorHAnsi" w:cstheme="minorBidi"/>
          <w:szCs w:val="22"/>
        </w:rPr>
        <w:t xml:space="preserve"> AT, Gold PW, </w:t>
      </w:r>
      <w:proofErr w:type="spellStart"/>
      <w:r w:rsidRPr="00E126EF">
        <w:rPr>
          <w:rFonts w:eastAsiaTheme="minorHAnsi" w:cstheme="minorBidi"/>
          <w:szCs w:val="22"/>
        </w:rPr>
        <w:t>Skarulis</w:t>
      </w:r>
      <w:proofErr w:type="spellEnd"/>
      <w:r w:rsidRPr="00E126EF">
        <w:rPr>
          <w:rFonts w:eastAsiaTheme="minorHAnsi" w:cstheme="minorBidi"/>
          <w:szCs w:val="22"/>
        </w:rPr>
        <w:t xml:space="preserve"> MC, Kino T. Circulating cortisol-associated signature of glucocorticoid-related gene expression in subcutaneous fat of obese subjects. Obesity (Silver Spring) 2013; 21:960-967</w:t>
      </w:r>
    </w:p>
    <w:p w14:paraId="25FFE4F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251.</w:t>
      </w:r>
      <w:r w:rsidRPr="00E126EF">
        <w:rPr>
          <w:rFonts w:eastAsiaTheme="minorHAnsi" w:cstheme="minorBidi"/>
          <w:szCs w:val="22"/>
        </w:rPr>
        <w:tab/>
        <w:t>Nicolaides NC, Charmandari E, Kino T, Chrousos GP. Stress-Related and Circadian Secretion and Target Tissue Actions of Glucocorticoids: Impact on Health. Front Endocrinol (Lausanne). 2017; 8:70</w:t>
      </w:r>
    </w:p>
    <w:p w14:paraId="64FEED1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252.</w:t>
      </w:r>
      <w:r w:rsidRPr="00E126EF">
        <w:rPr>
          <w:rFonts w:eastAsiaTheme="minorHAnsi" w:cstheme="minorBidi"/>
          <w:szCs w:val="22"/>
        </w:rPr>
        <w:tab/>
      </w:r>
      <w:proofErr w:type="spellStart"/>
      <w:r w:rsidRPr="00E126EF">
        <w:rPr>
          <w:rFonts w:eastAsiaTheme="minorHAnsi" w:cstheme="minorBidi"/>
          <w:szCs w:val="22"/>
        </w:rPr>
        <w:t>Agorastos</w:t>
      </w:r>
      <w:proofErr w:type="spellEnd"/>
      <w:r w:rsidRPr="00E126EF">
        <w:rPr>
          <w:rFonts w:eastAsiaTheme="minorHAnsi" w:cstheme="minorBidi"/>
          <w:szCs w:val="22"/>
        </w:rPr>
        <w:t xml:space="preserve"> A, Nicolaides NC, </w:t>
      </w:r>
      <w:proofErr w:type="spellStart"/>
      <w:r w:rsidRPr="00E126EF">
        <w:rPr>
          <w:rFonts w:eastAsiaTheme="minorHAnsi" w:cstheme="minorBidi"/>
          <w:szCs w:val="22"/>
        </w:rPr>
        <w:t>Bozikas</w:t>
      </w:r>
      <w:proofErr w:type="spellEnd"/>
      <w:r w:rsidRPr="00E126EF">
        <w:rPr>
          <w:rFonts w:eastAsiaTheme="minorHAnsi" w:cstheme="minorBidi"/>
          <w:szCs w:val="22"/>
        </w:rPr>
        <w:t xml:space="preserve"> VP, Chrousos GP, </w:t>
      </w:r>
      <w:proofErr w:type="spellStart"/>
      <w:r w:rsidRPr="00E126EF">
        <w:rPr>
          <w:rFonts w:eastAsiaTheme="minorHAnsi" w:cstheme="minorBidi"/>
          <w:szCs w:val="22"/>
        </w:rPr>
        <w:t>Pervanidou</w:t>
      </w:r>
      <w:proofErr w:type="spellEnd"/>
      <w:r w:rsidRPr="00E126EF">
        <w:rPr>
          <w:rFonts w:eastAsiaTheme="minorHAnsi" w:cstheme="minorBidi"/>
          <w:szCs w:val="22"/>
        </w:rPr>
        <w:t xml:space="preserve"> P. Multilevel Interactions of Stress and Circadian System: Implications for Traumatic Stress. Front Psychiatry. 2020; 10:1003</w:t>
      </w:r>
    </w:p>
    <w:p w14:paraId="22DB12C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253.</w:t>
      </w:r>
      <w:r w:rsidRPr="00E126EF">
        <w:rPr>
          <w:rFonts w:eastAsiaTheme="minorHAnsi" w:cstheme="minorBidi"/>
          <w:szCs w:val="22"/>
        </w:rPr>
        <w:tab/>
        <w:t xml:space="preserve">Lamia KA, Papp SJ, Yu RT, </w:t>
      </w:r>
      <w:proofErr w:type="spellStart"/>
      <w:r w:rsidRPr="00E126EF">
        <w:rPr>
          <w:rFonts w:eastAsiaTheme="minorHAnsi" w:cstheme="minorBidi"/>
          <w:szCs w:val="22"/>
        </w:rPr>
        <w:t>Barish</w:t>
      </w:r>
      <w:proofErr w:type="spellEnd"/>
      <w:r w:rsidRPr="00E126EF">
        <w:rPr>
          <w:rFonts w:eastAsiaTheme="minorHAnsi" w:cstheme="minorBidi"/>
          <w:szCs w:val="22"/>
        </w:rPr>
        <w:t xml:space="preserve"> GD, </w:t>
      </w:r>
      <w:proofErr w:type="spellStart"/>
      <w:r w:rsidRPr="00E126EF">
        <w:rPr>
          <w:rFonts w:eastAsiaTheme="minorHAnsi" w:cstheme="minorBidi"/>
          <w:szCs w:val="22"/>
        </w:rPr>
        <w:t>Uhlenhaut</w:t>
      </w:r>
      <w:proofErr w:type="spellEnd"/>
      <w:r w:rsidRPr="00E126EF">
        <w:rPr>
          <w:rFonts w:eastAsiaTheme="minorHAnsi" w:cstheme="minorBidi"/>
          <w:szCs w:val="22"/>
        </w:rPr>
        <w:t xml:space="preserve"> NH, Jonker JW, Downes M, Evans RM. Cryptochromes mediate rhythmic repression of the glucocorticoid receptor. Nature 2011; 480:552-556</w:t>
      </w:r>
    </w:p>
    <w:p w14:paraId="496D353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254.</w:t>
      </w:r>
      <w:r w:rsidRPr="00E126EF">
        <w:rPr>
          <w:rFonts w:eastAsiaTheme="minorHAnsi" w:cstheme="minorBidi"/>
          <w:szCs w:val="22"/>
        </w:rPr>
        <w:tab/>
      </w:r>
      <w:proofErr w:type="spellStart"/>
      <w:r w:rsidRPr="00E126EF">
        <w:rPr>
          <w:rFonts w:eastAsiaTheme="minorHAnsi" w:cstheme="minorBidi"/>
          <w:szCs w:val="22"/>
        </w:rPr>
        <w:t>Balsalobre</w:t>
      </w:r>
      <w:proofErr w:type="spellEnd"/>
      <w:r w:rsidRPr="00E126EF">
        <w:rPr>
          <w:rFonts w:eastAsiaTheme="minorHAnsi" w:cstheme="minorBidi"/>
          <w:szCs w:val="22"/>
        </w:rPr>
        <w:t xml:space="preserve"> A, Brown SA, </w:t>
      </w:r>
      <w:proofErr w:type="spellStart"/>
      <w:r w:rsidRPr="00E126EF">
        <w:rPr>
          <w:rFonts w:eastAsiaTheme="minorHAnsi" w:cstheme="minorBidi"/>
          <w:szCs w:val="22"/>
        </w:rPr>
        <w:t>Marcacci</w:t>
      </w:r>
      <w:proofErr w:type="spellEnd"/>
      <w:r w:rsidRPr="00E126EF">
        <w:rPr>
          <w:rFonts w:eastAsiaTheme="minorHAnsi" w:cstheme="minorBidi"/>
          <w:szCs w:val="22"/>
        </w:rPr>
        <w:t xml:space="preserve"> L, </w:t>
      </w:r>
      <w:proofErr w:type="spellStart"/>
      <w:r w:rsidRPr="00E126EF">
        <w:rPr>
          <w:rFonts w:eastAsiaTheme="minorHAnsi" w:cstheme="minorBidi"/>
          <w:szCs w:val="22"/>
        </w:rPr>
        <w:t>Tronche</w:t>
      </w:r>
      <w:proofErr w:type="spellEnd"/>
      <w:r w:rsidRPr="00E126EF">
        <w:rPr>
          <w:rFonts w:eastAsiaTheme="minorHAnsi" w:cstheme="minorBidi"/>
          <w:szCs w:val="22"/>
        </w:rPr>
        <w:t xml:space="preserve"> F, </w:t>
      </w:r>
      <w:proofErr w:type="spellStart"/>
      <w:r w:rsidRPr="00E126EF">
        <w:rPr>
          <w:rFonts w:eastAsiaTheme="minorHAnsi" w:cstheme="minorBidi"/>
          <w:szCs w:val="22"/>
        </w:rPr>
        <w:t>Kellendonk</w:t>
      </w:r>
      <w:proofErr w:type="spellEnd"/>
      <w:r w:rsidRPr="00E126EF">
        <w:rPr>
          <w:rFonts w:eastAsiaTheme="minorHAnsi" w:cstheme="minorBidi"/>
          <w:szCs w:val="22"/>
        </w:rPr>
        <w:t xml:space="preserve"> C, Reichardt HM, Schutz G, </w:t>
      </w:r>
      <w:proofErr w:type="spellStart"/>
      <w:r w:rsidRPr="00E126EF">
        <w:rPr>
          <w:rFonts w:eastAsiaTheme="minorHAnsi" w:cstheme="minorBidi"/>
          <w:szCs w:val="22"/>
        </w:rPr>
        <w:t>Schibler</w:t>
      </w:r>
      <w:proofErr w:type="spellEnd"/>
      <w:r w:rsidRPr="00E126EF">
        <w:rPr>
          <w:rFonts w:eastAsiaTheme="minorHAnsi" w:cstheme="minorBidi"/>
          <w:szCs w:val="22"/>
        </w:rPr>
        <w:t xml:space="preserve"> U. Resetting of circadian time in peripheral tissues by glucocorticoid signaling. Science 2000; 289:2344-2347</w:t>
      </w:r>
    </w:p>
    <w:p w14:paraId="7D9E4FC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255.</w:t>
      </w:r>
      <w:r w:rsidRPr="00E126EF">
        <w:rPr>
          <w:rFonts w:eastAsiaTheme="minorHAnsi" w:cstheme="minorBidi"/>
          <w:szCs w:val="22"/>
        </w:rPr>
        <w:tab/>
        <w:t xml:space="preserve">So AY, Bernal TU, Pillsbury ML, Yamamoto KR, Feldman BJ. Glucocorticoid regulation of the circadian clock modulates glucose homeostasis.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2009; 106:17582-17587</w:t>
      </w:r>
    </w:p>
    <w:p w14:paraId="3D682B6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256.</w:t>
      </w:r>
      <w:r w:rsidRPr="00E126EF">
        <w:rPr>
          <w:rFonts w:eastAsiaTheme="minorHAnsi" w:cstheme="minorBidi"/>
          <w:szCs w:val="22"/>
        </w:rPr>
        <w:tab/>
      </w:r>
      <w:proofErr w:type="spellStart"/>
      <w:r w:rsidRPr="00E126EF">
        <w:rPr>
          <w:rFonts w:eastAsiaTheme="minorHAnsi" w:cstheme="minorBidi"/>
          <w:szCs w:val="22"/>
        </w:rPr>
        <w:t>Leliavski</w:t>
      </w:r>
      <w:proofErr w:type="spellEnd"/>
      <w:r w:rsidRPr="00E126EF">
        <w:rPr>
          <w:rFonts w:eastAsiaTheme="minorHAnsi" w:cstheme="minorBidi"/>
          <w:szCs w:val="22"/>
        </w:rPr>
        <w:t xml:space="preserve"> A, </w:t>
      </w:r>
      <w:proofErr w:type="spellStart"/>
      <w:r w:rsidRPr="00E126EF">
        <w:rPr>
          <w:rFonts w:eastAsiaTheme="minorHAnsi" w:cstheme="minorBidi"/>
          <w:szCs w:val="22"/>
        </w:rPr>
        <w:t>Dumbell</w:t>
      </w:r>
      <w:proofErr w:type="spellEnd"/>
      <w:r w:rsidRPr="00E126EF">
        <w:rPr>
          <w:rFonts w:eastAsiaTheme="minorHAnsi" w:cstheme="minorBidi"/>
          <w:szCs w:val="22"/>
        </w:rPr>
        <w:t xml:space="preserve"> R, Ott V, Oster H. Adrenal clocks and the role of adrenal hormones in the regulation of circadian physiology. J Biol Rhythms 2015; 30:20-34</w:t>
      </w:r>
    </w:p>
    <w:p w14:paraId="60554C8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257.</w:t>
      </w:r>
      <w:r w:rsidRPr="00E126EF">
        <w:rPr>
          <w:rFonts w:eastAsiaTheme="minorHAnsi" w:cstheme="minorBidi"/>
          <w:szCs w:val="22"/>
        </w:rPr>
        <w:tab/>
        <w:t xml:space="preserve">Ikeda Y, </w:t>
      </w:r>
      <w:proofErr w:type="spellStart"/>
      <w:r w:rsidRPr="00E126EF">
        <w:rPr>
          <w:rFonts w:eastAsiaTheme="minorHAnsi" w:cstheme="minorBidi"/>
          <w:szCs w:val="22"/>
        </w:rPr>
        <w:t>Kumagai</w:t>
      </w:r>
      <w:proofErr w:type="spellEnd"/>
      <w:r w:rsidRPr="00E126EF">
        <w:rPr>
          <w:rFonts w:eastAsiaTheme="minorHAnsi" w:cstheme="minorBidi"/>
          <w:szCs w:val="22"/>
        </w:rPr>
        <w:t xml:space="preserve"> H, </w:t>
      </w:r>
      <w:proofErr w:type="spellStart"/>
      <w:r w:rsidRPr="00E126EF">
        <w:rPr>
          <w:rFonts w:eastAsiaTheme="minorHAnsi" w:cstheme="minorBidi"/>
          <w:szCs w:val="22"/>
        </w:rPr>
        <w:t>Skach</w:t>
      </w:r>
      <w:proofErr w:type="spellEnd"/>
      <w:r w:rsidRPr="00E126EF">
        <w:rPr>
          <w:rFonts w:eastAsiaTheme="minorHAnsi" w:cstheme="minorBidi"/>
          <w:szCs w:val="22"/>
        </w:rPr>
        <w:t xml:space="preserve"> A, Sato M, Yanagisawa M. Modulation of circadian glucocorticoid oscillation via adrenal opioid-CXCR7 signaling alters emotional behavior. Cell 2013; 155:1323-1336</w:t>
      </w:r>
    </w:p>
    <w:p w14:paraId="4366CA6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258.</w:t>
      </w:r>
      <w:r w:rsidRPr="00E126EF">
        <w:rPr>
          <w:rFonts w:eastAsiaTheme="minorHAnsi" w:cstheme="minorBidi"/>
          <w:szCs w:val="22"/>
        </w:rPr>
        <w:tab/>
        <w:t xml:space="preserve">Kino T, Chrousos GP. Circadian CLOCK-mediated regulation of target-tissue sensitivity to glucocorticoids: implications for cardiometabolic diseases. </w:t>
      </w:r>
      <w:proofErr w:type="spellStart"/>
      <w:r w:rsidRPr="00E126EF">
        <w:rPr>
          <w:rFonts w:eastAsiaTheme="minorHAnsi" w:cstheme="minorBidi"/>
          <w:szCs w:val="22"/>
        </w:rPr>
        <w:t>Endocr</w:t>
      </w:r>
      <w:proofErr w:type="spellEnd"/>
      <w:r w:rsidRPr="00E126EF">
        <w:rPr>
          <w:rFonts w:eastAsiaTheme="minorHAnsi" w:cstheme="minorBidi"/>
          <w:szCs w:val="22"/>
        </w:rPr>
        <w:t xml:space="preserve"> Dev 2011; 20:116-126</w:t>
      </w:r>
    </w:p>
    <w:p w14:paraId="596F19E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259.</w:t>
      </w:r>
      <w:r w:rsidRPr="00E126EF">
        <w:rPr>
          <w:rFonts w:eastAsiaTheme="minorHAnsi" w:cstheme="minorBidi"/>
          <w:szCs w:val="22"/>
        </w:rPr>
        <w:tab/>
        <w:t xml:space="preserve">Ismaili N,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Modulation of glucocorticoid receptor function via phosphorylation. Ann N Y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2004; 1024:86-101</w:t>
      </w:r>
    </w:p>
    <w:p w14:paraId="16414F8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260.</w:t>
      </w:r>
      <w:r w:rsidRPr="00E126EF">
        <w:rPr>
          <w:rFonts w:eastAsiaTheme="minorHAnsi" w:cstheme="minorBidi"/>
          <w:szCs w:val="22"/>
        </w:rPr>
        <w:tab/>
      </w:r>
      <w:proofErr w:type="spellStart"/>
      <w:r w:rsidRPr="00E126EF">
        <w:rPr>
          <w:rFonts w:eastAsiaTheme="minorHAnsi" w:cstheme="minorBidi"/>
          <w:szCs w:val="22"/>
        </w:rPr>
        <w:t>Orti</w:t>
      </w:r>
      <w:proofErr w:type="spellEnd"/>
      <w:r w:rsidRPr="00E126EF">
        <w:rPr>
          <w:rFonts w:eastAsiaTheme="minorHAnsi" w:cstheme="minorBidi"/>
          <w:szCs w:val="22"/>
        </w:rPr>
        <w:t xml:space="preserve"> E, Hu LM, </w:t>
      </w:r>
      <w:proofErr w:type="spellStart"/>
      <w:r w:rsidRPr="00E126EF">
        <w:rPr>
          <w:rFonts w:eastAsiaTheme="minorHAnsi" w:cstheme="minorBidi"/>
          <w:szCs w:val="22"/>
        </w:rPr>
        <w:t>Munck</w:t>
      </w:r>
      <w:proofErr w:type="spellEnd"/>
      <w:r w:rsidRPr="00E126EF">
        <w:rPr>
          <w:rFonts w:eastAsiaTheme="minorHAnsi" w:cstheme="minorBidi"/>
          <w:szCs w:val="22"/>
        </w:rPr>
        <w:t xml:space="preserve"> A. Kinetics of glucocorticoid receptor phosphorylation in intact cells. Evidence for hormone-induced hyperphosphorylation after activation and recycling of hyperphosphorylated receptors. J Biol Chem 1993; 268:7779-7784</w:t>
      </w:r>
    </w:p>
    <w:p w14:paraId="629549C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261.</w:t>
      </w:r>
      <w:r w:rsidRPr="00E126EF">
        <w:rPr>
          <w:rFonts w:eastAsiaTheme="minorHAnsi" w:cstheme="minorBidi"/>
          <w:szCs w:val="22"/>
        </w:rPr>
        <w:tab/>
        <w:t xml:space="preserve">Kino T. GR-regulating Serine/Threonine Kinases: New Physiologic and Pathologic Implications. Trends Endocrinol </w:t>
      </w:r>
      <w:proofErr w:type="spellStart"/>
      <w:r w:rsidRPr="00E126EF">
        <w:rPr>
          <w:rFonts w:eastAsiaTheme="minorHAnsi" w:cstheme="minorBidi"/>
          <w:szCs w:val="22"/>
        </w:rPr>
        <w:t>Metab</w:t>
      </w:r>
      <w:proofErr w:type="spellEnd"/>
      <w:r w:rsidRPr="00E126EF">
        <w:rPr>
          <w:rFonts w:eastAsiaTheme="minorHAnsi" w:cstheme="minorBidi"/>
          <w:szCs w:val="22"/>
        </w:rPr>
        <w:t>. 2018; 29(4):260-270</w:t>
      </w:r>
    </w:p>
    <w:p w14:paraId="143D5A8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262.</w:t>
      </w:r>
      <w:r w:rsidRPr="00E126EF">
        <w:rPr>
          <w:rFonts w:eastAsiaTheme="minorHAnsi" w:cstheme="minorBidi"/>
          <w:szCs w:val="22"/>
        </w:rPr>
        <w:tab/>
        <w:t xml:space="preserve">Krstic MD, </w:t>
      </w:r>
      <w:proofErr w:type="spellStart"/>
      <w:r w:rsidRPr="00E126EF">
        <w:rPr>
          <w:rFonts w:eastAsiaTheme="minorHAnsi" w:cstheme="minorBidi"/>
          <w:szCs w:val="22"/>
        </w:rPr>
        <w:t>Rogatsky</w:t>
      </w:r>
      <w:proofErr w:type="spellEnd"/>
      <w:r w:rsidRPr="00E126EF">
        <w:rPr>
          <w:rFonts w:eastAsiaTheme="minorHAnsi" w:cstheme="minorBidi"/>
          <w:szCs w:val="22"/>
        </w:rPr>
        <w:t xml:space="preserve"> I, Yamamoto KR,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Mitogen-activated and cyclin-dependent protein kinases selectively and differentially modulate transcriptional enhancement by the glucocorticoid receptor. Mol Cell Biol 1997; 17:3947-3954</w:t>
      </w:r>
    </w:p>
    <w:p w14:paraId="10C695B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263.</w:t>
      </w:r>
      <w:r w:rsidRPr="00E126EF">
        <w:rPr>
          <w:rFonts w:eastAsiaTheme="minorHAnsi" w:cstheme="minorBidi"/>
          <w:szCs w:val="22"/>
        </w:rPr>
        <w:tab/>
        <w:t xml:space="preserve">Wang Z, Frederick J,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Deciphering the phosphorylation "code" of the glucocorticoid receptor in vivo. J Biol Chem 2002; 277:26573-26580</w:t>
      </w:r>
    </w:p>
    <w:p w14:paraId="2D6AF29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264.</w:t>
      </w:r>
      <w:r w:rsidRPr="00E126EF">
        <w:rPr>
          <w:rFonts w:eastAsiaTheme="minorHAnsi" w:cstheme="minorBidi"/>
          <w:szCs w:val="22"/>
        </w:rPr>
        <w:tab/>
        <w:t xml:space="preserve">Miller AL, Webb MS, </w:t>
      </w:r>
      <w:proofErr w:type="spellStart"/>
      <w:r w:rsidRPr="00E126EF">
        <w:rPr>
          <w:rFonts w:eastAsiaTheme="minorHAnsi" w:cstheme="minorBidi"/>
          <w:szCs w:val="22"/>
        </w:rPr>
        <w:t>Copik</w:t>
      </w:r>
      <w:proofErr w:type="spellEnd"/>
      <w:r w:rsidRPr="00E126EF">
        <w:rPr>
          <w:rFonts w:eastAsiaTheme="minorHAnsi" w:cstheme="minorBidi"/>
          <w:szCs w:val="22"/>
        </w:rPr>
        <w:t xml:space="preserve"> AJ, Wang Y, Johnson BH, Kumar R, Thompson EB. p38 Mitogen-activated protein kinase (MAPK) is a key mediator in glucocorticoid-induced apoptosis of lymphoid cells: correlation between p38 MAPK activation and site-specific phosphorylation of the human glucocorticoid receptor at serine 211. Mol Endocrinol 2005; 19:1569-1583</w:t>
      </w:r>
    </w:p>
    <w:p w14:paraId="7AEA360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265.</w:t>
      </w:r>
      <w:r w:rsidRPr="00E126EF">
        <w:rPr>
          <w:rFonts w:eastAsiaTheme="minorHAnsi" w:cstheme="minorBidi"/>
          <w:szCs w:val="22"/>
        </w:rPr>
        <w:tab/>
        <w:t xml:space="preserve">Carruthers CW, Suh JH, Gustafsson JA, Webb P. Phosphorylation of glucocorticoid receptor tau1c transactivation domain enhances binding to CREB binding protein (CBP) TAZ2.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2015; 457:119-123</w:t>
      </w:r>
    </w:p>
    <w:p w14:paraId="0628290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266.</w:t>
      </w:r>
      <w:r w:rsidRPr="00E126EF">
        <w:rPr>
          <w:rFonts w:eastAsiaTheme="minorHAnsi" w:cstheme="minorBidi"/>
          <w:szCs w:val="22"/>
        </w:rPr>
        <w:tab/>
        <w:t xml:space="preserve">Ismaili N, Blind R,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Stabilization of the unliganded glucocorticoid receptor by TSG101. J Biol Chem 2005; 280:11120-11126</w:t>
      </w:r>
    </w:p>
    <w:p w14:paraId="4DB9B92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267.</w:t>
      </w:r>
      <w:r w:rsidRPr="00E126EF">
        <w:rPr>
          <w:rFonts w:eastAsiaTheme="minorHAnsi" w:cstheme="minorBidi"/>
          <w:szCs w:val="22"/>
        </w:rPr>
        <w:tab/>
      </w:r>
      <w:proofErr w:type="spellStart"/>
      <w:r w:rsidRPr="00E126EF">
        <w:rPr>
          <w:rFonts w:eastAsiaTheme="minorHAnsi" w:cstheme="minorBidi"/>
          <w:szCs w:val="22"/>
        </w:rPr>
        <w:t>Rogatsky</w:t>
      </w:r>
      <w:proofErr w:type="spellEnd"/>
      <w:r w:rsidRPr="00E126EF">
        <w:rPr>
          <w:rFonts w:eastAsiaTheme="minorHAnsi" w:cstheme="minorBidi"/>
          <w:szCs w:val="22"/>
        </w:rPr>
        <w:t xml:space="preserve"> I, </w:t>
      </w:r>
      <w:proofErr w:type="spellStart"/>
      <w:r w:rsidRPr="00E126EF">
        <w:rPr>
          <w:rFonts w:eastAsiaTheme="minorHAnsi" w:cstheme="minorBidi"/>
          <w:szCs w:val="22"/>
        </w:rPr>
        <w:t>Waase</w:t>
      </w:r>
      <w:proofErr w:type="spellEnd"/>
      <w:r w:rsidRPr="00E126EF">
        <w:rPr>
          <w:rFonts w:eastAsiaTheme="minorHAnsi" w:cstheme="minorBidi"/>
          <w:szCs w:val="22"/>
        </w:rPr>
        <w:t xml:space="preserve"> CL,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Phosphorylation and inhibition of rat glucocorticoid receptor transcriptional activation by glycogen synthase kinase-3 (GSK-3). Species-specific differences between human and rat glucocorticoid receptor signaling as revealed through GSK-3 phosphorylation. J Biol Chem 1998; 273:14315-14321</w:t>
      </w:r>
    </w:p>
    <w:p w14:paraId="6900999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268.</w:t>
      </w:r>
      <w:r w:rsidRPr="00E126EF">
        <w:rPr>
          <w:rFonts w:eastAsiaTheme="minorHAnsi" w:cstheme="minorBidi"/>
          <w:szCs w:val="22"/>
        </w:rPr>
        <w:tab/>
      </w:r>
      <w:proofErr w:type="spellStart"/>
      <w:r w:rsidRPr="00E126EF">
        <w:rPr>
          <w:rFonts w:eastAsiaTheme="minorHAnsi" w:cstheme="minorBidi"/>
          <w:szCs w:val="22"/>
        </w:rPr>
        <w:t>Galliher</w:t>
      </w:r>
      <w:proofErr w:type="spellEnd"/>
      <w:r w:rsidRPr="00E126EF">
        <w:rPr>
          <w:rFonts w:eastAsiaTheme="minorHAnsi" w:cstheme="minorBidi"/>
          <w:szCs w:val="22"/>
        </w:rPr>
        <w:t xml:space="preserve">-Beckley AJ, Williams JG, Collins JB,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Glycogen synthase kinase 3b-mediated serine phosphorylation of the human glucocorticoid receptor redirects gene expression profiles. Mol Cell Biol 2008; 28:7309-7322</w:t>
      </w:r>
    </w:p>
    <w:p w14:paraId="5711AEF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269.</w:t>
      </w:r>
      <w:r w:rsidRPr="00E126EF">
        <w:rPr>
          <w:rFonts w:eastAsiaTheme="minorHAnsi" w:cstheme="minorBidi"/>
          <w:szCs w:val="22"/>
        </w:rPr>
        <w:tab/>
        <w:t xml:space="preserve">Wang Z, Chen W, </w:t>
      </w:r>
      <w:proofErr w:type="spellStart"/>
      <w:r w:rsidRPr="00E126EF">
        <w:rPr>
          <w:rFonts w:eastAsiaTheme="minorHAnsi" w:cstheme="minorBidi"/>
          <w:szCs w:val="22"/>
        </w:rPr>
        <w:t>Kono</w:t>
      </w:r>
      <w:proofErr w:type="spellEnd"/>
      <w:r w:rsidRPr="00E126EF">
        <w:rPr>
          <w:rFonts w:eastAsiaTheme="minorHAnsi" w:cstheme="minorBidi"/>
          <w:szCs w:val="22"/>
        </w:rPr>
        <w:t xml:space="preserve"> E, Dang T,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Modulation of glucocorticoid receptor phosphorylation and transcriptional activity by a C-terminal-associated protein phosphatase. Mol Endocrinol 2007; 21:625-634</w:t>
      </w:r>
    </w:p>
    <w:p w14:paraId="5C731E6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270.</w:t>
      </w:r>
      <w:r w:rsidRPr="00E126EF">
        <w:rPr>
          <w:rFonts w:eastAsiaTheme="minorHAnsi" w:cstheme="minorBidi"/>
          <w:szCs w:val="22"/>
        </w:rPr>
        <w:tab/>
      </w:r>
      <w:proofErr w:type="spellStart"/>
      <w:r w:rsidRPr="00E126EF">
        <w:rPr>
          <w:rFonts w:eastAsiaTheme="minorHAnsi" w:cstheme="minorBidi"/>
          <w:szCs w:val="22"/>
        </w:rPr>
        <w:t>Bouazza</w:t>
      </w:r>
      <w:proofErr w:type="spellEnd"/>
      <w:r w:rsidRPr="00E126EF">
        <w:rPr>
          <w:rFonts w:eastAsiaTheme="minorHAnsi" w:cstheme="minorBidi"/>
          <w:szCs w:val="22"/>
        </w:rPr>
        <w:t xml:space="preserve"> B, </w:t>
      </w:r>
      <w:proofErr w:type="spellStart"/>
      <w:r w:rsidRPr="00E126EF">
        <w:rPr>
          <w:rFonts w:eastAsiaTheme="minorHAnsi" w:cstheme="minorBidi"/>
          <w:szCs w:val="22"/>
        </w:rPr>
        <w:t>Krytska</w:t>
      </w:r>
      <w:proofErr w:type="spellEnd"/>
      <w:r w:rsidRPr="00E126EF">
        <w:rPr>
          <w:rFonts w:eastAsiaTheme="minorHAnsi" w:cstheme="minorBidi"/>
          <w:szCs w:val="22"/>
        </w:rPr>
        <w:t xml:space="preserve"> K, </w:t>
      </w:r>
      <w:proofErr w:type="spellStart"/>
      <w:r w:rsidRPr="00E126EF">
        <w:rPr>
          <w:rFonts w:eastAsiaTheme="minorHAnsi" w:cstheme="minorBidi"/>
          <w:szCs w:val="22"/>
        </w:rPr>
        <w:t>Debba-Pavard</w:t>
      </w:r>
      <w:proofErr w:type="spellEnd"/>
      <w:r w:rsidRPr="00E126EF">
        <w:rPr>
          <w:rFonts w:eastAsiaTheme="minorHAnsi" w:cstheme="minorBidi"/>
          <w:szCs w:val="22"/>
        </w:rPr>
        <w:t xml:space="preserve"> M, </w:t>
      </w:r>
      <w:proofErr w:type="spellStart"/>
      <w:r w:rsidRPr="00E126EF">
        <w:rPr>
          <w:rFonts w:eastAsiaTheme="minorHAnsi" w:cstheme="minorBidi"/>
          <w:szCs w:val="22"/>
        </w:rPr>
        <w:t>Amrani</w:t>
      </w:r>
      <w:proofErr w:type="spellEnd"/>
      <w:r w:rsidRPr="00E126EF">
        <w:rPr>
          <w:rFonts w:eastAsiaTheme="minorHAnsi" w:cstheme="minorBidi"/>
          <w:szCs w:val="22"/>
        </w:rPr>
        <w:t xml:space="preserve"> Y, </w:t>
      </w:r>
      <w:proofErr w:type="spellStart"/>
      <w:r w:rsidRPr="00E126EF">
        <w:rPr>
          <w:rFonts w:eastAsiaTheme="minorHAnsi" w:cstheme="minorBidi"/>
          <w:szCs w:val="22"/>
        </w:rPr>
        <w:t>Honkanen</w:t>
      </w:r>
      <w:proofErr w:type="spellEnd"/>
      <w:r w:rsidRPr="00E126EF">
        <w:rPr>
          <w:rFonts w:eastAsiaTheme="minorHAnsi" w:cstheme="minorBidi"/>
          <w:szCs w:val="22"/>
        </w:rPr>
        <w:t xml:space="preserve"> RE, Tran J, </w:t>
      </w:r>
      <w:proofErr w:type="spellStart"/>
      <w:r w:rsidRPr="00E126EF">
        <w:rPr>
          <w:rFonts w:eastAsiaTheme="minorHAnsi" w:cstheme="minorBidi"/>
          <w:szCs w:val="22"/>
        </w:rPr>
        <w:t>Tliba</w:t>
      </w:r>
      <w:proofErr w:type="spellEnd"/>
      <w:r w:rsidRPr="00E126EF">
        <w:rPr>
          <w:rFonts w:eastAsiaTheme="minorHAnsi" w:cstheme="minorBidi"/>
          <w:szCs w:val="22"/>
        </w:rPr>
        <w:t xml:space="preserve"> O. Cytokines alter glucocorticoid receptor phosphorylation in airway cells: role of phosphatases. Am J Respir Cell Mol Biol 2012; 47:464-473</w:t>
      </w:r>
    </w:p>
    <w:p w14:paraId="4761AD2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271.</w:t>
      </w:r>
      <w:r w:rsidRPr="00E126EF">
        <w:rPr>
          <w:rFonts w:eastAsiaTheme="minorHAnsi" w:cstheme="minorBidi"/>
          <w:szCs w:val="22"/>
        </w:rPr>
        <w:tab/>
        <w:t xml:space="preserve">Kobayashi Y, Mercado N, Miller-Larsson A, Barnes PJ, Ito K. Increased corticosteroid sensitivity by a long acting b2 agonist formoterol via b2 adrenoceptor independent protein phosphatase 2A activation. </w:t>
      </w:r>
      <w:proofErr w:type="spellStart"/>
      <w:r w:rsidRPr="00E126EF">
        <w:rPr>
          <w:rFonts w:eastAsiaTheme="minorHAnsi" w:cstheme="minorBidi"/>
          <w:szCs w:val="22"/>
        </w:rPr>
        <w:t>Pulm</w:t>
      </w:r>
      <w:proofErr w:type="spellEnd"/>
      <w:r w:rsidRPr="00E126EF">
        <w:rPr>
          <w:rFonts w:eastAsiaTheme="minorHAnsi" w:cstheme="minorBidi"/>
          <w:szCs w:val="22"/>
        </w:rPr>
        <w:t xml:space="preserve">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w:t>
      </w:r>
      <w:proofErr w:type="spellStart"/>
      <w:r w:rsidRPr="00E126EF">
        <w:rPr>
          <w:rFonts w:eastAsiaTheme="minorHAnsi" w:cstheme="minorBidi"/>
          <w:szCs w:val="22"/>
        </w:rPr>
        <w:t>Ther</w:t>
      </w:r>
      <w:proofErr w:type="spellEnd"/>
      <w:r w:rsidRPr="00E126EF">
        <w:rPr>
          <w:rFonts w:eastAsiaTheme="minorHAnsi" w:cstheme="minorBidi"/>
          <w:szCs w:val="22"/>
        </w:rPr>
        <w:t xml:space="preserve"> 2012; 25:201-207</w:t>
      </w:r>
    </w:p>
    <w:p w14:paraId="093DA92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272.</w:t>
      </w:r>
      <w:r w:rsidRPr="00E126EF">
        <w:rPr>
          <w:rFonts w:eastAsiaTheme="minorHAnsi" w:cstheme="minorBidi"/>
          <w:szCs w:val="22"/>
        </w:rPr>
        <w:tab/>
        <w:t xml:space="preserve">Kobayashi Y, Mercado N, Barnes PJ, Ito K. Defects of protein phosphatase 2A causes corticosteroid insensitivity in severe asthma.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2011; </w:t>
      </w:r>
      <w:proofErr w:type="gramStart"/>
      <w:r w:rsidRPr="00E126EF">
        <w:rPr>
          <w:rFonts w:eastAsiaTheme="minorHAnsi" w:cstheme="minorBidi"/>
          <w:szCs w:val="22"/>
        </w:rPr>
        <w:t>6:e</w:t>
      </w:r>
      <w:proofErr w:type="gramEnd"/>
      <w:r w:rsidRPr="00E126EF">
        <w:rPr>
          <w:rFonts w:eastAsiaTheme="minorHAnsi" w:cstheme="minorBidi"/>
          <w:szCs w:val="22"/>
        </w:rPr>
        <w:t>27627</w:t>
      </w:r>
    </w:p>
    <w:p w14:paraId="1D8F4F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273.</w:t>
      </w:r>
      <w:r w:rsidRPr="00E126EF">
        <w:rPr>
          <w:rFonts w:eastAsiaTheme="minorHAnsi" w:cstheme="minorBidi"/>
          <w:szCs w:val="22"/>
        </w:rPr>
        <w:tab/>
        <w:t xml:space="preserve">Kino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Amin ND, </w:t>
      </w:r>
      <w:proofErr w:type="spellStart"/>
      <w:r w:rsidRPr="00E126EF">
        <w:rPr>
          <w:rFonts w:eastAsiaTheme="minorHAnsi" w:cstheme="minorBidi"/>
          <w:szCs w:val="22"/>
        </w:rPr>
        <w:t>Kesavapany</w:t>
      </w:r>
      <w:proofErr w:type="spellEnd"/>
      <w:r w:rsidRPr="00E126EF">
        <w:rPr>
          <w:rFonts w:eastAsiaTheme="minorHAnsi" w:cstheme="minorBidi"/>
          <w:szCs w:val="22"/>
        </w:rPr>
        <w:t xml:space="preserve"> S, Wang Y, Kim N, Rao S, Player A, Zheng YL, </w:t>
      </w:r>
      <w:proofErr w:type="spellStart"/>
      <w:r w:rsidRPr="00E126EF">
        <w:rPr>
          <w:rFonts w:eastAsiaTheme="minorHAnsi" w:cstheme="minorBidi"/>
          <w:szCs w:val="22"/>
        </w:rPr>
        <w:t>Garabedian</w:t>
      </w:r>
      <w:proofErr w:type="spellEnd"/>
      <w:r w:rsidRPr="00E126EF">
        <w:rPr>
          <w:rFonts w:eastAsiaTheme="minorHAnsi" w:cstheme="minorBidi"/>
          <w:szCs w:val="22"/>
        </w:rPr>
        <w:t xml:space="preserve"> MJ, Kawasaki E, Pant HC, Chrousos GP. Cyclin-dependent kinase 5 differentially regulates the transcriptional activity of the glucocorticoid receptor through phosphorylation: clinical implications for the nervous system response to glucocorticoids and stress. Mol Endocrinol 2007; 21:1552-1568</w:t>
      </w:r>
    </w:p>
    <w:p w14:paraId="1DE9D7E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274.</w:t>
      </w:r>
      <w:r w:rsidRPr="00E126EF">
        <w:rPr>
          <w:rFonts w:eastAsiaTheme="minorHAnsi" w:cstheme="minorBidi"/>
          <w:szCs w:val="22"/>
        </w:rPr>
        <w:tab/>
      </w:r>
      <w:proofErr w:type="spellStart"/>
      <w:r w:rsidRPr="00E126EF">
        <w:rPr>
          <w:rFonts w:eastAsiaTheme="minorHAnsi" w:cstheme="minorBidi"/>
          <w:szCs w:val="22"/>
        </w:rPr>
        <w:t>Dhavan</w:t>
      </w:r>
      <w:proofErr w:type="spellEnd"/>
      <w:r w:rsidRPr="00E126EF">
        <w:rPr>
          <w:rFonts w:eastAsiaTheme="minorHAnsi" w:cstheme="minorBidi"/>
          <w:szCs w:val="22"/>
        </w:rPr>
        <w:t xml:space="preserve"> R, Tsai LH. A decade of CDK5. Nat Rev Mol Cell Biol 2001; 2:749-759</w:t>
      </w:r>
    </w:p>
    <w:p w14:paraId="2F0BF90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275.</w:t>
      </w:r>
      <w:r w:rsidRPr="00E126EF">
        <w:rPr>
          <w:rFonts w:eastAsiaTheme="minorHAnsi" w:cstheme="minorBidi"/>
          <w:szCs w:val="22"/>
        </w:rPr>
        <w:tab/>
        <w:t>Kino T, Jaffe H, Amin ND, Chakrabarti M, Zheng YL, Chrousos GP, Pant HC. Cyclin-dependent kinase 5 modulates the transcriptional activity of the mineralocorticoid receptor and regulates expression of brain-derived neurotrophic factor. Mol Endocrinol 2010; 24:941-952</w:t>
      </w:r>
    </w:p>
    <w:p w14:paraId="795C778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276.</w:t>
      </w:r>
      <w:r w:rsidRPr="00E126EF">
        <w:rPr>
          <w:rFonts w:eastAsiaTheme="minorHAnsi" w:cstheme="minorBidi"/>
          <w:szCs w:val="22"/>
        </w:rPr>
        <w:tab/>
        <w:t xml:space="preserve">Sousa N, Almeida OF. Corticosteroids: sculptors of the hippocampal formation. Rev </w:t>
      </w:r>
      <w:proofErr w:type="spellStart"/>
      <w:r w:rsidRPr="00E126EF">
        <w:rPr>
          <w:rFonts w:eastAsiaTheme="minorHAnsi" w:cstheme="minorBidi"/>
          <w:szCs w:val="22"/>
        </w:rPr>
        <w:t>Neurosci</w:t>
      </w:r>
      <w:proofErr w:type="spellEnd"/>
      <w:r w:rsidRPr="00E126EF">
        <w:rPr>
          <w:rFonts w:eastAsiaTheme="minorHAnsi" w:cstheme="minorBidi"/>
          <w:szCs w:val="22"/>
        </w:rPr>
        <w:t xml:space="preserve"> 2002; 13:59-84</w:t>
      </w:r>
    </w:p>
    <w:p w14:paraId="6B62398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277.</w:t>
      </w:r>
      <w:r w:rsidRPr="00E126EF">
        <w:rPr>
          <w:rFonts w:eastAsiaTheme="minorHAnsi" w:cstheme="minorBidi"/>
          <w:szCs w:val="22"/>
        </w:rPr>
        <w:tab/>
        <w:t xml:space="preserve">Nagahara AH, Merrill DA, Coppola G, </w:t>
      </w:r>
      <w:proofErr w:type="spellStart"/>
      <w:r w:rsidRPr="00E126EF">
        <w:rPr>
          <w:rFonts w:eastAsiaTheme="minorHAnsi" w:cstheme="minorBidi"/>
          <w:szCs w:val="22"/>
        </w:rPr>
        <w:t>Tsukada</w:t>
      </w:r>
      <w:proofErr w:type="spellEnd"/>
      <w:r w:rsidRPr="00E126EF">
        <w:rPr>
          <w:rFonts w:eastAsiaTheme="minorHAnsi" w:cstheme="minorBidi"/>
          <w:szCs w:val="22"/>
        </w:rPr>
        <w:t xml:space="preserve"> S, Schroeder BE, Shaked GM, Wang L, </w:t>
      </w:r>
      <w:proofErr w:type="spellStart"/>
      <w:r w:rsidRPr="00E126EF">
        <w:rPr>
          <w:rFonts w:eastAsiaTheme="minorHAnsi" w:cstheme="minorBidi"/>
          <w:szCs w:val="22"/>
        </w:rPr>
        <w:t>Blesch</w:t>
      </w:r>
      <w:proofErr w:type="spellEnd"/>
      <w:r w:rsidRPr="00E126EF">
        <w:rPr>
          <w:rFonts w:eastAsiaTheme="minorHAnsi" w:cstheme="minorBidi"/>
          <w:szCs w:val="22"/>
        </w:rPr>
        <w:t xml:space="preserve"> A, Kim A, Conner JM, </w:t>
      </w:r>
      <w:proofErr w:type="spellStart"/>
      <w:r w:rsidRPr="00E126EF">
        <w:rPr>
          <w:rFonts w:eastAsiaTheme="minorHAnsi" w:cstheme="minorBidi"/>
          <w:szCs w:val="22"/>
        </w:rPr>
        <w:t>Rockenstein</w:t>
      </w:r>
      <w:proofErr w:type="spellEnd"/>
      <w:r w:rsidRPr="00E126EF">
        <w:rPr>
          <w:rFonts w:eastAsiaTheme="minorHAnsi" w:cstheme="minorBidi"/>
          <w:szCs w:val="22"/>
        </w:rPr>
        <w:t xml:space="preserve"> E, Chao MV, Koo EH, </w:t>
      </w:r>
      <w:proofErr w:type="spellStart"/>
      <w:r w:rsidRPr="00E126EF">
        <w:rPr>
          <w:rFonts w:eastAsiaTheme="minorHAnsi" w:cstheme="minorBidi"/>
          <w:szCs w:val="22"/>
        </w:rPr>
        <w:t>Geschwind</w:t>
      </w:r>
      <w:proofErr w:type="spellEnd"/>
      <w:r w:rsidRPr="00E126EF">
        <w:rPr>
          <w:rFonts w:eastAsiaTheme="minorHAnsi" w:cstheme="minorBidi"/>
          <w:szCs w:val="22"/>
        </w:rPr>
        <w:t xml:space="preserve"> D, </w:t>
      </w:r>
      <w:proofErr w:type="spellStart"/>
      <w:r w:rsidRPr="00E126EF">
        <w:rPr>
          <w:rFonts w:eastAsiaTheme="minorHAnsi" w:cstheme="minorBidi"/>
          <w:szCs w:val="22"/>
        </w:rPr>
        <w:t>Masliah</w:t>
      </w:r>
      <w:proofErr w:type="spellEnd"/>
      <w:r w:rsidRPr="00E126EF">
        <w:rPr>
          <w:rFonts w:eastAsiaTheme="minorHAnsi" w:cstheme="minorBidi"/>
          <w:szCs w:val="22"/>
        </w:rPr>
        <w:t xml:space="preserve"> E, Chiba AA, </w:t>
      </w:r>
      <w:proofErr w:type="spellStart"/>
      <w:r w:rsidRPr="00E126EF">
        <w:rPr>
          <w:rFonts w:eastAsiaTheme="minorHAnsi" w:cstheme="minorBidi"/>
          <w:szCs w:val="22"/>
        </w:rPr>
        <w:t>Tuszynski</w:t>
      </w:r>
      <w:proofErr w:type="spellEnd"/>
      <w:r w:rsidRPr="00E126EF">
        <w:rPr>
          <w:rFonts w:eastAsiaTheme="minorHAnsi" w:cstheme="minorBidi"/>
          <w:szCs w:val="22"/>
        </w:rPr>
        <w:t xml:space="preserve"> MH. Neuroprotective effects of brain-derived neurotrophic factor in rodent and primate models of Alzheimer's disease. Nat Med 2009; 15:331-337</w:t>
      </w:r>
    </w:p>
    <w:p w14:paraId="3246C96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278.</w:t>
      </w:r>
      <w:r w:rsidRPr="00E126EF">
        <w:rPr>
          <w:rFonts w:eastAsiaTheme="minorHAnsi" w:cstheme="minorBidi"/>
          <w:szCs w:val="22"/>
        </w:rPr>
        <w:tab/>
      </w:r>
      <w:proofErr w:type="spellStart"/>
      <w:r w:rsidRPr="00E126EF">
        <w:rPr>
          <w:rFonts w:eastAsiaTheme="minorHAnsi" w:cstheme="minorBidi"/>
          <w:szCs w:val="22"/>
        </w:rPr>
        <w:t>Yulug</w:t>
      </w:r>
      <w:proofErr w:type="spellEnd"/>
      <w:r w:rsidRPr="00E126EF">
        <w:rPr>
          <w:rFonts w:eastAsiaTheme="minorHAnsi" w:cstheme="minorBidi"/>
          <w:szCs w:val="22"/>
        </w:rPr>
        <w:t xml:space="preserve"> B, Ozan E, </w:t>
      </w:r>
      <w:proofErr w:type="spellStart"/>
      <w:r w:rsidRPr="00E126EF">
        <w:rPr>
          <w:rFonts w:eastAsiaTheme="minorHAnsi" w:cstheme="minorBidi"/>
          <w:szCs w:val="22"/>
        </w:rPr>
        <w:t>Gonul</w:t>
      </w:r>
      <w:proofErr w:type="spellEnd"/>
      <w:r w:rsidRPr="00E126EF">
        <w:rPr>
          <w:rFonts w:eastAsiaTheme="minorHAnsi" w:cstheme="minorBidi"/>
          <w:szCs w:val="22"/>
        </w:rPr>
        <w:t xml:space="preserve"> AS, </w:t>
      </w:r>
      <w:proofErr w:type="spellStart"/>
      <w:r w:rsidRPr="00E126EF">
        <w:rPr>
          <w:rFonts w:eastAsiaTheme="minorHAnsi" w:cstheme="minorBidi"/>
          <w:szCs w:val="22"/>
        </w:rPr>
        <w:t>Kilic</w:t>
      </w:r>
      <w:proofErr w:type="spellEnd"/>
      <w:r w:rsidRPr="00E126EF">
        <w:rPr>
          <w:rFonts w:eastAsiaTheme="minorHAnsi" w:cstheme="minorBidi"/>
          <w:szCs w:val="22"/>
        </w:rPr>
        <w:t xml:space="preserve"> E. Brain-derived neurotrophic factor, stress and depression: a minireview. Brain Res Bull 2009; 78:267-269</w:t>
      </w:r>
    </w:p>
    <w:p w14:paraId="60A8BBD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279.</w:t>
      </w:r>
      <w:r w:rsidRPr="00E126EF">
        <w:rPr>
          <w:rFonts w:eastAsiaTheme="minorHAnsi" w:cstheme="minorBidi"/>
          <w:szCs w:val="22"/>
        </w:rPr>
        <w:tab/>
      </w:r>
      <w:proofErr w:type="spellStart"/>
      <w:r w:rsidRPr="00E126EF">
        <w:rPr>
          <w:rFonts w:eastAsiaTheme="minorHAnsi" w:cstheme="minorBidi"/>
          <w:szCs w:val="22"/>
        </w:rPr>
        <w:t>Papadopoulou</w:t>
      </w:r>
      <w:proofErr w:type="spellEnd"/>
      <w:r w:rsidRPr="00E126EF">
        <w:rPr>
          <w:rFonts w:eastAsiaTheme="minorHAnsi" w:cstheme="minorBidi"/>
          <w:szCs w:val="22"/>
        </w:rPr>
        <w:t xml:space="preserve"> A, </w:t>
      </w:r>
      <w:proofErr w:type="spellStart"/>
      <w:r w:rsidRPr="00E126EF">
        <w:rPr>
          <w:rFonts w:eastAsiaTheme="minorHAnsi" w:cstheme="minorBidi"/>
          <w:szCs w:val="22"/>
        </w:rPr>
        <w:t>Siamatras</w:t>
      </w:r>
      <w:proofErr w:type="spellEnd"/>
      <w:r w:rsidRPr="00E126EF">
        <w:rPr>
          <w:rFonts w:eastAsiaTheme="minorHAnsi" w:cstheme="minorBidi"/>
          <w:szCs w:val="22"/>
        </w:rPr>
        <w:t xml:space="preserve"> T, Delgado-Morales R, Amin ND, Shukla V, Zheng YL, Pant HC, Almeida OF, Kino T. Acute and chronic stress differentially regulate cyclin-dependent kinase 5 in mouse brain: implications to glucocorticoid actions and major depression. </w:t>
      </w:r>
      <w:proofErr w:type="spellStart"/>
      <w:r w:rsidRPr="00E126EF">
        <w:rPr>
          <w:rFonts w:eastAsiaTheme="minorHAnsi" w:cstheme="minorBidi"/>
          <w:szCs w:val="22"/>
        </w:rPr>
        <w:t>Transl</w:t>
      </w:r>
      <w:proofErr w:type="spellEnd"/>
      <w:r w:rsidRPr="00E126EF">
        <w:rPr>
          <w:rFonts w:eastAsiaTheme="minorHAnsi" w:cstheme="minorBidi"/>
          <w:szCs w:val="22"/>
        </w:rPr>
        <w:t xml:space="preserve"> Psychiatry 2015; </w:t>
      </w:r>
      <w:proofErr w:type="gramStart"/>
      <w:r w:rsidRPr="00E126EF">
        <w:rPr>
          <w:rFonts w:eastAsiaTheme="minorHAnsi" w:cstheme="minorBidi"/>
          <w:szCs w:val="22"/>
        </w:rPr>
        <w:t>5:e</w:t>
      </w:r>
      <w:proofErr w:type="gramEnd"/>
      <w:r w:rsidRPr="00E126EF">
        <w:rPr>
          <w:rFonts w:eastAsiaTheme="minorHAnsi" w:cstheme="minorBidi"/>
          <w:szCs w:val="22"/>
        </w:rPr>
        <w:t>578</w:t>
      </w:r>
    </w:p>
    <w:p w14:paraId="443B485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280.</w:t>
      </w:r>
      <w:r w:rsidRPr="00E126EF">
        <w:rPr>
          <w:rFonts w:eastAsiaTheme="minorHAnsi" w:cstheme="minorBidi"/>
          <w:szCs w:val="22"/>
        </w:rPr>
        <w:tab/>
        <w:t xml:space="preserve">Nader N, Ng SS, </w:t>
      </w:r>
      <w:proofErr w:type="spellStart"/>
      <w:r w:rsidRPr="00E126EF">
        <w:rPr>
          <w:rFonts w:eastAsiaTheme="minorHAnsi" w:cstheme="minorBidi"/>
          <w:szCs w:val="22"/>
        </w:rPr>
        <w:t>Lambrou</w:t>
      </w:r>
      <w:proofErr w:type="spellEnd"/>
      <w:r w:rsidRPr="00E126EF">
        <w:rPr>
          <w:rFonts w:eastAsiaTheme="minorHAnsi" w:cstheme="minorBidi"/>
          <w:szCs w:val="22"/>
        </w:rPr>
        <w:t xml:space="preserve"> GI, </w:t>
      </w:r>
      <w:proofErr w:type="spellStart"/>
      <w:r w:rsidRPr="00E126EF">
        <w:rPr>
          <w:rFonts w:eastAsiaTheme="minorHAnsi" w:cstheme="minorBidi"/>
          <w:szCs w:val="22"/>
        </w:rPr>
        <w:t>Pervanidou</w:t>
      </w:r>
      <w:proofErr w:type="spellEnd"/>
      <w:r w:rsidRPr="00E126EF">
        <w:rPr>
          <w:rFonts w:eastAsiaTheme="minorHAnsi" w:cstheme="minorBidi"/>
          <w:szCs w:val="22"/>
        </w:rPr>
        <w:t xml:space="preserve"> P, Wang Y, Chrousos GP, Kino T. Adenosine 5'-monophosphate-activated protein kinase regulates metabolic actions of glucocorticoids by phosphorylating the glucocorticoid receptor through p38 mitogen-activated protein kinase. Mol Endocrinol 2010; 24:1748-1764</w:t>
      </w:r>
    </w:p>
    <w:p w14:paraId="31537A5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281.</w:t>
      </w:r>
      <w:r w:rsidRPr="00E126EF">
        <w:rPr>
          <w:rFonts w:eastAsiaTheme="minorHAnsi" w:cstheme="minorBidi"/>
          <w:szCs w:val="22"/>
        </w:rPr>
        <w:tab/>
      </w:r>
      <w:proofErr w:type="spellStart"/>
      <w:r w:rsidRPr="00E126EF">
        <w:rPr>
          <w:rFonts w:eastAsiaTheme="minorHAnsi" w:cstheme="minorBidi"/>
          <w:szCs w:val="22"/>
        </w:rPr>
        <w:t>Piovan</w:t>
      </w:r>
      <w:proofErr w:type="spellEnd"/>
      <w:r w:rsidRPr="00E126EF">
        <w:rPr>
          <w:rFonts w:eastAsiaTheme="minorHAnsi" w:cstheme="minorBidi"/>
          <w:szCs w:val="22"/>
        </w:rPr>
        <w:t xml:space="preserve"> E, Yu J, </w:t>
      </w:r>
      <w:proofErr w:type="spellStart"/>
      <w:r w:rsidRPr="00E126EF">
        <w:rPr>
          <w:rFonts w:eastAsiaTheme="minorHAnsi" w:cstheme="minorBidi"/>
          <w:szCs w:val="22"/>
        </w:rPr>
        <w:t>Tosello</w:t>
      </w:r>
      <w:proofErr w:type="spellEnd"/>
      <w:r w:rsidRPr="00E126EF">
        <w:rPr>
          <w:rFonts w:eastAsiaTheme="minorHAnsi" w:cstheme="minorBidi"/>
          <w:szCs w:val="22"/>
        </w:rPr>
        <w:t xml:space="preserve"> V, </w:t>
      </w:r>
      <w:proofErr w:type="spellStart"/>
      <w:r w:rsidRPr="00E126EF">
        <w:rPr>
          <w:rFonts w:eastAsiaTheme="minorHAnsi" w:cstheme="minorBidi"/>
          <w:szCs w:val="22"/>
        </w:rPr>
        <w:t>Herranz</w:t>
      </w:r>
      <w:proofErr w:type="spellEnd"/>
      <w:r w:rsidRPr="00E126EF">
        <w:rPr>
          <w:rFonts w:eastAsiaTheme="minorHAnsi" w:cstheme="minorBidi"/>
          <w:szCs w:val="22"/>
        </w:rPr>
        <w:t xml:space="preserve"> D, </w:t>
      </w:r>
      <w:proofErr w:type="spellStart"/>
      <w:r w:rsidRPr="00E126EF">
        <w:rPr>
          <w:rFonts w:eastAsiaTheme="minorHAnsi" w:cstheme="minorBidi"/>
          <w:szCs w:val="22"/>
        </w:rPr>
        <w:t>Ambesi-Impiombato</w:t>
      </w:r>
      <w:proofErr w:type="spellEnd"/>
      <w:r w:rsidRPr="00E126EF">
        <w:rPr>
          <w:rFonts w:eastAsiaTheme="minorHAnsi" w:cstheme="minorBidi"/>
          <w:szCs w:val="22"/>
        </w:rPr>
        <w:t xml:space="preserve"> A, Da Silva AC, Sanchez-Martin M, Perez-Garcia A, </w:t>
      </w:r>
      <w:proofErr w:type="spellStart"/>
      <w:r w:rsidRPr="00E126EF">
        <w:rPr>
          <w:rFonts w:eastAsiaTheme="minorHAnsi" w:cstheme="minorBidi"/>
          <w:szCs w:val="22"/>
        </w:rPr>
        <w:t>Rigo</w:t>
      </w:r>
      <w:proofErr w:type="spellEnd"/>
      <w:r w:rsidRPr="00E126EF">
        <w:rPr>
          <w:rFonts w:eastAsiaTheme="minorHAnsi" w:cstheme="minorBidi"/>
          <w:szCs w:val="22"/>
        </w:rPr>
        <w:t xml:space="preserve"> I, Castillo M, </w:t>
      </w:r>
      <w:proofErr w:type="spellStart"/>
      <w:r w:rsidRPr="00E126EF">
        <w:rPr>
          <w:rFonts w:eastAsiaTheme="minorHAnsi" w:cstheme="minorBidi"/>
          <w:szCs w:val="22"/>
        </w:rPr>
        <w:t>Indraccolo</w:t>
      </w:r>
      <w:proofErr w:type="spellEnd"/>
      <w:r w:rsidRPr="00E126EF">
        <w:rPr>
          <w:rFonts w:eastAsiaTheme="minorHAnsi" w:cstheme="minorBidi"/>
          <w:szCs w:val="22"/>
        </w:rPr>
        <w:t xml:space="preserve"> S, Cross JR, de </w:t>
      </w:r>
      <w:proofErr w:type="spellStart"/>
      <w:r w:rsidRPr="00E126EF">
        <w:rPr>
          <w:rFonts w:eastAsiaTheme="minorHAnsi" w:cstheme="minorBidi"/>
          <w:szCs w:val="22"/>
        </w:rPr>
        <w:t>Stanchina</w:t>
      </w:r>
      <w:proofErr w:type="spellEnd"/>
      <w:r w:rsidRPr="00E126EF">
        <w:rPr>
          <w:rFonts w:eastAsiaTheme="minorHAnsi" w:cstheme="minorBidi"/>
          <w:szCs w:val="22"/>
        </w:rPr>
        <w:t xml:space="preserve"> E, </w:t>
      </w:r>
      <w:proofErr w:type="spellStart"/>
      <w:r w:rsidRPr="00E126EF">
        <w:rPr>
          <w:rFonts w:eastAsiaTheme="minorHAnsi" w:cstheme="minorBidi"/>
          <w:szCs w:val="22"/>
        </w:rPr>
        <w:t>Paietta</w:t>
      </w:r>
      <w:proofErr w:type="spellEnd"/>
      <w:r w:rsidRPr="00E126EF">
        <w:rPr>
          <w:rFonts w:eastAsiaTheme="minorHAnsi" w:cstheme="minorBidi"/>
          <w:szCs w:val="22"/>
        </w:rPr>
        <w:t xml:space="preserve"> E, </w:t>
      </w:r>
      <w:proofErr w:type="spellStart"/>
      <w:r w:rsidRPr="00E126EF">
        <w:rPr>
          <w:rFonts w:eastAsiaTheme="minorHAnsi" w:cstheme="minorBidi"/>
          <w:szCs w:val="22"/>
        </w:rPr>
        <w:t>Racevskis</w:t>
      </w:r>
      <w:proofErr w:type="spellEnd"/>
      <w:r w:rsidRPr="00E126EF">
        <w:rPr>
          <w:rFonts w:eastAsiaTheme="minorHAnsi" w:cstheme="minorBidi"/>
          <w:szCs w:val="22"/>
        </w:rPr>
        <w:t xml:space="preserve"> J, Rowe JM, Tallman MS, Basso G, </w:t>
      </w:r>
      <w:proofErr w:type="spellStart"/>
      <w:r w:rsidRPr="00E126EF">
        <w:rPr>
          <w:rFonts w:eastAsiaTheme="minorHAnsi" w:cstheme="minorBidi"/>
          <w:szCs w:val="22"/>
        </w:rPr>
        <w:t>Meijerink</w:t>
      </w:r>
      <w:proofErr w:type="spellEnd"/>
      <w:r w:rsidRPr="00E126EF">
        <w:rPr>
          <w:rFonts w:eastAsiaTheme="minorHAnsi" w:cstheme="minorBidi"/>
          <w:szCs w:val="22"/>
        </w:rPr>
        <w:t xml:space="preserve"> JP, Cordon-Cardo C, </w:t>
      </w:r>
      <w:proofErr w:type="spellStart"/>
      <w:r w:rsidRPr="00E126EF">
        <w:rPr>
          <w:rFonts w:eastAsiaTheme="minorHAnsi" w:cstheme="minorBidi"/>
          <w:szCs w:val="22"/>
        </w:rPr>
        <w:t>Califano</w:t>
      </w:r>
      <w:proofErr w:type="spellEnd"/>
      <w:r w:rsidRPr="00E126EF">
        <w:rPr>
          <w:rFonts w:eastAsiaTheme="minorHAnsi" w:cstheme="minorBidi"/>
          <w:szCs w:val="22"/>
        </w:rPr>
        <w:t xml:space="preserve"> A, </w:t>
      </w:r>
      <w:proofErr w:type="spellStart"/>
      <w:r w:rsidRPr="00E126EF">
        <w:rPr>
          <w:rFonts w:eastAsiaTheme="minorHAnsi" w:cstheme="minorBidi"/>
          <w:szCs w:val="22"/>
        </w:rPr>
        <w:t>Ferrando</w:t>
      </w:r>
      <w:proofErr w:type="spellEnd"/>
      <w:r w:rsidRPr="00E126EF">
        <w:rPr>
          <w:rFonts w:eastAsiaTheme="minorHAnsi" w:cstheme="minorBidi"/>
          <w:szCs w:val="22"/>
        </w:rPr>
        <w:t xml:space="preserve"> AA. Direct reversal of glucocorticoid resistance by AKT inhibition in acute lymphoblastic leukemia. Cancer Cell 2013; 24:766-776</w:t>
      </w:r>
    </w:p>
    <w:p w14:paraId="6A8926A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282.</w:t>
      </w:r>
      <w:r w:rsidRPr="00E126EF">
        <w:rPr>
          <w:rFonts w:eastAsiaTheme="minorHAnsi" w:cstheme="minorBidi"/>
          <w:szCs w:val="22"/>
        </w:rPr>
        <w:tab/>
      </w:r>
      <w:proofErr w:type="spellStart"/>
      <w:r w:rsidRPr="00E126EF">
        <w:rPr>
          <w:rFonts w:eastAsiaTheme="minorHAnsi" w:cstheme="minorBidi"/>
          <w:szCs w:val="22"/>
        </w:rPr>
        <w:t>Wakui</w:t>
      </w:r>
      <w:proofErr w:type="spellEnd"/>
      <w:r w:rsidRPr="00E126EF">
        <w:rPr>
          <w:rFonts w:eastAsiaTheme="minorHAnsi" w:cstheme="minorBidi"/>
          <w:szCs w:val="22"/>
        </w:rPr>
        <w:t xml:space="preserve"> H, Wright AP, Gustafsson J, </w:t>
      </w:r>
      <w:proofErr w:type="spellStart"/>
      <w:r w:rsidRPr="00E126EF">
        <w:rPr>
          <w:rFonts w:eastAsiaTheme="minorHAnsi" w:cstheme="minorBidi"/>
          <w:szCs w:val="22"/>
        </w:rPr>
        <w:t>Zilliacus</w:t>
      </w:r>
      <w:proofErr w:type="spellEnd"/>
      <w:r w:rsidRPr="00E126EF">
        <w:rPr>
          <w:rFonts w:eastAsiaTheme="minorHAnsi" w:cstheme="minorBidi"/>
          <w:szCs w:val="22"/>
        </w:rPr>
        <w:t xml:space="preserve"> J. Interaction of the ligand-activated glucocorticoid receptor with the 14-3-3h protein. J Biol Chem 1997; 272:8153-8156</w:t>
      </w:r>
    </w:p>
    <w:p w14:paraId="2A9DE19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283.</w:t>
      </w:r>
      <w:r w:rsidRPr="00E126EF">
        <w:rPr>
          <w:rFonts w:eastAsiaTheme="minorHAnsi" w:cstheme="minorBidi"/>
          <w:szCs w:val="22"/>
        </w:rPr>
        <w:tab/>
        <w:t xml:space="preserve">Dennis AP, O'Malley BW. Rush hour at the promoter: how the ubiquitin-proteasome pathway polices the traffic flow of nuclear receptor-dependent transcription. J Steroid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Mol Biol 2005; 93:139-151</w:t>
      </w:r>
    </w:p>
    <w:p w14:paraId="05E330E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284.</w:t>
      </w:r>
      <w:r w:rsidRPr="00E126EF">
        <w:rPr>
          <w:rFonts w:eastAsiaTheme="minorHAnsi" w:cstheme="minorBidi"/>
          <w:szCs w:val="22"/>
        </w:rPr>
        <w:tab/>
        <w:t xml:space="preserve">Jason LJ, Moore SC, Lewis JD, Lindsey G, </w:t>
      </w:r>
      <w:proofErr w:type="spellStart"/>
      <w:r w:rsidRPr="00E126EF">
        <w:rPr>
          <w:rFonts w:eastAsiaTheme="minorHAnsi" w:cstheme="minorBidi"/>
          <w:szCs w:val="22"/>
        </w:rPr>
        <w:t>Ausio</w:t>
      </w:r>
      <w:proofErr w:type="spellEnd"/>
      <w:r w:rsidRPr="00E126EF">
        <w:rPr>
          <w:rFonts w:eastAsiaTheme="minorHAnsi" w:cstheme="minorBidi"/>
          <w:szCs w:val="22"/>
        </w:rPr>
        <w:t xml:space="preserve"> J. Histone ubiquitination: a tagging tail unfolds? </w:t>
      </w:r>
      <w:proofErr w:type="spellStart"/>
      <w:r w:rsidRPr="00E126EF">
        <w:rPr>
          <w:rFonts w:eastAsiaTheme="minorHAnsi" w:cstheme="minorBidi"/>
          <w:szCs w:val="22"/>
        </w:rPr>
        <w:t>Bioessays</w:t>
      </w:r>
      <w:proofErr w:type="spellEnd"/>
      <w:r w:rsidRPr="00E126EF">
        <w:rPr>
          <w:rFonts w:eastAsiaTheme="minorHAnsi" w:cstheme="minorBidi"/>
          <w:szCs w:val="22"/>
        </w:rPr>
        <w:t xml:space="preserve"> 2002; 24:166-174</w:t>
      </w:r>
    </w:p>
    <w:p w14:paraId="77D89EE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285.</w:t>
      </w:r>
      <w:r w:rsidRPr="00E126EF">
        <w:rPr>
          <w:rFonts w:eastAsiaTheme="minorHAnsi" w:cstheme="minorBidi"/>
          <w:szCs w:val="22"/>
        </w:rPr>
        <w:tab/>
        <w:t xml:space="preserve">Gillette TG, Gonzalez F, </w:t>
      </w:r>
      <w:proofErr w:type="spellStart"/>
      <w:r w:rsidRPr="00E126EF">
        <w:rPr>
          <w:rFonts w:eastAsiaTheme="minorHAnsi" w:cstheme="minorBidi"/>
          <w:szCs w:val="22"/>
        </w:rPr>
        <w:t>Delahodde</w:t>
      </w:r>
      <w:proofErr w:type="spellEnd"/>
      <w:r w:rsidRPr="00E126EF">
        <w:rPr>
          <w:rFonts w:eastAsiaTheme="minorHAnsi" w:cstheme="minorBidi"/>
          <w:szCs w:val="22"/>
        </w:rPr>
        <w:t xml:space="preserve"> A, Johnston SA, </w:t>
      </w:r>
      <w:proofErr w:type="spellStart"/>
      <w:r w:rsidRPr="00E126EF">
        <w:rPr>
          <w:rFonts w:eastAsiaTheme="minorHAnsi" w:cstheme="minorBidi"/>
          <w:szCs w:val="22"/>
        </w:rPr>
        <w:t>Kodadek</w:t>
      </w:r>
      <w:proofErr w:type="spellEnd"/>
      <w:r w:rsidRPr="00E126EF">
        <w:rPr>
          <w:rFonts w:eastAsiaTheme="minorHAnsi" w:cstheme="minorBidi"/>
          <w:szCs w:val="22"/>
        </w:rPr>
        <w:t xml:space="preserve"> T. Physical and functional association of RNA polymerase II and the proteasome.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2004; 101:5904-5909</w:t>
      </w:r>
    </w:p>
    <w:p w14:paraId="4C54131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286.</w:t>
      </w:r>
      <w:r w:rsidRPr="00E126EF">
        <w:rPr>
          <w:rFonts w:eastAsiaTheme="minorHAnsi" w:cstheme="minorBidi"/>
          <w:szCs w:val="22"/>
        </w:rPr>
        <w:tab/>
        <w:t xml:space="preserve">Wallace AD,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Proteasome-mediated glucocorticoid receptor degradation restricts transcriptional signaling by glucocorticoids. J Biol Chem 2001; 276:42714-42721</w:t>
      </w:r>
    </w:p>
    <w:p w14:paraId="506CAB2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287.</w:t>
      </w:r>
      <w:r w:rsidRPr="00E126EF">
        <w:rPr>
          <w:rFonts w:eastAsiaTheme="minorHAnsi" w:cstheme="minorBidi"/>
          <w:szCs w:val="22"/>
        </w:rPr>
        <w:tab/>
      </w:r>
      <w:proofErr w:type="spellStart"/>
      <w:r w:rsidRPr="00E126EF">
        <w:rPr>
          <w:rFonts w:eastAsiaTheme="minorHAnsi" w:cstheme="minorBidi"/>
          <w:szCs w:val="22"/>
        </w:rPr>
        <w:t>Deroo</w:t>
      </w:r>
      <w:proofErr w:type="spellEnd"/>
      <w:r w:rsidRPr="00E126EF">
        <w:rPr>
          <w:rFonts w:eastAsiaTheme="minorHAnsi" w:cstheme="minorBidi"/>
          <w:szCs w:val="22"/>
        </w:rPr>
        <w:t xml:space="preserve"> BJ, </w:t>
      </w:r>
      <w:proofErr w:type="spellStart"/>
      <w:r w:rsidRPr="00E126EF">
        <w:rPr>
          <w:rFonts w:eastAsiaTheme="minorHAnsi" w:cstheme="minorBidi"/>
          <w:szCs w:val="22"/>
        </w:rPr>
        <w:t>Rentsch</w:t>
      </w:r>
      <w:proofErr w:type="spellEnd"/>
      <w:r w:rsidRPr="00E126EF">
        <w:rPr>
          <w:rFonts w:eastAsiaTheme="minorHAnsi" w:cstheme="minorBidi"/>
          <w:szCs w:val="22"/>
        </w:rPr>
        <w:t xml:space="preserve"> C, Sampath S, Young J, </w:t>
      </w:r>
      <w:proofErr w:type="spellStart"/>
      <w:r w:rsidRPr="00E126EF">
        <w:rPr>
          <w:rFonts w:eastAsiaTheme="minorHAnsi" w:cstheme="minorBidi"/>
          <w:szCs w:val="22"/>
        </w:rPr>
        <w:t>DeFranco</w:t>
      </w:r>
      <w:proofErr w:type="spellEnd"/>
      <w:r w:rsidRPr="00E126EF">
        <w:rPr>
          <w:rFonts w:eastAsiaTheme="minorHAnsi" w:cstheme="minorBidi"/>
          <w:szCs w:val="22"/>
        </w:rPr>
        <w:t xml:space="preserve"> DB, Archer TK. Proteasomal inhibition enhances glucocorticoid receptor transactivation and alters its subnuclear trafficking. Mol Cell Biol 2002; 22:4113-4123</w:t>
      </w:r>
    </w:p>
    <w:p w14:paraId="73EDC1B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288.</w:t>
      </w:r>
      <w:r w:rsidRPr="00E126EF">
        <w:rPr>
          <w:rFonts w:eastAsiaTheme="minorHAnsi" w:cstheme="minorBidi"/>
          <w:szCs w:val="22"/>
        </w:rPr>
        <w:tab/>
        <w:t xml:space="preserve">Schaaf MJ,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Molecular determinants of glucocorticoid receptor mobility in living cells: the importance of ligand affinity. Mol Cell Biol 2003; 23:1922-1934</w:t>
      </w:r>
    </w:p>
    <w:p w14:paraId="032C7FB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289.</w:t>
      </w:r>
      <w:r w:rsidRPr="00E126EF">
        <w:rPr>
          <w:rFonts w:eastAsiaTheme="minorHAnsi" w:cstheme="minorBidi"/>
          <w:szCs w:val="22"/>
        </w:rPr>
        <w:tab/>
      </w:r>
      <w:proofErr w:type="spellStart"/>
      <w:r w:rsidRPr="00E126EF">
        <w:rPr>
          <w:rFonts w:eastAsiaTheme="minorHAnsi" w:cstheme="minorBidi"/>
          <w:szCs w:val="22"/>
        </w:rPr>
        <w:t>Andreou</w:t>
      </w:r>
      <w:proofErr w:type="spellEnd"/>
      <w:r w:rsidRPr="00E126EF">
        <w:rPr>
          <w:rFonts w:eastAsiaTheme="minorHAnsi" w:cstheme="minorBidi"/>
          <w:szCs w:val="22"/>
        </w:rPr>
        <w:t xml:space="preserve"> AM, </w:t>
      </w:r>
      <w:proofErr w:type="spellStart"/>
      <w:r w:rsidRPr="00E126EF">
        <w:rPr>
          <w:rFonts w:eastAsiaTheme="minorHAnsi" w:cstheme="minorBidi"/>
          <w:szCs w:val="22"/>
        </w:rPr>
        <w:t>Tavernarakis</w:t>
      </w:r>
      <w:proofErr w:type="spellEnd"/>
      <w:r w:rsidRPr="00E126EF">
        <w:rPr>
          <w:rFonts w:eastAsiaTheme="minorHAnsi" w:cstheme="minorBidi"/>
          <w:szCs w:val="22"/>
        </w:rPr>
        <w:t xml:space="preserve"> N. SUMOylation and cell </w:t>
      </w:r>
      <w:proofErr w:type="spellStart"/>
      <w:r w:rsidRPr="00E126EF">
        <w:rPr>
          <w:rFonts w:eastAsiaTheme="minorHAnsi" w:cstheme="minorBidi"/>
          <w:szCs w:val="22"/>
        </w:rPr>
        <w:t>signalling</w:t>
      </w:r>
      <w:proofErr w:type="spellEnd"/>
      <w:r w:rsidRPr="00E126EF">
        <w:rPr>
          <w:rFonts w:eastAsiaTheme="minorHAnsi" w:cstheme="minorBidi"/>
          <w:szCs w:val="22"/>
        </w:rPr>
        <w:t xml:space="preserve">. </w:t>
      </w:r>
      <w:proofErr w:type="spellStart"/>
      <w:r w:rsidRPr="00E126EF">
        <w:rPr>
          <w:rFonts w:eastAsiaTheme="minorHAnsi" w:cstheme="minorBidi"/>
          <w:szCs w:val="22"/>
        </w:rPr>
        <w:t>Biotechnol</w:t>
      </w:r>
      <w:proofErr w:type="spellEnd"/>
      <w:r w:rsidRPr="00E126EF">
        <w:rPr>
          <w:rFonts w:eastAsiaTheme="minorHAnsi" w:cstheme="minorBidi"/>
          <w:szCs w:val="22"/>
        </w:rPr>
        <w:t xml:space="preserve"> J 2009; 4:1740-1752</w:t>
      </w:r>
    </w:p>
    <w:p w14:paraId="5D2B5B6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290.</w:t>
      </w:r>
      <w:r w:rsidRPr="00E126EF">
        <w:rPr>
          <w:rFonts w:eastAsiaTheme="minorHAnsi" w:cstheme="minorBidi"/>
          <w:szCs w:val="22"/>
        </w:rPr>
        <w:tab/>
        <w:t>Holmstrom S, Van Antwerp ME, Iniguez-</w:t>
      </w:r>
      <w:proofErr w:type="spellStart"/>
      <w:r w:rsidRPr="00E126EF">
        <w:rPr>
          <w:rFonts w:eastAsiaTheme="minorHAnsi" w:cstheme="minorBidi"/>
          <w:szCs w:val="22"/>
        </w:rPr>
        <w:t>Lluhi</w:t>
      </w:r>
      <w:proofErr w:type="spellEnd"/>
      <w:r w:rsidRPr="00E126EF">
        <w:rPr>
          <w:rFonts w:eastAsiaTheme="minorHAnsi" w:cstheme="minorBidi"/>
          <w:szCs w:val="22"/>
        </w:rPr>
        <w:t xml:space="preserve"> JA. Direct and distinguishable inhibitory roles for SUMO isoforms in the control of transcriptional synergy.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2003; 100:15758-15763</w:t>
      </w:r>
    </w:p>
    <w:p w14:paraId="635F524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291.</w:t>
      </w:r>
      <w:r w:rsidRPr="00E126EF">
        <w:rPr>
          <w:rFonts w:eastAsiaTheme="minorHAnsi" w:cstheme="minorBidi"/>
          <w:szCs w:val="22"/>
        </w:rPr>
        <w:tab/>
        <w:t xml:space="preserve">Davies L, Karthikeyan N, Lynch JT, </w:t>
      </w:r>
      <w:proofErr w:type="spellStart"/>
      <w:r w:rsidRPr="00E126EF">
        <w:rPr>
          <w:rFonts w:eastAsiaTheme="minorHAnsi" w:cstheme="minorBidi"/>
          <w:szCs w:val="22"/>
        </w:rPr>
        <w:t>Sial</w:t>
      </w:r>
      <w:proofErr w:type="spellEnd"/>
      <w:r w:rsidRPr="00E126EF">
        <w:rPr>
          <w:rFonts w:eastAsiaTheme="minorHAnsi" w:cstheme="minorBidi"/>
          <w:szCs w:val="22"/>
        </w:rPr>
        <w:t xml:space="preserve"> EA, </w:t>
      </w:r>
      <w:proofErr w:type="spellStart"/>
      <w:r w:rsidRPr="00E126EF">
        <w:rPr>
          <w:rFonts w:eastAsiaTheme="minorHAnsi" w:cstheme="minorBidi"/>
          <w:szCs w:val="22"/>
        </w:rPr>
        <w:t>Gkourtsa</w:t>
      </w:r>
      <w:proofErr w:type="spellEnd"/>
      <w:r w:rsidRPr="00E126EF">
        <w:rPr>
          <w:rFonts w:eastAsiaTheme="minorHAnsi" w:cstheme="minorBidi"/>
          <w:szCs w:val="22"/>
        </w:rPr>
        <w:t xml:space="preserve"> A, </w:t>
      </w:r>
      <w:proofErr w:type="spellStart"/>
      <w:r w:rsidRPr="00E126EF">
        <w:rPr>
          <w:rFonts w:eastAsiaTheme="minorHAnsi" w:cstheme="minorBidi"/>
          <w:szCs w:val="22"/>
        </w:rPr>
        <w:t>Demonacos</w:t>
      </w:r>
      <w:proofErr w:type="spellEnd"/>
      <w:r w:rsidRPr="00E126EF">
        <w:rPr>
          <w:rFonts w:eastAsiaTheme="minorHAnsi" w:cstheme="minorBidi"/>
          <w:szCs w:val="22"/>
        </w:rPr>
        <w:t xml:space="preserve"> C, Krstic-</w:t>
      </w:r>
      <w:proofErr w:type="spellStart"/>
      <w:r w:rsidRPr="00E126EF">
        <w:rPr>
          <w:rFonts w:eastAsiaTheme="minorHAnsi" w:cstheme="minorBidi"/>
          <w:szCs w:val="22"/>
        </w:rPr>
        <w:t>Demonacos</w:t>
      </w:r>
      <w:proofErr w:type="spellEnd"/>
      <w:r w:rsidRPr="00E126EF">
        <w:rPr>
          <w:rFonts w:eastAsiaTheme="minorHAnsi" w:cstheme="minorBidi"/>
          <w:szCs w:val="22"/>
        </w:rPr>
        <w:t xml:space="preserve"> M. Cross talk of signaling pathways in the regulation of the glucocorticoid receptor function. Mol Endocrinol 2008; 22:1331-1344</w:t>
      </w:r>
    </w:p>
    <w:p w14:paraId="5AE4F51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292.</w:t>
      </w:r>
      <w:r w:rsidRPr="00E126EF">
        <w:rPr>
          <w:rFonts w:eastAsiaTheme="minorHAnsi" w:cstheme="minorBidi"/>
          <w:szCs w:val="22"/>
        </w:rPr>
        <w:tab/>
        <w:t xml:space="preserve">Tian S, </w:t>
      </w:r>
      <w:proofErr w:type="spellStart"/>
      <w:r w:rsidRPr="00E126EF">
        <w:rPr>
          <w:rFonts w:eastAsiaTheme="minorHAnsi" w:cstheme="minorBidi"/>
          <w:szCs w:val="22"/>
        </w:rPr>
        <w:t>Poukka</w:t>
      </w:r>
      <w:proofErr w:type="spellEnd"/>
      <w:r w:rsidRPr="00E126EF">
        <w:rPr>
          <w:rFonts w:eastAsiaTheme="minorHAnsi" w:cstheme="minorBidi"/>
          <w:szCs w:val="22"/>
        </w:rPr>
        <w:t xml:space="preserve"> H, </w:t>
      </w:r>
      <w:proofErr w:type="spellStart"/>
      <w:r w:rsidRPr="00E126EF">
        <w:rPr>
          <w:rFonts w:eastAsiaTheme="minorHAnsi" w:cstheme="minorBidi"/>
          <w:szCs w:val="22"/>
        </w:rPr>
        <w:t>Palvimo</w:t>
      </w:r>
      <w:proofErr w:type="spellEnd"/>
      <w:r w:rsidRPr="00E126EF">
        <w:rPr>
          <w:rFonts w:eastAsiaTheme="minorHAnsi" w:cstheme="minorBidi"/>
          <w:szCs w:val="22"/>
        </w:rPr>
        <w:t xml:space="preserve"> JJ, </w:t>
      </w:r>
      <w:proofErr w:type="spellStart"/>
      <w:r w:rsidRPr="00E126EF">
        <w:rPr>
          <w:rFonts w:eastAsiaTheme="minorHAnsi" w:cstheme="minorBidi"/>
          <w:szCs w:val="22"/>
        </w:rPr>
        <w:t>Janne</w:t>
      </w:r>
      <w:proofErr w:type="spellEnd"/>
      <w:r w:rsidRPr="00E126EF">
        <w:rPr>
          <w:rFonts w:eastAsiaTheme="minorHAnsi" w:cstheme="minorBidi"/>
          <w:szCs w:val="22"/>
        </w:rPr>
        <w:t xml:space="preserve"> OA. Small ubiquitin-related modifier-1 (SUMO-1) modification of the glucocorticoid receptor.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J 2002; 367:907-911</w:t>
      </w:r>
    </w:p>
    <w:p w14:paraId="1C9B582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293.</w:t>
      </w:r>
      <w:r w:rsidRPr="00E126EF">
        <w:rPr>
          <w:rFonts w:eastAsiaTheme="minorHAnsi" w:cstheme="minorBidi"/>
          <w:szCs w:val="22"/>
        </w:rPr>
        <w:tab/>
        <w:t xml:space="preserve">Le </w:t>
      </w:r>
      <w:proofErr w:type="spellStart"/>
      <w:r w:rsidRPr="00E126EF">
        <w:rPr>
          <w:rFonts w:eastAsiaTheme="minorHAnsi" w:cstheme="minorBidi"/>
          <w:szCs w:val="22"/>
        </w:rPr>
        <w:t>Drean</w:t>
      </w:r>
      <w:proofErr w:type="spellEnd"/>
      <w:r w:rsidRPr="00E126EF">
        <w:rPr>
          <w:rFonts w:eastAsiaTheme="minorHAnsi" w:cstheme="minorBidi"/>
          <w:szCs w:val="22"/>
        </w:rPr>
        <w:t xml:space="preserve"> Y, </w:t>
      </w:r>
      <w:proofErr w:type="spellStart"/>
      <w:r w:rsidRPr="00E126EF">
        <w:rPr>
          <w:rFonts w:eastAsiaTheme="minorHAnsi" w:cstheme="minorBidi"/>
          <w:szCs w:val="22"/>
        </w:rPr>
        <w:t>Mincheneau</w:t>
      </w:r>
      <w:proofErr w:type="spellEnd"/>
      <w:r w:rsidRPr="00E126EF">
        <w:rPr>
          <w:rFonts w:eastAsiaTheme="minorHAnsi" w:cstheme="minorBidi"/>
          <w:szCs w:val="22"/>
        </w:rPr>
        <w:t xml:space="preserve"> N, Le Goff P, Michel D. Potentiation of glucocorticoid receptor transcriptional activity by </w:t>
      </w:r>
      <w:proofErr w:type="spellStart"/>
      <w:r w:rsidRPr="00E126EF">
        <w:rPr>
          <w:rFonts w:eastAsiaTheme="minorHAnsi" w:cstheme="minorBidi"/>
          <w:szCs w:val="22"/>
        </w:rPr>
        <w:t>sumoylation</w:t>
      </w:r>
      <w:proofErr w:type="spellEnd"/>
      <w:r w:rsidRPr="00E126EF">
        <w:rPr>
          <w:rFonts w:eastAsiaTheme="minorHAnsi" w:cstheme="minorBidi"/>
          <w:szCs w:val="22"/>
        </w:rPr>
        <w:t>. Endocrinology 2002; 143:3482-3489</w:t>
      </w:r>
    </w:p>
    <w:p w14:paraId="0E90F5F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294.</w:t>
      </w:r>
      <w:r w:rsidRPr="00E126EF">
        <w:rPr>
          <w:rFonts w:eastAsiaTheme="minorHAnsi" w:cstheme="minorBidi"/>
          <w:szCs w:val="22"/>
        </w:rPr>
        <w:tab/>
      </w:r>
      <w:proofErr w:type="spellStart"/>
      <w:r w:rsidRPr="00E126EF">
        <w:rPr>
          <w:rFonts w:eastAsiaTheme="minorHAnsi" w:cstheme="minorBidi"/>
          <w:szCs w:val="22"/>
        </w:rPr>
        <w:t>Druker</w:t>
      </w:r>
      <w:proofErr w:type="spellEnd"/>
      <w:r w:rsidRPr="00E126EF">
        <w:rPr>
          <w:rFonts w:eastAsiaTheme="minorHAnsi" w:cstheme="minorBidi"/>
          <w:szCs w:val="22"/>
        </w:rPr>
        <w:t xml:space="preserve"> J, Liberman AC, </w:t>
      </w:r>
      <w:proofErr w:type="spellStart"/>
      <w:r w:rsidRPr="00E126EF">
        <w:rPr>
          <w:rFonts w:eastAsiaTheme="minorHAnsi" w:cstheme="minorBidi"/>
          <w:szCs w:val="22"/>
        </w:rPr>
        <w:t>Antunica-Noguerol</w:t>
      </w:r>
      <w:proofErr w:type="spellEnd"/>
      <w:r w:rsidRPr="00E126EF">
        <w:rPr>
          <w:rFonts w:eastAsiaTheme="minorHAnsi" w:cstheme="minorBidi"/>
          <w:szCs w:val="22"/>
        </w:rPr>
        <w:t xml:space="preserve"> M, </w:t>
      </w:r>
      <w:proofErr w:type="spellStart"/>
      <w:r w:rsidRPr="00E126EF">
        <w:rPr>
          <w:rFonts w:eastAsiaTheme="minorHAnsi" w:cstheme="minorBidi"/>
          <w:szCs w:val="22"/>
        </w:rPr>
        <w:t>Gerez</w:t>
      </w:r>
      <w:proofErr w:type="spellEnd"/>
      <w:r w:rsidRPr="00E126EF">
        <w:rPr>
          <w:rFonts w:eastAsiaTheme="minorHAnsi" w:cstheme="minorBidi"/>
          <w:szCs w:val="22"/>
        </w:rPr>
        <w:t xml:space="preserve"> J, </w:t>
      </w:r>
      <w:proofErr w:type="spellStart"/>
      <w:r w:rsidRPr="00E126EF">
        <w:rPr>
          <w:rFonts w:eastAsiaTheme="minorHAnsi" w:cstheme="minorBidi"/>
          <w:szCs w:val="22"/>
        </w:rPr>
        <w:t>Paez</w:t>
      </w:r>
      <w:proofErr w:type="spellEnd"/>
      <w:r w:rsidRPr="00E126EF">
        <w:rPr>
          <w:rFonts w:eastAsiaTheme="minorHAnsi" w:cstheme="minorBidi"/>
          <w:szCs w:val="22"/>
        </w:rPr>
        <w:t>-Pereda M, Rein T, Iniguez-</w:t>
      </w:r>
      <w:proofErr w:type="spellStart"/>
      <w:r w:rsidRPr="00E126EF">
        <w:rPr>
          <w:rFonts w:eastAsiaTheme="minorHAnsi" w:cstheme="minorBidi"/>
          <w:szCs w:val="22"/>
        </w:rPr>
        <w:t>Lluhi</w:t>
      </w:r>
      <w:proofErr w:type="spellEnd"/>
      <w:r w:rsidRPr="00E126EF">
        <w:rPr>
          <w:rFonts w:eastAsiaTheme="minorHAnsi" w:cstheme="minorBidi"/>
          <w:szCs w:val="22"/>
        </w:rPr>
        <w:t xml:space="preserve"> JA, </w:t>
      </w:r>
      <w:proofErr w:type="spellStart"/>
      <w:r w:rsidRPr="00E126EF">
        <w:rPr>
          <w:rFonts w:eastAsiaTheme="minorHAnsi" w:cstheme="minorBidi"/>
          <w:szCs w:val="22"/>
        </w:rPr>
        <w:t>Holsboer</w:t>
      </w:r>
      <w:proofErr w:type="spellEnd"/>
      <w:r w:rsidRPr="00E126EF">
        <w:rPr>
          <w:rFonts w:eastAsiaTheme="minorHAnsi" w:cstheme="minorBidi"/>
          <w:szCs w:val="22"/>
        </w:rPr>
        <w:t xml:space="preserve"> F, </w:t>
      </w:r>
      <w:proofErr w:type="spellStart"/>
      <w:r w:rsidRPr="00E126EF">
        <w:rPr>
          <w:rFonts w:eastAsiaTheme="minorHAnsi" w:cstheme="minorBidi"/>
          <w:szCs w:val="22"/>
        </w:rPr>
        <w:t>Arzt</w:t>
      </w:r>
      <w:proofErr w:type="spellEnd"/>
      <w:r w:rsidRPr="00E126EF">
        <w:rPr>
          <w:rFonts w:eastAsiaTheme="minorHAnsi" w:cstheme="minorBidi"/>
          <w:szCs w:val="22"/>
        </w:rPr>
        <w:t xml:space="preserve"> E. RSUME enhances glucocorticoid receptor SUMOylation and transcriptional activity. Mol Cell Biol 2013; 33:2116-2127</w:t>
      </w:r>
    </w:p>
    <w:p w14:paraId="6A38772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295.</w:t>
      </w:r>
      <w:r w:rsidRPr="00E126EF">
        <w:rPr>
          <w:rFonts w:eastAsiaTheme="minorHAnsi" w:cstheme="minorBidi"/>
          <w:szCs w:val="22"/>
        </w:rPr>
        <w:tab/>
        <w:t xml:space="preserve">Lin DY, Huang YS, </w:t>
      </w:r>
      <w:proofErr w:type="spellStart"/>
      <w:r w:rsidRPr="00E126EF">
        <w:rPr>
          <w:rFonts w:eastAsiaTheme="minorHAnsi" w:cstheme="minorBidi"/>
          <w:szCs w:val="22"/>
        </w:rPr>
        <w:t>Jeng</w:t>
      </w:r>
      <w:proofErr w:type="spellEnd"/>
      <w:r w:rsidRPr="00E126EF">
        <w:rPr>
          <w:rFonts w:eastAsiaTheme="minorHAnsi" w:cstheme="minorBidi"/>
          <w:szCs w:val="22"/>
        </w:rPr>
        <w:t xml:space="preserve"> JC, </w:t>
      </w:r>
      <w:proofErr w:type="spellStart"/>
      <w:r w:rsidRPr="00E126EF">
        <w:rPr>
          <w:rFonts w:eastAsiaTheme="minorHAnsi" w:cstheme="minorBidi"/>
          <w:szCs w:val="22"/>
        </w:rPr>
        <w:t>Kuo</w:t>
      </w:r>
      <w:proofErr w:type="spellEnd"/>
      <w:r w:rsidRPr="00E126EF">
        <w:rPr>
          <w:rFonts w:eastAsiaTheme="minorHAnsi" w:cstheme="minorBidi"/>
          <w:szCs w:val="22"/>
        </w:rPr>
        <w:t xml:space="preserve"> HY, Chang CC, Chao TT, Ho CC, Chen YC, Lin TP, Fang HI, Hung CC, Suen CS, Hwang MJ, Chang KS, Maul GG, Shih HM. Role of SUMO-interacting motif in </w:t>
      </w:r>
      <w:proofErr w:type="spellStart"/>
      <w:r w:rsidRPr="00E126EF">
        <w:rPr>
          <w:rFonts w:eastAsiaTheme="minorHAnsi" w:cstheme="minorBidi"/>
          <w:szCs w:val="22"/>
        </w:rPr>
        <w:t>Daxx</w:t>
      </w:r>
      <w:proofErr w:type="spellEnd"/>
      <w:r w:rsidRPr="00E126EF">
        <w:rPr>
          <w:rFonts w:eastAsiaTheme="minorHAnsi" w:cstheme="minorBidi"/>
          <w:szCs w:val="22"/>
        </w:rPr>
        <w:t xml:space="preserve"> SUMO modification, subnuclear localization, and repression of </w:t>
      </w:r>
      <w:proofErr w:type="spellStart"/>
      <w:r w:rsidRPr="00E126EF">
        <w:rPr>
          <w:rFonts w:eastAsiaTheme="minorHAnsi" w:cstheme="minorBidi"/>
          <w:szCs w:val="22"/>
        </w:rPr>
        <w:t>sumoylated</w:t>
      </w:r>
      <w:proofErr w:type="spellEnd"/>
      <w:r w:rsidRPr="00E126EF">
        <w:rPr>
          <w:rFonts w:eastAsiaTheme="minorHAnsi" w:cstheme="minorBidi"/>
          <w:szCs w:val="22"/>
        </w:rPr>
        <w:t xml:space="preserve"> transcription factors. Mol Cell 2006; 24:341-354</w:t>
      </w:r>
    </w:p>
    <w:p w14:paraId="13408B2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296.</w:t>
      </w:r>
      <w:r w:rsidRPr="00E126EF">
        <w:rPr>
          <w:rFonts w:eastAsiaTheme="minorHAnsi" w:cstheme="minorBidi"/>
          <w:szCs w:val="22"/>
        </w:rPr>
        <w:tab/>
      </w:r>
      <w:proofErr w:type="spellStart"/>
      <w:r w:rsidRPr="00E126EF">
        <w:rPr>
          <w:rFonts w:eastAsiaTheme="minorHAnsi" w:cstheme="minorBidi"/>
          <w:szCs w:val="22"/>
        </w:rPr>
        <w:t>Tirard</w:t>
      </w:r>
      <w:proofErr w:type="spellEnd"/>
      <w:r w:rsidRPr="00E126EF">
        <w:rPr>
          <w:rFonts w:eastAsiaTheme="minorHAnsi" w:cstheme="minorBidi"/>
          <w:szCs w:val="22"/>
        </w:rPr>
        <w:t xml:space="preserve"> M, </w:t>
      </w:r>
      <w:proofErr w:type="spellStart"/>
      <w:r w:rsidRPr="00E126EF">
        <w:rPr>
          <w:rFonts w:eastAsiaTheme="minorHAnsi" w:cstheme="minorBidi"/>
          <w:szCs w:val="22"/>
        </w:rPr>
        <w:t>Jasbinsek</w:t>
      </w:r>
      <w:proofErr w:type="spellEnd"/>
      <w:r w:rsidRPr="00E126EF">
        <w:rPr>
          <w:rFonts w:eastAsiaTheme="minorHAnsi" w:cstheme="minorBidi"/>
          <w:szCs w:val="22"/>
        </w:rPr>
        <w:t xml:space="preserve"> J, Almeida OF, </w:t>
      </w:r>
      <w:proofErr w:type="spellStart"/>
      <w:r w:rsidRPr="00E126EF">
        <w:rPr>
          <w:rFonts w:eastAsiaTheme="minorHAnsi" w:cstheme="minorBidi"/>
          <w:szCs w:val="22"/>
        </w:rPr>
        <w:t>Michaelidis</w:t>
      </w:r>
      <w:proofErr w:type="spellEnd"/>
      <w:r w:rsidRPr="00E126EF">
        <w:rPr>
          <w:rFonts w:eastAsiaTheme="minorHAnsi" w:cstheme="minorBidi"/>
          <w:szCs w:val="22"/>
        </w:rPr>
        <w:t xml:space="preserve"> TM. The manifold actions of the protein inhibitor of activated STAT proteins on the transcriptional activity of mineralocorticoid and glucocorticoid receptors in neural cells. J Mol Endocrinol 2004; 32:825-841</w:t>
      </w:r>
    </w:p>
    <w:p w14:paraId="2E28466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297.</w:t>
      </w:r>
      <w:r w:rsidRPr="00E126EF">
        <w:rPr>
          <w:rFonts w:eastAsiaTheme="minorHAnsi" w:cstheme="minorBidi"/>
          <w:szCs w:val="22"/>
        </w:rPr>
        <w:tab/>
        <w:t xml:space="preserve">Yang SH, </w:t>
      </w:r>
      <w:proofErr w:type="spellStart"/>
      <w:r w:rsidRPr="00E126EF">
        <w:rPr>
          <w:rFonts w:eastAsiaTheme="minorHAnsi" w:cstheme="minorBidi"/>
          <w:szCs w:val="22"/>
        </w:rPr>
        <w:t>Sharrocks</w:t>
      </w:r>
      <w:proofErr w:type="spellEnd"/>
      <w:r w:rsidRPr="00E126EF">
        <w:rPr>
          <w:rFonts w:eastAsiaTheme="minorHAnsi" w:cstheme="minorBidi"/>
          <w:szCs w:val="22"/>
        </w:rPr>
        <w:t xml:space="preserve"> AD. SUMO promotes HDAC-mediated transcriptional repression. Mol Cell 2004; 13:611-617</w:t>
      </w:r>
    </w:p>
    <w:p w14:paraId="5A214C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298.</w:t>
      </w:r>
      <w:r w:rsidRPr="00E126EF">
        <w:rPr>
          <w:rFonts w:eastAsiaTheme="minorHAnsi" w:cstheme="minorBidi"/>
          <w:szCs w:val="22"/>
        </w:rPr>
        <w:tab/>
        <w:t xml:space="preserve">Holmstrom SR, </w:t>
      </w:r>
      <w:proofErr w:type="spellStart"/>
      <w:r w:rsidRPr="00E126EF">
        <w:rPr>
          <w:rFonts w:eastAsiaTheme="minorHAnsi" w:cstheme="minorBidi"/>
          <w:szCs w:val="22"/>
        </w:rPr>
        <w:t>Chupreta</w:t>
      </w:r>
      <w:proofErr w:type="spellEnd"/>
      <w:r w:rsidRPr="00E126EF">
        <w:rPr>
          <w:rFonts w:eastAsiaTheme="minorHAnsi" w:cstheme="minorBidi"/>
          <w:szCs w:val="22"/>
        </w:rPr>
        <w:t xml:space="preserve"> S, So AY, Iniguez-</w:t>
      </w:r>
      <w:proofErr w:type="spellStart"/>
      <w:r w:rsidRPr="00E126EF">
        <w:rPr>
          <w:rFonts w:eastAsiaTheme="minorHAnsi" w:cstheme="minorBidi"/>
          <w:szCs w:val="22"/>
        </w:rPr>
        <w:t>Lluhi</w:t>
      </w:r>
      <w:proofErr w:type="spellEnd"/>
      <w:r w:rsidRPr="00E126EF">
        <w:rPr>
          <w:rFonts w:eastAsiaTheme="minorHAnsi" w:cstheme="minorBidi"/>
          <w:szCs w:val="22"/>
        </w:rPr>
        <w:t xml:space="preserve"> JA. SUMO-mediated inhibition of glucocorticoid receptor synergistic activity depends on stable assembly at the promoter but not on DAXX. Mol Endocrinol 2008; 22:2061-2075</w:t>
      </w:r>
    </w:p>
    <w:p w14:paraId="4A85C8A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299.</w:t>
      </w:r>
      <w:r w:rsidRPr="00E126EF">
        <w:rPr>
          <w:rFonts w:eastAsiaTheme="minorHAnsi" w:cstheme="minorBidi"/>
          <w:szCs w:val="22"/>
        </w:rPr>
        <w:tab/>
        <w:t xml:space="preserve">Hua G, </w:t>
      </w:r>
      <w:proofErr w:type="spellStart"/>
      <w:r w:rsidRPr="00E126EF">
        <w:rPr>
          <w:rFonts w:eastAsiaTheme="minorHAnsi" w:cstheme="minorBidi"/>
          <w:szCs w:val="22"/>
        </w:rPr>
        <w:t>Paulen</w:t>
      </w:r>
      <w:proofErr w:type="spellEnd"/>
      <w:r w:rsidRPr="00E126EF">
        <w:rPr>
          <w:rFonts w:eastAsiaTheme="minorHAnsi" w:cstheme="minorBidi"/>
          <w:szCs w:val="22"/>
        </w:rPr>
        <w:t xml:space="preserve"> L, </w:t>
      </w:r>
      <w:proofErr w:type="spellStart"/>
      <w:r w:rsidRPr="00E126EF">
        <w:rPr>
          <w:rFonts w:eastAsiaTheme="minorHAnsi" w:cstheme="minorBidi"/>
          <w:szCs w:val="22"/>
        </w:rPr>
        <w:t>Chambon</w:t>
      </w:r>
      <w:proofErr w:type="spellEnd"/>
      <w:r w:rsidRPr="00E126EF">
        <w:rPr>
          <w:rFonts w:eastAsiaTheme="minorHAnsi" w:cstheme="minorBidi"/>
          <w:szCs w:val="22"/>
        </w:rPr>
        <w:t xml:space="preserve"> P. GR SUMOylation and formation of </w:t>
      </w:r>
      <w:proofErr w:type="gramStart"/>
      <w:r w:rsidRPr="00E126EF">
        <w:rPr>
          <w:rFonts w:eastAsiaTheme="minorHAnsi" w:cstheme="minorBidi"/>
          <w:szCs w:val="22"/>
        </w:rPr>
        <w:t>an</w:t>
      </w:r>
      <w:proofErr w:type="gramEnd"/>
      <w:r w:rsidRPr="00E126EF">
        <w:rPr>
          <w:rFonts w:eastAsiaTheme="minorHAnsi" w:cstheme="minorBidi"/>
          <w:szCs w:val="22"/>
        </w:rPr>
        <w:t xml:space="preserve"> SUMO-SMRT/NCoR1-HDAC3 repressing complex is mandatory for GC-induced IR </w:t>
      </w:r>
      <w:proofErr w:type="spellStart"/>
      <w:r w:rsidRPr="00E126EF">
        <w:rPr>
          <w:rFonts w:eastAsiaTheme="minorHAnsi" w:cstheme="minorBidi"/>
          <w:szCs w:val="22"/>
        </w:rPr>
        <w:t>nGRE</w:t>
      </w:r>
      <w:proofErr w:type="spellEnd"/>
      <w:r w:rsidRPr="00E126EF">
        <w:rPr>
          <w:rFonts w:eastAsiaTheme="minorHAnsi" w:cstheme="minorBidi"/>
          <w:szCs w:val="22"/>
        </w:rPr>
        <w:t xml:space="preserve">-mediated transrepression.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2016; </w:t>
      </w:r>
      <w:proofErr w:type="gramStart"/>
      <w:r w:rsidRPr="00E126EF">
        <w:rPr>
          <w:rFonts w:eastAsiaTheme="minorHAnsi" w:cstheme="minorBidi"/>
          <w:szCs w:val="22"/>
        </w:rPr>
        <w:t>113:E</w:t>
      </w:r>
      <w:proofErr w:type="gramEnd"/>
      <w:r w:rsidRPr="00E126EF">
        <w:rPr>
          <w:rFonts w:eastAsiaTheme="minorHAnsi" w:cstheme="minorBidi"/>
          <w:szCs w:val="22"/>
        </w:rPr>
        <w:t>626-634</w:t>
      </w:r>
    </w:p>
    <w:p w14:paraId="09708F4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300.</w:t>
      </w:r>
      <w:r w:rsidRPr="00E126EF">
        <w:rPr>
          <w:rFonts w:eastAsiaTheme="minorHAnsi" w:cstheme="minorBidi"/>
          <w:szCs w:val="22"/>
        </w:rPr>
        <w:tab/>
      </w:r>
      <w:proofErr w:type="spellStart"/>
      <w:r w:rsidRPr="00E126EF">
        <w:rPr>
          <w:rFonts w:eastAsiaTheme="minorHAnsi" w:cstheme="minorBidi"/>
          <w:szCs w:val="22"/>
        </w:rPr>
        <w:t>Seckl</w:t>
      </w:r>
      <w:proofErr w:type="spellEnd"/>
      <w:r w:rsidRPr="00E126EF">
        <w:rPr>
          <w:rFonts w:eastAsiaTheme="minorHAnsi" w:cstheme="minorBidi"/>
          <w:szCs w:val="22"/>
        </w:rPr>
        <w:t xml:space="preserve"> JR, Walker BR. Minireview: 11b-hydroxysteroid dehydrogenase type 1 - a tissue-specific amplifier of glucocorticoid action. Endocrinology 2001; 142:1371-1376</w:t>
      </w:r>
    </w:p>
    <w:p w14:paraId="3E358F5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301.</w:t>
      </w:r>
      <w:r w:rsidRPr="00E126EF">
        <w:rPr>
          <w:rFonts w:eastAsiaTheme="minorHAnsi" w:cstheme="minorBidi"/>
          <w:szCs w:val="22"/>
        </w:rPr>
        <w:tab/>
      </w:r>
      <w:proofErr w:type="spellStart"/>
      <w:r w:rsidRPr="00E126EF">
        <w:rPr>
          <w:rFonts w:eastAsiaTheme="minorHAnsi" w:cstheme="minorBidi"/>
          <w:szCs w:val="22"/>
        </w:rPr>
        <w:t>Masuzaki</w:t>
      </w:r>
      <w:proofErr w:type="spellEnd"/>
      <w:r w:rsidRPr="00E126EF">
        <w:rPr>
          <w:rFonts w:eastAsiaTheme="minorHAnsi" w:cstheme="minorBidi"/>
          <w:szCs w:val="22"/>
        </w:rPr>
        <w:t xml:space="preserve"> H, Paterson J, </w:t>
      </w:r>
      <w:proofErr w:type="spellStart"/>
      <w:r w:rsidRPr="00E126EF">
        <w:rPr>
          <w:rFonts w:eastAsiaTheme="minorHAnsi" w:cstheme="minorBidi"/>
          <w:szCs w:val="22"/>
        </w:rPr>
        <w:t>Shinyama</w:t>
      </w:r>
      <w:proofErr w:type="spellEnd"/>
      <w:r w:rsidRPr="00E126EF">
        <w:rPr>
          <w:rFonts w:eastAsiaTheme="minorHAnsi" w:cstheme="minorBidi"/>
          <w:szCs w:val="22"/>
        </w:rPr>
        <w:t xml:space="preserve"> H, Morton NM, Mullins JJ, </w:t>
      </w:r>
      <w:proofErr w:type="spellStart"/>
      <w:r w:rsidRPr="00E126EF">
        <w:rPr>
          <w:rFonts w:eastAsiaTheme="minorHAnsi" w:cstheme="minorBidi"/>
          <w:szCs w:val="22"/>
        </w:rPr>
        <w:t>Seckl</w:t>
      </w:r>
      <w:proofErr w:type="spellEnd"/>
      <w:r w:rsidRPr="00E126EF">
        <w:rPr>
          <w:rFonts w:eastAsiaTheme="minorHAnsi" w:cstheme="minorBidi"/>
          <w:szCs w:val="22"/>
        </w:rPr>
        <w:t xml:space="preserve"> JR, Flier JS. A transgenic model of visceral obesity and the metabolic syndrome. Science 2001; 294:2166-2170</w:t>
      </w:r>
    </w:p>
    <w:p w14:paraId="27C9538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302.</w:t>
      </w:r>
      <w:r w:rsidRPr="00E126EF">
        <w:rPr>
          <w:rFonts w:eastAsiaTheme="minorHAnsi" w:cstheme="minorBidi"/>
          <w:szCs w:val="22"/>
        </w:rPr>
        <w:tab/>
      </w:r>
      <w:proofErr w:type="spellStart"/>
      <w:r w:rsidRPr="00E126EF">
        <w:rPr>
          <w:rFonts w:eastAsiaTheme="minorHAnsi" w:cstheme="minorBidi"/>
          <w:szCs w:val="22"/>
        </w:rPr>
        <w:t>Masuzaki</w:t>
      </w:r>
      <w:proofErr w:type="spellEnd"/>
      <w:r w:rsidRPr="00E126EF">
        <w:rPr>
          <w:rFonts w:eastAsiaTheme="minorHAnsi" w:cstheme="minorBidi"/>
          <w:szCs w:val="22"/>
        </w:rPr>
        <w:t xml:space="preserve"> H, Yamamoto H, Kenyon CJ, </w:t>
      </w:r>
      <w:proofErr w:type="spellStart"/>
      <w:r w:rsidRPr="00E126EF">
        <w:rPr>
          <w:rFonts w:eastAsiaTheme="minorHAnsi" w:cstheme="minorBidi"/>
          <w:szCs w:val="22"/>
        </w:rPr>
        <w:t>Elmquist</w:t>
      </w:r>
      <w:proofErr w:type="spellEnd"/>
      <w:r w:rsidRPr="00E126EF">
        <w:rPr>
          <w:rFonts w:eastAsiaTheme="minorHAnsi" w:cstheme="minorBidi"/>
          <w:szCs w:val="22"/>
        </w:rPr>
        <w:t xml:space="preserve"> JK, Morton NM, Paterson JM, </w:t>
      </w:r>
      <w:proofErr w:type="spellStart"/>
      <w:r w:rsidRPr="00E126EF">
        <w:rPr>
          <w:rFonts w:eastAsiaTheme="minorHAnsi" w:cstheme="minorBidi"/>
          <w:szCs w:val="22"/>
        </w:rPr>
        <w:t>Shinyama</w:t>
      </w:r>
      <w:proofErr w:type="spellEnd"/>
      <w:r w:rsidRPr="00E126EF">
        <w:rPr>
          <w:rFonts w:eastAsiaTheme="minorHAnsi" w:cstheme="minorBidi"/>
          <w:szCs w:val="22"/>
        </w:rPr>
        <w:t xml:space="preserve"> H, Sharp MG, Fleming S, Mullins JJ, </w:t>
      </w:r>
      <w:proofErr w:type="spellStart"/>
      <w:r w:rsidRPr="00E126EF">
        <w:rPr>
          <w:rFonts w:eastAsiaTheme="minorHAnsi" w:cstheme="minorBidi"/>
          <w:szCs w:val="22"/>
        </w:rPr>
        <w:t>Seckl</w:t>
      </w:r>
      <w:proofErr w:type="spellEnd"/>
      <w:r w:rsidRPr="00E126EF">
        <w:rPr>
          <w:rFonts w:eastAsiaTheme="minorHAnsi" w:cstheme="minorBidi"/>
          <w:szCs w:val="22"/>
        </w:rPr>
        <w:t xml:space="preserve"> JR, Flier JS. Transgenic amplification of glucocorticoid action in adipose tissue causes high blood pressure in mice. J Clin Invest 2003; 112:83-90</w:t>
      </w:r>
    </w:p>
    <w:p w14:paraId="71952D3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303.</w:t>
      </w:r>
      <w:r w:rsidRPr="00E126EF">
        <w:rPr>
          <w:rFonts w:eastAsiaTheme="minorHAnsi" w:cstheme="minorBidi"/>
          <w:szCs w:val="22"/>
        </w:rPr>
        <w:tab/>
        <w:t>Grad I, Picard D. The glucocorticoid responses are shaped by molecular chaperones. Mol Cell Endocrinol 2007; 275:2-12</w:t>
      </w:r>
    </w:p>
    <w:p w14:paraId="02F571E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304.</w:t>
      </w:r>
      <w:r w:rsidRPr="00E126EF">
        <w:rPr>
          <w:rFonts w:eastAsiaTheme="minorHAnsi" w:cstheme="minorBidi"/>
          <w:szCs w:val="22"/>
        </w:rPr>
        <w:tab/>
      </w:r>
      <w:proofErr w:type="spellStart"/>
      <w:r w:rsidRPr="00E126EF">
        <w:rPr>
          <w:rFonts w:eastAsiaTheme="minorHAnsi" w:cstheme="minorBidi"/>
          <w:szCs w:val="22"/>
        </w:rPr>
        <w:t>Alvira</w:t>
      </w:r>
      <w:proofErr w:type="spellEnd"/>
      <w:r w:rsidRPr="00E126EF">
        <w:rPr>
          <w:rFonts w:eastAsiaTheme="minorHAnsi" w:cstheme="minorBidi"/>
          <w:szCs w:val="22"/>
        </w:rPr>
        <w:t xml:space="preserve"> S, Cuellar J, </w:t>
      </w:r>
      <w:proofErr w:type="spellStart"/>
      <w:r w:rsidRPr="00E126EF">
        <w:rPr>
          <w:rFonts w:eastAsiaTheme="minorHAnsi" w:cstheme="minorBidi"/>
          <w:szCs w:val="22"/>
        </w:rPr>
        <w:t>Rohl</w:t>
      </w:r>
      <w:proofErr w:type="spellEnd"/>
      <w:r w:rsidRPr="00E126EF">
        <w:rPr>
          <w:rFonts w:eastAsiaTheme="minorHAnsi" w:cstheme="minorBidi"/>
          <w:szCs w:val="22"/>
        </w:rPr>
        <w:t xml:space="preserve"> A, Yamamoto S, Itoh H, Alfonso C, Rivas G, Buchner J, </w:t>
      </w:r>
      <w:proofErr w:type="spellStart"/>
      <w:r w:rsidRPr="00E126EF">
        <w:rPr>
          <w:rFonts w:eastAsiaTheme="minorHAnsi" w:cstheme="minorBidi"/>
          <w:szCs w:val="22"/>
        </w:rPr>
        <w:t>Valpuesta</w:t>
      </w:r>
      <w:proofErr w:type="spellEnd"/>
      <w:r w:rsidRPr="00E126EF">
        <w:rPr>
          <w:rFonts w:eastAsiaTheme="minorHAnsi" w:cstheme="minorBidi"/>
          <w:szCs w:val="22"/>
        </w:rPr>
        <w:t xml:space="preserve"> JM. Structural characterization of the substrate transfer mechanism in Hsp70/Hsp90 folding machinery mediated by Hop. Nat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2014; 5:5484</w:t>
      </w:r>
    </w:p>
    <w:p w14:paraId="1D1F5E6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305.</w:t>
      </w:r>
      <w:r w:rsidRPr="00E126EF">
        <w:rPr>
          <w:rFonts w:eastAsiaTheme="minorHAnsi" w:cstheme="minorBidi"/>
          <w:szCs w:val="22"/>
        </w:rPr>
        <w:tab/>
        <w:t xml:space="preserve">Paul A, Garcia YA, </w:t>
      </w:r>
      <w:proofErr w:type="spellStart"/>
      <w:r w:rsidRPr="00E126EF">
        <w:rPr>
          <w:rFonts w:eastAsiaTheme="minorHAnsi" w:cstheme="minorBidi"/>
          <w:szCs w:val="22"/>
        </w:rPr>
        <w:t>Zierer</w:t>
      </w:r>
      <w:proofErr w:type="spellEnd"/>
      <w:r w:rsidRPr="00E126EF">
        <w:rPr>
          <w:rFonts w:eastAsiaTheme="minorHAnsi" w:cstheme="minorBidi"/>
          <w:szCs w:val="22"/>
        </w:rPr>
        <w:t xml:space="preserve"> B, Patwardhan C, Gutierrez O, </w:t>
      </w:r>
      <w:proofErr w:type="spellStart"/>
      <w:r w:rsidRPr="00E126EF">
        <w:rPr>
          <w:rFonts w:eastAsiaTheme="minorHAnsi" w:cstheme="minorBidi"/>
          <w:szCs w:val="22"/>
        </w:rPr>
        <w:t>Hildenbrand</w:t>
      </w:r>
      <w:proofErr w:type="spellEnd"/>
      <w:r w:rsidRPr="00E126EF">
        <w:rPr>
          <w:rFonts w:eastAsiaTheme="minorHAnsi" w:cstheme="minorBidi"/>
          <w:szCs w:val="22"/>
        </w:rPr>
        <w:t xml:space="preserve"> Z, Harris DC, </w:t>
      </w:r>
      <w:proofErr w:type="spellStart"/>
      <w:r w:rsidRPr="00E126EF">
        <w:rPr>
          <w:rFonts w:eastAsiaTheme="minorHAnsi" w:cstheme="minorBidi"/>
          <w:szCs w:val="22"/>
        </w:rPr>
        <w:t>Balsiger</w:t>
      </w:r>
      <w:proofErr w:type="spellEnd"/>
      <w:r w:rsidRPr="00E126EF">
        <w:rPr>
          <w:rFonts w:eastAsiaTheme="minorHAnsi" w:cstheme="minorBidi"/>
          <w:szCs w:val="22"/>
        </w:rPr>
        <w:t xml:space="preserve"> HA, </w:t>
      </w:r>
      <w:proofErr w:type="spellStart"/>
      <w:r w:rsidRPr="00E126EF">
        <w:rPr>
          <w:rFonts w:eastAsiaTheme="minorHAnsi" w:cstheme="minorBidi"/>
          <w:szCs w:val="22"/>
        </w:rPr>
        <w:t>Sivils</w:t>
      </w:r>
      <w:proofErr w:type="spellEnd"/>
      <w:r w:rsidRPr="00E126EF">
        <w:rPr>
          <w:rFonts w:eastAsiaTheme="minorHAnsi" w:cstheme="minorBidi"/>
          <w:szCs w:val="22"/>
        </w:rPr>
        <w:t xml:space="preserve"> JC, Johnson JL, Buchner J, </w:t>
      </w:r>
      <w:proofErr w:type="spellStart"/>
      <w:r w:rsidRPr="00E126EF">
        <w:rPr>
          <w:rFonts w:eastAsiaTheme="minorHAnsi" w:cstheme="minorBidi"/>
          <w:szCs w:val="22"/>
        </w:rPr>
        <w:t>Chadli</w:t>
      </w:r>
      <w:proofErr w:type="spellEnd"/>
      <w:r w:rsidRPr="00E126EF">
        <w:rPr>
          <w:rFonts w:eastAsiaTheme="minorHAnsi" w:cstheme="minorBidi"/>
          <w:szCs w:val="22"/>
        </w:rPr>
        <w:t xml:space="preserve"> A, Cox MB. The cochaperone SGTA (small glutamine-rich tetratricopeptide repeat-containing protein a) demonstrates regulatory specificity for the androgen, glucocorticoid, and progesterone receptors. J Biol Chem 2014; 289:15297-15308</w:t>
      </w:r>
    </w:p>
    <w:p w14:paraId="57751A5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306.</w:t>
      </w:r>
      <w:r w:rsidRPr="00E126EF">
        <w:rPr>
          <w:rFonts w:eastAsiaTheme="minorHAnsi" w:cstheme="minorBidi"/>
          <w:szCs w:val="22"/>
        </w:rPr>
        <w:tab/>
        <w:t xml:space="preserve">Kang KI, Meng X, Devin-Leclerc J, </w:t>
      </w:r>
      <w:proofErr w:type="spellStart"/>
      <w:r w:rsidRPr="00E126EF">
        <w:rPr>
          <w:rFonts w:eastAsiaTheme="minorHAnsi" w:cstheme="minorBidi"/>
          <w:szCs w:val="22"/>
        </w:rPr>
        <w:t>Bouhouche</w:t>
      </w:r>
      <w:proofErr w:type="spellEnd"/>
      <w:r w:rsidRPr="00E126EF">
        <w:rPr>
          <w:rFonts w:eastAsiaTheme="minorHAnsi" w:cstheme="minorBidi"/>
          <w:szCs w:val="22"/>
        </w:rPr>
        <w:t xml:space="preserve"> I, </w:t>
      </w:r>
      <w:proofErr w:type="spellStart"/>
      <w:r w:rsidRPr="00E126EF">
        <w:rPr>
          <w:rFonts w:eastAsiaTheme="minorHAnsi" w:cstheme="minorBidi"/>
          <w:szCs w:val="22"/>
        </w:rPr>
        <w:t>Chadli</w:t>
      </w:r>
      <w:proofErr w:type="spellEnd"/>
      <w:r w:rsidRPr="00E126EF">
        <w:rPr>
          <w:rFonts w:eastAsiaTheme="minorHAnsi" w:cstheme="minorBidi"/>
          <w:szCs w:val="22"/>
        </w:rPr>
        <w:t xml:space="preserve"> A, </w:t>
      </w:r>
      <w:proofErr w:type="spellStart"/>
      <w:r w:rsidRPr="00E126EF">
        <w:rPr>
          <w:rFonts w:eastAsiaTheme="minorHAnsi" w:cstheme="minorBidi"/>
          <w:szCs w:val="22"/>
        </w:rPr>
        <w:t>Cadepond</w:t>
      </w:r>
      <w:proofErr w:type="spellEnd"/>
      <w:r w:rsidRPr="00E126EF">
        <w:rPr>
          <w:rFonts w:eastAsiaTheme="minorHAnsi" w:cstheme="minorBidi"/>
          <w:szCs w:val="22"/>
        </w:rPr>
        <w:t xml:space="preserve"> F, </w:t>
      </w:r>
      <w:proofErr w:type="spellStart"/>
      <w:r w:rsidRPr="00E126EF">
        <w:rPr>
          <w:rFonts w:eastAsiaTheme="minorHAnsi" w:cstheme="minorBidi"/>
          <w:szCs w:val="22"/>
        </w:rPr>
        <w:t>Baulieu</w:t>
      </w:r>
      <w:proofErr w:type="spellEnd"/>
      <w:r w:rsidRPr="00E126EF">
        <w:rPr>
          <w:rFonts w:eastAsiaTheme="minorHAnsi" w:cstheme="minorBidi"/>
          <w:szCs w:val="22"/>
        </w:rPr>
        <w:t xml:space="preserve"> EE, Catelli MG. The molecular chaperone Hsp90 can negatively regulate the activity of a </w:t>
      </w:r>
      <w:proofErr w:type="spellStart"/>
      <w:r w:rsidRPr="00E126EF">
        <w:rPr>
          <w:rFonts w:eastAsiaTheme="minorHAnsi" w:cstheme="minorBidi"/>
          <w:szCs w:val="22"/>
        </w:rPr>
        <w:t>glucocorticosteroid</w:t>
      </w:r>
      <w:proofErr w:type="spellEnd"/>
      <w:r w:rsidRPr="00E126EF">
        <w:rPr>
          <w:rFonts w:eastAsiaTheme="minorHAnsi" w:cstheme="minorBidi"/>
          <w:szCs w:val="22"/>
        </w:rPr>
        <w:t xml:space="preserve">-dependent promoter.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1999; 96:1439-1444</w:t>
      </w:r>
    </w:p>
    <w:p w14:paraId="4281522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307.</w:t>
      </w:r>
      <w:r w:rsidRPr="00E126EF">
        <w:rPr>
          <w:rFonts w:eastAsiaTheme="minorHAnsi" w:cstheme="minorBidi"/>
          <w:szCs w:val="22"/>
        </w:rPr>
        <w:tab/>
        <w:t xml:space="preserve">Liu J, </w:t>
      </w:r>
      <w:proofErr w:type="spellStart"/>
      <w:r w:rsidRPr="00E126EF">
        <w:rPr>
          <w:rFonts w:eastAsiaTheme="minorHAnsi" w:cstheme="minorBidi"/>
          <w:szCs w:val="22"/>
        </w:rPr>
        <w:t>DeFranco</w:t>
      </w:r>
      <w:proofErr w:type="spellEnd"/>
      <w:r w:rsidRPr="00E126EF">
        <w:rPr>
          <w:rFonts w:eastAsiaTheme="minorHAnsi" w:cstheme="minorBidi"/>
          <w:szCs w:val="22"/>
        </w:rPr>
        <w:t xml:space="preserve"> DB. Chromatin recycling of glucocorticoid receptors: implications for multiple roles of heat shock protein 90. Mol Endocrinol 1999; 13:355-365</w:t>
      </w:r>
    </w:p>
    <w:p w14:paraId="763A73D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308.</w:t>
      </w:r>
      <w:r w:rsidRPr="00E126EF">
        <w:rPr>
          <w:rFonts w:eastAsiaTheme="minorHAnsi" w:cstheme="minorBidi"/>
          <w:szCs w:val="22"/>
        </w:rPr>
        <w:tab/>
        <w:t>Whitesell L, Cook P. Stable and specific binding of heat shock protein 90 by geldanamycin disrupts glucocorticoid receptor function in intact cells. Mol Endocrinol 1996; 10:705-712</w:t>
      </w:r>
    </w:p>
    <w:p w14:paraId="3B7BFE9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309.</w:t>
      </w:r>
      <w:r w:rsidRPr="00E126EF">
        <w:rPr>
          <w:rFonts w:eastAsiaTheme="minorHAnsi" w:cstheme="minorBidi"/>
          <w:szCs w:val="22"/>
        </w:rPr>
        <w:tab/>
      </w:r>
      <w:proofErr w:type="spellStart"/>
      <w:r w:rsidRPr="00E126EF">
        <w:rPr>
          <w:rFonts w:eastAsiaTheme="minorHAnsi" w:cstheme="minorBidi"/>
          <w:szCs w:val="22"/>
        </w:rPr>
        <w:t>Schneikert</w:t>
      </w:r>
      <w:proofErr w:type="spellEnd"/>
      <w:r w:rsidRPr="00E126EF">
        <w:rPr>
          <w:rFonts w:eastAsiaTheme="minorHAnsi" w:cstheme="minorBidi"/>
          <w:szCs w:val="22"/>
        </w:rPr>
        <w:t xml:space="preserve"> J, </w:t>
      </w:r>
      <w:proofErr w:type="spellStart"/>
      <w:r w:rsidRPr="00E126EF">
        <w:rPr>
          <w:rFonts w:eastAsiaTheme="minorHAnsi" w:cstheme="minorBidi"/>
          <w:szCs w:val="22"/>
        </w:rPr>
        <w:t>Hubner</w:t>
      </w:r>
      <w:proofErr w:type="spellEnd"/>
      <w:r w:rsidRPr="00E126EF">
        <w:rPr>
          <w:rFonts w:eastAsiaTheme="minorHAnsi" w:cstheme="minorBidi"/>
          <w:szCs w:val="22"/>
        </w:rPr>
        <w:t xml:space="preserve"> S, Langer G, Petri T, </w:t>
      </w:r>
      <w:proofErr w:type="spellStart"/>
      <w:r w:rsidRPr="00E126EF">
        <w:rPr>
          <w:rFonts w:eastAsiaTheme="minorHAnsi" w:cstheme="minorBidi"/>
          <w:szCs w:val="22"/>
        </w:rPr>
        <w:t>Jaattela</w:t>
      </w:r>
      <w:proofErr w:type="spellEnd"/>
      <w:r w:rsidRPr="00E126EF">
        <w:rPr>
          <w:rFonts w:eastAsiaTheme="minorHAnsi" w:cstheme="minorBidi"/>
          <w:szCs w:val="22"/>
        </w:rPr>
        <w:t xml:space="preserve"> M, Reed J, Cato AC. Hsp70-RAP46 interaction in downregulation of DNA binding by glucocorticoid receptor. EMBO J 2000; 19:6508-6516</w:t>
      </w:r>
    </w:p>
    <w:p w14:paraId="1EE2B2E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310.</w:t>
      </w:r>
      <w:r w:rsidRPr="00E126EF">
        <w:rPr>
          <w:rFonts w:eastAsiaTheme="minorHAnsi" w:cstheme="minorBidi"/>
          <w:szCs w:val="22"/>
        </w:rPr>
        <w:tab/>
        <w:t xml:space="preserve">Pratt WB, </w:t>
      </w:r>
      <w:proofErr w:type="spellStart"/>
      <w:r w:rsidRPr="00E126EF">
        <w:rPr>
          <w:rFonts w:eastAsiaTheme="minorHAnsi" w:cstheme="minorBidi"/>
          <w:szCs w:val="22"/>
        </w:rPr>
        <w:t>Morishima</w:t>
      </w:r>
      <w:proofErr w:type="spellEnd"/>
      <w:r w:rsidRPr="00E126EF">
        <w:rPr>
          <w:rFonts w:eastAsiaTheme="minorHAnsi" w:cstheme="minorBidi"/>
          <w:szCs w:val="22"/>
        </w:rPr>
        <w:t xml:space="preserve"> Y, Murphy M, Harrell M. Chaperoning of glucocorticoid receptors. </w:t>
      </w:r>
      <w:proofErr w:type="spellStart"/>
      <w:r w:rsidRPr="00E126EF">
        <w:rPr>
          <w:rFonts w:eastAsiaTheme="minorHAnsi" w:cstheme="minorBidi"/>
          <w:szCs w:val="22"/>
        </w:rPr>
        <w:t>Handb</w:t>
      </w:r>
      <w:proofErr w:type="spellEnd"/>
      <w:r w:rsidRPr="00E126EF">
        <w:rPr>
          <w:rFonts w:eastAsiaTheme="minorHAnsi" w:cstheme="minorBidi"/>
          <w:szCs w:val="22"/>
        </w:rPr>
        <w:t xml:space="preserve"> Exp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2006:111-138</w:t>
      </w:r>
    </w:p>
    <w:p w14:paraId="79F6562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311.</w:t>
      </w:r>
      <w:r w:rsidRPr="00E126EF">
        <w:rPr>
          <w:rFonts w:eastAsiaTheme="minorHAnsi" w:cstheme="minorBidi"/>
          <w:szCs w:val="22"/>
        </w:rPr>
        <w:tab/>
        <w:t xml:space="preserve">Binder EB. The role of FKBP5, a co-chaperone of the glucocorticoid receptor in the pathogenesis and therapy of affective and anxiety disorders. </w:t>
      </w:r>
      <w:proofErr w:type="spellStart"/>
      <w:r w:rsidRPr="00E126EF">
        <w:rPr>
          <w:rFonts w:eastAsiaTheme="minorHAnsi" w:cstheme="minorBidi"/>
          <w:szCs w:val="22"/>
        </w:rPr>
        <w:t>Psychoneuroendocrinology</w:t>
      </w:r>
      <w:proofErr w:type="spellEnd"/>
      <w:r w:rsidRPr="00E126EF">
        <w:rPr>
          <w:rFonts w:eastAsiaTheme="minorHAnsi" w:cstheme="minorBidi"/>
          <w:szCs w:val="22"/>
        </w:rPr>
        <w:t xml:space="preserve"> 2009; 34 Suppl </w:t>
      </w:r>
      <w:proofErr w:type="gramStart"/>
      <w:r w:rsidRPr="00E126EF">
        <w:rPr>
          <w:rFonts w:eastAsiaTheme="minorHAnsi" w:cstheme="minorBidi"/>
          <w:szCs w:val="22"/>
        </w:rPr>
        <w:t>1:S</w:t>
      </w:r>
      <w:proofErr w:type="gramEnd"/>
      <w:r w:rsidRPr="00E126EF">
        <w:rPr>
          <w:rFonts w:eastAsiaTheme="minorHAnsi" w:cstheme="minorBidi"/>
          <w:szCs w:val="22"/>
        </w:rPr>
        <w:t>186-195</w:t>
      </w:r>
    </w:p>
    <w:p w14:paraId="7A5326B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312.</w:t>
      </w:r>
      <w:r w:rsidRPr="00E126EF">
        <w:rPr>
          <w:rFonts w:eastAsiaTheme="minorHAnsi" w:cstheme="minorBidi"/>
          <w:szCs w:val="22"/>
        </w:rPr>
        <w:tab/>
      </w:r>
      <w:proofErr w:type="spellStart"/>
      <w:r w:rsidRPr="00E126EF">
        <w:rPr>
          <w:rFonts w:eastAsiaTheme="minorHAnsi" w:cstheme="minorBidi"/>
          <w:szCs w:val="22"/>
        </w:rPr>
        <w:t>Hoeijmakers</w:t>
      </w:r>
      <w:proofErr w:type="spellEnd"/>
      <w:r w:rsidRPr="00E126EF">
        <w:rPr>
          <w:rFonts w:eastAsiaTheme="minorHAnsi" w:cstheme="minorBidi"/>
          <w:szCs w:val="22"/>
        </w:rPr>
        <w:t xml:space="preserve"> L, </w:t>
      </w:r>
      <w:proofErr w:type="spellStart"/>
      <w:r w:rsidRPr="00E126EF">
        <w:rPr>
          <w:rFonts w:eastAsiaTheme="minorHAnsi" w:cstheme="minorBidi"/>
          <w:szCs w:val="22"/>
        </w:rPr>
        <w:t>Harbich</w:t>
      </w:r>
      <w:proofErr w:type="spellEnd"/>
      <w:r w:rsidRPr="00E126EF">
        <w:rPr>
          <w:rFonts w:eastAsiaTheme="minorHAnsi" w:cstheme="minorBidi"/>
          <w:szCs w:val="22"/>
        </w:rPr>
        <w:t xml:space="preserve"> D, Schmid B, Lucassen PJ, Wagner KV, Schmidt MV, Hartmann J. Depletion of FKBP51 in female mice shapes HPA axis activity.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2014; </w:t>
      </w:r>
      <w:proofErr w:type="gramStart"/>
      <w:r w:rsidRPr="00E126EF">
        <w:rPr>
          <w:rFonts w:eastAsiaTheme="minorHAnsi" w:cstheme="minorBidi"/>
          <w:szCs w:val="22"/>
        </w:rPr>
        <w:t>9:e</w:t>
      </w:r>
      <w:proofErr w:type="gramEnd"/>
      <w:r w:rsidRPr="00E126EF">
        <w:rPr>
          <w:rFonts w:eastAsiaTheme="minorHAnsi" w:cstheme="minorBidi"/>
          <w:szCs w:val="22"/>
        </w:rPr>
        <w:t>95796</w:t>
      </w:r>
    </w:p>
    <w:p w14:paraId="630269D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313.</w:t>
      </w:r>
      <w:r w:rsidRPr="00E126EF">
        <w:rPr>
          <w:rFonts w:eastAsiaTheme="minorHAnsi" w:cstheme="minorBidi"/>
          <w:szCs w:val="22"/>
        </w:rPr>
        <w:tab/>
      </w:r>
      <w:proofErr w:type="spellStart"/>
      <w:r w:rsidRPr="00E126EF">
        <w:rPr>
          <w:rFonts w:eastAsiaTheme="minorHAnsi" w:cstheme="minorBidi"/>
          <w:szCs w:val="22"/>
        </w:rPr>
        <w:t>Stohs</w:t>
      </w:r>
      <w:proofErr w:type="spellEnd"/>
      <w:r w:rsidRPr="00E126EF">
        <w:rPr>
          <w:rFonts w:eastAsiaTheme="minorHAnsi" w:cstheme="minorBidi"/>
          <w:szCs w:val="22"/>
        </w:rPr>
        <w:t xml:space="preserve"> SJ, Abbott BD, Lin FH, Birnbaum LS. Induction of </w:t>
      </w:r>
      <w:proofErr w:type="spellStart"/>
      <w:r w:rsidRPr="00E126EF">
        <w:rPr>
          <w:rFonts w:eastAsiaTheme="minorHAnsi" w:cstheme="minorBidi"/>
          <w:szCs w:val="22"/>
        </w:rPr>
        <w:t>ethoxyresorufin</w:t>
      </w:r>
      <w:proofErr w:type="spellEnd"/>
      <w:r w:rsidRPr="00E126EF">
        <w:rPr>
          <w:rFonts w:eastAsiaTheme="minorHAnsi" w:cstheme="minorBidi"/>
          <w:szCs w:val="22"/>
        </w:rPr>
        <w:t>-O-</w:t>
      </w:r>
      <w:proofErr w:type="spellStart"/>
      <w:r w:rsidRPr="00E126EF">
        <w:rPr>
          <w:rFonts w:eastAsiaTheme="minorHAnsi" w:cstheme="minorBidi"/>
          <w:szCs w:val="22"/>
        </w:rPr>
        <w:t>deethylase</w:t>
      </w:r>
      <w:proofErr w:type="spellEnd"/>
      <w:r w:rsidRPr="00E126EF">
        <w:rPr>
          <w:rFonts w:eastAsiaTheme="minorHAnsi" w:cstheme="minorBidi"/>
          <w:szCs w:val="22"/>
        </w:rPr>
        <w:t xml:space="preserve"> and inhibition of glucocorticoid receptor binding in skin and liver of haired and hairless HRS/J mice by topically applied 2,3,7,8-tetrachlorodibenzo-p-dioxin. Toxicology 1990; 65:123-136</w:t>
      </w:r>
    </w:p>
    <w:p w14:paraId="6EA3521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314.</w:t>
      </w:r>
      <w:r w:rsidRPr="00E126EF">
        <w:rPr>
          <w:rFonts w:eastAsiaTheme="minorHAnsi" w:cstheme="minorBidi"/>
          <w:szCs w:val="22"/>
        </w:rPr>
        <w:tab/>
      </w:r>
      <w:proofErr w:type="spellStart"/>
      <w:r w:rsidRPr="00E126EF">
        <w:rPr>
          <w:rFonts w:eastAsiaTheme="minorHAnsi" w:cstheme="minorBidi"/>
          <w:szCs w:val="22"/>
        </w:rPr>
        <w:t>Sunahara</w:t>
      </w:r>
      <w:proofErr w:type="spellEnd"/>
      <w:r w:rsidRPr="00E126EF">
        <w:rPr>
          <w:rFonts w:eastAsiaTheme="minorHAnsi" w:cstheme="minorBidi"/>
          <w:szCs w:val="22"/>
        </w:rPr>
        <w:t xml:space="preserve"> GI, </w:t>
      </w:r>
      <w:proofErr w:type="spellStart"/>
      <w:r w:rsidRPr="00E126EF">
        <w:rPr>
          <w:rFonts w:eastAsiaTheme="minorHAnsi" w:cstheme="minorBidi"/>
          <w:szCs w:val="22"/>
        </w:rPr>
        <w:t>Lucier</w:t>
      </w:r>
      <w:proofErr w:type="spellEnd"/>
      <w:r w:rsidRPr="00E126EF">
        <w:rPr>
          <w:rFonts w:eastAsiaTheme="minorHAnsi" w:cstheme="minorBidi"/>
          <w:szCs w:val="22"/>
        </w:rPr>
        <w:t xml:space="preserve"> GW, McCoy Z, </w:t>
      </w:r>
      <w:proofErr w:type="spellStart"/>
      <w:r w:rsidRPr="00E126EF">
        <w:rPr>
          <w:rFonts w:eastAsiaTheme="minorHAnsi" w:cstheme="minorBidi"/>
          <w:szCs w:val="22"/>
        </w:rPr>
        <w:t>Bresnick</w:t>
      </w:r>
      <w:proofErr w:type="spellEnd"/>
      <w:r w:rsidRPr="00E126EF">
        <w:rPr>
          <w:rFonts w:eastAsiaTheme="minorHAnsi" w:cstheme="minorBidi"/>
          <w:szCs w:val="22"/>
        </w:rPr>
        <w:t xml:space="preserve"> EH, Sanchez ER, Nelson KG. Characterization of 2,3,7,8-tetrachlorodibenzo-p-dioxin-mediated decreases in dexamethasone binding to rat hepatic cytosolic glucocorticoid receptor. Mol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1989; 36:239-247</w:t>
      </w:r>
    </w:p>
    <w:p w14:paraId="0A9044C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315.</w:t>
      </w:r>
      <w:r w:rsidRPr="00E126EF">
        <w:rPr>
          <w:rFonts w:eastAsiaTheme="minorHAnsi" w:cstheme="minorBidi"/>
          <w:szCs w:val="22"/>
        </w:rPr>
        <w:tab/>
        <w:t xml:space="preserve">Brake PB, Zhang L, </w:t>
      </w:r>
      <w:proofErr w:type="spellStart"/>
      <w:r w:rsidRPr="00E126EF">
        <w:rPr>
          <w:rFonts w:eastAsiaTheme="minorHAnsi" w:cstheme="minorBidi"/>
          <w:szCs w:val="22"/>
        </w:rPr>
        <w:t>Jefcoate</w:t>
      </w:r>
      <w:proofErr w:type="spellEnd"/>
      <w:r w:rsidRPr="00E126EF">
        <w:rPr>
          <w:rFonts w:eastAsiaTheme="minorHAnsi" w:cstheme="minorBidi"/>
          <w:szCs w:val="22"/>
        </w:rPr>
        <w:t xml:space="preserve"> CR. Aryl hydrocarbon receptor regulation of cytochrome P4501B1 in rat mammary fibroblasts: evidence for transcriptional repression by glucocorticoids. Mol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1998; 54:825-833</w:t>
      </w:r>
    </w:p>
    <w:p w14:paraId="5BAB174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316.</w:t>
      </w:r>
      <w:r w:rsidRPr="00E126EF">
        <w:rPr>
          <w:rFonts w:eastAsiaTheme="minorHAnsi" w:cstheme="minorBidi"/>
          <w:szCs w:val="22"/>
        </w:rPr>
        <w:tab/>
        <w:t xml:space="preserve">Czar MJ, </w:t>
      </w:r>
      <w:proofErr w:type="spellStart"/>
      <w:r w:rsidRPr="00E126EF">
        <w:rPr>
          <w:rFonts w:eastAsiaTheme="minorHAnsi" w:cstheme="minorBidi"/>
          <w:szCs w:val="22"/>
        </w:rPr>
        <w:t>Galigniana</w:t>
      </w:r>
      <w:proofErr w:type="spellEnd"/>
      <w:r w:rsidRPr="00E126EF">
        <w:rPr>
          <w:rFonts w:eastAsiaTheme="minorHAnsi" w:cstheme="minorBidi"/>
          <w:szCs w:val="22"/>
        </w:rPr>
        <w:t xml:space="preserve"> MD, Silverstein AM, Pratt WB. Geldanamycin, a heat shock protein 90-binding benzoquinone ansamycin, inhibits steroid-dependent translocation of the glucocorticoid receptor from the cytoplasm to the nucleus. Biochemistry 1997; 36:7776-7785</w:t>
      </w:r>
    </w:p>
    <w:p w14:paraId="4DA9C7B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317.</w:t>
      </w:r>
      <w:r w:rsidRPr="00E126EF">
        <w:rPr>
          <w:rFonts w:eastAsiaTheme="minorHAnsi" w:cstheme="minorBidi"/>
          <w:szCs w:val="22"/>
        </w:rPr>
        <w:tab/>
        <w:t xml:space="preserve">Makino Y, Okamoto K, Yoshikawa N, </w:t>
      </w:r>
      <w:proofErr w:type="spellStart"/>
      <w:r w:rsidRPr="00E126EF">
        <w:rPr>
          <w:rFonts w:eastAsiaTheme="minorHAnsi" w:cstheme="minorBidi"/>
          <w:szCs w:val="22"/>
        </w:rPr>
        <w:t>Aoshima</w:t>
      </w:r>
      <w:proofErr w:type="spellEnd"/>
      <w:r w:rsidRPr="00E126EF">
        <w:rPr>
          <w:rFonts w:eastAsiaTheme="minorHAnsi" w:cstheme="minorBidi"/>
          <w:szCs w:val="22"/>
        </w:rPr>
        <w:t xml:space="preserve"> M, </w:t>
      </w:r>
      <w:proofErr w:type="spellStart"/>
      <w:r w:rsidRPr="00E126EF">
        <w:rPr>
          <w:rFonts w:eastAsiaTheme="minorHAnsi" w:cstheme="minorBidi"/>
          <w:szCs w:val="22"/>
        </w:rPr>
        <w:t>Hirota</w:t>
      </w:r>
      <w:proofErr w:type="spellEnd"/>
      <w:r w:rsidRPr="00E126EF">
        <w:rPr>
          <w:rFonts w:eastAsiaTheme="minorHAnsi" w:cstheme="minorBidi"/>
          <w:szCs w:val="22"/>
        </w:rPr>
        <w:t xml:space="preserve"> K, </w:t>
      </w:r>
      <w:proofErr w:type="spellStart"/>
      <w:r w:rsidRPr="00E126EF">
        <w:rPr>
          <w:rFonts w:eastAsiaTheme="minorHAnsi" w:cstheme="minorBidi"/>
          <w:szCs w:val="22"/>
        </w:rPr>
        <w:t>Yodoi</w:t>
      </w:r>
      <w:proofErr w:type="spellEnd"/>
      <w:r w:rsidRPr="00E126EF">
        <w:rPr>
          <w:rFonts w:eastAsiaTheme="minorHAnsi" w:cstheme="minorBidi"/>
          <w:szCs w:val="22"/>
        </w:rPr>
        <w:t xml:space="preserve"> J, </w:t>
      </w:r>
      <w:proofErr w:type="spellStart"/>
      <w:r w:rsidRPr="00E126EF">
        <w:rPr>
          <w:rFonts w:eastAsiaTheme="minorHAnsi" w:cstheme="minorBidi"/>
          <w:szCs w:val="22"/>
        </w:rPr>
        <w:t>Umesono</w:t>
      </w:r>
      <w:proofErr w:type="spellEnd"/>
      <w:r w:rsidRPr="00E126EF">
        <w:rPr>
          <w:rFonts w:eastAsiaTheme="minorHAnsi" w:cstheme="minorBidi"/>
          <w:szCs w:val="22"/>
        </w:rPr>
        <w:t xml:space="preserve"> K, Makino I, Tanaka H. Thioredoxin: a redox-regulating cellular cofactor for glucocorticoid hormone action. Cross talk between endocrine control of stress response and cellular antioxidant defense system. J Clin Invest 1996; 98:2469-2477</w:t>
      </w:r>
    </w:p>
    <w:p w14:paraId="056013D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318.</w:t>
      </w:r>
      <w:r w:rsidRPr="00E126EF">
        <w:rPr>
          <w:rFonts w:eastAsiaTheme="minorHAnsi" w:cstheme="minorBidi"/>
          <w:szCs w:val="22"/>
        </w:rPr>
        <w:tab/>
        <w:t xml:space="preserve">Miura T, </w:t>
      </w:r>
      <w:proofErr w:type="spellStart"/>
      <w:r w:rsidRPr="00E126EF">
        <w:rPr>
          <w:rFonts w:eastAsiaTheme="minorHAnsi" w:cstheme="minorBidi"/>
          <w:szCs w:val="22"/>
        </w:rPr>
        <w:t>Ouchida</w:t>
      </w:r>
      <w:proofErr w:type="spellEnd"/>
      <w:r w:rsidRPr="00E126EF">
        <w:rPr>
          <w:rFonts w:eastAsiaTheme="minorHAnsi" w:cstheme="minorBidi"/>
          <w:szCs w:val="22"/>
        </w:rPr>
        <w:t xml:space="preserve"> R, Yoshikawa N, Okamoto K, Makino Y, Nakamura T, Morimoto C, Makino I, Tanaka H. Functional modulation of the glucocorticoid receptor and suppression of NF-kB-dependent transcription by </w:t>
      </w:r>
      <w:proofErr w:type="spellStart"/>
      <w:r w:rsidRPr="00E126EF">
        <w:rPr>
          <w:rFonts w:eastAsiaTheme="minorHAnsi" w:cstheme="minorBidi"/>
          <w:szCs w:val="22"/>
        </w:rPr>
        <w:t>ursodeoxycholic</w:t>
      </w:r>
      <w:proofErr w:type="spellEnd"/>
      <w:r w:rsidRPr="00E126EF">
        <w:rPr>
          <w:rFonts w:eastAsiaTheme="minorHAnsi" w:cstheme="minorBidi"/>
          <w:szCs w:val="22"/>
        </w:rPr>
        <w:t xml:space="preserve"> acid. J Biol Chem 2001; 276:47371-47378</w:t>
      </w:r>
    </w:p>
    <w:p w14:paraId="51E6272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319.</w:t>
      </w:r>
      <w:r w:rsidRPr="00E126EF">
        <w:rPr>
          <w:rFonts w:eastAsiaTheme="minorHAnsi" w:cstheme="minorBidi"/>
          <w:szCs w:val="22"/>
        </w:rPr>
        <w:tab/>
        <w:t xml:space="preserve">Takahashi S, </w:t>
      </w:r>
      <w:proofErr w:type="spellStart"/>
      <w:r w:rsidRPr="00E126EF">
        <w:rPr>
          <w:rFonts w:eastAsiaTheme="minorHAnsi" w:cstheme="minorBidi"/>
          <w:szCs w:val="22"/>
        </w:rPr>
        <w:t>Wakui</w:t>
      </w:r>
      <w:proofErr w:type="spellEnd"/>
      <w:r w:rsidRPr="00E126EF">
        <w:rPr>
          <w:rFonts w:eastAsiaTheme="minorHAnsi" w:cstheme="minorBidi"/>
          <w:szCs w:val="22"/>
        </w:rPr>
        <w:t xml:space="preserve"> H, Gustafsson JA, </w:t>
      </w:r>
      <w:proofErr w:type="spellStart"/>
      <w:r w:rsidRPr="00E126EF">
        <w:rPr>
          <w:rFonts w:eastAsiaTheme="minorHAnsi" w:cstheme="minorBidi"/>
          <w:szCs w:val="22"/>
        </w:rPr>
        <w:t>Zilliacus</w:t>
      </w:r>
      <w:proofErr w:type="spellEnd"/>
      <w:r w:rsidRPr="00E126EF">
        <w:rPr>
          <w:rFonts w:eastAsiaTheme="minorHAnsi" w:cstheme="minorBidi"/>
          <w:szCs w:val="22"/>
        </w:rPr>
        <w:t xml:space="preserve"> J, Itoh H. Functional interaction of the immunosuppressant </w:t>
      </w:r>
      <w:proofErr w:type="spellStart"/>
      <w:r w:rsidRPr="00E126EF">
        <w:rPr>
          <w:rFonts w:eastAsiaTheme="minorHAnsi" w:cstheme="minorBidi"/>
          <w:szCs w:val="22"/>
        </w:rPr>
        <w:t>mizoribine</w:t>
      </w:r>
      <w:proofErr w:type="spellEnd"/>
      <w:r w:rsidRPr="00E126EF">
        <w:rPr>
          <w:rFonts w:eastAsiaTheme="minorHAnsi" w:cstheme="minorBidi"/>
          <w:szCs w:val="22"/>
        </w:rPr>
        <w:t xml:space="preserve"> with the 14-3-3 protein.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2000; 274:87-92</w:t>
      </w:r>
    </w:p>
    <w:p w14:paraId="0579BD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320.</w:t>
      </w:r>
      <w:r w:rsidRPr="00E126EF">
        <w:rPr>
          <w:rFonts w:eastAsiaTheme="minorHAnsi" w:cstheme="minorBidi"/>
          <w:szCs w:val="22"/>
        </w:rPr>
        <w:tab/>
      </w:r>
      <w:proofErr w:type="spellStart"/>
      <w:r w:rsidRPr="00E126EF">
        <w:rPr>
          <w:rFonts w:eastAsiaTheme="minorHAnsi" w:cstheme="minorBidi"/>
          <w:szCs w:val="22"/>
        </w:rPr>
        <w:t>Mattick</w:t>
      </w:r>
      <w:proofErr w:type="spellEnd"/>
      <w:r w:rsidRPr="00E126EF">
        <w:rPr>
          <w:rFonts w:eastAsiaTheme="minorHAnsi" w:cstheme="minorBidi"/>
          <w:szCs w:val="22"/>
        </w:rPr>
        <w:t xml:space="preserve"> JS. The functional genomics of noncoding RNA. Science 2005; 309:1527-1528</w:t>
      </w:r>
    </w:p>
    <w:p w14:paraId="2A72E36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321.</w:t>
      </w:r>
      <w:r w:rsidRPr="00E126EF">
        <w:rPr>
          <w:rFonts w:eastAsiaTheme="minorHAnsi" w:cstheme="minorBidi"/>
          <w:szCs w:val="22"/>
        </w:rPr>
        <w:tab/>
        <w:t xml:space="preserve">Katayama S, </w:t>
      </w:r>
      <w:proofErr w:type="spellStart"/>
      <w:r w:rsidRPr="00E126EF">
        <w:rPr>
          <w:rFonts w:eastAsiaTheme="minorHAnsi" w:cstheme="minorBidi"/>
          <w:szCs w:val="22"/>
        </w:rPr>
        <w:t>Tomaru</w:t>
      </w:r>
      <w:proofErr w:type="spellEnd"/>
      <w:r w:rsidRPr="00E126EF">
        <w:rPr>
          <w:rFonts w:eastAsiaTheme="minorHAnsi" w:cstheme="minorBidi"/>
          <w:szCs w:val="22"/>
        </w:rPr>
        <w:t xml:space="preserve"> Y, </w:t>
      </w:r>
      <w:proofErr w:type="spellStart"/>
      <w:r w:rsidRPr="00E126EF">
        <w:rPr>
          <w:rFonts w:eastAsiaTheme="minorHAnsi" w:cstheme="minorBidi"/>
          <w:szCs w:val="22"/>
        </w:rPr>
        <w:t>Kasukawa</w:t>
      </w:r>
      <w:proofErr w:type="spellEnd"/>
      <w:r w:rsidRPr="00E126EF">
        <w:rPr>
          <w:rFonts w:eastAsiaTheme="minorHAnsi" w:cstheme="minorBidi"/>
          <w:szCs w:val="22"/>
        </w:rPr>
        <w:t xml:space="preserve"> T, </w:t>
      </w:r>
      <w:proofErr w:type="spellStart"/>
      <w:r w:rsidRPr="00E126EF">
        <w:rPr>
          <w:rFonts w:eastAsiaTheme="minorHAnsi" w:cstheme="minorBidi"/>
          <w:szCs w:val="22"/>
        </w:rPr>
        <w:t>Waki</w:t>
      </w:r>
      <w:proofErr w:type="spellEnd"/>
      <w:r w:rsidRPr="00E126EF">
        <w:rPr>
          <w:rFonts w:eastAsiaTheme="minorHAnsi" w:cstheme="minorBidi"/>
          <w:szCs w:val="22"/>
        </w:rPr>
        <w:t xml:space="preserve"> K, Nakanishi M, Nakamura M, Nishida H, Yap CC, Suzuki M, Kawai J, Suzuki H, </w:t>
      </w:r>
      <w:proofErr w:type="spellStart"/>
      <w:r w:rsidRPr="00E126EF">
        <w:rPr>
          <w:rFonts w:eastAsiaTheme="minorHAnsi" w:cstheme="minorBidi"/>
          <w:szCs w:val="22"/>
        </w:rPr>
        <w:t>Carninci</w:t>
      </w:r>
      <w:proofErr w:type="spellEnd"/>
      <w:r w:rsidRPr="00E126EF">
        <w:rPr>
          <w:rFonts w:eastAsiaTheme="minorHAnsi" w:cstheme="minorBidi"/>
          <w:szCs w:val="22"/>
        </w:rPr>
        <w:t xml:space="preserve"> P, </w:t>
      </w:r>
      <w:proofErr w:type="spellStart"/>
      <w:r w:rsidRPr="00E126EF">
        <w:rPr>
          <w:rFonts w:eastAsiaTheme="minorHAnsi" w:cstheme="minorBidi"/>
          <w:szCs w:val="22"/>
        </w:rPr>
        <w:t>Hayashizaki</w:t>
      </w:r>
      <w:proofErr w:type="spellEnd"/>
      <w:r w:rsidRPr="00E126EF">
        <w:rPr>
          <w:rFonts w:eastAsiaTheme="minorHAnsi" w:cstheme="minorBidi"/>
          <w:szCs w:val="22"/>
        </w:rPr>
        <w:t xml:space="preserve"> Y, Wells C, Frith M, </w:t>
      </w:r>
      <w:proofErr w:type="spellStart"/>
      <w:r w:rsidRPr="00E126EF">
        <w:rPr>
          <w:rFonts w:eastAsiaTheme="minorHAnsi" w:cstheme="minorBidi"/>
          <w:szCs w:val="22"/>
        </w:rPr>
        <w:t>Ravasi</w:t>
      </w:r>
      <w:proofErr w:type="spellEnd"/>
      <w:r w:rsidRPr="00E126EF">
        <w:rPr>
          <w:rFonts w:eastAsiaTheme="minorHAnsi" w:cstheme="minorBidi"/>
          <w:szCs w:val="22"/>
        </w:rPr>
        <w:t xml:space="preserve"> T, Pang KC, Hallinan J, </w:t>
      </w:r>
      <w:proofErr w:type="spellStart"/>
      <w:r w:rsidRPr="00E126EF">
        <w:rPr>
          <w:rFonts w:eastAsiaTheme="minorHAnsi" w:cstheme="minorBidi"/>
          <w:szCs w:val="22"/>
        </w:rPr>
        <w:t>Mattick</w:t>
      </w:r>
      <w:proofErr w:type="spellEnd"/>
      <w:r w:rsidRPr="00E126EF">
        <w:rPr>
          <w:rFonts w:eastAsiaTheme="minorHAnsi" w:cstheme="minorBidi"/>
          <w:szCs w:val="22"/>
        </w:rPr>
        <w:t xml:space="preserve"> J, Hume DA, </w:t>
      </w:r>
      <w:proofErr w:type="spellStart"/>
      <w:r w:rsidRPr="00E126EF">
        <w:rPr>
          <w:rFonts w:eastAsiaTheme="minorHAnsi" w:cstheme="minorBidi"/>
          <w:szCs w:val="22"/>
        </w:rPr>
        <w:t>Lipovich</w:t>
      </w:r>
      <w:proofErr w:type="spellEnd"/>
      <w:r w:rsidRPr="00E126EF">
        <w:rPr>
          <w:rFonts w:eastAsiaTheme="minorHAnsi" w:cstheme="minorBidi"/>
          <w:szCs w:val="22"/>
        </w:rPr>
        <w:t xml:space="preserve"> L, </w:t>
      </w:r>
      <w:proofErr w:type="spellStart"/>
      <w:r w:rsidRPr="00E126EF">
        <w:rPr>
          <w:rFonts w:eastAsiaTheme="minorHAnsi" w:cstheme="minorBidi"/>
          <w:szCs w:val="22"/>
        </w:rPr>
        <w:t>Batalov</w:t>
      </w:r>
      <w:proofErr w:type="spellEnd"/>
      <w:r w:rsidRPr="00E126EF">
        <w:rPr>
          <w:rFonts w:eastAsiaTheme="minorHAnsi" w:cstheme="minorBidi"/>
          <w:szCs w:val="22"/>
        </w:rPr>
        <w:t xml:space="preserve"> S, Engstrom PG, Mizuno Y, </w:t>
      </w:r>
      <w:proofErr w:type="spellStart"/>
      <w:r w:rsidRPr="00E126EF">
        <w:rPr>
          <w:rFonts w:eastAsiaTheme="minorHAnsi" w:cstheme="minorBidi"/>
          <w:szCs w:val="22"/>
        </w:rPr>
        <w:t>Faghihi</w:t>
      </w:r>
      <w:proofErr w:type="spellEnd"/>
      <w:r w:rsidRPr="00E126EF">
        <w:rPr>
          <w:rFonts w:eastAsiaTheme="minorHAnsi" w:cstheme="minorBidi"/>
          <w:szCs w:val="22"/>
        </w:rPr>
        <w:t xml:space="preserve"> MA, </w:t>
      </w:r>
      <w:proofErr w:type="spellStart"/>
      <w:r w:rsidRPr="00E126EF">
        <w:rPr>
          <w:rFonts w:eastAsiaTheme="minorHAnsi" w:cstheme="minorBidi"/>
          <w:szCs w:val="22"/>
        </w:rPr>
        <w:t>Sandelin</w:t>
      </w:r>
      <w:proofErr w:type="spellEnd"/>
      <w:r w:rsidRPr="00E126EF">
        <w:rPr>
          <w:rFonts w:eastAsiaTheme="minorHAnsi" w:cstheme="minorBidi"/>
          <w:szCs w:val="22"/>
        </w:rPr>
        <w:t xml:space="preserve"> A, Chalk AM, </w:t>
      </w:r>
      <w:proofErr w:type="spellStart"/>
      <w:r w:rsidRPr="00E126EF">
        <w:rPr>
          <w:rFonts w:eastAsiaTheme="minorHAnsi" w:cstheme="minorBidi"/>
          <w:szCs w:val="22"/>
        </w:rPr>
        <w:t>Mottagui-Tabar</w:t>
      </w:r>
      <w:proofErr w:type="spellEnd"/>
      <w:r w:rsidRPr="00E126EF">
        <w:rPr>
          <w:rFonts w:eastAsiaTheme="minorHAnsi" w:cstheme="minorBidi"/>
          <w:szCs w:val="22"/>
        </w:rPr>
        <w:t xml:space="preserve"> S, Liang Z, Lenhard B, Wahlestedt C. Antisense transcription in the mammalian transcriptome. Science 2005; 309:1564-1566</w:t>
      </w:r>
    </w:p>
    <w:p w14:paraId="148B757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322.</w:t>
      </w:r>
      <w:r w:rsidRPr="00E126EF">
        <w:rPr>
          <w:rFonts w:eastAsiaTheme="minorHAnsi" w:cstheme="minorBidi"/>
          <w:szCs w:val="22"/>
        </w:rPr>
        <w:tab/>
        <w:t xml:space="preserve">Zhang R, Zhang L, Yu W. Genome-wide expression of non-coding RNA and global chromatin modification. Acta </w:t>
      </w:r>
      <w:proofErr w:type="spellStart"/>
      <w:r w:rsidRPr="00E126EF">
        <w:rPr>
          <w:rFonts w:eastAsiaTheme="minorHAnsi" w:cstheme="minorBidi"/>
          <w:szCs w:val="22"/>
        </w:rPr>
        <w:t>Biochim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Sin (Shanghai) 2012; 44:40-47</w:t>
      </w:r>
    </w:p>
    <w:p w14:paraId="4524FCF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323.</w:t>
      </w:r>
      <w:r w:rsidRPr="00E126EF">
        <w:rPr>
          <w:rFonts w:eastAsiaTheme="minorHAnsi" w:cstheme="minorBidi"/>
          <w:szCs w:val="22"/>
        </w:rPr>
        <w:tab/>
        <w:t xml:space="preserve">Mercer TR, Wilhelm D, Dinger ME, </w:t>
      </w:r>
      <w:proofErr w:type="spellStart"/>
      <w:r w:rsidRPr="00E126EF">
        <w:rPr>
          <w:rFonts w:eastAsiaTheme="minorHAnsi" w:cstheme="minorBidi"/>
          <w:szCs w:val="22"/>
        </w:rPr>
        <w:t>Solda</w:t>
      </w:r>
      <w:proofErr w:type="spellEnd"/>
      <w:r w:rsidRPr="00E126EF">
        <w:rPr>
          <w:rFonts w:eastAsiaTheme="minorHAnsi" w:cstheme="minorBidi"/>
          <w:szCs w:val="22"/>
        </w:rPr>
        <w:t xml:space="preserve"> G, </w:t>
      </w:r>
      <w:proofErr w:type="spellStart"/>
      <w:r w:rsidRPr="00E126EF">
        <w:rPr>
          <w:rFonts w:eastAsiaTheme="minorHAnsi" w:cstheme="minorBidi"/>
          <w:szCs w:val="22"/>
        </w:rPr>
        <w:t>Korbie</w:t>
      </w:r>
      <w:proofErr w:type="spellEnd"/>
      <w:r w:rsidRPr="00E126EF">
        <w:rPr>
          <w:rFonts w:eastAsiaTheme="minorHAnsi" w:cstheme="minorBidi"/>
          <w:szCs w:val="22"/>
        </w:rPr>
        <w:t xml:space="preserve"> DJ, Glazov EA, Truong V, </w:t>
      </w:r>
      <w:proofErr w:type="spellStart"/>
      <w:r w:rsidRPr="00E126EF">
        <w:rPr>
          <w:rFonts w:eastAsiaTheme="minorHAnsi" w:cstheme="minorBidi"/>
          <w:szCs w:val="22"/>
        </w:rPr>
        <w:t>Schwenke</w:t>
      </w:r>
      <w:proofErr w:type="spellEnd"/>
      <w:r w:rsidRPr="00E126EF">
        <w:rPr>
          <w:rFonts w:eastAsiaTheme="minorHAnsi" w:cstheme="minorBidi"/>
          <w:szCs w:val="22"/>
        </w:rPr>
        <w:t xml:space="preserve"> M, Simons C, Matthaei KI, Saint R, Koopman P, </w:t>
      </w:r>
      <w:proofErr w:type="spellStart"/>
      <w:r w:rsidRPr="00E126EF">
        <w:rPr>
          <w:rFonts w:eastAsiaTheme="minorHAnsi" w:cstheme="minorBidi"/>
          <w:szCs w:val="22"/>
        </w:rPr>
        <w:t>Mattick</w:t>
      </w:r>
      <w:proofErr w:type="spellEnd"/>
      <w:r w:rsidRPr="00E126EF">
        <w:rPr>
          <w:rFonts w:eastAsiaTheme="minorHAnsi" w:cstheme="minorBidi"/>
          <w:szCs w:val="22"/>
        </w:rPr>
        <w:t xml:space="preserve"> JS. Expression of distinct RNAs from 3' untranslated regions. Nucleic Acids Res 2011; 39:2393-2403</w:t>
      </w:r>
    </w:p>
    <w:p w14:paraId="3708665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324.</w:t>
      </w:r>
      <w:r w:rsidRPr="00E126EF">
        <w:rPr>
          <w:rFonts w:eastAsiaTheme="minorHAnsi" w:cstheme="minorBidi"/>
          <w:szCs w:val="22"/>
        </w:rPr>
        <w:tab/>
      </w:r>
      <w:proofErr w:type="spellStart"/>
      <w:r w:rsidRPr="00E126EF">
        <w:rPr>
          <w:rFonts w:eastAsiaTheme="minorHAnsi" w:cstheme="minorBidi"/>
          <w:szCs w:val="22"/>
        </w:rPr>
        <w:t>Mendell</w:t>
      </w:r>
      <w:proofErr w:type="spellEnd"/>
      <w:r w:rsidRPr="00E126EF">
        <w:rPr>
          <w:rFonts w:eastAsiaTheme="minorHAnsi" w:cstheme="minorBidi"/>
          <w:szCs w:val="22"/>
        </w:rPr>
        <w:t xml:space="preserve"> JT, Olson EN. MicroRNAs in stress signaling and human disease. Cell 2012; 148:1172-1187</w:t>
      </w:r>
    </w:p>
    <w:p w14:paraId="584A172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325.</w:t>
      </w:r>
      <w:r w:rsidRPr="00E126EF">
        <w:rPr>
          <w:rFonts w:eastAsiaTheme="minorHAnsi" w:cstheme="minorBidi"/>
          <w:szCs w:val="22"/>
        </w:rPr>
        <w:tab/>
      </w:r>
      <w:proofErr w:type="spellStart"/>
      <w:r w:rsidRPr="00E126EF">
        <w:rPr>
          <w:rFonts w:eastAsiaTheme="minorHAnsi" w:cstheme="minorBidi"/>
          <w:szCs w:val="22"/>
        </w:rPr>
        <w:t>Guay</w:t>
      </w:r>
      <w:proofErr w:type="spellEnd"/>
      <w:r w:rsidRPr="00E126EF">
        <w:rPr>
          <w:rFonts w:eastAsiaTheme="minorHAnsi" w:cstheme="minorBidi"/>
          <w:szCs w:val="22"/>
        </w:rPr>
        <w:t xml:space="preserve"> C, </w:t>
      </w:r>
      <w:proofErr w:type="spellStart"/>
      <w:r w:rsidRPr="00E126EF">
        <w:rPr>
          <w:rFonts w:eastAsiaTheme="minorHAnsi" w:cstheme="minorBidi"/>
          <w:szCs w:val="22"/>
        </w:rPr>
        <w:t>Regazzi</w:t>
      </w:r>
      <w:proofErr w:type="spellEnd"/>
      <w:r w:rsidRPr="00E126EF">
        <w:rPr>
          <w:rFonts w:eastAsiaTheme="minorHAnsi" w:cstheme="minorBidi"/>
          <w:szCs w:val="22"/>
        </w:rPr>
        <w:t xml:space="preserve"> R. Circulating microRNAs as novel biomarkers for diabetes mellitus. Nat Rev Endocrinol 2013; 9:513-521</w:t>
      </w:r>
    </w:p>
    <w:p w14:paraId="2D680CD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326.</w:t>
      </w:r>
      <w:r w:rsidRPr="00E126EF">
        <w:rPr>
          <w:rFonts w:eastAsiaTheme="minorHAnsi" w:cstheme="minorBidi"/>
          <w:szCs w:val="22"/>
        </w:rPr>
        <w:tab/>
      </w:r>
      <w:proofErr w:type="spellStart"/>
      <w:r w:rsidRPr="00E126EF">
        <w:rPr>
          <w:rFonts w:eastAsiaTheme="minorHAnsi" w:cstheme="minorBidi"/>
          <w:szCs w:val="22"/>
        </w:rPr>
        <w:t>Thomou</w:t>
      </w:r>
      <w:proofErr w:type="spellEnd"/>
      <w:r w:rsidRPr="00E126EF">
        <w:rPr>
          <w:rFonts w:eastAsiaTheme="minorHAnsi" w:cstheme="minorBidi"/>
          <w:szCs w:val="22"/>
        </w:rPr>
        <w:t xml:space="preserve"> T, Mori MA, Dreyfuss JM, </w:t>
      </w:r>
      <w:proofErr w:type="spellStart"/>
      <w:r w:rsidRPr="00E126EF">
        <w:rPr>
          <w:rFonts w:eastAsiaTheme="minorHAnsi" w:cstheme="minorBidi"/>
          <w:szCs w:val="22"/>
        </w:rPr>
        <w:t>Konishi</w:t>
      </w:r>
      <w:proofErr w:type="spellEnd"/>
      <w:r w:rsidRPr="00E126EF">
        <w:rPr>
          <w:rFonts w:eastAsiaTheme="minorHAnsi" w:cstheme="minorBidi"/>
          <w:szCs w:val="22"/>
        </w:rPr>
        <w:t xml:space="preserve"> M, </w:t>
      </w:r>
      <w:proofErr w:type="spellStart"/>
      <w:r w:rsidRPr="00E126EF">
        <w:rPr>
          <w:rFonts w:eastAsiaTheme="minorHAnsi" w:cstheme="minorBidi"/>
          <w:szCs w:val="22"/>
        </w:rPr>
        <w:t>Sakaguchi</w:t>
      </w:r>
      <w:proofErr w:type="spellEnd"/>
      <w:r w:rsidRPr="00E126EF">
        <w:rPr>
          <w:rFonts w:eastAsiaTheme="minorHAnsi" w:cstheme="minorBidi"/>
          <w:szCs w:val="22"/>
        </w:rPr>
        <w:t xml:space="preserve"> M, </w:t>
      </w:r>
      <w:proofErr w:type="spellStart"/>
      <w:r w:rsidRPr="00E126EF">
        <w:rPr>
          <w:rFonts w:eastAsiaTheme="minorHAnsi" w:cstheme="minorBidi"/>
          <w:szCs w:val="22"/>
        </w:rPr>
        <w:t>Wolfrum</w:t>
      </w:r>
      <w:proofErr w:type="spellEnd"/>
      <w:r w:rsidRPr="00E126EF">
        <w:rPr>
          <w:rFonts w:eastAsiaTheme="minorHAnsi" w:cstheme="minorBidi"/>
          <w:szCs w:val="22"/>
        </w:rPr>
        <w:t xml:space="preserve"> C, Rao TN, </w:t>
      </w:r>
      <w:proofErr w:type="spellStart"/>
      <w:r w:rsidRPr="00E126EF">
        <w:rPr>
          <w:rFonts w:eastAsiaTheme="minorHAnsi" w:cstheme="minorBidi"/>
          <w:szCs w:val="22"/>
        </w:rPr>
        <w:t>Winnay</w:t>
      </w:r>
      <w:proofErr w:type="spellEnd"/>
      <w:r w:rsidRPr="00E126EF">
        <w:rPr>
          <w:rFonts w:eastAsiaTheme="minorHAnsi" w:cstheme="minorBidi"/>
          <w:szCs w:val="22"/>
        </w:rPr>
        <w:t xml:space="preserve"> JN, Garcia-Martin R, Grinspoon SK, </w:t>
      </w:r>
      <w:proofErr w:type="spellStart"/>
      <w:r w:rsidRPr="00E126EF">
        <w:rPr>
          <w:rFonts w:eastAsiaTheme="minorHAnsi" w:cstheme="minorBidi"/>
          <w:szCs w:val="22"/>
        </w:rPr>
        <w:t>Gorden</w:t>
      </w:r>
      <w:proofErr w:type="spellEnd"/>
      <w:r w:rsidRPr="00E126EF">
        <w:rPr>
          <w:rFonts w:eastAsiaTheme="minorHAnsi" w:cstheme="minorBidi"/>
          <w:szCs w:val="22"/>
        </w:rPr>
        <w:t xml:space="preserve"> P, Kahn CR. Adipose-derived circulating miRNAs regulate gene expression in other tissues. Nature 2017; 542:450-455</w:t>
      </w:r>
    </w:p>
    <w:p w14:paraId="0BC05DE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327.</w:t>
      </w:r>
      <w:r w:rsidRPr="00E126EF">
        <w:rPr>
          <w:rFonts w:eastAsiaTheme="minorHAnsi" w:cstheme="minorBidi"/>
          <w:szCs w:val="22"/>
        </w:rPr>
        <w:tab/>
      </w:r>
      <w:proofErr w:type="spellStart"/>
      <w:r w:rsidRPr="00E126EF">
        <w:rPr>
          <w:rFonts w:eastAsiaTheme="minorHAnsi" w:cstheme="minorBidi"/>
          <w:szCs w:val="22"/>
        </w:rPr>
        <w:t>Riester</w:t>
      </w:r>
      <w:proofErr w:type="spellEnd"/>
      <w:r w:rsidRPr="00E126EF">
        <w:rPr>
          <w:rFonts w:eastAsiaTheme="minorHAnsi" w:cstheme="minorBidi"/>
          <w:szCs w:val="22"/>
        </w:rPr>
        <w:t xml:space="preserve"> A, </w:t>
      </w:r>
      <w:proofErr w:type="spellStart"/>
      <w:r w:rsidRPr="00E126EF">
        <w:rPr>
          <w:rFonts w:eastAsiaTheme="minorHAnsi" w:cstheme="minorBidi"/>
          <w:szCs w:val="22"/>
        </w:rPr>
        <w:t>Issler</w:t>
      </w:r>
      <w:proofErr w:type="spellEnd"/>
      <w:r w:rsidRPr="00E126EF">
        <w:rPr>
          <w:rFonts w:eastAsiaTheme="minorHAnsi" w:cstheme="minorBidi"/>
          <w:szCs w:val="22"/>
        </w:rPr>
        <w:t xml:space="preserve"> O, </w:t>
      </w:r>
      <w:proofErr w:type="spellStart"/>
      <w:r w:rsidRPr="00E126EF">
        <w:rPr>
          <w:rFonts w:eastAsiaTheme="minorHAnsi" w:cstheme="minorBidi"/>
          <w:szCs w:val="22"/>
        </w:rPr>
        <w:t>Spyroglou</w:t>
      </w:r>
      <w:proofErr w:type="spellEnd"/>
      <w:r w:rsidRPr="00E126EF">
        <w:rPr>
          <w:rFonts w:eastAsiaTheme="minorHAnsi" w:cstheme="minorBidi"/>
          <w:szCs w:val="22"/>
        </w:rPr>
        <w:t xml:space="preserve"> A, </w:t>
      </w:r>
      <w:proofErr w:type="spellStart"/>
      <w:r w:rsidRPr="00E126EF">
        <w:rPr>
          <w:rFonts w:eastAsiaTheme="minorHAnsi" w:cstheme="minorBidi"/>
          <w:szCs w:val="22"/>
        </w:rPr>
        <w:t>Rodrig</w:t>
      </w:r>
      <w:proofErr w:type="spellEnd"/>
      <w:r w:rsidRPr="00E126EF">
        <w:rPr>
          <w:rFonts w:eastAsiaTheme="minorHAnsi" w:cstheme="minorBidi"/>
          <w:szCs w:val="22"/>
        </w:rPr>
        <w:t xml:space="preserve"> SH, Chen A, </w:t>
      </w:r>
      <w:proofErr w:type="spellStart"/>
      <w:r w:rsidRPr="00E126EF">
        <w:rPr>
          <w:rFonts w:eastAsiaTheme="minorHAnsi" w:cstheme="minorBidi"/>
          <w:szCs w:val="22"/>
        </w:rPr>
        <w:t>Beuschlein</w:t>
      </w:r>
      <w:proofErr w:type="spellEnd"/>
      <w:r w:rsidRPr="00E126EF">
        <w:rPr>
          <w:rFonts w:eastAsiaTheme="minorHAnsi" w:cstheme="minorBidi"/>
          <w:szCs w:val="22"/>
        </w:rPr>
        <w:t xml:space="preserve"> F. ACTH-dependent regulation of microRNA as endogenous modulators of glucocorticoid receptor expression in the adrenal gland. Endocrinology 2012; 153:212-222</w:t>
      </w:r>
    </w:p>
    <w:p w14:paraId="6DDE642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328.</w:t>
      </w:r>
      <w:r w:rsidRPr="00E126EF">
        <w:rPr>
          <w:rFonts w:eastAsiaTheme="minorHAnsi" w:cstheme="minorBidi"/>
          <w:szCs w:val="22"/>
        </w:rPr>
        <w:tab/>
      </w:r>
      <w:proofErr w:type="spellStart"/>
      <w:r w:rsidRPr="00E126EF">
        <w:rPr>
          <w:rFonts w:eastAsiaTheme="minorHAnsi" w:cstheme="minorBidi"/>
          <w:szCs w:val="22"/>
        </w:rPr>
        <w:t>Lv</w:t>
      </w:r>
      <w:proofErr w:type="spellEnd"/>
      <w:r w:rsidRPr="00E126EF">
        <w:rPr>
          <w:rFonts w:eastAsiaTheme="minorHAnsi" w:cstheme="minorBidi"/>
          <w:szCs w:val="22"/>
        </w:rPr>
        <w:t xml:space="preserve"> M, Zhang X, Jia H, Li D, Zhang B, Zhang H, Hong M, Jiang T, Jiang Q, Lu J, Huang X, Huang B. An oncogenic role of miR-142-3p in human T-cell acute lymphoblastic leukemia (T-ALL) by targeting glucocorticoid receptor-a and cAMP/PKA pathways. Leukemia 2012; 26:769-777</w:t>
      </w:r>
    </w:p>
    <w:p w14:paraId="07B5A0E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329.</w:t>
      </w:r>
      <w:r w:rsidRPr="00E126EF">
        <w:rPr>
          <w:rFonts w:eastAsiaTheme="minorHAnsi" w:cstheme="minorBidi"/>
          <w:szCs w:val="22"/>
        </w:rPr>
        <w:tab/>
      </w:r>
      <w:proofErr w:type="spellStart"/>
      <w:r w:rsidRPr="00E126EF">
        <w:rPr>
          <w:rFonts w:eastAsiaTheme="minorHAnsi" w:cstheme="minorBidi"/>
          <w:szCs w:val="22"/>
        </w:rPr>
        <w:t>Ledderose</w:t>
      </w:r>
      <w:proofErr w:type="spellEnd"/>
      <w:r w:rsidRPr="00E126EF">
        <w:rPr>
          <w:rFonts w:eastAsiaTheme="minorHAnsi" w:cstheme="minorBidi"/>
          <w:szCs w:val="22"/>
        </w:rPr>
        <w:t xml:space="preserve"> C, </w:t>
      </w:r>
      <w:proofErr w:type="spellStart"/>
      <w:r w:rsidRPr="00E126EF">
        <w:rPr>
          <w:rFonts w:eastAsiaTheme="minorHAnsi" w:cstheme="minorBidi"/>
          <w:szCs w:val="22"/>
        </w:rPr>
        <w:t>Mohnle</w:t>
      </w:r>
      <w:proofErr w:type="spellEnd"/>
      <w:r w:rsidRPr="00E126EF">
        <w:rPr>
          <w:rFonts w:eastAsiaTheme="minorHAnsi" w:cstheme="minorBidi"/>
          <w:szCs w:val="22"/>
        </w:rPr>
        <w:t xml:space="preserve"> P, </w:t>
      </w:r>
      <w:proofErr w:type="spellStart"/>
      <w:r w:rsidRPr="00E126EF">
        <w:rPr>
          <w:rFonts w:eastAsiaTheme="minorHAnsi" w:cstheme="minorBidi"/>
          <w:szCs w:val="22"/>
        </w:rPr>
        <w:t>Limbeck</w:t>
      </w:r>
      <w:proofErr w:type="spellEnd"/>
      <w:r w:rsidRPr="00E126EF">
        <w:rPr>
          <w:rFonts w:eastAsiaTheme="minorHAnsi" w:cstheme="minorBidi"/>
          <w:szCs w:val="22"/>
        </w:rPr>
        <w:t xml:space="preserve"> E, Schutz S, Weis F, Rink J, </w:t>
      </w:r>
      <w:proofErr w:type="spellStart"/>
      <w:r w:rsidRPr="00E126EF">
        <w:rPr>
          <w:rFonts w:eastAsiaTheme="minorHAnsi" w:cstheme="minorBidi"/>
          <w:szCs w:val="22"/>
        </w:rPr>
        <w:t>Briegel</w:t>
      </w:r>
      <w:proofErr w:type="spellEnd"/>
      <w:r w:rsidRPr="00E126EF">
        <w:rPr>
          <w:rFonts w:eastAsiaTheme="minorHAnsi" w:cstheme="minorBidi"/>
          <w:szCs w:val="22"/>
        </w:rPr>
        <w:t xml:space="preserve"> J, Kreth S. Corticosteroid resistance in sepsis is influenced by microRNA-124-induced downregulation of glucocorticoid receptor-a. Crit Care Med 2012; 40:2745-2753</w:t>
      </w:r>
    </w:p>
    <w:p w14:paraId="5DE9E13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330.</w:t>
      </w:r>
      <w:r w:rsidRPr="00E126EF">
        <w:rPr>
          <w:rFonts w:eastAsiaTheme="minorHAnsi" w:cstheme="minorBidi"/>
          <w:szCs w:val="22"/>
        </w:rPr>
        <w:tab/>
        <w:t xml:space="preserve">Uchida S, Nishida A, Hara K, </w:t>
      </w:r>
      <w:proofErr w:type="spellStart"/>
      <w:r w:rsidRPr="00E126EF">
        <w:rPr>
          <w:rFonts w:eastAsiaTheme="minorHAnsi" w:cstheme="minorBidi"/>
          <w:szCs w:val="22"/>
        </w:rPr>
        <w:t>Kamemoto</w:t>
      </w:r>
      <w:proofErr w:type="spellEnd"/>
      <w:r w:rsidRPr="00E126EF">
        <w:rPr>
          <w:rFonts w:eastAsiaTheme="minorHAnsi" w:cstheme="minorBidi"/>
          <w:szCs w:val="22"/>
        </w:rPr>
        <w:t xml:space="preserve"> T, </w:t>
      </w:r>
      <w:proofErr w:type="spellStart"/>
      <w:r w:rsidRPr="00E126EF">
        <w:rPr>
          <w:rFonts w:eastAsiaTheme="minorHAnsi" w:cstheme="minorBidi"/>
          <w:szCs w:val="22"/>
        </w:rPr>
        <w:t>Suetsugi</w:t>
      </w:r>
      <w:proofErr w:type="spellEnd"/>
      <w:r w:rsidRPr="00E126EF">
        <w:rPr>
          <w:rFonts w:eastAsiaTheme="minorHAnsi" w:cstheme="minorBidi"/>
          <w:szCs w:val="22"/>
        </w:rPr>
        <w:t xml:space="preserve"> M, Fujimoto M, </w:t>
      </w:r>
      <w:proofErr w:type="spellStart"/>
      <w:r w:rsidRPr="00E126EF">
        <w:rPr>
          <w:rFonts w:eastAsiaTheme="minorHAnsi" w:cstheme="minorBidi"/>
          <w:szCs w:val="22"/>
        </w:rPr>
        <w:t>Watanuki</w:t>
      </w:r>
      <w:proofErr w:type="spellEnd"/>
      <w:r w:rsidRPr="00E126EF">
        <w:rPr>
          <w:rFonts w:eastAsiaTheme="minorHAnsi" w:cstheme="minorBidi"/>
          <w:szCs w:val="22"/>
        </w:rPr>
        <w:t xml:space="preserve"> T, Wakabayashi Y, </w:t>
      </w:r>
      <w:proofErr w:type="spellStart"/>
      <w:r w:rsidRPr="00E126EF">
        <w:rPr>
          <w:rFonts w:eastAsiaTheme="minorHAnsi" w:cstheme="minorBidi"/>
          <w:szCs w:val="22"/>
        </w:rPr>
        <w:t>Otsuki</w:t>
      </w:r>
      <w:proofErr w:type="spellEnd"/>
      <w:r w:rsidRPr="00E126EF">
        <w:rPr>
          <w:rFonts w:eastAsiaTheme="minorHAnsi" w:cstheme="minorBidi"/>
          <w:szCs w:val="22"/>
        </w:rPr>
        <w:t xml:space="preserve"> K, McEwen BS, Watanabe Y. Characterization of the vulnerability to repeated stress in Fischer 344 rats: possible involvement of microRNA-mediated down-regulation of the glucocorticoid receptor. Eur J </w:t>
      </w:r>
      <w:proofErr w:type="spellStart"/>
      <w:r w:rsidRPr="00E126EF">
        <w:rPr>
          <w:rFonts w:eastAsiaTheme="minorHAnsi" w:cstheme="minorBidi"/>
          <w:szCs w:val="22"/>
        </w:rPr>
        <w:t>Neurosci</w:t>
      </w:r>
      <w:proofErr w:type="spellEnd"/>
      <w:r w:rsidRPr="00E126EF">
        <w:rPr>
          <w:rFonts w:eastAsiaTheme="minorHAnsi" w:cstheme="minorBidi"/>
          <w:szCs w:val="22"/>
        </w:rPr>
        <w:t xml:space="preserve"> 2008; 27:2250-2261</w:t>
      </w:r>
    </w:p>
    <w:p w14:paraId="70727A2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331.</w:t>
      </w:r>
      <w:r w:rsidRPr="00E126EF">
        <w:rPr>
          <w:rFonts w:eastAsiaTheme="minorHAnsi" w:cstheme="minorBidi"/>
          <w:szCs w:val="22"/>
        </w:rPr>
        <w:tab/>
      </w:r>
      <w:proofErr w:type="spellStart"/>
      <w:r w:rsidRPr="00E126EF">
        <w:rPr>
          <w:rFonts w:eastAsiaTheme="minorHAnsi" w:cstheme="minorBidi"/>
          <w:szCs w:val="22"/>
        </w:rPr>
        <w:t>Vreugdenhil</w:t>
      </w:r>
      <w:proofErr w:type="spellEnd"/>
      <w:r w:rsidRPr="00E126EF">
        <w:rPr>
          <w:rFonts w:eastAsiaTheme="minorHAnsi" w:cstheme="minorBidi"/>
          <w:szCs w:val="22"/>
        </w:rPr>
        <w:t xml:space="preserve"> E, </w:t>
      </w:r>
      <w:proofErr w:type="spellStart"/>
      <w:r w:rsidRPr="00E126EF">
        <w:rPr>
          <w:rFonts w:eastAsiaTheme="minorHAnsi" w:cstheme="minorBidi"/>
          <w:szCs w:val="22"/>
        </w:rPr>
        <w:t>Verissimo</w:t>
      </w:r>
      <w:proofErr w:type="spellEnd"/>
      <w:r w:rsidRPr="00E126EF">
        <w:rPr>
          <w:rFonts w:eastAsiaTheme="minorHAnsi" w:cstheme="minorBidi"/>
          <w:szCs w:val="22"/>
        </w:rPr>
        <w:t xml:space="preserve"> CS, </w:t>
      </w:r>
      <w:proofErr w:type="spellStart"/>
      <w:r w:rsidRPr="00E126EF">
        <w:rPr>
          <w:rFonts w:eastAsiaTheme="minorHAnsi" w:cstheme="minorBidi"/>
          <w:szCs w:val="22"/>
        </w:rPr>
        <w:t>Mariman</w:t>
      </w:r>
      <w:proofErr w:type="spellEnd"/>
      <w:r w:rsidRPr="00E126EF">
        <w:rPr>
          <w:rFonts w:eastAsiaTheme="minorHAnsi" w:cstheme="minorBidi"/>
          <w:szCs w:val="22"/>
        </w:rPr>
        <w:t xml:space="preserve"> R, </w:t>
      </w:r>
      <w:proofErr w:type="spellStart"/>
      <w:r w:rsidRPr="00E126EF">
        <w:rPr>
          <w:rFonts w:eastAsiaTheme="minorHAnsi" w:cstheme="minorBidi"/>
          <w:szCs w:val="22"/>
        </w:rPr>
        <w:t>Kamphorst</w:t>
      </w:r>
      <w:proofErr w:type="spellEnd"/>
      <w:r w:rsidRPr="00E126EF">
        <w:rPr>
          <w:rFonts w:eastAsiaTheme="minorHAnsi" w:cstheme="minorBidi"/>
          <w:szCs w:val="22"/>
        </w:rPr>
        <w:t xml:space="preserve"> JT, Barbosa JS, </w:t>
      </w:r>
      <w:proofErr w:type="spellStart"/>
      <w:r w:rsidRPr="00E126EF">
        <w:rPr>
          <w:rFonts w:eastAsiaTheme="minorHAnsi" w:cstheme="minorBidi"/>
          <w:szCs w:val="22"/>
        </w:rPr>
        <w:t>Zweers</w:t>
      </w:r>
      <w:proofErr w:type="spellEnd"/>
      <w:r w:rsidRPr="00E126EF">
        <w:rPr>
          <w:rFonts w:eastAsiaTheme="minorHAnsi" w:cstheme="minorBidi"/>
          <w:szCs w:val="22"/>
        </w:rPr>
        <w:t xml:space="preserve"> T, Champagne DL, Schouten T, Meijer OC, de </w:t>
      </w:r>
      <w:proofErr w:type="spellStart"/>
      <w:r w:rsidRPr="00E126EF">
        <w:rPr>
          <w:rFonts w:eastAsiaTheme="minorHAnsi" w:cstheme="minorBidi"/>
          <w:szCs w:val="22"/>
        </w:rPr>
        <w:t>Kloet</w:t>
      </w:r>
      <w:proofErr w:type="spellEnd"/>
      <w:r w:rsidRPr="00E126EF">
        <w:rPr>
          <w:rFonts w:eastAsiaTheme="minorHAnsi" w:cstheme="minorBidi"/>
          <w:szCs w:val="22"/>
        </w:rPr>
        <w:t xml:space="preserve"> ER, Fitzsimons CP. MicroRNA 18 and 124a down-regulate the glucocorticoid receptor: implications for glucocorticoid responsiveness in the brain. Endocrinology 2009; 150:2220-2228</w:t>
      </w:r>
    </w:p>
    <w:p w14:paraId="72C6508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332.</w:t>
      </w:r>
      <w:r w:rsidRPr="00E126EF">
        <w:rPr>
          <w:rFonts w:eastAsiaTheme="minorHAnsi" w:cstheme="minorBidi"/>
          <w:szCs w:val="22"/>
        </w:rPr>
        <w:tab/>
        <w:t xml:space="preserve">Ko JY, Chuang PC, </w:t>
      </w:r>
      <w:proofErr w:type="spellStart"/>
      <w:r w:rsidRPr="00E126EF">
        <w:rPr>
          <w:rFonts w:eastAsiaTheme="minorHAnsi" w:cstheme="minorBidi"/>
          <w:szCs w:val="22"/>
        </w:rPr>
        <w:t>Ke</w:t>
      </w:r>
      <w:proofErr w:type="spellEnd"/>
      <w:r w:rsidRPr="00E126EF">
        <w:rPr>
          <w:rFonts w:eastAsiaTheme="minorHAnsi" w:cstheme="minorBidi"/>
          <w:szCs w:val="22"/>
        </w:rPr>
        <w:t xml:space="preserve"> HJ, Chen YS, Sun YC, Wang FS. MicroRNA-29a mitigates glucocorticoid induction of bone loss and fatty marrow by rescuing Runx2 acetylation. Bone 2015; 81:80-88</w:t>
      </w:r>
    </w:p>
    <w:p w14:paraId="3D0C948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333.</w:t>
      </w:r>
      <w:r w:rsidRPr="00E126EF">
        <w:rPr>
          <w:rFonts w:eastAsiaTheme="minorHAnsi" w:cstheme="minorBidi"/>
          <w:szCs w:val="22"/>
        </w:rPr>
        <w:tab/>
        <w:t xml:space="preserve">Davis TE, </w:t>
      </w:r>
      <w:proofErr w:type="spellStart"/>
      <w:r w:rsidRPr="00E126EF">
        <w:rPr>
          <w:rFonts w:eastAsiaTheme="minorHAnsi" w:cstheme="minorBidi"/>
          <w:szCs w:val="22"/>
        </w:rPr>
        <w:t>Kis</w:t>
      </w:r>
      <w:proofErr w:type="spellEnd"/>
      <w:r w:rsidRPr="00E126EF">
        <w:rPr>
          <w:rFonts w:eastAsiaTheme="minorHAnsi" w:cstheme="minorBidi"/>
          <w:szCs w:val="22"/>
        </w:rPr>
        <w:t xml:space="preserve">-Toth K, </w:t>
      </w:r>
      <w:proofErr w:type="spellStart"/>
      <w:r w:rsidRPr="00E126EF">
        <w:rPr>
          <w:rFonts w:eastAsiaTheme="minorHAnsi" w:cstheme="minorBidi"/>
          <w:szCs w:val="22"/>
        </w:rPr>
        <w:t>Szanto</w:t>
      </w:r>
      <w:proofErr w:type="spellEnd"/>
      <w:r w:rsidRPr="00E126EF">
        <w:rPr>
          <w:rFonts w:eastAsiaTheme="minorHAnsi" w:cstheme="minorBidi"/>
          <w:szCs w:val="22"/>
        </w:rPr>
        <w:t xml:space="preserve"> A, </w:t>
      </w:r>
      <w:proofErr w:type="spellStart"/>
      <w:r w:rsidRPr="00E126EF">
        <w:rPr>
          <w:rFonts w:eastAsiaTheme="minorHAnsi" w:cstheme="minorBidi"/>
          <w:szCs w:val="22"/>
        </w:rPr>
        <w:t>Tsokos</w:t>
      </w:r>
      <w:proofErr w:type="spellEnd"/>
      <w:r w:rsidRPr="00E126EF">
        <w:rPr>
          <w:rFonts w:eastAsiaTheme="minorHAnsi" w:cstheme="minorBidi"/>
          <w:szCs w:val="22"/>
        </w:rPr>
        <w:t xml:space="preserve"> GC. Glucocorticoids suppress T cell function by up-regulating microRNA-98. Arthritis Rheum 2013; 65:1882-1890</w:t>
      </w:r>
    </w:p>
    <w:p w14:paraId="26AAC32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334.</w:t>
      </w:r>
      <w:r w:rsidRPr="00E126EF">
        <w:rPr>
          <w:rFonts w:eastAsiaTheme="minorHAnsi" w:cstheme="minorBidi"/>
          <w:szCs w:val="22"/>
        </w:rPr>
        <w:tab/>
        <w:t xml:space="preserve">Zheng Y, </w:t>
      </w:r>
      <w:proofErr w:type="spellStart"/>
      <w:r w:rsidRPr="00E126EF">
        <w:rPr>
          <w:rFonts w:eastAsiaTheme="minorHAnsi" w:cstheme="minorBidi"/>
          <w:szCs w:val="22"/>
        </w:rPr>
        <w:t>Xiong</w:t>
      </w:r>
      <w:proofErr w:type="spellEnd"/>
      <w:r w:rsidRPr="00E126EF">
        <w:rPr>
          <w:rFonts w:eastAsiaTheme="minorHAnsi" w:cstheme="minorBidi"/>
          <w:szCs w:val="22"/>
        </w:rPr>
        <w:t xml:space="preserve"> S, Jiang P, Liu R, Liu X, Qian J, Zheng X, Chu Y. Glucocorticoids inhibit lipopolysaccharide-mediated inflammatory response by downregulating microRNA-155: a novel anti-inflammation mechanism. Free </w:t>
      </w:r>
      <w:proofErr w:type="spellStart"/>
      <w:r w:rsidRPr="00E126EF">
        <w:rPr>
          <w:rFonts w:eastAsiaTheme="minorHAnsi" w:cstheme="minorBidi"/>
          <w:szCs w:val="22"/>
        </w:rPr>
        <w:t>Radic</w:t>
      </w:r>
      <w:proofErr w:type="spellEnd"/>
      <w:r w:rsidRPr="00E126EF">
        <w:rPr>
          <w:rFonts w:eastAsiaTheme="minorHAnsi" w:cstheme="minorBidi"/>
          <w:szCs w:val="22"/>
        </w:rPr>
        <w:t xml:space="preserve"> Biol Med 2012; 52:1307-1317</w:t>
      </w:r>
    </w:p>
    <w:p w14:paraId="000D8D4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335.</w:t>
      </w:r>
      <w:r w:rsidRPr="00E126EF">
        <w:rPr>
          <w:rFonts w:eastAsiaTheme="minorHAnsi" w:cstheme="minorBidi"/>
          <w:szCs w:val="22"/>
        </w:rPr>
        <w:tab/>
        <w:t xml:space="preserve">Smith LK, Tandon A, Shah RR, Mav D, </w:t>
      </w:r>
      <w:proofErr w:type="spellStart"/>
      <w:r w:rsidRPr="00E126EF">
        <w:rPr>
          <w:rFonts w:eastAsiaTheme="minorHAnsi" w:cstheme="minorBidi"/>
          <w:szCs w:val="22"/>
        </w:rPr>
        <w:t>Scoltock</w:t>
      </w:r>
      <w:proofErr w:type="spellEnd"/>
      <w:r w:rsidRPr="00E126EF">
        <w:rPr>
          <w:rFonts w:eastAsiaTheme="minorHAnsi" w:cstheme="minorBidi"/>
          <w:szCs w:val="22"/>
        </w:rPr>
        <w:t xml:space="preserve"> AB,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Deep sequencing identification of novel glucocorticoid-responsive miRNAs in apoptotic primary lymphocytes.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2013; </w:t>
      </w:r>
      <w:proofErr w:type="gramStart"/>
      <w:r w:rsidRPr="00E126EF">
        <w:rPr>
          <w:rFonts w:eastAsiaTheme="minorHAnsi" w:cstheme="minorBidi"/>
          <w:szCs w:val="22"/>
        </w:rPr>
        <w:t>8:e</w:t>
      </w:r>
      <w:proofErr w:type="gramEnd"/>
      <w:r w:rsidRPr="00E126EF">
        <w:rPr>
          <w:rFonts w:eastAsiaTheme="minorHAnsi" w:cstheme="minorBidi"/>
          <w:szCs w:val="22"/>
        </w:rPr>
        <w:t>78316</w:t>
      </w:r>
    </w:p>
    <w:p w14:paraId="22F1BC0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336.</w:t>
      </w:r>
      <w:r w:rsidRPr="00E126EF">
        <w:rPr>
          <w:rFonts w:eastAsiaTheme="minorHAnsi" w:cstheme="minorBidi"/>
          <w:szCs w:val="22"/>
        </w:rPr>
        <w:tab/>
      </w:r>
      <w:proofErr w:type="spellStart"/>
      <w:r w:rsidRPr="00E126EF">
        <w:rPr>
          <w:rFonts w:eastAsiaTheme="minorHAnsi" w:cstheme="minorBidi"/>
          <w:szCs w:val="22"/>
        </w:rPr>
        <w:t>Palagani</w:t>
      </w:r>
      <w:proofErr w:type="spellEnd"/>
      <w:r w:rsidRPr="00E126EF">
        <w:rPr>
          <w:rFonts w:eastAsiaTheme="minorHAnsi" w:cstheme="minorBidi"/>
          <w:szCs w:val="22"/>
        </w:rPr>
        <w:t xml:space="preserve"> A, Op de </w:t>
      </w:r>
      <w:proofErr w:type="spellStart"/>
      <w:r w:rsidRPr="00E126EF">
        <w:rPr>
          <w:rFonts w:eastAsiaTheme="minorHAnsi" w:cstheme="minorBidi"/>
          <w:szCs w:val="22"/>
        </w:rPr>
        <w:t>Beeck</w:t>
      </w:r>
      <w:proofErr w:type="spellEnd"/>
      <w:r w:rsidRPr="00E126EF">
        <w:rPr>
          <w:rFonts w:eastAsiaTheme="minorHAnsi" w:cstheme="minorBidi"/>
          <w:szCs w:val="22"/>
        </w:rPr>
        <w:t xml:space="preserve"> K, </w:t>
      </w:r>
      <w:proofErr w:type="spellStart"/>
      <w:r w:rsidRPr="00E126EF">
        <w:rPr>
          <w:rFonts w:eastAsiaTheme="minorHAnsi" w:cstheme="minorBidi"/>
          <w:szCs w:val="22"/>
        </w:rPr>
        <w:t>Naulaerts</w:t>
      </w:r>
      <w:proofErr w:type="spellEnd"/>
      <w:r w:rsidRPr="00E126EF">
        <w:rPr>
          <w:rFonts w:eastAsiaTheme="minorHAnsi" w:cstheme="minorBidi"/>
          <w:szCs w:val="22"/>
        </w:rPr>
        <w:t xml:space="preserve"> S, </w:t>
      </w:r>
      <w:proofErr w:type="spellStart"/>
      <w:r w:rsidRPr="00E126EF">
        <w:rPr>
          <w:rFonts w:eastAsiaTheme="minorHAnsi" w:cstheme="minorBidi"/>
          <w:szCs w:val="22"/>
        </w:rPr>
        <w:t>Diddens</w:t>
      </w:r>
      <w:proofErr w:type="spellEnd"/>
      <w:r w:rsidRPr="00E126EF">
        <w:rPr>
          <w:rFonts w:eastAsiaTheme="minorHAnsi" w:cstheme="minorBidi"/>
          <w:szCs w:val="22"/>
        </w:rPr>
        <w:t xml:space="preserve"> J, Sekhar </w:t>
      </w:r>
      <w:proofErr w:type="spellStart"/>
      <w:r w:rsidRPr="00E126EF">
        <w:rPr>
          <w:rFonts w:eastAsiaTheme="minorHAnsi" w:cstheme="minorBidi"/>
          <w:szCs w:val="22"/>
        </w:rPr>
        <w:t>Chirumamilla</w:t>
      </w:r>
      <w:proofErr w:type="spellEnd"/>
      <w:r w:rsidRPr="00E126EF">
        <w:rPr>
          <w:rFonts w:eastAsiaTheme="minorHAnsi" w:cstheme="minorBidi"/>
          <w:szCs w:val="22"/>
        </w:rPr>
        <w:t xml:space="preserve"> C, Van Camp G, </w:t>
      </w:r>
      <w:proofErr w:type="spellStart"/>
      <w:r w:rsidRPr="00E126EF">
        <w:rPr>
          <w:rFonts w:eastAsiaTheme="minorHAnsi" w:cstheme="minorBidi"/>
          <w:szCs w:val="22"/>
        </w:rPr>
        <w:t>Laukens</w:t>
      </w:r>
      <w:proofErr w:type="spellEnd"/>
      <w:r w:rsidRPr="00E126EF">
        <w:rPr>
          <w:rFonts w:eastAsiaTheme="minorHAnsi" w:cstheme="minorBidi"/>
          <w:szCs w:val="22"/>
        </w:rPr>
        <w:t xml:space="preserve"> K, </w:t>
      </w:r>
      <w:proofErr w:type="spellStart"/>
      <w:r w:rsidRPr="00E126EF">
        <w:rPr>
          <w:rFonts w:eastAsiaTheme="minorHAnsi" w:cstheme="minorBidi"/>
          <w:szCs w:val="22"/>
        </w:rPr>
        <w:t>Heyninck</w:t>
      </w:r>
      <w:proofErr w:type="spellEnd"/>
      <w:r w:rsidRPr="00E126EF">
        <w:rPr>
          <w:rFonts w:eastAsiaTheme="minorHAnsi" w:cstheme="minorBidi"/>
          <w:szCs w:val="22"/>
        </w:rPr>
        <w:t xml:space="preserve"> K, </w:t>
      </w:r>
      <w:proofErr w:type="spellStart"/>
      <w:r w:rsidRPr="00E126EF">
        <w:rPr>
          <w:rFonts w:eastAsiaTheme="minorHAnsi" w:cstheme="minorBidi"/>
          <w:szCs w:val="22"/>
        </w:rPr>
        <w:t>Gerlo</w:t>
      </w:r>
      <w:proofErr w:type="spellEnd"/>
      <w:r w:rsidRPr="00E126EF">
        <w:rPr>
          <w:rFonts w:eastAsiaTheme="minorHAnsi" w:cstheme="minorBidi"/>
          <w:szCs w:val="22"/>
        </w:rPr>
        <w:t xml:space="preserve"> S, </w:t>
      </w:r>
      <w:proofErr w:type="spellStart"/>
      <w:r w:rsidRPr="00E126EF">
        <w:rPr>
          <w:rFonts w:eastAsiaTheme="minorHAnsi" w:cstheme="minorBidi"/>
          <w:szCs w:val="22"/>
        </w:rPr>
        <w:t>Mestdagh</w:t>
      </w:r>
      <w:proofErr w:type="spellEnd"/>
      <w:r w:rsidRPr="00E126EF">
        <w:rPr>
          <w:rFonts w:eastAsiaTheme="minorHAnsi" w:cstheme="minorBidi"/>
          <w:szCs w:val="22"/>
        </w:rPr>
        <w:t xml:space="preserve"> P, </w:t>
      </w:r>
      <w:proofErr w:type="spellStart"/>
      <w:r w:rsidRPr="00E126EF">
        <w:rPr>
          <w:rFonts w:eastAsiaTheme="minorHAnsi" w:cstheme="minorBidi"/>
          <w:szCs w:val="22"/>
        </w:rPr>
        <w:t>Vandesompele</w:t>
      </w:r>
      <w:proofErr w:type="spellEnd"/>
      <w:r w:rsidRPr="00E126EF">
        <w:rPr>
          <w:rFonts w:eastAsiaTheme="minorHAnsi" w:cstheme="minorBidi"/>
          <w:szCs w:val="22"/>
        </w:rPr>
        <w:t xml:space="preserve"> J, </w:t>
      </w:r>
      <w:proofErr w:type="spellStart"/>
      <w:r w:rsidRPr="00E126EF">
        <w:rPr>
          <w:rFonts w:eastAsiaTheme="minorHAnsi" w:cstheme="minorBidi"/>
          <w:szCs w:val="22"/>
        </w:rPr>
        <w:t>Berghe</w:t>
      </w:r>
      <w:proofErr w:type="spellEnd"/>
      <w:r w:rsidRPr="00E126EF">
        <w:rPr>
          <w:rFonts w:eastAsiaTheme="minorHAnsi" w:cstheme="minorBidi"/>
          <w:szCs w:val="22"/>
        </w:rPr>
        <w:t xml:space="preserve"> WV. Ectopic microRNA-150-5p transcription sensitizes glucocorticoid therapy response in MM1S multiple myeloma cells but fails to overcome hormone therapy resistance in MM1R cells.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2014; </w:t>
      </w:r>
      <w:proofErr w:type="gramStart"/>
      <w:r w:rsidRPr="00E126EF">
        <w:rPr>
          <w:rFonts w:eastAsiaTheme="minorHAnsi" w:cstheme="minorBidi"/>
          <w:szCs w:val="22"/>
        </w:rPr>
        <w:t>9:e</w:t>
      </w:r>
      <w:proofErr w:type="gramEnd"/>
      <w:r w:rsidRPr="00E126EF">
        <w:rPr>
          <w:rFonts w:eastAsiaTheme="minorHAnsi" w:cstheme="minorBidi"/>
          <w:szCs w:val="22"/>
        </w:rPr>
        <w:t>113842</w:t>
      </w:r>
    </w:p>
    <w:p w14:paraId="2EC72D3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337.</w:t>
      </w:r>
      <w:r w:rsidRPr="00E126EF">
        <w:rPr>
          <w:rFonts w:eastAsiaTheme="minorHAnsi" w:cstheme="minorBidi"/>
          <w:szCs w:val="22"/>
        </w:rPr>
        <w:tab/>
        <w:t>Shi C, Huang P, Kang H, Hu B, Qi J, Jiang M, Zhou H, Guo L, Deng L. Glucocorticoid inhibits cell proliferation in differentiating osteoblasts by microRNA-199a targeting of WNT signaling. J Mol Endocrinol 2015; 54:325-337</w:t>
      </w:r>
    </w:p>
    <w:p w14:paraId="2A1E61D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338.</w:t>
      </w:r>
      <w:r w:rsidRPr="00E126EF">
        <w:rPr>
          <w:rFonts w:eastAsiaTheme="minorHAnsi" w:cstheme="minorBidi"/>
          <w:szCs w:val="22"/>
        </w:rPr>
        <w:tab/>
        <w:t xml:space="preserve">Hatchell EC, Colley SM, Beveridge DJ, Epis MR, Stuart LM, Giles KM, Redfern AD, Miles LE, Barker A, MacDonald LM, Arthur PG, Lui JC, Golding JL, McCulloch RK, Metcalf CB, </w:t>
      </w:r>
      <w:proofErr w:type="spellStart"/>
      <w:r w:rsidRPr="00E126EF">
        <w:rPr>
          <w:rFonts w:eastAsiaTheme="minorHAnsi" w:cstheme="minorBidi"/>
          <w:szCs w:val="22"/>
        </w:rPr>
        <w:t>Wilce</w:t>
      </w:r>
      <w:proofErr w:type="spellEnd"/>
      <w:r w:rsidRPr="00E126EF">
        <w:rPr>
          <w:rFonts w:eastAsiaTheme="minorHAnsi" w:cstheme="minorBidi"/>
          <w:szCs w:val="22"/>
        </w:rPr>
        <w:t xml:space="preserve"> JA, </w:t>
      </w:r>
      <w:proofErr w:type="spellStart"/>
      <w:r w:rsidRPr="00E126EF">
        <w:rPr>
          <w:rFonts w:eastAsiaTheme="minorHAnsi" w:cstheme="minorBidi"/>
          <w:szCs w:val="22"/>
        </w:rPr>
        <w:t>Wilce</w:t>
      </w:r>
      <w:proofErr w:type="spellEnd"/>
      <w:r w:rsidRPr="00E126EF">
        <w:rPr>
          <w:rFonts w:eastAsiaTheme="minorHAnsi" w:cstheme="minorBidi"/>
          <w:szCs w:val="22"/>
        </w:rPr>
        <w:t xml:space="preserve"> MC, </w:t>
      </w:r>
      <w:proofErr w:type="spellStart"/>
      <w:r w:rsidRPr="00E126EF">
        <w:rPr>
          <w:rFonts w:eastAsiaTheme="minorHAnsi" w:cstheme="minorBidi"/>
          <w:szCs w:val="22"/>
        </w:rPr>
        <w:t>Lanz</w:t>
      </w:r>
      <w:proofErr w:type="spellEnd"/>
      <w:r w:rsidRPr="00E126EF">
        <w:rPr>
          <w:rFonts w:eastAsiaTheme="minorHAnsi" w:cstheme="minorBidi"/>
          <w:szCs w:val="22"/>
        </w:rPr>
        <w:t xml:space="preserve"> RB, O'Malley BW, </w:t>
      </w:r>
      <w:proofErr w:type="spellStart"/>
      <w:r w:rsidRPr="00E126EF">
        <w:rPr>
          <w:rFonts w:eastAsiaTheme="minorHAnsi" w:cstheme="minorBidi"/>
          <w:szCs w:val="22"/>
        </w:rPr>
        <w:t>Leedman</w:t>
      </w:r>
      <w:proofErr w:type="spellEnd"/>
      <w:r w:rsidRPr="00E126EF">
        <w:rPr>
          <w:rFonts w:eastAsiaTheme="minorHAnsi" w:cstheme="minorBidi"/>
          <w:szCs w:val="22"/>
        </w:rPr>
        <w:t xml:space="preserve"> PJ. SLIRP, a small SRA binding protein, is a nuclear receptor corepressor. Mol Cell 2006; 22:657-668</w:t>
      </w:r>
    </w:p>
    <w:p w14:paraId="6A9C13D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339.</w:t>
      </w:r>
      <w:r w:rsidRPr="00E126EF">
        <w:rPr>
          <w:rFonts w:eastAsiaTheme="minorHAnsi" w:cstheme="minorBidi"/>
          <w:szCs w:val="22"/>
        </w:rPr>
        <w:tab/>
        <w:t xml:space="preserve">Redfern AD, Colley SM, Beveridge DJ, Ikeda N, Epis MR, Li X, </w:t>
      </w:r>
      <w:proofErr w:type="spellStart"/>
      <w:r w:rsidRPr="00E126EF">
        <w:rPr>
          <w:rFonts w:eastAsiaTheme="minorHAnsi" w:cstheme="minorBidi"/>
          <w:szCs w:val="22"/>
        </w:rPr>
        <w:t>Foulds</w:t>
      </w:r>
      <w:proofErr w:type="spellEnd"/>
      <w:r w:rsidRPr="00E126EF">
        <w:rPr>
          <w:rFonts w:eastAsiaTheme="minorHAnsi" w:cstheme="minorBidi"/>
          <w:szCs w:val="22"/>
        </w:rPr>
        <w:t xml:space="preserve"> CE, Stuart LM, Barker A, Russell VJ, Ramsay K, </w:t>
      </w:r>
      <w:proofErr w:type="spellStart"/>
      <w:r w:rsidRPr="00E126EF">
        <w:rPr>
          <w:rFonts w:eastAsiaTheme="minorHAnsi" w:cstheme="minorBidi"/>
          <w:szCs w:val="22"/>
        </w:rPr>
        <w:t>Kobelke</w:t>
      </w:r>
      <w:proofErr w:type="spellEnd"/>
      <w:r w:rsidRPr="00E126EF">
        <w:rPr>
          <w:rFonts w:eastAsiaTheme="minorHAnsi" w:cstheme="minorBidi"/>
          <w:szCs w:val="22"/>
        </w:rPr>
        <w:t xml:space="preserve"> SJ, Li X, Hatchell EC, Payne C, Giles KM, </w:t>
      </w:r>
      <w:proofErr w:type="spellStart"/>
      <w:r w:rsidRPr="00E126EF">
        <w:rPr>
          <w:rFonts w:eastAsiaTheme="minorHAnsi" w:cstheme="minorBidi"/>
          <w:szCs w:val="22"/>
        </w:rPr>
        <w:t>Messineo</w:t>
      </w:r>
      <w:proofErr w:type="spellEnd"/>
      <w:r w:rsidRPr="00E126EF">
        <w:rPr>
          <w:rFonts w:eastAsiaTheme="minorHAnsi" w:cstheme="minorBidi"/>
          <w:szCs w:val="22"/>
        </w:rPr>
        <w:t xml:space="preserve"> A, </w:t>
      </w:r>
      <w:proofErr w:type="spellStart"/>
      <w:r w:rsidRPr="00E126EF">
        <w:rPr>
          <w:rFonts w:eastAsiaTheme="minorHAnsi" w:cstheme="minorBidi"/>
          <w:szCs w:val="22"/>
        </w:rPr>
        <w:t>Gatignol</w:t>
      </w:r>
      <w:proofErr w:type="spellEnd"/>
      <w:r w:rsidRPr="00E126EF">
        <w:rPr>
          <w:rFonts w:eastAsiaTheme="minorHAnsi" w:cstheme="minorBidi"/>
          <w:szCs w:val="22"/>
        </w:rPr>
        <w:t xml:space="preserve"> A, </w:t>
      </w:r>
      <w:proofErr w:type="spellStart"/>
      <w:r w:rsidRPr="00E126EF">
        <w:rPr>
          <w:rFonts w:eastAsiaTheme="minorHAnsi" w:cstheme="minorBidi"/>
          <w:szCs w:val="22"/>
        </w:rPr>
        <w:t>Lanz</w:t>
      </w:r>
      <w:proofErr w:type="spellEnd"/>
      <w:r w:rsidRPr="00E126EF">
        <w:rPr>
          <w:rFonts w:eastAsiaTheme="minorHAnsi" w:cstheme="minorBidi"/>
          <w:szCs w:val="22"/>
        </w:rPr>
        <w:t xml:space="preserve"> RB, O'Malley BW, </w:t>
      </w:r>
      <w:proofErr w:type="spellStart"/>
      <w:r w:rsidRPr="00E126EF">
        <w:rPr>
          <w:rFonts w:eastAsiaTheme="minorHAnsi" w:cstheme="minorBidi"/>
          <w:szCs w:val="22"/>
        </w:rPr>
        <w:t>Leedman</w:t>
      </w:r>
      <w:proofErr w:type="spellEnd"/>
      <w:r w:rsidRPr="00E126EF">
        <w:rPr>
          <w:rFonts w:eastAsiaTheme="minorHAnsi" w:cstheme="minorBidi"/>
          <w:szCs w:val="22"/>
        </w:rPr>
        <w:t xml:space="preserve"> PJ. RNA-induced silencing complex (RISC) Proteins PACT, TRBP, and Dicer are SRA binding nuclear receptor coregulators.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2013; 110:6536-6541</w:t>
      </w:r>
    </w:p>
    <w:p w14:paraId="00B171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340.</w:t>
      </w:r>
      <w:r w:rsidRPr="00E126EF">
        <w:rPr>
          <w:rFonts w:eastAsiaTheme="minorHAnsi" w:cstheme="minorBidi"/>
          <w:szCs w:val="22"/>
        </w:rPr>
        <w:tab/>
      </w:r>
      <w:proofErr w:type="spellStart"/>
      <w:r w:rsidRPr="00E126EF">
        <w:rPr>
          <w:rFonts w:eastAsiaTheme="minorHAnsi" w:cstheme="minorBidi"/>
          <w:szCs w:val="22"/>
        </w:rPr>
        <w:t>Beato</w:t>
      </w:r>
      <w:proofErr w:type="spellEnd"/>
      <w:r w:rsidRPr="00E126EF">
        <w:rPr>
          <w:rFonts w:eastAsiaTheme="minorHAnsi" w:cstheme="minorBidi"/>
          <w:szCs w:val="22"/>
        </w:rPr>
        <w:t xml:space="preserve"> M, </w:t>
      </w:r>
      <w:proofErr w:type="spellStart"/>
      <w:r w:rsidRPr="00E126EF">
        <w:rPr>
          <w:rFonts w:eastAsiaTheme="minorHAnsi" w:cstheme="minorBidi"/>
          <w:szCs w:val="22"/>
        </w:rPr>
        <w:t>Vicent</w:t>
      </w:r>
      <w:proofErr w:type="spellEnd"/>
      <w:r w:rsidRPr="00E126EF">
        <w:rPr>
          <w:rFonts w:eastAsiaTheme="minorHAnsi" w:cstheme="minorBidi"/>
          <w:szCs w:val="22"/>
        </w:rPr>
        <w:t xml:space="preserve"> GP. A new role for an old player: steroid receptor RNA Activator (SRA) represses hormone inducible genes. Transcription 2013; 4:167-171</w:t>
      </w:r>
    </w:p>
    <w:p w14:paraId="3260D72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341.</w:t>
      </w:r>
      <w:r w:rsidRPr="00E126EF">
        <w:rPr>
          <w:rFonts w:eastAsiaTheme="minorHAnsi" w:cstheme="minorBidi"/>
          <w:szCs w:val="22"/>
        </w:rPr>
        <w:tab/>
        <w:t xml:space="preserve">Kino T, Marr AK. A lovely leap toward the development of breast cancer therapy with long non-coding RNAs. </w:t>
      </w:r>
      <w:proofErr w:type="spellStart"/>
      <w:r w:rsidRPr="00E126EF">
        <w:rPr>
          <w:rFonts w:eastAsiaTheme="minorHAnsi" w:cstheme="minorBidi"/>
          <w:szCs w:val="22"/>
        </w:rPr>
        <w:t>Transl</w:t>
      </w:r>
      <w:proofErr w:type="spellEnd"/>
      <w:r w:rsidRPr="00E126EF">
        <w:rPr>
          <w:rFonts w:eastAsiaTheme="minorHAnsi" w:cstheme="minorBidi"/>
          <w:szCs w:val="22"/>
        </w:rPr>
        <w:t xml:space="preserve"> Cancer Res 2016; </w:t>
      </w:r>
      <w:proofErr w:type="gramStart"/>
      <w:r w:rsidRPr="00E126EF">
        <w:rPr>
          <w:rFonts w:eastAsiaTheme="minorHAnsi" w:cstheme="minorBidi"/>
          <w:szCs w:val="22"/>
        </w:rPr>
        <w:t>5:S</w:t>
      </w:r>
      <w:proofErr w:type="gramEnd"/>
      <w:r w:rsidRPr="00E126EF">
        <w:rPr>
          <w:rFonts w:eastAsiaTheme="minorHAnsi" w:cstheme="minorBidi"/>
          <w:szCs w:val="22"/>
        </w:rPr>
        <w:t>400-404</w:t>
      </w:r>
    </w:p>
    <w:p w14:paraId="482AA65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342.</w:t>
      </w:r>
      <w:r w:rsidRPr="00E126EF">
        <w:rPr>
          <w:rFonts w:eastAsiaTheme="minorHAnsi" w:cstheme="minorBidi"/>
          <w:szCs w:val="22"/>
        </w:rPr>
        <w:tab/>
        <w:t xml:space="preserve">Kino T, Hurt DE,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Nader N, Chrousos GP. Noncoding RNA gas5 is a growth arrest- and starvation-associated repressor of the glucocorticoid receptor. Sci Signal 2010; 3:ra8</w:t>
      </w:r>
    </w:p>
    <w:p w14:paraId="273C65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343.</w:t>
      </w:r>
      <w:r w:rsidRPr="00E126EF">
        <w:rPr>
          <w:rFonts w:eastAsiaTheme="minorHAnsi" w:cstheme="minorBidi"/>
          <w:szCs w:val="22"/>
        </w:rPr>
        <w:tab/>
      </w:r>
      <w:proofErr w:type="spellStart"/>
      <w:r w:rsidRPr="00E126EF">
        <w:rPr>
          <w:rFonts w:eastAsiaTheme="minorHAnsi" w:cstheme="minorBidi"/>
          <w:szCs w:val="22"/>
        </w:rPr>
        <w:t>Mayama</w:t>
      </w:r>
      <w:proofErr w:type="spellEnd"/>
      <w:r w:rsidRPr="00E126EF">
        <w:rPr>
          <w:rFonts w:eastAsiaTheme="minorHAnsi" w:cstheme="minorBidi"/>
          <w:szCs w:val="22"/>
        </w:rPr>
        <w:t xml:space="preserve"> T, Marr AK, Kino T. Differential expression of glucocorticoid receptor noncoding RNA repressor Gas5 in autoimmune and inflammatory diseases. </w:t>
      </w:r>
      <w:proofErr w:type="spellStart"/>
      <w:r w:rsidRPr="00E126EF">
        <w:rPr>
          <w:rFonts w:eastAsiaTheme="minorHAnsi" w:cstheme="minorBidi"/>
          <w:szCs w:val="22"/>
        </w:rPr>
        <w:t>Horm</w:t>
      </w:r>
      <w:proofErr w:type="spellEnd"/>
      <w:r w:rsidRPr="00E126EF">
        <w:rPr>
          <w:rFonts w:eastAsiaTheme="minorHAnsi" w:cstheme="minorBidi"/>
          <w:szCs w:val="22"/>
        </w:rPr>
        <w:t xml:space="preserve"> </w:t>
      </w:r>
      <w:proofErr w:type="spellStart"/>
      <w:r w:rsidRPr="00E126EF">
        <w:rPr>
          <w:rFonts w:eastAsiaTheme="minorHAnsi" w:cstheme="minorBidi"/>
          <w:szCs w:val="22"/>
        </w:rPr>
        <w:t>Metab</w:t>
      </w:r>
      <w:proofErr w:type="spellEnd"/>
      <w:r w:rsidRPr="00E126EF">
        <w:rPr>
          <w:rFonts w:eastAsiaTheme="minorHAnsi" w:cstheme="minorBidi"/>
          <w:szCs w:val="22"/>
        </w:rPr>
        <w:t xml:space="preserve"> Res 2016; 48:550-557</w:t>
      </w:r>
    </w:p>
    <w:p w14:paraId="5313C9F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344.</w:t>
      </w:r>
      <w:r w:rsidRPr="00E126EF">
        <w:rPr>
          <w:rFonts w:eastAsiaTheme="minorHAnsi" w:cstheme="minorBidi"/>
          <w:szCs w:val="22"/>
        </w:rPr>
        <w:tab/>
      </w:r>
      <w:proofErr w:type="spellStart"/>
      <w:r w:rsidRPr="00E126EF">
        <w:rPr>
          <w:rFonts w:eastAsiaTheme="minorHAnsi" w:cstheme="minorBidi"/>
          <w:szCs w:val="22"/>
        </w:rPr>
        <w:t>Lucafò</w:t>
      </w:r>
      <w:proofErr w:type="spellEnd"/>
      <w:r w:rsidRPr="00E126EF">
        <w:rPr>
          <w:rFonts w:eastAsiaTheme="minorHAnsi" w:cstheme="minorBidi"/>
          <w:szCs w:val="22"/>
        </w:rPr>
        <w:t xml:space="preserve"> M, Di Silvestre A, Romano M, Avian A, Antonelli R, </w:t>
      </w:r>
      <w:proofErr w:type="spellStart"/>
      <w:r w:rsidRPr="00E126EF">
        <w:rPr>
          <w:rFonts w:eastAsiaTheme="minorHAnsi" w:cstheme="minorBidi"/>
          <w:szCs w:val="22"/>
        </w:rPr>
        <w:t>Martelossi</w:t>
      </w:r>
      <w:proofErr w:type="spellEnd"/>
      <w:r w:rsidRPr="00E126EF">
        <w:rPr>
          <w:rFonts w:eastAsiaTheme="minorHAnsi" w:cstheme="minorBidi"/>
          <w:szCs w:val="22"/>
        </w:rPr>
        <w:t xml:space="preserve"> S, </w:t>
      </w:r>
      <w:proofErr w:type="spellStart"/>
      <w:r w:rsidRPr="00E126EF">
        <w:rPr>
          <w:rFonts w:eastAsiaTheme="minorHAnsi" w:cstheme="minorBidi"/>
          <w:szCs w:val="22"/>
        </w:rPr>
        <w:t>Naviglio</w:t>
      </w:r>
      <w:proofErr w:type="spellEnd"/>
      <w:r w:rsidRPr="00E126EF">
        <w:rPr>
          <w:rFonts w:eastAsiaTheme="minorHAnsi" w:cstheme="minorBidi"/>
          <w:szCs w:val="22"/>
        </w:rPr>
        <w:t xml:space="preserve"> S, </w:t>
      </w:r>
      <w:proofErr w:type="spellStart"/>
      <w:r w:rsidRPr="00E126EF">
        <w:rPr>
          <w:rFonts w:eastAsiaTheme="minorHAnsi" w:cstheme="minorBidi"/>
          <w:szCs w:val="22"/>
        </w:rPr>
        <w:t>Tommasini</w:t>
      </w:r>
      <w:proofErr w:type="spellEnd"/>
      <w:r w:rsidRPr="00E126EF">
        <w:rPr>
          <w:rFonts w:eastAsiaTheme="minorHAnsi" w:cstheme="minorBidi"/>
          <w:szCs w:val="22"/>
        </w:rPr>
        <w:t xml:space="preserve"> A, </w:t>
      </w:r>
      <w:proofErr w:type="spellStart"/>
      <w:r w:rsidRPr="00E126EF">
        <w:rPr>
          <w:rFonts w:eastAsiaTheme="minorHAnsi" w:cstheme="minorBidi"/>
          <w:szCs w:val="22"/>
        </w:rPr>
        <w:t>Stocco</w:t>
      </w:r>
      <w:proofErr w:type="spellEnd"/>
      <w:r w:rsidRPr="00E126EF">
        <w:rPr>
          <w:rFonts w:eastAsiaTheme="minorHAnsi" w:cstheme="minorBidi"/>
          <w:szCs w:val="22"/>
        </w:rPr>
        <w:t xml:space="preserve"> G, Ventura A, </w:t>
      </w:r>
      <w:proofErr w:type="spellStart"/>
      <w:r w:rsidRPr="00E126EF">
        <w:rPr>
          <w:rFonts w:eastAsiaTheme="minorHAnsi" w:cstheme="minorBidi"/>
          <w:szCs w:val="22"/>
        </w:rPr>
        <w:t>Decorti</w:t>
      </w:r>
      <w:proofErr w:type="spellEnd"/>
      <w:r w:rsidRPr="00E126EF">
        <w:rPr>
          <w:rFonts w:eastAsiaTheme="minorHAnsi" w:cstheme="minorBidi"/>
          <w:szCs w:val="22"/>
        </w:rPr>
        <w:t xml:space="preserve"> G, De </w:t>
      </w:r>
      <w:proofErr w:type="spellStart"/>
      <w:r w:rsidRPr="00E126EF">
        <w:rPr>
          <w:rFonts w:eastAsiaTheme="minorHAnsi" w:cstheme="minorBidi"/>
          <w:szCs w:val="22"/>
        </w:rPr>
        <w:t>Ludicibus</w:t>
      </w:r>
      <w:proofErr w:type="spellEnd"/>
      <w:r w:rsidRPr="00E126EF">
        <w:rPr>
          <w:rFonts w:eastAsiaTheme="minorHAnsi" w:cstheme="minorBidi"/>
          <w:szCs w:val="22"/>
        </w:rPr>
        <w:t xml:space="preserve"> S. Role of the Long Non-Coding RNA Growth Arrest-Specific 5 in Glucocorticoid Response in Children with Inflammatory Bowel Disease. Basic Clin </w:t>
      </w:r>
      <w:proofErr w:type="spellStart"/>
      <w:r w:rsidRPr="00E126EF">
        <w:rPr>
          <w:rFonts w:eastAsiaTheme="minorHAnsi" w:cstheme="minorBidi"/>
          <w:szCs w:val="22"/>
        </w:rPr>
        <w:t>Pharmacol</w:t>
      </w:r>
      <w:proofErr w:type="spellEnd"/>
      <w:r w:rsidRPr="00E126EF">
        <w:rPr>
          <w:rFonts w:eastAsiaTheme="minorHAnsi" w:cstheme="minorBidi"/>
          <w:szCs w:val="22"/>
        </w:rPr>
        <w:t xml:space="preserve"> </w:t>
      </w:r>
      <w:proofErr w:type="spellStart"/>
      <w:r w:rsidRPr="00E126EF">
        <w:rPr>
          <w:rFonts w:eastAsiaTheme="minorHAnsi" w:cstheme="minorBidi"/>
          <w:szCs w:val="22"/>
        </w:rPr>
        <w:t>Toxicol</w:t>
      </w:r>
      <w:proofErr w:type="spellEnd"/>
      <w:r w:rsidRPr="00E126EF">
        <w:rPr>
          <w:rFonts w:eastAsiaTheme="minorHAnsi" w:cstheme="minorBidi"/>
          <w:szCs w:val="22"/>
        </w:rPr>
        <w:t>. 2018; 122(1):87-93</w:t>
      </w:r>
    </w:p>
    <w:p w14:paraId="3938324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345.</w:t>
      </w:r>
      <w:r w:rsidRPr="00E126EF">
        <w:rPr>
          <w:rFonts w:eastAsiaTheme="minorHAnsi" w:cstheme="minorBidi"/>
          <w:szCs w:val="22"/>
        </w:rPr>
        <w:tab/>
      </w:r>
      <w:proofErr w:type="spellStart"/>
      <w:r w:rsidRPr="00E126EF">
        <w:rPr>
          <w:rFonts w:eastAsiaTheme="minorHAnsi" w:cstheme="minorBidi"/>
          <w:szCs w:val="22"/>
        </w:rPr>
        <w:t>Gharesouran</w:t>
      </w:r>
      <w:proofErr w:type="spellEnd"/>
      <w:r w:rsidRPr="00E126EF">
        <w:rPr>
          <w:rFonts w:eastAsiaTheme="minorHAnsi" w:cstheme="minorBidi"/>
          <w:szCs w:val="22"/>
        </w:rPr>
        <w:t xml:space="preserve"> J, Taheri M, </w:t>
      </w:r>
      <w:proofErr w:type="spellStart"/>
      <w:r w:rsidRPr="00E126EF">
        <w:rPr>
          <w:rFonts w:eastAsiaTheme="minorHAnsi" w:cstheme="minorBidi"/>
          <w:szCs w:val="22"/>
        </w:rPr>
        <w:t>Sayad</w:t>
      </w:r>
      <w:proofErr w:type="spellEnd"/>
      <w:r w:rsidRPr="00E126EF">
        <w:rPr>
          <w:rFonts w:eastAsiaTheme="minorHAnsi" w:cstheme="minorBidi"/>
          <w:szCs w:val="22"/>
        </w:rPr>
        <w:t xml:space="preserve"> A, </w:t>
      </w:r>
      <w:proofErr w:type="spellStart"/>
      <w:r w:rsidRPr="00E126EF">
        <w:rPr>
          <w:rFonts w:eastAsiaTheme="minorHAnsi" w:cstheme="minorBidi"/>
          <w:szCs w:val="22"/>
        </w:rPr>
        <w:t>Ghafouri-Fard</w:t>
      </w:r>
      <w:proofErr w:type="spellEnd"/>
      <w:r w:rsidRPr="00E126EF">
        <w:rPr>
          <w:rFonts w:eastAsiaTheme="minorHAnsi" w:cstheme="minorBidi"/>
          <w:szCs w:val="22"/>
        </w:rPr>
        <w:t xml:space="preserve"> S, </w:t>
      </w:r>
      <w:proofErr w:type="spellStart"/>
      <w:r w:rsidRPr="00E126EF">
        <w:rPr>
          <w:rFonts w:eastAsiaTheme="minorHAnsi" w:cstheme="minorBidi"/>
          <w:szCs w:val="22"/>
        </w:rPr>
        <w:t>Mazdeh</w:t>
      </w:r>
      <w:proofErr w:type="spellEnd"/>
      <w:r w:rsidRPr="00E126EF">
        <w:rPr>
          <w:rFonts w:eastAsiaTheme="minorHAnsi" w:cstheme="minorBidi"/>
          <w:szCs w:val="22"/>
        </w:rPr>
        <w:t xml:space="preserve"> M, </w:t>
      </w:r>
      <w:proofErr w:type="spellStart"/>
      <w:r w:rsidRPr="00E126EF">
        <w:rPr>
          <w:rFonts w:eastAsiaTheme="minorHAnsi" w:cstheme="minorBidi"/>
          <w:szCs w:val="22"/>
        </w:rPr>
        <w:t>Omrani</w:t>
      </w:r>
      <w:proofErr w:type="spellEnd"/>
      <w:r w:rsidRPr="00E126EF">
        <w:rPr>
          <w:rFonts w:eastAsiaTheme="minorHAnsi" w:cstheme="minorBidi"/>
          <w:szCs w:val="22"/>
        </w:rPr>
        <w:t xml:space="preserve"> MD. The Growth Arrest-Specific Transcript 5 (GAS5) and Nuclear Receptor Subfamily 3 Group C Member 1 (NR3C1): Novel Markers Involved in Multiple Sclerosis. Int J Mol Cell Med. 2018 Spring; 7(2):102-110</w:t>
      </w:r>
    </w:p>
    <w:p w14:paraId="3BEE431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346.</w:t>
      </w:r>
      <w:r w:rsidRPr="00E126EF">
        <w:rPr>
          <w:rFonts w:eastAsiaTheme="minorHAnsi" w:cstheme="minorBidi"/>
          <w:szCs w:val="22"/>
        </w:rPr>
        <w:tab/>
        <w:t xml:space="preserve">Mahdi </w:t>
      </w:r>
      <w:proofErr w:type="spellStart"/>
      <w:r w:rsidRPr="00E126EF">
        <w:rPr>
          <w:rFonts w:eastAsiaTheme="minorHAnsi" w:cstheme="minorBidi"/>
          <w:szCs w:val="22"/>
        </w:rPr>
        <w:t>Eftekharian</w:t>
      </w:r>
      <w:proofErr w:type="spellEnd"/>
      <w:r w:rsidRPr="00E126EF">
        <w:rPr>
          <w:rFonts w:eastAsiaTheme="minorHAnsi" w:cstheme="minorBidi"/>
          <w:szCs w:val="22"/>
        </w:rPr>
        <w:t xml:space="preserve"> M, </w:t>
      </w:r>
      <w:proofErr w:type="spellStart"/>
      <w:r w:rsidRPr="00E126EF">
        <w:rPr>
          <w:rFonts w:eastAsiaTheme="minorHAnsi" w:cstheme="minorBidi"/>
          <w:szCs w:val="22"/>
        </w:rPr>
        <w:t>Noroozi</w:t>
      </w:r>
      <w:proofErr w:type="spellEnd"/>
      <w:r w:rsidRPr="00E126EF">
        <w:rPr>
          <w:rFonts w:eastAsiaTheme="minorHAnsi" w:cstheme="minorBidi"/>
          <w:szCs w:val="22"/>
        </w:rPr>
        <w:t xml:space="preserve"> R, Komaki A, </w:t>
      </w:r>
      <w:proofErr w:type="spellStart"/>
      <w:r w:rsidRPr="00E126EF">
        <w:rPr>
          <w:rFonts w:eastAsiaTheme="minorHAnsi" w:cstheme="minorBidi"/>
          <w:szCs w:val="22"/>
        </w:rPr>
        <w:t>Mazdeh</w:t>
      </w:r>
      <w:proofErr w:type="spellEnd"/>
      <w:r w:rsidRPr="00E126EF">
        <w:rPr>
          <w:rFonts w:eastAsiaTheme="minorHAnsi" w:cstheme="minorBidi"/>
          <w:szCs w:val="22"/>
        </w:rPr>
        <w:t xml:space="preserve"> M, Taheri M, </w:t>
      </w:r>
      <w:proofErr w:type="spellStart"/>
      <w:r w:rsidRPr="00E126EF">
        <w:rPr>
          <w:rFonts w:eastAsiaTheme="minorHAnsi" w:cstheme="minorBidi"/>
          <w:szCs w:val="22"/>
        </w:rPr>
        <w:t>Ghafouri-Fard</w:t>
      </w:r>
      <w:proofErr w:type="spellEnd"/>
      <w:r w:rsidRPr="00E126EF">
        <w:rPr>
          <w:rFonts w:eastAsiaTheme="minorHAnsi" w:cstheme="minorBidi"/>
          <w:szCs w:val="22"/>
        </w:rPr>
        <w:t xml:space="preserve"> S. GAS5 genomic variants and risk of multiple sclerosis. </w:t>
      </w:r>
      <w:proofErr w:type="spellStart"/>
      <w:r w:rsidRPr="00E126EF">
        <w:rPr>
          <w:rFonts w:eastAsiaTheme="minorHAnsi" w:cstheme="minorBidi"/>
          <w:szCs w:val="22"/>
        </w:rPr>
        <w:t>Neurosci</w:t>
      </w:r>
      <w:proofErr w:type="spellEnd"/>
      <w:r w:rsidRPr="00E126EF">
        <w:rPr>
          <w:rFonts w:eastAsiaTheme="minorHAnsi" w:cstheme="minorBidi"/>
          <w:szCs w:val="22"/>
        </w:rPr>
        <w:t xml:space="preserve"> Lett. 2019; 701:54-57</w:t>
      </w:r>
    </w:p>
    <w:p w14:paraId="3E91572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347.</w:t>
      </w:r>
      <w:r w:rsidRPr="00E126EF">
        <w:rPr>
          <w:rFonts w:eastAsiaTheme="minorHAnsi" w:cstheme="minorBidi"/>
          <w:szCs w:val="22"/>
        </w:rPr>
        <w:tab/>
        <w:t xml:space="preserve">Moradi M, </w:t>
      </w:r>
      <w:proofErr w:type="spellStart"/>
      <w:r w:rsidRPr="00E126EF">
        <w:rPr>
          <w:rFonts w:eastAsiaTheme="minorHAnsi" w:cstheme="minorBidi"/>
          <w:szCs w:val="22"/>
        </w:rPr>
        <w:t>Gharesouran</w:t>
      </w:r>
      <w:proofErr w:type="spellEnd"/>
      <w:r w:rsidRPr="00E126EF">
        <w:rPr>
          <w:rFonts w:eastAsiaTheme="minorHAnsi" w:cstheme="minorBidi"/>
          <w:szCs w:val="22"/>
        </w:rPr>
        <w:t xml:space="preserve"> J, </w:t>
      </w:r>
      <w:proofErr w:type="spellStart"/>
      <w:r w:rsidRPr="00E126EF">
        <w:rPr>
          <w:rFonts w:eastAsiaTheme="minorHAnsi" w:cstheme="minorBidi"/>
          <w:szCs w:val="22"/>
        </w:rPr>
        <w:t>Ghafouri-Fard</w:t>
      </w:r>
      <w:proofErr w:type="spellEnd"/>
      <w:r w:rsidRPr="00E126EF">
        <w:rPr>
          <w:rFonts w:eastAsiaTheme="minorHAnsi" w:cstheme="minorBidi"/>
          <w:szCs w:val="22"/>
        </w:rPr>
        <w:t xml:space="preserve"> S, </w:t>
      </w:r>
      <w:proofErr w:type="spellStart"/>
      <w:r w:rsidRPr="00E126EF">
        <w:rPr>
          <w:rFonts w:eastAsiaTheme="minorHAnsi" w:cstheme="minorBidi"/>
          <w:szCs w:val="22"/>
        </w:rPr>
        <w:t>Noroozi</w:t>
      </w:r>
      <w:proofErr w:type="spellEnd"/>
      <w:r w:rsidRPr="00E126EF">
        <w:rPr>
          <w:rFonts w:eastAsiaTheme="minorHAnsi" w:cstheme="minorBidi"/>
          <w:szCs w:val="22"/>
        </w:rPr>
        <w:t xml:space="preserve"> R, </w:t>
      </w:r>
      <w:proofErr w:type="spellStart"/>
      <w:r w:rsidRPr="00E126EF">
        <w:rPr>
          <w:rFonts w:eastAsiaTheme="minorHAnsi" w:cstheme="minorBidi"/>
          <w:szCs w:val="22"/>
        </w:rPr>
        <w:t>Talebian</w:t>
      </w:r>
      <w:proofErr w:type="spellEnd"/>
      <w:r w:rsidRPr="00E126EF">
        <w:rPr>
          <w:rFonts w:eastAsiaTheme="minorHAnsi" w:cstheme="minorBidi"/>
          <w:szCs w:val="22"/>
        </w:rPr>
        <w:t xml:space="preserve"> S, Taheri M, Rezazadeh M. Role of NR3C1 and GAS5 genes polymorphisms in multiple sclerosis. Int J </w:t>
      </w:r>
      <w:proofErr w:type="spellStart"/>
      <w:r w:rsidRPr="00E126EF">
        <w:rPr>
          <w:rFonts w:eastAsiaTheme="minorHAnsi" w:cstheme="minorBidi"/>
          <w:szCs w:val="22"/>
        </w:rPr>
        <w:t>Neurosci</w:t>
      </w:r>
      <w:proofErr w:type="spellEnd"/>
      <w:r w:rsidRPr="00E126EF">
        <w:rPr>
          <w:rFonts w:eastAsiaTheme="minorHAnsi" w:cstheme="minorBidi"/>
          <w:szCs w:val="22"/>
        </w:rPr>
        <w:t>. 2020; 130(4):407-412</w:t>
      </w:r>
    </w:p>
    <w:p w14:paraId="68CA103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348.</w:t>
      </w:r>
      <w:r w:rsidRPr="00E126EF">
        <w:rPr>
          <w:rFonts w:eastAsiaTheme="minorHAnsi" w:cstheme="minorBidi"/>
          <w:szCs w:val="22"/>
        </w:rPr>
        <w:tab/>
        <w:t xml:space="preserve">Esguerra JLS, Ofori JK, Nagao M, </w:t>
      </w:r>
      <w:proofErr w:type="spellStart"/>
      <w:r w:rsidRPr="00E126EF">
        <w:rPr>
          <w:rFonts w:eastAsiaTheme="minorHAnsi" w:cstheme="minorBidi"/>
          <w:szCs w:val="22"/>
        </w:rPr>
        <w:t>Shuto</w:t>
      </w:r>
      <w:proofErr w:type="spellEnd"/>
      <w:r w:rsidRPr="00E126EF">
        <w:rPr>
          <w:rFonts w:eastAsiaTheme="minorHAnsi" w:cstheme="minorBidi"/>
          <w:szCs w:val="22"/>
        </w:rPr>
        <w:t xml:space="preserve"> Y, </w:t>
      </w:r>
      <w:proofErr w:type="spellStart"/>
      <w:r w:rsidRPr="00E126EF">
        <w:rPr>
          <w:rFonts w:eastAsiaTheme="minorHAnsi" w:cstheme="minorBidi"/>
          <w:szCs w:val="22"/>
        </w:rPr>
        <w:t>Karagiannopoulos</w:t>
      </w:r>
      <w:proofErr w:type="spellEnd"/>
      <w:r w:rsidRPr="00E126EF">
        <w:rPr>
          <w:rFonts w:eastAsiaTheme="minorHAnsi" w:cstheme="minorBidi"/>
          <w:szCs w:val="22"/>
        </w:rPr>
        <w:t xml:space="preserve"> A, </w:t>
      </w:r>
      <w:proofErr w:type="spellStart"/>
      <w:r w:rsidRPr="00E126EF">
        <w:rPr>
          <w:rFonts w:eastAsiaTheme="minorHAnsi" w:cstheme="minorBidi"/>
          <w:szCs w:val="22"/>
        </w:rPr>
        <w:t>Fadista</w:t>
      </w:r>
      <w:proofErr w:type="spellEnd"/>
      <w:r w:rsidRPr="00E126EF">
        <w:rPr>
          <w:rFonts w:eastAsiaTheme="minorHAnsi" w:cstheme="minorBidi"/>
          <w:szCs w:val="22"/>
        </w:rPr>
        <w:t xml:space="preserve"> J, Sugihara H, </w:t>
      </w:r>
      <w:proofErr w:type="spellStart"/>
      <w:r w:rsidRPr="00E126EF">
        <w:rPr>
          <w:rFonts w:eastAsiaTheme="minorHAnsi" w:cstheme="minorBidi"/>
          <w:szCs w:val="22"/>
        </w:rPr>
        <w:t>Groop</w:t>
      </w:r>
      <w:proofErr w:type="spellEnd"/>
      <w:r w:rsidRPr="00E126EF">
        <w:rPr>
          <w:rFonts w:eastAsiaTheme="minorHAnsi" w:cstheme="minorBidi"/>
          <w:szCs w:val="22"/>
        </w:rPr>
        <w:t xml:space="preserve"> L, Eliasson L. Glucocorticoid induces human beta cell dysfunction by involving </w:t>
      </w:r>
      <w:proofErr w:type="spellStart"/>
      <w:r w:rsidRPr="00E126EF">
        <w:rPr>
          <w:rFonts w:eastAsiaTheme="minorHAnsi" w:cstheme="minorBidi"/>
          <w:szCs w:val="22"/>
        </w:rPr>
        <w:t>riborepressor</w:t>
      </w:r>
      <w:proofErr w:type="spellEnd"/>
      <w:r w:rsidRPr="00E126EF">
        <w:rPr>
          <w:rFonts w:eastAsiaTheme="minorHAnsi" w:cstheme="minorBidi"/>
          <w:szCs w:val="22"/>
        </w:rPr>
        <w:t xml:space="preserve"> GAS5 LincRNA. Mol </w:t>
      </w:r>
      <w:proofErr w:type="spellStart"/>
      <w:r w:rsidRPr="00E126EF">
        <w:rPr>
          <w:rFonts w:eastAsiaTheme="minorHAnsi" w:cstheme="minorBidi"/>
          <w:szCs w:val="22"/>
        </w:rPr>
        <w:t>Metab</w:t>
      </w:r>
      <w:proofErr w:type="spellEnd"/>
      <w:r w:rsidRPr="00E126EF">
        <w:rPr>
          <w:rFonts w:eastAsiaTheme="minorHAnsi" w:cstheme="minorBidi"/>
          <w:szCs w:val="22"/>
        </w:rPr>
        <w:t>. 2020; 32:160-167</w:t>
      </w:r>
    </w:p>
    <w:p w14:paraId="2ADC268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349.</w:t>
      </w:r>
      <w:r w:rsidRPr="00E126EF">
        <w:rPr>
          <w:rFonts w:eastAsiaTheme="minorHAnsi" w:cstheme="minorBidi"/>
          <w:szCs w:val="22"/>
        </w:rPr>
        <w:tab/>
      </w:r>
      <w:proofErr w:type="spellStart"/>
      <w:r w:rsidRPr="00E126EF">
        <w:rPr>
          <w:rFonts w:eastAsiaTheme="minorHAnsi" w:cstheme="minorBidi"/>
          <w:szCs w:val="22"/>
        </w:rPr>
        <w:t>Gasic</w:t>
      </w:r>
      <w:proofErr w:type="spellEnd"/>
      <w:r w:rsidRPr="00E126EF">
        <w:rPr>
          <w:rFonts w:eastAsiaTheme="minorHAnsi" w:cstheme="minorBidi"/>
          <w:szCs w:val="22"/>
        </w:rPr>
        <w:t xml:space="preserve"> V, Stankovic B, </w:t>
      </w:r>
      <w:proofErr w:type="spellStart"/>
      <w:r w:rsidRPr="00E126EF">
        <w:rPr>
          <w:rFonts w:eastAsiaTheme="minorHAnsi" w:cstheme="minorBidi"/>
          <w:szCs w:val="22"/>
        </w:rPr>
        <w:t>Zukic</w:t>
      </w:r>
      <w:proofErr w:type="spellEnd"/>
      <w:r w:rsidRPr="00E126EF">
        <w:rPr>
          <w:rFonts w:eastAsiaTheme="minorHAnsi" w:cstheme="minorBidi"/>
          <w:szCs w:val="22"/>
        </w:rPr>
        <w:t xml:space="preserve"> B, </w:t>
      </w:r>
      <w:proofErr w:type="spellStart"/>
      <w:r w:rsidRPr="00E126EF">
        <w:rPr>
          <w:rFonts w:eastAsiaTheme="minorHAnsi" w:cstheme="minorBidi"/>
          <w:szCs w:val="22"/>
        </w:rPr>
        <w:t>Janic</w:t>
      </w:r>
      <w:proofErr w:type="spellEnd"/>
      <w:r w:rsidRPr="00E126EF">
        <w:rPr>
          <w:rFonts w:eastAsiaTheme="minorHAnsi" w:cstheme="minorBidi"/>
          <w:szCs w:val="22"/>
        </w:rPr>
        <w:t xml:space="preserve"> D, </w:t>
      </w:r>
      <w:proofErr w:type="spellStart"/>
      <w:r w:rsidRPr="00E126EF">
        <w:rPr>
          <w:rFonts w:eastAsiaTheme="minorHAnsi" w:cstheme="minorBidi"/>
          <w:szCs w:val="22"/>
        </w:rPr>
        <w:t>Dokmanovic</w:t>
      </w:r>
      <w:proofErr w:type="spellEnd"/>
      <w:r w:rsidRPr="00E126EF">
        <w:rPr>
          <w:rFonts w:eastAsiaTheme="minorHAnsi" w:cstheme="minorBidi"/>
          <w:szCs w:val="22"/>
        </w:rPr>
        <w:t xml:space="preserve"> L, </w:t>
      </w:r>
      <w:proofErr w:type="spellStart"/>
      <w:r w:rsidRPr="00E126EF">
        <w:rPr>
          <w:rFonts w:eastAsiaTheme="minorHAnsi" w:cstheme="minorBidi"/>
          <w:szCs w:val="22"/>
        </w:rPr>
        <w:t>Krstovski</w:t>
      </w:r>
      <w:proofErr w:type="spellEnd"/>
      <w:r w:rsidRPr="00E126EF">
        <w:rPr>
          <w:rFonts w:eastAsiaTheme="minorHAnsi" w:cstheme="minorBidi"/>
          <w:szCs w:val="22"/>
        </w:rPr>
        <w:t xml:space="preserve"> N, </w:t>
      </w:r>
      <w:proofErr w:type="spellStart"/>
      <w:r w:rsidRPr="00E126EF">
        <w:rPr>
          <w:rFonts w:eastAsiaTheme="minorHAnsi" w:cstheme="minorBidi"/>
          <w:szCs w:val="22"/>
        </w:rPr>
        <w:t>Lazic</w:t>
      </w:r>
      <w:proofErr w:type="spellEnd"/>
      <w:r w:rsidRPr="00E126EF">
        <w:rPr>
          <w:rFonts w:eastAsiaTheme="minorHAnsi" w:cstheme="minorBidi"/>
          <w:szCs w:val="22"/>
        </w:rPr>
        <w:t xml:space="preserve"> J, Milosevic G, </w:t>
      </w:r>
      <w:proofErr w:type="spellStart"/>
      <w:r w:rsidRPr="00E126EF">
        <w:rPr>
          <w:rFonts w:eastAsiaTheme="minorHAnsi" w:cstheme="minorBidi"/>
          <w:szCs w:val="22"/>
        </w:rPr>
        <w:t>Lucafò</w:t>
      </w:r>
      <w:proofErr w:type="spellEnd"/>
      <w:r w:rsidRPr="00E126EF">
        <w:rPr>
          <w:rFonts w:eastAsiaTheme="minorHAnsi" w:cstheme="minorBidi"/>
          <w:szCs w:val="22"/>
        </w:rPr>
        <w:t xml:space="preserve"> M, </w:t>
      </w:r>
      <w:proofErr w:type="spellStart"/>
      <w:r w:rsidRPr="00E126EF">
        <w:rPr>
          <w:rFonts w:eastAsiaTheme="minorHAnsi" w:cstheme="minorBidi"/>
          <w:szCs w:val="22"/>
        </w:rPr>
        <w:t>Stocco</w:t>
      </w:r>
      <w:proofErr w:type="spellEnd"/>
      <w:r w:rsidRPr="00E126EF">
        <w:rPr>
          <w:rFonts w:eastAsiaTheme="minorHAnsi" w:cstheme="minorBidi"/>
          <w:szCs w:val="22"/>
        </w:rPr>
        <w:t xml:space="preserve"> G, </w:t>
      </w:r>
      <w:proofErr w:type="spellStart"/>
      <w:r w:rsidRPr="00E126EF">
        <w:rPr>
          <w:rFonts w:eastAsiaTheme="minorHAnsi" w:cstheme="minorBidi"/>
          <w:szCs w:val="22"/>
        </w:rPr>
        <w:t>Decorti</w:t>
      </w:r>
      <w:proofErr w:type="spellEnd"/>
      <w:r w:rsidRPr="00E126EF">
        <w:rPr>
          <w:rFonts w:eastAsiaTheme="minorHAnsi" w:cstheme="minorBidi"/>
          <w:szCs w:val="22"/>
        </w:rPr>
        <w:t xml:space="preserve"> G, Pavlovic S, </w:t>
      </w:r>
      <w:proofErr w:type="spellStart"/>
      <w:r w:rsidRPr="00E126EF">
        <w:rPr>
          <w:rFonts w:eastAsiaTheme="minorHAnsi" w:cstheme="minorBidi"/>
          <w:szCs w:val="22"/>
        </w:rPr>
        <w:t>Kotur</w:t>
      </w:r>
      <w:proofErr w:type="spellEnd"/>
      <w:r w:rsidRPr="00E126EF">
        <w:rPr>
          <w:rFonts w:eastAsiaTheme="minorHAnsi" w:cstheme="minorBidi"/>
          <w:szCs w:val="22"/>
        </w:rPr>
        <w:t xml:space="preserve"> N. Expression Pattern of Long Non-coding RNA Growth Arrest-specific 5 in the Remission Induction Therapy in Childhood Acute Lymphoblastic Leukemia. J Med </w:t>
      </w:r>
      <w:proofErr w:type="spellStart"/>
      <w:r w:rsidRPr="00E126EF">
        <w:rPr>
          <w:rFonts w:eastAsiaTheme="minorHAnsi" w:cstheme="minorBidi"/>
          <w:szCs w:val="22"/>
        </w:rPr>
        <w:t>Biochem</w:t>
      </w:r>
      <w:proofErr w:type="spellEnd"/>
      <w:r w:rsidRPr="00E126EF">
        <w:rPr>
          <w:rFonts w:eastAsiaTheme="minorHAnsi" w:cstheme="minorBidi"/>
          <w:szCs w:val="22"/>
        </w:rPr>
        <w:t>. 2019; 38(3):292-298</w:t>
      </w:r>
    </w:p>
    <w:p w14:paraId="5ABE029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350.</w:t>
      </w:r>
      <w:r w:rsidRPr="00E126EF">
        <w:rPr>
          <w:rFonts w:eastAsiaTheme="minorHAnsi" w:cstheme="minorBidi"/>
          <w:szCs w:val="22"/>
        </w:rPr>
        <w:tab/>
      </w:r>
      <w:proofErr w:type="spellStart"/>
      <w:r w:rsidRPr="00E126EF">
        <w:rPr>
          <w:rFonts w:eastAsiaTheme="minorHAnsi" w:cstheme="minorBidi"/>
          <w:szCs w:val="22"/>
        </w:rPr>
        <w:t>Ketab</w:t>
      </w:r>
      <w:proofErr w:type="spellEnd"/>
      <w:r w:rsidRPr="00E126EF">
        <w:rPr>
          <w:rFonts w:eastAsiaTheme="minorHAnsi" w:cstheme="minorBidi"/>
          <w:szCs w:val="22"/>
        </w:rPr>
        <w:t xml:space="preserve"> FNG, </w:t>
      </w:r>
      <w:proofErr w:type="spellStart"/>
      <w:r w:rsidRPr="00E126EF">
        <w:rPr>
          <w:rFonts w:eastAsiaTheme="minorHAnsi" w:cstheme="minorBidi"/>
          <w:szCs w:val="22"/>
        </w:rPr>
        <w:t>Gharesouran</w:t>
      </w:r>
      <w:proofErr w:type="spellEnd"/>
      <w:r w:rsidRPr="00E126EF">
        <w:rPr>
          <w:rFonts w:eastAsiaTheme="minorHAnsi" w:cstheme="minorBidi"/>
          <w:szCs w:val="22"/>
        </w:rPr>
        <w:t xml:space="preserve"> J, </w:t>
      </w:r>
      <w:proofErr w:type="spellStart"/>
      <w:r w:rsidRPr="00E126EF">
        <w:rPr>
          <w:rFonts w:eastAsiaTheme="minorHAnsi" w:cstheme="minorBidi"/>
          <w:szCs w:val="22"/>
        </w:rPr>
        <w:t>Ghafouri-Fard</w:t>
      </w:r>
      <w:proofErr w:type="spellEnd"/>
      <w:r w:rsidRPr="00E126EF">
        <w:rPr>
          <w:rFonts w:eastAsiaTheme="minorHAnsi" w:cstheme="minorBidi"/>
          <w:szCs w:val="22"/>
        </w:rPr>
        <w:t xml:space="preserve"> S, </w:t>
      </w:r>
      <w:proofErr w:type="spellStart"/>
      <w:r w:rsidRPr="00E126EF">
        <w:rPr>
          <w:rFonts w:eastAsiaTheme="minorHAnsi" w:cstheme="minorBidi"/>
          <w:szCs w:val="22"/>
        </w:rPr>
        <w:t>Dastar</w:t>
      </w:r>
      <w:proofErr w:type="spellEnd"/>
      <w:r w:rsidRPr="00E126EF">
        <w:rPr>
          <w:rFonts w:eastAsiaTheme="minorHAnsi" w:cstheme="minorBidi"/>
          <w:szCs w:val="22"/>
        </w:rPr>
        <w:t xml:space="preserve"> S, </w:t>
      </w:r>
      <w:proofErr w:type="spellStart"/>
      <w:r w:rsidRPr="00E126EF">
        <w:rPr>
          <w:rFonts w:eastAsiaTheme="minorHAnsi" w:cstheme="minorBidi"/>
          <w:szCs w:val="22"/>
        </w:rPr>
        <w:t>Mazraeh</w:t>
      </w:r>
      <w:proofErr w:type="spellEnd"/>
      <w:r w:rsidRPr="00E126EF">
        <w:rPr>
          <w:rFonts w:eastAsiaTheme="minorHAnsi" w:cstheme="minorBidi"/>
          <w:szCs w:val="22"/>
        </w:rPr>
        <w:t xml:space="preserve"> SA, </w:t>
      </w:r>
      <w:proofErr w:type="spellStart"/>
      <w:r w:rsidRPr="00E126EF">
        <w:rPr>
          <w:rFonts w:eastAsiaTheme="minorHAnsi" w:cstheme="minorBidi"/>
          <w:szCs w:val="22"/>
        </w:rPr>
        <w:t>Hosseinzadeh</w:t>
      </w:r>
      <w:proofErr w:type="spellEnd"/>
      <w:r w:rsidRPr="00E126EF">
        <w:rPr>
          <w:rFonts w:eastAsiaTheme="minorHAnsi" w:cstheme="minorBidi"/>
          <w:szCs w:val="22"/>
        </w:rPr>
        <w:t xml:space="preserve"> H, Moradi M, </w:t>
      </w:r>
      <w:proofErr w:type="spellStart"/>
      <w:r w:rsidRPr="00E126EF">
        <w:rPr>
          <w:rFonts w:eastAsiaTheme="minorHAnsi" w:cstheme="minorBidi"/>
          <w:szCs w:val="22"/>
        </w:rPr>
        <w:t>Javadlar</w:t>
      </w:r>
      <w:proofErr w:type="spellEnd"/>
      <w:r w:rsidRPr="00E126EF">
        <w:rPr>
          <w:rFonts w:eastAsiaTheme="minorHAnsi" w:cstheme="minorBidi"/>
          <w:szCs w:val="22"/>
        </w:rPr>
        <w:t xml:space="preserve"> M, </w:t>
      </w:r>
      <w:proofErr w:type="spellStart"/>
      <w:r w:rsidRPr="00E126EF">
        <w:rPr>
          <w:rFonts w:eastAsiaTheme="minorHAnsi" w:cstheme="minorBidi"/>
          <w:szCs w:val="22"/>
        </w:rPr>
        <w:t>Hiradfar</w:t>
      </w:r>
      <w:proofErr w:type="spellEnd"/>
      <w:r w:rsidRPr="00E126EF">
        <w:rPr>
          <w:rFonts w:eastAsiaTheme="minorHAnsi" w:cstheme="minorBidi"/>
          <w:szCs w:val="22"/>
        </w:rPr>
        <w:t xml:space="preserve"> A, </w:t>
      </w:r>
      <w:proofErr w:type="spellStart"/>
      <w:r w:rsidRPr="00E126EF">
        <w:rPr>
          <w:rFonts w:eastAsiaTheme="minorHAnsi" w:cstheme="minorBidi"/>
          <w:szCs w:val="22"/>
        </w:rPr>
        <w:t>Rezamand</w:t>
      </w:r>
      <w:proofErr w:type="spellEnd"/>
      <w:r w:rsidRPr="00E126EF">
        <w:rPr>
          <w:rFonts w:eastAsiaTheme="minorHAnsi" w:cstheme="minorBidi"/>
          <w:szCs w:val="22"/>
        </w:rPr>
        <w:t xml:space="preserve"> A, Taheri M, Rezazadeh M. Dual biomarkers long non-coding RNA GAS5 and its target, NR3C1, contribute to acute myeloid leukemia. Exp Mol </w:t>
      </w:r>
      <w:proofErr w:type="spellStart"/>
      <w:r w:rsidRPr="00E126EF">
        <w:rPr>
          <w:rFonts w:eastAsiaTheme="minorHAnsi" w:cstheme="minorBidi"/>
          <w:szCs w:val="22"/>
        </w:rPr>
        <w:t>Pathol</w:t>
      </w:r>
      <w:proofErr w:type="spellEnd"/>
      <w:r w:rsidRPr="00E126EF">
        <w:rPr>
          <w:rFonts w:eastAsiaTheme="minorHAnsi" w:cstheme="minorBidi"/>
          <w:szCs w:val="22"/>
        </w:rPr>
        <w:t>. 2020; 114:104399</w:t>
      </w:r>
    </w:p>
    <w:p w14:paraId="46776CD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351.</w:t>
      </w:r>
      <w:r w:rsidRPr="00E126EF">
        <w:rPr>
          <w:rFonts w:eastAsiaTheme="minorHAnsi" w:cstheme="minorBidi"/>
          <w:szCs w:val="22"/>
        </w:rPr>
        <w:tab/>
        <w:t xml:space="preserve">Yang L, Lin C, </w:t>
      </w:r>
      <w:proofErr w:type="spellStart"/>
      <w:r w:rsidRPr="00E126EF">
        <w:rPr>
          <w:rFonts w:eastAsiaTheme="minorHAnsi" w:cstheme="minorBidi"/>
          <w:szCs w:val="22"/>
        </w:rPr>
        <w:t>Jin</w:t>
      </w:r>
      <w:proofErr w:type="spellEnd"/>
      <w:r w:rsidRPr="00E126EF">
        <w:rPr>
          <w:rFonts w:eastAsiaTheme="minorHAnsi" w:cstheme="minorBidi"/>
          <w:szCs w:val="22"/>
        </w:rPr>
        <w:t xml:space="preserve"> C, Yang JC, </w:t>
      </w:r>
      <w:proofErr w:type="spellStart"/>
      <w:r w:rsidRPr="00E126EF">
        <w:rPr>
          <w:rFonts w:eastAsiaTheme="minorHAnsi" w:cstheme="minorBidi"/>
          <w:szCs w:val="22"/>
        </w:rPr>
        <w:t>Tanasa</w:t>
      </w:r>
      <w:proofErr w:type="spellEnd"/>
      <w:r w:rsidRPr="00E126EF">
        <w:rPr>
          <w:rFonts w:eastAsiaTheme="minorHAnsi" w:cstheme="minorBidi"/>
          <w:szCs w:val="22"/>
        </w:rPr>
        <w:t xml:space="preserve"> B, Li W, </w:t>
      </w:r>
      <w:proofErr w:type="spellStart"/>
      <w:r w:rsidRPr="00E126EF">
        <w:rPr>
          <w:rFonts w:eastAsiaTheme="minorHAnsi" w:cstheme="minorBidi"/>
          <w:szCs w:val="22"/>
        </w:rPr>
        <w:t>Merkurjev</w:t>
      </w:r>
      <w:proofErr w:type="spellEnd"/>
      <w:r w:rsidRPr="00E126EF">
        <w:rPr>
          <w:rFonts w:eastAsiaTheme="minorHAnsi" w:cstheme="minorBidi"/>
          <w:szCs w:val="22"/>
        </w:rPr>
        <w:t xml:space="preserve"> D, </w:t>
      </w:r>
      <w:proofErr w:type="spellStart"/>
      <w:r w:rsidRPr="00E126EF">
        <w:rPr>
          <w:rFonts w:eastAsiaTheme="minorHAnsi" w:cstheme="minorBidi"/>
          <w:szCs w:val="22"/>
        </w:rPr>
        <w:t>Ohgi</w:t>
      </w:r>
      <w:proofErr w:type="spellEnd"/>
      <w:r w:rsidRPr="00E126EF">
        <w:rPr>
          <w:rFonts w:eastAsiaTheme="minorHAnsi" w:cstheme="minorBidi"/>
          <w:szCs w:val="22"/>
        </w:rPr>
        <w:t xml:space="preserve"> KA, Meng D, Zhang J, Evans CP, Rosenfeld MG. lncRNA-dependent mechanisms of androgen-receptor-regulated gene activation programs. Nature 2013; 500:598-602</w:t>
      </w:r>
    </w:p>
    <w:p w14:paraId="6E97879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352.</w:t>
      </w:r>
      <w:r w:rsidRPr="00E126EF">
        <w:rPr>
          <w:rFonts w:eastAsiaTheme="minorHAnsi" w:cstheme="minorBidi"/>
          <w:szCs w:val="22"/>
        </w:rPr>
        <w:tab/>
        <w:t xml:space="preserve">Kino T, </w:t>
      </w:r>
      <w:proofErr w:type="spellStart"/>
      <w:r w:rsidRPr="00E126EF">
        <w:rPr>
          <w:rFonts w:eastAsiaTheme="minorHAnsi" w:cstheme="minorBidi"/>
          <w:szCs w:val="22"/>
        </w:rPr>
        <w:t>Su</w:t>
      </w:r>
      <w:proofErr w:type="spellEnd"/>
      <w:r w:rsidRPr="00E126EF">
        <w:rPr>
          <w:rFonts w:eastAsiaTheme="minorHAnsi" w:cstheme="minorBidi"/>
          <w:szCs w:val="22"/>
        </w:rPr>
        <w:t xml:space="preserve"> YA, Chrousos GP. Human glucocorticoid receptor isoform b: recent understanding of its potential implications in physiology and pathophysiology. Cell Mol Life Sci 2009; 66:3435-3448</w:t>
      </w:r>
    </w:p>
    <w:p w14:paraId="46388B2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353.</w:t>
      </w:r>
      <w:r w:rsidRPr="00E126EF">
        <w:rPr>
          <w:rFonts w:eastAsiaTheme="minorHAnsi" w:cstheme="minorBidi"/>
          <w:szCs w:val="22"/>
        </w:rPr>
        <w:tab/>
        <w:t xml:space="preserve">Schaaf MJ, Champagne D, van </w:t>
      </w:r>
      <w:proofErr w:type="spellStart"/>
      <w:r w:rsidRPr="00E126EF">
        <w:rPr>
          <w:rFonts w:eastAsiaTheme="minorHAnsi" w:cstheme="minorBidi"/>
          <w:szCs w:val="22"/>
        </w:rPr>
        <w:t>Laanen</w:t>
      </w:r>
      <w:proofErr w:type="spellEnd"/>
      <w:r w:rsidRPr="00E126EF">
        <w:rPr>
          <w:rFonts w:eastAsiaTheme="minorHAnsi" w:cstheme="minorBidi"/>
          <w:szCs w:val="22"/>
        </w:rPr>
        <w:t xml:space="preserve"> IH, van </w:t>
      </w:r>
      <w:proofErr w:type="spellStart"/>
      <w:r w:rsidRPr="00E126EF">
        <w:rPr>
          <w:rFonts w:eastAsiaTheme="minorHAnsi" w:cstheme="minorBidi"/>
          <w:szCs w:val="22"/>
        </w:rPr>
        <w:t>Wijk</w:t>
      </w:r>
      <w:proofErr w:type="spellEnd"/>
      <w:r w:rsidRPr="00E126EF">
        <w:rPr>
          <w:rFonts w:eastAsiaTheme="minorHAnsi" w:cstheme="minorBidi"/>
          <w:szCs w:val="22"/>
        </w:rPr>
        <w:t xml:space="preserve"> DC, Meijer AH, Meijer OC, </w:t>
      </w:r>
      <w:proofErr w:type="spellStart"/>
      <w:r w:rsidRPr="00E126EF">
        <w:rPr>
          <w:rFonts w:eastAsiaTheme="minorHAnsi" w:cstheme="minorBidi"/>
          <w:szCs w:val="22"/>
        </w:rPr>
        <w:t>Spaink</w:t>
      </w:r>
      <w:proofErr w:type="spellEnd"/>
      <w:r w:rsidRPr="00E126EF">
        <w:rPr>
          <w:rFonts w:eastAsiaTheme="minorHAnsi" w:cstheme="minorBidi"/>
          <w:szCs w:val="22"/>
        </w:rPr>
        <w:t xml:space="preserve"> HP, Richardson MK. Discovery of a functional glucocorticoid receptor b-isoform in zebrafish. Endocrinology 2008; 149:1591-1599</w:t>
      </w:r>
    </w:p>
    <w:p w14:paraId="023E7FE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354.</w:t>
      </w:r>
      <w:r w:rsidRPr="00E126EF">
        <w:rPr>
          <w:rFonts w:eastAsiaTheme="minorHAnsi" w:cstheme="minorBidi"/>
          <w:szCs w:val="22"/>
        </w:rPr>
        <w:tab/>
        <w:t>Otto C, Reichardt HM, Schutz G. Absence of glucocorticoid receptor-b in mice. J Biol Chem 1997; 272:26665-26668</w:t>
      </w:r>
    </w:p>
    <w:p w14:paraId="32BC9D2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355.</w:t>
      </w:r>
      <w:r w:rsidRPr="00E126EF">
        <w:rPr>
          <w:rFonts w:eastAsiaTheme="minorHAnsi" w:cstheme="minorBidi"/>
          <w:szCs w:val="22"/>
        </w:rPr>
        <w:tab/>
        <w:t xml:space="preserve">DuBois DC, Sukumaran S, </w:t>
      </w:r>
      <w:proofErr w:type="spellStart"/>
      <w:r w:rsidRPr="00E126EF">
        <w:rPr>
          <w:rFonts w:eastAsiaTheme="minorHAnsi" w:cstheme="minorBidi"/>
          <w:szCs w:val="22"/>
        </w:rPr>
        <w:t>Jusko</w:t>
      </w:r>
      <w:proofErr w:type="spellEnd"/>
      <w:r w:rsidRPr="00E126EF">
        <w:rPr>
          <w:rFonts w:eastAsiaTheme="minorHAnsi" w:cstheme="minorBidi"/>
          <w:szCs w:val="22"/>
        </w:rPr>
        <w:t xml:space="preserve"> WJ, Almon RR. Evidence for a glucocorticoid receptor b splice variant in the rat and its physiological regulation in liver. Steroids 2013; 78:312-320</w:t>
      </w:r>
    </w:p>
    <w:p w14:paraId="08E4ABE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356.</w:t>
      </w:r>
      <w:r w:rsidRPr="00E126EF">
        <w:rPr>
          <w:rFonts w:eastAsiaTheme="minorHAnsi" w:cstheme="minorBidi"/>
          <w:szCs w:val="22"/>
        </w:rPr>
        <w:tab/>
        <w:t xml:space="preserve">Kino T, Chrousos GP. Glucocorticoid and mineralocorticoid receptors and associated diseases. Essays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2004; 40:137-155</w:t>
      </w:r>
    </w:p>
    <w:p w14:paraId="47A4384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357.</w:t>
      </w:r>
      <w:r w:rsidRPr="00E126EF">
        <w:rPr>
          <w:rFonts w:eastAsiaTheme="minorHAnsi" w:cstheme="minorBidi"/>
          <w:szCs w:val="22"/>
        </w:rPr>
        <w:tab/>
        <w:t xml:space="preserve">Charmandari E, Chrousos GP,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Bhattacharyya N, Vottero A, </w:t>
      </w:r>
      <w:proofErr w:type="spellStart"/>
      <w:r w:rsidRPr="00E126EF">
        <w:rPr>
          <w:rFonts w:eastAsiaTheme="minorHAnsi" w:cstheme="minorBidi"/>
          <w:szCs w:val="22"/>
        </w:rPr>
        <w:t>Souvatzoglou</w:t>
      </w:r>
      <w:proofErr w:type="spellEnd"/>
      <w:r w:rsidRPr="00E126EF">
        <w:rPr>
          <w:rFonts w:eastAsiaTheme="minorHAnsi" w:cstheme="minorBidi"/>
          <w:szCs w:val="22"/>
        </w:rPr>
        <w:t xml:space="preserve"> E, Kino T. The human glucocorticoid receptor (hGR) b isoform suppresses the transcriptional activity of hGRa by interfering with formation of active coactivator complexes. Mol Endocrinol 2005; 19:52-64</w:t>
      </w:r>
    </w:p>
    <w:p w14:paraId="0210CB5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358.</w:t>
      </w:r>
      <w:r w:rsidRPr="00E126EF">
        <w:rPr>
          <w:rFonts w:eastAsiaTheme="minorHAnsi" w:cstheme="minorBidi"/>
          <w:szCs w:val="22"/>
        </w:rPr>
        <w:tab/>
        <w:t xml:space="preserve">Oakley RH, Jewell CM, </w:t>
      </w:r>
      <w:proofErr w:type="spellStart"/>
      <w:r w:rsidRPr="00E126EF">
        <w:rPr>
          <w:rFonts w:eastAsiaTheme="minorHAnsi" w:cstheme="minorBidi"/>
          <w:szCs w:val="22"/>
        </w:rPr>
        <w:t>Yudt</w:t>
      </w:r>
      <w:proofErr w:type="spellEnd"/>
      <w:r w:rsidRPr="00E126EF">
        <w:rPr>
          <w:rFonts w:eastAsiaTheme="minorHAnsi" w:cstheme="minorBidi"/>
          <w:szCs w:val="22"/>
        </w:rPr>
        <w:t xml:space="preserve"> MR, </w:t>
      </w:r>
      <w:proofErr w:type="spellStart"/>
      <w:r w:rsidRPr="00E126EF">
        <w:rPr>
          <w:rFonts w:eastAsiaTheme="minorHAnsi" w:cstheme="minorBidi"/>
          <w:szCs w:val="22"/>
        </w:rPr>
        <w:t>Bofetiado</w:t>
      </w:r>
      <w:proofErr w:type="spellEnd"/>
      <w:r w:rsidRPr="00E126EF">
        <w:rPr>
          <w:rFonts w:eastAsiaTheme="minorHAnsi" w:cstheme="minorBidi"/>
          <w:szCs w:val="22"/>
        </w:rPr>
        <w:t xml:space="preserve"> DM,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The dominant negative activity of the human glucocorticoid receptor b isoform. Specificity and mechanisms of action. J Biol Chem 1999; 274:27857-27866</w:t>
      </w:r>
    </w:p>
    <w:p w14:paraId="5954F17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359.</w:t>
      </w:r>
      <w:r w:rsidRPr="00E126EF">
        <w:rPr>
          <w:rFonts w:eastAsiaTheme="minorHAnsi" w:cstheme="minorBidi"/>
          <w:szCs w:val="22"/>
        </w:rPr>
        <w:tab/>
        <w:t xml:space="preserve">Li LB, Leung DY, Hall CF, </w:t>
      </w:r>
      <w:proofErr w:type="spellStart"/>
      <w:r w:rsidRPr="00E126EF">
        <w:rPr>
          <w:rFonts w:eastAsiaTheme="minorHAnsi" w:cstheme="minorBidi"/>
          <w:szCs w:val="22"/>
        </w:rPr>
        <w:t>Goleva</w:t>
      </w:r>
      <w:proofErr w:type="spellEnd"/>
      <w:r w:rsidRPr="00E126EF">
        <w:rPr>
          <w:rFonts w:eastAsiaTheme="minorHAnsi" w:cstheme="minorBidi"/>
          <w:szCs w:val="22"/>
        </w:rPr>
        <w:t xml:space="preserve"> E. Divergent expression and function of glucocorticoid receptor b in human monocytes and T cells. J </w:t>
      </w:r>
      <w:proofErr w:type="spellStart"/>
      <w:r w:rsidRPr="00E126EF">
        <w:rPr>
          <w:rFonts w:eastAsiaTheme="minorHAnsi" w:cstheme="minorBidi"/>
          <w:szCs w:val="22"/>
        </w:rPr>
        <w:t>Leukoc</w:t>
      </w:r>
      <w:proofErr w:type="spellEnd"/>
      <w:r w:rsidRPr="00E126EF">
        <w:rPr>
          <w:rFonts w:eastAsiaTheme="minorHAnsi" w:cstheme="minorBidi"/>
          <w:szCs w:val="22"/>
        </w:rPr>
        <w:t xml:space="preserve"> Biol 2006; 79:818-827</w:t>
      </w:r>
    </w:p>
    <w:p w14:paraId="2AC0328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360.</w:t>
      </w:r>
      <w:r w:rsidRPr="00E126EF">
        <w:rPr>
          <w:rFonts w:eastAsiaTheme="minorHAnsi" w:cstheme="minorBidi"/>
          <w:szCs w:val="22"/>
        </w:rPr>
        <w:tab/>
        <w:t xml:space="preserve">Zhang X, Clark AF, </w:t>
      </w:r>
      <w:proofErr w:type="spellStart"/>
      <w:r w:rsidRPr="00E126EF">
        <w:rPr>
          <w:rFonts w:eastAsiaTheme="minorHAnsi" w:cstheme="minorBidi"/>
          <w:szCs w:val="22"/>
        </w:rPr>
        <w:t>Yorio</w:t>
      </w:r>
      <w:proofErr w:type="spellEnd"/>
      <w:r w:rsidRPr="00E126EF">
        <w:rPr>
          <w:rFonts w:eastAsiaTheme="minorHAnsi" w:cstheme="minorBidi"/>
          <w:szCs w:val="22"/>
        </w:rPr>
        <w:t xml:space="preserve"> T. Regulation of glucocorticoid responsiveness in glaucomatous trabecular meshwork cells by glucocorticoid receptor-b. Invest </w:t>
      </w:r>
      <w:proofErr w:type="spellStart"/>
      <w:r w:rsidRPr="00E126EF">
        <w:rPr>
          <w:rFonts w:eastAsiaTheme="minorHAnsi" w:cstheme="minorBidi"/>
          <w:szCs w:val="22"/>
        </w:rPr>
        <w:t>Ophthalmol</w:t>
      </w:r>
      <w:proofErr w:type="spellEnd"/>
      <w:r w:rsidRPr="00E126EF">
        <w:rPr>
          <w:rFonts w:eastAsiaTheme="minorHAnsi" w:cstheme="minorBidi"/>
          <w:szCs w:val="22"/>
        </w:rPr>
        <w:t xml:space="preserve"> Vis Sci 2005; 46:4607-4616</w:t>
      </w:r>
    </w:p>
    <w:p w14:paraId="2A6057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361.</w:t>
      </w:r>
      <w:r w:rsidRPr="00E126EF">
        <w:rPr>
          <w:rFonts w:eastAsiaTheme="minorHAnsi" w:cstheme="minorBidi"/>
          <w:szCs w:val="22"/>
        </w:rPr>
        <w:tab/>
        <w:t xml:space="preserve">Kino T, </w:t>
      </w:r>
      <w:proofErr w:type="spellStart"/>
      <w:r w:rsidRPr="00E126EF">
        <w:rPr>
          <w:rFonts w:eastAsiaTheme="minorHAnsi" w:cstheme="minorBidi"/>
          <w:szCs w:val="22"/>
        </w:rPr>
        <w:t>Manoli</w:t>
      </w:r>
      <w:proofErr w:type="spellEnd"/>
      <w:r w:rsidRPr="00E126EF">
        <w:rPr>
          <w:rFonts w:eastAsiaTheme="minorHAnsi" w:cstheme="minorBidi"/>
          <w:szCs w:val="22"/>
        </w:rPr>
        <w:t xml:space="preserve"> I, Kelkar S, Wang Y, </w:t>
      </w:r>
      <w:proofErr w:type="spellStart"/>
      <w:r w:rsidRPr="00E126EF">
        <w:rPr>
          <w:rFonts w:eastAsiaTheme="minorHAnsi" w:cstheme="minorBidi"/>
          <w:szCs w:val="22"/>
        </w:rPr>
        <w:t>Su</w:t>
      </w:r>
      <w:proofErr w:type="spellEnd"/>
      <w:r w:rsidRPr="00E126EF">
        <w:rPr>
          <w:rFonts w:eastAsiaTheme="minorHAnsi" w:cstheme="minorBidi"/>
          <w:szCs w:val="22"/>
        </w:rPr>
        <w:t xml:space="preserve"> YA, Chrousos GP. Glucocorticoid receptor (GR) b has intrinsic, GRa-independent transcriptional activity.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2009; 381:671-675</w:t>
      </w:r>
    </w:p>
    <w:p w14:paraId="4D0EF13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362.</w:t>
      </w:r>
      <w:r w:rsidRPr="00E126EF">
        <w:rPr>
          <w:rFonts w:eastAsiaTheme="minorHAnsi" w:cstheme="minorBidi"/>
          <w:szCs w:val="22"/>
        </w:rPr>
        <w:tab/>
        <w:t>Lewis-</w:t>
      </w:r>
      <w:proofErr w:type="spellStart"/>
      <w:r w:rsidRPr="00E126EF">
        <w:rPr>
          <w:rFonts w:eastAsiaTheme="minorHAnsi" w:cstheme="minorBidi"/>
          <w:szCs w:val="22"/>
        </w:rPr>
        <w:t>Tuffin</w:t>
      </w:r>
      <w:proofErr w:type="spellEnd"/>
      <w:r w:rsidRPr="00E126EF">
        <w:rPr>
          <w:rFonts w:eastAsiaTheme="minorHAnsi" w:cstheme="minorBidi"/>
          <w:szCs w:val="22"/>
        </w:rPr>
        <w:t xml:space="preserve"> LJ, Jewell CM, </w:t>
      </w:r>
      <w:proofErr w:type="spellStart"/>
      <w:r w:rsidRPr="00E126EF">
        <w:rPr>
          <w:rFonts w:eastAsiaTheme="minorHAnsi" w:cstheme="minorBidi"/>
          <w:szCs w:val="22"/>
        </w:rPr>
        <w:t>Bienstock</w:t>
      </w:r>
      <w:proofErr w:type="spellEnd"/>
      <w:r w:rsidRPr="00E126EF">
        <w:rPr>
          <w:rFonts w:eastAsiaTheme="minorHAnsi" w:cstheme="minorBidi"/>
          <w:szCs w:val="22"/>
        </w:rPr>
        <w:t xml:space="preserve"> RJ, Collins JB,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Human glucocorticoid receptor b binds RU-486 and is transcriptionally active. Mol Cell Biol 2007; 27:2266-2282</w:t>
      </w:r>
    </w:p>
    <w:p w14:paraId="5147AA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363.</w:t>
      </w:r>
      <w:r w:rsidRPr="00E126EF">
        <w:rPr>
          <w:rFonts w:eastAsiaTheme="minorHAnsi" w:cstheme="minorBidi"/>
          <w:szCs w:val="22"/>
        </w:rPr>
        <w:tab/>
        <w:t>de Castro M, Elliot S, Kino T, Bamberger C, Karl M, Webster E, Chrousos GP. The non-ligand binding b-isoform of the human glucocorticoid receptor (hGRb): tissue levels, mechanism of action, and potential physiologic role. Mol Med 1996; 2:597-607</w:t>
      </w:r>
    </w:p>
    <w:p w14:paraId="4569EDC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364.</w:t>
      </w:r>
      <w:r w:rsidRPr="00E126EF">
        <w:rPr>
          <w:rFonts w:eastAsiaTheme="minorHAnsi" w:cstheme="minorBidi"/>
          <w:szCs w:val="22"/>
        </w:rPr>
        <w:tab/>
        <w:t xml:space="preserve">Oakley RH, Sar M,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The human glucocorticoid receptor b isoform. Expression, biochemical properties, and putative function. J Biol Chem 1996; 271:9550-9559</w:t>
      </w:r>
    </w:p>
    <w:p w14:paraId="0BD3DED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365.</w:t>
      </w:r>
      <w:r w:rsidRPr="00E126EF">
        <w:rPr>
          <w:rFonts w:eastAsiaTheme="minorHAnsi" w:cstheme="minorBidi"/>
          <w:szCs w:val="22"/>
        </w:rPr>
        <w:tab/>
        <w:t xml:space="preserve">Hinds TD, Jr., Ramakrishnan S, Cash HA, </w:t>
      </w:r>
      <w:proofErr w:type="spellStart"/>
      <w:r w:rsidRPr="00E126EF">
        <w:rPr>
          <w:rFonts w:eastAsiaTheme="minorHAnsi" w:cstheme="minorBidi"/>
          <w:szCs w:val="22"/>
        </w:rPr>
        <w:t>Stechschulte</w:t>
      </w:r>
      <w:proofErr w:type="spellEnd"/>
      <w:r w:rsidRPr="00E126EF">
        <w:rPr>
          <w:rFonts w:eastAsiaTheme="minorHAnsi" w:cstheme="minorBidi"/>
          <w:szCs w:val="22"/>
        </w:rPr>
        <w:t xml:space="preserve"> LA, Heinrich G, Najjar SM, Sanchez ER. Discovery of glucocorticoid receptor-b in mice with a role in metabolism. Mol Endocrinol 2010; 24:1715-1727</w:t>
      </w:r>
    </w:p>
    <w:p w14:paraId="5A186EA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366.</w:t>
      </w:r>
      <w:r w:rsidRPr="00E126EF">
        <w:rPr>
          <w:rFonts w:eastAsiaTheme="minorHAnsi" w:cstheme="minorBidi"/>
          <w:szCs w:val="22"/>
        </w:rPr>
        <w:tab/>
        <w:t xml:space="preserve">van der </w:t>
      </w:r>
      <w:proofErr w:type="spellStart"/>
      <w:r w:rsidRPr="00E126EF">
        <w:rPr>
          <w:rFonts w:eastAsiaTheme="minorHAnsi" w:cstheme="minorBidi"/>
          <w:szCs w:val="22"/>
        </w:rPr>
        <w:t>Vaart</w:t>
      </w:r>
      <w:proofErr w:type="spellEnd"/>
      <w:r w:rsidRPr="00E126EF">
        <w:rPr>
          <w:rFonts w:eastAsiaTheme="minorHAnsi" w:cstheme="minorBidi"/>
          <w:szCs w:val="22"/>
        </w:rPr>
        <w:t xml:space="preserve"> M, Schaaf MJ. Naturally occurring C-terminal splice variants of nuclear receptors. </w:t>
      </w:r>
      <w:proofErr w:type="spellStart"/>
      <w:r w:rsidRPr="00E126EF">
        <w:rPr>
          <w:rFonts w:eastAsiaTheme="minorHAnsi" w:cstheme="minorBidi"/>
          <w:szCs w:val="22"/>
        </w:rPr>
        <w:t>Nucl</w:t>
      </w:r>
      <w:proofErr w:type="spellEnd"/>
      <w:r w:rsidRPr="00E126EF">
        <w:rPr>
          <w:rFonts w:eastAsiaTheme="minorHAnsi" w:cstheme="minorBidi"/>
          <w:szCs w:val="22"/>
        </w:rPr>
        <w:t xml:space="preserve"> </w:t>
      </w:r>
      <w:proofErr w:type="spellStart"/>
      <w:r w:rsidRPr="00E126EF">
        <w:rPr>
          <w:rFonts w:eastAsiaTheme="minorHAnsi" w:cstheme="minorBidi"/>
          <w:szCs w:val="22"/>
        </w:rPr>
        <w:t>Recept</w:t>
      </w:r>
      <w:proofErr w:type="spellEnd"/>
      <w:r w:rsidRPr="00E126EF">
        <w:rPr>
          <w:rFonts w:eastAsiaTheme="minorHAnsi" w:cstheme="minorBidi"/>
          <w:szCs w:val="22"/>
        </w:rPr>
        <w:t xml:space="preserve"> Signal 2009; </w:t>
      </w:r>
      <w:proofErr w:type="gramStart"/>
      <w:r w:rsidRPr="00E126EF">
        <w:rPr>
          <w:rFonts w:eastAsiaTheme="minorHAnsi" w:cstheme="minorBidi"/>
          <w:szCs w:val="22"/>
        </w:rPr>
        <w:t>7:e</w:t>
      </w:r>
      <w:proofErr w:type="gramEnd"/>
      <w:r w:rsidRPr="00E126EF">
        <w:rPr>
          <w:rFonts w:eastAsiaTheme="minorHAnsi" w:cstheme="minorBidi"/>
          <w:szCs w:val="22"/>
        </w:rPr>
        <w:t>007</w:t>
      </w:r>
    </w:p>
    <w:p w14:paraId="765A4F1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367.</w:t>
      </w:r>
      <w:r w:rsidRPr="00E126EF">
        <w:rPr>
          <w:rFonts w:eastAsiaTheme="minorHAnsi" w:cstheme="minorBidi"/>
          <w:szCs w:val="22"/>
        </w:rPr>
        <w:tab/>
        <w:t xml:space="preserve">Ogawa S, Inoue S, Watanabe T, </w:t>
      </w:r>
      <w:proofErr w:type="spellStart"/>
      <w:r w:rsidRPr="00E126EF">
        <w:rPr>
          <w:rFonts w:eastAsiaTheme="minorHAnsi" w:cstheme="minorBidi"/>
          <w:szCs w:val="22"/>
        </w:rPr>
        <w:t>Orimo</w:t>
      </w:r>
      <w:proofErr w:type="spellEnd"/>
      <w:r w:rsidRPr="00E126EF">
        <w:rPr>
          <w:rFonts w:eastAsiaTheme="minorHAnsi" w:cstheme="minorBidi"/>
          <w:szCs w:val="22"/>
        </w:rPr>
        <w:t xml:space="preserve"> A, Hosoi T, </w:t>
      </w:r>
      <w:proofErr w:type="spellStart"/>
      <w:r w:rsidRPr="00E126EF">
        <w:rPr>
          <w:rFonts w:eastAsiaTheme="minorHAnsi" w:cstheme="minorBidi"/>
          <w:szCs w:val="22"/>
        </w:rPr>
        <w:t>Ouchi</w:t>
      </w:r>
      <w:proofErr w:type="spellEnd"/>
      <w:r w:rsidRPr="00E126EF">
        <w:rPr>
          <w:rFonts w:eastAsiaTheme="minorHAnsi" w:cstheme="minorBidi"/>
          <w:szCs w:val="22"/>
        </w:rPr>
        <w:t xml:space="preserve"> Y, </w:t>
      </w:r>
      <w:proofErr w:type="spellStart"/>
      <w:r w:rsidRPr="00E126EF">
        <w:rPr>
          <w:rFonts w:eastAsiaTheme="minorHAnsi" w:cstheme="minorBidi"/>
          <w:szCs w:val="22"/>
        </w:rPr>
        <w:t>Muramatsu</w:t>
      </w:r>
      <w:proofErr w:type="spellEnd"/>
      <w:r w:rsidRPr="00E126EF">
        <w:rPr>
          <w:rFonts w:eastAsiaTheme="minorHAnsi" w:cstheme="minorBidi"/>
          <w:szCs w:val="22"/>
        </w:rPr>
        <w:t xml:space="preserve"> M. Molecular cloning and characterization of human estrogen receptor </w:t>
      </w:r>
      <w:proofErr w:type="spellStart"/>
      <w:r w:rsidRPr="00E126EF">
        <w:rPr>
          <w:rFonts w:eastAsiaTheme="minorHAnsi" w:cstheme="minorBidi"/>
          <w:szCs w:val="22"/>
        </w:rPr>
        <w:t>bcx</w:t>
      </w:r>
      <w:proofErr w:type="spellEnd"/>
      <w:r w:rsidRPr="00E126EF">
        <w:rPr>
          <w:rFonts w:eastAsiaTheme="minorHAnsi" w:cstheme="minorBidi"/>
          <w:szCs w:val="22"/>
        </w:rPr>
        <w:t>: a potential inhibitor of estrogen action in human. Nucleic Acids Res 1998; 26:3505-3512</w:t>
      </w:r>
    </w:p>
    <w:p w14:paraId="01981AD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368.</w:t>
      </w:r>
      <w:r w:rsidRPr="00E126EF">
        <w:rPr>
          <w:rFonts w:eastAsiaTheme="minorHAnsi" w:cstheme="minorBidi"/>
          <w:szCs w:val="22"/>
        </w:rPr>
        <w:tab/>
        <w:t xml:space="preserve">Benbrook D, </w:t>
      </w:r>
      <w:proofErr w:type="spellStart"/>
      <w:r w:rsidRPr="00E126EF">
        <w:rPr>
          <w:rFonts w:eastAsiaTheme="minorHAnsi" w:cstheme="minorBidi"/>
          <w:szCs w:val="22"/>
        </w:rPr>
        <w:t>Pfahl</w:t>
      </w:r>
      <w:proofErr w:type="spellEnd"/>
      <w:r w:rsidRPr="00E126EF">
        <w:rPr>
          <w:rFonts w:eastAsiaTheme="minorHAnsi" w:cstheme="minorBidi"/>
          <w:szCs w:val="22"/>
        </w:rPr>
        <w:t xml:space="preserve"> M. A novel thyroid hormone receptor encoded by a cDNA clone from a human testis library. Science 1987; 238:788-791</w:t>
      </w:r>
    </w:p>
    <w:p w14:paraId="43497D1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369.</w:t>
      </w:r>
      <w:r w:rsidRPr="00E126EF">
        <w:rPr>
          <w:rFonts w:eastAsiaTheme="minorHAnsi" w:cstheme="minorBidi"/>
          <w:szCs w:val="22"/>
        </w:rPr>
        <w:tab/>
      </w:r>
      <w:proofErr w:type="spellStart"/>
      <w:r w:rsidRPr="00E126EF">
        <w:rPr>
          <w:rFonts w:eastAsiaTheme="minorHAnsi" w:cstheme="minorBidi"/>
          <w:szCs w:val="22"/>
        </w:rPr>
        <w:t>Ebihara</w:t>
      </w:r>
      <w:proofErr w:type="spellEnd"/>
      <w:r w:rsidRPr="00E126EF">
        <w:rPr>
          <w:rFonts w:eastAsiaTheme="minorHAnsi" w:cstheme="minorBidi"/>
          <w:szCs w:val="22"/>
        </w:rPr>
        <w:t xml:space="preserve"> K, </w:t>
      </w:r>
      <w:proofErr w:type="spellStart"/>
      <w:r w:rsidRPr="00E126EF">
        <w:rPr>
          <w:rFonts w:eastAsiaTheme="minorHAnsi" w:cstheme="minorBidi"/>
          <w:szCs w:val="22"/>
        </w:rPr>
        <w:t>Masuhiro</w:t>
      </w:r>
      <w:proofErr w:type="spellEnd"/>
      <w:r w:rsidRPr="00E126EF">
        <w:rPr>
          <w:rFonts w:eastAsiaTheme="minorHAnsi" w:cstheme="minorBidi"/>
          <w:szCs w:val="22"/>
        </w:rPr>
        <w:t xml:space="preserve"> Y, </w:t>
      </w:r>
      <w:proofErr w:type="spellStart"/>
      <w:r w:rsidRPr="00E126EF">
        <w:rPr>
          <w:rFonts w:eastAsiaTheme="minorHAnsi" w:cstheme="minorBidi"/>
          <w:szCs w:val="22"/>
        </w:rPr>
        <w:t>Kitamoto</w:t>
      </w:r>
      <w:proofErr w:type="spellEnd"/>
      <w:r w:rsidRPr="00E126EF">
        <w:rPr>
          <w:rFonts w:eastAsiaTheme="minorHAnsi" w:cstheme="minorBidi"/>
          <w:szCs w:val="22"/>
        </w:rPr>
        <w:t xml:space="preserve"> T, </w:t>
      </w:r>
      <w:proofErr w:type="spellStart"/>
      <w:r w:rsidRPr="00E126EF">
        <w:rPr>
          <w:rFonts w:eastAsiaTheme="minorHAnsi" w:cstheme="minorBidi"/>
          <w:szCs w:val="22"/>
        </w:rPr>
        <w:t>Suzawa</w:t>
      </w:r>
      <w:proofErr w:type="spellEnd"/>
      <w:r w:rsidRPr="00E126EF">
        <w:rPr>
          <w:rFonts w:eastAsiaTheme="minorHAnsi" w:cstheme="minorBidi"/>
          <w:szCs w:val="22"/>
        </w:rPr>
        <w:t xml:space="preserve"> M, </w:t>
      </w:r>
      <w:proofErr w:type="spellStart"/>
      <w:r w:rsidRPr="00E126EF">
        <w:rPr>
          <w:rFonts w:eastAsiaTheme="minorHAnsi" w:cstheme="minorBidi"/>
          <w:szCs w:val="22"/>
        </w:rPr>
        <w:t>Uematsu</w:t>
      </w:r>
      <w:proofErr w:type="spellEnd"/>
      <w:r w:rsidRPr="00E126EF">
        <w:rPr>
          <w:rFonts w:eastAsiaTheme="minorHAnsi" w:cstheme="minorBidi"/>
          <w:szCs w:val="22"/>
        </w:rPr>
        <w:t xml:space="preserve"> Y, Yoshizawa T, Ono T, Harada H, Matsuda K, Hasegawa T, </w:t>
      </w:r>
      <w:proofErr w:type="spellStart"/>
      <w:r w:rsidRPr="00E126EF">
        <w:rPr>
          <w:rFonts w:eastAsiaTheme="minorHAnsi" w:cstheme="minorBidi"/>
          <w:szCs w:val="22"/>
        </w:rPr>
        <w:t>Masushige</w:t>
      </w:r>
      <w:proofErr w:type="spellEnd"/>
      <w:r w:rsidRPr="00E126EF">
        <w:rPr>
          <w:rFonts w:eastAsiaTheme="minorHAnsi" w:cstheme="minorBidi"/>
          <w:szCs w:val="22"/>
        </w:rPr>
        <w:t xml:space="preserve"> S, Kato S. Intron retention generates a novel isoform of the murine vitamin D receptor that acts in a dominant negative way on the vitamin D signaling pathway. Mol Cell Biol 1996; 16:3393-3400</w:t>
      </w:r>
    </w:p>
    <w:p w14:paraId="7550F24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370.</w:t>
      </w:r>
      <w:r w:rsidRPr="00E126EF">
        <w:rPr>
          <w:rFonts w:eastAsiaTheme="minorHAnsi" w:cstheme="minorBidi"/>
          <w:szCs w:val="22"/>
        </w:rPr>
        <w:tab/>
        <w:t xml:space="preserve">Arnold KA, </w:t>
      </w:r>
      <w:proofErr w:type="spellStart"/>
      <w:r w:rsidRPr="00E126EF">
        <w:rPr>
          <w:rFonts w:eastAsiaTheme="minorHAnsi" w:cstheme="minorBidi"/>
          <w:szCs w:val="22"/>
        </w:rPr>
        <w:t>Eichelbaum</w:t>
      </w:r>
      <w:proofErr w:type="spellEnd"/>
      <w:r w:rsidRPr="00E126EF">
        <w:rPr>
          <w:rFonts w:eastAsiaTheme="minorHAnsi" w:cstheme="minorBidi"/>
          <w:szCs w:val="22"/>
        </w:rPr>
        <w:t xml:space="preserve"> M, Burk O. Alternative splicing affects the function and tissue-specific expression of the human constitutive androstane receptor. </w:t>
      </w:r>
      <w:proofErr w:type="spellStart"/>
      <w:r w:rsidRPr="00E126EF">
        <w:rPr>
          <w:rFonts w:eastAsiaTheme="minorHAnsi" w:cstheme="minorBidi"/>
          <w:szCs w:val="22"/>
        </w:rPr>
        <w:t>Nucl</w:t>
      </w:r>
      <w:proofErr w:type="spellEnd"/>
      <w:r w:rsidRPr="00E126EF">
        <w:rPr>
          <w:rFonts w:eastAsiaTheme="minorHAnsi" w:cstheme="minorBidi"/>
          <w:szCs w:val="22"/>
        </w:rPr>
        <w:t xml:space="preserve"> </w:t>
      </w:r>
      <w:proofErr w:type="spellStart"/>
      <w:r w:rsidRPr="00E126EF">
        <w:rPr>
          <w:rFonts w:eastAsiaTheme="minorHAnsi" w:cstheme="minorBidi"/>
          <w:szCs w:val="22"/>
        </w:rPr>
        <w:t>Recept</w:t>
      </w:r>
      <w:proofErr w:type="spellEnd"/>
      <w:r w:rsidRPr="00E126EF">
        <w:rPr>
          <w:rFonts w:eastAsiaTheme="minorHAnsi" w:cstheme="minorBidi"/>
          <w:szCs w:val="22"/>
        </w:rPr>
        <w:t xml:space="preserve"> 2004; 2:1</w:t>
      </w:r>
    </w:p>
    <w:p w14:paraId="3D6AD2E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371.</w:t>
      </w:r>
      <w:r w:rsidRPr="00E126EF">
        <w:rPr>
          <w:rFonts w:eastAsiaTheme="minorHAnsi" w:cstheme="minorBidi"/>
          <w:szCs w:val="22"/>
        </w:rPr>
        <w:tab/>
        <w:t>Hossain A, Li C, Saunders GF. Generation of two distinct functional isoforms of dosage-sensitive sex reversal-adrenal hypoplasia congenita-critical region on the X chromosome gene 1 (DAX-1) by alternative splicing. Mol Endocrinol 2004; 18:1428-1437</w:t>
      </w:r>
    </w:p>
    <w:p w14:paraId="4629A46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372.</w:t>
      </w:r>
      <w:r w:rsidRPr="00E126EF">
        <w:rPr>
          <w:rFonts w:eastAsiaTheme="minorHAnsi" w:cstheme="minorBidi"/>
          <w:szCs w:val="22"/>
        </w:rPr>
        <w:tab/>
      </w:r>
      <w:proofErr w:type="spellStart"/>
      <w:r w:rsidRPr="00E126EF">
        <w:rPr>
          <w:rFonts w:eastAsiaTheme="minorHAnsi" w:cstheme="minorBidi"/>
          <w:szCs w:val="22"/>
        </w:rPr>
        <w:t>Ohkura</w:t>
      </w:r>
      <w:proofErr w:type="spellEnd"/>
      <w:r w:rsidRPr="00E126EF">
        <w:rPr>
          <w:rFonts w:eastAsiaTheme="minorHAnsi" w:cstheme="minorBidi"/>
          <w:szCs w:val="22"/>
        </w:rPr>
        <w:t xml:space="preserve"> N, </w:t>
      </w:r>
      <w:proofErr w:type="spellStart"/>
      <w:r w:rsidRPr="00E126EF">
        <w:rPr>
          <w:rFonts w:eastAsiaTheme="minorHAnsi" w:cstheme="minorBidi"/>
          <w:szCs w:val="22"/>
        </w:rPr>
        <w:t>Hosono</w:t>
      </w:r>
      <w:proofErr w:type="spellEnd"/>
      <w:r w:rsidRPr="00E126EF">
        <w:rPr>
          <w:rFonts w:eastAsiaTheme="minorHAnsi" w:cstheme="minorBidi"/>
          <w:szCs w:val="22"/>
        </w:rPr>
        <w:t xml:space="preserve"> T, Maruyama K, </w:t>
      </w:r>
      <w:proofErr w:type="spellStart"/>
      <w:r w:rsidRPr="00E126EF">
        <w:rPr>
          <w:rFonts w:eastAsiaTheme="minorHAnsi" w:cstheme="minorBidi"/>
          <w:szCs w:val="22"/>
        </w:rPr>
        <w:t>Tsukada</w:t>
      </w:r>
      <w:proofErr w:type="spellEnd"/>
      <w:r w:rsidRPr="00E126EF">
        <w:rPr>
          <w:rFonts w:eastAsiaTheme="minorHAnsi" w:cstheme="minorBidi"/>
          <w:szCs w:val="22"/>
        </w:rPr>
        <w:t xml:space="preserve"> T, Yamaguchi K. An isoform of Nurr1 functions as a negative inhibitor of the NGFI-B family signaling. </w:t>
      </w:r>
      <w:proofErr w:type="spellStart"/>
      <w:r w:rsidRPr="00E126EF">
        <w:rPr>
          <w:rFonts w:eastAsiaTheme="minorHAnsi" w:cstheme="minorBidi"/>
          <w:szCs w:val="22"/>
        </w:rPr>
        <w:t>Biochim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Acta 1999; 1444:69-79</w:t>
      </w:r>
    </w:p>
    <w:p w14:paraId="469433D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373.</w:t>
      </w:r>
      <w:r w:rsidRPr="00E126EF">
        <w:rPr>
          <w:rFonts w:eastAsiaTheme="minorHAnsi" w:cstheme="minorBidi"/>
          <w:szCs w:val="22"/>
        </w:rPr>
        <w:tab/>
        <w:t xml:space="preserve">Petropoulos I, Part D, Ochoa A, </w:t>
      </w:r>
      <w:proofErr w:type="spellStart"/>
      <w:r w:rsidRPr="00E126EF">
        <w:rPr>
          <w:rFonts w:eastAsiaTheme="minorHAnsi" w:cstheme="minorBidi"/>
          <w:szCs w:val="22"/>
        </w:rPr>
        <w:t>Zakin</w:t>
      </w:r>
      <w:proofErr w:type="spellEnd"/>
      <w:r w:rsidRPr="00E126EF">
        <w:rPr>
          <w:rFonts w:eastAsiaTheme="minorHAnsi" w:cstheme="minorBidi"/>
          <w:szCs w:val="22"/>
        </w:rPr>
        <w:t xml:space="preserve"> MM, Lamas E. NOR-2 (neuron-derived orphan receptor), a brain zinc finger protein, is highly induced during liver regeneration. FEBS Lett 1995; 372:273-278</w:t>
      </w:r>
    </w:p>
    <w:p w14:paraId="3E95C30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374.</w:t>
      </w:r>
      <w:r w:rsidRPr="00E126EF">
        <w:rPr>
          <w:rFonts w:eastAsiaTheme="minorHAnsi" w:cstheme="minorBidi"/>
          <w:szCs w:val="22"/>
        </w:rPr>
        <w:tab/>
      </w:r>
      <w:proofErr w:type="spellStart"/>
      <w:r w:rsidRPr="00E126EF">
        <w:rPr>
          <w:rFonts w:eastAsiaTheme="minorHAnsi" w:cstheme="minorBidi"/>
          <w:szCs w:val="22"/>
        </w:rPr>
        <w:t>Gervois</w:t>
      </w:r>
      <w:proofErr w:type="spellEnd"/>
      <w:r w:rsidRPr="00E126EF">
        <w:rPr>
          <w:rFonts w:eastAsiaTheme="minorHAnsi" w:cstheme="minorBidi"/>
          <w:szCs w:val="22"/>
        </w:rPr>
        <w:t xml:space="preserve"> P, </w:t>
      </w:r>
      <w:proofErr w:type="spellStart"/>
      <w:r w:rsidRPr="00E126EF">
        <w:rPr>
          <w:rFonts w:eastAsiaTheme="minorHAnsi" w:cstheme="minorBidi"/>
          <w:szCs w:val="22"/>
        </w:rPr>
        <w:t>Torra</w:t>
      </w:r>
      <w:proofErr w:type="spellEnd"/>
      <w:r w:rsidRPr="00E126EF">
        <w:rPr>
          <w:rFonts w:eastAsiaTheme="minorHAnsi" w:cstheme="minorBidi"/>
          <w:szCs w:val="22"/>
        </w:rPr>
        <w:t xml:space="preserve"> IP, Chinetti G, </w:t>
      </w:r>
      <w:proofErr w:type="spellStart"/>
      <w:r w:rsidRPr="00E126EF">
        <w:rPr>
          <w:rFonts w:eastAsiaTheme="minorHAnsi" w:cstheme="minorBidi"/>
          <w:szCs w:val="22"/>
        </w:rPr>
        <w:t>Grotzinger</w:t>
      </w:r>
      <w:proofErr w:type="spellEnd"/>
      <w:r w:rsidRPr="00E126EF">
        <w:rPr>
          <w:rFonts w:eastAsiaTheme="minorHAnsi" w:cstheme="minorBidi"/>
          <w:szCs w:val="22"/>
        </w:rPr>
        <w:t xml:space="preserve"> T, Dubois G, </w:t>
      </w:r>
      <w:proofErr w:type="spellStart"/>
      <w:r w:rsidRPr="00E126EF">
        <w:rPr>
          <w:rFonts w:eastAsiaTheme="minorHAnsi" w:cstheme="minorBidi"/>
          <w:szCs w:val="22"/>
        </w:rPr>
        <w:t>Fruchart</w:t>
      </w:r>
      <w:proofErr w:type="spellEnd"/>
      <w:r w:rsidRPr="00E126EF">
        <w:rPr>
          <w:rFonts w:eastAsiaTheme="minorHAnsi" w:cstheme="minorBidi"/>
          <w:szCs w:val="22"/>
        </w:rPr>
        <w:t xml:space="preserve"> JC, </w:t>
      </w:r>
      <w:proofErr w:type="spellStart"/>
      <w:r w:rsidRPr="00E126EF">
        <w:rPr>
          <w:rFonts w:eastAsiaTheme="minorHAnsi" w:cstheme="minorBidi"/>
          <w:szCs w:val="22"/>
        </w:rPr>
        <w:t>Fruchart</w:t>
      </w:r>
      <w:proofErr w:type="spellEnd"/>
      <w:r w:rsidRPr="00E126EF">
        <w:rPr>
          <w:rFonts w:eastAsiaTheme="minorHAnsi" w:cstheme="minorBidi"/>
          <w:szCs w:val="22"/>
        </w:rPr>
        <w:t xml:space="preserve">-Najib J, </w:t>
      </w:r>
      <w:proofErr w:type="spellStart"/>
      <w:r w:rsidRPr="00E126EF">
        <w:rPr>
          <w:rFonts w:eastAsiaTheme="minorHAnsi" w:cstheme="minorBidi"/>
          <w:szCs w:val="22"/>
        </w:rPr>
        <w:t>Leitersdorf</w:t>
      </w:r>
      <w:proofErr w:type="spellEnd"/>
      <w:r w:rsidRPr="00E126EF">
        <w:rPr>
          <w:rFonts w:eastAsiaTheme="minorHAnsi" w:cstheme="minorBidi"/>
          <w:szCs w:val="22"/>
        </w:rPr>
        <w:t xml:space="preserve"> E, </w:t>
      </w:r>
      <w:proofErr w:type="spellStart"/>
      <w:r w:rsidRPr="00E126EF">
        <w:rPr>
          <w:rFonts w:eastAsiaTheme="minorHAnsi" w:cstheme="minorBidi"/>
          <w:szCs w:val="22"/>
        </w:rPr>
        <w:t>Staels</w:t>
      </w:r>
      <w:proofErr w:type="spellEnd"/>
      <w:r w:rsidRPr="00E126EF">
        <w:rPr>
          <w:rFonts w:eastAsiaTheme="minorHAnsi" w:cstheme="minorBidi"/>
          <w:szCs w:val="22"/>
        </w:rPr>
        <w:t xml:space="preserve"> B. A truncated human peroxisome proliferator-activated receptor a splice variant with dominant negative activity. Mol Endocrinol 1999; 13:1535-1549</w:t>
      </w:r>
    </w:p>
    <w:p w14:paraId="1268C4E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375.</w:t>
      </w:r>
      <w:r w:rsidRPr="00E126EF">
        <w:rPr>
          <w:rFonts w:eastAsiaTheme="minorHAnsi" w:cstheme="minorBidi"/>
          <w:szCs w:val="22"/>
        </w:rPr>
        <w:tab/>
      </w:r>
      <w:proofErr w:type="spellStart"/>
      <w:r w:rsidRPr="00E126EF">
        <w:rPr>
          <w:rFonts w:eastAsiaTheme="minorHAnsi" w:cstheme="minorBidi"/>
          <w:szCs w:val="22"/>
        </w:rPr>
        <w:t>Sabatino</w:t>
      </w:r>
      <w:proofErr w:type="spellEnd"/>
      <w:r w:rsidRPr="00E126EF">
        <w:rPr>
          <w:rFonts w:eastAsiaTheme="minorHAnsi" w:cstheme="minorBidi"/>
          <w:szCs w:val="22"/>
        </w:rPr>
        <w:t xml:space="preserve"> L, </w:t>
      </w:r>
      <w:proofErr w:type="spellStart"/>
      <w:r w:rsidRPr="00E126EF">
        <w:rPr>
          <w:rFonts w:eastAsiaTheme="minorHAnsi" w:cstheme="minorBidi"/>
          <w:szCs w:val="22"/>
        </w:rPr>
        <w:t>Casamassimi</w:t>
      </w:r>
      <w:proofErr w:type="spellEnd"/>
      <w:r w:rsidRPr="00E126EF">
        <w:rPr>
          <w:rFonts w:eastAsiaTheme="minorHAnsi" w:cstheme="minorBidi"/>
          <w:szCs w:val="22"/>
        </w:rPr>
        <w:t xml:space="preserve"> A, Peluso G, Barone MV, </w:t>
      </w:r>
      <w:proofErr w:type="spellStart"/>
      <w:r w:rsidRPr="00E126EF">
        <w:rPr>
          <w:rFonts w:eastAsiaTheme="minorHAnsi" w:cstheme="minorBidi"/>
          <w:szCs w:val="22"/>
        </w:rPr>
        <w:t>Capaccio</w:t>
      </w:r>
      <w:proofErr w:type="spellEnd"/>
      <w:r w:rsidRPr="00E126EF">
        <w:rPr>
          <w:rFonts w:eastAsiaTheme="minorHAnsi" w:cstheme="minorBidi"/>
          <w:szCs w:val="22"/>
        </w:rPr>
        <w:t xml:space="preserve"> D, </w:t>
      </w:r>
      <w:proofErr w:type="spellStart"/>
      <w:r w:rsidRPr="00E126EF">
        <w:rPr>
          <w:rFonts w:eastAsiaTheme="minorHAnsi" w:cstheme="minorBidi"/>
          <w:szCs w:val="22"/>
        </w:rPr>
        <w:t>Migliore</w:t>
      </w:r>
      <w:proofErr w:type="spellEnd"/>
      <w:r w:rsidRPr="00E126EF">
        <w:rPr>
          <w:rFonts w:eastAsiaTheme="minorHAnsi" w:cstheme="minorBidi"/>
          <w:szCs w:val="22"/>
        </w:rPr>
        <w:t xml:space="preserve"> C, </w:t>
      </w:r>
      <w:proofErr w:type="spellStart"/>
      <w:r w:rsidRPr="00E126EF">
        <w:rPr>
          <w:rFonts w:eastAsiaTheme="minorHAnsi" w:cstheme="minorBidi"/>
          <w:szCs w:val="22"/>
        </w:rPr>
        <w:t>Bonelli</w:t>
      </w:r>
      <w:proofErr w:type="spellEnd"/>
      <w:r w:rsidRPr="00E126EF">
        <w:rPr>
          <w:rFonts w:eastAsiaTheme="minorHAnsi" w:cstheme="minorBidi"/>
          <w:szCs w:val="22"/>
        </w:rPr>
        <w:t xml:space="preserve"> P, </w:t>
      </w:r>
      <w:proofErr w:type="spellStart"/>
      <w:r w:rsidRPr="00E126EF">
        <w:rPr>
          <w:rFonts w:eastAsiaTheme="minorHAnsi" w:cstheme="minorBidi"/>
          <w:szCs w:val="22"/>
        </w:rPr>
        <w:t>Pedicini</w:t>
      </w:r>
      <w:proofErr w:type="spellEnd"/>
      <w:r w:rsidRPr="00E126EF">
        <w:rPr>
          <w:rFonts w:eastAsiaTheme="minorHAnsi" w:cstheme="minorBidi"/>
          <w:szCs w:val="22"/>
        </w:rPr>
        <w:t xml:space="preserve"> A, </w:t>
      </w:r>
      <w:proofErr w:type="spellStart"/>
      <w:r w:rsidRPr="00E126EF">
        <w:rPr>
          <w:rFonts w:eastAsiaTheme="minorHAnsi" w:cstheme="minorBidi"/>
          <w:szCs w:val="22"/>
        </w:rPr>
        <w:t>Febbraro</w:t>
      </w:r>
      <w:proofErr w:type="spellEnd"/>
      <w:r w:rsidRPr="00E126EF">
        <w:rPr>
          <w:rFonts w:eastAsiaTheme="minorHAnsi" w:cstheme="minorBidi"/>
          <w:szCs w:val="22"/>
        </w:rPr>
        <w:t xml:space="preserve"> A, </w:t>
      </w:r>
      <w:proofErr w:type="spellStart"/>
      <w:r w:rsidRPr="00E126EF">
        <w:rPr>
          <w:rFonts w:eastAsiaTheme="minorHAnsi" w:cstheme="minorBidi"/>
          <w:szCs w:val="22"/>
        </w:rPr>
        <w:t>Ciccodicola</w:t>
      </w:r>
      <w:proofErr w:type="spellEnd"/>
      <w:r w:rsidRPr="00E126EF">
        <w:rPr>
          <w:rFonts w:eastAsiaTheme="minorHAnsi" w:cstheme="minorBidi"/>
          <w:szCs w:val="22"/>
        </w:rPr>
        <w:t xml:space="preserve"> A, </w:t>
      </w:r>
      <w:proofErr w:type="spellStart"/>
      <w:r w:rsidRPr="00E126EF">
        <w:rPr>
          <w:rFonts w:eastAsiaTheme="minorHAnsi" w:cstheme="minorBidi"/>
          <w:szCs w:val="22"/>
        </w:rPr>
        <w:t>Colantuoni</w:t>
      </w:r>
      <w:proofErr w:type="spellEnd"/>
      <w:r w:rsidRPr="00E126EF">
        <w:rPr>
          <w:rFonts w:eastAsiaTheme="minorHAnsi" w:cstheme="minorBidi"/>
          <w:szCs w:val="22"/>
        </w:rPr>
        <w:t xml:space="preserve"> V. A novel peroxisome proliferator-activated receptor g isoform with dominant negative activity generated by alternative splicing. J Biol Chem 2005; 280:26517-26525</w:t>
      </w:r>
    </w:p>
    <w:p w14:paraId="5856C36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376.</w:t>
      </w:r>
      <w:r w:rsidRPr="00E126EF">
        <w:rPr>
          <w:rFonts w:eastAsiaTheme="minorHAnsi" w:cstheme="minorBidi"/>
          <w:szCs w:val="22"/>
        </w:rPr>
        <w:tab/>
        <w:t>He B, Cruz-</w:t>
      </w:r>
      <w:proofErr w:type="spellStart"/>
      <w:r w:rsidRPr="00E126EF">
        <w:rPr>
          <w:rFonts w:eastAsiaTheme="minorHAnsi" w:cstheme="minorBidi"/>
          <w:szCs w:val="22"/>
        </w:rPr>
        <w:t>Topete</w:t>
      </w:r>
      <w:proofErr w:type="spellEnd"/>
      <w:r w:rsidRPr="00E126EF">
        <w:rPr>
          <w:rFonts w:eastAsiaTheme="minorHAnsi" w:cstheme="minorBidi"/>
          <w:szCs w:val="22"/>
        </w:rPr>
        <w:t xml:space="preserve"> D, Oakley RH, Xiao X,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Human glucocorticoid receptor b regulates gluconeogenesis and inflammation in mouse liver. Mol Cell Biol 2015; 36:714-730</w:t>
      </w:r>
    </w:p>
    <w:p w14:paraId="13945A4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377.</w:t>
      </w:r>
      <w:r w:rsidRPr="00E126EF">
        <w:rPr>
          <w:rFonts w:eastAsiaTheme="minorHAnsi" w:cstheme="minorBidi"/>
          <w:szCs w:val="22"/>
        </w:rPr>
        <w:tab/>
        <w:t xml:space="preserve">McBeth L, </w:t>
      </w:r>
      <w:proofErr w:type="spellStart"/>
      <w:r w:rsidRPr="00E126EF">
        <w:rPr>
          <w:rFonts w:eastAsiaTheme="minorHAnsi" w:cstheme="minorBidi"/>
          <w:szCs w:val="22"/>
        </w:rPr>
        <w:t>Nwaneri</w:t>
      </w:r>
      <w:proofErr w:type="spellEnd"/>
      <w:r w:rsidRPr="00E126EF">
        <w:rPr>
          <w:rFonts w:eastAsiaTheme="minorHAnsi" w:cstheme="minorBidi"/>
          <w:szCs w:val="22"/>
        </w:rPr>
        <w:t xml:space="preserve"> AC, </w:t>
      </w:r>
      <w:proofErr w:type="spellStart"/>
      <w:r w:rsidRPr="00E126EF">
        <w:rPr>
          <w:rFonts w:eastAsiaTheme="minorHAnsi" w:cstheme="minorBidi"/>
          <w:szCs w:val="22"/>
        </w:rPr>
        <w:t>Grabnar</w:t>
      </w:r>
      <w:proofErr w:type="spellEnd"/>
      <w:r w:rsidRPr="00E126EF">
        <w:rPr>
          <w:rFonts w:eastAsiaTheme="minorHAnsi" w:cstheme="minorBidi"/>
          <w:szCs w:val="22"/>
        </w:rPr>
        <w:t xml:space="preserve"> M, Demeter J, Nestor-</w:t>
      </w:r>
      <w:proofErr w:type="spellStart"/>
      <w:r w:rsidRPr="00E126EF">
        <w:rPr>
          <w:rFonts w:eastAsiaTheme="minorHAnsi" w:cstheme="minorBidi"/>
          <w:szCs w:val="22"/>
        </w:rPr>
        <w:t>Kalinoski</w:t>
      </w:r>
      <w:proofErr w:type="spellEnd"/>
      <w:r w:rsidRPr="00E126EF">
        <w:rPr>
          <w:rFonts w:eastAsiaTheme="minorHAnsi" w:cstheme="minorBidi"/>
          <w:szCs w:val="22"/>
        </w:rPr>
        <w:t xml:space="preserve"> A, Hinds TD, Jr. Glucocorticoid receptor b increases migration of human bladder cancer cells. </w:t>
      </w:r>
      <w:proofErr w:type="spellStart"/>
      <w:r w:rsidRPr="00E126EF">
        <w:rPr>
          <w:rFonts w:eastAsiaTheme="minorHAnsi" w:cstheme="minorBidi"/>
          <w:szCs w:val="22"/>
        </w:rPr>
        <w:t>Oncotarget</w:t>
      </w:r>
      <w:proofErr w:type="spellEnd"/>
      <w:r w:rsidRPr="00E126EF">
        <w:rPr>
          <w:rFonts w:eastAsiaTheme="minorHAnsi" w:cstheme="minorBidi"/>
          <w:szCs w:val="22"/>
        </w:rPr>
        <w:t xml:space="preserve"> 2016; 7:27313-27324</w:t>
      </w:r>
    </w:p>
    <w:p w14:paraId="3D5857A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378.</w:t>
      </w:r>
      <w:r w:rsidRPr="00E126EF">
        <w:rPr>
          <w:rFonts w:eastAsiaTheme="minorHAnsi" w:cstheme="minorBidi"/>
          <w:szCs w:val="22"/>
        </w:rPr>
        <w:tab/>
        <w:t xml:space="preserve">Hinds TD, Peck B, </w:t>
      </w:r>
      <w:proofErr w:type="spellStart"/>
      <w:r w:rsidRPr="00E126EF">
        <w:rPr>
          <w:rFonts w:eastAsiaTheme="minorHAnsi" w:cstheme="minorBidi"/>
          <w:szCs w:val="22"/>
        </w:rPr>
        <w:t>Shek</w:t>
      </w:r>
      <w:proofErr w:type="spellEnd"/>
      <w:r w:rsidRPr="00E126EF">
        <w:rPr>
          <w:rFonts w:eastAsiaTheme="minorHAnsi" w:cstheme="minorBidi"/>
          <w:szCs w:val="22"/>
        </w:rPr>
        <w:t xml:space="preserve"> E, Stroup S, Hinson J, Arthur S, Marino JS. Overexpression of glucocorticoid receptor b enhances myogenesis and reduces catabolic gene expression. Int J Mol Sci 2016; 17:232</w:t>
      </w:r>
    </w:p>
    <w:p w14:paraId="0127267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379.</w:t>
      </w:r>
      <w:r w:rsidRPr="00E126EF">
        <w:rPr>
          <w:rFonts w:eastAsiaTheme="minorHAnsi" w:cstheme="minorBidi"/>
          <w:szCs w:val="22"/>
        </w:rPr>
        <w:tab/>
      </w:r>
      <w:proofErr w:type="spellStart"/>
      <w:r w:rsidRPr="00E126EF">
        <w:rPr>
          <w:rFonts w:eastAsiaTheme="minorHAnsi" w:cstheme="minorBidi"/>
          <w:szCs w:val="22"/>
        </w:rPr>
        <w:t>Stechschulte</w:t>
      </w:r>
      <w:proofErr w:type="spellEnd"/>
      <w:r w:rsidRPr="00E126EF">
        <w:rPr>
          <w:rFonts w:eastAsiaTheme="minorHAnsi" w:cstheme="minorBidi"/>
          <w:szCs w:val="22"/>
        </w:rPr>
        <w:t xml:space="preserve"> LA, </w:t>
      </w:r>
      <w:proofErr w:type="spellStart"/>
      <w:r w:rsidRPr="00E126EF">
        <w:rPr>
          <w:rFonts w:eastAsiaTheme="minorHAnsi" w:cstheme="minorBidi"/>
          <w:szCs w:val="22"/>
        </w:rPr>
        <w:t>Wuescher</w:t>
      </w:r>
      <w:proofErr w:type="spellEnd"/>
      <w:r w:rsidRPr="00E126EF">
        <w:rPr>
          <w:rFonts w:eastAsiaTheme="minorHAnsi" w:cstheme="minorBidi"/>
          <w:szCs w:val="22"/>
        </w:rPr>
        <w:t xml:space="preserve"> L, Marino JS, Hill JW, </w:t>
      </w:r>
      <w:proofErr w:type="spellStart"/>
      <w:r w:rsidRPr="00E126EF">
        <w:rPr>
          <w:rFonts w:eastAsiaTheme="minorHAnsi" w:cstheme="minorBidi"/>
          <w:szCs w:val="22"/>
        </w:rPr>
        <w:t>Eng</w:t>
      </w:r>
      <w:proofErr w:type="spellEnd"/>
      <w:r w:rsidRPr="00E126EF">
        <w:rPr>
          <w:rFonts w:eastAsiaTheme="minorHAnsi" w:cstheme="minorBidi"/>
          <w:szCs w:val="22"/>
        </w:rPr>
        <w:t xml:space="preserve"> C, Hinds TD, Jr. Glucocorticoid receptor b stimulates Akt1 growth pathway by attenuation of PTEN. J Biol Chem 2014; 289:17885-17894</w:t>
      </w:r>
    </w:p>
    <w:p w14:paraId="55FB6EA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380.</w:t>
      </w:r>
      <w:r w:rsidRPr="00E126EF">
        <w:rPr>
          <w:rFonts w:eastAsiaTheme="minorHAnsi" w:cstheme="minorBidi"/>
          <w:szCs w:val="22"/>
        </w:rPr>
        <w:tab/>
        <w:t xml:space="preserve">Wang Q, Lu PH, Shi ZF, Xu YJ, Xiang J, Wang YX, Deng LX, </w:t>
      </w:r>
      <w:proofErr w:type="spellStart"/>
      <w:r w:rsidRPr="00E126EF">
        <w:rPr>
          <w:rFonts w:eastAsiaTheme="minorHAnsi" w:cstheme="minorBidi"/>
          <w:szCs w:val="22"/>
        </w:rPr>
        <w:t>Xie</w:t>
      </w:r>
      <w:proofErr w:type="spellEnd"/>
      <w:r w:rsidRPr="00E126EF">
        <w:rPr>
          <w:rFonts w:eastAsiaTheme="minorHAnsi" w:cstheme="minorBidi"/>
          <w:szCs w:val="22"/>
        </w:rPr>
        <w:t xml:space="preserve"> P, Yin Y, Zhang B, Mu HJ, </w:t>
      </w:r>
      <w:proofErr w:type="spellStart"/>
      <w:r w:rsidRPr="00E126EF">
        <w:rPr>
          <w:rFonts w:eastAsiaTheme="minorHAnsi" w:cstheme="minorBidi"/>
          <w:szCs w:val="22"/>
        </w:rPr>
        <w:t>Qiao</w:t>
      </w:r>
      <w:proofErr w:type="spellEnd"/>
      <w:r w:rsidRPr="00E126EF">
        <w:rPr>
          <w:rFonts w:eastAsiaTheme="minorHAnsi" w:cstheme="minorBidi"/>
          <w:szCs w:val="22"/>
        </w:rPr>
        <w:t xml:space="preserve"> WZ, Cui H, Zou J. Glucocorticoid receptor b acts as a co-activator of T-cell factor 4 and enhances glioma cell proliferation. Mol </w:t>
      </w:r>
      <w:proofErr w:type="spellStart"/>
      <w:r w:rsidRPr="00E126EF">
        <w:rPr>
          <w:rFonts w:eastAsiaTheme="minorHAnsi" w:cstheme="minorBidi"/>
          <w:szCs w:val="22"/>
        </w:rPr>
        <w:t>Neurobiol</w:t>
      </w:r>
      <w:proofErr w:type="spellEnd"/>
      <w:r w:rsidRPr="00E126EF">
        <w:rPr>
          <w:rFonts w:eastAsiaTheme="minorHAnsi" w:cstheme="minorBidi"/>
          <w:szCs w:val="22"/>
        </w:rPr>
        <w:t xml:space="preserve"> 2015; 52:1106-1118</w:t>
      </w:r>
    </w:p>
    <w:p w14:paraId="29D2060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381.</w:t>
      </w:r>
      <w:r w:rsidRPr="00E126EF">
        <w:rPr>
          <w:rFonts w:eastAsiaTheme="minorHAnsi" w:cstheme="minorBidi"/>
          <w:szCs w:val="22"/>
        </w:rPr>
        <w:tab/>
      </w:r>
      <w:proofErr w:type="spellStart"/>
      <w:r w:rsidRPr="00E126EF">
        <w:rPr>
          <w:rFonts w:eastAsiaTheme="minorHAnsi" w:cstheme="minorBidi"/>
          <w:szCs w:val="22"/>
        </w:rPr>
        <w:t>Goleva</w:t>
      </w:r>
      <w:proofErr w:type="spellEnd"/>
      <w:r w:rsidRPr="00E126EF">
        <w:rPr>
          <w:rFonts w:eastAsiaTheme="minorHAnsi" w:cstheme="minorBidi"/>
          <w:szCs w:val="22"/>
        </w:rPr>
        <w:t xml:space="preserve"> E, Li LB, Eves PT, Strand MJ, Martin RJ, Leung DY. Increased glucocorticoid receptor b alters steroid response in glucocorticoid-insensitive asthma. Am J Respir Crit Care Med 2006; 173:607-616</w:t>
      </w:r>
    </w:p>
    <w:p w14:paraId="793EAA7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382.</w:t>
      </w:r>
      <w:r w:rsidRPr="00E126EF">
        <w:rPr>
          <w:rFonts w:eastAsiaTheme="minorHAnsi" w:cstheme="minorBidi"/>
          <w:szCs w:val="22"/>
        </w:rPr>
        <w:tab/>
      </w:r>
      <w:proofErr w:type="spellStart"/>
      <w:r w:rsidRPr="00E126EF">
        <w:rPr>
          <w:rFonts w:eastAsiaTheme="minorHAnsi" w:cstheme="minorBidi"/>
          <w:szCs w:val="22"/>
        </w:rPr>
        <w:t>Derijk</w:t>
      </w:r>
      <w:proofErr w:type="spellEnd"/>
      <w:r w:rsidRPr="00E126EF">
        <w:rPr>
          <w:rFonts w:eastAsiaTheme="minorHAnsi" w:cstheme="minorBidi"/>
          <w:szCs w:val="22"/>
        </w:rPr>
        <w:t xml:space="preserve"> RH, Schaaf MJ, Turner G, </w:t>
      </w:r>
      <w:proofErr w:type="spellStart"/>
      <w:r w:rsidRPr="00E126EF">
        <w:rPr>
          <w:rFonts w:eastAsiaTheme="minorHAnsi" w:cstheme="minorBidi"/>
          <w:szCs w:val="22"/>
        </w:rPr>
        <w:t>Datson</w:t>
      </w:r>
      <w:proofErr w:type="spellEnd"/>
      <w:r w:rsidRPr="00E126EF">
        <w:rPr>
          <w:rFonts w:eastAsiaTheme="minorHAnsi" w:cstheme="minorBidi"/>
          <w:szCs w:val="22"/>
        </w:rPr>
        <w:t xml:space="preserve"> NA, </w:t>
      </w:r>
      <w:proofErr w:type="spellStart"/>
      <w:r w:rsidRPr="00E126EF">
        <w:rPr>
          <w:rFonts w:eastAsiaTheme="minorHAnsi" w:cstheme="minorBidi"/>
          <w:szCs w:val="22"/>
        </w:rPr>
        <w:t>Vreugdenhil</w:t>
      </w:r>
      <w:proofErr w:type="spellEnd"/>
      <w:r w:rsidRPr="00E126EF">
        <w:rPr>
          <w:rFonts w:eastAsiaTheme="minorHAnsi" w:cstheme="minorBidi"/>
          <w:szCs w:val="22"/>
        </w:rPr>
        <w:t xml:space="preserve"> E,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 de </w:t>
      </w:r>
      <w:proofErr w:type="spellStart"/>
      <w:r w:rsidRPr="00E126EF">
        <w:rPr>
          <w:rFonts w:eastAsiaTheme="minorHAnsi" w:cstheme="minorBidi"/>
          <w:szCs w:val="22"/>
        </w:rPr>
        <w:t>Kloet</w:t>
      </w:r>
      <w:proofErr w:type="spellEnd"/>
      <w:r w:rsidRPr="00E126EF">
        <w:rPr>
          <w:rFonts w:eastAsiaTheme="minorHAnsi" w:cstheme="minorBidi"/>
          <w:szCs w:val="22"/>
        </w:rPr>
        <w:t xml:space="preserve"> ER, Emery P, Sternberg EM, </w:t>
      </w:r>
      <w:proofErr w:type="spellStart"/>
      <w:r w:rsidRPr="00E126EF">
        <w:rPr>
          <w:rFonts w:eastAsiaTheme="minorHAnsi" w:cstheme="minorBidi"/>
          <w:szCs w:val="22"/>
        </w:rPr>
        <w:t>Detera-Wadleigh</w:t>
      </w:r>
      <w:proofErr w:type="spellEnd"/>
      <w:r w:rsidRPr="00E126EF">
        <w:rPr>
          <w:rFonts w:eastAsiaTheme="minorHAnsi" w:cstheme="minorBidi"/>
          <w:szCs w:val="22"/>
        </w:rPr>
        <w:t xml:space="preserve"> SD. A human glucocorticoid receptor gene </w:t>
      </w:r>
      <w:r w:rsidRPr="00E126EF">
        <w:rPr>
          <w:rFonts w:eastAsiaTheme="minorHAnsi" w:cstheme="minorBidi"/>
          <w:szCs w:val="22"/>
        </w:rPr>
        <w:lastRenderedPageBreak/>
        <w:t xml:space="preserve">variant that increases the stability of the glucocorticoid receptor b-isoform mRNA is associated with rheumatoid arthritis. J </w:t>
      </w:r>
      <w:proofErr w:type="spellStart"/>
      <w:r w:rsidRPr="00E126EF">
        <w:rPr>
          <w:rFonts w:eastAsiaTheme="minorHAnsi" w:cstheme="minorBidi"/>
          <w:szCs w:val="22"/>
        </w:rPr>
        <w:t>Rheumatol</w:t>
      </w:r>
      <w:proofErr w:type="spellEnd"/>
      <w:r w:rsidRPr="00E126EF">
        <w:rPr>
          <w:rFonts w:eastAsiaTheme="minorHAnsi" w:cstheme="minorBidi"/>
          <w:szCs w:val="22"/>
        </w:rPr>
        <w:t xml:space="preserve"> 2001; 28:2383-2388</w:t>
      </w:r>
    </w:p>
    <w:p w14:paraId="741E623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383.</w:t>
      </w:r>
      <w:r w:rsidRPr="00E126EF">
        <w:rPr>
          <w:rFonts w:eastAsiaTheme="minorHAnsi" w:cstheme="minorBidi"/>
          <w:szCs w:val="22"/>
        </w:rPr>
        <w:tab/>
        <w:t xml:space="preserve">Lee CK, Lee EY, Cho YS, Moon KA, </w:t>
      </w:r>
      <w:proofErr w:type="spellStart"/>
      <w:r w:rsidRPr="00E126EF">
        <w:rPr>
          <w:rFonts w:eastAsiaTheme="minorHAnsi" w:cstheme="minorBidi"/>
          <w:szCs w:val="22"/>
        </w:rPr>
        <w:t>Yoo</w:t>
      </w:r>
      <w:proofErr w:type="spellEnd"/>
      <w:r w:rsidRPr="00E126EF">
        <w:rPr>
          <w:rFonts w:eastAsiaTheme="minorHAnsi" w:cstheme="minorBidi"/>
          <w:szCs w:val="22"/>
        </w:rPr>
        <w:t xml:space="preserve"> B, Moon HB. Increased expression of glucocorticoid receptor b messenger RNA in patients with ankylosing spondylitis. Korean J Intern Med 2005; 20:146-151</w:t>
      </w:r>
    </w:p>
    <w:p w14:paraId="4CAB6AE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384.</w:t>
      </w:r>
      <w:r w:rsidRPr="00E126EF">
        <w:rPr>
          <w:rFonts w:eastAsiaTheme="minorHAnsi" w:cstheme="minorBidi"/>
          <w:szCs w:val="22"/>
        </w:rPr>
        <w:tab/>
      </w:r>
      <w:proofErr w:type="spellStart"/>
      <w:r w:rsidRPr="00E126EF">
        <w:rPr>
          <w:rFonts w:eastAsiaTheme="minorHAnsi" w:cstheme="minorBidi"/>
          <w:szCs w:val="22"/>
        </w:rPr>
        <w:t>Longui</w:t>
      </w:r>
      <w:proofErr w:type="spellEnd"/>
      <w:r w:rsidRPr="00E126EF">
        <w:rPr>
          <w:rFonts w:eastAsiaTheme="minorHAnsi" w:cstheme="minorBidi"/>
          <w:szCs w:val="22"/>
        </w:rPr>
        <w:t xml:space="preserve"> CA, Vottero A, Adamson PC, Cole DE, Kino T, Monte O, Chrousos GP. Low glucocorticoid receptor a/b ratio in T-cell lymphoblastic leukemia. </w:t>
      </w:r>
      <w:proofErr w:type="spellStart"/>
      <w:r w:rsidRPr="00E126EF">
        <w:rPr>
          <w:rFonts w:eastAsiaTheme="minorHAnsi" w:cstheme="minorBidi"/>
          <w:szCs w:val="22"/>
        </w:rPr>
        <w:t>Horm</w:t>
      </w:r>
      <w:proofErr w:type="spellEnd"/>
      <w:r w:rsidRPr="00E126EF">
        <w:rPr>
          <w:rFonts w:eastAsiaTheme="minorHAnsi" w:cstheme="minorBidi"/>
          <w:szCs w:val="22"/>
        </w:rPr>
        <w:t xml:space="preserve"> </w:t>
      </w:r>
      <w:proofErr w:type="spellStart"/>
      <w:r w:rsidRPr="00E126EF">
        <w:rPr>
          <w:rFonts w:eastAsiaTheme="minorHAnsi" w:cstheme="minorBidi"/>
          <w:szCs w:val="22"/>
        </w:rPr>
        <w:t>Metab</w:t>
      </w:r>
      <w:proofErr w:type="spellEnd"/>
      <w:r w:rsidRPr="00E126EF">
        <w:rPr>
          <w:rFonts w:eastAsiaTheme="minorHAnsi" w:cstheme="minorBidi"/>
          <w:szCs w:val="22"/>
        </w:rPr>
        <w:t xml:space="preserve"> Res 2000; 32:401-406</w:t>
      </w:r>
    </w:p>
    <w:p w14:paraId="6730979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385.</w:t>
      </w:r>
      <w:r w:rsidRPr="00E126EF">
        <w:rPr>
          <w:rFonts w:eastAsiaTheme="minorHAnsi" w:cstheme="minorBidi"/>
          <w:szCs w:val="22"/>
        </w:rPr>
        <w:tab/>
        <w:t xml:space="preserve">Pujols L, </w:t>
      </w:r>
      <w:proofErr w:type="spellStart"/>
      <w:r w:rsidRPr="00E126EF">
        <w:rPr>
          <w:rFonts w:eastAsiaTheme="minorHAnsi" w:cstheme="minorBidi"/>
          <w:szCs w:val="22"/>
        </w:rPr>
        <w:t>Mullol</w:t>
      </w:r>
      <w:proofErr w:type="spellEnd"/>
      <w:r w:rsidRPr="00E126EF">
        <w:rPr>
          <w:rFonts w:eastAsiaTheme="minorHAnsi" w:cstheme="minorBidi"/>
          <w:szCs w:val="22"/>
        </w:rPr>
        <w:t xml:space="preserve"> J, Benitez P, </w:t>
      </w:r>
      <w:proofErr w:type="spellStart"/>
      <w:r w:rsidRPr="00E126EF">
        <w:rPr>
          <w:rFonts w:eastAsiaTheme="minorHAnsi" w:cstheme="minorBidi"/>
          <w:szCs w:val="22"/>
        </w:rPr>
        <w:t>Torrego</w:t>
      </w:r>
      <w:proofErr w:type="spellEnd"/>
      <w:r w:rsidRPr="00E126EF">
        <w:rPr>
          <w:rFonts w:eastAsiaTheme="minorHAnsi" w:cstheme="minorBidi"/>
          <w:szCs w:val="22"/>
        </w:rPr>
        <w:t xml:space="preserve"> A, </w:t>
      </w:r>
      <w:proofErr w:type="spellStart"/>
      <w:r w:rsidRPr="00E126EF">
        <w:rPr>
          <w:rFonts w:eastAsiaTheme="minorHAnsi" w:cstheme="minorBidi"/>
          <w:szCs w:val="22"/>
        </w:rPr>
        <w:t>Xaubet</w:t>
      </w:r>
      <w:proofErr w:type="spellEnd"/>
      <w:r w:rsidRPr="00E126EF">
        <w:rPr>
          <w:rFonts w:eastAsiaTheme="minorHAnsi" w:cstheme="minorBidi"/>
          <w:szCs w:val="22"/>
        </w:rPr>
        <w:t xml:space="preserve"> A, de </w:t>
      </w:r>
      <w:proofErr w:type="spellStart"/>
      <w:r w:rsidRPr="00E126EF">
        <w:rPr>
          <w:rFonts w:eastAsiaTheme="minorHAnsi" w:cstheme="minorBidi"/>
          <w:szCs w:val="22"/>
        </w:rPr>
        <w:t>Haro</w:t>
      </w:r>
      <w:proofErr w:type="spellEnd"/>
      <w:r w:rsidRPr="00E126EF">
        <w:rPr>
          <w:rFonts w:eastAsiaTheme="minorHAnsi" w:cstheme="minorBidi"/>
          <w:szCs w:val="22"/>
        </w:rPr>
        <w:t xml:space="preserve"> J, Picado C. Expression of the glucocorticoid receptor a and b isoforms in human nasal mucosa and polyp epithelial cells. Respir Med 2003; 97:90-96</w:t>
      </w:r>
    </w:p>
    <w:p w14:paraId="4E34C29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386.</w:t>
      </w:r>
      <w:r w:rsidRPr="00E126EF">
        <w:rPr>
          <w:rFonts w:eastAsiaTheme="minorHAnsi" w:cstheme="minorBidi"/>
          <w:szCs w:val="22"/>
        </w:rPr>
        <w:tab/>
        <w:t xml:space="preserve">Shahidi H, Vottero A, </w:t>
      </w:r>
      <w:proofErr w:type="spellStart"/>
      <w:r w:rsidRPr="00E126EF">
        <w:rPr>
          <w:rFonts w:eastAsiaTheme="minorHAnsi" w:cstheme="minorBidi"/>
          <w:szCs w:val="22"/>
        </w:rPr>
        <w:t>Stratakis</w:t>
      </w:r>
      <w:proofErr w:type="spellEnd"/>
      <w:r w:rsidRPr="00E126EF">
        <w:rPr>
          <w:rFonts w:eastAsiaTheme="minorHAnsi" w:cstheme="minorBidi"/>
          <w:szCs w:val="22"/>
        </w:rPr>
        <w:t xml:space="preserve"> CA, Taymans SE, Karl M, </w:t>
      </w:r>
      <w:proofErr w:type="spellStart"/>
      <w:r w:rsidRPr="00E126EF">
        <w:rPr>
          <w:rFonts w:eastAsiaTheme="minorHAnsi" w:cstheme="minorBidi"/>
          <w:szCs w:val="22"/>
        </w:rPr>
        <w:t>Longui</w:t>
      </w:r>
      <w:proofErr w:type="spellEnd"/>
      <w:r w:rsidRPr="00E126EF">
        <w:rPr>
          <w:rFonts w:eastAsiaTheme="minorHAnsi" w:cstheme="minorBidi"/>
          <w:szCs w:val="22"/>
        </w:rPr>
        <w:t xml:space="preserve"> CA, Chrousos GP, </w:t>
      </w:r>
      <w:proofErr w:type="spellStart"/>
      <w:r w:rsidRPr="00E126EF">
        <w:rPr>
          <w:rFonts w:eastAsiaTheme="minorHAnsi" w:cstheme="minorBidi"/>
          <w:szCs w:val="22"/>
        </w:rPr>
        <w:t>Daughaday</w:t>
      </w:r>
      <w:proofErr w:type="spellEnd"/>
      <w:r w:rsidRPr="00E126EF">
        <w:rPr>
          <w:rFonts w:eastAsiaTheme="minorHAnsi" w:cstheme="minorBidi"/>
          <w:szCs w:val="22"/>
        </w:rPr>
        <w:t xml:space="preserve"> WH, Gregory SA, Plate JM. Imbalanced expression of the glucocorticoid receptor isoforms in cultured lymphocytes from a patient with systemic glucocorticoid resistance and chronic lymphocytic leukemia.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1999; 254:559-565</w:t>
      </w:r>
    </w:p>
    <w:p w14:paraId="5919036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387.</w:t>
      </w:r>
      <w:r w:rsidRPr="00E126EF">
        <w:rPr>
          <w:rFonts w:eastAsiaTheme="minorHAnsi" w:cstheme="minorBidi"/>
          <w:szCs w:val="22"/>
        </w:rPr>
        <w:tab/>
        <w:t xml:space="preserve">Piotrowski P, </w:t>
      </w:r>
      <w:proofErr w:type="spellStart"/>
      <w:r w:rsidRPr="00E126EF">
        <w:rPr>
          <w:rFonts w:eastAsiaTheme="minorHAnsi" w:cstheme="minorBidi"/>
          <w:szCs w:val="22"/>
        </w:rPr>
        <w:t>Burzynski</w:t>
      </w:r>
      <w:proofErr w:type="spellEnd"/>
      <w:r w:rsidRPr="00E126EF">
        <w:rPr>
          <w:rFonts w:eastAsiaTheme="minorHAnsi" w:cstheme="minorBidi"/>
          <w:szCs w:val="22"/>
        </w:rPr>
        <w:t xml:space="preserve"> M, </w:t>
      </w:r>
      <w:proofErr w:type="spellStart"/>
      <w:r w:rsidRPr="00E126EF">
        <w:rPr>
          <w:rFonts w:eastAsiaTheme="minorHAnsi" w:cstheme="minorBidi"/>
          <w:szCs w:val="22"/>
        </w:rPr>
        <w:t>Lianeri</w:t>
      </w:r>
      <w:proofErr w:type="spellEnd"/>
      <w:r w:rsidRPr="00E126EF">
        <w:rPr>
          <w:rFonts w:eastAsiaTheme="minorHAnsi" w:cstheme="minorBidi"/>
          <w:szCs w:val="22"/>
        </w:rPr>
        <w:t xml:space="preserve"> M, </w:t>
      </w:r>
      <w:proofErr w:type="spellStart"/>
      <w:r w:rsidRPr="00E126EF">
        <w:rPr>
          <w:rFonts w:eastAsiaTheme="minorHAnsi" w:cstheme="minorBidi"/>
          <w:szCs w:val="22"/>
        </w:rPr>
        <w:t>Mostowska</w:t>
      </w:r>
      <w:proofErr w:type="spellEnd"/>
      <w:r w:rsidRPr="00E126EF">
        <w:rPr>
          <w:rFonts w:eastAsiaTheme="minorHAnsi" w:cstheme="minorBidi"/>
          <w:szCs w:val="22"/>
        </w:rPr>
        <w:t xml:space="preserve"> M, </w:t>
      </w:r>
      <w:proofErr w:type="spellStart"/>
      <w:r w:rsidRPr="00E126EF">
        <w:rPr>
          <w:rFonts w:eastAsiaTheme="minorHAnsi" w:cstheme="minorBidi"/>
          <w:szCs w:val="22"/>
        </w:rPr>
        <w:t>Wudarski</w:t>
      </w:r>
      <w:proofErr w:type="spellEnd"/>
      <w:r w:rsidRPr="00E126EF">
        <w:rPr>
          <w:rFonts w:eastAsiaTheme="minorHAnsi" w:cstheme="minorBidi"/>
          <w:szCs w:val="22"/>
        </w:rPr>
        <w:t xml:space="preserve"> M, </w:t>
      </w:r>
      <w:proofErr w:type="spellStart"/>
      <w:r w:rsidRPr="00E126EF">
        <w:rPr>
          <w:rFonts w:eastAsiaTheme="minorHAnsi" w:cstheme="minorBidi"/>
          <w:szCs w:val="22"/>
        </w:rPr>
        <w:t>Chwalinska-Sadowska</w:t>
      </w:r>
      <w:proofErr w:type="spellEnd"/>
      <w:r w:rsidRPr="00E126EF">
        <w:rPr>
          <w:rFonts w:eastAsiaTheme="minorHAnsi" w:cstheme="minorBidi"/>
          <w:szCs w:val="22"/>
        </w:rPr>
        <w:t xml:space="preserve"> H, Jagodzinski PP. Glucocorticoid receptor b splice variant expression in patients with high and low activity of systemic lupus erythematosus. Folia </w:t>
      </w:r>
      <w:proofErr w:type="spellStart"/>
      <w:r w:rsidRPr="00E126EF">
        <w:rPr>
          <w:rFonts w:eastAsiaTheme="minorHAnsi" w:cstheme="minorBidi"/>
          <w:szCs w:val="22"/>
        </w:rPr>
        <w:t>Histochem</w:t>
      </w:r>
      <w:proofErr w:type="spellEnd"/>
      <w:r w:rsidRPr="00E126EF">
        <w:rPr>
          <w:rFonts w:eastAsiaTheme="minorHAnsi" w:cstheme="minorBidi"/>
          <w:szCs w:val="22"/>
        </w:rPr>
        <w:t xml:space="preserve"> </w:t>
      </w:r>
      <w:proofErr w:type="spellStart"/>
      <w:r w:rsidRPr="00E126EF">
        <w:rPr>
          <w:rFonts w:eastAsiaTheme="minorHAnsi" w:cstheme="minorBidi"/>
          <w:szCs w:val="22"/>
        </w:rPr>
        <w:t>Cytobiol</w:t>
      </w:r>
      <w:proofErr w:type="spellEnd"/>
      <w:r w:rsidRPr="00E126EF">
        <w:rPr>
          <w:rFonts w:eastAsiaTheme="minorHAnsi" w:cstheme="minorBidi"/>
          <w:szCs w:val="22"/>
        </w:rPr>
        <w:t xml:space="preserve"> 2007; 45:339-342</w:t>
      </w:r>
    </w:p>
    <w:p w14:paraId="2FA542C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388.</w:t>
      </w:r>
      <w:r w:rsidRPr="00E126EF">
        <w:rPr>
          <w:rFonts w:eastAsiaTheme="minorHAnsi" w:cstheme="minorBidi"/>
          <w:szCs w:val="22"/>
        </w:rPr>
        <w:tab/>
        <w:t xml:space="preserve">Diaz PV, Pinto RA, </w:t>
      </w:r>
      <w:proofErr w:type="spellStart"/>
      <w:r w:rsidRPr="00E126EF">
        <w:rPr>
          <w:rFonts w:eastAsiaTheme="minorHAnsi" w:cstheme="minorBidi"/>
          <w:szCs w:val="22"/>
        </w:rPr>
        <w:t>Mamani</w:t>
      </w:r>
      <w:proofErr w:type="spellEnd"/>
      <w:r w:rsidRPr="00E126EF">
        <w:rPr>
          <w:rFonts w:eastAsiaTheme="minorHAnsi" w:cstheme="minorBidi"/>
          <w:szCs w:val="22"/>
        </w:rPr>
        <w:t xml:space="preserve"> R, </w:t>
      </w:r>
      <w:proofErr w:type="spellStart"/>
      <w:r w:rsidRPr="00E126EF">
        <w:rPr>
          <w:rFonts w:eastAsiaTheme="minorHAnsi" w:cstheme="minorBidi"/>
          <w:szCs w:val="22"/>
        </w:rPr>
        <w:t>Uasapud</w:t>
      </w:r>
      <w:proofErr w:type="spellEnd"/>
      <w:r w:rsidRPr="00E126EF">
        <w:rPr>
          <w:rFonts w:eastAsiaTheme="minorHAnsi" w:cstheme="minorBidi"/>
          <w:szCs w:val="22"/>
        </w:rPr>
        <w:t xml:space="preserve"> PA, Bono MR, Gaggero AA, Guerrero J, </w:t>
      </w:r>
      <w:proofErr w:type="spellStart"/>
      <w:r w:rsidRPr="00E126EF">
        <w:rPr>
          <w:rFonts w:eastAsiaTheme="minorHAnsi" w:cstheme="minorBidi"/>
          <w:szCs w:val="22"/>
        </w:rPr>
        <w:t>Goecke</w:t>
      </w:r>
      <w:proofErr w:type="spellEnd"/>
      <w:r w:rsidRPr="00E126EF">
        <w:rPr>
          <w:rFonts w:eastAsiaTheme="minorHAnsi" w:cstheme="minorBidi"/>
          <w:szCs w:val="22"/>
        </w:rPr>
        <w:t xml:space="preserve"> A. Increased expression of the glucocorticoid receptor b in infants with RSV bronchiolitis. Pediatrics 2012; </w:t>
      </w:r>
      <w:proofErr w:type="gramStart"/>
      <w:r w:rsidRPr="00E126EF">
        <w:rPr>
          <w:rFonts w:eastAsiaTheme="minorHAnsi" w:cstheme="minorBidi"/>
          <w:szCs w:val="22"/>
        </w:rPr>
        <w:t>130:e</w:t>
      </w:r>
      <w:proofErr w:type="gramEnd"/>
      <w:r w:rsidRPr="00E126EF">
        <w:rPr>
          <w:rFonts w:eastAsiaTheme="minorHAnsi" w:cstheme="minorBidi"/>
          <w:szCs w:val="22"/>
        </w:rPr>
        <w:t>804-811</w:t>
      </w:r>
    </w:p>
    <w:p w14:paraId="71FF2EB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389.</w:t>
      </w:r>
      <w:r w:rsidRPr="00E126EF">
        <w:rPr>
          <w:rFonts w:eastAsiaTheme="minorHAnsi" w:cstheme="minorBidi"/>
          <w:szCs w:val="22"/>
        </w:rPr>
        <w:tab/>
        <w:t xml:space="preserve">Leung DY, Hamid Q, Vottero A, </w:t>
      </w:r>
      <w:proofErr w:type="spellStart"/>
      <w:r w:rsidRPr="00E126EF">
        <w:rPr>
          <w:rFonts w:eastAsiaTheme="minorHAnsi" w:cstheme="minorBidi"/>
          <w:szCs w:val="22"/>
        </w:rPr>
        <w:t>Szefler</w:t>
      </w:r>
      <w:proofErr w:type="spellEnd"/>
      <w:r w:rsidRPr="00E126EF">
        <w:rPr>
          <w:rFonts w:eastAsiaTheme="minorHAnsi" w:cstheme="minorBidi"/>
          <w:szCs w:val="22"/>
        </w:rPr>
        <w:t xml:space="preserve"> SJ, </w:t>
      </w:r>
      <w:proofErr w:type="spellStart"/>
      <w:r w:rsidRPr="00E126EF">
        <w:rPr>
          <w:rFonts w:eastAsiaTheme="minorHAnsi" w:cstheme="minorBidi"/>
          <w:szCs w:val="22"/>
        </w:rPr>
        <w:t>Surs</w:t>
      </w:r>
      <w:proofErr w:type="spellEnd"/>
      <w:r w:rsidRPr="00E126EF">
        <w:rPr>
          <w:rFonts w:eastAsiaTheme="minorHAnsi" w:cstheme="minorBidi"/>
          <w:szCs w:val="22"/>
        </w:rPr>
        <w:t xml:space="preserve"> W, </w:t>
      </w:r>
      <w:proofErr w:type="spellStart"/>
      <w:r w:rsidRPr="00E126EF">
        <w:rPr>
          <w:rFonts w:eastAsiaTheme="minorHAnsi" w:cstheme="minorBidi"/>
          <w:szCs w:val="22"/>
        </w:rPr>
        <w:t>Minshall</w:t>
      </w:r>
      <w:proofErr w:type="spellEnd"/>
      <w:r w:rsidRPr="00E126EF">
        <w:rPr>
          <w:rFonts w:eastAsiaTheme="minorHAnsi" w:cstheme="minorBidi"/>
          <w:szCs w:val="22"/>
        </w:rPr>
        <w:t xml:space="preserve"> E, Chrousos GP, Klemm DJ. Association of glucocorticoid insensitivity with increased expression of glucocorticoid receptor b. J Exp Med 1997; 186:1567-1574</w:t>
      </w:r>
    </w:p>
    <w:p w14:paraId="65AF462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390.</w:t>
      </w:r>
      <w:r w:rsidRPr="00E126EF">
        <w:rPr>
          <w:rFonts w:eastAsiaTheme="minorHAnsi" w:cstheme="minorBidi"/>
          <w:szCs w:val="22"/>
        </w:rPr>
        <w:tab/>
        <w:t xml:space="preserve">Webster JC, Oakley RH, Jewell CM, </w:t>
      </w:r>
      <w:proofErr w:type="spellStart"/>
      <w:r w:rsidRPr="00E126EF">
        <w:rPr>
          <w:rFonts w:eastAsiaTheme="minorHAnsi" w:cstheme="minorBidi"/>
          <w:szCs w:val="22"/>
        </w:rPr>
        <w:t>Cidlowski</w:t>
      </w:r>
      <w:proofErr w:type="spellEnd"/>
      <w:r w:rsidRPr="00E126EF">
        <w:rPr>
          <w:rFonts w:eastAsiaTheme="minorHAnsi" w:cstheme="minorBidi"/>
          <w:szCs w:val="22"/>
        </w:rPr>
        <w:t xml:space="preserve"> JA. Proinflammatory cytokines regulate human glucocorticoid receptor gene expression and lead to the accumulation of the dominant negative b isoform: a mechanism for the generation of glucocorticoid resistance.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2001; 98:6865-6870</w:t>
      </w:r>
    </w:p>
    <w:p w14:paraId="1023C1D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391.</w:t>
      </w:r>
      <w:r w:rsidRPr="00E126EF">
        <w:rPr>
          <w:rFonts w:eastAsiaTheme="minorHAnsi" w:cstheme="minorBidi"/>
          <w:szCs w:val="22"/>
        </w:rPr>
        <w:tab/>
        <w:t xml:space="preserve">Xu Q, Leung DY, </w:t>
      </w:r>
      <w:proofErr w:type="spellStart"/>
      <w:r w:rsidRPr="00E126EF">
        <w:rPr>
          <w:rFonts w:eastAsiaTheme="minorHAnsi" w:cstheme="minorBidi"/>
          <w:szCs w:val="22"/>
        </w:rPr>
        <w:t>Kisich</w:t>
      </w:r>
      <w:proofErr w:type="spellEnd"/>
      <w:r w:rsidRPr="00E126EF">
        <w:rPr>
          <w:rFonts w:eastAsiaTheme="minorHAnsi" w:cstheme="minorBidi"/>
          <w:szCs w:val="22"/>
        </w:rPr>
        <w:t xml:space="preserve"> KO. Serine-arginine-rich protein p30 directs alternative splicing of glucocorticoid receptor pre-mRNA to glucocorticoid receptor b in neutrophils. J Biol Chem 2003; 278:27112-27118</w:t>
      </w:r>
    </w:p>
    <w:p w14:paraId="46D0A70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392.</w:t>
      </w:r>
      <w:r w:rsidRPr="00E126EF">
        <w:rPr>
          <w:rFonts w:eastAsiaTheme="minorHAnsi" w:cstheme="minorBidi"/>
          <w:szCs w:val="22"/>
        </w:rPr>
        <w:tab/>
        <w:t xml:space="preserve">Strickland I, </w:t>
      </w:r>
      <w:proofErr w:type="spellStart"/>
      <w:r w:rsidRPr="00E126EF">
        <w:rPr>
          <w:rFonts w:eastAsiaTheme="minorHAnsi" w:cstheme="minorBidi"/>
          <w:szCs w:val="22"/>
        </w:rPr>
        <w:t>Kisich</w:t>
      </w:r>
      <w:proofErr w:type="spellEnd"/>
      <w:r w:rsidRPr="00E126EF">
        <w:rPr>
          <w:rFonts w:eastAsiaTheme="minorHAnsi" w:cstheme="minorBidi"/>
          <w:szCs w:val="22"/>
        </w:rPr>
        <w:t xml:space="preserve"> K, Hauk PJ, Vottero A, Chrousos GP, Klemm DJ, Leung DY. High constitutive glucocorticoid receptor b in human neutrophils enables them to reduce their spontaneous rate of cell death in response to corticosteroids. J Exp Med 2001; 193:585-593</w:t>
      </w:r>
    </w:p>
    <w:p w14:paraId="4DA59C4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393.</w:t>
      </w:r>
      <w:r w:rsidRPr="00E126EF">
        <w:rPr>
          <w:rFonts w:eastAsiaTheme="minorHAnsi" w:cstheme="minorBidi"/>
          <w:szCs w:val="22"/>
        </w:rPr>
        <w:tab/>
      </w:r>
      <w:proofErr w:type="spellStart"/>
      <w:r w:rsidRPr="00E126EF">
        <w:rPr>
          <w:rFonts w:eastAsiaTheme="minorHAnsi" w:cstheme="minorBidi"/>
          <w:szCs w:val="22"/>
        </w:rPr>
        <w:t>Orii</w:t>
      </w:r>
      <w:proofErr w:type="spellEnd"/>
      <w:r w:rsidRPr="00E126EF">
        <w:rPr>
          <w:rFonts w:eastAsiaTheme="minorHAnsi" w:cstheme="minorBidi"/>
          <w:szCs w:val="22"/>
        </w:rPr>
        <w:t xml:space="preserve"> F, </w:t>
      </w:r>
      <w:proofErr w:type="spellStart"/>
      <w:r w:rsidRPr="00E126EF">
        <w:rPr>
          <w:rFonts w:eastAsiaTheme="minorHAnsi" w:cstheme="minorBidi"/>
          <w:szCs w:val="22"/>
        </w:rPr>
        <w:t>Ashida</w:t>
      </w:r>
      <w:proofErr w:type="spellEnd"/>
      <w:r w:rsidRPr="00E126EF">
        <w:rPr>
          <w:rFonts w:eastAsiaTheme="minorHAnsi" w:cstheme="minorBidi"/>
          <w:szCs w:val="22"/>
        </w:rPr>
        <w:t xml:space="preserve"> T, Nomura M, </w:t>
      </w:r>
      <w:proofErr w:type="spellStart"/>
      <w:r w:rsidRPr="00E126EF">
        <w:rPr>
          <w:rFonts w:eastAsiaTheme="minorHAnsi" w:cstheme="minorBidi"/>
          <w:szCs w:val="22"/>
        </w:rPr>
        <w:t>Maemoto</w:t>
      </w:r>
      <w:proofErr w:type="spellEnd"/>
      <w:r w:rsidRPr="00E126EF">
        <w:rPr>
          <w:rFonts w:eastAsiaTheme="minorHAnsi" w:cstheme="minorBidi"/>
          <w:szCs w:val="22"/>
        </w:rPr>
        <w:t xml:space="preserve"> A, </w:t>
      </w:r>
      <w:proofErr w:type="spellStart"/>
      <w:r w:rsidRPr="00E126EF">
        <w:rPr>
          <w:rFonts w:eastAsiaTheme="minorHAnsi" w:cstheme="minorBidi"/>
          <w:szCs w:val="22"/>
        </w:rPr>
        <w:t>Fujiki</w:t>
      </w:r>
      <w:proofErr w:type="spellEnd"/>
      <w:r w:rsidRPr="00E126EF">
        <w:rPr>
          <w:rFonts w:eastAsiaTheme="minorHAnsi" w:cstheme="minorBidi"/>
          <w:szCs w:val="22"/>
        </w:rPr>
        <w:t xml:space="preserve"> T, </w:t>
      </w:r>
      <w:proofErr w:type="spellStart"/>
      <w:r w:rsidRPr="00E126EF">
        <w:rPr>
          <w:rFonts w:eastAsiaTheme="minorHAnsi" w:cstheme="minorBidi"/>
          <w:szCs w:val="22"/>
        </w:rPr>
        <w:t>Ayabe</w:t>
      </w:r>
      <w:proofErr w:type="spellEnd"/>
      <w:r w:rsidRPr="00E126EF">
        <w:rPr>
          <w:rFonts w:eastAsiaTheme="minorHAnsi" w:cstheme="minorBidi"/>
          <w:szCs w:val="22"/>
        </w:rPr>
        <w:t xml:space="preserve"> T, Imai S, </w:t>
      </w:r>
      <w:proofErr w:type="spellStart"/>
      <w:r w:rsidRPr="00E126EF">
        <w:rPr>
          <w:rFonts w:eastAsiaTheme="minorHAnsi" w:cstheme="minorBidi"/>
          <w:szCs w:val="22"/>
        </w:rPr>
        <w:t>Saitoh</w:t>
      </w:r>
      <w:proofErr w:type="spellEnd"/>
      <w:r w:rsidRPr="00E126EF">
        <w:rPr>
          <w:rFonts w:eastAsiaTheme="minorHAnsi" w:cstheme="minorBidi"/>
          <w:szCs w:val="22"/>
        </w:rPr>
        <w:t xml:space="preserve"> Y, </w:t>
      </w:r>
      <w:proofErr w:type="spellStart"/>
      <w:r w:rsidRPr="00E126EF">
        <w:rPr>
          <w:rFonts w:eastAsiaTheme="minorHAnsi" w:cstheme="minorBidi"/>
          <w:szCs w:val="22"/>
        </w:rPr>
        <w:t>Kohgo</w:t>
      </w:r>
      <w:proofErr w:type="spellEnd"/>
      <w:r w:rsidRPr="00E126EF">
        <w:rPr>
          <w:rFonts w:eastAsiaTheme="minorHAnsi" w:cstheme="minorBidi"/>
          <w:szCs w:val="22"/>
        </w:rPr>
        <w:t xml:space="preserve"> Y. Quantitative analysis for human glucocorticoid receptor a/b mRNA in IBD. </w:t>
      </w:r>
      <w:proofErr w:type="spellStart"/>
      <w:r w:rsidRPr="00E126EF">
        <w:rPr>
          <w:rFonts w:eastAsiaTheme="minorHAnsi" w:cstheme="minorBidi"/>
          <w:szCs w:val="22"/>
        </w:rPr>
        <w:t>Biochem</w:t>
      </w:r>
      <w:proofErr w:type="spellEnd"/>
      <w:r w:rsidRPr="00E126EF">
        <w:rPr>
          <w:rFonts w:eastAsiaTheme="minorHAnsi" w:cstheme="minorBidi"/>
          <w:szCs w:val="22"/>
        </w:rPr>
        <w:t xml:space="preserve"> </w:t>
      </w:r>
      <w:proofErr w:type="spellStart"/>
      <w:r w:rsidRPr="00E126EF">
        <w:rPr>
          <w:rFonts w:eastAsiaTheme="minorHAnsi" w:cstheme="minorBidi"/>
          <w:szCs w:val="22"/>
        </w:rPr>
        <w:t>Biophys</w:t>
      </w:r>
      <w:proofErr w:type="spellEnd"/>
      <w:r w:rsidRPr="00E126EF">
        <w:rPr>
          <w:rFonts w:eastAsiaTheme="minorHAnsi" w:cstheme="minorBidi"/>
          <w:szCs w:val="22"/>
        </w:rPr>
        <w:t xml:space="preserve"> Res </w:t>
      </w:r>
      <w:proofErr w:type="spellStart"/>
      <w:r w:rsidRPr="00E126EF">
        <w:rPr>
          <w:rFonts w:eastAsiaTheme="minorHAnsi" w:cstheme="minorBidi"/>
          <w:szCs w:val="22"/>
        </w:rPr>
        <w:t>Commun</w:t>
      </w:r>
      <w:proofErr w:type="spellEnd"/>
      <w:r w:rsidRPr="00E126EF">
        <w:rPr>
          <w:rFonts w:eastAsiaTheme="minorHAnsi" w:cstheme="minorBidi"/>
          <w:szCs w:val="22"/>
        </w:rPr>
        <w:t xml:space="preserve"> 2002; 296:1286-1294</w:t>
      </w:r>
    </w:p>
    <w:p w14:paraId="6569219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394.</w:t>
      </w:r>
      <w:r w:rsidRPr="00E126EF">
        <w:rPr>
          <w:rFonts w:eastAsiaTheme="minorHAnsi" w:cstheme="minorBidi"/>
          <w:szCs w:val="22"/>
        </w:rPr>
        <w:tab/>
      </w:r>
      <w:proofErr w:type="spellStart"/>
      <w:r w:rsidRPr="00E126EF">
        <w:rPr>
          <w:rFonts w:eastAsiaTheme="minorHAnsi" w:cstheme="minorBidi"/>
          <w:szCs w:val="22"/>
        </w:rPr>
        <w:t>Tliba</w:t>
      </w:r>
      <w:proofErr w:type="spellEnd"/>
      <w:r w:rsidRPr="00E126EF">
        <w:rPr>
          <w:rFonts w:eastAsiaTheme="minorHAnsi" w:cstheme="minorBidi"/>
          <w:szCs w:val="22"/>
        </w:rPr>
        <w:t xml:space="preserve"> O, </w:t>
      </w:r>
      <w:proofErr w:type="spellStart"/>
      <w:r w:rsidRPr="00E126EF">
        <w:rPr>
          <w:rFonts w:eastAsiaTheme="minorHAnsi" w:cstheme="minorBidi"/>
          <w:szCs w:val="22"/>
        </w:rPr>
        <w:t>Damera</w:t>
      </w:r>
      <w:proofErr w:type="spellEnd"/>
      <w:r w:rsidRPr="00E126EF">
        <w:rPr>
          <w:rFonts w:eastAsiaTheme="minorHAnsi" w:cstheme="minorBidi"/>
          <w:szCs w:val="22"/>
        </w:rPr>
        <w:t xml:space="preserve"> G, Banerjee A, Gu S, </w:t>
      </w:r>
      <w:proofErr w:type="spellStart"/>
      <w:r w:rsidRPr="00E126EF">
        <w:rPr>
          <w:rFonts w:eastAsiaTheme="minorHAnsi" w:cstheme="minorBidi"/>
          <w:szCs w:val="22"/>
        </w:rPr>
        <w:t>Baidouri</w:t>
      </w:r>
      <w:proofErr w:type="spellEnd"/>
      <w:r w:rsidRPr="00E126EF">
        <w:rPr>
          <w:rFonts w:eastAsiaTheme="minorHAnsi" w:cstheme="minorBidi"/>
          <w:szCs w:val="22"/>
        </w:rPr>
        <w:t xml:space="preserve"> H, </w:t>
      </w:r>
      <w:proofErr w:type="spellStart"/>
      <w:r w:rsidRPr="00E126EF">
        <w:rPr>
          <w:rFonts w:eastAsiaTheme="minorHAnsi" w:cstheme="minorBidi"/>
          <w:szCs w:val="22"/>
        </w:rPr>
        <w:t>Keslacy</w:t>
      </w:r>
      <w:proofErr w:type="spellEnd"/>
      <w:r w:rsidRPr="00E126EF">
        <w:rPr>
          <w:rFonts w:eastAsiaTheme="minorHAnsi" w:cstheme="minorBidi"/>
          <w:szCs w:val="22"/>
        </w:rPr>
        <w:t xml:space="preserve"> S, </w:t>
      </w:r>
      <w:proofErr w:type="spellStart"/>
      <w:r w:rsidRPr="00E126EF">
        <w:rPr>
          <w:rFonts w:eastAsiaTheme="minorHAnsi" w:cstheme="minorBidi"/>
          <w:szCs w:val="22"/>
        </w:rPr>
        <w:t>Amrani</w:t>
      </w:r>
      <w:proofErr w:type="spellEnd"/>
      <w:r w:rsidRPr="00E126EF">
        <w:rPr>
          <w:rFonts w:eastAsiaTheme="minorHAnsi" w:cstheme="minorBidi"/>
          <w:szCs w:val="22"/>
        </w:rPr>
        <w:t xml:space="preserve"> Y. Cytokines induce an early steroid resistance in airway smooth muscle cells: novel role of interferon regulatory factor-1. Am J Respir Cell Mol Biol 2008; 38:463-472</w:t>
      </w:r>
    </w:p>
    <w:p w14:paraId="0D3B6B5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395.</w:t>
      </w:r>
      <w:r w:rsidRPr="00E126EF">
        <w:rPr>
          <w:rFonts w:eastAsiaTheme="minorHAnsi" w:cstheme="minorBidi"/>
          <w:szCs w:val="22"/>
        </w:rPr>
        <w:tab/>
        <w:t xml:space="preserve">Chung CC, </w:t>
      </w:r>
      <w:proofErr w:type="spellStart"/>
      <w:r w:rsidRPr="00E126EF">
        <w:rPr>
          <w:rFonts w:eastAsiaTheme="minorHAnsi" w:cstheme="minorBidi"/>
          <w:szCs w:val="22"/>
        </w:rPr>
        <w:t>Shimmin</w:t>
      </w:r>
      <w:proofErr w:type="spellEnd"/>
      <w:r w:rsidRPr="00E126EF">
        <w:rPr>
          <w:rFonts w:eastAsiaTheme="minorHAnsi" w:cstheme="minorBidi"/>
          <w:szCs w:val="22"/>
        </w:rPr>
        <w:t xml:space="preserve"> L, Natarajan S, </w:t>
      </w:r>
      <w:proofErr w:type="spellStart"/>
      <w:r w:rsidRPr="00E126EF">
        <w:rPr>
          <w:rFonts w:eastAsiaTheme="minorHAnsi" w:cstheme="minorBidi"/>
          <w:szCs w:val="22"/>
        </w:rPr>
        <w:t>Hanis</w:t>
      </w:r>
      <w:proofErr w:type="spellEnd"/>
      <w:r w:rsidRPr="00E126EF">
        <w:rPr>
          <w:rFonts w:eastAsiaTheme="minorHAnsi" w:cstheme="minorBidi"/>
          <w:szCs w:val="22"/>
        </w:rPr>
        <w:t xml:space="preserve"> CL, Boerwinkle E, Hixson JE. Glucocorticoid receptor gene variant in the 3' untranslated region is associated with multiple measures of blood pressure.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2009; 94:268-276</w:t>
      </w:r>
    </w:p>
    <w:p w14:paraId="3B9294C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396.</w:t>
      </w:r>
      <w:r w:rsidRPr="00E126EF">
        <w:rPr>
          <w:rFonts w:eastAsiaTheme="minorHAnsi" w:cstheme="minorBidi"/>
          <w:szCs w:val="22"/>
        </w:rPr>
        <w:tab/>
        <w:t xml:space="preserve">van den Akker EL, Koper JW, van Rossum EF, Dekker MJ, </w:t>
      </w:r>
      <w:proofErr w:type="spellStart"/>
      <w:r w:rsidRPr="00E126EF">
        <w:rPr>
          <w:rFonts w:eastAsiaTheme="minorHAnsi" w:cstheme="minorBidi"/>
          <w:szCs w:val="22"/>
        </w:rPr>
        <w:t>Russcher</w:t>
      </w:r>
      <w:proofErr w:type="spellEnd"/>
      <w:r w:rsidRPr="00E126EF">
        <w:rPr>
          <w:rFonts w:eastAsiaTheme="minorHAnsi" w:cstheme="minorBidi"/>
          <w:szCs w:val="22"/>
        </w:rPr>
        <w:t xml:space="preserve"> H, de Jong FH, </w:t>
      </w:r>
      <w:proofErr w:type="spellStart"/>
      <w:r w:rsidRPr="00E126EF">
        <w:rPr>
          <w:rFonts w:eastAsiaTheme="minorHAnsi" w:cstheme="minorBidi"/>
          <w:szCs w:val="22"/>
        </w:rPr>
        <w:t>Uitterlinden</w:t>
      </w:r>
      <w:proofErr w:type="spellEnd"/>
      <w:r w:rsidRPr="00E126EF">
        <w:rPr>
          <w:rFonts w:eastAsiaTheme="minorHAnsi" w:cstheme="minorBidi"/>
          <w:szCs w:val="22"/>
        </w:rPr>
        <w:t xml:space="preserve"> AG, </w:t>
      </w:r>
      <w:proofErr w:type="spellStart"/>
      <w:r w:rsidRPr="00E126EF">
        <w:rPr>
          <w:rFonts w:eastAsiaTheme="minorHAnsi" w:cstheme="minorBidi"/>
          <w:szCs w:val="22"/>
        </w:rPr>
        <w:t>Hofman</w:t>
      </w:r>
      <w:proofErr w:type="spellEnd"/>
      <w:r w:rsidRPr="00E126EF">
        <w:rPr>
          <w:rFonts w:eastAsiaTheme="minorHAnsi" w:cstheme="minorBidi"/>
          <w:szCs w:val="22"/>
        </w:rPr>
        <w:t xml:space="preserve"> A, Pols HA, </w:t>
      </w:r>
      <w:proofErr w:type="spellStart"/>
      <w:r w:rsidRPr="00E126EF">
        <w:rPr>
          <w:rFonts w:eastAsiaTheme="minorHAnsi" w:cstheme="minorBidi"/>
          <w:szCs w:val="22"/>
        </w:rPr>
        <w:t>Witteman</w:t>
      </w:r>
      <w:proofErr w:type="spellEnd"/>
      <w:r w:rsidRPr="00E126EF">
        <w:rPr>
          <w:rFonts w:eastAsiaTheme="minorHAnsi" w:cstheme="minorBidi"/>
          <w:szCs w:val="22"/>
        </w:rPr>
        <w:t xml:space="preserve"> JC, Lamberts SW. Glucocorticoid receptor gene and risk of cardiovascular disease. Arch Intern Med 2008; 168:33-39</w:t>
      </w:r>
    </w:p>
    <w:p w14:paraId="0162161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397.</w:t>
      </w:r>
      <w:r w:rsidRPr="00E126EF">
        <w:rPr>
          <w:rFonts w:eastAsiaTheme="minorHAnsi" w:cstheme="minorBidi"/>
          <w:szCs w:val="22"/>
        </w:rPr>
        <w:tab/>
        <w:t xml:space="preserve">van den Akker EL, Nouwen JL, </w:t>
      </w:r>
      <w:proofErr w:type="spellStart"/>
      <w:r w:rsidRPr="00E126EF">
        <w:rPr>
          <w:rFonts w:eastAsiaTheme="minorHAnsi" w:cstheme="minorBidi"/>
          <w:szCs w:val="22"/>
        </w:rPr>
        <w:t>Melles</w:t>
      </w:r>
      <w:proofErr w:type="spellEnd"/>
      <w:r w:rsidRPr="00E126EF">
        <w:rPr>
          <w:rFonts w:eastAsiaTheme="minorHAnsi" w:cstheme="minorBidi"/>
          <w:szCs w:val="22"/>
        </w:rPr>
        <w:t xml:space="preserve"> DC, van Rossum EF, Koper JW, </w:t>
      </w:r>
      <w:proofErr w:type="spellStart"/>
      <w:r w:rsidRPr="00E126EF">
        <w:rPr>
          <w:rFonts w:eastAsiaTheme="minorHAnsi" w:cstheme="minorBidi"/>
          <w:szCs w:val="22"/>
        </w:rPr>
        <w:t>Uitterlinden</w:t>
      </w:r>
      <w:proofErr w:type="spellEnd"/>
      <w:r w:rsidRPr="00E126EF">
        <w:rPr>
          <w:rFonts w:eastAsiaTheme="minorHAnsi" w:cstheme="minorBidi"/>
          <w:szCs w:val="22"/>
        </w:rPr>
        <w:t xml:space="preserve"> AG, </w:t>
      </w:r>
      <w:proofErr w:type="spellStart"/>
      <w:r w:rsidRPr="00E126EF">
        <w:rPr>
          <w:rFonts w:eastAsiaTheme="minorHAnsi" w:cstheme="minorBidi"/>
          <w:szCs w:val="22"/>
        </w:rPr>
        <w:t>Hofman</w:t>
      </w:r>
      <w:proofErr w:type="spellEnd"/>
      <w:r w:rsidRPr="00E126EF">
        <w:rPr>
          <w:rFonts w:eastAsiaTheme="minorHAnsi" w:cstheme="minorBidi"/>
          <w:szCs w:val="22"/>
        </w:rPr>
        <w:t xml:space="preserve"> A, </w:t>
      </w:r>
      <w:proofErr w:type="spellStart"/>
      <w:r w:rsidRPr="00E126EF">
        <w:rPr>
          <w:rFonts w:eastAsiaTheme="minorHAnsi" w:cstheme="minorBidi"/>
          <w:szCs w:val="22"/>
        </w:rPr>
        <w:t>Verbrugh</w:t>
      </w:r>
      <w:proofErr w:type="spellEnd"/>
      <w:r w:rsidRPr="00E126EF">
        <w:rPr>
          <w:rFonts w:eastAsiaTheme="minorHAnsi" w:cstheme="minorBidi"/>
          <w:szCs w:val="22"/>
        </w:rPr>
        <w:t xml:space="preserve"> HA, Pols HA, Lamberts SW, van </w:t>
      </w:r>
      <w:proofErr w:type="spellStart"/>
      <w:r w:rsidRPr="00E126EF">
        <w:rPr>
          <w:rFonts w:eastAsiaTheme="minorHAnsi" w:cstheme="minorBidi"/>
          <w:szCs w:val="22"/>
        </w:rPr>
        <w:t>Belkum</w:t>
      </w:r>
      <w:proofErr w:type="spellEnd"/>
      <w:r w:rsidRPr="00E126EF">
        <w:rPr>
          <w:rFonts w:eastAsiaTheme="minorHAnsi" w:cstheme="minorBidi"/>
          <w:szCs w:val="22"/>
        </w:rPr>
        <w:t xml:space="preserve"> A. Staphylococcus aureus nasal carriage is associated with glucocorticoid receptor gene polymorphisms. J Infect Dis 2006; 194:814-818</w:t>
      </w:r>
    </w:p>
    <w:p w14:paraId="2AF5757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398.</w:t>
      </w:r>
      <w:r w:rsidRPr="00E126EF">
        <w:rPr>
          <w:rFonts w:eastAsiaTheme="minorHAnsi" w:cstheme="minorBidi"/>
          <w:szCs w:val="22"/>
        </w:rPr>
        <w:tab/>
        <w:t xml:space="preserve">Charmandari E, Kino T. Chrousos syndrome: a seminal report, a phylogenetic enigma and the clinical implications of glucocorticoid </w:t>
      </w:r>
      <w:proofErr w:type="spellStart"/>
      <w:r w:rsidRPr="00E126EF">
        <w:rPr>
          <w:rFonts w:eastAsiaTheme="minorHAnsi" w:cstheme="minorBidi"/>
          <w:szCs w:val="22"/>
        </w:rPr>
        <w:t>signalling</w:t>
      </w:r>
      <w:proofErr w:type="spellEnd"/>
      <w:r w:rsidRPr="00E126EF">
        <w:rPr>
          <w:rFonts w:eastAsiaTheme="minorHAnsi" w:cstheme="minorBidi"/>
          <w:szCs w:val="22"/>
        </w:rPr>
        <w:t xml:space="preserve"> changes. Eur J Clin Invest 2010; 40:932-942</w:t>
      </w:r>
    </w:p>
    <w:p w14:paraId="25A880F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399.</w:t>
      </w:r>
      <w:r w:rsidRPr="00E126EF">
        <w:rPr>
          <w:rFonts w:eastAsiaTheme="minorHAnsi" w:cstheme="minorBidi"/>
          <w:szCs w:val="22"/>
        </w:rPr>
        <w:tab/>
        <w:t xml:space="preserve">Charmandari E, Kino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Chrousos GP. Generalized glucocorticoid resistance: clinical aspects, molecular mechanisms, and implications of a rare genetic disorder.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2008; 93:1563-1572</w:t>
      </w:r>
    </w:p>
    <w:p w14:paraId="4C69740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400.</w:t>
      </w:r>
      <w:r w:rsidRPr="00E126EF">
        <w:rPr>
          <w:rFonts w:eastAsiaTheme="minorHAnsi" w:cstheme="minorBidi"/>
          <w:szCs w:val="22"/>
        </w:rPr>
        <w:tab/>
        <w:t xml:space="preserve">Nicolaides N, </w:t>
      </w:r>
      <w:proofErr w:type="spellStart"/>
      <w:r w:rsidRPr="00E126EF">
        <w:rPr>
          <w:rFonts w:eastAsiaTheme="minorHAnsi" w:cstheme="minorBidi"/>
          <w:szCs w:val="22"/>
        </w:rPr>
        <w:t>Lamprokostopoulou</w:t>
      </w:r>
      <w:proofErr w:type="spellEnd"/>
      <w:r w:rsidRPr="00E126EF">
        <w:rPr>
          <w:rFonts w:eastAsiaTheme="minorHAnsi" w:cstheme="minorBidi"/>
          <w:szCs w:val="22"/>
        </w:rPr>
        <w:t xml:space="preserve"> A, </w:t>
      </w:r>
      <w:proofErr w:type="spellStart"/>
      <w:r w:rsidRPr="00E126EF">
        <w:rPr>
          <w:rFonts w:eastAsiaTheme="minorHAnsi" w:cstheme="minorBidi"/>
          <w:szCs w:val="22"/>
        </w:rPr>
        <w:t>Sertedaki</w:t>
      </w:r>
      <w:proofErr w:type="spellEnd"/>
      <w:r w:rsidRPr="00E126EF">
        <w:rPr>
          <w:rFonts w:eastAsiaTheme="minorHAnsi" w:cstheme="minorBidi"/>
          <w:szCs w:val="22"/>
        </w:rPr>
        <w:t xml:space="preserve"> A, Charmandari E. Recent advances in the molecular mechanisms causing primary generalized glucocorticoid resistance. Hormones (Athens). 2016; 15(1):23-34</w:t>
      </w:r>
    </w:p>
    <w:p w14:paraId="04958B1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401.</w:t>
      </w:r>
      <w:r w:rsidRPr="00E126EF">
        <w:rPr>
          <w:rFonts w:eastAsiaTheme="minorHAnsi" w:cstheme="minorBidi"/>
          <w:szCs w:val="22"/>
        </w:rPr>
        <w:tab/>
        <w:t>Nicolaides NC, Charmandari E. Novel insights into the molecular mechanisms underlying generalized glucocorticoid resistance and hypersensitivity syndromes. Hormones (Athens). 2017; 16(2):124-138</w:t>
      </w:r>
    </w:p>
    <w:p w14:paraId="7805153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402.</w:t>
      </w:r>
      <w:r w:rsidRPr="00E126EF">
        <w:rPr>
          <w:rFonts w:eastAsiaTheme="minorHAnsi" w:cstheme="minorBidi"/>
          <w:szCs w:val="22"/>
        </w:rPr>
        <w:tab/>
        <w:t>Nicolaides NC, Charmandari E. Glucocorticoid Resistance. Exp Suppl. 2019; 111:85-102</w:t>
      </w:r>
    </w:p>
    <w:p w14:paraId="760AE8F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403.</w:t>
      </w:r>
      <w:r w:rsidRPr="00E126EF">
        <w:rPr>
          <w:rFonts w:eastAsiaTheme="minorHAnsi" w:cstheme="minorBidi"/>
          <w:szCs w:val="22"/>
        </w:rPr>
        <w:tab/>
        <w:t xml:space="preserve">Chrousos GP, </w:t>
      </w:r>
      <w:proofErr w:type="spellStart"/>
      <w:r w:rsidRPr="00E126EF">
        <w:rPr>
          <w:rFonts w:eastAsiaTheme="minorHAnsi" w:cstheme="minorBidi"/>
          <w:szCs w:val="22"/>
        </w:rPr>
        <w:t>Vingerhoeds</w:t>
      </w:r>
      <w:proofErr w:type="spellEnd"/>
      <w:r w:rsidRPr="00E126EF">
        <w:rPr>
          <w:rFonts w:eastAsiaTheme="minorHAnsi" w:cstheme="minorBidi"/>
          <w:szCs w:val="22"/>
        </w:rPr>
        <w:t xml:space="preserve"> A, Brandon D, </w:t>
      </w:r>
      <w:proofErr w:type="spellStart"/>
      <w:r w:rsidRPr="00E126EF">
        <w:rPr>
          <w:rFonts w:eastAsiaTheme="minorHAnsi" w:cstheme="minorBidi"/>
          <w:szCs w:val="22"/>
        </w:rPr>
        <w:t>Eil</w:t>
      </w:r>
      <w:proofErr w:type="spellEnd"/>
      <w:r w:rsidRPr="00E126EF">
        <w:rPr>
          <w:rFonts w:eastAsiaTheme="minorHAnsi" w:cstheme="minorBidi"/>
          <w:szCs w:val="22"/>
        </w:rPr>
        <w:t xml:space="preserve"> C, </w:t>
      </w:r>
      <w:proofErr w:type="spellStart"/>
      <w:r w:rsidRPr="00E126EF">
        <w:rPr>
          <w:rFonts w:eastAsiaTheme="minorHAnsi" w:cstheme="minorBidi"/>
          <w:szCs w:val="22"/>
        </w:rPr>
        <w:t>Pugeat</w:t>
      </w:r>
      <w:proofErr w:type="spellEnd"/>
      <w:r w:rsidRPr="00E126EF">
        <w:rPr>
          <w:rFonts w:eastAsiaTheme="minorHAnsi" w:cstheme="minorBidi"/>
          <w:szCs w:val="22"/>
        </w:rPr>
        <w:t xml:space="preserve"> M, </w:t>
      </w:r>
      <w:proofErr w:type="spellStart"/>
      <w:r w:rsidRPr="00E126EF">
        <w:rPr>
          <w:rFonts w:eastAsiaTheme="minorHAnsi" w:cstheme="minorBidi"/>
          <w:szCs w:val="22"/>
        </w:rPr>
        <w:t>DeVroede</w:t>
      </w:r>
      <w:proofErr w:type="spellEnd"/>
      <w:r w:rsidRPr="00E126EF">
        <w:rPr>
          <w:rFonts w:eastAsiaTheme="minorHAnsi" w:cstheme="minorBidi"/>
          <w:szCs w:val="22"/>
        </w:rPr>
        <w:t xml:space="preserve"> M, </w:t>
      </w:r>
      <w:proofErr w:type="spellStart"/>
      <w:r w:rsidRPr="00E126EF">
        <w:rPr>
          <w:rFonts w:eastAsiaTheme="minorHAnsi" w:cstheme="minorBidi"/>
          <w:szCs w:val="22"/>
        </w:rPr>
        <w:t>Loriaux</w:t>
      </w:r>
      <w:proofErr w:type="spellEnd"/>
      <w:r w:rsidRPr="00E126EF">
        <w:rPr>
          <w:rFonts w:eastAsiaTheme="minorHAnsi" w:cstheme="minorBidi"/>
          <w:szCs w:val="22"/>
        </w:rPr>
        <w:t xml:space="preserve"> DL, Lipsett MB. Primary cortisol resistance in man. A glucocorticoid receptor-mediated disease. J Clin Invest 1982; 69:1261-1269</w:t>
      </w:r>
    </w:p>
    <w:p w14:paraId="1B9848C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404.</w:t>
      </w:r>
      <w:r w:rsidRPr="00E126EF">
        <w:rPr>
          <w:rFonts w:eastAsiaTheme="minorHAnsi" w:cstheme="minorBidi"/>
          <w:szCs w:val="22"/>
        </w:rPr>
        <w:tab/>
        <w:t>Nicolaides NC, Charmandari E. Chrousos syndrome: from molecular pathogenesis to therapeutic management. Eur J Clin Invest. 2015; 45(5):504-14</w:t>
      </w:r>
    </w:p>
    <w:p w14:paraId="3C2D270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405.</w:t>
      </w:r>
      <w:r w:rsidRPr="00E126EF">
        <w:rPr>
          <w:rFonts w:eastAsiaTheme="minorHAnsi" w:cstheme="minorBidi"/>
          <w:szCs w:val="22"/>
        </w:rPr>
        <w:tab/>
      </w:r>
      <w:proofErr w:type="spellStart"/>
      <w:r w:rsidRPr="00E126EF">
        <w:rPr>
          <w:rFonts w:eastAsiaTheme="minorHAnsi" w:cstheme="minorBidi"/>
          <w:szCs w:val="22"/>
        </w:rPr>
        <w:t>Vingerhoeds</w:t>
      </w:r>
      <w:proofErr w:type="spellEnd"/>
      <w:r w:rsidRPr="00E126EF">
        <w:rPr>
          <w:rFonts w:eastAsiaTheme="minorHAnsi" w:cstheme="minorBidi"/>
          <w:szCs w:val="22"/>
        </w:rPr>
        <w:t xml:space="preserve"> ACM, </w:t>
      </w:r>
      <w:proofErr w:type="spellStart"/>
      <w:r w:rsidRPr="00E126EF">
        <w:rPr>
          <w:rFonts w:eastAsiaTheme="minorHAnsi" w:cstheme="minorBidi"/>
          <w:szCs w:val="22"/>
        </w:rPr>
        <w:t>Thijssen</w:t>
      </w:r>
      <w:proofErr w:type="spellEnd"/>
      <w:r w:rsidRPr="00E126EF">
        <w:rPr>
          <w:rFonts w:eastAsiaTheme="minorHAnsi" w:cstheme="minorBidi"/>
          <w:szCs w:val="22"/>
        </w:rPr>
        <w:t xml:space="preserve"> JHH, </w:t>
      </w:r>
      <w:proofErr w:type="spellStart"/>
      <w:r w:rsidRPr="00E126EF">
        <w:rPr>
          <w:rFonts w:eastAsiaTheme="minorHAnsi" w:cstheme="minorBidi"/>
          <w:szCs w:val="22"/>
        </w:rPr>
        <w:t>Schwarts</w:t>
      </w:r>
      <w:proofErr w:type="spellEnd"/>
      <w:r w:rsidRPr="00E126EF">
        <w:rPr>
          <w:rFonts w:eastAsiaTheme="minorHAnsi" w:cstheme="minorBidi"/>
          <w:szCs w:val="22"/>
        </w:rPr>
        <w:t xml:space="preserve"> F. Spontaneous hypercortisolism without Cushing's syndrome.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1976; 43:1128-1133</w:t>
      </w:r>
    </w:p>
    <w:p w14:paraId="2B3E1EF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406.</w:t>
      </w:r>
      <w:r w:rsidRPr="00E126EF">
        <w:rPr>
          <w:rFonts w:eastAsiaTheme="minorHAnsi" w:cstheme="minorBidi"/>
          <w:szCs w:val="22"/>
        </w:rPr>
        <w:tab/>
        <w:t xml:space="preserve">Lamberts SW, </w:t>
      </w:r>
      <w:proofErr w:type="spellStart"/>
      <w:r w:rsidRPr="00E126EF">
        <w:rPr>
          <w:rFonts w:eastAsiaTheme="minorHAnsi" w:cstheme="minorBidi"/>
          <w:szCs w:val="22"/>
        </w:rPr>
        <w:t>Poldermans</w:t>
      </w:r>
      <w:proofErr w:type="spellEnd"/>
      <w:r w:rsidRPr="00E126EF">
        <w:rPr>
          <w:rFonts w:eastAsiaTheme="minorHAnsi" w:cstheme="minorBidi"/>
          <w:szCs w:val="22"/>
        </w:rPr>
        <w:t xml:space="preserve"> D, </w:t>
      </w:r>
      <w:proofErr w:type="spellStart"/>
      <w:r w:rsidRPr="00E126EF">
        <w:rPr>
          <w:rFonts w:eastAsiaTheme="minorHAnsi" w:cstheme="minorBidi"/>
          <w:szCs w:val="22"/>
        </w:rPr>
        <w:t>Zweens</w:t>
      </w:r>
      <w:proofErr w:type="spellEnd"/>
      <w:r w:rsidRPr="00E126EF">
        <w:rPr>
          <w:rFonts w:eastAsiaTheme="minorHAnsi" w:cstheme="minorBidi"/>
          <w:szCs w:val="22"/>
        </w:rPr>
        <w:t xml:space="preserve"> M, de Jong FH. Familial cortisol resistance: differential diagnostic and therapeutic aspects.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1986; 63:1328-1333</w:t>
      </w:r>
    </w:p>
    <w:p w14:paraId="0937B0A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407.</w:t>
      </w:r>
      <w:r w:rsidRPr="00E126EF">
        <w:rPr>
          <w:rFonts w:eastAsiaTheme="minorHAnsi" w:cstheme="minorBidi"/>
          <w:szCs w:val="22"/>
        </w:rPr>
        <w:tab/>
      </w:r>
      <w:proofErr w:type="spellStart"/>
      <w:r w:rsidRPr="00E126EF">
        <w:rPr>
          <w:rFonts w:eastAsiaTheme="minorHAnsi" w:cstheme="minorBidi"/>
          <w:szCs w:val="22"/>
        </w:rPr>
        <w:t>Nawata</w:t>
      </w:r>
      <w:proofErr w:type="spellEnd"/>
      <w:r w:rsidRPr="00E126EF">
        <w:rPr>
          <w:rFonts w:eastAsiaTheme="minorHAnsi" w:cstheme="minorBidi"/>
          <w:szCs w:val="22"/>
        </w:rPr>
        <w:t xml:space="preserve"> H, Sekiya K, Higuchi K, Kato K, </w:t>
      </w:r>
      <w:proofErr w:type="spellStart"/>
      <w:r w:rsidRPr="00E126EF">
        <w:rPr>
          <w:rFonts w:eastAsiaTheme="minorHAnsi" w:cstheme="minorBidi"/>
          <w:szCs w:val="22"/>
        </w:rPr>
        <w:t>Ibayashi</w:t>
      </w:r>
      <w:proofErr w:type="spellEnd"/>
      <w:r w:rsidRPr="00E126EF">
        <w:rPr>
          <w:rFonts w:eastAsiaTheme="minorHAnsi" w:cstheme="minorBidi"/>
          <w:szCs w:val="22"/>
        </w:rPr>
        <w:t xml:space="preserve"> H. Decreased deoxyribonucleic acid binding of glucocorticoid-receptor complex in cultured skin fibroblasts from a patient with the glucocorticoid resistance syndrome.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1987; 65:219-226</w:t>
      </w:r>
    </w:p>
    <w:p w14:paraId="3880708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408.</w:t>
      </w:r>
      <w:r w:rsidRPr="00E126EF">
        <w:rPr>
          <w:rFonts w:eastAsiaTheme="minorHAnsi" w:cstheme="minorBidi"/>
          <w:szCs w:val="22"/>
        </w:rPr>
        <w:tab/>
        <w:t xml:space="preserve">Iida S, </w:t>
      </w:r>
      <w:proofErr w:type="spellStart"/>
      <w:r w:rsidRPr="00E126EF">
        <w:rPr>
          <w:rFonts w:eastAsiaTheme="minorHAnsi" w:cstheme="minorBidi"/>
          <w:szCs w:val="22"/>
        </w:rPr>
        <w:t>Gomi</w:t>
      </w:r>
      <w:proofErr w:type="spellEnd"/>
      <w:r w:rsidRPr="00E126EF">
        <w:rPr>
          <w:rFonts w:eastAsiaTheme="minorHAnsi" w:cstheme="minorBidi"/>
          <w:szCs w:val="22"/>
        </w:rPr>
        <w:t xml:space="preserve"> M, </w:t>
      </w:r>
      <w:proofErr w:type="spellStart"/>
      <w:r w:rsidRPr="00E126EF">
        <w:rPr>
          <w:rFonts w:eastAsiaTheme="minorHAnsi" w:cstheme="minorBidi"/>
          <w:szCs w:val="22"/>
        </w:rPr>
        <w:t>Moriwaki</w:t>
      </w:r>
      <w:proofErr w:type="spellEnd"/>
      <w:r w:rsidRPr="00E126EF">
        <w:rPr>
          <w:rFonts w:eastAsiaTheme="minorHAnsi" w:cstheme="minorBidi"/>
          <w:szCs w:val="22"/>
        </w:rPr>
        <w:t xml:space="preserve"> K, Itoh Y, </w:t>
      </w:r>
      <w:proofErr w:type="spellStart"/>
      <w:r w:rsidRPr="00E126EF">
        <w:rPr>
          <w:rFonts w:eastAsiaTheme="minorHAnsi" w:cstheme="minorBidi"/>
          <w:szCs w:val="22"/>
        </w:rPr>
        <w:t>Hirobe</w:t>
      </w:r>
      <w:proofErr w:type="spellEnd"/>
      <w:r w:rsidRPr="00E126EF">
        <w:rPr>
          <w:rFonts w:eastAsiaTheme="minorHAnsi" w:cstheme="minorBidi"/>
          <w:szCs w:val="22"/>
        </w:rPr>
        <w:t xml:space="preserve"> K, Matsuzawa Y, </w:t>
      </w:r>
      <w:proofErr w:type="spellStart"/>
      <w:r w:rsidRPr="00E126EF">
        <w:rPr>
          <w:rFonts w:eastAsiaTheme="minorHAnsi" w:cstheme="minorBidi"/>
          <w:szCs w:val="22"/>
        </w:rPr>
        <w:t>Katagiri</w:t>
      </w:r>
      <w:proofErr w:type="spellEnd"/>
      <w:r w:rsidRPr="00E126EF">
        <w:rPr>
          <w:rFonts w:eastAsiaTheme="minorHAnsi" w:cstheme="minorBidi"/>
          <w:szCs w:val="22"/>
        </w:rPr>
        <w:t xml:space="preserve"> S, </w:t>
      </w:r>
      <w:proofErr w:type="spellStart"/>
      <w:r w:rsidRPr="00E126EF">
        <w:rPr>
          <w:rFonts w:eastAsiaTheme="minorHAnsi" w:cstheme="minorBidi"/>
          <w:szCs w:val="22"/>
        </w:rPr>
        <w:t>Yonezawa</w:t>
      </w:r>
      <w:proofErr w:type="spellEnd"/>
      <w:r w:rsidRPr="00E126EF">
        <w:rPr>
          <w:rFonts w:eastAsiaTheme="minorHAnsi" w:cstheme="minorBidi"/>
          <w:szCs w:val="22"/>
        </w:rPr>
        <w:t xml:space="preserve"> T, </w:t>
      </w:r>
      <w:proofErr w:type="spellStart"/>
      <w:r w:rsidRPr="00E126EF">
        <w:rPr>
          <w:rFonts w:eastAsiaTheme="minorHAnsi" w:cstheme="minorBidi"/>
          <w:szCs w:val="22"/>
        </w:rPr>
        <w:t>Tarui</w:t>
      </w:r>
      <w:proofErr w:type="spellEnd"/>
      <w:r w:rsidRPr="00E126EF">
        <w:rPr>
          <w:rFonts w:eastAsiaTheme="minorHAnsi" w:cstheme="minorBidi"/>
          <w:szCs w:val="22"/>
        </w:rPr>
        <w:t xml:space="preserve"> S. Primary cortisol resistance accompanied by a reduction in glucocorticoid receptors in two members of the same family.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1985; 60:967-971</w:t>
      </w:r>
    </w:p>
    <w:p w14:paraId="3269A29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409.</w:t>
      </w:r>
      <w:r w:rsidRPr="00E126EF">
        <w:rPr>
          <w:rFonts w:eastAsiaTheme="minorHAnsi" w:cstheme="minorBidi"/>
          <w:szCs w:val="22"/>
        </w:rPr>
        <w:tab/>
      </w:r>
      <w:proofErr w:type="spellStart"/>
      <w:r w:rsidRPr="00E126EF">
        <w:rPr>
          <w:rFonts w:eastAsiaTheme="minorHAnsi" w:cstheme="minorBidi"/>
          <w:szCs w:val="22"/>
        </w:rPr>
        <w:t>Vecsei</w:t>
      </w:r>
      <w:proofErr w:type="spellEnd"/>
      <w:r w:rsidRPr="00E126EF">
        <w:rPr>
          <w:rFonts w:eastAsiaTheme="minorHAnsi" w:cstheme="minorBidi"/>
          <w:szCs w:val="22"/>
        </w:rPr>
        <w:t xml:space="preserve"> P, Frank K, Haack D, Heinze V, Ho AD, </w:t>
      </w:r>
      <w:proofErr w:type="spellStart"/>
      <w:r w:rsidRPr="00E126EF">
        <w:rPr>
          <w:rFonts w:eastAsiaTheme="minorHAnsi" w:cstheme="minorBidi"/>
          <w:szCs w:val="22"/>
        </w:rPr>
        <w:t>Honour</w:t>
      </w:r>
      <w:proofErr w:type="spellEnd"/>
      <w:r w:rsidRPr="00E126EF">
        <w:rPr>
          <w:rFonts w:eastAsiaTheme="minorHAnsi" w:cstheme="minorBidi"/>
          <w:szCs w:val="22"/>
        </w:rPr>
        <w:t xml:space="preserve"> JW, </w:t>
      </w:r>
      <w:proofErr w:type="spellStart"/>
      <w:r w:rsidRPr="00E126EF">
        <w:rPr>
          <w:rFonts w:eastAsiaTheme="minorHAnsi" w:cstheme="minorBidi"/>
          <w:szCs w:val="22"/>
        </w:rPr>
        <w:t>Lewicka</w:t>
      </w:r>
      <w:proofErr w:type="spellEnd"/>
      <w:r w:rsidRPr="00E126EF">
        <w:rPr>
          <w:rFonts w:eastAsiaTheme="minorHAnsi" w:cstheme="minorBidi"/>
          <w:szCs w:val="22"/>
        </w:rPr>
        <w:t xml:space="preserve"> S, </w:t>
      </w:r>
      <w:proofErr w:type="spellStart"/>
      <w:r w:rsidRPr="00E126EF">
        <w:rPr>
          <w:rFonts w:eastAsiaTheme="minorHAnsi" w:cstheme="minorBidi"/>
          <w:szCs w:val="22"/>
        </w:rPr>
        <w:t>Schoosch</w:t>
      </w:r>
      <w:proofErr w:type="spellEnd"/>
      <w:r w:rsidRPr="00E126EF">
        <w:rPr>
          <w:rFonts w:eastAsiaTheme="minorHAnsi" w:cstheme="minorBidi"/>
          <w:szCs w:val="22"/>
        </w:rPr>
        <w:t xml:space="preserve"> M, Ziegler R. Primary glucocorticoid receptor defect with likely familial involvement. Cancer Res 1989; 49:2220s-2221s</w:t>
      </w:r>
    </w:p>
    <w:p w14:paraId="198E5F0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410.</w:t>
      </w:r>
      <w:r w:rsidRPr="00E126EF">
        <w:rPr>
          <w:rFonts w:eastAsiaTheme="minorHAnsi" w:cstheme="minorBidi"/>
          <w:szCs w:val="22"/>
        </w:rPr>
        <w:tab/>
        <w:t xml:space="preserve">Lamberts SW, Koper JW, </w:t>
      </w:r>
      <w:proofErr w:type="spellStart"/>
      <w:r w:rsidRPr="00E126EF">
        <w:rPr>
          <w:rFonts w:eastAsiaTheme="minorHAnsi" w:cstheme="minorBidi"/>
          <w:szCs w:val="22"/>
        </w:rPr>
        <w:t>Biemond</w:t>
      </w:r>
      <w:proofErr w:type="spellEnd"/>
      <w:r w:rsidRPr="00E126EF">
        <w:rPr>
          <w:rFonts w:eastAsiaTheme="minorHAnsi" w:cstheme="minorBidi"/>
          <w:szCs w:val="22"/>
        </w:rPr>
        <w:t xml:space="preserve"> P, den Holder FH, de Jong FH. Cortisol receptor resistance: the variability of its clinical presentation and response to treatment.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1992; 74:313-321</w:t>
      </w:r>
    </w:p>
    <w:p w14:paraId="05DF8A6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411.</w:t>
      </w:r>
      <w:r w:rsidRPr="00E126EF">
        <w:rPr>
          <w:rFonts w:eastAsiaTheme="minorHAnsi" w:cstheme="minorBidi"/>
          <w:szCs w:val="22"/>
        </w:rPr>
        <w:tab/>
        <w:t xml:space="preserve">Hurley DM, </w:t>
      </w:r>
      <w:proofErr w:type="spellStart"/>
      <w:r w:rsidRPr="00E126EF">
        <w:rPr>
          <w:rFonts w:eastAsiaTheme="minorHAnsi" w:cstheme="minorBidi"/>
          <w:szCs w:val="22"/>
        </w:rPr>
        <w:t>Accili</w:t>
      </w:r>
      <w:proofErr w:type="spellEnd"/>
      <w:r w:rsidRPr="00E126EF">
        <w:rPr>
          <w:rFonts w:eastAsiaTheme="minorHAnsi" w:cstheme="minorBidi"/>
          <w:szCs w:val="22"/>
        </w:rPr>
        <w:t xml:space="preserve"> D, </w:t>
      </w:r>
      <w:proofErr w:type="spellStart"/>
      <w:r w:rsidRPr="00E126EF">
        <w:rPr>
          <w:rFonts w:eastAsiaTheme="minorHAnsi" w:cstheme="minorBidi"/>
          <w:szCs w:val="22"/>
        </w:rPr>
        <w:t>Stratakis</w:t>
      </w:r>
      <w:proofErr w:type="spellEnd"/>
      <w:r w:rsidRPr="00E126EF">
        <w:rPr>
          <w:rFonts w:eastAsiaTheme="minorHAnsi" w:cstheme="minorBidi"/>
          <w:szCs w:val="22"/>
        </w:rPr>
        <w:t xml:space="preserve"> CA, Karl M, </w:t>
      </w:r>
      <w:proofErr w:type="spellStart"/>
      <w:r w:rsidRPr="00E126EF">
        <w:rPr>
          <w:rFonts w:eastAsiaTheme="minorHAnsi" w:cstheme="minorBidi"/>
          <w:szCs w:val="22"/>
        </w:rPr>
        <w:t>Vamvakopoulos</w:t>
      </w:r>
      <w:proofErr w:type="spellEnd"/>
      <w:r w:rsidRPr="00E126EF">
        <w:rPr>
          <w:rFonts w:eastAsiaTheme="minorHAnsi" w:cstheme="minorBidi"/>
          <w:szCs w:val="22"/>
        </w:rPr>
        <w:t xml:space="preserve"> N, Rorer E, Constantine K, Taylor SI, Chrousos GP. Point mutation causing a single amino acid substitution in the hormone binding domain of the glucocorticoid receptor in familial glucocorticoid resistance. J Clin Invest 1991; 87:680-686</w:t>
      </w:r>
    </w:p>
    <w:p w14:paraId="6BCD272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412.</w:t>
      </w:r>
      <w:r w:rsidRPr="00E126EF">
        <w:rPr>
          <w:rFonts w:eastAsiaTheme="minorHAnsi" w:cstheme="minorBidi"/>
          <w:szCs w:val="22"/>
        </w:rPr>
        <w:tab/>
        <w:t xml:space="preserve">Karl M, Lamberts SW, </w:t>
      </w:r>
      <w:proofErr w:type="spellStart"/>
      <w:r w:rsidRPr="00E126EF">
        <w:rPr>
          <w:rFonts w:eastAsiaTheme="minorHAnsi" w:cstheme="minorBidi"/>
          <w:szCs w:val="22"/>
        </w:rPr>
        <w:t>Detera-Wadleigh</w:t>
      </w:r>
      <w:proofErr w:type="spellEnd"/>
      <w:r w:rsidRPr="00E126EF">
        <w:rPr>
          <w:rFonts w:eastAsiaTheme="minorHAnsi" w:cstheme="minorBidi"/>
          <w:szCs w:val="22"/>
        </w:rPr>
        <w:t xml:space="preserve"> SD, </w:t>
      </w:r>
      <w:proofErr w:type="spellStart"/>
      <w:r w:rsidRPr="00E126EF">
        <w:rPr>
          <w:rFonts w:eastAsiaTheme="minorHAnsi" w:cstheme="minorBidi"/>
          <w:szCs w:val="22"/>
        </w:rPr>
        <w:t>Encio</w:t>
      </w:r>
      <w:proofErr w:type="spellEnd"/>
      <w:r w:rsidRPr="00E126EF">
        <w:rPr>
          <w:rFonts w:eastAsiaTheme="minorHAnsi" w:cstheme="minorBidi"/>
          <w:szCs w:val="22"/>
        </w:rPr>
        <w:t xml:space="preserve"> IJ, </w:t>
      </w:r>
      <w:proofErr w:type="spellStart"/>
      <w:r w:rsidRPr="00E126EF">
        <w:rPr>
          <w:rFonts w:eastAsiaTheme="minorHAnsi" w:cstheme="minorBidi"/>
          <w:szCs w:val="22"/>
        </w:rPr>
        <w:t>Stratakis</w:t>
      </w:r>
      <w:proofErr w:type="spellEnd"/>
      <w:r w:rsidRPr="00E126EF">
        <w:rPr>
          <w:rFonts w:eastAsiaTheme="minorHAnsi" w:cstheme="minorBidi"/>
          <w:szCs w:val="22"/>
        </w:rPr>
        <w:t xml:space="preserve"> CA, Hurley DM, </w:t>
      </w:r>
      <w:proofErr w:type="spellStart"/>
      <w:r w:rsidRPr="00E126EF">
        <w:rPr>
          <w:rFonts w:eastAsiaTheme="minorHAnsi" w:cstheme="minorBidi"/>
          <w:szCs w:val="22"/>
        </w:rPr>
        <w:t>Accili</w:t>
      </w:r>
      <w:proofErr w:type="spellEnd"/>
      <w:r w:rsidRPr="00E126EF">
        <w:rPr>
          <w:rFonts w:eastAsiaTheme="minorHAnsi" w:cstheme="minorBidi"/>
          <w:szCs w:val="22"/>
        </w:rPr>
        <w:t xml:space="preserve"> D, Chrousos GP. Familial glucocorticoid resistance caused by a splice site deletion in the human glucocorticoid receptor gene.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1993; 76:683-689</w:t>
      </w:r>
    </w:p>
    <w:p w14:paraId="3863AA3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413.</w:t>
      </w:r>
      <w:r w:rsidRPr="00E126EF">
        <w:rPr>
          <w:rFonts w:eastAsiaTheme="minorHAnsi" w:cstheme="minorBidi"/>
          <w:szCs w:val="22"/>
        </w:rPr>
        <w:tab/>
        <w:t>Karl M, Lamberts SW, Koper JW, Katz DA, Huizenga NE, Kino T, Haddad BR, Hughes MR, Chrousos GP. Cushing's disease preceded by generalized glucocorticoid resistance: clinical consequences of a novel, dominant-negative glucocorticoid receptor mutation. Proc Assoc Am Physicians 1996; 108:296-307</w:t>
      </w:r>
    </w:p>
    <w:p w14:paraId="62857F2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414.</w:t>
      </w:r>
      <w:r w:rsidRPr="00E126EF">
        <w:rPr>
          <w:rFonts w:eastAsiaTheme="minorHAnsi" w:cstheme="minorBidi"/>
          <w:szCs w:val="22"/>
        </w:rPr>
        <w:tab/>
        <w:t xml:space="preserve">Malchoff DM, </w:t>
      </w:r>
      <w:proofErr w:type="spellStart"/>
      <w:r w:rsidRPr="00E126EF">
        <w:rPr>
          <w:rFonts w:eastAsiaTheme="minorHAnsi" w:cstheme="minorBidi"/>
          <w:szCs w:val="22"/>
        </w:rPr>
        <w:t>Brufsky</w:t>
      </w:r>
      <w:proofErr w:type="spellEnd"/>
      <w:r w:rsidRPr="00E126EF">
        <w:rPr>
          <w:rFonts w:eastAsiaTheme="minorHAnsi" w:cstheme="minorBidi"/>
          <w:szCs w:val="22"/>
        </w:rPr>
        <w:t xml:space="preserve"> A, Reardon G, McDermott P, Javier EC, Bergh CH, Rowe D, Malchoff CD. A mutation of the glucocorticoid receptor in primary cortisol resistance. J Clin Invest 1993; 91:1918-1925</w:t>
      </w:r>
    </w:p>
    <w:p w14:paraId="366BFB7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415.</w:t>
      </w:r>
      <w:r w:rsidRPr="00E126EF">
        <w:rPr>
          <w:rFonts w:eastAsiaTheme="minorHAnsi" w:cstheme="minorBidi"/>
          <w:szCs w:val="22"/>
        </w:rPr>
        <w:tab/>
      </w:r>
      <w:proofErr w:type="spellStart"/>
      <w:r w:rsidRPr="00E126EF">
        <w:rPr>
          <w:rFonts w:eastAsiaTheme="minorHAnsi" w:cstheme="minorBidi"/>
          <w:szCs w:val="22"/>
        </w:rPr>
        <w:t>Michailidou</w:t>
      </w:r>
      <w:proofErr w:type="spellEnd"/>
      <w:r w:rsidRPr="00E126EF">
        <w:rPr>
          <w:rFonts w:eastAsiaTheme="minorHAnsi" w:cstheme="minorBidi"/>
          <w:szCs w:val="22"/>
        </w:rPr>
        <w:t xml:space="preserve"> Z, Carter RN, Marshall E, Sutherland HG, Brownstein DG, Owen E, </w:t>
      </w:r>
      <w:proofErr w:type="spellStart"/>
      <w:r w:rsidRPr="00E126EF">
        <w:rPr>
          <w:rFonts w:eastAsiaTheme="minorHAnsi" w:cstheme="minorBidi"/>
          <w:szCs w:val="22"/>
        </w:rPr>
        <w:t>Cockett</w:t>
      </w:r>
      <w:proofErr w:type="spellEnd"/>
      <w:r w:rsidRPr="00E126EF">
        <w:rPr>
          <w:rFonts w:eastAsiaTheme="minorHAnsi" w:cstheme="minorBidi"/>
          <w:szCs w:val="22"/>
        </w:rPr>
        <w:t xml:space="preserve"> K, Kelly V, Ramage L, Al-</w:t>
      </w:r>
      <w:proofErr w:type="spellStart"/>
      <w:r w:rsidRPr="00E126EF">
        <w:rPr>
          <w:rFonts w:eastAsiaTheme="minorHAnsi" w:cstheme="minorBidi"/>
          <w:szCs w:val="22"/>
        </w:rPr>
        <w:t>Dujaili</w:t>
      </w:r>
      <w:proofErr w:type="spellEnd"/>
      <w:r w:rsidRPr="00E126EF">
        <w:rPr>
          <w:rFonts w:eastAsiaTheme="minorHAnsi" w:cstheme="minorBidi"/>
          <w:szCs w:val="22"/>
        </w:rPr>
        <w:t xml:space="preserve"> EA, Ross M, </w:t>
      </w:r>
      <w:proofErr w:type="spellStart"/>
      <w:r w:rsidRPr="00E126EF">
        <w:rPr>
          <w:rFonts w:eastAsiaTheme="minorHAnsi" w:cstheme="minorBidi"/>
          <w:szCs w:val="22"/>
        </w:rPr>
        <w:t>Maraki</w:t>
      </w:r>
      <w:proofErr w:type="spellEnd"/>
      <w:r w:rsidRPr="00E126EF">
        <w:rPr>
          <w:rFonts w:eastAsiaTheme="minorHAnsi" w:cstheme="minorBidi"/>
          <w:szCs w:val="22"/>
        </w:rPr>
        <w:t xml:space="preserve"> I, Newton K, Holmes MC, </w:t>
      </w:r>
      <w:proofErr w:type="spellStart"/>
      <w:r w:rsidRPr="00E126EF">
        <w:rPr>
          <w:rFonts w:eastAsiaTheme="minorHAnsi" w:cstheme="minorBidi"/>
          <w:szCs w:val="22"/>
        </w:rPr>
        <w:t>Seckl</w:t>
      </w:r>
      <w:proofErr w:type="spellEnd"/>
      <w:r w:rsidRPr="00E126EF">
        <w:rPr>
          <w:rFonts w:eastAsiaTheme="minorHAnsi" w:cstheme="minorBidi"/>
          <w:szCs w:val="22"/>
        </w:rPr>
        <w:t xml:space="preserve"> JR, Morton NM, Kenyon CJ, Chapman KE. Glucocorticoid receptor haploinsufficiency causes hypertension and attenuates hypothalamic-pituitary-adrenal axis and blood pressure adaptions to high-fat diet. FASEB J 2008; 22:3896-3907</w:t>
      </w:r>
    </w:p>
    <w:p w14:paraId="679A1D0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416.</w:t>
      </w:r>
      <w:r w:rsidRPr="00E126EF">
        <w:rPr>
          <w:rFonts w:eastAsiaTheme="minorHAnsi" w:cstheme="minorBidi"/>
          <w:szCs w:val="22"/>
        </w:rPr>
        <w:tab/>
        <w:t xml:space="preserve">Kino T, </w:t>
      </w:r>
      <w:proofErr w:type="spellStart"/>
      <w:r w:rsidRPr="00E126EF">
        <w:rPr>
          <w:rFonts w:eastAsiaTheme="minorHAnsi" w:cstheme="minorBidi"/>
          <w:szCs w:val="22"/>
        </w:rPr>
        <w:t>Stauber</w:t>
      </w:r>
      <w:proofErr w:type="spellEnd"/>
      <w:r w:rsidRPr="00E126EF">
        <w:rPr>
          <w:rFonts w:eastAsiaTheme="minorHAnsi" w:cstheme="minorBidi"/>
          <w:szCs w:val="22"/>
        </w:rPr>
        <w:t xml:space="preserve"> RH, </w:t>
      </w:r>
      <w:proofErr w:type="spellStart"/>
      <w:r w:rsidRPr="00E126EF">
        <w:rPr>
          <w:rFonts w:eastAsiaTheme="minorHAnsi" w:cstheme="minorBidi"/>
          <w:szCs w:val="22"/>
        </w:rPr>
        <w:t>Resau</w:t>
      </w:r>
      <w:proofErr w:type="spellEnd"/>
      <w:r w:rsidRPr="00E126EF">
        <w:rPr>
          <w:rFonts w:eastAsiaTheme="minorHAnsi" w:cstheme="minorBidi"/>
          <w:szCs w:val="22"/>
        </w:rPr>
        <w:t xml:space="preserve"> JH, </w:t>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Chrousos GP. Pathologic human GR mutant has a </w:t>
      </w:r>
      <w:proofErr w:type="spellStart"/>
      <w:r w:rsidRPr="00E126EF">
        <w:rPr>
          <w:rFonts w:eastAsiaTheme="minorHAnsi" w:cstheme="minorBidi"/>
          <w:szCs w:val="22"/>
        </w:rPr>
        <w:t>transdominant</w:t>
      </w:r>
      <w:proofErr w:type="spellEnd"/>
      <w:r w:rsidRPr="00E126EF">
        <w:rPr>
          <w:rFonts w:eastAsiaTheme="minorHAnsi" w:cstheme="minorBidi"/>
          <w:szCs w:val="22"/>
        </w:rPr>
        <w:t xml:space="preserve"> negative effect on the wild-type GR by inhibiting its translocation into the nucleus: Importance of the ligand-binding domain for intracellular GR trafficking.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2001; 86:5600-5608</w:t>
      </w:r>
    </w:p>
    <w:p w14:paraId="1E59775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417.</w:t>
      </w:r>
      <w:r w:rsidRPr="00E126EF">
        <w:rPr>
          <w:rFonts w:eastAsiaTheme="minorHAnsi" w:cstheme="minorBidi"/>
          <w:szCs w:val="22"/>
        </w:rPr>
        <w:tab/>
        <w:t xml:space="preserve">Mendonca BB, </w:t>
      </w:r>
      <w:proofErr w:type="spellStart"/>
      <w:r w:rsidRPr="00E126EF">
        <w:rPr>
          <w:rFonts w:eastAsiaTheme="minorHAnsi" w:cstheme="minorBidi"/>
          <w:szCs w:val="22"/>
        </w:rPr>
        <w:t>Leite</w:t>
      </w:r>
      <w:proofErr w:type="spellEnd"/>
      <w:r w:rsidRPr="00E126EF">
        <w:rPr>
          <w:rFonts w:eastAsiaTheme="minorHAnsi" w:cstheme="minorBidi"/>
          <w:szCs w:val="22"/>
        </w:rPr>
        <w:t xml:space="preserve"> MV, de Castro M, Kino T, Elias LL, </w:t>
      </w:r>
      <w:proofErr w:type="spellStart"/>
      <w:r w:rsidRPr="00E126EF">
        <w:rPr>
          <w:rFonts w:eastAsiaTheme="minorHAnsi" w:cstheme="minorBidi"/>
          <w:szCs w:val="22"/>
        </w:rPr>
        <w:t>Bachega</w:t>
      </w:r>
      <w:proofErr w:type="spellEnd"/>
      <w:r w:rsidRPr="00E126EF">
        <w:rPr>
          <w:rFonts w:eastAsiaTheme="minorHAnsi" w:cstheme="minorBidi"/>
          <w:szCs w:val="22"/>
        </w:rPr>
        <w:t xml:space="preserve"> TA, </w:t>
      </w:r>
      <w:proofErr w:type="spellStart"/>
      <w:r w:rsidRPr="00E126EF">
        <w:rPr>
          <w:rFonts w:eastAsiaTheme="minorHAnsi" w:cstheme="minorBidi"/>
          <w:szCs w:val="22"/>
        </w:rPr>
        <w:t>Arnhold</w:t>
      </w:r>
      <w:proofErr w:type="spellEnd"/>
      <w:r w:rsidRPr="00E126EF">
        <w:rPr>
          <w:rFonts w:eastAsiaTheme="minorHAnsi" w:cstheme="minorBidi"/>
          <w:szCs w:val="22"/>
        </w:rPr>
        <w:t xml:space="preserve"> IJ, Chrousos GP, </w:t>
      </w:r>
      <w:proofErr w:type="spellStart"/>
      <w:r w:rsidRPr="00E126EF">
        <w:rPr>
          <w:rFonts w:eastAsiaTheme="minorHAnsi" w:cstheme="minorBidi"/>
          <w:szCs w:val="22"/>
        </w:rPr>
        <w:t>Latronico</w:t>
      </w:r>
      <w:proofErr w:type="spellEnd"/>
      <w:r w:rsidRPr="00E126EF">
        <w:rPr>
          <w:rFonts w:eastAsiaTheme="minorHAnsi" w:cstheme="minorBidi"/>
          <w:szCs w:val="22"/>
        </w:rPr>
        <w:t xml:space="preserve"> AC. Female </w:t>
      </w:r>
      <w:proofErr w:type="spellStart"/>
      <w:r w:rsidRPr="00E126EF">
        <w:rPr>
          <w:rFonts w:eastAsiaTheme="minorHAnsi" w:cstheme="minorBidi"/>
          <w:szCs w:val="22"/>
        </w:rPr>
        <w:t>pseudohermaphroditism</w:t>
      </w:r>
      <w:proofErr w:type="spellEnd"/>
      <w:r w:rsidRPr="00E126EF">
        <w:rPr>
          <w:rFonts w:eastAsiaTheme="minorHAnsi" w:cstheme="minorBidi"/>
          <w:szCs w:val="22"/>
        </w:rPr>
        <w:t xml:space="preserve"> caused by a novel homozygous missense mutation of the GR gene.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2002; 87:1805-1809</w:t>
      </w:r>
    </w:p>
    <w:p w14:paraId="6944ACA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418.</w:t>
      </w:r>
      <w:r w:rsidRPr="00E126EF">
        <w:rPr>
          <w:rFonts w:eastAsiaTheme="minorHAnsi" w:cstheme="minorBidi"/>
          <w:szCs w:val="22"/>
        </w:rPr>
        <w:tab/>
        <w:t xml:space="preserve">Ruiz M, Lind U, </w:t>
      </w:r>
      <w:proofErr w:type="spellStart"/>
      <w:r w:rsidRPr="00E126EF">
        <w:rPr>
          <w:rFonts w:eastAsiaTheme="minorHAnsi" w:cstheme="minorBidi"/>
          <w:szCs w:val="22"/>
        </w:rPr>
        <w:t>Gafvels</w:t>
      </w:r>
      <w:proofErr w:type="spellEnd"/>
      <w:r w:rsidRPr="00E126EF">
        <w:rPr>
          <w:rFonts w:eastAsiaTheme="minorHAnsi" w:cstheme="minorBidi"/>
          <w:szCs w:val="22"/>
        </w:rPr>
        <w:t xml:space="preserve"> M, </w:t>
      </w:r>
      <w:proofErr w:type="spellStart"/>
      <w:r w:rsidRPr="00E126EF">
        <w:rPr>
          <w:rFonts w:eastAsiaTheme="minorHAnsi" w:cstheme="minorBidi"/>
          <w:szCs w:val="22"/>
        </w:rPr>
        <w:t>Eggertsen</w:t>
      </w:r>
      <w:proofErr w:type="spellEnd"/>
      <w:r w:rsidRPr="00E126EF">
        <w:rPr>
          <w:rFonts w:eastAsiaTheme="minorHAnsi" w:cstheme="minorBidi"/>
          <w:szCs w:val="22"/>
        </w:rPr>
        <w:t xml:space="preserve"> G, </w:t>
      </w:r>
      <w:proofErr w:type="spellStart"/>
      <w:r w:rsidRPr="00E126EF">
        <w:rPr>
          <w:rFonts w:eastAsiaTheme="minorHAnsi" w:cstheme="minorBidi"/>
          <w:szCs w:val="22"/>
        </w:rPr>
        <w:t>Carlstedt</w:t>
      </w:r>
      <w:proofErr w:type="spellEnd"/>
      <w:r w:rsidRPr="00E126EF">
        <w:rPr>
          <w:rFonts w:eastAsiaTheme="minorHAnsi" w:cstheme="minorBidi"/>
          <w:szCs w:val="22"/>
        </w:rPr>
        <w:t xml:space="preserve">-Duke J, Nilsson L, </w:t>
      </w:r>
      <w:proofErr w:type="spellStart"/>
      <w:r w:rsidRPr="00E126EF">
        <w:rPr>
          <w:rFonts w:eastAsiaTheme="minorHAnsi" w:cstheme="minorBidi"/>
          <w:szCs w:val="22"/>
        </w:rPr>
        <w:t>Holtmann</w:t>
      </w:r>
      <w:proofErr w:type="spellEnd"/>
      <w:r w:rsidRPr="00E126EF">
        <w:rPr>
          <w:rFonts w:eastAsiaTheme="minorHAnsi" w:cstheme="minorBidi"/>
          <w:szCs w:val="22"/>
        </w:rPr>
        <w:t xml:space="preserve"> M, </w:t>
      </w:r>
      <w:proofErr w:type="spellStart"/>
      <w:r w:rsidRPr="00E126EF">
        <w:rPr>
          <w:rFonts w:eastAsiaTheme="minorHAnsi" w:cstheme="minorBidi"/>
          <w:szCs w:val="22"/>
        </w:rPr>
        <w:t>Stierna</w:t>
      </w:r>
      <w:proofErr w:type="spellEnd"/>
      <w:r w:rsidRPr="00E126EF">
        <w:rPr>
          <w:rFonts w:eastAsiaTheme="minorHAnsi" w:cstheme="minorBidi"/>
          <w:szCs w:val="22"/>
        </w:rPr>
        <w:t xml:space="preserve"> P, </w:t>
      </w:r>
      <w:proofErr w:type="spellStart"/>
      <w:r w:rsidRPr="00E126EF">
        <w:rPr>
          <w:rFonts w:eastAsiaTheme="minorHAnsi" w:cstheme="minorBidi"/>
          <w:szCs w:val="22"/>
        </w:rPr>
        <w:t>Wikstrom</w:t>
      </w:r>
      <w:proofErr w:type="spellEnd"/>
      <w:r w:rsidRPr="00E126EF">
        <w:rPr>
          <w:rFonts w:eastAsiaTheme="minorHAnsi" w:cstheme="minorBidi"/>
          <w:szCs w:val="22"/>
        </w:rPr>
        <w:t xml:space="preserve"> AC, Werner S. Characterization of two novel mutations in the glucocorticoid receptor gene in patients with primary cortisol resistance. Clin Endocrinol (</w:t>
      </w:r>
      <w:proofErr w:type="spellStart"/>
      <w:r w:rsidRPr="00E126EF">
        <w:rPr>
          <w:rFonts w:eastAsiaTheme="minorHAnsi" w:cstheme="minorBidi"/>
          <w:szCs w:val="22"/>
        </w:rPr>
        <w:t>Oxf</w:t>
      </w:r>
      <w:proofErr w:type="spellEnd"/>
      <w:r w:rsidRPr="00E126EF">
        <w:rPr>
          <w:rFonts w:eastAsiaTheme="minorHAnsi" w:cstheme="minorBidi"/>
          <w:szCs w:val="22"/>
        </w:rPr>
        <w:t>) 2001; 55:363-371</w:t>
      </w:r>
    </w:p>
    <w:p w14:paraId="0AA097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419.</w:t>
      </w:r>
      <w:r w:rsidRPr="00E126EF">
        <w:rPr>
          <w:rFonts w:eastAsiaTheme="minorHAnsi" w:cstheme="minorBidi"/>
          <w:szCs w:val="22"/>
        </w:rPr>
        <w:tab/>
        <w:t xml:space="preserve">Charmandari E, Kino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Zachman K, </w:t>
      </w:r>
      <w:proofErr w:type="spellStart"/>
      <w:r w:rsidRPr="00E126EF">
        <w:rPr>
          <w:rFonts w:eastAsiaTheme="minorHAnsi" w:cstheme="minorBidi"/>
          <w:szCs w:val="22"/>
        </w:rPr>
        <w:t>Alatsatianos</w:t>
      </w:r>
      <w:proofErr w:type="spellEnd"/>
      <w:r w:rsidRPr="00E126EF">
        <w:rPr>
          <w:rFonts w:eastAsiaTheme="minorHAnsi" w:cstheme="minorBidi"/>
          <w:szCs w:val="22"/>
        </w:rPr>
        <w:t xml:space="preserve"> A, Chrousos GP. Functional characterization of the natural human glucocorticoid receptor (hGR) mutants hGRaR477H and hGRaG679S associated with generalized glucocorticoid resistance.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2006; 91:1535-1543</w:t>
      </w:r>
    </w:p>
    <w:p w14:paraId="4DE5B2D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420.</w:t>
      </w:r>
      <w:r w:rsidRPr="00E126EF">
        <w:rPr>
          <w:rFonts w:eastAsiaTheme="minorHAnsi" w:cstheme="minorBidi"/>
          <w:szCs w:val="22"/>
        </w:rPr>
        <w:tab/>
        <w:t xml:space="preserve">Vottero A, Kino T, </w:t>
      </w:r>
      <w:proofErr w:type="spellStart"/>
      <w:r w:rsidRPr="00E126EF">
        <w:rPr>
          <w:rFonts w:eastAsiaTheme="minorHAnsi" w:cstheme="minorBidi"/>
          <w:szCs w:val="22"/>
        </w:rPr>
        <w:t>Combe</w:t>
      </w:r>
      <w:proofErr w:type="spellEnd"/>
      <w:r w:rsidRPr="00E126EF">
        <w:rPr>
          <w:rFonts w:eastAsiaTheme="minorHAnsi" w:cstheme="minorBidi"/>
          <w:szCs w:val="22"/>
        </w:rPr>
        <w:t xml:space="preserve"> H, </w:t>
      </w:r>
      <w:proofErr w:type="spellStart"/>
      <w:r w:rsidRPr="00E126EF">
        <w:rPr>
          <w:rFonts w:eastAsiaTheme="minorHAnsi" w:cstheme="minorBidi"/>
          <w:szCs w:val="22"/>
        </w:rPr>
        <w:t>Lecomte</w:t>
      </w:r>
      <w:proofErr w:type="spellEnd"/>
      <w:r w:rsidRPr="00E126EF">
        <w:rPr>
          <w:rFonts w:eastAsiaTheme="minorHAnsi" w:cstheme="minorBidi"/>
          <w:szCs w:val="22"/>
        </w:rPr>
        <w:t xml:space="preserve"> P, Chrousos GP. A novel, C-terminal dominant negative mutation of the GR causes familial glucocorticoid resistance through abnormal interactions with p160 steroid receptor coactivators.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2002; 87:2658-2667</w:t>
      </w:r>
    </w:p>
    <w:p w14:paraId="000B84A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421.</w:t>
      </w:r>
      <w:r w:rsidRPr="00E126EF">
        <w:rPr>
          <w:rFonts w:eastAsiaTheme="minorHAnsi" w:cstheme="minorBidi"/>
          <w:szCs w:val="22"/>
        </w:rPr>
        <w:tab/>
        <w:t xml:space="preserve">Charmandari E, Raji A, Kino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w:t>
      </w:r>
      <w:proofErr w:type="spellStart"/>
      <w:r w:rsidRPr="00E126EF">
        <w:rPr>
          <w:rFonts w:eastAsiaTheme="minorHAnsi" w:cstheme="minorBidi"/>
          <w:szCs w:val="22"/>
        </w:rPr>
        <w:t>Tiulpakov</w:t>
      </w:r>
      <w:proofErr w:type="spellEnd"/>
      <w:r w:rsidRPr="00E126EF">
        <w:rPr>
          <w:rFonts w:eastAsiaTheme="minorHAnsi" w:cstheme="minorBidi"/>
          <w:szCs w:val="22"/>
        </w:rPr>
        <w:t xml:space="preserve"> A, Zachman K, Chrousos GP. A novel point mutation in the ligand-binding domain (LBD) of the human glucocorticoid receptor </w:t>
      </w:r>
      <w:r w:rsidRPr="00E126EF">
        <w:rPr>
          <w:rFonts w:eastAsiaTheme="minorHAnsi" w:cstheme="minorBidi"/>
          <w:szCs w:val="22"/>
        </w:rPr>
        <w:lastRenderedPageBreak/>
        <w:t xml:space="preserve">(hGR) causing generalized glucocorticoid resistance: the importance of the C terminus of hGR LBD in conferring transactivational activity.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2005; 90:3696-3705</w:t>
      </w:r>
    </w:p>
    <w:p w14:paraId="54EDCA1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422.</w:t>
      </w:r>
      <w:r w:rsidRPr="00E126EF">
        <w:rPr>
          <w:rFonts w:eastAsiaTheme="minorHAnsi" w:cstheme="minorBidi"/>
          <w:szCs w:val="22"/>
        </w:rPr>
        <w:tab/>
        <w:t xml:space="preserve">Nader N, Bachrach BE, Hurt DE, </w:t>
      </w:r>
      <w:proofErr w:type="spellStart"/>
      <w:r w:rsidRPr="00E126EF">
        <w:rPr>
          <w:rFonts w:eastAsiaTheme="minorHAnsi" w:cstheme="minorBidi"/>
          <w:szCs w:val="22"/>
        </w:rPr>
        <w:t>Gajula</w:t>
      </w:r>
      <w:proofErr w:type="spellEnd"/>
      <w:r w:rsidRPr="00E126EF">
        <w:rPr>
          <w:rFonts w:eastAsiaTheme="minorHAnsi" w:cstheme="minorBidi"/>
          <w:szCs w:val="22"/>
        </w:rPr>
        <w:t xml:space="preserve"> S, Pittman A, </w:t>
      </w:r>
      <w:proofErr w:type="spellStart"/>
      <w:r w:rsidRPr="00E126EF">
        <w:rPr>
          <w:rFonts w:eastAsiaTheme="minorHAnsi" w:cstheme="minorBidi"/>
          <w:szCs w:val="22"/>
        </w:rPr>
        <w:t>Lescher</w:t>
      </w:r>
      <w:proofErr w:type="spellEnd"/>
      <w:r w:rsidRPr="00E126EF">
        <w:rPr>
          <w:rFonts w:eastAsiaTheme="minorHAnsi" w:cstheme="minorBidi"/>
          <w:szCs w:val="22"/>
        </w:rPr>
        <w:t xml:space="preserve"> R, Kino T. A novel point mutation in helix 10 of the human glucocorticoid receptor causes generalized glucocorticoid resistance by disrupting the structure of the ligand-binding domain.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2010; 95:2281-2285</w:t>
      </w:r>
    </w:p>
    <w:p w14:paraId="416FE8F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423.</w:t>
      </w:r>
      <w:r w:rsidRPr="00E126EF">
        <w:rPr>
          <w:rFonts w:eastAsiaTheme="minorHAnsi" w:cstheme="minorBidi"/>
          <w:szCs w:val="22"/>
        </w:rPr>
        <w:tab/>
        <w:t>Zhu HJ, Dai YF, Wang O, Li M, Lu L, Zhao WG, Xing XP, Pan H, Li NS, Gong FY. Generalized glucocorticoid resistance accompanied with an adrenocortical adenoma and caused by a novel point mutation of human glucocorticoid receptor gene. Chin Med J (</w:t>
      </w:r>
      <w:proofErr w:type="spellStart"/>
      <w:r w:rsidRPr="00E126EF">
        <w:rPr>
          <w:rFonts w:eastAsiaTheme="minorHAnsi" w:cstheme="minorBidi"/>
          <w:szCs w:val="22"/>
        </w:rPr>
        <w:t>Engl</w:t>
      </w:r>
      <w:proofErr w:type="spellEnd"/>
      <w:r w:rsidRPr="00E126EF">
        <w:rPr>
          <w:rFonts w:eastAsiaTheme="minorHAnsi" w:cstheme="minorBidi"/>
          <w:szCs w:val="22"/>
        </w:rPr>
        <w:t>) 2011; 124:551-555</w:t>
      </w:r>
    </w:p>
    <w:p w14:paraId="7D49542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424.</w:t>
      </w:r>
      <w:r w:rsidRPr="00E126EF">
        <w:rPr>
          <w:rFonts w:eastAsiaTheme="minorHAnsi" w:cstheme="minorBidi"/>
          <w:szCs w:val="22"/>
        </w:rPr>
        <w:tab/>
        <w:t xml:space="preserve">Nicolaides NC, </w:t>
      </w:r>
      <w:proofErr w:type="spellStart"/>
      <w:r w:rsidRPr="00E126EF">
        <w:rPr>
          <w:rFonts w:eastAsiaTheme="minorHAnsi" w:cstheme="minorBidi"/>
          <w:szCs w:val="22"/>
        </w:rPr>
        <w:t>Skyrla</w:t>
      </w:r>
      <w:proofErr w:type="spellEnd"/>
      <w:r w:rsidRPr="00E126EF">
        <w:rPr>
          <w:rFonts w:eastAsiaTheme="minorHAnsi" w:cstheme="minorBidi"/>
          <w:szCs w:val="22"/>
        </w:rPr>
        <w:t xml:space="preserve"> E, </w:t>
      </w:r>
      <w:proofErr w:type="spellStart"/>
      <w:r w:rsidRPr="00E126EF">
        <w:rPr>
          <w:rFonts w:eastAsiaTheme="minorHAnsi" w:cstheme="minorBidi"/>
          <w:szCs w:val="22"/>
        </w:rPr>
        <w:t>Vlachakis</w:t>
      </w:r>
      <w:proofErr w:type="spellEnd"/>
      <w:r w:rsidRPr="00E126EF">
        <w:rPr>
          <w:rFonts w:eastAsiaTheme="minorHAnsi" w:cstheme="minorBidi"/>
          <w:szCs w:val="22"/>
        </w:rPr>
        <w:t xml:space="preserve"> D, </w:t>
      </w:r>
      <w:proofErr w:type="spellStart"/>
      <w:r w:rsidRPr="00E126EF">
        <w:rPr>
          <w:rFonts w:eastAsiaTheme="minorHAnsi" w:cstheme="minorBidi"/>
          <w:szCs w:val="22"/>
        </w:rPr>
        <w:t>Psarra</w:t>
      </w:r>
      <w:proofErr w:type="spellEnd"/>
      <w:r w:rsidRPr="00E126EF">
        <w:rPr>
          <w:rFonts w:eastAsiaTheme="minorHAnsi" w:cstheme="minorBidi"/>
          <w:szCs w:val="22"/>
        </w:rPr>
        <w:t xml:space="preserve"> AM, </w:t>
      </w:r>
      <w:proofErr w:type="spellStart"/>
      <w:r w:rsidRPr="00E126EF">
        <w:rPr>
          <w:rFonts w:eastAsiaTheme="minorHAnsi" w:cstheme="minorBidi"/>
          <w:szCs w:val="22"/>
        </w:rPr>
        <w:t>Moutsatsou</w:t>
      </w:r>
      <w:proofErr w:type="spellEnd"/>
      <w:r w:rsidRPr="00E126EF">
        <w:rPr>
          <w:rFonts w:eastAsiaTheme="minorHAnsi" w:cstheme="minorBidi"/>
          <w:szCs w:val="22"/>
        </w:rPr>
        <w:t xml:space="preserve"> P, </w:t>
      </w:r>
      <w:proofErr w:type="spellStart"/>
      <w:r w:rsidRPr="00E126EF">
        <w:rPr>
          <w:rFonts w:eastAsiaTheme="minorHAnsi" w:cstheme="minorBidi"/>
          <w:szCs w:val="22"/>
        </w:rPr>
        <w:t>Sertedaki</w:t>
      </w:r>
      <w:proofErr w:type="spellEnd"/>
      <w:r w:rsidRPr="00E126EF">
        <w:rPr>
          <w:rFonts w:eastAsiaTheme="minorHAnsi" w:cstheme="minorBidi"/>
          <w:szCs w:val="22"/>
        </w:rPr>
        <w:t xml:space="preserve"> A, </w:t>
      </w:r>
      <w:proofErr w:type="spellStart"/>
      <w:r w:rsidRPr="00E126EF">
        <w:rPr>
          <w:rFonts w:eastAsiaTheme="minorHAnsi" w:cstheme="minorBidi"/>
          <w:szCs w:val="22"/>
        </w:rPr>
        <w:t>Kossida</w:t>
      </w:r>
      <w:proofErr w:type="spellEnd"/>
      <w:r w:rsidRPr="00E126EF">
        <w:rPr>
          <w:rFonts w:eastAsiaTheme="minorHAnsi" w:cstheme="minorBidi"/>
          <w:szCs w:val="22"/>
        </w:rPr>
        <w:t xml:space="preserve"> S, Charmandari E. Functional characterization of the hGRaT556I causing Chrousos syndrome. Eur J Clin Invest 2016; 46:42-49</w:t>
      </w:r>
    </w:p>
    <w:p w14:paraId="012F134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425.</w:t>
      </w:r>
      <w:r w:rsidRPr="00E126EF">
        <w:rPr>
          <w:rFonts w:eastAsiaTheme="minorHAnsi" w:cstheme="minorBidi"/>
          <w:szCs w:val="22"/>
        </w:rPr>
        <w:tab/>
        <w:t xml:space="preserve">Nicolaides NC, Geer EB, </w:t>
      </w:r>
      <w:proofErr w:type="spellStart"/>
      <w:r w:rsidRPr="00E126EF">
        <w:rPr>
          <w:rFonts w:eastAsiaTheme="minorHAnsi" w:cstheme="minorBidi"/>
          <w:szCs w:val="22"/>
        </w:rPr>
        <w:t>Vlachakis</w:t>
      </w:r>
      <w:proofErr w:type="spellEnd"/>
      <w:r w:rsidRPr="00E126EF">
        <w:rPr>
          <w:rFonts w:eastAsiaTheme="minorHAnsi" w:cstheme="minorBidi"/>
          <w:szCs w:val="22"/>
        </w:rPr>
        <w:t xml:space="preserve"> D, Roberts ML, </w:t>
      </w:r>
      <w:proofErr w:type="spellStart"/>
      <w:r w:rsidRPr="00E126EF">
        <w:rPr>
          <w:rFonts w:eastAsiaTheme="minorHAnsi" w:cstheme="minorBidi"/>
          <w:szCs w:val="22"/>
        </w:rPr>
        <w:t>Psarra</w:t>
      </w:r>
      <w:proofErr w:type="spellEnd"/>
      <w:r w:rsidRPr="00E126EF">
        <w:rPr>
          <w:rFonts w:eastAsiaTheme="minorHAnsi" w:cstheme="minorBidi"/>
          <w:szCs w:val="22"/>
        </w:rPr>
        <w:t xml:space="preserve"> AM, </w:t>
      </w:r>
      <w:proofErr w:type="spellStart"/>
      <w:r w:rsidRPr="00E126EF">
        <w:rPr>
          <w:rFonts w:eastAsiaTheme="minorHAnsi" w:cstheme="minorBidi"/>
          <w:szCs w:val="22"/>
        </w:rPr>
        <w:t>Moutsatsou</w:t>
      </w:r>
      <w:proofErr w:type="spellEnd"/>
      <w:r w:rsidRPr="00E126EF">
        <w:rPr>
          <w:rFonts w:eastAsiaTheme="minorHAnsi" w:cstheme="minorBidi"/>
          <w:szCs w:val="22"/>
        </w:rPr>
        <w:t xml:space="preserve"> P, </w:t>
      </w:r>
      <w:proofErr w:type="spellStart"/>
      <w:r w:rsidRPr="00E126EF">
        <w:rPr>
          <w:rFonts w:eastAsiaTheme="minorHAnsi" w:cstheme="minorBidi"/>
          <w:szCs w:val="22"/>
        </w:rPr>
        <w:t>Sertedaki</w:t>
      </w:r>
      <w:proofErr w:type="spellEnd"/>
      <w:r w:rsidRPr="00E126EF">
        <w:rPr>
          <w:rFonts w:eastAsiaTheme="minorHAnsi" w:cstheme="minorBidi"/>
          <w:szCs w:val="22"/>
        </w:rPr>
        <w:t xml:space="preserve"> A, </w:t>
      </w:r>
      <w:proofErr w:type="spellStart"/>
      <w:r w:rsidRPr="00E126EF">
        <w:rPr>
          <w:rFonts w:eastAsiaTheme="minorHAnsi" w:cstheme="minorBidi"/>
          <w:szCs w:val="22"/>
        </w:rPr>
        <w:t>Kossida</w:t>
      </w:r>
      <w:proofErr w:type="spellEnd"/>
      <w:r w:rsidRPr="00E126EF">
        <w:rPr>
          <w:rFonts w:eastAsiaTheme="minorHAnsi" w:cstheme="minorBidi"/>
          <w:szCs w:val="22"/>
        </w:rPr>
        <w:t xml:space="preserve"> S, Charmandari E. A novel mutation of the hGR gene causing Chrousos syndrome. Eur J Clin Invest 2015; 45:782-791</w:t>
      </w:r>
    </w:p>
    <w:p w14:paraId="06031E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426.</w:t>
      </w:r>
      <w:r w:rsidRPr="00E126EF">
        <w:rPr>
          <w:rFonts w:eastAsiaTheme="minorHAnsi" w:cstheme="minorBidi"/>
          <w:szCs w:val="22"/>
        </w:rPr>
        <w:tab/>
        <w:t xml:space="preserve">McMahon SK, Pretorius CJ, </w:t>
      </w:r>
      <w:proofErr w:type="spellStart"/>
      <w:r w:rsidRPr="00E126EF">
        <w:rPr>
          <w:rFonts w:eastAsiaTheme="minorHAnsi" w:cstheme="minorBidi"/>
          <w:szCs w:val="22"/>
        </w:rPr>
        <w:t>Ungerer</w:t>
      </w:r>
      <w:proofErr w:type="spellEnd"/>
      <w:r w:rsidRPr="00E126EF">
        <w:rPr>
          <w:rFonts w:eastAsiaTheme="minorHAnsi" w:cstheme="minorBidi"/>
          <w:szCs w:val="22"/>
        </w:rPr>
        <w:t xml:space="preserve"> JP, Salmon NJ, Conwell LS, </w:t>
      </w:r>
      <w:proofErr w:type="spellStart"/>
      <w:r w:rsidRPr="00E126EF">
        <w:rPr>
          <w:rFonts w:eastAsiaTheme="minorHAnsi" w:cstheme="minorBidi"/>
          <w:szCs w:val="22"/>
        </w:rPr>
        <w:t>Pearen</w:t>
      </w:r>
      <w:proofErr w:type="spellEnd"/>
      <w:r w:rsidRPr="00E126EF">
        <w:rPr>
          <w:rFonts w:eastAsiaTheme="minorHAnsi" w:cstheme="minorBidi"/>
          <w:szCs w:val="22"/>
        </w:rPr>
        <w:t xml:space="preserve"> MA, Batch JA. Neonatal complete generalized glucocorticoid resistance and growth hormone deficiency caused by a novel homozygous mutation in helix 12 of the ligand binding domain of the glucocorticoid receptor gene (NR3C1).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2010; 95:297-302</w:t>
      </w:r>
    </w:p>
    <w:p w14:paraId="40B5E59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427.</w:t>
      </w:r>
      <w:r w:rsidRPr="00E126EF">
        <w:rPr>
          <w:rFonts w:eastAsiaTheme="minorHAnsi" w:cstheme="minorBidi"/>
          <w:szCs w:val="22"/>
        </w:rPr>
        <w:tab/>
        <w:t xml:space="preserve">Charmandari E, Kino T, </w:t>
      </w:r>
      <w:proofErr w:type="spellStart"/>
      <w:r w:rsidRPr="00E126EF">
        <w:rPr>
          <w:rFonts w:eastAsiaTheme="minorHAnsi" w:cstheme="minorBidi"/>
          <w:szCs w:val="22"/>
        </w:rPr>
        <w:t>Souvatzoglou</w:t>
      </w:r>
      <w:proofErr w:type="spellEnd"/>
      <w:r w:rsidRPr="00E126EF">
        <w:rPr>
          <w:rFonts w:eastAsiaTheme="minorHAnsi" w:cstheme="minorBidi"/>
          <w:szCs w:val="22"/>
        </w:rPr>
        <w:t xml:space="preserve"> E, Vottero A, Bhattacharyya N, Chrousos GP. Natural glucocorticoid receptor mutants causing generalized glucocorticoid resistance: molecular genotype, genetic transmission, and clinical phenotype.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2004; 89:1939-1949</w:t>
      </w:r>
    </w:p>
    <w:p w14:paraId="1D350BE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428.</w:t>
      </w:r>
      <w:r w:rsidRPr="00E126EF">
        <w:rPr>
          <w:rFonts w:eastAsiaTheme="minorHAnsi" w:cstheme="minorBidi"/>
          <w:szCs w:val="22"/>
        </w:rPr>
        <w:tab/>
        <w:t xml:space="preserve">Roberts ML, Kino T, Nicolaides NC, Hurt DE, </w:t>
      </w:r>
      <w:proofErr w:type="spellStart"/>
      <w:r w:rsidRPr="00E126EF">
        <w:rPr>
          <w:rFonts w:eastAsiaTheme="minorHAnsi" w:cstheme="minorBidi"/>
          <w:szCs w:val="22"/>
        </w:rPr>
        <w:t>Katsantoni</w:t>
      </w:r>
      <w:proofErr w:type="spellEnd"/>
      <w:r w:rsidRPr="00E126EF">
        <w:rPr>
          <w:rFonts w:eastAsiaTheme="minorHAnsi" w:cstheme="minorBidi"/>
          <w:szCs w:val="22"/>
        </w:rPr>
        <w:t xml:space="preserve"> E, </w:t>
      </w:r>
      <w:proofErr w:type="spellStart"/>
      <w:r w:rsidRPr="00E126EF">
        <w:rPr>
          <w:rFonts w:eastAsiaTheme="minorHAnsi" w:cstheme="minorBidi"/>
          <w:szCs w:val="22"/>
        </w:rPr>
        <w:t>Sertedaki</w:t>
      </w:r>
      <w:proofErr w:type="spellEnd"/>
      <w:r w:rsidRPr="00E126EF">
        <w:rPr>
          <w:rFonts w:eastAsiaTheme="minorHAnsi" w:cstheme="minorBidi"/>
          <w:szCs w:val="22"/>
        </w:rPr>
        <w:t xml:space="preserve"> A, </w:t>
      </w:r>
      <w:proofErr w:type="spellStart"/>
      <w:r w:rsidRPr="00E126EF">
        <w:rPr>
          <w:rFonts w:eastAsiaTheme="minorHAnsi" w:cstheme="minorBidi"/>
          <w:szCs w:val="22"/>
        </w:rPr>
        <w:t>Komianou</w:t>
      </w:r>
      <w:proofErr w:type="spellEnd"/>
      <w:r w:rsidRPr="00E126EF">
        <w:rPr>
          <w:rFonts w:eastAsiaTheme="minorHAnsi" w:cstheme="minorBidi"/>
          <w:szCs w:val="22"/>
        </w:rPr>
        <w:t xml:space="preserve"> F, </w:t>
      </w:r>
      <w:proofErr w:type="spellStart"/>
      <w:r w:rsidRPr="00E126EF">
        <w:rPr>
          <w:rFonts w:eastAsiaTheme="minorHAnsi" w:cstheme="minorBidi"/>
          <w:szCs w:val="22"/>
        </w:rPr>
        <w:t>Kassiou</w:t>
      </w:r>
      <w:proofErr w:type="spellEnd"/>
      <w:r w:rsidRPr="00E126EF">
        <w:rPr>
          <w:rFonts w:eastAsiaTheme="minorHAnsi" w:cstheme="minorBidi"/>
          <w:szCs w:val="22"/>
        </w:rPr>
        <w:t xml:space="preserve"> K, Chrousos GP, Charmandari E. A novel point mutation in the DNA-binding domain (DBD) of the human glucocorticoid receptor causes primary generalized glucocorticoid resistance by disrupting the hydrophobic structure of its DBD.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2013; </w:t>
      </w:r>
      <w:proofErr w:type="gramStart"/>
      <w:r w:rsidRPr="00E126EF">
        <w:rPr>
          <w:rFonts w:eastAsiaTheme="minorHAnsi" w:cstheme="minorBidi"/>
          <w:szCs w:val="22"/>
        </w:rPr>
        <w:t>98:E</w:t>
      </w:r>
      <w:proofErr w:type="gramEnd"/>
      <w:r w:rsidRPr="00E126EF">
        <w:rPr>
          <w:rFonts w:eastAsiaTheme="minorHAnsi" w:cstheme="minorBidi"/>
          <w:szCs w:val="22"/>
        </w:rPr>
        <w:t>790-795</w:t>
      </w:r>
    </w:p>
    <w:p w14:paraId="1716932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429.</w:t>
      </w:r>
      <w:r w:rsidRPr="00E126EF">
        <w:rPr>
          <w:rFonts w:eastAsiaTheme="minorHAnsi" w:cstheme="minorBidi"/>
          <w:szCs w:val="22"/>
        </w:rPr>
        <w:tab/>
        <w:t xml:space="preserve">Bouligand J, </w:t>
      </w:r>
      <w:proofErr w:type="spellStart"/>
      <w:r w:rsidRPr="00E126EF">
        <w:rPr>
          <w:rFonts w:eastAsiaTheme="minorHAnsi" w:cstheme="minorBidi"/>
          <w:szCs w:val="22"/>
        </w:rPr>
        <w:t>Delemer</w:t>
      </w:r>
      <w:proofErr w:type="spellEnd"/>
      <w:r w:rsidRPr="00E126EF">
        <w:rPr>
          <w:rFonts w:eastAsiaTheme="minorHAnsi" w:cstheme="minorBidi"/>
          <w:szCs w:val="22"/>
        </w:rPr>
        <w:t xml:space="preserve"> B, </w:t>
      </w:r>
      <w:proofErr w:type="spellStart"/>
      <w:r w:rsidRPr="00E126EF">
        <w:rPr>
          <w:rFonts w:eastAsiaTheme="minorHAnsi" w:cstheme="minorBidi"/>
          <w:szCs w:val="22"/>
        </w:rPr>
        <w:t>Hecart</w:t>
      </w:r>
      <w:proofErr w:type="spellEnd"/>
      <w:r w:rsidRPr="00E126EF">
        <w:rPr>
          <w:rFonts w:eastAsiaTheme="minorHAnsi" w:cstheme="minorBidi"/>
          <w:szCs w:val="22"/>
        </w:rPr>
        <w:t xml:space="preserve"> AC, </w:t>
      </w:r>
      <w:proofErr w:type="spellStart"/>
      <w:r w:rsidRPr="00E126EF">
        <w:rPr>
          <w:rFonts w:eastAsiaTheme="minorHAnsi" w:cstheme="minorBidi"/>
          <w:szCs w:val="22"/>
        </w:rPr>
        <w:t>Meduri</w:t>
      </w:r>
      <w:proofErr w:type="spellEnd"/>
      <w:r w:rsidRPr="00E126EF">
        <w:rPr>
          <w:rFonts w:eastAsiaTheme="minorHAnsi" w:cstheme="minorBidi"/>
          <w:szCs w:val="22"/>
        </w:rPr>
        <w:t xml:space="preserve"> G, </w:t>
      </w:r>
      <w:proofErr w:type="spellStart"/>
      <w:r w:rsidRPr="00E126EF">
        <w:rPr>
          <w:rFonts w:eastAsiaTheme="minorHAnsi" w:cstheme="minorBidi"/>
          <w:szCs w:val="22"/>
        </w:rPr>
        <w:t>Viengchareun</w:t>
      </w:r>
      <w:proofErr w:type="spellEnd"/>
      <w:r w:rsidRPr="00E126EF">
        <w:rPr>
          <w:rFonts w:eastAsiaTheme="minorHAnsi" w:cstheme="minorBidi"/>
          <w:szCs w:val="22"/>
        </w:rPr>
        <w:t xml:space="preserve"> S, </w:t>
      </w:r>
      <w:proofErr w:type="spellStart"/>
      <w:r w:rsidRPr="00E126EF">
        <w:rPr>
          <w:rFonts w:eastAsiaTheme="minorHAnsi" w:cstheme="minorBidi"/>
          <w:szCs w:val="22"/>
        </w:rPr>
        <w:t>Amazit</w:t>
      </w:r>
      <w:proofErr w:type="spellEnd"/>
      <w:r w:rsidRPr="00E126EF">
        <w:rPr>
          <w:rFonts w:eastAsiaTheme="minorHAnsi" w:cstheme="minorBidi"/>
          <w:szCs w:val="22"/>
        </w:rPr>
        <w:t xml:space="preserve"> L, </w:t>
      </w:r>
      <w:proofErr w:type="spellStart"/>
      <w:r w:rsidRPr="00E126EF">
        <w:rPr>
          <w:rFonts w:eastAsiaTheme="minorHAnsi" w:cstheme="minorBidi"/>
          <w:szCs w:val="22"/>
        </w:rPr>
        <w:t>Trabado</w:t>
      </w:r>
      <w:proofErr w:type="spellEnd"/>
      <w:r w:rsidRPr="00E126EF">
        <w:rPr>
          <w:rFonts w:eastAsiaTheme="minorHAnsi" w:cstheme="minorBidi"/>
          <w:szCs w:val="22"/>
        </w:rPr>
        <w:t xml:space="preserve"> S, </w:t>
      </w:r>
      <w:proofErr w:type="spellStart"/>
      <w:r w:rsidRPr="00E126EF">
        <w:rPr>
          <w:rFonts w:eastAsiaTheme="minorHAnsi" w:cstheme="minorBidi"/>
          <w:szCs w:val="22"/>
        </w:rPr>
        <w:t>Feve</w:t>
      </w:r>
      <w:proofErr w:type="spellEnd"/>
      <w:r w:rsidRPr="00E126EF">
        <w:rPr>
          <w:rFonts w:eastAsiaTheme="minorHAnsi" w:cstheme="minorBidi"/>
          <w:szCs w:val="22"/>
        </w:rPr>
        <w:t xml:space="preserve"> B, </w:t>
      </w:r>
      <w:proofErr w:type="spellStart"/>
      <w:r w:rsidRPr="00E126EF">
        <w:rPr>
          <w:rFonts w:eastAsiaTheme="minorHAnsi" w:cstheme="minorBidi"/>
          <w:szCs w:val="22"/>
        </w:rPr>
        <w:t>Guiochon</w:t>
      </w:r>
      <w:proofErr w:type="spellEnd"/>
      <w:r w:rsidRPr="00E126EF">
        <w:rPr>
          <w:rFonts w:eastAsiaTheme="minorHAnsi" w:cstheme="minorBidi"/>
          <w:szCs w:val="22"/>
        </w:rPr>
        <w:t xml:space="preserve">-Mantel A, Young J, </w:t>
      </w:r>
      <w:proofErr w:type="spellStart"/>
      <w:r w:rsidRPr="00E126EF">
        <w:rPr>
          <w:rFonts w:eastAsiaTheme="minorHAnsi" w:cstheme="minorBidi"/>
          <w:szCs w:val="22"/>
        </w:rPr>
        <w:t>Lombes</w:t>
      </w:r>
      <w:proofErr w:type="spellEnd"/>
      <w:r w:rsidRPr="00E126EF">
        <w:rPr>
          <w:rFonts w:eastAsiaTheme="minorHAnsi" w:cstheme="minorBidi"/>
          <w:szCs w:val="22"/>
        </w:rPr>
        <w:t xml:space="preserve"> M. Familial glucocorticoid receptor haploinsufficiency by non-sense mediated mRNA decay, adrenal hyperplasia and apparent mineralocorticoid excess.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2010; </w:t>
      </w:r>
      <w:proofErr w:type="gramStart"/>
      <w:r w:rsidRPr="00E126EF">
        <w:rPr>
          <w:rFonts w:eastAsiaTheme="minorHAnsi" w:cstheme="minorBidi"/>
          <w:szCs w:val="22"/>
        </w:rPr>
        <w:t>5:e</w:t>
      </w:r>
      <w:proofErr w:type="gramEnd"/>
      <w:r w:rsidRPr="00E126EF">
        <w:rPr>
          <w:rFonts w:eastAsiaTheme="minorHAnsi" w:cstheme="minorBidi"/>
          <w:szCs w:val="22"/>
        </w:rPr>
        <w:t>13563</w:t>
      </w:r>
    </w:p>
    <w:p w14:paraId="5818312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430.</w:t>
      </w:r>
      <w:r w:rsidRPr="00E126EF">
        <w:rPr>
          <w:rFonts w:eastAsiaTheme="minorHAnsi" w:cstheme="minorBidi"/>
          <w:szCs w:val="22"/>
        </w:rPr>
        <w:tab/>
        <w:t xml:space="preserve">Charmandari E,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w:t>
      </w:r>
      <w:proofErr w:type="spellStart"/>
      <w:r w:rsidRPr="00E126EF">
        <w:rPr>
          <w:rFonts w:eastAsiaTheme="minorHAnsi" w:cstheme="minorBidi"/>
          <w:szCs w:val="22"/>
        </w:rPr>
        <w:t>Jubiz</w:t>
      </w:r>
      <w:proofErr w:type="spellEnd"/>
      <w:r w:rsidRPr="00E126EF">
        <w:rPr>
          <w:rFonts w:eastAsiaTheme="minorHAnsi" w:cstheme="minorBidi"/>
          <w:szCs w:val="22"/>
        </w:rPr>
        <w:t xml:space="preserve"> W, </w:t>
      </w:r>
      <w:proofErr w:type="spellStart"/>
      <w:r w:rsidRPr="00E126EF">
        <w:rPr>
          <w:rFonts w:eastAsiaTheme="minorHAnsi" w:cstheme="minorBidi"/>
          <w:szCs w:val="22"/>
        </w:rPr>
        <w:t>Baid</w:t>
      </w:r>
      <w:proofErr w:type="spellEnd"/>
      <w:r w:rsidRPr="00E126EF">
        <w:rPr>
          <w:rFonts w:eastAsiaTheme="minorHAnsi" w:cstheme="minorBidi"/>
          <w:szCs w:val="22"/>
        </w:rPr>
        <w:t xml:space="preserve"> S, Zachman K, Chrousos GP, Kino T. A novel point mutation in the amino terminal domain of the human glucocorticoid receptor (hGR) gene enhancing hGR-mediated gene expression.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2008; 93:4963-4968</w:t>
      </w:r>
    </w:p>
    <w:p w14:paraId="3321C9C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431.</w:t>
      </w:r>
      <w:r w:rsidRPr="00E126EF">
        <w:rPr>
          <w:rFonts w:eastAsiaTheme="minorHAnsi" w:cstheme="minorBidi"/>
          <w:szCs w:val="22"/>
        </w:rPr>
        <w:tab/>
        <w:t xml:space="preserve">Charmandari E, Kino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w:t>
      </w:r>
      <w:proofErr w:type="spellStart"/>
      <w:r w:rsidRPr="00E126EF">
        <w:rPr>
          <w:rFonts w:eastAsiaTheme="minorHAnsi" w:cstheme="minorBidi"/>
          <w:szCs w:val="22"/>
        </w:rPr>
        <w:t>Jubiz</w:t>
      </w:r>
      <w:proofErr w:type="spellEnd"/>
      <w:r w:rsidRPr="00E126EF">
        <w:rPr>
          <w:rFonts w:eastAsiaTheme="minorHAnsi" w:cstheme="minorBidi"/>
          <w:szCs w:val="22"/>
        </w:rPr>
        <w:t xml:space="preserve"> W, Mejia L, Zachman K, Chrousos GP. A novel point mutation in helix 11 of the ligand-binding domain of the human glucocorticoid receptor gene causing generalized glucocorticoid resistance.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2007; 92:3986-3990</w:t>
      </w:r>
    </w:p>
    <w:p w14:paraId="3245DA3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432.</w:t>
      </w:r>
      <w:r w:rsidRPr="00E126EF">
        <w:rPr>
          <w:rFonts w:eastAsiaTheme="minorHAnsi" w:cstheme="minorBidi"/>
          <w:szCs w:val="22"/>
        </w:rPr>
        <w:tab/>
        <w:t xml:space="preserve">Lin L, Wu X, Hou Y, Zheng F, Xu R. A novel mutation in the glucocorticoid receptor gene causing resistant hypertension: a case report. Am J </w:t>
      </w:r>
      <w:proofErr w:type="spellStart"/>
      <w:r w:rsidRPr="00E126EF">
        <w:rPr>
          <w:rFonts w:eastAsiaTheme="minorHAnsi" w:cstheme="minorBidi"/>
          <w:szCs w:val="22"/>
        </w:rPr>
        <w:t>Hypertens</w:t>
      </w:r>
      <w:proofErr w:type="spellEnd"/>
      <w:r w:rsidRPr="00E126EF">
        <w:rPr>
          <w:rFonts w:eastAsiaTheme="minorHAnsi" w:cstheme="minorBidi"/>
          <w:szCs w:val="22"/>
        </w:rPr>
        <w:t>. 2019; 32:1126-1128</w:t>
      </w:r>
    </w:p>
    <w:p w14:paraId="3CD229E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433.</w:t>
      </w:r>
      <w:r w:rsidRPr="00E126EF">
        <w:rPr>
          <w:rFonts w:eastAsiaTheme="minorHAnsi" w:cstheme="minorBidi"/>
          <w:szCs w:val="22"/>
        </w:rPr>
        <w:tab/>
        <w:t xml:space="preserve">Paragliola RM, </w:t>
      </w:r>
      <w:proofErr w:type="spellStart"/>
      <w:r w:rsidRPr="00E126EF">
        <w:rPr>
          <w:rFonts w:eastAsiaTheme="minorHAnsi" w:cstheme="minorBidi"/>
          <w:szCs w:val="22"/>
        </w:rPr>
        <w:t>Costella</w:t>
      </w:r>
      <w:proofErr w:type="spellEnd"/>
      <w:r w:rsidRPr="00E126EF">
        <w:rPr>
          <w:rFonts w:eastAsiaTheme="minorHAnsi" w:cstheme="minorBidi"/>
          <w:szCs w:val="22"/>
        </w:rPr>
        <w:t xml:space="preserve"> A, </w:t>
      </w:r>
      <w:proofErr w:type="spellStart"/>
      <w:r w:rsidRPr="00E126EF">
        <w:rPr>
          <w:rFonts w:eastAsiaTheme="minorHAnsi" w:cstheme="minorBidi"/>
          <w:szCs w:val="22"/>
        </w:rPr>
        <w:t>Corsello</w:t>
      </w:r>
      <w:proofErr w:type="spellEnd"/>
      <w:r w:rsidRPr="00E126EF">
        <w:rPr>
          <w:rFonts w:eastAsiaTheme="minorHAnsi" w:cstheme="minorBidi"/>
          <w:szCs w:val="22"/>
        </w:rPr>
        <w:t xml:space="preserve"> A, </w:t>
      </w:r>
      <w:proofErr w:type="spellStart"/>
      <w:r w:rsidRPr="00E126EF">
        <w:rPr>
          <w:rFonts w:eastAsiaTheme="minorHAnsi" w:cstheme="minorBidi"/>
          <w:szCs w:val="22"/>
        </w:rPr>
        <w:t>Urbani</w:t>
      </w:r>
      <w:proofErr w:type="spellEnd"/>
      <w:r w:rsidRPr="00E126EF">
        <w:rPr>
          <w:rFonts w:eastAsiaTheme="minorHAnsi" w:cstheme="minorBidi"/>
          <w:szCs w:val="22"/>
        </w:rPr>
        <w:t xml:space="preserve"> A, </w:t>
      </w:r>
      <w:proofErr w:type="spellStart"/>
      <w:r w:rsidRPr="00E126EF">
        <w:rPr>
          <w:rFonts w:eastAsiaTheme="minorHAnsi" w:cstheme="minorBidi"/>
          <w:szCs w:val="22"/>
        </w:rPr>
        <w:t>Concolino</w:t>
      </w:r>
      <w:proofErr w:type="spellEnd"/>
      <w:r w:rsidRPr="00E126EF">
        <w:rPr>
          <w:rFonts w:eastAsiaTheme="minorHAnsi" w:cstheme="minorBidi"/>
          <w:szCs w:val="22"/>
        </w:rPr>
        <w:t xml:space="preserve"> P. A Novel Pathogenic Variant in the N-Terminal Domain of the Glucocorticoid Receptor, Causing Glucocorticoid Resistance. Mol Diagn </w:t>
      </w:r>
      <w:proofErr w:type="spellStart"/>
      <w:r w:rsidRPr="00E126EF">
        <w:rPr>
          <w:rFonts w:eastAsiaTheme="minorHAnsi" w:cstheme="minorBidi"/>
          <w:szCs w:val="22"/>
        </w:rPr>
        <w:t>Ther</w:t>
      </w:r>
      <w:proofErr w:type="spellEnd"/>
      <w:r w:rsidRPr="00E126EF">
        <w:rPr>
          <w:rFonts w:eastAsiaTheme="minorHAnsi" w:cstheme="minorBidi"/>
          <w:szCs w:val="22"/>
        </w:rPr>
        <w:t>. 2020; 24(4):473-485</w:t>
      </w:r>
    </w:p>
    <w:p w14:paraId="659F6C2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434.</w:t>
      </w:r>
      <w:r w:rsidRPr="00E126EF">
        <w:rPr>
          <w:rFonts w:eastAsiaTheme="minorHAnsi" w:cstheme="minorBidi"/>
          <w:szCs w:val="22"/>
        </w:rPr>
        <w:tab/>
        <w:t xml:space="preserve">Tatsi C, </w:t>
      </w:r>
      <w:proofErr w:type="spellStart"/>
      <w:r w:rsidRPr="00E126EF">
        <w:rPr>
          <w:rFonts w:eastAsiaTheme="minorHAnsi" w:cstheme="minorBidi"/>
          <w:szCs w:val="22"/>
        </w:rPr>
        <w:t>Xekouki</w:t>
      </w:r>
      <w:proofErr w:type="spellEnd"/>
      <w:r w:rsidRPr="00E126EF">
        <w:rPr>
          <w:rFonts w:eastAsiaTheme="minorHAnsi" w:cstheme="minorBidi"/>
          <w:szCs w:val="22"/>
        </w:rPr>
        <w:t xml:space="preserve"> P, </w:t>
      </w:r>
      <w:proofErr w:type="spellStart"/>
      <w:r w:rsidRPr="00E126EF">
        <w:rPr>
          <w:rFonts w:eastAsiaTheme="minorHAnsi" w:cstheme="minorBidi"/>
          <w:szCs w:val="22"/>
        </w:rPr>
        <w:t>Nioti</w:t>
      </w:r>
      <w:proofErr w:type="spellEnd"/>
      <w:r w:rsidRPr="00E126EF">
        <w:rPr>
          <w:rFonts w:eastAsiaTheme="minorHAnsi" w:cstheme="minorBidi"/>
          <w:szCs w:val="22"/>
        </w:rPr>
        <w:t xml:space="preserve"> O, Bachrach B, </w:t>
      </w:r>
      <w:proofErr w:type="spellStart"/>
      <w:r w:rsidRPr="00E126EF">
        <w:rPr>
          <w:rFonts w:eastAsiaTheme="minorHAnsi" w:cstheme="minorBidi"/>
          <w:szCs w:val="22"/>
        </w:rPr>
        <w:t>Belyavskaya</w:t>
      </w:r>
      <w:proofErr w:type="spellEnd"/>
      <w:r w:rsidRPr="00E126EF">
        <w:rPr>
          <w:rFonts w:eastAsiaTheme="minorHAnsi" w:cstheme="minorBidi"/>
          <w:szCs w:val="22"/>
        </w:rPr>
        <w:t xml:space="preserve"> E, </w:t>
      </w:r>
      <w:proofErr w:type="spellStart"/>
      <w:r w:rsidRPr="00E126EF">
        <w:rPr>
          <w:rFonts w:eastAsiaTheme="minorHAnsi" w:cstheme="minorBidi"/>
          <w:szCs w:val="22"/>
        </w:rPr>
        <w:t>Lyssikatos</w:t>
      </w:r>
      <w:proofErr w:type="spellEnd"/>
      <w:r w:rsidRPr="00E126EF">
        <w:rPr>
          <w:rFonts w:eastAsiaTheme="minorHAnsi" w:cstheme="minorBidi"/>
          <w:szCs w:val="22"/>
        </w:rPr>
        <w:t xml:space="preserve"> C, </w:t>
      </w:r>
      <w:proofErr w:type="spellStart"/>
      <w:r w:rsidRPr="00E126EF">
        <w:rPr>
          <w:rFonts w:eastAsiaTheme="minorHAnsi" w:cstheme="minorBidi"/>
          <w:szCs w:val="22"/>
        </w:rPr>
        <w:t>Stratakis</w:t>
      </w:r>
      <w:proofErr w:type="spellEnd"/>
      <w:r w:rsidRPr="00E126EF">
        <w:rPr>
          <w:rFonts w:eastAsiaTheme="minorHAnsi" w:cstheme="minorBidi"/>
          <w:szCs w:val="22"/>
        </w:rPr>
        <w:t xml:space="preserve"> CA. A novel mutation in the glucocorticoid receptor gene as a cause of severe glucocorticoid resistance complicated by hypertensive encephalopathy. J </w:t>
      </w:r>
      <w:proofErr w:type="spellStart"/>
      <w:r w:rsidRPr="00E126EF">
        <w:rPr>
          <w:rFonts w:eastAsiaTheme="minorHAnsi" w:cstheme="minorBidi"/>
          <w:szCs w:val="22"/>
        </w:rPr>
        <w:t>Hypertens</w:t>
      </w:r>
      <w:proofErr w:type="spellEnd"/>
      <w:r w:rsidRPr="00E126EF">
        <w:rPr>
          <w:rFonts w:eastAsiaTheme="minorHAnsi" w:cstheme="minorBidi"/>
          <w:szCs w:val="22"/>
        </w:rPr>
        <w:t>. 2019; 37:1475-1481</w:t>
      </w:r>
    </w:p>
    <w:p w14:paraId="3004BBB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435.</w:t>
      </w:r>
      <w:r w:rsidRPr="00E126EF">
        <w:rPr>
          <w:rFonts w:eastAsiaTheme="minorHAnsi" w:cstheme="minorBidi"/>
          <w:szCs w:val="22"/>
        </w:rPr>
        <w:tab/>
        <w:t xml:space="preserve">Al Argan R, </w:t>
      </w:r>
      <w:proofErr w:type="spellStart"/>
      <w:r w:rsidRPr="00E126EF">
        <w:rPr>
          <w:rFonts w:eastAsiaTheme="minorHAnsi" w:cstheme="minorBidi"/>
          <w:szCs w:val="22"/>
        </w:rPr>
        <w:t>Saskin</w:t>
      </w:r>
      <w:proofErr w:type="spellEnd"/>
      <w:r w:rsidRPr="00E126EF">
        <w:rPr>
          <w:rFonts w:eastAsiaTheme="minorHAnsi" w:cstheme="minorBidi"/>
          <w:szCs w:val="22"/>
        </w:rPr>
        <w:t xml:space="preserve"> A, Yang JW, D’Agostino MD, Rivera J. Glucocorticoid resistance syndrome caused by a novel NR3C1 point mutation. </w:t>
      </w:r>
      <w:proofErr w:type="spellStart"/>
      <w:r w:rsidRPr="00E126EF">
        <w:rPr>
          <w:rFonts w:eastAsiaTheme="minorHAnsi" w:cstheme="minorBidi"/>
          <w:szCs w:val="22"/>
        </w:rPr>
        <w:t>Endocr</w:t>
      </w:r>
      <w:proofErr w:type="spellEnd"/>
      <w:r w:rsidRPr="00E126EF">
        <w:rPr>
          <w:rFonts w:eastAsiaTheme="minorHAnsi" w:cstheme="minorBidi"/>
          <w:szCs w:val="22"/>
        </w:rPr>
        <w:t xml:space="preserve"> J. 2018; 65:1139-1146</w:t>
      </w:r>
    </w:p>
    <w:p w14:paraId="40A2CB2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436.</w:t>
      </w:r>
      <w:r w:rsidRPr="00E126EF">
        <w:rPr>
          <w:rFonts w:eastAsiaTheme="minorHAnsi" w:cstheme="minorBidi"/>
          <w:szCs w:val="22"/>
        </w:rPr>
        <w:tab/>
        <w:t xml:space="preserve">Vitellius G, </w:t>
      </w:r>
      <w:proofErr w:type="spellStart"/>
      <w:r w:rsidRPr="00E126EF">
        <w:rPr>
          <w:rFonts w:eastAsiaTheme="minorHAnsi" w:cstheme="minorBidi"/>
          <w:szCs w:val="22"/>
        </w:rPr>
        <w:t>Fagart</w:t>
      </w:r>
      <w:proofErr w:type="spellEnd"/>
      <w:r w:rsidRPr="00E126EF">
        <w:rPr>
          <w:rFonts w:eastAsiaTheme="minorHAnsi" w:cstheme="minorBidi"/>
          <w:szCs w:val="22"/>
        </w:rPr>
        <w:t xml:space="preserve"> J, </w:t>
      </w:r>
      <w:proofErr w:type="spellStart"/>
      <w:r w:rsidRPr="00E126EF">
        <w:rPr>
          <w:rFonts w:eastAsiaTheme="minorHAnsi" w:cstheme="minorBidi"/>
          <w:szCs w:val="22"/>
        </w:rPr>
        <w:t>Delemer</w:t>
      </w:r>
      <w:proofErr w:type="spellEnd"/>
      <w:r w:rsidRPr="00E126EF">
        <w:rPr>
          <w:rFonts w:eastAsiaTheme="minorHAnsi" w:cstheme="minorBidi"/>
          <w:szCs w:val="22"/>
        </w:rPr>
        <w:t xml:space="preserve"> B, </w:t>
      </w:r>
      <w:proofErr w:type="spellStart"/>
      <w:r w:rsidRPr="00E126EF">
        <w:rPr>
          <w:rFonts w:eastAsiaTheme="minorHAnsi" w:cstheme="minorBidi"/>
          <w:szCs w:val="22"/>
        </w:rPr>
        <w:t>Amazit</w:t>
      </w:r>
      <w:proofErr w:type="spellEnd"/>
      <w:r w:rsidRPr="00E126EF">
        <w:rPr>
          <w:rFonts w:eastAsiaTheme="minorHAnsi" w:cstheme="minorBidi"/>
          <w:szCs w:val="22"/>
        </w:rPr>
        <w:t xml:space="preserve"> L, Ramos N, Bouligand J, Le </w:t>
      </w:r>
      <w:proofErr w:type="spellStart"/>
      <w:r w:rsidRPr="00E126EF">
        <w:rPr>
          <w:rFonts w:eastAsiaTheme="minorHAnsi" w:cstheme="minorBidi"/>
          <w:szCs w:val="22"/>
        </w:rPr>
        <w:t>Billan</w:t>
      </w:r>
      <w:proofErr w:type="spellEnd"/>
      <w:r w:rsidRPr="00E126EF">
        <w:rPr>
          <w:rFonts w:eastAsiaTheme="minorHAnsi" w:cstheme="minorBidi"/>
          <w:szCs w:val="22"/>
        </w:rPr>
        <w:t xml:space="preserve"> F, Castinetti F, </w:t>
      </w:r>
      <w:proofErr w:type="spellStart"/>
      <w:r w:rsidRPr="00E126EF">
        <w:rPr>
          <w:rFonts w:eastAsiaTheme="minorHAnsi" w:cstheme="minorBidi"/>
          <w:szCs w:val="22"/>
        </w:rPr>
        <w:t>Guiochon</w:t>
      </w:r>
      <w:proofErr w:type="spellEnd"/>
      <w:r w:rsidRPr="00E126EF">
        <w:rPr>
          <w:rFonts w:eastAsiaTheme="minorHAnsi" w:cstheme="minorBidi"/>
          <w:szCs w:val="22"/>
        </w:rPr>
        <w:t xml:space="preserve">-Mantel A, </w:t>
      </w:r>
      <w:proofErr w:type="spellStart"/>
      <w:r w:rsidRPr="00E126EF">
        <w:rPr>
          <w:rFonts w:eastAsiaTheme="minorHAnsi" w:cstheme="minorBidi"/>
          <w:szCs w:val="22"/>
        </w:rPr>
        <w:t>Trabado</w:t>
      </w:r>
      <w:proofErr w:type="spellEnd"/>
      <w:r w:rsidRPr="00E126EF">
        <w:rPr>
          <w:rFonts w:eastAsiaTheme="minorHAnsi" w:cstheme="minorBidi"/>
          <w:szCs w:val="22"/>
        </w:rPr>
        <w:t xml:space="preserve"> S, </w:t>
      </w:r>
      <w:proofErr w:type="spellStart"/>
      <w:r w:rsidRPr="00E126EF">
        <w:rPr>
          <w:rFonts w:eastAsiaTheme="minorHAnsi" w:cstheme="minorBidi"/>
          <w:szCs w:val="22"/>
        </w:rPr>
        <w:t>Lombès</w:t>
      </w:r>
      <w:proofErr w:type="spellEnd"/>
      <w:r w:rsidRPr="00E126EF">
        <w:rPr>
          <w:rFonts w:eastAsiaTheme="minorHAnsi" w:cstheme="minorBidi"/>
          <w:szCs w:val="22"/>
        </w:rPr>
        <w:t xml:space="preserve"> M. Three novel heterozygous point mutations of NR3C1 causing glucocorticoid resistance. Hum </w:t>
      </w:r>
      <w:proofErr w:type="spellStart"/>
      <w:r w:rsidRPr="00E126EF">
        <w:rPr>
          <w:rFonts w:eastAsiaTheme="minorHAnsi" w:cstheme="minorBidi"/>
          <w:szCs w:val="22"/>
        </w:rPr>
        <w:t>Mutat</w:t>
      </w:r>
      <w:proofErr w:type="spellEnd"/>
      <w:r w:rsidRPr="00E126EF">
        <w:rPr>
          <w:rFonts w:eastAsiaTheme="minorHAnsi" w:cstheme="minorBidi"/>
          <w:szCs w:val="22"/>
        </w:rPr>
        <w:t>. 2016; 37:794-803</w:t>
      </w:r>
    </w:p>
    <w:p w14:paraId="405959C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437.</w:t>
      </w:r>
      <w:r w:rsidRPr="00E126EF">
        <w:rPr>
          <w:rFonts w:eastAsiaTheme="minorHAnsi" w:cstheme="minorBidi"/>
          <w:szCs w:val="22"/>
        </w:rPr>
        <w:tab/>
        <w:t>Velayos T, Grau G, Rica I, Pérez-</w:t>
      </w:r>
      <w:proofErr w:type="spellStart"/>
      <w:r w:rsidRPr="00E126EF">
        <w:rPr>
          <w:rFonts w:eastAsiaTheme="minorHAnsi" w:cstheme="minorBidi"/>
          <w:szCs w:val="22"/>
        </w:rPr>
        <w:t>Nanclares</w:t>
      </w:r>
      <w:proofErr w:type="spellEnd"/>
      <w:r w:rsidRPr="00E126EF">
        <w:rPr>
          <w:rFonts w:eastAsiaTheme="minorHAnsi" w:cstheme="minorBidi"/>
          <w:szCs w:val="22"/>
        </w:rPr>
        <w:t xml:space="preserve"> G, </w:t>
      </w:r>
      <w:proofErr w:type="spellStart"/>
      <w:r w:rsidRPr="00E126EF">
        <w:rPr>
          <w:rFonts w:eastAsiaTheme="minorHAnsi" w:cstheme="minorBidi"/>
          <w:szCs w:val="22"/>
        </w:rPr>
        <w:t>Gaztambide</w:t>
      </w:r>
      <w:proofErr w:type="spellEnd"/>
      <w:r w:rsidRPr="00E126EF">
        <w:rPr>
          <w:rFonts w:eastAsiaTheme="minorHAnsi" w:cstheme="minorBidi"/>
          <w:szCs w:val="22"/>
        </w:rPr>
        <w:t xml:space="preserve"> S. Glucocorticoid resistance syndrome caused by two novel mutations in the NR3C1 gene. Endocrinol </w:t>
      </w:r>
      <w:proofErr w:type="spellStart"/>
      <w:r w:rsidRPr="00E126EF">
        <w:rPr>
          <w:rFonts w:eastAsiaTheme="minorHAnsi" w:cstheme="minorBidi"/>
          <w:szCs w:val="22"/>
        </w:rPr>
        <w:t>Nutr</w:t>
      </w:r>
      <w:proofErr w:type="spellEnd"/>
      <w:r w:rsidRPr="00E126EF">
        <w:rPr>
          <w:rFonts w:eastAsiaTheme="minorHAnsi" w:cstheme="minorBidi"/>
          <w:szCs w:val="22"/>
        </w:rPr>
        <w:t>. 2016; 63:369-371</w:t>
      </w:r>
    </w:p>
    <w:p w14:paraId="3ED7399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438.</w:t>
      </w:r>
      <w:r w:rsidRPr="00E126EF">
        <w:rPr>
          <w:rFonts w:eastAsiaTheme="minorHAnsi" w:cstheme="minorBidi"/>
          <w:szCs w:val="22"/>
        </w:rPr>
        <w:tab/>
        <w:t xml:space="preserve">Vitellius G, </w:t>
      </w:r>
      <w:proofErr w:type="spellStart"/>
      <w:r w:rsidRPr="00E126EF">
        <w:rPr>
          <w:rFonts w:eastAsiaTheme="minorHAnsi" w:cstheme="minorBidi"/>
          <w:szCs w:val="22"/>
        </w:rPr>
        <w:t>Trabado</w:t>
      </w:r>
      <w:proofErr w:type="spellEnd"/>
      <w:r w:rsidRPr="00E126EF">
        <w:rPr>
          <w:rFonts w:eastAsiaTheme="minorHAnsi" w:cstheme="minorBidi"/>
          <w:szCs w:val="22"/>
        </w:rPr>
        <w:t xml:space="preserve"> S, Hoeffel C, Bouligand J, Bennet A, Castinetti F, </w:t>
      </w:r>
      <w:proofErr w:type="spellStart"/>
      <w:r w:rsidRPr="00E126EF">
        <w:rPr>
          <w:rFonts w:eastAsiaTheme="minorHAnsi" w:cstheme="minorBidi"/>
          <w:szCs w:val="22"/>
        </w:rPr>
        <w:t>Decoudier</w:t>
      </w:r>
      <w:proofErr w:type="spellEnd"/>
      <w:r w:rsidRPr="00E126EF">
        <w:rPr>
          <w:rFonts w:eastAsiaTheme="minorHAnsi" w:cstheme="minorBidi"/>
          <w:szCs w:val="22"/>
        </w:rPr>
        <w:t xml:space="preserve"> B, </w:t>
      </w:r>
      <w:proofErr w:type="spellStart"/>
      <w:r w:rsidRPr="00E126EF">
        <w:rPr>
          <w:rFonts w:eastAsiaTheme="minorHAnsi" w:cstheme="minorBidi"/>
          <w:szCs w:val="22"/>
        </w:rPr>
        <w:t>Guiochon</w:t>
      </w:r>
      <w:proofErr w:type="spellEnd"/>
      <w:r w:rsidRPr="00E126EF">
        <w:rPr>
          <w:rFonts w:eastAsiaTheme="minorHAnsi" w:cstheme="minorBidi"/>
          <w:szCs w:val="22"/>
        </w:rPr>
        <w:t xml:space="preserve">-Mantel A, </w:t>
      </w:r>
      <w:proofErr w:type="spellStart"/>
      <w:r w:rsidRPr="00E126EF">
        <w:rPr>
          <w:rFonts w:eastAsiaTheme="minorHAnsi" w:cstheme="minorBidi"/>
          <w:szCs w:val="22"/>
        </w:rPr>
        <w:t>Lombes</w:t>
      </w:r>
      <w:proofErr w:type="spellEnd"/>
      <w:r w:rsidRPr="00E126EF">
        <w:rPr>
          <w:rFonts w:eastAsiaTheme="minorHAnsi" w:cstheme="minorBidi"/>
          <w:szCs w:val="22"/>
        </w:rPr>
        <w:t xml:space="preserve"> M, </w:t>
      </w:r>
      <w:proofErr w:type="spellStart"/>
      <w:r w:rsidRPr="00E126EF">
        <w:rPr>
          <w:rFonts w:eastAsiaTheme="minorHAnsi" w:cstheme="minorBidi"/>
          <w:szCs w:val="22"/>
        </w:rPr>
        <w:t>Delemer</w:t>
      </w:r>
      <w:proofErr w:type="spellEnd"/>
      <w:r w:rsidRPr="00E126EF">
        <w:rPr>
          <w:rFonts w:eastAsiaTheme="minorHAnsi" w:cstheme="minorBidi"/>
          <w:szCs w:val="22"/>
        </w:rPr>
        <w:t xml:space="preserve"> B; investigators of the MUTA-GR Study. Significant prevalence of NR3C1 mutations in incidentally discovered bilateral adrenal hyperplasia: results of the French MUTA-GR Study. Eur J Endocrinol. </w:t>
      </w:r>
      <w:proofErr w:type="gramStart"/>
      <w:r w:rsidRPr="00E126EF">
        <w:rPr>
          <w:rFonts w:eastAsiaTheme="minorHAnsi" w:cstheme="minorBidi"/>
          <w:szCs w:val="22"/>
        </w:rPr>
        <w:t>2018;178:411</w:t>
      </w:r>
      <w:proofErr w:type="gramEnd"/>
      <w:r w:rsidRPr="00E126EF">
        <w:rPr>
          <w:rFonts w:eastAsiaTheme="minorHAnsi" w:cstheme="minorBidi"/>
          <w:szCs w:val="22"/>
        </w:rPr>
        <w:t>-423</w:t>
      </w:r>
    </w:p>
    <w:p w14:paraId="61C8EBB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439.</w:t>
      </w:r>
      <w:r w:rsidRPr="00E126EF">
        <w:rPr>
          <w:rFonts w:eastAsiaTheme="minorHAnsi" w:cstheme="minorBidi"/>
          <w:szCs w:val="22"/>
        </w:rPr>
        <w:tab/>
        <w:t xml:space="preserve">Ma L, Tan X, Li J, Long Y, Xiao Z, De J, Ren Y, Tian H, Md TC. A novel glucocorticoid receptor mutation in primary generalized glucocorticoid resistance disease. </w:t>
      </w:r>
      <w:proofErr w:type="spellStart"/>
      <w:r w:rsidRPr="00E126EF">
        <w:rPr>
          <w:rFonts w:eastAsiaTheme="minorHAnsi" w:cstheme="minorBidi"/>
          <w:szCs w:val="22"/>
        </w:rPr>
        <w:t>Endocr</w:t>
      </w:r>
      <w:proofErr w:type="spellEnd"/>
      <w:r w:rsidRPr="00E126EF">
        <w:rPr>
          <w:rFonts w:eastAsiaTheme="minorHAnsi" w:cstheme="minorBidi"/>
          <w:szCs w:val="22"/>
        </w:rPr>
        <w:t xml:space="preserve"> </w:t>
      </w:r>
      <w:proofErr w:type="spellStart"/>
      <w:r w:rsidRPr="00E126EF">
        <w:rPr>
          <w:rFonts w:eastAsiaTheme="minorHAnsi" w:cstheme="minorBidi"/>
          <w:szCs w:val="22"/>
        </w:rPr>
        <w:t>Pract</w:t>
      </w:r>
      <w:proofErr w:type="spellEnd"/>
      <w:r w:rsidRPr="00E126EF">
        <w:rPr>
          <w:rFonts w:eastAsiaTheme="minorHAnsi" w:cstheme="minorBidi"/>
          <w:szCs w:val="22"/>
        </w:rPr>
        <w:t xml:space="preserve">. 2020; 11. </w:t>
      </w:r>
      <w:proofErr w:type="spellStart"/>
      <w:r w:rsidRPr="00E126EF">
        <w:rPr>
          <w:rFonts w:eastAsiaTheme="minorHAnsi" w:cstheme="minorBidi"/>
          <w:szCs w:val="22"/>
        </w:rPr>
        <w:t>doi</w:t>
      </w:r>
      <w:proofErr w:type="spellEnd"/>
      <w:r w:rsidRPr="00E126EF">
        <w:rPr>
          <w:rFonts w:eastAsiaTheme="minorHAnsi" w:cstheme="minorBidi"/>
          <w:szCs w:val="22"/>
        </w:rPr>
        <w:t>: 10.4158/EP-2019–0475. Online ahead of print</w:t>
      </w:r>
    </w:p>
    <w:p w14:paraId="740866A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440.</w:t>
      </w:r>
      <w:r w:rsidRPr="00E126EF">
        <w:rPr>
          <w:rFonts w:eastAsiaTheme="minorHAnsi" w:cstheme="minorBidi"/>
          <w:szCs w:val="22"/>
        </w:rPr>
        <w:tab/>
        <w:t xml:space="preserve">Cannavò S, </w:t>
      </w:r>
      <w:proofErr w:type="spellStart"/>
      <w:r w:rsidRPr="00E126EF">
        <w:rPr>
          <w:rFonts w:eastAsiaTheme="minorHAnsi" w:cstheme="minorBidi"/>
          <w:szCs w:val="22"/>
        </w:rPr>
        <w:t>Benvenga</w:t>
      </w:r>
      <w:proofErr w:type="spellEnd"/>
      <w:r w:rsidRPr="00E126EF">
        <w:rPr>
          <w:rFonts w:eastAsiaTheme="minorHAnsi" w:cstheme="minorBidi"/>
          <w:szCs w:val="22"/>
        </w:rPr>
        <w:t xml:space="preserve"> S, Messina E, </w:t>
      </w:r>
      <w:proofErr w:type="spellStart"/>
      <w:r w:rsidRPr="00E126EF">
        <w:rPr>
          <w:rFonts w:eastAsiaTheme="minorHAnsi" w:cstheme="minorBidi"/>
          <w:szCs w:val="22"/>
        </w:rPr>
        <w:t>Moleti</w:t>
      </w:r>
      <w:proofErr w:type="spellEnd"/>
      <w:r w:rsidRPr="00E126EF">
        <w:rPr>
          <w:rFonts w:eastAsiaTheme="minorHAnsi" w:cstheme="minorBidi"/>
          <w:szCs w:val="22"/>
        </w:rPr>
        <w:t xml:space="preserve"> M, </w:t>
      </w:r>
      <w:proofErr w:type="spellStart"/>
      <w:r w:rsidRPr="00E126EF">
        <w:rPr>
          <w:rFonts w:eastAsiaTheme="minorHAnsi" w:cstheme="minorBidi"/>
          <w:szCs w:val="22"/>
        </w:rPr>
        <w:t>Ferraù</w:t>
      </w:r>
      <w:proofErr w:type="spellEnd"/>
      <w:r w:rsidRPr="00E126EF">
        <w:rPr>
          <w:rFonts w:eastAsiaTheme="minorHAnsi" w:cstheme="minorBidi"/>
          <w:szCs w:val="22"/>
        </w:rPr>
        <w:t xml:space="preserve"> F. Comment to ’Glucocorticoid resistance syndrome caused by a novel NR3C1 point mutation’ by Al Argan et al. </w:t>
      </w:r>
      <w:proofErr w:type="spellStart"/>
      <w:r w:rsidRPr="00E126EF">
        <w:rPr>
          <w:rFonts w:eastAsiaTheme="minorHAnsi" w:cstheme="minorBidi"/>
          <w:szCs w:val="22"/>
        </w:rPr>
        <w:t>Endocr</w:t>
      </w:r>
      <w:proofErr w:type="spellEnd"/>
      <w:r w:rsidRPr="00E126EF">
        <w:rPr>
          <w:rFonts w:eastAsiaTheme="minorHAnsi" w:cstheme="minorBidi"/>
          <w:szCs w:val="22"/>
        </w:rPr>
        <w:t xml:space="preserve"> J. 2019;66:657</w:t>
      </w:r>
    </w:p>
    <w:p w14:paraId="01563EC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441.</w:t>
      </w:r>
      <w:r w:rsidRPr="00E126EF">
        <w:rPr>
          <w:rFonts w:eastAsiaTheme="minorHAnsi" w:cstheme="minorBidi"/>
          <w:szCs w:val="22"/>
        </w:rPr>
        <w:tab/>
        <w:t xml:space="preserve">Trebble P, Matthews L, </w:t>
      </w:r>
      <w:proofErr w:type="spellStart"/>
      <w:r w:rsidRPr="00E126EF">
        <w:rPr>
          <w:rFonts w:eastAsiaTheme="minorHAnsi" w:cstheme="minorBidi"/>
          <w:szCs w:val="22"/>
        </w:rPr>
        <w:t>Blaikley</w:t>
      </w:r>
      <w:proofErr w:type="spellEnd"/>
      <w:r w:rsidRPr="00E126EF">
        <w:rPr>
          <w:rFonts w:eastAsiaTheme="minorHAnsi" w:cstheme="minorBidi"/>
          <w:szCs w:val="22"/>
        </w:rPr>
        <w:t xml:space="preserve"> J, </w:t>
      </w:r>
      <w:proofErr w:type="spellStart"/>
      <w:r w:rsidRPr="00E126EF">
        <w:rPr>
          <w:rFonts w:eastAsiaTheme="minorHAnsi" w:cstheme="minorBidi"/>
          <w:szCs w:val="22"/>
        </w:rPr>
        <w:t>Wayte</w:t>
      </w:r>
      <w:proofErr w:type="spellEnd"/>
      <w:r w:rsidRPr="00E126EF">
        <w:rPr>
          <w:rFonts w:eastAsiaTheme="minorHAnsi" w:cstheme="minorBidi"/>
          <w:szCs w:val="22"/>
        </w:rPr>
        <w:t xml:space="preserve"> AW, Black GC, Wilton A, Ray DW. Familial glucocorticoid resistance caused by a novel frameshift glucocorticoid receptor mutation.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2010; </w:t>
      </w:r>
      <w:proofErr w:type="gramStart"/>
      <w:r w:rsidRPr="00E126EF">
        <w:rPr>
          <w:rFonts w:eastAsiaTheme="minorHAnsi" w:cstheme="minorBidi"/>
          <w:szCs w:val="22"/>
        </w:rPr>
        <w:t>95:E</w:t>
      </w:r>
      <w:proofErr w:type="gramEnd"/>
      <w:r w:rsidRPr="00E126EF">
        <w:rPr>
          <w:rFonts w:eastAsiaTheme="minorHAnsi" w:cstheme="minorBidi"/>
          <w:szCs w:val="22"/>
        </w:rPr>
        <w:t>490-E499</w:t>
      </w:r>
    </w:p>
    <w:p w14:paraId="64B4125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442.</w:t>
      </w:r>
      <w:r w:rsidRPr="00E126EF">
        <w:rPr>
          <w:rFonts w:eastAsiaTheme="minorHAnsi" w:cstheme="minorBidi"/>
          <w:szCs w:val="22"/>
        </w:rPr>
        <w:tab/>
        <w:t xml:space="preserve">Vitellius G, </w:t>
      </w:r>
      <w:proofErr w:type="spellStart"/>
      <w:r w:rsidRPr="00E126EF">
        <w:rPr>
          <w:rFonts w:eastAsiaTheme="minorHAnsi" w:cstheme="minorBidi"/>
          <w:szCs w:val="22"/>
        </w:rPr>
        <w:t>Delemer</w:t>
      </w:r>
      <w:proofErr w:type="spellEnd"/>
      <w:r w:rsidRPr="00E126EF">
        <w:rPr>
          <w:rFonts w:eastAsiaTheme="minorHAnsi" w:cstheme="minorBidi"/>
          <w:szCs w:val="22"/>
        </w:rPr>
        <w:t xml:space="preserve"> B, Caron P, </w:t>
      </w:r>
      <w:proofErr w:type="spellStart"/>
      <w:r w:rsidRPr="00E126EF">
        <w:rPr>
          <w:rFonts w:eastAsiaTheme="minorHAnsi" w:cstheme="minorBidi"/>
          <w:szCs w:val="22"/>
        </w:rPr>
        <w:t>Chabre</w:t>
      </w:r>
      <w:proofErr w:type="spellEnd"/>
      <w:r w:rsidRPr="00E126EF">
        <w:rPr>
          <w:rFonts w:eastAsiaTheme="minorHAnsi" w:cstheme="minorBidi"/>
          <w:szCs w:val="22"/>
        </w:rPr>
        <w:t xml:space="preserve"> O, Bouligand J, </w:t>
      </w:r>
      <w:proofErr w:type="spellStart"/>
      <w:r w:rsidRPr="00E126EF">
        <w:rPr>
          <w:rFonts w:eastAsiaTheme="minorHAnsi" w:cstheme="minorBidi"/>
          <w:szCs w:val="22"/>
        </w:rPr>
        <w:t>Pussard</w:t>
      </w:r>
      <w:proofErr w:type="spellEnd"/>
      <w:r w:rsidRPr="00E126EF">
        <w:rPr>
          <w:rFonts w:eastAsiaTheme="minorHAnsi" w:cstheme="minorBidi"/>
          <w:szCs w:val="22"/>
        </w:rPr>
        <w:t xml:space="preserve"> E, </w:t>
      </w:r>
      <w:proofErr w:type="spellStart"/>
      <w:r w:rsidRPr="00E126EF">
        <w:rPr>
          <w:rFonts w:eastAsiaTheme="minorHAnsi" w:cstheme="minorBidi"/>
          <w:szCs w:val="22"/>
        </w:rPr>
        <w:t>Trabado</w:t>
      </w:r>
      <w:proofErr w:type="spellEnd"/>
      <w:r w:rsidRPr="00E126EF">
        <w:rPr>
          <w:rFonts w:eastAsiaTheme="minorHAnsi" w:cstheme="minorBidi"/>
          <w:szCs w:val="22"/>
        </w:rPr>
        <w:t xml:space="preserve"> S, </w:t>
      </w:r>
      <w:proofErr w:type="spellStart"/>
      <w:r w:rsidRPr="00E126EF">
        <w:rPr>
          <w:rFonts w:eastAsiaTheme="minorHAnsi" w:cstheme="minorBidi"/>
          <w:szCs w:val="22"/>
        </w:rPr>
        <w:t>Lombes</w:t>
      </w:r>
      <w:proofErr w:type="spellEnd"/>
      <w:r w:rsidRPr="00E126EF">
        <w:rPr>
          <w:rFonts w:eastAsiaTheme="minorHAnsi" w:cstheme="minorBidi"/>
          <w:szCs w:val="22"/>
        </w:rPr>
        <w:t xml:space="preserve"> M. Impaired 11β-hydroxysteroid dehydrogenase type 2 in glucocorticoid-resistant patients. J Clin Endocrinol </w:t>
      </w:r>
      <w:proofErr w:type="spellStart"/>
      <w:r w:rsidRPr="00E126EF">
        <w:rPr>
          <w:rFonts w:eastAsiaTheme="minorHAnsi" w:cstheme="minorBidi"/>
          <w:szCs w:val="22"/>
        </w:rPr>
        <w:t>Metab</w:t>
      </w:r>
      <w:proofErr w:type="spellEnd"/>
      <w:r w:rsidRPr="00E126EF">
        <w:rPr>
          <w:rFonts w:eastAsiaTheme="minorHAnsi" w:cstheme="minorBidi"/>
          <w:szCs w:val="22"/>
        </w:rPr>
        <w:t>. 2019; 104:5205-5216</w:t>
      </w:r>
    </w:p>
    <w:p w14:paraId="6B2F911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443.</w:t>
      </w:r>
      <w:r w:rsidRPr="00E126EF">
        <w:rPr>
          <w:rFonts w:eastAsiaTheme="minorHAnsi" w:cstheme="minorBidi"/>
          <w:szCs w:val="22"/>
        </w:rPr>
        <w:tab/>
      </w:r>
      <w:proofErr w:type="spellStart"/>
      <w:r w:rsidRPr="00E126EF">
        <w:rPr>
          <w:rFonts w:eastAsiaTheme="minorHAnsi" w:cstheme="minorBidi"/>
          <w:szCs w:val="22"/>
        </w:rPr>
        <w:t>Molnár</w:t>
      </w:r>
      <w:proofErr w:type="spellEnd"/>
      <w:r w:rsidRPr="00E126EF">
        <w:rPr>
          <w:rFonts w:eastAsiaTheme="minorHAnsi" w:cstheme="minorBidi"/>
          <w:szCs w:val="22"/>
        </w:rPr>
        <w:t xml:space="preserve"> Á, </w:t>
      </w:r>
      <w:proofErr w:type="spellStart"/>
      <w:r w:rsidRPr="00E126EF">
        <w:rPr>
          <w:rFonts w:eastAsiaTheme="minorHAnsi" w:cstheme="minorBidi"/>
          <w:szCs w:val="22"/>
        </w:rPr>
        <w:t>Patócs</w:t>
      </w:r>
      <w:proofErr w:type="spellEnd"/>
      <w:r w:rsidRPr="00E126EF">
        <w:rPr>
          <w:rFonts w:eastAsiaTheme="minorHAnsi" w:cstheme="minorBidi"/>
          <w:szCs w:val="22"/>
        </w:rPr>
        <w:t xml:space="preserve"> A, </w:t>
      </w:r>
      <w:proofErr w:type="spellStart"/>
      <w:r w:rsidRPr="00E126EF">
        <w:rPr>
          <w:rFonts w:eastAsiaTheme="minorHAnsi" w:cstheme="minorBidi"/>
          <w:szCs w:val="22"/>
        </w:rPr>
        <w:t>Likó</w:t>
      </w:r>
      <w:proofErr w:type="spellEnd"/>
      <w:r w:rsidRPr="00E126EF">
        <w:rPr>
          <w:rFonts w:eastAsiaTheme="minorHAnsi" w:cstheme="minorBidi"/>
          <w:szCs w:val="22"/>
        </w:rPr>
        <w:t xml:space="preserve"> I, </w:t>
      </w:r>
      <w:proofErr w:type="spellStart"/>
      <w:r w:rsidRPr="00E126EF">
        <w:rPr>
          <w:rFonts w:eastAsiaTheme="minorHAnsi" w:cstheme="minorBidi"/>
          <w:szCs w:val="22"/>
        </w:rPr>
        <w:t>Nyírő</w:t>
      </w:r>
      <w:proofErr w:type="spellEnd"/>
      <w:r w:rsidRPr="00E126EF">
        <w:rPr>
          <w:rFonts w:eastAsiaTheme="minorHAnsi" w:cstheme="minorBidi"/>
          <w:szCs w:val="22"/>
        </w:rPr>
        <w:t xml:space="preserve"> G, </w:t>
      </w:r>
      <w:proofErr w:type="spellStart"/>
      <w:r w:rsidRPr="00E126EF">
        <w:rPr>
          <w:rFonts w:eastAsiaTheme="minorHAnsi" w:cstheme="minorBidi"/>
          <w:szCs w:val="22"/>
        </w:rPr>
        <w:t>Rácz</w:t>
      </w:r>
      <w:proofErr w:type="spellEnd"/>
      <w:r w:rsidRPr="00E126EF">
        <w:rPr>
          <w:rFonts w:eastAsiaTheme="minorHAnsi" w:cstheme="minorBidi"/>
          <w:szCs w:val="22"/>
        </w:rPr>
        <w:t xml:space="preserve"> K, </w:t>
      </w:r>
      <w:proofErr w:type="spellStart"/>
      <w:r w:rsidRPr="00E126EF">
        <w:rPr>
          <w:rFonts w:eastAsiaTheme="minorHAnsi" w:cstheme="minorBidi"/>
          <w:szCs w:val="22"/>
        </w:rPr>
        <w:t>Tóth</w:t>
      </w:r>
      <w:proofErr w:type="spellEnd"/>
      <w:r w:rsidRPr="00E126EF">
        <w:rPr>
          <w:rFonts w:eastAsiaTheme="minorHAnsi" w:cstheme="minorBidi"/>
          <w:szCs w:val="22"/>
        </w:rPr>
        <w:t xml:space="preserve"> M, </w:t>
      </w:r>
      <w:proofErr w:type="spellStart"/>
      <w:r w:rsidRPr="00E126EF">
        <w:rPr>
          <w:rFonts w:eastAsiaTheme="minorHAnsi" w:cstheme="minorBidi"/>
          <w:szCs w:val="22"/>
        </w:rPr>
        <w:t>Sármán</w:t>
      </w:r>
      <w:proofErr w:type="spellEnd"/>
      <w:r w:rsidRPr="00E126EF">
        <w:rPr>
          <w:rFonts w:eastAsiaTheme="minorHAnsi" w:cstheme="minorBidi"/>
          <w:szCs w:val="22"/>
        </w:rPr>
        <w:t xml:space="preserve"> B. An unexpected, mild phenotype of glucocorticoid resistance associated with glucocorticoid receptor gene mutation case report and review of the literature. BMC Med Genet. 2018; 19:37</w:t>
      </w:r>
    </w:p>
    <w:p w14:paraId="1ADDA7E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444.</w:t>
      </w:r>
      <w:r w:rsidRPr="00E126EF">
        <w:rPr>
          <w:rFonts w:eastAsiaTheme="minorHAnsi" w:cstheme="minorBidi"/>
          <w:szCs w:val="22"/>
        </w:rPr>
        <w:tab/>
        <w:t xml:space="preserve">Donner KM, </w:t>
      </w:r>
      <w:proofErr w:type="spellStart"/>
      <w:r w:rsidRPr="00E126EF">
        <w:rPr>
          <w:rFonts w:eastAsiaTheme="minorHAnsi" w:cstheme="minorBidi"/>
          <w:szCs w:val="22"/>
        </w:rPr>
        <w:t>Hiltunen</w:t>
      </w:r>
      <w:proofErr w:type="spellEnd"/>
      <w:r w:rsidRPr="00E126EF">
        <w:rPr>
          <w:rFonts w:eastAsiaTheme="minorHAnsi" w:cstheme="minorBidi"/>
          <w:szCs w:val="22"/>
        </w:rPr>
        <w:t xml:space="preserve"> TP, </w:t>
      </w:r>
      <w:proofErr w:type="spellStart"/>
      <w:r w:rsidRPr="00E126EF">
        <w:rPr>
          <w:rFonts w:eastAsiaTheme="minorHAnsi" w:cstheme="minorBidi"/>
          <w:szCs w:val="22"/>
        </w:rPr>
        <w:t>Jänne</w:t>
      </w:r>
      <w:proofErr w:type="spellEnd"/>
      <w:r w:rsidRPr="00E126EF">
        <w:rPr>
          <w:rFonts w:eastAsiaTheme="minorHAnsi" w:cstheme="minorBidi"/>
          <w:szCs w:val="22"/>
        </w:rPr>
        <w:t xml:space="preserve"> OA, Sane T, </w:t>
      </w:r>
      <w:proofErr w:type="spellStart"/>
      <w:r w:rsidRPr="00E126EF">
        <w:rPr>
          <w:rFonts w:eastAsiaTheme="minorHAnsi" w:cstheme="minorBidi"/>
          <w:szCs w:val="22"/>
        </w:rPr>
        <w:t>Kontula</w:t>
      </w:r>
      <w:proofErr w:type="spellEnd"/>
      <w:r w:rsidRPr="00E126EF">
        <w:rPr>
          <w:rFonts w:eastAsiaTheme="minorHAnsi" w:cstheme="minorBidi"/>
          <w:szCs w:val="22"/>
        </w:rPr>
        <w:t xml:space="preserve"> K. Generalized glucocorticoid resistance caused by a novel two-nucleotide deletion in the hormone-binding domain of the glucocorticoid receptor gene NR3C1. Eur J Endocrinol. 2012; </w:t>
      </w:r>
      <w:proofErr w:type="gramStart"/>
      <w:r w:rsidRPr="00E126EF">
        <w:rPr>
          <w:rFonts w:eastAsiaTheme="minorHAnsi" w:cstheme="minorBidi"/>
          <w:szCs w:val="22"/>
        </w:rPr>
        <w:t>168:K</w:t>
      </w:r>
      <w:proofErr w:type="gramEnd"/>
      <w:r w:rsidRPr="00E126EF">
        <w:rPr>
          <w:rFonts w:eastAsiaTheme="minorHAnsi" w:cstheme="minorBidi"/>
          <w:szCs w:val="22"/>
        </w:rPr>
        <w:t>9-K18</w:t>
      </w:r>
    </w:p>
    <w:p w14:paraId="447EF14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445.</w:t>
      </w:r>
      <w:r w:rsidRPr="00E126EF">
        <w:rPr>
          <w:rFonts w:eastAsiaTheme="minorHAnsi" w:cstheme="minorBidi"/>
          <w:szCs w:val="22"/>
        </w:rPr>
        <w:tab/>
      </w:r>
      <w:proofErr w:type="spellStart"/>
      <w:r w:rsidRPr="00E126EF">
        <w:rPr>
          <w:rFonts w:eastAsiaTheme="minorHAnsi" w:cstheme="minorBidi"/>
          <w:szCs w:val="22"/>
        </w:rPr>
        <w:t>Murani</w:t>
      </w:r>
      <w:proofErr w:type="spellEnd"/>
      <w:r w:rsidRPr="00E126EF">
        <w:rPr>
          <w:rFonts w:eastAsiaTheme="minorHAnsi" w:cstheme="minorBidi"/>
          <w:szCs w:val="22"/>
        </w:rPr>
        <w:t xml:space="preserve"> E, </w:t>
      </w:r>
      <w:proofErr w:type="spellStart"/>
      <w:r w:rsidRPr="00E126EF">
        <w:rPr>
          <w:rFonts w:eastAsiaTheme="minorHAnsi" w:cstheme="minorBidi"/>
          <w:szCs w:val="22"/>
        </w:rPr>
        <w:t>Reyer</w:t>
      </w:r>
      <w:proofErr w:type="spellEnd"/>
      <w:r w:rsidRPr="00E126EF">
        <w:rPr>
          <w:rFonts w:eastAsiaTheme="minorHAnsi" w:cstheme="minorBidi"/>
          <w:szCs w:val="22"/>
        </w:rPr>
        <w:t xml:space="preserve"> H, </w:t>
      </w:r>
      <w:proofErr w:type="spellStart"/>
      <w:r w:rsidRPr="00E126EF">
        <w:rPr>
          <w:rFonts w:eastAsiaTheme="minorHAnsi" w:cstheme="minorBidi"/>
          <w:szCs w:val="22"/>
        </w:rPr>
        <w:t>Ponsuksili</w:t>
      </w:r>
      <w:proofErr w:type="spellEnd"/>
      <w:r w:rsidRPr="00E126EF">
        <w:rPr>
          <w:rFonts w:eastAsiaTheme="minorHAnsi" w:cstheme="minorBidi"/>
          <w:szCs w:val="22"/>
        </w:rPr>
        <w:t xml:space="preserve"> S, </w:t>
      </w:r>
      <w:proofErr w:type="spellStart"/>
      <w:r w:rsidRPr="00E126EF">
        <w:rPr>
          <w:rFonts w:eastAsiaTheme="minorHAnsi" w:cstheme="minorBidi"/>
          <w:szCs w:val="22"/>
        </w:rPr>
        <w:t>Fritschka</w:t>
      </w:r>
      <w:proofErr w:type="spellEnd"/>
      <w:r w:rsidRPr="00E126EF">
        <w:rPr>
          <w:rFonts w:eastAsiaTheme="minorHAnsi" w:cstheme="minorBidi"/>
          <w:szCs w:val="22"/>
        </w:rPr>
        <w:t xml:space="preserve"> S, </w:t>
      </w:r>
      <w:proofErr w:type="spellStart"/>
      <w:r w:rsidRPr="00E126EF">
        <w:rPr>
          <w:rFonts w:eastAsiaTheme="minorHAnsi" w:cstheme="minorBidi"/>
          <w:szCs w:val="22"/>
        </w:rPr>
        <w:t>Wimmers</w:t>
      </w:r>
      <w:proofErr w:type="spellEnd"/>
      <w:r w:rsidRPr="00E126EF">
        <w:rPr>
          <w:rFonts w:eastAsiaTheme="minorHAnsi" w:cstheme="minorBidi"/>
          <w:szCs w:val="22"/>
        </w:rPr>
        <w:t xml:space="preserve"> K. A substitution in the ligand binding domain of the porcine glucocorticoid receptor affects activity of the adrenal gland.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2012; </w:t>
      </w:r>
      <w:proofErr w:type="gramStart"/>
      <w:r w:rsidRPr="00E126EF">
        <w:rPr>
          <w:rFonts w:eastAsiaTheme="minorHAnsi" w:cstheme="minorBidi"/>
          <w:szCs w:val="22"/>
        </w:rPr>
        <w:t>7:e</w:t>
      </w:r>
      <w:proofErr w:type="gramEnd"/>
      <w:r w:rsidRPr="00E126EF">
        <w:rPr>
          <w:rFonts w:eastAsiaTheme="minorHAnsi" w:cstheme="minorBidi"/>
          <w:szCs w:val="22"/>
        </w:rPr>
        <w:t>45518</w:t>
      </w:r>
    </w:p>
    <w:p w14:paraId="54FC138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446.</w:t>
      </w:r>
      <w:r w:rsidRPr="00E126EF">
        <w:rPr>
          <w:rFonts w:eastAsiaTheme="minorHAnsi" w:cstheme="minorBidi"/>
          <w:szCs w:val="22"/>
        </w:rPr>
        <w:tab/>
        <w:t>Kino T. Single Nucleotide Variations of the Human GR Gene Manifested as Pathologic Mutations or Polymorphisms. Endocrinology. 2018; 159(7):2506-2519</w:t>
      </w:r>
    </w:p>
    <w:p w14:paraId="6585115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447.</w:t>
      </w:r>
      <w:r w:rsidRPr="00E126EF">
        <w:rPr>
          <w:rFonts w:eastAsiaTheme="minorHAnsi" w:cstheme="minorBidi"/>
          <w:szCs w:val="22"/>
        </w:rPr>
        <w:tab/>
      </w:r>
      <w:proofErr w:type="spellStart"/>
      <w:r w:rsidRPr="00E126EF">
        <w:rPr>
          <w:rFonts w:eastAsiaTheme="minorHAnsi" w:cstheme="minorBidi"/>
          <w:szCs w:val="22"/>
        </w:rPr>
        <w:t>Rosmond</w:t>
      </w:r>
      <w:proofErr w:type="spellEnd"/>
      <w:r w:rsidRPr="00E126EF">
        <w:rPr>
          <w:rFonts w:eastAsiaTheme="minorHAnsi" w:cstheme="minorBidi"/>
          <w:szCs w:val="22"/>
        </w:rPr>
        <w:t xml:space="preserve"> R, Bouchard C, </w:t>
      </w:r>
      <w:proofErr w:type="spellStart"/>
      <w:r w:rsidRPr="00E126EF">
        <w:rPr>
          <w:rFonts w:eastAsiaTheme="minorHAnsi" w:cstheme="minorBidi"/>
          <w:szCs w:val="22"/>
        </w:rPr>
        <w:t>Bjorntorp</w:t>
      </w:r>
      <w:proofErr w:type="spellEnd"/>
      <w:r w:rsidRPr="00E126EF">
        <w:rPr>
          <w:rFonts w:eastAsiaTheme="minorHAnsi" w:cstheme="minorBidi"/>
          <w:szCs w:val="22"/>
        </w:rPr>
        <w:t xml:space="preserve"> P. Tsp509I polymorphism in exon 2 of the glucocorticoid receptor gene in relation to obesity and cortisol secretion: cohort study. BMJ 2001; 322:652-653</w:t>
      </w:r>
    </w:p>
    <w:p w14:paraId="3CF7B39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448.</w:t>
      </w:r>
      <w:r w:rsidRPr="00E126EF">
        <w:rPr>
          <w:rFonts w:eastAsiaTheme="minorHAnsi" w:cstheme="minorBidi"/>
          <w:szCs w:val="22"/>
        </w:rPr>
        <w:tab/>
        <w:t xml:space="preserve">Huizenga NA, Koper JW, De Lange P, Pols HA, </w:t>
      </w:r>
      <w:proofErr w:type="spellStart"/>
      <w:r w:rsidRPr="00E126EF">
        <w:rPr>
          <w:rFonts w:eastAsiaTheme="minorHAnsi" w:cstheme="minorBidi"/>
          <w:szCs w:val="22"/>
        </w:rPr>
        <w:t>Stolk</w:t>
      </w:r>
      <w:proofErr w:type="spellEnd"/>
      <w:r w:rsidRPr="00E126EF">
        <w:rPr>
          <w:rFonts w:eastAsiaTheme="minorHAnsi" w:cstheme="minorBidi"/>
          <w:szCs w:val="22"/>
        </w:rPr>
        <w:t xml:space="preserve"> RP, Burger H, </w:t>
      </w:r>
      <w:proofErr w:type="spellStart"/>
      <w:r w:rsidRPr="00E126EF">
        <w:rPr>
          <w:rFonts w:eastAsiaTheme="minorHAnsi" w:cstheme="minorBidi"/>
          <w:szCs w:val="22"/>
        </w:rPr>
        <w:t>Grobbee</w:t>
      </w:r>
      <w:proofErr w:type="spellEnd"/>
      <w:r w:rsidRPr="00E126EF">
        <w:rPr>
          <w:rFonts w:eastAsiaTheme="minorHAnsi" w:cstheme="minorBidi"/>
          <w:szCs w:val="22"/>
        </w:rPr>
        <w:t xml:space="preserve"> DE, Brinkmann AO, De Jong FH, Lamberts SW. A polymorphism in the glucocorticoid receptor gene may be associated with and increased sensitivity to glucocorticoids in vivo.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1998; 83:144-151</w:t>
      </w:r>
    </w:p>
    <w:p w14:paraId="05B07D8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449.</w:t>
      </w:r>
      <w:r w:rsidRPr="00E126EF">
        <w:rPr>
          <w:rFonts w:eastAsiaTheme="minorHAnsi" w:cstheme="minorBidi"/>
          <w:szCs w:val="22"/>
        </w:rPr>
        <w:tab/>
        <w:t xml:space="preserve">Dobson MG, Redfern CP, Unwin N, Weaver JU. The N363S polymorphism of the glucocorticoid receptor: potential contribution to central obesity in men and lack of association with other risk factors for coronary heart disease and diabetes mellitus.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2001; 86:2270-2274</w:t>
      </w:r>
    </w:p>
    <w:p w14:paraId="5ECD1C5B"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450.</w:t>
      </w:r>
      <w:r w:rsidRPr="00E126EF">
        <w:rPr>
          <w:rFonts w:eastAsiaTheme="minorHAnsi" w:cstheme="minorBidi"/>
          <w:szCs w:val="22"/>
        </w:rPr>
        <w:tab/>
      </w:r>
      <w:proofErr w:type="spellStart"/>
      <w:r w:rsidRPr="00E126EF">
        <w:rPr>
          <w:rFonts w:eastAsiaTheme="minorHAnsi" w:cstheme="minorBidi"/>
          <w:szCs w:val="22"/>
        </w:rPr>
        <w:t>Russcher</w:t>
      </w:r>
      <w:proofErr w:type="spellEnd"/>
      <w:r w:rsidRPr="00E126EF">
        <w:rPr>
          <w:rFonts w:eastAsiaTheme="minorHAnsi" w:cstheme="minorBidi"/>
          <w:szCs w:val="22"/>
        </w:rPr>
        <w:t xml:space="preserve"> H, van Rossum EF, de Jong FH, Brinkmann AO, Lamberts SW, Koper JW. Increased expression of the glucocorticoid receptor-A translational isoform as a result of the ER22/23EK polymorphism. Mol Endocrinol 2005; 19:1687-1696</w:t>
      </w:r>
    </w:p>
    <w:p w14:paraId="7DC5A73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451.</w:t>
      </w:r>
      <w:r w:rsidRPr="00E126EF">
        <w:rPr>
          <w:rFonts w:eastAsiaTheme="minorHAnsi" w:cstheme="minorBidi"/>
          <w:szCs w:val="22"/>
        </w:rPr>
        <w:tab/>
        <w:t xml:space="preserve">van Rossum EF, </w:t>
      </w:r>
      <w:proofErr w:type="spellStart"/>
      <w:r w:rsidRPr="00E126EF">
        <w:rPr>
          <w:rFonts w:eastAsiaTheme="minorHAnsi" w:cstheme="minorBidi"/>
          <w:szCs w:val="22"/>
        </w:rPr>
        <w:t>Voorhoeve</w:t>
      </w:r>
      <w:proofErr w:type="spellEnd"/>
      <w:r w:rsidRPr="00E126EF">
        <w:rPr>
          <w:rFonts w:eastAsiaTheme="minorHAnsi" w:cstheme="minorBidi"/>
          <w:szCs w:val="22"/>
        </w:rPr>
        <w:t xml:space="preserve"> PG, </w:t>
      </w:r>
      <w:proofErr w:type="spellStart"/>
      <w:r w:rsidRPr="00E126EF">
        <w:rPr>
          <w:rFonts w:eastAsiaTheme="minorHAnsi" w:cstheme="minorBidi"/>
          <w:szCs w:val="22"/>
        </w:rPr>
        <w:t>te</w:t>
      </w:r>
      <w:proofErr w:type="spellEnd"/>
      <w:r w:rsidRPr="00E126EF">
        <w:rPr>
          <w:rFonts w:eastAsiaTheme="minorHAnsi" w:cstheme="minorBidi"/>
          <w:szCs w:val="22"/>
        </w:rPr>
        <w:t xml:space="preserve"> Velde SJ, Koper JW, </w:t>
      </w:r>
      <w:proofErr w:type="spellStart"/>
      <w:r w:rsidRPr="00E126EF">
        <w:rPr>
          <w:rFonts w:eastAsiaTheme="minorHAnsi" w:cstheme="minorBidi"/>
          <w:szCs w:val="22"/>
        </w:rPr>
        <w:t>Delemarre</w:t>
      </w:r>
      <w:proofErr w:type="spellEnd"/>
      <w:r w:rsidRPr="00E126EF">
        <w:rPr>
          <w:rFonts w:eastAsiaTheme="minorHAnsi" w:cstheme="minorBidi"/>
          <w:szCs w:val="22"/>
        </w:rPr>
        <w:t xml:space="preserve">-van de Waal HA, Kemper HC, Lamberts SW. The ER22/23EK polymorphism in the glucocorticoid receptor gene is associated with a beneficial body composition and muscle strength in young adults.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2004; 89:4004-4009</w:t>
      </w:r>
    </w:p>
    <w:p w14:paraId="22AE141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452.</w:t>
      </w:r>
      <w:r w:rsidRPr="00E126EF">
        <w:rPr>
          <w:rFonts w:eastAsiaTheme="minorHAnsi" w:cstheme="minorBidi"/>
          <w:szCs w:val="22"/>
        </w:rPr>
        <w:tab/>
        <w:t xml:space="preserve">van Rossum EF, Koper JW, Huizenga NA, </w:t>
      </w:r>
      <w:proofErr w:type="spellStart"/>
      <w:r w:rsidRPr="00E126EF">
        <w:rPr>
          <w:rFonts w:eastAsiaTheme="minorHAnsi" w:cstheme="minorBidi"/>
          <w:szCs w:val="22"/>
        </w:rPr>
        <w:t>Uitterlinden</w:t>
      </w:r>
      <w:proofErr w:type="spellEnd"/>
      <w:r w:rsidRPr="00E126EF">
        <w:rPr>
          <w:rFonts w:eastAsiaTheme="minorHAnsi" w:cstheme="minorBidi"/>
          <w:szCs w:val="22"/>
        </w:rPr>
        <w:t xml:space="preserve"> AG, Janssen JA, Brinkmann AO, </w:t>
      </w:r>
      <w:proofErr w:type="spellStart"/>
      <w:r w:rsidRPr="00E126EF">
        <w:rPr>
          <w:rFonts w:eastAsiaTheme="minorHAnsi" w:cstheme="minorBidi"/>
          <w:szCs w:val="22"/>
        </w:rPr>
        <w:t>Grobbee</w:t>
      </w:r>
      <w:proofErr w:type="spellEnd"/>
      <w:r w:rsidRPr="00E126EF">
        <w:rPr>
          <w:rFonts w:eastAsiaTheme="minorHAnsi" w:cstheme="minorBidi"/>
          <w:szCs w:val="22"/>
        </w:rPr>
        <w:t xml:space="preserve"> DE, de Jong FH, van </w:t>
      </w:r>
      <w:proofErr w:type="spellStart"/>
      <w:r w:rsidRPr="00E126EF">
        <w:rPr>
          <w:rFonts w:eastAsiaTheme="minorHAnsi" w:cstheme="minorBidi"/>
          <w:szCs w:val="22"/>
        </w:rPr>
        <w:t>Duyn</w:t>
      </w:r>
      <w:proofErr w:type="spellEnd"/>
      <w:r w:rsidRPr="00E126EF">
        <w:rPr>
          <w:rFonts w:eastAsiaTheme="minorHAnsi" w:cstheme="minorBidi"/>
          <w:szCs w:val="22"/>
        </w:rPr>
        <w:t xml:space="preserve"> CM, Pols HA, Lamberts SW. A polymorphism in the glucocorticoid receptor gene, which decreases sensitivity to glucocorticoids in vivo, is associated with low insulin and cholesterol levels. Diabetes 2002; 51:3128-3134</w:t>
      </w:r>
    </w:p>
    <w:p w14:paraId="0B44DDDE"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453.</w:t>
      </w:r>
      <w:r w:rsidRPr="00E126EF">
        <w:rPr>
          <w:rFonts w:eastAsiaTheme="minorHAnsi" w:cstheme="minorBidi"/>
          <w:szCs w:val="22"/>
        </w:rPr>
        <w:tab/>
        <w:t xml:space="preserve">van der </w:t>
      </w:r>
      <w:proofErr w:type="spellStart"/>
      <w:r w:rsidRPr="00E126EF">
        <w:rPr>
          <w:rFonts w:eastAsiaTheme="minorHAnsi" w:cstheme="minorBidi"/>
          <w:szCs w:val="22"/>
        </w:rPr>
        <w:t>Voorn</w:t>
      </w:r>
      <w:proofErr w:type="spellEnd"/>
      <w:r w:rsidRPr="00E126EF">
        <w:rPr>
          <w:rFonts w:eastAsiaTheme="minorHAnsi" w:cstheme="minorBidi"/>
          <w:szCs w:val="22"/>
        </w:rPr>
        <w:t xml:space="preserve"> B, Wit JM, van der Pal SM, </w:t>
      </w:r>
      <w:proofErr w:type="spellStart"/>
      <w:r w:rsidRPr="00E126EF">
        <w:rPr>
          <w:rFonts w:eastAsiaTheme="minorHAnsi" w:cstheme="minorBidi"/>
          <w:szCs w:val="22"/>
        </w:rPr>
        <w:t>Rotteveel</w:t>
      </w:r>
      <w:proofErr w:type="spellEnd"/>
      <w:r w:rsidRPr="00E126EF">
        <w:rPr>
          <w:rFonts w:eastAsiaTheme="minorHAnsi" w:cstheme="minorBidi"/>
          <w:szCs w:val="22"/>
        </w:rPr>
        <w:t xml:space="preserve"> J, </w:t>
      </w:r>
      <w:proofErr w:type="spellStart"/>
      <w:r w:rsidRPr="00E126EF">
        <w:rPr>
          <w:rFonts w:eastAsiaTheme="minorHAnsi" w:cstheme="minorBidi"/>
          <w:szCs w:val="22"/>
        </w:rPr>
        <w:t>Finken</w:t>
      </w:r>
      <w:proofErr w:type="spellEnd"/>
      <w:r w:rsidRPr="00E126EF">
        <w:rPr>
          <w:rFonts w:eastAsiaTheme="minorHAnsi" w:cstheme="minorBidi"/>
          <w:szCs w:val="22"/>
        </w:rPr>
        <w:t xml:space="preserve"> MJ. Antenatal glucocorticoid treatment and polymorphisms of the glucocorticoid and mineralocorticoid receptors are associated with IQ and behavior in young adults born very preterm.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2015; 100:500-507</w:t>
      </w:r>
    </w:p>
    <w:p w14:paraId="6C0053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454.</w:t>
      </w:r>
      <w:r w:rsidRPr="00E126EF">
        <w:rPr>
          <w:rFonts w:eastAsiaTheme="minorHAnsi" w:cstheme="minorBidi"/>
          <w:szCs w:val="22"/>
        </w:rPr>
        <w:tab/>
        <w:t xml:space="preserve">van Rossum EF, Koper JW, van den </w:t>
      </w:r>
      <w:proofErr w:type="spellStart"/>
      <w:r w:rsidRPr="00E126EF">
        <w:rPr>
          <w:rFonts w:eastAsiaTheme="minorHAnsi" w:cstheme="minorBidi"/>
          <w:szCs w:val="22"/>
        </w:rPr>
        <w:t>Beld</w:t>
      </w:r>
      <w:proofErr w:type="spellEnd"/>
      <w:r w:rsidRPr="00E126EF">
        <w:rPr>
          <w:rFonts w:eastAsiaTheme="minorHAnsi" w:cstheme="minorBidi"/>
          <w:szCs w:val="22"/>
        </w:rPr>
        <w:t xml:space="preserve"> AW, </w:t>
      </w:r>
      <w:proofErr w:type="spellStart"/>
      <w:r w:rsidRPr="00E126EF">
        <w:rPr>
          <w:rFonts w:eastAsiaTheme="minorHAnsi" w:cstheme="minorBidi"/>
          <w:szCs w:val="22"/>
        </w:rPr>
        <w:t>Uitterlinden</w:t>
      </w:r>
      <w:proofErr w:type="spellEnd"/>
      <w:r w:rsidRPr="00E126EF">
        <w:rPr>
          <w:rFonts w:eastAsiaTheme="minorHAnsi" w:cstheme="minorBidi"/>
          <w:szCs w:val="22"/>
        </w:rPr>
        <w:t xml:space="preserve"> AG, Arp P, Ester W, Janssen JA, Brinkmann AO, de Jong FH, </w:t>
      </w:r>
      <w:proofErr w:type="spellStart"/>
      <w:r w:rsidRPr="00E126EF">
        <w:rPr>
          <w:rFonts w:eastAsiaTheme="minorHAnsi" w:cstheme="minorBidi"/>
          <w:szCs w:val="22"/>
        </w:rPr>
        <w:t>Grobbee</w:t>
      </w:r>
      <w:proofErr w:type="spellEnd"/>
      <w:r w:rsidRPr="00E126EF">
        <w:rPr>
          <w:rFonts w:eastAsiaTheme="minorHAnsi" w:cstheme="minorBidi"/>
          <w:szCs w:val="22"/>
        </w:rPr>
        <w:t xml:space="preserve"> DE, Pols HA, Lamberts SW. Identification of the BclI polymorphism in the glucocorticoid receptor gene: association with sensitivity to glucocorticoids in vivo and body mass index. Clin Endocrinol (</w:t>
      </w:r>
      <w:proofErr w:type="spellStart"/>
      <w:r w:rsidRPr="00E126EF">
        <w:rPr>
          <w:rFonts w:eastAsiaTheme="minorHAnsi" w:cstheme="minorBidi"/>
          <w:szCs w:val="22"/>
        </w:rPr>
        <w:t>Oxf</w:t>
      </w:r>
      <w:proofErr w:type="spellEnd"/>
      <w:r w:rsidRPr="00E126EF">
        <w:rPr>
          <w:rFonts w:eastAsiaTheme="minorHAnsi" w:cstheme="minorBidi"/>
          <w:szCs w:val="22"/>
        </w:rPr>
        <w:t>) 2003; 59:585-592</w:t>
      </w:r>
    </w:p>
    <w:p w14:paraId="63953A5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455.</w:t>
      </w:r>
      <w:r w:rsidRPr="00E126EF">
        <w:rPr>
          <w:rFonts w:eastAsiaTheme="minorHAnsi" w:cstheme="minorBidi"/>
          <w:szCs w:val="22"/>
        </w:rPr>
        <w:tab/>
      </w:r>
      <w:proofErr w:type="spellStart"/>
      <w:r w:rsidRPr="00E126EF">
        <w:rPr>
          <w:rFonts w:eastAsiaTheme="minorHAnsi" w:cstheme="minorBidi"/>
          <w:szCs w:val="22"/>
        </w:rPr>
        <w:t>Manenschijn</w:t>
      </w:r>
      <w:proofErr w:type="spellEnd"/>
      <w:r w:rsidRPr="00E126EF">
        <w:rPr>
          <w:rFonts w:eastAsiaTheme="minorHAnsi" w:cstheme="minorBidi"/>
          <w:szCs w:val="22"/>
        </w:rPr>
        <w:t xml:space="preserve"> L, van den Akker EL, Lamberts SW, van Rossum EF. Clinical features associated with glucocorticoid receptor polymorphisms. An overview. Ann N Y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2009; 1179:179-198</w:t>
      </w:r>
    </w:p>
    <w:p w14:paraId="6EEC7A1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456.</w:t>
      </w:r>
      <w:r w:rsidRPr="00E126EF">
        <w:rPr>
          <w:rFonts w:eastAsiaTheme="minorHAnsi" w:cstheme="minorBidi"/>
          <w:szCs w:val="22"/>
        </w:rPr>
        <w:tab/>
        <w:t xml:space="preserve">van </w:t>
      </w:r>
      <w:proofErr w:type="spellStart"/>
      <w:r w:rsidRPr="00E126EF">
        <w:rPr>
          <w:rFonts w:eastAsiaTheme="minorHAnsi" w:cstheme="minorBidi"/>
          <w:szCs w:val="22"/>
        </w:rPr>
        <w:t>Moorsel</w:t>
      </w:r>
      <w:proofErr w:type="spellEnd"/>
      <w:r w:rsidRPr="00E126EF">
        <w:rPr>
          <w:rFonts w:eastAsiaTheme="minorHAnsi" w:cstheme="minorBidi"/>
          <w:szCs w:val="22"/>
        </w:rPr>
        <w:t xml:space="preserve"> D, van </w:t>
      </w:r>
      <w:proofErr w:type="spellStart"/>
      <w:r w:rsidRPr="00E126EF">
        <w:rPr>
          <w:rFonts w:eastAsiaTheme="minorHAnsi" w:cstheme="minorBidi"/>
          <w:szCs w:val="22"/>
        </w:rPr>
        <w:t>Greevenbroek</w:t>
      </w:r>
      <w:proofErr w:type="spellEnd"/>
      <w:r w:rsidRPr="00E126EF">
        <w:rPr>
          <w:rFonts w:eastAsiaTheme="minorHAnsi" w:cstheme="minorBidi"/>
          <w:szCs w:val="22"/>
        </w:rPr>
        <w:t xml:space="preserve"> MM, Schaper NC, Henry RM, </w:t>
      </w:r>
      <w:proofErr w:type="spellStart"/>
      <w:r w:rsidRPr="00E126EF">
        <w:rPr>
          <w:rFonts w:eastAsiaTheme="minorHAnsi" w:cstheme="minorBidi"/>
          <w:szCs w:val="22"/>
        </w:rPr>
        <w:t>Geelen</w:t>
      </w:r>
      <w:proofErr w:type="spellEnd"/>
      <w:r w:rsidRPr="00E126EF">
        <w:rPr>
          <w:rFonts w:eastAsiaTheme="minorHAnsi" w:cstheme="minorBidi"/>
          <w:szCs w:val="22"/>
        </w:rPr>
        <w:t xml:space="preserve"> CC, van Rossum EF, </w:t>
      </w:r>
      <w:proofErr w:type="spellStart"/>
      <w:r w:rsidRPr="00E126EF">
        <w:rPr>
          <w:rFonts w:eastAsiaTheme="minorHAnsi" w:cstheme="minorBidi"/>
          <w:szCs w:val="22"/>
        </w:rPr>
        <w:t>Nijpels</w:t>
      </w:r>
      <w:proofErr w:type="spellEnd"/>
      <w:r w:rsidRPr="00E126EF">
        <w:rPr>
          <w:rFonts w:eastAsiaTheme="minorHAnsi" w:cstheme="minorBidi"/>
          <w:szCs w:val="22"/>
        </w:rPr>
        <w:t xml:space="preserve"> G, t Hart LM, </w:t>
      </w:r>
      <w:proofErr w:type="spellStart"/>
      <w:r w:rsidRPr="00E126EF">
        <w:rPr>
          <w:rFonts w:eastAsiaTheme="minorHAnsi" w:cstheme="minorBidi"/>
          <w:szCs w:val="22"/>
        </w:rPr>
        <w:t>Schalkwijk</w:t>
      </w:r>
      <w:proofErr w:type="spellEnd"/>
      <w:r w:rsidRPr="00E126EF">
        <w:rPr>
          <w:rFonts w:eastAsiaTheme="minorHAnsi" w:cstheme="minorBidi"/>
          <w:szCs w:val="22"/>
        </w:rPr>
        <w:t xml:space="preserve"> CG, van der </w:t>
      </w:r>
      <w:proofErr w:type="spellStart"/>
      <w:r w:rsidRPr="00E126EF">
        <w:rPr>
          <w:rFonts w:eastAsiaTheme="minorHAnsi" w:cstheme="minorBidi"/>
          <w:szCs w:val="22"/>
        </w:rPr>
        <w:t>Kallen</w:t>
      </w:r>
      <w:proofErr w:type="spellEnd"/>
      <w:r w:rsidRPr="00E126EF">
        <w:rPr>
          <w:rFonts w:eastAsiaTheme="minorHAnsi" w:cstheme="minorBidi"/>
          <w:szCs w:val="22"/>
        </w:rPr>
        <w:t xml:space="preserve"> CJ, </w:t>
      </w:r>
      <w:proofErr w:type="spellStart"/>
      <w:r w:rsidRPr="00E126EF">
        <w:rPr>
          <w:rFonts w:eastAsiaTheme="minorHAnsi" w:cstheme="minorBidi"/>
          <w:szCs w:val="22"/>
        </w:rPr>
        <w:t>Sauerwein</w:t>
      </w:r>
      <w:proofErr w:type="spellEnd"/>
      <w:r w:rsidRPr="00E126EF">
        <w:rPr>
          <w:rFonts w:eastAsiaTheme="minorHAnsi" w:cstheme="minorBidi"/>
          <w:szCs w:val="22"/>
        </w:rPr>
        <w:t xml:space="preserve"> HP, Dekker JM, </w:t>
      </w:r>
      <w:proofErr w:type="spellStart"/>
      <w:r w:rsidRPr="00E126EF">
        <w:rPr>
          <w:rFonts w:eastAsiaTheme="minorHAnsi" w:cstheme="minorBidi"/>
          <w:szCs w:val="22"/>
        </w:rPr>
        <w:t>Stehouwer</w:t>
      </w:r>
      <w:proofErr w:type="spellEnd"/>
      <w:r w:rsidRPr="00E126EF">
        <w:rPr>
          <w:rFonts w:eastAsiaTheme="minorHAnsi" w:cstheme="minorBidi"/>
          <w:szCs w:val="22"/>
        </w:rPr>
        <w:t xml:space="preserve"> CD, </w:t>
      </w:r>
      <w:proofErr w:type="spellStart"/>
      <w:r w:rsidRPr="00E126EF">
        <w:rPr>
          <w:rFonts w:eastAsiaTheme="minorHAnsi" w:cstheme="minorBidi"/>
          <w:szCs w:val="22"/>
        </w:rPr>
        <w:t>Havekes</w:t>
      </w:r>
      <w:proofErr w:type="spellEnd"/>
      <w:r w:rsidRPr="00E126EF">
        <w:rPr>
          <w:rFonts w:eastAsiaTheme="minorHAnsi" w:cstheme="minorBidi"/>
          <w:szCs w:val="22"/>
        </w:rPr>
        <w:t xml:space="preserve"> B. BclI glucocorticoid receptor polymorphism in relation to cardiovascular variables: the Hoorn and CODAM studies. Eur J Endocrinol 2015; 173:455-464</w:t>
      </w:r>
    </w:p>
    <w:p w14:paraId="0113C32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457.</w:t>
      </w:r>
      <w:r w:rsidRPr="00E126EF">
        <w:rPr>
          <w:rFonts w:eastAsiaTheme="minorHAnsi" w:cstheme="minorBidi"/>
          <w:szCs w:val="22"/>
        </w:rPr>
        <w:tab/>
      </w:r>
      <w:proofErr w:type="spellStart"/>
      <w:r w:rsidRPr="00E126EF">
        <w:rPr>
          <w:rFonts w:eastAsiaTheme="minorHAnsi" w:cstheme="minorBidi"/>
          <w:szCs w:val="22"/>
        </w:rPr>
        <w:t>Koetz</w:t>
      </w:r>
      <w:proofErr w:type="spellEnd"/>
      <w:r w:rsidRPr="00E126EF">
        <w:rPr>
          <w:rFonts w:eastAsiaTheme="minorHAnsi" w:cstheme="minorBidi"/>
          <w:szCs w:val="22"/>
        </w:rPr>
        <w:t xml:space="preserve"> KR, van Rossum EF, </w:t>
      </w:r>
      <w:proofErr w:type="spellStart"/>
      <w:r w:rsidRPr="00E126EF">
        <w:rPr>
          <w:rFonts w:eastAsiaTheme="minorHAnsi" w:cstheme="minorBidi"/>
          <w:szCs w:val="22"/>
        </w:rPr>
        <w:t>Ventz</w:t>
      </w:r>
      <w:proofErr w:type="spellEnd"/>
      <w:r w:rsidRPr="00E126EF">
        <w:rPr>
          <w:rFonts w:eastAsiaTheme="minorHAnsi" w:cstheme="minorBidi"/>
          <w:szCs w:val="22"/>
        </w:rPr>
        <w:t xml:space="preserve"> M, </w:t>
      </w:r>
      <w:proofErr w:type="spellStart"/>
      <w:r w:rsidRPr="00E126EF">
        <w:rPr>
          <w:rFonts w:eastAsiaTheme="minorHAnsi" w:cstheme="minorBidi"/>
          <w:szCs w:val="22"/>
        </w:rPr>
        <w:t>Diederich</w:t>
      </w:r>
      <w:proofErr w:type="spellEnd"/>
      <w:r w:rsidRPr="00E126EF">
        <w:rPr>
          <w:rFonts w:eastAsiaTheme="minorHAnsi" w:cstheme="minorBidi"/>
          <w:szCs w:val="22"/>
        </w:rPr>
        <w:t xml:space="preserve"> S, </w:t>
      </w:r>
      <w:proofErr w:type="spellStart"/>
      <w:r w:rsidRPr="00E126EF">
        <w:rPr>
          <w:rFonts w:eastAsiaTheme="minorHAnsi" w:cstheme="minorBidi"/>
          <w:szCs w:val="22"/>
        </w:rPr>
        <w:t>Quinkler</w:t>
      </w:r>
      <w:proofErr w:type="spellEnd"/>
      <w:r w:rsidRPr="00E126EF">
        <w:rPr>
          <w:rFonts w:eastAsiaTheme="minorHAnsi" w:cstheme="minorBidi"/>
          <w:szCs w:val="22"/>
        </w:rPr>
        <w:t xml:space="preserve"> M. BclI polymorphism of the glucocorticoid receptor gene is associated with increased bone resorption in patients on glucocorticoid replacement therapy. Clin Endocrinol (</w:t>
      </w:r>
      <w:proofErr w:type="spellStart"/>
      <w:r w:rsidRPr="00E126EF">
        <w:rPr>
          <w:rFonts w:eastAsiaTheme="minorHAnsi" w:cstheme="minorBidi"/>
          <w:szCs w:val="22"/>
        </w:rPr>
        <w:t>Oxf</w:t>
      </w:r>
      <w:proofErr w:type="spellEnd"/>
      <w:r w:rsidRPr="00E126EF">
        <w:rPr>
          <w:rFonts w:eastAsiaTheme="minorHAnsi" w:cstheme="minorBidi"/>
          <w:szCs w:val="22"/>
        </w:rPr>
        <w:t>) 2013; 78:831-837</w:t>
      </w:r>
    </w:p>
    <w:p w14:paraId="6E338FD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458.</w:t>
      </w:r>
      <w:r w:rsidRPr="00E126EF">
        <w:rPr>
          <w:rFonts w:eastAsiaTheme="minorHAnsi" w:cstheme="minorBidi"/>
          <w:szCs w:val="22"/>
        </w:rPr>
        <w:tab/>
        <w:t xml:space="preserve">Bouma EM, </w:t>
      </w:r>
      <w:proofErr w:type="spellStart"/>
      <w:r w:rsidRPr="00E126EF">
        <w:rPr>
          <w:rFonts w:eastAsiaTheme="minorHAnsi" w:cstheme="minorBidi"/>
          <w:szCs w:val="22"/>
        </w:rPr>
        <w:t>Riese</w:t>
      </w:r>
      <w:proofErr w:type="spellEnd"/>
      <w:r w:rsidRPr="00E126EF">
        <w:rPr>
          <w:rFonts w:eastAsiaTheme="minorHAnsi" w:cstheme="minorBidi"/>
          <w:szCs w:val="22"/>
        </w:rPr>
        <w:t xml:space="preserve"> H, Nolte IM, </w:t>
      </w:r>
      <w:proofErr w:type="spellStart"/>
      <w:r w:rsidRPr="00E126EF">
        <w:rPr>
          <w:rFonts w:eastAsiaTheme="minorHAnsi" w:cstheme="minorBidi"/>
          <w:szCs w:val="22"/>
        </w:rPr>
        <w:t>Oosterom</w:t>
      </w:r>
      <w:proofErr w:type="spellEnd"/>
      <w:r w:rsidRPr="00E126EF">
        <w:rPr>
          <w:rFonts w:eastAsiaTheme="minorHAnsi" w:cstheme="minorBidi"/>
          <w:szCs w:val="22"/>
        </w:rPr>
        <w:t xml:space="preserve"> E, Verhulst FC, </w:t>
      </w:r>
      <w:proofErr w:type="spellStart"/>
      <w:r w:rsidRPr="00E126EF">
        <w:rPr>
          <w:rFonts w:eastAsiaTheme="minorHAnsi" w:cstheme="minorBidi"/>
          <w:szCs w:val="22"/>
        </w:rPr>
        <w:t>Ormel</w:t>
      </w:r>
      <w:proofErr w:type="spellEnd"/>
      <w:r w:rsidRPr="00E126EF">
        <w:rPr>
          <w:rFonts w:eastAsiaTheme="minorHAnsi" w:cstheme="minorBidi"/>
          <w:szCs w:val="22"/>
        </w:rPr>
        <w:t xml:space="preserve"> J, </w:t>
      </w:r>
      <w:proofErr w:type="spellStart"/>
      <w:r w:rsidRPr="00E126EF">
        <w:rPr>
          <w:rFonts w:eastAsiaTheme="minorHAnsi" w:cstheme="minorBidi"/>
          <w:szCs w:val="22"/>
        </w:rPr>
        <w:t>Oldehinkel</w:t>
      </w:r>
      <w:proofErr w:type="spellEnd"/>
      <w:r w:rsidRPr="00E126EF">
        <w:rPr>
          <w:rFonts w:eastAsiaTheme="minorHAnsi" w:cstheme="minorBidi"/>
          <w:szCs w:val="22"/>
        </w:rPr>
        <w:t xml:space="preserve"> AJ. No associations between single nucleotide polymorphisms in corticoid receptor genes and </w:t>
      </w:r>
      <w:r w:rsidRPr="00E126EF">
        <w:rPr>
          <w:rFonts w:eastAsiaTheme="minorHAnsi" w:cstheme="minorBidi"/>
          <w:szCs w:val="22"/>
        </w:rPr>
        <w:lastRenderedPageBreak/>
        <w:t xml:space="preserve">heart rate and cortisol responses to a standardized social stress test in adolescents: the TRAILS study. </w:t>
      </w:r>
      <w:proofErr w:type="spellStart"/>
      <w:r w:rsidRPr="00E126EF">
        <w:rPr>
          <w:rFonts w:eastAsiaTheme="minorHAnsi" w:cstheme="minorBidi"/>
          <w:szCs w:val="22"/>
        </w:rPr>
        <w:t>Behav</w:t>
      </w:r>
      <w:proofErr w:type="spellEnd"/>
      <w:r w:rsidRPr="00E126EF">
        <w:rPr>
          <w:rFonts w:eastAsiaTheme="minorHAnsi" w:cstheme="minorBidi"/>
          <w:szCs w:val="22"/>
        </w:rPr>
        <w:t xml:space="preserve"> Genet 2011; 41:253-261</w:t>
      </w:r>
    </w:p>
    <w:p w14:paraId="4B229DB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459.</w:t>
      </w:r>
      <w:r w:rsidRPr="00E126EF">
        <w:rPr>
          <w:rFonts w:eastAsiaTheme="minorHAnsi" w:cstheme="minorBidi"/>
          <w:szCs w:val="22"/>
        </w:rPr>
        <w:tab/>
        <w:t>Lian Y, Xiao J, Wang Q, Ning L, Guan S, Ge H, Li F, Liu J. The relationship between glucocorticoid receptor polymorphisms, stressful life events, social support, and post-traumatic stress disorder. BMC Psychiatry 2014; 14:232</w:t>
      </w:r>
    </w:p>
    <w:p w14:paraId="0A09AD6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460.</w:t>
      </w:r>
      <w:r w:rsidRPr="00E126EF">
        <w:rPr>
          <w:rFonts w:eastAsiaTheme="minorHAnsi" w:cstheme="minorBidi"/>
          <w:szCs w:val="22"/>
        </w:rPr>
        <w:tab/>
      </w:r>
      <w:proofErr w:type="spellStart"/>
      <w:r w:rsidRPr="00E126EF">
        <w:rPr>
          <w:rFonts w:eastAsiaTheme="minorHAnsi" w:cstheme="minorBidi"/>
          <w:szCs w:val="22"/>
        </w:rPr>
        <w:t>Maciel</w:t>
      </w:r>
      <w:proofErr w:type="spellEnd"/>
      <w:r w:rsidRPr="00E126EF">
        <w:rPr>
          <w:rFonts w:eastAsiaTheme="minorHAnsi" w:cstheme="minorBidi"/>
          <w:szCs w:val="22"/>
        </w:rPr>
        <w:t xml:space="preserve"> GA, Moreira RP, </w:t>
      </w:r>
      <w:proofErr w:type="spellStart"/>
      <w:r w:rsidRPr="00E126EF">
        <w:rPr>
          <w:rFonts w:eastAsiaTheme="minorHAnsi" w:cstheme="minorBidi"/>
          <w:szCs w:val="22"/>
        </w:rPr>
        <w:t>Bugano</w:t>
      </w:r>
      <w:proofErr w:type="spellEnd"/>
      <w:r w:rsidRPr="00E126EF">
        <w:rPr>
          <w:rFonts w:eastAsiaTheme="minorHAnsi" w:cstheme="minorBidi"/>
          <w:szCs w:val="22"/>
        </w:rPr>
        <w:t xml:space="preserve"> DD, </w:t>
      </w:r>
      <w:proofErr w:type="spellStart"/>
      <w:r w:rsidRPr="00E126EF">
        <w:rPr>
          <w:rFonts w:eastAsiaTheme="minorHAnsi" w:cstheme="minorBidi"/>
          <w:szCs w:val="22"/>
        </w:rPr>
        <w:t>Hayashida</w:t>
      </w:r>
      <w:proofErr w:type="spellEnd"/>
      <w:r w:rsidRPr="00E126EF">
        <w:rPr>
          <w:rFonts w:eastAsiaTheme="minorHAnsi" w:cstheme="minorBidi"/>
          <w:szCs w:val="22"/>
        </w:rPr>
        <w:t xml:space="preserve"> SA, </w:t>
      </w:r>
      <w:proofErr w:type="spellStart"/>
      <w:r w:rsidRPr="00E126EF">
        <w:rPr>
          <w:rFonts w:eastAsiaTheme="minorHAnsi" w:cstheme="minorBidi"/>
          <w:szCs w:val="22"/>
        </w:rPr>
        <w:t>Marcondes</w:t>
      </w:r>
      <w:proofErr w:type="spellEnd"/>
      <w:r w:rsidRPr="00E126EF">
        <w:rPr>
          <w:rFonts w:eastAsiaTheme="minorHAnsi" w:cstheme="minorBidi"/>
          <w:szCs w:val="22"/>
        </w:rPr>
        <w:t xml:space="preserve"> JA, Gomes LG, Mendonca BB, </w:t>
      </w:r>
      <w:proofErr w:type="spellStart"/>
      <w:r w:rsidRPr="00E126EF">
        <w:rPr>
          <w:rFonts w:eastAsiaTheme="minorHAnsi" w:cstheme="minorBidi"/>
          <w:szCs w:val="22"/>
        </w:rPr>
        <w:t>Bachega</w:t>
      </w:r>
      <w:proofErr w:type="spellEnd"/>
      <w:r w:rsidRPr="00E126EF">
        <w:rPr>
          <w:rFonts w:eastAsiaTheme="minorHAnsi" w:cstheme="minorBidi"/>
          <w:szCs w:val="22"/>
        </w:rPr>
        <w:t xml:space="preserve"> TA, </w:t>
      </w:r>
      <w:proofErr w:type="spellStart"/>
      <w:r w:rsidRPr="00E126EF">
        <w:rPr>
          <w:rFonts w:eastAsiaTheme="minorHAnsi" w:cstheme="minorBidi"/>
          <w:szCs w:val="22"/>
        </w:rPr>
        <w:t>Baracat</w:t>
      </w:r>
      <w:proofErr w:type="spellEnd"/>
      <w:r w:rsidRPr="00E126EF">
        <w:rPr>
          <w:rFonts w:eastAsiaTheme="minorHAnsi" w:cstheme="minorBidi"/>
          <w:szCs w:val="22"/>
        </w:rPr>
        <w:t xml:space="preserve"> EC. Association of glucocorticoid receptor polymorphisms with clinical and metabolic profiles in polycystic ovary syndrome. Clinics (Sao Paulo) 2014; 69:179-184</w:t>
      </w:r>
    </w:p>
    <w:p w14:paraId="304F2C0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461.</w:t>
      </w:r>
      <w:r w:rsidRPr="00E126EF">
        <w:rPr>
          <w:rFonts w:eastAsiaTheme="minorHAnsi" w:cstheme="minorBidi"/>
          <w:szCs w:val="22"/>
        </w:rPr>
        <w:tab/>
        <w:t>Syed AA, Irving JA, Redfern CP, Hall AG, Unwin NC, White M, Bhopal RS, Weaver JU. Association of glucocorticoid receptor polymorphism A3669G in exon 9b with reduced central adiposity in women. Obesity (Silver Spring) 2006; 14:759-764</w:t>
      </w:r>
    </w:p>
    <w:p w14:paraId="6858E4ED"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462.</w:t>
      </w:r>
      <w:r w:rsidRPr="00E126EF">
        <w:rPr>
          <w:rFonts w:eastAsiaTheme="minorHAnsi" w:cstheme="minorBidi"/>
          <w:szCs w:val="22"/>
        </w:rPr>
        <w:tab/>
        <w:t>Simpson DM, Bender AN. Human immunodeficiency virus-associated myopathy: analysis of 11 patients. Ann Neurol 1988; 24:79-84</w:t>
      </w:r>
    </w:p>
    <w:p w14:paraId="355356E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463.</w:t>
      </w:r>
      <w:r w:rsidRPr="00E126EF">
        <w:rPr>
          <w:rFonts w:eastAsiaTheme="minorHAnsi" w:cstheme="minorBidi"/>
          <w:szCs w:val="22"/>
        </w:rPr>
        <w:tab/>
        <w:t xml:space="preserve">Kotler DP, Rosenbaum K, Wang J, Pierson RN. Studies of body composition and fat distribution in HIV-infected and control subjects. J </w:t>
      </w:r>
      <w:proofErr w:type="spellStart"/>
      <w:r w:rsidRPr="00E126EF">
        <w:rPr>
          <w:rFonts w:eastAsiaTheme="minorHAnsi" w:cstheme="minorBidi"/>
          <w:szCs w:val="22"/>
        </w:rPr>
        <w:t>Acquir</w:t>
      </w:r>
      <w:proofErr w:type="spellEnd"/>
      <w:r w:rsidRPr="00E126EF">
        <w:rPr>
          <w:rFonts w:eastAsiaTheme="minorHAnsi" w:cstheme="minorBidi"/>
          <w:szCs w:val="22"/>
        </w:rPr>
        <w:t xml:space="preserve"> Immune </w:t>
      </w:r>
      <w:proofErr w:type="spellStart"/>
      <w:r w:rsidRPr="00E126EF">
        <w:rPr>
          <w:rFonts w:eastAsiaTheme="minorHAnsi" w:cstheme="minorBidi"/>
          <w:szCs w:val="22"/>
        </w:rPr>
        <w:t>Defic</w:t>
      </w:r>
      <w:proofErr w:type="spellEnd"/>
      <w:r w:rsidRPr="00E126EF">
        <w:rPr>
          <w:rFonts w:eastAsiaTheme="minorHAnsi" w:cstheme="minorBidi"/>
          <w:szCs w:val="22"/>
        </w:rPr>
        <w:t xml:space="preserve"> </w:t>
      </w:r>
      <w:proofErr w:type="spellStart"/>
      <w:r w:rsidRPr="00E126EF">
        <w:rPr>
          <w:rFonts w:eastAsiaTheme="minorHAnsi" w:cstheme="minorBidi"/>
          <w:szCs w:val="22"/>
        </w:rPr>
        <w:t>Syndr</w:t>
      </w:r>
      <w:proofErr w:type="spellEnd"/>
      <w:r w:rsidRPr="00E126EF">
        <w:rPr>
          <w:rFonts w:eastAsiaTheme="minorHAnsi" w:cstheme="minorBidi"/>
          <w:szCs w:val="22"/>
        </w:rPr>
        <w:t xml:space="preserve"> Hum </w:t>
      </w:r>
      <w:proofErr w:type="spellStart"/>
      <w:r w:rsidRPr="00E126EF">
        <w:rPr>
          <w:rFonts w:eastAsiaTheme="minorHAnsi" w:cstheme="minorBidi"/>
          <w:szCs w:val="22"/>
        </w:rPr>
        <w:t>Retrovirol</w:t>
      </w:r>
      <w:proofErr w:type="spellEnd"/>
      <w:r w:rsidRPr="00E126EF">
        <w:rPr>
          <w:rFonts w:eastAsiaTheme="minorHAnsi" w:cstheme="minorBidi"/>
          <w:szCs w:val="22"/>
        </w:rPr>
        <w:t xml:space="preserve"> 1999; 20:228-237</w:t>
      </w:r>
    </w:p>
    <w:p w14:paraId="5938B61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464.</w:t>
      </w:r>
      <w:r w:rsidRPr="00E126EF">
        <w:rPr>
          <w:rFonts w:eastAsiaTheme="minorHAnsi" w:cstheme="minorBidi"/>
          <w:szCs w:val="22"/>
        </w:rPr>
        <w:tab/>
      </w:r>
      <w:proofErr w:type="spellStart"/>
      <w:r w:rsidRPr="00E126EF">
        <w:rPr>
          <w:rFonts w:eastAsiaTheme="minorHAnsi" w:cstheme="minorBidi"/>
          <w:szCs w:val="22"/>
        </w:rPr>
        <w:t>Yanovski</w:t>
      </w:r>
      <w:proofErr w:type="spellEnd"/>
      <w:r w:rsidRPr="00E126EF">
        <w:rPr>
          <w:rFonts w:eastAsiaTheme="minorHAnsi" w:cstheme="minorBidi"/>
          <w:szCs w:val="22"/>
        </w:rPr>
        <w:t xml:space="preserve"> JA, Miller KD, Kino T, Friedman TC, Chrousos GP, </w:t>
      </w:r>
      <w:proofErr w:type="spellStart"/>
      <w:r w:rsidRPr="00E126EF">
        <w:rPr>
          <w:rFonts w:eastAsiaTheme="minorHAnsi" w:cstheme="minorBidi"/>
          <w:szCs w:val="22"/>
        </w:rPr>
        <w:t>Tsigos</w:t>
      </w:r>
      <w:proofErr w:type="spellEnd"/>
      <w:r w:rsidRPr="00E126EF">
        <w:rPr>
          <w:rFonts w:eastAsiaTheme="minorHAnsi" w:cstheme="minorBidi"/>
          <w:szCs w:val="22"/>
        </w:rPr>
        <w:t xml:space="preserve"> C, </w:t>
      </w:r>
      <w:proofErr w:type="spellStart"/>
      <w:r w:rsidRPr="00E126EF">
        <w:rPr>
          <w:rFonts w:eastAsiaTheme="minorHAnsi" w:cstheme="minorBidi"/>
          <w:szCs w:val="22"/>
        </w:rPr>
        <w:t>Falloon</w:t>
      </w:r>
      <w:proofErr w:type="spellEnd"/>
      <w:r w:rsidRPr="00E126EF">
        <w:rPr>
          <w:rFonts w:eastAsiaTheme="minorHAnsi" w:cstheme="minorBidi"/>
          <w:szCs w:val="22"/>
        </w:rPr>
        <w:t xml:space="preserve"> J. Endocrine and metabolic evaluation of human immunodeficiency virus-infected patients with evidence of protease inhibitor-associated lipodystrophy.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1999; 84:1925-1931</w:t>
      </w:r>
    </w:p>
    <w:p w14:paraId="6FAEDE6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465.</w:t>
      </w:r>
      <w:r w:rsidRPr="00E126EF">
        <w:rPr>
          <w:rFonts w:eastAsiaTheme="minorHAnsi" w:cstheme="minorBidi"/>
          <w:szCs w:val="22"/>
        </w:rPr>
        <w:tab/>
      </w:r>
      <w:proofErr w:type="spellStart"/>
      <w:r w:rsidRPr="00E126EF">
        <w:rPr>
          <w:rFonts w:eastAsiaTheme="minorHAnsi" w:cstheme="minorBidi"/>
          <w:szCs w:val="22"/>
        </w:rPr>
        <w:t>Hadigan</w:t>
      </w:r>
      <w:proofErr w:type="spellEnd"/>
      <w:r w:rsidRPr="00E126EF">
        <w:rPr>
          <w:rFonts w:eastAsiaTheme="minorHAnsi" w:cstheme="minorBidi"/>
          <w:szCs w:val="22"/>
        </w:rPr>
        <w:t xml:space="preserve"> C, Miller K, Corcoran C, Anderson E, </w:t>
      </w:r>
      <w:proofErr w:type="spellStart"/>
      <w:r w:rsidRPr="00E126EF">
        <w:rPr>
          <w:rFonts w:eastAsiaTheme="minorHAnsi" w:cstheme="minorBidi"/>
          <w:szCs w:val="22"/>
        </w:rPr>
        <w:t>Basgoz</w:t>
      </w:r>
      <w:proofErr w:type="spellEnd"/>
      <w:r w:rsidRPr="00E126EF">
        <w:rPr>
          <w:rFonts w:eastAsiaTheme="minorHAnsi" w:cstheme="minorBidi"/>
          <w:szCs w:val="22"/>
        </w:rPr>
        <w:t xml:space="preserve"> N, Grinspoon S. Fasting hyperinsulinemia and changes in regional body composition in human immunodeficiency virus-infected women. J Clin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1999; 84:1932-1937</w:t>
      </w:r>
    </w:p>
    <w:p w14:paraId="2297294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466.</w:t>
      </w:r>
      <w:r w:rsidRPr="00E126EF">
        <w:rPr>
          <w:rFonts w:eastAsiaTheme="minorHAnsi" w:cstheme="minorBidi"/>
          <w:szCs w:val="22"/>
        </w:rPr>
        <w:tab/>
        <w:t>Dube MP. Disorders of Glucose Metabolism in Patients Infected with Human Immunodeficiency Virus. Clin Infect Dis 2000; 31:1467-1475</w:t>
      </w:r>
    </w:p>
    <w:p w14:paraId="1C1664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467.</w:t>
      </w:r>
      <w:r w:rsidRPr="00E126EF">
        <w:rPr>
          <w:rFonts w:eastAsiaTheme="minorHAnsi" w:cstheme="minorBidi"/>
          <w:szCs w:val="22"/>
        </w:rPr>
        <w:tab/>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The molecular biology of HIV-1. In: </w:t>
      </w:r>
      <w:proofErr w:type="spellStart"/>
      <w:r w:rsidRPr="00E126EF">
        <w:rPr>
          <w:rFonts w:eastAsiaTheme="minorHAnsi" w:cstheme="minorBidi"/>
          <w:szCs w:val="22"/>
        </w:rPr>
        <w:t>DeVita</w:t>
      </w:r>
      <w:proofErr w:type="spellEnd"/>
      <w:r w:rsidRPr="00E126EF">
        <w:rPr>
          <w:rFonts w:eastAsiaTheme="minorHAnsi" w:cstheme="minorBidi"/>
          <w:szCs w:val="22"/>
        </w:rPr>
        <w:t xml:space="preserve"> VT, Hellman S, Rosenberg SA, eds. AIDS: Diagnosis, Treatment and Prevention. 4 ed. Philadelphia: Lippincott Raven; 1996:45-74.</w:t>
      </w:r>
    </w:p>
    <w:p w14:paraId="221F28F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468.</w:t>
      </w:r>
      <w:r w:rsidRPr="00E126EF">
        <w:rPr>
          <w:rFonts w:eastAsiaTheme="minorHAnsi" w:cstheme="minorBidi"/>
          <w:szCs w:val="22"/>
        </w:rPr>
        <w:tab/>
      </w:r>
      <w:proofErr w:type="spellStart"/>
      <w:r w:rsidRPr="00E126EF">
        <w:rPr>
          <w:rFonts w:eastAsiaTheme="minorHAnsi" w:cstheme="minorBidi"/>
          <w:szCs w:val="22"/>
        </w:rPr>
        <w:t>Emerman</w:t>
      </w:r>
      <w:proofErr w:type="spellEnd"/>
      <w:r w:rsidRPr="00E126EF">
        <w:rPr>
          <w:rFonts w:eastAsiaTheme="minorHAnsi" w:cstheme="minorBidi"/>
          <w:szCs w:val="22"/>
        </w:rPr>
        <w:t xml:space="preserve"> M. HIV-1, Vpr and the cell cycle. </w:t>
      </w:r>
      <w:proofErr w:type="spellStart"/>
      <w:r w:rsidRPr="00E126EF">
        <w:rPr>
          <w:rFonts w:eastAsiaTheme="minorHAnsi" w:cstheme="minorBidi"/>
          <w:szCs w:val="22"/>
        </w:rPr>
        <w:t>Curr</w:t>
      </w:r>
      <w:proofErr w:type="spellEnd"/>
      <w:r w:rsidRPr="00E126EF">
        <w:rPr>
          <w:rFonts w:eastAsiaTheme="minorHAnsi" w:cstheme="minorBidi"/>
          <w:szCs w:val="22"/>
        </w:rPr>
        <w:t xml:space="preserve"> Biol 1996; 6:1096-1103</w:t>
      </w:r>
    </w:p>
    <w:p w14:paraId="20725EB9"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469.</w:t>
      </w:r>
      <w:r w:rsidRPr="00E126EF">
        <w:rPr>
          <w:rFonts w:eastAsiaTheme="minorHAnsi" w:cstheme="minorBidi"/>
          <w:szCs w:val="22"/>
        </w:rPr>
        <w:tab/>
        <w:t xml:space="preserve">Kino T, </w:t>
      </w:r>
      <w:proofErr w:type="spellStart"/>
      <w:r w:rsidRPr="00E126EF">
        <w:rPr>
          <w:rFonts w:eastAsiaTheme="minorHAnsi" w:cstheme="minorBidi"/>
          <w:szCs w:val="22"/>
        </w:rPr>
        <w:t>Gragerov</w:t>
      </w:r>
      <w:proofErr w:type="spellEnd"/>
      <w:r w:rsidRPr="00E126EF">
        <w:rPr>
          <w:rFonts w:eastAsiaTheme="minorHAnsi" w:cstheme="minorBidi"/>
          <w:szCs w:val="22"/>
        </w:rPr>
        <w:t xml:space="preserve"> A, Kopp JB, </w:t>
      </w:r>
      <w:proofErr w:type="spellStart"/>
      <w:r w:rsidRPr="00E126EF">
        <w:rPr>
          <w:rFonts w:eastAsiaTheme="minorHAnsi" w:cstheme="minorBidi"/>
          <w:szCs w:val="22"/>
        </w:rPr>
        <w:t>Stauber</w:t>
      </w:r>
      <w:proofErr w:type="spellEnd"/>
      <w:r w:rsidRPr="00E126EF">
        <w:rPr>
          <w:rFonts w:eastAsiaTheme="minorHAnsi" w:cstheme="minorBidi"/>
          <w:szCs w:val="22"/>
        </w:rPr>
        <w:t xml:space="preserve"> RH, </w:t>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Chrousos GP. The HIV-1 virion-associated protein </w:t>
      </w:r>
      <w:proofErr w:type="spellStart"/>
      <w:r w:rsidRPr="00E126EF">
        <w:rPr>
          <w:rFonts w:eastAsiaTheme="minorHAnsi" w:cstheme="minorBidi"/>
          <w:szCs w:val="22"/>
        </w:rPr>
        <w:t>vpr</w:t>
      </w:r>
      <w:proofErr w:type="spellEnd"/>
      <w:r w:rsidRPr="00E126EF">
        <w:rPr>
          <w:rFonts w:eastAsiaTheme="minorHAnsi" w:cstheme="minorBidi"/>
          <w:szCs w:val="22"/>
        </w:rPr>
        <w:t xml:space="preserve"> is a coactivator of the human glucocorticoid receptor. J Exp Med 1999; 189:51-62</w:t>
      </w:r>
    </w:p>
    <w:p w14:paraId="5EA8A962"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470.</w:t>
      </w:r>
      <w:r w:rsidRPr="00E126EF">
        <w:rPr>
          <w:rFonts w:eastAsiaTheme="minorHAnsi" w:cstheme="minorBidi"/>
          <w:szCs w:val="22"/>
        </w:rPr>
        <w:tab/>
        <w:t xml:space="preserve">Kino T, </w:t>
      </w:r>
      <w:proofErr w:type="spellStart"/>
      <w:r w:rsidRPr="00E126EF">
        <w:rPr>
          <w:rFonts w:eastAsiaTheme="minorHAnsi" w:cstheme="minorBidi"/>
          <w:szCs w:val="22"/>
        </w:rPr>
        <w:t>Gragerov</w:t>
      </w:r>
      <w:proofErr w:type="spellEnd"/>
      <w:r w:rsidRPr="00E126EF">
        <w:rPr>
          <w:rFonts w:eastAsiaTheme="minorHAnsi" w:cstheme="minorBidi"/>
          <w:szCs w:val="22"/>
        </w:rPr>
        <w:t xml:space="preserve"> A, </w:t>
      </w:r>
      <w:proofErr w:type="spellStart"/>
      <w:r w:rsidRPr="00E126EF">
        <w:rPr>
          <w:rFonts w:eastAsiaTheme="minorHAnsi" w:cstheme="minorBidi"/>
          <w:szCs w:val="22"/>
        </w:rPr>
        <w:t>Slobodskaya</w:t>
      </w:r>
      <w:proofErr w:type="spellEnd"/>
      <w:r w:rsidRPr="00E126EF">
        <w:rPr>
          <w:rFonts w:eastAsiaTheme="minorHAnsi" w:cstheme="minorBidi"/>
          <w:szCs w:val="22"/>
        </w:rPr>
        <w:t xml:space="preserve"> O, </w:t>
      </w:r>
      <w:proofErr w:type="spellStart"/>
      <w:r w:rsidRPr="00E126EF">
        <w:rPr>
          <w:rFonts w:eastAsiaTheme="minorHAnsi" w:cstheme="minorBidi"/>
          <w:szCs w:val="22"/>
        </w:rPr>
        <w:t>Tsopanomichalou</w:t>
      </w:r>
      <w:proofErr w:type="spellEnd"/>
      <w:r w:rsidRPr="00E126EF">
        <w:rPr>
          <w:rFonts w:eastAsiaTheme="minorHAnsi" w:cstheme="minorBidi"/>
          <w:szCs w:val="22"/>
        </w:rPr>
        <w:t xml:space="preserve"> M, Chrousos GP, </w:t>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Human immunodeficiency virus type-1 (HIV-1) accessory protein Vpr induces transcription of the HIV-1 and glucocorticoid-responsive promoters by binding directly to p300/CBP coactivators. J </w:t>
      </w:r>
      <w:proofErr w:type="spellStart"/>
      <w:r w:rsidRPr="00E126EF">
        <w:rPr>
          <w:rFonts w:eastAsiaTheme="minorHAnsi" w:cstheme="minorBidi"/>
          <w:szCs w:val="22"/>
        </w:rPr>
        <w:t>Virol</w:t>
      </w:r>
      <w:proofErr w:type="spellEnd"/>
      <w:r w:rsidRPr="00E126EF">
        <w:rPr>
          <w:rFonts w:eastAsiaTheme="minorHAnsi" w:cstheme="minorBidi"/>
          <w:szCs w:val="22"/>
        </w:rPr>
        <w:t xml:space="preserve"> 2002; 76:9724-9734</w:t>
      </w:r>
    </w:p>
    <w:p w14:paraId="07770E10"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471.</w:t>
      </w:r>
      <w:r w:rsidRPr="00E126EF">
        <w:rPr>
          <w:rFonts w:eastAsiaTheme="minorHAnsi" w:cstheme="minorBidi"/>
          <w:szCs w:val="22"/>
        </w:rPr>
        <w:tab/>
        <w:t xml:space="preserve">Levy DN, </w:t>
      </w:r>
      <w:proofErr w:type="spellStart"/>
      <w:r w:rsidRPr="00E126EF">
        <w:rPr>
          <w:rFonts w:eastAsiaTheme="minorHAnsi" w:cstheme="minorBidi"/>
          <w:szCs w:val="22"/>
        </w:rPr>
        <w:t>Refaeli</w:t>
      </w:r>
      <w:proofErr w:type="spellEnd"/>
      <w:r w:rsidRPr="00E126EF">
        <w:rPr>
          <w:rFonts w:eastAsiaTheme="minorHAnsi" w:cstheme="minorBidi"/>
          <w:szCs w:val="22"/>
        </w:rPr>
        <w:t xml:space="preserve"> Y, MacGregor RR, Weiner DB. Serum Vpr regulates productive infection and latency of human immunodeficiency virus type 1.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1994; 91:10873-10877</w:t>
      </w:r>
    </w:p>
    <w:p w14:paraId="7D634025"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472.</w:t>
      </w:r>
      <w:r w:rsidRPr="00E126EF">
        <w:rPr>
          <w:rFonts w:eastAsiaTheme="minorHAnsi" w:cstheme="minorBidi"/>
          <w:szCs w:val="22"/>
        </w:rPr>
        <w:tab/>
      </w:r>
      <w:proofErr w:type="spellStart"/>
      <w:r w:rsidRPr="00E126EF">
        <w:rPr>
          <w:rFonts w:eastAsiaTheme="minorHAnsi" w:cstheme="minorBidi"/>
          <w:szCs w:val="22"/>
        </w:rPr>
        <w:t>Henklein</w:t>
      </w:r>
      <w:proofErr w:type="spellEnd"/>
      <w:r w:rsidRPr="00E126EF">
        <w:rPr>
          <w:rFonts w:eastAsiaTheme="minorHAnsi" w:cstheme="minorBidi"/>
          <w:szCs w:val="22"/>
        </w:rPr>
        <w:t xml:space="preserve"> P, Bruns K, Sherman MP, </w:t>
      </w:r>
      <w:proofErr w:type="spellStart"/>
      <w:r w:rsidRPr="00E126EF">
        <w:rPr>
          <w:rFonts w:eastAsiaTheme="minorHAnsi" w:cstheme="minorBidi"/>
          <w:szCs w:val="22"/>
        </w:rPr>
        <w:t>Tessmer</w:t>
      </w:r>
      <w:proofErr w:type="spellEnd"/>
      <w:r w:rsidRPr="00E126EF">
        <w:rPr>
          <w:rFonts w:eastAsiaTheme="minorHAnsi" w:cstheme="minorBidi"/>
          <w:szCs w:val="22"/>
        </w:rPr>
        <w:t xml:space="preserve"> U, </w:t>
      </w:r>
      <w:proofErr w:type="spellStart"/>
      <w:r w:rsidRPr="00E126EF">
        <w:rPr>
          <w:rFonts w:eastAsiaTheme="minorHAnsi" w:cstheme="minorBidi"/>
          <w:szCs w:val="22"/>
        </w:rPr>
        <w:t>Licha</w:t>
      </w:r>
      <w:proofErr w:type="spellEnd"/>
      <w:r w:rsidRPr="00E126EF">
        <w:rPr>
          <w:rFonts w:eastAsiaTheme="minorHAnsi" w:cstheme="minorBidi"/>
          <w:szCs w:val="22"/>
        </w:rPr>
        <w:t xml:space="preserve"> K, Kopp J, de Noronha CM, Greene WC, Wray V, Schubert U. Functional and structural characterization of synthetic HIV-1 </w:t>
      </w:r>
      <w:proofErr w:type="spellStart"/>
      <w:r w:rsidRPr="00E126EF">
        <w:rPr>
          <w:rFonts w:eastAsiaTheme="minorHAnsi" w:cstheme="minorBidi"/>
          <w:szCs w:val="22"/>
        </w:rPr>
        <w:t>vpr</w:t>
      </w:r>
      <w:proofErr w:type="spellEnd"/>
      <w:r w:rsidRPr="00E126EF">
        <w:rPr>
          <w:rFonts w:eastAsiaTheme="minorHAnsi" w:cstheme="minorBidi"/>
          <w:szCs w:val="22"/>
        </w:rPr>
        <w:t xml:space="preserve"> that transduces cells, localizes to the nucleus, and induces G2 cell cycle arrest. J Biol Chem 2000; 275:32016-32026</w:t>
      </w:r>
    </w:p>
    <w:p w14:paraId="63A0BE7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lastRenderedPageBreak/>
        <w:t>473.</w:t>
      </w:r>
      <w:r w:rsidRPr="00E126EF">
        <w:rPr>
          <w:rFonts w:eastAsiaTheme="minorHAnsi" w:cstheme="minorBidi"/>
          <w:szCs w:val="22"/>
        </w:rPr>
        <w:tab/>
        <w:t xml:space="preserve">Mirani M, </w:t>
      </w:r>
      <w:proofErr w:type="spellStart"/>
      <w:r w:rsidRPr="00E126EF">
        <w:rPr>
          <w:rFonts w:eastAsiaTheme="minorHAnsi" w:cstheme="minorBidi"/>
          <w:szCs w:val="22"/>
        </w:rPr>
        <w:t>Elenkov</w:t>
      </w:r>
      <w:proofErr w:type="spellEnd"/>
      <w:r w:rsidRPr="00E126EF">
        <w:rPr>
          <w:rFonts w:eastAsiaTheme="minorHAnsi" w:cstheme="minorBidi"/>
          <w:szCs w:val="22"/>
        </w:rPr>
        <w:t xml:space="preserve"> I, Volpi S, </w:t>
      </w:r>
      <w:proofErr w:type="spellStart"/>
      <w:r w:rsidRPr="00E126EF">
        <w:rPr>
          <w:rFonts w:eastAsiaTheme="minorHAnsi" w:cstheme="minorBidi"/>
          <w:szCs w:val="22"/>
        </w:rPr>
        <w:t>Hiroi</w:t>
      </w:r>
      <w:proofErr w:type="spellEnd"/>
      <w:r w:rsidRPr="00E126EF">
        <w:rPr>
          <w:rFonts w:eastAsiaTheme="minorHAnsi" w:cstheme="minorBidi"/>
          <w:szCs w:val="22"/>
        </w:rPr>
        <w:t xml:space="preserve"> N, Chrousos GP, Kino T. HIV-1 protein Vpr suppresses IL-12 production from human monocytes by enhancing glucocorticoid action: potential implications of Vpr coactivator activity for the innate and cellular immunity deficits observed in HIV-1 infection. J Immunol 2002; 169:6361-6368</w:t>
      </w:r>
    </w:p>
    <w:p w14:paraId="28B7617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474.</w:t>
      </w:r>
      <w:r w:rsidRPr="00E126EF">
        <w:rPr>
          <w:rFonts w:eastAsiaTheme="minorHAnsi" w:cstheme="minorBidi"/>
          <w:szCs w:val="22"/>
        </w:rPr>
        <w:tab/>
      </w:r>
      <w:proofErr w:type="spellStart"/>
      <w:r w:rsidRPr="00E126EF">
        <w:rPr>
          <w:rFonts w:eastAsiaTheme="minorHAnsi" w:cstheme="minorBidi"/>
          <w:szCs w:val="22"/>
        </w:rPr>
        <w:t>Shrivastav</w:t>
      </w:r>
      <w:proofErr w:type="spellEnd"/>
      <w:r w:rsidRPr="00E126EF">
        <w:rPr>
          <w:rFonts w:eastAsiaTheme="minorHAnsi" w:cstheme="minorBidi"/>
          <w:szCs w:val="22"/>
        </w:rPr>
        <w:t xml:space="preserve"> S, Kino T, Cunningham T, </w:t>
      </w:r>
      <w:proofErr w:type="spellStart"/>
      <w:r w:rsidRPr="00E126EF">
        <w:rPr>
          <w:rFonts w:eastAsiaTheme="minorHAnsi" w:cstheme="minorBidi"/>
          <w:szCs w:val="22"/>
        </w:rPr>
        <w:t>Ichijo</w:t>
      </w:r>
      <w:proofErr w:type="spellEnd"/>
      <w:r w:rsidRPr="00E126EF">
        <w:rPr>
          <w:rFonts w:eastAsiaTheme="minorHAnsi" w:cstheme="minorBidi"/>
          <w:szCs w:val="22"/>
        </w:rPr>
        <w:t xml:space="preserve"> T, Schubert U, </w:t>
      </w:r>
      <w:proofErr w:type="spellStart"/>
      <w:r w:rsidRPr="00E126EF">
        <w:rPr>
          <w:rFonts w:eastAsiaTheme="minorHAnsi" w:cstheme="minorBidi"/>
          <w:szCs w:val="22"/>
        </w:rPr>
        <w:t>Heinklein</w:t>
      </w:r>
      <w:proofErr w:type="spellEnd"/>
      <w:r w:rsidRPr="00E126EF">
        <w:rPr>
          <w:rFonts w:eastAsiaTheme="minorHAnsi" w:cstheme="minorBidi"/>
          <w:szCs w:val="22"/>
        </w:rPr>
        <w:t xml:space="preserve"> P, Chrousos GP, Kopp JB. Human immunodeficiency virus (HIV)-1 viral protein R suppresses transcriptional activity of peroxisome proliferator-activated receptor g and inhibits adipocyte differentiation: implications for HIV-associated lipodystrophy. Mol Endocrinol 2008; 22:234-247</w:t>
      </w:r>
    </w:p>
    <w:p w14:paraId="1E22558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475.</w:t>
      </w:r>
      <w:r w:rsidRPr="00E126EF">
        <w:rPr>
          <w:rFonts w:eastAsiaTheme="minorHAnsi" w:cstheme="minorBidi"/>
          <w:szCs w:val="22"/>
        </w:rPr>
        <w:tab/>
      </w:r>
      <w:proofErr w:type="spellStart"/>
      <w:r w:rsidRPr="00E126EF">
        <w:rPr>
          <w:rFonts w:eastAsiaTheme="minorHAnsi" w:cstheme="minorBidi"/>
          <w:szCs w:val="22"/>
        </w:rPr>
        <w:t>Shrivastav</w:t>
      </w:r>
      <w:proofErr w:type="spellEnd"/>
      <w:r w:rsidRPr="00E126EF">
        <w:rPr>
          <w:rFonts w:eastAsiaTheme="minorHAnsi" w:cstheme="minorBidi"/>
          <w:szCs w:val="22"/>
        </w:rPr>
        <w:t xml:space="preserve"> S, Zhang L, Okamoto K, Lee H, </w:t>
      </w:r>
      <w:proofErr w:type="spellStart"/>
      <w:r w:rsidRPr="00E126EF">
        <w:rPr>
          <w:rFonts w:eastAsiaTheme="minorHAnsi" w:cstheme="minorBidi"/>
          <w:szCs w:val="22"/>
        </w:rPr>
        <w:t>Lagranha</w:t>
      </w:r>
      <w:proofErr w:type="spellEnd"/>
      <w:r w:rsidRPr="00E126EF">
        <w:rPr>
          <w:rFonts w:eastAsiaTheme="minorHAnsi" w:cstheme="minorBidi"/>
          <w:szCs w:val="22"/>
        </w:rPr>
        <w:t xml:space="preserve"> C, Abe Y, </w:t>
      </w:r>
      <w:proofErr w:type="spellStart"/>
      <w:r w:rsidRPr="00E126EF">
        <w:rPr>
          <w:rFonts w:eastAsiaTheme="minorHAnsi" w:cstheme="minorBidi"/>
          <w:szCs w:val="22"/>
        </w:rPr>
        <w:t>Balasubramanyam</w:t>
      </w:r>
      <w:proofErr w:type="spellEnd"/>
      <w:r w:rsidRPr="00E126EF">
        <w:rPr>
          <w:rFonts w:eastAsiaTheme="minorHAnsi" w:cstheme="minorBidi"/>
          <w:szCs w:val="22"/>
        </w:rPr>
        <w:t xml:space="preserve"> A, </w:t>
      </w:r>
      <w:proofErr w:type="spellStart"/>
      <w:r w:rsidRPr="00E126EF">
        <w:rPr>
          <w:rFonts w:eastAsiaTheme="minorHAnsi" w:cstheme="minorBidi"/>
          <w:szCs w:val="22"/>
        </w:rPr>
        <w:t>Lopaschuk</w:t>
      </w:r>
      <w:proofErr w:type="spellEnd"/>
      <w:r w:rsidRPr="00E126EF">
        <w:rPr>
          <w:rFonts w:eastAsiaTheme="minorHAnsi" w:cstheme="minorBidi"/>
          <w:szCs w:val="22"/>
        </w:rPr>
        <w:t xml:space="preserve"> GD, Kino T, Kopp JB. HIV-1 Vpr enhances PPARb/d-mediated transcription, increases PDK4 expression, and reduces PDC activity. Mol Endocrinol 2013; 27:1564-1576</w:t>
      </w:r>
    </w:p>
    <w:p w14:paraId="2638640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476.</w:t>
      </w:r>
      <w:r w:rsidRPr="00E126EF">
        <w:rPr>
          <w:rFonts w:eastAsiaTheme="minorHAnsi" w:cstheme="minorBidi"/>
          <w:szCs w:val="22"/>
        </w:rPr>
        <w:tab/>
      </w:r>
      <w:proofErr w:type="spellStart"/>
      <w:r w:rsidRPr="00E126EF">
        <w:rPr>
          <w:rFonts w:eastAsiaTheme="minorHAnsi" w:cstheme="minorBidi"/>
          <w:szCs w:val="22"/>
        </w:rPr>
        <w:t>Balasubramanyam</w:t>
      </w:r>
      <w:proofErr w:type="spellEnd"/>
      <w:r w:rsidRPr="00E126EF">
        <w:rPr>
          <w:rFonts w:eastAsiaTheme="minorHAnsi" w:cstheme="minorBidi"/>
          <w:szCs w:val="22"/>
        </w:rPr>
        <w:t xml:space="preserve"> A, </w:t>
      </w:r>
      <w:proofErr w:type="spellStart"/>
      <w:r w:rsidRPr="00E126EF">
        <w:rPr>
          <w:rFonts w:eastAsiaTheme="minorHAnsi" w:cstheme="minorBidi"/>
          <w:szCs w:val="22"/>
        </w:rPr>
        <w:t>Mersmann</w:t>
      </w:r>
      <w:proofErr w:type="spellEnd"/>
      <w:r w:rsidRPr="00E126EF">
        <w:rPr>
          <w:rFonts w:eastAsiaTheme="minorHAnsi" w:cstheme="minorBidi"/>
          <w:szCs w:val="22"/>
        </w:rPr>
        <w:t xml:space="preserve"> H, </w:t>
      </w:r>
      <w:proofErr w:type="spellStart"/>
      <w:r w:rsidRPr="00E126EF">
        <w:rPr>
          <w:rFonts w:eastAsiaTheme="minorHAnsi" w:cstheme="minorBidi"/>
          <w:szCs w:val="22"/>
        </w:rPr>
        <w:t>Jahoor</w:t>
      </w:r>
      <w:proofErr w:type="spellEnd"/>
      <w:r w:rsidRPr="00E126EF">
        <w:rPr>
          <w:rFonts w:eastAsiaTheme="minorHAnsi" w:cstheme="minorBidi"/>
          <w:szCs w:val="22"/>
        </w:rPr>
        <w:t xml:space="preserve"> F, Phillips TM, Sekhar RV, Schubert U, Brar B, </w:t>
      </w:r>
      <w:proofErr w:type="spellStart"/>
      <w:r w:rsidRPr="00E126EF">
        <w:rPr>
          <w:rFonts w:eastAsiaTheme="minorHAnsi" w:cstheme="minorBidi"/>
          <w:szCs w:val="22"/>
        </w:rPr>
        <w:t>Iyer</w:t>
      </w:r>
      <w:proofErr w:type="spellEnd"/>
      <w:r w:rsidRPr="00E126EF">
        <w:rPr>
          <w:rFonts w:eastAsiaTheme="minorHAnsi" w:cstheme="minorBidi"/>
          <w:szCs w:val="22"/>
        </w:rPr>
        <w:t xml:space="preserve"> D, Smith EO, Takahashi H, Lu H, Anderson P, Kino T, </w:t>
      </w:r>
      <w:proofErr w:type="spellStart"/>
      <w:r w:rsidRPr="00E126EF">
        <w:rPr>
          <w:rFonts w:eastAsiaTheme="minorHAnsi" w:cstheme="minorBidi"/>
          <w:szCs w:val="22"/>
        </w:rPr>
        <w:t>Henklein</w:t>
      </w:r>
      <w:proofErr w:type="spellEnd"/>
      <w:r w:rsidRPr="00E126EF">
        <w:rPr>
          <w:rFonts w:eastAsiaTheme="minorHAnsi" w:cstheme="minorBidi"/>
          <w:szCs w:val="22"/>
        </w:rPr>
        <w:t xml:space="preserve"> P, Kopp JB. Effects of transgenic expression of HIV-1 Vpr on lipid and energy metabolism in mice. Am J </w:t>
      </w:r>
      <w:proofErr w:type="spellStart"/>
      <w:r w:rsidRPr="00E126EF">
        <w:rPr>
          <w:rFonts w:eastAsiaTheme="minorHAnsi" w:cstheme="minorBidi"/>
          <w:szCs w:val="22"/>
        </w:rPr>
        <w:t>Physiol</w:t>
      </w:r>
      <w:proofErr w:type="spellEnd"/>
      <w:r w:rsidRPr="00E126EF">
        <w:rPr>
          <w:rFonts w:eastAsiaTheme="minorHAnsi" w:cstheme="minorBidi"/>
          <w:szCs w:val="22"/>
        </w:rPr>
        <w:t xml:space="preserve">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2007; </w:t>
      </w:r>
      <w:proofErr w:type="gramStart"/>
      <w:r w:rsidRPr="00E126EF">
        <w:rPr>
          <w:rFonts w:eastAsiaTheme="minorHAnsi" w:cstheme="minorBidi"/>
          <w:szCs w:val="22"/>
        </w:rPr>
        <w:t>292:E</w:t>
      </w:r>
      <w:proofErr w:type="gramEnd"/>
      <w:r w:rsidRPr="00E126EF">
        <w:rPr>
          <w:rFonts w:eastAsiaTheme="minorHAnsi" w:cstheme="minorBidi"/>
          <w:szCs w:val="22"/>
        </w:rPr>
        <w:t>40-48</w:t>
      </w:r>
    </w:p>
    <w:p w14:paraId="5C6232AA"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477.</w:t>
      </w:r>
      <w:r w:rsidRPr="00E126EF">
        <w:rPr>
          <w:rFonts w:eastAsiaTheme="minorHAnsi" w:cstheme="minorBidi"/>
          <w:szCs w:val="22"/>
        </w:rPr>
        <w:tab/>
        <w:t xml:space="preserve">Agarwal N, </w:t>
      </w:r>
      <w:proofErr w:type="spellStart"/>
      <w:r w:rsidRPr="00E126EF">
        <w:rPr>
          <w:rFonts w:eastAsiaTheme="minorHAnsi" w:cstheme="minorBidi"/>
          <w:szCs w:val="22"/>
        </w:rPr>
        <w:t>Iyer</w:t>
      </w:r>
      <w:proofErr w:type="spellEnd"/>
      <w:r w:rsidRPr="00E126EF">
        <w:rPr>
          <w:rFonts w:eastAsiaTheme="minorHAnsi" w:cstheme="minorBidi"/>
          <w:szCs w:val="22"/>
        </w:rPr>
        <w:t xml:space="preserve"> D, Patel SG, Sekhar RV, Phillips TM, Schubert U, </w:t>
      </w:r>
      <w:proofErr w:type="spellStart"/>
      <w:r w:rsidRPr="00E126EF">
        <w:rPr>
          <w:rFonts w:eastAsiaTheme="minorHAnsi" w:cstheme="minorBidi"/>
          <w:szCs w:val="22"/>
        </w:rPr>
        <w:t>Oplt</w:t>
      </w:r>
      <w:proofErr w:type="spellEnd"/>
      <w:r w:rsidRPr="00E126EF">
        <w:rPr>
          <w:rFonts w:eastAsiaTheme="minorHAnsi" w:cstheme="minorBidi"/>
          <w:szCs w:val="22"/>
        </w:rPr>
        <w:t xml:space="preserve"> T, Buras ED, Samson SL, Couturier J, Lewis DE, Rodriguez-</w:t>
      </w:r>
      <w:proofErr w:type="spellStart"/>
      <w:r w:rsidRPr="00E126EF">
        <w:rPr>
          <w:rFonts w:eastAsiaTheme="minorHAnsi" w:cstheme="minorBidi"/>
          <w:szCs w:val="22"/>
        </w:rPr>
        <w:t>Barradas</w:t>
      </w:r>
      <w:proofErr w:type="spellEnd"/>
      <w:r w:rsidRPr="00E126EF">
        <w:rPr>
          <w:rFonts w:eastAsiaTheme="minorHAnsi" w:cstheme="minorBidi"/>
          <w:szCs w:val="22"/>
        </w:rPr>
        <w:t xml:space="preserve"> MC, </w:t>
      </w:r>
      <w:proofErr w:type="spellStart"/>
      <w:r w:rsidRPr="00E126EF">
        <w:rPr>
          <w:rFonts w:eastAsiaTheme="minorHAnsi" w:cstheme="minorBidi"/>
          <w:szCs w:val="22"/>
        </w:rPr>
        <w:t>Jahoor</w:t>
      </w:r>
      <w:proofErr w:type="spellEnd"/>
      <w:r w:rsidRPr="00E126EF">
        <w:rPr>
          <w:rFonts w:eastAsiaTheme="minorHAnsi" w:cstheme="minorBidi"/>
          <w:szCs w:val="22"/>
        </w:rPr>
        <w:t xml:space="preserve"> F, Kino T, Kopp JB, </w:t>
      </w:r>
      <w:proofErr w:type="spellStart"/>
      <w:r w:rsidRPr="00E126EF">
        <w:rPr>
          <w:rFonts w:eastAsiaTheme="minorHAnsi" w:cstheme="minorBidi"/>
          <w:szCs w:val="22"/>
        </w:rPr>
        <w:t>Balasubramanyam</w:t>
      </w:r>
      <w:proofErr w:type="spellEnd"/>
      <w:r w:rsidRPr="00E126EF">
        <w:rPr>
          <w:rFonts w:eastAsiaTheme="minorHAnsi" w:cstheme="minorBidi"/>
          <w:szCs w:val="22"/>
        </w:rPr>
        <w:t xml:space="preserve"> A. HIV-1 Vpr induces adipose dysfunction in vivo through reciprocal effects on PPAR/GR co-regulation. Sci </w:t>
      </w:r>
      <w:proofErr w:type="spellStart"/>
      <w:r w:rsidRPr="00E126EF">
        <w:rPr>
          <w:rFonts w:eastAsiaTheme="minorHAnsi" w:cstheme="minorBidi"/>
          <w:szCs w:val="22"/>
        </w:rPr>
        <w:t>Transl</w:t>
      </w:r>
      <w:proofErr w:type="spellEnd"/>
      <w:r w:rsidRPr="00E126EF">
        <w:rPr>
          <w:rFonts w:eastAsiaTheme="minorHAnsi" w:cstheme="minorBidi"/>
          <w:szCs w:val="22"/>
        </w:rPr>
        <w:t xml:space="preserve"> Med 2013; 5:ra164</w:t>
      </w:r>
    </w:p>
    <w:p w14:paraId="3E3E809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478.</w:t>
      </w:r>
      <w:r w:rsidRPr="00E126EF">
        <w:rPr>
          <w:rFonts w:eastAsiaTheme="minorHAnsi" w:cstheme="minorBidi"/>
          <w:szCs w:val="22"/>
        </w:rPr>
        <w:tab/>
        <w:t xml:space="preserve">Kino T, Chrousos GP. Virus-mediated modulation of the host endocrine signaling systems: Clinical implications. Trends Endocrinol </w:t>
      </w:r>
      <w:proofErr w:type="spellStart"/>
      <w:r w:rsidRPr="00E126EF">
        <w:rPr>
          <w:rFonts w:eastAsiaTheme="minorHAnsi" w:cstheme="minorBidi"/>
          <w:szCs w:val="22"/>
        </w:rPr>
        <w:t>Metab</w:t>
      </w:r>
      <w:proofErr w:type="spellEnd"/>
      <w:r w:rsidRPr="00E126EF">
        <w:rPr>
          <w:rFonts w:eastAsiaTheme="minorHAnsi" w:cstheme="minorBidi"/>
          <w:szCs w:val="22"/>
        </w:rPr>
        <w:t xml:space="preserve"> 2007; 18:159-166</w:t>
      </w:r>
    </w:p>
    <w:p w14:paraId="7ED8231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479.</w:t>
      </w:r>
      <w:r w:rsidRPr="00E126EF">
        <w:rPr>
          <w:rFonts w:eastAsiaTheme="minorHAnsi" w:cstheme="minorBidi"/>
          <w:szCs w:val="22"/>
        </w:rPr>
        <w:tab/>
      </w:r>
      <w:proofErr w:type="spellStart"/>
      <w:r w:rsidRPr="00E126EF">
        <w:rPr>
          <w:rFonts w:eastAsiaTheme="minorHAnsi" w:cstheme="minorBidi"/>
          <w:szCs w:val="22"/>
        </w:rPr>
        <w:t>Jeang</w:t>
      </w:r>
      <w:proofErr w:type="spellEnd"/>
      <w:r w:rsidRPr="00E126EF">
        <w:rPr>
          <w:rFonts w:eastAsiaTheme="minorHAnsi" w:cstheme="minorBidi"/>
          <w:szCs w:val="22"/>
        </w:rPr>
        <w:t xml:space="preserve"> KT, Xiao H, Rich EA. Multifaceted activities of the HIV-1 transactivator of transcription, Tat. J Biol Chem 1999; 274:28837-28840</w:t>
      </w:r>
    </w:p>
    <w:p w14:paraId="44C6AAA1"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480.</w:t>
      </w:r>
      <w:r w:rsidRPr="00E126EF">
        <w:rPr>
          <w:rFonts w:eastAsiaTheme="minorHAnsi" w:cstheme="minorBidi"/>
          <w:szCs w:val="22"/>
        </w:rPr>
        <w:tab/>
        <w:t>Kino T, Chrousos GP. Glucocorticoid and mineralocorticoid resistance/hypersensitivity syndromes. J Endocrinol 2001; 169:437-445</w:t>
      </w:r>
    </w:p>
    <w:p w14:paraId="148CBFC7"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481.</w:t>
      </w:r>
      <w:r w:rsidRPr="00E126EF">
        <w:rPr>
          <w:rFonts w:eastAsiaTheme="minorHAnsi" w:cstheme="minorBidi"/>
          <w:szCs w:val="22"/>
        </w:rPr>
        <w:tab/>
        <w:t xml:space="preserve">Kino T, </w:t>
      </w:r>
      <w:proofErr w:type="spellStart"/>
      <w:r w:rsidRPr="00E126EF">
        <w:rPr>
          <w:rFonts w:eastAsiaTheme="minorHAnsi" w:cstheme="minorBidi"/>
          <w:szCs w:val="22"/>
        </w:rPr>
        <w:t>Slobodskaya</w:t>
      </w:r>
      <w:proofErr w:type="spellEnd"/>
      <w:r w:rsidRPr="00E126EF">
        <w:rPr>
          <w:rFonts w:eastAsiaTheme="minorHAnsi" w:cstheme="minorBidi"/>
          <w:szCs w:val="22"/>
        </w:rPr>
        <w:t xml:space="preserve"> O, </w:t>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Chrousos GP. Nuclear receptor coactivator p160 proteins enhance the HIV-1 long terminal repeat promoter by bridging promoter-bound factors and the Tat-P-</w:t>
      </w:r>
      <w:proofErr w:type="spellStart"/>
      <w:r w:rsidRPr="00E126EF">
        <w:rPr>
          <w:rFonts w:eastAsiaTheme="minorHAnsi" w:cstheme="minorBidi"/>
          <w:szCs w:val="22"/>
        </w:rPr>
        <w:t>TEFb</w:t>
      </w:r>
      <w:proofErr w:type="spellEnd"/>
      <w:r w:rsidRPr="00E126EF">
        <w:rPr>
          <w:rFonts w:eastAsiaTheme="minorHAnsi" w:cstheme="minorBidi"/>
          <w:szCs w:val="22"/>
        </w:rPr>
        <w:t xml:space="preserve"> complex. J Biol Chem 2002; 277:2396-2405</w:t>
      </w:r>
    </w:p>
    <w:p w14:paraId="76A5EE3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482.</w:t>
      </w:r>
      <w:r w:rsidRPr="00E126EF">
        <w:rPr>
          <w:rFonts w:eastAsiaTheme="minorHAnsi" w:cstheme="minorBidi"/>
          <w:szCs w:val="22"/>
        </w:rPr>
        <w:tab/>
        <w:t>Price DH. P-</w:t>
      </w:r>
      <w:proofErr w:type="spellStart"/>
      <w:r w:rsidRPr="00E126EF">
        <w:rPr>
          <w:rFonts w:eastAsiaTheme="minorHAnsi" w:cstheme="minorBidi"/>
          <w:szCs w:val="22"/>
        </w:rPr>
        <w:t>TEFb</w:t>
      </w:r>
      <w:proofErr w:type="spellEnd"/>
      <w:r w:rsidRPr="00E126EF">
        <w:rPr>
          <w:rFonts w:eastAsiaTheme="minorHAnsi" w:cstheme="minorBidi"/>
          <w:szCs w:val="22"/>
        </w:rPr>
        <w:t>, a cyclin-dependent kinase controlling elongation by RNA polymerase II. Mol Cell Biol 2000; 20:2629-2634</w:t>
      </w:r>
    </w:p>
    <w:p w14:paraId="56B175CC"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483.</w:t>
      </w:r>
      <w:r w:rsidRPr="00E126EF">
        <w:rPr>
          <w:rFonts w:eastAsiaTheme="minorHAnsi" w:cstheme="minorBidi"/>
          <w:szCs w:val="22"/>
        </w:rPr>
        <w:tab/>
      </w:r>
      <w:proofErr w:type="spellStart"/>
      <w:r w:rsidRPr="00E126EF">
        <w:rPr>
          <w:rFonts w:eastAsiaTheme="minorHAnsi" w:cstheme="minorBidi"/>
          <w:szCs w:val="22"/>
        </w:rPr>
        <w:t>Fawell</w:t>
      </w:r>
      <w:proofErr w:type="spellEnd"/>
      <w:r w:rsidRPr="00E126EF">
        <w:rPr>
          <w:rFonts w:eastAsiaTheme="minorHAnsi" w:cstheme="minorBidi"/>
          <w:szCs w:val="22"/>
        </w:rPr>
        <w:t xml:space="preserve"> S, </w:t>
      </w:r>
      <w:proofErr w:type="spellStart"/>
      <w:r w:rsidRPr="00E126EF">
        <w:rPr>
          <w:rFonts w:eastAsiaTheme="minorHAnsi" w:cstheme="minorBidi"/>
          <w:szCs w:val="22"/>
        </w:rPr>
        <w:t>Seery</w:t>
      </w:r>
      <w:proofErr w:type="spellEnd"/>
      <w:r w:rsidRPr="00E126EF">
        <w:rPr>
          <w:rFonts w:eastAsiaTheme="minorHAnsi" w:cstheme="minorBidi"/>
          <w:szCs w:val="22"/>
        </w:rPr>
        <w:t xml:space="preserve"> J, </w:t>
      </w:r>
      <w:proofErr w:type="spellStart"/>
      <w:r w:rsidRPr="00E126EF">
        <w:rPr>
          <w:rFonts w:eastAsiaTheme="minorHAnsi" w:cstheme="minorBidi"/>
          <w:szCs w:val="22"/>
        </w:rPr>
        <w:t>Daikh</w:t>
      </w:r>
      <w:proofErr w:type="spellEnd"/>
      <w:r w:rsidRPr="00E126EF">
        <w:rPr>
          <w:rFonts w:eastAsiaTheme="minorHAnsi" w:cstheme="minorBidi"/>
          <w:szCs w:val="22"/>
        </w:rPr>
        <w:t xml:space="preserve"> Y, Moore C, Chen LL, </w:t>
      </w:r>
      <w:proofErr w:type="spellStart"/>
      <w:r w:rsidRPr="00E126EF">
        <w:rPr>
          <w:rFonts w:eastAsiaTheme="minorHAnsi" w:cstheme="minorBidi"/>
          <w:szCs w:val="22"/>
        </w:rPr>
        <w:t>Pepinsky</w:t>
      </w:r>
      <w:proofErr w:type="spellEnd"/>
      <w:r w:rsidRPr="00E126EF">
        <w:rPr>
          <w:rFonts w:eastAsiaTheme="minorHAnsi" w:cstheme="minorBidi"/>
          <w:szCs w:val="22"/>
        </w:rPr>
        <w:t xml:space="preserve"> B, </w:t>
      </w:r>
      <w:proofErr w:type="spellStart"/>
      <w:r w:rsidRPr="00E126EF">
        <w:rPr>
          <w:rFonts w:eastAsiaTheme="minorHAnsi" w:cstheme="minorBidi"/>
          <w:szCs w:val="22"/>
        </w:rPr>
        <w:t>Barsoum</w:t>
      </w:r>
      <w:proofErr w:type="spellEnd"/>
      <w:r w:rsidRPr="00E126EF">
        <w:rPr>
          <w:rFonts w:eastAsiaTheme="minorHAnsi" w:cstheme="minorBidi"/>
          <w:szCs w:val="22"/>
        </w:rPr>
        <w:t xml:space="preserve"> J. Tat-mediated delivery of heterologous proteins into cells. Proc Natl </w:t>
      </w:r>
      <w:proofErr w:type="spellStart"/>
      <w:r w:rsidRPr="00E126EF">
        <w:rPr>
          <w:rFonts w:eastAsiaTheme="minorHAnsi" w:cstheme="minorBidi"/>
          <w:szCs w:val="22"/>
        </w:rPr>
        <w:t>Acad</w:t>
      </w:r>
      <w:proofErr w:type="spellEnd"/>
      <w:r w:rsidRPr="00E126EF">
        <w:rPr>
          <w:rFonts w:eastAsiaTheme="minorHAnsi" w:cstheme="minorBidi"/>
          <w:szCs w:val="22"/>
        </w:rPr>
        <w:t xml:space="preserve"> Sci U S A 1994; 91:664-668</w:t>
      </w:r>
    </w:p>
    <w:p w14:paraId="7100F2A4"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484.</w:t>
      </w:r>
      <w:r w:rsidRPr="00E126EF">
        <w:rPr>
          <w:rFonts w:eastAsiaTheme="minorHAnsi" w:cstheme="minorBidi"/>
          <w:szCs w:val="22"/>
        </w:rPr>
        <w:tab/>
        <w:t xml:space="preserve">Kino T, Mirani M, </w:t>
      </w:r>
      <w:proofErr w:type="spellStart"/>
      <w:r w:rsidRPr="00E126EF">
        <w:rPr>
          <w:rFonts w:eastAsiaTheme="minorHAnsi" w:cstheme="minorBidi"/>
          <w:szCs w:val="22"/>
        </w:rPr>
        <w:t>Alesci</w:t>
      </w:r>
      <w:proofErr w:type="spellEnd"/>
      <w:r w:rsidRPr="00E126EF">
        <w:rPr>
          <w:rFonts w:eastAsiaTheme="minorHAnsi" w:cstheme="minorBidi"/>
          <w:szCs w:val="22"/>
        </w:rPr>
        <w:t xml:space="preserve"> S, Chrousos GP. AIDS-related lipodystrophy/insulin resistance syndrome. </w:t>
      </w:r>
      <w:proofErr w:type="spellStart"/>
      <w:r w:rsidRPr="00E126EF">
        <w:rPr>
          <w:rFonts w:eastAsiaTheme="minorHAnsi" w:cstheme="minorBidi"/>
          <w:szCs w:val="22"/>
        </w:rPr>
        <w:t>Horm</w:t>
      </w:r>
      <w:proofErr w:type="spellEnd"/>
      <w:r w:rsidRPr="00E126EF">
        <w:rPr>
          <w:rFonts w:eastAsiaTheme="minorHAnsi" w:cstheme="minorBidi"/>
          <w:szCs w:val="22"/>
        </w:rPr>
        <w:t xml:space="preserve"> </w:t>
      </w:r>
      <w:proofErr w:type="spellStart"/>
      <w:r w:rsidRPr="00E126EF">
        <w:rPr>
          <w:rFonts w:eastAsiaTheme="minorHAnsi" w:cstheme="minorBidi"/>
          <w:szCs w:val="22"/>
        </w:rPr>
        <w:t>Metab</w:t>
      </w:r>
      <w:proofErr w:type="spellEnd"/>
      <w:r w:rsidRPr="00E126EF">
        <w:rPr>
          <w:rFonts w:eastAsiaTheme="minorHAnsi" w:cstheme="minorBidi"/>
          <w:szCs w:val="22"/>
        </w:rPr>
        <w:t xml:space="preserve"> Res 2003; 35:129-136</w:t>
      </w:r>
    </w:p>
    <w:p w14:paraId="4C696E1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485.</w:t>
      </w:r>
      <w:r w:rsidRPr="00E126EF">
        <w:rPr>
          <w:rFonts w:eastAsiaTheme="minorHAnsi" w:cstheme="minorBidi"/>
          <w:szCs w:val="22"/>
        </w:rPr>
        <w:tab/>
        <w:t>Liu C. Adenoviruses. In: Belshe RB, ed. Textbook of human virology. 2nd ed. St. Louis: Mosby-Year Book, Inc.; 1991.</w:t>
      </w:r>
    </w:p>
    <w:p w14:paraId="03B26E83"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486.</w:t>
      </w:r>
      <w:r w:rsidRPr="00E126EF">
        <w:rPr>
          <w:rFonts w:eastAsiaTheme="minorHAnsi" w:cstheme="minorBidi"/>
          <w:szCs w:val="22"/>
        </w:rPr>
        <w:tab/>
      </w:r>
      <w:proofErr w:type="spellStart"/>
      <w:r w:rsidRPr="00E126EF">
        <w:rPr>
          <w:rFonts w:eastAsiaTheme="minorHAnsi" w:cstheme="minorBidi"/>
          <w:szCs w:val="22"/>
        </w:rPr>
        <w:t>Brockmann</w:t>
      </w:r>
      <w:proofErr w:type="spellEnd"/>
      <w:r w:rsidRPr="00E126EF">
        <w:rPr>
          <w:rFonts w:eastAsiaTheme="minorHAnsi" w:cstheme="minorBidi"/>
          <w:szCs w:val="22"/>
        </w:rPr>
        <w:t xml:space="preserve"> D, </w:t>
      </w:r>
      <w:proofErr w:type="spellStart"/>
      <w:r w:rsidRPr="00E126EF">
        <w:rPr>
          <w:rFonts w:eastAsiaTheme="minorHAnsi" w:cstheme="minorBidi"/>
          <w:szCs w:val="22"/>
        </w:rPr>
        <w:t>Esche</w:t>
      </w:r>
      <w:proofErr w:type="spellEnd"/>
      <w:r w:rsidRPr="00E126EF">
        <w:rPr>
          <w:rFonts w:eastAsiaTheme="minorHAnsi" w:cstheme="minorBidi"/>
          <w:szCs w:val="22"/>
        </w:rPr>
        <w:t xml:space="preserve"> H. The multifunctional role of E1A in the transcriptional regulation of CREB/CBP-dependent target genes. </w:t>
      </w:r>
      <w:proofErr w:type="spellStart"/>
      <w:r w:rsidRPr="00E126EF">
        <w:rPr>
          <w:rFonts w:eastAsiaTheme="minorHAnsi" w:cstheme="minorBidi"/>
          <w:szCs w:val="22"/>
        </w:rPr>
        <w:t>Curr</w:t>
      </w:r>
      <w:proofErr w:type="spellEnd"/>
      <w:r w:rsidRPr="00E126EF">
        <w:rPr>
          <w:rFonts w:eastAsiaTheme="minorHAnsi" w:cstheme="minorBidi"/>
          <w:szCs w:val="22"/>
        </w:rPr>
        <w:t xml:space="preserve"> Top Microbiol Immunol 2003; 272:97-129</w:t>
      </w:r>
    </w:p>
    <w:p w14:paraId="6F46437F"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487.</w:t>
      </w:r>
      <w:r w:rsidRPr="00E126EF">
        <w:rPr>
          <w:rFonts w:eastAsiaTheme="minorHAnsi" w:cstheme="minorBidi"/>
          <w:szCs w:val="22"/>
        </w:rPr>
        <w:tab/>
      </w:r>
      <w:proofErr w:type="spellStart"/>
      <w:r w:rsidRPr="00E126EF">
        <w:rPr>
          <w:rFonts w:eastAsiaTheme="minorHAnsi" w:cstheme="minorBidi"/>
          <w:szCs w:val="22"/>
        </w:rPr>
        <w:t>Chinnadurai</w:t>
      </w:r>
      <w:proofErr w:type="spellEnd"/>
      <w:r w:rsidRPr="00E126EF">
        <w:rPr>
          <w:rFonts w:eastAsiaTheme="minorHAnsi" w:cstheme="minorBidi"/>
          <w:szCs w:val="22"/>
        </w:rPr>
        <w:t xml:space="preserve"> G. CtBP, an unconventional transcriptional corepressor in development and oncogenesis. Mol Cell 2002; 9:213-224</w:t>
      </w:r>
    </w:p>
    <w:p w14:paraId="759849E8"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488.</w:t>
      </w:r>
      <w:r w:rsidRPr="00E126EF">
        <w:rPr>
          <w:rFonts w:eastAsiaTheme="minorHAnsi" w:cstheme="minorBidi"/>
          <w:szCs w:val="22"/>
        </w:rPr>
        <w:tab/>
        <w:t xml:space="preserve">Ng SS, Li A, </w:t>
      </w:r>
      <w:proofErr w:type="spellStart"/>
      <w:r w:rsidRPr="00E126EF">
        <w:rPr>
          <w:rFonts w:eastAsiaTheme="minorHAnsi" w:cstheme="minorBidi"/>
          <w:szCs w:val="22"/>
        </w:rPr>
        <w:t>Pavlakis</w:t>
      </w:r>
      <w:proofErr w:type="spellEnd"/>
      <w:r w:rsidRPr="00E126EF">
        <w:rPr>
          <w:rFonts w:eastAsiaTheme="minorHAnsi" w:cstheme="minorBidi"/>
          <w:szCs w:val="22"/>
        </w:rPr>
        <w:t xml:space="preserve"> GN, </w:t>
      </w:r>
      <w:proofErr w:type="spellStart"/>
      <w:r w:rsidRPr="00E126EF">
        <w:rPr>
          <w:rFonts w:eastAsiaTheme="minorHAnsi" w:cstheme="minorBidi"/>
          <w:szCs w:val="22"/>
        </w:rPr>
        <w:t>Ozato</w:t>
      </w:r>
      <w:proofErr w:type="spellEnd"/>
      <w:r w:rsidRPr="00E126EF">
        <w:rPr>
          <w:rFonts w:eastAsiaTheme="minorHAnsi" w:cstheme="minorBidi"/>
          <w:szCs w:val="22"/>
        </w:rPr>
        <w:t xml:space="preserve"> K, Kino T. Viral infection increases glucocorticoid-induced interleukin-10 production through ERK-mediated phosphorylation of the </w:t>
      </w:r>
      <w:r w:rsidRPr="00E126EF">
        <w:rPr>
          <w:rFonts w:eastAsiaTheme="minorHAnsi" w:cstheme="minorBidi"/>
          <w:szCs w:val="22"/>
        </w:rPr>
        <w:lastRenderedPageBreak/>
        <w:t xml:space="preserve">glucocorticoid receptor in dendritic cells: potential clinical implications. </w:t>
      </w:r>
      <w:proofErr w:type="spellStart"/>
      <w:r w:rsidRPr="00E126EF">
        <w:rPr>
          <w:rFonts w:eastAsiaTheme="minorHAnsi" w:cstheme="minorBidi"/>
          <w:szCs w:val="22"/>
        </w:rPr>
        <w:t>PLoS</w:t>
      </w:r>
      <w:proofErr w:type="spellEnd"/>
      <w:r w:rsidRPr="00E126EF">
        <w:rPr>
          <w:rFonts w:eastAsiaTheme="minorHAnsi" w:cstheme="minorBidi"/>
          <w:szCs w:val="22"/>
        </w:rPr>
        <w:t xml:space="preserve"> One 2013; </w:t>
      </w:r>
      <w:proofErr w:type="gramStart"/>
      <w:r w:rsidRPr="00E126EF">
        <w:rPr>
          <w:rFonts w:eastAsiaTheme="minorHAnsi" w:cstheme="minorBidi"/>
          <w:szCs w:val="22"/>
        </w:rPr>
        <w:t>8:e</w:t>
      </w:r>
      <w:proofErr w:type="gramEnd"/>
      <w:r w:rsidRPr="00E126EF">
        <w:rPr>
          <w:rFonts w:eastAsiaTheme="minorHAnsi" w:cstheme="minorBidi"/>
          <w:szCs w:val="22"/>
        </w:rPr>
        <w:t>63587</w:t>
      </w:r>
    </w:p>
    <w:p w14:paraId="6E58435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489.</w:t>
      </w:r>
      <w:r w:rsidRPr="00E126EF">
        <w:rPr>
          <w:rFonts w:eastAsiaTheme="minorHAnsi" w:cstheme="minorBidi"/>
          <w:szCs w:val="22"/>
        </w:rPr>
        <w:tab/>
      </w:r>
      <w:proofErr w:type="spellStart"/>
      <w:r w:rsidRPr="00E126EF">
        <w:rPr>
          <w:rFonts w:eastAsiaTheme="minorHAnsi" w:cstheme="minorBidi"/>
          <w:szCs w:val="22"/>
        </w:rPr>
        <w:t>Hinzey</w:t>
      </w:r>
      <w:proofErr w:type="spellEnd"/>
      <w:r w:rsidRPr="00E126EF">
        <w:rPr>
          <w:rFonts w:eastAsiaTheme="minorHAnsi" w:cstheme="minorBidi"/>
          <w:szCs w:val="22"/>
        </w:rPr>
        <w:t xml:space="preserve"> A, Alexander J, Corry J, Adams KM, Claggett AM, Traylor ZP, Davis IC, Webster </w:t>
      </w:r>
      <w:proofErr w:type="spellStart"/>
      <w:r w:rsidRPr="00E126EF">
        <w:rPr>
          <w:rFonts w:eastAsiaTheme="minorHAnsi" w:cstheme="minorBidi"/>
          <w:szCs w:val="22"/>
        </w:rPr>
        <w:t>Marketon</w:t>
      </w:r>
      <w:proofErr w:type="spellEnd"/>
      <w:r w:rsidRPr="00E126EF">
        <w:rPr>
          <w:rFonts w:eastAsiaTheme="minorHAnsi" w:cstheme="minorBidi"/>
          <w:szCs w:val="22"/>
        </w:rPr>
        <w:t xml:space="preserve"> JI. Respiratory syncytial virus represses glucocorticoid receptor-mediated gene activation. Endocrinology 2011; 152:483-494</w:t>
      </w:r>
    </w:p>
    <w:p w14:paraId="4B1C366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490.</w:t>
      </w:r>
      <w:r w:rsidRPr="00E126EF">
        <w:rPr>
          <w:rFonts w:eastAsiaTheme="minorHAnsi" w:cstheme="minorBidi"/>
          <w:szCs w:val="22"/>
        </w:rPr>
        <w:tab/>
        <w:t xml:space="preserve">Webster </w:t>
      </w:r>
      <w:proofErr w:type="spellStart"/>
      <w:r w:rsidRPr="00E126EF">
        <w:rPr>
          <w:rFonts w:eastAsiaTheme="minorHAnsi" w:cstheme="minorBidi"/>
          <w:szCs w:val="22"/>
        </w:rPr>
        <w:t>Marketon</w:t>
      </w:r>
      <w:proofErr w:type="spellEnd"/>
      <w:r w:rsidRPr="00E126EF">
        <w:rPr>
          <w:rFonts w:eastAsiaTheme="minorHAnsi" w:cstheme="minorBidi"/>
          <w:szCs w:val="22"/>
        </w:rPr>
        <w:t xml:space="preserve"> JI, Corry J, Teng MN. The respiratory syncytial virus (RSV) nonstructural proteins mediate RSV suppression of glucocorticoid receptor transactivation. Virology. 2014; 449:62-69</w:t>
      </w:r>
    </w:p>
    <w:p w14:paraId="145FC026" w14:textId="77777777" w:rsidR="00E126EF" w:rsidRPr="00E126EF" w:rsidRDefault="00E126EF" w:rsidP="00E126EF">
      <w:pPr>
        <w:ind w:left="576" w:hanging="576"/>
        <w:rPr>
          <w:rFonts w:eastAsiaTheme="minorHAnsi" w:cstheme="minorBidi"/>
          <w:szCs w:val="22"/>
        </w:rPr>
      </w:pPr>
      <w:r w:rsidRPr="00E126EF">
        <w:rPr>
          <w:rFonts w:eastAsiaTheme="minorHAnsi" w:cstheme="minorBidi"/>
          <w:szCs w:val="22"/>
        </w:rPr>
        <w:t>491.</w:t>
      </w:r>
      <w:r w:rsidRPr="00E126EF">
        <w:rPr>
          <w:rFonts w:eastAsiaTheme="minorHAnsi" w:cstheme="minorBidi"/>
          <w:szCs w:val="22"/>
        </w:rPr>
        <w:tab/>
      </w:r>
      <w:proofErr w:type="spellStart"/>
      <w:r w:rsidRPr="00E126EF">
        <w:rPr>
          <w:rFonts w:eastAsiaTheme="minorHAnsi" w:cstheme="minorBidi"/>
          <w:szCs w:val="22"/>
        </w:rPr>
        <w:t>Xie</w:t>
      </w:r>
      <w:proofErr w:type="spellEnd"/>
      <w:r w:rsidRPr="00E126EF">
        <w:rPr>
          <w:rFonts w:eastAsiaTheme="minorHAnsi" w:cstheme="minorBidi"/>
          <w:szCs w:val="22"/>
        </w:rPr>
        <w:t xml:space="preserve"> J, Long X, Gao L, Chen S, Zhao K, Li W, Zhou N, Zang N, Deng Y, Ren L, Wang L, Luo Z, Tu W, Zhao X, Fu Z, </w:t>
      </w:r>
      <w:proofErr w:type="spellStart"/>
      <w:r w:rsidRPr="00E126EF">
        <w:rPr>
          <w:rFonts w:eastAsiaTheme="minorHAnsi" w:cstheme="minorBidi"/>
          <w:szCs w:val="22"/>
        </w:rPr>
        <w:t>Xie</w:t>
      </w:r>
      <w:proofErr w:type="spellEnd"/>
      <w:r w:rsidRPr="00E126EF">
        <w:rPr>
          <w:rFonts w:eastAsiaTheme="minorHAnsi" w:cstheme="minorBidi"/>
          <w:szCs w:val="22"/>
        </w:rPr>
        <w:t xml:space="preserve"> X, Liu E. Respiratory Syncytial Virus Nonstructural Protein 1 Blocks Glucocorticoid Receptor Nuclear Translocation by Targeting IPO13 and May Account for Glucocorticoid Insensitivity. J Infect Dis. 2017; 217(1):35-46</w:t>
      </w:r>
    </w:p>
    <w:p w14:paraId="1B914699" w14:textId="2F4E095E" w:rsidR="00E126EF" w:rsidRDefault="00E126EF" w:rsidP="009D1B1F">
      <w:pPr>
        <w:shd w:val="clear" w:color="auto" w:fill="FFFFFF"/>
        <w:ind w:left="576" w:hanging="576"/>
        <w:outlineLvl w:val="1"/>
        <w:rPr>
          <w:rFonts w:eastAsia="Times New Roman" w:cs="Arial"/>
          <w:b/>
          <w:bCs/>
          <w:szCs w:val="22"/>
        </w:rPr>
      </w:pPr>
    </w:p>
    <w:p w14:paraId="5FCA1973" w14:textId="673F3F1B" w:rsidR="00E126EF" w:rsidRDefault="00E126EF" w:rsidP="009D1B1F">
      <w:pPr>
        <w:shd w:val="clear" w:color="auto" w:fill="FFFFFF"/>
        <w:ind w:left="576" w:hanging="576"/>
        <w:outlineLvl w:val="1"/>
        <w:rPr>
          <w:rFonts w:eastAsia="Times New Roman" w:cs="Arial"/>
          <w:b/>
          <w:bCs/>
          <w:szCs w:val="22"/>
        </w:rPr>
      </w:pPr>
    </w:p>
    <w:p w14:paraId="0064EDBE" w14:textId="3B0139F6" w:rsidR="00E126EF" w:rsidRDefault="00E126EF" w:rsidP="009D1B1F">
      <w:pPr>
        <w:shd w:val="clear" w:color="auto" w:fill="FFFFFF"/>
        <w:ind w:left="576" w:hanging="576"/>
        <w:outlineLvl w:val="1"/>
        <w:rPr>
          <w:rFonts w:eastAsia="Times New Roman" w:cs="Arial"/>
          <w:b/>
          <w:bCs/>
          <w:szCs w:val="22"/>
        </w:rPr>
      </w:pPr>
    </w:p>
    <w:p w14:paraId="39196517" w14:textId="1E47F99A" w:rsidR="00E126EF" w:rsidRDefault="00E126EF" w:rsidP="009D1B1F">
      <w:pPr>
        <w:shd w:val="clear" w:color="auto" w:fill="FFFFFF"/>
        <w:ind w:left="576" w:hanging="576"/>
        <w:outlineLvl w:val="1"/>
        <w:rPr>
          <w:rFonts w:eastAsia="Times New Roman" w:cs="Arial"/>
          <w:b/>
          <w:bCs/>
          <w:szCs w:val="22"/>
        </w:rPr>
      </w:pPr>
    </w:p>
    <w:p w14:paraId="4A3F3F0B" w14:textId="77626860" w:rsidR="00E126EF" w:rsidRDefault="00E126EF" w:rsidP="009D1B1F">
      <w:pPr>
        <w:shd w:val="clear" w:color="auto" w:fill="FFFFFF"/>
        <w:ind w:left="576" w:hanging="576"/>
        <w:outlineLvl w:val="1"/>
        <w:rPr>
          <w:rFonts w:eastAsia="Times New Roman" w:cs="Arial"/>
          <w:b/>
          <w:bCs/>
          <w:szCs w:val="22"/>
        </w:rPr>
      </w:pPr>
    </w:p>
    <w:p w14:paraId="154B33D9" w14:textId="0110C0CF" w:rsidR="00E126EF" w:rsidRDefault="00E126EF" w:rsidP="009D1B1F">
      <w:pPr>
        <w:shd w:val="clear" w:color="auto" w:fill="FFFFFF"/>
        <w:ind w:left="576" w:hanging="576"/>
        <w:outlineLvl w:val="1"/>
        <w:rPr>
          <w:rFonts w:eastAsia="Times New Roman" w:cs="Arial"/>
          <w:b/>
          <w:bCs/>
          <w:szCs w:val="22"/>
        </w:rPr>
      </w:pPr>
    </w:p>
    <w:sectPr w:rsidR="00E12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Segoe Print"/>
    <w:charset w:val="00"/>
    <w:family w:val="swiss"/>
    <w:pitch w:val="default"/>
    <w:sig w:usb0="00000000" w:usb1="00000000" w:usb2="00000000" w:usb3="00000000" w:csb0="00000001" w:csb1="00000000"/>
  </w:font>
  <w:font w:name="ArialMT">
    <w:altName w:val="Times New Roman"/>
    <w:charset w:val="00"/>
    <w:family w:val="roman"/>
    <w:pitch w:val="default"/>
  </w:font>
  <w:font w:name="SymbolMT">
    <w:altName w:val="Times New Roman"/>
    <w:charset w:val="00"/>
    <w:family w:val="roman"/>
    <w:pitch w:val="default"/>
  </w:font>
  <w:font w:name="Arial-ItalicMT">
    <w:altName w:val="Times New Roman"/>
    <w:charset w:val="00"/>
    <w:family w:val="roman"/>
    <w:pitch w:val="default"/>
  </w:font>
  <w:font w:name="Arial-BoldItalicMT">
    <w:altName w:val="Times New Roman"/>
    <w:charset w:val="00"/>
    <w:family w:val="roman"/>
    <w:pitch w:val="default"/>
  </w:font>
  <w:font w:name="Microsoft Sans Serif">
    <w:altName w:val="﷽﷽﷽﷽﷽﷽﷽﷽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3FAAB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BE0F7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7846D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6CC10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0098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FAB8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6467A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F60E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9C67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B290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192632"/>
    <w:multiLevelType w:val="hybridMultilevel"/>
    <w:tmpl w:val="7C7AF7F4"/>
    <w:lvl w:ilvl="0" w:tplc="B38C920E">
      <w:start w:val="1"/>
      <w:numFmt w:val="bullet"/>
      <w:pStyle w:val="Bulletedlist1"/>
      <w:lvlText w:val=""/>
      <w:lvlJc w:val="left"/>
      <w:pPr>
        <w:ind w:left="900" w:hanging="360"/>
      </w:pPr>
      <w:rPr>
        <w:rFonts w:ascii="Symbol" w:hAnsi="Symbol" w:hint="default"/>
      </w:rPr>
    </w:lvl>
    <w:lvl w:ilvl="1" w:tplc="711E01D6">
      <w:start w:val="1"/>
      <w:numFmt w:val="bullet"/>
      <w:pStyle w:val="Bulletedlist2"/>
      <w:lvlText w:val="o"/>
      <w:lvlJc w:val="left"/>
      <w:pPr>
        <w:ind w:left="1440" w:hanging="360"/>
      </w:pPr>
      <w:rPr>
        <w:rFonts w:ascii="Courier New" w:hAnsi="Courier New" w:cs="Courier New" w:hint="default"/>
      </w:rPr>
    </w:lvl>
    <w:lvl w:ilvl="2" w:tplc="E7F063E6">
      <w:start w:val="1"/>
      <w:numFmt w:val="bullet"/>
      <w:pStyle w:val="Bulletedlist3"/>
      <w:lvlText w:val=""/>
      <w:lvlJc w:val="left"/>
      <w:pPr>
        <w:ind w:left="2160" w:hanging="360"/>
      </w:pPr>
      <w:rPr>
        <w:rFonts w:ascii="Wingdings" w:hAnsi="Wingdings" w:hint="default"/>
      </w:rPr>
    </w:lvl>
    <w:lvl w:ilvl="3" w:tplc="D6D2CD1C">
      <w:start w:val="1"/>
      <w:numFmt w:val="bullet"/>
      <w:lvlText w:val=""/>
      <w:lvlJc w:val="left"/>
      <w:pPr>
        <w:ind w:left="2880" w:hanging="360"/>
      </w:pPr>
      <w:rPr>
        <w:rFonts w:ascii="Symbol" w:hAnsi="Symbol" w:hint="default"/>
      </w:rPr>
    </w:lvl>
    <w:lvl w:ilvl="4" w:tplc="02D64550">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D2280"/>
    <w:multiLevelType w:val="multilevel"/>
    <w:tmpl w:val="658C01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ulletedlist4"/>
      <w:lvlText w:val="%4."/>
      <w:lvlJc w:val="left"/>
      <w:pPr>
        <w:tabs>
          <w:tab w:val="num" w:pos="2880"/>
        </w:tabs>
        <w:ind w:left="2880" w:hanging="720"/>
      </w:pPr>
    </w:lvl>
    <w:lvl w:ilvl="4">
      <w:start w:val="1"/>
      <w:numFmt w:val="decimal"/>
      <w:pStyle w:val="Bulletedlist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87D2AB0"/>
    <w:multiLevelType w:val="multilevel"/>
    <w:tmpl w:val="B722006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0"/>
  </w:num>
  <w:num w:numId="3">
    <w:abstractNumId w:val="10"/>
  </w:num>
  <w:num w:numId="4">
    <w:abstractNumId w:val="10"/>
  </w:num>
  <w:num w:numId="5">
    <w:abstractNumId w:val="10"/>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10"/>
  </w:num>
  <w:num w:numId="18">
    <w:abstractNumId w:val="10"/>
  </w:num>
  <w:num w:numId="19">
    <w:abstractNumId w:val="10"/>
  </w:num>
  <w:num w:numId="20">
    <w:abstractNumId w:val="1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68"/>
    <w:rsid w:val="00014C0E"/>
    <w:rsid w:val="000275C1"/>
    <w:rsid w:val="00032A33"/>
    <w:rsid w:val="00032E7D"/>
    <w:rsid w:val="00051D26"/>
    <w:rsid w:val="000524AB"/>
    <w:rsid w:val="0005613B"/>
    <w:rsid w:val="000624A7"/>
    <w:rsid w:val="00070953"/>
    <w:rsid w:val="000726C6"/>
    <w:rsid w:val="00076DC3"/>
    <w:rsid w:val="00080643"/>
    <w:rsid w:val="00085F07"/>
    <w:rsid w:val="0009261C"/>
    <w:rsid w:val="000A7116"/>
    <w:rsid w:val="000D1812"/>
    <w:rsid w:val="000E0891"/>
    <w:rsid w:val="000E358C"/>
    <w:rsid w:val="000E3CF8"/>
    <w:rsid w:val="000F6373"/>
    <w:rsid w:val="00110652"/>
    <w:rsid w:val="00113D1A"/>
    <w:rsid w:val="00116372"/>
    <w:rsid w:val="00127A0F"/>
    <w:rsid w:val="001315B6"/>
    <w:rsid w:val="001354F3"/>
    <w:rsid w:val="00154A76"/>
    <w:rsid w:val="00156398"/>
    <w:rsid w:val="0017133A"/>
    <w:rsid w:val="001752CD"/>
    <w:rsid w:val="00185232"/>
    <w:rsid w:val="00190CCD"/>
    <w:rsid w:val="001977DB"/>
    <w:rsid w:val="001B1E2E"/>
    <w:rsid w:val="001B3EAC"/>
    <w:rsid w:val="001B6DE3"/>
    <w:rsid w:val="001C6D7D"/>
    <w:rsid w:val="001E649F"/>
    <w:rsid w:val="001F53D5"/>
    <w:rsid w:val="002232ED"/>
    <w:rsid w:val="00223776"/>
    <w:rsid w:val="0023133E"/>
    <w:rsid w:val="00241199"/>
    <w:rsid w:val="00243A5D"/>
    <w:rsid w:val="00253C8C"/>
    <w:rsid w:val="00264C4E"/>
    <w:rsid w:val="002656BD"/>
    <w:rsid w:val="00267C39"/>
    <w:rsid w:val="00276A02"/>
    <w:rsid w:val="0029079B"/>
    <w:rsid w:val="00290B68"/>
    <w:rsid w:val="002B7880"/>
    <w:rsid w:val="002C212F"/>
    <w:rsid w:val="002C21A7"/>
    <w:rsid w:val="002C2E1E"/>
    <w:rsid w:val="002C7A09"/>
    <w:rsid w:val="002E3225"/>
    <w:rsid w:val="002E48C8"/>
    <w:rsid w:val="0030672F"/>
    <w:rsid w:val="0031280E"/>
    <w:rsid w:val="00333FC2"/>
    <w:rsid w:val="00343095"/>
    <w:rsid w:val="00345550"/>
    <w:rsid w:val="00364F1A"/>
    <w:rsid w:val="00371409"/>
    <w:rsid w:val="0037484B"/>
    <w:rsid w:val="00380E61"/>
    <w:rsid w:val="00381F6A"/>
    <w:rsid w:val="003B1AA6"/>
    <w:rsid w:val="003B3DE0"/>
    <w:rsid w:val="003D67D1"/>
    <w:rsid w:val="003E22DF"/>
    <w:rsid w:val="003E231A"/>
    <w:rsid w:val="003E7CAF"/>
    <w:rsid w:val="003E7E0A"/>
    <w:rsid w:val="00423E34"/>
    <w:rsid w:val="00424A4F"/>
    <w:rsid w:val="0042612D"/>
    <w:rsid w:val="00427D0A"/>
    <w:rsid w:val="00430A08"/>
    <w:rsid w:val="0043315C"/>
    <w:rsid w:val="004463DD"/>
    <w:rsid w:val="00464D14"/>
    <w:rsid w:val="00465400"/>
    <w:rsid w:val="0047417A"/>
    <w:rsid w:val="00485F8B"/>
    <w:rsid w:val="00491F41"/>
    <w:rsid w:val="004B30F4"/>
    <w:rsid w:val="004B6956"/>
    <w:rsid w:val="004C5ABD"/>
    <w:rsid w:val="004D053F"/>
    <w:rsid w:val="004D0A4F"/>
    <w:rsid w:val="004D4F4E"/>
    <w:rsid w:val="004E2FDE"/>
    <w:rsid w:val="004E4BBD"/>
    <w:rsid w:val="004F37B6"/>
    <w:rsid w:val="004F3BEB"/>
    <w:rsid w:val="004F5EED"/>
    <w:rsid w:val="00505C8D"/>
    <w:rsid w:val="00506E45"/>
    <w:rsid w:val="005124E8"/>
    <w:rsid w:val="0051768C"/>
    <w:rsid w:val="00522E70"/>
    <w:rsid w:val="00523ECC"/>
    <w:rsid w:val="00526798"/>
    <w:rsid w:val="00531FA7"/>
    <w:rsid w:val="0053711F"/>
    <w:rsid w:val="0054497D"/>
    <w:rsid w:val="0055643C"/>
    <w:rsid w:val="00564C26"/>
    <w:rsid w:val="00564F3B"/>
    <w:rsid w:val="00565DC6"/>
    <w:rsid w:val="00575B1D"/>
    <w:rsid w:val="00575F73"/>
    <w:rsid w:val="00581D93"/>
    <w:rsid w:val="00583056"/>
    <w:rsid w:val="005A3ED7"/>
    <w:rsid w:val="005C0455"/>
    <w:rsid w:val="005C4D0C"/>
    <w:rsid w:val="005F0653"/>
    <w:rsid w:val="006018B8"/>
    <w:rsid w:val="00604A19"/>
    <w:rsid w:val="006076F9"/>
    <w:rsid w:val="006120B8"/>
    <w:rsid w:val="00615E13"/>
    <w:rsid w:val="0062012E"/>
    <w:rsid w:val="00625882"/>
    <w:rsid w:val="00631F7B"/>
    <w:rsid w:val="006357FA"/>
    <w:rsid w:val="006362B2"/>
    <w:rsid w:val="00636C86"/>
    <w:rsid w:val="00650285"/>
    <w:rsid w:val="00656467"/>
    <w:rsid w:val="00656A20"/>
    <w:rsid w:val="00661222"/>
    <w:rsid w:val="0066219C"/>
    <w:rsid w:val="00664058"/>
    <w:rsid w:val="00670D24"/>
    <w:rsid w:val="00675E9C"/>
    <w:rsid w:val="00683953"/>
    <w:rsid w:val="006A24F3"/>
    <w:rsid w:val="006A4887"/>
    <w:rsid w:val="006B7843"/>
    <w:rsid w:val="006B7A8B"/>
    <w:rsid w:val="006C6590"/>
    <w:rsid w:val="006D05D9"/>
    <w:rsid w:val="006D6DCB"/>
    <w:rsid w:val="006E5954"/>
    <w:rsid w:val="006E7FA3"/>
    <w:rsid w:val="006F2F0A"/>
    <w:rsid w:val="006F6F9C"/>
    <w:rsid w:val="006F7C47"/>
    <w:rsid w:val="00707DE7"/>
    <w:rsid w:val="00717ABF"/>
    <w:rsid w:val="007338CD"/>
    <w:rsid w:val="007350DA"/>
    <w:rsid w:val="00745393"/>
    <w:rsid w:val="00756777"/>
    <w:rsid w:val="00764A22"/>
    <w:rsid w:val="00765FCA"/>
    <w:rsid w:val="00766854"/>
    <w:rsid w:val="00767F5E"/>
    <w:rsid w:val="00782946"/>
    <w:rsid w:val="0079485A"/>
    <w:rsid w:val="00797821"/>
    <w:rsid w:val="00797B4D"/>
    <w:rsid w:val="007A296A"/>
    <w:rsid w:val="007B2041"/>
    <w:rsid w:val="007B42D5"/>
    <w:rsid w:val="007B6503"/>
    <w:rsid w:val="007B74B1"/>
    <w:rsid w:val="007C0066"/>
    <w:rsid w:val="007D3C80"/>
    <w:rsid w:val="007D53F1"/>
    <w:rsid w:val="007D6B28"/>
    <w:rsid w:val="007E07D7"/>
    <w:rsid w:val="007E49DB"/>
    <w:rsid w:val="007E4EE1"/>
    <w:rsid w:val="007E6BCA"/>
    <w:rsid w:val="007F00F7"/>
    <w:rsid w:val="008063DA"/>
    <w:rsid w:val="00810420"/>
    <w:rsid w:val="00831230"/>
    <w:rsid w:val="008331BD"/>
    <w:rsid w:val="00837168"/>
    <w:rsid w:val="0084613D"/>
    <w:rsid w:val="00865FC6"/>
    <w:rsid w:val="00880757"/>
    <w:rsid w:val="008808C4"/>
    <w:rsid w:val="0088680C"/>
    <w:rsid w:val="00895893"/>
    <w:rsid w:val="0089592A"/>
    <w:rsid w:val="008A015E"/>
    <w:rsid w:val="008B19C5"/>
    <w:rsid w:val="008C318E"/>
    <w:rsid w:val="008D2CC7"/>
    <w:rsid w:val="008F431A"/>
    <w:rsid w:val="00915508"/>
    <w:rsid w:val="00915994"/>
    <w:rsid w:val="00917D9A"/>
    <w:rsid w:val="009226F5"/>
    <w:rsid w:val="009271F0"/>
    <w:rsid w:val="009301A4"/>
    <w:rsid w:val="00932AA0"/>
    <w:rsid w:val="009406F2"/>
    <w:rsid w:val="00942A09"/>
    <w:rsid w:val="00944C80"/>
    <w:rsid w:val="0096101E"/>
    <w:rsid w:val="009724C0"/>
    <w:rsid w:val="00973700"/>
    <w:rsid w:val="00981B00"/>
    <w:rsid w:val="00984329"/>
    <w:rsid w:val="009869F2"/>
    <w:rsid w:val="0099136F"/>
    <w:rsid w:val="00995BFF"/>
    <w:rsid w:val="009A44A9"/>
    <w:rsid w:val="009A60F0"/>
    <w:rsid w:val="009B08C3"/>
    <w:rsid w:val="009B1A30"/>
    <w:rsid w:val="009C2605"/>
    <w:rsid w:val="009D1B1F"/>
    <w:rsid w:val="009D499D"/>
    <w:rsid w:val="009E2631"/>
    <w:rsid w:val="009E4E26"/>
    <w:rsid w:val="009F1109"/>
    <w:rsid w:val="009F3492"/>
    <w:rsid w:val="009F6DF2"/>
    <w:rsid w:val="00A0703E"/>
    <w:rsid w:val="00A07E8D"/>
    <w:rsid w:val="00A1062B"/>
    <w:rsid w:val="00A11A16"/>
    <w:rsid w:val="00A12174"/>
    <w:rsid w:val="00A24B52"/>
    <w:rsid w:val="00A301E7"/>
    <w:rsid w:val="00A44445"/>
    <w:rsid w:val="00A476C5"/>
    <w:rsid w:val="00A54444"/>
    <w:rsid w:val="00A570E2"/>
    <w:rsid w:val="00A97E39"/>
    <w:rsid w:val="00A97EA8"/>
    <w:rsid w:val="00AB6A88"/>
    <w:rsid w:val="00AB7A51"/>
    <w:rsid w:val="00AC154E"/>
    <w:rsid w:val="00AD7169"/>
    <w:rsid w:val="00AE56EF"/>
    <w:rsid w:val="00AE602F"/>
    <w:rsid w:val="00AF6446"/>
    <w:rsid w:val="00B0169F"/>
    <w:rsid w:val="00B16C3A"/>
    <w:rsid w:val="00B30F57"/>
    <w:rsid w:val="00B33C10"/>
    <w:rsid w:val="00B4774A"/>
    <w:rsid w:val="00B548E4"/>
    <w:rsid w:val="00B55874"/>
    <w:rsid w:val="00B565E4"/>
    <w:rsid w:val="00B60620"/>
    <w:rsid w:val="00B62E8A"/>
    <w:rsid w:val="00B66171"/>
    <w:rsid w:val="00B71673"/>
    <w:rsid w:val="00B851C2"/>
    <w:rsid w:val="00B90360"/>
    <w:rsid w:val="00B9568F"/>
    <w:rsid w:val="00B95AB5"/>
    <w:rsid w:val="00BA0C71"/>
    <w:rsid w:val="00BA0E5F"/>
    <w:rsid w:val="00BB075F"/>
    <w:rsid w:val="00BB4D51"/>
    <w:rsid w:val="00BB6F2B"/>
    <w:rsid w:val="00BD0D0C"/>
    <w:rsid w:val="00BE2D1C"/>
    <w:rsid w:val="00BF4D10"/>
    <w:rsid w:val="00BF7C77"/>
    <w:rsid w:val="00C004FC"/>
    <w:rsid w:val="00C153F9"/>
    <w:rsid w:val="00C20D8B"/>
    <w:rsid w:val="00C24E27"/>
    <w:rsid w:val="00C2630B"/>
    <w:rsid w:val="00C44214"/>
    <w:rsid w:val="00C50742"/>
    <w:rsid w:val="00C51F0F"/>
    <w:rsid w:val="00C53492"/>
    <w:rsid w:val="00C73F0D"/>
    <w:rsid w:val="00C85C22"/>
    <w:rsid w:val="00C90AAB"/>
    <w:rsid w:val="00CA2A5D"/>
    <w:rsid w:val="00CA74A7"/>
    <w:rsid w:val="00CB2025"/>
    <w:rsid w:val="00CE4C3C"/>
    <w:rsid w:val="00CE6FBE"/>
    <w:rsid w:val="00CF03BE"/>
    <w:rsid w:val="00CF6F44"/>
    <w:rsid w:val="00CF7A01"/>
    <w:rsid w:val="00D11D10"/>
    <w:rsid w:val="00D14733"/>
    <w:rsid w:val="00D21868"/>
    <w:rsid w:val="00D30DF8"/>
    <w:rsid w:val="00D37FDF"/>
    <w:rsid w:val="00D46835"/>
    <w:rsid w:val="00D4791A"/>
    <w:rsid w:val="00D509B6"/>
    <w:rsid w:val="00D5226F"/>
    <w:rsid w:val="00D53EAD"/>
    <w:rsid w:val="00D56860"/>
    <w:rsid w:val="00D610D6"/>
    <w:rsid w:val="00D620C4"/>
    <w:rsid w:val="00D6425A"/>
    <w:rsid w:val="00D70BE5"/>
    <w:rsid w:val="00D73EF4"/>
    <w:rsid w:val="00D74C26"/>
    <w:rsid w:val="00D80362"/>
    <w:rsid w:val="00DA162B"/>
    <w:rsid w:val="00DA23A9"/>
    <w:rsid w:val="00DA5D10"/>
    <w:rsid w:val="00DA6821"/>
    <w:rsid w:val="00DB0262"/>
    <w:rsid w:val="00DB25DC"/>
    <w:rsid w:val="00DD1FF3"/>
    <w:rsid w:val="00DE4BB7"/>
    <w:rsid w:val="00DE7A6B"/>
    <w:rsid w:val="00E028B4"/>
    <w:rsid w:val="00E02D48"/>
    <w:rsid w:val="00E03B00"/>
    <w:rsid w:val="00E03B0C"/>
    <w:rsid w:val="00E04293"/>
    <w:rsid w:val="00E051CD"/>
    <w:rsid w:val="00E07401"/>
    <w:rsid w:val="00E126EF"/>
    <w:rsid w:val="00E12768"/>
    <w:rsid w:val="00E25110"/>
    <w:rsid w:val="00E30CE3"/>
    <w:rsid w:val="00E3420E"/>
    <w:rsid w:val="00E40315"/>
    <w:rsid w:val="00E43B85"/>
    <w:rsid w:val="00E57007"/>
    <w:rsid w:val="00E57E15"/>
    <w:rsid w:val="00E62D14"/>
    <w:rsid w:val="00E678F7"/>
    <w:rsid w:val="00E7007C"/>
    <w:rsid w:val="00E73D87"/>
    <w:rsid w:val="00E77ED6"/>
    <w:rsid w:val="00E8650F"/>
    <w:rsid w:val="00E91694"/>
    <w:rsid w:val="00E9316E"/>
    <w:rsid w:val="00E933A5"/>
    <w:rsid w:val="00EA26E8"/>
    <w:rsid w:val="00EB3EC0"/>
    <w:rsid w:val="00EB4203"/>
    <w:rsid w:val="00ED1422"/>
    <w:rsid w:val="00ED74D4"/>
    <w:rsid w:val="00EE1654"/>
    <w:rsid w:val="00EE2D13"/>
    <w:rsid w:val="00F009BC"/>
    <w:rsid w:val="00F01461"/>
    <w:rsid w:val="00F13B31"/>
    <w:rsid w:val="00F13F73"/>
    <w:rsid w:val="00F140E2"/>
    <w:rsid w:val="00F148F0"/>
    <w:rsid w:val="00F176DC"/>
    <w:rsid w:val="00F246F9"/>
    <w:rsid w:val="00F3021E"/>
    <w:rsid w:val="00F315B7"/>
    <w:rsid w:val="00F34D85"/>
    <w:rsid w:val="00F47850"/>
    <w:rsid w:val="00F52D28"/>
    <w:rsid w:val="00F66814"/>
    <w:rsid w:val="00F71F08"/>
    <w:rsid w:val="00F91371"/>
    <w:rsid w:val="00F92A03"/>
    <w:rsid w:val="00FB31E1"/>
    <w:rsid w:val="00FC4C78"/>
    <w:rsid w:val="00FC6746"/>
    <w:rsid w:val="00FD0D2C"/>
    <w:rsid w:val="00FE0FFC"/>
    <w:rsid w:val="00FF1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21572"/>
  <w15:chartTrackingRefBased/>
  <w15:docId w15:val="{424CA254-4B15-4886-9513-185278084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0D8B"/>
    <w:pPr>
      <w:spacing w:line="276" w:lineRule="auto"/>
    </w:pPr>
    <w:rPr>
      <w:rFonts w:ascii="Arial" w:hAnsi="Arial"/>
      <w:sz w:val="22"/>
    </w:rPr>
  </w:style>
  <w:style w:type="paragraph" w:styleId="Heading1">
    <w:name w:val="heading 1"/>
    <w:basedOn w:val="Normal"/>
    <w:next w:val="Normal"/>
    <w:link w:val="Heading1Char"/>
    <w:autoRedefine/>
    <w:qFormat/>
    <w:rsid w:val="00675E9C"/>
    <w:pPr>
      <w:keepNext/>
      <w:outlineLvl w:val="0"/>
    </w:pPr>
    <w:rPr>
      <w:b/>
      <w:color w:val="9E0000"/>
      <w:sz w:val="28"/>
    </w:rPr>
  </w:style>
  <w:style w:type="paragraph" w:styleId="Heading2">
    <w:name w:val="heading 2"/>
    <w:basedOn w:val="Normal"/>
    <w:next w:val="Normal"/>
    <w:link w:val="Heading2Char"/>
    <w:autoRedefine/>
    <w:uiPriority w:val="9"/>
    <w:qFormat/>
    <w:rsid w:val="00675E9C"/>
    <w:pPr>
      <w:keepNext/>
      <w:outlineLvl w:val="1"/>
    </w:pPr>
    <w:rPr>
      <w:rFonts w:cs="Arial"/>
      <w:b/>
      <w:caps/>
      <w:color w:val="44546A" w:themeColor="text2"/>
      <w:szCs w:val="22"/>
      <w:shd w:val="clear" w:color="auto" w:fill="FFFFFF"/>
      <w:lang w:eastAsia="it-IT"/>
    </w:rPr>
  </w:style>
  <w:style w:type="paragraph" w:styleId="Heading3">
    <w:name w:val="heading 3"/>
    <w:basedOn w:val="Normal"/>
    <w:next w:val="Normal"/>
    <w:link w:val="Heading3Char"/>
    <w:autoRedefine/>
    <w:uiPriority w:val="9"/>
    <w:qFormat/>
    <w:rsid w:val="00675E9C"/>
    <w:pPr>
      <w:keepNext/>
      <w:outlineLvl w:val="2"/>
    </w:pPr>
    <w:rPr>
      <w:b/>
      <w:color w:val="00B050"/>
      <w:shd w:val="clear" w:color="auto" w:fill="FFFFFF"/>
      <w:lang w:eastAsia="it-IT"/>
    </w:rPr>
  </w:style>
  <w:style w:type="paragraph" w:styleId="Heading4">
    <w:name w:val="heading 4"/>
    <w:basedOn w:val="Normal"/>
    <w:next w:val="Normal"/>
    <w:link w:val="Heading4Char"/>
    <w:autoRedefine/>
    <w:uiPriority w:val="9"/>
    <w:qFormat/>
    <w:rsid w:val="00675E9C"/>
    <w:pPr>
      <w:keepNext/>
      <w:outlineLvl w:val="3"/>
    </w:pPr>
    <w:rPr>
      <w:caps/>
      <w:color w:val="FF0000"/>
      <w:shd w:val="clear" w:color="auto" w:fill="FFFFFF"/>
      <w:lang w:eastAsia="it-IT"/>
    </w:rPr>
  </w:style>
  <w:style w:type="paragraph" w:styleId="Heading5">
    <w:name w:val="heading 5"/>
    <w:basedOn w:val="Normal"/>
    <w:next w:val="Normal"/>
    <w:link w:val="Heading5Char"/>
    <w:autoRedefine/>
    <w:uiPriority w:val="9"/>
    <w:qFormat/>
    <w:rsid w:val="00DA23A9"/>
    <w:pPr>
      <w:outlineLvl w:val="4"/>
    </w:pPr>
    <w:rPr>
      <w:i/>
    </w:rPr>
  </w:style>
  <w:style w:type="paragraph" w:styleId="Heading6">
    <w:name w:val="heading 6"/>
    <w:basedOn w:val="Normal"/>
    <w:next w:val="Normal"/>
    <w:link w:val="Heading6Char"/>
    <w:autoRedefine/>
    <w:qFormat/>
    <w:rsid w:val="006A4887"/>
    <w:pPr>
      <w:keepNext/>
      <w:outlineLvl w:val="5"/>
    </w:pPr>
    <w:rPr>
      <w:rFonts w:eastAsia="Times New Roman"/>
    </w:rPr>
  </w:style>
  <w:style w:type="paragraph" w:styleId="Heading7">
    <w:name w:val="heading 7"/>
    <w:basedOn w:val="Normal"/>
    <w:next w:val="Normal"/>
    <w:link w:val="Heading7Char"/>
    <w:autoRedefine/>
    <w:qFormat/>
    <w:rsid w:val="006A4887"/>
    <w:pPr>
      <w:keepNext/>
      <w:jc w:val="both"/>
      <w:outlineLvl w:val="6"/>
    </w:pPr>
  </w:style>
  <w:style w:type="paragraph" w:styleId="Heading8">
    <w:name w:val="heading 8"/>
    <w:basedOn w:val="Normal"/>
    <w:next w:val="Normal"/>
    <w:link w:val="Heading8Char"/>
    <w:qFormat/>
    <w:rsid w:val="00A1062B"/>
    <w:pPr>
      <w:keepNext/>
      <w:spacing w:line="480" w:lineRule="auto"/>
      <w:ind w:left="6" w:right="-900" w:hanging="6"/>
      <w:jc w:val="both"/>
      <w:outlineLvl w:val="7"/>
    </w:pPr>
    <w:rPr>
      <w:b/>
      <w:lang w:val="en-GB"/>
    </w:rPr>
  </w:style>
  <w:style w:type="paragraph" w:styleId="Heading9">
    <w:name w:val="heading 9"/>
    <w:basedOn w:val="Normal"/>
    <w:next w:val="Normal"/>
    <w:link w:val="Heading9Char"/>
    <w:autoRedefine/>
    <w:qFormat/>
    <w:rsid w:val="00A1062B"/>
    <w:pPr>
      <w:keepNext/>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5E9C"/>
    <w:rPr>
      <w:rFonts w:ascii="Arial" w:hAnsi="Arial"/>
      <w:b/>
      <w:color w:val="9E0000"/>
      <w:sz w:val="28"/>
    </w:rPr>
  </w:style>
  <w:style w:type="paragraph" w:customStyle="1" w:styleId="AbstractHeader">
    <w:name w:val="Abstract Header"/>
    <w:basedOn w:val="Heading2"/>
    <w:next w:val="Normal"/>
    <w:autoRedefine/>
    <w:rsid w:val="00675E9C"/>
    <w:rPr>
      <w:caps w:val="0"/>
      <w:color w:val="auto"/>
    </w:rPr>
  </w:style>
  <w:style w:type="character" w:customStyle="1" w:styleId="Heading2Char">
    <w:name w:val="Heading 2 Char"/>
    <w:basedOn w:val="DefaultParagraphFont"/>
    <w:link w:val="Heading2"/>
    <w:uiPriority w:val="9"/>
    <w:rsid w:val="00675E9C"/>
    <w:rPr>
      <w:rFonts w:ascii="Arial" w:hAnsi="Arial" w:cs="Arial"/>
      <w:b/>
      <w:caps/>
      <w:color w:val="44546A" w:themeColor="text2"/>
      <w:sz w:val="22"/>
      <w:szCs w:val="22"/>
      <w:lang w:eastAsia="it-IT"/>
    </w:rPr>
  </w:style>
  <w:style w:type="paragraph" w:customStyle="1" w:styleId="Abstract">
    <w:name w:val="Abstract"/>
    <w:basedOn w:val="Normal"/>
    <w:next w:val="Normal"/>
    <w:autoRedefine/>
    <w:rsid w:val="00675E9C"/>
    <w:rPr>
      <w:rFonts w:eastAsia="Times New Roman"/>
      <w:shd w:val="clear" w:color="auto" w:fill="FFFFFF"/>
      <w:lang w:eastAsia="it-IT"/>
    </w:rPr>
  </w:style>
  <w:style w:type="paragraph" w:customStyle="1" w:styleId="Figurenumberandcaption">
    <w:name w:val="Figure number and caption"/>
    <w:basedOn w:val="Normal"/>
    <w:next w:val="Normal"/>
    <w:autoRedefine/>
    <w:rsid w:val="00675E9C"/>
    <w:rPr>
      <w:b/>
      <w:shd w:val="clear" w:color="auto" w:fill="FFFFFF"/>
      <w:lang w:eastAsia="it-IT"/>
    </w:rPr>
  </w:style>
  <w:style w:type="paragraph" w:customStyle="1" w:styleId="Figurecaptioncontinued">
    <w:name w:val="Figure caption continued"/>
    <w:basedOn w:val="Normal"/>
    <w:autoRedefine/>
    <w:rsid w:val="00CE4C3C"/>
    <w:rPr>
      <w:rFonts w:eastAsia="Times New Roman"/>
      <w:lang w:val="en-GB"/>
    </w:rPr>
  </w:style>
  <w:style w:type="paragraph" w:customStyle="1" w:styleId="StyleFigurecaptioncontinuedBlack">
    <w:name w:val="Style Figure caption continued + Black"/>
    <w:basedOn w:val="Figurecaptioncontinued"/>
    <w:autoRedefine/>
    <w:rsid w:val="00656A20"/>
    <w:rPr>
      <w:color w:val="000000"/>
    </w:rPr>
  </w:style>
  <w:style w:type="paragraph" w:customStyle="1" w:styleId="Reference">
    <w:name w:val="Reference"/>
    <w:basedOn w:val="Normal"/>
    <w:next w:val="Normal"/>
    <w:autoRedefine/>
    <w:rsid w:val="00B66171"/>
    <w:pPr>
      <w:spacing w:after="120" w:line="240" w:lineRule="auto"/>
    </w:pPr>
  </w:style>
  <w:style w:type="paragraph" w:customStyle="1" w:styleId="Comment">
    <w:name w:val="Comment"/>
    <w:basedOn w:val="Normal"/>
    <w:next w:val="Normal"/>
    <w:rsid w:val="00A1062B"/>
    <w:pPr>
      <w:shd w:val="clear" w:color="auto" w:fill="FFFF00"/>
      <w:spacing w:before="120"/>
    </w:pPr>
  </w:style>
  <w:style w:type="paragraph" w:customStyle="1" w:styleId="Blockquote">
    <w:name w:val="Blockquote"/>
    <w:basedOn w:val="Normal"/>
    <w:next w:val="Normal"/>
    <w:rsid w:val="00A1062B"/>
    <w:pPr>
      <w:pBdr>
        <w:top w:val="single" w:sz="2" w:space="1" w:color="C0C0C0"/>
        <w:left w:val="single" w:sz="2" w:space="4" w:color="C0C0C0"/>
        <w:bottom w:val="single" w:sz="2" w:space="1" w:color="C0C0C0"/>
        <w:right w:val="single" w:sz="2" w:space="4" w:color="C0C0C0"/>
      </w:pBdr>
      <w:shd w:val="clear" w:color="auto" w:fill="FFFFDD"/>
      <w:spacing w:before="120"/>
      <w:ind w:left="720"/>
    </w:pPr>
  </w:style>
  <w:style w:type="paragraph" w:customStyle="1" w:styleId="Preformatted">
    <w:name w:val="Preformatted"/>
    <w:basedOn w:val="Normal"/>
    <w:next w:val="Normal"/>
    <w:autoRedefine/>
    <w:rsid w:val="00656467"/>
    <w:pPr>
      <w:pBdr>
        <w:top w:val="single" w:sz="2" w:space="1" w:color="auto"/>
        <w:left w:val="single" w:sz="2" w:space="4" w:color="auto"/>
        <w:bottom w:val="single" w:sz="2" w:space="1" w:color="auto"/>
        <w:right w:val="single" w:sz="2" w:space="4" w:color="auto"/>
      </w:pBdr>
      <w:shd w:val="clear" w:color="auto" w:fill="F3F3F3"/>
      <w:spacing w:after="120"/>
    </w:pPr>
    <w:rPr>
      <w:color w:val="333333"/>
    </w:rPr>
  </w:style>
  <w:style w:type="paragraph" w:customStyle="1" w:styleId="Boxnumberandcaption">
    <w:name w:val="Box number and caption"/>
    <w:basedOn w:val="Heading3"/>
    <w:next w:val="Normal"/>
    <w:rsid w:val="00A1062B"/>
    <w:pPr>
      <w:shd w:val="clear" w:color="auto" w:fill="E6E6E6"/>
      <w:spacing w:before="120"/>
    </w:pPr>
    <w:rPr>
      <w:color w:val="666666"/>
      <w:sz w:val="24"/>
      <w:szCs w:val="28"/>
    </w:rPr>
  </w:style>
  <w:style w:type="character" w:customStyle="1" w:styleId="Heading3Char">
    <w:name w:val="Heading 3 Char"/>
    <w:basedOn w:val="DefaultParagraphFont"/>
    <w:link w:val="Heading3"/>
    <w:uiPriority w:val="9"/>
    <w:rsid w:val="00675E9C"/>
    <w:rPr>
      <w:rFonts w:ascii="Arial" w:hAnsi="Arial"/>
      <w:b/>
      <w:color w:val="00B050"/>
      <w:sz w:val="22"/>
      <w:lang w:eastAsia="it-IT"/>
    </w:rPr>
  </w:style>
  <w:style w:type="paragraph" w:customStyle="1" w:styleId="Tablenumberandcaption">
    <w:name w:val="Table number and caption"/>
    <w:basedOn w:val="Normal"/>
    <w:next w:val="Normal"/>
    <w:autoRedefine/>
    <w:rsid w:val="00675E9C"/>
    <w:rPr>
      <w:b/>
    </w:rPr>
  </w:style>
  <w:style w:type="paragraph" w:customStyle="1" w:styleId="Tableheader">
    <w:name w:val="Table header"/>
    <w:basedOn w:val="Normal"/>
    <w:next w:val="Normal"/>
    <w:autoRedefine/>
    <w:rsid w:val="00675E9C"/>
    <w:rPr>
      <w:b/>
    </w:rPr>
  </w:style>
  <w:style w:type="paragraph" w:customStyle="1" w:styleId="Tablebody">
    <w:name w:val="Table body"/>
    <w:basedOn w:val="Normal"/>
    <w:next w:val="Normal"/>
    <w:autoRedefine/>
    <w:rsid w:val="00675E9C"/>
  </w:style>
  <w:style w:type="paragraph" w:customStyle="1" w:styleId="Tablefooter">
    <w:name w:val="Table footer"/>
    <w:basedOn w:val="Normal"/>
    <w:next w:val="Normal"/>
    <w:autoRedefine/>
    <w:rsid w:val="00675E9C"/>
  </w:style>
  <w:style w:type="paragraph" w:customStyle="1" w:styleId="Alternateheading">
    <w:name w:val="Alternate heading"/>
    <w:basedOn w:val="Normal"/>
    <w:next w:val="Normal"/>
    <w:rsid w:val="00A1062B"/>
    <w:rPr>
      <w:b/>
      <w:color w:val="800080"/>
    </w:rPr>
  </w:style>
  <w:style w:type="paragraph" w:customStyle="1" w:styleId="Boxsubhead">
    <w:name w:val="Box subhead"/>
    <w:basedOn w:val="Heading4"/>
    <w:next w:val="Normal"/>
    <w:rsid w:val="00A1062B"/>
    <w:rPr>
      <w:color w:val="808080"/>
    </w:rPr>
  </w:style>
  <w:style w:type="character" w:customStyle="1" w:styleId="Heading4Char">
    <w:name w:val="Heading 4 Char"/>
    <w:basedOn w:val="DefaultParagraphFont"/>
    <w:link w:val="Heading4"/>
    <w:uiPriority w:val="9"/>
    <w:rsid w:val="00675E9C"/>
    <w:rPr>
      <w:rFonts w:ascii="Arial" w:hAnsi="Arial"/>
      <w:caps/>
      <w:color w:val="FF0000"/>
      <w:sz w:val="22"/>
      <w:lang w:eastAsia="it-IT"/>
    </w:rPr>
  </w:style>
  <w:style w:type="paragraph" w:customStyle="1" w:styleId="Answer">
    <w:name w:val="Answer"/>
    <w:basedOn w:val="Normal"/>
    <w:next w:val="Normal"/>
    <w:rsid w:val="00A1062B"/>
    <w:pPr>
      <w:pBdr>
        <w:top w:val="single" w:sz="4" w:space="1" w:color="FFFFFF"/>
        <w:left w:val="single" w:sz="4" w:space="4" w:color="FFFFFF"/>
        <w:bottom w:val="single" w:sz="4" w:space="1" w:color="FFFFFF"/>
        <w:right w:val="single" w:sz="4" w:space="4" w:color="FFFFFF"/>
      </w:pBdr>
      <w:shd w:val="clear" w:color="auto" w:fill="ECFEDA"/>
    </w:pPr>
    <w:rPr>
      <w:color w:val="800000"/>
    </w:rPr>
  </w:style>
  <w:style w:type="paragraph" w:customStyle="1" w:styleId="Question">
    <w:name w:val="Question"/>
    <w:basedOn w:val="Normal"/>
    <w:next w:val="Normal"/>
    <w:rsid w:val="00A1062B"/>
    <w:pPr>
      <w:pBdr>
        <w:top w:val="single" w:sz="4" w:space="1" w:color="FFFFFF"/>
        <w:left w:val="single" w:sz="4" w:space="4" w:color="FFFFFF"/>
        <w:bottom w:val="single" w:sz="4" w:space="1" w:color="FFFFFF"/>
        <w:right w:val="single" w:sz="4" w:space="4" w:color="FFFFFF"/>
      </w:pBdr>
      <w:shd w:val="clear" w:color="auto" w:fill="E9E6EE"/>
    </w:pPr>
    <w:rPr>
      <w:rFonts w:ascii="Verdana" w:hAnsi="Verdana"/>
      <w:color w:val="333399"/>
    </w:rPr>
  </w:style>
  <w:style w:type="character" w:customStyle="1" w:styleId="nc-highlight">
    <w:name w:val="nc-highlight"/>
    <w:rsid w:val="00A1062B"/>
    <w:rPr>
      <w:bdr w:val="none" w:sz="0" w:space="0" w:color="auto"/>
      <w:shd w:val="clear" w:color="auto" w:fill="FFFF93"/>
    </w:rPr>
  </w:style>
  <w:style w:type="character" w:customStyle="1" w:styleId="nc-pageobject">
    <w:name w:val="nc-pageobject"/>
    <w:rsid w:val="00A1062B"/>
    <w:rPr>
      <w:color w:val="993366"/>
      <w:bdr w:val="none" w:sz="0" w:space="0" w:color="auto"/>
      <w:shd w:val="clear" w:color="auto" w:fill="FFF0E1"/>
    </w:rPr>
  </w:style>
  <w:style w:type="character" w:customStyle="1" w:styleId="LabelorNumber">
    <w:name w:val="Label or Number"/>
    <w:rsid w:val="00A1062B"/>
    <w:rPr>
      <w:rFonts w:ascii="Arial" w:hAnsi="Arial"/>
      <w:color w:val="auto"/>
      <w:sz w:val="22"/>
      <w:bdr w:val="none" w:sz="0" w:space="0" w:color="auto"/>
      <w:shd w:val="clear" w:color="auto" w:fill="33CCCC"/>
    </w:rPr>
  </w:style>
  <w:style w:type="paragraph" w:customStyle="1" w:styleId="Processinginstruction">
    <w:name w:val="Processing instruction"/>
    <w:basedOn w:val="Normal"/>
    <w:next w:val="Normal"/>
    <w:autoRedefine/>
    <w:rsid w:val="00A1062B"/>
    <w:pPr>
      <w:shd w:val="clear" w:color="auto" w:fill="D6FF61"/>
    </w:pPr>
    <w:rPr>
      <w:color w:val="000080"/>
    </w:rPr>
  </w:style>
  <w:style w:type="paragraph" w:customStyle="1" w:styleId="Equation">
    <w:name w:val="Equation"/>
    <w:basedOn w:val="Normal"/>
    <w:rsid w:val="00A1062B"/>
    <w:pPr>
      <w:jc w:val="center"/>
    </w:pPr>
    <w:rPr>
      <w:rFonts w:eastAsia="Times New Roman"/>
      <w:color w:val="333398"/>
    </w:rPr>
  </w:style>
  <w:style w:type="paragraph" w:customStyle="1" w:styleId="Figuregraphic">
    <w:name w:val="Figure graphic"/>
    <w:basedOn w:val="Normal"/>
    <w:autoRedefine/>
    <w:rsid w:val="00264C4E"/>
    <w:pPr>
      <w:autoSpaceDE w:val="0"/>
      <w:autoSpaceDN w:val="0"/>
      <w:adjustRightInd w:val="0"/>
    </w:pPr>
    <w:rPr>
      <w:rFonts w:eastAsia="Times New Roman"/>
      <w:b/>
      <w:szCs w:val="24"/>
    </w:rPr>
  </w:style>
  <w:style w:type="paragraph" w:customStyle="1" w:styleId="Keywords">
    <w:name w:val="Keywords"/>
    <w:basedOn w:val="Normal"/>
    <w:rsid w:val="00A1062B"/>
    <w:rPr>
      <w:rFonts w:eastAsia="Times New Roman"/>
      <w:color w:val="000080"/>
    </w:rPr>
  </w:style>
  <w:style w:type="character" w:customStyle="1" w:styleId="Processinginstructionchar">
    <w:name w:val="Processing instruction char"/>
    <w:qFormat/>
    <w:rsid w:val="00A1062B"/>
    <w:rPr>
      <w:rFonts w:ascii="Courier New" w:hAnsi="Courier New"/>
      <w:sz w:val="18"/>
      <w:bdr w:val="none" w:sz="0" w:space="0" w:color="auto"/>
      <w:shd w:val="clear" w:color="auto" w:fill="D99594"/>
    </w:rPr>
  </w:style>
  <w:style w:type="character" w:customStyle="1" w:styleId="nc-highlight-1">
    <w:name w:val="nc-highlight-1"/>
    <w:qFormat/>
    <w:rsid w:val="00A1062B"/>
    <w:rPr>
      <w:rFonts w:ascii="Arial" w:hAnsi="Arial"/>
      <w:color w:val="FFFFFF"/>
      <w:sz w:val="24"/>
      <w:bdr w:val="none" w:sz="0" w:space="0" w:color="auto"/>
      <w:shd w:val="solid" w:color="0070C0" w:fill="0070C0"/>
    </w:rPr>
  </w:style>
  <w:style w:type="paragraph" w:customStyle="1" w:styleId="Boxcontent">
    <w:name w:val="Boxcontent"/>
    <w:basedOn w:val="Normal"/>
    <w:rsid w:val="00A1062B"/>
    <w:rPr>
      <w:rFonts w:eastAsia="Times New Roman"/>
    </w:rPr>
  </w:style>
  <w:style w:type="character" w:customStyle="1" w:styleId="nc-highlight-2">
    <w:name w:val="nc-highlight-2"/>
    <w:qFormat/>
    <w:rsid w:val="00A1062B"/>
    <w:rPr>
      <w:rFonts w:ascii="Arial" w:hAnsi="Arial"/>
      <w:color w:val="FFFFFF"/>
      <w:bdr w:val="none" w:sz="0" w:space="0" w:color="auto"/>
      <w:shd w:val="solid" w:color="663300" w:fill="663300"/>
    </w:rPr>
  </w:style>
  <w:style w:type="paragraph" w:customStyle="1" w:styleId="Structuredabstractheading">
    <w:name w:val="Structured abstract heading"/>
    <w:basedOn w:val="Normal"/>
    <w:next w:val="Normal"/>
    <w:rsid w:val="00A1062B"/>
    <w:pPr>
      <w:keepNext/>
      <w:spacing w:before="240" w:after="60" w:line="480" w:lineRule="auto"/>
      <w:outlineLvl w:val="2"/>
    </w:pPr>
    <w:rPr>
      <w:rFonts w:eastAsia="Times New Roman"/>
      <w:b/>
      <w:kern w:val="28"/>
      <w:sz w:val="26"/>
      <w:szCs w:val="24"/>
    </w:rPr>
  </w:style>
  <w:style w:type="character" w:customStyle="1" w:styleId="nc-highlight-3">
    <w:name w:val="nc-highlight-3"/>
    <w:qFormat/>
    <w:rsid w:val="00A1062B"/>
    <w:rPr>
      <w:rFonts w:ascii="Arial" w:hAnsi="Arial"/>
      <w:color w:val="FFFFFF"/>
      <w:sz w:val="24"/>
      <w:bdr w:val="none" w:sz="0" w:space="0" w:color="auto"/>
      <w:shd w:val="solid" w:color="A6A6A6" w:fill="A6A6A6"/>
    </w:rPr>
  </w:style>
  <w:style w:type="character" w:customStyle="1" w:styleId="nc-highlight-4">
    <w:name w:val="nc-highlight-4"/>
    <w:qFormat/>
    <w:rsid w:val="00A1062B"/>
    <w:rPr>
      <w:rFonts w:ascii="Arial" w:hAnsi="Arial"/>
      <w:color w:val="FFFFFF"/>
      <w:sz w:val="24"/>
      <w:bdr w:val="none" w:sz="0" w:space="0" w:color="auto"/>
      <w:shd w:val="solid" w:color="CC9900" w:fill="CC9900"/>
    </w:rPr>
  </w:style>
  <w:style w:type="character" w:customStyle="1" w:styleId="nc-highlight-5">
    <w:name w:val="nc-highlight-5"/>
    <w:qFormat/>
    <w:rsid w:val="00A1062B"/>
    <w:rPr>
      <w:rFonts w:ascii="Arial" w:hAnsi="Arial"/>
      <w:color w:val="FFFFFF"/>
      <w:sz w:val="24"/>
      <w:bdr w:val="none" w:sz="0" w:space="0" w:color="auto"/>
      <w:shd w:val="solid" w:color="000000" w:fill="000000"/>
    </w:rPr>
  </w:style>
  <w:style w:type="paragraph" w:customStyle="1" w:styleId="Figurealttext">
    <w:name w:val="Figure alt text"/>
    <w:basedOn w:val="Normal"/>
    <w:rsid w:val="00A1062B"/>
    <w:pPr>
      <w:shd w:val="clear" w:color="auto" w:fill="C4BC96"/>
    </w:pPr>
    <w:rPr>
      <w:rFonts w:ascii="Courier New" w:eastAsia="Times New Roman" w:hAnsi="Courier New"/>
    </w:rPr>
  </w:style>
  <w:style w:type="paragraph" w:customStyle="1" w:styleId="FiguresTablesBoxesSectionHeading">
    <w:name w:val="Figures Tables Boxes Section Heading"/>
    <w:basedOn w:val="Heading2"/>
    <w:next w:val="Normal"/>
    <w:rsid w:val="00A1062B"/>
    <w:rPr>
      <w:rFonts w:ascii="Verdana" w:hAnsi="Verdana"/>
      <w:color w:val="A50021"/>
      <w:sz w:val="24"/>
    </w:rPr>
  </w:style>
  <w:style w:type="paragraph" w:customStyle="1" w:styleId="Glossarydefinition">
    <w:name w:val="Glossary definition"/>
    <w:basedOn w:val="Normal"/>
    <w:rsid w:val="00A1062B"/>
    <w:pPr>
      <w:shd w:val="clear" w:color="auto" w:fill="FDE4BF"/>
    </w:pPr>
    <w:rPr>
      <w:color w:val="0033CC"/>
    </w:rPr>
  </w:style>
  <w:style w:type="paragraph" w:customStyle="1" w:styleId="Glossaryterm">
    <w:name w:val="Glossary term"/>
    <w:basedOn w:val="Normal"/>
    <w:next w:val="Glossarydefinition"/>
    <w:rsid w:val="00A1062B"/>
    <w:pPr>
      <w:shd w:val="clear" w:color="auto" w:fill="CCFFFF"/>
    </w:pPr>
    <w:rPr>
      <w:b/>
    </w:rPr>
  </w:style>
  <w:style w:type="character" w:customStyle="1" w:styleId="monospace">
    <w:name w:val="monospace"/>
    <w:basedOn w:val="DefaultParagraphFont"/>
    <w:uiPriority w:val="1"/>
    <w:qFormat/>
    <w:rsid w:val="00A1062B"/>
    <w:rPr>
      <w:rFonts w:ascii="Courier New" w:hAnsi="Courier New"/>
      <w:color w:val="auto"/>
      <w:sz w:val="20"/>
      <w:bdr w:val="none" w:sz="0" w:space="0" w:color="auto"/>
      <w:shd w:val="clear" w:color="auto" w:fill="D9D9D9" w:themeFill="background1" w:themeFillShade="D9"/>
    </w:rPr>
  </w:style>
  <w:style w:type="paragraph" w:customStyle="1" w:styleId="Figurecopyrightstatement">
    <w:name w:val="Figure copyright statement"/>
    <w:basedOn w:val="Normal"/>
    <w:rsid w:val="00A1062B"/>
    <w:rPr>
      <w:rFonts w:eastAsia="Times New Roman"/>
      <w:b/>
      <w:color w:val="943634"/>
    </w:rPr>
  </w:style>
  <w:style w:type="paragraph" w:customStyle="1" w:styleId="Figurelicensestatement">
    <w:name w:val="Figure license statement"/>
    <w:basedOn w:val="Normal"/>
    <w:rsid w:val="00A1062B"/>
    <w:rPr>
      <w:rFonts w:eastAsia="Times New Roman"/>
      <w:b/>
      <w:color w:val="76923C"/>
    </w:rPr>
  </w:style>
  <w:style w:type="paragraph" w:customStyle="1" w:styleId="Figuretitle">
    <w:name w:val="Figure title"/>
    <w:basedOn w:val="Normal"/>
    <w:next w:val="Normal"/>
    <w:rsid w:val="00A1062B"/>
    <w:pPr>
      <w:spacing w:before="120"/>
    </w:pPr>
    <w:rPr>
      <w:rFonts w:eastAsia="Times New Roman"/>
      <w:b/>
      <w:color w:val="000080"/>
      <w:lang w:val="en-GB"/>
    </w:rPr>
  </w:style>
  <w:style w:type="paragraph" w:customStyle="1" w:styleId="Tablecopyrightstatement">
    <w:name w:val="Table copyright statement"/>
    <w:basedOn w:val="Normal"/>
    <w:rsid w:val="00A1062B"/>
    <w:rPr>
      <w:rFonts w:eastAsia="Times New Roman"/>
      <w:b/>
      <w:color w:val="943634"/>
    </w:rPr>
  </w:style>
  <w:style w:type="paragraph" w:customStyle="1" w:styleId="Tablelicensestatement">
    <w:name w:val="Table license statement"/>
    <w:basedOn w:val="Normal"/>
    <w:rsid w:val="00A1062B"/>
    <w:rPr>
      <w:rFonts w:eastAsia="Times New Roman"/>
      <w:b/>
      <w:color w:val="76923C"/>
    </w:rPr>
  </w:style>
  <w:style w:type="paragraph" w:customStyle="1" w:styleId="VideoInformation">
    <w:name w:val="Video Information"/>
    <w:basedOn w:val="Normal"/>
    <w:rsid w:val="00A1062B"/>
    <w:pPr>
      <w:shd w:val="clear" w:color="auto" w:fill="FFCCFF"/>
    </w:pPr>
    <w:rPr>
      <w:rFonts w:eastAsia="Times New Roman"/>
    </w:rPr>
  </w:style>
  <w:style w:type="paragraph" w:customStyle="1" w:styleId="Runninglefthead">
    <w:name w:val="Running left head"/>
    <w:basedOn w:val="Normal"/>
    <w:next w:val="Normal"/>
    <w:rsid w:val="00A1062B"/>
    <w:pPr>
      <w:autoSpaceDE w:val="0"/>
      <w:autoSpaceDN w:val="0"/>
      <w:adjustRightInd w:val="0"/>
    </w:pPr>
    <w:rPr>
      <w:rFonts w:eastAsia="Times New Roman"/>
      <w:szCs w:val="24"/>
    </w:rPr>
  </w:style>
  <w:style w:type="paragraph" w:customStyle="1" w:styleId="Bulletedlist1">
    <w:name w:val="Bulletedlist1"/>
    <w:basedOn w:val="Normal"/>
    <w:rsid w:val="00A1062B"/>
    <w:pPr>
      <w:numPr>
        <w:numId w:val="20"/>
      </w:numPr>
    </w:pPr>
    <w:rPr>
      <w:rFonts w:eastAsia="Times New Roman"/>
    </w:rPr>
  </w:style>
  <w:style w:type="paragraph" w:customStyle="1" w:styleId="Bulletedlist2">
    <w:name w:val="Bulletedlist2"/>
    <w:basedOn w:val="Bulletedlist1"/>
    <w:rsid w:val="00A1062B"/>
    <w:pPr>
      <w:numPr>
        <w:ilvl w:val="1"/>
      </w:numPr>
    </w:pPr>
  </w:style>
  <w:style w:type="paragraph" w:customStyle="1" w:styleId="Bulletedlist3">
    <w:name w:val="Bulletedlist3"/>
    <w:basedOn w:val="Bulletedlist2"/>
    <w:rsid w:val="00A1062B"/>
    <w:pPr>
      <w:numPr>
        <w:ilvl w:val="2"/>
      </w:numPr>
    </w:pPr>
  </w:style>
  <w:style w:type="paragraph" w:customStyle="1" w:styleId="Bulletedlist4">
    <w:name w:val="Bulletedlist4"/>
    <w:basedOn w:val="Bulletedlist3"/>
    <w:rsid w:val="00A1062B"/>
    <w:pPr>
      <w:numPr>
        <w:ilvl w:val="3"/>
        <w:numId w:val="21"/>
      </w:numPr>
    </w:pPr>
  </w:style>
  <w:style w:type="paragraph" w:customStyle="1" w:styleId="Bulletedlist5">
    <w:name w:val="Bulletedlist5"/>
    <w:basedOn w:val="Bulletedlist4"/>
    <w:rsid w:val="00A1062B"/>
    <w:pPr>
      <w:numPr>
        <w:ilvl w:val="4"/>
      </w:numPr>
    </w:pPr>
  </w:style>
  <w:style w:type="paragraph" w:customStyle="1" w:styleId="Style1">
    <w:name w:val="Style1"/>
    <w:basedOn w:val="Heading1"/>
    <w:qFormat/>
    <w:rsid w:val="00A1062B"/>
  </w:style>
  <w:style w:type="paragraph" w:customStyle="1" w:styleId="Style2">
    <w:name w:val="Style2"/>
    <w:basedOn w:val="Heading2"/>
    <w:qFormat/>
    <w:rsid w:val="00A1062B"/>
    <w:rPr>
      <w:color w:val="4472C4" w:themeColor="accent1"/>
    </w:rPr>
  </w:style>
  <w:style w:type="paragraph" w:customStyle="1" w:styleId="Style3">
    <w:name w:val="Style3"/>
    <w:basedOn w:val="Style2"/>
    <w:qFormat/>
    <w:rsid w:val="00A1062B"/>
  </w:style>
  <w:style w:type="paragraph" w:customStyle="1" w:styleId="Style4">
    <w:name w:val="Style4"/>
    <w:basedOn w:val="Heading2"/>
    <w:autoRedefine/>
    <w:qFormat/>
    <w:rsid w:val="00782946"/>
  </w:style>
  <w:style w:type="paragraph" w:customStyle="1" w:styleId="Style5">
    <w:name w:val="Style5"/>
    <w:basedOn w:val="Heading2"/>
    <w:autoRedefine/>
    <w:qFormat/>
    <w:rsid w:val="00A1062B"/>
  </w:style>
  <w:style w:type="paragraph" w:customStyle="1" w:styleId="Style6">
    <w:name w:val="Style6"/>
    <w:basedOn w:val="Heading3"/>
    <w:autoRedefine/>
    <w:qFormat/>
    <w:rsid w:val="00A1062B"/>
  </w:style>
  <w:style w:type="paragraph" w:customStyle="1" w:styleId="Style7">
    <w:name w:val="Style7"/>
    <w:basedOn w:val="Heading1"/>
    <w:autoRedefine/>
    <w:qFormat/>
    <w:rsid w:val="00A1062B"/>
  </w:style>
  <w:style w:type="numbering" w:customStyle="1" w:styleId="NoList1">
    <w:name w:val="No List1"/>
    <w:next w:val="NoList"/>
    <w:uiPriority w:val="99"/>
    <w:semiHidden/>
    <w:unhideWhenUsed/>
    <w:rsid w:val="00A1062B"/>
  </w:style>
  <w:style w:type="paragraph" w:customStyle="1" w:styleId="normaltable">
    <w:name w:val="normaltable"/>
    <w:basedOn w:val="Normal"/>
    <w:qFormat/>
    <w:rsid w:val="00A1062B"/>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jc w:val="both"/>
    </w:pPr>
    <w:rPr>
      <w:rFonts w:eastAsia="Times New Roman"/>
      <w:szCs w:val="24"/>
    </w:rPr>
  </w:style>
  <w:style w:type="paragraph" w:customStyle="1" w:styleId="fontstyle0">
    <w:name w:val="fontstyle0"/>
    <w:basedOn w:val="Normal"/>
    <w:rsid w:val="00A1062B"/>
    <w:pPr>
      <w:spacing w:before="100" w:beforeAutospacing="1" w:after="100" w:afterAutospacing="1"/>
      <w:jc w:val="both"/>
    </w:pPr>
    <w:rPr>
      <w:rFonts w:ascii="Arial-BoldMT" w:eastAsia="Times New Roman" w:hAnsi="Arial-BoldMT"/>
      <w:b/>
      <w:bCs/>
      <w:color w:val="000000"/>
      <w:szCs w:val="22"/>
    </w:rPr>
  </w:style>
  <w:style w:type="paragraph" w:customStyle="1" w:styleId="fontstyle1">
    <w:name w:val="fontstyle1"/>
    <w:basedOn w:val="Normal"/>
    <w:rsid w:val="00A1062B"/>
    <w:pPr>
      <w:spacing w:before="100" w:beforeAutospacing="1" w:after="100" w:afterAutospacing="1"/>
      <w:jc w:val="both"/>
    </w:pPr>
    <w:rPr>
      <w:rFonts w:eastAsia="Times New Roman"/>
      <w:color w:val="000000"/>
      <w:szCs w:val="24"/>
    </w:rPr>
  </w:style>
  <w:style w:type="paragraph" w:customStyle="1" w:styleId="fontstyle2">
    <w:name w:val="fontstyle2"/>
    <w:basedOn w:val="Normal"/>
    <w:rsid w:val="00A1062B"/>
    <w:pPr>
      <w:spacing w:before="100" w:beforeAutospacing="1" w:after="100" w:afterAutospacing="1"/>
      <w:jc w:val="both"/>
    </w:pPr>
    <w:rPr>
      <w:rFonts w:ascii="ArialMT" w:eastAsia="Times New Roman" w:hAnsi="ArialMT"/>
      <w:color w:val="000000"/>
      <w:szCs w:val="22"/>
    </w:rPr>
  </w:style>
  <w:style w:type="paragraph" w:customStyle="1" w:styleId="fontstyle3">
    <w:name w:val="fontstyle3"/>
    <w:basedOn w:val="Normal"/>
    <w:rsid w:val="00A1062B"/>
    <w:pPr>
      <w:spacing w:before="100" w:beforeAutospacing="1" w:after="100" w:afterAutospacing="1"/>
      <w:jc w:val="both"/>
    </w:pPr>
    <w:rPr>
      <w:rFonts w:ascii="SymbolMT" w:eastAsia="Times New Roman" w:hAnsi="SymbolMT"/>
      <w:color w:val="000000"/>
      <w:szCs w:val="22"/>
    </w:rPr>
  </w:style>
  <w:style w:type="paragraph" w:customStyle="1" w:styleId="fontstyle4">
    <w:name w:val="fontstyle4"/>
    <w:basedOn w:val="Normal"/>
    <w:rsid w:val="00A1062B"/>
    <w:pPr>
      <w:spacing w:before="100" w:beforeAutospacing="1" w:after="100" w:afterAutospacing="1"/>
      <w:jc w:val="both"/>
    </w:pPr>
    <w:rPr>
      <w:rFonts w:ascii="Arial-ItalicMT" w:eastAsia="Times New Roman" w:hAnsi="Arial-ItalicMT"/>
      <w:i/>
      <w:iCs/>
      <w:color w:val="000000"/>
      <w:szCs w:val="22"/>
    </w:rPr>
  </w:style>
  <w:style w:type="paragraph" w:customStyle="1" w:styleId="fontstyle5">
    <w:name w:val="fontstyle5"/>
    <w:basedOn w:val="Normal"/>
    <w:rsid w:val="00A1062B"/>
    <w:pPr>
      <w:spacing w:before="100" w:beforeAutospacing="1" w:after="100" w:afterAutospacing="1"/>
      <w:jc w:val="both"/>
    </w:pPr>
    <w:rPr>
      <w:rFonts w:ascii="Arial-BoldItalicMT" w:eastAsia="Times New Roman" w:hAnsi="Arial-BoldItalicMT"/>
      <w:b/>
      <w:bCs/>
      <w:i/>
      <w:iCs/>
      <w:color w:val="000000"/>
      <w:sz w:val="26"/>
      <w:szCs w:val="26"/>
    </w:rPr>
  </w:style>
  <w:style w:type="character" w:customStyle="1" w:styleId="fontstyle01">
    <w:name w:val="fontstyle01"/>
    <w:basedOn w:val="DefaultParagraphFont"/>
    <w:qFormat/>
    <w:rsid w:val="00A1062B"/>
    <w:rPr>
      <w:rFonts w:ascii="Arial-BoldMT" w:hAnsi="Arial-BoldMT" w:hint="default"/>
      <w:b/>
      <w:bCs/>
      <w:color w:val="000000"/>
      <w:sz w:val="22"/>
      <w:szCs w:val="22"/>
    </w:rPr>
  </w:style>
  <w:style w:type="character" w:customStyle="1" w:styleId="fontstyle21">
    <w:name w:val="fontstyle21"/>
    <w:basedOn w:val="DefaultParagraphFont"/>
    <w:rsid w:val="00A1062B"/>
    <w:rPr>
      <w:rFonts w:ascii="ArialMT" w:hAnsi="ArialMT" w:hint="default"/>
      <w:color w:val="000000"/>
      <w:sz w:val="22"/>
      <w:szCs w:val="22"/>
    </w:rPr>
  </w:style>
  <w:style w:type="character" w:customStyle="1" w:styleId="fontstyle31">
    <w:name w:val="fontstyle31"/>
    <w:basedOn w:val="DefaultParagraphFont"/>
    <w:rsid w:val="00A1062B"/>
    <w:rPr>
      <w:rFonts w:ascii="SymbolMT" w:hAnsi="SymbolMT" w:hint="default"/>
      <w:color w:val="000000"/>
      <w:sz w:val="22"/>
      <w:szCs w:val="22"/>
    </w:rPr>
  </w:style>
  <w:style w:type="character" w:customStyle="1" w:styleId="fontstyle41">
    <w:name w:val="fontstyle41"/>
    <w:basedOn w:val="DefaultParagraphFont"/>
    <w:qFormat/>
    <w:rsid w:val="00A1062B"/>
    <w:rPr>
      <w:rFonts w:ascii="Arial-ItalicMT" w:hAnsi="Arial-ItalicMT" w:hint="default"/>
      <w:i/>
      <w:iCs/>
      <w:color w:val="000000"/>
      <w:sz w:val="22"/>
      <w:szCs w:val="22"/>
    </w:rPr>
  </w:style>
  <w:style w:type="character" w:customStyle="1" w:styleId="fontstyle51">
    <w:name w:val="fontstyle51"/>
    <w:basedOn w:val="DefaultParagraphFont"/>
    <w:qFormat/>
    <w:rsid w:val="00A1062B"/>
    <w:rPr>
      <w:rFonts w:ascii="Arial-BoldItalicMT" w:hAnsi="Arial-BoldItalicMT" w:hint="default"/>
      <w:b/>
      <w:bCs/>
      <w:i/>
      <w:iCs/>
      <w:color w:val="000000"/>
      <w:sz w:val="26"/>
      <w:szCs w:val="26"/>
    </w:rPr>
  </w:style>
  <w:style w:type="numbering" w:customStyle="1" w:styleId="NoList2">
    <w:name w:val="No List2"/>
    <w:next w:val="NoList"/>
    <w:uiPriority w:val="99"/>
    <w:semiHidden/>
    <w:unhideWhenUsed/>
    <w:rsid w:val="00A1062B"/>
  </w:style>
  <w:style w:type="numbering" w:customStyle="1" w:styleId="NoList3">
    <w:name w:val="No List3"/>
    <w:next w:val="NoList"/>
    <w:semiHidden/>
    <w:rsid w:val="00A1062B"/>
  </w:style>
  <w:style w:type="paragraph" w:customStyle="1" w:styleId="EndNoteBibliographyTitle">
    <w:name w:val="EndNote Bibliography Title"/>
    <w:basedOn w:val="Normal"/>
    <w:link w:val="EndNoteBibliographyTitleChar"/>
    <w:rsid w:val="00A1062B"/>
    <w:pPr>
      <w:jc w:val="center"/>
    </w:pPr>
    <w:rPr>
      <w:rFonts w:ascii="Microsoft Sans Serif" w:eastAsia="Times New Roman" w:hAnsi="Microsoft Sans Serif"/>
      <w:noProof/>
      <w:szCs w:val="22"/>
      <w:lang w:val="x-none" w:eastAsia="x-none"/>
    </w:rPr>
  </w:style>
  <w:style w:type="character" w:customStyle="1" w:styleId="EndNoteBibliographyTitleChar">
    <w:name w:val="EndNote Bibliography Title Char"/>
    <w:link w:val="EndNoteBibliographyTitle"/>
    <w:rsid w:val="00A1062B"/>
    <w:rPr>
      <w:rFonts w:ascii="Microsoft Sans Serif" w:eastAsia="Times New Roman" w:hAnsi="Microsoft Sans Serif" w:cs="Times New Roman"/>
      <w:noProof/>
      <w:lang w:val="x-none" w:eastAsia="x-none"/>
    </w:rPr>
  </w:style>
  <w:style w:type="paragraph" w:customStyle="1" w:styleId="EndNoteBibliography">
    <w:name w:val="EndNote Bibliography"/>
    <w:basedOn w:val="Normal"/>
    <w:link w:val="EndNoteBibliographyChar"/>
    <w:rsid w:val="00A1062B"/>
    <w:rPr>
      <w:rFonts w:ascii="Microsoft Sans Serif" w:eastAsia="Times New Roman" w:hAnsi="Microsoft Sans Serif"/>
      <w:noProof/>
      <w:szCs w:val="22"/>
      <w:lang w:val="x-none" w:eastAsia="x-none"/>
    </w:rPr>
  </w:style>
  <w:style w:type="character" w:customStyle="1" w:styleId="EndNoteBibliographyChar">
    <w:name w:val="EndNote Bibliography Char"/>
    <w:link w:val="EndNoteBibliography"/>
    <w:rsid w:val="00A1062B"/>
    <w:rPr>
      <w:rFonts w:ascii="Microsoft Sans Serif" w:eastAsia="Times New Roman" w:hAnsi="Microsoft Sans Serif" w:cs="Times New Roman"/>
      <w:noProof/>
      <w:lang w:val="x-none" w:eastAsia="x-none"/>
    </w:rPr>
  </w:style>
  <w:style w:type="numbering" w:customStyle="1" w:styleId="NoList4">
    <w:name w:val="No List4"/>
    <w:next w:val="NoList"/>
    <w:uiPriority w:val="99"/>
    <w:semiHidden/>
    <w:unhideWhenUsed/>
    <w:rsid w:val="00A1062B"/>
  </w:style>
  <w:style w:type="character" w:customStyle="1" w:styleId="yshortcuts">
    <w:name w:val="yshortcuts"/>
    <w:basedOn w:val="DefaultParagraphFont"/>
    <w:rsid w:val="00A1062B"/>
  </w:style>
  <w:style w:type="character" w:customStyle="1" w:styleId="bibrecord-highlight1">
    <w:name w:val="bibrecord-highlight1"/>
    <w:rsid w:val="00A1062B"/>
    <w:rPr>
      <w:b/>
      <w:bCs/>
      <w:color w:val="CC0000"/>
    </w:rPr>
  </w:style>
  <w:style w:type="character" w:customStyle="1" w:styleId="titles-title1">
    <w:name w:val="titles-title1"/>
    <w:rsid w:val="00A1062B"/>
    <w:rPr>
      <w:b/>
      <w:bCs/>
    </w:rPr>
  </w:style>
  <w:style w:type="character" w:customStyle="1" w:styleId="titles-source1">
    <w:name w:val="titles-source1"/>
    <w:rsid w:val="00A1062B"/>
    <w:rPr>
      <w:i/>
      <w:iCs/>
    </w:rPr>
  </w:style>
  <w:style w:type="character" w:customStyle="1" w:styleId="CharChar1">
    <w:name w:val="Char Char1"/>
    <w:rsid w:val="00A1062B"/>
    <w:rPr>
      <w:rFonts w:ascii="Arial" w:hAnsi="Arial" w:cs="Arial"/>
      <w:b/>
      <w:bCs/>
      <w:color w:val="000000"/>
      <w:sz w:val="26"/>
      <w:szCs w:val="26"/>
      <w:lang w:val="en-US" w:eastAsia="en-US" w:bidi="ar-SA"/>
    </w:rPr>
  </w:style>
  <w:style w:type="character" w:customStyle="1" w:styleId="titles-title">
    <w:name w:val="titles-title"/>
    <w:basedOn w:val="DefaultParagraphFont"/>
    <w:rsid w:val="00A1062B"/>
  </w:style>
  <w:style w:type="character" w:customStyle="1" w:styleId="bibrecord-highlight">
    <w:name w:val="bibrecord-highlight"/>
    <w:basedOn w:val="DefaultParagraphFont"/>
    <w:rsid w:val="00A1062B"/>
  </w:style>
  <w:style w:type="character" w:customStyle="1" w:styleId="titles-source">
    <w:name w:val="titles-source"/>
    <w:basedOn w:val="DefaultParagraphFont"/>
    <w:rsid w:val="00A1062B"/>
  </w:style>
  <w:style w:type="paragraph" w:customStyle="1" w:styleId="citation">
    <w:name w:val="citation"/>
    <w:basedOn w:val="Normal"/>
    <w:rsid w:val="00A1062B"/>
    <w:pPr>
      <w:spacing w:before="100" w:beforeAutospacing="1" w:after="100" w:afterAutospacing="1"/>
    </w:pPr>
    <w:rPr>
      <w:rFonts w:eastAsia="Times New Roman"/>
      <w:szCs w:val="24"/>
    </w:rPr>
  </w:style>
  <w:style w:type="paragraph" w:customStyle="1" w:styleId="title1">
    <w:name w:val="title1"/>
    <w:basedOn w:val="Normal"/>
    <w:rsid w:val="00A1062B"/>
    <w:rPr>
      <w:rFonts w:eastAsia="Times New Roman"/>
      <w:sz w:val="29"/>
      <w:szCs w:val="29"/>
    </w:rPr>
  </w:style>
  <w:style w:type="paragraph" w:customStyle="1" w:styleId="rprtbody1">
    <w:name w:val="rprtbody1"/>
    <w:basedOn w:val="Normal"/>
    <w:rsid w:val="00A1062B"/>
    <w:pPr>
      <w:spacing w:before="34" w:after="34"/>
    </w:pPr>
    <w:rPr>
      <w:rFonts w:eastAsia="Times New Roman"/>
      <w:sz w:val="28"/>
      <w:szCs w:val="28"/>
    </w:rPr>
  </w:style>
  <w:style w:type="character" w:customStyle="1" w:styleId="src1">
    <w:name w:val="src1"/>
    <w:rsid w:val="00A1062B"/>
    <w:rPr>
      <w:vanish w:val="0"/>
      <w:webHidden w:val="0"/>
      <w:specVanish w:val="0"/>
    </w:rPr>
  </w:style>
  <w:style w:type="character" w:customStyle="1" w:styleId="jrnl">
    <w:name w:val="jrnl"/>
    <w:basedOn w:val="DefaultParagraphFont"/>
    <w:rsid w:val="00A1062B"/>
  </w:style>
  <w:style w:type="paragraph" w:customStyle="1" w:styleId="rprtbody">
    <w:name w:val="rprtbody"/>
    <w:basedOn w:val="Normal"/>
    <w:rsid w:val="00A1062B"/>
    <w:pPr>
      <w:spacing w:before="100" w:beforeAutospacing="1" w:after="100" w:afterAutospacing="1"/>
    </w:pPr>
    <w:rPr>
      <w:rFonts w:eastAsia="Times New Roman"/>
      <w:szCs w:val="24"/>
    </w:rPr>
  </w:style>
  <w:style w:type="character" w:customStyle="1" w:styleId="src">
    <w:name w:val="src"/>
    <w:basedOn w:val="DefaultParagraphFont"/>
    <w:rsid w:val="00A1062B"/>
  </w:style>
  <w:style w:type="paragraph" w:customStyle="1" w:styleId="authlist">
    <w:name w:val="auth_list"/>
    <w:basedOn w:val="Normal"/>
    <w:link w:val="authlistChar"/>
    <w:rsid w:val="00A1062B"/>
    <w:pPr>
      <w:spacing w:before="100" w:beforeAutospacing="1" w:after="100" w:afterAutospacing="1"/>
    </w:pPr>
    <w:rPr>
      <w:rFonts w:eastAsia="Times New Roman"/>
      <w:szCs w:val="24"/>
    </w:rPr>
  </w:style>
  <w:style w:type="character" w:customStyle="1" w:styleId="authlistChar">
    <w:name w:val="auth_list Char"/>
    <w:link w:val="authlist"/>
    <w:rsid w:val="00A1062B"/>
    <w:rPr>
      <w:rFonts w:ascii="Times New Roman" w:eastAsia="Times New Roman" w:hAnsi="Times New Roman" w:cs="Times New Roman"/>
      <w:sz w:val="24"/>
      <w:szCs w:val="24"/>
    </w:rPr>
  </w:style>
  <w:style w:type="paragraph" w:customStyle="1" w:styleId="Body1">
    <w:name w:val="Body 1"/>
    <w:rsid w:val="00A1062B"/>
    <w:pPr>
      <w:spacing w:after="200"/>
      <w:outlineLvl w:val="0"/>
    </w:pPr>
    <w:rPr>
      <w:rFonts w:ascii="Helvetica" w:eastAsia="Arial Unicode MS" w:hAnsi="Helvetica"/>
      <w:color w:val="000000"/>
      <w:sz w:val="24"/>
      <w:u w:color="000000"/>
    </w:rPr>
  </w:style>
  <w:style w:type="character" w:customStyle="1" w:styleId="apple-converted-space">
    <w:name w:val="apple-converted-space"/>
    <w:basedOn w:val="DefaultParagraphFont"/>
    <w:rsid w:val="00A1062B"/>
  </w:style>
  <w:style w:type="numbering" w:customStyle="1" w:styleId="NoList5">
    <w:name w:val="No List5"/>
    <w:next w:val="NoList"/>
    <w:uiPriority w:val="99"/>
    <w:semiHidden/>
    <w:unhideWhenUsed/>
    <w:rsid w:val="00A1062B"/>
  </w:style>
  <w:style w:type="character" w:customStyle="1" w:styleId="highlight">
    <w:name w:val="highlight"/>
    <w:uiPriority w:val="99"/>
    <w:rsid w:val="00A1062B"/>
  </w:style>
  <w:style w:type="paragraph" w:customStyle="1" w:styleId="desc">
    <w:name w:val="desc"/>
    <w:basedOn w:val="Normal"/>
    <w:rsid w:val="00A1062B"/>
    <w:pPr>
      <w:spacing w:before="100" w:beforeAutospacing="1" w:after="100" w:afterAutospacing="1"/>
    </w:pPr>
    <w:rPr>
      <w:rFonts w:eastAsia="Times New Roman"/>
      <w:szCs w:val="24"/>
      <w:lang w:val="de-DE" w:eastAsia="de-DE"/>
    </w:rPr>
  </w:style>
  <w:style w:type="paragraph" w:customStyle="1" w:styleId="Title10">
    <w:name w:val="Title1"/>
    <w:basedOn w:val="Normal"/>
    <w:rsid w:val="00A1062B"/>
    <w:pPr>
      <w:spacing w:before="100" w:beforeAutospacing="1" w:after="100" w:afterAutospacing="1"/>
    </w:pPr>
    <w:rPr>
      <w:rFonts w:eastAsia="Times New Roman"/>
      <w:szCs w:val="24"/>
      <w:lang w:val="nl-BE" w:eastAsia="nl-BE"/>
    </w:rPr>
  </w:style>
  <w:style w:type="paragraph" w:customStyle="1" w:styleId="details">
    <w:name w:val="details"/>
    <w:basedOn w:val="Normal"/>
    <w:rsid w:val="00A1062B"/>
    <w:pPr>
      <w:spacing w:before="100" w:beforeAutospacing="1" w:after="100" w:afterAutospacing="1"/>
    </w:pPr>
    <w:rPr>
      <w:rFonts w:eastAsia="Times New Roman"/>
      <w:szCs w:val="24"/>
      <w:lang w:val="nl-BE" w:eastAsia="nl-BE"/>
    </w:rPr>
  </w:style>
  <w:style w:type="paragraph" w:customStyle="1" w:styleId="Titel1">
    <w:name w:val="Titel1"/>
    <w:basedOn w:val="Normal"/>
    <w:rsid w:val="00A1062B"/>
    <w:pPr>
      <w:spacing w:before="100" w:beforeAutospacing="1" w:after="100" w:afterAutospacing="1"/>
    </w:pPr>
    <w:rPr>
      <w:rFonts w:eastAsia="Times New Roman"/>
      <w:szCs w:val="24"/>
      <w:lang w:val="de-DE" w:eastAsia="de-DE"/>
    </w:rPr>
  </w:style>
  <w:style w:type="table" w:customStyle="1" w:styleId="TableGrid1">
    <w:name w:val="Table Grid1"/>
    <w:basedOn w:val="TableNormal"/>
    <w:next w:val="TableGrid"/>
    <w:uiPriority w:val="59"/>
    <w:rsid w:val="00A1062B"/>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99"/>
    <w:rsid w:val="00A1062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1062B"/>
  </w:style>
  <w:style w:type="table" w:customStyle="1" w:styleId="TableGrid2">
    <w:name w:val="Table Grid2"/>
    <w:basedOn w:val="TableNormal"/>
    <w:next w:val="TableGrid"/>
    <w:uiPriority w:val="59"/>
    <w:rsid w:val="00A1062B"/>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A23A9"/>
    <w:rPr>
      <w:rFonts w:ascii="Arial" w:hAnsi="Arial"/>
      <w:i/>
      <w:sz w:val="22"/>
    </w:rPr>
  </w:style>
  <w:style w:type="character" w:customStyle="1" w:styleId="Heading6Char">
    <w:name w:val="Heading 6 Char"/>
    <w:basedOn w:val="DefaultParagraphFont"/>
    <w:link w:val="Heading6"/>
    <w:rsid w:val="006A4887"/>
    <w:rPr>
      <w:rFonts w:ascii="Arial" w:eastAsia="Times New Roman" w:hAnsi="Arial"/>
      <w:sz w:val="22"/>
    </w:rPr>
  </w:style>
  <w:style w:type="character" w:customStyle="1" w:styleId="Heading7Char">
    <w:name w:val="Heading 7 Char"/>
    <w:basedOn w:val="DefaultParagraphFont"/>
    <w:link w:val="Heading7"/>
    <w:rsid w:val="006A4887"/>
    <w:rPr>
      <w:rFonts w:ascii="Arial" w:hAnsi="Arial"/>
      <w:sz w:val="22"/>
    </w:rPr>
  </w:style>
  <w:style w:type="character" w:customStyle="1" w:styleId="Heading8Char">
    <w:name w:val="Heading 8 Char"/>
    <w:basedOn w:val="DefaultParagraphFont"/>
    <w:link w:val="Heading8"/>
    <w:rsid w:val="00A1062B"/>
    <w:rPr>
      <w:rFonts w:ascii="Arial" w:eastAsia="Times" w:hAnsi="Arial" w:cs="Times New Roman"/>
      <w:b/>
      <w:sz w:val="20"/>
      <w:szCs w:val="20"/>
      <w:lang w:val="en-GB"/>
    </w:rPr>
  </w:style>
  <w:style w:type="character" w:customStyle="1" w:styleId="Heading9Char">
    <w:name w:val="Heading 9 Char"/>
    <w:basedOn w:val="DefaultParagraphFont"/>
    <w:link w:val="Heading9"/>
    <w:rsid w:val="00A1062B"/>
    <w:rPr>
      <w:rFonts w:ascii="Arial" w:eastAsia="Times" w:hAnsi="Arial" w:cs="Times New Roman"/>
      <w:b/>
      <w:sz w:val="24"/>
      <w:szCs w:val="20"/>
      <w:lang w:val="en-GB"/>
    </w:rPr>
  </w:style>
  <w:style w:type="paragraph" w:styleId="Index1">
    <w:name w:val="index 1"/>
    <w:basedOn w:val="Normal"/>
    <w:next w:val="Normal"/>
    <w:autoRedefine/>
    <w:semiHidden/>
    <w:rsid w:val="00A1062B"/>
    <w:pPr>
      <w:ind w:left="240" w:hanging="240"/>
    </w:pPr>
    <w:rPr>
      <w:rFonts w:eastAsia="Times New Roman"/>
      <w:color w:val="000000"/>
      <w:szCs w:val="24"/>
    </w:rPr>
  </w:style>
  <w:style w:type="paragraph" w:styleId="Index2">
    <w:name w:val="index 2"/>
    <w:basedOn w:val="Normal"/>
    <w:next w:val="Normal"/>
    <w:autoRedefine/>
    <w:semiHidden/>
    <w:rsid w:val="00A1062B"/>
    <w:pPr>
      <w:ind w:left="480" w:hanging="240"/>
    </w:pPr>
    <w:rPr>
      <w:rFonts w:eastAsia="Times New Roman"/>
      <w:color w:val="000000"/>
      <w:szCs w:val="24"/>
    </w:rPr>
  </w:style>
  <w:style w:type="paragraph" w:styleId="Index3">
    <w:name w:val="index 3"/>
    <w:basedOn w:val="Normal"/>
    <w:next w:val="Normal"/>
    <w:autoRedefine/>
    <w:semiHidden/>
    <w:rsid w:val="00A1062B"/>
    <w:pPr>
      <w:ind w:left="720" w:hanging="240"/>
    </w:pPr>
    <w:rPr>
      <w:rFonts w:eastAsia="Times New Roman"/>
      <w:color w:val="000000"/>
      <w:szCs w:val="24"/>
    </w:rPr>
  </w:style>
  <w:style w:type="paragraph" w:styleId="Index4">
    <w:name w:val="index 4"/>
    <w:basedOn w:val="Normal"/>
    <w:next w:val="Normal"/>
    <w:autoRedefine/>
    <w:semiHidden/>
    <w:rsid w:val="00A1062B"/>
    <w:pPr>
      <w:ind w:left="960" w:hanging="240"/>
    </w:pPr>
    <w:rPr>
      <w:rFonts w:eastAsia="Times New Roman"/>
      <w:color w:val="000000"/>
      <w:szCs w:val="24"/>
    </w:rPr>
  </w:style>
  <w:style w:type="paragraph" w:styleId="Index5">
    <w:name w:val="index 5"/>
    <w:basedOn w:val="Normal"/>
    <w:next w:val="Normal"/>
    <w:autoRedefine/>
    <w:semiHidden/>
    <w:rsid w:val="00A1062B"/>
    <w:pPr>
      <w:ind w:left="1200" w:hanging="240"/>
    </w:pPr>
    <w:rPr>
      <w:rFonts w:eastAsia="Times New Roman"/>
      <w:color w:val="000000"/>
      <w:szCs w:val="24"/>
    </w:rPr>
  </w:style>
  <w:style w:type="paragraph" w:styleId="Index6">
    <w:name w:val="index 6"/>
    <w:basedOn w:val="Normal"/>
    <w:next w:val="Normal"/>
    <w:autoRedefine/>
    <w:semiHidden/>
    <w:rsid w:val="00A1062B"/>
    <w:pPr>
      <w:ind w:left="1440" w:hanging="240"/>
    </w:pPr>
    <w:rPr>
      <w:rFonts w:eastAsia="Times New Roman"/>
      <w:color w:val="000000"/>
      <w:szCs w:val="24"/>
    </w:rPr>
  </w:style>
  <w:style w:type="paragraph" w:styleId="Index7">
    <w:name w:val="index 7"/>
    <w:basedOn w:val="Normal"/>
    <w:next w:val="Normal"/>
    <w:autoRedefine/>
    <w:semiHidden/>
    <w:rsid w:val="00A1062B"/>
    <w:pPr>
      <w:ind w:left="1680" w:hanging="240"/>
    </w:pPr>
    <w:rPr>
      <w:rFonts w:eastAsia="Times New Roman"/>
      <w:color w:val="000000"/>
      <w:szCs w:val="24"/>
    </w:rPr>
  </w:style>
  <w:style w:type="paragraph" w:styleId="Index8">
    <w:name w:val="index 8"/>
    <w:basedOn w:val="Normal"/>
    <w:next w:val="Normal"/>
    <w:autoRedefine/>
    <w:semiHidden/>
    <w:rsid w:val="00A1062B"/>
    <w:pPr>
      <w:ind w:left="1920" w:hanging="240"/>
    </w:pPr>
    <w:rPr>
      <w:rFonts w:eastAsia="Times New Roman"/>
      <w:color w:val="000000"/>
      <w:szCs w:val="24"/>
    </w:rPr>
  </w:style>
  <w:style w:type="paragraph" w:styleId="Index9">
    <w:name w:val="index 9"/>
    <w:basedOn w:val="Normal"/>
    <w:next w:val="Normal"/>
    <w:autoRedefine/>
    <w:semiHidden/>
    <w:rsid w:val="00A1062B"/>
    <w:pPr>
      <w:ind w:left="2160" w:hanging="240"/>
    </w:pPr>
    <w:rPr>
      <w:rFonts w:eastAsia="Times New Roman"/>
      <w:color w:val="000000"/>
      <w:szCs w:val="24"/>
    </w:rPr>
  </w:style>
  <w:style w:type="paragraph" w:styleId="TOC1">
    <w:name w:val="toc 1"/>
    <w:basedOn w:val="Normal"/>
    <w:next w:val="Normal"/>
    <w:autoRedefine/>
    <w:semiHidden/>
    <w:rsid w:val="00A1062B"/>
    <w:rPr>
      <w:rFonts w:eastAsia="Times New Roman"/>
      <w:color w:val="000000"/>
      <w:szCs w:val="24"/>
    </w:rPr>
  </w:style>
  <w:style w:type="paragraph" w:styleId="TOC2">
    <w:name w:val="toc 2"/>
    <w:basedOn w:val="Normal"/>
    <w:next w:val="Normal"/>
    <w:autoRedefine/>
    <w:semiHidden/>
    <w:rsid w:val="00A1062B"/>
    <w:pPr>
      <w:ind w:left="240"/>
    </w:pPr>
    <w:rPr>
      <w:rFonts w:eastAsia="Times New Roman"/>
      <w:color w:val="000000"/>
      <w:szCs w:val="24"/>
    </w:rPr>
  </w:style>
  <w:style w:type="paragraph" w:styleId="TOC3">
    <w:name w:val="toc 3"/>
    <w:basedOn w:val="Normal"/>
    <w:next w:val="Normal"/>
    <w:autoRedefine/>
    <w:semiHidden/>
    <w:rsid w:val="00A1062B"/>
    <w:pPr>
      <w:ind w:left="480"/>
    </w:pPr>
    <w:rPr>
      <w:rFonts w:eastAsia="Times New Roman"/>
      <w:color w:val="000000"/>
      <w:szCs w:val="24"/>
    </w:rPr>
  </w:style>
  <w:style w:type="paragraph" w:styleId="TOC4">
    <w:name w:val="toc 4"/>
    <w:basedOn w:val="Normal"/>
    <w:next w:val="Normal"/>
    <w:autoRedefine/>
    <w:semiHidden/>
    <w:rsid w:val="00A1062B"/>
    <w:pPr>
      <w:ind w:left="720"/>
    </w:pPr>
    <w:rPr>
      <w:rFonts w:eastAsia="Times New Roman"/>
      <w:color w:val="000000"/>
      <w:szCs w:val="24"/>
    </w:rPr>
  </w:style>
  <w:style w:type="paragraph" w:styleId="TOC5">
    <w:name w:val="toc 5"/>
    <w:basedOn w:val="Normal"/>
    <w:next w:val="Normal"/>
    <w:autoRedefine/>
    <w:semiHidden/>
    <w:rsid w:val="00A1062B"/>
    <w:pPr>
      <w:ind w:left="960"/>
    </w:pPr>
    <w:rPr>
      <w:rFonts w:eastAsia="Times New Roman"/>
      <w:color w:val="000000"/>
      <w:szCs w:val="24"/>
    </w:rPr>
  </w:style>
  <w:style w:type="paragraph" w:styleId="TOC6">
    <w:name w:val="toc 6"/>
    <w:basedOn w:val="Normal"/>
    <w:next w:val="Normal"/>
    <w:autoRedefine/>
    <w:semiHidden/>
    <w:rsid w:val="00A1062B"/>
    <w:pPr>
      <w:ind w:left="1200"/>
    </w:pPr>
    <w:rPr>
      <w:rFonts w:eastAsia="Times New Roman"/>
      <w:color w:val="000000"/>
      <w:szCs w:val="24"/>
    </w:rPr>
  </w:style>
  <w:style w:type="paragraph" w:styleId="TOC7">
    <w:name w:val="toc 7"/>
    <w:basedOn w:val="Normal"/>
    <w:next w:val="Normal"/>
    <w:autoRedefine/>
    <w:semiHidden/>
    <w:rsid w:val="00A1062B"/>
    <w:pPr>
      <w:ind w:left="1440"/>
    </w:pPr>
    <w:rPr>
      <w:rFonts w:eastAsia="Times New Roman"/>
      <w:color w:val="000000"/>
      <w:szCs w:val="24"/>
    </w:rPr>
  </w:style>
  <w:style w:type="paragraph" w:styleId="TOC8">
    <w:name w:val="toc 8"/>
    <w:basedOn w:val="Normal"/>
    <w:next w:val="Normal"/>
    <w:autoRedefine/>
    <w:semiHidden/>
    <w:rsid w:val="00A1062B"/>
    <w:pPr>
      <w:ind w:left="1680"/>
    </w:pPr>
    <w:rPr>
      <w:rFonts w:eastAsia="Times New Roman"/>
      <w:color w:val="000000"/>
      <w:szCs w:val="24"/>
    </w:rPr>
  </w:style>
  <w:style w:type="paragraph" w:styleId="TOC9">
    <w:name w:val="toc 9"/>
    <w:basedOn w:val="Normal"/>
    <w:next w:val="Normal"/>
    <w:autoRedefine/>
    <w:semiHidden/>
    <w:rsid w:val="00A1062B"/>
    <w:pPr>
      <w:ind w:left="1920"/>
    </w:pPr>
    <w:rPr>
      <w:rFonts w:eastAsia="Times New Roman"/>
      <w:color w:val="000000"/>
      <w:szCs w:val="24"/>
    </w:rPr>
  </w:style>
  <w:style w:type="paragraph" w:styleId="NormalIndent">
    <w:name w:val="Normal Indent"/>
    <w:basedOn w:val="Normal"/>
    <w:rsid w:val="00A1062B"/>
    <w:pPr>
      <w:ind w:left="720"/>
    </w:pPr>
    <w:rPr>
      <w:rFonts w:eastAsia="Times New Roman"/>
      <w:color w:val="000000"/>
      <w:szCs w:val="24"/>
    </w:rPr>
  </w:style>
  <w:style w:type="paragraph" w:styleId="FootnoteText">
    <w:name w:val="footnote text"/>
    <w:basedOn w:val="Normal"/>
    <w:link w:val="FootnoteTextChar"/>
    <w:uiPriority w:val="99"/>
    <w:semiHidden/>
    <w:rsid w:val="00A1062B"/>
    <w:rPr>
      <w:rFonts w:eastAsia="Times New Roman"/>
      <w:color w:val="000000"/>
    </w:rPr>
  </w:style>
  <w:style w:type="character" w:customStyle="1" w:styleId="FootnoteTextChar">
    <w:name w:val="Footnote Text Char"/>
    <w:basedOn w:val="DefaultParagraphFont"/>
    <w:link w:val="FootnoteText"/>
    <w:uiPriority w:val="99"/>
    <w:semiHidden/>
    <w:rsid w:val="00A1062B"/>
    <w:rPr>
      <w:rFonts w:ascii="Times New Roman" w:eastAsia="Times New Roman" w:hAnsi="Times New Roman" w:cs="Times New Roman"/>
      <w:color w:val="000000"/>
      <w:sz w:val="20"/>
      <w:szCs w:val="20"/>
    </w:rPr>
  </w:style>
  <w:style w:type="paragraph" w:styleId="CommentText">
    <w:name w:val="annotation text"/>
    <w:basedOn w:val="Normal"/>
    <w:link w:val="CommentTextChar"/>
    <w:uiPriority w:val="99"/>
    <w:unhideWhenUsed/>
    <w:rsid w:val="00A1062B"/>
  </w:style>
  <w:style w:type="character" w:customStyle="1" w:styleId="CommentTextChar">
    <w:name w:val="Comment Text Char"/>
    <w:basedOn w:val="DefaultParagraphFont"/>
    <w:link w:val="CommentText"/>
    <w:uiPriority w:val="99"/>
    <w:rsid w:val="00A1062B"/>
    <w:rPr>
      <w:rFonts w:ascii="Arial" w:eastAsia="Times" w:hAnsi="Arial" w:cs="Times New Roman"/>
      <w:sz w:val="20"/>
      <w:szCs w:val="20"/>
    </w:rPr>
  </w:style>
  <w:style w:type="paragraph" w:styleId="Header">
    <w:name w:val="header"/>
    <w:basedOn w:val="Normal"/>
    <w:link w:val="HeaderChar"/>
    <w:uiPriority w:val="99"/>
    <w:rsid w:val="00A1062B"/>
    <w:pPr>
      <w:tabs>
        <w:tab w:val="center" w:pos="4680"/>
        <w:tab w:val="right" w:pos="9360"/>
      </w:tabs>
    </w:pPr>
    <w:rPr>
      <w:rFonts w:ascii="Microsoft Sans Serif" w:eastAsia="Times New Roman" w:hAnsi="Microsoft Sans Serif"/>
      <w:szCs w:val="22"/>
      <w:lang w:eastAsia="en-AU"/>
    </w:rPr>
  </w:style>
  <w:style w:type="character" w:customStyle="1" w:styleId="HeaderChar">
    <w:name w:val="Header Char"/>
    <w:basedOn w:val="DefaultParagraphFont"/>
    <w:link w:val="Header"/>
    <w:uiPriority w:val="99"/>
    <w:rsid w:val="00A1062B"/>
    <w:rPr>
      <w:rFonts w:ascii="Microsoft Sans Serif" w:eastAsia="Times New Roman" w:hAnsi="Microsoft Sans Serif" w:cs="Times New Roman"/>
      <w:lang w:eastAsia="en-AU"/>
    </w:rPr>
  </w:style>
  <w:style w:type="paragraph" w:styleId="Footer">
    <w:name w:val="footer"/>
    <w:basedOn w:val="Normal"/>
    <w:link w:val="FooterChar"/>
    <w:uiPriority w:val="99"/>
    <w:rsid w:val="00A1062B"/>
    <w:pPr>
      <w:tabs>
        <w:tab w:val="center" w:pos="4320"/>
        <w:tab w:val="right" w:pos="8640"/>
      </w:tabs>
    </w:pPr>
    <w:rPr>
      <w:rFonts w:eastAsia="SimSun"/>
      <w:szCs w:val="24"/>
      <w:lang w:eastAsia="zh-CN"/>
    </w:rPr>
  </w:style>
  <w:style w:type="character" w:customStyle="1" w:styleId="FooterChar">
    <w:name w:val="Footer Char"/>
    <w:basedOn w:val="DefaultParagraphFont"/>
    <w:link w:val="Footer"/>
    <w:uiPriority w:val="99"/>
    <w:rsid w:val="00A1062B"/>
    <w:rPr>
      <w:rFonts w:ascii="Times New Roman" w:eastAsia="SimSun" w:hAnsi="Times New Roman" w:cs="Times New Roman"/>
      <w:sz w:val="24"/>
      <w:szCs w:val="24"/>
      <w:lang w:eastAsia="zh-CN"/>
    </w:rPr>
  </w:style>
  <w:style w:type="paragraph" w:styleId="IndexHeading">
    <w:name w:val="index heading"/>
    <w:basedOn w:val="Normal"/>
    <w:next w:val="Index1"/>
    <w:semiHidden/>
    <w:rsid w:val="00A1062B"/>
    <w:rPr>
      <w:rFonts w:eastAsia="Times New Roman" w:cs="Arial"/>
      <w:b/>
      <w:bCs/>
      <w:color w:val="000000"/>
      <w:szCs w:val="24"/>
    </w:rPr>
  </w:style>
  <w:style w:type="paragraph" w:styleId="Caption">
    <w:name w:val="caption"/>
    <w:basedOn w:val="Normal"/>
    <w:next w:val="Normal"/>
    <w:qFormat/>
    <w:rsid w:val="00A1062B"/>
    <w:rPr>
      <w:rFonts w:eastAsia="Times New Roman"/>
      <w:b/>
      <w:bCs/>
      <w:color w:val="000000"/>
    </w:rPr>
  </w:style>
  <w:style w:type="paragraph" w:styleId="TableofFigures">
    <w:name w:val="table of figures"/>
    <w:basedOn w:val="Normal"/>
    <w:next w:val="Normal"/>
    <w:semiHidden/>
    <w:rsid w:val="00A1062B"/>
    <w:rPr>
      <w:rFonts w:eastAsia="Times New Roman"/>
      <w:color w:val="000000"/>
      <w:szCs w:val="24"/>
    </w:rPr>
  </w:style>
  <w:style w:type="paragraph" w:styleId="EnvelopeAddress">
    <w:name w:val="envelope address"/>
    <w:basedOn w:val="Normal"/>
    <w:rsid w:val="00A1062B"/>
    <w:pPr>
      <w:framePr w:w="7920" w:h="1980" w:hRule="exact" w:hSpace="180" w:wrap="auto" w:hAnchor="page" w:xAlign="center" w:yAlign="bottom"/>
      <w:ind w:left="2880"/>
    </w:pPr>
    <w:rPr>
      <w:rFonts w:eastAsia="Times New Roman" w:cs="Arial"/>
      <w:color w:val="000000"/>
      <w:szCs w:val="24"/>
    </w:rPr>
  </w:style>
  <w:style w:type="paragraph" w:styleId="EnvelopeReturn">
    <w:name w:val="envelope return"/>
    <w:basedOn w:val="Normal"/>
    <w:rsid w:val="00A1062B"/>
    <w:rPr>
      <w:rFonts w:eastAsia="Times New Roman" w:cs="Arial"/>
      <w:color w:val="000000"/>
    </w:rPr>
  </w:style>
  <w:style w:type="character" w:styleId="FootnoteReference">
    <w:name w:val="footnote reference"/>
    <w:uiPriority w:val="99"/>
    <w:semiHidden/>
    <w:rsid w:val="00A1062B"/>
    <w:rPr>
      <w:vertAlign w:val="superscript"/>
    </w:rPr>
  </w:style>
  <w:style w:type="character" w:styleId="CommentReference">
    <w:name w:val="annotation reference"/>
    <w:basedOn w:val="DefaultParagraphFont"/>
    <w:uiPriority w:val="99"/>
    <w:unhideWhenUsed/>
    <w:rsid w:val="00A1062B"/>
    <w:rPr>
      <w:sz w:val="16"/>
      <w:szCs w:val="16"/>
    </w:rPr>
  </w:style>
  <w:style w:type="character" w:styleId="PageNumber">
    <w:name w:val="page number"/>
    <w:basedOn w:val="DefaultParagraphFont"/>
    <w:uiPriority w:val="99"/>
    <w:rsid w:val="00A1062B"/>
  </w:style>
  <w:style w:type="paragraph" w:styleId="EndnoteText">
    <w:name w:val="endnote text"/>
    <w:basedOn w:val="Normal"/>
    <w:link w:val="EndnoteTextChar"/>
    <w:semiHidden/>
    <w:rsid w:val="00A1062B"/>
    <w:rPr>
      <w:rFonts w:eastAsia="Times New Roman"/>
      <w:color w:val="000000"/>
    </w:rPr>
  </w:style>
  <w:style w:type="character" w:customStyle="1" w:styleId="EndnoteTextChar">
    <w:name w:val="Endnote Text Char"/>
    <w:basedOn w:val="DefaultParagraphFont"/>
    <w:link w:val="EndnoteText"/>
    <w:semiHidden/>
    <w:rsid w:val="00A1062B"/>
    <w:rPr>
      <w:rFonts w:ascii="Times New Roman" w:eastAsia="Times New Roman" w:hAnsi="Times New Roman" w:cs="Times New Roman"/>
      <w:color w:val="000000"/>
      <w:sz w:val="20"/>
      <w:szCs w:val="20"/>
    </w:rPr>
  </w:style>
  <w:style w:type="paragraph" w:styleId="TableofAuthorities">
    <w:name w:val="table of authorities"/>
    <w:basedOn w:val="Normal"/>
    <w:next w:val="Normal"/>
    <w:semiHidden/>
    <w:rsid w:val="00A1062B"/>
    <w:pPr>
      <w:ind w:left="240" w:hanging="240"/>
    </w:pPr>
    <w:rPr>
      <w:rFonts w:eastAsia="Times New Roman"/>
      <w:color w:val="000000"/>
      <w:szCs w:val="24"/>
    </w:rPr>
  </w:style>
  <w:style w:type="paragraph" w:styleId="MacroText">
    <w:name w:val="macro"/>
    <w:link w:val="MacroTextChar"/>
    <w:semiHidden/>
    <w:rsid w:val="00A1062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basedOn w:val="DefaultParagraphFont"/>
    <w:link w:val="MacroText"/>
    <w:semiHidden/>
    <w:rsid w:val="00A1062B"/>
    <w:rPr>
      <w:rFonts w:ascii="Courier New" w:eastAsia="Times New Roman" w:hAnsi="Courier New" w:cs="Courier New"/>
      <w:color w:val="000000"/>
      <w:sz w:val="20"/>
      <w:szCs w:val="20"/>
    </w:rPr>
  </w:style>
  <w:style w:type="paragraph" w:styleId="TOAHeading">
    <w:name w:val="toa heading"/>
    <w:basedOn w:val="Normal"/>
    <w:next w:val="Normal"/>
    <w:semiHidden/>
    <w:rsid w:val="00A1062B"/>
    <w:pPr>
      <w:spacing w:before="120"/>
    </w:pPr>
    <w:rPr>
      <w:rFonts w:eastAsia="Times New Roman" w:cs="Arial"/>
      <w:b/>
      <w:bCs/>
      <w:color w:val="000000"/>
      <w:szCs w:val="24"/>
    </w:rPr>
  </w:style>
  <w:style w:type="paragraph" w:styleId="List">
    <w:name w:val="List"/>
    <w:basedOn w:val="Normal"/>
    <w:unhideWhenUsed/>
    <w:rsid w:val="00A1062B"/>
    <w:pPr>
      <w:ind w:left="360" w:hanging="360"/>
      <w:contextualSpacing/>
    </w:pPr>
  </w:style>
  <w:style w:type="paragraph" w:styleId="ListBullet">
    <w:name w:val="List Bullet"/>
    <w:basedOn w:val="Normal"/>
    <w:rsid w:val="00A1062B"/>
    <w:pPr>
      <w:tabs>
        <w:tab w:val="num" w:pos="360"/>
      </w:tabs>
      <w:ind w:left="360" w:hanging="360"/>
    </w:pPr>
    <w:rPr>
      <w:rFonts w:eastAsia="Times New Roman"/>
      <w:color w:val="000000"/>
      <w:szCs w:val="24"/>
    </w:rPr>
  </w:style>
  <w:style w:type="paragraph" w:styleId="ListNumber">
    <w:name w:val="List Number"/>
    <w:basedOn w:val="Normal"/>
    <w:rsid w:val="00A1062B"/>
    <w:pPr>
      <w:tabs>
        <w:tab w:val="num" w:pos="360"/>
      </w:tabs>
      <w:ind w:left="360" w:hanging="360"/>
    </w:pPr>
    <w:rPr>
      <w:rFonts w:eastAsia="Times New Roman"/>
      <w:color w:val="000000"/>
      <w:szCs w:val="24"/>
    </w:rPr>
  </w:style>
  <w:style w:type="paragraph" w:styleId="List2">
    <w:name w:val="List 2"/>
    <w:basedOn w:val="Normal"/>
    <w:rsid w:val="00A1062B"/>
    <w:pPr>
      <w:ind w:left="720" w:hanging="360"/>
    </w:pPr>
    <w:rPr>
      <w:rFonts w:eastAsia="Times New Roman"/>
      <w:color w:val="000000"/>
      <w:szCs w:val="24"/>
    </w:rPr>
  </w:style>
  <w:style w:type="paragraph" w:styleId="List3">
    <w:name w:val="List 3"/>
    <w:basedOn w:val="Normal"/>
    <w:rsid w:val="00A1062B"/>
    <w:pPr>
      <w:ind w:left="1080" w:hanging="360"/>
    </w:pPr>
    <w:rPr>
      <w:rFonts w:eastAsia="Times New Roman"/>
      <w:color w:val="000000"/>
      <w:szCs w:val="24"/>
    </w:rPr>
  </w:style>
  <w:style w:type="paragraph" w:styleId="List4">
    <w:name w:val="List 4"/>
    <w:basedOn w:val="Normal"/>
    <w:rsid w:val="00A1062B"/>
    <w:pPr>
      <w:ind w:left="1440" w:hanging="360"/>
    </w:pPr>
    <w:rPr>
      <w:rFonts w:eastAsia="Times New Roman"/>
      <w:color w:val="000000"/>
      <w:szCs w:val="24"/>
    </w:rPr>
  </w:style>
  <w:style w:type="paragraph" w:styleId="List5">
    <w:name w:val="List 5"/>
    <w:basedOn w:val="Normal"/>
    <w:rsid w:val="00A1062B"/>
    <w:pPr>
      <w:ind w:left="1800" w:hanging="360"/>
    </w:pPr>
    <w:rPr>
      <w:rFonts w:eastAsia="Times New Roman"/>
      <w:color w:val="000000"/>
      <w:szCs w:val="24"/>
    </w:rPr>
  </w:style>
  <w:style w:type="paragraph" w:styleId="ListBullet2">
    <w:name w:val="List Bullet 2"/>
    <w:basedOn w:val="Normal"/>
    <w:rsid w:val="00A1062B"/>
    <w:pPr>
      <w:tabs>
        <w:tab w:val="num" w:pos="720"/>
      </w:tabs>
      <w:ind w:left="720" w:hanging="360"/>
    </w:pPr>
    <w:rPr>
      <w:rFonts w:eastAsia="Times New Roman"/>
      <w:color w:val="000000"/>
      <w:szCs w:val="24"/>
    </w:rPr>
  </w:style>
  <w:style w:type="paragraph" w:styleId="ListBullet3">
    <w:name w:val="List Bullet 3"/>
    <w:basedOn w:val="Normal"/>
    <w:rsid w:val="00A1062B"/>
    <w:pPr>
      <w:tabs>
        <w:tab w:val="num" w:pos="1080"/>
      </w:tabs>
      <w:ind w:left="1080" w:hanging="360"/>
    </w:pPr>
    <w:rPr>
      <w:rFonts w:eastAsia="Times New Roman"/>
      <w:color w:val="000000"/>
      <w:szCs w:val="24"/>
    </w:rPr>
  </w:style>
  <w:style w:type="paragraph" w:styleId="ListBullet4">
    <w:name w:val="List Bullet 4"/>
    <w:basedOn w:val="Normal"/>
    <w:rsid w:val="00A1062B"/>
    <w:pPr>
      <w:tabs>
        <w:tab w:val="num" w:pos="1440"/>
      </w:tabs>
      <w:ind w:left="1440" w:hanging="360"/>
    </w:pPr>
    <w:rPr>
      <w:rFonts w:eastAsia="Times New Roman"/>
      <w:color w:val="000000"/>
      <w:szCs w:val="24"/>
    </w:rPr>
  </w:style>
  <w:style w:type="paragraph" w:styleId="ListBullet5">
    <w:name w:val="List Bullet 5"/>
    <w:basedOn w:val="Normal"/>
    <w:rsid w:val="00A1062B"/>
    <w:pPr>
      <w:tabs>
        <w:tab w:val="num" w:pos="1800"/>
      </w:tabs>
      <w:ind w:left="1800" w:hanging="360"/>
    </w:pPr>
    <w:rPr>
      <w:rFonts w:eastAsia="Times New Roman"/>
      <w:color w:val="000000"/>
      <w:szCs w:val="24"/>
    </w:rPr>
  </w:style>
  <w:style w:type="paragraph" w:styleId="ListNumber2">
    <w:name w:val="List Number 2"/>
    <w:basedOn w:val="Normal"/>
    <w:rsid w:val="00A1062B"/>
    <w:pPr>
      <w:tabs>
        <w:tab w:val="num" w:pos="720"/>
      </w:tabs>
      <w:ind w:left="720" w:hanging="360"/>
    </w:pPr>
    <w:rPr>
      <w:rFonts w:eastAsia="Times New Roman"/>
      <w:color w:val="000000"/>
      <w:szCs w:val="24"/>
    </w:rPr>
  </w:style>
  <w:style w:type="paragraph" w:styleId="ListNumber3">
    <w:name w:val="List Number 3"/>
    <w:basedOn w:val="Normal"/>
    <w:rsid w:val="00A1062B"/>
    <w:pPr>
      <w:tabs>
        <w:tab w:val="num" w:pos="1080"/>
      </w:tabs>
      <w:ind w:left="1080" w:hanging="360"/>
    </w:pPr>
    <w:rPr>
      <w:rFonts w:eastAsia="Times New Roman"/>
      <w:color w:val="000000"/>
      <w:szCs w:val="24"/>
    </w:rPr>
  </w:style>
  <w:style w:type="paragraph" w:styleId="ListNumber4">
    <w:name w:val="List Number 4"/>
    <w:basedOn w:val="Normal"/>
    <w:rsid w:val="00A1062B"/>
    <w:pPr>
      <w:tabs>
        <w:tab w:val="num" w:pos="1440"/>
      </w:tabs>
      <w:ind w:left="1440" w:hanging="360"/>
    </w:pPr>
    <w:rPr>
      <w:rFonts w:eastAsia="Times New Roman"/>
      <w:color w:val="000000"/>
      <w:szCs w:val="24"/>
    </w:rPr>
  </w:style>
  <w:style w:type="paragraph" w:styleId="ListNumber5">
    <w:name w:val="List Number 5"/>
    <w:basedOn w:val="Normal"/>
    <w:rsid w:val="00A1062B"/>
    <w:pPr>
      <w:tabs>
        <w:tab w:val="num" w:pos="1800"/>
      </w:tabs>
      <w:ind w:left="1800" w:hanging="360"/>
    </w:pPr>
    <w:rPr>
      <w:rFonts w:eastAsia="Times New Roman"/>
      <w:color w:val="000000"/>
      <w:szCs w:val="24"/>
    </w:rPr>
  </w:style>
  <w:style w:type="paragraph" w:styleId="Title">
    <w:name w:val="Title"/>
    <w:basedOn w:val="Normal"/>
    <w:next w:val="Normal"/>
    <w:link w:val="TitleChar"/>
    <w:uiPriority w:val="99"/>
    <w:qFormat/>
    <w:rsid w:val="00A1062B"/>
    <w:pPr>
      <w:pBdr>
        <w:bottom w:val="single" w:sz="8" w:space="4" w:color="4472C4" w:themeColor="accent1"/>
      </w:pBdr>
      <w:spacing w:before="120" w:after="300"/>
      <w:contextualSpacing/>
      <w:jc w:val="both"/>
    </w:pPr>
    <w:rPr>
      <w:rFonts w:eastAsiaTheme="majorEastAsia" w:cstheme="majorBidi"/>
      <w:b/>
      <w:spacing w:val="5"/>
      <w:kern w:val="28"/>
      <w:sz w:val="28"/>
      <w:szCs w:val="52"/>
    </w:rPr>
  </w:style>
  <w:style w:type="character" w:customStyle="1" w:styleId="TitleChar">
    <w:name w:val="Title Char"/>
    <w:basedOn w:val="DefaultParagraphFont"/>
    <w:link w:val="Title"/>
    <w:uiPriority w:val="99"/>
    <w:qFormat/>
    <w:rsid w:val="00A1062B"/>
    <w:rPr>
      <w:rFonts w:ascii="Arial" w:eastAsiaTheme="majorEastAsia" w:hAnsi="Arial" w:cstheme="majorBidi"/>
      <w:b/>
      <w:spacing w:val="5"/>
      <w:kern w:val="28"/>
      <w:sz w:val="28"/>
      <w:szCs w:val="52"/>
    </w:rPr>
  </w:style>
  <w:style w:type="paragraph" w:styleId="Closing">
    <w:name w:val="Closing"/>
    <w:basedOn w:val="Normal"/>
    <w:link w:val="ClosingChar"/>
    <w:rsid w:val="00A1062B"/>
    <w:pPr>
      <w:ind w:left="4320"/>
    </w:pPr>
    <w:rPr>
      <w:rFonts w:eastAsia="Times New Roman"/>
      <w:color w:val="000000"/>
      <w:szCs w:val="24"/>
    </w:rPr>
  </w:style>
  <w:style w:type="character" w:customStyle="1" w:styleId="ClosingChar">
    <w:name w:val="Closing Char"/>
    <w:basedOn w:val="DefaultParagraphFont"/>
    <w:link w:val="Closing"/>
    <w:rsid w:val="00A1062B"/>
    <w:rPr>
      <w:rFonts w:ascii="Times New Roman" w:eastAsia="Times New Roman" w:hAnsi="Times New Roman" w:cs="Times New Roman"/>
      <w:color w:val="000000"/>
      <w:sz w:val="24"/>
      <w:szCs w:val="24"/>
    </w:rPr>
  </w:style>
  <w:style w:type="paragraph" w:styleId="Signature">
    <w:name w:val="Signature"/>
    <w:basedOn w:val="Normal"/>
    <w:link w:val="SignatureChar"/>
    <w:rsid w:val="00A1062B"/>
    <w:pPr>
      <w:ind w:left="4320"/>
    </w:pPr>
    <w:rPr>
      <w:rFonts w:eastAsia="Times New Roman"/>
      <w:color w:val="000000"/>
      <w:szCs w:val="24"/>
    </w:rPr>
  </w:style>
  <w:style w:type="character" w:customStyle="1" w:styleId="SignatureChar">
    <w:name w:val="Signature Char"/>
    <w:basedOn w:val="DefaultParagraphFont"/>
    <w:link w:val="Signature"/>
    <w:rsid w:val="00A1062B"/>
    <w:rPr>
      <w:rFonts w:ascii="Times New Roman" w:eastAsia="Times New Roman" w:hAnsi="Times New Roman" w:cs="Times New Roman"/>
      <w:color w:val="000000"/>
      <w:sz w:val="24"/>
      <w:szCs w:val="24"/>
    </w:rPr>
  </w:style>
  <w:style w:type="paragraph" w:styleId="BodyText">
    <w:name w:val="Body Text"/>
    <w:basedOn w:val="Normal"/>
    <w:link w:val="BodyTextChar"/>
    <w:rsid w:val="00A1062B"/>
    <w:rPr>
      <w:rFonts w:eastAsia="Times New Roman"/>
      <w:color w:val="000000"/>
      <w:szCs w:val="24"/>
    </w:rPr>
  </w:style>
  <w:style w:type="character" w:customStyle="1" w:styleId="BodyTextChar">
    <w:name w:val="Body Text Char"/>
    <w:basedOn w:val="DefaultParagraphFont"/>
    <w:link w:val="BodyText"/>
    <w:rsid w:val="00A1062B"/>
    <w:rPr>
      <w:rFonts w:ascii="Times New Roman" w:eastAsia="Times New Roman" w:hAnsi="Times New Roman" w:cs="Times New Roman"/>
      <w:color w:val="000000"/>
      <w:sz w:val="24"/>
      <w:szCs w:val="24"/>
    </w:rPr>
  </w:style>
  <w:style w:type="paragraph" w:styleId="BodyTextIndent">
    <w:name w:val="Body Text Indent"/>
    <w:basedOn w:val="Normal"/>
    <w:link w:val="BodyTextIndentChar"/>
    <w:rsid w:val="00A1062B"/>
    <w:pPr>
      <w:ind w:left="360"/>
    </w:pPr>
    <w:rPr>
      <w:rFonts w:eastAsia="Times New Roman"/>
      <w:color w:val="000000"/>
      <w:szCs w:val="24"/>
    </w:rPr>
  </w:style>
  <w:style w:type="character" w:customStyle="1" w:styleId="BodyTextIndentChar">
    <w:name w:val="Body Text Indent Char"/>
    <w:basedOn w:val="DefaultParagraphFont"/>
    <w:link w:val="BodyTextIndent"/>
    <w:rsid w:val="00A1062B"/>
    <w:rPr>
      <w:rFonts w:ascii="Times New Roman" w:eastAsia="Times New Roman" w:hAnsi="Times New Roman" w:cs="Times New Roman"/>
      <w:color w:val="000000"/>
      <w:sz w:val="24"/>
      <w:szCs w:val="24"/>
    </w:rPr>
  </w:style>
  <w:style w:type="paragraph" w:styleId="ListContinue">
    <w:name w:val="List Continue"/>
    <w:basedOn w:val="Normal"/>
    <w:rsid w:val="00A1062B"/>
    <w:pPr>
      <w:ind w:left="360"/>
    </w:pPr>
    <w:rPr>
      <w:rFonts w:eastAsia="Times New Roman"/>
      <w:color w:val="000000"/>
      <w:szCs w:val="24"/>
    </w:rPr>
  </w:style>
  <w:style w:type="paragraph" w:styleId="ListContinue2">
    <w:name w:val="List Continue 2"/>
    <w:basedOn w:val="Normal"/>
    <w:rsid w:val="00A1062B"/>
    <w:pPr>
      <w:ind w:left="720"/>
    </w:pPr>
    <w:rPr>
      <w:rFonts w:eastAsia="Times New Roman"/>
      <w:color w:val="000000"/>
      <w:szCs w:val="24"/>
    </w:rPr>
  </w:style>
  <w:style w:type="paragraph" w:styleId="ListContinue3">
    <w:name w:val="List Continue 3"/>
    <w:basedOn w:val="Normal"/>
    <w:rsid w:val="00A1062B"/>
    <w:pPr>
      <w:ind w:left="1080"/>
    </w:pPr>
    <w:rPr>
      <w:rFonts w:eastAsia="Times New Roman"/>
      <w:color w:val="000000"/>
      <w:szCs w:val="24"/>
    </w:rPr>
  </w:style>
  <w:style w:type="paragraph" w:styleId="ListContinue4">
    <w:name w:val="List Continue 4"/>
    <w:basedOn w:val="Normal"/>
    <w:rsid w:val="00A1062B"/>
    <w:pPr>
      <w:ind w:left="1440"/>
    </w:pPr>
    <w:rPr>
      <w:rFonts w:eastAsia="Times New Roman"/>
      <w:color w:val="000000"/>
      <w:szCs w:val="24"/>
    </w:rPr>
  </w:style>
  <w:style w:type="paragraph" w:styleId="ListContinue5">
    <w:name w:val="List Continue 5"/>
    <w:basedOn w:val="Normal"/>
    <w:rsid w:val="00A1062B"/>
    <w:pPr>
      <w:ind w:left="1800"/>
    </w:pPr>
    <w:rPr>
      <w:rFonts w:eastAsia="Times New Roman"/>
      <w:color w:val="000000"/>
      <w:szCs w:val="24"/>
    </w:rPr>
  </w:style>
  <w:style w:type="paragraph" w:styleId="MessageHeader">
    <w:name w:val="Message Header"/>
    <w:basedOn w:val="Normal"/>
    <w:link w:val="MessageHeaderChar"/>
    <w:rsid w:val="00A1062B"/>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color w:val="000000"/>
      <w:szCs w:val="24"/>
    </w:rPr>
  </w:style>
  <w:style w:type="character" w:customStyle="1" w:styleId="MessageHeaderChar">
    <w:name w:val="Message Header Char"/>
    <w:basedOn w:val="DefaultParagraphFont"/>
    <w:link w:val="MessageHeader"/>
    <w:rsid w:val="00A1062B"/>
    <w:rPr>
      <w:rFonts w:ascii="Arial" w:eastAsia="Times New Roman" w:hAnsi="Arial" w:cs="Arial"/>
      <w:color w:val="000000"/>
      <w:sz w:val="24"/>
      <w:szCs w:val="24"/>
      <w:shd w:val="pct20" w:color="auto" w:fill="auto"/>
    </w:rPr>
  </w:style>
  <w:style w:type="paragraph" w:styleId="Subtitle">
    <w:name w:val="Subtitle"/>
    <w:basedOn w:val="Normal"/>
    <w:link w:val="SubtitleChar"/>
    <w:qFormat/>
    <w:rsid w:val="00A1062B"/>
    <w:pPr>
      <w:keepNext/>
      <w:spacing w:before="240" w:after="60" w:line="480" w:lineRule="auto"/>
      <w:outlineLvl w:val="1"/>
    </w:pPr>
    <w:rPr>
      <w:rFonts w:eastAsia="Times New Roman" w:cs="Arial"/>
      <w:b/>
      <w:kern w:val="28"/>
      <w:szCs w:val="24"/>
      <w:u w:val="single"/>
    </w:rPr>
  </w:style>
  <w:style w:type="character" w:customStyle="1" w:styleId="SubtitleChar">
    <w:name w:val="Subtitle Char"/>
    <w:link w:val="Subtitle"/>
    <w:rsid w:val="00A1062B"/>
    <w:rPr>
      <w:rFonts w:ascii="Arial" w:eastAsia="Times New Roman" w:hAnsi="Arial" w:cs="Arial"/>
      <w:b/>
      <w:kern w:val="28"/>
      <w:sz w:val="24"/>
      <w:szCs w:val="24"/>
      <w:u w:val="single"/>
    </w:rPr>
  </w:style>
  <w:style w:type="paragraph" w:styleId="Salutation">
    <w:name w:val="Salutation"/>
    <w:basedOn w:val="Normal"/>
    <w:next w:val="Normal"/>
    <w:link w:val="SalutationChar"/>
    <w:rsid w:val="00A1062B"/>
    <w:rPr>
      <w:rFonts w:eastAsia="Times New Roman"/>
      <w:color w:val="000000"/>
      <w:szCs w:val="24"/>
    </w:rPr>
  </w:style>
  <w:style w:type="character" w:customStyle="1" w:styleId="SalutationChar">
    <w:name w:val="Salutation Char"/>
    <w:basedOn w:val="DefaultParagraphFont"/>
    <w:link w:val="Salutation"/>
    <w:rsid w:val="00A1062B"/>
    <w:rPr>
      <w:rFonts w:ascii="Times New Roman" w:eastAsia="Times New Roman" w:hAnsi="Times New Roman" w:cs="Times New Roman"/>
      <w:color w:val="000000"/>
      <w:sz w:val="24"/>
      <w:szCs w:val="24"/>
    </w:rPr>
  </w:style>
  <w:style w:type="paragraph" w:styleId="Date">
    <w:name w:val="Date"/>
    <w:basedOn w:val="Normal"/>
    <w:next w:val="Normal"/>
    <w:link w:val="DateChar"/>
    <w:rsid w:val="00A1062B"/>
    <w:rPr>
      <w:rFonts w:eastAsia="Times New Roman"/>
      <w:color w:val="000000"/>
      <w:szCs w:val="24"/>
    </w:rPr>
  </w:style>
  <w:style w:type="character" w:customStyle="1" w:styleId="DateChar">
    <w:name w:val="Date Char"/>
    <w:basedOn w:val="DefaultParagraphFont"/>
    <w:link w:val="Date"/>
    <w:rsid w:val="00A1062B"/>
    <w:rPr>
      <w:rFonts w:ascii="Times New Roman" w:eastAsia="Times New Roman" w:hAnsi="Times New Roman" w:cs="Times New Roman"/>
      <w:color w:val="000000"/>
      <w:sz w:val="24"/>
      <w:szCs w:val="24"/>
    </w:rPr>
  </w:style>
  <w:style w:type="paragraph" w:styleId="BodyTextFirstIndent">
    <w:name w:val="Body Text First Indent"/>
    <w:basedOn w:val="BodyText"/>
    <w:link w:val="BodyTextFirstIndentChar"/>
    <w:rsid w:val="00A1062B"/>
    <w:pPr>
      <w:ind w:firstLine="210"/>
    </w:pPr>
  </w:style>
  <w:style w:type="character" w:customStyle="1" w:styleId="BodyTextFirstIndentChar">
    <w:name w:val="Body Text First Indent Char"/>
    <w:basedOn w:val="BodyTextChar"/>
    <w:link w:val="BodyTextFirstIndent"/>
    <w:rsid w:val="00A1062B"/>
    <w:rPr>
      <w:rFonts w:ascii="Times New Roman" w:eastAsia="Times New Roman" w:hAnsi="Times New Roman" w:cs="Times New Roman"/>
      <w:color w:val="000000"/>
      <w:sz w:val="24"/>
      <w:szCs w:val="24"/>
    </w:rPr>
  </w:style>
  <w:style w:type="paragraph" w:styleId="BodyTextFirstIndent2">
    <w:name w:val="Body Text First Indent 2"/>
    <w:basedOn w:val="BodyTextIndent"/>
    <w:link w:val="BodyTextFirstIndent2Char"/>
    <w:rsid w:val="00A1062B"/>
    <w:pPr>
      <w:ind w:firstLine="210"/>
    </w:pPr>
  </w:style>
  <w:style w:type="character" w:customStyle="1" w:styleId="BodyTextFirstIndent2Char">
    <w:name w:val="Body Text First Indent 2 Char"/>
    <w:basedOn w:val="BodyTextIndentChar"/>
    <w:link w:val="BodyTextFirstIndent2"/>
    <w:rsid w:val="00A1062B"/>
    <w:rPr>
      <w:rFonts w:ascii="Times New Roman" w:eastAsia="Times New Roman" w:hAnsi="Times New Roman" w:cs="Times New Roman"/>
      <w:color w:val="000000"/>
      <w:sz w:val="24"/>
      <w:szCs w:val="24"/>
    </w:rPr>
  </w:style>
  <w:style w:type="paragraph" w:styleId="NoteHeading">
    <w:name w:val="Note Heading"/>
    <w:basedOn w:val="Normal"/>
    <w:next w:val="Normal"/>
    <w:link w:val="NoteHeadingChar"/>
    <w:rsid w:val="00A1062B"/>
    <w:rPr>
      <w:rFonts w:eastAsia="Times New Roman"/>
      <w:color w:val="000000"/>
      <w:szCs w:val="24"/>
    </w:rPr>
  </w:style>
  <w:style w:type="character" w:customStyle="1" w:styleId="NoteHeadingChar">
    <w:name w:val="Note Heading Char"/>
    <w:basedOn w:val="DefaultParagraphFont"/>
    <w:link w:val="NoteHeading"/>
    <w:rsid w:val="00A1062B"/>
    <w:rPr>
      <w:rFonts w:ascii="Times New Roman" w:eastAsia="Times New Roman" w:hAnsi="Times New Roman" w:cs="Times New Roman"/>
      <w:color w:val="000000"/>
      <w:sz w:val="24"/>
      <w:szCs w:val="24"/>
    </w:rPr>
  </w:style>
  <w:style w:type="paragraph" w:styleId="BodyText2">
    <w:name w:val="Body Text 2"/>
    <w:basedOn w:val="Normal"/>
    <w:link w:val="BodyText2Char"/>
    <w:rsid w:val="00A1062B"/>
    <w:pPr>
      <w:spacing w:line="480" w:lineRule="auto"/>
    </w:pPr>
    <w:rPr>
      <w:rFonts w:eastAsia="Times New Roman"/>
      <w:color w:val="000000"/>
      <w:szCs w:val="24"/>
    </w:rPr>
  </w:style>
  <w:style w:type="character" w:customStyle="1" w:styleId="BodyText2Char">
    <w:name w:val="Body Text 2 Char"/>
    <w:basedOn w:val="DefaultParagraphFont"/>
    <w:link w:val="BodyText2"/>
    <w:rsid w:val="00A1062B"/>
    <w:rPr>
      <w:rFonts w:ascii="Times New Roman" w:eastAsia="Times New Roman" w:hAnsi="Times New Roman" w:cs="Times New Roman"/>
      <w:color w:val="000000"/>
      <w:sz w:val="24"/>
      <w:szCs w:val="24"/>
    </w:rPr>
  </w:style>
  <w:style w:type="paragraph" w:styleId="BodyText3">
    <w:name w:val="Body Text 3"/>
    <w:basedOn w:val="Normal"/>
    <w:link w:val="BodyText3Char"/>
    <w:rsid w:val="00A1062B"/>
    <w:rPr>
      <w:rFonts w:eastAsia="Times New Roman"/>
      <w:color w:val="000000"/>
      <w:sz w:val="16"/>
      <w:szCs w:val="16"/>
    </w:rPr>
  </w:style>
  <w:style w:type="character" w:customStyle="1" w:styleId="BodyText3Char">
    <w:name w:val="Body Text 3 Char"/>
    <w:basedOn w:val="DefaultParagraphFont"/>
    <w:link w:val="BodyText3"/>
    <w:rsid w:val="00A1062B"/>
    <w:rPr>
      <w:rFonts w:ascii="Times New Roman" w:eastAsia="Times New Roman" w:hAnsi="Times New Roman" w:cs="Times New Roman"/>
      <w:color w:val="000000"/>
      <w:sz w:val="16"/>
      <w:szCs w:val="16"/>
    </w:rPr>
  </w:style>
  <w:style w:type="paragraph" w:styleId="BodyTextIndent2">
    <w:name w:val="Body Text Indent 2"/>
    <w:basedOn w:val="Normal"/>
    <w:link w:val="BodyTextIndent2Char"/>
    <w:rsid w:val="00A1062B"/>
    <w:pPr>
      <w:spacing w:line="480" w:lineRule="auto"/>
      <w:ind w:left="360"/>
    </w:pPr>
    <w:rPr>
      <w:rFonts w:eastAsia="Times New Roman"/>
      <w:color w:val="000000"/>
      <w:szCs w:val="24"/>
    </w:rPr>
  </w:style>
  <w:style w:type="character" w:customStyle="1" w:styleId="BodyTextIndent2Char">
    <w:name w:val="Body Text Indent 2 Char"/>
    <w:basedOn w:val="DefaultParagraphFont"/>
    <w:link w:val="BodyTextIndent2"/>
    <w:rsid w:val="00A1062B"/>
    <w:rPr>
      <w:rFonts w:ascii="Times New Roman" w:eastAsia="Times New Roman" w:hAnsi="Times New Roman" w:cs="Times New Roman"/>
      <w:color w:val="000000"/>
      <w:sz w:val="24"/>
      <w:szCs w:val="24"/>
    </w:rPr>
  </w:style>
  <w:style w:type="paragraph" w:styleId="BodyTextIndent3">
    <w:name w:val="Body Text Indent 3"/>
    <w:basedOn w:val="Normal"/>
    <w:link w:val="BodyTextIndent3Char"/>
    <w:rsid w:val="00A1062B"/>
    <w:pPr>
      <w:ind w:left="360"/>
    </w:pPr>
    <w:rPr>
      <w:rFonts w:eastAsia="Times New Roman"/>
      <w:color w:val="000000"/>
      <w:sz w:val="16"/>
      <w:szCs w:val="16"/>
    </w:rPr>
  </w:style>
  <w:style w:type="character" w:customStyle="1" w:styleId="BodyTextIndent3Char">
    <w:name w:val="Body Text Indent 3 Char"/>
    <w:basedOn w:val="DefaultParagraphFont"/>
    <w:link w:val="BodyTextIndent3"/>
    <w:rsid w:val="00A1062B"/>
    <w:rPr>
      <w:rFonts w:ascii="Times New Roman" w:eastAsia="Times New Roman" w:hAnsi="Times New Roman" w:cs="Times New Roman"/>
      <w:color w:val="000000"/>
      <w:sz w:val="16"/>
      <w:szCs w:val="16"/>
    </w:rPr>
  </w:style>
  <w:style w:type="paragraph" w:styleId="BlockText">
    <w:name w:val="Block Text"/>
    <w:basedOn w:val="Normal"/>
    <w:rsid w:val="00A1062B"/>
    <w:pPr>
      <w:ind w:left="960" w:right="-502" w:hanging="940"/>
      <w:jc w:val="both"/>
    </w:pPr>
    <w:rPr>
      <w:rFonts w:eastAsia="Times New Roman"/>
      <w:lang w:eastAsia="it-IT"/>
    </w:rPr>
  </w:style>
  <w:style w:type="character" w:styleId="Hyperlink">
    <w:name w:val="Hyperlink"/>
    <w:uiPriority w:val="99"/>
    <w:unhideWhenUsed/>
    <w:rsid w:val="00A1062B"/>
    <w:rPr>
      <w:rFonts w:ascii="Arial" w:hAnsi="Arial"/>
      <w:strike w:val="0"/>
      <w:dstrike w:val="0"/>
      <w:color w:val="000066"/>
      <w:sz w:val="22"/>
      <w:u w:val="none"/>
      <w:effect w:val="none"/>
    </w:rPr>
  </w:style>
  <w:style w:type="character" w:styleId="FollowedHyperlink">
    <w:name w:val="FollowedHyperlink"/>
    <w:basedOn w:val="DefaultParagraphFont"/>
    <w:uiPriority w:val="99"/>
    <w:unhideWhenUsed/>
    <w:rsid w:val="00A1062B"/>
    <w:rPr>
      <w:color w:val="954F72" w:themeColor="followedHyperlink"/>
      <w:u w:val="single"/>
    </w:rPr>
  </w:style>
  <w:style w:type="character" w:styleId="Strong">
    <w:name w:val="Strong"/>
    <w:uiPriority w:val="22"/>
    <w:qFormat/>
    <w:rsid w:val="00A1062B"/>
    <w:rPr>
      <w:rFonts w:ascii="Verdana" w:hAnsi="Verdana" w:hint="default"/>
      <w:b/>
      <w:bCs/>
      <w:color w:val="FF0000"/>
      <w:sz w:val="30"/>
      <w:szCs w:val="30"/>
    </w:rPr>
  </w:style>
  <w:style w:type="character" w:styleId="Emphasis">
    <w:name w:val="Emphasis"/>
    <w:basedOn w:val="DefaultParagraphFont"/>
    <w:uiPriority w:val="20"/>
    <w:qFormat/>
    <w:rsid w:val="00A1062B"/>
    <w:rPr>
      <w:i/>
      <w:iCs/>
    </w:rPr>
  </w:style>
  <w:style w:type="paragraph" w:styleId="DocumentMap">
    <w:name w:val="Document Map"/>
    <w:basedOn w:val="Normal"/>
    <w:link w:val="DocumentMapChar"/>
    <w:semiHidden/>
    <w:rsid w:val="00A1062B"/>
    <w:pPr>
      <w:shd w:val="clear" w:color="auto" w:fill="000080"/>
    </w:pPr>
    <w:rPr>
      <w:rFonts w:ascii="Tahoma" w:hAnsi="Tahoma" w:cs="Tahoma"/>
    </w:rPr>
  </w:style>
  <w:style w:type="character" w:customStyle="1" w:styleId="DocumentMapChar">
    <w:name w:val="Document Map Char"/>
    <w:basedOn w:val="DefaultParagraphFont"/>
    <w:link w:val="DocumentMap"/>
    <w:semiHidden/>
    <w:rsid w:val="00A1062B"/>
    <w:rPr>
      <w:rFonts w:ascii="Tahoma" w:eastAsia="Times" w:hAnsi="Tahoma" w:cs="Tahoma"/>
      <w:sz w:val="20"/>
      <w:szCs w:val="20"/>
      <w:shd w:val="clear" w:color="auto" w:fill="000080"/>
    </w:rPr>
  </w:style>
  <w:style w:type="paragraph" w:styleId="PlainText">
    <w:name w:val="Plain Text"/>
    <w:basedOn w:val="Normal"/>
    <w:link w:val="PlainTextChar"/>
    <w:rsid w:val="00A1062B"/>
    <w:rPr>
      <w:rFonts w:ascii="Courier New" w:eastAsia="Times New Roman" w:hAnsi="Courier New" w:cs="Courier New"/>
      <w:color w:val="000000"/>
    </w:rPr>
  </w:style>
  <w:style w:type="character" w:customStyle="1" w:styleId="PlainTextChar">
    <w:name w:val="Plain Text Char"/>
    <w:basedOn w:val="DefaultParagraphFont"/>
    <w:link w:val="PlainText"/>
    <w:rsid w:val="00A1062B"/>
    <w:rPr>
      <w:rFonts w:ascii="Courier New" w:eastAsia="Times New Roman" w:hAnsi="Courier New" w:cs="Courier New"/>
      <w:color w:val="000000"/>
      <w:sz w:val="20"/>
      <w:szCs w:val="20"/>
    </w:rPr>
  </w:style>
  <w:style w:type="paragraph" w:styleId="E-mailSignature">
    <w:name w:val="E-mail Signature"/>
    <w:basedOn w:val="Normal"/>
    <w:link w:val="E-mailSignatureChar"/>
    <w:rsid w:val="00A1062B"/>
    <w:rPr>
      <w:rFonts w:eastAsia="Times New Roman"/>
      <w:color w:val="000000"/>
      <w:szCs w:val="24"/>
    </w:rPr>
  </w:style>
  <w:style w:type="character" w:customStyle="1" w:styleId="E-mailSignatureChar">
    <w:name w:val="E-mail Signature Char"/>
    <w:basedOn w:val="DefaultParagraphFont"/>
    <w:link w:val="E-mailSignature"/>
    <w:rsid w:val="00A1062B"/>
    <w:rPr>
      <w:rFonts w:ascii="Times New Roman" w:eastAsia="Times New Roman" w:hAnsi="Times New Roman" w:cs="Times New Roman"/>
      <w:color w:val="000000"/>
      <w:sz w:val="24"/>
      <w:szCs w:val="24"/>
    </w:rPr>
  </w:style>
  <w:style w:type="paragraph" w:styleId="NormalWeb">
    <w:name w:val="Normal (Web)"/>
    <w:basedOn w:val="Normal"/>
    <w:uiPriority w:val="99"/>
    <w:rsid w:val="00A1062B"/>
    <w:pPr>
      <w:spacing w:before="100" w:beforeAutospacing="1" w:after="100" w:afterAutospacing="1"/>
    </w:pPr>
    <w:rPr>
      <w:rFonts w:eastAsia="Times New Roman"/>
      <w:color w:val="000000"/>
      <w:szCs w:val="24"/>
    </w:rPr>
  </w:style>
  <w:style w:type="paragraph" w:styleId="HTMLAddress">
    <w:name w:val="HTML Address"/>
    <w:basedOn w:val="Normal"/>
    <w:link w:val="HTMLAddressChar"/>
    <w:rsid w:val="00A1062B"/>
    <w:rPr>
      <w:rFonts w:eastAsia="Times New Roman"/>
      <w:i/>
      <w:iCs/>
      <w:color w:val="000000"/>
      <w:szCs w:val="24"/>
    </w:rPr>
  </w:style>
  <w:style w:type="character" w:customStyle="1" w:styleId="HTMLAddressChar">
    <w:name w:val="HTML Address Char"/>
    <w:basedOn w:val="DefaultParagraphFont"/>
    <w:link w:val="HTMLAddress"/>
    <w:rsid w:val="00A1062B"/>
    <w:rPr>
      <w:rFonts w:ascii="Times New Roman" w:eastAsia="Times New Roman" w:hAnsi="Times New Roman" w:cs="Times New Roman"/>
      <w:i/>
      <w:iCs/>
      <w:color w:val="000000"/>
      <w:sz w:val="24"/>
      <w:szCs w:val="24"/>
    </w:rPr>
  </w:style>
  <w:style w:type="paragraph" w:styleId="HTMLPreformatted">
    <w:name w:val="HTML Preformatted"/>
    <w:basedOn w:val="Normal"/>
    <w:link w:val="HTMLPreformattedChar"/>
    <w:rsid w:val="00A1062B"/>
    <w:rPr>
      <w:rFonts w:ascii="Courier New" w:eastAsia="Times New Roman" w:hAnsi="Courier New" w:cs="Courier New"/>
      <w:color w:val="000000"/>
    </w:rPr>
  </w:style>
  <w:style w:type="character" w:customStyle="1" w:styleId="HTMLPreformattedChar">
    <w:name w:val="HTML Preformatted Char"/>
    <w:basedOn w:val="DefaultParagraphFont"/>
    <w:link w:val="HTMLPreformatted"/>
    <w:rsid w:val="00A1062B"/>
    <w:rPr>
      <w:rFonts w:ascii="Courier New" w:eastAsia="Times New Roman" w:hAnsi="Courier New" w:cs="Courier New"/>
      <w:color w:val="000000"/>
      <w:sz w:val="20"/>
      <w:szCs w:val="20"/>
    </w:rPr>
  </w:style>
  <w:style w:type="paragraph" w:styleId="CommentSubject">
    <w:name w:val="annotation subject"/>
    <w:basedOn w:val="CommentText"/>
    <w:next w:val="CommentText"/>
    <w:link w:val="CommentSubjectChar"/>
    <w:uiPriority w:val="99"/>
    <w:unhideWhenUsed/>
    <w:rsid w:val="00A1062B"/>
    <w:rPr>
      <w:b/>
      <w:bCs/>
    </w:rPr>
  </w:style>
  <w:style w:type="character" w:customStyle="1" w:styleId="CommentSubjectChar">
    <w:name w:val="Comment Subject Char"/>
    <w:basedOn w:val="CommentTextChar"/>
    <w:link w:val="CommentSubject"/>
    <w:uiPriority w:val="99"/>
    <w:rsid w:val="00A1062B"/>
    <w:rPr>
      <w:rFonts w:ascii="Arial" w:eastAsia="Times" w:hAnsi="Arial" w:cs="Times New Roman"/>
      <w:b/>
      <w:bCs/>
      <w:sz w:val="20"/>
      <w:szCs w:val="20"/>
    </w:rPr>
  </w:style>
  <w:style w:type="table" w:styleId="TableClassic1">
    <w:name w:val="Table Classic 1"/>
    <w:basedOn w:val="TableNormal"/>
    <w:rsid w:val="00A1062B"/>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BalloonText">
    <w:name w:val="Balloon Text"/>
    <w:basedOn w:val="Normal"/>
    <w:link w:val="BalloonTextChar"/>
    <w:uiPriority w:val="99"/>
    <w:unhideWhenUsed/>
    <w:qFormat/>
    <w:rsid w:val="00A1062B"/>
    <w:rPr>
      <w:sz w:val="18"/>
      <w:szCs w:val="18"/>
    </w:rPr>
  </w:style>
  <w:style w:type="character" w:customStyle="1" w:styleId="BalloonTextChar">
    <w:name w:val="Balloon Text Char"/>
    <w:basedOn w:val="DefaultParagraphFont"/>
    <w:link w:val="BalloonText"/>
    <w:uiPriority w:val="99"/>
    <w:rsid w:val="00A1062B"/>
    <w:rPr>
      <w:rFonts w:ascii="Times New Roman" w:eastAsia="Times" w:hAnsi="Times New Roman" w:cs="Times New Roman"/>
      <w:sz w:val="18"/>
      <w:szCs w:val="18"/>
    </w:rPr>
  </w:style>
  <w:style w:type="paragraph" w:styleId="ListParagraph">
    <w:name w:val="List Paragraph"/>
    <w:basedOn w:val="Normal"/>
    <w:uiPriority w:val="34"/>
    <w:qFormat/>
    <w:rsid w:val="00A1062B"/>
    <w:pPr>
      <w:ind w:left="720"/>
      <w:contextualSpacing/>
    </w:pPr>
  </w:style>
  <w:style w:type="character" w:customStyle="1" w:styleId="UnresolvedMention1">
    <w:name w:val="Unresolved Mention1"/>
    <w:basedOn w:val="DefaultParagraphFont"/>
    <w:rsid w:val="00A1062B"/>
    <w:rPr>
      <w:color w:val="605E5C"/>
      <w:shd w:val="clear" w:color="auto" w:fill="E1DFDD"/>
    </w:rPr>
  </w:style>
  <w:style w:type="paragraph" w:customStyle="1" w:styleId="StyleTablebody">
    <w:name w:val="Style Table body +"/>
    <w:basedOn w:val="Tablebody"/>
    <w:autoRedefine/>
    <w:rsid w:val="000E0891"/>
    <w:rPr>
      <w:b/>
      <w:bCs/>
    </w:rPr>
  </w:style>
  <w:style w:type="paragraph" w:customStyle="1" w:styleId="StyleTablebody1">
    <w:name w:val="Style Table body +1"/>
    <w:basedOn w:val="Tablebody"/>
    <w:autoRedefine/>
    <w:rsid w:val="00E03B00"/>
    <w:pPr>
      <w:framePr w:wrap="around" w:hAnchor="text"/>
    </w:pPr>
    <w:rPr>
      <w:b/>
      <w:bCs/>
    </w:rPr>
  </w:style>
  <w:style w:type="paragraph" w:customStyle="1" w:styleId="StyleTablenumberandcaption">
    <w:name w:val="Style Table number and caption +"/>
    <w:basedOn w:val="Tablenumberandcaption"/>
    <w:autoRedefine/>
    <w:rsid w:val="00A97EA8"/>
  </w:style>
  <w:style w:type="paragraph" w:customStyle="1" w:styleId="StyleTablebodyBold">
    <w:name w:val="Style Table body + Bold"/>
    <w:basedOn w:val="Tablebody"/>
    <w:autoRedefine/>
    <w:rsid w:val="00C20D8B"/>
    <w:pPr>
      <w:framePr w:wrap="around" w:hAnchor="text"/>
    </w:pPr>
    <w:rPr>
      <w:b/>
      <w:bCs/>
    </w:rPr>
  </w:style>
  <w:style w:type="character" w:styleId="SubtleEmphasis">
    <w:name w:val="Subtle Emphasis"/>
    <w:basedOn w:val="DefaultParagraphFont"/>
    <w:uiPriority w:val="19"/>
    <w:qFormat/>
    <w:rsid w:val="001F53D5"/>
    <w:rPr>
      <w:rFonts w:ascii="Arial" w:hAnsi="Arial"/>
      <w:b w:val="0"/>
      <w:i w:val="0"/>
      <w:iCs/>
      <w:color w:val="404040" w:themeColor="text1" w:themeTint="BF"/>
      <w:sz w:val="22"/>
    </w:rPr>
  </w:style>
  <w:style w:type="paragraph" w:customStyle="1" w:styleId="StyleTableheaderSuperscript">
    <w:name w:val="Style Table header + Superscript"/>
    <w:basedOn w:val="Tableheader"/>
    <w:autoRedefine/>
    <w:rsid w:val="006120B8"/>
    <w:rPr>
      <w:bCs/>
      <w:sz w:val="18"/>
    </w:rPr>
  </w:style>
  <w:style w:type="paragraph" w:customStyle="1" w:styleId="StyleTableheaderSuperscript1">
    <w:name w:val="Style Table header + Superscript1"/>
    <w:basedOn w:val="Tableheader"/>
    <w:autoRedefine/>
    <w:rsid w:val="006120B8"/>
    <w:rPr>
      <w:bCs/>
      <w:sz w:val="20"/>
    </w:rPr>
  </w:style>
  <w:style w:type="numbering" w:customStyle="1" w:styleId="NoList7">
    <w:name w:val="No List7"/>
    <w:next w:val="NoList"/>
    <w:uiPriority w:val="99"/>
    <w:semiHidden/>
    <w:unhideWhenUsed/>
    <w:rsid w:val="00290B68"/>
  </w:style>
  <w:style w:type="paragraph" w:customStyle="1" w:styleId="msonormal0">
    <w:name w:val="msonormal"/>
    <w:basedOn w:val="Normal"/>
    <w:rsid w:val="00290B68"/>
    <w:pPr>
      <w:spacing w:before="100" w:beforeAutospacing="1" w:after="100" w:afterAutospacing="1" w:line="240" w:lineRule="auto"/>
    </w:pPr>
    <w:rPr>
      <w:rFonts w:ascii="Times New Roman" w:eastAsia="Times New Roman" w:hAnsi="Times New Roman"/>
      <w:sz w:val="24"/>
      <w:szCs w:val="24"/>
    </w:rPr>
  </w:style>
  <w:style w:type="character" w:customStyle="1" w:styleId="label">
    <w:name w:val="label"/>
    <w:basedOn w:val="DefaultParagraphFont"/>
    <w:rsid w:val="00290B68"/>
  </w:style>
  <w:style w:type="character" w:customStyle="1" w:styleId="1">
    <w:name w:val="Τίτλος1"/>
    <w:basedOn w:val="DefaultParagraphFont"/>
    <w:rsid w:val="00290B68"/>
  </w:style>
  <w:style w:type="character" w:styleId="UnresolvedMention">
    <w:name w:val="Unresolved Mention"/>
    <w:basedOn w:val="DefaultParagraphFont"/>
    <w:uiPriority w:val="99"/>
    <w:semiHidden/>
    <w:unhideWhenUsed/>
    <w:rsid w:val="00052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41018">
      <w:bodyDiv w:val="1"/>
      <w:marLeft w:val="0"/>
      <w:marRight w:val="0"/>
      <w:marTop w:val="0"/>
      <w:marBottom w:val="0"/>
      <w:divBdr>
        <w:top w:val="none" w:sz="0" w:space="0" w:color="auto"/>
        <w:left w:val="none" w:sz="0" w:space="0" w:color="auto"/>
        <w:bottom w:val="none" w:sz="0" w:space="0" w:color="auto"/>
        <w:right w:val="none" w:sz="0" w:space="0" w:color="auto"/>
      </w:divBdr>
      <w:divsChild>
        <w:div w:id="1893880611">
          <w:marLeft w:val="0"/>
          <w:marRight w:val="0"/>
          <w:marTop w:val="0"/>
          <w:marBottom w:val="0"/>
          <w:divBdr>
            <w:top w:val="none" w:sz="0" w:space="0" w:color="auto"/>
            <w:left w:val="none" w:sz="0" w:space="0" w:color="auto"/>
            <w:bottom w:val="none" w:sz="0" w:space="0" w:color="auto"/>
            <w:right w:val="none" w:sz="0" w:space="0" w:color="auto"/>
          </w:divBdr>
        </w:div>
        <w:div w:id="2135244758">
          <w:marLeft w:val="0"/>
          <w:marRight w:val="0"/>
          <w:marTop w:val="0"/>
          <w:marBottom w:val="0"/>
          <w:divBdr>
            <w:top w:val="none" w:sz="0" w:space="0" w:color="auto"/>
            <w:left w:val="none" w:sz="0" w:space="0" w:color="auto"/>
            <w:bottom w:val="none" w:sz="0" w:space="0" w:color="auto"/>
            <w:right w:val="none" w:sz="0" w:space="0" w:color="auto"/>
          </w:divBdr>
        </w:div>
        <w:div w:id="423962330">
          <w:marLeft w:val="0"/>
          <w:marRight w:val="0"/>
          <w:marTop w:val="0"/>
          <w:marBottom w:val="0"/>
          <w:divBdr>
            <w:top w:val="none" w:sz="0" w:space="0" w:color="auto"/>
            <w:left w:val="none" w:sz="0" w:space="0" w:color="auto"/>
            <w:bottom w:val="none" w:sz="0" w:space="0" w:color="auto"/>
            <w:right w:val="none" w:sz="0" w:space="0" w:color="auto"/>
          </w:divBdr>
        </w:div>
        <w:div w:id="288511269">
          <w:marLeft w:val="0"/>
          <w:marRight w:val="0"/>
          <w:marTop w:val="0"/>
          <w:marBottom w:val="0"/>
          <w:divBdr>
            <w:top w:val="none" w:sz="0" w:space="0" w:color="auto"/>
            <w:left w:val="none" w:sz="0" w:space="0" w:color="auto"/>
            <w:bottom w:val="none" w:sz="0" w:space="0" w:color="auto"/>
            <w:right w:val="none" w:sz="0" w:space="0" w:color="auto"/>
          </w:divBdr>
        </w:div>
        <w:div w:id="2075857819">
          <w:marLeft w:val="0"/>
          <w:marRight w:val="0"/>
          <w:marTop w:val="0"/>
          <w:marBottom w:val="0"/>
          <w:divBdr>
            <w:top w:val="none" w:sz="0" w:space="0" w:color="auto"/>
            <w:left w:val="none" w:sz="0" w:space="0" w:color="auto"/>
            <w:bottom w:val="none" w:sz="0" w:space="0" w:color="auto"/>
            <w:right w:val="none" w:sz="0" w:space="0" w:color="auto"/>
          </w:divBdr>
        </w:div>
        <w:div w:id="1039936624">
          <w:marLeft w:val="0"/>
          <w:marRight w:val="0"/>
          <w:marTop w:val="0"/>
          <w:marBottom w:val="0"/>
          <w:divBdr>
            <w:top w:val="none" w:sz="0" w:space="0" w:color="auto"/>
            <w:left w:val="none" w:sz="0" w:space="0" w:color="auto"/>
            <w:bottom w:val="none" w:sz="0" w:space="0" w:color="auto"/>
            <w:right w:val="none" w:sz="0" w:space="0" w:color="auto"/>
          </w:divBdr>
        </w:div>
        <w:div w:id="1568420293">
          <w:marLeft w:val="0"/>
          <w:marRight w:val="0"/>
          <w:marTop w:val="0"/>
          <w:marBottom w:val="0"/>
          <w:divBdr>
            <w:top w:val="none" w:sz="0" w:space="0" w:color="auto"/>
            <w:left w:val="none" w:sz="0" w:space="0" w:color="auto"/>
            <w:bottom w:val="none" w:sz="0" w:space="0" w:color="auto"/>
            <w:right w:val="none" w:sz="0" w:space="0" w:color="auto"/>
          </w:divBdr>
        </w:div>
        <w:div w:id="1653951510">
          <w:marLeft w:val="0"/>
          <w:marRight w:val="0"/>
          <w:marTop w:val="0"/>
          <w:marBottom w:val="0"/>
          <w:divBdr>
            <w:top w:val="none" w:sz="0" w:space="0" w:color="auto"/>
            <w:left w:val="none" w:sz="0" w:space="0" w:color="auto"/>
            <w:bottom w:val="none" w:sz="0" w:space="0" w:color="auto"/>
            <w:right w:val="none" w:sz="0" w:space="0" w:color="auto"/>
          </w:divBdr>
        </w:div>
        <w:div w:id="76445227">
          <w:marLeft w:val="0"/>
          <w:marRight w:val="0"/>
          <w:marTop w:val="0"/>
          <w:marBottom w:val="0"/>
          <w:divBdr>
            <w:top w:val="none" w:sz="0" w:space="0" w:color="auto"/>
            <w:left w:val="none" w:sz="0" w:space="0" w:color="auto"/>
            <w:bottom w:val="none" w:sz="0" w:space="0" w:color="auto"/>
            <w:right w:val="none" w:sz="0" w:space="0" w:color="auto"/>
          </w:divBdr>
        </w:div>
        <w:div w:id="2101098562">
          <w:marLeft w:val="0"/>
          <w:marRight w:val="0"/>
          <w:marTop w:val="0"/>
          <w:marBottom w:val="0"/>
          <w:divBdr>
            <w:top w:val="none" w:sz="0" w:space="0" w:color="auto"/>
            <w:left w:val="none" w:sz="0" w:space="0" w:color="auto"/>
            <w:bottom w:val="none" w:sz="0" w:space="0" w:color="auto"/>
            <w:right w:val="none" w:sz="0" w:space="0" w:color="auto"/>
          </w:divBdr>
        </w:div>
        <w:div w:id="1611548340">
          <w:marLeft w:val="0"/>
          <w:marRight w:val="0"/>
          <w:marTop w:val="0"/>
          <w:marBottom w:val="0"/>
          <w:divBdr>
            <w:top w:val="none" w:sz="0" w:space="0" w:color="auto"/>
            <w:left w:val="none" w:sz="0" w:space="0" w:color="auto"/>
            <w:bottom w:val="none" w:sz="0" w:space="0" w:color="auto"/>
            <w:right w:val="none" w:sz="0" w:space="0" w:color="auto"/>
          </w:divBdr>
        </w:div>
        <w:div w:id="1906984839">
          <w:marLeft w:val="0"/>
          <w:marRight w:val="0"/>
          <w:marTop w:val="0"/>
          <w:marBottom w:val="0"/>
          <w:divBdr>
            <w:top w:val="none" w:sz="0" w:space="0" w:color="auto"/>
            <w:left w:val="none" w:sz="0" w:space="0" w:color="auto"/>
            <w:bottom w:val="none" w:sz="0" w:space="0" w:color="auto"/>
            <w:right w:val="none" w:sz="0" w:space="0" w:color="auto"/>
          </w:divBdr>
        </w:div>
        <w:div w:id="436608318">
          <w:marLeft w:val="0"/>
          <w:marRight w:val="0"/>
          <w:marTop w:val="0"/>
          <w:marBottom w:val="0"/>
          <w:divBdr>
            <w:top w:val="none" w:sz="0" w:space="0" w:color="auto"/>
            <w:left w:val="none" w:sz="0" w:space="0" w:color="auto"/>
            <w:bottom w:val="none" w:sz="0" w:space="0" w:color="auto"/>
            <w:right w:val="none" w:sz="0" w:space="0" w:color="auto"/>
          </w:divBdr>
        </w:div>
        <w:div w:id="1388065865">
          <w:marLeft w:val="0"/>
          <w:marRight w:val="0"/>
          <w:marTop w:val="0"/>
          <w:marBottom w:val="0"/>
          <w:divBdr>
            <w:top w:val="none" w:sz="0" w:space="0" w:color="auto"/>
            <w:left w:val="none" w:sz="0" w:space="0" w:color="auto"/>
            <w:bottom w:val="none" w:sz="0" w:space="0" w:color="auto"/>
            <w:right w:val="none" w:sz="0" w:space="0" w:color="auto"/>
          </w:divBdr>
        </w:div>
        <w:div w:id="1524051983">
          <w:marLeft w:val="0"/>
          <w:marRight w:val="0"/>
          <w:marTop w:val="0"/>
          <w:marBottom w:val="0"/>
          <w:divBdr>
            <w:top w:val="none" w:sz="0" w:space="0" w:color="auto"/>
            <w:left w:val="none" w:sz="0" w:space="0" w:color="auto"/>
            <w:bottom w:val="none" w:sz="0" w:space="0" w:color="auto"/>
            <w:right w:val="none" w:sz="0" w:space="0" w:color="auto"/>
          </w:divBdr>
        </w:div>
        <w:div w:id="953681973">
          <w:marLeft w:val="0"/>
          <w:marRight w:val="0"/>
          <w:marTop w:val="0"/>
          <w:marBottom w:val="0"/>
          <w:divBdr>
            <w:top w:val="none" w:sz="0" w:space="0" w:color="auto"/>
            <w:left w:val="none" w:sz="0" w:space="0" w:color="auto"/>
            <w:bottom w:val="none" w:sz="0" w:space="0" w:color="auto"/>
            <w:right w:val="none" w:sz="0" w:space="0" w:color="auto"/>
          </w:divBdr>
        </w:div>
        <w:div w:id="1565946107">
          <w:marLeft w:val="0"/>
          <w:marRight w:val="0"/>
          <w:marTop w:val="0"/>
          <w:marBottom w:val="0"/>
          <w:divBdr>
            <w:top w:val="none" w:sz="0" w:space="0" w:color="auto"/>
            <w:left w:val="none" w:sz="0" w:space="0" w:color="auto"/>
            <w:bottom w:val="none" w:sz="0" w:space="0" w:color="auto"/>
            <w:right w:val="none" w:sz="0" w:space="0" w:color="auto"/>
          </w:divBdr>
        </w:div>
        <w:div w:id="1806435351">
          <w:marLeft w:val="0"/>
          <w:marRight w:val="0"/>
          <w:marTop w:val="0"/>
          <w:marBottom w:val="0"/>
          <w:divBdr>
            <w:top w:val="none" w:sz="0" w:space="0" w:color="auto"/>
            <w:left w:val="none" w:sz="0" w:space="0" w:color="auto"/>
            <w:bottom w:val="none" w:sz="0" w:space="0" w:color="auto"/>
            <w:right w:val="none" w:sz="0" w:space="0" w:color="auto"/>
          </w:divBdr>
        </w:div>
        <w:div w:id="2137554341">
          <w:marLeft w:val="0"/>
          <w:marRight w:val="0"/>
          <w:marTop w:val="0"/>
          <w:marBottom w:val="0"/>
          <w:divBdr>
            <w:top w:val="none" w:sz="0" w:space="0" w:color="auto"/>
            <w:left w:val="none" w:sz="0" w:space="0" w:color="auto"/>
            <w:bottom w:val="none" w:sz="0" w:space="0" w:color="auto"/>
            <w:right w:val="none" w:sz="0" w:space="0" w:color="auto"/>
          </w:divBdr>
        </w:div>
        <w:div w:id="1484855174">
          <w:marLeft w:val="0"/>
          <w:marRight w:val="0"/>
          <w:marTop w:val="0"/>
          <w:marBottom w:val="0"/>
          <w:divBdr>
            <w:top w:val="none" w:sz="0" w:space="0" w:color="auto"/>
            <w:left w:val="none" w:sz="0" w:space="0" w:color="auto"/>
            <w:bottom w:val="none" w:sz="0" w:space="0" w:color="auto"/>
            <w:right w:val="none" w:sz="0" w:space="0" w:color="auto"/>
          </w:divBdr>
        </w:div>
        <w:div w:id="270744216">
          <w:marLeft w:val="0"/>
          <w:marRight w:val="0"/>
          <w:marTop w:val="0"/>
          <w:marBottom w:val="0"/>
          <w:divBdr>
            <w:top w:val="none" w:sz="0" w:space="0" w:color="auto"/>
            <w:left w:val="none" w:sz="0" w:space="0" w:color="auto"/>
            <w:bottom w:val="none" w:sz="0" w:space="0" w:color="auto"/>
            <w:right w:val="none" w:sz="0" w:space="0" w:color="auto"/>
          </w:divBdr>
        </w:div>
        <w:div w:id="2081370195">
          <w:marLeft w:val="0"/>
          <w:marRight w:val="0"/>
          <w:marTop w:val="0"/>
          <w:marBottom w:val="0"/>
          <w:divBdr>
            <w:top w:val="none" w:sz="0" w:space="0" w:color="auto"/>
            <w:left w:val="none" w:sz="0" w:space="0" w:color="auto"/>
            <w:bottom w:val="none" w:sz="0" w:space="0" w:color="auto"/>
            <w:right w:val="none" w:sz="0" w:space="0" w:color="auto"/>
          </w:divBdr>
        </w:div>
        <w:div w:id="1765681826">
          <w:marLeft w:val="0"/>
          <w:marRight w:val="0"/>
          <w:marTop w:val="0"/>
          <w:marBottom w:val="0"/>
          <w:divBdr>
            <w:top w:val="none" w:sz="0" w:space="0" w:color="auto"/>
            <w:left w:val="none" w:sz="0" w:space="0" w:color="auto"/>
            <w:bottom w:val="none" w:sz="0" w:space="0" w:color="auto"/>
            <w:right w:val="none" w:sz="0" w:space="0" w:color="auto"/>
          </w:divBdr>
        </w:div>
        <w:div w:id="471678973">
          <w:marLeft w:val="0"/>
          <w:marRight w:val="0"/>
          <w:marTop w:val="0"/>
          <w:marBottom w:val="0"/>
          <w:divBdr>
            <w:top w:val="none" w:sz="0" w:space="0" w:color="auto"/>
            <w:left w:val="none" w:sz="0" w:space="0" w:color="auto"/>
            <w:bottom w:val="none" w:sz="0" w:space="0" w:color="auto"/>
            <w:right w:val="none" w:sz="0" w:space="0" w:color="auto"/>
          </w:divBdr>
        </w:div>
        <w:div w:id="1769693223">
          <w:marLeft w:val="0"/>
          <w:marRight w:val="0"/>
          <w:marTop w:val="0"/>
          <w:marBottom w:val="0"/>
          <w:divBdr>
            <w:top w:val="none" w:sz="0" w:space="0" w:color="auto"/>
            <w:left w:val="none" w:sz="0" w:space="0" w:color="auto"/>
            <w:bottom w:val="none" w:sz="0" w:space="0" w:color="auto"/>
            <w:right w:val="none" w:sz="0" w:space="0" w:color="auto"/>
          </w:divBdr>
        </w:div>
        <w:div w:id="1381586593">
          <w:marLeft w:val="0"/>
          <w:marRight w:val="0"/>
          <w:marTop w:val="0"/>
          <w:marBottom w:val="0"/>
          <w:divBdr>
            <w:top w:val="none" w:sz="0" w:space="0" w:color="auto"/>
            <w:left w:val="none" w:sz="0" w:space="0" w:color="auto"/>
            <w:bottom w:val="none" w:sz="0" w:space="0" w:color="auto"/>
            <w:right w:val="none" w:sz="0" w:space="0" w:color="auto"/>
          </w:divBdr>
        </w:div>
        <w:div w:id="2060931023">
          <w:marLeft w:val="0"/>
          <w:marRight w:val="0"/>
          <w:marTop w:val="0"/>
          <w:marBottom w:val="0"/>
          <w:divBdr>
            <w:top w:val="none" w:sz="0" w:space="0" w:color="auto"/>
            <w:left w:val="none" w:sz="0" w:space="0" w:color="auto"/>
            <w:bottom w:val="none" w:sz="0" w:space="0" w:color="auto"/>
            <w:right w:val="none" w:sz="0" w:space="0" w:color="auto"/>
          </w:divBdr>
        </w:div>
        <w:div w:id="1678187480">
          <w:marLeft w:val="0"/>
          <w:marRight w:val="0"/>
          <w:marTop w:val="0"/>
          <w:marBottom w:val="0"/>
          <w:divBdr>
            <w:top w:val="none" w:sz="0" w:space="0" w:color="auto"/>
            <w:left w:val="none" w:sz="0" w:space="0" w:color="auto"/>
            <w:bottom w:val="none" w:sz="0" w:space="0" w:color="auto"/>
            <w:right w:val="none" w:sz="0" w:space="0" w:color="auto"/>
          </w:divBdr>
        </w:div>
        <w:div w:id="1224372114">
          <w:marLeft w:val="0"/>
          <w:marRight w:val="0"/>
          <w:marTop w:val="0"/>
          <w:marBottom w:val="0"/>
          <w:divBdr>
            <w:top w:val="none" w:sz="0" w:space="0" w:color="auto"/>
            <w:left w:val="none" w:sz="0" w:space="0" w:color="auto"/>
            <w:bottom w:val="none" w:sz="0" w:space="0" w:color="auto"/>
            <w:right w:val="none" w:sz="0" w:space="0" w:color="auto"/>
          </w:divBdr>
        </w:div>
        <w:div w:id="1330400592">
          <w:marLeft w:val="0"/>
          <w:marRight w:val="0"/>
          <w:marTop w:val="0"/>
          <w:marBottom w:val="0"/>
          <w:divBdr>
            <w:top w:val="none" w:sz="0" w:space="0" w:color="auto"/>
            <w:left w:val="none" w:sz="0" w:space="0" w:color="auto"/>
            <w:bottom w:val="none" w:sz="0" w:space="0" w:color="auto"/>
            <w:right w:val="none" w:sz="0" w:space="0" w:color="auto"/>
          </w:divBdr>
        </w:div>
        <w:div w:id="538933240">
          <w:marLeft w:val="0"/>
          <w:marRight w:val="0"/>
          <w:marTop w:val="0"/>
          <w:marBottom w:val="0"/>
          <w:divBdr>
            <w:top w:val="none" w:sz="0" w:space="0" w:color="auto"/>
            <w:left w:val="none" w:sz="0" w:space="0" w:color="auto"/>
            <w:bottom w:val="none" w:sz="0" w:space="0" w:color="auto"/>
            <w:right w:val="none" w:sz="0" w:space="0" w:color="auto"/>
          </w:divBdr>
        </w:div>
        <w:div w:id="581262431">
          <w:marLeft w:val="0"/>
          <w:marRight w:val="0"/>
          <w:marTop w:val="0"/>
          <w:marBottom w:val="0"/>
          <w:divBdr>
            <w:top w:val="none" w:sz="0" w:space="0" w:color="auto"/>
            <w:left w:val="none" w:sz="0" w:space="0" w:color="auto"/>
            <w:bottom w:val="none" w:sz="0" w:space="0" w:color="auto"/>
            <w:right w:val="none" w:sz="0" w:space="0" w:color="auto"/>
          </w:divBdr>
        </w:div>
        <w:div w:id="1104886670">
          <w:marLeft w:val="0"/>
          <w:marRight w:val="0"/>
          <w:marTop w:val="0"/>
          <w:marBottom w:val="0"/>
          <w:divBdr>
            <w:top w:val="none" w:sz="0" w:space="0" w:color="auto"/>
            <w:left w:val="none" w:sz="0" w:space="0" w:color="auto"/>
            <w:bottom w:val="none" w:sz="0" w:space="0" w:color="auto"/>
            <w:right w:val="none" w:sz="0" w:space="0" w:color="auto"/>
          </w:divBdr>
        </w:div>
        <w:div w:id="1209218933">
          <w:marLeft w:val="0"/>
          <w:marRight w:val="0"/>
          <w:marTop w:val="0"/>
          <w:marBottom w:val="0"/>
          <w:divBdr>
            <w:top w:val="none" w:sz="0" w:space="0" w:color="auto"/>
            <w:left w:val="none" w:sz="0" w:space="0" w:color="auto"/>
            <w:bottom w:val="none" w:sz="0" w:space="0" w:color="auto"/>
            <w:right w:val="none" w:sz="0" w:space="0" w:color="auto"/>
          </w:divBdr>
        </w:div>
        <w:div w:id="182479815">
          <w:marLeft w:val="0"/>
          <w:marRight w:val="0"/>
          <w:marTop w:val="0"/>
          <w:marBottom w:val="0"/>
          <w:divBdr>
            <w:top w:val="none" w:sz="0" w:space="0" w:color="auto"/>
            <w:left w:val="none" w:sz="0" w:space="0" w:color="auto"/>
            <w:bottom w:val="none" w:sz="0" w:space="0" w:color="auto"/>
            <w:right w:val="none" w:sz="0" w:space="0" w:color="auto"/>
          </w:divBdr>
        </w:div>
        <w:div w:id="1590773962">
          <w:marLeft w:val="0"/>
          <w:marRight w:val="0"/>
          <w:marTop w:val="0"/>
          <w:marBottom w:val="0"/>
          <w:divBdr>
            <w:top w:val="none" w:sz="0" w:space="0" w:color="auto"/>
            <w:left w:val="none" w:sz="0" w:space="0" w:color="auto"/>
            <w:bottom w:val="none" w:sz="0" w:space="0" w:color="auto"/>
            <w:right w:val="none" w:sz="0" w:space="0" w:color="auto"/>
          </w:divBdr>
        </w:div>
        <w:div w:id="357043911">
          <w:marLeft w:val="0"/>
          <w:marRight w:val="0"/>
          <w:marTop w:val="0"/>
          <w:marBottom w:val="0"/>
          <w:divBdr>
            <w:top w:val="none" w:sz="0" w:space="0" w:color="auto"/>
            <w:left w:val="none" w:sz="0" w:space="0" w:color="auto"/>
            <w:bottom w:val="none" w:sz="0" w:space="0" w:color="auto"/>
            <w:right w:val="none" w:sz="0" w:space="0" w:color="auto"/>
          </w:divBdr>
        </w:div>
        <w:div w:id="1916284524">
          <w:marLeft w:val="0"/>
          <w:marRight w:val="0"/>
          <w:marTop w:val="0"/>
          <w:marBottom w:val="0"/>
          <w:divBdr>
            <w:top w:val="none" w:sz="0" w:space="0" w:color="auto"/>
            <w:left w:val="none" w:sz="0" w:space="0" w:color="auto"/>
            <w:bottom w:val="none" w:sz="0" w:space="0" w:color="auto"/>
            <w:right w:val="none" w:sz="0" w:space="0" w:color="auto"/>
          </w:divBdr>
        </w:div>
        <w:div w:id="98568416">
          <w:marLeft w:val="0"/>
          <w:marRight w:val="0"/>
          <w:marTop w:val="0"/>
          <w:marBottom w:val="0"/>
          <w:divBdr>
            <w:top w:val="none" w:sz="0" w:space="0" w:color="auto"/>
            <w:left w:val="none" w:sz="0" w:space="0" w:color="auto"/>
            <w:bottom w:val="none" w:sz="0" w:space="0" w:color="auto"/>
            <w:right w:val="none" w:sz="0" w:space="0" w:color="auto"/>
          </w:divBdr>
        </w:div>
        <w:div w:id="148637955">
          <w:marLeft w:val="0"/>
          <w:marRight w:val="0"/>
          <w:marTop w:val="0"/>
          <w:marBottom w:val="0"/>
          <w:divBdr>
            <w:top w:val="none" w:sz="0" w:space="0" w:color="auto"/>
            <w:left w:val="none" w:sz="0" w:space="0" w:color="auto"/>
            <w:bottom w:val="none" w:sz="0" w:space="0" w:color="auto"/>
            <w:right w:val="none" w:sz="0" w:space="0" w:color="auto"/>
          </w:divBdr>
        </w:div>
        <w:div w:id="1332609222">
          <w:marLeft w:val="0"/>
          <w:marRight w:val="0"/>
          <w:marTop w:val="0"/>
          <w:marBottom w:val="0"/>
          <w:divBdr>
            <w:top w:val="none" w:sz="0" w:space="0" w:color="auto"/>
            <w:left w:val="none" w:sz="0" w:space="0" w:color="auto"/>
            <w:bottom w:val="none" w:sz="0" w:space="0" w:color="auto"/>
            <w:right w:val="none" w:sz="0" w:space="0" w:color="auto"/>
          </w:divBdr>
        </w:div>
        <w:div w:id="1090852275">
          <w:marLeft w:val="0"/>
          <w:marRight w:val="0"/>
          <w:marTop w:val="0"/>
          <w:marBottom w:val="0"/>
          <w:divBdr>
            <w:top w:val="none" w:sz="0" w:space="0" w:color="auto"/>
            <w:left w:val="none" w:sz="0" w:space="0" w:color="auto"/>
            <w:bottom w:val="none" w:sz="0" w:space="0" w:color="auto"/>
            <w:right w:val="none" w:sz="0" w:space="0" w:color="auto"/>
          </w:divBdr>
        </w:div>
        <w:div w:id="181867452">
          <w:marLeft w:val="0"/>
          <w:marRight w:val="0"/>
          <w:marTop w:val="0"/>
          <w:marBottom w:val="0"/>
          <w:divBdr>
            <w:top w:val="none" w:sz="0" w:space="0" w:color="auto"/>
            <w:left w:val="none" w:sz="0" w:space="0" w:color="auto"/>
            <w:bottom w:val="none" w:sz="0" w:space="0" w:color="auto"/>
            <w:right w:val="none" w:sz="0" w:space="0" w:color="auto"/>
          </w:divBdr>
        </w:div>
        <w:div w:id="338116325">
          <w:marLeft w:val="0"/>
          <w:marRight w:val="0"/>
          <w:marTop w:val="0"/>
          <w:marBottom w:val="0"/>
          <w:divBdr>
            <w:top w:val="none" w:sz="0" w:space="0" w:color="auto"/>
            <w:left w:val="none" w:sz="0" w:space="0" w:color="auto"/>
            <w:bottom w:val="none" w:sz="0" w:space="0" w:color="auto"/>
            <w:right w:val="none" w:sz="0" w:space="0" w:color="auto"/>
          </w:divBdr>
        </w:div>
        <w:div w:id="1863279659">
          <w:marLeft w:val="0"/>
          <w:marRight w:val="0"/>
          <w:marTop w:val="0"/>
          <w:marBottom w:val="0"/>
          <w:divBdr>
            <w:top w:val="none" w:sz="0" w:space="0" w:color="auto"/>
            <w:left w:val="none" w:sz="0" w:space="0" w:color="auto"/>
            <w:bottom w:val="none" w:sz="0" w:space="0" w:color="auto"/>
            <w:right w:val="none" w:sz="0" w:space="0" w:color="auto"/>
          </w:divBdr>
        </w:div>
        <w:div w:id="2081630521">
          <w:marLeft w:val="0"/>
          <w:marRight w:val="0"/>
          <w:marTop w:val="0"/>
          <w:marBottom w:val="0"/>
          <w:divBdr>
            <w:top w:val="none" w:sz="0" w:space="0" w:color="auto"/>
            <w:left w:val="none" w:sz="0" w:space="0" w:color="auto"/>
            <w:bottom w:val="none" w:sz="0" w:space="0" w:color="auto"/>
            <w:right w:val="none" w:sz="0" w:space="0" w:color="auto"/>
          </w:divBdr>
        </w:div>
        <w:div w:id="1941140430">
          <w:marLeft w:val="0"/>
          <w:marRight w:val="0"/>
          <w:marTop w:val="0"/>
          <w:marBottom w:val="0"/>
          <w:divBdr>
            <w:top w:val="none" w:sz="0" w:space="0" w:color="auto"/>
            <w:left w:val="none" w:sz="0" w:space="0" w:color="auto"/>
            <w:bottom w:val="none" w:sz="0" w:space="0" w:color="auto"/>
            <w:right w:val="none" w:sz="0" w:space="0" w:color="auto"/>
          </w:divBdr>
        </w:div>
        <w:div w:id="1308120529">
          <w:marLeft w:val="0"/>
          <w:marRight w:val="0"/>
          <w:marTop w:val="0"/>
          <w:marBottom w:val="0"/>
          <w:divBdr>
            <w:top w:val="none" w:sz="0" w:space="0" w:color="auto"/>
            <w:left w:val="none" w:sz="0" w:space="0" w:color="auto"/>
            <w:bottom w:val="none" w:sz="0" w:space="0" w:color="auto"/>
            <w:right w:val="none" w:sz="0" w:space="0" w:color="auto"/>
          </w:divBdr>
        </w:div>
        <w:div w:id="1108618232">
          <w:marLeft w:val="0"/>
          <w:marRight w:val="0"/>
          <w:marTop w:val="0"/>
          <w:marBottom w:val="0"/>
          <w:divBdr>
            <w:top w:val="none" w:sz="0" w:space="0" w:color="auto"/>
            <w:left w:val="none" w:sz="0" w:space="0" w:color="auto"/>
            <w:bottom w:val="none" w:sz="0" w:space="0" w:color="auto"/>
            <w:right w:val="none" w:sz="0" w:space="0" w:color="auto"/>
          </w:divBdr>
        </w:div>
        <w:div w:id="1394041735">
          <w:marLeft w:val="0"/>
          <w:marRight w:val="0"/>
          <w:marTop w:val="0"/>
          <w:marBottom w:val="0"/>
          <w:divBdr>
            <w:top w:val="none" w:sz="0" w:space="0" w:color="auto"/>
            <w:left w:val="none" w:sz="0" w:space="0" w:color="auto"/>
            <w:bottom w:val="none" w:sz="0" w:space="0" w:color="auto"/>
            <w:right w:val="none" w:sz="0" w:space="0" w:color="auto"/>
          </w:divBdr>
        </w:div>
        <w:div w:id="1655914510">
          <w:marLeft w:val="0"/>
          <w:marRight w:val="0"/>
          <w:marTop w:val="0"/>
          <w:marBottom w:val="0"/>
          <w:divBdr>
            <w:top w:val="none" w:sz="0" w:space="0" w:color="auto"/>
            <w:left w:val="none" w:sz="0" w:space="0" w:color="auto"/>
            <w:bottom w:val="none" w:sz="0" w:space="0" w:color="auto"/>
            <w:right w:val="none" w:sz="0" w:space="0" w:color="auto"/>
          </w:divBdr>
        </w:div>
        <w:div w:id="1780644466">
          <w:marLeft w:val="0"/>
          <w:marRight w:val="0"/>
          <w:marTop w:val="0"/>
          <w:marBottom w:val="0"/>
          <w:divBdr>
            <w:top w:val="none" w:sz="0" w:space="0" w:color="auto"/>
            <w:left w:val="none" w:sz="0" w:space="0" w:color="auto"/>
            <w:bottom w:val="none" w:sz="0" w:space="0" w:color="auto"/>
            <w:right w:val="none" w:sz="0" w:space="0" w:color="auto"/>
          </w:divBdr>
        </w:div>
        <w:div w:id="463232628">
          <w:marLeft w:val="0"/>
          <w:marRight w:val="0"/>
          <w:marTop w:val="0"/>
          <w:marBottom w:val="0"/>
          <w:divBdr>
            <w:top w:val="none" w:sz="0" w:space="0" w:color="auto"/>
            <w:left w:val="none" w:sz="0" w:space="0" w:color="auto"/>
            <w:bottom w:val="none" w:sz="0" w:space="0" w:color="auto"/>
            <w:right w:val="none" w:sz="0" w:space="0" w:color="auto"/>
          </w:divBdr>
        </w:div>
        <w:div w:id="666906248">
          <w:marLeft w:val="0"/>
          <w:marRight w:val="0"/>
          <w:marTop w:val="0"/>
          <w:marBottom w:val="0"/>
          <w:divBdr>
            <w:top w:val="none" w:sz="0" w:space="0" w:color="auto"/>
            <w:left w:val="none" w:sz="0" w:space="0" w:color="auto"/>
            <w:bottom w:val="none" w:sz="0" w:space="0" w:color="auto"/>
            <w:right w:val="none" w:sz="0" w:space="0" w:color="auto"/>
          </w:divBdr>
        </w:div>
        <w:div w:id="807092929">
          <w:marLeft w:val="0"/>
          <w:marRight w:val="0"/>
          <w:marTop w:val="0"/>
          <w:marBottom w:val="0"/>
          <w:divBdr>
            <w:top w:val="none" w:sz="0" w:space="0" w:color="auto"/>
            <w:left w:val="none" w:sz="0" w:space="0" w:color="auto"/>
            <w:bottom w:val="none" w:sz="0" w:space="0" w:color="auto"/>
            <w:right w:val="none" w:sz="0" w:space="0" w:color="auto"/>
          </w:divBdr>
        </w:div>
        <w:div w:id="1885214038">
          <w:marLeft w:val="0"/>
          <w:marRight w:val="0"/>
          <w:marTop w:val="0"/>
          <w:marBottom w:val="0"/>
          <w:divBdr>
            <w:top w:val="none" w:sz="0" w:space="0" w:color="auto"/>
            <w:left w:val="none" w:sz="0" w:space="0" w:color="auto"/>
            <w:bottom w:val="none" w:sz="0" w:space="0" w:color="auto"/>
            <w:right w:val="none" w:sz="0" w:space="0" w:color="auto"/>
          </w:divBdr>
        </w:div>
        <w:div w:id="313922612">
          <w:marLeft w:val="0"/>
          <w:marRight w:val="0"/>
          <w:marTop w:val="0"/>
          <w:marBottom w:val="0"/>
          <w:divBdr>
            <w:top w:val="none" w:sz="0" w:space="0" w:color="auto"/>
            <w:left w:val="none" w:sz="0" w:space="0" w:color="auto"/>
            <w:bottom w:val="none" w:sz="0" w:space="0" w:color="auto"/>
            <w:right w:val="none" w:sz="0" w:space="0" w:color="auto"/>
          </w:divBdr>
        </w:div>
        <w:div w:id="348145103">
          <w:marLeft w:val="0"/>
          <w:marRight w:val="0"/>
          <w:marTop w:val="0"/>
          <w:marBottom w:val="0"/>
          <w:divBdr>
            <w:top w:val="none" w:sz="0" w:space="0" w:color="auto"/>
            <w:left w:val="none" w:sz="0" w:space="0" w:color="auto"/>
            <w:bottom w:val="none" w:sz="0" w:space="0" w:color="auto"/>
            <w:right w:val="none" w:sz="0" w:space="0" w:color="auto"/>
          </w:divBdr>
        </w:div>
        <w:div w:id="602542137">
          <w:marLeft w:val="0"/>
          <w:marRight w:val="0"/>
          <w:marTop w:val="0"/>
          <w:marBottom w:val="0"/>
          <w:divBdr>
            <w:top w:val="none" w:sz="0" w:space="0" w:color="auto"/>
            <w:left w:val="none" w:sz="0" w:space="0" w:color="auto"/>
            <w:bottom w:val="none" w:sz="0" w:space="0" w:color="auto"/>
            <w:right w:val="none" w:sz="0" w:space="0" w:color="auto"/>
          </w:divBdr>
        </w:div>
        <w:div w:id="1897662913">
          <w:marLeft w:val="0"/>
          <w:marRight w:val="0"/>
          <w:marTop w:val="0"/>
          <w:marBottom w:val="0"/>
          <w:divBdr>
            <w:top w:val="none" w:sz="0" w:space="0" w:color="auto"/>
            <w:left w:val="none" w:sz="0" w:space="0" w:color="auto"/>
            <w:bottom w:val="none" w:sz="0" w:space="0" w:color="auto"/>
            <w:right w:val="none" w:sz="0" w:space="0" w:color="auto"/>
          </w:divBdr>
        </w:div>
        <w:div w:id="1219125910">
          <w:marLeft w:val="0"/>
          <w:marRight w:val="0"/>
          <w:marTop w:val="0"/>
          <w:marBottom w:val="0"/>
          <w:divBdr>
            <w:top w:val="none" w:sz="0" w:space="0" w:color="auto"/>
            <w:left w:val="none" w:sz="0" w:space="0" w:color="auto"/>
            <w:bottom w:val="none" w:sz="0" w:space="0" w:color="auto"/>
            <w:right w:val="none" w:sz="0" w:space="0" w:color="auto"/>
          </w:divBdr>
        </w:div>
        <w:div w:id="1058213409">
          <w:marLeft w:val="0"/>
          <w:marRight w:val="0"/>
          <w:marTop w:val="0"/>
          <w:marBottom w:val="0"/>
          <w:divBdr>
            <w:top w:val="none" w:sz="0" w:space="0" w:color="auto"/>
            <w:left w:val="none" w:sz="0" w:space="0" w:color="auto"/>
            <w:bottom w:val="none" w:sz="0" w:space="0" w:color="auto"/>
            <w:right w:val="none" w:sz="0" w:space="0" w:color="auto"/>
          </w:divBdr>
        </w:div>
        <w:div w:id="152259345">
          <w:marLeft w:val="0"/>
          <w:marRight w:val="0"/>
          <w:marTop w:val="0"/>
          <w:marBottom w:val="0"/>
          <w:divBdr>
            <w:top w:val="none" w:sz="0" w:space="0" w:color="auto"/>
            <w:left w:val="none" w:sz="0" w:space="0" w:color="auto"/>
            <w:bottom w:val="none" w:sz="0" w:space="0" w:color="auto"/>
            <w:right w:val="none" w:sz="0" w:space="0" w:color="auto"/>
          </w:divBdr>
        </w:div>
        <w:div w:id="1707829841">
          <w:marLeft w:val="0"/>
          <w:marRight w:val="0"/>
          <w:marTop w:val="0"/>
          <w:marBottom w:val="0"/>
          <w:divBdr>
            <w:top w:val="none" w:sz="0" w:space="0" w:color="auto"/>
            <w:left w:val="none" w:sz="0" w:space="0" w:color="auto"/>
            <w:bottom w:val="none" w:sz="0" w:space="0" w:color="auto"/>
            <w:right w:val="none" w:sz="0" w:space="0" w:color="auto"/>
          </w:divBdr>
        </w:div>
        <w:div w:id="1194611455">
          <w:marLeft w:val="0"/>
          <w:marRight w:val="0"/>
          <w:marTop w:val="0"/>
          <w:marBottom w:val="0"/>
          <w:divBdr>
            <w:top w:val="none" w:sz="0" w:space="0" w:color="auto"/>
            <w:left w:val="none" w:sz="0" w:space="0" w:color="auto"/>
            <w:bottom w:val="none" w:sz="0" w:space="0" w:color="auto"/>
            <w:right w:val="none" w:sz="0" w:space="0" w:color="auto"/>
          </w:divBdr>
        </w:div>
        <w:div w:id="410935579">
          <w:marLeft w:val="0"/>
          <w:marRight w:val="0"/>
          <w:marTop w:val="0"/>
          <w:marBottom w:val="0"/>
          <w:divBdr>
            <w:top w:val="none" w:sz="0" w:space="0" w:color="auto"/>
            <w:left w:val="none" w:sz="0" w:space="0" w:color="auto"/>
            <w:bottom w:val="none" w:sz="0" w:space="0" w:color="auto"/>
            <w:right w:val="none" w:sz="0" w:space="0" w:color="auto"/>
          </w:divBdr>
        </w:div>
        <w:div w:id="1826361391">
          <w:marLeft w:val="0"/>
          <w:marRight w:val="0"/>
          <w:marTop w:val="0"/>
          <w:marBottom w:val="0"/>
          <w:divBdr>
            <w:top w:val="none" w:sz="0" w:space="0" w:color="auto"/>
            <w:left w:val="none" w:sz="0" w:space="0" w:color="auto"/>
            <w:bottom w:val="none" w:sz="0" w:space="0" w:color="auto"/>
            <w:right w:val="none" w:sz="0" w:space="0" w:color="auto"/>
          </w:divBdr>
        </w:div>
        <w:div w:id="1650859802">
          <w:marLeft w:val="0"/>
          <w:marRight w:val="0"/>
          <w:marTop w:val="0"/>
          <w:marBottom w:val="0"/>
          <w:divBdr>
            <w:top w:val="none" w:sz="0" w:space="0" w:color="auto"/>
            <w:left w:val="none" w:sz="0" w:space="0" w:color="auto"/>
            <w:bottom w:val="none" w:sz="0" w:space="0" w:color="auto"/>
            <w:right w:val="none" w:sz="0" w:space="0" w:color="auto"/>
          </w:divBdr>
        </w:div>
        <w:div w:id="749275258">
          <w:marLeft w:val="0"/>
          <w:marRight w:val="0"/>
          <w:marTop w:val="0"/>
          <w:marBottom w:val="0"/>
          <w:divBdr>
            <w:top w:val="none" w:sz="0" w:space="0" w:color="auto"/>
            <w:left w:val="none" w:sz="0" w:space="0" w:color="auto"/>
            <w:bottom w:val="none" w:sz="0" w:space="0" w:color="auto"/>
            <w:right w:val="none" w:sz="0" w:space="0" w:color="auto"/>
          </w:divBdr>
        </w:div>
        <w:div w:id="737020152">
          <w:marLeft w:val="0"/>
          <w:marRight w:val="0"/>
          <w:marTop w:val="0"/>
          <w:marBottom w:val="0"/>
          <w:divBdr>
            <w:top w:val="none" w:sz="0" w:space="0" w:color="auto"/>
            <w:left w:val="none" w:sz="0" w:space="0" w:color="auto"/>
            <w:bottom w:val="none" w:sz="0" w:space="0" w:color="auto"/>
            <w:right w:val="none" w:sz="0" w:space="0" w:color="auto"/>
          </w:divBdr>
        </w:div>
        <w:div w:id="763113414">
          <w:marLeft w:val="0"/>
          <w:marRight w:val="0"/>
          <w:marTop w:val="0"/>
          <w:marBottom w:val="0"/>
          <w:divBdr>
            <w:top w:val="none" w:sz="0" w:space="0" w:color="auto"/>
            <w:left w:val="none" w:sz="0" w:space="0" w:color="auto"/>
            <w:bottom w:val="none" w:sz="0" w:space="0" w:color="auto"/>
            <w:right w:val="none" w:sz="0" w:space="0" w:color="auto"/>
          </w:divBdr>
        </w:div>
        <w:div w:id="1484588814">
          <w:marLeft w:val="0"/>
          <w:marRight w:val="0"/>
          <w:marTop w:val="0"/>
          <w:marBottom w:val="0"/>
          <w:divBdr>
            <w:top w:val="none" w:sz="0" w:space="0" w:color="auto"/>
            <w:left w:val="none" w:sz="0" w:space="0" w:color="auto"/>
            <w:bottom w:val="none" w:sz="0" w:space="0" w:color="auto"/>
            <w:right w:val="none" w:sz="0" w:space="0" w:color="auto"/>
          </w:divBdr>
        </w:div>
        <w:div w:id="671108009">
          <w:marLeft w:val="0"/>
          <w:marRight w:val="0"/>
          <w:marTop w:val="0"/>
          <w:marBottom w:val="0"/>
          <w:divBdr>
            <w:top w:val="none" w:sz="0" w:space="0" w:color="auto"/>
            <w:left w:val="none" w:sz="0" w:space="0" w:color="auto"/>
            <w:bottom w:val="none" w:sz="0" w:space="0" w:color="auto"/>
            <w:right w:val="none" w:sz="0" w:space="0" w:color="auto"/>
          </w:divBdr>
        </w:div>
        <w:div w:id="508914879">
          <w:marLeft w:val="0"/>
          <w:marRight w:val="0"/>
          <w:marTop w:val="0"/>
          <w:marBottom w:val="0"/>
          <w:divBdr>
            <w:top w:val="none" w:sz="0" w:space="0" w:color="auto"/>
            <w:left w:val="none" w:sz="0" w:space="0" w:color="auto"/>
            <w:bottom w:val="none" w:sz="0" w:space="0" w:color="auto"/>
            <w:right w:val="none" w:sz="0" w:space="0" w:color="auto"/>
          </w:divBdr>
        </w:div>
        <w:div w:id="1911311916">
          <w:marLeft w:val="0"/>
          <w:marRight w:val="0"/>
          <w:marTop w:val="0"/>
          <w:marBottom w:val="0"/>
          <w:divBdr>
            <w:top w:val="none" w:sz="0" w:space="0" w:color="auto"/>
            <w:left w:val="none" w:sz="0" w:space="0" w:color="auto"/>
            <w:bottom w:val="none" w:sz="0" w:space="0" w:color="auto"/>
            <w:right w:val="none" w:sz="0" w:space="0" w:color="auto"/>
          </w:divBdr>
        </w:div>
        <w:div w:id="59595415">
          <w:marLeft w:val="0"/>
          <w:marRight w:val="0"/>
          <w:marTop w:val="0"/>
          <w:marBottom w:val="0"/>
          <w:divBdr>
            <w:top w:val="none" w:sz="0" w:space="0" w:color="auto"/>
            <w:left w:val="none" w:sz="0" w:space="0" w:color="auto"/>
            <w:bottom w:val="none" w:sz="0" w:space="0" w:color="auto"/>
            <w:right w:val="none" w:sz="0" w:space="0" w:color="auto"/>
          </w:divBdr>
        </w:div>
        <w:div w:id="1735197090">
          <w:marLeft w:val="0"/>
          <w:marRight w:val="0"/>
          <w:marTop w:val="0"/>
          <w:marBottom w:val="0"/>
          <w:divBdr>
            <w:top w:val="none" w:sz="0" w:space="0" w:color="auto"/>
            <w:left w:val="none" w:sz="0" w:space="0" w:color="auto"/>
            <w:bottom w:val="none" w:sz="0" w:space="0" w:color="auto"/>
            <w:right w:val="none" w:sz="0" w:space="0" w:color="auto"/>
          </w:divBdr>
        </w:div>
        <w:div w:id="624237718">
          <w:marLeft w:val="0"/>
          <w:marRight w:val="0"/>
          <w:marTop w:val="0"/>
          <w:marBottom w:val="0"/>
          <w:divBdr>
            <w:top w:val="none" w:sz="0" w:space="0" w:color="auto"/>
            <w:left w:val="none" w:sz="0" w:space="0" w:color="auto"/>
            <w:bottom w:val="none" w:sz="0" w:space="0" w:color="auto"/>
            <w:right w:val="none" w:sz="0" w:space="0" w:color="auto"/>
          </w:divBdr>
        </w:div>
        <w:div w:id="811754068">
          <w:marLeft w:val="0"/>
          <w:marRight w:val="0"/>
          <w:marTop w:val="0"/>
          <w:marBottom w:val="0"/>
          <w:divBdr>
            <w:top w:val="none" w:sz="0" w:space="0" w:color="auto"/>
            <w:left w:val="none" w:sz="0" w:space="0" w:color="auto"/>
            <w:bottom w:val="none" w:sz="0" w:space="0" w:color="auto"/>
            <w:right w:val="none" w:sz="0" w:space="0" w:color="auto"/>
          </w:divBdr>
        </w:div>
        <w:div w:id="1227686846">
          <w:marLeft w:val="0"/>
          <w:marRight w:val="0"/>
          <w:marTop w:val="0"/>
          <w:marBottom w:val="0"/>
          <w:divBdr>
            <w:top w:val="none" w:sz="0" w:space="0" w:color="auto"/>
            <w:left w:val="none" w:sz="0" w:space="0" w:color="auto"/>
            <w:bottom w:val="none" w:sz="0" w:space="0" w:color="auto"/>
            <w:right w:val="none" w:sz="0" w:space="0" w:color="auto"/>
          </w:divBdr>
        </w:div>
        <w:div w:id="275135164">
          <w:marLeft w:val="0"/>
          <w:marRight w:val="0"/>
          <w:marTop w:val="0"/>
          <w:marBottom w:val="0"/>
          <w:divBdr>
            <w:top w:val="none" w:sz="0" w:space="0" w:color="auto"/>
            <w:left w:val="none" w:sz="0" w:space="0" w:color="auto"/>
            <w:bottom w:val="none" w:sz="0" w:space="0" w:color="auto"/>
            <w:right w:val="none" w:sz="0" w:space="0" w:color="auto"/>
          </w:divBdr>
        </w:div>
        <w:div w:id="1586913650">
          <w:marLeft w:val="0"/>
          <w:marRight w:val="0"/>
          <w:marTop w:val="0"/>
          <w:marBottom w:val="0"/>
          <w:divBdr>
            <w:top w:val="none" w:sz="0" w:space="0" w:color="auto"/>
            <w:left w:val="none" w:sz="0" w:space="0" w:color="auto"/>
            <w:bottom w:val="none" w:sz="0" w:space="0" w:color="auto"/>
            <w:right w:val="none" w:sz="0" w:space="0" w:color="auto"/>
          </w:divBdr>
        </w:div>
        <w:div w:id="1899437838">
          <w:marLeft w:val="0"/>
          <w:marRight w:val="0"/>
          <w:marTop w:val="0"/>
          <w:marBottom w:val="0"/>
          <w:divBdr>
            <w:top w:val="none" w:sz="0" w:space="0" w:color="auto"/>
            <w:left w:val="none" w:sz="0" w:space="0" w:color="auto"/>
            <w:bottom w:val="none" w:sz="0" w:space="0" w:color="auto"/>
            <w:right w:val="none" w:sz="0" w:space="0" w:color="auto"/>
          </w:divBdr>
        </w:div>
        <w:div w:id="1736049323">
          <w:marLeft w:val="0"/>
          <w:marRight w:val="0"/>
          <w:marTop w:val="0"/>
          <w:marBottom w:val="0"/>
          <w:divBdr>
            <w:top w:val="none" w:sz="0" w:space="0" w:color="auto"/>
            <w:left w:val="none" w:sz="0" w:space="0" w:color="auto"/>
            <w:bottom w:val="none" w:sz="0" w:space="0" w:color="auto"/>
            <w:right w:val="none" w:sz="0" w:space="0" w:color="auto"/>
          </w:divBdr>
        </w:div>
        <w:div w:id="1821145162">
          <w:marLeft w:val="0"/>
          <w:marRight w:val="0"/>
          <w:marTop w:val="0"/>
          <w:marBottom w:val="0"/>
          <w:divBdr>
            <w:top w:val="none" w:sz="0" w:space="0" w:color="auto"/>
            <w:left w:val="none" w:sz="0" w:space="0" w:color="auto"/>
            <w:bottom w:val="none" w:sz="0" w:space="0" w:color="auto"/>
            <w:right w:val="none" w:sz="0" w:space="0" w:color="auto"/>
          </w:divBdr>
        </w:div>
        <w:div w:id="1648240900">
          <w:marLeft w:val="0"/>
          <w:marRight w:val="0"/>
          <w:marTop w:val="0"/>
          <w:marBottom w:val="0"/>
          <w:divBdr>
            <w:top w:val="none" w:sz="0" w:space="0" w:color="auto"/>
            <w:left w:val="none" w:sz="0" w:space="0" w:color="auto"/>
            <w:bottom w:val="none" w:sz="0" w:space="0" w:color="auto"/>
            <w:right w:val="none" w:sz="0" w:space="0" w:color="auto"/>
          </w:divBdr>
        </w:div>
        <w:div w:id="350566731">
          <w:marLeft w:val="0"/>
          <w:marRight w:val="0"/>
          <w:marTop w:val="0"/>
          <w:marBottom w:val="0"/>
          <w:divBdr>
            <w:top w:val="none" w:sz="0" w:space="0" w:color="auto"/>
            <w:left w:val="none" w:sz="0" w:space="0" w:color="auto"/>
            <w:bottom w:val="none" w:sz="0" w:space="0" w:color="auto"/>
            <w:right w:val="none" w:sz="0" w:space="0" w:color="auto"/>
          </w:divBdr>
        </w:div>
        <w:div w:id="226382222">
          <w:marLeft w:val="0"/>
          <w:marRight w:val="0"/>
          <w:marTop w:val="0"/>
          <w:marBottom w:val="0"/>
          <w:divBdr>
            <w:top w:val="none" w:sz="0" w:space="0" w:color="auto"/>
            <w:left w:val="none" w:sz="0" w:space="0" w:color="auto"/>
            <w:bottom w:val="none" w:sz="0" w:space="0" w:color="auto"/>
            <w:right w:val="none" w:sz="0" w:space="0" w:color="auto"/>
          </w:divBdr>
        </w:div>
        <w:div w:id="1297756751">
          <w:marLeft w:val="0"/>
          <w:marRight w:val="0"/>
          <w:marTop w:val="0"/>
          <w:marBottom w:val="0"/>
          <w:divBdr>
            <w:top w:val="none" w:sz="0" w:space="0" w:color="auto"/>
            <w:left w:val="none" w:sz="0" w:space="0" w:color="auto"/>
            <w:bottom w:val="none" w:sz="0" w:space="0" w:color="auto"/>
            <w:right w:val="none" w:sz="0" w:space="0" w:color="auto"/>
          </w:divBdr>
        </w:div>
        <w:div w:id="102040873">
          <w:marLeft w:val="0"/>
          <w:marRight w:val="0"/>
          <w:marTop w:val="0"/>
          <w:marBottom w:val="0"/>
          <w:divBdr>
            <w:top w:val="none" w:sz="0" w:space="0" w:color="auto"/>
            <w:left w:val="none" w:sz="0" w:space="0" w:color="auto"/>
            <w:bottom w:val="none" w:sz="0" w:space="0" w:color="auto"/>
            <w:right w:val="none" w:sz="0" w:space="0" w:color="auto"/>
          </w:divBdr>
        </w:div>
        <w:div w:id="1834836382">
          <w:marLeft w:val="0"/>
          <w:marRight w:val="0"/>
          <w:marTop w:val="0"/>
          <w:marBottom w:val="0"/>
          <w:divBdr>
            <w:top w:val="none" w:sz="0" w:space="0" w:color="auto"/>
            <w:left w:val="none" w:sz="0" w:space="0" w:color="auto"/>
            <w:bottom w:val="none" w:sz="0" w:space="0" w:color="auto"/>
            <w:right w:val="none" w:sz="0" w:space="0" w:color="auto"/>
          </w:divBdr>
        </w:div>
        <w:div w:id="123351925">
          <w:marLeft w:val="0"/>
          <w:marRight w:val="0"/>
          <w:marTop w:val="0"/>
          <w:marBottom w:val="0"/>
          <w:divBdr>
            <w:top w:val="none" w:sz="0" w:space="0" w:color="auto"/>
            <w:left w:val="none" w:sz="0" w:space="0" w:color="auto"/>
            <w:bottom w:val="none" w:sz="0" w:space="0" w:color="auto"/>
            <w:right w:val="none" w:sz="0" w:space="0" w:color="auto"/>
          </w:divBdr>
        </w:div>
        <w:div w:id="746925884">
          <w:marLeft w:val="0"/>
          <w:marRight w:val="0"/>
          <w:marTop w:val="0"/>
          <w:marBottom w:val="0"/>
          <w:divBdr>
            <w:top w:val="none" w:sz="0" w:space="0" w:color="auto"/>
            <w:left w:val="none" w:sz="0" w:space="0" w:color="auto"/>
            <w:bottom w:val="none" w:sz="0" w:space="0" w:color="auto"/>
            <w:right w:val="none" w:sz="0" w:space="0" w:color="auto"/>
          </w:divBdr>
        </w:div>
        <w:div w:id="770122335">
          <w:marLeft w:val="0"/>
          <w:marRight w:val="0"/>
          <w:marTop w:val="0"/>
          <w:marBottom w:val="0"/>
          <w:divBdr>
            <w:top w:val="none" w:sz="0" w:space="0" w:color="auto"/>
            <w:left w:val="none" w:sz="0" w:space="0" w:color="auto"/>
            <w:bottom w:val="none" w:sz="0" w:space="0" w:color="auto"/>
            <w:right w:val="none" w:sz="0" w:space="0" w:color="auto"/>
          </w:divBdr>
        </w:div>
        <w:div w:id="993291250">
          <w:marLeft w:val="0"/>
          <w:marRight w:val="0"/>
          <w:marTop w:val="0"/>
          <w:marBottom w:val="0"/>
          <w:divBdr>
            <w:top w:val="none" w:sz="0" w:space="0" w:color="auto"/>
            <w:left w:val="none" w:sz="0" w:space="0" w:color="auto"/>
            <w:bottom w:val="none" w:sz="0" w:space="0" w:color="auto"/>
            <w:right w:val="none" w:sz="0" w:space="0" w:color="auto"/>
          </w:divBdr>
        </w:div>
        <w:div w:id="1568151207">
          <w:marLeft w:val="0"/>
          <w:marRight w:val="0"/>
          <w:marTop w:val="0"/>
          <w:marBottom w:val="0"/>
          <w:divBdr>
            <w:top w:val="none" w:sz="0" w:space="0" w:color="auto"/>
            <w:left w:val="none" w:sz="0" w:space="0" w:color="auto"/>
            <w:bottom w:val="none" w:sz="0" w:space="0" w:color="auto"/>
            <w:right w:val="none" w:sz="0" w:space="0" w:color="auto"/>
          </w:divBdr>
        </w:div>
        <w:div w:id="362292215">
          <w:marLeft w:val="0"/>
          <w:marRight w:val="0"/>
          <w:marTop w:val="0"/>
          <w:marBottom w:val="0"/>
          <w:divBdr>
            <w:top w:val="none" w:sz="0" w:space="0" w:color="auto"/>
            <w:left w:val="none" w:sz="0" w:space="0" w:color="auto"/>
            <w:bottom w:val="none" w:sz="0" w:space="0" w:color="auto"/>
            <w:right w:val="none" w:sz="0" w:space="0" w:color="auto"/>
          </w:divBdr>
        </w:div>
        <w:div w:id="1308321352">
          <w:marLeft w:val="0"/>
          <w:marRight w:val="0"/>
          <w:marTop w:val="0"/>
          <w:marBottom w:val="0"/>
          <w:divBdr>
            <w:top w:val="none" w:sz="0" w:space="0" w:color="auto"/>
            <w:left w:val="none" w:sz="0" w:space="0" w:color="auto"/>
            <w:bottom w:val="none" w:sz="0" w:space="0" w:color="auto"/>
            <w:right w:val="none" w:sz="0" w:space="0" w:color="auto"/>
          </w:divBdr>
        </w:div>
        <w:div w:id="212616509">
          <w:marLeft w:val="0"/>
          <w:marRight w:val="0"/>
          <w:marTop w:val="0"/>
          <w:marBottom w:val="0"/>
          <w:divBdr>
            <w:top w:val="none" w:sz="0" w:space="0" w:color="auto"/>
            <w:left w:val="none" w:sz="0" w:space="0" w:color="auto"/>
            <w:bottom w:val="none" w:sz="0" w:space="0" w:color="auto"/>
            <w:right w:val="none" w:sz="0" w:space="0" w:color="auto"/>
          </w:divBdr>
        </w:div>
        <w:div w:id="1267075094">
          <w:marLeft w:val="0"/>
          <w:marRight w:val="0"/>
          <w:marTop w:val="0"/>
          <w:marBottom w:val="0"/>
          <w:divBdr>
            <w:top w:val="none" w:sz="0" w:space="0" w:color="auto"/>
            <w:left w:val="none" w:sz="0" w:space="0" w:color="auto"/>
            <w:bottom w:val="none" w:sz="0" w:space="0" w:color="auto"/>
            <w:right w:val="none" w:sz="0" w:space="0" w:color="auto"/>
          </w:divBdr>
        </w:div>
        <w:div w:id="1191914046">
          <w:marLeft w:val="0"/>
          <w:marRight w:val="0"/>
          <w:marTop w:val="0"/>
          <w:marBottom w:val="0"/>
          <w:divBdr>
            <w:top w:val="none" w:sz="0" w:space="0" w:color="auto"/>
            <w:left w:val="none" w:sz="0" w:space="0" w:color="auto"/>
            <w:bottom w:val="none" w:sz="0" w:space="0" w:color="auto"/>
            <w:right w:val="none" w:sz="0" w:space="0" w:color="auto"/>
          </w:divBdr>
        </w:div>
        <w:div w:id="643196952">
          <w:marLeft w:val="0"/>
          <w:marRight w:val="0"/>
          <w:marTop w:val="0"/>
          <w:marBottom w:val="0"/>
          <w:divBdr>
            <w:top w:val="none" w:sz="0" w:space="0" w:color="auto"/>
            <w:left w:val="none" w:sz="0" w:space="0" w:color="auto"/>
            <w:bottom w:val="none" w:sz="0" w:space="0" w:color="auto"/>
            <w:right w:val="none" w:sz="0" w:space="0" w:color="auto"/>
          </w:divBdr>
        </w:div>
        <w:div w:id="11148745">
          <w:marLeft w:val="0"/>
          <w:marRight w:val="0"/>
          <w:marTop w:val="0"/>
          <w:marBottom w:val="0"/>
          <w:divBdr>
            <w:top w:val="none" w:sz="0" w:space="0" w:color="auto"/>
            <w:left w:val="none" w:sz="0" w:space="0" w:color="auto"/>
            <w:bottom w:val="none" w:sz="0" w:space="0" w:color="auto"/>
            <w:right w:val="none" w:sz="0" w:space="0" w:color="auto"/>
          </w:divBdr>
        </w:div>
        <w:div w:id="1068499348">
          <w:marLeft w:val="0"/>
          <w:marRight w:val="0"/>
          <w:marTop w:val="0"/>
          <w:marBottom w:val="0"/>
          <w:divBdr>
            <w:top w:val="none" w:sz="0" w:space="0" w:color="auto"/>
            <w:left w:val="none" w:sz="0" w:space="0" w:color="auto"/>
            <w:bottom w:val="none" w:sz="0" w:space="0" w:color="auto"/>
            <w:right w:val="none" w:sz="0" w:space="0" w:color="auto"/>
          </w:divBdr>
        </w:div>
        <w:div w:id="565919049">
          <w:marLeft w:val="0"/>
          <w:marRight w:val="0"/>
          <w:marTop w:val="0"/>
          <w:marBottom w:val="0"/>
          <w:divBdr>
            <w:top w:val="none" w:sz="0" w:space="0" w:color="auto"/>
            <w:left w:val="none" w:sz="0" w:space="0" w:color="auto"/>
            <w:bottom w:val="none" w:sz="0" w:space="0" w:color="auto"/>
            <w:right w:val="none" w:sz="0" w:space="0" w:color="auto"/>
          </w:divBdr>
        </w:div>
        <w:div w:id="863131253">
          <w:marLeft w:val="0"/>
          <w:marRight w:val="0"/>
          <w:marTop w:val="0"/>
          <w:marBottom w:val="0"/>
          <w:divBdr>
            <w:top w:val="none" w:sz="0" w:space="0" w:color="auto"/>
            <w:left w:val="none" w:sz="0" w:space="0" w:color="auto"/>
            <w:bottom w:val="none" w:sz="0" w:space="0" w:color="auto"/>
            <w:right w:val="none" w:sz="0" w:space="0" w:color="auto"/>
          </w:divBdr>
        </w:div>
        <w:div w:id="1470973149">
          <w:marLeft w:val="0"/>
          <w:marRight w:val="0"/>
          <w:marTop w:val="0"/>
          <w:marBottom w:val="0"/>
          <w:divBdr>
            <w:top w:val="none" w:sz="0" w:space="0" w:color="auto"/>
            <w:left w:val="none" w:sz="0" w:space="0" w:color="auto"/>
            <w:bottom w:val="none" w:sz="0" w:space="0" w:color="auto"/>
            <w:right w:val="none" w:sz="0" w:space="0" w:color="auto"/>
          </w:divBdr>
        </w:div>
        <w:div w:id="1915970233">
          <w:marLeft w:val="0"/>
          <w:marRight w:val="0"/>
          <w:marTop w:val="0"/>
          <w:marBottom w:val="0"/>
          <w:divBdr>
            <w:top w:val="none" w:sz="0" w:space="0" w:color="auto"/>
            <w:left w:val="none" w:sz="0" w:space="0" w:color="auto"/>
            <w:bottom w:val="none" w:sz="0" w:space="0" w:color="auto"/>
            <w:right w:val="none" w:sz="0" w:space="0" w:color="auto"/>
          </w:divBdr>
        </w:div>
        <w:div w:id="1803232082">
          <w:marLeft w:val="0"/>
          <w:marRight w:val="0"/>
          <w:marTop w:val="0"/>
          <w:marBottom w:val="0"/>
          <w:divBdr>
            <w:top w:val="none" w:sz="0" w:space="0" w:color="auto"/>
            <w:left w:val="none" w:sz="0" w:space="0" w:color="auto"/>
            <w:bottom w:val="none" w:sz="0" w:space="0" w:color="auto"/>
            <w:right w:val="none" w:sz="0" w:space="0" w:color="auto"/>
          </w:divBdr>
        </w:div>
        <w:div w:id="248082585">
          <w:marLeft w:val="0"/>
          <w:marRight w:val="0"/>
          <w:marTop w:val="0"/>
          <w:marBottom w:val="0"/>
          <w:divBdr>
            <w:top w:val="none" w:sz="0" w:space="0" w:color="auto"/>
            <w:left w:val="none" w:sz="0" w:space="0" w:color="auto"/>
            <w:bottom w:val="none" w:sz="0" w:space="0" w:color="auto"/>
            <w:right w:val="none" w:sz="0" w:space="0" w:color="auto"/>
          </w:divBdr>
        </w:div>
        <w:div w:id="1224100904">
          <w:marLeft w:val="0"/>
          <w:marRight w:val="0"/>
          <w:marTop w:val="0"/>
          <w:marBottom w:val="0"/>
          <w:divBdr>
            <w:top w:val="none" w:sz="0" w:space="0" w:color="auto"/>
            <w:left w:val="none" w:sz="0" w:space="0" w:color="auto"/>
            <w:bottom w:val="none" w:sz="0" w:space="0" w:color="auto"/>
            <w:right w:val="none" w:sz="0" w:space="0" w:color="auto"/>
          </w:divBdr>
        </w:div>
        <w:div w:id="728377860">
          <w:marLeft w:val="0"/>
          <w:marRight w:val="0"/>
          <w:marTop w:val="0"/>
          <w:marBottom w:val="0"/>
          <w:divBdr>
            <w:top w:val="none" w:sz="0" w:space="0" w:color="auto"/>
            <w:left w:val="none" w:sz="0" w:space="0" w:color="auto"/>
            <w:bottom w:val="none" w:sz="0" w:space="0" w:color="auto"/>
            <w:right w:val="none" w:sz="0" w:space="0" w:color="auto"/>
          </w:divBdr>
        </w:div>
        <w:div w:id="1761753475">
          <w:marLeft w:val="0"/>
          <w:marRight w:val="0"/>
          <w:marTop w:val="0"/>
          <w:marBottom w:val="0"/>
          <w:divBdr>
            <w:top w:val="none" w:sz="0" w:space="0" w:color="auto"/>
            <w:left w:val="none" w:sz="0" w:space="0" w:color="auto"/>
            <w:bottom w:val="none" w:sz="0" w:space="0" w:color="auto"/>
            <w:right w:val="none" w:sz="0" w:space="0" w:color="auto"/>
          </w:divBdr>
        </w:div>
        <w:div w:id="1609924023">
          <w:marLeft w:val="0"/>
          <w:marRight w:val="0"/>
          <w:marTop w:val="0"/>
          <w:marBottom w:val="0"/>
          <w:divBdr>
            <w:top w:val="none" w:sz="0" w:space="0" w:color="auto"/>
            <w:left w:val="none" w:sz="0" w:space="0" w:color="auto"/>
            <w:bottom w:val="none" w:sz="0" w:space="0" w:color="auto"/>
            <w:right w:val="none" w:sz="0" w:space="0" w:color="auto"/>
          </w:divBdr>
        </w:div>
        <w:div w:id="216211463">
          <w:marLeft w:val="0"/>
          <w:marRight w:val="0"/>
          <w:marTop w:val="0"/>
          <w:marBottom w:val="0"/>
          <w:divBdr>
            <w:top w:val="none" w:sz="0" w:space="0" w:color="auto"/>
            <w:left w:val="none" w:sz="0" w:space="0" w:color="auto"/>
            <w:bottom w:val="none" w:sz="0" w:space="0" w:color="auto"/>
            <w:right w:val="none" w:sz="0" w:space="0" w:color="auto"/>
          </w:divBdr>
        </w:div>
        <w:div w:id="1262690457">
          <w:marLeft w:val="0"/>
          <w:marRight w:val="0"/>
          <w:marTop w:val="0"/>
          <w:marBottom w:val="0"/>
          <w:divBdr>
            <w:top w:val="none" w:sz="0" w:space="0" w:color="auto"/>
            <w:left w:val="none" w:sz="0" w:space="0" w:color="auto"/>
            <w:bottom w:val="none" w:sz="0" w:space="0" w:color="auto"/>
            <w:right w:val="none" w:sz="0" w:space="0" w:color="auto"/>
          </w:divBdr>
        </w:div>
        <w:div w:id="565533352">
          <w:marLeft w:val="0"/>
          <w:marRight w:val="0"/>
          <w:marTop w:val="0"/>
          <w:marBottom w:val="0"/>
          <w:divBdr>
            <w:top w:val="none" w:sz="0" w:space="0" w:color="auto"/>
            <w:left w:val="none" w:sz="0" w:space="0" w:color="auto"/>
            <w:bottom w:val="none" w:sz="0" w:space="0" w:color="auto"/>
            <w:right w:val="none" w:sz="0" w:space="0" w:color="auto"/>
          </w:divBdr>
        </w:div>
        <w:div w:id="292950772">
          <w:marLeft w:val="0"/>
          <w:marRight w:val="0"/>
          <w:marTop w:val="0"/>
          <w:marBottom w:val="0"/>
          <w:divBdr>
            <w:top w:val="none" w:sz="0" w:space="0" w:color="auto"/>
            <w:left w:val="none" w:sz="0" w:space="0" w:color="auto"/>
            <w:bottom w:val="none" w:sz="0" w:space="0" w:color="auto"/>
            <w:right w:val="none" w:sz="0" w:space="0" w:color="auto"/>
          </w:divBdr>
        </w:div>
        <w:div w:id="511184255">
          <w:marLeft w:val="0"/>
          <w:marRight w:val="0"/>
          <w:marTop w:val="0"/>
          <w:marBottom w:val="0"/>
          <w:divBdr>
            <w:top w:val="none" w:sz="0" w:space="0" w:color="auto"/>
            <w:left w:val="none" w:sz="0" w:space="0" w:color="auto"/>
            <w:bottom w:val="none" w:sz="0" w:space="0" w:color="auto"/>
            <w:right w:val="none" w:sz="0" w:space="0" w:color="auto"/>
          </w:divBdr>
        </w:div>
        <w:div w:id="1399786790">
          <w:marLeft w:val="0"/>
          <w:marRight w:val="0"/>
          <w:marTop w:val="0"/>
          <w:marBottom w:val="0"/>
          <w:divBdr>
            <w:top w:val="none" w:sz="0" w:space="0" w:color="auto"/>
            <w:left w:val="none" w:sz="0" w:space="0" w:color="auto"/>
            <w:bottom w:val="none" w:sz="0" w:space="0" w:color="auto"/>
            <w:right w:val="none" w:sz="0" w:space="0" w:color="auto"/>
          </w:divBdr>
        </w:div>
        <w:div w:id="1833138454">
          <w:marLeft w:val="0"/>
          <w:marRight w:val="0"/>
          <w:marTop w:val="0"/>
          <w:marBottom w:val="0"/>
          <w:divBdr>
            <w:top w:val="none" w:sz="0" w:space="0" w:color="auto"/>
            <w:left w:val="none" w:sz="0" w:space="0" w:color="auto"/>
            <w:bottom w:val="none" w:sz="0" w:space="0" w:color="auto"/>
            <w:right w:val="none" w:sz="0" w:space="0" w:color="auto"/>
          </w:divBdr>
        </w:div>
        <w:div w:id="1681658078">
          <w:marLeft w:val="0"/>
          <w:marRight w:val="0"/>
          <w:marTop w:val="0"/>
          <w:marBottom w:val="0"/>
          <w:divBdr>
            <w:top w:val="none" w:sz="0" w:space="0" w:color="auto"/>
            <w:left w:val="none" w:sz="0" w:space="0" w:color="auto"/>
            <w:bottom w:val="none" w:sz="0" w:space="0" w:color="auto"/>
            <w:right w:val="none" w:sz="0" w:space="0" w:color="auto"/>
          </w:divBdr>
        </w:div>
        <w:div w:id="530262275">
          <w:marLeft w:val="0"/>
          <w:marRight w:val="0"/>
          <w:marTop w:val="0"/>
          <w:marBottom w:val="0"/>
          <w:divBdr>
            <w:top w:val="none" w:sz="0" w:space="0" w:color="auto"/>
            <w:left w:val="none" w:sz="0" w:space="0" w:color="auto"/>
            <w:bottom w:val="none" w:sz="0" w:space="0" w:color="auto"/>
            <w:right w:val="none" w:sz="0" w:space="0" w:color="auto"/>
          </w:divBdr>
        </w:div>
        <w:div w:id="1989169678">
          <w:marLeft w:val="0"/>
          <w:marRight w:val="0"/>
          <w:marTop w:val="0"/>
          <w:marBottom w:val="0"/>
          <w:divBdr>
            <w:top w:val="none" w:sz="0" w:space="0" w:color="auto"/>
            <w:left w:val="none" w:sz="0" w:space="0" w:color="auto"/>
            <w:bottom w:val="none" w:sz="0" w:space="0" w:color="auto"/>
            <w:right w:val="none" w:sz="0" w:space="0" w:color="auto"/>
          </w:divBdr>
        </w:div>
        <w:div w:id="242565937">
          <w:marLeft w:val="0"/>
          <w:marRight w:val="0"/>
          <w:marTop w:val="0"/>
          <w:marBottom w:val="0"/>
          <w:divBdr>
            <w:top w:val="none" w:sz="0" w:space="0" w:color="auto"/>
            <w:left w:val="none" w:sz="0" w:space="0" w:color="auto"/>
            <w:bottom w:val="none" w:sz="0" w:space="0" w:color="auto"/>
            <w:right w:val="none" w:sz="0" w:space="0" w:color="auto"/>
          </w:divBdr>
        </w:div>
        <w:div w:id="1542010630">
          <w:marLeft w:val="0"/>
          <w:marRight w:val="0"/>
          <w:marTop w:val="0"/>
          <w:marBottom w:val="0"/>
          <w:divBdr>
            <w:top w:val="none" w:sz="0" w:space="0" w:color="auto"/>
            <w:left w:val="none" w:sz="0" w:space="0" w:color="auto"/>
            <w:bottom w:val="none" w:sz="0" w:space="0" w:color="auto"/>
            <w:right w:val="none" w:sz="0" w:space="0" w:color="auto"/>
          </w:divBdr>
        </w:div>
        <w:div w:id="2111271079">
          <w:marLeft w:val="0"/>
          <w:marRight w:val="0"/>
          <w:marTop w:val="0"/>
          <w:marBottom w:val="0"/>
          <w:divBdr>
            <w:top w:val="none" w:sz="0" w:space="0" w:color="auto"/>
            <w:left w:val="none" w:sz="0" w:space="0" w:color="auto"/>
            <w:bottom w:val="none" w:sz="0" w:space="0" w:color="auto"/>
            <w:right w:val="none" w:sz="0" w:space="0" w:color="auto"/>
          </w:divBdr>
        </w:div>
        <w:div w:id="1461653217">
          <w:marLeft w:val="0"/>
          <w:marRight w:val="0"/>
          <w:marTop w:val="0"/>
          <w:marBottom w:val="0"/>
          <w:divBdr>
            <w:top w:val="none" w:sz="0" w:space="0" w:color="auto"/>
            <w:left w:val="none" w:sz="0" w:space="0" w:color="auto"/>
            <w:bottom w:val="none" w:sz="0" w:space="0" w:color="auto"/>
            <w:right w:val="none" w:sz="0" w:space="0" w:color="auto"/>
          </w:divBdr>
        </w:div>
        <w:div w:id="1591738433">
          <w:marLeft w:val="0"/>
          <w:marRight w:val="0"/>
          <w:marTop w:val="0"/>
          <w:marBottom w:val="0"/>
          <w:divBdr>
            <w:top w:val="none" w:sz="0" w:space="0" w:color="auto"/>
            <w:left w:val="none" w:sz="0" w:space="0" w:color="auto"/>
            <w:bottom w:val="none" w:sz="0" w:space="0" w:color="auto"/>
            <w:right w:val="none" w:sz="0" w:space="0" w:color="auto"/>
          </w:divBdr>
        </w:div>
        <w:div w:id="1327979634">
          <w:marLeft w:val="0"/>
          <w:marRight w:val="0"/>
          <w:marTop w:val="0"/>
          <w:marBottom w:val="0"/>
          <w:divBdr>
            <w:top w:val="none" w:sz="0" w:space="0" w:color="auto"/>
            <w:left w:val="none" w:sz="0" w:space="0" w:color="auto"/>
            <w:bottom w:val="none" w:sz="0" w:space="0" w:color="auto"/>
            <w:right w:val="none" w:sz="0" w:space="0" w:color="auto"/>
          </w:divBdr>
        </w:div>
        <w:div w:id="700672743">
          <w:marLeft w:val="0"/>
          <w:marRight w:val="0"/>
          <w:marTop w:val="0"/>
          <w:marBottom w:val="0"/>
          <w:divBdr>
            <w:top w:val="none" w:sz="0" w:space="0" w:color="auto"/>
            <w:left w:val="none" w:sz="0" w:space="0" w:color="auto"/>
            <w:bottom w:val="none" w:sz="0" w:space="0" w:color="auto"/>
            <w:right w:val="none" w:sz="0" w:space="0" w:color="auto"/>
          </w:divBdr>
        </w:div>
        <w:div w:id="1117867152">
          <w:marLeft w:val="0"/>
          <w:marRight w:val="0"/>
          <w:marTop w:val="0"/>
          <w:marBottom w:val="0"/>
          <w:divBdr>
            <w:top w:val="none" w:sz="0" w:space="0" w:color="auto"/>
            <w:left w:val="none" w:sz="0" w:space="0" w:color="auto"/>
            <w:bottom w:val="none" w:sz="0" w:space="0" w:color="auto"/>
            <w:right w:val="none" w:sz="0" w:space="0" w:color="auto"/>
          </w:divBdr>
        </w:div>
        <w:div w:id="1119686010">
          <w:marLeft w:val="0"/>
          <w:marRight w:val="0"/>
          <w:marTop w:val="0"/>
          <w:marBottom w:val="0"/>
          <w:divBdr>
            <w:top w:val="none" w:sz="0" w:space="0" w:color="auto"/>
            <w:left w:val="none" w:sz="0" w:space="0" w:color="auto"/>
            <w:bottom w:val="none" w:sz="0" w:space="0" w:color="auto"/>
            <w:right w:val="none" w:sz="0" w:space="0" w:color="auto"/>
          </w:divBdr>
        </w:div>
        <w:div w:id="177694494">
          <w:marLeft w:val="0"/>
          <w:marRight w:val="0"/>
          <w:marTop w:val="0"/>
          <w:marBottom w:val="0"/>
          <w:divBdr>
            <w:top w:val="none" w:sz="0" w:space="0" w:color="auto"/>
            <w:left w:val="none" w:sz="0" w:space="0" w:color="auto"/>
            <w:bottom w:val="none" w:sz="0" w:space="0" w:color="auto"/>
            <w:right w:val="none" w:sz="0" w:space="0" w:color="auto"/>
          </w:divBdr>
        </w:div>
        <w:div w:id="278727833">
          <w:marLeft w:val="0"/>
          <w:marRight w:val="0"/>
          <w:marTop w:val="0"/>
          <w:marBottom w:val="0"/>
          <w:divBdr>
            <w:top w:val="none" w:sz="0" w:space="0" w:color="auto"/>
            <w:left w:val="none" w:sz="0" w:space="0" w:color="auto"/>
            <w:bottom w:val="none" w:sz="0" w:space="0" w:color="auto"/>
            <w:right w:val="none" w:sz="0" w:space="0" w:color="auto"/>
          </w:divBdr>
        </w:div>
        <w:div w:id="1510097035">
          <w:marLeft w:val="0"/>
          <w:marRight w:val="0"/>
          <w:marTop w:val="0"/>
          <w:marBottom w:val="0"/>
          <w:divBdr>
            <w:top w:val="none" w:sz="0" w:space="0" w:color="auto"/>
            <w:left w:val="none" w:sz="0" w:space="0" w:color="auto"/>
            <w:bottom w:val="none" w:sz="0" w:space="0" w:color="auto"/>
            <w:right w:val="none" w:sz="0" w:space="0" w:color="auto"/>
          </w:divBdr>
        </w:div>
        <w:div w:id="1087922705">
          <w:marLeft w:val="0"/>
          <w:marRight w:val="0"/>
          <w:marTop w:val="0"/>
          <w:marBottom w:val="0"/>
          <w:divBdr>
            <w:top w:val="none" w:sz="0" w:space="0" w:color="auto"/>
            <w:left w:val="none" w:sz="0" w:space="0" w:color="auto"/>
            <w:bottom w:val="none" w:sz="0" w:space="0" w:color="auto"/>
            <w:right w:val="none" w:sz="0" w:space="0" w:color="auto"/>
          </w:divBdr>
        </w:div>
        <w:div w:id="1548836052">
          <w:marLeft w:val="0"/>
          <w:marRight w:val="0"/>
          <w:marTop w:val="0"/>
          <w:marBottom w:val="0"/>
          <w:divBdr>
            <w:top w:val="none" w:sz="0" w:space="0" w:color="auto"/>
            <w:left w:val="none" w:sz="0" w:space="0" w:color="auto"/>
            <w:bottom w:val="none" w:sz="0" w:space="0" w:color="auto"/>
            <w:right w:val="none" w:sz="0" w:space="0" w:color="auto"/>
          </w:divBdr>
        </w:div>
        <w:div w:id="1240751096">
          <w:marLeft w:val="0"/>
          <w:marRight w:val="0"/>
          <w:marTop w:val="0"/>
          <w:marBottom w:val="0"/>
          <w:divBdr>
            <w:top w:val="none" w:sz="0" w:space="0" w:color="auto"/>
            <w:left w:val="none" w:sz="0" w:space="0" w:color="auto"/>
            <w:bottom w:val="none" w:sz="0" w:space="0" w:color="auto"/>
            <w:right w:val="none" w:sz="0" w:space="0" w:color="auto"/>
          </w:divBdr>
        </w:div>
        <w:div w:id="1768310439">
          <w:marLeft w:val="0"/>
          <w:marRight w:val="0"/>
          <w:marTop w:val="0"/>
          <w:marBottom w:val="0"/>
          <w:divBdr>
            <w:top w:val="none" w:sz="0" w:space="0" w:color="auto"/>
            <w:left w:val="none" w:sz="0" w:space="0" w:color="auto"/>
            <w:bottom w:val="none" w:sz="0" w:space="0" w:color="auto"/>
            <w:right w:val="none" w:sz="0" w:space="0" w:color="auto"/>
          </w:divBdr>
        </w:div>
        <w:div w:id="2139760632">
          <w:marLeft w:val="0"/>
          <w:marRight w:val="0"/>
          <w:marTop w:val="0"/>
          <w:marBottom w:val="0"/>
          <w:divBdr>
            <w:top w:val="none" w:sz="0" w:space="0" w:color="auto"/>
            <w:left w:val="none" w:sz="0" w:space="0" w:color="auto"/>
            <w:bottom w:val="none" w:sz="0" w:space="0" w:color="auto"/>
            <w:right w:val="none" w:sz="0" w:space="0" w:color="auto"/>
          </w:divBdr>
        </w:div>
        <w:div w:id="1637300369">
          <w:marLeft w:val="0"/>
          <w:marRight w:val="0"/>
          <w:marTop w:val="0"/>
          <w:marBottom w:val="0"/>
          <w:divBdr>
            <w:top w:val="none" w:sz="0" w:space="0" w:color="auto"/>
            <w:left w:val="none" w:sz="0" w:space="0" w:color="auto"/>
            <w:bottom w:val="none" w:sz="0" w:space="0" w:color="auto"/>
            <w:right w:val="none" w:sz="0" w:space="0" w:color="auto"/>
          </w:divBdr>
        </w:div>
        <w:div w:id="804006947">
          <w:marLeft w:val="0"/>
          <w:marRight w:val="0"/>
          <w:marTop w:val="0"/>
          <w:marBottom w:val="0"/>
          <w:divBdr>
            <w:top w:val="none" w:sz="0" w:space="0" w:color="auto"/>
            <w:left w:val="none" w:sz="0" w:space="0" w:color="auto"/>
            <w:bottom w:val="none" w:sz="0" w:space="0" w:color="auto"/>
            <w:right w:val="none" w:sz="0" w:space="0" w:color="auto"/>
          </w:divBdr>
        </w:div>
        <w:div w:id="1534075955">
          <w:marLeft w:val="0"/>
          <w:marRight w:val="0"/>
          <w:marTop w:val="0"/>
          <w:marBottom w:val="0"/>
          <w:divBdr>
            <w:top w:val="none" w:sz="0" w:space="0" w:color="auto"/>
            <w:left w:val="none" w:sz="0" w:space="0" w:color="auto"/>
            <w:bottom w:val="none" w:sz="0" w:space="0" w:color="auto"/>
            <w:right w:val="none" w:sz="0" w:space="0" w:color="auto"/>
          </w:divBdr>
        </w:div>
        <w:div w:id="1397244869">
          <w:marLeft w:val="0"/>
          <w:marRight w:val="0"/>
          <w:marTop w:val="0"/>
          <w:marBottom w:val="0"/>
          <w:divBdr>
            <w:top w:val="none" w:sz="0" w:space="0" w:color="auto"/>
            <w:left w:val="none" w:sz="0" w:space="0" w:color="auto"/>
            <w:bottom w:val="none" w:sz="0" w:space="0" w:color="auto"/>
            <w:right w:val="none" w:sz="0" w:space="0" w:color="auto"/>
          </w:divBdr>
        </w:div>
        <w:div w:id="1870800014">
          <w:marLeft w:val="0"/>
          <w:marRight w:val="0"/>
          <w:marTop w:val="0"/>
          <w:marBottom w:val="0"/>
          <w:divBdr>
            <w:top w:val="none" w:sz="0" w:space="0" w:color="auto"/>
            <w:left w:val="none" w:sz="0" w:space="0" w:color="auto"/>
            <w:bottom w:val="none" w:sz="0" w:space="0" w:color="auto"/>
            <w:right w:val="none" w:sz="0" w:space="0" w:color="auto"/>
          </w:divBdr>
        </w:div>
        <w:div w:id="1579905131">
          <w:marLeft w:val="0"/>
          <w:marRight w:val="0"/>
          <w:marTop w:val="0"/>
          <w:marBottom w:val="0"/>
          <w:divBdr>
            <w:top w:val="none" w:sz="0" w:space="0" w:color="auto"/>
            <w:left w:val="none" w:sz="0" w:space="0" w:color="auto"/>
            <w:bottom w:val="none" w:sz="0" w:space="0" w:color="auto"/>
            <w:right w:val="none" w:sz="0" w:space="0" w:color="auto"/>
          </w:divBdr>
        </w:div>
        <w:div w:id="1710034505">
          <w:marLeft w:val="0"/>
          <w:marRight w:val="0"/>
          <w:marTop w:val="0"/>
          <w:marBottom w:val="0"/>
          <w:divBdr>
            <w:top w:val="none" w:sz="0" w:space="0" w:color="auto"/>
            <w:left w:val="none" w:sz="0" w:space="0" w:color="auto"/>
            <w:bottom w:val="none" w:sz="0" w:space="0" w:color="auto"/>
            <w:right w:val="none" w:sz="0" w:space="0" w:color="auto"/>
          </w:divBdr>
        </w:div>
        <w:div w:id="212618422">
          <w:marLeft w:val="0"/>
          <w:marRight w:val="0"/>
          <w:marTop w:val="0"/>
          <w:marBottom w:val="0"/>
          <w:divBdr>
            <w:top w:val="none" w:sz="0" w:space="0" w:color="auto"/>
            <w:left w:val="none" w:sz="0" w:space="0" w:color="auto"/>
            <w:bottom w:val="none" w:sz="0" w:space="0" w:color="auto"/>
            <w:right w:val="none" w:sz="0" w:space="0" w:color="auto"/>
          </w:divBdr>
        </w:div>
        <w:div w:id="2022734415">
          <w:marLeft w:val="0"/>
          <w:marRight w:val="0"/>
          <w:marTop w:val="0"/>
          <w:marBottom w:val="0"/>
          <w:divBdr>
            <w:top w:val="none" w:sz="0" w:space="0" w:color="auto"/>
            <w:left w:val="none" w:sz="0" w:space="0" w:color="auto"/>
            <w:bottom w:val="none" w:sz="0" w:space="0" w:color="auto"/>
            <w:right w:val="none" w:sz="0" w:space="0" w:color="auto"/>
          </w:divBdr>
        </w:div>
        <w:div w:id="1712073394">
          <w:marLeft w:val="0"/>
          <w:marRight w:val="0"/>
          <w:marTop w:val="0"/>
          <w:marBottom w:val="0"/>
          <w:divBdr>
            <w:top w:val="none" w:sz="0" w:space="0" w:color="auto"/>
            <w:left w:val="none" w:sz="0" w:space="0" w:color="auto"/>
            <w:bottom w:val="none" w:sz="0" w:space="0" w:color="auto"/>
            <w:right w:val="none" w:sz="0" w:space="0" w:color="auto"/>
          </w:divBdr>
        </w:div>
        <w:div w:id="309020567">
          <w:marLeft w:val="0"/>
          <w:marRight w:val="0"/>
          <w:marTop w:val="0"/>
          <w:marBottom w:val="0"/>
          <w:divBdr>
            <w:top w:val="none" w:sz="0" w:space="0" w:color="auto"/>
            <w:left w:val="none" w:sz="0" w:space="0" w:color="auto"/>
            <w:bottom w:val="none" w:sz="0" w:space="0" w:color="auto"/>
            <w:right w:val="none" w:sz="0" w:space="0" w:color="auto"/>
          </w:divBdr>
        </w:div>
        <w:div w:id="318853329">
          <w:marLeft w:val="0"/>
          <w:marRight w:val="0"/>
          <w:marTop w:val="0"/>
          <w:marBottom w:val="0"/>
          <w:divBdr>
            <w:top w:val="none" w:sz="0" w:space="0" w:color="auto"/>
            <w:left w:val="none" w:sz="0" w:space="0" w:color="auto"/>
            <w:bottom w:val="none" w:sz="0" w:space="0" w:color="auto"/>
            <w:right w:val="none" w:sz="0" w:space="0" w:color="auto"/>
          </w:divBdr>
        </w:div>
        <w:div w:id="279150325">
          <w:marLeft w:val="0"/>
          <w:marRight w:val="0"/>
          <w:marTop w:val="0"/>
          <w:marBottom w:val="0"/>
          <w:divBdr>
            <w:top w:val="none" w:sz="0" w:space="0" w:color="auto"/>
            <w:left w:val="none" w:sz="0" w:space="0" w:color="auto"/>
            <w:bottom w:val="none" w:sz="0" w:space="0" w:color="auto"/>
            <w:right w:val="none" w:sz="0" w:space="0" w:color="auto"/>
          </w:divBdr>
        </w:div>
        <w:div w:id="926502866">
          <w:marLeft w:val="0"/>
          <w:marRight w:val="0"/>
          <w:marTop w:val="0"/>
          <w:marBottom w:val="0"/>
          <w:divBdr>
            <w:top w:val="none" w:sz="0" w:space="0" w:color="auto"/>
            <w:left w:val="none" w:sz="0" w:space="0" w:color="auto"/>
            <w:bottom w:val="none" w:sz="0" w:space="0" w:color="auto"/>
            <w:right w:val="none" w:sz="0" w:space="0" w:color="auto"/>
          </w:divBdr>
        </w:div>
        <w:div w:id="1440300841">
          <w:marLeft w:val="0"/>
          <w:marRight w:val="0"/>
          <w:marTop w:val="0"/>
          <w:marBottom w:val="0"/>
          <w:divBdr>
            <w:top w:val="none" w:sz="0" w:space="0" w:color="auto"/>
            <w:left w:val="none" w:sz="0" w:space="0" w:color="auto"/>
            <w:bottom w:val="none" w:sz="0" w:space="0" w:color="auto"/>
            <w:right w:val="none" w:sz="0" w:space="0" w:color="auto"/>
          </w:divBdr>
        </w:div>
        <w:div w:id="415443385">
          <w:marLeft w:val="0"/>
          <w:marRight w:val="0"/>
          <w:marTop w:val="0"/>
          <w:marBottom w:val="0"/>
          <w:divBdr>
            <w:top w:val="none" w:sz="0" w:space="0" w:color="auto"/>
            <w:left w:val="none" w:sz="0" w:space="0" w:color="auto"/>
            <w:bottom w:val="none" w:sz="0" w:space="0" w:color="auto"/>
            <w:right w:val="none" w:sz="0" w:space="0" w:color="auto"/>
          </w:divBdr>
        </w:div>
        <w:div w:id="841891107">
          <w:marLeft w:val="0"/>
          <w:marRight w:val="0"/>
          <w:marTop w:val="0"/>
          <w:marBottom w:val="0"/>
          <w:divBdr>
            <w:top w:val="none" w:sz="0" w:space="0" w:color="auto"/>
            <w:left w:val="none" w:sz="0" w:space="0" w:color="auto"/>
            <w:bottom w:val="none" w:sz="0" w:space="0" w:color="auto"/>
            <w:right w:val="none" w:sz="0" w:space="0" w:color="auto"/>
          </w:divBdr>
        </w:div>
        <w:div w:id="2109963322">
          <w:marLeft w:val="0"/>
          <w:marRight w:val="0"/>
          <w:marTop w:val="0"/>
          <w:marBottom w:val="0"/>
          <w:divBdr>
            <w:top w:val="none" w:sz="0" w:space="0" w:color="auto"/>
            <w:left w:val="none" w:sz="0" w:space="0" w:color="auto"/>
            <w:bottom w:val="none" w:sz="0" w:space="0" w:color="auto"/>
            <w:right w:val="none" w:sz="0" w:space="0" w:color="auto"/>
          </w:divBdr>
        </w:div>
        <w:div w:id="1567379493">
          <w:marLeft w:val="0"/>
          <w:marRight w:val="0"/>
          <w:marTop w:val="0"/>
          <w:marBottom w:val="0"/>
          <w:divBdr>
            <w:top w:val="none" w:sz="0" w:space="0" w:color="auto"/>
            <w:left w:val="none" w:sz="0" w:space="0" w:color="auto"/>
            <w:bottom w:val="none" w:sz="0" w:space="0" w:color="auto"/>
            <w:right w:val="none" w:sz="0" w:space="0" w:color="auto"/>
          </w:divBdr>
        </w:div>
        <w:div w:id="720786017">
          <w:marLeft w:val="0"/>
          <w:marRight w:val="0"/>
          <w:marTop w:val="0"/>
          <w:marBottom w:val="0"/>
          <w:divBdr>
            <w:top w:val="none" w:sz="0" w:space="0" w:color="auto"/>
            <w:left w:val="none" w:sz="0" w:space="0" w:color="auto"/>
            <w:bottom w:val="none" w:sz="0" w:space="0" w:color="auto"/>
            <w:right w:val="none" w:sz="0" w:space="0" w:color="auto"/>
          </w:divBdr>
        </w:div>
        <w:div w:id="1720351709">
          <w:marLeft w:val="0"/>
          <w:marRight w:val="0"/>
          <w:marTop w:val="0"/>
          <w:marBottom w:val="0"/>
          <w:divBdr>
            <w:top w:val="none" w:sz="0" w:space="0" w:color="auto"/>
            <w:left w:val="none" w:sz="0" w:space="0" w:color="auto"/>
            <w:bottom w:val="none" w:sz="0" w:space="0" w:color="auto"/>
            <w:right w:val="none" w:sz="0" w:space="0" w:color="auto"/>
          </w:divBdr>
        </w:div>
        <w:div w:id="1887059841">
          <w:marLeft w:val="0"/>
          <w:marRight w:val="0"/>
          <w:marTop w:val="0"/>
          <w:marBottom w:val="0"/>
          <w:divBdr>
            <w:top w:val="none" w:sz="0" w:space="0" w:color="auto"/>
            <w:left w:val="none" w:sz="0" w:space="0" w:color="auto"/>
            <w:bottom w:val="none" w:sz="0" w:space="0" w:color="auto"/>
            <w:right w:val="none" w:sz="0" w:space="0" w:color="auto"/>
          </w:divBdr>
        </w:div>
        <w:div w:id="1570309359">
          <w:marLeft w:val="0"/>
          <w:marRight w:val="0"/>
          <w:marTop w:val="0"/>
          <w:marBottom w:val="0"/>
          <w:divBdr>
            <w:top w:val="none" w:sz="0" w:space="0" w:color="auto"/>
            <w:left w:val="none" w:sz="0" w:space="0" w:color="auto"/>
            <w:bottom w:val="none" w:sz="0" w:space="0" w:color="auto"/>
            <w:right w:val="none" w:sz="0" w:space="0" w:color="auto"/>
          </w:divBdr>
        </w:div>
        <w:div w:id="1420327905">
          <w:marLeft w:val="0"/>
          <w:marRight w:val="0"/>
          <w:marTop w:val="0"/>
          <w:marBottom w:val="0"/>
          <w:divBdr>
            <w:top w:val="none" w:sz="0" w:space="0" w:color="auto"/>
            <w:left w:val="none" w:sz="0" w:space="0" w:color="auto"/>
            <w:bottom w:val="none" w:sz="0" w:space="0" w:color="auto"/>
            <w:right w:val="none" w:sz="0" w:space="0" w:color="auto"/>
          </w:divBdr>
        </w:div>
        <w:div w:id="204409700">
          <w:marLeft w:val="0"/>
          <w:marRight w:val="0"/>
          <w:marTop w:val="0"/>
          <w:marBottom w:val="0"/>
          <w:divBdr>
            <w:top w:val="none" w:sz="0" w:space="0" w:color="auto"/>
            <w:left w:val="none" w:sz="0" w:space="0" w:color="auto"/>
            <w:bottom w:val="none" w:sz="0" w:space="0" w:color="auto"/>
            <w:right w:val="none" w:sz="0" w:space="0" w:color="auto"/>
          </w:divBdr>
        </w:div>
        <w:div w:id="261381305">
          <w:marLeft w:val="0"/>
          <w:marRight w:val="0"/>
          <w:marTop w:val="0"/>
          <w:marBottom w:val="0"/>
          <w:divBdr>
            <w:top w:val="none" w:sz="0" w:space="0" w:color="auto"/>
            <w:left w:val="none" w:sz="0" w:space="0" w:color="auto"/>
            <w:bottom w:val="none" w:sz="0" w:space="0" w:color="auto"/>
            <w:right w:val="none" w:sz="0" w:space="0" w:color="auto"/>
          </w:divBdr>
        </w:div>
        <w:div w:id="1538276749">
          <w:marLeft w:val="0"/>
          <w:marRight w:val="0"/>
          <w:marTop w:val="0"/>
          <w:marBottom w:val="0"/>
          <w:divBdr>
            <w:top w:val="none" w:sz="0" w:space="0" w:color="auto"/>
            <w:left w:val="none" w:sz="0" w:space="0" w:color="auto"/>
            <w:bottom w:val="none" w:sz="0" w:space="0" w:color="auto"/>
            <w:right w:val="none" w:sz="0" w:space="0" w:color="auto"/>
          </w:divBdr>
        </w:div>
        <w:div w:id="1524592486">
          <w:marLeft w:val="0"/>
          <w:marRight w:val="0"/>
          <w:marTop w:val="0"/>
          <w:marBottom w:val="0"/>
          <w:divBdr>
            <w:top w:val="none" w:sz="0" w:space="0" w:color="auto"/>
            <w:left w:val="none" w:sz="0" w:space="0" w:color="auto"/>
            <w:bottom w:val="none" w:sz="0" w:space="0" w:color="auto"/>
            <w:right w:val="none" w:sz="0" w:space="0" w:color="auto"/>
          </w:divBdr>
        </w:div>
        <w:div w:id="1293712592">
          <w:marLeft w:val="0"/>
          <w:marRight w:val="0"/>
          <w:marTop w:val="0"/>
          <w:marBottom w:val="0"/>
          <w:divBdr>
            <w:top w:val="none" w:sz="0" w:space="0" w:color="auto"/>
            <w:left w:val="none" w:sz="0" w:space="0" w:color="auto"/>
            <w:bottom w:val="none" w:sz="0" w:space="0" w:color="auto"/>
            <w:right w:val="none" w:sz="0" w:space="0" w:color="auto"/>
          </w:divBdr>
        </w:div>
        <w:div w:id="1707868976">
          <w:marLeft w:val="0"/>
          <w:marRight w:val="0"/>
          <w:marTop w:val="0"/>
          <w:marBottom w:val="0"/>
          <w:divBdr>
            <w:top w:val="none" w:sz="0" w:space="0" w:color="auto"/>
            <w:left w:val="none" w:sz="0" w:space="0" w:color="auto"/>
            <w:bottom w:val="none" w:sz="0" w:space="0" w:color="auto"/>
            <w:right w:val="none" w:sz="0" w:space="0" w:color="auto"/>
          </w:divBdr>
        </w:div>
        <w:div w:id="1160461084">
          <w:marLeft w:val="0"/>
          <w:marRight w:val="0"/>
          <w:marTop w:val="0"/>
          <w:marBottom w:val="0"/>
          <w:divBdr>
            <w:top w:val="none" w:sz="0" w:space="0" w:color="auto"/>
            <w:left w:val="none" w:sz="0" w:space="0" w:color="auto"/>
            <w:bottom w:val="none" w:sz="0" w:space="0" w:color="auto"/>
            <w:right w:val="none" w:sz="0" w:space="0" w:color="auto"/>
          </w:divBdr>
        </w:div>
        <w:div w:id="745954161">
          <w:marLeft w:val="0"/>
          <w:marRight w:val="0"/>
          <w:marTop w:val="0"/>
          <w:marBottom w:val="0"/>
          <w:divBdr>
            <w:top w:val="none" w:sz="0" w:space="0" w:color="auto"/>
            <w:left w:val="none" w:sz="0" w:space="0" w:color="auto"/>
            <w:bottom w:val="none" w:sz="0" w:space="0" w:color="auto"/>
            <w:right w:val="none" w:sz="0" w:space="0" w:color="auto"/>
          </w:divBdr>
        </w:div>
        <w:div w:id="765805624">
          <w:marLeft w:val="0"/>
          <w:marRight w:val="0"/>
          <w:marTop w:val="0"/>
          <w:marBottom w:val="0"/>
          <w:divBdr>
            <w:top w:val="none" w:sz="0" w:space="0" w:color="auto"/>
            <w:left w:val="none" w:sz="0" w:space="0" w:color="auto"/>
            <w:bottom w:val="none" w:sz="0" w:space="0" w:color="auto"/>
            <w:right w:val="none" w:sz="0" w:space="0" w:color="auto"/>
          </w:divBdr>
        </w:div>
        <w:div w:id="767967160">
          <w:marLeft w:val="0"/>
          <w:marRight w:val="0"/>
          <w:marTop w:val="0"/>
          <w:marBottom w:val="0"/>
          <w:divBdr>
            <w:top w:val="none" w:sz="0" w:space="0" w:color="auto"/>
            <w:left w:val="none" w:sz="0" w:space="0" w:color="auto"/>
            <w:bottom w:val="none" w:sz="0" w:space="0" w:color="auto"/>
            <w:right w:val="none" w:sz="0" w:space="0" w:color="auto"/>
          </w:divBdr>
        </w:div>
        <w:div w:id="214050007">
          <w:marLeft w:val="0"/>
          <w:marRight w:val="0"/>
          <w:marTop w:val="0"/>
          <w:marBottom w:val="0"/>
          <w:divBdr>
            <w:top w:val="none" w:sz="0" w:space="0" w:color="auto"/>
            <w:left w:val="none" w:sz="0" w:space="0" w:color="auto"/>
            <w:bottom w:val="none" w:sz="0" w:space="0" w:color="auto"/>
            <w:right w:val="none" w:sz="0" w:space="0" w:color="auto"/>
          </w:divBdr>
        </w:div>
        <w:div w:id="1706901745">
          <w:marLeft w:val="0"/>
          <w:marRight w:val="0"/>
          <w:marTop w:val="0"/>
          <w:marBottom w:val="0"/>
          <w:divBdr>
            <w:top w:val="none" w:sz="0" w:space="0" w:color="auto"/>
            <w:left w:val="none" w:sz="0" w:space="0" w:color="auto"/>
            <w:bottom w:val="none" w:sz="0" w:space="0" w:color="auto"/>
            <w:right w:val="none" w:sz="0" w:space="0" w:color="auto"/>
          </w:divBdr>
        </w:div>
        <w:div w:id="2093506331">
          <w:marLeft w:val="0"/>
          <w:marRight w:val="0"/>
          <w:marTop w:val="0"/>
          <w:marBottom w:val="0"/>
          <w:divBdr>
            <w:top w:val="none" w:sz="0" w:space="0" w:color="auto"/>
            <w:left w:val="none" w:sz="0" w:space="0" w:color="auto"/>
            <w:bottom w:val="none" w:sz="0" w:space="0" w:color="auto"/>
            <w:right w:val="none" w:sz="0" w:space="0" w:color="auto"/>
          </w:divBdr>
        </w:div>
        <w:div w:id="828062445">
          <w:marLeft w:val="0"/>
          <w:marRight w:val="0"/>
          <w:marTop w:val="0"/>
          <w:marBottom w:val="0"/>
          <w:divBdr>
            <w:top w:val="none" w:sz="0" w:space="0" w:color="auto"/>
            <w:left w:val="none" w:sz="0" w:space="0" w:color="auto"/>
            <w:bottom w:val="none" w:sz="0" w:space="0" w:color="auto"/>
            <w:right w:val="none" w:sz="0" w:space="0" w:color="auto"/>
          </w:divBdr>
        </w:div>
        <w:div w:id="1002510041">
          <w:marLeft w:val="0"/>
          <w:marRight w:val="0"/>
          <w:marTop w:val="0"/>
          <w:marBottom w:val="0"/>
          <w:divBdr>
            <w:top w:val="none" w:sz="0" w:space="0" w:color="auto"/>
            <w:left w:val="none" w:sz="0" w:space="0" w:color="auto"/>
            <w:bottom w:val="none" w:sz="0" w:space="0" w:color="auto"/>
            <w:right w:val="none" w:sz="0" w:space="0" w:color="auto"/>
          </w:divBdr>
        </w:div>
        <w:div w:id="382337310">
          <w:marLeft w:val="0"/>
          <w:marRight w:val="0"/>
          <w:marTop w:val="0"/>
          <w:marBottom w:val="0"/>
          <w:divBdr>
            <w:top w:val="none" w:sz="0" w:space="0" w:color="auto"/>
            <w:left w:val="none" w:sz="0" w:space="0" w:color="auto"/>
            <w:bottom w:val="none" w:sz="0" w:space="0" w:color="auto"/>
            <w:right w:val="none" w:sz="0" w:space="0" w:color="auto"/>
          </w:divBdr>
        </w:div>
        <w:div w:id="1969779415">
          <w:marLeft w:val="0"/>
          <w:marRight w:val="0"/>
          <w:marTop w:val="0"/>
          <w:marBottom w:val="0"/>
          <w:divBdr>
            <w:top w:val="none" w:sz="0" w:space="0" w:color="auto"/>
            <w:left w:val="none" w:sz="0" w:space="0" w:color="auto"/>
            <w:bottom w:val="none" w:sz="0" w:space="0" w:color="auto"/>
            <w:right w:val="none" w:sz="0" w:space="0" w:color="auto"/>
          </w:divBdr>
        </w:div>
        <w:div w:id="1480462195">
          <w:marLeft w:val="0"/>
          <w:marRight w:val="0"/>
          <w:marTop w:val="0"/>
          <w:marBottom w:val="0"/>
          <w:divBdr>
            <w:top w:val="none" w:sz="0" w:space="0" w:color="auto"/>
            <w:left w:val="none" w:sz="0" w:space="0" w:color="auto"/>
            <w:bottom w:val="none" w:sz="0" w:space="0" w:color="auto"/>
            <w:right w:val="none" w:sz="0" w:space="0" w:color="auto"/>
          </w:divBdr>
        </w:div>
        <w:div w:id="1282151878">
          <w:marLeft w:val="0"/>
          <w:marRight w:val="0"/>
          <w:marTop w:val="0"/>
          <w:marBottom w:val="0"/>
          <w:divBdr>
            <w:top w:val="none" w:sz="0" w:space="0" w:color="auto"/>
            <w:left w:val="none" w:sz="0" w:space="0" w:color="auto"/>
            <w:bottom w:val="none" w:sz="0" w:space="0" w:color="auto"/>
            <w:right w:val="none" w:sz="0" w:space="0" w:color="auto"/>
          </w:divBdr>
        </w:div>
        <w:div w:id="1287852772">
          <w:marLeft w:val="0"/>
          <w:marRight w:val="0"/>
          <w:marTop w:val="0"/>
          <w:marBottom w:val="0"/>
          <w:divBdr>
            <w:top w:val="none" w:sz="0" w:space="0" w:color="auto"/>
            <w:left w:val="none" w:sz="0" w:space="0" w:color="auto"/>
            <w:bottom w:val="none" w:sz="0" w:space="0" w:color="auto"/>
            <w:right w:val="none" w:sz="0" w:space="0" w:color="auto"/>
          </w:divBdr>
        </w:div>
        <w:div w:id="953092805">
          <w:marLeft w:val="0"/>
          <w:marRight w:val="0"/>
          <w:marTop w:val="0"/>
          <w:marBottom w:val="0"/>
          <w:divBdr>
            <w:top w:val="none" w:sz="0" w:space="0" w:color="auto"/>
            <w:left w:val="none" w:sz="0" w:space="0" w:color="auto"/>
            <w:bottom w:val="none" w:sz="0" w:space="0" w:color="auto"/>
            <w:right w:val="none" w:sz="0" w:space="0" w:color="auto"/>
          </w:divBdr>
        </w:div>
        <w:div w:id="1042293062">
          <w:marLeft w:val="0"/>
          <w:marRight w:val="0"/>
          <w:marTop w:val="0"/>
          <w:marBottom w:val="0"/>
          <w:divBdr>
            <w:top w:val="none" w:sz="0" w:space="0" w:color="auto"/>
            <w:left w:val="none" w:sz="0" w:space="0" w:color="auto"/>
            <w:bottom w:val="none" w:sz="0" w:space="0" w:color="auto"/>
            <w:right w:val="none" w:sz="0" w:space="0" w:color="auto"/>
          </w:divBdr>
        </w:div>
        <w:div w:id="2035498414">
          <w:marLeft w:val="0"/>
          <w:marRight w:val="0"/>
          <w:marTop w:val="0"/>
          <w:marBottom w:val="0"/>
          <w:divBdr>
            <w:top w:val="none" w:sz="0" w:space="0" w:color="auto"/>
            <w:left w:val="none" w:sz="0" w:space="0" w:color="auto"/>
            <w:bottom w:val="none" w:sz="0" w:space="0" w:color="auto"/>
            <w:right w:val="none" w:sz="0" w:space="0" w:color="auto"/>
          </w:divBdr>
        </w:div>
        <w:div w:id="1268468468">
          <w:marLeft w:val="0"/>
          <w:marRight w:val="0"/>
          <w:marTop w:val="0"/>
          <w:marBottom w:val="0"/>
          <w:divBdr>
            <w:top w:val="none" w:sz="0" w:space="0" w:color="auto"/>
            <w:left w:val="none" w:sz="0" w:space="0" w:color="auto"/>
            <w:bottom w:val="none" w:sz="0" w:space="0" w:color="auto"/>
            <w:right w:val="none" w:sz="0" w:space="0" w:color="auto"/>
          </w:divBdr>
        </w:div>
        <w:div w:id="246883453">
          <w:marLeft w:val="0"/>
          <w:marRight w:val="0"/>
          <w:marTop w:val="0"/>
          <w:marBottom w:val="0"/>
          <w:divBdr>
            <w:top w:val="none" w:sz="0" w:space="0" w:color="auto"/>
            <w:left w:val="none" w:sz="0" w:space="0" w:color="auto"/>
            <w:bottom w:val="none" w:sz="0" w:space="0" w:color="auto"/>
            <w:right w:val="none" w:sz="0" w:space="0" w:color="auto"/>
          </w:divBdr>
        </w:div>
        <w:div w:id="1360745067">
          <w:marLeft w:val="0"/>
          <w:marRight w:val="0"/>
          <w:marTop w:val="0"/>
          <w:marBottom w:val="0"/>
          <w:divBdr>
            <w:top w:val="none" w:sz="0" w:space="0" w:color="auto"/>
            <w:left w:val="none" w:sz="0" w:space="0" w:color="auto"/>
            <w:bottom w:val="none" w:sz="0" w:space="0" w:color="auto"/>
            <w:right w:val="none" w:sz="0" w:space="0" w:color="auto"/>
          </w:divBdr>
        </w:div>
        <w:div w:id="1994672891">
          <w:marLeft w:val="0"/>
          <w:marRight w:val="0"/>
          <w:marTop w:val="0"/>
          <w:marBottom w:val="0"/>
          <w:divBdr>
            <w:top w:val="none" w:sz="0" w:space="0" w:color="auto"/>
            <w:left w:val="none" w:sz="0" w:space="0" w:color="auto"/>
            <w:bottom w:val="none" w:sz="0" w:space="0" w:color="auto"/>
            <w:right w:val="none" w:sz="0" w:space="0" w:color="auto"/>
          </w:divBdr>
        </w:div>
        <w:div w:id="258947680">
          <w:marLeft w:val="0"/>
          <w:marRight w:val="0"/>
          <w:marTop w:val="0"/>
          <w:marBottom w:val="0"/>
          <w:divBdr>
            <w:top w:val="none" w:sz="0" w:space="0" w:color="auto"/>
            <w:left w:val="none" w:sz="0" w:space="0" w:color="auto"/>
            <w:bottom w:val="none" w:sz="0" w:space="0" w:color="auto"/>
            <w:right w:val="none" w:sz="0" w:space="0" w:color="auto"/>
          </w:divBdr>
        </w:div>
        <w:div w:id="292912013">
          <w:marLeft w:val="0"/>
          <w:marRight w:val="0"/>
          <w:marTop w:val="0"/>
          <w:marBottom w:val="0"/>
          <w:divBdr>
            <w:top w:val="none" w:sz="0" w:space="0" w:color="auto"/>
            <w:left w:val="none" w:sz="0" w:space="0" w:color="auto"/>
            <w:bottom w:val="none" w:sz="0" w:space="0" w:color="auto"/>
            <w:right w:val="none" w:sz="0" w:space="0" w:color="auto"/>
          </w:divBdr>
        </w:div>
        <w:div w:id="2017346932">
          <w:marLeft w:val="0"/>
          <w:marRight w:val="0"/>
          <w:marTop w:val="0"/>
          <w:marBottom w:val="0"/>
          <w:divBdr>
            <w:top w:val="none" w:sz="0" w:space="0" w:color="auto"/>
            <w:left w:val="none" w:sz="0" w:space="0" w:color="auto"/>
            <w:bottom w:val="none" w:sz="0" w:space="0" w:color="auto"/>
            <w:right w:val="none" w:sz="0" w:space="0" w:color="auto"/>
          </w:divBdr>
        </w:div>
        <w:div w:id="286206905">
          <w:marLeft w:val="0"/>
          <w:marRight w:val="0"/>
          <w:marTop w:val="0"/>
          <w:marBottom w:val="0"/>
          <w:divBdr>
            <w:top w:val="none" w:sz="0" w:space="0" w:color="auto"/>
            <w:left w:val="none" w:sz="0" w:space="0" w:color="auto"/>
            <w:bottom w:val="none" w:sz="0" w:space="0" w:color="auto"/>
            <w:right w:val="none" w:sz="0" w:space="0" w:color="auto"/>
          </w:divBdr>
        </w:div>
        <w:div w:id="1999655070">
          <w:marLeft w:val="0"/>
          <w:marRight w:val="0"/>
          <w:marTop w:val="0"/>
          <w:marBottom w:val="0"/>
          <w:divBdr>
            <w:top w:val="none" w:sz="0" w:space="0" w:color="auto"/>
            <w:left w:val="none" w:sz="0" w:space="0" w:color="auto"/>
            <w:bottom w:val="none" w:sz="0" w:space="0" w:color="auto"/>
            <w:right w:val="none" w:sz="0" w:space="0" w:color="auto"/>
          </w:divBdr>
        </w:div>
        <w:div w:id="1304655739">
          <w:marLeft w:val="0"/>
          <w:marRight w:val="0"/>
          <w:marTop w:val="0"/>
          <w:marBottom w:val="0"/>
          <w:divBdr>
            <w:top w:val="none" w:sz="0" w:space="0" w:color="auto"/>
            <w:left w:val="none" w:sz="0" w:space="0" w:color="auto"/>
            <w:bottom w:val="none" w:sz="0" w:space="0" w:color="auto"/>
            <w:right w:val="none" w:sz="0" w:space="0" w:color="auto"/>
          </w:divBdr>
        </w:div>
        <w:div w:id="1487670256">
          <w:marLeft w:val="0"/>
          <w:marRight w:val="0"/>
          <w:marTop w:val="0"/>
          <w:marBottom w:val="0"/>
          <w:divBdr>
            <w:top w:val="none" w:sz="0" w:space="0" w:color="auto"/>
            <w:left w:val="none" w:sz="0" w:space="0" w:color="auto"/>
            <w:bottom w:val="none" w:sz="0" w:space="0" w:color="auto"/>
            <w:right w:val="none" w:sz="0" w:space="0" w:color="auto"/>
          </w:divBdr>
        </w:div>
        <w:div w:id="1867404035">
          <w:marLeft w:val="0"/>
          <w:marRight w:val="0"/>
          <w:marTop w:val="0"/>
          <w:marBottom w:val="0"/>
          <w:divBdr>
            <w:top w:val="none" w:sz="0" w:space="0" w:color="auto"/>
            <w:left w:val="none" w:sz="0" w:space="0" w:color="auto"/>
            <w:bottom w:val="none" w:sz="0" w:space="0" w:color="auto"/>
            <w:right w:val="none" w:sz="0" w:space="0" w:color="auto"/>
          </w:divBdr>
        </w:div>
        <w:div w:id="1111317583">
          <w:marLeft w:val="0"/>
          <w:marRight w:val="0"/>
          <w:marTop w:val="0"/>
          <w:marBottom w:val="0"/>
          <w:divBdr>
            <w:top w:val="none" w:sz="0" w:space="0" w:color="auto"/>
            <w:left w:val="none" w:sz="0" w:space="0" w:color="auto"/>
            <w:bottom w:val="none" w:sz="0" w:space="0" w:color="auto"/>
            <w:right w:val="none" w:sz="0" w:space="0" w:color="auto"/>
          </w:divBdr>
        </w:div>
        <w:div w:id="1425766462">
          <w:marLeft w:val="0"/>
          <w:marRight w:val="0"/>
          <w:marTop w:val="0"/>
          <w:marBottom w:val="0"/>
          <w:divBdr>
            <w:top w:val="none" w:sz="0" w:space="0" w:color="auto"/>
            <w:left w:val="none" w:sz="0" w:space="0" w:color="auto"/>
            <w:bottom w:val="none" w:sz="0" w:space="0" w:color="auto"/>
            <w:right w:val="none" w:sz="0" w:space="0" w:color="auto"/>
          </w:divBdr>
        </w:div>
        <w:div w:id="295568058">
          <w:marLeft w:val="0"/>
          <w:marRight w:val="0"/>
          <w:marTop w:val="0"/>
          <w:marBottom w:val="0"/>
          <w:divBdr>
            <w:top w:val="none" w:sz="0" w:space="0" w:color="auto"/>
            <w:left w:val="none" w:sz="0" w:space="0" w:color="auto"/>
            <w:bottom w:val="none" w:sz="0" w:space="0" w:color="auto"/>
            <w:right w:val="none" w:sz="0" w:space="0" w:color="auto"/>
          </w:divBdr>
        </w:div>
        <w:div w:id="518472375">
          <w:marLeft w:val="0"/>
          <w:marRight w:val="0"/>
          <w:marTop w:val="0"/>
          <w:marBottom w:val="0"/>
          <w:divBdr>
            <w:top w:val="none" w:sz="0" w:space="0" w:color="auto"/>
            <w:left w:val="none" w:sz="0" w:space="0" w:color="auto"/>
            <w:bottom w:val="none" w:sz="0" w:space="0" w:color="auto"/>
            <w:right w:val="none" w:sz="0" w:space="0" w:color="auto"/>
          </w:divBdr>
        </w:div>
        <w:div w:id="130947947">
          <w:marLeft w:val="0"/>
          <w:marRight w:val="0"/>
          <w:marTop w:val="0"/>
          <w:marBottom w:val="0"/>
          <w:divBdr>
            <w:top w:val="none" w:sz="0" w:space="0" w:color="auto"/>
            <w:left w:val="none" w:sz="0" w:space="0" w:color="auto"/>
            <w:bottom w:val="none" w:sz="0" w:space="0" w:color="auto"/>
            <w:right w:val="none" w:sz="0" w:space="0" w:color="auto"/>
          </w:divBdr>
        </w:div>
        <w:div w:id="1703242810">
          <w:marLeft w:val="0"/>
          <w:marRight w:val="0"/>
          <w:marTop w:val="0"/>
          <w:marBottom w:val="0"/>
          <w:divBdr>
            <w:top w:val="none" w:sz="0" w:space="0" w:color="auto"/>
            <w:left w:val="none" w:sz="0" w:space="0" w:color="auto"/>
            <w:bottom w:val="none" w:sz="0" w:space="0" w:color="auto"/>
            <w:right w:val="none" w:sz="0" w:space="0" w:color="auto"/>
          </w:divBdr>
        </w:div>
        <w:div w:id="142429323">
          <w:marLeft w:val="0"/>
          <w:marRight w:val="0"/>
          <w:marTop w:val="0"/>
          <w:marBottom w:val="0"/>
          <w:divBdr>
            <w:top w:val="none" w:sz="0" w:space="0" w:color="auto"/>
            <w:left w:val="none" w:sz="0" w:space="0" w:color="auto"/>
            <w:bottom w:val="none" w:sz="0" w:space="0" w:color="auto"/>
            <w:right w:val="none" w:sz="0" w:space="0" w:color="auto"/>
          </w:divBdr>
        </w:div>
        <w:div w:id="345600692">
          <w:marLeft w:val="0"/>
          <w:marRight w:val="0"/>
          <w:marTop w:val="0"/>
          <w:marBottom w:val="0"/>
          <w:divBdr>
            <w:top w:val="none" w:sz="0" w:space="0" w:color="auto"/>
            <w:left w:val="none" w:sz="0" w:space="0" w:color="auto"/>
            <w:bottom w:val="none" w:sz="0" w:space="0" w:color="auto"/>
            <w:right w:val="none" w:sz="0" w:space="0" w:color="auto"/>
          </w:divBdr>
        </w:div>
        <w:div w:id="227375709">
          <w:marLeft w:val="0"/>
          <w:marRight w:val="0"/>
          <w:marTop w:val="0"/>
          <w:marBottom w:val="0"/>
          <w:divBdr>
            <w:top w:val="none" w:sz="0" w:space="0" w:color="auto"/>
            <w:left w:val="none" w:sz="0" w:space="0" w:color="auto"/>
            <w:bottom w:val="none" w:sz="0" w:space="0" w:color="auto"/>
            <w:right w:val="none" w:sz="0" w:space="0" w:color="auto"/>
          </w:divBdr>
        </w:div>
        <w:div w:id="1949384875">
          <w:marLeft w:val="0"/>
          <w:marRight w:val="0"/>
          <w:marTop w:val="0"/>
          <w:marBottom w:val="0"/>
          <w:divBdr>
            <w:top w:val="none" w:sz="0" w:space="0" w:color="auto"/>
            <w:left w:val="none" w:sz="0" w:space="0" w:color="auto"/>
            <w:bottom w:val="none" w:sz="0" w:space="0" w:color="auto"/>
            <w:right w:val="none" w:sz="0" w:space="0" w:color="auto"/>
          </w:divBdr>
        </w:div>
        <w:div w:id="3364574">
          <w:marLeft w:val="0"/>
          <w:marRight w:val="0"/>
          <w:marTop w:val="0"/>
          <w:marBottom w:val="0"/>
          <w:divBdr>
            <w:top w:val="none" w:sz="0" w:space="0" w:color="auto"/>
            <w:left w:val="none" w:sz="0" w:space="0" w:color="auto"/>
            <w:bottom w:val="none" w:sz="0" w:space="0" w:color="auto"/>
            <w:right w:val="none" w:sz="0" w:space="0" w:color="auto"/>
          </w:divBdr>
        </w:div>
        <w:div w:id="311063555">
          <w:marLeft w:val="0"/>
          <w:marRight w:val="0"/>
          <w:marTop w:val="0"/>
          <w:marBottom w:val="0"/>
          <w:divBdr>
            <w:top w:val="none" w:sz="0" w:space="0" w:color="auto"/>
            <w:left w:val="none" w:sz="0" w:space="0" w:color="auto"/>
            <w:bottom w:val="none" w:sz="0" w:space="0" w:color="auto"/>
            <w:right w:val="none" w:sz="0" w:space="0" w:color="auto"/>
          </w:divBdr>
        </w:div>
        <w:div w:id="1234198840">
          <w:marLeft w:val="0"/>
          <w:marRight w:val="0"/>
          <w:marTop w:val="0"/>
          <w:marBottom w:val="0"/>
          <w:divBdr>
            <w:top w:val="none" w:sz="0" w:space="0" w:color="auto"/>
            <w:left w:val="none" w:sz="0" w:space="0" w:color="auto"/>
            <w:bottom w:val="none" w:sz="0" w:space="0" w:color="auto"/>
            <w:right w:val="none" w:sz="0" w:space="0" w:color="auto"/>
          </w:divBdr>
        </w:div>
        <w:div w:id="1352419600">
          <w:marLeft w:val="0"/>
          <w:marRight w:val="0"/>
          <w:marTop w:val="0"/>
          <w:marBottom w:val="0"/>
          <w:divBdr>
            <w:top w:val="none" w:sz="0" w:space="0" w:color="auto"/>
            <w:left w:val="none" w:sz="0" w:space="0" w:color="auto"/>
            <w:bottom w:val="none" w:sz="0" w:space="0" w:color="auto"/>
            <w:right w:val="none" w:sz="0" w:space="0" w:color="auto"/>
          </w:divBdr>
        </w:div>
        <w:div w:id="67698918">
          <w:marLeft w:val="0"/>
          <w:marRight w:val="0"/>
          <w:marTop w:val="0"/>
          <w:marBottom w:val="0"/>
          <w:divBdr>
            <w:top w:val="none" w:sz="0" w:space="0" w:color="auto"/>
            <w:left w:val="none" w:sz="0" w:space="0" w:color="auto"/>
            <w:bottom w:val="none" w:sz="0" w:space="0" w:color="auto"/>
            <w:right w:val="none" w:sz="0" w:space="0" w:color="auto"/>
          </w:divBdr>
        </w:div>
        <w:div w:id="1911229036">
          <w:marLeft w:val="0"/>
          <w:marRight w:val="0"/>
          <w:marTop w:val="0"/>
          <w:marBottom w:val="0"/>
          <w:divBdr>
            <w:top w:val="none" w:sz="0" w:space="0" w:color="auto"/>
            <w:left w:val="none" w:sz="0" w:space="0" w:color="auto"/>
            <w:bottom w:val="none" w:sz="0" w:space="0" w:color="auto"/>
            <w:right w:val="none" w:sz="0" w:space="0" w:color="auto"/>
          </w:divBdr>
        </w:div>
        <w:div w:id="1451171787">
          <w:marLeft w:val="0"/>
          <w:marRight w:val="0"/>
          <w:marTop w:val="0"/>
          <w:marBottom w:val="0"/>
          <w:divBdr>
            <w:top w:val="none" w:sz="0" w:space="0" w:color="auto"/>
            <w:left w:val="none" w:sz="0" w:space="0" w:color="auto"/>
            <w:bottom w:val="none" w:sz="0" w:space="0" w:color="auto"/>
            <w:right w:val="none" w:sz="0" w:space="0" w:color="auto"/>
          </w:divBdr>
        </w:div>
        <w:div w:id="850723217">
          <w:marLeft w:val="0"/>
          <w:marRight w:val="0"/>
          <w:marTop w:val="0"/>
          <w:marBottom w:val="0"/>
          <w:divBdr>
            <w:top w:val="none" w:sz="0" w:space="0" w:color="auto"/>
            <w:left w:val="none" w:sz="0" w:space="0" w:color="auto"/>
            <w:bottom w:val="none" w:sz="0" w:space="0" w:color="auto"/>
            <w:right w:val="none" w:sz="0" w:space="0" w:color="auto"/>
          </w:divBdr>
        </w:div>
        <w:div w:id="482428238">
          <w:marLeft w:val="0"/>
          <w:marRight w:val="0"/>
          <w:marTop w:val="0"/>
          <w:marBottom w:val="0"/>
          <w:divBdr>
            <w:top w:val="none" w:sz="0" w:space="0" w:color="auto"/>
            <w:left w:val="none" w:sz="0" w:space="0" w:color="auto"/>
            <w:bottom w:val="none" w:sz="0" w:space="0" w:color="auto"/>
            <w:right w:val="none" w:sz="0" w:space="0" w:color="auto"/>
          </w:divBdr>
        </w:div>
        <w:div w:id="1563057745">
          <w:marLeft w:val="0"/>
          <w:marRight w:val="0"/>
          <w:marTop w:val="0"/>
          <w:marBottom w:val="0"/>
          <w:divBdr>
            <w:top w:val="none" w:sz="0" w:space="0" w:color="auto"/>
            <w:left w:val="none" w:sz="0" w:space="0" w:color="auto"/>
            <w:bottom w:val="none" w:sz="0" w:space="0" w:color="auto"/>
            <w:right w:val="none" w:sz="0" w:space="0" w:color="auto"/>
          </w:divBdr>
        </w:div>
        <w:div w:id="2063747693">
          <w:marLeft w:val="0"/>
          <w:marRight w:val="0"/>
          <w:marTop w:val="0"/>
          <w:marBottom w:val="0"/>
          <w:divBdr>
            <w:top w:val="none" w:sz="0" w:space="0" w:color="auto"/>
            <w:left w:val="none" w:sz="0" w:space="0" w:color="auto"/>
            <w:bottom w:val="none" w:sz="0" w:space="0" w:color="auto"/>
            <w:right w:val="none" w:sz="0" w:space="0" w:color="auto"/>
          </w:divBdr>
        </w:div>
        <w:div w:id="1546256474">
          <w:marLeft w:val="0"/>
          <w:marRight w:val="0"/>
          <w:marTop w:val="0"/>
          <w:marBottom w:val="0"/>
          <w:divBdr>
            <w:top w:val="none" w:sz="0" w:space="0" w:color="auto"/>
            <w:left w:val="none" w:sz="0" w:space="0" w:color="auto"/>
            <w:bottom w:val="none" w:sz="0" w:space="0" w:color="auto"/>
            <w:right w:val="none" w:sz="0" w:space="0" w:color="auto"/>
          </w:divBdr>
        </w:div>
        <w:div w:id="1913081867">
          <w:marLeft w:val="0"/>
          <w:marRight w:val="0"/>
          <w:marTop w:val="0"/>
          <w:marBottom w:val="0"/>
          <w:divBdr>
            <w:top w:val="none" w:sz="0" w:space="0" w:color="auto"/>
            <w:left w:val="none" w:sz="0" w:space="0" w:color="auto"/>
            <w:bottom w:val="none" w:sz="0" w:space="0" w:color="auto"/>
            <w:right w:val="none" w:sz="0" w:space="0" w:color="auto"/>
          </w:divBdr>
        </w:div>
        <w:div w:id="1207835473">
          <w:marLeft w:val="0"/>
          <w:marRight w:val="0"/>
          <w:marTop w:val="0"/>
          <w:marBottom w:val="0"/>
          <w:divBdr>
            <w:top w:val="none" w:sz="0" w:space="0" w:color="auto"/>
            <w:left w:val="none" w:sz="0" w:space="0" w:color="auto"/>
            <w:bottom w:val="none" w:sz="0" w:space="0" w:color="auto"/>
            <w:right w:val="none" w:sz="0" w:space="0" w:color="auto"/>
          </w:divBdr>
        </w:div>
        <w:div w:id="1926693041">
          <w:marLeft w:val="0"/>
          <w:marRight w:val="0"/>
          <w:marTop w:val="0"/>
          <w:marBottom w:val="0"/>
          <w:divBdr>
            <w:top w:val="none" w:sz="0" w:space="0" w:color="auto"/>
            <w:left w:val="none" w:sz="0" w:space="0" w:color="auto"/>
            <w:bottom w:val="none" w:sz="0" w:space="0" w:color="auto"/>
            <w:right w:val="none" w:sz="0" w:space="0" w:color="auto"/>
          </w:divBdr>
        </w:div>
        <w:div w:id="164712752">
          <w:marLeft w:val="0"/>
          <w:marRight w:val="0"/>
          <w:marTop w:val="0"/>
          <w:marBottom w:val="0"/>
          <w:divBdr>
            <w:top w:val="none" w:sz="0" w:space="0" w:color="auto"/>
            <w:left w:val="none" w:sz="0" w:space="0" w:color="auto"/>
            <w:bottom w:val="none" w:sz="0" w:space="0" w:color="auto"/>
            <w:right w:val="none" w:sz="0" w:space="0" w:color="auto"/>
          </w:divBdr>
        </w:div>
        <w:div w:id="1177113777">
          <w:marLeft w:val="0"/>
          <w:marRight w:val="0"/>
          <w:marTop w:val="0"/>
          <w:marBottom w:val="0"/>
          <w:divBdr>
            <w:top w:val="none" w:sz="0" w:space="0" w:color="auto"/>
            <w:left w:val="none" w:sz="0" w:space="0" w:color="auto"/>
            <w:bottom w:val="none" w:sz="0" w:space="0" w:color="auto"/>
            <w:right w:val="none" w:sz="0" w:space="0" w:color="auto"/>
          </w:divBdr>
        </w:div>
        <w:div w:id="500197805">
          <w:marLeft w:val="0"/>
          <w:marRight w:val="0"/>
          <w:marTop w:val="0"/>
          <w:marBottom w:val="0"/>
          <w:divBdr>
            <w:top w:val="none" w:sz="0" w:space="0" w:color="auto"/>
            <w:left w:val="none" w:sz="0" w:space="0" w:color="auto"/>
            <w:bottom w:val="none" w:sz="0" w:space="0" w:color="auto"/>
            <w:right w:val="none" w:sz="0" w:space="0" w:color="auto"/>
          </w:divBdr>
        </w:div>
        <w:div w:id="1146555431">
          <w:marLeft w:val="0"/>
          <w:marRight w:val="0"/>
          <w:marTop w:val="0"/>
          <w:marBottom w:val="0"/>
          <w:divBdr>
            <w:top w:val="none" w:sz="0" w:space="0" w:color="auto"/>
            <w:left w:val="none" w:sz="0" w:space="0" w:color="auto"/>
            <w:bottom w:val="none" w:sz="0" w:space="0" w:color="auto"/>
            <w:right w:val="none" w:sz="0" w:space="0" w:color="auto"/>
          </w:divBdr>
        </w:div>
        <w:div w:id="909509421">
          <w:marLeft w:val="0"/>
          <w:marRight w:val="0"/>
          <w:marTop w:val="0"/>
          <w:marBottom w:val="0"/>
          <w:divBdr>
            <w:top w:val="none" w:sz="0" w:space="0" w:color="auto"/>
            <w:left w:val="none" w:sz="0" w:space="0" w:color="auto"/>
            <w:bottom w:val="none" w:sz="0" w:space="0" w:color="auto"/>
            <w:right w:val="none" w:sz="0" w:space="0" w:color="auto"/>
          </w:divBdr>
        </w:div>
        <w:div w:id="1668512741">
          <w:marLeft w:val="0"/>
          <w:marRight w:val="0"/>
          <w:marTop w:val="0"/>
          <w:marBottom w:val="0"/>
          <w:divBdr>
            <w:top w:val="none" w:sz="0" w:space="0" w:color="auto"/>
            <w:left w:val="none" w:sz="0" w:space="0" w:color="auto"/>
            <w:bottom w:val="none" w:sz="0" w:space="0" w:color="auto"/>
            <w:right w:val="none" w:sz="0" w:space="0" w:color="auto"/>
          </w:divBdr>
        </w:div>
        <w:div w:id="756099820">
          <w:marLeft w:val="0"/>
          <w:marRight w:val="0"/>
          <w:marTop w:val="0"/>
          <w:marBottom w:val="0"/>
          <w:divBdr>
            <w:top w:val="none" w:sz="0" w:space="0" w:color="auto"/>
            <w:left w:val="none" w:sz="0" w:space="0" w:color="auto"/>
            <w:bottom w:val="none" w:sz="0" w:space="0" w:color="auto"/>
            <w:right w:val="none" w:sz="0" w:space="0" w:color="auto"/>
          </w:divBdr>
        </w:div>
        <w:div w:id="729422894">
          <w:marLeft w:val="0"/>
          <w:marRight w:val="0"/>
          <w:marTop w:val="0"/>
          <w:marBottom w:val="0"/>
          <w:divBdr>
            <w:top w:val="none" w:sz="0" w:space="0" w:color="auto"/>
            <w:left w:val="none" w:sz="0" w:space="0" w:color="auto"/>
            <w:bottom w:val="none" w:sz="0" w:space="0" w:color="auto"/>
            <w:right w:val="none" w:sz="0" w:space="0" w:color="auto"/>
          </w:divBdr>
        </w:div>
        <w:div w:id="574822377">
          <w:marLeft w:val="0"/>
          <w:marRight w:val="0"/>
          <w:marTop w:val="0"/>
          <w:marBottom w:val="0"/>
          <w:divBdr>
            <w:top w:val="none" w:sz="0" w:space="0" w:color="auto"/>
            <w:left w:val="none" w:sz="0" w:space="0" w:color="auto"/>
            <w:bottom w:val="none" w:sz="0" w:space="0" w:color="auto"/>
            <w:right w:val="none" w:sz="0" w:space="0" w:color="auto"/>
          </w:divBdr>
        </w:div>
        <w:div w:id="1625622267">
          <w:marLeft w:val="0"/>
          <w:marRight w:val="0"/>
          <w:marTop w:val="0"/>
          <w:marBottom w:val="0"/>
          <w:divBdr>
            <w:top w:val="none" w:sz="0" w:space="0" w:color="auto"/>
            <w:left w:val="none" w:sz="0" w:space="0" w:color="auto"/>
            <w:bottom w:val="none" w:sz="0" w:space="0" w:color="auto"/>
            <w:right w:val="none" w:sz="0" w:space="0" w:color="auto"/>
          </w:divBdr>
        </w:div>
        <w:div w:id="1438063348">
          <w:marLeft w:val="0"/>
          <w:marRight w:val="0"/>
          <w:marTop w:val="0"/>
          <w:marBottom w:val="0"/>
          <w:divBdr>
            <w:top w:val="none" w:sz="0" w:space="0" w:color="auto"/>
            <w:left w:val="none" w:sz="0" w:space="0" w:color="auto"/>
            <w:bottom w:val="none" w:sz="0" w:space="0" w:color="auto"/>
            <w:right w:val="none" w:sz="0" w:space="0" w:color="auto"/>
          </w:divBdr>
        </w:div>
        <w:div w:id="468211313">
          <w:marLeft w:val="0"/>
          <w:marRight w:val="0"/>
          <w:marTop w:val="0"/>
          <w:marBottom w:val="0"/>
          <w:divBdr>
            <w:top w:val="none" w:sz="0" w:space="0" w:color="auto"/>
            <w:left w:val="none" w:sz="0" w:space="0" w:color="auto"/>
            <w:bottom w:val="none" w:sz="0" w:space="0" w:color="auto"/>
            <w:right w:val="none" w:sz="0" w:space="0" w:color="auto"/>
          </w:divBdr>
        </w:div>
        <w:div w:id="1025057607">
          <w:marLeft w:val="0"/>
          <w:marRight w:val="0"/>
          <w:marTop w:val="0"/>
          <w:marBottom w:val="0"/>
          <w:divBdr>
            <w:top w:val="none" w:sz="0" w:space="0" w:color="auto"/>
            <w:left w:val="none" w:sz="0" w:space="0" w:color="auto"/>
            <w:bottom w:val="none" w:sz="0" w:space="0" w:color="auto"/>
            <w:right w:val="none" w:sz="0" w:space="0" w:color="auto"/>
          </w:divBdr>
        </w:div>
        <w:div w:id="2086754973">
          <w:marLeft w:val="0"/>
          <w:marRight w:val="0"/>
          <w:marTop w:val="0"/>
          <w:marBottom w:val="0"/>
          <w:divBdr>
            <w:top w:val="none" w:sz="0" w:space="0" w:color="auto"/>
            <w:left w:val="none" w:sz="0" w:space="0" w:color="auto"/>
            <w:bottom w:val="none" w:sz="0" w:space="0" w:color="auto"/>
            <w:right w:val="none" w:sz="0" w:space="0" w:color="auto"/>
          </w:divBdr>
        </w:div>
        <w:div w:id="1245644478">
          <w:marLeft w:val="0"/>
          <w:marRight w:val="0"/>
          <w:marTop w:val="0"/>
          <w:marBottom w:val="0"/>
          <w:divBdr>
            <w:top w:val="none" w:sz="0" w:space="0" w:color="auto"/>
            <w:left w:val="none" w:sz="0" w:space="0" w:color="auto"/>
            <w:bottom w:val="none" w:sz="0" w:space="0" w:color="auto"/>
            <w:right w:val="none" w:sz="0" w:space="0" w:color="auto"/>
          </w:divBdr>
        </w:div>
        <w:div w:id="805439226">
          <w:marLeft w:val="0"/>
          <w:marRight w:val="0"/>
          <w:marTop w:val="0"/>
          <w:marBottom w:val="0"/>
          <w:divBdr>
            <w:top w:val="none" w:sz="0" w:space="0" w:color="auto"/>
            <w:left w:val="none" w:sz="0" w:space="0" w:color="auto"/>
            <w:bottom w:val="none" w:sz="0" w:space="0" w:color="auto"/>
            <w:right w:val="none" w:sz="0" w:space="0" w:color="auto"/>
          </w:divBdr>
        </w:div>
        <w:div w:id="568149290">
          <w:marLeft w:val="0"/>
          <w:marRight w:val="0"/>
          <w:marTop w:val="0"/>
          <w:marBottom w:val="0"/>
          <w:divBdr>
            <w:top w:val="none" w:sz="0" w:space="0" w:color="auto"/>
            <w:left w:val="none" w:sz="0" w:space="0" w:color="auto"/>
            <w:bottom w:val="none" w:sz="0" w:space="0" w:color="auto"/>
            <w:right w:val="none" w:sz="0" w:space="0" w:color="auto"/>
          </w:divBdr>
        </w:div>
        <w:div w:id="1867598293">
          <w:marLeft w:val="0"/>
          <w:marRight w:val="0"/>
          <w:marTop w:val="0"/>
          <w:marBottom w:val="0"/>
          <w:divBdr>
            <w:top w:val="none" w:sz="0" w:space="0" w:color="auto"/>
            <w:left w:val="none" w:sz="0" w:space="0" w:color="auto"/>
            <w:bottom w:val="none" w:sz="0" w:space="0" w:color="auto"/>
            <w:right w:val="none" w:sz="0" w:space="0" w:color="auto"/>
          </w:divBdr>
        </w:div>
        <w:div w:id="168451564">
          <w:marLeft w:val="0"/>
          <w:marRight w:val="0"/>
          <w:marTop w:val="0"/>
          <w:marBottom w:val="0"/>
          <w:divBdr>
            <w:top w:val="none" w:sz="0" w:space="0" w:color="auto"/>
            <w:left w:val="none" w:sz="0" w:space="0" w:color="auto"/>
            <w:bottom w:val="none" w:sz="0" w:space="0" w:color="auto"/>
            <w:right w:val="none" w:sz="0" w:space="0" w:color="auto"/>
          </w:divBdr>
        </w:div>
        <w:div w:id="1471627154">
          <w:marLeft w:val="0"/>
          <w:marRight w:val="0"/>
          <w:marTop w:val="0"/>
          <w:marBottom w:val="0"/>
          <w:divBdr>
            <w:top w:val="none" w:sz="0" w:space="0" w:color="auto"/>
            <w:left w:val="none" w:sz="0" w:space="0" w:color="auto"/>
            <w:bottom w:val="none" w:sz="0" w:space="0" w:color="auto"/>
            <w:right w:val="none" w:sz="0" w:space="0" w:color="auto"/>
          </w:divBdr>
        </w:div>
        <w:div w:id="1800340999">
          <w:marLeft w:val="0"/>
          <w:marRight w:val="0"/>
          <w:marTop w:val="0"/>
          <w:marBottom w:val="0"/>
          <w:divBdr>
            <w:top w:val="none" w:sz="0" w:space="0" w:color="auto"/>
            <w:left w:val="none" w:sz="0" w:space="0" w:color="auto"/>
            <w:bottom w:val="none" w:sz="0" w:space="0" w:color="auto"/>
            <w:right w:val="none" w:sz="0" w:space="0" w:color="auto"/>
          </w:divBdr>
        </w:div>
        <w:div w:id="1308899752">
          <w:marLeft w:val="0"/>
          <w:marRight w:val="0"/>
          <w:marTop w:val="0"/>
          <w:marBottom w:val="0"/>
          <w:divBdr>
            <w:top w:val="none" w:sz="0" w:space="0" w:color="auto"/>
            <w:left w:val="none" w:sz="0" w:space="0" w:color="auto"/>
            <w:bottom w:val="none" w:sz="0" w:space="0" w:color="auto"/>
            <w:right w:val="none" w:sz="0" w:space="0" w:color="auto"/>
          </w:divBdr>
        </w:div>
        <w:div w:id="2048488536">
          <w:marLeft w:val="0"/>
          <w:marRight w:val="0"/>
          <w:marTop w:val="0"/>
          <w:marBottom w:val="0"/>
          <w:divBdr>
            <w:top w:val="none" w:sz="0" w:space="0" w:color="auto"/>
            <w:left w:val="none" w:sz="0" w:space="0" w:color="auto"/>
            <w:bottom w:val="none" w:sz="0" w:space="0" w:color="auto"/>
            <w:right w:val="none" w:sz="0" w:space="0" w:color="auto"/>
          </w:divBdr>
        </w:div>
        <w:div w:id="213471964">
          <w:marLeft w:val="0"/>
          <w:marRight w:val="0"/>
          <w:marTop w:val="0"/>
          <w:marBottom w:val="0"/>
          <w:divBdr>
            <w:top w:val="none" w:sz="0" w:space="0" w:color="auto"/>
            <w:left w:val="none" w:sz="0" w:space="0" w:color="auto"/>
            <w:bottom w:val="none" w:sz="0" w:space="0" w:color="auto"/>
            <w:right w:val="none" w:sz="0" w:space="0" w:color="auto"/>
          </w:divBdr>
        </w:div>
        <w:div w:id="1616406576">
          <w:marLeft w:val="0"/>
          <w:marRight w:val="0"/>
          <w:marTop w:val="0"/>
          <w:marBottom w:val="0"/>
          <w:divBdr>
            <w:top w:val="none" w:sz="0" w:space="0" w:color="auto"/>
            <w:left w:val="none" w:sz="0" w:space="0" w:color="auto"/>
            <w:bottom w:val="none" w:sz="0" w:space="0" w:color="auto"/>
            <w:right w:val="none" w:sz="0" w:space="0" w:color="auto"/>
          </w:divBdr>
        </w:div>
        <w:div w:id="312762946">
          <w:marLeft w:val="0"/>
          <w:marRight w:val="0"/>
          <w:marTop w:val="0"/>
          <w:marBottom w:val="0"/>
          <w:divBdr>
            <w:top w:val="none" w:sz="0" w:space="0" w:color="auto"/>
            <w:left w:val="none" w:sz="0" w:space="0" w:color="auto"/>
            <w:bottom w:val="none" w:sz="0" w:space="0" w:color="auto"/>
            <w:right w:val="none" w:sz="0" w:space="0" w:color="auto"/>
          </w:divBdr>
        </w:div>
        <w:div w:id="748507119">
          <w:marLeft w:val="0"/>
          <w:marRight w:val="0"/>
          <w:marTop w:val="0"/>
          <w:marBottom w:val="0"/>
          <w:divBdr>
            <w:top w:val="none" w:sz="0" w:space="0" w:color="auto"/>
            <w:left w:val="none" w:sz="0" w:space="0" w:color="auto"/>
            <w:bottom w:val="none" w:sz="0" w:space="0" w:color="auto"/>
            <w:right w:val="none" w:sz="0" w:space="0" w:color="auto"/>
          </w:divBdr>
        </w:div>
        <w:div w:id="746225409">
          <w:marLeft w:val="0"/>
          <w:marRight w:val="0"/>
          <w:marTop w:val="0"/>
          <w:marBottom w:val="0"/>
          <w:divBdr>
            <w:top w:val="none" w:sz="0" w:space="0" w:color="auto"/>
            <w:left w:val="none" w:sz="0" w:space="0" w:color="auto"/>
            <w:bottom w:val="none" w:sz="0" w:space="0" w:color="auto"/>
            <w:right w:val="none" w:sz="0" w:space="0" w:color="auto"/>
          </w:divBdr>
        </w:div>
        <w:div w:id="1780488311">
          <w:marLeft w:val="0"/>
          <w:marRight w:val="0"/>
          <w:marTop w:val="0"/>
          <w:marBottom w:val="0"/>
          <w:divBdr>
            <w:top w:val="none" w:sz="0" w:space="0" w:color="auto"/>
            <w:left w:val="none" w:sz="0" w:space="0" w:color="auto"/>
            <w:bottom w:val="none" w:sz="0" w:space="0" w:color="auto"/>
            <w:right w:val="none" w:sz="0" w:space="0" w:color="auto"/>
          </w:divBdr>
        </w:div>
        <w:div w:id="471947517">
          <w:marLeft w:val="0"/>
          <w:marRight w:val="0"/>
          <w:marTop w:val="0"/>
          <w:marBottom w:val="0"/>
          <w:divBdr>
            <w:top w:val="none" w:sz="0" w:space="0" w:color="auto"/>
            <w:left w:val="none" w:sz="0" w:space="0" w:color="auto"/>
            <w:bottom w:val="none" w:sz="0" w:space="0" w:color="auto"/>
            <w:right w:val="none" w:sz="0" w:space="0" w:color="auto"/>
          </w:divBdr>
        </w:div>
        <w:div w:id="2013988318">
          <w:marLeft w:val="0"/>
          <w:marRight w:val="0"/>
          <w:marTop w:val="0"/>
          <w:marBottom w:val="0"/>
          <w:divBdr>
            <w:top w:val="none" w:sz="0" w:space="0" w:color="auto"/>
            <w:left w:val="none" w:sz="0" w:space="0" w:color="auto"/>
            <w:bottom w:val="none" w:sz="0" w:space="0" w:color="auto"/>
            <w:right w:val="none" w:sz="0" w:space="0" w:color="auto"/>
          </w:divBdr>
        </w:div>
        <w:div w:id="494952998">
          <w:marLeft w:val="0"/>
          <w:marRight w:val="0"/>
          <w:marTop w:val="0"/>
          <w:marBottom w:val="0"/>
          <w:divBdr>
            <w:top w:val="none" w:sz="0" w:space="0" w:color="auto"/>
            <w:left w:val="none" w:sz="0" w:space="0" w:color="auto"/>
            <w:bottom w:val="none" w:sz="0" w:space="0" w:color="auto"/>
            <w:right w:val="none" w:sz="0" w:space="0" w:color="auto"/>
          </w:divBdr>
        </w:div>
        <w:div w:id="14504698">
          <w:marLeft w:val="0"/>
          <w:marRight w:val="0"/>
          <w:marTop w:val="0"/>
          <w:marBottom w:val="0"/>
          <w:divBdr>
            <w:top w:val="none" w:sz="0" w:space="0" w:color="auto"/>
            <w:left w:val="none" w:sz="0" w:space="0" w:color="auto"/>
            <w:bottom w:val="none" w:sz="0" w:space="0" w:color="auto"/>
            <w:right w:val="none" w:sz="0" w:space="0" w:color="auto"/>
          </w:divBdr>
        </w:div>
        <w:div w:id="1562206949">
          <w:marLeft w:val="0"/>
          <w:marRight w:val="0"/>
          <w:marTop w:val="0"/>
          <w:marBottom w:val="0"/>
          <w:divBdr>
            <w:top w:val="none" w:sz="0" w:space="0" w:color="auto"/>
            <w:left w:val="none" w:sz="0" w:space="0" w:color="auto"/>
            <w:bottom w:val="none" w:sz="0" w:space="0" w:color="auto"/>
            <w:right w:val="none" w:sz="0" w:space="0" w:color="auto"/>
          </w:divBdr>
        </w:div>
        <w:div w:id="148249328">
          <w:marLeft w:val="0"/>
          <w:marRight w:val="0"/>
          <w:marTop w:val="0"/>
          <w:marBottom w:val="0"/>
          <w:divBdr>
            <w:top w:val="none" w:sz="0" w:space="0" w:color="auto"/>
            <w:left w:val="none" w:sz="0" w:space="0" w:color="auto"/>
            <w:bottom w:val="none" w:sz="0" w:space="0" w:color="auto"/>
            <w:right w:val="none" w:sz="0" w:space="0" w:color="auto"/>
          </w:divBdr>
        </w:div>
        <w:div w:id="1832788316">
          <w:marLeft w:val="0"/>
          <w:marRight w:val="0"/>
          <w:marTop w:val="0"/>
          <w:marBottom w:val="0"/>
          <w:divBdr>
            <w:top w:val="none" w:sz="0" w:space="0" w:color="auto"/>
            <w:left w:val="none" w:sz="0" w:space="0" w:color="auto"/>
            <w:bottom w:val="none" w:sz="0" w:space="0" w:color="auto"/>
            <w:right w:val="none" w:sz="0" w:space="0" w:color="auto"/>
          </w:divBdr>
        </w:div>
        <w:div w:id="1543438876">
          <w:marLeft w:val="0"/>
          <w:marRight w:val="0"/>
          <w:marTop w:val="0"/>
          <w:marBottom w:val="0"/>
          <w:divBdr>
            <w:top w:val="none" w:sz="0" w:space="0" w:color="auto"/>
            <w:left w:val="none" w:sz="0" w:space="0" w:color="auto"/>
            <w:bottom w:val="none" w:sz="0" w:space="0" w:color="auto"/>
            <w:right w:val="none" w:sz="0" w:space="0" w:color="auto"/>
          </w:divBdr>
        </w:div>
        <w:div w:id="1917663183">
          <w:marLeft w:val="0"/>
          <w:marRight w:val="0"/>
          <w:marTop w:val="0"/>
          <w:marBottom w:val="0"/>
          <w:divBdr>
            <w:top w:val="none" w:sz="0" w:space="0" w:color="auto"/>
            <w:left w:val="none" w:sz="0" w:space="0" w:color="auto"/>
            <w:bottom w:val="none" w:sz="0" w:space="0" w:color="auto"/>
            <w:right w:val="none" w:sz="0" w:space="0" w:color="auto"/>
          </w:divBdr>
        </w:div>
        <w:div w:id="108935672">
          <w:marLeft w:val="0"/>
          <w:marRight w:val="0"/>
          <w:marTop w:val="0"/>
          <w:marBottom w:val="0"/>
          <w:divBdr>
            <w:top w:val="none" w:sz="0" w:space="0" w:color="auto"/>
            <w:left w:val="none" w:sz="0" w:space="0" w:color="auto"/>
            <w:bottom w:val="none" w:sz="0" w:space="0" w:color="auto"/>
            <w:right w:val="none" w:sz="0" w:space="0" w:color="auto"/>
          </w:divBdr>
        </w:div>
        <w:div w:id="140270687">
          <w:marLeft w:val="0"/>
          <w:marRight w:val="0"/>
          <w:marTop w:val="0"/>
          <w:marBottom w:val="0"/>
          <w:divBdr>
            <w:top w:val="none" w:sz="0" w:space="0" w:color="auto"/>
            <w:left w:val="none" w:sz="0" w:space="0" w:color="auto"/>
            <w:bottom w:val="none" w:sz="0" w:space="0" w:color="auto"/>
            <w:right w:val="none" w:sz="0" w:space="0" w:color="auto"/>
          </w:divBdr>
        </w:div>
        <w:div w:id="1294752808">
          <w:marLeft w:val="0"/>
          <w:marRight w:val="0"/>
          <w:marTop w:val="0"/>
          <w:marBottom w:val="0"/>
          <w:divBdr>
            <w:top w:val="none" w:sz="0" w:space="0" w:color="auto"/>
            <w:left w:val="none" w:sz="0" w:space="0" w:color="auto"/>
            <w:bottom w:val="none" w:sz="0" w:space="0" w:color="auto"/>
            <w:right w:val="none" w:sz="0" w:space="0" w:color="auto"/>
          </w:divBdr>
        </w:div>
        <w:div w:id="414982033">
          <w:marLeft w:val="0"/>
          <w:marRight w:val="0"/>
          <w:marTop w:val="0"/>
          <w:marBottom w:val="0"/>
          <w:divBdr>
            <w:top w:val="none" w:sz="0" w:space="0" w:color="auto"/>
            <w:left w:val="none" w:sz="0" w:space="0" w:color="auto"/>
            <w:bottom w:val="none" w:sz="0" w:space="0" w:color="auto"/>
            <w:right w:val="none" w:sz="0" w:space="0" w:color="auto"/>
          </w:divBdr>
        </w:div>
        <w:div w:id="1930977">
          <w:marLeft w:val="0"/>
          <w:marRight w:val="0"/>
          <w:marTop w:val="0"/>
          <w:marBottom w:val="0"/>
          <w:divBdr>
            <w:top w:val="none" w:sz="0" w:space="0" w:color="auto"/>
            <w:left w:val="none" w:sz="0" w:space="0" w:color="auto"/>
            <w:bottom w:val="none" w:sz="0" w:space="0" w:color="auto"/>
            <w:right w:val="none" w:sz="0" w:space="0" w:color="auto"/>
          </w:divBdr>
        </w:div>
        <w:div w:id="1115291897">
          <w:marLeft w:val="0"/>
          <w:marRight w:val="0"/>
          <w:marTop w:val="0"/>
          <w:marBottom w:val="0"/>
          <w:divBdr>
            <w:top w:val="none" w:sz="0" w:space="0" w:color="auto"/>
            <w:left w:val="none" w:sz="0" w:space="0" w:color="auto"/>
            <w:bottom w:val="none" w:sz="0" w:space="0" w:color="auto"/>
            <w:right w:val="none" w:sz="0" w:space="0" w:color="auto"/>
          </w:divBdr>
        </w:div>
        <w:div w:id="1167094809">
          <w:marLeft w:val="0"/>
          <w:marRight w:val="0"/>
          <w:marTop w:val="0"/>
          <w:marBottom w:val="0"/>
          <w:divBdr>
            <w:top w:val="none" w:sz="0" w:space="0" w:color="auto"/>
            <w:left w:val="none" w:sz="0" w:space="0" w:color="auto"/>
            <w:bottom w:val="none" w:sz="0" w:space="0" w:color="auto"/>
            <w:right w:val="none" w:sz="0" w:space="0" w:color="auto"/>
          </w:divBdr>
        </w:div>
        <w:div w:id="2102481445">
          <w:marLeft w:val="0"/>
          <w:marRight w:val="0"/>
          <w:marTop w:val="0"/>
          <w:marBottom w:val="0"/>
          <w:divBdr>
            <w:top w:val="none" w:sz="0" w:space="0" w:color="auto"/>
            <w:left w:val="none" w:sz="0" w:space="0" w:color="auto"/>
            <w:bottom w:val="none" w:sz="0" w:space="0" w:color="auto"/>
            <w:right w:val="none" w:sz="0" w:space="0" w:color="auto"/>
          </w:divBdr>
        </w:div>
        <w:div w:id="14308074">
          <w:marLeft w:val="0"/>
          <w:marRight w:val="0"/>
          <w:marTop w:val="0"/>
          <w:marBottom w:val="0"/>
          <w:divBdr>
            <w:top w:val="none" w:sz="0" w:space="0" w:color="auto"/>
            <w:left w:val="none" w:sz="0" w:space="0" w:color="auto"/>
            <w:bottom w:val="none" w:sz="0" w:space="0" w:color="auto"/>
            <w:right w:val="none" w:sz="0" w:space="0" w:color="auto"/>
          </w:divBdr>
        </w:div>
        <w:div w:id="202911778">
          <w:marLeft w:val="0"/>
          <w:marRight w:val="0"/>
          <w:marTop w:val="0"/>
          <w:marBottom w:val="0"/>
          <w:divBdr>
            <w:top w:val="none" w:sz="0" w:space="0" w:color="auto"/>
            <w:left w:val="none" w:sz="0" w:space="0" w:color="auto"/>
            <w:bottom w:val="none" w:sz="0" w:space="0" w:color="auto"/>
            <w:right w:val="none" w:sz="0" w:space="0" w:color="auto"/>
          </w:divBdr>
        </w:div>
        <w:div w:id="344286907">
          <w:marLeft w:val="0"/>
          <w:marRight w:val="0"/>
          <w:marTop w:val="0"/>
          <w:marBottom w:val="0"/>
          <w:divBdr>
            <w:top w:val="none" w:sz="0" w:space="0" w:color="auto"/>
            <w:left w:val="none" w:sz="0" w:space="0" w:color="auto"/>
            <w:bottom w:val="none" w:sz="0" w:space="0" w:color="auto"/>
            <w:right w:val="none" w:sz="0" w:space="0" w:color="auto"/>
          </w:divBdr>
        </w:div>
        <w:div w:id="1038509067">
          <w:marLeft w:val="0"/>
          <w:marRight w:val="0"/>
          <w:marTop w:val="0"/>
          <w:marBottom w:val="0"/>
          <w:divBdr>
            <w:top w:val="none" w:sz="0" w:space="0" w:color="auto"/>
            <w:left w:val="none" w:sz="0" w:space="0" w:color="auto"/>
            <w:bottom w:val="none" w:sz="0" w:space="0" w:color="auto"/>
            <w:right w:val="none" w:sz="0" w:space="0" w:color="auto"/>
          </w:divBdr>
        </w:div>
        <w:div w:id="718865301">
          <w:marLeft w:val="0"/>
          <w:marRight w:val="0"/>
          <w:marTop w:val="0"/>
          <w:marBottom w:val="0"/>
          <w:divBdr>
            <w:top w:val="none" w:sz="0" w:space="0" w:color="auto"/>
            <w:left w:val="none" w:sz="0" w:space="0" w:color="auto"/>
            <w:bottom w:val="none" w:sz="0" w:space="0" w:color="auto"/>
            <w:right w:val="none" w:sz="0" w:space="0" w:color="auto"/>
          </w:divBdr>
        </w:div>
        <w:div w:id="2052802817">
          <w:marLeft w:val="0"/>
          <w:marRight w:val="0"/>
          <w:marTop w:val="0"/>
          <w:marBottom w:val="0"/>
          <w:divBdr>
            <w:top w:val="none" w:sz="0" w:space="0" w:color="auto"/>
            <w:left w:val="none" w:sz="0" w:space="0" w:color="auto"/>
            <w:bottom w:val="none" w:sz="0" w:space="0" w:color="auto"/>
            <w:right w:val="none" w:sz="0" w:space="0" w:color="auto"/>
          </w:divBdr>
        </w:div>
        <w:div w:id="1030689360">
          <w:marLeft w:val="0"/>
          <w:marRight w:val="0"/>
          <w:marTop w:val="0"/>
          <w:marBottom w:val="0"/>
          <w:divBdr>
            <w:top w:val="none" w:sz="0" w:space="0" w:color="auto"/>
            <w:left w:val="none" w:sz="0" w:space="0" w:color="auto"/>
            <w:bottom w:val="none" w:sz="0" w:space="0" w:color="auto"/>
            <w:right w:val="none" w:sz="0" w:space="0" w:color="auto"/>
          </w:divBdr>
        </w:div>
        <w:div w:id="217908514">
          <w:marLeft w:val="0"/>
          <w:marRight w:val="0"/>
          <w:marTop w:val="0"/>
          <w:marBottom w:val="0"/>
          <w:divBdr>
            <w:top w:val="none" w:sz="0" w:space="0" w:color="auto"/>
            <w:left w:val="none" w:sz="0" w:space="0" w:color="auto"/>
            <w:bottom w:val="none" w:sz="0" w:space="0" w:color="auto"/>
            <w:right w:val="none" w:sz="0" w:space="0" w:color="auto"/>
          </w:divBdr>
        </w:div>
        <w:div w:id="2007708498">
          <w:marLeft w:val="0"/>
          <w:marRight w:val="0"/>
          <w:marTop w:val="0"/>
          <w:marBottom w:val="0"/>
          <w:divBdr>
            <w:top w:val="none" w:sz="0" w:space="0" w:color="auto"/>
            <w:left w:val="none" w:sz="0" w:space="0" w:color="auto"/>
            <w:bottom w:val="none" w:sz="0" w:space="0" w:color="auto"/>
            <w:right w:val="none" w:sz="0" w:space="0" w:color="auto"/>
          </w:divBdr>
        </w:div>
        <w:div w:id="1716849787">
          <w:marLeft w:val="0"/>
          <w:marRight w:val="0"/>
          <w:marTop w:val="0"/>
          <w:marBottom w:val="0"/>
          <w:divBdr>
            <w:top w:val="none" w:sz="0" w:space="0" w:color="auto"/>
            <w:left w:val="none" w:sz="0" w:space="0" w:color="auto"/>
            <w:bottom w:val="none" w:sz="0" w:space="0" w:color="auto"/>
            <w:right w:val="none" w:sz="0" w:space="0" w:color="auto"/>
          </w:divBdr>
        </w:div>
        <w:div w:id="1405492209">
          <w:marLeft w:val="0"/>
          <w:marRight w:val="0"/>
          <w:marTop w:val="0"/>
          <w:marBottom w:val="0"/>
          <w:divBdr>
            <w:top w:val="none" w:sz="0" w:space="0" w:color="auto"/>
            <w:left w:val="none" w:sz="0" w:space="0" w:color="auto"/>
            <w:bottom w:val="none" w:sz="0" w:space="0" w:color="auto"/>
            <w:right w:val="none" w:sz="0" w:space="0" w:color="auto"/>
          </w:divBdr>
        </w:div>
        <w:div w:id="1902708657">
          <w:marLeft w:val="0"/>
          <w:marRight w:val="0"/>
          <w:marTop w:val="0"/>
          <w:marBottom w:val="0"/>
          <w:divBdr>
            <w:top w:val="none" w:sz="0" w:space="0" w:color="auto"/>
            <w:left w:val="none" w:sz="0" w:space="0" w:color="auto"/>
            <w:bottom w:val="none" w:sz="0" w:space="0" w:color="auto"/>
            <w:right w:val="none" w:sz="0" w:space="0" w:color="auto"/>
          </w:divBdr>
        </w:div>
        <w:div w:id="676691612">
          <w:marLeft w:val="0"/>
          <w:marRight w:val="0"/>
          <w:marTop w:val="0"/>
          <w:marBottom w:val="0"/>
          <w:divBdr>
            <w:top w:val="none" w:sz="0" w:space="0" w:color="auto"/>
            <w:left w:val="none" w:sz="0" w:space="0" w:color="auto"/>
            <w:bottom w:val="none" w:sz="0" w:space="0" w:color="auto"/>
            <w:right w:val="none" w:sz="0" w:space="0" w:color="auto"/>
          </w:divBdr>
        </w:div>
        <w:div w:id="1283919920">
          <w:marLeft w:val="0"/>
          <w:marRight w:val="0"/>
          <w:marTop w:val="0"/>
          <w:marBottom w:val="0"/>
          <w:divBdr>
            <w:top w:val="none" w:sz="0" w:space="0" w:color="auto"/>
            <w:left w:val="none" w:sz="0" w:space="0" w:color="auto"/>
            <w:bottom w:val="none" w:sz="0" w:space="0" w:color="auto"/>
            <w:right w:val="none" w:sz="0" w:space="0" w:color="auto"/>
          </w:divBdr>
        </w:div>
        <w:div w:id="417561657">
          <w:marLeft w:val="0"/>
          <w:marRight w:val="0"/>
          <w:marTop w:val="0"/>
          <w:marBottom w:val="0"/>
          <w:divBdr>
            <w:top w:val="none" w:sz="0" w:space="0" w:color="auto"/>
            <w:left w:val="none" w:sz="0" w:space="0" w:color="auto"/>
            <w:bottom w:val="none" w:sz="0" w:space="0" w:color="auto"/>
            <w:right w:val="none" w:sz="0" w:space="0" w:color="auto"/>
          </w:divBdr>
        </w:div>
        <w:div w:id="966086071">
          <w:marLeft w:val="0"/>
          <w:marRight w:val="0"/>
          <w:marTop w:val="0"/>
          <w:marBottom w:val="0"/>
          <w:divBdr>
            <w:top w:val="none" w:sz="0" w:space="0" w:color="auto"/>
            <w:left w:val="none" w:sz="0" w:space="0" w:color="auto"/>
            <w:bottom w:val="none" w:sz="0" w:space="0" w:color="auto"/>
            <w:right w:val="none" w:sz="0" w:space="0" w:color="auto"/>
          </w:divBdr>
        </w:div>
        <w:div w:id="138378705">
          <w:marLeft w:val="0"/>
          <w:marRight w:val="0"/>
          <w:marTop w:val="0"/>
          <w:marBottom w:val="0"/>
          <w:divBdr>
            <w:top w:val="none" w:sz="0" w:space="0" w:color="auto"/>
            <w:left w:val="none" w:sz="0" w:space="0" w:color="auto"/>
            <w:bottom w:val="none" w:sz="0" w:space="0" w:color="auto"/>
            <w:right w:val="none" w:sz="0" w:space="0" w:color="auto"/>
          </w:divBdr>
        </w:div>
        <w:div w:id="1733693741">
          <w:marLeft w:val="0"/>
          <w:marRight w:val="0"/>
          <w:marTop w:val="0"/>
          <w:marBottom w:val="0"/>
          <w:divBdr>
            <w:top w:val="none" w:sz="0" w:space="0" w:color="auto"/>
            <w:left w:val="none" w:sz="0" w:space="0" w:color="auto"/>
            <w:bottom w:val="none" w:sz="0" w:space="0" w:color="auto"/>
            <w:right w:val="none" w:sz="0" w:space="0" w:color="auto"/>
          </w:divBdr>
        </w:div>
        <w:div w:id="1849560310">
          <w:marLeft w:val="0"/>
          <w:marRight w:val="0"/>
          <w:marTop w:val="0"/>
          <w:marBottom w:val="0"/>
          <w:divBdr>
            <w:top w:val="none" w:sz="0" w:space="0" w:color="auto"/>
            <w:left w:val="none" w:sz="0" w:space="0" w:color="auto"/>
            <w:bottom w:val="none" w:sz="0" w:space="0" w:color="auto"/>
            <w:right w:val="none" w:sz="0" w:space="0" w:color="auto"/>
          </w:divBdr>
        </w:div>
        <w:div w:id="1140153509">
          <w:marLeft w:val="0"/>
          <w:marRight w:val="0"/>
          <w:marTop w:val="0"/>
          <w:marBottom w:val="0"/>
          <w:divBdr>
            <w:top w:val="none" w:sz="0" w:space="0" w:color="auto"/>
            <w:left w:val="none" w:sz="0" w:space="0" w:color="auto"/>
            <w:bottom w:val="none" w:sz="0" w:space="0" w:color="auto"/>
            <w:right w:val="none" w:sz="0" w:space="0" w:color="auto"/>
          </w:divBdr>
        </w:div>
        <w:div w:id="1017007264">
          <w:marLeft w:val="0"/>
          <w:marRight w:val="0"/>
          <w:marTop w:val="0"/>
          <w:marBottom w:val="0"/>
          <w:divBdr>
            <w:top w:val="none" w:sz="0" w:space="0" w:color="auto"/>
            <w:left w:val="none" w:sz="0" w:space="0" w:color="auto"/>
            <w:bottom w:val="none" w:sz="0" w:space="0" w:color="auto"/>
            <w:right w:val="none" w:sz="0" w:space="0" w:color="auto"/>
          </w:divBdr>
        </w:div>
        <w:div w:id="953831981">
          <w:marLeft w:val="0"/>
          <w:marRight w:val="0"/>
          <w:marTop w:val="0"/>
          <w:marBottom w:val="0"/>
          <w:divBdr>
            <w:top w:val="none" w:sz="0" w:space="0" w:color="auto"/>
            <w:left w:val="none" w:sz="0" w:space="0" w:color="auto"/>
            <w:bottom w:val="none" w:sz="0" w:space="0" w:color="auto"/>
            <w:right w:val="none" w:sz="0" w:space="0" w:color="auto"/>
          </w:divBdr>
        </w:div>
        <w:div w:id="880673007">
          <w:marLeft w:val="0"/>
          <w:marRight w:val="0"/>
          <w:marTop w:val="0"/>
          <w:marBottom w:val="0"/>
          <w:divBdr>
            <w:top w:val="none" w:sz="0" w:space="0" w:color="auto"/>
            <w:left w:val="none" w:sz="0" w:space="0" w:color="auto"/>
            <w:bottom w:val="none" w:sz="0" w:space="0" w:color="auto"/>
            <w:right w:val="none" w:sz="0" w:space="0" w:color="auto"/>
          </w:divBdr>
        </w:div>
        <w:div w:id="1624924618">
          <w:marLeft w:val="0"/>
          <w:marRight w:val="0"/>
          <w:marTop w:val="0"/>
          <w:marBottom w:val="0"/>
          <w:divBdr>
            <w:top w:val="none" w:sz="0" w:space="0" w:color="auto"/>
            <w:left w:val="none" w:sz="0" w:space="0" w:color="auto"/>
            <w:bottom w:val="none" w:sz="0" w:space="0" w:color="auto"/>
            <w:right w:val="none" w:sz="0" w:space="0" w:color="auto"/>
          </w:divBdr>
        </w:div>
        <w:div w:id="456988963">
          <w:marLeft w:val="0"/>
          <w:marRight w:val="0"/>
          <w:marTop w:val="0"/>
          <w:marBottom w:val="0"/>
          <w:divBdr>
            <w:top w:val="none" w:sz="0" w:space="0" w:color="auto"/>
            <w:left w:val="none" w:sz="0" w:space="0" w:color="auto"/>
            <w:bottom w:val="none" w:sz="0" w:space="0" w:color="auto"/>
            <w:right w:val="none" w:sz="0" w:space="0" w:color="auto"/>
          </w:divBdr>
        </w:div>
        <w:div w:id="1861964895">
          <w:marLeft w:val="0"/>
          <w:marRight w:val="0"/>
          <w:marTop w:val="0"/>
          <w:marBottom w:val="0"/>
          <w:divBdr>
            <w:top w:val="none" w:sz="0" w:space="0" w:color="auto"/>
            <w:left w:val="none" w:sz="0" w:space="0" w:color="auto"/>
            <w:bottom w:val="none" w:sz="0" w:space="0" w:color="auto"/>
            <w:right w:val="none" w:sz="0" w:space="0" w:color="auto"/>
          </w:divBdr>
        </w:div>
        <w:div w:id="1917280363">
          <w:marLeft w:val="0"/>
          <w:marRight w:val="0"/>
          <w:marTop w:val="0"/>
          <w:marBottom w:val="0"/>
          <w:divBdr>
            <w:top w:val="none" w:sz="0" w:space="0" w:color="auto"/>
            <w:left w:val="none" w:sz="0" w:space="0" w:color="auto"/>
            <w:bottom w:val="none" w:sz="0" w:space="0" w:color="auto"/>
            <w:right w:val="none" w:sz="0" w:space="0" w:color="auto"/>
          </w:divBdr>
        </w:div>
        <w:div w:id="516116171">
          <w:marLeft w:val="0"/>
          <w:marRight w:val="0"/>
          <w:marTop w:val="0"/>
          <w:marBottom w:val="0"/>
          <w:divBdr>
            <w:top w:val="none" w:sz="0" w:space="0" w:color="auto"/>
            <w:left w:val="none" w:sz="0" w:space="0" w:color="auto"/>
            <w:bottom w:val="none" w:sz="0" w:space="0" w:color="auto"/>
            <w:right w:val="none" w:sz="0" w:space="0" w:color="auto"/>
          </w:divBdr>
        </w:div>
        <w:div w:id="1787583911">
          <w:marLeft w:val="0"/>
          <w:marRight w:val="0"/>
          <w:marTop w:val="0"/>
          <w:marBottom w:val="0"/>
          <w:divBdr>
            <w:top w:val="none" w:sz="0" w:space="0" w:color="auto"/>
            <w:left w:val="none" w:sz="0" w:space="0" w:color="auto"/>
            <w:bottom w:val="none" w:sz="0" w:space="0" w:color="auto"/>
            <w:right w:val="none" w:sz="0" w:space="0" w:color="auto"/>
          </w:divBdr>
        </w:div>
        <w:div w:id="107285321">
          <w:marLeft w:val="0"/>
          <w:marRight w:val="0"/>
          <w:marTop w:val="0"/>
          <w:marBottom w:val="0"/>
          <w:divBdr>
            <w:top w:val="none" w:sz="0" w:space="0" w:color="auto"/>
            <w:left w:val="none" w:sz="0" w:space="0" w:color="auto"/>
            <w:bottom w:val="none" w:sz="0" w:space="0" w:color="auto"/>
            <w:right w:val="none" w:sz="0" w:space="0" w:color="auto"/>
          </w:divBdr>
        </w:div>
        <w:div w:id="188221893">
          <w:marLeft w:val="0"/>
          <w:marRight w:val="0"/>
          <w:marTop w:val="0"/>
          <w:marBottom w:val="0"/>
          <w:divBdr>
            <w:top w:val="none" w:sz="0" w:space="0" w:color="auto"/>
            <w:left w:val="none" w:sz="0" w:space="0" w:color="auto"/>
            <w:bottom w:val="none" w:sz="0" w:space="0" w:color="auto"/>
            <w:right w:val="none" w:sz="0" w:space="0" w:color="auto"/>
          </w:divBdr>
        </w:div>
        <w:div w:id="1599144358">
          <w:marLeft w:val="0"/>
          <w:marRight w:val="0"/>
          <w:marTop w:val="0"/>
          <w:marBottom w:val="0"/>
          <w:divBdr>
            <w:top w:val="none" w:sz="0" w:space="0" w:color="auto"/>
            <w:left w:val="none" w:sz="0" w:space="0" w:color="auto"/>
            <w:bottom w:val="none" w:sz="0" w:space="0" w:color="auto"/>
            <w:right w:val="none" w:sz="0" w:space="0" w:color="auto"/>
          </w:divBdr>
        </w:div>
        <w:div w:id="1325429940">
          <w:marLeft w:val="0"/>
          <w:marRight w:val="0"/>
          <w:marTop w:val="0"/>
          <w:marBottom w:val="0"/>
          <w:divBdr>
            <w:top w:val="none" w:sz="0" w:space="0" w:color="auto"/>
            <w:left w:val="none" w:sz="0" w:space="0" w:color="auto"/>
            <w:bottom w:val="none" w:sz="0" w:space="0" w:color="auto"/>
            <w:right w:val="none" w:sz="0" w:space="0" w:color="auto"/>
          </w:divBdr>
        </w:div>
        <w:div w:id="1193180629">
          <w:marLeft w:val="0"/>
          <w:marRight w:val="0"/>
          <w:marTop w:val="0"/>
          <w:marBottom w:val="0"/>
          <w:divBdr>
            <w:top w:val="none" w:sz="0" w:space="0" w:color="auto"/>
            <w:left w:val="none" w:sz="0" w:space="0" w:color="auto"/>
            <w:bottom w:val="none" w:sz="0" w:space="0" w:color="auto"/>
            <w:right w:val="none" w:sz="0" w:space="0" w:color="auto"/>
          </w:divBdr>
        </w:div>
        <w:div w:id="2065054806">
          <w:marLeft w:val="0"/>
          <w:marRight w:val="0"/>
          <w:marTop w:val="0"/>
          <w:marBottom w:val="0"/>
          <w:divBdr>
            <w:top w:val="none" w:sz="0" w:space="0" w:color="auto"/>
            <w:left w:val="none" w:sz="0" w:space="0" w:color="auto"/>
            <w:bottom w:val="none" w:sz="0" w:space="0" w:color="auto"/>
            <w:right w:val="none" w:sz="0" w:space="0" w:color="auto"/>
          </w:divBdr>
        </w:div>
        <w:div w:id="1018316110">
          <w:marLeft w:val="0"/>
          <w:marRight w:val="0"/>
          <w:marTop w:val="0"/>
          <w:marBottom w:val="0"/>
          <w:divBdr>
            <w:top w:val="none" w:sz="0" w:space="0" w:color="auto"/>
            <w:left w:val="none" w:sz="0" w:space="0" w:color="auto"/>
            <w:bottom w:val="none" w:sz="0" w:space="0" w:color="auto"/>
            <w:right w:val="none" w:sz="0" w:space="0" w:color="auto"/>
          </w:divBdr>
        </w:div>
        <w:div w:id="1595937799">
          <w:marLeft w:val="0"/>
          <w:marRight w:val="0"/>
          <w:marTop w:val="0"/>
          <w:marBottom w:val="0"/>
          <w:divBdr>
            <w:top w:val="none" w:sz="0" w:space="0" w:color="auto"/>
            <w:left w:val="none" w:sz="0" w:space="0" w:color="auto"/>
            <w:bottom w:val="none" w:sz="0" w:space="0" w:color="auto"/>
            <w:right w:val="none" w:sz="0" w:space="0" w:color="auto"/>
          </w:divBdr>
        </w:div>
        <w:div w:id="1827430991">
          <w:marLeft w:val="0"/>
          <w:marRight w:val="0"/>
          <w:marTop w:val="0"/>
          <w:marBottom w:val="0"/>
          <w:divBdr>
            <w:top w:val="none" w:sz="0" w:space="0" w:color="auto"/>
            <w:left w:val="none" w:sz="0" w:space="0" w:color="auto"/>
            <w:bottom w:val="none" w:sz="0" w:space="0" w:color="auto"/>
            <w:right w:val="none" w:sz="0" w:space="0" w:color="auto"/>
          </w:divBdr>
        </w:div>
        <w:div w:id="664481731">
          <w:marLeft w:val="0"/>
          <w:marRight w:val="0"/>
          <w:marTop w:val="0"/>
          <w:marBottom w:val="0"/>
          <w:divBdr>
            <w:top w:val="none" w:sz="0" w:space="0" w:color="auto"/>
            <w:left w:val="none" w:sz="0" w:space="0" w:color="auto"/>
            <w:bottom w:val="none" w:sz="0" w:space="0" w:color="auto"/>
            <w:right w:val="none" w:sz="0" w:space="0" w:color="auto"/>
          </w:divBdr>
        </w:div>
        <w:div w:id="1666737725">
          <w:marLeft w:val="0"/>
          <w:marRight w:val="0"/>
          <w:marTop w:val="0"/>
          <w:marBottom w:val="0"/>
          <w:divBdr>
            <w:top w:val="none" w:sz="0" w:space="0" w:color="auto"/>
            <w:left w:val="none" w:sz="0" w:space="0" w:color="auto"/>
            <w:bottom w:val="none" w:sz="0" w:space="0" w:color="auto"/>
            <w:right w:val="none" w:sz="0" w:space="0" w:color="auto"/>
          </w:divBdr>
        </w:div>
        <w:div w:id="1576625810">
          <w:marLeft w:val="0"/>
          <w:marRight w:val="0"/>
          <w:marTop w:val="0"/>
          <w:marBottom w:val="0"/>
          <w:divBdr>
            <w:top w:val="none" w:sz="0" w:space="0" w:color="auto"/>
            <w:left w:val="none" w:sz="0" w:space="0" w:color="auto"/>
            <w:bottom w:val="none" w:sz="0" w:space="0" w:color="auto"/>
            <w:right w:val="none" w:sz="0" w:space="0" w:color="auto"/>
          </w:divBdr>
        </w:div>
        <w:div w:id="243032151">
          <w:marLeft w:val="0"/>
          <w:marRight w:val="0"/>
          <w:marTop w:val="0"/>
          <w:marBottom w:val="0"/>
          <w:divBdr>
            <w:top w:val="none" w:sz="0" w:space="0" w:color="auto"/>
            <w:left w:val="none" w:sz="0" w:space="0" w:color="auto"/>
            <w:bottom w:val="none" w:sz="0" w:space="0" w:color="auto"/>
            <w:right w:val="none" w:sz="0" w:space="0" w:color="auto"/>
          </w:divBdr>
        </w:div>
        <w:div w:id="359597210">
          <w:marLeft w:val="0"/>
          <w:marRight w:val="0"/>
          <w:marTop w:val="0"/>
          <w:marBottom w:val="0"/>
          <w:divBdr>
            <w:top w:val="none" w:sz="0" w:space="0" w:color="auto"/>
            <w:left w:val="none" w:sz="0" w:space="0" w:color="auto"/>
            <w:bottom w:val="none" w:sz="0" w:space="0" w:color="auto"/>
            <w:right w:val="none" w:sz="0" w:space="0" w:color="auto"/>
          </w:divBdr>
        </w:div>
        <w:div w:id="100073777">
          <w:marLeft w:val="0"/>
          <w:marRight w:val="0"/>
          <w:marTop w:val="0"/>
          <w:marBottom w:val="0"/>
          <w:divBdr>
            <w:top w:val="none" w:sz="0" w:space="0" w:color="auto"/>
            <w:left w:val="none" w:sz="0" w:space="0" w:color="auto"/>
            <w:bottom w:val="none" w:sz="0" w:space="0" w:color="auto"/>
            <w:right w:val="none" w:sz="0" w:space="0" w:color="auto"/>
          </w:divBdr>
        </w:div>
        <w:div w:id="1131634459">
          <w:marLeft w:val="0"/>
          <w:marRight w:val="0"/>
          <w:marTop w:val="0"/>
          <w:marBottom w:val="0"/>
          <w:divBdr>
            <w:top w:val="none" w:sz="0" w:space="0" w:color="auto"/>
            <w:left w:val="none" w:sz="0" w:space="0" w:color="auto"/>
            <w:bottom w:val="none" w:sz="0" w:space="0" w:color="auto"/>
            <w:right w:val="none" w:sz="0" w:space="0" w:color="auto"/>
          </w:divBdr>
        </w:div>
        <w:div w:id="979578246">
          <w:marLeft w:val="0"/>
          <w:marRight w:val="0"/>
          <w:marTop w:val="0"/>
          <w:marBottom w:val="0"/>
          <w:divBdr>
            <w:top w:val="none" w:sz="0" w:space="0" w:color="auto"/>
            <w:left w:val="none" w:sz="0" w:space="0" w:color="auto"/>
            <w:bottom w:val="none" w:sz="0" w:space="0" w:color="auto"/>
            <w:right w:val="none" w:sz="0" w:space="0" w:color="auto"/>
          </w:divBdr>
        </w:div>
        <w:div w:id="2061710055">
          <w:marLeft w:val="0"/>
          <w:marRight w:val="0"/>
          <w:marTop w:val="0"/>
          <w:marBottom w:val="0"/>
          <w:divBdr>
            <w:top w:val="none" w:sz="0" w:space="0" w:color="auto"/>
            <w:left w:val="none" w:sz="0" w:space="0" w:color="auto"/>
            <w:bottom w:val="none" w:sz="0" w:space="0" w:color="auto"/>
            <w:right w:val="none" w:sz="0" w:space="0" w:color="auto"/>
          </w:divBdr>
        </w:div>
        <w:div w:id="1643273748">
          <w:marLeft w:val="0"/>
          <w:marRight w:val="0"/>
          <w:marTop w:val="0"/>
          <w:marBottom w:val="0"/>
          <w:divBdr>
            <w:top w:val="none" w:sz="0" w:space="0" w:color="auto"/>
            <w:left w:val="none" w:sz="0" w:space="0" w:color="auto"/>
            <w:bottom w:val="none" w:sz="0" w:space="0" w:color="auto"/>
            <w:right w:val="none" w:sz="0" w:space="0" w:color="auto"/>
          </w:divBdr>
        </w:div>
        <w:div w:id="981929859">
          <w:marLeft w:val="0"/>
          <w:marRight w:val="0"/>
          <w:marTop w:val="0"/>
          <w:marBottom w:val="0"/>
          <w:divBdr>
            <w:top w:val="none" w:sz="0" w:space="0" w:color="auto"/>
            <w:left w:val="none" w:sz="0" w:space="0" w:color="auto"/>
            <w:bottom w:val="none" w:sz="0" w:space="0" w:color="auto"/>
            <w:right w:val="none" w:sz="0" w:space="0" w:color="auto"/>
          </w:divBdr>
        </w:div>
        <w:div w:id="486825078">
          <w:marLeft w:val="0"/>
          <w:marRight w:val="0"/>
          <w:marTop w:val="0"/>
          <w:marBottom w:val="0"/>
          <w:divBdr>
            <w:top w:val="none" w:sz="0" w:space="0" w:color="auto"/>
            <w:left w:val="none" w:sz="0" w:space="0" w:color="auto"/>
            <w:bottom w:val="none" w:sz="0" w:space="0" w:color="auto"/>
            <w:right w:val="none" w:sz="0" w:space="0" w:color="auto"/>
          </w:divBdr>
        </w:div>
        <w:div w:id="1075587744">
          <w:marLeft w:val="0"/>
          <w:marRight w:val="0"/>
          <w:marTop w:val="0"/>
          <w:marBottom w:val="0"/>
          <w:divBdr>
            <w:top w:val="none" w:sz="0" w:space="0" w:color="auto"/>
            <w:left w:val="none" w:sz="0" w:space="0" w:color="auto"/>
            <w:bottom w:val="none" w:sz="0" w:space="0" w:color="auto"/>
            <w:right w:val="none" w:sz="0" w:space="0" w:color="auto"/>
          </w:divBdr>
        </w:div>
        <w:div w:id="1088190069">
          <w:marLeft w:val="0"/>
          <w:marRight w:val="0"/>
          <w:marTop w:val="0"/>
          <w:marBottom w:val="0"/>
          <w:divBdr>
            <w:top w:val="none" w:sz="0" w:space="0" w:color="auto"/>
            <w:left w:val="none" w:sz="0" w:space="0" w:color="auto"/>
            <w:bottom w:val="none" w:sz="0" w:space="0" w:color="auto"/>
            <w:right w:val="none" w:sz="0" w:space="0" w:color="auto"/>
          </w:divBdr>
        </w:div>
        <w:div w:id="430004408">
          <w:marLeft w:val="0"/>
          <w:marRight w:val="0"/>
          <w:marTop w:val="0"/>
          <w:marBottom w:val="0"/>
          <w:divBdr>
            <w:top w:val="none" w:sz="0" w:space="0" w:color="auto"/>
            <w:left w:val="none" w:sz="0" w:space="0" w:color="auto"/>
            <w:bottom w:val="none" w:sz="0" w:space="0" w:color="auto"/>
            <w:right w:val="none" w:sz="0" w:space="0" w:color="auto"/>
          </w:divBdr>
        </w:div>
        <w:div w:id="1077173598">
          <w:marLeft w:val="0"/>
          <w:marRight w:val="0"/>
          <w:marTop w:val="0"/>
          <w:marBottom w:val="0"/>
          <w:divBdr>
            <w:top w:val="none" w:sz="0" w:space="0" w:color="auto"/>
            <w:left w:val="none" w:sz="0" w:space="0" w:color="auto"/>
            <w:bottom w:val="none" w:sz="0" w:space="0" w:color="auto"/>
            <w:right w:val="none" w:sz="0" w:space="0" w:color="auto"/>
          </w:divBdr>
        </w:div>
        <w:div w:id="170222894">
          <w:marLeft w:val="0"/>
          <w:marRight w:val="0"/>
          <w:marTop w:val="0"/>
          <w:marBottom w:val="0"/>
          <w:divBdr>
            <w:top w:val="none" w:sz="0" w:space="0" w:color="auto"/>
            <w:left w:val="none" w:sz="0" w:space="0" w:color="auto"/>
            <w:bottom w:val="none" w:sz="0" w:space="0" w:color="auto"/>
            <w:right w:val="none" w:sz="0" w:space="0" w:color="auto"/>
          </w:divBdr>
        </w:div>
        <w:div w:id="1097556888">
          <w:marLeft w:val="0"/>
          <w:marRight w:val="0"/>
          <w:marTop w:val="0"/>
          <w:marBottom w:val="0"/>
          <w:divBdr>
            <w:top w:val="none" w:sz="0" w:space="0" w:color="auto"/>
            <w:left w:val="none" w:sz="0" w:space="0" w:color="auto"/>
            <w:bottom w:val="none" w:sz="0" w:space="0" w:color="auto"/>
            <w:right w:val="none" w:sz="0" w:space="0" w:color="auto"/>
          </w:divBdr>
        </w:div>
        <w:div w:id="1358585186">
          <w:marLeft w:val="0"/>
          <w:marRight w:val="0"/>
          <w:marTop w:val="0"/>
          <w:marBottom w:val="0"/>
          <w:divBdr>
            <w:top w:val="none" w:sz="0" w:space="0" w:color="auto"/>
            <w:left w:val="none" w:sz="0" w:space="0" w:color="auto"/>
            <w:bottom w:val="none" w:sz="0" w:space="0" w:color="auto"/>
            <w:right w:val="none" w:sz="0" w:space="0" w:color="auto"/>
          </w:divBdr>
        </w:div>
        <w:div w:id="553930045">
          <w:marLeft w:val="0"/>
          <w:marRight w:val="0"/>
          <w:marTop w:val="0"/>
          <w:marBottom w:val="0"/>
          <w:divBdr>
            <w:top w:val="none" w:sz="0" w:space="0" w:color="auto"/>
            <w:left w:val="none" w:sz="0" w:space="0" w:color="auto"/>
            <w:bottom w:val="none" w:sz="0" w:space="0" w:color="auto"/>
            <w:right w:val="none" w:sz="0" w:space="0" w:color="auto"/>
          </w:divBdr>
        </w:div>
        <w:div w:id="692148543">
          <w:marLeft w:val="0"/>
          <w:marRight w:val="0"/>
          <w:marTop w:val="0"/>
          <w:marBottom w:val="0"/>
          <w:divBdr>
            <w:top w:val="none" w:sz="0" w:space="0" w:color="auto"/>
            <w:left w:val="none" w:sz="0" w:space="0" w:color="auto"/>
            <w:bottom w:val="none" w:sz="0" w:space="0" w:color="auto"/>
            <w:right w:val="none" w:sz="0" w:space="0" w:color="auto"/>
          </w:divBdr>
        </w:div>
        <w:div w:id="1518812603">
          <w:marLeft w:val="0"/>
          <w:marRight w:val="0"/>
          <w:marTop w:val="0"/>
          <w:marBottom w:val="0"/>
          <w:divBdr>
            <w:top w:val="none" w:sz="0" w:space="0" w:color="auto"/>
            <w:left w:val="none" w:sz="0" w:space="0" w:color="auto"/>
            <w:bottom w:val="none" w:sz="0" w:space="0" w:color="auto"/>
            <w:right w:val="none" w:sz="0" w:space="0" w:color="auto"/>
          </w:divBdr>
        </w:div>
        <w:div w:id="1198153489">
          <w:marLeft w:val="0"/>
          <w:marRight w:val="0"/>
          <w:marTop w:val="0"/>
          <w:marBottom w:val="0"/>
          <w:divBdr>
            <w:top w:val="none" w:sz="0" w:space="0" w:color="auto"/>
            <w:left w:val="none" w:sz="0" w:space="0" w:color="auto"/>
            <w:bottom w:val="none" w:sz="0" w:space="0" w:color="auto"/>
            <w:right w:val="none" w:sz="0" w:space="0" w:color="auto"/>
          </w:divBdr>
        </w:div>
        <w:div w:id="985205286">
          <w:marLeft w:val="0"/>
          <w:marRight w:val="0"/>
          <w:marTop w:val="0"/>
          <w:marBottom w:val="0"/>
          <w:divBdr>
            <w:top w:val="none" w:sz="0" w:space="0" w:color="auto"/>
            <w:left w:val="none" w:sz="0" w:space="0" w:color="auto"/>
            <w:bottom w:val="none" w:sz="0" w:space="0" w:color="auto"/>
            <w:right w:val="none" w:sz="0" w:space="0" w:color="auto"/>
          </w:divBdr>
        </w:div>
        <w:div w:id="1856531257">
          <w:marLeft w:val="0"/>
          <w:marRight w:val="0"/>
          <w:marTop w:val="0"/>
          <w:marBottom w:val="0"/>
          <w:divBdr>
            <w:top w:val="none" w:sz="0" w:space="0" w:color="auto"/>
            <w:left w:val="none" w:sz="0" w:space="0" w:color="auto"/>
            <w:bottom w:val="none" w:sz="0" w:space="0" w:color="auto"/>
            <w:right w:val="none" w:sz="0" w:space="0" w:color="auto"/>
          </w:divBdr>
        </w:div>
        <w:div w:id="229579629">
          <w:marLeft w:val="0"/>
          <w:marRight w:val="0"/>
          <w:marTop w:val="0"/>
          <w:marBottom w:val="0"/>
          <w:divBdr>
            <w:top w:val="none" w:sz="0" w:space="0" w:color="auto"/>
            <w:left w:val="none" w:sz="0" w:space="0" w:color="auto"/>
            <w:bottom w:val="none" w:sz="0" w:space="0" w:color="auto"/>
            <w:right w:val="none" w:sz="0" w:space="0" w:color="auto"/>
          </w:divBdr>
        </w:div>
        <w:div w:id="645010372">
          <w:marLeft w:val="0"/>
          <w:marRight w:val="0"/>
          <w:marTop w:val="0"/>
          <w:marBottom w:val="0"/>
          <w:divBdr>
            <w:top w:val="none" w:sz="0" w:space="0" w:color="auto"/>
            <w:left w:val="none" w:sz="0" w:space="0" w:color="auto"/>
            <w:bottom w:val="none" w:sz="0" w:space="0" w:color="auto"/>
            <w:right w:val="none" w:sz="0" w:space="0" w:color="auto"/>
          </w:divBdr>
        </w:div>
        <w:div w:id="1728988537">
          <w:marLeft w:val="0"/>
          <w:marRight w:val="0"/>
          <w:marTop w:val="0"/>
          <w:marBottom w:val="0"/>
          <w:divBdr>
            <w:top w:val="none" w:sz="0" w:space="0" w:color="auto"/>
            <w:left w:val="none" w:sz="0" w:space="0" w:color="auto"/>
            <w:bottom w:val="none" w:sz="0" w:space="0" w:color="auto"/>
            <w:right w:val="none" w:sz="0" w:space="0" w:color="auto"/>
          </w:divBdr>
        </w:div>
        <w:div w:id="1250848470">
          <w:marLeft w:val="0"/>
          <w:marRight w:val="0"/>
          <w:marTop w:val="0"/>
          <w:marBottom w:val="0"/>
          <w:divBdr>
            <w:top w:val="none" w:sz="0" w:space="0" w:color="auto"/>
            <w:left w:val="none" w:sz="0" w:space="0" w:color="auto"/>
            <w:bottom w:val="none" w:sz="0" w:space="0" w:color="auto"/>
            <w:right w:val="none" w:sz="0" w:space="0" w:color="auto"/>
          </w:divBdr>
        </w:div>
        <w:div w:id="821239181">
          <w:marLeft w:val="0"/>
          <w:marRight w:val="0"/>
          <w:marTop w:val="0"/>
          <w:marBottom w:val="0"/>
          <w:divBdr>
            <w:top w:val="none" w:sz="0" w:space="0" w:color="auto"/>
            <w:left w:val="none" w:sz="0" w:space="0" w:color="auto"/>
            <w:bottom w:val="none" w:sz="0" w:space="0" w:color="auto"/>
            <w:right w:val="none" w:sz="0" w:space="0" w:color="auto"/>
          </w:divBdr>
        </w:div>
        <w:div w:id="790125406">
          <w:marLeft w:val="0"/>
          <w:marRight w:val="0"/>
          <w:marTop w:val="0"/>
          <w:marBottom w:val="0"/>
          <w:divBdr>
            <w:top w:val="none" w:sz="0" w:space="0" w:color="auto"/>
            <w:left w:val="none" w:sz="0" w:space="0" w:color="auto"/>
            <w:bottom w:val="none" w:sz="0" w:space="0" w:color="auto"/>
            <w:right w:val="none" w:sz="0" w:space="0" w:color="auto"/>
          </w:divBdr>
        </w:div>
        <w:div w:id="1085147106">
          <w:marLeft w:val="0"/>
          <w:marRight w:val="0"/>
          <w:marTop w:val="0"/>
          <w:marBottom w:val="0"/>
          <w:divBdr>
            <w:top w:val="none" w:sz="0" w:space="0" w:color="auto"/>
            <w:left w:val="none" w:sz="0" w:space="0" w:color="auto"/>
            <w:bottom w:val="none" w:sz="0" w:space="0" w:color="auto"/>
            <w:right w:val="none" w:sz="0" w:space="0" w:color="auto"/>
          </w:divBdr>
        </w:div>
        <w:div w:id="93943345">
          <w:marLeft w:val="0"/>
          <w:marRight w:val="0"/>
          <w:marTop w:val="0"/>
          <w:marBottom w:val="0"/>
          <w:divBdr>
            <w:top w:val="none" w:sz="0" w:space="0" w:color="auto"/>
            <w:left w:val="none" w:sz="0" w:space="0" w:color="auto"/>
            <w:bottom w:val="none" w:sz="0" w:space="0" w:color="auto"/>
            <w:right w:val="none" w:sz="0" w:space="0" w:color="auto"/>
          </w:divBdr>
        </w:div>
        <w:div w:id="1571842978">
          <w:marLeft w:val="0"/>
          <w:marRight w:val="0"/>
          <w:marTop w:val="0"/>
          <w:marBottom w:val="0"/>
          <w:divBdr>
            <w:top w:val="none" w:sz="0" w:space="0" w:color="auto"/>
            <w:left w:val="none" w:sz="0" w:space="0" w:color="auto"/>
            <w:bottom w:val="none" w:sz="0" w:space="0" w:color="auto"/>
            <w:right w:val="none" w:sz="0" w:space="0" w:color="auto"/>
          </w:divBdr>
        </w:div>
        <w:div w:id="1464421411">
          <w:marLeft w:val="0"/>
          <w:marRight w:val="0"/>
          <w:marTop w:val="0"/>
          <w:marBottom w:val="0"/>
          <w:divBdr>
            <w:top w:val="none" w:sz="0" w:space="0" w:color="auto"/>
            <w:left w:val="none" w:sz="0" w:space="0" w:color="auto"/>
            <w:bottom w:val="none" w:sz="0" w:space="0" w:color="auto"/>
            <w:right w:val="none" w:sz="0" w:space="0" w:color="auto"/>
          </w:divBdr>
        </w:div>
        <w:div w:id="2036926394">
          <w:marLeft w:val="0"/>
          <w:marRight w:val="0"/>
          <w:marTop w:val="0"/>
          <w:marBottom w:val="0"/>
          <w:divBdr>
            <w:top w:val="none" w:sz="0" w:space="0" w:color="auto"/>
            <w:left w:val="none" w:sz="0" w:space="0" w:color="auto"/>
            <w:bottom w:val="none" w:sz="0" w:space="0" w:color="auto"/>
            <w:right w:val="none" w:sz="0" w:space="0" w:color="auto"/>
          </w:divBdr>
        </w:div>
        <w:div w:id="1730691230">
          <w:marLeft w:val="0"/>
          <w:marRight w:val="0"/>
          <w:marTop w:val="0"/>
          <w:marBottom w:val="0"/>
          <w:divBdr>
            <w:top w:val="none" w:sz="0" w:space="0" w:color="auto"/>
            <w:left w:val="none" w:sz="0" w:space="0" w:color="auto"/>
            <w:bottom w:val="none" w:sz="0" w:space="0" w:color="auto"/>
            <w:right w:val="none" w:sz="0" w:space="0" w:color="auto"/>
          </w:divBdr>
        </w:div>
        <w:div w:id="270012447">
          <w:marLeft w:val="0"/>
          <w:marRight w:val="0"/>
          <w:marTop w:val="0"/>
          <w:marBottom w:val="0"/>
          <w:divBdr>
            <w:top w:val="none" w:sz="0" w:space="0" w:color="auto"/>
            <w:left w:val="none" w:sz="0" w:space="0" w:color="auto"/>
            <w:bottom w:val="none" w:sz="0" w:space="0" w:color="auto"/>
            <w:right w:val="none" w:sz="0" w:space="0" w:color="auto"/>
          </w:divBdr>
        </w:div>
        <w:div w:id="1960532113">
          <w:marLeft w:val="0"/>
          <w:marRight w:val="0"/>
          <w:marTop w:val="0"/>
          <w:marBottom w:val="0"/>
          <w:divBdr>
            <w:top w:val="none" w:sz="0" w:space="0" w:color="auto"/>
            <w:left w:val="none" w:sz="0" w:space="0" w:color="auto"/>
            <w:bottom w:val="none" w:sz="0" w:space="0" w:color="auto"/>
            <w:right w:val="none" w:sz="0" w:space="0" w:color="auto"/>
          </w:divBdr>
        </w:div>
        <w:div w:id="1398284059">
          <w:marLeft w:val="0"/>
          <w:marRight w:val="0"/>
          <w:marTop w:val="0"/>
          <w:marBottom w:val="0"/>
          <w:divBdr>
            <w:top w:val="none" w:sz="0" w:space="0" w:color="auto"/>
            <w:left w:val="none" w:sz="0" w:space="0" w:color="auto"/>
            <w:bottom w:val="none" w:sz="0" w:space="0" w:color="auto"/>
            <w:right w:val="none" w:sz="0" w:space="0" w:color="auto"/>
          </w:divBdr>
        </w:div>
        <w:div w:id="1842350760">
          <w:marLeft w:val="0"/>
          <w:marRight w:val="0"/>
          <w:marTop w:val="0"/>
          <w:marBottom w:val="0"/>
          <w:divBdr>
            <w:top w:val="none" w:sz="0" w:space="0" w:color="auto"/>
            <w:left w:val="none" w:sz="0" w:space="0" w:color="auto"/>
            <w:bottom w:val="none" w:sz="0" w:space="0" w:color="auto"/>
            <w:right w:val="none" w:sz="0" w:space="0" w:color="auto"/>
          </w:divBdr>
        </w:div>
        <w:div w:id="1277176989">
          <w:marLeft w:val="0"/>
          <w:marRight w:val="0"/>
          <w:marTop w:val="0"/>
          <w:marBottom w:val="0"/>
          <w:divBdr>
            <w:top w:val="none" w:sz="0" w:space="0" w:color="auto"/>
            <w:left w:val="none" w:sz="0" w:space="0" w:color="auto"/>
            <w:bottom w:val="none" w:sz="0" w:space="0" w:color="auto"/>
            <w:right w:val="none" w:sz="0" w:space="0" w:color="auto"/>
          </w:divBdr>
        </w:div>
        <w:div w:id="108404443">
          <w:marLeft w:val="0"/>
          <w:marRight w:val="0"/>
          <w:marTop w:val="0"/>
          <w:marBottom w:val="0"/>
          <w:divBdr>
            <w:top w:val="none" w:sz="0" w:space="0" w:color="auto"/>
            <w:left w:val="none" w:sz="0" w:space="0" w:color="auto"/>
            <w:bottom w:val="none" w:sz="0" w:space="0" w:color="auto"/>
            <w:right w:val="none" w:sz="0" w:space="0" w:color="auto"/>
          </w:divBdr>
        </w:div>
        <w:div w:id="1019550856">
          <w:marLeft w:val="0"/>
          <w:marRight w:val="0"/>
          <w:marTop w:val="0"/>
          <w:marBottom w:val="0"/>
          <w:divBdr>
            <w:top w:val="none" w:sz="0" w:space="0" w:color="auto"/>
            <w:left w:val="none" w:sz="0" w:space="0" w:color="auto"/>
            <w:bottom w:val="none" w:sz="0" w:space="0" w:color="auto"/>
            <w:right w:val="none" w:sz="0" w:space="0" w:color="auto"/>
          </w:divBdr>
        </w:div>
        <w:div w:id="676808426">
          <w:marLeft w:val="0"/>
          <w:marRight w:val="0"/>
          <w:marTop w:val="0"/>
          <w:marBottom w:val="0"/>
          <w:divBdr>
            <w:top w:val="none" w:sz="0" w:space="0" w:color="auto"/>
            <w:left w:val="none" w:sz="0" w:space="0" w:color="auto"/>
            <w:bottom w:val="none" w:sz="0" w:space="0" w:color="auto"/>
            <w:right w:val="none" w:sz="0" w:space="0" w:color="auto"/>
          </w:divBdr>
        </w:div>
        <w:div w:id="734083919">
          <w:marLeft w:val="0"/>
          <w:marRight w:val="0"/>
          <w:marTop w:val="0"/>
          <w:marBottom w:val="0"/>
          <w:divBdr>
            <w:top w:val="none" w:sz="0" w:space="0" w:color="auto"/>
            <w:left w:val="none" w:sz="0" w:space="0" w:color="auto"/>
            <w:bottom w:val="none" w:sz="0" w:space="0" w:color="auto"/>
            <w:right w:val="none" w:sz="0" w:space="0" w:color="auto"/>
          </w:divBdr>
        </w:div>
        <w:div w:id="1560558238">
          <w:marLeft w:val="0"/>
          <w:marRight w:val="0"/>
          <w:marTop w:val="0"/>
          <w:marBottom w:val="0"/>
          <w:divBdr>
            <w:top w:val="none" w:sz="0" w:space="0" w:color="auto"/>
            <w:left w:val="none" w:sz="0" w:space="0" w:color="auto"/>
            <w:bottom w:val="none" w:sz="0" w:space="0" w:color="auto"/>
            <w:right w:val="none" w:sz="0" w:space="0" w:color="auto"/>
          </w:divBdr>
        </w:div>
        <w:div w:id="1301768561">
          <w:marLeft w:val="0"/>
          <w:marRight w:val="0"/>
          <w:marTop w:val="0"/>
          <w:marBottom w:val="0"/>
          <w:divBdr>
            <w:top w:val="none" w:sz="0" w:space="0" w:color="auto"/>
            <w:left w:val="none" w:sz="0" w:space="0" w:color="auto"/>
            <w:bottom w:val="none" w:sz="0" w:space="0" w:color="auto"/>
            <w:right w:val="none" w:sz="0" w:space="0" w:color="auto"/>
          </w:divBdr>
        </w:div>
        <w:div w:id="1257255074">
          <w:marLeft w:val="0"/>
          <w:marRight w:val="0"/>
          <w:marTop w:val="0"/>
          <w:marBottom w:val="0"/>
          <w:divBdr>
            <w:top w:val="none" w:sz="0" w:space="0" w:color="auto"/>
            <w:left w:val="none" w:sz="0" w:space="0" w:color="auto"/>
            <w:bottom w:val="none" w:sz="0" w:space="0" w:color="auto"/>
            <w:right w:val="none" w:sz="0" w:space="0" w:color="auto"/>
          </w:divBdr>
        </w:div>
        <w:div w:id="1182939514">
          <w:marLeft w:val="0"/>
          <w:marRight w:val="0"/>
          <w:marTop w:val="0"/>
          <w:marBottom w:val="0"/>
          <w:divBdr>
            <w:top w:val="none" w:sz="0" w:space="0" w:color="auto"/>
            <w:left w:val="none" w:sz="0" w:space="0" w:color="auto"/>
            <w:bottom w:val="none" w:sz="0" w:space="0" w:color="auto"/>
            <w:right w:val="none" w:sz="0" w:space="0" w:color="auto"/>
          </w:divBdr>
        </w:div>
        <w:div w:id="375205662">
          <w:marLeft w:val="0"/>
          <w:marRight w:val="0"/>
          <w:marTop w:val="0"/>
          <w:marBottom w:val="0"/>
          <w:divBdr>
            <w:top w:val="none" w:sz="0" w:space="0" w:color="auto"/>
            <w:left w:val="none" w:sz="0" w:space="0" w:color="auto"/>
            <w:bottom w:val="none" w:sz="0" w:space="0" w:color="auto"/>
            <w:right w:val="none" w:sz="0" w:space="0" w:color="auto"/>
          </w:divBdr>
        </w:div>
        <w:div w:id="626813833">
          <w:marLeft w:val="0"/>
          <w:marRight w:val="0"/>
          <w:marTop w:val="0"/>
          <w:marBottom w:val="0"/>
          <w:divBdr>
            <w:top w:val="none" w:sz="0" w:space="0" w:color="auto"/>
            <w:left w:val="none" w:sz="0" w:space="0" w:color="auto"/>
            <w:bottom w:val="none" w:sz="0" w:space="0" w:color="auto"/>
            <w:right w:val="none" w:sz="0" w:space="0" w:color="auto"/>
          </w:divBdr>
        </w:div>
        <w:div w:id="499739560">
          <w:marLeft w:val="0"/>
          <w:marRight w:val="0"/>
          <w:marTop w:val="0"/>
          <w:marBottom w:val="0"/>
          <w:divBdr>
            <w:top w:val="none" w:sz="0" w:space="0" w:color="auto"/>
            <w:left w:val="none" w:sz="0" w:space="0" w:color="auto"/>
            <w:bottom w:val="none" w:sz="0" w:space="0" w:color="auto"/>
            <w:right w:val="none" w:sz="0" w:space="0" w:color="auto"/>
          </w:divBdr>
        </w:div>
        <w:div w:id="1065376139">
          <w:marLeft w:val="0"/>
          <w:marRight w:val="0"/>
          <w:marTop w:val="0"/>
          <w:marBottom w:val="0"/>
          <w:divBdr>
            <w:top w:val="none" w:sz="0" w:space="0" w:color="auto"/>
            <w:left w:val="none" w:sz="0" w:space="0" w:color="auto"/>
            <w:bottom w:val="none" w:sz="0" w:space="0" w:color="auto"/>
            <w:right w:val="none" w:sz="0" w:space="0" w:color="auto"/>
          </w:divBdr>
        </w:div>
        <w:div w:id="1000036244">
          <w:marLeft w:val="0"/>
          <w:marRight w:val="0"/>
          <w:marTop w:val="0"/>
          <w:marBottom w:val="0"/>
          <w:divBdr>
            <w:top w:val="none" w:sz="0" w:space="0" w:color="auto"/>
            <w:left w:val="none" w:sz="0" w:space="0" w:color="auto"/>
            <w:bottom w:val="none" w:sz="0" w:space="0" w:color="auto"/>
            <w:right w:val="none" w:sz="0" w:space="0" w:color="auto"/>
          </w:divBdr>
        </w:div>
        <w:div w:id="2109889414">
          <w:marLeft w:val="0"/>
          <w:marRight w:val="0"/>
          <w:marTop w:val="0"/>
          <w:marBottom w:val="0"/>
          <w:divBdr>
            <w:top w:val="none" w:sz="0" w:space="0" w:color="auto"/>
            <w:left w:val="none" w:sz="0" w:space="0" w:color="auto"/>
            <w:bottom w:val="none" w:sz="0" w:space="0" w:color="auto"/>
            <w:right w:val="none" w:sz="0" w:space="0" w:color="auto"/>
          </w:divBdr>
        </w:div>
        <w:div w:id="1083799934">
          <w:marLeft w:val="0"/>
          <w:marRight w:val="0"/>
          <w:marTop w:val="0"/>
          <w:marBottom w:val="0"/>
          <w:divBdr>
            <w:top w:val="none" w:sz="0" w:space="0" w:color="auto"/>
            <w:left w:val="none" w:sz="0" w:space="0" w:color="auto"/>
            <w:bottom w:val="none" w:sz="0" w:space="0" w:color="auto"/>
            <w:right w:val="none" w:sz="0" w:space="0" w:color="auto"/>
          </w:divBdr>
        </w:div>
        <w:div w:id="334187228">
          <w:marLeft w:val="0"/>
          <w:marRight w:val="0"/>
          <w:marTop w:val="0"/>
          <w:marBottom w:val="0"/>
          <w:divBdr>
            <w:top w:val="none" w:sz="0" w:space="0" w:color="auto"/>
            <w:left w:val="none" w:sz="0" w:space="0" w:color="auto"/>
            <w:bottom w:val="none" w:sz="0" w:space="0" w:color="auto"/>
            <w:right w:val="none" w:sz="0" w:space="0" w:color="auto"/>
          </w:divBdr>
        </w:div>
        <w:div w:id="1699546370">
          <w:marLeft w:val="0"/>
          <w:marRight w:val="0"/>
          <w:marTop w:val="0"/>
          <w:marBottom w:val="0"/>
          <w:divBdr>
            <w:top w:val="none" w:sz="0" w:space="0" w:color="auto"/>
            <w:left w:val="none" w:sz="0" w:space="0" w:color="auto"/>
            <w:bottom w:val="none" w:sz="0" w:space="0" w:color="auto"/>
            <w:right w:val="none" w:sz="0" w:space="0" w:color="auto"/>
          </w:divBdr>
        </w:div>
        <w:div w:id="674068469">
          <w:marLeft w:val="0"/>
          <w:marRight w:val="0"/>
          <w:marTop w:val="0"/>
          <w:marBottom w:val="0"/>
          <w:divBdr>
            <w:top w:val="none" w:sz="0" w:space="0" w:color="auto"/>
            <w:left w:val="none" w:sz="0" w:space="0" w:color="auto"/>
            <w:bottom w:val="none" w:sz="0" w:space="0" w:color="auto"/>
            <w:right w:val="none" w:sz="0" w:space="0" w:color="auto"/>
          </w:divBdr>
        </w:div>
        <w:div w:id="349649224">
          <w:marLeft w:val="0"/>
          <w:marRight w:val="0"/>
          <w:marTop w:val="0"/>
          <w:marBottom w:val="0"/>
          <w:divBdr>
            <w:top w:val="none" w:sz="0" w:space="0" w:color="auto"/>
            <w:left w:val="none" w:sz="0" w:space="0" w:color="auto"/>
            <w:bottom w:val="none" w:sz="0" w:space="0" w:color="auto"/>
            <w:right w:val="none" w:sz="0" w:space="0" w:color="auto"/>
          </w:divBdr>
        </w:div>
        <w:div w:id="467934762">
          <w:marLeft w:val="0"/>
          <w:marRight w:val="0"/>
          <w:marTop w:val="0"/>
          <w:marBottom w:val="0"/>
          <w:divBdr>
            <w:top w:val="none" w:sz="0" w:space="0" w:color="auto"/>
            <w:left w:val="none" w:sz="0" w:space="0" w:color="auto"/>
            <w:bottom w:val="none" w:sz="0" w:space="0" w:color="auto"/>
            <w:right w:val="none" w:sz="0" w:space="0" w:color="auto"/>
          </w:divBdr>
        </w:div>
        <w:div w:id="1226256829">
          <w:marLeft w:val="0"/>
          <w:marRight w:val="0"/>
          <w:marTop w:val="0"/>
          <w:marBottom w:val="0"/>
          <w:divBdr>
            <w:top w:val="none" w:sz="0" w:space="0" w:color="auto"/>
            <w:left w:val="none" w:sz="0" w:space="0" w:color="auto"/>
            <w:bottom w:val="none" w:sz="0" w:space="0" w:color="auto"/>
            <w:right w:val="none" w:sz="0" w:space="0" w:color="auto"/>
          </w:divBdr>
        </w:div>
        <w:div w:id="855197070">
          <w:marLeft w:val="0"/>
          <w:marRight w:val="0"/>
          <w:marTop w:val="0"/>
          <w:marBottom w:val="0"/>
          <w:divBdr>
            <w:top w:val="none" w:sz="0" w:space="0" w:color="auto"/>
            <w:left w:val="none" w:sz="0" w:space="0" w:color="auto"/>
            <w:bottom w:val="none" w:sz="0" w:space="0" w:color="auto"/>
            <w:right w:val="none" w:sz="0" w:space="0" w:color="auto"/>
          </w:divBdr>
        </w:div>
        <w:div w:id="1793864910">
          <w:marLeft w:val="0"/>
          <w:marRight w:val="0"/>
          <w:marTop w:val="0"/>
          <w:marBottom w:val="0"/>
          <w:divBdr>
            <w:top w:val="none" w:sz="0" w:space="0" w:color="auto"/>
            <w:left w:val="none" w:sz="0" w:space="0" w:color="auto"/>
            <w:bottom w:val="none" w:sz="0" w:space="0" w:color="auto"/>
            <w:right w:val="none" w:sz="0" w:space="0" w:color="auto"/>
          </w:divBdr>
        </w:div>
        <w:div w:id="1300380433">
          <w:marLeft w:val="0"/>
          <w:marRight w:val="0"/>
          <w:marTop w:val="0"/>
          <w:marBottom w:val="0"/>
          <w:divBdr>
            <w:top w:val="none" w:sz="0" w:space="0" w:color="auto"/>
            <w:left w:val="none" w:sz="0" w:space="0" w:color="auto"/>
            <w:bottom w:val="none" w:sz="0" w:space="0" w:color="auto"/>
            <w:right w:val="none" w:sz="0" w:space="0" w:color="auto"/>
          </w:divBdr>
        </w:div>
        <w:div w:id="528032533">
          <w:marLeft w:val="0"/>
          <w:marRight w:val="0"/>
          <w:marTop w:val="0"/>
          <w:marBottom w:val="0"/>
          <w:divBdr>
            <w:top w:val="none" w:sz="0" w:space="0" w:color="auto"/>
            <w:left w:val="none" w:sz="0" w:space="0" w:color="auto"/>
            <w:bottom w:val="none" w:sz="0" w:space="0" w:color="auto"/>
            <w:right w:val="none" w:sz="0" w:space="0" w:color="auto"/>
          </w:divBdr>
        </w:div>
        <w:div w:id="1913849188">
          <w:marLeft w:val="0"/>
          <w:marRight w:val="0"/>
          <w:marTop w:val="0"/>
          <w:marBottom w:val="0"/>
          <w:divBdr>
            <w:top w:val="none" w:sz="0" w:space="0" w:color="auto"/>
            <w:left w:val="none" w:sz="0" w:space="0" w:color="auto"/>
            <w:bottom w:val="none" w:sz="0" w:space="0" w:color="auto"/>
            <w:right w:val="none" w:sz="0" w:space="0" w:color="auto"/>
          </w:divBdr>
        </w:div>
        <w:div w:id="1520658586">
          <w:marLeft w:val="0"/>
          <w:marRight w:val="0"/>
          <w:marTop w:val="0"/>
          <w:marBottom w:val="0"/>
          <w:divBdr>
            <w:top w:val="none" w:sz="0" w:space="0" w:color="auto"/>
            <w:left w:val="none" w:sz="0" w:space="0" w:color="auto"/>
            <w:bottom w:val="none" w:sz="0" w:space="0" w:color="auto"/>
            <w:right w:val="none" w:sz="0" w:space="0" w:color="auto"/>
          </w:divBdr>
        </w:div>
        <w:div w:id="2047606822">
          <w:marLeft w:val="0"/>
          <w:marRight w:val="0"/>
          <w:marTop w:val="0"/>
          <w:marBottom w:val="0"/>
          <w:divBdr>
            <w:top w:val="none" w:sz="0" w:space="0" w:color="auto"/>
            <w:left w:val="none" w:sz="0" w:space="0" w:color="auto"/>
            <w:bottom w:val="none" w:sz="0" w:space="0" w:color="auto"/>
            <w:right w:val="none" w:sz="0" w:space="0" w:color="auto"/>
          </w:divBdr>
        </w:div>
        <w:div w:id="1082142643">
          <w:marLeft w:val="0"/>
          <w:marRight w:val="0"/>
          <w:marTop w:val="0"/>
          <w:marBottom w:val="0"/>
          <w:divBdr>
            <w:top w:val="none" w:sz="0" w:space="0" w:color="auto"/>
            <w:left w:val="none" w:sz="0" w:space="0" w:color="auto"/>
            <w:bottom w:val="none" w:sz="0" w:space="0" w:color="auto"/>
            <w:right w:val="none" w:sz="0" w:space="0" w:color="auto"/>
          </w:divBdr>
        </w:div>
        <w:div w:id="159470929">
          <w:marLeft w:val="0"/>
          <w:marRight w:val="0"/>
          <w:marTop w:val="0"/>
          <w:marBottom w:val="0"/>
          <w:divBdr>
            <w:top w:val="none" w:sz="0" w:space="0" w:color="auto"/>
            <w:left w:val="none" w:sz="0" w:space="0" w:color="auto"/>
            <w:bottom w:val="none" w:sz="0" w:space="0" w:color="auto"/>
            <w:right w:val="none" w:sz="0" w:space="0" w:color="auto"/>
          </w:divBdr>
        </w:div>
        <w:div w:id="485054204">
          <w:marLeft w:val="0"/>
          <w:marRight w:val="0"/>
          <w:marTop w:val="0"/>
          <w:marBottom w:val="0"/>
          <w:divBdr>
            <w:top w:val="none" w:sz="0" w:space="0" w:color="auto"/>
            <w:left w:val="none" w:sz="0" w:space="0" w:color="auto"/>
            <w:bottom w:val="none" w:sz="0" w:space="0" w:color="auto"/>
            <w:right w:val="none" w:sz="0" w:space="0" w:color="auto"/>
          </w:divBdr>
        </w:div>
        <w:div w:id="746266499">
          <w:marLeft w:val="0"/>
          <w:marRight w:val="0"/>
          <w:marTop w:val="0"/>
          <w:marBottom w:val="0"/>
          <w:divBdr>
            <w:top w:val="none" w:sz="0" w:space="0" w:color="auto"/>
            <w:left w:val="none" w:sz="0" w:space="0" w:color="auto"/>
            <w:bottom w:val="none" w:sz="0" w:space="0" w:color="auto"/>
            <w:right w:val="none" w:sz="0" w:space="0" w:color="auto"/>
          </w:divBdr>
        </w:div>
        <w:div w:id="2016682882">
          <w:marLeft w:val="0"/>
          <w:marRight w:val="0"/>
          <w:marTop w:val="0"/>
          <w:marBottom w:val="0"/>
          <w:divBdr>
            <w:top w:val="none" w:sz="0" w:space="0" w:color="auto"/>
            <w:left w:val="none" w:sz="0" w:space="0" w:color="auto"/>
            <w:bottom w:val="none" w:sz="0" w:space="0" w:color="auto"/>
            <w:right w:val="none" w:sz="0" w:space="0" w:color="auto"/>
          </w:divBdr>
        </w:div>
        <w:div w:id="1436631445">
          <w:marLeft w:val="0"/>
          <w:marRight w:val="0"/>
          <w:marTop w:val="0"/>
          <w:marBottom w:val="0"/>
          <w:divBdr>
            <w:top w:val="none" w:sz="0" w:space="0" w:color="auto"/>
            <w:left w:val="none" w:sz="0" w:space="0" w:color="auto"/>
            <w:bottom w:val="none" w:sz="0" w:space="0" w:color="auto"/>
            <w:right w:val="none" w:sz="0" w:space="0" w:color="auto"/>
          </w:divBdr>
        </w:div>
        <w:div w:id="376974852">
          <w:marLeft w:val="0"/>
          <w:marRight w:val="0"/>
          <w:marTop w:val="0"/>
          <w:marBottom w:val="0"/>
          <w:divBdr>
            <w:top w:val="none" w:sz="0" w:space="0" w:color="auto"/>
            <w:left w:val="none" w:sz="0" w:space="0" w:color="auto"/>
            <w:bottom w:val="none" w:sz="0" w:space="0" w:color="auto"/>
            <w:right w:val="none" w:sz="0" w:space="0" w:color="auto"/>
          </w:divBdr>
        </w:div>
        <w:div w:id="1432701148">
          <w:marLeft w:val="0"/>
          <w:marRight w:val="0"/>
          <w:marTop w:val="0"/>
          <w:marBottom w:val="0"/>
          <w:divBdr>
            <w:top w:val="none" w:sz="0" w:space="0" w:color="auto"/>
            <w:left w:val="none" w:sz="0" w:space="0" w:color="auto"/>
            <w:bottom w:val="none" w:sz="0" w:space="0" w:color="auto"/>
            <w:right w:val="none" w:sz="0" w:space="0" w:color="auto"/>
          </w:divBdr>
        </w:div>
        <w:div w:id="987242774">
          <w:marLeft w:val="0"/>
          <w:marRight w:val="0"/>
          <w:marTop w:val="0"/>
          <w:marBottom w:val="0"/>
          <w:divBdr>
            <w:top w:val="none" w:sz="0" w:space="0" w:color="auto"/>
            <w:left w:val="none" w:sz="0" w:space="0" w:color="auto"/>
            <w:bottom w:val="none" w:sz="0" w:space="0" w:color="auto"/>
            <w:right w:val="none" w:sz="0" w:space="0" w:color="auto"/>
          </w:divBdr>
        </w:div>
        <w:div w:id="1260406725">
          <w:marLeft w:val="0"/>
          <w:marRight w:val="0"/>
          <w:marTop w:val="0"/>
          <w:marBottom w:val="0"/>
          <w:divBdr>
            <w:top w:val="none" w:sz="0" w:space="0" w:color="auto"/>
            <w:left w:val="none" w:sz="0" w:space="0" w:color="auto"/>
            <w:bottom w:val="none" w:sz="0" w:space="0" w:color="auto"/>
            <w:right w:val="none" w:sz="0" w:space="0" w:color="auto"/>
          </w:divBdr>
        </w:div>
        <w:div w:id="1614432613">
          <w:marLeft w:val="0"/>
          <w:marRight w:val="0"/>
          <w:marTop w:val="0"/>
          <w:marBottom w:val="0"/>
          <w:divBdr>
            <w:top w:val="none" w:sz="0" w:space="0" w:color="auto"/>
            <w:left w:val="none" w:sz="0" w:space="0" w:color="auto"/>
            <w:bottom w:val="none" w:sz="0" w:space="0" w:color="auto"/>
            <w:right w:val="none" w:sz="0" w:space="0" w:color="auto"/>
          </w:divBdr>
        </w:div>
        <w:div w:id="1472477452">
          <w:marLeft w:val="0"/>
          <w:marRight w:val="0"/>
          <w:marTop w:val="0"/>
          <w:marBottom w:val="0"/>
          <w:divBdr>
            <w:top w:val="none" w:sz="0" w:space="0" w:color="auto"/>
            <w:left w:val="none" w:sz="0" w:space="0" w:color="auto"/>
            <w:bottom w:val="none" w:sz="0" w:space="0" w:color="auto"/>
            <w:right w:val="none" w:sz="0" w:space="0" w:color="auto"/>
          </w:divBdr>
        </w:div>
        <w:div w:id="280842153">
          <w:marLeft w:val="0"/>
          <w:marRight w:val="0"/>
          <w:marTop w:val="0"/>
          <w:marBottom w:val="0"/>
          <w:divBdr>
            <w:top w:val="none" w:sz="0" w:space="0" w:color="auto"/>
            <w:left w:val="none" w:sz="0" w:space="0" w:color="auto"/>
            <w:bottom w:val="none" w:sz="0" w:space="0" w:color="auto"/>
            <w:right w:val="none" w:sz="0" w:space="0" w:color="auto"/>
          </w:divBdr>
        </w:div>
        <w:div w:id="451285355">
          <w:marLeft w:val="0"/>
          <w:marRight w:val="0"/>
          <w:marTop w:val="0"/>
          <w:marBottom w:val="0"/>
          <w:divBdr>
            <w:top w:val="none" w:sz="0" w:space="0" w:color="auto"/>
            <w:left w:val="none" w:sz="0" w:space="0" w:color="auto"/>
            <w:bottom w:val="none" w:sz="0" w:space="0" w:color="auto"/>
            <w:right w:val="none" w:sz="0" w:space="0" w:color="auto"/>
          </w:divBdr>
        </w:div>
        <w:div w:id="910115780">
          <w:marLeft w:val="0"/>
          <w:marRight w:val="0"/>
          <w:marTop w:val="0"/>
          <w:marBottom w:val="0"/>
          <w:divBdr>
            <w:top w:val="none" w:sz="0" w:space="0" w:color="auto"/>
            <w:left w:val="none" w:sz="0" w:space="0" w:color="auto"/>
            <w:bottom w:val="none" w:sz="0" w:space="0" w:color="auto"/>
            <w:right w:val="none" w:sz="0" w:space="0" w:color="auto"/>
          </w:divBdr>
        </w:div>
        <w:div w:id="1699622511">
          <w:marLeft w:val="0"/>
          <w:marRight w:val="0"/>
          <w:marTop w:val="0"/>
          <w:marBottom w:val="0"/>
          <w:divBdr>
            <w:top w:val="none" w:sz="0" w:space="0" w:color="auto"/>
            <w:left w:val="none" w:sz="0" w:space="0" w:color="auto"/>
            <w:bottom w:val="none" w:sz="0" w:space="0" w:color="auto"/>
            <w:right w:val="none" w:sz="0" w:space="0" w:color="auto"/>
          </w:divBdr>
        </w:div>
        <w:div w:id="1824464902">
          <w:marLeft w:val="0"/>
          <w:marRight w:val="0"/>
          <w:marTop w:val="0"/>
          <w:marBottom w:val="0"/>
          <w:divBdr>
            <w:top w:val="none" w:sz="0" w:space="0" w:color="auto"/>
            <w:left w:val="none" w:sz="0" w:space="0" w:color="auto"/>
            <w:bottom w:val="none" w:sz="0" w:space="0" w:color="auto"/>
            <w:right w:val="none" w:sz="0" w:space="0" w:color="auto"/>
          </w:divBdr>
        </w:div>
        <w:div w:id="239564583">
          <w:marLeft w:val="0"/>
          <w:marRight w:val="0"/>
          <w:marTop w:val="0"/>
          <w:marBottom w:val="0"/>
          <w:divBdr>
            <w:top w:val="none" w:sz="0" w:space="0" w:color="auto"/>
            <w:left w:val="none" w:sz="0" w:space="0" w:color="auto"/>
            <w:bottom w:val="none" w:sz="0" w:space="0" w:color="auto"/>
            <w:right w:val="none" w:sz="0" w:space="0" w:color="auto"/>
          </w:divBdr>
        </w:div>
        <w:div w:id="838814423">
          <w:marLeft w:val="0"/>
          <w:marRight w:val="0"/>
          <w:marTop w:val="0"/>
          <w:marBottom w:val="0"/>
          <w:divBdr>
            <w:top w:val="none" w:sz="0" w:space="0" w:color="auto"/>
            <w:left w:val="none" w:sz="0" w:space="0" w:color="auto"/>
            <w:bottom w:val="none" w:sz="0" w:space="0" w:color="auto"/>
            <w:right w:val="none" w:sz="0" w:space="0" w:color="auto"/>
          </w:divBdr>
        </w:div>
        <w:div w:id="788354662">
          <w:marLeft w:val="0"/>
          <w:marRight w:val="0"/>
          <w:marTop w:val="0"/>
          <w:marBottom w:val="0"/>
          <w:divBdr>
            <w:top w:val="none" w:sz="0" w:space="0" w:color="auto"/>
            <w:left w:val="none" w:sz="0" w:space="0" w:color="auto"/>
            <w:bottom w:val="none" w:sz="0" w:space="0" w:color="auto"/>
            <w:right w:val="none" w:sz="0" w:space="0" w:color="auto"/>
          </w:divBdr>
        </w:div>
        <w:div w:id="636567211">
          <w:marLeft w:val="0"/>
          <w:marRight w:val="0"/>
          <w:marTop w:val="0"/>
          <w:marBottom w:val="0"/>
          <w:divBdr>
            <w:top w:val="none" w:sz="0" w:space="0" w:color="auto"/>
            <w:left w:val="none" w:sz="0" w:space="0" w:color="auto"/>
            <w:bottom w:val="none" w:sz="0" w:space="0" w:color="auto"/>
            <w:right w:val="none" w:sz="0" w:space="0" w:color="auto"/>
          </w:divBdr>
        </w:div>
        <w:div w:id="1005012718">
          <w:marLeft w:val="0"/>
          <w:marRight w:val="0"/>
          <w:marTop w:val="0"/>
          <w:marBottom w:val="0"/>
          <w:divBdr>
            <w:top w:val="none" w:sz="0" w:space="0" w:color="auto"/>
            <w:left w:val="none" w:sz="0" w:space="0" w:color="auto"/>
            <w:bottom w:val="none" w:sz="0" w:space="0" w:color="auto"/>
            <w:right w:val="none" w:sz="0" w:space="0" w:color="auto"/>
          </w:divBdr>
        </w:div>
        <w:div w:id="1161920447">
          <w:marLeft w:val="0"/>
          <w:marRight w:val="0"/>
          <w:marTop w:val="0"/>
          <w:marBottom w:val="0"/>
          <w:divBdr>
            <w:top w:val="none" w:sz="0" w:space="0" w:color="auto"/>
            <w:left w:val="none" w:sz="0" w:space="0" w:color="auto"/>
            <w:bottom w:val="none" w:sz="0" w:space="0" w:color="auto"/>
            <w:right w:val="none" w:sz="0" w:space="0" w:color="auto"/>
          </w:divBdr>
        </w:div>
        <w:div w:id="2065441197">
          <w:marLeft w:val="0"/>
          <w:marRight w:val="0"/>
          <w:marTop w:val="0"/>
          <w:marBottom w:val="0"/>
          <w:divBdr>
            <w:top w:val="none" w:sz="0" w:space="0" w:color="auto"/>
            <w:left w:val="none" w:sz="0" w:space="0" w:color="auto"/>
            <w:bottom w:val="none" w:sz="0" w:space="0" w:color="auto"/>
            <w:right w:val="none" w:sz="0" w:space="0" w:color="auto"/>
          </w:divBdr>
        </w:div>
        <w:div w:id="1999461580">
          <w:marLeft w:val="0"/>
          <w:marRight w:val="0"/>
          <w:marTop w:val="0"/>
          <w:marBottom w:val="0"/>
          <w:divBdr>
            <w:top w:val="none" w:sz="0" w:space="0" w:color="auto"/>
            <w:left w:val="none" w:sz="0" w:space="0" w:color="auto"/>
            <w:bottom w:val="none" w:sz="0" w:space="0" w:color="auto"/>
            <w:right w:val="none" w:sz="0" w:space="0" w:color="auto"/>
          </w:divBdr>
        </w:div>
        <w:div w:id="278688531">
          <w:marLeft w:val="0"/>
          <w:marRight w:val="0"/>
          <w:marTop w:val="0"/>
          <w:marBottom w:val="0"/>
          <w:divBdr>
            <w:top w:val="none" w:sz="0" w:space="0" w:color="auto"/>
            <w:left w:val="none" w:sz="0" w:space="0" w:color="auto"/>
            <w:bottom w:val="none" w:sz="0" w:space="0" w:color="auto"/>
            <w:right w:val="none" w:sz="0" w:space="0" w:color="auto"/>
          </w:divBdr>
        </w:div>
        <w:div w:id="1340502148">
          <w:marLeft w:val="0"/>
          <w:marRight w:val="0"/>
          <w:marTop w:val="0"/>
          <w:marBottom w:val="0"/>
          <w:divBdr>
            <w:top w:val="none" w:sz="0" w:space="0" w:color="auto"/>
            <w:left w:val="none" w:sz="0" w:space="0" w:color="auto"/>
            <w:bottom w:val="none" w:sz="0" w:space="0" w:color="auto"/>
            <w:right w:val="none" w:sz="0" w:space="0" w:color="auto"/>
          </w:divBdr>
        </w:div>
        <w:div w:id="412556364">
          <w:marLeft w:val="0"/>
          <w:marRight w:val="0"/>
          <w:marTop w:val="0"/>
          <w:marBottom w:val="0"/>
          <w:divBdr>
            <w:top w:val="none" w:sz="0" w:space="0" w:color="auto"/>
            <w:left w:val="none" w:sz="0" w:space="0" w:color="auto"/>
            <w:bottom w:val="none" w:sz="0" w:space="0" w:color="auto"/>
            <w:right w:val="none" w:sz="0" w:space="0" w:color="auto"/>
          </w:divBdr>
        </w:div>
        <w:div w:id="713971584">
          <w:marLeft w:val="0"/>
          <w:marRight w:val="0"/>
          <w:marTop w:val="0"/>
          <w:marBottom w:val="0"/>
          <w:divBdr>
            <w:top w:val="none" w:sz="0" w:space="0" w:color="auto"/>
            <w:left w:val="none" w:sz="0" w:space="0" w:color="auto"/>
            <w:bottom w:val="none" w:sz="0" w:space="0" w:color="auto"/>
            <w:right w:val="none" w:sz="0" w:space="0" w:color="auto"/>
          </w:divBdr>
        </w:div>
        <w:div w:id="1719938553">
          <w:marLeft w:val="0"/>
          <w:marRight w:val="0"/>
          <w:marTop w:val="0"/>
          <w:marBottom w:val="0"/>
          <w:divBdr>
            <w:top w:val="none" w:sz="0" w:space="0" w:color="auto"/>
            <w:left w:val="none" w:sz="0" w:space="0" w:color="auto"/>
            <w:bottom w:val="none" w:sz="0" w:space="0" w:color="auto"/>
            <w:right w:val="none" w:sz="0" w:space="0" w:color="auto"/>
          </w:divBdr>
        </w:div>
        <w:div w:id="872113771">
          <w:marLeft w:val="0"/>
          <w:marRight w:val="0"/>
          <w:marTop w:val="0"/>
          <w:marBottom w:val="0"/>
          <w:divBdr>
            <w:top w:val="none" w:sz="0" w:space="0" w:color="auto"/>
            <w:left w:val="none" w:sz="0" w:space="0" w:color="auto"/>
            <w:bottom w:val="none" w:sz="0" w:space="0" w:color="auto"/>
            <w:right w:val="none" w:sz="0" w:space="0" w:color="auto"/>
          </w:divBdr>
        </w:div>
        <w:div w:id="941256832">
          <w:marLeft w:val="0"/>
          <w:marRight w:val="0"/>
          <w:marTop w:val="0"/>
          <w:marBottom w:val="0"/>
          <w:divBdr>
            <w:top w:val="none" w:sz="0" w:space="0" w:color="auto"/>
            <w:left w:val="none" w:sz="0" w:space="0" w:color="auto"/>
            <w:bottom w:val="none" w:sz="0" w:space="0" w:color="auto"/>
            <w:right w:val="none" w:sz="0" w:space="0" w:color="auto"/>
          </w:divBdr>
        </w:div>
        <w:div w:id="138496186">
          <w:marLeft w:val="0"/>
          <w:marRight w:val="0"/>
          <w:marTop w:val="0"/>
          <w:marBottom w:val="0"/>
          <w:divBdr>
            <w:top w:val="none" w:sz="0" w:space="0" w:color="auto"/>
            <w:left w:val="none" w:sz="0" w:space="0" w:color="auto"/>
            <w:bottom w:val="none" w:sz="0" w:space="0" w:color="auto"/>
            <w:right w:val="none" w:sz="0" w:space="0" w:color="auto"/>
          </w:divBdr>
        </w:div>
        <w:div w:id="406654774">
          <w:marLeft w:val="0"/>
          <w:marRight w:val="0"/>
          <w:marTop w:val="0"/>
          <w:marBottom w:val="0"/>
          <w:divBdr>
            <w:top w:val="none" w:sz="0" w:space="0" w:color="auto"/>
            <w:left w:val="none" w:sz="0" w:space="0" w:color="auto"/>
            <w:bottom w:val="none" w:sz="0" w:space="0" w:color="auto"/>
            <w:right w:val="none" w:sz="0" w:space="0" w:color="auto"/>
          </w:divBdr>
        </w:div>
        <w:div w:id="537745403">
          <w:marLeft w:val="0"/>
          <w:marRight w:val="0"/>
          <w:marTop w:val="0"/>
          <w:marBottom w:val="0"/>
          <w:divBdr>
            <w:top w:val="none" w:sz="0" w:space="0" w:color="auto"/>
            <w:left w:val="none" w:sz="0" w:space="0" w:color="auto"/>
            <w:bottom w:val="none" w:sz="0" w:space="0" w:color="auto"/>
            <w:right w:val="none" w:sz="0" w:space="0" w:color="auto"/>
          </w:divBdr>
        </w:div>
        <w:div w:id="1441535908">
          <w:marLeft w:val="0"/>
          <w:marRight w:val="0"/>
          <w:marTop w:val="0"/>
          <w:marBottom w:val="0"/>
          <w:divBdr>
            <w:top w:val="none" w:sz="0" w:space="0" w:color="auto"/>
            <w:left w:val="none" w:sz="0" w:space="0" w:color="auto"/>
            <w:bottom w:val="none" w:sz="0" w:space="0" w:color="auto"/>
            <w:right w:val="none" w:sz="0" w:space="0" w:color="auto"/>
          </w:divBdr>
        </w:div>
        <w:div w:id="1968006397">
          <w:marLeft w:val="0"/>
          <w:marRight w:val="0"/>
          <w:marTop w:val="0"/>
          <w:marBottom w:val="0"/>
          <w:divBdr>
            <w:top w:val="none" w:sz="0" w:space="0" w:color="auto"/>
            <w:left w:val="none" w:sz="0" w:space="0" w:color="auto"/>
            <w:bottom w:val="none" w:sz="0" w:space="0" w:color="auto"/>
            <w:right w:val="none" w:sz="0" w:space="0" w:color="auto"/>
          </w:divBdr>
        </w:div>
        <w:div w:id="1965228585">
          <w:marLeft w:val="0"/>
          <w:marRight w:val="0"/>
          <w:marTop w:val="0"/>
          <w:marBottom w:val="0"/>
          <w:divBdr>
            <w:top w:val="none" w:sz="0" w:space="0" w:color="auto"/>
            <w:left w:val="none" w:sz="0" w:space="0" w:color="auto"/>
            <w:bottom w:val="none" w:sz="0" w:space="0" w:color="auto"/>
            <w:right w:val="none" w:sz="0" w:space="0" w:color="auto"/>
          </w:divBdr>
        </w:div>
        <w:div w:id="1876117358">
          <w:marLeft w:val="0"/>
          <w:marRight w:val="0"/>
          <w:marTop w:val="0"/>
          <w:marBottom w:val="0"/>
          <w:divBdr>
            <w:top w:val="none" w:sz="0" w:space="0" w:color="auto"/>
            <w:left w:val="none" w:sz="0" w:space="0" w:color="auto"/>
            <w:bottom w:val="none" w:sz="0" w:space="0" w:color="auto"/>
            <w:right w:val="none" w:sz="0" w:space="0" w:color="auto"/>
          </w:divBdr>
        </w:div>
        <w:div w:id="1660116856">
          <w:marLeft w:val="0"/>
          <w:marRight w:val="0"/>
          <w:marTop w:val="0"/>
          <w:marBottom w:val="0"/>
          <w:divBdr>
            <w:top w:val="none" w:sz="0" w:space="0" w:color="auto"/>
            <w:left w:val="none" w:sz="0" w:space="0" w:color="auto"/>
            <w:bottom w:val="none" w:sz="0" w:space="0" w:color="auto"/>
            <w:right w:val="none" w:sz="0" w:space="0" w:color="auto"/>
          </w:divBdr>
        </w:div>
        <w:div w:id="905267108">
          <w:marLeft w:val="0"/>
          <w:marRight w:val="0"/>
          <w:marTop w:val="0"/>
          <w:marBottom w:val="0"/>
          <w:divBdr>
            <w:top w:val="none" w:sz="0" w:space="0" w:color="auto"/>
            <w:left w:val="none" w:sz="0" w:space="0" w:color="auto"/>
            <w:bottom w:val="none" w:sz="0" w:space="0" w:color="auto"/>
            <w:right w:val="none" w:sz="0" w:space="0" w:color="auto"/>
          </w:divBdr>
        </w:div>
        <w:div w:id="43023371">
          <w:marLeft w:val="0"/>
          <w:marRight w:val="0"/>
          <w:marTop w:val="0"/>
          <w:marBottom w:val="0"/>
          <w:divBdr>
            <w:top w:val="none" w:sz="0" w:space="0" w:color="auto"/>
            <w:left w:val="none" w:sz="0" w:space="0" w:color="auto"/>
            <w:bottom w:val="none" w:sz="0" w:space="0" w:color="auto"/>
            <w:right w:val="none" w:sz="0" w:space="0" w:color="auto"/>
          </w:divBdr>
        </w:div>
        <w:div w:id="1402751086">
          <w:marLeft w:val="0"/>
          <w:marRight w:val="0"/>
          <w:marTop w:val="0"/>
          <w:marBottom w:val="0"/>
          <w:divBdr>
            <w:top w:val="none" w:sz="0" w:space="0" w:color="auto"/>
            <w:left w:val="none" w:sz="0" w:space="0" w:color="auto"/>
            <w:bottom w:val="none" w:sz="0" w:space="0" w:color="auto"/>
            <w:right w:val="none" w:sz="0" w:space="0" w:color="auto"/>
          </w:divBdr>
        </w:div>
        <w:div w:id="950430463">
          <w:marLeft w:val="0"/>
          <w:marRight w:val="0"/>
          <w:marTop w:val="0"/>
          <w:marBottom w:val="0"/>
          <w:divBdr>
            <w:top w:val="none" w:sz="0" w:space="0" w:color="auto"/>
            <w:left w:val="none" w:sz="0" w:space="0" w:color="auto"/>
            <w:bottom w:val="none" w:sz="0" w:space="0" w:color="auto"/>
            <w:right w:val="none" w:sz="0" w:space="0" w:color="auto"/>
          </w:divBdr>
        </w:div>
        <w:div w:id="1771198200">
          <w:marLeft w:val="0"/>
          <w:marRight w:val="0"/>
          <w:marTop w:val="0"/>
          <w:marBottom w:val="0"/>
          <w:divBdr>
            <w:top w:val="none" w:sz="0" w:space="0" w:color="auto"/>
            <w:left w:val="none" w:sz="0" w:space="0" w:color="auto"/>
            <w:bottom w:val="none" w:sz="0" w:space="0" w:color="auto"/>
            <w:right w:val="none" w:sz="0" w:space="0" w:color="auto"/>
          </w:divBdr>
        </w:div>
        <w:div w:id="238485691">
          <w:marLeft w:val="0"/>
          <w:marRight w:val="0"/>
          <w:marTop w:val="0"/>
          <w:marBottom w:val="0"/>
          <w:divBdr>
            <w:top w:val="none" w:sz="0" w:space="0" w:color="auto"/>
            <w:left w:val="none" w:sz="0" w:space="0" w:color="auto"/>
            <w:bottom w:val="none" w:sz="0" w:space="0" w:color="auto"/>
            <w:right w:val="none" w:sz="0" w:space="0" w:color="auto"/>
          </w:divBdr>
        </w:div>
        <w:div w:id="534585332">
          <w:marLeft w:val="0"/>
          <w:marRight w:val="0"/>
          <w:marTop w:val="0"/>
          <w:marBottom w:val="0"/>
          <w:divBdr>
            <w:top w:val="none" w:sz="0" w:space="0" w:color="auto"/>
            <w:left w:val="none" w:sz="0" w:space="0" w:color="auto"/>
            <w:bottom w:val="none" w:sz="0" w:space="0" w:color="auto"/>
            <w:right w:val="none" w:sz="0" w:space="0" w:color="auto"/>
          </w:divBdr>
        </w:div>
        <w:div w:id="1693679249">
          <w:marLeft w:val="0"/>
          <w:marRight w:val="0"/>
          <w:marTop w:val="0"/>
          <w:marBottom w:val="0"/>
          <w:divBdr>
            <w:top w:val="none" w:sz="0" w:space="0" w:color="auto"/>
            <w:left w:val="none" w:sz="0" w:space="0" w:color="auto"/>
            <w:bottom w:val="none" w:sz="0" w:space="0" w:color="auto"/>
            <w:right w:val="none" w:sz="0" w:space="0" w:color="auto"/>
          </w:divBdr>
        </w:div>
        <w:div w:id="469832643">
          <w:marLeft w:val="0"/>
          <w:marRight w:val="0"/>
          <w:marTop w:val="0"/>
          <w:marBottom w:val="0"/>
          <w:divBdr>
            <w:top w:val="none" w:sz="0" w:space="0" w:color="auto"/>
            <w:left w:val="none" w:sz="0" w:space="0" w:color="auto"/>
            <w:bottom w:val="none" w:sz="0" w:space="0" w:color="auto"/>
            <w:right w:val="none" w:sz="0" w:space="0" w:color="auto"/>
          </w:divBdr>
        </w:div>
        <w:div w:id="645353216">
          <w:marLeft w:val="0"/>
          <w:marRight w:val="0"/>
          <w:marTop w:val="0"/>
          <w:marBottom w:val="0"/>
          <w:divBdr>
            <w:top w:val="none" w:sz="0" w:space="0" w:color="auto"/>
            <w:left w:val="none" w:sz="0" w:space="0" w:color="auto"/>
            <w:bottom w:val="none" w:sz="0" w:space="0" w:color="auto"/>
            <w:right w:val="none" w:sz="0" w:space="0" w:color="auto"/>
          </w:divBdr>
        </w:div>
        <w:div w:id="1126192250">
          <w:marLeft w:val="0"/>
          <w:marRight w:val="0"/>
          <w:marTop w:val="0"/>
          <w:marBottom w:val="0"/>
          <w:divBdr>
            <w:top w:val="none" w:sz="0" w:space="0" w:color="auto"/>
            <w:left w:val="none" w:sz="0" w:space="0" w:color="auto"/>
            <w:bottom w:val="none" w:sz="0" w:space="0" w:color="auto"/>
            <w:right w:val="none" w:sz="0" w:space="0" w:color="auto"/>
          </w:divBdr>
        </w:div>
        <w:div w:id="2101636615">
          <w:marLeft w:val="0"/>
          <w:marRight w:val="0"/>
          <w:marTop w:val="0"/>
          <w:marBottom w:val="0"/>
          <w:divBdr>
            <w:top w:val="none" w:sz="0" w:space="0" w:color="auto"/>
            <w:left w:val="none" w:sz="0" w:space="0" w:color="auto"/>
            <w:bottom w:val="none" w:sz="0" w:space="0" w:color="auto"/>
            <w:right w:val="none" w:sz="0" w:space="0" w:color="auto"/>
          </w:divBdr>
        </w:div>
        <w:div w:id="469053478">
          <w:marLeft w:val="0"/>
          <w:marRight w:val="0"/>
          <w:marTop w:val="0"/>
          <w:marBottom w:val="0"/>
          <w:divBdr>
            <w:top w:val="none" w:sz="0" w:space="0" w:color="auto"/>
            <w:left w:val="none" w:sz="0" w:space="0" w:color="auto"/>
            <w:bottom w:val="none" w:sz="0" w:space="0" w:color="auto"/>
            <w:right w:val="none" w:sz="0" w:space="0" w:color="auto"/>
          </w:divBdr>
        </w:div>
        <w:div w:id="941258845">
          <w:marLeft w:val="0"/>
          <w:marRight w:val="0"/>
          <w:marTop w:val="0"/>
          <w:marBottom w:val="0"/>
          <w:divBdr>
            <w:top w:val="none" w:sz="0" w:space="0" w:color="auto"/>
            <w:left w:val="none" w:sz="0" w:space="0" w:color="auto"/>
            <w:bottom w:val="none" w:sz="0" w:space="0" w:color="auto"/>
            <w:right w:val="none" w:sz="0" w:space="0" w:color="auto"/>
          </w:divBdr>
        </w:div>
        <w:div w:id="964387376">
          <w:marLeft w:val="0"/>
          <w:marRight w:val="0"/>
          <w:marTop w:val="0"/>
          <w:marBottom w:val="0"/>
          <w:divBdr>
            <w:top w:val="none" w:sz="0" w:space="0" w:color="auto"/>
            <w:left w:val="none" w:sz="0" w:space="0" w:color="auto"/>
            <w:bottom w:val="none" w:sz="0" w:space="0" w:color="auto"/>
            <w:right w:val="none" w:sz="0" w:space="0" w:color="auto"/>
          </w:divBdr>
        </w:div>
        <w:div w:id="1750686653">
          <w:marLeft w:val="0"/>
          <w:marRight w:val="0"/>
          <w:marTop w:val="0"/>
          <w:marBottom w:val="0"/>
          <w:divBdr>
            <w:top w:val="none" w:sz="0" w:space="0" w:color="auto"/>
            <w:left w:val="none" w:sz="0" w:space="0" w:color="auto"/>
            <w:bottom w:val="none" w:sz="0" w:space="0" w:color="auto"/>
            <w:right w:val="none" w:sz="0" w:space="0" w:color="auto"/>
          </w:divBdr>
        </w:div>
        <w:div w:id="342783128">
          <w:marLeft w:val="0"/>
          <w:marRight w:val="0"/>
          <w:marTop w:val="0"/>
          <w:marBottom w:val="0"/>
          <w:divBdr>
            <w:top w:val="none" w:sz="0" w:space="0" w:color="auto"/>
            <w:left w:val="none" w:sz="0" w:space="0" w:color="auto"/>
            <w:bottom w:val="none" w:sz="0" w:space="0" w:color="auto"/>
            <w:right w:val="none" w:sz="0" w:space="0" w:color="auto"/>
          </w:divBdr>
        </w:div>
        <w:div w:id="165218236">
          <w:marLeft w:val="0"/>
          <w:marRight w:val="0"/>
          <w:marTop w:val="0"/>
          <w:marBottom w:val="0"/>
          <w:divBdr>
            <w:top w:val="none" w:sz="0" w:space="0" w:color="auto"/>
            <w:left w:val="none" w:sz="0" w:space="0" w:color="auto"/>
            <w:bottom w:val="none" w:sz="0" w:space="0" w:color="auto"/>
            <w:right w:val="none" w:sz="0" w:space="0" w:color="auto"/>
          </w:divBdr>
        </w:div>
        <w:div w:id="1161895496">
          <w:marLeft w:val="0"/>
          <w:marRight w:val="0"/>
          <w:marTop w:val="0"/>
          <w:marBottom w:val="0"/>
          <w:divBdr>
            <w:top w:val="none" w:sz="0" w:space="0" w:color="auto"/>
            <w:left w:val="none" w:sz="0" w:space="0" w:color="auto"/>
            <w:bottom w:val="none" w:sz="0" w:space="0" w:color="auto"/>
            <w:right w:val="none" w:sz="0" w:space="0" w:color="auto"/>
          </w:divBdr>
        </w:div>
        <w:div w:id="1201819174">
          <w:marLeft w:val="0"/>
          <w:marRight w:val="0"/>
          <w:marTop w:val="0"/>
          <w:marBottom w:val="0"/>
          <w:divBdr>
            <w:top w:val="none" w:sz="0" w:space="0" w:color="auto"/>
            <w:left w:val="none" w:sz="0" w:space="0" w:color="auto"/>
            <w:bottom w:val="none" w:sz="0" w:space="0" w:color="auto"/>
            <w:right w:val="none" w:sz="0" w:space="0" w:color="auto"/>
          </w:divBdr>
        </w:div>
        <w:div w:id="763501780">
          <w:marLeft w:val="0"/>
          <w:marRight w:val="0"/>
          <w:marTop w:val="0"/>
          <w:marBottom w:val="0"/>
          <w:divBdr>
            <w:top w:val="none" w:sz="0" w:space="0" w:color="auto"/>
            <w:left w:val="none" w:sz="0" w:space="0" w:color="auto"/>
            <w:bottom w:val="none" w:sz="0" w:space="0" w:color="auto"/>
            <w:right w:val="none" w:sz="0" w:space="0" w:color="auto"/>
          </w:divBdr>
        </w:div>
        <w:div w:id="1963268103">
          <w:marLeft w:val="0"/>
          <w:marRight w:val="0"/>
          <w:marTop w:val="0"/>
          <w:marBottom w:val="0"/>
          <w:divBdr>
            <w:top w:val="none" w:sz="0" w:space="0" w:color="auto"/>
            <w:left w:val="none" w:sz="0" w:space="0" w:color="auto"/>
            <w:bottom w:val="none" w:sz="0" w:space="0" w:color="auto"/>
            <w:right w:val="none" w:sz="0" w:space="0" w:color="auto"/>
          </w:divBdr>
        </w:div>
        <w:div w:id="1380855448">
          <w:marLeft w:val="0"/>
          <w:marRight w:val="0"/>
          <w:marTop w:val="0"/>
          <w:marBottom w:val="0"/>
          <w:divBdr>
            <w:top w:val="none" w:sz="0" w:space="0" w:color="auto"/>
            <w:left w:val="none" w:sz="0" w:space="0" w:color="auto"/>
            <w:bottom w:val="none" w:sz="0" w:space="0" w:color="auto"/>
            <w:right w:val="none" w:sz="0" w:space="0" w:color="auto"/>
          </w:divBdr>
        </w:div>
        <w:div w:id="609779584">
          <w:marLeft w:val="0"/>
          <w:marRight w:val="0"/>
          <w:marTop w:val="0"/>
          <w:marBottom w:val="0"/>
          <w:divBdr>
            <w:top w:val="none" w:sz="0" w:space="0" w:color="auto"/>
            <w:left w:val="none" w:sz="0" w:space="0" w:color="auto"/>
            <w:bottom w:val="none" w:sz="0" w:space="0" w:color="auto"/>
            <w:right w:val="none" w:sz="0" w:space="0" w:color="auto"/>
          </w:divBdr>
        </w:div>
        <w:div w:id="220679575">
          <w:marLeft w:val="0"/>
          <w:marRight w:val="0"/>
          <w:marTop w:val="0"/>
          <w:marBottom w:val="0"/>
          <w:divBdr>
            <w:top w:val="none" w:sz="0" w:space="0" w:color="auto"/>
            <w:left w:val="none" w:sz="0" w:space="0" w:color="auto"/>
            <w:bottom w:val="none" w:sz="0" w:space="0" w:color="auto"/>
            <w:right w:val="none" w:sz="0" w:space="0" w:color="auto"/>
          </w:divBdr>
        </w:div>
        <w:div w:id="1180311214">
          <w:marLeft w:val="0"/>
          <w:marRight w:val="0"/>
          <w:marTop w:val="0"/>
          <w:marBottom w:val="0"/>
          <w:divBdr>
            <w:top w:val="none" w:sz="0" w:space="0" w:color="auto"/>
            <w:left w:val="none" w:sz="0" w:space="0" w:color="auto"/>
            <w:bottom w:val="none" w:sz="0" w:space="0" w:color="auto"/>
            <w:right w:val="none" w:sz="0" w:space="0" w:color="auto"/>
          </w:divBdr>
        </w:div>
        <w:div w:id="224726896">
          <w:marLeft w:val="0"/>
          <w:marRight w:val="0"/>
          <w:marTop w:val="0"/>
          <w:marBottom w:val="0"/>
          <w:divBdr>
            <w:top w:val="none" w:sz="0" w:space="0" w:color="auto"/>
            <w:left w:val="none" w:sz="0" w:space="0" w:color="auto"/>
            <w:bottom w:val="none" w:sz="0" w:space="0" w:color="auto"/>
            <w:right w:val="none" w:sz="0" w:space="0" w:color="auto"/>
          </w:divBdr>
        </w:div>
        <w:div w:id="925306005">
          <w:marLeft w:val="0"/>
          <w:marRight w:val="0"/>
          <w:marTop w:val="0"/>
          <w:marBottom w:val="0"/>
          <w:divBdr>
            <w:top w:val="none" w:sz="0" w:space="0" w:color="auto"/>
            <w:left w:val="none" w:sz="0" w:space="0" w:color="auto"/>
            <w:bottom w:val="none" w:sz="0" w:space="0" w:color="auto"/>
            <w:right w:val="none" w:sz="0" w:space="0" w:color="auto"/>
          </w:divBdr>
        </w:div>
        <w:div w:id="1113209825">
          <w:marLeft w:val="0"/>
          <w:marRight w:val="0"/>
          <w:marTop w:val="0"/>
          <w:marBottom w:val="0"/>
          <w:divBdr>
            <w:top w:val="none" w:sz="0" w:space="0" w:color="auto"/>
            <w:left w:val="none" w:sz="0" w:space="0" w:color="auto"/>
            <w:bottom w:val="none" w:sz="0" w:space="0" w:color="auto"/>
            <w:right w:val="none" w:sz="0" w:space="0" w:color="auto"/>
          </w:divBdr>
        </w:div>
        <w:div w:id="1323586313">
          <w:marLeft w:val="0"/>
          <w:marRight w:val="0"/>
          <w:marTop w:val="0"/>
          <w:marBottom w:val="0"/>
          <w:divBdr>
            <w:top w:val="none" w:sz="0" w:space="0" w:color="auto"/>
            <w:left w:val="none" w:sz="0" w:space="0" w:color="auto"/>
            <w:bottom w:val="none" w:sz="0" w:space="0" w:color="auto"/>
            <w:right w:val="none" w:sz="0" w:space="0" w:color="auto"/>
          </w:divBdr>
        </w:div>
        <w:div w:id="309096318">
          <w:marLeft w:val="0"/>
          <w:marRight w:val="0"/>
          <w:marTop w:val="0"/>
          <w:marBottom w:val="0"/>
          <w:divBdr>
            <w:top w:val="none" w:sz="0" w:space="0" w:color="auto"/>
            <w:left w:val="none" w:sz="0" w:space="0" w:color="auto"/>
            <w:bottom w:val="none" w:sz="0" w:space="0" w:color="auto"/>
            <w:right w:val="none" w:sz="0" w:space="0" w:color="auto"/>
          </w:divBdr>
        </w:div>
        <w:div w:id="1713116874">
          <w:marLeft w:val="0"/>
          <w:marRight w:val="0"/>
          <w:marTop w:val="0"/>
          <w:marBottom w:val="0"/>
          <w:divBdr>
            <w:top w:val="none" w:sz="0" w:space="0" w:color="auto"/>
            <w:left w:val="none" w:sz="0" w:space="0" w:color="auto"/>
            <w:bottom w:val="none" w:sz="0" w:space="0" w:color="auto"/>
            <w:right w:val="none" w:sz="0" w:space="0" w:color="auto"/>
          </w:divBdr>
        </w:div>
        <w:div w:id="1105003572">
          <w:marLeft w:val="0"/>
          <w:marRight w:val="0"/>
          <w:marTop w:val="0"/>
          <w:marBottom w:val="0"/>
          <w:divBdr>
            <w:top w:val="none" w:sz="0" w:space="0" w:color="auto"/>
            <w:left w:val="none" w:sz="0" w:space="0" w:color="auto"/>
            <w:bottom w:val="none" w:sz="0" w:space="0" w:color="auto"/>
            <w:right w:val="none" w:sz="0" w:space="0" w:color="auto"/>
          </w:divBdr>
        </w:div>
        <w:div w:id="932325348">
          <w:marLeft w:val="0"/>
          <w:marRight w:val="0"/>
          <w:marTop w:val="0"/>
          <w:marBottom w:val="0"/>
          <w:divBdr>
            <w:top w:val="none" w:sz="0" w:space="0" w:color="auto"/>
            <w:left w:val="none" w:sz="0" w:space="0" w:color="auto"/>
            <w:bottom w:val="none" w:sz="0" w:space="0" w:color="auto"/>
            <w:right w:val="none" w:sz="0" w:space="0" w:color="auto"/>
          </w:divBdr>
        </w:div>
        <w:div w:id="1781146617">
          <w:marLeft w:val="0"/>
          <w:marRight w:val="0"/>
          <w:marTop w:val="0"/>
          <w:marBottom w:val="0"/>
          <w:divBdr>
            <w:top w:val="none" w:sz="0" w:space="0" w:color="auto"/>
            <w:left w:val="none" w:sz="0" w:space="0" w:color="auto"/>
            <w:bottom w:val="none" w:sz="0" w:space="0" w:color="auto"/>
            <w:right w:val="none" w:sz="0" w:space="0" w:color="auto"/>
          </w:divBdr>
        </w:div>
        <w:div w:id="604312324">
          <w:marLeft w:val="0"/>
          <w:marRight w:val="0"/>
          <w:marTop w:val="0"/>
          <w:marBottom w:val="0"/>
          <w:divBdr>
            <w:top w:val="none" w:sz="0" w:space="0" w:color="auto"/>
            <w:left w:val="none" w:sz="0" w:space="0" w:color="auto"/>
            <w:bottom w:val="none" w:sz="0" w:space="0" w:color="auto"/>
            <w:right w:val="none" w:sz="0" w:space="0" w:color="auto"/>
          </w:divBdr>
        </w:div>
      </w:divsChild>
    </w:div>
    <w:div w:id="804084172">
      <w:bodyDiv w:val="1"/>
      <w:marLeft w:val="0"/>
      <w:marRight w:val="0"/>
      <w:marTop w:val="0"/>
      <w:marBottom w:val="0"/>
      <w:divBdr>
        <w:top w:val="none" w:sz="0" w:space="0" w:color="auto"/>
        <w:left w:val="none" w:sz="0" w:space="0" w:color="auto"/>
        <w:bottom w:val="none" w:sz="0" w:space="0" w:color="auto"/>
        <w:right w:val="none" w:sz="0" w:space="0" w:color="auto"/>
      </w:divBdr>
      <w:divsChild>
        <w:div w:id="987366865">
          <w:marLeft w:val="240"/>
          <w:marRight w:val="0"/>
          <w:marTop w:val="48"/>
          <w:marBottom w:val="0"/>
          <w:divBdr>
            <w:top w:val="none" w:sz="0" w:space="0" w:color="auto"/>
            <w:left w:val="none" w:sz="0" w:space="0" w:color="auto"/>
            <w:bottom w:val="none" w:sz="0" w:space="0" w:color="auto"/>
            <w:right w:val="none" w:sz="0" w:space="0" w:color="auto"/>
          </w:divBdr>
          <w:divsChild>
            <w:div w:id="1753509423">
              <w:marLeft w:val="0"/>
              <w:marRight w:val="0"/>
              <w:marTop w:val="166"/>
              <w:marBottom w:val="166"/>
              <w:divBdr>
                <w:top w:val="none" w:sz="0" w:space="0" w:color="auto"/>
                <w:left w:val="none" w:sz="0" w:space="0" w:color="auto"/>
                <w:bottom w:val="none" w:sz="0" w:space="0" w:color="auto"/>
                <w:right w:val="none" w:sz="0" w:space="0" w:color="auto"/>
              </w:divBdr>
              <w:divsChild>
                <w:div w:id="20940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6577">
      <w:bodyDiv w:val="1"/>
      <w:marLeft w:val="0"/>
      <w:marRight w:val="0"/>
      <w:marTop w:val="0"/>
      <w:marBottom w:val="0"/>
      <w:divBdr>
        <w:top w:val="none" w:sz="0" w:space="0" w:color="auto"/>
        <w:left w:val="none" w:sz="0" w:space="0" w:color="auto"/>
        <w:bottom w:val="none" w:sz="0" w:space="0" w:color="auto"/>
        <w:right w:val="none" w:sz="0" w:space="0" w:color="auto"/>
      </w:divBdr>
    </w:div>
    <w:div w:id="946742215">
      <w:bodyDiv w:val="1"/>
      <w:marLeft w:val="0"/>
      <w:marRight w:val="0"/>
      <w:marTop w:val="0"/>
      <w:marBottom w:val="0"/>
      <w:divBdr>
        <w:top w:val="none" w:sz="0" w:space="0" w:color="auto"/>
        <w:left w:val="none" w:sz="0" w:space="0" w:color="auto"/>
        <w:bottom w:val="none" w:sz="0" w:space="0" w:color="auto"/>
        <w:right w:val="none" w:sz="0" w:space="0" w:color="auto"/>
      </w:divBdr>
    </w:div>
    <w:div w:id="1215193939">
      <w:bodyDiv w:val="1"/>
      <w:marLeft w:val="0"/>
      <w:marRight w:val="0"/>
      <w:marTop w:val="0"/>
      <w:marBottom w:val="0"/>
      <w:divBdr>
        <w:top w:val="none" w:sz="0" w:space="0" w:color="auto"/>
        <w:left w:val="none" w:sz="0" w:space="0" w:color="auto"/>
        <w:bottom w:val="none" w:sz="0" w:space="0" w:color="auto"/>
        <w:right w:val="none" w:sz="0" w:space="0" w:color="auto"/>
      </w:divBdr>
      <w:divsChild>
        <w:div w:id="1231110780">
          <w:marLeft w:val="0"/>
          <w:marRight w:val="0"/>
          <w:marTop w:val="332"/>
          <w:marBottom w:val="332"/>
          <w:divBdr>
            <w:top w:val="single" w:sz="6" w:space="8" w:color="DDDDDD"/>
            <w:left w:val="single" w:sz="6" w:space="8" w:color="DDDDDD"/>
            <w:bottom w:val="single" w:sz="6" w:space="0" w:color="DDDDDD"/>
            <w:right w:val="single" w:sz="6" w:space="8" w:color="DDDDDD"/>
          </w:divBdr>
          <w:divsChild>
            <w:div w:id="388263589">
              <w:marLeft w:val="0"/>
              <w:marRight w:val="0"/>
              <w:marTop w:val="0"/>
              <w:marBottom w:val="0"/>
              <w:divBdr>
                <w:top w:val="none" w:sz="0" w:space="0" w:color="auto"/>
                <w:left w:val="none" w:sz="0" w:space="0" w:color="auto"/>
                <w:bottom w:val="none" w:sz="0" w:space="0" w:color="auto"/>
                <w:right w:val="none" w:sz="0" w:space="0" w:color="auto"/>
              </w:divBdr>
            </w:div>
            <w:div w:id="1180387542">
              <w:marLeft w:val="0"/>
              <w:marRight w:val="0"/>
              <w:marTop w:val="0"/>
              <w:marBottom w:val="0"/>
              <w:divBdr>
                <w:top w:val="none" w:sz="0" w:space="0" w:color="auto"/>
                <w:left w:val="none" w:sz="0" w:space="0" w:color="auto"/>
                <w:bottom w:val="none" w:sz="0" w:space="0" w:color="auto"/>
                <w:right w:val="none" w:sz="0" w:space="0" w:color="auto"/>
              </w:divBdr>
            </w:div>
          </w:divsChild>
        </w:div>
        <w:div w:id="1654413505">
          <w:marLeft w:val="0"/>
          <w:marRight w:val="0"/>
          <w:marTop w:val="332"/>
          <w:marBottom w:val="332"/>
          <w:divBdr>
            <w:top w:val="single" w:sz="6" w:space="8" w:color="DDDDDD"/>
            <w:left w:val="single" w:sz="6" w:space="8" w:color="DDDDDD"/>
            <w:bottom w:val="single" w:sz="6" w:space="0" w:color="DDDDDD"/>
            <w:right w:val="single" w:sz="6" w:space="8" w:color="DDDDDD"/>
          </w:divBdr>
          <w:divsChild>
            <w:div w:id="649091979">
              <w:marLeft w:val="0"/>
              <w:marRight w:val="0"/>
              <w:marTop w:val="0"/>
              <w:marBottom w:val="0"/>
              <w:divBdr>
                <w:top w:val="none" w:sz="0" w:space="0" w:color="auto"/>
                <w:left w:val="none" w:sz="0" w:space="0" w:color="auto"/>
                <w:bottom w:val="none" w:sz="0" w:space="0" w:color="auto"/>
                <w:right w:val="none" w:sz="0" w:space="0" w:color="auto"/>
              </w:divBdr>
            </w:div>
            <w:div w:id="1953124403">
              <w:marLeft w:val="0"/>
              <w:marRight w:val="0"/>
              <w:marTop w:val="0"/>
              <w:marBottom w:val="0"/>
              <w:divBdr>
                <w:top w:val="none" w:sz="0" w:space="0" w:color="auto"/>
                <w:left w:val="none" w:sz="0" w:space="0" w:color="auto"/>
                <w:bottom w:val="none" w:sz="0" w:space="0" w:color="auto"/>
                <w:right w:val="none" w:sz="0" w:space="0" w:color="auto"/>
              </w:divBdr>
            </w:div>
          </w:divsChild>
        </w:div>
        <w:div w:id="1368991741">
          <w:marLeft w:val="0"/>
          <w:marRight w:val="0"/>
          <w:marTop w:val="332"/>
          <w:marBottom w:val="332"/>
          <w:divBdr>
            <w:top w:val="single" w:sz="6" w:space="8" w:color="DDDDDD"/>
            <w:left w:val="single" w:sz="6" w:space="8" w:color="DDDDDD"/>
            <w:bottom w:val="single" w:sz="6" w:space="0" w:color="DDDDDD"/>
            <w:right w:val="single" w:sz="6" w:space="8" w:color="DDDDDD"/>
          </w:divBdr>
          <w:divsChild>
            <w:div w:id="237059082">
              <w:marLeft w:val="0"/>
              <w:marRight w:val="0"/>
              <w:marTop w:val="0"/>
              <w:marBottom w:val="0"/>
              <w:divBdr>
                <w:top w:val="none" w:sz="0" w:space="0" w:color="auto"/>
                <w:left w:val="none" w:sz="0" w:space="0" w:color="auto"/>
                <w:bottom w:val="none" w:sz="0" w:space="0" w:color="auto"/>
                <w:right w:val="none" w:sz="0" w:space="0" w:color="auto"/>
              </w:divBdr>
            </w:div>
            <w:div w:id="1746876218">
              <w:marLeft w:val="0"/>
              <w:marRight w:val="0"/>
              <w:marTop w:val="0"/>
              <w:marBottom w:val="0"/>
              <w:divBdr>
                <w:top w:val="none" w:sz="0" w:space="0" w:color="auto"/>
                <w:left w:val="none" w:sz="0" w:space="0" w:color="auto"/>
                <w:bottom w:val="none" w:sz="0" w:space="0" w:color="auto"/>
                <w:right w:val="none" w:sz="0" w:space="0" w:color="auto"/>
              </w:divBdr>
            </w:div>
          </w:divsChild>
        </w:div>
        <w:div w:id="414398640">
          <w:marLeft w:val="0"/>
          <w:marRight w:val="0"/>
          <w:marTop w:val="332"/>
          <w:marBottom w:val="332"/>
          <w:divBdr>
            <w:top w:val="single" w:sz="6" w:space="8" w:color="DDDDDD"/>
            <w:left w:val="single" w:sz="6" w:space="8" w:color="DDDDDD"/>
            <w:bottom w:val="single" w:sz="6" w:space="0" w:color="DDDDDD"/>
            <w:right w:val="single" w:sz="6" w:space="8" w:color="DDDDDD"/>
          </w:divBdr>
          <w:divsChild>
            <w:div w:id="807671706">
              <w:marLeft w:val="0"/>
              <w:marRight w:val="0"/>
              <w:marTop w:val="0"/>
              <w:marBottom w:val="0"/>
              <w:divBdr>
                <w:top w:val="none" w:sz="0" w:space="0" w:color="auto"/>
                <w:left w:val="none" w:sz="0" w:space="0" w:color="auto"/>
                <w:bottom w:val="none" w:sz="0" w:space="0" w:color="auto"/>
                <w:right w:val="none" w:sz="0" w:space="0" w:color="auto"/>
              </w:divBdr>
            </w:div>
            <w:div w:id="2096658464">
              <w:marLeft w:val="0"/>
              <w:marRight w:val="0"/>
              <w:marTop w:val="0"/>
              <w:marBottom w:val="0"/>
              <w:divBdr>
                <w:top w:val="none" w:sz="0" w:space="0" w:color="auto"/>
                <w:left w:val="none" w:sz="0" w:space="0" w:color="auto"/>
                <w:bottom w:val="none" w:sz="0" w:space="0" w:color="auto"/>
                <w:right w:val="none" w:sz="0" w:space="0" w:color="auto"/>
              </w:divBdr>
            </w:div>
          </w:divsChild>
        </w:div>
        <w:div w:id="1459685629">
          <w:marLeft w:val="0"/>
          <w:marRight w:val="0"/>
          <w:marTop w:val="332"/>
          <w:marBottom w:val="332"/>
          <w:divBdr>
            <w:top w:val="single" w:sz="6" w:space="8" w:color="DDDDDD"/>
            <w:left w:val="single" w:sz="6" w:space="8" w:color="DDDDDD"/>
            <w:bottom w:val="single" w:sz="6" w:space="0" w:color="DDDDDD"/>
            <w:right w:val="single" w:sz="6" w:space="8" w:color="DDDDDD"/>
          </w:divBdr>
          <w:divsChild>
            <w:div w:id="1467620279">
              <w:marLeft w:val="0"/>
              <w:marRight w:val="0"/>
              <w:marTop w:val="0"/>
              <w:marBottom w:val="0"/>
              <w:divBdr>
                <w:top w:val="none" w:sz="0" w:space="0" w:color="auto"/>
                <w:left w:val="none" w:sz="0" w:space="0" w:color="auto"/>
                <w:bottom w:val="none" w:sz="0" w:space="0" w:color="auto"/>
                <w:right w:val="none" w:sz="0" w:space="0" w:color="auto"/>
              </w:divBdr>
            </w:div>
            <w:div w:id="1473520007">
              <w:marLeft w:val="0"/>
              <w:marRight w:val="0"/>
              <w:marTop w:val="0"/>
              <w:marBottom w:val="0"/>
              <w:divBdr>
                <w:top w:val="none" w:sz="0" w:space="0" w:color="auto"/>
                <w:left w:val="none" w:sz="0" w:space="0" w:color="auto"/>
                <w:bottom w:val="none" w:sz="0" w:space="0" w:color="auto"/>
                <w:right w:val="none" w:sz="0" w:space="0" w:color="auto"/>
              </w:divBdr>
            </w:div>
          </w:divsChild>
        </w:div>
        <w:div w:id="1267421857">
          <w:marLeft w:val="0"/>
          <w:marRight w:val="0"/>
          <w:marTop w:val="332"/>
          <w:marBottom w:val="332"/>
          <w:divBdr>
            <w:top w:val="single" w:sz="6" w:space="8" w:color="DDDDDD"/>
            <w:left w:val="single" w:sz="6" w:space="8" w:color="DDDDDD"/>
            <w:bottom w:val="single" w:sz="6" w:space="0" w:color="DDDDDD"/>
            <w:right w:val="single" w:sz="6" w:space="8" w:color="DDDDDD"/>
          </w:divBdr>
          <w:divsChild>
            <w:div w:id="774637989">
              <w:marLeft w:val="0"/>
              <w:marRight w:val="0"/>
              <w:marTop w:val="0"/>
              <w:marBottom w:val="0"/>
              <w:divBdr>
                <w:top w:val="none" w:sz="0" w:space="0" w:color="auto"/>
                <w:left w:val="none" w:sz="0" w:space="0" w:color="auto"/>
                <w:bottom w:val="none" w:sz="0" w:space="0" w:color="auto"/>
                <w:right w:val="none" w:sz="0" w:space="0" w:color="auto"/>
              </w:divBdr>
            </w:div>
            <w:div w:id="2101757535">
              <w:marLeft w:val="0"/>
              <w:marRight w:val="0"/>
              <w:marTop w:val="0"/>
              <w:marBottom w:val="0"/>
              <w:divBdr>
                <w:top w:val="none" w:sz="0" w:space="0" w:color="auto"/>
                <w:left w:val="none" w:sz="0" w:space="0" w:color="auto"/>
                <w:bottom w:val="none" w:sz="0" w:space="0" w:color="auto"/>
                <w:right w:val="none" w:sz="0" w:space="0" w:color="auto"/>
              </w:divBdr>
            </w:div>
          </w:divsChild>
        </w:div>
        <w:div w:id="1719746235">
          <w:marLeft w:val="0"/>
          <w:marRight w:val="0"/>
          <w:marTop w:val="332"/>
          <w:marBottom w:val="332"/>
          <w:divBdr>
            <w:top w:val="single" w:sz="6" w:space="8" w:color="DDDDDD"/>
            <w:left w:val="single" w:sz="6" w:space="8" w:color="DDDDDD"/>
            <w:bottom w:val="single" w:sz="6" w:space="0" w:color="DDDDDD"/>
            <w:right w:val="single" w:sz="6" w:space="8" w:color="DDDDDD"/>
          </w:divBdr>
          <w:divsChild>
            <w:div w:id="1272736293">
              <w:marLeft w:val="0"/>
              <w:marRight w:val="0"/>
              <w:marTop w:val="0"/>
              <w:marBottom w:val="0"/>
              <w:divBdr>
                <w:top w:val="none" w:sz="0" w:space="0" w:color="auto"/>
                <w:left w:val="none" w:sz="0" w:space="0" w:color="auto"/>
                <w:bottom w:val="none" w:sz="0" w:space="0" w:color="auto"/>
                <w:right w:val="none" w:sz="0" w:space="0" w:color="auto"/>
              </w:divBdr>
            </w:div>
            <w:div w:id="1121922751">
              <w:marLeft w:val="0"/>
              <w:marRight w:val="0"/>
              <w:marTop w:val="0"/>
              <w:marBottom w:val="0"/>
              <w:divBdr>
                <w:top w:val="none" w:sz="0" w:space="0" w:color="auto"/>
                <w:left w:val="none" w:sz="0" w:space="0" w:color="auto"/>
                <w:bottom w:val="none" w:sz="0" w:space="0" w:color="auto"/>
                <w:right w:val="none" w:sz="0" w:space="0" w:color="auto"/>
              </w:divBdr>
            </w:div>
          </w:divsChild>
        </w:div>
        <w:div w:id="225603356">
          <w:marLeft w:val="0"/>
          <w:marRight w:val="0"/>
          <w:marTop w:val="0"/>
          <w:marBottom w:val="0"/>
          <w:divBdr>
            <w:top w:val="none" w:sz="0" w:space="0" w:color="auto"/>
            <w:left w:val="none" w:sz="0" w:space="0" w:color="auto"/>
            <w:bottom w:val="none" w:sz="0" w:space="0" w:color="auto"/>
            <w:right w:val="none" w:sz="0" w:space="0" w:color="auto"/>
          </w:divBdr>
          <w:divsChild>
            <w:div w:id="527718410">
              <w:marLeft w:val="0"/>
              <w:marRight w:val="0"/>
              <w:marTop w:val="332"/>
              <w:marBottom w:val="332"/>
              <w:divBdr>
                <w:top w:val="single" w:sz="6" w:space="8" w:color="DDDDDD"/>
                <w:left w:val="single" w:sz="6" w:space="8" w:color="DDDDDD"/>
                <w:bottom w:val="single" w:sz="6" w:space="0" w:color="DDDDDD"/>
                <w:right w:val="single" w:sz="6" w:space="8" w:color="DDDDDD"/>
              </w:divBdr>
              <w:divsChild>
                <w:div w:id="1717119925">
                  <w:marLeft w:val="0"/>
                  <w:marRight w:val="0"/>
                  <w:marTop w:val="0"/>
                  <w:marBottom w:val="0"/>
                  <w:divBdr>
                    <w:top w:val="none" w:sz="0" w:space="0" w:color="auto"/>
                    <w:left w:val="none" w:sz="0" w:space="0" w:color="auto"/>
                    <w:bottom w:val="none" w:sz="0" w:space="0" w:color="auto"/>
                    <w:right w:val="none" w:sz="0" w:space="0" w:color="auto"/>
                  </w:divBdr>
                </w:div>
                <w:div w:id="162669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613">
          <w:marLeft w:val="0"/>
          <w:marRight w:val="0"/>
          <w:marTop w:val="0"/>
          <w:marBottom w:val="0"/>
          <w:divBdr>
            <w:top w:val="none" w:sz="0" w:space="0" w:color="auto"/>
            <w:left w:val="none" w:sz="0" w:space="0" w:color="auto"/>
            <w:bottom w:val="none" w:sz="0" w:space="0" w:color="auto"/>
            <w:right w:val="none" w:sz="0" w:space="0" w:color="auto"/>
          </w:divBdr>
          <w:divsChild>
            <w:div w:id="186452497">
              <w:marLeft w:val="0"/>
              <w:marRight w:val="0"/>
              <w:marTop w:val="332"/>
              <w:marBottom w:val="332"/>
              <w:divBdr>
                <w:top w:val="single" w:sz="6" w:space="8" w:color="DDDDDD"/>
                <w:left w:val="single" w:sz="6" w:space="8" w:color="DDDDDD"/>
                <w:bottom w:val="single" w:sz="6" w:space="0" w:color="DDDDDD"/>
                <w:right w:val="single" w:sz="6" w:space="8" w:color="DDDDDD"/>
              </w:divBdr>
              <w:divsChild>
                <w:div w:id="84347962">
                  <w:marLeft w:val="0"/>
                  <w:marRight w:val="0"/>
                  <w:marTop w:val="0"/>
                  <w:marBottom w:val="0"/>
                  <w:divBdr>
                    <w:top w:val="none" w:sz="0" w:space="0" w:color="auto"/>
                    <w:left w:val="none" w:sz="0" w:space="0" w:color="auto"/>
                    <w:bottom w:val="none" w:sz="0" w:space="0" w:color="auto"/>
                    <w:right w:val="none" w:sz="0" w:space="0" w:color="auto"/>
                  </w:divBdr>
                </w:div>
                <w:div w:id="496074681">
                  <w:marLeft w:val="0"/>
                  <w:marRight w:val="0"/>
                  <w:marTop w:val="0"/>
                  <w:marBottom w:val="0"/>
                  <w:divBdr>
                    <w:top w:val="none" w:sz="0" w:space="0" w:color="auto"/>
                    <w:left w:val="none" w:sz="0" w:space="0" w:color="auto"/>
                    <w:bottom w:val="none" w:sz="0" w:space="0" w:color="auto"/>
                    <w:right w:val="none" w:sz="0" w:space="0" w:color="auto"/>
                  </w:divBdr>
                </w:div>
              </w:divsChild>
            </w:div>
            <w:div w:id="1103959823">
              <w:marLeft w:val="0"/>
              <w:marRight w:val="0"/>
              <w:marTop w:val="332"/>
              <w:marBottom w:val="332"/>
              <w:divBdr>
                <w:top w:val="single" w:sz="6" w:space="8" w:color="DDDDDD"/>
                <w:left w:val="single" w:sz="6" w:space="8" w:color="DDDDDD"/>
                <w:bottom w:val="single" w:sz="6" w:space="0" w:color="DDDDDD"/>
                <w:right w:val="single" w:sz="6" w:space="8" w:color="DDDDDD"/>
              </w:divBdr>
              <w:divsChild>
                <w:div w:id="1120609978">
                  <w:marLeft w:val="0"/>
                  <w:marRight w:val="0"/>
                  <w:marTop w:val="0"/>
                  <w:marBottom w:val="0"/>
                  <w:divBdr>
                    <w:top w:val="none" w:sz="0" w:space="0" w:color="auto"/>
                    <w:left w:val="none" w:sz="0" w:space="0" w:color="auto"/>
                    <w:bottom w:val="none" w:sz="0" w:space="0" w:color="auto"/>
                    <w:right w:val="none" w:sz="0" w:space="0" w:color="auto"/>
                  </w:divBdr>
                </w:div>
                <w:div w:id="120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0828">
          <w:marLeft w:val="0"/>
          <w:marRight w:val="0"/>
          <w:marTop w:val="0"/>
          <w:marBottom w:val="0"/>
          <w:divBdr>
            <w:top w:val="none" w:sz="0" w:space="0" w:color="auto"/>
            <w:left w:val="none" w:sz="0" w:space="0" w:color="auto"/>
            <w:bottom w:val="none" w:sz="0" w:space="0" w:color="auto"/>
            <w:right w:val="none" w:sz="0" w:space="0" w:color="auto"/>
          </w:divBdr>
          <w:divsChild>
            <w:div w:id="1288783211">
              <w:marLeft w:val="0"/>
              <w:marRight w:val="0"/>
              <w:marTop w:val="332"/>
              <w:marBottom w:val="332"/>
              <w:divBdr>
                <w:top w:val="single" w:sz="6" w:space="8" w:color="DDDDDD"/>
                <w:left w:val="single" w:sz="6" w:space="8" w:color="DDDDDD"/>
                <w:bottom w:val="single" w:sz="6" w:space="0" w:color="DDDDDD"/>
                <w:right w:val="single" w:sz="6" w:space="8" w:color="DDDDDD"/>
              </w:divBdr>
              <w:divsChild>
                <w:div w:id="1466505854">
                  <w:marLeft w:val="0"/>
                  <w:marRight w:val="0"/>
                  <w:marTop w:val="0"/>
                  <w:marBottom w:val="0"/>
                  <w:divBdr>
                    <w:top w:val="none" w:sz="0" w:space="0" w:color="auto"/>
                    <w:left w:val="none" w:sz="0" w:space="0" w:color="auto"/>
                    <w:bottom w:val="none" w:sz="0" w:space="0" w:color="auto"/>
                    <w:right w:val="none" w:sz="0" w:space="0" w:color="auto"/>
                  </w:divBdr>
                </w:div>
                <w:div w:id="14850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7328">
          <w:marLeft w:val="0"/>
          <w:marRight w:val="0"/>
          <w:marTop w:val="0"/>
          <w:marBottom w:val="0"/>
          <w:divBdr>
            <w:top w:val="none" w:sz="0" w:space="0" w:color="auto"/>
            <w:left w:val="none" w:sz="0" w:space="0" w:color="auto"/>
            <w:bottom w:val="none" w:sz="0" w:space="0" w:color="auto"/>
            <w:right w:val="none" w:sz="0" w:space="0" w:color="auto"/>
          </w:divBdr>
          <w:divsChild>
            <w:div w:id="2050646472">
              <w:marLeft w:val="0"/>
              <w:marRight w:val="0"/>
              <w:marTop w:val="332"/>
              <w:marBottom w:val="332"/>
              <w:divBdr>
                <w:top w:val="single" w:sz="6" w:space="8" w:color="DDDDDD"/>
                <w:left w:val="single" w:sz="6" w:space="8" w:color="DDDDDD"/>
                <w:bottom w:val="single" w:sz="6" w:space="0" w:color="DDDDDD"/>
                <w:right w:val="single" w:sz="6" w:space="8" w:color="DDDDDD"/>
              </w:divBdr>
              <w:divsChild>
                <w:div w:id="62219657">
                  <w:marLeft w:val="0"/>
                  <w:marRight w:val="0"/>
                  <w:marTop w:val="0"/>
                  <w:marBottom w:val="0"/>
                  <w:divBdr>
                    <w:top w:val="none" w:sz="0" w:space="0" w:color="auto"/>
                    <w:left w:val="none" w:sz="0" w:space="0" w:color="auto"/>
                    <w:bottom w:val="none" w:sz="0" w:space="0" w:color="auto"/>
                    <w:right w:val="none" w:sz="0" w:space="0" w:color="auto"/>
                  </w:divBdr>
                </w:div>
                <w:div w:id="13328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3944">
          <w:marLeft w:val="0"/>
          <w:marRight w:val="0"/>
          <w:marTop w:val="0"/>
          <w:marBottom w:val="0"/>
          <w:divBdr>
            <w:top w:val="none" w:sz="0" w:space="0" w:color="auto"/>
            <w:left w:val="none" w:sz="0" w:space="0" w:color="auto"/>
            <w:bottom w:val="none" w:sz="0" w:space="0" w:color="auto"/>
            <w:right w:val="none" w:sz="0" w:space="0" w:color="auto"/>
          </w:divBdr>
        </w:div>
        <w:div w:id="451706332">
          <w:marLeft w:val="0"/>
          <w:marRight w:val="0"/>
          <w:marTop w:val="0"/>
          <w:marBottom w:val="0"/>
          <w:divBdr>
            <w:top w:val="none" w:sz="0" w:space="0" w:color="auto"/>
            <w:left w:val="none" w:sz="0" w:space="0" w:color="auto"/>
            <w:bottom w:val="none" w:sz="0" w:space="0" w:color="auto"/>
            <w:right w:val="none" w:sz="0" w:space="0" w:color="auto"/>
          </w:divBdr>
        </w:div>
        <w:div w:id="477646675">
          <w:marLeft w:val="0"/>
          <w:marRight w:val="0"/>
          <w:marTop w:val="0"/>
          <w:marBottom w:val="0"/>
          <w:divBdr>
            <w:top w:val="none" w:sz="0" w:space="0" w:color="auto"/>
            <w:left w:val="none" w:sz="0" w:space="0" w:color="auto"/>
            <w:bottom w:val="none" w:sz="0" w:space="0" w:color="auto"/>
            <w:right w:val="none" w:sz="0" w:space="0" w:color="auto"/>
          </w:divBdr>
        </w:div>
        <w:div w:id="1276718106">
          <w:marLeft w:val="0"/>
          <w:marRight w:val="0"/>
          <w:marTop w:val="0"/>
          <w:marBottom w:val="0"/>
          <w:divBdr>
            <w:top w:val="none" w:sz="0" w:space="0" w:color="auto"/>
            <w:left w:val="none" w:sz="0" w:space="0" w:color="auto"/>
            <w:bottom w:val="none" w:sz="0" w:space="0" w:color="auto"/>
            <w:right w:val="none" w:sz="0" w:space="0" w:color="auto"/>
          </w:divBdr>
        </w:div>
        <w:div w:id="1731147353">
          <w:marLeft w:val="0"/>
          <w:marRight w:val="0"/>
          <w:marTop w:val="0"/>
          <w:marBottom w:val="0"/>
          <w:divBdr>
            <w:top w:val="none" w:sz="0" w:space="0" w:color="auto"/>
            <w:left w:val="none" w:sz="0" w:space="0" w:color="auto"/>
            <w:bottom w:val="none" w:sz="0" w:space="0" w:color="auto"/>
            <w:right w:val="none" w:sz="0" w:space="0" w:color="auto"/>
          </w:divBdr>
        </w:div>
        <w:div w:id="479227634">
          <w:marLeft w:val="0"/>
          <w:marRight w:val="0"/>
          <w:marTop w:val="0"/>
          <w:marBottom w:val="0"/>
          <w:divBdr>
            <w:top w:val="none" w:sz="0" w:space="0" w:color="auto"/>
            <w:left w:val="none" w:sz="0" w:space="0" w:color="auto"/>
            <w:bottom w:val="none" w:sz="0" w:space="0" w:color="auto"/>
            <w:right w:val="none" w:sz="0" w:space="0" w:color="auto"/>
          </w:divBdr>
        </w:div>
        <w:div w:id="1649817798">
          <w:marLeft w:val="0"/>
          <w:marRight w:val="0"/>
          <w:marTop w:val="0"/>
          <w:marBottom w:val="0"/>
          <w:divBdr>
            <w:top w:val="none" w:sz="0" w:space="0" w:color="auto"/>
            <w:left w:val="none" w:sz="0" w:space="0" w:color="auto"/>
            <w:bottom w:val="none" w:sz="0" w:space="0" w:color="auto"/>
            <w:right w:val="none" w:sz="0" w:space="0" w:color="auto"/>
          </w:divBdr>
        </w:div>
        <w:div w:id="1277247452">
          <w:marLeft w:val="0"/>
          <w:marRight w:val="0"/>
          <w:marTop w:val="0"/>
          <w:marBottom w:val="0"/>
          <w:divBdr>
            <w:top w:val="none" w:sz="0" w:space="0" w:color="auto"/>
            <w:left w:val="none" w:sz="0" w:space="0" w:color="auto"/>
            <w:bottom w:val="none" w:sz="0" w:space="0" w:color="auto"/>
            <w:right w:val="none" w:sz="0" w:space="0" w:color="auto"/>
          </w:divBdr>
          <w:divsChild>
            <w:div w:id="1861048091">
              <w:marLeft w:val="0"/>
              <w:marRight w:val="0"/>
              <w:marTop w:val="332"/>
              <w:marBottom w:val="332"/>
              <w:divBdr>
                <w:top w:val="single" w:sz="6" w:space="8" w:color="DDDDDD"/>
                <w:left w:val="single" w:sz="6" w:space="8" w:color="DDDDDD"/>
                <w:bottom w:val="single" w:sz="6" w:space="0" w:color="DDDDDD"/>
                <w:right w:val="single" w:sz="6" w:space="8" w:color="DDDDDD"/>
              </w:divBdr>
              <w:divsChild>
                <w:div w:id="449788849">
                  <w:marLeft w:val="0"/>
                  <w:marRight w:val="0"/>
                  <w:marTop w:val="0"/>
                  <w:marBottom w:val="0"/>
                  <w:divBdr>
                    <w:top w:val="none" w:sz="0" w:space="0" w:color="auto"/>
                    <w:left w:val="none" w:sz="0" w:space="0" w:color="auto"/>
                    <w:bottom w:val="none" w:sz="0" w:space="0" w:color="auto"/>
                    <w:right w:val="none" w:sz="0" w:space="0" w:color="auto"/>
                  </w:divBdr>
                </w:div>
                <w:div w:id="1218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7275">
          <w:marLeft w:val="0"/>
          <w:marRight w:val="0"/>
          <w:marTop w:val="0"/>
          <w:marBottom w:val="0"/>
          <w:divBdr>
            <w:top w:val="none" w:sz="0" w:space="0" w:color="auto"/>
            <w:left w:val="none" w:sz="0" w:space="0" w:color="auto"/>
            <w:bottom w:val="none" w:sz="0" w:space="0" w:color="auto"/>
            <w:right w:val="none" w:sz="0" w:space="0" w:color="auto"/>
          </w:divBdr>
        </w:div>
        <w:div w:id="1615014028">
          <w:marLeft w:val="0"/>
          <w:marRight w:val="0"/>
          <w:marTop w:val="0"/>
          <w:marBottom w:val="0"/>
          <w:divBdr>
            <w:top w:val="none" w:sz="0" w:space="0" w:color="auto"/>
            <w:left w:val="none" w:sz="0" w:space="0" w:color="auto"/>
            <w:bottom w:val="none" w:sz="0" w:space="0" w:color="auto"/>
            <w:right w:val="none" w:sz="0" w:space="0" w:color="auto"/>
          </w:divBdr>
        </w:div>
        <w:div w:id="477768029">
          <w:marLeft w:val="0"/>
          <w:marRight w:val="0"/>
          <w:marTop w:val="0"/>
          <w:marBottom w:val="0"/>
          <w:divBdr>
            <w:top w:val="none" w:sz="0" w:space="0" w:color="auto"/>
            <w:left w:val="none" w:sz="0" w:space="0" w:color="auto"/>
            <w:bottom w:val="none" w:sz="0" w:space="0" w:color="auto"/>
            <w:right w:val="none" w:sz="0" w:space="0" w:color="auto"/>
          </w:divBdr>
          <w:divsChild>
            <w:div w:id="632255052">
              <w:marLeft w:val="0"/>
              <w:marRight w:val="0"/>
              <w:marTop w:val="332"/>
              <w:marBottom w:val="332"/>
              <w:divBdr>
                <w:top w:val="single" w:sz="6" w:space="8" w:color="DDDDDD"/>
                <w:left w:val="single" w:sz="6" w:space="8" w:color="DDDDDD"/>
                <w:bottom w:val="single" w:sz="6" w:space="0" w:color="DDDDDD"/>
                <w:right w:val="single" w:sz="6" w:space="8" w:color="DDDDDD"/>
              </w:divBdr>
              <w:divsChild>
                <w:div w:id="1931155759">
                  <w:marLeft w:val="0"/>
                  <w:marRight w:val="0"/>
                  <w:marTop w:val="0"/>
                  <w:marBottom w:val="0"/>
                  <w:divBdr>
                    <w:top w:val="none" w:sz="0" w:space="0" w:color="auto"/>
                    <w:left w:val="none" w:sz="0" w:space="0" w:color="auto"/>
                    <w:bottom w:val="none" w:sz="0" w:space="0" w:color="auto"/>
                    <w:right w:val="none" w:sz="0" w:space="0" w:color="auto"/>
                  </w:divBdr>
                </w:div>
                <w:div w:id="657417257">
                  <w:marLeft w:val="0"/>
                  <w:marRight w:val="0"/>
                  <w:marTop w:val="0"/>
                  <w:marBottom w:val="0"/>
                  <w:divBdr>
                    <w:top w:val="none" w:sz="0" w:space="0" w:color="auto"/>
                    <w:left w:val="none" w:sz="0" w:space="0" w:color="auto"/>
                    <w:bottom w:val="none" w:sz="0" w:space="0" w:color="auto"/>
                    <w:right w:val="none" w:sz="0" w:space="0" w:color="auto"/>
                  </w:divBdr>
                </w:div>
              </w:divsChild>
            </w:div>
            <w:div w:id="784740419">
              <w:marLeft w:val="0"/>
              <w:marRight w:val="0"/>
              <w:marTop w:val="332"/>
              <w:marBottom w:val="332"/>
              <w:divBdr>
                <w:top w:val="single" w:sz="6" w:space="8" w:color="DDDDDD"/>
                <w:left w:val="single" w:sz="6" w:space="8" w:color="DDDDDD"/>
                <w:bottom w:val="single" w:sz="6" w:space="0" w:color="DDDDDD"/>
                <w:right w:val="single" w:sz="6" w:space="8" w:color="DDDDDD"/>
              </w:divBdr>
              <w:divsChild>
                <w:div w:id="570653202">
                  <w:marLeft w:val="0"/>
                  <w:marRight w:val="0"/>
                  <w:marTop w:val="0"/>
                  <w:marBottom w:val="0"/>
                  <w:divBdr>
                    <w:top w:val="none" w:sz="0" w:space="0" w:color="auto"/>
                    <w:left w:val="none" w:sz="0" w:space="0" w:color="auto"/>
                    <w:bottom w:val="none" w:sz="0" w:space="0" w:color="auto"/>
                    <w:right w:val="none" w:sz="0" w:space="0" w:color="auto"/>
                  </w:divBdr>
                </w:div>
                <w:div w:id="10165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1461">
          <w:marLeft w:val="0"/>
          <w:marRight w:val="0"/>
          <w:marTop w:val="0"/>
          <w:marBottom w:val="0"/>
          <w:divBdr>
            <w:top w:val="none" w:sz="0" w:space="0" w:color="auto"/>
            <w:left w:val="none" w:sz="0" w:space="0" w:color="auto"/>
            <w:bottom w:val="none" w:sz="0" w:space="0" w:color="auto"/>
            <w:right w:val="none" w:sz="0" w:space="0" w:color="auto"/>
          </w:divBdr>
        </w:div>
        <w:div w:id="1210148497">
          <w:marLeft w:val="0"/>
          <w:marRight w:val="0"/>
          <w:marTop w:val="0"/>
          <w:marBottom w:val="0"/>
          <w:divBdr>
            <w:top w:val="none" w:sz="0" w:space="0" w:color="auto"/>
            <w:left w:val="none" w:sz="0" w:space="0" w:color="auto"/>
            <w:bottom w:val="none" w:sz="0" w:space="0" w:color="auto"/>
            <w:right w:val="none" w:sz="0" w:space="0" w:color="auto"/>
          </w:divBdr>
        </w:div>
        <w:div w:id="1819767369">
          <w:marLeft w:val="0"/>
          <w:marRight w:val="0"/>
          <w:marTop w:val="0"/>
          <w:marBottom w:val="0"/>
          <w:divBdr>
            <w:top w:val="none" w:sz="0" w:space="0" w:color="auto"/>
            <w:left w:val="none" w:sz="0" w:space="0" w:color="auto"/>
            <w:bottom w:val="none" w:sz="0" w:space="0" w:color="auto"/>
            <w:right w:val="none" w:sz="0" w:space="0" w:color="auto"/>
          </w:divBdr>
        </w:div>
        <w:div w:id="170487890">
          <w:marLeft w:val="0"/>
          <w:marRight w:val="0"/>
          <w:marTop w:val="0"/>
          <w:marBottom w:val="0"/>
          <w:divBdr>
            <w:top w:val="none" w:sz="0" w:space="0" w:color="auto"/>
            <w:left w:val="none" w:sz="0" w:space="0" w:color="auto"/>
            <w:bottom w:val="none" w:sz="0" w:space="0" w:color="auto"/>
            <w:right w:val="none" w:sz="0" w:space="0" w:color="auto"/>
          </w:divBdr>
        </w:div>
        <w:div w:id="346516920">
          <w:marLeft w:val="0"/>
          <w:marRight w:val="0"/>
          <w:marTop w:val="0"/>
          <w:marBottom w:val="0"/>
          <w:divBdr>
            <w:top w:val="none" w:sz="0" w:space="0" w:color="auto"/>
            <w:left w:val="none" w:sz="0" w:space="0" w:color="auto"/>
            <w:bottom w:val="none" w:sz="0" w:space="0" w:color="auto"/>
            <w:right w:val="none" w:sz="0" w:space="0" w:color="auto"/>
          </w:divBdr>
        </w:div>
        <w:div w:id="1173760189">
          <w:marLeft w:val="0"/>
          <w:marRight w:val="0"/>
          <w:marTop w:val="0"/>
          <w:marBottom w:val="0"/>
          <w:divBdr>
            <w:top w:val="none" w:sz="0" w:space="0" w:color="auto"/>
            <w:left w:val="none" w:sz="0" w:space="0" w:color="auto"/>
            <w:bottom w:val="none" w:sz="0" w:space="0" w:color="auto"/>
            <w:right w:val="none" w:sz="0" w:space="0" w:color="auto"/>
          </w:divBdr>
        </w:div>
        <w:div w:id="1551531540">
          <w:marLeft w:val="0"/>
          <w:marRight w:val="0"/>
          <w:marTop w:val="0"/>
          <w:marBottom w:val="0"/>
          <w:divBdr>
            <w:top w:val="none" w:sz="0" w:space="0" w:color="auto"/>
            <w:left w:val="none" w:sz="0" w:space="0" w:color="auto"/>
            <w:bottom w:val="none" w:sz="0" w:space="0" w:color="auto"/>
            <w:right w:val="none" w:sz="0" w:space="0" w:color="auto"/>
          </w:divBdr>
        </w:div>
        <w:div w:id="238365509">
          <w:marLeft w:val="0"/>
          <w:marRight w:val="0"/>
          <w:marTop w:val="0"/>
          <w:marBottom w:val="0"/>
          <w:divBdr>
            <w:top w:val="none" w:sz="0" w:space="0" w:color="auto"/>
            <w:left w:val="none" w:sz="0" w:space="0" w:color="auto"/>
            <w:bottom w:val="none" w:sz="0" w:space="0" w:color="auto"/>
            <w:right w:val="none" w:sz="0" w:space="0" w:color="auto"/>
          </w:divBdr>
          <w:divsChild>
            <w:div w:id="1192189011">
              <w:marLeft w:val="0"/>
              <w:marRight w:val="0"/>
              <w:marTop w:val="332"/>
              <w:marBottom w:val="332"/>
              <w:divBdr>
                <w:top w:val="single" w:sz="6" w:space="8" w:color="DDDDDD"/>
                <w:left w:val="single" w:sz="6" w:space="8" w:color="DDDDDD"/>
                <w:bottom w:val="single" w:sz="6" w:space="0" w:color="DDDDDD"/>
                <w:right w:val="single" w:sz="6" w:space="8" w:color="DDDDDD"/>
              </w:divBdr>
              <w:divsChild>
                <w:div w:id="1483817596">
                  <w:marLeft w:val="0"/>
                  <w:marRight w:val="0"/>
                  <w:marTop w:val="0"/>
                  <w:marBottom w:val="0"/>
                  <w:divBdr>
                    <w:top w:val="none" w:sz="0" w:space="0" w:color="auto"/>
                    <w:left w:val="none" w:sz="0" w:space="0" w:color="auto"/>
                    <w:bottom w:val="none" w:sz="0" w:space="0" w:color="auto"/>
                    <w:right w:val="none" w:sz="0" w:space="0" w:color="auto"/>
                  </w:divBdr>
                </w:div>
                <w:div w:id="7589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745">
          <w:marLeft w:val="0"/>
          <w:marRight w:val="0"/>
          <w:marTop w:val="332"/>
          <w:marBottom w:val="332"/>
          <w:divBdr>
            <w:top w:val="single" w:sz="6" w:space="8" w:color="DDDDDD"/>
            <w:left w:val="single" w:sz="6" w:space="8" w:color="DDDDDD"/>
            <w:bottom w:val="single" w:sz="6" w:space="0" w:color="DDDDDD"/>
            <w:right w:val="single" w:sz="6" w:space="8" w:color="DDDDDD"/>
          </w:divBdr>
          <w:divsChild>
            <w:div w:id="978265546">
              <w:marLeft w:val="0"/>
              <w:marRight w:val="0"/>
              <w:marTop w:val="0"/>
              <w:marBottom w:val="0"/>
              <w:divBdr>
                <w:top w:val="none" w:sz="0" w:space="0" w:color="auto"/>
                <w:left w:val="none" w:sz="0" w:space="0" w:color="auto"/>
                <w:bottom w:val="none" w:sz="0" w:space="0" w:color="auto"/>
                <w:right w:val="none" w:sz="0" w:space="0" w:color="auto"/>
              </w:divBdr>
            </w:div>
            <w:div w:id="1419520950">
              <w:marLeft w:val="0"/>
              <w:marRight w:val="0"/>
              <w:marTop w:val="0"/>
              <w:marBottom w:val="0"/>
              <w:divBdr>
                <w:top w:val="none" w:sz="0" w:space="0" w:color="auto"/>
                <w:left w:val="none" w:sz="0" w:space="0" w:color="auto"/>
                <w:bottom w:val="none" w:sz="0" w:space="0" w:color="auto"/>
                <w:right w:val="none" w:sz="0" w:space="0" w:color="auto"/>
              </w:divBdr>
            </w:div>
          </w:divsChild>
        </w:div>
        <w:div w:id="1544560264">
          <w:marLeft w:val="0"/>
          <w:marRight w:val="0"/>
          <w:marTop w:val="0"/>
          <w:marBottom w:val="0"/>
          <w:divBdr>
            <w:top w:val="none" w:sz="0" w:space="0" w:color="auto"/>
            <w:left w:val="none" w:sz="0" w:space="0" w:color="auto"/>
            <w:bottom w:val="none" w:sz="0" w:space="0" w:color="auto"/>
            <w:right w:val="none" w:sz="0" w:space="0" w:color="auto"/>
          </w:divBdr>
          <w:divsChild>
            <w:div w:id="299312178">
              <w:marLeft w:val="0"/>
              <w:marRight w:val="0"/>
              <w:marTop w:val="332"/>
              <w:marBottom w:val="332"/>
              <w:divBdr>
                <w:top w:val="single" w:sz="6" w:space="8" w:color="DDDDDD"/>
                <w:left w:val="single" w:sz="6" w:space="8" w:color="DDDDDD"/>
                <w:bottom w:val="single" w:sz="6" w:space="0" w:color="DDDDDD"/>
                <w:right w:val="single" w:sz="6" w:space="8" w:color="DDDDDD"/>
              </w:divBdr>
              <w:divsChild>
                <w:div w:id="377897659">
                  <w:marLeft w:val="0"/>
                  <w:marRight w:val="0"/>
                  <w:marTop w:val="0"/>
                  <w:marBottom w:val="0"/>
                  <w:divBdr>
                    <w:top w:val="none" w:sz="0" w:space="0" w:color="auto"/>
                    <w:left w:val="none" w:sz="0" w:space="0" w:color="auto"/>
                    <w:bottom w:val="none" w:sz="0" w:space="0" w:color="auto"/>
                    <w:right w:val="none" w:sz="0" w:space="0" w:color="auto"/>
                  </w:divBdr>
                </w:div>
                <w:div w:id="214048437">
                  <w:marLeft w:val="0"/>
                  <w:marRight w:val="0"/>
                  <w:marTop w:val="0"/>
                  <w:marBottom w:val="0"/>
                  <w:divBdr>
                    <w:top w:val="none" w:sz="0" w:space="0" w:color="auto"/>
                    <w:left w:val="none" w:sz="0" w:space="0" w:color="auto"/>
                    <w:bottom w:val="none" w:sz="0" w:space="0" w:color="auto"/>
                    <w:right w:val="none" w:sz="0" w:space="0" w:color="auto"/>
                  </w:divBdr>
                </w:div>
              </w:divsChild>
            </w:div>
            <w:div w:id="114564093">
              <w:marLeft w:val="0"/>
              <w:marRight w:val="0"/>
              <w:marTop w:val="0"/>
              <w:marBottom w:val="0"/>
              <w:divBdr>
                <w:top w:val="none" w:sz="0" w:space="0" w:color="auto"/>
                <w:left w:val="none" w:sz="0" w:space="0" w:color="auto"/>
                <w:bottom w:val="none" w:sz="0" w:space="0" w:color="auto"/>
                <w:right w:val="none" w:sz="0" w:space="0" w:color="auto"/>
              </w:divBdr>
              <w:divsChild>
                <w:div w:id="185680077">
                  <w:marLeft w:val="0"/>
                  <w:marRight w:val="0"/>
                  <w:marTop w:val="0"/>
                  <w:marBottom w:val="0"/>
                  <w:divBdr>
                    <w:top w:val="none" w:sz="0" w:space="0" w:color="auto"/>
                    <w:left w:val="none" w:sz="0" w:space="0" w:color="auto"/>
                    <w:bottom w:val="none" w:sz="0" w:space="0" w:color="auto"/>
                    <w:right w:val="none" w:sz="0" w:space="0" w:color="auto"/>
                  </w:divBdr>
                </w:div>
              </w:divsChild>
            </w:div>
            <w:div w:id="1488980675">
              <w:marLeft w:val="0"/>
              <w:marRight w:val="0"/>
              <w:marTop w:val="332"/>
              <w:marBottom w:val="332"/>
              <w:divBdr>
                <w:top w:val="single" w:sz="6" w:space="8" w:color="DDDDDD"/>
                <w:left w:val="single" w:sz="6" w:space="8" w:color="DDDDDD"/>
                <w:bottom w:val="single" w:sz="6" w:space="0" w:color="DDDDDD"/>
                <w:right w:val="single" w:sz="6" w:space="8" w:color="DDDDDD"/>
              </w:divBdr>
              <w:divsChild>
                <w:div w:id="186604683">
                  <w:marLeft w:val="0"/>
                  <w:marRight w:val="0"/>
                  <w:marTop w:val="0"/>
                  <w:marBottom w:val="0"/>
                  <w:divBdr>
                    <w:top w:val="none" w:sz="0" w:space="0" w:color="auto"/>
                    <w:left w:val="none" w:sz="0" w:space="0" w:color="auto"/>
                    <w:bottom w:val="none" w:sz="0" w:space="0" w:color="auto"/>
                    <w:right w:val="none" w:sz="0" w:space="0" w:color="auto"/>
                  </w:divBdr>
                </w:div>
                <w:div w:id="1600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6624">
          <w:marLeft w:val="0"/>
          <w:marRight w:val="0"/>
          <w:marTop w:val="0"/>
          <w:marBottom w:val="0"/>
          <w:divBdr>
            <w:top w:val="none" w:sz="0" w:space="0" w:color="auto"/>
            <w:left w:val="none" w:sz="0" w:space="0" w:color="auto"/>
            <w:bottom w:val="none" w:sz="0" w:space="0" w:color="auto"/>
            <w:right w:val="none" w:sz="0" w:space="0" w:color="auto"/>
          </w:divBdr>
        </w:div>
        <w:div w:id="197398767">
          <w:marLeft w:val="0"/>
          <w:marRight w:val="0"/>
          <w:marTop w:val="0"/>
          <w:marBottom w:val="0"/>
          <w:divBdr>
            <w:top w:val="none" w:sz="0" w:space="0" w:color="auto"/>
            <w:left w:val="none" w:sz="0" w:space="0" w:color="auto"/>
            <w:bottom w:val="none" w:sz="0" w:space="0" w:color="auto"/>
            <w:right w:val="none" w:sz="0" w:space="0" w:color="auto"/>
          </w:divBdr>
        </w:div>
        <w:div w:id="552086222">
          <w:marLeft w:val="0"/>
          <w:marRight w:val="0"/>
          <w:marTop w:val="0"/>
          <w:marBottom w:val="0"/>
          <w:divBdr>
            <w:top w:val="none" w:sz="0" w:space="0" w:color="auto"/>
            <w:left w:val="none" w:sz="0" w:space="0" w:color="auto"/>
            <w:bottom w:val="none" w:sz="0" w:space="0" w:color="auto"/>
            <w:right w:val="none" w:sz="0" w:space="0" w:color="auto"/>
          </w:divBdr>
          <w:divsChild>
            <w:div w:id="2093089867">
              <w:marLeft w:val="0"/>
              <w:marRight w:val="0"/>
              <w:marTop w:val="0"/>
              <w:marBottom w:val="0"/>
              <w:divBdr>
                <w:top w:val="none" w:sz="0" w:space="0" w:color="auto"/>
                <w:left w:val="none" w:sz="0" w:space="0" w:color="auto"/>
                <w:bottom w:val="none" w:sz="0" w:space="0" w:color="auto"/>
                <w:right w:val="none" w:sz="0" w:space="0" w:color="auto"/>
              </w:divBdr>
              <w:divsChild>
                <w:div w:id="274748759">
                  <w:marLeft w:val="0"/>
                  <w:marRight w:val="0"/>
                  <w:marTop w:val="332"/>
                  <w:marBottom w:val="332"/>
                  <w:divBdr>
                    <w:top w:val="single" w:sz="6" w:space="8" w:color="DDDDDD"/>
                    <w:left w:val="single" w:sz="6" w:space="8" w:color="DDDDDD"/>
                    <w:bottom w:val="single" w:sz="6" w:space="0" w:color="DDDDDD"/>
                    <w:right w:val="single" w:sz="6" w:space="8" w:color="DDDDDD"/>
                  </w:divBdr>
                  <w:divsChild>
                    <w:div w:id="1984306532">
                      <w:marLeft w:val="0"/>
                      <w:marRight w:val="0"/>
                      <w:marTop w:val="0"/>
                      <w:marBottom w:val="0"/>
                      <w:divBdr>
                        <w:top w:val="none" w:sz="0" w:space="0" w:color="auto"/>
                        <w:left w:val="none" w:sz="0" w:space="0" w:color="auto"/>
                        <w:bottom w:val="none" w:sz="0" w:space="0" w:color="auto"/>
                        <w:right w:val="none" w:sz="0" w:space="0" w:color="auto"/>
                      </w:divBdr>
                    </w:div>
                    <w:div w:id="355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42223">
              <w:marLeft w:val="0"/>
              <w:marRight w:val="0"/>
              <w:marTop w:val="0"/>
              <w:marBottom w:val="0"/>
              <w:divBdr>
                <w:top w:val="none" w:sz="0" w:space="0" w:color="auto"/>
                <w:left w:val="none" w:sz="0" w:space="0" w:color="auto"/>
                <w:bottom w:val="none" w:sz="0" w:space="0" w:color="auto"/>
                <w:right w:val="none" w:sz="0" w:space="0" w:color="auto"/>
              </w:divBdr>
            </w:div>
            <w:div w:id="79517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NBK279171/figure/glucocort-receptor_f_glucocort-receptor_GR-Figure-3/?report=objectonly" TargetMode="External"/><Relationship Id="rId18" Type="http://schemas.openxmlformats.org/officeDocument/2006/relationships/hyperlink" Target="https://www.ncbi.nlm.nih.gov/books/NBK279171/figure/glucocort-receptor_f_glucocort-receptor_GR-Figure-5/?report=objectonly" TargetMode="External"/><Relationship Id="rId26" Type="http://schemas.openxmlformats.org/officeDocument/2006/relationships/image" Target="media/image7.jpeg"/><Relationship Id="rId39" Type="http://schemas.openxmlformats.org/officeDocument/2006/relationships/hyperlink" Target="https://www.ncbi.nlm.nih.gov/core/lw/2.0/html/tileshop_pmc/tileshop_pmc_inline.html?title=Figure%2011.%20GR%20binds%20nGREs%20as%20a%20monomer.&amp;p=BOOKS&amp;id=279171_glucocort-receptor_GR-Figure-11.jpg" TargetMode="External"/><Relationship Id="rId21" Type="http://schemas.openxmlformats.org/officeDocument/2006/relationships/hyperlink" Target="https://www.ncbi.nlm.nih.gov/books/NBK279171/figure/glucocort-receptor_f_glucocort-receptor_GR-Figure-6/?report=objectonly" TargetMode="External"/><Relationship Id="rId34" Type="http://schemas.openxmlformats.org/officeDocument/2006/relationships/hyperlink" Target="https://www.ncbi.nlm.nih.gov/core/lw/2.0/html/tileshop_pmc/tileshop_pmc_inline.html?title=Figure%209.%20Schematic%20model%20demonstrating%20the%20interaction%20and%20activity%20of%20HAT%20coactivators%20and%20other%20chromatin%20modulators,%20which%20are%20attracted%20by%20GR%20to%20the%20promoter%20region%20of%20glucocorticoid-responsive%20genes.&amp;p=BOOKS&amp;id=279171_glucocort-receptor_GR-Figure-9.jpg" TargetMode="External"/><Relationship Id="rId42" Type="http://schemas.openxmlformats.org/officeDocument/2006/relationships/hyperlink" Target="https://www.ncbi.nlm.nih.gov/core/lw/2.0/html/tileshop_pmc/tileshop_pmc_inline.html?title=Figure%2012.%20Three%20different%20modes%20of%20transcriptional%20regulation%20of%20the%20glucocorticoid-responsive%20promoters%20by%20GR.&amp;p=BOOKS&amp;id=279171_glucocort-receptor_GR-Figure-12.jpg" TargetMode="External"/><Relationship Id="rId47" Type="http://schemas.openxmlformats.org/officeDocument/2006/relationships/hyperlink" Target="https://www.ncbi.nlm.nih.gov/books/NBK279171/figure/glucocort-receptor_f_glucocort-receptor_GR-Figure-14/?report=objectonly" TargetMode="External"/><Relationship Id="rId50" Type="http://schemas.openxmlformats.org/officeDocument/2006/relationships/hyperlink" Target="https://www.ncbi.nlm.nih.gov/books/NBK279171/figure/glucocort-receptor_f_glucocort-receptor_GR-Figure-15/?report=objectonly" TargetMode="External"/><Relationship Id="rId55" Type="http://schemas.openxmlformats.org/officeDocument/2006/relationships/hyperlink" Target="https://www.ncbi.nlm.nih.gov/books/NBK279171/figure/glucocort-receptor_f_glucocort-receptor_GR-Figure-14/?report=objectonly" TargetMode="External"/><Relationship Id="rId63" Type="http://schemas.openxmlformats.org/officeDocument/2006/relationships/hyperlink" Target="https://www.ncbi.nlm.nih.gov/books/NBK279171/figure/glucocort-receptor_f_glucocort-receptor_GR-Figure-18/?report=objectonly" TargetMode="External"/><Relationship Id="rId68" Type="http://schemas.openxmlformats.org/officeDocument/2006/relationships/image" Target="media/image19.jpeg"/><Relationship Id="rId76" Type="http://schemas.openxmlformats.org/officeDocument/2006/relationships/fontTable" Target="fontTable.xml"/><Relationship Id="rId7" Type="http://schemas.openxmlformats.org/officeDocument/2006/relationships/hyperlink" Target="mailto:tkino@sidra.org" TargetMode="External"/><Relationship Id="rId71" Type="http://schemas.openxmlformats.org/officeDocument/2006/relationships/hyperlink" Target="https://www.ncbi.nlm.nih.gov/core/lw/2.0/html/tileshop_pmc/tileshop_pmc_inline.html?title=Figure%2020.%20Linearized%20Vpr,%20Tat,%20E1A,%20p300%20and%20CtBP1%20molecules%20and%20their%20mutual%20interaction%20domains.&amp;p=BOOKS&amp;id=279171_glucocort-receptor_GR-Figure-20.jpg" TargetMode="External"/><Relationship Id="rId2" Type="http://schemas.openxmlformats.org/officeDocument/2006/relationships/numbering" Target="numbering.xml"/><Relationship Id="rId16" Type="http://schemas.openxmlformats.org/officeDocument/2006/relationships/hyperlink" Target="https://www.ncbi.nlm.nih.gov/core/lw/2.0/html/tileshop_pmc/tileshop_pmc_inline.html?title=Figure%204.%20Structure%20of%20GR%20DBD%20and%20its%20interaction%20with%20DNA%20GRE.&amp;p=BOOKS&amp;id=279171_glucocort-receptor_GR-Figure-4.jpg" TargetMode="External"/><Relationship Id="rId29" Type="http://schemas.openxmlformats.org/officeDocument/2006/relationships/hyperlink" Target="https://www.ncbi.nlm.nih.gov/core/lw/2.0/html/tileshop_pmc/tileshop_pmc_inline.html?title=Figure%208.%20Intracellular%20circulation%20of%20GR.&amp;p=BOOKS&amp;id=279171_glucocort-receptor_GR-Figure-8.jpg" TargetMode="External"/><Relationship Id="rId11" Type="http://schemas.openxmlformats.org/officeDocument/2006/relationships/hyperlink" Target="https://www.ncbi.nlm.nih.gov/core/lw/2.0/html/tileshop_pmc/tileshop_pmc_inline.html?title=Figure%202.%20Evolution%20of%20SRs%20including%20GR.&amp;p=BOOKS&amp;id=279171_glucocort-receptor_GR-Figure-2.jpg" TargetMode="External"/><Relationship Id="rId24" Type="http://schemas.openxmlformats.org/officeDocument/2006/relationships/hyperlink" Target="https://www.ncbi.nlm.nih.gov/books/NBK279171/figure/glucocort-receptor_f_glucocort-receptor_GR-Figure-7/?report=objectonly" TargetMode="External"/><Relationship Id="rId32" Type="http://schemas.openxmlformats.org/officeDocument/2006/relationships/hyperlink" Target="https://www.ncbi.nlm.nih.gov/books/NBK279171/figure/glucocort-receptor_f_glucocort-receptor_GR-Figure-3/?report=objectonly"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yperlink" Target="https://www.ncbi.nlm.nih.gov/core/lw/2.0/html/tileshop_pmc/tileshop_pmc_inline.html?title=Figure%2013.%20Organization%20of%20the%20topologically%20associated%20domain%20(TADs)%20and%20chromatin%20looping%20promoted%20by%20CTCF%20for%20differential%20expression%20of%20glucocorticoid-responsive%20genes.&amp;p=BOOKS&amp;id=279171_glucocort-receptor_GR-Figure-13.jpg" TargetMode="External"/><Relationship Id="rId53" Type="http://schemas.openxmlformats.org/officeDocument/2006/relationships/hyperlink" Target="https://www.ncbi.nlm.nih.gov/books/NBK279171/figure/glucocort-receptor_f_glucocort-receptor_GR-Figure-14/?report=objectonly" TargetMode="External"/><Relationship Id="rId58" Type="http://schemas.openxmlformats.org/officeDocument/2006/relationships/image" Target="media/image16.jpeg"/><Relationship Id="rId66" Type="http://schemas.openxmlformats.org/officeDocument/2006/relationships/image" Target="media/image18.TIF"/><Relationship Id="rId74" Type="http://schemas.openxmlformats.org/officeDocument/2006/relationships/hyperlink" Target="https://www.ncbi.nlm.nih.gov/books/NBK279171/figure/glucocort-receptor_f_glucocort-receptor_GR-Figure-20/?report=objectonly"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www.ncbi.nlm.nih.gov/books/NBK279171/figure/glucocort-receptor_f_glucocort-receptor_GR-Figure-3/?report=objectonly" TargetMode="External"/><Relationship Id="rId36" Type="http://schemas.openxmlformats.org/officeDocument/2006/relationships/hyperlink" Target="https://www.ncbi.nlm.nih.gov/core/lw/2.0/html/tileshop_pmc/tileshop_pmc_inline.html?title=Figure%2010.%20p160%20coactivators%20physically%20interact%20with%20its%20multiple%20LxxLL%20motifs%20to%20the%20AF-2%20surface%20of%20GR.&amp;p=BOOKS&amp;id=279171_glucocort-receptor_GR-Figure-10.jpg" TargetMode="External"/><Relationship Id="rId49" Type="http://schemas.openxmlformats.org/officeDocument/2006/relationships/image" Target="media/image14.jpeg"/><Relationship Id="rId57" Type="http://schemas.openxmlformats.org/officeDocument/2006/relationships/hyperlink" Target="https://www.ncbi.nlm.nih.gov/core/lw/2.0/html/tileshop_pmc/tileshop_pmc_inline.html?title=Figure%2016.%20Interaction%20model%20of%20the%20Gas5%20RNA%20%0201CGRE%0201D%20to%20GR%20DBD%20and%20the%20molecular%20actions%20of%20Gas5%20on%20GR-induced%20transcriptional%20activity.&amp;p=BOOKS&amp;id=279171_glucocort-receptor_GR-Figure-16.jpg" TargetMode="External"/><Relationship Id="rId61" Type="http://schemas.openxmlformats.org/officeDocument/2006/relationships/hyperlink" Target="https://www.ncbi.nlm.nih.gov/core/lw/2.0/html/tileshop_pmc/tileshop_pmc_inline.html?title=Figure%2017.%20Genomic%20and%20complementary%20DNA%20and%20protein%20structure%20of%20the%20zebrafish%20GR%20isoforms.&amp;p=BOOKS&amp;id=279171_glucocort-receptor_GR-Figure-17.jpg" TargetMode="External"/><Relationship Id="rId10" Type="http://schemas.openxmlformats.org/officeDocument/2006/relationships/image" Target="media/image1.jpeg"/><Relationship Id="rId19" Type="http://schemas.openxmlformats.org/officeDocument/2006/relationships/hyperlink" Target="https://www.ncbi.nlm.nih.gov/core/lw/2.0/html/tileshop_pmc/tileshop_pmc_inline.html?title=Figure%205.%20Structure%20of%20the%20GR%20LBD.&amp;p=BOOKS&amp;id=279171_glucocort-receptor_GR-Figure-5.jpg" TargetMode="External"/><Relationship Id="rId31" Type="http://schemas.openxmlformats.org/officeDocument/2006/relationships/hyperlink" Target="https://www.ncbi.nlm.nih.gov/books/NBK279171/figure/glucocort-receptor_f_glucocort-receptor_GR-Figure-8/?report=objectonly" TargetMode="External"/><Relationship Id="rId44" Type="http://schemas.openxmlformats.org/officeDocument/2006/relationships/hyperlink" Target="https://www.ncbi.nlm.nih.gov/books/NBK279171/figure/glucocort-receptor_f_glucocort-receptor_GR-Figure-13/?report=objectonly" TargetMode="External"/><Relationship Id="rId52" Type="http://schemas.openxmlformats.org/officeDocument/2006/relationships/image" Target="media/image15.jpeg"/><Relationship Id="rId60" Type="http://schemas.openxmlformats.org/officeDocument/2006/relationships/hyperlink" Target="https://www.ncbi.nlm.nih.gov/books/NBK279171/figure/glucocort-receptor_f_glucocort-receptor_GR-Figure-17/?report=objectonly" TargetMode="External"/><Relationship Id="rId65" Type="http://schemas.openxmlformats.org/officeDocument/2006/relationships/hyperlink" Target="https://www.ncbi.nlm.nih.gov/books/NBK279171/table/glucocort-receptor.authorscdn/?report=objectonly" TargetMode="External"/><Relationship Id="rId73" Type="http://schemas.openxmlformats.org/officeDocument/2006/relationships/hyperlink" Target="https://www.ncbi.nlm.nih.gov/books/NBK279171/figure/glucocort-receptor_f_glucocort-receptor_GR-Figure-20/?report=objectonly" TargetMode="External"/><Relationship Id="rId4" Type="http://schemas.openxmlformats.org/officeDocument/2006/relationships/settings" Target="settings.xml"/><Relationship Id="rId9" Type="http://schemas.openxmlformats.org/officeDocument/2006/relationships/hyperlink" Target="https://www.ncbi.nlm.nih.gov/core/lw/2.0/html/tileshop_pmc/tileshop_pmc_inline.html?title=Figure%201.%20Steroid%20hormone%20receptors%20(SRs:%20class%20I%20receptors)%20and%20their%20homologies%20expressed%20as%20percent%20identity%20to%20the%20protein%20sequence%20of%20human%20GR.&amp;p=BOOKS&amp;id=279171_glucocort-receptor_GR-Figure-1.jpg" TargetMode="External"/><Relationship Id="rId14" Type="http://schemas.openxmlformats.org/officeDocument/2006/relationships/hyperlink" Target="https://www.ncbi.nlm.nih.gov/core/lw/2.0/html/tileshop_pmc/tileshop_pmc_inline.html?title=Figure%203.%20Genomic%20and%20complementary%20DNA%20and%20protein%20structures%20of%20the%20human%20(h)%20GR%20with%20its%20functional%20distribution,%20and%20the%20isoform%20produced%20through%20alternative%20splicing.&amp;p=BOOKS&amp;id=279171_glucocort-receptor_GR-Figure-3.jpg" TargetMode="External"/><Relationship Id="rId22" Type="http://schemas.openxmlformats.org/officeDocument/2006/relationships/hyperlink" Target="https://www.ncbi.nlm.nih.gov/core/lw/2.0/html/tileshop_pmc/tileshop_pmc_inline.html?title=Figure%206.%20GR%20isoforms%20produced%20through%20alternative%20splicing%20or%20use%20of%20different%20translational%20initiation%20sites.&amp;p=BOOKS&amp;id=279171_glucocort-receptor_GR-Figure-6.jpg" TargetMode="External"/><Relationship Id="rId27" Type="http://schemas.openxmlformats.org/officeDocument/2006/relationships/hyperlink" Target="https://www.ncbi.nlm.nih.gov/books/NBK279171/figure/glucocort-receptor_f_glucocort-receptor_GR-Figure-8/?report=objectonly"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image" Target="media/image12.jpeg"/><Relationship Id="rId48" Type="http://schemas.openxmlformats.org/officeDocument/2006/relationships/hyperlink" Target="https://www.ncbi.nlm.nih.gov/core/lw/2.0/html/tileshop_pmc/tileshop_pmc_inline.html?title=Figure%2014.%20Distribution%20of%20the%20amino%20acid%20residues%20of%20the%20human%20GR%20susceptible%20to%20acetylation,%20phosphorylation,%20ubiquitination%20or%20SUMOylation.&amp;p=BOOKS&amp;id=279171_glucocort-receptor_GR-Figure-14.jpg" TargetMode="External"/><Relationship Id="rId56" Type="http://schemas.openxmlformats.org/officeDocument/2006/relationships/hyperlink" Target="https://www.ncbi.nlm.nih.gov/books/NBK279171/figure/glucocort-receptor_f_glucocort-receptor_GR-Figure-16/?report=objectonly" TargetMode="External"/><Relationship Id="rId64" Type="http://schemas.openxmlformats.org/officeDocument/2006/relationships/hyperlink" Target="https://www.ncbi.nlm.nih.gov/books/NBK279171/table/glucocort-receptor.authorscdn/?report=objectonly" TargetMode="External"/><Relationship Id="rId69" Type="http://schemas.openxmlformats.org/officeDocument/2006/relationships/hyperlink" Target="https://www.ncbi.nlm.nih.gov/snp/?term=258747" TargetMode="External"/><Relationship Id="rId77" Type="http://schemas.openxmlformats.org/officeDocument/2006/relationships/theme" Target="theme/theme1.xml"/><Relationship Id="rId8" Type="http://schemas.openxmlformats.org/officeDocument/2006/relationships/hyperlink" Target="https://www.ncbi.nlm.nih.gov/books/NBK279171/figure/glucocort-receptor_f_glucocort-receptor_GR-Figure-1/?report=objectonly" TargetMode="External"/><Relationship Id="rId51" Type="http://schemas.openxmlformats.org/officeDocument/2006/relationships/hyperlink" Target="https://www.ncbi.nlm.nih.gov/core/lw/2.0/html/tileshop_pmc/tileshop_pmc_inline.html?title=Figure%2015.%20Clock/Bmal1%20suppresses%20GR-induced%20transcriptional%20activity%20through%20acetylation.&amp;p=BOOKS&amp;id=279171_glucocort-receptor_GR-Figure-15.jpg" TargetMode="Externa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ncbi.nlm.nih.gov/core/lw/2.0/html/tileshop_pmc/tileshop_pmc_inline.html?title=Figure%207.%20The%20human%20(h)%20GR%20(NR3C1)%20gene%20has%2011%20different%20promoters%20with%20specific%20exon%201%20sequences.&amp;p=BOOKS&amp;id=279171_glucocort-receptor_GR-Figure-7.jpg" TargetMode="External"/><Relationship Id="rId33" Type="http://schemas.openxmlformats.org/officeDocument/2006/relationships/hyperlink" Target="https://www.ncbi.nlm.nih.gov/books/NBK279171/figure/glucocort-receptor_f_glucocort-receptor_GR-Figure-9/?report=objectonly" TargetMode="External"/><Relationship Id="rId38" Type="http://schemas.openxmlformats.org/officeDocument/2006/relationships/hyperlink" Target="https://www.ncbi.nlm.nih.gov/books/NBK279171/figure/glucocort-receptor_f_glucocort-receptor_GR-Figure-11/?report=objectonly" TargetMode="External"/><Relationship Id="rId46" Type="http://schemas.openxmlformats.org/officeDocument/2006/relationships/image" Target="media/image13.jpeg"/><Relationship Id="rId59" Type="http://schemas.openxmlformats.org/officeDocument/2006/relationships/hyperlink" Target="https://www.ncbi.nlm.nih.gov/books/NBK279171/figure/glucocort-receptor_f_glucocort-receptor_GR-Figure-3/?report=objectonly" TargetMode="External"/><Relationship Id="rId67" Type="http://schemas.openxmlformats.org/officeDocument/2006/relationships/hyperlink" Target="https://www.ncbi.nlm.nih.gov/core/lw/2.0/html/tileshop_pmc/tileshop_pmc_inline.html?title=Figure%2019.%20Impact%20of%20pathologic%20GR%20point%20mutations%20to%20the%20molecular%20structure%20of%20GR%20LBD.&amp;p=BOOKS&amp;id=279171_glucocort-receptor_GR-Figure-19.jpg" TargetMode="External"/><Relationship Id="rId20" Type="http://schemas.openxmlformats.org/officeDocument/2006/relationships/image" Target="media/image5.jpeg"/><Relationship Id="rId41" Type="http://schemas.openxmlformats.org/officeDocument/2006/relationships/hyperlink" Target="https://www.ncbi.nlm.nih.gov/books/NBK279171/figure/glucocort-receptor_f_glucocort-receptor_GR-Figure-12/?report=objectonly" TargetMode="External"/><Relationship Id="rId54" Type="http://schemas.openxmlformats.org/officeDocument/2006/relationships/hyperlink" Target="https://www.ncbi.nlm.nih.gov/books/NBK279171/figure/glucocort-receptor_f_glucocort-receptor_GR-Figure-14/?report=objectonly" TargetMode="External"/><Relationship Id="rId62" Type="http://schemas.openxmlformats.org/officeDocument/2006/relationships/image" Target="media/image17.jpeg"/><Relationship Id="rId70" Type="http://schemas.openxmlformats.org/officeDocument/2006/relationships/hyperlink" Target="https://www.ncbi.nlm.nih.gov/books/NBK279171/figure/glucocort-receptor_f_glucocort-receptor_GR-Figure-20/?report=objectonly" TargetMode="External"/><Relationship Id="rId75" Type="http://schemas.openxmlformats.org/officeDocument/2006/relationships/hyperlink" Target="https://www.ncbi.nlm.nih.gov/books/NBK279171/figure/glucocort-receptor_f_glucocort-receptor_GR-Figure-20/?report=objectonly" TargetMode="External"/><Relationship Id="rId1" Type="http://schemas.openxmlformats.org/officeDocument/2006/relationships/customXml" Target="../customXml/item1.xml"/><Relationship Id="rId6" Type="http://schemas.openxmlformats.org/officeDocument/2006/relationships/hyperlink" Target="mailto:chrouso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F52E6-B5E6-4153-BB8C-4733FCBE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93</Pages>
  <Words>39563</Words>
  <Characters>225515</Characters>
  <Application>Microsoft Office Word</Application>
  <DocSecurity>0</DocSecurity>
  <Lines>1879</Lines>
  <Paragraphs>529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264549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10</cp:revision>
  <dcterms:created xsi:type="dcterms:W3CDTF">2020-11-19T18:48:00Z</dcterms:created>
  <dcterms:modified xsi:type="dcterms:W3CDTF">2020-11-20T02:52:00Z</dcterms:modified>
</cp:coreProperties>
</file>