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B019E" w14:textId="1B225615" w:rsidR="00803B01" w:rsidRPr="00E86BE6" w:rsidRDefault="00803B01" w:rsidP="00AE5CF9">
      <w:pPr>
        <w:spacing w:line="276" w:lineRule="auto"/>
        <w:rPr>
          <w:rFonts w:ascii="Arial" w:hAnsi="Arial" w:cs="Arial"/>
          <w:b/>
          <w:bCs/>
          <w:sz w:val="28"/>
          <w:szCs w:val="28"/>
        </w:rPr>
      </w:pPr>
      <w:r w:rsidRPr="00E86BE6">
        <w:rPr>
          <w:rFonts w:ascii="Arial" w:hAnsi="Arial" w:cs="Arial"/>
          <w:b/>
          <w:bCs/>
          <w:sz w:val="28"/>
          <w:szCs w:val="28"/>
        </w:rPr>
        <w:t xml:space="preserve">GROWTH AND GROWTH DISORDERS </w:t>
      </w:r>
      <w:r w:rsidRPr="00E86BE6">
        <w:rPr>
          <w:rFonts w:ascii="Arial" w:hAnsi="Arial" w:cs="Arial"/>
          <w:b/>
          <w:bCs/>
          <w:sz w:val="28"/>
          <w:szCs w:val="28"/>
        </w:rPr>
        <w:br/>
      </w:r>
    </w:p>
    <w:p w14:paraId="46E5E4CA" w14:textId="448D3D5D" w:rsidR="00803B01" w:rsidRPr="00E86BE6" w:rsidRDefault="00803B01" w:rsidP="00AE5CF9">
      <w:pPr>
        <w:spacing w:line="276" w:lineRule="auto"/>
        <w:rPr>
          <w:rFonts w:ascii="Arial" w:hAnsi="Arial" w:cs="Arial"/>
          <w:color w:val="000000"/>
          <w:sz w:val="20"/>
          <w:szCs w:val="20"/>
        </w:rPr>
      </w:pPr>
      <w:r w:rsidRPr="00E86BE6">
        <w:rPr>
          <w:rFonts w:ascii="Arial" w:hAnsi="Arial" w:cs="Arial"/>
          <w:b/>
          <w:bCs/>
        </w:rPr>
        <w:t>Berrin Ergun-Longmire, MD, FAAP</w:t>
      </w:r>
      <w:r w:rsidR="00AE5CF9">
        <w:rPr>
          <w:rFonts w:ascii="Arial" w:hAnsi="Arial" w:cs="Arial"/>
          <w:b/>
          <w:bCs/>
        </w:rPr>
        <w:t xml:space="preserve">, </w:t>
      </w:r>
      <w:r w:rsidRPr="00E86BE6">
        <w:rPr>
          <w:rFonts w:ascii="Arial" w:hAnsi="Arial" w:cs="Arial"/>
          <w:color w:val="000000"/>
          <w:sz w:val="20"/>
          <w:szCs w:val="20"/>
        </w:rPr>
        <w:t xml:space="preserve">Professor of Pediatrics and Adolescent Medicine, </w:t>
      </w:r>
      <w:r w:rsidRPr="00E86BE6">
        <w:rPr>
          <w:rFonts w:ascii="Arial" w:hAnsi="Arial" w:cs="Arial"/>
          <w:sz w:val="20"/>
          <w:szCs w:val="20"/>
        </w:rPr>
        <w:t xml:space="preserve">Chief, Division of Pediatric Endocrinology, </w:t>
      </w:r>
      <w:r w:rsidRPr="00E86BE6">
        <w:rPr>
          <w:rFonts w:ascii="Arial" w:hAnsi="Arial" w:cs="Arial"/>
          <w:color w:val="000000"/>
          <w:sz w:val="20"/>
          <w:szCs w:val="20"/>
        </w:rPr>
        <w:t xml:space="preserve">Western Michigan University, Homer Stryker, MD School of Medicine </w:t>
      </w:r>
    </w:p>
    <w:p w14:paraId="7C86EB80" w14:textId="13579C3D" w:rsidR="00803B01" w:rsidRPr="00E86BE6" w:rsidRDefault="00803B01" w:rsidP="00AE5CF9">
      <w:pPr>
        <w:spacing w:line="276" w:lineRule="auto"/>
        <w:rPr>
          <w:rFonts w:ascii="Arial" w:hAnsi="Arial" w:cs="Arial"/>
          <w:color w:val="000000"/>
        </w:rPr>
      </w:pPr>
      <w:r w:rsidRPr="00E86BE6">
        <w:rPr>
          <w:rFonts w:ascii="Arial" w:hAnsi="Arial" w:cs="Arial"/>
          <w:color w:val="000000"/>
          <w:sz w:val="20"/>
          <w:szCs w:val="20"/>
        </w:rPr>
        <w:t>1000 Oakland Drive, Kalamazoo, MI 49008</w:t>
      </w:r>
      <w:r w:rsidR="007E73CF">
        <w:rPr>
          <w:rFonts w:ascii="Arial" w:hAnsi="Arial" w:cs="Arial"/>
          <w:color w:val="000000"/>
          <w:sz w:val="20"/>
          <w:szCs w:val="20"/>
        </w:rPr>
        <w:t xml:space="preserve">. </w:t>
      </w:r>
      <w:r w:rsidR="007E73CF" w:rsidRPr="007E73CF">
        <w:rPr>
          <w:rFonts w:ascii="Arial" w:hAnsi="Arial" w:cs="Arial"/>
          <w:color w:val="000000"/>
          <w:sz w:val="20"/>
          <w:szCs w:val="20"/>
        </w:rPr>
        <w:t>blongmire65@yahoo.com</w:t>
      </w:r>
    </w:p>
    <w:p w14:paraId="358C9245" w14:textId="3AC8B204" w:rsidR="00803B01" w:rsidRPr="00E86BE6" w:rsidRDefault="00803B01" w:rsidP="00466A37">
      <w:pPr>
        <w:pStyle w:val="NormalWeb"/>
        <w:shd w:val="clear" w:color="auto" w:fill="FFFFFF"/>
        <w:spacing w:before="0" w:beforeAutospacing="0" w:after="0" w:afterAutospacing="0" w:line="276" w:lineRule="auto"/>
        <w:rPr>
          <w:rFonts w:ascii="Arial" w:hAnsi="Arial" w:cs="Arial"/>
          <w:b/>
          <w:bCs/>
        </w:rPr>
      </w:pPr>
      <w:r w:rsidRPr="00E86BE6">
        <w:rPr>
          <w:rFonts w:ascii="Arial" w:hAnsi="Arial" w:cs="Arial"/>
          <w:b/>
          <w:bCs/>
        </w:rPr>
        <w:t>Michael P. Wajnrajch, MD, MPA</w:t>
      </w:r>
      <w:r w:rsidR="00466A37">
        <w:rPr>
          <w:rFonts w:ascii="Arial" w:hAnsi="Arial" w:cs="Arial"/>
          <w:b/>
          <w:bCs/>
        </w:rPr>
        <w:t xml:space="preserve">, </w:t>
      </w:r>
      <w:r w:rsidRPr="00E86BE6">
        <w:rPr>
          <w:rFonts w:ascii="Arial" w:hAnsi="Arial" w:cs="Arial"/>
          <w:sz w:val="20"/>
          <w:szCs w:val="20"/>
        </w:rPr>
        <w:t>Clinical Professor, New York University, Grossman School of Medicine, Department of Pediatrics, 550 1</w:t>
      </w:r>
      <w:r w:rsidRPr="00E86BE6">
        <w:rPr>
          <w:rFonts w:ascii="Arial" w:hAnsi="Arial" w:cs="Arial"/>
          <w:sz w:val="20"/>
          <w:szCs w:val="20"/>
          <w:vertAlign w:val="superscript"/>
        </w:rPr>
        <w:t>st</w:t>
      </w:r>
      <w:r w:rsidRPr="00E86BE6">
        <w:rPr>
          <w:rFonts w:ascii="Arial" w:hAnsi="Arial" w:cs="Arial"/>
          <w:sz w:val="20"/>
          <w:szCs w:val="20"/>
        </w:rPr>
        <w:t xml:space="preserve"> Avenue, New York, NY 10016</w:t>
      </w:r>
      <w:r w:rsidR="00466A37">
        <w:rPr>
          <w:rFonts w:ascii="Arial" w:hAnsi="Arial" w:cs="Arial"/>
          <w:sz w:val="20"/>
          <w:szCs w:val="20"/>
        </w:rPr>
        <w:t xml:space="preserve">, </w:t>
      </w:r>
      <w:r w:rsidRPr="00E86BE6">
        <w:rPr>
          <w:rFonts w:ascii="Arial" w:hAnsi="Arial" w:cs="Arial"/>
          <w:sz w:val="20"/>
          <w:szCs w:val="20"/>
        </w:rPr>
        <w:t>Senior Medical Director, Pfizer Global Pharmaceuticals, 66 Hudson Blvd East New York, NY 10001</w:t>
      </w:r>
      <w:r w:rsidR="00AF69C7">
        <w:rPr>
          <w:rFonts w:ascii="Arial" w:hAnsi="Arial" w:cs="Arial"/>
          <w:sz w:val="20"/>
          <w:szCs w:val="20"/>
        </w:rPr>
        <w:t xml:space="preserve">. </w:t>
      </w:r>
      <w:r w:rsidR="008A4CD2" w:rsidRPr="008A4CD2">
        <w:rPr>
          <w:rFonts w:ascii="Arial" w:hAnsi="Arial" w:cs="Arial"/>
          <w:sz w:val="20"/>
          <w:szCs w:val="20"/>
        </w:rPr>
        <w:t>michael.wajnrajch@pfizer.com</w:t>
      </w:r>
    </w:p>
    <w:p w14:paraId="1D60FC8E" w14:textId="77777777" w:rsidR="00466A37" w:rsidRDefault="00466A37" w:rsidP="00AE5CF9">
      <w:pPr>
        <w:spacing w:line="276" w:lineRule="auto"/>
        <w:outlineLvl w:val="3"/>
        <w:rPr>
          <w:rFonts w:ascii="Arial" w:hAnsi="Arial" w:cs="Arial"/>
          <w:b/>
          <w:bCs/>
          <w:sz w:val="22"/>
          <w:szCs w:val="22"/>
        </w:rPr>
      </w:pPr>
    </w:p>
    <w:p w14:paraId="6CD4215B" w14:textId="69B37A44" w:rsidR="00803B01" w:rsidRPr="0033639F" w:rsidRDefault="00803B01" w:rsidP="0033639F">
      <w:pPr>
        <w:spacing w:line="276" w:lineRule="auto"/>
        <w:outlineLvl w:val="3"/>
        <w:rPr>
          <w:rFonts w:ascii="Arial" w:hAnsi="Arial" w:cs="Arial"/>
          <w:b/>
          <w:bCs/>
          <w:color w:val="000000"/>
          <w:sz w:val="22"/>
          <w:szCs w:val="22"/>
        </w:rPr>
      </w:pPr>
      <w:r w:rsidRPr="0033639F">
        <w:rPr>
          <w:rFonts w:ascii="Arial" w:hAnsi="Arial" w:cs="Arial"/>
          <w:b/>
          <w:bCs/>
          <w:sz w:val="22"/>
          <w:szCs w:val="22"/>
        </w:rPr>
        <w:t xml:space="preserve">Updated </w:t>
      </w:r>
      <w:r w:rsidR="0033639F" w:rsidRPr="0033639F">
        <w:rPr>
          <w:rFonts w:ascii="Arial" w:hAnsi="Arial" w:cs="Arial"/>
          <w:b/>
          <w:bCs/>
          <w:sz w:val="22"/>
          <w:szCs w:val="22"/>
        </w:rPr>
        <w:t xml:space="preserve">March </w:t>
      </w:r>
      <w:r w:rsidR="00E048DF">
        <w:rPr>
          <w:rFonts w:ascii="Arial" w:hAnsi="Arial" w:cs="Arial"/>
          <w:b/>
          <w:bCs/>
          <w:sz w:val="22"/>
          <w:szCs w:val="22"/>
        </w:rPr>
        <w:t>3</w:t>
      </w:r>
      <w:r w:rsidR="0033639F" w:rsidRPr="0033639F">
        <w:rPr>
          <w:rFonts w:ascii="Arial" w:hAnsi="Arial" w:cs="Arial"/>
          <w:b/>
          <w:bCs/>
          <w:sz w:val="22"/>
          <w:szCs w:val="22"/>
        </w:rPr>
        <w:t>, 2025</w:t>
      </w:r>
    </w:p>
    <w:p w14:paraId="3250F1AC" w14:textId="77777777" w:rsidR="00466A37" w:rsidRPr="0033639F" w:rsidRDefault="00466A37" w:rsidP="0033639F">
      <w:pPr>
        <w:pStyle w:val="Heading1"/>
        <w:spacing w:before="0" w:after="0" w:line="276" w:lineRule="auto"/>
        <w:rPr>
          <w:rFonts w:ascii="Arial" w:hAnsi="Arial" w:cs="Arial"/>
          <w:sz w:val="22"/>
          <w:szCs w:val="22"/>
        </w:rPr>
      </w:pPr>
      <w:bookmarkStart w:id="0" w:name="id2475168"/>
      <w:bookmarkEnd w:id="0"/>
    </w:p>
    <w:p w14:paraId="21108B0F" w14:textId="2CC590CE" w:rsidR="00803B01" w:rsidRPr="007237CA" w:rsidRDefault="00803B01" w:rsidP="007237CA">
      <w:pPr>
        <w:rPr>
          <w:b/>
          <w:bCs/>
        </w:rPr>
      </w:pPr>
      <w:r w:rsidRPr="007237CA">
        <w:rPr>
          <w:b/>
          <w:bCs/>
          <w:color w:val="0070C0"/>
        </w:rPr>
        <w:t>ABSTRACT</w:t>
      </w:r>
    </w:p>
    <w:p w14:paraId="23601D98" w14:textId="77777777" w:rsidR="0033639F" w:rsidRDefault="0033639F" w:rsidP="0033639F">
      <w:pPr>
        <w:spacing w:line="276" w:lineRule="auto"/>
        <w:rPr>
          <w:rFonts w:ascii="Arial" w:hAnsi="Arial" w:cs="Arial"/>
          <w:color w:val="000000"/>
          <w:sz w:val="22"/>
          <w:szCs w:val="22"/>
          <w:shd w:val="clear" w:color="auto" w:fill="FFFFFF"/>
        </w:rPr>
      </w:pPr>
    </w:p>
    <w:p w14:paraId="12B3809D" w14:textId="22475F71" w:rsidR="00803B01" w:rsidRPr="0033639F" w:rsidRDefault="00803B01" w:rsidP="0033639F">
      <w:pPr>
        <w:spacing w:line="276" w:lineRule="auto"/>
        <w:rPr>
          <w:rFonts w:ascii="Arial" w:hAnsi="Arial" w:cs="Arial"/>
          <w:sz w:val="22"/>
          <w:szCs w:val="22"/>
        </w:rPr>
      </w:pPr>
      <w:r w:rsidRPr="0033639F">
        <w:rPr>
          <w:rFonts w:ascii="Arial" w:hAnsi="Arial" w:cs="Arial"/>
          <w:color w:val="000000"/>
          <w:sz w:val="22"/>
          <w:szCs w:val="22"/>
          <w:shd w:val="clear" w:color="auto" w:fill="FFFFFF"/>
        </w:rPr>
        <w:t xml:space="preserve">The process of growth is complex and is influenced by various factors that act centrally and peripherally.  In this chapter, we describe conditions associated with multiple pituitary hormone deficiency, isolated growth hormone deficiency, and abnormal growth without growth hormone deficiency, discuss the genes that are associated with these conditions, and prepare guidelines for the clinicians to evaluate a child with poor growth. In addition, </w:t>
      </w:r>
      <w:r w:rsidR="00A14F04" w:rsidRPr="0033639F">
        <w:rPr>
          <w:rFonts w:ascii="Arial" w:hAnsi="Arial" w:cs="Arial"/>
          <w:color w:val="000000"/>
          <w:sz w:val="22"/>
          <w:szCs w:val="22"/>
          <w:shd w:val="clear" w:color="auto" w:fill="FFFFFF"/>
        </w:rPr>
        <w:t>we review</w:t>
      </w:r>
      <w:r w:rsidRPr="0033639F">
        <w:rPr>
          <w:rFonts w:ascii="Arial" w:hAnsi="Arial" w:cs="Arial"/>
          <w:color w:val="000000"/>
          <w:sz w:val="22"/>
          <w:szCs w:val="22"/>
          <w:shd w:val="clear" w:color="auto" w:fill="FFFFFF"/>
        </w:rPr>
        <w:t xml:space="preserve"> treatment modalities, daily vs weekly, for growth hormone deficiency and their side effects. </w:t>
      </w:r>
    </w:p>
    <w:p w14:paraId="1C0BFE0F" w14:textId="77777777" w:rsidR="0033639F" w:rsidRDefault="0033639F" w:rsidP="0033639F">
      <w:pPr>
        <w:pStyle w:val="Heading1"/>
        <w:spacing w:before="0" w:after="0" w:line="276" w:lineRule="auto"/>
        <w:rPr>
          <w:rFonts w:ascii="Arial" w:hAnsi="Arial" w:cs="Arial"/>
          <w:sz w:val="22"/>
          <w:szCs w:val="22"/>
        </w:rPr>
      </w:pPr>
    </w:p>
    <w:p w14:paraId="0B59C96D" w14:textId="395C112F" w:rsidR="00803B01" w:rsidRPr="007237CA" w:rsidRDefault="00803B01" w:rsidP="007237CA">
      <w:pPr>
        <w:rPr>
          <w:b/>
          <w:bCs/>
          <w:color w:val="0070C0"/>
        </w:rPr>
      </w:pPr>
      <w:r w:rsidRPr="007237CA">
        <w:rPr>
          <w:b/>
          <w:bCs/>
          <w:color w:val="0070C0"/>
        </w:rPr>
        <w:t>INTRODUCTION</w:t>
      </w:r>
    </w:p>
    <w:p w14:paraId="0D3AC294" w14:textId="77777777" w:rsidR="0033639F" w:rsidRDefault="0033639F" w:rsidP="0033639F">
      <w:pPr>
        <w:spacing w:line="276" w:lineRule="auto"/>
        <w:rPr>
          <w:rFonts w:ascii="Arial" w:hAnsi="Arial" w:cs="Arial"/>
          <w:sz w:val="22"/>
          <w:szCs w:val="22"/>
        </w:rPr>
      </w:pPr>
    </w:p>
    <w:p w14:paraId="0E910B87" w14:textId="59ED50FB"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Human growth starts at conception and proceeds through various identifiable developmental stages. The process of growth depends on both genetic and environmental factors that combine to determine an individual’s eventual height. </w:t>
      </w:r>
      <w:r w:rsidR="00F96B49" w:rsidRPr="0033639F">
        <w:rPr>
          <w:rFonts w:ascii="Arial" w:hAnsi="Arial" w:cs="Arial"/>
          <w:sz w:val="22"/>
          <w:szCs w:val="22"/>
        </w:rPr>
        <w:t>Genetic</w:t>
      </w:r>
      <w:r w:rsidRPr="0033639F">
        <w:rPr>
          <w:rFonts w:ascii="Arial" w:hAnsi="Arial" w:cs="Arial"/>
          <w:sz w:val="22"/>
          <w:szCs w:val="22"/>
        </w:rPr>
        <w:t xml:space="preserve"> control of statural growth is becoming increasingly clear. Many genes have been identified that are required for normal development and function of the pituitary in general, and that control the growth hormone/insulin-like growth factor axis in particular and many more that are involved in numerous cascades of intracellular processes “downstream” of GH/IGF1 action. Mutations of these genes have been shown to be responsible for abnormal growth in humans and animals. </w:t>
      </w:r>
    </w:p>
    <w:p w14:paraId="19366417" w14:textId="77777777" w:rsidR="007237CA" w:rsidRPr="0033639F" w:rsidRDefault="007237CA" w:rsidP="0033639F">
      <w:pPr>
        <w:spacing w:line="276" w:lineRule="auto"/>
        <w:rPr>
          <w:rFonts w:ascii="Arial" w:hAnsi="Arial" w:cs="Arial"/>
          <w:sz w:val="22"/>
          <w:szCs w:val="22"/>
        </w:rPr>
      </w:pPr>
    </w:p>
    <w:p w14:paraId="6D7404F8" w14:textId="15EE0A62"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Growth hormone (GH) has been used to treat short children since the</w:t>
      </w:r>
      <w:r w:rsidR="00BA27A0" w:rsidRPr="0033639F">
        <w:rPr>
          <w:rFonts w:ascii="Arial" w:hAnsi="Arial" w:cs="Arial"/>
          <w:sz w:val="22"/>
          <w:szCs w:val="22"/>
        </w:rPr>
        <w:t xml:space="preserve"> late</w:t>
      </w:r>
      <w:r w:rsidRPr="0033639F">
        <w:rPr>
          <w:rFonts w:ascii="Arial" w:hAnsi="Arial" w:cs="Arial"/>
          <w:sz w:val="22"/>
          <w:szCs w:val="22"/>
        </w:rPr>
        <w:t xml:space="preserve"> 1950’s</w:t>
      </w:r>
      <w:r w:rsidR="007C07A9" w:rsidRPr="0033639F">
        <w:rPr>
          <w:rFonts w:ascii="Arial" w:hAnsi="Arial" w:cs="Arial"/>
          <w:sz w:val="22"/>
          <w:szCs w:val="22"/>
        </w:rPr>
        <w:t xml:space="preserve"> (1,2).</w:t>
      </w:r>
      <w:r w:rsidR="003136D0" w:rsidRPr="0033639F">
        <w:rPr>
          <w:rFonts w:ascii="Arial" w:hAnsi="Arial" w:cs="Arial"/>
          <w:sz w:val="22"/>
          <w:szCs w:val="22"/>
        </w:rPr>
        <w:t xml:space="preserve"> </w:t>
      </w:r>
      <w:r w:rsidRPr="0033639F">
        <w:rPr>
          <w:rFonts w:ascii="Arial" w:hAnsi="Arial" w:cs="Arial"/>
          <w:sz w:val="22"/>
          <w:szCs w:val="22"/>
        </w:rPr>
        <w:t xml:space="preserve">Initially only those children with the most pronounced growth failure due to severe growth hormone deficiency (GHD) were considered appropriate candidates, but with time children with growth failure from a range of conditions have been shown to benefit from GH treatment. GH has also been used to treat several catabolic </w:t>
      </w:r>
      <w:r w:rsidR="00866922" w:rsidRPr="0033639F">
        <w:rPr>
          <w:rFonts w:ascii="Arial" w:hAnsi="Arial" w:cs="Arial"/>
          <w:sz w:val="22"/>
          <w:szCs w:val="22"/>
        </w:rPr>
        <w:t xml:space="preserve">diseases </w:t>
      </w:r>
      <w:r w:rsidRPr="0033639F">
        <w:rPr>
          <w:rFonts w:ascii="Arial" w:hAnsi="Arial" w:cs="Arial"/>
          <w:sz w:val="22"/>
          <w:szCs w:val="22"/>
        </w:rPr>
        <w:t>including cystic fibrosis, inflammatory bowel disease</w:t>
      </w:r>
      <w:r w:rsidR="00BA27A0" w:rsidRPr="0033639F">
        <w:rPr>
          <w:rFonts w:ascii="Arial" w:hAnsi="Arial" w:cs="Arial"/>
          <w:sz w:val="22"/>
          <w:szCs w:val="22"/>
        </w:rPr>
        <w:t xml:space="preserve"> </w:t>
      </w:r>
      <w:r w:rsidRPr="0033639F">
        <w:rPr>
          <w:rFonts w:ascii="Arial" w:hAnsi="Arial" w:cs="Arial"/>
          <w:sz w:val="22"/>
          <w:szCs w:val="22"/>
        </w:rPr>
        <w:t>and AIDS wasting</w:t>
      </w:r>
      <w:r w:rsidR="007C07A9" w:rsidRPr="0033639F">
        <w:rPr>
          <w:rFonts w:ascii="Arial" w:hAnsi="Arial" w:cs="Arial"/>
          <w:sz w:val="22"/>
          <w:szCs w:val="22"/>
        </w:rPr>
        <w:t xml:space="preserve"> (3–7).</w:t>
      </w:r>
      <w:r w:rsidR="00AC51FC" w:rsidRPr="0033639F">
        <w:rPr>
          <w:rFonts w:ascii="Arial" w:hAnsi="Arial" w:cs="Arial"/>
          <w:sz w:val="22"/>
          <w:szCs w:val="22"/>
        </w:rPr>
        <w:t xml:space="preserve"> </w:t>
      </w:r>
      <w:r w:rsidRPr="0033639F">
        <w:rPr>
          <w:rFonts w:ascii="Arial" w:hAnsi="Arial" w:cs="Arial"/>
          <w:sz w:val="22"/>
          <w:szCs w:val="22"/>
        </w:rPr>
        <w:t xml:space="preserve">Here we review the physiology of growth, the diagnosis of GH deficiency, treatment options and genetic growth hormone disorders. </w:t>
      </w:r>
    </w:p>
    <w:p w14:paraId="16EF9083" w14:textId="77777777" w:rsidR="00803B01" w:rsidRPr="0033639F" w:rsidRDefault="00803B01" w:rsidP="0033639F">
      <w:pPr>
        <w:pStyle w:val="Heading1"/>
        <w:spacing w:before="0" w:after="0" w:line="276" w:lineRule="auto"/>
        <w:rPr>
          <w:rFonts w:ascii="Arial" w:hAnsi="Arial" w:cs="Arial"/>
          <w:sz w:val="22"/>
          <w:szCs w:val="22"/>
        </w:rPr>
      </w:pPr>
      <w:bookmarkStart w:id="1" w:name="id2475207"/>
      <w:bookmarkEnd w:id="1"/>
    </w:p>
    <w:p w14:paraId="7F87B326" w14:textId="77777777" w:rsidR="00803B01" w:rsidRPr="007237CA" w:rsidRDefault="00803B01" w:rsidP="007237CA">
      <w:pPr>
        <w:rPr>
          <w:b/>
          <w:bCs/>
          <w:color w:val="0070C0"/>
        </w:rPr>
      </w:pPr>
      <w:r w:rsidRPr="007237CA">
        <w:rPr>
          <w:b/>
          <w:bCs/>
          <w:color w:val="0070C0"/>
        </w:rPr>
        <w:t xml:space="preserve">GROWTH DISORDERS </w:t>
      </w:r>
    </w:p>
    <w:p w14:paraId="6871EB1F" w14:textId="77777777" w:rsidR="007237CA" w:rsidRDefault="007237CA" w:rsidP="0033639F">
      <w:pPr>
        <w:spacing w:line="276" w:lineRule="auto"/>
        <w:rPr>
          <w:rFonts w:ascii="Arial" w:hAnsi="Arial" w:cs="Arial"/>
          <w:sz w:val="22"/>
          <w:szCs w:val="22"/>
        </w:rPr>
      </w:pPr>
    </w:p>
    <w:p w14:paraId="13F0B68A" w14:textId="56AA9062"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Growth failure may be due to genetic mutations, acquired disease and/or environmental deficiencies. Growth failure may result from a failure of hypothalamic growth hormone-releasing hormone (GHRH) production or release, from (genetic or sporadic) mal-development of the </w:t>
      </w:r>
      <w:r w:rsidRPr="0033639F">
        <w:rPr>
          <w:rFonts w:ascii="Arial" w:hAnsi="Arial" w:cs="Arial"/>
          <w:sz w:val="22"/>
          <w:szCs w:val="22"/>
        </w:rPr>
        <w:lastRenderedPageBreak/>
        <w:t>pituitary somatotropes, secondary to ongoing chronic illness, malnutrition, intrinsic abnormalities of cartilage and/or bone such as osteo</w:t>
      </w:r>
      <w:r w:rsidR="00866922" w:rsidRPr="0033639F">
        <w:rPr>
          <w:rFonts w:ascii="Arial" w:hAnsi="Arial" w:cs="Arial"/>
          <w:sz w:val="22"/>
          <w:szCs w:val="22"/>
        </w:rPr>
        <w:t>-</w:t>
      </w:r>
      <w:r w:rsidRPr="0033639F">
        <w:rPr>
          <w:rFonts w:ascii="Arial" w:hAnsi="Arial" w:cs="Arial"/>
          <w:sz w:val="22"/>
          <w:szCs w:val="22"/>
        </w:rPr>
        <w:t xml:space="preserve">chondrodysplasias, and from genetic disorders affecting growth hormone production and responsiveness. Children without any identifiable cause of their growth failure are commonly labeled as having idiopathic short stature (ISS). </w:t>
      </w:r>
    </w:p>
    <w:p w14:paraId="50DB781F" w14:textId="77777777" w:rsidR="007237CA" w:rsidRDefault="007237CA" w:rsidP="0033639F">
      <w:pPr>
        <w:spacing w:line="276" w:lineRule="auto"/>
        <w:rPr>
          <w:rFonts w:ascii="Arial" w:hAnsi="Arial" w:cs="Arial"/>
          <w:sz w:val="22"/>
          <w:szCs w:val="22"/>
        </w:rPr>
      </w:pPr>
    </w:p>
    <w:p w14:paraId="149777D2" w14:textId="3675661F"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Genetic factors affecting growth include pituitary transcription factors (</w:t>
      </w:r>
      <w:r w:rsidRPr="0033639F">
        <w:rPr>
          <w:rFonts w:ascii="Arial" w:hAnsi="Arial" w:cs="Arial"/>
          <w:i/>
          <w:iCs/>
          <w:sz w:val="22"/>
          <w:szCs w:val="22"/>
        </w:rPr>
        <w:t>PROP1</w:t>
      </w:r>
      <w:r w:rsidRPr="0033639F">
        <w:rPr>
          <w:rFonts w:ascii="Arial" w:hAnsi="Arial" w:cs="Arial"/>
          <w:sz w:val="22"/>
          <w:szCs w:val="22"/>
        </w:rPr>
        <w:t xml:space="preserve">, </w:t>
      </w:r>
      <w:r w:rsidRPr="0033639F">
        <w:rPr>
          <w:rFonts w:ascii="Arial" w:hAnsi="Arial" w:cs="Arial"/>
          <w:i/>
          <w:iCs/>
          <w:sz w:val="22"/>
          <w:szCs w:val="22"/>
        </w:rPr>
        <w:t>POU1F1</w:t>
      </w:r>
      <w:r w:rsidRPr="0033639F">
        <w:rPr>
          <w:rFonts w:ascii="Arial" w:hAnsi="Arial" w:cs="Arial"/>
          <w:sz w:val="22"/>
          <w:szCs w:val="22"/>
        </w:rPr>
        <w:t xml:space="preserve">, </w:t>
      </w:r>
      <w:r w:rsidRPr="0033639F">
        <w:rPr>
          <w:rFonts w:ascii="Arial" w:hAnsi="Arial" w:cs="Arial"/>
          <w:i/>
          <w:iCs/>
          <w:sz w:val="22"/>
          <w:szCs w:val="22"/>
        </w:rPr>
        <w:t>HESX1</w:t>
      </w:r>
      <w:r w:rsidRPr="0033639F">
        <w:rPr>
          <w:rFonts w:ascii="Arial" w:hAnsi="Arial" w:cs="Arial"/>
          <w:sz w:val="22"/>
          <w:szCs w:val="22"/>
        </w:rPr>
        <w:t xml:space="preserve">, </w:t>
      </w:r>
      <w:r w:rsidRPr="0033639F">
        <w:rPr>
          <w:rFonts w:ascii="Arial" w:hAnsi="Arial" w:cs="Arial"/>
          <w:i/>
          <w:iCs/>
          <w:sz w:val="22"/>
          <w:szCs w:val="22"/>
        </w:rPr>
        <w:t>LHX3</w:t>
      </w:r>
      <w:r w:rsidRPr="0033639F">
        <w:rPr>
          <w:rFonts w:ascii="Arial" w:hAnsi="Arial" w:cs="Arial"/>
          <w:sz w:val="22"/>
          <w:szCs w:val="22"/>
        </w:rPr>
        <w:t xml:space="preserve">, and </w:t>
      </w:r>
      <w:r w:rsidRPr="0033639F">
        <w:rPr>
          <w:rFonts w:ascii="Arial" w:hAnsi="Arial" w:cs="Arial"/>
          <w:i/>
          <w:iCs/>
          <w:sz w:val="22"/>
          <w:szCs w:val="22"/>
        </w:rPr>
        <w:t>LHX4</w:t>
      </w:r>
      <w:r w:rsidRPr="0033639F">
        <w:rPr>
          <w:rFonts w:ascii="Arial" w:hAnsi="Arial" w:cs="Arial"/>
          <w:sz w:val="22"/>
          <w:szCs w:val="22"/>
        </w:rPr>
        <w:t xml:space="preserve">), </w:t>
      </w:r>
      <w:r w:rsidRPr="0033639F">
        <w:rPr>
          <w:rFonts w:ascii="Arial" w:hAnsi="Arial" w:cs="Arial"/>
          <w:i/>
          <w:iCs/>
          <w:sz w:val="22"/>
          <w:szCs w:val="22"/>
        </w:rPr>
        <w:t>GHRH</w:t>
      </w:r>
      <w:r w:rsidRPr="0033639F">
        <w:rPr>
          <w:rFonts w:ascii="Arial" w:hAnsi="Arial" w:cs="Arial"/>
          <w:sz w:val="22"/>
          <w:szCs w:val="22"/>
        </w:rPr>
        <w:t>, the GH secretagogue (</w:t>
      </w:r>
      <w:r w:rsidRPr="0033639F">
        <w:rPr>
          <w:rFonts w:ascii="Arial" w:hAnsi="Arial" w:cs="Arial"/>
          <w:i/>
          <w:iCs/>
          <w:sz w:val="22"/>
          <w:szCs w:val="22"/>
        </w:rPr>
        <w:t>GHS</w:t>
      </w:r>
      <w:r w:rsidRPr="0033639F">
        <w:rPr>
          <w:rFonts w:ascii="Arial" w:hAnsi="Arial" w:cs="Arial"/>
          <w:sz w:val="22"/>
          <w:szCs w:val="22"/>
        </w:rPr>
        <w:t xml:space="preserve">), </w:t>
      </w:r>
      <w:r w:rsidRPr="0033639F">
        <w:rPr>
          <w:rFonts w:ascii="Arial" w:hAnsi="Arial" w:cs="Arial"/>
          <w:i/>
          <w:iCs/>
          <w:sz w:val="22"/>
          <w:szCs w:val="22"/>
        </w:rPr>
        <w:t>GH</w:t>
      </w:r>
      <w:r w:rsidRPr="0033639F">
        <w:rPr>
          <w:rFonts w:ascii="Arial" w:hAnsi="Arial" w:cs="Arial"/>
          <w:sz w:val="22"/>
          <w:szCs w:val="22"/>
        </w:rPr>
        <w:t>, insulin like growth factor-1 (</w:t>
      </w:r>
      <w:r w:rsidRPr="0033639F">
        <w:rPr>
          <w:rFonts w:ascii="Arial" w:hAnsi="Arial" w:cs="Arial"/>
          <w:i/>
          <w:iCs/>
          <w:sz w:val="22"/>
          <w:szCs w:val="22"/>
        </w:rPr>
        <w:t>IGF1</w:t>
      </w:r>
      <w:r w:rsidRPr="0033639F">
        <w:rPr>
          <w:rFonts w:ascii="Arial" w:hAnsi="Arial" w:cs="Arial"/>
          <w:sz w:val="22"/>
          <w:szCs w:val="22"/>
        </w:rPr>
        <w:t>), insulin like growth factor-2 (</w:t>
      </w:r>
      <w:r w:rsidRPr="0033639F">
        <w:rPr>
          <w:rFonts w:ascii="Arial" w:hAnsi="Arial" w:cs="Arial"/>
          <w:i/>
          <w:iCs/>
          <w:sz w:val="22"/>
          <w:szCs w:val="22"/>
        </w:rPr>
        <w:t>IGF2</w:t>
      </w:r>
      <w:r w:rsidRPr="0033639F">
        <w:rPr>
          <w:rFonts w:ascii="Arial" w:hAnsi="Arial" w:cs="Arial"/>
          <w:sz w:val="22"/>
          <w:szCs w:val="22"/>
        </w:rPr>
        <w:t>), insulin (</w:t>
      </w:r>
      <w:r w:rsidRPr="0033639F">
        <w:rPr>
          <w:rFonts w:ascii="Arial" w:hAnsi="Arial" w:cs="Arial"/>
          <w:i/>
          <w:iCs/>
          <w:sz w:val="22"/>
          <w:szCs w:val="22"/>
        </w:rPr>
        <w:t>INS</w:t>
      </w:r>
      <w:r w:rsidRPr="0033639F">
        <w:rPr>
          <w:rFonts w:ascii="Arial" w:hAnsi="Arial" w:cs="Arial"/>
          <w:sz w:val="22"/>
          <w:szCs w:val="22"/>
        </w:rPr>
        <w:t>) and their receptors (</w:t>
      </w:r>
      <w:r w:rsidRPr="0033639F">
        <w:rPr>
          <w:rFonts w:ascii="Arial" w:hAnsi="Arial" w:cs="Arial"/>
          <w:i/>
          <w:sz w:val="22"/>
          <w:szCs w:val="22"/>
        </w:rPr>
        <w:t>GHRHR</w:t>
      </w:r>
      <w:r w:rsidRPr="0033639F">
        <w:rPr>
          <w:rFonts w:ascii="Arial" w:hAnsi="Arial" w:cs="Arial"/>
          <w:sz w:val="22"/>
          <w:szCs w:val="22"/>
        </w:rPr>
        <w:t xml:space="preserve">, </w:t>
      </w:r>
      <w:r w:rsidRPr="0033639F">
        <w:rPr>
          <w:rFonts w:ascii="Arial" w:hAnsi="Arial" w:cs="Arial"/>
          <w:i/>
          <w:iCs/>
          <w:sz w:val="22"/>
          <w:szCs w:val="22"/>
        </w:rPr>
        <w:t>GHSR</w:t>
      </w:r>
      <w:r w:rsidRPr="0033639F">
        <w:rPr>
          <w:rFonts w:ascii="Arial" w:hAnsi="Arial" w:cs="Arial"/>
          <w:sz w:val="22"/>
          <w:szCs w:val="22"/>
        </w:rPr>
        <w:t xml:space="preserve">, </w:t>
      </w:r>
      <w:r w:rsidRPr="0033639F">
        <w:rPr>
          <w:rFonts w:ascii="Arial" w:hAnsi="Arial" w:cs="Arial"/>
          <w:i/>
          <w:iCs/>
          <w:sz w:val="22"/>
          <w:szCs w:val="22"/>
        </w:rPr>
        <w:t>GHR</w:t>
      </w:r>
      <w:r w:rsidRPr="0033639F">
        <w:rPr>
          <w:rFonts w:ascii="Arial" w:hAnsi="Arial" w:cs="Arial"/>
          <w:sz w:val="22"/>
          <w:szCs w:val="22"/>
        </w:rPr>
        <w:t xml:space="preserve">, </w:t>
      </w:r>
      <w:r w:rsidRPr="0033639F">
        <w:rPr>
          <w:rFonts w:ascii="Arial" w:hAnsi="Arial" w:cs="Arial"/>
          <w:i/>
          <w:iCs/>
          <w:sz w:val="22"/>
          <w:szCs w:val="22"/>
        </w:rPr>
        <w:t>IGF1R</w:t>
      </w:r>
      <w:r w:rsidRPr="0033639F">
        <w:rPr>
          <w:rFonts w:ascii="Arial" w:hAnsi="Arial" w:cs="Arial"/>
          <w:sz w:val="22"/>
          <w:szCs w:val="22"/>
        </w:rPr>
        <w:t xml:space="preserve">, </w:t>
      </w:r>
      <w:r w:rsidRPr="0033639F">
        <w:rPr>
          <w:rFonts w:ascii="Arial" w:hAnsi="Arial" w:cs="Arial"/>
          <w:i/>
          <w:iCs/>
          <w:sz w:val="22"/>
          <w:szCs w:val="22"/>
        </w:rPr>
        <w:t>IGF2R</w:t>
      </w:r>
      <w:r w:rsidRPr="0033639F">
        <w:rPr>
          <w:rFonts w:ascii="Arial" w:hAnsi="Arial" w:cs="Arial"/>
          <w:sz w:val="22"/>
          <w:szCs w:val="22"/>
        </w:rPr>
        <w:t xml:space="preserve"> and </w:t>
      </w:r>
      <w:r w:rsidRPr="0033639F">
        <w:rPr>
          <w:rFonts w:ascii="Arial" w:hAnsi="Arial" w:cs="Arial"/>
          <w:i/>
          <w:iCs/>
          <w:sz w:val="22"/>
          <w:szCs w:val="22"/>
        </w:rPr>
        <w:t>INSR</w:t>
      </w:r>
      <w:r w:rsidRPr="0033639F">
        <w:rPr>
          <w:rFonts w:ascii="Arial" w:hAnsi="Arial" w:cs="Arial"/>
          <w:sz w:val="22"/>
          <w:szCs w:val="22"/>
        </w:rPr>
        <w:t xml:space="preserve">) as well as transcription factors controlling GH signaling, including </w:t>
      </w:r>
      <w:r w:rsidRPr="0033639F">
        <w:rPr>
          <w:rFonts w:ascii="Arial" w:hAnsi="Arial" w:cs="Arial"/>
          <w:i/>
          <w:iCs/>
          <w:sz w:val="22"/>
          <w:szCs w:val="22"/>
        </w:rPr>
        <w:t>STAT1</w:t>
      </w:r>
      <w:r w:rsidRPr="0033639F">
        <w:rPr>
          <w:rFonts w:ascii="Arial" w:hAnsi="Arial" w:cs="Arial"/>
          <w:sz w:val="22"/>
          <w:szCs w:val="22"/>
        </w:rPr>
        <w:t xml:space="preserve">, </w:t>
      </w:r>
      <w:r w:rsidRPr="0033639F">
        <w:rPr>
          <w:rFonts w:ascii="Arial" w:hAnsi="Arial" w:cs="Arial"/>
          <w:i/>
          <w:iCs/>
          <w:sz w:val="22"/>
          <w:szCs w:val="22"/>
        </w:rPr>
        <w:t>STAT3</w:t>
      </w:r>
      <w:r w:rsidRPr="0033639F">
        <w:rPr>
          <w:rFonts w:ascii="Arial" w:hAnsi="Arial" w:cs="Arial"/>
          <w:sz w:val="22"/>
          <w:szCs w:val="22"/>
        </w:rPr>
        <w:t xml:space="preserve">, </w:t>
      </w:r>
      <w:r w:rsidRPr="0033639F">
        <w:rPr>
          <w:rFonts w:ascii="Arial" w:hAnsi="Arial" w:cs="Arial"/>
          <w:i/>
          <w:iCs/>
          <w:sz w:val="22"/>
          <w:szCs w:val="22"/>
        </w:rPr>
        <w:t>STAT5a</w:t>
      </w:r>
      <w:r w:rsidRPr="0033639F">
        <w:rPr>
          <w:rFonts w:ascii="Arial" w:hAnsi="Arial" w:cs="Arial"/>
          <w:sz w:val="22"/>
          <w:szCs w:val="22"/>
        </w:rPr>
        <w:t xml:space="preserve">, and </w:t>
      </w:r>
      <w:r w:rsidRPr="0033639F">
        <w:rPr>
          <w:rFonts w:ascii="Arial" w:hAnsi="Arial" w:cs="Arial"/>
          <w:i/>
          <w:iCs/>
          <w:sz w:val="22"/>
          <w:szCs w:val="22"/>
        </w:rPr>
        <w:t>STAT5b</w:t>
      </w:r>
      <w:r w:rsidRPr="0033639F">
        <w:rPr>
          <w:rFonts w:ascii="Arial" w:hAnsi="Arial" w:cs="Arial"/>
          <w:sz w:val="22"/>
          <w:szCs w:val="22"/>
        </w:rPr>
        <w:t xml:space="preserve">. Growth is also influenced by other factors such as the Short Stature Homeobox, sex steroids (estrogens and androgens), glucocorticoids and thyroid hormone. </w:t>
      </w:r>
    </w:p>
    <w:p w14:paraId="14C4B6E8" w14:textId="77777777" w:rsidR="007237CA" w:rsidRDefault="007237CA" w:rsidP="0033639F">
      <w:pPr>
        <w:spacing w:line="276" w:lineRule="auto"/>
        <w:rPr>
          <w:rFonts w:ascii="Arial" w:hAnsi="Arial" w:cs="Arial"/>
          <w:sz w:val="22"/>
          <w:szCs w:val="22"/>
        </w:rPr>
      </w:pPr>
    </w:p>
    <w:p w14:paraId="11DC62CC" w14:textId="59A99455" w:rsidR="00803B01" w:rsidRDefault="00803B01" w:rsidP="0033639F">
      <w:pPr>
        <w:spacing w:line="276" w:lineRule="auto"/>
        <w:rPr>
          <w:rFonts w:ascii="Arial" w:hAnsi="Arial" w:cs="Arial"/>
          <w:noProof/>
          <w:sz w:val="22"/>
          <w:szCs w:val="22"/>
        </w:rPr>
      </w:pPr>
      <w:r w:rsidRPr="0033639F">
        <w:rPr>
          <w:rFonts w:ascii="Arial" w:hAnsi="Arial" w:cs="Arial"/>
          <w:sz w:val="22"/>
          <w:szCs w:val="22"/>
        </w:rPr>
        <w:t>Since the replacement of human pituitary-derived GH with recombinant human GH, much experience has been gained with the use of GH therapy. The Food and Drug Administration (FDA) had expanded GH use for the following conditions for children</w:t>
      </w:r>
      <w:r w:rsidR="00F665DA" w:rsidRPr="0033639F">
        <w:rPr>
          <w:rFonts w:ascii="Arial" w:hAnsi="Arial" w:cs="Arial"/>
          <w:sz w:val="22"/>
          <w:szCs w:val="22"/>
        </w:rPr>
        <w:t xml:space="preserve"> </w:t>
      </w:r>
      <w:r w:rsidR="00F665DA" w:rsidRPr="0033639F">
        <w:rPr>
          <w:rFonts w:ascii="Arial" w:hAnsi="Arial" w:cs="Arial"/>
          <w:noProof/>
          <w:sz w:val="22"/>
          <w:szCs w:val="22"/>
        </w:rPr>
        <w:t>(</w:t>
      </w:r>
      <w:r w:rsidR="007C07A9" w:rsidRPr="0033639F">
        <w:rPr>
          <w:rFonts w:ascii="Arial" w:hAnsi="Arial" w:cs="Arial"/>
          <w:noProof/>
          <w:sz w:val="22"/>
          <w:szCs w:val="22"/>
        </w:rPr>
        <w:t>8</w:t>
      </w:r>
      <w:r w:rsidR="00F665DA" w:rsidRPr="0033639F">
        <w:rPr>
          <w:rFonts w:ascii="Arial" w:hAnsi="Arial" w:cs="Arial"/>
          <w:noProof/>
          <w:sz w:val="22"/>
          <w:szCs w:val="22"/>
        </w:rPr>
        <w:t>)</w:t>
      </w:r>
      <w:r w:rsidR="007237CA">
        <w:rPr>
          <w:rFonts w:ascii="Arial" w:hAnsi="Arial" w:cs="Arial"/>
          <w:noProof/>
          <w:sz w:val="22"/>
          <w:szCs w:val="22"/>
        </w:rPr>
        <w:t>.</w:t>
      </w:r>
    </w:p>
    <w:p w14:paraId="0CD01807" w14:textId="77777777" w:rsidR="00B909CD" w:rsidRPr="0033639F" w:rsidRDefault="00B909CD" w:rsidP="0033639F">
      <w:pPr>
        <w:spacing w:line="276" w:lineRule="auto"/>
        <w:rPr>
          <w:rFonts w:ascii="Arial" w:hAnsi="Arial" w:cs="Arial"/>
          <w:sz w:val="22"/>
          <w:szCs w:val="22"/>
        </w:rPr>
      </w:pPr>
    </w:p>
    <w:p w14:paraId="4EC6E5BB" w14:textId="77777777" w:rsidR="00803B01" w:rsidRPr="0033639F" w:rsidRDefault="00803B01" w:rsidP="00B909CD">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1.     </w:t>
      </w:r>
      <w:r w:rsidRPr="0033639F">
        <w:rPr>
          <w:rFonts w:ascii="Arial" w:hAnsi="Arial" w:cs="Arial"/>
          <w:sz w:val="22"/>
          <w:szCs w:val="22"/>
        </w:rPr>
        <w:t xml:space="preserve">GH deficiency/insufficiency </w:t>
      </w:r>
    </w:p>
    <w:p w14:paraId="3F68048F" w14:textId="37788C5A" w:rsidR="00803B01" w:rsidRPr="0033639F" w:rsidRDefault="00803B01" w:rsidP="00B909CD">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2.     </w:t>
      </w:r>
      <w:r w:rsidRPr="0033639F">
        <w:rPr>
          <w:rFonts w:ascii="Arial" w:hAnsi="Arial" w:cs="Arial"/>
          <w:sz w:val="22"/>
          <w:szCs w:val="22"/>
        </w:rPr>
        <w:t>Chronic renal insufficiency (pre</w:t>
      </w:r>
      <w:r w:rsidR="006A3538" w:rsidRPr="0033639F">
        <w:rPr>
          <w:rFonts w:ascii="Arial" w:hAnsi="Arial" w:cs="Arial"/>
          <w:color w:val="FF0000"/>
          <w:sz w:val="22"/>
          <w:szCs w:val="22"/>
        </w:rPr>
        <w:t>-</w:t>
      </w:r>
      <w:r w:rsidRPr="0033639F">
        <w:rPr>
          <w:rFonts w:ascii="Arial" w:hAnsi="Arial" w:cs="Arial"/>
          <w:sz w:val="22"/>
          <w:szCs w:val="22"/>
        </w:rPr>
        <w:t xml:space="preserve">transplantation) </w:t>
      </w:r>
    </w:p>
    <w:p w14:paraId="1483C2AF" w14:textId="77777777" w:rsidR="00803B01" w:rsidRPr="0033639F" w:rsidRDefault="00803B01" w:rsidP="00B909CD">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3.     </w:t>
      </w:r>
      <w:r w:rsidRPr="0033639F">
        <w:rPr>
          <w:rFonts w:ascii="Arial" w:hAnsi="Arial" w:cs="Arial"/>
          <w:sz w:val="22"/>
          <w:szCs w:val="22"/>
        </w:rPr>
        <w:t xml:space="preserve">Turner syndrome </w:t>
      </w:r>
    </w:p>
    <w:p w14:paraId="1DD07A29" w14:textId="77777777" w:rsidR="00803B01" w:rsidRPr="0033639F" w:rsidRDefault="00803B01" w:rsidP="00B909CD">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4.     </w:t>
      </w:r>
      <w:r w:rsidRPr="0033639F">
        <w:rPr>
          <w:rFonts w:ascii="Arial" w:hAnsi="Arial" w:cs="Arial"/>
          <w:sz w:val="22"/>
          <w:szCs w:val="22"/>
        </w:rPr>
        <w:t>SHOX haploinsufficiency</w:t>
      </w:r>
    </w:p>
    <w:p w14:paraId="61EB2E6A" w14:textId="77777777" w:rsidR="00803B01" w:rsidRPr="0033639F" w:rsidRDefault="00803B01" w:rsidP="00B909CD">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5.     </w:t>
      </w:r>
      <w:r w:rsidRPr="0033639F">
        <w:rPr>
          <w:rFonts w:ascii="Arial" w:hAnsi="Arial" w:cs="Arial"/>
          <w:sz w:val="22"/>
          <w:szCs w:val="22"/>
        </w:rPr>
        <w:t xml:space="preserve">Short stature from Prader-Willi Syndrome (PWS) </w:t>
      </w:r>
    </w:p>
    <w:p w14:paraId="16608934" w14:textId="0397E918" w:rsidR="00803B01" w:rsidRPr="0033639F" w:rsidRDefault="00803B01" w:rsidP="00B909CD">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6.     </w:t>
      </w:r>
      <w:r w:rsidRPr="0033639F">
        <w:rPr>
          <w:rFonts w:ascii="Arial" w:hAnsi="Arial" w:cs="Arial"/>
          <w:sz w:val="22"/>
          <w:szCs w:val="22"/>
        </w:rPr>
        <w:t xml:space="preserve">Children with a history of fetal growth restriction (SGA, IUGR) who have not caught up to a </w:t>
      </w:r>
      <w:r w:rsidR="00B909CD">
        <w:rPr>
          <w:rFonts w:ascii="Arial" w:hAnsi="Arial" w:cs="Arial"/>
          <w:sz w:val="22"/>
          <w:szCs w:val="22"/>
        </w:rPr>
        <w:t xml:space="preserve">   </w:t>
      </w:r>
      <w:r w:rsidRPr="0033639F">
        <w:rPr>
          <w:rFonts w:ascii="Arial" w:hAnsi="Arial" w:cs="Arial"/>
          <w:sz w:val="22"/>
          <w:szCs w:val="22"/>
        </w:rPr>
        <w:t xml:space="preserve">normal height range by age 2 years </w:t>
      </w:r>
    </w:p>
    <w:p w14:paraId="107C4A90" w14:textId="1C1BA92E" w:rsidR="00803B01" w:rsidRPr="0033639F" w:rsidRDefault="00803B01" w:rsidP="00B909CD">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7.     </w:t>
      </w:r>
      <w:r w:rsidRPr="0033639F">
        <w:rPr>
          <w:rFonts w:ascii="Arial" w:hAnsi="Arial" w:cs="Arial"/>
          <w:sz w:val="22"/>
          <w:szCs w:val="22"/>
        </w:rPr>
        <w:t xml:space="preserve">Children with idiopathic short stature (ISS): height &gt; 2.25 SD below the mean in height and </w:t>
      </w:r>
      <w:r w:rsidR="008A4CD2">
        <w:rPr>
          <w:rFonts w:ascii="Arial" w:hAnsi="Arial" w:cs="Arial"/>
          <w:sz w:val="22"/>
          <w:szCs w:val="22"/>
        </w:rPr>
        <w:t xml:space="preserve">  </w:t>
      </w:r>
      <w:r w:rsidRPr="0033639F">
        <w:rPr>
          <w:rFonts w:ascii="Arial" w:hAnsi="Arial" w:cs="Arial"/>
          <w:sz w:val="22"/>
          <w:szCs w:val="22"/>
        </w:rPr>
        <w:t xml:space="preserve">unlikely to catch up in height. </w:t>
      </w:r>
    </w:p>
    <w:p w14:paraId="0B453269" w14:textId="77777777" w:rsidR="00803B01" w:rsidRPr="0033639F" w:rsidRDefault="00803B01" w:rsidP="00B909CD">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8.     </w:t>
      </w:r>
      <w:r w:rsidRPr="0033639F">
        <w:rPr>
          <w:rFonts w:ascii="Arial" w:hAnsi="Arial" w:cs="Arial"/>
          <w:sz w:val="22"/>
          <w:szCs w:val="22"/>
        </w:rPr>
        <w:t>Noonan Syndrome</w:t>
      </w:r>
    </w:p>
    <w:p w14:paraId="78AB8D2E" w14:textId="71823139" w:rsidR="00803B01" w:rsidRDefault="00803B01" w:rsidP="00B909CD">
      <w:pPr>
        <w:tabs>
          <w:tab w:val="num" w:pos="720"/>
        </w:tabs>
        <w:spacing w:line="276" w:lineRule="auto"/>
        <w:ind w:left="360" w:hanging="360"/>
        <w:rPr>
          <w:rFonts w:ascii="Arial" w:hAnsi="Arial" w:cs="Arial"/>
          <w:sz w:val="22"/>
          <w:szCs w:val="22"/>
        </w:rPr>
      </w:pPr>
      <w:r w:rsidRPr="0033639F">
        <w:rPr>
          <w:rFonts w:ascii="Arial" w:hAnsi="Arial" w:cs="Arial"/>
          <w:sz w:val="22"/>
          <w:szCs w:val="22"/>
        </w:rPr>
        <w:t xml:space="preserve">9. </w:t>
      </w:r>
      <w:r w:rsidRPr="0033639F">
        <w:rPr>
          <w:rFonts w:ascii="Arial" w:hAnsi="Arial" w:cs="Arial"/>
          <w:sz w:val="22"/>
          <w:szCs w:val="22"/>
        </w:rPr>
        <w:tab/>
        <w:t xml:space="preserve"> </w:t>
      </w:r>
      <w:r w:rsidR="00B909CD">
        <w:rPr>
          <w:rFonts w:ascii="Arial" w:hAnsi="Arial" w:cs="Arial"/>
          <w:sz w:val="22"/>
          <w:szCs w:val="22"/>
        </w:rPr>
        <w:t xml:space="preserve"> </w:t>
      </w:r>
      <w:r w:rsidRPr="0033639F">
        <w:rPr>
          <w:rFonts w:ascii="Arial" w:hAnsi="Arial" w:cs="Arial"/>
          <w:sz w:val="22"/>
          <w:szCs w:val="22"/>
        </w:rPr>
        <w:t>Short Bowel Syndrome</w:t>
      </w:r>
    </w:p>
    <w:p w14:paraId="7FB652C9" w14:textId="77777777" w:rsidR="00B909CD" w:rsidRPr="0033639F" w:rsidRDefault="00B909CD" w:rsidP="00B909CD">
      <w:pPr>
        <w:tabs>
          <w:tab w:val="num" w:pos="720"/>
        </w:tabs>
        <w:spacing w:line="276" w:lineRule="auto"/>
        <w:ind w:left="288" w:hanging="288"/>
        <w:rPr>
          <w:rFonts w:ascii="Arial" w:hAnsi="Arial" w:cs="Arial"/>
          <w:sz w:val="22"/>
          <w:szCs w:val="22"/>
        </w:rPr>
      </w:pPr>
    </w:p>
    <w:p w14:paraId="68540FE6" w14:textId="77777777"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FDA approved conditions for GH treatment for adults: </w:t>
      </w:r>
    </w:p>
    <w:p w14:paraId="7109AA6E" w14:textId="77777777" w:rsidR="00B909CD" w:rsidRPr="0033639F" w:rsidRDefault="00B909CD" w:rsidP="0033639F">
      <w:pPr>
        <w:spacing w:line="276" w:lineRule="auto"/>
        <w:rPr>
          <w:rFonts w:ascii="Arial" w:hAnsi="Arial" w:cs="Arial"/>
          <w:sz w:val="22"/>
          <w:szCs w:val="22"/>
        </w:rPr>
      </w:pPr>
    </w:p>
    <w:p w14:paraId="7BF2E3DC" w14:textId="77777777" w:rsidR="00803B01" w:rsidRPr="0033639F" w:rsidRDefault="00803B01" w:rsidP="00B909CD">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1.     </w:t>
      </w:r>
      <w:r w:rsidRPr="0033639F">
        <w:rPr>
          <w:rFonts w:ascii="Arial" w:hAnsi="Arial" w:cs="Arial"/>
          <w:sz w:val="22"/>
          <w:szCs w:val="22"/>
        </w:rPr>
        <w:t xml:space="preserve">Adults with GH deficiency </w:t>
      </w:r>
    </w:p>
    <w:p w14:paraId="301C720C" w14:textId="77777777" w:rsidR="00803B01" w:rsidRDefault="00803B01" w:rsidP="00B909CD">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2.     </w:t>
      </w:r>
      <w:r w:rsidRPr="0033639F">
        <w:rPr>
          <w:rFonts w:ascii="Arial" w:hAnsi="Arial" w:cs="Arial"/>
          <w:sz w:val="22"/>
          <w:szCs w:val="22"/>
        </w:rPr>
        <w:t xml:space="preserve">Adults with AIDS wasting </w:t>
      </w:r>
    </w:p>
    <w:p w14:paraId="0E917FB3" w14:textId="77777777" w:rsidR="00B909CD" w:rsidRPr="0033639F" w:rsidRDefault="00B909CD" w:rsidP="0033639F">
      <w:pPr>
        <w:tabs>
          <w:tab w:val="num" w:pos="720"/>
        </w:tabs>
        <w:spacing w:line="276" w:lineRule="auto"/>
        <w:ind w:hanging="360"/>
        <w:rPr>
          <w:rFonts w:ascii="Arial" w:hAnsi="Arial" w:cs="Arial"/>
          <w:sz w:val="22"/>
          <w:szCs w:val="22"/>
        </w:rPr>
      </w:pPr>
    </w:p>
    <w:p w14:paraId="4E500B67" w14:textId="72F602E5"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The efficacy of GH treatment has been investigated in children whose height has been compromised due to chronic illnesses such as Crohn’s disease, cystic fibrosis, glucocorticoid-induced suppression of growth in other disorders (asthma and juvenile idiopathic arthritis (JIA), also known as juvenile rheumatoid arthritis (JRA)), and adrenal steroid disorders such as congenital adrenal hyperplasia (CAH). Studies have shown both anabolic effects and improvement of growth velocity after GH treatment in children with glucocorticoid dependent Crohn’s disease</w:t>
      </w:r>
      <w:r w:rsidR="00F665DA" w:rsidRPr="0033639F">
        <w:rPr>
          <w:rFonts w:ascii="Arial" w:hAnsi="Arial" w:cs="Arial"/>
          <w:sz w:val="22"/>
          <w:szCs w:val="22"/>
        </w:rPr>
        <w:t xml:space="preserve"> </w:t>
      </w:r>
      <w:r w:rsidR="00F665DA" w:rsidRPr="0033639F">
        <w:rPr>
          <w:rFonts w:ascii="Arial" w:hAnsi="Arial" w:cs="Arial"/>
          <w:noProof/>
          <w:sz w:val="22"/>
          <w:szCs w:val="22"/>
        </w:rPr>
        <w:t>(</w:t>
      </w:r>
      <w:r w:rsidR="007C07A9" w:rsidRPr="0033639F">
        <w:rPr>
          <w:rFonts w:ascii="Arial" w:hAnsi="Arial" w:cs="Arial"/>
          <w:noProof/>
          <w:sz w:val="22"/>
          <w:szCs w:val="22"/>
        </w:rPr>
        <w:t>3,9,10</w:t>
      </w:r>
      <w:r w:rsidR="00F665DA" w:rsidRPr="0033639F">
        <w:rPr>
          <w:rFonts w:ascii="Arial" w:hAnsi="Arial" w:cs="Arial"/>
          <w:noProof/>
          <w:sz w:val="22"/>
          <w:szCs w:val="22"/>
        </w:rPr>
        <w:t>)</w:t>
      </w:r>
      <w:r w:rsidRPr="0033639F">
        <w:rPr>
          <w:rFonts w:ascii="Arial" w:hAnsi="Arial" w:cs="Arial"/>
          <w:sz w:val="22"/>
          <w:szCs w:val="22"/>
        </w:rPr>
        <w:t>. Improvement in linear growth has also been observed after GH treatment in children with cystic fibrosis and JIA</w:t>
      </w:r>
      <w:r w:rsidR="00F665DA" w:rsidRPr="0033639F">
        <w:rPr>
          <w:rFonts w:ascii="Arial" w:hAnsi="Arial" w:cs="Arial"/>
          <w:sz w:val="22"/>
          <w:szCs w:val="22"/>
        </w:rPr>
        <w:t xml:space="preserve"> </w:t>
      </w:r>
      <w:r w:rsidR="00F665DA" w:rsidRPr="0033639F">
        <w:rPr>
          <w:rFonts w:ascii="Arial" w:hAnsi="Arial" w:cs="Arial"/>
          <w:noProof/>
          <w:sz w:val="22"/>
          <w:szCs w:val="22"/>
        </w:rPr>
        <w:t>(</w:t>
      </w:r>
      <w:r w:rsidR="007C07A9" w:rsidRPr="0033639F">
        <w:rPr>
          <w:rFonts w:ascii="Arial" w:hAnsi="Arial" w:cs="Arial"/>
          <w:noProof/>
          <w:sz w:val="22"/>
          <w:szCs w:val="22"/>
        </w:rPr>
        <w:t>4</w:t>
      </w:r>
      <w:r w:rsidR="00F665DA" w:rsidRPr="0033639F">
        <w:rPr>
          <w:rFonts w:ascii="Arial" w:hAnsi="Arial" w:cs="Arial"/>
          <w:noProof/>
          <w:sz w:val="22"/>
          <w:szCs w:val="22"/>
        </w:rPr>
        <w:t>–</w:t>
      </w:r>
      <w:r w:rsidR="007C07A9" w:rsidRPr="0033639F">
        <w:rPr>
          <w:rFonts w:ascii="Arial" w:hAnsi="Arial" w:cs="Arial"/>
          <w:noProof/>
          <w:sz w:val="22"/>
          <w:szCs w:val="22"/>
        </w:rPr>
        <w:t>6</w:t>
      </w:r>
      <w:r w:rsidR="00F665DA" w:rsidRPr="0033639F">
        <w:rPr>
          <w:rFonts w:ascii="Arial" w:hAnsi="Arial" w:cs="Arial"/>
          <w:noProof/>
          <w:sz w:val="22"/>
          <w:szCs w:val="22"/>
        </w:rPr>
        <w:t>)</w:t>
      </w:r>
      <w:r w:rsidRPr="0033639F">
        <w:rPr>
          <w:rFonts w:ascii="Arial" w:hAnsi="Arial" w:cs="Arial"/>
          <w:sz w:val="22"/>
          <w:szCs w:val="22"/>
        </w:rPr>
        <w:t xml:space="preserve">. The same studies have shown significant improvement in weight gain and body composition, changes that have been variably correlated with improvement in life expectancy and quality of life. </w:t>
      </w:r>
    </w:p>
    <w:p w14:paraId="2D5EC825" w14:textId="77777777" w:rsidR="00B909CD" w:rsidRDefault="00B909CD" w:rsidP="0033639F">
      <w:pPr>
        <w:spacing w:line="276" w:lineRule="auto"/>
        <w:rPr>
          <w:rFonts w:ascii="Arial" w:hAnsi="Arial" w:cs="Arial"/>
          <w:sz w:val="22"/>
          <w:szCs w:val="22"/>
        </w:rPr>
      </w:pPr>
    </w:p>
    <w:p w14:paraId="6FD24E79" w14:textId="75D5FD2E"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The growth-suppressing effects of glucocorticoids </w:t>
      </w:r>
      <w:r w:rsidR="006A3538" w:rsidRPr="0033639F">
        <w:rPr>
          <w:rFonts w:ascii="Arial" w:hAnsi="Arial" w:cs="Arial"/>
          <w:color w:val="000000" w:themeColor="text1"/>
          <w:sz w:val="22"/>
          <w:szCs w:val="22"/>
        </w:rPr>
        <w:t>are</w:t>
      </w:r>
      <w:r w:rsidRPr="0033639F">
        <w:rPr>
          <w:rFonts w:ascii="Arial" w:hAnsi="Arial" w:cs="Arial"/>
          <w:color w:val="000000" w:themeColor="text1"/>
          <w:sz w:val="22"/>
          <w:szCs w:val="22"/>
        </w:rPr>
        <w:t xml:space="preserve"> </w:t>
      </w:r>
      <w:r w:rsidRPr="0033639F">
        <w:rPr>
          <w:rFonts w:ascii="Arial" w:hAnsi="Arial" w:cs="Arial"/>
          <w:sz w:val="22"/>
          <w:szCs w:val="22"/>
        </w:rPr>
        <w:t xml:space="preserve">also seen in children affected with CAH where high androgens both increase short-term growth velocity and limit the height potential. Most patients with CAH complete their growth prematurely and are ultimately short adults. Lin-Su </w:t>
      </w:r>
      <w:r w:rsidRPr="0033639F">
        <w:rPr>
          <w:rFonts w:ascii="Arial" w:hAnsi="Arial" w:cs="Arial"/>
          <w:i/>
          <w:iCs/>
          <w:sz w:val="22"/>
          <w:szCs w:val="22"/>
        </w:rPr>
        <w:t>et al</w:t>
      </w:r>
      <w:r w:rsidRPr="0033639F">
        <w:rPr>
          <w:rFonts w:ascii="Arial" w:hAnsi="Arial" w:cs="Arial"/>
          <w:sz w:val="22"/>
          <w:szCs w:val="22"/>
        </w:rPr>
        <w:t>, showed that GH in combination with LHRHa significantly improved their final adult height in children with CAH</w:t>
      </w:r>
      <w:r w:rsidR="00F665DA" w:rsidRPr="0033639F">
        <w:rPr>
          <w:rFonts w:ascii="Arial" w:hAnsi="Arial" w:cs="Arial"/>
          <w:sz w:val="22"/>
          <w:szCs w:val="22"/>
        </w:rPr>
        <w:t xml:space="preserve"> </w:t>
      </w:r>
      <w:r w:rsidR="00F665DA" w:rsidRPr="0033639F">
        <w:rPr>
          <w:rFonts w:ascii="Arial" w:hAnsi="Arial" w:cs="Arial"/>
          <w:noProof/>
          <w:sz w:val="22"/>
          <w:szCs w:val="22"/>
        </w:rPr>
        <w:t>(</w:t>
      </w:r>
      <w:r w:rsidR="007C07A9" w:rsidRPr="0033639F">
        <w:rPr>
          <w:rFonts w:ascii="Arial" w:hAnsi="Arial" w:cs="Arial"/>
          <w:noProof/>
          <w:sz w:val="22"/>
          <w:szCs w:val="22"/>
        </w:rPr>
        <w:t>11</w:t>
      </w:r>
      <w:r w:rsidR="00F665DA" w:rsidRPr="0033639F">
        <w:rPr>
          <w:rFonts w:ascii="Arial" w:hAnsi="Arial" w:cs="Arial"/>
          <w:noProof/>
          <w:sz w:val="22"/>
          <w:szCs w:val="22"/>
        </w:rPr>
        <w:t>)</w:t>
      </w:r>
      <w:r w:rsidRPr="0033639F">
        <w:rPr>
          <w:rFonts w:ascii="Arial" w:hAnsi="Arial" w:cs="Arial"/>
          <w:sz w:val="22"/>
          <w:szCs w:val="22"/>
        </w:rPr>
        <w:t xml:space="preserve">. </w:t>
      </w:r>
    </w:p>
    <w:p w14:paraId="0055E95D" w14:textId="77777777" w:rsidR="00600E29" w:rsidRDefault="00600E29" w:rsidP="0033639F">
      <w:pPr>
        <w:spacing w:line="276" w:lineRule="auto"/>
        <w:rPr>
          <w:rFonts w:ascii="Arial" w:hAnsi="Arial" w:cs="Arial"/>
          <w:sz w:val="22"/>
          <w:szCs w:val="22"/>
        </w:rPr>
      </w:pPr>
    </w:p>
    <w:p w14:paraId="721972E9" w14:textId="785F6FEE"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Larger, long-term prospective studies are needed to determine the safety and efficacy of GH treatment in these populations of children. </w:t>
      </w:r>
    </w:p>
    <w:p w14:paraId="6CEB20FB" w14:textId="77777777" w:rsidR="00600E29" w:rsidRDefault="00600E29" w:rsidP="0033639F">
      <w:pPr>
        <w:spacing w:line="276" w:lineRule="auto"/>
        <w:rPr>
          <w:rFonts w:ascii="Arial" w:hAnsi="Arial" w:cs="Arial"/>
          <w:sz w:val="22"/>
          <w:szCs w:val="22"/>
        </w:rPr>
      </w:pPr>
    </w:p>
    <w:p w14:paraId="555A57B1" w14:textId="7AE63779"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The key mediator of GH action in the periphery for both prenatal and postnatal mammalian growth is IGF system. GH exerts its direct effects at the growth plate and indirect effects via IGF1. Better understanding the role of IGF1 on growth had led to the concept of IGF1 deficiency in addition to GH deficiency. With the introduction of recombinant human (rh) IGF1, today, it is possible to treat conditions due to genetic GH resistance or insensitivity caused by GH receptor defects, and the presence of neutralizing GH antibodies</w:t>
      </w:r>
      <w:r w:rsidR="00F665DA" w:rsidRPr="0033639F">
        <w:rPr>
          <w:rFonts w:ascii="Arial" w:hAnsi="Arial" w:cs="Arial"/>
          <w:sz w:val="22"/>
          <w:szCs w:val="22"/>
        </w:rPr>
        <w:t xml:space="preserve"> </w:t>
      </w:r>
      <w:r w:rsidR="00F665DA" w:rsidRPr="0033639F">
        <w:rPr>
          <w:rFonts w:ascii="Arial" w:hAnsi="Arial" w:cs="Arial"/>
          <w:noProof/>
          <w:sz w:val="22"/>
          <w:szCs w:val="22"/>
        </w:rPr>
        <w:t>(</w:t>
      </w:r>
      <w:r w:rsidR="007C07A9" w:rsidRPr="0033639F">
        <w:rPr>
          <w:rFonts w:ascii="Arial" w:hAnsi="Arial" w:cs="Arial"/>
          <w:noProof/>
          <w:sz w:val="22"/>
          <w:szCs w:val="22"/>
        </w:rPr>
        <w:t>12</w:t>
      </w:r>
      <w:r w:rsidR="00F665DA" w:rsidRPr="0033639F">
        <w:rPr>
          <w:rFonts w:ascii="Arial" w:hAnsi="Arial" w:cs="Arial"/>
          <w:noProof/>
          <w:sz w:val="22"/>
          <w:szCs w:val="22"/>
        </w:rPr>
        <w:t>)</w:t>
      </w:r>
      <w:r w:rsidRPr="0033639F">
        <w:rPr>
          <w:rFonts w:ascii="Arial" w:hAnsi="Arial" w:cs="Arial"/>
          <w:sz w:val="22"/>
          <w:szCs w:val="22"/>
        </w:rPr>
        <w:t xml:space="preserve">.  </w:t>
      </w:r>
    </w:p>
    <w:p w14:paraId="77BBB6BB" w14:textId="77777777" w:rsidR="00600E29" w:rsidRDefault="00600E29" w:rsidP="0033639F">
      <w:pPr>
        <w:pStyle w:val="Heading1"/>
        <w:spacing w:before="0" w:after="0" w:line="276" w:lineRule="auto"/>
        <w:rPr>
          <w:rFonts w:ascii="Arial" w:hAnsi="Arial" w:cs="Arial"/>
          <w:sz w:val="22"/>
          <w:szCs w:val="22"/>
        </w:rPr>
      </w:pPr>
      <w:bookmarkStart w:id="2" w:name="id2504884"/>
      <w:bookmarkStart w:id="3" w:name="id2504928"/>
      <w:bookmarkEnd w:id="2"/>
      <w:bookmarkEnd w:id="3"/>
    </w:p>
    <w:p w14:paraId="05E315AB" w14:textId="135D275C" w:rsidR="00803B01" w:rsidRPr="00600E29" w:rsidRDefault="00803B01" w:rsidP="00600E29">
      <w:pPr>
        <w:rPr>
          <w:b/>
          <w:bCs/>
          <w:color w:val="0070C0"/>
        </w:rPr>
      </w:pPr>
      <w:r w:rsidRPr="00600E29">
        <w:rPr>
          <w:b/>
          <w:bCs/>
          <w:color w:val="0070C0"/>
        </w:rPr>
        <w:t xml:space="preserve">MULTIPLE PITUITARY HORMONE DEFICIENCY (MPHD) </w:t>
      </w:r>
    </w:p>
    <w:p w14:paraId="703014CF" w14:textId="77777777" w:rsidR="00600E29" w:rsidRDefault="00600E29" w:rsidP="0033639F">
      <w:pPr>
        <w:spacing w:line="276" w:lineRule="auto"/>
        <w:rPr>
          <w:rFonts w:ascii="Arial" w:hAnsi="Arial" w:cs="Arial"/>
          <w:sz w:val="22"/>
          <w:szCs w:val="22"/>
        </w:rPr>
      </w:pPr>
    </w:p>
    <w:p w14:paraId="73C2F7F7" w14:textId="775E1A9E"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GH deficiency may occur in combination with other pituitary hormone deficiencies and is often referred to as hypopituitarism, panhypopituitarism or multiple pituitary hormone deficiency (MPHD). </w:t>
      </w:r>
    </w:p>
    <w:p w14:paraId="54D376AB" w14:textId="77777777" w:rsidR="00600E29" w:rsidRPr="0033639F" w:rsidRDefault="00600E29" w:rsidP="0033639F">
      <w:pPr>
        <w:spacing w:line="276" w:lineRule="auto"/>
        <w:rPr>
          <w:rFonts w:ascii="Arial" w:hAnsi="Arial" w:cs="Arial"/>
          <w:sz w:val="22"/>
          <w:szCs w:val="22"/>
        </w:rPr>
      </w:pPr>
    </w:p>
    <w:p w14:paraId="19AFBD70" w14:textId="68BA7EF9" w:rsidR="00803B01" w:rsidRDefault="00803B01" w:rsidP="0033639F">
      <w:pPr>
        <w:pStyle w:val="title10"/>
        <w:shd w:val="clear" w:color="auto" w:fill="FFFFFF"/>
        <w:spacing w:line="276" w:lineRule="auto"/>
        <w:rPr>
          <w:rFonts w:ascii="Arial" w:hAnsi="Arial" w:cs="Arial"/>
          <w:sz w:val="22"/>
          <w:szCs w:val="22"/>
        </w:rPr>
      </w:pPr>
      <w:r w:rsidRPr="0033639F">
        <w:rPr>
          <w:rFonts w:ascii="Arial" w:hAnsi="Arial" w:cs="Arial"/>
          <w:sz w:val="22"/>
          <w:szCs w:val="22"/>
        </w:rPr>
        <w:t>The anterior portion of pituitary gland forms from Rathke's pouch around the third week of gestation</w:t>
      </w:r>
      <w:r w:rsidRPr="0033639F">
        <w:rPr>
          <w:rFonts w:ascii="Arial" w:hAnsi="Arial" w:cs="Arial"/>
          <w:noProof/>
          <w:sz w:val="22"/>
          <w:szCs w:val="22"/>
        </w:rPr>
        <w:t xml:space="preserve"> </w:t>
      </w:r>
      <w:r w:rsidR="00360562" w:rsidRPr="0033639F">
        <w:rPr>
          <w:rFonts w:ascii="Arial" w:hAnsi="Arial" w:cs="Arial"/>
          <w:noProof/>
          <w:sz w:val="22"/>
          <w:szCs w:val="22"/>
        </w:rPr>
        <w:t>(</w:t>
      </w:r>
      <w:r w:rsidR="007C07A9" w:rsidRPr="0033639F">
        <w:rPr>
          <w:rFonts w:ascii="Arial" w:hAnsi="Arial" w:cs="Arial"/>
          <w:noProof/>
          <w:sz w:val="22"/>
          <w:szCs w:val="22"/>
        </w:rPr>
        <w:t>13</w:t>
      </w:r>
      <w:r w:rsidR="00360562"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It is influenced by the expression of numerous transcription factors and signaling molecules; some of them required for continued normal function of pituitary gland.  Mutations have been identified in the genes encoding several pituitary transcription factors and signaling molecules, including </w:t>
      </w:r>
      <w:r w:rsidRPr="0033639F">
        <w:rPr>
          <w:rFonts w:ascii="Arial" w:hAnsi="Arial" w:cs="Arial"/>
          <w:i/>
          <w:iCs/>
          <w:sz w:val="22"/>
          <w:szCs w:val="22"/>
        </w:rPr>
        <w:t>GLI2</w:t>
      </w:r>
      <w:r w:rsidRPr="0033639F">
        <w:rPr>
          <w:rFonts w:ascii="Arial" w:hAnsi="Arial" w:cs="Arial"/>
          <w:sz w:val="22"/>
          <w:szCs w:val="22"/>
        </w:rPr>
        <w:t xml:space="preserve">, </w:t>
      </w:r>
      <w:r w:rsidRPr="0033639F">
        <w:rPr>
          <w:rFonts w:ascii="Arial" w:hAnsi="Arial" w:cs="Arial"/>
          <w:i/>
          <w:iCs/>
          <w:sz w:val="22"/>
          <w:szCs w:val="22"/>
        </w:rPr>
        <w:t>LHX3</w:t>
      </w:r>
      <w:r w:rsidRPr="0033639F">
        <w:rPr>
          <w:rFonts w:ascii="Arial" w:hAnsi="Arial" w:cs="Arial"/>
          <w:sz w:val="22"/>
          <w:szCs w:val="22"/>
        </w:rPr>
        <w:t xml:space="preserve">, </w:t>
      </w:r>
      <w:r w:rsidRPr="0033639F">
        <w:rPr>
          <w:rFonts w:ascii="Arial" w:hAnsi="Arial" w:cs="Arial"/>
          <w:i/>
          <w:iCs/>
          <w:sz w:val="22"/>
          <w:szCs w:val="22"/>
        </w:rPr>
        <w:t>LHX4</w:t>
      </w:r>
      <w:r w:rsidRPr="0033639F">
        <w:rPr>
          <w:rFonts w:ascii="Arial" w:hAnsi="Arial" w:cs="Arial"/>
          <w:sz w:val="22"/>
          <w:szCs w:val="22"/>
        </w:rPr>
        <w:t xml:space="preserve">, </w:t>
      </w:r>
      <w:r w:rsidRPr="0033639F">
        <w:rPr>
          <w:rFonts w:ascii="Arial" w:hAnsi="Arial" w:cs="Arial"/>
          <w:i/>
          <w:iCs/>
          <w:sz w:val="22"/>
          <w:szCs w:val="22"/>
        </w:rPr>
        <w:t>HESX1</w:t>
      </w:r>
      <w:r w:rsidRPr="0033639F">
        <w:rPr>
          <w:rFonts w:ascii="Arial" w:hAnsi="Arial" w:cs="Arial"/>
          <w:sz w:val="22"/>
          <w:szCs w:val="22"/>
        </w:rPr>
        <w:t xml:space="preserve">, </w:t>
      </w:r>
      <w:r w:rsidRPr="0033639F">
        <w:rPr>
          <w:rFonts w:ascii="Arial" w:hAnsi="Arial" w:cs="Arial"/>
          <w:i/>
          <w:iCs/>
          <w:sz w:val="22"/>
          <w:szCs w:val="22"/>
        </w:rPr>
        <w:t>PROP1</w:t>
      </w:r>
      <w:r w:rsidRPr="0033639F">
        <w:rPr>
          <w:rFonts w:ascii="Arial" w:hAnsi="Arial" w:cs="Arial"/>
          <w:sz w:val="22"/>
          <w:szCs w:val="22"/>
        </w:rPr>
        <w:t xml:space="preserve">, </w:t>
      </w:r>
      <w:r w:rsidRPr="0033639F">
        <w:rPr>
          <w:rFonts w:ascii="Arial" w:hAnsi="Arial" w:cs="Arial"/>
          <w:i/>
          <w:iCs/>
          <w:sz w:val="22"/>
          <w:szCs w:val="22"/>
        </w:rPr>
        <w:t>POU1F1</w:t>
      </w:r>
      <w:r w:rsidRPr="0033639F">
        <w:rPr>
          <w:rFonts w:ascii="Arial" w:hAnsi="Arial" w:cs="Arial"/>
          <w:sz w:val="22"/>
          <w:szCs w:val="22"/>
        </w:rPr>
        <w:t xml:space="preserve">, </w:t>
      </w:r>
      <w:r w:rsidRPr="0033639F">
        <w:rPr>
          <w:rFonts w:ascii="Arial" w:hAnsi="Arial" w:cs="Arial"/>
          <w:i/>
          <w:iCs/>
          <w:sz w:val="22"/>
          <w:szCs w:val="22"/>
        </w:rPr>
        <w:t>SOX2</w:t>
      </w:r>
      <w:r w:rsidRPr="0033639F">
        <w:rPr>
          <w:rFonts w:ascii="Arial" w:hAnsi="Arial" w:cs="Arial"/>
          <w:sz w:val="22"/>
          <w:szCs w:val="22"/>
        </w:rPr>
        <w:t xml:space="preserve">, </w:t>
      </w:r>
      <w:r w:rsidRPr="0033639F">
        <w:rPr>
          <w:rFonts w:ascii="Arial" w:hAnsi="Arial" w:cs="Arial"/>
          <w:i/>
          <w:iCs/>
          <w:sz w:val="22"/>
          <w:szCs w:val="22"/>
        </w:rPr>
        <w:t>PITX2</w:t>
      </w:r>
      <w:r w:rsidRPr="0033639F">
        <w:rPr>
          <w:rFonts w:ascii="Arial" w:hAnsi="Arial" w:cs="Arial"/>
          <w:sz w:val="22"/>
          <w:szCs w:val="22"/>
        </w:rPr>
        <w:t xml:space="preserve">, </w:t>
      </w:r>
      <w:r w:rsidRPr="0033639F">
        <w:rPr>
          <w:rFonts w:ascii="Arial" w:hAnsi="Arial" w:cs="Arial"/>
          <w:i/>
          <w:iCs/>
          <w:sz w:val="22"/>
          <w:szCs w:val="22"/>
        </w:rPr>
        <w:t>OTX2</w:t>
      </w:r>
      <w:r w:rsidRPr="0033639F">
        <w:rPr>
          <w:rFonts w:ascii="Arial" w:hAnsi="Arial" w:cs="Arial"/>
          <w:sz w:val="22"/>
          <w:szCs w:val="22"/>
        </w:rPr>
        <w:t xml:space="preserve"> and </w:t>
      </w:r>
      <w:r w:rsidRPr="0033639F">
        <w:rPr>
          <w:rFonts w:ascii="Arial" w:hAnsi="Arial" w:cs="Arial"/>
          <w:i/>
          <w:iCs/>
          <w:sz w:val="22"/>
          <w:szCs w:val="22"/>
        </w:rPr>
        <w:t>SOX3</w:t>
      </w:r>
      <w:r w:rsidRPr="0033639F">
        <w:rPr>
          <w:rFonts w:ascii="Arial" w:hAnsi="Arial" w:cs="Arial"/>
          <w:iCs/>
          <w:sz w:val="22"/>
          <w:szCs w:val="22"/>
        </w:rPr>
        <w:t xml:space="preserve"> </w:t>
      </w:r>
      <w:r w:rsidRPr="0033639F">
        <w:rPr>
          <w:rFonts w:ascii="Arial" w:hAnsi="Arial" w:cs="Arial"/>
          <w:sz w:val="22"/>
          <w:szCs w:val="22"/>
        </w:rPr>
        <w:t xml:space="preserve">(Table 1). The most frequently mutated gene is </w:t>
      </w:r>
      <w:r w:rsidRPr="0033639F">
        <w:rPr>
          <w:rFonts w:ascii="Arial" w:hAnsi="Arial" w:cs="Arial"/>
          <w:i/>
          <w:sz w:val="22"/>
          <w:szCs w:val="22"/>
        </w:rPr>
        <w:t>PROP1 (</w:t>
      </w:r>
      <w:r w:rsidRPr="0033639F">
        <w:rPr>
          <w:rFonts w:ascii="Arial" w:hAnsi="Arial" w:cs="Arial"/>
          <w:sz w:val="22"/>
          <w:szCs w:val="22"/>
        </w:rPr>
        <w:t>6.7% in sporadic and 48.5% in familial cases)</w:t>
      </w:r>
      <w:r w:rsidRPr="0033639F">
        <w:rPr>
          <w:rFonts w:ascii="Arial" w:hAnsi="Arial" w:cs="Arial"/>
          <w:noProof/>
          <w:sz w:val="22"/>
          <w:szCs w:val="22"/>
        </w:rPr>
        <w:t xml:space="preserve"> </w:t>
      </w:r>
      <w:r w:rsidR="00360562" w:rsidRPr="0033639F">
        <w:rPr>
          <w:rFonts w:ascii="Arial" w:hAnsi="Arial" w:cs="Arial"/>
          <w:noProof/>
          <w:sz w:val="22"/>
          <w:szCs w:val="22"/>
        </w:rPr>
        <w:t>(</w:t>
      </w:r>
      <w:r w:rsidR="003543C9" w:rsidRPr="0033639F">
        <w:rPr>
          <w:rFonts w:ascii="Arial" w:hAnsi="Arial" w:cs="Arial"/>
          <w:noProof/>
          <w:sz w:val="22"/>
          <w:szCs w:val="22"/>
        </w:rPr>
        <w:t>14</w:t>
      </w:r>
      <w:r w:rsidR="00360562" w:rsidRPr="0033639F">
        <w:rPr>
          <w:rFonts w:ascii="Arial" w:hAnsi="Arial" w:cs="Arial"/>
          <w:noProof/>
          <w:sz w:val="22"/>
          <w:szCs w:val="22"/>
        </w:rPr>
        <w:t>)</w:t>
      </w:r>
      <w:r w:rsidRPr="0033639F">
        <w:rPr>
          <w:rFonts w:ascii="Arial" w:hAnsi="Arial" w:cs="Arial"/>
          <w:sz w:val="22"/>
          <w:szCs w:val="22"/>
        </w:rPr>
        <w:t xml:space="preserve">. </w:t>
      </w:r>
    </w:p>
    <w:p w14:paraId="745D9AF6" w14:textId="77777777" w:rsidR="00600E29" w:rsidRPr="0033639F" w:rsidRDefault="00600E29" w:rsidP="0033639F">
      <w:pPr>
        <w:pStyle w:val="title10"/>
        <w:shd w:val="clear" w:color="auto" w:fill="FFFFFF"/>
        <w:spacing w:line="276" w:lineRule="auto"/>
        <w:rPr>
          <w:rFonts w:ascii="Arial" w:hAnsi="Arial" w:cs="Arial"/>
          <w:sz w:val="22"/>
          <w:szCs w:val="22"/>
        </w:rPr>
      </w:pPr>
    </w:p>
    <w:p w14:paraId="05E51A8B" w14:textId="26DFEC14" w:rsidR="00965B9F" w:rsidRDefault="001F598B" w:rsidP="0033639F">
      <w:pPr>
        <w:pStyle w:val="NormalWeb"/>
        <w:shd w:val="clear" w:color="auto" w:fill="FFFFFF"/>
        <w:spacing w:before="0" w:beforeAutospacing="0" w:after="0" w:afterAutospacing="0" w:line="276" w:lineRule="auto"/>
        <w:rPr>
          <w:rFonts w:ascii="Arial" w:hAnsi="Arial" w:cs="Arial"/>
          <w:sz w:val="22"/>
          <w:szCs w:val="22"/>
        </w:rPr>
      </w:pPr>
      <w:r w:rsidRPr="0033639F">
        <w:rPr>
          <w:rFonts w:ascii="Arial" w:hAnsi="Arial" w:cs="Arial"/>
          <w:sz w:val="22"/>
          <w:szCs w:val="22"/>
        </w:rPr>
        <w:t>Most</w:t>
      </w:r>
      <w:r w:rsidR="00803B01" w:rsidRPr="0033639F">
        <w:rPr>
          <w:rFonts w:ascii="Arial" w:hAnsi="Arial" w:cs="Arial"/>
          <w:sz w:val="22"/>
          <w:szCs w:val="22"/>
        </w:rPr>
        <w:t xml:space="preserve"> cases of hypopituitarism are idiopathic in origin; however, familial inheritance, which may be either dominant or recessive, accounts for between 5 and 30% of all cases</w:t>
      </w:r>
      <w:r w:rsidR="00360562" w:rsidRPr="0033639F">
        <w:rPr>
          <w:rFonts w:ascii="Arial" w:hAnsi="Arial" w:cs="Arial"/>
          <w:sz w:val="22"/>
          <w:szCs w:val="22"/>
        </w:rPr>
        <w:t xml:space="preserve"> </w:t>
      </w:r>
      <w:r w:rsidR="00360562" w:rsidRPr="0033639F">
        <w:rPr>
          <w:rFonts w:ascii="Arial" w:hAnsi="Arial" w:cs="Arial"/>
          <w:noProof/>
          <w:sz w:val="22"/>
          <w:szCs w:val="22"/>
        </w:rPr>
        <w:t>(</w:t>
      </w:r>
      <w:r w:rsidR="003543C9" w:rsidRPr="0033639F">
        <w:rPr>
          <w:rFonts w:ascii="Arial" w:hAnsi="Arial" w:cs="Arial"/>
          <w:noProof/>
          <w:sz w:val="22"/>
          <w:szCs w:val="22"/>
        </w:rPr>
        <w:t>15</w:t>
      </w:r>
      <w:r w:rsidR="00360562" w:rsidRPr="0033639F">
        <w:rPr>
          <w:rFonts w:ascii="Arial" w:hAnsi="Arial" w:cs="Arial"/>
          <w:noProof/>
          <w:sz w:val="22"/>
          <w:szCs w:val="22"/>
        </w:rPr>
        <w:t>)</w:t>
      </w:r>
      <w:r w:rsidR="00803B01" w:rsidRPr="0033639F">
        <w:rPr>
          <w:rFonts w:ascii="Arial" w:hAnsi="Arial" w:cs="Arial"/>
          <w:sz w:val="22"/>
          <w:szCs w:val="22"/>
        </w:rPr>
        <w:t>.  It may present early in the neonatal period with symptoms of hypoglycemia, micropenis</w:t>
      </w:r>
      <w:r w:rsidR="00216C26" w:rsidRPr="0033639F">
        <w:rPr>
          <w:rFonts w:ascii="Arial" w:hAnsi="Arial" w:cs="Arial"/>
          <w:sz w:val="22"/>
          <w:szCs w:val="22"/>
        </w:rPr>
        <w:t xml:space="preserve"> </w:t>
      </w:r>
      <w:r w:rsidR="00216C26" w:rsidRPr="0033639F">
        <w:rPr>
          <w:rFonts w:ascii="Arial" w:hAnsi="Arial" w:cs="Arial"/>
          <w:color w:val="000000" w:themeColor="text1"/>
          <w:sz w:val="22"/>
          <w:szCs w:val="22"/>
        </w:rPr>
        <w:t>in males</w:t>
      </w:r>
      <w:r w:rsidR="00803B01" w:rsidRPr="0033639F">
        <w:rPr>
          <w:rFonts w:ascii="Arial" w:hAnsi="Arial" w:cs="Arial"/>
          <w:color w:val="000000" w:themeColor="text1"/>
          <w:sz w:val="22"/>
          <w:szCs w:val="22"/>
        </w:rPr>
        <w:t xml:space="preserve">, </w:t>
      </w:r>
      <w:r w:rsidR="00803B01" w:rsidRPr="0033639F">
        <w:rPr>
          <w:rFonts w:ascii="Arial" w:hAnsi="Arial" w:cs="Arial"/>
          <w:sz w:val="22"/>
          <w:szCs w:val="22"/>
        </w:rPr>
        <w:t xml:space="preserve">prolonged jaundice, with/without midline defects or later in childhood with poor feeding, growth failure, or delayed puberty.  It can be associated with single or multiple pituitary hormone deficiencies, </w:t>
      </w:r>
      <w:r w:rsidR="00803B01" w:rsidRPr="0033639F">
        <w:rPr>
          <w:rFonts w:ascii="Arial" w:hAnsi="Arial" w:cs="Arial"/>
          <w:color w:val="000000" w:themeColor="text1"/>
          <w:sz w:val="22"/>
          <w:szCs w:val="22"/>
        </w:rPr>
        <w:t xml:space="preserve">and </w:t>
      </w:r>
      <w:r w:rsidR="000E50BF" w:rsidRPr="0033639F">
        <w:rPr>
          <w:rFonts w:ascii="Arial" w:hAnsi="Arial" w:cs="Arial"/>
          <w:color w:val="000000" w:themeColor="text1"/>
          <w:sz w:val="22"/>
          <w:szCs w:val="22"/>
        </w:rPr>
        <w:t>endocrinopathy</w:t>
      </w:r>
      <w:r w:rsidR="00803B01" w:rsidRPr="0033639F">
        <w:rPr>
          <w:rFonts w:ascii="Arial" w:hAnsi="Arial" w:cs="Arial"/>
          <w:color w:val="000000" w:themeColor="text1"/>
          <w:sz w:val="22"/>
          <w:szCs w:val="22"/>
        </w:rPr>
        <w:t xml:space="preserve">.  </w:t>
      </w:r>
      <w:r w:rsidR="00803B01" w:rsidRPr="0033639F">
        <w:rPr>
          <w:rFonts w:ascii="Arial" w:hAnsi="Arial" w:cs="Arial"/>
          <w:sz w:val="22"/>
          <w:szCs w:val="22"/>
        </w:rPr>
        <w:t xml:space="preserve">It may be associated with </w:t>
      </w:r>
      <w:r w:rsidR="00ED6543" w:rsidRPr="0033639F">
        <w:rPr>
          <w:rFonts w:ascii="Arial" w:hAnsi="Arial" w:cs="Arial"/>
          <w:sz w:val="22"/>
          <w:szCs w:val="22"/>
        </w:rPr>
        <w:t>several</w:t>
      </w:r>
      <w:r w:rsidR="00803B01" w:rsidRPr="0033639F">
        <w:rPr>
          <w:rFonts w:ascii="Arial" w:hAnsi="Arial" w:cs="Arial"/>
          <w:sz w:val="22"/>
          <w:szCs w:val="22"/>
        </w:rPr>
        <w:t xml:space="preserve"> </w:t>
      </w:r>
      <w:r w:rsidR="00AC51FC" w:rsidRPr="0033639F">
        <w:rPr>
          <w:rFonts w:ascii="Arial" w:hAnsi="Arial" w:cs="Arial"/>
          <w:sz w:val="22"/>
          <w:szCs w:val="22"/>
        </w:rPr>
        <w:t>other congenital anomalies</w:t>
      </w:r>
      <w:r w:rsidR="00803B01" w:rsidRPr="0033639F">
        <w:rPr>
          <w:rFonts w:ascii="Arial" w:hAnsi="Arial" w:cs="Arial"/>
          <w:sz w:val="22"/>
          <w:szCs w:val="22"/>
        </w:rPr>
        <w:t xml:space="preserve"> such as optic nerve hypoplasia, </w:t>
      </w:r>
      <w:r w:rsidR="00305C0D" w:rsidRPr="0033639F">
        <w:rPr>
          <w:rFonts w:ascii="Arial" w:hAnsi="Arial" w:cs="Arial"/>
          <w:sz w:val="22"/>
          <w:szCs w:val="22"/>
        </w:rPr>
        <w:t>anophthalmia</w:t>
      </w:r>
      <w:r w:rsidR="00803B01" w:rsidRPr="0033639F">
        <w:rPr>
          <w:rFonts w:ascii="Arial" w:hAnsi="Arial" w:cs="Arial"/>
          <w:sz w:val="22"/>
          <w:szCs w:val="22"/>
        </w:rPr>
        <w:t xml:space="preserve">, </w:t>
      </w:r>
      <w:r w:rsidR="00305C0D" w:rsidRPr="0033639F">
        <w:rPr>
          <w:rFonts w:ascii="Arial" w:hAnsi="Arial" w:cs="Arial"/>
          <w:sz w:val="22"/>
          <w:szCs w:val="22"/>
        </w:rPr>
        <w:t>microphthalmia</w:t>
      </w:r>
      <w:r w:rsidR="00803B01" w:rsidRPr="0033639F">
        <w:rPr>
          <w:rFonts w:ascii="Arial" w:hAnsi="Arial" w:cs="Arial"/>
          <w:sz w:val="22"/>
          <w:szCs w:val="22"/>
        </w:rPr>
        <w:t xml:space="preserve">, agenesis of the corpus callosum, and absence of the septum pellucidum.  </w:t>
      </w:r>
    </w:p>
    <w:p w14:paraId="06032B29" w14:textId="3680CA7E" w:rsidR="00803B01" w:rsidRPr="0033639F" w:rsidRDefault="00803B01" w:rsidP="0033639F">
      <w:pPr>
        <w:pStyle w:val="NormalWeb"/>
        <w:shd w:val="clear" w:color="auto" w:fill="FFFFFF"/>
        <w:spacing w:before="0" w:beforeAutospacing="0" w:after="0" w:afterAutospacing="0" w:line="276" w:lineRule="auto"/>
        <w:rPr>
          <w:rFonts w:ascii="Arial" w:hAnsi="Arial" w:cs="Arial"/>
          <w:sz w:val="22"/>
          <w:szCs w:val="22"/>
        </w:rPr>
      </w:pPr>
      <w:r w:rsidRPr="0033639F">
        <w:rPr>
          <w:rFonts w:ascii="Arial" w:hAnsi="Arial" w:cs="Arial"/>
          <w:sz w:val="22"/>
          <w:szCs w:val="22"/>
        </w:rPr>
        <w:t xml:space="preserve"> </w:t>
      </w:r>
    </w:p>
    <w:tbl>
      <w:tblPr>
        <w:tblStyle w:val="TableGrid"/>
        <w:tblW w:w="0" w:type="auto"/>
        <w:tblLook w:val="01E0" w:firstRow="1" w:lastRow="1" w:firstColumn="1" w:lastColumn="1" w:noHBand="0" w:noVBand="0"/>
      </w:tblPr>
      <w:tblGrid>
        <w:gridCol w:w="1622"/>
        <w:gridCol w:w="7728"/>
      </w:tblGrid>
      <w:tr w:rsidR="00803B01" w:rsidRPr="0033639F" w14:paraId="6313D41A" w14:textId="77777777" w:rsidTr="00965B9F">
        <w:tc>
          <w:tcPr>
            <w:tcW w:w="0" w:type="auto"/>
            <w:gridSpan w:val="2"/>
            <w:shd w:val="clear" w:color="auto" w:fill="FFFF00"/>
          </w:tcPr>
          <w:p w14:paraId="429B8395" w14:textId="02D543B5" w:rsidR="00803B01" w:rsidRPr="0033639F" w:rsidRDefault="00803B01" w:rsidP="0033639F">
            <w:pPr>
              <w:spacing w:line="276" w:lineRule="auto"/>
              <w:rPr>
                <w:rFonts w:ascii="Arial" w:hAnsi="Arial" w:cs="Arial"/>
                <w:sz w:val="22"/>
                <w:szCs w:val="22"/>
              </w:rPr>
            </w:pPr>
            <w:r w:rsidRPr="0033639F">
              <w:rPr>
                <w:rFonts w:ascii="Arial" w:hAnsi="Arial" w:cs="Arial"/>
                <w:b/>
                <w:bCs/>
                <w:sz w:val="22"/>
                <w:szCs w:val="22"/>
              </w:rPr>
              <w:t>T</w:t>
            </w:r>
            <w:r w:rsidRPr="00965B9F">
              <w:rPr>
                <w:rFonts w:ascii="Arial" w:hAnsi="Arial" w:cs="Arial"/>
                <w:b/>
                <w:bCs/>
                <w:sz w:val="22"/>
                <w:szCs w:val="22"/>
                <w:shd w:val="clear" w:color="auto" w:fill="FFFF00"/>
              </w:rPr>
              <w:t xml:space="preserve">able 1. Transcription </w:t>
            </w:r>
            <w:r w:rsidR="00965B9F" w:rsidRPr="00965B9F">
              <w:rPr>
                <w:rFonts w:ascii="Arial" w:hAnsi="Arial" w:cs="Arial"/>
                <w:b/>
                <w:bCs/>
                <w:sz w:val="22"/>
                <w:szCs w:val="22"/>
                <w:shd w:val="clear" w:color="auto" w:fill="FFFF00"/>
              </w:rPr>
              <w:t>F</w:t>
            </w:r>
            <w:r w:rsidRPr="00965B9F">
              <w:rPr>
                <w:rFonts w:ascii="Arial" w:hAnsi="Arial" w:cs="Arial"/>
                <w:b/>
                <w:bCs/>
                <w:sz w:val="22"/>
                <w:szCs w:val="22"/>
                <w:shd w:val="clear" w:color="auto" w:fill="FFFF00"/>
              </w:rPr>
              <w:t xml:space="preserve">actors </w:t>
            </w:r>
            <w:r w:rsidR="00965B9F" w:rsidRPr="00965B9F">
              <w:rPr>
                <w:rFonts w:ascii="Arial" w:hAnsi="Arial" w:cs="Arial"/>
                <w:b/>
                <w:bCs/>
                <w:sz w:val="22"/>
                <w:szCs w:val="22"/>
                <w:shd w:val="clear" w:color="auto" w:fill="FFFF00"/>
              </w:rPr>
              <w:t>R</w:t>
            </w:r>
            <w:r w:rsidRPr="00965B9F">
              <w:rPr>
                <w:rFonts w:ascii="Arial" w:hAnsi="Arial" w:cs="Arial"/>
                <w:b/>
                <w:bCs/>
                <w:sz w:val="22"/>
                <w:szCs w:val="22"/>
                <w:shd w:val="clear" w:color="auto" w:fill="FFFF00"/>
              </w:rPr>
              <w:t xml:space="preserve">equired for </w:t>
            </w:r>
            <w:r w:rsidR="00965B9F" w:rsidRPr="00965B9F">
              <w:rPr>
                <w:rFonts w:ascii="Arial" w:hAnsi="Arial" w:cs="Arial"/>
                <w:b/>
                <w:bCs/>
                <w:sz w:val="22"/>
                <w:szCs w:val="22"/>
                <w:shd w:val="clear" w:color="auto" w:fill="FFFF00"/>
              </w:rPr>
              <w:t>N</w:t>
            </w:r>
            <w:r w:rsidRPr="00965B9F">
              <w:rPr>
                <w:rFonts w:ascii="Arial" w:hAnsi="Arial" w:cs="Arial"/>
                <w:b/>
                <w:bCs/>
                <w:sz w:val="22"/>
                <w:szCs w:val="22"/>
                <w:shd w:val="clear" w:color="auto" w:fill="FFFF00"/>
              </w:rPr>
              <w:t xml:space="preserve">ormal </w:t>
            </w:r>
            <w:r w:rsidR="00965B9F" w:rsidRPr="00965B9F">
              <w:rPr>
                <w:rFonts w:ascii="Arial" w:hAnsi="Arial" w:cs="Arial"/>
                <w:b/>
                <w:bCs/>
                <w:sz w:val="22"/>
                <w:szCs w:val="22"/>
                <w:shd w:val="clear" w:color="auto" w:fill="FFFF00"/>
              </w:rPr>
              <w:t>P</w:t>
            </w:r>
            <w:r w:rsidRPr="00965B9F">
              <w:rPr>
                <w:rFonts w:ascii="Arial" w:hAnsi="Arial" w:cs="Arial"/>
                <w:b/>
                <w:bCs/>
                <w:sz w:val="22"/>
                <w:szCs w:val="22"/>
                <w:shd w:val="clear" w:color="auto" w:fill="FFFF00"/>
              </w:rPr>
              <w:t xml:space="preserve">ituitary </w:t>
            </w:r>
            <w:r w:rsidR="00965B9F" w:rsidRPr="00965B9F">
              <w:rPr>
                <w:rFonts w:ascii="Arial" w:hAnsi="Arial" w:cs="Arial"/>
                <w:b/>
                <w:bCs/>
                <w:sz w:val="22"/>
                <w:szCs w:val="22"/>
                <w:shd w:val="clear" w:color="auto" w:fill="FFFF00"/>
              </w:rPr>
              <w:t>D</w:t>
            </w:r>
            <w:r w:rsidRPr="00965B9F">
              <w:rPr>
                <w:rFonts w:ascii="Arial" w:hAnsi="Arial" w:cs="Arial"/>
                <w:b/>
                <w:bCs/>
                <w:sz w:val="22"/>
                <w:szCs w:val="22"/>
                <w:shd w:val="clear" w:color="auto" w:fill="FFFF00"/>
              </w:rPr>
              <w:t>evelopment</w:t>
            </w:r>
          </w:p>
        </w:tc>
      </w:tr>
      <w:tr w:rsidR="00803B01" w:rsidRPr="0033639F" w14:paraId="4A111D67" w14:textId="77777777" w:rsidTr="001D365B">
        <w:tc>
          <w:tcPr>
            <w:tcW w:w="1615" w:type="dxa"/>
          </w:tcPr>
          <w:p w14:paraId="0ABCD5A5"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Transcription Factors  </w:t>
            </w:r>
          </w:p>
        </w:tc>
        <w:tc>
          <w:tcPr>
            <w:tcW w:w="7735" w:type="dxa"/>
          </w:tcPr>
          <w:p w14:paraId="095CD983"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Function </w:t>
            </w:r>
          </w:p>
        </w:tc>
      </w:tr>
      <w:tr w:rsidR="00803B01" w:rsidRPr="0033639F" w14:paraId="7C0263A9" w14:textId="77777777" w:rsidTr="001D365B">
        <w:tc>
          <w:tcPr>
            <w:tcW w:w="1615" w:type="dxa"/>
          </w:tcPr>
          <w:p w14:paraId="0DA1D5B5" w14:textId="77777777" w:rsidR="00803B01" w:rsidRPr="0033639F" w:rsidDel="00213677" w:rsidRDefault="00803B01" w:rsidP="0033639F">
            <w:pPr>
              <w:spacing w:line="276" w:lineRule="auto"/>
              <w:rPr>
                <w:rFonts w:ascii="Arial" w:hAnsi="Arial" w:cs="Arial"/>
                <w:sz w:val="22"/>
                <w:szCs w:val="22"/>
              </w:rPr>
            </w:pPr>
            <w:r w:rsidRPr="0033639F">
              <w:rPr>
                <w:rFonts w:ascii="Arial" w:hAnsi="Arial" w:cs="Arial"/>
                <w:i/>
                <w:iCs/>
                <w:sz w:val="22"/>
                <w:szCs w:val="22"/>
              </w:rPr>
              <w:lastRenderedPageBreak/>
              <w:t>GLI2</w:t>
            </w:r>
          </w:p>
        </w:tc>
        <w:tc>
          <w:tcPr>
            <w:tcW w:w="7735" w:type="dxa"/>
          </w:tcPr>
          <w:p w14:paraId="149039B4"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Essential for the forebrain and early stages of the anterior pituitary development</w:t>
            </w:r>
          </w:p>
        </w:tc>
      </w:tr>
      <w:tr w:rsidR="00803B01" w:rsidRPr="0033639F" w14:paraId="7FD5D98B" w14:textId="77777777" w:rsidTr="001D365B">
        <w:tc>
          <w:tcPr>
            <w:tcW w:w="1615" w:type="dxa"/>
          </w:tcPr>
          <w:p w14:paraId="02B65038" w14:textId="77777777" w:rsidR="00803B01" w:rsidRPr="0033639F" w:rsidRDefault="00803B01" w:rsidP="0033639F">
            <w:pPr>
              <w:spacing w:line="276" w:lineRule="auto"/>
              <w:rPr>
                <w:rFonts w:ascii="Arial" w:hAnsi="Arial" w:cs="Arial"/>
                <w:sz w:val="22"/>
                <w:szCs w:val="22"/>
              </w:rPr>
            </w:pPr>
            <w:r w:rsidRPr="0033639F">
              <w:rPr>
                <w:rFonts w:ascii="Arial" w:hAnsi="Arial" w:cs="Arial"/>
                <w:i/>
                <w:iCs/>
                <w:sz w:val="22"/>
                <w:szCs w:val="22"/>
              </w:rPr>
              <w:t>LHX3</w:t>
            </w:r>
          </w:p>
        </w:tc>
        <w:tc>
          <w:tcPr>
            <w:tcW w:w="7735" w:type="dxa"/>
          </w:tcPr>
          <w:p w14:paraId="273037B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Essential for the early development of the anterior pituitary, including the somatotrope, thyrotrope, lactotrope and the gonadotrope (but not the corticotrope) </w:t>
            </w:r>
          </w:p>
        </w:tc>
      </w:tr>
      <w:tr w:rsidR="00803B01" w:rsidRPr="0033639F" w14:paraId="4D8DA5CE" w14:textId="77777777" w:rsidTr="001D365B">
        <w:tc>
          <w:tcPr>
            <w:tcW w:w="1615" w:type="dxa"/>
          </w:tcPr>
          <w:p w14:paraId="4A07A294" w14:textId="77777777" w:rsidR="00803B01" w:rsidRPr="0033639F" w:rsidRDefault="00803B01" w:rsidP="0033639F">
            <w:pPr>
              <w:spacing w:line="276" w:lineRule="auto"/>
              <w:rPr>
                <w:rFonts w:ascii="Arial" w:hAnsi="Arial" w:cs="Arial"/>
                <w:sz w:val="22"/>
                <w:szCs w:val="22"/>
              </w:rPr>
            </w:pPr>
            <w:r w:rsidRPr="0033639F">
              <w:rPr>
                <w:rFonts w:ascii="Arial" w:hAnsi="Arial" w:cs="Arial"/>
                <w:i/>
                <w:iCs/>
                <w:sz w:val="22"/>
                <w:szCs w:val="22"/>
              </w:rPr>
              <w:t>LHX4</w:t>
            </w:r>
          </w:p>
        </w:tc>
        <w:tc>
          <w:tcPr>
            <w:tcW w:w="7735" w:type="dxa"/>
          </w:tcPr>
          <w:p w14:paraId="21F4F5FD"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Essential for the proliferation of the anterior pituitary cell types, including the somatotrope, thyrotrope and the corticotrope </w:t>
            </w:r>
          </w:p>
        </w:tc>
      </w:tr>
      <w:tr w:rsidR="00803B01" w:rsidRPr="0033639F" w14:paraId="41BFBC0E" w14:textId="77777777" w:rsidTr="001D365B">
        <w:tc>
          <w:tcPr>
            <w:tcW w:w="1615" w:type="dxa"/>
          </w:tcPr>
          <w:p w14:paraId="4E1EA0D5" w14:textId="77777777" w:rsidR="00803B01" w:rsidRPr="0033639F" w:rsidRDefault="00803B01" w:rsidP="0033639F">
            <w:pPr>
              <w:spacing w:line="276" w:lineRule="auto"/>
              <w:rPr>
                <w:rFonts w:ascii="Arial" w:hAnsi="Arial" w:cs="Arial"/>
                <w:sz w:val="22"/>
                <w:szCs w:val="22"/>
              </w:rPr>
            </w:pPr>
          </w:p>
          <w:p w14:paraId="080CF2C9" w14:textId="77777777" w:rsidR="00803B01" w:rsidRPr="0033639F" w:rsidRDefault="00803B01" w:rsidP="0033639F">
            <w:pPr>
              <w:spacing w:line="276" w:lineRule="auto"/>
              <w:rPr>
                <w:rFonts w:ascii="Arial" w:hAnsi="Arial" w:cs="Arial"/>
                <w:i/>
                <w:iCs/>
                <w:sz w:val="22"/>
                <w:szCs w:val="22"/>
              </w:rPr>
            </w:pPr>
            <w:r w:rsidRPr="0033639F">
              <w:rPr>
                <w:rFonts w:ascii="Arial" w:hAnsi="Arial" w:cs="Arial"/>
                <w:i/>
                <w:iCs/>
                <w:sz w:val="22"/>
                <w:szCs w:val="22"/>
              </w:rPr>
              <w:t>HESX1</w:t>
            </w:r>
          </w:p>
        </w:tc>
        <w:tc>
          <w:tcPr>
            <w:tcW w:w="7735" w:type="dxa"/>
          </w:tcPr>
          <w:p w14:paraId="73CAAF9B"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Essential for the development of the anterior pituitary, including the somatotrope, thyrotrope, lactotrope and the gonadotrope </w:t>
            </w:r>
          </w:p>
        </w:tc>
      </w:tr>
      <w:tr w:rsidR="00803B01" w:rsidRPr="0033639F" w14:paraId="5A8B6BD8" w14:textId="77777777" w:rsidTr="001D365B">
        <w:tc>
          <w:tcPr>
            <w:tcW w:w="1615" w:type="dxa"/>
          </w:tcPr>
          <w:p w14:paraId="739E2A8B" w14:textId="77777777" w:rsidR="00803B01" w:rsidRPr="0033639F" w:rsidRDefault="00803B01" w:rsidP="0033639F">
            <w:pPr>
              <w:spacing w:line="276" w:lineRule="auto"/>
              <w:rPr>
                <w:rFonts w:ascii="Arial" w:hAnsi="Arial" w:cs="Arial"/>
                <w:sz w:val="22"/>
                <w:szCs w:val="22"/>
              </w:rPr>
            </w:pPr>
            <w:r w:rsidRPr="0033639F">
              <w:rPr>
                <w:rFonts w:ascii="Arial" w:hAnsi="Arial" w:cs="Arial"/>
                <w:i/>
                <w:iCs/>
                <w:sz w:val="22"/>
                <w:szCs w:val="22"/>
              </w:rPr>
              <w:t>PROP1</w:t>
            </w:r>
          </w:p>
        </w:tc>
        <w:tc>
          <w:tcPr>
            <w:tcW w:w="7735" w:type="dxa"/>
          </w:tcPr>
          <w:p w14:paraId="15D2FEF3"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Essential for the development of most cell types of the anterior pituitary, including the somatotrope, the thyrotrope, the lactotrope and the gonadotrope (but not the corticotrope). Also essential for the expression of the </w:t>
            </w:r>
            <w:r w:rsidRPr="0033639F">
              <w:rPr>
                <w:rFonts w:ascii="Arial" w:hAnsi="Arial" w:cs="Arial"/>
                <w:i/>
                <w:iCs/>
                <w:sz w:val="22"/>
                <w:szCs w:val="22"/>
              </w:rPr>
              <w:t>PIT1</w:t>
            </w:r>
            <w:r w:rsidRPr="0033639F">
              <w:rPr>
                <w:rFonts w:ascii="Arial" w:hAnsi="Arial" w:cs="Arial"/>
                <w:sz w:val="22"/>
                <w:szCs w:val="22"/>
              </w:rPr>
              <w:t xml:space="preserve"> protein and the extinction of </w:t>
            </w:r>
            <w:r w:rsidRPr="0033639F">
              <w:rPr>
                <w:rFonts w:ascii="Arial" w:hAnsi="Arial" w:cs="Arial"/>
                <w:i/>
                <w:iCs/>
                <w:sz w:val="22"/>
                <w:szCs w:val="22"/>
              </w:rPr>
              <w:t>HESX1</w:t>
            </w:r>
            <w:r w:rsidRPr="0033639F">
              <w:rPr>
                <w:rFonts w:ascii="Arial" w:hAnsi="Arial" w:cs="Arial"/>
                <w:sz w:val="22"/>
                <w:szCs w:val="22"/>
              </w:rPr>
              <w:t xml:space="preserve"> in the anterior pituitary </w:t>
            </w:r>
          </w:p>
        </w:tc>
      </w:tr>
      <w:tr w:rsidR="00803B01" w:rsidRPr="0033639F" w14:paraId="2919CC45" w14:textId="77777777" w:rsidTr="001D365B">
        <w:tc>
          <w:tcPr>
            <w:tcW w:w="1615" w:type="dxa"/>
          </w:tcPr>
          <w:p w14:paraId="31B526D2" w14:textId="77777777" w:rsidR="00803B01" w:rsidRPr="0033639F" w:rsidRDefault="00803B01" w:rsidP="0033639F">
            <w:pPr>
              <w:spacing w:line="276" w:lineRule="auto"/>
              <w:rPr>
                <w:rFonts w:ascii="Arial" w:hAnsi="Arial" w:cs="Arial"/>
                <w:sz w:val="22"/>
                <w:szCs w:val="22"/>
              </w:rPr>
            </w:pPr>
            <w:r w:rsidRPr="0033639F">
              <w:rPr>
                <w:rFonts w:ascii="Arial" w:hAnsi="Arial" w:cs="Arial"/>
                <w:i/>
                <w:iCs/>
                <w:sz w:val="22"/>
                <w:szCs w:val="22"/>
              </w:rPr>
              <w:t xml:space="preserve">POU1F1 </w:t>
            </w:r>
            <w:r w:rsidRPr="0033639F">
              <w:rPr>
                <w:rFonts w:ascii="Arial" w:hAnsi="Arial" w:cs="Arial"/>
                <w:sz w:val="22"/>
                <w:szCs w:val="22"/>
              </w:rPr>
              <w:t>(</w:t>
            </w:r>
            <w:r w:rsidRPr="0033639F">
              <w:rPr>
                <w:rFonts w:ascii="Arial" w:hAnsi="Arial" w:cs="Arial"/>
                <w:i/>
                <w:iCs/>
                <w:sz w:val="22"/>
                <w:szCs w:val="22"/>
              </w:rPr>
              <w:t>PIT1</w:t>
            </w:r>
            <w:r w:rsidRPr="0033639F">
              <w:rPr>
                <w:rFonts w:ascii="Arial" w:hAnsi="Arial" w:cs="Arial"/>
                <w:sz w:val="22"/>
                <w:szCs w:val="22"/>
              </w:rPr>
              <w:t>)</w:t>
            </w:r>
          </w:p>
        </w:tc>
        <w:tc>
          <w:tcPr>
            <w:tcW w:w="7735" w:type="dxa"/>
          </w:tcPr>
          <w:p w14:paraId="0D9F089B" w14:textId="634AD6B4"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Necessary for somatotrope, lactotrope and thyrotrope development </w:t>
            </w:r>
            <w:r w:rsidR="003041FD" w:rsidRPr="0033639F">
              <w:rPr>
                <w:rFonts w:ascii="Arial" w:hAnsi="Arial" w:cs="Arial"/>
                <w:sz w:val="22"/>
                <w:szCs w:val="22"/>
              </w:rPr>
              <w:t>and</w:t>
            </w:r>
            <w:r w:rsidRPr="0033639F">
              <w:rPr>
                <w:rFonts w:ascii="Arial" w:hAnsi="Arial" w:cs="Arial"/>
                <w:sz w:val="22"/>
                <w:szCs w:val="22"/>
              </w:rPr>
              <w:t xml:space="preserve"> for their continued function </w:t>
            </w:r>
          </w:p>
        </w:tc>
      </w:tr>
      <w:tr w:rsidR="00803B01" w:rsidRPr="0033639F" w14:paraId="5082A6C6" w14:textId="77777777" w:rsidTr="001D365B">
        <w:tc>
          <w:tcPr>
            <w:tcW w:w="1615" w:type="dxa"/>
          </w:tcPr>
          <w:p w14:paraId="5DBE421D" w14:textId="77777777" w:rsidR="00803B01" w:rsidRPr="0033639F" w:rsidRDefault="00803B01" w:rsidP="0033639F">
            <w:pPr>
              <w:spacing w:line="276" w:lineRule="auto"/>
              <w:rPr>
                <w:rFonts w:ascii="Arial" w:hAnsi="Arial" w:cs="Arial"/>
                <w:sz w:val="22"/>
                <w:szCs w:val="22"/>
              </w:rPr>
            </w:pPr>
            <w:r w:rsidRPr="0033639F">
              <w:rPr>
                <w:rFonts w:ascii="Arial" w:hAnsi="Arial" w:cs="Arial"/>
                <w:i/>
                <w:iCs/>
                <w:sz w:val="22"/>
                <w:szCs w:val="22"/>
              </w:rPr>
              <w:t>SOX2</w:t>
            </w:r>
          </w:p>
        </w:tc>
        <w:tc>
          <w:tcPr>
            <w:tcW w:w="7735" w:type="dxa"/>
          </w:tcPr>
          <w:p w14:paraId="66FB4493" w14:textId="46D8F9B0"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Essential for the expression of </w:t>
            </w:r>
            <w:r w:rsidRPr="0033639F">
              <w:rPr>
                <w:rFonts w:ascii="Arial" w:hAnsi="Arial" w:cs="Arial"/>
                <w:i/>
                <w:iCs/>
                <w:sz w:val="22"/>
                <w:szCs w:val="22"/>
              </w:rPr>
              <w:t>POU1F1</w:t>
            </w:r>
            <w:r w:rsidRPr="0033639F">
              <w:rPr>
                <w:rFonts w:ascii="Arial" w:hAnsi="Arial" w:cs="Arial"/>
                <w:sz w:val="22"/>
                <w:szCs w:val="22"/>
              </w:rPr>
              <w:t xml:space="preserve"> and the development of</w:t>
            </w:r>
            <w:r w:rsidR="00216C26" w:rsidRPr="0033639F">
              <w:rPr>
                <w:rFonts w:ascii="Arial" w:hAnsi="Arial" w:cs="Arial"/>
                <w:sz w:val="22"/>
                <w:szCs w:val="22"/>
              </w:rPr>
              <w:t xml:space="preserve"> </w:t>
            </w:r>
            <w:r w:rsidR="00216C26" w:rsidRPr="0033639F">
              <w:rPr>
                <w:rFonts w:ascii="Arial" w:hAnsi="Arial" w:cs="Arial"/>
                <w:color w:val="000000" w:themeColor="text1"/>
                <w:sz w:val="22"/>
                <w:szCs w:val="22"/>
              </w:rPr>
              <w:t>the</w:t>
            </w:r>
            <w:r w:rsidRPr="0033639F">
              <w:rPr>
                <w:rFonts w:ascii="Arial" w:hAnsi="Arial" w:cs="Arial"/>
                <w:color w:val="000000" w:themeColor="text1"/>
                <w:sz w:val="22"/>
                <w:szCs w:val="22"/>
              </w:rPr>
              <w:t xml:space="preserve"> </w:t>
            </w:r>
            <w:r w:rsidRPr="0033639F">
              <w:rPr>
                <w:rFonts w:ascii="Arial" w:hAnsi="Arial" w:cs="Arial"/>
                <w:sz w:val="22"/>
                <w:szCs w:val="22"/>
              </w:rPr>
              <w:t xml:space="preserve">gonadotrope </w:t>
            </w:r>
          </w:p>
        </w:tc>
      </w:tr>
      <w:tr w:rsidR="00803B01" w:rsidRPr="0033639F" w14:paraId="5B2DE542" w14:textId="77777777" w:rsidTr="001D365B">
        <w:tc>
          <w:tcPr>
            <w:tcW w:w="1615" w:type="dxa"/>
          </w:tcPr>
          <w:p w14:paraId="3F44DEEF" w14:textId="77777777" w:rsidR="00803B01" w:rsidRPr="0033639F" w:rsidRDefault="00803B01" w:rsidP="0033639F">
            <w:pPr>
              <w:spacing w:line="276" w:lineRule="auto"/>
              <w:rPr>
                <w:rFonts w:ascii="Arial" w:hAnsi="Arial" w:cs="Arial"/>
                <w:sz w:val="22"/>
                <w:szCs w:val="22"/>
              </w:rPr>
            </w:pPr>
            <w:r w:rsidRPr="0033639F">
              <w:rPr>
                <w:rFonts w:ascii="Arial" w:hAnsi="Arial" w:cs="Arial"/>
                <w:i/>
                <w:iCs/>
                <w:sz w:val="22"/>
                <w:szCs w:val="22"/>
              </w:rPr>
              <w:t>PITX2</w:t>
            </w:r>
          </w:p>
        </w:tc>
        <w:tc>
          <w:tcPr>
            <w:tcW w:w="7735" w:type="dxa"/>
          </w:tcPr>
          <w:p w14:paraId="50294AF8"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Necessary for the development of gonadotrope, somatotrope, lactotrope and thyrotrope </w:t>
            </w:r>
          </w:p>
        </w:tc>
      </w:tr>
      <w:tr w:rsidR="00803B01" w:rsidRPr="0033639F" w14:paraId="14039F72" w14:textId="77777777" w:rsidTr="001D365B">
        <w:tc>
          <w:tcPr>
            <w:tcW w:w="1615" w:type="dxa"/>
          </w:tcPr>
          <w:p w14:paraId="0AC0F4AA" w14:textId="77777777" w:rsidR="00803B01" w:rsidRPr="0033639F" w:rsidRDefault="00803B01" w:rsidP="0033639F">
            <w:pPr>
              <w:spacing w:line="276" w:lineRule="auto"/>
              <w:rPr>
                <w:rFonts w:ascii="Arial" w:hAnsi="Arial" w:cs="Arial"/>
                <w:sz w:val="22"/>
                <w:szCs w:val="22"/>
              </w:rPr>
            </w:pPr>
            <w:r w:rsidRPr="0033639F">
              <w:rPr>
                <w:rFonts w:ascii="Arial" w:hAnsi="Arial" w:cs="Arial"/>
                <w:i/>
                <w:iCs/>
                <w:sz w:val="22"/>
                <w:szCs w:val="22"/>
              </w:rPr>
              <w:t>OTX2</w:t>
            </w:r>
          </w:p>
        </w:tc>
        <w:tc>
          <w:tcPr>
            <w:tcW w:w="7735" w:type="dxa"/>
          </w:tcPr>
          <w:p w14:paraId="2776CF83"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Transactivates </w:t>
            </w:r>
            <w:r w:rsidRPr="0033639F">
              <w:rPr>
                <w:rFonts w:ascii="Arial" w:hAnsi="Arial" w:cs="Arial"/>
                <w:i/>
                <w:iCs/>
                <w:sz w:val="22"/>
                <w:szCs w:val="22"/>
              </w:rPr>
              <w:t>HESX1</w:t>
            </w:r>
            <w:r w:rsidRPr="0033639F">
              <w:rPr>
                <w:rFonts w:ascii="Arial" w:hAnsi="Arial" w:cs="Arial"/>
                <w:sz w:val="22"/>
                <w:szCs w:val="22"/>
              </w:rPr>
              <w:t xml:space="preserve"> and </w:t>
            </w:r>
            <w:r w:rsidRPr="0033639F">
              <w:rPr>
                <w:rFonts w:ascii="Arial" w:hAnsi="Arial" w:cs="Arial"/>
                <w:i/>
                <w:iCs/>
                <w:sz w:val="22"/>
                <w:szCs w:val="22"/>
              </w:rPr>
              <w:t>POU1F1</w:t>
            </w:r>
          </w:p>
        </w:tc>
      </w:tr>
      <w:tr w:rsidR="00803B01" w:rsidRPr="0033639F" w14:paraId="7390EB31" w14:textId="77777777" w:rsidTr="001D365B">
        <w:tc>
          <w:tcPr>
            <w:tcW w:w="1615" w:type="dxa"/>
          </w:tcPr>
          <w:p w14:paraId="6A089D7F" w14:textId="77777777" w:rsidR="00803B01" w:rsidRPr="0033639F" w:rsidRDefault="00803B01" w:rsidP="0033639F">
            <w:pPr>
              <w:spacing w:line="276" w:lineRule="auto"/>
              <w:rPr>
                <w:rFonts w:ascii="Arial" w:hAnsi="Arial" w:cs="Arial"/>
                <w:sz w:val="22"/>
                <w:szCs w:val="22"/>
              </w:rPr>
            </w:pPr>
            <w:r w:rsidRPr="0033639F">
              <w:rPr>
                <w:rFonts w:ascii="Arial" w:hAnsi="Arial" w:cs="Arial"/>
                <w:i/>
                <w:iCs/>
                <w:sz w:val="22"/>
                <w:szCs w:val="22"/>
              </w:rPr>
              <w:t>SOX3</w:t>
            </w:r>
          </w:p>
        </w:tc>
        <w:tc>
          <w:tcPr>
            <w:tcW w:w="7735" w:type="dxa"/>
          </w:tcPr>
          <w:p w14:paraId="678EFD1B"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Essential for the early formation of hypothalamic-pituitary axis </w:t>
            </w:r>
          </w:p>
        </w:tc>
      </w:tr>
    </w:tbl>
    <w:p w14:paraId="1C9E61BD" w14:textId="77777777" w:rsidR="004D425A" w:rsidRDefault="004D425A" w:rsidP="0033639F">
      <w:pPr>
        <w:pStyle w:val="NormalWeb"/>
        <w:spacing w:before="0" w:beforeAutospacing="0" w:after="0" w:afterAutospacing="0" w:line="276" w:lineRule="auto"/>
        <w:rPr>
          <w:rFonts w:ascii="Arial" w:hAnsi="Arial" w:cs="Arial"/>
          <w:b/>
          <w:bCs/>
          <w:i/>
          <w:iCs/>
          <w:sz w:val="22"/>
          <w:szCs w:val="22"/>
        </w:rPr>
      </w:pPr>
    </w:p>
    <w:p w14:paraId="199BB6B5" w14:textId="40C69066" w:rsidR="00803B01" w:rsidRPr="00BA5B89" w:rsidRDefault="00803B01" w:rsidP="004D425A">
      <w:pPr>
        <w:rPr>
          <w:rFonts w:ascii="Arial" w:hAnsi="Arial" w:cs="Arial"/>
          <w:b/>
          <w:bCs/>
          <w:color w:val="00B050"/>
          <w:sz w:val="22"/>
          <w:szCs w:val="22"/>
        </w:rPr>
      </w:pPr>
      <w:r w:rsidRPr="00BA5B89">
        <w:rPr>
          <w:rFonts w:ascii="Arial" w:hAnsi="Arial" w:cs="Arial"/>
          <w:b/>
          <w:bCs/>
          <w:color w:val="00B050"/>
          <w:sz w:val="22"/>
          <w:szCs w:val="22"/>
        </w:rPr>
        <w:t>GLI2</w:t>
      </w:r>
    </w:p>
    <w:p w14:paraId="55EE1AB6" w14:textId="77777777" w:rsidR="004D425A" w:rsidRDefault="004D425A" w:rsidP="0033639F">
      <w:pPr>
        <w:pStyle w:val="NormalWeb"/>
        <w:spacing w:before="0" w:beforeAutospacing="0" w:after="0" w:afterAutospacing="0" w:line="276" w:lineRule="auto"/>
        <w:rPr>
          <w:rFonts w:ascii="Arial" w:hAnsi="Arial" w:cs="Arial"/>
          <w:i/>
          <w:iCs/>
          <w:sz w:val="22"/>
          <w:szCs w:val="22"/>
        </w:rPr>
      </w:pPr>
    </w:p>
    <w:p w14:paraId="05BCF3A2" w14:textId="03184A7C" w:rsidR="00803B01" w:rsidRDefault="00803B01" w:rsidP="0033639F">
      <w:pPr>
        <w:pStyle w:val="NormalWeb"/>
        <w:spacing w:before="0" w:beforeAutospacing="0" w:after="0" w:afterAutospacing="0" w:line="276" w:lineRule="auto"/>
        <w:rPr>
          <w:rFonts w:ascii="Arial" w:hAnsi="Arial" w:cs="Arial"/>
          <w:sz w:val="22"/>
          <w:szCs w:val="22"/>
        </w:rPr>
      </w:pPr>
      <w:r w:rsidRPr="0033639F">
        <w:rPr>
          <w:rFonts w:ascii="Arial" w:hAnsi="Arial" w:cs="Arial"/>
          <w:i/>
          <w:iCs/>
          <w:sz w:val="22"/>
          <w:szCs w:val="22"/>
        </w:rPr>
        <w:t>GLI2</w:t>
      </w:r>
      <w:r w:rsidRPr="0033639F">
        <w:rPr>
          <w:rFonts w:ascii="Arial" w:hAnsi="Arial" w:cs="Arial"/>
          <w:sz w:val="22"/>
          <w:szCs w:val="22"/>
        </w:rPr>
        <w:t xml:space="preserve"> is a transcription factor, mediating Sonic Hedgehog (SHH) signaling and is necessary for forebrain development as well as for the early stages of pituitary development</w:t>
      </w:r>
      <w:r w:rsidRPr="0033639F">
        <w:rPr>
          <w:rFonts w:ascii="Arial" w:hAnsi="Arial" w:cs="Arial"/>
          <w:noProof/>
          <w:sz w:val="22"/>
          <w:szCs w:val="22"/>
        </w:rPr>
        <w:t xml:space="preserve"> </w:t>
      </w:r>
      <w:r w:rsidR="00360562" w:rsidRPr="0033639F">
        <w:rPr>
          <w:rFonts w:ascii="Arial" w:hAnsi="Arial" w:cs="Arial"/>
          <w:noProof/>
          <w:sz w:val="22"/>
          <w:szCs w:val="22"/>
        </w:rPr>
        <w:t>(</w:t>
      </w:r>
      <w:r w:rsidR="003543C9" w:rsidRPr="0033639F">
        <w:rPr>
          <w:rFonts w:ascii="Arial" w:hAnsi="Arial" w:cs="Arial"/>
          <w:noProof/>
          <w:sz w:val="22"/>
          <w:szCs w:val="22"/>
        </w:rPr>
        <w:t>16</w:t>
      </w:r>
      <w:r w:rsidR="00360562" w:rsidRPr="0033639F">
        <w:rPr>
          <w:rFonts w:ascii="Arial" w:hAnsi="Arial" w:cs="Arial"/>
          <w:noProof/>
          <w:sz w:val="22"/>
          <w:szCs w:val="22"/>
        </w:rPr>
        <w:t>)</w:t>
      </w:r>
      <w:r w:rsidRPr="0033639F">
        <w:rPr>
          <w:rFonts w:ascii="Arial" w:hAnsi="Arial" w:cs="Arial"/>
          <w:sz w:val="22"/>
          <w:szCs w:val="22"/>
        </w:rPr>
        <w:t xml:space="preserve">.  </w:t>
      </w:r>
      <w:r w:rsidR="00906431" w:rsidRPr="0033639F">
        <w:rPr>
          <w:rFonts w:ascii="Arial" w:hAnsi="Arial" w:cs="Arial"/>
          <w:sz w:val="22"/>
          <w:szCs w:val="22"/>
          <w:shd w:val="clear" w:color="auto" w:fill="FFFFFF"/>
        </w:rPr>
        <w:t>It</w:t>
      </w:r>
      <w:r w:rsidR="00906431" w:rsidRPr="0033639F">
        <w:rPr>
          <w:rFonts w:ascii="Arial" w:hAnsi="Arial" w:cs="Arial"/>
          <w:i/>
          <w:iCs/>
          <w:sz w:val="22"/>
          <w:szCs w:val="22"/>
          <w:shd w:val="clear" w:color="auto" w:fill="FFFFFF"/>
        </w:rPr>
        <w:t xml:space="preserve"> </w:t>
      </w:r>
      <w:r w:rsidR="00906431" w:rsidRPr="0033639F">
        <w:rPr>
          <w:rFonts w:ascii="Arial" w:hAnsi="Arial" w:cs="Arial"/>
          <w:sz w:val="22"/>
          <w:szCs w:val="22"/>
          <w:shd w:val="clear" w:color="auto" w:fill="FFFFFF"/>
        </w:rPr>
        <w:t>is located on the long arm of chromosome 2 at position q14</w:t>
      </w:r>
      <w:r w:rsidR="00C202D0" w:rsidRPr="0033639F">
        <w:rPr>
          <w:rFonts w:ascii="Arial" w:hAnsi="Arial" w:cs="Arial"/>
          <w:sz w:val="22"/>
          <w:szCs w:val="22"/>
          <w:shd w:val="clear" w:color="auto" w:fill="FFFFFF"/>
        </w:rPr>
        <w:t xml:space="preserve">, </w:t>
      </w:r>
      <w:r w:rsidR="00906431" w:rsidRPr="0033639F">
        <w:rPr>
          <w:rFonts w:ascii="Arial" w:hAnsi="Arial" w:cs="Arial"/>
          <w:sz w:val="22"/>
          <w:szCs w:val="22"/>
          <w:shd w:val="clear" w:color="auto" w:fill="FFFFFF"/>
        </w:rPr>
        <w:t xml:space="preserve">(Figure 1). </w:t>
      </w:r>
      <w:r w:rsidRPr="0033639F">
        <w:rPr>
          <w:rFonts w:ascii="Arial" w:hAnsi="Arial" w:cs="Arial"/>
          <w:sz w:val="22"/>
          <w:szCs w:val="22"/>
        </w:rPr>
        <w:t xml:space="preserve">The clinical phenotype of persons with mutations in </w:t>
      </w:r>
      <w:r w:rsidRPr="0033639F">
        <w:rPr>
          <w:rFonts w:ascii="Arial" w:hAnsi="Arial" w:cs="Arial"/>
          <w:i/>
          <w:iCs/>
          <w:sz w:val="22"/>
          <w:szCs w:val="22"/>
        </w:rPr>
        <w:t xml:space="preserve">GLI2 </w:t>
      </w:r>
      <w:r w:rsidRPr="0033639F">
        <w:rPr>
          <w:rFonts w:ascii="Arial" w:hAnsi="Arial" w:cs="Arial"/>
          <w:sz w:val="22"/>
          <w:szCs w:val="22"/>
        </w:rPr>
        <w:t xml:space="preserve">may vary from asymptomatic individuals to isolated GH deficiency to hypopituitarism in combination with a small anterior pituitary, ectopic posterior pituitary, midfacial hypoplasia, </w:t>
      </w:r>
      <w:r w:rsidR="00305C0D" w:rsidRPr="0033639F">
        <w:rPr>
          <w:rFonts w:ascii="Arial" w:hAnsi="Arial" w:cs="Arial"/>
          <w:sz w:val="22"/>
          <w:szCs w:val="22"/>
        </w:rPr>
        <w:t>anophthalmia</w:t>
      </w:r>
      <w:r w:rsidRPr="0033639F">
        <w:rPr>
          <w:rFonts w:ascii="Arial" w:hAnsi="Arial" w:cs="Arial"/>
          <w:sz w:val="22"/>
          <w:szCs w:val="22"/>
        </w:rPr>
        <w:t>, holoprosencephaly, and polydactyly</w:t>
      </w:r>
      <w:r w:rsidR="00360562" w:rsidRPr="0033639F">
        <w:rPr>
          <w:rFonts w:ascii="Arial" w:hAnsi="Arial" w:cs="Arial"/>
          <w:sz w:val="22"/>
          <w:szCs w:val="22"/>
        </w:rPr>
        <w:t xml:space="preserve"> </w:t>
      </w:r>
      <w:r w:rsidR="00360562" w:rsidRPr="0033639F">
        <w:rPr>
          <w:rFonts w:ascii="Arial" w:hAnsi="Arial" w:cs="Arial"/>
          <w:noProof/>
          <w:sz w:val="22"/>
          <w:szCs w:val="22"/>
        </w:rPr>
        <w:t>(1</w:t>
      </w:r>
      <w:r w:rsidR="003543C9" w:rsidRPr="0033639F">
        <w:rPr>
          <w:rFonts w:ascii="Arial" w:hAnsi="Arial" w:cs="Arial"/>
          <w:noProof/>
          <w:sz w:val="22"/>
          <w:szCs w:val="22"/>
        </w:rPr>
        <w:t>7</w:t>
      </w:r>
      <w:r w:rsidR="00360562" w:rsidRPr="0033639F">
        <w:rPr>
          <w:rFonts w:ascii="Arial" w:hAnsi="Arial" w:cs="Arial"/>
          <w:noProof/>
          <w:sz w:val="22"/>
          <w:szCs w:val="22"/>
        </w:rPr>
        <w:t>–1</w:t>
      </w:r>
      <w:r w:rsidR="003543C9" w:rsidRPr="0033639F">
        <w:rPr>
          <w:rFonts w:ascii="Arial" w:hAnsi="Arial" w:cs="Arial"/>
          <w:noProof/>
          <w:sz w:val="22"/>
          <w:szCs w:val="22"/>
        </w:rPr>
        <w:t>9</w:t>
      </w:r>
      <w:r w:rsidR="00360562" w:rsidRPr="0033639F">
        <w:rPr>
          <w:rFonts w:ascii="Arial" w:hAnsi="Arial" w:cs="Arial"/>
          <w:noProof/>
          <w:sz w:val="22"/>
          <w:szCs w:val="22"/>
        </w:rPr>
        <w:t>)</w:t>
      </w:r>
      <w:r w:rsidRPr="0033639F">
        <w:rPr>
          <w:rFonts w:ascii="Arial" w:hAnsi="Arial" w:cs="Arial"/>
          <w:sz w:val="22"/>
          <w:szCs w:val="22"/>
        </w:rPr>
        <w:t>.</w:t>
      </w:r>
    </w:p>
    <w:p w14:paraId="03F254D1" w14:textId="77777777" w:rsidR="004D425A" w:rsidRDefault="004D425A" w:rsidP="0033639F">
      <w:pPr>
        <w:pStyle w:val="NormalWeb"/>
        <w:spacing w:before="0" w:beforeAutospacing="0" w:after="0" w:afterAutospacing="0" w:line="276" w:lineRule="auto"/>
        <w:rPr>
          <w:rFonts w:ascii="Arial" w:hAnsi="Arial" w:cs="Arial"/>
          <w:sz w:val="22"/>
          <w:szCs w:val="22"/>
        </w:rPr>
      </w:pPr>
    </w:p>
    <w:p w14:paraId="0C28F62C" w14:textId="3FB5F593" w:rsidR="008B5B13" w:rsidRPr="0033639F" w:rsidRDefault="008B5B13" w:rsidP="0013412C">
      <w:r>
        <w:rPr>
          <w:noProof/>
        </w:rPr>
        <w:lastRenderedPageBreak/>
        <w:drawing>
          <wp:inline distT="0" distB="0" distL="0" distR="0" wp14:anchorId="779F236F" wp14:editId="1DB3A2D9">
            <wp:extent cx="6191098" cy="3080667"/>
            <wp:effectExtent l="0" t="0" r="635" b="5715"/>
            <wp:docPr id="1927696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544" cy="3099798"/>
                    </a:xfrm>
                    <a:prstGeom prst="rect">
                      <a:avLst/>
                    </a:prstGeom>
                    <a:noFill/>
                  </pic:spPr>
                </pic:pic>
              </a:graphicData>
            </a:graphic>
          </wp:inline>
        </w:drawing>
      </w:r>
    </w:p>
    <w:p w14:paraId="572E07A3" w14:textId="21BD58A5" w:rsidR="004D425A" w:rsidRPr="001C3887" w:rsidRDefault="008B5B13" w:rsidP="0033639F">
      <w:pPr>
        <w:spacing w:line="276" w:lineRule="auto"/>
        <w:rPr>
          <w:rFonts w:ascii="Arial" w:hAnsi="Arial" w:cs="Arial"/>
          <w:b/>
          <w:bCs/>
          <w:sz w:val="22"/>
          <w:szCs w:val="22"/>
        </w:rPr>
      </w:pPr>
      <w:r w:rsidRPr="001C3887">
        <w:rPr>
          <w:rFonts w:ascii="Arial" w:hAnsi="Arial" w:cs="Arial"/>
          <w:b/>
          <w:bCs/>
          <w:sz w:val="22"/>
          <w:szCs w:val="22"/>
        </w:rPr>
        <w:t>Figure 1. The GL</w:t>
      </w:r>
      <w:r w:rsidR="001C3887" w:rsidRPr="001C3887">
        <w:rPr>
          <w:rFonts w:ascii="Arial" w:hAnsi="Arial" w:cs="Arial"/>
          <w:b/>
          <w:bCs/>
          <w:sz w:val="22"/>
          <w:szCs w:val="22"/>
        </w:rPr>
        <w:t>I2 gene</w:t>
      </w:r>
      <w:r w:rsidR="001D365B">
        <w:rPr>
          <w:rFonts w:ascii="Arial" w:hAnsi="Arial" w:cs="Arial"/>
          <w:b/>
          <w:bCs/>
          <w:sz w:val="22"/>
          <w:szCs w:val="22"/>
        </w:rPr>
        <w:t>.</w:t>
      </w:r>
    </w:p>
    <w:p w14:paraId="067E190C" w14:textId="77777777" w:rsidR="001C3887" w:rsidRDefault="001C3887" w:rsidP="0033639F">
      <w:pPr>
        <w:spacing w:line="276" w:lineRule="auto"/>
        <w:rPr>
          <w:rFonts w:ascii="Arial" w:hAnsi="Arial" w:cs="Arial"/>
          <w:b/>
          <w:bCs/>
          <w:color w:val="00B050"/>
          <w:sz w:val="22"/>
          <w:szCs w:val="22"/>
        </w:rPr>
      </w:pPr>
    </w:p>
    <w:p w14:paraId="4018BFB3" w14:textId="5E05258A" w:rsidR="00803B01" w:rsidRPr="004D425A" w:rsidRDefault="00803B01" w:rsidP="0033639F">
      <w:pPr>
        <w:spacing w:line="276" w:lineRule="auto"/>
        <w:rPr>
          <w:rFonts w:ascii="Arial" w:hAnsi="Arial" w:cs="Arial"/>
          <w:b/>
          <w:bCs/>
          <w:color w:val="00B050"/>
          <w:sz w:val="22"/>
          <w:szCs w:val="22"/>
        </w:rPr>
      </w:pPr>
      <w:r w:rsidRPr="004D425A">
        <w:rPr>
          <w:rFonts w:ascii="Arial" w:hAnsi="Arial" w:cs="Arial"/>
          <w:b/>
          <w:bCs/>
          <w:color w:val="00B050"/>
          <w:sz w:val="22"/>
          <w:szCs w:val="22"/>
        </w:rPr>
        <w:t>LHX3</w:t>
      </w:r>
    </w:p>
    <w:p w14:paraId="266CA087" w14:textId="77777777" w:rsidR="004D425A" w:rsidRDefault="004D425A" w:rsidP="0033639F">
      <w:pPr>
        <w:spacing w:line="276" w:lineRule="auto"/>
        <w:rPr>
          <w:rFonts w:ascii="Arial" w:hAnsi="Arial" w:cs="Arial"/>
          <w:i/>
          <w:iCs/>
          <w:sz w:val="22"/>
          <w:szCs w:val="22"/>
        </w:rPr>
      </w:pPr>
    </w:p>
    <w:p w14:paraId="107F103F" w14:textId="1BE0BA67" w:rsidR="00803B01" w:rsidRDefault="00803B01" w:rsidP="0033639F">
      <w:pPr>
        <w:spacing w:line="276" w:lineRule="auto"/>
        <w:rPr>
          <w:rFonts w:ascii="Arial" w:hAnsi="Arial" w:cs="Arial"/>
          <w:sz w:val="22"/>
          <w:szCs w:val="22"/>
        </w:rPr>
      </w:pPr>
      <w:r w:rsidRPr="0033639F">
        <w:rPr>
          <w:rFonts w:ascii="Arial" w:hAnsi="Arial" w:cs="Arial"/>
          <w:i/>
          <w:iCs/>
          <w:sz w:val="22"/>
          <w:szCs w:val="22"/>
        </w:rPr>
        <w:t>LHX3</w:t>
      </w:r>
      <w:r w:rsidRPr="0033639F">
        <w:rPr>
          <w:rFonts w:ascii="Arial" w:hAnsi="Arial" w:cs="Arial"/>
          <w:sz w:val="22"/>
          <w:szCs w:val="22"/>
        </w:rPr>
        <w:t xml:space="preserve"> is a member of the LIM family of HomeoboX transcription factors. The </w:t>
      </w:r>
      <w:r w:rsidR="000E50BF" w:rsidRPr="0033639F">
        <w:rPr>
          <w:rFonts w:ascii="Arial" w:hAnsi="Arial" w:cs="Arial"/>
          <w:sz w:val="22"/>
          <w:szCs w:val="22"/>
        </w:rPr>
        <w:t>LHX3 gene</w:t>
      </w:r>
      <w:r w:rsidRPr="0033639F">
        <w:rPr>
          <w:rFonts w:ascii="Arial" w:hAnsi="Arial" w:cs="Arial"/>
          <w:sz w:val="22"/>
          <w:szCs w:val="22"/>
        </w:rPr>
        <w:t xml:space="preserve"> is located on 9q34.3, comprises 7 exons (including two alternative exon 1's, 1a and 1b) and encodes a protein of 402 amino acids (Figure </w:t>
      </w:r>
      <w:r w:rsidR="00C202D0" w:rsidRPr="0033639F">
        <w:rPr>
          <w:rFonts w:ascii="Arial" w:hAnsi="Arial" w:cs="Arial"/>
          <w:sz w:val="22"/>
          <w:szCs w:val="22"/>
        </w:rPr>
        <w:t>2</w:t>
      </w:r>
      <w:r w:rsidRPr="0033639F">
        <w:rPr>
          <w:rFonts w:ascii="Arial" w:hAnsi="Arial" w:cs="Arial"/>
          <w:sz w:val="22"/>
          <w:szCs w:val="22"/>
        </w:rPr>
        <w:t xml:space="preserve">. </w:t>
      </w:r>
      <w:r w:rsidRPr="0033639F">
        <w:rPr>
          <w:rFonts w:ascii="Arial" w:hAnsi="Arial" w:cs="Arial"/>
          <w:i/>
          <w:iCs/>
          <w:sz w:val="22"/>
          <w:szCs w:val="22"/>
        </w:rPr>
        <w:t>LHX3</w:t>
      </w:r>
      <w:r w:rsidRPr="0033639F">
        <w:rPr>
          <w:rFonts w:ascii="Arial" w:hAnsi="Arial" w:cs="Arial"/>
          <w:sz w:val="22"/>
          <w:szCs w:val="22"/>
        </w:rPr>
        <w:t xml:space="preserve"> is expressed in the developing Rathke's pouch and is required for the development of most anterior pituitary cell types, including the somatotrope, the thyrotrope, the lactotrope and the gonadotrope (but notably not the corticotrope). </w:t>
      </w:r>
      <w:r w:rsidRPr="0033639F">
        <w:rPr>
          <w:rFonts w:ascii="Arial" w:hAnsi="Arial" w:cs="Arial"/>
          <w:i/>
          <w:iCs/>
          <w:sz w:val="22"/>
          <w:szCs w:val="22"/>
        </w:rPr>
        <w:t>LHX3</w:t>
      </w:r>
      <w:r w:rsidRPr="0033639F">
        <w:rPr>
          <w:rFonts w:ascii="Arial" w:hAnsi="Arial" w:cs="Arial"/>
          <w:sz w:val="22"/>
          <w:szCs w:val="22"/>
        </w:rPr>
        <w:t xml:space="preserve"> binds as a dimer, synergizing with </w:t>
      </w:r>
      <w:r w:rsidRPr="0033639F">
        <w:rPr>
          <w:rFonts w:ascii="Arial" w:hAnsi="Arial" w:cs="Arial"/>
          <w:i/>
          <w:iCs/>
          <w:sz w:val="22"/>
          <w:szCs w:val="22"/>
        </w:rPr>
        <w:t>POU1F1</w:t>
      </w:r>
      <w:r w:rsidRPr="0033639F">
        <w:rPr>
          <w:rFonts w:ascii="Arial" w:hAnsi="Arial" w:cs="Arial"/>
          <w:sz w:val="22"/>
          <w:szCs w:val="22"/>
        </w:rPr>
        <w:t xml:space="preserve"> (</w:t>
      </w:r>
      <w:r w:rsidRPr="0033639F">
        <w:rPr>
          <w:rFonts w:ascii="Arial" w:hAnsi="Arial" w:cs="Arial"/>
          <w:i/>
          <w:iCs/>
          <w:sz w:val="22"/>
          <w:szCs w:val="22"/>
        </w:rPr>
        <w:t>PIT1</w:t>
      </w:r>
      <w:r w:rsidRPr="0033639F">
        <w:rPr>
          <w:rFonts w:ascii="Arial" w:hAnsi="Arial" w:cs="Arial"/>
          <w:sz w:val="22"/>
          <w:szCs w:val="22"/>
        </w:rPr>
        <w:t>). Two unrelated families with MPHD were identified in 2000</w:t>
      </w:r>
      <w:r w:rsidR="00360562" w:rsidRPr="0033639F">
        <w:rPr>
          <w:rFonts w:ascii="Arial" w:hAnsi="Arial" w:cs="Arial"/>
          <w:sz w:val="22"/>
          <w:szCs w:val="22"/>
        </w:rPr>
        <w:t xml:space="preserve"> </w:t>
      </w:r>
      <w:r w:rsidR="00360562" w:rsidRPr="0033639F">
        <w:rPr>
          <w:rFonts w:ascii="Arial" w:hAnsi="Arial" w:cs="Arial"/>
          <w:noProof/>
          <w:sz w:val="22"/>
          <w:szCs w:val="22"/>
        </w:rPr>
        <w:t>(</w:t>
      </w:r>
      <w:r w:rsidR="003543C9" w:rsidRPr="0033639F">
        <w:rPr>
          <w:rFonts w:ascii="Arial" w:hAnsi="Arial" w:cs="Arial"/>
          <w:noProof/>
          <w:sz w:val="22"/>
          <w:szCs w:val="22"/>
        </w:rPr>
        <w:t>20</w:t>
      </w:r>
      <w:r w:rsidR="00360562" w:rsidRPr="0033639F">
        <w:rPr>
          <w:rFonts w:ascii="Arial" w:hAnsi="Arial" w:cs="Arial"/>
          <w:noProof/>
          <w:sz w:val="22"/>
          <w:szCs w:val="22"/>
        </w:rPr>
        <w:t>)</w:t>
      </w:r>
      <w:r w:rsidRPr="0033639F">
        <w:rPr>
          <w:rFonts w:ascii="Arial" w:hAnsi="Arial" w:cs="Arial"/>
          <w:sz w:val="22"/>
          <w:szCs w:val="22"/>
        </w:rPr>
        <w:t xml:space="preserve"> as harboring mutations in </w:t>
      </w:r>
      <w:r w:rsidRPr="0033639F">
        <w:rPr>
          <w:rFonts w:ascii="Arial" w:hAnsi="Arial" w:cs="Arial"/>
          <w:i/>
          <w:iCs/>
          <w:sz w:val="22"/>
          <w:szCs w:val="22"/>
        </w:rPr>
        <w:t>LHX3</w:t>
      </w:r>
      <w:r w:rsidRPr="0033639F">
        <w:rPr>
          <w:rFonts w:ascii="Arial" w:hAnsi="Arial" w:cs="Arial"/>
          <w:sz w:val="22"/>
          <w:szCs w:val="22"/>
        </w:rPr>
        <w:t xml:space="preserve">. The affected members of the family manifested severe growth retardation in association with restricted rotation of the cervical spine and a variable degree of </w:t>
      </w:r>
      <w:r w:rsidR="00216C26" w:rsidRPr="0033639F">
        <w:rPr>
          <w:rFonts w:ascii="Arial" w:hAnsi="Arial" w:cs="Arial"/>
          <w:sz w:val="22"/>
          <w:szCs w:val="22"/>
        </w:rPr>
        <w:t>senso</w:t>
      </w:r>
      <w:r w:rsidR="00216C26" w:rsidRPr="0033639F">
        <w:rPr>
          <w:rFonts w:ascii="Arial" w:hAnsi="Arial" w:cs="Arial"/>
          <w:color w:val="000000" w:themeColor="text1"/>
          <w:sz w:val="22"/>
          <w:szCs w:val="22"/>
        </w:rPr>
        <w:t>r</w:t>
      </w:r>
      <w:r w:rsidR="00216C26" w:rsidRPr="0033639F">
        <w:rPr>
          <w:rFonts w:ascii="Arial" w:hAnsi="Arial" w:cs="Arial"/>
          <w:sz w:val="22"/>
          <w:szCs w:val="22"/>
        </w:rPr>
        <w:t>y</w:t>
      </w:r>
      <w:r w:rsidRPr="0033639F">
        <w:rPr>
          <w:rFonts w:ascii="Arial" w:hAnsi="Arial" w:cs="Arial"/>
          <w:sz w:val="22"/>
          <w:szCs w:val="22"/>
        </w:rPr>
        <w:t xml:space="preserve"> neural hearing loss. Inheritance is consistent with an autosomal recessive pattern of inheritance and of note one individual was found to have an enlarged pituitary. Recently, a new mutation in </w:t>
      </w:r>
      <w:r w:rsidRPr="0033639F">
        <w:rPr>
          <w:rFonts w:ascii="Arial" w:hAnsi="Arial" w:cs="Arial"/>
          <w:i/>
          <w:iCs/>
          <w:sz w:val="22"/>
          <w:szCs w:val="22"/>
        </w:rPr>
        <w:t>LHX3</w:t>
      </w:r>
      <w:r w:rsidRPr="0033639F">
        <w:rPr>
          <w:rFonts w:ascii="Arial" w:hAnsi="Arial" w:cs="Arial"/>
          <w:sz w:val="22"/>
          <w:szCs w:val="22"/>
        </w:rPr>
        <w:t xml:space="preserve"> was described in a child with hypointense pituitary lesion, focal amyotrophy and mental retardation in addition to neck rigidity and growth retardation</w:t>
      </w:r>
      <w:r w:rsidR="00360562" w:rsidRPr="0033639F">
        <w:rPr>
          <w:rFonts w:ascii="Arial" w:hAnsi="Arial" w:cs="Arial"/>
          <w:sz w:val="22"/>
          <w:szCs w:val="22"/>
        </w:rPr>
        <w:t xml:space="preserve"> </w:t>
      </w:r>
      <w:r w:rsidR="00360562" w:rsidRPr="0033639F">
        <w:rPr>
          <w:rFonts w:ascii="Arial" w:hAnsi="Arial" w:cs="Arial"/>
          <w:noProof/>
          <w:sz w:val="22"/>
          <w:szCs w:val="22"/>
        </w:rPr>
        <w:t>(</w:t>
      </w:r>
      <w:r w:rsidR="003543C9" w:rsidRPr="0033639F">
        <w:rPr>
          <w:rFonts w:ascii="Arial" w:hAnsi="Arial" w:cs="Arial"/>
          <w:noProof/>
          <w:sz w:val="22"/>
          <w:szCs w:val="22"/>
        </w:rPr>
        <w:t>21</w:t>
      </w:r>
      <w:r w:rsidR="00360562" w:rsidRPr="0033639F">
        <w:rPr>
          <w:rFonts w:ascii="Arial" w:hAnsi="Arial" w:cs="Arial"/>
          <w:noProof/>
          <w:sz w:val="22"/>
          <w:szCs w:val="22"/>
        </w:rPr>
        <w:t>)</w:t>
      </w:r>
      <w:r w:rsidRPr="0033639F">
        <w:rPr>
          <w:rFonts w:ascii="Arial" w:hAnsi="Arial" w:cs="Arial"/>
          <w:sz w:val="22"/>
          <w:szCs w:val="22"/>
        </w:rPr>
        <w:t xml:space="preserve">. These clinical findings expand the phenotype associated with mutations in </w:t>
      </w:r>
      <w:r w:rsidRPr="0033639F">
        <w:rPr>
          <w:rFonts w:ascii="Arial" w:hAnsi="Arial" w:cs="Arial"/>
          <w:i/>
          <w:iCs/>
          <w:sz w:val="22"/>
          <w:szCs w:val="22"/>
        </w:rPr>
        <w:t>LHX3</w:t>
      </w:r>
      <w:r w:rsidRPr="0033639F">
        <w:rPr>
          <w:rFonts w:ascii="Arial" w:hAnsi="Arial" w:cs="Arial"/>
          <w:sz w:val="22"/>
          <w:szCs w:val="22"/>
        </w:rPr>
        <w:t xml:space="preserve">. </w:t>
      </w:r>
    </w:p>
    <w:p w14:paraId="3E37A27E" w14:textId="77777777" w:rsidR="001C3887" w:rsidRDefault="001C3887" w:rsidP="0033639F">
      <w:pPr>
        <w:spacing w:line="276" w:lineRule="auto"/>
        <w:rPr>
          <w:rFonts w:ascii="Arial" w:hAnsi="Arial" w:cs="Arial"/>
          <w:sz w:val="22"/>
          <w:szCs w:val="22"/>
        </w:rPr>
      </w:pPr>
    </w:p>
    <w:p w14:paraId="62B3E0D7" w14:textId="7A462797" w:rsidR="00BA5B89" w:rsidRDefault="00BA5B89" w:rsidP="0033639F">
      <w:pPr>
        <w:spacing w:line="276" w:lineRule="auto"/>
        <w:rPr>
          <w:rFonts w:ascii="Arial" w:hAnsi="Arial" w:cs="Arial"/>
          <w:b/>
          <w:bCs/>
          <w:sz w:val="22"/>
          <w:szCs w:val="22"/>
        </w:rPr>
      </w:pPr>
      <w:bookmarkStart w:id="4" w:name="id2505166"/>
      <w:bookmarkEnd w:id="4"/>
      <w:r>
        <w:rPr>
          <w:rFonts w:ascii="Arial" w:hAnsi="Arial" w:cs="Arial"/>
          <w:b/>
          <w:bCs/>
          <w:noProof/>
          <w:sz w:val="22"/>
          <w:szCs w:val="22"/>
        </w:rPr>
        <w:lastRenderedPageBreak/>
        <w:drawing>
          <wp:inline distT="0" distB="0" distL="0" distR="0" wp14:anchorId="7FC2BD00" wp14:editId="73304D5C">
            <wp:extent cx="6222187" cy="3605379"/>
            <wp:effectExtent l="0" t="0" r="7620" b="0"/>
            <wp:docPr id="543849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1519" cy="3616581"/>
                    </a:xfrm>
                    <a:prstGeom prst="rect">
                      <a:avLst/>
                    </a:prstGeom>
                    <a:noFill/>
                  </pic:spPr>
                </pic:pic>
              </a:graphicData>
            </a:graphic>
          </wp:inline>
        </w:drawing>
      </w:r>
    </w:p>
    <w:p w14:paraId="69488386" w14:textId="77FE7A78" w:rsidR="009F6B61" w:rsidRPr="00EC592B" w:rsidRDefault="00EC592B" w:rsidP="0033639F">
      <w:pPr>
        <w:spacing w:line="276" w:lineRule="auto"/>
        <w:rPr>
          <w:rFonts w:ascii="Arial" w:hAnsi="Arial" w:cs="Arial"/>
          <w:b/>
          <w:bCs/>
          <w:sz w:val="22"/>
          <w:szCs w:val="22"/>
        </w:rPr>
      </w:pPr>
      <w:r w:rsidRPr="00EC592B">
        <w:rPr>
          <w:rFonts w:ascii="Arial" w:hAnsi="Arial" w:cs="Arial"/>
          <w:b/>
          <w:bCs/>
          <w:sz w:val="22"/>
          <w:szCs w:val="22"/>
        </w:rPr>
        <w:t>Figure 2. The LHX3 Gene</w:t>
      </w:r>
      <w:r w:rsidR="001D365B">
        <w:rPr>
          <w:rFonts w:ascii="Arial" w:hAnsi="Arial" w:cs="Arial"/>
          <w:b/>
          <w:bCs/>
          <w:sz w:val="22"/>
          <w:szCs w:val="22"/>
        </w:rPr>
        <w:t>.</w:t>
      </w:r>
    </w:p>
    <w:p w14:paraId="4C07EED9" w14:textId="77777777" w:rsidR="009F6B61" w:rsidRDefault="009F6B61" w:rsidP="0033639F">
      <w:pPr>
        <w:spacing w:line="276" w:lineRule="auto"/>
        <w:rPr>
          <w:rFonts w:ascii="Arial" w:hAnsi="Arial" w:cs="Arial"/>
          <w:b/>
          <w:bCs/>
          <w:i/>
          <w:iCs/>
          <w:sz w:val="22"/>
          <w:szCs w:val="22"/>
        </w:rPr>
      </w:pPr>
    </w:p>
    <w:p w14:paraId="6017AFC9" w14:textId="1DEA994D" w:rsidR="00803B01" w:rsidRPr="00BA5B89" w:rsidRDefault="00803B01" w:rsidP="0033639F">
      <w:pPr>
        <w:spacing w:line="276" w:lineRule="auto"/>
        <w:rPr>
          <w:rFonts w:ascii="Arial" w:hAnsi="Arial" w:cs="Arial"/>
          <w:b/>
          <w:bCs/>
          <w:color w:val="00B050"/>
          <w:sz w:val="22"/>
          <w:szCs w:val="22"/>
        </w:rPr>
      </w:pPr>
      <w:r w:rsidRPr="00BA5B89">
        <w:rPr>
          <w:rFonts w:ascii="Arial" w:hAnsi="Arial" w:cs="Arial"/>
          <w:b/>
          <w:bCs/>
          <w:color w:val="00B050"/>
          <w:sz w:val="22"/>
          <w:szCs w:val="22"/>
        </w:rPr>
        <w:t>LHX4</w:t>
      </w:r>
    </w:p>
    <w:p w14:paraId="7AB96CED" w14:textId="77777777" w:rsidR="00BA5B89" w:rsidRDefault="00BA5B89" w:rsidP="0033639F">
      <w:pPr>
        <w:spacing w:line="276" w:lineRule="auto"/>
        <w:rPr>
          <w:rFonts w:ascii="Arial" w:hAnsi="Arial" w:cs="Arial"/>
          <w:i/>
          <w:iCs/>
          <w:sz w:val="22"/>
          <w:szCs w:val="22"/>
        </w:rPr>
      </w:pPr>
    </w:p>
    <w:p w14:paraId="07BF9FDE" w14:textId="36680DA5" w:rsidR="00803B01" w:rsidRPr="0033639F" w:rsidRDefault="00803B01" w:rsidP="0033639F">
      <w:pPr>
        <w:spacing w:line="276" w:lineRule="auto"/>
        <w:rPr>
          <w:rFonts w:ascii="Arial" w:hAnsi="Arial" w:cs="Arial"/>
          <w:sz w:val="22"/>
          <w:szCs w:val="22"/>
        </w:rPr>
      </w:pPr>
      <w:r w:rsidRPr="0033639F">
        <w:rPr>
          <w:rFonts w:ascii="Arial" w:hAnsi="Arial" w:cs="Arial"/>
          <w:i/>
          <w:iCs/>
          <w:sz w:val="22"/>
          <w:szCs w:val="22"/>
        </w:rPr>
        <w:t>LHX4</w:t>
      </w:r>
      <w:r w:rsidRPr="0033639F">
        <w:rPr>
          <w:rFonts w:ascii="Arial" w:hAnsi="Arial" w:cs="Arial"/>
          <w:sz w:val="22"/>
          <w:szCs w:val="22"/>
        </w:rPr>
        <w:t xml:space="preserve"> also has a critical role in the development of anterior pituitary </w:t>
      </w:r>
      <w:r w:rsidR="00216C26" w:rsidRPr="0033639F">
        <w:rPr>
          <w:rFonts w:ascii="Arial" w:hAnsi="Arial" w:cs="Arial"/>
          <w:sz w:val="22"/>
          <w:szCs w:val="22"/>
        </w:rPr>
        <w:t>cells and</w:t>
      </w:r>
      <w:r w:rsidRPr="0033639F">
        <w:rPr>
          <w:rFonts w:ascii="Arial" w:hAnsi="Arial" w:cs="Arial"/>
          <w:sz w:val="22"/>
          <w:szCs w:val="22"/>
        </w:rPr>
        <w:t xml:space="preserve"> is co-expressed with </w:t>
      </w:r>
      <w:r w:rsidRPr="0033639F">
        <w:rPr>
          <w:rFonts w:ascii="Arial" w:hAnsi="Arial" w:cs="Arial"/>
          <w:i/>
          <w:iCs/>
          <w:sz w:val="22"/>
          <w:szCs w:val="22"/>
        </w:rPr>
        <w:t>LHX3</w:t>
      </w:r>
      <w:r w:rsidRPr="0033639F">
        <w:rPr>
          <w:rFonts w:ascii="Arial" w:hAnsi="Arial" w:cs="Arial"/>
          <w:sz w:val="22"/>
          <w:szCs w:val="22"/>
        </w:rPr>
        <w:t xml:space="preserve"> in Rathke's pouch in an overlapping but not wholly redundant pattern. Raetzman </w:t>
      </w:r>
      <w:r w:rsidRPr="0033639F">
        <w:rPr>
          <w:rFonts w:ascii="Arial" w:hAnsi="Arial" w:cs="Arial"/>
          <w:i/>
          <w:iCs/>
          <w:sz w:val="22"/>
          <w:szCs w:val="22"/>
        </w:rPr>
        <w:t>et al</w:t>
      </w:r>
      <w:r w:rsidRPr="0033639F">
        <w:rPr>
          <w:rFonts w:ascii="Arial" w:hAnsi="Arial" w:cs="Arial"/>
          <w:sz w:val="22"/>
          <w:szCs w:val="22"/>
        </w:rPr>
        <w:t xml:space="preserve"> showed overlapping functions with </w:t>
      </w:r>
      <w:r w:rsidRPr="0033639F">
        <w:rPr>
          <w:rFonts w:ascii="Arial" w:hAnsi="Arial" w:cs="Arial"/>
          <w:i/>
          <w:iCs/>
          <w:sz w:val="22"/>
          <w:szCs w:val="22"/>
        </w:rPr>
        <w:t>PROP1</w:t>
      </w:r>
      <w:r w:rsidRPr="0033639F">
        <w:rPr>
          <w:rFonts w:ascii="Arial" w:hAnsi="Arial" w:cs="Arial"/>
          <w:sz w:val="22"/>
          <w:szCs w:val="22"/>
        </w:rPr>
        <w:t xml:space="preserve"> in early pituitary </w:t>
      </w:r>
      <w:r w:rsidR="00305C0D" w:rsidRPr="0033639F">
        <w:rPr>
          <w:rFonts w:ascii="Arial" w:hAnsi="Arial" w:cs="Arial"/>
          <w:sz w:val="22"/>
          <w:szCs w:val="22"/>
        </w:rPr>
        <w:t>development but</w:t>
      </w:r>
      <w:r w:rsidRPr="0033639F">
        <w:rPr>
          <w:rFonts w:ascii="Arial" w:hAnsi="Arial" w:cs="Arial"/>
          <w:sz w:val="22"/>
          <w:szCs w:val="22"/>
        </w:rPr>
        <w:t xml:space="preserve"> also observed that their mechanisms of action were not identical</w:t>
      </w:r>
      <w:r w:rsidR="003543C9" w:rsidRPr="0033639F">
        <w:rPr>
          <w:rFonts w:ascii="Arial" w:hAnsi="Arial" w:cs="Arial"/>
          <w:sz w:val="22"/>
          <w:szCs w:val="22"/>
        </w:rPr>
        <w:t xml:space="preserve"> (22).</w:t>
      </w:r>
      <w:r w:rsidR="008E27EC" w:rsidRPr="0033639F">
        <w:rPr>
          <w:rFonts w:ascii="Arial" w:hAnsi="Arial" w:cs="Arial"/>
          <w:sz w:val="22"/>
          <w:szCs w:val="22"/>
        </w:rPr>
        <w:t xml:space="preserve"> </w:t>
      </w:r>
      <w:r w:rsidR="008C64D9" w:rsidRPr="0033639F">
        <w:rPr>
          <w:rFonts w:ascii="Arial" w:hAnsi="Arial" w:cs="Arial"/>
          <w:sz w:val="22"/>
          <w:szCs w:val="22"/>
        </w:rPr>
        <w:t xml:space="preserve">While </w:t>
      </w:r>
      <w:r w:rsidRPr="0033639F">
        <w:rPr>
          <w:rFonts w:ascii="Arial" w:hAnsi="Arial" w:cs="Arial"/>
          <w:i/>
          <w:iCs/>
          <w:sz w:val="22"/>
          <w:szCs w:val="22"/>
        </w:rPr>
        <w:t>LHX4</w:t>
      </w:r>
      <w:r w:rsidRPr="0033639F">
        <w:rPr>
          <w:rFonts w:ascii="Arial" w:hAnsi="Arial" w:cs="Arial"/>
          <w:sz w:val="22"/>
          <w:szCs w:val="22"/>
        </w:rPr>
        <w:t xml:space="preserve"> is necessary for cell </w:t>
      </w:r>
      <w:r w:rsidR="00305C0D" w:rsidRPr="0033639F">
        <w:rPr>
          <w:rFonts w:ascii="Arial" w:hAnsi="Arial" w:cs="Arial"/>
          <w:sz w:val="22"/>
          <w:szCs w:val="22"/>
        </w:rPr>
        <w:t>survival, LHX</w:t>
      </w:r>
      <w:r w:rsidRPr="0033639F">
        <w:rPr>
          <w:rFonts w:ascii="Arial" w:hAnsi="Arial" w:cs="Arial"/>
          <w:i/>
          <w:iCs/>
          <w:sz w:val="22"/>
          <w:szCs w:val="22"/>
        </w:rPr>
        <w:t>3</w:t>
      </w:r>
      <w:r w:rsidRPr="0033639F">
        <w:rPr>
          <w:rFonts w:ascii="Arial" w:hAnsi="Arial" w:cs="Arial"/>
          <w:sz w:val="22"/>
          <w:szCs w:val="22"/>
        </w:rPr>
        <w:t xml:space="preserve"> expression</w:t>
      </w:r>
      <w:r w:rsidR="008C64D9" w:rsidRPr="0033639F">
        <w:rPr>
          <w:rFonts w:ascii="Arial" w:hAnsi="Arial" w:cs="Arial"/>
          <w:sz w:val="22"/>
          <w:szCs w:val="22"/>
        </w:rPr>
        <w:t xml:space="preserve"> is required for cell differentiation </w:t>
      </w:r>
      <w:r w:rsidR="003543C9" w:rsidRPr="0033639F">
        <w:rPr>
          <w:rFonts w:ascii="Arial" w:hAnsi="Arial" w:cs="Arial"/>
          <w:sz w:val="22"/>
          <w:szCs w:val="22"/>
        </w:rPr>
        <w:t xml:space="preserve">(23). </w:t>
      </w:r>
      <w:r w:rsidR="008C64D9" w:rsidRPr="0033639F">
        <w:rPr>
          <w:rFonts w:ascii="Arial" w:hAnsi="Arial" w:cs="Arial"/>
          <w:sz w:val="22"/>
          <w:szCs w:val="22"/>
        </w:rPr>
        <w:t>T</w:t>
      </w:r>
      <w:r w:rsidRPr="0033639F">
        <w:rPr>
          <w:rFonts w:ascii="Arial" w:hAnsi="Arial" w:cs="Arial"/>
          <w:sz w:val="22"/>
          <w:szCs w:val="22"/>
        </w:rPr>
        <w:t xml:space="preserve">he pituitary hypoplasia seen in </w:t>
      </w:r>
      <w:r w:rsidRPr="0033639F">
        <w:rPr>
          <w:rFonts w:ascii="Arial" w:hAnsi="Arial" w:cs="Arial"/>
          <w:i/>
          <w:iCs/>
          <w:sz w:val="22"/>
          <w:szCs w:val="22"/>
        </w:rPr>
        <w:t>LHX4</w:t>
      </w:r>
      <w:r w:rsidRPr="0033639F">
        <w:rPr>
          <w:rFonts w:ascii="Arial" w:hAnsi="Arial" w:cs="Arial"/>
          <w:sz w:val="22"/>
          <w:szCs w:val="22"/>
        </w:rPr>
        <w:t xml:space="preserve"> mutants </w:t>
      </w:r>
      <w:r w:rsidR="00305C0D" w:rsidRPr="0033639F">
        <w:rPr>
          <w:rFonts w:ascii="Arial" w:hAnsi="Arial" w:cs="Arial"/>
          <w:sz w:val="22"/>
          <w:szCs w:val="22"/>
        </w:rPr>
        <w:t>results</w:t>
      </w:r>
      <w:r w:rsidRPr="0033639F">
        <w:rPr>
          <w:rFonts w:ascii="Arial" w:hAnsi="Arial" w:cs="Arial"/>
          <w:sz w:val="22"/>
          <w:szCs w:val="22"/>
        </w:rPr>
        <w:t xml:space="preserve"> from increased cell death and reduced differentiation</w:t>
      </w:r>
      <w:r w:rsidR="00C412EC" w:rsidRPr="0033639F">
        <w:rPr>
          <w:rFonts w:ascii="Arial" w:hAnsi="Arial" w:cs="Arial"/>
          <w:sz w:val="22"/>
          <w:szCs w:val="22"/>
        </w:rPr>
        <w:t xml:space="preserve"> due to</w:t>
      </w:r>
      <w:r w:rsidRPr="0033639F">
        <w:rPr>
          <w:rFonts w:ascii="Arial" w:hAnsi="Arial" w:cs="Arial"/>
          <w:sz w:val="22"/>
          <w:szCs w:val="22"/>
        </w:rPr>
        <w:t xml:space="preserve"> loss of </w:t>
      </w:r>
      <w:r w:rsidRPr="0033639F">
        <w:rPr>
          <w:rFonts w:ascii="Arial" w:hAnsi="Arial" w:cs="Arial"/>
          <w:i/>
          <w:iCs/>
          <w:sz w:val="22"/>
          <w:szCs w:val="22"/>
        </w:rPr>
        <w:t>LHX3</w:t>
      </w:r>
      <w:r w:rsidR="008E27EC" w:rsidRPr="0033639F">
        <w:rPr>
          <w:rFonts w:ascii="Arial" w:hAnsi="Arial" w:cs="Arial"/>
          <w:sz w:val="22"/>
          <w:szCs w:val="22"/>
        </w:rPr>
        <w:t xml:space="preserve"> </w:t>
      </w:r>
      <w:r w:rsidR="003543C9" w:rsidRPr="0033639F">
        <w:rPr>
          <w:rFonts w:ascii="Arial" w:hAnsi="Arial" w:cs="Arial"/>
          <w:sz w:val="22"/>
          <w:szCs w:val="22"/>
        </w:rPr>
        <w:t xml:space="preserve">(22). </w:t>
      </w:r>
      <w:r w:rsidR="008E27EC" w:rsidRPr="0033639F">
        <w:rPr>
          <w:rFonts w:ascii="Arial" w:hAnsi="Arial" w:cs="Arial"/>
          <w:sz w:val="22"/>
          <w:szCs w:val="22"/>
        </w:rPr>
        <w:t xml:space="preserve">However, </w:t>
      </w:r>
      <w:r w:rsidRPr="0033639F">
        <w:rPr>
          <w:rFonts w:ascii="Arial" w:hAnsi="Arial" w:cs="Arial"/>
          <w:i/>
          <w:iCs/>
          <w:sz w:val="22"/>
          <w:szCs w:val="22"/>
        </w:rPr>
        <w:t>PROP1</w:t>
      </w:r>
      <w:r w:rsidRPr="0033639F">
        <w:rPr>
          <w:rFonts w:ascii="Arial" w:hAnsi="Arial" w:cs="Arial"/>
          <w:sz w:val="22"/>
          <w:szCs w:val="22"/>
        </w:rPr>
        <w:t xml:space="preserve"> mutants exhibit normal cell proliferation and cell survival but show evidence of defective dorsal-ventral patterning</w:t>
      </w:r>
      <w:r w:rsidR="00360562" w:rsidRPr="0033639F">
        <w:rPr>
          <w:rFonts w:ascii="Arial" w:hAnsi="Arial" w:cs="Arial"/>
          <w:sz w:val="22"/>
          <w:szCs w:val="22"/>
        </w:rPr>
        <w:t xml:space="preserve"> </w:t>
      </w:r>
      <w:r w:rsidR="00360562" w:rsidRPr="0033639F">
        <w:rPr>
          <w:rFonts w:ascii="Arial" w:hAnsi="Arial" w:cs="Arial"/>
          <w:noProof/>
          <w:sz w:val="22"/>
          <w:szCs w:val="22"/>
        </w:rPr>
        <w:t>(</w:t>
      </w:r>
      <w:r w:rsidR="003543C9" w:rsidRPr="0033639F">
        <w:rPr>
          <w:rFonts w:ascii="Arial" w:hAnsi="Arial" w:cs="Arial"/>
          <w:noProof/>
          <w:sz w:val="22"/>
          <w:szCs w:val="22"/>
        </w:rPr>
        <w:t>22</w:t>
      </w:r>
      <w:r w:rsidR="00360562" w:rsidRPr="0033639F">
        <w:rPr>
          <w:rFonts w:ascii="Arial" w:hAnsi="Arial" w:cs="Arial"/>
          <w:noProof/>
          <w:sz w:val="22"/>
          <w:szCs w:val="22"/>
        </w:rPr>
        <w:t>)</w:t>
      </w:r>
      <w:r w:rsidRPr="0033639F">
        <w:rPr>
          <w:rFonts w:ascii="Arial" w:hAnsi="Arial" w:cs="Arial"/>
          <w:sz w:val="22"/>
          <w:szCs w:val="22"/>
        </w:rPr>
        <w:t xml:space="preserve">. In the absence of </w:t>
      </w:r>
      <w:r w:rsidR="000E50BF" w:rsidRPr="0033639F">
        <w:rPr>
          <w:rFonts w:ascii="Arial" w:hAnsi="Arial" w:cs="Arial"/>
          <w:sz w:val="22"/>
          <w:szCs w:val="22"/>
        </w:rPr>
        <w:t>both</w:t>
      </w:r>
      <w:r w:rsidRPr="0033639F">
        <w:rPr>
          <w:rFonts w:ascii="Arial" w:hAnsi="Arial" w:cs="Arial"/>
          <w:i/>
          <w:iCs/>
          <w:sz w:val="22"/>
          <w:szCs w:val="22"/>
        </w:rPr>
        <w:t xml:space="preserve"> </w:t>
      </w:r>
      <w:r w:rsidR="008E27EC" w:rsidRPr="0033639F">
        <w:rPr>
          <w:rFonts w:ascii="Arial" w:hAnsi="Arial" w:cs="Arial"/>
          <w:i/>
          <w:iCs/>
          <w:sz w:val="22"/>
          <w:szCs w:val="22"/>
        </w:rPr>
        <w:t>LHX4</w:t>
      </w:r>
      <w:r w:rsidR="008E27EC" w:rsidRPr="0033639F">
        <w:rPr>
          <w:rFonts w:ascii="Arial" w:hAnsi="Arial" w:cs="Arial"/>
          <w:sz w:val="22"/>
          <w:szCs w:val="22"/>
        </w:rPr>
        <w:t xml:space="preserve"> and </w:t>
      </w:r>
      <w:r w:rsidR="008E27EC" w:rsidRPr="0033639F">
        <w:rPr>
          <w:rFonts w:ascii="Arial" w:hAnsi="Arial" w:cs="Arial"/>
          <w:i/>
          <w:iCs/>
          <w:sz w:val="22"/>
          <w:szCs w:val="22"/>
        </w:rPr>
        <w:t>LHX3</w:t>
      </w:r>
      <w:r w:rsidR="008E27EC" w:rsidRPr="0033639F">
        <w:rPr>
          <w:rFonts w:ascii="Arial" w:hAnsi="Arial" w:cs="Arial"/>
          <w:sz w:val="22"/>
          <w:szCs w:val="22"/>
        </w:rPr>
        <w:t xml:space="preserve"> </w:t>
      </w:r>
      <w:r w:rsidRPr="0033639F">
        <w:rPr>
          <w:rFonts w:ascii="Arial" w:hAnsi="Arial" w:cs="Arial"/>
          <w:sz w:val="22"/>
          <w:szCs w:val="22"/>
        </w:rPr>
        <w:t xml:space="preserve">genes, no specification of corticotropes, gonadotropes or thyrotropes occurs in the anterior lobe. Although both </w:t>
      </w:r>
      <w:r w:rsidRPr="0033639F">
        <w:rPr>
          <w:rFonts w:ascii="Arial" w:hAnsi="Arial" w:cs="Arial"/>
          <w:i/>
          <w:iCs/>
          <w:sz w:val="22"/>
          <w:szCs w:val="22"/>
        </w:rPr>
        <w:t>LHX3</w:t>
      </w:r>
      <w:r w:rsidRPr="0033639F">
        <w:rPr>
          <w:rFonts w:ascii="Arial" w:hAnsi="Arial" w:cs="Arial"/>
          <w:sz w:val="22"/>
          <w:szCs w:val="22"/>
        </w:rPr>
        <w:t xml:space="preserve"> and </w:t>
      </w:r>
      <w:r w:rsidRPr="0033639F">
        <w:rPr>
          <w:rFonts w:ascii="Arial" w:hAnsi="Arial" w:cs="Arial"/>
          <w:i/>
          <w:iCs/>
          <w:sz w:val="22"/>
          <w:szCs w:val="22"/>
        </w:rPr>
        <w:t>LHX4</w:t>
      </w:r>
      <w:r w:rsidRPr="0033639F">
        <w:rPr>
          <w:rFonts w:ascii="Arial" w:hAnsi="Arial" w:cs="Arial"/>
          <w:sz w:val="22"/>
          <w:szCs w:val="22"/>
        </w:rPr>
        <w:t xml:space="preserve"> are crucial for the development of pituitary gland, </w:t>
      </w:r>
      <w:r w:rsidRPr="0033639F">
        <w:rPr>
          <w:rFonts w:ascii="Arial" w:hAnsi="Arial" w:cs="Arial"/>
          <w:i/>
          <w:iCs/>
          <w:sz w:val="22"/>
          <w:szCs w:val="22"/>
        </w:rPr>
        <w:t>LHX3</w:t>
      </w:r>
      <w:r w:rsidRPr="0033639F">
        <w:rPr>
          <w:rFonts w:ascii="Arial" w:hAnsi="Arial" w:cs="Arial"/>
          <w:sz w:val="22"/>
          <w:szCs w:val="22"/>
        </w:rPr>
        <w:t xml:space="preserve"> is expressed at all stages studied, whereas </w:t>
      </w:r>
      <w:r w:rsidRPr="0033639F">
        <w:rPr>
          <w:rFonts w:ascii="Arial" w:hAnsi="Arial" w:cs="Arial"/>
          <w:i/>
          <w:iCs/>
          <w:sz w:val="22"/>
          <w:szCs w:val="22"/>
        </w:rPr>
        <w:t>LHX4</w:t>
      </w:r>
      <w:r w:rsidRPr="0033639F">
        <w:rPr>
          <w:rFonts w:ascii="Arial" w:hAnsi="Arial" w:cs="Arial"/>
          <w:sz w:val="22"/>
          <w:szCs w:val="22"/>
        </w:rPr>
        <w:t xml:space="preserve"> expression is transient at 6 weeks of development</w:t>
      </w:r>
      <w:r w:rsidR="00360562" w:rsidRPr="0033639F">
        <w:rPr>
          <w:rFonts w:ascii="Arial" w:hAnsi="Arial" w:cs="Arial"/>
          <w:sz w:val="22"/>
          <w:szCs w:val="22"/>
        </w:rPr>
        <w:t xml:space="preserve"> </w:t>
      </w:r>
      <w:r w:rsidR="00360562" w:rsidRPr="0033639F">
        <w:rPr>
          <w:rFonts w:ascii="Arial" w:hAnsi="Arial" w:cs="Arial"/>
          <w:noProof/>
          <w:sz w:val="22"/>
          <w:szCs w:val="22"/>
        </w:rPr>
        <w:t>(</w:t>
      </w:r>
      <w:r w:rsidR="003543C9" w:rsidRPr="0033639F">
        <w:rPr>
          <w:rFonts w:ascii="Arial" w:hAnsi="Arial" w:cs="Arial"/>
          <w:noProof/>
          <w:sz w:val="22"/>
          <w:szCs w:val="22"/>
        </w:rPr>
        <w:t>24</w:t>
      </w:r>
      <w:r w:rsidR="00360562" w:rsidRPr="0033639F">
        <w:rPr>
          <w:rFonts w:ascii="Arial" w:hAnsi="Arial" w:cs="Arial"/>
          <w:noProof/>
          <w:sz w:val="22"/>
          <w:szCs w:val="22"/>
        </w:rPr>
        <w:t>)</w:t>
      </w:r>
      <w:r w:rsidRPr="0033639F">
        <w:rPr>
          <w:rFonts w:ascii="Arial" w:hAnsi="Arial" w:cs="Arial"/>
          <w:sz w:val="22"/>
          <w:szCs w:val="22"/>
        </w:rPr>
        <w:t xml:space="preserve">. </w:t>
      </w:r>
      <w:r w:rsidRPr="0033639F">
        <w:rPr>
          <w:rFonts w:ascii="Arial" w:hAnsi="Arial" w:cs="Arial"/>
          <w:i/>
          <w:iCs/>
          <w:sz w:val="22"/>
          <w:szCs w:val="22"/>
        </w:rPr>
        <w:t>LHX4</w:t>
      </w:r>
      <w:r w:rsidRPr="0033639F">
        <w:rPr>
          <w:rFonts w:ascii="Arial" w:hAnsi="Arial" w:cs="Arial"/>
          <w:sz w:val="22"/>
          <w:szCs w:val="22"/>
        </w:rPr>
        <w:t xml:space="preserve"> is located on 1q25 and comprises 6 exons spread over a 45 kb genomic region (Figure </w:t>
      </w:r>
      <w:r w:rsidR="004A356B" w:rsidRPr="0033639F">
        <w:rPr>
          <w:rFonts w:ascii="Arial" w:hAnsi="Arial" w:cs="Arial"/>
          <w:sz w:val="22"/>
          <w:szCs w:val="22"/>
        </w:rPr>
        <w:t>3</w:t>
      </w:r>
      <w:r w:rsidRPr="0033639F">
        <w:rPr>
          <w:rFonts w:ascii="Arial" w:hAnsi="Arial" w:cs="Arial"/>
          <w:sz w:val="22"/>
          <w:szCs w:val="22"/>
        </w:rPr>
        <w:t>). An intronic splice site mutation has been described in one family, manifesting GH, TSH and ACTH deficiency, along with cerebellar and skull defects. The mutation is transmitted as an autosomal dominant condition, with complete penetrance. Interestingly, a heterozygous mutant mouse model had no discernable phenotype, while homozygous loss of function in the mouse was fatal</w:t>
      </w:r>
      <w:r w:rsidR="00360562" w:rsidRPr="0033639F">
        <w:rPr>
          <w:rFonts w:ascii="Arial" w:hAnsi="Arial" w:cs="Arial"/>
          <w:sz w:val="22"/>
          <w:szCs w:val="22"/>
        </w:rPr>
        <w:t xml:space="preserve"> </w:t>
      </w:r>
      <w:r w:rsidR="00360562" w:rsidRPr="0033639F">
        <w:rPr>
          <w:rFonts w:ascii="Arial" w:hAnsi="Arial" w:cs="Arial"/>
          <w:noProof/>
          <w:sz w:val="22"/>
          <w:szCs w:val="22"/>
        </w:rPr>
        <w:t>(</w:t>
      </w:r>
      <w:r w:rsidR="003543C9" w:rsidRPr="0033639F">
        <w:rPr>
          <w:rFonts w:ascii="Arial" w:hAnsi="Arial" w:cs="Arial"/>
          <w:noProof/>
          <w:sz w:val="22"/>
          <w:szCs w:val="22"/>
        </w:rPr>
        <w:t>25</w:t>
      </w:r>
      <w:r w:rsidR="00360562" w:rsidRPr="0033639F">
        <w:rPr>
          <w:rFonts w:ascii="Arial" w:hAnsi="Arial" w:cs="Arial"/>
          <w:noProof/>
          <w:sz w:val="22"/>
          <w:szCs w:val="22"/>
        </w:rPr>
        <w:t>)</w:t>
      </w:r>
      <w:r w:rsidRPr="0033639F">
        <w:rPr>
          <w:rFonts w:ascii="Arial" w:hAnsi="Arial" w:cs="Arial"/>
          <w:sz w:val="22"/>
          <w:szCs w:val="22"/>
        </w:rPr>
        <w:t xml:space="preserve">. </w:t>
      </w:r>
    </w:p>
    <w:p w14:paraId="2B21F56F" w14:textId="77777777" w:rsidR="00157551" w:rsidRDefault="00157551" w:rsidP="0033639F">
      <w:pPr>
        <w:spacing w:line="276" w:lineRule="auto"/>
        <w:rPr>
          <w:rFonts w:ascii="Arial" w:hAnsi="Arial" w:cs="Arial"/>
          <w:b/>
          <w:bCs/>
          <w:sz w:val="22"/>
          <w:szCs w:val="22"/>
        </w:rPr>
      </w:pPr>
      <w:bookmarkStart w:id="5" w:name="id2505244"/>
      <w:bookmarkEnd w:id="5"/>
    </w:p>
    <w:p w14:paraId="5D2C9593" w14:textId="022ED2E3" w:rsidR="00DF555B" w:rsidRDefault="00DF555B" w:rsidP="0033639F">
      <w:pPr>
        <w:spacing w:line="276" w:lineRule="auto"/>
        <w:rPr>
          <w:rFonts w:ascii="Arial" w:hAnsi="Arial" w:cs="Arial"/>
          <w:b/>
          <w:bCs/>
          <w:sz w:val="22"/>
          <w:szCs w:val="22"/>
        </w:rPr>
      </w:pPr>
      <w:r>
        <w:rPr>
          <w:rFonts w:ascii="Arial" w:hAnsi="Arial" w:cs="Arial"/>
          <w:b/>
          <w:bCs/>
          <w:noProof/>
          <w:sz w:val="22"/>
          <w:szCs w:val="22"/>
        </w:rPr>
        <w:lastRenderedPageBreak/>
        <w:drawing>
          <wp:inline distT="0" distB="0" distL="0" distR="0" wp14:anchorId="63829B2A" wp14:editId="22B74C88">
            <wp:extent cx="6126937" cy="3635606"/>
            <wp:effectExtent l="0" t="0" r="7620" b="3175"/>
            <wp:docPr id="792604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421" cy="3643014"/>
                    </a:xfrm>
                    <a:prstGeom prst="rect">
                      <a:avLst/>
                    </a:prstGeom>
                    <a:noFill/>
                  </pic:spPr>
                </pic:pic>
              </a:graphicData>
            </a:graphic>
          </wp:inline>
        </w:drawing>
      </w:r>
    </w:p>
    <w:p w14:paraId="010FD96A" w14:textId="78AD4733" w:rsidR="00BA5B89" w:rsidRPr="008465CA" w:rsidRDefault="001541B2" w:rsidP="0033639F">
      <w:pPr>
        <w:spacing w:line="276" w:lineRule="auto"/>
        <w:rPr>
          <w:rFonts w:ascii="Arial" w:hAnsi="Arial" w:cs="Arial"/>
          <w:b/>
          <w:bCs/>
          <w:sz w:val="22"/>
          <w:szCs w:val="22"/>
        </w:rPr>
      </w:pPr>
      <w:r w:rsidRPr="008465CA">
        <w:rPr>
          <w:rFonts w:ascii="Arial" w:hAnsi="Arial" w:cs="Arial"/>
          <w:b/>
          <w:bCs/>
          <w:sz w:val="22"/>
          <w:szCs w:val="22"/>
        </w:rPr>
        <w:t>Figure 3. The LHX4 Gene</w:t>
      </w:r>
      <w:r w:rsidR="001D365B">
        <w:rPr>
          <w:rFonts w:ascii="Arial" w:hAnsi="Arial" w:cs="Arial"/>
          <w:b/>
          <w:bCs/>
          <w:sz w:val="22"/>
          <w:szCs w:val="22"/>
        </w:rPr>
        <w:t>.</w:t>
      </w:r>
    </w:p>
    <w:p w14:paraId="22113A75" w14:textId="77777777" w:rsidR="00BA5B89" w:rsidRDefault="00BA5B89" w:rsidP="0033639F">
      <w:pPr>
        <w:spacing w:line="276" w:lineRule="auto"/>
        <w:rPr>
          <w:rFonts w:ascii="Arial" w:hAnsi="Arial" w:cs="Arial"/>
          <w:b/>
          <w:bCs/>
          <w:i/>
          <w:iCs/>
          <w:sz w:val="22"/>
          <w:szCs w:val="22"/>
        </w:rPr>
      </w:pPr>
    </w:p>
    <w:p w14:paraId="2298A792" w14:textId="5814691C" w:rsidR="00803B01" w:rsidRPr="008465CA" w:rsidRDefault="00803B01" w:rsidP="0033639F">
      <w:pPr>
        <w:spacing w:line="276" w:lineRule="auto"/>
        <w:rPr>
          <w:rFonts w:ascii="Arial" w:hAnsi="Arial" w:cs="Arial"/>
          <w:b/>
          <w:bCs/>
          <w:color w:val="00B050"/>
          <w:sz w:val="22"/>
          <w:szCs w:val="22"/>
        </w:rPr>
      </w:pPr>
      <w:r w:rsidRPr="008465CA">
        <w:rPr>
          <w:rFonts w:ascii="Arial" w:hAnsi="Arial" w:cs="Arial"/>
          <w:b/>
          <w:bCs/>
          <w:color w:val="00B050"/>
          <w:sz w:val="22"/>
          <w:szCs w:val="22"/>
        </w:rPr>
        <w:t>HESX1</w:t>
      </w:r>
    </w:p>
    <w:p w14:paraId="261BB3C0" w14:textId="77777777" w:rsidR="008465CA" w:rsidRDefault="008465CA" w:rsidP="0033639F">
      <w:pPr>
        <w:spacing w:line="276" w:lineRule="auto"/>
        <w:rPr>
          <w:rFonts w:ascii="Arial" w:hAnsi="Arial" w:cs="Arial"/>
          <w:i/>
          <w:iCs/>
          <w:sz w:val="22"/>
          <w:szCs w:val="22"/>
        </w:rPr>
      </w:pPr>
    </w:p>
    <w:p w14:paraId="55614402" w14:textId="2B9F2D9C" w:rsidR="00803B01" w:rsidRPr="0033639F" w:rsidRDefault="00803B01" w:rsidP="0033639F">
      <w:pPr>
        <w:spacing w:line="276" w:lineRule="auto"/>
        <w:rPr>
          <w:rFonts w:ascii="Arial" w:hAnsi="Arial" w:cs="Arial"/>
          <w:sz w:val="22"/>
          <w:szCs w:val="22"/>
        </w:rPr>
      </w:pPr>
      <w:r w:rsidRPr="0033639F">
        <w:rPr>
          <w:rFonts w:ascii="Arial" w:hAnsi="Arial" w:cs="Arial"/>
          <w:i/>
          <w:iCs/>
          <w:sz w:val="22"/>
          <w:szCs w:val="22"/>
        </w:rPr>
        <w:t>HESX1</w:t>
      </w:r>
      <w:r w:rsidRPr="0033639F">
        <w:rPr>
          <w:rFonts w:ascii="Arial" w:hAnsi="Arial" w:cs="Arial"/>
          <w:sz w:val="22"/>
          <w:szCs w:val="22"/>
        </w:rPr>
        <w:t xml:space="preserve"> (HomeoboX gene expressed in Embryonic Stem cells), also referred to as RPX1 (Rathke's Pouch HomeoboX) is necessary for the development of the anterior pituitary. RPX1 comprises 4 exons and encodes a protein of 185 amino acids that features both a homeodomain as well as a repressor domain and is located on chromosome 3p21.2 (Figure </w:t>
      </w:r>
      <w:r w:rsidR="009B7F21" w:rsidRPr="0033639F">
        <w:rPr>
          <w:rFonts w:ascii="Arial" w:hAnsi="Arial" w:cs="Arial"/>
          <w:sz w:val="22"/>
          <w:szCs w:val="22"/>
        </w:rPr>
        <w:t>4</w:t>
      </w:r>
      <w:r w:rsidRPr="0033639F">
        <w:rPr>
          <w:rFonts w:ascii="Arial" w:hAnsi="Arial" w:cs="Arial"/>
          <w:sz w:val="22"/>
          <w:szCs w:val="22"/>
        </w:rPr>
        <w:t xml:space="preserve">). The extinguishing of </w:t>
      </w:r>
      <w:r w:rsidRPr="0033639F">
        <w:rPr>
          <w:rFonts w:ascii="Arial" w:hAnsi="Arial" w:cs="Arial"/>
          <w:i/>
          <w:iCs/>
          <w:sz w:val="22"/>
          <w:szCs w:val="22"/>
        </w:rPr>
        <w:t>HESX1</w:t>
      </w:r>
      <w:r w:rsidRPr="0033639F">
        <w:rPr>
          <w:rFonts w:ascii="Arial" w:hAnsi="Arial" w:cs="Arial"/>
          <w:sz w:val="22"/>
          <w:szCs w:val="22"/>
        </w:rPr>
        <w:t xml:space="preserve"> requires the appearance of another pituitary transcription factor, </w:t>
      </w:r>
      <w:r w:rsidRPr="0033639F">
        <w:rPr>
          <w:rFonts w:ascii="Arial" w:hAnsi="Arial" w:cs="Arial"/>
          <w:i/>
          <w:iCs/>
          <w:sz w:val="22"/>
          <w:szCs w:val="22"/>
        </w:rPr>
        <w:t>PROP1</w:t>
      </w:r>
      <w:r w:rsidRPr="0033639F">
        <w:rPr>
          <w:rFonts w:ascii="Arial" w:hAnsi="Arial" w:cs="Arial"/>
          <w:sz w:val="22"/>
          <w:szCs w:val="22"/>
        </w:rPr>
        <w:t>. A mutation has been described in two children of a consanguineous union who had optic nerve hypoplasia, agenesis of the corpus callosum and panhypopituitarism, with an apparent autosomal recessive mode of inheritance</w:t>
      </w:r>
      <w:r w:rsidRPr="0033639F">
        <w:rPr>
          <w:rFonts w:ascii="Arial" w:hAnsi="Arial" w:cs="Arial"/>
          <w:noProof/>
          <w:sz w:val="22"/>
          <w:szCs w:val="22"/>
        </w:rPr>
        <w:t xml:space="preserve"> </w:t>
      </w:r>
      <w:r w:rsidR="00360562" w:rsidRPr="0033639F">
        <w:rPr>
          <w:rFonts w:ascii="Arial" w:hAnsi="Arial" w:cs="Arial"/>
          <w:noProof/>
          <w:sz w:val="22"/>
          <w:szCs w:val="22"/>
        </w:rPr>
        <w:t>(</w:t>
      </w:r>
      <w:r w:rsidR="00B05860" w:rsidRPr="0033639F">
        <w:rPr>
          <w:rFonts w:ascii="Arial" w:hAnsi="Arial" w:cs="Arial"/>
          <w:noProof/>
          <w:sz w:val="22"/>
          <w:szCs w:val="22"/>
        </w:rPr>
        <w:t>26</w:t>
      </w:r>
      <w:r w:rsidR="00360562" w:rsidRPr="0033639F">
        <w:rPr>
          <w:rFonts w:ascii="Arial" w:hAnsi="Arial" w:cs="Arial"/>
          <w:noProof/>
          <w:sz w:val="22"/>
          <w:szCs w:val="22"/>
        </w:rPr>
        <w:t>)</w:t>
      </w:r>
      <w:r w:rsidRPr="0033639F">
        <w:rPr>
          <w:rFonts w:ascii="Arial" w:hAnsi="Arial" w:cs="Arial"/>
          <w:sz w:val="22"/>
          <w:szCs w:val="22"/>
        </w:rPr>
        <w:t>.  This Arg → Cys mutation lies between the repressor and homeodomains</w:t>
      </w:r>
      <w:r w:rsidR="00216C26" w:rsidRPr="0033639F">
        <w:rPr>
          <w:rFonts w:ascii="Arial" w:hAnsi="Arial" w:cs="Arial"/>
          <w:sz w:val="22"/>
          <w:szCs w:val="22"/>
        </w:rPr>
        <w:t>,</w:t>
      </w:r>
      <w:r w:rsidRPr="0033639F">
        <w:rPr>
          <w:rFonts w:ascii="Arial" w:hAnsi="Arial" w:cs="Arial"/>
          <w:sz w:val="22"/>
          <w:szCs w:val="22"/>
        </w:rPr>
        <w:t xml:space="preserve"> but the mutant protein was shown in vitro to be unable to bind to its cognate sequences. A novel homozygous missense mutation (126T) of the critical engrailed homology repressor domain (eh1) of </w:t>
      </w:r>
      <w:r w:rsidRPr="0033639F">
        <w:rPr>
          <w:rFonts w:ascii="Arial" w:hAnsi="Arial" w:cs="Arial"/>
          <w:i/>
          <w:iCs/>
          <w:sz w:val="22"/>
          <w:szCs w:val="22"/>
        </w:rPr>
        <w:t>HESX1</w:t>
      </w:r>
      <w:r w:rsidRPr="0033639F">
        <w:rPr>
          <w:rFonts w:ascii="Arial" w:hAnsi="Arial" w:cs="Arial"/>
          <w:sz w:val="22"/>
          <w:szCs w:val="22"/>
        </w:rPr>
        <w:t xml:space="preserve"> was described in a girl born to consanguineous parents</w:t>
      </w:r>
      <w:r w:rsidR="00360562" w:rsidRPr="0033639F">
        <w:rPr>
          <w:rFonts w:ascii="Arial" w:hAnsi="Arial" w:cs="Arial"/>
          <w:sz w:val="22"/>
          <w:szCs w:val="22"/>
        </w:rPr>
        <w:t xml:space="preserve"> </w:t>
      </w:r>
      <w:r w:rsidR="00360562" w:rsidRPr="0033639F">
        <w:rPr>
          <w:rFonts w:ascii="Arial" w:hAnsi="Arial" w:cs="Arial"/>
          <w:noProof/>
          <w:sz w:val="22"/>
          <w:szCs w:val="22"/>
        </w:rPr>
        <w:t>(</w:t>
      </w:r>
      <w:r w:rsidR="00B05860" w:rsidRPr="0033639F">
        <w:rPr>
          <w:rFonts w:ascii="Arial" w:hAnsi="Arial" w:cs="Arial"/>
          <w:noProof/>
          <w:sz w:val="22"/>
          <w:szCs w:val="22"/>
        </w:rPr>
        <w:t>27</w:t>
      </w:r>
      <w:r w:rsidR="00360562" w:rsidRPr="0033639F">
        <w:rPr>
          <w:rFonts w:ascii="Arial" w:hAnsi="Arial" w:cs="Arial"/>
          <w:noProof/>
          <w:sz w:val="22"/>
          <w:szCs w:val="22"/>
        </w:rPr>
        <w:t>)</w:t>
      </w:r>
      <w:r w:rsidRPr="0033639F">
        <w:rPr>
          <w:rFonts w:ascii="Arial" w:hAnsi="Arial" w:cs="Arial"/>
          <w:sz w:val="22"/>
          <w:szCs w:val="22"/>
        </w:rPr>
        <w:t xml:space="preserve">. Neuroimaging revealed a thin pituitary stalk with anterior pituitary hypoplasia and an ectopic posterior pituitary. Unlike previous cases, she did not have midline or optic nerve abnormalities. Although 126T mutation did not affect the DNA-binding ability of </w:t>
      </w:r>
      <w:r w:rsidRPr="0033639F">
        <w:rPr>
          <w:rFonts w:ascii="Arial" w:hAnsi="Arial" w:cs="Arial"/>
          <w:i/>
          <w:iCs/>
          <w:sz w:val="22"/>
          <w:szCs w:val="22"/>
        </w:rPr>
        <w:t>HESX1</w:t>
      </w:r>
      <w:r w:rsidRPr="0033639F">
        <w:rPr>
          <w:rFonts w:ascii="Arial" w:hAnsi="Arial" w:cs="Arial"/>
          <w:sz w:val="22"/>
          <w:szCs w:val="22"/>
        </w:rPr>
        <w:t xml:space="preserve">, it impaired ability of </w:t>
      </w:r>
      <w:r w:rsidRPr="0033639F">
        <w:rPr>
          <w:rFonts w:ascii="Arial" w:hAnsi="Arial" w:cs="Arial"/>
          <w:i/>
          <w:iCs/>
          <w:sz w:val="22"/>
          <w:szCs w:val="22"/>
        </w:rPr>
        <w:t>HESX1</w:t>
      </w:r>
      <w:r w:rsidRPr="0033639F">
        <w:rPr>
          <w:rFonts w:ascii="Arial" w:hAnsi="Arial" w:cs="Arial"/>
          <w:sz w:val="22"/>
          <w:szCs w:val="22"/>
        </w:rPr>
        <w:t xml:space="preserve"> to recruit Groucho-related corepressor, thereby leading to partial loss of repression. It appears that </w:t>
      </w:r>
      <w:r w:rsidRPr="0033639F">
        <w:rPr>
          <w:rFonts w:ascii="Arial" w:hAnsi="Arial" w:cs="Arial"/>
          <w:i/>
          <w:sz w:val="22"/>
          <w:szCs w:val="22"/>
        </w:rPr>
        <w:t xml:space="preserve">HESX1 </w:t>
      </w:r>
      <w:r w:rsidRPr="0033639F">
        <w:rPr>
          <w:rFonts w:ascii="Arial" w:hAnsi="Arial" w:cs="Arial"/>
          <w:sz w:val="22"/>
          <w:szCs w:val="22"/>
        </w:rPr>
        <w:t xml:space="preserve">mutations exhibit </w:t>
      </w:r>
      <w:r w:rsidR="000E50BF" w:rsidRPr="0033639F">
        <w:rPr>
          <w:rFonts w:ascii="Arial" w:hAnsi="Arial" w:cs="Arial"/>
          <w:sz w:val="22"/>
          <w:szCs w:val="22"/>
        </w:rPr>
        <w:t>a variety</w:t>
      </w:r>
      <w:r w:rsidRPr="0033639F">
        <w:rPr>
          <w:rFonts w:ascii="Arial" w:hAnsi="Arial" w:cs="Arial"/>
          <w:sz w:val="22"/>
          <w:szCs w:val="22"/>
        </w:rPr>
        <w:t xml:space="preserve"> of clinical phenotypes with no clear genotype-phenotype correlation.</w:t>
      </w:r>
      <w:r w:rsidRPr="0033639F">
        <w:rPr>
          <w:rFonts w:ascii="Arial" w:hAnsi="Arial" w:cs="Arial"/>
          <w:i/>
          <w:sz w:val="22"/>
          <w:szCs w:val="22"/>
        </w:rPr>
        <w:t xml:space="preserve"> </w:t>
      </w:r>
      <w:r w:rsidRPr="0033639F">
        <w:rPr>
          <w:rFonts w:ascii="Arial" w:hAnsi="Arial" w:cs="Arial"/>
          <w:sz w:val="22"/>
          <w:szCs w:val="22"/>
        </w:rPr>
        <w:t xml:space="preserve"> </w:t>
      </w:r>
    </w:p>
    <w:p w14:paraId="0DE338A8" w14:textId="77777777" w:rsidR="008465CA" w:rsidRDefault="008465CA" w:rsidP="0033639F">
      <w:pPr>
        <w:spacing w:line="276" w:lineRule="auto"/>
        <w:rPr>
          <w:rFonts w:ascii="Arial" w:hAnsi="Arial" w:cs="Arial"/>
          <w:sz w:val="22"/>
          <w:szCs w:val="22"/>
        </w:rPr>
      </w:pPr>
    </w:p>
    <w:p w14:paraId="0F7AF4DE" w14:textId="0FCB8613" w:rsidR="00803B01" w:rsidRDefault="00803B01" w:rsidP="0033639F">
      <w:pPr>
        <w:spacing w:line="276" w:lineRule="auto"/>
        <w:rPr>
          <w:rFonts w:ascii="Arial" w:hAnsi="Arial" w:cs="Arial"/>
          <w:sz w:val="22"/>
          <w:szCs w:val="22"/>
        </w:rPr>
      </w:pPr>
      <w:r w:rsidRPr="0033639F">
        <w:rPr>
          <w:rFonts w:ascii="Arial" w:hAnsi="Arial" w:cs="Arial"/>
          <w:sz w:val="22"/>
          <w:szCs w:val="22"/>
        </w:rPr>
        <w:lastRenderedPageBreak/>
        <w:t xml:space="preserve">Tantalizingly, additional nucleotide variants have been described in individuals with isolated GH deficiency, although it is not convincingly clear that these polymorphisms are </w:t>
      </w:r>
      <w:r w:rsidR="00305C0D" w:rsidRPr="0033639F">
        <w:rPr>
          <w:rFonts w:ascii="Arial" w:hAnsi="Arial" w:cs="Arial"/>
          <w:sz w:val="22"/>
          <w:szCs w:val="22"/>
        </w:rPr>
        <w:t>pathogenic</w:t>
      </w:r>
      <w:r w:rsidR="00360562" w:rsidRPr="0033639F">
        <w:rPr>
          <w:rFonts w:ascii="Arial" w:hAnsi="Arial" w:cs="Arial"/>
          <w:sz w:val="22"/>
          <w:szCs w:val="22"/>
        </w:rPr>
        <w:t xml:space="preserve"> </w:t>
      </w:r>
      <w:r w:rsidR="00360562" w:rsidRPr="0033639F">
        <w:rPr>
          <w:rFonts w:ascii="Arial" w:hAnsi="Arial" w:cs="Arial"/>
          <w:noProof/>
          <w:sz w:val="22"/>
          <w:szCs w:val="22"/>
        </w:rPr>
        <w:t>(2</w:t>
      </w:r>
      <w:r w:rsidR="00B05860" w:rsidRPr="0033639F">
        <w:rPr>
          <w:rFonts w:ascii="Arial" w:hAnsi="Arial" w:cs="Arial"/>
          <w:noProof/>
          <w:sz w:val="22"/>
          <w:szCs w:val="22"/>
        </w:rPr>
        <w:t>8</w:t>
      </w:r>
      <w:r w:rsidR="00360562" w:rsidRPr="0033639F">
        <w:rPr>
          <w:rFonts w:ascii="Arial" w:hAnsi="Arial" w:cs="Arial"/>
          <w:noProof/>
          <w:sz w:val="22"/>
          <w:szCs w:val="22"/>
        </w:rPr>
        <w:t>,2</w:t>
      </w:r>
      <w:r w:rsidR="00B05860" w:rsidRPr="0033639F">
        <w:rPr>
          <w:rFonts w:ascii="Arial" w:hAnsi="Arial" w:cs="Arial"/>
          <w:noProof/>
          <w:sz w:val="22"/>
          <w:szCs w:val="22"/>
        </w:rPr>
        <w:t>9</w:t>
      </w:r>
      <w:r w:rsidR="00360562" w:rsidRPr="0033639F">
        <w:rPr>
          <w:rFonts w:ascii="Arial" w:hAnsi="Arial" w:cs="Arial"/>
          <w:noProof/>
          <w:sz w:val="22"/>
          <w:szCs w:val="22"/>
        </w:rPr>
        <w:t>)</w:t>
      </w:r>
      <w:r w:rsidRPr="0033639F">
        <w:rPr>
          <w:rFonts w:ascii="Arial" w:hAnsi="Arial" w:cs="Arial"/>
          <w:sz w:val="22"/>
          <w:szCs w:val="22"/>
        </w:rPr>
        <w:t xml:space="preserve">. </w:t>
      </w:r>
    </w:p>
    <w:p w14:paraId="2CB52BC9" w14:textId="77777777" w:rsidR="00DF555B" w:rsidRPr="0033639F" w:rsidRDefault="00DF555B" w:rsidP="0033639F">
      <w:pPr>
        <w:spacing w:line="276" w:lineRule="auto"/>
        <w:rPr>
          <w:rFonts w:ascii="Arial" w:hAnsi="Arial" w:cs="Arial"/>
          <w:sz w:val="22"/>
          <w:szCs w:val="22"/>
        </w:rPr>
      </w:pPr>
    </w:p>
    <w:p w14:paraId="3178A816" w14:textId="305421D1" w:rsidR="004D2097" w:rsidRDefault="004D2097" w:rsidP="0013412C">
      <w:bookmarkStart w:id="6" w:name="id2505344"/>
      <w:bookmarkEnd w:id="6"/>
      <w:r>
        <w:rPr>
          <w:noProof/>
        </w:rPr>
        <w:drawing>
          <wp:inline distT="0" distB="0" distL="0" distR="0" wp14:anchorId="5D814270" wp14:editId="493E1795">
            <wp:extent cx="6276442" cy="3040152"/>
            <wp:effectExtent l="0" t="0" r="0" b="8255"/>
            <wp:docPr id="2798190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8905" cy="3046189"/>
                    </a:xfrm>
                    <a:prstGeom prst="rect">
                      <a:avLst/>
                    </a:prstGeom>
                    <a:noFill/>
                  </pic:spPr>
                </pic:pic>
              </a:graphicData>
            </a:graphic>
          </wp:inline>
        </w:drawing>
      </w:r>
    </w:p>
    <w:p w14:paraId="0E5E8568" w14:textId="2A91683D" w:rsidR="00803B01" w:rsidRPr="0013412C" w:rsidRDefault="00C3420E" w:rsidP="0013412C">
      <w:pPr>
        <w:rPr>
          <w:rFonts w:ascii="Arial" w:hAnsi="Arial" w:cs="Arial"/>
          <w:b/>
          <w:bCs/>
          <w:sz w:val="22"/>
          <w:szCs w:val="22"/>
        </w:rPr>
      </w:pPr>
      <w:r w:rsidRPr="0013412C">
        <w:rPr>
          <w:rFonts w:ascii="Arial" w:hAnsi="Arial" w:cs="Arial"/>
          <w:b/>
          <w:bCs/>
          <w:sz w:val="22"/>
          <w:szCs w:val="22"/>
        </w:rPr>
        <w:t>Figure 4. The HESX1 Gene</w:t>
      </w:r>
      <w:r w:rsidR="001D365B" w:rsidRPr="0013412C">
        <w:rPr>
          <w:rFonts w:ascii="Arial" w:hAnsi="Arial" w:cs="Arial"/>
          <w:b/>
          <w:bCs/>
          <w:sz w:val="22"/>
          <w:szCs w:val="22"/>
        </w:rPr>
        <w:t>.</w:t>
      </w:r>
    </w:p>
    <w:p w14:paraId="32C6D3BB" w14:textId="77777777" w:rsidR="004D2097" w:rsidRDefault="004D2097" w:rsidP="0033639F">
      <w:pPr>
        <w:pStyle w:val="title10"/>
        <w:shd w:val="clear" w:color="auto" w:fill="FFFFFF"/>
        <w:spacing w:line="276" w:lineRule="auto"/>
        <w:rPr>
          <w:rFonts w:ascii="Arial" w:hAnsi="Arial" w:cs="Arial"/>
          <w:b/>
          <w:bCs/>
          <w:i/>
          <w:iCs/>
          <w:sz w:val="22"/>
          <w:szCs w:val="22"/>
        </w:rPr>
      </w:pPr>
    </w:p>
    <w:p w14:paraId="5B30A6B2" w14:textId="6E1B9242" w:rsidR="00803B01" w:rsidRPr="004D2097" w:rsidRDefault="00803B01" w:rsidP="004D2097">
      <w:pPr>
        <w:rPr>
          <w:b/>
          <w:bCs/>
          <w:color w:val="00B050"/>
        </w:rPr>
      </w:pPr>
      <w:r w:rsidRPr="004D2097">
        <w:rPr>
          <w:b/>
          <w:bCs/>
          <w:color w:val="00B050"/>
        </w:rPr>
        <w:t>PROP1</w:t>
      </w:r>
    </w:p>
    <w:p w14:paraId="7477D22D" w14:textId="77777777" w:rsidR="00803B01" w:rsidRPr="0033639F" w:rsidRDefault="00803B01" w:rsidP="0033639F">
      <w:pPr>
        <w:pStyle w:val="title10"/>
        <w:shd w:val="clear" w:color="auto" w:fill="FFFFFF"/>
        <w:spacing w:line="276" w:lineRule="auto"/>
        <w:rPr>
          <w:rFonts w:ascii="Arial" w:hAnsi="Arial" w:cs="Arial"/>
          <w:i/>
          <w:iCs/>
          <w:sz w:val="22"/>
          <w:szCs w:val="22"/>
        </w:rPr>
      </w:pPr>
    </w:p>
    <w:p w14:paraId="33C70E8C" w14:textId="0149AE3D" w:rsidR="00803B01" w:rsidRPr="0033639F" w:rsidRDefault="00803B01" w:rsidP="0033639F">
      <w:pPr>
        <w:pStyle w:val="title10"/>
        <w:shd w:val="clear" w:color="auto" w:fill="FFFFFF"/>
        <w:spacing w:line="276" w:lineRule="auto"/>
        <w:rPr>
          <w:rFonts w:ascii="Arial" w:hAnsi="Arial" w:cs="Arial"/>
          <w:sz w:val="22"/>
          <w:szCs w:val="22"/>
          <w:highlight w:val="cyan"/>
        </w:rPr>
      </w:pPr>
      <w:r w:rsidRPr="0033639F">
        <w:rPr>
          <w:rFonts w:ascii="Arial" w:hAnsi="Arial" w:cs="Arial"/>
          <w:i/>
          <w:iCs/>
          <w:sz w:val="22"/>
          <w:szCs w:val="22"/>
        </w:rPr>
        <w:t>PROP1</w:t>
      </w:r>
      <w:r w:rsidRPr="0033639F">
        <w:rPr>
          <w:rFonts w:ascii="Arial" w:hAnsi="Arial" w:cs="Arial"/>
          <w:sz w:val="22"/>
          <w:szCs w:val="22"/>
        </w:rPr>
        <w:t xml:space="preserve"> (the Prophet of PIT-1) encodes a transcription factor required for the development of most pituitary cell lines, including the somatotrope (GH secretion), lactotrope (prolactin (PRL) secretion), thyrotrope (TSH secretion), and the gonadotrope (FSH and LH secretion). Mutation of </w:t>
      </w:r>
      <w:r w:rsidRPr="0033639F">
        <w:rPr>
          <w:rFonts w:ascii="Arial" w:hAnsi="Arial" w:cs="Arial"/>
          <w:i/>
          <w:iCs/>
          <w:sz w:val="22"/>
          <w:szCs w:val="22"/>
        </w:rPr>
        <w:t>PROP1</w:t>
      </w:r>
      <w:r w:rsidRPr="0033639F">
        <w:rPr>
          <w:rFonts w:ascii="Arial" w:hAnsi="Arial" w:cs="Arial"/>
          <w:sz w:val="22"/>
          <w:szCs w:val="22"/>
        </w:rPr>
        <w:t xml:space="preserve">, therefore, results in the deficiency of GH, TSH, PRL, FSH and LH although some individuals with </w:t>
      </w:r>
      <w:r w:rsidRPr="0033639F">
        <w:rPr>
          <w:rFonts w:ascii="Arial" w:hAnsi="Arial" w:cs="Arial"/>
          <w:i/>
          <w:iCs/>
          <w:sz w:val="22"/>
          <w:szCs w:val="22"/>
        </w:rPr>
        <w:t>PROP1</w:t>
      </w:r>
      <w:r w:rsidRPr="0033639F">
        <w:rPr>
          <w:rFonts w:ascii="Arial" w:hAnsi="Arial" w:cs="Arial"/>
          <w:sz w:val="22"/>
          <w:szCs w:val="22"/>
        </w:rPr>
        <w:t xml:space="preserve"> mutations have been described with ACTH deficiency</w:t>
      </w:r>
      <w:r w:rsidR="00360562" w:rsidRPr="0033639F">
        <w:rPr>
          <w:rFonts w:ascii="Arial" w:hAnsi="Arial" w:cs="Arial"/>
          <w:sz w:val="22"/>
          <w:szCs w:val="22"/>
        </w:rPr>
        <w:t xml:space="preserve"> </w:t>
      </w:r>
      <w:r w:rsidR="00360562" w:rsidRPr="0033639F">
        <w:rPr>
          <w:rFonts w:ascii="Arial" w:hAnsi="Arial" w:cs="Arial"/>
          <w:noProof/>
          <w:sz w:val="22"/>
          <w:szCs w:val="22"/>
        </w:rPr>
        <w:t>(</w:t>
      </w:r>
      <w:r w:rsidR="00B05860" w:rsidRPr="0033639F">
        <w:rPr>
          <w:rFonts w:ascii="Arial" w:hAnsi="Arial" w:cs="Arial"/>
          <w:noProof/>
          <w:sz w:val="22"/>
          <w:szCs w:val="22"/>
        </w:rPr>
        <w:t>30</w:t>
      </w:r>
      <w:r w:rsidR="00360562" w:rsidRPr="0033639F">
        <w:rPr>
          <w:rFonts w:ascii="Arial" w:hAnsi="Arial" w:cs="Arial"/>
          <w:noProof/>
          <w:sz w:val="22"/>
          <w:szCs w:val="22"/>
        </w:rPr>
        <w:t>)</w:t>
      </w:r>
      <w:r w:rsidRPr="0033639F">
        <w:rPr>
          <w:rFonts w:ascii="Arial" w:hAnsi="Arial" w:cs="Arial"/>
          <w:sz w:val="22"/>
          <w:szCs w:val="22"/>
        </w:rPr>
        <w:t xml:space="preserve">. Since </w:t>
      </w:r>
      <w:r w:rsidRPr="0033639F">
        <w:rPr>
          <w:rFonts w:ascii="Arial" w:hAnsi="Arial" w:cs="Arial"/>
          <w:i/>
          <w:iCs/>
          <w:sz w:val="22"/>
          <w:szCs w:val="22"/>
        </w:rPr>
        <w:t>PROP1</w:t>
      </w:r>
      <w:r w:rsidRPr="0033639F">
        <w:rPr>
          <w:rFonts w:ascii="Arial" w:hAnsi="Arial" w:cs="Arial"/>
          <w:sz w:val="22"/>
          <w:szCs w:val="22"/>
        </w:rPr>
        <w:t xml:space="preserve"> does not appear to be required for the development of the corticotrope cell line, the etiology of ACTH deficiency is unclear. It appears that the ACTH deficiency here is a consequence of the compensatory pituitary hyperplasia that develops over time. Significantly, the degree of TSH deficiency appears to be quite variable, even within mutation-identical individuals, suggesting that the general phenotype associated with </w:t>
      </w:r>
      <w:r w:rsidRPr="0033639F">
        <w:rPr>
          <w:rFonts w:ascii="Arial" w:hAnsi="Arial" w:cs="Arial"/>
          <w:i/>
          <w:iCs/>
          <w:sz w:val="22"/>
          <w:szCs w:val="22"/>
        </w:rPr>
        <w:t>PROP1</w:t>
      </w:r>
      <w:r w:rsidRPr="0033639F">
        <w:rPr>
          <w:rFonts w:ascii="Arial" w:hAnsi="Arial" w:cs="Arial"/>
          <w:sz w:val="22"/>
          <w:szCs w:val="22"/>
        </w:rPr>
        <w:t xml:space="preserve"> mutations is also quite variable. </w:t>
      </w:r>
      <w:r w:rsidRPr="0033639F">
        <w:rPr>
          <w:rFonts w:ascii="Arial" w:hAnsi="Arial" w:cs="Arial"/>
          <w:i/>
          <w:iCs/>
          <w:sz w:val="22"/>
          <w:szCs w:val="22"/>
        </w:rPr>
        <w:t>PROP1</w:t>
      </w:r>
      <w:r w:rsidRPr="0033639F">
        <w:rPr>
          <w:rFonts w:ascii="Arial" w:hAnsi="Arial" w:cs="Arial"/>
          <w:sz w:val="22"/>
          <w:szCs w:val="22"/>
        </w:rPr>
        <w:t xml:space="preserve"> is encoded by three exons and is located on 5q. Many mutations have been described in </w:t>
      </w:r>
      <w:r w:rsidRPr="0033639F">
        <w:rPr>
          <w:rFonts w:ascii="Arial" w:hAnsi="Arial" w:cs="Arial"/>
          <w:i/>
          <w:iCs/>
          <w:sz w:val="22"/>
          <w:szCs w:val="22"/>
        </w:rPr>
        <w:t>PROP1</w:t>
      </w:r>
      <w:r w:rsidRPr="0033639F">
        <w:rPr>
          <w:rFonts w:ascii="Arial" w:hAnsi="Arial" w:cs="Arial"/>
          <w:sz w:val="22"/>
          <w:szCs w:val="22"/>
        </w:rPr>
        <w:t xml:space="preserve">-all inherited in an autosomal recessive manner. Although several studies suggest that mutation of </w:t>
      </w:r>
      <w:r w:rsidRPr="0033639F">
        <w:rPr>
          <w:rFonts w:ascii="Arial" w:hAnsi="Arial" w:cs="Arial"/>
          <w:i/>
          <w:iCs/>
          <w:sz w:val="22"/>
          <w:szCs w:val="22"/>
        </w:rPr>
        <w:t>PROP1</w:t>
      </w:r>
      <w:r w:rsidRPr="0033639F">
        <w:rPr>
          <w:rFonts w:ascii="Arial" w:hAnsi="Arial" w:cs="Arial"/>
          <w:sz w:val="22"/>
          <w:szCs w:val="22"/>
        </w:rPr>
        <w:t xml:space="preserve"> is the most common cause of familial MPHD, </w:t>
      </w:r>
      <w:r w:rsidR="00F82772" w:rsidRPr="0033639F">
        <w:rPr>
          <w:rFonts w:ascii="Arial" w:hAnsi="Arial" w:cs="Arial"/>
          <w:sz w:val="22"/>
          <w:szCs w:val="22"/>
        </w:rPr>
        <w:t xml:space="preserve">it </w:t>
      </w:r>
      <w:r w:rsidRPr="0033639F">
        <w:rPr>
          <w:rFonts w:ascii="Arial" w:hAnsi="Arial" w:cs="Arial"/>
          <w:sz w:val="22"/>
          <w:szCs w:val="22"/>
        </w:rPr>
        <w:t>is less common in sporadic cases of MPHD</w:t>
      </w:r>
      <w:r w:rsidR="00360562" w:rsidRPr="0033639F">
        <w:rPr>
          <w:rFonts w:ascii="Arial" w:hAnsi="Arial" w:cs="Arial"/>
          <w:sz w:val="22"/>
          <w:szCs w:val="22"/>
        </w:rPr>
        <w:t xml:space="preserve"> </w:t>
      </w:r>
      <w:r w:rsidR="00360562" w:rsidRPr="0033639F">
        <w:rPr>
          <w:rFonts w:ascii="Arial" w:hAnsi="Arial" w:cs="Arial"/>
          <w:noProof/>
          <w:sz w:val="22"/>
          <w:szCs w:val="22"/>
        </w:rPr>
        <w:t>(</w:t>
      </w:r>
      <w:r w:rsidR="00B05860" w:rsidRPr="0033639F">
        <w:rPr>
          <w:rFonts w:ascii="Arial" w:hAnsi="Arial" w:cs="Arial"/>
          <w:noProof/>
          <w:sz w:val="22"/>
          <w:szCs w:val="22"/>
        </w:rPr>
        <w:t>14</w:t>
      </w:r>
      <w:r w:rsidR="00360562" w:rsidRPr="0033639F">
        <w:rPr>
          <w:rFonts w:ascii="Arial" w:hAnsi="Arial" w:cs="Arial"/>
          <w:noProof/>
          <w:sz w:val="22"/>
          <w:szCs w:val="22"/>
        </w:rPr>
        <w:t>,</w:t>
      </w:r>
      <w:r w:rsidR="00B05860" w:rsidRPr="0033639F">
        <w:rPr>
          <w:rFonts w:ascii="Arial" w:hAnsi="Arial" w:cs="Arial"/>
          <w:noProof/>
          <w:sz w:val="22"/>
          <w:szCs w:val="22"/>
        </w:rPr>
        <w:t>31</w:t>
      </w:r>
      <w:r w:rsidR="00360562" w:rsidRPr="0033639F">
        <w:rPr>
          <w:rFonts w:ascii="Arial" w:hAnsi="Arial" w:cs="Arial"/>
          <w:noProof/>
          <w:sz w:val="22"/>
          <w:szCs w:val="22"/>
        </w:rPr>
        <w:t>)</w:t>
      </w:r>
      <w:r w:rsidRPr="0033639F">
        <w:rPr>
          <w:rFonts w:ascii="Arial" w:hAnsi="Arial" w:cs="Arial"/>
          <w:sz w:val="22"/>
          <w:szCs w:val="22"/>
        </w:rPr>
        <w:t xml:space="preserve">. Two recurrent mutations have been described, both involving exonic runs of GA tandem repeats (Figure </w:t>
      </w:r>
      <w:r w:rsidR="009B7F21" w:rsidRPr="0033639F">
        <w:rPr>
          <w:rFonts w:ascii="Arial" w:hAnsi="Arial" w:cs="Arial"/>
          <w:sz w:val="22"/>
          <w:szCs w:val="22"/>
        </w:rPr>
        <w:t>5</w:t>
      </w:r>
      <w:r w:rsidRPr="0033639F">
        <w:rPr>
          <w:rFonts w:ascii="Arial" w:hAnsi="Arial" w:cs="Arial"/>
          <w:sz w:val="22"/>
          <w:szCs w:val="22"/>
        </w:rPr>
        <w:t xml:space="preserve">). In both cases, the loss of a tandem unit at either locus results in a frameshift and premature termination, and a protein incapable of transactivation. </w:t>
      </w:r>
    </w:p>
    <w:p w14:paraId="0E46DDA4" w14:textId="77777777" w:rsidR="004D2097" w:rsidRDefault="004D2097" w:rsidP="0033639F">
      <w:pPr>
        <w:spacing w:line="276" w:lineRule="auto"/>
        <w:rPr>
          <w:rFonts w:ascii="Arial" w:hAnsi="Arial" w:cs="Arial"/>
          <w:b/>
          <w:bCs/>
          <w:i/>
          <w:iCs/>
          <w:sz w:val="22"/>
          <w:szCs w:val="22"/>
        </w:rPr>
      </w:pPr>
    </w:p>
    <w:p w14:paraId="6E81503C" w14:textId="2CBC2B7B" w:rsidR="000F5D77" w:rsidRDefault="000F5D77" w:rsidP="0033639F">
      <w:pPr>
        <w:spacing w:line="276" w:lineRule="auto"/>
        <w:rPr>
          <w:rFonts w:ascii="Arial" w:hAnsi="Arial" w:cs="Arial"/>
          <w:b/>
          <w:bCs/>
          <w:i/>
          <w:iCs/>
          <w:sz w:val="22"/>
          <w:szCs w:val="22"/>
        </w:rPr>
      </w:pPr>
      <w:r>
        <w:rPr>
          <w:rFonts w:ascii="Arial" w:hAnsi="Arial" w:cs="Arial"/>
          <w:b/>
          <w:bCs/>
          <w:i/>
          <w:iCs/>
          <w:noProof/>
          <w:sz w:val="22"/>
          <w:szCs w:val="22"/>
        </w:rPr>
        <w:lastRenderedPageBreak/>
        <w:drawing>
          <wp:inline distT="0" distB="0" distL="0" distR="0" wp14:anchorId="2016D607" wp14:editId="32B39F9A">
            <wp:extent cx="6159398" cy="3841604"/>
            <wp:effectExtent l="0" t="0" r="0" b="6985"/>
            <wp:docPr id="12636770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1301" cy="3849028"/>
                    </a:xfrm>
                    <a:prstGeom prst="rect">
                      <a:avLst/>
                    </a:prstGeom>
                    <a:noFill/>
                  </pic:spPr>
                </pic:pic>
              </a:graphicData>
            </a:graphic>
          </wp:inline>
        </w:drawing>
      </w:r>
    </w:p>
    <w:p w14:paraId="682CEF0F" w14:textId="2758B79D" w:rsidR="004D2097" w:rsidRPr="00D751B0" w:rsidRDefault="00D751B0" w:rsidP="0033639F">
      <w:pPr>
        <w:spacing w:line="276" w:lineRule="auto"/>
        <w:rPr>
          <w:rFonts w:ascii="Arial" w:hAnsi="Arial" w:cs="Arial"/>
          <w:b/>
          <w:bCs/>
          <w:sz w:val="22"/>
          <w:szCs w:val="22"/>
        </w:rPr>
      </w:pPr>
      <w:r w:rsidRPr="00D751B0">
        <w:rPr>
          <w:rFonts w:ascii="Arial" w:hAnsi="Arial" w:cs="Arial"/>
          <w:b/>
          <w:bCs/>
          <w:sz w:val="22"/>
          <w:szCs w:val="22"/>
        </w:rPr>
        <w:t>Figure 5. The PROP1 Gene</w:t>
      </w:r>
      <w:r w:rsidR="001D365B">
        <w:rPr>
          <w:rFonts w:ascii="Arial" w:hAnsi="Arial" w:cs="Arial"/>
          <w:b/>
          <w:bCs/>
          <w:sz w:val="22"/>
          <w:szCs w:val="22"/>
        </w:rPr>
        <w:t>.</w:t>
      </w:r>
    </w:p>
    <w:p w14:paraId="7AECCC09" w14:textId="77777777" w:rsidR="004D2097" w:rsidRDefault="004D2097" w:rsidP="0033639F">
      <w:pPr>
        <w:spacing w:line="276" w:lineRule="auto"/>
        <w:rPr>
          <w:rFonts w:ascii="Arial" w:hAnsi="Arial" w:cs="Arial"/>
          <w:b/>
          <w:bCs/>
          <w:i/>
          <w:iCs/>
          <w:sz w:val="22"/>
          <w:szCs w:val="22"/>
        </w:rPr>
      </w:pPr>
    </w:p>
    <w:p w14:paraId="16DEFF5C" w14:textId="1EDC0D09" w:rsidR="00803B01" w:rsidRPr="000F5D77" w:rsidRDefault="00803B01" w:rsidP="0033639F">
      <w:pPr>
        <w:spacing w:line="276" w:lineRule="auto"/>
        <w:rPr>
          <w:rFonts w:ascii="Arial" w:hAnsi="Arial" w:cs="Arial"/>
          <w:b/>
          <w:bCs/>
          <w:color w:val="00B050"/>
          <w:sz w:val="22"/>
          <w:szCs w:val="22"/>
        </w:rPr>
      </w:pPr>
      <w:r w:rsidRPr="000F5D77">
        <w:rPr>
          <w:rFonts w:ascii="Arial" w:hAnsi="Arial" w:cs="Arial"/>
          <w:b/>
          <w:bCs/>
          <w:color w:val="00B050"/>
          <w:sz w:val="22"/>
          <w:szCs w:val="22"/>
        </w:rPr>
        <w:t>POU1F1</w:t>
      </w:r>
    </w:p>
    <w:p w14:paraId="565E3CE2" w14:textId="77777777" w:rsidR="000F5D77" w:rsidRDefault="000F5D77" w:rsidP="0033639F">
      <w:pPr>
        <w:spacing w:line="276" w:lineRule="auto"/>
        <w:rPr>
          <w:rFonts w:ascii="Arial" w:hAnsi="Arial" w:cs="Arial"/>
          <w:i/>
          <w:iCs/>
          <w:sz w:val="22"/>
          <w:szCs w:val="22"/>
        </w:rPr>
      </w:pPr>
    </w:p>
    <w:p w14:paraId="03F71D6E" w14:textId="5DB96732" w:rsidR="00803B01" w:rsidRDefault="00803B01" w:rsidP="0033639F">
      <w:pPr>
        <w:spacing w:line="276" w:lineRule="auto"/>
        <w:rPr>
          <w:rFonts w:ascii="Arial" w:hAnsi="Arial" w:cs="Arial"/>
          <w:sz w:val="22"/>
          <w:szCs w:val="22"/>
        </w:rPr>
      </w:pPr>
      <w:r w:rsidRPr="0033639F">
        <w:rPr>
          <w:rFonts w:ascii="Arial" w:hAnsi="Arial" w:cs="Arial"/>
          <w:i/>
          <w:iCs/>
          <w:sz w:val="22"/>
          <w:szCs w:val="22"/>
        </w:rPr>
        <w:t>POU1F1</w:t>
      </w:r>
      <w:r w:rsidRPr="0033639F">
        <w:rPr>
          <w:rFonts w:ascii="Arial" w:hAnsi="Arial" w:cs="Arial"/>
          <w:sz w:val="22"/>
          <w:szCs w:val="22"/>
        </w:rPr>
        <w:t xml:space="preserve"> encodes the POU1F1 transcription factor, also known as PIT1, which is required for the development and function of three major cell lines of anterior pituitary: somatotropes, lactotropes and thyrotropes. Various mutations in the gene encoding </w:t>
      </w:r>
      <w:r w:rsidRPr="0033639F">
        <w:rPr>
          <w:rFonts w:ascii="Arial" w:hAnsi="Arial" w:cs="Arial"/>
          <w:i/>
          <w:iCs/>
          <w:sz w:val="22"/>
          <w:szCs w:val="22"/>
        </w:rPr>
        <w:t>POU1F1</w:t>
      </w:r>
      <w:r w:rsidRPr="0033639F">
        <w:rPr>
          <w:rFonts w:ascii="Arial" w:hAnsi="Arial" w:cs="Arial"/>
          <w:sz w:val="22"/>
          <w:szCs w:val="22"/>
        </w:rPr>
        <w:t xml:space="preserve"> have been described, resulting in a syndrome of multiple pituitary hormone deficiency involving GH, PRL and TSH hormones. </w:t>
      </w:r>
      <w:r w:rsidRPr="0033639F">
        <w:rPr>
          <w:rFonts w:ascii="Arial" w:hAnsi="Arial" w:cs="Arial"/>
          <w:i/>
          <w:iCs/>
          <w:sz w:val="22"/>
          <w:szCs w:val="22"/>
        </w:rPr>
        <w:t>POU1F1</w:t>
      </w:r>
      <w:r w:rsidRPr="0033639F">
        <w:rPr>
          <w:rFonts w:ascii="Arial" w:hAnsi="Arial" w:cs="Arial"/>
          <w:sz w:val="22"/>
          <w:szCs w:val="22"/>
        </w:rPr>
        <w:t xml:space="preserve"> is located on 3p11 and consists of six exons encoding 291 amino acids (Figure </w:t>
      </w:r>
      <w:r w:rsidR="002D47A9" w:rsidRPr="0033639F">
        <w:rPr>
          <w:rFonts w:ascii="Arial" w:hAnsi="Arial" w:cs="Arial"/>
          <w:sz w:val="22"/>
          <w:szCs w:val="22"/>
        </w:rPr>
        <w:t>6</w:t>
      </w:r>
      <w:r w:rsidRPr="0033639F">
        <w:rPr>
          <w:rFonts w:ascii="Arial" w:hAnsi="Arial" w:cs="Arial"/>
          <w:sz w:val="22"/>
          <w:szCs w:val="22"/>
        </w:rPr>
        <w:t xml:space="preserve">). Many mutations of </w:t>
      </w:r>
      <w:r w:rsidRPr="0033639F">
        <w:rPr>
          <w:rFonts w:ascii="Arial" w:hAnsi="Arial" w:cs="Arial"/>
          <w:i/>
          <w:iCs/>
          <w:sz w:val="22"/>
          <w:szCs w:val="22"/>
        </w:rPr>
        <w:t>POU1F1</w:t>
      </w:r>
      <w:r w:rsidRPr="0033639F">
        <w:rPr>
          <w:rFonts w:ascii="Arial" w:hAnsi="Arial" w:cs="Arial"/>
          <w:sz w:val="22"/>
          <w:szCs w:val="22"/>
        </w:rPr>
        <w:t xml:space="preserve"> have been described; some are inherited as autosomal recessive and some as autosomal dominant. There is a wide variety of clinical </w:t>
      </w:r>
      <w:r w:rsidR="000E50BF" w:rsidRPr="0033639F">
        <w:rPr>
          <w:rFonts w:ascii="Arial" w:hAnsi="Arial" w:cs="Arial"/>
          <w:sz w:val="22"/>
          <w:szCs w:val="22"/>
        </w:rPr>
        <w:t>presentations</w:t>
      </w:r>
      <w:r w:rsidRPr="0033639F">
        <w:rPr>
          <w:rFonts w:ascii="Arial" w:hAnsi="Arial" w:cs="Arial"/>
          <w:sz w:val="22"/>
          <w:szCs w:val="22"/>
        </w:rPr>
        <w:t xml:space="preserve"> in patients with POUF1 mutations. Generally, GH and prolactin deficiencies are seen early in life. However, TSH deficiency can be highly variable with presentation later in childhood or normal T4 secretion can be preserved into the 3rd decade</w:t>
      </w:r>
      <w:r w:rsidR="00360562" w:rsidRPr="0033639F">
        <w:rPr>
          <w:rFonts w:ascii="Arial" w:hAnsi="Arial" w:cs="Arial"/>
          <w:sz w:val="22"/>
          <w:szCs w:val="22"/>
        </w:rPr>
        <w:t xml:space="preserve"> </w:t>
      </w:r>
      <w:r w:rsidR="00360562" w:rsidRPr="0033639F">
        <w:rPr>
          <w:rFonts w:ascii="Arial" w:hAnsi="Arial" w:cs="Arial"/>
          <w:noProof/>
          <w:sz w:val="22"/>
          <w:szCs w:val="22"/>
        </w:rPr>
        <w:t>(</w:t>
      </w:r>
      <w:r w:rsidR="00B05860" w:rsidRPr="0033639F">
        <w:rPr>
          <w:rFonts w:ascii="Arial" w:hAnsi="Arial" w:cs="Arial"/>
          <w:noProof/>
          <w:sz w:val="22"/>
          <w:szCs w:val="22"/>
        </w:rPr>
        <w:t>32</w:t>
      </w:r>
      <w:r w:rsidR="00360562" w:rsidRPr="0033639F">
        <w:rPr>
          <w:rFonts w:ascii="Arial" w:hAnsi="Arial" w:cs="Arial"/>
          <w:noProof/>
          <w:sz w:val="22"/>
          <w:szCs w:val="22"/>
        </w:rPr>
        <w:t>,</w:t>
      </w:r>
      <w:r w:rsidR="00B05860" w:rsidRPr="0033639F">
        <w:rPr>
          <w:rFonts w:ascii="Arial" w:hAnsi="Arial" w:cs="Arial"/>
          <w:noProof/>
          <w:sz w:val="22"/>
          <w:szCs w:val="22"/>
        </w:rPr>
        <w:t>33</w:t>
      </w:r>
      <w:r w:rsidR="00360562" w:rsidRPr="0033639F">
        <w:rPr>
          <w:rFonts w:ascii="Arial" w:hAnsi="Arial" w:cs="Arial"/>
          <w:noProof/>
          <w:sz w:val="22"/>
          <w:szCs w:val="22"/>
        </w:rPr>
        <w:t>)</w:t>
      </w:r>
      <w:r w:rsidRPr="0033639F">
        <w:rPr>
          <w:rFonts w:ascii="Arial" w:hAnsi="Arial" w:cs="Arial"/>
          <w:color w:val="7030A0"/>
          <w:sz w:val="22"/>
          <w:szCs w:val="22"/>
        </w:rPr>
        <w:t xml:space="preserve">. </w:t>
      </w:r>
      <w:r w:rsidRPr="0033639F">
        <w:rPr>
          <w:rFonts w:ascii="Arial" w:hAnsi="Arial" w:cs="Arial"/>
          <w:i/>
          <w:iCs/>
          <w:sz w:val="22"/>
          <w:szCs w:val="22"/>
        </w:rPr>
        <w:t>POU1F1</w:t>
      </w:r>
      <w:r w:rsidRPr="0033639F">
        <w:rPr>
          <w:rFonts w:ascii="Arial" w:hAnsi="Arial" w:cs="Arial"/>
          <w:sz w:val="22"/>
          <w:szCs w:val="22"/>
        </w:rPr>
        <w:t xml:space="preserve"> mutations have been described in a total of 46 patients from 34 families originating in 17 different countries</w:t>
      </w:r>
      <w:r w:rsidRPr="0033639F">
        <w:rPr>
          <w:rFonts w:ascii="Arial" w:hAnsi="Arial" w:cs="Arial"/>
          <w:noProof/>
          <w:sz w:val="22"/>
          <w:szCs w:val="22"/>
        </w:rPr>
        <w:t xml:space="preserve"> </w:t>
      </w:r>
      <w:r w:rsidR="00360562" w:rsidRPr="0033639F">
        <w:rPr>
          <w:rFonts w:ascii="Arial" w:hAnsi="Arial" w:cs="Arial"/>
          <w:noProof/>
          <w:sz w:val="22"/>
          <w:szCs w:val="22"/>
        </w:rPr>
        <w:t>(</w:t>
      </w:r>
      <w:r w:rsidR="00B05860" w:rsidRPr="0033639F">
        <w:rPr>
          <w:rFonts w:ascii="Arial" w:hAnsi="Arial" w:cs="Arial"/>
          <w:noProof/>
          <w:sz w:val="22"/>
          <w:szCs w:val="22"/>
        </w:rPr>
        <w:t>34</w:t>
      </w:r>
      <w:r w:rsidR="00360562"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Recessive mutations are generally associated with decreased activation, while dominant mutations have been shown to bind but not transactivate - </w:t>
      </w:r>
      <w:r w:rsidRPr="0033639F">
        <w:rPr>
          <w:rFonts w:ascii="Arial" w:hAnsi="Arial" w:cs="Arial"/>
          <w:i/>
          <w:iCs/>
          <w:sz w:val="22"/>
          <w:szCs w:val="22"/>
        </w:rPr>
        <w:t>i.e.</w:t>
      </w:r>
      <w:r w:rsidRPr="0033639F">
        <w:rPr>
          <w:rFonts w:ascii="Arial" w:hAnsi="Arial" w:cs="Arial"/>
          <w:sz w:val="22"/>
          <w:szCs w:val="22"/>
        </w:rPr>
        <w:t xml:space="preserve"> act as dominant-negative mutations, rather than through haploinsufficiency. One such mutation is the recurrent Arg271Trp (R271W), located in exon 6, which results from a C T transition at a CpG dinucleotide, </w:t>
      </w:r>
      <w:r w:rsidRPr="0033639F">
        <w:rPr>
          <w:rFonts w:ascii="Arial" w:hAnsi="Arial" w:cs="Arial"/>
          <w:i/>
          <w:iCs/>
          <w:sz w:val="22"/>
          <w:szCs w:val="22"/>
        </w:rPr>
        <w:t>i.e.</w:t>
      </w:r>
      <w:r w:rsidRPr="0033639F">
        <w:rPr>
          <w:rFonts w:ascii="Arial" w:hAnsi="Arial" w:cs="Arial"/>
          <w:sz w:val="22"/>
          <w:szCs w:val="22"/>
        </w:rPr>
        <w:t xml:space="preserve"> a region predisposed to spontaneous mutagenesis. Another interesting mutation is the Lys216Glu mutation of exon 5. This mutation is unique in that the mutant transcription factor activates both the GH and PRL promoters at levels greater than wild-type (</w:t>
      </w:r>
      <w:r w:rsidRPr="0033639F">
        <w:rPr>
          <w:rFonts w:ascii="Arial" w:hAnsi="Arial" w:cs="Arial"/>
          <w:i/>
          <w:iCs/>
          <w:sz w:val="22"/>
          <w:szCs w:val="22"/>
        </w:rPr>
        <w:t>i.e.</w:t>
      </w:r>
      <w:r w:rsidRPr="0033639F">
        <w:rPr>
          <w:rFonts w:ascii="Arial" w:hAnsi="Arial" w:cs="Arial"/>
          <w:sz w:val="22"/>
          <w:szCs w:val="22"/>
        </w:rPr>
        <w:t xml:space="preserve"> acts as a super</w:t>
      </w:r>
      <w:r w:rsidR="00CA4730" w:rsidRPr="0033639F">
        <w:rPr>
          <w:rFonts w:ascii="Arial" w:hAnsi="Arial" w:cs="Arial"/>
          <w:color w:val="FF0000"/>
          <w:sz w:val="22"/>
          <w:szCs w:val="22"/>
        </w:rPr>
        <w:t>-</w:t>
      </w:r>
      <w:r w:rsidRPr="0033639F">
        <w:rPr>
          <w:rFonts w:ascii="Arial" w:hAnsi="Arial" w:cs="Arial"/>
          <w:sz w:val="22"/>
          <w:szCs w:val="22"/>
        </w:rPr>
        <w:t>agonist), but down-regulates its own (</w:t>
      </w:r>
      <w:r w:rsidRPr="0033639F">
        <w:rPr>
          <w:rFonts w:ascii="Arial" w:hAnsi="Arial" w:cs="Arial"/>
          <w:i/>
          <w:iCs/>
          <w:sz w:val="22"/>
          <w:szCs w:val="22"/>
        </w:rPr>
        <w:t>i.e.</w:t>
      </w:r>
      <w:r w:rsidRPr="0033639F">
        <w:rPr>
          <w:rFonts w:ascii="Arial" w:hAnsi="Arial" w:cs="Arial"/>
          <w:sz w:val="22"/>
          <w:szCs w:val="22"/>
        </w:rPr>
        <w:t xml:space="preserve"> the </w:t>
      </w:r>
      <w:r w:rsidRPr="0033639F">
        <w:rPr>
          <w:rFonts w:ascii="Arial" w:hAnsi="Arial" w:cs="Arial"/>
          <w:i/>
          <w:iCs/>
          <w:sz w:val="22"/>
          <w:szCs w:val="22"/>
        </w:rPr>
        <w:t>POU1F1</w:t>
      </w:r>
      <w:r w:rsidRPr="0033639F">
        <w:rPr>
          <w:rFonts w:ascii="Arial" w:hAnsi="Arial" w:cs="Arial"/>
          <w:sz w:val="22"/>
          <w:szCs w:val="22"/>
        </w:rPr>
        <w:t xml:space="preserve">) promoter-leading to </w:t>
      </w:r>
      <w:r w:rsidRPr="0033639F">
        <w:rPr>
          <w:rFonts w:ascii="Arial" w:hAnsi="Arial" w:cs="Arial"/>
          <w:sz w:val="22"/>
          <w:szCs w:val="22"/>
        </w:rPr>
        <w:lastRenderedPageBreak/>
        <w:t xml:space="preserve">decreased expression of </w:t>
      </w:r>
      <w:r w:rsidRPr="0033639F">
        <w:rPr>
          <w:rFonts w:ascii="Arial" w:hAnsi="Arial" w:cs="Arial"/>
          <w:i/>
          <w:iCs/>
          <w:sz w:val="22"/>
          <w:szCs w:val="22"/>
        </w:rPr>
        <w:t>PIT1</w:t>
      </w:r>
      <w:r w:rsidRPr="0033639F">
        <w:rPr>
          <w:rFonts w:ascii="Arial" w:hAnsi="Arial" w:cs="Arial"/>
          <w:sz w:val="22"/>
          <w:szCs w:val="22"/>
        </w:rPr>
        <w:t xml:space="preserve">. R271W is the most frequent mutation of </w:t>
      </w:r>
      <w:r w:rsidRPr="0033639F">
        <w:rPr>
          <w:rFonts w:ascii="Arial" w:hAnsi="Arial" w:cs="Arial"/>
          <w:i/>
          <w:iCs/>
          <w:sz w:val="22"/>
          <w:szCs w:val="22"/>
        </w:rPr>
        <w:t>POU1F1</w:t>
      </w:r>
      <w:r w:rsidRPr="0033639F">
        <w:rPr>
          <w:rFonts w:ascii="Arial" w:hAnsi="Arial" w:cs="Arial"/>
          <w:sz w:val="22"/>
          <w:szCs w:val="22"/>
        </w:rPr>
        <w:t xml:space="preserve">. </w:t>
      </w:r>
      <w:r w:rsidR="00D23456" w:rsidRPr="0033639F">
        <w:rPr>
          <w:rFonts w:ascii="Arial" w:hAnsi="Arial" w:cs="Arial"/>
          <w:sz w:val="22"/>
          <w:szCs w:val="22"/>
        </w:rPr>
        <w:t xml:space="preserve">Another </w:t>
      </w:r>
      <w:r w:rsidRPr="0033639F">
        <w:rPr>
          <w:rFonts w:ascii="Arial" w:hAnsi="Arial" w:cs="Arial"/>
          <w:sz w:val="22"/>
          <w:szCs w:val="22"/>
        </w:rPr>
        <w:t>report describ</w:t>
      </w:r>
      <w:r w:rsidR="00D23456" w:rsidRPr="0033639F">
        <w:rPr>
          <w:rFonts w:ascii="Arial" w:hAnsi="Arial" w:cs="Arial"/>
          <w:sz w:val="22"/>
          <w:szCs w:val="22"/>
        </w:rPr>
        <w:t>ed</w:t>
      </w:r>
      <w:r w:rsidRPr="0033639F">
        <w:rPr>
          <w:rFonts w:ascii="Arial" w:hAnsi="Arial" w:cs="Arial"/>
          <w:sz w:val="22"/>
          <w:szCs w:val="22"/>
        </w:rPr>
        <w:t xml:space="preserve"> a novel mutational hot spot (E230K) in Maltese patients suggests a founder effect</w:t>
      </w:r>
      <w:r w:rsidR="00157055" w:rsidRPr="0033639F">
        <w:rPr>
          <w:rFonts w:ascii="Arial" w:hAnsi="Arial" w:cs="Arial"/>
          <w:sz w:val="22"/>
          <w:szCs w:val="22"/>
        </w:rPr>
        <w:t xml:space="preserve"> </w:t>
      </w:r>
      <w:r w:rsidR="00157055" w:rsidRPr="0033639F">
        <w:rPr>
          <w:rFonts w:ascii="Arial" w:hAnsi="Arial" w:cs="Arial"/>
          <w:noProof/>
          <w:sz w:val="22"/>
          <w:szCs w:val="22"/>
        </w:rPr>
        <w:t>(</w:t>
      </w:r>
      <w:r w:rsidR="00B05860" w:rsidRPr="0033639F">
        <w:rPr>
          <w:rFonts w:ascii="Arial" w:hAnsi="Arial" w:cs="Arial"/>
          <w:noProof/>
          <w:sz w:val="22"/>
          <w:szCs w:val="22"/>
        </w:rPr>
        <w:t>33</w:t>
      </w:r>
      <w:r w:rsidR="00157055" w:rsidRPr="0033639F">
        <w:rPr>
          <w:rFonts w:ascii="Arial" w:hAnsi="Arial" w:cs="Arial"/>
          <w:noProof/>
          <w:sz w:val="22"/>
          <w:szCs w:val="22"/>
        </w:rPr>
        <w:t>)</w:t>
      </w:r>
      <w:r w:rsidRPr="0033639F">
        <w:rPr>
          <w:rFonts w:ascii="Arial" w:hAnsi="Arial" w:cs="Arial"/>
          <w:sz w:val="22"/>
          <w:szCs w:val="22"/>
        </w:rPr>
        <w:t xml:space="preserve">. The same group reported two additional novel mutations within </w:t>
      </w:r>
      <w:r w:rsidRPr="0033639F">
        <w:rPr>
          <w:rFonts w:ascii="Arial" w:hAnsi="Arial" w:cs="Arial"/>
          <w:i/>
          <w:iCs/>
          <w:sz w:val="22"/>
          <w:szCs w:val="22"/>
        </w:rPr>
        <w:t>POU1F1</w:t>
      </w:r>
      <w:r w:rsidRPr="0033639F">
        <w:rPr>
          <w:rFonts w:ascii="Arial" w:hAnsi="Arial" w:cs="Arial"/>
          <w:sz w:val="22"/>
          <w:szCs w:val="22"/>
        </w:rPr>
        <w:t xml:space="preserve"> gene; an insertion of a single base pair (ins778A) and a missense mutation (R172Q)</w:t>
      </w:r>
      <w:r w:rsidRPr="0033639F">
        <w:rPr>
          <w:rFonts w:ascii="Arial" w:hAnsi="Arial" w:cs="Arial"/>
          <w:noProof/>
          <w:sz w:val="22"/>
          <w:szCs w:val="22"/>
        </w:rPr>
        <w:t xml:space="preserve"> </w:t>
      </w:r>
      <w:r w:rsidR="00157055" w:rsidRPr="0033639F">
        <w:rPr>
          <w:rFonts w:ascii="Arial" w:hAnsi="Arial" w:cs="Arial"/>
          <w:noProof/>
          <w:sz w:val="22"/>
          <w:szCs w:val="22"/>
        </w:rPr>
        <w:t>(</w:t>
      </w:r>
      <w:r w:rsidR="00B05860" w:rsidRPr="0033639F">
        <w:rPr>
          <w:rFonts w:ascii="Arial" w:hAnsi="Arial" w:cs="Arial"/>
          <w:noProof/>
          <w:sz w:val="22"/>
          <w:szCs w:val="22"/>
        </w:rPr>
        <w:t>31</w:t>
      </w:r>
      <w:r w:rsidR="00157055" w:rsidRPr="0033639F">
        <w:rPr>
          <w:rFonts w:ascii="Arial" w:hAnsi="Arial" w:cs="Arial"/>
          <w:noProof/>
          <w:sz w:val="22"/>
          <w:szCs w:val="22"/>
        </w:rPr>
        <w:t>)</w:t>
      </w:r>
      <w:r w:rsidRPr="0033639F">
        <w:rPr>
          <w:rFonts w:ascii="Arial" w:hAnsi="Arial" w:cs="Arial"/>
          <w:sz w:val="22"/>
          <w:szCs w:val="22"/>
        </w:rPr>
        <w:t xml:space="preserve">. </w:t>
      </w:r>
    </w:p>
    <w:p w14:paraId="12F26B53" w14:textId="77777777" w:rsidR="000F5D77" w:rsidRPr="0033639F" w:rsidRDefault="000F5D77" w:rsidP="0033639F">
      <w:pPr>
        <w:spacing w:line="276" w:lineRule="auto"/>
        <w:rPr>
          <w:rFonts w:ascii="Arial" w:hAnsi="Arial" w:cs="Arial"/>
          <w:sz w:val="22"/>
          <w:szCs w:val="22"/>
        </w:rPr>
      </w:pPr>
    </w:p>
    <w:p w14:paraId="60880139" w14:textId="4C5CDC66" w:rsidR="000F5D77" w:rsidRDefault="0035723A" w:rsidP="0033639F">
      <w:pPr>
        <w:spacing w:line="276" w:lineRule="auto"/>
        <w:rPr>
          <w:rFonts w:ascii="Arial" w:hAnsi="Arial" w:cs="Arial"/>
          <w:b/>
          <w:bCs/>
          <w:i/>
          <w:iCs/>
          <w:sz w:val="22"/>
          <w:szCs w:val="22"/>
        </w:rPr>
      </w:pPr>
      <w:r>
        <w:rPr>
          <w:rFonts w:ascii="Arial" w:hAnsi="Arial" w:cs="Arial"/>
          <w:b/>
          <w:bCs/>
          <w:i/>
          <w:iCs/>
          <w:noProof/>
          <w:sz w:val="22"/>
          <w:szCs w:val="22"/>
        </w:rPr>
        <w:drawing>
          <wp:inline distT="0" distB="0" distL="0" distR="0" wp14:anchorId="6A73ADE5" wp14:editId="4D20F2C1">
            <wp:extent cx="5925312" cy="2669477"/>
            <wp:effectExtent l="0" t="0" r="0" b="0"/>
            <wp:docPr id="11570175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2204" cy="2681593"/>
                    </a:xfrm>
                    <a:prstGeom prst="rect">
                      <a:avLst/>
                    </a:prstGeom>
                    <a:noFill/>
                  </pic:spPr>
                </pic:pic>
              </a:graphicData>
            </a:graphic>
          </wp:inline>
        </w:drawing>
      </w:r>
    </w:p>
    <w:p w14:paraId="1327D3CF" w14:textId="1188D881" w:rsidR="000F5D77" w:rsidRPr="001D365B" w:rsidRDefault="00603971" w:rsidP="0033639F">
      <w:pPr>
        <w:spacing w:line="276" w:lineRule="auto"/>
        <w:rPr>
          <w:rFonts w:ascii="Arial" w:hAnsi="Arial" w:cs="Arial"/>
          <w:b/>
          <w:bCs/>
          <w:sz w:val="22"/>
          <w:szCs w:val="22"/>
        </w:rPr>
      </w:pPr>
      <w:r w:rsidRPr="001D365B">
        <w:rPr>
          <w:rFonts w:ascii="Arial" w:hAnsi="Arial" w:cs="Arial"/>
          <w:b/>
          <w:bCs/>
          <w:sz w:val="22"/>
          <w:szCs w:val="22"/>
        </w:rPr>
        <w:t>Figure 6. The POU1F1 gene</w:t>
      </w:r>
      <w:r w:rsidR="001D365B">
        <w:rPr>
          <w:rFonts w:ascii="Arial" w:hAnsi="Arial" w:cs="Arial"/>
          <w:b/>
          <w:bCs/>
          <w:sz w:val="22"/>
          <w:szCs w:val="22"/>
        </w:rPr>
        <w:t>.</w:t>
      </w:r>
    </w:p>
    <w:p w14:paraId="550E0566" w14:textId="77777777" w:rsidR="000F5D77" w:rsidRDefault="000F5D77" w:rsidP="0033639F">
      <w:pPr>
        <w:spacing w:line="276" w:lineRule="auto"/>
        <w:rPr>
          <w:rFonts w:ascii="Arial" w:hAnsi="Arial" w:cs="Arial"/>
          <w:b/>
          <w:bCs/>
          <w:i/>
          <w:iCs/>
          <w:sz w:val="22"/>
          <w:szCs w:val="22"/>
        </w:rPr>
      </w:pPr>
    </w:p>
    <w:p w14:paraId="43B9A4E4" w14:textId="79F55D6D" w:rsidR="00803B01" w:rsidRPr="0035723A" w:rsidRDefault="00803B01" w:rsidP="0033639F">
      <w:pPr>
        <w:spacing w:line="276" w:lineRule="auto"/>
        <w:rPr>
          <w:rFonts w:ascii="Arial" w:hAnsi="Arial" w:cs="Arial"/>
          <w:b/>
          <w:bCs/>
          <w:color w:val="00B050"/>
          <w:sz w:val="22"/>
          <w:szCs w:val="22"/>
        </w:rPr>
      </w:pPr>
      <w:r w:rsidRPr="0035723A">
        <w:rPr>
          <w:rFonts w:ascii="Arial" w:hAnsi="Arial" w:cs="Arial"/>
          <w:b/>
          <w:bCs/>
          <w:color w:val="00B050"/>
          <w:sz w:val="22"/>
          <w:szCs w:val="22"/>
        </w:rPr>
        <w:t>SOX3</w:t>
      </w:r>
    </w:p>
    <w:p w14:paraId="7F5CDBE4" w14:textId="77777777" w:rsidR="000F5D77" w:rsidRDefault="000F5D77" w:rsidP="0033639F">
      <w:pPr>
        <w:spacing w:line="276" w:lineRule="auto"/>
        <w:rPr>
          <w:rFonts w:ascii="Arial" w:hAnsi="Arial" w:cs="Arial"/>
          <w:i/>
          <w:iCs/>
          <w:sz w:val="22"/>
          <w:szCs w:val="22"/>
        </w:rPr>
      </w:pPr>
      <w:bookmarkStart w:id="7" w:name="id2505487"/>
      <w:bookmarkEnd w:id="7"/>
    </w:p>
    <w:p w14:paraId="43F7AAA6" w14:textId="15F1FBFD" w:rsidR="00803B01" w:rsidRDefault="00803B01" w:rsidP="0033639F">
      <w:pPr>
        <w:spacing w:line="276" w:lineRule="auto"/>
        <w:rPr>
          <w:rFonts w:ascii="Arial" w:hAnsi="Arial" w:cs="Arial"/>
          <w:color w:val="7030A0"/>
          <w:sz w:val="22"/>
          <w:szCs w:val="22"/>
        </w:rPr>
      </w:pPr>
      <w:r w:rsidRPr="0033639F">
        <w:rPr>
          <w:rFonts w:ascii="Arial" w:hAnsi="Arial" w:cs="Arial"/>
          <w:i/>
          <w:iCs/>
          <w:sz w:val="22"/>
          <w:szCs w:val="22"/>
        </w:rPr>
        <w:t>SOX3</w:t>
      </w:r>
      <w:r w:rsidRPr="0033639F">
        <w:rPr>
          <w:rFonts w:ascii="Arial" w:hAnsi="Arial" w:cs="Arial"/>
          <w:sz w:val="22"/>
          <w:szCs w:val="22"/>
        </w:rPr>
        <w:t xml:space="preserve"> encodes a single-exon gene </w:t>
      </w:r>
      <w:r w:rsidRPr="0033639F">
        <w:rPr>
          <w:rFonts w:ascii="Arial" w:hAnsi="Arial" w:cs="Arial"/>
          <w:i/>
          <w:iCs/>
          <w:sz w:val="22"/>
          <w:szCs w:val="22"/>
        </w:rPr>
        <w:t>SOX3</w:t>
      </w:r>
      <w:r w:rsidRPr="0033639F">
        <w:rPr>
          <w:rFonts w:ascii="Arial" w:hAnsi="Arial" w:cs="Arial"/>
          <w:sz w:val="22"/>
          <w:szCs w:val="22"/>
        </w:rPr>
        <w:t>, an HMG box protein, located on the X chromosome (Xq26.3) in all mammals</w:t>
      </w:r>
      <w:r w:rsidRPr="0033639F">
        <w:rPr>
          <w:rFonts w:ascii="Arial" w:hAnsi="Arial" w:cs="Arial"/>
          <w:noProof/>
          <w:sz w:val="22"/>
          <w:szCs w:val="22"/>
        </w:rPr>
        <w:t xml:space="preserve"> </w:t>
      </w:r>
      <w:r w:rsidR="00157055" w:rsidRPr="0033639F">
        <w:rPr>
          <w:rFonts w:ascii="Arial" w:hAnsi="Arial" w:cs="Arial"/>
          <w:noProof/>
          <w:sz w:val="22"/>
          <w:szCs w:val="22"/>
        </w:rPr>
        <w:t>(</w:t>
      </w:r>
      <w:r w:rsidR="00B05860" w:rsidRPr="0033639F">
        <w:rPr>
          <w:rFonts w:ascii="Arial" w:hAnsi="Arial" w:cs="Arial"/>
          <w:noProof/>
          <w:sz w:val="22"/>
          <w:szCs w:val="22"/>
        </w:rPr>
        <w:t>35</w:t>
      </w:r>
      <w:r w:rsidR="00157055"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It is believed to be the gene from which SRY, testis–determining gene evolved</w:t>
      </w:r>
      <w:r w:rsidRPr="0033639F">
        <w:rPr>
          <w:rFonts w:ascii="Arial" w:hAnsi="Arial" w:cs="Arial"/>
          <w:noProof/>
          <w:sz w:val="22"/>
          <w:szCs w:val="22"/>
        </w:rPr>
        <w:t xml:space="preserve"> </w:t>
      </w:r>
      <w:r w:rsidR="00157055" w:rsidRPr="0033639F">
        <w:rPr>
          <w:rFonts w:ascii="Arial" w:hAnsi="Arial" w:cs="Arial"/>
          <w:noProof/>
          <w:sz w:val="22"/>
          <w:szCs w:val="22"/>
        </w:rPr>
        <w:t>(</w:t>
      </w:r>
      <w:r w:rsidR="00B05860" w:rsidRPr="0033639F">
        <w:rPr>
          <w:rFonts w:ascii="Arial" w:hAnsi="Arial" w:cs="Arial"/>
          <w:noProof/>
          <w:sz w:val="22"/>
          <w:szCs w:val="22"/>
        </w:rPr>
        <w:t>36</w:t>
      </w:r>
      <w:r w:rsidR="00157055"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Based on sequence homology, SOX, however, is more closely related to SOX1 and </w:t>
      </w:r>
      <w:r w:rsidRPr="0033639F">
        <w:rPr>
          <w:rFonts w:ascii="Arial" w:hAnsi="Arial" w:cs="Arial"/>
          <w:i/>
          <w:iCs/>
          <w:sz w:val="22"/>
          <w:szCs w:val="22"/>
        </w:rPr>
        <w:t>SOX2</w:t>
      </w:r>
      <w:r w:rsidRPr="0033639F">
        <w:rPr>
          <w:rFonts w:ascii="Arial" w:hAnsi="Arial" w:cs="Arial"/>
          <w:sz w:val="22"/>
          <w:szCs w:val="22"/>
        </w:rPr>
        <w:t>, together comprising the SOXB1 subfamily and are expressed throughout the developing CNS</w:t>
      </w:r>
      <w:r w:rsidR="00157055" w:rsidRPr="0033639F">
        <w:rPr>
          <w:rFonts w:ascii="Arial" w:hAnsi="Arial" w:cs="Arial"/>
          <w:sz w:val="22"/>
          <w:szCs w:val="22"/>
        </w:rPr>
        <w:t xml:space="preserve"> </w:t>
      </w:r>
      <w:r w:rsidR="00157055" w:rsidRPr="0033639F">
        <w:rPr>
          <w:rFonts w:ascii="Arial" w:hAnsi="Arial" w:cs="Arial"/>
          <w:noProof/>
          <w:sz w:val="22"/>
          <w:szCs w:val="22"/>
        </w:rPr>
        <w:t>(3</w:t>
      </w:r>
      <w:r w:rsidR="00B05860" w:rsidRPr="0033639F">
        <w:rPr>
          <w:rFonts w:ascii="Arial" w:hAnsi="Arial" w:cs="Arial"/>
          <w:noProof/>
          <w:sz w:val="22"/>
          <w:szCs w:val="22"/>
        </w:rPr>
        <w:t>7</w:t>
      </w:r>
      <w:r w:rsidR="00157055" w:rsidRPr="0033639F">
        <w:rPr>
          <w:rFonts w:ascii="Arial" w:hAnsi="Arial" w:cs="Arial"/>
          <w:noProof/>
          <w:sz w:val="22"/>
          <w:szCs w:val="22"/>
        </w:rPr>
        <w:t>,3</w:t>
      </w:r>
      <w:r w:rsidR="00B05860" w:rsidRPr="0033639F">
        <w:rPr>
          <w:rFonts w:ascii="Arial" w:hAnsi="Arial" w:cs="Arial"/>
          <w:noProof/>
          <w:sz w:val="22"/>
          <w:szCs w:val="22"/>
        </w:rPr>
        <w:t>8</w:t>
      </w:r>
      <w:r w:rsidR="00157055" w:rsidRPr="0033639F">
        <w:rPr>
          <w:rFonts w:ascii="Arial" w:hAnsi="Arial" w:cs="Arial"/>
          <w:noProof/>
          <w:sz w:val="22"/>
          <w:szCs w:val="22"/>
        </w:rPr>
        <w:t>)</w:t>
      </w:r>
      <w:r w:rsidRPr="0033639F">
        <w:rPr>
          <w:rFonts w:ascii="Arial" w:hAnsi="Arial" w:cs="Arial"/>
          <w:sz w:val="22"/>
          <w:szCs w:val="22"/>
        </w:rPr>
        <w:t xml:space="preserve">. In humans, mutations in the </w:t>
      </w:r>
      <w:r w:rsidRPr="0033639F">
        <w:rPr>
          <w:rFonts w:ascii="Arial" w:hAnsi="Arial" w:cs="Arial"/>
          <w:i/>
          <w:iCs/>
          <w:sz w:val="22"/>
          <w:szCs w:val="22"/>
        </w:rPr>
        <w:t>SOX3</w:t>
      </w:r>
      <w:r w:rsidRPr="0033639F">
        <w:rPr>
          <w:rFonts w:ascii="Arial" w:hAnsi="Arial" w:cs="Arial"/>
          <w:sz w:val="22"/>
          <w:szCs w:val="22"/>
        </w:rPr>
        <w:t xml:space="preserve"> gene have been implicated in X-linked hypopituitarism and mental retardation. In a single family, a </w:t>
      </w:r>
      <w:r w:rsidRPr="0033639F">
        <w:rPr>
          <w:rFonts w:ascii="Arial" w:hAnsi="Arial" w:cs="Arial"/>
          <w:i/>
          <w:iCs/>
          <w:sz w:val="22"/>
          <w:szCs w:val="22"/>
        </w:rPr>
        <w:t>SOX3</w:t>
      </w:r>
      <w:r w:rsidRPr="0033639F">
        <w:rPr>
          <w:rFonts w:ascii="Arial" w:hAnsi="Arial" w:cs="Arial"/>
          <w:sz w:val="22"/>
          <w:szCs w:val="22"/>
        </w:rPr>
        <w:t xml:space="preserve"> gene mutation was shown in affected males who had mental retardation and short stature due to GH deficiency</w:t>
      </w:r>
      <w:r w:rsidRPr="0033639F">
        <w:rPr>
          <w:rFonts w:ascii="Arial" w:hAnsi="Arial" w:cs="Arial"/>
          <w:noProof/>
          <w:sz w:val="22"/>
          <w:szCs w:val="22"/>
        </w:rPr>
        <w:t xml:space="preserve"> </w:t>
      </w:r>
      <w:r w:rsidR="00157055" w:rsidRPr="0033639F">
        <w:rPr>
          <w:rFonts w:ascii="Arial" w:hAnsi="Arial" w:cs="Arial"/>
          <w:noProof/>
          <w:sz w:val="22"/>
          <w:szCs w:val="22"/>
        </w:rPr>
        <w:t>(3</w:t>
      </w:r>
      <w:r w:rsidR="00B05860" w:rsidRPr="0033639F">
        <w:rPr>
          <w:rFonts w:ascii="Arial" w:hAnsi="Arial" w:cs="Arial"/>
          <w:noProof/>
          <w:sz w:val="22"/>
          <w:szCs w:val="22"/>
        </w:rPr>
        <w:t>9</w:t>
      </w:r>
      <w:r w:rsidR="00157055"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The mutation was an in-frame duplication of 33 bp encoding for an additional 11-alanine, causing an expansion of a polyalanine tract within </w:t>
      </w:r>
      <w:r w:rsidRPr="0033639F">
        <w:rPr>
          <w:rFonts w:ascii="Arial" w:hAnsi="Arial" w:cs="Arial"/>
          <w:i/>
          <w:iCs/>
          <w:sz w:val="22"/>
          <w:szCs w:val="22"/>
        </w:rPr>
        <w:t>SOX3</w:t>
      </w:r>
      <w:r w:rsidRPr="0033639F">
        <w:rPr>
          <w:rFonts w:ascii="Arial" w:hAnsi="Arial" w:cs="Arial"/>
          <w:sz w:val="22"/>
          <w:szCs w:val="22"/>
        </w:rPr>
        <w:t xml:space="preserve">. </w:t>
      </w:r>
      <w:r w:rsidR="00D23456" w:rsidRPr="0033639F">
        <w:rPr>
          <w:rFonts w:ascii="Arial" w:hAnsi="Arial" w:cs="Arial"/>
          <w:sz w:val="22"/>
          <w:szCs w:val="22"/>
        </w:rPr>
        <w:t>O</w:t>
      </w:r>
      <w:r w:rsidRPr="0033639F">
        <w:rPr>
          <w:rFonts w:ascii="Arial" w:hAnsi="Arial" w:cs="Arial"/>
          <w:sz w:val="22"/>
          <w:szCs w:val="22"/>
        </w:rPr>
        <w:t xml:space="preserve">ther mutations including a submicroscopic duplication of Xq27.1 containing </w:t>
      </w:r>
      <w:r w:rsidRPr="0033639F">
        <w:rPr>
          <w:rFonts w:ascii="Arial" w:hAnsi="Arial" w:cs="Arial"/>
          <w:i/>
          <w:iCs/>
          <w:sz w:val="22"/>
          <w:szCs w:val="22"/>
        </w:rPr>
        <w:t>SOX3</w:t>
      </w:r>
      <w:r w:rsidRPr="0033639F">
        <w:rPr>
          <w:rFonts w:ascii="Arial" w:hAnsi="Arial" w:cs="Arial"/>
          <w:sz w:val="22"/>
          <w:szCs w:val="22"/>
        </w:rPr>
        <w:t xml:space="preserve">, a novel 7-alanine expansion within the polyalanine tract, and a novel polymorphism (A43T) in the </w:t>
      </w:r>
      <w:r w:rsidRPr="0033639F">
        <w:rPr>
          <w:rFonts w:ascii="Arial" w:hAnsi="Arial" w:cs="Arial"/>
          <w:i/>
          <w:iCs/>
          <w:sz w:val="22"/>
          <w:szCs w:val="22"/>
        </w:rPr>
        <w:t>SOX3</w:t>
      </w:r>
      <w:r w:rsidRPr="0033639F">
        <w:rPr>
          <w:rFonts w:ascii="Arial" w:hAnsi="Arial" w:cs="Arial"/>
          <w:sz w:val="22"/>
          <w:szCs w:val="22"/>
        </w:rPr>
        <w:t xml:space="preserve"> gene were described in males with hypopituitarism</w:t>
      </w:r>
      <w:r w:rsidR="00B05860" w:rsidRPr="0033639F">
        <w:rPr>
          <w:rFonts w:ascii="Arial" w:hAnsi="Arial" w:cs="Arial"/>
          <w:sz w:val="22"/>
          <w:szCs w:val="22"/>
        </w:rPr>
        <w:t xml:space="preserve"> (40).</w:t>
      </w:r>
      <w:r w:rsidRPr="0033639F">
        <w:rPr>
          <w:rFonts w:ascii="Arial" w:hAnsi="Arial" w:cs="Arial"/>
          <w:sz w:val="22"/>
          <w:szCs w:val="22"/>
        </w:rPr>
        <w:t xml:space="preserve"> Phenotypes of these patients include severe short stature, anterior pituitary hypoplasia, ectopic posterior pituitary, </w:t>
      </w:r>
      <w:r w:rsidR="0014703D" w:rsidRPr="0033639F">
        <w:rPr>
          <w:rFonts w:ascii="Arial" w:hAnsi="Arial" w:cs="Arial"/>
          <w:sz w:val="22"/>
          <w:szCs w:val="22"/>
        </w:rPr>
        <w:t xml:space="preserve">hypoplastic corpus callosum, </w:t>
      </w:r>
      <w:r w:rsidRPr="0033639F">
        <w:rPr>
          <w:rFonts w:ascii="Arial" w:hAnsi="Arial" w:cs="Arial"/>
          <w:sz w:val="22"/>
          <w:szCs w:val="22"/>
        </w:rPr>
        <w:t xml:space="preserve">and infundibular hypoplasia. Although duplications of </w:t>
      </w:r>
      <w:r w:rsidRPr="0033639F">
        <w:rPr>
          <w:rFonts w:ascii="Arial" w:hAnsi="Arial" w:cs="Arial"/>
          <w:i/>
          <w:iCs/>
          <w:sz w:val="22"/>
          <w:szCs w:val="22"/>
        </w:rPr>
        <w:t>SOX3</w:t>
      </w:r>
      <w:r w:rsidRPr="0033639F">
        <w:rPr>
          <w:rFonts w:ascii="Arial" w:hAnsi="Arial" w:cs="Arial"/>
          <w:sz w:val="22"/>
          <w:szCs w:val="22"/>
        </w:rPr>
        <w:t xml:space="preserve"> have been implicated in the etiology of X-linked hypopituitarism with mental retardation, in at least one study, none of the affected individuals had mental retardation or learning difficulties</w:t>
      </w:r>
      <w:r w:rsidR="00157055" w:rsidRPr="0033639F">
        <w:rPr>
          <w:rFonts w:ascii="Arial" w:hAnsi="Arial" w:cs="Arial"/>
          <w:sz w:val="22"/>
          <w:szCs w:val="22"/>
        </w:rPr>
        <w:t xml:space="preserve"> </w:t>
      </w:r>
      <w:r w:rsidR="00157055" w:rsidRPr="0033639F">
        <w:rPr>
          <w:rFonts w:ascii="Arial" w:hAnsi="Arial" w:cs="Arial"/>
          <w:noProof/>
          <w:sz w:val="22"/>
          <w:szCs w:val="22"/>
        </w:rPr>
        <w:t>(</w:t>
      </w:r>
      <w:r w:rsidR="00B05860" w:rsidRPr="0033639F">
        <w:rPr>
          <w:rFonts w:ascii="Arial" w:hAnsi="Arial" w:cs="Arial"/>
          <w:sz w:val="22"/>
          <w:szCs w:val="22"/>
        </w:rPr>
        <w:t>40</w:t>
      </w:r>
      <w:r w:rsidR="00157055" w:rsidRPr="0033639F">
        <w:rPr>
          <w:rFonts w:ascii="Arial" w:hAnsi="Arial" w:cs="Arial"/>
          <w:noProof/>
          <w:sz w:val="22"/>
          <w:szCs w:val="22"/>
        </w:rPr>
        <w:t>)</w:t>
      </w:r>
      <w:r w:rsidRPr="0033639F">
        <w:rPr>
          <w:rFonts w:ascii="Arial" w:hAnsi="Arial" w:cs="Arial"/>
          <w:sz w:val="22"/>
          <w:szCs w:val="22"/>
        </w:rPr>
        <w:t xml:space="preserve">. Taken together, the data suggests that </w:t>
      </w:r>
      <w:r w:rsidRPr="0033639F">
        <w:rPr>
          <w:rFonts w:ascii="Arial" w:hAnsi="Arial" w:cs="Arial"/>
          <w:i/>
          <w:iCs/>
          <w:sz w:val="22"/>
          <w:szCs w:val="22"/>
        </w:rPr>
        <w:t>SOX3</w:t>
      </w:r>
      <w:r w:rsidRPr="0033639F">
        <w:rPr>
          <w:rFonts w:ascii="Arial" w:hAnsi="Arial" w:cs="Arial"/>
          <w:sz w:val="22"/>
          <w:szCs w:val="22"/>
        </w:rPr>
        <w:t xml:space="preserve"> has a critical role in the development of the hypothalamic-pituitary axis in humans, and mutations in </w:t>
      </w:r>
      <w:r w:rsidRPr="0033639F">
        <w:rPr>
          <w:rFonts w:ascii="Arial" w:hAnsi="Arial" w:cs="Arial"/>
          <w:i/>
          <w:iCs/>
          <w:sz w:val="22"/>
          <w:szCs w:val="22"/>
        </w:rPr>
        <w:t>SOX3</w:t>
      </w:r>
      <w:r w:rsidRPr="0033639F">
        <w:rPr>
          <w:rFonts w:ascii="Arial" w:hAnsi="Arial" w:cs="Arial"/>
          <w:sz w:val="22"/>
          <w:szCs w:val="22"/>
        </w:rPr>
        <w:t xml:space="preserve"> gene are associated with X-linked hypopituitarism but not necessarily mental retardation</w:t>
      </w:r>
      <w:r w:rsidRPr="0033639F">
        <w:rPr>
          <w:rFonts w:ascii="Arial" w:hAnsi="Arial" w:cs="Arial"/>
          <w:noProof/>
          <w:sz w:val="22"/>
          <w:szCs w:val="22"/>
        </w:rPr>
        <w:t xml:space="preserve"> </w:t>
      </w:r>
      <w:r w:rsidR="00157055" w:rsidRPr="0033639F">
        <w:rPr>
          <w:rFonts w:ascii="Arial" w:hAnsi="Arial" w:cs="Arial"/>
          <w:noProof/>
          <w:sz w:val="22"/>
          <w:szCs w:val="22"/>
        </w:rPr>
        <w:t>(</w:t>
      </w:r>
      <w:r w:rsidR="00B05860" w:rsidRPr="0033639F">
        <w:rPr>
          <w:rFonts w:ascii="Arial" w:hAnsi="Arial" w:cs="Arial"/>
          <w:sz w:val="22"/>
          <w:szCs w:val="22"/>
        </w:rPr>
        <w:t>40</w:t>
      </w:r>
      <w:r w:rsidR="00157055" w:rsidRPr="0033639F">
        <w:rPr>
          <w:rFonts w:ascii="Arial" w:hAnsi="Arial" w:cs="Arial"/>
          <w:noProof/>
          <w:sz w:val="22"/>
          <w:szCs w:val="22"/>
        </w:rPr>
        <w:t>)</w:t>
      </w:r>
      <w:r w:rsidRPr="0033639F">
        <w:rPr>
          <w:rFonts w:ascii="Arial" w:hAnsi="Arial" w:cs="Arial"/>
          <w:color w:val="7030A0"/>
          <w:sz w:val="22"/>
          <w:szCs w:val="22"/>
        </w:rPr>
        <w:t xml:space="preserve">. </w:t>
      </w:r>
    </w:p>
    <w:p w14:paraId="3EC505BA" w14:textId="77777777" w:rsidR="0035723A" w:rsidRPr="0033639F" w:rsidRDefault="0035723A" w:rsidP="0033639F">
      <w:pPr>
        <w:spacing w:line="276" w:lineRule="auto"/>
        <w:rPr>
          <w:rFonts w:ascii="Arial" w:hAnsi="Arial" w:cs="Arial"/>
          <w:sz w:val="22"/>
          <w:szCs w:val="22"/>
        </w:rPr>
      </w:pPr>
    </w:p>
    <w:p w14:paraId="0F5A8AC2" w14:textId="77777777" w:rsidR="00803B01" w:rsidRPr="0035723A" w:rsidRDefault="00803B01" w:rsidP="0035723A">
      <w:pPr>
        <w:rPr>
          <w:rFonts w:ascii="Arial" w:hAnsi="Arial" w:cs="Arial"/>
          <w:b/>
          <w:bCs/>
          <w:color w:val="0070C0"/>
          <w:sz w:val="22"/>
          <w:szCs w:val="22"/>
        </w:rPr>
      </w:pPr>
      <w:bookmarkStart w:id="8" w:name="id2505540"/>
      <w:bookmarkEnd w:id="8"/>
      <w:r w:rsidRPr="0035723A">
        <w:rPr>
          <w:rFonts w:ascii="Arial" w:hAnsi="Arial" w:cs="Arial"/>
          <w:b/>
          <w:bCs/>
          <w:color w:val="0070C0"/>
          <w:sz w:val="22"/>
          <w:szCs w:val="22"/>
        </w:rPr>
        <w:t xml:space="preserve">ISOLATED GH DEFICIENCY (IGHD) </w:t>
      </w:r>
    </w:p>
    <w:p w14:paraId="1D99A481" w14:textId="77777777" w:rsidR="0035723A" w:rsidRDefault="0035723A" w:rsidP="0033639F">
      <w:pPr>
        <w:spacing w:line="276" w:lineRule="auto"/>
        <w:rPr>
          <w:rFonts w:ascii="Arial" w:hAnsi="Arial" w:cs="Arial"/>
          <w:sz w:val="22"/>
          <w:szCs w:val="22"/>
        </w:rPr>
      </w:pPr>
    </w:p>
    <w:p w14:paraId="1F89EFE6" w14:textId="040DB9B2"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Abnormalities either in the synthesis or the activity of GH can cause a wide variation in the clinical phenotype of the patient. Most frequently, it occurs as a sporadic condition of unknown etiology but severe forms of IGHD may result from mutations or deletions in </w:t>
      </w:r>
      <w:r w:rsidRPr="0033639F">
        <w:rPr>
          <w:rFonts w:ascii="Arial" w:hAnsi="Arial" w:cs="Arial"/>
          <w:i/>
          <w:iCs/>
          <w:sz w:val="22"/>
          <w:szCs w:val="22"/>
        </w:rPr>
        <w:t>GH1</w:t>
      </w:r>
      <w:r w:rsidRPr="0033639F">
        <w:rPr>
          <w:rFonts w:ascii="Arial" w:hAnsi="Arial" w:cs="Arial"/>
          <w:sz w:val="22"/>
          <w:szCs w:val="22"/>
        </w:rPr>
        <w:t xml:space="preserve"> or </w:t>
      </w:r>
      <w:r w:rsidRPr="0033639F">
        <w:rPr>
          <w:rFonts w:ascii="Arial" w:hAnsi="Arial" w:cs="Arial"/>
          <w:i/>
          <w:iCs/>
          <w:sz w:val="22"/>
          <w:szCs w:val="22"/>
        </w:rPr>
        <w:t>GHRHR</w:t>
      </w:r>
      <w:r w:rsidRPr="0033639F">
        <w:rPr>
          <w:rFonts w:ascii="Arial" w:hAnsi="Arial" w:cs="Arial"/>
          <w:i/>
          <w:sz w:val="22"/>
          <w:szCs w:val="22"/>
        </w:rPr>
        <w:t xml:space="preserve"> </w:t>
      </w:r>
      <w:r w:rsidRPr="0033639F">
        <w:rPr>
          <w:rFonts w:ascii="Arial" w:hAnsi="Arial" w:cs="Arial"/>
          <w:sz w:val="22"/>
          <w:szCs w:val="22"/>
        </w:rPr>
        <w:t xml:space="preserve">gene.  General clinical features of IGHD deficiency include proportionate growth retardation accompanied by a decreased growth velocity, puppet-like facies, mid-facial hypoplasia, frontal bossing, thin hair, a high-pitched voice, microphallus, moderate trunk obesity, acromicria, delayed bone maturation and dentition. Most children with IGHD have normal birth weight and length, however, some newborns may present with hypoglycemia, microphallus, and prolonged jaundice. Patients with IGHD appear younger than their chronological age. Puberty may be delayed until late teens, but usually fertility is preserved. </w:t>
      </w:r>
    </w:p>
    <w:p w14:paraId="3EF3B5DB" w14:textId="77777777" w:rsidR="0035723A" w:rsidRPr="0033639F" w:rsidRDefault="0035723A" w:rsidP="0033639F">
      <w:pPr>
        <w:spacing w:line="276" w:lineRule="auto"/>
        <w:rPr>
          <w:rFonts w:ascii="Arial" w:hAnsi="Arial" w:cs="Arial"/>
          <w:sz w:val="22"/>
          <w:szCs w:val="22"/>
        </w:rPr>
      </w:pPr>
    </w:p>
    <w:p w14:paraId="09C4FF9C" w14:textId="3B93F131"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To date, four Mendelian patterns of inheritance for IGHD have been identified </w:t>
      </w:r>
      <w:r w:rsidR="00C655E6" w:rsidRPr="0033639F">
        <w:rPr>
          <w:rFonts w:ascii="Arial" w:hAnsi="Arial" w:cs="Arial"/>
          <w:sz w:val="22"/>
          <w:szCs w:val="22"/>
        </w:rPr>
        <w:t>based on</w:t>
      </w:r>
      <w:r w:rsidRPr="0033639F">
        <w:rPr>
          <w:rFonts w:ascii="Arial" w:hAnsi="Arial" w:cs="Arial"/>
          <w:sz w:val="22"/>
          <w:szCs w:val="22"/>
        </w:rPr>
        <w:t xml:space="preserve"> the type of defect, mode of inheritance, and degree of deficiency. </w:t>
      </w:r>
    </w:p>
    <w:p w14:paraId="245D75C4" w14:textId="77777777" w:rsidR="0035723A" w:rsidRPr="0033639F" w:rsidRDefault="0035723A" w:rsidP="0033639F">
      <w:pPr>
        <w:spacing w:line="276" w:lineRule="auto"/>
        <w:rPr>
          <w:rFonts w:ascii="Arial" w:hAnsi="Arial" w:cs="Arial"/>
          <w:sz w:val="22"/>
          <w:szCs w:val="22"/>
        </w:rPr>
      </w:pPr>
    </w:p>
    <w:p w14:paraId="658EA7DC" w14:textId="5F01A5ED" w:rsidR="00803B01" w:rsidRPr="0035723A" w:rsidRDefault="00803B01" w:rsidP="004A26B9">
      <w:pPr>
        <w:pStyle w:val="ListParagraph"/>
        <w:numPr>
          <w:ilvl w:val="0"/>
          <w:numId w:val="20"/>
        </w:numPr>
        <w:spacing w:line="276" w:lineRule="auto"/>
        <w:ind w:left="0" w:firstLine="0"/>
        <w:rPr>
          <w:rFonts w:ascii="Arial" w:hAnsi="Arial" w:cs="Arial"/>
          <w:sz w:val="22"/>
          <w:szCs w:val="22"/>
        </w:rPr>
      </w:pPr>
      <w:r w:rsidRPr="0035723A">
        <w:rPr>
          <w:rFonts w:ascii="Arial" w:hAnsi="Arial" w:cs="Arial"/>
          <w:sz w:val="22"/>
          <w:szCs w:val="22"/>
        </w:rPr>
        <w:t xml:space="preserve">Type 1 GH deficiency is an autosomal recessively inherited condition, which exists as either complete, or partial loss of GH expression. </w:t>
      </w:r>
    </w:p>
    <w:p w14:paraId="1449D8EE" w14:textId="77777777" w:rsidR="0035723A" w:rsidRPr="0035723A" w:rsidRDefault="0035723A" w:rsidP="004A26B9">
      <w:pPr>
        <w:pStyle w:val="ListParagraph"/>
        <w:spacing w:line="276" w:lineRule="auto"/>
        <w:ind w:left="0"/>
        <w:rPr>
          <w:rFonts w:ascii="Arial" w:hAnsi="Arial" w:cs="Arial"/>
          <w:sz w:val="22"/>
          <w:szCs w:val="22"/>
        </w:rPr>
      </w:pPr>
    </w:p>
    <w:p w14:paraId="2CCA98DC" w14:textId="47747EC1" w:rsidR="00803B01" w:rsidRPr="0033639F" w:rsidRDefault="00803B01" w:rsidP="004A26B9">
      <w:pPr>
        <w:spacing w:line="276" w:lineRule="auto"/>
        <w:rPr>
          <w:rFonts w:ascii="Arial" w:hAnsi="Arial" w:cs="Arial"/>
          <w:sz w:val="22"/>
          <w:szCs w:val="22"/>
        </w:rPr>
      </w:pPr>
      <w:r w:rsidRPr="0033639F">
        <w:rPr>
          <w:rFonts w:ascii="Arial" w:hAnsi="Arial" w:cs="Arial"/>
          <w:sz w:val="22"/>
          <w:szCs w:val="22"/>
        </w:rPr>
        <w:t xml:space="preserve">a) Type 1a deficiency is characterized by the complete absence of measurable GH. Infants born with a type 1a defect are generally of normal length and weight, suggesting that, </w:t>
      </w:r>
      <w:r w:rsidRPr="0033639F">
        <w:rPr>
          <w:rFonts w:ascii="Arial" w:hAnsi="Arial" w:cs="Arial"/>
          <w:i/>
          <w:iCs/>
          <w:sz w:val="22"/>
          <w:szCs w:val="22"/>
        </w:rPr>
        <w:t>in utero</w:t>
      </w:r>
      <w:r w:rsidRPr="0033639F">
        <w:rPr>
          <w:rFonts w:ascii="Arial" w:hAnsi="Arial" w:cs="Arial"/>
          <w:sz w:val="22"/>
          <w:szCs w:val="22"/>
        </w:rPr>
        <w:t>, GH is not an essential growth factor</w:t>
      </w:r>
      <w:r w:rsidRPr="0033639F">
        <w:rPr>
          <w:rFonts w:ascii="Arial" w:hAnsi="Arial" w:cs="Arial"/>
          <w:noProof/>
          <w:sz w:val="22"/>
          <w:szCs w:val="22"/>
        </w:rPr>
        <w:t xml:space="preserve"> </w:t>
      </w:r>
      <w:r w:rsidR="00157055" w:rsidRPr="0033639F">
        <w:rPr>
          <w:rFonts w:ascii="Arial" w:hAnsi="Arial" w:cs="Arial"/>
          <w:noProof/>
          <w:sz w:val="22"/>
          <w:szCs w:val="22"/>
        </w:rPr>
        <w:t>(</w:t>
      </w:r>
      <w:r w:rsidR="00AB03BD" w:rsidRPr="0033639F">
        <w:rPr>
          <w:rFonts w:ascii="Arial" w:hAnsi="Arial" w:cs="Arial"/>
          <w:noProof/>
          <w:sz w:val="22"/>
          <w:szCs w:val="22"/>
        </w:rPr>
        <w:t>41</w:t>
      </w:r>
      <w:r w:rsidR="00157055" w:rsidRPr="0033639F">
        <w:rPr>
          <w:rFonts w:ascii="Arial" w:hAnsi="Arial" w:cs="Arial"/>
          <w:noProof/>
          <w:sz w:val="22"/>
          <w:szCs w:val="22"/>
        </w:rPr>
        <w:t>,</w:t>
      </w:r>
      <w:r w:rsidR="00AB03BD" w:rsidRPr="0033639F">
        <w:rPr>
          <w:rFonts w:ascii="Arial" w:hAnsi="Arial" w:cs="Arial"/>
          <w:noProof/>
          <w:sz w:val="22"/>
          <w:szCs w:val="22"/>
        </w:rPr>
        <w:t>42</w:t>
      </w:r>
      <w:r w:rsidR="00157055" w:rsidRPr="0033639F">
        <w:rPr>
          <w:rFonts w:ascii="Arial" w:hAnsi="Arial" w:cs="Arial"/>
          <w:noProof/>
          <w:sz w:val="22"/>
          <w:szCs w:val="22"/>
        </w:rPr>
        <w:t>)</w:t>
      </w:r>
      <w:r w:rsidRPr="0033639F">
        <w:rPr>
          <w:rFonts w:ascii="Arial" w:hAnsi="Arial" w:cs="Arial"/>
          <w:sz w:val="22"/>
          <w:szCs w:val="22"/>
        </w:rPr>
        <w:t>. Growth immediately after birth and during infancy may also be less dependent on circulating GH levels than during other phases of life. Patients with Type 1a deficiency initially respond to rhGH treatment well. However, about 1/3 of patients develop antibodies to GH which leads to markedly decreased final height as adults</w:t>
      </w:r>
      <w:r w:rsidR="00157055" w:rsidRPr="0033639F">
        <w:rPr>
          <w:rFonts w:ascii="Arial" w:hAnsi="Arial" w:cs="Arial"/>
          <w:sz w:val="22"/>
          <w:szCs w:val="22"/>
        </w:rPr>
        <w:t xml:space="preserve"> </w:t>
      </w:r>
      <w:r w:rsidR="00157055" w:rsidRPr="0033639F">
        <w:rPr>
          <w:rFonts w:ascii="Arial" w:hAnsi="Arial" w:cs="Arial"/>
          <w:noProof/>
          <w:sz w:val="22"/>
          <w:szCs w:val="22"/>
        </w:rPr>
        <w:t>(3</w:t>
      </w:r>
      <w:r w:rsidR="00AB03BD" w:rsidRPr="0033639F">
        <w:rPr>
          <w:rFonts w:ascii="Arial" w:hAnsi="Arial" w:cs="Arial"/>
          <w:noProof/>
          <w:sz w:val="22"/>
          <w:szCs w:val="22"/>
        </w:rPr>
        <w:t>4</w:t>
      </w:r>
      <w:r w:rsidR="00157055"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The exact prevalence of Type 1a deficiency is not known, and most reported families are consanguineous</w:t>
      </w:r>
      <w:r w:rsidR="00157055" w:rsidRPr="0033639F">
        <w:rPr>
          <w:rFonts w:ascii="Arial" w:hAnsi="Arial" w:cs="Arial"/>
          <w:sz w:val="22"/>
          <w:szCs w:val="22"/>
        </w:rPr>
        <w:t xml:space="preserve"> </w:t>
      </w:r>
      <w:r w:rsidR="00157055" w:rsidRPr="0033639F">
        <w:rPr>
          <w:rFonts w:ascii="Arial" w:hAnsi="Arial" w:cs="Arial"/>
          <w:noProof/>
          <w:sz w:val="22"/>
          <w:szCs w:val="22"/>
        </w:rPr>
        <w:t>(</w:t>
      </w:r>
      <w:r w:rsidR="00AB03BD" w:rsidRPr="0033639F">
        <w:rPr>
          <w:rFonts w:ascii="Arial" w:hAnsi="Arial" w:cs="Arial"/>
          <w:noProof/>
          <w:sz w:val="22"/>
          <w:szCs w:val="22"/>
        </w:rPr>
        <w:t>34</w:t>
      </w:r>
      <w:r w:rsidR="00157055"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Mutations in Type 1a have been described in </w:t>
      </w:r>
      <w:r w:rsidRPr="0033639F">
        <w:rPr>
          <w:rFonts w:ascii="Arial" w:hAnsi="Arial" w:cs="Arial"/>
          <w:i/>
          <w:iCs/>
          <w:sz w:val="22"/>
          <w:szCs w:val="22"/>
        </w:rPr>
        <w:t>GH1</w:t>
      </w:r>
      <w:r w:rsidRPr="0033639F">
        <w:rPr>
          <w:rFonts w:ascii="Arial" w:hAnsi="Arial" w:cs="Arial"/>
          <w:sz w:val="22"/>
          <w:szCs w:val="22"/>
        </w:rPr>
        <w:t xml:space="preserve"> and </w:t>
      </w:r>
      <w:r w:rsidRPr="0033639F">
        <w:rPr>
          <w:rFonts w:ascii="Arial" w:hAnsi="Arial" w:cs="Arial"/>
          <w:i/>
          <w:iCs/>
          <w:sz w:val="22"/>
          <w:szCs w:val="22"/>
        </w:rPr>
        <w:t>GHRHR</w:t>
      </w:r>
      <w:r w:rsidRPr="0033639F">
        <w:rPr>
          <w:rFonts w:ascii="Arial" w:hAnsi="Arial" w:cs="Arial"/>
          <w:sz w:val="22"/>
          <w:szCs w:val="22"/>
        </w:rPr>
        <w:t>-including nonsense mutations, microdeletions/</w:t>
      </w:r>
      <w:r w:rsidR="00BD0C04" w:rsidRPr="0033639F">
        <w:rPr>
          <w:rFonts w:ascii="Arial" w:hAnsi="Arial" w:cs="Arial"/>
          <w:sz w:val="22"/>
          <w:szCs w:val="22"/>
        </w:rPr>
        <w:t>frameshifts</w:t>
      </w:r>
      <w:r w:rsidRPr="0033639F">
        <w:rPr>
          <w:rFonts w:ascii="Arial" w:hAnsi="Arial" w:cs="Arial"/>
          <w:sz w:val="22"/>
          <w:szCs w:val="22"/>
        </w:rPr>
        <w:t xml:space="preserve">, and missense mutations. </w:t>
      </w:r>
    </w:p>
    <w:p w14:paraId="73570603" w14:textId="0648B65D" w:rsidR="00803B01" w:rsidRDefault="00803B01" w:rsidP="004A26B9">
      <w:pPr>
        <w:spacing w:line="276" w:lineRule="auto"/>
        <w:rPr>
          <w:rFonts w:ascii="Arial" w:hAnsi="Arial" w:cs="Arial"/>
          <w:color w:val="7030A0"/>
          <w:sz w:val="22"/>
          <w:szCs w:val="22"/>
        </w:rPr>
      </w:pPr>
      <w:r w:rsidRPr="0033639F">
        <w:rPr>
          <w:rFonts w:ascii="Arial" w:hAnsi="Arial" w:cs="Arial"/>
          <w:sz w:val="22"/>
          <w:szCs w:val="22"/>
        </w:rPr>
        <w:t xml:space="preserve">b) Type 1b deficiency represents a state of partial - rather than an absolute - deficiency of GH, with measurable (but insufficient) serum GH. Therefore, Type 1b is milder than Type 1a deficiency. Patients with Type 1b deficiency do not typically present with mid-facial hypoplasia or microphallus. They also have a good response to GH treatment without developing GH antibodies. Most cases of Type 1b GH deficiency are caused by missense and/or splice site mutations in the </w:t>
      </w:r>
      <w:r w:rsidRPr="0033639F">
        <w:rPr>
          <w:rFonts w:ascii="Arial" w:hAnsi="Arial" w:cs="Arial"/>
          <w:i/>
          <w:iCs/>
          <w:sz w:val="22"/>
          <w:szCs w:val="22"/>
        </w:rPr>
        <w:t>GH1</w:t>
      </w:r>
      <w:r w:rsidRPr="0033639F">
        <w:rPr>
          <w:rFonts w:ascii="Arial" w:hAnsi="Arial" w:cs="Arial"/>
          <w:sz w:val="22"/>
          <w:szCs w:val="22"/>
        </w:rPr>
        <w:t xml:space="preserve"> and </w:t>
      </w:r>
      <w:r w:rsidRPr="0033639F">
        <w:rPr>
          <w:rFonts w:ascii="Arial" w:hAnsi="Arial" w:cs="Arial"/>
          <w:i/>
          <w:iCs/>
          <w:sz w:val="22"/>
          <w:szCs w:val="22"/>
        </w:rPr>
        <w:t>GHRHR</w:t>
      </w:r>
      <w:r w:rsidRPr="0033639F">
        <w:rPr>
          <w:rFonts w:ascii="Arial" w:hAnsi="Arial" w:cs="Arial"/>
          <w:sz w:val="22"/>
          <w:szCs w:val="22"/>
        </w:rPr>
        <w:t xml:space="preserve"> genes</w:t>
      </w:r>
      <w:r w:rsidRPr="0033639F">
        <w:rPr>
          <w:rFonts w:ascii="Arial" w:hAnsi="Arial" w:cs="Arial"/>
          <w:noProof/>
          <w:sz w:val="22"/>
          <w:szCs w:val="22"/>
        </w:rPr>
        <w:t xml:space="preserve"> </w:t>
      </w:r>
      <w:r w:rsidR="00157055" w:rsidRPr="0033639F">
        <w:rPr>
          <w:rFonts w:ascii="Arial" w:hAnsi="Arial" w:cs="Arial"/>
          <w:noProof/>
          <w:sz w:val="22"/>
          <w:szCs w:val="22"/>
        </w:rPr>
        <w:t>(</w:t>
      </w:r>
      <w:r w:rsidR="00AB03BD" w:rsidRPr="0033639F">
        <w:rPr>
          <w:rFonts w:ascii="Arial" w:hAnsi="Arial" w:cs="Arial"/>
          <w:noProof/>
          <w:sz w:val="22"/>
          <w:szCs w:val="22"/>
        </w:rPr>
        <w:t>43</w:t>
      </w:r>
      <w:r w:rsidR="00157055" w:rsidRPr="0033639F">
        <w:rPr>
          <w:rFonts w:ascii="Arial" w:hAnsi="Arial" w:cs="Arial"/>
          <w:noProof/>
          <w:sz w:val="22"/>
          <w:szCs w:val="22"/>
        </w:rPr>
        <w:t>)</w:t>
      </w:r>
      <w:r w:rsidRPr="0033639F">
        <w:rPr>
          <w:rFonts w:ascii="Arial" w:hAnsi="Arial" w:cs="Arial"/>
          <w:color w:val="7030A0"/>
          <w:sz w:val="22"/>
          <w:szCs w:val="22"/>
        </w:rPr>
        <w:t>.</w:t>
      </w:r>
    </w:p>
    <w:p w14:paraId="58D97042" w14:textId="77777777" w:rsidR="0035723A" w:rsidRPr="0033639F" w:rsidRDefault="0035723A" w:rsidP="004A26B9">
      <w:pPr>
        <w:spacing w:line="276" w:lineRule="auto"/>
        <w:rPr>
          <w:rFonts w:ascii="Arial" w:hAnsi="Arial" w:cs="Arial"/>
          <w:sz w:val="22"/>
          <w:szCs w:val="22"/>
        </w:rPr>
      </w:pPr>
    </w:p>
    <w:p w14:paraId="6C8E95FA" w14:textId="750AA7F5" w:rsidR="00803B01" w:rsidRPr="006D3D53" w:rsidRDefault="00803B01" w:rsidP="004A26B9">
      <w:pPr>
        <w:pStyle w:val="ListParagraph"/>
        <w:numPr>
          <w:ilvl w:val="0"/>
          <w:numId w:val="20"/>
        </w:numPr>
        <w:spacing w:line="276" w:lineRule="auto"/>
        <w:ind w:left="0" w:firstLine="0"/>
        <w:rPr>
          <w:rFonts w:ascii="Arial" w:hAnsi="Arial" w:cs="Arial"/>
          <w:sz w:val="22"/>
          <w:szCs w:val="22"/>
        </w:rPr>
      </w:pPr>
      <w:r w:rsidRPr="006D3D53">
        <w:rPr>
          <w:rFonts w:ascii="Arial" w:hAnsi="Arial" w:cs="Arial"/>
          <w:sz w:val="22"/>
          <w:szCs w:val="22"/>
        </w:rPr>
        <w:t>Type 2 GH deficiency is an autosomal dominantly inherited disorder with reduced secretion of GH. Patients with Type 2 GHD usually do not have any pituitary abnormality</w:t>
      </w:r>
      <w:r w:rsidR="00157055" w:rsidRPr="006D3D53">
        <w:rPr>
          <w:rFonts w:ascii="Arial" w:hAnsi="Arial" w:cs="Arial"/>
          <w:sz w:val="22"/>
          <w:szCs w:val="22"/>
        </w:rPr>
        <w:t xml:space="preserve"> </w:t>
      </w:r>
      <w:r w:rsidR="00157055" w:rsidRPr="006D3D53">
        <w:rPr>
          <w:rFonts w:ascii="Arial" w:hAnsi="Arial" w:cs="Arial"/>
          <w:noProof/>
          <w:sz w:val="22"/>
          <w:szCs w:val="22"/>
        </w:rPr>
        <w:t>(</w:t>
      </w:r>
      <w:r w:rsidR="00AB03BD" w:rsidRPr="006D3D53">
        <w:rPr>
          <w:rFonts w:ascii="Arial" w:hAnsi="Arial" w:cs="Arial"/>
          <w:noProof/>
          <w:sz w:val="22"/>
          <w:szCs w:val="22"/>
        </w:rPr>
        <w:t>44</w:t>
      </w:r>
      <w:r w:rsidR="00157055" w:rsidRPr="006D3D53">
        <w:rPr>
          <w:rFonts w:ascii="Arial" w:hAnsi="Arial" w:cs="Arial"/>
          <w:noProof/>
          <w:sz w:val="22"/>
          <w:szCs w:val="22"/>
        </w:rPr>
        <w:t>)</w:t>
      </w:r>
      <w:r w:rsidRPr="006D3D53">
        <w:rPr>
          <w:rFonts w:ascii="Arial" w:hAnsi="Arial" w:cs="Arial"/>
          <w:sz w:val="22"/>
          <w:szCs w:val="22"/>
        </w:rPr>
        <w:t>. However, recently, it has been shown that their pituitary may become small over time</w:t>
      </w:r>
      <w:r w:rsidR="00157055" w:rsidRPr="006D3D53">
        <w:rPr>
          <w:rFonts w:ascii="Arial" w:hAnsi="Arial" w:cs="Arial"/>
          <w:sz w:val="22"/>
          <w:szCs w:val="22"/>
        </w:rPr>
        <w:t xml:space="preserve"> </w:t>
      </w:r>
      <w:r w:rsidR="00157055" w:rsidRPr="006D3D53">
        <w:rPr>
          <w:rFonts w:ascii="Arial" w:hAnsi="Arial" w:cs="Arial"/>
          <w:noProof/>
          <w:sz w:val="22"/>
          <w:szCs w:val="22"/>
        </w:rPr>
        <w:t>(</w:t>
      </w:r>
      <w:r w:rsidR="00AB03BD" w:rsidRPr="006D3D53">
        <w:rPr>
          <w:rFonts w:ascii="Arial" w:hAnsi="Arial" w:cs="Arial"/>
          <w:noProof/>
          <w:sz w:val="22"/>
          <w:szCs w:val="22"/>
        </w:rPr>
        <w:t>45</w:t>
      </w:r>
      <w:r w:rsidR="00157055" w:rsidRPr="006D3D53">
        <w:rPr>
          <w:rFonts w:ascii="Arial" w:hAnsi="Arial" w:cs="Arial"/>
          <w:noProof/>
          <w:sz w:val="22"/>
          <w:szCs w:val="22"/>
        </w:rPr>
        <w:t>)</w:t>
      </w:r>
      <w:r w:rsidRPr="006D3D53">
        <w:rPr>
          <w:rFonts w:ascii="Arial" w:hAnsi="Arial" w:cs="Arial"/>
          <w:sz w:val="22"/>
          <w:szCs w:val="22"/>
        </w:rPr>
        <w:t xml:space="preserve">. They have a good response to GH treatment. This type of GH deficiency is intuitively less clear, since autosomal dominant conditions generally occur </w:t>
      </w:r>
      <w:r w:rsidR="00180A42" w:rsidRPr="006D3D53">
        <w:rPr>
          <w:rFonts w:ascii="Arial" w:hAnsi="Arial" w:cs="Arial"/>
          <w:sz w:val="22"/>
          <w:szCs w:val="22"/>
        </w:rPr>
        <w:t>because of</w:t>
      </w:r>
      <w:r w:rsidRPr="006D3D53">
        <w:rPr>
          <w:rFonts w:ascii="Arial" w:hAnsi="Arial" w:cs="Arial"/>
          <w:sz w:val="22"/>
          <w:szCs w:val="22"/>
        </w:rPr>
        <w:t xml:space="preserve"> either haploinsufficiency or secondary to dominant-negative activity. Haploinsufficiency, however, has not been demonstrated in the obligate heterozygote carriers of individuals harboring </w:t>
      </w:r>
      <w:r w:rsidRPr="006D3D53">
        <w:rPr>
          <w:rFonts w:ascii="Arial" w:hAnsi="Arial" w:cs="Arial"/>
          <w:i/>
          <w:iCs/>
          <w:sz w:val="22"/>
          <w:szCs w:val="22"/>
        </w:rPr>
        <w:t>GH1</w:t>
      </w:r>
      <w:r w:rsidRPr="006D3D53">
        <w:rPr>
          <w:rFonts w:ascii="Arial" w:hAnsi="Arial" w:cs="Arial"/>
          <w:sz w:val="22"/>
          <w:szCs w:val="22"/>
        </w:rPr>
        <w:t xml:space="preserve"> deletions, and is therefore an unlikely explanation. Dominant-negative activity is usually associated with multimeric proteins, also making this explanation less intuitive. Type 2 GHD appears to be the most common form of </w:t>
      </w:r>
      <w:r w:rsidR="000E50BF" w:rsidRPr="006D3D53">
        <w:rPr>
          <w:rFonts w:ascii="Arial" w:hAnsi="Arial" w:cs="Arial"/>
          <w:sz w:val="22"/>
          <w:szCs w:val="22"/>
        </w:rPr>
        <w:t>IGHD,</w:t>
      </w:r>
      <w:r w:rsidRPr="006D3D53">
        <w:rPr>
          <w:rFonts w:ascii="Arial" w:hAnsi="Arial" w:cs="Arial"/>
          <w:sz w:val="22"/>
          <w:szCs w:val="22"/>
        </w:rPr>
        <w:t xml:space="preserve"> and many mutations have been identified in </w:t>
      </w:r>
      <w:r w:rsidRPr="006D3D53">
        <w:rPr>
          <w:rFonts w:ascii="Arial" w:hAnsi="Arial" w:cs="Arial"/>
          <w:i/>
          <w:iCs/>
          <w:sz w:val="22"/>
          <w:szCs w:val="22"/>
        </w:rPr>
        <w:t>GH1</w:t>
      </w:r>
      <w:r w:rsidRPr="006D3D53">
        <w:rPr>
          <w:rFonts w:ascii="Arial" w:hAnsi="Arial" w:cs="Arial"/>
          <w:sz w:val="22"/>
          <w:szCs w:val="22"/>
        </w:rPr>
        <w:t xml:space="preserve"> including splicing </w:t>
      </w:r>
      <w:r w:rsidRPr="006D3D53">
        <w:rPr>
          <w:rFonts w:ascii="Arial" w:hAnsi="Arial" w:cs="Arial"/>
          <w:sz w:val="22"/>
          <w:szCs w:val="22"/>
        </w:rPr>
        <w:lastRenderedPageBreak/>
        <w:t>and missense mutations</w:t>
      </w:r>
      <w:r w:rsidR="00157055" w:rsidRPr="006D3D53">
        <w:rPr>
          <w:rFonts w:ascii="Arial" w:hAnsi="Arial" w:cs="Arial"/>
          <w:sz w:val="22"/>
          <w:szCs w:val="22"/>
        </w:rPr>
        <w:t xml:space="preserve"> </w:t>
      </w:r>
      <w:r w:rsidR="00157055" w:rsidRPr="006D3D53">
        <w:rPr>
          <w:rFonts w:ascii="Arial" w:hAnsi="Arial" w:cs="Arial"/>
          <w:noProof/>
          <w:sz w:val="22"/>
          <w:szCs w:val="22"/>
        </w:rPr>
        <w:t>(4</w:t>
      </w:r>
      <w:r w:rsidR="00AB03BD" w:rsidRPr="006D3D53">
        <w:rPr>
          <w:rFonts w:ascii="Arial" w:hAnsi="Arial" w:cs="Arial"/>
          <w:noProof/>
          <w:sz w:val="22"/>
          <w:szCs w:val="22"/>
        </w:rPr>
        <w:t>6</w:t>
      </w:r>
      <w:r w:rsidR="00157055" w:rsidRPr="006D3D53">
        <w:rPr>
          <w:rFonts w:ascii="Arial" w:hAnsi="Arial" w:cs="Arial"/>
          <w:noProof/>
          <w:sz w:val="22"/>
          <w:szCs w:val="22"/>
        </w:rPr>
        <w:t>–</w:t>
      </w:r>
      <w:r w:rsidR="00AB03BD" w:rsidRPr="006D3D53">
        <w:rPr>
          <w:rFonts w:ascii="Arial" w:hAnsi="Arial" w:cs="Arial"/>
          <w:noProof/>
          <w:sz w:val="22"/>
          <w:szCs w:val="22"/>
        </w:rPr>
        <w:t>53</w:t>
      </w:r>
      <w:r w:rsidR="00157055" w:rsidRPr="006D3D53">
        <w:rPr>
          <w:rFonts w:ascii="Arial" w:hAnsi="Arial" w:cs="Arial"/>
          <w:noProof/>
          <w:sz w:val="22"/>
          <w:szCs w:val="22"/>
        </w:rPr>
        <w:t>)</w:t>
      </w:r>
      <w:r w:rsidRPr="006D3D53">
        <w:rPr>
          <w:rFonts w:ascii="Arial" w:hAnsi="Arial" w:cs="Arial"/>
          <w:sz w:val="22"/>
          <w:szCs w:val="22"/>
        </w:rPr>
        <w:t xml:space="preserve">. Recent studies suggest that </w:t>
      </w:r>
      <w:r w:rsidRPr="006D3D53">
        <w:rPr>
          <w:rFonts w:ascii="Arial" w:hAnsi="Arial" w:cs="Arial"/>
          <w:i/>
          <w:iCs/>
          <w:sz w:val="22"/>
          <w:szCs w:val="22"/>
        </w:rPr>
        <w:t>GH1</w:t>
      </w:r>
      <w:r w:rsidRPr="006D3D53">
        <w:rPr>
          <w:rFonts w:ascii="Arial" w:hAnsi="Arial" w:cs="Arial"/>
          <w:sz w:val="22"/>
          <w:szCs w:val="22"/>
        </w:rPr>
        <w:t xml:space="preserve"> may not be the only gene involved in Type 2 GHD. Screening 30 families with autosomal dominant IGHD did not show any </w:t>
      </w:r>
      <w:r w:rsidRPr="006D3D53">
        <w:rPr>
          <w:rFonts w:ascii="Arial" w:hAnsi="Arial" w:cs="Arial"/>
          <w:i/>
          <w:iCs/>
          <w:sz w:val="22"/>
          <w:szCs w:val="22"/>
        </w:rPr>
        <w:t>GH1</w:t>
      </w:r>
      <w:r w:rsidRPr="006D3D53">
        <w:rPr>
          <w:rFonts w:ascii="Arial" w:hAnsi="Arial" w:cs="Arial"/>
          <w:sz w:val="22"/>
          <w:szCs w:val="22"/>
        </w:rPr>
        <w:t xml:space="preserve"> mutations, raising the possibility of other gene(s) </w:t>
      </w:r>
      <w:r w:rsidR="00FE1C4D" w:rsidRPr="006D3D53">
        <w:rPr>
          <w:rFonts w:ascii="Arial" w:hAnsi="Arial" w:cs="Arial"/>
          <w:sz w:val="22"/>
          <w:szCs w:val="22"/>
        </w:rPr>
        <w:t>being</w:t>
      </w:r>
      <w:r w:rsidRPr="006D3D53">
        <w:rPr>
          <w:rFonts w:ascii="Arial" w:hAnsi="Arial" w:cs="Arial"/>
          <w:sz w:val="22"/>
          <w:szCs w:val="22"/>
        </w:rPr>
        <w:t xml:space="preserve"> involved</w:t>
      </w:r>
      <w:r w:rsidRPr="006D3D53">
        <w:rPr>
          <w:rFonts w:ascii="Arial" w:hAnsi="Arial" w:cs="Arial"/>
          <w:noProof/>
          <w:sz w:val="22"/>
          <w:szCs w:val="22"/>
        </w:rPr>
        <w:t xml:space="preserve"> </w:t>
      </w:r>
      <w:r w:rsidR="00157055" w:rsidRPr="006D3D53">
        <w:rPr>
          <w:rFonts w:ascii="Arial" w:hAnsi="Arial" w:cs="Arial"/>
          <w:noProof/>
          <w:sz w:val="22"/>
          <w:szCs w:val="22"/>
        </w:rPr>
        <w:t>(</w:t>
      </w:r>
      <w:r w:rsidR="00AB03BD" w:rsidRPr="006D3D53">
        <w:rPr>
          <w:rFonts w:ascii="Arial" w:hAnsi="Arial" w:cs="Arial"/>
          <w:noProof/>
          <w:sz w:val="22"/>
          <w:szCs w:val="22"/>
        </w:rPr>
        <w:t>54</w:t>
      </w:r>
      <w:r w:rsidR="00157055" w:rsidRPr="006D3D53">
        <w:rPr>
          <w:rFonts w:ascii="Arial" w:hAnsi="Arial" w:cs="Arial"/>
          <w:noProof/>
          <w:sz w:val="22"/>
          <w:szCs w:val="22"/>
        </w:rPr>
        <w:t>)</w:t>
      </w:r>
      <w:r w:rsidRPr="006D3D53">
        <w:rPr>
          <w:rFonts w:ascii="Arial" w:hAnsi="Arial" w:cs="Arial"/>
          <w:sz w:val="22"/>
          <w:szCs w:val="22"/>
        </w:rPr>
        <w:t xml:space="preserve">. </w:t>
      </w:r>
    </w:p>
    <w:p w14:paraId="02294E0D" w14:textId="77777777" w:rsidR="006D3D53" w:rsidRPr="006D3D53" w:rsidRDefault="006D3D53" w:rsidP="004A26B9">
      <w:pPr>
        <w:pStyle w:val="ListParagraph"/>
        <w:spacing w:line="276" w:lineRule="auto"/>
        <w:ind w:left="0"/>
        <w:rPr>
          <w:rFonts w:ascii="Arial" w:hAnsi="Arial" w:cs="Arial"/>
          <w:sz w:val="22"/>
          <w:szCs w:val="22"/>
        </w:rPr>
      </w:pPr>
    </w:p>
    <w:p w14:paraId="351C7F72" w14:textId="34C40A0A" w:rsidR="00803B01" w:rsidRPr="001019A2" w:rsidRDefault="00803B01" w:rsidP="004A26B9">
      <w:pPr>
        <w:pStyle w:val="ListParagraph"/>
        <w:numPr>
          <w:ilvl w:val="0"/>
          <w:numId w:val="20"/>
        </w:numPr>
        <w:spacing w:line="276" w:lineRule="auto"/>
        <w:ind w:left="0" w:firstLine="0"/>
        <w:rPr>
          <w:rFonts w:ascii="Arial" w:hAnsi="Arial" w:cs="Arial"/>
          <w:sz w:val="22"/>
          <w:szCs w:val="22"/>
        </w:rPr>
      </w:pPr>
      <w:r w:rsidRPr="001019A2">
        <w:rPr>
          <w:rFonts w:ascii="Arial" w:hAnsi="Arial" w:cs="Arial"/>
          <w:sz w:val="22"/>
          <w:szCs w:val="22"/>
        </w:rPr>
        <w:t xml:space="preserve">Type 3 growth hormone deficiency is inherited in an X-linked recessive manner. There are no candidate genes and no compelling explanations for this condition. There are no reported mutations of the </w:t>
      </w:r>
      <w:r w:rsidRPr="001019A2">
        <w:rPr>
          <w:rFonts w:ascii="Arial" w:hAnsi="Arial" w:cs="Arial"/>
          <w:i/>
          <w:iCs/>
          <w:sz w:val="22"/>
          <w:szCs w:val="22"/>
        </w:rPr>
        <w:t>GH-1</w:t>
      </w:r>
      <w:r w:rsidRPr="001019A2">
        <w:rPr>
          <w:rFonts w:ascii="Arial" w:hAnsi="Arial" w:cs="Arial"/>
          <w:sz w:val="22"/>
          <w:szCs w:val="22"/>
        </w:rPr>
        <w:t xml:space="preserve"> gene in Type 3 GHD. In addition to short stature, patients may also have agammaglobulinemia</w:t>
      </w:r>
      <w:r w:rsidRPr="001019A2">
        <w:rPr>
          <w:rFonts w:ascii="Arial" w:hAnsi="Arial" w:cs="Arial"/>
          <w:noProof/>
          <w:sz w:val="22"/>
          <w:szCs w:val="22"/>
        </w:rPr>
        <w:t xml:space="preserve"> </w:t>
      </w:r>
      <w:r w:rsidR="00157055" w:rsidRPr="001019A2">
        <w:rPr>
          <w:rFonts w:ascii="Arial" w:hAnsi="Arial" w:cs="Arial"/>
          <w:noProof/>
          <w:sz w:val="22"/>
          <w:szCs w:val="22"/>
        </w:rPr>
        <w:t>(3</w:t>
      </w:r>
      <w:r w:rsidR="00AB03BD" w:rsidRPr="001019A2">
        <w:rPr>
          <w:rFonts w:ascii="Arial" w:hAnsi="Arial" w:cs="Arial"/>
          <w:noProof/>
          <w:sz w:val="22"/>
          <w:szCs w:val="22"/>
        </w:rPr>
        <w:t>4</w:t>
      </w:r>
      <w:r w:rsidR="00157055" w:rsidRPr="001019A2">
        <w:rPr>
          <w:rFonts w:ascii="Arial" w:hAnsi="Arial" w:cs="Arial"/>
          <w:noProof/>
          <w:sz w:val="22"/>
          <w:szCs w:val="22"/>
        </w:rPr>
        <w:t>)</w:t>
      </w:r>
      <w:r w:rsidRPr="001019A2">
        <w:rPr>
          <w:rFonts w:ascii="Arial" w:hAnsi="Arial" w:cs="Arial"/>
          <w:color w:val="7030A0"/>
          <w:sz w:val="22"/>
          <w:szCs w:val="22"/>
        </w:rPr>
        <w:t>.</w:t>
      </w:r>
      <w:r w:rsidRPr="001019A2">
        <w:rPr>
          <w:rFonts w:ascii="Arial" w:hAnsi="Arial" w:cs="Arial"/>
          <w:sz w:val="22"/>
          <w:szCs w:val="22"/>
        </w:rPr>
        <w:t xml:space="preserve"> </w:t>
      </w:r>
    </w:p>
    <w:p w14:paraId="3E2E2155" w14:textId="77777777" w:rsidR="001019A2" w:rsidRPr="001019A2" w:rsidRDefault="001019A2" w:rsidP="001E5165">
      <w:pPr>
        <w:pStyle w:val="ListParagraph"/>
        <w:spacing w:line="276" w:lineRule="auto"/>
        <w:ind w:left="0" w:firstLine="576"/>
        <w:rPr>
          <w:rFonts w:ascii="Arial" w:hAnsi="Arial" w:cs="Arial"/>
          <w:sz w:val="22"/>
          <w:szCs w:val="22"/>
        </w:rPr>
      </w:pPr>
    </w:p>
    <w:p w14:paraId="21521A59" w14:textId="44801CBC"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Table 2 summarizes </w:t>
      </w:r>
      <w:r w:rsidR="000E50BF">
        <w:rPr>
          <w:rFonts w:ascii="Arial" w:hAnsi="Arial" w:cs="Arial"/>
          <w:sz w:val="22"/>
          <w:szCs w:val="22"/>
        </w:rPr>
        <w:t xml:space="preserve">the </w:t>
      </w:r>
      <w:r w:rsidRPr="0033639F">
        <w:rPr>
          <w:rFonts w:ascii="Arial" w:hAnsi="Arial" w:cs="Arial"/>
          <w:sz w:val="22"/>
          <w:szCs w:val="22"/>
        </w:rPr>
        <w:t>phenotype</w:t>
      </w:r>
      <w:r w:rsidR="00E10A7B">
        <w:rPr>
          <w:rFonts w:ascii="Arial" w:hAnsi="Arial" w:cs="Arial"/>
          <w:sz w:val="22"/>
          <w:szCs w:val="22"/>
        </w:rPr>
        <w:t>s</w:t>
      </w:r>
      <w:r w:rsidRPr="0033639F">
        <w:rPr>
          <w:rFonts w:ascii="Arial" w:hAnsi="Arial" w:cs="Arial"/>
          <w:sz w:val="22"/>
          <w:szCs w:val="22"/>
        </w:rPr>
        <w:t xml:space="preserve"> of mutations involved in human pituitary transcription factors causing IGHD and MPHD and their mode of inheritance. </w:t>
      </w:r>
    </w:p>
    <w:p w14:paraId="5416CEEB" w14:textId="77777777" w:rsidR="001019A2" w:rsidRPr="0033639F" w:rsidRDefault="001019A2" w:rsidP="0033639F">
      <w:pPr>
        <w:spacing w:line="276" w:lineRule="auto"/>
        <w:rPr>
          <w:rFonts w:ascii="Arial" w:hAnsi="Arial" w:cs="Arial"/>
          <w:sz w:val="22"/>
          <w:szCs w:val="22"/>
        </w:rPr>
      </w:pPr>
    </w:p>
    <w:tbl>
      <w:tblPr>
        <w:tblStyle w:val="TableGrid"/>
        <w:tblW w:w="0" w:type="auto"/>
        <w:tblLook w:val="0100" w:firstRow="0" w:lastRow="0" w:firstColumn="0" w:lastColumn="1" w:noHBand="0" w:noVBand="0"/>
      </w:tblPr>
      <w:tblGrid>
        <w:gridCol w:w="1991"/>
        <w:gridCol w:w="5655"/>
        <w:gridCol w:w="1704"/>
      </w:tblGrid>
      <w:tr w:rsidR="00803B01" w:rsidRPr="0033639F" w14:paraId="7FF28B19" w14:textId="77777777" w:rsidTr="001019A2">
        <w:tc>
          <w:tcPr>
            <w:tcW w:w="0" w:type="auto"/>
            <w:gridSpan w:val="3"/>
            <w:shd w:val="clear" w:color="auto" w:fill="FFFF00"/>
          </w:tcPr>
          <w:p w14:paraId="65C98B51" w14:textId="77777777" w:rsidR="00803B01" w:rsidRPr="0033639F" w:rsidRDefault="00803B01" w:rsidP="0033639F">
            <w:pPr>
              <w:spacing w:line="276" w:lineRule="auto"/>
              <w:rPr>
                <w:rFonts w:ascii="Arial" w:hAnsi="Arial" w:cs="Arial"/>
                <w:b/>
                <w:bCs/>
                <w:sz w:val="22"/>
                <w:szCs w:val="22"/>
              </w:rPr>
            </w:pPr>
            <w:bookmarkStart w:id="9" w:name="id2505660"/>
            <w:bookmarkEnd w:id="9"/>
            <w:r w:rsidRPr="0033639F">
              <w:rPr>
                <w:rFonts w:ascii="Arial" w:hAnsi="Arial" w:cs="Arial"/>
                <w:b/>
                <w:bCs/>
                <w:sz w:val="22"/>
                <w:szCs w:val="22"/>
              </w:rPr>
              <w:t>Table 2. Genotype and Phenotype Correlations in Human Pituitary Transcription Factors</w:t>
            </w:r>
            <w:r w:rsidRPr="0033639F">
              <w:rPr>
                <w:rFonts w:ascii="Arial" w:hAnsi="Arial" w:cs="Arial"/>
                <w:sz w:val="22"/>
                <w:szCs w:val="22"/>
              </w:rPr>
              <w:t xml:space="preserve"> </w:t>
            </w:r>
          </w:p>
        </w:tc>
      </w:tr>
      <w:tr w:rsidR="00803B01" w:rsidRPr="0033639F" w14:paraId="5031B146" w14:textId="77777777" w:rsidTr="001019A2">
        <w:tc>
          <w:tcPr>
            <w:tcW w:w="0" w:type="auto"/>
          </w:tcPr>
          <w:p w14:paraId="16CF34C5"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Gene </w:t>
            </w:r>
          </w:p>
        </w:tc>
        <w:tc>
          <w:tcPr>
            <w:tcW w:w="5420" w:type="dxa"/>
          </w:tcPr>
          <w:p w14:paraId="2628389E"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Phenotype </w:t>
            </w:r>
          </w:p>
        </w:tc>
        <w:tc>
          <w:tcPr>
            <w:tcW w:w="1633" w:type="dxa"/>
          </w:tcPr>
          <w:p w14:paraId="7010D113"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Mode of Inheritance </w:t>
            </w:r>
          </w:p>
        </w:tc>
      </w:tr>
      <w:tr w:rsidR="00803B01" w:rsidRPr="0033639F" w14:paraId="20DBE957" w14:textId="77777777" w:rsidTr="001019A2">
        <w:tc>
          <w:tcPr>
            <w:tcW w:w="0" w:type="auto"/>
            <w:gridSpan w:val="3"/>
          </w:tcPr>
          <w:p w14:paraId="1D6AAF83"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IGHD </w:t>
            </w:r>
          </w:p>
        </w:tc>
      </w:tr>
      <w:tr w:rsidR="00803B01" w:rsidRPr="0033639F" w14:paraId="57104488" w14:textId="77777777" w:rsidTr="001019A2">
        <w:tc>
          <w:tcPr>
            <w:tcW w:w="0" w:type="auto"/>
          </w:tcPr>
          <w:p w14:paraId="2F9383A7" w14:textId="77777777" w:rsidR="00803B01" w:rsidRPr="0033639F" w:rsidRDefault="00803B01" w:rsidP="0033639F">
            <w:pPr>
              <w:pStyle w:val="ListParagraph"/>
              <w:spacing w:line="276" w:lineRule="auto"/>
              <w:ind w:left="0"/>
              <w:rPr>
                <w:rFonts w:ascii="Arial" w:hAnsi="Arial" w:cs="Arial"/>
                <w:i/>
                <w:iCs/>
                <w:sz w:val="22"/>
                <w:szCs w:val="22"/>
              </w:rPr>
            </w:pPr>
            <w:r w:rsidRPr="0033639F">
              <w:rPr>
                <w:rFonts w:ascii="Arial" w:hAnsi="Arial" w:cs="Arial"/>
                <w:i/>
                <w:iCs/>
                <w:sz w:val="22"/>
                <w:szCs w:val="22"/>
              </w:rPr>
              <w:t xml:space="preserve">GH-1 </w:t>
            </w:r>
          </w:p>
        </w:tc>
        <w:tc>
          <w:tcPr>
            <w:tcW w:w="5420" w:type="dxa"/>
          </w:tcPr>
          <w:p w14:paraId="492E575D"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IGHD type 1a/1b </w:t>
            </w:r>
          </w:p>
          <w:p w14:paraId="512DC343"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IGHD type 2 </w:t>
            </w:r>
          </w:p>
          <w:p w14:paraId="11DA5F62" w14:textId="1C21F950" w:rsidR="00FF2069" w:rsidRPr="0033639F" w:rsidRDefault="00FF2069" w:rsidP="0033639F">
            <w:pPr>
              <w:spacing w:line="276" w:lineRule="auto"/>
              <w:rPr>
                <w:rFonts w:ascii="Arial" w:hAnsi="Arial" w:cs="Arial"/>
                <w:sz w:val="22"/>
                <w:szCs w:val="22"/>
              </w:rPr>
            </w:pPr>
            <w:r w:rsidRPr="0033639F">
              <w:rPr>
                <w:rFonts w:ascii="Arial" w:hAnsi="Arial" w:cs="Arial"/>
                <w:sz w:val="22"/>
                <w:szCs w:val="22"/>
              </w:rPr>
              <w:t>IGHD type 3</w:t>
            </w:r>
          </w:p>
        </w:tc>
        <w:tc>
          <w:tcPr>
            <w:tcW w:w="1633" w:type="dxa"/>
          </w:tcPr>
          <w:p w14:paraId="0189E8DB"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AR </w:t>
            </w:r>
          </w:p>
          <w:p w14:paraId="169D7757"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AD </w:t>
            </w:r>
          </w:p>
          <w:p w14:paraId="22B6BA28" w14:textId="7FE8D1E0" w:rsidR="00FF2069" w:rsidRPr="0033639F" w:rsidRDefault="0003585A" w:rsidP="0033639F">
            <w:pPr>
              <w:spacing w:line="276" w:lineRule="auto"/>
              <w:rPr>
                <w:rFonts w:ascii="Arial" w:hAnsi="Arial" w:cs="Arial"/>
                <w:sz w:val="22"/>
                <w:szCs w:val="22"/>
              </w:rPr>
            </w:pPr>
            <w:r w:rsidRPr="0033639F">
              <w:rPr>
                <w:rFonts w:ascii="Arial" w:hAnsi="Arial" w:cs="Arial"/>
                <w:sz w:val="22"/>
                <w:szCs w:val="22"/>
              </w:rPr>
              <w:t>X-linked</w:t>
            </w:r>
          </w:p>
        </w:tc>
      </w:tr>
      <w:tr w:rsidR="00803B01" w:rsidRPr="0033639F" w14:paraId="1103D1FD" w14:textId="77777777" w:rsidTr="001019A2">
        <w:tc>
          <w:tcPr>
            <w:tcW w:w="0" w:type="auto"/>
          </w:tcPr>
          <w:p w14:paraId="2621FCFF" w14:textId="77777777" w:rsidR="00803B01" w:rsidRPr="0033639F" w:rsidRDefault="00803B01" w:rsidP="0033639F">
            <w:pPr>
              <w:pStyle w:val="ListParagraph"/>
              <w:spacing w:line="276" w:lineRule="auto"/>
              <w:ind w:left="0"/>
              <w:rPr>
                <w:rFonts w:ascii="Arial" w:hAnsi="Arial" w:cs="Arial"/>
                <w:sz w:val="22"/>
                <w:szCs w:val="22"/>
              </w:rPr>
            </w:pPr>
            <w:r w:rsidRPr="0033639F">
              <w:rPr>
                <w:rFonts w:ascii="Arial" w:hAnsi="Arial" w:cs="Arial"/>
                <w:i/>
                <w:iCs/>
                <w:sz w:val="22"/>
                <w:szCs w:val="22"/>
              </w:rPr>
              <w:t>GHRHR</w:t>
            </w:r>
            <w:r w:rsidRPr="0033639F">
              <w:rPr>
                <w:rFonts w:ascii="Arial" w:hAnsi="Arial" w:cs="Arial"/>
                <w:sz w:val="22"/>
                <w:szCs w:val="22"/>
              </w:rPr>
              <w:t xml:space="preserve"> </w:t>
            </w:r>
          </w:p>
        </w:tc>
        <w:tc>
          <w:tcPr>
            <w:tcW w:w="5420" w:type="dxa"/>
          </w:tcPr>
          <w:p w14:paraId="00F38DDE"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IGHD type 1b </w:t>
            </w:r>
          </w:p>
        </w:tc>
        <w:tc>
          <w:tcPr>
            <w:tcW w:w="1633" w:type="dxa"/>
          </w:tcPr>
          <w:p w14:paraId="1A963F37"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AR </w:t>
            </w:r>
          </w:p>
        </w:tc>
      </w:tr>
      <w:tr w:rsidR="00803B01" w:rsidRPr="0033639F" w14:paraId="1CA1537F" w14:textId="77777777" w:rsidTr="001019A2">
        <w:tc>
          <w:tcPr>
            <w:tcW w:w="0" w:type="auto"/>
            <w:gridSpan w:val="3"/>
          </w:tcPr>
          <w:p w14:paraId="5A9B8DF2"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MPHD </w:t>
            </w:r>
          </w:p>
        </w:tc>
      </w:tr>
      <w:tr w:rsidR="00803B01" w:rsidRPr="0033639F" w14:paraId="589BE87B" w14:textId="77777777" w:rsidTr="001019A2">
        <w:tc>
          <w:tcPr>
            <w:tcW w:w="0" w:type="auto"/>
          </w:tcPr>
          <w:p w14:paraId="740CF15F"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w:t>
            </w:r>
            <w:r w:rsidRPr="0033639F">
              <w:rPr>
                <w:rFonts w:ascii="Arial" w:hAnsi="Arial" w:cs="Arial"/>
                <w:i/>
                <w:iCs/>
                <w:sz w:val="22"/>
                <w:szCs w:val="22"/>
              </w:rPr>
              <w:t>LHX3 </w:t>
            </w:r>
            <w:r w:rsidRPr="0033639F">
              <w:rPr>
                <w:rFonts w:ascii="Arial" w:hAnsi="Arial" w:cs="Arial"/>
                <w:sz w:val="22"/>
                <w:szCs w:val="22"/>
              </w:rPr>
              <w:t xml:space="preserve"> </w:t>
            </w:r>
          </w:p>
        </w:tc>
        <w:tc>
          <w:tcPr>
            <w:tcW w:w="5420" w:type="dxa"/>
          </w:tcPr>
          <w:p w14:paraId="2F94B93B"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Deficiencies of GH, TSH, LH, FSH, PRL, rigid neck, small/normal/or enlarged anterior pituitary </w:t>
            </w:r>
          </w:p>
        </w:tc>
        <w:tc>
          <w:tcPr>
            <w:tcW w:w="1633" w:type="dxa"/>
          </w:tcPr>
          <w:p w14:paraId="7792DFAD"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AR </w:t>
            </w:r>
          </w:p>
        </w:tc>
      </w:tr>
      <w:tr w:rsidR="00803B01" w:rsidRPr="0033639F" w14:paraId="5E81EC30" w14:textId="77777777" w:rsidTr="001019A2">
        <w:tc>
          <w:tcPr>
            <w:tcW w:w="0" w:type="auto"/>
          </w:tcPr>
          <w:p w14:paraId="7032A19B"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w:t>
            </w:r>
            <w:r w:rsidRPr="0033639F">
              <w:rPr>
                <w:rFonts w:ascii="Arial" w:hAnsi="Arial" w:cs="Arial"/>
                <w:i/>
                <w:iCs/>
                <w:sz w:val="22"/>
                <w:szCs w:val="22"/>
              </w:rPr>
              <w:t>LHX4</w:t>
            </w:r>
          </w:p>
        </w:tc>
        <w:tc>
          <w:tcPr>
            <w:tcW w:w="5420" w:type="dxa"/>
          </w:tcPr>
          <w:p w14:paraId="616E98DD"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Deficiencies of GH, TSH and ACTH, small anterior pituitary, cerebellar and skull defects </w:t>
            </w:r>
          </w:p>
        </w:tc>
        <w:tc>
          <w:tcPr>
            <w:tcW w:w="1633" w:type="dxa"/>
          </w:tcPr>
          <w:p w14:paraId="6AEB434E"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AD </w:t>
            </w:r>
          </w:p>
        </w:tc>
      </w:tr>
      <w:tr w:rsidR="00803B01" w:rsidRPr="0033639F" w14:paraId="530A8B15" w14:textId="77777777" w:rsidTr="001019A2">
        <w:tc>
          <w:tcPr>
            <w:tcW w:w="0" w:type="auto"/>
          </w:tcPr>
          <w:p w14:paraId="394EDA29"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w:t>
            </w:r>
            <w:r w:rsidRPr="0033639F">
              <w:rPr>
                <w:rFonts w:ascii="Arial" w:hAnsi="Arial" w:cs="Arial"/>
                <w:i/>
                <w:iCs/>
                <w:sz w:val="22"/>
                <w:szCs w:val="22"/>
              </w:rPr>
              <w:t>HESX1</w:t>
            </w:r>
            <w:r w:rsidRPr="0033639F">
              <w:rPr>
                <w:rFonts w:ascii="Arial" w:hAnsi="Arial" w:cs="Arial"/>
                <w:sz w:val="22"/>
                <w:szCs w:val="22"/>
              </w:rPr>
              <w:t xml:space="preserve">  </w:t>
            </w:r>
          </w:p>
        </w:tc>
        <w:tc>
          <w:tcPr>
            <w:tcW w:w="5420" w:type="dxa"/>
          </w:tcPr>
          <w:p w14:paraId="21141FE0"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Hypopituitarism, optic nerve hypoplasia, agenesis of the corpus callosum, ectopic posterior pituitary </w:t>
            </w:r>
          </w:p>
        </w:tc>
        <w:tc>
          <w:tcPr>
            <w:tcW w:w="1633" w:type="dxa"/>
          </w:tcPr>
          <w:p w14:paraId="1C17AB12"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AR/AD </w:t>
            </w:r>
          </w:p>
        </w:tc>
      </w:tr>
      <w:tr w:rsidR="00803B01" w:rsidRPr="0033639F" w14:paraId="42D3A7DA" w14:textId="77777777" w:rsidTr="001019A2">
        <w:tc>
          <w:tcPr>
            <w:tcW w:w="0" w:type="auto"/>
          </w:tcPr>
          <w:p w14:paraId="568691A6"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w:t>
            </w:r>
            <w:r w:rsidRPr="0033639F">
              <w:rPr>
                <w:rFonts w:ascii="Arial" w:hAnsi="Arial" w:cs="Arial"/>
                <w:i/>
                <w:iCs/>
                <w:sz w:val="22"/>
                <w:szCs w:val="22"/>
              </w:rPr>
              <w:t>PROP1</w:t>
            </w:r>
            <w:r w:rsidRPr="0033639F">
              <w:rPr>
                <w:rFonts w:ascii="Arial" w:hAnsi="Arial" w:cs="Arial"/>
                <w:sz w:val="22"/>
                <w:szCs w:val="22"/>
              </w:rPr>
              <w:t xml:space="preserve">  </w:t>
            </w:r>
          </w:p>
        </w:tc>
        <w:tc>
          <w:tcPr>
            <w:tcW w:w="5420" w:type="dxa"/>
          </w:tcPr>
          <w:p w14:paraId="038E722A"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Hypopituitarism except ACTH deficiency, small/normal/or enlarged anterior pituitary </w:t>
            </w:r>
          </w:p>
        </w:tc>
        <w:tc>
          <w:tcPr>
            <w:tcW w:w="1633" w:type="dxa"/>
          </w:tcPr>
          <w:p w14:paraId="0ABE551B"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AR </w:t>
            </w:r>
          </w:p>
        </w:tc>
      </w:tr>
      <w:tr w:rsidR="00803B01" w:rsidRPr="0033639F" w14:paraId="77AC8190" w14:textId="77777777" w:rsidTr="001019A2">
        <w:tc>
          <w:tcPr>
            <w:tcW w:w="0" w:type="auto"/>
          </w:tcPr>
          <w:p w14:paraId="4CDB3521" w14:textId="77777777" w:rsidR="00803B01" w:rsidRPr="0033639F" w:rsidRDefault="00803B01" w:rsidP="0033639F">
            <w:pPr>
              <w:spacing w:line="276" w:lineRule="auto"/>
              <w:rPr>
                <w:rFonts w:ascii="Arial" w:hAnsi="Arial" w:cs="Arial"/>
                <w:i/>
                <w:iCs/>
                <w:sz w:val="22"/>
                <w:szCs w:val="22"/>
              </w:rPr>
            </w:pPr>
            <w:r w:rsidRPr="0033639F">
              <w:rPr>
                <w:rFonts w:ascii="Arial" w:hAnsi="Arial" w:cs="Arial"/>
                <w:sz w:val="22"/>
                <w:szCs w:val="22"/>
              </w:rPr>
              <w:t xml:space="preserve">  </w:t>
            </w:r>
            <w:r w:rsidRPr="0033639F">
              <w:rPr>
                <w:rFonts w:ascii="Arial" w:hAnsi="Arial" w:cs="Arial"/>
                <w:i/>
                <w:iCs/>
                <w:sz w:val="22"/>
                <w:szCs w:val="22"/>
              </w:rPr>
              <w:t>POU1F1</w:t>
            </w:r>
            <w:r w:rsidRPr="0033639F">
              <w:rPr>
                <w:rFonts w:ascii="Arial" w:hAnsi="Arial" w:cs="Arial"/>
                <w:sz w:val="22"/>
                <w:szCs w:val="22"/>
              </w:rPr>
              <w:t xml:space="preserve">   (</w:t>
            </w:r>
            <w:r w:rsidRPr="0033639F">
              <w:rPr>
                <w:rFonts w:ascii="Arial" w:hAnsi="Arial" w:cs="Arial"/>
                <w:i/>
                <w:iCs/>
                <w:sz w:val="22"/>
                <w:szCs w:val="22"/>
              </w:rPr>
              <w:t>PIT1</w:t>
            </w:r>
            <w:r w:rsidRPr="0033639F">
              <w:rPr>
                <w:rFonts w:ascii="Arial" w:hAnsi="Arial" w:cs="Arial"/>
                <w:sz w:val="22"/>
                <w:szCs w:val="22"/>
              </w:rPr>
              <w:t xml:space="preserve">) </w:t>
            </w:r>
          </w:p>
        </w:tc>
        <w:tc>
          <w:tcPr>
            <w:tcW w:w="5420" w:type="dxa"/>
          </w:tcPr>
          <w:p w14:paraId="10921227"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Deficiencies of GH, TSH, PRL, small or normal anterior pituitary </w:t>
            </w:r>
          </w:p>
        </w:tc>
        <w:tc>
          <w:tcPr>
            <w:tcW w:w="1633" w:type="dxa"/>
          </w:tcPr>
          <w:p w14:paraId="4ECF0981"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AR/AD </w:t>
            </w:r>
          </w:p>
        </w:tc>
      </w:tr>
      <w:tr w:rsidR="00803B01" w:rsidRPr="0033639F" w14:paraId="1FAE3DCF" w14:textId="77777777" w:rsidTr="001019A2">
        <w:tc>
          <w:tcPr>
            <w:tcW w:w="0" w:type="auto"/>
          </w:tcPr>
          <w:p w14:paraId="2FF35A23"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w:t>
            </w:r>
            <w:r w:rsidRPr="0033639F">
              <w:rPr>
                <w:rFonts w:ascii="Arial" w:hAnsi="Arial" w:cs="Arial"/>
                <w:i/>
                <w:iCs/>
                <w:sz w:val="22"/>
                <w:szCs w:val="22"/>
              </w:rPr>
              <w:t>SOX3</w:t>
            </w:r>
            <w:r w:rsidRPr="0033639F">
              <w:rPr>
                <w:rFonts w:ascii="Arial" w:hAnsi="Arial" w:cs="Arial"/>
                <w:sz w:val="22"/>
                <w:szCs w:val="22"/>
              </w:rPr>
              <w:t xml:space="preserve"> </w:t>
            </w:r>
          </w:p>
        </w:tc>
        <w:tc>
          <w:tcPr>
            <w:tcW w:w="5420" w:type="dxa"/>
          </w:tcPr>
          <w:p w14:paraId="25D5CF0D"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Hypopituitarism, mental retardation, learning difficulties, small anterior pituitary, ectopic posterior pituitary,  </w:t>
            </w:r>
          </w:p>
        </w:tc>
        <w:tc>
          <w:tcPr>
            <w:tcW w:w="1633" w:type="dxa"/>
          </w:tcPr>
          <w:p w14:paraId="1674F380"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X-linked recessive </w:t>
            </w:r>
          </w:p>
        </w:tc>
      </w:tr>
      <w:tr w:rsidR="00803B01" w:rsidRPr="0033639F" w14:paraId="4EED1953" w14:textId="77777777" w:rsidTr="001019A2">
        <w:tc>
          <w:tcPr>
            <w:tcW w:w="0" w:type="auto"/>
          </w:tcPr>
          <w:p w14:paraId="7A85EC89" w14:textId="77777777" w:rsidR="00803B01" w:rsidRPr="0033639F" w:rsidRDefault="00803B01" w:rsidP="0033639F">
            <w:pPr>
              <w:spacing w:line="276" w:lineRule="auto"/>
              <w:rPr>
                <w:rFonts w:ascii="Arial" w:hAnsi="Arial" w:cs="Arial"/>
                <w:i/>
                <w:iCs/>
                <w:sz w:val="22"/>
                <w:szCs w:val="22"/>
              </w:rPr>
            </w:pPr>
            <w:r w:rsidRPr="0033639F">
              <w:rPr>
                <w:rFonts w:ascii="Arial" w:hAnsi="Arial" w:cs="Arial"/>
                <w:i/>
                <w:iCs/>
                <w:sz w:val="22"/>
                <w:szCs w:val="22"/>
              </w:rPr>
              <w:t xml:space="preserve">  OTX2</w:t>
            </w:r>
          </w:p>
        </w:tc>
        <w:tc>
          <w:tcPr>
            <w:tcW w:w="5420" w:type="dxa"/>
          </w:tcPr>
          <w:p w14:paraId="7ED048C4" w14:textId="3B9E6F92"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Hypopituitarism, </w:t>
            </w:r>
            <w:r w:rsidR="00563EE6" w:rsidRPr="0033639F">
              <w:rPr>
                <w:rFonts w:ascii="Arial" w:hAnsi="Arial" w:cs="Arial"/>
                <w:sz w:val="22"/>
                <w:szCs w:val="22"/>
              </w:rPr>
              <w:t>microphthalmia</w:t>
            </w:r>
            <w:r w:rsidRPr="0033639F">
              <w:rPr>
                <w:rFonts w:ascii="Arial" w:hAnsi="Arial" w:cs="Arial"/>
                <w:sz w:val="22"/>
                <w:szCs w:val="22"/>
              </w:rPr>
              <w:t>, microcephaly, cleft palate</w:t>
            </w:r>
          </w:p>
        </w:tc>
        <w:tc>
          <w:tcPr>
            <w:tcW w:w="1633" w:type="dxa"/>
          </w:tcPr>
          <w:p w14:paraId="178470EE"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AD</w:t>
            </w:r>
          </w:p>
        </w:tc>
      </w:tr>
      <w:tr w:rsidR="00803B01" w:rsidRPr="0033639F" w14:paraId="15FAFF99" w14:textId="77777777" w:rsidTr="001019A2">
        <w:tc>
          <w:tcPr>
            <w:tcW w:w="0" w:type="auto"/>
          </w:tcPr>
          <w:p w14:paraId="78F16E33" w14:textId="77777777" w:rsidR="00803B01" w:rsidRPr="0033639F" w:rsidRDefault="00803B01" w:rsidP="0033639F">
            <w:pPr>
              <w:spacing w:line="276" w:lineRule="auto"/>
              <w:rPr>
                <w:rFonts w:ascii="Arial" w:hAnsi="Arial" w:cs="Arial"/>
                <w:i/>
                <w:iCs/>
                <w:sz w:val="22"/>
                <w:szCs w:val="22"/>
              </w:rPr>
            </w:pPr>
            <w:r w:rsidRPr="0033639F">
              <w:rPr>
                <w:rFonts w:ascii="Arial" w:hAnsi="Arial" w:cs="Arial"/>
                <w:i/>
                <w:iCs/>
                <w:sz w:val="22"/>
                <w:szCs w:val="22"/>
              </w:rPr>
              <w:t xml:space="preserve">  GLI2</w:t>
            </w:r>
          </w:p>
        </w:tc>
        <w:tc>
          <w:tcPr>
            <w:tcW w:w="5420" w:type="dxa"/>
          </w:tcPr>
          <w:p w14:paraId="611D8DB1" w14:textId="482AFB4C"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Hypopituitarism, small anterior pituitary, ectopic posterior pituitary, holoprosencephaly, </w:t>
            </w:r>
            <w:r w:rsidR="00563EE6" w:rsidRPr="0033639F">
              <w:rPr>
                <w:rFonts w:ascii="Arial" w:hAnsi="Arial" w:cs="Arial"/>
                <w:sz w:val="22"/>
                <w:szCs w:val="22"/>
              </w:rPr>
              <w:t>polydactyly</w:t>
            </w:r>
          </w:p>
        </w:tc>
        <w:tc>
          <w:tcPr>
            <w:tcW w:w="1633" w:type="dxa"/>
          </w:tcPr>
          <w:p w14:paraId="45D1A02F"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AD</w:t>
            </w:r>
          </w:p>
        </w:tc>
      </w:tr>
    </w:tbl>
    <w:p w14:paraId="592C3FDC" w14:textId="33017E6C" w:rsidR="00803B01" w:rsidRPr="0013412C" w:rsidRDefault="00803B01" w:rsidP="0013412C">
      <w:pPr>
        <w:rPr>
          <w:rFonts w:ascii="Arial" w:hAnsi="Arial" w:cs="Arial"/>
          <w:sz w:val="22"/>
          <w:szCs w:val="22"/>
        </w:rPr>
      </w:pPr>
      <w:bookmarkStart w:id="10" w:name="id2505967"/>
      <w:bookmarkEnd w:id="10"/>
      <w:r w:rsidRPr="0013412C">
        <w:rPr>
          <w:rFonts w:ascii="Arial" w:hAnsi="Arial" w:cs="Arial"/>
          <w:sz w:val="22"/>
          <w:szCs w:val="22"/>
        </w:rPr>
        <w:t>AR: Autosomal Recessive; AD: Autosomal Dominant.</w:t>
      </w:r>
    </w:p>
    <w:p w14:paraId="772A02B1" w14:textId="77777777" w:rsidR="001E5165" w:rsidRPr="009947B7" w:rsidRDefault="001E5165" w:rsidP="0033639F">
      <w:pPr>
        <w:pStyle w:val="Heading1"/>
        <w:spacing w:before="0" w:after="0" w:line="276" w:lineRule="auto"/>
        <w:rPr>
          <w:rFonts w:ascii="Arial" w:hAnsi="Arial" w:cs="Arial"/>
          <w:color w:val="auto"/>
          <w:sz w:val="22"/>
          <w:szCs w:val="22"/>
        </w:rPr>
      </w:pPr>
    </w:p>
    <w:p w14:paraId="119ACC5E" w14:textId="6F0392F7" w:rsidR="00803B01" w:rsidRPr="000D47B8" w:rsidRDefault="00803B01" w:rsidP="009947B7">
      <w:pPr>
        <w:rPr>
          <w:rFonts w:ascii="Arial" w:hAnsi="Arial" w:cs="Arial"/>
          <w:b/>
          <w:bCs/>
          <w:sz w:val="22"/>
          <w:szCs w:val="22"/>
        </w:rPr>
      </w:pPr>
      <w:r w:rsidRPr="000D47B8">
        <w:rPr>
          <w:rFonts w:ascii="Arial" w:hAnsi="Arial" w:cs="Arial"/>
          <w:b/>
          <w:bCs/>
          <w:color w:val="0070C0"/>
          <w:sz w:val="22"/>
          <w:szCs w:val="22"/>
        </w:rPr>
        <w:t xml:space="preserve">HYPOTHALAMIC GH DEFICIENCY </w:t>
      </w:r>
    </w:p>
    <w:p w14:paraId="48D91825" w14:textId="77777777" w:rsidR="009947B7" w:rsidRDefault="009947B7" w:rsidP="0033639F">
      <w:pPr>
        <w:pStyle w:val="Heading2"/>
        <w:spacing w:before="0" w:after="0" w:line="276" w:lineRule="auto"/>
        <w:rPr>
          <w:rFonts w:ascii="Arial" w:hAnsi="Arial" w:cs="Arial"/>
          <w:sz w:val="22"/>
          <w:szCs w:val="22"/>
        </w:rPr>
      </w:pPr>
      <w:bookmarkStart w:id="11" w:name="id2505972"/>
      <w:bookmarkEnd w:id="11"/>
    </w:p>
    <w:p w14:paraId="7A9EE5C5" w14:textId="232B228C" w:rsidR="00803B01" w:rsidRPr="009947B7" w:rsidRDefault="00803B01" w:rsidP="009947B7">
      <w:pPr>
        <w:rPr>
          <w:rFonts w:ascii="Arial" w:hAnsi="Arial" w:cs="Arial"/>
          <w:b/>
          <w:bCs/>
          <w:color w:val="00B050"/>
          <w:sz w:val="22"/>
          <w:szCs w:val="22"/>
        </w:rPr>
      </w:pPr>
      <w:r w:rsidRPr="009947B7">
        <w:rPr>
          <w:rFonts w:ascii="Arial" w:hAnsi="Arial" w:cs="Arial"/>
          <w:b/>
          <w:bCs/>
          <w:color w:val="00B050"/>
          <w:sz w:val="22"/>
          <w:szCs w:val="22"/>
        </w:rPr>
        <w:t xml:space="preserve">Synthesis and Secretion of GH </w:t>
      </w:r>
    </w:p>
    <w:p w14:paraId="0D96DD55" w14:textId="77777777" w:rsidR="009947B7" w:rsidRDefault="009947B7" w:rsidP="0033639F">
      <w:pPr>
        <w:spacing w:line="276" w:lineRule="auto"/>
        <w:rPr>
          <w:rFonts w:ascii="Arial" w:hAnsi="Arial" w:cs="Arial"/>
          <w:sz w:val="22"/>
          <w:szCs w:val="22"/>
        </w:rPr>
      </w:pPr>
    </w:p>
    <w:p w14:paraId="3CE1BC8A" w14:textId="4B8021A0" w:rsidR="00803B01" w:rsidRDefault="00803B01" w:rsidP="0033639F">
      <w:pPr>
        <w:spacing w:line="276" w:lineRule="auto"/>
        <w:rPr>
          <w:rFonts w:ascii="Arial" w:hAnsi="Arial" w:cs="Arial"/>
          <w:sz w:val="22"/>
          <w:szCs w:val="22"/>
        </w:rPr>
      </w:pPr>
      <w:r w:rsidRPr="0033639F">
        <w:rPr>
          <w:rFonts w:ascii="Arial" w:hAnsi="Arial" w:cs="Arial"/>
          <w:sz w:val="22"/>
          <w:szCs w:val="22"/>
        </w:rPr>
        <w:lastRenderedPageBreak/>
        <w:t>GH is synthesized within the somatotropes of the anterior pituitary gland and is secreted into circulation in a pulsatile fashion under tripartite control, stimulated by growth hormone releasing hormone (GHRH), Growth Hormone Secretagogue</w:t>
      </w:r>
      <w:r w:rsidR="007401FD" w:rsidRPr="0033639F">
        <w:rPr>
          <w:rFonts w:ascii="Arial" w:hAnsi="Arial" w:cs="Arial"/>
          <w:sz w:val="22"/>
          <w:szCs w:val="22"/>
        </w:rPr>
        <w:t>s</w:t>
      </w:r>
      <w:r w:rsidRPr="0033639F">
        <w:rPr>
          <w:rFonts w:ascii="Arial" w:hAnsi="Arial" w:cs="Arial"/>
          <w:sz w:val="22"/>
          <w:szCs w:val="22"/>
        </w:rPr>
        <w:t xml:space="preserve"> (GHS)</w:t>
      </w:r>
      <w:r w:rsidR="007401FD" w:rsidRPr="0033639F">
        <w:rPr>
          <w:rFonts w:ascii="Arial" w:hAnsi="Arial" w:cs="Arial"/>
          <w:sz w:val="22"/>
          <w:szCs w:val="22"/>
        </w:rPr>
        <w:t xml:space="preserve"> such as</w:t>
      </w:r>
      <w:r w:rsidR="00AB03BD" w:rsidRPr="0033639F">
        <w:rPr>
          <w:rFonts w:ascii="Arial" w:hAnsi="Arial" w:cs="Arial"/>
          <w:sz w:val="22"/>
          <w:szCs w:val="22"/>
        </w:rPr>
        <w:t xml:space="preserve"> </w:t>
      </w:r>
      <w:r w:rsidRPr="0033639F">
        <w:rPr>
          <w:rFonts w:ascii="Arial" w:hAnsi="Arial" w:cs="Arial"/>
          <w:sz w:val="22"/>
          <w:szCs w:val="22"/>
        </w:rPr>
        <w:t xml:space="preserve">Ghrelin and inhibited by somatostatin (SST) (Figure </w:t>
      </w:r>
      <w:r w:rsidR="002D47A9" w:rsidRPr="0033639F">
        <w:rPr>
          <w:rFonts w:ascii="Arial" w:hAnsi="Arial" w:cs="Arial"/>
          <w:sz w:val="22"/>
          <w:szCs w:val="22"/>
        </w:rPr>
        <w:t>7).</w:t>
      </w:r>
      <w:r w:rsidRPr="0033639F">
        <w:rPr>
          <w:rFonts w:ascii="Arial" w:hAnsi="Arial" w:cs="Arial"/>
          <w:sz w:val="22"/>
          <w:szCs w:val="22"/>
        </w:rPr>
        <w:t xml:space="preserve"> GHRH, GHS and SST secretion are themselves regulated by numerous central nervous system neurotransmitters (Table 3). GH, via a complex signal transduction, exerts direct metabolic effects on target tissues and exerts many of its growth effects through releasing of IGF1 which is mainly produced by the liver and the target tissues (</w:t>
      </w:r>
      <w:r w:rsidRPr="0033639F">
        <w:rPr>
          <w:rFonts w:ascii="Arial" w:hAnsi="Arial" w:cs="Arial"/>
          <w:i/>
          <w:iCs/>
          <w:sz w:val="22"/>
          <w:szCs w:val="22"/>
        </w:rPr>
        <w:t>e.g.</w:t>
      </w:r>
      <w:r w:rsidRPr="0033639F">
        <w:rPr>
          <w:rFonts w:ascii="Arial" w:hAnsi="Arial" w:cs="Arial"/>
          <w:sz w:val="22"/>
          <w:szCs w:val="22"/>
        </w:rPr>
        <w:t xml:space="preserve"> growth plates).  Additional regulation of GH secretion is achieved through feedback control by IGF1 and GH at the pituitary and at the hypothalamus.</w:t>
      </w:r>
    </w:p>
    <w:p w14:paraId="04BD8811" w14:textId="77777777" w:rsidR="009947B7" w:rsidRPr="0033639F" w:rsidRDefault="009947B7" w:rsidP="0033639F">
      <w:pPr>
        <w:spacing w:line="276" w:lineRule="auto"/>
        <w:rPr>
          <w:rFonts w:ascii="Arial" w:hAnsi="Arial" w:cs="Arial"/>
          <w:sz w:val="22"/>
          <w:szCs w:val="22"/>
        </w:rPr>
      </w:pPr>
    </w:p>
    <w:p w14:paraId="1C728F94" w14:textId="3F53D8B2" w:rsidR="00336586" w:rsidRDefault="00336586" w:rsidP="0033639F">
      <w:pPr>
        <w:spacing w:line="276" w:lineRule="auto"/>
        <w:rPr>
          <w:rFonts w:ascii="Arial" w:hAnsi="Arial" w:cs="Arial"/>
          <w:sz w:val="22"/>
          <w:szCs w:val="22"/>
        </w:rPr>
      </w:pPr>
      <w:r>
        <w:rPr>
          <w:rFonts w:ascii="Arial" w:hAnsi="Arial" w:cs="Arial"/>
          <w:noProof/>
          <w:sz w:val="22"/>
          <w:szCs w:val="22"/>
        </w:rPr>
        <w:drawing>
          <wp:inline distT="0" distB="0" distL="0" distR="0" wp14:anchorId="0EACF537" wp14:editId="364B46F8">
            <wp:extent cx="5943600" cy="4984750"/>
            <wp:effectExtent l="0" t="0" r="0" b="6350"/>
            <wp:docPr id="1260503161" name="Picture 11" descr="A diagram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03161" name="Picture 11" descr="A diagram of a human body"/>
                    <pic:cNvPicPr/>
                  </pic:nvPicPr>
                  <pic:blipFill>
                    <a:blip r:embed="rId14">
                      <a:extLst>
                        <a:ext uri="{28A0092B-C50C-407E-A947-70E740481C1C}">
                          <a14:useLocalDpi xmlns:a14="http://schemas.microsoft.com/office/drawing/2010/main" val="0"/>
                        </a:ext>
                      </a:extLst>
                    </a:blip>
                    <a:stretch>
                      <a:fillRect/>
                    </a:stretch>
                  </pic:blipFill>
                  <pic:spPr>
                    <a:xfrm>
                      <a:off x="0" y="0"/>
                      <a:ext cx="5943600" cy="4984750"/>
                    </a:xfrm>
                    <a:prstGeom prst="rect">
                      <a:avLst/>
                    </a:prstGeom>
                  </pic:spPr>
                </pic:pic>
              </a:graphicData>
            </a:graphic>
          </wp:inline>
        </w:drawing>
      </w:r>
    </w:p>
    <w:p w14:paraId="0232F52F" w14:textId="00EE5BAF" w:rsidR="00803B01" w:rsidRDefault="00336586" w:rsidP="0033639F">
      <w:pPr>
        <w:spacing w:line="276" w:lineRule="auto"/>
        <w:rPr>
          <w:rFonts w:ascii="Arial" w:hAnsi="Arial" w:cs="Arial"/>
          <w:b/>
          <w:bCs/>
          <w:sz w:val="22"/>
          <w:szCs w:val="22"/>
        </w:rPr>
      </w:pPr>
      <w:r w:rsidRPr="00336586">
        <w:rPr>
          <w:rFonts w:ascii="Arial" w:hAnsi="Arial" w:cs="Arial"/>
          <w:b/>
          <w:bCs/>
          <w:sz w:val="22"/>
          <w:szCs w:val="22"/>
        </w:rPr>
        <w:t>Figure 7. Hypothalamic-pituitary-peripheral regulation of GH Secretion. SST, somatostatin; GHRH, growth hormone releasing hormone; IGF1, insulin-like growth factor type 1</w:t>
      </w:r>
      <w:r>
        <w:rPr>
          <w:rFonts w:ascii="Arial" w:hAnsi="Arial" w:cs="Arial"/>
          <w:b/>
          <w:bCs/>
          <w:sz w:val="22"/>
          <w:szCs w:val="22"/>
        </w:rPr>
        <w:t>.</w:t>
      </w:r>
    </w:p>
    <w:p w14:paraId="57C99B00" w14:textId="77777777" w:rsidR="00336586" w:rsidRPr="00336586" w:rsidRDefault="00336586" w:rsidP="0033639F">
      <w:pPr>
        <w:spacing w:line="276" w:lineRule="auto"/>
        <w:rPr>
          <w:rFonts w:ascii="Arial" w:hAnsi="Arial" w:cs="Arial"/>
          <w:b/>
          <w:bCs/>
          <w:sz w:val="22"/>
          <w:szCs w:val="22"/>
        </w:rPr>
      </w:pPr>
    </w:p>
    <w:tbl>
      <w:tblPr>
        <w:tblStyle w:val="TableGrid"/>
        <w:tblW w:w="0" w:type="auto"/>
        <w:tblLook w:val="0000" w:firstRow="0" w:lastRow="0" w:firstColumn="0" w:lastColumn="0" w:noHBand="0" w:noVBand="0"/>
      </w:tblPr>
      <w:tblGrid>
        <w:gridCol w:w="4511"/>
        <w:gridCol w:w="4839"/>
      </w:tblGrid>
      <w:tr w:rsidR="00803B01" w:rsidRPr="0033639F" w14:paraId="0311F9A7" w14:textId="77777777" w:rsidTr="00336586">
        <w:tc>
          <w:tcPr>
            <w:tcW w:w="0" w:type="auto"/>
            <w:gridSpan w:val="2"/>
            <w:shd w:val="clear" w:color="auto" w:fill="FFFF00"/>
          </w:tcPr>
          <w:p w14:paraId="77F4BD60" w14:textId="1DF0333D" w:rsidR="00803B01" w:rsidRPr="0033639F" w:rsidRDefault="00803B01" w:rsidP="0033639F">
            <w:pPr>
              <w:spacing w:line="276" w:lineRule="auto"/>
              <w:rPr>
                <w:rFonts w:ascii="Arial" w:hAnsi="Arial" w:cs="Arial"/>
                <w:sz w:val="22"/>
                <w:szCs w:val="22"/>
              </w:rPr>
            </w:pPr>
            <w:r w:rsidRPr="0033639F">
              <w:rPr>
                <w:rFonts w:ascii="Arial" w:hAnsi="Arial" w:cs="Arial"/>
                <w:b/>
                <w:bCs/>
                <w:sz w:val="22"/>
                <w:szCs w:val="22"/>
              </w:rPr>
              <w:t>Table 3</w:t>
            </w:r>
            <w:r w:rsidR="006027BB" w:rsidRPr="0033639F">
              <w:rPr>
                <w:rFonts w:ascii="Arial" w:hAnsi="Arial" w:cs="Arial"/>
                <w:b/>
                <w:bCs/>
                <w:sz w:val="22"/>
                <w:szCs w:val="22"/>
              </w:rPr>
              <w:t>.</w:t>
            </w:r>
            <w:r w:rsidRPr="0033639F">
              <w:rPr>
                <w:rFonts w:ascii="Arial" w:hAnsi="Arial" w:cs="Arial"/>
                <w:b/>
                <w:bCs/>
                <w:sz w:val="22"/>
                <w:szCs w:val="22"/>
              </w:rPr>
              <w:t> Neurotransmitters and Neuropeptides Regulating GHRH Secretion from Hypothalamus</w:t>
            </w:r>
          </w:p>
        </w:tc>
      </w:tr>
      <w:tr w:rsidR="00803B01" w:rsidRPr="0033639F" w14:paraId="768F198B" w14:textId="77777777" w:rsidTr="00336586">
        <w:tc>
          <w:tcPr>
            <w:tcW w:w="0" w:type="auto"/>
          </w:tcPr>
          <w:p w14:paraId="63A323C1" w14:textId="2C6FDA8B" w:rsidR="00803B01" w:rsidRPr="0033639F" w:rsidRDefault="00074448" w:rsidP="0033639F">
            <w:pPr>
              <w:spacing w:line="276" w:lineRule="auto"/>
              <w:rPr>
                <w:rFonts w:ascii="Arial" w:hAnsi="Arial" w:cs="Arial"/>
                <w:sz w:val="22"/>
                <w:szCs w:val="22"/>
              </w:rPr>
            </w:pPr>
            <w:r w:rsidRPr="0033639F">
              <w:rPr>
                <w:rFonts w:ascii="Arial" w:hAnsi="Arial" w:cs="Arial"/>
                <w:sz w:val="22"/>
                <w:szCs w:val="22"/>
              </w:rPr>
              <w:t xml:space="preserve"> </w:t>
            </w:r>
            <w:r w:rsidR="00803B01" w:rsidRPr="0033639F">
              <w:rPr>
                <w:rFonts w:ascii="Arial" w:hAnsi="Arial" w:cs="Arial"/>
                <w:sz w:val="22"/>
                <w:szCs w:val="22"/>
              </w:rPr>
              <w:t xml:space="preserve">Dopamine  </w:t>
            </w:r>
          </w:p>
        </w:tc>
        <w:tc>
          <w:tcPr>
            <w:tcW w:w="0" w:type="auto"/>
          </w:tcPr>
          <w:p w14:paraId="049F83C7"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Gastrin </w:t>
            </w:r>
          </w:p>
        </w:tc>
      </w:tr>
      <w:tr w:rsidR="00803B01" w:rsidRPr="0033639F" w14:paraId="5A031AAC" w14:textId="77777777" w:rsidTr="00336586">
        <w:tc>
          <w:tcPr>
            <w:tcW w:w="0" w:type="auto"/>
          </w:tcPr>
          <w:p w14:paraId="6AD3E8CC" w14:textId="5A1FBF71" w:rsidR="00803B01" w:rsidRPr="0033639F" w:rsidRDefault="00074448" w:rsidP="0033639F">
            <w:pPr>
              <w:spacing w:line="276" w:lineRule="auto"/>
              <w:rPr>
                <w:rFonts w:ascii="Arial" w:hAnsi="Arial" w:cs="Arial"/>
                <w:sz w:val="22"/>
                <w:szCs w:val="22"/>
              </w:rPr>
            </w:pPr>
            <w:r w:rsidRPr="0033639F">
              <w:rPr>
                <w:rFonts w:ascii="Arial" w:hAnsi="Arial" w:cs="Arial"/>
                <w:sz w:val="22"/>
                <w:szCs w:val="22"/>
              </w:rPr>
              <w:lastRenderedPageBreak/>
              <w:t xml:space="preserve"> </w:t>
            </w:r>
            <w:r w:rsidR="00803B01" w:rsidRPr="0033639F">
              <w:rPr>
                <w:rFonts w:ascii="Arial" w:hAnsi="Arial" w:cs="Arial"/>
                <w:sz w:val="22"/>
                <w:szCs w:val="22"/>
              </w:rPr>
              <w:t xml:space="preserve">GABA  </w:t>
            </w:r>
          </w:p>
        </w:tc>
        <w:tc>
          <w:tcPr>
            <w:tcW w:w="0" w:type="auto"/>
          </w:tcPr>
          <w:p w14:paraId="5E96CB53"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Neurotensin </w:t>
            </w:r>
          </w:p>
        </w:tc>
      </w:tr>
      <w:tr w:rsidR="00803B01" w:rsidRPr="0033639F" w14:paraId="52F6C86A" w14:textId="77777777" w:rsidTr="00336586">
        <w:tc>
          <w:tcPr>
            <w:tcW w:w="0" w:type="auto"/>
          </w:tcPr>
          <w:p w14:paraId="44232B6D" w14:textId="0F002DB1" w:rsidR="00803B01" w:rsidRPr="0033639F" w:rsidRDefault="00074448" w:rsidP="0033639F">
            <w:pPr>
              <w:spacing w:line="276" w:lineRule="auto"/>
              <w:rPr>
                <w:rFonts w:ascii="Arial" w:hAnsi="Arial" w:cs="Arial"/>
                <w:sz w:val="22"/>
                <w:szCs w:val="22"/>
              </w:rPr>
            </w:pPr>
            <w:r w:rsidRPr="0033639F">
              <w:rPr>
                <w:rFonts w:ascii="Arial" w:hAnsi="Arial" w:cs="Arial"/>
                <w:sz w:val="22"/>
                <w:szCs w:val="22"/>
              </w:rPr>
              <w:t xml:space="preserve"> </w:t>
            </w:r>
            <w:r w:rsidR="00803B01" w:rsidRPr="0033639F">
              <w:rPr>
                <w:rFonts w:ascii="Arial" w:hAnsi="Arial" w:cs="Arial"/>
                <w:sz w:val="22"/>
                <w:szCs w:val="22"/>
              </w:rPr>
              <w:t xml:space="preserve">Substance-P  </w:t>
            </w:r>
          </w:p>
        </w:tc>
        <w:tc>
          <w:tcPr>
            <w:tcW w:w="0" w:type="auto"/>
          </w:tcPr>
          <w:p w14:paraId="1445C081"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Calcitonin </w:t>
            </w:r>
          </w:p>
        </w:tc>
      </w:tr>
      <w:tr w:rsidR="00803B01" w:rsidRPr="0033639F" w14:paraId="78846D80" w14:textId="77777777" w:rsidTr="00336586">
        <w:tc>
          <w:tcPr>
            <w:tcW w:w="0" w:type="auto"/>
          </w:tcPr>
          <w:p w14:paraId="60736325" w14:textId="14E59866" w:rsidR="00803B01" w:rsidRPr="0033639F" w:rsidRDefault="00074448" w:rsidP="0033639F">
            <w:pPr>
              <w:spacing w:line="276" w:lineRule="auto"/>
              <w:rPr>
                <w:rFonts w:ascii="Arial" w:hAnsi="Arial" w:cs="Arial"/>
                <w:sz w:val="22"/>
                <w:szCs w:val="22"/>
              </w:rPr>
            </w:pPr>
            <w:r w:rsidRPr="0033639F">
              <w:rPr>
                <w:rFonts w:ascii="Arial" w:hAnsi="Arial" w:cs="Arial"/>
                <w:sz w:val="22"/>
                <w:szCs w:val="22"/>
              </w:rPr>
              <w:t xml:space="preserve"> </w:t>
            </w:r>
            <w:r w:rsidR="00803B01" w:rsidRPr="0033639F">
              <w:rPr>
                <w:rFonts w:ascii="Arial" w:hAnsi="Arial" w:cs="Arial"/>
                <w:sz w:val="22"/>
                <w:szCs w:val="22"/>
              </w:rPr>
              <w:t xml:space="preserve">TRH  </w:t>
            </w:r>
          </w:p>
        </w:tc>
        <w:tc>
          <w:tcPr>
            <w:tcW w:w="0" w:type="auto"/>
          </w:tcPr>
          <w:p w14:paraId="45AF7E13"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Neuropeptide-Y </w:t>
            </w:r>
          </w:p>
        </w:tc>
      </w:tr>
      <w:tr w:rsidR="00803B01" w:rsidRPr="0033639F" w14:paraId="2CFB08E6" w14:textId="77777777" w:rsidTr="00336586">
        <w:tc>
          <w:tcPr>
            <w:tcW w:w="0" w:type="auto"/>
          </w:tcPr>
          <w:p w14:paraId="0B69B619" w14:textId="47144444" w:rsidR="00803B01" w:rsidRPr="0033639F" w:rsidRDefault="00074448" w:rsidP="0033639F">
            <w:pPr>
              <w:spacing w:line="276" w:lineRule="auto"/>
              <w:rPr>
                <w:rFonts w:ascii="Arial" w:hAnsi="Arial" w:cs="Arial"/>
                <w:sz w:val="22"/>
                <w:szCs w:val="22"/>
              </w:rPr>
            </w:pPr>
            <w:r w:rsidRPr="0033639F">
              <w:rPr>
                <w:rFonts w:ascii="Arial" w:hAnsi="Arial" w:cs="Arial"/>
                <w:sz w:val="22"/>
                <w:szCs w:val="22"/>
              </w:rPr>
              <w:t xml:space="preserve"> </w:t>
            </w:r>
            <w:r w:rsidR="00803B01" w:rsidRPr="0033639F">
              <w:rPr>
                <w:rFonts w:ascii="Arial" w:hAnsi="Arial" w:cs="Arial"/>
                <w:sz w:val="22"/>
                <w:szCs w:val="22"/>
              </w:rPr>
              <w:t xml:space="preserve">Acetylcholine  </w:t>
            </w:r>
          </w:p>
        </w:tc>
        <w:tc>
          <w:tcPr>
            <w:tcW w:w="0" w:type="auto"/>
          </w:tcPr>
          <w:p w14:paraId="717B9474"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Vasopressin </w:t>
            </w:r>
          </w:p>
        </w:tc>
      </w:tr>
      <w:tr w:rsidR="00803B01" w:rsidRPr="0033639F" w14:paraId="73F76F69" w14:textId="77777777" w:rsidTr="00336586">
        <w:tc>
          <w:tcPr>
            <w:tcW w:w="0" w:type="auto"/>
          </w:tcPr>
          <w:p w14:paraId="3591229E" w14:textId="6F8BBBEB" w:rsidR="00803B01" w:rsidRPr="0033639F" w:rsidRDefault="00074448" w:rsidP="0033639F">
            <w:pPr>
              <w:spacing w:line="276" w:lineRule="auto"/>
              <w:rPr>
                <w:rFonts w:ascii="Arial" w:hAnsi="Arial" w:cs="Arial"/>
                <w:sz w:val="22"/>
                <w:szCs w:val="22"/>
              </w:rPr>
            </w:pPr>
            <w:r w:rsidRPr="0033639F">
              <w:rPr>
                <w:rFonts w:ascii="Arial" w:hAnsi="Arial" w:cs="Arial"/>
                <w:sz w:val="22"/>
                <w:szCs w:val="22"/>
              </w:rPr>
              <w:t xml:space="preserve"> </w:t>
            </w:r>
            <w:r w:rsidR="00803B01" w:rsidRPr="0033639F">
              <w:rPr>
                <w:rFonts w:ascii="Arial" w:hAnsi="Arial" w:cs="Arial"/>
                <w:sz w:val="22"/>
                <w:szCs w:val="22"/>
              </w:rPr>
              <w:t xml:space="preserve">VIP  </w:t>
            </w:r>
          </w:p>
        </w:tc>
        <w:tc>
          <w:tcPr>
            <w:tcW w:w="0" w:type="auto"/>
          </w:tcPr>
          <w:p w14:paraId="1BE9D0AE"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CRHs </w:t>
            </w:r>
          </w:p>
        </w:tc>
      </w:tr>
    </w:tbl>
    <w:p w14:paraId="136F35EC" w14:textId="77777777" w:rsidR="00336586" w:rsidRDefault="00336586" w:rsidP="0033639F">
      <w:pPr>
        <w:pStyle w:val="Heading1"/>
        <w:spacing w:before="0" w:after="0" w:line="276" w:lineRule="auto"/>
        <w:rPr>
          <w:rFonts w:ascii="Arial" w:hAnsi="Arial" w:cs="Arial"/>
          <w:sz w:val="22"/>
          <w:szCs w:val="22"/>
        </w:rPr>
      </w:pPr>
      <w:bookmarkStart w:id="12" w:name="id2506149"/>
      <w:bookmarkEnd w:id="12"/>
    </w:p>
    <w:p w14:paraId="767A04EE" w14:textId="5EE507F5" w:rsidR="00803B01" w:rsidRPr="00EF225A" w:rsidRDefault="00803B01" w:rsidP="00EF225A">
      <w:pPr>
        <w:rPr>
          <w:rFonts w:ascii="Arial" w:hAnsi="Arial" w:cs="Arial"/>
          <w:b/>
          <w:bCs/>
          <w:color w:val="00B050"/>
          <w:sz w:val="22"/>
          <w:szCs w:val="22"/>
        </w:rPr>
      </w:pPr>
      <w:r w:rsidRPr="00EF225A">
        <w:rPr>
          <w:rFonts w:ascii="Arial" w:hAnsi="Arial" w:cs="Arial"/>
          <w:b/>
          <w:bCs/>
          <w:color w:val="00B050"/>
          <w:sz w:val="22"/>
          <w:szCs w:val="22"/>
        </w:rPr>
        <w:t>Timing</w:t>
      </w:r>
    </w:p>
    <w:p w14:paraId="057FD36C" w14:textId="77777777" w:rsidR="00336586" w:rsidRDefault="00336586" w:rsidP="0033639F">
      <w:pPr>
        <w:spacing w:line="276" w:lineRule="auto"/>
        <w:rPr>
          <w:rFonts w:ascii="Arial" w:hAnsi="Arial" w:cs="Arial"/>
          <w:sz w:val="22"/>
          <w:szCs w:val="22"/>
        </w:rPr>
      </w:pPr>
    </w:p>
    <w:p w14:paraId="33F58EB6" w14:textId="77777777" w:rsidR="00EF225A" w:rsidRDefault="00803B01" w:rsidP="0033639F">
      <w:pPr>
        <w:spacing w:line="276" w:lineRule="auto"/>
        <w:rPr>
          <w:rFonts w:ascii="Arial" w:hAnsi="Arial" w:cs="Arial"/>
          <w:sz w:val="22"/>
          <w:szCs w:val="22"/>
        </w:rPr>
      </w:pPr>
      <w:r w:rsidRPr="0033639F">
        <w:rPr>
          <w:rFonts w:ascii="Arial" w:hAnsi="Arial" w:cs="Arial"/>
          <w:sz w:val="22"/>
          <w:szCs w:val="22"/>
        </w:rPr>
        <w:t xml:space="preserve">In addition to the absolute GH levels reached, the timing of the GH pulse is also physiologically important. GH is secreted in episodic pulses throughout the day, and the basal levels of GH are often immeasurably low between these peaks (Figure </w:t>
      </w:r>
      <w:r w:rsidR="006027BB" w:rsidRPr="0033639F">
        <w:rPr>
          <w:rFonts w:ascii="Arial" w:hAnsi="Arial" w:cs="Arial"/>
          <w:sz w:val="22"/>
          <w:szCs w:val="22"/>
        </w:rPr>
        <w:t>8</w:t>
      </w:r>
      <w:r w:rsidRPr="0033639F">
        <w:rPr>
          <w:rFonts w:ascii="Arial" w:hAnsi="Arial" w:cs="Arial"/>
          <w:sz w:val="22"/>
          <w:szCs w:val="22"/>
        </w:rPr>
        <w:t xml:space="preserve">). Figure </w:t>
      </w:r>
      <w:r w:rsidR="006027BB" w:rsidRPr="0033639F">
        <w:rPr>
          <w:rFonts w:ascii="Arial" w:hAnsi="Arial" w:cs="Arial"/>
          <w:sz w:val="22"/>
          <w:szCs w:val="22"/>
        </w:rPr>
        <w:t xml:space="preserve">8 </w:t>
      </w:r>
      <w:r w:rsidRPr="0033639F">
        <w:rPr>
          <w:rFonts w:ascii="Arial" w:hAnsi="Arial" w:cs="Arial"/>
          <w:sz w:val="22"/>
          <w:szCs w:val="22"/>
        </w:rPr>
        <w:t xml:space="preserve">illustrates normal spontaneous daily GH secretion, while figure </w:t>
      </w:r>
      <w:r w:rsidR="006027BB" w:rsidRPr="0033639F">
        <w:rPr>
          <w:rFonts w:ascii="Arial" w:hAnsi="Arial" w:cs="Arial"/>
          <w:sz w:val="22"/>
          <w:szCs w:val="22"/>
        </w:rPr>
        <w:t>9</w:t>
      </w:r>
      <w:r w:rsidRPr="0033639F">
        <w:rPr>
          <w:rFonts w:ascii="Arial" w:hAnsi="Arial" w:cs="Arial"/>
          <w:sz w:val="22"/>
          <w:szCs w:val="22"/>
        </w:rPr>
        <w:t xml:space="preserve"> represents that of a child with GH deficiency.</w:t>
      </w:r>
    </w:p>
    <w:p w14:paraId="421C0CFB" w14:textId="0CC6714F"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w:t>
      </w:r>
    </w:p>
    <w:p w14:paraId="192C8014" w14:textId="2212FF64" w:rsidR="00EA3E39" w:rsidRDefault="00EA3E39" w:rsidP="0033639F">
      <w:pPr>
        <w:spacing w:line="276" w:lineRule="auto"/>
        <w:rPr>
          <w:rFonts w:ascii="Arial" w:hAnsi="Arial" w:cs="Arial"/>
          <w:sz w:val="22"/>
          <w:szCs w:val="22"/>
        </w:rPr>
      </w:pPr>
      <w:r>
        <w:rPr>
          <w:rFonts w:ascii="Arial" w:hAnsi="Arial" w:cs="Arial"/>
          <w:noProof/>
          <w:sz w:val="22"/>
          <w:szCs w:val="22"/>
        </w:rPr>
        <w:drawing>
          <wp:inline distT="0" distB="0" distL="0" distR="0" wp14:anchorId="652658C2" wp14:editId="3E90FB5B">
            <wp:extent cx="6013094" cy="3288411"/>
            <wp:effectExtent l="0" t="0" r="6985" b="7620"/>
            <wp:docPr id="8171178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384" cy="3298413"/>
                    </a:xfrm>
                    <a:prstGeom prst="rect">
                      <a:avLst/>
                    </a:prstGeom>
                    <a:noFill/>
                  </pic:spPr>
                </pic:pic>
              </a:graphicData>
            </a:graphic>
          </wp:inline>
        </w:drawing>
      </w:r>
    </w:p>
    <w:p w14:paraId="01D059D7" w14:textId="7372E0F1" w:rsidR="00803B01" w:rsidRDefault="00EF225A" w:rsidP="0033639F">
      <w:pPr>
        <w:spacing w:line="276" w:lineRule="auto"/>
        <w:rPr>
          <w:rFonts w:ascii="Arial" w:hAnsi="Arial" w:cs="Arial"/>
          <w:b/>
          <w:bCs/>
          <w:sz w:val="22"/>
          <w:szCs w:val="22"/>
        </w:rPr>
      </w:pPr>
      <w:r w:rsidRPr="00EA3E39">
        <w:rPr>
          <w:rFonts w:ascii="Arial" w:hAnsi="Arial" w:cs="Arial"/>
          <w:b/>
          <w:bCs/>
          <w:sz w:val="22"/>
          <w:szCs w:val="22"/>
        </w:rPr>
        <w:t>Figure 8. The characteristic pulsatile pattern of GH secretion in normal children. Note the maximal GH secretion during the night.</w:t>
      </w:r>
    </w:p>
    <w:p w14:paraId="4F85B1CC" w14:textId="77777777" w:rsidR="00EA3E39" w:rsidRPr="00EA3E39" w:rsidRDefault="00EA3E39" w:rsidP="0033639F">
      <w:pPr>
        <w:spacing w:line="276" w:lineRule="auto"/>
        <w:rPr>
          <w:rFonts w:ascii="Arial" w:hAnsi="Arial" w:cs="Arial"/>
          <w:b/>
          <w:bCs/>
          <w:sz w:val="22"/>
          <w:szCs w:val="22"/>
        </w:rPr>
      </w:pPr>
    </w:p>
    <w:tbl>
      <w:tblPr>
        <w:tblW w:w="9270" w:type="dxa"/>
        <w:tblInd w:w="-252" w:type="dxa"/>
        <w:tblLook w:val="01E0" w:firstRow="1" w:lastRow="1" w:firstColumn="1" w:lastColumn="1" w:noHBand="0" w:noVBand="0"/>
      </w:tblPr>
      <w:tblGrid>
        <w:gridCol w:w="9270"/>
      </w:tblGrid>
      <w:tr w:rsidR="00803B01" w:rsidRPr="0033639F" w14:paraId="4B595D87" w14:textId="77777777" w:rsidTr="005E59AA">
        <w:tc>
          <w:tcPr>
            <w:tcW w:w="9270" w:type="dxa"/>
            <w:shd w:val="clear" w:color="auto" w:fill="auto"/>
          </w:tcPr>
          <w:p w14:paraId="31134561" w14:textId="77777777" w:rsidR="00803B01" w:rsidRPr="0033639F" w:rsidRDefault="00794097" w:rsidP="0033639F">
            <w:pPr>
              <w:spacing w:line="276" w:lineRule="auto"/>
              <w:rPr>
                <w:rFonts w:ascii="Arial" w:hAnsi="Arial" w:cs="Arial"/>
                <w:sz w:val="22"/>
                <w:szCs w:val="22"/>
              </w:rPr>
            </w:pPr>
            <w:r w:rsidRPr="0033639F">
              <w:rPr>
                <w:rFonts w:ascii="Arial" w:hAnsi="Arial" w:cs="Arial"/>
                <w:noProof/>
                <w:sz w:val="22"/>
                <w:szCs w:val="22"/>
              </w:rPr>
              <w:lastRenderedPageBreak/>
              <w:drawing>
                <wp:inline distT="0" distB="0" distL="0" distR="0" wp14:anchorId="4FF54B04" wp14:editId="104BBD3C">
                  <wp:extent cx="5245100" cy="2882900"/>
                  <wp:effectExtent l="0" t="0" r="0" b="0"/>
                  <wp:docPr id="9" name="Picture 10" descr="The characteristic pulsatile pattern of GH secretion in normal children. Note the maximal GH secretion during the n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he characteristic pulsatile pattern of GH secretion in normal children. Note the maximal GH secretion during the night."/>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100" cy="2882900"/>
                          </a:xfrm>
                          <a:prstGeom prst="rect">
                            <a:avLst/>
                          </a:prstGeom>
                          <a:noFill/>
                          <a:ln>
                            <a:noFill/>
                          </a:ln>
                        </pic:spPr>
                      </pic:pic>
                    </a:graphicData>
                  </a:graphic>
                </wp:inline>
              </w:drawing>
            </w:r>
          </w:p>
        </w:tc>
      </w:tr>
    </w:tbl>
    <w:p w14:paraId="1E221817" w14:textId="79855C59" w:rsidR="00EA3E39" w:rsidRPr="00D94104" w:rsidRDefault="00D94104" w:rsidP="0033639F">
      <w:pPr>
        <w:spacing w:line="276" w:lineRule="auto"/>
        <w:rPr>
          <w:rFonts w:ascii="Arial" w:hAnsi="Arial" w:cs="Arial"/>
          <w:b/>
          <w:bCs/>
          <w:sz w:val="22"/>
          <w:szCs w:val="22"/>
        </w:rPr>
      </w:pPr>
      <w:r w:rsidRPr="00D94104">
        <w:rPr>
          <w:rFonts w:ascii="Arial" w:hAnsi="Arial" w:cs="Arial"/>
          <w:b/>
          <w:bCs/>
          <w:sz w:val="22"/>
          <w:szCs w:val="22"/>
        </w:rPr>
        <w:t>Figure 9.  GH secretion in a child with GH deficiency. Note the loss (both qualitative and quantitative) of episodic pulses seen in normal children</w:t>
      </w:r>
      <w:r>
        <w:rPr>
          <w:rFonts w:ascii="Arial" w:hAnsi="Arial" w:cs="Arial"/>
          <w:b/>
          <w:bCs/>
          <w:sz w:val="22"/>
          <w:szCs w:val="22"/>
        </w:rPr>
        <w:t>.</w:t>
      </w:r>
    </w:p>
    <w:p w14:paraId="0875E2BE" w14:textId="77777777" w:rsidR="00D94104" w:rsidRDefault="00D94104" w:rsidP="0033639F">
      <w:pPr>
        <w:spacing w:line="276" w:lineRule="auto"/>
        <w:rPr>
          <w:rFonts w:ascii="Arial" w:hAnsi="Arial" w:cs="Arial"/>
          <w:sz w:val="22"/>
          <w:szCs w:val="22"/>
        </w:rPr>
      </w:pPr>
    </w:p>
    <w:p w14:paraId="2BCECF65" w14:textId="35D18725" w:rsidR="00803B01" w:rsidRDefault="00803B01" w:rsidP="0033639F">
      <w:pPr>
        <w:spacing w:line="276" w:lineRule="auto"/>
        <w:rPr>
          <w:rFonts w:ascii="Arial" w:hAnsi="Arial" w:cs="Arial"/>
          <w:sz w:val="22"/>
          <w:szCs w:val="22"/>
        </w:rPr>
      </w:pPr>
      <w:r w:rsidRPr="0033639F">
        <w:rPr>
          <w:rFonts w:ascii="Arial" w:hAnsi="Arial" w:cs="Arial"/>
          <w:sz w:val="22"/>
          <w:szCs w:val="22"/>
        </w:rPr>
        <w:t>Approximately 67% or more of the daily production of GH in children and young adults occurs overnight, and most of that during the early nighttime hours that follow the onset of deep sleep. During puberty, there is an increase in GH pulse amplitude and duration, most likely due to estrogens</w:t>
      </w:r>
      <w:r w:rsidR="00157055" w:rsidRPr="0033639F">
        <w:rPr>
          <w:rFonts w:ascii="Arial" w:hAnsi="Arial" w:cs="Arial"/>
          <w:sz w:val="22"/>
          <w:szCs w:val="22"/>
        </w:rPr>
        <w:t xml:space="preserve"> </w:t>
      </w:r>
      <w:r w:rsidR="00157055" w:rsidRPr="0033639F">
        <w:rPr>
          <w:rFonts w:ascii="Arial" w:hAnsi="Arial" w:cs="Arial"/>
          <w:noProof/>
          <w:sz w:val="22"/>
          <w:szCs w:val="22"/>
        </w:rPr>
        <w:t>(</w:t>
      </w:r>
      <w:r w:rsidR="00AB03BD" w:rsidRPr="0033639F">
        <w:rPr>
          <w:rFonts w:ascii="Arial" w:hAnsi="Arial" w:cs="Arial"/>
          <w:noProof/>
          <w:sz w:val="22"/>
          <w:szCs w:val="22"/>
        </w:rPr>
        <w:t>55</w:t>
      </w:r>
      <w:r w:rsidR="00157055"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GH secretion is sexually dimorphic, with females having higher secretory burst mass per peak but no difference in the frequency of peaks, or basal GH release</w:t>
      </w:r>
      <w:r w:rsidRPr="0033639F">
        <w:rPr>
          <w:rFonts w:ascii="Arial" w:hAnsi="Arial" w:cs="Arial"/>
          <w:noProof/>
          <w:sz w:val="22"/>
          <w:szCs w:val="22"/>
        </w:rPr>
        <w:t xml:space="preserve"> </w:t>
      </w:r>
      <w:r w:rsidR="00157055" w:rsidRPr="0033639F">
        <w:rPr>
          <w:rFonts w:ascii="Arial" w:hAnsi="Arial" w:cs="Arial"/>
          <w:noProof/>
          <w:sz w:val="22"/>
          <w:szCs w:val="22"/>
        </w:rPr>
        <w:t>(</w:t>
      </w:r>
      <w:r w:rsidR="00AB03BD" w:rsidRPr="0033639F">
        <w:rPr>
          <w:rFonts w:ascii="Arial" w:hAnsi="Arial" w:cs="Arial"/>
          <w:noProof/>
          <w:sz w:val="22"/>
          <w:szCs w:val="22"/>
        </w:rPr>
        <w:t>56</w:t>
      </w:r>
      <w:r w:rsidR="00157055" w:rsidRPr="0033639F">
        <w:rPr>
          <w:rFonts w:ascii="Arial" w:hAnsi="Arial" w:cs="Arial"/>
          <w:noProof/>
          <w:sz w:val="22"/>
          <w:szCs w:val="22"/>
        </w:rPr>
        <w:t>)</w:t>
      </w:r>
      <w:r w:rsidRPr="0033639F">
        <w:rPr>
          <w:rFonts w:ascii="Arial" w:hAnsi="Arial" w:cs="Arial"/>
          <w:sz w:val="22"/>
          <w:szCs w:val="22"/>
        </w:rPr>
        <w:t xml:space="preserve">. In addition, GH secretion is stimulated by multiple </w:t>
      </w:r>
      <w:r w:rsidR="00E10A7B" w:rsidRPr="0033639F">
        <w:rPr>
          <w:rFonts w:ascii="Arial" w:hAnsi="Arial" w:cs="Arial"/>
          <w:sz w:val="22"/>
          <w:szCs w:val="22"/>
        </w:rPr>
        <w:t>physiological</w:t>
      </w:r>
      <w:r w:rsidRPr="0033639F">
        <w:rPr>
          <w:rFonts w:ascii="Arial" w:hAnsi="Arial" w:cs="Arial"/>
          <w:sz w:val="22"/>
          <w:szCs w:val="22"/>
        </w:rPr>
        <w:t xml:space="preserve"> factors (Table 4). Overweight children, independent of pubertal status, have reduced GH levels mainly due to reduced GH burst mass with no change in frequency</w:t>
      </w:r>
      <w:r w:rsidR="00157055" w:rsidRPr="0033639F">
        <w:rPr>
          <w:rFonts w:ascii="Arial" w:hAnsi="Arial" w:cs="Arial"/>
          <w:sz w:val="22"/>
          <w:szCs w:val="22"/>
        </w:rPr>
        <w:t xml:space="preserve"> </w:t>
      </w:r>
      <w:r w:rsidR="00157055" w:rsidRPr="0033639F">
        <w:rPr>
          <w:rFonts w:ascii="Arial" w:hAnsi="Arial" w:cs="Arial"/>
          <w:noProof/>
          <w:sz w:val="22"/>
          <w:szCs w:val="22"/>
        </w:rPr>
        <w:t>(</w:t>
      </w:r>
      <w:r w:rsidR="00AB03BD" w:rsidRPr="0033639F">
        <w:rPr>
          <w:rFonts w:ascii="Arial" w:hAnsi="Arial" w:cs="Arial"/>
          <w:noProof/>
          <w:sz w:val="22"/>
          <w:szCs w:val="22"/>
        </w:rPr>
        <w:t>57</w:t>
      </w:r>
      <w:r w:rsidR="00157055" w:rsidRPr="0033639F">
        <w:rPr>
          <w:rFonts w:ascii="Arial" w:hAnsi="Arial" w:cs="Arial"/>
          <w:noProof/>
          <w:sz w:val="22"/>
          <w:szCs w:val="22"/>
        </w:rPr>
        <w:t>)</w:t>
      </w:r>
      <w:r w:rsidRPr="0033639F">
        <w:rPr>
          <w:rFonts w:ascii="Arial" w:hAnsi="Arial" w:cs="Arial"/>
          <w:sz w:val="22"/>
          <w:szCs w:val="22"/>
        </w:rPr>
        <w:t xml:space="preserve">. </w:t>
      </w:r>
    </w:p>
    <w:p w14:paraId="6B551100" w14:textId="77777777" w:rsidR="00F51523" w:rsidRPr="0033639F" w:rsidRDefault="00F51523" w:rsidP="0033639F">
      <w:pPr>
        <w:spacing w:line="276" w:lineRule="auto"/>
        <w:rPr>
          <w:rFonts w:ascii="Arial" w:hAnsi="Arial" w:cs="Arial"/>
          <w:sz w:val="22"/>
          <w:szCs w:val="22"/>
        </w:rPr>
      </w:pPr>
    </w:p>
    <w:tbl>
      <w:tblPr>
        <w:tblStyle w:val="TableGrid"/>
        <w:tblW w:w="0" w:type="auto"/>
        <w:tblLook w:val="0000" w:firstRow="0" w:lastRow="0" w:firstColumn="0" w:lastColumn="0" w:noHBand="0" w:noVBand="0"/>
      </w:tblPr>
      <w:tblGrid>
        <w:gridCol w:w="3994"/>
        <w:gridCol w:w="3945"/>
      </w:tblGrid>
      <w:tr w:rsidR="00803B01" w:rsidRPr="0033639F" w14:paraId="1CA8B6F7" w14:textId="77777777" w:rsidTr="009606C2">
        <w:tc>
          <w:tcPr>
            <w:tcW w:w="0" w:type="auto"/>
            <w:gridSpan w:val="2"/>
            <w:shd w:val="clear" w:color="auto" w:fill="FFFF00"/>
          </w:tcPr>
          <w:p w14:paraId="37F71335" w14:textId="79C88DAE" w:rsidR="00803B01" w:rsidRPr="0033639F" w:rsidRDefault="00803B01" w:rsidP="0033639F">
            <w:pPr>
              <w:spacing w:line="276" w:lineRule="auto"/>
              <w:rPr>
                <w:rFonts w:ascii="Arial" w:hAnsi="Arial" w:cs="Arial"/>
                <w:b/>
                <w:bCs/>
                <w:sz w:val="22"/>
                <w:szCs w:val="22"/>
              </w:rPr>
            </w:pPr>
            <w:bookmarkStart w:id="13" w:name="id2506227"/>
            <w:bookmarkEnd w:id="13"/>
            <w:r w:rsidRPr="0033639F">
              <w:rPr>
                <w:rFonts w:ascii="Arial" w:hAnsi="Arial" w:cs="Arial"/>
                <w:b/>
                <w:bCs/>
                <w:sz w:val="22"/>
                <w:szCs w:val="22"/>
              </w:rPr>
              <w:t>Table 4. </w:t>
            </w:r>
            <w:r w:rsidR="00E10A7B" w:rsidRPr="0033639F">
              <w:rPr>
                <w:rFonts w:ascii="Arial" w:hAnsi="Arial" w:cs="Arial"/>
                <w:b/>
                <w:bCs/>
                <w:sz w:val="22"/>
                <w:szCs w:val="22"/>
              </w:rPr>
              <w:t>Physiological</w:t>
            </w:r>
            <w:r w:rsidRPr="0033639F">
              <w:rPr>
                <w:rFonts w:ascii="Arial" w:hAnsi="Arial" w:cs="Arial"/>
                <w:b/>
                <w:bCs/>
                <w:sz w:val="22"/>
                <w:szCs w:val="22"/>
              </w:rPr>
              <w:t xml:space="preserve"> </w:t>
            </w:r>
            <w:r w:rsidR="009606C2">
              <w:rPr>
                <w:rFonts w:ascii="Arial" w:hAnsi="Arial" w:cs="Arial"/>
                <w:b/>
                <w:bCs/>
                <w:sz w:val="22"/>
                <w:szCs w:val="22"/>
              </w:rPr>
              <w:t>F</w:t>
            </w:r>
            <w:r w:rsidRPr="0033639F">
              <w:rPr>
                <w:rFonts w:ascii="Arial" w:hAnsi="Arial" w:cs="Arial"/>
                <w:b/>
                <w:bCs/>
                <w:sz w:val="22"/>
                <w:szCs w:val="22"/>
              </w:rPr>
              <w:t xml:space="preserve">actors that </w:t>
            </w:r>
            <w:r w:rsidR="009606C2">
              <w:rPr>
                <w:rFonts w:ascii="Arial" w:hAnsi="Arial" w:cs="Arial"/>
                <w:b/>
                <w:bCs/>
                <w:sz w:val="22"/>
                <w:szCs w:val="22"/>
              </w:rPr>
              <w:t>A</w:t>
            </w:r>
            <w:r w:rsidRPr="0033639F">
              <w:rPr>
                <w:rFonts w:ascii="Arial" w:hAnsi="Arial" w:cs="Arial"/>
                <w:b/>
                <w:bCs/>
                <w:sz w:val="22"/>
                <w:szCs w:val="22"/>
              </w:rPr>
              <w:t xml:space="preserve">ffect GH </w:t>
            </w:r>
            <w:r w:rsidR="009606C2">
              <w:rPr>
                <w:rFonts w:ascii="Arial" w:hAnsi="Arial" w:cs="Arial"/>
                <w:b/>
                <w:bCs/>
                <w:sz w:val="22"/>
                <w:szCs w:val="22"/>
              </w:rPr>
              <w:t>S</w:t>
            </w:r>
            <w:r w:rsidRPr="0033639F">
              <w:rPr>
                <w:rFonts w:ascii="Arial" w:hAnsi="Arial" w:cs="Arial"/>
                <w:b/>
                <w:bCs/>
                <w:sz w:val="22"/>
                <w:szCs w:val="22"/>
              </w:rPr>
              <w:t>ecretion</w:t>
            </w:r>
            <w:r w:rsidRPr="0033639F">
              <w:rPr>
                <w:rFonts w:ascii="Arial" w:hAnsi="Arial" w:cs="Arial"/>
                <w:sz w:val="22"/>
                <w:szCs w:val="22"/>
              </w:rPr>
              <w:t xml:space="preserve"> </w:t>
            </w:r>
          </w:p>
        </w:tc>
      </w:tr>
      <w:tr w:rsidR="00803B01" w:rsidRPr="0033639F" w14:paraId="70C3D33F" w14:textId="77777777" w:rsidTr="00F51523">
        <w:tc>
          <w:tcPr>
            <w:tcW w:w="0" w:type="auto"/>
          </w:tcPr>
          <w:p w14:paraId="0F7FEBFD"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Factors that stimulate GH secretion  </w:t>
            </w:r>
          </w:p>
        </w:tc>
        <w:tc>
          <w:tcPr>
            <w:tcW w:w="0" w:type="auto"/>
          </w:tcPr>
          <w:p w14:paraId="398CFC9D"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Factors that suppress GH secretion </w:t>
            </w:r>
          </w:p>
        </w:tc>
      </w:tr>
      <w:tr w:rsidR="00803B01" w:rsidRPr="0033639F" w14:paraId="6FBCB6A0" w14:textId="77777777" w:rsidTr="00F51523">
        <w:tc>
          <w:tcPr>
            <w:tcW w:w="0" w:type="auto"/>
          </w:tcPr>
          <w:p w14:paraId="238C0B47"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Exercise  </w:t>
            </w:r>
          </w:p>
        </w:tc>
        <w:tc>
          <w:tcPr>
            <w:tcW w:w="0" w:type="auto"/>
          </w:tcPr>
          <w:p w14:paraId="4E997224"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Hypothyroidism </w:t>
            </w:r>
          </w:p>
        </w:tc>
      </w:tr>
      <w:tr w:rsidR="00803B01" w:rsidRPr="0033639F" w14:paraId="0215552C" w14:textId="77777777" w:rsidTr="00F51523">
        <w:tc>
          <w:tcPr>
            <w:tcW w:w="0" w:type="auto"/>
          </w:tcPr>
          <w:p w14:paraId="35B71961"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Stress  </w:t>
            </w:r>
          </w:p>
        </w:tc>
        <w:tc>
          <w:tcPr>
            <w:tcW w:w="0" w:type="auto"/>
          </w:tcPr>
          <w:p w14:paraId="4C555E74"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Obesity </w:t>
            </w:r>
          </w:p>
        </w:tc>
      </w:tr>
      <w:tr w:rsidR="00803B01" w:rsidRPr="0033639F" w14:paraId="670BC1D2" w14:textId="77777777" w:rsidTr="00F51523">
        <w:tc>
          <w:tcPr>
            <w:tcW w:w="0" w:type="auto"/>
          </w:tcPr>
          <w:p w14:paraId="077121F9"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Hypoglycemia  </w:t>
            </w:r>
          </w:p>
        </w:tc>
        <w:tc>
          <w:tcPr>
            <w:tcW w:w="0" w:type="auto"/>
          </w:tcPr>
          <w:p w14:paraId="1A310EA6"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Hyperglycemia </w:t>
            </w:r>
          </w:p>
        </w:tc>
      </w:tr>
      <w:tr w:rsidR="00803B01" w:rsidRPr="0033639F" w14:paraId="25F230DF" w14:textId="77777777" w:rsidTr="00F51523">
        <w:tc>
          <w:tcPr>
            <w:tcW w:w="0" w:type="auto"/>
          </w:tcPr>
          <w:p w14:paraId="491789D7"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Fasting  </w:t>
            </w:r>
          </w:p>
        </w:tc>
        <w:tc>
          <w:tcPr>
            <w:tcW w:w="0" w:type="auto"/>
          </w:tcPr>
          <w:p w14:paraId="270FD88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High carbohydrate meals </w:t>
            </w:r>
          </w:p>
        </w:tc>
      </w:tr>
      <w:tr w:rsidR="00803B01" w:rsidRPr="0033639F" w14:paraId="762FD304" w14:textId="77777777" w:rsidTr="00F51523">
        <w:tc>
          <w:tcPr>
            <w:tcW w:w="0" w:type="auto"/>
          </w:tcPr>
          <w:p w14:paraId="5749AA96"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High protein meals  </w:t>
            </w:r>
          </w:p>
        </w:tc>
        <w:tc>
          <w:tcPr>
            <w:tcW w:w="0" w:type="auto"/>
          </w:tcPr>
          <w:p w14:paraId="40221296"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Excess glucocorticoids </w:t>
            </w:r>
          </w:p>
        </w:tc>
      </w:tr>
      <w:tr w:rsidR="00803B01" w:rsidRPr="0033639F" w14:paraId="54DD8C83" w14:textId="77777777" w:rsidTr="00F51523">
        <w:tc>
          <w:tcPr>
            <w:tcW w:w="0" w:type="auto"/>
          </w:tcPr>
          <w:p w14:paraId="23BF281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Sleep </w:t>
            </w:r>
          </w:p>
        </w:tc>
        <w:tc>
          <w:tcPr>
            <w:tcW w:w="0" w:type="auto"/>
          </w:tcPr>
          <w:p w14:paraId="77716932" w14:textId="77777777" w:rsidR="00803B01" w:rsidRPr="0033639F" w:rsidRDefault="00803B01" w:rsidP="0033639F">
            <w:pPr>
              <w:spacing w:line="276" w:lineRule="auto"/>
              <w:rPr>
                <w:rFonts w:ascii="Arial" w:hAnsi="Arial" w:cs="Arial"/>
                <w:sz w:val="22"/>
                <w:szCs w:val="22"/>
              </w:rPr>
            </w:pPr>
          </w:p>
        </w:tc>
      </w:tr>
    </w:tbl>
    <w:p w14:paraId="1B982BC8" w14:textId="77777777" w:rsidR="009606C2" w:rsidRDefault="009606C2" w:rsidP="0033639F">
      <w:pPr>
        <w:pStyle w:val="Heading2"/>
        <w:spacing w:before="0" w:after="0" w:line="276" w:lineRule="auto"/>
        <w:rPr>
          <w:rFonts w:ascii="Arial" w:hAnsi="Arial" w:cs="Arial"/>
          <w:sz w:val="22"/>
          <w:szCs w:val="22"/>
        </w:rPr>
      </w:pPr>
      <w:bookmarkStart w:id="14" w:name="id2506377"/>
      <w:bookmarkEnd w:id="14"/>
    </w:p>
    <w:p w14:paraId="5264666A" w14:textId="2CED02FB" w:rsidR="00803B01" w:rsidRPr="009606C2" w:rsidRDefault="00803B01" w:rsidP="009606C2">
      <w:pPr>
        <w:rPr>
          <w:rFonts w:ascii="Arial" w:hAnsi="Arial" w:cs="Arial"/>
          <w:b/>
          <w:bCs/>
          <w:sz w:val="22"/>
          <w:szCs w:val="22"/>
        </w:rPr>
      </w:pPr>
      <w:r w:rsidRPr="009606C2">
        <w:rPr>
          <w:rFonts w:ascii="Arial" w:hAnsi="Arial" w:cs="Arial"/>
          <w:b/>
          <w:bCs/>
          <w:color w:val="00B050"/>
          <w:sz w:val="22"/>
          <w:szCs w:val="22"/>
        </w:rPr>
        <w:t xml:space="preserve">Growth Hormone Releasing Hormone </w:t>
      </w:r>
    </w:p>
    <w:p w14:paraId="66BD843C" w14:textId="77777777" w:rsidR="009606C2" w:rsidRDefault="009606C2" w:rsidP="0033639F">
      <w:pPr>
        <w:spacing w:line="276" w:lineRule="auto"/>
        <w:rPr>
          <w:rFonts w:ascii="Arial" w:hAnsi="Arial" w:cs="Arial"/>
          <w:sz w:val="22"/>
          <w:szCs w:val="22"/>
        </w:rPr>
      </w:pPr>
    </w:p>
    <w:p w14:paraId="70B9CEC4" w14:textId="37D44DE8" w:rsidR="00803B01" w:rsidRDefault="00803B01" w:rsidP="0033639F">
      <w:pPr>
        <w:spacing w:line="276" w:lineRule="auto"/>
        <w:rPr>
          <w:rFonts w:ascii="Arial" w:hAnsi="Arial" w:cs="Arial"/>
          <w:sz w:val="22"/>
          <w:szCs w:val="22"/>
        </w:rPr>
      </w:pPr>
      <w:r w:rsidRPr="0033639F">
        <w:rPr>
          <w:rFonts w:ascii="Arial" w:hAnsi="Arial" w:cs="Arial"/>
          <w:sz w:val="22"/>
          <w:szCs w:val="22"/>
        </w:rPr>
        <w:t>GHRH (also known as Somatocrinin) is the hypothalamic-releasing hormone isolated in 1982</w:t>
      </w:r>
      <w:r w:rsidRPr="0033639F">
        <w:rPr>
          <w:rFonts w:ascii="Arial" w:hAnsi="Arial" w:cs="Arial"/>
          <w:noProof/>
          <w:sz w:val="22"/>
          <w:szCs w:val="22"/>
        </w:rPr>
        <w:t xml:space="preserve"> </w:t>
      </w:r>
      <w:r w:rsidR="00157055" w:rsidRPr="0033639F">
        <w:rPr>
          <w:rFonts w:ascii="Arial" w:hAnsi="Arial" w:cs="Arial"/>
          <w:noProof/>
          <w:sz w:val="22"/>
          <w:szCs w:val="22"/>
        </w:rPr>
        <w:t>(</w:t>
      </w:r>
      <w:r w:rsidR="00AB03BD" w:rsidRPr="0033639F">
        <w:rPr>
          <w:rFonts w:ascii="Arial" w:hAnsi="Arial" w:cs="Arial"/>
          <w:noProof/>
          <w:sz w:val="22"/>
          <w:szCs w:val="22"/>
        </w:rPr>
        <w:t>58</w:t>
      </w:r>
      <w:r w:rsidR="00157055" w:rsidRPr="0033639F">
        <w:rPr>
          <w:rFonts w:ascii="Arial" w:hAnsi="Arial" w:cs="Arial"/>
          <w:noProof/>
          <w:sz w:val="22"/>
          <w:szCs w:val="22"/>
        </w:rPr>
        <w:t>)</w:t>
      </w:r>
      <w:r w:rsidRPr="0033639F">
        <w:rPr>
          <w:rFonts w:ascii="Arial" w:hAnsi="Arial" w:cs="Arial"/>
          <w:sz w:val="22"/>
          <w:szCs w:val="22"/>
        </w:rPr>
        <w:t xml:space="preserve"> believed to be the chief mediator of GH secretion from the somatotrope. GHRH deficiency is thought to be the most common cause of 'acquired' GHRH deficiency, secondary to (even mild) birth trauma. GHRH includes 5 exons, with transcription of (the non-coding) exon 1 differing on a tissue-specific basis</w:t>
      </w:r>
      <w:r w:rsidR="00157055" w:rsidRPr="0033639F">
        <w:rPr>
          <w:rFonts w:ascii="Arial" w:hAnsi="Arial" w:cs="Arial"/>
          <w:sz w:val="22"/>
          <w:szCs w:val="22"/>
        </w:rPr>
        <w:t xml:space="preserve"> </w:t>
      </w:r>
      <w:r w:rsidR="00157055" w:rsidRPr="0033639F">
        <w:rPr>
          <w:rFonts w:ascii="Arial" w:hAnsi="Arial" w:cs="Arial"/>
          <w:noProof/>
          <w:sz w:val="22"/>
          <w:szCs w:val="22"/>
        </w:rPr>
        <w:t>(5</w:t>
      </w:r>
      <w:r w:rsidR="00AB03BD" w:rsidRPr="0033639F">
        <w:rPr>
          <w:rFonts w:ascii="Arial" w:hAnsi="Arial" w:cs="Arial"/>
          <w:noProof/>
          <w:sz w:val="22"/>
          <w:szCs w:val="22"/>
        </w:rPr>
        <w:t>9</w:t>
      </w:r>
      <w:r w:rsidR="00157055"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The mature GHRH protein contains 44 amino acids, </w:t>
      </w:r>
      <w:r w:rsidRPr="0033639F">
        <w:rPr>
          <w:rFonts w:ascii="Arial" w:hAnsi="Arial" w:cs="Arial"/>
          <w:sz w:val="22"/>
          <w:szCs w:val="22"/>
        </w:rPr>
        <w:lastRenderedPageBreak/>
        <w:t xml:space="preserve">with an amidated </w:t>
      </w:r>
      <w:r w:rsidR="00305C0D" w:rsidRPr="0033639F">
        <w:rPr>
          <w:rFonts w:ascii="Arial" w:hAnsi="Arial" w:cs="Arial"/>
          <w:sz w:val="22"/>
          <w:szCs w:val="22"/>
        </w:rPr>
        <w:t>carboxy terminus</w:t>
      </w:r>
      <w:r w:rsidRPr="0033639F">
        <w:rPr>
          <w:rFonts w:ascii="Arial" w:hAnsi="Arial" w:cs="Arial"/>
          <w:sz w:val="22"/>
          <w:szCs w:val="22"/>
        </w:rPr>
        <w:t xml:space="preserve"> (Figure </w:t>
      </w:r>
      <w:r w:rsidR="006027BB" w:rsidRPr="0033639F">
        <w:rPr>
          <w:rFonts w:ascii="Arial" w:hAnsi="Arial" w:cs="Arial"/>
          <w:sz w:val="22"/>
          <w:szCs w:val="22"/>
        </w:rPr>
        <w:t>10</w:t>
      </w:r>
      <w:r w:rsidRPr="0033639F">
        <w:rPr>
          <w:rFonts w:ascii="Arial" w:hAnsi="Arial" w:cs="Arial"/>
          <w:sz w:val="22"/>
          <w:szCs w:val="22"/>
        </w:rPr>
        <w:t>). Despite this post-translational modification, much of the GH-secreting ability resides in the (original) amino half, allowing the synthesis of shorter peptides retaining efficacy (</w:t>
      </w:r>
      <w:r w:rsidRPr="0033639F">
        <w:rPr>
          <w:rFonts w:ascii="Arial" w:hAnsi="Arial" w:cs="Arial"/>
          <w:i/>
          <w:iCs/>
          <w:sz w:val="22"/>
          <w:szCs w:val="22"/>
        </w:rPr>
        <w:t>e.g.</w:t>
      </w:r>
      <w:r w:rsidRPr="0033639F">
        <w:rPr>
          <w:rFonts w:ascii="Arial" w:hAnsi="Arial" w:cs="Arial"/>
          <w:sz w:val="22"/>
          <w:szCs w:val="22"/>
        </w:rPr>
        <w:t xml:space="preserve"> 1-29 GHRH). Despite being cloned in 1985</w:t>
      </w:r>
      <w:r w:rsidR="00157055" w:rsidRPr="0033639F">
        <w:rPr>
          <w:rFonts w:ascii="Arial" w:hAnsi="Arial" w:cs="Arial"/>
          <w:sz w:val="22"/>
          <w:szCs w:val="22"/>
        </w:rPr>
        <w:t xml:space="preserve"> </w:t>
      </w:r>
      <w:r w:rsidR="00157055" w:rsidRPr="0033639F">
        <w:rPr>
          <w:rFonts w:ascii="Arial" w:hAnsi="Arial" w:cs="Arial"/>
          <w:noProof/>
          <w:sz w:val="22"/>
          <w:szCs w:val="22"/>
        </w:rPr>
        <w:t>(</w:t>
      </w:r>
      <w:r w:rsidR="00AB03BD" w:rsidRPr="0033639F">
        <w:rPr>
          <w:rFonts w:ascii="Arial" w:hAnsi="Arial" w:cs="Arial"/>
          <w:noProof/>
          <w:sz w:val="22"/>
          <w:szCs w:val="22"/>
        </w:rPr>
        <w:t>60</w:t>
      </w:r>
      <w:r w:rsidR="00157055" w:rsidRPr="0033639F">
        <w:rPr>
          <w:rFonts w:ascii="Arial" w:hAnsi="Arial" w:cs="Arial"/>
          <w:noProof/>
          <w:sz w:val="22"/>
          <w:szCs w:val="22"/>
        </w:rPr>
        <w:t>)</w:t>
      </w:r>
      <w:r w:rsidRPr="0033639F">
        <w:rPr>
          <w:rFonts w:ascii="Arial" w:hAnsi="Arial" w:cs="Arial"/>
          <w:sz w:val="22"/>
          <w:szCs w:val="22"/>
        </w:rPr>
        <w:t xml:space="preserve">, there are no reports of (spontaneous) mutations in humans or in any animal model. Individuals with mutations in GHRH are predicted to have isolated GH deficiency. </w:t>
      </w:r>
    </w:p>
    <w:p w14:paraId="6D5C2C7B" w14:textId="77777777" w:rsidR="009606C2" w:rsidRPr="0033639F" w:rsidRDefault="009606C2" w:rsidP="0033639F">
      <w:pPr>
        <w:spacing w:line="276" w:lineRule="auto"/>
        <w:rPr>
          <w:rFonts w:ascii="Arial" w:hAnsi="Arial" w:cs="Arial"/>
          <w:sz w:val="22"/>
          <w:szCs w:val="22"/>
        </w:rPr>
      </w:pPr>
    </w:p>
    <w:p w14:paraId="2CEA2843" w14:textId="57335195" w:rsidR="00073A98" w:rsidRDefault="00073A98" w:rsidP="0013412C">
      <w:bookmarkStart w:id="15" w:name="id2506422"/>
      <w:bookmarkStart w:id="16" w:name="id2506443"/>
      <w:bookmarkEnd w:id="15"/>
      <w:bookmarkEnd w:id="16"/>
      <w:r>
        <w:rPr>
          <w:noProof/>
        </w:rPr>
        <w:drawing>
          <wp:inline distT="0" distB="0" distL="0" distR="0" wp14:anchorId="52BDBC78" wp14:editId="702A2356">
            <wp:extent cx="5903366" cy="3343703"/>
            <wp:effectExtent l="0" t="0" r="2540" b="9525"/>
            <wp:docPr id="19954698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984" cy="3350850"/>
                    </a:xfrm>
                    <a:prstGeom prst="rect">
                      <a:avLst/>
                    </a:prstGeom>
                    <a:noFill/>
                  </pic:spPr>
                </pic:pic>
              </a:graphicData>
            </a:graphic>
          </wp:inline>
        </w:drawing>
      </w:r>
    </w:p>
    <w:p w14:paraId="7D0647E2" w14:textId="587F764C" w:rsidR="00270F60" w:rsidRPr="0013412C" w:rsidRDefault="00270F60" w:rsidP="0013412C">
      <w:pPr>
        <w:rPr>
          <w:rFonts w:ascii="Arial" w:hAnsi="Arial" w:cs="Arial"/>
          <w:b/>
          <w:bCs/>
          <w:sz w:val="22"/>
          <w:szCs w:val="22"/>
        </w:rPr>
      </w:pPr>
      <w:r w:rsidRPr="0013412C">
        <w:rPr>
          <w:rFonts w:ascii="Arial" w:hAnsi="Arial" w:cs="Arial"/>
          <w:b/>
          <w:bCs/>
          <w:sz w:val="22"/>
          <w:szCs w:val="22"/>
        </w:rPr>
        <w:t>Figure 10. The growth hormone releasing hormone (GHRH) gene.</w:t>
      </w:r>
    </w:p>
    <w:p w14:paraId="3623DECF" w14:textId="77777777" w:rsidR="00270F60" w:rsidRPr="00270F60" w:rsidRDefault="00270F60" w:rsidP="0033639F">
      <w:pPr>
        <w:pStyle w:val="Heading2"/>
        <w:spacing w:before="0" w:after="0" w:line="276" w:lineRule="auto"/>
        <w:rPr>
          <w:rFonts w:ascii="Arial" w:hAnsi="Arial" w:cs="Arial"/>
          <w:b/>
          <w:bCs/>
          <w:color w:val="auto"/>
          <w:sz w:val="22"/>
          <w:szCs w:val="22"/>
        </w:rPr>
      </w:pPr>
    </w:p>
    <w:p w14:paraId="7E516114" w14:textId="7500AE19" w:rsidR="00803B01" w:rsidRPr="00073A98" w:rsidRDefault="00803B01" w:rsidP="00270F60">
      <w:pPr>
        <w:rPr>
          <w:rFonts w:ascii="Arial" w:hAnsi="Arial" w:cs="Arial"/>
          <w:b/>
          <w:bCs/>
          <w:color w:val="00B050"/>
          <w:sz w:val="22"/>
          <w:szCs w:val="22"/>
        </w:rPr>
      </w:pPr>
      <w:r w:rsidRPr="00073A98">
        <w:rPr>
          <w:rFonts w:ascii="Arial" w:hAnsi="Arial" w:cs="Arial"/>
          <w:b/>
          <w:bCs/>
          <w:color w:val="00B050"/>
          <w:sz w:val="22"/>
          <w:szCs w:val="22"/>
        </w:rPr>
        <w:t xml:space="preserve">Growth Hormone Releasing Hormone Receptor </w:t>
      </w:r>
    </w:p>
    <w:p w14:paraId="181CD0DD" w14:textId="77777777" w:rsidR="00270F60" w:rsidRPr="00270F60" w:rsidRDefault="00270F60" w:rsidP="00270F60">
      <w:pPr>
        <w:rPr>
          <w:rFonts w:ascii="Arial" w:hAnsi="Arial" w:cs="Arial"/>
          <w:i/>
          <w:iCs/>
          <w:color w:val="00B050"/>
          <w:sz w:val="22"/>
          <w:szCs w:val="22"/>
        </w:rPr>
      </w:pPr>
    </w:p>
    <w:p w14:paraId="11978208" w14:textId="77777777" w:rsidR="00073A98" w:rsidRDefault="00803B01" w:rsidP="0033639F">
      <w:pPr>
        <w:spacing w:line="276" w:lineRule="auto"/>
        <w:rPr>
          <w:rFonts w:ascii="Arial" w:hAnsi="Arial" w:cs="Arial"/>
          <w:sz w:val="22"/>
          <w:szCs w:val="22"/>
        </w:rPr>
      </w:pPr>
      <w:r w:rsidRPr="0033639F">
        <w:rPr>
          <w:rFonts w:ascii="Arial" w:hAnsi="Arial" w:cs="Arial"/>
          <w:i/>
          <w:iCs/>
          <w:sz w:val="22"/>
          <w:szCs w:val="22"/>
        </w:rPr>
        <w:t>GHRHR</w:t>
      </w:r>
      <w:r w:rsidRPr="0033639F">
        <w:rPr>
          <w:rFonts w:ascii="Arial" w:hAnsi="Arial" w:cs="Arial"/>
          <w:sz w:val="22"/>
          <w:szCs w:val="22"/>
        </w:rPr>
        <w:t xml:space="preserve"> was cloned in 1992</w:t>
      </w:r>
      <w:r w:rsidR="00157055" w:rsidRPr="0033639F">
        <w:rPr>
          <w:rFonts w:ascii="Arial" w:hAnsi="Arial" w:cs="Arial"/>
          <w:sz w:val="22"/>
          <w:szCs w:val="22"/>
        </w:rPr>
        <w:t xml:space="preserve"> </w:t>
      </w:r>
      <w:r w:rsidR="00157055" w:rsidRPr="0033639F">
        <w:rPr>
          <w:rFonts w:ascii="Arial" w:hAnsi="Arial" w:cs="Arial"/>
          <w:noProof/>
          <w:sz w:val="22"/>
          <w:szCs w:val="22"/>
        </w:rPr>
        <w:t>(</w:t>
      </w:r>
      <w:r w:rsidR="00AB03BD" w:rsidRPr="0033639F">
        <w:rPr>
          <w:rFonts w:ascii="Arial" w:hAnsi="Arial" w:cs="Arial"/>
          <w:noProof/>
          <w:sz w:val="22"/>
          <w:szCs w:val="22"/>
        </w:rPr>
        <w:t>61</w:t>
      </w:r>
      <w:r w:rsidR="00157055"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described as the cause of isolated GH deficiency (IGHD) in the Little strain of dwarf mouse by 1993</w:t>
      </w:r>
      <w:r w:rsidRPr="0033639F">
        <w:rPr>
          <w:rFonts w:ascii="Arial" w:hAnsi="Arial" w:cs="Arial"/>
          <w:noProof/>
          <w:sz w:val="22"/>
          <w:szCs w:val="22"/>
        </w:rPr>
        <w:t xml:space="preserve"> </w:t>
      </w:r>
      <w:r w:rsidR="00157055" w:rsidRPr="0033639F">
        <w:rPr>
          <w:rFonts w:ascii="Arial" w:hAnsi="Arial" w:cs="Arial"/>
          <w:noProof/>
          <w:sz w:val="22"/>
          <w:szCs w:val="22"/>
        </w:rPr>
        <w:t>(</w:t>
      </w:r>
      <w:r w:rsidR="00AB03BD" w:rsidRPr="0033639F">
        <w:rPr>
          <w:rFonts w:ascii="Arial" w:hAnsi="Arial" w:cs="Arial"/>
          <w:noProof/>
          <w:sz w:val="22"/>
          <w:szCs w:val="22"/>
        </w:rPr>
        <w:t>62</w:t>
      </w:r>
      <w:r w:rsidR="00157055" w:rsidRPr="0033639F">
        <w:rPr>
          <w:rFonts w:ascii="Arial" w:hAnsi="Arial" w:cs="Arial"/>
          <w:noProof/>
          <w:sz w:val="22"/>
          <w:szCs w:val="22"/>
        </w:rPr>
        <w:t>,</w:t>
      </w:r>
      <w:r w:rsidR="00AB03BD" w:rsidRPr="0033639F">
        <w:rPr>
          <w:rFonts w:ascii="Arial" w:hAnsi="Arial" w:cs="Arial"/>
          <w:noProof/>
          <w:sz w:val="22"/>
          <w:szCs w:val="22"/>
        </w:rPr>
        <w:t>63</w:t>
      </w:r>
      <w:r w:rsidR="00157055" w:rsidRPr="0033639F">
        <w:rPr>
          <w:rFonts w:ascii="Arial" w:hAnsi="Arial" w:cs="Arial"/>
          <w:noProof/>
          <w:sz w:val="22"/>
          <w:szCs w:val="22"/>
        </w:rPr>
        <w:t>)</w:t>
      </w:r>
      <w:r w:rsidRPr="0033639F">
        <w:rPr>
          <w:rFonts w:ascii="Arial" w:hAnsi="Arial" w:cs="Arial"/>
          <w:color w:val="7030A0"/>
          <w:sz w:val="22"/>
          <w:szCs w:val="22"/>
        </w:rPr>
        <w:t xml:space="preserve">, </w:t>
      </w:r>
      <w:r w:rsidRPr="0033639F">
        <w:rPr>
          <w:rFonts w:ascii="Arial" w:hAnsi="Arial" w:cs="Arial"/>
          <w:sz w:val="22"/>
          <w:szCs w:val="22"/>
        </w:rPr>
        <w:t>mapped in the human by 1994</w:t>
      </w:r>
      <w:r w:rsidR="00157055" w:rsidRPr="0033639F">
        <w:rPr>
          <w:rFonts w:ascii="Arial" w:hAnsi="Arial" w:cs="Arial"/>
          <w:sz w:val="22"/>
          <w:szCs w:val="22"/>
        </w:rPr>
        <w:t xml:space="preserve"> </w:t>
      </w:r>
      <w:r w:rsidR="00157055" w:rsidRPr="0033639F">
        <w:rPr>
          <w:rFonts w:ascii="Arial" w:hAnsi="Arial" w:cs="Arial"/>
          <w:noProof/>
          <w:sz w:val="22"/>
          <w:szCs w:val="22"/>
        </w:rPr>
        <w:t>(6</w:t>
      </w:r>
      <w:r w:rsidR="00AB03BD" w:rsidRPr="0033639F">
        <w:rPr>
          <w:rFonts w:ascii="Arial" w:hAnsi="Arial" w:cs="Arial"/>
          <w:noProof/>
          <w:sz w:val="22"/>
          <w:szCs w:val="22"/>
        </w:rPr>
        <w:t>4</w:t>
      </w:r>
      <w:r w:rsidR="00157055" w:rsidRPr="0033639F">
        <w:rPr>
          <w:rFonts w:ascii="Arial" w:hAnsi="Arial" w:cs="Arial"/>
          <w:noProof/>
          <w:sz w:val="22"/>
          <w:szCs w:val="22"/>
        </w:rPr>
        <w:t>)</w:t>
      </w:r>
      <w:r w:rsidRPr="0033639F">
        <w:rPr>
          <w:rFonts w:ascii="Arial" w:hAnsi="Arial" w:cs="Arial"/>
          <w:sz w:val="22"/>
          <w:szCs w:val="22"/>
        </w:rPr>
        <w:t>, and demonstrated to be a cause of human GH deficiency in 1996</w:t>
      </w:r>
      <w:r w:rsidRPr="0033639F">
        <w:rPr>
          <w:rFonts w:ascii="Arial" w:hAnsi="Arial" w:cs="Arial"/>
          <w:noProof/>
          <w:sz w:val="22"/>
          <w:szCs w:val="22"/>
        </w:rPr>
        <w:t xml:space="preserve"> </w:t>
      </w:r>
      <w:r w:rsidR="00E92AD6" w:rsidRPr="0033639F">
        <w:rPr>
          <w:rFonts w:ascii="Arial" w:hAnsi="Arial" w:cs="Arial"/>
          <w:noProof/>
          <w:sz w:val="22"/>
          <w:szCs w:val="22"/>
        </w:rPr>
        <w:t>(</w:t>
      </w:r>
      <w:r w:rsidR="00AB03BD" w:rsidRPr="0033639F">
        <w:rPr>
          <w:rFonts w:ascii="Arial" w:hAnsi="Arial" w:cs="Arial"/>
          <w:noProof/>
          <w:sz w:val="22"/>
          <w:szCs w:val="22"/>
        </w:rPr>
        <w:t>43</w:t>
      </w:r>
      <w:r w:rsidR="00E92AD6"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w:t>
      </w:r>
      <w:r w:rsidRPr="0033639F">
        <w:rPr>
          <w:rFonts w:ascii="Arial" w:hAnsi="Arial" w:cs="Arial"/>
          <w:i/>
          <w:iCs/>
          <w:sz w:val="22"/>
          <w:szCs w:val="22"/>
        </w:rPr>
        <w:t>GHRHR</w:t>
      </w:r>
      <w:r w:rsidRPr="0033639F">
        <w:rPr>
          <w:rFonts w:ascii="Arial" w:hAnsi="Arial" w:cs="Arial"/>
          <w:sz w:val="22"/>
          <w:szCs w:val="22"/>
        </w:rPr>
        <w:t xml:space="preserve"> is located on 7p15</w:t>
      </w:r>
      <w:r w:rsidRPr="0033639F">
        <w:rPr>
          <w:rFonts w:ascii="Arial" w:hAnsi="Arial" w:cs="Arial"/>
          <w:noProof/>
          <w:sz w:val="22"/>
          <w:szCs w:val="22"/>
        </w:rPr>
        <w:t xml:space="preserve"> </w:t>
      </w:r>
      <w:r w:rsidR="00E92AD6" w:rsidRPr="0033639F">
        <w:rPr>
          <w:rFonts w:ascii="Arial" w:hAnsi="Arial" w:cs="Arial"/>
          <w:noProof/>
          <w:sz w:val="22"/>
          <w:szCs w:val="22"/>
        </w:rPr>
        <w:t>(</w:t>
      </w:r>
      <w:r w:rsidR="00AB03BD" w:rsidRPr="0033639F">
        <w:rPr>
          <w:rFonts w:ascii="Arial" w:hAnsi="Arial" w:cs="Arial"/>
          <w:noProof/>
          <w:sz w:val="22"/>
          <w:szCs w:val="22"/>
        </w:rPr>
        <w:t>64</w:t>
      </w:r>
      <w:r w:rsidR="00E92AD6"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comprises 13 exons and encodes a protein of 423 amino acids, belonging to the G-protein coupled, heptahelical transmembrane domain receptors (Figure 10). The initial reports of </w:t>
      </w:r>
      <w:r w:rsidRPr="0033639F">
        <w:rPr>
          <w:rFonts w:ascii="Arial" w:hAnsi="Arial" w:cs="Arial"/>
          <w:i/>
          <w:iCs/>
          <w:sz w:val="22"/>
          <w:szCs w:val="22"/>
        </w:rPr>
        <w:t>GHRHR</w:t>
      </w:r>
      <w:r w:rsidRPr="0033639F">
        <w:rPr>
          <w:rFonts w:ascii="Arial" w:hAnsi="Arial" w:cs="Arial"/>
          <w:sz w:val="22"/>
          <w:szCs w:val="22"/>
        </w:rPr>
        <w:t xml:space="preserve"> mutations were in geographically isolated (and therefore endogamous) populations in South Asia </w:t>
      </w:r>
      <w:r w:rsidR="00E92AD6" w:rsidRPr="0033639F">
        <w:rPr>
          <w:rFonts w:ascii="Arial" w:hAnsi="Arial" w:cs="Arial"/>
          <w:noProof/>
          <w:sz w:val="22"/>
          <w:szCs w:val="22"/>
        </w:rPr>
        <w:t>(</w:t>
      </w:r>
      <w:r w:rsidR="00AB03BD" w:rsidRPr="0033639F">
        <w:rPr>
          <w:rFonts w:ascii="Arial" w:hAnsi="Arial" w:cs="Arial"/>
          <w:noProof/>
          <w:sz w:val="22"/>
          <w:szCs w:val="22"/>
        </w:rPr>
        <w:t>43</w:t>
      </w:r>
      <w:r w:rsidR="00E92AD6" w:rsidRPr="0033639F">
        <w:rPr>
          <w:rFonts w:ascii="Arial" w:hAnsi="Arial" w:cs="Arial"/>
          <w:noProof/>
          <w:sz w:val="22"/>
          <w:szCs w:val="22"/>
        </w:rPr>
        <w:t>,6</w:t>
      </w:r>
      <w:r w:rsidR="00AB03BD" w:rsidRPr="0033639F">
        <w:rPr>
          <w:rFonts w:ascii="Arial" w:hAnsi="Arial" w:cs="Arial"/>
          <w:noProof/>
          <w:sz w:val="22"/>
          <w:szCs w:val="22"/>
        </w:rPr>
        <w:t>5</w:t>
      </w:r>
      <w:r w:rsidR="00E92AD6" w:rsidRPr="0033639F">
        <w:rPr>
          <w:rFonts w:ascii="Arial" w:hAnsi="Arial" w:cs="Arial"/>
          <w:noProof/>
          <w:sz w:val="22"/>
          <w:szCs w:val="22"/>
        </w:rPr>
        <w:t>,6</w:t>
      </w:r>
      <w:r w:rsidR="00AB03BD" w:rsidRPr="0033639F">
        <w:rPr>
          <w:rFonts w:ascii="Arial" w:hAnsi="Arial" w:cs="Arial"/>
          <w:noProof/>
          <w:sz w:val="22"/>
          <w:szCs w:val="22"/>
        </w:rPr>
        <w:t>6</w:t>
      </w:r>
      <w:r w:rsidR="00E92AD6" w:rsidRPr="0033639F">
        <w:rPr>
          <w:rFonts w:ascii="Arial" w:hAnsi="Arial" w:cs="Arial"/>
          <w:noProof/>
          <w:sz w:val="22"/>
          <w:szCs w:val="22"/>
        </w:rPr>
        <w:t>)</w:t>
      </w:r>
      <w:r w:rsidRPr="0033639F">
        <w:rPr>
          <w:rFonts w:ascii="Arial" w:hAnsi="Arial" w:cs="Arial"/>
          <w:sz w:val="22"/>
          <w:szCs w:val="22"/>
        </w:rPr>
        <w:t xml:space="preserve"> and later in Brazil</w:t>
      </w:r>
      <w:r w:rsidRPr="0033639F">
        <w:rPr>
          <w:rFonts w:ascii="Arial" w:hAnsi="Arial" w:cs="Arial"/>
          <w:noProof/>
          <w:sz w:val="22"/>
          <w:szCs w:val="22"/>
        </w:rPr>
        <w:t xml:space="preserve"> </w:t>
      </w:r>
      <w:r w:rsidR="00E92AD6" w:rsidRPr="0033639F">
        <w:rPr>
          <w:rFonts w:ascii="Arial" w:hAnsi="Arial" w:cs="Arial"/>
          <w:noProof/>
          <w:sz w:val="22"/>
          <w:szCs w:val="22"/>
        </w:rPr>
        <w:t>(</w:t>
      </w:r>
      <w:r w:rsidR="00AB03BD" w:rsidRPr="0033639F">
        <w:rPr>
          <w:rFonts w:ascii="Arial" w:hAnsi="Arial" w:cs="Arial"/>
          <w:noProof/>
          <w:sz w:val="22"/>
          <w:szCs w:val="22"/>
        </w:rPr>
        <w:t>67</w:t>
      </w:r>
      <w:r w:rsidR="00E92AD6" w:rsidRPr="0033639F">
        <w:rPr>
          <w:rFonts w:ascii="Arial" w:hAnsi="Arial" w:cs="Arial"/>
          <w:noProof/>
          <w:sz w:val="22"/>
          <w:szCs w:val="22"/>
        </w:rPr>
        <w:t>)</w:t>
      </w:r>
      <w:r w:rsidRPr="0033639F">
        <w:rPr>
          <w:rFonts w:ascii="Arial" w:hAnsi="Arial" w:cs="Arial"/>
          <w:sz w:val="22"/>
          <w:szCs w:val="22"/>
        </w:rPr>
        <w:t xml:space="preserve">. In fact, haplotype analysis of the </w:t>
      </w:r>
      <w:r w:rsidRPr="0033639F">
        <w:rPr>
          <w:rFonts w:ascii="Arial" w:hAnsi="Arial" w:cs="Arial"/>
          <w:i/>
          <w:iCs/>
          <w:sz w:val="22"/>
          <w:szCs w:val="22"/>
        </w:rPr>
        <w:t>GHRHR</w:t>
      </w:r>
      <w:r w:rsidRPr="0033639F">
        <w:rPr>
          <w:rFonts w:ascii="Arial" w:hAnsi="Arial" w:cs="Arial"/>
          <w:sz w:val="22"/>
          <w:szCs w:val="22"/>
        </w:rPr>
        <w:t xml:space="preserve"> locus in three unrelated families from the Indian subcontinent, carrying the identical E72X nonsense mutation in </w:t>
      </w:r>
      <w:r w:rsidRPr="0033639F">
        <w:rPr>
          <w:rFonts w:ascii="Arial" w:hAnsi="Arial" w:cs="Arial"/>
          <w:i/>
          <w:iCs/>
          <w:sz w:val="22"/>
          <w:szCs w:val="22"/>
        </w:rPr>
        <w:t>GHRHR</w:t>
      </w:r>
      <w:r w:rsidRPr="0033639F">
        <w:rPr>
          <w:rFonts w:ascii="Arial" w:hAnsi="Arial" w:cs="Arial"/>
          <w:sz w:val="22"/>
          <w:szCs w:val="22"/>
        </w:rPr>
        <w:t xml:space="preserve"> indicated that this represents a common ancient founder mutation</w:t>
      </w:r>
      <w:r w:rsidR="00E92AD6" w:rsidRPr="0033639F">
        <w:rPr>
          <w:rFonts w:ascii="Arial" w:hAnsi="Arial" w:cs="Arial"/>
          <w:sz w:val="22"/>
          <w:szCs w:val="22"/>
        </w:rPr>
        <w:t xml:space="preserve"> </w:t>
      </w:r>
      <w:r w:rsidR="00E92AD6" w:rsidRPr="0033639F">
        <w:rPr>
          <w:rFonts w:ascii="Arial" w:hAnsi="Arial" w:cs="Arial"/>
          <w:noProof/>
          <w:sz w:val="22"/>
          <w:szCs w:val="22"/>
        </w:rPr>
        <w:t>(6</w:t>
      </w:r>
      <w:r w:rsidR="00AB03BD" w:rsidRPr="0033639F">
        <w:rPr>
          <w:rFonts w:ascii="Arial" w:hAnsi="Arial" w:cs="Arial"/>
          <w:noProof/>
          <w:sz w:val="22"/>
          <w:szCs w:val="22"/>
        </w:rPr>
        <w:t>8</w:t>
      </w:r>
      <w:r w:rsidR="00E92AD6" w:rsidRPr="0033639F">
        <w:rPr>
          <w:rFonts w:ascii="Arial" w:hAnsi="Arial" w:cs="Arial"/>
          <w:noProof/>
          <w:sz w:val="22"/>
          <w:szCs w:val="22"/>
        </w:rPr>
        <w:t>)</w:t>
      </w:r>
      <w:r w:rsidRPr="0033639F">
        <w:rPr>
          <w:rFonts w:ascii="Arial" w:hAnsi="Arial" w:cs="Arial"/>
          <w:sz w:val="22"/>
          <w:szCs w:val="22"/>
        </w:rPr>
        <w:t xml:space="preserve">. An independent analysis of patients with familial isolated GH deficiency from non-consanguineous families revealed that </w:t>
      </w:r>
      <w:r w:rsidR="00305C0D" w:rsidRPr="0033639F">
        <w:rPr>
          <w:rFonts w:ascii="Arial" w:hAnsi="Arial" w:cs="Arial"/>
          <w:sz w:val="22"/>
          <w:szCs w:val="22"/>
        </w:rPr>
        <w:t>most</w:t>
      </w:r>
      <w:r w:rsidRPr="0033639F">
        <w:rPr>
          <w:rFonts w:ascii="Arial" w:hAnsi="Arial" w:cs="Arial"/>
          <w:sz w:val="22"/>
          <w:szCs w:val="22"/>
        </w:rPr>
        <w:t xml:space="preserve"> patients carried the identical E72X mutation, suggesting that E72X mutation can be a reasonable candidate for isolated GH deficiency</w:t>
      </w:r>
      <w:r w:rsidR="00E92AD6" w:rsidRPr="0033639F">
        <w:rPr>
          <w:rFonts w:ascii="Arial" w:hAnsi="Arial" w:cs="Arial"/>
          <w:sz w:val="22"/>
          <w:szCs w:val="22"/>
        </w:rPr>
        <w:t xml:space="preserve"> </w:t>
      </w:r>
      <w:r w:rsidR="00E92AD6" w:rsidRPr="0033639F">
        <w:rPr>
          <w:rFonts w:ascii="Arial" w:hAnsi="Arial" w:cs="Arial"/>
          <w:noProof/>
          <w:sz w:val="22"/>
          <w:szCs w:val="22"/>
        </w:rPr>
        <w:t>(6</w:t>
      </w:r>
      <w:r w:rsidR="00AB03BD" w:rsidRPr="0033639F">
        <w:rPr>
          <w:rFonts w:ascii="Arial" w:hAnsi="Arial" w:cs="Arial"/>
          <w:noProof/>
          <w:sz w:val="22"/>
          <w:szCs w:val="22"/>
        </w:rPr>
        <w:t>9</w:t>
      </w:r>
      <w:r w:rsidR="00E92AD6" w:rsidRPr="0033639F">
        <w:rPr>
          <w:rFonts w:ascii="Arial" w:hAnsi="Arial" w:cs="Arial"/>
          <w:noProof/>
          <w:sz w:val="22"/>
          <w:szCs w:val="22"/>
        </w:rPr>
        <w:t>)</w:t>
      </w:r>
      <w:r w:rsidRPr="0033639F">
        <w:rPr>
          <w:rFonts w:ascii="Arial" w:hAnsi="Arial" w:cs="Arial"/>
          <w:sz w:val="22"/>
          <w:szCs w:val="22"/>
        </w:rPr>
        <w:t xml:space="preserve">. There are now numerous other reports, making </w:t>
      </w:r>
      <w:r w:rsidRPr="0033639F">
        <w:rPr>
          <w:rFonts w:ascii="Arial" w:hAnsi="Arial" w:cs="Arial"/>
          <w:i/>
          <w:iCs/>
          <w:sz w:val="22"/>
          <w:szCs w:val="22"/>
        </w:rPr>
        <w:t>GHRHR</w:t>
      </w:r>
      <w:r w:rsidRPr="0033639F">
        <w:rPr>
          <w:rFonts w:ascii="Arial" w:hAnsi="Arial" w:cs="Arial"/>
          <w:sz w:val="22"/>
          <w:szCs w:val="22"/>
        </w:rPr>
        <w:t xml:space="preserve"> one of the </w:t>
      </w:r>
      <w:r w:rsidR="00305C0D" w:rsidRPr="0033639F">
        <w:rPr>
          <w:rFonts w:ascii="Arial" w:hAnsi="Arial" w:cs="Arial"/>
          <w:sz w:val="22"/>
          <w:szCs w:val="22"/>
        </w:rPr>
        <w:t>most mutated</w:t>
      </w:r>
      <w:r w:rsidRPr="0033639F">
        <w:rPr>
          <w:rFonts w:ascii="Arial" w:hAnsi="Arial" w:cs="Arial"/>
          <w:sz w:val="22"/>
          <w:szCs w:val="22"/>
        </w:rPr>
        <w:t xml:space="preserve"> genes in IGHD. Roelfsema </w:t>
      </w:r>
      <w:r w:rsidRPr="0033639F">
        <w:rPr>
          <w:rFonts w:ascii="Arial" w:hAnsi="Arial" w:cs="Arial"/>
          <w:i/>
          <w:iCs/>
          <w:sz w:val="22"/>
          <w:szCs w:val="22"/>
        </w:rPr>
        <w:t>et al</w:t>
      </w:r>
      <w:r w:rsidRPr="0033639F">
        <w:rPr>
          <w:rFonts w:ascii="Arial" w:hAnsi="Arial" w:cs="Arial"/>
          <w:sz w:val="22"/>
          <w:szCs w:val="22"/>
        </w:rPr>
        <w:t xml:space="preserve"> studied two members of a single family with an inactivating mutation of the </w:t>
      </w:r>
      <w:r w:rsidRPr="0033639F">
        <w:rPr>
          <w:rFonts w:ascii="Arial" w:hAnsi="Arial" w:cs="Arial"/>
          <w:i/>
          <w:iCs/>
          <w:sz w:val="22"/>
          <w:szCs w:val="22"/>
        </w:rPr>
        <w:t>GHRHR</w:t>
      </w:r>
      <w:r w:rsidRPr="0033639F">
        <w:rPr>
          <w:rFonts w:ascii="Arial" w:hAnsi="Arial" w:cs="Arial"/>
          <w:sz w:val="22"/>
          <w:szCs w:val="22"/>
        </w:rPr>
        <w:t xml:space="preserve"> and noted that the 'normal' pattern of spontaneous GH production was preserved, although the absolute quantity of GH secreted was quite low and the approximate entropy significantly </w:t>
      </w:r>
      <w:r w:rsidRPr="0033639F">
        <w:rPr>
          <w:rFonts w:ascii="Arial" w:hAnsi="Arial" w:cs="Arial"/>
          <w:sz w:val="22"/>
          <w:szCs w:val="22"/>
        </w:rPr>
        <w:lastRenderedPageBreak/>
        <w:t>elevated</w:t>
      </w:r>
      <w:r w:rsidR="00E92AD6" w:rsidRPr="0033639F">
        <w:rPr>
          <w:rFonts w:ascii="Arial" w:hAnsi="Arial" w:cs="Arial"/>
          <w:sz w:val="22"/>
          <w:szCs w:val="22"/>
        </w:rPr>
        <w:t xml:space="preserve"> </w:t>
      </w:r>
      <w:r w:rsidR="00E92AD6" w:rsidRPr="0033639F">
        <w:rPr>
          <w:rFonts w:ascii="Arial" w:hAnsi="Arial" w:cs="Arial"/>
          <w:noProof/>
          <w:sz w:val="22"/>
          <w:szCs w:val="22"/>
        </w:rPr>
        <w:t>(</w:t>
      </w:r>
      <w:r w:rsidR="00036A84" w:rsidRPr="0033639F">
        <w:rPr>
          <w:rFonts w:ascii="Arial" w:hAnsi="Arial" w:cs="Arial"/>
          <w:noProof/>
          <w:sz w:val="22"/>
          <w:szCs w:val="22"/>
        </w:rPr>
        <w:t>70</w:t>
      </w:r>
      <w:r w:rsidR="00E92AD6" w:rsidRPr="0033639F">
        <w:rPr>
          <w:rFonts w:ascii="Arial" w:hAnsi="Arial" w:cs="Arial"/>
          <w:noProof/>
          <w:sz w:val="22"/>
          <w:szCs w:val="22"/>
        </w:rPr>
        <w:t>)</w:t>
      </w:r>
      <w:r w:rsidRPr="0033639F">
        <w:rPr>
          <w:rFonts w:ascii="Arial" w:hAnsi="Arial" w:cs="Arial"/>
          <w:sz w:val="22"/>
          <w:szCs w:val="22"/>
        </w:rPr>
        <w:t>; supporting the view that the amplitude of a GH pulse is the result of a GHRH burst, while the timing of GH pulses is the result of a somatostatin trough.</w:t>
      </w:r>
    </w:p>
    <w:p w14:paraId="13063B6C" w14:textId="1B9A82C5"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w:t>
      </w:r>
    </w:p>
    <w:p w14:paraId="0C7A99C4" w14:textId="0364E381" w:rsidR="00CC6DB4" w:rsidRDefault="00CC6DB4" w:rsidP="00073A98">
      <w:pPr>
        <w:rPr>
          <w:rFonts w:ascii="Arial" w:hAnsi="Arial" w:cs="Arial"/>
          <w:b/>
          <w:bCs/>
          <w:sz w:val="22"/>
          <w:szCs w:val="22"/>
        </w:rPr>
      </w:pPr>
      <w:bookmarkStart w:id="17" w:name="id2506497"/>
      <w:bookmarkStart w:id="18" w:name="id2506518"/>
      <w:bookmarkEnd w:id="17"/>
      <w:bookmarkEnd w:id="18"/>
      <w:r>
        <w:rPr>
          <w:rFonts w:ascii="Arial" w:hAnsi="Arial" w:cs="Arial"/>
          <w:b/>
          <w:bCs/>
          <w:noProof/>
          <w:sz w:val="22"/>
          <w:szCs w:val="22"/>
        </w:rPr>
        <w:drawing>
          <wp:inline distT="0" distB="0" distL="0" distR="0" wp14:anchorId="23626064" wp14:editId="327773A0">
            <wp:extent cx="6159398" cy="3592982"/>
            <wp:effectExtent l="0" t="0" r="0" b="7620"/>
            <wp:docPr id="1733598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0424" cy="3599414"/>
                    </a:xfrm>
                    <a:prstGeom prst="rect">
                      <a:avLst/>
                    </a:prstGeom>
                    <a:noFill/>
                  </pic:spPr>
                </pic:pic>
              </a:graphicData>
            </a:graphic>
          </wp:inline>
        </w:drawing>
      </w:r>
    </w:p>
    <w:p w14:paraId="0AAB30CB" w14:textId="6FAE4ADB" w:rsidR="00073A98" w:rsidRPr="00073A98" w:rsidRDefault="00073A98" w:rsidP="00073A98">
      <w:pPr>
        <w:rPr>
          <w:rFonts w:ascii="Arial" w:hAnsi="Arial" w:cs="Arial"/>
          <w:b/>
          <w:bCs/>
          <w:sz w:val="22"/>
          <w:szCs w:val="22"/>
        </w:rPr>
      </w:pPr>
      <w:r w:rsidRPr="00073A98">
        <w:rPr>
          <w:rFonts w:ascii="Arial" w:hAnsi="Arial" w:cs="Arial"/>
          <w:b/>
          <w:bCs/>
          <w:sz w:val="22"/>
          <w:szCs w:val="22"/>
        </w:rPr>
        <w:t>Figure 11. The growth hormone releasing hormone receptor (GHRHR) gene</w:t>
      </w:r>
      <w:r>
        <w:rPr>
          <w:rFonts w:ascii="Arial" w:hAnsi="Arial" w:cs="Arial"/>
          <w:b/>
          <w:bCs/>
          <w:sz w:val="22"/>
          <w:szCs w:val="22"/>
        </w:rPr>
        <w:t>.</w:t>
      </w:r>
    </w:p>
    <w:p w14:paraId="28E4B9A5" w14:textId="77777777" w:rsidR="00073A98" w:rsidRPr="00073A98" w:rsidRDefault="00073A98" w:rsidP="0033639F">
      <w:pPr>
        <w:pStyle w:val="Heading2"/>
        <w:spacing w:before="0" w:after="0" w:line="276" w:lineRule="auto"/>
        <w:rPr>
          <w:rFonts w:ascii="Arial" w:hAnsi="Arial" w:cs="Arial"/>
          <w:b/>
          <w:bCs/>
          <w:color w:val="auto"/>
          <w:sz w:val="22"/>
          <w:szCs w:val="22"/>
        </w:rPr>
      </w:pPr>
    </w:p>
    <w:p w14:paraId="31233EC7" w14:textId="59B2395E" w:rsidR="00803B01" w:rsidRPr="00CC6DB4" w:rsidRDefault="00803B01" w:rsidP="00CC6DB4">
      <w:pPr>
        <w:rPr>
          <w:rFonts w:ascii="Arial" w:hAnsi="Arial" w:cs="Arial"/>
          <w:b/>
          <w:bCs/>
          <w:color w:val="00B050"/>
          <w:sz w:val="22"/>
          <w:szCs w:val="22"/>
        </w:rPr>
      </w:pPr>
      <w:r w:rsidRPr="00CC6DB4">
        <w:rPr>
          <w:rFonts w:ascii="Arial" w:hAnsi="Arial" w:cs="Arial"/>
          <w:b/>
          <w:bCs/>
          <w:color w:val="00B050"/>
          <w:sz w:val="22"/>
          <w:szCs w:val="22"/>
        </w:rPr>
        <w:t xml:space="preserve">Ghrelin </w:t>
      </w:r>
    </w:p>
    <w:p w14:paraId="212E9BB5" w14:textId="77777777" w:rsidR="00CC6DB4" w:rsidRDefault="00CC6DB4" w:rsidP="0033639F">
      <w:pPr>
        <w:spacing w:line="276" w:lineRule="auto"/>
        <w:rPr>
          <w:rFonts w:ascii="Arial" w:hAnsi="Arial" w:cs="Arial"/>
          <w:sz w:val="22"/>
          <w:szCs w:val="22"/>
        </w:rPr>
      </w:pPr>
    </w:p>
    <w:p w14:paraId="302C30B6" w14:textId="75D901FF"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In 1977 Bowers </w:t>
      </w:r>
      <w:r w:rsidRPr="0033639F">
        <w:rPr>
          <w:rFonts w:ascii="Arial" w:hAnsi="Arial" w:cs="Arial"/>
          <w:i/>
          <w:iCs/>
          <w:sz w:val="22"/>
          <w:szCs w:val="22"/>
        </w:rPr>
        <w:t>et al</w:t>
      </w:r>
      <w:r w:rsidRPr="0033639F">
        <w:rPr>
          <w:rFonts w:ascii="Arial" w:hAnsi="Arial" w:cs="Arial"/>
          <w:noProof/>
          <w:sz w:val="22"/>
          <w:szCs w:val="22"/>
        </w:rPr>
        <w:t xml:space="preserve"> </w:t>
      </w:r>
      <w:r w:rsidR="00E92AD6" w:rsidRPr="0033639F">
        <w:rPr>
          <w:rFonts w:ascii="Arial" w:hAnsi="Arial" w:cs="Arial"/>
          <w:noProof/>
          <w:sz w:val="22"/>
          <w:szCs w:val="22"/>
        </w:rPr>
        <w:t>(</w:t>
      </w:r>
      <w:r w:rsidR="00036A84" w:rsidRPr="0033639F">
        <w:rPr>
          <w:rFonts w:ascii="Arial" w:hAnsi="Arial" w:cs="Arial"/>
          <w:noProof/>
          <w:sz w:val="22"/>
          <w:szCs w:val="22"/>
        </w:rPr>
        <w:t>71</w:t>
      </w:r>
      <w:r w:rsidR="00E92AD6" w:rsidRPr="0033639F">
        <w:rPr>
          <w:rFonts w:ascii="Arial" w:hAnsi="Arial" w:cs="Arial"/>
          <w:noProof/>
          <w:sz w:val="22"/>
          <w:szCs w:val="22"/>
        </w:rPr>
        <w:t>)</w:t>
      </w:r>
      <w:r w:rsidRPr="0033639F">
        <w:rPr>
          <w:rFonts w:ascii="Arial" w:hAnsi="Arial" w:cs="Arial"/>
          <w:sz w:val="22"/>
          <w:szCs w:val="22"/>
        </w:rPr>
        <w:t xml:space="preserve"> reported on the ability of enkephalins to secrete GH and it was later demonstrated that this secretion was independent of GHRH. This sentinel finding gave rise to a new field of study, that of the growth hormone releasing peptides (GHRPs) or growth hormone secretagogues (GHSs). Twenty-two years later Kojima </w:t>
      </w:r>
      <w:r w:rsidRPr="0033639F">
        <w:rPr>
          <w:rFonts w:ascii="Arial" w:hAnsi="Arial" w:cs="Arial"/>
          <w:i/>
          <w:iCs/>
          <w:sz w:val="22"/>
          <w:szCs w:val="22"/>
        </w:rPr>
        <w:t>et al</w:t>
      </w:r>
      <w:r w:rsidRPr="0033639F">
        <w:rPr>
          <w:rFonts w:ascii="Arial" w:hAnsi="Arial" w:cs="Arial"/>
          <w:noProof/>
          <w:sz w:val="22"/>
          <w:szCs w:val="22"/>
        </w:rPr>
        <w:t xml:space="preserve"> </w:t>
      </w:r>
      <w:r w:rsidR="00E92AD6" w:rsidRPr="0033639F">
        <w:rPr>
          <w:rFonts w:ascii="Arial" w:hAnsi="Arial" w:cs="Arial"/>
          <w:noProof/>
          <w:sz w:val="22"/>
          <w:szCs w:val="22"/>
        </w:rPr>
        <w:t>(</w:t>
      </w:r>
      <w:r w:rsidR="00036A84" w:rsidRPr="0033639F">
        <w:rPr>
          <w:rFonts w:ascii="Arial" w:hAnsi="Arial" w:cs="Arial"/>
          <w:noProof/>
          <w:sz w:val="22"/>
          <w:szCs w:val="22"/>
        </w:rPr>
        <w:t>72</w:t>
      </w:r>
      <w:r w:rsidR="00E92AD6" w:rsidRPr="0033639F">
        <w:rPr>
          <w:rFonts w:ascii="Arial" w:hAnsi="Arial" w:cs="Arial"/>
          <w:noProof/>
          <w:sz w:val="22"/>
          <w:szCs w:val="22"/>
        </w:rPr>
        <w:t>)</w:t>
      </w:r>
      <w:r w:rsidRPr="0033639F">
        <w:rPr>
          <w:rFonts w:ascii="Arial" w:hAnsi="Arial" w:cs="Arial"/>
          <w:sz w:val="22"/>
          <w:szCs w:val="22"/>
        </w:rPr>
        <w:t xml:space="preserve"> reported the isolation of the endogenous ligand whose actions were mimicked by the enkephalins. They named the hormone Ghrelin, based on the Proto-Indian word for 'grow'. Ghrelin is located on 3p25-26</w:t>
      </w:r>
      <w:r w:rsidRPr="0033639F">
        <w:rPr>
          <w:rFonts w:ascii="Arial" w:hAnsi="Arial" w:cs="Arial"/>
          <w:noProof/>
          <w:sz w:val="22"/>
          <w:szCs w:val="22"/>
        </w:rPr>
        <w:t xml:space="preserve"> </w:t>
      </w:r>
      <w:r w:rsidR="00E92AD6" w:rsidRPr="0033639F">
        <w:rPr>
          <w:rFonts w:ascii="Arial" w:hAnsi="Arial" w:cs="Arial"/>
          <w:noProof/>
          <w:sz w:val="22"/>
          <w:szCs w:val="22"/>
        </w:rPr>
        <w:t>(</w:t>
      </w:r>
      <w:r w:rsidR="00036A84" w:rsidRPr="0033639F">
        <w:rPr>
          <w:rFonts w:ascii="Arial" w:hAnsi="Arial" w:cs="Arial"/>
          <w:noProof/>
          <w:sz w:val="22"/>
          <w:szCs w:val="22"/>
        </w:rPr>
        <w:t>73</w:t>
      </w:r>
      <w:r w:rsidR="00E92AD6" w:rsidRPr="0033639F">
        <w:rPr>
          <w:rFonts w:ascii="Arial" w:hAnsi="Arial" w:cs="Arial"/>
          <w:noProof/>
          <w:sz w:val="22"/>
          <w:szCs w:val="22"/>
        </w:rPr>
        <w:t>)</w:t>
      </w:r>
      <w:r w:rsidRPr="0033639F">
        <w:rPr>
          <w:rFonts w:ascii="Arial" w:hAnsi="Arial" w:cs="Arial"/>
          <w:sz w:val="22"/>
          <w:szCs w:val="22"/>
        </w:rPr>
        <w:t xml:space="preserve"> (Figure 1</w:t>
      </w:r>
      <w:r w:rsidR="008643CE" w:rsidRPr="0033639F">
        <w:rPr>
          <w:rFonts w:ascii="Arial" w:hAnsi="Arial" w:cs="Arial"/>
          <w:sz w:val="22"/>
          <w:szCs w:val="22"/>
        </w:rPr>
        <w:t>2</w:t>
      </w:r>
      <w:r w:rsidRPr="0033639F">
        <w:rPr>
          <w:rFonts w:ascii="Arial" w:hAnsi="Arial" w:cs="Arial"/>
          <w:sz w:val="22"/>
          <w:szCs w:val="22"/>
        </w:rPr>
        <w:t>), is processed from a ‘preproGhrelin’ precursor, and is primarily produced by the oxyntic cells of the stomach and to a lesser extent in the arcuate ventro-medial and infundibular nuclei of the hypothalamus</w:t>
      </w:r>
      <w:r w:rsidRPr="0033639F">
        <w:rPr>
          <w:rFonts w:ascii="Arial" w:hAnsi="Arial" w:cs="Arial"/>
          <w:noProof/>
          <w:sz w:val="22"/>
          <w:szCs w:val="22"/>
        </w:rPr>
        <w:t xml:space="preserve"> </w:t>
      </w:r>
      <w:r w:rsidR="00E92AD6" w:rsidRPr="0033639F">
        <w:rPr>
          <w:rFonts w:ascii="Arial" w:hAnsi="Arial" w:cs="Arial"/>
          <w:noProof/>
          <w:sz w:val="22"/>
          <w:szCs w:val="22"/>
        </w:rPr>
        <w:t>(7</w:t>
      </w:r>
      <w:r w:rsidR="00036A84" w:rsidRPr="0033639F">
        <w:rPr>
          <w:rFonts w:ascii="Arial" w:hAnsi="Arial" w:cs="Arial"/>
          <w:noProof/>
          <w:sz w:val="22"/>
          <w:szCs w:val="22"/>
        </w:rPr>
        <w:t>4</w:t>
      </w:r>
      <w:r w:rsidR="00E92AD6" w:rsidRPr="0033639F">
        <w:rPr>
          <w:rFonts w:ascii="Arial" w:hAnsi="Arial" w:cs="Arial"/>
          <w:noProof/>
          <w:sz w:val="22"/>
          <w:szCs w:val="22"/>
        </w:rPr>
        <w:t>)</w:t>
      </w:r>
      <w:r w:rsidRPr="0033639F">
        <w:rPr>
          <w:rFonts w:ascii="Arial" w:hAnsi="Arial" w:cs="Arial"/>
          <w:sz w:val="22"/>
          <w:szCs w:val="22"/>
        </w:rPr>
        <w:t xml:space="preserve">. Ghrelin also plays a role in regulating food intake. In addition to its GH secreting actions, direct intracerebroventricular injection of Ghrelin in mice has potent orexigenic “appetite stimulating” action, and this action is mediated by NPY, which antagonizes the actions of Leptin. </w:t>
      </w:r>
    </w:p>
    <w:p w14:paraId="201C4FC6" w14:textId="77777777" w:rsidR="00CC6DB4" w:rsidRPr="0033639F" w:rsidRDefault="00CC6DB4" w:rsidP="0033639F">
      <w:pPr>
        <w:spacing w:line="276" w:lineRule="auto"/>
        <w:rPr>
          <w:rFonts w:ascii="Arial" w:hAnsi="Arial" w:cs="Arial"/>
          <w:sz w:val="22"/>
          <w:szCs w:val="22"/>
        </w:rPr>
      </w:pPr>
    </w:p>
    <w:p w14:paraId="2A55767B" w14:textId="62BC2D8F" w:rsidR="00803B01" w:rsidRDefault="00803B01" w:rsidP="0033639F">
      <w:pPr>
        <w:spacing w:line="276" w:lineRule="auto"/>
        <w:rPr>
          <w:rFonts w:ascii="Arial" w:hAnsi="Arial" w:cs="Arial"/>
          <w:sz w:val="22"/>
          <w:szCs w:val="22"/>
        </w:rPr>
      </w:pPr>
      <w:r w:rsidRPr="0033639F">
        <w:rPr>
          <w:rFonts w:ascii="Arial" w:hAnsi="Arial" w:cs="Arial"/>
          <w:sz w:val="22"/>
          <w:szCs w:val="22"/>
        </w:rPr>
        <w:t>Several studies have shown that, on a molar basis, Ghrelin is significantly more potent at inducing GH secretion than GHRH</w:t>
      </w:r>
      <w:r w:rsidRPr="0033639F">
        <w:rPr>
          <w:rFonts w:ascii="Arial" w:hAnsi="Arial" w:cs="Arial"/>
          <w:noProof/>
          <w:sz w:val="22"/>
          <w:szCs w:val="22"/>
        </w:rPr>
        <w:t xml:space="preserve"> </w:t>
      </w:r>
      <w:r w:rsidR="00E92AD6" w:rsidRPr="0033639F">
        <w:rPr>
          <w:rFonts w:ascii="Arial" w:hAnsi="Arial" w:cs="Arial"/>
          <w:noProof/>
          <w:sz w:val="22"/>
          <w:szCs w:val="22"/>
        </w:rPr>
        <w:t>(7</w:t>
      </w:r>
      <w:r w:rsidR="00036A84" w:rsidRPr="0033639F">
        <w:rPr>
          <w:rFonts w:ascii="Arial" w:hAnsi="Arial" w:cs="Arial"/>
          <w:noProof/>
          <w:sz w:val="22"/>
          <w:szCs w:val="22"/>
        </w:rPr>
        <w:t>5</w:t>
      </w:r>
      <w:r w:rsidR="00E92AD6" w:rsidRPr="0033639F">
        <w:rPr>
          <w:rFonts w:ascii="Arial" w:hAnsi="Arial" w:cs="Arial"/>
          <w:noProof/>
          <w:sz w:val="22"/>
          <w:szCs w:val="22"/>
        </w:rPr>
        <w:t>)</w:t>
      </w:r>
      <w:r w:rsidRPr="0033639F">
        <w:rPr>
          <w:rFonts w:ascii="Arial" w:hAnsi="Arial" w:cs="Arial"/>
          <w:sz w:val="22"/>
          <w:szCs w:val="22"/>
        </w:rPr>
        <w:t>. Additionally, many of these studies have shown that Ghrelin and GHRH are synergistic, inducing a substantial GH response when given in combination</w:t>
      </w:r>
      <w:r w:rsidR="00E92AD6" w:rsidRPr="0033639F">
        <w:rPr>
          <w:rFonts w:ascii="Arial" w:hAnsi="Arial" w:cs="Arial"/>
          <w:sz w:val="22"/>
          <w:szCs w:val="22"/>
        </w:rPr>
        <w:t xml:space="preserve"> </w:t>
      </w:r>
      <w:r w:rsidR="00E92AD6" w:rsidRPr="0033639F">
        <w:rPr>
          <w:rFonts w:ascii="Arial" w:hAnsi="Arial" w:cs="Arial"/>
          <w:noProof/>
          <w:sz w:val="22"/>
          <w:szCs w:val="22"/>
        </w:rPr>
        <w:t>(7</w:t>
      </w:r>
      <w:r w:rsidR="00036A84" w:rsidRPr="0033639F">
        <w:rPr>
          <w:rFonts w:ascii="Arial" w:hAnsi="Arial" w:cs="Arial"/>
          <w:noProof/>
          <w:sz w:val="22"/>
          <w:szCs w:val="22"/>
        </w:rPr>
        <w:t>6</w:t>
      </w:r>
      <w:r w:rsidR="00E92AD6" w:rsidRPr="0033639F">
        <w:rPr>
          <w:rFonts w:ascii="Arial" w:hAnsi="Arial" w:cs="Arial"/>
          <w:noProof/>
          <w:sz w:val="22"/>
          <w:szCs w:val="22"/>
        </w:rPr>
        <w:t>–7</w:t>
      </w:r>
      <w:r w:rsidR="00036A84" w:rsidRPr="0033639F">
        <w:rPr>
          <w:rFonts w:ascii="Arial" w:hAnsi="Arial" w:cs="Arial"/>
          <w:noProof/>
          <w:sz w:val="22"/>
          <w:szCs w:val="22"/>
        </w:rPr>
        <w:t>9</w:t>
      </w:r>
      <w:r w:rsidR="00E92AD6" w:rsidRPr="0033639F">
        <w:rPr>
          <w:rFonts w:ascii="Arial" w:hAnsi="Arial" w:cs="Arial"/>
          <w:noProof/>
          <w:sz w:val="22"/>
          <w:szCs w:val="22"/>
        </w:rPr>
        <w:t>)</w:t>
      </w:r>
      <w:r w:rsidRPr="0033639F">
        <w:rPr>
          <w:rFonts w:ascii="Arial" w:hAnsi="Arial" w:cs="Arial"/>
          <w:sz w:val="22"/>
          <w:szCs w:val="22"/>
        </w:rPr>
        <w:t xml:space="preserve">. Several studies comparing GHRH and Ghrelin demonstrate that 1 ug/kg GHRH results in a GH peak of approximately 25 ng/ml, 1 ug/kg Ghrelin results in a GH peak of </w:t>
      </w:r>
      <w:r w:rsidRPr="0033639F">
        <w:rPr>
          <w:rFonts w:ascii="Arial" w:hAnsi="Arial" w:cs="Arial"/>
          <w:sz w:val="22"/>
          <w:szCs w:val="22"/>
        </w:rPr>
        <w:lastRenderedPageBreak/>
        <w:t>approximately 80 ng/ml GH, but when given together, 1ug/kg of GHRH +     1 ug/kg Ghrelin results in a GH peak of approximately 120 ng/ml</w:t>
      </w:r>
      <w:r w:rsidRPr="0033639F">
        <w:rPr>
          <w:rFonts w:ascii="Arial" w:hAnsi="Arial" w:cs="Arial"/>
          <w:noProof/>
          <w:sz w:val="22"/>
          <w:szCs w:val="22"/>
        </w:rPr>
        <w:t xml:space="preserve"> </w:t>
      </w:r>
      <w:r w:rsidR="00E92AD6" w:rsidRPr="0033639F">
        <w:rPr>
          <w:rFonts w:ascii="Arial" w:hAnsi="Arial" w:cs="Arial"/>
          <w:noProof/>
          <w:sz w:val="22"/>
          <w:szCs w:val="22"/>
        </w:rPr>
        <w:t>(</w:t>
      </w:r>
      <w:r w:rsidR="002B0202" w:rsidRPr="0033639F">
        <w:rPr>
          <w:rFonts w:ascii="Arial" w:hAnsi="Arial" w:cs="Arial"/>
          <w:noProof/>
          <w:sz w:val="22"/>
          <w:szCs w:val="22"/>
        </w:rPr>
        <w:t>79</w:t>
      </w:r>
      <w:r w:rsidR="00E92AD6" w:rsidRPr="0033639F">
        <w:rPr>
          <w:rFonts w:ascii="Arial" w:hAnsi="Arial" w:cs="Arial"/>
          <w:noProof/>
          <w:sz w:val="22"/>
          <w:szCs w:val="22"/>
        </w:rPr>
        <w:t>,</w:t>
      </w:r>
      <w:r w:rsidR="002B0202" w:rsidRPr="0033639F">
        <w:rPr>
          <w:rFonts w:ascii="Arial" w:hAnsi="Arial" w:cs="Arial"/>
          <w:noProof/>
          <w:sz w:val="22"/>
          <w:szCs w:val="22"/>
        </w:rPr>
        <w:t>80</w:t>
      </w:r>
      <w:r w:rsidR="00E92AD6" w:rsidRPr="0033639F">
        <w:rPr>
          <w:rFonts w:ascii="Arial" w:hAnsi="Arial" w:cs="Arial"/>
          <w:noProof/>
          <w:sz w:val="22"/>
          <w:szCs w:val="22"/>
        </w:rPr>
        <w:t>)</w:t>
      </w:r>
      <w:r w:rsidRPr="0033639F">
        <w:rPr>
          <w:rFonts w:ascii="Arial" w:hAnsi="Arial" w:cs="Arial"/>
          <w:sz w:val="22"/>
          <w:szCs w:val="22"/>
        </w:rPr>
        <w:t xml:space="preserve">. When short normal children were compared to children with neurosecretory GH deficiency, Ghrelin secretion was similar in both groups during </w:t>
      </w:r>
      <w:r w:rsidR="00A326F4" w:rsidRPr="0033639F">
        <w:rPr>
          <w:rFonts w:ascii="Arial" w:hAnsi="Arial" w:cs="Arial"/>
          <w:sz w:val="22"/>
          <w:szCs w:val="22"/>
        </w:rPr>
        <w:t>daytime,</w:t>
      </w:r>
      <w:r w:rsidRPr="0033639F">
        <w:rPr>
          <w:rFonts w:ascii="Arial" w:hAnsi="Arial" w:cs="Arial"/>
          <w:sz w:val="22"/>
          <w:szCs w:val="22"/>
        </w:rPr>
        <w:t xml:space="preserve"> but higher Ghrelin levels were detected during the night in short children with neurosecretory GH deficiency. The authors therefore suggest that Ghrelin is not involved in nighttime GH secretion</w:t>
      </w:r>
      <w:r w:rsidRPr="0033639F">
        <w:rPr>
          <w:rFonts w:ascii="Arial" w:hAnsi="Arial" w:cs="Arial"/>
          <w:noProof/>
          <w:sz w:val="22"/>
          <w:szCs w:val="22"/>
        </w:rPr>
        <w:t xml:space="preserve"> </w:t>
      </w:r>
      <w:r w:rsidR="00E92AD6" w:rsidRPr="0033639F">
        <w:rPr>
          <w:rFonts w:ascii="Arial" w:hAnsi="Arial" w:cs="Arial"/>
          <w:noProof/>
          <w:sz w:val="22"/>
          <w:szCs w:val="22"/>
        </w:rPr>
        <w:t>(</w:t>
      </w:r>
      <w:r w:rsidR="002B0202" w:rsidRPr="0033639F">
        <w:rPr>
          <w:rFonts w:ascii="Arial" w:hAnsi="Arial" w:cs="Arial"/>
          <w:noProof/>
          <w:sz w:val="22"/>
          <w:szCs w:val="22"/>
        </w:rPr>
        <w:t>81</w:t>
      </w:r>
      <w:r w:rsidR="00E92AD6" w:rsidRPr="0033639F">
        <w:rPr>
          <w:rFonts w:ascii="Arial" w:hAnsi="Arial" w:cs="Arial"/>
          <w:noProof/>
          <w:sz w:val="22"/>
          <w:szCs w:val="22"/>
        </w:rPr>
        <w:t>)</w:t>
      </w:r>
      <w:r w:rsidRPr="0033639F">
        <w:rPr>
          <w:rFonts w:ascii="Arial" w:hAnsi="Arial" w:cs="Arial"/>
          <w:sz w:val="22"/>
          <w:szCs w:val="22"/>
        </w:rPr>
        <w:t xml:space="preserve">, although these findings are also consistent with a relative Ghrelin insensitivity at night. In a group of boys with constitutional delay of puberty, testosterone administration caused the expected increase in GH concentrations but did not affect the 24-hour Ghrelin profile, suggesting that the testosterone-induced GH secretion was not mediated by </w:t>
      </w:r>
      <w:r w:rsidR="00E10A7B" w:rsidRPr="0033639F">
        <w:rPr>
          <w:rFonts w:ascii="Arial" w:hAnsi="Arial" w:cs="Arial"/>
          <w:sz w:val="22"/>
          <w:szCs w:val="22"/>
        </w:rPr>
        <w:t>Ghrelin</w:t>
      </w:r>
      <w:r w:rsidRPr="0033639F">
        <w:rPr>
          <w:rFonts w:ascii="Arial" w:hAnsi="Arial" w:cs="Arial"/>
          <w:noProof/>
          <w:sz w:val="22"/>
          <w:szCs w:val="22"/>
        </w:rPr>
        <w:t xml:space="preserve"> </w:t>
      </w:r>
      <w:r w:rsidR="00E92AD6" w:rsidRPr="0033639F">
        <w:rPr>
          <w:rFonts w:ascii="Arial" w:hAnsi="Arial" w:cs="Arial"/>
          <w:noProof/>
          <w:sz w:val="22"/>
          <w:szCs w:val="22"/>
        </w:rPr>
        <w:t>(</w:t>
      </w:r>
      <w:r w:rsidR="0052507E" w:rsidRPr="0033639F">
        <w:rPr>
          <w:rFonts w:ascii="Arial" w:hAnsi="Arial" w:cs="Arial"/>
          <w:noProof/>
          <w:sz w:val="22"/>
          <w:szCs w:val="22"/>
        </w:rPr>
        <w:t>82</w:t>
      </w:r>
      <w:r w:rsidR="00E92AD6" w:rsidRPr="0033639F">
        <w:rPr>
          <w:rFonts w:ascii="Arial" w:hAnsi="Arial" w:cs="Arial"/>
          <w:noProof/>
          <w:sz w:val="22"/>
          <w:szCs w:val="22"/>
        </w:rPr>
        <w:t>)</w:t>
      </w:r>
      <w:r w:rsidRPr="0033639F">
        <w:rPr>
          <w:rFonts w:ascii="Arial" w:hAnsi="Arial" w:cs="Arial"/>
          <w:sz w:val="22"/>
          <w:szCs w:val="22"/>
        </w:rPr>
        <w:t>. Another study demonstrated a decrease in Ghrelin concentrations following glucagon administration in a group of non-GH-deficient short children, suggesting that Ghrelin does not mediate glucagon-induced GH secretion</w:t>
      </w:r>
      <w:r w:rsidRPr="0033639F">
        <w:rPr>
          <w:rFonts w:ascii="Arial" w:hAnsi="Arial" w:cs="Arial"/>
          <w:noProof/>
          <w:sz w:val="22"/>
          <w:szCs w:val="22"/>
        </w:rPr>
        <w:t xml:space="preserve"> </w:t>
      </w:r>
      <w:r w:rsidR="00E92AD6" w:rsidRPr="0033639F">
        <w:rPr>
          <w:rFonts w:ascii="Arial" w:hAnsi="Arial" w:cs="Arial"/>
          <w:noProof/>
          <w:sz w:val="22"/>
          <w:szCs w:val="22"/>
        </w:rPr>
        <w:t>(</w:t>
      </w:r>
      <w:r w:rsidR="002B0202" w:rsidRPr="0033639F">
        <w:rPr>
          <w:rFonts w:ascii="Arial" w:hAnsi="Arial" w:cs="Arial"/>
          <w:noProof/>
          <w:sz w:val="22"/>
          <w:szCs w:val="22"/>
        </w:rPr>
        <w:t>83</w:t>
      </w:r>
      <w:r w:rsidR="00E92AD6" w:rsidRPr="0033639F">
        <w:rPr>
          <w:rFonts w:ascii="Arial" w:hAnsi="Arial" w:cs="Arial"/>
          <w:noProof/>
          <w:sz w:val="22"/>
          <w:szCs w:val="22"/>
        </w:rPr>
        <w:t>)</w:t>
      </w:r>
      <w:r w:rsidRPr="0033639F">
        <w:rPr>
          <w:rFonts w:ascii="Arial" w:hAnsi="Arial" w:cs="Arial"/>
          <w:sz w:val="22"/>
          <w:szCs w:val="22"/>
        </w:rPr>
        <w:t xml:space="preserve">. </w:t>
      </w:r>
    </w:p>
    <w:p w14:paraId="556F202E" w14:textId="77777777" w:rsidR="00CC6DB4" w:rsidRPr="0033639F" w:rsidRDefault="00CC6DB4" w:rsidP="0033639F">
      <w:pPr>
        <w:spacing w:line="276" w:lineRule="auto"/>
        <w:rPr>
          <w:rFonts w:ascii="Arial" w:hAnsi="Arial" w:cs="Arial"/>
          <w:sz w:val="22"/>
          <w:szCs w:val="22"/>
        </w:rPr>
      </w:pPr>
    </w:p>
    <w:p w14:paraId="2BAF27A6" w14:textId="2CBEC075"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 second hormone, Obestatin is also known to be produced from </w:t>
      </w:r>
      <w:r w:rsidR="00400B6F" w:rsidRPr="0033639F">
        <w:rPr>
          <w:rFonts w:ascii="Arial" w:hAnsi="Arial" w:cs="Arial"/>
          <w:sz w:val="22"/>
          <w:szCs w:val="22"/>
        </w:rPr>
        <w:t>preproghrelin</w:t>
      </w:r>
      <w:r w:rsidRPr="0033639F">
        <w:rPr>
          <w:rFonts w:ascii="Arial" w:hAnsi="Arial" w:cs="Arial"/>
          <w:sz w:val="22"/>
          <w:szCs w:val="22"/>
        </w:rPr>
        <w:t>. Obestatin has anorexigenic effects, opposite those of Ghrelin</w:t>
      </w:r>
      <w:r w:rsidR="00E92AD6" w:rsidRPr="0033639F">
        <w:rPr>
          <w:rFonts w:ascii="Arial" w:hAnsi="Arial" w:cs="Arial"/>
          <w:sz w:val="22"/>
          <w:szCs w:val="22"/>
        </w:rPr>
        <w:t xml:space="preserve"> </w:t>
      </w:r>
      <w:r w:rsidR="00E92AD6" w:rsidRPr="0033639F">
        <w:rPr>
          <w:rFonts w:ascii="Arial" w:hAnsi="Arial" w:cs="Arial"/>
          <w:noProof/>
          <w:sz w:val="22"/>
          <w:szCs w:val="22"/>
        </w:rPr>
        <w:t>(8</w:t>
      </w:r>
      <w:r w:rsidR="002B0202" w:rsidRPr="0033639F">
        <w:rPr>
          <w:rFonts w:ascii="Arial" w:hAnsi="Arial" w:cs="Arial"/>
          <w:noProof/>
          <w:sz w:val="22"/>
          <w:szCs w:val="22"/>
        </w:rPr>
        <w:t>4</w:t>
      </w:r>
      <w:r w:rsidR="00E92AD6" w:rsidRPr="0033639F">
        <w:rPr>
          <w:rFonts w:ascii="Arial" w:hAnsi="Arial" w:cs="Arial"/>
          <w:noProof/>
          <w:sz w:val="22"/>
          <w:szCs w:val="22"/>
        </w:rPr>
        <w:t>)</w:t>
      </w:r>
      <w:r w:rsidRPr="0033639F">
        <w:rPr>
          <w:rFonts w:ascii="Arial" w:hAnsi="Arial" w:cs="Arial"/>
          <w:sz w:val="22"/>
          <w:szCs w:val="22"/>
        </w:rPr>
        <w:t xml:space="preserve">. Several nucleotide changes have been identified in the </w:t>
      </w:r>
      <w:r w:rsidR="00400B6F" w:rsidRPr="0033639F">
        <w:rPr>
          <w:rFonts w:ascii="Arial" w:hAnsi="Arial" w:cs="Arial"/>
          <w:sz w:val="22"/>
          <w:szCs w:val="22"/>
        </w:rPr>
        <w:t>preproghrelin</w:t>
      </w:r>
      <w:r w:rsidRPr="0033639F">
        <w:rPr>
          <w:rFonts w:ascii="Arial" w:hAnsi="Arial" w:cs="Arial"/>
          <w:sz w:val="22"/>
          <w:szCs w:val="22"/>
        </w:rPr>
        <w:t xml:space="preserve"> locus, and some are associated with body mass index, BMI</w:t>
      </w:r>
      <w:r w:rsidRPr="0033639F">
        <w:rPr>
          <w:rFonts w:ascii="Arial" w:hAnsi="Arial" w:cs="Arial"/>
          <w:noProof/>
          <w:sz w:val="22"/>
          <w:szCs w:val="22"/>
        </w:rPr>
        <w:t xml:space="preserve"> </w:t>
      </w:r>
      <w:r w:rsidR="00E92AD6" w:rsidRPr="0033639F">
        <w:rPr>
          <w:rFonts w:ascii="Arial" w:hAnsi="Arial" w:cs="Arial"/>
          <w:noProof/>
          <w:sz w:val="22"/>
          <w:szCs w:val="22"/>
        </w:rPr>
        <w:t>(8</w:t>
      </w:r>
      <w:r w:rsidR="007C310D" w:rsidRPr="0033639F">
        <w:rPr>
          <w:rFonts w:ascii="Arial" w:hAnsi="Arial" w:cs="Arial"/>
          <w:noProof/>
          <w:sz w:val="22"/>
          <w:szCs w:val="22"/>
        </w:rPr>
        <w:t>5</w:t>
      </w:r>
      <w:r w:rsidR="00E92AD6" w:rsidRPr="0033639F">
        <w:rPr>
          <w:rFonts w:ascii="Arial" w:hAnsi="Arial" w:cs="Arial"/>
          <w:noProof/>
          <w:sz w:val="22"/>
          <w:szCs w:val="22"/>
        </w:rPr>
        <w:t>)</w:t>
      </w:r>
      <w:r w:rsidRPr="0033639F">
        <w:rPr>
          <w:rFonts w:ascii="Arial" w:hAnsi="Arial" w:cs="Arial"/>
          <w:sz w:val="22"/>
          <w:szCs w:val="22"/>
        </w:rPr>
        <w:t xml:space="preserve">. It is not clear, however, whether these are polymorphisms, or distinct mutations. It is also not clear whether these nucleotide variants exert their effects solely via an altered Ghrelin, a corrupted Obestatin, or a combination of the two. A knockout mouse lacking the preproghrelin locus had no statural or weight phenotype, but this may well be the result of the simultaneous loss of both ghrelin and </w:t>
      </w:r>
      <w:r w:rsidR="00400B6F" w:rsidRPr="0033639F">
        <w:rPr>
          <w:rFonts w:ascii="Arial" w:hAnsi="Arial" w:cs="Arial"/>
          <w:sz w:val="22"/>
          <w:szCs w:val="22"/>
        </w:rPr>
        <w:t>Obestatin</w:t>
      </w:r>
      <w:r w:rsidRPr="0033639F">
        <w:rPr>
          <w:rFonts w:ascii="Arial" w:hAnsi="Arial" w:cs="Arial"/>
          <w:sz w:val="22"/>
          <w:szCs w:val="22"/>
        </w:rPr>
        <w:t xml:space="preserve">. To this point, a transgenic mouse with abnormal ghrelin but normal </w:t>
      </w:r>
      <w:r w:rsidR="00400B6F" w:rsidRPr="0033639F">
        <w:rPr>
          <w:rFonts w:ascii="Arial" w:hAnsi="Arial" w:cs="Arial"/>
          <w:sz w:val="22"/>
          <w:szCs w:val="22"/>
        </w:rPr>
        <w:t>Obestatin</w:t>
      </w:r>
      <w:r w:rsidRPr="0033639F">
        <w:rPr>
          <w:rFonts w:ascii="Arial" w:hAnsi="Arial" w:cs="Arial"/>
          <w:sz w:val="22"/>
          <w:szCs w:val="22"/>
        </w:rPr>
        <w:t xml:space="preserve"> did indeed have poor weight gain, explained by either ghrelin deficiency, unopposed </w:t>
      </w:r>
      <w:r w:rsidR="00400B6F" w:rsidRPr="0033639F">
        <w:rPr>
          <w:rFonts w:ascii="Arial" w:hAnsi="Arial" w:cs="Arial"/>
          <w:sz w:val="22"/>
          <w:szCs w:val="22"/>
        </w:rPr>
        <w:t>Obestatin</w:t>
      </w:r>
      <w:r w:rsidRPr="0033639F">
        <w:rPr>
          <w:rFonts w:ascii="Arial" w:hAnsi="Arial" w:cs="Arial"/>
          <w:sz w:val="22"/>
          <w:szCs w:val="22"/>
        </w:rPr>
        <w:t xml:space="preserve">, or both. There are no reports of (spontaneous) mutations in Ghrelin associated with short stature, either in humans or in any animal model, although polymorphisms have been associated with weight/metabolic syndrome. The theoretical phenotype of such an individual would presumably be that of isolated GH deficiency, most likely of post-natal onset and possibly with an abnormally low appetite. </w:t>
      </w:r>
    </w:p>
    <w:p w14:paraId="02D7ABE0" w14:textId="77777777" w:rsidR="005B6B0F" w:rsidRDefault="005B6B0F" w:rsidP="0033639F">
      <w:pPr>
        <w:pStyle w:val="Heading2"/>
        <w:spacing w:before="0" w:after="0" w:line="276" w:lineRule="auto"/>
        <w:rPr>
          <w:rFonts w:ascii="Arial" w:hAnsi="Arial" w:cs="Arial"/>
          <w:b/>
          <w:bCs/>
          <w:color w:val="auto"/>
          <w:sz w:val="22"/>
          <w:szCs w:val="22"/>
        </w:rPr>
      </w:pPr>
      <w:bookmarkStart w:id="19" w:name="id2506646"/>
      <w:bookmarkEnd w:id="19"/>
    </w:p>
    <w:p w14:paraId="60DF686E" w14:textId="7F8D7057" w:rsidR="005B6B0F" w:rsidRDefault="005B6B0F" w:rsidP="00473647">
      <w:r>
        <w:rPr>
          <w:noProof/>
        </w:rPr>
        <w:drawing>
          <wp:inline distT="0" distB="0" distL="0" distR="0" wp14:anchorId="6A7926EA" wp14:editId="7BC20ECC">
            <wp:extent cx="5808269" cy="3736048"/>
            <wp:effectExtent l="0" t="0" r="2540" b="0"/>
            <wp:docPr id="15718435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8364" cy="3742541"/>
                    </a:xfrm>
                    <a:prstGeom prst="rect">
                      <a:avLst/>
                    </a:prstGeom>
                    <a:noFill/>
                  </pic:spPr>
                </pic:pic>
              </a:graphicData>
            </a:graphic>
          </wp:inline>
        </w:drawing>
      </w:r>
    </w:p>
    <w:p w14:paraId="5EBE14C1" w14:textId="26E957F0" w:rsidR="00CC6DB4" w:rsidRPr="00473647" w:rsidRDefault="00CC6DB4" w:rsidP="00473647">
      <w:pPr>
        <w:rPr>
          <w:rFonts w:ascii="Arial" w:hAnsi="Arial" w:cs="Arial"/>
          <w:b/>
          <w:bCs/>
          <w:sz w:val="22"/>
          <w:szCs w:val="22"/>
        </w:rPr>
      </w:pPr>
      <w:r w:rsidRPr="00473647">
        <w:rPr>
          <w:rFonts w:ascii="Arial" w:hAnsi="Arial" w:cs="Arial"/>
          <w:b/>
          <w:bCs/>
          <w:sz w:val="22"/>
          <w:szCs w:val="22"/>
        </w:rPr>
        <w:t>Figure 12. The ghrelin (GHS) gene structure.</w:t>
      </w:r>
    </w:p>
    <w:p w14:paraId="53C842D7" w14:textId="77777777" w:rsidR="00CC6DB4" w:rsidRDefault="00CC6DB4" w:rsidP="0033639F">
      <w:pPr>
        <w:pStyle w:val="Heading2"/>
        <w:spacing w:before="0" w:after="0" w:line="276" w:lineRule="auto"/>
        <w:rPr>
          <w:rFonts w:ascii="Arial" w:hAnsi="Arial" w:cs="Arial"/>
          <w:sz w:val="22"/>
          <w:szCs w:val="22"/>
        </w:rPr>
      </w:pPr>
    </w:p>
    <w:p w14:paraId="61DEF2A7" w14:textId="44B9269E" w:rsidR="00803B01" w:rsidRPr="00CC6DB4" w:rsidRDefault="00803B01" w:rsidP="00CC6DB4">
      <w:pPr>
        <w:rPr>
          <w:rFonts w:ascii="Arial" w:hAnsi="Arial" w:cs="Arial"/>
          <w:b/>
          <w:bCs/>
          <w:sz w:val="22"/>
          <w:szCs w:val="22"/>
        </w:rPr>
      </w:pPr>
      <w:r w:rsidRPr="00CC6DB4">
        <w:rPr>
          <w:rFonts w:ascii="Arial" w:hAnsi="Arial" w:cs="Arial"/>
          <w:b/>
          <w:bCs/>
          <w:color w:val="00B050"/>
          <w:sz w:val="22"/>
          <w:szCs w:val="22"/>
        </w:rPr>
        <w:t xml:space="preserve">Ghrelin Receptor </w:t>
      </w:r>
    </w:p>
    <w:p w14:paraId="05B50F84" w14:textId="77777777" w:rsidR="00CC6DB4" w:rsidRDefault="00CC6DB4" w:rsidP="0033639F">
      <w:pPr>
        <w:spacing w:line="276" w:lineRule="auto"/>
        <w:rPr>
          <w:rFonts w:ascii="Arial" w:hAnsi="Arial" w:cs="Arial"/>
          <w:sz w:val="22"/>
          <w:szCs w:val="22"/>
        </w:rPr>
      </w:pPr>
    </w:p>
    <w:p w14:paraId="410FEDA6" w14:textId="6669D8F5"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The receptor for Ghrelin (GHSR) was identified in 1996 by Howard </w:t>
      </w:r>
      <w:r w:rsidRPr="0033639F">
        <w:rPr>
          <w:rFonts w:ascii="Arial" w:hAnsi="Arial" w:cs="Arial"/>
          <w:i/>
          <w:iCs/>
          <w:sz w:val="22"/>
          <w:szCs w:val="22"/>
        </w:rPr>
        <w:t>et al</w:t>
      </w:r>
      <w:r w:rsidRPr="0033639F">
        <w:rPr>
          <w:rFonts w:ascii="Arial" w:hAnsi="Arial" w:cs="Arial"/>
          <w:noProof/>
          <w:sz w:val="22"/>
          <w:szCs w:val="22"/>
        </w:rPr>
        <w:t xml:space="preserve"> (7</w:t>
      </w:r>
      <w:r w:rsidR="007C310D" w:rsidRPr="0033639F">
        <w:rPr>
          <w:rFonts w:ascii="Arial" w:hAnsi="Arial" w:cs="Arial"/>
          <w:noProof/>
          <w:sz w:val="22"/>
          <w:szCs w:val="22"/>
        </w:rPr>
        <w:t>4</w:t>
      </w:r>
      <w:r w:rsidRPr="0033639F">
        <w:rPr>
          <w:rFonts w:ascii="Arial" w:hAnsi="Arial" w:cs="Arial"/>
          <w:noProof/>
          <w:sz w:val="22"/>
          <w:szCs w:val="22"/>
        </w:rPr>
        <w:t>)</w:t>
      </w:r>
      <w:r w:rsidRPr="0033639F">
        <w:rPr>
          <w:rFonts w:ascii="Arial" w:hAnsi="Arial" w:cs="Arial"/>
          <w:sz w:val="22"/>
          <w:szCs w:val="22"/>
        </w:rPr>
        <w:t>, prior to the identification of the ligand, and maps to 3q26-27 (Figure 1</w:t>
      </w:r>
      <w:r w:rsidR="00982BE9" w:rsidRPr="0033639F">
        <w:rPr>
          <w:rFonts w:ascii="Arial" w:hAnsi="Arial" w:cs="Arial"/>
          <w:sz w:val="22"/>
          <w:szCs w:val="22"/>
        </w:rPr>
        <w:t>3</w:t>
      </w:r>
      <w:r w:rsidRPr="0033639F">
        <w:rPr>
          <w:rFonts w:ascii="Arial" w:hAnsi="Arial" w:cs="Arial"/>
          <w:sz w:val="22"/>
          <w:szCs w:val="22"/>
        </w:rPr>
        <w:t xml:space="preserve">).  Mutations of the </w:t>
      </w:r>
      <w:r w:rsidRPr="0033639F">
        <w:rPr>
          <w:rFonts w:ascii="Arial" w:hAnsi="Arial" w:cs="Arial"/>
          <w:i/>
          <w:iCs/>
          <w:sz w:val="22"/>
          <w:szCs w:val="22"/>
        </w:rPr>
        <w:t>GHSR</w:t>
      </w:r>
      <w:r w:rsidRPr="0033639F">
        <w:rPr>
          <w:rFonts w:ascii="Arial" w:hAnsi="Arial" w:cs="Arial"/>
          <w:sz w:val="22"/>
          <w:szCs w:val="22"/>
        </w:rPr>
        <w:t xml:space="preserve"> gene have been reported in individuals with isolated GH deficiency</w:t>
      </w:r>
      <w:r w:rsidR="00212A41" w:rsidRPr="0033639F">
        <w:rPr>
          <w:rFonts w:ascii="Arial" w:hAnsi="Arial" w:cs="Arial"/>
          <w:sz w:val="22"/>
          <w:szCs w:val="22"/>
        </w:rPr>
        <w:t xml:space="preserve"> </w:t>
      </w:r>
      <w:r w:rsidR="00212A41" w:rsidRPr="0033639F">
        <w:rPr>
          <w:rFonts w:ascii="Arial" w:hAnsi="Arial" w:cs="Arial"/>
          <w:noProof/>
          <w:sz w:val="22"/>
          <w:szCs w:val="22"/>
        </w:rPr>
        <w:t>(</w:t>
      </w:r>
      <w:r w:rsidR="007C310D" w:rsidRPr="0033639F">
        <w:rPr>
          <w:rFonts w:ascii="Arial" w:hAnsi="Arial" w:cs="Arial"/>
          <w:noProof/>
          <w:sz w:val="22"/>
          <w:szCs w:val="22"/>
        </w:rPr>
        <w:t>86</w:t>
      </w:r>
      <w:r w:rsidR="00212A41" w:rsidRPr="0033639F">
        <w:rPr>
          <w:rFonts w:ascii="Arial" w:hAnsi="Arial" w:cs="Arial"/>
          <w:noProof/>
          <w:sz w:val="22"/>
          <w:szCs w:val="22"/>
        </w:rPr>
        <w:t>)</w:t>
      </w:r>
      <w:r w:rsidRPr="0033639F">
        <w:rPr>
          <w:rFonts w:ascii="Arial" w:hAnsi="Arial" w:cs="Arial"/>
          <w:sz w:val="22"/>
          <w:szCs w:val="22"/>
        </w:rPr>
        <w:t xml:space="preserve">. </w:t>
      </w:r>
    </w:p>
    <w:p w14:paraId="640C1757" w14:textId="77777777" w:rsidR="005B6B0F" w:rsidRPr="0033639F" w:rsidRDefault="005B6B0F" w:rsidP="0033639F">
      <w:pPr>
        <w:spacing w:line="276" w:lineRule="auto"/>
        <w:rPr>
          <w:rFonts w:ascii="Arial" w:hAnsi="Arial" w:cs="Arial"/>
          <w:sz w:val="22"/>
          <w:szCs w:val="22"/>
        </w:rPr>
      </w:pPr>
    </w:p>
    <w:p w14:paraId="1B1CD23F" w14:textId="77777777"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Combining data from numerous investigators, there appear to be differences in the specific roles of these parallel but independent pathways for GH secretion. Given that: </w:t>
      </w:r>
    </w:p>
    <w:p w14:paraId="19E5270E" w14:textId="77777777" w:rsidR="00F3465F" w:rsidRPr="0033639F" w:rsidRDefault="00F3465F" w:rsidP="0033639F">
      <w:pPr>
        <w:spacing w:line="276" w:lineRule="auto"/>
        <w:rPr>
          <w:rFonts w:ascii="Arial" w:hAnsi="Arial" w:cs="Arial"/>
          <w:sz w:val="22"/>
          <w:szCs w:val="22"/>
        </w:rPr>
      </w:pPr>
    </w:p>
    <w:p w14:paraId="3BBA85AA" w14:textId="77777777" w:rsidR="00803B01" w:rsidRPr="0033639F" w:rsidRDefault="00803B01" w:rsidP="00F3465F">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1.     </w:t>
      </w:r>
      <w:r w:rsidRPr="0033639F">
        <w:rPr>
          <w:rFonts w:ascii="Arial" w:hAnsi="Arial" w:cs="Arial"/>
          <w:sz w:val="22"/>
          <w:szCs w:val="22"/>
        </w:rPr>
        <w:t xml:space="preserve">Ghrelin induces a larger release of GH than GHRH, </w:t>
      </w:r>
    </w:p>
    <w:p w14:paraId="7DA6AF3C" w14:textId="086047AC" w:rsidR="00803B01" w:rsidRPr="0033639F" w:rsidRDefault="00803B01" w:rsidP="00F3465F">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2.     </w:t>
      </w:r>
      <w:r w:rsidRPr="0033639F">
        <w:rPr>
          <w:rFonts w:ascii="Arial" w:hAnsi="Arial" w:cs="Arial"/>
          <w:sz w:val="22"/>
          <w:szCs w:val="22"/>
        </w:rPr>
        <w:t>Both bolus and continuous GHRH infusion results in a chronic release of GH</w:t>
      </w:r>
      <w:r w:rsidR="00212A41" w:rsidRPr="0033639F">
        <w:rPr>
          <w:rFonts w:ascii="Arial" w:hAnsi="Arial" w:cs="Arial"/>
          <w:sz w:val="22"/>
          <w:szCs w:val="22"/>
        </w:rPr>
        <w:t xml:space="preserve"> </w:t>
      </w:r>
      <w:r w:rsidR="00212A41" w:rsidRPr="0033639F">
        <w:rPr>
          <w:rFonts w:ascii="Arial" w:hAnsi="Arial" w:cs="Arial"/>
          <w:noProof/>
          <w:sz w:val="22"/>
          <w:szCs w:val="22"/>
        </w:rPr>
        <w:t>(</w:t>
      </w:r>
      <w:r w:rsidR="007C310D" w:rsidRPr="0033639F">
        <w:rPr>
          <w:rFonts w:ascii="Arial" w:hAnsi="Arial" w:cs="Arial"/>
          <w:noProof/>
          <w:sz w:val="22"/>
          <w:szCs w:val="22"/>
        </w:rPr>
        <w:t>87</w:t>
      </w:r>
      <w:r w:rsidR="00212A41" w:rsidRPr="0033639F">
        <w:rPr>
          <w:rFonts w:ascii="Arial" w:hAnsi="Arial" w:cs="Arial"/>
          <w:noProof/>
          <w:sz w:val="22"/>
          <w:szCs w:val="22"/>
        </w:rPr>
        <w:t>)</w:t>
      </w:r>
      <w:r w:rsidRPr="0033639F">
        <w:rPr>
          <w:rFonts w:ascii="Arial" w:hAnsi="Arial" w:cs="Arial"/>
          <w:sz w:val="22"/>
          <w:szCs w:val="22"/>
        </w:rPr>
        <w:t xml:space="preserve">, </w:t>
      </w:r>
    </w:p>
    <w:p w14:paraId="7E9D80E3" w14:textId="77777777" w:rsidR="00803B01" w:rsidRPr="0033639F" w:rsidRDefault="00803B01" w:rsidP="00F3465F">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3.     </w:t>
      </w:r>
      <w:r w:rsidRPr="0033639F">
        <w:rPr>
          <w:rFonts w:ascii="Arial" w:hAnsi="Arial" w:cs="Arial"/>
          <w:sz w:val="22"/>
          <w:szCs w:val="22"/>
        </w:rPr>
        <w:t xml:space="preserve">A bolus of Ghrelin results in GH secretion, but continuous Ghrelin infusion does not; and </w:t>
      </w:r>
    </w:p>
    <w:p w14:paraId="7B667A79" w14:textId="1767440A" w:rsidR="00803B01" w:rsidRPr="0033639F" w:rsidRDefault="00803B01" w:rsidP="00F3465F">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4.     </w:t>
      </w:r>
      <w:r w:rsidRPr="0033639F">
        <w:rPr>
          <w:rFonts w:ascii="Arial" w:hAnsi="Arial" w:cs="Arial"/>
          <w:sz w:val="22"/>
          <w:szCs w:val="22"/>
        </w:rPr>
        <w:t xml:space="preserve">Ghrelin administration (bolus or continuous) does not cause an increase in GH </w:t>
      </w:r>
      <w:r w:rsidR="0078035B" w:rsidRPr="0033639F">
        <w:rPr>
          <w:rFonts w:ascii="Arial" w:hAnsi="Arial" w:cs="Arial"/>
          <w:sz w:val="22"/>
          <w:szCs w:val="22"/>
        </w:rPr>
        <w:t>mRNA.</w:t>
      </w:r>
      <w:r w:rsidRPr="0033639F">
        <w:rPr>
          <w:rFonts w:ascii="Arial" w:hAnsi="Arial" w:cs="Arial"/>
          <w:sz w:val="22"/>
          <w:szCs w:val="22"/>
        </w:rPr>
        <w:t xml:space="preserve"> </w:t>
      </w:r>
    </w:p>
    <w:p w14:paraId="7915EB56" w14:textId="77777777" w:rsidR="00F3465F" w:rsidRDefault="00F3465F" w:rsidP="0033639F">
      <w:pPr>
        <w:spacing w:line="276" w:lineRule="auto"/>
        <w:rPr>
          <w:rFonts w:ascii="Arial" w:hAnsi="Arial" w:cs="Arial"/>
          <w:sz w:val="22"/>
          <w:szCs w:val="22"/>
        </w:rPr>
      </w:pPr>
    </w:p>
    <w:p w14:paraId="25757775" w14:textId="58E58B18"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It is therefore likely that the GHRH/</w:t>
      </w:r>
      <w:r w:rsidRPr="0033639F">
        <w:rPr>
          <w:rFonts w:ascii="Arial" w:hAnsi="Arial" w:cs="Arial"/>
          <w:i/>
          <w:iCs/>
          <w:sz w:val="22"/>
          <w:szCs w:val="22"/>
        </w:rPr>
        <w:t>GHRHR</w:t>
      </w:r>
      <w:r w:rsidRPr="0033639F">
        <w:rPr>
          <w:rFonts w:ascii="Arial" w:hAnsi="Arial" w:cs="Arial"/>
          <w:sz w:val="22"/>
          <w:szCs w:val="22"/>
        </w:rPr>
        <w:t xml:space="preserve"> arm of the somatotropin pathway serves primarily in the production of de novo GH, and secondarily in the release of (pre-made) GH while Ghrelin/GHSR may serve primarily in the release of stored GH, and only secondarily-if at all-in the production of de novo GH</w:t>
      </w:r>
      <w:r w:rsidRPr="0033639F">
        <w:rPr>
          <w:rFonts w:ascii="Arial" w:hAnsi="Arial" w:cs="Arial"/>
          <w:noProof/>
          <w:sz w:val="22"/>
          <w:szCs w:val="22"/>
        </w:rPr>
        <w:t xml:space="preserve"> </w:t>
      </w:r>
      <w:r w:rsidR="00212A41" w:rsidRPr="0033639F">
        <w:rPr>
          <w:rFonts w:ascii="Arial" w:hAnsi="Arial" w:cs="Arial"/>
          <w:noProof/>
          <w:sz w:val="22"/>
          <w:szCs w:val="22"/>
        </w:rPr>
        <w:t>(</w:t>
      </w:r>
      <w:r w:rsidR="007C310D" w:rsidRPr="0033639F">
        <w:rPr>
          <w:rFonts w:ascii="Arial" w:hAnsi="Arial" w:cs="Arial"/>
          <w:noProof/>
          <w:sz w:val="22"/>
          <w:szCs w:val="22"/>
        </w:rPr>
        <w:t>80</w:t>
      </w:r>
      <w:r w:rsidR="00212A41" w:rsidRPr="0033639F">
        <w:rPr>
          <w:rFonts w:ascii="Arial" w:hAnsi="Arial" w:cs="Arial"/>
          <w:noProof/>
          <w:sz w:val="22"/>
          <w:szCs w:val="22"/>
        </w:rPr>
        <w:t>,</w:t>
      </w:r>
      <w:r w:rsidR="007C310D" w:rsidRPr="0033639F">
        <w:rPr>
          <w:rFonts w:ascii="Arial" w:hAnsi="Arial" w:cs="Arial"/>
          <w:noProof/>
          <w:sz w:val="22"/>
          <w:szCs w:val="22"/>
        </w:rPr>
        <w:t>88</w:t>
      </w:r>
      <w:r w:rsidR="00212A41" w:rsidRPr="0033639F">
        <w:rPr>
          <w:rFonts w:ascii="Arial" w:hAnsi="Arial" w:cs="Arial"/>
          <w:noProof/>
          <w:sz w:val="22"/>
          <w:szCs w:val="22"/>
        </w:rPr>
        <w:t>)</w:t>
      </w:r>
      <w:r w:rsidRPr="0033639F">
        <w:rPr>
          <w:rFonts w:ascii="Arial" w:hAnsi="Arial" w:cs="Arial"/>
          <w:sz w:val="22"/>
          <w:szCs w:val="22"/>
        </w:rPr>
        <w:t xml:space="preserve">. </w:t>
      </w:r>
    </w:p>
    <w:p w14:paraId="1D8A9573" w14:textId="77777777" w:rsidR="00C57719" w:rsidRDefault="00C57719" w:rsidP="0033639F">
      <w:pPr>
        <w:pStyle w:val="Heading2"/>
        <w:spacing w:before="0" w:after="0" w:line="276" w:lineRule="auto"/>
        <w:rPr>
          <w:rFonts w:ascii="Arial" w:hAnsi="Arial" w:cs="Arial"/>
          <w:bCs/>
          <w:color w:val="auto"/>
          <w:sz w:val="22"/>
          <w:szCs w:val="22"/>
        </w:rPr>
      </w:pPr>
      <w:bookmarkStart w:id="20" w:name="id2506745"/>
      <w:bookmarkEnd w:id="20"/>
    </w:p>
    <w:p w14:paraId="13827C50" w14:textId="40889BAC" w:rsidR="00C57719" w:rsidRDefault="00363B91" w:rsidP="00473647">
      <w:r>
        <w:rPr>
          <w:noProof/>
        </w:rPr>
        <w:drawing>
          <wp:inline distT="0" distB="0" distL="0" distR="0" wp14:anchorId="68769A63" wp14:editId="3AA6980E">
            <wp:extent cx="6005779" cy="3167110"/>
            <wp:effectExtent l="0" t="0" r="0" b="0"/>
            <wp:docPr id="2882191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11" cy="3174510"/>
                    </a:xfrm>
                    <a:prstGeom prst="rect">
                      <a:avLst/>
                    </a:prstGeom>
                    <a:noFill/>
                  </pic:spPr>
                </pic:pic>
              </a:graphicData>
            </a:graphic>
          </wp:inline>
        </w:drawing>
      </w:r>
    </w:p>
    <w:p w14:paraId="5F42744D" w14:textId="689411F9" w:rsidR="00F3465F" w:rsidRPr="00473647" w:rsidRDefault="00F3465F" w:rsidP="00473647">
      <w:pPr>
        <w:rPr>
          <w:rFonts w:ascii="Arial" w:hAnsi="Arial" w:cs="Arial"/>
          <w:b/>
          <w:bCs/>
          <w:sz w:val="22"/>
          <w:szCs w:val="22"/>
        </w:rPr>
      </w:pPr>
      <w:r w:rsidRPr="00473647">
        <w:rPr>
          <w:rFonts w:ascii="Arial" w:hAnsi="Arial" w:cs="Arial"/>
          <w:b/>
          <w:bCs/>
          <w:sz w:val="22"/>
          <w:szCs w:val="22"/>
        </w:rPr>
        <w:t>Figure 13. The Ghrelin receptor (GHSR) gene.</w:t>
      </w:r>
    </w:p>
    <w:p w14:paraId="713E9317" w14:textId="77777777" w:rsidR="00F3465F" w:rsidRPr="00473647" w:rsidRDefault="00F3465F" w:rsidP="00473647">
      <w:pPr>
        <w:rPr>
          <w:rFonts w:ascii="Arial" w:hAnsi="Arial" w:cs="Arial"/>
          <w:b/>
          <w:bCs/>
          <w:sz w:val="22"/>
          <w:szCs w:val="22"/>
        </w:rPr>
      </w:pPr>
    </w:p>
    <w:p w14:paraId="2178F237" w14:textId="58F2375B" w:rsidR="00803B01" w:rsidRPr="00F3465F" w:rsidRDefault="00803B01" w:rsidP="00F3465F">
      <w:pPr>
        <w:rPr>
          <w:rFonts w:ascii="Arial" w:hAnsi="Arial" w:cs="Arial"/>
          <w:b/>
          <w:bCs/>
          <w:sz w:val="22"/>
          <w:szCs w:val="22"/>
        </w:rPr>
      </w:pPr>
      <w:r w:rsidRPr="00F3465F">
        <w:rPr>
          <w:rFonts w:ascii="Arial" w:hAnsi="Arial" w:cs="Arial"/>
          <w:b/>
          <w:bCs/>
          <w:color w:val="00B050"/>
          <w:sz w:val="22"/>
          <w:szCs w:val="22"/>
        </w:rPr>
        <w:t xml:space="preserve">Somatostatin </w:t>
      </w:r>
    </w:p>
    <w:p w14:paraId="78EFA3B4" w14:textId="77777777" w:rsidR="00F3465F" w:rsidRDefault="00F3465F" w:rsidP="0033639F">
      <w:pPr>
        <w:spacing w:line="276" w:lineRule="auto"/>
        <w:rPr>
          <w:rFonts w:ascii="Arial" w:hAnsi="Arial" w:cs="Arial"/>
          <w:sz w:val="22"/>
          <w:szCs w:val="22"/>
        </w:rPr>
      </w:pPr>
    </w:p>
    <w:p w14:paraId="37F0F9F4" w14:textId="64F9E47F" w:rsidR="00803B01" w:rsidRDefault="00803B01" w:rsidP="0033639F">
      <w:pPr>
        <w:spacing w:line="276" w:lineRule="auto"/>
        <w:rPr>
          <w:rFonts w:ascii="Arial" w:hAnsi="Arial" w:cs="Arial"/>
          <w:sz w:val="22"/>
          <w:szCs w:val="22"/>
        </w:rPr>
      </w:pPr>
      <w:r w:rsidRPr="0033639F">
        <w:rPr>
          <w:rFonts w:ascii="Arial" w:hAnsi="Arial" w:cs="Arial"/>
          <w:sz w:val="22"/>
          <w:szCs w:val="22"/>
        </w:rPr>
        <w:t>The somatostatin gene (SST) is located on 3q28, and contains two exons, encoding a 116 amino acid pre-prosomatostatin molecule that is refined down to a 14 amino acid cyclic peptide (as well as a 28 amino acid precursor/isoform)</w:t>
      </w:r>
      <w:r w:rsidRPr="0033639F">
        <w:rPr>
          <w:rFonts w:ascii="Arial" w:hAnsi="Arial" w:cs="Arial"/>
          <w:noProof/>
          <w:sz w:val="22"/>
          <w:szCs w:val="22"/>
        </w:rPr>
        <w:t xml:space="preserve"> </w:t>
      </w:r>
      <w:r w:rsidR="00212A41" w:rsidRPr="0033639F">
        <w:rPr>
          <w:rFonts w:ascii="Arial" w:hAnsi="Arial" w:cs="Arial"/>
          <w:noProof/>
          <w:sz w:val="22"/>
          <w:szCs w:val="22"/>
        </w:rPr>
        <w:t>(</w:t>
      </w:r>
      <w:r w:rsidR="007C310D" w:rsidRPr="0033639F">
        <w:rPr>
          <w:rFonts w:ascii="Arial" w:hAnsi="Arial" w:cs="Arial"/>
          <w:noProof/>
          <w:sz w:val="22"/>
          <w:szCs w:val="22"/>
        </w:rPr>
        <w:t>89</w:t>
      </w:r>
      <w:r w:rsidR="00212A41" w:rsidRPr="0033639F">
        <w:rPr>
          <w:rFonts w:ascii="Arial" w:hAnsi="Arial" w:cs="Arial"/>
          <w:noProof/>
          <w:sz w:val="22"/>
          <w:szCs w:val="22"/>
        </w:rPr>
        <w:t>)</w:t>
      </w:r>
      <w:r w:rsidRPr="0033639F">
        <w:rPr>
          <w:rFonts w:ascii="Arial" w:hAnsi="Arial" w:cs="Arial"/>
          <w:color w:val="7030A0"/>
          <w:sz w:val="22"/>
          <w:szCs w:val="22"/>
        </w:rPr>
        <w:t xml:space="preserve"> </w:t>
      </w:r>
      <w:r w:rsidRPr="0033639F">
        <w:rPr>
          <w:rFonts w:ascii="Arial" w:hAnsi="Arial" w:cs="Arial"/>
          <w:sz w:val="22"/>
          <w:szCs w:val="22"/>
        </w:rPr>
        <w:t>(see figure 1</w:t>
      </w:r>
      <w:r w:rsidR="00982BE9" w:rsidRPr="0033639F">
        <w:rPr>
          <w:rFonts w:ascii="Arial" w:hAnsi="Arial" w:cs="Arial"/>
          <w:sz w:val="22"/>
          <w:szCs w:val="22"/>
        </w:rPr>
        <w:t>4</w:t>
      </w:r>
      <w:r w:rsidRPr="0033639F">
        <w:rPr>
          <w:rFonts w:ascii="Arial" w:hAnsi="Arial" w:cs="Arial"/>
          <w:sz w:val="22"/>
          <w:szCs w:val="22"/>
        </w:rPr>
        <w:t>). Pancreatic somatostatin inhibits the release of both insulin and glucagon, while in the CNS</w:t>
      </w:r>
      <w:r w:rsidR="00E7409D" w:rsidRPr="0033639F">
        <w:rPr>
          <w:rFonts w:ascii="Arial" w:hAnsi="Arial" w:cs="Arial"/>
          <w:sz w:val="22"/>
          <w:szCs w:val="22"/>
        </w:rPr>
        <w:t>,</w:t>
      </w:r>
      <w:r w:rsidR="00982BE9" w:rsidRPr="0033639F">
        <w:rPr>
          <w:rFonts w:ascii="Arial" w:hAnsi="Arial" w:cs="Arial"/>
          <w:sz w:val="22"/>
          <w:szCs w:val="22"/>
        </w:rPr>
        <w:t xml:space="preserve"> </w:t>
      </w:r>
      <w:r w:rsidRPr="0033639F">
        <w:rPr>
          <w:rFonts w:ascii="Arial" w:hAnsi="Arial" w:cs="Arial"/>
          <w:sz w:val="22"/>
          <w:szCs w:val="22"/>
        </w:rPr>
        <w:t>somatostatin inhibits the actions of several hypothalamic hormones, including GHRH. For this reason, somatostatin is also known as Growth Hormone Release Inhibiting Hormone. Somatostatin's widespread effects are mediated by five different receptors, all encoded by different genes (rather than through alternative splicing of a single gene). The anti-GHRH actions on the pituitary are primarily mediated by somatostatin receptors (SSTR) 2 and 5, which act by inhibiting cAMP as well as other pathways</w:t>
      </w:r>
      <w:r w:rsidRPr="0033639F">
        <w:rPr>
          <w:rFonts w:ascii="Arial" w:hAnsi="Arial" w:cs="Arial"/>
          <w:noProof/>
          <w:sz w:val="22"/>
          <w:szCs w:val="22"/>
        </w:rPr>
        <w:t xml:space="preserve"> </w:t>
      </w:r>
      <w:r w:rsidR="00212A41" w:rsidRPr="0033639F">
        <w:rPr>
          <w:rFonts w:ascii="Arial" w:hAnsi="Arial" w:cs="Arial"/>
          <w:noProof/>
          <w:sz w:val="22"/>
          <w:szCs w:val="22"/>
        </w:rPr>
        <w:t>(</w:t>
      </w:r>
      <w:r w:rsidR="007C310D" w:rsidRPr="0033639F">
        <w:rPr>
          <w:rFonts w:ascii="Arial" w:hAnsi="Arial" w:cs="Arial"/>
          <w:noProof/>
          <w:sz w:val="22"/>
          <w:szCs w:val="22"/>
        </w:rPr>
        <w:t>90</w:t>
      </w:r>
      <w:r w:rsidR="00212A41" w:rsidRPr="0033639F">
        <w:rPr>
          <w:rFonts w:ascii="Arial" w:hAnsi="Arial" w:cs="Arial"/>
          <w:noProof/>
          <w:sz w:val="22"/>
          <w:szCs w:val="22"/>
        </w:rPr>
        <w:t>)</w:t>
      </w:r>
      <w:r w:rsidRPr="0033639F">
        <w:rPr>
          <w:rFonts w:ascii="Arial" w:hAnsi="Arial" w:cs="Arial"/>
          <w:sz w:val="22"/>
          <w:szCs w:val="22"/>
        </w:rPr>
        <w:t xml:space="preserve"> (see figures 1</w:t>
      </w:r>
      <w:r w:rsidR="00982BE9" w:rsidRPr="0033639F">
        <w:rPr>
          <w:rFonts w:ascii="Arial" w:hAnsi="Arial" w:cs="Arial"/>
          <w:sz w:val="22"/>
          <w:szCs w:val="22"/>
        </w:rPr>
        <w:t>5</w:t>
      </w:r>
      <w:r w:rsidRPr="0033639F">
        <w:rPr>
          <w:rFonts w:ascii="Arial" w:hAnsi="Arial" w:cs="Arial"/>
          <w:sz w:val="22"/>
          <w:szCs w:val="22"/>
        </w:rPr>
        <w:t xml:space="preserve"> and 1</w:t>
      </w:r>
      <w:r w:rsidR="00982BE9" w:rsidRPr="0033639F">
        <w:rPr>
          <w:rFonts w:ascii="Arial" w:hAnsi="Arial" w:cs="Arial"/>
          <w:sz w:val="22"/>
          <w:szCs w:val="22"/>
        </w:rPr>
        <w:t>6</w:t>
      </w:r>
      <w:r w:rsidRPr="0033639F">
        <w:rPr>
          <w:rFonts w:ascii="Arial" w:hAnsi="Arial" w:cs="Arial"/>
          <w:sz w:val="22"/>
          <w:szCs w:val="22"/>
        </w:rPr>
        <w:t xml:space="preserve">). There is a single case report of a nucleotide variant in </w:t>
      </w:r>
      <w:r w:rsidRPr="0033639F">
        <w:rPr>
          <w:rFonts w:ascii="Arial" w:hAnsi="Arial" w:cs="Arial"/>
          <w:i/>
          <w:iCs/>
          <w:sz w:val="22"/>
          <w:szCs w:val="22"/>
        </w:rPr>
        <w:t>SSTR5</w:t>
      </w:r>
      <w:r w:rsidRPr="0033639F">
        <w:rPr>
          <w:rFonts w:ascii="Arial" w:hAnsi="Arial" w:cs="Arial"/>
          <w:sz w:val="22"/>
          <w:szCs w:val="22"/>
        </w:rPr>
        <w:t xml:space="preserve">, occurring in a subject with acromegaly. (This individual, however, was also reported as having a mutation in the GSP </w:t>
      </w:r>
      <w:r w:rsidR="0078035B" w:rsidRPr="0033639F">
        <w:rPr>
          <w:rFonts w:ascii="Arial" w:hAnsi="Arial" w:cs="Arial"/>
          <w:sz w:val="22"/>
          <w:szCs w:val="22"/>
        </w:rPr>
        <w:t>oncogene,</w:t>
      </w:r>
      <w:r w:rsidRPr="0033639F">
        <w:rPr>
          <w:rFonts w:ascii="Arial" w:hAnsi="Arial" w:cs="Arial"/>
          <w:sz w:val="22"/>
          <w:szCs w:val="22"/>
        </w:rPr>
        <w:t xml:space="preserve"> placing the pathological nature of the SSTR5 variant in question). Whereas GHRH induces release of growth hormone stored in secretory vesicles by depolarization of the somatotrope, somatostatin inhibits GH release by hyperpolarizing the somatotrope, rendering it unresponsive to GHRH. There are no reports of mutations in the somatostatin gene, or in </w:t>
      </w:r>
      <w:r w:rsidRPr="0033639F">
        <w:rPr>
          <w:rFonts w:ascii="Arial" w:hAnsi="Arial" w:cs="Arial"/>
          <w:i/>
          <w:iCs/>
          <w:sz w:val="22"/>
          <w:szCs w:val="22"/>
        </w:rPr>
        <w:t>SSTR2</w:t>
      </w:r>
      <w:r w:rsidRPr="0033639F">
        <w:rPr>
          <w:rFonts w:ascii="Arial" w:hAnsi="Arial" w:cs="Arial"/>
          <w:sz w:val="22"/>
          <w:szCs w:val="22"/>
        </w:rPr>
        <w:t xml:space="preserve">. </w:t>
      </w:r>
    </w:p>
    <w:p w14:paraId="185C311F" w14:textId="77777777" w:rsidR="00363B91" w:rsidRPr="0033639F" w:rsidRDefault="00363B91" w:rsidP="0033639F">
      <w:pPr>
        <w:spacing w:line="276" w:lineRule="auto"/>
        <w:rPr>
          <w:rFonts w:ascii="Arial" w:hAnsi="Arial" w:cs="Arial"/>
          <w:sz w:val="22"/>
          <w:szCs w:val="22"/>
        </w:rPr>
      </w:pPr>
    </w:p>
    <w:p w14:paraId="32B1D48B" w14:textId="77777777"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All three of these hypothalamic modifiers of GH secretion act through cell-membrane receptors of the G-protein coupled receptor (GCPR) class. These receptors are characterized by seven membrane-spanning helical domains, an extracellular region that binds (but does not internalize) the ligand hormone, and an intracellular domain that interacts with a G-protein, </w:t>
      </w:r>
      <w:r w:rsidRPr="0033639F">
        <w:rPr>
          <w:rFonts w:ascii="Arial" w:hAnsi="Arial" w:cs="Arial"/>
          <w:sz w:val="22"/>
          <w:szCs w:val="22"/>
        </w:rPr>
        <w:lastRenderedPageBreak/>
        <w:t>which contains a catalytic subunit that generates a second messenger (</w:t>
      </w:r>
      <w:r w:rsidRPr="0033639F">
        <w:rPr>
          <w:rFonts w:ascii="Arial" w:hAnsi="Arial" w:cs="Arial"/>
          <w:i/>
          <w:iCs/>
          <w:sz w:val="22"/>
          <w:szCs w:val="22"/>
        </w:rPr>
        <w:t>e.g.</w:t>
      </w:r>
      <w:r w:rsidRPr="0033639F">
        <w:rPr>
          <w:rFonts w:ascii="Arial" w:hAnsi="Arial" w:cs="Arial"/>
          <w:sz w:val="22"/>
          <w:szCs w:val="22"/>
        </w:rPr>
        <w:t xml:space="preserve"> cyclic AMP or inositol triphosphate). </w:t>
      </w:r>
    </w:p>
    <w:p w14:paraId="4354D27D" w14:textId="77777777" w:rsidR="00363B91" w:rsidRPr="0033639F" w:rsidRDefault="00363B91" w:rsidP="0033639F">
      <w:pPr>
        <w:spacing w:line="276" w:lineRule="auto"/>
        <w:rPr>
          <w:rFonts w:ascii="Arial" w:hAnsi="Arial" w:cs="Arial"/>
          <w:sz w:val="22"/>
          <w:szCs w:val="22"/>
        </w:rPr>
      </w:pPr>
    </w:p>
    <w:p w14:paraId="1A8E264D" w14:textId="173FC37A" w:rsidR="0043053C" w:rsidRDefault="0043053C" w:rsidP="0033639F">
      <w:pPr>
        <w:spacing w:line="276" w:lineRule="auto"/>
        <w:rPr>
          <w:rFonts w:ascii="Arial" w:hAnsi="Arial" w:cs="Arial"/>
          <w:b/>
          <w:bCs/>
          <w:sz w:val="22"/>
          <w:szCs w:val="22"/>
        </w:rPr>
      </w:pPr>
      <w:r>
        <w:rPr>
          <w:rFonts w:ascii="Arial" w:hAnsi="Arial" w:cs="Arial"/>
          <w:b/>
          <w:bCs/>
          <w:noProof/>
          <w:sz w:val="22"/>
          <w:szCs w:val="22"/>
        </w:rPr>
        <w:drawing>
          <wp:inline distT="0" distB="0" distL="0" distR="0" wp14:anchorId="4E1A3B89" wp14:editId="3F7A8901">
            <wp:extent cx="6056986" cy="2973286"/>
            <wp:effectExtent l="0" t="0" r="1270" b="0"/>
            <wp:docPr id="5730195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9649" cy="2984411"/>
                    </a:xfrm>
                    <a:prstGeom prst="rect">
                      <a:avLst/>
                    </a:prstGeom>
                    <a:noFill/>
                  </pic:spPr>
                </pic:pic>
              </a:graphicData>
            </a:graphic>
          </wp:inline>
        </w:drawing>
      </w:r>
    </w:p>
    <w:p w14:paraId="30B46F6D" w14:textId="48D7D188" w:rsidR="00803B01" w:rsidRDefault="00363B91" w:rsidP="0033639F">
      <w:pPr>
        <w:spacing w:line="276" w:lineRule="auto"/>
        <w:rPr>
          <w:rFonts w:ascii="Arial" w:hAnsi="Arial" w:cs="Arial"/>
          <w:sz w:val="22"/>
          <w:szCs w:val="22"/>
        </w:rPr>
      </w:pPr>
      <w:r w:rsidRPr="00363B91">
        <w:rPr>
          <w:rFonts w:ascii="Arial" w:hAnsi="Arial" w:cs="Arial"/>
          <w:b/>
          <w:bCs/>
          <w:sz w:val="22"/>
          <w:szCs w:val="22"/>
        </w:rPr>
        <w:t>Figure 14. The somatostatin (SST) gene</w:t>
      </w:r>
      <w:r>
        <w:rPr>
          <w:rFonts w:ascii="Arial" w:hAnsi="Arial" w:cs="Arial"/>
          <w:sz w:val="22"/>
          <w:szCs w:val="22"/>
        </w:rPr>
        <w:t>.</w:t>
      </w:r>
    </w:p>
    <w:p w14:paraId="4E2884C0" w14:textId="77777777" w:rsidR="00363B91" w:rsidRDefault="00363B91" w:rsidP="0033639F">
      <w:pPr>
        <w:spacing w:line="276" w:lineRule="auto"/>
        <w:rPr>
          <w:rFonts w:ascii="Arial" w:hAnsi="Arial" w:cs="Arial"/>
          <w:sz w:val="22"/>
          <w:szCs w:val="22"/>
        </w:rPr>
      </w:pPr>
    </w:p>
    <w:p w14:paraId="6DA670EB" w14:textId="1678F846" w:rsidR="00363B91" w:rsidRDefault="00A00D8E" w:rsidP="0033639F">
      <w:pPr>
        <w:spacing w:line="276" w:lineRule="auto"/>
        <w:rPr>
          <w:rFonts w:ascii="Arial" w:hAnsi="Arial" w:cs="Arial"/>
          <w:sz w:val="22"/>
          <w:szCs w:val="22"/>
        </w:rPr>
      </w:pPr>
      <w:r>
        <w:rPr>
          <w:rFonts w:ascii="Arial" w:hAnsi="Arial" w:cs="Arial"/>
          <w:noProof/>
          <w:sz w:val="22"/>
          <w:szCs w:val="22"/>
        </w:rPr>
        <w:drawing>
          <wp:inline distT="0" distB="0" distL="0" distR="0" wp14:anchorId="0335F268" wp14:editId="0AC2A88D">
            <wp:extent cx="6217920" cy="3246596"/>
            <wp:effectExtent l="0" t="0" r="0" b="0"/>
            <wp:docPr id="12756993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4042" cy="3265457"/>
                    </a:xfrm>
                    <a:prstGeom prst="rect">
                      <a:avLst/>
                    </a:prstGeom>
                    <a:noFill/>
                  </pic:spPr>
                </pic:pic>
              </a:graphicData>
            </a:graphic>
          </wp:inline>
        </w:drawing>
      </w:r>
    </w:p>
    <w:p w14:paraId="7928920A" w14:textId="2050B67B" w:rsidR="0043053C" w:rsidRDefault="00B965AC" w:rsidP="0033639F">
      <w:pPr>
        <w:spacing w:line="276" w:lineRule="auto"/>
        <w:rPr>
          <w:rFonts w:ascii="Arial" w:hAnsi="Arial" w:cs="Arial"/>
          <w:sz w:val="22"/>
          <w:szCs w:val="22"/>
        </w:rPr>
      </w:pPr>
      <w:r w:rsidRPr="00B965AC">
        <w:rPr>
          <w:rFonts w:ascii="Arial" w:hAnsi="Arial" w:cs="Arial"/>
          <w:b/>
          <w:bCs/>
          <w:sz w:val="22"/>
          <w:szCs w:val="22"/>
        </w:rPr>
        <w:t>Figure 15. The somatostatin receptor 2 (SSTR2) gene</w:t>
      </w:r>
      <w:r>
        <w:rPr>
          <w:rFonts w:ascii="Arial" w:hAnsi="Arial" w:cs="Arial"/>
          <w:sz w:val="22"/>
          <w:szCs w:val="22"/>
        </w:rPr>
        <w:t>.</w:t>
      </w:r>
    </w:p>
    <w:p w14:paraId="04EBE15E" w14:textId="77777777" w:rsidR="00A00D8E" w:rsidRDefault="00A00D8E" w:rsidP="0033639F">
      <w:pPr>
        <w:spacing w:line="276" w:lineRule="auto"/>
        <w:rPr>
          <w:rFonts w:ascii="Arial" w:hAnsi="Arial" w:cs="Arial"/>
          <w:sz w:val="22"/>
          <w:szCs w:val="22"/>
        </w:rPr>
      </w:pPr>
    </w:p>
    <w:p w14:paraId="4E9C1E95" w14:textId="7B6CD6AB" w:rsidR="00A00D8E" w:rsidRDefault="00746384" w:rsidP="0033639F">
      <w:pPr>
        <w:spacing w:line="276" w:lineRule="auto"/>
        <w:rPr>
          <w:rFonts w:ascii="Arial" w:hAnsi="Arial" w:cs="Arial"/>
          <w:sz w:val="22"/>
          <w:szCs w:val="22"/>
        </w:rPr>
      </w:pPr>
      <w:r>
        <w:rPr>
          <w:rFonts w:ascii="Arial" w:hAnsi="Arial" w:cs="Arial"/>
          <w:noProof/>
          <w:sz w:val="22"/>
          <w:szCs w:val="22"/>
        </w:rPr>
        <w:lastRenderedPageBreak/>
        <w:drawing>
          <wp:inline distT="0" distB="0" distL="0" distR="0" wp14:anchorId="686478EB" wp14:editId="3E253AC6">
            <wp:extent cx="6188659" cy="3537528"/>
            <wp:effectExtent l="0" t="0" r="3175" b="6350"/>
            <wp:docPr id="16924152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076" cy="3544054"/>
                    </a:xfrm>
                    <a:prstGeom prst="rect">
                      <a:avLst/>
                    </a:prstGeom>
                    <a:noFill/>
                  </pic:spPr>
                </pic:pic>
              </a:graphicData>
            </a:graphic>
          </wp:inline>
        </w:drawing>
      </w:r>
    </w:p>
    <w:p w14:paraId="0C2A453A" w14:textId="14E79C5A" w:rsidR="00A00D8E" w:rsidRPr="00A00D8E" w:rsidRDefault="00A00D8E" w:rsidP="0033639F">
      <w:pPr>
        <w:spacing w:line="276" w:lineRule="auto"/>
        <w:rPr>
          <w:rFonts w:ascii="Arial" w:hAnsi="Arial" w:cs="Arial"/>
          <w:b/>
          <w:bCs/>
          <w:sz w:val="22"/>
          <w:szCs w:val="22"/>
        </w:rPr>
      </w:pPr>
      <w:r w:rsidRPr="00A00D8E">
        <w:rPr>
          <w:rFonts w:ascii="Arial" w:hAnsi="Arial" w:cs="Arial"/>
          <w:b/>
          <w:bCs/>
          <w:sz w:val="22"/>
          <w:szCs w:val="22"/>
        </w:rPr>
        <w:t>Figure 16.  The somatostatin receptor 5 (SSTR5) gene.</w:t>
      </w:r>
    </w:p>
    <w:p w14:paraId="018E8793" w14:textId="77777777" w:rsidR="00803B01" w:rsidRPr="0033639F" w:rsidRDefault="00803B01" w:rsidP="0033639F">
      <w:pPr>
        <w:spacing w:line="276" w:lineRule="auto"/>
        <w:outlineLvl w:val="1"/>
        <w:rPr>
          <w:rFonts w:ascii="Arial" w:hAnsi="Arial" w:cs="Arial"/>
          <w:b/>
          <w:bCs/>
          <w:sz w:val="22"/>
          <w:szCs w:val="22"/>
        </w:rPr>
      </w:pPr>
    </w:p>
    <w:p w14:paraId="53F3CC79" w14:textId="77777777" w:rsidR="00803B01" w:rsidRPr="00746384" w:rsidRDefault="00803B01" w:rsidP="00746384">
      <w:pPr>
        <w:rPr>
          <w:rFonts w:ascii="Arial" w:hAnsi="Arial" w:cs="Arial"/>
          <w:b/>
          <w:bCs/>
          <w:sz w:val="22"/>
          <w:szCs w:val="22"/>
        </w:rPr>
      </w:pPr>
      <w:r w:rsidRPr="00746384">
        <w:rPr>
          <w:rFonts w:ascii="Arial" w:hAnsi="Arial" w:cs="Arial"/>
          <w:b/>
          <w:bCs/>
          <w:color w:val="0070C0"/>
          <w:sz w:val="22"/>
          <w:szCs w:val="22"/>
        </w:rPr>
        <w:t>PITUITARY GH DEFICIENCY</w:t>
      </w:r>
      <w:r w:rsidRPr="00746384">
        <w:rPr>
          <w:rFonts w:ascii="Arial" w:hAnsi="Arial" w:cs="Arial"/>
          <w:b/>
          <w:bCs/>
          <w:sz w:val="22"/>
          <w:szCs w:val="22"/>
        </w:rPr>
        <w:t xml:space="preserve"> </w:t>
      </w:r>
    </w:p>
    <w:p w14:paraId="65EB31E3" w14:textId="77777777" w:rsidR="00746384" w:rsidRDefault="00746384" w:rsidP="0033639F">
      <w:pPr>
        <w:pStyle w:val="Heading2"/>
        <w:spacing w:before="0" w:after="0" w:line="276" w:lineRule="auto"/>
        <w:rPr>
          <w:rFonts w:ascii="Arial" w:hAnsi="Arial" w:cs="Arial"/>
          <w:b/>
          <w:bCs/>
          <w:sz w:val="22"/>
          <w:szCs w:val="22"/>
        </w:rPr>
      </w:pPr>
      <w:bookmarkStart w:id="21" w:name="id2506901"/>
      <w:bookmarkEnd w:id="21"/>
    </w:p>
    <w:p w14:paraId="4AF80F08" w14:textId="42F5AC99" w:rsidR="00803B01" w:rsidRPr="00746384" w:rsidRDefault="00803B01" w:rsidP="00746384">
      <w:pPr>
        <w:rPr>
          <w:rFonts w:ascii="Arial" w:hAnsi="Arial" w:cs="Arial"/>
          <w:b/>
          <w:bCs/>
          <w:color w:val="00B050"/>
          <w:sz w:val="22"/>
          <w:szCs w:val="22"/>
        </w:rPr>
      </w:pPr>
      <w:r w:rsidRPr="00746384">
        <w:rPr>
          <w:rFonts w:ascii="Arial" w:hAnsi="Arial" w:cs="Arial"/>
          <w:b/>
          <w:bCs/>
          <w:color w:val="00B050"/>
          <w:sz w:val="22"/>
          <w:szCs w:val="22"/>
        </w:rPr>
        <w:t xml:space="preserve">Human Growth Hormone </w:t>
      </w:r>
    </w:p>
    <w:p w14:paraId="298A6E42" w14:textId="77777777" w:rsidR="00746384" w:rsidRDefault="00746384" w:rsidP="0033639F">
      <w:pPr>
        <w:spacing w:line="276" w:lineRule="auto"/>
        <w:rPr>
          <w:rFonts w:ascii="Arial" w:hAnsi="Arial" w:cs="Arial"/>
          <w:sz w:val="22"/>
          <w:szCs w:val="22"/>
        </w:rPr>
      </w:pPr>
    </w:p>
    <w:p w14:paraId="29657961" w14:textId="0AE5B62C"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GH is critical for growth through (most of) childhood as well as for optimal metabolic, neurocognitive, cardiac, musculoskeletal and adipose function throughout life. GH acts through GH receptors on cells of a variety of target tissues. Many, but not all, actions of GH are mediated by insulin-like growth factor 1 (IGF1), also known as Somatomedin-C. IGF1 is released in response to GH and acts as both a hormone and an autocrine/paracrine factor. GH, directly and indirectly through the actions of IGF1, stimulates tissue growth and proliferation, most notably in the epiphyseal growth plates of children, increases lean muscle mass, decreases fat mass, and increases bone mineral density. </w:t>
      </w:r>
    </w:p>
    <w:p w14:paraId="564D512B" w14:textId="77777777" w:rsidR="00746384" w:rsidRPr="0033639F" w:rsidRDefault="00746384" w:rsidP="0033639F">
      <w:pPr>
        <w:spacing w:line="276" w:lineRule="auto"/>
        <w:rPr>
          <w:rFonts w:ascii="Arial" w:hAnsi="Arial" w:cs="Arial"/>
          <w:sz w:val="22"/>
          <w:szCs w:val="22"/>
        </w:rPr>
      </w:pPr>
    </w:p>
    <w:p w14:paraId="34EE3F0D" w14:textId="7F9D64E9"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Growth hormone is a single-chain polypeptide that contains 191 amino acids with two intramolecular disulfide bonds and the molecular weight of 22,128 Daltons. The GH protein (GHN) is encoded by the </w:t>
      </w:r>
      <w:r w:rsidRPr="0033639F">
        <w:rPr>
          <w:rFonts w:ascii="Arial" w:hAnsi="Arial" w:cs="Arial"/>
          <w:i/>
          <w:iCs/>
          <w:sz w:val="22"/>
          <w:szCs w:val="22"/>
        </w:rPr>
        <w:t>GH1</w:t>
      </w:r>
      <w:r w:rsidRPr="0033639F">
        <w:rPr>
          <w:rFonts w:ascii="Arial" w:hAnsi="Arial" w:cs="Arial"/>
          <w:sz w:val="22"/>
          <w:szCs w:val="22"/>
        </w:rPr>
        <w:t xml:space="preserve"> gene located on chromosome 17q22-q24 (Figure 1</w:t>
      </w:r>
      <w:r w:rsidR="00982BE9" w:rsidRPr="0033639F">
        <w:rPr>
          <w:rFonts w:ascii="Arial" w:hAnsi="Arial" w:cs="Arial"/>
          <w:sz w:val="22"/>
          <w:szCs w:val="22"/>
        </w:rPr>
        <w:t>7</w:t>
      </w:r>
      <w:r w:rsidRPr="0033639F">
        <w:rPr>
          <w:rFonts w:ascii="Arial" w:hAnsi="Arial" w:cs="Arial"/>
          <w:sz w:val="22"/>
          <w:szCs w:val="22"/>
        </w:rPr>
        <w:t>) in a complex of five genes: two for the growth hormone/growth hormone variant (</w:t>
      </w:r>
      <w:r w:rsidRPr="0033639F">
        <w:rPr>
          <w:rFonts w:ascii="Arial" w:hAnsi="Arial" w:cs="Arial"/>
          <w:i/>
          <w:iCs/>
          <w:sz w:val="22"/>
          <w:szCs w:val="22"/>
        </w:rPr>
        <w:t>GH1</w:t>
      </w:r>
      <w:r w:rsidRPr="0033639F">
        <w:rPr>
          <w:rFonts w:ascii="Arial" w:hAnsi="Arial" w:cs="Arial"/>
          <w:sz w:val="22"/>
          <w:szCs w:val="22"/>
        </w:rPr>
        <w:t xml:space="preserve">, GH2), two for chorionic somatomammotropin (CS1, CS2), and one for the somatomammotropin pseudogene (CSL). GH2 encodes the GHV protein that is secreted by the placenta into maternal circulation. GHV has greater lactogenic properties than does GHN and may function to maintain the maternal blood sugar in a desirable range, thus ensuring sufficient nutrition for the fetus. </w:t>
      </w:r>
    </w:p>
    <w:p w14:paraId="1406A114" w14:textId="77777777" w:rsidR="00746384" w:rsidRPr="0033639F" w:rsidRDefault="00746384" w:rsidP="0033639F">
      <w:pPr>
        <w:spacing w:line="276" w:lineRule="auto"/>
        <w:rPr>
          <w:rFonts w:ascii="Arial" w:hAnsi="Arial" w:cs="Arial"/>
          <w:sz w:val="22"/>
          <w:szCs w:val="22"/>
        </w:rPr>
      </w:pPr>
    </w:p>
    <w:p w14:paraId="3F9E97FE" w14:textId="77940523" w:rsidR="0051108E" w:rsidRDefault="0051108E" w:rsidP="000F621A">
      <w:bookmarkStart w:id="22" w:name="id2506960"/>
      <w:bookmarkEnd w:id="22"/>
      <w:r>
        <w:rPr>
          <w:noProof/>
        </w:rPr>
        <w:lastRenderedPageBreak/>
        <w:drawing>
          <wp:inline distT="0" distB="0" distL="0" distR="0" wp14:anchorId="55EC0151" wp14:editId="161ACFF3">
            <wp:extent cx="6276442" cy="3816534"/>
            <wp:effectExtent l="0" t="0" r="0" b="0"/>
            <wp:docPr id="1347781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1949" cy="3825963"/>
                    </a:xfrm>
                    <a:prstGeom prst="rect">
                      <a:avLst/>
                    </a:prstGeom>
                    <a:noFill/>
                  </pic:spPr>
                </pic:pic>
              </a:graphicData>
            </a:graphic>
          </wp:inline>
        </w:drawing>
      </w:r>
    </w:p>
    <w:p w14:paraId="01CD5887" w14:textId="307CD25A" w:rsidR="00746384" w:rsidRDefault="00746384" w:rsidP="0033639F">
      <w:pPr>
        <w:pStyle w:val="Heading1"/>
        <w:spacing w:before="0" w:after="0" w:line="276" w:lineRule="auto"/>
        <w:rPr>
          <w:rFonts w:ascii="Arial" w:hAnsi="Arial" w:cs="Arial"/>
          <w:b/>
          <w:bCs/>
          <w:sz w:val="22"/>
          <w:szCs w:val="22"/>
        </w:rPr>
      </w:pPr>
      <w:r w:rsidRPr="00746384">
        <w:rPr>
          <w:rFonts w:ascii="Arial" w:hAnsi="Arial" w:cs="Arial"/>
          <w:b/>
          <w:bCs/>
          <w:color w:val="auto"/>
          <w:sz w:val="22"/>
          <w:szCs w:val="22"/>
        </w:rPr>
        <w:t>Figure 17. Growth hormone (GH1) gene.</w:t>
      </w:r>
    </w:p>
    <w:p w14:paraId="03D7226E" w14:textId="77777777" w:rsidR="00746384" w:rsidRDefault="00746384" w:rsidP="0033639F">
      <w:pPr>
        <w:pStyle w:val="Heading1"/>
        <w:spacing w:before="0" w:after="0" w:line="276" w:lineRule="auto"/>
        <w:rPr>
          <w:rFonts w:ascii="Arial" w:hAnsi="Arial" w:cs="Arial"/>
          <w:b/>
          <w:bCs/>
          <w:sz w:val="22"/>
          <w:szCs w:val="22"/>
        </w:rPr>
      </w:pPr>
    </w:p>
    <w:p w14:paraId="62DEE4C4" w14:textId="3DC9DAAE" w:rsidR="00803B01" w:rsidRPr="00746384" w:rsidRDefault="00803B01" w:rsidP="00746384">
      <w:pPr>
        <w:rPr>
          <w:rFonts w:ascii="Arial" w:hAnsi="Arial" w:cs="Arial"/>
          <w:b/>
          <w:bCs/>
          <w:sz w:val="22"/>
          <w:szCs w:val="22"/>
        </w:rPr>
      </w:pPr>
      <w:r w:rsidRPr="00746384">
        <w:rPr>
          <w:rFonts w:ascii="Arial" w:hAnsi="Arial" w:cs="Arial"/>
          <w:b/>
          <w:bCs/>
          <w:color w:val="0070C0"/>
          <w:sz w:val="22"/>
          <w:szCs w:val="22"/>
        </w:rPr>
        <w:t xml:space="preserve">PERIPHERAL GH RESISTANCE </w:t>
      </w:r>
    </w:p>
    <w:p w14:paraId="7D2E9C74" w14:textId="77777777" w:rsidR="00746384" w:rsidRDefault="00746384" w:rsidP="0033639F">
      <w:pPr>
        <w:pStyle w:val="Heading2"/>
        <w:spacing w:before="0" w:after="0" w:line="276" w:lineRule="auto"/>
        <w:rPr>
          <w:rFonts w:ascii="Arial" w:hAnsi="Arial" w:cs="Arial"/>
          <w:b/>
          <w:bCs/>
          <w:sz w:val="22"/>
          <w:szCs w:val="22"/>
        </w:rPr>
      </w:pPr>
      <w:bookmarkStart w:id="23" w:name="id2506966"/>
      <w:bookmarkEnd w:id="23"/>
    </w:p>
    <w:p w14:paraId="1BFB2E9D" w14:textId="6F507893" w:rsidR="00803B01" w:rsidRPr="00746384" w:rsidRDefault="00803B01" w:rsidP="00746384">
      <w:pPr>
        <w:rPr>
          <w:rFonts w:ascii="Arial" w:hAnsi="Arial" w:cs="Arial"/>
          <w:b/>
          <w:bCs/>
          <w:color w:val="00B050"/>
          <w:sz w:val="22"/>
          <w:szCs w:val="22"/>
        </w:rPr>
      </w:pPr>
      <w:r w:rsidRPr="00746384">
        <w:rPr>
          <w:rFonts w:ascii="Arial" w:hAnsi="Arial" w:cs="Arial"/>
          <w:b/>
          <w:bCs/>
          <w:color w:val="00B050"/>
          <w:sz w:val="22"/>
          <w:szCs w:val="22"/>
        </w:rPr>
        <w:t xml:space="preserve">Growth Hormone Receptor </w:t>
      </w:r>
    </w:p>
    <w:p w14:paraId="0F5FCD1D" w14:textId="77777777" w:rsidR="00746384" w:rsidRPr="00746384" w:rsidRDefault="00746384" w:rsidP="00746384">
      <w:pPr>
        <w:rPr>
          <w:rFonts w:ascii="Arial" w:hAnsi="Arial" w:cs="Arial"/>
          <w:b/>
          <w:bCs/>
          <w:color w:val="00B050"/>
          <w:sz w:val="22"/>
          <w:szCs w:val="22"/>
        </w:rPr>
      </w:pPr>
    </w:p>
    <w:p w14:paraId="0E380DBC" w14:textId="14FF6F1D"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Growth failure with normal serum GH levels is well known, both at the genetic and </w:t>
      </w:r>
      <w:r w:rsidR="0078035B" w:rsidRPr="0033639F">
        <w:rPr>
          <w:rFonts w:ascii="Arial" w:hAnsi="Arial" w:cs="Arial"/>
          <w:sz w:val="22"/>
          <w:szCs w:val="22"/>
        </w:rPr>
        <w:t>clinical</w:t>
      </w:r>
      <w:r w:rsidRPr="0033639F">
        <w:rPr>
          <w:rFonts w:ascii="Arial" w:hAnsi="Arial" w:cs="Arial"/>
          <w:sz w:val="22"/>
          <w:szCs w:val="22"/>
        </w:rPr>
        <w:t xml:space="preserve"> level. Although such cases may be due to defects of </w:t>
      </w:r>
      <w:r w:rsidRPr="0033639F">
        <w:rPr>
          <w:rFonts w:ascii="Arial" w:hAnsi="Arial" w:cs="Arial"/>
          <w:i/>
          <w:iCs/>
          <w:sz w:val="22"/>
          <w:szCs w:val="22"/>
        </w:rPr>
        <w:t>GH1</w:t>
      </w:r>
      <w:r w:rsidRPr="0033639F">
        <w:rPr>
          <w:rFonts w:ascii="Arial" w:hAnsi="Arial" w:cs="Arial"/>
          <w:sz w:val="22"/>
          <w:szCs w:val="22"/>
        </w:rPr>
        <w:t xml:space="preserve"> (</w:t>
      </w:r>
      <w:r w:rsidRPr="0033639F">
        <w:rPr>
          <w:rFonts w:ascii="Arial" w:hAnsi="Arial" w:cs="Arial"/>
          <w:i/>
          <w:iCs/>
          <w:sz w:val="22"/>
          <w:szCs w:val="22"/>
        </w:rPr>
        <w:t>e.g.</w:t>
      </w:r>
      <w:r w:rsidRPr="0033639F">
        <w:rPr>
          <w:rFonts w:ascii="Arial" w:hAnsi="Arial" w:cs="Arial"/>
          <w:sz w:val="22"/>
          <w:szCs w:val="22"/>
        </w:rPr>
        <w:t xml:space="preserve"> bio</w:t>
      </w:r>
      <w:r w:rsidR="00BA35BB" w:rsidRPr="0033639F">
        <w:rPr>
          <w:rFonts w:ascii="Arial" w:hAnsi="Arial" w:cs="Arial"/>
          <w:sz w:val="22"/>
          <w:szCs w:val="22"/>
        </w:rPr>
        <w:t xml:space="preserve"> </w:t>
      </w:r>
      <w:r w:rsidRPr="0033639F">
        <w:rPr>
          <w:rFonts w:ascii="Arial" w:hAnsi="Arial" w:cs="Arial"/>
          <w:sz w:val="22"/>
          <w:szCs w:val="22"/>
        </w:rPr>
        <w:t xml:space="preserve">inactive GH), many such subjects have been shown to have mutations in the GH Receptor (GHR), </w:t>
      </w:r>
      <w:r w:rsidRPr="0033639F">
        <w:rPr>
          <w:rFonts w:ascii="Arial" w:hAnsi="Arial" w:cs="Arial"/>
          <w:i/>
          <w:iCs/>
          <w:sz w:val="22"/>
          <w:szCs w:val="22"/>
        </w:rPr>
        <w:t>i.e.</w:t>
      </w:r>
      <w:r w:rsidRPr="0033639F">
        <w:rPr>
          <w:rFonts w:ascii="Arial" w:hAnsi="Arial" w:cs="Arial"/>
          <w:sz w:val="22"/>
          <w:szCs w:val="22"/>
        </w:rPr>
        <w:t xml:space="preserve"> Growth Hormone Insensitivity, known as Laron Syndrome. Biochemical hallmarks of this syndrome are increased or normal GH levels with low IGF1 and with absent or decreased response to GH treatment</w:t>
      </w:r>
      <w:r w:rsidRPr="0033639F">
        <w:rPr>
          <w:rFonts w:ascii="Arial" w:hAnsi="Arial" w:cs="Arial"/>
          <w:noProof/>
          <w:sz w:val="22"/>
          <w:szCs w:val="22"/>
        </w:rPr>
        <w:t xml:space="preserve"> </w:t>
      </w:r>
      <w:r w:rsidR="00212A41" w:rsidRPr="0033639F">
        <w:rPr>
          <w:rFonts w:ascii="Arial" w:hAnsi="Arial" w:cs="Arial"/>
          <w:noProof/>
          <w:sz w:val="22"/>
          <w:szCs w:val="22"/>
        </w:rPr>
        <w:t>(</w:t>
      </w:r>
      <w:r w:rsidR="007C310D" w:rsidRPr="0033639F">
        <w:rPr>
          <w:rFonts w:ascii="Arial" w:hAnsi="Arial" w:cs="Arial"/>
          <w:noProof/>
          <w:sz w:val="22"/>
          <w:szCs w:val="22"/>
        </w:rPr>
        <w:t>91</w:t>
      </w:r>
      <w:r w:rsidR="00212A41" w:rsidRPr="0033639F">
        <w:rPr>
          <w:rFonts w:ascii="Arial" w:hAnsi="Arial" w:cs="Arial"/>
          <w:noProof/>
          <w:sz w:val="22"/>
          <w:szCs w:val="22"/>
        </w:rPr>
        <w:t>)</w:t>
      </w:r>
      <w:r w:rsidRPr="0033639F">
        <w:rPr>
          <w:rFonts w:ascii="Arial" w:hAnsi="Arial" w:cs="Arial"/>
          <w:sz w:val="22"/>
          <w:szCs w:val="22"/>
        </w:rPr>
        <w:t xml:space="preserve">. </w:t>
      </w:r>
    </w:p>
    <w:p w14:paraId="143E632D" w14:textId="77777777" w:rsidR="000B2360" w:rsidRPr="0033639F" w:rsidRDefault="000B2360" w:rsidP="0033639F">
      <w:pPr>
        <w:spacing w:line="276" w:lineRule="auto"/>
        <w:rPr>
          <w:rFonts w:ascii="Arial" w:hAnsi="Arial" w:cs="Arial"/>
          <w:sz w:val="22"/>
          <w:szCs w:val="22"/>
        </w:rPr>
      </w:pPr>
    </w:p>
    <w:p w14:paraId="1773B0D4" w14:textId="2A689BD8"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The growth hormone receptor gene (GHR) is located on 5p13-12 and contains 10 exons which span a physical distance of almost 300 kb of genomic DNA (Figure </w:t>
      </w:r>
      <w:r w:rsidR="0062352E" w:rsidRPr="0033639F">
        <w:rPr>
          <w:rFonts w:ascii="Arial" w:hAnsi="Arial" w:cs="Arial"/>
          <w:sz w:val="22"/>
          <w:szCs w:val="22"/>
        </w:rPr>
        <w:t>18</w:t>
      </w:r>
      <w:r w:rsidRPr="0033639F">
        <w:rPr>
          <w:rFonts w:ascii="Arial" w:hAnsi="Arial" w:cs="Arial"/>
          <w:sz w:val="22"/>
          <w:szCs w:val="22"/>
        </w:rPr>
        <w:t>). The GHR consists of a ligand-binding extracellular domain, an 'anchoring' transmembrane domain and an intracellular domain with intrinsic tyrosine kinase activity. A monomeric GHR binds a single GH molecule, which then dimerizes a second GHR, and activates the JAK/STAT and MAPK pathways and is internalized. The internalization leads to extinguishing of the GH signal, and the GHR is recycled for further rounds of activity. Two naturally occurring isoforms of the GHR arise from alternative splicing-one with an alternate exon 3, and the other with an alternate exon 9. The alternative exon 9 isoform yields a protein with only amino acids 1-279, and virtually none of the intracellular domain. This isoform cannot transduce the GH signal and yields higher molar quantities of GHBP (than wild-type GHR</w:t>
      </w:r>
      <w:r w:rsidR="00400B6F" w:rsidRPr="0033639F">
        <w:rPr>
          <w:rFonts w:ascii="Arial" w:hAnsi="Arial" w:cs="Arial"/>
          <w:sz w:val="22"/>
          <w:szCs w:val="22"/>
        </w:rPr>
        <w:t>) and</w:t>
      </w:r>
      <w:r w:rsidRPr="0033639F">
        <w:rPr>
          <w:rFonts w:ascii="Arial" w:hAnsi="Arial" w:cs="Arial"/>
          <w:sz w:val="22"/>
          <w:szCs w:val="22"/>
        </w:rPr>
        <w:t xml:space="preserve"> therefore acts as a GH "sink"</w:t>
      </w:r>
      <w:r w:rsidR="00212A41" w:rsidRPr="0033639F">
        <w:rPr>
          <w:rFonts w:ascii="Arial" w:hAnsi="Arial" w:cs="Arial"/>
          <w:sz w:val="22"/>
          <w:szCs w:val="22"/>
        </w:rPr>
        <w:t xml:space="preserve"> </w:t>
      </w:r>
      <w:r w:rsidR="00212A41" w:rsidRPr="0033639F">
        <w:rPr>
          <w:rFonts w:ascii="Arial" w:hAnsi="Arial" w:cs="Arial"/>
          <w:noProof/>
          <w:sz w:val="22"/>
          <w:szCs w:val="22"/>
        </w:rPr>
        <w:t>(</w:t>
      </w:r>
      <w:r w:rsidR="007C310D" w:rsidRPr="0033639F">
        <w:rPr>
          <w:rFonts w:ascii="Arial" w:hAnsi="Arial" w:cs="Arial"/>
          <w:noProof/>
          <w:sz w:val="22"/>
          <w:szCs w:val="22"/>
        </w:rPr>
        <w:t>92</w:t>
      </w:r>
      <w:r w:rsidR="00212A41" w:rsidRPr="0033639F">
        <w:rPr>
          <w:rFonts w:ascii="Arial" w:hAnsi="Arial" w:cs="Arial"/>
          <w:noProof/>
          <w:sz w:val="22"/>
          <w:szCs w:val="22"/>
        </w:rPr>
        <w:t>)</w:t>
      </w:r>
      <w:r w:rsidRPr="0033639F">
        <w:rPr>
          <w:rFonts w:ascii="Arial" w:hAnsi="Arial" w:cs="Arial"/>
          <w:sz w:val="22"/>
          <w:szCs w:val="22"/>
        </w:rPr>
        <w:t xml:space="preserve">. The GHR </w:t>
      </w:r>
      <w:r w:rsidRPr="0033639F">
        <w:rPr>
          <w:rFonts w:ascii="Arial" w:hAnsi="Arial" w:cs="Arial"/>
          <w:sz w:val="22"/>
          <w:szCs w:val="22"/>
        </w:rPr>
        <w:lastRenderedPageBreak/>
        <w:t>isoform lacking exon 3 has a high prevalence, and may be associated with altered GH signaling, although the direction of the alteration is not clear</w:t>
      </w:r>
      <w:r w:rsidRPr="0033639F">
        <w:rPr>
          <w:rFonts w:ascii="Arial" w:hAnsi="Arial" w:cs="Arial"/>
          <w:noProof/>
          <w:sz w:val="22"/>
          <w:szCs w:val="22"/>
        </w:rPr>
        <w:t xml:space="preserve"> </w:t>
      </w:r>
      <w:r w:rsidR="00212A41" w:rsidRPr="0033639F">
        <w:rPr>
          <w:rFonts w:ascii="Arial" w:hAnsi="Arial" w:cs="Arial"/>
          <w:noProof/>
          <w:sz w:val="22"/>
          <w:szCs w:val="22"/>
        </w:rPr>
        <w:t>(</w:t>
      </w:r>
      <w:r w:rsidR="007C310D" w:rsidRPr="0033639F">
        <w:rPr>
          <w:rFonts w:ascii="Arial" w:hAnsi="Arial" w:cs="Arial"/>
          <w:noProof/>
          <w:sz w:val="22"/>
          <w:szCs w:val="22"/>
        </w:rPr>
        <w:t>93</w:t>
      </w:r>
      <w:r w:rsidR="00212A41" w:rsidRPr="0033639F">
        <w:rPr>
          <w:rFonts w:ascii="Arial" w:hAnsi="Arial" w:cs="Arial"/>
          <w:noProof/>
          <w:sz w:val="22"/>
          <w:szCs w:val="22"/>
        </w:rPr>
        <w:t>–9</w:t>
      </w:r>
      <w:r w:rsidR="007C310D" w:rsidRPr="0033639F">
        <w:rPr>
          <w:rFonts w:ascii="Arial" w:hAnsi="Arial" w:cs="Arial"/>
          <w:noProof/>
          <w:sz w:val="22"/>
          <w:szCs w:val="22"/>
        </w:rPr>
        <w:t>6</w:t>
      </w:r>
      <w:r w:rsidR="00212A41" w:rsidRPr="0033639F">
        <w:rPr>
          <w:rFonts w:ascii="Arial" w:hAnsi="Arial" w:cs="Arial"/>
          <w:noProof/>
          <w:sz w:val="22"/>
          <w:szCs w:val="22"/>
        </w:rPr>
        <w:t>)</w:t>
      </w:r>
      <w:r w:rsidRPr="0033639F">
        <w:rPr>
          <w:rFonts w:ascii="Arial" w:hAnsi="Arial" w:cs="Arial"/>
          <w:sz w:val="22"/>
          <w:szCs w:val="22"/>
        </w:rPr>
        <w:t>.</w:t>
      </w:r>
    </w:p>
    <w:p w14:paraId="4C536C16" w14:textId="77777777" w:rsidR="00803B01" w:rsidRPr="0033639F" w:rsidRDefault="00803B01" w:rsidP="0033639F">
      <w:pPr>
        <w:spacing w:line="276" w:lineRule="auto"/>
        <w:rPr>
          <w:rFonts w:ascii="Arial" w:hAnsi="Arial" w:cs="Arial"/>
          <w:sz w:val="22"/>
          <w:szCs w:val="22"/>
        </w:rPr>
      </w:pPr>
    </w:p>
    <w:p w14:paraId="6D093AB7" w14:textId="6AADF873" w:rsidR="00EB2A98" w:rsidRDefault="007C2099" w:rsidP="005F0485">
      <w:pPr>
        <w:rPr>
          <w:rFonts w:ascii="Arial" w:hAnsi="Arial" w:cs="Arial"/>
          <w:b/>
          <w:bCs/>
          <w:sz w:val="22"/>
          <w:szCs w:val="22"/>
        </w:rPr>
      </w:pPr>
      <w:r>
        <w:rPr>
          <w:rFonts w:ascii="Arial" w:hAnsi="Arial" w:cs="Arial"/>
          <w:b/>
          <w:bCs/>
          <w:noProof/>
          <w:sz w:val="22"/>
          <w:szCs w:val="22"/>
        </w:rPr>
        <w:drawing>
          <wp:inline distT="0" distB="0" distL="0" distR="0" wp14:anchorId="7DDA8F13" wp14:editId="3118C9EF">
            <wp:extent cx="6078931" cy="3886400"/>
            <wp:effectExtent l="0" t="0" r="0" b="0"/>
            <wp:docPr id="11986731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8737" cy="3892669"/>
                    </a:xfrm>
                    <a:prstGeom prst="rect">
                      <a:avLst/>
                    </a:prstGeom>
                    <a:noFill/>
                  </pic:spPr>
                </pic:pic>
              </a:graphicData>
            </a:graphic>
          </wp:inline>
        </w:drawing>
      </w:r>
    </w:p>
    <w:p w14:paraId="6FB0452B" w14:textId="52CF1298" w:rsidR="005F0485" w:rsidRPr="005F0485" w:rsidRDefault="005F0485" w:rsidP="005F0485">
      <w:pPr>
        <w:rPr>
          <w:rFonts w:ascii="Arial" w:hAnsi="Arial" w:cs="Arial"/>
          <w:b/>
          <w:bCs/>
          <w:sz w:val="22"/>
          <w:szCs w:val="22"/>
        </w:rPr>
      </w:pPr>
      <w:r w:rsidRPr="005F0485">
        <w:rPr>
          <w:rFonts w:ascii="Arial" w:hAnsi="Arial" w:cs="Arial"/>
          <w:b/>
          <w:bCs/>
          <w:sz w:val="22"/>
          <w:szCs w:val="22"/>
        </w:rPr>
        <w:t>Figure 18. The growth hormone receptor (GHR) gene</w:t>
      </w:r>
      <w:r>
        <w:rPr>
          <w:rFonts w:ascii="Arial" w:hAnsi="Arial" w:cs="Arial"/>
          <w:b/>
          <w:bCs/>
          <w:sz w:val="22"/>
          <w:szCs w:val="22"/>
        </w:rPr>
        <w:t>.</w:t>
      </w:r>
    </w:p>
    <w:p w14:paraId="5E20C529" w14:textId="77777777" w:rsidR="00803B01" w:rsidRPr="005F0485" w:rsidRDefault="00803B01" w:rsidP="0033639F">
      <w:pPr>
        <w:spacing w:line="276" w:lineRule="auto"/>
        <w:rPr>
          <w:rFonts w:ascii="Arial" w:hAnsi="Arial" w:cs="Arial"/>
          <w:b/>
          <w:bCs/>
          <w:sz w:val="22"/>
          <w:szCs w:val="22"/>
        </w:rPr>
      </w:pPr>
    </w:p>
    <w:p w14:paraId="59F70E0D" w14:textId="06FC7F2D" w:rsidR="00803B01" w:rsidRDefault="00803B01" w:rsidP="0033639F">
      <w:pPr>
        <w:spacing w:line="276" w:lineRule="auto"/>
        <w:rPr>
          <w:rFonts w:ascii="Arial" w:hAnsi="Arial" w:cs="Arial"/>
          <w:sz w:val="22"/>
          <w:szCs w:val="22"/>
        </w:rPr>
      </w:pPr>
      <w:r w:rsidRPr="0033639F">
        <w:rPr>
          <w:rFonts w:ascii="Arial" w:hAnsi="Arial" w:cs="Arial"/>
          <w:sz w:val="22"/>
          <w:szCs w:val="22"/>
        </w:rPr>
        <w:t>Defects in the GH signaling pathway have been demonstrated to be associated with postnatal growth failure. Mutations of Stat5b were reported in patients with severe growth failure. Several mutations of Stat5b gene have been reported. Although patients had a phenotype similar to that of congenital GH deficiency or GHR dysfunction, clinical and biochemical features (including normal serum GHBP concentrations) and immune deficiency</w:t>
      </w:r>
      <w:r w:rsidRPr="0033639F">
        <w:rPr>
          <w:rFonts w:ascii="Arial" w:hAnsi="Arial" w:cs="Arial"/>
          <w:noProof/>
          <w:sz w:val="22"/>
          <w:szCs w:val="22"/>
        </w:rPr>
        <w:t xml:space="preserve"> </w:t>
      </w:r>
      <w:r w:rsidR="00212A41" w:rsidRPr="0033639F">
        <w:rPr>
          <w:rFonts w:ascii="Arial" w:hAnsi="Arial" w:cs="Arial"/>
          <w:noProof/>
          <w:sz w:val="22"/>
          <w:szCs w:val="22"/>
        </w:rPr>
        <w:t>(9</w:t>
      </w:r>
      <w:r w:rsidR="008D740F" w:rsidRPr="0033639F">
        <w:rPr>
          <w:rFonts w:ascii="Arial" w:hAnsi="Arial" w:cs="Arial"/>
          <w:noProof/>
          <w:sz w:val="22"/>
          <w:szCs w:val="22"/>
        </w:rPr>
        <w:t>7</w:t>
      </w:r>
      <w:r w:rsidR="00212A41" w:rsidRPr="0033639F">
        <w:rPr>
          <w:rFonts w:ascii="Arial" w:hAnsi="Arial" w:cs="Arial"/>
          <w:noProof/>
          <w:sz w:val="22"/>
          <w:szCs w:val="22"/>
        </w:rPr>
        <w:t>)</w:t>
      </w:r>
      <w:r w:rsidRPr="0033639F">
        <w:rPr>
          <w:rFonts w:ascii="Arial" w:hAnsi="Arial" w:cs="Arial"/>
          <w:sz w:val="22"/>
          <w:szCs w:val="22"/>
        </w:rPr>
        <w:t xml:space="preserve"> distinguish patients with STAT5b defects from patients with GHR defects.  It also appears that STAT5b mutations are associated with hyperprolactinemia.  It remains unclear whether the hyperprolactinemia is a direct or indirect effect of STAT5b mutations</w:t>
      </w:r>
      <w:r w:rsidR="00212A41" w:rsidRPr="0033639F">
        <w:rPr>
          <w:rFonts w:ascii="Arial" w:hAnsi="Arial" w:cs="Arial"/>
          <w:sz w:val="22"/>
          <w:szCs w:val="22"/>
        </w:rPr>
        <w:t xml:space="preserve"> </w:t>
      </w:r>
      <w:r w:rsidR="00212A41" w:rsidRPr="0033639F">
        <w:rPr>
          <w:rFonts w:ascii="Arial" w:hAnsi="Arial" w:cs="Arial"/>
          <w:noProof/>
          <w:sz w:val="22"/>
          <w:szCs w:val="22"/>
        </w:rPr>
        <w:t>(9</w:t>
      </w:r>
      <w:r w:rsidR="008D740F" w:rsidRPr="0033639F">
        <w:rPr>
          <w:rFonts w:ascii="Arial" w:hAnsi="Arial" w:cs="Arial"/>
          <w:noProof/>
          <w:sz w:val="22"/>
          <w:szCs w:val="22"/>
        </w:rPr>
        <w:t>8</w:t>
      </w:r>
      <w:r w:rsidR="00212A41" w:rsidRPr="0033639F">
        <w:rPr>
          <w:rFonts w:ascii="Arial" w:hAnsi="Arial" w:cs="Arial"/>
          <w:noProof/>
          <w:sz w:val="22"/>
          <w:szCs w:val="22"/>
        </w:rPr>
        <w:t>)</w:t>
      </w:r>
      <w:r w:rsidRPr="0033639F">
        <w:rPr>
          <w:rFonts w:ascii="Arial" w:hAnsi="Arial" w:cs="Arial"/>
          <w:sz w:val="22"/>
          <w:szCs w:val="22"/>
        </w:rPr>
        <w:t xml:space="preserve">. </w:t>
      </w:r>
    </w:p>
    <w:p w14:paraId="6DF273F2" w14:textId="77777777" w:rsidR="007B1523" w:rsidRPr="0033639F" w:rsidRDefault="007B1523" w:rsidP="0033639F">
      <w:pPr>
        <w:spacing w:line="276" w:lineRule="auto"/>
        <w:rPr>
          <w:rFonts w:ascii="Arial" w:hAnsi="Arial" w:cs="Arial"/>
          <w:sz w:val="22"/>
          <w:szCs w:val="22"/>
        </w:rPr>
      </w:pPr>
    </w:p>
    <w:p w14:paraId="75E2E1F6" w14:textId="29D06D6D" w:rsidR="00803B01" w:rsidRDefault="00803B01" w:rsidP="0033639F">
      <w:pPr>
        <w:spacing w:line="276" w:lineRule="auto"/>
        <w:rPr>
          <w:rFonts w:ascii="Arial" w:hAnsi="Arial" w:cs="Arial"/>
          <w:sz w:val="22"/>
          <w:szCs w:val="22"/>
        </w:rPr>
      </w:pPr>
      <w:r w:rsidRPr="0033639F">
        <w:rPr>
          <w:rFonts w:ascii="Arial" w:hAnsi="Arial" w:cs="Arial"/>
          <w:sz w:val="22"/>
          <w:szCs w:val="22"/>
        </w:rPr>
        <w:t>In humans, the extracellular portion of GHR is enzymatically cleaved and functions as the GH-Binding Protein (GHBP)</w:t>
      </w:r>
      <w:r w:rsidRPr="0033639F">
        <w:rPr>
          <w:rFonts w:ascii="Arial" w:hAnsi="Arial" w:cs="Arial"/>
          <w:noProof/>
          <w:sz w:val="22"/>
          <w:szCs w:val="22"/>
        </w:rPr>
        <w:t xml:space="preserve"> </w:t>
      </w:r>
      <w:r w:rsidR="00212A41" w:rsidRPr="0033639F">
        <w:rPr>
          <w:rFonts w:ascii="Arial" w:hAnsi="Arial" w:cs="Arial"/>
          <w:noProof/>
          <w:sz w:val="22"/>
          <w:szCs w:val="22"/>
        </w:rPr>
        <w:t>(9</w:t>
      </w:r>
      <w:r w:rsidR="008D740F" w:rsidRPr="0033639F">
        <w:rPr>
          <w:rFonts w:ascii="Arial" w:hAnsi="Arial" w:cs="Arial"/>
          <w:noProof/>
          <w:sz w:val="22"/>
          <w:szCs w:val="22"/>
        </w:rPr>
        <w:t>9</w:t>
      </w:r>
      <w:r w:rsidR="00212A41"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GHBP presumably serves to maintain GH in an inactive form in the circulation and to prolong the half-life of GH. Serum levels of GHBP are therefore used as a surrogate marker for the presence of GHR, and abnormal levels-both elevated and decreased-may indicate abnormality in the GHR</w:t>
      </w:r>
      <w:r w:rsidR="00212A41" w:rsidRPr="0033639F">
        <w:rPr>
          <w:rFonts w:ascii="Arial" w:hAnsi="Arial" w:cs="Arial"/>
          <w:sz w:val="22"/>
          <w:szCs w:val="22"/>
        </w:rPr>
        <w:t xml:space="preserve"> </w:t>
      </w:r>
      <w:r w:rsidR="00212A41" w:rsidRPr="0033639F">
        <w:rPr>
          <w:rFonts w:ascii="Arial" w:hAnsi="Arial" w:cs="Arial"/>
          <w:noProof/>
          <w:sz w:val="22"/>
          <w:szCs w:val="22"/>
        </w:rPr>
        <w:t>(</w:t>
      </w:r>
      <w:r w:rsidR="008D740F" w:rsidRPr="0033639F">
        <w:rPr>
          <w:rFonts w:ascii="Arial" w:hAnsi="Arial" w:cs="Arial"/>
          <w:noProof/>
          <w:sz w:val="22"/>
          <w:szCs w:val="22"/>
        </w:rPr>
        <w:t>100</w:t>
      </w:r>
      <w:r w:rsidR="00212A41" w:rsidRPr="0033639F">
        <w:rPr>
          <w:rFonts w:ascii="Arial" w:hAnsi="Arial" w:cs="Arial"/>
          <w:noProof/>
          <w:sz w:val="22"/>
          <w:szCs w:val="22"/>
        </w:rPr>
        <w:t>,</w:t>
      </w:r>
      <w:r w:rsidR="008D740F" w:rsidRPr="0033639F">
        <w:rPr>
          <w:rFonts w:ascii="Arial" w:hAnsi="Arial" w:cs="Arial"/>
          <w:noProof/>
          <w:sz w:val="22"/>
          <w:szCs w:val="22"/>
        </w:rPr>
        <w:t>101</w:t>
      </w:r>
      <w:r w:rsidR="00212A41" w:rsidRPr="0033639F">
        <w:rPr>
          <w:rFonts w:ascii="Arial" w:hAnsi="Arial" w:cs="Arial"/>
          <w:noProof/>
          <w:sz w:val="22"/>
          <w:szCs w:val="22"/>
        </w:rPr>
        <w:t>)</w:t>
      </w:r>
      <w:r w:rsidRPr="0033639F">
        <w:rPr>
          <w:rFonts w:ascii="Arial" w:hAnsi="Arial" w:cs="Arial"/>
          <w:sz w:val="22"/>
          <w:szCs w:val="22"/>
        </w:rPr>
        <w:t xml:space="preserve">. Of note is that mutations have also been described in individuals with 'normal' GHBP levels. GHI secondary to GHR mutations are mostly autosomal recessive mutations, but dominant negative mutations have also been described. Individuals with heterozygote mutations in </w:t>
      </w:r>
      <w:r w:rsidRPr="0033639F">
        <w:rPr>
          <w:rFonts w:ascii="Arial" w:hAnsi="Arial" w:cs="Arial"/>
          <w:i/>
          <w:iCs/>
          <w:sz w:val="22"/>
          <w:szCs w:val="22"/>
        </w:rPr>
        <w:t>GHR</w:t>
      </w:r>
      <w:r w:rsidRPr="0033639F">
        <w:rPr>
          <w:rFonts w:ascii="Arial" w:hAnsi="Arial" w:cs="Arial"/>
          <w:sz w:val="22"/>
          <w:szCs w:val="22"/>
        </w:rPr>
        <w:t xml:space="preserve"> may present with significant short stature</w:t>
      </w:r>
      <w:r w:rsidR="00212A41" w:rsidRPr="0033639F">
        <w:rPr>
          <w:rFonts w:ascii="Arial" w:hAnsi="Arial" w:cs="Arial"/>
          <w:sz w:val="22"/>
          <w:szCs w:val="22"/>
        </w:rPr>
        <w:t xml:space="preserve"> </w:t>
      </w:r>
      <w:r w:rsidR="00212A41" w:rsidRPr="0033639F">
        <w:rPr>
          <w:rFonts w:ascii="Arial" w:hAnsi="Arial" w:cs="Arial"/>
          <w:noProof/>
          <w:sz w:val="22"/>
          <w:szCs w:val="22"/>
        </w:rPr>
        <w:t>(</w:t>
      </w:r>
      <w:r w:rsidR="0052507E" w:rsidRPr="0033639F">
        <w:rPr>
          <w:rFonts w:ascii="Arial" w:hAnsi="Arial" w:cs="Arial"/>
          <w:noProof/>
          <w:sz w:val="22"/>
          <w:szCs w:val="22"/>
        </w:rPr>
        <w:t>102</w:t>
      </w:r>
      <w:r w:rsidR="00212A41" w:rsidRPr="0033639F">
        <w:rPr>
          <w:rFonts w:ascii="Arial" w:hAnsi="Arial" w:cs="Arial"/>
          <w:noProof/>
          <w:sz w:val="22"/>
          <w:szCs w:val="22"/>
        </w:rPr>
        <w:t>)</w:t>
      </w:r>
      <w:hyperlink w:anchor="_ENREF_96" w:tooltip="Woods, 1997 #216" w:history="1"/>
      <w:r w:rsidRPr="0033639F">
        <w:rPr>
          <w:rFonts w:ascii="Arial" w:hAnsi="Arial" w:cs="Arial"/>
          <w:sz w:val="22"/>
          <w:szCs w:val="22"/>
        </w:rPr>
        <w:t xml:space="preserve">. Mutations in </w:t>
      </w:r>
      <w:r w:rsidRPr="0033639F">
        <w:rPr>
          <w:rFonts w:ascii="Arial" w:hAnsi="Arial" w:cs="Arial"/>
          <w:i/>
          <w:iCs/>
          <w:sz w:val="22"/>
          <w:szCs w:val="22"/>
        </w:rPr>
        <w:t>GHR</w:t>
      </w:r>
      <w:r w:rsidRPr="0033639F">
        <w:rPr>
          <w:rFonts w:ascii="Arial" w:hAnsi="Arial" w:cs="Arial"/>
          <w:sz w:val="22"/>
          <w:szCs w:val="22"/>
        </w:rPr>
        <w:t xml:space="preserve"> have also been associated with idiopathic short stature (ISS)</w:t>
      </w:r>
      <w:r w:rsidR="00212A41" w:rsidRPr="0033639F">
        <w:rPr>
          <w:rFonts w:ascii="Arial" w:hAnsi="Arial" w:cs="Arial"/>
          <w:sz w:val="22"/>
          <w:szCs w:val="22"/>
        </w:rPr>
        <w:t xml:space="preserve"> </w:t>
      </w:r>
      <w:r w:rsidR="00212A41" w:rsidRPr="0033639F">
        <w:rPr>
          <w:rFonts w:ascii="Arial" w:hAnsi="Arial" w:cs="Arial"/>
          <w:noProof/>
          <w:sz w:val="22"/>
          <w:szCs w:val="22"/>
        </w:rPr>
        <w:t>(</w:t>
      </w:r>
      <w:r w:rsidR="008D740F" w:rsidRPr="0033639F">
        <w:rPr>
          <w:rFonts w:ascii="Arial" w:hAnsi="Arial" w:cs="Arial"/>
          <w:noProof/>
          <w:sz w:val="22"/>
          <w:szCs w:val="22"/>
        </w:rPr>
        <w:t>103</w:t>
      </w:r>
      <w:r w:rsidR="00212A41" w:rsidRPr="0033639F">
        <w:rPr>
          <w:rFonts w:ascii="Arial" w:hAnsi="Arial" w:cs="Arial"/>
          <w:noProof/>
          <w:sz w:val="22"/>
          <w:szCs w:val="22"/>
        </w:rPr>
        <w:t>–10</w:t>
      </w:r>
      <w:r w:rsidR="008D740F" w:rsidRPr="0033639F">
        <w:rPr>
          <w:rFonts w:ascii="Arial" w:hAnsi="Arial" w:cs="Arial"/>
          <w:noProof/>
          <w:sz w:val="22"/>
          <w:szCs w:val="22"/>
        </w:rPr>
        <w:t>5</w:t>
      </w:r>
      <w:r w:rsidR="00212A41" w:rsidRPr="0033639F">
        <w:rPr>
          <w:rFonts w:ascii="Arial" w:hAnsi="Arial" w:cs="Arial"/>
          <w:noProof/>
          <w:sz w:val="22"/>
          <w:szCs w:val="22"/>
        </w:rPr>
        <w:t>)</w:t>
      </w:r>
      <w:hyperlink w:anchor="_ENREF_97" w:tooltip="Abuzzahab, 2003 #29" w:history="1"/>
      <w:r w:rsidRPr="0033639F">
        <w:rPr>
          <w:rFonts w:ascii="Arial" w:hAnsi="Arial" w:cs="Arial"/>
          <w:sz w:val="22"/>
          <w:szCs w:val="22"/>
        </w:rPr>
        <w:t xml:space="preserve">. The </w:t>
      </w:r>
      <w:r w:rsidRPr="0033639F">
        <w:rPr>
          <w:rFonts w:ascii="Arial" w:hAnsi="Arial" w:cs="Arial"/>
          <w:sz w:val="22"/>
          <w:szCs w:val="22"/>
        </w:rPr>
        <w:lastRenderedPageBreak/>
        <w:t xml:space="preserve">original reports of </w:t>
      </w:r>
      <w:r w:rsidRPr="0033639F">
        <w:rPr>
          <w:rFonts w:ascii="Arial" w:hAnsi="Arial" w:cs="Arial"/>
          <w:i/>
          <w:iCs/>
          <w:sz w:val="22"/>
          <w:szCs w:val="22"/>
        </w:rPr>
        <w:t>GHR</w:t>
      </w:r>
      <w:r w:rsidRPr="0033639F">
        <w:rPr>
          <w:rFonts w:ascii="Arial" w:hAnsi="Arial" w:cs="Arial"/>
          <w:sz w:val="22"/>
          <w:szCs w:val="22"/>
        </w:rPr>
        <w:t xml:space="preserve"> mutation described limited elbow extension and blue sclera, but these findings are not universal. </w:t>
      </w:r>
    </w:p>
    <w:p w14:paraId="68EB2B52" w14:textId="77777777" w:rsidR="007B1523" w:rsidRPr="0033639F" w:rsidRDefault="007B1523" w:rsidP="0033639F">
      <w:pPr>
        <w:spacing w:line="276" w:lineRule="auto"/>
        <w:rPr>
          <w:rFonts w:ascii="Arial" w:hAnsi="Arial" w:cs="Arial"/>
          <w:sz w:val="22"/>
          <w:szCs w:val="22"/>
        </w:rPr>
      </w:pPr>
    </w:p>
    <w:p w14:paraId="1C038105" w14:textId="5AE2A4D4"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Many genetic abnormalities have been described in </w:t>
      </w:r>
      <w:r w:rsidRPr="0033639F">
        <w:rPr>
          <w:rFonts w:ascii="Arial" w:hAnsi="Arial" w:cs="Arial"/>
          <w:i/>
          <w:iCs/>
          <w:sz w:val="22"/>
          <w:szCs w:val="22"/>
        </w:rPr>
        <w:t>GHR</w:t>
      </w:r>
      <w:r w:rsidRPr="0033639F">
        <w:rPr>
          <w:rFonts w:ascii="Arial" w:hAnsi="Arial" w:cs="Arial"/>
          <w:sz w:val="22"/>
          <w:szCs w:val="22"/>
        </w:rPr>
        <w:t xml:space="preserve">, including nonsense mutations, missense mutations, macrodeletions, microdeletions and splice site changes. Of the latter, one of the most interesting is the "E180E" mutation, wherein an exonic adenosine is converted to a guanine, converting </w:t>
      </w:r>
      <w:r w:rsidR="00BA35BB" w:rsidRPr="0033639F">
        <w:rPr>
          <w:rFonts w:ascii="Arial" w:hAnsi="Arial" w:cs="Arial"/>
          <w:sz w:val="22"/>
          <w:szCs w:val="22"/>
        </w:rPr>
        <w:t xml:space="preserve">GAA </w:t>
      </w:r>
      <w:r w:rsidR="00BA35BB" w:rsidRPr="0033639F">
        <w:rPr>
          <w:rFonts w:ascii="Arial" w:hAnsi="Arial" w:cs="Arial"/>
          <w:color w:val="000000" w:themeColor="text1"/>
          <w:sz w:val="22"/>
          <w:szCs w:val="22"/>
        </w:rPr>
        <w:t>to</w:t>
      </w:r>
      <w:r w:rsidRPr="0033639F">
        <w:rPr>
          <w:rFonts w:ascii="Arial" w:hAnsi="Arial" w:cs="Arial"/>
          <w:color w:val="000000" w:themeColor="text1"/>
          <w:sz w:val="22"/>
          <w:szCs w:val="22"/>
        </w:rPr>
        <w:t xml:space="preserve"> </w:t>
      </w:r>
      <w:r w:rsidRPr="0033639F">
        <w:rPr>
          <w:rFonts w:ascii="Arial" w:hAnsi="Arial" w:cs="Arial"/>
          <w:sz w:val="22"/>
          <w:szCs w:val="22"/>
        </w:rPr>
        <w:t xml:space="preserve">GAG, which would be predicted to </w:t>
      </w:r>
      <w:r w:rsidRPr="0033639F">
        <w:rPr>
          <w:rFonts w:ascii="Arial" w:hAnsi="Arial" w:cs="Arial"/>
          <w:i/>
          <w:iCs/>
          <w:sz w:val="22"/>
          <w:szCs w:val="22"/>
        </w:rPr>
        <w:t>not</w:t>
      </w:r>
      <w:r w:rsidRPr="0033639F">
        <w:rPr>
          <w:rFonts w:ascii="Arial" w:hAnsi="Arial" w:cs="Arial"/>
          <w:sz w:val="22"/>
          <w:szCs w:val="22"/>
        </w:rPr>
        <w:t xml:space="preserve"> change the amino acid structure of GHR (both GAA and GAG encode glutamic acid). On this basis, this "silent polymorphism" would be expected to have no phenotype, but in reality, causes GH resistance and extreme short stature by activation of a cryptic splice site. This mutation was noted in Loja and El Oro, Ecuador in two large cohorts. This identical mutation has also been identified in Jews of Moroccan descent, suggesting that this mutation </w:t>
      </w:r>
      <w:r w:rsidR="00400B6F" w:rsidRPr="0033639F">
        <w:rPr>
          <w:rFonts w:ascii="Arial" w:hAnsi="Arial" w:cs="Arial"/>
          <w:sz w:val="22"/>
          <w:szCs w:val="22"/>
        </w:rPr>
        <w:t>dates to</w:t>
      </w:r>
      <w:r w:rsidRPr="0033639F">
        <w:rPr>
          <w:rFonts w:ascii="Arial" w:hAnsi="Arial" w:cs="Arial"/>
          <w:sz w:val="22"/>
          <w:szCs w:val="22"/>
        </w:rPr>
        <w:t xml:space="preserve"> at least the 1400’s and that the Ecuadorian cohorts, therefore, </w:t>
      </w:r>
      <w:r w:rsidR="00BA35BB" w:rsidRPr="0033639F">
        <w:rPr>
          <w:rFonts w:ascii="Arial" w:hAnsi="Arial" w:cs="Arial"/>
          <w:color w:val="000000" w:themeColor="text1"/>
          <w:sz w:val="22"/>
          <w:szCs w:val="22"/>
        </w:rPr>
        <w:t xml:space="preserve">likely </w:t>
      </w:r>
      <w:r w:rsidRPr="0033639F">
        <w:rPr>
          <w:rFonts w:ascii="Arial" w:hAnsi="Arial" w:cs="Arial"/>
          <w:sz w:val="22"/>
          <w:szCs w:val="22"/>
        </w:rPr>
        <w:t>represent Sephardic Jews who left Spain around the time of the Inquisition at the end of the fifteenth century, CE</w:t>
      </w:r>
      <w:r w:rsidR="00CC77FE" w:rsidRPr="0033639F">
        <w:rPr>
          <w:rFonts w:ascii="Arial" w:hAnsi="Arial" w:cs="Arial"/>
          <w:sz w:val="22"/>
          <w:szCs w:val="22"/>
        </w:rPr>
        <w:t xml:space="preserve"> </w:t>
      </w:r>
      <w:r w:rsidR="00CC77FE" w:rsidRPr="0033639F">
        <w:rPr>
          <w:rFonts w:ascii="Arial" w:hAnsi="Arial" w:cs="Arial"/>
          <w:noProof/>
          <w:sz w:val="22"/>
          <w:szCs w:val="22"/>
        </w:rPr>
        <w:t>(10</w:t>
      </w:r>
      <w:r w:rsidR="008D740F" w:rsidRPr="0033639F">
        <w:rPr>
          <w:rFonts w:ascii="Arial" w:hAnsi="Arial" w:cs="Arial"/>
          <w:noProof/>
          <w:sz w:val="22"/>
          <w:szCs w:val="22"/>
        </w:rPr>
        <w:t>6</w:t>
      </w:r>
      <w:r w:rsidR="00CC77FE" w:rsidRPr="0033639F">
        <w:rPr>
          <w:rFonts w:ascii="Arial" w:hAnsi="Arial" w:cs="Arial"/>
          <w:noProof/>
          <w:sz w:val="22"/>
          <w:szCs w:val="22"/>
        </w:rPr>
        <w:t>)</w:t>
      </w:r>
      <w:r w:rsidRPr="0033639F">
        <w:rPr>
          <w:rFonts w:ascii="Arial" w:hAnsi="Arial" w:cs="Arial"/>
          <w:sz w:val="22"/>
          <w:szCs w:val="22"/>
        </w:rPr>
        <w:t>. Another splice site mutation at position 785-3 (C&gt;A in the intron 7) was recently described in a patient and mother with short stature and extremely elevated GHBP</w:t>
      </w:r>
      <w:r w:rsidR="00CC77FE" w:rsidRPr="0033639F">
        <w:rPr>
          <w:rFonts w:ascii="Arial" w:hAnsi="Arial" w:cs="Arial"/>
          <w:sz w:val="22"/>
          <w:szCs w:val="22"/>
        </w:rPr>
        <w:t xml:space="preserve"> </w:t>
      </w:r>
      <w:r w:rsidR="00CC77FE" w:rsidRPr="0033639F">
        <w:rPr>
          <w:rFonts w:ascii="Arial" w:hAnsi="Arial" w:cs="Arial"/>
          <w:noProof/>
          <w:sz w:val="22"/>
          <w:szCs w:val="22"/>
        </w:rPr>
        <w:t>(10</w:t>
      </w:r>
      <w:r w:rsidR="008D740F" w:rsidRPr="0033639F">
        <w:rPr>
          <w:rFonts w:ascii="Arial" w:hAnsi="Arial" w:cs="Arial"/>
          <w:noProof/>
          <w:sz w:val="22"/>
          <w:szCs w:val="22"/>
        </w:rPr>
        <w:t>7</w:t>
      </w:r>
      <w:r w:rsidR="00CC77FE" w:rsidRPr="0033639F">
        <w:rPr>
          <w:rFonts w:ascii="Arial" w:hAnsi="Arial" w:cs="Arial"/>
          <w:noProof/>
          <w:sz w:val="22"/>
          <w:szCs w:val="22"/>
        </w:rPr>
        <w:t>)</w:t>
      </w:r>
      <w:r w:rsidRPr="0033639F">
        <w:rPr>
          <w:rFonts w:ascii="Arial" w:hAnsi="Arial" w:cs="Arial"/>
          <w:sz w:val="22"/>
          <w:szCs w:val="22"/>
        </w:rPr>
        <w:t>. The consequence of this novel mutation is a truncated GHR which lacks the transmembrane domain (encoded by exon 8) and the cytoplasmic domain. It was hypothesized by the authors that this GHR variant cannot attach to the cell membrane, and the continual secretion into the circulation results in the elevated levels of serum GHBP detected in the patient and his mother. The presence of the wild-type GHR allele presumably permits some level of normal GH-induced action.</w:t>
      </w:r>
    </w:p>
    <w:p w14:paraId="43C541AF" w14:textId="77777777" w:rsidR="007B1523" w:rsidRPr="0033639F" w:rsidRDefault="007B1523" w:rsidP="0033639F">
      <w:pPr>
        <w:spacing w:line="276" w:lineRule="auto"/>
        <w:rPr>
          <w:rFonts w:ascii="Arial" w:hAnsi="Arial" w:cs="Arial"/>
          <w:sz w:val="22"/>
          <w:szCs w:val="22"/>
        </w:rPr>
      </w:pPr>
    </w:p>
    <w:p w14:paraId="4D7970F6" w14:textId="77777777" w:rsidR="00803B01" w:rsidRPr="007B1523" w:rsidRDefault="00803B01" w:rsidP="007B1523">
      <w:pPr>
        <w:rPr>
          <w:rFonts w:ascii="Arial" w:hAnsi="Arial" w:cs="Arial"/>
          <w:b/>
          <w:bCs/>
          <w:sz w:val="22"/>
          <w:szCs w:val="22"/>
        </w:rPr>
      </w:pPr>
      <w:bookmarkStart w:id="24" w:name="id2507088"/>
      <w:bookmarkEnd w:id="24"/>
      <w:r w:rsidRPr="007B1523">
        <w:rPr>
          <w:rFonts w:ascii="Arial" w:hAnsi="Arial" w:cs="Arial"/>
          <w:b/>
          <w:bCs/>
          <w:color w:val="00B050"/>
          <w:sz w:val="22"/>
          <w:szCs w:val="22"/>
        </w:rPr>
        <w:t>Insulin-Like Growth Factor 1 (IGF1)</w:t>
      </w:r>
    </w:p>
    <w:p w14:paraId="1CA4312C" w14:textId="77777777" w:rsidR="007B1523" w:rsidRDefault="007B1523" w:rsidP="0033639F">
      <w:pPr>
        <w:spacing w:line="276" w:lineRule="auto"/>
        <w:rPr>
          <w:rFonts w:ascii="Arial" w:hAnsi="Arial" w:cs="Arial"/>
          <w:sz w:val="22"/>
          <w:szCs w:val="22"/>
        </w:rPr>
      </w:pPr>
    </w:p>
    <w:p w14:paraId="225C5136" w14:textId="047B1514" w:rsidR="00770D0A" w:rsidRDefault="00803B01" w:rsidP="0033639F">
      <w:pPr>
        <w:spacing w:line="276" w:lineRule="auto"/>
        <w:rPr>
          <w:rFonts w:ascii="Arial" w:hAnsi="Arial" w:cs="Arial"/>
          <w:color w:val="212121"/>
          <w:sz w:val="22"/>
          <w:szCs w:val="22"/>
          <w:shd w:val="clear" w:color="auto" w:fill="FFFFFF"/>
        </w:rPr>
      </w:pPr>
      <w:r w:rsidRPr="0033639F">
        <w:rPr>
          <w:rFonts w:ascii="Arial" w:hAnsi="Arial" w:cs="Arial"/>
          <w:sz w:val="22"/>
          <w:szCs w:val="22"/>
        </w:rPr>
        <w:t xml:space="preserve">Many of growth hormone's </w:t>
      </w:r>
      <w:r w:rsidR="0078035B" w:rsidRPr="0033639F">
        <w:rPr>
          <w:rFonts w:ascii="Arial" w:hAnsi="Arial" w:cs="Arial"/>
          <w:sz w:val="22"/>
          <w:szCs w:val="22"/>
        </w:rPr>
        <w:t>physiological</w:t>
      </w:r>
      <w:r w:rsidRPr="0033639F">
        <w:rPr>
          <w:rFonts w:ascii="Arial" w:hAnsi="Arial" w:cs="Arial"/>
          <w:sz w:val="22"/>
          <w:szCs w:val="22"/>
        </w:rPr>
        <w:t xml:space="preserve"> actions are mediated through the insulin-like growth factor, IGF1 (formerly referred to as somatomedin C). Serum IGF1 levels are commonly measured as a surrogate marker of GH status since IGF1 displays minimal circadian fluctuation in serum concentration. IGF1 plays a critical role in both prenatal and postnatal growth, signaling through the IGF1 as well as the insulin receptor</w:t>
      </w:r>
      <w:r w:rsidR="00AA1AFA" w:rsidRPr="0033639F">
        <w:rPr>
          <w:rFonts w:ascii="Arial" w:hAnsi="Arial" w:cs="Arial"/>
          <w:sz w:val="22"/>
          <w:szCs w:val="22"/>
        </w:rPr>
        <w:t>s</w:t>
      </w:r>
      <w:r w:rsidR="0062352E" w:rsidRPr="0033639F">
        <w:rPr>
          <w:rFonts w:ascii="Arial" w:hAnsi="Arial" w:cs="Arial"/>
          <w:sz w:val="22"/>
          <w:szCs w:val="22"/>
        </w:rPr>
        <w:t xml:space="preserve"> (Table 5)</w:t>
      </w:r>
      <w:r w:rsidRPr="0033639F">
        <w:rPr>
          <w:rFonts w:ascii="Arial" w:hAnsi="Arial" w:cs="Arial"/>
          <w:sz w:val="22"/>
          <w:szCs w:val="22"/>
        </w:rPr>
        <w:t>. IGF1 circulates as a ternary complex consisting of IGF1, IG</w:t>
      </w:r>
      <w:r w:rsidR="00AA4C2C" w:rsidRPr="0033639F">
        <w:rPr>
          <w:rFonts w:ascii="Arial" w:hAnsi="Arial" w:cs="Arial"/>
          <w:sz w:val="22"/>
          <w:szCs w:val="22"/>
        </w:rPr>
        <w:t>F</w:t>
      </w:r>
      <w:r w:rsidRPr="0033639F">
        <w:rPr>
          <w:rFonts w:ascii="Arial" w:hAnsi="Arial" w:cs="Arial"/>
          <w:sz w:val="22"/>
          <w:szCs w:val="22"/>
        </w:rPr>
        <w:t>BP3</w:t>
      </w:r>
      <w:r w:rsidR="00646E21" w:rsidRPr="0033639F">
        <w:rPr>
          <w:rFonts w:ascii="Arial" w:hAnsi="Arial" w:cs="Arial"/>
          <w:sz w:val="22"/>
          <w:szCs w:val="22"/>
        </w:rPr>
        <w:t>,</w:t>
      </w:r>
      <w:r w:rsidRPr="0033639F">
        <w:rPr>
          <w:rFonts w:ascii="Arial" w:hAnsi="Arial" w:cs="Arial"/>
          <w:sz w:val="22"/>
          <w:szCs w:val="22"/>
        </w:rPr>
        <w:t xml:space="preserve"> and ALS. </w:t>
      </w:r>
      <w:r w:rsidR="00D35F74" w:rsidRPr="0033639F">
        <w:rPr>
          <w:rFonts w:ascii="Arial" w:hAnsi="Arial" w:cs="Arial"/>
          <w:sz w:val="22"/>
          <w:szCs w:val="22"/>
        </w:rPr>
        <w:t xml:space="preserve">IGF bioavailability is regulated by a </w:t>
      </w:r>
      <w:r w:rsidR="003D660C" w:rsidRPr="0033639F">
        <w:rPr>
          <w:rFonts w:ascii="Arial" w:hAnsi="Arial" w:cs="Arial"/>
          <w:sz w:val="22"/>
          <w:szCs w:val="22"/>
        </w:rPr>
        <w:t>metallo</w:t>
      </w:r>
      <w:r w:rsidR="00D35F74" w:rsidRPr="0033639F">
        <w:rPr>
          <w:rFonts w:ascii="Arial" w:hAnsi="Arial" w:cs="Arial"/>
          <w:sz w:val="22"/>
          <w:szCs w:val="22"/>
        </w:rPr>
        <w:t>protease</w:t>
      </w:r>
      <w:r w:rsidR="00AA1AFA" w:rsidRPr="0033639F">
        <w:rPr>
          <w:rFonts w:ascii="Arial" w:hAnsi="Arial" w:cs="Arial"/>
          <w:sz w:val="22"/>
          <w:szCs w:val="22"/>
        </w:rPr>
        <w:t xml:space="preserve"> termed</w:t>
      </w:r>
      <w:r w:rsidR="00D35F74" w:rsidRPr="0033639F">
        <w:rPr>
          <w:rFonts w:ascii="Arial" w:hAnsi="Arial" w:cs="Arial"/>
          <w:sz w:val="22"/>
          <w:szCs w:val="22"/>
        </w:rPr>
        <w:t xml:space="preserve"> </w:t>
      </w:r>
      <w:r w:rsidR="00AA1AFA" w:rsidRPr="0033639F">
        <w:rPr>
          <w:rFonts w:ascii="Arial" w:hAnsi="Arial" w:cs="Arial"/>
          <w:sz w:val="22"/>
          <w:szCs w:val="22"/>
        </w:rPr>
        <w:t>‘</w:t>
      </w:r>
      <w:r w:rsidR="00D35F74" w:rsidRPr="0033639F">
        <w:rPr>
          <w:rFonts w:ascii="Arial" w:hAnsi="Arial" w:cs="Arial"/>
          <w:color w:val="1F1F1F"/>
          <w:sz w:val="22"/>
          <w:szCs w:val="22"/>
        </w:rPr>
        <w:t>pregnancy-associated plasma protein</w:t>
      </w:r>
      <w:r w:rsidR="007C12AF" w:rsidRPr="0033639F">
        <w:rPr>
          <w:rFonts w:ascii="Arial" w:hAnsi="Arial" w:cs="Arial"/>
          <w:color w:val="1F1F1F"/>
          <w:sz w:val="22"/>
          <w:szCs w:val="22"/>
        </w:rPr>
        <w:t>-</w:t>
      </w:r>
      <w:r w:rsidR="00D35F74" w:rsidRPr="0033639F">
        <w:rPr>
          <w:rFonts w:ascii="Arial" w:hAnsi="Arial" w:cs="Arial"/>
          <w:color w:val="1F1F1F"/>
          <w:sz w:val="22"/>
          <w:szCs w:val="22"/>
        </w:rPr>
        <w:t>A2</w:t>
      </w:r>
      <w:r w:rsidR="00AA1AFA" w:rsidRPr="0033639F">
        <w:rPr>
          <w:rFonts w:ascii="Arial" w:hAnsi="Arial" w:cs="Arial"/>
          <w:color w:val="1F1F1F"/>
          <w:sz w:val="22"/>
          <w:szCs w:val="22"/>
        </w:rPr>
        <w:t>’</w:t>
      </w:r>
      <w:r w:rsidR="00D35F74" w:rsidRPr="0033639F">
        <w:rPr>
          <w:rFonts w:ascii="Arial" w:hAnsi="Arial" w:cs="Arial"/>
          <w:color w:val="1F1F1F"/>
          <w:sz w:val="22"/>
          <w:szCs w:val="22"/>
        </w:rPr>
        <w:t xml:space="preserve"> (PAPPA2)</w:t>
      </w:r>
      <w:r w:rsidR="008D740F" w:rsidRPr="0033639F">
        <w:rPr>
          <w:rFonts w:ascii="Arial" w:hAnsi="Arial" w:cs="Arial"/>
          <w:color w:val="1F1F1F"/>
          <w:sz w:val="22"/>
          <w:szCs w:val="22"/>
        </w:rPr>
        <w:t xml:space="preserve"> (108).</w:t>
      </w:r>
      <w:r w:rsidR="00D35F74" w:rsidRPr="0033639F">
        <w:rPr>
          <w:rFonts w:ascii="Arial" w:hAnsi="Arial" w:cs="Arial"/>
          <w:color w:val="212121"/>
          <w:sz w:val="22"/>
          <w:szCs w:val="22"/>
          <w:shd w:val="clear" w:color="auto" w:fill="FFFFFF"/>
        </w:rPr>
        <w:t xml:space="preserve"> </w:t>
      </w:r>
      <w:r w:rsidR="00646E21" w:rsidRPr="0033639F">
        <w:rPr>
          <w:rFonts w:ascii="Arial" w:hAnsi="Arial" w:cs="Arial"/>
          <w:sz w:val="22"/>
          <w:szCs w:val="22"/>
        </w:rPr>
        <w:t xml:space="preserve">PAPPA2 cleaves </w:t>
      </w:r>
      <w:r w:rsidR="00646E21" w:rsidRPr="0033639F">
        <w:rPr>
          <w:rFonts w:ascii="Arial" w:hAnsi="Arial" w:cs="Arial"/>
          <w:color w:val="1B1B1B"/>
          <w:sz w:val="22"/>
          <w:szCs w:val="22"/>
          <w:shd w:val="clear" w:color="auto" w:fill="FFFFFF"/>
        </w:rPr>
        <w:t xml:space="preserve">IGFBP3 </w:t>
      </w:r>
      <w:r w:rsidR="00770D0A" w:rsidRPr="0033639F">
        <w:rPr>
          <w:rFonts w:ascii="Arial" w:hAnsi="Arial" w:cs="Arial"/>
          <w:color w:val="1B1B1B"/>
          <w:sz w:val="22"/>
          <w:szCs w:val="22"/>
          <w:shd w:val="clear" w:color="auto" w:fill="FFFFFF"/>
        </w:rPr>
        <w:t xml:space="preserve">or </w:t>
      </w:r>
      <w:r w:rsidR="00646E21" w:rsidRPr="0033639F">
        <w:rPr>
          <w:rFonts w:ascii="Arial" w:hAnsi="Arial" w:cs="Arial"/>
          <w:color w:val="1B1B1B"/>
          <w:sz w:val="22"/>
          <w:szCs w:val="22"/>
          <w:shd w:val="clear" w:color="auto" w:fill="FFFFFF"/>
        </w:rPr>
        <w:t xml:space="preserve">IGFBP5 </w:t>
      </w:r>
      <w:r w:rsidR="001C6204" w:rsidRPr="0033639F">
        <w:rPr>
          <w:rFonts w:ascii="Arial" w:hAnsi="Arial" w:cs="Arial"/>
          <w:color w:val="1B1B1B"/>
          <w:sz w:val="22"/>
          <w:szCs w:val="22"/>
          <w:shd w:val="clear" w:color="auto" w:fill="FFFFFF"/>
        </w:rPr>
        <w:t xml:space="preserve">to free </w:t>
      </w:r>
      <w:r w:rsidR="00646E21" w:rsidRPr="0033639F">
        <w:rPr>
          <w:rFonts w:ascii="Arial" w:hAnsi="Arial" w:cs="Arial"/>
          <w:color w:val="1B1B1B"/>
          <w:sz w:val="22"/>
          <w:szCs w:val="22"/>
          <w:shd w:val="clear" w:color="auto" w:fill="FFFFFF"/>
        </w:rPr>
        <w:t xml:space="preserve">IGF1 </w:t>
      </w:r>
      <w:r w:rsidR="001C6204" w:rsidRPr="0033639F">
        <w:rPr>
          <w:rFonts w:ascii="Arial" w:hAnsi="Arial" w:cs="Arial"/>
          <w:color w:val="1B1B1B"/>
          <w:sz w:val="22"/>
          <w:szCs w:val="22"/>
          <w:shd w:val="clear" w:color="auto" w:fill="FFFFFF"/>
        </w:rPr>
        <w:t>from its ternary complex</w:t>
      </w:r>
      <w:r w:rsidR="00DE78D2" w:rsidRPr="0033639F">
        <w:rPr>
          <w:rFonts w:ascii="Arial" w:hAnsi="Arial" w:cs="Arial"/>
          <w:color w:val="1B1B1B"/>
          <w:sz w:val="22"/>
          <w:szCs w:val="22"/>
          <w:shd w:val="clear" w:color="auto" w:fill="FFFFFF"/>
        </w:rPr>
        <w:t xml:space="preserve">, allowing </w:t>
      </w:r>
      <w:r w:rsidR="00AA1AFA" w:rsidRPr="0033639F">
        <w:rPr>
          <w:rFonts w:ascii="Arial" w:hAnsi="Arial" w:cs="Arial"/>
          <w:color w:val="1B1B1B"/>
          <w:sz w:val="22"/>
          <w:szCs w:val="22"/>
          <w:shd w:val="clear" w:color="auto" w:fill="FFFFFF"/>
        </w:rPr>
        <w:t xml:space="preserve">it </w:t>
      </w:r>
      <w:r w:rsidR="00DE78D2" w:rsidRPr="0033639F">
        <w:rPr>
          <w:rFonts w:ascii="Arial" w:hAnsi="Arial" w:cs="Arial"/>
          <w:color w:val="1B1B1B"/>
          <w:sz w:val="22"/>
          <w:szCs w:val="22"/>
          <w:shd w:val="clear" w:color="auto" w:fill="FFFFFF"/>
        </w:rPr>
        <w:t>to bind</w:t>
      </w:r>
      <w:r w:rsidR="00AA1AFA" w:rsidRPr="0033639F">
        <w:rPr>
          <w:rFonts w:ascii="Arial" w:hAnsi="Arial" w:cs="Arial"/>
          <w:color w:val="1B1B1B"/>
          <w:sz w:val="22"/>
          <w:szCs w:val="22"/>
          <w:shd w:val="clear" w:color="auto" w:fill="FFFFFF"/>
        </w:rPr>
        <w:t xml:space="preserve"> to</w:t>
      </w:r>
      <w:r w:rsidR="00DE78D2" w:rsidRPr="0033639F">
        <w:rPr>
          <w:rFonts w:ascii="Arial" w:hAnsi="Arial" w:cs="Arial"/>
          <w:color w:val="1B1B1B"/>
          <w:sz w:val="22"/>
          <w:szCs w:val="22"/>
          <w:shd w:val="clear" w:color="auto" w:fill="FFFFFF"/>
        </w:rPr>
        <w:t xml:space="preserve"> its target tissues</w:t>
      </w:r>
      <w:r w:rsidR="001C6204" w:rsidRPr="0033639F">
        <w:rPr>
          <w:rFonts w:ascii="Arial" w:hAnsi="Arial" w:cs="Arial"/>
          <w:color w:val="1B1B1B"/>
          <w:sz w:val="22"/>
          <w:szCs w:val="22"/>
          <w:shd w:val="clear" w:color="auto" w:fill="FFFFFF"/>
        </w:rPr>
        <w:t>.</w:t>
      </w:r>
      <w:r w:rsidR="00646E21" w:rsidRPr="0033639F">
        <w:rPr>
          <w:rFonts w:ascii="Arial" w:hAnsi="Arial" w:cs="Arial"/>
          <w:color w:val="1B1B1B"/>
          <w:sz w:val="22"/>
          <w:szCs w:val="22"/>
          <w:shd w:val="clear" w:color="auto" w:fill="FFFFFF"/>
        </w:rPr>
        <w:t> </w:t>
      </w:r>
      <w:r w:rsidR="00770D0A" w:rsidRPr="0033639F">
        <w:rPr>
          <w:rFonts w:ascii="Arial" w:hAnsi="Arial" w:cs="Arial"/>
          <w:color w:val="1B1B1B"/>
          <w:sz w:val="22"/>
          <w:szCs w:val="22"/>
          <w:shd w:val="clear" w:color="auto" w:fill="FFFFFF"/>
        </w:rPr>
        <w:t xml:space="preserve"> In addition to PAPPA2, </w:t>
      </w:r>
      <w:r w:rsidR="00770D0A" w:rsidRPr="0033639F">
        <w:rPr>
          <w:rFonts w:ascii="Arial" w:hAnsi="Arial" w:cs="Arial"/>
          <w:sz w:val="22"/>
          <w:szCs w:val="22"/>
        </w:rPr>
        <w:t>stanniocalcin-2 (STC2</w:t>
      </w:r>
      <w:r w:rsidR="00183EC0" w:rsidRPr="0033639F">
        <w:rPr>
          <w:rFonts w:ascii="Arial" w:hAnsi="Arial" w:cs="Arial"/>
          <w:sz w:val="22"/>
          <w:szCs w:val="22"/>
        </w:rPr>
        <w:t>)</w:t>
      </w:r>
      <w:r w:rsidR="00770D0A" w:rsidRPr="0033639F">
        <w:rPr>
          <w:rFonts w:ascii="Arial" w:hAnsi="Arial" w:cs="Arial"/>
          <w:sz w:val="22"/>
          <w:szCs w:val="22"/>
        </w:rPr>
        <w:t xml:space="preserve"> also plays a critical role i</w:t>
      </w:r>
      <w:r w:rsidR="00183EC0" w:rsidRPr="0033639F">
        <w:rPr>
          <w:rFonts w:ascii="Arial" w:hAnsi="Arial" w:cs="Arial"/>
          <w:sz w:val="22"/>
          <w:szCs w:val="22"/>
        </w:rPr>
        <w:t xml:space="preserve">n IGF1 bioavailability </w:t>
      </w:r>
      <w:r w:rsidR="00DE78D2" w:rsidRPr="0033639F">
        <w:rPr>
          <w:rFonts w:ascii="Arial" w:hAnsi="Arial" w:cs="Arial"/>
          <w:color w:val="212121"/>
          <w:sz w:val="22"/>
          <w:szCs w:val="22"/>
          <w:shd w:val="clear" w:color="auto" w:fill="FFFFFF"/>
        </w:rPr>
        <w:t>by inhibiting the proteolytic activity of PAPPA2</w:t>
      </w:r>
      <w:r w:rsidR="008D740F" w:rsidRPr="0033639F">
        <w:rPr>
          <w:rFonts w:ascii="Arial" w:hAnsi="Arial" w:cs="Arial"/>
          <w:color w:val="212121"/>
          <w:sz w:val="22"/>
          <w:szCs w:val="22"/>
          <w:shd w:val="clear" w:color="auto" w:fill="FFFFFF"/>
        </w:rPr>
        <w:t xml:space="preserve"> (109,110).</w:t>
      </w:r>
      <w:r w:rsidR="00DE78D2" w:rsidRPr="0033639F">
        <w:rPr>
          <w:rFonts w:ascii="Arial" w:hAnsi="Arial" w:cs="Arial"/>
          <w:color w:val="212121"/>
          <w:sz w:val="22"/>
          <w:szCs w:val="22"/>
          <w:shd w:val="clear" w:color="auto" w:fill="FFFFFF"/>
        </w:rPr>
        <w:t xml:space="preserve"> </w:t>
      </w:r>
    </w:p>
    <w:p w14:paraId="57CEA4C2" w14:textId="77777777" w:rsidR="007B1523" w:rsidRPr="0033639F" w:rsidRDefault="007B1523" w:rsidP="0033639F">
      <w:pPr>
        <w:spacing w:line="276" w:lineRule="auto"/>
        <w:rPr>
          <w:rFonts w:ascii="Arial" w:hAnsi="Arial" w:cs="Arial"/>
          <w:sz w:val="22"/>
          <w:szCs w:val="22"/>
        </w:rPr>
      </w:pPr>
    </w:p>
    <w:p w14:paraId="46EF6688" w14:textId="0C5A38DD"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The IGF1 gene is located on 12q22-24.1, consists of six exons and spans over 45 kb of genomic DNA (Figure </w:t>
      </w:r>
      <w:r w:rsidR="0062352E" w:rsidRPr="0033639F">
        <w:rPr>
          <w:rFonts w:ascii="Arial" w:hAnsi="Arial" w:cs="Arial"/>
          <w:sz w:val="22"/>
          <w:szCs w:val="22"/>
        </w:rPr>
        <w:t>19</w:t>
      </w:r>
      <w:r w:rsidRPr="0033639F">
        <w:rPr>
          <w:rFonts w:ascii="Arial" w:hAnsi="Arial" w:cs="Arial"/>
          <w:sz w:val="22"/>
          <w:szCs w:val="22"/>
        </w:rPr>
        <w:t xml:space="preserve">). Alternative splicing produces two distinct IGF1 transcripts, IGF1-A and IGF1-B. Woods </w:t>
      </w:r>
      <w:r w:rsidRPr="0033639F">
        <w:rPr>
          <w:rFonts w:ascii="Arial" w:hAnsi="Arial" w:cs="Arial"/>
          <w:i/>
          <w:iCs/>
          <w:sz w:val="22"/>
          <w:szCs w:val="22"/>
        </w:rPr>
        <w:t>et al</w:t>
      </w:r>
      <w:r w:rsidRPr="0033639F">
        <w:rPr>
          <w:rFonts w:ascii="Arial" w:hAnsi="Arial" w:cs="Arial"/>
          <w:sz w:val="22"/>
          <w:szCs w:val="22"/>
        </w:rPr>
        <w:t xml:space="preserve"> described a male of a consanguineous union with prenatal (intrauterine) and postnatal growth retardation, sensorineural deafness and mental retardation</w:t>
      </w:r>
      <w:r w:rsidR="00CC77FE" w:rsidRPr="0033639F">
        <w:rPr>
          <w:rFonts w:ascii="Arial" w:hAnsi="Arial" w:cs="Arial"/>
          <w:sz w:val="22"/>
          <w:szCs w:val="22"/>
        </w:rPr>
        <w:t xml:space="preserve"> </w:t>
      </w:r>
      <w:r w:rsidR="00CC77FE" w:rsidRPr="0033639F">
        <w:rPr>
          <w:rFonts w:ascii="Arial" w:hAnsi="Arial" w:cs="Arial"/>
          <w:noProof/>
          <w:sz w:val="22"/>
          <w:szCs w:val="22"/>
        </w:rPr>
        <w:t>(1</w:t>
      </w:r>
      <w:r w:rsidR="008D740F" w:rsidRPr="0033639F">
        <w:rPr>
          <w:rFonts w:ascii="Arial" w:hAnsi="Arial" w:cs="Arial"/>
          <w:noProof/>
          <w:sz w:val="22"/>
          <w:szCs w:val="22"/>
        </w:rPr>
        <w:t>11</w:t>
      </w:r>
      <w:r w:rsidR="00CC77FE" w:rsidRPr="0033639F">
        <w:rPr>
          <w:rFonts w:ascii="Arial" w:hAnsi="Arial" w:cs="Arial"/>
          <w:noProof/>
          <w:sz w:val="22"/>
          <w:szCs w:val="22"/>
        </w:rPr>
        <w:t>)</w:t>
      </w:r>
      <w:r w:rsidRPr="0033639F">
        <w:rPr>
          <w:rFonts w:ascii="Arial" w:hAnsi="Arial" w:cs="Arial"/>
          <w:sz w:val="22"/>
          <w:szCs w:val="22"/>
        </w:rPr>
        <w:t>. DNA analysis showed a homozygous partial deletion of the IGF1 gene</w:t>
      </w:r>
      <w:r w:rsidR="00CC77FE" w:rsidRPr="0033639F">
        <w:rPr>
          <w:rFonts w:ascii="Arial" w:hAnsi="Arial" w:cs="Arial"/>
          <w:sz w:val="22"/>
          <w:szCs w:val="22"/>
        </w:rPr>
        <w:t xml:space="preserve"> </w:t>
      </w:r>
      <w:r w:rsidR="006543BC" w:rsidRPr="0033639F">
        <w:rPr>
          <w:rFonts w:ascii="Arial" w:hAnsi="Arial" w:cs="Arial"/>
          <w:noProof/>
          <w:sz w:val="22"/>
          <w:szCs w:val="22"/>
        </w:rPr>
        <w:t>(1</w:t>
      </w:r>
      <w:r w:rsidR="008D740F" w:rsidRPr="0033639F">
        <w:rPr>
          <w:rFonts w:ascii="Arial" w:hAnsi="Arial" w:cs="Arial"/>
          <w:noProof/>
          <w:sz w:val="22"/>
          <w:szCs w:val="22"/>
        </w:rPr>
        <w:t>11</w:t>
      </w:r>
      <w:r w:rsidR="006543BC" w:rsidRPr="0033639F">
        <w:rPr>
          <w:rFonts w:ascii="Arial" w:hAnsi="Arial" w:cs="Arial"/>
          <w:noProof/>
          <w:sz w:val="22"/>
          <w:szCs w:val="22"/>
        </w:rPr>
        <w:t>,1</w:t>
      </w:r>
      <w:r w:rsidR="008D740F" w:rsidRPr="0033639F">
        <w:rPr>
          <w:rFonts w:ascii="Arial" w:hAnsi="Arial" w:cs="Arial"/>
          <w:noProof/>
          <w:sz w:val="22"/>
          <w:szCs w:val="22"/>
        </w:rPr>
        <w:t>12</w:t>
      </w:r>
      <w:r w:rsidR="006543BC" w:rsidRPr="0033639F">
        <w:rPr>
          <w:rFonts w:ascii="Arial" w:hAnsi="Arial" w:cs="Arial"/>
          <w:noProof/>
          <w:sz w:val="22"/>
          <w:szCs w:val="22"/>
        </w:rPr>
        <w:t>)</w:t>
      </w:r>
      <w:r w:rsidRPr="0033639F">
        <w:rPr>
          <w:rFonts w:ascii="Arial" w:hAnsi="Arial" w:cs="Arial"/>
          <w:sz w:val="22"/>
          <w:szCs w:val="22"/>
        </w:rPr>
        <w:t>. Subsequently, additional cases have been described</w:t>
      </w:r>
      <w:r w:rsidRPr="0033639F">
        <w:rPr>
          <w:rFonts w:ascii="Arial" w:hAnsi="Arial" w:cs="Arial"/>
          <w:noProof/>
          <w:sz w:val="22"/>
          <w:szCs w:val="22"/>
        </w:rPr>
        <w:t xml:space="preserve"> </w:t>
      </w:r>
      <w:r w:rsidR="006543BC" w:rsidRPr="0033639F">
        <w:rPr>
          <w:rFonts w:ascii="Arial" w:hAnsi="Arial" w:cs="Arial"/>
          <w:noProof/>
          <w:sz w:val="22"/>
          <w:szCs w:val="22"/>
        </w:rPr>
        <w:t>(1</w:t>
      </w:r>
      <w:r w:rsidR="008D740F" w:rsidRPr="0033639F">
        <w:rPr>
          <w:rFonts w:ascii="Arial" w:hAnsi="Arial" w:cs="Arial"/>
          <w:noProof/>
          <w:sz w:val="22"/>
          <w:szCs w:val="22"/>
        </w:rPr>
        <w:t>13</w:t>
      </w:r>
      <w:r w:rsidR="006543BC" w:rsidRPr="0033639F">
        <w:rPr>
          <w:rFonts w:ascii="Arial" w:hAnsi="Arial" w:cs="Arial"/>
          <w:noProof/>
          <w:sz w:val="22"/>
          <w:szCs w:val="22"/>
        </w:rPr>
        <w:t>,1</w:t>
      </w:r>
      <w:r w:rsidR="008D740F" w:rsidRPr="0033639F">
        <w:rPr>
          <w:rFonts w:ascii="Arial" w:hAnsi="Arial" w:cs="Arial"/>
          <w:noProof/>
          <w:sz w:val="22"/>
          <w:szCs w:val="22"/>
        </w:rPr>
        <w:t>14</w:t>
      </w:r>
      <w:r w:rsidR="006543BC" w:rsidRPr="0033639F">
        <w:rPr>
          <w:rFonts w:ascii="Arial" w:hAnsi="Arial" w:cs="Arial"/>
          <w:noProof/>
          <w:sz w:val="22"/>
          <w:szCs w:val="22"/>
        </w:rPr>
        <w:t>)</w:t>
      </w:r>
      <w:r w:rsidRPr="0033639F">
        <w:rPr>
          <w:rFonts w:ascii="Arial" w:hAnsi="Arial" w:cs="Arial"/>
          <w:sz w:val="22"/>
          <w:szCs w:val="22"/>
        </w:rPr>
        <w:t xml:space="preserve">. </w:t>
      </w:r>
    </w:p>
    <w:p w14:paraId="0EB714B7" w14:textId="77777777" w:rsidR="007B1523" w:rsidRPr="0033639F" w:rsidRDefault="007B1523" w:rsidP="0033639F">
      <w:pPr>
        <w:spacing w:line="276" w:lineRule="auto"/>
        <w:rPr>
          <w:rFonts w:ascii="Arial" w:hAnsi="Arial" w:cs="Arial"/>
          <w:sz w:val="22"/>
          <w:szCs w:val="22"/>
        </w:rPr>
      </w:pPr>
    </w:p>
    <w:p w14:paraId="4CE2DAB4" w14:textId="629508C6" w:rsidR="00D6186F" w:rsidRDefault="00D6186F" w:rsidP="0033639F">
      <w:pPr>
        <w:spacing w:line="276" w:lineRule="auto"/>
        <w:rPr>
          <w:rFonts w:ascii="Arial" w:hAnsi="Arial" w:cs="Arial"/>
          <w:b/>
          <w:bCs/>
          <w:sz w:val="22"/>
          <w:szCs w:val="22"/>
        </w:rPr>
      </w:pPr>
      <w:r>
        <w:rPr>
          <w:rFonts w:ascii="Arial" w:hAnsi="Arial" w:cs="Arial"/>
          <w:b/>
          <w:bCs/>
          <w:noProof/>
          <w:sz w:val="22"/>
          <w:szCs w:val="22"/>
        </w:rPr>
        <w:lastRenderedPageBreak/>
        <w:drawing>
          <wp:inline distT="0" distB="0" distL="0" distR="0" wp14:anchorId="5FE60600" wp14:editId="1DE60B9E">
            <wp:extent cx="6210605" cy="3922062"/>
            <wp:effectExtent l="0" t="0" r="0" b="2540"/>
            <wp:docPr id="21205666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9643" cy="3927769"/>
                    </a:xfrm>
                    <a:prstGeom prst="rect">
                      <a:avLst/>
                    </a:prstGeom>
                    <a:noFill/>
                  </pic:spPr>
                </pic:pic>
              </a:graphicData>
            </a:graphic>
          </wp:inline>
        </w:drawing>
      </w:r>
    </w:p>
    <w:p w14:paraId="6839F2C8" w14:textId="297E87AD" w:rsidR="00803B01" w:rsidRPr="007B1523" w:rsidRDefault="007B1523" w:rsidP="0033639F">
      <w:pPr>
        <w:spacing w:line="276" w:lineRule="auto"/>
        <w:rPr>
          <w:rFonts w:ascii="Arial" w:hAnsi="Arial" w:cs="Arial"/>
          <w:b/>
          <w:bCs/>
          <w:sz w:val="22"/>
          <w:szCs w:val="22"/>
        </w:rPr>
      </w:pPr>
      <w:r w:rsidRPr="007B1523">
        <w:rPr>
          <w:rFonts w:ascii="Arial" w:hAnsi="Arial" w:cs="Arial"/>
          <w:b/>
          <w:bCs/>
          <w:sz w:val="22"/>
          <w:szCs w:val="22"/>
        </w:rPr>
        <w:t>Figure 19. The IGF1 gene</w:t>
      </w:r>
      <w:r w:rsidR="00DD6194">
        <w:rPr>
          <w:rFonts w:ascii="Arial" w:hAnsi="Arial" w:cs="Arial"/>
          <w:b/>
          <w:bCs/>
          <w:sz w:val="22"/>
          <w:szCs w:val="22"/>
        </w:rPr>
        <w:t>.</w:t>
      </w:r>
    </w:p>
    <w:p w14:paraId="0EF5F5CB" w14:textId="77777777" w:rsidR="007B1523" w:rsidRPr="0033639F" w:rsidRDefault="007B1523" w:rsidP="0033639F">
      <w:pPr>
        <w:spacing w:line="276" w:lineRule="auto"/>
        <w:rPr>
          <w:rFonts w:ascii="Arial" w:hAnsi="Arial" w:cs="Arial"/>
          <w:sz w:val="22"/>
          <w:szCs w:val="22"/>
        </w:rPr>
      </w:pPr>
    </w:p>
    <w:p w14:paraId="1223D4ED" w14:textId="134C042E" w:rsidR="00803B01" w:rsidRDefault="00803B01" w:rsidP="0033639F">
      <w:pPr>
        <w:spacing w:line="276" w:lineRule="auto"/>
        <w:rPr>
          <w:rFonts w:ascii="Arial" w:hAnsi="Arial" w:cs="Arial"/>
          <w:sz w:val="22"/>
          <w:szCs w:val="22"/>
        </w:rPr>
      </w:pPr>
      <w:r w:rsidRPr="0033639F">
        <w:rPr>
          <w:rFonts w:ascii="Arial" w:hAnsi="Arial" w:cs="Arial"/>
          <w:sz w:val="22"/>
          <w:szCs w:val="22"/>
        </w:rPr>
        <w:t>Mice engineered to completely lack Igf1 (Igf1 knockouts) are born 40% smaller than their normal littermates</w:t>
      </w:r>
      <w:r w:rsidR="006543BC" w:rsidRPr="0033639F">
        <w:rPr>
          <w:rFonts w:ascii="Arial" w:hAnsi="Arial" w:cs="Arial"/>
          <w:sz w:val="22"/>
          <w:szCs w:val="22"/>
        </w:rPr>
        <w:t xml:space="preserve"> </w:t>
      </w:r>
      <w:r w:rsidR="006543BC" w:rsidRPr="0033639F">
        <w:rPr>
          <w:rFonts w:ascii="Arial" w:hAnsi="Arial" w:cs="Arial"/>
          <w:noProof/>
          <w:sz w:val="22"/>
          <w:szCs w:val="22"/>
        </w:rPr>
        <w:t>(1</w:t>
      </w:r>
      <w:r w:rsidR="008D740F" w:rsidRPr="0033639F">
        <w:rPr>
          <w:rFonts w:ascii="Arial" w:hAnsi="Arial" w:cs="Arial"/>
          <w:noProof/>
          <w:sz w:val="22"/>
          <w:szCs w:val="22"/>
        </w:rPr>
        <w:t>15</w:t>
      </w:r>
      <w:r w:rsidR="006543BC" w:rsidRPr="0033639F">
        <w:rPr>
          <w:rFonts w:ascii="Arial" w:hAnsi="Arial" w:cs="Arial"/>
          <w:noProof/>
          <w:sz w:val="22"/>
          <w:szCs w:val="22"/>
        </w:rPr>
        <w:t>,1</w:t>
      </w:r>
      <w:r w:rsidR="008D740F" w:rsidRPr="0033639F">
        <w:rPr>
          <w:rFonts w:ascii="Arial" w:hAnsi="Arial" w:cs="Arial"/>
          <w:noProof/>
          <w:sz w:val="22"/>
          <w:szCs w:val="22"/>
        </w:rPr>
        <w:t>16</w:t>
      </w:r>
      <w:r w:rsidR="006543BC" w:rsidRPr="0033639F">
        <w:rPr>
          <w:rFonts w:ascii="Arial" w:hAnsi="Arial" w:cs="Arial"/>
          <w:noProof/>
          <w:sz w:val="22"/>
          <w:szCs w:val="22"/>
        </w:rPr>
        <w:t>)</w:t>
      </w:r>
      <w:r w:rsidRPr="0033639F">
        <w:rPr>
          <w:rFonts w:ascii="Arial" w:hAnsi="Arial" w:cs="Arial"/>
          <w:sz w:val="22"/>
          <w:szCs w:val="22"/>
        </w:rPr>
        <w:t>. Recent studies of a hepatic-only Igf1 knockout (KO) mouse, however, demonstrate that IGF1 functions primarily in a paracrine or autocrine role, rather than in an endocrine role</w:t>
      </w:r>
      <w:r w:rsidR="006543BC" w:rsidRPr="0033639F">
        <w:rPr>
          <w:rFonts w:ascii="Arial" w:hAnsi="Arial" w:cs="Arial"/>
          <w:sz w:val="22"/>
          <w:szCs w:val="22"/>
        </w:rPr>
        <w:t xml:space="preserve"> </w:t>
      </w:r>
      <w:r w:rsidR="006543BC" w:rsidRPr="0033639F">
        <w:rPr>
          <w:rFonts w:ascii="Arial" w:hAnsi="Arial" w:cs="Arial"/>
          <w:noProof/>
          <w:sz w:val="22"/>
          <w:szCs w:val="22"/>
        </w:rPr>
        <w:t>(11</w:t>
      </w:r>
      <w:r w:rsidR="008D740F" w:rsidRPr="0033639F">
        <w:rPr>
          <w:rFonts w:ascii="Arial" w:hAnsi="Arial" w:cs="Arial"/>
          <w:noProof/>
          <w:sz w:val="22"/>
          <w:szCs w:val="22"/>
        </w:rPr>
        <w:t>7</w:t>
      </w:r>
      <w:r w:rsidR="006543BC" w:rsidRPr="0033639F">
        <w:rPr>
          <w:rFonts w:ascii="Arial" w:hAnsi="Arial" w:cs="Arial"/>
          <w:noProof/>
          <w:sz w:val="22"/>
          <w:szCs w:val="22"/>
        </w:rPr>
        <w:t>)</w:t>
      </w:r>
      <w:r w:rsidRPr="0033639F">
        <w:rPr>
          <w:rFonts w:ascii="Arial" w:hAnsi="Arial" w:cs="Arial"/>
          <w:sz w:val="22"/>
          <w:szCs w:val="22"/>
        </w:rPr>
        <w:t>. Liver specific Igf1 knock-out mice, were found to have a 75% reduction in serum Igf1 levels but were able to grow and develop (nearly) normally</w:t>
      </w:r>
      <w:r w:rsidR="006543BC" w:rsidRPr="0033639F">
        <w:rPr>
          <w:rFonts w:ascii="Arial" w:hAnsi="Arial" w:cs="Arial"/>
          <w:sz w:val="22"/>
          <w:szCs w:val="22"/>
        </w:rPr>
        <w:t xml:space="preserve"> </w:t>
      </w:r>
      <w:r w:rsidR="006543BC" w:rsidRPr="0033639F">
        <w:rPr>
          <w:rFonts w:ascii="Arial" w:hAnsi="Arial" w:cs="Arial"/>
          <w:noProof/>
          <w:sz w:val="22"/>
          <w:szCs w:val="22"/>
        </w:rPr>
        <w:t>(11</w:t>
      </w:r>
      <w:r w:rsidR="008D740F" w:rsidRPr="0033639F">
        <w:rPr>
          <w:rFonts w:ascii="Arial" w:hAnsi="Arial" w:cs="Arial"/>
          <w:noProof/>
          <w:sz w:val="22"/>
          <w:szCs w:val="22"/>
        </w:rPr>
        <w:t>7</w:t>
      </w:r>
      <w:r w:rsidR="006543BC" w:rsidRPr="0033639F">
        <w:rPr>
          <w:rFonts w:ascii="Arial" w:hAnsi="Arial" w:cs="Arial"/>
          <w:noProof/>
          <w:sz w:val="22"/>
          <w:szCs w:val="22"/>
        </w:rPr>
        <w:t>,11</w:t>
      </w:r>
      <w:r w:rsidR="008D740F" w:rsidRPr="0033639F">
        <w:rPr>
          <w:rFonts w:ascii="Arial" w:hAnsi="Arial" w:cs="Arial"/>
          <w:noProof/>
          <w:sz w:val="22"/>
          <w:szCs w:val="22"/>
        </w:rPr>
        <w:t>8</w:t>
      </w:r>
      <w:r w:rsidR="006543BC" w:rsidRPr="0033639F">
        <w:rPr>
          <w:rFonts w:ascii="Arial" w:hAnsi="Arial" w:cs="Arial"/>
          <w:noProof/>
          <w:sz w:val="22"/>
          <w:szCs w:val="22"/>
        </w:rPr>
        <w:t>)</w:t>
      </w:r>
      <w:r w:rsidRPr="0033639F">
        <w:rPr>
          <w:rFonts w:ascii="Arial" w:hAnsi="Arial" w:cs="Arial"/>
          <w:sz w:val="22"/>
          <w:szCs w:val="22"/>
        </w:rPr>
        <w:t xml:space="preserve"> with a mild phenotype developing only late in life</w:t>
      </w:r>
      <w:r w:rsidRPr="0033639F">
        <w:rPr>
          <w:rFonts w:ascii="Arial" w:hAnsi="Arial" w:cs="Arial"/>
          <w:noProof/>
          <w:sz w:val="22"/>
          <w:szCs w:val="22"/>
        </w:rPr>
        <w:t xml:space="preserve"> </w:t>
      </w:r>
      <w:r w:rsidR="006543BC" w:rsidRPr="0033639F">
        <w:rPr>
          <w:rFonts w:ascii="Arial" w:hAnsi="Arial" w:cs="Arial"/>
          <w:noProof/>
          <w:sz w:val="22"/>
          <w:szCs w:val="22"/>
        </w:rPr>
        <w:t>(11</w:t>
      </w:r>
      <w:r w:rsidR="008D740F" w:rsidRPr="0033639F">
        <w:rPr>
          <w:rFonts w:ascii="Arial" w:hAnsi="Arial" w:cs="Arial"/>
          <w:noProof/>
          <w:sz w:val="22"/>
          <w:szCs w:val="22"/>
        </w:rPr>
        <w:t>7</w:t>
      </w:r>
      <w:r w:rsidR="006543BC" w:rsidRPr="0033639F">
        <w:rPr>
          <w:rFonts w:ascii="Arial" w:hAnsi="Arial" w:cs="Arial"/>
          <w:noProof/>
          <w:sz w:val="22"/>
          <w:szCs w:val="22"/>
        </w:rPr>
        <w:t>)</w:t>
      </w:r>
      <w:r w:rsidRPr="0033639F">
        <w:rPr>
          <w:rFonts w:ascii="Arial" w:hAnsi="Arial" w:cs="Arial"/>
          <w:sz w:val="22"/>
          <w:szCs w:val="22"/>
        </w:rPr>
        <w:t>. A further decrease in serum IGF1 levels of 85% was observed when double gene KO mice were generated lacking both the acid labile subunit (ALS) and hepatic IGF1. Unlike the single hepatic-only IGF1-KO's, these mice showed significant reduction in linear growth as well as 10% decrease in bone mineral density</w:t>
      </w:r>
      <w:r w:rsidR="006543BC" w:rsidRPr="0033639F">
        <w:rPr>
          <w:rFonts w:ascii="Arial" w:hAnsi="Arial" w:cs="Arial"/>
          <w:sz w:val="22"/>
          <w:szCs w:val="22"/>
        </w:rPr>
        <w:t xml:space="preserve"> </w:t>
      </w:r>
      <w:r w:rsidR="006543BC" w:rsidRPr="0033639F">
        <w:rPr>
          <w:rFonts w:ascii="Arial" w:hAnsi="Arial" w:cs="Arial"/>
          <w:noProof/>
          <w:sz w:val="22"/>
          <w:szCs w:val="22"/>
        </w:rPr>
        <w:t>(11</w:t>
      </w:r>
      <w:r w:rsidR="008D740F" w:rsidRPr="0033639F">
        <w:rPr>
          <w:rFonts w:ascii="Arial" w:hAnsi="Arial" w:cs="Arial"/>
          <w:noProof/>
          <w:sz w:val="22"/>
          <w:szCs w:val="22"/>
        </w:rPr>
        <w:t>9</w:t>
      </w:r>
      <w:r w:rsidR="006543BC" w:rsidRPr="0033639F">
        <w:rPr>
          <w:rFonts w:ascii="Arial" w:hAnsi="Arial" w:cs="Arial"/>
          <w:noProof/>
          <w:sz w:val="22"/>
          <w:szCs w:val="22"/>
        </w:rPr>
        <w:t>)</w:t>
      </w:r>
      <w:r w:rsidRPr="0033639F">
        <w:rPr>
          <w:rFonts w:ascii="Arial" w:hAnsi="Arial" w:cs="Arial"/>
          <w:sz w:val="22"/>
          <w:szCs w:val="22"/>
        </w:rPr>
        <w:t xml:space="preserve">. Thus, as illustrated by the combination liver specific IGF1+ALS knock-out mouse model, there likely exists a threshold concentration of circulating IGF1 that is necessary for normal bone growth and suggests that IGF1, IGFBP3, and ALS may play an important role in bone physiology and the pathophysiology of osteoporosis. </w:t>
      </w:r>
    </w:p>
    <w:p w14:paraId="636B5A26" w14:textId="77777777" w:rsidR="00D6186F" w:rsidRPr="0033639F" w:rsidRDefault="00D6186F" w:rsidP="0033639F">
      <w:pPr>
        <w:spacing w:line="276" w:lineRule="auto"/>
        <w:rPr>
          <w:rFonts w:ascii="Arial" w:hAnsi="Arial" w:cs="Arial"/>
          <w:sz w:val="22"/>
          <w:szCs w:val="22"/>
        </w:rPr>
      </w:pPr>
    </w:p>
    <w:p w14:paraId="03AC3BA7" w14:textId="52FA2664" w:rsidR="00803B01" w:rsidRDefault="00803B01" w:rsidP="0033639F">
      <w:pPr>
        <w:spacing w:line="276" w:lineRule="auto"/>
        <w:rPr>
          <w:rFonts w:ascii="Arial" w:hAnsi="Arial" w:cs="Arial"/>
          <w:sz w:val="22"/>
          <w:szCs w:val="22"/>
        </w:rPr>
      </w:pPr>
      <w:r w:rsidRPr="0033639F">
        <w:rPr>
          <w:rFonts w:ascii="Arial" w:hAnsi="Arial" w:cs="Arial"/>
          <w:sz w:val="22"/>
          <w:szCs w:val="22"/>
        </w:rPr>
        <w:t>In humans, homozygous mutations in ALS result in mild postnatal growth retardation, insulin resistance, pubertal delay, unresponsiveness to GH stimulation tests, elevated basal GH levels, low IGF1 and IGFBP3 levels and undetectable ALS</w:t>
      </w:r>
      <w:r w:rsidR="006543BC" w:rsidRPr="0033639F">
        <w:rPr>
          <w:rFonts w:ascii="Arial" w:hAnsi="Arial" w:cs="Arial"/>
          <w:sz w:val="22"/>
          <w:szCs w:val="22"/>
        </w:rPr>
        <w:t xml:space="preserve"> </w:t>
      </w:r>
      <w:r w:rsidR="006543BC" w:rsidRPr="0033639F">
        <w:rPr>
          <w:rFonts w:ascii="Arial" w:hAnsi="Arial" w:cs="Arial"/>
          <w:noProof/>
          <w:sz w:val="22"/>
          <w:szCs w:val="22"/>
        </w:rPr>
        <w:t>(1</w:t>
      </w:r>
      <w:r w:rsidR="008D740F" w:rsidRPr="0033639F">
        <w:rPr>
          <w:rFonts w:ascii="Arial" w:hAnsi="Arial" w:cs="Arial"/>
          <w:noProof/>
          <w:sz w:val="22"/>
          <w:szCs w:val="22"/>
        </w:rPr>
        <w:t>20</w:t>
      </w:r>
      <w:r w:rsidR="006543BC" w:rsidRPr="0033639F">
        <w:rPr>
          <w:rFonts w:ascii="Arial" w:hAnsi="Arial" w:cs="Arial"/>
          <w:noProof/>
          <w:sz w:val="22"/>
          <w:szCs w:val="22"/>
        </w:rPr>
        <w:t>–1</w:t>
      </w:r>
      <w:r w:rsidR="008D740F" w:rsidRPr="0033639F">
        <w:rPr>
          <w:rFonts w:ascii="Arial" w:hAnsi="Arial" w:cs="Arial"/>
          <w:noProof/>
          <w:sz w:val="22"/>
          <w:szCs w:val="22"/>
        </w:rPr>
        <w:t>22</w:t>
      </w:r>
      <w:r w:rsidR="006543BC" w:rsidRPr="0033639F">
        <w:rPr>
          <w:rFonts w:ascii="Arial" w:hAnsi="Arial" w:cs="Arial"/>
          <w:noProof/>
          <w:sz w:val="22"/>
          <w:szCs w:val="22"/>
        </w:rPr>
        <w:t>)</w:t>
      </w:r>
      <w:r w:rsidRPr="0033639F">
        <w:rPr>
          <w:rFonts w:ascii="Arial" w:hAnsi="Arial" w:cs="Arial"/>
          <w:bCs/>
          <w:sz w:val="22"/>
          <w:szCs w:val="22"/>
        </w:rPr>
        <w:t xml:space="preserve">. </w:t>
      </w:r>
      <w:r w:rsidRPr="0033639F">
        <w:rPr>
          <w:rFonts w:ascii="Arial" w:hAnsi="Arial" w:cs="Arial"/>
          <w:sz w:val="22"/>
          <w:szCs w:val="22"/>
        </w:rPr>
        <w:t xml:space="preserve">Although it is not clear why postnatal growth is mildly affected, it </w:t>
      </w:r>
      <w:r w:rsidR="00AA1AFA" w:rsidRPr="0033639F">
        <w:rPr>
          <w:rFonts w:ascii="Arial" w:hAnsi="Arial" w:cs="Arial"/>
          <w:sz w:val="22"/>
          <w:szCs w:val="22"/>
        </w:rPr>
        <w:t xml:space="preserve">may </w:t>
      </w:r>
      <w:r w:rsidRPr="0033639F">
        <w:rPr>
          <w:rFonts w:ascii="Arial" w:hAnsi="Arial" w:cs="Arial"/>
          <w:sz w:val="22"/>
          <w:szCs w:val="22"/>
        </w:rPr>
        <w:t xml:space="preserve">be due to increased GH secretion due to loss of negative feedback regulation by the low circulating IGF1. Increased GH secretion could then up-regulate the functional GH receptor increasing local IGF1 production, thus </w:t>
      </w:r>
      <w:r w:rsidR="00AA1AFA" w:rsidRPr="0033639F">
        <w:rPr>
          <w:rFonts w:ascii="Arial" w:hAnsi="Arial" w:cs="Arial"/>
          <w:sz w:val="22"/>
          <w:szCs w:val="22"/>
        </w:rPr>
        <w:t xml:space="preserve">partially </w:t>
      </w:r>
      <w:r w:rsidRPr="0033639F">
        <w:rPr>
          <w:rFonts w:ascii="Arial" w:hAnsi="Arial" w:cs="Arial"/>
          <w:sz w:val="22"/>
          <w:szCs w:val="22"/>
        </w:rPr>
        <w:t xml:space="preserve">protecting </w:t>
      </w:r>
      <w:r w:rsidRPr="0033639F">
        <w:rPr>
          <w:rFonts w:ascii="Arial" w:hAnsi="Arial" w:cs="Arial"/>
          <w:sz w:val="22"/>
          <w:szCs w:val="22"/>
        </w:rPr>
        <w:lastRenderedPageBreak/>
        <w:t>linear growth</w:t>
      </w:r>
      <w:r w:rsidR="006543BC" w:rsidRPr="0033639F">
        <w:rPr>
          <w:rFonts w:ascii="Arial" w:hAnsi="Arial" w:cs="Arial"/>
          <w:sz w:val="22"/>
          <w:szCs w:val="22"/>
        </w:rPr>
        <w:t xml:space="preserve"> </w:t>
      </w:r>
      <w:r w:rsidR="006543BC" w:rsidRPr="0033639F">
        <w:rPr>
          <w:rFonts w:ascii="Arial" w:hAnsi="Arial" w:cs="Arial"/>
          <w:noProof/>
          <w:sz w:val="22"/>
          <w:szCs w:val="22"/>
        </w:rPr>
        <w:t>(9</w:t>
      </w:r>
      <w:r w:rsidR="008D740F" w:rsidRPr="0033639F">
        <w:rPr>
          <w:rFonts w:ascii="Arial" w:hAnsi="Arial" w:cs="Arial"/>
          <w:noProof/>
          <w:sz w:val="22"/>
          <w:szCs w:val="22"/>
        </w:rPr>
        <w:t>7</w:t>
      </w:r>
      <w:r w:rsidR="006543BC" w:rsidRPr="0033639F">
        <w:rPr>
          <w:rFonts w:ascii="Arial" w:hAnsi="Arial" w:cs="Arial"/>
          <w:noProof/>
          <w:sz w:val="22"/>
          <w:szCs w:val="22"/>
        </w:rPr>
        <w:t>)</w:t>
      </w:r>
      <w:r w:rsidRPr="0033639F">
        <w:rPr>
          <w:rFonts w:ascii="Arial" w:hAnsi="Arial" w:cs="Arial"/>
          <w:sz w:val="22"/>
          <w:szCs w:val="22"/>
        </w:rPr>
        <w:t xml:space="preserve"> (Figure </w:t>
      </w:r>
      <w:r w:rsidR="0062352E" w:rsidRPr="0033639F">
        <w:rPr>
          <w:rFonts w:ascii="Arial" w:hAnsi="Arial" w:cs="Arial"/>
          <w:sz w:val="22"/>
          <w:szCs w:val="22"/>
        </w:rPr>
        <w:t>20</w:t>
      </w:r>
      <w:r w:rsidRPr="0033639F">
        <w:rPr>
          <w:rFonts w:ascii="Arial" w:hAnsi="Arial" w:cs="Arial"/>
          <w:sz w:val="22"/>
          <w:szCs w:val="22"/>
        </w:rPr>
        <w:t>). Over a dozen inactivating mutations of the IGFALS gene have been described in patients with ALS deficiency</w:t>
      </w:r>
      <w:r w:rsidR="006543BC" w:rsidRPr="0033639F">
        <w:rPr>
          <w:rFonts w:ascii="Arial" w:hAnsi="Arial" w:cs="Arial"/>
          <w:sz w:val="22"/>
          <w:szCs w:val="22"/>
        </w:rPr>
        <w:t xml:space="preserve"> </w:t>
      </w:r>
      <w:r w:rsidR="006543BC" w:rsidRPr="0033639F">
        <w:rPr>
          <w:rFonts w:ascii="Arial" w:hAnsi="Arial" w:cs="Arial"/>
          <w:noProof/>
          <w:sz w:val="22"/>
          <w:szCs w:val="22"/>
        </w:rPr>
        <w:t>(1</w:t>
      </w:r>
      <w:r w:rsidR="008D740F" w:rsidRPr="0033639F">
        <w:rPr>
          <w:rFonts w:ascii="Arial" w:hAnsi="Arial" w:cs="Arial"/>
          <w:noProof/>
          <w:sz w:val="22"/>
          <w:szCs w:val="22"/>
        </w:rPr>
        <w:t>23</w:t>
      </w:r>
      <w:r w:rsidR="006543BC" w:rsidRPr="0033639F">
        <w:rPr>
          <w:rFonts w:ascii="Arial" w:hAnsi="Arial" w:cs="Arial"/>
          <w:noProof/>
          <w:sz w:val="22"/>
          <w:szCs w:val="22"/>
        </w:rPr>
        <w:t>)</w:t>
      </w:r>
      <w:r w:rsidRPr="0033639F">
        <w:rPr>
          <w:rFonts w:ascii="Arial" w:hAnsi="Arial" w:cs="Arial"/>
          <w:sz w:val="22"/>
          <w:szCs w:val="22"/>
        </w:rPr>
        <w:t xml:space="preserve">.  </w:t>
      </w:r>
    </w:p>
    <w:p w14:paraId="28DAEDA2" w14:textId="77777777" w:rsidR="00D6186F" w:rsidRPr="0033639F" w:rsidRDefault="00D6186F" w:rsidP="0033639F">
      <w:pPr>
        <w:spacing w:line="276" w:lineRule="auto"/>
        <w:rPr>
          <w:rFonts w:ascii="Arial" w:hAnsi="Arial" w:cs="Arial"/>
          <w:sz w:val="22"/>
          <w:szCs w:val="22"/>
        </w:rPr>
      </w:pPr>
    </w:p>
    <w:p w14:paraId="017927F3" w14:textId="3C1D95CF" w:rsidR="00803B01" w:rsidRPr="0033639F" w:rsidRDefault="00E868C8" w:rsidP="0033639F">
      <w:pPr>
        <w:spacing w:line="276" w:lineRule="auto"/>
        <w:rPr>
          <w:rFonts w:ascii="Arial" w:hAnsi="Arial" w:cs="Arial"/>
          <w:sz w:val="22"/>
          <w:szCs w:val="22"/>
        </w:rPr>
      </w:pPr>
      <w:r w:rsidRPr="0033639F">
        <w:rPr>
          <w:rFonts w:ascii="Arial" w:hAnsi="Arial" w:cs="Arial"/>
          <w:noProof/>
          <w:sz w:val="22"/>
          <w:szCs w:val="22"/>
        </w:rPr>
        <w:drawing>
          <wp:inline distT="0" distB="0" distL="0" distR="0" wp14:anchorId="5608FACB" wp14:editId="318A1A5C">
            <wp:extent cx="5410200" cy="3149600"/>
            <wp:effectExtent l="0" t="0" r="0" b="0"/>
            <wp:docPr id="20" name="Picture 4" descr="A diagram of a cell lin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diagram of a cell line&#10;&#10;Description automatically generated with medium confidence"/>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3149600"/>
                    </a:xfrm>
                    <a:prstGeom prst="rect">
                      <a:avLst/>
                    </a:prstGeom>
                    <a:noFill/>
                    <a:ln>
                      <a:noFill/>
                    </a:ln>
                  </pic:spPr>
                </pic:pic>
              </a:graphicData>
            </a:graphic>
          </wp:inline>
        </w:drawing>
      </w:r>
      <w:r w:rsidR="00803B01" w:rsidRPr="0033639F">
        <w:rPr>
          <w:rFonts w:ascii="Arial" w:hAnsi="Arial" w:cs="Arial"/>
          <w:sz w:val="22"/>
          <w:szCs w:val="22"/>
        </w:rPr>
        <w:fldChar w:fldCharType="begin"/>
      </w:r>
      <w:r w:rsidR="00803B01" w:rsidRPr="0033639F">
        <w:rPr>
          <w:rFonts w:ascii="Arial" w:hAnsi="Arial" w:cs="Arial"/>
          <w:sz w:val="22"/>
          <w:szCs w:val="22"/>
        </w:rPr>
        <w:instrText xml:space="preserve"> INCLUDEPICTURE "http://www.endotext.org/wp-content/uploads/pediatrics/1/figure21.jpg" \* MERGEFORMATINET </w:instrText>
      </w:r>
      <w:r w:rsidR="00803B01" w:rsidRPr="0033639F">
        <w:rPr>
          <w:rFonts w:ascii="Arial" w:hAnsi="Arial" w:cs="Arial"/>
          <w:sz w:val="22"/>
          <w:szCs w:val="22"/>
        </w:rPr>
        <w:fldChar w:fldCharType="separate"/>
      </w:r>
      <w:r w:rsidR="00803B01" w:rsidRPr="0033639F">
        <w:rPr>
          <w:rFonts w:ascii="Arial" w:hAnsi="Arial" w:cs="Arial"/>
          <w:noProof/>
          <w:sz w:val="22"/>
          <w:szCs w:val="22"/>
        </w:rPr>
        <w:fldChar w:fldCharType="begin"/>
      </w:r>
      <w:r w:rsidR="00803B01" w:rsidRPr="0033639F">
        <w:rPr>
          <w:rFonts w:ascii="Arial" w:hAnsi="Arial" w:cs="Arial"/>
          <w:noProof/>
          <w:sz w:val="22"/>
          <w:szCs w:val="22"/>
        </w:rPr>
        <w:instrText xml:space="preserve"> INCLUDEPICTURE  "http://www.endotext.org/wp-content/uploads/pediatrics/1/figure21.jpg" \* MERGEFORMATINET </w:instrText>
      </w:r>
      <w:r w:rsidR="00803B01" w:rsidRPr="0033639F">
        <w:rPr>
          <w:rFonts w:ascii="Arial" w:hAnsi="Arial" w:cs="Arial"/>
          <w:noProof/>
          <w:sz w:val="22"/>
          <w:szCs w:val="22"/>
        </w:rPr>
        <w:fldChar w:fldCharType="separate"/>
      </w:r>
      <w:r w:rsidR="00803B01" w:rsidRPr="0033639F">
        <w:rPr>
          <w:rFonts w:ascii="Arial" w:hAnsi="Arial" w:cs="Arial"/>
          <w:noProof/>
          <w:sz w:val="22"/>
          <w:szCs w:val="22"/>
        </w:rPr>
        <w:fldChar w:fldCharType="end"/>
      </w:r>
      <w:r w:rsidR="00803B01" w:rsidRPr="0033639F">
        <w:rPr>
          <w:rFonts w:ascii="Arial" w:hAnsi="Arial" w:cs="Arial"/>
          <w:sz w:val="22"/>
          <w:szCs w:val="22"/>
        </w:rPr>
        <w:fldChar w:fldCharType="end"/>
      </w:r>
    </w:p>
    <w:p w14:paraId="272DE519" w14:textId="4F56A84B" w:rsidR="00D6186F" w:rsidRPr="00D6186F" w:rsidRDefault="00D6186F" w:rsidP="0033639F">
      <w:pPr>
        <w:spacing w:line="276" w:lineRule="auto"/>
        <w:rPr>
          <w:rFonts w:ascii="Arial" w:hAnsi="Arial" w:cs="Arial"/>
          <w:b/>
          <w:bCs/>
          <w:sz w:val="22"/>
          <w:szCs w:val="22"/>
        </w:rPr>
      </w:pPr>
      <w:r w:rsidRPr="00D6186F">
        <w:rPr>
          <w:rFonts w:ascii="Arial" w:hAnsi="Arial" w:cs="Arial"/>
          <w:b/>
          <w:bCs/>
          <w:sz w:val="22"/>
          <w:szCs w:val="22"/>
        </w:rPr>
        <w:t>Figure 20. The effect of ALS mutations on the GH-IGF1 axis.  Savage MO Camacho-Hubner C, David A, et al. 2007” Idiopathic short stature: will genetics influence the choice between GH and IGF1 therapy?” Eu J of Endocrine 157:S33 Society of European Journal of Endocrinology (2007). Reproduced by permission. Reprinted with permission (124).</w:t>
      </w:r>
    </w:p>
    <w:p w14:paraId="2608374A" w14:textId="77777777" w:rsidR="00D6186F" w:rsidRDefault="00D6186F" w:rsidP="0033639F">
      <w:pPr>
        <w:spacing w:line="276" w:lineRule="auto"/>
        <w:rPr>
          <w:rFonts w:ascii="Arial" w:hAnsi="Arial" w:cs="Arial"/>
          <w:sz w:val="22"/>
          <w:szCs w:val="22"/>
        </w:rPr>
      </w:pPr>
    </w:p>
    <w:p w14:paraId="29B9F7FC" w14:textId="2EE12E1B" w:rsidR="00803B01" w:rsidRDefault="00803B01" w:rsidP="0033639F">
      <w:pPr>
        <w:spacing w:line="276" w:lineRule="auto"/>
        <w:rPr>
          <w:rFonts w:ascii="Arial" w:hAnsi="Arial" w:cs="Arial"/>
          <w:sz w:val="22"/>
          <w:szCs w:val="22"/>
        </w:rPr>
      </w:pPr>
      <w:r w:rsidRPr="0033639F">
        <w:rPr>
          <w:rFonts w:ascii="Arial" w:hAnsi="Arial" w:cs="Arial"/>
          <w:sz w:val="22"/>
          <w:szCs w:val="22"/>
        </w:rPr>
        <w:t>Elevated IGF1 levels has recently been associated with colon, prostate and breast cancer</w:t>
      </w:r>
      <w:r w:rsidR="008713DA" w:rsidRPr="0033639F">
        <w:rPr>
          <w:rFonts w:ascii="Arial" w:hAnsi="Arial" w:cs="Arial"/>
          <w:sz w:val="22"/>
          <w:szCs w:val="22"/>
        </w:rPr>
        <w:t xml:space="preserve"> </w:t>
      </w:r>
      <w:r w:rsidR="008713DA" w:rsidRPr="0033639F">
        <w:rPr>
          <w:rFonts w:ascii="Arial" w:hAnsi="Arial" w:cs="Arial"/>
          <w:noProof/>
          <w:sz w:val="22"/>
          <w:szCs w:val="22"/>
        </w:rPr>
        <w:t>(1</w:t>
      </w:r>
      <w:r w:rsidR="00765DB2" w:rsidRPr="0033639F">
        <w:rPr>
          <w:rFonts w:ascii="Arial" w:hAnsi="Arial" w:cs="Arial"/>
          <w:noProof/>
          <w:sz w:val="22"/>
          <w:szCs w:val="22"/>
        </w:rPr>
        <w:t>25</w:t>
      </w:r>
      <w:r w:rsidR="008713DA" w:rsidRPr="0033639F">
        <w:rPr>
          <w:rFonts w:ascii="Arial" w:hAnsi="Arial" w:cs="Arial"/>
          <w:noProof/>
          <w:sz w:val="22"/>
          <w:szCs w:val="22"/>
        </w:rPr>
        <w:t>–12</w:t>
      </w:r>
      <w:r w:rsidR="00765DB2" w:rsidRPr="0033639F">
        <w:rPr>
          <w:rFonts w:ascii="Arial" w:hAnsi="Arial" w:cs="Arial"/>
          <w:noProof/>
          <w:sz w:val="22"/>
          <w:szCs w:val="22"/>
        </w:rPr>
        <w:t>7</w:t>
      </w:r>
      <w:r w:rsidR="008713DA" w:rsidRPr="0033639F">
        <w:rPr>
          <w:rFonts w:ascii="Arial" w:hAnsi="Arial" w:cs="Arial"/>
          <w:noProof/>
          <w:sz w:val="22"/>
          <w:szCs w:val="22"/>
        </w:rPr>
        <w:t>)</w:t>
      </w:r>
      <w:r w:rsidRPr="0033639F">
        <w:rPr>
          <w:rFonts w:ascii="Arial" w:hAnsi="Arial" w:cs="Arial"/>
          <w:color w:val="7030A0"/>
          <w:sz w:val="22"/>
          <w:szCs w:val="22"/>
        </w:rPr>
        <w:t xml:space="preserve"> </w:t>
      </w:r>
      <w:r w:rsidRPr="0033639F">
        <w:rPr>
          <w:rFonts w:ascii="Arial" w:hAnsi="Arial" w:cs="Arial"/>
          <w:sz w:val="22"/>
          <w:szCs w:val="22"/>
        </w:rPr>
        <w:t xml:space="preserve">and the association was strongest when an elevated IGF1 was combined with a decreased IGFBP3 level. This combination-expected to yield more bioactive </w:t>
      </w:r>
      <w:r w:rsidR="005B1285" w:rsidRPr="0033639F">
        <w:rPr>
          <w:rFonts w:ascii="Arial" w:hAnsi="Arial" w:cs="Arial"/>
          <w:sz w:val="22"/>
          <w:szCs w:val="22"/>
        </w:rPr>
        <w:t>IGF1 may</w:t>
      </w:r>
      <w:r w:rsidRPr="0033639F">
        <w:rPr>
          <w:rFonts w:ascii="Arial" w:hAnsi="Arial" w:cs="Arial"/>
          <w:sz w:val="22"/>
          <w:szCs w:val="22"/>
        </w:rPr>
        <w:t xml:space="preserve"> merely reflect the tumorigenic process, rather than demonstrate causality. Importantly, GH treatment induces a rise in both IGF1 as well as IGFBP3</w:t>
      </w:r>
      <w:r w:rsidRPr="0033639F">
        <w:rPr>
          <w:rFonts w:ascii="Arial" w:hAnsi="Arial" w:cs="Arial"/>
          <w:noProof/>
          <w:sz w:val="22"/>
          <w:szCs w:val="22"/>
        </w:rPr>
        <w:t xml:space="preserve"> </w:t>
      </w:r>
      <w:r w:rsidR="008713DA" w:rsidRPr="0033639F">
        <w:rPr>
          <w:rFonts w:ascii="Arial" w:hAnsi="Arial" w:cs="Arial"/>
          <w:noProof/>
          <w:sz w:val="22"/>
          <w:szCs w:val="22"/>
        </w:rPr>
        <w:t>(12</w:t>
      </w:r>
      <w:r w:rsidR="00F8606C" w:rsidRPr="0033639F">
        <w:rPr>
          <w:rFonts w:ascii="Arial" w:hAnsi="Arial" w:cs="Arial"/>
          <w:noProof/>
          <w:sz w:val="22"/>
          <w:szCs w:val="22"/>
        </w:rPr>
        <w:t>8</w:t>
      </w:r>
      <w:r w:rsidR="005B1285" w:rsidRPr="0033639F">
        <w:rPr>
          <w:rFonts w:ascii="Arial" w:hAnsi="Arial" w:cs="Arial"/>
          <w:noProof/>
          <w:sz w:val="22"/>
          <w:szCs w:val="22"/>
        </w:rPr>
        <w:t>)</w:t>
      </w:r>
      <w:r w:rsidR="005B1285" w:rsidRPr="0033639F">
        <w:rPr>
          <w:rFonts w:ascii="Arial" w:hAnsi="Arial" w:cs="Arial"/>
          <w:sz w:val="22"/>
          <w:szCs w:val="22"/>
        </w:rPr>
        <w:t xml:space="preserve"> and</w:t>
      </w:r>
      <w:r w:rsidRPr="0033639F">
        <w:rPr>
          <w:rFonts w:ascii="Arial" w:hAnsi="Arial" w:cs="Arial"/>
          <w:sz w:val="22"/>
          <w:szCs w:val="22"/>
        </w:rPr>
        <w:t xml:space="preserve"> therefore would not be expected to increase cancer risk in normal individuals. </w:t>
      </w:r>
    </w:p>
    <w:p w14:paraId="4DC7A09D" w14:textId="77777777" w:rsidR="00E868C8" w:rsidRPr="0033639F" w:rsidRDefault="00E868C8" w:rsidP="0033639F">
      <w:pPr>
        <w:spacing w:line="276" w:lineRule="auto"/>
        <w:rPr>
          <w:rFonts w:ascii="Arial" w:hAnsi="Arial" w:cs="Arial"/>
          <w:sz w:val="22"/>
          <w:szCs w:val="22"/>
        </w:rPr>
      </w:pPr>
    </w:p>
    <w:tbl>
      <w:tblPr>
        <w:tblStyle w:val="TableGrid"/>
        <w:tblW w:w="0" w:type="auto"/>
        <w:tblLook w:val="0000" w:firstRow="0" w:lastRow="0" w:firstColumn="0" w:lastColumn="0" w:noHBand="0" w:noVBand="0"/>
      </w:tblPr>
      <w:tblGrid>
        <w:gridCol w:w="6546"/>
        <w:gridCol w:w="2804"/>
      </w:tblGrid>
      <w:tr w:rsidR="00803B01" w:rsidRPr="0033639F" w14:paraId="5475DECE" w14:textId="77777777" w:rsidTr="00E868C8">
        <w:tc>
          <w:tcPr>
            <w:tcW w:w="0" w:type="auto"/>
            <w:gridSpan w:val="2"/>
            <w:shd w:val="clear" w:color="auto" w:fill="FFFF00"/>
          </w:tcPr>
          <w:p w14:paraId="5E6B4654" w14:textId="09CD6F67" w:rsidR="00803B01" w:rsidRPr="0033639F" w:rsidRDefault="00803B01" w:rsidP="0033639F">
            <w:pPr>
              <w:spacing w:line="276" w:lineRule="auto"/>
              <w:rPr>
                <w:rFonts w:ascii="Arial" w:hAnsi="Arial" w:cs="Arial"/>
                <w:sz w:val="22"/>
                <w:szCs w:val="22"/>
              </w:rPr>
            </w:pPr>
            <w:r w:rsidRPr="0033639F">
              <w:rPr>
                <w:rFonts w:ascii="Arial" w:hAnsi="Arial" w:cs="Arial"/>
                <w:b/>
                <w:sz w:val="22"/>
                <w:szCs w:val="22"/>
              </w:rPr>
              <w:t xml:space="preserve">Table 5. Summary of IGF1 </w:t>
            </w:r>
            <w:r w:rsidR="00E868C8">
              <w:rPr>
                <w:rFonts w:ascii="Arial" w:hAnsi="Arial" w:cs="Arial"/>
                <w:b/>
                <w:sz w:val="22"/>
                <w:szCs w:val="22"/>
              </w:rPr>
              <w:t>F</w:t>
            </w:r>
            <w:r w:rsidRPr="0033639F">
              <w:rPr>
                <w:rFonts w:ascii="Arial" w:hAnsi="Arial" w:cs="Arial"/>
                <w:b/>
                <w:sz w:val="22"/>
                <w:szCs w:val="22"/>
              </w:rPr>
              <w:t xml:space="preserve">unction in </w:t>
            </w:r>
            <w:r w:rsidR="00E868C8">
              <w:rPr>
                <w:rFonts w:ascii="Arial" w:hAnsi="Arial" w:cs="Arial"/>
                <w:b/>
                <w:sz w:val="22"/>
                <w:szCs w:val="22"/>
              </w:rPr>
              <w:t>D</w:t>
            </w:r>
            <w:r w:rsidRPr="0033639F">
              <w:rPr>
                <w:rFonts w:ascii="Arial" w:hAnsi="Arial" w:cs="Arial"/>
                <w:b/>
                <w:sz w:val="22"/>
                <w:szCs w:val="22"/>
              </w:rPr>
              <w:t xml:space="preserve">ifferent </w:t>
            </w:r>
            <w:r w:rsidR="00E868C8">
              <w:rPr>
                <w:rFonts w:ascii="Arial" w:hAnsi="Arial" w:cs="Arial"/>
                <w:b/>
                <w:sz w:val="22"/>
                <w:szCs w:val="22"/>
              </w:rPr>
              <w:t>S</w:t>
            </w:r>
            <w:r w:rsidRPr="0033639F">
              <w:rPr>
                <w:rFonts w:ascii="Arial" w:hAnsi="Arial" w:cs="Arial"/>
                <w:b/>
                <w:sz w:val="22"/>
                <w:szCs w:val="22"/>
              </w:rPr>
              <w:t xml:space="preserve">ystems and its </w:t>
            </w:r>
            <w:r w:rsidR="00E868C8">
              <w:rPr>
                <w:rFonts w:ascii="Arial" w:hAnsi="Arial" w:cs="Arial"/>
                <w:b/>
                <w:sz w:val="22"/>
                <w:szCs w:val="22"/>
              </w:rPr>
              <w:t>E</w:t>
            </w:r>
            <w:r w:rsidRPr="0033639F">
              <w:rPr>
                <w:rFonts w:ascii="Arial" w:hAnsi="Arial" w:cs="Arial"/>
                <w:b/>
                <w:sz w:val="22"/>
                <w:szCs w:val="22"/>
              </w:rPr>
              <w:t>ffects</w:t>
            </w:r>
            <w:r w:rsidRPr="0033639F">
              <w:rPr>
                <w:rFonts w:ascii="Arial" w:hAnsi="Arial" w:cs="Arial"/>
                <w:b/>
                <w:noProof/>
                <w:sz w:val="22"/>
                <w:szCs w:val="22"/>
              </w:rPr>
              <w:t xml:space="preserve"> </w:t>
            </w:r>
            <w:r w:rsidR="008713DA" w:rsidRPr="00DD6194">
              <w:rPr>
                <w:rFonts w:ascii="Arial" w:hAnsi="Arial" w:cs="Arial"/>
                <w:b/>
                <w:bCs/>
                <w:noProof/>
                <w:sz w:val="22"/>
                <w:szCs w:val="22"/>
              </w:rPr>
              <w:t>(12</w:t>
            </w:r>
            <w:r w:rsidR="00F8606C" w:rsidRPr="00DD6194">
              <w:rPr>
                <w:rFonts w:ascii="Arial" w:hAnsi="Arial" w:cs="Arial"/>
                <w:b/>
                <w:bCs/>
                <w:noProof/>
                <w:sz w:val="22"/>
                <w:szCs w:val="22"/>
              </w:rPr>
              <w:t>9</w:t>
            </w:r>
            <w:r w:rsidR="008713DA" w:rsidRPr="00DD6194">
              <w:rPr>
                <w:rFonts w:ascii="Arial" w:hAnsi="Arial" w:cs="Arial"/>
                <w:b/>
                <w:bCs/>
                <w:noProof/>
                <w:sz w:val="22"/>
                <w:szCs w:val="22"/>
              </w:rPr>
              <w:t>)</w:t>
            </w:r>
          </w:p>
        </w:tc>
      </w:tr>
      <w:tr w:rsidR="00803B01" w:rsidRPr="0033639F" w14:paraId="2EFC8C98" w14:textId="77777777" w:rsidTr="00E868C8">
        <w:tc>
          <w:tcPr>
            <w:tcW w:w="0" w:type="auto"/>
          </w:tcPr>
          <w:p w14:paraId="48F159F4"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IGF1 Function  </w:t>
            </w:r>
          </w:p>
        </w:tc>
        <w:tc>
          <w:tcPr>
            <w:tcW w:w="0" w:type="auto"/>
          </w:tcPr>
          <w:p w14:paraId="6E14CCAA"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IGF1 Deficiency</w:t>
            </w:r>
          </w:p>
        </w:tc>
      </w:tr>
      <w:tr w:rsidR="00803B01" w:rsidRPr="0033639F" w14:paraId="785003D6" w14:textId="77777777" w:rsidTr="00E868C8">
        <w:tc>
          <w:tcPr>
            <w:tcW w:w="0" w:type="auto"/>
          </w:tcPr>
          <w:p w14:paraId="29AA805B"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Intrauterine Growth</w:t>
            </w:r>
          </w:p>
        </w:tc>
        <w:tc>
          <w:tcPr>
            <w:tcW w:w="0" w:type="auto"/>
          </w:tcPr>
          <w:p w14:paraId="0D0AF46F"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IUGR</w:t>
            </w:r>
          </w:p>
        </w:tc>
      </w:tr>
      <w:tr w:rsidR="00803B01" w:rsidRPr="0033639F" w14:paraId="64CE3FC6" w14:textId="77777777" w:rsidTr="00E868C8">
        <w:tc>
          <w:tcPr>
            <w:tcW w:w="0" w:type="auto"/>
          </w:tcPr>
          <w:p w14:paraId="30B02DD1"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Postnatal Growth</w:t>
            </w:r>
          </w:p>
        </w:tc>
        <w:tc>
          <w:tcPr>
            <w:tcW w:w="0" w:type="auto"/>
          </w:tcPr>
          <w:p w14:paraId="71DA752D"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Short Stature</w:t>
            </w:r>
          </w:p>
        </w:tc>
      </w:tr>
      <w:tr w:rsidR="00803B01" w:rsidRPr="0033639F" w14:paraId="538365BE" w14:textId="77777777" w:rsidTr="00E868C8">
        <w:tc>
          <w:tcPr>
            <w:tcW w:w="0" w:type="auto"/>
          </w:tcPr>
          <w:p w14:paraId="577175A8"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CNS </w:t>
            </w:r>
          </w:p>
        </w:tc>
        <w:tc>
          <w:tcPr>
            <w:tcW w:w="0" w:type="auto"/>
          </w:tcPr>
          <w:p w14:paraId="36BB88FF"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Neurodegenerative disease</w:t>
            </w:r>
          </w:p>
        </w:tc>
      </w:tr>
      <w:tr w:rsidR="00803B01" w:rsidRPr="0033639F" w14:paraId="79E5935D" w14:textId="77777777" w:rsidTr="00E868C8">
        <w:tc>
          <w:tcPr>
            <w:tcW w:w="0" w:type="auto"/>
          </w:tcPr>
          <w:p w14:paraId="72E31252"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Insulin sensitization/improvement of glucose disposal/beta cell proliferation </w:t>
            </w:r>
          </w:p>
        </w:tc>
        <w:tc>
          <w:tcPr>
            <w:tcW w:w="0" w:type="auto"/>
          </w:tcPr>
          <w:p w14:paraId="0C42CE00"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Type 1 and Type 2 Diabetes </w:t>
            </w:r>
          </w:p>
        </w:tc>
      </w:tr>
      <w:tr w:rsidR="00803B01" w:rsidRPr="0033639F" w14:paraId="45FD5590" w14:textId="77777777" w:rsidTr="00E868C8">
        <w:tc>
          <w:tcPr>
            <w:tcW w:w="0" w:type="auto"/>
          </w:tcPr>
          <w:p w14:paraId="77534DEB" w14:textId="77777777" w:rsidR="00803B01" w:rsidRPr="0033639F" w:rsidRDefault="00803B01" w:rsidP="0033639F">
            <w:pPr>
              <w:spacing w:line="276" w:lineRule="auto"/>
              <w:rPr>
                <w:rFonts w:ascii="Arial" w:hAnsi="Arial" w:cs="Arial"/>
                <w:sz w:val="22"/>
                <w:szCs w:val="22"/>
              </w:rPr>
            </w:pPr>
          </w:p>
        </w:tc>
        <w:tc>
          <w:tcPr>
            <w:tcW w:w="0" w:type="auto"/>
          </w:tcPr>
          <w:p w14:paraId="51E12961" w14:textId="77777777" w:rsidR="00803B01" w:rsidRPr="0033639F" w:rsidRDefault="00803B01" w:rsidP="0033639F">
            <w:pPr>
              <w:spacing w:line="276" w:lineRule="auto"/>
              <w:rPr>
                <w:rFonts w:ascii="Arial" w:hAnsi="Arial" w:cs="Arial"/>
                <w:b/>
                <w:sz w:val="22"/>
                <w:szCs w:val="22"/>
              </w:rPr>
            </w:pPr>
            <w:r w:rsidRPr="0033639F">
              <w:rPr>
                <w:rFonts w:ascii="Arial" w:hAnsi="Arial" w:cs="Arial"/>
                <w:b/>
                <w:sz w:val="22"/>
                <w:szCs w:val="22"/>
              </w:rPr>
              <w:t>IGF1 Excess</w:t>
            </w:r>
          </w:p>
        </w:tc>
      </w:tr>
      <w:tr w:rsidR="00803B01" w:rsidRPr="0033639F" w14:paraId="3E93A87D" w14:textId="77777777" w:rsidTr="00E868C8">
        <w:tc>
          <w:tcPr>
            <w:tcW w:w="0" w:type="auto"/>
          </w:tcPr>
          <w:p w14:paraId="22C861A9"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Mitosis/Inhibition of apoptosis  </w:t>
            </w:r>
          </w:p>
        </w:tc>
        <w:tc>
          <w:tcPr>
            <w:tcW w:w="0" w:type="auto"/>
          </w:tcPr>
          <w:p w14:paraId="7C575CE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Malignancy</w:t>
            </w:r>
          </w:p>
        </w:tc>
      </w:tr>
    </w:tbl>
    <w:p w14:paraId="7D09D72B" w14:textId="77777777" w:rsidR="002573C9" w:rsidRDefault="002573C9" w:rsidP="0033639F">
      <w:pPr>
        <w:pStyle w:val="Heading2"/>
        <w:spacing w:before="0" w:after="0" w:line="276" w:lineRule="auto"/>
        <w:rPr>
          <w:rFonts w:ascii="Arial" w:hAnsi="Arial" w:cs="Arial"/>
          <w:sz w:val="22"/>
          <w:szCs w:val="22"/>
        </w:rPr>
      </w:pPr>
      <w:bookmarkStart w:id="25" w:name="id2507167"/>
      <w:bookmarkStart w:id="26" w:name="id2507189"/>
      <w:bookmarkEnd w:id="25"/>
      <w:bookmarkEnd w:id="26"/>
    </w:p>
    <w:p w14:paraId="41B3A172" w14:textId="42E59820" w:rsidR="00803B01" w:rsidRPr="002573C9" w:rsidRDefault="00803B01" w:rsidP="002573C9">
      <w:pPr>
        <w:rPr>
          <w:rFonts w:ascii="Arial" w:hAnsi="Arial" w:cs="Arial"/>
          <w:b/>
          <w:bCs/>
          <w:color w:val="00B050"/>
          <w:sz w:val="22"/>
          <w:szCs w:val="22"/>
        </w:rPr>
      </w:pPr>
      <w:r w:rsidRPr="002573C9">
        <w:rPr>
          <w:rFonts w:ascii="Arial" w:hAnsi="Arial" w:cs="Arial"/>
          <w:b/>
          <w:bCs/>
          <w:color w:val="00B050"/>
          <w:sz w:val="22"/>
          <w:szCs w:val="22"/>
        </w:rPr>
        <w:t>IGF1 Deficiency</w:t>
      </w:r>
    </w:p>
    <w:p w14:paraId="24DA3086" w14:textId="77777777" w:rsidR="00E868C8" w:rsidRDefault="00E868C8" w:rsidP="0033639F">
      <w:pPr>
        <w:spacing w:line="276" w:lineRule="auto"/>
        <w:outlineLvl w:val="2"/>
        <w:rPr>
          <w:rFonts w:ascii="Arial" w:hAnsi="Arial" w:cs="Arial"/>
          <w:bCs/>
          <w:sz w:val="22"/>
          <w:szCs w:val="22"/>
        </w:rPr>
      </w:pPr>
    </w:p>
    <w:p w14:paraId="23456AAF" w14:textId="21CBDC96" w:rsidR="00803B01" w:rsidRDefault="00803B01" w:rsidP="0033639F">
      <w:pPr>
        <w:spacing w:line="276" w:lineRule="auto"/>
        <w:outlineLvl w:val="2"/>
        <w:rPr>
          <w:rFonts w:ascii="Arial" w:hAnsi="Arial" w:cs="Arial"/>
          <w:bCs/>
          <w:sz w:val="22"/>
          <w:szCs w:val="22"/>
        </w:rPr>
      </w:pPr>
      <w:r w:rsidRPr="0033639F">
        <w:rPr>
          <w:rFonts w:ascii="Arial" w:hAnsi="Arial" w:cs="Arial"/>
          <w:bCs/>
          <w:sz w:val="22"/>
          <w:szCs w:val="22"/>
        </w:rPr>
        <w:t xml:space="preserve">IGF1 deficiency can be classified based on decreased IGF1 synthesis (primary) or decreased IGF1 </w:t>
      </w:r>
      <w:r w:rsidR="00BA427E" w:rsidRPr="0033639F">
        <w:rPr>
          <w:rFonts w:ascii="Arial" w:hAnsi="Arial" w:cs="Arial"/>
          <w:bCs/>
          <w:sz w:val="22"/>
          <w:szCs w:val="22"/>
        </w:rPr>
        <w:t>as a result of</w:t>
      </w:r>
      <w:r w:rsidRPr="0033639F">
        <w:rPr>
          <w:rFonts w:ascii="Arial" w:hAnsi="Arial" w:cs="Arial"/>
          <w:bCs/>
          <w:sz w:val="22"/>
          <w:szCs w:val="22"/>
        </w:rPr>
        <w:t xml:space="preserve"> decreased or inactive GH (secondary)</w:t>
      </w:r>
      <w:r w:rsidRPr="0033639F">
        <w:rPr>
          <w:rFonts w:ascii="Arial" w:hAnsi="Arial" w:cs="Arial"/>
          <w:bCs/>
          <w:noProof/>
          <w:sz w:val="22"/>
          <w:szCs w:val="22"/>
        </w:rPr>
        <w:t xml:space="preserve"> </w:t>
      </w:r>
      <w:r w:rsidR="008713DA" w:rsidRPr="0033639F">
        <w:rPr>
          <w:rFonts w:ascii="Arial" w:hAnsi="Arial" w:cs="Arial"/>
          <w:bCs/>
          <w:noProof/>
          <w:sz w:val="22"/>
          <w:szCs w:val="22"/>
        </w:rPr>
        <w:t>(1</w:t>
      </w:r>
      <w:r w:rsidR="00F8606C" w:rsidRPr="0033639F">
        <w:rPr>
          <w:rFonts w:ascii="Arial" w:hAnsi="Arial" w:cs="Arial"/>
          <w:bCs/>
          <w:noProof/>
          <w:sz w:val="22"/>
          <w:szCs w:val="22"/>
        </w:rPr>
        <w:t>30</w:t>
      </w:r>
      <w:r w:rsidR="008713DA" w:rsidRPr="0033639F">
        <w:rPr>
          <w:rFonts w:ascii="Arial" w:hAnsi="Arial" w:cs="Arial"/>
          <w:bCs/>
          <w:noProof/>
          <w:sz w:val="22"/>
          <w:szCs w:val="22"/>
        </w:rPr>
        <w:t>)</w:t>
      </w:r>
      <w:r w:rsidRPr="0033639F">
        <w:rPr>
          <w:rFonts w:ascii="Arial" w:hAnsi="Arial" w:cs="Arial"/>
          <w:bCs/>
          <w:sz w:val="22"/>
          <w:szCs w:val="22"/>
        </w:rPr>
        <w:t xml:space="preserve"> (see Table 6). </w:t>
      </w:r>
    </w:p>
    <w:p w14:paraId="388C8B3B" w14:textId="77777777" w:rsidR="002573C9" w:rsidRPr="0033639F" w:rsidRDefault="002573C9" w:rsidP="0033639F">
      <w:pPr>
        <w:spacing w:line="276" w:lineRule="auto"/>
        <w:outlineLvl w:val="2"/>
        <w:rPr>
          <w:rFonts w:ascii="Arial" w:hAnsi="Arial" w:cs="Arial"/>
          <w:bCs/>
          <w:sz w:val="22"/>
          <w:szCs w:val="22"/>
        </w:rPr>
      </w:pPr>
    </w:p>
    <w:tbl>
      <w:tblPr>
        <w:tblStyle w:val="TableGrid"/>
        <w:tblW w:w="0" w:type="auto"/>
        <w:tblLook w:val="0000" w:firstRow="0" w:lastRow="0" w:firstColumn="0" w:lastColumn="0" w:noHBand="0" w:noVBand="0"/>
      </w:tblPr>
      <w:tblGrid>
        <w:gridCol w:w="9350"/>
      </w:tblGrid>
      <w:tr w:rsidR="00803B01" w:rsidRPr="0033639F" w14:paraId="45FAD934" w14:textId="77777777" w:rsidTr="002573C9">
        <w:trPr>
          <w:trHeight w:val="288"/>
        </w:trPr>
        <w:tc>
          <w:tcPr>
            <w:tcW w:w="8700" w:type="dxa"/>
            <w:shd w:val="clear" w:color="auto" w:fill="FFFF00"/>
          </w:tcPr>
          <w:p w14:paraId="391A6E00" w14:textId="2F5B7076" w:rsidR="00803B01" w:rsidRPr="0033639F" w:rsidRDefault="00803B01" w:rsidP="0033639F">
            <w:pPr>
              <w:spacing w:line="276" w:lineRule="auto"/>
              <w:rPr>
                <w:rFonts w:ascii="Arial" w:hAnsi="Arial" w:cs="Arial"/>
                <w:b/>
                <w:sz w:val="22"/>
                <w:szCs w:val="22"/>
              </w:rPr>
            </w:pPr>
            <w:r w:rsidRPr="0033639F">
              <w:rPr>
                <w:rFonts w:ascii="Arial" w:hAnsi="Arial" w:cs="Arial"/>
                <w:b/>
                <w:bCs/>
                <w:sz w:val="22"/>
                <w:szCs w:val="22"/>
              </w:rPr>
              <w:t>Table 6.  IGF1 Deficiency</w:t>
            </w:r>
          </w:p>
        </w:tc>
      </w:tr>
      <w:tr w:rsidR="00803B01" w:rsidRPr="0033639F" w14:paraId="5BB18216" w14:textId="77777777" w:rsidTr="002573C9">
        <w:trPr>
          <w:trHeight w:val="4446"/>
        </w:trPr>
        <w:tc>
          <w:tcPr>
            <w:tcW w:w="0" w:type="auto"/>
          </w:tcPr>
          <w:p w14:paraId="436B8C9D" w14:textId="77777777" w:rsidR="00803B01" w:rsidRDefault="00803B01" w:rsidP="0033639F">
            <w:pPr>
              <w:numPr>
                <w:ilvl w:val="0"/>
                <w:numId w:val="14"/>
              </w:numPr>
              <w:spacing w:line="276" w:lineRule="auto"/>
              <w:ind w:left="0"/>
              <w:rPr>
                <w:rFonts w:ascii="Arial" w:hAnsi="Arial" w:cs="Arial"/>
                <w:b/>
                <w:bCs/>
                <w:sz w:val="22"/>
                <w:szCs w:val="22"/>
              </w:rPr>
            </w:pPr>
            <w:r w:rsidRPr="0033639F">
              <w:rPr>
                <w:rFonts w:ascii="Arial" w:hAnsi="Arial" w:cs="Arial"/>
                <w:b/>
                <w:bCs/>
                <w:sz w:val="22"/>
                <w:szCs w:val="22"/>
              </w:rPr>
              <w:t xml:space="preserve">Primary IGF1 Deficiency (normal or elevated GH levels)  </w:t>
            </w:r>
          </w:p>
          <w:p w14:paraId="2703246F" w14:textId="77777777" w:rsidR="00AF6BDA" w:rsidRPr="0033639F" w:rsidRDefault="00AF6BDA" w:rsidP="0033639F">
            <w:pPr>
              <w:numPr>
                <w:ilvl w:val="0"/>
                <w:numId w:val="14"/>
              </w:numPr>
              <w:spacing w:line="276" w:lineRule="auto"/>
              <w:ind w:left="0"/>
              <w:rPr>
                <w:rFonts w:ascii="Arial" w:hAnsi="Arial" w:cs="Arial"/>
                <w:b/>
                <w:bCs/>
                <w:sz w:val="22"/>
                <w:szCs w:val="22"/>
              </w:rPr>
            </w:pPr>
          </w:p>
          <w:p w14:paraId="0FFE2C05" w14:textId="77777777" w:rsidR="00803B01" w:rsidRPr="0033639F" w:rsidRDefault="00803B01" w:rsidP="0033639F">
            <w:pPr>
              <w:numPr>
                <w:ilvl w:val="0"/>
                <w:numId w:val="6"/>
              </w:numPr>
              <w:spacing w:line="276" w:lineRule="auto"/>
              <w:ind w:left="0"/>
              <w:rPr>
                <w:rFonts w:ascii="Arial" w:hAnsi="Arial" w:cs="Arial"/>
                <w:color w:val="0070C0"/>
                <w:sz w:val="22"/>
                <w:szCs w:val="22"/>
              </w:rPr>
            </w:pPr>
            <w:r w:rsidRPr="006E13D2">
              <w:rPr>
                <w:rFonts w:ascii="Arial" w:hAnsi="Arial" w:cs="Arial"/>
                <w:b/>
                <w:bCs/>
                <w:sz w:val="22"/>
                <w:szCs w:val="22"/>
              </w:rPr>
              <w:t>Defects in IGF1 Production</w:t>
            </w:r>
            <w:r w:rsidRPr="0033639F">
              <w:rPr>
                <w:rFonts w:ascii="Arial" w:hAnsi="Arial" w:cs="Arial"/>
                <w:color w:val="0070C0"/>
                <w:sz w:val="22"/>
                <w:szCs w:val="22"/>
              </w:rPr>
              <w:t xml:space="preserve">: </w:t>
            </w:r>
          </w:p>
          <w:p w14:paraId="24EB6C26" w14:textId="2CD2D672" w:rsidR="00803B01" w:rsidRPr="0033639F" w:rsidRDefault="00803B01" w:rsidP="0033639F">
            <w:pPr>
              <w:numPr>
                <w:ilvl w:val="0"/>
                <w:numId w:val="7"/>
              </w:numPr>
              <w:spacing w:line="276" w:lineRule="auto"/>
              <w:ind w:left="0"/>
              <w:rPr>
                <w:rFonts w:ascii="Arial" w:hAnsi="Arial" w:cs="Arial"/>
                <w:bCs/>
                <w:sz w:val="22"/>
                <w:szCs w:val="22"/>
              </w:rPr>
            </w:pPr>
            <w:r w:rsidRPr="0033639F">
              <w:rPr>
                <w:rFonts w:ascii="Arial" w:hAnsi="Arial" w:cs="Arial"/>
                <w:bCs/>
                <w:sz w:val="22"/>
                <w:szCs w:val="22"/>
              </w:rPr>
              <w:t xml:space="preserve">Mutation in IGF1 gene or </w:t>
            </w:r>
            <w:r w:rsidR="00941621" w:rsidRPr="0033639F">
              <w:rPr>
                <w:rFonts w:ascii="Arial" w:hAnsi="Arial" w:cs="Arial"/>
                <w:bCs/>
                <w:sz w:val="22"/>
                <w:szCs w:val="22"/>
              </w:rPr>
              <w:t>bio inactive</w:t>
            </w:r>
            <w:r w:rsidRPr="0033639F">
              <w:rPr>
                <w:rFonts w:ascii="Arial" w:hAnsi="Arial" w:cs="Arial"/>
                <w:bCs/>
                <w:sz w:val="22"/>
                <w:szCs w:val="22"/>
              </w:rPr>
              <w:t xml:space="preserve"> IGF1</w:t>
            </w:r>
          </w:p>
          <w:p w14:paraId="76A0A759" w14:textId="77777777" w:rsidR="00803B01" w:rsidRPr="0033639F" w:rsidRDefault="00803B01" w:rsidP="0033639F">
            <w:pPr>
              <w:numPr>
                <w:ilvl w:val="0"/>
                <w:numId w:val="7"/>
              </w:numPr>
              <w:spacing w:line="276" w:lineRule="auto"/>
              <w:ind w:left="0"/>
              <w:rPr>
                <w:rFonts w:ascii="Arial" w:hAnsi="Arial" w:cs="Arial"/>
                <w:bCs/>
                <w:sz w:val="22"/>
                <w:szCs w:val="22"/>
              </w:rPr>
            </w:pPr>
            <w:r w:rsidRPr="0033639F">
              <w:rPr>
                <w:rFonts w:ascii="Arial" w:hAnsi="Arial" w:cs="Arial"/>
                <w:bCs/>
                <w:sz w:val="22"/>
                <w:szCs w:val="22"/>
              </w:rPr>
              <w:t>GHR receptor signaling defects (JAK/STAT)</w:t>
            </w:r>
          </w:p>
          <w:p w14:paraId="0C40EE5B" w14:textId="77777777" w:rsidR="00803B01" w:rsidRPr="0033639F" w:rsidRDefault="00803B01" w:rsidP="0033639F">
            <w:pPr>
              <w:numPr>
                <w:ilvl w:val="0"/>
                <w:numId w:val="7"/>
              </w:numPr>
              <w:spacing w:line="276" w:lineRule="auto"/>
              <w:ind w:left="0"/>
              <w:rPr>
                <w:rFonts w:ascii="Arial" w:hAnsi="Arial" w:cs="Arial"/>
                <w:bCs/>
                <w:sz w:val="22"/>
                <w:szCs w:val="22"/>
              </w:rPr>
            </w:pPr>
            <w:r w:rsidRPr="0033639F">
              <w:rPr>
                <w:rFonts w:ascii="Arial" w:hAnsi="Arial" w:cs="Arial"/>
                <w:bCs/>
                <w:sz w:val="22"/>
                <w:szCs w:val="22"/>
              </w:rPr>
              <w:t>Mutations in ALS gene</w:t>
            </w:r>
          </w:p>
          <w:p w14:paraId="3204D7A0" w14:textId="4DC891FE" w:rsidR="00803B01" w:rsidRPr="0033639F" w:rsidRDefault="00803B01" w:rsidP="0033639F">
            <w:pPr>
              <w:numPr>
                <w:ilvl w:val="0"/>
                <w:numId w:val="7"/>
              </w:numPr>
              <w:spacing w:line="276" w:lineRule="auto"/>
              <w:ind w:left="0"/>
              <w:rPr>
                <w:rFonts w:ascii="Arial" w:hAnsi="Arial" w:cs="Arial"/>
                <w:bCs/>
                <w:sz w:val="22"/>
                <w:szCs w:val="22"/>
              </w:rPr>
            </w:pPr>
            <w:r w:rsidRPr="0033639F">
              <w:rPr>
                <w:rFonts w:ascii="Arial" w:hAnsi="Arial" w:cs="Arial"/>
                <w:bCs/>
                <w:sz w:val="22"/>
                <w:szCs w:val="22"/>
              </w:rPr>
              <w:t xml:space="preserve">Factors </w:t>
            </w:r>
            <w:r w:rsidR="005B1285" w:rsidRPr="0033639F">
              <w:rPr>
                <w:rFonts w:ascii="Arial" w:hAnsi="Arial" w:cs="Arial"/>
                <w:bCs/>
                <w:sz w:val="22"/>
                <w:szCs w:val="22"/>
              </w:rPr>
              <w:t>affecting</w:t>
            </w:r>
            <w:r w:rsidRPr="0033639F">
              <w:rPr>
                <w:rFonts w:ascii="Arial" w:hAnsi="Arial" w:cs="Arial"/>
                <w:bCs/>
                <w:sz w:val="22"/>
                <w:szCs w:val="22"/>
              </w:rPr>
              <w:t xml:space="preserve"> IGF1 production (malnutrition, liver, inflammatory bowel </w:t>
            </w:r>
          </w:p>
          <w:p w14:paraId="7ED0E24C" w14:textId="67E85173" w:rsidR="00803B01" w:rsidRPr="0033639F" w:rsidRDefault="00803B01" w:rsidP="0033639F">
            <w:pPr>
              <w:spacing w:line="276" w:lineRule="auto"/>
              <w:outlineLvl w:val="2"/>
              <w:rPr>
                <w:rFonts w:ascii="Arial" w:hAnsi="Arial" w:cs="Arial"/>
                <w:bCs/>
                <w:sz w:val="22"/>
                <w:szCs w:val="22"/>
              </w:rPr>
            </w:pPr>
            <w:r w:rsidRPr="0033639F">
              <w:rPr>
                <w:rFonts w:ascii="Arial" w:hAnsi="Arial" w:cs="Arial"/>
                <w:bCs/>
                <w:sz w:val="22"/>
                <w:szCs w:val="22"/>
              </w:rPr>
              <w:t>disorders, celiac disease)</w:t>
            </w:r>
          </w:p>
          <w:p w14:paraId="2E868143" w14:textId="77777777" w:rsidR="00803B01" w:rsidRPr="0033639F" w:rsidRDefault="00803B01" w:rsidP="0033639F">
            <w:pPr>
              <w:spacing w:line="276" w:lineRule="auto"/>
              <w:outlineLvl w:val="2"/>
              <w:rPr>
                <w:rFonts w:ascii="Arial" w:hAnsi="Arial" w:cs="Arial"/>
                <w:bCs/>
                <w:sz w:val="22"/>
                <w:szCs w:val="22"/>
              </w:rPr>
            </w:pPr>
          </w:p>
          <w:p w14:paraId="7919A05B" w14:textId="77777777" w:rsidR="00803B01" w:rsidRPr="006E13D2" w:rsidRDefault="00803B01" w:rsidP="0033639F">
            <w:pPr>
              <w:spacing w:line="276" w:lineRule="auto"/>
              <w:outlineLvl w:val="2"/>
              <w:rPr>
                <w:rFonts w:ascii="Arial" w:hAnsi="Arial" w:cs="Arial"/>
                <w:b/>
                <w:sz w:val="22"/>
                <w:szCs w:val="22"/>
              </w:rPr>
            </w:pPr>
            <w:r w:rsidRPr="006E13D2">
              <w:rPr>
                <w:rFonts w:ascii="Arial" w:hAnsi="Arial" w:cs="Arial"/>
                <w:b/>
                <w:sz w:val="22"/>
                <w:szCs w:val="22"/>
              </w:rPr>
              <w:t xml:space="preserve">Defects in IGF1 Action: </w:t>
            </w:r>
          </w:p>
          <w:p w14:paraId="6729CC07" w14:textId="77777777" w:rsidR="00803B01" w:rsidRPr="0033639F" w:rsidRDefault="00803B01" w:rsidP="0033639F">
            <w:pPr>
              <w:numPr>
                <w:ilvl w:val="0"/>
                <w:numId w:val="10"/>
              </w:numPr>
              <w:spacing w:line="276" w:lineRule="auto"/>
              <w:ind w:left="0"/>
              <w:outlineLvl w:val="2"/>
              <w:rPr>
                <w:rFonts w:ascii="Arial" w:hAnsi="Arial" w:cs="Arial"/>
                <w:bCs/>
                <w:sz w:val="22"/>
                <w:szCs w:val="22"/>
              </w:rPr>
            </w:pPr>
            <w:r w:rsidRPr="0033639F">
              <w:rPr>
                <w:rFonts w:ascii="Arial" w:hAnsi="Arial" w:cs="Arial"/>
                <w:bCs/>
                <w:sz w:val="22"/>
                <w:szCs w:val="22"/>
              </w:rPr>
              <w:t>IGF1 resistance due to receptor or post-receptor defects</w:t>
            </w:r>
          </w:p>
          <w:p w14:paraId="498503E1" w14:textId="77777777" w:rsidR="00803B01" w:rsidRDefault="00803B01" w:rsidP="0033639F">
            <w:pPr>
              <w:numPr>
                <w:ilvl w:val="0"/>
                <w:numId w:val="10"/>
              </w:numPr>
              <w:spacing w:line="276" w:lineRule="auto"/>
              <w:ind w:left="0"/>
              <w:outlineLvl w:val="2"/>
              <w:rPr>
                <w:rFonts w:ascii="Arial" w:hAnsi="Arial" w:cs="Arial"/>
                <w:bCs/>
                <w:sz w:val="22"/>
                <w:szCs w:val="22"/>
              </w:rPr>
            </w:pPr>
            <w:r w:rsidRPr="0033639F">
              <w:rPr>
                <w:rFonts w:ascii="Arial" w:hAnsi="Arial" w:cs="Arial"/>
                <w:bCs/>
                <w:sz w:val="22"/>
                <w:szCs w:val="22"/>
              </w:rPr>
              <w:t>Factors inhibiting IGF1 binding to IGF1R (increased IGFBPs and presence of IGF1 antibodies)</w:t>
            </w:r>
          </w:p>
          <w:p w14:paraId="7533AFC2" w14:textId="77777777" w:rsidR="00AF6BDA" w:rsidRPr="0033639F" w:rsidRDefault="00AF6BDA" w:rsidP="0033639F">
            <w:pPr>
              <w:numPr>
                <w:ilvl w:val="0"/>
                <w:numId w:val="10"/>
              </w:numPr>
              <w:spacing w:line="276" w:lineRule="auto"/>
              <w:ind w:left="0"/>
              <w:outlineLvl w:val="2"/>
              <w:rPr>
                <w:rFonts w:ascii="Arial" w:hAnsi="Arial" w:cs="Arial"/>
                <w:bCs/>
                <w:sz w:val="22"/>
                <w:szCs w:val="22"/>
              </w:rPr>
            </w:pPr>
          </w:p>
          <w:p w14:paraId="0EF2B8B1" w14:textId="77777777" w:rsidR="00803B01" w:rsidRPr="006E13D2" w:rsidRDefault="00803B01" w:rsidP="0033639F">
            <w:pPr>
              <w:spacing w:line="276" w:lineRule="auto"/>
              <w:outlineLvl w:val="2"/>
              <w:rPr>
                <w:rFonts w:ascii="Arial" w:hAnsi="Arial" w:cs="Arial"/>
                <w:b/>
                <w:sz w:val="22"/>
                <w:szCs w:val="22"/>
              </w:rPr>
            </w:pPr>
            <w:r w:rsidRPr="006E13D2">
              <w:rPr>
                <w:rFonts w:ascii="Arial" w:hAnsi="Arial" w:cs="Arial"/>
                <w:b/>
                <w:sz w:val="22"/>
                <w:szCs w:val="22"/>
              </w:rPr>
              <w:t>Defects in GH Action:</w:t>
            </w:r>
          </w:p>
          <w:p w14:paraId="10A40BA3" w14:textId="77777777" w:rsidR="00803B01" w:rsidRPr="0033639F" w:rsidRDefault="00803B01" w:rsidP="0033639F">
            <w:pPr>
              <w:numPr>
                <w:ilvl w:val="0"/>
                <w:numId w:val="13"/>
              </w:numPr>
              <w:spacing w:line="276" w:lineRule="auto"/>
              <w:ind w:left="0"/>
              <w:outlineLvl w:val="2"/>
              <w:rPr>
                <w:rFonts w:ascii="Arial" w:hAnsi="Arial" w:cs="Arial"/>
                <w:bCs/>
                <w:sz w:val="22"/>
                <w:szCs w:val="22"/>
              </w:rPr>
            </w:pPr>
            <w:r w:rsidRPr="0033639F">
              <w:rPr>
                <w:rFonts w:ascii="Arial" w:hAnsi="Arial" w:cs="Arial"/>
                <w:bCs/>
                <w:sz w:val="22"/>
                <w:szCs w:val="22"/>
              </w:rPr>
              <w:t>Factors inhibiting (increased GHBPs and presence of GH antibodies)</w:t>
            </w:r>
          </w:p>
          <w:p w14:paraId="005F1B93" w14:textId="77777777" w:rsidR="00803B01" w:rsidRPr="0033639F" w:rsidRDefault="00803B01" w:rsidP="0033639F">
            <w:pPr>
              <w:numPr>
                <w:ilvl w:val="0"/>
                <w:numId w:val="13"/>
              </w:numPr>
              <w:spacing w:line="276" w:lineRule="auto"/>
              <w:ind w:left="0"/>
              <w:outlineLvl w:val="2"/>
              <w:rPr>
                <w:rFonts w:ascii="Arial" w:hAnsi="Arial" w:cs="Arial"/>
                <w:b/>
                <w:bCs/>
                <w:sz w:val="22"/>
                <w:szCs w:val="22"/>
              </w:rPr>
            </w:pPr>
            <w:r w:rsidRPr="0033639F">
              <w:rPr>
                <w:rFonts w:ascii="Arial" w:hAnsi="Arial" w:cs="Arial"/>
                <w:bCs/>
                <w:sz w:val="22"/>
                <w:szCs w:val="22"/>
              </w:rPr>
              <w:t>GH receptor defects (decreased GH receptors, GHR antibodies, GHR gene defects)</w:t>
            </w:r>
          </w:p>
        </w:tc>
      </w:tr>
      <w:tr w:rsidR="00803B01" w:rsidRPr="0033639F" w14:paraId="70E0D9E5" w14:textId="77777777" w:rsidTr="002573C9">
        <w:trPr>
          <w:trHeight w:val="2183"/>
        </w:trPr>
        <w:tc>
          <w:tcPr>
            <w:tcW w:w="0" w:type="auto"/>
          </w:tcPr>
          <w:p w14:paraId="43D85BDD" w14:textId="77777777" w:rsidR="00803B01" w:rsidRPr="0033639F" w:rsidRDefault="00803B01" w:rsidP="0033639F">
            <w:pPr>
              <w:numPr>
                <w:ilvl w:val="0"/>
                <w:numId w:val="14"/>
              </w:numPr>
              <w:spacing w:line="276" w:lineRule="auto"/>
              <w:ind w:left="0"/>
              <w:rPr>
                <w:rFonts w:ascii="Arial" w:hAnsi="Arial" w:cs="Arial"/>
                <w:b/>
                <w:sz w:val="22"/>
                <w:szCs w:val="22"/>
              </w:rPr>
            </w:pPr>
            <w:r w:rsidRPr="0033639F">
              <w:rPr>
                <w:rFonts w:ascii="Arial" w:hAnsi="Arial" w:cs="Arial"/>
                <w:b/>
                <w:sz w:val="22"/>
                <w:szCs w:val="22"/>
              </w:rPr>
              <w:t>Secondary IGF1 Deficiency (decreased GH levels)</w:t>
            </w:r>
          </w:p>
          <w:p w14:paraId="7298C75C" w14:textId="77777777" w:rsidR="00AF6BDA" w:rsidRDefault="00AF6BDA" w:rsidP="0033639F">
            <w:pPr>
              <w:spacing w:line="276" w:lineRule="auto"/>
              <w:rPr>
                <w:rFonts w:ascii="Arial" w:hAnsi="Arial" w:cs="Arial"/>
                <w:color w:val="0070C0"/>
                <w:sz w:val="22"/>
                <w:szCs w:val="22"/>
              </w:rPr>
            </w:pPr>
          </w:p>
          <w:p w14:paraId="5E48F54A" w14:textId="5AEA890E" w:rsidR="00803B01" w:rsidRPr="000F621A" w:rsidRDefault="00803B01" w:rsidP="0033639F">
            <w:pPr>
              <w:spacing w:line="276" w:lineRule="auto"/>
              <w:rPr>
                <w:rFonts w:ascii="Arial" w:hAnsi="Arial" w:cs="Arial"/>
                <w:b/>
                <w:bCs/>
                <w:sz w:val="22"/>
                <w:szCs w:val="22"/>
              </w:rPr>
            </w:pPr>
            <w:r w:rsidRPr="000F621A">
              <w:rPr>
                <w:rFonts w:ascii="Arial" w:hAnsi="Arial" w:cs="Arial"/>
                <w:b/>
                <w:bCs/>
                <w:sz w:val="22"/>
                <w:szCs w:val="22"/>
              </w:rPr>
              <w:t>Decreased GH production</w:t>
            </w:r>
          </w:p>
          <w:p w14:paraId="2FF70714" w14:textId="77777777" w:rsidR="00803B01" w:rsidRPr="0033639F" w:rsidRDefault="00803B01" w:rsidP="0033639F">
            <w:pPr>
              <w:numPr>
                <w:ilvl w:val="0"/>
                <w:numId w:val="12"/>
              </w:numPr>
              <w:spacing w:line="276" w:lineRule="auto"/>
              <w:ind w:left="0"/>
              <w:rPr>
                <w:rFonts w:ascii="Arial" w:hAnsi="Arial" w:cs="Arial"/>
                <w:bCs/>
                <w:sz w:val="22"/>
                <w:szCs w:val="22"/>
              </w:rPr>
            </w:pPr>
            <w:r w:rsidRPr="0033639F">
              <w:rPr>
                <w:rFonts w:ascii="Arial" w:hAnsi="Arial" w:cs="Arial"/>
                <w:sz w:val="22"/>
                <w:szCs w:val="22"/>
              </w:rPr>
              <w:t>Defects in GH gene</w:t>
            </w:r>
            <w:r w:rsidRPr="0033639F">
              <w:rPr>
                <w:rFonts w:ascii="Arial" w:hAnsi="Arial" w:cs="Arial"/>
                <w:bCs/>
                <w:sz w:val="22"/>
                <w:szCs w:val="22"/>
              </w:rPr>
              <w:t xml:space="preserve"> </w:t>
            </w:r>
          </w:p>
          <w:p w14:paraId="32D75306" w14:textId="77777777" w:rsidR="00803B01" w:rsidRPr="0033639F" w:rsidRDefault="00803B01" w:rsidP="0033639F">
            <w:pPr>
              <w:numPr>
                <w:ilvl w:val="0"/>
                <w:numId w:val="12"/>
              </w:numPr>
              <w:spacing w:line="276" w:lineRule="auto"/>
              <w:ind w:left="0"/>
              <w:rPr>
                <w:rFonts w:ascii="Arial" w:hAnsi="Arial" w:cs="Arial"/>
                <w:bCs/>
                <w:sz w:val="22"/>
                <w:szCs w:val="22"/>
              </w:rPr>
            </w:pPr>
            <w:r w:rsidRPr="0033639F">
              <w:rPr>
                <w:rFonts w:ascii="Arial" w:hAnsi="Arial" w:cs="Arial"/>
                <w:sz w:val="22"/>
                <w:szCs w:val="22"/>
              </w:rPr>
              <w:t>Defects in GHRH or GHRH receptor</w:t>
            </w:r>
          </w:p>
          <w:p w14:paraId="0998CEF8" w14:textId="42B1EB84" w:rsidR="00803B01" w:rsidRPr="0033639F" w:rsidRDefault="00B96728" w:rsidP="0033639F">
            <w:pPr>
              <w:numPr>
                <w:ilvl w:val="0"/>
                <w:numId w:val="12"/>
              </w:numPr>
              <w:spacing w:line="276" w:lineRule="auto"/>
              <w:ind w:left="0"/>
              <w:rPr>
                <w:rFonts w:ascii="Arial" w:hAnsi="Arial" w:cs="Arial"/>
                <w:sz w:val="22"/>
                <w:szCs w:val="22"/>
              </w:rPr>
            </w:pPr>
            <w:r w:rsidRPr="0033639F">
              <w:rPr>
                <w:rFonts w:ascii="Arial" w:hAnsi="Arial" w:cs="Arial"/>
                <w:bCs/>
                <w:sz w:val="22"/>
                <w:szCs w:val="22"/>
              </w:rPr>
              <w:t>P</w:t>
            </w:r>
            <w:r w:rsidR="00803B01" w:rsidRPr="0033639F">
              <w:rPr>
                <w:rFonts w:ascii="Arial" w:hAnsi="Arial" w:cs="Arial"/>
                <w:bCs/>
                <w:sz w:val="22"/>
                <w:szCs w:val="22"/>
              </w:rPr>
              <w:t>sychological</w:t>
            </w:r>
            <w:r w:rsidRPr="0033639F">
              <w:rPr>
                <w:rFonts w:ascii="Arial" w:hAnsi="Arial" w:cs="Arial"/>
                <w:bCs/>
                <w:sz w:val="22"/>
                <w:szCs w:val="22"/>
              </w:rPr>
              <w:t xml:space="preserve"> disorders</w:t>
            </w:r>
          </w:p>
          <w:p w14:paraId="709AE406" w14:textId="77777777" w:rsidR="00F81254" w:rsidRDefault="00F81254" w:rsidP="0033639F">
            <w:pPr>
              <w:spacing w:line="276" w:lineRule="auto"/>
              <w:rPr>
                <w:rFonts w:ascii="Arial" w:hAnsi="Arial" w:cs="Arial"/>
                <w:b/>
                <w:bCs/>
                <w:sz w:val="22"/>
                <w:szCs w:val="22"/>
              </w:rPr>
            </w:pPr>
          </w:p>
          <w:p w14:paraId="74F3820E" w14:textId="4A566CDB" w:rsidR="00803B01" w:rsidRDefault="00803B01" w:rsidP="0033639F">
            <w:pPr>
              <w:spacing w:line="276" w:lineRule="auto"/>
              <w:rPr>
                <w:rFonts w:ascii="Arial" w:hAnsi="Arial" w:cs="Arial"/>
                <w:b/>
                <w:bCs/>
                <w:sz w:val="22"/>
                <w:szCs w:val="22"/>
              </w:rPr>
            </w:pPr>
            <w:r w:rsidRPr="006E13D2">
              <w:rPr>
                <w:rFonts w:ascii="Arial" w:hAnsi="Arial" w:cs="Arial"/>
                <w:b/>
                <w:bCs/>
                <w:sz w:val="22"/>
                <w:szCs w:val="22"/>
              </w:rPr>
              <w:t>Defects in hypothalamus and pituitary</w:t>
            </w:r>
          </w:p>
          <w:p w14:paraId="4648C600" w14:textId="77777777" w:rsidR="006E13D2" w:rsidRPr="006E13D2" w:rsidRDefault="006E13D2" w:rsidP="0033639F">
            <w:pPr>
              <w:spacing w:line="276" w:lineRule="auto"/>
              <w:rPr>
                <w:rFonts w:ascii="Arial" w:hAnsi="Arial" w:cs="Arial"/>
                <w:b/>
                <w:bCs/>
                <w:sz w:val="22"/>
                <w:szCs w:val="22"/>
              </w:rPr>
            </w:pPr>
          </w:p>
        </w:tc>
      </w:tr>
    </w:tbl>
    <w:p w14:paraId="7D14159B" w14:textId="77777777" w:rsidR="00803B01" w:rsidRPr="0033639F" w:rsidRDefault="00803B01" w:rsidP="0033639F">
      <w:pPr>
        <w:pStyle w:val="Heading2"/>
        <w:spacing w:before="0" w:after="0" w:line="276" w:lineRule="auto"/>
        <w:rPr>
          <w:rFonts w:ascii="Arial" w:hAnsi="Arial" w:cs="Arial"/>
          <w:sz w:val="22"/>
          <w:szCs w:val="22"/>
        </w:rPr>
      </w:pPr>
    </w:p>
    <w:p w14:paraId="068DDF69" w14:textId="36CBAA8A" w:rsidR="00803B01" w:rsidRPr="00F81254" w:rsidRDefault="00803B01" w:rsidP="00F81254">
      <w:pPr>
        <w:rPr>
          <w:rFonts w:ascii="Arial" w:hAnsi="Arial" w:cs="Arial"/>
          <w:b/>
          <w:bCs/>
          <w:color w:val="00B050"/>
          <w:sz w:val="22"/>
          <w:szCs w:val="22"/>
        </w:rPr>
      </w:pPr>
      <w:r w:rsidRPr="00F81254">
        <w:rPr>
          <w:rFonts w:ascii="Arial" w:hAnsi="Arial" w:cs="Arial"/>
          <w:b/>
          <w:bCs/>
          <w:color w:val="00B050"/>
          <w:sz w:val="22"/>
          <w:szCs w:val="22"/>
        </w:rPr>
        <w:t xml:space="preserve">Recombinant </w:t>
      </w:r>
      <w:r w:rsidR="00F81254">
        <w:rPr>
          <w:rFonts w:ascii="Arial" w:hAnsi="Arial" w:cs="Arial"/>
          <w:b/>
          <w:bCs/>
          <w:color w:val="00B050"/>
          <w:sz w:val="22"/>
          <w:szCs w:val="22"/>
        </w:rPr>
        <w:t>H</w:t>
      </w:r>
      <w:r w:rsidRPr="00F81254">
        <w:rPr>
          <w:rFonts w:ascii="Arial" w:hAnsi="Arial" w:cs="Arial"/>
          <w:b/>
          <w:bCs/>
          <w:color w:val="00B050"/>
          <w:sz w:val="22"/>
          <w:szCs w:val="22"/>
        </w:rPr>
        <w:t>uman IGF1 (rhIGF1)</w:t>
      </w:r>
    </w:p>
    <w:p w14:paraId="5D03ECF4" w14:textId="77777777" w:rsidR="00F81254" w:rsidRPr="00F81254" w:rsidRDefault="00F81254" w:rsidP="00F81254">
      <w:pPr>
        <w:rPr>
          <w:rFonts w:ascii="Arial" w:hAnsi="Arial" w:cs="Arial"/>
          <w:b/>
          <w:bCs/>
          <w:color w:val="00B050"/>
          <w:sz w:val="22"/>
          <w:szCs w:val="22"/>
        </w:rPr>
      </w:pPr>
    </w:p>
    <w:p w14:paraId="0BC07B9D" w14:textId="012AAB8D"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rhIGF1 is useful in the treatment of primary IGF1 deficiency resulting from abnormalities of the GH molecule (resulting in a </w:t>
      </w:r>
      <w:r w:rsidR="005C4555" w:rsidRPr="0033639F">
        <w:rPr>
          <w:rFonts w:ascii="Arial" w:hAnsi="Arial" w:cs="Arial"/>
          <w:sz w:val="22"/>
          <w:szCs w:val="22"/>
        </w:rPr>
        <w:t>bio inactive</w:t>
      </w:r>
      <w:r w:rsidRPr="0033639F">
        <w:rPr>
          <w:rFonts w:ascii="Arial" w:hAnsi="Arial" w:cs="Arial"/>
          <w:sz w:val="22"/>
          <w:szCs w:val="22"/>
        </w:rPr>
        <w:t xml:space="preserve"> GH), the GH receptor (known as Laron syndrome) or GH signaling cascade</w:t>
      </w:r>
      <w:r w:rsidRPr="0033639F">
        <w:rPr>
          <w:rFonts w:ascii="Arial" w:hAnsi="Arial" w:cs="Arial"/>
          <w:noProof/>
          <w:sz w:val="22"/>
          <w:szCs w:val="22"/>
        </w:rPr>
        <w:t xml:space="preserve"> </w:t>
      </w:r>
      <w:r w:rsidR="008713DA" w:rsidRPr="0033639F">
        <w:rPr>
          <w:rFonts w:ascii="Arial" w:hAnsi="Arial" w:cs="Arial"/>
          <w:noProof/>
          <w:sz w:val="22"/>
          <w:szCs w:val="22"/>
        </w:rPr>
        <w:t>(1</w:t>
      </w:r>
      <w:r w:rsidR="00F8606C" w:rsidRPr="0033639F">
        <w:rPr>
          <w:rFonts w:ascii="Arial" w:hAnsi="Arial" w:cs="Arial"/>
          <w:noProof/>
          <w:sz w:val="22"/>
          <w:szCs w:val="22"/>
        </w:rPr>
        <w:t>31</w:t>
      </w:r>
      <w:r w:rsidR="008713DA" w:rsidRPr="0033639F">
        <w:rPr>
          <w:rFonts w:ascii="Arial" w:hAnsi="Arial" w:cs="Arial"/>
          <w:noProof/>
          <w:sz w:val="22"/>
          <w:szCs w:val="22"/>
        </w:rPr>
        <w:t>)</w:t>
      </w:r>
      <w:r w:rsidRPr="0033639F">
        <w:rPr>
          <w:rFonts w:ascii="Arial" w:hAnsi="Arial" w:cs="Arial"/>
          <w:sz w:val="22"/>
          <w:szCs w:val="22"/>
        </w:rPr>
        <w:t>. Studies have shown that rhIGF1 significantly improves height in children unresponsive to rhGH</w:t>
      </w:r>
      <w:r w:rsidRPr="0033639F">
        <w:rPr>
          <w:rFonts w:ascii="Arial" w:hAnsi="Arial" w:cs="Arial"/>
          <w:noProof/>
          <w:sz w:val="22"/>
          <w:szCs w:val="22"/>
        </w:rPr>
        <w:t xml:space="preserve"> </w:t>
      </w:r>
      <w:r w:rsidR="008713DA" w:rsidRPr="0033639F">
        <w:rPr>
          <w:rFonts w:ascii="Arial" w:hAnsi="Arial" w:cs="Arial"/>
          <w:noProof/>
          <w:sz w:val="22"/>
          <w:szCs w:val="22"/>
        </w:rPr>
        <w:t>(1</w:t>
      </w:r>
      <w:r w:rsidR="00F8606C" w:rsidRPr="0033639F">
        <w:rPr>
          <w:rFonts w:ascii="Arial" w:hAnsi="Arial" w:cs="Arial"/>
          <w:noProof/>
          <w:sz w:val="22"/>
          <w:szCs w:val="22"/>
        </w:rPr>
        <w:t>32</w:t>
      </w:r>
      <w:r w:rsidR="008713DA" w:rsidRPr="0033639F">
        <w:rPr>
          <w:rFonts w:ascii="Arial" w:hAnsi="Arial" w:cs="Arial"/>
          <w:noProof/>
          <w:sz w:val="22"/>
          <w:szCs w:val="22"/>
        </w:rPr>
        <w:t>,1</w:t>
      </w:r>
      <w:r w:rsidR="00F8606C" w:rsidRPr="0033639F">
        <w:rPr>
          <w:rFonts w:ascii="Arial" w:hAnsi="Arial" w:cs="Arial"/>
          <w:noProof/>
          <w:sz w:val="22"/>
          <w:szCs w:val="22"/>
        </w:rPr>
        <w:t>33</w:t>
      </w:r>
      <w:r w:rsidR="008713DA" w:rsidRPr="0033639F">
        <w:rPr>
          <w:rFonts w:ascii="Arial" w:hAnsi="Arial" w:cs="Arial"/>
          <w:noProof/>
          <w:sz w:val="22"/>
          <w:szCs w:val="22"/>
        </w:rPr>
        <w:t>)</w:t>
      </w:r>
      <w:r w:rsidRPr="0033639F">
        <w:rPr>
          <w:rFonts w:ascii="Arial" w:hAnsi="Arial" w:cs="Arial"/>
          <w:sz w:val="22"/>
          <w:szCs w:val="22"/>
        </w:rPr>
        <w:t>, and clinical trials clearly demonstrated better response to IGF1 therapy when initiated at an early age</w:t>
      </w:r>
      <w:r w:rsidRPr="0033639F">
        <w:rPr>
          <w:rFonts w:ascii="Arial" w:hAnsi="Arial" w:cs="Arial"/>
          <w:noProof/>
          <w:sz w:val="22"/>
          <w:szCs w:val="22"/>
        </w:rPr>
        <w:t xml:space="preserve"> </w:t>
      </w:r>
      <w:r w:rsidR="008713DA" w:rsidRPr="0033639F">
        <w:rPr>
          <w:rFonts w:ascii="Arial" w:hAnsi="Arial" w:cs="Arial"/>
          <w:noProof/>
          <w:sz w:val="22"/>
          <w:szCs w:val="22"/>
        </w:rPr>
        <w:t>(1</w:t>
      </w:r>
      <w:r w:rsidR="00F8606C" w:rsidRPr="0033639F">
        <w:rPr>
          <w:rFonts w:ascii="Arial" w:hAnsi="Arial" w:cs="Arial"/>
          <w:noProof/>
          <w:sz w:val="22"/>
          <w:szCs w:val="22"/>
        </w:rPr>
        <w:t>34</w:t>
      </w:r>
      <w:r w:rsidR="008713DA" w:rsidRPr="0033639F">
        <w:rPr>
          <w:rFonts w:ascii="Arial" w:hAnsi="Arial" w:cs="Arial"/>
          <w:noProof/>
          <w:sz w:val="22"/>
          <w:szCs w:val="22"/>
        </w:rPr>
        <w:t>)</w:t>
      </w:r>
      <w:r w:rsidRPr="0033639F">
        <w:rPr>
          <w:rFonts w:ascii="Arial" w:hAnsi="Arial" w:cs="Arial"/>
          <w:sz w:val="22"/>
          <w:szCs w:val="22"/>
        </w:rPr>
        <w:t xml:space="preserve">. </w:t>
      </w:r>
    </w:p>
    <w:p w14:paraId="28CC0785" w14:textId="77777777" w:rsidR="00F81254" w:rsidRPr="0033639F" w:rsidRDefault="00F81254" w:rsidP="0033639F">
      <w:pPr>
        <w:spacing w:line="276" w:lineRule="auto"/>
        <w:rPr>
          <w:rFonts w:ascii="Arial" w:hAnsi="Arial" w:cs="Arial"/>
          <w:sz w:val="22"/>
          <w:szCs w:val="22"/>
        </w:rPr>
      </w:pPr>
    </w:p>
    <w:p w14:paraId="7252FFE9" w14:textId="4BD703CD"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FDA approved conditions for rhIGF1 treatment for children with</w:t>
      </w:r>
      <w:r w:rsidRPr="0033639F">
        <w:rPr>
          <w:rFonts w:ascii="Arial" w:hAnsi="Arial" w:cs="Arial"/>
          <w:noProof/>
          <w:sz w:val="22"/>
          <w:szCs w:val="22"/>
        </w:rPr>
        <w:t xml:space="preserve"> </w:t>
      </w:r>
      <w:r w:rsidR="008713DA" w:rsidRPr="0033639F">
        <w:rPr>
          <w:rFonts w:ascii="Arial" w:hAnsi="Arial" w:cs="Arial"/>
          <w:noProof/>
          <w:sz w:val="22"/>
          <w:szCs w:val="22"/>
        </w:rPr>
        <w:t>(1</w:t>
      </w:r>
      <w:r w:rsidR="00F8606C" w:rsidRPr="0033639F">
        <w:rPr>
          <w:rFonts w:ascii="Arial" w:hAnsi="Arial" w:cs="Arial"/>
          <w:noProof/>
          <w:sz w:val="22"/>
          <w:szCs w:val="22"/>
        </w:rPr>
        <w:t>35</w:t>
      </w:r>
      <w:r w:rsidR="008713DA" w:rsidRPr="0033639F">
        <w:rPr>
          <w:rFonts w:ascii="Arial" w:hAnsi="Arial" w:cs="Arial"/>
          <w:noProof/>
          <w:sz w:val="22"/>
          <w:szCs w:val="22"/>
        </w:rPr>
        <w:t>)</w:t>
      </w:r>
      <w:r w:rsidRPr="0033639F">
        <w:rPr>
          <w:rFonts w:ascii="Arial" w:hAnsi="Arial" w:cs="Arial"/>
          <w:sz w:val="22"/>
          <w:szCs w:val="22"/>
        </w:rPr>
        <w:t>:</w:t>
      </w:r>
    </w:p>
    <w:p w14:paraId="75309197" w14:textId="77777777" w:rsidR="00803B01" w:rsidRPr="0033639F" w:rsidRDefault="00803B01" w:rsidP="00F81254">
      <w:pPr>
        <w:tabs>
          <w:tab w:val="num" w:pos="1440"/>
        </w:tabs>
        <w:spacing w:line="276" w:lineRule="auto"/>
        <w:ind w:left="360" w:hanging="360"/>
        <w:rPr>
          <w:rFonts w:ascii="Arial" w:hAnsi="Arial" w:cs="Arial"/>
          <w:sz w:val="22"/>
          <w:szCs w:val="22"/>
        </w:rPr>
      </w:pPr>
      <w:r w:rsidRPr="0033639F">
        <w:rPr>
          <w:rFonts w:ascii="Arial" w:eastAsia="Verdana" w:hAnsi="Arial" w:cs="Arial"/>
          <w:sz w:val="22"/>
          <w:szCs w:val="22"/>
        </w:rPr>
        <w:t xml:space="preserve">1.     </w:t>
      </w:r>
      <w:r w:rsidRPr="0033639F">
        <w:rPr>
          <w:rFonts w:ascii="Arial" w:hAnsi="Arial" w:cs="Arial"/>
          <w:sz w:val="22"/>
          <w:szCs w:val="22"/>
        </w:rPr>
        <w:t>Severe primary IGF1 deficiency</w:t>
      </w:r>
    </w:p>
    <w:p w14:paraId="634E491C" w14:textId="77777777" w:rsidR="00803B01" w:rsidRPr="0033639F" w:rsidRDefault="00803B01" w:rsidP="00F81254">
      <w:pPr>
        <w:tabs>
          <w:tab w:val="num" w:pos="1440"/>
        </w:tabs>
        <w:spacing w:line="276" w:lineRule="auto"/>
        <w:ind w:left="360" w:hanging="360"/>
        <w:rPr>
          <w:rFonts w:ascii="Arial" w:hAnsi="Arial" w:cs="Arial"/>
          <w:sz w:val="22"/>
          <w:szCs w:val="22"/>
        </w:rPr>
      </w:pPr>
      <w:r w:rsidRPr="0033639F">
        <w:rPr>
          <w:rFonts w:ascii="Arial" w:eastAsia="Verdana" w:hAnsi="Arial" w:cs="Arial"/>
          <w:sz w:val="22"/>
          <w:szCs w:val="22"/>
        </w:rPr>
        <w:t xml:space="preserve">2.     </w:t>
      </w:r>
      <w:r w:rsidRPr="0033639F">
        <w:rPr>
          <w:rFonts w:ascii="Arial" w:hAnsi="Arial" w:cs="Arial"/>
          <w:sz w:val="22"/>
          <w:szCs w:val="22"/>
        </w:rPr>
        <w:t>GH gene deletions who have developed neutralizing antibodies to GH</w:t>
      </w:r>
    </w:p>
    <w:p w14:paraId="7036E385" w14:textId="77777777" w:rsidR="00DD6194" w:rsidRDefault="00DD6194" w:rsidP="00F81254">
      <w:pPr>
        <w:spacing w:line="276" w:lineRule="auto"/>
        <w:ind w:left="360" w:hanging="360"/>
        <w:rPr>
          <w:rFonts w:ascii="Arial" w:hAnsi="Arial" w:cs="Arial"/>
          <w:sz w:val="22"/>
          <w:szCs w:val="22"/>
        </w:rPr>
      </w:pPr>
    </w:p>
    <w:p w14:paraId="4D57AFBB" w14:textId="7627CED6" w:rsidR="00803B01" w:rsidRPr="0033639F" w:rsidRDefault="00803B01" w:rsidP="00F81254">
      <w:pPr>
        <w:spacing w:line="276" w:lineRule="auto"/>
        <w:ind w:left="360" w:hanging="360"/>
        <w:rPr>
          <w:rFonts w:ascii="Arial" w:hAnsi="Arial" w:cs="Arial"/>
          <w:sz w:val="22"/>
          <w:szCs w:val="22"/>
        </w:rPr>
      </w:pPr>
      <w:r w:rsidRPr="0033639F">
        <w:rPr>
          <w:rFonts w:ascii="Arial" w:hAnsi="Arial" w:cs="Arial"/>
          <w:sz w:val="22"/>
          <w:szCs w:val="22"/>
        </w:rPr>
        <w:lastRenderedPageBreak/>
        <w:t>Severe primary IGF1 deficiency is defined by:</w:t>
      </w:r>
    </w:p>
    <w:p w14:paraId="37FD7CBD" w14:textId="77777777" w:rsidR="00803B01" w:rsidRPr="0033639F" w:rsidRDefault="00803B01" w:rsidP="002B5FBC">
      <w:pPr>
        <w:tabs>
          <w:tab w:val="num" w:pos="2160"/>
        </w:tabs>
        <w:spacing w:line="276" w:lineRule="auto"/>
        <w:ind w:left="648" w:hanging="360"/>
        <w:rPr>
          <w:rFonts w:ascii="Arial" w:hAnsi="Arial" w:cs="Arial"/>
          <w:sz w:val="22"/>
          <w:szCs w:val="22"/>
        </w:rPr>
      </w:pPr>
      <w:r w:rsidRPr="0033639F">
        <w:rPr>
          <w:rFonts w:ascii="Arial" w:eastAsia="Verdana" w:hAnsi="Arial" w:cs="Arial"/>
          <w:sz w:val="22"/>
          <w:szCs w:val="22"/>
        </w:rPr>
        <w:t xml:space="preserve">1.     </w:t>
      </w:r>
      <w:r w:rsidRPr="0033639F">
        <w:rPr>
          <w:rFonts w:ascii="Arial" w:hAnsi="Arial" w:cs="Arial"/>
          <w:sz w:val="22"/>
          <w:szCs w:val="22"/>
        </w:rPr>
        <w:t>Height SD score is less than -3SD</w:t>
      </w:r>
    </w:p>
    <w:p w14:paraId="12A73667" w14:textId="77777777" w:rsidR="00803B01" w:rsidRPr="0033639F" w:rsidRDefault="00803B01" w:rsidP="002B5FBC">
      <w:pPr>
        <w:tabs>
          <w:tab w:val="num" w:pos="2160"/>
        </w:tabs>
        <w:spacing w:line="276" w:lineRule="auto"/>
        <w:ind w:left="648" w:hanging="360"/>
        <w:rPr>
          <w:rFonts w:ascii="Arial" w:hAnsi="Arial" w:cs="Arial"/>
          <w:sz w:val="22"/>
          <w:szCs w:val="22"/>
        </w:rPr>
      </w:pPr>
      <w:r w:rsidRPr="0033639F">
        <w:rPr>
          <w:rFonts w:ascii="Arial" w:eastAsia="Verdana" w:hAnsi="Arial" w:cs="Arial"/>
          <w:sz w:val="22"/>
          <w:szCs w:val="22"/>
        </w:rPr>
        <w:t xml:space="preserve">2.     </w:t>
      </w:r>
      <w:r w:rsidRPr="0033639F">
        <w:rPr>
          <w:rFonts w:ascii="Arial" w:hAnsi="Arial" w:cs="Arial"/>
          <w:sz w:val="22"/>
          <w:szCs w:val="22"/>
        </w:rPr>
        <w:t>Basal IGF1 level is below -3SD</w:t>
      </w:r>
    </w:p>
    <w:p w14:paraId="33DEDBCB" w14:textId="77777777" w:rsidR="00803B01" w:rsidRPr="0033639F" w:rsidRDefault="00803B01" w:rsidP="002B5FBC">
      <w:pPr>
        <w:tabs>
          <w:tab w:val="num" w:pos="2160"/>
        </w:tabs>
        <w:spacing w:line="276" w:lineRule="auto"/>
        <w:ind w:left="648" w:hanging="360"/>
        <w:rPr>
          <w:rFonts w:ascii="Arial" w:hAnsi="Arial" w:cs="Arial"/>
          <w:sz w:val="22"/>
          <w:szCs w:val="22"/>
        </w:rPr>
      </w:pPr>
      <w:r w:rsidRPr="0033639F">
        <w:rPr>
          <w:rFonts w:ascii="Arial" w:eastAsia="Verdana" w:hAnsi="Arial" w:cs="Arial"/>
          <w:sz w:val="22"/>
          <w:szCs w:val="22"/>
        </w:rPr>
        <w:t xml:space="preserve">3.     </w:t>
      </w:r>
      <w:r w:rsidRPr="0033639F">
        <w:rPr>
          <w:rFonts w:ascii="Arial" w:hAnsi="Arial" w:cs="Arial"/>
          <w:sz w:val="22"/>
          <w:szCs w:val="22"/>
        </w:rPr>
        <w:t>Normal or elevated GH</w:t>
      </w:r>
    </w:p>
    <w:p w14:paraId="60EFD7AA" w14:textId="77777777" w:rsidR="002B5FBC" w:rsidRDefault="002B5FBC" w:rsidP="0033639F">
      <w:pPr>
        <w:spacing w:line="276" w:lineRule="auto"/>
        <w:rPr>
          <w:rFonts w:ascii="Arial" w:hAnsi="Arial" w:cs="Arial"/>
          <w:sz w:val="22"/>
          <w:szCs w:val="22"/>
        </w:rPr>
      </w:pPr>
    </w:p>
    <w:p w14:paraId="07A2D470" w14:textId="786F4D27" w:rsidR="00803B01" w:rsidRDefault="00803B01" w:rsidP="0033639F">
      <w:pPr>
        <w:spacing w:line="276" w:lineRule="auto"/>
        <w:rPr>
          <w:rFonts w:ascii="Arial" w:hAnsi="Arial" w:cs="Arial"/>
          <w:sz w:val="22"/>
          <w:szCs w:val="22"/>
        </w:rPr>
      </w:pPr>
      <w:r w:rsidRPr="0033639F">
        <w:rPr>
          <w:rFonts w:ascii="Arial" w:hAnsi="Arial" w:cs="Arial"/>
          <w:sz w:val="22"/>
          <w:szCs w:val="22"/>
        </w:rPr>
        <w:t>The recommended starting dose of rhIGF1 is 40-80 microgram/kg twice daily by subcutaneous injection.  If it is tolerated well for at least one week, the dose may be increased by 40 microgram/kg per dose, to the maximum dose of 120 microgram/kg per dose</w:t>
      </w:r>
      <w:r w:rsidRPr="0033639F">
        <w:rPr>
          <w:rFonts w:ascii="Arial" w:hAnsi="Arial" w:cs="Arial"/>
          <w:noProof/>
          <w:sz w:val="22"/>
          <w:szCs w:val="22"/>
        </w:rPr>
        <w:t xml:space="preserve"> </w:t>
      </w:r>
      <w:r w:rsidR="008713DA" w:rsidRPr="0033639F">
        <w:rPr>
          <w:rFonts w:ascii="Arial" w:hAnsi="Arial" w:cs="Arial"/>
          <w:noProof/>
          <w:sz w:val="22"/>
          <w:szCs w:val="22"/>
        </w:rPr>
        <w:t>(1</w:t>
      </w:r>
      <w:r w:rsidR="00F8606C" w:rsidRPr="0033639F">
        <w:rPr>
          <w:rFonts w:ascii="Arial" w:hAnsi="Arial" w:cs="Arial"/>
          <w:noProof/>
          <w:sz w:val="22"/>
          <w:szCs w:val="22"/>
        </w:rPr>
        <w:t>36</w:t>
      </w:r>
      <w:r w:rsidR="008713DA" w:rsidRPr="0033639F">
        <w:rPr>
          <w:rFonts w:ascii="Arial" w:hAnsi="Arial" w:cs="Arial"/>
          <w:noProof/>
          <w:sz w:val="22"/>
          <w:szCs w:val="22"/>
        </w:rPr>
        <w:t>)</w:t>
      </w:r>
      <w:r w:rsidRPr="0033639F">
        <w:rPr>
          <w:rFonts w:ascii="Arial" w:hAnsi="Arial" w:cs="Arial"/>
          <w:sz w:val="22"/>
          <w:szCs w:val="22"/>
        </w:rPr>
        <w:t xml:space="preserve">. </w:t>
      </w:r>
    </w:p>
    <w:p w14:paraId="3FB1B227" w14:textId="77777777" w:rsidR="002B5FBC" w:rsidRPr="0033639F" w:rsidRDefault="002B5FBC" w:rsidP="0033639F">
      <w:pPr>
        <w:spacing w:line="276" w:lineRule="auto"/>
        <w:rPr>
          <w:rFonts w:ascii="Arial" w:hAnsi="Arial" w:cs="Arial"/>
          <w:sz w:val="22"/>
          <w:szCs w:val="22"/>
        </w:rPr>
      </w:pPr>
    </w:p>
    <w:p w14:paraId="0CBC906D" w14:textId="63857289"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The most common side effects of IGF1 treatment are pain at injection site and headaches which mostly diminish after</w:t>
      </w:r>
      <w:r w:rsidR="00056550" w:rsidRPr="0033639F">
        <w:rPr>
          <w:rFonts w:ascii="Arial" w:hAnsi="Arial" w:cs="Arial"/>
          <w:sz w:val="22"/>
          <w:szCs w:val="22"/>
        </w:rPr>
        <w:t xml:space="preserve"> the</w:t>
      </w:r>
      <w:r w:rsidRPr="0033639F">
        <w:rPr>
          <w:rFonts w:ascii="Arial" w:hAnsi="Arial" w:cs="Arial"/>
          <w:sz w:val="22"/>
          <w:szCs w:val="22"/>
        </w:rPr>
        <w:t xml:space="preserve"> first month of treatment </w:t>
      </w:r>
      <w:r w:rsidR="008713DA" w:rsidRPr="0033639F">
        <w:rPr>
          <w:rFonts w:ascii="Arial" w:hAnsi="Arial" w:cs="Arial"/>
          <w:noProof/>
          <w:sz w:val="22"/>
          <w:szCs w:val="22"/>
        </w:rPr>
        <w:t>(1</w:t>
      </w:r>
      <w:r w:rsidR="00F8606C" w:rsidRPr="0033639F">
        <w:rPr>
          <w:rFonts w:ascii="Arial" w:hAnsi="Arial" w:cs="Arial"/>
          <w:noProof/>
          <w:sz w:val="22"/>
          <w:szCs w:val="22"/>
        </w:rPr>
        <w:t>31</w:t>
      </w:r>
      <w:r w:rsidR="008713DA" w:rsidRPr="0033639F">
        <w:rPr>
          <w:rFonts w:ascii="Arial" w:hAnsi="Arial" w:cs="Arial"/>
          <w:noProof/>
          <w:sz w:val="22"/>
          <w:szCs w:val="22"/>
        </w:rPr>
        <w:t>)</w:t>
      </w:r>
      <w:r w:rsidRPr="0033639F">
        <w:rPr>
          <w:rFonts w:ascii="Arial" w:hAnsi="Arial" w:cs="Arial"/>
          <w:sz w:val="22"/>
          <w:szCs w:val="22"/>
        </w:rPr>
        <w:t>. Other less common side effects are lipohypertrophy at the injection site, pseudotumor cerebri, facial nerve palsy and hypoglycemia</w:t>
      </w:r>
      <w:r w:rsidRPr="0033639F">
        <w:rPr>
          <w:rFonts w:ascii="Arial" w:hAnsi="Arial" w:cs="Arial"/>
          <w:noProof/>
          <w:sz w:val="22"/>
          <w:szCs w:val="22"/>
        </w:rPr>
        <w:t xml:space="preserve"> </w:t>
      </w:r>
      <w:r w:rsidR="008713DA" w:rsidRPr="0033639F">
        <w:rPr>
          <w:rFonts w:ascii="Arial" w:hAnsi="Arial" w:cs="Arial"/>
          <w:noProof/>
          <w:sz w:val="22"/>
          <w:szCs w:val="22"/>
        </w:rPr>
        <w:t>(1</w:t>
      </w:r>
      <w:r w:rsidR="00F8606C" w:rsidRPr="0033639F">
        <w:rPr>
          <w:rFonts w:ascii="Arial" w:hAnsi="Arial" w:cs="Arial"/>
          <w:noProof/>
          <w:sz w:val="22"/>
          <w:szCs w:val="22"/>
        </w:rPr>
        <w:t>34</w:t>
      </w:r>
      <w:r w:rsidR="008713DA" w:rsidRPr="0033639F">
        <w:rPr>
          <w:rFonts w:ascii="Arial" w:hAnsi="Arial" w:cs="Arial"/>
          <w:noProof/>
          <w:sz w:val="22"/>
          <w:szCs w:val="22"/>
        </w:rPr>
        <w:t>)</w:t>
      </w:r>
      <w:r w:rsidRPr="0033639F">
        <w:rPr>
          <w:rFonts w:ascii="Arial" w:hAnsi="Arial" w:cs="Arial"/>
          <w:sz w:val="22"/>
          <w:szCs w:val="22"/>
        </w:rPr>
        <w:t>. Another effect of IGF1 treatment is a significant increase in fat mass and BMI</w:t>
      </w:r>
      <w:r w:rsidRPr="0033639F">
        <w:rPr>
          <w:rFonts w:ascii="Arial" w:hAnsi="Arial" w:cs="Arial"/>
          <w:noProof/>
          <w:sz w:val="22"/>
          <w:szCs w:val="22"/>
        </w:rPr>
        <w:t xml:space="preserve"> </w:t>
      </w:r>
      <w:r w:rsidR="008713DA" w:rsidRPr="0033639F">
        <w:rPr>
          <w:rFonts w:ascii="Arial" w:hAnsi="Arial" w:cs="Arial"/>
          <w:noProof/>
          <w:sz w:val="22"/>
          <w:szCs w:val="22"/>
        </w:rPr>
        <w:t>(13</w:t>
      </w:r>
      <w:r w:rsidR="00F8606C" w:rsidRPr="0033639F">
        <w:rPr>
          <w:rFonts w:ascii="Arial" w:hAnsi="Arial" w:cs="Arial"/>
          <w:noProof/>
          <w:sz w:val="22"/>
          <w:szCs w:val="22"/>
        </w:rPr>
        <w:t>7</w:t>
      </w:r>
      <w:r w:rsidR="008713DA" w:rsidRPr="0033639F">
        <w:rPr>
          <w:rFonts w:ascii="Arial" w:hAnsi="Arial" w:cs="Arial"/>
          <w:noProof/>
          <w:sz w:val="22"/>
          <w:szCs w:val="22"/>
        </w:rPr>
        <w:t>)</w:t>
      </w:r>
      <w:hyperlink w:anchor="_ENREF_127" w:tooltip="Backeljauw, 2001 #35" w:history="1"/>
      <w:r w:rsidRPr="0033639F">
        <w:rPr>
          <w:rFonts w:ascii="Arial" w:hAnsi="Arial" w:cs="Arial"/>
          <w:sz w:val="22"/>
          <w:szCs w:val="22"/>
        </w:rPr>
        <w:t xml:space="preserve"> —</w:t>
      </w:r>
      <w:r w:rsidR="00056550" w:rsidRPr="0033639F">
        <w:rPr>
          <w:rFonts w:ascii="Arial" w:hAnsi="Arial" w:cs="Arial"/>
          <w:sz w:val="22"/>
          <w:szCs w:val="22"/>
        </w:rPr>
        <w:t xml:space="preserve"> </w:t>
      </w:r>
      <w:r w:rsidRPr="0033639F">
        <w:rPr>
          <w:rFonts w:ascii="Arial" w:hAnsi="Arial" w:cs="Arial"/>
          <w:sz w:val="22"/>
          <w:szCs w:val="22"/>
        </w:rPr>
        <w:t>in contradistinction to the lipolytic effect of rhGH treatment. Coarsening of facial feature</w:t>
      </w:r>
      <w:r w:rsidR="00056550" w:rsidRPr="0033639F">
        <w:rPr>
          <w:rFonts w:ascii="Arial" w:hAnsi="Arial" w:cs="Arial"/>
          <w:sz w:val="22"/>
          <w:szCs w:val="22"/>
        </w:rPr>
        <w:t>s</w:t>
      </w:r>
      <w:r w:rsidRPr="0033639F">
        <w:rPr>
          <w:rFonts w:ascii="Arial" w:hAnsi="Arial" w:cs="Arial"/>
          <w:sz w:val="22"/>
          <w:szCs w:val="22"/>
        </w:rPr>
        <w:t xml:space="preserve">, increased hair growth, slipped capital femoral epiphysis, scoliosis, hypersensitivity, and allergic reactions including anaphylaxis are other prominent </w:t>
      </w:r>
      <w:r w:rsidR="00056550" w:rsidRPr="0033639F">
        <w:rPr>
          <w:rFonts w:ascii="Arial" w:hAnsi="Arial" w:cs="Arial"/>
          <w:sz w:val="22"/>
          <w:szCs w:val="22"/>
        </w:rPr>
        <w:t xml:space="preserve">adverse </w:t>
      </w:r>
      <w:r w:rsidRPr="0033639F">
        <w:rPr>
          <w:rFonts w:ascii="Arial" w:hAnsi="Arial" w:cs="Arial"/>
          <w:sz w:val="22"/>
          <w:szCs w:val="22"/>
        </w:rPr>
        <w:t xml:space="preserve">effects and </w:t>
      </w:r>
      <w:r w:rsidR="00056550" w:rsidRPr="0033639F">
        <w:rPr>
          <w:rFonts w:ascii="Arial" w:hAnsi="Arial" w:cs="Arial"/>
          <w:sz w:val="22"/>
          <w:szCs w:val="22"/>
        </w:rPr>
        <w:t xml:space="preserve">are </w:t>
      </w:r>
      <w:r w:rsidRPr="0033639F">
        <w:rPr>
          <w:rFonts w:ascii="Arial" w:hAnsi="Arial" w:cs="Arial"/>
          <w:sz w:val="22"/>
          <w:szCs w:val="22"/>
        </w:rPr>
        <w:t>most commonly seen during puberty. Growth of lymphoid tissue is a concern which may require tonsillectomy</w:t>
      </w:r>
      <w:r w:rsidRPr="0033639F">
        <w:rPr>
          <w:rFonts w:ascii="Arial" w:hAnsi="Arial" w:cs="Arial"/>
          <w:noProof/>
          <w:sz w:val="22"/>
          <w:szCs w:val="22"/>
        </w:rPr>
        <w:t xml:space="preserve"> </w:t>
      </w:r>
      <w:r w:rsidR="008713DA" w:rsidRPr="0033639F">
        <w:rPr>
          <w:rFonts w:ascii="Arial" w:hAnsi="Arial" w:cs="Arial"/>
          <w:noProof/>
          <w:sz w:val="22"/>
          <w:szCs w:val="22"/>
        </w:rPr>
        <w:t>(1</w:t>
      </w:r>
      <w:r w:rsidR="00F8606C" w:rsidRPr="0033639F">
        <w:rPr>
          <w:rFonts w:ascii="Arial" w:hAnsi="Arial" w:cs="Arial"/>
          <w:noProof/>
          <w:sz w:val="22"/>
          <w:szCs w:val="22"/>
        </w:rPr>
        <w:t>31</w:t>
      </w:r>
      <w:r w:rsidR="008713DA" w:rsidRPr="0033639F">
        <w:rPr>
          <w:rFonts w:ascii="Arial" w:hAnsi="Arial" w:cs="Arial"/>
          <w:noProof/>
          <w:sz w:val="22"/>
          <w:szCs w:val="22"/>
        </w:rPr>
        <w:t>)</w:t>
      </w:r>
      <w:hyperlink w:anchor="_ENREF_121" w:tooltip="Savage, 2004 #179" w:history="1"/>
      <w:r w:rsidRPr="0033639F">
        <w:rPr>
          <w:rFonts w:ascii="Arial" w:hAnsi="Arial" w:cs="Arial"/>
          <w:sz w:val="22"/>
          <w:szCs w:val="22"/>
        </w:rPr>
        <w:t xml:space="preserve">.   </w:t>
      </w:r>
    </w:p>
    <w:p w14:paraId="34D43132" w14:textId="77777777" w:rsidR="002B5FBC" w:rsidRDefault="002B5FBC" w:rsidP="0033639F">
      <w:pPr>
        <w:pStyle w:val="Heading2"/>
        <w:spacing w:before="0" w:after="0" w:line="276" w:lineRule="auto"/>
        <w:rPr>
          <w:rFonts w:ascii="Arial" w:hAnsi="Arial" w:cs="Arial"/>
          <w:b/>
          <w:bCs/>
          <w:sz w:val="22"/>
          <w:szCs w:val="22"/>
        </w:rPr>
      </w:pPr>
    </w:p>
    <w:p w14:paraId="38FD60DE" w14:textId="1F0C4588" w:rsidR="00803B01" w:rsidRPr="002B5FBC" w:rsidRDefault="00803B01" w:rsidP="002B5FBC">
      <w:pPr>
        <w:rPr>
          <w:rFonts w:ascii="Arial" w:hAnsi="Arial" w:cs="Arial"/>
          <w:b/>
          <w:bCs/>
          <w:color w:val="00B050"/>
          <w:sz w:val="22"/>
          <w:szCs w:val="22"/>
        </w:rPr>
      </w:pPr>
      <w:r w:rsidRPr="002B5FBC">
        <w:rPr>
          <w:rFonts w:ascii="Arial" w:hAnsi="Arial" w:cs="Arial"/>
          <w:b/>
          <w:bCs/>
          <w:color w:val="00B050"/>
          <w:sz w:val="22"/>
          <w:szCs w:val="22"/>
        </w:rPr>
        <w:t xml:space="preserve">Insulin-Like Growth Factor 1 Receptor (IGF1R) </w:t>
      </w:r>
    </w:p>
    <w:p w14:paraId="29849AD0" w14:textId="77777777" w:rsidR="002B5FBC" w:rsidRDefault="002B5FBC" w:rsidP="0033639F">
      <w:pPr>
        <w:spacing w:line="276" w:lineRule="auto"/>
        <w:rPr>
          <w:rFonts w:ascii="Arial" w:hAnsi="Arial" w:cs="Arial"/>
          <w:sz w:val="22"/>
          <w:szCs w:val="22"/>
        </w:rPr>
      </w:pPr>
    </w:p>
    <w:p w14:paraId="6B79F21F" w14:textId="4B702D3F" w:rsidR="00803B01" w:rsidRPr="0033639F" w:rsidRDefault="00803B01" w:rsidP="0033639F">
      <w:pPr>
        <w:spacing w:line="276" w:lineRule="auto"/>
        <w:rPr>
          <w:rFonts w:ascii="Arial" w:hAnsi="Arial" w:cs="Arial"/>
          <w:bCs/>
          <w:sz w:val="22"/>
          <w:szCs w:val="22"/>
        </w:rPr>
      </w:pPr>
      <w:r w:rsidRPr="0033639F">
        <w:rPr>
          <w:rFonts w:ascii="Arial" w:hAnsi="Arial" w:cs="Arial"/>
          <w:sz w:val="22"/>
          <w:szCs w:val="22"/>
        </w:rPr>
        <w:t xml:space="preserve">The receptor for IGF1 is structurally related to the insulin receptor and similarly has tyrosine kinase activity (Figure </w:t>
      </w:r>
      <w:r w:rsidR="006C2F1E" w:rsidRPr="0033639F">
        <w:rPr>
          <w:rFonts w:ascii="Arial" w:hAnsi="Arial" w:cs="Arial"/>
          <w:sz w:val="22"/>
          <w:szCs w:val="22"/>
        </w:rPr>
        <w:t>21</w:t>
      </w:r>
      <w:r w:rsidRPr="0033639F">
        <w:rPr>
          <w:rFonts w:ascii="Arial" w:hAnsi="Arial" w:cs="Arial"/>
          <w:sz w:val="22"/>
          <w:szCs w:val="22"/>
        </w:rPr>
        <w:t xml:space="preserve">). </w:t>
      </w:r>
      <w:r w:rsidRPr="0033639F">
        <w:rPr>
          <w:rFonts w:ascii="Arial" w:hAnsi="Arial" w:cs="Arial"/>
          <w:i/>
          <w:iCs/>
          <w:sz w:val="22"/>
          <w:szCs w:val="22"/>
        </w:rPr>
        <w:t>IGF1R</w:t>
      </w:r>
      <w:r w:rsidRPr="0033639F">
        <w:rPr>
          <w:rFonts w:ascii="Arial" w:hAnsi="Arial" w:cs="Arial"/>
          <w:sz w:val="22"/>
          <w:szCs w:val="22"/>
        </w:rPr>
        <w:t xml:space="preserve"> is located on 15q25-26. The mature (human) IGF1 receptor contains 1337 amino acids and has potent anti-apoptotic activity</w:t>
      </w:r>
      <w:r w:rsidRPr="0033639F">
        <w:rPr>
          <w:rFonts w:ascii="Arial" w:hAnsi="Arial" w:cs="Arial"/>
          <w:noProof/>
          <w:sz w:val="22"/>
          <w:szCs w:val="22"/>
        </w:rPr>
        <w:t xml:space="preserve"> (13</w:t>
      </w:r>
      <w:r w:rsidR="00F8606C" w:rsidRPr="0033639F">
        <w:rPr>
          <w:rFonts w:ascii="Arial" w:hAnsi="Arial" w:cs="Arial"/>
          <w:noProof/>
          <w:sz w:val="22"/>
          <w:szCs w:val="22"/>
        </w:rPr>
        <w:t>7</w:t>
      </w:r>
      <w:r w:rsidRPr="0033639F">
        <w:rPr>
          <w:rFonts w:ascii="Arial" w:hAnsi="Arial" w:cs="Arial"/>
          <w:noProof/>
          <w:sz w:val="22"/>
          <w:szCs w:val="22"/>
        </w:rPr>
        <w:t>)</w:t>
      </w:r>
      <w:r w:rsidRPr="0033639F">
        <w:rPr>
          <w:rFonts w:ascii="Arial" w:hAnsi="Arial" w:cs="Arial"/>
          <w:sz w:val="22"/>
          <w:szCs w:val="22"/>
        </w:rPr>
        <w:t xml:space="preserve">. The IGF1 receptor transduces signals from IGF1, IGF2 and insulin. However, murine data suggest that initially (in the </w:t>
      </w:r>
      <w:r w:rsidR="00056550" w:rsidRPr="0033639F">
        <w:rPr>
          <w:rFonts w:ascii="Arial" w:hAnsi="Arial" w:cs="Arial"/>
          <w:sz w:val="22"/>
          <w:szCs w:val="22"/>
        </w:rPr>
        <w:t>embryo</w:t>
      </w:r>
      <w:r w:rsidRPr="0033639F">
        <w:rPr>
          <w:rFonts w:ascii="Arial" w:hAnsi="Arial" w:cs="Arial"/>
          <w:sz w:val="22"/>
          <w:szCs w:val="22"/>
        </w:rPr>
        <w:t>) only the IGF2 signal is operational, while later on in development</w:t>
      </w:r>
      <w:r w:rsidR="00056550" w:rsidRPr="0033639F">
        <w:rPr>
          <w:rFonts w:ascii="Arial" w:hAnsi="Arial" w:cs="Arial"/>
          <w:sz w:val="22"/>
          <w:szCs w:val="22"/>
        </w:rPr>
        <w:t xml:space="preserve"> (</w:t>
      </w:r>
      <w:r w:rsidR="00056550" w:rsidRPr="0033639F">
        <w:rPr>
          <w:rFonts w:ascii="Arial" w:hAnsi="Arial" w:cs="Arial"/>
          <w:i/>
          <w:iCs/>
          <w:sz w:val="22"/>
          <w:szCs w:val="22"/>
        </w:rPr>
        <w:t>i.e.</w:t>
      </w:r>
      <w:r w:rsidR="00056550" w:rsidRPr="0033639F">
        <w:rPr>
          <w:rFonts w:ascii="Arial" w:hAnsi="Arial" w:cs="Arial"/>
          <w:sz w:val="22"/>
          <w:szCs w:val="22"/>
        </w:rPr>
        <w:t xml:space="preserve"> the fetus)</w:t>
      </w:r>
      <w:r w:rsidRPr="0033639F">
        <w:rPr>
          <w:rFonts w:ascii="Arial" w:hAnsi="Arial" w:cs="Arial"/>
          <w:sz w:val="22"/>
          <w:szCs w:val="22"/>
        </w:rPr>
        <w:t>, both IGF1 and IGF2 (and probably insulin) signal through the IGF1R</w:t>
      </w:r>
      <w:r w:rsidRPr="0033639F">
        <w:rPr>
          <w:rFonts w:ascii="Arial" w:hAnsi="Arial" w:cs="Arial"/>
          <w:noProof/>
          <w:sz w:val="22"/>
          <w:szCs w:val="22"/>
        </w:rPr>
        <w:t xml:space="preserve"> </w:t>
      </w:r>
      <w:r w:rsidR="008713DA" w:rsidRPr="0033639F">
        <w:rPr>
          <w:rFonts w:ascii="Arial" w:hAnsi="Arial" w:cs="Arial"/>
          <w:noProof/>
          <w:sz w:val="22"/>
          <w:szCs w:val="22"/>
        </w:rPr>
        <w:t>(1</w:t>
      </w:r>
      <w:r w:rsidR="00F8606C" w:rsidRPr="0033639F">
        <w:rPr>
          <w:rFonts w:ascii="Arial" w:hAnsi="Arial" w:cs="Arial"/>
          <w:noProof/>
          <w:sz w:val="22"/>
          <w:szCs w:val="22"/>
        </w:rPr>
        <w:t>12</w:t>
      </w:r>
      <w:r w:rsidR="008713DA" w:rsidRPr="0033639F">
        <w:rPr>
          <w:rFonts w:ascii="Arial" w:hAnsi="Arial" w:cs="Arial"/>
          <w:noProof/>
          <w:sz w:val="22"/>
          <w:szCs w:val="22"/>
        </w:rPr>
        <w:t>)</w:t>
      </w:r>
      <w:r w:rsidRPr="0033639F">
        <w:rPr>
          <w:rFonts w:ascii="Arial" w:hAnsi="Arial" w:cs="Arial"/>
          <w:sz w:val="22"/>
          <w:szCs w:val="22"/>
        </w:rPr>
        <w:t>. Hemizygosity for IGF1R has been reported in a single patient (and appears likely in others) with IUGR, microcephaly, micrognathia, renal anomalies, lung hypoplasia and delayed growth and development</w:t>
      </w:r>
      <w:r w:rsidR="008713DA" w:rsidRPr="0033639F">
        <w:rPr>
          <w:rFonts w:ascii="Arial" w:hAnsi="Arial" w:cs="Arial"/>
          <w:sz w:val="22"/>
          <w:szCs w:val="22"/>
        </w:rPr>
        <w:t xml:space="preserve"> </w:t>
      </w:r>
      <w:r w:rsidR="008713DA" w:rsidRPr="0033639F">
        <w:rPr>
          <w:rFonts w:ascii="Arial" w:hAnsi="Arial" w:cs="Arial"/>
          <w:noProof/>
          <w:sz w:val="22"/>
          <w:szCs w:val="22"/>
        </w:rPr>
        <w:t>(13</w:t>
      </w:r>
      <w:r w:rsidR="00F8606C" w:rsidRPr="0033639F">
        <w:rPr>
          <w:rFonts w:ascii="Arial" w:hAnsi="Arial" w:cs="Arial"/>
          <w:noProof/>
          <w:sz w:val="22"/>
          <w:szCs w:val="22"/>
        </w:rPr>
        <w:t>8</w:t>
      </w:r>
      <w:r w:rsidR="008713DA" w:rsidRPr="0033639F">
        <w:rPr>
          <w:rFonts w:ascii="Arial" w:hAnsi="Arial" w:cs="Arial"/>
          <w:noProof/>
          <w:sz w:val="22"/>
          <w:szCs w:val="22"/>
        </w:rPr>
        <w:t>)</w:t>
      </w:r>
      <w:r w:rsidRPr="0033639F">
        <w:rPr>
          <w:rFonts w:ascii="Arial" w:hAnsi="Arial" w:cs="Arial"/>
          <w:sz w:val="22"/>
          <w:szCs w:val="22"/>
        </w:rPr>
        <w:t>. Murine and human studies have shown that mutations in IGF1R result in combined intrauterine and postnatal growth failure</w:t>
      </w:r>
      <w:r w:rsidR="008713DA" w:rsidRPr="0033639F">
        <w:rPr>
          <w:rFonts w:ascii="Arial" w:hAnsi="Arial" w:cs="Arial"/>
          <w:sz w:val="22"/>
          <w:szCs w:val="22"/>
        </w:rPr>
        <w:t xml:space="preserve"> </w:t>
      </w:r>
      <w:r w:rsidR="008713DA" w:rsidRPr="0033639F">
        <w:rPr>
          <w:rFonts w:ascii="Arial" w:hAnsi="Arial" w:cs="Arial"/>
          <w:noProof/>
          <w:sz w:val="22"/>
          <w:szCs w:val="22"/>
        </w:rPr>
        <w:t>(10</w:t>
      </w:r>
      <w:r w:rsidR="00F8606C" w:rsidRPr="0033639F">
        <w:rPr>
          <w:rFonts w:ascii="Arial" w:hAnsi="Arial" w:cs="Arial"/>
          <w:noProof/>
          <w:sz w:val="22"/>
          <w:szCs w:val="22"/>
        </w:rPr>
        <w:t>4</w:t>
      </w:r>
      <w:r w:rsidR="008713DA" w:rsidRPr="0033639F">
        <w:rPr>
          <w:rFonts w:ascii="Arial" w:hAnsi="Arial" w:cs="Arial"/>
          <w:noProof/>
          <w:sz w:val="22"/>
          <w:szCs w:val="22"/>
        </w:rPr>
        <w:t>)</w:t>
      </w:r>
      <w:r w:rsidRPr="0033639F">
        <w:rPr>
          <w:rFonts w:ascii="Arial" w:hAnsi="Arial" w:cs="Arial"/>
          <w:sz w:val="22"/>
          <w:szCs w:val="22"/>
        </w:rPr>
        <w:t xml:space="preserve">, confirming the critical role of the IGF system on embryonic, fetal and postnatal growth. A novel heterozygous mutation in the tyrosine kinase domain of the </w:t>
      </w:r>
      <w:r w:rsidRPr="0033639F">
        <w:rPr>
          <w:rFonts w:ascii="Arial" w:hAnsi="Arial" w:cs="Arial"/>
          <w:i/>
          <w:sz w:val="22"/>
          <w:szCs w:val="22"/>
        </w:rPr>
        <w:t xml:space="preserve">IGF1R </w:t>
      </w:r>
      <w:r w:rsidRPr="0033639F">
        <w:rPr>
          <w:rFonts w:ascii="Arial" w:hAnsi="Arial" w:cs="Arial"/>
          <w:sz w:val="22"/>
          <w:szCs w:val="22"/>
        </w:rPr>
        <w:t>gene was recently identified in a family with short stature. The mutation, a heterozygous 19-nucleotide</w:t>
      </w:r>
      <w:r w:rsidRPr="0033639F">
        <w:rPr>
          <w:rFonts w:ascii="Arial" w:hAnsi="Arial" w:cs="Arial"/>
          <w:sz w:val="22"/>
          <w:szCs w:val="22"/>
          <w:vertAlign w:val="superscript"/>
        </w:rPr>
        <w:t xml:space="preserve"> </w:t>
      </w:r>
      <w:r w:rsidRPr="0033639F">
        <w:rPr>
          <w:rFonts w:ascii="Arial" w:hAnsi="Arial" w:cs="Arial"/>
          <w:sz w:val="22"/>
          <w:szCs w:val="22"/>
        </w:rPr>
        <w:t xml:space="preserve">duplication within exon 18 of the </w:t>
      </w:r>
      <w:r w:rsidRPr="0033639F">
        <w:rPr>
          <w:rFonts w:ascii="Arial" w:hAnsi="Arial" w:cs="Arial"/>
          <w:i/>
          <w:iCs/>
          <w:sz w:val="22"/>
          <w:szCs w:val="22"/>
        </w:rPr>
        <w:t>IGF1R</w:t>
      </w:r>
      <w:r w:rsidRPr="0033639F">
        <w:rPr>
          <w:rFonts w:ascii="Arial" w:hAnsi="Arial" w:cs="Arial"/>
          <w:sz w:val="22"/>
          <w:szCs w:val="22"/>
        </w:rPr>
        <w:t xml:space="preserve"> gene, results in </w:t>
      </w:r>
      <w:r w:rsidR="008E1A16" w:rsidRPr="0033639F">
        <w:rPr>
          <w:rFonts w:ascii="Arial" w:hAnsi="Arial" w:cs="Arial"/>
          <w:sz w:val="22"/>
          <w:szCs w:val="22"/>
        </w:rPr>
        <w:t>haploinsufficiency</w:t>
      </w:r>
      <w:r w:rsidRPr="0033639F">
        <w:rPr>
          <w:rFonts w:ascii="Arial" w:hAnsi="Arial" w:cs="Arial"/>
          <w:sz w:val="22"/>
          <w:szCs w:val="22"/>
        </w:rPr>
        <w:t xml:space="preserve"> of </w:t>
      </w:r>
      <w:r w:rsidR="00056550" w:rsidRPr="0033639F">
        <w:rPr>
          <w:rFonts w:ascii="Arial" w:hAnsi="Arial" w:cs="Arial"/>
          <w:sz w:val="22"/>
          <w:szCs w:val="22"/>
        </w:rPr>
        <w:t xml:space="preserve">the </w:t>
      </w:r>
      <w:r w:rsidRPr="0033639F">
        <w:rPr>
          <w:rFonts w:ascii="Arial" w:hAnsi="Arial" w:cs="Arial"/>
          <w:sz w:val="22"/>
          <w:szCs w:val="22"/>
        </w:rPr>
        <w:t>IGF1R protein due to nonsense mediated mRNA decay</w:t>
      </w:r>
      <w:r w:rsidRPr="0033639F">
        <w:rPr>
          <w:rFonts w:ascii="Arial" w:hAnsi="Arial" w:cs="Arial"/>
          <w:noProof/>
          <w:sz w:val="22"/>
          <w:szCs w:val="22"/>
        </w:rPr>
        <w:t xml:space="preserve"> </w:t>
      </w:r>
      <w:r w:rsidR="008713DA" w:rsidRPr="0033639F">
        <w:rPr>
          <w:rFonts w:ascii="Arial" w:hAnsi="Arial" w:cs="Arial"/>
          <w:noProof/>
          <w:sz w:val="22"/>
          <w:szCs w:val="22"/>
        </w:rPr>
        <w:t>(13</w:t>
      </w:r>
      <w:r w:rsidR="00F8606C" w:rsidRPr="0033639F">
        <w:rPr>
          <w:rFonts w:ascii="Arial" w:hAnsi="Arial" w:cs="Arial"/>
          <w:noProof/>
          <w:sz w:val="22"/>
          <w:szCs w:val="22"/>
        </w:rPr>
        <w:t>9</w:t>
      </w:r>
      <w:r w:rsidR="008713DA" w:rsidRPr="0033639F">
        <w:rPr>
          <w:rFonts w:ascii="Arial" w:hAnsi="Arial" w:cs="Arial"/>
          <w:noProof/>
          <w:sz w:val="22"/>
          <w:szCs w:val="22"/>
        </w:rPr>
        <w:t>)</w:t>
      </w:r>
      <w:r w:rsidRPr="0033639F">
        <w:rPr>
          <w:rFonts w:ascii="Arial" w:hAnsi="Arial" w:cs="Arial"/>
          <w:bCs/>
          <w:sz w:val="22"/>
          <w:szCs w:val="22"/>
        </w:rPr>
        <w:t>.</w:t>
      </w:r>
    </w:p>
    <w:p w14:paraId="52EC2512" w14:textId="77777777" w:rsidR="00920D72" w:rsidRDefault="00920D72" w:rsidP="0033639F">
      <w:pPr>
        <w:pStyle w:val="Heading2"/>
        <w:spacing w:before="0" w:after="0" w:line="276" w:lineRule="auto"/>
        <w:rPr>
          <w:rFonts w:ascii="Arial" w:hAnsi="Arial" w:cs="Arial"/>
          <w:b/>
          <w:sz w:val="22"/>
          <w:szCs w:val="22"/>
        </w:rPr>
      </w:pPr>
      <w:bookmarkStart w:id="27" w:name="id2507236"/>
      <w:bookmarkEnd w:id="27"/>
    </w:p>
    <w:p w14:paraId="70845086" w14:textId="5C2279A0" w:rsidR="00A979F5" w:rsidRPr="00A979F5" w:rsidRDefault="00A979F5" w:rsidP="00A979F5">
      <w:r>
        <w:rPr>
          <w:noProof/>
        </w:rPr>
        <w:drawing>
          <wp:inline distT="0" distB="0" distL="0" distR="0" wp14:anchorId="12E1E919" wp14:editId="39C1AD4F">
            <wp:extent cx="6261811" cy="3840251"/>
            <wp:effectExtent l="0" t="0" r="5715" b="8255"/>
            <wp:docPr id="1492932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5152" cy="3848433"/>
                    </a:xfrm>
                    <a:prstGeom prst="rect">
                      <a:avLst/>
                    </a:prstGeom>
                    <a:noFill/>
                  </pic:spPr>
                </pic:pic>
              </a:graphicData>
            </a:graphic>
          </wp:inline>
        </w:drawing>
      </w:r>
    </w:p>
    <w:p w14:paraId="6090CE84" w14:textId="15CBEAE7" w:rsidR="002B5FBC" w:rsidRPr="000F621A" w:rsidRDefault="00F16879" w:rsidP="000F621A">
      <w:pPr>
        <w:rPr>
          <w:rFonts w:ascii="Arial" w:hAnsi="Arial" w:cs="Arial"/>
          <w:b/>
          <w:bCs/>
          <w:sz w:val="22"/>
          <w:szCs w:val="22"/>
        </w:rPr>
      </w:pPr>
      <w:r w:rsidRPr="000F621A">
        <w:rPr>
          <w:rFonts w:ascii="Arial" w:hAnsi="Arial" w:cs="Arial"/>
          <w:b/>
          <w:bCs/>
          <w:sz w:val="22"/>
          <w:szCs w:val="22"/>
        </w:rPr>
        <w:t>Figure 21. The Insulin-Like Growth Factor 1 Receptor (IGF1R) gene</w:t>
      </w:r>
      <w:r w:rsidR="00FA7520" w:rsidRPr="000F621A">
        <w:rPr>
          <w:rFonts w:ascii="Arial" w:hAnsi="Arial" w:cs="Arial"/>
          <w:b/>
          <w:bCs/>
          <w:sz w:val="22"/>
          <w:szCs w:val="22"/>
        </w:rPr>
        <w:t>.</w:t>
      </w:r>
    </w:p>
    <w:p w14:paraId="34314308" w14:textId="77777777" w:rsidR="00F16879" w:rsidRPr="000F621A" w:rsidRDefault="00F16879" w:rsidP="000F621A">
      <w:pPr>
        <w:rPr>
          <w:rFonts w:ascii="Arial" w:hAnsi="Arial" w:cs="Arial"/>
          <w:b/>
          <w:bCs/>
          <w:sz w:val="22"/>
          <w:szCs w:val="22"/>
        </w:rPr>
      </w:pPr>
    </w:p>
    <w:p w14:paraId="03898B5F" w14:textId="325E23D1" w:rsidR="00803B01" w:rsidRDefault="00803B01" w:rsidP="0033639F">
      <w:pPr>
        <w:pStyle w:val="Heading2"/>
        <w:spacing w:before="0" w:after="0" w:line="276" w:lineRule="auto"/>
        <w:rPr>
          <w:rFonts w:ascii="Arial" w:hAnsi="Arial" w:cs="Arial"/>
          <w:bCs/>
          <w:color w:val="auto"/>
          <w:sz w:val="22"/>
          <w:szCs w:val="22"/>
        </w:rPr>
      </w:pPr>
      <w:r w:rsidRPr="00A979F5">
        <w:rPr>
          <w:rFonts w:ascii="Arial" w:hAnsi="Arial" w:cs="Arial"/>
          <w:bCs/>
          <w:color w:val="auto"/>
          <w:sz w:val="22"/>
          <w:szCs w:val="22"/>
        </w:rPr>
        <w:t>In summary, IGF1 and IGF1R mutations should be considered if a child presents with the following:</w:t>
      </w:r>
    </w:p>
    <w:p w14:paraId="1A5705DF" w14:textId="77777777" w:rsidR="00A979F5" w:rsidRPr="00A979F5" w:rsidRDefault="00A979F5" w:rsidP="00A979F5"/>
    <w:p w14:paraId="4EB47056" w14:textId="77777777" w:rsidR="00803B01" w:rsidRPr="0033639F" w:rsidRDefault="00803B01" w:rsidP="00A979F5">
      <w:pPr>
        <w:numPr>
          <w:ilvl w:val="0"/>
          <w:numId w:val="2"/>
        </w:numPr>
        <w:spacing w:line="276" w:lineRule="auto"/>
        <w:ind w:left="360"/>
        <w:rPr>
          <w:rFonts w:ascii="Arial" w:hAnsi="Arial" w:cs="Arial"/>
          <w:sz w:val="22"/>
          <w:szCs w:val="22"/>
        </w:rPr>
      </w:pPr>
      <w:r w:rsidRPr="0033639F">
        <w:rPr>
          <w:rFonts w:ascii="Arial" w:hAnsi="Arial" w:cs="Arial"/>
          <w:sz w:val="22"/>
          <w:szCs w:val="22"/>
        </w:rPr>
        <w:t>Intrauterine and postnatal growth retardation</w:t>
      </w:r>
    </w:p>
    <w:p w14:paraId="7B466F40" w14:textId="77777777" w:rsidR="00803B01" w:rsidRPr="0033639F" w:rsidRDefault="00803B01" w:rsidP="00A979F5">
      <w:pPr>
        <w:numPr>
          <w:ilvl w:val="0"/>
          <w:numId w:val="2"/>
        </w:numPr>
        <w:spacing w:line="276" w:lineRule="auto"/>
        <w:ind w:left="360"/>
        <w:rPr>
          <w:rFonts w:ascii="Arial" w:hAnsi="Arial" w:cs="Arial"/>
          <w:sz w:val="22"/>
          <w:szCs w:val="22"/>
        </w:rPr>
      </w:pPr>
      <w:r w:rsidRPr="0033639F">
        <w:rPr>
          <w:rFonts w:ascii="Arial" w:hAnsi="Arial" w:cs="Arial"/>
          <w:sz w:val="22"/>
          <w:szCs w:val="22"/>
        </w:rPr>
        <w:t>Microcephaly</w:t>
      </w:r>
    </w:p>
    <w:p w14:paraId="5826EC8D" w14:textId="77777777" w:rsidR="00803B01" w:rsidRPr="0033639F" w:rsidRDefault="00803B01" w:rsidP="00A979F5">
      <w:pPr>
        <w:numPr>
          <w:ilvl w:val="0"/>
          <w:numId w:val="2"/>
        </w:numPr>
        <w:spacing w:line="276" w:lineRule="auto"/>
        <w:ind w:left="360"/>
        <w:rPr>
          <w:rFonts w:ascii="Arial" w:hAnsi="Arial" w:cs="Arial"/>
          <w:sz w:val="22"/>
          <w:szCs w:val="22"/>
        </w:rPr>
      </w:pPr>
      <w:r w:rsidRPr="0033639F">
        <w:rPr>
          <w:rFonts w:ascii="Arial" w:hAnsi="Arial" w:cs="Arial"/>
          <w:sz w:val="22"/>
          <w:szCs w:val="22"/>
        </w:rPr>
        <w:t>Mental retardation</w:t>
      </w:r>
    </w:p>
    <w:p w14:paraId="684DB244" w14:textId="77777777" w:rsidR="00803B01" w:rsidRPr="0033639F" w:rsidRDefault="00803B01" w:rsidP="00A979F5">
      <w:pPr>
        <w:numPr>
          <w:ilvl w:val="0"/>
          <w:numId w:val="2"/>
        </w:numPr>
        <w:spacing w:line="276" w:lineRule="auto"/>
        <w:ind w:left="360"/>
        <w:rPr>
          <w:rFonts w:ascii="Arial" w:hAnsi="Arial" w:cs="Arial"/>
          <w:sz w:val="22"/>
          <w:szCs w:val="22"/>
        </w:rPr>
      </w:pPr>
      <w:r w:rsidRPr="0033639F">
        <w:rPr>
          <w:rFonts w:ascii="Arial" w:hAnsi="Arial" w:cs="Arial"/>
          <w:sz w:val="22"/>
          <w:szCs w:val="22"/>
        </w:rPr>
        <w:t>Developmental delay</w:t>
      </w:r>
    </w:p>
    <w:p w14:paraId="07BCBAC4" w14:textId="77777777" w:rsidR="00803B01" w:rsidRPr="0033639F" w:rsidRDefault="00803B01" w:rsidP="00A979F5">
      <w:pPr>
        <w:numPr>
          <w:ilvl w:val="0"/>
          <w:numId w:val="2"/>
        </w:numPr>
        <w:spacing w:line="276" w:lineRule="auto"/>
        <w:ind w:left="360"/>
        <w:rPr>
          <w:rFonts w:ascii="Arial" w:hAnsi="Arial" w:cs="Arial"/>
          <w:sz w:val="22"/>
          <w:szCs w:val="22"/>
        </w:rPr>
      </w:pPr>
      <w:r w:rsidRPr="0033639F">
        <w:rPr>
          <w:rFonts w:ascii="Arial" w:hAnsi="Arial" w:cs="Arial"/>
          <w:sz w:val="22"/>
          <w:szCs w:val="22"/>
        </w:rPr>
        <w:t>Sensorineural deafness</w:t>
      </w:r>
    </w:p>
    <w:p w14:paraId="6E559F6E" w14:textId="77777777" w:rsidR="00803B01" w:rsidRPr="0033639F" w:rsidRDefault="00803B01" w:rsidP="00A979F5">
      <w:pPr>
        <w:numPr>
          <w:ilvl w:val="0"/>
          <w:numId w:val="2"/>
        </w:numPr>
        <w:spacing w:line="276" w:lineRule="auto"/>
        <w:ind w:left="360"/>
        <w:rPr>
          <w:rFonts w:ascii="Arial" w:hAnsi="Arial" w:cs="Arial"/>
          <w:sz w:val="22"/>
          <w:szCs w:val="22"/>
        </w:rPr>
      </w:pPr>
      <w:r w:rsidRPr="0033639F">
        <w:rPr>
          <w:rFonts w:ascii="Arial" w:hAnsi="Arial" w:cs="Arial"/>
          <w:sz w:val="22"/>
          <w:szCs w:val="22"/>
        </w:rPr>
        <w:t>Micrognathia</w:t>
      </w:r>
    </w:p>
    <w:p w14:paraId="65D241EF" w14:textId="206CBB2F" w:rsidR="00803B01" w:rsidRPr="0033639F" w:rsidRDefault="00803B01" w:rsidP="00A979F5">
      <w:pPr>
        <w:numPr>
          <w:ilvl w:val="0"/>
          <w:numId w:val="2"/>
        </w:numPr>
        <w:spacing w:line="276" w:lineRule="auto"/>
        <w:ind w:left="360"/>
        <w:rPr>
          <w:rFonts w:ascii="Arial" w:hAnsi="Arial" w:cs="Arial"/>
          <w:sz w:val="22"/>
          <w:szCs w:val="22"/>
        </w:rPr>
      </w:pPr>
      <w:r w:rsidRPr="0033639F">
        <w:rPr>
          <w:rFonts w:ascii="Arial" w:hAnsi="Arial" w:cs="Arial"/>
          <w:sz w:val="22"/>
          <w:szCs w:val="22"/>
        </w:rPr>
        <w:t xml:space="preserve">Very low </w:t>
      </w:r>
      <w:r w:rsidRPr="0033639F">
        <w:rPr>
          <w:rFonts w:ascii="Arial" w:hAnsi="Arial" w:cs="Arial"/>
          <w:i/>
          <w:iCs/>
          <w:sz w:val="22"/>
          <w:szCs w:val="22"/>
        </w:rPr>
        <w:t>or</w:t>
      </w:r>
      <w:r w:rsidRPr="0033639F">
        <w:rPr>
          <w:rFonts w:ascii="Arial" w:hAnsi="Arial" w:cs="Arial"/>
          <w:sz w:val="22"/>
          <w:szCs w:val="22"/>
        </w:rPr>
        <w:t xml:space="preserve"> very high levels of serum IGF1</w:t>
      </w:r>
      <w:r w:rsidR="00B96728" w:rsidRPr="0033639F">
        <w:rPr>
          <w:rFonts w:ascii="Arial" w:hAnsi="Arial" w:cs="Arial"/>
          <w:sz w:val="22"/>
          <w:szCs w:val="22"/>
        </w:rPr>
        <w:t xml:space="preserve"> </w:t>
      </w:r>
    </w:p>
    <w:p w14:paraId="45921521" w14:textId="77777777" w:rsidR="00B96728" w:rsidRPr="0033639F" w:rsidRDefault="00B96728" w:rsidP="0033639F">
      <w:pPr>
        <w:spacing w:line="276" w:lineRule="auto"/>
        <w:rPr>
          <w:rFonts w:ascii="Arial" w:hAnsi="Arial" w:cs="Arial"/>
          <w:sz w:val="22"/>
          <w:szCs w:val="22"/>
        </w:rPr>
      </w:pPr>
    </w:p>
    <w:p w14:paraId="190C2C5C" w14:textId="5566525F" w:rsidR="006E2D25" w:rsidRPr="0033639F" w:rsidRDefault="006C2F1E" w:rsidP="0033639F">
      <w:pPr>
        <w:spacing w:line="276" w:lineRule="auto"/>
        <w:rPr>
          <w:rFonts w:ascii="Arial" w:hAnsi="Arial" w:cs="Arial"/>
          <w:color w:val="1B1B1B"/>
          <w:sz w:val="22"/>
          <w:szCs w:val="22"/>
          <w:shd w:val="clear" w:color="auto" w:fill="FFFFFF"/>
        </w:rPr>
      </w:pPr>
      <w:r w:rsidRPr="0033639F">
        <w:rPr>
          <w:rFonts w:ascii="Arial" w:hAnsi="Arial" w:cs="Arial"/>
          <w:sz w:val="22"/>
          <w:szCs w:val="22"/>
        </w:rPr>
        <w:t>High</w:t>
      </w:r>
      <w:r w:rsidR="007C12AF" w:rsidRPr="0033639F">
        <w:rPr>
          <w:rFonts w:ascii="Arial" w:hAnsi="Arial" w:cs="Arial"/>
          <w:sz w:val="22"/>
          <w:szCs w:val="22"/>
        </w:rPr>
        <w:t xml:space="preserve"> </w:t>
      </w:r>
      <w:r w:rsidR="00646E21" w:rsidRPr="0033639F">
        <w:rPr>
          <w:rFonts w:ascii="Arial" w:hAnsi="Arial" w:cs="Arial"/>
          <w:sz w:val="22"/>
          <w:szCs w:val="22"/>
        </w:rPr>
        <w:t xml:space="preserve">serum </w:t>
      </w:r>
      <w:r w:rsidR="00AA1AFA" w:rsidRPr="0033639F">
        <w:rPr>
          <w:rFonts w:ascii="Arial" w:hAnsi="Arial" w:cs="Arial"/>
          <w:sz w:val="22"/>
          <w:szCs w:val="22"/>
        </w:rPr>
        <w:t xml:space="preserve">(total) </w:t>
      </w:r>
      <w:r w:rsidR="007C12AF" w:rsidRPr="0033639F">
        <w:rPr>
          <w:rFonts w:ascii="Arial" w:hAnsi="Arial" w:cs="Arial"/>
          <w:sz w:val="22"/>
          <w:szCs w:val="22"/>
        </w:rPr>
        <w:t>IG</w:t>
      </w:r>
      <w:r w:rsidR="00AA1AFA" w:rsidRPr="0033639F">
        <w:rPr>
          <w:rFonts w:ascii="Arial" w:hAnsi="Arial" w:cs="Arial"/>
          <w:sz w:val="22"/>
          <w:szCs w:val="22"/>
        </w:rPr>
        <w:t>F</w:t>
      </w:r>
      <w:r w:rsidR="007C12AF" w:rsidRPr="0033639F">
        <w:rPr>
          <w:rFonts w:ascii="Arial" w:hAnsi="Arial" w:cs="Arial"/>
          <w:sz w:val="22"/>
          <w:szCs w:val="22"/>
        </w:rPr>
        <w:t xml:space="preserve">1 levels are observed in patients with </w:t>
      </w:r>
      <w:r w:rsidR="00646E21" w:rsidRPr="0033639F">
        <w:rPr>
          <w:rFonts w:ascii="Arial" w:hAnsi="Arial" w:cs="Arial"/>
          <w:sz w:val="22"/>
          <w:szCs w:val="22"/>
        </w:rPr>
        <w:t xml:space="preserve">loss-of-function </w:t>
      </w:r>
      <w:r w:rsidR="007C12AF" w:rsidRPr="0033639F">
        <w:rPr>
          <w:rFonts w:ascii="Arial" w:hAnsi="Arial" w:cs="Arial"/>
          <w:sz w:val="22"/>
          <w:szCs w:val="22"/>
        </w:rPr>
        <w:t>mutations in</w:t>
      </w:r>
      <w:r w:rsidR="00BD1C74" w:rsidRPr="0033639F">
        <w:rPr>
          <w:rFonts w:ascii="Arial" w:hAnsi="Arial" w:cs="Arial"/>
          <w:sz w:val="22"/>
          <w:szCs w:val="22"/>
        </w:rPr>
        <w:t xml:space="preserve"> </w:t>
      </w:r>
      <w:r w:rsidR="001C6204" w:rsidRPr="0033639F">
        <w:rPr>
          <w:rFonts w:ascii="Arial" w:hAnsi="Arial" w:cs="Arial"/>
          <w:color w:val="1B1B1B"/>
          <w:sz w:val="22"/>
          <w:szCs w:val="22"/>
          <w:shd w:val="clear" w:color="auto" w:fill="FFFFFF"/>
        </w:rPr>
        <w:t>p</w:t>
      </w:r>
      <w:r w:rsidR="00BD1C74" w:rsidRPr="0033639F">
        <w:rPr>
          <w:rFonts w:ascii="Arial" w:hAnsi="Arial" w:cs="Arial"/>
          <w:color w:val="1B1B1B"/>
          <w:sz w:val="22"/>
          <w:szCs w:val="22"/>
          <w:shd w:val="clear" w:color="auto" w:fill="FFFFFF"/>
        </w:rPr>
        <w:t>regnancy-associated plasma protein A2</w:t>
      </w:r>
      <w:r w:rsidR="007C12AF" w:rsidRPr="0033639F">
        <w:rPr>
          <w:rFonts w:ascii="Arial" w:hAnsi="Arial" w:cs="Arial"/>
          <w:sz w:val="22"/>
          <w:szCs w:val="22"/>
        </w:rPr>
        <w:t xml:space="preserve"> </w:t>
      </w:r>
      <w:r w:rsidR="00BD1C74" w:rsidRPr="0033639F">
        <w:rPr>
          <w:rFonts w:ascii="Arial" w:hAnsi="Arial" w:cs="Arial"/>
          <w:sz w:val="22"/>
          <w:szCs w:val="22"/>
        </w:rPr>
        <w:t>(</w:t>
      </w:r>
      <w:r w:rsidR="007C12AF" w:rsidRPr="0033639F">
        <w:rPr>
          <w:rFonts w:ascii="Arial" w:hAnsi="Arial" w:cs="Arial"/>
          <w:i/>
          <w:iCs/>
          <w:sz w:val="22"/>
          <w:szCs w:val="22"/>
        </w:rPr>
        <w:t>PAPPA2</w:t>
      </w:r>
      <w:r w:rsidR="00BD1C74" w:rsidRPr="0033639F">
        <w:rPr>
          <w:rFonts w:ascii="Arial" w:hAnsi="Arial" w:cs="Arial"/>
          <w:i/>
          <w:iCs/>
          <w:sz w:val="22"/>
          <w:szCs w:val="22"/>
        </w:rPr>
        <w:t>)</w:t>
      </w:r>
      <w:r w:rsidR="00F8606C" w:rsidRPr="0033639F">
        <w:rPr>
          <w:rFonts w:ascii="Arial" w:hAnsi="Arial" w:cs="Arial"/>
          <w:sz w:val="22"/>
          <w:szCs w:val="22"/>
        </w:rPr>
        <w:t xml:space="preserve"> (140).</w:t>
      </w:r>
      <w:r w:rsidR="007C12AF" w:rsidRPr="0033639F">
        <w:rPr>
          <w:rFonts w:ascii="Arial" w:hAnsi="Arial" w:cs="Arial"/>
          <w:i/>
          <w:iCs/>
          <w:sz w:val="22"/>
          <w:szCs w:val="22"/>
        </w:rPr>
        <w:t xml:space="preserve"> </w:t>
      </w:r>
      <w:r w:rsidR="00BD1C74" w:rsidRPr="0033639F">
        <w:rPr>
          <w:rFonts w:ascii="Arial" w:hAnsi="Arial" w:cs="Arial"/>
          <w:color w:val="1B1B1B"/>
          <w:sz w:val="22"/>
          <w:szCs w:val="22"/>
          <w:shd w:val="clear" w:color="auto" w:fill="FFFFFF"/>
        </w:rPr>
        <w:t xml:space="preserve">As </w:t>
      </w:r>
      <w:r w:rsidR="00031F3E" w:rsidRPr="0033639F">
        <w:rPr>
          <w:rFonts w:ascii="Arial" w:hAnsi="Arial" w:cs="Arial"/>
          <w:color w:val="1B1B1B"/>
          <w:sz w:val="22"/>
          <w:szCs w:val="22"/>
          <w:shd w:val="clear" w:color="auto" w:fill="FFFFFF"/>
        </w:rPr>
        <w:t>noted</w:t>
      </w:r>
      <w:r w:rsidR="00BD1C74" w:rsidRPr="0033639F">
        <w:rPr>
          <w:rFonts w:ascii="Arial" w:hAnsi="Arial" w:cs="Arial"/>
          <w:color w:val="1B1B1B"/>
          <w:sz w:val="22"/>
          <w:szCs w:val="22"/>
          <w:shd w:val="clear" w:color="auto" w:fill="FFFFFF"/>
        </w:rPr>
        <w:t xml:space="preserve"> earlier, PAPPA2 is responsible for cleaving IGFBP3 </w:t>
      </w:r>
      <w:r w:rsidR="006124D0" w:rsidRPr="0033639F">
        <w:rPr>
          <w:rFonts w:ascii="Arial" w:hAnsi="Arial" w:cs="Arial"/>
          <w:color w:val="1B1B1B"/>
          <w:sz w:val="22"/>
          <w:szCs w:val="22"/>
          <w:shd w:val="clear" w:color="auto" w:fill="FFFFFF"/>
        </w:rPr>
        <w:t>or</w:t>
      </w:r>
      <w:r w:rsidR="00BD1C74" w:rsidRPr="0033639F">
        <w:rPr>
          <w:rFonts w:ascii="Arial" w:hAnsi="Arial" w:cs="Arial"/>
          <w:color w:val="1B1B1B"/>
          <w:sz w:val="22"/>
          <w:szCs w:val="22"/>
          <w:shd w:val="clear" w:color="auto" w:fill="FFFFFF"/>
        </w:rPr>
        <w:t xml:space="preserve"> IGFBP5</w:t>
      </w:r>
      <w:r w:rsidR="00031F3E" w:rsidRPr="0033639F">
        <w:rPr>
          <w:rFonts w:ascii="Arial" w:hAnsi="Arial" w:cs="Arial"/>
          <w:color w:val="1B1B1B"/>
          <w:sz w:val="22"/>
          <w:szCs w:val="22"/>
          <w:shd w:val="clear" w:color="auto" w:fill="FFFFFF"/>
        </w:rPr>
        <w:t xml:space="preserve"> to </w:t>
      </w:r>
      <w:r w:rsidR="00BD1C74" w:rsidRPr="0033639F">
        <w:rPr>
          <w:rFonts w:ascii="Arial" w:hAnsi="Arial" w:cs="Arial"/>
          <w:color w:val="1B1B1B"/>
          <w:sz w:val="22"/>
          <w:szCs w:val="22"/>
          <w:shd w:val="clear" w:color="auto" w:fill="FFFFFF"/>
        </w:rPr>
        <w:t>free bioactive IGF1 f</w:t>
      </w:r>
      <w:r w:rsidR="00031F3E" w:rsidRPr="0033639F">
        <w:rPr>
          <w:rFonts w:ascii="Arial" w:hAnsi="Arial" w:cs="Arial"/>
          <w:color w:val="1B1B1B"/>
          <w:sz w:val="22"/>
          <w:szCs w:val="22"/>
          <w:shd w:val="clear" w:color="auto" w:fill="FFFFFF"/>
        </w:rPr>
        <w:t>r</w:t>
      </w:r>
      <w:r w:rsidR="00BD1C74" w:rsidRPr="0033639F">
        <w:rPr>
          <w:rFonts w:ascii="Arial" w:hAnsi="Arial" w:cs="Arial"/>
          <w:color w:val="1B1B1B"/>
          <w:sz w:val="22"/>
          <w:szCs w:val="22"/>
          <w:shd w:val="clear" w:color="auto" w:fill="FFFFFF"/>
        </w:rPr>
        <w:t xml:space="preserve">om </w:t>
      </w:r>
      <w:r w:rsidR="00031F3E" w:rsidRPr="0033639F">
        <w:rPr>
          <w:rFonts w:ascii="Arial" w:hAnsi="Arial" w:cs="Arial"/>
          <w:color w:val="1B1B1B"/>
          <w:sz w:val="22"/>
          <w:szCs w:val="22"/>
          <w:shd w:val="clear" w:color="auto" w:fill="FFFFFF"/>
        </w:rPr>
        <w:t xml:space="preserve">its </w:t>
      </w:r>
      <w:r w:rsidR="00BD1C74" w:rsidRPr="0033639F">
        <w:rPr>
          <w:rFonts w:ascii="Arial" w:hAnsi="Arial" w:cs="Arial"/>
          <w:color w:val="1B1B1B"/>
          <w:sz w:val="22"/>
          <w:szCs w:val="22"/>
          <w:shd w:val="clear" w:color="auto" w:fill="FFFFFF"/>
        </w:rPr>
        <w:t xml:space="preserve">ternary complex </w:t>
      </w:r>
      <w:r w:rsidR="00102AA0" w:rsidRPr="0033639F">
        <w:rPr>
          <w:rFonts w:ascii="Arial" w:hAnsi="Arial" w:cs="Arial"/>
          <w:color w:val="1B1B1B"/>
          <w:sz w:val="22"/>
          <w:szCs w:val="22"/>
          <w:shd w:val="clear" w:color="auto" w:fill="FFFFFF"/>
        </w:rPr>
        <w:t>so that</w:t>
      </w:r>
      <w:r w:rsidR="00BD1C74" w:rsidRPr="0033639F">
        <w:rPr>
          <w:rFonts w:ascii="Arial" w:hAnsi="Arial" w:cs="Arial"/>
          <w:color w:val="1B1B1B"/>
          <w:sz w:val="22"/>
          <w:szCs w:val="22"/>
          <w:shd w:val="clear" w:color="auto" w:fill="FFFFFF"/>
        </w:rPr>
        <w:t xml:space="preserve"> </w:t>
      </w:r>
      <w:r w:rsidR="00102AA0" w:rsidRPr="0033639F">
        <w:rPr>
          <w:rFonts w:ascii="Arial" w:hAnsi="Arial" w:cs="Arial"/>
          <w:color w:val="1B1B1B"/>
          <w:sz w:val="22"/>
          <w:szCs w:val="22"/>
          <w:shd w:val="clear" w:color="auto" w:fill="FFFFFF"/>
        </w:rPr>
        <w:t xml:space="preserve">IGF1 </w:t>
      </w:r>
      <w:r w:rsidR="00031F3E" w:rsidRPr="0033639F">
        <w:rPr>
          <w:rFonts w:ascii="Arial" w:hAnsi="Arial" w:cs="Arial"/>
          <w:color w:val="1B1B1B"/>
          <w:sz w:val="22"/>
          <w:szCs w:val="22"/>
          <w:shd w:val="clear" w:color="auto" w:fill="FFFFFF"/>
        </w:rPr>
        <w:t>bind</w:t>
      </w:r>
      <w:r w:rsidR="0078042B" w:rsidRPr="0033639F">
        <w:rPr>
          <w:rFonts w:ascii="Arial" w:hAnsi="Arial" w:cs="Arial"/>
          <w:color w:val="1B1B1B"/>
          <w:sz w:val="22"/>
          <w:szCs w:val="22"/>
          <w:shd w:val="clear" w:color="auto" w:fill="FFFFFF"/>
        </w:rPr>
        <w:t>s</w:t>
      </w:r>
      <w:r w:rsidR="00031F3E" w:rsidRPr="0033639F">
        <w:rPr>
          <w:rFonts w:ascii="Arial" w:hAnsi="Arial" w:cs="Arial"/>
          <w:color w:val="1B1B1B"/>
          <w:sz w:val="22"/>
          <w:szCs w:val="22"/>
          <w:shd w:val="clear" w:color="auto" w:fill="FFFFFF"/>
        </w:rPr>
        <w:t xml:space="preserve"> to its </w:t>
      </w:r>
      <w:r w:rsidR="00BD1C74" w:rsidRPr="0033639F">
        <w:rPr>
          <w:rFonts w:ascii="Arial" w:hAnsi="Arial" w:cs="Arial"/>
          <w:color w:val="1B1B1B"/>
          <w:sz w:val="22"/>
          <w:szCs w:val="22"/>
          <w:shd w:val="clear" w:color="auto" w:fill="FFFFFF"/>
        </w:rPr>
        <w:t>target sites</w:t>
      </w:r>
      <w:r w:rsidR="00F8606C" w:rsidRPr="0033639F">
        <w:rPr>
          <w:rFonts w:ascii="Arial" w:hAnsi="Arial" w:cs="Arial"/>
          <w:color w:val="1B1B1B"/>
          <w:sz w:val="22"/>
          <w:szCs w:val="22"/>
          <w:shd w:val="clear" w:color="auto" w:fill="FFFFFF"/>
        </w:rPr>
        <w:t xml:space="preserve"> (108).</w:t>
      </w:r>
      <w:r w:rsidR="00BD1C74" w:rsidRPr="0033639F">
        <w:rPr>
          <w:rFonts w:ascii="Arial" w:hAnsi="Arial" w:cs="Arial"/>
          <w:color w:val="1B1B1B"/>
          <w:sz w:val="22"/>
          <w:szCs w:val="22"/>
          <w:shd w:val="clear" w:color="auto" w:fill="FFFFFF"/>
        </w:rPr>
        <w:t xml:space="preserve">  </w:t>
      </w:r>
      <w:r w:rsidR="00646E21" w:rsidRPr="0033639F">
        <w:rPr>
          <w:rFonts w:ascii="Arial" w:hAnsi="Arial" w:cs="Arial"/>
          <w:sz w:val="22"/>
          <w:szCs w:val="22"/>
        </w:rPr>
        <w:t>L</w:t>
      </w:r>
      <w:r w:rsidR="00646E21" w:rsidRPr="0033639F">
        <w:rPr>
          <w:rFonts w:ascii="Arial" w:hAnsi="Arial" w:cs="Arial"/>
          <w:color w:val="1B1B1B"/>
          <w:sz w:val="22"/>
          <w:szCs w:val="22"/>
          <w:shd w:val="clear" w:color="auto" w:fill="FFFFFF"/>
        </w:rPr>
        <w:t>oss-of-function mutations in </w:t>
      </w:r>
      <w:r w:rsidR="00646E21" w:rsidRPr="0033639F">
        <w:rPr>
          <w:rStyle w:val="Emphasis"/>
          <w:rFonts w:ascii="Arial" w:hAnsi="Arial" w:cs="Arial"/>
          <w:color w:val="1B1B1B"/>
          <w:sz w:val="22"/>
          <w:szCs w:val="22"/>
          <w:shd w:val="clear" w:color="auto" w:fill="FFFFFF"/>
        </w:rPr>
        <w:t>PAPPA2</w:t>
      </w:r>
      <w:r w:rsidR="00646E21" w:rsidRPr="0033639F">
        <w:rPr>
          <w:rFonts w:ascii="Arial" w:hAnsi="Arial" w:cs="Arial"/>
          <w:color w:val="1B1B1B"/>
          <w:sz w:val="22"/>
          <w:szCs w:val="22"/>
          <w:shd w:val="clear" w:color="auto" w:fill="FFFFFF"/>
        </w:rPr>
        <w:t> decrease biologically active</w:t>
      </w:r>
      <w:r w:rsidR="00AA1AFA" w:rsidRPr="0033639F">
        <w:rPr>
          <w:rFonts w:ascii="Arial" w:hAnsi="Arial" w:cs="Arial"/>
          <w:color w:val="1B1B1B"/>
          <w:sz w:val="22"/>
          <w:szCs w:val="22"/>
          <w:shd w:val="clear" w:color="auto" w:fill="FFFFFF"/>
        </w:rPr>
        <w:t xml:space="preserve"> (</w:t>
      </w:r>
      <w:r w:rsidR="00AA1AFA" w:rsidRPr="0033639F">
        <w:rPr>
          <w:rFonts w:ascii="Arial" w:hAnsi="Arial" w:cs="Arial"/>
          <w:i/>
          <w:iCs/>
          <w:color w:val="1B1B1B"/>
          <w:sz w:val="22"/>
          <w:szCs w:val="22"/>
          <w:shd w:val="clear" w:color="auto" w:fill="FFFFFF"/>
        </w:rPr>
        <w:t>i.e.</w:t>
      </w:r>
      <w:r w:rsidR="00AA1AFA" w:rsidRPr="0033639F">
        <w:rPr>
          <w:rFonts w:ascii="Arial" w:hAnsi="Arial" w:cs="Arial"/>
          <w:color w:val="1B1B1B"/>
          <w:sz w:val="22"/>
          <w:szCs w:val="22"/>
          <w:shd w:val="clear" w:color="auto" w:fill="FFFFFF"/>
        </w:rPr>
        <w:t xml:space="preserve"> ‘free’)</w:t>
      </w:r>
      <w:r w:rsidR="00646E21" w:rsidRPr="0033639F">
        <w:rPr>
          <w:rFonts w:ascii="Arial" w:hAnsi="Arial" w:cs="Arial"/>
          <w:color w:val="1B1B1B"/>
          <w:sz w:val="22"/>
          <w:szCs w:val="22"/>
          <w:shd w:val="clear" w:color="auto" w:fill="FFFFFF"/>
        </w:rPr>
        <w:t xml:space="preserve"> IGF1 </w:t>
      </w:r>
      <w:r w:rsidR="00083E6F" w:rsidRPr="0033639F">
        <w:rPr>
          <w:rFonts w:ascii="Arial" w:hAnsi="Arial" w:cs="Arial"/>
          <w:color w:val="1B1B1B"/>
          <w:sz w:val="22"/>
          <w:szCs w:val="22"/>
          <w:shd w:val="clear" w:color="auto" w:fill="FFFFFF"/>
        </w:rPr>
        <w:t>level</w:t>
      </w:r>
      <w:r w:rsidR="00AA1AFA" w:rsidRPr="0033639F">
        <w:rPr>
          <w:rFonts w:ascii="Arial" w:hAnsi="Arial" w:cs="Arial"/>
          <w:color w:val="1B1B1B"/>
          <w:sz w:val="22"/>
          <w:szCs w:val="22"/>
          <w:shd w:val="clear" w:color="auto" w:fill="FFFFFF"/>
        </w:rPr>
        <w:t>s</w:t>
      </w:r>
      <w:r w:rsidR="00083E6F" w:rsidRPr="0033639F">
        <w:rPr>
          <w:rFonts w:ascii="Arial" w:hAnsi="Arial" w:cs="Arial"/>
          <w:color w:val="1B1B1B"/>
          <w:sz w:val="22"/>
          <w:szCs w:val="22"/>
          <w:shd w:val="clear" w:color="auto" w:fill="FFFFFF"/>
        </w:rPr>
        <w:t xml:space="preserve"> and cause </w:t>
      </w:r>
      <w:r w:rsidR="00646E21" w:rsidRPr="0033639F">
        <w:rPr>
          <w:rFonts w:ascii="Arial" w:hAnsi="Arial" w:cs="Arial"/>
          <w:color w:val="1B1B1B"/>
          <w:sz w:val="22"/>
          <w:szCs w:val="22"/>
          <w:shd w:val="clear" w:color="auto" w:fill="FFFFFF"/>
        </w:rPr>
        <w:t>short stature</w:t>
      </w:r>
      <w:r w:rsidR="00F8606C" w:rsidRPr="0033639F">
        <w:rPr>
          <w:rFonts w:ascii="Arial" w:hAnsi="Arial" w:cs="Arial"/>
          <w:color w:val="1B1B1B"/>
          <w:sz w:val="22"/>
          <w:szCs w:val="22"/>
          <w:shd w:val="clear" w:color="auto" w:fill="FFFFFF"/>
        </w:rPr>
        <w:t xml:space="preserve"> (140,141).</w:t>
      </w:r>
      <w:r w:rsidR="00083E6F" w:rsidRPr="0033639F">
        <w:rPr>
          <w:rFonts w:ascii="Arial" w:hAnsi="Arial" w:cs="Arial"/>
          <w:color w:val="1B1B1B"/>
          <w:sz w:val="22"/>
          <w:szCs w:val="22"/>
          <w:shd w:val="clear" w:color="auto" w:fill="FFFFFF"/>
        </w:rPr>
        <w:t xml:space="preserve"> </w:t>
      </w:r>
      <w:r w:rsidR="003221D3" w:rsidRPr="0033639F">
        <w:rPr>
          <w:rFonts w:ascii="Arial" w:hAnsi="Arial" w:cs="Arial"/>
          <w:color w:val="1B1B1B"/>
          <w:sz w:val="22"/>
          <w:szCs w:val="22"/>
          <w:shd w:val="clear" w:color="auto" w:fill="FFFFFF"/>
        </w:rPr>
        <w:t xml:space="preserve">To date, </w:t>
      </w:r>
      <w:r w:rsidR="00451F0A" w:rsidRPr="0033639F">
        <w:rPr>
          <w:rFonts w:ascii="Arial" w:hAnsi="Arial" w:cs="Arial"/>
          <w:color w:val="1B1B1B"/>
          <w:sz w:val="22"/>
          <w:szCs w:val="22"/>
          <w:shd w:val="clear" w:color="auto" w:fill="FFFFFF"/>
        </w:rPr>
        <w:t xml:space="preserve">a total of seven patients with PAPPA2 mutations have been reported from three unrelated families </w:t>
      </w:r>
      <w:r w:rsidR="00F8606C" w:rsidRPr="0033639F">
        <w:rPr>
          <w:rFonts w:ascii="Arial" w:hAnsi="Arial" w:cs="Arial"/>
          <w:color w:val="1B1B1B"/>
          <w:sz w:val="22"/>
          <w:szCs w:val="22"/>
          <w:shd w:val="clear" w:color="auto" w:fill="FFFFFF"/>
        </w:rPr>
        <w:t xml:space="preserve">(141,142). </w:t>
      </w:r>
      <w:r w:rsidR="00056550" w:rsidRPr="0033639F">
        <w:rPr>
          <w:rFonts w:ascii="Arial" w:hAnsi="Arial" w:cs="Arial"/>
          <w:sz w:val="22"/>
          <w:szCs w:val="22"/>
        </w:rPr>
        <w:t>P</w:t>
      </w:r>
      <w:r w:rsidR="00451F0A" w:rsidRPr="0033639F">
        <w:rPr>
          <w:rFonts w:ascii="Arial" w:hAnsi="Arial" w:cs="Arial"/>
          <w:sz w:val="22"/>
          <w:szCs w:val="22"/>
        </w:rPr>
        <w:t>atients</w:t>
      </w:r>
      <w:r w:rsidR="00056550" w:rsidRPr="0033639F">
        <w:rPr>
          <w:rFonts w:ascii="Arial" w:hAnsi="Arial" w:cs="Arial"/>
          <w:sz w:val="22"/>
          <w:szCs w:val="22"/>
        </w:rPr>
        <w:t xml:space="preserve"> generally</w:t>
      </w:r>
      <w:r w:rsidR="00451F0A" w:rsidRPr="0033639F">
        <w:rPr>
          <w:rFonts w:ascii="Arial" w:hAnsi="Arial" w:cs="Arial"/>
          <w:sz w:val="22"/>
          <w:szCs w:val="22"/>
        </w:rPr>
        <w:t xml:space="preserve"> had similar clinical </w:t>
      </w:r>
      <w:r w:rsidR="005B1285" w:rsidRPr="0033639F">
        <w:rPr>
          <w:rFonts w:ascii="Arial" w:hAnsi="Arial" w:cs="Arial"/>
          <w:sz w:val="22"/>
          <w:szCs w:val="22"/>
        </w:rPr>
        <w:t>phenotypes</w:t>
      </w:r>
      <w:r w:rsidR="00451F0A" w:rsidRPr="0033639F">
        <w:rPr>
          <w:rFonts w:ascii="Arial" w:hAnsi="Arial" w:cs="Arial"/>
          <w:sz w:val="22"/>
          <w:szCs w:val="22"/>
        </w:rPr>
        <w:t xml:space="preserve"> with </w:t>
      </w:r>
      <w:r w:rsidR="00102AA0" w:rsidRPr="0033639F">
        <w:rPr>
          <w:rStyle w:val="Emphasis"/>
          <w:rFonts w:ascii="Arial" w:hAnsi="Arial" w:cs="Arial"/>
          <w:i w:val="0"/>
          <w:iCs w:val="0"/>
          <w:color w:val="1B1B1B"/>
          <w:sz w:val="22"/>
          <w:szCs w:val="22"/>
          <w:shd w:val="clear" w:color="auto" w:fill="F7F7F7"/>
        </w:rPr>
        <w:t xml:space="preserve">growth failure, microcephaly, </w:t>
      </w:r>
      <w:r w:rsidR="00144E3B" w:rsidRPr="0033639F">
        <w:rPr>
          <w:rStyle w:val="Emphasis"/>
          <w:rFonts w:ascii="Arial" w:hAnsi="Arial" w:cs="Arial"/>
          <w:i w:val="0"/>
          <w:iCs w:val="0"/>
          <w:color w:val="1B1B1B"/>
          <w:sz w:val="22"/>
          <w:szCs w:val="22"/>
          <w:shd w:val="clear" w:color="auto" w:fill="F7F7F7"/>
        </w:rPr>
        <w:t xml:space="preserve">micrognathia, delayed dental eruption, </w:t>
      </w:r>
      <w:r w:rsidR="00102AA0" w:rsidRPr="0033639F">
        <w:rPr>
          <w:rStyle w:val="Emphasis"/>
          <w:rFonts w:ascii="Arial" w:hAnsi="Arial" w:cs="Arial"/>
          <w:i w:val="0"/>
          <w:iCs w:val="0"/>
          <w:color w:val="1B1B1B"/>
          <w:sz w:val="22"/>
          <w:szCs w:val="22"/>
          <w:shd w:val="clear" w:color="auto" w:fill="F7F7F7"/>
        </w:rPr>
        <w:t xml:space="preserve">thin long bones, and decreased bone </w:t>
      </w:r>
      <w:r w:rsidR="00144E3B" w:rsidRPr="0033639F">
        <w:rPr>
          <w:rStyle w:val="Emphasis"/>
          <w:rFonts w:ascii="Arial" w:hAnsi="Arial" w:cs="Arial"/>
          <w:i w:val="0"/>
          <w:iCs w:val="0"/>
          <w:color w:val="1B1B1B"/>
          <w:sz w:val="22"/>
          <w:szCs w:val="22"/>
          <w:shd w:val="clear" w:color="auto" w:fill="F7F7F7"/>
        </w:rPr>
        <w:t xml:space="preserve">mineral </w:t>
      </w:r>
      <w:r w:rsidR="00102AA0" w:rsidRPr="0033639F">
        <w:rPr>
          <w:rStyle w:val="Emphasis"/>
          <w:rFonts w:ascii="Arial" w:hAnsi="Arial" w:cs="Arial"/>
          <w:i w:val="0"/>
          <w:iCs w:val="0"/>
          <w:color w:val="1B1B1B"/>
          <w:sz w:val="22"/>
          <w:szCs w:val="22"/>
          <w:shd w:val="clear" w:color="auto" w:fill="F7F7F7"/>
        </w:rPr>
        <w:t>density</w:t>
      </w:r>
      <w:r w:rsidR="00F8606C" w:rsidRPr="0033639F">
        <w:rPr>
          <w:rStyle w:val="Emphasis"/>
          <w:rFonts w:ascii="Arial" w:hAnsi="Arial" w:cs="Arial"/>
          <w:i w:val="0"/>
          <w:iCs w:val="0"/>
          <w:color w:val="1B1B1B"/>
          <w:sz w:val="22"/>
          <w:szCs w:val="22"/>
          <w:shd w:val="clear" w:color="auto" w:fill="F7F7F7"/>
        </w:rPr>
        <w:t xml:space="preserve"> (141)</w:t>
      </w:r>
      <w:r w:rsidR="00102AA0" w:rsidRPr="0033639F">
        <w:rPr>
          <w:rStyle w:val="Emphasis"/>
          <w:rFonts w:ascii="Arial" w:hAnsi="Arial" w:cs="Arial"/>
          <w:i w:val="0"/>
          <w:iCs w:val="0"/>
          <w:color w:val="1B1B1B"/>
          <w:sz w:val="22"/>
          <w:szCs w:val="22"/>
          <w:shd w:val="clear" w:color="auto" w:fill="F7F7F7"/>
        </w:rPr>
        <w:t xml:space="preserve">. </w:t>
      </w:r>
      <w:r w:rsidR="00901893" w:rsidRPr="0033639F">
        <w:rPr>
          <w:rFonts w:ascii="Arial" w:hAnsi="Arial" w:cs="Arial"/>
          <w:color w:val="1B1B1B"/>
          <w:sz w:val="22"/>
          <w:szCs w:val="22"/>
          <w:shd w:val="clear" w:color="auto" w:fill="F7F7F7"/>
        </w:rPr>
        <w:t> </w:t>
      </w:r>
      <w:r w:rsidR="006E2D25" w:rsidRPr="0033639F">
        <w:rPr>
          <w:rFonts w:ascii="Arial" w:hAnsi="Arial" w:cs="Arial"/>
          <w:color w:val="1B1B1B"/>
          <w:sz w:val="22"/>
          <w:szCs w:val="22"/>
          <w:shd w:val="clear" w:color="auto" w:fill="FFFFFF"/>
        </w:rPr>
        <w:t xml:space="preserve">Their </w:t>
      </w:r>
      <w:r w:rsidR="00901893" w:rsidRPr="0033639F">
        <w:rPr>
          <w:rFonts w:ascii="Arial" w:hAnsi="Arial" w:cs="Arial"/>
          <w:color w:val="1B1B1B"/>
          <w:sz w:val="22"/>
          <w:szCs w:val="22"/>
          <w:shd w:val="clear" w:color="auto" w:fill="F7F7F7"/>
        </w:rPr>
        <w:t>total serum IGF</w:t>
      </w:r>
      <w:r w:rsidR="009B6DE0" w:rsidRPr="0033639F">
        <w:rPr>
          <w:rFonts w:ascii="Arial" w:hAnsi="Arial" w:cs="Arial"/>
          <w:color w:val="1B1B1B"/>
          <w:sz w:val="22"/>
          <w:szCs w:val="22"/>
          <w:shd w:val="clear" w:color="auto" w:fill="F7F7F7"/>
        </w:rPr>
        <w:t>1</w:t>
      </w:r>
      <w:r w:rsidR="00901893" w:rsidRPr="0033639F">
        <w:rPr>
          <w:rFonts w:ascii="Arial" w:hAnsi="Arial" w:cs="Arial"/>
          <w:color w:val="1B1B1B"/>
          <w:sz w:val="22"/>
          <w:szCs w:val="22"/>
          <w:shd w:val="clear" w:color="auto" w:fill="F7F7F7"/>
        </w:rPr>
        <w:t>, IGF</w:t>
      </w:r>
      <w:r w:rsidR="009B6DE0" w:rsidRPr="0033639F">
        <w:rPr>
          <w:rFonts w:ascii="Arial" w:hAnsi="Arial" w:cs="Arial"/>
          <w:color w:val="1B1B1B"/>
          <w:sz w:val="22"/>
          <w:szCs w:val="22"/>
          <w:shd w:val="clear" w:color="auto" w:fill="F7F7F7"/>
        </w:rPr>
        <w:t>2</w:t>
      </w:r>
      <w:r w:rsidR="00F114B9" w:rsidRPr="0033639F">
        <w:rPr>
          <w:rFonts w:ascii="Arial" w:hAnsi="Arial" w:cs="Arial"/>
          <w:color w:val="1B1B1B"/>
          <w:sz w:val="22"/>
          <w:szCs w:val="22"/>
          <w:shd w:val="clear" w:color="auto" w:fill="F7F7F7"/>
        </w:rPr>
        <w:t>,</w:t>
      </w:r>
      <w:r w:rsidR="00901893" w:rsidRPr="0033639F">
        <w:rPr>
          <w:rFonts w:ascii="Arial" w:hAnsi="Arial" w:cs="Arial"/>
          <w:color w:val="1B1B1B"/>
          <w:sz w:val="22"/>
          <w:szCs w:val="22"/>
          <w:shd w:val="clear" w:color="auto" w:fill="F7F7F7"/>
        </w:rPr>
        <w:t xml:space="preserve"> IGFBP3, IGFBP5, and ALS</w:t>
      </w:r>
      <w:r w:rsidR="006E2D25" w:rsidRPr="0033639F">
        <w:rPr>
          <w:rFonts w:ascii="Arial" w:hAnsi="Arial" w:cs="Arial"/>
          <w:color w:val="1B1B1B"/>
          <w:sz w:val="22"/>
          <w:szCs w:val="22"/>
          <w:shd w:val="clear" w:color="auto" w:fill="F7F7F7"/>
        </w:rPr>
        <w:t xml:space="preserve"> levels were elevated but</w:t>
      </w:r>
      <w:r w:rsidR="00901893" w:rsidRPr="0033639F">
        <w:rPr>
          <w:rFonts w:ascii="Arial" w:hAnsi="Arial" w:cs="Arial"/>
          <w:color w:val="1B1B1B"/>
          <w:sz w:val="22"/>
          <w:szCs w:val="22"/>
          <w:shd w:val="clear" w:color="auto" w:fill="F7F7F7"/>
        </w:rPr>
        <w:t xml:space="preserve"> </w:t>
      </w:r>
      <w:r w:rsidR="006E2D25" w:rsidRPr="0033639F">
        <w:rPr>
          <w:rFonts w:ascii="Arial" w:hAnsi="Arial" w:cs="Arial"/>
          <w:color w:val="1B1B1B"/>
          <w:sz w:val="22"/>
          <w:szCs w:val="22"/>
          <w:shd w:val="clear" w:color="auto" w:fill="F7F7F7"/>
        </w:rPr>
        <w:t>the</w:t>
      </w:r>
      <w:r w:rsidR="00056550" w:rsidRPr="0033639F">
        <w:rPr>
          <w:rFonts w:ascii="Arial" w:hAnsi="Arial" w:cs="Arial"/>
          <w:color w:val="1B1B1B"/>
          <w:sz w:val="22"/>
          <w:szCs w:val="22"/>
          <w:shd w:val="clear" w:color="auto" w:fill="F7F7F7"/>
        </w:rPr>
        <w:t xml:space="preserve"> </w:t>
      </w:r>
      <w:r w:rsidR="00056550" w:rsidRPr="0033639F">
        <w:rPr>
          <w:rFonts w:ascii="Arial" w:hAnsi="Arial" w:cs="Arial"/>
          <w:color w:val="1B1B1B"/>
          <w:sz w:val="22"/>
          <w:szCs w:val="22"/>
          <w:shd w:val="clear" w:color="auto" w:fill="F7F7F7"/>
        </w:rPr>
        <w:lastRenderedPageBreak/>
        <w:t>affected individuals</w:t>
      </w:r>
      <w:r w:rsidR="006E2D25" w:rsidRPr="0033639F">
        <w:rPr>
          <w:rFonts w:ascii="Arial" w:hAnsi="Arial" w:cs="Arial"/>
          <w:color w:val="1B1B1B"/>
          <w:sz w:val="22"/>
          <w:szCs w:val="22"/>
          <w:shd w:val="clear" w:color="auto" w:fill="F7F7F7"/>
        </w:rPr>
        <w:t xml:space="preserve"> had</w:t>
      </w:r>
      <w:r w:rsidR="00901893" w:rsidRPr="0033639F">
        <w:rPr>
          <w:rFonts w:ascii="Arial" w:hAnsi="Arial" w:cs="Arial"/>
          <w:color w:val="1B1B1B"/>
          <w:sz w:val="22"/>
          <w:szCs w:val="22"/>
          <w:shd w:val="clear" w:color="auto" w:fill="F7F7F7"/>
        </w:rPr>
        <w:t xml:space="preserve"> decreased free IGFI levels and IGF1 bioactivity</w:t>
      </w:r>
      <w:r w:rsidR="00F8606C" w:rsidRPr="0033639F">
        <w:rPr>
          <w:rFonts w:ascii="Arial" w:hAnsi="Arial" w:cs="Arial"/>
          <w:color w:val="1B1B1B"/>
          <w:sz w:val="22"/>
          <w:szCs w:val="22"/>
          <w:shd w:val="clear" w:color="auto" w:fill="F7F7F7"/>
        </w:rPr>
        <w:t xml:space="preserve"> (141).</w:t>
      </w:r>
      <w:r w:rsidR="00E37B92" w:rsidRPr="0033639F">
        <w:rPr>
          <w:rFonts w:ascii="Arial" w:hAnsi="Arial" w:cs="Arial"/>
          <w:color w:val="1B1B1B"/>
          <w:sz w:val="22"/>
          <w:szCs w:val="22"/>
          <w:shd w:val="clear" w:color="auto" w:fill="F7F7F7"/>
        </w:rPr>
        <w:t xml:space="preserve"> </w:t>
      </w:r>
      <w:r w:rsidR="006E2D25" w:rsidRPr="0033639F">
        <w:rPr>
          <w:rFonts w:ascii="Arial" w:hAnsi="Arial" w:cs="Arial"/>
          <w:color w:val="1B1B1B"/>
          <w:sz w:val="22"/>
          <w:szCs w:val="22"/>
          <w:shd w:val="clear" w:color="auto" w:fill="FFFFFF"/>
        </w:rPr>
        <w:t xml:space="preserve">Serum </w:t>
      </w:r>
      <w:r w:rsidR="00056550" w:rsidRPr="0033639F">
        <w:rPr>
          <w:rFonts w:ascii="Arial" w:hAnsi="Arial" w:cs="Arial"/>
          <w:color w:val="1B1B1B"/>
          <w:sz w:val="22"/>
          <w:szCs w:val="22"/>
          <w:shd w:val="clear" w:color="auto" w:fill="FFFFFF"/>
        </w:rPr>
        <w:t>PA</w:t>
      </w:r>
      <w:r w:rsidR="006E2D25" w:rsidRPr="0033639F">
        <w:rPr>
          <w:rFonts w:ascii="Arial" w:hAnsi="Arial" w:cs="Arial"/>
          <w:color w:val="1B1B1B"/>
          <w:sz w:val="22"/>
          <w:szCs w:val="22"/>
          <w:shd w:val="clear" w:color="auto" w:fill="FFFFFF"/>
        </w:rPr>
        <w:t>PPA2 levels were either undetectable or low</w:t>
      </w:r>
      <w:r w:rsidR="00F8606C" w:rsidRPr="0033639F">
        <w:rPr>
          <w:rFonts w:ascii="Arial" w:hAnsi="Arial" w:cs="Arial"/>
          <w:color w:val="1B1B1B"/>
          <w:sz w:val="22"/>
          <w:szCs w:val="22"/>
          <w:shd w:val="clear" w:color="auto" w:fill="FFFFFF"/>
        </w:rPr>
        <w:t xml:space="preserve"> (143).</w:t>
      </w:r>
      <w:r w:rsidR="006E2D25" w:rsidRPr="0033639F">
        <w:rPr>
          <w:rFonts w:ascii="Arial" w:hAnsi="Arial" w:cs="Arial"/>
          <w:color w:val="1B1B1B"/>
          <w:sz w:val="22"/>
          <w:szCs w:val="22"/>
          <w:shd w:val="clear" w:color="auto" w:fill="FFFFFF"/>
        </w:rPr>
        <w:t xml:space="preserve"> </w:t>
      </w:r>
    </w:p>
    <w:p w14:paraId="60547DCA" w14:textId="77777777" w:rsidR="006E2D25" w:rsidRPr="0033639F" w:rsidRDefault="006E2D25" w:rsidP="0033639F">
      <w:pPr>
        <w:spacing w:line="276" w:lineRule="auto"/>
        <w:rPr>
          <w:rFonts w:ascii="Arial" w:hAnsi="Arial" w:cs="Arial"/>
          <w:color w:val="1B1B1B"/>
          <w:sz w:val="22"/>
          <w:szCs w:val="22"/>
          <w:shd w:val="clear" w:color="auto" w:fill="FFFFFF"/>
        </w:rPr>
      </w:pPr>
    </w:p>
    <w:p w14:paraId="3819A84B" w14:textId="17A3B071" w:rsidR="006E2D25" w:rsidRPr="0033639F" w:rsidRDefault="007056A9" w:rsidP="0033639F">
      <w:pPr>
        <w:spacing w:line="276" w:lineRule="auto"/>
        <w:rPr>
          <w:rFonts w:ascii="Arial" w:hAnsi="Arial" w:cs="Arial"/>
          <w:color w:val="1B1B1B"/>
          <w:sz w:val="22"/>
          <w:szCs w:val="22"/>
          <w:shd w:val="clear" w:color="auto" w:fill="FFFFFF"/>
        </w:rPr>
      </w:pPr>
      <w:r w:rsidRPr="0033639F">
        <w:rPr>
          <w:rFonts w:ascii="Arial" w:hAnsi="Arial" w:cs="Arial"/>
          <w:color w:val="1B1B1B"/>
          <w:sz w:val="22"/>
          <w:szCs w:val="22"/>
          <w:shd w:val="clear" w:color="auto" w:fill="F7F7F7"/>
        </w:rPr>
        <w:t xml:space="preserve">Both short-term and long-term treatment with </w:t>
      </w:r>
      <w:r w:rsidR="00683BB2" w:rsidRPr="0033639F">
        <w:rPr>
          <w:rFonts w:ascii="Arial" w:hAnsi="Arial" w:cs="Arial"/>
          <w:color w:val="1B1B1B"/>
          <w:sz w:val="22"/>
          <w:szCs w:val="22"/>
          <w:shd w:val="clear" w:color="auto" w:fill="F7F7F7"/>
        </w:rPr>
        <w:t xml:space="preserve">rhIGF1 </w:t>
      </w:r>
      <w:r w:rsidR="009868FA" w:rsidRPr="0033639F">
        <w:rPr>
          <w:rFonts w:ascii="Arial" w:hAnsi="Arial" w:cs="Arial"/>
          <w:color w:val="1B1B1B"/>
          <w:sz w:val="22"/>
          <w:szCs w:val="22"/>
          <w:shd w:val="clear" w:color="auto" w:fill="F7F7F7"/>
        </w:rPr>
        <w:t xml:space="preserve">has been shown to </w:t>
      </w:r>
      <w:r w:rsidR="00683BB2" w:rsidRPr="0033639F">
        <w:rPr>
          <w:rFonts w:ascii="Arial" w:hAnsi="Arial" w:cs="Arial"/>
          <w:color w:val="1B1B1B"/>
          <w:sz w:val="22"/>
          <w:szCs w:val="22"/>
          <w:shd w:val="clear" w:color="auto" w:fill="F7F7F7"/>
        </w:rPr>
        <w:t xml:space="preserve">be effective improving linear growth </w:t>
      </w:r>
      <w:r w:rsidR="00221149" w:rsidRPr="0033639F">
        <w:rPr>
          <w:rFonts w:ascii="Arial" w:hAnsi="Arial" w:cs="Arial"/>
          <w:color w:val="1B1B1B"/>
          <w:sz w:val="22"/>
          <w:szCs w:val="22"/>
          <w:shd w:val="clear" w:color="auto" w:fill="F7F7F7"/>
        </w:rPr>
        <w:t>in children with PAPPA2 deficiency</w:t>
      </w:r>
      <w:r w:rsidR="0023294C" w:rsidRPr="0033639F">
        <w:rPr>
          <w:rFonts w:ascii="Arial" w:hAnsi="Arial" w:cs="Arial"/>
          <w:color w:val="1B1B1B"/>
          <w:sz w:val="22"/>
          <w:szCs w:val="22"/>
          <w:shd w:val="clear" w:color="auto" w:fill="F7F7F7"/>
        </w:rPr>
        <w:t xml:space="preserve"> with variable height gain</w:t>
      </w:r>
      <w:r w:rsidR="004A6F80" w:rsidRPr="0033639F">
        <w:rPr>
          <w:rFonts w:ascii="Arial" w:hAnsi="Arial" w:cs="Arial"/>
          <w:color w:val="1B1B1B"/>
          <w:sz w:val="22"/>
          <w:szCs w:val="22"/>
          <w:shd w:val="clear" w:color="auto" w:fill="F7F7F7"/>
        </w:rPr>
        <w:t xml:space="preserve"> results</w:t>
      </w:r>
      <w:r w:rsidR="0023294C" w:rsidRPr="0033639F">
        <w:rPr>
          <w:rFonts w:ascii="Arial" w:hAnsi="Arial" w:cs="Arial"/>
          <w:color w:val="1B1B1B"/>
          <w:sz w:val="22"/>
          <w:szCs w:val="22"/>
          <w:shd w:val="clear" w:color="auto" w:fill="F7F7F7"/>
        </w:rPr>
        <w:t xml:space="preserve"> </w:t>
      </w:r>
      <w:r w:rsidR="006E2D25" w:rsidRPr="0033639F">
        <w:rPr>
          <w:rFonts w:ascii="Arial" w:hAnsi="Arial" w:cs="Arial"/>
          <w:color w:val="1B1B1B"/>
          <w:sz w:val="22"/>
          <w:szCs w:val="22"/>
          <w:shd w:val="clear" w:color="auto" w:fill="F7F7F7"/>
        </w:rPr>
        <w:t xml:space="preserve">and positive effects on </w:t>
      </w:r>
      <w:r w:rsidR="006E2D25" w:rsidRPr="0033639F">
        <w:rPr>
          <w:rFonts w:ascii="Arial" w:hAnsi="Arial" w:cs="Arial"/>
          <w:color w:val="1B1B1B"/>
          <w:sz w:val="22"/>
          <w:szCs w:val="22"/>
          <w:shd w:val="clear" w:color="auto" w:fill="FFFFFF"/>
        </w:rPr>
        <w:t>bone mineral density and bone structure</w:t>
      </w:r>
      <w:r w:rsidR="00F8606C" w:rsidRPr="0033639F">
        <w:rPr>
          <w:rFonts w:ascii="Arial" w:hAnsi="Arial" w:cs="Arial"/>
          <w:color w:val="1B1B1B"/>
          <w:sz w:val="22"/>
          <w:szCs w:val="22"/>
          <w:shd w:val="clear" w:color="auto" w:fill="FFFFFF"/>
        </w:rPr>
        <w:t xml:space="preserve"> (</w:t>
      </w:r>
      <w:r w:rsidR="00C2365E" w:rsidRPr="0033639F">
        <w:rPr>
          <w:rFonts w:ascii="Arial" w:hAnsi="Arial" w:cs="Arial"/>
          <w:color w:val="1B1B1B"/>
          <w:sz w:val="22"/>
          <w:szCs w:val="22"/>
          <w:shd w:val="clear" w:color="auto" w:fill="FFFFFF"/>
        </w:rPr>
        <w:t>142,144–148</w:t>
      </w:r>
      <w:r w:rsidR="00F8606C" w:rsidRPr="0033639F">
        <w:rPr>
          <w:rFonts w:ascii="Arial" w:hAnsi="Arial" w:cs="Arial"/>
          <w:color w:val="1B1B1B"/>
          <w:sz w:val="22"/>
          <w:szCs w:val="22"/>
          <w:shd w:val="clear" w:color="auto" w:fill="FFFFFF"/>
        </w:rPr>
        <w:t>).</w:t>
      </w:r>
      <w:r w:rsidR="006E2D25" w:rsidRPr="0033639F">
        <w:rPr>
          <w:rFonts w:ascii="Arial" w:hAnsi="Arial" w:cs="Arial"/>
          <w:color w:val="212121"/>
          <w:sz w:val="22"/>
          <w:szCs w:val="22"/>
          <w:shd w:val="clear" w:color="auto" w:fill="FFFFFF"/>
        </w:rPr>
        <w:t> </w:t>
      </w:r>
      <w:r w:rsidR="00873777" w:rsidRPr="0033639F">
        <w:rPr>
          <w:rFonts w:ascii="Arial" w:hAnsi="Arial" w:cs="Arial"/>
          <w:color w:val="212121"/>
          <w:sz w:val="22"/>
          <w:szCs w:val="22"/>
          <w:shd w:val="clear" w:color="auto" w:fill="FFFFFF"/>
        </w:rPr>
        <w:t xml:space="preserve">Although </w:t>
      </w:r>
      <w:r w:rsidR="00056550" w:rsidRPr="0033639F">
        <w:rPr>
          <w:rFonts w:ascii="Arial" w:hAnsi="Arial" w:cs="Arial"/>
          <w:color w:val="212121"/>
          <w:sz w:val="22"/>
          <w:szCs w:val="22"/>
          <w:shd w:val="clear" w:color="auto" w:fill="FFFFFF"/>
        </w:rPr>
        <w:t xml:space="preserve">the </w:t>
      </w:r>
      <w:r w:rsidR="00873777" w:rsidRPr="0033639F">
        <w:rPr>
          <w:rFonts w:ascii="Arial" w:hAnsi="Arial" w:cs="Arial"/>
          <w:color w:val="212121"/>
          <w:sz w:val="22"/>
          <w:szCs w:val="22"/>
          <w:shd w:val="clear" w:color="auto" w:fill="FFFFFF"/>
        </w:rPr>
        <w:t xml:space="preserve">majority of subjects tolerated rhIGF1 treatment with no adverse effects, </w:t>
      </w:r>
      <w:r w:rsidR="001C6204" w:rsidRPr="0033639F">
        <w:rPr>
          <w:rFonts w:ascii="Arial" w:hAnsi="Arial" w:cs="Arial"/>
          <w:color w:val="1B1B1B"/>
          <w:sz w:val="22"/>
          <w:szCs w:val="22"/>
          <w:shd w:val="clear" w:color="auto" w:fill="FFFFFF"/>
        </w:rPr>
        <w:t>pseudotumor cerebri</w:t>
      </w:r>
      <w:r w:rsidR="0005639D" w:rsidRPr="0033639F">
        <w:rPr>
          <w:rFonts w:ascii="Arial" w:hAnsi="Arial" w:cs="Arial"/>
          <w:color w:val="1B1B1B"/>
          <w:sz w:val="22"/>
          <w:szCs w:val="22"/>
          <w:shd w:val="clear" w:color="auto" w:fill="FFFFFF"/>
        </w:rPr>
        <w:t xml:space="preserve"> was noted to be the most common adverse event</w:t>
      </w:r>
      <w:r w:rsidR="00C2365E" w:rsidRPr="0033639F">
        <w:rPr>
          <w:rFonts w:ascii="Arial" w:hAnsi="Arial" w:cs="Arial"/>
          <w:color w:val="1B1B1B"/>
          <w:sz w:val="22"/>
          <w:szCs w:val="22"/>
          <w:shd w:val="clear" w:color="auto" w:fill="FFFFFF"/>
        </w:rPr>
        <w:t xml:space="preserve"> (147)</w:t>
      </w:r>
      <w:r w:rsidR="00F3462F" w:rsidRPr="0033639F">
        <w:rPr>
          <w:rFonts w:ascii="Arial" w:hAnsi="Arial" w:cs="Arial"/>
          <w:color w:val="1B1B1B"/>
          <w:sz w:val="22"/>
          <w:szCs w:val="22"/>
          <w:shd w:val="clear" w:color="auto" w:fill="FFFFFF"/>
        </w:rPr>
        <w:t xml:space="preserve">. </w:t>
      </w:r>
    </w:p>
    <w:p w14:paraId="44F43C73" w14:textId="77777777" w:rsidR="006E2D25" w:rsidRPr="0033639F" w:rsidRDefault="006E2D25" w:rsidP="0033639F">
      <w:pPr>
        <w:spacing w:line="276" w:lineRule="auto"/>
        <w:rPr>
          <w:rFonts w:ascii="Arial" w:hAnsi="Arial" w:cs="Arial"/>
          <w:color w:val="1B1B1B"/>
          <w:sz w:val="22"/>
          <w:szCs w:val="22"/>
          <w:shd w:val="clear" w:color="auto" w:fill="FFFFFF"/>
        </w:rPr>
      </w:pPr>
    </w:p>
    <w:p w14:paraId="562CA8B5" w14:textId="4384D3C1" w:rsidR="00901893" w:rsidRPr="0033639F" w:rsidRDefault="00EB5698" w:rsidP="0033639F">
      <w:pPr>
        <w:spacing w:line="276" w:lineRule="auto"/>
        <w:rPr>
          <w:rStyle w:val="Emphasis"/>
          <w:rFonts w:ascii="Arial" w:hAnsi="Arial" w:cs="Arial"/>
          <w:i w:val="0"/>
          <w:iCs w:val="0"/>
          <w:color w:val="1B1B1B"/>
          <w:sz w:val="22"/>
          <w:szCs w:val="22"/>
          <w:shd w:val="clear" w:color="auto" w:fill="F7F7F7"/>
        </w:rPr>
      </w:pPr>
      <w:r w:rsidRPr="0033639F">
        <w:rPr>
          <w:rFonts w:ascii="Arial" w:hAnsi="Arial" w:cs="Arial"/>
          <w:color w:val="1B1B1B"/>
          <w:sz w:val="22"/>
          <w:szCs w:val="22"/>
          <w:shd w:val="clear" w:color="auto" w:fill="F7F7F7"/>
        </w:rPr>
        <w:t>A</w:t>
      </w:r>
      <w:r w:rsidR="006F04CF" w:rsidRPr="0033639F">
        <w:rPr>
          <w:rFonts w:ascii="Arial" w:hAnsi="Arial" w:cs="Arial"/>
          <w:color w:val="1B1B1B"/>
          <w:sz w:val="22"/>
          <w:szCs w:val="22"/>
          <w:shd w:val="clear" w:color="auto" w:fill="F7F7F7"/>
        </w:rPr>
        <w:t xml:space="preserve"> </w:t>
      </w:r>
      <w:r w:rsidRPr="0033639F">
        <w:rPr>
          <w:rFonts w:ascii="Arial" w:hAnsi="Arial" w:cs="Arial"/>
          <w:color w:val="1B1B1B"/>
          <w:sz w:val="22"/>
          <w:szCs w:val="22"/>
          <w:shd w:val="clear" w:color="auto" w:fill="F7F7F7"/>
        </w:rPr>
        <w:t>single patient with PAPPA2 deficiency was</w:t>
      </w:r>
      <w:r w:rsidR="00221149" w:rsidRPr="0033639F">
        <w:rPr>
          <w:rFonts w:ascii="Arial" w:hAnsi="Arial" w:cs="Arial"/>
          <w:color w:val="1B1B1B"/>
          <w:sz w:val="22"/>
          <w:szCs w:val="22"/>
          <w:shd w:val="clear" w:color="auto" w:fill="F7F7F7"/>
        </w:rPr>
        <w:t xml:space="preserve"> </w:t>
      </w:r>
      <w:r w:rsidR="009B6DE0" w:rsidRPr="0033639F">
        <w:rPr>
          <w:rFonts w:ascii="Arial" w:hAnsi="Arial" w:cs="Arial"/>
          <w:color w:val="1B1B1B"/>
          <w:sz w:val="22"/>
          <w:szCs w:val="22"/>
          <w:shd w:val="clear" w:color="auto" w:fill="F7F7F7"/>
        </w:rPr>
        <w:t>administ</w:t>
      </w:r>
      <w:r w:rsidRPr="0033639F">
        <w:rPr>
          <w:rFonts w:ascii="Arial" w:hAnsi="Arial" w:cs="Arial"/>
          <w:color w:val="1B1B1B"/>
          <w:sz w:val="22"/>
          <w:szCs w:val="22"/>
          <w:shd w:val="clear" w:color="auto" w:fill="F7F7F7"/>
        </w:rPr>
        <w:t>e</w:t>
      </w:r>
      <w:r w:rsidR="009B6DE0" w:rsidRPr="0033639F">
        <w:rPr>
          <w:rFonts w:ascii="Arial" w:hAnsi="Arial" w:cs="Arial"/>
          <w:color w:val="1B1B1B"/>
          <w:sz w:val="22"/>
          <w:szCs w:val="22"/>
          <w:shd w:val="clear" w:color="auto" w:fill="F7F7F7"/>
        </w:rPr>
        <w:t>r</w:t>
      </w:r>
      <w:r w:rsidRPr="0033639F">
        <w:rPr>
          <w:rFonts w:ascii="Arial" w:hAnsi="Arial" w:cs="Arial"/>
          <w:color w:val="1B1B1B"/>
          <w:sz w:val="22"/>
          <w:szCs w:val="22"/>
          <w:shd w:val="clear" w:color="auto" w:fill="F7F7F7"/>
        </w:rPr>
        <w:t xml:space="preserve">ed fresh frozen plasma </w:t>
      </w:r>
      <w:r w:rsidR="00D22F55" w:rsidRPr="0033639F">
        <w:rPr>
          <w:rFonts w:ascii="Arial" w:hAnsi="Arial" w:cs="Arial"/>
          <w:color w:val="1B1B1B"/>
          <w:sz w:val="22"/>
          <w:szCs w:val="22"/>
          <w:shd w:val="clear" w:color="auto" w:fill="F7F7F7"/>
        </w:rPr>
        <w:t>with the goal</w:t>
      </w:r>
      <w:r w:rsidRPr="0033639F">
        <w:rPr>
          <w:rFonts w:ascii="Arial" w:hAnsi="Arial" w:cs="Arial"/>
          <w:color w:val="1B1B1B"/>
          <w:sz w:val="22"/>
          <w:szCs w:val="22"/>
          <w:shd w:val="clear" w:color="auto" w:fill="F7F7F7"/>
        </w:rPr>
        <w:t xml:space="preserve"> to restore PAPPA2 activity.  Interestingly, the patient responded with </w:t>
      </w:r>
      <w:r w:rsidR="007F3B3E" w:rsidRPr="0033639F">
        <w:rPr>
          <w:rFonts w:ascii="Arial" w:hAnsi="Arial" w:cs="Arial"/>
          <w:color w:val="1B1B1B"/>
          <w:sz w:val="22"/>
          <w:szCs w:val="22"/>
          <w:shd w:val="clear" w:color="auto" w:fill="F7F7F7"/>
        </w:rPr>
        <w:t xml:space="preserve">significantly </w:t>
      </w:r>
      <w:r w:rsidR="00E37B92" w:rsidRPr="0033639F">
        <w:rPr>
          <w:rFonts w:ascii="Arial" w:hAnsi="Arial" w:cs="Arial"/>
          <w:color w:val="1B1B1B"/>
          <w:sz w:val="22"/>
          <w:szCs w:val="22"/>
          <w:shd w:val="clear" w:color="auto" w:fill="F7F7F7"/>
        </w:rPr>
        <w:t>increased free IGF1 levels</w:t>
      </w:r>
      <w:r w:rsidRPr="0033639F">
        <w:rPr>
          <w:rFonts w:ascii="Arial" w:hAnsi="Arial" w:cs="Arial"/>
          <w:color w:val="1B1B1B"/>
          <w:sz w:val="22"/>
          <w:szCs w:val="22"/>
          <w:shd w:val="clear" w:color="auto" w:fill="F7F7F7"/>
        </w:rPr>
        <w:t>,</w:t>
      </w:r>
      <w:r w:rsidR="00E37B92" w:rsidRPr="0033639F">
        <w:rPr>
          <w:rFonts w:ascii="Arial" w:hAnsi="Arial" w:cs="Arial"/>
          <w:color w:val="1B1B1B"/>
          <w:sz w:val="22"/>
          <w:szCs w:val="22"/>
          <w:shd w:val="clear" w:color="auto" w:fill="F7F7F7"/>
        </w:rPr>
        <w:t xml:space="preserve"> </w:t>
      </w:r>
      <w:r w:rsidR="004731D4" w:rsidRPr="0033639F">
        <w:rPr>
          <w:rFonts w:ascii="Arial" w:hAnsi="Arial" w:cs="Arial"/>
          <w:color w:val="1B1B1B"/>
          <w:sz w:val="22"/>
          <w:szCs w:val="22"/>
          <w:shd w:val="clear" w:color="auto" w:fill="F7F7F7"/>
        </w:rPr>
        <w:t xml:space="preserve">but </w:t>
      </w:r>
      <w:r w:rsidR="00D22F55" w:rsidRPr="0033639F">
        <w:rPr>
          <w:rFonts w:ascii="Arial" w:hAnsi="Arial" w:cs="Arial"/>
          <w:color w:val="1B1B1B"/>
          <w:sz w:val="22"/>
          <w:szCs w:val="22"/>
          <w:shd w:val="clear" w:color="auto" w:fill="F7F7F7"/>
        </w:rPr>
        <w:t xml:space="preserve">her serum </w:t>
      </w:r>
      <w:r w:rsidR="004731D4" w:rsidRPr="0033639F">
        <w:rPr>
          <w:rFonts w:ascii="Arial" w:hAnsi="Arial" w:cs="Arial"/>
          <w:color w:val="1B1B1B"/>
          <w:sz w:val="22"/>
          <w:szCs w:val="22"/>
          <w:shd w:val="clear" w:color="auto" w:fill="F7F7F7"/>
        </w:rPr>
        <w:t>PAPPA2</w:t>
      </w:r>
      <w:r w:rsidR="00D22F55" w:rsidRPr="0033639F">
        <w:rPr>
          <w:rFonts w:ascii="Arial" w:hAnsi="Arial" w:cs="Arial"/>
          <w:color w:val="1B1B1B"/>
          <w:sz w:val="22"/>
          <w:szCs w:val="22"/>
          <w:shd w:val="clear" w:color="auto" w:fill="F7F7F7"/>
        </w:rPr>
        <w:t xml:space="preserve"> levels did not measurably increase.</w:t>
      </w:r>
      <w:r w:rsidR="00D22F55" w:rsidRPr="0033639F">
        <w:rPr>
          <w:rFonts w:ascii="Arial" w:hAnsi="Arial" w:cs="Arial"/>
          <w:i/>
          <w:iCs/>
          <w:color w:val="1B1B1B"/>
          <w:sz w:val="22"/>
          <w:szCs w:val="22"/>
          <w:shd w:val="clear" w:color="auto" w:fill="F7F7F7"/>
        </w:rPr>
        <w:t>in vitro</w:t>
      </w:r>
      <w:r w:rsidR="00D22F55" w:rsidRPr="0033639F">
        <w:rPr>
          <w:rFonts w:ascii="Arial" w:hAnsi="Arial" w:cs="Arial"/>
          <w:color w:val="1B1B1B"/>
          <w:sz w:val="22"/>
          <w:szCs w:val="22"/>
          <w:shd w:val="clear" w:color="auto" w:fill="F7F7F7"/>
        </w:rPr>
        <w:t xml:space="preserve"> addition of rhPAPPA2 to the patients serum similarly demonstrated an increase in free IGF1, as did the serum of </w:t>
      </w:r>
      <w:r w:rsidR="007F3B3E" w:rsidRPr="0033639F">
        <w:rPr>
          <w:rFonts w:ascii="Arial" w:hAnsi="Arial" w:cs="Arial"/>
          <w:color w:val="1B1B1B"/>
          <w:sz w:val="22"/>
          <w:szCs w:val="22"/>
          <w:shd w:val="clear" w:color="auto" w:fill="F7F7F7"/>
        </w:rPr>
        <w:t>patients with ISS</w:t>
      </w:r>
      <w:r w:rsidR="00D22F55" w:rsidRPr="0033639F">
        <w:rPr>
          <w:rFonts w:ascii="Arial" w:hAnsi="Arial" w:cs="Arial"/>
          <w:color w:val="1B1B1B"/>
          <w:sz w:val="22"/>
          <w:szCs w:val="22"/>
          <w:shd w:val="clear" w:color="auto" w:fill="F7F7F7"/>
        </w:rPr>
        <w:t>, although the increase in ISS patients was less robust</w:t>
      </w:r>
      <w:r w:rsidR="00301D27" w:rsidRPr="0033639F">
        <w:rPr>
          <w:rFonts w:ascii="Arial" w:hAnsi="Arial" w:cs="Arial"/>
          <w:color w:val="1B1B1B"/>
          <w:sz w:val="22"/>
          <w:szCs w:val="22"/>
          <w:shd w:val="clear" w:color="auto" w:fill="F7F7F7"/>
        </w:rPr>
        <w:t xml:space="preserve"> (149).  </w:t>
      </w:r>
      <w:r w:rsidR="0078042B" w:rsidRPr="0033639F">
        <w:rPr>
          <w:rFonts w:ascii="Arial" w:hAnsi="Arial" w:cs="Arial"/>
          <w:color w:val="1B1B1B"/>
          <w:sz w:val="22"/>
          <w:szCs w:val="22"/>
          <w:shd w:val="clear" w:color="auto" w:fill="FFFFFF"/>
        </w:rPr>
        <w:t xml:space="preserve">However, authors caution </w:t>
      </w:r>
      <w:r w:rsidR="00234EB8" w:rsidRPr="0033639F">
        <w:rPr>
          <w:rFonts w:ascii="Arial" w:hAnsi="Arial" w:cs="Arial"/>
          <w:color w:val="1B1B1B"/>
          <w:sz w:val="22"/>
          <w:szCs w:val="22"/>
          <w:shd w:val="clear" w:color="auto" w:fill="FFFFFF"/>
        </w:rPr>
        <w:t xml:space="preserve">first </w:t>
      </w:r>
      <w:r w:rsidR="0078042B" w:rsidRPr="0033639F">
        <w:rPr>
          <w:rFonts w:ascii="Arial" w:hAnsi="Arial" w:cs="Arial"/>
          <w:color w:val="1B1B1B"/>
          <w:sz w:val="22"/>
          <w:szCs w:val="22"/>
          <w:shd w:val="clear" w:color="auto" w:fill="FFFFFF"/>
        </w:rPr>
        <w:t>establishing the normal ranges for PAPPA2 and free IGF1 before developing PAPP</w:t>
      </w:r>
      <w:r w:rsidR="002559E7" w:rsidRPr="0033639F">
        <w:rPr>
          <w:rFonts w:ascii="Arial" w:hAnsi="Arial" w:cs="Arial"/>
          <w:color w:val="1B1B1B"/>
          <w:sz w:val="22"/>
          <w:szCs w:val="22"/>
          <w:shd w:val="clear" w:color="auto" w:fill="FFFFFF"/>
        </w:rPr>
        <w:t xml:space="preserve">A2 </w:t>
      </w:r>
      <w:r w:rsidR="0078042B" w:rsidRPr="0033639F">
        <w:rPr>
          <w:rFonts w:ascii="Arial" w:hAnsi="Arial" w:cs="Arial"/>
          <w:color w:val="1B1B1B"/>
          <w:sz w:val="22"/>
          <w:szCs w:val="22"/>
          <w:shd w:val="clear" w:color="auto" w:fill="FFFFFF"/>
        </w:rPr>
        <w:t>as a potential novel treatmen</w:t>
      </w:r>
      <w:r w:rsidR="002559E7" w:rsidRPr="0033639F">
        <w:rPr>
          <w:rFonts w:ascii="Arial" w:hAnsi="Arial" w:cs="Arial"/>
          <w:color w:val="1B1B1B"/>
          <w:sz w:val="22"/>
          <w:szCs w:val="22"/>
          <w:shd w:val="clear" w:color="auto" w:fill="FFFFFF"/>
        </w:rPr>
        <w:t>t for growth.</w:t>
      </w:r>
      <w:r w:rsidR="0078042B" w:rsidRPr="0033639F">
        <w:rPr>
          <w:rFonts w:ascii="Arial" w:hAnsi="Arial" w:cs="Arial"/>
          <w:color w:val="1B1B1B"/>
          <w:sz w:val="22"/>
          <w:szCs w:val="22"/>
          <w:shd w:val="clear" w:color="auto" w:fill="FFFFFF"/>
        </w:rPr>
        <w:t xml:space="preserve"> </w:t>
      </w:r>
    </w:p>
    <w:p w14:paraId="5FDC7FB8" w14:textId="77777777" w:rsidR="00901893" w:rsidRPr="0033639F" w:rsidRDefault="00901893" w:rsidP="0033639F">
      <w:pPr>
        <w:spacing w:line="276" w:lineRule="auto"/>
        <w:rPr>
          <w:rStyle w:val="Emphasis"/>
          <w:rFonts w:ascii="Arial" w:hAnsi="Arial" w:cs="Arial"/>
          <w:i w:val="0"/>
          <w:iCs w:val="0"/>
          <w:color w:val="1B1B1B"/>
          <w:sz w:val="22"/>
          <w:szCs w:val="22"/>
          <w:shd w:val="clear" w:color="auto" w:fill="F7F7F7"/>
        </w:rPr>
      </w:pPr>
    </w:p>
    <w:p w14:paraId="4E385B25" w14:textId="2A502022" w:rsidR="00803B01" w:rsidRPr="00A979F5" w:rsidRDefault="00803B01" w:rsidP="00A979F5">
      <w:pPr>
        <w:rPr>
          <w:rFonts w:ascii="Arial" w:hAnsi="Arial" w:cs="Arial"/>
          <w:b/>
          <w:bCs/>
          <w:color w:val="00B050"/>
          <w:sz w:val="22"/>
          <w:szCs w:val="22"/>
        </w:rPr>
      </w:pPr>
      <w:r w:rsidRPr="00A979F5">
        <w:rPr>
          <w:rFonts w:ascii="Arial" w:hAnsi="Arial" w:cs="Arial"/>
          <w:b/>
          <w:bCs/>
          <w:color w:val="00B050"/>
          <w:sz w:val="22"/>
          <w:szCs w:val="22"/>
        </w:rPr>
        <w:t xml:space="preserve">Insulin-Like Growth Factor 2 </w:t>
      </w:r>
      <w:r w:rsidR="006C2F1E" w:rsidRPr="00A979F5">
        <w:rPr>
          <w:rFonts w:ascii="Arial" w:hAnsi="Arial" w:cs="Arial"/>
          <w:b/>
          <w:bCs/>
          <w:color w:val="00B050"/>
          <w:sz w:val="22"/>
          <w:szCs w:val="22"/>
        </w:rPr>
        <w:t>(IGF2)</w:t>
      </w:r>
    </w:p>
    <w:p w14:paraId="392226E8" w14:textId="77777777" w:rsidR="00A979F5" w:rsidRPr="00A979F5" w:rsidRDefault="00A979F5" w:rsidP="00A979F5">
      <w:pPr>
        <w:rPr>
          <w:rFonts w:ascii="Arial" w:hAnsi="Arial" w:cs="Arial"/>
          <w:b/>
          <w:bCs/>
          <w:color w:val="00B050"/>
          <w:sz w:val="22"/>
          <w:szCs w:val="22"/>
        </w:rPr>
      </w:pPr>
    </w:p>
    <w:p w14:paraId="630D74CE" w14:textId="0346406C" w:rsidR="00803B01" w:rsidRDefault="00803B01" w:rsidP="0033639F">
      <w:pPr>
        <w:spacing w:line="276" w:lineRule="auto"/>
        <w:rPr>
          <w:rFonts w:ascii="Arial" w:hAnsi="Arial" w:cs="Arial"/>
          <w:sz w:val="22"/>
          <w:szCs w:val="22"/>
        </w:rPr>
      </w:pPr>
      <w:r w:rsidRPr="0033639F">
        <w:rPr>
          <w:rFonts w:ascii="Arial" w:hAnsi="Arial" w:cs="Arial"/>
          <w:sz w:val="22"/>
          <w:szCs w:val="22"/>
        </w:rPr>
        <w:t>IGF2 is thought to be a major prenatal growth hormone and</w:t>
      </w:r>
      <w:r w:rsidR="00D22F55" w:rsidRPr="0033639F">
        <w:rPr>
          <w:rFonts w:ascii="Arial" w:hAnsi="Arial" w:cs="Arial"/>
          <w:sz w:val="22"/>
          <w:szCs w:val="22"/>
        </w:rPr>
        <w:t xml:space="preserve"> to be</w:t>
      </w:r>
      <w:r w:rsidRPr="0033639F">
        <w:rPr>
          <w:rFonts w:ascii="Arial" w:hAnsi="Arial" w:cs="Arial"/>
          <w:sz w:val="22"/>
          <w:szCs w:val="22"/>
        </w:rPr>
        <w:t xml:space="preserve"> less </w:t>
      </w:r>
      <w:r w:rsidR="00D22F55" w:rsidRPr="0033639F">
        <w:rPr>
          <w:rFonts w:ascii="Arial" w:hAnsi="Arial" w:cs="Arial"/>
          <w:sz w:val="22"/>
          <w:szCs w:val="22"/>
        </w:rPr>
        <w:t>critical for statural growth</w:t>
      </w:r>
      <w:r w:rsidRPr="0033639F">
        <w:rPr>
          <w:rFonts w:ascii="Arial" w:hAnsi="Arial" w:cs="Arial"/>
          <w:sz w:val="22"/>
          <w:szCs w:val="22"/>
        </w:rPr>
        <w:t xml:space="preserve"> in post-natal life. </w:t>
      </w:r>
    </w:p>
    <w:p w14:paraId="0FCF563A" w14:textId="77777777" w:rsidR="00A979F5" w:rsidRPr="0033639F" w:rsidRDefault="00A979F5" w:rsidP="0033639F">
      <w:pPr>
        <w:spacing w:line="276" w:lineRule="auto"/>
        <w:rPr>
          <w:rFonts w:ascii="Arial" w:hAnsi="Arial" w:cs="Arial"/>
          <w:sz w:val="22"/>
          <w:szCs w:val="22"/>
        </w:rPr>
      </w:pPr>
    </w:p>
    <w:p w14:paraId="1646DEED" w14:textId="76B266CE"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The human gene, </w:t>
      </w:r>
      <w:r w:rsidRPr="0033639F">
        <w:rPr>
          <w:rFonts w:ascii="Arial" w:hAnsi="Arial" w:cs="Arial"/>
          <w:i/>
          <w:iCs/>
          <w:sz w:val="22"/>
          <w:szCs w:val="22"/>
        </w:rPr>
        <w:t>IGF2</w:t>
      </w:r>
      <w:r w:rsidRPr="0033639F">
        <w:rPr>
          <w:rFonts w:ascii="Arial" w:hAnsi="Arial" w:cs="Arial"/>
          <w:sz w:val="22"/>
          <w:szCs w:val="22"/>
        </w:rPr>
        <w:t xml:space="preserve">, is located on 11p15.5 (Figure </w:t>
      </w:r>
      <w:r w:rsidR="006C2F1E" w:rsidRPr="0033639F">
        <w:rPr>
          <w:rFonts w:ascii="Arial" w:hAnsi="Arial" w:cs="Arial"/>
          <w:sz w:val="22"/>
          <w:szCs w:val="22"/>
        </w:rPr>
        <w:t>22</w:t>
      </w:r>
      <w:r w:rsidRPr="0033639F">
        <w:rPr>
          <w:rFonts w:ascii="Arial" w:hAnsi="Arial" w:cs="Arial"/>
          <w:sz w:val="22"/>
          <w:szCs w:val="22"/>
        </w:rPr>
        <w:t>). Chromosome 11p15.5 carries a group of maternally (</w:t>
      </w:r>
      <w:r w:rsidRPr="0033639F">
        <w:rPr>
          <w:rFonts w:ascii="Arial" w:hAnsi="Arial" w:cs="Arial"/>
          <w:i/>
          <w:iCs/>
          <w:sz w:val="22"/>
          <w:szCs w:val="22"/>
        </w:rPr>
        <w:t>IGF2</w:t>
      </w:r>
      <w:r w:rsidRPr="0033639F">
        <w:rPr>
          <w:rFonts w:ascii="Arial" w:hAnsi="Arial" w:cs="Arial"/>
          <w:sz w:val="22"/>
          <w:szCs w:val="22"/>
        </w:rPr>
        <w:t>) and paternally (</w:t>
      </w:r>
      <w:r w:rsidRPr="0033639F">
        <w:rPr>
          <w:rFonts w:ascii="Arial" w:hAnsi="Arial" w:cs="Arial"/>
          <w:i/>
          <w:iCs/>
          <w:sz w:val="22"/>
          <w:szCs w:val="22"/>
        </w:rPr>
        <w:t>H19</w:t>
      </w:r>
      <w:r w:rsidRPr="0033639F">
        <w:rPr>
          <w:rFonts w:ascii="Arial" w:hAnsi="Arial" w:cs="Arial"/>
          <w:sz w:val="22"/>
          <w:szCs w:val="22"/>
        </w:rPr>
        <w:t xml:space="preserve">) imprinted genes that </w:t>
      </w:r>
      <w:r w:rsidR="00D22F55" w:rsidRPr="0033639F">
        <w:rPr>
          <w:rFonts w:ascii="Arial" w:hAnsi="Arial" w:cs="Arial"/>
          <w:sz w:val="22"/>
          <w:szCs w:val="22"/>
        </w:rPr>
        <w:t xml:space="preserve">are </w:t>
      </w:r>
      <w:r w:rsidRPr="0033639F">
        <w:rPr>
          <w:rFonts w:ascii="Arial" w:hAnsi="Arial" w:cs="Arial"/>
          <w:sz w:val="22"/>
          <w:szCs w:val="22"/>
        </w:rPr>
        <w:t xml:space="preserve">crucial for </w:t>
      </w:r>
      <w:r w:rsidR="00D22F55" w:rsidRPr="0033639F">
        <w:rPr>
          <w:rFonts w:ascii="Arial" w:hAnsi="Arial" w:cs="Arial"/>
          <w:sz w:val="22"/>
          <w:szCs w:val="22"/>
        </w:rPr>
        <w:t xml:space="preserve">embryonic and/or </w:t>
      </w:r>
      <w:r w:rsidRPr="0033639F">
        <w:rPr>
          <w:rFonts w:ascii="Arial" w:hAnsi="Arial" w:cs="Arial"/>
          <w:sz w:val="22"/>
          <w:szCs w:val="22"/>
        </w:rPr>
        <w:t xml:space="preserve">fetal growth. Genetic or epigenetic changes in the 11p15.5 region alter </w:t>
      </w:r>
      <w:r w:rsidR="00D22F55" w:rsidRPr="0033639F">
        <w:rPr>
          <w:rFonts w:ascii="Arial" w:hAnsi="Arial" w:cs="Arial"/>
          <w:sz w:val="22"/>
          <w:szCs w:val="22"/>
        </w:rPr>
        <w:t xml:space="preserve">this </w:t>
      </w:r>
      <w:r w:rsidRPr="0033639F">
        <w:rPr>
          <w:rFonts w:ascii="Arial" w:hAnsi="Arial" w:cs="Arial"/>
          <w:sz w:val="22"/>
          <w:szCs w:val="22"/>
        </w:rPr>
        <w:t>growth</w:t>
      </w:r>
      <w:r w:rsidR="00586887" w:rsidRPr="0033639F">
        <w:rPr>
          <w:rFonts w:ascii="Arial" w:hAnsi="Arial" w:cs="Arial"/>
          <w:sz w:val="22"/>
          <w:szCs w:val="22"/>
        </w:rPr>
        <w:t xml:space="preserve"> </w:t>
      </w:r>
      <w:r w:rsidR="00586887" w:rsidRPr="0033639F">
        <w:rPr>
          <w:rFonts w:ascii="Arial" w:hAnsi="Arial" w:cs="Arial"/>
          <w:noProof/>
          <w:sz w:val="22"/>
          <w:szCs w:val="22"/>
        </w:rPr>
        <w:t>(</w:t>
      </w:r>
      <w:r w:rsidR="00301D27" w:rsidRPr="0033639F">
        <w:rPr>
          <w:rFonts w:ascii="Arial" w:hAnsi="Arial" w:cs="Arial"/>
          <w:noProof/>
          <w:sz w:val="22"/>
          <w:szCs w:val="22"/>
        </w:rPr>
        <w:t>150</w:t>
      </w:r>
      <w:r w:rsidR="00586887" w:rsidRPr="0033639F">
        <w:rPr>
          <w:rFonts w:ascii="Arial" w:hAnsi="Arial" w:cs="Arial"/>
          <w:noProof/>
          <w:sz w:val="22"/>
          <w:szCs w:val="22"/>
        </w:rPr>
        <w:t>)</w:t>
      </w:r>
      <w:r w:rsidRPr="0033639F">
        <w:rPr>
          <w:rFonts w:ascii="Arial" w:hAnsi="Arial" w:cs="Arial"/>
          <w:sz w:val="22"/>
          <w:szCs w:val="22"/>
        </w:rPr>
        <w:t xml:space="preserve">. </w:t>
      </w:r>
      <w:r w:rsidRPr="0033639F">
        <w:rPr>
          <w:rFonts w:ascii="Arial" w:hAnsi="Arial" w:cs="Arial"/>
          <w:i/>
          <w:iCs/>
          <w:sz w:val="22"/>
          <w:szCs w:val="22"/>
        </w:rPr>
        <w:t>IGF2</w:t>
      </w:r>
      <w:r w:rsidRPr="0033639F">
        <w:rPr>
          <w:rFonts w:ascii="Arial" w:hAnsi="Arial" w:cs="Arial"/>
          <w:sz w:val="22"/>
          <w:szCs w:val="22"/>
        </w:rPr>
        <w:t xml:space="preserve"> is maternally imprinted, meaning that the maternal allele is unexpressed. The close proximity of </w:t>
      </w:r>
      <w:r w:rsidRPr="0033639F">
        <w:rPr>
          <w:rFonts w:ascii="Arial" w:hAnsi="Arial" w:cs="Arial"/>
          <w:i/>
          <w:iCs/>
          <w:sz w:val="22"/>
          <w:szCs w:val="22"/>
        </w:rPr>
        <w:t>INS</w:t>
      </w:r>
      <w:r w:rsidRPr="0033639F">
        <w:rPr>
          <w:rFonts w:ascii="Arial" w:hAnsi="Arial" w:cs="Arial"/>
          <w:sz w:val="22"/>
          <w:szCs w:val="22"/>
        </w:rPr>
        <w:t xml:space="preserve"> to </w:t>
      </w:r>
      <w:r w:rsidRPr="0033639F">
        <w:rPr>
          <w:rFonts w:ascii="Arial" w:hAnsi="Arial" w:cs="Arial"/>
          <w:i/>
          <w:iCs/>
          <w:sz w:val="22"/>
          <w:szCs w:val="22"/>
        </w:rPr>
        <w:t>IGF2</w:t>
      </w:r>
      <w:r w:rsidRPr="0033639F">
        <w:rPr>
          <w:rFonts w:ascii="Arial" w:hAnsi="Arial" w:cs="Arial"/>
          <w:sz w:val="22"/>
          <w:szCs w:val="22"/>
        </w:rPr>
        <w:t>-in addition to nearly 50% amino acid identity-suggest that these genes arose through gene duplication events from a common ancestor gene. IGF2 acts via the IGF1 receptor (as well as the insulin receptor). Over-expression of IGF2 results in overgrowth, similar to that seen in Beckwith-Wiedemann Syndrome (which can be due to loss of imprinting, effectively doubling IGF2 expression). A mouse model overexpressing Igf2 demonstrates increased body size, organomegaly, omphalocele, cardiac, adrenal and skeletal abnormalities, suggestive of Beckwith-Wiedemann and Simpson-Golabi-Behmel syndromes</w:t>
      </w:r>
      <w:r w:rsidR="00586887" w:rsidRPr="0033639F">
        <w:rPr>
          <w:rFonts w:ascii="Arial" w:hAnsi="Arial" w:cs="Arial"/>
          <w:sz w:val="22"/>
          <w:szCs w:val="22"/>
        </w:rPr>
        <w:t xml:space="preserve"> </w:t>
      </w:r>
      <w:r w:rsidR="00586887" w:rsidRPr="0033639F">
        <w:rPr>
          <w:rFonts w:ascii="Arial" w:hAnsi="Arial" w:cs="Arial"/>
          <w:noProof/>
          <w:sz w:val="22"/>
          <w:szCs w:val="22"/>
        </w:rPr>
        <w:t>(</w:t>
      </w:r>
      <w:r w:rsidR="00301D27" w:rsidRPr="0033639F">
        <w:rPr>
          <w:rFonts w:ascii="Arial" w:hAnsi="Arial" w:cs="Arial"/>
          <w:noProof/>
          <w:sz w:val="22"/>
          <w:szCs w:val="22"/>
        </w:rPr>
        <w:t>151</w:t>
      </w:r>
      <w:r w:rsidR="00586887" w:rsidRPr="0033639F">
        <w:rPr>
          <w:rFonts w:ascii="Arial" w:hAnsi="Arial" w:cs="Arial"/>
          <w:noProof/>
          <w:sz w:val="22"/>
          <w:szCs w:val="22"/>
        </w:rPr>
        <w:t>)</w:t>
      </w:r>
      <w:r w:rsidRPr="0033639F">
        <w:rPr>
          <w:rFonts w:ascii="Arial" w:hAnsi="Arial" w:cs="Arial"/>
          <w:sz w:val="22"/>
          <w:szCs w:val="22"/>
        </w:rPr>
        <w:t xml:space="preserve">. Interestingly, </w:t>
      </w:r>
      <w:r w:rsidRPr="0033639F">
        <w:rPr>
          <w:rFonts w:ascii="Arial" w:hAnsi="Arial" w:cs="Arial"/>
          <w:i/>
          <w:iCs/>
          <w:sz w:val="22"/>
          <w:szCs w:val="22"/>
        </w:rPr>
        <w:t>IGF2</w:t>
      </w:r>
      <w:r w:rsidRPr="0033639F">
        <w:rPr>
          <w:rFonts w:ascii="Arial" w:hAnsi="Arial" w:cs="Arial"/>
          <w:sz w:val="22"/>
          <w:szCs w:val="22"/>
        </w:rPr>
        <w:t xml:space="preserve"> expression is normally extinguished by the Wilm's Tumor protein (WT1), providing an explanation for the overgrowth (</w:t>
      </w:r>
      <w:r w:rsidRPr="0033639F">
        <w:rPr>
          <w:rFonts w:ascii="Arial" w:hAnsi="Arial" w:cs="Arial"/>
          <w:i/>
          <w:iCs/>
          <w:sz w:val="22"/>
          <w:szCs w:val="22"/>
        </w:rPr>
        <w:t>e.g.</w:t>
      </w:r>
      <w:r w:rsidRPr="0033639F">
        <w:rPr>
          <w:rFonts w:ascii="Arial" w:hAnsi="Arial" w:cs="Arial"/>
          <w:sz w:val="22"/>
          <w:szCs w:val="22"/>
        </w:rPr>
        <w:t xml:space="preserve"> hemi-hypertrophy) typically seen in subjects with Wilm's Tumor</w:t>
      </w:r>
      <w:r w:rsidR="00586887" w:rsidRPr="0033639F">
        <w:rPr>
          <w:rFonts w:ascii="Arial" w:hAnsi="Arial" w:cs="Arial"/>
          <w:sz w:val="22"/>
          <w:szCs w:val="22"/>
        </w:rPr>
        <w:t xml:space="preserve"> </w:t>
      </w:r>
      <w:r w:rsidR="00586887" w:rsidRPr="0033639F">
        <w:rPr>
          <w:rFonts w:ascii="Arial" w:hAnsi="Arial" w:cs="Arial"/>
          <w:noProof/>
          <w:sz w:val="22"/>
          <w:szCs w:val="22"/>
        </w:rPr>
        <w:t>(</w:t>
      </w:r>
      <w:r w:rsidR="00301D27" w:rsidRPr="0033639F">
        <w:rPr>
          <w:rFonts w:ascii="Arial" w:hAnsi="Arial" w:cs="Arial"/>
          <w:noProof/>
          <w:sz w:val="22"/>
          <w:szCs w:val="22"/>
        </w:rPr>
        <w:t>152</w:t>
      </w:r>
      <w:r w:rsidR="00586887" w:rsidRPr="0033639F">
        <w:rPr>
          <w:rFonts w:ascii="Arial" w:hAnsi="Arial" w:cs="Arial"/>
          <w:noProof/>
          <w:sz w:val="22"/>
          <w:szCs w:val="22"/>
        </w:rPr>
        <w:t>)</w:t>
      </w:r>
      <w:r w:rsidRPr="0033639F">
        <w:rPr>
          <w:rFonts w:ascii="Arial" w:hAnsi="Arial" w:cs="Arial"/>
          <w:sz w:val="22"/>
          <w:szCs w:val="22"/>
        </w:rPr>
        <w:t xml:space="preserve">. In contrast, mice without a functional Igf2 (Igf2 knockouts) are born 40% smaller than their normal littermates (identical to Igf1 knockouts). </w:t>
      </w:r>
    </w:p>
    <w:p w14:paraId="605D6C4B" w14:textId="77777777" w:rsidR="00A11C55" w:rsidRDefault="00A11C55" w:rsidP="0033639F">
      <w:pPr>
        <w:spacing w:line="276" w:lineRule="auto"/>
        <w:rPr>
          <w:rFonts w:ascii="Arial" w:hAnsi="Arial" w:cs="Arial"/>
          <w:b/>
          <w:bCs/>
          <w:sz w:val="22"/>
          <w:szCs w:val="22"/>
        </w:rPr>
      </w:pPr>
    </w:p>
    <w:p w14:paraId="3BEE8910" w14:textId="69379FBE" w:rsidR="00A11C55" w:rsidRDefault="00A11C55" w:rsidP="0033639F">
      <w:pPr>
        <w:spacing w:line="276" w:lineRule="auto"/>
        <w:rPr>
          <w:rFonts w:ascii="Arial" w:hAnsi="Arial" w:cs="Arial"/>
          <w:b/>
          <w:bCs/>
          <w:sz w:val="22"/>
          <w:szCs w:val="22"/>
        </w:rPr>
      </w:pPr>
      <w:r>
        <w:rPr>
          <w:rFonts w:ascii="Arial" w:hAnsi="Arial" w:cs="Arial"/>
          <w:b/>
          <w:bCs/>
          <w:noProof/>
          <w:sz w:val="22"/>
          <w:szCs w:val="22"/>
        </w:rPr>
        <w:lastRenderedPageBreak/>
        <w:drawing>
          <wp:inline distT="0" distB="0" distL="0" distR="0" wp14:anchorId="11676424" wp14:editId="5BC7D19A">
            <wp:extent cx="6247181" cy="3164262"/>
            <wp:effectExtent l="0" t="0" r="1270" b="0"/>
            <wp:docPr id="19669836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9076" cy="3170287"/>
                    </a:xfrm>
                    <a:prstGeom prst="rect">
                      <a:avLst/>
                    </a:prstGeom>
                    <a:noFill/>
                  </pic:spPr>
                </pic:pic>
              </a:graphicData>
            </a:graphic>
          </wp:inline>
        </w:drawing>
      </w:r>
    </w:p>
    <w:p w14:paraId="4463CDE7" w14:textId="7B105089" w:rsidR="00A979F5" w:rsidRPr="00A979F5" w:rsidRDefault="00A979F5" w:rsidP="0033639F">
      <w:pPr>
        <w:spacing w:line="276" w:lineRule="auto"/>
        <w:rPr>
          <w:rFonts w:ascii="Arial" w:hAnsi="Arial" w:cs="Arial"/>
          <w:b/>
          <w:bCs/>
          <w:sz w:val="22"/>
          <w:szCs w:val="22"/>
        </w:rPr>
      </w:pPr>
      <w:r w:rsidRPr="00A979F5">
        <w:rPr>
          <w:rFonts w:ascii="Arial" w:hAnsi="Arial" w:cs="Arial"/>
          <w:b/>
          <w:bCs/>
          <w:sz w:val="22"/>
          <w:szCs w:val="22"/>
        </w:rPr>
        <w:t>Figure 22.The Insulin-Like Growth Factor 2 (IGF2) gene.</w:t>
      </w:r>
    </w:p>
    <w:p w14:paraId="5B6AECC7" w14:textId="77777777" w:rsidR="00A979F5" w:rsidRDefault="00A979F5" w:rsidP="0033639F">
      <w:pPr>
        <w:spacing w:line="276" w:lineRule="auto"/>
        <w:rPr>
          <w:rFonts w:ascii="Arial" w:hAnsi="Arial" w:cs="Arial"/>
          <w:sz w:val="22"/>
          <w:szCs w:val="22"/>
        </w:rPr>
      </w:pPr>
    </w:p>
    <w:p w14:paraId="6D97245B" w14:textId="43DEF507" w:rsidR="00803B01" w:rsidRDefault="00803B01" w:rsidP="0033639F">
      <w:pPr>
        <w:spacing w:line="276" w:lineRule="auto"/>
        <w:rPr>
          <w:rFonts w:ascii="Arial" w:hAnsi="Arial" w:cs="Arial"/>
          <w:sz w:val="22"/>
          <w:szCs w:val="22"/>
        </w:rPr>
      </w:pPr>
      <w:r w:rsidRPr="0033639F">
        <w:rPr>
          <w:rFonts w:ascii="Arial" w:hAnsi="Arial" w:cs="Arial"/>
          <w:sz w:val="22"/>
          <w:szCs w:val="22"/>
        </w:rPr>
        <w:t>Recent reports on individuals with severe intrauterine growth retardation showed maternal duplication of 11p15</w:t>
      </w:r>
      <w:r w:rsidRPr="0033639F">
        <w:rPr>
          <w:rFonts w:ascii="Arial" w:hAnsi="Arial" w:cs="Arial"/>
          <w:noProof/>
          <w:sz w:val="22"/>
          <w:szCs w:val="22"/>
        </w:rPr>
        <w:t xml:space="preserve"> </w:t>
      </w:r>
      <w:r w:rsidR="00586887" w:rsidRPr="0033639F">
        <w:rPr>
          <w:rFonts w:ascii="Arial" w:hAnsi="Arial" w:cs="Arial"/>
          <w:noProof/>
          <w:sz w:val="22"/>
          <w:szCs w:val="22"/>
        </w:rPr>
        <w:t>(</w:t>
      </w:r>
      <w:r w:rsidR="00301D27" w:rsidRPr="0033639F">
        <w:rPr>
          <w:rFonts w:ascii="Arial" w:hAnsi="Arial" w:cs="Arial"/>
          <w:noProof/>
          <w:sz w:val="22"/>
          <w:szCs w:val="22"/>
        </w:rPr>
        <w:t>153</w:t>
      </w:r>
      <w:r w:rsidR="00586887" w:rsidRPr="0033639F">
        <w:rPr>
          <w:rFonts w:ascii="Arial" w:hAnsi="Arial" w:cs="Arial"/>
          <w:noProof/>
          <w:sz w:val="22"/>
          <w:szCs w:val="22"/>
        </w:rPr>
        <w:t>)</w:t>
      </w:r>
      <w:r w:rsidRPr="0033639F">
        <w:rPr>
          <w:rFonts w:ascii="Arial" w:hAnsi="Arial" w:cs="Arial"/>
          <w:sz w:val="22"/>
          <w:szCs w:val="22"/>
        </w:rPr>
        <w:t xml:space="preserve">. Furthermore, individuals with Silver-Russell-syndrome (SRS, also known as Russell-Silver syndrome) have been found to have an epimutation (demethylation) associated with biallelic expression of </w:t>
      </w:r>
      <w:r w:rsidRPr="0033639F">
        <w:rPr>
          <w:rFonts w:ascii="Arial" w:hAnsi="Arial" w:cs="Arial"/>
          <w:i/>
          <w:iCs/>
          <w:sz w:val="22"/>
          <w:szCs w:val="22"/>
        </w:rPr>
        <w:t>H19</w:t>
      </w:r>
      <w:r w:rsidRPr="0033639F">
        <w:rPr>
          <w:rFonts w:ascii="Arial" w:hAnsi="Arial" w:cs="Arial"/>
          <w:sz w:val="22"/>
          <w:szCs w:val="22"/>
        </w:rPr>
        <w:t xml:space="preserve"> and down regulation of </w:t>
      </w:r>
      <w:r w:rsidRPr="0033639F">
        <w:rPr>
          <w:rFonts w:ascii="Arial" w:hAnsi="Arial" w:cs="Arial"/>
          <w:i/>
          <w:iCs/>
          <w:sz w:val="22"/>
          <w:szCs w:val="22"/>
        </w:rPr>
        <w:t>IGF2</w:t>
      </w:r>
      <w:r w:rsidRPr="0033639F">
        <w:rPr>
          <w:rFonts w:ascii="Arial" w:hAnsi="Arial" w:cs="Arial"/>
          <w:noProof/>
          <w:sz w:val="22"/>
          <w:szCs w:val="22"/>
        </w:rPr>
        <w:t xml:space="preserve"> </w:t>
      </w:r>
      <w:r w:rsidR="00586887" w:rsidRPr="0033639F">
        <w:rPr>
          <w:rFonts w:ascii="Arial" w:hAnsi="Arial" w:cs="Arial"/>
          <w:noProof/>
          <w:sz w:val="22"/>
          <w:szCs w:val="22"/>
        </w:rPr>
        <w:t>(</w:t>
      </w:r>
      <w:r w:rsidR="00301D27" w:rsidRPr="0033639F">
        <w:rPr>
          <w:rFonts w:ascii="Arial" w:hAnsi="Arial" w:cs="Arial"/>
          <w:noProof/>
          <w:sz w:val="22"/>
          <w:szCs w:val="22"/>
        </w:rPr>
        <w:t>154</w:t>
      </w:r>
      <w:r w:rsidR="00586887" w:rsidRPr="0033639F">
        <w:rPr>
          <w:rFonts w:ascii="Arial" w:hAnsi="Arial" w:cs="Arial"/>
          <w:noProof/>
          <w:sz w:val="22"/>
          <w:szCs w:val="22"/>
        </w:rPr>
        <w:t>,</w:t>
      </w:r>
      <w:r w:rsidR="00301D27" w:rsidRPr="0033639F">
        <w:rPr>
          <w:rFonts w:ascii="Arial" w:hAnsi="Arial" w:cs="Arial"/>
          <w:noProof/>
          <w:sz w:val="22"/>
          <w:szCs w:val="22"/>
        </w:rPr>
        <w:t>155</w:t>
      </w:r>
      <w:r w:rsidR="00586887" w:rsidRPr="0033639F">
        <w:rPr>
          <w:rFonts w:ascii="Arial" w:hAnsi="Arial" w:cs="Arial"/>
          <w:noProof/>
          <w:sz w:val="22"/>
          <w:szCs w:val="22"/>
        </w:rPr>
        <w:t>)</w:t>
      </w:r>
      <w:r w:rsidRPr="0033639F">
        <w:rPr>
          <w:rFonts w:ascii="Arial" w:hAnsi="Arial" w:cs="Arial"/>
          <w:sz w:val="22"/>
          <w:szCs w:val="22"/>
        </w:rPr>
        <w:t>. Russell-Silver syndrome is a congenital disorder characterized by intrauterine and postnatal growth retardation, typical facial features (triangular face, micrognathia, frontal bossing, downward slanting of corners of the mouth), asymmetry, and clinodactyly. Other chromosomal abnormalities such as maternal uniparental disomy on chromosome 7 also have been shown in 10% of individuals with SRS</w:t>
      </w:r>
      <w:r w:rsidR="00586887" w:rsidRPr="0033639F">
        <w:rPr>
          <w:rFonts w:ascii="Arial" w:hAnsi="Arial" w:cs="Arial"/>
          <w:sz w:val="22"/>
          <w:szCs w:val="22"/>
        </w:rPr>
        <w:t xml:space="preserve"> </w:t>
      </w:r>
      <w:r w:rsidR="00586887" w:rsidRPr="0033639F">
        <w:rPr>
          <w:rFonts w:ascii="Arial" w:hAnsi="Arial" w:cs="Arial"/>
          <w:noProof/>
          <w:sz w:val="22"/>
          <w:szCs w:val="22"/>
        </w:rPr>
        <w:t>(</w:t>
      </w:r>
      <w:r w:rsidR="00301D27" w:rsidRPr="0033639F">
        <w:rPr>
          <w:rFonts w:ascii="Arial" w:hAnsi="Arial" w:cs="Arial"/>
          <w:noProof/>
          <w:sz w:val="22"/>
          <w:szCs w:val="22"/>
        </w:rPr>
        <w:t>156</w:t>
      </w:r>
      <w:r w:rsidR="00586887" w:rsidRPr="0033639F">
        <w:rPr>
          <w:rFonts w:ascii="Arial" w:hAnsi="Arial" w:cs="Arial"/>
          <w:noProof/>
          <w:sz w:val="22"/>
          <w:szCs w:val="22"/>
        </w:rPr>
        <w:t>)</w:t>
      </w:r>
      <w:r w:rsidRPr="0033639F">
        <w:rPr>
          <w:rFonts w:ascii="Arial" w:hAnsi="Arial" w:cs="Arial"/>
          <w:sz w:val="22"/>
          <w:szCs w:val="22"/>
        </w:rPr>
        <w:t xml:space="preserve">. </w:t>
      </w:r>
    </w:p>
    <w:p w14:paraId="506B04A1" w14:textId="77777777" w:rsidR="00A11C55" w:rsidRPr="0033639F" w:rsidRDefault="00A11C55" w:rsidP="0033639F">
      <w:pPr>
        <w:spacing w:line="276" w:lineRule="auto"/>
        <w:rPr>
          <w:rFonts w:ascii="Arial" w:hAnsi="Arial" w:cs="Arial"/>
          <w:sz w:val="22"/>
          <w:szCs w:val="22"/>
        </w:rPr>
      </w:pPr>
    </w:p>
    <w:p w14:paraId="5A5AA9C6" w14:textId="59667A12"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A </w:t>
      </w:r>
      <w:r w:rsidR="00400B6F" w:rsidRPr="0033639F">
        <w:rPr>
          <w:rFonts w:ascii="Arial" w:hAnsi="Arial" w:cs="Arial"/>
          <w:sz w:val="22"/>
          <w:szCs w:val="22"/>
        </w:rPr>
        <w:t>paternally derived</w:t>
      </w:r>
      <w:r w:rsidRPr="0033639F">
        <w:rPr>
          <w:rFonts w:ascii="Arial" w:hAnsi="Arial" w:cs="Arial"/>
          <w:sz w:val="22"/>
          <w:szCs w:val="22"/>
        </w:rPr>
        <w:t xml:space="preserve"> balanced chromosomal translocation</w:t>
      </w:r>
      <w:r w:rsidRPr="0033639F">
        <w:rPr>
          <w:rFonts w:ascii="Arial" w:hAnsi="Arial" w:cs="Arial"/>
          <w:sz w:val="22"/>
          <w:szCs w:val="22"/>
          <w:vertAlign w:val="superscript"/>
        </w:rPr>
        <w:t xml:space="preserve"> </w:t>
      </w:r>
      <w:r w:rsidRPr="0033639F">
        <w:rPr>
          <w:rFonts w:ascii="Arial" w:hAnsi="Arial" w:cs="Arial"/>
          <w:sz w:val="22"/>
          <w:szCs w:val="22"/>
        </w:rPr>
        <w:t>that disrupted the regulatory regions of the predominantly paternally</w:t>
      </w:r>
      <w:r w:rsidRPr="0033639F">
        <w:rPr>
          <w:rFonts w:ascii="Arial" w:hAnsi="Arial" w:cs="Arial"/>
          <w:sz w:val="22"/>
          <w:szCs w:val="22"/>
          <w:vertAlign w:val="superscript"/>
        </w:rPr>
        <w:t xml:space="preserve"> </w:t>
      </w:r>
      <w:r w:rsidRPr="0033639F">
        <w:rPr>
          <w:rFonts w:ascii="Arial" w:hAnsi="Arial" w:cs="Arial"/>
          <w:sz w:val="22"/>
          <w:szCs w:val="22"/>
        </w:rPr>
        <w:t xml:space="preserve">expressed </w:t>
      </w:r>
      <w:r w:rsidRPr="0033639F">
        <w:rPr>
          <w:rFonts w:ascii="Arial" w:hAnsi="Arial" w:cs="Arial"/>
          <w:i/>
          <w:iCs/>
          <w:sz w:val="22"/>
          <w:szCs w:val="22"/>
        </w:rPr>
        <w:t>IGF2</w:t>
      </w:r>
      <w:r w:rsidRPr="0033639F">
        <w:rPr>
          <w:rFonts w:ascii="Arial" w:hAnsi="Arial" w:cs="Arial"/>
          <w:sz w:val="22"/>
          <w:szCs w:val="22"/>
        </w:rPr>
        <w:t xml:space="preserve"> gene was described in a woman with short stature, history of severe intrauterine growth retardation (-5.4 SDS), atypical diabetes and lactation failure</w:t>
      </w:r>
      <w:r w:rsidR="005A4224" w:rsidRPr="0033639F">
        <w:rPr>
          <w:rFonts w:ascii="Arial" w:hAnsi="Arial" w:cs="Arial"/>
          <w:sz w:val="22"/>
          <w:szCs w:val="22"/>
        </w:rPr>
        <w:t xml:space="preserve"> </w:t>
      </w:r>
      <w:r w:rsidR="005A4224" w:rsidRPr="0033639F">
        <w:rPr>
          <w:rFonts w:ascii="Arial" w:hAnsi="Arial" w:cs="Arial"/>
          <w:noProof/>
          <w:sz w:val="22"/>
          <w:szCs w:val="22"/>
        </w:rPr>
        <w:t>(</w:t>
      </w:r>
      <w:r w:rsidR="00301D27" w:rsidRPr="0033639F">
        <w:rPr>
          <w:rFonts w:ascii="Arial" w:hAnsi="Arial" w:cs="Arial"/>
          <w:noProof/>
          <w:sz w:val="22"/>
          <w:szCs w:val="22"/>
        </w:rPr>
        <w:t>157</w:t>
      </w:r>
      <w:r w:rsidR="005A4224" w:rsidRPr="0033639F">
        <w:rPr>
          <w:rFonts w:ascii="Arial" w:hAnsi="Arial" w:cs="Arial"/>
          <w:noProof/>
          <w:sz w:val="22"/>
          <w:szCs w:val="22"/>
        </w:rPr>
        <w:t>)</w:t>
      </w:r>
      <w:r w:rsidRPr="0033639F">
        <w:rPr>
          <w:rFonts w:ascii="Arial" w:hAnsi="Arial" w:cs="Arial"/>
          <w:sz w:val="22"/>
          <w:szCs w:val="22"/>
        </w:rPr>
        <w:t xml:space="preserve">. </w:t>
      </w:r>
    </w:p>
    <w:p w14:paraId="1A10D67D" w14:textId="77777777" w:rsidR="00A11C55" w:rsidRPr="0033639F" w:rsidRDefault="00A11C55" w:rsidP="0033639F">
      <w:pPr>
        <w:spacing w:line="276" w:lineRule="auto"/>
        <w:rPr>
          <w:rFonts w:ascii="Arial" w:hAnsi="Arial" w:cs="Arial"/>
          <w:sz w:val="22"/>
          <w:szCs w:val="22"/>
        </w:rPr>
      </w:pPr>
    </w:p>
    <w:p w14:paraId="632FEE5D" w14:textId="04C0CFA3" w:rsidR="00803B01" w:rsidRPr="00A11C55" w:rsidRDefault="00803B01" w:rsidP="00A11C55">
      <w:pPr>
        <w:rPr>
          <w:rFonts w:ascii="Arial" w:hAnsi="Arial" w:cs="Arial"/>
          <w:b/>
          <w:bCs/>
          <w:color w:val="00B050"/>
          <w:sz w:val="22"/>
          <w:szCs w:val="22"/>
        </w:rPr>
      </w:pPr>
      <w:bookmarkStart w:id="28" w:name="id2507323"/>
      <w:bookmarkEnd w:id="28"/>
      <w:r w:rsidRPr="00A11C55">
        <w:rPr>
          <w:rFonts w:ascii="Arial" w:hAnsi="Arial" w:cs="Arial"/>
          <w:b/>
          <w:bCs/>
          <w:color w:val="00B050"/>
          <w:sz w:val="22"/>
          <w:szCs w:val="22"/>
        </w:rPr>
        <w:t xml:space="preserve">Insulin-Like Growth Factor 2 Receptor </w:t>
      </w:r>
      <w:r w:rsidR="00047036" w:rsidRPr="00A11C55">
        <w:rPr>
          <w:rFonts w:ascii="Arial" w:hAnsi="Arial" w:cs="Arial"/>
          <w:b/>
          <w:bCs/>
          <w:color w:val="00B050"/>
          <w:sz w:val="22"/>
          <w:szCs w:val="22"/>
        </w:rPr>
        <w:t>(IGF2R)</w:t>
      </w:r>
    </w:p>
    <w:p w14:paraId="2F32317E" w14:textId="77777777" w:rsidR="00A11C55" w:rsidRPr="00A11C55" w:rsidRDefault="00A11C55" w:rsidP="00A11C55">
      <w:pPr>
        <w:rPr>
          <w:rFonts w:ascii="Arial" w:hAnsi="Arial" w:cs="Arial"/>
          <w:b/>
          <w:bCs/>
          <w:color w:val="00B050"/>
          <w:sz w:val="22"/>
          <w:szCs w:val="22"/>
        </w:rPr>
      </w:pPr>
    </w:p>
    <w:p w14:paraId="40D85308" w14:textId="13D37745"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A receptor for IGF2, the IGF2R, has been identified, but does not appear to be the mediator of IGF2's growth promoting action. </w:t>
      </w:r>
      <w:r w:rsidRPr="0033639F">
        <w:rPr>
          <w:rFonts w:ascii="Arial" w:hAnsi="Arial" w:cs="Arial"/>
          <w:i/>
          <w:iCs/>
          <w:sz w:val="22"/>
          <w:szCs w:val="22"/>
        </w:rPr>
        <w:t>IGF2R</w:t>
      </w:r>
      <w:r w:rsidRPr="0033639F">
        <w:rPr>
          <w:rFonts w:ascii="Arial" w:hAnsi="Arial" w:cs="Arial"/>
          <w:sz w:val="22"/>
          <w:szCs w:val="22"/>
        </w:rPr>
        <w:t xml:space="preserve"> is located on </w:t>
      </w:r>
      <w:r w:rsidR="00400B6F" w:rsidRPr="0033639F">
        <w:rPr>
          <w:rFonts w:ascii="Arial" w:hAnsi="Arial" w:cs="Arial"/>
          <w:sz w:val="22"/>
          <w:szCs w:val="22"/>
        </w:rPr>
        <w:t>6q26 and</w:t>
      </w:r>
      <w:r w:rsidRPr="0033639F">
        <w:rPr>
          <w:rFonts w:ascii="Arial" w:hAnsi="Arial" w:cs="Arial"/>
          <w:sz w:val="22"/>
          <w:szCs w:val="22"/>
        </w:rPr>
        <w:t xml:space="preserve"> encodes a receptor unrelated to the IGF1 or insulin receptor (Figure</w:t>
      </w:r>
      <w:r w:rsidR="00047036" w:rsidRPr="0033639F">
        <w:rPr>
          <w:rFonts w:ascii="Arial" w:hAnsi="Arial" w:cs="Arial"/>
          <w:sz w:val="22"/>
          <w:szCs w:val="22"/>
        </w:rPr>
        <w:t xml:space="preserve"> 23</w:t>
      </w:r>
      <w:r w:rsidRPr="0033639F">
        <w:rPr>
          <w:rFonts w:ascii="Arial" w:hAnsi="Arial" w:cs="Arial"/>
          <w:sz w:val="22"/>
          <w:szCs w:val="22"/>
        </w:rPr>
        <w:t xml:space="preserve">). IGF2R is also the mannose-6-phosphate receptor and serves as a negative modulator of growth (for all IGF's </w:t>
      </w:r>
      <w:r w:rsidR="00400B6F" w:rsidRPr="0033639F">
        <w:rPr>
          <w:rFonts w:ascii="Arial" w:hAnsi="Arial" w:cs="Arial"/>
          <w:sz w:val="22"/>
          <w:szCs w:val="22"/>
        </w:rPr>
        <w:t>and</w:t>
      </w:r>
      <w:r w:rsidRPr="0033639F">
        <w:rPr>
          <w:rFonts w:ascii="Arial" w:hAnsi="Arial" w:cs="Arial"/>
          <w:sz w:val="22"/>
          <w:szCs w:val="22"/>
        </w:rPr>
        <w:t xml:space="preserve"> insulin). Its main role </w:t>
      </w:r>
      <w:r w:rsidRPr="0033639F">
        <w:rPr>
          <w:rFonts w:ascii="Arial" w:hAnsi="Arial" w:cs="Arial"/>
          <w:i/>
          <w:iCs/>
          <w:sz w:val="22"/>
          <w:szCs w:val="22"/>
        </w:rPr>
        <w:t>in vivo</w:t>
      </w:r>
      <w:r w:rsidRPr="0033639F">
        <w:rPr>
          <w:rFonts w:ascii="Arial" w:hAnsi="Arial" w:cs="Arial"/>
          <w:sz w:val="22"/>
          <w:szCs w:val="22"/>
        </w:rPr>
        <w:t xml:space="preserve"> is probably as a tumor suppressor gene. While </w:t>
      </w:r>
      <w:r w:rsidRPr="0033639F">
        <w:rPr>
          <w:rFonts w:ascii="Arial" w:hAnsi="Arial" w:cs="Arial"/>
          <w:i/>
          <w:iCs/>
          <w:sz w:val="22"/>
          <w:szCs w:val="22"/>
        </w:rPr>
        <w:t>IGF2</w:t>
      </w:r>
      <w:r w:rsidRPr="0033639F">
        <w:rPr>
          <w:rFonts w:ascii="Arial" w:hAnsi="Arial" w:cs="Arial"/>
          <w:sz w:val="22"/>
          <w:szCs w:val="22"/>
        </w:rPr>
        <w:t xml:space="preserve"> is maternally imprinted, mouse Igf2R is paternally imprinted. There is some evidence that (in a </w:t>
      </w:r>
      <w:r w:rsidR="00400B6F" w:rsidRPr="0033639F">
        <w:rPr>
          <w:rFonts w:ascii="Arial" w:hAnsi="Arial" w:cs="Arial"/>
          <w:sz w:val="22"/>
          <w:szCs w:val="22"/>
        </w:rPr>
        <w:t>temporally limited</w:t>
      </w:r>
      <w:r w:rsidRPr="0033639F">
        <w:rPr>
          <w:rFonts w:ascii="Arial" w:hAnsi="Arial" w:cs="Arial"/>
          <w:sz w:val="22"/>
          <w:szCs w:val="22"/>
        </w:rPr>
        <w:t xml:space="preserve"> fashion) </w:t>
      </w:r>
      <w:r w:rsidRPr="0033639F">
        <w:rPr>
          <w:rFonts w:ascii="Arial" w:hAnsi="Arial" w:cs="Arial"/>
          <w:i/>
          <w:iCs/>
          <w:sz w:val="22"/>
          <w:szCs w:val="22"/>
        </w:rPr>
        <w:t>IGF2R</w:t>
      </w:r>
      <w:r w:rsidRPr="0033639F">
        <w:rPr>
          <w:rFonts w:ascii="Arial" w:hAnsi="Arial" w:cs="Arial"/>
          <w:sz w:val="22"/>
          <w:szCs w:val="22"/>
        </w:rPr>
        <w:t xml:space="preserve"> is also paternally imprinted in humans. Somatic mutations have been found in hepatocellular </w:t>
      </w:r>
      <w:r w:rsidRPr="0033639F">
        <w:rPr>
          <w:rFonts w:ascii="Arial" w:hAnsi="Arial" w:cs="Arial"/>
          <w:sz w:val="22"/>
          <w:szCs w:val="22"/>
        </w:rPr>
        <w:lastRenderedPageBreak/>
        <w:t xml:space="preserve">carcinoma tissue (heterozygous mutations associated with loss of the other allele), but no germ-line mutations have been identified in individuals with growth abnormalities. </w:t>
      </w:r>
    </w:p>
    <w:p w14:paraId="6DA37D68" w14:textId="77777777" w:rsidR="00A11C55" w:rsidRPr="0033639F" w:rsidRDefault="00A11C55" w:rsidP="0033639F">
      <w:pPr>
        <w:spacing w:line="276" w:lineRule="auto"/>
        <w:rPr>
          <w:rFonts w:ascii="Arial" w:hAnsi="Arial" w:cs="Arial"/>
          <w:sz w:val="22"/>
          <w:szCs w:val="22"/>
        </w:rPr>
      </w:pPr>
    </w:p>
    <w:p w14:paraId="525516C2" w14:textId="3FB3756B" w:rsidR="001F012F" w:rsidRDefault="001F012F" w:rsidP="000F621A">
      <w:bookmarkStart w:id="29" w:name="id2507346"/>
      <w:bookmarkStart w:id="30" w:name="id2507368"/>
      <w:bookmarkEnd w:id="29"/>
      <w:bookmarkEnd w:id="30"/>
      <w:r>
        <w:rPr>
          <w:noProof/>
        </w:rPr>
        <w:drawing>
          <wp:inline distT="0" distB="0" distL="0" distR="0" wp14:anchorId="10C16A1D" wp14:editId="0905898E">
            <wp:extent cx="6261811" cy="3709797"/>
            <wp:effectExtent l="0" t="0" r="5715" b="5080"/>
            <wp:docPr id="21199572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4049" cy="3717047"/>
                    </a:xfrm>
                    <a:prstGeom prst="rect">
                      <a:avLst/>
                    </a:prstGeom>
                    <a:noFill/>
                  </pic:spPr>
                </pic:pic>
              </a:graphicData>
            </a:graphic>
          </wp:inline>
        </w:drawing>
      </w:r>
    </w:p>
    <w:p w14:paraId="3DE5E078" w14:textId="480A686E" w:rsidR="00A11C55" w:rsidRPr="000F621A" w:rsidRDefault="00C27A83" w:rsidP="000F621A">
      <w:pPr>
        <w:rPr>
          <w:rFonts w:ascii="Arial" w:hAnsi="Arial" w:cs="Arial"/>
          <w:b/>
          <w:bCs/>
          <w:sz w:val="22"/>
          <w:szCs w:val="22"/>
        </w:rPr>
      </w:pPr>
      <w:r w:rsidRPr="000F621A">
        <w:rPr>
          <w:rFonts w:ascii="Arial" w:hAnsi="Arial" w:cs="Arial"/>
          <w:b/>
          <w:bCs/>
          <w:sz w:val="22"/>
          <w:szCs w:val="22"/>
        </w:rPr>
        <w:t>Figure 23. The Insulin-Like Growth Factor 2 Receptor (IGF2R) gene.</w:t>
      </w:r>
    </w:p>
    <w:p w14:paraId="75BAF84D" w14:textId="77777777" w:rsidR="00A11C55" w:rsidRDefault="00A11C55" w:rsidP="0033639F">
      <w:pPr>
        <w:pStyle w:val="Heading2"/>
        <w:spacing w:before="0" w:after="0" w:line="276" w:lineRule="auto"/>
        <w:rPr>
          <w:rFonts w:ascii="Arial" w:hAnsi="Arial" w:cs="Arial"/>
          <w:b/>
          <w:bCs/>
          <w:sz w:val="22"/>
          <w:szCs w:val="22"/>
        </w:rPr>
      </w:pPr>
    </w:p>
    <w:p w14:paraId="527E0CE6" w14:textId="36E120FA" w:rsidR="00803B01" w:rsidRPr="001F012F" w:rsidRDefault="00803B01" w:rsidP="001F012F">
      <w:pPr>
        <w:rPr>
          <w:rFonts w:ascii="Arial" w:hAnsi="Arial" w:cs="Arial"/>
          <w:b/>
          <w:bCs/>
          <w:color w:val="00B050"/>
          <w:sz w:val="22"/>
          <w:szCs w:val="22"/>
        </w:rPr>
      </w:pPr>
      <w:r w:rsidRPr="001F012F">
        <w:rPr>
          <w:rFonts w:ascii="Arial" w:hAnsi="Arial" w:cs="Arial"/>
          <w:b/>
          <w:bCs/>
          <w:color w:val="00B050"/>
          <w:sz w:val="22"/>
          <w:szCs w:val="22"/>
        </w:rPr>
        <w:t xml:space="preserve">Insulin </w:t>
      </w:r>
    </w:p>
    <w:p w14:paraId="62E505F8" w14:textId="77777777" w:rsidR="001F012F" w:rsidRDefault="001F012F" w:rsidP="0033639F">
      <w:pPr>
        <w:spacing w:line="276" w:lineRule="auto"/>
        <w:rPr>
          <w:rFonts w:ascii="Arial" w:hAnsi="Arial" w:cs="Arial"/>
          <w:sz w:val="22"/>
          <w:szCs w:val="22"/>
        </w:rPr>
      </w:pPr>
    </w:p>
    <w:p w14:paraId="48C1A6E0" w14:textId="6A77ABC1" w:rsidR="00803B01" w:rsidRDefault="00803B01" w:rsidP="0033639F">
      <w:pPr>
        <w:spacing w:line="276" w:lineRule="auto"/>
        <w:rPr>
          <w:rFonts w:ascii="Arial" w:hAnsi="Arial" w:cs="Arial"/>
          <w:sz w:val="22"/>
          <w:szCs w:val="22"/>
        </w:rPr>
      </w:pPr>
      <w:r w:rsidRPr="0033639F">
        <w:rPr>
          <w:rFonts w:ascii="Arial" w:hAnsi="Arial" w:cs="Arial"/>
          <w:sz w:val="22"/>
          <w:szCs w:val="22"/>
        </w:rPr>
        <w:t>In addition to its glycemic and metabolic roles, insulin functions as a significant growth promoting/anabolic agent. The insulin gene (</w:t>
      </w:r>
      <w:r w:rsidRPr="0033639F">
        <w:rPr>
          <w:rFonts w:ascii="Arial" w:hAnsi="Arial" w:cs="Arial"/>
          <w:i/>
          <w:iCs/>
          <w:sz w:val="22"/>
          <w:szCs w:val="22"/>
        </w:rPr>
        <w:t>INS</w:t>
      </w:r>
      <w:r w:rsidRPr="0033639F">
        <w:rPr>
          <w:rFonts w:ascii="Arial" w:hAnsi="Arial" w:cs="Arial"/>
          <w:sz w:val="22"/>
          <w:szCs w:val="22"/>
        </w:rPr>
        <w:t xml:space="preserve">) is located on Chr 11p15.5 and comprises 3 exons (Figure </w:t>
      </w:r>
      <w:r w:rsidR="00A25C5D" w:rsidRPr="0033639F">
        <w:rPr>
          <w:rFonts w:ascii="Arial" w:hAnsi="Arial" w:cs="Arial"/>
          <w:sz w:val="22"/>
          <w:szCs w:val="22"/>
        </w:rPr>
        <w:t>24</w:t>
      </w:r>
      <w:r w:rsidRPr="0033639F">
        <w:rPr>
          <w:rFonts w:ascii="Arial" w:hAnsi="Arial" w:cs="Arial"/>
          <w:sz w:val="22"/>
          <w:szCs w:val="22"/>
        </w:rPr>
        <w:t>). Insulin's role in fetal growth is quite significant, as demonstrated by hyper</w:t>
      </w:r>
      <w:r w:rsidR="00780D05" w:rsidRPr="0033639F">
        <w:rPr>
          <w:rFonts w:ascii="Arial" w:hAnsi="Arial" w:cs="Arial"/>
          <w:sz w:val="22"/>
          <w:szCs w:val="22"/>
        </w:rPr>
        <w:t xml:space="preserve"> </w:t>
      </w:r>
      <w:r w:rsidRPr="0033639F">
        <w:rPr>
          <w:rFonts w:ascii="Arial" w:hAnsi="Arial" w:cs="Arial"/>
          <w:sz w:val="22"/>
          <w:szCs w:val="22"/>
        </w:rPr>
        <w:t>insulinemic babies (</w:t>
      </w:r>
      <w:r w:rsidRPr="0033639F">
        <w:rPr>
          <w:rFonts w:ascii="Arial" w:hAnsi="Arial" w:cs="Arial"/>
          <w:i/>
          <w:iCs/>
          <w:sz w:val="22"/>
          <w:szCs w:val="22"/>
        </w:rPr>
        <w:t>e.g.</w:t>
      </w:r>
      <w:r w:rsidRPr="0033639F">
        <w:rPr>
          <w:rFonts w:ascii="Arial" w:hAnsi="Arial" w:cs="Arial"/>
          <w:sz w:val="22"/>
          <w:szCs w:val="22"/>
        </w:rPr>
        <w:t xml:space="preserve"> infants of diabetic mothers (IDM)). Insulin's growth promoting activity is mediated through a combination of </w:t>
      </w:r>
      <w:r w:rsidR="00FA1DE8" w:rsidRPr="0033639F">
        <w:rPr>
          <w:rFonts w:ascii="Arial" w:hAnsi="Arial" w:cs="Arial"/>
          <w:sz w:val="22"/>
          <w:szCs w:val="22"/>
        </w:rPr>
        <w:t>insulin</w:t>
      </w:r>
      <w:r w:rsidRPr="0033639F">
        <w:rPr>
          <w:rFonts w:ascii="Arial" w:hAnsi="Arial" w:cs="Arial"/>
          <w:sz w:val="22"/>
          <w:szCs w:val="22"/>
        </w:rPr>
        <w:t xml:space="preserve"> and the IGF1 receptors. Mutations in the </w:t>
      </w:r>
      <w:r w:rsidRPr="0033639F">
        <w:rPr>
          <w:rFonts w:ascii="Arial" w:hAnsi="Arial" w:cs="Arial"/>
          <w:i/>
          <w:iCs/>
          <w:sz w:val="22"/>
          <w:szCs w:val="22"/>
        </w:rPr>
        <w:t>INS</w:t>
      </w:r>
      <w:r w:rsidRPr="0033639F">
        <w:rPr>
          <w:rFonts w:ascii="Arial" w:hAnsi="Arial" w:cs="Arial"/>
          <w:sz w:val="22"/>
          <w:szCs w:val="22"/>
        </w:rPr>
        <w:t xml:space="preserve"> gene have been described in subjects with hyperinsulinemia (and/or hyperproinsulinemia) and diabetes mellitus. </w:t>
      </w:r>
    </w:p>
    <w:p w14:paraId="1B94D6ED" w14:textId="77777777" w:rsidR="001F012F" w:rsidRPr="0033639F" w:rsidRDefault="001F012F" w:rsidP="0033639F">
      <w:pPr>
        <w:spacing w:line="276" w:lineRule="auto"/>
        <w:rPr>
          <w:rFonts w:ascii="Arial" w:hAnsi="Arial" w:cs="Arial"/>
          <w:sz w:val="22"/>
          <w:szCs w:val="22"/>
        </w:rPr>
      </w:pPr>
    </w:p>
    <w:p w14:paraId="2189D63C" w14:textId="3A6A43E8" w:rsidR="00F5101D" w:rsidRDefault="00F5101D" w:rsidP="000F621A">
      <w:bookmarkStart w:id="31" w:name="id2507419"/>
      <w:bookmarkEnd w:id="31"/>
      <w:r>
        <w:rPr>
          <w:noProof/>
        </w:rPr>
        <w:lastRenderedPageBreak/>
        <w:drawing>
          <wp:inline distT="0" distB="0" distL="0" distR="0" wp14:anchorId="6E52CCA2" wp14:editId="00A10745">
            <wp:extent cx="6298387" cy="3641255"/>
            <wp:effectExtent l="0" t="0" r="7620" b="0"/>
            <wp:docPr id="2652750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8129" cy="3646887"/>
                    </a:xfrm>
                    <a:prstGeom prst="rect">
                      <a:avLst/>
                    </a:prstGeom>
                    <a:noFill/>
                  </pic:spPr>
                </pic:pic>
              </a:graphicData>
            </a:graphic>
          </wp:inline>
        </w:drawing>
      </w:r>
    </w:p>
    <w:p w14:paraId="5C034806" w14:textId="7E47BF7B" w:rsidR="001F012F" w:rsidRPr="000F621A" w:rsidRDefault="001F012F" w:rsidP="000F621A">
      <w:pPr>
        <w:rPr>
          <w:rFonts w:ascii="Arial" w:hAnsi="Arial" w:cs="Arial"/>
          <w:b/>
          <w:bCs/>
          <w:sz w:val="22"/>
          <w:szCs w:val="22"/>
        </w:rPr>
      </w:pPr>
      <w:r w:rsidRPr="000F621A">
        <w:rPr>
          <w:rFonts w:ascii="Arial" w:hAnsi="Arial" w:cs="Arial"/>
          <w:b/>
          <w:bCs/>
          <w:sz w:val="22"/>
          <w:szCs w:val="22"/>
        </w:rPr>
        <w:t>Figure 24. The insulin gene (INS).</w:t>
      </w:r>
    </w:p>
    <w:p w14:paraId="5EAC1DF1" w14:textId="77777777" w:rsidR="001F012F" w:rsidRPr="000F621A" w:rsidRDefault="001F012F" w:rsidP="000F621A">
      <w:pPr>
        <w:rPr>
          <w:rFonts w:ascii="Arial" w:hAnsi="Arial" w:cs="Arial"/>
          <w:b/>
          <w:bCs/>
          <w:sz w:val="22"/>
          <w:szCs w:val="22"/>
        </w:rPr>
      </w:pPr>
    </w:p>
    <w:p w14:paraId="58E4EAA6" w14:textId="04EEF7FB" w:rsidR="00803B01" w:rsidRPr="001F012F" w:rsidRDefault="00803B01" w:rsidP="001F012F">
      <w:pPr>
        <w:rPr>
          <w:rFonts w:ascii="Arial" w:hAnsi="Arial" w:cs="Arial"/>
          <w:b/>
          <w:bCs/>
          <w:color w:val="00B050"/>
          <w:sz w:val="22"/>
          <w:szCs w:val="22"/>
        </w:rPr>
      </w:pPr>
      <w:r w:rsidRPr="001F012F">
        <w:rPr>
          <w:rFonts w:ascii="Arial" w:hAnsi="Arial" w:cs="Arial"/>
          <w:b/>
          <w:bCs/>
          <w:color w:val="00B050"/>
          <w:sz w:val="22"/>
          <w:szCs w:val="22"/>
        </w:rPr>
        <w:t xml:space="preserve">Insulin Receptor </w:t>
      </w:r>
    </w:p>
    <w:p w14:paraId="4AB966E3" w14:textId="77777777" w:rsidR="001F012F" w:rsidRDefault="001F012F" w:rsidP="0033639F">
      <w:pPr>
        <w:spacing w:line="276" w:lineRule="auto"/>
        <w:rPr>
          <w:rFonts w:ascii="Arial" w:hAnsi="Arial" w:cs="Arial"/>
          <w:sz w:val="22"/>
          <w:szCs w:val="22"/>
        </w:rPr>
      </w:pPr>
    </w:p>
    <w:p w14:paraId="610AB9AB" w14:textId="0C058484"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The insulin receptor is structurally related to the IGF1 receptor. The gene, </w:t>
      </w:r>
      <w:r w:rsidRPr="0033639F">
        <w:rPr>
          <w:rFonts w:ascii="Arial" w:hAnsi="Arial" w:cs="Arial"/>
          <w:i/>
          <w:iCs/>
          <w:sz w:val="22"/>
          <w:szCs w:val="22"/>
        </w:rPr>
        <w:t>INSR</w:t>
      </w:r>
      <w:r w:rsidRPr="0033639F">
        <w:rPr>
          <w:rFonts w:ascii="Arial" w:hAnsi="Arial" w:cs="Arial"/>
          <w:sz w:val="22"/>
          <w:szCs w:val="22"/>
        </w:rPr>
        <w:t xml:space="preserve">, is located on Chr 19p13.2 and contains 22 exons that span over 120 kilobases of genomic DNA (Figure </w:t>
      </w:r>
      <w:r w:rsidR="00A25C5D" w:rsidRPr="0033639F">
        <w:rPr>
          <w:rFonts w:ascii="Arial" w:hAnsi="Arial" w:cs="Arial"/>
          <w:sz w:val="22"/>
          <w:szCs w:val="22"/>
        </w:rPr>
        <w:t>25</w:t>
      </w:r>
      <w:r w:rsidRPr="0033639F">
        <w:rPr>
          <w:rFonts w:ascii="Arial" w:hAnsi="Arial" w:cs="Arial"/>
          <w:sz w:val="22"/>
          <w:szCs w:val="22"/>
        </w:rPr>
        <w:t xml:space="preserve">). </w:t>
      </w:r>
      <w:r w:rsidRPr="0033639F">
        <w:rPr>
          <w:rFonts w:ascii="Arial" w:hAnsi="Arial" w:cs="Arial"/>
          <w:i/>
          <w:iCs/>
          <w:sz w:val="22"/>
          <w:szCs w:val="22"/>
        </w:rPr>
        <w:t>INSR</w:t>
      </w:r>
      <w:r w:rsidRPr="0033639F">
        <w:rPr>
          <w:rFonts w:ascii="Arial" w:hAnsi="Arial" w:cs="Arial"/>
          <w:sz w:val="22"/>
          <w:szCs w:val="22"/>
        </w:rPr>
        <w:t xml:space="preserve"> encodes a transmembrane protein with tyrosine kinase activity which </w:t>
      </w:r>
      <w:r w:rsidR="00400B6F" w:rsidRPr="0033639F">
        <w:rPr>
          <w:rFonts w:ascii="Arial" w:hAnsi="Arial" w:cs="Arial"/>
          <w:sz w:val="22"/>
          <w:szCs w:val="22"/>
        </w:rPr>
        <w:t>can transduce</w:t>
      </w:r>
      <w:r w:rsidRPr="0033639F">
        <w:rPr>
          <w:rFonts w:ascii="Arial" w:hAnsi="Arial" w:cs="Arial"/>
          <w:sz w:val="22"/>
          <w:szCs w:val="22"/>
        </w:rPr>
        <w:t xml:space="preserve"> the signals of insulin, IGF1 and IGF2. </w:t>
      </w:r>
    </w:p>
    <w:p w14:paraId="7708ED81" w14:textId="77777777" w:rsidR="00F5101D" w:rsidRPr="0033639F" w:rsidRDefault="00F5101D" w:rsidP="0033639F">
      <w:pPr>
        <w:spacing w:line="276" w:lineRule="auto"/>
        <w:rPr>
          <w:rFonts w:ascii="Arial" w:hAnsi="Arial" w:cs="Arial"/>
          <w:sz w:val="22"/>
          <w:szCs w:val="22"/>
        </w:rPr>
      </w:pPr>
    </w:p>
    <w:p w14:paraId="7381CD61" w14:textId="77777777"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Individuals with a mutation in the insulin receptor have been identified and may be the basis for the mythological 'Leprechauns'. They typically have intrauterine growth retardation; small elfin facies with protuberant ears; distended abdomen; relatively large hands, feet, and genitalia; and abnormal skin with hypertrichosis, acanthosis nigricans, and decreased subcutaneous fat. At autopsy, several subjects have been found to have cystic changes in the membranes of gonads and hyperplasia of pancreatic islet cells. Severe mutations generally lead to death within months, but more mild mutations have been found in individuals with insulin resistance, hypoglycemia, acanthosis nigricans, normal subcutaneous tissue and may even be associated with a normal growth pattern! Individuals with even 'mild mutations' have been shown to have a thickened myocardium, enlarged kidneys and ovarian enlargement. </w:t>
      </w:r>
    </w:p>
    <w:p w14:paraId="1FD231AB" w14:textId="77777777" w:rsidR="00F5101D" w:rsidRPr="0033639F" w:rsidRDefault="00F5101D" w:rsidP="0033639F">
      <w:pPr>
        <w:spacing w:line="276" w:lineRule="auto"/>
        <w:rPr>
          <w:rFonts w:ascii="Arial" w:hAnsi="Arial" w:cs="Arial"/>
          <w:sz w:val="22"/>
          <w:szCs w:val="22"/>
        </w:rPr>
      </w:pPr>
    </w:p>
    <w:p w14:paraId="748B4995" w14:textId="44B8589A" w:rsidR="00F43C52" w:rsidRDefault="00F43C52" w:rsidP="0033639F">
      <w:pPr>
        <w:shd w:val="clear" w:color="auto" w:fill="FFFFFF"/>
        <w:spacing w:line="276" w:lineRule="auto"/>
        <w:textAlignment w:val="baseline"/>
        <w:rPr>
          <w:rFonts w:ascii="Arial" w:hAnsi="Arial" w:cs="Arial"/>
          <w:b/>
          <w:bCs/>
          <w:color w:val="000000"/>
          <w:sz w:val="22"/>
          <w:szCs w:val="22"/>
        </w:rPr>
      </w:pPr>
      <w:bookmarkStart w:id="32" w:name="id2507490"/>
      <w:bookmarkEnd w:id="32"/>
      <w:r>
        <w:rPr>
          <w:rFonts w:ascii="Arial" w:hAnsi="Arial" w:cs="Arial"/>
          <w:b/>
          <w:bCs/>
          <w:noProof/>
          <w:color w:val="000000"/>
          <w:sz w:val="22"/>
          <w:szCs w:val="22"/>
        </w:rPr>
        <w:lastRenderedPageBreak/>
        <w:drawing>
          <wp:inline distT="0" distB="0" distL="0" distR="0" wp14:anchorId="039F9882" wp14:editId="4B9D27F7">
            <wp:extent cx="6261811" cy="4378376"/>
            <wp:effectExtent l="0" t="0" r="5715" b="3175"/>
            <wp:docPr id="5818825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3847" cy="4386792"/>
                    </a:xfrm>
                    <a:prstGeom prst="rect">
                      <a:avLst/>
                    </a:prstGeom>
                    <a:noFill/>
                  </pic:spPr>
                </pic:pic>
              </a:graphicData>
            </a:graphic>
          </wp:inline>
        </w:drawing>
      </w:r>
    </w:p>
    <w:p w14:paraId="3C49C066" w14:textId="394A5AD4" w:rsidR="00803B01" w:rsidRPr="0033639F" w:rsidRDefault="00F5101D" w:rsidP="0033639F">
      <w:pPr>
        <w:shd w:val="clear" w:color="auto" w:fill="FFFFFF"/>
        <w:spacing w:line="276" w:lineRule="auto"/>
        <w:textAlignment w:val="baseline"/>
        <w:rPr>
          <w:rFonts w:ascii="Arial" w:hAnsi="Arial" w:cs="Arial"/>
          <w:color w:val="000000"/>
          <w:sz w:val="22"/>
          <w:szCs w:val="22"/>
        </w:rPr>
      </w:pPr>
      <w:r w:rsidRPr="00F5101D">
        <w:rPr>
          <w:rFonts w:ascii="Arial" w:hAnsi="Arial" w:cs="Arial"/>
          <w:b/>
          <w:bCs/>
          <w:color w:val="000000"/>
          <w:sz w:val="22"/>
          <w:szCs w:val="22"/>
        </w:rPr>
        <w:t>Figure 25. The insulin receptor gene (INSR</w:t>
      </w:r>
      <w:r w:rsidRPr="00F5101D">
        <w:rPr>
          <w:rFonts w:ascii="Arial" w:hAnsi="Arial" w:cs="Arial"/>
          <w:color w:val="000000"/>
          <w:sz w:val="22"/>
          <w:szCs w:val="22"/>
        </w:rPr>
        <w:t>)</w:t>
      </w:r>
      <w:r>
        <w:rPr>
          <w:rFonts w:ascii="Arial" w:hAnsi="Arial" w:cs="Arial"/>
          <w:color w:val="000000"/>
          <w:sz w:val="22"/>
          <w:szCs w:val="22"/>
        </w:rPr>
        <w:t>.</w:t>
      </w:r>
    </w:p>
    <w:p w14:paraId="66A2052F" w14:textId="77777777" w:rsidR="00F5101D" w:rsidRDefault="00F5101D" w:rsidP="0033639F">
      <w:pPr>
        <w:shd w:val="clear" w:color="auto" w:fill="FFFFFF"/>
        <w:spacing w:line="276" w:lineRule="auto"/>
        <w:textAlignment w:val="baseline"/>
        <w:rPr>
          <w:rFonts w:ascii="Arial" w:hAnsi="Arial" w:cs="Arial"/>
          <w:b/>
          <w:color w:val="000000"/>
          <w:sz w:val="22"/>
          <w:szCs w:val="22"/>
        </w:rPr>
      </w:pPr>
    </w:p>
    <w:p w14:paraId="7466E570" w14:textId="5DC8423D" w:rsidR="00803B01" w:rsidRPr="00F43C52" w:rsidRDefault="00803B01" w:rsidP="0033639F">
      <w:pPr>
        <w:shd w:val="clear" w:color="auto" w:fill="FFFFFF"/>
        <w:spacing w:line="276" w:lineRule="auto"/>
        <w:textAlignment w:val="baseline"/>
        <w:rPr>
          <w:rFonts w:ascii="Arial" w:hAnsi="Arial" w:cs="Arial"/>
          <w:b/>
          <w:color w:val="0070C0"/>
          <w:sz w:val="22"/>
          <w:szCs w:val="22"/>
        </w:rPr>
      </w:pPr>
      <w:r w:rsidRPr="00F43C52">
        <w:rPr>
          <w:rFonts w:ascii="Arial" w:hAnsi="Arial" w:cs="Arial"/>
          <w:b/>
          <w:color w:val="0070C0"/>
          <w:sz w:val="22"/>
          <w:szCs w:val="22"/>
        </w:rPr>
        <w:t>SHORT STATURE WITH AN ADVANCED BONE AGE</w:t>
      </w:r>
    </w:p>
    <w:p w14:paraId="578111A1" w14:textId="77777777" w:rsidR="00F5101D" w:rsidRDefault="00F5101D" w:rsidP="0033639F">
      <w:pPr>
        <w:pStyle w:val="Heading2"/>
        <w:spacing w:before="0" w:after="0" w:line="276" w:lineRule="auto"/>
        <w:rPr>
          <w:rFonts w:ascii="Arial" w:hAnsi="Arial" w:cs="Arial"/>
          <w:b/>
          <w:bCs/>
          <w:sz w:val="22"/>
          <w:szCs w:val="22"/>
        </w:rPr>
      </w:pPr>
    </w:p>
    <w:p w14:paraId="2A7CF878" w14:textId="70ADD2E8" w:rsidR="00803B01" w:rsidRPr="00F43C52" w:rsidRDefault="00803B01" w:rsidP="00F43C52">
      <w:pPr>
        <w:rPr>
          <w:rFonts w:ascii="Arial" w:hAnsi="Arial" w:cs="Arial"/>
          <w:b/>
          <w:bCs/>
          <w:color w:val="00B050"/>
          <w:sz w:val="22"/>
          <w:szCs w:val="22"/>
        </w:rPr>
      </w:pPr>
      <w:r w:rsidRPr="00F43C52">
        <w:rPr>
          <w:rFonts w:ascii="Arial" w:hAnsi="Arial" w:cs="Arial"/>
          <w:b/>
          <w:bCs/>
          <w:color w:val="00B050"/>
          <w:sz w:val="22"/>
          <w:szCs w:val="22"/>
        </w:rPr>
        <w:t>Aggrecan</w:t>
      </w:r>
    </w:p>
    <w:p w14:paraId="23EEB784" w14:textId="77777777" w:rsidR="00F5101D" w:rsidRPr="00F43C52" w:rsidRDefault="00F5101D" w:rsidP="00F43C52">
      <w:pPr>
        <w:rPr>
          <w:rFonts w:ascii="Arial" w:hAnsi="Arial" w:cs="Arial"/>
          <w:b/>
          <w:bCs/>
          <w:color w:val="00B050"/>
          <w:sz w:val="22"/>
          <w:szCs w:val="22"/>
        </w:rPr>
      </w:pPr>
    </w:p>
    <w:p w14:paraId="1754D3F6" w14:textId="0D8E375E" w:rsidR="00803B01" w:rsidRDefault="00803B01" w:rsidP="0033639F">
      <w:pPr>
        <w:spacing w:line="276" w:lineRule="auto"/>
        <w:outlineLvl w:val="1"/>
        <w:rPr>
          <w:rFonts w:ascii="Arial" w:hAnsi="Arial" w:cs="Arial"/>
          <w:sz w:val="22"/>
          <w:szCs w:val="22"/>
        </w:rPr>
      </w:pPr>
      <w:r w:rsidRPr="0033639F">
        <w:rPr>
          <w:rFonts w:ascii="Arial" w:hAnsi="Arial" w:cs="Arial"/>
          <w:sz w:val="22"/>
          <w:szCs w:val="22"/>
        </w:rPr>
        <w:t xml:space="preserve">Aggrecan has also been shown to be involved in human height and the growth process.  The aggrecan protein is a major constituent of the extracellular matrix of articular cartilage, where it forms large multimeric aggregates.  The gene, </w:t>
      </w:r>
      <w:r w:rsidRPr="0033639F">
        <w:rPr>
          <w:rFonts w:ascii="Arial" w:hAnsi="Arial" w:cs="Arial"/>
          <w:i/>
          <w:iCs/>
          <w:sz w:val="22"/>
          <w:szCs w:val="22"/>
        </w:rPr>
        <w:t>ACAN</w:t>
      </w:r>
      <w:r w:rsidRPr="0033639F">
        <w:rPr>
          <w:rFonts w:ascii="Arial" w:hAnsi="Arial" w:cs="Arial"/>
          <w:sz w:val="22"/>
          <w:szCs w:val="22"/>
        </w:rPr>
        <w:t xml:space="preserve">, is located on Chr 15q26.1, comprising 19 exons spread over nearly 72 kilobases of genomic DNA.  Exon 1 is approximately 13 kilobases upstream of exons 2-19, which comprise the coding portion of </w:t>
      </w:r>
      <w:r w:rsidRPr="0033639F">
        <w:rPr>
          <w:rFonts w:ascii="Arial" w:hAnsi="Arial" w:cs="Arial"/>
          <w:i/>
          <w:iCs/>
          <w:sz w:val="22"/>
          <w:szCs w:val="22"/>
        </w:rPr>
        <w:t>ACAN</w:t>
      </w:r>
      <w:r w:rsidRPr="0033639F">
        <w:rPr>
          <w:rFonts w:ascii="Arial" w:hAnsi="Arial" w:cs="Arial"/>
          <w:noProof/>
          <w:sz w:val="22"/>
          <w:szCs w:val="22"/>
        </w:rPr>
        <w:t xml:space="preserve"> </w:t>
      </w:r>
      <w:r w:rsidR="005A4224" w:rsidRPr="0033639F">
        <w:rPr>
          <w:rFonts w:ascii="Arial" w:hAnsi="Arial" w:cs="Arial"/>
          <w:noProof/>
          <w:sz w:val="22"/>
          <w:szCs w:val="22"/>
        </w:rPr>
        <w:t>(</w:t>
      </w:r>
      <w:r w:rsidR="007A5B8B" w:rsidRPr="0033639F">
        <w:rPr>
          <w:rFonts w:ascii="Arial" w:hAnsi="Arial" w:cs="Arial"/>
          <w:noProof/>
          <w:sz w:val="22"/>
          <w:szCs w:val="22"/>
        </w:rPr>
        <w:t>158</w:t>
      </w:r>
      <w:r w:rsidR="005A4224" w:rsidRPr="0033639F">
        <w:rPr>
          <w:rFonts w:ascii="Arial" w:hAnsi="Arial" w:cs="Arial"/>
          <w:noProof/>
          <w:sz w:val="22"/>
          <w:szCs w:val="22"/>
        </w:rPr>
        <w:t>)</w:t>
      </w:r>
      <w:r w:rsidRPr="0033639F">
        <w:rPr>
          <w:rFonts w:ascii="Arial" w:hAnsi="Arial" w:cs="Arial"/>
          <w:sz w:val="22"/>
          <w:szCs w:val="22"/>
        </w:rPr>
        <w:t xml:space="preserve">.  </w:t>
      </w:r>
      <w:r w:rsidRPr="0033639F">
        <w:rPr>
          <w:rFonts w:ascii="Arial" w:hAnsi="Arial" w:cs="Arial"/>
          <w:i/>
          <w:iCs/>
          <w:sz w:val="22"/>
          <w:szCs w:val="22"/>
        </w:rPr>
        <w:t>ACAN</w:t>
      </w:r>
      <w:r w:rsidRPr="0033639F">
        <w:rPr>
          <w:rFonts w:ascii="Arial" w:hAnsi="Arial" w:cs="Arial"/>
          <w:sz w:val="22"/>
          <w:szCs w:val="22"/>
        </w:rPr>
        <w:t xml:space="preserve"> undergoes alternative splicing yielding several isoforms; the predominant isoform being 2132 amino acids long, with three globular domains (G1-3), an ‘interglobular’ (IG) domain, a keratan sulfate (KS) domain and a chondroitin sulfate (CS) domain, largely encoded in a modular fashion</w:t>
      </w:r>
      <w:r w:rsidR="00A25C5D" w:rsidRPr="0033639F">
        <w:rPr>
          <w:rFonts w:ascii="Arial" w:hAnsi="Arial" w:cs="Arial"/>
          <w:sz w:val="22"/>
          <w:szCs w:val="22"/>
        </w:rPr>
        <w:t xml:space="preserve"> (Figure 26)</w:t>
      </w:r>
      <w:r w:rsidRPr="0033639F">
        <w:rPr>
          <w:rFonts w:ascii="Arial" w:hAnsi="Arial" w:cs="Arial"/>
          <w:sz w:val="22"/>
          <w:szCs w:val="22"/>
        </w:rPr>
        <w:t>.</w:t>
      </w:r>
    </w:p>
    <w:p w14:paraId="06B671D0" w14:textId="77777777" w:rsidR="00F43C52" w:rsidRPr="0033639F" w:rsidRDefault="00F43C52" w:rsidP="0033639F">
      <w:pPr>
        <w:spacing w:line="276" w:lineRule="auto"/>
        <w:outlineLvl w:val="1"/>
        <w:rPr>
          <w:rFonts w:ascii="Arial" w:hAnsi="Arial" w:cs="Arial"/>
          <w:sz w:val="22"/>
          <w:szCs w:val="22"/>
        </w:rPr>
      </w:pPr>
    </w:p>
    <w:p w14:paraId="2C5438F8" w14:textId="73F9C377" w:rsidR="00803B01" w:rsidRDefault="00803B01" w:rsidP="0033639F">
      <w:pPr>
        <w:spacing w:line="276" w:lineRule="auto"/>
        <w:outlineLvl w:val="1"/>
        <w:rPr>
          <w:rFonts w:ascii="Arial" w:hAnsi="Arial" w:cs="Arial"/>
          <w:sz w:val="22"/>
          <w:szCs w:val="22"/>
        </w:rPr>
      </w:pPr>
      <w:r w:rsidRPr="0033639F">
        <w:rPr>
          <w:rFonts w:ascii="Arial" w:hAnsi="Arial" w:cs="Arial"/>
          <w:sz w:val="22"/>
          <w:szCs w:val="22"/>
        </w:rPr>
        <w:t xml:space="preserve">Domains </w:t>
      </w:r>
      <w:r w:rsidR="00FA1DE8" w:rsidRPr="0033639F">
        <w:rPr>
          <w:rFonts w:ascii="Arial" w:hAnsi="Arial" w:cs="Arial"/>
          <w:sz w:val="22"/>
          <w:szCs w:val="22"/>
        </w:rPr>
        <w:t>G1 and</w:t>
      </w:r>
      <w:r w:rsidRPr="0033639F">
        <w:rPr>
          <w:rFonts w:ascii="Arial" w:hAnsi="Arial" w:cs="Arial"/>
          <w:sz w:val="22"/>
          <w:szCs w:val="22"/>
        </w:rPr>
        <w:t xml:space="preserve"> G2 contain tande</w:t>
      </w:r>
      <w:r w:rsidR="00780D05" w:rsidRPr="0033639F">
        <w:rPr>
          <w:rFonts w:ascii="Arial" w:hAnsi="Arial" w:cs="Arial"/>
          <w:color w:val="000000" w:themeColor="text1"/>
          <w:sz w:val="22"/>
          <w:szCs w:val="22"/>
        </w:rPr>
        <w:t>m</w:t>
      </w:r>
      <w:r w:rsidRPr="0033639F">
        <w:rPr>
          <w:rFonts w:ascii="Arial" w:hAnsi="Arial" w:cs="Arial"/>
          <w:sz w:val="22"/>
          <w:szCs w:val="22"/>
        </w:rPr>
        <w:t xml:space="preserve"> repeat units rich in cysteine, which are necessary for disulfide bridging, the binding of hyaluronic acid and structural integrity, and are separated by the IGD, which provides a level of rigidity.  The KS domain contains 11 copies of a six amino acid motif, while the chondroitin sulfate (CS) domain contains over 100 (non-tandem repeated) copies of the dipeptide Serine-Glycine).  The G3 domain appears to function in maintaining </w:t>
      </w:r>
      <w:r w:rsidRPr="0033639F">
        <w:rPr>
          <w:rFonts w:ascii="Arial" w:hAnsi="Arial" w:cs="Arial"/>
          <w:sz w:val="22"/>
          <w:szCs w:val="22"/>
        </w:rPr>
        <w:lastRenderedPageBreak/>
        <w:t xml:space="preserve">proper protein folding and subsequent aggrecan secretion.  The attachment of hyaluronic acid, keratan and chondroitin sulfate lead to significant water retention, which is largely responsible for the shock-absorbing character of articular </w:t>
      </w:r>
      <w:r w:rsidR="00F615AA" w:rsidRPr="0033639F">
        <w:rPr>
          <w:rFonts w:ascii="Arial" w:hAnsi="Arial" w:cs="Arial"/>
          <w:sz w:val="22"/>
          <w:szCs w:val="22"/>
        </w:rPr>
        <w:t>cartilage</w:t>
      </w:r>
      <w:r w:rsidRPr="0033639F">
        <w:rPr>
          <w:rFonts w:ascii="Arial" w:hAnsi="Arial" w:cs="Arial"/>
          <w:sz w:val="22"/>
          <w:szCs w:val="22"/>
        </w:rPr>
        <w:t>.  Aggrecan is also necessary for proper “chondroskeletal morphogenesis”</w:t>
      </w:r>
      <w:r w:rsidRPr="0033639F">
        <w:rPr>
          <w:rFonts w:ascii="Arial" w:hAnsi="Arial" w:cs="Arial"/>
          <w:noProof/>
          <w:sz w:val="22"/>
          <w:szCs w:val="22"/>
        </w:rPr>
        <w:t xml:space="preserve"> </w:t>
      </w:r>
      <w:r w:rsidR="005A4224" w:rsidRPr="0033639F">
        <w:rPr>
          <w:rFonts w:ascii="Arial" w:hAnsi="Arial" w:cs="Arial"/>
          <w:noProof/>
          <w:sz w:val="22"/>
          <w:szCs w:val="22"/>
        </w:rPr>
        <w:t>(</w:t>
      </w:r>
      <w:r w:rsidR="007A5B8B" w:rsidRPr="0033639F">
        <w:rPr>
          <w:rFonts w:ascii="Arial" w:hAnsi="Arial" w:cs="Arial"/>
          <w:noProof/>
          <w:sz w:val="22"/>
          <w:szCs w:val="22"/>
        </w:rPr>
        <w:t>159</w:t>
      </w:r>
      <w:r w:rsidR="005A4224" w:rsidRPr="0033639F">
        <w:rPr>
          <w:rFonts w:ascii="Arial" w:hAnsi="Arial" w:cs="Arial"/>
          <w:noProof/>
          <w:sz w:val="22"/>
          <w:szCs w:val="22"/>
        </w:rPr>
        <w:t>)</w:t>
      </w:r>
      <w:r w:rsidRPr="0033639F">
        <w:rPr>
          <w:rFonts w:ascii="Arial" w:hAnsi="Arial" w:cs="Arial"/>
          <w:sz w:val="22"/>
          <w:szCs w:val="22"/>
        </w:rPr>
        <w:t>, ensuring the proper organization and sequential maturation of the epiphysis.</w:t>
      </w:r>
    </w:p>
    <w:p w14:paraId="6E8A5F2A" w14:textId="77777777" w:rsidR="00A66F89" w:rsidRPr="0033639F" w:rsidRDefault="00A66F89" w:rsidP="0033639F">
      <w:pPr>
        <w:spacing w:line="276" w:lineRule="auto"/>
        <w:outlineLvl w:val="1"/>
        <w:rPr>
          <w:rFonts w:ascii="Arial" w:hAnsi="Arial" w:cs="Arial"/>
          <w:sz w:val="22"/>
          <w:szCs w:val="22"/>
        </w:rPr>
      </w:pPr>
    </w:p>
    <w:p w14:paraId="361A4934" w14:textId="263BC0CC" w:rsidR="00803B01" w:rsidRDefault="00803B01" w:rsidP="0033639F">
      <w:pPr>
        <w:spacing w:line="276" w:lineRule="auto"/>
        <w:outlineLvl w:val="1"/>
        <w:rPr>
          <w:rFonts w:ascii="Arial" w:hAnsi="Arial" w:cs="Arial"/>
          <w:sz w:val="22"/>
          <w:szCs w:val="22"/>
        </w:rPr>
      </w:pPr>
      <w:r w:rsidRPr="0033639F">
        <w:rPr>
          <w:rFonts w:ascii="Arial" w:hAnsi="Arial" w:cs="Arial"/>
          <w:sz w:val="22"/>
          <w:szCs w:val="22"/>
        </w:rPr>
        <w:t xml:space="preserve">In 1999, Kawaguchi reported a mutation in </w:t>
      </w:r>
      <w:r w:rsidRPr="0033639F">
        <w:rPr>
          <w:rFonts w:ascii="Arial" w:hAnsi="Arial" w:cs="Arial"/>
          <w:i/>
          <w:iCs/>
          <w:sz w:val="22"/>
          <w:szCs w:val="22"/>
        </w:rPr>
        <w:t>ACAN</w:t>
      </w:r>
      <w:r w:rsidRPr="0033639F">
        <w:rPr>
          <w:rFonts w:ascii="Arial" w:hAnsi="Arial" w:cs="Arial"/>
          <w:sz w:val="22"/>
          <w:szCs w:val="22"/>
        </w:rPr>
        <w:t xml:space="preserve"> in subjects with lumbar disc herniation</w:t>
      </w:r>
      <w:r w:rsidR="005A4224" w:rsidRPr="0033639F">
        <w:rPr>
          <w:rFonts w:ascii="Arial" w:hAnsi="Arial" w:cs="Arial"/>
          <w:sz w:val="22"/>
          <w:szCs w:val="22"/>
        </w:rPr>
        <w:t xml:space="preserve"> </w:t>
      </w:r>
      <w:r w:rsidR="005A4224" w:rsidRPr="0033639F">
        <w:rPr>
          <w:rFonts w:ascii="Arial" w:hAnsi="Arial" w:cs="Arial"/>
          <w:noProof/>
          <w:sz w:val="22"/>
          <w:szCs w:val="22"/>
        </w:rPr>
        <w:t>(</w:t>
      </w:r>
      <w:r w:rsidR="007A5B8B" w:rsidRPr="0033639F">
        <w:rPr>
          <w:rFonts w:ascii="Arial" w:hAnsi="Arial" w:cs="Arial"/>
          <w:noProof/>
          <w:sz w:val="22"/>
          <w:szCs w:val="22"/>
        </w:rPr>
        <w:t>160</w:t>
      </w:r>
      <w:r w:rsidR="005A4224" w:rsidRPr="0033639F">
        <w:rPr>
          <w:rFonts w:ascii="Arial" w:hAnsi="Arial" w:cs="Arial"/>
          <w:noProof/>
          <w:sz w:val="22"/>
          <w:szCs w:val="22"/>
        </w:rPr>
        <w:t>)</w:t>
      </w:r>
      <w:r w:rsidRPr="0033639F">
        <w:rPr>
          <w:rFonts w:ascii="Arial" w:hAnsi="Arial" w:cs="Arial"/>
          <w:sz w:val="22"/>
          <w:szCs w:val="22"/>
        </w:rPr>
        <w:t>, then in 2005, both an autosomal dominant form of spondyloephiphyseal dysplasia (SED-Kimberly type)</w:t>
      </w:r>
      <w:r w:rsidRPr="0033639F">
        <w:rPr>
          <w:rFonts w:ascii="Arial" w:hAnsi="Arial" w:cs="Arial"/>
          <w:noProof/>
          <w:sz w:val="22"/>
          <w:szCs w:val="22"/>
        </w:rPr>
        <w:t xml:space="preserve"> </w:t>
      </w:r>
      <w:r w:rsidR="005A4224" w:rsidRPr="0033639F">
        <w:rPr>
          <w:rFonts w:ascii="Arial" w:hAnsi="Arial" w:cs="Arial"/>
          <w:noProof/>
          <w:sz w:val="22"/>
          <w:szCs w:val="22"/>
        </w:rPr>
        <w:t>(</w:t>
      </w:r>
      <w:r w:rsidR="007A5B8B" w:rsidRPr="0033639F">
        <w:rPr>
          <w:rFonts w:ascii="Arial" w:hAnsi="Arial" w:cs="Arial"/>
          <w:noProof/>
          <w:sz w:val="22"/>
          <w:szCs w:val="22"/>
        </w:rPr>
        <w:t>161</w:t>
      </w:r>
      <w:r w:rsidR="005A4224" w:rsidRPr="0033639F">
        <w:rPr>
          <w:rFonts w:ascii="Arial" w:hAnsi="Arial" w:cs="Arial"/>
          <w:noProof/>
          <w:sz w:val="22"/>
          <w:szCs w:val="22"/>
        </w:rPr>
        <w:t>)</w:t>
      </w:r>
      <w:r w:rsidRPr="0033639F">
        <w:rPr>
          <w:rFonts w:ascii="Arial" w:hAnsi="Arial" w:cs="Arial"/>
          <w:sz w:val="22"/>
          <w:szCs w:val="22"/>
        </w:rPr>
        <w:t xml:space="preserve"> and an autosomal recessive form (SED-Aggrecan type)</w:t>
      </w:r>
      <w:r w:rsidR="005A4224" w:rsidRPr="0033639F">
        <w:rPr>
          <w:rFonts w:ascii="Arial" w:hAnsi="Arial" w:cs="Arial"/>
          <w:sz w:val="22"/>
          <w:szCs w:val="22"/>
        </w:rPr>
        <w:t xml:space="preserve"> </w:t>
      </w:r>
      <w:r w:rsidR="005A4224" w:rsidRPr="0033639F">
        <w:rPr>
          <w:rFonts w:ascii="Arial" w:hAnsi="Arial" w:cs="Arial"/>
          <w:noProof/>
          <w:sz w:val="22"/>
          <w:szCs w:val="22"/>
        </w:rPr>
        <w:t>(</w:t>
      </w:r>
      <w:r w:rsidR="007A5B8B" w:rsidRPr="0033639F">
        <w:rPr>
          <w:rFonts w:ascii="Arial" w:hAnsi="Arial" w:cs="Arial"/>
          <w:noProof/>
          <w:sz w:val="22"/>
          <w:szCs w:val="22"/>
        </w:rPr>
        <w:t>162</w:t>
      </w:r>
      <w:r w:rsidR="005A4224" w:rsidRPr="0033639F">
        <w:rPr>
          <w:rFonts w:ascii="Arial" w:hAnsi="Arial" w:cs="Arial"/>
          <w:noProof/>
          <w:sz w:val="22"/>
          <w:szCs w:val="22"/>
        </w:rPr>
        <w:t>)</w:t>
      </w:r>
      <w:r w:rsidRPr="0033639F">
        <w:rPr>
          <w:rFonts w:ascii="Arial" w:hAnsi="Arial" w:cs="Arial"/>
          <w:sz w:val="22"/>
          <w:szCs w:val="22"/>
        </w:rPr>
        <w:t xml:space="preserve"> were shown to arise from mutations in </w:t>
      </w:r>
      <w:r w:rsidRPr="0033639F">
        <w:rPr>
          <w:rFonts w:ascii="Arial" w:hAnsi="Arial" w:cs="Arial"/>
          <w:i/>
          <w:iCs/>
          <w:sz w:val="22"/>
          <w:szCs w:val="22"/>
        </w:rPr>
        <w:t>ACAN</w:t>
      </w:r>
      <w:r w:rsidRPr="0033639F">
        <w:rPr>
          <w:rFonts w:ascii="Arial" w:hAnsi="Arial" w:cs="Arial"/>
          <w:sz w:val="22"/>
          <w:szCs w:val="22"/>
        </w:rPr>
        <w:t>.</w:t>
      </w:r>
    </w:p>
    <w:p w14:paraId="1E0824DC" w14:textId="77777777" w:rsidR="00A66F89" w:rsidRPr="0033639F" w:rsidRDefault="00A66F89" w:rsidP="0033639F">
      <w:pPr>
        <w:spacing w:line="276" w:lineRule="auto"/>
        <w:outlineLvl w:val="1"/>
        <w:rPr>
          <w:rFonts w:ascii="Arial" w:hAnsi="Arial" w:cs="Arial"/>
          <w:sz w:val="22"/>
          <w:szCs w:val="22"/>
        </w:rPr>
      </w:pPr>
    </w:p>
    <w:p w14:paraId="297711D4" w14:textId="0B6B8F30"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In 2010, cases of autosomal dominant short stature with an </w:t>
      </w:r>
      <w:r w:rsidRPr="0033639F">
        <w:rPr>
          <w:rFonts w:ascii="Arial" w:hAnsi="Arial" w:cs="Arial"/>
          <w:i/>
          <w:iCs/>
          <w:sz w:val="22"/>
          <w:szCs w:val="22"/>
        </w:rPr>
        <w:t>advanced</w:t>
      </w:r>
      <w:r w:rsidRPr="0033639F">
        <w:rPr>
          <w:rFonts w:ascii="Arial" w:hAnsi="Arial" w:cs="Arial"/>
          <w:sz w:val="22"/>
          <w:szCs w:val="22"/>
        </w:rPr>
        <w:t xml:space="preserve"> bone age were found to have mutations in </w:t>
      </w:r>
      <w:r w:rsidRPr="0033639F">
        <w:rPr>
          <w:rFonts w:ascii="Arial" w:hAnsi="Arial" w:cs="Arial"/>
          <w:i/>
          <w:iCs/>
          <w:sz w:val="22"/>
          <w:szCs w:val="22"/>
        </w:rPr>
        <w:t>ACAN</w:t>
      </w:r>
      <w:r w:rsidRPr="0033639F">
        <w:rPr>
          <w:rFonts w:ascii="Arial" w:hAnsi="Arial" w:cs="Arial"/>
          <w:sz w:val="22"/>
          <w:szCs w:val="22"/>
        </w:rPr>
        <w:t>, either with or without osteochondritis dissecans and/or (early-onset) osteoarthritis</w:t>
      </w:r>
      <w:r w:rsidR="005A4224" w:rsidRPr="0033639F">
        <w:rPr>
          <w:rFonts w:ascii="Arial" w:hAnsi="Arial" w:cs="Arial"/>
          <w:sz w:val="22"/>
          <w:szCs w:val="22"/>
        </w:rPr>
        <w:t xml:space="preserve"> </w:t>
      </w:r>
      <w:r w:rsidR="005A4224" w:rsidRPr="0033639F">
        <w:rPr>
          <w:rFonts w:ascii="Arial" w:hAnsi="Arial" w:cs="Arial"/>
          <w:noProof/>
          <w:sz w:val="22"/>
          <w:szCs w:val="22"/>
        </w:rPr>
        <w:t>(</w:t>
      </w:r>
      <w:r w:rsidR="007A5B8B" w:rsidRPr="0033639F">
        <w:rPr>
          <w:rFonts w:ascii="Arial" w:hAnsi="Arial" w:cs="Arial"/>
          <w:noProof/>
          <w:sz w:val="22"/>
          <w:szCs w:val="22"/>
        </w:rPr>
        <w:t>163</w:t>
      </w:r>
      <w:r w:rsidR="005A4224" w:rsidRPr="0033639F">
        <w:rPr>
          <w:rFonts w:ascii="Arial" w:hAnsi="Arial" w:cs="Arial"/>
          <w:noProof/>
          <w:sz w:val="22"/>
          <w:szCs w:val="22"/>
        </w:rPr>
        <w:t>–</w:t>
      </w:r>
      <w:r w:rsidR="007A5B8B" w:rsidRPr="0033639F">
        <w:rPr>
          <w:rFonts w:ascii="Arial" w:hAnsi="Arial" w:cs="Arial"/>
          <w:noProof/>
          <w:sz w:val="22"/>
          <w:szCs w:val="22"/>
        </w:rPr>
        <w:t>167</w:t>
      </w:r>
      <w:r w:rsidR="005A4224" w:rsidRPr="0033639F">
        <w:rPr>
          <w:rFonts w:ascii="Arial" w:hAnsi="Arial" w:cs="Arial"/>
          <w:noProof/>
          <w:sz w:val="22"/>
          <w:szCs w:val="22"/>
        </w:rPr>
        <w:t>)</w:t>
      </w:r>
      <w:r w:rsidRPr="0033639F">
        <w:rPr>
          <w:rFonts w:ascii="Arial" w:hAnsi="Arial" w:cs="Arial"/>
          <w:sz w:val="22"/>
          <w:szCs w:val="22"/>
        </w:rPr>
        <w:t xml:space="preserve">.  </w:t>
      </w:r>
    </w:p>
    <w:p w14:paraId="39156F4D" w14:textId="77777777" w:rsidR="00A66F89" w:rsidRPr="0033639F" w:rsidRDefault="00A66F89" w:rsidP="0033639F">
      <w:pPr>
        <w:spacing w:line="276" w:lineRule="auto"/>
        <w:rPr>
          <w:rFonts w:ascii="Arial" w:hAnsi="Arial" w:cs="Arial"/>
          <w:sz w:val="22"/>
          <w:szCs w:val="22"/>
        </w:rPr>
      </w:pPr>
    </w:p>
    <w:p w14:paraId="57F3C5DC" w14:textId="4B1566EF" w:rsidR="00803B01" w:rsidRPr="0033639F" w:rsidRDefault="00803B01" w:rsidP="0033639F">
      <w:pPr>
        <w:spacing w:line="276" w:lineRule="auto"/>
        <w:outlineLvl w:val="1"/>
        <w:rPr>
          <w:rFonts w:ascii="Arial" w:hAnsi="Arial" w:cs="Arial"/>
          <w:sz w:val="22"/>
          <w:szCs w:val="22"/>
        </w:rPr>
      </w:pPr>
      <w:r w:rsidRPr="0033639F">
        <w:rPr>
          <w:rFonts w:ascii="Arial" w:hAnsi="Arial" w:cs="Arial"/>
          <w:sz w:val="22"/>
          <w:szCs w:val="22"/>
        </w:rPr>
        <w:t>Dateki identified a family of four affected where three members had short stature with an advanced bone age, midface hypoplasia, joint problems and brachydactyly, while the fourth had lumbar disc herniation without other findings</w:t>
      </w:r>
      <w:r w:rsidR="005A4224" w:rsidRPr="0033639F">
        <w:rPr>
          <w:rFonts w:ascii="Arial" w:hAnsi="Arial" w:cs="Arial"/>
          <w:sz w:val="22"/>
          <w:szCs w:val="22"/>
        </w:rPr>
        <w:t xml:space="preserve"> </w:t>
      </w:r>
      <w:r w:rsidR="005A4224" w:rsidRPr="0033639F">
        <w:rPr>
          <w:rFonts w:ascii="Arial" w:hAnsi="Arial" w:cs="Arial"/>
          <w:noProof/>
          <w:sz w:val="22"/>
          <w:szCs w:val="22"/>
        </w:rPr>
        <w:t>(</w:t>
      </w:r>
      <w:r w:rsidR="007A5B8B" w:rsidRPr="0033639F">
        <w:rPr>
          <w:rFonts w:ascii="Arial" w:hAnsi="Arial" w:cs="Arial"/>
          <w:noProof/>
          <w:sz w:val="22"/>
          <w:szCs w:val="22"/>
        </w:rPr>
        <w:t>168</w:t>
      </w:r>
      <w:r w:rsidR="005A4224" w:rsidRPr="0033639F">
        <w:rPr>
          <w:rFonts w:ascii="Arial" w:hAnsi="Arial" w:cs="Arial"/>
          <w:noProof/>
          <w:sz w:val="22"/>
          <w:szCs w:val="22"/>
        </w:rPr>
        <w:t>)</w:t>
      </w:r>
      <w:r w:rsidRPr="0033639F">
        <w:rPr>
          <w:rFonts w:ascii="Arial" w:hAnsi="Arial" w:cs="Arial"/>
          <w:sz w:val="22"/>
          <w:szCs w:val="22"/>
        </w:rPr>
        <w:t>, attesting to phenotypic heterogeneity, even within a family.</w:t>
      </w:r>
    </w:p>
    <w:p w14:paraId="3DFA6C94" w14:textId="62FBD55D" w:rsidR="00803B01" w:rsidRDefault="00803B01" w:rsidP="0033639F">
      <w:pPr>
        <w:spacing w:line="276" w:lineRule="auto"/>
        <w:outlineLvl w:val="1"/>
        <w:rPr>
          <w:rFonts w:ascii="Arial" w:hAnsi="Arial" w:cs="Arial"/>
          <w:noProof/>
          <w:sz w:val="22"/>
          <w:szCs w:val="22"/>
        </w:rPr>
      </w:pPr>
    </w:p>
    <w:p w14:paraId="1E749517" w14:textId="0E21C54A" w:rsidR="00C059E8" w:rsidRPr="0033639F" w:rsidRDefault="00C059E8" w:rsidP="0033639F">
      <w:pPr>
        <w:spacing w:line="276" w:lineRule="auto"/>
        <w:outlineLvl w:val="1"/>
        <w:rPr>
          <w:rFonts w:ascii="Arial" w:hAnsi="Arial" w:cs="Arial"/>
          <w:b/>
          <w:bCs/>
          <w:sz w:val="22"/>
          <w:szCs w:val="22"/>
        </w:rPr>
      </w:pPr>
      <w:r>
        <w:rPr>
          <w:rFonts w:ascii="Arial" w:hAnsi="Arial" w:cs="Arial"/>
          <w:b/>
          <w:bCs/>
          <w:noProof/>
          <w:sz w:val="22"/>
          <w:szCs w:val="22"/>
        </w:rPr>
        <w:drawing>
          <wp:inline distT="0" distB="0" distL="0" distR="0" wp14:anchorId="32B39269" wp14:editId="18DE64AA">
            <wp:extent cx="6195974" cy="3541709"/>
            <wp:effectExtent l="0" t="0" r="0" b="1905"/>
            <wp:docPr id="10140264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7121" cy="3548081"/>
                    </a:xfrm>
                    <a:prstGeom prst="rect">
                      <a:avLst/>
                    </a:prstGeom>
                    <a:noFill/>
                  </pic:spPr>
                </pic:pic>
              </a:graphicData>
            </a:graphic>
          </wp:inline>
        </w:drawing>
      </w:r>
    </w:p>
    <w:p w14:paraId="04312164" w14:textId="1D69AACB" w:rsidR="00A66F89" w:rsidRDefault="00A66F89" w:rsidP="0033639F">
      <w:pPr>
        <w:spacing w:line="276" w:lineRule="auto"/>
        <w:outlineLvl w:val="1"/>
        <w:rPr>
          <w:rFonts w:ascii="Arial" w:hAnsi="Arial" w:cs="Arial"/>
          <w:b/>
          <w:bCs/>
          <w:sz w:val="22"/>
          <w:szCs w:val="22"/>
        </w:rPr>
      </w:pPr>
      <w:r>
        <w:rPr>
          <w:rFonts w:ascii="Arial" w:hAnsi="Arial" w:cs="Arial"/>
          <w:b/>
          <w:bCs/>
          <w:sz w:val="22"/>
          <w:szCs w:val="22"/>
        </w:rPr>
        <w:t>Figure 26. The aggrecan gene (ACAN).</w:t>
      </w:r>
    </w:p>
    <w:p w14:paraId="3D49E1D9" w14:textId="77777777" w:rsidR="00A66F89" w:rsidRDefault="00A66F89" w:rsidP="0033639F">
      <w:pPr>
        <w:spacing w:line="276" w:lineRule="auto"/>
        <w:outlineLvl w:val="1"/>
        <w:rPr>
          <w:rFonts w:ascii="Arial" w:hAnsi="Arial" w:cs="Arial"/>
          <w:b/>
          <w:bCs/>
          <w:sz w:val="22"/>
          <w:szCs w:val="22"/>
        </w:rPr>
      </w:pPr>
    </w:p>
    <w:p w14:paraId="4B243392" w14:textId="6BDAA070" w:rsidR="00803B01" w:rsidRPr="0033639F" w:rsidRDefault="00803B01" w:rsidP="0033639F">
      <w:pPr>
        <w:spacing w:line="276" w:lineRule="auto"/>
        <w:outlineLvl w:val="1"/>
        <w:rPr>
          <w:rFonts w:ascii="Arial" w:hAnsi="Arial" w:cs="Arial"/>
          <w:sz w:val="22"/>
          <w:szCs w:val="22"/>
        </w:rPr>
      </w:pPr>
      <w:r w:rsidRPr="00C059E8">
        <w:rPr>
          <w:rFonts w:ascii="Arial" w:hAnsi="Arial" w:cs="Arial"/>
          <w:b/>
          <w:bCs/>
          <w:color w:val="00B050"/>
          <w:sz w:val="22"/>
          <w:szCs w:val="22"/>
        </w:rPr>
        <w:t>The Short Stature Homeobox-Containing Gene (</w:t>
      </w:r>
      <w:r w:rsidRPr="00C059E8">
        <w:rPr>
          <w:rFonts w:ascii="Arial" w:hAnsi="Arial" w:cs="Arial"/>
          <w:b/>
          <w:bCs/>
          <w:i/>
          <w:iCs/>
          <w:color w:val="00B050"/>
          <w:sz w:val="22"/>
          <w:szCs w:val="22"/>
        </w:rPr>
        <w:t>SHOX</w:t>
      </w:r>
      <w:r w:rsidRPr="00C059E8">
        <w:rPr>
          <w:rFonts w:ascii="Arial" w:hAnsi="Arial" w:cs="Arial"/>
          <w:b/>
          <w:bCs/>
          <w:color w:val="00B050"/>
          <w:sz w:val="22"/>
          <w:szCs w:val="22"/>
        </w:rPr>
        <w:t>) Haploinsufficiency</w:t>
      </w:r>
      <w:r w:rsidRPr="00C059E8">
        <w:rPr>
          <w:rFonts w:ascii="Arial" w:hAnsi="Arial" w:cs="Arial"/>
          <w:color w:val="00B050"/>
          <w:sz w:val="22"/>
          <w:szCs w:val="22"/>
        </w:rPr>
        <w:t xml:space="preserve"> </w:t>
      </w:r>
    </w:p>
    <w:p w14:paraId="76087169" w14:textId="77777777" w:rsidR="00C059E8" w:rsidRDefault="00C059E8" w:rsidP="0033639F">
      <w:pPr>
        <w:tabs>
          <w:tab w:val="num" w:pos="2880"/>
        </w:tabs>
        <w:spacing w:line="276" w:lineRule="auto"/>
        <w:rPr>
          <w:rFonts w:ascii="Arial" w:hAnsi="Arial" w:cs="Arial"/>
          <w:sz w:val="22"/>
          <w:szCs w:val="22"/>
        </w:rPr>
      </w:pPr>
    </w:p>
    <w:p w14:paraId="46DB3EA8" w14:textId="26C887A4" w:rsidR="00803B01" w:rsidRDefault="00803B01" w:rsidP="0033639F">
      <w:pPr>
        <w:tabs>
          <w:tab w:val="num" w:pos="2880"/>
        </w:tabs>
        <w:spacing w:line="276" w:lineRule="auto"/>
        <w:rPr>
          <w:rFonts w:ascii="Arial" w:hAnsi="Arial" w:cs="Arial"/>
          <w:sz w:val="22"/>
          <w:szCs w:val="22"/>
        </w:rPr>
      </w:pPr>
      <w:r w:rsidRPr="0033639F">
        <w:rPr>
          <w:rFonts w:ascii="Arial" w:hAnsi="Arial" w:cs="Arial"/>
          <w:sz w:val="22"/>
          <w:szCs w:val="22"/>
        </w:rPr>
        <w:lastRenderedPageBreak/>
        <w:t>The Short Stature Homeobox-containing gene (</w:t>
      </w:r>
      <w:r w:rsidRPr="0033639F">
        <w:rPr>
          <w:rFonts w:ascii="Arial" w:hAnsi="Arial" w:cs="Arial"/>
          <w:i/>
          <w:iCs/>
          <w:sz w:val="22"/>
          <w:szCs w:val="22"/>
        </w:rPr>
        <w:t>SHOX</w:t>
      </w:r>
      <w:r w:rsidRPr="0033639F">
        <w:rPr>
          <w:rFonts w:ascii="Arial" w:hAnsi="Arial" w:cs="Arial"/>
          <w:sz w:val="22"/>
          <w:szCs w:val="22"/>
        </w:rPr>
        <w:t>) was identified in the pseudo</w:t>
      </w:r>
      <w:r w:rsidR="00780D05" w:rsidRPr="0033639F">
        <w:rPr>
          <w:rFonts w:ascii="Arial" w:hAnsi="Arial" w:cs="Arial"/>
          <w:sz w:val="22"/>
          <w:szCs w:val="22"/>
        </w:rPr>
        <w:t>-</w:t>
      </w:r>
      <w:r w:rsidRPr="0033639F">
        <w:rPr>
          <w:rFonts w:ascii="Arial" w:hAnsi="Arial" w:cs="Arial"/>
          <w:sz w:val="22"/>
          <w:szCs w:val="22"/>
        </w:rPr>
        <w:t>autosomal region</w:t>
      </w:r>
      <w:r w:rsidRPr="0033639F">
        <w:rPr>
          <w:rFonts w:ascii="Arial" w:hAnsi="Arial" w:cs="Arial"/>
          <w:sz w:val="22"/>
          <w:szCs w:val="22"/>
          <w:vertAlign w:val="superscript"/>
        </w:rPr>
        <w:t xml:space="preserve"> </w:t>
      </w:r>
      <w:r w:rsidRPr="0033639F">
        <w:rPr>
          <w:rFonts w:ascii="Arial" w:hAnsi="Arial" w:cs="Arial"/>
          <w:sz w:val="22"/>
          <w:szCs w:val="22"/>
        </w:rPr>
        <w:t>1 on the distal end of the X and Y chromosomes at Xp22.3 and</w:t>
      </w:r>
      <w:r w:rsidRPr="0033639F">
        <w:rPr>
          <w:rFonts w:ascii="Arial" w:hAnsi="Arial" w:cs="Arial"/>
          <w:sz w:val="22"/>
          <w:szCs w:val="22"/>
          <w:vertAlign w:val="superscript"/>
        </w:rPr>
        <w:t xml:space="preserve"> </w:t>
      </w:r>
      <w:r w:rsidRPr="0033639F">
        <w:rPr>
          <w:rFonts w:ascii="Arial" w:hAnsi="Arial" w:cs="Arial"/>
          <w:sz w:val="22"/>
          <w:szCs w:val="22"/>
        </w:rPr>
        <w:t xml:space="preserve">Yp11.3 (Figure </w:t>
      </w:r>
      <w:r w:rsidR="009A7916" w:rsidRPr="0033639F">
        <w:rPr>
          <w:rFonts w:ascii="Arial" w:hAnsi="Arial" w:cs="Arial"/>
          <w:sz w:val="22"/>
          <w:szCs w:val="22"/>
        </w:rPr>
        <w:t>27</w:t>
      </w:r>
      <w:r w:rsidRPr="0033639F">
        <w:rPr>
          <w:rFonts w:ascii="Arial" w:hAnsi="Arial" w:cs="Arial"/>
          <w:sz w:val="22"/>
          <w:szCs w:val="22"/>
        </w:rPr>
        <w:t>)</w:t>
      </w:r>
      <w:r w:rsidR="00F351F3" w:rsidRPr="0033639F">
        <w:rPr>
          <w:rFonts w:ascii="Arial" w:hAnsi="Arial" w:cs="Arial"/>
          <w:sz w:val="22"/>
          <w:szCs w:val="22"/>
        </w:rPr>
        <w:t xml:space="preserve"> </w:t>
      </w:r>
      <w:r w:rsidR="00F351F3" w:rsidRPr="0033639F">
        <w:rPr>
          <w:rFonts w:ascii="Arial" w:hAnsi="Arial" w:cs="Arial"/>
          <w:noProof/>
          <w:sz w:val="22"/>
          <w:szCs w:val="22"/>
        </w:rPr>
        <w:t>(</w:t>
      </w:r>
      <w:r w:rsidR="00BF3C06" w:rsidRPr="0033639F">
        <w:rPr>
          <w:rFonts w:ascii="Arial" w:hAnsi="Arial" w:cs="Arial"/>
          <w:noProof/>
          <w:sz w:val="22"/>
          <w:szCs w:val="22"/>
        </w:rPr>
        <w:t>169</w:t>
      </w:r>
      <w:r w:rsidR="00F351F3" w:rsidRPr="0033639F">
        <w:rPr>
          <w:rFonts w:ascii="Arial" w:hAnsi="Arial" w:cs="Arial"/>
          <w:noProof/>
          <w:sz w:val="22"/>
          <w:szCs w:val="22"/>
        </w:rPr>
        <w:t>)</w:t>
      </w:r>
      <w:r w:rsidRPr="0033639F">
        <w:rPr>
          <w:rFonts w:ascii="Arial" w:hAnsi="Arial" w:cs="Arial"/>
          <w:sz w:val="22"/>
          <w:szCs w:val="22"/>
        </w:rPr>
        <w:t xml:space="preserve">. Mutations in </w:t>
      </w:r>
      <w:r w:rsidRPr="0033639F">
        <w:rPr>
          <w:rFonts w:ascii="Arial" w:hAnsi="Arial" w:cs="Arial"/>
          <w:i/>
          <w:iCs/>
          <w:sz w:val="22"/>
          <w:szCs w:val="22"/>
        </w:rPr>
        <w:t>SHOX</w:t>
      </w:r>
      <w:r w:rsidRPr="0033639F">
        <w:rPr>
          <w:rFonts w:ascii="Arial" w:hAnsi="Arial" w:cs="Arial"/>
          <w:sz w:val="22"/>
          <w:szCs w:val="22"/>
        </w:rPr>
        <w:t xml:space="preserve"> were observed in 60-100% of Léri-Weill dyschondrosteosis and Langer mesomelic dysplasia</w:t>
      </w:r>
      <w:r w:rsidR="00F351F3" w:rsidRPr="0033639F">
        <w:rPr>
          <w:rFonts w:ascii="Arial" w:hAnsi="Arial" w:cs="Arial"/>
          <w:sz w:val="22"/>
          <w:szCs w:val="22"/>
        </w:rPr>
        <w:t xml:space="preserve"> </w:t>
      </w:r>
      <w:r w:rsidR="00F351F3" w:rsidRPr="0033639F">
        <w:rPr>
          <w:rFonts w:ascii="Arial" w:hAnsi="Arial" w:cs="Arial"/>
          <w:noProof/>
          <w:sz w:val="22"/>
          <w:szCs w:val="22"/>
        </w:rPr>
        <w:t>(</w:t>
      </w:r>
      <w:r w:rsidR="00BF3C06" w:rsidRPr="0033639F">
        <w:rPr>
          <w:rFonts w:ascii="Arial" w:hAnsi="Arial" w:cs="Arial"/>
          <w:noProof/>
          <w:sz w:val="22"/>
          <w:szCs w:val="22"/>
        </w:rPr>
        <w:t>170</w:t>
      </w:r>
      <w:r w:rsidR="00F351F3" w:rsidRPr="0033639F">
        <w:rPr>
          <w:rFonts w:ascii="Arial" w:hAnsi="Arial" w:cs="Arial"/>
          <w:noProof/>
          <w:sz w:val="22"/>
          <w:szCs w:val="22"/>
        </w:rPr>
        <w:t>,</w:t>
      </w:r>
      <w:r w:rsidR="00BF3C06" w:rsidRPr="0033639F">
        <w:rPr>
          <w:rFonts w:ascii="Arial" w:hAnsi="Arial" w:cs="Arial"/>
          <w:noProof/>
          <w:sz w:val="22"/>
          <w:szCs w:val="22"/>
        </w:rPr>
        <w:t>171</w:t>
      </w:r>
      <w:r w:rsidR="00F351F3" w:rsidRPr="0033639F">
        <w:rPr>
          <w:rFonts w:ascii="Arial" w:hAnsi="Arial" w:cs="Arial"/>
          <w:noProof/>
          <w:sz w:val="22"/>
          <w:szCs w:val="22"/>
        </w:rPr>
        <w:t>)</w:t>
      </w:r>
      <w:r w:rsidRPr="0033639F">
        <w:rPr>
          <w:rFonts w:ascii="Arial" w:hAnsi="Arial" w:cs="Arial"/>
          <w:bCs/>
          <w:sz w:val="22"/>
          <w:szCs w:val="22"/>
        </w:rPr>
        <w:t xml:space="preserve">. </w:t>
      </w:r>
      <w:r w:rsidRPr="0033639F">
        <w:rPr>
          <w:rFonts w:ascii="Arial" w:hAnsi="Arial" w:cs="Arial"/>
          <w:sz w:val="22"/>
          <w:szCs w:val="22"/>
        </w:rPr>
        <w:t xml:space="preserve"> Turner syndrome is almost always associated with the loss of </w:t>
      </w:r>
      <w:r w:rsidRPr="0033639F">
        <w:rPr>
          <w:rFonts w:ascii="Arial" w:hAnsi="Arial" w:cs="Arial"/>
          <w:i/>
          <w:iCs/>
          <w:sz w:val="22"/>
          <w:szCs w:val="22"/>
        </w:rPr>
        <w:t>SHOX</w:t>
      </w:r>
      <w:r w:rsidRPr="0033639F">
        <w:rPr>
          <w:rFonts w:ascii="Arial" w:hAnsi="Arial" w:cs="Arial"/>
          <w:sz w:val="22"/>
          <w:szCs w:val="22"/>
        </w:rPr>
        <w:t xml:space="preserve"> gene because of numerical or structural aberration of X chromosome</w:t>
      </w:r>
      <w:r w:rsidRPr="0033639F">
        <w:rPr>
          <w:rFonts w:ascii="Arial" w:hAnsi="Arial" w:cs="Arial"/>
          <w:noProof/>
          <w:sz w:val="22"/>
          <w:szCs w:val="22"/>
        </w:rPr>
        <w:t xml:space="preserve"> </w:t>
      </w:r>
      <w:r w:rsidR="00F351F3" w:rsidRPr="0033639F">
        <w:rPr>
          <w:rFonts w:ascii="Arial" w:hAnsi="Arial" w:cs="Arial"/>
          <w:noProof/>
          <w:sz w:val="22"/>
          <w:szCs w:val="22"/>
        </w:rPr>
        <w:t>(</w:t>
      </w:r>
      <w:r w:rsidR="00BF3C06" w:rsidRPr="0033639F">
        <w:rPr>
          <w:rFonts w:ascii="Arial" w:hAnsi="Arial" w:cs="Arial"/>
          <w:noProof/>
          <w:sz w:val="22"/>
          <w:szCs w:val="22"/>
        </w:rPr>
        <w:t>172</w:t>
      </w:r>
      <w:r w:rsidR="00F351F3" w:rsidRPr="0033639F">
        <w:rPr>
          <w:rFonts w:ascii="Arial" w:hAnsi="Arial" w:cs="Arial"/>
          <w:noProof/>
          <w:sz w:val="22"/>
          <w:szCs w:val="22"/>
        </w:rPr>
        <w:t>)</w:t>
      </w:r>
      <w:r w:rsidRPr="0033639F">
        <w:rPr>
          <w:rFonts w:ascii="Arial" w:hAnsi="Arial" w:cs="Arial"/>
          <w:sz w:val="22"/>
          <w:szCs w:val="22"/>
        </w:rPr>
        <w:t>.</w:t>
      </w:r>
      <w:r w:rsidR="00EF6427" w:rsidRPr="0033639F">
        <w:rPr>
          <w:rFonts w:ascii="Arial" w:hAnsi="Arial" w:cs="Arial"/>
          <w:sz w:val="22"/>
          <w:szCs w:val="22"/>
        </w:rPr>
        <w:t>The most common genetic defects leading to growth failure in humans are due to S</w:t>
      </w:r>
      <w:r w:rsidRPr="0033639F">
        <w:rPr>
          <w:rFonts w:ascii="Arial" w:hAnsi="Arial" w:cs="Arial"/>
          <w:i/>
          <w:iCs/>
          <w:sz w:val="22"/>
          <w:szCs w:val="22"/>
        </w:rPr>
        <w:t>HOX</w:t>
      </w:r>
      <w:r w:rsidRPr="0033639F">
        <w:rPr>
          <w:rFonts w:ascii="Arial" w:hAnsi="Arial" w:cs="Arial"/>
          <w:sz w:val="22"/>
          <w:szCs w:val="22"/>
        </w:rPr>
        <w:t xml:space="preserve"> mutations </w:t>
      </w:r>
      <w:r w:rsidR="00EF6427" w:rsidRPr="0033639F">
        <w:rPr>
          <w:rFonts w:ascii="Arial" w:hAnsi="Arial" w:cs="Arial"/>
          <w:sz w:val="22"/>
          <w:szCs w:val="22"/>
        </w:rPr>
        <w:t>with the incidence of</w:t>
      </w:r>
      <w:r w:rsidR="00057E4C" w:rsidRPr="0033639F">
        <w:rPr>
          <w:rFonts w:ascii="Arial" w:hAnsi="Arial" w:cs="Arial"/>
          <w:sz w:val="22"/>
          <w:szCs w:val="22"/>
        </w:rPr>
        <w:t xml:space="preserve"> </w:t>
      </w:r>
      <w:r w:rsidRPr="0033639F">
        <w:rPr>
          <w:rFonts w:ascii="Arial" w:hAnsi="Arial" w:cs="Arial"/>
          <w:sz w:val="22"/>
          <w:szCs w:val="22"/>
        </w:rPr>
        <w:t>1:1,000</w:t>
      </w:r>
      <w:r w:rsidR="00BF3C06" w:rsidRPr="0033639F">
        <w:rPr>
          <w:rFonts w:ascii="Arial" w:hAnsi="Arial" w:cs="Arial"/>
          <w:sz w:val="22"/>
          <w:szCs w:val="22"/>
        </w:rPr>
        <w:t xml:space="preserve"> (173).</w:t>
      </w:r>
      <w:r w:rsidRPr="0033639F">
        <w:rPr>
          <w:rFonts w:ascii="Arial" w:hAnsi="Arial" w:cs="Arial"/>
          <w:sz w:val="22"/>
          <w:szCs w:val="22"/>
        </w:rPr>
        <w:t xml:space="preserve"> </w:t>
      </w:r>
    </w:p>
    <w:p w14:paraId="6B7F6B38" w14:textId="77777777" w:rsidR="00C059E8" w:rsidRPr="0033639F" w:rsidRDefault="00C059E8" w:rsidP="0033639F">
      <w:pPr>
        <w:tabs>
          <w:tab w:val="num" w:pos="2880"/>
        </w:tabs>
        <w:spacing w:line="276" w:lineRule="auto"/>
        <w:rPr>
          <w:rFonts w:ascii="Arial" w:hAnsi="Arial" w:cs="Arial"/>
          <w:sz w:val="22"/>
          <w:szCs w:val="22"/>
        </w:rPr>
      </w:pPr>
    </w:p>
    <w:p w14:paraId="1018E221" w14:textId="60741C57" w:rsidR="00182A20" w:rsidRDefault="00E35A05" w:rsidP="0033639F">
      <w:pPr>
        <w:tabs>
          <w:tab w:val="num" w:pos="2880"/>
        </w:tabs>
        <w:spacing w:line="276" w:lineRule="auto"/>
        <w:rPr>
          <w:rFonts w:ascii="Arial" w:hAnsi="Arial" w:cs="Arial"/>
          <w:b/>
          <w:bCs/>
          <w:sz w:val="22"/>
          <w:szCs w:val="22"/>
        </w:rPr>
      </w:pPr>
      <w:r>
        <w:rPr>
          <w:rFonts w:ascii="Arial" w:hAnsi="Arial" w:cs="Arial"/>
          <w:b/>
          <w:bCs/>
          <w:noProof/>
          <w:sz w:val="22"/>
          <w:szCs w:val="22"/>
        </w:rPr>
        <w:drawing>
          <wp:inline distT="0" distB="0" distL="0" distR="0" wp14:anchorId="18EF839B" wp14:editId="14C68DF3">
            <wp:extent cx="5735117" cy="4383481"/>
            <wp:effectExtent l="0" t="0" r="0" b="0"/>
            <wp:docPr id="5227626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1207" cy="4395779"/>
                    </a:xfrm>
                    <a:prstGeom prst="rect">
                      <a:avLst/>
                    </a:prstGeom>
                    <a:noFill/>
                  </pic:spPr>
                </pic:pic>
              </a:graphicData>
            </a:graphic>
          </wp:inline>
        </w:drawing>
      </w:r>
    </w:p>
    <w:p w14:paraId="3979F154" w14:textId="664F6D16" w:rsidR="00803B01" w:rsidRPr="00C059E8" w:rsidRDefault="00C059E8" w:rsidP="0033639F">
      <w:pPr>
        <w:tabs>
          <w:tab w:val="num" w:pos="2880"/>
        </w:tabs>
        <w:spacing w:line="276" w:lineRule="auto"/>
        <w:rPr>
          <w:rFonts w:ascii="Arial" w:hAnsi="Arial" w:cs="Arial"/>
          <w:b/>
          <w:bCs/>
          <w:sz w:val="22"/>
          <w:szCs w:val="22"/>
        </w:rPr>
      </w:pPr>
      <w:r w:rsidRPr="00C059E8">
        <w:rPr>
          <w:rFonts w:ascii="Arial" w:hAnsi="Arial" w:cs="Arial"/>
          <w:b/>
          <w:bCs/>
          <w:sz w:val="22"/>
          <w:szCs w:val="22"/>
        </w:rPr>
        <w:t>Figure 27. The Short Stature Homeobox-containing gene (SHOX). Reprinted with Permission. www.shox.uni.hd.de</w:t>
      </w:r>
      <w:r>
        <w:rPr>
          <w:rFonts w:ascii="Arial" w:hAnsi="Arial" w:cs="Arial"/>
          <w:b/>
          <w:bCs/>
          <w:sz w:val="22"/>
          <w:szCs w:val="22"/>
        </w:rPr>
        <w:t>.</w:t>
      </w:r>
    </w:p>
    <w:p w14:paraId="6A3CA0E3" w14:textId="77777777" w:rsidR="00C059E8" w:rsidRDefault="00C059E8" w:rsidP="0033639F">
      <w:pPr>
        <w:spacing w:line="276" w:lineRule="auto"/>
        <w:rPr>
          <w:rFonts w:ascii="Arial" w:hAnsi="Arial" w:cs="Arial"/>
          <w:sz w:val="22"/>
          <w:szCs w:val="22"/>
        </w:rPr>
      </w:pPr>
    </w:p>
    <w:p w14:paraId="162C0094" w14:textId="1241328A" w:rsidR="00803B01" w:rsidRDefault="00803B01" w:rsidP="0033639F">
      <w:pPr>
        <w:spacing w:line="276" w:lineRule="auto"/>
        <w:rPr>
          <w:rFonts w:ascii="Arial" w:hAnsi="Arial" w:cs="Arial"/>
          <w:sz w:val="22"/>
          <w:szCs w:val="22"/>
        </w:rPr>
      </w:pPr>
      <w:r w:rsidRPr="0033639F">
        <w:rPr>
          <w:rFonts w:ascii="Arial" w:hAnsi="Arial" w:cs="Arial"/>
          <w:sz w:val="22"/>
          <w:szCs w:val="22"/>
        </w:rPr>
        <w:t>Genes in pseudoautosomal region 1 do</w:t>
      </w:r>
      <w:r w:rsidRPr="0033639F">
        <w:rPr>
          <w:rFonts w:ascii="Arial" w:hAnsi="Arial" w:cs="Arial"/>
          <w:sz w:val="22"/>
          <w:szCs w:val="22"/>
          <w:vertAlign w:val="superscript"/>
        </w:rPr>
        <w:t xml:space="preserve"> </w:t>
      </w:r>
      <w:r w:rsidRPr="0033639F">
        <w:rPr>
          <w:rFonts w:ascii="Arial" w:hAnsi="Arial" w:cs="Arial"/>
          <w:sz w:val="22"/>
          <w:szCs w:val="22"/>
        </w:rPr>
        <w:t>not undergo X inactivation, therefore, healthy individuals express two</w:t>
      </w:r>
      <w:r w:rsidRPr="0033639F">
        <w:rPr>
          <w:rFonts w:ascii="Arial" w:hAnsi="Arial" w:cs="Arial"/>
          <w:sz w:val="22"/>
          <w:szCs w:val="22"/>
          <w:vertAlign w:val="superscript"/>
        </w:rPr>
        <w:t xml:space="preserve"> </w:t>
      </w:r>
      <w:r w:rsidRPr="0033639F">
        <w:rPr>
          <w:rFonts w:ascii="Arial" w:hAnsi="Arial" w:cs="Arial"/>
          <w:sz w:val="22"/>
          <w:szCs w:val="22"/>
        </w:rPr>
        <w:t xml:space="preserve">copies of the </w:t>
      </w:r>
      <w:r w:rsidRPr="0033639F">
        <w:rPr>
          <w:rFonts w:ascii="Arial" w:hAnsi="Arial" w:cs="Arial"/>
          <w:i/>
          <w:iCs/>
          <w:sz w:val="22"/>
          <w:szCs w:val="22"/>
        </w:rPr>
        <w:t>SHOX</w:t>
      </w:r>
      <w:r w:rsidRPr="0033639F">
        <w:rPr>
          <w:rFonts w:ascii="Arial" w:hAnsi="Arial" w:cs="Arial"/>
          <w:sz w:val="22"/>
          <w:szCs w:val="22"/>
        </w:rPr>
        <w:t xml:space="preserve"> gene, one from each of the sex chromosomes</w:t>
      </w:r>
      <w:r w:rsidRPr="0033639F">
        <w:rPr>
          <w:rFonts w:ascii="Arial" w:hAnsi="Arial" w:cs="Arial"/>
          <w:sz w:val="22"/>
          <w:szCs w:val="22"/>
          <w:vertAlign w:val="superscript"/>
        </w:rPr>
        <w:t xml:space="preserve"> </w:t>
      </w:r>
      <w:r w:rsidRPr="0033639F">
        <w:rPr>
          <w:rFonts w:ascii="Arial" w:hAnsi="Arial" w:cs="Arial"/>
          <w:sz w:val="22"/>
          <w:szCs w:val="22"/>
        </w:rPr>
        <w:t xml:space="preserve">in both 46,XX and 46,XY individuals. The </w:t>
      </w:r>
      <w:r w:rsidRPr="0033639F">
        <w:rPr>
          <w:rFonts w:ascii="Arial" w:hAnsi="Arial" w:cs="Arial"/>
          <w:i/>
          <w:iCs/>
          <w:sz w:val="22"/>
          <w:szCs w:val="22"/>
        </w:rPr>
        <w:t>SHOX</w:t>
      </w:r>
      <w:r w:rsidRPr="0033639F">
        <w:rPr>
          <w:rFonts w:ascii="Arial" w:hAnsi="Arial" w:cs="Arial"/>
          <w:sz w:val="22"/>
          <w:szCs w:val="22"/>
        </w:rPr>
        <w:t xml:space="preserve"> gene plays an important role in linear growth and is involved in the following:</w:t>
      </w:r>
    </w:p>
    <w:p w14:paraId="6357CD3A" w14:textId="77777777" w:rsidR="00E35A05" w:rsidRPr="0033639F" w:rsidRDefault="00E35A05" w:rsidP="0033639F">
      <w:pPr>
        <w:spacing w:line="276" w:lineRule="auto"/>
        <w:rPr>
          <w:rFonts w:ascii="Arial" w:hAnsi="Arial" w:cs="Arial"/>
          <w:sz w:val="22"/>
          <w:szCs w:val="22"/>
        </w:rPr>
      </w:pPr>
    </w:p>
    <w:p w14:paraId="311EF82C" w14:textId="77777777" w:rsidR="00803B01" w:rsidRPr="0033639F" w:rsidRDefault="00803B01" w:rsidP="0033639F">
      <w:pPr>
        <w:tabs>
          <w:tab w:val="num" w:pos="2880"/>
        </w:tabs>
        <w:spacing w:line="276" w:lineRule="auto"/>
        <w:rPr>
          <w:rFonts w:ascii="Arial" w:hAnsi="Arial" w:cs="Arial"/>
          <w:sz w:val="22"/>
          <w:szCs w:val="22"/>
        </w:rPr>
      </w:pPr>
      <w:r w:rsidRPr="0033639F">
        <w:rPr>
          <w:rFonts w:ascii="Arial" w:eastAsia="Verdana" w:hAnsi="Arial" w:cs="Arial"/>
          <w:sz w:val="22"/>
          <w:szCs w:val="22"/>
        </w:rPr>
        <w:t xml:space="preserve">1.  </w:t>
      </w:r>
      <w:r w:rsidRPr="0033639F">
        <w:rPr>
          <w:rFonts w:ascii="Arial" w:hAnsi="Arial" w:cs="Arial"/>
          <w:sz w:val="22"/>
          <w:szCs w:val="22"/>
        </w:rPr>
        <w:t xml:space="preserve">Intrauterine linear skeletal growth </w:t>
      </w:r>
    </w:p>
    <w:p w14:paraId="0C2371A0" w14:textId="4E734014" w:rsidR="00803B01" w:rsidRPr="0033639F" w:rsidRDefault="00803B01" w:rsidP="0033639F">
      <w:pPr>
        <w:tabs>
          <w:tab w:val="num" w:pos="2880"/>
        </w:tabs>
        <w:spacing w:line="276" w:lineRule="auto"/>
        <w:rPr>
          <w:rFonts w:ascii="Arial" w:hAnsi="Arial" w:cs="Arial"/>
          <w:sz w:val="22"/>
          <w:szCs w:val="22"/>
        </w:rPr>
      </w:pPr>
      <w:r w:rsidRPr="0033639F">
        <w:rPr>
          <w:rFonts w:ascii="Arial" w:eastAsia="Verdana" w:hAnsi="Arial" w:cs="Arial"/>
          <w:sz w:val="22"/>
          <w:szCs w:val="22"/>
        </w:rPr>
        <w:t>2.  F</w:t>
      </w:r>
      <w:r w:rsidRPr="0033639F">
        <w:rPr>
          <w:rFonts w:ascii="Arial" w:hAnsi="Arial" w:cs="Arial"/>
          <w:sz w:val="22"/>
          <w:szCs w:val="22"/>
        </w:rPr>
        <w:t>etal and childhood growth plate in a developmentally specific</w:t>
      </w:r>
      <w:r w:rsidRPr="0033639F">
        <w:rPr>
          <w:rFonts w:ascii="Arial" w:hAnsi="Arial" w:cs="Arial"/>
          <w:sz w:val="22"/>
          <w:szCs w:val="22"/>
          <w:vertAlign w:val="superscript"/>
        </w:rPr>
        <w:t xml:space="preserve"> </w:t>
      </w:r>
      <w:r w:rsidRPr="0033639F">
        <w:rPr>
          <w:rFonts w:ascii="Arial" w:hAnsi="Arial" w:cs="Arial"/>
          <w:sz w:val="22"/>
          <w:szCs w:val="22"/>
        </w:rPr>
        <w:t>pattern and responsible for chondrocyte</w:t>
      </w:r>
      <w:r w:rsidRPr="0033639F">
        <w:rPr>
          <w:rFonts w:ascii="Arial" w:hAnsi="Arial" w:cs="Arial"/>
          <w:sz w:val="22"/>
          <w:szCs w:val="22"/>
          <w:vertAlign w:val="superscript"/>
        </w:rPr>
        <w:t xml:space="preserve"> </w:t>
      </w:r>
      <w:r w:rsidRPr="0033639F">
        <w:rPr>
          <w:rFonts w:ascii="Arial" w:hAnsi="Arial" w:cs="Arial"/>
          <w:sz w:val="22"/>
          <w:szCs w:val="22"/>
        </w:rPr>
        <w:t>differentiation and proliferation</w:t>
      </w:r>
      <w:r w:rsidR="00F351F3" w:rsidRPr="0033639F">
        <w:rPr>
          <w:rFonts w:ascii="Arial" w:hAnsi="Arial" w:cs="Arial"/>
          <w:sz w:val="22"/>
          <w:szCs w:val="22"/>
        </w:rPr>
        <w:t xml:space="preserve"> </w:t>
      </w:r>
      <w:r w:rsidR="00F351F3" w:rsidRPr="0033639F">
        <w:rPr>
          <w:rFonts w:ascii="Arial" w:hAnsi="Arial" w:cs="Arial"/>
          <w:noProof/>
          <w:sz w:val="22"/>
          <w:szCs w:val="22"/>
        </w:rPr>
        <w:t>(</w:t>
      </w:r>
      <w:r w:rsidR="00BF3C06" w:rsidRPr="0033639F">
        <w:rPr>
          <w:rFonts w:ascii="Arial" w:hAnsi="Arial" w:cs="Arial"/>
          <w:noProof/>
          <w:sz w:val="22"/>
          <w:szCs w:val="22"/>
        </w:rPr>
        <w:t>174</w:t>
      </w:r>
      <w:r w:rsidR="00F351F3" w:rsidRPr="0033639F">
        <w:rPr>
          <w:rFonts w:ascii="Arial" w:hAnsi="Arial" w:cs="Arial"/>
          <w:noProof/>
          <w:sz w:val="22"/>
          <w:szCs w:val="22"/>
        </w:rPr>
        <w:t>)</w:t>
      </w:r>
      <w:r w:rsidRPr="0033639F">
        <w:rPr>
          <w:rFonts w:ascii="Arial" w:hAnsi="Arial" w:cs="Arial"/>
          <w:bCs/>
          <w:color w:val="7030A0"/>
          <w:sz w:val="22"/>
          <w:szCs w:val="22"/>
        </w:rPr>
        <w:t>.</w:t>
      </w:r>
      <w:r w:rsidRPr="0033639F">
        <w:rPr>
          <w:rFonts w:ascii="Arial" w:hAnsi="Arial" w:cs="Arial"/>
          <w:sz w:val="22"/>
          <w:szCs w:val="22"/>
        </w:rPr>
        <w:t xml:space="preserve"> </w:t>
      </w:r>
    </w:p>
    <w:p w14:paraId="46CABF19" w14:textId="09D05807" w:rsidR="00803B01" w:rsidRPr="0033639F" w:rsidRDefault="00803B01" w:rsidP="0033639F">
      <w:pPr>
        <w:tabs>
          <w:tab w:val="num" w:pos="2880"/>
        </w:tabs>
        <w:spacing w:line="276" w:lineRule="auto"/>
        <w:rPr>
          <w:rFonts w:ascii="Arial" w:hAnsi="Arial" w:cs="Arial"/>
          <w:sz w:val="22"/>
          <w:szCs w:val="22"/>
        </w:rPr>
      </w:pPr>
      <w:r w:rsidRPr="0033639F">
        <w:rPr>
          <w:rFonts w:ascii="Arial" w:hAnsi="Arial" w:cs="Arial"/>
          <w:sz w:val="22"/>
          <w:szCs w:val="22"/>
        </w:rPr>
        <w:lastRenderedPageBreak/>
        <w:t xml:space="preserve">3. A dose effect: </w:t>
      </w:r>
      <w:r w:rsidRPr="0033639F">
        <w:rPr>
          <w:rFonts w:ascii="Arial" w:hAnsi="Arial" w:cs="Arial"/>
          <w:i/>
          <w:sz w:val="22"/>
          <w:szCs w:val="22"/>
        </w:rPr>
        <w:t xml:space="preserve">SHOX </w:t>
      </w:r>
      <w:r w:rsidR="000E50BF" w:rsidRPr="0033639F">
        <w:rPr>
          <w:rFonts w:ascii="Arial" w:hAnsi="Arial" w:cs="Arial"/>
          <w:sz w:val="22"/>
          <w:szCs w:val="22"/>
        </w:rPr>
        <w:t>haploinsufficiency</w:t>
      </w:r>
      <w:r w:rsidRPr="0033639F">
        <w:rPr>
          <w:rFonts w:ascii="Arial" w:hAnsi="Arial" w:cs="Arial"/>
          <w:sz w:val="22"/>
          <w:szCs w:val="22"/>
        </w:rPr>
        <w:t xml:space="preserve"> is associated with short stature.  In contrast, </w:t>
      </w:r>
      <w:r w:rsidRPr="0033639F">
        <w:rPr>
          <w:rFonts w:ascii="Arial" w:hAnsi="Arial" w:cs="Arial"/>
          <w:i/>
          <w:iCs/>
          <w:sz w:val="22"/>
          <w:szCs w:val="22"/>
        </w:rPr>
        <w:t>SHOX</w:t>
      </w:r>
      <w:r w:rsidRPr="0033639F">
        <w:rPr>
          <w:rFonts w:ascii="Arial" w:hAnsi="Arial" w:cs="Arial"/>
          <w:sz w:val="22"/>
          <w:szCs w:val="22"/>
        </w:rPr>
        <w:t xml:space="preserve"> overdose as seen in sex chromosome polyploidy is associated with tall stature.</w:t>
      </w:r>
    </w:p>
    <w:p w14:paraId="6B997E5D" w14:textId="77777777" w:rsidR="00E35A05" w:rsidRDefault="00E35A05" w:rsidP="0033639F">
      <w:pPr>
        <w:spacing w:line="276" w:lineRule="auto"/>
        <w:rPr>
          <w:rFonts w:ascii="Arial" w:hAnsi="Arial" w:cs="Arial"/>
          <w:sz w:val="22"/>
          <w:szCs w:val="22"/>
        </w:rPr>
      </w:pPr>
    </w:p>
    <w:p w14:paraId="6B11EFDB" w14:textId="3A69100C"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A large number of unique mutations (mostly deletions and point mutations) of </w:t>
      </w:r>
      <w:r w:rsidRPr="0033639F">
        <w:rPr>
          <w:rFonts w:ascii="Arial" w:hAnsi="Arial" w:cs="Arial"/>
          <w:i/>
          <w:iCs/>
          <w:sz w:val="22"/>
          <w:szCs w:val="22"/>
        </w:rPr>
        <w:t>SHOX</w:t>
      </w:r>
      <w:r w:rsidRPr="0033639F">
        <w:rPr>
          <w:rFonts w:ascii="Arial" w:hAnsi="Arial" w:cs="Arial"/>
          <w:sz w:val="22"/>
          <w:szCs w:val="22"/>
        </w:rPr>
        <w:t xml:space="preserve"> have been described</w:t>
      </w:r>
      <w:r w:rsidR="00F351F3" w:rsidRPr="0033639F">
        <w:rPr>
          <w:rFonts w:ascii="Arial" w:hAnsi="Arial" w:cs="Arial"/>
          <w:sz w:val="22"/>
          <w:szCs w:val="22"/>
        </w:rPr>
        <w:t xml:space="preserve"> </w:t>
      </w:r>
      <w:r w:rsidR="00F351F3" w:rsidRPr="0033639F">
        <w:rPr>
          <w:rFonts w:ascii="Arial" w:hAnsi="Arial" w:cs="Arial"/>
          <w:noProof/>
          <w:sz w:val="22"/>
          <w:szCs w:val="22"/>
        </w:rPr>
        <w:t>(</w:t>
      </w:r>
      <w:r w:rsidR="00BF3C06" w:rsidRPr="0033639F">
        <w:rPr>
          <w:rFonts w:ascii="Arial" w:hAnsi="Arial" w:cs="Arial"/>
          <w:noProof/>
          <w:sz w:val="22"/>
          <w:szCs w:val="22"/>
        </w:rPr>
        <w:t>170</w:t>
      </w:r>
      <w:r w:rsidR="00F351F3" w:rsidRPr="0033639F">
        <w:rPr>
          <w:rFonts w:ascii="Arial" w:hAnsi="Arial" w:cs="Arial"/>
          <w:noProof/>
          <w:sz w:val="22"/>
          <w:szCs w:val="22"/>
        </w:rPr>
        <w:t>,</w:t>
      </w:r>
      <w:r w:rsidR="00BF3C06" w:rsidRPr="0033639F">
        <w:rPr>
          <w:rFonts w:ascii="Arial" w:hAnsi="Arial" w:cs="Arial"/>
          <w:noProof/>
          <w:sz w:val="22"/>
          <w:szCs w:val="22"/>
        </w:rPr>
        <w:t>172</w:t>
      </w:r>
      <w:r w:rsidR="00F351F3" w:rsidRPr="0033639F">
        <w:rPr>
          <w:rFonts w:ascii="Arial" w:hAnsi="Arial" w:cs="Arial"/>
          <w:noProof/>
          <w:sz w:val="22"/>
          <w:szCs w:val="22"/>
        </w:rPr>
        <w:t>,</w:t>
      </w:r>
      <w:r w:rsidR="00BF3C06" w:rsidRPr="0033639F">
        <w:rPr>
          <w:rFonts w:ascii="Arial" w:hAnsi="Arial" w:cs="Arial"/>
          <w:noProof/>
          <w:sz w:val="22"/>
          <w:szCs w:val="22"/>
        </w:rPr>
        <w:t>175</w:t>
      </w:r>
      <w:r w:rsidR="00F351F3"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w:t>
      </w:r>
      <w:r w:rsidRPr="0033639F">
        <w:rPr>
          <w:rFonts w:ascii="Arial" w:hAnsi="Arial" w:cs="Arial"/>
          <w:i/>
          <w:iCs/>
          <w:sz w:val="22"/>
          <w:szCs w:val="22"/>
        </w:rPr>
        <w:t>SHOX</w:t>
      </w:r>
      <w:r w:rsidRPr="0033639F">
        <w:rPr>
          <w:rFonts w:ascii="Arial" w:hAnsi="Arial" w:cs="Arial"/>
          <w:sz w:val="22"/>
          <w:szCs w:val="22"/>
        </w:rPr>
        <w:t xml:space="preserve"> abnormalities are associated with a broad phenotypic spectrum, ranging from short stature</w:t>
      </w:r>
      <w:r w:rsidRPr="0033639F">
        <w:rPr>
          <w:rFonts w:ascii="Arial" w:hAnsi="Arial" w:cs="Arial"/>
          <w:sz w:val="22"/>
          <w:szCs w:val="22"/>
          <w:vertAlign w:val="superscript"/>
        </w:rPr>
        <w:t xml:space="preserve"> </w:t>
      </w:r>
      <w:r w:rsidRPr="0033639F">
        <w:rPr>
          <w:rFonts w:ascii="Arial" w:hAnsi="Arial" w:cs="Arial"/>
          <w:sz w:val="22"/>
          <w:szCs w:val="22"/>
        </w:rPr>
        <w:t>without dysmorphic signs as seen in idiopathic short stature (ISS) to profound Langer’s mesomelic skeletal dysplasia,</w:t>
      </w:r>
      <w:r w:rsidRPr="0033639F">
        <w:rPr>
          <w:rFonts w:ascii="Arial" w:hAnsi="Arial" w:cs="Arial"/>
          <w:sz w:val="22"/>
          <w:szCs w:val="22"/>
          <w:vertAlign w:val="superscript"/>
        </w:rPr>
        <w:t xml:space="preserve"> </w:t>
      </w:r>
      <w:r w:rsidRPr="0033639F">
        <w:rPr>
          <w:rFonts w:ascii="Arial" w:hAnsi="Arial" w:cs="Arial"/>
          <w:sz w:val="22"/>
          <w:szCs w:val="22"/>
        </w:rPr>
        <w:t>a form of short stature characterized by disproportionate shortening</w:t>
      </w:r>
      <w:r w:rsidRPr="0033639F">
        <w:rPr>
          <w:rFonts w:ascii="Arial" w:hAnsi="Arial" w:cs="Arial"/>
          <w:sz w:val="22"/>
          <w:szCs w:val="22"/>
          <w:vertAlign w:val="superscript"/>
        </w:rPr>
        <w:t xml:space="preserve"> </w:t>
      </w:r>
      <w:r w:rsidRPr="0033639F">
        <w:rPr>
          <w:rFonts w:ascii="Arial" w:hAnsi="Arial" w:cs="Arial"/>
          <w:sz w:val="22"/>
          <w:szCs w:val="22"/>
        </w:rPr>
        <w:t>of the middle segments of the upper arms (ulna) and lower legs (fibula)</w:t>
      </w:r>
      <w:r w:rsidR="00F351F3" w:rsidRPr="0033639F">
        <w:rPr>
          <w:rFonts w:ascii="Arial" w:hAnsi="Arial" w:cs="Arial"/>
          <w:sz w:val="22"/>
          <w:szCs w:val="22"/>
        </w:rPr>
        <w:t xml:space="preserve"> </w:t>
      </w:r>
      <w:r w:rsidR="00F351F3" w:rsidRPr="0033639F">
        <w:rPr>
          <w:rFonts w:ascii="Arial" w:hAnsi="Arial" w:cs="Arial"/>
          <w:noProof/>
          <w:sz w:val="22"/>
          <w:szCs w:val="22"/>
        </w:rPr>
        <w:t>(</w:t>
      </w:r>
      <w:r w:rsidR="00BF3C06" w:rsidRPr="0033639F">
        <w:rPr>
          <w:rFonts w:ascii="Arial" w:hAnsi="Arial" w:cs="Arial"/>
          <w:noProof/>
          <w:sz w:val="22"/>
          <w:szCs w:val="22"/>
        </w:rPr>
        <w:t>176</w:t>
      </w:r>
      <w:r w:rsidR="00F351F3" w:rsidRPr="0033639F">
        <w:rPr>
          <w:rFonts w:ascii="Arial" w:hAnsi="Arial" w:cs="Arial"/>
          <w:noProof/>
          <w:sz w:val="22"/>
          <w:szCs w:val="22"/>
        </w:rPr>
        <w:t>)</w:t>
      </w:r>
      <w:r w:rsidRPr="0033639F">
        <w:rPr>
          <w:rFonts w:ascii="Arial" w:hAnsi="Arial" w:cs="Arial"/>
          <w:bCs/>
          <w:sz w:val="22"/>
          <w:szCs w:val="22"/>
        </w:rPr>
        <w:t>.  In contrast to many other growth disorders such as g</w:t>
      </w:r>
      <w:r w:rsidRPr="0033639F">
        <w:rPr>
          <w:rFonts w:ascii="Arial" w:hAnsi="Arial" w:cs="Arial"/>
          <w:sz w:val="22"/>
          <w:szCs w:val="22"/>
        </w:rPr>
        <w:t xml:space="preserve">rowth hormone deficiency, </w:t>
      </w:r>
      <w:r w:rsidRPr="0033639F">
        <w:rPr>
          <w:rFonts w:ascii="Arial" w:hAnsi="Arial" w:cs="Arial"/>
          <w:i/>
          <w:iCs/>
          <w:sz w:val="22"/>
          <w:szCs w:val="22"/>
        </w:rPr>
        <w:t>SHOX</w:t>
      </w:r>
      <w:r w:rsidRPr="0033639F">
        <w:rPr>
          <w:rFonts w:ascii="Arial" w:hAnsi="Arial" w:cs="Arial"/>
          <w:sz w:val="22"/>
          <w:szCs w:val="22"/>
        </w:rPr>
        <w:t xml:space="preserve"> deficiency is more common in girls.</w:t>
      </w:r>
    </w:p>
    <w:p w14:paraId="409E1813" w14:textId="77777777" w:rsidR="00E35A05" w:rsidRPr="0033639F" w:rsidRDefault="00E35A05" w:rsidP="0033639F">
      <w:pPr>
        <w:spacing w:line="276" w:lineRule="auto"/>
        <w:rPr>
          <w:rFonts w:ascii="Arial" w:hAnsi="Arial" w:cs="Arial"/>
          <w:sz w:val="22"/>
          <w:szCs w:val="22"/>
        </w:rPr>
      </w:pPr>
    </w:p>
    <w:p w14:paraId="2A2B933B" w14:textId="1BD25619" w:rsidR="00803B01" w:rsidRDefault="00803B01" w:rsidP="0033639F">
      <w:pPr>
        <w:spacing w:line="276" w:lineRule="auto"/>
        <w:rPr>
          <w:rFonts w:ascii="Arial" w:hAnsi="Arial" w:cs="Arial"/>
          <w:sz w:val="22"/>
          <w:szCs w:val="22"/>
        </w:rPr>
      </w:pPr>
      <w:r w:rsidRPr="0033639F">
        <w:rPr>
          <w:rFonts w:ascii="Arial" w:hAnsi="Arial" w:cs="Arial"/>
          <w:bCs/>
          <w:sz w:val="22"/>
          <w:szCs w:val="22"/>
        </w:rPr>
        <w:t xml:space="preserve">Rappold </w:t>
      </w:r>
      <w:r w:rsidRPr="0033639F">
        <w:rPr>
          <w:rFonts w:ascii="Arial" w:hAnsi="Arial" w:cs="Arial"/>
          <w:bCs/>
          <w:i/>
          <w:iCs/>
          <w:sz w:val="22"/>
          <w:szCs w:val="22"/>
        </w:rPr>
        <w:t>et al</w:t>
      </w:r>
      <w:r w:rsidRPr="0033639F">
        <w:rPr>
          <w:rFonts w:ascii="Arial" w:hAnsi="Arial" w:cs="Arial"/>
          <w:bCs/>
          <w:sz w:val="22"/>
          <w:szCs w:val="22"/>
        </w:rPr>
        <w:t xml:space="preserve"> developed a scoring system to determine the phenotypic spectrum of </w:t>
      </w:r>
      <w:r w:rsidRPr="0033639F">
        <w:rPr>
          <w:rFonts w:ascii="Arial" w:hAnsi="Arial" w:cs="Arial"/>
          <w:bCs/>
          <w:i/>
          <w:iCs/>
          <w:sz w:val="22"/>
          <w:szCs w:val="22"/>
        </w:rPr>
        <w:t>SHOX</w:t>
      </w:r>
      <w:r w:rsidRPr="0033639F">
        <w:rPr>
          <w:rFonts w:ascii="Arial" w:hAnsi="Arial" w:cs="Arial"/>
          <w:bCs/>
          <w:sz w:val="22"/>
          <w:szCs w:val="22"/>
        </w:rPr>
        <w:t xml:space="preserve"> deficiency in children with short stature and identify patients for </w:t>
      </w:r>
      <w:r w:rsidRPr="0033639F">
        <w:rPr>
          <w:rFonts w:ascii="Arial" w:hAnsi="Arial" w:cs="Arial"/>
          <w:bCs/>
          <w:i/>
          <w:iCs/>
          <w:sz w:val="22"/>
          <w:szCs w:val="22"/>
        </w:rPr>
        <w:t>SHOX</w:t>
      </w:r>
      <w:r w:rsidRPr="0033639F">
        <w:rPr>
          <w:rFonts w:ascii="Arial" w:hAnsi="Arial" w:cs="Arial"/>
          <w:bCs/>
          <w:sz w:val="22"/>
          <w:szCs w:val="22"/>
        </w:rPr>
        <w:t xml:space="preserve"> molecular testing</w:t>
      </w:r>
      <w:r w:rsidR="00F351F3" w:rsidRPr="0033639F">
        <w:rPr>
          <w:rFonts w:ascii="Arial" w:hAnsi="Arial" w:cs="Arial"/>
          <w:bCs/>
          <w:sz w:val="22"/>
          <w:szCs w:val="22"/>
        </w:rPr>
        <w:t xml:space="preserve"> </w:t>
      </w:r>
      <w:r w:rsidR="00F351F3" w:rsidRPr="0033639F">
        <w:rPr>
          <w:rFonts w:ascii="Arial" w:hAnsi="Arial" w:cs="Arial"/>
          <w:bCs/>
          <w:noProof/>
          <w:sz w:val="22"/>
          <w:szCs w:val="22"/>
        </w:rPr>
        <w:t>(</w:t>
      </w:r>
      <w:r w:rsidR="00BF3C06" w:rsidRPr="0033639F">
        <w:rPr>
          <w:rFonts w:ascii="Arial" w:hAnsi="Arial" w:cs="Arial"/>
          <w:bCs/>
          <w:noProof/>
          <w:sz w:val="22"/>
          <w:szCs w:val="22"/>
        </w:rPr>
        <w:t>175</w:t>
      </w:r>
      <w:r w:rsidR="00F351F3" w:rsidRPr="0033639F">
        <w:rPr>
          <w:rFonts w:ascii="Arial" w:hAnsi="Arial" w:cs="Arial"/>
          <w:bCs/>
          <w:noProof/>
          <w:sz w:val="22"/>
          <w:szCs w:val="22"/>
        </w:rPr>
        <w:t>)</w:t>
      </w:r>
      <w:r w:rsidRPr="0033639F">
        <w:rPr>
          <w:rFonts w:ascii="Arial" w:hAnsi="Arial" w:cs="Arial"/>
          <w:sz w:val="22"/>
          <w:szCs w:val="22"/>
        </w:rPr>
        <w:t xml:space="preserve">.  The authors recommend a careful examination including measurement of body proportions and X-ray of the lower legs and forearm before making the diagnosis of ISS. The scoring system consists of three anthropometric variables (arm span/height ratio, sitting height/height ratio and BMI), and five clinical variables (cubitus valgus, short forearm, bowing of forearm, muscular hypertrophy and dislocation of the ulna at the elbow). Based on the scoring system, authors recommend testing for </w:t>
      </w:r>
      <w:r w:rsidRPr="0033639F">
        <w:rPr>
          <w:rFonts w:ascii="Arial" w:hAnsi="Arial" w:cs="Arial"/>
          <w:i/>
          <w:iCs/>
          <w:sz w:val="22"/>
          <w:szCs w:val="22"/>
        </w:rPr>
        <w:t>SHOX</w:t>
      </w:r>
      <w:r w:rsidRPr="0033639F">
        <w:rPr>
          <w:rFonts w:ascii="Arial" w:hAnsi="Arial" w:cs="Arial"/>
          <w:sz w:val="22"/>
          <w:szCs w:val="22"/>
        </w:rPr>
        <w:t xml:space="preserve"> deficiency for the individuals with a score greater than four or seven out of a total score of 24 (Table 7). </w:t>
      </w:r>
    </w:p>
    <w:p w14:paraId="1FD15052" w14:textId="77777777" w:rsidR="00E35A05" w:rsidRPr="0033639F" w:rsidRDefault="00E35A05" w:rsidP="0033639F">
      <w:pPr>
        <w:spacing w:line="276" w:lineRule="auto"/>
        <w:rPr>
          <w:rFonts w:ascii="Arial" w:hAnsi="Arial" w:cs="Arial"/>
          <w:sz w:val="22"/>
          <w:szCs w:val="22"/>
        </w:rPr>
      </w:pPr>
    </w:p>
    <w:p w14:paraId="64BBFCD9" w14:textId="6C978540" w:rsidR="00803B01" w:rsidRPr="0033639F" w:rsidRDefault="00803B01" w:rsidP="0033639F">
      <w:pPr>
        <w:spacing w:line="276" w:lineRule="auto"/>
        <w:rPr>
          <w:rFonts w:ascii="Arial" w:hAnsi="Arial" w:cs="Arial"/>
          <w:b/>
          <w:sz w:val="22"/>
          <w:szCs w:val="22"/>
        </w:rPr>
      </w:pPr>
      <w:r w:rsidRPr="0033639F">
        <w:rPr>
          <w:rFonts w:ascii="Arial" w:hAnsi="Arial" w:cs="Arial"/>
          <w:sz w:val="22"/>
          <w:szCs w:val="22"/>
        </w:rPr>
        <w:t xml:space="preserve">The recent data show that GH treatment is effective in improving linear growth of patients with </w:t>
      </w:r>
      <w:r w:rsidRPr="0033639F">
        <w:rPr>
          <w:rFonts w:ascii="Arial" w:hAnsi="Arial" w:cs="Arial"/>
          <w:i/>
          <w:iCs/>
          <w:sz w:val="22"/>
          <w:szCs w:val="22"/>
        </w:rPr>
        <w:t>SHOX</w:t>
      </w:r>
      <w:r w:rsidRPr="0033639F">
        <w:rPr>
          <w:rFonts w:ascii="Arial" w:hAnsi="Arial" w:cs="Arial"/>
          <w:sz w:val="22"/>
          <w:szCs w:val="22"/>
        </w:rPr>
        <w:t xml:space="preserve"> mutations</w:t>
      </w:r>
      <w:r w:rsidRPr="0033639F">
        <w:rPr>
          <w:rFonts w:ascii="Arial" w:hAnsi="Arial" w:cs="Arial"/>
          <w:noProof/>
          <w:sz w:val="22"/>
          <w:szCs w:val="22"/>
        </w:rPr>
        <w:t xml:space="preserve"> </w:t>
      </w:r>
      <w:r w:rsidR="00F351F3" w:rsidRPr="0033639F">
        <w:rPr>
          <w:rFonts w:ascii="Arial" w:hAnsi="Arial" w:cs="Arial"/>
          <w:noProof/>
          <w:sz w:val="22"/>
          <w:szCs w:val="22"/>
        </w:rPr>
        <w:t>(</w:t>
      </w:r>
      <w:r w:rsidR="00BF3C06" w:rsidRPr="0033639F">
        <w:rPr>
          <w:rFonts w:ascii="Arial" w:hAnsi="Arial" w:cs="Arial"/>
          <w:noProof/>
          <w:sz w:val="22"/>
          <w:szCs w:val="22"/>
        </w:rPr>
        <w:t>176</w:t>
      </w:r>
      <w:r w:rsidR="00F351F3" w:rsidRPr="0033639F">
        <w:rPr>
          <w:rFonts w:ascii="Arial" w:hAnsi="Arial" w:cs="Arial"/>
          <w:noProof/>
          <w:sz w:val="22"/>
          <w:szCs w:val="22"/>
        </w:rPr>
        <w:t>)</w:t>
      </w:r>
      <w:r w:rsidRPr="0033639F">
        <w:rPr>
          <w:rFonts w:ascii="Arial" w:hAnsi="Arial" w:cs="Arial"/>
          <w:bCs/>
          <w:sz w:val="22"/>
          <w:szCs w:val="22"/>
        </w:rPr>
        <w:t>.</w:t>
      </w:r>
      <w:r w:rsidRPr="0033639F">
        <w:rPr>
          <w:rFonts w:ascii="Arial" w:hAnsi="Arial" w:cs="Arial"/>
          <w:b/>
          <w:sz w:val="22"/>
          <w:szCs w:val="22"/>
        </w:rPr>
        <w:t xml:space="preserve"> </w:t>
      </w:r>
    </w:p>
    <w:p w14:paraId="1ADFF670" w14:textId="77777777" w:rsidR="00803B01" w:rsidRPr="0033639F" w:rsidRDefault="00803B01" w:rsidP="0033639F">
      <w:pPr>
        <w:spacing w:line="276" w:lineRule="auto"/>
        <w:rPr>
          <w:rFonts w:ascii="Arial" w:hAnsi="Arial" w:cs="Arial"/>
          <w:b/>
          <w:sz w:val="22"/>
          <w:szCs w:val="22"/>
        </w:rPr>
      </w:pPr>
    </w:p>
    <w:tbl>
      <w:tblPr>
        <w:tblStyle w:val="TableGrid"/>
        <w:tblW w:w="0" w:type="auto"/>
        <w:tblLook w:val="0000" w:firstRow="0" w:lastRow="0" w:firstColumn="0" w:lastColumn="0" w:noHBand="0" w:noVBand="0"/>
      </w:tblPr>
      <w:tblGrid>
        <w:gridCol w:w="3824"/>
        <w:gridCol w:w="1808"/>
        <w:gridCol w:w="2913"/>
      </w:tblGrid>
      <w:tr w:rsidR="00803B01" w:rsidRPr="0033639F" w14:paraId="4D7460CB" w14:textId="77777777" w:rsidTr="00E35A05">
        <w:tc>
          <w:tcPr>
            <w:tcW w:w="8545" w:type="dxa"/>
            <w:gridSpan w:val="3"/>
            <w:shd w:val="clear" w:color="auto" w:fill="FFFF00"/>
          </w:tcPr>
          <w:p w14:paraId="5367BAC1" w14:textId="053D9A31" w:rsidR="00803B01" w:rsidRPr="00E35A05" w:rsidRDefault="00803B01" w:rsidP="0033639F">
            <w:pPr>
              <w:spacing w:line="276" w:lineRule="auto"/>
              <w:rPr>
                <w:rFonts w:ascii="Arial" w:hAnsi="Arial" w:cs="Arial"/>
                <w:b/>
                <w:bCs/>
                <w:sz w:val="22"/>
                <w:szCs w:val="22"/>
              </w:rPr>
            </w:pPr>
            <w:r w:rsidRPr="00E35A05">
              <w:rPr>
                <w:rFonts w:ascii="Arial" w:hAnsi="Arial" w:cs="Arial"/>
                <w:b/>
                <w:bCs/>
                <w:sz w:val="22"/>
                <w:szCs w:val="22"/>
              </w:rPr>
              <w:t>Table 7.  Scoring system for identifying patients that qualify for short-stature homeobox containing gene (</w:t>
            </w:r>
            <w:r w:rsidRPr="00E35A05">
              <w:rPr>
                <w:rFonts w:ascii="Arial" w:hAnsi="Arial" w:cs="Arial"/>
                <w:b/>
                <w:bCs/>
                <w:i/>
                <w:iCs/>
                <w:sz w:val="22"/>
                <w:szCs w:val="22"/>
              </w:rPr>
              <w:t>SHOX</w:t>
            </w:r>
            <w:r w:rsidRPr="00E35A05">
              <w:rPr>
                <w:rFonts w:ascii="Arial" w:hAnsi="Arial" w:cs="Arial"/>
                <w:b/>
                <w:bCs/>
                <w:sz w:val="22"/>
                <w:szCs w:val="22"/>
              </w:rPr>
              <w:t>) testing based on clinical criteria. Reprinted with permission</w:t>
            </w:r>
            <w:r w:rsidRPr="00E35A05">
              <w:rPr>
                <w:rFonts w:ascii="Arial" w:hAnsi="Arial" w:cs="Arial"/>
                <w:b/>
                <w:bCs/>
                <w:noProof/>
                <w:sz w:val="22"/>
                <w:szCs w:val="22"/>
              </w:rPr>
              <w:t xml:space="preserve"> </w:t>
            </w:r>
            <w:r w:rsidR="00F351F3" w:rsidRPr="00E35A05">
              <w:rPr>
                <w:rFonts w:ascii="Arial" w:hAnsi="Arial" w:cs="Arial"/>
                <w:b/>
                <w:bCs/>
                <w:noProof/>
                <w:sz w:val="22"/>
                <w:szCs w:val="22"/>
              </w:rPr>
              <w:t>(</w:t>
            </w:r>
            <w:r w:rsidR="00BF3C06" w:rsidRPr="00E35A05">
              <w:rPr>
                <w:rFonts w:ascii="Arial" w:hAnsi="Arial" w:cs="Arial"/>
                <w:b/>
                <w:bCs/>
                <w:noProof/>
                <w:sz w:val="22"/>
                <w:szCs w:val="22"/>
              </w:rPr>
              <w:t>176</w:t>
            </w:r>
            <w:r w:rsidR="00F351F3" w:rsidRPr="00E35A05">
              <w:rPr>
                <w:rFonts w:ascii="Arial" w:hAnsi="Arial" w:cs="Arial"/>
                <w:b/>
                <w:bCs/>
                <w:noProof/>
                <w:sz w:val="22"/>
                <w:szCs w:val="22"/>
              </w:rPr>
              <w:t>)</w:t>
            </w:r>
            <w:r w:rsidRPr="00E35A05">
              <w:rPr>
                <w:rFonts w:ascii="Arial" w:hAnsi="Arial" w:cs="Arial"/>
                <w:b/>
                <w:bCs/>
                <w:color w:val="7030A0"/>
                <w:sz w:val="22"/>
                <w:szCs w:val="22"/>
              </w:rPr>
              <w:t>.</w:t>
            </w:r>
          </w:p>
        </w:tc>
      </w:tr>
      <w:tr w:rsidR="00803B01" w:rsidRPr="0033639F" w14:paraId="1DA368DC" w14:textId="77777777" w:rsidTr="00E35A05">
        <w:trPr>
          <w:trHeight w:hRule="exact" w:val="288"/>
        </w:trPr>
        <w:tc>
          <w:tcPr>
            <w:tcW w:w="0" w:type="auto"/>
          </w:tcPr>
          <w:p w14:paraId="04B22E0E" w14:textId="77777777" w:rsidR="00803B01" w:rsidRPr="00E35A05" w:rsidRDefault="00803B01" w:rsidP="0033639F">
            <w:pPr>
              <w:tabs>
                <w:tab w:val="left" w:pos="1440"/>
              </w:tabs>
              <w:spacing w:line="276" w:lineRule="auto"/>
              <w:rPr>
                <w:rFonts w:ascii="Arial" w:hAnsi="Arial" w:cs="Arial"/>
                <w:b/>
                <w:bCs/>
                <w:sz w:val="22"/>
                <w:szCs w:val="22"/>
              </w:rPr>
            </w:pPr>
            <w:hyperlink r:id="rId35" w:history="1">
              <w:r w:rsidRPr="00E35A05">
                <w:rPr>
                  <w:rFonts w:ascii="Arial" w:hAnsi="Arial" w:cs="Arial"/>
                  <w:b/>
                  <w:bCs/>
                  <w:sz w:val="22"/>
                  <w:szCs w:val="22"/>
                </w:rPr>
                <w:t>Score item</w:t>
              </w:r>
              <w:r w:rsidRPr="00E35A05">
                <w:rPr>
                  <w:rFonts w:ascii="Arial" w:hAnsi="Arial" w:cs="Arial"/>
                  <w:b/>
                  <w:bCs/>
                  <w:sz w:val="22"/>
                  <w:szCs w:val="22"/>
                </w:rPr>
                <w:tab/>
                <w:t xml:space="preserve">   </w:t>
              </w:r>
            </w:hyperlink>
          </w:p>
        </w:tc>
        <w:tc>
          <w:tcPr>
            <w:tcW w:w="1808" w:type="dxa"/>
          </w:tcPr>
          <w:p w14:paraId="429D8E8D" w14:textId="77777777" w:rsidR="00803B01" w:rsidRPr="00E35A05" w:rsidRDefault="00803B01" w:rsidP="0033639F">
            <w:pPr>
              <w:spacing w:line="276" w:lineRule="auto"/>
              <w:rPr>
                <w:rFonts w:ascii="Arial" w:hAnsi="Arial" w:cs="Arial"/>
                <w:b/>
                <w:bCs/>
                <w:sz w:val="22"/>
                <w:szCs w:val="22"/>
              </w:rPr>
            </w:pPr>
            <w:hyperlink r:id="rId36" w:history="1">
              <w:r w:rsidRPr="00E35A05">
                <w:rPr>
                  <w:rFonts w:ascii="Arial" w:hAnsi="Arial" w:cs="Arial"/>
                  <w:b/>
                  <w:bCs/>
                  <w:sz w:val="22"/>
                  <w:szCs w:val="22"/>
                </w:rPr>
                <w:t>Criterion</w:t>
              </w:r>
            </w:hyperlink>
          </w:p>
        </w:tc>
        <w:tc>
          <w:tcPr>
            <w:tcW w:w="2913" w:type="dxa"/>
          </w:tcPr>
          <w:p w14:paraId="31728B4B" w14:textId="77777777" w:rsidR="00803B01" w:rsidRPr="0033639F" w:rsidRDefault="00803B01" w:rsidP="0033639F">
            <w:pPr>
              <w:spacing w:line="276" w:lineRule="auto"/>
              <w:rPr>
                <w:rFonts w:ascii="Arial" w:hAnsi="Arial" w:cs="Arial"/>
                <w:b/>
                <w:bCs/>
                <w:sz w:val="22"/>
                <w:szCs w:val="22"/>
              </w:rPr>
            </w:pPr>
            <w:hyperlink r:id="rId37" w:history="1">
              <w:r w:rsidRPr="0033639F">
                <w:rPr>
                  <w:rFonts w:ascii="Arial" w:hAnsi="Arial" w:cs="Arial"/>
                  <w:b/>
                  <w:bCs/>
                  <w:sz w:val="22"/>
                  <w:szCs w:val="22"/>
                </w:rPr>
                <w:t>Score points</w:t>
              </w:r>
            </w:hyperlink>
          </w:p>
          <w:p w14:paraId="12568E72" w14:textId="77777777" w:rsidR="00803B01" w:rsidRPr="0033639F" w:rsidRDefault="00803B01" w:rsidP="0033639F">
            <w:pPr>
              <w:spacing w:line="276" w:lineRule="auto"/>
              <w:rPr>
                <w:rFonts w:ascii="Arial" w:hAnsi="Arial" w:cs="Arial"/>
                <w:sz w:val="22"/>
                <w:szCs w:val="22"/>
              </w:rPr>
            </w:pPr>
            <w:hyperlink r:id="rId38" w:history="1"/>
          </w:p>
        </w:tc>
      </w:tr>
      <w:tr w:rsidR="00803B01" w:rsidRPr="0033639F" w14:paraId="2DF266EB" w14:textId="77777777" w:rsidTr="00E35A05">
        <w:tc>
          <w:tcPr>
            <w:tcW w:w="0" w:type="auto"/>
          </w:tcPr>
          <w:p w14:paraId="20FA714D" w14:textId="77777777" w:rsidR="00803B01" w:rsidRPr="0033639F" w:rsidRDefault="00803B01" w:rsidP="0033639F">
            <w:pPr>
              <w:spacing w:line="276" w:lineRule="auto"/>
              <w:rPr>
                <w:rFonts w:ascii="Arial" w:hAnsi="Arial" w:cs="Arial"/>
                <w:sz w:val="22"/>
                <w:szCs w:val="22"/>
              </w:rPr>
            </w:pPr>
            <w:hyperlink r:id="rId39" w:history="1">
              <w:r w:rsidRPr="0033639F">
                <w:rPr>
                  <w:rFonts w:ascii="Arial" w:hAnsi="Arial" w:cs="Arial"/>
                  <w:sz w:val="22"/>
                  <w:szCs w:val="22"/>
                </w:rPr>
                <w:t>Arm span/height ratio</w:t>
              </w:r>
            </w:hyperlink>
          </w:p>
        </w:tc>
        <w:tc>
          <w:tcPr>
            <w:tcW w:w="1808" w:type="dxa"/>
          </w:tcPr>
          <w:p w14:paraId="42D96559" w14:textId="77777777" w:rsidR="00803B01" w:rsidRPr="0033639F" w:rsidRDefault="00803B01" w:rsidP="0033639F">
            <w:pPr>
              <w:spacing w:line="276" w:lineRule="auto"/>
              <w:rPr>
                <w:rFonts w:ascii="Arial" w:hAnsi="Arial" w:cs="Arial"/>
                <w:sz w:val="22"/>
                <w:szCs w:val="22"/>
              </w:rPr>
            </w:pPr>
            <w:hyperlink r:id="rId40" w:history="1">
              <w:r w:rsidRPr="0033639F">
                <w:rPr>
                  <w:rFonts w:ascii="Arial" w:hAnsi="Arial" w:cs="Arial"/>
                  <w:sz w:val="22"/>
                  <w:szCs w:val="22"/>
                </w:rPr>
                <w:t>&lt;96.5%</w:t>
              </w:r>
            </w:hyperlink>
          </w:p>
        </w:tc>
        <w:tc>
          <w:tcPr>
            <w:tcW w:w="2913" w:type="dxa"/>
          </w:tcPr>
          <w:p w14:paraId="2911E106" w14:textId="77777777" w:rsidR="00803B01" w:rsidRPr="0033639F" w:rsidRDefault="00803B01" w:rsidP="0033639F">
            <w:pPr>
              <w:spacing w:line="276" w:lineRule="auto"/>
              <w:rPr>
                <w:rFonts w:ascii="Arial" w:hAnsi="Arial" w:cs="Arial"/>
                <w:sz w:val="22"/>
                <w:szCs w:val="22"/>
              </w:rPr>
            </w:pPr>
            <w:hyperlink r:id="rId41" w:history="1">
              <w:r w:rsidRPr="0033639F">
                <w:rPr>
                  <w:rFonts w:ascii="Arial" w:hAnsi="Arial" w:cs="Arial"/>
                  <w:sz w:val="22"/>
                  <w:szCs w:val="22"/>
                </w:rPr>
                <w:t>2</w:t>
              </w:r>
            </w:hyperlink>
          </w:p>
        </w:tc>
      </w:tr>
      <w:tr w:rsidR="00803B01" w:rsidRPr="0033639F" w14:paraId="2B6134ED" w14:textId="77777777" w:rsidTr="00E35A05">
        <w:tc>
          <w:tcPr>
            <w:tcW w:w="0" w:type="auto"/>
          </w:tcPr>
          <w:p w14:paraId="476300A4" w14:textId="77777777" w:rsidR="00803B01" w:rsidRPr="0033639F" w:rsidRDefault="00803B01" w:rsidP="0033639F">
            <w:pPr>
              <w:spacing w:line="276" w:lineRule="auto"/>
              <w:rPr>
                <w:rFonts w:ascii="Arial" w:hAnsi="Arial" w:cs="Arial"/>
                <w:sz w:val="22"/>
                <w:szCs w:val="22"/>
              </w:rPr>
            </w:pPr>
            <w:hyperlink r:id="rId42" w:history="1">
              <w:r w:rsidRPr="0033639F">
                <w:rPr>
                  <w:rFonts w:ascii="Arial" w:hAnsi="Arial" w:cs="Arial"/>
                  <w:sz w:val="22"/>
                  <w:szCs w:val="22"/>
                </w:rPr>
                <w:t>Sitting height/height ratio</w:t>
              </w:r>
            </w:hyperlink>
          </w:p>
        </w:tc>
        <w:tc>
          <w:tcPr>
            <w:tcW w:w="1808" w:type="dxa"/>
          </w:tcPr>
          <w:p w14:paraId="3C1C610E" w14:textId="77777777" w:rsidR="00803B01" w:rsidRPr="0033639F" w:rsidRDefault="00803B01" w:rsidP="0033639F">
            <w:pPr>
              <w:spacing w:line="276" w:lineRule="auto"/>
              <w:rPr>
                <w:rFonts w:ascii="Arial" w:hAnsi="Arial" w:cs="Arial"/>
                <w:sz w:val="22"/>
                <w:szCs w:val="22"/>
              </w:rPr>
            </w:pPr>
            <w:hyperlink r:id="rId43" w:history="1">
              <w:r w:rsidRPr="0033639F">
                <w:rPr>
                  <w:rFonts w:ascii="Arial" w:hAnsi="Arial" w:cs="Arial"/>
                  <w:sz w:val="22"/>
                  <w:szCs w:val="22"/>
                </w:rPr>
                <w:t>&gt;55.5%</w:t>
              </w:r>
            </w:hyperlink>
          </w:p>
        </w:tc>
        <w:tc>
          <w:tcPr>
            <w:tcW w:w="2913" w:type="dxa"/>
          </w:tcPr>
          <w:p w14:paraId="27C428E2" w14:textId="77777777" w:rsidR="00803B01" w:rsidRPr="0033639F" w:rsidRDefault="00803B01" w:rsidP="0033639F">
            <w:pPr>
              <w:spacing w:line="276" w:lineRule="auto"/>
              <w:rPr>
                <w:rFonts w:ascii="Arial" w:hAnsi="Arial" w:cs="Arial"/>
                <w:sz w:val="22"/>
                <w:szCs w:val="22"/>
              </w:rPr>
            </w:pPr>
            <w:hyperlink r:id="rId44" w:history="1">
              <w:r w:rsidRPr="0033639F">
                <w:rPr>
                  <w:rFonts w:ascii="Arial" w:hAnsi="Arial" w:cs="Arial"/>
                  <w:sz w:val="22"/>
                  <w:szCs w:val="22"/>
                </w:rPr>
                <w:t>2</w:t>
              </w:r>
            </w:hyperlink>
          </w:p>
        </w:tc>
      </w:tr>
      <w:tr w:rsidR="00803B01" w:rsidRPr="0033639F" w14:paraId="6BB7CE35" w14:textId="77777777" w:rsidTr="00E35A05">
        <w:tc>
          <w:tcPr>
            <w:tcW w:w="0" w:type="auto"/>
          </w:tcPr>
          <w:p w14:paraId="4B38453C" w14:textId="77777777" w:rsidR="00803B01" w:rsidRPr="0033639F" w:rsidRDefault="00803B01" w:rsidP="0033639F">
            <w:pPr>
              <w:spacing w:line="276" w:lineRule="auto"/>
              <w:rPr>
                <w:rFonts w:ascii="Arial" w:hAnsi="Arial" w:cs="Arial"/>
                <w:sz w:val="22"/>
                <w:szCs w:val="22"/>
              </w:rPr>
            </w:pPr>
            <w:hyperlink r:id="rId45" w:history="1">
              <w:r w:rsidRPr="0033639F">
                <w:rPr>
                  <w:rFonts w:ascii="Arial" w:hAnsi="Arial" w:cs="Arial"/>
                  <w:sz w:val="22"/>
                  <w:szCs w:val="22"/>
                </w:rPr>
                <w:t>Body–mass index</w:t>
              </w:r>
            </w:hyperlink>
          </w:p>
        </w:tc>
        <w:tc>
          <w:tcPr>
            <w:tcW w:w="1808" w:type="dxa"/>
          </w:tcPr>
          <w:p w14:paraId="48C4E02B" w14:textId="77777777" w:rsidR="00803B01" w:rsidRPr="0033639F" w:rsidRDefault="00803B01" w:rsidP="0033639F">
            <w:pPr>
              <w:spacing w:line="276" w:lineRule="auto"/>
              <w:rPr>
                <w:rFonts w:ascii="Arial" w:hAnsi="Arial" w:cs="Arial"/>
                <w:sz w:val="22"/>
                <w:szCs w:val="22"/>
              </w:rPr>
            </w:pPr>
            <w:hyperlink r:id="rId46" w:history="1">
              <w:r w:rsidRPr="0033639F">
                <w:rPr>
                  <w:rFonts w:ascii="Arial" w:hAnsi="Arial" w:cs="Arial"/>
                  <w:sz w:val="22"/>
                  <w:szCs w:val="22"/>
                </w:rPr>
                <w:t>&gt;50</w:t>
              </w:r>
              <w:r w:rsidRPr="0033639F">
                <w:rPr>
                  <w:rFonts w:ascii="Arial" w:hAnsi="Arial" w:cs="Arial"/>
                  <w:sz w:val="22"/>
                  <w:szCs w:val="22"/>
                  <w:vertAlign w:val="superscript"/>
                </w:rPr>
                <w:t>th</w:t>
              </w:r>
              <w:r w:rsidRPr="0033639F">
                <w:rPr>
                  <w:rFonts w:ascii="Arial" w:hAnsi="Arial" w:cs="Arial"/>
                  <w:sz w:val="22"/>
                  <w:szCs w:val="22"/>
                </w:rPr>
                <w:t xml:space="preserve"> percentile</w:t>
              </w:r>
            </w:hyperlink>
          </w:p>
        </w:tc>
        <w:tc>
          <w:tcPr>
            <w:tcW w:w="2913" w:type="dxa"/>
          </w:tcPr>
          <w:p w14:paraId="43D8B580" w14:textId="77777777" w:rsidR="00803B01" w:rsidRPr="0033639F" w:rsidRDefault="00803B01" w:rsidP="0033639F">
            <w:pPr>
              <w:spacing w:line="276" w:lineRule="auto"/>
              <w:rPr>
                <w:rFonts w:ascii="Arial" w:hAnsi="Arial" w:cs="Arial"/>
                <w:sz w:val="22"/>
                <w:szCs w:val="22"/>
              </w:rPr>
            </w:pPr>
            <w:hyperlink r:id="rId47" w:history="1">
              <w:r w:rsidRPr="0033639F">
                <w:rPr>
                  <w:rFonts w:ascii="Arial" w:hAnsi="Arial" w:cs="Arial"/>
                  <w:sz w:val="22"/>
                  <w:szCs w:val="22"/>
                </w:rPr>
                <w:t>4</w:t>
              </w:r>
            </w:hyperlink>
          </w:p>
        </w:tc>
      </w:tr>
      <w:tr w:rsidR="00803B01" w:rsidRPr="0033639F" w14:paraId="1EDEC89A" w14:textId="77777777" w:rsidTr="00E35A05">
        <w:tc>
          <w:tcPr>
            <w:tcW w:w="0" w:type="auto"/>
          </w:tcPr>
          <w:p w14:paraId="056EB7E0" w14:textId="77777777" w:rsidR="00803B01" w:rsidRPr="0033639F" w:rsidRDefault="00803B01" w:rsidP="0033639F">
            <w:pPr>
              <w:spacing w:line="276" w:lineRule="auto"/>
              <w:rPr>
                <w:rFonts w:ascii="Arial" w:hAnsi="Arial" w:cs="Arial"/>
                <w:sz w:val="22"/>
                <w:szCs w:val="22"/>
              </w:rPr>
            </w:pPr>
            <w:hyperlink r:id="rId48" w:history="1">
              <w:r w:rsidRPr="0033639F">
                <w:rPr>
                  <w:rFonts w:ascii="Arial" w:hAnsi="Arial" w:cs="Arial"/>
                  <w:sz w:val="22"/>
                  <w:szCs w:val="22"/>
                </w:rPr>
                <w:t>Cubitus valgus</w:t>
              </w:r>
            </w:hyperlink>
          </w:p>
        </w:tc>
        <w:tc>
          <w:tcPr>
            <w:tcW w:w="1808" w:type="dxa"/>
          </w:tcPr>
          <w:p w14:paraId="0390C028" w14:textId="77777777" w:rsidR="00803B01" w:rsidRPr="0033639F" w:rsidRDefault="00803B01" w:rsidP="0033639F">
            <w:pPr>
              <w:spacing w:line="276" w:lineRule="auto"/>
              <w:rPr>
                <w:rFonts w:ascii="Arial" w:hAnsi="Arial" w:cs="Arial"/>
                <w:sz w:val="22"/>
                <w:szCs w:val="22"/>
              </w:rPr>
            </w:pPr>
            <w:hyperlink r:id="rId49" w:history="1">
              <w:r w:rsidRPr="0033639F">
                <w:rPr>
                  <w:rFonts w:ascii="Arial" w:hAnsi="Arial" w:cs="Arial"/>
                  <w:sz w:val="22"/>
                  <w:szCs w:val="22"/>
                </w:rPr>
                <w:t>Yes</w:t>
              </w:r>
            </w:hyperlink>
          </w:p>
        </w:tc>
        <w:tc>
          <w:tcPr>
            <w:tcW w:w="2913" w:type="dxa"/>
          </w:tcPr>
          <w:p w14:paraId="63285F59" w14:textId="77777777" w:rsidR="00803B01" w:rsidRPr="0033639F" w:rsidRDefault="00803B01" w:rsidP="0033639F">
            <w:pPr>
              <w:spacing w:line="276" w:lineRule="auto"/>
              <w:rPr>
                <w:rFonts w:ascii="Arial" w:hAnsi="Arial" w:cs="Arial"/>
                <w:sz w:val="22"/>
                <w:szCs w:val="22"/>
              </w:rPr>
            </w:pPr>
            <w:hyperlink r:id="rId50" w:history="1">
              <w:r w:rsidRPr="0033639F">
                <w:rPr>
                  <w:rFonts w:ascii="Arial" w:hAnsi="Arial" w:cs="Arial"/>
                  <w:sz w:val="22"/>
                  <w:szCs w:val="22"/>
                </w:rPr>
                <w:t>2</w:t>
              </w:r>
            </w:hyperlink>
          </w:p>
        </w:tc>
      </w:tr>
      <w:tr w:rsidR="00803B01" w:rsidRPr="0033639F" w14:paraId="716BE526" w14:textId="77777777" w:rsidTr="00E35A05">
        <w:tc>
          <w:tcPr>
            <w:tcW w:w="0" w:type="auto"/>
          </w:tcPr>
          <w:p w14:paraId="63C28BAB" w14:textId="77777777" w:rsidR="00803B01" w:rsidRPr="0033639F" w:rsidRDefault="00803B01" w:rsidP="0033639F">
            <w:pPr>
              <w:spacing w:line="276" w:lineRule="auto"/>
              <w:rPr>
                <w:rFonts w:ascii="Arial" w:hAnsi="Arial" w:cs="Arial"/>
                <w:sz w:val="22"/>
                <w:szCs w:val="22"/>
              </w:rPr>
            </w:pPr>
            <w:hyperlink r:id="rId51" w:history="1">
              <w:r w:rsidRPr="0033639F">
                <w:rPr>
                  <w:rFonts w:ascii="Arial" w:hAnsi="Arial" w:cs="Arial"/>
                  <w:sz w:val="22"/>
                  <w:szCs w:val="22"/>
                </w:rPr>
                <w:t>Short forearm</w:t>
              </w:r>
            </w:hyperlink>
          </w:p>
        </w:tc>
        <w:tc>
          <w:tcPr>
            <w:tcW w:w="1808" w:type="dxa"/>
          </w:tcPr>
          <w:p w14:paraId="39750327" w14:textId="77777777" w:rsidR="00803B01" w:rsidRPr="0033639F" w:rsidRDefault="00803B01" w:rsidP="0033639F">
            <w:pPr>
              <w:spacing w:line="276" w:lineRule="auto"/>
              <w:rPr>
                <w:rFonts w:ascii="Arial" w:hAnsi="Arial" w:cs="Arial"/>
                <w:sz w:val="22"/>
                <w:szCs w:val="22"/>
              </w:rPr>
            </w:pPr>
            <w:hyperlink r:id="rId52" w:history="1">
              <w:r w:rsidRPr="0033639F">
                <w:rPr>
                  <w:rFonts w:ascii="Arial" w:hAnsi="Arial" w:cs="Arial"/>
                  <w:sz w:val="22"/>
                  <w:szCs w:val="22"/>
                </w:rPr>
                <w:t>Yes</w:t>
              </w:r>
            </w:hyperlink>
          </w:p>
        </w:tc>
        <w:tc>
          <w:tcPr>
            <w:tcW w:w="2913" w:type="dxa"/>
          </w:tcPr>
          <w:p w14:paraId="5906B573" w14:textId="77777777" w:rsidR="00803B01" w:rsidRPr="0033639F" w:rsidRDefault="00803B01" w:rsidP="0033639F">
            <w:pPr>
              <w:spacing w:line="276" w:lineRule="auto"/>
              <w:rPr>
                <w:rFonts w:ascii="Arial" w:hAnsi="Arial" w:cs="Arial"/>
                <w:sz w:val="22"/>
                <w:szCs w:val="22"/>
              </w:rPr>
            </w:pPr>
            <w:hyperlink r:id="rId53" w:history="1">
              <w:r w:rsidRPr="0033639F">
                <w:rPr>
                  <w:rFonts w:ascii="Arial" w:hAnsi="Arial" w:cs="Arial"/>
                  <w:sz w:val="22"/>
                  <w:szCs w:val="22"/>
                </w:rPr>
                <w:t>3</w:t>
              </w:r>
            </w:hyperlink>
          </w:p>
        </w:tc>
      </w:tr>
      <w:tr w:rsidR="00803B01" w:rsidRPr="0033639F" w14:paraId="155B4D47" w14:textId="77777777" w:rsidTr="00E35A05">
        <w:tc>
          <w:tcPr>
            <w:tcW w:w="0" w:type="auto"/>
          </w:tcPr>
          <w:p w14:paraId="5342E3FB" w14:textId="77777777" w:rsidR="00803B01" w:rsidRPr="0033639F" w:rsidRDefault="00803B01" w:rsidP="0033639F">
            <w:pPr>
              <w:spacing w:line="276" w:lineRule="auto"/>
              <w:rPr>
                <w:rFonts w:ascii="Arial" w:hAnsi="Arial" w:cs="Arial"/>
                <w:sz w:val="22"/>
                <w:szCs w:val="22"/>
              </w:rPr>
            </w:pPr>
            <w:hyperlink r:id="rId54" w:history="1">
              <w:r w:rsidRPr="0033639F">
                <w:rPr>
                  <w:rFonts w:ascii="Arial" w:hAnsi="Arial" w:cs="Arial"/>
                  <w:sz w:val="22"/>
                  <w:szCs w:val="22"/>
                </w:rPr>
                <w:t>Bowing of forearm</w:t>
              </w:r>
            </w:hyperlink>
          </w:p>
        </w:tc>
        <w:tc>
          <w:tcPr>
            <w:tcW w:w="1808" w:type="dxa"/>
          </w:tcPr>
          <w:p w14:paraId="4830F3B8" w14:textId="77777777" w:rsidR="00803B01" w:rsidRPr="0033639F" w:rsidRDefault="00803B01" w:rsidP="0033639F">
            <w:pPr>
              <w:spacing w:line="276" w:lineRule="auto"/>
              <w:rPr>
                <w:rFonts w:ascii="Arial" w:hAnsi="Arial" w:cs="Arial"/>
                <w:sz w:val="22"/>
                <w:szCs w:val="22"/>
              </w:rPr>
            </w:pPr>
            <w:hyperlink r:id="rId55" w:history="1">
              <w:r w:rsidRPr="0033639F">
                <w:rPr>
                  <w:rFonts w:ascii="Arial" w:hAnsi="Arial" w:cs="Arial"/>
                  <w:sz w:val="22"/>
                  <w:szCs w:val="22"/>
                </w:rPr>
                <w:t>Yes</w:t>
              </w:r>
            </w:hyperlink>
          </w:p>
        </w:tc>
        <w:tc>
          <w:tcPr>
            <w:tcW w:w="2913" w:type="dxa"/>
          </w:tcPr>
          <w:p w14:paraId="1902A407" w14:textId="77777777" w:rsidR="00803B01" w:rsidRPr="0033639F" w:rsidRDefault="00803B01" w:rsidP="0033639F">
            <w:pPr>
              <w:spacing w:line="276" w:lineRule="auto"/>
              <w:rPr>
                <w:rFonts w:ascii="Arial" w:hAnsi="Arial" w:cs="Arial"/>
                <w:sz w:val="22"/>
                <w:szCs w:val="22"/>
              </w:rPr>
            </w:pPr>
            <w:hyperlink r:id="rId56" w:history="1">
              <w:r w:rsidRPr="0033639F">
                <w:rPr>
                  <w:rFonts w:ascii="Arial" w:hAnsi="Arial" w:cs="Arial"/>
                  <w:sz w:val="22"/>
                  <w:szCs w:val="22"/>
                </w:rPr>
                <w:t>3</w:t>
              </w:r>
            </w:hyperlink>
          </w:p>
        </w:tc>
      </w:tr>
      <w:tr w:rsidR="00803B01" w:rsidRPr="0033639F" w14:paraId="75463291" w14:textId="77777777" w:rsidTr="00E35A05">
        <w:tc>
          <w:tcPr>
            <w:tcW w:w="0" w:type="auto"/>
          </w:tcPr>
          <w:p w14:paraId="6AB06120" w14:textId="77777777" w:rsidR="00803B01" w:rsidRPr="0033639F" w:rsidRDefault="00803B01" w:rsidP="0033639F">
            <w:pPr>
              <w:spacing w:line="276" w:lineRule="auto"/>
              <w:rPr>
                <w:rFonts w:ascii="Arial" w:hAnsi="Arial" w:cs="Arial"/>
                <w:sz w:val="22"/>
                <w:szCs w:val="22"/>
              </w:rPr>
            </w:pPr>
            <w:hyperlink r:id="rId57" w:history="1">
              <w:r w:rsidRPr="0033639F">
                <w:rPr>
                  <w:rFonts w:ascii="Arial" w:hAnsi="Arial" w:cs="Arial"/>
                  <w:sz w:val="22"/>
                  <w:szCs w:val="22"/>
                </w:rPr>
                <w:t>Appearance of muscular hypertrophy</w:t>
              </w:r>
            </w:hyperlink>
          </w:p>
        </w:tc>
        <w:tc>
          <w:tcPr>
            <w:tcW w:w="1808" w:type="dxa"/>
          </w:tcPr>
          <w:p w14:paraId="0B8AFBA5" w14:textId="77777777" w:rsidR="00803B01" w:rsidRPr="0033639F" w:rsidRDefault="00803B01" w:rsidP="0033639F">
            <w:pPr>
              <w:spacing w:line="276" w:lineRule="auto"/>
              <w:rPr>
                <w:rFonts w:ascii="Arial" w:hAnsi="Arial" w:cs="Arial"/>
                <w:sz w:val="22"/>
                <w:szCs w:val="22"/>
              </w:rPr>
            </w:pPr>
            <w:hyperlink r:id="rId58" w:history="1">
              <w:r w:rsidRPr="0033639F">
                <w:rPr>
                  <w:rFonts w:ascii="Arial" w:hAnsi="Arial" w:cs="Arial"/>
                  <w:sz w:val="22"/>
                  <w:szCs w:val="22"/>
                </w:rPr>
                <w:t>Yes</w:t>
              </w:r>
            </w:hyperlink>
          </w:p>
        </w:tc>
        <w:tc>
          <w:tcPr>
            <w:tcW w:w="2913" w:type="dxa"/>
          </w:tcPr>
          <w:p w14:paraId="6DE49572" w14:textId="77777777" w:rsidR="00803B01" w:rsidRPr="0033639F" w:rsidRDefault="00803B01" w:rsidP="0033639F">
            <w:pPr>
              <w:spacing w:line="276" w:lineRule="auto"/>
              <w:rPr>
                <w:rFonts w:ascii="Arial" w:hAnsi="Arial" w:cs="Arial"/>
                <w:sz w:val="22"/>
                <w:szCs w:val="22"/>
              </w:rPr>
            </w:pPr>
            <w:hyperlink r:id="rId59" w:history="1">
              <w:r w:rsidRPr="0033639F">
                <w:rPr>
                  <w:rFonts w:ascii="Arial" w:hAnsi="Arial" w:cs="Arial"/>
                  <w:sz w:val="22"/>
                  <w:szCs w:val="22"/>
                </w:rPr>
                <w:t>3</w:t>
              </w:r>
            </w:hyperlink>
          </w:p>
        </w:tc>
      </w:tr>
      <w:tr w:rsidR="00803B01" w:rsidRPr="0033639F" w14:paraId="1D05C3DC" w14:textId="77777777" w:rsidTr="00E35A05">
        <w:tc>
          <w:tcPr>
            <w:tcW w:w="0" w:type="auto"/>
          </w:tcPr>
          <w:p w14:paraId="210EE422" w14:textId="77777777" w:rsidR="00803B01" w:rsidRPr="0033639F" w:rsidRDefault="00803B01" w:rsidP="0033639F">
            <w:pPr>
              <w:spacing w:line="276" w:lineRule="auto"/>
              <w:rPr>
                <w:rFonts w:ascii="Arial" w:hAnsi="Arial" w:cs="Arial"/>
                <w:sz w:val="22"/>
                <w:szCs w:val="22"/>
              </w:rPr>
            </w:pPr>
            <w:hyperlink r:id="rId60" w:history="1">
              <w:r w:rsidRPr="0033639F">
                <w:rPr>
                  <w:rFonts w:ascii="Arial" w:hAnsi="Arial" w:cs="Arial"/>
                  <w:sz w:val="22"/>
                  <w:szCs w:val="22"/>
                </w:rPr>
                <w:t>Dislocation of ulna (at elbow)</w:t>
              </w:r>
            </w:hyperlink>
          </w:p>
        </w:tc>
        <w:tc>
          <w:tcPr>
            <w:tcW w:w="1808" w:type="dxa"/>
          </w:tcPr>
          <w:p w14:paraId="53529EC7" w14:textId="77777777" w:rsidR="00803B01" w:rsidRPr="0033639F" w:rsidRDefault="00803B01" w:rsidP="0033639F">
            <w:pPr>
              <w:spacing w:line="276" w:lineRule="auto"/>
              <w:rPr>
                <w:rFonts w:ascii="Arial" w:hAnsi="Arial" w:cs="Arial"/>
                <w:sz w:val="22"/>
                <w:szCs w:val="22"/>
              </w:rPr>
            </w:pPr>
            <w:hyperlink r:id="rId61" w:history="1">
              <w:r w:rsidRPr="0033639F">
                <w:rPr>
                  <w:rFonts w:ascii="Arial" w:hAnsi="Arial" w:cs="Arial"/>
                  <w:sz w:val="22"/>
                  <w:szCs w:val="22"/>
                </w:rPr>
                <w:t>Yes</w:t>
              </w:r>
            </w:hyperlink>
          </w:p>
        </w:tc>
        <w:tc>
          <w:tcPr>
            <w:tcW w:w="2913" w:type="dxa"/>
          </w:tcPr>
          <w:p w14:paraId="23A21B80" w14:textId="77777777" w:rsidR="00803B01" w:rsidRPr="0033639F" w:rsidRDefault="00803B01" w:rsidP="0033639F">
            <w:pPr>
              <w:spacing w:line="276" w:lineRule="auto"/>
              <w:rPr>
                <w:rFonts w:ascii="Arial" w:hAnsi="Arial" w:cs="Arial"/>
                <w:sz w:val="22"/>
                <w:szCs w:val="22"/>
              </w:rPr>
            </w:pPr>
            <w:hyperlink r:id="rId62" w:history="1">
              <w:r w:rsidRPr="0033639F">
                <w:rPr>
                  <w:rFonts w:ascii="Arial" w:hAnsi="Arial" w:cs="Arial"/>
                  <w:sz w:val="22"/>
                  <w:szCs w:val="22"/>
                </w:rPr>
                <w:t>5</w:t>
              </w:r>
            </w:hyperlink>
          </w:p>
        </w:tc>
      </w:tr>
      <w:tr w:rsidR="00803B01" w:rsidRPr="0033639F" w14:paraId="2EB9F395" w14:textId="77777777" w:rsidTr="00E35A05">
        <w:tc>
          <w:tcPr>
            <w:tcW w:w="5632" w:type="dxa"/>
            <w:gridSpan w:val="2"/>
          </w:tcPr>
          <w:p w14:paraId="013797E8" w14:textId="3CA398C6" w:rsidR="00803B01" w:rsidRPr="0033639F" w:rsidRDefault="00803B01" w:rsidP="0033639F">
            <w:pPr>
              <w:spacing w:line="276" w:lineRule="auto"/>
              <w:rPr>
                <w:rFonts w:ascii="Arial" w:hAnsi="Arial" w:cs="Arial"/>
                <w:sz w:val="22"/>
                <w:szCs w:val="22"/>
              </w:rPr>
            </w:pPr>
            <w:hyperlink r:id="rId63" w:history="1">
              <w:r w:rsidRPr="0033639F">
                <w:rPr>
                  <w:rFonts w:ascii="Arial" w:hAnsi="Arial" w:cs="Arial"/>
                  <w:sz w:val="22"/>
                  <w:szCs w:val="22"/>
                </w:rPr>
                <w:t>Total</w:t>
              </w:r>
            </w:hyperlink>
          </w:p>
        </w:tc>
        <w:tc>
          <w:tcPr>
            <w:tcW w:w="2913" w:type="dxa"/>
          </w:tcPr>
          <w:p w14:paraId="4CCB4F9C" w14:textId="77777777" w:rsidR="00803B01" w:rsidRPr="0033639F" w:rsidRDefault="00803B01" w:rsidP="0033639F">
            <w:pPr>
              <w:spacing w:line="276" w:lineRule="auto"/>
              <w:rPr>
                <w:rFonts w:ascii="Arial" w:hAnsi="Arial" w:cs="Arial"/>
                <w:sz w:val="22"/>
                <w:szCs w:val="22"/>
              </w:rPr>
            </w:pPr>
            <w:hyperlink r:id="rId64" w:history="1">
              <w:r w:rsidRPr="0033639F">
                <w:rPr>
                  <w:rFonts w:ascii="Arial" w:hAnsi="Arial" w:cs="Arial"/>
                  <w:sz w:val="22"/>
                  <w:szCs w:val="22"/>
                </w:rPr>
                <w:t>24</w:t>
              </w:r>
            </w:hyperlink>
          </w:p>
        </w:tc>
      </w:tr>
    </w:tbl>
    <w:p w14:paraId="7D0CFD85" w14:textId="77777777" w:rsidR="00E35A05" w:rsidRDefault="00E35A05" w:rsidP="0033639F">
      <w:pPr>
        <w:spacing w:line="276" w:lineRule="auto"/>
        <w:outlineLvl w:val="1"/>
        <w:rPr>
          <w:rFonts w:ascii="Arial" w:hAnsi="Arial" w:cs="Arial"/>
          <w:sz w:val="22"/>
          <w:szCs w:val="22"/>
        </w:rPr>
      </w:pPr>
    </w:p>
    <w:p w14:paraId="2EC26D40" w14:textId="1234577C" w:rsidR="00803B01" w:rsidRPr="00E35A05" w:rsidRDefault="00803B01" w:rsidP="0033639F">
      <w:pPr>
        <w:spacing w:line="276" w:lineRule="auto"/>
        <w:outlineLvl w:val="1"/>
        <w:rPr>
          <w:rFonts w:ascii="Arial" w:hAnsi="Arial" w:cs="Arial"/>
          <w:b/>
          <w:bCs/>
          <w:color w:val="00B050"/>
          <w:sz w:val="22"/>
          <w:szCs w:val="22"/>
        </w:rPr>
      </w:pPr>
      <w:hyperlink r:id="rId65" w:history="1">
        <w:r w:rsidRPr="00E35A05">
          <w:rPr>
            <w:rFonts w:ascii="Arial" w:hAnsi="Arial" w:cs="Arial"/>
            <w:b/>
            <w:bCs/>
            <w:color w:val="00B050"/>
            <w:sz w:val="22"/>
            <w:szCs w:val="22"/>
          </w:rPr>
          <w:t>Noonan</w:t>
        </w:r>
      </w:hyperlink>
      <w:r w:rsidRPr="00E35A05">
        <w:rPr>
          <w:rFonts w:ascii="Arial" w:hAnsi="Arial" w:cs="Arial"/>
          <w:b/>
          <w:bCs/>
          <w:color w:val="00B050"/>
          <w:sz w:val="22"/>
          <w:szCs w:val="22"/>
        </w:rPr>
        <w:t xml:space="preserve"> Syndrome</w:t>
      </w:r>
    </w:p>
    <w:p w14:paraId="6158A738" w14:textId="77777777" w:rsidR="00E35A05" w:rsidRDefault="00E35A05" w:rsidP="0033639F">
      <w:pPr>
        <w:spacing w:line="276" w:lineRule="auto"/>
        <w:outlineLvl w:val="1"/>
        <w:rPr>
          <w:rFonts w:ascii="Arial" w:hAnsi="Arial" w:cs="Arial"/>
          <w:bCs/>
          <w:sz w:val="22"/>
          <w:szCs w:val="22"/>
        </w:rPr>
      </w:pPr>
    </w:p>
    <w:p w14:paraId="73E60D15" w14:textId="7666D079" w:rsidR="00803B01" w:rsidRDefault="00803B01" w:rsidP="0033639F">
      <w:pPr>
        <w:spacing w:line="276" w:lineRule="auto"/>
        <w:outlineLvl w:val="1"/>
        <w:rPr>
          <w:rFonts w:ascii="Arial" w:hAnsi="Arial" w:cs="Arial"/>
          <w:bCs/>
          <w:sz w:val="22"/>
          <w:szCs w:val="22"/>
        </w:rPr>
      </w:pPr>
      <w:r w:rsidRPr="0033639F">
        <w:rPr>
          <w:rFonts w:ascii="Arial" w:hAnsi="Arial" w:cs="Arial"/>
          <w:bCs/>
          <w:sz w:val="22"/>
          <w:szCs w:val="22"/>
        </w:rPr>
        <w:t>Noonan syndrome (NS) is a relatively common genetic disorder with the incidence of between 1:1000 and 1:4000</w:t>
      </w:r>
      <w:r w:rsidRPr="0033639F">
        <w:rPr>
          <w:rFonts w:ascii="Arial" w:hAnsi="Arial" w:cs="Arial"/>
          <w:bCs/>
          <w:noProof/>
          <w:sz w:val="22"/>
          <w:szCs w:val="22"/>
        </w:rPr>
        <w:t xml:space="preserve"> </w:t>
      </w:r>
      <w:r w:rsidR="004678BA" w:rsidRPr="0033639F">
        <w:rPr>
          <w:rFonts w:ascii="Arial" w:hAnsi="Arial" w:cs="Arial"/>
          <w:bCs/>
          <w:noProof/>
          <w:sz w:val="22"/>
          <w:szCs w:val="22"/>
        </w:rPr>
        <w:t>(</w:t>
      </w:r>
      <w:r w:rsidR="00BF3C06" w:rsidRPr="0033639F">
        <w:rPr>
          <w:rFonts w:ascii="Arial" w:hAnsi="Arial" w:cs="Arial"/>
          <w:bCs/>
          <w:noProof/>
          <w:sz w:val="22"/>
          <w:szCs w:val="22"/>
        </w:rPr>
        <w:t>177</w:t>
      </w:r>
      <w:r w:rsidR="004678BA" w:rsidRPr="0033639F">
        <w:rPr>
          <w:rFonts w:ascii="Arial" w:hAnsi="Arial" w:cs="Arial"/>
          <w:bCs/>
          <w:noProof/>
          <w:sz w:val="22"/>
          <w:szCs w:val="22"/>
        </w:rPr>
        <w:t>)</w:t>
      </w:r>
      <w:r w:rsidRPr="0033639F">
        <w:rPr>
          <w:rFonts w:ascii="Arial" w:hAnsi="Arial" w:cs="Arial"/>
          <w:bCs/>
          <w:sz w:val="22"/>
          <w:szCs w:val="22"/>
        </w:rPr>
        <w:t>. NS is inherited in an autosomal dominant manner, and sporadic cases are not uncommon (50-60%)</w:t>
      </w:r>
      <w:r w:rsidRPr="0033639F">
        <w:rPr>
          <w:rFonts w:ascii="Arial" w:hAnsi="Arial" w:cs="Arial"/>
          <w:bCs/>
          <w:noProof/>
          <w:sz w:val="22"/>
          <w:szCs w:val="22"/>
        </w:rPr>
        <w:t xml:space="preserve"> </w:t>
      </w:r>
      <w:r w:rsidR="004678BA" w:rsidRPr="0033639F">
        <w:rPr>
          <w:rFonts w:ascii="Arial" w:hAnsi="Arial" w:cs="Arial"/>
          <w:bCs/>
          <w:noProof/>
          <w:sz w:val="22"/>
          <w:szCs w:val="22"/>
        </w:rPr>
        <w:t>(</w:t>
      </w:r>
      <w:r w:rsidR="00BF3C06" w:rsidRPr="0033639F">
        <w:rPr>
          <w:rFonts w:ascii="Arial" w:hAnsi="Arial" w:cs="Arial"/>
          <w:bCs/>
          <w:noProof/>
          <w:sz w:val="22"/>
          <w:szCs w:val="22"/>
        </w:rPr>
        <w:t>178</w:t>
      </w:r>
      <w:r w:rsidR="004678BA" w:rsidRPr="0033639F">
        <w:rPr>
          <w:rFonts w:ascii="Arial" w:hAnsi="Arial" w:cs="Arial"/>
          <w:bCs/>
          <w:noProof/>
          <w:sz w:val="22"/>
          <w:szCs w:val="22"/>
        </w:rPr>
        <w:t>)</w:t>
      </w:r>
      <w:r w:rsidRPr="0033639F">
        <w:rPr>
          <w:rFonts w:ascii="Arial" w:hAnsi="Arial" w:cs="Arial"/>
          <w:bCs/>
          <w:sz w:val="22"/>
          <w:szCs w:val="22"/>
        </w:rPr>
        <w:t xml:space="preserve">. NS is characterized by short stature, cardiac defects (most commonly pulmonary stenosis and hypertrophic cardiomyopathy), facial dysmorphism </w:t>
      </w:r>
      <w:r w:rsidRPr="0033639F">
        <w:rPr>
          <w:rFonts w:ascii="Arial" w:hAnsi="Arial" w:cs="Arial"/>
          <w:bCs/>
          <w:sz w:val="22"/>
          <w:szCs w:val="22"/>
        </w:rPr>
        <w:lastRenderedPageBreak/>
        <w:t>(down-slanting, antimongoloid palpebral fissures, ptosis, and low-set posteriorly rotated ears), webbed neck, mild mental retardation, cryptorchidism, feeding difficulties in infancy. The phenotype is variable between affected members of the same family and becomes milder with age</w:t>
      </w:r>
      <w:r w:rsidRPr="0033639F">
        <w:rPr>
          <w:rFonts w:ascii="Arial" w:hAnsi="Arial" w:cs="Arial"/>
          <w:bCs/>
          <w:noProof/>
          <w:sz w:val="22"/>
          <w:szCs w:val="22"/>
        </w:rPr>
        <w:t xml:space="preserve"> </w:t>
      </w:r>
      <w:r w:rsidR="004678BA" w:rsidRPr="0033639F">
        <w:rPr>
          <w:rFonts w:ascii="Arial" w:hAnsi="Arial" w:cs="Arial"/>
          <w:bCs/>
          <w:noProof/>
          <w:sz w:val="22"/>
          <w:szCs w:val="22"/>
        </w:rPr>
        <w:t>(</w:t>
      </w:r>
      <w:r w:rsidR="00BF3C06" w:rsidRPr="0033639F">
        <w:rPr>
          <w:rFonts w:ascii="Arial" w:hAnsi="Arial" w:cs="Arial"/>
          <w:bCs/>
          <w:noProof/>
          <w:sz w:val="22"/>
          <w:szCs w:val="22"/>
        </w:rPr>
        <w:t>179</w:t>
      </w:r>
      <w:r w:rsidR="004678BA" w:rsidRPr="0033639F">
        <w:rPr>
          <w:rFonts w:ascii="Arial" w:hAnsi="Arial" w:cs="Arial"/>
          <w:bCs/>
          <w:noProof/>
          <w:sz w:val="22"/>
          <w:szCs w:val="22"/>
        </w:rPr>
        <w:t>)</w:t>
      </w:r>
      <w:r w:rsidRPr="0033639F">
        <w:rPr>
          <w:rFonts w:ascii="Arial" w:hAnsi="Arial" w:cs="Arial"/>
          <w:bCs/>
          <w:sz w:val="22"/>
          <w:szCs w:val="22"/>
        </w:rPr>
        <w:t xml:space="preserve">. </w:t>
      </w:r>
    </w:p>
    <w:p w14:paraId="5ACEF191" w14:textId="77777777" w:rsidR="00E35A05" w:rsidRPr="0033639F" w:rsidRDefault="00E35A05" w:rsidP="0033639F">
      <w:pPr>
        <w:spacing w:line="276" w:lineRule="auto"/>
        <w:outlineLvl w:val="1"/>
        <w:rPr>
          <w:rFonts w:ascii="Arial" w:hAnsi="Arial" w:cs="Arial"/>
          <w:bCs/>
          <w:sz w:val="22"/>
          <w:szCs w:val="22"/>
        </w:rPr>
      </w:pPr>
    </w:p>
    <w:p w14:paraId="5B90E0DA" w14:textId="342499D5"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Nearly 50% of patients with NS have gain-of-function mutations in protein tyrosine phosphatase nonreceptor type 11 (</w:t>
      </w:r>
      <w:r w:rsidRPr="0033639F">
        <w:rPr>
          <w:rFonts w:ascii="Arial" w:hAnsi="Arial" w:cs="Arial"/>
          <w:i/>
          <w:iCs/>
          <w:sz w:val="22"/>
          <w:szCs w:val="22"/>
        </w:rPr>
        <w:t>PTPN11</w:t>
      </w:r>
      <w:r w:rsidRPr="0033639F">
        <w:rPr>
          <w:rFonts w:ascii="Arial" w:hAnsi="Arial" w:cs="Arial"/>
          <w:sz w:val="22"/>
          <w:szCs w:val="22"/>
        </w:rPr>
        <w:t>), the gene encoding the cytoplasmic tyrosine phosphatase SHP-2, which regulates GH signaling by dephosphorylating STAT5b, resulting in down-regulation of GH activity</w:t>
      </w:r>
      <w:r w:rsidR="004678BA" w:rsidRPr="0033639F">
        <w:rPr>
          <w:rFonts w:ascii="Arial" w:hAnsi="Arial" w:cs="Arial"/>
          <w:sz w:val="22"/>
          <w:szCs w:val="22"/>
        </w:rPr>
        <w:t xml:space="preserve"> </w:t>
      </w:r>
      <w:r w:rsidR="004678BA" w:rsidRPr="0033639F">
        <w:rPr>
          <w:rFonts w:ascii="Arial" w:hAnsi="Arial" w:cs="Arial"/>
          <w:noProof/>
          <w:sz w:val="22"/>
          <w:szCs w:val="22"/>
        </w:rPr>
        <w:t>(</w:t>
      </w:r>
      <w:r w:rsidR="00BF3C06" w:rsidRPr="0033639F">
        <w:rPr>
          <w:rFonts w:ascii="Arial" w:hAnsi="Arial" w:cs="Arial"/>
          <w:noProof/>
          <w:sz w:val="22"/>
          <w:szCs w:val="22"/>
        </w:rPr>
        <w:t>180</w:t>
      </w:r>
      <w:r w:rsidR="004678BA" w:rsidRPr="0033639F">
        <w:rPr>
          <w:rFonts w:ascii="Arial" w:hAnsi="Arial" w:cs="Arial"/>
          <w:noProof/>
          <w:sz w:val="22"/>
          <w:szCs w:val="22"/>
        </w:rPr>
        <w:t>)</w:t>
      </w:r>
      <w:r w:rsidRPr="0033639F">
        <w:rPr>
          <w:rFonts w:ascii="Arial" w:hAnsi="Arial" w:cs="Arial"/>
          <w:sz w:val="22"/>
          <w:szCs w:val="22"/>
        </w:rPr>
        <w:t>. Mutations in four other genes (</w:t>
      </w:r>
      <w:r w:rsidRPr="0033639F">
        <w:rPr>
          <w:rFonts w:ascii="Arial" w:hAnsi="Arial" w:cs="Arial"/>
          <w:i/>
          <w:iCs/>
          <w:sz w:val="22"/>
          <w:szCs w:val="22"/>
        </w:rPr>
        <w:t>KRAS</w:t>
      </w:r>
      <w:r w:rsidRPr="0033639F">
        <w:rPr>
          <w:rFonts w:ascii="Arial" w:hAnsi="Arial" w:cs="Arial"/>
          <w:sz w:val="22"/>
          <w:szCs w:val="22"/>
        </w:rPr>
        <w:t xml:space="preserve">, </w:t>
      </w:r>
      <w:r w:rsidRPr="0033639F">
        <w:rPr>
          <w:rFonts w:ascii="Arial" w:hAnsi="Arial" w:cs="Arial"/>
          <w:i/>
          <w:iCs/>
          <w:sz w:val="22"/>
          <w:szCs w:val="22"/>
        </w:rPr>
        <w:t>SOS1</w:t>
      </w:r>
      <w:r w:rsidRPr="0033639F">
        <w:rPr>
          <w:rFonts w:ascii="Arial" w:hAnsi="Arial" w:cs="Arial"/>
          <w:sz w:val="22"/>
          <w:szCs w:val="22"/>
        </w:rPr>
        <w:t xml:space="preserve">, </w:t>
      </w:r>
      <w:r w:rsidRPr="0033639F">
        <w:rPr>
          <w:rFonts w:ascii="Arial" w:hAnsi="Arial" w:cs="Arial"/>
          <w:i/>
          <w:iCs/>
          <w:sz w:val="22"/>
          <w:szCs w:val="22"/>
        </w:rPr>
        <w:t>NF1</w:t>
      </w:r>
      <w:r w:rsidRPr="0033639F">
        <w:rPr>
          <w:rFonts w:ascii="Arial" w:hAnsi="Arial" w:cs="Arial"/>
          <w:sz w:val="22"/>
          <w:szCs w:val="22"/>
        </w:rPr>
        <w:t xml:space="preserve"> and </w:t>
      </w:r>
      <w:r w:rsidRPr="0033639F">
        <w:rPr>
          <w:rFonts w:ascii="Arial" w:hAnsi="Arial" w:cs="Arial"/>
          <w:i/>
          <w:iCs/>
          <w:sz w:val="22"/>
          <w:szCs w:val="22"/>
        </w:rPr>
        <w:t>RAF1</w:t>
      </w:r>
      <w:r w:rsidRPr="0033639F">
        <w:rPr>
          <w:rFonts w:ascii="Arial" w:hAnsi="Arial" w:cs="Arial"/>
          <w:sz w:val="22"/>
          <w:szCs w:val="22"/>
        </w:rPr>
        <w:t xml:space="preserve">) involved in RAS/MAPK signaling systems have been identified in patients with the NS phenotype and related disorders including LEOPORD, Costello, and cardio-facial-cutaneous syndromes (Figure </w:t>
      </w:r>
      <w:r w:rsidR="003E0431" w:rsidRPr="0033639F">
        <w:rPr>
          <w:rFonts w:ascii="Arial" w:hAnsi="Arial" w:cs="Arial"/>
          <w:sz w:val="22"/>
          <w:szCs w:val="22"/>
        </w:rPr>
        <w:t>28</w:t>
      </w:r>
      <w:r w:rsidRPr="0033639F">
        <w:rPr>
          <w:rFonts w:ascii="Arial" w:hAnsi="Arial" w:cs="Arial"/>
          <w:sz w:val="22"/>
          <w:szCs w:val="22"/>
        </w:rPr>
        <w:t>)</w:t>
      </w:r>
      <w:r w:rsidRPr="0033639F">
        <w:rPr>
          <w:rFonts w:ascii="Arial" w:hAnsi="Arial" w:cs="Arial"/>
          <w:noProof/>
          <w:sz w:val="22"/>
          <w:szCs w:val="22"/>
        </w:rPr>
        <w:t xml:space="preserve"> </w:t>
      </w:r>
      <w:r w:rsidR="004678BA" w:rsidRPr="0033639F">
        <w:rPr>
          <w:rFonts w:ascii="Arial" w:hAnsi="Arial" w:cs="Arial"/>
          <w:noProof/>
          <w:sz w:val="22"/>
          <w:szCs w:val="22"/>
        </w:rPr>
        <w:t>(</w:t>
      </w:r>
      <w:r w:rsidR="00BF3C06" w:rsidRPr="0033639F">
        <w:rPr>
          <w:rFonts w:ascii="Arial" w:hAnsi="Arial" w:cs="Arial"/>
          <w:noProof/>
          <w:sz w:val="22"/>
          <w:szCs w:val="22"/>
        </w:rPr>
        <w:t>181</w:t>
      </w:r>
      <w:r w:rsidR="004678BA" w:rsidRPr="0033639F">
        <w:rPr>
          <w:rFonts w:ascii="Arial" w:hAnsi="Arial" w:cs="Arial"/>
          <w:noProof/>
          <w:sz w:val="22"/>
          <w:szCs w:val="22"/>
        </w:rPr>
        <w:t>)</w:t>
      </w:r>
      <w:r w:rsidRPr="0033639F">
        <w:rPr>
          <w:rFonts w:ascii="Arial" w:hAnsi="Arial" w:cs="Arial"/>
          <w:sz w:val="22"/>
          <w:szCs w:val="22"/>
        </w:rPr>
        <w:t>.</w:t>
      </w:r>
    </w:p>
    <w:p w14:paraId="600EFFB5" w14:textId="77777777" w:rsidR="00803B01" w:rsidRPr="0033639F" w:rsidRDefault="00803B01" w:rsidP="0033639F">
      <w:pPr>
        <w:spacing w:line="276" w:lineRule="auto"/>
        <w:rPr>
          <w:rFonts w:ascii="Arial" w:hAnsi="Arial" w:cs="Arial"/>
          <w:sz w:val="22"/>
          <w:szCs w:val="22"/>
        </w:rPr>
      </w:pPr>
    </w:p>
    <w:p w14:paraId="4FDE1F60" w14:textId="1691B020" w:rsidR="004D35E0" w:rsidRDefault="004D35E0" w:rsidP="00E35A05">
      <w:pPr>
        <w:rPr>
          <w:rFonts w:ascii="Arial" w:hAnsi="Arial" w:cs="Arial"/>
          <w:b/>
          <w:bCs/>
          <w:sz w:val="22"/>
          <w:szCs w:val="22"/>
        </w:rPr>
      </w:pPr>
      <w:r>
        <w:rPr>
          <w:rFonts w:ascii="Arial" w:hAnsi="Arial" w:cs="Arial"/>
          <w:b/>
          <w:bCs/>
          <w:noProof/>
          <w:sz w:val="22"/>
          <w:szCs w:val="22"/>
        </w:rPr>
        <w:drawing>
          <wp:inline distT="0" distB="0" distL="0" distR="0" wp14:anchorId="0BF48D6C" wp14:editId="1A89FC0B">
            <wp:extent cx="6122822" cy="4281192"/>
            <wp:effectExtent l="0" t="0" r="0" b="5080"/>
            <wp:docPr id="14301687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31415" cy="4287201"/>
                    </a:xfrm>
                    <a:prstGeom prst="rect">
                      <a:avLst/>
                    </a:prstGeom>
                    <a:noFill/>
                  </pic:spPr>
                </pic:pic>
              </a:graphicData>
            </a:graphic>
          </wp:inline>
        </w:drawing>
      </w:r>
    </w:p>
    <w:p w14:paraId="731FB09E" w14:textId="544C597D" w:rsidR="00E35A05" w:rsidRPr="00E35A05" w:rsidRDefault="00E35A05" w:rsidP="00E35A05">
      <w:pPr>
        <w:rPr>
          <w:rFonts w:ascii="Arial" w:hAnsi="Arial" w:cs="Arial"/>
          <w:b/>
          <w:bCs/>
          <w:sz w:val="22"/>
          <w:szCs w:val="22"/>
        </w:rPr>
      </w:pPr>
      <w:r w:rsidRPr="00E35A05">
        <w:rPr>
          <w:rFonts w:ascii="Arial" w:hAnsi="Arial" w:cs="Arial"/>
          <w:b/>
          <w:bCs/>
          <w:sz w:val="22"/>
          <w:szCs w:val="22"/>
        </w:rPr>
        <w:t>Figure 28. The RAS/MAPK signaling pathway</w:t>
      </w:r>
      <w:r w:rsidR="00C74E52">
        <w:rPr>
          <w:rFonts w:ascii="Arial" w:hAnsi="Arial" w:cs="Arial"/>
          <w:b/>
          <w:bCs/>
          <w:sz w:val="22"/>
          <w:szCs w:val="22"/>
        </w:rPr>
        <w:t>.</w:t>
      </w:r>
      <w:r w:rsidRPr="00E35A05">
        <w:rPr>
          <w:rFonts w:ascii="Arial" w:hAnsi="Arial" w:cs="Arial"/>
          <w:b/>
          <w:bCs/>
          <w:sz w:val="22"/>
          <w:szCs w:val="22"/>
        </w:rPr>
        <w:t xml:space="preserve">  Reprinted with permission (181)</w:t>
      </w:r>
      <w:r>
        <w:rPr>
          <w:rFonts w:ascii="Arial" w:hAnsi="Arial" w:cs="Arial"/>
          <w:b/>
          <w:bCs/>
          <w:sz w:val="22"/>
          <w:szCs w:val="22"/>
        </w:rPr>
        <w:t>.</w:t>
      </w:r>
    </w:p>
    <w:p w14:paraId="5EABA507" w14:textId="77777777" w:rsidR="00803B01" w:rsidRPr="00E35A05" w:rsidRDefault="00803B01" w:rsidP="0033639F">
      <w:pPr>
        <w:spacing w:line="276" w:lineRule="auto"/>
        <w:rPr>
          <w:rFonts w:ascii="Arial" w:hAnsi="Arial" w:cs="Arial"/>
          <w:b/>
          <w:bCs/>
          <w:sz w:val="22"/>
          <w:szCs w:val="22"/>
        </w:rPr>
      </w:pPr>
      <w:hyperlink r:id="rId67" w:history="1"/>
    </w:p>
    <w:p w14:paraId="79E6ED1C" w14:textId="1EAD434C"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Although identifying these mutations has contributed to better understanding of the pathogenesis of NS, it appears that the genotype does not completely correlate with the phenotype, </w:t>
      </w:r>
      <w:r w:rsidRPr="0033639F">
        <w:rPr>
          <w:rFonts w:ascii="Arial" w:hAnsi="Arial" w:cs="Arial"/>
          <w:i/>
          <w:iCs/>
          <w:sz w:val="22"/>
          <w:szCs w:val="22"/>
        </w:rPr>
        <w:t>e.g.</w:t>
      </w:r>
      <w:r w:rsidRPr="0033639F">
        <w:rPr>
          <w:rFonts w:ascii="Arial" w:hAnsi="Arial" w:cs="Arial"/>
          <w:sz w:val="22"/>
          <w:szCs w:val="22"/>
        </w:rPr>
        <w:t xml:space="preserve"> short stature in patients with NS. Several studies have shown that the subjects carrying gain of function mutations of </w:t>
      </w:r>
      <w:r w:rsidRPr="0033639F">
        <w:rPr>
          <w:rFonts w:ascii="Arial" w:hAnsi="Arial" w:cs="Arial"/>
          <w:i/>
          <w:iCs/>
          <w:sz w:val="22"/>
          <w:szCs w:val="22"/>
        </w:rPr>
        <w:t>PTPN11</w:t>
      </w:r>
      <w:r w:rsidRPr="0033639F">
        <w:rPr>
          <w:rFonts w:ascii="Arial" w:hAnsi="Arial" w:cs="Arial"/>
          <w:sz w:val="22"/>
          <w:szCs w:val="22"/>
        </w:rPr>
        <w:t xml:space="preserve"> had lower IGF1 levels, poor growth response, and resistance to GH therapy compared to subjects without </w:t>
      </w:r>
      <w:r w:rsidRPr="0033639F">
        <w:rPr>
          <w:rFonts w:ascii="Arial" w:hAnsi="Arial" w:cs="Arial"/>
          <w:i/>
          <w:iCs/>
          <w:sz w:val="22"/>
          <w:szCs w:val="22"/>
        </w:rPr>
        <w:t>PTPN11</w:t>
      </w:r>
      <w:r w:rsidRPr="0033639F">
        <w:rPr>
          <w:rFonts w:ascii="Arial" w:hAnsi="Arial" w:cs="Arial"/>
          <w:sz w:val="22"/>
          <w:szCs w:val="22"/>
        </w:rPr>
        <w:t xml:space="preserve"> mutations</w:t>
      </w:r>
      <w:bookmarkStart w:id="33" w:name="R19"/>
      <w:r w:rsidR="004678BA" w:rsidRPr="0033639F">
        <w:rPr>
          <w:rFonts w:ascii="Arial" w:hAnsi="Arial" w:cs="Arial"/>
          <w:sz w:val="22"/>
          <w:szCs w:val="22"/>
        </w:rPr>
        <w:t xml:space="preserve"> </w:t>
      </w:r>
      <w:r w:rsidR="004678BA" w:rsidRPr="0033639F">
        <w:rPr>
          <w:rFonts w:ascii="Arial" w:hAnsi="Arial" w:cs="Arial"/>
          <w:noProof/>
          <w:sz w:val="22"/>
          <w:szCs w:val="22"/>
        </w:rPr>
        <w:t>(</w:t>
      </w:r>
      <w:r w:rsidR="006150C8" w:rsidRPr="0033639F">
        <w:rPr>
          <w:rFonts w:ascii="Arial" w:hAnsi="Arial" w:cs="Arial"/>
          <w:noProof/>
          <w:sz w:val="22"/>
          <w:szCs w:val="22"/>
        </w:rPr>
        <w:t>182</w:t>
      </w:r>
      <w:r w:rsidR="004678BA" w:rsidRPr="0033639F">
        <w:rPr>
          <w:rFonts w:ascii="Arial" w:hAnsi="Arial" w:cs="Arial"/>
          <w:noProof/>
          <w:sz w:val="22"/>
          <w:szCs w:val="22"/>
        </w:rPr>
        <w:t>,</w:t>
      </w:r>
      <w:r w:rsidR="006150C8" w:rsidRPr="0033639F">
        <w:rPr>
          <w:rFonts w:ascii="Arial" w:hAnsi="Arial" w:cs="Arial"/>
          <w:noProof/>
          <w:sz w:val="22"/>
          <w:szCs w:val="22"/>
        </w:rPr>
        <w:t>183</w:t>
      </w:r>
      <w:r w:rsidR="004678BA" w:rsidRPr="0033639F">
        <w:rPr>
          <w:rFonts w:ascii="Arial" w:hAnsi="Arial" w:cs="Arial"/>
          <w:noProof/>
          <w:sz w:val="22"/>
          <w:szCs w:val="22"/>
        </w:rPr>
        <w:t>)</w:t>
      </w:r>
      <w:r w:rsidRPr="0033639F">
        <w:rPr>
          <w:rFonts w:ascii="Arial" w:hAnsi="Arial" w:cs="Arial"/>
          <w:sz w:val="22"/>
          <w:szCs w:val="22"/>
        </w:rPr>
        <w:t xml:space="preserve">.  However, data from one large study of individuals with NS did not demonstrate the same </w:t>
      </w:r>
      <w:r w:rsidRPr="0033639F">
        <w:rPr>
          <w:rFonts w:ascii="Arial" w:hAnsi="Arial" w:cs="Arial"/>
          <w:sz w:val="22"/>
          <w:szCs w:val="22"/>
        </w:rPr>
        <w:lastRenderedPageBreak/>
        <w:t xml:space="preserve">correlation between </w:t>
      </w:r>
      <w:r w:rsidRPr="0033639F">
        <w:rPr>
          <w:rFonts w:ascii="Arial" w:hAnsi="Arial" w:cs="Arial"/>
          <w:i/>
          <w:iCs/>
          <w:sz w:val="22"/>
          <w:szCs w:val="22"/>
        </w:rPr>
        <w:t>PTPN11</w:t>
      </w:r>
      <w:r w:rsidRPr="0033639F">
        <w:rPr>
          <w:rFonts w:ascii="Arial" w:hAnsi="Arial" w:cs="Arial"/>
          <w:sz w:val="22"/>
          <w:szCs w:val="22"/>
        </w:rPr>
        <w:t xml:space="preserve"> mutations and short stature</w:t>
      </w:r>
      <w:r w:rsidRPr="0033639F">
        <w:rPr>
          <w:rFonts w:ascii="Arial" w:hAnsi="Arial" w:cs="Arial"/>
          <w:noProof/>
          <w:sz w:val="22"/>
          <w:szCs w:val="22"/>
        </w:rPr>
        <w:t xml:space="preserve"> </w:t>
      </w:r>
      <w:r w:rsidR="004678BA" w:rsidRPr="0033639F">
        <w:rPr>
          <w:rFonts w:ascii="Arial" w:hAnsi="Arial" w:cs="Arial"/>
          <w:noProof/>
          <w:sz w:val="22"/>
          <w:szCs w:val="22"/>
        </w:rPr>
        <w:t>(</w:t>
      </w:r>
      <w:r w:rsidR="006150C8" w:rsidRPr="0033639F">
        <w:rPr>
          <w:rFonts w:ascii="Arial" w:hAnsi="Arial" w:cs="Arial"/>
          <w:noProof/>
          <w:sz w:val="22"/>
          <w:szCs w:val="22"/>
        </w:rPr>
        <w:t>177</w:t>
      </w:r>
      <w:r w:rsidR="004678BA" w:rsidRPr="0033639F">
        <w:rPr>
          <w:rFonts w:ascii="Arial" w:hAnsi="Arial" w:cs="Arial"/>
          <w:noProof/>
          <w:sz w:val="22"/>
          <w:szCs w:val="22"/>
        </w:rPr>
        <w:t>)</w:t>
      </w:r>
      <w:r w:rsidRPr="0033639F">
        <w:rPr>
          <w:rFonts w:ascii="Arial" w:hAnsi="Arial" w:cs="Arial"/>
          <w:sz w:val="22"/>
          <w:szCs w:val="22"/>
        </w:rPr>
        <w:t>. However, more recent studies showed significant improvement in final adult height in individuals with NS regardless of their mutation type</w:t>
      </w:r>
      <w:r w:rsidRPr="0033639F">
        <w:rPr>
          <w:rFonts w:ascii="Arial" w:hAnsi="Arial" w:cs="Arial"/>
          <w:noProof/>
          <w:sz w:val="22"/>
          <w:szCs w:val="22"/>
        </w:rPr>
        <w:t xml:space="preserve"> </w:t>
      </w:r>
      <w:r w:rsidR="004678BA" w:rsidRPr="0033639F">
        <w:rPr>
          <w:rFonts w:ascii="Arial" w:hAnsi="Arial" w:cs="Arial"/>
          <w:noProof/>
          <w:sz w:val="22"/>
          <w:szCs w:val="22"/>
        </w:rPr>
        <w:t>(</w:t>
      </w:r>
      <w:r w:rsidR="006150C8" w:rsidRPr="0033639F">
        <w:rPr>
          <w:rFonts w:ascii="Arial" w:hAnsi="Arial" w:cs="Arial"/>
          <w:noProof/>
          <w:sz w:val="22"/>
          <w:szCs w:val="22"/>
        </w:rPr>
        <w:t>184</w:t>
      </w:r>
      <w:r w:rsidR="004678BA" w:rsidRPr="0033639F">
        <w:rPr>
          <w:rFonts w:ascii="Arial" w:hAnsi="Arial" w:cs="Arial"/>
          <w:noProof/>
          <w:sz w:val="22"/>
          <w:szCs w:val="22"/>
        </w:rPr>
        <w:t>,</w:t>
      </w:r>
      <w:r w:rsidR="006150C8" w:rsidRPr="0033639F">
        <w:rPr>
          <w:rFonts w:ascii="Arial" w:hAnsi="Arial" w:cs="Arial"/>
          <w:noProof/>
          <w:sz w:val="22"/>
          <w:szCs w:val="22"/>
        </w:rPr>
        <w:t>185</w:t>
      </w:r>
      <w:r w:rsidR="004678BA" w:rsidRPr="0033639F">
        <w:rPr>
          <w:rFonts w:ascii="Arial" w:hAnsi="Arial" w:cs="Arial"/>
          <w:noProof/>
          <w:sz w:val="22"/>
          <w:szCs w:val="22"/>
        </w:rPr>
        <w:t>)</w:t>
      </w:r>
      <w:r w:rsidRPr="0033639F">
        <w:rPr>
          <w:rFonts w:ascii="Arial" w:hAnsi="Arial" w:cs="Arial"/>
          <w:sz w:val="22"/>
          <w:szCs w:val="22"/>
        </w:rPr>
        <w:t>.</w:t>
      </w:r>
      <w:bookmarkEnd w:id="33"/>
    </w:p>
    <w:p w14:paraId="2B2336C5" w14:textId="77777777" w:rsidR="00803B01" w:rsidRPr="0033639F" w:rsidRDefault="00803B01" w:rsidP="0033639F">
      <w:pPr>
        <w:spacing w:line="276" w:lineRule="auto"/>
        <w:rPr>
          <w:rFonts w:ascii="Arial" w:hAnsi="Arial" w:cs="Arial"/>
          <w:sz w:val="22"/>
          <w:szCs w:val="22"/>
        </w:rPr>
      </w:pPr>
      <w:hyperlink r:id="rId68" w:history="1">
        <w:r w:rsidRPr="0033639F">
          <w:rPr>
            <w:rFonts w:ascii="Arial" w:hAnsi="Arial" w:cs="Arial"/>
            <w:sz w:val="22"/>
            <w:szCs w:val="22"/>
          </w:rPr>
          <w:t xml:space="preserve"> </w:t>
        </w:r>
      </w:hyperlink>
    </w:p>
    <w:p w14:paraId="00F8F71E" w14:textId="77777777" w:rsidR="00803B01" w:rsidRPr="004D35E0" w:rsidRDefault="00794097" w:rsidP="004D35E0">
      <w:pPr>
        <w:rPr>
          <w:rFonts w:ascii="Arial" w:hAnsi="Arial" w:cs="Arial"/>
          <w:b/>
          <w:bCs/>
          <w:sz w:val="22"/>
          <w:szCs w:val="22"/>
        </w:rPr>
      </w:pPr>
      <w:r w:rsidRPr="004D35E0">
        <w:rPr>
          <w:rFonts w:ascii="Arial" w:hAnsi="Arial" w:cs="Arial"/>
          <w:b/>
          <w:bCs/>
          <w:noProof/>
          <w:color w:val="0070C0"/>
          <w:sz w:val="22"/>
          <w:szCs w:val="22"/>
        </w:rPr>
        <mc:AlternateContent>
          <mc:Choice Requires="wps">
            <w:drawing>
              <wp:anchor distT="4294967295" distB="4294967295" distL="114300" distR="114300" simplePos="0" relativeHeight="251656704" behindDoc="0" locked="0" layoutInCell="1" allowOverlap="1" wp14:anchorId="6C96D83E" wp14:editId="71F2BA68">
                <wp:simplePos x="0" y="0"/>
                <wp:positionH relativeFrom="column">
                  <wp:posOffset>0</wp:posOffset>
                </wp:positionH>
                <wp:positionV relativeFrom="paragraph">
                  <wp:posOffset>95249</wp:posOffset>
                </wp:positionV>
                <wp:extent cx="4229100" cy="0"/>
                <wp:effectExtent l="0" t="0" r="0" b="0"/>
                <wp:wrapNone/>
                <wp:docPr id="92242779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29100" cy="0"/>
                        </a:xfrm>
                        <a:prstGeom prst="line">
                          <a:avLst/>
                        </a:prstGeom>
                        <a:noFill/>
                        <a:ln>
                          <a:noFill/>
                        </a:ln>
                      </wps:spPr>
                      <wps:bodyPr/>
                    </wps:wsp>
                  </a:graphicData>
                </a:graphic>
                <wp14:sizeRelH relativeFrom="page">
                  <wp14:pctWidth>0</wp14:pctWidth>
                </wp14:sizeRelH>
                <wp14:sizeRelV relativeFrom="page">
                  <wp14:pctHeight>0</wp14:pctHeight>
                </wp14:sizeRelV>
              </wp:anchor>
            </w:drawing>
          </mc:Choice>
          <mc:Fallback>
            <w:pict>
              <v:line w14:anchorId="1ACBAE39" id="Straight Connector 6"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pt" to="33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" stroked="f">
                <o:lock v:ext="edit" shapetype="f"/>
              </v:line>
            </w:pict>
          </mc:Fallback>
        </mc:AlternateContent>
      </w:r>
      <w:bookmarkStart w:id="34" w:name="id2451534"/>
      <w:bookmarkEnd w:id="34"/>
      <w:r w:rsidR="00803B01" w:rsidRPr="004D35E0">
        <w:rPr>
          <w:rFonts w:ascii="Arial" w:hAnsi="Arial" w:cs="Arial"/>
          <w:b/>
          <w:bCs/>
          <w:color w:val="0070C0"/>
          <w:sz w:val="22"/>
          <w:szCs w:val="22"/>
        </w:rPr>
        <w:t>DIAGNOSIS</w:t>
      </w:r>
      <w:r w:rsidR="00803B01" w:rsidRPr="004D35E0">
        <w:rPr>
          <w:rFonts w:ascii="Arial" w:hAnsi="Arial" w:cs="Arial"/>
          <w:b/>
          <w:bCs/>
          <w:sz w:val="22"/>
          <w:szCs w:val="22"/>
        </w:rPr>
        <w:t xml:space="preserve"> </w:t>
      </w:r>
    </w:p>
    <w:p w14:paraId="66E80178" w14:textId="77777777" w:rsidR="004D35E0" w:rsidRDefault="004D35E0" w:rsidP="0033639F">
      <w:pPr>
        <w:spacing w:line="276" w:lineRule="auto"/>
        <w:rPr>
          <w:rFonts w:ascii="Arial" w:hAnsi="Arial" w:cs="Arial"/>
          <w:sz w:val="22"/>
          <w:szCs w:val="22"/>
        </w:rPr>
      </w:pPr>
    </w:p>
    <w:p w14:paraId="6A2CDB50" w14:textId="7A6A4B35" w:rsidR="00803B01" w:rsidRDefault="00803B01" w:rsidP="0033639F">
      <w:pPr>
        <w:spacing w:line="276" w:lineRule="auto"/>
        <w:rPr>
          <w:rFonts w:ascii="Arial" w:hAnsi="Arial" w:cs="Arial"/>
          <w:sz w:val="22"/>
          <w:szCs w:val="22"/>
        </w:rPr>
      </w:pPr>
      <w:r w:rsidRPr="0033639F">
        <w:rPr>
          <w:rFonts w:ascii="Arial" w:hAnsi="Arial" w:cs="Arial"/>
          <w:sz w:val="22"/>
          <w:szCs w:val="22"/>
        </w:rPr>
        <w:t>Diagnosis of GH deficiency during childhood and adolescence is frequently challenging. Children whose height are below the 3</w:t>
      </w:r>
      <w:r w:rsidRPr="0033639F">
        <w:rPr>
          <w:rFonts w:ascii="Arial" w:hAnsi="Arial" w:cs="Arial"/>
          <w:sz w:val="22"/>
          <w:szCs w:val="22"/>
          <w:vertAlign w:val="superscript"/>
        </w:rPr>
        <w:t>rd</w:t>
      </w:r>
      <w:r w:rsidRPr="0033639F">
        <w:rPr>
          <w:rFonts w:ascii="Arial" w:hAnsi="Arial" w:cs="Arial"/>
          <w:sz w:val="22"/>
          <w:szCs w:val="22"/>
        </w:rPr>
        <w:t xml:space="preserve"> percentile or -2 SD and have decreased growth velocity require clinical evaluation. Evaluation should begin with a detailed past medical history, family history, diet history, detailed review of prior growth data (including the initial post-natal period) and a thorough physical examination</w:t>
      </w:r>
      <w:r w:rsidRPr="0033639F">
        <w:rPr>
          <w:rFonts w:ascii="Arial" w:hAnsi="Arial" w:cs="Arial"/>
          <w:noProof/>
          <w:sz w:val="22"/>
          <w:szCs w:val="22"/>
        </w:rPr>
        <w:t xml:space="preserve"> </w:t>
      </w:r>
      <w:r w:rsidR="00390624" w:rsidRPr="0033639F">
        <w:rPr>
          <w:rFonts w:ascii="Arial" w:hAnsi="Arial" w:cs="Arial"/>
          <w:noProof/>
          <w:sz w:val="22"/>
          <w:szCs w:val="22"/>
        </w:rPr>
        <w:t>(</w:t>
      </w:r>
      <w:r w:rsidR="00C569B7" w:rsidRPr="0033639F">
        <w:rPr>
          <w:rFonts w:ascii="Arial" w:hAnsi="Arial" w:cs="Arial"/>
          <w:noProof/>
          <w:sz w:val="22"/>
          <w:szCs w:val="22"/>
        </w:rPr>
        <w:t>186</w:t>
      </w:r>
      <w:r w:rsidR="00390624" w:rsidRPr="0033639F">
        <w:rPr>
          <w:rFonts w:ascii="Arial" w:hAnsi="Arial" w:cs="Arial"/>
          <w:noProof/>
          <w:sz w:val="22"/>
          <w:szCs w:val="22"/>
        </w:rPr>
        <w:t>)</w:t>
      </w:r>
      <w:r w:rsidRPr="0033639F">
        <w:rPr>
          <w:rFonts w:ascii="Arial" w:hAnsi="Arial" w:cs="Arial"/>
          <w:sz w:val="22"/>
          <w:szCs w:val="22"/>
        </w:rPr>
        <w:t>. Together, these should help the clinician identify the pattern and cause of growth failure, such as fetal growth restriction (</w:t>
      </w:r>
      <w:r w:rsidRPr="0033639F">
        <w:rPr>
          <w:rFonts w:ascii="Arial" w:hAnsi="Arial" w:cs="Arial"/>
          <w:i/>
          <w:iCs/>
          <w:sz w:val="22"/>
          <w:szCs w:val="22"/>
        </w:rPr>
        <w:t>e.g.</w:t>
      </w:r>
      <w:r w:rsidRPr="0033639F">
        <w:rPr>
          <w:rFonts w:ascii="Arial" w:hAnsi="Arial" w:cs="Arial"/>
          <w:sz w:val="22"/>
          <w:szCs w:val="22"/>
        </w:rPr>
        <w:t xml:space="preserve"> SGA and IUGR), chronic illness, malnutrition/malabsorption, hypothyroidism, skeletal abnormalities or other identifiable syndromes, such as Turner syndrome. Once growth hormone deficiency is suspected, further testing of the hypothalamic-pituitary axes (including but not limited to the GH-IGF axis) along with radiological evaluation, should be performed (Table 8). It is important to note that the tests cannot be performed simultaneously, or in random order. Certain conditions (</w:t>
      </w:r>
      <w:r w:rsidRPr="0033639F">
        <w:rPr>
          <w:rFonts w:ascii="Arial" w:hAnsi="Arial" w:cs="Arial"/>
          <w:i/>
          <w:iCs/>
          <w:sz w:val="22"/>
          <w:szCs w:val="22"/>
        </w:rPr>
        <w:t>e.g.</w:t>
      </w:r>
      <w:r w:rsidRPr="0033639F">
        <w:rPr>
          <w:rFonts w:ascii="Arial" w:hAnsi="Arial" w:cs="Arial"/>
          <w:sz w:val="22"/>
          <w:szCs w:val="22"/>
        </w:rPr>
        <w:t xml:space="preserve"> Hypothyroidism and Celiac disease) may mask the presence of others (</w:t>
      </w:r>
      <w:r w:rsidRPr="0033639F">
        <w:rPr>
          <w:rFonts w:ascii="Arial" w:hAnsi="Arial" w:cs="Arial"/>
          <w:i/>
          <w:iCs/>
          <w:sz w:val="22"/>
          <w:szCs w:val="22"/>
        </w:rPr>
        <w:t>e.g.</w:t>
      </w:r>
      <w:r w:rsidRPr="0033639F">
        <w:rPr>
          <w:rFonts w:ascii="Arial" w:hAnsi="Arial" w:cs="Arial"/>
          <w:sz w:val="22"/>
          <w:szCs w:val="22"/>
        </w:rPr>
        <w:t xml:space="preserve"> GH deficiency), therefore </w:t>
      </w:r>
      <w:r w:rsidR="00FA1DE8" w:rsidRPr="0033639F">
        <w:rPr>
          <w:rFonts w:ascii="Arial" w:hAnsi="Arial" w:cs="Arial"/>
          <w:sz w:val="22"/>
          <w:szCs w:val="22"/>
        </w:rPr>
        <w:t>requiring</w:t>
      </w:r>
      <w:r w:rsidRPr="0033639F">
        <w:rPr>
          <w:rFonts w:ascii="Arial" w:hAnsi="Arial" w:cs="Arial"/>
          <w:sz w:val="22"/>
          <w:szCs w:val="22"/>
        </w:rPr>
        <w:t xml:space="preserve"> a </w:t>
      </w:r>
      <w:r w:rsidR="00C13D4A" w:rsidRPr="0033639F">
        <w:rPr>
          <w:rFonts w:ascii="Arial" w:hAnsi="Arial" w:cs="Arial"/>
          <w:sz w:val="22"/>
          <w:szCs w:val="22"/>
        </w:rPr>
        <w:t>stepwise</w:t>
      </w:r>
      <w:r w:rsidRPr="0033639F">
        <w:rPr>
          <w:rFonts w:ascii="Arial" w:hAnsi="Arial" w:cs="Arial"/>
          <w:sz w:val="22"/>
          <w:szCs w:val="22"/>
        </w:rPr>
        <w:t xml:space="preserve"> approach with screening tests preceding specific examinations. Since growth failure generally occurs outside of GHD, only those children with signs or symptoms undergo expensive, invasive and non-physiologic GH provocative testing. </w:t>
      </w:r>
    </w:p>
    <w:p w14:paraId="374D8EBC" w14:textId="77777777" w:rsidR="004D35E0" w:rsidRPr="0033639F" w:rsidRDefault="004D35E0" w:rsidP="0033639F">
      <w:pPr>
        <w:spacing w:line="276" w:lineRule="auto"/>
        <w:rPr>
          <w:rFonts w:ascii="Arial" w:hAnsi="Arial" w:cs="Arial"/>
          <w:sz w:val="22"/>
          <w:szCs w:val="22"/>
        </w:rPr>
      </w:pPr>
    </w:p>
    <w:tbl>
      <w:tblPr>
        <w:tblStyle w:val="TableGrid"/>
        <w:tblW w:w="0" w:type="auto"/>
        <w:tblLook w:val="0000" w:firstRow="0" w:lastRow="0" w:firstColumn="0" w:lastColumn="0" w:noHBand="0" w:noVBand="0"/>
      </w:tblPr>
      <w:tblGrid>
        <w:gridCol w:w="2314"/>
        <w:gridCol w:w="7036"/>
      </w:tblGrid>
      <w:tr w:rsidR="00803B01" w:rsidRPr="0033639F" w14:paraId="08B12911" w14:textId="77777777" w:rsidTr="004D35E0">
        <w:tc>
          <w:tcPr>
            <w:tcW w:w="0" w:type="auto"/>
            <w:gridSpan w:val="2"/>
            <w:shd w:val="clear" w:color="auto" w:fill="FFFF00"/>
          </w:tcPr>
          <w:p w14:paraId="55E68CB7" w14:textId="623FE14F" w:rsidR="00803B01" w:rsidRPr="0033639F" w:rsidRDefault="00803B01" w:rsidP="0033639F">
            <w:pPr>
              <w:spacing w:line="276" w:lineRule="auto"/>
              <w:rPr>
                <w:rFonts w:ascii="Arial" w:hAnsi="Arial" w:cs="Arial"/>
                <w:b/>
                <w:bCs/>
                <w:sz w:val="22"/>
                <w:szCs w:val="22"/>
              </w:rPr>
            </w:pPr>
            <w:bookmarkStart w:id="35" w:name="id2451566"/>
            <w:bookmarkEnd w:id="35"/>
            <w:r w:rsidRPr="0033639F">
              <w:rPr>
                <w:rFonts w:ascii="Arial" w:hAnsi="Arial" w:cs="Arial"/>
                <w:b/>
                <w:bCs/>
                <w:sz w:val="22"/>
                <w:szCs w:val="22"/>
              </w:rPr>
              <w:t xml:space="preserve">Table 8. Guidelines for </w:t>
            </w:r>
            <w:r w:rsidR="00046550">
              <w:rPr>
                <w:rFonts w:ascii="Arial" w:hAnsi="Arial" w:cs="Arial"/>
                <w:b/>
                <w:bCs/>
                <w:sz w:val="22"/>
                <w:szCs w:val="22"/>
              </w:rPr>
              <w:t>I</w:t>
            </w:r>
            <w:r w:rsidRPr="0033639F">
              <w:rPr>
                <w:rFonts w:ascii="Arial" w:hAnsi="Arial" w:cs="Arial"/>
                <w:b/>
                <w:bCs/>
                <w:sz w:val="22"/>
                <w:szCs w:val="22"/>
              </w:rPr>
              <w:t xml:space="preserve">nitial </w:t>
            </w:r>
            <w:r w:rsidR="00046550">
              <w:rPr>
                <w:rFonts w:ascii="Arial" w:hAnsi="Arial" w:cs="Arial"/>
                <w:b/>
                <w:bCs/>
                <w:sz w:val="22"/>
                <w:szCs w:val="22"/>
              </w:rPr>
              <w:t>C</w:t>
            </w:r>
            <w:r w:rsidRPr="0033639F">
              <w:rPr>
                <w:rFonts w:ascii="Arial" w:hAnsi="Arial" w:cs="Arial"/>
                <w:b/>
                <w:bCs/>
                <w:sz w:val="22"/>
                <w:szCs w:val="22"/>
              </w:rPr>
              <w:t xml:space="preserve">linical </w:t>
            </w:r>
            <w:r w:rsidR="00046550">
              <w:rPr>
                <w:rFonts w:ascii="Arial" w:hAnsi="Arial" w:cs="Arial"/>
                <w:b/>
                <w:bCs/>
                <w:sz w:val="22"/>
                <w:szCs w:val="22"/>
              </w:rPr>
              <w:t>E</w:t>
            </w:r>
            <w:r w:rsidRPr="0033639F">
              <w:rPr>
                <w:rFonts w:ascii="Arial" w:hAnsi="Arial" w:cs="Arial"/>
                <w:b/>
                <w:bCs/>
                <w:sz w:val="22"/>
                <w:szCs w:val="22"/>
              </w:rPr>
              <w:t xml:space="preserve">valuation of a </w:t>
            </w:r>
            <w:r w:rsidR="00046550">
              <w:rPr>
                <w:rFonts w:ascii="Arial" w:hAnsi="Arial" w:cs="Arial"/>
                <w:b/>
                <w:bCs/>
                <w:sz w:val="22"/>
                <w:szCs w:val="22"/>
              </w:rPr>
              <w:t>C</w:t>
            </w:r>
            <w:r w:rsidRPr="0033639F">
              <w:rPr>
                <w:rFonts w:ascii="Arial" w:hAnsi="Arial" w:cs="Arial"/>
                <w:b/>
                <w:bCs/>
                <w:sz w:val="22"/>
                <w:szCs w:val="22"/>
              </w:rPr>
              <w:t xml:space="preserve">hild with </w:t>
            </w:r>
            <w:r w:rsidR="00046550">
              <w:rPr>
                <w:rFonts w:ascii="Arial" w:hAnsi="Arial" w:cs="Arial"/>
                <w:b/>
                <w:bCs/>
                <w:sz w:val="22"/>
                <w:szCs w:val="22"/>
              </w:rPr>
              <w:t>G</w:t>
            </w:r>
            <w:r w:rsidRPr="0033639F">
              <w:rPr>
                <w:rFonts w:ascii="Arial" w:hAnsi="Arial" w:cs="Arial"/>
                <w:b/>
                <w:bCs/>
                <w:sz w:val="22"/>
                <w:szCs w:val="22"/>
              </w:rPr>
              <w:t xml:space="preserve">rowth </w:t>
            </w:r>
            <w:r w:rsidR="00046550">
              <w:rPr>
                <w:rFonts w:ascii="Arial" w:hAnsi="Arial" w:cs="Arial"/>
                <w:b/>
                <w:bCs/>
                <w:sz w:val="22"/>
                <w:szCs w:val="22"/>
              </w:rPr>
              <w:t>F</w:t>
            </w:r>
            <w:r w:rsidRPr="0033639F">
              <w:rPr>
                <w:rFonts w:ascii="Arial" w:hAnsi="Arial" w:cs="Arial"/>
                <w:b/>
                <w:bCs/>
                <w:sz w:val="22"/>
                <w:szCs w:val="22"/>
              </w:rPr>
              <w:t>ailure</w:t>
            </w:r>
            <w:r w:rsidRPr="0033639F">
              <w:rPr>
                <w:rFonts w:ascii="Arial" w:hAnsi="Arial" w:cs="Arial"/>
                <w:sz w:val="22"/>
                <w:szCs w:val="22"/>
              </w:rPr>
              <w:t xml:space="preserve"> </w:t>
            </w:r>
          </w:p>
        </w:tc>
      </w:tr>
      <w:tr w:rsidR="00803B01" w:rsidRPr="0033639F" w14:paraId="2EDD2974" w14:textId="77777777" w:rsidTr="004D35E0">
        <w:tc>
          <w:tcPr>
            <w:tcW w:w="0" w:type="auto"/>
          </w:tcPr>
          <w:p w14:paraId="0F8129D3"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Evaluation  </w:t>
            </w:r>
          </w:p>
        </w:tc>
        <w:tc>
          <w:tcPr>
            <w:tcW w:w="0" w:type="auto"/>
          </w:tcPr>
          <w:p w14:paraId="692E436A"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Key elements </w:t>
            </w:r>
          </w:p>
        </w:tc>
      </w:tr>
      <w:tr w:rsidR="00803B01" w:rsidRPr="0033639F" w14:paraId="62E79027" w14:textId="77777777" w:rsidTr="004D35E0">
        <w:tc>
          <w:tcPr>
            <w:tcW w:w="0" w:type="auto"/>
          </w:tcPr>
          <w:p w14:paraId="758C08DA"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Birth history  </w:t>
            </w:r>
          </w:p>
        </w:tc>
        <w:tc>
          <w:tcPr>
            <w:tcW w:w="0" w:type="auto"/>
          </w:tcPr>
          <w:p w14:paraId="183C7880"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Gestational age, birth weight and length, head circumference, delivery type, birth trauma, hypoglycemia, prolonged jaundice. </w:t>
            </w:r>
          </w:p>
        </w:tc>
      </w:tr>
      <w:tr w:rsidR="00803B01" w:rsidRPr="0033639F" w14:paraId="2D48A981" w14:textId="77777777" w:rsidTr="004D35E0">
        <w:tc>
          <w:tcPr>
            <w:tcW w:w="0" w:type="auto"/>
          </w:tcPr>
          <w:p w14:paraId="68921736"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Past medical and surgical history  </w:t>
            </w:r>
          </w:p>
        </w:tc>
        <w:tc>
          <w:tcPr>
            <w:tcW w:w="0" w:type="auto"/>
          </w:tcPr>
          <w:p w14:paraId="479153CD"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Head trauma, surgery, cranial radiation, CNS infection. </w:t>
            </w:r>
          </w:p>
        </w:tc>
      </w:tr>
      <w:tr w:rsidR="00803B01" w:rsidRPr="0033639F" w14:paraId="4E693F61" w14:textId="77777777" w:rsidTr="004D35E0">
        <w:tc>
          <w:tcPr>
            <w:tcW w:w="0" w:type="auto"/>
          </w:tcPr>
          <w:p w14:paraId="579B7F0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Review of systems  </w:t>
            </w:r>
          </w:p>
        </w:tc>
        <w:tc>
          <w:tcPr>
            <w:tcW w:w="0" w:type="auto"/>
          </w:tcPr>
          <w:p w14:paraId="0364D5C3"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Appetite, eating habits, bowel movements, headache, vision change. </w:t>
            </w:r>
          </w:p>
        </w:tc>
      </w:tr>
      <w:tr w:rsidR="00803B01" w:rsidRPr="0033639F" w14:paraId="42F3C078" w14:textId="77777777" w:rsidTr="004D35E0">
        <w:tc>
          <w:tcPr>
            <w:tcW w:w="0" w:type="auto"/>
          </w:tcPr>
          <w:p w14:paraId="36B14627"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Chronic illness  </w:t>
            </w:r>
          </w:p>
        </w:tc>
        <w:tc>
          <w:tcPr>
            <w:tcW w:w="0" w:type="auto"/>
          </w:tcPr>
          <w:p w14:paraId="49DD1ECF"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Anemia, Inflammatory Bowel Disease, cardiovascular disease, renal insufficiency, etc. </w:t>
            </w:r>
          </w:p>
        </w:tc>
      </w:tr>
      <w:tr w:rsidR="00803B01" w:rsidRPr="0033639F" w14:paraId="2CEEC86E" w14:textId="77777777" w:rsidTr="004D35E0">
        <w:tc>
          <w:tcPr>
            <w:tcW w:w="0" w:type="auto"/>
          </w:tcPr>
          <w:p w14:paraId="1C2B8A32"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Family history  </w:t>
            </w:r>
          </w:p>
        </w:tc>
        <w:tc>
          <w:tcPr>
            <w:tcW w:w="0" w:type="auto"/>
          </w:tcPr>
          <w:p w14:paraId="4D61686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Consanguinity, parents and siblings’ heights, family history of short stature, delayed puberty. </w:t>
            </w:r>
          </w:p>
        </w:tc>
      </w:tr>
      <w:tr w:rsidR="00803B01" w:rsidRPr="0033639F" w14:paraId="47F99CCD" w14:textId="77777777" w:rsidTr="004D35E0">
        <w:tc>
          <w:tcPr>
            <w:tcW w:w="0" w:type="auto"/>
          </w:tcPr>
          <w:p w14:paraId="5F8BE05A"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Physical examination  </w:t>
            </w:r>
          </w:p>
        </w:tc>
        <w:tc>
          <w:tcPr>
            <w:tcW w:w="0" w:type="auto"/>
          </w:tcPr>
          <w:p w14:paraId="142AC5F9"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Body proportions (upper/lower segment ratios, arm span), head circumference, microphallus, dysmorphism, and midline craniofacial abnormalities. </w:t>
            </w:r>
          </w:p>
        </w:tc>
      </w:tr>
      <w:tr w:rsidR="00803B01" w:rsidRPr="0033639F" w14:paraId="09B1C190" w14:textId="77777777" w:rsidTr="004D35E0">
        <w:tc>
          <w:tcPr>
            <w:tcW w:w="0" w:type="auto"/>
          </w:tcPr>
          <w:p w14:paraId="4E0138EB"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Growth pattern  </w:t>
            </w:r>
          </w:p>
        </w:tc>
        <w:tc>
          <w:tcPr>
            <w:tcW w:w="0" w:type="auto"/>
          </w:tcPr>
          <w:p w14:paraId="1FF15E0C"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Crossing of percentiles, failure to catch-up. </w:t>
            </w:r>
          </w:p>
        </w:tc>
      </w:tr>
      <w:tr w:rsidR="00803B01" w:rsidRPr="0033639F" w14:paraId="4BE293CE" w14:textId="77777777" w:rsidTr="004D35E0">
        <w:tc>
          <w:tcPr>
            <w:tcW w:w="0" w:type="auto"/>
          </w:tcPr>
          <w:p w14:paraId="035B6491"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Screening Tests  </w:t>
            </w:r>
          </w:p>
        </w:tc>
        <w:tc>
          <w:tcPr>
            <w:tcW w:w="0" w:type="auto"/>
          </w:tcPr>
          <w:p w14:paraId="642DCB71"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CBC, CMP, ESR/c-reactive protein, Celiac screening, TSH and Free T4, UA, IGF1, IGFBP3, Bone age (and a Karyotype for females) </w:t>
            </w:r>
          </w:p>
        </w:tc>
      </w:tr>
    </w:tbl>
    <w:p w14:paraId="4E88BEBD" w14:textId="77777777" w:rsidR="00046550" w:rsidRDefault="00046550" w:rsidP="0033639F">
      <w:pPr>
        <w:pStyle w:val="Heading2"/>
        <w:spacing w:before="0" w:after="0" w:line="276" w:lineRule="auto"/>
        <w:rPr>
          <w:rFonts w:ascii="Arial" w:hAnsi="Arial" w:cs="Arial"/>
          <w:b/>
          <w:bCs/>
          <w:sz w:val="22"/>
          <w:szCs w:val="22"/>
        </w:rPr>
      </w:pPr>
      <w:bookmarkStart w:id="36" w:name="id2451947"/>
      <w:bookmarkEnd w:id="36"/>
    </w:p>
    <w:p w14:paraId="4E4D12F0" w14:textId="18FB3447" w:rsidR="00803B01" w:rsidRPr="00046550" w:rsidRDefault="00803B01" w:rsidP="00046550">
      <w:pPr>
        <w:rPr>
          <w:rFonts w:ascii="Arial" w:hAnsi="Arial" w:cs="Arial"/>
          <w:b/>
          <w:bCs/>
          <w:color w:val="00B050"/>
          <w:sz w:val="22"/>
          <w:szCs w:val="22"/>
        </w:rPr>
      </w:pPr>
      <w:r w:rsidRPr="00046550">
        <w:rPr>
          <w:rFonts w:ascii="Arial" w:hAnsi="Arial" w:cs="Arial"/>
          <w:b/>
          <w:bCs/>
          <w:color w:val="00B050"/>
          <w:sz w:val="22"/>
          <w:szCs w:val="22"/>
        </w:rPr>
        <w:t>Growth Charts</w:t>
      </w:r>
    </w:p>
    <w:p w14:paraId="73D8DA56" w14:textId="77777777" w:rsidR="00046550" w:rsidRDefault="00046550" w:rsidP="0033639F">
      <w:pPr>
        <w:spacing w:line="276" w:lineRule="auto"/>
        <w:rPr>
          <w:rFonts w:ascii="Arial" w:hAnsi="Arial" w:cs="Arial"/>
          <w:sz w:val="22"/>
          <w:szCs w:val="22"/>
        </w:rPr>
      </w:pPr>
    </w:p>
    <w:p w14:paraId="7DDC5780" w14:textId="6F0A2921" w:rsidR="00803B01" w:rsidRDefault="00803B01" w:rsidP="0033639F">
      <w:pPr>
        <w:spacing w:line="276" w:lineRule="auto"/>
        <w:rPr>
          <w:rFonts w:ascii="Arial" w:hAnsi="Arial" w:cs="Arial"/>
          <w:sz w:val="22"/>
          <w:szCs w:val="22"/>
        </w:rPr>
      </w:pPr>
      <w:r w:rsidRPr="0033639F">
        <w:rPr>
          <w:rFonts w:ascii="Arial" w:hAnsi="Arial" w:cs="Arial"/>
          <w:sz w:val="22"/>
          <w:szCs w:val="22"/>
        </w:rPr>
        <w:t>The growth pattern is a key element of growth assessment and is best studied by plotting growth data on an appropriate growth chart. US growth charts were developed from cross-</w:t>
      </w:r>
      <w:r w:rsidRPr="0033639F">
        <w:rPr>
          <w:rFonts w:ascii="Arial" w:hAnsi="Arial" w:cs="Arial"/>
          <w:sz w:val="22"/>
          <w:szCs w:val="22"/>
        </w:rPr>
        <w:lastRenderedPageBreak/>
        <w:t>sectional data provided by the National Center for Health Statistics and updated in 2000</w:t>
      </w:r>
      <w:r w:rsidR="007120C6" w:rsidRPr="0033639F">
        <w:rPr>
          <w:rFonts w:ascii="Arial" w:hAnsi="Arial" w:cs="Arial"/>
          <w:sz w:val="22"/>
          <w:szCs w:val="22"/>
        </w:rPr>
        <w:t xml:space="preserve"> </w:t>
      </w:r>
      <w:r w:rsidR="007120C6" w:rsidRPr="0033639F">
        <w:rPr>
          <w:rFonts w:ascii="Arial" w:hAnsi="Arial" w:cs="Arial"/>
          <w:noProof/>
          <w:sz w:val="22"/>
          <w:szCs w:val="22"/>
        </w:rPr>
        <w:t>(</w:t>
      </w:r>
      <w:r w:rsidR="00C569B7" w:rsidRPr="0033639F">
        <w:rPr>
          <w:rFonts w:ascii="Arial" w:hAnsi="Arial" w:cs="Arial"/>
          <w:noProof/>
          <w:sz w:val="22"/>
          <w:szCs w:val="22"/>
        </w:rPr>
        <w:t>187</w:t>
      </w:r>
      <w:r w:rsidR="007120C6" w:rsidRPr="0033639F">
        <w:rPr>
          <w:rFonts w:ascii="Arial" w:hAnsi="Arial" w:cs="Arial"/>
          <w:noProof/>
          <w:sz w:val="22"/>
          <w:szCs w:val="22"/>
        </w:rPr>
        <w:t>)</w:t>
      </w:r>
      <w:r w:rsidRPr="0033639F">
        <w:rPr>
          <w:rFonts w:ascii="Arial" w:hAnsi="Arial" w:cs="Arial"/>
          <w:sz w:val="22"/>
          <w:szCs w:val="22"/>
        </w:rPr>
        <w:t xml:space="preserve">, with body mass index included in this newest set. The supine length should be plotted for children from birth through age 3 years and standing height plotted when the child is old enough to stand, generally after 2 years of age. Ideally, growth data is determined by evaluating subjects at regular (optimally at 3 month) intervals, with the same stadiometer, and with the same individual obtaining the measurements, whenever possible. Three months is the minimal time interval needed between measurements to calculate a reliable growth velocity, and a </w:t>
      </w:r>
      <w:r w:rsidR="000D4EB5" w:rsidRPr="0033639F">
        <w:rPr>
          <w:rFonts w:ascii="Arial" w:hAnsi="Arial" w:cs="Arial"/>
          <w:sz w:val="22"/>
          <w:szCs w:val="22"/>
        </w:rPr>
        <w:t>six-to-twelve-month</w:t>
      </w:r>
      <w:r w:rsidRPr="0033639F">
        <w:rPr>
          <w:rFonts w:ascii="Arial" w:hAnsi="Arial" w:cs="Arial"/>
          <w:sz w:val="22"/>
          <w:szCs w:val="22"/>
        </w:rPr>
        <w:t xml:space="preserve"> interval is optimal. Age and pubertal staging must be considered when evaluating the growth velocity, with the understanding that there is great individual variation in the onset and rate of puberty</w:t>
      </w:r>
      <w:r w:rsidRPr="0033639F">
        <w:rPr>
          <w:rFonts w:ascii="Arial" w:hAnsi="Arial" w:cs="Arial"/>
          <w:noProof/>
          <w:sz w:val="22"/>
          <w:szCs w:val="22"/>
        </w:rPr>
        <w:t xml:space="preserve"> </w:t>
      </w:r>
      <w:r w:rsidR="007120C6" w:rsidRPr="0033639F">
        <w:rPr>
          <w:rFonts w:ascii="Arial" w:hAnsi="Arial" w:cs="Arial"/>
          <w:noProof/>
          <w:sz w:val="22"/>
          <w:szCs w:val="22"/>
        </w:rPr>
        <w:t>(</w:t>
      </w:r>
      <w:r w:rsidR="00C569B7" w:rsidRPr="0033639F">
        <w:rPr>
          <w:rFonts w:ascii="Arial" w:hAnsi="Arial" w:cs="Arial"/>
          <w:noProof/>
          <w:sz w:val="22"/>
          <w:szCs w:val="22"/>
        </w:rPr>
        <w:t>188</w:t>
      </w:r>
      <w:r w:rsidR="007120C6" w:rsidRPr="0033639F">
        <w:rPr>
          <w:rFonts w:ascii="Arial" w:hAnsi="Arial" w:cs="Arial"/>
          <w:noProof/>
          <w:sz w:val="22"/>
          <w:szCs w:val="22"/>
        </w:rPr>
        <w:t>)</w:t>
      </w:r>
      <w:r w:rsidRPr="0033639F">
        <w:rPr>
          <w:rFonts w:ascii="Arial" w:hAnsi="Arial" w:cs="Arial"/>
          <w:sz w:val="22"/>
          <w:szCs w:val="22"/>
        </w:rPr>
        <w:t xml:space="preserve">. </w:t>
      </w:r>
    </w:p>
    <w:p w14:paraId="480498C6" w14:textId="77777777" w:rsidR="00046550" w:rsidRPr="0033639F" w:rsidRDefault="00046550" w:rsidP="0033639F">
      <w:pPr>
        <w:spacing w:line="276" w:lineRule="auto"/>
        <w:rPr>
          <w:rFonts w:ascii="Arial" w:hAnsi="Arial" w:cs="Arial"/>
          <w:sz w:val="22"/>
          <w:szCs w:val="22"/>
        </w:rPr>
      </w:pPr>
    </w:p>
    <w:p w14:paraId="20538A12" w14:textId="77777777" w:rsidR="00046550" w:rsidRDefault="00803B01" w:rsidP="0033639F">
      <w:pPr>
        <w:spacing w:line="276" w:lineRule="auto"/>
        <w:rPr>
          <w:rFonts w:ascii="Arial" w:hAnsi="Arial" w:cs="Arial"/>
          <w:sz w:val="22"/>
          <w:szCs w:val="22"/>
        </w:rPr>
      </w:pPr>
      <w:r w:rsidRPr="0033639F">
        <w:rPr>
          <w:rFonts w:ascii="Arial" w:hAnsi="Arial" w:cs="Arial"/>
          <w:sz w:val="22"/>
          <w:szCs w:val="22"/>
        </w:rPr>
        <w:t>Deviations across height percentiles should be noted and evaluated further when confirmed, with the understanding that during the first two years of life, the crossing of length and/or weight percentiles may reflect catch-up or catch-down growth. Crossing percentiles during this period is not always physiological, and must be examined in the context of family, prenatal, birth and medical histories. Additionally, between two and three years of age, statural growth measurement changes from supine to erect, and may also introduce variation. Growth below the normal range (</w:t>
      </w:r>
      <w:r w:rsidRPr="0033639F">
        <w:rPr>
          <w:rFonts w:ascii="Arial" w:hAnsi="Arial" w:cs="Arial"/>
          <w:i/>
          <w:iCs/>
          <w:sz w:val="22"/>
          <w:szCs w:val="22"/>
        </w:rPr>
        <w:t>e.g.</w:t>
      </w:r>
      <w:r w:rsidRPr="0033639F">
        <w:rPr>
          <w:rFonts w:ascii="Arial" w:hAnsi="Arial" w:cs="Arial"/>
          <w:sz w:val="22"/>
          <w:szCs w:val="22"/>
        </w:rPr>
        <w:t xml:space="preserve"> &gt;-2SD) even without further deviation is consistent with (but not pathognomonic of) GH deficiency. Short stature with a low BMI suggests an abnormality of nutrition/GI tract (</w:t>
      </w:r>
      <w:r w:rsidRPr="0033639F">
        <w:rPr>
          <w:rFonts w:ascii="Arial" w:hAnsi="Arial" w:cs="Arial"/>
          <w:i/>
          <w:iCs/>
          <w:sz w:val="22"/>
          <w:szCs w:val="22"/>
        </w:rPr>
        <w:t>e.g.</w:t>
      </w:r>
      <w:r w:rsidRPr="0033639F">
        <w:rPr>
          <w:rFonts w:ascii="Arial" w:hAnsi="Arial" w:cs="Arial"/>
          <w:sz w:val="22"/>
          <w:szCs w:val="22"/>
        </w:rPr>
        <w:t xml:space="preserve"> malnutrition, Celiac Disease, etc.), while short stature with an elevated BMI suggests hypothyroidism, Cushing’s syndrome or a central eating disorder, such as Prader-Willi syndrome, etc.</w:t>
      </w:r>
    </w:p>
    <w:p w14:paraId="0915D34C" w14:textId="7365B812"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w:t>
      </w:r>
    </w:p>
    <w:p w14:paraId="2557BF96" w14:textId="77777777"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Figures 29-31 represent growth charts of children studied by the authors who have genetic defects leading to isolated growth hormone deficiency. </w:t>
      </w:r>
    </w:p>
    <w:p w14:paraId="3E28C8C8" w14:textId="77777777" w:rsidR="00046550" w:rsidRPr="0033639F" w:rsidRDefault="00046550" w:rsidP="0033639F">
      <w:pPr>
        <w:spacing w:line="276" w:lineRule="auto"/>
        <w:rPr>
          <w:rFonts w:ascii="Arial" w:hAnsi="Arial" w:cs="Arial"/>
          <w:sz w:val="22"/>
          <w:szCs w:val="22"/>
        </w:rPr>
      </w:pPr>
    </w:p>
    <w:p w14:paraId="2E95592A" w14:textId="7308927D" w:rsidR="004A6653" w:rsidRDefault="004A6653" w:rsidP="0033639F">
      <w:pPr>
        <w:spacing w:line="276" w:lineRule="auto"/>
        <w:rPr>
          <w:rFonts w:ascii="Arial" w:hAnsi="Arial" w:cs="Arial"/>
          <w:b/>
          <w:bCs/>
          <w:sz w:val="22"/>
          <w:szCs w:val="22"/>
        </w:rPr>
      </w:pPr>
      <w:bookmarkStart w:id="37" w:name="id2452002"/>
      <w:bookmarkEnd w:id="37"/>
      <w:r>
        <w:rPr>
          <w:rFonts w:ascii="Arial" w:hAnsi="Arial" w:cs="Arial"/>
          <w:b/>
          <w:bCs/>
          <w:noProof/>
          <w:sz w:val="22"/>
          <w:szCs w:val="22"/>
        </w:rPr>
        <w:lastRenderedPageBreak/>
        <w:drawing>
          <wp:inline distT="0" distB="0" distL="0" distR="0" wp14:anchorId="18995676" wp14:editId="479B0FDF">
            <wp:extent cx="6217515" cy="5262220"/>
            <wp:effectExtent l="0" t="0" r="0" b="0"/>
            <wp:docPr id="18163729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4488" cy="5268122"/>
                    </a:xfrm>
                    <a:prstGeom prst="rect">
                      <a:avLst/>
                    </a:prstGeom>
                    <a:noFill/>
                  </pic:spPr>
                </pic:pic>
              </a:graphicData>
            </a:graphic>
          </wp:inline>
        </w:drawing>
      </w:r>
    </w:p>
    <w:p w14:paraId="730C13E6" w14:textId="7B921750" w:rsidR="00046550" w:rsidRPr="00046550" w:rsidRDefault="00046550" w:rsidP="0033639F">
      <w:pPr>
        <w:spacing w:line="276" w:lineRule="auto"/>
        <w:rPr>
          <w:rFonts w:ascii="Arial" w:hAnsi="Arial" w:cs="Arial"/>
          <w:b/>
          <w:bCs/>
          <w:sz w:val="22"/>
          <w:szCs w:val="22"/>
        </w:rPr>
      </w:pPr>
      <w:r w:rsidRPr="00046550">
        <w:rPr>
          <w:rFonts w:ascii="Arial" w:hAnsi="Arial" w:cs="Arial"/>
          <w:b/>
          <w:bCs/>
          <w:sz w:val="22"/>
          <w:szCs w:val="22"/>
        </w:rPr>
        <w:t>Figure 29. Growth pattern in children with isolated GH deficiency (Type 1A).</w:t>
      </w:r>
    </w:p>
    <w:p w14:paraId="6E7DB94C" w14:textId="77777777" w:rsidR="00046550" w:rsidRDefault="00046550" w:rsidP="0033639F">
      <w:pPr>
        <w:spacing w:line="276" w:lineRule="auto"/>
        <w:rPr>
          <w:rFonts w:ascii="Arial" w:hAnsi="Arial" w:cs="Arial"/>
          <w:sz w:val="22"/>
          <w:szCs w:val="22"/>
        </w:rPr>
      </w:pPr>
    </w:p>
    <w:p w14:paraId="75E90D87" w14:textId="77777777" w:rsidR="00892788" w:rsidRDefault="00803B01" w:rsidP="0033639F">
      <w:pPr>
        <w:spacing w:line="276" w:lineRule="auto"/>
        <w:rPr>
          <w:rFonts w:ascii="Arial" w:hAnsi="Arial" w:cs="Arial"/>
          <w:sz w:val="22"/>
          <w:szCs w:val="22"/>
        </w:rPr>
      </w:pPr>
      <w:r w:rsidRPr="0033639F">
        <w:rPr>
          <w:rFonts w:ascii="Arial" w:hAnsi="Arial" w:cs="Arial"/>
          <w:sz w:val="22"/>
          <w:szCs w:val="22"/>
        </w:rPr>
        <w:t>Growth failure can manifest as severe growth delay (Figure 29), gradual deceleration (“falling off the curve”) (Figure 30), or alternatively, maintaining a growth pattern parallel to the 3</w:t>
      </w:r>
      <w:r w:rsidRPr="0033639F">
        <w:rPr>
          <w:rFonts w:ascii="Arial" w:hAnsi="Arial" w:cs="Arial"/>
          <w:sz w:val="22"/>
          <w:szCs w:val="22"/>
          <w:vertAlign w:val="superscript"/>
        </w:rPr>
        <w:t>rd</w:t>
      </w:r>
      <w:r w:rsidRPr="0033639F">
        <w:rPr>
          <w:rFonts w:ascii="Arial" w:hAnsi="Arial" w:cs="Arial"/>
          <w:sz w:val="22"/>
          <w:szCs w:val="22"/>
        </w:rPr>
        <w:t xml:space="preserve"> percentile, but without catch-up growth (Figure 31).</w:t>
      </w:r>
    </w:p>
    <w:p w14:paraId="380962E2" w14:textId="77777777" w:rsidR="00892788" w:rsidRDefault="00892788" w:rsidP="0033639F">
      <w:pPr>
        <w:spacing w:line="276" w:lineRule="auto"/>
        <w:rPr>
          <w:rFonts w:ascii="Arial" w:hAnsi="Arial" w:cs="Arial"/>
          <w:sz w:val="22"/>
          <w:szCs w:val="22"/>
        </w:rPr>
      </w:pPr>
    </w:p>
    <w:p w14:paraId="50205180" w14:textId="41F2AA65" w:rsidR="00803B01" w:rsidRPr="0033639F" w:rsidRDefault="00892788" w:rsidP="0033639F">
      <w:pPr>
        <w:spacing w:line="276" w:lineRule="auto"/>
        <w:rPr>
          <w:rFonts w:ascii="Arial" w:hAnsi="Arial" w:cs="Arial"/>
          <w:sz w:val="22"/>
          <w:szCs w:val="22"/>
        </w:rPr>
      </w:pPr>
      <w:r>
        <w:rPr>
          <w:rFonts w:ascii="Arial" w:hAnsi="Arial" w:cs="Arial"/>
          <w:noProof/>
          <w:sz w:val="22"/>
          <w:szCs w:val="22"/>
        </w:rPr>
        <w:lastRenderedPageBreak/>
        <w:drawing>
          <wp:inline distT="0" distB="0" distL="0" distR="0" wp14:anchorId="723F9C6C" wp14:editId="7512918D">
            <wp:extent cx="6149010" cy="4859960"/>
            <wp:effectExtent l="0" t="0" r="4445" b="0"/>
            <wp:docPr id="5819065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65915" cy="4873321"/>
                    </a:xfrm>
                    <a:prstGeom prst="rect">
                      <a:avLst/>
                    </a:prstGeom>
                    <a:noFill/>
                  </pic:spPr>
                </pic:pic>
              </a:graphicData>
            </a:graphic>
          </wp:inline>
        </w:drawing>
      </w:r>
      <w:r w:rsidR="00803B01" w:rsidRPr="0033639F">
        <w:rPr>
          <w:rFonts w:ascii="Arial" w:hAnsi="Arial" w:cs="Arial"/>
          <w:sz w:val="22"/>
          <w:szCs w:val="22"/>
        </w:rPr>
        <w:t xml:space="preserve"> </w:t>
      </w:r>
    </w:p>
    <w:p w14:paraId="42768D4D" w14:textId="208F6254" w:rsidR="004A6653" w:rsidRPr="007A446C" w:rsidRDefault="004A6653" w:rsidP="004A6653">
      <w:pPr>
        <w:rPr>
          <w:rFonts w:ascii="Arial" w:hAnsi="Arial" w:cs="Arial"/>
          <w:b/>
          <w:bCs/>
          <w:sz w:val="22"/>
          <w:szCs w:val="22"/>
        </w:rPr>
      </w:pPr>
      <w:r w:rsidRPr="007A446C">
        <w:rPr>
          <w:rFonts w:ascii="Arial" w:hAnsi="Arial" w:cs="Arial"/>
          <w:b/>
          <w:bCs/>
          <w:sz w:val="22"/>
          <w:szCs w:val="22"/>
        </w:rPr>
        <w:t>Figure 30. Growth pattern in children with isolated GH deficiency (Type 1B)</w:t>
      </w:r>
      <w:r w:rsidR="007A446C" w:rsidRPr="007A446C">
        <w:rPr>
          <w:rFonts w:ascii="Arial" w:hAnsi="Arial" w:cs="Arial"/>
          <w:b/>
          <w:bCs/>
          <w:sz w:val="22"/>
          <w:szCs w:val="22"/>
        </w:rPr>
        <w:t>.</w:t>
      </w:r>
    </w:p>
    <w:p w14:paraId="21949048" w14:textId="77777777" w:rsidR="00803B01" w:rsidRPr="007A446C" w:rsidRDefault="00803B01" w:rsidP="0033639F">
      <w:pPr>
        <w:spacing w:line="276" w:lineRule="auto"/>
        <w:rPr>
          <w:rFonts w:ascii="Arial" w:hAnsi="Arial" w:cs="Arial"/>
          <w:b/>
          <w:bCs/>
          <w:sz w:val="22"/>
          <w:szCs w:val="22"/>
        </w:rPr>
      </w:pPr>
    </w:p>
    <w:p w14:paraId="5FB3279A" w14:textId="6D5EFF9E" w:rsidR="00980CAA" w:rsidRDefault="00980CAA" w:rsidP="0033639F">
      <w:pPr>
        <w:spacing w:line="276" w:lineRule="auto"/>
        <w:rPr>
          <w:rFonts w:ascii="Arial" w:hAnsi="Arial" w:cs="Arial"/>
          <w:b/>
          <w:bCs/>
          <w:sz w:val="22"/>
          <w:szCs w:val="22"/>
        </w:rPr>
      </w:pPr>
      <w:r>
        <w:rPr>
          <w:rFonts w:ascii="Arial" w:hAnsi="Arial" w:cs="Arial"/>
          <w:b/>
          <w:bCs/>
          <w:noProof/>
          <w:sz w:val="22"/>
          <w:szCs w:val="22"/>
        </w:rPr>
        <w:lastRenderedPageBreak/>
        <w:drawing>
          <wp:inline distT="0" distB="0" distL="0" distR="0" wp14:anchorId="447C255E" wp14:editId="4769BE28">
            <wp:extent cx="5903366" cy="4711931"/>
            <wp:effectExtent l="0" t="0" r="2540" b="0"/>
            <wp:docPr id="7419870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12271" cy="4719038"/>
                    </a:xfrm>
                    <a:prstGeom prst="rect">
                      <a:avLst/>
                    </a:prstGeom>
                    <a:noFill/>
                  </pic:spPr>
                </pic:pic>
              </a:graphicData>
            </a:graphic>
          </wp:inline>
        </w:drawing>
      </w:r>
    </w:p>
    <w:p w14:paraId="5601893E" w14:textId="120EDFFA" w:rsidR="00892788" w:rsidRPr="0087402F" w:rsidRDefault="0087402F" w:rsidP="0033639F">
      <w:pPr>
        <w:spacing w:line="276" w:lineRule="auto"/>
        <w:rPr>
          <w:rFonts w:ascii="Arial" w:hAnsi="Arial" w:cs="Arial"/>
          <w:b/>
          <w:bCs/>
          <w:sz w:val="22"/>
          <w:szCs w:val="22"/>
        </w:rPr>
      </w:pPr>
      <w:r w:rsidRPr="0087402F">
        <w:rPr>
          <w:rFonts w:ascii="Arial" w:hAnsi="Arial" w:cs="Arial"/>
          <w:b/>
          <w:bCs/>
          <w:sz w:val="22"/>
          <w:szCs w:val="22"/>
        </w:rPr>
        <w:t>Figure 31. Growth pattern in children with isolated GH deficiency (Type 2).</w:t>
      </w:r>
    </w:p>
    <w:p w14:paraId="329BF816" w14:textId="77777777" w:rsidR="0087402F" w:rsidRDefault="0087402F" w:rsidP="0033639F">
      <w:pPr>
        <w:spacing w:line="276" w:lineRule="auto"/>
        <w:rPr>
          <w:rFonts w:ascii="Arial" w:hAnsi="Arial" w:cs="Arial"/>
          <w:sz w:val="22"/>
          <w:szCs w:val="22"/>
        </w:rPr>
      </w:pPr>
    </w:p>
    <w:p w14:paraId="2624166E" w14:textId="7C71BE3C"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Most children with GH deficiency have normal birth weight and length. However, in most cases, postnatal growth becomes severely compromised. This can be seen even in the first months of life. Although such children may show a normal growth pattern during the first 6 months, growth failure will eventually occur as GH takes on a more physiologically dominant role</w:t>
      </w:r>
      <w:r w:rsidR="00E53036" w:rsidRPr="0033639F">
        <w:rPr>
          <w:rFonts w:ascii="Arial" w:hAnsi="Arial" w:cs="Arial"/>
          <w:sz w:val="22"/>
          <w:szCs w:val="22"/>
        </w:rPr>
        <w:t>,</w:t>
      </w:r>
      <w:r w:rsidRPr="0033639F">
        <w:rPr>
          <w:rFonts w:ascii="Arial" w:hAnsi="Arial" w:cs="Arial"/>
          <w:sz w:val="22"/>
          <w:szCs w:val="22"/>
        </w:rPr>
        <w:t xml:space="preserve"> and a child’s growth falls below the normal range. </w:t>
      </w:r>
    </w:p>
    <w:p w14:paraId="21A05C13" w14:textId="77777777" w:rsidR="00980CAA" w:rsidRDefault="00980CAA" w:rsidP="0033639F">
      <w:pPr>
        <w:pStyle w:val="Heading2"/>
        <w:spacing w:before="0" w:after="0" w:line="276" w:lineRule="auto"/>
        <w:rPr>
          <w:rFonts w:ascii="Arial" w:hAnsi="Arial" w:cs="Arial"/>
          <w:b/>
          <w:bCs/>
          <w:sz w:val="22"/>
          <w:szCs w:val="22"/>
        </w:rPr>
      </w:pPr>
      <w:bookmarkStart w:id="38" w:name="id2452099"/>
      <w:bookmarkEnd w:id="38"/>
    </w:p>
    <w:p w14:paraId="517D4C4E" w14:textId="42729EB7" w:rsidR="00803B01" w:rsidRPr="00980CAA" w:rsidRDefault="00FA1DE8" w:rsidP="00980CAA">
      <w:pPr>
        <w:rPr>
          <w:rFonts w:ascii="Arial" w:hAnsi="Arial" w:cs="Arial"/>
          <w:b/>
          <w:bCs/>
          <w:color w:val="00B050"/>
          <w:sz w:val="22"/>
          <w:szCs w:val="22"/>
        </w:rPr>
      </w:pPr>
      <w:r w:rsidRPr="00980CAA">
        <w:rPr>
          <w:rFonts w:ascii="Arial" w:hAnsi="Arial" w:cs="Arial"/>
          <w:b/>
          <w:bCs/>
          <w:color w:val="00B050"/>
          <w:sz w:val="22"/>
          <w:szCs w:val="22"/>
        </w:rPr>
        <w:t>Radiological</w:t>
      </w:r>
      <w:r w:rsidR="00803B01" w:rsidRPr="00980CAA">
        <w:rPr>
          <w:rFonts w:ascii="Arial" w:hAnsi="Arial" w:cs="Arial"/>
          <w:b/>
          <w:bCs/>
          <w:color w:val="00B050"/>
          <w:sz w:val="22"/>
          <w:szCs w:val="22"/>
        </w:rPr>
        <w:t xml:space="preserve"> Evaluation</w:t>
      </w:r>
    </w:p>
    <w:p w14:paraId="3079AF17" w14:textId="77777777" w:rsidR="00980CAA" w:rsidRPr="00980CAA" w:rsidRDefault="00980CAA" w:rsidP="00980CAA">
      <w:pPr>
        <w:rPr>
          <w:rFonts w:ascii="Arial" w:hAnsi="Arial" w:cs="Arial"/>
          <w:b/>
          <w:bCs/>
          <w:color w:val="00B050"/>
          <w:sz w:val="22"/>
          <w:szCs w:val="22"/>
        </w:rPr>
      </w:pPr>
    </w:p>
    <w:p w14:paraId="4EE53E14" w14:textId="1FF90D23" w:rsidR="00803B01" w:rsidRDefault="00803B01" w:rsidP="0033639F">
      <w:pPr>
        <w:spacing w:line="276" w:lineRule="auto"/>
        <w:rPr>
          <w:rFonts w:ascii="Arial" w:hAnsi="Arial" w:cs="Arial"/>
          <w:sz w:val="22"/>
          <w:szCs w:val="22"/>
        </w:rPr>
      </w:pPr>
      <w:r w:rsidRPr="0033639F">
        <w:rPr>
          <w:rFonts w:ascii="Arial" w:hAnsi="Arial" w:cs="Arial"/>
          <w:sz w:val="22"/>
          <w:szCs w:val="22"/>
        </w:rPr>
        <w:t>The most commonly used system to assess skeletal maturity is to determine the ‘bone age’ of the left hand and wrist, using the method of Greulich and Pyle</w:t>
      </w:r>
      <w:r w:rsidRPr="0033639F">
        <w:rPr>
          <w:rFonts w:ascii="Arial" w:hAnsi="Arial" w:cs="Arial"/>
          <w:noProof/>
          <w:sz w:val="22"/>
          <w:szCs w:val="22"/>
        </w:rPr>
        <w:t xml:space="preserve"> </w:t>
      </w:r>
      <w:r w:rsidR="007120C6" w:rsidRPr="0033639F">
        <w:rPr>
          <w:rFonts w:ascii="Arial" w:hAnsi="Arial" w:cs="Arial"/>
          <w:noProof/>
          <w:sz w:val="22"/>
          <w:szCs w:val="22"/>
        </w:rPr>
        <w:t>(</w:t>
      </w:r>
      <w:r w:rsidR="00C569B7" w:rsidRPr="0033639F">
        <w:rPr>
          <w:rFonts w:ascii="Arial" w:hAnsi="Arial" w:cs="Arial"/>
          <w:noProof/>
          <w:sz w:val="22"/>
          <w:szCs w:val="22"/>
        </w:rPr>
        <w:t>189</w:t>
      </w:r>
      <w:r w:rsidR="007120C6" w:rsidRPr="0033639F">
        <w:rPr>
          <w:rFonts w:ascii="Arial" w:hAnsi="Arial" w:cs="Arial"/>
          <w:noProof/>
          <w:sz w:val="22"/>
          <w:szCs w:val="22"/>
        </w:rPr>
        <w:t>)</w:t>
      </w:r>
      <w:r w:rsidRPr="0033639F">
        <w:rPr>
          <w:rFonts w:ascii="Arial" w:hAnsi="Arial" w:cs="Arial"/>
          <w:sz w:val="22"/>
          <w:szCs w:val="22"/>
        </w:rPr>
        <w:t>. Children younger than 2 years of age should have their bone age estimated from x-rays of the knee. Tanner and Whitehouse and their colleagues developed a scoring system for each of the hand bones as an alternative method to the method of Greulich and Pyle</w:t>
      </w:r>
      <w:r w:rsidRPr="0033639F">
        <w:rPr>
          <w:rFonts w:ascii="Arial" w:hAnsi="Arial" w:cs="Arial"/>
          <w:noProof/>
          <w:sz w:val="22"/>
          <w:szCs w:val="22"/>
        </w:rPr>
        <w:t xml:space="preserve"> </w:t>
      </w:r>
      <w:r w:rsidR="007120C6" w:rsidRPr="0033639F">
        <w:rPr>
          <w:rFonts w:ascii="Arial" w:hAnsi="Arial" w:cs="Arial"/>
          <w:noProof/>
          <w:sz w:val="22"/>
          <w:szCs w:val="22"/>
        </w:rPr>
        <w:t>(</w:t>
      </w:r>
      <w:r w:rsidR="00C569B7" w:rsidRPr="0033639F">
        <w:rPr>
          <w:rFonts w:ascii="Arial" w:hAnsi="Arial" w:cs="Arial"/>
          <w:noProof/>
          <w:sz w:val="22"/>
          <w:szCs w:val="22"/>
        </w:rPr>
        <w:t>190</w:t>
      </w:r>
      <w:r w:rsidR="007120C6" w:rsidRPr="0033639F">
        <w:rPr>
          <w:rFonts w:ascii="Arial" w:hAnsi="Arial" w:cs="Arial"/>
          <w:noProof/>
          <w:sz w:val="22"/>
          <w:szCs w:val="22"/>
        </w:rPr>
        <w:t>)</w:t>
      </w:r>
      <w:r w:rsidRPr="0033639F">
        <w:rPr>
          <w:rFonts w:ascii="Arial" w:hAnsi="Arial" w:cs="Arial"/>
          <w:sz w:val="22"/>
          <w:szCs w:val="22"/>
        </w:rPr>
        <w:t xml:space="preserve">. </w:t>
      </w:r>
    </w:p>
    <w:p w14:paraId="56BEDCA9" w14:textId="77777777" w:rsidR="00980CAA" w:rsidRPr="0033639F" w:rsidRDefault="00980CAA" w:rsidP="0033639F">
      <w:pPr>
        <w:spacing w:line="276" w:lineRule="auto"/>
        <w:rPr>
          <w:rFonts w:ascii="Arial" w:hAnsi="Arial" w:cs="Arial"/>
          <w:sz w:val="22"/>
          <w:szCs w:val="22"/>
        </w:rPr>
      </w:pPr>
    </w:p>
    <w:p w14:paraId="4B8B54C4" w14:textId="064B3BA9" w:rsidR="00803B01" w:rsidRDefault="00803B01" w:rsidP="0033639F">
      <w:pPr>
        <w:spacing w:line="276" w:lineRule="auto"/>
        <w:rPr>
          <w:rFonts w:ascii="Arial" w:hAnsi="Arial" w:cs="Arial"/>
          <w:sz w:val="22"/>
          <w:szCs w:val="22"/>
        </w:rPr>
      </w:pPr>
      <w:r w:rsidRPr="0033639F">
        <w:rPr>
          <w:rFonts w:ascii="Arial" w:hAnsi="Arial" w:cs="Arial"/>
          <w:sz w:val="22"/>
          <w:szCs w:val="22"/>
        </w:rPr>
        <w:t>Adult height prediction methods estimate adult height by evaluating height at presentation relative to normative values for chronological or bone age. Such methods have been utilized for approximately 60 years</w:t>
      </w:r>
      <w:r w:rsidR="007120C6" w:rsidRPr="0033639F">
        <w:rPr>
          <w:rFonts w:ascii="Arial" w:hAnsi="Arial" w:cs="Arial"/>
          <w:sz w:val="22"/>
          <w:szCs w:val="22"/>
        </w:rPr>
        <w:t xml:space="preserve"> </w:t>
      </w:r>
      <w:r w:rsidR="007120C6" w:rsidRPr="0033639F">
        <w:rPr>
          <w:rFonts w:ascii="Arial" w:hAnsi="Arial" w:cs="Arial"/>
          <w:noProof/>
          <w:sz w:val="22"/>
          <w:szCs w:val="22"/>
        </w:rPr>
        <w:t>(</w:t>
      </w:r>
      <w:r w:rsidR="00C569B7" w:rsidRPr="0033639F">
        <w:rPr>
          <w:rFonts w:ascii="Arial" w:hAnsi="Arial" w:cs="Arial"/>
          <w:noProof/>
          <w:sz w:val="22"/>
          <w:szCs w:val="22"/>
        </w:rPr>
        <w:t>191</w:t>
      </w:r>
      <w:r w:rsidR="007120C6" w:rsidRPr="0033639F">
        <w:rPr>
          <w:rFonts w:ascii="Arial" w:hAnsi="Arial" w:cs="Arial"/>
          <w:noProof/>
          <w:sz w:val="22"/>
          <w:szCs w:val="22"/>
        </w:rPr>
        <w:t>)</w:t>
      </w:r>
      <w:r w:rsidRPr="0033639F">
        <w:rPr>
          <w:rFonts w:ascii="Arial" w:hAnsi="Arial" w:cs="Arial"/>
          <w:color w:val="7030A0"/>
          <w:sz w:val="22"/>
          <w:szCs w:val="22"/>
        </w:rPr>
        <w:t xml:space="preserve"> </w:t>
      </w:r>
      <w:r w:rsidRPr="0033639F">
        <w:rPr>
          <w:rFonts w:ascii="Arial" w:hAnsi="Arial" w:cs="Arial"/>
          <w:sz w:val="22"/>
          <w:szCs w:val="22"/>
        </w:rPr>
        <w:t xml:space="preserve">and are generally considered accurate in evaluating healthy </w:t>
      </w:r>
      <w:r w:rsidRPr="0033639F">
        <w:rPr>
          <w:rFonts w:ascii="Arial" w:hAnsi="Arial" w:cs="Arial"/>
          <w:sz w:val="22"/>
          <w:szCs w:val="22"/>
        </w:rPr>
        <w:lastRenderedPageBreak/>
        <w:t>children with a ‘normal’ growth potential</w:t>
      </w:r>
      <w:r w:rsidR="007120C6" w:rsidRPr="0033639F">
        <w:rPr>
          <w:rFonts w:ascii="Arial" w:hAnsi="Arial" w:cs="Arial"/>
          <w:sz w:val="22"/>
          <w:szCs w:val="22"/>
        </w:rPr>
        <w:t xml:space="preserve"> </w:t>
      </w:r>
      <w:r w:rsidR="007120C6" w:rsidRPr="0033639F">
        <w:rPr>
          <w:rFonts w:ascii="Arial" w:hAnsi="Arial" w:cs="Arial"/>
          <w:noProof/>
          <w:sz w:val="22"/>
          <w:szCs w:val="22"/>
        </w:rPr>
        <w:t>(</w:t>
      </w:r>
      <w:r w:rsidR="00C569B7" w:rsidRPr="0033639F">
        <w:rPr>
          <w:rFonts w:ascii="Arial" w:hAnsi="Arial" w:cs="Arial"/>
          <w:noProof/>
          <w:sz w:val="22"/>
          <w:szCs w:val="22"/>
        </w:rPr>
        <w:t>192</w:t>
      </w:r>
      <w:r w:rsidR="007120C6" w:rsidRPr="0033639F">
        <w:rPr>
          <w:rFonts w:ascii="Arial" w:hAnsi="Arial" w:cs="Arial"/>
          <w:noProof/>
          <w:sz w:val="22"/>
          <w:szCs w:val="22"/>
        </w:rPr>
        <w:t>,1</w:t>
      </w:r>
      <w:r w:rsidR="00C569B7" w:rsidRPr="0033639F">
        <w:rPr>
          <w:rFonts w:ascii="Arial" w:hAnsi="Arial" w:cs="Arial"/>
          <w:noProof/>
          <w:sz w:val="22"/>
          <w:szCs w:val="22"/>
        </w:rPr>
        <w:t>93</w:t>
      </w:r>
      <w:r w:rsidR="007120C6" w:rsidRPr="0033639F">
        <w:rPr>
          <w:rFonts w:ascii="Arial" w:hAnsi="Arial" w:cs="Arial"/>
          <w:noProof/>
          <w:sz w:val="22"/>
          <w:szCs w:val="22"/>
        </w:rPr>
        <w:t>)</w:t>
      </w:r>
      <w:r w:rsidRPr="0033639F">
        <w:rPr>
          <w:rFonts w:ascii="Arial" w:hAnsi="Arial" w:cs="Arial"/>
          <w:sz w:val="22"/>
          <w:szCs w:val="22"/>
        </w:rPr>
        <w:t xml:space="preserve">. Several different methods have been produced and are currently in widespread use, including those of Bayley-Pinneau, the Tanner-Whitehouse-Marshall-Carter and Roche-Wainer-Thissen. </w:t>
      </w:r>
    </w:p>
    <w:p w14:paraId="4B647EE8" w14:textId="77777777" w:rsidR="00980CAA" w:rsidRPr="0033639F" w:rsidRDefault="00980CAA" w:rsidP="0033639F">
      <w:pPr>
        <w:spacing w:line="276" w:lineRule="auto"/>
        <w:rPr>
          <w:rFonts w:ascii="Arial" w:hAnsi="Arial" w:cs="Arial"/>
          <w:sz w:val="22"/>
          <w:szCs w:val="22"/>
        </w:rPr>
      </w:pPr>
    </w:p>
    <w:p w14:paraId="3B3FB254" w14:textId="2D8792C2" w:rsidR="00803B01" w:rsidRDefault="00803B01" w:rsidP="0033639F">
      <w:pPr>
        <w:spacing w:line="276" w:lineRule="auto"/>
        <w:rPr>
          <w:rFonts w:ascii="Arial" w:hAnsi="Arial" w:cs="Arial"/>
          <w:sz w:val="22"/>
          <w:szCs w:val="22"/>
        </w:rPr>
      </w:pPr>
      <w:r w:rsidRPr="0033639F">
        <w:rPr>
          <w:rFonts w:ascii="Arial" w:hAnsi="Arial" w:cs="Arial"/>
          <w:sz w:val="22"/>
          <w:szCs w:val="22"/>
        </w:rPr>
        <w:t>In 1946, Bayley initially described how final height could be estimated from the present height and the bone age, revising the method in 1952 to use the bone age assessment method of Greulich and Pyle</w:t>
      </w:r>
      <w:r w:rsidR="007120C6" w:rsidRPr="0033639F">
        <w:rPr>
          <w:rFonts w:ascii="Arial" w:hAnsi="Arial" w:cs="Arial"/>
          <w:sz w:val="22"/>
          <w:szCs w:val="22"/>
        </w:rPr>
        <w:t xml:space="preserve"> </w:t>
      </w:r>
      <w:r w:rsidR="007120C6" w:rsidRPr="0033639F">
        <w:rPr>
          <w:rFonts w:ascii="Arial" w:hAnsi="Arial" w:cs="Arial"/>
          <w:noProof/>
          <w:sz w:val="22"/>
          <w:szCs w:val="22"/>
        </w:rPr>
        <w:t>(</w:t>
      </w:r>
      <w:r w:rsidR="00BF0E6A" w:rsidRPr="0033639F">
        <w:rPr>
          <w:rFonts w:ascii="Arial" w:hAnsi="Arial" w:cs="Arial"/>
          <w:noProof/>
          <w:sz w:val="22"/>
          <w:szCs w:val="22"/>
        </w:rPr>
        <w:t>189</w:t>
      </w:r>
      <w:r w:rsidR="007120C6" w:rsidRPr="0033639F">
        <w:rPr>
          <w:rFonts w:ascii="Arial" w:hAnsi="Arial" w:cs="Arial"/>
          <w:noProof/>
          <w:sz w:val="22"/>
          <w:szCs w:val="22"/>
        </w:rPr>
        <w:t>)</w:t>
      </w:r>
      <w:r w:rsidRPr="0033639F">
        <w:rPr>
          <w:rFonts w:ascii="Arial" w:hAnsi="Arial" w:cs="Arial"/>
          <w:sz w:val="22"/>
          <w:szCs w:val="22"/>
        </w:rPr>
        <w:t>. They developed what is commonly known as the predicted adult height (PAH) method of Bayley-Pinneau (BP). Tables have been developed for the BP method, listing the proportion of adult height attained at different bone ages, using longitudinal growth data on 192 healthy white children predominantly from North European ancestry in the US. Three tables – average, advanced and retarded – correct for possible differences between CA and BA of more than one year</w:t>
      </w:r>
      <w:r w:rsidR="007120C6" w:rsidRPr="0033639F">
        <w:rPr>
          <w:rFonts w:ascii="Arial" w:hAnsi="Arial" w:cs="Arial"/>
          <w:sz w:val="22"/>
          <w:szCs w:val="22"/>
        </w:rPr>
        <w:t xml:space="preserve"> </w:t>
      </w:r>
      <w:r w:rsidR="007120C6" w:rsidRPr="0033639F">
        <w:rPr>
          <w:rFonts w:ascii="Arial" w:hAnsi="Arial" w:cs="Arial"/>
          <w:noProof/>
          <w:sz w:val="22"/>
          <w:szCs w:val="22"/>
        </w:rPr>
        <w:t>(</w:t>
      </w:r>
      <w:r w:rsidR="00BF0E6A" w:rsidRPr="0033639F">
        <w:rPr>
          <w:rFonts w:ascii="Arial" w:hAnsi="Arial" w:cs="Arial"/>
          <w:noProof/>
          <w:sz w:val="22"/>
          <w:szCs w:val="22"/>
        </w:rPr>
        <w:t>194</w:t>
      </w:r>
      <w:r w:rsidR="007120C6" w:rsidRPr="0033639F">
        <w:rPr>
          <w:rFonts w:ascii="Arial" w:hAnsi="Arial" w:cs="Arial"/>
          <w:noProof/>
          <w:sz w:val="22"/>
          <w:szCs w:val="22"/>
        </w:rPr>
        <w:t>)</w:t>
      </w:r>
      <w:r w:rsidRPr="0033639F">
        <w:rPr>
          <w:rFonts w:ascii="Arial" w:hAnsi="Arial" w:cs="Arial"/>
          <w:sz w:val="22"/>
          <w:szCs w:val="22"/>
        </w:rPr>
        <w:t xml:space="preserve">. The Bayley-Pinneau PAH method is applicable from age 8 years onwards. </w:t>
      </w:r>
    </w:p>
    <w:p w14:paraId="73E0F25C" w14:textId="77777777" w:rsidR="00980CAA" w:rsidRPr="0033639F" w:rsidRDefault="00980CAA" w:rsidP="0033639F">
      <w:pPr>
        <w:spacing w:line="276" w:lineRule="auto"/>
        <w:rPr>
          <w:rFonts w:ascii="Arial" w:hAnsi="Arial" w:cs="Arial"/>
          <w:sz w:val="22"/>
          <w:szCs w:val="22"/>
        </w:rPr>
      </w:pPr>
    </w:p>
    <w:p w14:paraId="15A9132A" w14:textId="75F11666" w:rsidR="00803B01" w:rsidRDefault="00803B01" w:rsidP="0033639F">
      <w:pPr>
        <w:spacing w:line="276" w:lineRule="auto"/>
        <w:rPr>
          <w:rFonts w:ascii="Arial" w:hAnsi="Arial" w:cs="Arial"/>
          <w:sz w:val="22"/>
          <w:szCs w:val="22"/>
        </w:rPr>
      </w:pPr>
      <w:r w:rsidRPr="0033639F">
        <w:rPr>
          <w:rFonts w:ascii="Arial" w:hAnsi="Arial" w:cs="Arial"/>
          <w:sz w:val="22"/>
          <w:szCs w:val="22"/>
        </w:rPr>
        <w:t>Tanner, Whitehouse, Marshall and Carter developed an adult height prediction model based on current height, the mid-parental height, the age of menarche in girls and the ‘Tanner’ bone age</w:t>
      </w:r>
      <w:r w:rsidRPr="0033639F">
        <w:rPr>
          <w:rFonts w:ascii="Arial" w:hAnsi="Arial" w:cs="Arial"/>
          <w:noProof/>
          <w:sz w:val="22"/>
          <w:szCs w:val="22"/>
        </w:rPr>
        <w:t xml:space="preserve"> </w:t>
      </w:r>
      <w:r w:rsidR="007120C6" w:rsidRPr="0033639F">
        <w:rPr>
          <w:rFonts w:ascii="Arial" w:hAnsi="Arial" w:cs="Arial"/>
          <w:noProof/>
          <w:sz w:val="22"/>
          <w:szCs w:val="22"/>
        </w:rPr>
        <w:t>(</w:t>
      </w:r>
      <w:r w:rsidR="00BF0E6A" w:rsidRPr="0033639F">
        <w:rPr>
          <w:rFonts w:ascii="Arial" w:hAnsi="Arial" w:cs="Arial"/>
          <w:noProof/>
          <w:sz w:val="22"/>
          <w:szCs w:val="22"/>
        </w:rPr>
        <w:t>190</w:t>
      </w:r>
      <w:r w:rsidR="007120C6" w:rsidRPr="0033639F">
        <w:rPr>
          <w:rFonts w:ascii="Arial" w:hAnsi="Arial" w:cs="Arial"/>
          <w:noProof/>
          <w:sz w:val="22"/>
          <w:szCs w:val="22"/>
        </w:rPr>
        <w:t>)</w:t>
      </w:r>
      <w:r w:rsidRPr="0033639F">
        <w:rPr>
          <w:rFonts w:ascii="Arial" w:hAnsi="Arial" w:cs="Arial"/>
          <w:sz w:val="22"/>
          <w:szCs w:val="22"/>
        </w:rPr>
        <w:t xml:space="preserve">. This PAH method (TW2) was developed on the longitudinal data of 211 healthy, British children. TW2 differs from the BP method in that the TW2 lowers the minimal age of prediction to 4 years, </w:t>
      </w:r>
      <w:r w:rsidR="00C13D4A" w:rsidRPr="0033639F">
        <w:rPr>
          <w:rFonts w:ascii="Arial" w:hAnsi="Arial" w:cs="Arial"/>
          <w:sz w:val="22"/>
          <w:szCs w:val="22"/>
        </w:rPr>
        <w:t>and</w:t>
      </w:r>
      <w:r w:rsidRPr="0033639F">
        <w:rPr>
          <w:rFonts w:ascii="Arial" w:hAnsi="Arial" w:cs="Arial"/>
          <w:sz w:val="22"/>
          <w:szCs w:val="22"/>
        </w:rPr>
        <w:t xml:space="preserve"> allows for a quantitative effect of BA, while BP gives a semi-quantitative effect of bone age (</w:t>
      </w:r>
      <w:r w:rsidRPr="0033639F">
        <w:rPr>
          <w:rFonts w:ascii="Arial" w:hAnsi="Arial" w:cs="Arial"/>
          <w:i/>
          <w:iCs/>
          <w:sz w:val="22"/>
          <w:szCs w:val="22"/>
        </w:rPr>
        <w:t>i.e.</w:t>
      </w:r>
      <w:r w:rsidRPr="0033639F">
        <w:rPr>
          <w:rFonts w:ascii="Arial" w:hAnsi="Arial" w:cs="Arial"/>
          <w:sz w:val="22"/>
          <w:szCs w:val="22"/>
        </w:rPr>
        <w:t xml:space="preserve"> delayed, normal or advanced). </w:t>
      </w:r>
    </w:p>
    <w:p w14:paraId="0790EECF" w14:textId="77777777" w:rsidR="00980CAA" w:rsidRPr="0033639F" w:rsidRDefault="00980CAA" w:rsidP="0033639F">
      <w:pPr>
        <w:spacing w:line="276" w:lineRule="auto"/>
        <w:rPr>
          <w:rFonts w:ascii="Arial" w:hAnsi="Arial" w:cs="Arial"/>
          <w:sz w:val="22"/>
          <w:szCs w:val="22"/>
        </w:rPr>
      </w:pPr>
    </w:p>
    <w:p w14:paraId="1250F326" w14:textId="2397860E" w:rsidR="00803B01" w:rsidRDefault="00803B01" w:rsidP="0033639F">
      <w:pPr>
        <w:spacing w:line="276" w:lineRule="auto"/>
        <w:rPr>
          <w:rFonts w:ascii="Arial" w:hAnsi="Arial" w:cs="Arial"/>
          <w:sz w:val="22"/>
          <w:szCs w:val="22"/>
        </w:rPr>
      </w:pPr>
      <w:r w:rsidRPr="0033639F">
        <w:rPr>
          <w:rFonts w:ascii="Arial" w:hAnsi="Arial" w:cs="Arial"/>
          <w:sz w:val="22"/>
          <w:szCs w:val="22"/>
        </w:rPr>
        <w:t>The PAH method of Roche-Wainer-Thissen (RWT) was derived from longitudinal data on approximately 200 “normal” Caucasian American children in southwestern Ohio, at the Fels Research Institute</w:t>
      </w:r>
      <w:r w:rsidRPr="0033639F">
        <w:rPr>
          <w:rFonts w:ascii="Arial" w:hAnsi="Arial" w:cs="Arial"/>
          <w:noProof/>
          <w:sz w:val="22"/>
          <w:szCs w:val="22"/>
        </w:rPr>
        <w:t xml:space="preserve"> </w:t>
      </w:r>
      <w:r w:rsidR="007120C6" w:rsidRPr="0033639F">
        <w:rPr>
          <w:rFonts w:ascii="Arial" w:hAnsi="Arial" w:cs="Arial"/>
          <w:noProof/>
          <w:sz w:val="22"/>
          <w:szCs w:val="22"/>
        </w:rPr>
        <w:t>(</w:t>
      </w:r>
      <w:r w:rsidR="00BF0E6A" w:rsidRPr="0033639F">
        <w:rPr>
          <w:rFonts w:ascii="Arial" w:hAnsi="Arial" w:cs="Arial"/>
          <w:noProof/>
          <w:sz w:val="22"/>
          <w:szCs w:val="22"/>
        </w:rPr>
        <w:t>195</w:t>
      </w:r>
      <w:r w:rsidR="007120C6" w:rsidRPr="0033639F">
        <w:rPr>
          <w:rFonts w:ascii="Arial" w:hAnsi="Arial" w:cs="Arial"/>
          <w:noProof/>
          <w:sz w:val="22"/>
          <w:szCs w:val="22"/>
        </w:rPr>
        <w:t>)</w:t>
      </w:r>
      <w:r w:rsidRPr="0033639F">
        <w:rPr>
          <w:rFonts w:ascii="Arial" w:hAnsi="Arial" w:cs="Arial"/>
          <w:sz w:val="22"/>
          <w:szCs w:val="22"/>
        </w:rPr>
        <w:t xml:space="preserve">. The RWT PAH method assesses the subject’s height, weight, BA and mid-parental height (MPH) and then applies regression techniques to determine the mathematical weighting to be applied to the four variables. The RWT method was designed to allow final height prediction from a single </w:t>
      </w:r>
      <w:r w:rsidR="00DC7B1C" w:rsidRPr="0033639F">
        <w:rPr>
          <w:rFonts w:ascii="Arial" w:hAnsi="Arial" w:cs="Arial"/>
          <w:sz w:val="22"/>
          <w:szCs w:val="22"/>
        </w:rPr>
        <w:t>visit but</w:t>
      </w:r>
      <w:r w:rsidRPr="0033639F">
        <w:rPr>
          <w:rFonts w:ascii="Arial" w:hAnsi="Arial" w:cs="Arial"/>
          <w:sz w:val="22"/>
          <w:szCs w:val="22"/>
        </w:rPr>
        <w:t xml:space="preserve"> is only applicable when greater than half of the bones are not fully mature. </w:t>
      </w:r>
    </w:p>
    <w:p w14:paraId="7BFE7BD1" w14:textId="77777777" w:rsidR="00980CAA" w:rsidRPr="0033639F" w:rsidRDefault="00980CAA" w:rsidP="0033639F">
      <w:pPr>
        <w:spacing w:line="276" w:lineRule="auto"/>
        <w:rPr>
          <w:rFonts w:ascii="Arial" w:hAnsi="Arial" w:cs="Arial"/>
          <w:sz w:val="22"/>
          <w:szCs w:val="22"/>
        </w:rPr>
      </w:pPr>
    </w:p>
    <w:p w14:paraId="468CB7D2" w14:textId="3E0959BD"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Since both the bone age assessments and height prediction methods are created from healthy children (and often children from a single ethnic group and region), their use in ‘other’ populations is potentially inappropriate. In fact, Tanner </w:t>
      </w:r>
      <w:r w:rsidRPr="0033639F">
        <w:rPr>
          <w:rFonts w:ascii="Arial" w:hAnsi="Arial" w:cs="Arial"/>
          <w:i/>
          <w:iCs/>
          <w:sz w:val="22"/>
          <w:szCs w:val="22"/>
        </w:rPr>
        <w:t>et al</w:t>
      </w:r>
      <w:r w:rsidRPr="0033639F">
        <w:rPr>
          <w:rFonts w:ascii="Arial" w:hAnsi="Arial" w:cs="Arial"/>
          <w:sz w:val="22"/>
          <w:szCs w:val="22"/>
        </w:rPr>
        <w:t xml:space="preserve"> state that their method is applicable to both boys and girls with short stature, but caution that “In clearly pathological children, such as those with endocrinopathies, they do not apply”. Similarly, Roche </w:t>
      </w:r>
      <w:r w:rsidRPr="0033639F">
        <w:rPr>
          <w:rFonts w:ascii="Arial" w:hAnsi="Arial" w:cs="Arial"/>
          <w:i/>
          <w:iCs/>
          <w:sz w:val="22"/>
          <w:szCs w:val="22"/>
        </w:rPr>
        <w:t>et al</w:t>
      </w:r>
      <w:r w:rsidRPr="0033639F">
        <w:rPr>
          <w:rFonts w:ascii="Arial" w:hAnsi="Arial" w:cs="Arial"/>
          <w:sz w:val="22"/>
          <w:szCs w:val="22"/>
        </w:rPr>
        <w:t xml:space="preserve"> suggest caution when applying the RWT PAH method in ‘non-white and pathological populations’</w:t>
      </w:r>
      <w:r w:rsidRPr="0033639F">
        <w:rPr>
          <w:rFonts w:ascii="Arial" w:hAnsi="Arial" w:cs="Arial"/>
          <w:noProof/>
          <w:sz w:val="22"/>
          <w:szCs w:val="22"/>
        </w:rPr>
        <w:t xml:space="preserve"> </w:t>
      </w:r>
      <w:r w:rsidR="007120C6" w:rsidRPr="0033639F">
        <w:rPr>
          <w:rFonts w:ascii="Arial" w:hAnsi="Arial" w:cs="Arial"/>
          <w:noProof/>
          <w:sz w:val="22"/>
          <w:szCs w:val="22"/>
        </w:rPr>
        <w:t>(</w:t>
      </w:r>
      <w:r w:rsidR="00BF0E6A" w:rsidRPr="0033639F">
        <w:rPr>
          <w:rFonts w:ascii="Arial" w:hAnsi="Arial" w:cs="Arial"/>
          <w:noProof/>
          <w:sz w:val="22"/>
          <w:szCs w:val="22"/>
        </w:rPr>
        <w:t>195</w:t>
      </w:r>
      <w:r w:rsidR="007120C6" w:rsidRPr="0033639F">
        <w:rPr>
          <w:rFonts w:ascii="Arial" w:hAnsi="Arial" w:cs="Arial"/>
          <w:noProof/>
          <w:sz w:val="22"/>
          <w:szCs w:val="22"/>
        </w:rPr>
        <w:t>)</w:t>
      </w:r>
      <w:r w:rsidRPr="0033639F">
        <w:rPr>
          <w:rFonts w:ascii="Arial" w:hAnsi="Arial" w:cs="Arial"/>
          <w:sz w:val="22"/>
          <w:szCs w:val="22"/>
        </w:rPr>
        <w:t xml:space="preserve">. Zachmann </w:t>
      </w:r>
      <w:r w:rsidRPr="0033639F">
        <w:rPr>
          <w:rFonts w:ascii="Arial" w:hAnsi="Arial" w:cs="Arial"/>
          <w:i/>
          <w:iCs/>
          <w:sz w:val="22"/>
          <w:szCs w:val="22"/>
        </w:rPr>
        <w:t>et al</w:t>
      </w:r>
      <w:r w:rsidRPr="0033639F">
        <w:rPr>
          <w:rFonts w:ascii="Arial" w:hAnsi="Arial" w:cs="Arial"/>
          <w:sz w:val="22"/>
          <w:szCs w:val="22"/>
        </w:rPr>
        <w:t xml:space="preserve"> reported that the RWT and TW2 methods (which are more BA-reliant) are better when growth potential is normal relative to the BA, however, in conditions with “…abnormal and incorrigible growth patterns…”</w:t>
      </w:r>
      <w:r w:rsidR="006B3C93" w:rsidRPr="0033639F">
        <w:rPr>
          <w:rFonts w:ascii="Arial" w:hAnsi="Arial" w:cs="Arial"/>
          <w:sz w:val="22"/>
          <w:szCs w:val="22"/>
        </w:rPr>
        <w:t xml:space="preserve">, </w:t>
      </w:r>
      <w:r w:rsidRPr="0033639F">
        <w:rPr>
          <w:rFonts w:ascii="Arial" w:hAnsi="Arial" w:cs="Arial"/>
          <w:sz w:val="22"/>
          <w:szCs w:val="22"/>
        </w:rPr>
        <w:t>the BP method was more accurate, stating that with a “non-normal bone maturation to growth potential relationship, the ‘coefficient and regression equations’ (RWT and Tanner) cause an over-prediction of adult height”</w:t>
      </w:r>
      <w:r w:rsidRPr="0033639F">
        <w:rPr>
          <w:rFonts w:ascii="Arial" w:hAnsi="Arial" w:cs="Arial"/>
          <w:noProof/>
          <w:sz w:val="22"/>
          <w:szCs w:val="22"/>
        </w:rPr>
        <w:t xml:space="preserve"> </w:t>
      </w:r>
      <w:r w:rsidR="007120C6" w:rsidRPr="0033639F">
        <w:rPr>
          <w:rFonts w:ascii="Arial" w:hAnsi="Arial" w:cs="Arial"/>
          <w:noProof/>
          <w:sz w:val="22"/>
          <w:szCs w:val="22"/>
        </w:rPr>
        <w:t>(</w:t>
      </w:r>
      <w:r w:rsidR="00BF0E6A" w:rsidRPr="0033639F">
        <w:rPr>
          <w:rFonts w:ascii="Arial" w:hAnsi="Arial" w:cs="Arial"/>
          <w:noProof/>
          <w:sz w:val="22"/>
          <w:szCs w:val="22"/>
        </w:rPr>
        <w:t>196</w:t>
      </w:r>
      <w:r w:rsidR="007120C6" w:rsidRPr="0033639F">
        <w:rPr>
          <w:rFonts w:ascii="Arial" w:hAnsi="Arial" w:cs="Arial"/>
          <w:noProof/>
          <w:sz w:val="22"/>
          <w:szCs w:val="22"/>
        </w:rPr>
        <w:t>)</w:t>
      </w:r>
      <w:r w:rsidRPr="0033639F">
        <w:rPr>
          <w:rFonts w:ascii="Arial" w:hAnsi="Arial" w:cs="Arial"/>
          <w:sz w:val="22"/>
          <w:szCs w:val="22"/>
        </w:rPr>
        <w:t xml:space="preserve">. </w:t>
      </w:r>
    </w:p>
    <w:p w14:paraId="0BEA23B6" w14:textId="77777777" w:rsidR="00980CAA" w:rsidRPr="0033639F" w:rsidRDefault="00980CAA" w:rsidP="0033639F">
      <w:pPr>
        <w:spacing w:line="276" w:lineRule="auto"/>
        <w:rPr>
          <w:rFonts w:ascii="Arial" w:hAnsi="Arial" w:cs="Arial"/>
          <w:sz w:val="22"/>
          <w:szCs w:val="22"/>
        </w:rPr>
      </w:pPr>
    </w:p>
    <w:p w14:paraId="1F74C3EA" w14:textId="621E23ED"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As stated above, these methods are based on healthy children and assume that the growth potential is directly proportional to the amount of time left prior to epiphyseal fusion as measured by the bone age. While this is correct for some of the children seen by the pediatric </w:t>
      </w:r>
      <w:r w:rsidRPr="0033639F">
        <w:rPr>
          <w:rFonts w:ascii="Arial" w:hAnsi="Arial" w:cs="Arial"/>
          <w:sz w:val="22"/>
          <w:szCs w:val="22"/>
        </w:rPr>
        <w:lastRenderedPageBreak/>
        <w:t>endocrinologist (</w:t>
      </w:r>
      <w:r w:rsidRPr="0033639F">
        <w:rPr>
          <w:rFonts w:ascii="Arial" w:hAnsi="Arial" w:cs="Arial"/>
          <w:i/>
          <w:iCs/>
          <w:sz w:val="22"/>
          <w:szCs w:val="22"/>
        </w:rPr>
        <w:t>e.g.</w:t>
      </w:r>
      <w:r w:rsidRPr="0033639F">
        <w:rPr>
          <w:rFonts w:ascii="Arial" w:hAnsi="Arial" w:cs="Arial"/>
          <w:sz w:val="22"/>
          <w:szCs w:val="22"/>
        </w:rPr>
        <w:t xml:space="preserve"> healthy children, children with GH deficiency), it is not correct for many others with abnormal growth (</w:t>
      </w:r>
      <w:r w:rsidRPr="0033639F">
        <w:rPr>
          <w:rFonts w:ascii="Arial" w:hAnsi="Arial" w:cs="Arial"/>
          <w:i/>
          <w:iCs/>
          <w:sz w:val="22"/>
          <w:szCs w:val="22"/>
        </w:rPr>
        <w:t>e.g.</w:t>
      </w:r>
      <w:r w:rsidRPr="0033639F">
        <w:rPr>
          <w:rFonts w:ascii="Arial" w:hAnsi="Arial" w:cs="Arial"/>
          <w:sz w:val="22"/>
          <w:szCs w:val="22"/>
        </w:rPr>
        <w:t xml:space="preserve"> children born SGA, children with idiopathic short stature, Turner syndrome and chronic renal failure). It is likely also inappropriate for children with an abnormal tempo of maturation (</w:t>
      </w:r>
      <w:r w:rsidRPr="0033639F">
        <w:rPr>
          <w:rFonts w:ascii="Arial" w:hAnsi="Arial" w:cs="Arial"/>
          <w:i/>
          <w:iCs/>
          <w:sz w:val="22"/>
          <w:szCs w:val="22"/>
        </w:rPr>
        <w:t>e.g.</w:t>
      </w:r>
      <w:r w:rsidRPr="0033639F">
        <w:rPr>
          <w:rFonts w:ascii="Arial" w:hAnsi="Arial" w:cs="Arial"/>
          <w:sz w:val="22"/>
          <w:szCs w:val="22"/>
        </w:rPr>
        <w:t xml:space="preserve"> children with Russell-Silver syndrome, precocious puberty and congenital adrenal hyperplasia). In such children, standard growth prediction methods should be used only as ‘general guides’, if at all. Table 9 summarizes these 4 methods.</w:t>
      </w:r>
    </w:p>
    <w:p w14:paraId="3BE1022B" w14:textId="77777777" w:rsidR="00980CAA" w:rsidRPr="0033639F" w:rsidRDefault="00980CAA" w:rsidP="0033639F">
      <w:pPr>
        <w:spacing w:line="276" w:lineRule="auto"/>
        <w:rPr>
          <w:rFonts w:ascii="Arial" w:hAnsi="Arial" w:cs="Arial"/>
          <w:sz w:val="22"/>
          <w:szCs w:val="22"/>
        </w:rPr>
      </w:pPr>
    </w:p>
    <w:tbl>
      <w:tblPr>
        <w:tblStyle w:val="TableGrid"/>
        <w:tblW w:w="0" w:type="auto"/>
        <w:tblLook w:val="0000" w:firstRow="0" w:lastRow="0" w:firstColumn="0" w:lastColumn="0" w:noHBand="0" w:noVBand="0"/>
      </w:tblPr>
      <w:tblGrid>
        <w:gridCol w:w="3097"/>
        <w:gridCol w:w="4035"/>
      </w:tblGrid>
      <w:tr w:rsidR="00803B01" w:rsidRPr="0033639F" w14:paraId="78C5183B" w14:textId="77777777" w:rsidTr="00980CAA">
        <w:tc>
          <w:tcPr>
            <w:tcW w:w="7132" w:type="dxa"/>
            <w:gridSpan w:val="2"/>
            <w:shd w:val="clear" w:color="auto" w:fill="FFFF00"/>
          </w:tcPr>
          <w:p w14:paraId="5D8CAC91"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Table 9. Summary of Methods Used for PAH</w:t>
            </w:r>
            <w:r w:rsidRPr="0033639F">
              <w:rPr>
                <w:rFonts w:ascii="Arial" w:hAnsi="Arial" w:cs="Arial"/>
                <w:sz w:val="22"/>
                <w:szCs w:val="22"/>
              </w:rPr>
              <w:t xml:space="preserve"> </w:t>
            </w:r>
          </w:p>
        </w:tc>
      </w:tr>
      <w:tr w:rsidR="00803B01" w:rsidRPr="0033639F" w14:paraId="4770D2EF" w14:textId="77777777" w:rsidTr="00980CAA">
        <w:tc>
          <w:tcPr>
            <w:tcW w:w="3097" w:type="dxa"/>
          </w:tcPr>
          <w:p w14:paraId="3C3F7C4E"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Methods </w:t>
            </w:r>
          </w:p>
        </w:tc>
        <w:tc>
          <w:tcPr>
            <w:tcW w:w="4005" w:type="dxa"/>
          </w:tcPr>
          <w:p w14:paraId="6A909353"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Parameters </w:t>
            </w:r>
          </w:p>
        </w:tc>
      </w:tr>
      <w:tr w:rsidR="00803B01" w:rsidRPr="0033639F" w14:paraId="650B0C6A" w14:textId="77777777" w:rsidTr="00980CAA">
        <w:tc>
          <w:tcPr>
            <w:tcW w:w="3097" w:type="dxa"/>
          </w:tcPr>
          <w:p w14:paraId="4E58F75C" w14:textId="61AB470D" w:rsidR="00803B01" w:rsidRPr="0033639F" w:rsidRDefault="005C007A" w:rsidP="0033639F">
            <w:pPr>
              <w:spacing w:line="276" w:lineRule="auto"/>
              <w:rPr>
                <w:rFonts w:ascii="Arial" w:hAnsi="Arial" w:cs="Arial"/>
                <w:sz w:val="22"/>
                <w:szCs w:val="22"/>
              </w:rPr>
            </w:pPr>
            <w:r w:rsidRPr="0033639F">
              <w:rPr>
                <w:rFonts w:ascii="Arial" w:hAnsi="Arial" w:cs="Arial"/>
                <w:sz w:val="22"/>
                <w:szCs w:val="22"/>
              </w:rPr>
              <w:t>Bayley-Pinneau (BP)</w:t>
            </w:r>
          </w:p>
        </w:tc>
        <w:tc>
          <w:tcPr>
            <w:tcW w:w="4005" w:type="dxa"/>
          </w:tcPr>
          <w:p w14:paraId="46166AC6"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Height, BA, CA </w:t>
            </w:r>
          </w:p>
        </w:tc>
      </w:tr>
      <w:tr w:rsidR="00803B01" w:rsidRPr="0033639F" w14:paraId="5D50B718" w14:textId="77777777" w:rsidTr="00980CAA">
        <w:tc>
          <w:tcPr>
            <w:tcW w:w="3097" w:type="dxa"/>
          </w:tcPr>
          <w:p w14:paraId="73E81A38" w14:textId="5C71F4B0" w:rsidR="00803B01" w:rsidRPr="0033639F" w:rsidRDefault="005C007A" w:rsidP="0033639F">
            <w:pPr>
              <w:spacing w:line="276" w:lineRule="auto"/>
              <w:rPr>
                <w:rFonts w:ascii="Arial" w:hAnsi="Arial" w:cs="Arial"/>
                <w:sz w:val="22"/>
                <w:szCs w:val="22"/>
              </w:rPr>
            </w:pPr>
            <w:r w:rsidRPr="0033639F">
              <w:rPr>
                <w:rFonts w:ascii="Arial" w:hAnsi="Arial" w:cs="Arial"/>
                <w:sz w:val="22"/>
                <w:szCs w:val="22"/>
              </w:rPr>
              <w:t>Tanner-Whitehouse- Marshall and Carter (</w:t>
            </w:r>
            <w:r w:rsidR="00803B01" w:rsidRPr="0033639F">
              <w:rPr>
                <w:rFonts w:ascii="Arial" w:hAnsi="Arial" w:cs="Arial"/>
                <w:sz w:val="22"/>
                <w:szCs w:val="22"/>
              </w:rPr>
              <w:t>TW2</w:t>
            </w:r>
            <w:r w:rsidRPr="0033639F">
              <w:rPr>
                <w:rFonts w:ascii="Arial" w:hAnsi="Arial" w:cs="Arial"/>
                <w:sz w:val="22"/>
                <w:szCs w:val="22"/>
              </w:rPr>
              <w:t>)</w:t>
            </w:r>
            <w:r w:rsidR="00803B01" w:rsidRPr="0033639F">
              <w:rPr>
                <w:rFonts w:ascii="Arial" w:hAnsi="Arial" w:cs="Arial"/>
                <w:sz w:val="22"/>
                <w:szCs w:val="22"/>
              </w:rPr>
              <w:t xml:space="preserve"> </w:t>
            </w:r>
          </w:p>
        </w:tc>
        <w:tc>
          <w:tcPr>
            <w:tcW w:w="4005" w:type="dxa"/>
          </w:tcPr>
          <w:p w14:paraId="2A42BCC6"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Height, BA, CA, MPH, the age of menarche in girls</w:t>
            </w:r>
          </w:p>
        </w:tc>
      </w:tr>
      <w:tr w:rsidR="00803B01" w:rsidRPr="0033639F" w14:paraId="57E2B456" w14:textId="77777777" w:rsidTr="00980CAA">
        <w:tc>
          <w:tcPr>
            <w:tcW w:w="3097" w:type="dxa"/>
          </w:tcPr>
          <w:p w14:paraId="7C8CF246" w14:textId="02D1A67A" w:rsidR="00803B01" w:rsidRPr="0033639F" w:rsidRDefault="005C007A" w:rsidP="0033639F">
            <w:pPr>
              <w:spacing w:line="276" w:lineRule="auto"/>
              <w:rPr>
                <w:rFonts w:ascii="Arial" w:hAnsi="Arial" w:cs="Arial"/>
                <w:sz w:val="22"/>
                <w:szCs w:val="22"/>
              </w:rPr>
            </w:pPr>
            <w:r w:rsidRPr="0033639F">
              <w:rPr>
                <w:rFonts w:ascii="Arial" w:hAnsi="Arial" w:cs="Arial"/>
                <w:sz w:val="22"/>
                <w:szCs w:val="22"/>
              </w:rPr>
              <w:t>Roche-Wainer-Thissen (RWT)</w:t>
            </w:r>
          </w:p>
        </w:tc>
        <w:tc>
          <w:tcPr>
            <w:tcW w:w="4005" w:type="dxa"/>
          </w:tcPr>
          <w:p w14:paraId="46377079"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Height, weight, BA, MPH </w:t>
            </w:r>
          </w:p>
        </w:tc>
      </w:tr>
      <w:tr w:rsidR="00803B01" w:rsidRPr="0033639F" w14:paraId="44F1ADB3" w14:textId="77777777" w:rsidTr="00980CAA">
        <w:tc>
          <w:tcPr>
            <w:tcW w:w="3097" w:type="dxa"/>
          </w:tcPr>
          <w:p w14:paraId="2F2D340A"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Khamis-Roche</w:t>
            </w:r>
          </w:p>
        </w:tc>
        <w:tc>
          <w:tcPr>
            <w:tcW w:w="4005" w:type="dxa"/>
          </w:tcPr>
          <w:p w14:paraId="74323394"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Height, weight, MPH</w:t>
            </w:r>
          </w:p>
        </w:tc>
      </w:tr>
    </w:tbl>
    <w:p w14:paraId="711EBB12" w14:textId="77777777" w:rsidR="004349A9" w:rsidRPr="0033639F" w:rsidRDefault="004349A9" w:rsidP="0033639F">
      <w:pPr>
        <w:spacing w:line="276" w:lineRule="auto"/>
        <w:rPr>
          <w:rFonts w:ascii="Arial" w:hAnsi="Arial" w:cs="Arial"/>
          <w:sz w:val="22"/>
          <w:szCs w:val="22"/>
        </w:rPr>
      </w:pPr>
    </w:p>
    <w:p w14:paraId="7E965BF0" w14:textId="604D1DEB" w:rsidR="00803B01" w:rsidRPr="00980CAA" w:rsidRDefault="00803B01" w:rsidP="00980CAA">
      <w:pPr>
        <w:rPr>
          <w:rFonts w:ascii="Arial" w:hAnsi="Arial" w:cs="Arial"/>
          <w:b/>
          <w:bCs/>
          <w:color w:val="00B050"/>
          <w:sz w:val="22"/>
          <w:szCs w:val="22"/>
        </w:rPr>
      </w:pPr>
      <w:bookmarkStart w:id="39" w:name="id2453455"/>
      <w:bookmarkEnd w:id="39"/>
      <w:r w:rsidRPr="00980CAA">
        <w:rPr>
          <w:rFonts w:ascii="Arial" w:hAnsi="Arial" w:cs="Arial"/>
          <w:b/>
          <w:bCs/>
          <w:color w:val="00B050"/>
          <w:sz w:val="22"/>
          <w:szCs w:val="22"/>
        </w:rPr>
        <w:t>Biochemical Evaluation of GH Deficiency</w:t>
      </w:r>
    </w:p>
    <w:p w14:paraId="48D8F092" w14:textId="77777777" w:rsidR="00980CAA" w:rsidRDefault="00980CAA" w:rsidP="0033639F">
      <w:pPr>
        <w:spacing w:line="276" w:lineRule="auto"/>
        <w:rPr>
          <w:rFonts w:ascii="Arial" w:hAnsi="Arial" w:cs="Arial"/>
          <w:sz w:val="22"/>
          <w:szCs w:val="22"/>
        </w:rPr>
      </w:pPr>
    </w:p>
    <w:p w14:paraId="6951F48E" w14:textId="4C392F50"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As growth hormone is secreted in a pulsatile manner (usually 6 pulses in 24 hours and mainly during the night) with little serum GH at any given time, several methods have been developed to assess the adequacy of GH secretion: </w:t>
      </w:r>
    </w:p>
    <w:p w14:paraId="4BA41FB0" w14:textId="77777777" w:rsidR="00980CAA" w:rsidRPr="0033639F" w:rsidRDefault="00980CAA" w:rsidP="0033639F">
      <w:pPr>
        <w:spacing w:line="276" w:lineRule="auto"/>
        <w:rPr>
          <w:rFonts w:ascii="Arial" w:hAnsi="Arial" w:cs="Arial"/>
          <w:sz w:val="22"/>
          <w:szCs w:val="22"/>
        </w:rPr>
      </w:pPr>
    </w:p>
    <w:p w14:paraId="081FDADC" w14:textId="56C67FFB" w:rsidR="00803B01" w:rsidRPr="0033639F" w:rsidRDefault="00803B01" w:rsidP="00980CAA">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1.   </w:t>
      </w:r>
      <w:r w:rsidRPr="0033639F">
        <w:rPr>
          <w:rFonts w:ascii="Arial" w:hAnsi="Arial" w:cs="Arial"/>
          <w:b/>
          <w:bCs/>
          <w:i/>
          <w:iCs/>
          <w:sz w:val="22"/>
          <w:szCs w:val="22"/>
        </w:rPr>
        <w:t>Stimulation testing:</w:t>
      </w:r>
      <w:r w:rsidRPr="0033639F">
        <w:rPr>
          <w:rFonts w:ascii="Arial" w:hAnsi="Arial" w:cs="Arial"/>
          <w:sz w:val="22"/>
          <w:szCs w:val="22"/>
        </w:rPr>
        <w:t xml:space="preserve"> GH provocation utilizing arginine, clonidine, glucagon, L-Dopa, insulin, etc. This practice generally measures pituitary reserve-or GH secretory ability-rather than endogenous secretory status. It is labor intensive and trained individuals should perform the GH stimulation test according to a standardized protocol, with special care taken with younger children/infants</w:t>
      </w:r>
      <w:r w:rsidR="00BF0E6A" w:rsidRPr="0033639F">
        <w:rPr>
          <w:rFonts w:ascii="Arial" w:hAnsi="Arial" w:cs="Arial"/>
          <w:sz w:val="22"/>
          <w:szCs w:val="22"/>
        </w:rPr>
        <w:t xml:space="preserve"> (186).</w:t>
      </w:r>
      <w:r w:rsidR="00DE7137" w:rsidRPr="0033639F">
        <w:rPr>
          <w:rFonts w:ascii="Arial" w:hAnsi="Arial" w:cs="Arial"/>
          <w:sz w:val="22"/>
          <w:szCs w:val="22"/>
        </w:rPr>
        <w:t xml:space="preserve"> </w:t>
      </w:r>
    </w:p>
    <w:p w14:paraId="491BD348" w14:textId="77777777" w:rsidR="00803B01" w:rsidRPr="0033639F" w:rsidRDefault="00803B01" w:rsidP="00980CAA">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2.   </w:t>
      </w:r>
      <w:r w:rsidRPr="0033639F">
        <w:rPr>
          <w:rFonts w:ascii="Arial" w:hAnsi="Arial" w:cs="Arial"/>
          <w:b/>
          <w:bCs/>
          <w:i/>
          <w:iCs/>
          <w:sz w:val="22"/>
          <w:szCs w:val="22"/>
        </w:rPr>
        <w:t>GH-dependent biochemical markers:</w:t>
      </w:r>
      <w:r w:rsidRPr="0033639F">
        <w:rPr>
          <w:rFonts w:ascii="Arial" w:hAnsi="Arial" w:cs="Arial"/>
          <w:sz w:val="22"/>
          <w:szCs w:val="22"/>
        </w:rPr>
        <w:t xml:space="preserve"> IGF1 and IGFBP3: Values below a cut-off less than -2 SD for IGF1 and/or IGFBP3 strongly suggest an abnormality in the GH axis if other causes of low IGF have been excluded. Age and gender appropriate reference ranges for IGF1 and IGFBP3 are mandatory. </w:t>
      </w:r>
    </w:p>
    <w:p w14:paraId="4B85552F" w14:textId="77777777" w:rsidR="00803B01" w:rsidRPr="0033639F" w:rsidRDefault="00803B01" w:rsidP="00980CAA">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3.   </w:t>
      </w:r>
      <w:r w:rsidRPr="0033639F">
        <w:rPr>
          <w:rFonts w:ascii="Arial" w:hAnsi="Arial" w:cs="Arial"/>
          <w:b/>
          <w:bCs/>
          <w:i/>
          <w:iCs/>
          <w:sz w:val="22"/>
          <w:szCs w:val="22"/>
        </w:rPr>
        <w:t>24-hour or Overnight GH sampling:</w:t>
      </w:r>
      <w:r w:rsidRPr="0033639F">
        <w:rPr>
          <w:rFonts w:ascii="Arial" w:hAnsi="Arial" w:cs="Arial"/>
          <w:sz w:val="22"/>
          <w:szCs w:val="22"/>
        </w:rPr>
        <w:t xml:space="preserve"> Blood sampling at frequent intervals designed to quantify physiologic bursts of GH secretion. </w:t>
      </w:r>
    </w:p>
    <w:p w14:paraId="5521D8B8" w14:textId="75CFA829" w:rsidR="00803B01" w:rsidRDefault="00803B01" w:rsidP="00980CAA">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4.   </w:t>
      </w:r>
      <w:r w:rsidRPr="0033639F">
        <w:rPr>
          <w:rFonts w:ascii="Arial" w:hAnsi="Arial" w:cs="Arial"/>
          <w:b/>
          <w:bCs/>
          <w:i/>
          <w:iCs/>
          <w:sz w:val="22"/>
          <w:szCs w:val="22"/>
        </w:rPr>
        <w:t>IGF generation test:</w:t>
      </w:r>
      <w:r w:rsidRPr="0033639F">
        <w:rPr>
          <w:rFonts w:ascii="Arial" w:hAnsi="Arial" w:cs="Arial"/>
          <w:sz w:val="22"/>
          <w:szCs w:val="22"/>
        </w:rPr>
        <w:t xml:space="preserve"> This test is used to assess GH action and for the confirmation of suspected GH insensitivity. GH is given for several days (3-5 days) with serum IGF1 and IGFBP3 levels measured at the start and end of the test. A sufficient rise in IGF1 and IGFBP3 levels would exclude severe forms of GH insensitivity</w:t>
      </w:r>
      <w:r w:rsidRPr="0033639F">
        <w:rPr>
          <w:rFonts w:ascii="Arial" w:hAnsi="Arial" w:cs="Arial"/>
          <w:noProof/>
          <w:sz w:val="22"/>
          <w:szCs w:val="22"/>
        </w:rPr>
        <w:t xml:space="preserve"> </w:t>
      </w:r>
      <w:r w:rsidR="00CA7014" w:rsidRPr="0033639F">
        <w:rPr>
          <w:rFonts w:ascii="Arial" w:hAnsi="Arial" w:cs="Arial"/>
          <w:noProof/>
          <w:sz w:val="22"/>
          <w:szCs w:val="22"/>
        </w:rPr>
        <w:t>(</w:t>
      </w:r>
      <w:r w:rsidR="00653FD0" w:rsidRPr="0033639F">
        <w:rPr>
          <w:rFonts w:ascii="Arial" w:hAnsi="Arial" w:cs="Arial"/>
          <w:noProof/>
          <w:sz w:val="22"/>
          <w:szCs w:val="22"/>
        </w:rPr>
        <w:t>103</w:t>
      </w:r>
      <w:r w:rsidR="00CA7014" w:rsidRPr="0033639F">
        <w:rPr>
          <w:rFonts w:ascii="Arial" w:hAnsi="Arial" w:cs="Arial"/>
          <w:noProof/>
          <w:sz w:val="22"/>
          <w:szCs w:val="22"/>
        </w:rPr>
        <w:t>,</w:t>
      </w:r>
      <w:r w:rsidR="00653FD0" w:rsidRPr="0033639F">
        <w:rPr>
          <w:rFonts w:ascii="Arial" w:hAnsi="Arial" w:cs="Arial"/>
          <w:noProof/>
          <w:sz w:val="22"/>
          <w:szCs w:val="22"/>
        </w:rPr>
        <w:t>188</w:t>
      </w:r>
      <w:r w:rsidR="00CA7014" w:rsidRPr="0033639F">
        <w:rPr>
          <w:rFonts w:ascii="Arial" w:hAnsi="Arial" w:cs="Arial"/>
          <w:noProof/>
          <w:sz w:val="22"/>
          <w:szCs w:val="22"/>
        </w:rPr>
        <w:t>)</w:t>
      </w:r>
      <w:r w:rsidRPr="0033639F">
        <w:rPr>
          <w:rFonts w:ascii="Arial" w:hAnsi="Arial" w:cs="Arial"/>
          <w:sz w:val="22"/>
          <w:szCs w:val="22"/>
        </w:rPr>
        <w:t xml:space="preserve">. </w:t>
      </w:r>
    </w:p>
    <w:p w14:paraId="20C9722E" w14:textId="77777777" w:rsidR="00980CAA" w:rsidRPr="0033639F" w:rsidRDefault="00980CAA" w:rsidP="00980CAA">
      <w:pPr>
        <w:tabs>
          <w:tab w:val="num" w:pos="720"/>
        </w:tabs>
        <w:spacing w:line="276" w:lineRule="auto"/>
        <w:ind w:left="360" w:hanging="360"/>
        <w:rPr>
          <w:rFonts w:ascii="Arial" w:hAnsi="Arial" w:cs="Arial"/>
          <w:sz w:val="22"/>
          <w:szCs w:val="22"/>
        </w:rPr>
      </w:pPr>
    </w:p>
    <w:p w14:paraId="0E83F339" w14:textId="78B02B83"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Failure to raise the serum GH level to the threshold level in response to provocation suggests the diagnosis of GH deficiency, while a low IGF1 and/or IGFBP3 level is supportive evidence. Although pharmacological GH stimulation tests have known deficiencies such as poor reproducibility, arbitrary cut-off limits, varying GH assays, side effects, and labor intensivity requiring trained staff, they remain the most easily available and accepted tools to evaluate pituitary GH secretory capacity. GH stimulation test results should be interpreted carefully in </w:t>
      </w:r>
      <w:r w:rsidRPr="0033639F">
        <w:rPr>
          <w:rFonts w:ascii="Arial" w:hAnsi="Arial" w:cs="Arial"/>
          <w:sz w:val="22"/>
          <w:szCs w:val="22"/>
        </w:rPr>
        <w:lastRenderedPageBreak/>
        <w:t>conjunction with pubertal status and body weight. Puberty and administration of sex steroids increase GH response to stimulation tests</w:t>
      </w:r>
      <w:r w:rsidRPr="0033639F">
        <w:rPr>
          <w:rFonts w:ascii="Arial" w:hAnsi="Arial" w:cs="Arial"/>
          <w:noProof/>
          <w:sz w:val="22"/>
          <w:szCs w:val="22"/>
        </w:rPr>
        <w:t xml:space="preserve"> </w:t>
      </w:r>
      <w:r w:rsidR="00CA7014" w:rsidRPr="0033639F">
        <w:rPr>
          <w:rFonts w:ascii="Arial" w:hAnsi="Arial" w:cs="Arial"/>
          <w:noProof/>
          <w:sz w:val="22"/>
          <w:szCs w:val="22"/>
        </w:rPr>
        <w:t>(</w:t>
      </w:r>
      <w:r w:rsidR="00653FD0" w:rsidRPr="0033639F">
        <w:rPr>
          <w:rFonts w:ascii="Arial" w:hAnsi="Arial" w:cs="Arial"/>
          <w:noProof/>
          <w:sz w:val="22"/>
          <w:szCs w:val="22"/>
        </w:rPr>
        <w:t>197</w:t>
      </w:r>
      <w:r w:rsidR="00CA7014" w:rsidRPr="0033639F">
        <w:rPr>
          <w:rFonts w:ascii="Arial" w:hAnsi="Arial" w:cs="Arial"/>
          <w:noProof/>
          <w:sz w:val="22"/>
          <w:szCs w:val="22"/>
        </w:rPr>
        <w:t>)</w:t>
      </w:r>
      <w:r w:rsidRPr="0033639F">
        <w:rPr>
          <w:rFonts w:ascii="Arial" w:hAnsi="Arial" w:cs="Arial"/>
          <w:sz w:val="22"/>
          <w:szCs w:val="22"/>
        </w:rPr>
        <w:t>. To prevent false positive results, some centers use sex steroid priming in prepubertal children prior to GH stimulation testing</w:t>
      </w:r>
      <w:r w:rsidR="00CA7014" w:rsidRPr="0033639F">
        <w:rPr>
          <w:rFonts w:ascii="Arial" w:hAnsi="Arial" w:cs="Arial"/>
          <w:sz w:val="22"/>
          <w:szCs w:val="22"/>
        </w:rPr>
        <w:t xml:space="preserve"> </w:t>
      </w:r>
      <w:r w:rsidR="00CA7014" w:rsidRPr="0033639F">
        <w:rPr>
          <w:rFonts w:ascii="Arial" w:hAnsi="Arial" w:cs="Arial"/>
          <w:noProof/>
          <w:sz w:val="22"/>
          <w:szCs w:val="22"/>
        </w:rPr>
        <w:t>(</w:t>
      </w:r>
      <w:r w:rsidR="00653FD0" w:rsidRPr="0033639F">
        <w:rPr>
          <w:rFonts w:ascii="Arial" w:hAnsi="Arial" w:cs="Arial"/>
          <w:noProof/>
          <w:sz w:val="22"/>
          <w:szCs w:val="22"/>
        </w:rPr>
        <w:t>198</w:t>
      </w:r>
      <w:r w:rsidR="00CA7014" w:rsidRPr="0033639F">
        <w:rPr>
          <w:rFonts w:ascii="Arial" w:hAnsi="Arial" w:cs="Arial"/>
          <w:noProof/>
          <w:sz w:val="22"/>
          <w:szCs w:val="22"/>
        </w:rPr>
        <w:t>)</w:t>
      </w:r>
      <w:r w:rsidRPr="0033639F">
        <w:rPr>
          <w:rFonts w:ascii="Arial" w:hAnsi="Arial" w:cs="Arial"/>
          <w:sz w:val="22"/>
          <w:szCs w:val="22"/>
        </w:rPr>
        <w:t xml:space="preserve">. In obese children, the normal regulation of the GH/IGF1 axis is disturbed and GH secretion is decreased. IGF1 levels are very sensitive to </w:t>
      </w:r>
      <w:r w:rsidR="00F96B49" w:rsidRPr="0033639F">
        <w:rPr>
          <w:rFonts w:ascii="Arial" w:hAnsi="Arial" w:cs="Arial"/>
          <w:sz w:val="22"/>
          <w:szCs w:val="22"/>
        </w:rPr>
        <w:t>nutritional</w:t>
      </w:r>
      <w:r w:rsidRPr="0033639F">
        <w:rPr>
          <w:rFonts w:ascii="Arial" w:hAnsi="Arial" w:cs="Arial"/>
          <w:sz w:val="22"/>
          <w:szCs w:val="22"/>
        </w:rPr>
        <w:t xml:space="preserve"> status, while IGFBP3 are less so. Additionally, the normative range for IGF1 and IGFBP3 values are extremely wide, often with poor discrimination between normal and pathological. Age/pubertal stage and gender-specific threshold values must be utilized for both IGF1 and IGFBP3.</w:t>
      </w:r>
    </w:p>
    <w:p w14:paraId="5FFCB2C3" w14:textId="77777777" w:rsidR="00980CAA" w:rsidRPr="0033639F" w:rsidRDefault="00980CAA" w:rsidP="0033639F">
      <w:pPr>
        <w:spacing w:line="276" w:lineRule="auto"/>
        <w:rPr>
          <w:rFonts w:ascii="Arial" w:hAnsi="Arial" w:cs="Arial"/>
          <w:sz w:val="22"/>
          <w:szCs w:val="22"/>
        </w:rPr>
      </w:pPr>
    </w:p>
    <w:p w14:paraId="77168627" w14:textId="48B6A3B9"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Due to </w:t>
      </w:r>
      <w:r w:rsidR="00D3487D" w:rsidRPr="0033639F">
        <w:rPr>
          <w:rFonts w:ascii="Arial" w:hAnsi="Arial" w:cs="Arial"/>
          <w:sz w:val="22"/>
          <w:szCs w:val="22"/>
        </w:rPr>
        <w:t>the above</w:t>
      </w:r>
      <w:r w:rsidRPr="0033639F">
        <w:rPr>
          <w:rFonts w:ascii="Arial" w:hAnsi="Arial" w:cs="Arial"/>
          <w:sz w:val="22"/>
          <w:szCs w:val="22"/>
        </w:rPr>
        <w:t xml:space="preserve"> limitations of current agents, the quest for new, more reliable agents that with fewer side effects and are less labor intensive has been ongoing. One of them is macimorelin acetate, a potent, orally administered growth hormone (GH) secretagogue approved by the FDA and European Medical Agency (EMA) for diagnosing adult growth hormone deficiency</w:t>
      </w:r>
      <w:r w:rsidR="00F373D1" w:rsidRPr="0033639F">
        <w:rPr>
          <w:rFonts w:ascii="Arial" w:hAnsi="Arial" w:cs="Arial"/>
          <w:sz w:val="22"/>
          <w:szCs w:val="22"/>
        </w:rPr>
        <w:t xml:space="preserve"> </w:t>
      </w:r>
      <w:r w:rsidR="00F373D1" w:rsidRPr="0033639F">
        <w:rPr>
          <w:rFonts w:ascii="Arial" w:hAnsi="Arial" w:cs="Arial"/>
          <w:noProof/>
          <w:sz w:val="22"/>
          <w:szCs w:val="22"/>
        </w:rPr>
        <w:t>(</w:t>
      </w:r>
      <w:r w:rsidR="00653FD0" w:rsidRPr="0033639F">
        <w:rPr>
          <w:rFonts w:ascii="Arial" w:hAnsi="Arial" w:cs="Arial"/>
          <w:noProof/>
          <w:sz w:val="22"/>
          <w:szCs w:val="22"/>
        </w:rPr>
        <w:t>199</w:t>
      </w:r>
      <w:r w:rsidR="00F373D1" w:rsidRPr="0033639F">
        <w:rPr>
          <w:rFonts w:ascii="Arial" w:hAnsi="Arial" w:cs="Arial"/>
          <w:noProof/>
          <w:sz w:val="22"/>
          <w:szCs w:val="22"/>
        </w:rPr>
        <w:t>,</w:t>
      </w:r>
      <w:r w:rsidR="00653FD0" w:rsidRPr="0033639F">
        <w:rPr>
          <w:rFonts w:ascii="Arial" w:hAnsi="Arial" w:cs="Arial"/>
          <w:noProof/>
          <w:sz w:val="22"/>
          <w:szCs w:val="22"/>
        </w:rPr>
        <w:t>200</w:t>
      </w:r>
      <w:r w:rsidR="00F373D1" w:rsidRPr="0033639F">
        <w:rPr>
          <w:rFonts w:ascii="Arial" w:hAnsi="Arial" w:cs="Arial"/>
          <w:noProof/>
          <w:sz w:val="22"/>
          <w:szCs w:val="22"/>
        </w:rPr>
        <w:t>)</w:t>
      </w:r>
      <w:r w:rsidRPr="0033639F">
        <w:rPr>
          <w:rFonts w:ascii="Arial" w:hAnsi="Arial" w:cs="Arial"/>
          <w:sz w:val="22"/>
          <w:szCs w:val="22"/>
        </w:rPr>
        <w:t xml:space="preserve">. It functions by increasing GH levels acutely via the ghrelin receptor GHSR1-a </w:t>
      </w:r>
      <w:r w:rsidR="00F373D1" w:rsidRPr="0033639F">
        <w:rPr>
          <w:rFonts w:ascii="Arial" w:hAnsi="Arial" w:cs="Arial"/>
          <w:noProof/>
          <w:sz w:val="22"/>
          <w:szCs w:val="22"/>
        </w:rPr>
        <w:t>(</w:t>
      </w:r>
      <w:r w:rsidR="00653FD0" w:rsidRPr="0033639F">
        <w:rPr>
          <w:rFonts w:ascii="Arial" w:hAnsi="Arial" w:cs="Arial"/>
          <w:noProof/>
          <w:sz w:val="22"/>
          <w:szCs w:val="22"/>
        </w:rPr>
        <w:t>199</w:t>
      </w:r>
      <w:r w:rsidR="00F373D1" w:rsidRPr="0033639F">
        <w:rPr>
          <w:rFonts w:ascii="Arial" w:hAnsi="Arial" w:cs="Arial"/>
          <w:noProof/>
          <w:sz w:val="22"/>
          <w:szCs w:val="22"/>
        </w:rPr>
        <w:t>)</w:t>
      </w:r>
      <w:r w:rsidRPr="0033639F">
        <w:rPr>
          <w:rFonts w:ascii="Arial" w:hAnsi="Arial" w:cs="Arial"/>
          <w:sz w:val="22"/>
          <w:szCs w:val="22"/>
        </w:rPr>
        <w:t xml:space="preserve">. Csákváry </w:t>
      </w:r>
      <w:r w:rsidRPr="0033639F">
        <w:rPr>
          <w:rFonts w:ascii="Arial" w:hAnsi="Arial" w:cs="Arial"/>
          <w:i/>
          <w:iCs/>
          <w:sz w:val="22"/>
          <w:szCs w:val="22"/>
        </w:rPr>
        <w:t>et al</w:t>
      </w:r>
      <w:r w:rsidRPr="0033639F" w:rsidDel="00C5095B">
        <w:rPr>
          <w:rFonts w:ascii="Arial" w:hAnsi="Arial" w:cs="Arial"/>
          <w:sz w:val="22"/>
          <w:szCs w:val="22"/>
        </w:rPr>
        <w:t xml:space="preserve"> </w:t>
      </w:r>
      <w:r w:rsidRPr="0033639F">
        <w:rPr>
          <w:rFonts w:ascii="Arial" w:hAnsi="Arial" w:cs="Arial"/>
          <w:sz w:val="22"/>
          <w:szCs w:val="22"/>
        </w:rPr>
        <w:t xml:space="preserve">investigated the use of macimorelin as a diagnostic test in children with suspected GH deficiency, finding it to be safe and well-tolerated across different dosing cohorts </w:t>
      </w:r>
      <w:r w:rsidR="00F373D1" w:rsidRPr="0033639F">
        <w:rPr>
          <w:rFonts w:ascii="Arial" w:hAnsi="Arial" w:cs="Arial"/>
          <w:noProof/>
          <w:sz w:val="22"/>
          <w:szCs w:val="22"/>
        </w:rPr>
        <w:t>(</w:t>
      </w:r>
      <w:r w:rsidR="00653FD0" w:rsidRPr="0033639F">
        <w:rPr>
          <w:rFonts w:ascii="Arial" w:hAnsi="Arial" w:cs="Arial"/>
          <w:noProof/>
          <w:sz w:val="22"/>
          <w:szCs w:val="22"/>
        </w:rPr>
        <w:t>200</w:t>
      </w:r>
      <w:r w:rsidR="00F373D1"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However, more research is needed to fully understand its efficacy in diagnosing pediatric GH deficiency and its potential therapeutic applications.</w:t>
      </w:r>
    </w:p>
    <w:p w14:paraId="7537967F" w14:textId="77777777" w:rsidR="00980CAA" w:rsidRPr="0033639F" w:rsidRDefault="00980CAA" w:rsidP="0033639F">
      <w:pPr>
        <w:spacing w:line="276" w:lineRule="auto"/>
        <w:rPr>
          <w:rFonts w:ascii="Arial" w:hAnsi="Arial" w:cs="Arial"/>
          <w:sz w:val="22"/>
          <w:szCs w:val="22"/>
        </w:rPr>
      </w:pPr>
    </w:p>
    <w:p w14:paraId="36258C11" w14:textId="6ADB093C"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Growth hormone–releasing peptide-2 (GHRP2) is a potent stimulator of growth hormone secretion</w:t>
      </w:r>
      <w:r w:rsidR="00F373D1" w:rsidRPr="0033639F">
        <w:rPr>
          <w:rFonts w:ascii="Arial" w:hAnsi="Arial" w:cs="Arial"/>
          <w:sz w:val="22"/>
          <w:szCs w:val="22"/>
        </w:rPr>
        <w:t xml:space="preserve"> </w:t>
      </w:r>
      <w:r w:rsidR="00F373D1" w:rsidRPr="0033639F">
        <w:rPr>
          <w:rFonts w:ascii="Arial" w:hAnsi="Arial" w:cs="Arial"/>
          <w:noProof/>
          <w:sz w:val="22"/>
          <w:szCs w:val="22"/>
        </w:rPr>
        <w:t>(</w:t>
      </w:r>
      <w:r w:rsidR="00653FD0" w:rsidRPr="0033639F">
        <w:rPr>
          <w:rFonts w:ascii="Arial" w:hAnsi="Arial" w:cs="Arial"/>
          <w:noProof/>
          <w:sz w:val="22"/>
          <w:szCs w:val="22"/>
        </w:rPr>
        <w:t>201</w:t>
      </w:r>
      <w:r w:rsidR="00F373D1" w:rsidRPr="0033639F">
        <w:rPr>
          <w:rFonts w:ascii="Arial" w:hAnsi="Arial" w:cs="Arial"/>
          <w:noProof/>
          <w:sz w:val="22"/>
          <w:szCs w:val="22"/>
        </w:rPr>
        <w:t>)</w:t>
      </w:r>
      <w:r w:rsidRPr="0033639F">
        <w:rPr>
          <w:rFonts w:ascii="Arial" w:hAnsi="Arial" w:cs="Arial"/>
          <w:sz w:val="22"/>
          <w:szCs w:val="22"/>
        </w:rPr>
        <w:t xml:space="preserve"> and has been investigated its effectiveness diagnosing GH deficiency in children and adolescents</w:t>
      </w:r>
      <w:r w:rsidR="00F373D1" w:rsidRPr="0033639F">
        <w:rPr>
          <w:rFonts w:ascii="Arial" w:hAnsi="Arial" w:cs="Arial"/>
          <w:sz w:val="22"/>
          <w:szCs w:val="22"/>
        </w:rPr>
        <w:t xml:space="preserve"> </w:t>
      </w:r>
      <w:r w:rsidR="00F373D1" w:rsidRPr="0033639F">
        <w:rPr>
          <w:rFonts w:ascii="Arial" w:hAnsi="Arial" w:cs="Arial"/>
          <w:noProof/>
          <w:sz w:val="22"/>
          <w:szCs w:val="22"/>
        </w:rPr>
        <w:t>(</w:t>
      </w:r>
      <w:r w:rsidR="00653FD0" w:rsidRPr="0033639F">
        <w:rPr>
          <w:rFonts w:ascii="Arial" w:hAnsi="Arial" w:cs="Arial"/>
          <w:noProof/>
          <w:sz w:val="22"/>
          <w:szCs w:val="22"/>
        </w:rPr>
        <w:t>202</w:t>
      </w:r>
      <w:r w:rsidR="00F373D1" w:rsidRPr="0033639F">
        <w:rPr>
          <w:rFonts w:ascii="Arial" w:hAnsi="Arial" w:cs="Arial"/>
          <w:noProof/>
          <w:sz w:val="22"/>
          <w:szCs w:val="22"/>
        </w:rPr>
        <w:t>)</w:t>
      </w:r>
      <w:r w:rsidR="00F373D1" w:rsidRPr="0033639F">
        <w:rPr>
          <w:rFonts w:ascii="Arial" w:hAnsi="Arial" w:cs="Arial"/>
          <w:sz w:val="22"/>
          <w:szCs w:val="22"/>
        </w:rPr>
        <w:t>.</w:t>
      </w:r>
      <w:r w:rsidRPr="0033639F">
        <w:rPr>
          <w:rFonts w:ascii="Arial" w:hAnsi="Arial" w:cs="Arial"/>
          <w:sz w:val="22"/>
          <w:szCs w:val="22"/>
        </w:rPr>
        <w:t xml:space="preserve"> It is widely used in Japan for diagnosis of adult GH deficiency</w:t>
      </w:r>
      <w:r w:rsidR="00F373D1" w:rsidRPr="0033639F">
        <w:rPr>
          <w:rFonts w:ascii="Arial" w:hAnsi="Arial" w:cs="Arial"/>
          <w:sz w:val="22"/>
          <w:szCs w:val="22"/>
        </w:rPr>
        <w:t xml:space="preserve"> </w:t>
      </w:r>
      <w:r w:rsidR="00F373D1" w:rsidRPr="0033639F">
        <w:rPr>
          <w:rFonts w:ascii="Arial" w:hAnsi="Arial" w:cs="Arial"/>
          <w:noProof/>
          <w:sz w:val="22"/>
          <w:szCs w:val="22"/>
        </w:rPr>
        <w:t>(</w:t>
      </w:r>
      <w:r w:rsidR="00653FD0" w:rsidRPr="0033639F">
        <w:rPr>
          <w:rFonts w:ascii="Arial" w:hAnsi="Arial" w:cs="Arial"/>
          <w:noProof/>
          <w:sz w:val="22"/>
          <w:szCs w:val="22"/>
        </w:rPr>
        <w:t>203</w:t>
      </w:r>
      <w:r w:rsidR="00F373D1" w:rsidRPr="0033639F">
        <w:rPr>
          <w:rFonts w:ascii="Arial" w:hAnsi="Arial" w:cs="Arial"/>
          <w:noProof/>
          <w:sz w:val="22"/>
          <w:szCs w:val="22"/>
        </w:rPr>
        <w:t>)</w:t>
      </w:r>
      <w:r w:rsidRPr="0033639F">
        <w:rPr>
          <w:rFonts w:ascii="Arial" w:hAnsi="Arial" w:cs="Arial"/>
          <w:sz w:val="22"/>
          <w:szCs w:val="22"/>
        </w:rPr>
        <w:t xml:space="preserve">. GHRP2 also stimulates </w:t>
      </w:r>
      <w:r w:rsidR="005D209A" w:rsidRPr="0033639F">
        <w:rPr>
          <w:rFonts w:ascii="Arial" w:hAnsi="Arial" w:cs="Arial"/>
          <w:sz w:val="22"/>
          <w:szCs w:val="22"/>
        </w:rPr>
        <w:t>corticotropes</w:t>
      </w:r>
      <w:r w:rsidRPr="0033639F">
        <w:rPr>
          <w:rFonts w:ascii="Arial" w:hAnsi="Arial" w:cs="Arial"/>
          <w:sz w:val="22"/>
          <w:szCs w:val="22"/>
        </w:rPr>
        <w:t xml:space="preserve"> along with somatotropes and maybe useful diagnosis of adrenal insufficiency which is concomitant with GHD in many hypothalamic-pituitary disorders </w:t>
      </w:r>
      <w:r w:rsidR="00F373D1" w:rsidRPr="0033639F">
        <w:rPr>
          <w:rFonts w:ascii="Arial" w:hAnsi="Arial" w:cs="Arial"/>
          <w:noProof/>
          <w:sz w:val="22"/>
          <w:szCs w:val="22"/>
        </w:rPr>
        <w:t>(</w:t>
      </w:r>
      <w:r w:rsidR="00653FD0" w:rsidRPr="0033639F">
        <w:rPr>
          <w:rFonts w:ascii="Arial" w:hAnsi="Arial" w:cs="Arial"/>
          <w:noProof/>
          <w:sz w:val="22"/>
          <w:szCs w:val="22"/>
        </w:rPr>
        <w:t>204</w:t>
      </w:r>
      <w:r w:rsidR="00F373D1" w:rsidRPr="0033639F">
        <w:rPr>
          <w:rFonts w:ascii="Arial" w:hAnsi="Arial" w:cs="Arial"/>
          <w:noProof/>
          <w:sz w:val="22"/>
          <w:szCs w:val="22"/>
        </w:rPr>
        <w:t>)</w:t>
      </w:r>
      <w:r w:rsidRPr="0033639F">
        <w:rPr>
          <w:rFonts w:ascii="Arial" w:hAnsi="Arial" w:cs="Arial"/>
          <w:sz w:val="22"/>
          <w:szCs w:val="22"/>
        </w:rPr>
        <w:t>.</w:t>
      </w:r>
    </w:p>
    <w:p w14:paraId="5920657F" w14:textId="77777777" w:rsidR="00DD3DD8" w:rsidRDefault="00DD3DD8" w:rsidP="008C5BCE">
      <w:pPr>
        <w:rPr>
          <w:rFonts w:ascii="Arial" w:hAnsi="Arial" w:cs="Arial"/>
          <w:b/>
          <w:bCs/>
          <w:color w:val="00B050"/>
          <w:sz w:val="22"/>
          <w:szCs w:val="22"/>
        </w:rPr>
      </w:pPr>
      <w:bookmarkStart w:id="40" w:name="id2453536"/>
      <w:bookmarkEnd w:id="40"/>
    </w:p>
    <w:p w14:paraId="597B326E" w14:textId="36C9070E" w:rsidR="00803B01" w:rsidRPr="008C5BCE" w:rsidRDefault="00803B01" w:rsidP="008C5BCE">
      <w:pPr>
        <w:rPr>
          <w:rFonts w:ascii="Arial" w:hAnsi="Arial" w:cs="Arial"/>
          <w:b/>
          <w:bCs/>
          <w:color w:val="00B050"/>
          <w:sz w:val="22"/>
          <w:szCs w:val="22"/>
        </w:rPr>
      </w:pPr>
      <w:r w:rsidRPr="008C5BCE">
        <w:rPr>
          <w:rFonts w:ascii="Arial" w:hAnsi="Arial" w:cs="Arial"/>
          <w:b/>
          <w:bCs/>
          <w:color w:val="00B050"/>
          <w:sz w:val="22"/>
          <w:szCs w:val="22"/>
        </w:rPr>
        <w:t xml:space="preserve">Summary of Diagnosis of GH </w:t>
      </w:r>
      <w:r w:rsidR="008C5BCE" w:rsidRPr="008C5BCE">
        <w:rPr>
          <w:rFonts w:ascii="Arial" w:hAnsi="Arial" w:cs="Arial"/>
          <w:b/>
          <w:bCs/>
          <w:color w:val="00B050"/>
          <w:sz w:val="22"/>
          <w:szCs w:val="22"/>
        </w:rPr>
        <w:t>D</w:t>
      </w:r>
      <w:r w:rsidRPr="008C5BCE">
        <w:rPr>
          <w:rFonts w:ascii="Arial" w:hAnsi="Arial" w:cs="Arial"/>
          <w:b/>
          <w:bCs/>
          <w:color w:val="00B050"/>
          <w:sz w:val="22"/>
          <w:szCs w:val="22"/>
        </w:rPr>
        <w:t>eficiency</w:t>
      </w:r>
    </w:p>
    <w:p w14:paraId="5042417B" w14:textId="77777777" w:rsidR="008C5BCE" w:rsidRPr="008C5BCE" w:rsidRDefault="008C5BCE" w:rsidP="008C5BCE"/>
    <w:p w14:paraId="664A8006" w14:textId="05E6985C"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Children with severe GH deficiency can usually be diagnosed easily on clinical grounds and fail</w:t>
      </w:r>
      <w:r w:rsidR="00C67B9C" w:rsidRPr="0033639F">
        <w:rPr>
          <w:rFonts w:ascii="Arial" w:hAnsi="Arial" w:cs="Arial"/>
          <w:sz w:val="22"/>
          <w:szCs w:val="22"/>
        </w:rPr>
        <w:t>ed</w:t>
      </w:r>
      <w:r w:rsidRPr="0033639F">
        <w:rPr>
          <w:rFonts w:ascii="Arial" w:hAnsi="Arial" w:cs="Arial"/>
          <w:sz w:val="22"/>
          <w:szCs w:val="22"/>
        </w:rPr>
        <w:t xml:space="preserve"> GH stimulation tests. Studies have shown that despite clinical evidence of GH deficiency, some children may pass GH stimulation tests</w:t>
      </w:r>
      <w:r w:rsidRPr="0033639F">
        <w:rPr>
          <w:rFonts w:ascii="Arial" w:hAnsi="Arial" w:cs="Arial"/>
          <w:noProof/>
          <w:sz w:val="22"/>
          <w:szCs w:val="22"/>
        </w:rPr>
        <w:t xml:space="preserve"> </w:t>
      </w:r>
      <w:r w:rsidR="00543DE3" w:rsidRPr="0033639F">
        <w:rPr>
          <w:rFonts w:ascii="Arial" w:hAnsi="Arial" w:cs="Arial"/>
          <w:noProof/>
          <w:sz w:val="22"/>
          <w:szCs w:val="22"/>
        </w:rPr>
        <w:t>(</w:t>
      </w:r>
      <w:r w:rsidR="005742B5" w:rsidRPr="0033639F">
        <w:rPr>
          <w:rFonts w:ascii="Arial" w:hAnsi="Arial" w:cs="Arial"/>
          <w:noProof/>
          <w:sz w:val="22"/>
          <w:szCs w:val="22"/>
        </w:rPr>
        <w:t>188</w:t>
      </w:r>
      <w:r w:rsidR="00543DE3" w:rsidRPr="0033639F">
        <w:rPr>
          <w:rFonts w:ascii="Arial" w:hAnsi="Arial" w:cs="Arial"/>
          <w:noProof/>
          <w:sz w:val="22"/>
          <w:szCs w:val="22"/>
        </w:rPr>
        <w:t>)</w:t>
      </w:r>
      <w:r w:rsidRPr="0033639F">
        <w:rPr>
          <w:rFonts w:ascii="Arial" w:hAnsi="Arial" w:cs="Arial"/>
          <w:sz w:val="22"/>
          <w:szCs w:val="22"/>
        </w:rPr>
        <w:t>. In the case of unexplained short stature, if the child meets most of the following criteria, a trial of GH treatment should be initiated</w:t>
      </w:r>
      <w:r w:rsidRPr="0033639F">
        <w:rPr>
          <w:rFonts w:ascii="Arial" w:hAnsi="Arial" w:cs="Arial"/>
          <w:noProof/>
          <w:sz w:val="22"/>
          <w:szCs w:val="22"/>
        </w:rPr>
        <w:t xml:space="preserve"> </w:t>
      </w:r>
      <w:r w:rsidR="00543DE3" w:rsidRPr="0033639F">
        <w:rPr>
          <w:rFonts w:ascii="Arial" w:hAnsi="Arial" w:cs="Arial"/>
          <w:noProof/>
          <w:sz w:val="22"/>
          <w:szCs w:val="22"/>
        </w:rPr>
        <w:t>(</w:t>
      </w:r>
      <w:r w:rsidR="00653FD0" w:rsidRPr="0033639F">
        <w:rPr>
          <w:rFonts w:ascii="Arial" w:hAnsi="Arial" w:cs="Arial"/>
          <w:noProof/>
          <w:sz w:val="22"/>
          <w:szCs w:val="22"/>
        </w:rPr>
        <w:t>8</w:t>
      </w:r>
      <w:r w:rsidR="00543DE3" w:rsidRPr="0033639F">
        <w:rPr>
          <w:rFonts w:ascii="Arial" w:hAnsi="Arial" w:cs="Arial"/>
          <w:noProof/>
          <w:sz w:val="22"/>
          <w:szCs w:val="22"/>
        </w:rPr>
        <w:t>)</w:t>
      </w:r>
      <w:r w:rsidRPr="0033639F">
        <w:rPr>
          <w:rFonts w:ascii="Arial" w:hAnsi="Arial" w:cs="Arial"/>
          <w:sz w:val="22"/>
          <w:szCs w:val="22"/>
        </w:rPr>
        <w:t xml:space="preserve">: </w:t>
      </w:r>
    </w:p>
    <w:p w14:paraId="531E4CC1" w14:textId="77777777" w:rsidR="00803B01" w:rsidRPr="0033639F" w:rsidRDefault="00803B01" w:rsidP="008C5BCE">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1.     </w:t>
      </w:r>
      <w:r w:rsidRPr="0033639F">
        <w:rPr>
          <w:rFonts w:ascii="Arial" w:hAnsi="Arial" w:cs="Arial"/>
          <w:sz w:val="22"/>
          <w:szCs w:val="22"/>
        </w:rPr>
        <w:t>Height &gt;2.25 SD below the mean for age or &gt;2 SD below the mid-parental height percentile,</w:t>
      </w:r>
    </w:p>
    <w:p w14:paraId="4C737B81" w14:textId="77777777" w:rsidR="00803B01" w:rsidRPr="0033639F" w:rsidRDefault="00803B01" w:rsidP="008C5BCE">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2.     </w:t>
      </w:r>
      <w:r w:rsidRPr="0033639F">
        <w:rPr>
          <w:rFonts w:ascii="Arial" w:hAnsi="Arial" w:cs="Arial"/>
          <w:sz w:val="22"/>
          <w:szCs w:val="22"/>
        </w:rPr>
        <w:t>Growth velocity &lt;25th percentile for bone age,</w:t>
      </w:r>
    </w:p>
    <w:p w14:paraId="0555D337" w14:textId="77777777" w:rsidR="00803B01" w:rsidRPr="0033639F" w:rsidRDefault="00803B01" w:rsidP="008C5BCE">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3.     </w:t>
      </w:r>
      <w:r w:rsidRPr="0033639F">
        <w:rPr>
          <w:rFonts w:ascii="Arial" w:hAnsi="Arial" w:cs="Arial"/>
          <w:sz w:val="22"/>
          <w:szCs w:val="22"/>
        </w:rPr>
        <w:t xml:space="preserve">Bone age &gt;2 SD below the mean for age, </w:t>
      </w:r>
    </w:p>
    <w:p w14:paraId="4894A62B" w14:textId="36492F68" w:rsidR="00803B01" w:rsidRPr="0033639F" w:rsidRDefault="00803B01" w:rsidP="008C5BCE">
      <w:pPr>
        <w:tabs>
          <w:tab w:val="num" w:pos="720"/>
        </w:tabs>
        <w:spacing w:line="276" w:lineRule="auto"/>
        <w:ind w:left="360" w:hanging="360"/>
        <w:rPr>
          <w:rFonts w:ascii="Arial" w:hAnsi="Arial" w:cs="Arial"/>
          <w:sz w:val="22"/>
          <w:szCs w:val="22"/>
        </w:rPr>
      </w:pPr>
      <w:r w:rsidRPr="0033639F">
        <w:rPr>
          <w:rFonts w:ascii="Arial" w:hAnsi="Arial" w:cs="Arial"/>
          <w:sz w:val="22"/>
          <w:szCs w:val="22"/>
        </w:rPr>
        <w:t xml:space="preserve">4.  </w:t>
      </w:r>
      <w:r w:rsidR="0059007F" w:rsidRPr="0033639F">
        <w:rPr>
          <w:rFonts w:ascii="Arial" w:hAnsi="Arial" w:cs="Arial"/>
          <w:sz w:val="22"/>
          <w:szCs w:val="22"/>
        </w:rPr>
        <w:tab/>
        <w:t xml:space="preserve"> Height</w:t>
      </w:r>
      <w:r w:rsidRPr="0033639F">
        <w:rPr>
          <w:rFonts w:ascii="Arial" w:hAnsi="Arial" w:cs="Arial"/>
          <w:sz w:val="22"/>
          <w:szCs w:val="22"/>
        </w:rPr>
        <w:t xml:space="preserve"> prediction is significantly below the mid-parental height, </w:t>
      </w:r>
    </w:p>
    <w:p w14:paraId="09B79A83" w14:textId="77777777" w:rsidR="00803B01" w:rsidRPr="0033639F" w:rsidRDefault="00803B01" w:rsidP="008C5BCE">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5.     </w:t>
      </w:r>
      <w:r w:rsidRPr="0033639F">
        <w:rPr>
          <w:rFonts w:ascii="Arial" w:hAnsi="Arial" w:cs="Arial"/>
          <w:sz w:val="22"/>
          <w:szCs w:val="22"/>
        </w:rPr>
        <w:t xml:space="preserve">Low serum insulin-like growth factor 1 (IGF1) and/or insulin-like growth factor binding protein 3 (IGFBP3) for bone age and gender </w:t>
      </w:r>
    </w:p>
    <w:p w14:paraId="63AF53BA" w14:textId="77777777" w:rsidR="00803B01" w:rsidRDefault="00803B01" w:rsidP="008C5BCE">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6.     </w:t>
      </w:r>
      <w:r w:rsidRPr="0033639F">
        <w:rPr>
          <w:rFonts w:ascii="Arial" w:hAnsi="Arial" w:cs="Arial"/>
          <w:sz w:val="22"/>
          <w:szCs w:val="22"/>
        </w:rPr>
        <w:t xml:space="preserve">Other clinical features suggestive of GH deficiency. </w:t>
      </w:r>
    </w:p>
    <w:p w14:paraId="192395FF" w14:textId="77777777" w:rsidR="008C5BCE" w:rsidRPr="0033639F" w:rsidRDefault="008C5BCE" w:rsidP="008C5BCE">
      <w:pPr>
        <w:tabs>
          <w:tab w:val="num" w:pos="720"/>
        </w:tabs>
        <w:spacing w:line="276" w:lineRule="auto"/>
        <w:ind w:left="360" w:hanging="360"/>
        <w:rPr>
          <w:rFonts w:ascii="Arial" w:hAnsi="Arial" w:cs="Arial"/>
          <w:sz w:val="22"/>
          <w:szCs w:val="22"/>
        </w:rPr>
      </w:pPr>
    </w:p>
    <w:p w14:paraId="582BF2FE" w14:textId="77777777" w:rsidR="00803B01" w:rsidRPr="00DD3DD8" w:rsidRDefault="00803B01" w:rsidP="00DD3DD8">
      <w:pPr>
        <w:rPr>
          <w:rFonts w:ascii="Arial" w:hAnsi="Arial" w:cs="Arial"/>
          <w:sz w:val="22"/>
          <w:szCs w:val="22"/>
        </w:rPr>
      </w:pPr>
      <w:bookmarkStart w:id="41" w:name="id2453601"/>
      <w:bookmarkEnd w:id="41"/>
      <w:r w:rsidRPr="00DD3DD8">
        <w:rPr>
          <w:rFonts w:ascii="Arial" w:hAnsi="Arial" w:cs="Arial"/>
          <w:sz w:val="22"/>
          <w:szCs w:val="22"/>
        </w:rPr>
        <w:t xml:space="preserve">Key elements that may indicate GH deficiency are: </w:t>
      </w:r>
    </w:p>
    <w:p w14:paraId="2915CDBF" w14:textId="77777777" w:rsidR="00803B01" w:rsidRPr="0033639F" w:rsidRDefault="00803B01" w:rsidP="008C5BCE">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1.     </w:t>
      </w:r>
      <w:r w:rsidRPr="0033639F">
        <w:rPr>
          <w:rFonts w:ascii="Arial" w:hAnsi="Arial" w:cs="Arial"/>
          <w:sz w:val="22"/>
          <w:szCs w:val="22"/>
        </w:rPr>
        <w:t xml:space="preserve">Height more than 2 SD below the mean. </w:t>
      </w:r>
    </w:p>
    <w:p w14:paraId="4482D933" w14:textId="77777777" w:rsidR="00803B01" w:rsidRPr="0033639F" w:rsidRDefault="00803B01" w:rsidP="008C5BCE">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2.     </w:t>
      </w:r>
      <w:r w:rsidRPr="0033639F">
        <w:rPr>
          <w:rFonts w:ascii="Arial" w:hAnsi="Arial" w:cs="Arial"/>
          <w:sz w:val="22"/>
          <w:szCs w:val="22"/>
        </w:rPr>
        <w:t xml:space="preserve">Neonatal hypoglycemia, microphallus, prolonged jaundice, or traumatic delivery. </w:t>
      </w:r>
    </w:p>
    <w:p w14:paraId="6AD357EF" w14:textId="77777777" w:rsidR="00803B01" w:rsidRPr="0033639F" w:rsidRDefault="00803B01" w:rsidP="008C5BCE">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lastRenderedPageBreak/>
        <w:t xml:space="preserve">3.     </w:t>
      </w:r>
      <w:r w:rsidRPr="0033639F">
        <w:rPr>
          <w:rFonts w:ascii="Arial" w:hAnsi="Arial" w:cs="Arial"/>
          <w:sz w:val="22"/>
          <w:szCs w:val="22"/>
        </w:rPr>
        <w:t xml:space="preserve">Although not required, a peak GH concentration after provocative GH testing of less than 10 ng/ml. </w:t>
      </w:r>
    </w:p>
    <w:p w14:paraId="48E166EE" w14:textId="77777777" w:rsidR="00803B01" w:rsidRPr="0033639F" w:rsidRDefault="00803B01" w:rsidP="008C5BCE">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4.     </w:t>
      </w:r>
      <w:r w:rsidRPr="0033639F">
        <w:rPr>
          <w:rFonts w:ascii="Arial" w:hAnsi="Arial" w:cs="Arial"/>
          <w:sz w:val="22"/>
          <w:szCs w:val="22"/>
        </w:rPr>
        <w:t xml:space="preserve">Consanguinity and/or a family member with GH deficiency. </w:t>
      </w:r>
    </w:p>
    <w:p w14:paraId="0A36A316" w14:textId="0A5234EA" w:rsidR="00803B01" w:rsidRPr="0033639F" w:rsidRDefault="00803B01" w:rsidP="008C5BCE">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5.     </w:t>
      </w:r>
      <w:r w:rsidRPr="0033639F">
        <w:rPr>
          <w:rFonts w:ascii="Arial" w:hAnsi="Arial" w:cs="Arial"/>
          <w:sz w:val="22"/>
          <w:szCs w:val="22"/>
        </w:rPr>
        <w:t xml:space="preserve">Midline CNS defects, pituitary hypo- or aplasia, pituitary stalk agenesis, empty sella, ectopic posterior </w:t>
      </w:r>
      <w:r w:rsidR="00D3487D" w:rsidRPr="0033639F">
        <w:rPr>
          <w:rFonts w:ascii="Arial" w:hAnsi="Arial" w:cs="Arial"/>
          <w:sz w:val="22"/>
          <w:szCs w:val="22"/>
        </w:rPr>
        <w:t>pituitary (</w:t>
      </w:r>
      <w:r w:rsidRPr="0033639F">
        <w:rPr>
          <w:rFonts w:ascii="Arial" w:hAnsi="Arial" w:cs="Arial"/>
          <w:sz w:val="22"/>
          <w:szCs w:val="22"/>
        </w:rPr>
        <w:t xml:space="preserve">bright spot’) on MRI. </w:t>
      </w:r>
    </w:p>
    <w:p w14:paraId="6D1B48AC" w14:textId="77777777" w:rsidR="00803B01" w:rsidRPr="0033639F" w:rsidRDefault="00803B01" w:rsidP="008C5BCE">
      <w:pPr>
        <w:tabs>
          <w:tab w:val="num" w:pos="720"/>
        </w:tabs>
        <w:spacing w:line="276" w:lineRule="auto"/>
        <w:ind w:left="360" w:hanging="360"/>
        <w:rPr>
          <w:rFonts w:ascii="Arial" w:hAnsi="Arial" w:cs="Arial"/>
          <w:sz w:val="22"/>
          <w:szCs w:val="22"/>
        </w:rPr>
      </w:pPr>
      <w:r w:rsidRPr="0033639F">
        <w:rPr>
          <w:rFonts w:ascii="Arial" w:eastAsia="Verdana" w:hAnsi="Arial" w:cs="Arial"/>
          <w:sz w:val="22"/>
          <w:szCs w:val="22"/>
        </w:rPr>
        <w:t xml:space="preserve">6.     </w:t>
      </w:r>
      <w:r w:rsidRPr="0033639F">
        <w:rPr>
          <w:rFonts w:ascii="Arial" w:hAnsi="Arial" w:cs="Arial"/>
          <w:sz w:val="22"/>
          <w:szCs w:val="22"/>
        </w:rPr>
        <w:t xml:space="preserve">Deficiency of other pituitary hormones: TSH, PRL, LH/FSH and/or ACTH   deficiency. </w:t>
      </w:r>
    </w:p>
    <w:p w14:paraId="1574001F" w14:textId="77777777" w:rsidR="008C5BCE" w:rsidRDefault="008C5BCE" w:rsidP="008C5BCE">
      <w:pPr>
        <w:spacing w:line="276" w:lineRule="auto"/>
        <w:ind w:left="360" w:hanging="360"/>
        <w:rPr>
          <w:rFonts w:ascii="Arial" w:hAnsi="Arial" w:cs="Arial"/>
          <w:sz w:val="22"/>
          <w:szCs w:val="22"/>
        </w:rPr>
      </w:pPr>
    </w:p>
    <w:p w14:paraId="4ABFEBD7" w14:textId="385AFBA0" w:rsidR="00803B01" w:rsidRDefault="00803B01" w:rsidP="008C5BCE">
      <w:pPr>
        <w:spacing w:line="276" w:lineRule="auto"/>
        <w:rPr>
          <w:rFonts w:ascii="Arial" w:hAnsi="Arial" w:cs="Arial"/>
          <w:sz w:val="22"/>
          <w:szCs w:val="22"/>
        </w:rPr>
      </w:pPr>
      <w:r w:rsidRPr="0033639F">
        <w:rPr>
          <w:rFonts w:ascii="Arial" w:hAnsi="Arial" w:cs="Arial"/>
          <w:sz w:val="22"/>
          <w:szCs w:val="22"/>
        </w:rPr>
        <w:t xml:space="preserve">Many practitioners consider GH stimulation tests to be optional in the case of clinical evidence of GH deficiency, in patients with a history of surgery or irradiation of the hypothalamus/pituitary region and growth failure accompanied by additional pituitary hormone deficiencies. </w:t>
      </w:r>
      <w:r w:rsidR="00092A91" w:rsidRPr="0033639F">
        <w:rPr>
          <w:rFonts w:ascii="Arial" w:hAnsi="Arial" w:cs="Arial"/>
          <w:sz w:val="22"/>
          <w:szCs w:val="22"/>
        </w:rPr>
        <w:t>Similarly,</w:t>
      </w:r>
      <w:r w:rsidRPr="0033639F">
        <w:rPr>
          <w:rFonts w:ascii="Arial" w:hAnsi="Arial" w:cs="Arial"/>
          <w:sz w:val="22"/>
          <w:szCs w:val="22"/>
        </w:rPr>
        <w:t xml:space="preserve"> children born SGA, with Turner syndrome, PWS and chronic renal insufficiency do not require GH stimulation testing before initiating GH treatment</w:t>
      </w:r>
      <w:r w:rsidRPr="0033639F">
        <w:rPr>
          <w:rFonts w:ascii="Arial" w:hAnsi="Arial" w:cs="Arial"/>
          <w:noProof/>
          <w:sz w:val="22"/>
          <w:szCs w:val="22"/>
        </w:rPr>
        <w:t xml:space="preserve"> </w:t>
      </w:r>
      <w:r w:rsidR="00543DE3" w:rsidRPr="0033639F">
        <w:rPr>
          <w:rFonts w:ascii="Arial" w:hAnsi="Arial" w:cs="Arial"/>
          <w:noProof/>
          <w:sz w:val="22"/>
          <w:szCs w:val="22"/>
        </w:rPr>
        <w:t>(</w:t>
      </w:r>
      <w:r w:rsidR="00653FD0" w:rsidRPr="0033639F">
        <w:rPr>
          <w:rFonts w:ascii="Arial" w:hAnsi="Arial" w:cs="Arial"/>
          <w:noProof/>
          <w:sz w:val="22"/>
          <w:szCs w:val="22"/>
        </w:rPr>
        <w:t>8</w:t>
      </w:r>
      <w:r w:rsidR="00543DE3" w:rsidRPr="0033639F">
        <w:rPr>
          <w:rFonts w:ascii="Arial" w:hAnsi="Arial" w:cs="Arial"/>
          <w:noProof/>
          <w:sz w:val="22"/>
          <w:szCs w:val="22"/>
        </w:rPr>
        <w:t>)</w:t>
      </w:r>
      <w:r w:rsidRPr="0033639F">
        <w:rPr>
          <w:rFonts w:ascii="Arial" w:hAnsi="Arial" w:cs="Arial"/>
          <w:sz w:val="22"/>
          <w:szCs w:val="22"/>
        </w:rPr>
        <w:t xml:space="preserve">. </w:t>
      </w:r>
    </w:p>
    <w:p w14:paraId="2BE123BE" w14:textId="77777777" w:rsidR="008C5BCE" w:rsidRPr="0033639F" w:rsidRDefault="008C5BCE" w:rsidP="008C5BCE">
      <w:pPr>
        <w:spacing w:line="276" w:lineRule="auto"/>
        <w:rPr>
          <w:rFonts w:ascii="Arial" w:hAnsi="Arial" w:cs="Arial"/>
          <w:sz w:val="22"/>
          <w:szCs w:val="22"/>
        </w:rPr>
      </w:pPr>
    </w:p>
    <w:p w14:paraId="3FC76C99" w14:textId="77777777" w:rsidR="00803B01" w:rsidRPr="008C5BCE" w:rsidRDefault="00803B01" w:rsidP="008C5BCE">
      <w:pPr>
        <w:rPr>
          <w:rFonts w:ascii="Arial" w:hAnsi="Arial" w:cs="Arial"/>
          <w:b/>
          <w:bCs/>
          <w:color w:val="0070C0"/>
          <w:sz w:val="22"/>
          <w:szCs w:val="22"/>
        </w:rPr>
      </w:pPr>
      <w:bookmarkStart w:id="42" w:name="id2453677"/>
      <w:bookmarkEnd w:id="42"/>
      <w:r w:rsidRPr="008C5BCE">
        <w:rPr>
          <w:rFonts w:ascii="Arial" w:hAnsi="Arial" w:cs="Arial"/>
          <w:b/>
          <w:bCs/>
          <w:color w:val="0070C0"/>
          <w:sz w:val="22"/>
          <w:szCs w:val="22"/>
        </w:rPr>
        <w:t>TREATMENT</w:t>
      </w:r>
    </w:p>
    <w:p w14:paraId="5E2CCC2D" w14:textId="77777777" w:rsidR="008C5BCE" w:rsidRDefault="008C5BCE" w:rsidP="0033639F">
      <w:pPr>
        <w:spacing w:line="276" w:lineRule="auto"/>
        <w:rPr>
          <w:rFonts w:ascii="Arial" w:hAnsi="Arial" w:cs="Arial"/>
          <w:sz w:val="22"/>
          <w:szCs w:val="22"/>
        </w:rPr>
      </w:pPr>
    </w:p>
    <w:p w14:paraId="609E0D16" w14:textId="7724E9DD"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The principal objective of GH treatment in children with GH deficiency is to improve final adult height. Human pituitary-derived GH was first used in children with hypopituitarism over 60 years ago, and abruptly ceased in 1985, after the first cases of Creutzfeld-Jacob disease were recognized. Since 1986, recombinant human GH (rhGH) has been the exclusive form of growth hormone used to treat GH deficiency in the United States and most of the world. </w:t>
      </w:r>
    </w:p>
    <w:p w14:paraId="12A90D0B" w14:textId="77777777" w:rsidR="008C5BCE" w:rsidRPr="0033639F" w:rsidRDefault="008C5BCE" w:rsidP="0033639F">
      <w:pPr>
        <w:spacing w:line="276" w:lineRule="auto"/>
        <w:rPr>
          <w:rFonts w:ascii="Arial" w:hAnsi="Arial" w:cs="Arial"/>
          <w:sz w:val="22"/>
          <w:szCs w:val="22"/>
        </w:rPr>
      </w:pPr>
    </w:p>
    <w:p w14:paraId="2A68E73A" w14:textId="7E820421" w:rsidR="00803B01" w:rsidRDefault="00803B01" w:rsidP="0033639F">
      <w:pPr>
        <w:spacing w:line="276" w:lineRule="auto"/>
        <w:rPr>
          <w:rFonts w:ascii="Arial" w:hAnsi="Arial" w:cs="Arial"/>
          <w:sz w:val="22"/>
          <w:szCs w:val="22"/>
        </w:rPr>
      </w:pPr>
      <w:r w:rsidRPr="0033639F">
        <w:rPr>
          <w:rFonts w:ascii="Arial" w:hAnsi="Arial" w:cs="Arial"/>
          <w:sz w:val="22"/>
          <w:szCs w:val="22"/>
        </w:rPr>
        <w:t>Short stature without overt growth hormone deficiency is very well described, and occurs in Turner Syndrome, renal failure, malnutrition, cardiovascular disease, Prader-Willi syndrome, small for gestational age, inflammatory bowel disease, and osteodystrophies- clearly represent</w:t>
      </w:r>
      <w:r w:rsidR="00307969" w:rsidRPr="0033639F">
        <w:rPr>
          <w:rFonts w:ascii="Arial" w:hAnsi="Arial" w:cs="Arial"/>
          <w:sz w:val="22"/>
          <w:szCs w:val="22"/>
        </w:rPr>
        <w:t>ing</w:t>
      </w:r>
      <w:r w:rsidRPr="0033639F">
        <w:rPr>
          <w:rFonts w:ascii="Arial" w:hAnsi="Arial" w:cs="Arial"/>
          <w:sz w:val="22"/>
          <w:szCs w:val="22"/>
        </w:rPr>
        <w:t xml:space="preserve"> the majority of short/poorly growing children in the world. Although not the focus of this discussion, it is important to realize that - in clinical terms - GH therapy is used to treat growth failure, rather than a biochemical GH deficiency. GH therapy in this setting, in combination with disease-specific treatments, generally improves statural growth and final adult height. </w:t>
      </w:r>
    </w:p>
    <w:p w14:paraId="384A045B" w14:textId="77777777" w:rsidR="008C5BCE" w:rsidRPr="0033639F" w:rsidRDefault="008C5BCE" w:rsidP="0033639F">
      <w:pPr>
        <w:spacing w:line="276" w:lineRule="auto"/>
        <w:rPr>
          <w:rFonts w:ascii="Arial" w:hAnsi="Arial" w:cs="Arial"/>
          <w:sz w:val="22"/>
          <w:szCs w:val="22"/>
        </w:rPr>
      </w:pPr>
    </w:p>
    <w:p w14:paraId="157B5492" w14:textId="241632BA" w:rsidR="00803B01" w:rsidRDefault="00803B01" w:rsidP="0033639F">
      <w:pPr>
        <w:spacing w:line="276" w:lineRule="auto"/>
        <w:rPr>
          <w:rFonts w:ascii="Arial" w:hAnsi="Arial" w:cs="Arial"/>
          <w:sz w:val="22"/>
          <w:szCs w:val="22"/>
        </w:rPr>
      </w:pPr>
      <w:r w:rsidRPr="0033639F">
        <w:rPr>
          <w:rFonts w:ascii="Arial" w:hAnsi="Arial" w:cs="Arial"/>
          <w:sz w:val="22"/>
          <w:szCs w:val="22"/>
        </w:rPr>
        <w:t>The primary goals of the treatment of a child with GH deficiency are to achieve normal height during childhood and to attain normal adult height. Children should be treated with an adequate dose of rhGH, with the dose tailored to that child’s specific condition. FDA guidelines for daily rhGH dose vary according to the indication and are given in Table 10</w:t>
      </w:r>
      <w:r w:rsidRPr="0033639F">
        <w:rPr>
          <w:rFonts w:ascii="Arial" w:hAnsi="Arial" w:cs="Arial"/>
          <w:noProof/>
          <w:sz w:val="22"/>
          <w:szCs w:val="22"/>
        </w:rPr>
        <w:t xml:space="preserve"> </w:t>
      </w:r>
      <w:r w:rsidR="00423CAB" w:rsidRPr="0033639F">
        <w:rPr>
          <w:rFonts w:ascii="Arial" w:hAnsi="Arial" w:cs="Arial"/>
          <w:noProof/>
          <w:sz w:val="22"/>
          <w:szCs w:val="22"/>
        </w:rPr>
        <w:t>(</w:t>
      </w:r>
      <w:r w:rsidR="00653FD0" w:rsidRPr="0033639F">
        <w:rPr>
          <w:rFonts w:ascii="Arial" w:hAnsi="Arial" w:cs="Arial"/>
          <w:noProof/>
          <w:sz w:val="22"/>
          <w:szCs w:val="22"/>
        </w:rPr>
        <w:t>8</w:t>
      </w:r>
      <w:r w:rsidR="00423CAB" w:rsidRPr="0033639F">
        <w:rPr>
          <w:rFonts w:ascii="Arial" w:hAnsi="Arial" w:cs="Arial"/>
          <w:noProof/>
          <w:sz w:val="22"/>
          <w:szCs w:val="22"/>
        </w:rPr>
        <w:t>)</w:t>
      </w:r>
      <w:r w:rsidRPr="0033639F">
        <w:rPr>
          <w:rFonts w:ascii="Arial" w:hAnsi="Arial" w:cs="Arial"/>
          <w:sz w:val="22"/>
          <w:szCs w:val="22"/>
        </w:rPr>
        <w:t xml:space="preserve">. </w:t>
      </w:r>
    </w:p>
    <w:p w14:paraId="32DA9529" w14:textId="77777777" w:rsidR="008C5BCE" w:rsidRPr="0033639F" w:rsidRDefault="008C5BCE" w:rsidP="0033639F">
      <w:pPr>
        <w:spacing w:line="276" w:lineRule="auto"/>
        <w:rPr>
          <w:rFonts w:ascii="Arial" w:hAnsi="Arial" w:cs="Arial"/>
          <w:sz w:val="22"/>
          <w:szCs w:val="22"/>
        </w:rPr>
      </w:pPr>
    </w:p>
    <w:p w14:paraId="376816DE"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Administration of daily rhGH in the evening is designed to mimic physiologic hGH secretion. Treatment is continued until adult height or epiphyseal closure (or both) has been recorded. GH therapy, however, should be continued throughout adulthood in the case of GHD, to optimize the metabolic effects of GH and to achieve normal peak bone mass-albeit at significantly lower “adult” doses. Adult GH replacement should only be started after retesting the individual and again demonstrating a failure to reach the new age-appropriate GH threshold, if appropriate.</w:t>
      </w:r>
    </w:p>
    <w:p w14:paraId="2F421479" w14:textId="77777777" w:rsidR="00803B01" w:rsidRPr="0033639F" w:rsidRDefault="00803B01" w:rsidP="0033639F">
      <w:pPr>
        <w:spacing w:line="276" w:lineRule="auto"/>
        <w:rPr>
          <w:rFonts w:ascii="Arial" w:hAnsi="Arial" w:cs="Arial"/>
          <w:sz w:val="22"/>
          <w:szCs w:val="22"/>
        </w:rPr>
      </w:pPr>
    </w:p>
    <w:tbl>
      <w:tblPr>
        <w:tblStyle w:val="TableGrid"/>
        <w:tblW w:w="0" w:type="auto"/>
        <w:tblLook w:val="0000" w:firstRow="0" w:lastRow="0" w:firstColumn="0" w:lastColumn="0" w:noHBand="0" w:noVBand="0"/>
      </w:tblPr>
      <w:tblGrid>
        <w:gridCol w:w="3004"/>
        <w:gridCol w:w="1965"/>
      </w:tblGrid>
      <w:tr w:rsidR="00803B01" w:rsidRPr="0033639F" w14:paraId="5A99F1B7" w14:textId="77777777" w:rsidTr="00A02774">
        <w:tc>
          <w:tcPr>
            <w:tcW w:w="0" w:type="auto"/>
            <w:gridSpan w:val="2"/>
            <w:shd w:val="clear" w:color="auto" w:fill="FFFF00"/>
          </w:tcPr>
          <w:p w14:paraId="151826EC" w14:textId="78CE7E89" w:rsidR="00803B01" w:rsidRPr="0033639F" w:rsidRDefault="00803B01" w:rsidP="0033639F">
            <w:pPr>
              <w:spacing w:line="276" w:lineRule="auto"/>
              <w:rPr>
                <w:rFonts w:ascii="Arial" w:hAnsi="Arial" w:cs="Arial"/>
                <w:b/>
                <w:bCs/>
                <w:sz w:val="22"/>
                <w:szCs w:val="22"/>
              </w:rPr>
            </w:pPr>
            <w:bookmarkStart w:id="43" w:name="id2453736"/>
            <w:bookmarkEnd w:id="43"/>
            <w:r w:rsidRPr="0033639F">
              <w:rPr>
                <w:rFonts w:ascii="Arial" w:hAnsi="Arial" w:cs="Arial"/>
                <w:b/>
                <w:bCs/>
                <w:sz w:val="22"/>
                <w:szCs w:val="22"/>
              </w:rPr>
              <w:t xml:space="preserve">Table 10. GH </w:t>
            </w:r>
            <w:r w:rsidR="00A02774">
              <w:rPr>
                <w:rFonts w:ascii="Arial" w:hAnsi="Arial" w:cs="Arial"/>
                <w:b/>
                <w:bCs/>
                <w:sz w:val="22"/>
                <w:szCs w:val="22"/>
              </w:rPr>
              <w:t>D</w:t>
            </w:r>
            <w:r w:rsidRPr="0033639F">
              <w:rPr>
                <w:rFonts w:ascii="Arial" w:hAnsi="Arial" w:cs="Arial"/>
                <w:b/>
                <w:bCs/>
                <w:sz w:val="22"/>
                <w:szCs w:val="22"/>
              </w:rPr>
              <w:t xml:space="preserve">osage for </w:t>
            </w:r>
            <w:r w:rsidR="00A02774">
              <w:rPr>
                <w:rFonts w:ascii="Arial" w:hAnsi="Arial" w:cs="Arial"/>
                <w:b/>
                <w:bCs/>
                <w:sz w:val="22"/>
                <w:szCs w:val="22"/>
              </w:rPr>
              <w:t>D</w:t>
            </w:r>
            <w:r w:rsidRPr="0033639F">
              <w:rPr>
                <w:rFonts w:ascii="Arial" w:hAnsi="Arial" w:cs="Arial"/>
                <w:b/>
                <w:bCs/>
                <w:sz w:val="22"/>
                <w:szCs w:val="22"/>
              </w:rPr>
              <w:t>aily rhGH</w:t>
            </w:r>
            <w:r w:rsidRPr="0033639F">
              <w:rPr>
                <w:rFonts w:ascii="Arial" w:hAnsi="Arial" w:cs="Arial"/>
                <w:sz w:val="22"/>
                <w:szCs w:val="22"/>
              </w:rPr>
              <w:t xml:space="preserve"> </w:t>
            </w:r>
          </w:p>
        </w:tc>
      </w:tr>
      <w:tr w:rsidR="00803B01" w:rsidRPr="0033639F" w14:paraId="01B429BE" w14:textId="77777777" w:rsidTr="008C5BCE">
        <w:tc>
          <w:tcPr>
            <w:tcW w:w="0" w:type="auto"/>
          </w:tcPr>
          <w:p w14:paraId="5EDAEC58"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Indication  </w:t>
            </w:r>
          </w:p>
        </w:tc>
        <w:tc>
          <w:tcPr>
            <w:tcW w:w="0" w:type="auto"/>
          </w:tcPr>
          <w:p w14:paraId="0FA9D745"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Dose (mg/kg/wk) </w:t>
            </w:r>
          </w:p>
        </w:tc>
      </w:tr>
      <w:tr w:rsidR="00803B01" w:rsidRPr="0033639F" w14:paraId="26DBABDE" w14:textId="77777777" w:rsidTr="008C5BCE">
        <w:tc>
          <w:tcPr>
            <w:tcW w:w="0" w:type="auto"/>
          </w:tcPr>
          <w:p w14:paraId="77B20FEC"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lastRenderedPageBreak/>
              <w:t>GH Deficiency</w:t>
            </w:r>
          </w:p>
          <w:p w14:paraId="0519CFE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Children Pre-pubertal </w:t>
            </w:r>
          </w:p>
          <w:p w14:paraId="4A4931AC"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Pubertal </w:t>
            </w:r>
          </w:p>
          <w:p w14:paraId="75037723"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Adults </w:t>
            </w:r>
          </w:p>
        </w:tc>
        <w:tc>
          <w:tcPr>
            <w:tcW w:w="0" w:type="auto"/>
          </w:tcPr>
          <w:p w14:paraId="20FE69E2" w14:textId="77777777" w:rsidR="00803B01" w:rsidRPr="0033639F" w:rsidRDefault="00803B01" w:rsidP="0033639F">
            <w:pPr>
              <w:spacing w:line="276" w:lineRule="auto"/>
              <w:rPr>
                <w:rFonts w:ascii="Arial" w:hAnsi="Arial" w:cs="Arial"/>
                <w:sz w:val="22"/>
                <w:szCs w:val="22"/>
              </w:rPr>
            </w:pPr>
          </w:p>
          <w:p w14:paraId="5B30D9CB"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0.16 – 0.35 </w:t>
            </w:r>
          </w:p>
          <w:p w14:paraId="7C2020A7"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0.16 – 0.70 </w:t>
            </w:r>
          </w:p>
          <w:p w14:paraId="779193B0"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0.04 – 0.175 </w:t>
            </w:r>
          </w:p>
        </w:tc>
      </w:tr>
      <w:tr w:rsidR="00803B01" w:rsidRPr="0033639F" w14:paraId="5C7C9F63" w14:textId="77777777" w:rsidTr="008C5BCE">
        <w:tc>
          <w:tcPr>
            <w:tcW w:w="0" w:type="auto"/>
          </w:tcPr>
          <w:p w14:paraId="545D30E6"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Turner Syndrome </w:t>
            </w:r>
          </w:p>
        </w:tc>
        <w:tc>
          <w:tcPr>
            <w:tcW w:w="0" w:type="auto"/>
          </w:tcPr>
          <w:p w14:paraId="1629CBD0"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0.375 </w:t>
            </w:r>
          </w:p>
        </w:tc>
      </w:tr>
      <w:tr w:rsidR="00803B01" w:rsidRPr="0033639F" w14:paraId="75AFC571" w14:textId="77777777" w:rsidTr="008C5BCE">
        <w:tc>
          <w:tcPr>
            <w:tcW w:w="0" w:type="auto"/>
          </w:tcPr>
          <w:p w14:paraId="33FB74FA"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Chronic renal insufficiency </w:t>
            </w:r>
          </w:p>
        </w:tc>
        <w:tc>
          <w:tcPr>
            <w:tcW w:w="0" w:type="auto"/>
          </w:tcPr>
          <w:p w14:paraId="50C376C2"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0.35 </w:t>
            </w:r>
          </w:p>
        </w:tc>
      </w:tr>
      <w:tr w:rsidR="00803B01" w:rsidRPr="0033639F" w14:paraId="2F10F9F3" w14:textId="77777777" w:rsidTr="008C5BCE">
        <w:tc>
          <w:tcPr>
            <w:tcW w:w="0" w:type="auto"/>
          </w:tcPr>
          <w:p w14:paraId="73367F80"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Prader-Willi Syndrome </w:t>
            </w:r>
          </w:p>
        </w:tc>
        <w:tc>
          <w:tcPr>
            <w:tcW w:w="0" w:type="auto"/>
          </w:tcPr>
          <w:p w14:paraId="0CC650A8"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0.24 </w:t>
            </w:r>
          </w:p>
        </w:tc>
      </w:tr>
      <w:tr w:rsidR="00803B01" w:rsidRPr="0033639F" w14:paraId="701CF7AF" w14:textId="77777777" w:rsidTr="008C5BCE">
        <w:tc>
          <w:tcPr>
            <w:tcW w:w="0" w:type="auto"/>
          </w:tcPr>
          <w:p w14:paraId="3951AC9B"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SGA </w:t>
            </w:r>
          </w:p>
        </w:tc>
        <w:tc>
          <w:tcPr>
            <w:tcW w:w="0" w:type="auto"/>
          </w:tcPr>
          <w:p w14:paraId="0D577B2C"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0.48 </w:t>
            </w:r>
          </w:p>
        </w:tc>
      </w:tr>
      <w:tr w:rsidR="00803B01" w:rsidRPr="0033639F" w14:paraId="27A79846" w14:textId="77777777" w:rsidTr="008C5BCE">
        <w:tc>
          <w:tcPr>
            <w:tcW w:w="0" w:type="auto"/>
          </w:tcPr>
          <w:p w14:paraId="2256F754"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Idiopathic short stature (ISS) </w:t>
            </w:r>
          </w:p>
        </w:tc>
        <w:tc>
          <w:tcPr>
            <w:tcW w:w="0" w:type="auto"/>
          </w:tcPr>
          <w:p w14:paraId="7D5B03A4"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0.3 – 0.37 </w:t>
            </w:r>
          </w:p>
        </w:tc>
      </w:tr>
      <w:tr w:rsidR="00803B01" w:rsidRPr="0033639F" w14:paraId="0E166F6D" w14:textId="77777777" w:rsidTr="008C5BCE">
        <w:tc>
          <w:tcPr>
            <w:tcW w:w="0" w:type="auto"/>
          </w:tcPr>
          <w:p w14:paraId="63898C4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SHOX Deficiency</w:t>
            </w:r>
          </w:p>
        </w:tc>
        <w:tc>
          <w:tcPr>
            <w:tcW w:w="0" w:type="auto"/>
          </w:tcPr>
          <w:p w14:paraId="2ED720EA"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0.35</w:t>
            </w:r>
          </w:p>
        </w:tc>
      </w:tr>
      <w:tr w:rsidR="00803B01" w:rsidRPr="0033639F" w14:paraId="1ED7CFA1" w14:textId="77777777" w:rsidTr="008C5BCE">
        <w:tc>
          <w:tcPr>
            <w:tcW w:w="0" w:type="auto"/>
          </w:tcPr>
          <w:p w14:paraId="0DBD67D7"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Noonan Syndrome</w:t>
            </w:r>
          </w:p>
        </w:tc>
        <w:tc>
          <w:tcPr>
            <w:tcW w:w="0" w:type="auto"/>
          </w:tcPr>
          <w:p w14:paraId="3645624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0.23 – 0.46</w:t>
            </w:r>
          </w:p>
        </w:tc>
      </w:tr>
    </w:tbl>
    <w:p w14:paraId="58450FCE" w14:textId="77777777" w:rsidR="00803B01" w:rsidRPr="0033639F" w:rsidRDefault="00803B01" w:rsidP="0033639F">
      <w:pPr>
        <w:spacing w:line="276" w:lineRule="auto"/>
        <w:rPr>
          <w:rFonts w:ascii="Arial" w:hAnsi="Arial" w:cs="Arial"/>
          <w:sz w:val="22"/>
          <w:szCs w:val="22"/>
        </w:rPr>
      </w:pPr>
    </w:p>
    <w:p w14:paraId="53B94E6D" w14:textId="77777777"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The growth response to daily GH treatment is typically maximal in the first year of treatment and then gradually decreases over the subsequent years of treatment. First year growth response to rhGH is generally 200% of the pre-treatment velocity, and after several years, averages 150% of the baseline. Height improvements of 1 SD are typically achieved in children with GHD after two years of treatment, and between 2 and 2.5 SD after five or seven years. </w:t>
      </w:r>
    </w:p>
    <w:p w14:paraId="57B23020" w14:textId="77777777" w:rsidR="007F4FE7" w:rsidRPr="0033639F" w:rsidRDefault="007F4FE7" w:rsidP="0033639F">
      <w:pPr>
        <w:spacing w:line="276" w:lineRule="auto"/>
        <w:rPr>
          <w:rFonts w:ascii="Arial" w:hAnsi="Arial" w:cs="Arial"/>
          <w:sz w:val="22"/>
          <w:szCs w:val="22"/>
        </w:rPr>
      </w:pPr>
    </w:p>
    <w:p w14:paraId="070284D7" w14:textId="46490F74"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GH doses are often increased if catch-up growth is inadequate and/or to compensate for the waning effect of rhGH with time. Cohen </w:t>
      </w:r>
      <w:r w:rsidRPr="0033639F">
        <w:rPr>
          <w:rFonts w:ascii="Arial" w:hAnsi="Arial" w:cs="Arial"/>
          <w:i/>
          <w:iCs/>
          <w:sz w:val="22"/>
          <w:szCs w:val="22"/>
        </w:rPr>
        <w:t>et al</w:t>
      </w:r>
      <w:r w:rsidRPr="0033639F">
        <w:rPr>
          <w:rFonts w:ascii="Arial" w:hAnsi="Arial" w:cs="Arial"/>
          <w:sz w:val="22"/>
          <w:szCs w:val="22"/>
        </w:rPr>
        <w:t xml:space="preserve"> reported a significant improvement in HV when GH dose was adjusted based on IGF1 levels</w:t>
      </w:r>
      <w:r w:rsidRPr="0033639F">
        <w:rPr>
          <w:rFonts w:ascii="Arial" w:hAnsi="Arial" w:cs="Arial"/>
          <w:noProof/>
          <w:sz w:val="22"/>
          <w:szCs w:val="22"/>
        </w:rPr>
        <w:t xml:space="preserve"> </w:t>
      </w:r>
      <w:r w:rsidR="00F373D1" w:rsidRPr="0033639F">
        <w:rPr>
          <w:rFonts w:ascii="Arial" w:hAnsi="Arial" w:cs="Arial"/>
          <w:noProof/>
          <w:sz w:val="22"/>
          <w:szCs w:val="22"/>
        </w:rPr>
        <w:t>(</w:t>
      </w:r>
      <w:r w:rsidR="00653FD0" w:rsidRPr="0033639F">
        <w:rPr>
          <w:rFonts w:ascii="Arial" w:hAnsi="Arial" w:cs="Arial"/>
          <w:noProof/>
          <w:sz w:val="22"/>
          <w:szCs w:val="22"/>
        </w:rPr>
        <w:t>205</w:t>
      </w:r>
      <w:r w:rsidR="00F373D1" w:rsidRPr="0033639F">
        <w:rPr>
          <w:rFonts w:ascii="Arial" w:hAnsi="Arial" w:cs="Arial"/>
          <w:noProof/>
          <w:sz w:val="22"/>
          <w:szCs w:val="22"/>
        </w:rPr>
        <w:t>)</w:t>
      </w:r>
      <w:r w:rsidRPr="0033639F">
        <w:rPr>
          <w:rFonts w:ascii="Arial" w:hAnsi="Arial" w:cs="Arial"/>
          <w:sz w:val="22"/>
          <w:szCs w:val="22"/>
        </w:rPr>
        <w:t>. However, GH dose was almost 3 times higher than mean conventional GH dose when IGF1 levels were titrated to the upper limit of normal. The lack of long-term safety data on high doses of GH and high circulating levels of IGF1 levels should be considered. Therefore, weight-based GH dosing is still recommended by many as the standard of care</w:t>
      </w:r>
      <w:r w:rsidRPr="0033639F">
        <w:rPr>
          <w:rFonts w:ascii="Arial" w:hAnsi="Arial" w:cs="Arial"/>
          <w:noProof/>
          <w:sz w:val="22"/>
          <w:szCs w:val="22"/>
        </w:rPr>
        <w:t xml:space="preserve"> </w:t>
      </w:r>
      <w:r w:rsidR="00F373D1" w:rsidRPr="0033639F">
        <w:rPr>
          <w:rFonts w:ascii="Arial" w:hAnsi="Arial" w:cs="Arial"/>
          <w:noProof/>
          <w:sz w:val="22"/>
          <w:szCs w:val="22"/>
        </w:rPr>
        <w:t>(</w:t>
      </w:r>
      <w:r w:rsidR="00653FD0" w:rsidRPr="0033639F">
        <w:rPr>
          <w:rFonts w:ascii="Arial" w:hAnsi="Arial" w:cs="Arial"/>
          <w:noProof/>
          <w:sz w:val="22"/>
          <w:szCs w:val="22"/>
        </w:rPr>
        <w:t>206</w:t>
      </w:r>
      <w:r w:rsidR="00F373D1" w:rsidRPr="0033639F">
        <w:rPr>
          <w:rFonts w:ascii="Arial" w:hAnsi="Arial" w:cs="Arial"/>
          <w:noProof/>
          <w:sz w:val="22"/>
          <w:szCs w:val="22"/>
        </w:rPr>
        <w:t>)</w:t>
      </w:r>
      <w:r w:rsidRPr="0033639F">
        <w:rPr>
          <w:rFonts w:ascii="Arial" w:hAnsi="Arial" w:cs="Arial"/>
          <w:sz w:val="22"/>
          <w:szCs w:val="22"/>
        </w:rPr>
        <w:t xml:space="preserve">. </w:t>
      </w:r>
    </w:p>
    <w:p w14:paraId="4B14BD18" w14:textId="77777777" w:rsidR="007F4FE7" w:rsidRPr="0033639F" w:rsidRDefault="007F4FE7" w:rsidP="0033639F">
      <w:pPr>
        <w:spacing w:line="276" w:lineRule="auto"/>
        <w:rPr>
          <w:rFonts w:ascii="Arial" w:hAnsi="Arial" w:cs="Arial"/>
          <w:sz w:val="22"/>
          <w:szCs w:val="22"/>
        </w:rPr>
      </w:pPr>
    </w:p>
    <w:p w14:paraId="06AEEC66" w14:textId="38AB21E9" w:rsidR="00803B01" w:rsidRDefault="00803B01" w:rsidP="0033639F">
      <w:pPr>
        <w:spacing w:line="276" w:lineRule="auto"/>
        <w:rPr>
          <w:rFonts w:ascii="Arial" w:hAnsi="Arial" w:cs="Arial"/>
          <w:sz w:val="22"/>
          <w:szCs w:val="22"/>
        </w:rPr>
      </w:pPr>
      <w:r w:rsidRPr="0033639F">
        <w:rPr>
          <w:rFonts w:ascii="Arial" w:hAnsi="Arial" w:cs="Arial"/>
          <w:sz w:val="22"/>
          <w:szCs w:val="22"/>
        </w:rPr>
        <w:t>It is critically important to maximize height with GH therapy before the onset of puberty. Several investigators have advocated modifying puberty or the production of estrogens by the use of GnRH analogues</w:t>
      </w:r>
      <w:r w:rsidR="00AB3B2F" w:rsidRPr="0033639F">
        <w:rPr>
          <w:rFonts w:ascii="Arial" w:hAnsi="Arial" w:cs="Arial"/>
          <w:sz w:val="22"/>
          <w:szCs w:val="22"/>
        </w:rPr>
        <w:t xml:space="preserve"> (207–209)</w:t>
      </w:r>
      <w:r w:rsidR="00345D6D" w:rsidRPr="0033639F">
        <w:rPr>
          <w:rFonts w:ascii="Arial" w:hAnsi="Arial" w:cs="Arial"/>
          <w:sz w:val="22"/>
          <w:szCs w:val="22"/>
        </w:rPr>
        <w:t xml:space="preserve"> </w:t>
      </w:r>
      <w:r w:rsidRPr="0033639F">
        <w:rPr>
          <w:rFonts w:ascii="Arial" w:hAnsi="Arial" w:cs="Arial"/>
          <w:sz w:val="22"/>
          <w:szCs w:val="22"/>
        </w:rPr>
        <w:t>and aromatase inhibitors</w:t>
      </w:r>
      <w:r w:rsidR="00817136" w:rsidRPr="0033639F">
        <w:rPr>
          <w:rFonts w:ascii="Arial" w:hAnsi="Arial" w:cs="Arial"/>
          <w:sz w:val="22"/>
          <w:szCs w:val="22"/>
        </w:rPr>
        <w:t xml:space="preserve"> </w:t>
      </w:r>
      <w:r w:rsidR="00817136" w:rsidRPr="0033639F">
        <w:rPr>
          <w:rFonts w:ascii="Arial" w:hAnsi="Arial" w:cs="Arial"/>
          <w:noProof/>
          <w:sz w:val="22"/>
          <w:szCs w:val="22"/>
        </w:rPr>
        <w:t>(</w:t>
      </w:r>
      <w:r w:rsidR="00AB3B2F" w:rsidRPr="0033639F">
        <w:rPr>
          <w:rFonts w:ascii="Arial" w:hAnsi="Arial" w:cs="Arial"/>
          <w:noProof/>
          <w:sz w:val="22"/>
          <w:szCs w:val="22"/>
        </w:rPr>
        <w:t>210</w:t>
      </w:r>
      <w:r w:rsidR="00817136" w:rsidRPr="0033639F">
        <w:rPr>
          <w:rFonts w:ascii="Arial" w:hAnsi="Arial" w:cs="Arial"/>
          <w:noProof/>
          <w:sz w:val="22"/>
          <w:szCs w:val="22"/>
        </w:rPr>
        <w:t>–</w:t>
      </w:r>
      <w:r w:rsidR="00AB3B2F" w:rsidRPr="0033639F">
        <w:rPr>
          <w:rFonts w:ascii="Arial" w:hAnsi="Arial" w:cs="Arial"/>
          <w:noProof/>
          <w:sz w:val="22"/>
          <w:szCs w:val="22"/>
        </w:rPr>
        <w:t>213</w:t>
      </w:r>
      <w:r w:rsidR="00817136" w:rsidRPr="0033639F">
        <w:rPr>
          <w:rFonts w:ascii="Arial" w:hAnsi="Arial" w:cs="Arial"/>
          <w:noProof/>
          <w:sz w:val="22"/>
          <w:szCs w:val="22"/>
        </w:rPr>
        <w:t>)</w:t>
      </w:r>
      <w:r w:rsidRPr="0033639F">
        <w:rPr>
          <w:rFonts w:ascii="Arial" w:hAnsi="Arial" w:cs="Arial"/>
          <w:sz w:val="22"/>
          <w:szCs w:val="22"/>
        </w:rPr>
        <w:t xml:space="preserve">, respectively, in order to expand the therapeutic window for GH treatment, especially in older males. </w:t>
      </w:r>
    </w:p>
    <w:p w14:paraId="2954520B" w14:textId="77777777" w:rsidR="007F4FE7" w:rsidRPr="0033639F" w:rsidRDefault="007F4FE7" w:rsidP="0033639F">
      <w:pPr>
        <w:spacing w:line="276" w:lineRule="auto"/>
        <w:rPr>
          <w:rFonts w:ascii="Arial" w:hAnsi="Arial" w:cs="Arial"/>
          <w:sz w:val="22"/>
          <w:szCs w:val="22"/>
        </w:rPr>
      </w:pPr>
    </w:p>
    <w:p w14:paraId="7FAFB2AF" w14:textId="7DE1CE0E"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The response to daily rhGH, however, may vary in children</w:t>
      </w:r>
      <w:r w:rsidR="00817136" w:rsidRPr="0033639F">
        <w:rPr>
          <w:rFonts w:ascii="Arial" w:hAnsi="Arial" w:cs="Arial"/>
          <w:sz w:val="22"/>
          <w:szCs w:val="22"/>
        </w:rPr>
        <w:t xml:space="preserve"> </w:t>
      </w:r>
      <w:r w:rsidR="00817136" w:rsidRPr="0033639F">
        <w:rPr>
          <w:rFonts w:ascii="Arial" w:hAnsi="Arial" w:cs="Arial"/>
          <w:noProof/>
          <w:sz w:val="22"/>
          <w:szCs w:val="22"/>
        </w:rPr>
        <w:t>(</w:t>
      </w:r>
      <w:r w:rsidR="003773D2" w:rsidRPr="0033639F">
        <w:rPr>
          <w:rFonts w:ascii="Arial" w:hAnsi="Arial" w:cs="Arial"/>
          <w:noProof/>
          <w:sz w:val="22"/>
          <w:szCs w:val="22"/>
        </w:rPr>
        <w:t>214</w:t>
      </w:r>
      <w:r w:rsidR="00817136" w:rsidRPr="0033639F">
        <w:rPr>
          <w:rFonts w:ascii="Arial" w:hAnsi="Arial" w:cs="Arial"/>
          <w:noProof/>
          <w:sz w:val="22"/>
          <w:szCs w:val="22"/>
        </w:rPr>
        <w:t>)</w:t>
      </w:r>
      <w:r w:rsidRPr="0033639F">
        <w:rPr>
          <w:rFonts w:ascii="Arial" w:hAnsi="Arial" w:cs="Arial"/>
          <w:sz w:val="22"/>
          <w:szCs w:val="22"/>
        </w:rPr>
        <w:t xml:space="preserve">. Factors may affect the response to GH therapy including </w:t>
      </w:r>
    </w:p>
    <w:p w14:paraId="1266D52B" w14:textId="77777777" w:rsidR="00803B01" w:rsidRPr="0033639F" w:rsidRDefault="00803B01" w:rsidP="007F4FE7">
      <w:pPr>
        <w:numPr>
          <w:ilvl w:val="1"/>
          <w:numId w:val="15"/>
        </w:numPr>
        <w:spacing w:line="276" w:lineRule="auto"/>
        <w:ind w:left="360"/>
        <w:rPr>
          <w:rFonts w:ascii="Arial" w:hAnsi="Arial" w:cs="Arial"/>
          <w:sz w:val="22"/>
          <w:szCs w:val="22"/>
        </w:rPr>
      </w:pPr>
      <w:r w:rsidRPr="0033639F">
        <w:rPr>
          <w:rFonts w:ascii="Arial" w:hAnsi="Arial" w:cs="Arial"/>
          <w:sz w:val="22"/>
          <w:szCs w:val="22"/>
        </w:rPr>
        <w:t>The etiology of short stature</w:t>
      </w:r>
    </w:p>
    <w:p w14:paraId="0E0C9430" w14:textId="77777777" w:rsidR="00803B01" w:rsidRPr="0033639F" w:rsidRDefault="00803B01" w:rsidP="007F4FE7">
      <w:pPr>
        <w:numPr>
          <w:ilvl w:val="1"/>
          <w:numId w:val="15"/>
        </w:numPr>
        <w:spacing w:line="276" w:lineRule="auto"/>
        <w:ind w:left="360"/>
        <w:rPr>
          <w:rFonts w:ascii="Arial" w:hAnsi="Arial" w:cs="Arial"/>
          <w:sz w:val="22"/>
          <w:szCs w:val="22"/>
        </w:rPr>
      </w:pPr>
      <w:r w:rsidRPr="0033639F">
        <w:rPr>
          <w:rFonts w:ascii="Arial" w:hAnsi="Arial" w:cs="Arial"/>
          <w:sz w:val="22"/>
          <w:szCs w:val="22"/>
        </w:rPr>
        <w:t>Age at the start of treatment</w:t>
      </w:r>
    </w:p>
    <w:p w14:paraId="139DA672" w14:textId="77777777" w:rsidR="00803B01" w:rsidRPr="0033639F" w:rsidRDefault="00803B01" w:rsidP="007F4FE7">
      <w:pPr>
        <w:numPr>
          <w:ilvl w:val="1"/>
          <w:numId w:val="15"/>
        </w:numPr>
        <w:spacing w:line="276" w:lineRule="auto"/>
        <w:ind w:left="360"/>
        <w:rPr>
          <w:rFonts w:ascii="Arial" w:hAnsi="Arial" w:cs="Arial"/>
          <w:sz w:val="22"/>
          <w:szCs w:val="22"/>
        </w:rPr>
      </w:pPr>
      <w:r w:rsidRPr="0033639F">
        <w:rPr>
          <w:rFonts w:ascii="Arial" w:hAnsi="Arial" w:cs="Arial"/>
          <w:sz w:val="22"/>
          <w:szCs w:val="22"/>
        </w:rPr>
        <w:t>Height deficit at the start of treatment</w:t>
      </w:r>
    </w:p>
    <w:p w14:paraId="22070EF3" w14:textId="77777777" w:rsidR="00803B01" w:rsidRPr="0033639F" w:rsidRDefault="00803B01" w:rsidP="007F4FE7">
      <w:pPr>
        <w:numPr>
          <w:ilvl w:val="1"/>
          <w:numId w:val="15"/>
        </w:numPr>
        <w:spacing w:line="276" w:lineRule="auto"/>
        <w:ind w:left="360"/>
        <w:rPr>
          <w:rFonts w:ascii="Arial" w:hAnsi="Arial" w:cs="Arial"/>
          <w:sz w:val="22"/>
          <w:szCs w:val="22"/>
        </w:rPr>
      </w:pPr>
      <w:r w:rsidRPr="0033639F">
        <w:rPr>
          <w:rFonts w:ascii="Arial" w:hAnsi="Arial" w:cs="Arial"/>
          <w:sz w:val="22"/>
          <w:szCs w:val="22"/>
        </w:rPr>
        <w:t>GH dose and frequency</w:t>
      </w:r>
    </w:p>
    <w:p w14:paraId="03D54836" w14:textId="77777777" w:rsidR="00803B01" w:rsidRPr="0033639F" w:rsidRDefault="00803B01" w:rsidP="007F4FE7">
      <w:pPr>
        <w:numPr>
          <w:ilvl w:val="1"/>
          <w:numId w:val="15"/>
        </w:numPr>
        <w:spacing w:line="276" w:lineRule="auto"/>
        <w:ind w:left="360"/>
        <w:rPr>
          <w:rFonts w:ascii="Arial" w:hAnsi="Arial" w:cs="Arial"/>
          <w:sz w:val="22"/>
          <w:szCs w:val="22"/>
        </w:rPr>
      </w:pPr>
      <w:r w:rsidRPr="0033639F">
        <w:rPr>
          <w:rFonts w:ascii="Arial" w:hAnsi="Arial" w:cs="Arial"/>
          <w:sz w:val="22"/>
          <w:szCs w:val="22"/>
        </w:rPr>
        <w:t xml:space="preserve">Duration of treatment </w:t>
      </w:r>
    </w:p>
    <w:p w14:paraId="2840017B" w14:textId="77777777" w:rsidR="00803B01" w:rsidRDefault="00803B01" w:rsidP="007F4FE7">
      <w:pPr>
        <w:numPr>
          <w:ilvl w:val="1"/>
          <w:numId w:val="15"/>
        </w:numPr>
        <w:spacing w:line="276" w:lineRule="auto"/>
        <w:ind w:left="360"/>
        <w:rPr>
          <w:rFonts w:ascii="Arial" w:hAnsi="Arial" w:cs="Arial"/>
          <w:sz w:val="22"/>
          <w:szCs w:val="22"/>
        </w:rPr>
      </w:pPr>
      <w:r w:rsidRPr="0033639F">
        <w:rPr>
          <w:rFonts w:ascii="Arial" w:hAnsi="Arial" w:cs="Arial"/>
          <w:sz w:val="22"/>
          <w:szCs w:val="22"/>
        </w:rPr>
        <w:t xml:space="preserve">Genetic factors </w:t>
      </w:r>
    </w:p>
    <w:p w14:paraId="2A9605B7" w14:textId="77777777" w:rsidR="007F4FE7" w:rsidRPr="0033639F" w:rsidRDefault="007F4FE7" w:rsidP="007F4FE7">
      <w:pPr>
        <w:spacing w:line="276" w:lineRule="auto"/>
        <w:ind w:left="360"/>
        <w:rPr>
          <w:rFonts w:ascii="Arial" w:hAnsi="Arial" w:cs="Arial"/>
          <w:sz w:val="22"/>
          <w:szCs w:val="22"/>
        </w:rPr>
      </w:pPr>
    </w:p>
    <w:p w14:paraId="5F547990" w14:textId="77777777" w:rsidR="007F4FE7" w:rsidRDefault="00803B01" w:rsidP="0033639F">
      <w:pPr>
        <w:spacing w:line="276" w:lineRule="auto"/>
        <w:rPr>
          <w:rFonts w:ascii="Arial" w:hAnsi="Arial" w:cs="Arial"/>
          <w:sz w:val="22"/>
          <w:szCs w:val="22"/>
        </w:rPr>
      </w:pPr>
      <w:r w:rsidRPr="0033639F">
        <w:rPr>
          <w:rFonts w:ascii="Arial" w:hAnsi="Arial" w:cs="Arial"/>
          <w:sz w:val="22"/>
          <w:szCs w:val="22"/>
        </w:rPr>
        <w:t>Several studies have reported the association between response to GH therapy and a GHR gene polymorphism, the deletion of exon 3 (</w:t>
      </w:r>
      <w:r w:rsidRPr="0033639F">
        <w:rPr>
          <w:rFonts w:ascii="Arial" w:hAnsi="Arial" w:cs="Arial"/>
          <w:i/>
          <w:iCs/>
          <w:sz w:val="22"/>
          <w:szCs w:val="22"/>
        </w:rPr>
        <w:t>GHRd3</w:t>
      </w:r>
      <w:r w:rsidRPr="0033639F">
        <w:rPr>
          <w:rFonts w:ascii="Arial" w:hAnsi="Arial" w:cs="Arial"/>
          <w:sz w:val="22"/>
          <w:szCs w:val="22"/>
        </w:rPr>
        <w:t xml:space="preserve">).  Although some reports showed better response to GH therapy in </w:t>
      </w:r>
      <w:r w:rsidRPr="0033639F">
        <w:rPr>
          <w:rFonts w:ascii="Arial" w:hAnsi="Arial" w:cs="Arial"/>
          <w:i/>
          <w:iCs/>
          <w:sz w:val="22"/>
          <w:szCs w:val="22"/>
        </w:rPr>
        <w:t xml:space="preserve">GHRd3 </w:t>
      </w:r>
      <w:r w:rsidRPr="0033639F">
        <w:rPr>
          <w:rFonts w:ascii="Arial" w:hAnsi="Arial" w:cs="Arial"/>
          <w:sz w:val="22"/>
          <w:szCs w:val="22"/>
        </w:rPr>
        <w:t xml:space="preserve">carriers with different clinical conditions including GHD, </w:t>
      </w:r>
      <w:r w:rsidRPr="0033639F">
        <w:rPr>
          <w:rFonts w:ascii="Arial" w:hAnsi="Arial" w:cs="Arial"/>
          <w:sz w:val="22"/>
          <w:szCs w:val="22"/>
        </w:rPr>
        <w:lastRenderedPageBreak/>
        <w:t>Turner syndrome, SGA, and ISS</w:t>
      </w:r>
      <w:r w:rsidR="005432D7" w:rsidRPr="0033639F">
        <w:rPr>
          <w:rFonts w:ascii="Arial" w:hAnsi="Arial" w:cs="Arial"/>
          <w:sz w:val="22"/>
          <w:szCs w:val="22"/>
        </w:rPr>
        <w:t xml:space="preserve"> </w:t>
      </w:r>
      <w:r w:rsidR="005432D7" w:rsidRPr="0033639F">
        <w:rPr>
          <w:rFonts w:ascii="Arial" w:hAnsi="Arial" w:cs="Arial"/>
          <w:noProof/>
          <w:sz w:val="22"/>
          <w:szCs w:val="22"/>
        </w:rPr>
        <w:t>(</w:t>
      </w:r>
      <w:r w:rsidR="003773D2" w:rsidRPr="0033639F">
        <w:rPr>
          <w:rFonts w:ascii="Arial" w:hAnsi="Arial" w:cs="Arial"/>
          <w:noProof/>
          <w:sz w:val="22"/>
          <w:szCs w:val="22"/>
        </w:rPr>
        <w:t>93</w:t>
      </w:r>
      <w:r w:rsidR="005432D7" w:rsidRPr="0033639F">
        <w:rPr>
          <w:rFonts w:ascii="Arial" w:hAnsi="Arial" w:cs="Arial"/>
          <w:noProof/>
          <w:sz w:val="22"/>
          <w:szCs w:val="22"/>
        </w:rPr>
        <w:t>–9</w:t>
      </w:r>
      <w:r w:rsidR="003773D2" w:rsidRPr="0033639F">
        <w:rPr>
          <w:rFonts w:ascii="Arial" w:hAnsi="Arial" w:cs="Arial"/>
          <w:noProof/>
          <w:sz w:val="22"/>
          <w:szCs w:val="22"/>
        </w:rPr>
        <w:t>5</w:t>
      </w:r>
      <w:r w:rsidR="005432D7" w:rsidRPr="0033639F">
        <w:rPr>
          <w:rFonts w:ascii="Arial" w:hAnsi="Arial" w:cs="Arial"/>
          <w:noProof/>
          <w:sz w:val="22"/>
          <w:szCs w:val="22"/>
        </w:rPr>
        <w:t>,</w:t>
      </w:r>
      <w:r w:rsidR="003773D2" w:rsidRPr="0033639F">
        <w:rPr>
          <w:rFonts w:ascii="Arial" w:hAnsi="Arial" w:cs="Arial"/>
          <w:noProof/>
          <w:sz w:val="22"/>
          <w:szCs w:val="22"/>
        </w:rPr>
        <w:t>215</w:t>
      </w:r>
      <w:r w:rsidR="005432D7" w:rsidRPr="0033639F">
        <w:rPr>
          <w:rFonts w:ascii="Arial" w:hAnsi="Arial" w:cs="Arial"/>
          <w:noProof/>
          <w:sz w:val="22"/>
          <w:szCs w:val="22"/>
        </w:rPr>
        <w:t>,</w:t>
      </w:r>
      <w:r w:rsidR="003773D2" w:rsidRPr="0033639F">
        <w:rPr>
          <w:rFonts w:ascii="Arial" w:hAnsi="Arial" w:cs="Arial"/>
          <w:noProof/>
          <w:sz w:val="22"/>
          <w:szCs w:val="22"/>
        </w:rPr>
        <w:t>216</w:t>
      </w:r>
      <w:r w:rsidR="005432D7" w:rsidRPr="0033639F">
        <w:rPr>
          <w:rFonts w:ascii="Arial" w:hAnsi="Arial" w:cs="Arial"/>
          <w:noProof/>
          <w:sz w:val="22"/>
          <w:szCs w:val="22"/>
        </w:rPr>
        <w:t>)</w:t>
      </w:r>
      <w:r w:rsidRPr="0033639F">
        <w:rPr>
          <w:rFonts w:ascii="Arial" w:hAnsi="Arial" w:cs="Arial"/>
          <w:sz w:val="22"/>
          <w:szCs w:val="22"/>
        </w:rPr>
        <w:t xml:space="preserve">, many others failed to confirm positive effects of </w:t>
      </w:r>
      <w:r w:rsidRPr="0033639F">
        <w:rPr>
          <w:rFonts w:ascii="Arial" w:hAnsi="Arial" w:cs="Arial"/>
          <w:i/>
          <w:iCs/>
          <w:sz w:val="22"/>
          <w:szCs w:val="22"/>
        </w:rPr>
        <w:t xml:space="preserve">GHRd3 </w:t>
      </w:r>
      <w:r w:rsidRPr="0033639F">
        <w:rPr>
          <w:rFonts w:ascii="Arial" w:hAnsi="Arial" w:cs="Arial"/>
          <w:sz w:val="22"/>
          <w:szCs w:val="22"/>
        </w:rPr>
        <w:t>on response to GH treatment</w:t>
      </w:r>
      <w:r w:rsidRPr="0033639F">
        <w:rPr>
          <w:rFonts w:ascii="Arial" w:hAnsi="Arial" w:cs="Arial"/>
          <w:noProof/>
          <w:sz w:val="22"/>
          <w:szCs w:val="22"/>
        </w:rPr>
        <w:t xml:space="preserve"> </w:t>
      </w:r>
      <w:r w:rsidR="005432D7" w:rsidRPr="0033639F">
        <w:rPr>
          <w:rFonts w:ascii="Arial" w:hAnsi="Arial" w:cs="Arial"/>
          <w:noProof/>
          <w:sz w:val="22"/>
          <w:szCs w:val="22"/>
        </w:rPr>
        <w:t>(</w:t>
      </w:r>
      <w:r w:rsidR="003773D2" w:rsidRPr="0033639F">
        <w:rPr>
          <w:rFonts w:ascii="Arial" w:hAnsi="Arial" w:cs="Arial"/>
          <w:noProof/>
          <w:sz w:val="22"/>
          <w:szCs w:val="22"/>
        </w:rPr>
        <w:t>96</w:t>
      </w:r>
      <w:r w:rsidR="005432D7" w:rsidRPr="0033639F">
        <w:rPr>
          <w:rFonts w:ascii="Arial" w:hAnsi="Arial" w:cs="Arial"/>
          <w:noProof/>
          <w:sz w:val="22"/>
          <w:szCs w:val="22"/>
        </w:rPr>
        <w:t>,</w:t>
      </w:r>
      <w:r w:rsidR="003773D2" w:rsidRPr="0033639F">
        <w:rPr>
          <w:rFonts w:ascii="Arial" w:hAnsi="Arial" w:cs="Arial"/>
          <w:noProof/>
          <w:sz w:val="22"/>
          <w:szCs w:val="22"/>
        </w:rPr>
        <w:t>217</w:t>
      </w:r>
      <w:r w:rsidR="005432D7" w:rsidRPr="0033639F">
        <w:rPr>
          <w:rFonts w:ascii="Arial" w:hAnsi="Arial" w:cs="Arial"/>
          <w:noProof/>
          <w:sz w:val="22"/>
          <w:szCs w:val="22"/>
        </w:rPr>
        <w:t>,</w:t>
      </w:r>
      <w:r w:rsidR="003773D2" w:rsidRPr="0033639F">
        <w:rPr>
          <w:rFonts w:ascii="Arial" w:hAnsi="Arial" w:cs="Arial"/>
          <w:noProof/>
          <w:sz w:val="22"/>
          <w:szCs w:val="22"/>
        </w:rPr>
        <w:t>218</w:t>
      </w:r>
      <w:r w:rsidR="005432D7" w:rsidRPr="0033639F">
        <w:rPr>
          <w:rFonts w:ascii="Arial" w:hAnsi="Arial" w:cs="Arial"/>
          <w:noProof/>
          <w:sz w:val="22"/>
          <w:szCs w:val="22"/>
        </w:rPr>
        <w:t>)</w:t>
      </w:r>
      <w:r w:rsidRPr="0033639F">
        <w:rPr>
          <w:rFonts w:ascii="Arial" w:hAnsi="Arial" w:cs="Arial"/>
          <w:sz w:val="22"/>
          <w:szCs w:val="22"/>
        </w:rPr>
        <w:t xml:space="preserve">.  </w:t>
      </w:r>
    </w:p>
    <w:p w14:paraId="3A859890" w14:textId="58661585"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w:t>
      </w:r>
    </w:p>
    <w:p w14:paraId="323A8DBA" w14:textId="77777777" w:rsidR="00803B01" w:rsidRPr="007F4FE7" w:rsidRDefault="00803B01" w:rsidP="0033639F">
      <w:pPr>
        <w:spacing w:line="276" w:lineRule="auto"/>
        <w:rPr>
          <w:rFonts w:ascii="Arial" w:hAnsi="Arial" w:cs="Arial"/>
          <w:b/>
          <w:bCs/>
          <w:color w:val="00B050"/>
          <w:sz w:val="22"/>
          <w:szCs w:val="22"/>
        </w:rPr>
      </w:pPr>
      <w:r w:rsidRPr="007F4FE7">
        <w:rPr>
          <w:rFonts w:ascii="Arial" w:hAnsi="Arial" w:cs="Arial"/>
          <w:b/>
          <w:bCs/>
          <w:color w:val="00B050"/>
          <w:sz w:val="22"/>
          <w:szCs w:val="22"/>
        </w:rPr>
        <w:t>Long-Acting GH Formulations</w:t>
      </w:r>
    </w:p>
    <w:p w14:paraId="13D23B57" w14:textId="77777777" w:rsidR="007F4FE7" w:rsidRDefault="007F4FE7" w:rsidP="0033639F">
      <w:pPr>
        <w:spacing w:line="276" w:lineRule="auto"/>
        <w:rPr>
          <w:rFonts w:ascii="Arial" w:hAnsi="Arial" w:cs="Arial"/>
          <w:sz w:val="22"/>
          <w:szCs w:val="22"/>
        </w:rPr>
      </w:pPr>
    </w:p>
    <w:p w14:paraId="37836D27" w14:textId="77777777" w:rsidR="007F4FE7" w:rsidRDefault="00803B01" w:rsidP="0033639F">
      <w:pPr>
        <w:spacing w:line="276" w:lineRule="auto"/>
        <w:rPr>
          <w:rFonts w:ascii="Arial" w:hAnsi="Arial" w:cs="Arial"/>
          <w:sz w:val="22"/>
          <w:szCs w:val="22"/>
        </w:rPr>
      </w:pPr>
      <w:r w:rsidRPr="0033639F">
        <w:rPr>
          <w:rFonts w:ascii="Arial" w:hAnsi="Arial" w:cs="Arial"/>
          <w:sz w:val="22"/>
          <w:szCs w:val="22"/>
        </w:rPr>
        <w:t>Daily GH injections can be inconvenient and lead to poor adherence over time in children, with a negative impact on their final adult height. To overcome these barriers, long-acting growth hormone (LAGH) formulations have been developed using various technologies including depot formulations, Pegylated formulations, pro-drug formulations, non-covalent albumin binding GH, and GH fusion proteins</w:t>
      </w:r>
      <w:r w:rsidR="004817FC" w:rsidRPr="0033639F">
        <w:rPr>
          <w:rFonts w:ascii="Arial" w:hAnsi="Arial" w:cs="Arial"/>
          <w:sz w:val="22"/>
          <w:szCs w:val="22"/>
        </w:rPr>
        <w:t xml:space="preserve"> </w:t>
      </w:r>
      <w:r w:rsidR="004817FC" w:rsidRPr="0033639F">
        <w:rPr>
          <w:rFonts w:ascii="Arial" w:hAnsi="Arial" w:cs="Arial"/>
          <w:noProof/>
          <w:sz w:val="22"/>
          <w:szCs w:val="22"/>
        </w:rPr>
        <w:t>(2</w:t>
      </w:r>
      <w:r w:rsidR="003773D2" w:rsidRPr="0033639F">
        <w:rPr>
          <w:rFonts w:ascii="Arial" w:hAnsi="Arial" w:cs="Arial"/>
          <w:noProof/>
          <w:sz w:val="22"/>
          <w:szCs w:val="22"/>
        </w:rPr>
        <w:t>19</w:t>
      </w:r>
      <w:r w:rsidR="004817FC" w:rsidRPr="0033639F">
        <w:rPr>
          <w:rFonts w:ascii="Arial" w:hAnsi="Arial" w:cs="Arial"/>
          <w:noProof/>
          <w:sz w:val="22"/>
          <w:szCs w:val="22"/>
        </w:rPr>
        <w:t>)</w:t>
      </w:r>
      <w:r w:rsidRPr="0033639F">
        <w:rPr>
          <w:rFonts w:ascii="Arial" w:hAnsi="Arial" w:cs="Arial"/>
          <w:sz w:val="22"/>
          <w:szCs w:val="22"/>
        </w:rPr>
        <w:t>. It was noted that LAGH does not suppress endogenous GH secretion and can be used for treating non-GH deficient short stature, e.g., idiopathic short stature, with similar efficacy and safety compared to daily GH</w:t>
      </w:r>
      <w:r w:rsidR="004817FC" w:rsidRPr="0033639F">
        <w:rPr>
          <w:rFonts w:ascii="Arial" w:hAnsi="Arial" w:cs="Arial"/>
          <w:sz w:val="22"/>
          <w:szCs w:val="22"/>
        </w:rPr>
        <w:t xml:space="preserve"> </w:t>
      </w:r>
      <w:r w:rsidR="004817FC" w:rsidRPr="0033639F">
        <w:rPr>
          <w:rFonts w:ascii="Arial" w:hAnsi="Arial" w:cs="Arial"/>
          <w:noProof/>
          <w:sz w:val="22"/>
          <w:szCs w:val="22"/>
        </w:rPr>
        <w:t>(2</w:t>
      </w:r>
      <w:r w:rsidR="003773D2" w:rsidRPr="0033639F">
        <w:rPr>
          <w:rFonts w:ascii="Arial" w:hAnsi="Arial" w:cs="Arial"/>
          <w:noProof/>
          <w:sz w:val="22"/>
          <w:szCs w:val="22"/>
        </w:rPr>
        <w:t>20</w:t>
      </w:r>
      <w:r w:rsidR="004817F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In addition, the timing of LAGH administration does not appear to be a crucial factor in treatment efficacy, as no differences in growth rate or IGF</w:t>
      </w:r>
      <w:r w:rsidR="00CA7AF3" w:rsidRPr="0033639F">
        <w:rPr>
          <w:rFonts w:ascii="Arial" w:hAnsi="Arial" w:cs="Arial"/>
          <w:sz w:val="22"/>
          <w:szCs w:val="22"/>
        </w:rPr>
        <w:t>1</w:t>
      </w:r>
      <w:r w:rsidRPr="0033639F">
        <w:rPr>
          <w:rFonts w:ascii="Arial" w:hAnsi="Arial" w:cs="Arial"/>
          <w:sz w:val="22"/>
          <w:szCs w:val="22"/>
        </w:rPr>
        <w:t xml:space="preserve"> concentrations were observed between morning and evening treatment schedules </w:t>
      </w:r>
      <w:r w:rsidR="004817FC" w:rsidRPr="0033639F">
        <w:rPr>
          <w:rFonts w:ascii="Arial" w:hAnsi="Arial" w:cs="Arial"/>
          <w:bCs/>
          <w:noProof/>
          <w:sz w:val="22"/>
          <w:szCs w:val="22"/>
        </w:rPr>
        <w:t>(2</w:t>
      </w:r>
      <w:r w:rsidR="003773D2" w:rsidRPr="0033639F">
        <w:rPr>
          <w:rFonts w:ascii="Arial" w:hAnsi="Arial" w:cs="Arial"/>
          <w:bCs/>
          <w:noProof/>
          <w:sz w:val="22"/>
          <w:szCs w:val="22"/>
        </w:rPr>
        <w:t>21</w:t>
      </w:r>
      <w:r w:rsidR="004817FC" w:rsidRPr="0033639F">
        <w:rPr>
          <w:rFonts w:ascii="Arial" w:hAnsi="Arial" w:cs="Arial"/>
          <w:bCs/>
          <w:noProof/>
          <w:sz w:val="22"/>
          <w:szCs w:val="22"/>
        </w:rPr>
        <w:t>)</w:t>
      </w:r>
      <w:r w:rsidRPr="0033639F">
        <w:rPr>
          <w:rFonts w:ascii="Arial" w:hAnsi="Arial" w:cs="Arial"/>
          <w:b/>
          <w:bCs/>
          <w:sz w:val="22"/>
          <w:szCs w:val="22"/>
        </w:rPr>
        <w:t xml:space="preserve">, </w:t>
      </w:r>
      <w:r w:rsidRPr="0033639F">
        <w:rPr>
          <w:rFonts w:ascii="Arial" w:hAnsi="Arial" w:cs="Arial"/>
          <w:sz w:val="22"/>
          <w:szCs w:val="22"/>
        </w:rPr>
        <w:t>this further improves compliance and ultimately adult height.</w:t>
      </w:r>
      <w:r w:rsidRPr="0033639F">
        <w:rPr>
          <w:rFonts w:ascii="Arial" w:hAnsi="Arial" w:cs="Arial"/>
          <w:b/>
          <w:bCs/>
          <w:sz w:val="22"/>
          <w:szCs w:val="22"/>
        </w:rPr>
        <w:t xml:space="preserve"> </w:t>
      </w:r>
      <w:r w:rsidRPr="0033639F">
        <w:rPr>
          <w:rFonts w:ascii="Arial" w:hAnsi="Arial" w:cs="Arial"/>
          <w:sz w:val="22"/>
          <w:szCs w:val="22"/>
        </w:rPr>
        <w:t xml:space="preserve">In contrast, the typical bedtime administration of daily GH formulations may cause conflict during vacation, trip, or physical and social activities.  </w:t>
      </w:r>
    </w:p>
    <w:p w14:paraId="0B5BE201" w14:textId="29D6FBB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 </w:t>
      </w:r>
    </w:p>
    <w:p w14:paraId="5EF9F423" w14:textId="15D40BCD" w:rsidR="00803B01" w:rsidRDefault="00803B01" w:rsidP="0033639F">
      <w:pPr>
        <w:spacing w:line="276" w:lineRule="auto"/>
        <w:rPr>
          <w:rFonts w:ascii="Arial" w:hAnsi="Arial" w:cs="Arial"/>
          <w:sz w:val="22"/>
          <w:szCs w:val="22"/>
        </w:rPr>
      </w:pPr>
      <w:r w:rsidRPr="0033639F">
        <w:rPr>
          <w:rFonts w:ascii="Arial" w:hAnsi="Arial" w:cs="Arial"/>
          <w:sz w:val="22"/>
          <w:szCs w:val="22"/>
        </w:rPr>
        <w:t>Currently, several long-acting growth hormones are available worldwide, utilizing pegylation, prodrug formulations, noncovalent transient albumin binding, and GH fusion proteins and only last three of them are FDA approved in the United States</w:t>
      </w:r>
      <w:r w:rsidR="004817FC" w:rsidRPr="0033639F">
        <w:rPr>
          <w:rFonts w:ascii="Arial" w:hAnsi="Arial" w:cs="Arial"/>
          <w:sz w:val="22"/>
          <w:szCs w:val="22"/>
        </w:rPr>
        <w:t xml:space="preserve"> </w:t>
      </w:r>
      <w:r w:rsidR="004817FC" w:rsidRPr="0033639F">
        <w:rPr>
          <w:rFonts w:ascii="Arial" w:hAnsi="Arial" w:cs="Arial"/>
          <w:noProof/>
          <w:sz w:val="22"/>
          <w:szCs w:val="22"/>
        </w:rPr>
        <w:t>(</w:t>
      </w:r>
      <w:r w:rsidR="003773D2" w:rsidRPr="0033639F">
        <w:rPr>
          <w:rFonts w:ascii="Arial" w:hAnsi="Arial" w:cs="Arial"/>
          <w:noProof/>
          <w:sz w:val="22"/>
          <w:szCs w:val="22"/>
        </w:rPr>
        <w:t>222</w:t>
      </w:r>
      <w:r w:rsidR="004817FC" w:rsidRPr="0033639F">
        <w:rPr>
          <w:rFonts w:ascii="Arial" w:hAnsi="Arial" w:cs="Arial"/>
          <w:noProof/>
          <w:sz w:val="22"/>
          <w:szCs w:val="22"/>
        </w:rPr>
        <w:t>,</w:t>
      </w:r>
      <w:r w:rsidR="003773D2" w:rsidRPr="0033639F">
        <w:rPr>
          <w:rFonts w:ascii="Arial" w:hAnsi="Arial" w:cs="Arial"/>
          <w:noProof/>
          <w:sz w:val="22"/>
          <w:szCs w:val="22"/>
        </w:rPr>
        <w:t>223</w:t>
      </w:r>
      <w:r w:rsidR="004817FC" w:rsidRPr="0033639F">
        <w:rPr>
          <w:rFonts w:ascii="Arial" w:hAnsi="Arial" w:cs="Arial"/>
          <w:noProof/>
          <w:sz w:val="22"/>
          <w:szCs w:val="22"/>
        </w:rPr>
        <w:t>)</w:t>
      </w:r>
      <w:r w:rsidRPr="0033639F">
        <w:rPr>
          <w:rFonts w:ascii="Arial" w:hAnsi="Arial" w:cs="Arial"/>
          <w:b/>
          <w:bCs/>
          <w:sz w:val="22"/>
          <w:szCs w:val="22"/>
        </w:rPr>
        <w:t xml:space="preserve">. </w:t>
      </w:r>
      <w:r w:rsidRPr="0033639F">
        <w:rPr>
          <w:rFonts w:ascii="Arial" w:hAnsi="Arial" w:cs="Arial"/>
          <w:sz w:val="22"/>
          <w:szCs w:val="22"/>
        </w:rPr>
        <w:t xml:space="preserve">The goal of these new formulations is to improve patient compliance while maintaining the efficacy and safety of traditional daily GH therapy. </w:t>
      </w:r>
    </w:p>
    <w:p w14:paraId="27DC1E2D" w14:textId="77777777" w:rsidR="007F4FE7" w:rsidRPr="0033639F" w:rsidRDefault="007F4FE7" w:rsidP="0033639F">
      <w:pPr>
        <w:spacing w:line="276" w:lineRule="auto"/>
        <w:rPr>
          <w:rFonts w:ascii="Arial" w:hAnsi="Arial" w:cs="Arial"/>
          <w:sz w:val="22"/>
          <w:szCs w:val="22"/>
        </w:rPr>
      </w:pPr>
    </w:p>
    <w:p w14:paraId="3617D043" w14:textId="7521A956" w:rsidR="00803B01" w:rsidRPr="001F2382" w:rsidRDefault="007B60B3" w:rsidP="001F2382">
      <w:pPr>
        <w:rPr>
          <w:rFonts w:ascii="Arial" w:hAnsi="Arial" w:cs="Arial"/>
          <w:sz w:val="22"/>
          <w:szCs w:val="22"/>
        </w:rPr>
      </w:pPr>
      <w:r w:rsidRPr="001F2382">
        <w:rPr>
          <w:rFonts w:ascii="Arial" w:hAnsi="Arial" w:cs="Arial"/>
          <w:color w:val="FF0000"/>
          <w:sz w:val="22"/>
          <w:szCs w:val="22"/>
        </w:rPr>
        <w:t>PRO-DRUG FORMULATIONS</w:t>
      </w:r>
      <w:r w:rsidRPr="001F2382">
        <w:rPr>
          <w:rFonts w:ascii="Arial" w:hAnsi="Arial" w:cs="Arial"/>
          <w:sz w:val="22"/>
          <w:szCs w:val="22"/>
        </w:rPr>
        <w:t xml:space="preserve"> </w:t>
      </w:r>
    </w:p>
    <w:p w14:paraId="4E407A83" w14:textId="77777777" w:rsidR="007F4FE7" w:rsidRPr="0033639F" w:rsidRDefault="007F4FE7" w:rsidP="007F4FE7">
      <w:pPr>
        <w:pStyle w:val="ListParagraph"/>
        <w:spacing w:line="276" w:lineRule="auto"/>
        <w:ind w:left="0"/>
        <w:rPr>
          <w:rFonts w:ascii="Arial" w:hAnsi="Arial" w:cs="Arial"/>
          <w:b/>
          <w:bCs/>
          <w:i/>
          <w:iCs/>
          <w:sz w:val="22"/>
          <w:szCs w:val="22"/>
        </w:rPr>
      </w:pPr>
    </w:p>
    <w:p w14:paraId="4A9D633F" w14:textId="0AB7C873" w:rsidR="00803B01" w:rsidRDefault="00803B01" w:rsidP="0033639F">
      <w:pPr>
        <w:spacing w:line="276" w:lineRule="auto"/>
        <w:rPr>
          <w:rFonts w:ascii="Arial" w:hAnsi="Arial" w:cs="Arial"/>
          <w:sz w:val="22"/>
          <w:szCs w:val="22"/>
        </w:rPr>
      </w:pPr>
      <w:r w:rsidRPr="0033639F">
        <w:rPr>
          <w:rFonts w:ascii="Arial" w:hAnsi="Arial" w:cs="Arial"/>
          <w:b/>
          <w:bCs/>
          <w:i/>
          <w:iCs/>
          <w:sz w:val="22"/>
          <w:szCs w:val="22"/>
        </w:rPr>
        <w:t xml:space="preserve"> </w:t>
      </w:r>
      <w:r w:rsidRPr="0033639F">
        <w:rPr>
          <w:rFonts w:ascii="Arial" w:hAnsi="Arial" w:cs="Arial"/>
          <w:sz w:val="22"/>
          <w:szCs w:val="22"/>
        </w:rPr>
        <w:t>Long-acting prodrug growth hormone formulations, such as lonapegsomatropin (Skytrofa</w:t>
      </w:r>
      <w:r w:rsidRPr="0033639F">
        <w:rPr>
          <w:rFonts w:ascii="Arial" w:hAnsi="Arial" w:cs="Arial"/>
          <w:sz w:val="22"/>
          <w:szCs w:val="22"/>
        </w:rPr>
        <w:sym w:font="Symbol" w:char="F0E2"/>
      </w:r>
      <w:r w:rsidRPr="0033639F">
        <w:rPr>
          <w:rFonts w:ascii="Arial" w:hAnsi="Arial" w:cs="Arial"/>
          <w:sz w:val="22"/>
          <w:szCs w:val="22"/>
        </w:rPr>
        <w:t>), are designed to release unmodified growth hormone over an extended period, typically one week, while maintaining similar efficacy and safety profiles as daily injections</w:t>
      </w:r>
      <w:r w:rsidR="004817FC" w:rsidRPr="0033639F">
        <w:rPr>
          <w:rFonts w:ascii="Arial" w:hAnsi="Arial" w:cs="Arial"/>
          <w:sz w:val="22"/>
          <w:szCs w:val="22"/>
        </w:rPr>
        <w:t xml:space="preserve"> </w:t>
      </w:r>
      <w:r w:rsidR="004817FC" w:rsidRPr="0033639F">
        <w:rPr>
          <w:rFonts w:ascii="Arial" w:hAnsi="Arial" w:cs="Arial"/>
          <w:noProof/>
          <w:sz w:val="22"/>
          <w:szCs w:val="22"/>
        </w:rPr>
        <w:t>(</w:t>
      </w:r>
      <w:r w:rsidR="003773D2" w:rsidRPr="0033639F">
        <w:rPr>
          <w:rFonts w:ascii="Arial" w:hAnsi="Arial" w:cs="Arial"/>
          <w:noProof/>
          <w:sz w:val="22"/>
          <w:szCs w:val="22"/>
        </w:rPr>
        <w:t>224</w:t>
      </w:r>
      <w:r w:rsidR="004817FC" w:rsidRPr="0033639F">
        <w:rPr>
          <w:rFonts w:ascii="Arial" w:hAnsi="Arial" w:cs="Arial"/>
          <w:noProof/>
          <w:sz w:val="22"/>
          <w:szCs w:val="22"/>
        </w:rPr>
        <w:t>,</w:t>
      </w:r>
      <w:r w:rsidR="003773D2" w:rsidRPr="0033639F">
        <w:rPr>
          <w:rFonts w:ascii="Arial" w:hAnsi="Arial" w:cs="Arial"/>
          <w:noProof/>
          <w:sz w:val="22"/>
          <w:szCs w:val="22"/>
        </w:rPr>
        <w:t>225</w:t>
      </w:r>
      <w:r w:rsidR="004817FC" w:rsidRPr="0033639F">
        <w:rPr>
          <w:rFonts w:ascii="Arial" w:hAnsi="Arial" w:cs="Arial"/>
          <w:noProof/>
          <w:sz w:val="22"/>
          <w:szCs w:val="22"/>
        </w:rPr>
        <w:t>)</w:t>
      </w:r>
      <w:r w:rsidRPr="0033639F">
        <w:rPr>
          <w:rFonts w:ascii="Arial" w:hAnsi="Arial" w:cs="Arial"/>
          <w:sz w:val="22"/>
          <w:szCs w:val="22"/>
        </w:rPr>
        <w:t>. It received FDA approval in August 2021 for treating pediatric patients at least 1 year old with GH deficiency</w:t>
      </w:r>
      <w:r w:rsidR="004817FC" w:rsidRPr="0033639F">
        <w:rPr>
          <w:rFonts w:ascii="Arial" w:hAnsi="Arial" w:cs="Arial"/>
          <w:sz w:val="22"/>
          <w:szCs w:val="22"/>
        </w:rPr>
        <w:t xml:space="preserve"> </w:t>
      </w:r>
      <w:r w:rsidR="004817FC" w:rsidRPr="0033639F">
        <w:rPr>
          <w:rFonts w:ascii="Arial" w:hAnsi="Arial" w:cs="Arial"/>
          <w:noProof/>
          <w:sz w:val="22"/>
          <w:szCs w:val="22"/>
        </w:rPr>
        <w:t>(</w:t>
      </w:r>
      <w:r w:rsidR="003773D2" w:rsidRPr="0033639F">
        <w:rPr>
          <w:rFonts w:ascii="Arial" w:hAnsi="Arial" w:cs="Arial"/>
          <w:noProof/>
          <w:sz w:val="22"/>
          <w:szCs w:val="22"/>
        </w:rPr>
        <w:t>226</w:t>
      </w:r>
      <w:r w:rsidR="004817FC" w:rsidRPr="0033639F">
        <w:rPr>
          <w:rFonts w:ascii="Arial" w:hAnsi="Arial" w:cs="Arial"/>
          <w:noProof/>
          <w:sz w:val="22"/>
          <w:szCs w:val="22"/>
        </w:rPr>
        <w:t>,</w:t>
      </w:r>
      <w:r w:rsidR="003773D2" w:rsidRPr="0033639F">
        <w:rPr>
          <w:rFonts w:ascii="Arial" w:hAnsi="Arial" w:cs="Arial"/>
          <w:noProof/>
          <w:sz w:val="22"/>
          <w:szCs w:val="22"/>
        </w:rPr>
        <w:t>227</w:t>
      </w:r>
      <w:r w:rsidR="004817FC" w:rsidRPr="0033639F">
        <w:rPr>
          <w:rFonts w:ascii="Arial" w:hAnsi="Arial" w:cs="Arial"/>
          <w:noProof/>
          <w:sz w:val="22"/>
          <w:szCs w:val="22"/>
        </w:rPr>
        <w:t>)</w:t>
      </w:r>
      <w:r w:rsidRPr="0033639F">
        <w:rPr>
          <w:rFonts w:ascii="Arial" w:hAnsi="Arial" w:cs="Arial"/>
          <w:sz w:val="22"/>
          <w:szCs w:val="22"/>
        </w:rPr>
        <w:t xml:space="preserve">. </w:t>
      </w:r>
    </w:p>
    <w:p w14:paraId="4FEA6213" w14:textId="77777777" w:rsidR="007B60B3" w:rsidRPr="0033639F" w:rsidRDefault="007B60B3" w:rsidP="0033639F">
      <w:pPr>
        <w:spacing w:line="276" w:lineRule="auto"/>
        <w:rPr>
          <w:rFonts w:ascii="Arial" w:hAnsi="Arial" w:cs="Arial"/>
          <w:sz w:val="22"/>
          <w:szCs w:val="22"/>
        </w:rPr>
      </w:pPr>
    </w:p>
    <w:p w14:paraId="12F5379D" w14:textId="43AD7E0B" w:rsidR="00803B01" w:rsidRDefault="00803B01" w:rsidP="0033639F">
      <w:pPr>
        <w:spacing w:line="276" w:lineRule="auto"/>
        <w:rPr>
          <w:rFonts w:ascii="Arial" w:hAnsi="Arial" w:cs="Arial"/>
          <w:b/>
          <w:bCs/>
          <w:sz w:val="22"/>
          <w:szCs w:val="22"/>
        </w:rPr>
      </w:pPr>
      <w:r w:rsidRPr="0033639F">
        <w:rPr>
          <w:rFonts w:ascii="Arial" w:hAnsi="Arial" w:cs="Arial"/>
          <w:sz w:val="22"/>
          <w:szCs w:val="22"/>
        </w:rPr>
        <w:t xml:space="preserve"> </w:t>
      </w:r>
      <w:r w:rsidR="00A072DF" w:rsidRPr="0033639F">
        <w:rPr>
          <w:rFonts w:ascii="Arial" w:hAnsi="Arial" w:cs="Arial"/>
          <w:sz w:val="22"/>
          <w:szCs w:val="22"/>
        </w:rPr>
        <w:t>Lonapegsomatropin,</w:t>
      </w:r>
      <w:r w:rsidRPr="0033639F">
        <w:rPr>
          <w:rFonts w:ascii="Arial" w:hAnsi="Arial" w:cs="Arial"/>
          <w:sz w:val="22"/>
          <w:szCs w:val="22"/>
        </w:rPr>
        <w:t xml:space="preserve"> also known as TransCon </w:t>
      </w:r>
      <w:r w:rsidR="00F96B49" w:rsidRPr="0033639F">
        <w:rPr>
          <w:rFonts w:ascii="Arial" w:hAnsi="Arial" w:cs="Arial"/>
          <w:sz w:val="22"/>
          <w:szCs w:val="22"/>
        </w:rPr>
        <w:t>GH,</w:t>
      </w:r>
      <w:r w:rsidRPr="0033639F">
        <w:rPr>
          <w:rFonts w:ascii="Arial" w:hAnsi="Arial" w:cs="Arial"/>
          <w:sz w:val="22"/>
          <w:szCs w:val="22"/>
        </w:rPr>
        <w:t xml:space="preserve"> consists of unmodified rhGH transiently attached to an inert carrier molecule, methoxypolyethylene glycol (mPEG), via a transient, low-molecular weight TransCon Linker</w:t>
      </w:r>
      <w:r w:rsidR="004817FC" w:rsidRPr="0033639F">
        <w:rPr>
          <w:rFonts w:ascii="Arial" w:hAnsi="Arial" w:cs="Arial"/>
          <w:sz w:val="22"/>
          <w:szCs w:val="22"/>
        </w:rPr>
        <w:t xml:space="preserve"> </w:t>
      </w:r>
      <w:r w:rsidR="004817FC" w:rsidRPr="0033639F">
        <w:rPr>
          <w:rFonts w:ascii="Arial" w:hAnsi="Arial" w:cs="Arial"/>
          <w:noProof/>
          <w:sz w:val="22"/>
          <w:szCs w:val="22"/>
        </w:rPr>
        <w:t>(</w:t>
      </w:r>
      <w:r w:rsidR="003773D2" w:rsidRPr="0033639F">
        <w:rPr>
          <w:rFonts w:ascii="Arial" w:hAnsi="Arial" w:cs="Arial"/>
          <w:noProof/>
          <w:sz w:val="22"/>
          <w:szCs w:val="22"/>
        </w:rPr>
        <w:t>227</w:t>
      </w:r>
      <w:r w:rsidR="004817FC" w:rsidRPr="0033639F">
        <w:rPr>
          <w:rFonts w:ascii="Arial" w:hAnsi="Arial" w:cs="Arial"/>
          <w:noProof/>
          <w:sz w:val="22"/>
          <w:szCs w:val="22"/>
        </w:rPr>
        <w:t>)</w:t>
      </w:r>
      <w:r w:rsidRPr="0033639F">
        <w:rPr>
          <w:rFonts w:ascii="Arial" w:hAnsi="Arial" w:cs="Arial"/>
          <w:b/>
          <w:bCs/>
          <w:sz w:val="22"/>
          <w:szCs w:val="22"/>
        </w:rPr>
        <w:t xml:space="preserve">. </w:t>
      </w:r>
      <w:r w:rsidRPr="0033639F">
        <w:rPr>
          <w:rFonts w:ascii="Arial" w:hAnsi="Arial" w:cs="Arial"/>
          <w:sz w:val="22"/>
          <w:szCs w:val="22"/>
        </w:rPr>
        <w:t>While the carrier molecule, mPEG, is responsible for decreasing GH receptor binding and renal excretion until its release, the linker determines when to release unmodified rhGH from its carrier prodrug, acts as a timer to allow controlled release of GH at body temperature and pH over one week</w:t>
      </w:r>
      <w:r w:rsidR="004817FC" w:rsidRPr="0033639F">
        <w:rPr>
          <w:rFonts w:ascii="Arial" w:hAnsi="Arial" w:cs="Arial"/>
          <w:sz w:val="22"/>
          <w:szCs w:val="22"/>
        </w:rPr>
        <w:t xml:space="preserve"> </w:t>
      </w:r>
      <w:r w:rsidR="004817FC" w:rsidRPr="0033639F">
        <w:rPr>
          <w:rFonts w:ascii="Arial" w:hAnsi="Arial" w:cs="Arial"/>
          <w:noProof/>
          <w:sz w:val="22"/>
          <w:szCs w:val="22"/>
        </w:rPr>
        <w:t>(</w:t>
      </w:r>
      <w:r w:rsidR="003773D2" w:rsidRPr="0033639F">
        <w:rPr>
          <w:rFonts w:ascii="Arial" w:hAnsi="Arial" w:cs="Arial"/>
          <w:noProof/>
          <w:sz w:val="22"/>
          <w:szCs w:val="22"/>
        </w:rPr>
        <w:t>224</w:t>
      </w:r>
      <w:r w:rsidR="004817FC" w:rsidRPr="0033639F">
        <w:rPr>
          <w:rFonts w:ascii="Arial" w:hAnsi="Arial" w:cs="Arial"/>
          <w:noProof/>
          <w:sz w:val="22"/>
          <w:szCs w:val="22"/>
        </w:rPr>
        <w:t>,</w:t>
      </w:r>
      <w:r w:rsidR="003773D2" w:rsidRPr="0033639F">
        <w:rPr>
          <w:rFonts w:ascii="Arial" w:hAnsi="Arial" w:cs="Arial"/>
          <w:noProof/>
          <w:sz w:val="22"/>
          <w:szCs w:val="22"/>
        </w:rPr>
        <w:t>225</w:t>
      </w:r>
      <w:r w:rsidR="004817FC" w:rsidRPr="0033639F">
        <w:rPr>
          <w:rFonts w:ascii="Arial" w:hAnsi="Arial" w:cs="Arial"/>
          <w:noProof/>
          <w:sz w:val="22"/>
          <w:szCs w:val="22"/>
        </w:rPr>
        <w:t>,</w:t>
      </w:r>
      <w:r w:rsidR="003773D2" w:rsidRPr="0033639F">
        <w:rPr>
          <w:rFonts w:ascii="Arial" w:hAnsi="Arial" w:cs="Arial"/>
          <w:noProof/>
          <w:sz w:val="22"/>
          <w:szCs w:val="22"/>
        </w:rPr>
        <w:t>227</w:t>
      </w:r>
      <w:r w:rsidR="004817FC" w:rsidRPr="0033639F">
        <w:rPr>
          <w:rFonts w:ascii="Arial" w:hAnsi="Arial" w:cs="Arial"/>
          <w:noProof/>
          <w:sz w:val="22"/>
          <w:szCs w:val="22"/>
        </w:rPr>
        <w:t>)</w:t>
      </w:r>
      <w:r w:rsidRPr="0033639F">
        <w:rPr>
          <w:rFonts w:ascii="Arial" w:hAnsi="Arial" w:cs="Arial"/>
          <w:sz w:val="22"/>
          <w:szCs w:val="22"/>
        </w:rPr>
        <w:t>.  Lonapegsomatropin is administered subcutaneously as daily GH. Because it releases unmodified rhGH over one week under physiologic conditions, it has the same actions as endogenous GH. . In a phase 2 trial comparing TransCon GH to daily growth hormone in children with GHD, the mean annualized height velocity for TransCon GH was 12.9 cm/y compared to 11.6 cm/y for daily growth hormone at an equivalent dose</w:t>
      </w:r>
      <w:r w:rsidR="004817FC" w:rsidRPr="0033639F">
        <w:rPr>
          <w:rFonts w:ascii="Arial" w:hAnsi="Arial" w:cs="Arial"/>
          <w:sz w:val="22"/>
          <w:szCs w:val="22"/>
        </w:rPr>
        <w:t xml:space="preserve"> </w:t>
      </w:r>
      <w:r w:rsidR="004817FC" w:rsidRPr="0033639F">
        <w:rPr>
          <w:rFonts w:ascii="Arial" w:hAnsi="Arial" w:cs="Arial"/>
          <w:noProof/>
          <w:sz w:val="22"/>
          <w:szCs w:val="22"/>
        </w:rPr>
        <w:t>(2</w:t>
      </w:r>
      <w:r w:rsidR="003773D2" w:rsidRPr="0033639F">
        <w:rPr>
          <w:rFonts w:ascii="Arial" w:hAnsi="Arial" w:cs="Arial"/>
          <w:noProof/>
          <w:sz w:val="22"/>
          <w:szCs w:val="22"/>
        </w:rPr>
        <w:t>28</w:t>
      </w:r>
      <w:r w:rsidR="004817FC" w:rsidRPr="0033639F">
        <w:rPr>
          <w:rFonts w:ascii="Arial" w:hAnsi="Arial" w:cs="Arial"/>
          <w:noProof/>
          <w:sz w:val="22"/>
          <w:szCs w:val="22"/>
        </w:rPr>
        <w:t>)</w:t>
      </w:r>
      <w:r w:rsidRPr="0033639F">
        <w:rPr>
          <w:rFonts w:ascii="Arial" w:hAnsi="Arial" w:cs="Arial"/>
          <w:sz w:val="22"/>
          <w:szCs w:val="22"/>
        </w:rPr>
        <w:t xml:space="preserve">. The subsequent phase 3 heiGHt Trial investigated the safety, tolerability, and efficacy of weekly lonapegsomatropin versus daily GH over 52 weeks in </w:t>
      </w:r>
      <w:r w:rsidRPr="0033639F">
        <w:rPr>
          <w:rFonts w:ascii="Arial" w:hAnsi="Arial" w:cs="Arial"/>
          <w:sz w:val="22"/>
          <w:szCs w:val="22"/>
        </w:rPr>
        <w:lastRenderedPageBreak/>
        <w:t>treatment-naive prepubertal children with GHD</w:t>
      </w:r>
      <w:r w:rsidR="004817FC" w:rsidRPr="0033639F">
        <w:rPr>
          <w:rFonts w:ascii="Arial" w:hAnsi="Arial" w:cs="Arial"/>
          <w:sz w:val="22"/>
          <w:szCs w:val="22"/>
        </w:rPr>
        <w:t xml:space="preserve"> </w:t>
      </w:r>
      <w:r w:rsidR="004817FC" w:rsidRPr="0033639F">
        <w:rPr>
          <w:rFonts w:ascii="Arial" w:hAnsi="Arial" w:cs="Arial"/>
          <w:noProof/>
          <w:sz w:val="22"/>
          <w:szCs w:val="22"/>
        </w:rPr>
        <w:t>(</w:t>
      </w:r>
      <w:r w:rsidR="003773D2" w:rsidRPr="0033639F">
        <w:rPr>
          <w:rFonts w:ascii="Arial" w:hAnsi="Arial" w:cs="Arial"/>
          <w:noProof/>
          <w:sz w:val="22"/>
          <w:szCs w:val="22"/>
        </w:rPr>
        <w:t>225</w:t>
      </w:r>
      <w:r w:rsidR="004817FC" w:rsidRPr="0033639F">
        <w:rPr>
          <w:rFonts w:ascii="Arial" w:hAnsi="Arial" w:cs="Arial"/>
          <w:noProof/>
          <w:sz w:val="22"/>
          <w:szCs w:val="22"/>
        </w:rPr>
        <w:t>,</w:t>
      </w:r>
      <w:r w:rsidR="003773D2" w:rsidRPr="0033639F">
        <w:rPr>
          <w:rFonts w:ascii="Arial" w:hAnsi="Arial" w:cs="Arial"/>
          <w:noProof/>
          <w:sz w:val="22"/>
          <w:szCs w:val="22"/>
        </w:rPr>
        <w:t>229</w:t>
      </w:r>
      <w:r w:rsidR="004817FC" w:rsidRPr="0033639F">
        <w:rPr>
          <w:rFonts w:ascii="Arial" w:hAnsi="Arial" w:cs="Arial"/>
          <w:noProof/>
          <w:sz w:val="22"/>
          <w:szCs w:val="22"/>
        </w:rPr>
        <w:t>,2</w:t>
      </w:r>
      <w:r w:rsidR="003773D2" w:rsidRPr="0033639F">
        <w:rPr>
          <w:rFonts w:ascii="Arial" w:hAnsi="Arial" w:cs="Arial"/>
          <w:noProof/>
          <w:sz w:val="22"/>
          <w:szCs w:val="22"/>
        </w:rPr>
        <w:t>30</w:t>
      </w:r>
      <w:r w:rsidR="004817F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This trial enrolled 161 treatment-naïve, prepubertal children with GHD. Subjects were randomized 2:1 to receive lonapegsomatropin 0.24 mg/kg/week or daily somatropin (0.34 mg/kg/week). At 52 weeks, annualized height velocity was again better in lonapegsomatropin group (11.2 cm/year) compared to daily GH group 10.3 cm/year (</w:t>
      </w:r>
      <w:r w:rsidRPr="0033639F">
        <w:rPr>
          <w:rFonts w:ascii="Arial" w:hAnsi="Arial" w:cs="Arial"/>
          <w:i/>
          <w:iCs/>
          <w:sz w:val="22"/>
          <w:szCs w:val="22"/>
        </w:rPr>
        <w:t>p</w:t>
      </w:r>
      <w:r w:rsidRPr="0033639F">
        <w:rPr>
          <w:rFonts w:ascii="Arial" w:hAnsi="Arial" w:cs="Arial"/>
          <w:sz w:val="22"/>
          <w:szCs w:val="22"/>
        </w:rPr>
        <w:t>=0.009). This study confirmed noninferiority and further showed statistical superiority of lonapegsomatropin in annualized height velocity compared to daily GH, with similar safety, in treatment-naïve children with GHD</w:t>
      </w:r>
      <w:r w:rsidR="006067B8" w:rsidRPr="0033639F">
        <w:rPr>
          <w:rFonts w:ascii="Arial" w:hAnsi="Arial" w:cs="Arial"/>
          <w:sz w:val="22"/>
          <w:szCs w:val="22"/>
        </w:rPr>
        <w:t xml:space="preserve"> </w:t>
      </w:r>
      <w:r w:rsidR="006067B8" w:rsidRPr="0033639F">
        <w:rPr>
          <w:rFonts w:ascii="Arial" w:hAnsi="Arial" w:cs="Arial"/>
          <w:noProof/>
          <w:sz w:val="22"/>
          <w:szCs w:val="22"/>
        </w:rPr>
        <w:t>(</w:t>
      </w:r>
      <w:r w:rsidR="003773D2" w:rsidRPr="0033639F">
        <w:rPr>
          <w:rFonts w:ascii="Arial" w:hAnsi="Arial" w:cs="Arial"/>
          <w:noProof/>
          <w:sz w:val="22"/>
          <w:szCs w:val="22"/>
        </w:rPr>
        <w:t>230</w:t>
      </w:r>
      <w:r w:rsidR="006067B8" w:rsidRPr="0033639F">
        <w:rPr>
          <w:rFonts w:ascii="Arial" w:hAnsi="Arial" w:cs="Arial"/>
          <w:noProof/>
          <w:sz w:val="22"/>
          <w:szCs w:val="22"/>
        </w:rPr>
        <w:t>)</w:t>
      </w:r>
      <w:r w:rsidR="006067B8" w:rsidRPr="0033639F">
        <w:rPr>
          <w:rFonts w:ascii="Arial" w:hAnsi="Arial" w:cs="Arial"/>
          <w:sz w:val="22"/>
          <w:szCs w:val="22"/>
        </w:rPr>
        <w:t>.</w:t>
      </w:r>
      <w:r w:rsidRPr="0033639F">
        <w:rPr>
          <w:rFonts w:ascii="Arial" w:hAnsi="Arial" w:cs="Arial"/>
          <w:b/>
          <w:bCs/>
          <w:sz w:val="22"/>
          <w:szCs w:val="22"/>
        </w:rPr>
        <w:t xml:space="preserve"> </w:t>
      </w:r>
    </w:p>
    <w:p w14:paraId="2F083FE6" w14:textId="77777777" w:rsidR="007B60B3" w:rsidRPr="0033639F" w:rsidRDefault="007B60B3" w:rsidP="0033639F">
      <w:pPr>
        <w:spacing w:line="276" w:lineRule="auto"/>
        <w:rPr>
          <w:rFonts w:ascii="Arial" w:hAnsi="Arial" w:cs="Arial"/>
          <w:b/>
          <w:bCs/>
          <w:sz w:val="22"/>
          <w:szCs w:val="22"/>
        </w:rPr>
      </w:pPr>
    </w:p>
    <w:p w14:paraId="64633FB3" w14:textId="0E15600D"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Lonapegsomatropin injections were well tolerated and </w:t>
      </w:r>
      <w:r w:rsidR="00F96B49" w:rsidRPr="0033639F">
        <w:rPr>
          <w:rFonts w:ascii="Arial" w:hAnsi="Arial" w:cs="Arial"/>
          <w:sz w:val="22"/>
          <w:szCs w:val="22"/>
        </w:rPr>
        <w:t>were</w:t>
      </w:r>
      <w:r w:rsidRPr="0033639F">
        <w:rPr>
          <w:rFonts w:ascii="Arial" w:hAnsi="Arial" w:cs="Arial"/>
          <w:sz w:val="22"/>
          <w:szCs w:val="22"/>
        </w:rPr>
        <w:t xml:space="preserve"> not associated with increased adverse effects compared to daily GH. None of study subjects had pseudotumor cerebri, slipped capital femoral epiphysis or hyperglycemia; in contrast, these complications have been previously reported in daily GH therapy</w:t>
      </w:r>
      <w:r w:rsidR="006067B8" w:rsidRPr="0033639F">
        <w:rPr>
          <w:rFonts w:ascii="Arial" w:hAnsi="Arial" w:cs="Arial"/>
          <w:sz w:val="22"/>
          <w:szCs w:val="22"/>
        </w:rPr>
        <w:t xml:space="preserve"> </w:t>
      </w:r>
      <w:r w:rsidR="006067B8" w:rsidRPr="0033639F">
        <w:rPr>
          <w:rFonts w:ascii="Arial" w:hAnsi="Arial" w:cs="Arial"/>
          <w:noProof/>
          <w:sz w:val="22"/>
          <w:szCs w:val="22"/>
        </w:rPr>
        <w:t>(</w:t>
      </w:r>
      <w:r w:rsidR="003773D2" w:rsidRPr="0033639F">
        <w:rPr>
          <w:rFonts w:ascii="Arial" w:hAnsi="Arial" w:cs="Arial"/>
          <w:noProof/>
          <w:sz w:val="22"/>
          <w:szCs w:val="22"/>
        </w:rPr>
        <w:t>231</w:t>
      </w:r>
      <w:r w:rsidR="006067B8" w:rsidRPr="0033639F">
        <w:rPr>
          <w:rFonts w:ascii="Arial" w:hAnsi="Arial" w:cs="Arial"/>
          <w:noProof/>
          <w:sz w:val="22"/>
          <w:szCs w:val="22"/>
        </w:rPr>
        <w:t>)</w:t>
      </w:r>
      <w:r w:rsidR="006067B8" w:rsidRPr="0033639F">
        <w:rPr>
          <w:rFonts w:ascii="Arial" w:hAnsi="Arial" w:cs="Arial"/>
          <w:sz w:val="22"/>
          <w:szCs w:val="22"/>
        </w:rPr>
        <w:t xml:space="preserve">. </w:t>
      </w:r>
      <w:r w:rsidRPr="0033639F">
        <w:rPr>
          <w:rFonts w:ascii="Arial" w:hAnsi="Arial" w:cs="Arial"/>
          <w:sz w:val="22"/>
          <w:szCs w:val="22"/>
        </w:rPr>
        <w:t>However,</w:t>
      </w:r>
      <w:r w:rsidRPr="0033639F">
        <w:rPr>
          <w:rFonts w:ascii="Arial" w:hAnsi="Arial" w:cs="Arial"/>
          <w:b/>
          <w:bCs/>
          <w:sz w:val="22"/>
          <w:szCs w:val="22"/>
        </w:rPr>
        <w:t xml:space="preserve"> </w:t>
      </w:r>
      <w:r w:rsidRPr="0033639F">
        <w:rPr>
          <w:rFonts w:ascii="Arial" w:hAnsi="Arial" w:cs="Arial"/>
          <w:sz w:val="22"/>
          <w:szCs w:val="22"/>
        </w:rPr>
        <w:t>transient hyperglycemia was recently reported in a child with obesity who was on Lonepegsomatropin</w:t>
      </w:r>
      <w:r w:rsidRPr="0033639F">
        <w:rPr>
          <w:rFonts w:ascii="Arial" w:hAnsi="Arial" w:cs="Arial"/>
          <w:b/>
          <w:bCs/>
          <w:sz w:val="22"/>
          <w:szCs w:val="22"/>
        </w:rPr>
        <w:t xml:space="preserve"> </w:t>
      </w:r>
      <w:r w:rsidRPr="0033639F">
        <w:rPr>
          <w:rFonts w:ascii="Arial" w:hAnsi="Arial" w:cs="Arial"/>
          <w:sz w:val="22"/>
          <w:szCs w:val="22"/>
        </w:rPr>
        <w:t>suggesting the need for careful glucose monitoring while receiving lonepegsomatropin</w:t>
      </w:r>
      <w:r w:rsidR="006067B8" w:rsidRPr="0033639F">
        <w:rPr>
          <w:rFonts w:ascii="Arial" w:hAnsi="Arial" w:cs="Arial"/>
          <w:sz w:val="22"/>
          <w:szCs w:val="22"/>
        </w:rPr>
        <w:t xml:space="preserve"> </w:t>
      </w:r>
      <w:r w:rsidR="006067B8" w:rsidRPr="0033639F">
        <w:rPr>
          <w:rFonts w:ascii="Arial" w:hAnsi="Arial" w:cs="Arial"/>
          <w:noProof/>
          <w:sz w:val="22"/>
          <w:szCs w:val="22"/>
        </w:rPr>
        <w:t>(2</w:t>
      </w:r>
      <w:r w:rsidR="003773D2" w:rsidRPr="0033639F">
        <w:rPr>
          <w:rFonts w:ascii="Arial" w:hAnsi="Arial" w:cs="Arial"/>
          <w:noProof/>
          <w:sz w:val="22"/>
          <w:szCs w:val="22"/>
        </w:rPr>
        <w:t>32</w:t>
      </w:r>
      <w:r w:rsidR="006067B8" w:rsidRPr="0033639F">
        <w:rPr>
          <w:rFonts w:ascii="Arial" w:hAnsi="Arial" w:cs="Arial"/>
          <w:noProof/>
          <w:sz w:val="22"/>
          <w:szCs w:val="22"/>
        </w:rPr>
        <w:t>)</w:t>
      </w:r>
      <w:r w:rsidRPr="0033639F">
        <w:rPr>
          <w:rFonts w:ascii="Arial" w:hAnsi="Arial" w:cs="Arial"/>
          <w:b/>
          <w:bCs/>
          <w:sz w:val="22"/>
          <w:szCs w:val="22"/>
        </w:rPr>
        <w:t xml:space="preserve">. </w:t>
      </w:r>
      <w:r w:rsidRPr="0033639F">
        <w:rPr>
          <w:rFonts w:ascii="Arial" w:hAnsi="Arial" w:cs="Arial"/>
          <w:sz w:val="22"/>
          <w:szCs w:val="22"/>
        </w:rPr>
        <w:t>In the</w:t>
      </w:r>
      <w:r w:rsidRPr="0033639F">
        <w:rPr>
          <w:rFonts w:ascii="Arial" w:hAnsi="Arial" w:cs="Arial"/>
          <w:b/>
          <w:bCs/>
          <w:sz w:val="22"/>
          <w:szCs w:val="22"/>
        </w:rPr>
        <w:t xml:space="preserve"> </w:t>
      </w:r>
      <w:r w:rsidRPr="0033639F">
        <w:rPr>
          <w:rFonts w:ascii="Arial" w:hAnsi="Arial" w:cs="Arial"/>
          <w:sz w:val="22"/>
          <w:szCs w:val="22"/>
        </w:rPr>
        <w:t xml:space="preserve">lonapegsomatropin group, although study subjects had higher IGF1 SD and reached target IGF1 SD earlier compared to daily GH-treated group, IGF1/IGFBP3 ratios were similar between the lonapegsomatropin- and daily GH-treated groups. There were two children that required dose reduction due to IGF1 SD &gt;2. In both groups, there were no neutralizing antibodies and low-affinity antibodies were observed. </w:t>
      </w:r>
    </w:p>
    <w:p w14:paraId="42CCAC6E" w14:textId="77777777" w:rsidR="001F2382" w:rsidRPr="0033639F" w:rsidRDefault="001F2382" w:rsidP="0033639F">
      <w:pPr>
        <w:spacing w:line="276" w:lineRule="auto"/>
        <w:rPr>
          <w:rFonts w:ascii="Arial" w:hAnsi="Arial" w:cs="Arial"/>
          <w:b/>
          <w:bCs/>
          <w:sz w:val="22"/>
          <w:szCs w:val="22"/>
        </w:rPr>
      </w:pPr>
    </w:p>
    <w:p w14:paraId="4E8FA2AC" w14:textId="2E1ACD98" w:rsidR="00803B01" w:rsidRDefault="00803B01" w:rsidP="0033639F">
      <w:pPr>
        <w:spacing w:line="276" w:lineRule="auto"/>
        <w:rPr>
          <w:rFonts w:ascii="Arial" w:hAnsi="Arial" w:cs="Arial"/>
          <w:noProof/>
          <w:sz w:val="22"/>
          <w:szCs w:val="22"/>
        </w:rPr>
      </w:pPr>
      <w:r w:rsidRPr="0033639F">
        <w:rPr>
          <w:rFonts w:ascii="Arial" w:hAnsi="Arial" w:cs="Arial"/>
          <w:sz w:val="22"/>
          <w:szCs w:val="22"/>
        </w:rPr>
        <w:t xml:space="preserve">While the phase 3 heiGHt Trial in children established non-inferiority and statistical superiority of height velocity compared to daily growth hormone therapy, with no concerning side effects </w:t>
      </w:r>
      <w:r w:rsidR="00582A3F" w:rsidRPr="0033639F">
        <w:rPr>
          <w:rFonts w:ascii="Arial" w:hAnsi="Arial" w:cs="Arial"/>
          <w:noProof/>
          <w:sz w:val="22"/>
          <w:szCs w:val="22"/>
        </w:rPr>
        <w:t>(</w:t>
      </w:r>
      <w:r w:rsidR="003773D2" w:rsidRPr="0033639F">
        <w:rPr>
          <w:rFonts w:ascii="Arial" w:hAnsi="Arial" w:cs="Arial"/>
          <w:noProof/>
          <w:sz w:val="22"/>
          <w:szCs w:val="22"/>
        </w:rPr>
        <w:t>230</w:t>
      </w:r>
      <w:r w:rsidR="00582A3F" w:rsidRPr="0033639F">
        <w:rPr>
          <w:rFonts w:ascii="Arial" w:hAnsi="Arial" w:cs="Arial"/>
          <w:noProof/>
          <w:sz w:val="22"/>
          <w:szCs w:val="22"/>
        </w:rPr>
        <w:t>)</w:t>
      </w:r>
      <w:r w:rsidRPr="0033639F">
        <w:rPr>
          <w:rFonts w:ascii="Arial" w:hAnsi="Arial" w:cs="Arial"/>
          <w:b/>
          <w:bCs/>
          <w:sz w:val="22"/>
          <w:szCs w:val="22"/>
        </w:rPr>
        <w:t xml:space="preserve">, </w:t>
      </w:r>
      <w:r w:rsidRPr="0033639F">
        <w:rPr>
          <w:rFonts w:ascii="Arial" w:hAnsi="Arial" w:cs="Arial"/>
          <w:sz w:val="22"/>
          <w:szCs w:val="22"/>
        </w:rPr>
        <w:t>the fliGHt Trial showed that switching from daily somatropin to lonapegsomatropin resulted in a similar adverse event profile and maintained growth outcomes</w:t>
      </w:r>
      <w:r w:rsidR="00582A3F" w:rsidRPr="0033639F">
        <w:rPr>
          <w:rFonts w:ascii="Arial" w:hAnsi="Arial" w:cs="Arial"/>
          <w:sz w:val="22"/>
          <w:szCs w:val="22"/>
        </w:rPr>
        <w:t xml:space="preserve"> </w:t>
      </w:r>
      <w:r w:rsidR="00582A3F" w:rsidRPr="0033639F">
        <w:rPr>
          <w:rFonts w:ascii="Arial" w:hAnsi="Arial" w:cs="Arial"/>
          <w:noProof/>
          <w:sz w:val="22"/>
          <w:szCs w:val="22"/>
        </w:rPr>
        <w:t>(</w:t>
      </w:r>
      <w:r w:rsidR="003773D2" w:rsidRPr="0033639F">
        <w:rPr>
          <w:rFonts w:ascii="Arial" w:hAnsi="Arial" w:cs="Arial"/>
          <w:noProof/>
          <w:sz w:val="22"/>
          <w:szCs w:val="22"/>
        </w:rPr>
        <w:t>233</w:t>
      </w:r>
      <w:r w:rsidR="00582A3F"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Long-term data from the enliGHten trial showed continued improvement in height standard deviation scores through the third year of therapy</w:t>
      </w:r>
      <w:r w:rsidR="00232B3C" w:rsidRPr="0033639F">
        <w:rPr>
          <w:rFonts w:ascii="Arial" w:hAnsi="Arial" w:cs="Arial"/>
          <w:sz w:val="22"/>
          <w:szCs w:val="22"/>
        </w:rPr>
        <w:t xml:space="preserve"> </w:t>
      </w:r>
      <w:r w:rsidR="00232B3C" w:rsidRPr="0033639F">
        <w:rPr>
          <w:rFonts w:ascii="Arial" w:hAnsi="Arial" w:cs="Arial"/>
          <w:noProof/>
          <w:sz w:val="22"/>
          <w:szCs w:val="22"/>
        </w:rPr>
        <w:t>(2</w:t>
      </w:r>
      <w:r w:rsidR="003773D2" w:rsidRPr="0033639F">
        <w:rPr>
          <w:rFonts w:ascii="Arial" w:hAnsi="Arial" w:cs="Arial"/>
          <w:noProof/>
          <w:sz w:val="22"/>
          <w:szCs w:val="22"/>
        </w:rPr>
        <w:t>34</w:t>
      </w:r>
      <w:r w:rsidR="00232B3C" w:rsidRPr="0033639F">
        <w:rPr>
          <w:rFonts w:ascii="Arial" w:hAnsi="Arial" w:cs="Arial"/>
          <w:noProof/>
          <w:sz w:val="22"/>
          <w:szCs w:val="22"/>
        </w:rPr>
        <w:t>)</w:t>
      </w:r>
      <w:r w:rsidR="005630BE" w:rsidRPr="0033639F">
        <w:rPr>
          <w:rFonts w:ascii="Arial" w:hAnsi="Arial" w:cs="Arial"/>
          <w:noProof/>
          <w:sz w:val="22"/>
          <w:szCs w:val="22"/>
        </w:rPr>
        <w:t>.</w:t>
      </w:r>
    </w:p>
    <w:p w14:paraId="2EA81399" w14:textId="77777777" w:rsidR="001F2382" w:rsidRPr="0033639F" w:rsidRDefault="001F2382" w:rsidP="0033639F">
      <w:pPr>
        <w:spacing w:line="276" w:lineRule="auto"/>
        <w:rPr>
          <w:rFonts w:ascii="Arial" w:hAnsi="Arial" w:cs="Arial"/>
          <w:b/>
          <w:bCs/>
          <w:sz w:val="22"/>
          <w:szCs w:val="22"/>
        </w:rPr>
      </w:pPr>
    </w:p>
    <w:p w14:paraId="776088DB" w14:textId="03B25B78" w:rsidR="00803B01" w:rsidRPr="00A35C99" w:rsidRDefault="00BD29BB" w:rsidP="001F2382">
      <w:pPr>
        <w:rPr>
          <w:color w:val="FF0000"/>
        </w:rPr>
      </w:pPr>
      <w:r w:rsidRPr="00A35C99">
        <w:rPr>
          <w:color w:val="FF0000"/>
        </w:rPr>
        <w:t>NON</w:t>
      </w:r>
      <w:r w:rsidR="00723019" w:rsidRPr="00A35C99">
        <w:rPr>
          <w:color w:val="FF0000"/>
        </w:rPr>
        <w:t xml:space="preserve">VALENT TRANSIENT ALBUMIN BINDING FORMULATIONS </w:t>
      </w:r>
    </w:p>
    <w:p w14:paraId="56C792B8" w14:textId="77777777" w:rsidR="001F2382" w:rsidRPr="00A35C99" w:rsidRDefault="001F2382" w:rsidP="0033639F">
      <w:pPr>
        <w:spacing w:line="276" w:lineRule="auto"/>
        <w:rPr>
          <w:rFonts w:ascii="Arial" w:hAnsi="Arial" w:cs="Arial"/>
          <w:color w:val="FF0000"/>
          <w:sz w:val="22"/>
          <w:szCs w:val="22"/>
        </w:rPr>
      </w:pPr>
    </w:p>
    <w:p w14:paraId="4D6F3ABC" w14:textId="60C092AB" w:rsidR="00803B01" w:rsidRDefault="00803B01" w:rsidP="0033639F">
      <w:pPr>
        <w:spacing w:line="276" w:lineRule="auto"/>
        <w:rPr>
          <w:rFonts w:ascii="Arial" w:hAnsi="Arial" w:cs="Arial"/>
          <w:sz w:val="22"/>
          <w:szCs w:val="22"/>
        </w:rPr>
      </w:pPr>
      <w:r w:rsidRPr="0033639F">
        <w:rPr>
          <w:rFonts w:ascii="Arial" w:hAnsi="Arial" w:cs="Arial"/>
          <w:sz w:val="22"/>
          <w:szCs w:val="22"/>
        </w:rPr>
        <w:t>Somapacitan (Sogroya</w:t>
      </w:r>
      <w:r w:rsidRPr="0033639F">
        <w:rPr>
          <w:rFonts w:ascii="Arial" w:hAnsi="Arial" w:cs="Arial"/>
          <w:sz w:val="22"/>
          <w:szCs w:val="22"/>
        </w:rPr>
        <w:sym w:font="Symbol" w:char="F0E2"/>
      </w:r>
      <w:r w:rsidRPr="0033639F">
        <w:rPr>
          <w:rFonts w:ascii="Arial" w:hAnsi="Arial" w:cs="Arial"/>
          <w:sz w:val="22"/>
          <w:szCs w:val="22"/>
        </w:rPr>
        <w:t>) was developed using a well-established protraction method which previously has been used to extend half-lives of insulin detemir and glucagon like peptide 1 agonists (liraglutide and semaglutide). It is a novel albumin-binding GH derivative, with a small albumin-binding property attached to the GH molecule</w:t>
      </w:r>
      <w:r w:rsidR="0032644F" w:rsidRPr="0033639F">
        <w:rPr>
          <w:rFonts w:ascii="Arial" w:hAnsi="Arial" w:cs="Arial"/>
          <w:sz w:val="22"/>
          <w:szCs w:val="22"/>
        </w:rPr>
        <w:t xml:space="preserve"> </w:t>
      </w:r>
      <w:r w:rsidR="00232B3C" w:rsidRPr="0033639F">
        <w:rPr>
          <w:rFonts w:ascii="Arial" w:hAnsi="Arial" w:cs="Arial"/>
          <w:noProof/>
          <w:sz w:val="22"/>
          <w:szCs w:val="22"/>
        </w:rPr>
        <w:t>(</w:t>
      </w:r>
      <w:r w:rsidR="003773D2" w:rsidRPr="0033639F">
        <w:rPr>
          <w:rFonts w:ascii="Arial" w:hAnsi="Arial" w:cs="Arial"/>
          <w:noProof/>
          <w:sz w:val="22"/>
          <w:szCs w:val="22"/>
        </w:rPr>
        <w:t>235</w:t>
      </w:r>
      <w:r w:rsidR="00232B3C" w:rsidRPr="0033639F">
        <w:rPr>
          <w:rFonts w:ascii="Arial" w:hAnsi="Arial" w:cs="Arial"/>
          <w:noProof/>
          <w:sz w:val="22"/>
          <w:szCs w:val="22"/>
        </w:rPr>
        <w:t>)</w:t>
      </w:r>
      <w:r w:rsidRPr="0033639F">
        <w:rPr>
          <w:rFonts w:ascii="Arial" w:hAnsi="Arial" w:cs="Arial"/>
          <w:sz w:val="22"/>
          <w:szCs w:val="22"/>
        </w:rPr>
        <w:t>. Somapacitan consists of a human GH molecule and a single amino acid substitution at position 101 (leucine to cysteine) where a side chain has been attached</w:t>
      </w:r>
      <w:r w:rsidR="0032644F" w:rsidRPr="0033639F">
        <w:rPr>
          <w:rFonts w:ascii="Arial" w:hAnsi="Arial" w:cs="Arial"/>
          <w:sz w:val="22"/>
          <w:szCs w:val="22"/>
        </w:rPr>
        <w:t xml:space="preserve"> </w:t>
      </w:r>
      <w:r w:rsidR="00232B3C" w:rsidRPr="0033639F">
        <w:rPr>
          <w:rFonts w:ascii="Arial" w:hAnsi="Arial" w:cs="Arial"/>
          <w:noProof/>
          <w:sz w:val="22"/>
          <w:szCs w:val="22"/>
        </w:rPr>
        <w:t>(</w:t>
      </w:r>
      <w:r w:rsidR="003773D2" w:rsidRPr="0033639F">
        <w:rPr>
          <w:rFonts w:ascii="Arial" w:hAnsi="Arial" w:cs="Arial"/>
          <w:noProof/>
          <w:sz w:val="22"/>
          <w:szCs w:val="22"/>
        </w:rPr>
        <w:t>235</w:t>
      </w:r>
      <w:r w:rsidR="00232B3C" w:rsidRPr="0033639F">
        <w:rPr>
          <w:rFonts w:ascii="Arial" w:hAnsi="Arial" w:cs="Arial"/>
          <w:noProof/>
          <w:sz w:val="22"/>
          <w:szCs w:val="22"/>
        </w:rPr>
        <w:t>)</w:t>
      </w:r>
      <w:r w:rsidRPr="0033639F">
        <w:rPr>
          <w:rFonts w:ascii="Arial" w:hAnsi="Arial" w:cs="Arial"/>
          <w:b/>
          <w:bCs/>
          <w:sz w:val="22"/>
          <w:szCs w:val="22"/>
        </w:rPr>
        <w:t xml:space="preserve">. </w:t>
      </w:r>
      <w:r w:rsidRPr="0033639F">
        <w:rPr>
          <w:rFonts w:ascii="Arial" w:hAnsi="Arial" w:cs="Arial"/>
          <w:sz w:val="22"/>
          <w:szCs w:val="22"/>
        </w:rPr>
        <w:t>Amino acid substitution, Leu101Cys does not affect the binding to the GH receptor and the side chain consists of a hydrophilic spacer and an albumin-binding moiety</w:t>
      </w:r>
      <w:r w:rsidR="0032644F" w:rsidRPr="0033639F">
        <w:rPr>
          <w:rFonts w:ascii="Arial" w:hAnsi="Arial" w:cs="Arial"/>
          <w:sz w:val="22"/>
          <w:szCs w:val="22"/>
        </w:rPr>
        <w:t xml:space="preserve"> </w:t>
      </w:r>
      <w:r w:rsidR="00232B3C" w:rsidRPr="0033639F">
        <w:rPr>
          <w:rFonts w:ascii="Arial" w:hAnsi="Arial" w:cs="Arial"/>
          <w:noProof/>
          <w:sz w:val="22"/>
          <w:szCs w:val="22"/>
        </w:rPr>
        <w:t>(</w:t>
      </w:r>
      <w:r w:rsidR="003773D2" w:rsidRPr="0033639F">
        <w:rPr>
          <w:rFonts w:ascii="Arial" w:hAnsi="Arial" w:cs="Arial"/>
          <w:noProof/>
          <w:sz w:val="22"/>
          <w:szCs w:val="22"/>
        </w:rPr>
        <w:t>236</w:t>
      </w:r>
      <w:r w:rsidR="00232B3C" w:rsidRPr="0033639F">
        <w:rPr>
          <w:rFonts w:ascii="Arial" w:hAnsi="Arial" w:cs="Arial"/>
          <w:noProof/>
          <w:sz w:val="22"/>
          <w:szCs w:val="22"/>
        </w:rPr>
        <w:t>)</w:t>
      </w:r>
      <w:r w:rsidRPr="0033639F">
        <w:rPr>
          <w:rFonts w:ascii="Arial" w:hAnsi="Arial" w:cs="Arial"/>
          <w:b/>
          <w:bCs/>
          <w:sz w:val="22"/>
          <w:szCs w:val="22"/>
        </w:rPr>
        <w:t xml:space="preserve">. </w:t>
      </w:r>
      <w:r w:rsidRPr="0033639F">
        <w:rPr>
          <w:rFonts w:ascii="Arial" w:hAnsi="Arial" w:cs="Arial"/>
          <w:sz w:val="22"/>
          <w:szCs w:val="22"/>
        </w:rPr>
        <w:t>The reversible binding to endogenous albumin delays the elimination of somapacitan, extends its half-life and, therefore, duration of action, allowing once-weekly administration</w:t>
      </w:r>
      <w:r w:rsidR="0032644F" w:rsidRPr="0033639F">
        <w:rPr>
          <w:rFonts w:ascii="Arial" w:hAnsi="Arial" w:cs="Arial"/>
          <w:sz w:val="22"/>
          <w:szCs w:val="22"/>
        </w:rPr>
        <w:t xml:space="preserve"> </w:t>
      </w:r>
      <w:r w:rsidR="00232B3C" w:rsidRPr="0033639F">
        <w:rPr>
          <w:rFonts w:ascii="Arial" w:hAnsi="Arial" w:cs="Arial"/>
          <w:noProof/>
          <w:sz w:val="22"/>
          <w:szCs w:val="22"/>
        </w:rPr>
        <w:t>(2</w:t>
      </w:r>
      <w:r w:rsidR="003773D2" w:rsidRPr="0033639F">
        <w:rPr>
          <w:rFonts w:ascii="Arial" w:hAnsi="Arial" w:cs="Arial"/>
          <w:noProof/>
          <w:sz w:val="22"/>
          <w:szCs w:val="22"/>
        </w:rPr>
        <w:t>37</w:t>
      </w:r>
      <w:r w:rsidR="00232B3C" w:rsidRPr="0033639F">
        <w:rPr>
          <w:rFonts w:ascii="Arial" w:hAnsi="Arial" w:cs="Arial"/>
          <w:noProof/>
          <w:sz w:val="22"/>
          <w:szCs w:val="22"/>
        </w:rPr>
        <w:t>)</w:t>
      </w:r>
      <w:r w:rsidRPr="0033639F">
        <w:rPr>
          <w:rFonts w:ascii="Arial" w:hAnsi="Arial" w:cs="Arial"/>
          <w:b/>
          <w:bCs/>
          <w:sz w:val="22"/>
          <w:szCs w:val="22"/>
        </w:rPr>
        <w:t xml:space="preserve">. </w:t>
      </w:r>
      <w:r w:rsidRPr="0033639F">
        <w:rPr>
          <w:rFonts w:ascii="Arial" w:hAnsi="Arial" w:cs="Arial"/>
          <w:sz w:val="22"/>
          <w:szCs w:val="22"/>
        </w:rPr>
        <w:t xml:space="preserve">Somapacitan was first approved for adult growth hormone deficiency in August 2020, and later for pediatric growth hormone deficiency in April 2023 by the US Food and Drug Administration. </w:t>
      </w:r>
    </w:p>
    <w:p w14:paraId="7CC38612" w14:textId="77777777" w:rsidR="00A35C99" w:rsidRPr="0033639F" w:rsidRDefault="00A35C99" w:rsidP="0033639F">
      <w:pPr>
        <w:spacing w:line="276" w:lineRule="auto"/>
        <w:rPr>
          <w:rFonts w:ascii="Arial" w:hAnsi="Arial" w:cs="Arial"/>
          <w:sz w:val="22"/>
          <w:szCs w:val="22"/>
        </w:rPr>
      </w:pPr>
    </w:p>
    <w:p w14:paraId="3F2D1DD5" w14:textId="147789E4" w:rsidR="00803B01" w:rsidRDefault="00803B01" w:rsidP="0033639F">
      <w:pPr>
        <w:spacing w:line="276" w:lineRule="auto"/>
        <w:rPr>
          <w:rFonts w:ascii="Arial" w:hAnsi="Arial" w:cs="Arial"/>
          <w:sz w:val="22"/>
          <w:szCs w:val="22"/>
        </w:rPr>
      </w:pPr>
      <w:r w:rsidRPr="0033639F">
        <w:rPr>
          <w:rFonts w:ascii="Arial" w:hAnsi="Arial" w:cs="Arial"/>
          <w:sz w:val="22"/>
          <w:szCs w:val="22"/>
        </w:rPr>
        <w:t>Clinical trials have demonstrated somapacitan’s efficacy and safety compared to daily GH injections</w:t>
      </w:r>
      <w:r w:rsidR="00032BF8" w:rsidRPr="0033639F">
        <w:rPr>
          <w:rFonts w:ascii="Arial" w:hAnsi="Arial" w:cs="Arial"/>
          <w:sz w:val="22"/>
          <w:szCs w:val="22"/>
        </w:rPr>
        <w:t xml:space="preserve"> </w:t>
      </w:r>
      <w:r w:rsidR="00232B3C" w:rsidRPr="0033639F">
        <w:rPr>
          <w:rFonts w:ascii="Arial" w:hAnsi="Arial" w:cs="Arial"/>
          <w:noProof/>
          <w:sz w:val="22"/>
          <w:szCs w:val="22"/>
        </w:rPr>
        <w:t>(2</w:t>
      </w:r>
      <w:r w:rsidR="003773D2" w:rsidRPr="0033639F">
        <w:rPr>
          <w:rFonts w:ascii="Arial" w:hAnsi="Arial" w:cs="Arial"/>
          <w:noProof/>
          <w:sz w:val="22"/>
          <w:szCs w:val="22"/>
        </w:rPr>
        <w:t>38</w:t>
      </w:r>
      <w:r w:rsidR="00232B3C" w:rsidRPr="0033639F">
        <w:rPr>
          <w:rFonts w:ascii="Arial" w:hAnsi="Arial" w:cs="Arial"/>
          <w:noProof/>
          <w:sz w:val="22"/>
          <w:szCs w:val="22"/>
        </w:rPr>
        <w:t>,2</w:t>
      </w:r>
      <w:r w:rsidR="003773D2" w:rsidRPr="0033639F">
        <w:rPr>
          <w:rFonts w:ascii="Arial" w:hAnsi="Arial" w:cs="Arial"/>
          <w:noProof/>
          <w:sz w:val="22"/>
          <w:szCs w:val="22"/>
        </w:rPr>
        <w:t>39</w:t>
      </w:r>
      <w:r w:rsidR="00232B3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In children with GHD, somapacitan showed similar height velocity and </w:t>
      </w:r>
      <w:r w:rsidRPr="0033639F">
        <w:rPr>
          <w:rFonts w:ascii="Arial" w:hAnsi="Arial" w:cs="Arial"/>
          <w:sz w:val="22"/>
          <w:szCs w:val="22"/>
        </w:rPr>
        <w:lastRenderedPageBreak/>
        <w:t>IGF</w:t>
      </w:r>
      <w:r w:rsidR="007B2179" w:rsidRPr="0033639F">
        <w:rPr>
          <w:rFonts w:ascii="Arial" w:hAnsi="Arial" w:cs="Arial"/>
          <w:sz w:val="22"/>
          <w:szCs w:val="22"/>
        </w:rPr>
        <w:t>1</w:t>
      </w:r>
      <w:r w:rsidRPr="0033639F">
        <w:rPr>
          <w:rFonts w:ascii="Arial" w:hAnsi="Arial" w:cs="Arial"/>
          <w:sz w:val="22"/>
          <w:szCs w:val="22"/>
        </w:rPr>
        <w:t xml:space="preserve"> increases as daily GH, with similar safety profiles including neutralizing antibodies, bone maturation, and metabolic profile over 1 year-2 years-and 4 years of treatment</w:t>
      </w:r>
      <w:r w:rsidR="00032BF8" w:rsidRPr="0033639F">
        <w:rPr>
          <w:rFonts w:ascii="Arial" w:hAnsi="Arial" w:cs="Arial"/>
          <w:sz w:val="22"/>
          <w:szCs w:val="22"/>
        </w:rPr>
        <w:t xml:space="preserve"> </w:t>
      </w:r>
      <w:r w:rsidR="00232B3C" w:rsidRPr="0033639F">
        <w:rPr>
          <w:rFonts w:ascii="Arial" w:hAnsi="Arial" w:cs="Arial"/>
          <w:noProof/>
          <w:sz w:val="22"/>
          <w:szCs w:val="22"/>
        </w:rPr>
        <w:t>(2</w:t>
      </w:r>
      <w:r w:rsidR="00FD149D" w:rsidRPr="0033639F">
        <w:rPr>
          <w:rFonts w:ascii="Arial" w:hAnsi="Arial" w:cs="Arial"/>
          <w:noProof/>
          <w:sz w:val="22"/>
          <w:szCs w:val="22"/>
        </w:rPr>
        <w:t>38</w:t>
      </w:r>
      <w:r w:rsidR="00232B3C" w:rsidRPr="0033639F">
        <w:rPr>
          <w:rFonts w:ascii="Arial" w:hAnsi="Arial" w:cs="Arial"/>
          <w:noProof/>
          <w:sz w:val="22"/>
          <w:szCs w:val="22"/>
        </w:rPr>
        <w:t>,2</w:t>
      </w:r>
      <w:r w:rsidR="00FD149D" w:rsidRPr="0033639F">
        <w:rPr>
          <w:rFonts w:ascii="Arial" w:hAnsi="Arial" w:cs="Arial"/>
          <w:noProof/>
          <w:sz w:val="22"/>
          <w:szCs w:val="22"/>
        </w:rPr>
        <w:t>40</w:t>
      </w:r>
      <w:r w:rsidR="00232B3C" w:rsidRPr="0033639F">
        <w:rPr>
          <w:rFonts w:ascii="Arial" w:hAnsi="Arial" w:cs="Arial"/>
          <w:noProof/>
          <w:sz w:val="22"/>
          <w:szCs w:val="22"/>
        </w:rPr>
        <w:t>,2</w:t>
      </w:r>
      <w:r w:rsidR="00FD149D" w:rsidRPr="0033639F">
        <w:rPr>
          <w:rFonts w:ascii="Arial" w:hAnsi="Arial" w:cs="Arial"/>
          <w:noProof/>
          <w:sz w:val="22"/>
          <w:szCs w:val="22"/>
        </w:rPr>
        <w:t>41</w:t>
      </w:r>
      <w:r w:rsidR="00232B3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In addition, authors assessed disease burden and treatment burden on both patients and parents/guardians, at years 2, 3, 4 which showed both groups strongly preferred weekly somapacitan over daily GH injections</w:t>
      </w:r>
      <w:r w:rsidR="00032BF8" w:rsidRPr="0033639F">
        <w:rPr>
          <w:rFonts w:ascii="Arial" w:hAnsi="Arial" w:cs="Arial"/>
          <w:sz w:val="22"/>
          <w:szCs w:val="22"/>
        </w:rPr>
        <w:t xml:space="preserve"> </w:t>
      </w:r>
      <w:r w:rsidR="00232B3C" w:rsidRPr="0033639F">
        <w:rPr>
          <w:rFonts w:ascii="Arial" w:hAnsi="Arial" w:cs="Arial"/>
          <w:noProof/>
          <w:sz w:val="22"/>
          <w:szCs w:val="22"/>
        </w:rPr>
        <w:t>(</w:t>
      </w:r>
      <w:r w:rsidR="00FD149D" w:rsidRPr="0033639F">
        <w:rPr>
          <w:rFonts w:ascii="Arial" w:hAnsi="Arial" w:cs="Arial"/>
          <w:noProof/>
          <w:sz w:val="22"/>
          <w:szCs w:val="22"/>
        </w:rPr>
        <w:t>241</w:t>
      </w:r>
      <w:r w:rsidR="00232B3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w:t>
      </w:r>
    </w:p>
    <w:p w14:paraId="0B2BC843" w14:textId="77777777" w:rsidR="00A35C99" w:rsidRPr="0033639F" w:rsidRDefault="00A35C99" w:rsidP="0033639F">
      <w:pPr>
        <w:spacing w:line="276" w:lineRule="auto"/>
        <w:rPr>
          <w:rFonts w:ascii="Arial" w:hAnsi="Arial" w:cs="Arial"/>
          <w:sz w:val="22"/>
          <w:szCs w:val="22"/>
        </w:rPr>
      </w:pPr>
    </w:p>
    <w:p w14:paraId="40DE3E8F" w14:textId="28D3F704" w:rsidR="00803B01" w:rsidRDefault="00803B01" w:rsidP="0033639F">
      <w:pPr>
        <w:spacing w:line="276" w:lineRule="auto"/>
        <w:rPr>
          <w:rFonts w:ascii="Arial" w:hAnsi="Arial" w:cs="Arial"/>
          <w:sz w:val="22"/>
          <w:szCs w:val="22"/>
        </w:rPr>
      </w:pPr>
      <w:r w:rsidRPr="0033639F">
        <w:rPr>
          <w:rFonts w:ascii="Arial" w:hAnsi="Arial" w:cs="Arial"/>
          <w:sz w:val="22"/>
          <w:szCs w:val="22"/>
        </w:rPr>
        <w:t>For adults with GHD, somapacitan improved body composition and IGF</w:t>
      </w:r>
      <w:r w:rsidR="0038631D" w:rsidRPr="0033639F">
        <w:rPr>
          <w:rFonts w:ascii="Arial" w:hAnsi="Arial" w:cs="Arial"/>
          <w:sz w:val="22"/>
          <w:szCs w:val="22"/>
        </w:rPr>
        <w:t>1</w:t>
      </w:r>
      <w:r w:rsidRPr="0033639F">
        <w:rPr>
          <w:rFonts w:ascii="Arial" w:hAnsi="Arial" w:cs="Arial"/>
          <w:sz w:val="22"/>
          <w:szCs w:val="22"/>
        </w:rPr>
        <w:t xml:space="preserve"> levels while being well-tolerated</w:t>
      </w:r>
      <w:r w:rsidR="00032BF8" w:rsidRPr="0033639F">
        <w:rPr>
          <w:rFonts w:ascii="Arial" w:hAnsi="Arial" w:cs="Arial"/>
          <w:sz w:val="22"/>
          <w:szCs w:val="22"/>
        </w:rPr>
        <w:t xml:space="preserve"> </w:t>
      </w:r>
      <w:r w:rsidR="00232B3C" w:rsidRPr="0033639F">
        <w:rPr>
          <w:rFonts w:ascii="Arial" w:hAnsi="Arial" w:cs="Arial"/>
          <w:noProof/>
          <w:sz w:val="22"/>
          <w:szCs w:val="22"/>
        </w:rPr>
        <w:t>(</w:t>
      </w:r>
      <w:r w:rsidR="00FD149D" w:rsidRPr="0033639F">
        <w:rPr>
          <w:rFonts w:ascii="Arial" w:hAnsi="Arial" w:cs="Arial"/>
          <w:noProof/>
          <w:sz w:val="22"/>
          <w:szCs w:val="22"/>
        </w:rPr>
        <w:t>242</w:t>
      </w:r>
      <w:r w:rsidR="00232B3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Interestingly, somapacitan may have some advantages over daily GH. It showed neutral effects on glucose metabolism in adults with GHD, with no new cases of diabetes reported in long-term studies</w:t>
      </w:r>
      <w:r w:rsidR="00032BF8" w:rsidRPr="0033639F">
        <w:rPr>
          <w:rFonts w:ascii="Arial" w:hAnsi="Arial" w:cs="Arial"/>
          <w:sz w:val="22"/>
          <w:szCs w:val="22"/>
        </w:rPr>
        <w:t xml:space="preserve"> </w:t>
      </w:r>
      <w:r w:rsidR="00232B3C" w:rsidRPr="0033639F">
        <w:rPr>
          <w:rFonts w:ascii="Arial" w:hAnsi="Arial" w:cs="Arial"/>
          <w:noProof/>
          <w:sz w:val="22"/>
          <w:szCs w:val="22"/>
        </w:rPr>
        <w:t>(</w:t>
      </w:r>
      <w:r w:rsidR="00FD149D" w:rsidRPr="0033639F">
        <w:rPr>
          <w:rFonts w:ascii="Arial" w:hAnsi="Arial" w:cs="Arial"/>
          <w:noProof/>
          <w:sz w:val="22"/>
          <w:szCs w:val="22"/>
        </w:rPr>
        <w:t>243</w:t>
      </w:r>
      <w:r w:rsidR="00232B3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In some patients switching from daily GH, somapacitan led to improvements in lipid metabolism and glucose tolerance, suggesting a potentially higher GH replacement effect</w:t>
      </w:r>
      <w:r w:rsidR="00C37797" w:rsidRPr="0033639F">
        <w:rPr>
          <w:rFonts w:ascii="Arial" w:hAnsi="Arial" w:cs="Arial"/>
          <w:sz w:val="22"/>
          <w:szCs w:val="22"/>
        </w:rPr>
        <w:t xml:space="preserve"> </w:t>
      </w:r>
      <w:r w:rsidR="00232B3C" w:rsidRPr="0033639F">
        <w:rPr>
          <w:rFonts w:ascii="Arial" w:hAnsi="Arial" w:cs="Arial"/>
          <w:noProof/>
          <w:sz w:val="22"/>
          <w:szCs w:val="22"/>
        </w:rPr>
        <w:t>(</w:t>
      </w:r>
      <w:r w:rsidR="00FD149D" w:rsidRPr="0033639F">
        <w:rPr>
          <w:rFonts w:ascii="Arial" w:hAnsi="Arial" w:cs="Arial"/>
          <w:noProof/>
          <w:sz w:val="22"/>
          <w:szCs w:val="22"/>
        </w:rPr>
        <w:t>244</w:t>
      </w:r>
      <w:r w:rsidR="00232B3C" w:rsidRPr="0033639F">
        <w:rPr>
          <w:rFonts w:ascii="Arial" w:hAnsi="Arial" w:cs="Arial"/>
          <w:noProof/>
          <w:sz w:val="22"/>
          <w:szCs w:val="22"/>
        </w:rPr>
        <w:t>)</w:t>
      </w:r>
      <w:r w:rsidRPr="0033639F">
        <w:rPr>
          <w:rFonts w:ascii="Arial" w:hAnsi="Arial" w:cs="Arial"/>
          <w:b/>
          <w:bCs/>
          <w:sz w:val="22"/>
          <w:szCs w:val="22"/>
        </w:rPr>
        <w:t xml:space="preserve">. </w:t>
      </w:r>
      <w:r w:rsidRPr="0033639F">
        <w:rPr>
          <w:rFonts w:ascii="Arial" w:hAnsi="Arial" w:cs="Arial"/>
          <w:sz w:val="22"/>
          <w:szCs w:val="22"/>
        </w:rPr>
        <w:t>However, weekly injections may be easier to forget than daily ones for some patients</w:t>
      </w:r>
      <w:r w:rsidR="00C37797" w:rsidRPr="0033639F">
        <w:rPr>
          <w:rFonts w:ascii="Arial" w:hAnsi="Arial" w:cs="Arial"/>
          <w:sz w:val="22"/>
          <w:szCs w:val="22"/>
        </w:rPr>
        <w:t xml:space="preserve"> </w:t>
      </w:r>
      <w:r w:rsidR="00232B3C" w:rsidRPr="0033639F">
        <w:rPr>
          <w:rFonts w:ascii="Arial" w:hAnsi="Arial" w:cs="Arial"/>
          <w:noProof/>
          <w:sz w:val="22"/>
          <w:szCs w:val="22"/>
        </w:rPr>
        <w:t>(</w:t>
      </w:r>
      <w:r w:rsidR="00FD149D" w:rsidRPr="0033639F">
        <w:rPr>
          <w:rFonts w:ascii="Arial" w:hAnsi="Arial" w:cs="Arial"/>
          <w:noProof/>
          <w:sz w:val="22"/>
          <w:szCs w:val="22"/>
        </w:rPr>
        <w:t>244</w:t>
      </w:r>
      <w:r w:rsidR="00232B3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w:t>
      </w:r>
    </w:p>
    <w:p w14:paraId="20966AD8" w14:textId="77777777" w:rsidR="00A35C99" w:rsidRPr="0033639F" w:rsidRDefault="00A35C99" w:rsidP="0033639F">
      <w:pPr>
        <w:spacing w:line="276" w:lineRule="auto"/>
        <w:rPr>
          <w:rFonts w:ascii="Arial" w:hAnsi="Arial" w:cs="Arial"/>
          <w:sz w:val="22"/>
          <w:szCs w:val="22"/>
        </w:rPr>
      </w:pPr>
    </w:p>
    <w:p w14:paraId="2912C70C" w14:textId="6A7E1124" w:rsidR="00803B01" w:rsidRPr="00A35C99" w:rsidRDefault="00803B01" w:rsidP="00A35C99">
      <w:pPr>
        <w:rPr>
          <w:rFonts w:ascii="Arial" w:hAnsi="Arial" w:cs="Arial"/>
          <w:sz w:val="22"/>
          <w:szCs w:val="22"/>
        </w:rPr>
      </w:pPr>
      <w:r w:rsidRPr="00A35C99">
        <w:rPr>
          <w:rFonts w:ascii="Arial" w:hAnsi="Arial" w:cs="Arial"/>
          <w:color w:val="FF0000"/>
          <w:sz w:val="22"/>
          <w:szCs w:val="22"/>
        </w:rPr>
        <w:t xml:space="preserve">GH </w:t>
      </w:r>
      <w:r w:rsidR="00A35C99" w:rsidRPr="00A35C99">
        <w:rPr>
          <w:rFonts w:ascii="Arial" w:hAnsi="Arial" w:cs="Arial"/>
          <w:color w:val="FF0000"/>
          <w:sz w:val="22"/>
          <w:szCs w:val="22"/>
        </w:rPr>
        <w:t xml:space="preserve">FUSION PROTEIN FORMULATIONS </w:t>
      </w:r>
    </w:p>
    <w:p w14:paraId="18F0DC4E" w14:textId="77777777" w:rsidR="00A35C99" w:rsidRDefault="00A35C99" w:rsidP="0033639F">
      <w:pPr>
        <w:spacing w:line="276" w:lineRule="auto"/>
        <w:rPr>
          <w:rFonts w:ascii="Arial" w:hAnsi="Arial" w:cs="Arial"/>
          <w:sz w:val="22"/>
          <w:szCs w:val="22"/>
        </w:rPr>
      </w:pPr>
    </w:p>
    <w:p w14:paraId="506ADBB1" w14:textId="72EEBBFE" w:rsidR="00803B01" w:rsidRDefault="00803B01" w:rsidP="0033639F">
      <w:pPr>
        <w:spacing w:line="276" w:lineRule="auto"/>
        <w:rPr>
          <w:rFonts w:ascii="Arial" w:hAnsi="Arial" w:cs="Arial"/>
          <w:sz w:val="22"/>
          <w:szCs w:val="22"/>
        </w:rPr>
      </w:pPr>
      <w:r w:rsidRPr="0033639F">
        <w:rPr>
          <w:rFonts w:ascii="Arial" w:hAnsi="Arial" w:cs="Arial"/>
          <w:sz w:val="22"/>
          <w:szCs w:val="22"/>
        </w:rPr>
        <w:t>Somatrogon (NGENLA®) consists of rhGH combined with three copies of the carboxy terminal peptide (CTP) from human chorionic gonadotropin resulting in a fusion protein of approximately 41 kDa</w:t>
      </w:r>
      <w:r w:rsidR="00C37797" w:rsidRPr="0033639F">
        <w:rPr>
          <w:rFonts w:ascii="Arial" w:hAnsi="Arial" w:cs="Arial"/>
          <w:sz w:val="22"/>
          <w:szCs w:val="22"/>
        </w:rPr>
        <w:t xml:space="preserve"> </w:t>
      </w:r>
      <w:r w:rsidR="00232B3C" w:rsidRPr="0033639F">
        <w:rPr>
          <w:rFonts w:ascii="Arial" w:hAnsi="Arial" w:cs="Arial"/>
          <w:bCs/>
          <w:noProof/>
          <w:sz w:val="22"/>
          <w:szCs w:val="22"/>
        </w:rPr>
        <w:t>(</w:t>
      </w:r>
      <w:r w:rsidR="004D176B" w:rsidRPr="0033639F">
        <w:rPr>
          <w:rFonts w:ascii="Arial" w:hAnsi="Arial" w:cs="Arial"/>
          <w:bCs/>
          <w:noProof/>
          <w:sz w:val="22"/>
          <w:szCs w:val="22"/>
        </w:rPr>
        <w:t>245</w:t>
      </w:r>
      <w:r w:rsidR="00232B3C" w:rsidRPr="0033639F">
        <w:rPr>
          <w:rFonts w:ascii="Arial" w:hAnsi="Arial" w:cs="Arial"/>
          <w:bCs/>
          <w:noProof/>
          <w:sz w:val="22"/>
          <w:szCs w:val="22"/>
        </w:rPr>
        <w:t>)</w:t>
      </w:r>
      <w:r w:rsidRPr="0033639F">
        <w:rPr>
          <w:rFonts w:ascii="Arial" w:hAnsi="Arial" w:cs="Arial"/>
          <w:b/>
          <w:bCs/>
          <w:sz w:val="22"/>
          <w:szCs w:val="22"/>
        </w:rPr>
        <w:t xml:space="preserve">. </w:t>
      </w:r>
      <w:r w:rsidRPr="0033639F">
        <w:rPr>
          <w:rFonts w:ascii="Arial" w:hAnsi="Arial" w:cs="Arial"/>
          <w:sz w:val="22"/>
          <w:szCs w:val="22"/>
        </w:rPr>
        <w:t>The addition of the CTP moieties extends the half-life of the attached rhGH, allowing for once-weekly subcutaneous administration</w:t>
      </w:r>
      <w:r w:rsidR="00C37797" w:rsidRPr="0033639F">
        <w:rPr>
          <w:rFonts w:ascii="Arial" w:hAnsi="Arial" w:cs="Arial"/>
          <w:sz w:val="22"/>
          <w:szCs w:val="22"/>
        </w:rPr>
        <w:t xml:space="preserve"> </w:t>
      </w:r>
      <w:r w:rsidR="00232B3C" w:rsidRPr="0033639F">
        <w:rPr>
          <w:rFonts w:ascii="Arial" w:hAnsi="Arial" w:cs="Arial"/>
          <w:noProof/>
          <w:sz w:val="22"/>
          <w:szCs w:val="22"/>
        </w:rPr>
        <w:t>(</w:t>
      </w:r>
      <w:r w:rsidR="004D176B" w:rsidRPr="0033639F">
        <w:rPr>
          <w:rFonts w:ascii="Arial" w:hAnsi="Arial" w:cs="Arial"/>
          <w:noProof/>
          <w:sz w:val="22"/>
          <w:szCs w:val="22"/>
        </w:rPr>
        <w:t>246</w:t>
      </w:r>
      <w:r w:rsidR="00232B3C" w:rsidRPr="0033639F">
        <w:rPr>
          <w:rFonts w:ascii="Arial" w:hAnsi="Arial" w:cs="Arial"/>
          <w:noProof/>
          <w:sz w:val="22"/>
          <w:szCs w:val="22"/>
        </w:rPr>
        <w:t>)</w:t>
      </w:r>
      <w:r w:rsidR="00C37797" w:rsidRPr="0033639F">
        <w:rPr>
          <w:rFonts w:ascii="Arial" w:hAnsi="Arial" w:cs="Arial"/>
          <w:sz w:val="22"/>
          <w:szCs w:val="22"/>
        </w:rPr>
        <w:t xml:space="preserve">. </w:t>
      </w:r>
      <w:r w:rsidRPr="0033639F">
        <w:rPr>
          <w:rFonts w:ascii="Arial" w:hAnsi="Arial" w:cs="Arial"/>
          <w:sz w:val="22"/>
          <w:szCs w:val="22"/>
        </w:rPr>
        <w:t xml:space="preserve">Somatrogon is the last LAGH that received FDA approval in </w:t>
      </w:r>
      <w:r w:rsidR="008C1C13" w:rsidRPr="0033639F">
        <w:rPr>
          <w:rFonts w:ascii="Arial" w:hAnsi="Arial" w:cs="Arial"/>
          <w:sz w:val="22"/>
          <w:szCs w:val="22"/>
        </w:rPr>
        <w:t>June</w:t>
      </w:r>
      <w:r w:rsidRPr="0033639F">
        <w:rPr>
          <w:rFonts w:ascii="Arial" w:hAnsi="Arial" w:cs="Arial"/>
          <w:sz w:val="22"/>
          <w:szCs w:val="22"/>
        </w:rPr>
        <w:t xml:space="preserve"> 2023 for the treatment of pediatric GH deficiency.</w:t>
      </w:r>
    </w:p>
    <w:p w14:paraId="0029BD6A" w14:textId="77777777" w:rsidR="00A35C99" w:rsidRPr="0033639F" w:rsidRDefault="00A35C99" w:rsidP="0033639F">
      <w:pPr>
        <w:spacing w:line="276" w:lineRule="auto"/>
        <w:rPr>
          <w:rFonts w:ascii="Arial" w:hAnsi="Arial" w:cs="Arial"/>
          <w:sz w:val="22"/>
          <w:szCs w:val="22"/>
        </w:rPr>
      </w:pPr>
    </w:p>
    <w:p w14:paraId="2E7B0851" w14:textId="60C91E1E" w:rsidR="00803B01" w:rsidRDefault="00803B01" w:rsidP="0033639F">
      <w:pPr>
        <w:spacing w:line="276" w:lineRule="auto"/>
        <w:rPr>
          <w:rFonts w:ascii="Arial" w:hAnsi="Arial" w:cs="Arial"/>
          <w:b/>
          <w:bCs/>
          <w:sz w:val="22"/>
          <w:szCs w:val="22"/>
        </w:rPr>
      </w:pPr>
      <w:r w:rsidRPr="0033639F">
        <w:rPr>
          <w:rFonts w:ascii="Arial" w:hAnsi="Arial" w:cs="Arial"/>
          <w:sz w:val="22"/>
          <w:szCs w:val="22"/>
        </w:rPr>
        <w:t>Clinical trials have demonstrated the efficacy and safety of somatrogon. In a phase 3 randomized trial, once-weekly somatrogon was non-inferior to once-daily human GH in increasing height velocity in pediatric patients with GHD</w:t>
      </w:r>
      <w:r w:rsidR="00C37797" w:rsidRPr="0033639F">
        <w:rPr>
          <w:rFonts w:ascii="Arial" w:hAnsi="Arial" w:cs="Arial"/>
          <w:sz w:val="22"/>
          <w:szCs w:val="22"/>
        </w:rPr>
        <w:t xml:space="preserve"> </w:t>
      </w:r>
      <w:r w:rsidR="00232B3C" w:rsidRPr="0033639F">
        <w:rPr>
          <w:rFonts w:ascii="Arial" w:hAnsi="Arial" w:cs="Arial"/>
          <w:noProof/>
          <w:sz w:val="22"/>
          <w:szCs w:val="22"/>
        </w:rPr>
        <w:t>(</w:t>
      </w:r>
      <w:r w:rsidR="004D176B" w:rsidRPr="0033639F">
        <w:rPr>
          <w:rFonts w:ascii="Arial" w:hAnsi="Arial" w:cs="Arial"/>
          <w:noProof/>
          <w:sz w:val="22"/>
          <w:szCs w:val="22"/>
        </w:rPr>
        <w:t>247</w:t>
      </w:r>
      <w:r w:rsidR="00232B3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The mean height velocity at 12 months was 10.12 cm/yr for somatrogon compared to 9.78 cm/yr for daily GH</w:t>
      </w:r>
      <w:r w:rsidR="00C37797" w:rsidRPr="0033639F">
        <w:rPr>
          <w:rFonts w:ascii="Arial" w:hAnsi="Arial" w:cs="Arial"/>
          <w:sz w:val="22"/>
          <w:szCs w:val="22"/>
        </w:rPr>
        <w:t xml:space="preserve"> </w:t>
      </w:r>
      <w:r w:rsidR="00232B3C" w:rsidRPr="0033639F">
        <w:rPr>
          <w:rFonts w:ascii="Arial" w:hAnsi="Arial" w:cs="Arial"/>
          <w:noProof/>
          <w:sz w:val="22"/>
          <w:szCs w:val="22"/>
        </w:rPr>
        <w:t>(</w:t>
      </w:r>
      <w:r w:rsidR="004D176B" w:rsidRPr="0033639F">
        <w:rPr>
          <w:rFonts w:ascii="Arial" w:hAnsi="Arial" w:cs="Arial"/>
          <w:noProof/>
          <w:sz w:val="22"/>
          <w:szCs w:val="22"/>
        </w:rPr>
        <w:t>247</w:t>
      </w:r>
      <w:r w:rsidR="00232B3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Interestingly, a comparison with published literature and the KIGS database indicated that children treated with once-weekly somatrogon (0.66 mg/kg/week) showed good growth compared to children treated with once-daily human growth hormone</w:t>
      </w:r>
      <w:r w:rsidR="00C37797" w:rsidRPr="0033639F">
        <w:rPr>
          <w:rFonts w:ascii="Arial" w:hAnsi="Arial" w:cs="Arial"/>
          <w:sz w:val="22"/>
          <w:szCs w:val="22"/>
        </w:rPr>
        <w:t xml:space="preserve"> </w:t>
      </w:r>
      <w:r w:rsidR="00232B3C" w:rsidRPr="0033639F">
        <w:rPr>
          <w:rFonts w:ascii="Arial" w:hAnsi="Arial" w:cs="Arial"/>
          <w:noProof/>
          <w:sz w:val="22"/>
          <w:szCs w:val="22"/>
        </w:rPr>
        <w:t>(</w:t>
      </w:r>
      <w:r w:rsidR="004D176B" w:rsidRPr="0033639F">
        <w:rPr>
          <w:rFonts w:ascii="Arial" w:hAnsi="Arial" w:cs="Arial"/>
          <w:noProof/>
          <w:sz w:val="22"/>
          <w:szCs w:val="22"/>
        </w:rPr>
        <w:t>248</w:t>
      </w:r>
      <w:r w:rsidR="00232B3C" w:rsidRPr="0033639F">
        <w:rPr>
          <w:rFonts w:ascii="Arial" w:hAnsi="Arial" w:cs="Arial"/>
          <w:noProof/>
          <w:sz w:val="22"/>
          <w:szCs w:val="22"/>
        </w:rPr>
        <w:t>)</w:t>
      </w:r>
      <w:r w:rsidRPr="0033639F">
        <w:rPr>
          <w:rFonts w:ascii="Arial" w:hAnsi="Arial" w:cs="Arial"/>
          <w:b/>
          <w:bCs/>
          <w:sz w:val="22"/>
          <w:szCs w:val="22"/>
        </w:rPr>
        <w:t xml:space="preserve"> </w:t>
      </w:r>
      <w:r w:rsidRPr="0033639F">
        <w:rPr>
          <w:rFonts w:ascii="Arial" w:hAnsi="Arial" w:cs="Arial"/>
          <w:sz w:val="22"/>
          <w:szCs w:val="22"/>
        </w:rPr>
        <w:t>and sustained improvement in height SDS and delta height SDS up to 5 years of treatment</w:t>
      </w:r>
      <w:r w:rsidR="00C37797" w:rsidRPr="0033639F">
        <w:rPr>
          <w:rFonts w:ascii="Arial" w:hAnsi="Arial" w:cs="Arial"/>
          <w:sz w:val="22"/>
          <w:szCs w:val="22"/>
        </w:rPr>
        <w:t xml:space="preserve"> </w:t>
      </w:r>
      <w:r w:rsidR="00232B3C" w:rsidRPr="0033639F">
        <w:rPr>
          <w:rFonts w:ascii="Arial" w:hAnsi="Arial" w:cs="Arial"/>
          <w:noProof/>
          <w:sz w:val="22"/>
          <w:szCs w:val="22"/>
        </w:rPr>
        <w:t>(</w:t>
      </w:r>
      <w:r w:rsidR="004D176B" w:rsidRPr="0033639F">
        <w:rPr>
          <w:rFonts w:ascii="Arial" w:hAnsi="Arial" w:cs="Arial"/>
          <w:noProof/>
          <w:sz w:val="22"/>
          <w:szCs w:val="22"/>
        </w:rPr>
        <w:t>249</w:t>
      </w:r>
      <w:r w:rsidR="00232B3C" w:rsidRPr="0033639F">
        <w:rPr>
          <w:rFonts w:ascii="Arial" w:hAnsi="Arial" w:cs="Arial"/>
          <w:noProof/>
          <w:sz w:val="22"/>
          <w:szCs w:val="22"/>
        </w:rPr>
        <w:t>)</w:t>
      </w:r>
      <w:r w:rsidRPr="0033639F">
        <w:rPr>
          <w:rFonts w:ascii="Arial" w:hAnsi="Arial" w:cs="Arial"/>
          <w:b/>
          <w:bCs/>
          <w:sz w:val="22"/>
          <w:szCs w:val="22"/>
        </w:rPr>
        <w:t xml:space="preserve">. </w:t>
      </w:r>
    </w:p>
    <w:p w14:paraId="27B35334" w14:textId="77777777" w:rsidR="00A35C99" w:rsidRPr="0033639F" w:rsidRDefault="00A35C99" w:rsidP="0033639F">
      <w:pPr>
        <w:spacing w:line="276" w:lineRule="auto"/>
        <w:rPr>
          <w:rFonts w:ascii="Arial" w:hAnsi="Arial" w:cs="Arial"/>
          <w:b/>
          <w:bCs/>
          <w:sz w:val="22"/>
          <w:szCs w:val="22"/>
        </w:rPr>
      </w:pPr>
    </w:p>
    <w:p w14:paraId="40FADE4C" w14:textId="55366EF1" w:rsidR="00803B01" w:rsidRDefault="00803B01" w:rsidP="0033639F">
      <w:pPr>
        <w:spacing w:line="276" w:lineRule="auto"/>
        <w:rPr>
          <w:rFonts w:ascii="Arial" w:hAnsi="Arial" w:cs="Arial"/>
          <w:b/>
          <w:bCs/>
          <w:sz w:val="22"/>
          <w:szCs w:val="22"/>
        </w:rPr>
      </w:pPr>
      <w:r w:rsidRPr="0033639F">
        <w:rPr>
          <w:rFonts w:ascii="Arial" w:hAnsi="Arial" w:cs="Arial"/>
          <w:sz w:val="22"/>
          <w:szCs w:val="22"/>
        </w:rPr>
        <w:t xml:space="preserve">Similar to other LAGH formulations, somatrogon is generally well-tolerated, with injection site pain being the most frequent treatment-emergent adverse event </w:t>
      </w:r>
      <w:r w:rsidR="00232B3C" w:rsidRPr="0033639F">
        <w:rPr>
          <w:rFonts w:ascii="Arial" w:hAnsi="Arial" w:cs="Arial"/>
          <w:noProof/>
          <w:sz w:val="22"/>
          <w:szCs w:val="22"/>
        </w:rPr>
        <w:t>(</w:t>
      </w:r>
      <w:r w:rsidR="004D176B" w:rsidRPr="0033639F">
        <w:rPr>
          <w:rFonts w:ascii="Arial" w:hAnsi="Arial" w:cs="Arial"/>
          <w:noProof/>
          <w:sz w:val="22"/>
          <w:szCs w:val="22"/>
        </w:rPr>
        <w:t>246</w:t>
      </w:r>
      <w:r w:rsidR="00232B3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Furthermore, somatrogon had a lower treatment burden with favorable treatment experience than daily GH</w:t>
      </w:r>
      <w:r w:rsidR="00C37797" w:rsidRPr="0033639F">
        <w:rPr>
          <w:rFonts w:ascii="Arial" w:hAnsi="Arial" w:cs="Arial"/>
          <w:sz w:val="22"/>
          <w:szCs w:val="22"/>
        </w:rPr>
        <w:t xml:space="preserve"> </w:t>
      </w:r>
      <w:r w:rsidR="00C37797" w:rsidRPr="0033639F">
        <w:rPr>
          <w:rFonts w:ascii="Arial" w:hAnsi="Arial" w:cs="Arial"/>
          <w:noProof/>
          <w:sz w:val="22"/>
          <w:szCs w:val="22"/>
        </w:rPr>
        <w:t>(</w:t>
      </w:r>
      <w:r w:rsidR="004D176B" w:rsidRPr="0033639F">
        <w:rPr>
          <w:rFonts w:ascii="Arial" w:hAnsi="Arial" w:cs="Arial"/>
          <w:noProof/>
          <w:sz w:val="22"/>
          <w:szCs w:val="22"/>
        </w:rPr>
        <w:t>233</w:t>
      </w:r>
      <w:r w:rsidR="00C37797" w:rsidRPr="0033639F">
        <w:rPr>
          <w:rFonts w:ascii="Arial" w:hAnsi="Arial" w:cs="Arial"/>
          <w:noProof/>
          <w:sz w:val="22"/>
          <w:szCs w:val="22"/>
        </w:rPr>
        <w:t>)</w:t>
      </w:r>
      <w:r w:rsidRPr="0033639F">
        <w:rPr>
          <w:rFonts w:ascii="Arial" w:hAnsi="Arial" w:cs="Arial"/>
          <w:b/>
          <w:bCs/>
          <w:sz w:val="22"/>
          <w:szCs w:val="22"/>
        </w:rPr>
        <w:t>.</w:t>
      </w:r>
    </w:p>
    <w:p w14:paraId="7D5EAA42" w14:textId="77777777" w:rsidR="00A35C99" w:rsidRDefault="00A35C99" w:rsidP="0033639F">
      <w:pPr>
        <w:spacing w:line="276" w:lineRule="auto"/>
        <w:rPr>
          <w:rFonts w:ascii="Arial" w:hAnsi="Arial" w:cs="Arial"/>
          <w:b/>
          <w:bCs/>
          <w:sz w:val="22"/>
          <w:szCs w:val="22"/>
        </w:rPr>
      </w:pPr>
    </w:p>
    <w:p w14:paraId="7313CE05" w14:textId="0FA6BFF3" w:rsidR="000D6209" w:rsidRPr="000D6209" w:rsidRDefault="000D6209" w:rsidP="0033639F">
      <w:pPr>
        <w:spacing w:line="276" w:lineRule="auto"/>
        <w:rPr>
          <w:rFonts w:ascii="Arial" w:hAnsi="Arial" w:cs="Arial"/>
          <w:color w:val="FF0000"/>
          <w:sz w:val="22"/>
          <w:szCs w:val="22"/>
        </w:rPr>
      </w:pPr>
      <w:r w:rsidRPr="000D6209">
        <w:rPr>
          <w:rFonts w:ascii="Arial" w:hAnsi="Arial" w:cs="Arial"/>
          <w:color w:val="FF0000"/>
          <w:sz w:val="22"/>
          <w:szCs w:val="22"/>
        </w:rPr>
        <w:t>SUMMARY</w:t>
      </w:r>
    </w:p>
    <w:p w14:paraId="2CF355A4" w14:textId="77777777" w:rsidR="000D6209" w:rsidRPr="0033639F" w:rsidRDefault="000D6209" w:rsidP="0033639F">
      <w:pPr>
        <w:spacing w:line="276" w:lineRule="auto"/>
        <w:rPr>
          <w:rFonts w:ascii="Arial" w:hAnsi="Arial" w:cs="Arial"/>
          <w:sz w:val="22"/>
          <w:szCs w:val="22"/>
        </w:rPr>
      </w:pPr>
    </w:p>
    <w:p w14:paraId="683D4B6E" w14:textId="2C3E1383" w:rsidR="00803B01" w:rsidRDefault="00803B01" w:rsidP="0033639F">
      <w:pPr>
        <w:spacing w:line="276" w:lineRule="auto"/>
        <w:rPr>
          <w:rFonts w:ascii="Arial" w:hAnsi="Arial" w:cs="Arial"/>
          <w:sz w:val="22"/>
          <w:szCs w:val="22"/>
        </w:rPr>
      </w:pPr>
      <w:r w:rsidRPr="0033639F">
        <w:rPr>
          <w:rFonts w:ascii="Arial" w:hAnsi="Arial" w:cs="Arial"/>
          <w:sz w:val="22"/>
          <w:szCs w:val="22"/>
        </w:rPr>
        <w:t xml:space="preserve">In </w:t>
      </w:r>
      <w:r w:rsidR="00B47371" w:rsidRPr="0033639F">
        <w:rPr>
          <w:rFonts w:ascii="Arial" w:hAnsi="Arial" w:cs="Arial"/>
          <w:sz w:val="22"/>
          <w:szCs w:val="22"/>
        </w:rPr>
        <w:t>summary</w:t>
      </w:r>
      <w:r w:rsidRPr="0033639F">
        <w:rPr>
          <w:rFonts w:ascii="Arial" w:hAnsi="Arial" w:cs="Arial"/>
          <w:sz w:val="22"/>
          <w:szCs w:val="22"/>
        </w:rPr>
        <w:t>, long-acting growth hormone formulations represent a significant advancement in the treatment of growth hormone deficiency. While long-acting growth hormone formulations offer a promising alternative to daily growth hormone injections as well as improving treatment adherence and quality of life due to less frequent injections, there are some concerns regarding their unphysiological profile. Ongoing research and long-term studies are necessary to fully understand their efficacy, safety, and optimal use in clinical practice</w:t>
      </w:r>
      <w:r w:rsidR="00C37797" w:rsidRPr="0033639F">
        <w:rPr>
          <w:rFonts w:ascii="Arial" w:hAnsi="Arial" w:cs="Arial"/>
          <w:sz w:val="22"/>
          <w:szCs w:val="22"/>
        </w:rPr>
        <w:t xml:space="preserve"> </w:t>
      </w:r>
      <w:r w:rsidR="00232B3C" w:rsidRPr="0033639F">
        <w:rPr>
          <w:rFonts w:ascii="Arial" w:hAnsi="Arial" w:cs="Arial"/>
          <w:noProof/>
          <w:sz w:val="22"/>
          <w:szCs w:val="22"/>
        </w:rPr>
        <w:t>(</w:t>
      </w:r>
      <w:r w:rsidR="004D176B" w:rsidRPr="0033639F">
        <w:rPr>
          <w:rFonts w:ascii="Arial" w:hAnsi="Arial" w:cs="Arial"/>
          <w:noProof/>
          <w:sz w:val="22"/>
          <w:szCs w:val="22"/>
        </w:rPr>
        <w:t>250</w:t>
      </w:r>
      <w:r w:rsidR="00232B3C" w:rsidRPr="0033639F">
        <w:rPr>
          <w:rFonts w:ascii="Arial" w:hAnsi="Arial" w:cs="Arial"/>
          <w:noProof/>
          <w:sz w:val="22"/>
          <w:szCs w:val="22"/>
        </w:rPr>
        <w:t>,</w:t>
      </w:r>
      <w:r w:rsidR="004D176B" w:rsidRPr="0033639F">
        <w:rPr>
          <w:rFonts w:ascii="Arial" w:hAnsi="Arial" w:cs="Arial"/>
          <w:noProof/>
          <w:sz w:val="22"/>
          <w:szCs w:val="22"/>
        </w:rPr>
        <w:t>251</w:t>
      </w:r>
      <w:r w:rsidR="00232B3C" w:rsidRPr="0033639F">
        <w:rPr>
          <w:rFonts w:ascii="Arial" w:hAnsi="Arial" w:cs="Arial"/>
          <w:noProof/>
          <w:sz w:val="22"/>
          <w:szCs w:val="22"/>
        </w:rPr>
        <w:t>)</w:t>
      </w:r>
      <w:r w:rsidRPr="0033639F">
        <w:rPr>
          <w:rFonts w:ascii="Arial" w:hAnsi="Arial" w:cs="Arial"/>
          <w:b/>
          <w:bCs/>
          <w:sz w:val="22"/>
          <w:szCs w:val="22"/>
        </w:rPr>
        <w:t>.</w:t>
      </w:r>
      <w:r w:rsidRPr="0033639F">
        <w:rPr>
          <w:rFonts w:ascii="Arial" w:hAnsi="Arial" w:cs="Arial"/>
          <w:sz w:val="22"/>
          <w:szCs w:val="22"/>
        </w:rPr>
        <w:t xml:space="preserve"> Additionally, </w:t>
      </w:r>
      <w:r w:rsidRPr="0033639F">
        <w:rPr>
          <w:rFonts w:ascii="Arial" w:hAnsi="Arial" w:cs="Arial"/>
          <w:sz w:val="22"/>
          <w:szCs w:val="22"/>
        </w:rPr>
        <w:lastRenderedPageBreak/>
        <w:t>cost-effectiveness and the identification of patient groups that may benefit most from weekly injections are areas that require further investigation</w:t>
      </w:r>
      <w:r w:rsidR="00C37797" w:rsidRPr="0033639F">
        <w:rPr>
          <w:rFonts w:ascii="Arial" w:hAnsi="Arial" w:cs="Arial"/>
          <w:sz w:val="22"/>
          <w:szCs w:val="22"/>
        </w:rPr>
        <w:t xml:space="preserve"> </w:t>
      </w:r>
      <w:r w:rsidR="00232B3C" w:rsidRPr="0033639F">
        <w:rPr>
          <w:rFonts w:ascii="Arial" w:hAnsi="Arial" w:cs="Arial"/>
          <w:noProof/>
          <w:sz w:val="22"/>
          <w:szCs w:val="22"/>
        </w:rPr>
        <w:t>(</w:t>
      </w:r>
      <w:r w:rsidR="004D176B" w:rsidRPr="0033639F">
        <w:rPr>
          <w:rFonts w:ascii="Arial" w:hAnsi="Arial" w:cs="Arial"/>
          <w:noProof/>
          <w:sz w:val="22"/>
          <w:szCs w:val="22"/>
        </w:rPr>
        <w:t>250,252</w:t>
      </w:r>
      <w:r w:rsidR="00232B3C" w:rsidRPr="0033639F">
        <w:rPr>
          <w:rFonts w:ascii="Arial" w:hAnsi="Arial" w:cs="Arial"/>
          <w:noProof/>
          <w:sz w:val="22"/>
          <w:szCs w:val="22"/>
        </w:rPr>
        <w:t>)</w:t>
      </w:r>
      <w:r w:rsidR="00C37797" w:rsidRPr="0033639F">
        <w:rPr>
          <w:rFonts w:ascii="Arial" w:hAnsi="Arial" w:cs="Arial"/>
          <w:sz w:val="22"/>
          <w:szCs w:val="22"/>
        </w:rPr>
        <w:t>.</w:t>
      </w:r>
      <w:r w:rsidR="00D84AF1" w:rsidRPr="0033639F">
        <w:rPr>
          <w:rFonts w:ascii="Arial" w:hAnsi="Arial" w:cs="Arial"/>
          <w:sz w:val="22"/>
          <w:szCs w:val="22"/>
        </w:rPr>
        <w:t xml:space="preserve"> </w:t>
      </w:r>
      <w:r w:rsidRPr="0033639F">
        <w:rPr>
          <w:rFonts w:ascii="Arial" w:hAnsi="Arial" w:cs="Arial"/>
          <w:sz w:val="22"/>
          <w:szCs w:val="22"/>
        </w:rPr>
        <w:t>Table 11 summarizes the approved dosage for long-acting growth hormone formulations.</w:t>
      </w:r>
    </w:p>
    <w:p w14:paraId="04CAB4D4" w14:textId="77777777" w:rsidR="000D6209" w:rsidRPr="0033639F" w:rsidRDefault="000D6209" w:rsidP="0033639F">
      <w:pPr>
        <w:spacing w:line="276" w:lineRule="auto"/>
        <w:rPr>
          <w:rFonts w:ascii="Arial" w:hAnsi="Arial" w:cs="Arial"/>
          <w:sz w:val="22"/>
          <w:szCs w:val="22"/>
        </w:rPr>
      </w:pPr>
    </w:p>
    <w:tbl>
      <w:tblPr>
        <w:tblStyle w:val="TableGrid"/>
        <w:tblW w:w="0" w:type="auto"/>
        <w:tblLook w:val="0000" w:firstRow="0" w:lastRow="0" w:firstColumn="0" w:lastColumn="0" w:noHBand="0" w:noVBand="0"/>
      </w:tblPr>
      <w:tblGrid>
        <w:gridCol w:w="3642"/>
        <w:gridCol w:w="2136"/>
      </w:tblGrid>
      <w:tr w:rsidR="00803B01" w:rsidRPr="0033639F" w14:paraId="617999E5" w14:textId="77777777" w:rsidTr="000D6209">
        <w:tc>
          <w:tcPr>
            <w:tcW w:w="0" w:type="auto"/>
            <w:gridSpan w:val="2"/>
            <w:shd w:val="clear" w:color="auto" w:fill="FFFF00"/>
          </w:tcPr>
          <w:p w14:paraId="1283B313"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Table 11. GH dosage for long-acting growth hormone</w:t>
            </w:r>
            <w:r w:rsidRPr="0033639F">
              <w:rPr>
                <w:rFonts w:ascii="Arial" w:hAnsi="Arial" w:cs="Arial"/>
                <w:sz w:val="22"/>
                <w:szCs w:val="22"/>
              </w:rPr>
              <w:t xml:space="preserve"> </w:t>
            </w:r>
          </w:p>
        </w:tc>
      </w:tr>
      <w:tr w:rsidR="00803B01" w:rsidRPr="0033639F" w14:paraId="5C932622" w14:textId="77777777" w:rsidTr="000D6209">
        <w:tc>
          <w:tcPr>
            <w:tcW w:w="0" w:type="auto"/>
          </w:tcPr>
          <w:p w14:paraId="1111D6A9"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Medication </w:t>
            </w:r>
          </w:p>
        </w:tc>
        <w:tc>
          <w:tcPr>
            <w:tcW w:w="0" w:type="auto"/>
          </w:tcPr>
          <w:p w14:paraId="7464DD85"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Dose (mg/kg/wk) </w:t>
            </w:r>
          </w:p>
        </w:tc>
      </w:tr>
      <w:tr w:rsidR="00803B01" w:rsidRPr="0033639F" w14:paraId="1829F40D" w14:textId="77777777" w:rsidTr="000D6209">
        <w:tc>
          <w:tcPr>
            <w:tcW w:w="0" w:type="auto"/>
          </w:tcPr>
          <w:p w14:paraId="142AD912"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Somapacitan (Sogroya</w:t>
            </w:r>
            <w:r w:rsidRPr="0033639F">
              <w:rPr>
                <w:rFonts w:ascii="Arial" w:hAnsi="Arial" w:cs="Arial"/>
                <w:sz w:val="22"/>
                <w:szCs w:val="22"/>
              </w:rPr>
              <w:sym w:font="Symbol" w:char="F0E2"/>
            </w:r>
            <w:r w:rsidRPr="0033639F">
              <w:rPr>
                <w:rFonts w:ascii="Arial" w:hAnsi="Arial" w:cs="Arial"/>
                <w:sz w:val="22"/>
                <w:szCs w:val="22"/>
              </w:rPr>
              <w:t>)</w:t>
            </w:r>
          </w:p>
        </w:tc>
        <w:tc>
          <w:tcPr>
            <w:tcW w:w="0" w:type="auto"/>
          </w:tcPr>
          <w:p w14:paraId="4AD63E89"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0.16</w:t>
            </w:r>
          </w:p>
        </w:tc>
      </w:tr>
      <w:tr w:rsidR="00803B01" w:rsidRPr="0033639F" w14:paraId="6500A34E" w14:textId="77777777" w:rsidTr="000D6209">
        <w:tc>
          <w:tcPr>
            <w:tcW w:w="0" w:type="auto"/>
          </w:tcPr>
          <w:p w14:paraId="1C8447E1"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Somatrogon (NGENLA®)</w:t>
            </w:r>
          </w:p>
        </w:tc>
        <w:tc>
          <w:tcPr>
            <w:tcW w:w="0" w:type="auto"/>
          </w:tcPr>
          <w:p w14:paraId="19C63C36"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0.66</w:t>
            </w:r>
          </w:p>
        </w:tc>
      </w:tr>
      <w:tr w:rsidR="00803B01" w:rsidRPr="0033639F" w14:paraId="079A0020" w14:textId="77777777" w:rsidTr="000D6209">
        <w:tc>
          <w:tcPr>
            <w:tcW w:w="0" w:type="auto"/>
          </w:tcPr>
          <w:p w14:paraId="6485D04F"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Lonapegsomatropin (Skytrofa</w:t>
            </w:r>
            <w:r w:rsidRPr="0033639F">
              <w:rPr>
                <w:rFonts w:ascii="Arial" w:hAnsi="Arial" w:cs="Arial"/>
                <w:sz w:val="22"/>
                <w:szCs w:val="22"/>
              </w:rPr>
              <w:sym w:font="Symbol" w:char="F0E2"/>
            </w:r>
            <w:r w:rsidRPr="0033639F">
              <w:rPr>
                <w:rFonts w:ascii="Arial" w:hAnsi="Arial" w:cs="Arial"/>
                <w:sz w:val="22"/>
                <w:szCs w:val="22"/>
              </w:rPr>
              <w:t>)</w:t>
            </w:r>
          </w:p>
        </w:tc>
        <w:tc>
          <w:tcPr>
            <w:tcW w:w="0" w:type="auto"/>
          </w:tcPr>
          <w:p w14:paraId="7C9552E4"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0.24</w:t>
            </w:r>
          </w:p>
        </w:tc>
      </w:tr>
    </w:tbl>
    <w:p w14:paraId="403FF845" w14:textId="77777777" w:rsidR="00074448" w:rsidRPr="0033639F" w:rsidRDefault="00074448" w:rsidP="0033639F">
      <w:pPr>
        <w:pStyle w:val="Heading2"/>
        <w:spacing w:before="0" w:after="0" w:line="276" w:lineRule="auto"/>
        <w:rPr>
          <w:rFonts w:ascii="Arial" w:hAnsi="Arial" w:cs="Arial"/>
          <w:b/>
          <w:bCs/>
          <w:sz w:val="22"/>
          <w:szCs w:val="22"/>
        </w:rPr>
      </w:pPr>
      <w:bookmarkStart w:id="44" w:name="id2504425"/>
      <w:bookmarkEnd w:id="44"/>
    </w:p>
    <w:p w14:paraId="03E4650C" w14:textId="65DBE729" w:rsidR="00803B01" w:rsidRPr="000D6209" w:rsidRDefault="00803B01" w:rsidP="000D6209">
      <w:pPr>
        <w:rPr>
          <w:rFonts w:ascii="Arial" w:hAnsi="Arial" w:cs="Arial"/>
          <w:b/>
          <w:bCs/>
          <w:sz w:val="22"/>
          <w:szCs w:val="22"/>
        </w:rPr>
      </w:pPr>
      <w:r w:rsidRPr="000D6209">
        <w:rPr>
          <w:rFonts w:ascii="Arial" w:hAnsi="Arial" w:cs="Arial"/>
          <w:b/>
          <w:bCs/>
          <w:color w:val="00B050"/>
          <w:sz w:val="22"/>
          <w:szCs w:val="22"/>
        </w:rPr>
        <w:t>Monitoring GH Treatment</w:t>
      </w:r>
    </w:p>
    <w:p w14:paraId="31F09999" w14:textId="77777777" w:rsidR="000D6209" w:rsidRDefault="000D6209" w:rsidP="0033639F">
      <w:pPr>
        <w:spacing w:line="276" w:lineRule="auto"/>
        <w:rPr>
          <w:rFonts w:ascii="Arial" w:hAnsi="Arial" w:cs="Arial"/>
          <w:sz w:val="22"/>
          <w:szCs w:val="22"/>
        </w:rPr>
      </w:pPr>
    </w:p>
    <w:p w14:paraId="6C0532EE" w14:textId="11C0F12A" w:rsidR="00803B01" w:rsidRDefault="00803B01" w:rsidP="0033639F">
      <w:pPr>
        <w:spacing w:line="276" w:lineRule="auto"/>
        <w:rPr>
          <w:rFonts w:ascii="Arial" w:hAnsi="Arial" w:cs="Arial"/>
          <w:sz w:val="22"/>
          <w:szCs w:val="22"/>
        </w:rPr>
      </w:pPr>
      <w:r w:rsidRPr="0033639F">
        <w:rPr>
          <w:rFonts w:ascii="Arial" w:hAnsi="Arial" w:cs="Arial"/>
          <w:sz w:val="22"/>
          <w:szCs w:val="22"/>
        </w:rPr>
        <w:t>Children receiving GH therapy require periodic monitoring. Three-month intervals are commonly chosen to allow for sufficient growth for a meaningful measurement, while minimizing time between dose adjustments/intervention. During follow up visits, height, weight, pubertal status, inspection of injection sites, and a comprehensive clinical exam should be initiated. In clinical practice, there are several parameters to monitor the response to GH treatment; the determination of the growth response (</w:t>
      </w:r>
      <w:r w:rsidRPr="0033639F">
        <w:rPr>
          <w:rFonts w:ascii="Arial" w:hAnsi="Arial" w:cs="Arial"/>
          <w:i/>
          <w:iCs/>
          <w:sz w:val="22"/>
          <w:szCs w:val="22"/>
        </w:rPr>
        <w:t>i.e.</w:t>
      </w:r>
      <w:r w:rsidRPr="0033639F">
        <w:rPr>
          <w:rFonts w:ascii="Arial" w:hAnsi="Arial" w:cs="Arial"/>
          <w:sz w:val="22"/>
          <w:szCs w:val="22"/>
        </w:rPr>
        <w:t xml:space="preserve"> change in height velocity, ∆HV) being the most important parameter.  These points are summarized in Table </w:t>
      </w:r>
      <w:r w:rsidR="008368D8" w:rsidRPr="0033639F">
        <w:rPr>
          <w:rFonts w:ascii="Arial" w:hAnsi="Arial" w:cs="Arial"/>
          <w:sz w:val="22"/>
          <w:szCs w:val="22"/>
        </w:rPr>
        <w:t>12</w:t>
      </w:r>
      <w:r w:rsidRPr="0033639F">
        <w:rPr>
          <w:rFonts w:ascii="Arial" w:hAnsi="Arial" w:cs="Arial"/>
          <w:sz w:val="22"/>
          <w:szCs w:val="22"/>
        </w:rPr>
        <w:t>.</w:t>
      </w:r>
    </w:p>
    <w:p w14:paraId="5E20CDBA" w14:textId="77777777" w:rsidR="000D6209" w:rsidRPr="0033639F" w:rsidRDefault="000D6209" w:rsidP="0033639F">
      <w:pPr>
        <w:spacing w:line="276" w:lineRule="auto"/>
        <w:rPr>
          <w:rFonts w:ascii="Arial" w:hAnsi="Arial" w:cs="Arial"/>
          <w:sz w:val="22"/>
          <w:szCs w:val="22"/>
        </w:rPr>
      </w:pPr>
    </w:p>
    <w:tbl>
      <w:tblPr>
        <w:tblStyle w:val="TableGrid"/>
        <w:tblW w:w="9150" w:type="dxa"/>
        <w:tblLook w:val="0000" w:firstRow="0" w:lastRow="0" w:firstColumn="0" w:lastColumn="0" w:noHBand="0" w:noVBand="0"/>
      </w:tblPr>
      <w:tblGrid>
        <w:gridCol w:w="2552"/>
        <w:gridCol w:w="6598"/>
      </w:tblGrid>
      <w:tr w:rsidR="00803B01" w:rsidRPr="0033639F" w14:paraId="252EE533" w14:textId="77777777" w:rsidTr="00A23E92">
        <w:tc>
          <w:tcPr>
            <w:tcW w:w="9090" w:type="dxa"/>
            <w:gridSpan w:val="2"/>
            <w:shd w:val="clear" w:color="auto" w:fill="FFFF00"/>
          </w:tcPr>
          <w:p w14:paraId="285377FD" w14:textId="72E6EE6A" w:rsidR="00803B01" w:rsidRPr="0033639F" w:rsidRDefault="00803B01" w:rsidP="0033639F">
            <w:pPr>
              <w:spacing w:line="276" w:lineRule="auto"/>
              <w:rPr>
                <w:rFonts w:ascii="Arial" w:hAnsi="Arial" w:cs="Arial"/>
                <w:sz w:val="22"/>
                <w:szCs w:val="22"/>
              </w:rPr>
            </w:pPr>
            <w:bookmarkStart w:id="45" w:name="id2504452"/>
            <w:bookmarkEnd w:id="45"/>
            <w:r w:rsidRPr="00E7109A">
              <w:rPr>
                <w:rFonts w:ascii="Arial" w:hAnsi="Arial" w:cs="Arial"/>
                <w:b/>
                <w:bCs/>
                <w:sz w:val="22"/>
                <w:szCs w:val="22"/>
                <w:shd w:val="clear" w:color="auto" w:fill="FFFF00"/>
              </w:rPr>
              <w:t xml:space="preserve">Table 12. Summary of </w:t>
            </w:r>
            <w:r w:rsidR="000D6209" w:rsidRPr="00E7109A">
              <w:rPr>
                <w:rFonts w:ascii="Arial" w:hAnsi="Arial" w:cs="Arial"/>
                <w:b/>
                <w:bCs/>
                <w:sz w:val="22"/>
                <w:szCs w:val="22"/>
                <w:shd w:val="clear" w:color="auto" w:fill="FFFF00"/>
              </w:rPr>
              <w:t>F</w:t>
            </w:r>
            <w:r w:rsidRPr="00E7109A">
              <w:rPr>
                <w:rFonts w:ascii="Arial" w:hAnsi="Arial" w:cs="Arial"/>
                <w:b/>
                <w:bCs/>
                <w:sz w:val="22"/>
                <w:szCs w:val="22"/>
                <w:shd w:val="clear" w:color="auto" w:fill="FFFF00"/>
              </w:rPr>
              <w:t>ollow-</w:t>
            </w:r>
            <w:r w:rsidR="000D6209" w:rsidRPr="00E7109A">
              <w:rPr>
                <w:rFonts w:ascii="Arial" w:hAnsi="Arial" w:cs="Arial"/>
                <w:b/>
                <w:bCs/>
                <w:sz w:val="22"/>
                <w:szCs w:val="22"/>
                <w:shd w:val="clear" w:color="auto" w:fill="FFFF00"/>
              </w:rPr>
              <w:t>U</w:t>
            </w:r>
            <w:r w:rsidRPr="00E7109A">
              <w:rPr>
                <w:rFonts w:ascii="Arial" w:hAnsi="Arial" w:cs="Arial"/>
                <w:b/>
                <w:bCs/>
                <w:sz w:val="22"/>
                <w:szCs w:val="22"/>
                <w:shd w:val="clear" w:color="auto" w:fill="FFFF00"/>
              </w:rPr>
              <w:t xml:space="preserve">p </w:t>
            </w:r>
            <w:r w:rsidR="00E7109A" w:rsidRPr="00E7109A">
              <w:rPr>
                <w:rFonts w:ascii="Arial" w:hAnsi="Arial" w:cs="Arial"/>
                <w:b/>
                <w:bCs/>
                <w:sz w:val="22"/>
                <w:szCs w:val="22"/>
                <w:shd w:val="clear" w:color="auto" w:fill="FFFF00"/>
              </w:rPr>
              <w:t>E</w:t>
            </w:r>
            <w:r w:rsidRPr="00E7109A">
              <w:rPr>
                <w:rFonts w:ascii="Arial" w:hAnsi="Arial" w:cs="Arial"/>
                <w:b/>
                <w:bCs/>
                <w:sz w:val="22"/>
                <w:szCs w:val="22"/>
                <w:shd w:val="clear" w:color="auto" w:fill="FFFF00"/>
              </w:rPr>
              <w:t>valuation</w:t>
            </w:r>
          </w:p>
        </w:tc>
      </w:tr>
      <w:tr w:rsidR="00803B01" w:rsidRPr="0033639F" w14:paraId="5AB76035" w14:textId="77777777" w:rsidTr="000D6209">
        <w:tc>
          <w:tcPr>
            <w:tcW w:w="2535" w:type="dxa"/>
          </w:tcPr>
          <w:p w14:paraId="131BA986"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Parameters  </w:t>
            </w:r>
          </w:p>
        </w:tc>
        <w:tc>
          <w:tcPr>
            <w:tcW w:w="6525" w:type="dxa"/>
          </w:tcPr>
          <w:p w14:paraId="274344E9"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Assessment </w:t>
            </w:r>
          </w:p>
        </w:tc>
      </w:tr>
      <w:tr w:rsidR="00803B01" w:rsidRPr="0033639F" w14:paraId="6381F453" w14:textId="77777777" w:rsidTr="000D6209">
        <w:tc>
          <w:tcPr>
            <w:tcW w:w="2535" w:type="dxa"/>
          </w:tcPr>
          <w:p w14:paraId="47F2A89F"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Bone age  </w:t>
            </w:r>
          </w:p>
        </w:tc>
        <w:tc>
          <w:tcPr>
            <w:tcW w:w="6525" w:type="dxa"/>
          </w:tcPr>
          <w:p w14:paraId="433BADA9"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12-month intervals to assess the predicted height. </w:t>
            </w:r>
          </w:p>
        </w:tc>
      </w:tr>
      <w:tr w:rsidR="00803B01" w:rsidRPr="0033639F" w14:paraId="3BCB5A50" w14:textId="77777777" w:rsidTr="000D6209">
        <w:tc>
          <w:tcPr>
            <w:tcW w:w="2535" w:type="dxa"/>
          </w:tcPr>
          <w:p w14:paraId="0B86FC62"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Thyroid Function Test  </w:t>
            </w:r>
          </w:p>
        </w:tc>
        <w:tc>
          <w:tcPr>
            <w:tcW w:w="6525" w:type="dxa"/>
          </w:tcPr>
          <w:p w14:paraId="548CE21D"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6-month intervals, or immediately, if growth velocity decreases. </w:t>
            </w:r>
          </w:p>
        </w:tc>
      </w:tr>
      <w:tr w:rsidR="00803B01" w:rsidRPr="0033639F" w14:paraId="6BA73EC6" w14:textId="77777777" w:rsidTr="000D6209">
        <w:tc>
          <w:tcPr>
            <w:tcW w:w="2535" w:type="dxa"/>
          </w:tcPr>
          <w:p w14:paraId="0354787F"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Serum IGF1 </w:t>
            </w:r>
          </w:p>
        </w:tc>
        <w:tc>
          <w:tcPr>
            <w:tcW w:w="6525" w:type="dxa"/>
          </w:tcPr>
          <w:p w14:paraId="17EC0B6E" w14:textId="1732BC00" w:rsidR="00E9254B" w:rsidRPr="0033639F" w:rsidRDefault="00803B01" w:rsidP="0033639F">
            <w:pPr>
              <w:spacing w:line="276" w:lineRule="auto"/>
              <w:rPr>
                <w:rFonts w:ascii="Arial" w:hAnsi="Arial" w:cs="Arial"/>
                <w:sz w:val="22"/>
                <w:szCs w:val="22"/>
              </w:rPr>
            </w:pPr>
            <w:r w:rsidRPr="0033639F">
              <w:rPr>
                <w:rFonts w:ascii="Arial" w:hAnsi="Arial" w:cs="Arial"/>
                <w:sz w:val="22"/>
                <w:szCs w:val="22"/>
              </w:rPr>
              <w:t>Most useful in maintaining GH dose in ‘safe’ region. It does not necessarily correlate with growth velocity.</w:t>
            </w:r>
          </w:p>
          <w:p w14:paraId="2D62FF32" w14:textId="5824D429"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12-month intervals for daily rhGH. </w:t>
            </w:r>
          </w:p>
          <w:p w14:paraId="49E4DAB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However, timing to assess IGF-1 varies for each long-acting GH formulations. Monitoring of IGF-1 should be based on the mean IGF-1 over the week, which is on day 4 for somatrogon and somapacitan, and day 4.5 for lonapegsomatropin.</w:t>
            </w:r>
          </w:p>
        </w:tc>
      </w:tr>
      <w:tr w:rsidR="00803B01" w:rsidRPr="0033639F" w14:paraId="651DC937" w14:textId="77777777" w:rsidTr="000D6209">
        <w:tc>
          <w:tcPr>
            <w:tcW w:w="2535" w:type="dxa"/>
          </w:tcPr>
          <w:p w14:paraId="0A2016C9" w14:textId="406E62D0"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Metabolic panel, HbA1C  </w:t>
            </w:r>
          </w:p>
        </w:tc>
        <w:tc>
          <w:tcPr>
            <w:tcW w:w="6525" w:type="dxa"/>
          </w:tcPr>
          <w:p w14:paraId="0C16E361"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12-month intervals. </w:t>
            </w:r>
          </w:p>
        </w:tc>
      </w:tr>
      <w:tr w:rsidR="00803B01" w:rsidRPr="0033639F" w14:paraId="6A8BA05E" w14:textId="77777777" w:rsidTr="000D6209">
        <w:tc>
          <w:tcPr>
            <w:tcW w:w="2535" w:type="dxa"/>
          </w:tcPr>
          <w:p w14:paraId="42BD4009"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Dose adjustment  </w:t>
            </w:r>
          </w:p>
        </w:tc>
        <w:tc>
          <w:tcPr>
            <w:tcW w:w="6525" w:type="dxa"/>
          </w:tcPr>
          <w:p w14:paraId="714E792D" w14:textId="34D76FDC"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Should be based on weight-change, growth response, pubertal stage, comparison to predicted height at each visit, and IGF</w:t>
            </w:r>
            <w:r w:rsidR="0038631D" w:rsidRPr="0033639F">
              <w:rPr>
                <w:rFonts w:ascii="Arial" w:hAnsi="Arial" w:cs="Arial"/>
                <w:sz w:val="22"/>
                <w:szCs w:val="22"/>
              </w:rPr>
              <w:t>1</w:t>
            </w:r>
            <w:r w:rsidRPr="0033639F">
              <w:rPr>
                <w:rFonts w:ascii="Arial" w:hAnsi="Arial" w:cs="Arial"/>
                <w:sz w:val="22"/>
                <w:szCs w:val="22"/>
              </w:rPr>
              <w:t xml:space="preserve">/IGFBP3 levels. </w:t>
            </w:r>
          </w:p>
        </w:tc>
      </w:tr>
      <w:tr w:rsidR="00803B01" w:rsidRPr="0033639F" w14:paraId="4A5B1B56" w14:textId="77777777" w:rsidTr="000D6209">
        <w:tc>
          <w:tcPr>
            <w:tcW w:w="2535" w:type="dxa"/>
          </w:tcPr>
          <w:p w14:paraId="09941B1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Adverse Events  </w:t>
            </w:r>
          </w:p>
        </w:tc>
        <w:tc>
          <w:tcPr>
            <w:tcW w:w="6525" w:type="dxa"/>
          </w:tcPr>
          <w:p w14:paraId="11DF9B72"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Every visit. </w:t>
            </w:r>
          </w:p>
        </w:tc>
      </w:tr>
    </w:tbl>
    <w:p w14:paraId="021B26C7" w14:textId="77777777" w:rsidR="00E7109A" w:rsidRDefault="00E7109A" w:rsidP="0033639F">
      <w:pPr>
        <w:pStyle w:val="Heading2"/>
        <w:spacing w:before="0" w:after="0" w:line="276" w:lineRule="auto"/>
        <w:rPr>
          <w:rFonts w:ascii="Arial" w:hAnsi="Arial" w:cs="Arial"/>
          <w:b/>
          <w:bCs/>
          <w:sz w:val="22"/>
          <w:szCs w:val="22"/>
        </w:rPr>
      </w:pPr>
      <w:bookmarkStart w:id="46" w:name="id2504613"/>
      <w:bookmarkEnd w:id="46"/>
    </w:p>
    <w:p w14:paraId="2434918E" w14:textId="57C6D661" w:rsidR="00803B01" w:rsidRPr="00E7109A" w:rsidRDefault="00803B01" w:rsidP="00E7109A">
      <w:pPr>
        <w:rPr>
          <w:rFonts w:ascii="Arial" w:hAnsi="Arial" w:cs="Arial"/>
          <w:b/>
          <w:bCs/>
          <w:color w:val="00B050"/>
          <w:sz w:val="22"/>
          <w:szCs w:val="22"/>
        </w:rPr>
      </w:pPr>
      <w:r w:rsidRPr="00E7109A">
        <w:rPr>
          <w:rFonts w:ascii="Arial" w:hAnsi="Arial" w:cs="Arial"/>
          <w:b/>
          <w:bCs/>
          <w:color w:val="00B050"/>
          <w:sz w:val="22"/>
          <w:szCs w:val="22"/>
        </w:rPr>
        <w:t xml:space="preserve">The Safety of GH Treatment </w:t>
      </w:r>
    </w:p>
    <w:p w14:paraId="5360B945" w14:textId="77777777" w:rsidR="00E7109A" w:rsidRPr="00E7109A" w:rsidRDefault="00E7109A" w:rsidP="00E7109A">
      <w:pPr>
        <w:rPr>
          <w:rFonts w:ascii="Arial" w:hAnsi="Arial" w:cs="Arial"/>
          <w:b/>
          <w:bCs/>
          <w:color w:val="00B050"/>
          <w:sz w:val="22"/>
          <w:szCs w:val="22"/>
        </w:rPr>
      </w:pPr>
    </w:p>
    <w:p w14:paraId="0FC0A9DD" w14:textId="66AB441B" w:rsidR="00803B01" w:rsidRDefault="00803B01" w:rsidP="0033639F">
      <w:pPr>
        <w:spacing w:line="276" w:lineRule="auto"/>
        <w:rPr>
          <w:rFonts w:ascii="Arial" w:hAnsi="Arial" w:cs="Arial"/>
          <w:sz w:val="22"/>
          <w:szCs w:val="22"/>
        </w:rPr>
      </w:pPr>
      <w:r w:rsidRPr="0033639F">
        <w:rPr>
          <w:rFonts w:ascii="Arial" w:hAnsi="Arial" w:cs="Arial"/>
          <w:sz w:val="22"/>
          <w:szCs w:val="22"/>
        </w:rPr>
        <w:t>To date, multiple studies have demonstrated the safety of GH therapy</w:t>
      </w:r>
      <w:r w:rsidR="00CF06A0" w:rsidRPr="0033639F">
        <w:rPr>
          <w:rFonts w:ascii="Arial" w:hAnsi="Arial" w:cs="Arial"/>
          <w:sz w:val="22"/>
          <w:szCs w:val="22"/>
        </w:rPr>
        <w:t xml:space="preserve"> </w:t>
      </w:r>
      <w:r w:rsidR="00232B3C" w:rsidRPr="0033639F">
        <w:rPr>
          <w:rFonts w:ascii="Arial" w:hAnsi="Arial" w:cs="Arial"/>
          <w:noProof/>
          <w:sz w:val="22"/>
          <w:szCs w:val="22"/>
        </w:rPr>
        <w:t>(</w:t>
      </w:r>
      <w:r w:rsidR="00C040AF" w:rsidRPr="0033639F">
        <w:rPr>
          <w:rFonts w:ascii="Arial" w:hAnsi="Arial" w:cs="Arial"/>
          <w:noProof/>
          <w:sz w:val="22"/>
          <w:szCs w:val="22"/>
        </w:rPr>
        <w:t>6,63,186,187,253–256</w:t>
      </w:r>
      <w:r w:rsidR="00232B3C" w:rsidRPr="0033639F">
        <w:rPr>
          <w:rFonts w:ascii="Arial" w:hAnsi="Arial" w:cs="Arial"/>
          <w:noProof/>
          <w:sz w:val="22"/>
          <w:szCs w:val="22"/>
        </w:rPr>
        <w:t>)</w:t>
      </w:r>
      <w:r w:rsidRPr="0033639F">
        <w:rPr>
          <w:rFonts w:ascii="Arial" w:hAnsi="Arial" w:cs="Arial"/>
          <w:sz w:val="22"/>
          <w:szCs w:val="22"/>
        </w:rPr>
        <w:t xml:space="preserve">. While rhGH treatment is generally considered safe, patients, however, should be monitored closely during treatment. Some of the common side effects seen during GH therapy are scoliosis, slipped capital femoral epiphysis (SCFE), pancreatitis, and pseudotumor cerebri </w:t>
      </w:r>
      <w:r w:rsidRPr="0033639F">
        <w:rPr>
          <w:rFonts w:ascii="Arial" w:hAnsi="Arial" w:cs="Arial"/>
          <w:sz w:val="22"/>
          <w:szCs w:val="22"/>
        </w:rPr>
        <w:lastRenderedPageBreak/>
        <w:t>(intracranial hypertension).   An analysis of Genentech’s National Cooperative Growth Study (NCGS) identified eleven cases of adrenal insufficiency (AI) resulting in four deaths.  All eleven cases of AI occurred in patients with organic GH deficiency (n=8,351), yielding an incidence of 132 per 100,000 in this subgroup, and an overall incidence of AI in NCGS was 20 per 100,000</w:t>
      </w:r>
      <w:r w:rsidRPr="0033639F">
        <w:rPr>
          <w:rFonts w:ascii="Arial" w:hAnsi="Arial" w:cs="Arial"/>
          <w:noProof/>
          <w:sz w:val="22"/>
          <w:szCs w:val="22"/>
        </w:rPr>
        <w:t xml:space="preserve"> </w:t>
      </w:r>
      <w:r w:rsidR="00232B3C" w:rsidRPr="0033639F">
        <w:rPr>
          <w:rFonts w:ascii="Arial" w:hAnsi="Arial" w:cs="Arial"/>
          <w:noProof/>
          <w:sz w:val="22"/>
          <w:szCs w:val="22"/>
        </w:rPr>
        <w:t>(</w:t>
      </w:r>
      <w:r w:rsidR="00C040AF" w:rsidRPr="0033639F">
        <w:rPr>
          <w:rFonts w:ascii="Arial" w:hAnsi="Arial" w:cs="Arial"/>
          <w:noProof/>
          <w:sz w:val="22"/>
          <w:szCs w:val="22"/>
        </w:rPr>
        <w:t>257</w:t>
      </w:r>
      <w:r w:rsidR="00232B3C" w:rsidRPr="0033639F">
        <w:rPr>
          <w:rFonts w:ascii="Arial" w:hAnsi="Arial" w:cs="Arial"/>
          <w:noProof/>
          <w:sz w:val="22"/>
          <w:szCs w:val="22"/>
        </w:rPr>
        <w:t>)</w:t>
      </w:r>
      <w:r w:rsidRPr="0033639F">
        <w:rPr>
          <w:rFonts w:ascii="Arial" w:hAnsi="Arial" w:cs="Arial"/>
          <w:sz w:val="22"/>
          <w:szCs w:val="22"/>
        </w:rPr>
        <w:t xml:space="preserve">.  </w:t>
      </w:r>
    </w:p>
    <w:p w14:paraId="3DA51439" w14:textId="77777777" w:rsidR="00E7109A" w:rsidRPr="0033639F" w:rsidRDefault="00E7109A" w:rsidP="0033639F">
      <w:pPr>
        <w:spacing w:line="276" w:lineRule="auto"/>
        <w:rPr>
          <w:rFonts w:ascii="Arial" w:hAnsi="Arial" w:cs="Arial"/>
          <w:sz w:val="22"/>
          <w:szCs w:val="22"/>
        </w:rPr>
      </w:pPr>
    </w:p>
    <w:p w14:paraId="7AB63ECF" w14:textId="31B9295E"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Another concern is the use of GH in patients with Prader-Willi syndrome. Early recognition of the syndrome allows earlier intervention to prevent morbidity. Previous studies and data from KIGS showed that earlier initiation of GH treatment in children with PWS significantly improved body composition, muscle tone, growth, and cognition</w:t>
      </w:r>
      <w:r w:rsidR="003A6D94" w:rsidRPr="0033639F">
        <w:rPr>
          <w:rFonts w:ascii="Arial" w:hAnsi="Arial" w:cs="Arial"/>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258</w:t>
      </w:r>
      <w:r w:rsidR="00232B3C" w:rsidRPr="0033639F">
        <w:rPr>
          <w:rFonts w:ascii="Arial" w:hAnsi="Arial" w:cs="Arial"/>
          <w:noProof/>
          <w:sz w:val="22"/>
          <w:szCs w:val="22"/>
        </w:rPr>
        <w:t>)</w:t>
      </w:r>
      <w:r w:rsidRPr="0033639F">
        <w:rPr>
          <w:rFonts w:ascii="Arial" w:hAnsi="Arial" w:cs="Arial"/>
          <w:sz w:val="22"/>
          <w:szCs w:val="22"/>
        </w:rPr>
        <w:t xml:space="preserve">. </w:t>
      </w:r>
      <w:r w:rsidR="0011066B" w:rsidRPr="0033639F">
        <w:rPr>
          <w:rFonts w:ascii="Arial" w:hAnsi="Arial" w:cs="Arial"/>
          <w:sz w:val="22"/>
          <w:szCs w:val="22"/>
        </w:rPr>
        <w:t>Fa</w:t>
      </w:r>
      <w:r w:rsidRPr="0033639F">
        <w:rPr>
          <w:rFonts w:ascii="Arial" w:hAnsi="Arial" w:cs="Arial"/>
          <w:sz w:val="22"/>
          <w:szCs w:val="22"/>
        </w:rPr>
        <w:t>talities have been reported in patients with Prader-Willi syndrome during or after rhGH therapy</w:t>
      </w:r>
      <w:r w:rsidR="003A6D94" w:rsidRPr="0033639F">
        <w:rPr>
          <w:rFonts w:ascii="Arial" w:hAnsi="Arial" w:cs="Arial"/>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259</w:t>
      </w:r>
      <w:r w:rsidR="00232B3C" w:rsidRPr="0033639F">
        <w:rPr>
          <w:rFonts w:ascii="Arial" w:hAnsi="Arial" w:cs="Arial"/>
          <w:noProof/>
          <w:sz w:val="22"/>
          <w:szCs w:val="22"/>
        </w:rPr>
        <w:t>)</w:t>
      </w:r>
      <w:r w:rsidRPr="0033639F">
        <w:rPr>
          <w:rFonts w:ascii="Arial" w:hAnsi="Arial" w:cs="Arial"/>
          <w:sz w:val="22"/>
          <w:szCs w:val="22"/>
        </w:rPr>
        <w:t>. Data for children aged 3 years and older showed no statistically significant differences between the GH-treated and untreated groups with respect to cause of death, including respiratory infection or insufficiency</w:t>
      </w:r>
      <w:r w:rsidR="003A6D94" w:rsidRPr="0033639F">
        <w:rPr>
          <w:rFonts w:ascii="Arial" w:hAnsi="Arial" w:cs="Arial"/>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259</w:t>
      </w:r>
      <w:r w:rsidR="00232B3C" w:rsidRPr="0033639F">
        <w:rPr>
          <w:rFonts w:ascii="Arial" w:hAnsi="Arial" w:cs="Arial"/>
          <w:noProof/>
          <w:sz w:val="22"/>
          <w:szCs w:val="22"/>
        </w:rPr>
        <w:t>,</w:t>
      </w:r>
      <w:r w:rsidR="00281CA5" w:rsidRPr="0033639F">
        <w:rPr>
          <w:rFonts w:ascii="Arial" w:hAnsi="Arial" w:cs="Arial"/>
          <w:noProof/>
          <w:sz w:val="22"/>
          <w:szCs w:val="22"/>
        </w:rPr>
        <w:t>260</w:t>
      </w:r>
      <w:r w:rsidR="00232B3C" w:rsidRPr="0033639F">
        <w:rPr>
          <w:rFonts w:ascii="Arial" w:hAnsi="Arial" w:cs="Arial"/>
          <w:noProof/>
          <w:sz w:val="22"/>
          <w:szCs w:val="22"/>
        </w:rPr>
        <w:t>)</w:t>
      </w:r>
      <w:r w:rsidRPr="0033639F">
        <w:rPr>
          <w:rFonts w:ascii="Arial" w:hAnsi="Arial" w:cs="Arial"/>
          <w:sz w:val="22"/>
          <w:szCs w:val="22"/>
        </w:rPr>
        <w:t>. Although there is no clear evidence that those deaths are related to GH therapy, it was postulated that GH/IGF1 may worsen sleep apnea or hypoventilation via increasing tonsillar/adenoid tissue or worsen pre-existing impaired respiration by increasing volume load</w:t>
      </w:r>
      <w:r w:rsidR="003A6D94" w:rsidRPr="0033639F">
        <w:rPr>
          <w:rFonts w:ascii="Arial" w:hAnsi="Arial" w:cs="Arial"/>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261</w:t>
      </w:r>
      <w:r w:rsidR="00232B3C" w:rsidRPr="0033639F">
        <w:rPr>
          <w:rFonts w:ascii="Arial" w:hAnsi="Arial" w:cs="Arial"/>
          <w:noProof/>
          <w:sz w:val="22"/>
          <w:szCs w:val="22"/>
        </w:rPr>
        <w:t>)</w:t>
      </w:r>
      <w:r w:rsidRPr="0033639F">
        <w:rPr>
          <w:rFonts w:ascii="Arial" w:hAnsi="Arial" w:cs="Arial"/>
          <w:sz w:val="22"/>
          <w:szCs w:val="22"/>
        </w:rPr>
        <w:t>. However, studies on respiratory function of subjects with Prader-Willi syndrome during rhGH therapy have only demonstrated improved respiratory drive and function</w:t>
      </w:r>
      <w:r w:rsidRPr="0033639F">
        <w:rPr>
          <w:rFonts w:ascii="Arial" w:hAnsi="Arial" w:cs="Arial"/>
          <w:noProof/>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262</w:t>
      </w:r>
      <w:r w:rsidR="00232B3C" w:rsidRPr="0033639F">
        <w:rPr>
          <w:rFonts w:ascii="Arial" w:hAnsi="Arial" w:cs="Arial"/>
          <w:noProof/>
          <w:sz w:val="22"/>
          <w:szCs w:val="22"/>
        </w:rPr>
        <w:t>)</w:t>
      </w:r>
      <w:r w:rsidRPr="0033639F">
        <w:rPr>
          <w:rFonts w:ascii="Arial" w:hAnsi="Arial" w:cs="Arial"/>
          <w:sz w:val="22"/>
          <w:szCs w:val="22"/>
        </w:rPr>
        <w:t>. In fact, a recent study showed that all subjects tested had abnormal sleep studies/parameters prior to initiating GH treatment, and that GH treatment resulted in an improvement in sleep apnea in the majority of patients with PWS. Importantly, however, a subset had worsening of sleep disturbance shortly after (6 wk) starting GH when also developing a respiratory infection</w:t>
      </w:r>
      <w:r w:rsidRPr="0033639F">
        <w:rPr>
          <w:rFonts w:ascii="Arial" w:hAnsi="Arial" w:cs="Arial"/>
          <w:noProof/>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263</w:t>
      </w:r>
      <w:r w:rsidR="00232B3C" w:rsidRPr="0033639F">
        <w:rPr>
          <w:rFonts w:ascii="Arial" w:hAnsi="Arial" w:cs="Arial"/>
          <w:noProof/>
          <w:sz w:val="22"/>
          <w:szCs w:val="22"/>
        </w:rPr>
        <w:t>)</w:t>
      </w:r>
      <w:r w:rsidRPr="0033639F">
        <w:rPr>
          <w:rFonts w:ascii="Arial" w:hAnsi="Arial" w:cs="Arial"/>
          <w:sz w:val="22"/>
          <w:szCs w:val="22"/>
        </w:rPr>
        <w:t xml:space="preserve">. Because it is difficult to predict who will worsen with GH treatment, these authors recommend that patients with Prader-Willi syndrome have polysomnography before and 6 wk after starting rhGH and should be monitored for sleep apnea during upper respiratory tract infections. IGF1 levels should also be monitored. </w:t>
      </w:r>
    </w:p>
    <w:p w14:paraId="5F5E0EC4" w14:textId="77777777" w:rsidR="002403F2" w:rsidRPr="0033639F" w:rsidRDefault="002403F2" w:rsidP="0033639F">
      <w:pPr>
        <w:spacing w:line="276" w:lineRule="auto"/>
        <w:rPr>
          <w:rFonts w:ascii="Arial" w:hAnsi="Arial" w:cs="Arial"/>
          <w:sz w:val="22"/>
          <w:szCs w:val="22"/>
        </w:rPr>
      </w:pPr>
    </w:p>
    <w:p w14:paraId="3C9488DB" w14:textId="1E8883AD" w:rsidR="00803B01" w:rsidRDefault="00803B01" w:rsidP="0033639F">
      <w:pPr>
        <w:tabs>
          <w:tab w:val="left" w:pos="1620"/>
        </w:tabs>
        <w:spacing w:line="276" w:lineRule="auto"/>
        <w:rPr>
          <w:rFonts w:ascii="Arial" w:hAnsi="Arial" w:cs="Arial"/>
          <w:sz w:val="22"/>
          <w:szCs w:val="22"/>
        </w:rPr>
      </w:pPr>
      <w:r w:rsidRPr="0033639F">
        <w:rPr>
          <w:rFonts w:ascii="Arial" w:hAnsi="Arial" w:cs="Arial"/>
          <w:sz w:val="22"/>
          <w:szCs w:val="22"/>
        </w:rPr>
        <w:t xml:space="preserve">The data on </w:t>
      </w:r>
      <w:r w:rsidR="008C1C13" w:rsidRPr="0033639F">
        <w:rPr>
          <w:rFonts w:ascii="Arial" w:hAnsi="Arial" w:cs="Arial"/>
          <w:sz w:val="22"/>
          <w:szCs w:val="22"/>
        </w:rPr>
        <w:t>the efficacy</w:t>
      </w:r>
      <w:r w:rsidRPr="0033639F">
        <w:rPr>
          <w:rFonts w:ascii="Arial" w:hAnsi="Arial" w:cs="Arial"/>
          <w:sz w:val="22"/>
          <w:szCs w:val="22"/>
        </w:rPr>
        <w:t xml:space="preserve"> and safety of GH treatment in 5220 Turner Syndrome (TS) children during the last 20 years has been reported by NCGS. The incidence of various side effects known to be associated with GH including pseudotumor cerebri, slipped capital femoral epiphysis, and scoliosis was increased in TS patients treated with GH compared with non-TS patients, however, children with TS are known to have a higher incidence of these side effects independent of rhGH treatment</w:t>
      </w:r>
      <w:r w:rsidRPr="0033639F">
        <w:rPr>
          <w:rFonts w:ascii="Arial" w:hAnsi="Arial" w:cs="Arial"/>
          <w:noProof/>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264</w:t>
      </w:r>
      <w:r w:rsidR="00232B3C" w:rsidRPr="0033639F">
        <w:rPr>
          <w:rFonts w:ascii="Arial" w:hAnsi="Arial" w:cs="Arial"/>
          <w:noProof/>
          <w:sz w:val="22"/>
          <w:szCs w:val="22"/>
        </w:rPr>
        <w:t>)</w:t>
      </w:r>
      <w:r w:rsidRPr="0033639F">
        <w:rPr>
          <w:rFonts w:ascii="Arial" w:hAnsi="Arial" w:cs="Arial"/>
          <w:sz w:val="22"/>
          <w:szCs w:val="22"/>
        </w:rPr>
        <w:t>. Interestingly, type 1 diabetes was increased in GH treated group, most likely unrelated to GH treatment since the predisposition to autoimmune disorders is one of the characteristics</w:t>
      </w:r>
      <w:r w:rsidRPr="0033639F">
        <w:rPr>
          <w:rFonts w:ascii="Arial" w:hAnsi="Arial" w:cs="Arial"/>
          <w:sz w:val="22"/>
          <w:szCs w:val="22"/>
          <w:vertAlign w:val="superscript"/>
        </w:rPr>
        <w:t xml:space="preserve"> </w:t>
      </w:r>
      <w:r w:rsidRPr="0033639F">
        <w:rPr>
          <w:rFonts w:ascii="Arial" w:hAnsi="Arial" w:cs="Arial"/>
          <w:sz w:val="22"/>
          <w:szCs w:val="22"/>
        </w:rPr>
        <w:t>of TS. In addition, NCGS data demonstrate a slightly increased incidence of a variety of malignancies in TS, however, this may again be related to the underlying condition, (</w:t>
      </w:r>
      <w:r w:rsidRPr="0033639F">
        <w:rPr>
          <w:rFonts w:ascii="Arial" w:hAnsi="Arial" w:cs="Arial"/>
          <w:i/>
          <w:iCs/>
          <w:sz w:val="22"/>
          <w:szCs w:val="22"/>
        </w:rPr>
        <w:t>i.e.</w:t>
      </w:r>
      <w:r w:rsidRPr="0033639F">
        <w:rPr>
          <w:rFonts w:ascii="Arial" w:hAnsi="Arial" w:cs="Arial"/>
          <w:sz w:val="22"/>
          <w:szCs w:val="22"/>
        </w:rPr>
        <w:t xml:space="preserve"> not necessarily the rhGH treatment) as girls with TS have been shown to have an increased risk for cancer compared to general population</w:t>
      </w:r>
      <w:r w:rsidR="00D25C48" w:rsidRPr="0033639F">
        <w:rPr>
          <w:rFonts w:ascii="Arial" w:hAnsi="Arial" w:cs="Arial"/>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265</w:t>
      </w:r>
      <w:r w:rsidR="00232B3C" w:rsidRPr="0033639F">
        <w:rPr>
          <w:rFonts w:ascii="Arial" w:hAnsi="Arial" w:cs="Arial"/>
          <w:noProof/>
          <w:sz w:val="22"/>
          <w:szCs w:val="22"/>
        </w:rPr>
        <w:t>)</w:t>
      </w:r>
      <w:r w:rsidRPr="0033639F">
        <w:rPr>
          <w:rFonts w:ascii="Arial" w:hAnsi="Arial" w:cs="Arial"/>
          <w:sz w:val="22"/>
          <w:szCs w:val="22"/>
        </w:rPr>
        <w:t>. In summary, twenty years of experience in 5220 patients seems reassuring and does not indicate any new rhGH-related safety signals in the TS population</w:t>
      </w:r>
      <w:r w:rsidRPr="0033639F">
        <w:rPr>
          <w:rFonts w:ascii="Arial" w:hAnsi="Arial" w:cs="Arial"/>
          <w:noProof/>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264</w:t>
      </w:r>
      <w:r w:rsidR="00232B3C" w:rsidRPr="0033639F">
        <w:rPr>
          <w:rFonts w:ascii="Arial" w:hAnsi="Arial" w:cs="Arial"/>
          <w:noProof/>
          <w:sz w:val="22"/>
          <w:szCs w:val="22"/>
        </w:rPr>
        <w:t>)</w:t>
      </w:r>
      <w:r w:rsidRPr="0033639F">
        <w:rPr>
          <w:rFonts w:ascii="Arial" w:hAnsi="Arial" w:cs="Arial"/>
          <w:sz w:val="22"/>
          <w:szCs w:val="22"/>
        </w:rPr>
        <w:t xml:space="preserve">. </w:t>
      </w:r>
    </w:p>
    <w:p w14:paraId="52170969" w14:textId="77777777" w:rsidR="00E7109A" w:rsidRPr="0033639F" w:rsidRDefault="00E7109A" w:rsidP="0033639F">
      <w:pPr>
        <w:tabs>
          <w:tab w:val="left" w:pos="1620"/>
        </w:tabs>
        <w:spacing w:line="276" w:lineRule="auto"/>
        <w:rPr>
          <w:rFonts w:ascii="Arial" w:hAnsi="Arial" w:cs="Arial"/>
          <w:sz w:val="22"/>
          <w:szCs w:val="22"/>
        </w:rPr>
      </w:pPr>
    </w:p>
    <w:p w14:paraId="29530490" w14:textId="7227ED93" w:rsidR="00803B01" w:rsidRPr="00933D83" w:rsidRDefault="00803B01" w:rsidP="00933D83">
      <w:pPr>
        <w:spacing w:line="276" w:lineRule="auto"/>
        <w:rPr>
          <w:rFonts w:ascii="Arial" w:hAnsi="Arial" w:cs="Arial"/>
          <w:color w:val="7030A0"/>
          <w:sz w:val="22"/>
          <w:szCs w:val="22"/>
        </w:rPr>
      </w:pPr>
      <w:r w:rsidRPr="00933D83">
        <w:rPr>
          <w:rFonts w:ascii="Arial" w:hAnsi="Arial" w:cs="Arial"/>
          <w:sz w:val="22"/>
          <w:szCs w:val="22"/>
        </w:rPr>
        <w:t xml:space="preserve">There has been ongoing concern about tumorigenicity of chronically elevated IGF1 levels. It would therefore seem prudent to maintain IGF1 levels in the mid-normal range for age/pubertal stage and gender. Although the long-term consequences of elevated IGF1 levels during </w:t>
      </w:r>
      <w:r w:rsidRPr="00933D83">
        <w:rPr>
          <w:rFonts w:ascii="Arial" w:hAnsi="Arial" w:cs="Arial"/>
          <w:sz w:val="22"/>
          <w:szCs w:val="22"/>
        </w:rPr>
        <w:lastRenderedPageBreak/>
        <w:t>childhood are not known, some investigators recommend that dose reductions be considered if IGF1 levels are above the normal range</w:t>
      </w:r>
      <w:r w:rsidR="00D25C48" w:rsidRPr="00933D83">
        <w:rPr>
          <w:rFonts w:ascii="Arial" w:hAnsi="Arial" w:cs="Arial"/>
          <w:sz w:val="22"/>
          <w:szCs w:val="22"/>
        </w:rPr>
        <w:t xml:space="preserve"> </w:t>
      </w:r>
      <w:r w:rsidR="00D25C48" w:rsidRPr="00933D83">
        <w:rPr>
          <w:rFonts w:ascii="Arial" w:hAnsi="Arial" w:cs="Arial"/>
          <w:noProof/>
          <w:sz w:val="22"/>
          <w:szCs w:val="22"/>
        </w:rPr>
        <w:t>(</w:t>
      </w:r>
      <w:r w:rsidR="00281CA5" w:rsidRPr="00933D83">
        <w:rPr>
          <w:rFonts w:ascii="Arial" w:hAnsi="Arial" w:cs="Arial"/>
          <w:noProof/>
          <w:sz w:val="22"/>
          <w:szCs w:val="22"/>
        </w:rPr>
        <w:t>8</w:t>
      </w:r>
      <w:r w:rsidR="00D25C48" w:rsidRPr="00933D83">
        <w:rPr>
          <w:rFonts w:ascii="Arial" w:hAnsi="Arial" w:cs="Arial"/>
          <w:noProof/>
          <w:sz w:val="22"/>
          <w:szCs w:val="22"/>
        </w:rPr>
        <w:t>)</w:t>
      </w:r>
      <w:r w:rsidRPr="00933D83">
        <w:rPr>
          <w:rFonts w:ascii="Arial" w:hAnsi="Arial" w:cs="Arial"/>
          <w:sz w:val="22"/>
          <w:szCs w:val="22"/>
        </w:rPr>
        <w:t>.  The report from the Safety and Appropriateness of Growth Hormone Treatments in Europe (SAGhE) in 2012, raised many concerns about the long-term safety of rhGH therapy in children.  SAGhE is a large database established by eight European countries to evaluate the long-term safety of childhood GH treatment between 1980s and 1990s in 30,000 patients.  Preliminary analysis of the patients in France revealed that among patients treated with rhGH, there was a 33% increased relative risk of mortality compared with French general population.  They also noted an increased incidence of bone malignancies and cardiovascular disease</w:t>
      </w:r>
      <w:r w:rsidR="00D25C48" w:rsidRPr="00933D83">
        <w:rPr>
          <w:rFonts w:ascii="Arial" w:hAnsi="Arial" w:cs="Arial"/>
          <w:sz w:val="22"/>
          <w:szCs w:val="22"/>
        </w:rPr>
        <w:t xml:space="preserve"> </w:t>
      </w:r>
      <w:r w:rsidR="00232B3C" w:rsidRPr="00933D83">
        <w:rPr>
          <w:rFonts w:ascii="Arial" w:hAnsi="Arial" w:cs="Arial"/>
          <w:noProof/>
          <w:sz w:val="22"/>
          <w:szCs w:val="22"/>
        </w:rPr>
        <w:t>(</w:t>
      </w:r>
      <w:r w:rsidR="00281CA5" w:rsidRPr="00933D83">
        <w:rPr>
          <w:rFonts w:ascii="Arial" w:hAnsi="Arial" w:cs="Arial"/>
          <w:noProof/>
          <w:sz w:val="22"/>
          <w:szCs w:val="22"/>
        </w:rPr>
        <w:t>266</w:t>
      </w:r>
      <w:r w:rsidR="00232B3C" w:rsidRPr="00933D83">
        <w:rPr>
          <w:rFonts w:ascii="Arial" w:hAnsi="Arial" w:cs="Arial"/>
          <w:noProof/>
          <w:sz w:val="22"/>
          <w:szCs w:val="22"/>
        </w:rPr>
        <w:t>)</w:t>
      </w:r>
      <w:r w:rsidRPr="00933D83">
        <w:rPr>
          <w:rFonts w:ascii="Arial" w:hAnsi="Arial" w:cs="Arial"/>
          <w:color w:val="7030A0"/>
          <w:sz w:val="22"/>
          <w:szCs w:val="22"/>
        </w:rPr>
        <w:t>.</w:t>
      </w:r>
      <w:r w:rsidRPr="00933D83">
        <w:rPr>
          <w:rFonts w:ascii="Arial" w:hAnsi="Arial" w:cs="Arial"/>
          <w:sz w:val="22"/>
          <w:szCs w:val="22"/>
        </w:rPr>
        <w:t xml:space="preserve"> However, the data from the Belgian, Swedish the Dutch portions of SAGhE did not support or corroborate the findings that were reported from France</w:t>
      </w:r>
      <w:r w:rsidRPr="00933D83">
        <w:rPr>
          <w:rFonts w:ascii="Arial" w:hAnsi="Arial" w:cs="Arial"/>
          <w:noProof/>
          <w:sz w:val="22"/>
          <w:szCs w:val="22"/>
        </w:rPr>
        <w:t xml:space="preserve"> </w:t>
      </w:r>
      <w:r w:rsidR="00232B3C" w:rsidRPr="00933D83">
        <w:rPr>
          <w:rFonts w:ascii="Arial" w:hAnsi="Arial" w:cs="Arial"/>
          <w:noProof/>
          <w:sz w:val="22"/>
          <w:szCs w:val="22"/>
        </w:rPr>
        <w:t>(</w:t>
      </w:r>
      <w:r w:rsidR="00281CA5" w:rsidRPr="00933D83">
        <w:rPr>
          <w:rFonts w:ascii="Arial" w:hAnsi="Arial" w:cs="Arial"/>
          <w:noProof/>
          <w:sz w:val="22"/>
          <w:szCs w:val="22"/>
        </w:rPr>
        <w:t>267</w:t>
      </w:r>
      <w:r w:rsidR="00232B3C" w:rsidRPr="00933D83">
        <w:rPr>
          <w:rFonts w:ascii="Arial" w:hAnsi="Arial" w:cs="Arial"/>
          <w:noProof/>
          <w:sz w:val="22"/>
          <w:szCs w:val="22"/>
        </w:rPr>
        <w:t>)</w:t>
      </w:r>
      <w:r w:rsidRPr="00933D83">
        <w:rPr>
          <w:rFonts w:ascii="Arial" w:hAnsi="Arial" w:cs="Arial"/>
          <w:color w:val="7030A0"/>
          <w:sz w:val="22"/>
          <w:szCs w:val="22"/>
        </w:rPr>
        <w:t xml:space="preserve">. </w:t>
      </w:r>
    </w:p>
    <w:p w14:paraId="5DFDE33C" w14:textId="77777777" w:rsidR="00E7109A" w:rsidRPr="0033639F" w:rsidRDefault="00E7109A" w:rsidP="0033639F">
      <w:pPr>
        <w:pStyle w:val="Title1"/>
        <w:spacing w:before="0" w:beforeAutospacing="0" w:after="0" w:afterAutospacing="0" w:line="276" w:lineRule="auto"/>
        <w:rPr>
          <w:rFonts w:ascii="Arial" w:hAnsi="Arial" w:cs="Arial"/>
          <w:color w:val="7030A0"/>
          <w:sz w:val="22"/>
          <w:szCs w:val="22"/>
        </w:rPr>
      </w:pPr>
    </w:p>
    <w:p w14:paraId="70E2DB55" w14:textId="04CD5437" w:rsidR="00803B01" w:rsidRPr="00933D83" w:rsidRDefault="00803B01" w:rsidP="00933D83">
      <w:pPr>
        <w:rPr>
          <w:rFonts w:ascii="Arial" w:hAnsi="Arial" w:cs="Arial"/>
          <w:color w:val="FF0000"/>
          <w:sz w:val="22"/>
          <w:szCs w:val="22"/>
        </w:rPr>
      </w:pPr>
      <w:r w:rsidRPr="00933D83">
        <w:rPr>
          <w:rFonts w:ascii="Arial" w:hAnsi="Arial" w:cs="Arial"/>
          <w:sz w:val="22"/>
          <w:szCs w:val="22"/>
        </w:rPr>
        <w:t xml:space="preserve">Real and Theoretical adverse events of GH therapy are summarized in </w:t>
      </w:r>
      <w:r w:rsidR="00E11291" w:rsidRPr="00933D83">
        <w:rPr>
          <w:rFonts w:ascii="Arial" w:hAnsi="Arial" w:cs="Arial"/>
          <w:sz w:val="22"/>
          <w:szCs w:val="22"/>
        </w:rPr>
        <w:t>Table13</w:t>
      </w:r>
      <w:r w:rsidRPr="00933D83">
        <w:rPr>
          <w:rFonts w:ascii="Arial" w:hAnsi="Arial" w:cs="Arial"/>
          <w:color w:val="FF0000"/>
          <w:sz w:val="22"/>
          <w:szCs w:val="22"/>
        </w:rPr>
        <w:t xml:space="preserve">. </w:t>
      </w:r>
    </w:p>
    <w:p w14:paraId="4CF791D7" w14:textId="77777777" w:rsidR="00E7109A" w:rsidRPr="00933D83" w:rsidRDefault="00E7109A" w:rsidP="00933D83">
      <w:pPr>
        <w:rPr>
          <w:rFonts w:ascii="Arial" w:hAnsi="Arial" w:cs="Arial"/>
          <w:color w:val="FF0000"/>
          <w:sz w:val="22"/>
          <w:szCs w:val="22"/>
        </w:rPr>
      </w:pPr>
    </w:p>
    <w:tbl>
      <w:tblPr>
        <w:tblStyle w:val="TableGrid"/>
        <w:tblW w:w="0" w:type="auto"/>
        <w:tblLook w:val="0000" w:firstRow="0" w:lastRow="0" w:firstColumn="0" w:lastColumn="0" w:noHBand="0" w:noVBand="0"/>
      </w:tblPr>
      <w:tblGrid>
        <w:gridCol w:w="2238"/>
        <w:gridCol w:w="7112"/>
      </w:tblGrid>
      <w:tr w:rsidR="00803B01" w:rsidRPr="0033639F" w14:paraId="44004485" w14:textId="77777777" w:rsidTr="00E7109A">
        <w:tc>
          <w:tcPr>
            <w:tcW w:w="0" w:type="auto"/>
            <w:gridSpan w:val="2"/>
            <w:shd w:val="clear" w:color="auto" w:fill="FFFF00"/>
          </w:tcPr>
          <w:p w14:paraId="4A052F9C" w14:textId="498E62FB" w:rsidR="00803B01" w:rsidRPr="0033639F" w:rsidRDefault="00803B01" w:rsidP="0033639F">
            <w:pPr>
              <w:spacing w:line="276" w:lineRule="auto"/>
              <w:rPr>
                <w:rFonts w:ascii="Arial" w:hAnsi="Arial" w:cs="Arial"/>
                <w:sz w:val="22"/>
                <w:szCs w:val="22"/>
              </w:rPr>
            </w:pPr>
            <w:bookmarkStart w:id="47" w:name="id2504663"/>
            <w:bookmarkEnd w:id="47"/>
            <w:r w:rsidRPr="0033639F">
              <w:rPr>
                <w:rFonts w:ascii="Arial" w:hAnsi="Arial" w:cs="Arial"/>
                <w:b/>
                <w:bCs/>
                <w:sz w:val="22"/>
                <w:szCs w:val="22"/>
              </w:rPr>
              <w:t xml:space="preserve">Table 13.  Real and Theoretical Adverse Events of GH </w:t>
            </w:r>
            <w:r w:rsidR="00E7109A">
              <w:rPr>
                <w:rFonts w:ascii="Arial" w:hAnsi="Arial" w:cs="Arial"/>
                <w:b/>
                <w:bCs/>
                <w:sz w:val="22"/>
                <w:szCs w:val="22"/>
              </w:rPr>
              <w:t>T</w:t>
            </w:r>
            <w:r w:rsidRPr="0033639F">
              <w:rPr>
                <w:rFonts w:ascii="Arial" w:hAnsi="Arial" w:cs="Arial"/>
                <w:b/>
                <w:bCs/>
                <w:sz w:val="22"/>
                <w:szCs w:val="22"/>
              </w:rPr>
              <w:t>reatment</w:t>
            </w:r>
          </w:p>
        </w:tc>
      </w:tr>
      <w:tr w:rsidR="00803B01" w:rsidRPr="0033639F" w14:paraId="61F07ED3" w14:textId="77777777" w:rsidTr="00E7109A">
        <w:tc>
          <w:tcPr>
            <w:tcW w:w="0" w:type="auto"/>
          </w:tcPr>
          <w:p w14:paraId="59517BC8"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Side effects  </w:t>
            </w:r>
          </w:p>
        </w:tc>
        <w:tc>
          <w:tcPr>
            <w:tcW w:w="0" w:type="auto"/>
          </w:tcPr>
          <w:p w14:paraId="26067CDA" w14:textId="77777777" w:rsidR="00803B01" w:rsidRPr="0033639F" w:rsidRDefault="00803B01" w:rsidP="0033639F">
            <w:pPr>
              <w:spacing w:line="276" w:lineRule="auto"/>
              <w:rPr>
                <w:rFonts w:ascii="Arial" w:hAnsi="Arial" w:cs="Arial"/>
                <w:b/>
                <w:bCs/>
                <w:sz w:val="22"/>
                <w:szCs w:val="22"/>
              </w:rPr>
            </w:pPr>
            <w:r w:rsidRPr="0033639F">
              <w:rPr>
                <w:rFonts w:ascii="Arial" w:hAnsi="Arial" w:cs="Arial"/>
                <w:b/>
                <w:bCs/>
                <w:sz w:val="22"/>
                <w:szCs w:val="22"/>
              </w:rPr>
              <w:t xml:space="preserve">Comment </w:t>
            </w:r>
          </w:p>
        </w:tc>
      </w:tr>
      <w:tr w:rsidR="00803B01" w:rsidRPr="0033639F" w14:paraId="0629F782" w14:textId="77777777" w:rsidTr="00E7109A">
        <w:tc>
          <w:tcPr>
            <w:tcW w:w="0" w:type="auto"/>
          </w:tcPr>
          <w:p w14:paraId="623E575E"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Slipped capital femoral epiphysis (SCFE)  </w:t>
            </w:r>
          </w:p>
        </w:tc>
        <w:tc>
          <w:tcPr>
            <w:tcW w:w="0" w:type="auto"/>
          </w:tcPr>
          <w:p w14:paraId="0CAA8E83"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Unclear whether GH causes SCFE or if it is a result of diathesis and rapid growth induced by the GH. In addition, obesity, trauma, and previous radiation exposure increase the risk for SCFE.  At each visit, patients should be evaluated for knee or hip pain/limp. </w:t>
            </w:r>
          </w:p>
        </w:tc>
      </w:tr>
      <w:tr w:rsidR="00803B01" w:rsidRPr="0033639F" w14:paraId="63231C97" w14:textId="77777777" w:rsidTr="00E7109A">
        <w:tc>
          <w:tcPr>
            <w:tcW w:w="0" w:type="auto"/>
          </w:tcPr>
          <w:p w14:paraId="1308E762"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Pseudotumor cerebri  </w:t>
            </w:r>
          </w:p>
        </w:tc>
        <w:tc>
          <w:tcPr>
            <w:tcW w:w="0" w:type="auto"/>
          </w:tcPr>
          <w:p w14:paraId="57A15412" w14:textId="0A073E69"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The mechanism is unclear, but it may be a result of GH induced salt and water retention within the CNS. Mostly occurs within the first months of treatment.  It is more common in patients with organic GH deficiency, chronic renal insufficiency, and Turner Syndrome</w:t>
            </w:r>
            <w:r w:rsidR="00D25C48" w:rsidRPr="0033639F">
              <w:rPr>
                <w:rFonts w:ascii="Arial" w:hAnsi="Arial" w:cs="Arial"/>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257</w:t>
            </w:r>
            <w:r w:rsidR="00232B3C" w:rsidRPr="0033639F">
              <w:rPr>
                <w:rFonts w:ascii="Arial" w:hAnsi="Arial" w:cs="Arial"/>
                <w:noProof/>
                <w:sz w:val="22"/>
                <w:szCs w:val="22"/>
              </w:rPr>
              <w:t>)</w:t>
            </w:r>
            <w:r w:rsidRPr="0033639F">
              <w:rPr>
                <w:rFonts w:ascii="Arial" w:hAnsi="Arial" w:cs="Arial"/>
                <w:color w:val="7030A0"/>
                <w:sz w:val="22"/>
                <w:szCs w:val="22"/>
              </w:rPr>
              <w:t>.</w:t>
            </w:r>
            <w:r w:rsidRPr="0033639F">
              <w:rPr>
                <w:rFonts w:ascii="Arial" w:hAnsi="Arial" w:cs="Arial"/>
                <w:sz w:val="22"/>
                <w:szCs w:val="22"/>
              </w:rPr>
              <w:t xml:space="preserve">  Complaints of headache, nausea, dizziness, ataxia, or visual changes should be evaluated immediately. </w:t>
            </w:r>
          </w:p>
        </w:tc>
      </w:tr>
      <w:tr w:rsidR="00803B01" w:rsidRPr="0033639F" w14:paraId="5032668C" w14:textId="77777777" w:rsidTr="00E7109A">
        <w:tc>
          <w:tcPr>
            <w:tcW w:w="0" w:type="auto"/>
          </w:tcPr>
          <w:p w14:paraId="550CB5D4"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Leukemia  </w:t>
            </w:r>
          </w:p>
        </w:tc>
        <w:tc>
          <w:tcPr>
            <w:tcW w:w="0" w:type="auto"/>
          </w:tcPr>
          <w:p w14:paraId="63A87236" w14:textId="49CC2E1B"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Numerous large studies have not shown any association between rhGH and leukemia in children without predisposing conditions</w:t>
            </w:r>
            <w:r w:rsidR="00D25C48" w:rsidRPr="0033639F">
              <w:rPr>
                <w:rFonts w:ascii="Arial" w:hAnsi="Arial" w:cs="Arial"/>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254</w:t>
            </w:r>
            <w:r w:rsidR="00232B3C" w:rsidRPr="0033639F">
              <w:rPr>
                <w:rFonts w:ascii="Arial" w:hAnsi="Arial" w:cs="Arial"/>
                <w:noProof/>
                <w:sz w:val="22"/>
                <w:szCs w:val="22"/>
              </w:rPr>
              <w:t>,</w:t>
            </w:r>
            <w:r w:rsidR="00281CA5" w:rsidRPr="0033639F">
              <w:rPr>
                <w:rFonts w:ascii="Arial" w:hAnsi="Arial" w:cs="Arial"/>
                <w:noProof/>
                <w:sz w:val="22"/>
                <w:szCs w:val="22"/>
              </w:rPr>
              <w:t>257</w:t>
            </w:r>
            <w:r w:rsidR="00232B3C" w:rsidRPr="0033639F">
              <w:rPr>
                <w:rFonts w:ascii="Arial" w:hAnsi="Arial" w:cs="Arial"/>
                <w:noProof/>
                <w:sz w:val="22"/>
                <w:szCs w:val="22"/>
              </w:rPr>
              <w:t>,</w:t>
            </w:r>
            <w:r w:rsidR="00281CA5" w:rsidRPr="0033639F">
              <w:rPr>
                <w:rFonts w:ascii="Arial" w:hAnsi="Arial" w:cs="Arial"/>
                <w:noProof/>
                <w:sz w:val="22"/>
                <w:szCs w:val="22"/>
              </w:rPr>
              <w:t>268</w:t>
            </w:r>
            <w:r w:rsidR="00232B3C" w:rsidRPr="0033639F">
              <w:rPr>
                <w:rFonts w:ascii="Arial" w:hAnsi="Arial" w:cs="Arial"/>
                <w:noProof/>
                <w:sz w:val="22"/>
                <w:szCs w:val="22"/>
              </w:rPr>
              <w:t>)</w:t>
            </w:r>
            <w:r w:rsidRPr="0033639F">
              <w:rPr>
                <w:rFonts w:ascii="Arial" w:hAnsi="Arial" w:cs="Arial"/>
                <w:sz w:val="22"/>
                <w:szCs w:val="22"/>
              </w:rPr>
              <w:t xml:space="preserve">. </w:t>
            </w:r>
          </w:p>
        </w:tc>
      </w:tr>
      <w:tr w:rsidR="00803B01" w:rsidRPr="0033639F" w14:paraId="0429CAE6" w14:textId="77777777" w:rsidTr="00E7109A">
        <w:tc>
          <w:tcPr>
            <w:tcW w:w="0" w:type="auto"/>
          </w:tcPr>
          <w:p w14:paraId="3894D609"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Recurrence risk of CNS tumors  </w:t>
            </w:r>
          </w:p>
        </w:tc>
        <w:tc>
          <w:tcPr>
            <w:tcW w:w="0" w:type="auto"/>
          </w:tcPr>
          <w:p w14:paraId="40E3F48E" w14:textId="1F819382"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Extensive studies did not support this possible side effect without risk factors</w:t>
            </w:r>
            <w:r w:rsidR="00D25C48" w:rsidRPr="0033639F">
              <w:rPr>
                <w:rFonts w:ascii="Arial" w:hAnsi="Arial" w:cs="Arial"/>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253</w:t>
            </w:r>
            <w:r w:rsidR="00232B3C" w:rsidRPr="0033639F">
              <w:rPr>
                <w:rFonts w:ascii="Arial" w:hAnsi="Arial" w:cs="Arial"/>
                <w:noProof/>
                <w:sz w:val="22"/>
                <w:szCs w:val="22"/>
              </w:rPr>
              <w:t>,</w:t>
            </w:r>
            <w:r w:rsidR="00281CA5" w:rsidRPr="0033639F">
              <w:rPr>
                <w:rFonts w:ascii="Arial" w:hAnsi="Arial" w:cs="Arial"/>
                <w:noProof/>
                <w:sz w:val="22"/>
                <w:szCs w:val="22"/>
              </w:rPr>
              <w:t>257</w:t>
            </w:r>
            <w:r w:rsidR="00232B3C" w:rsidRPr="0033639F">
              <w:rPr>
                <w:rFonts w:ascii="Arial" w:hAnsi="Arial" w:cs="Arial"/>
                <w:noProof/>
                <w:sz w:val="22"/>
                <w:szCs w:val="22"/>
              </w:rPr>
              <w:t>,</w:t>
            </w:r>
            <w:r w:rsidR="00281CA5" w:rsidRPr="0033639F">
              <w:rPr>
                <w:rFonts w:ascii="Arial" w:hAnsi="Arial" w:cs="Arial"/>
                <w:noProof/>
                <w:sz w:val="22"/>
                <w:szCs w:val="22"/>
              </w:rPr>
              <w:t>269</w:t>
            </w:r>
            <w:r w:rsidR="00232B3C" w:rsidRPr="0033639F">
              <w:rPr>
                <w:rFonts w:ascii="Arial" w:hAnsi="Arial" w:cs="Arial"/>
                <w:noProof/>
                <w:sz w:val="22"/>
                <w:szCs w:val="22"/>
              </w:rPr>
              <w:t>–</w:t>
            </w:r>
            <w:r w:rsidR="00281CA5" w:rsidRPr="0033639F">
              <w:rPr>
                <w:rFonts w:ascii="Arial" w:hAnsi="Arial" w:cs="Arial"/>
                <w:noProof/>
                <w:sz w:val="22"/>
                <w:szCs w:val="22"/>
              </w:rPr>
              <w:t>272</w:t>
            </w:r>
            <w:r w:rsidR="00232B3C" w:rsidRPr="0033639F">
              <w:rPr>
                <w:rFonts w:ascii="Arial" w:hAnsi="Arial" w:cs="Arial"/>
                <w:noProof/>
                <w:sz w:val="22"/>
                <w:szCs w:val="22"/>
              </w:rPr>
              <w:t>)</w:t>
            </w:r>
            <w:hyperlink w:anchor="_ENREF_176" w:tooltip="Ergun-Longmire, 2006 #78" w:history="1"/>
          </w:p>
        </w:tc>
      </w:tr>
      <w:tr w:rsidR="00803B01" w:rsidRPr="0033639F" w14:paraId="52D51D88" w14:textId="77777777" w:rsidTr="00E7109A">
        <w:tc>
          <w:tcPr>
            <w:tcW w:w="0" w:type="auto"/>
          </w:tcPr>
          <w:p w14:paraId="52598ED4"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Risk of primary malignancy </w:t>
            </w:r>
          </w:p>
        </w:tc>
        <w:tc>
          <w:tcPr>
            <w:tcW w:w="0" w:type="auto"/>
          </w:tcPr>
          <w:p w14:paraId="50C93A79" w14:textId="0C56EC8A" w:rsidR="00803B01" w:rsidRPr="0033639F" w:rsidRDefault="00803B01" w:rsidP="0033639F">
            <w:pPr>
              <w:shd w:val="clear" w:color="auto" w:fill="FFFFFF"/>
              <w:spacing w:line="276" w:lineRule="auto"/>
              <w:rPr>
                <w:rFonts w:ascii="Arial" w:hAnsi="Arial" w:cs="Arial"/>
                <w:sz w:val="22"/>
                <w:szCs w:val="22"/>
              </w:rPr>
            </w:pPr>
            <w:r w:rsidRPr="0033639F">
              <w:rPr>
                <w:rFonts w:ascii="Arial" w:hAnsi="Arial" w:cs="Arial"/>
                <w:sz w:val="22"/>
                <w:szCs w:val="22"/>
              </w:rPr>
              <w:t>Studies have not shown a higher risk of all-site primary malignancy without a history of previous malignancy</w:t>
            </w:r>
            <w:r w:rsidR="00520D74" w:rsidRPr="0033639F">
              <w:rPr>
                <w:rFonts w:ascii="Arial" w:hAnsi="Arial" w:cs="Arial"/>
                <w:sz w:val="22"/>
                <w:szCs w:val="22"/>
              </w:rPr>
              <w:t xml:space="preserve"> </w:t>
            </w:r>
            <w:r w:rsidR="00232B3C" w:rsidRPr="0033639F">
              <w:rPr>
                <w:rFonts w:ascii="Arial" w:hAnsi="Arial" w:cs="Arial"/>
                <w:noProof/>
                <w:sz w:val="22"/>
                <w:szCs w:val="22"/>
              </w:rPr>
              <w:t>(2</w:t>
            </w:r>
            <w:r w:rsidR="00281CA5" w:rsidRPr="0033639F">
              <w:rPr>
                <w:rFonts w:ascii="Arial" w:hAnsi="Arial" w:cs="Arial"/>
                <w:noProof/>
                <w:sz w:val="22"/>
                <w:szCs w:val="22"/>
              </w:rPr>
              <w:t>73</w:t>
            </w:r>
            <w:r w:rsidR="00232B3C" w:rsidRPr="0033639F">
              <w:rPr>
                <w:rFonts w:ascii="Arial" w:hAnsi="Arial" w:cs="Arial"/>
                <w:noProof/>
                <w:sz w:val="22"/>
                <w:szCs w:val="22"/>
              </w:rPr>
              <w:t>,2</w:t>
            </w:r>
            <w:r w:rsidR="00281CA5" w:rsidRPr="0033639F">
              <w:rPr>
                <w:rFonts w:ascii="Arial" w:hAnsi="Arial" w:cs="Arial"/>
                <w:noProof/>
                <w:sz w:val="22"/>
                <w:szCs w:val="22"/>
              </w:rPr>
              <w:t>74</w:t>
            </w:r>
            <w:r w:rsidR="00232B3C" w:rsidRPr="0033639F">
              <w:rPr>
                <w:rFonts w:ascii="Arial" w:hAnsi="Arial" w:cs="Arial"/>
                <w:noProof/>
                <w:sz w:val="22"/>
                <w:szCs w:val="22"/>
              </w:rPr>
              <w:t>)</w:t>
            </w:r>
            <w:r w:rsidRPr="0033639F">
              <w:rPr>
                <w:rFonts w:ascii="Arial" w:hAnsi="Arial" w:cs="Arial"/>
                <w:sz w:val="22"/>
                <w:szCs w:val="22"/>
              </w:rPr>
              <w:t xml:space="preserve"> </w:t>
            </w:r>
          </w:p>
        </w:tc>
      </w:tr>
      <w:tr w:rsidR="00803B01" w:rsidRPr="0033639F" w14:paraId="0ADBAB2B" w14:textId="77777777" w:rsidTr="00E7109A">
        <w:tc>
          <w:tcPr>
            <w:tcW w:w="0" w:type="auto"/>
          </w:tcPr>
          <w:p w14:paraId="54DAC19F"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Insulin resistance  </w:t>
            </w:r>
          </w:p>
        </w:tc>
        <w:tc>
          <w:tcPr>
            <w:tcW w:w="0" w:type="auto"/>
          </w:tcPr>
          <w:p w14:paraId="6742DB1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Insulin resistance is associated with GH therapy, though it is generally transient and/or reversible and rarely leads to overt diabetes.  Patients with a limited insulin reserve may develop glucose intolerance. HbA1C should be monitored. </w:t>
            </w:r>
          </w:p>
        </w:tc>
      </w:tr>
      <w:tr w:rsidR="00803B01" w:rsidRPr="0033639F" w14:paraId="0FD8C19B" w14:textId="77777777" w:rsidTr="00E7109A">
        <w:tc>
          <w:tcPr>
            <w:tcW w:w="0" w:type="auto"/>
          </w:tcPr>
          <w:p w14:paraId="284251BC"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Pancreatitis</w:t>
            </w:r>
          </w:p>
        </w:tc>
        <w:tc>
          <w:tcPr>
            <w:tcW w:w="0" w:type="auto"/>
          </w:tcPr>
          <w:p w14:paraId="13466D38" w14:textId="4C4AD091"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It may occur in patients with Turner syndrome, and associated risk factors</w:t>
            </w:r>
            <w:r w:rsidR="00520D74" w:rsidRPr="0033639F">
              <w:rPr>
                <w:rFonts w:ascii="Arial" w:hAnsi="Arial" w:cs="Arial"/>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257</w:t>
            </w:r>
            <w:r w:rsidR="00232B3C" w:rsidRPr="0033639F">
              <w:rPr>
                <w:rFonts w:ascii="Arial" w:hAnsi="Arial" w:cs="Arial"/>
                <w:noProof/>
                <w:sz w:val="22"/>
                <w:szCs w:val="22"/>
              </w:rPr>
              <w:t>)</w:t>
            </w:r>
            <w:r w:rsidRPr="0033639F">
              <w:rPr>
                <w:rFonts w:ascii="Arial" w:hAnsi="Arial" w:cs="Arial"/>
                <w:sz w:val="22"/>
                <w:szCs w:val="22"/>
              </w:rPr>
              <w:t>.</w:t>
            </w:r>
          </w:p>
        </w:tc>
      </w:tr>
      <w:tr w:rsidR="00803B01" w:rsidRPr="0033639F" w14:paraId="6768ED1F" w14:textId="77777777" w:rsidTr="00E7109A">
        <w:tc>
          <w:tcPr>
            <w:tcW w:w="0" w:type="auto"/>
          </w:tcPr>
          <w:p w14:paraId="09881CFF"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Hypothyroidism  </w:t>
            </w:r>
          </w:p>
        </w:tc>
        <w:tc>
          <w:tcPr>
            <w:tcW w:w="0" w:type="auto"/>
          </w:tcPr>
          <w:p w14:paraId="45CD1344"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Almost 25 % of children may develop declines in serum T4 levels, generally reflecting enhanced conversion of T4 to T3, rather than outright hypothyroidism. </w:t>
            </w:r>
          </w:p>
        </w:tc>
      </w:tr>
      <w:tr w:rsidR="00803B01" w:rsidRPr="0033639F" w14:paraId="2EE90F5A" w14:textId="77777777" w:rsidTr="00E7109A">
        <w:tc>
          <w:tcPr>
            <w:tcW w:w="0" w:type="auto"/>
          </w:tcPr>
          <w:p w14:paraId="3F5D9ACC"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Transient gynecomastia  </w:t>
            </w:r>
          </w:p>
        </w:tc>
        <w:tc>
          <w:tcPr>
            <w:tcW w:w="0" w:type="auto"/>
          </w:tcPr>
          <w:p w14:paraId="05086A77"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These are attributed to anabolic and metabolic effects of GH. </w:t>
            </w:r>
          </w:p>
        </w:tc>
      </w:tr>
      <w:tr w:rsidR="00803B01" w:rsidRPr="0033639F" w14:paraId="6CC245B4" w14:textId="77777777" w:rsidTr="00E7109A">
        <w:tc>
          <w:tcPr>
            <w:tcW w:w="0" w:type="auto"/>
          </w:tcPr>
          <w:p w14:paraId="3DFECB68"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lastRenderedPageBreak/>
              <w:t xml:space="preserve">Scoliosis  </w:t>
            </w:r>
          </w:p>
        </w:tc>
        <w:tc>
          <w:tcPr>
            <w:tcW w:w="0" w:type="auto"/>
          </w:tcPr>
          <w:p w14:paraId="72CE3B35"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It is more common in Turner syndrome and PWS.  Patients should be evaluated for scoliosis at each visit and referred as appropriate </w:t>
            </w:r>
          </w:p>
        </w:tc>
      </w:tr>
      <w:tr w:rsidR="00803B01" w:rsidRPr="0033639F" w14:paraId="10E7613A" w14:textId="77777777" w:rsidTr="00E7109A">
        <w:tc>
          <w:tcPr>
            <w:tcW w:w="0" w:type="auto"/>
          </w:tcPr>
          <w:p w14:paraId="73F9087E"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Adrenal Insufficiency</w:t>
            </w:r>
          </w:p>
        </w:tc>
        <w:tc>
          <w:tcPr>
            <w:tcW w:w="0" w:type="auto"/>
          </w:tcPr>
          <w:p w14:paraId="33C7BE96" w14:textId="501498C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GH decreases the conversion of corticosterone to cortisol by a modulating effect on hepatic 11-beta hydroxysteroid dehydrogenase 1. Thus, endogenous cortisol levels can decrease in GHD patients after initiation of GH treatment. Furthermore, GH therapy may unmask previously unsuspected central ACTH deficiency.  Whether the patients with hypopituitarism are on GH or not, they have a lifelong risk for adrenal insufficiency.  Therefore, they should be monitored closely for adrenal insufficiency and their cortisol dose should be adjusted when GH therapy is started</w:t>
            </w:r>
            <w:r w:rsidR="00520D74" w:rsidRPr="0033639F">
              <w:rPr>
                <w:rFonts w:ascii="Arial" w:hAnsi="Arial" w:cs="Arial"/>
                <w:sz w:val="22"/>
                <w:szCs w:val="22"/>
              </w:rPr>
              <w:t xml:space="preserve"> </w:t>
            </w:r>
            <w:r w:rsidR="00232B3C" w:rsidRPr="0033639F">
              <w:rPr>
                <w:rFonts w:ascii="Arial" w:hAnsi="Arial" w:cs="Arial"/>
                <w:noProof/>
                <w:sz w:val="22"/>
                <w:szCs w:val="22"/>
              </w:rPr>
              <w:t>(</w:t>
            </w:r>
            <w:r w:rsidR="00281CA5" w:rsidRPr="0033639F">
              <w:rPr>
                <w:rFonts w:ascii="Arial" w:hAnsi="Arial" w:cs="Arial"/>
                <w:noProof/>
                <w:sz w:val="22"/>
                <w:szCs w:val="22"/>
              </w:rPr>
              <w:t>257</w:t>
            </w:r>
            <w:r w:rsidR="00232B3C" w:rsidRPr="0033639F">
              <w:rPr>
                <w:rFonts w:ascii="Arial" w:hAnsi="Arial" w:cs="Arial"/>
                <w:noProof/>
                <w:sz w:val="22"/>
                <w:szCs w:val="22"/>
              </w:rPr>
              <w:t>)</w:t>
            </w:r>
            <w:r w:rsidRPr="0033639F">
              <w:rPr>
                <w:rFonts w:ascii="Arial" w:hAnsi="Arial" w:cs="Arial"/>
                <w:sz w:val="22"/>
                <w:szCs w:val="22"/>
              </w:rPr>
              <w:t xml:space="preserve">. </w:t>
            </w:r>
          </w:p>
        </w:tc>
      </w:tr>
      <w:tr w:rsidR="00803B01" w:rsidRPr="0033639F" w14:paraId="08C039EB" w14:textId="77777777" w:rsidTr="00E7109A">
        <w:tc>
          <w:tcPr>
            <w:tcW w:w="0" w:type="auto"/>
          </w:tcPr>
          <w:p w14:paraId="1789B4A8"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Sleep apnea/sleep disturbance </w:t>
            </w:r>
          </w:p>
        </w:tc>
        <w:tc>
          <w:tcPr>
            <w:tcW w:w="0" w:type="auto"/>
          </w:tcPr>
          <w:p w14:paraId="18E4488E" w14:textId="77777777" w:rsidR="00803B01" w:rsidRPr="0033639F" w:rsidRDefault="00803B01" w:rsidP="0033639F">
            <w:pPr>
              <w:spacing w:line="276" w:lineRule="auto"/>
              <w:rPr>
                <w:rFonts w:ascii="Arial" w:hAnsi="Arial" w:cs="Arial"/>
                <w:sz w:val="22"/>
                <w:szCs w:val="22"/>
              </w:rPr>
            </w:pPr>
            <w:r w:rsidRPr="0033639F">
              <w:rPr>
                <w:rFonts w:ascii="Arial" w:hAnsi="Arial" w:cs="Arial"/>
                <w:sz w:val="22"/>
                <w:szCs w:val="22"/>
              </w:rPr>
              <w:t xml:space="preserve">GH treatment might worsen sleep apnea/sleep disturbance in patients with Prader-Willi Syndrome, especially during a concomitant respiratory infection. </w:t>
            </w:r>
          </w:p>
        </w:tc>
      </w:tr>
    </w:tbl>
    <w:p w14:paraId="517AA70A" w14:textId="77777777" w:rsidR="00803B01" w:rsidRPr="0033639F" w:rsidRDefault="00803B01" w:rsidP="0033639F">
      <w:pPr>
        <w:spacing w:line="276" w:lineRule="auto"/>
        <w:outlineLvl w:val="1"/>
        <w:rPr>
          <w:rFonts w:ascii="Arial" w:hAnsi="Arial" w:cs="Arial"/>
          <w:sz w:val="22"/>
          <w:szCs w:val="22"/>
          <w:highlight w:val="yellow"/>
        </w:rPr>
      </w:pPr>
    </w:p>
    <w:p w14:paraId="69670D16" w14:textId="77777777" w:rsidR="00803B01" w:rsidRPr="00E7109A" w:rsidRDefault="00803B01" w:rsidP="0033639F">
      <w:pPr>
        <w:spacing w:line="276" w:lineRule="auto"/>
        <w:rPr>
          <w:rFonts w:ascii="Arial" w:eastAsia="Calibri" w:hAnsi="Arial" w:cs="Arial"/>
          <w:color w:val="00B050"/>
          <w:sz w:val="22"/>
          <w:szCs w:val="22"/>
        </w:rPr>
      </w:pPr>
      <w:r w:rsidRPr="00E7109A">
        <w:rPr>
          <w:rFonts w:ascii="Arial" w:eastAsia="Calibri" w:hAnsi="Arial" w:cs="Arial"/>
          <w:b/>
          <w:bCs/>
          <w:color w:val="00B050"/>
          <w:sz w:val="22"/>
          <w:szCs w:val="22"/>
        </w:rPr>
        <w:t xml:space="preserve">Transitioning GH Treatment from Childhood to Adulthood </w:t>
      </w:r>
    </w:p>
    <w:p w14:paraId="7900B007" w14:textId="77777777" w:rsidR="00E7109A" w:rsidRDefault="00E7109A" w:rsidP="0033639F">
      <w:pPr>
        <w:shd w:val="clear" w:color="auto" w:fill="FFFFFF"/>
        <w:spacing w:line="276" w:lineRule="auto"/>
        <w:rPr>
          <w:rFonts w:ascii="Arial" w:eastAsia="Calibri" w:hAnsi="Arial" w:cs="Arial"/>
          <w:sz w:val="22"/>
          <w:szCs w:val="22"/>
        </w:rPr>
      </w:pPr>
    </w:p>
    <w:p w14:paraId="316DF8C2" w14:textId="76781D15" w:rsidR="00803B01" w:rsidRPr="0033639F" w:rsidRDefault="00803B01" w:rsidP="0033639F">
      <w:pPr>
        <w:shd w:val="clear" w:color="auto" w:fill="FFFFFF"/>
        <w:spacing w:line="276" w:lineRule="auto"/>
        <w:rPr>
          <w:rFonts w:ascii="Arial" w:eastAsia="Calibri" w:hAnsi="Arial" w:cs="Arial"/>
          <w:sz w:val="22"/>
          <w:szCs w:val="22"/>
        </w:rPr>
      </w:pPr>
      <w:r w:rsidRPr="0033639F">
        <w:rPr>
          <w:rFonts w:ascii="Arial" w:eastAsia="Calibri" w:hAnsi="Arial" w:cs="Arial"/>
          <w:sz w:val="22"/>
          <w:szCs w:val="22"/>
        </w:rPr>
        <w:t>Growing data support the need for continuation of GH treatment in individuals with childhood GH deficiency.  GH treatment provides significant benefits in body composition, bone mineralization, lean body mass, lipid metabolism, and quality of life in adults with GH deficiency</w:t>
      </w:r>
      <w:r w:rsidRPr="0033639F">
        <w:rPr>
          <w:rFonts w:ascii="Arial" w:eastAsia="Calibri" w:hAnsi="Arial" w:cs="Arial"/>
          <w:noProof/>
          <w:sz w:val="22"/>
          <w:szCs w:val="22"/>
        </w:rPr>
        <w:t xml:space="preserve"> </w:t>
      </w:r>
      <w:r w:rsidR="00232B3C" w:rsidRPr="0033639F">
        <w:rPr>
          <w:rFonts w:ascii="Arial" w:eastAsia="Calibri" w:hAnsi="Arial" w:cs="Arial"/>
          <w:noProof/>
          <w:sz w:val="22"/>
          <w:szCs w:val="22"/>
        </w:rPr>
        <w:t>(</w:t>
      </w:r>
      <w:r w:rsidR="00691EE1" w:rsidRPr="0033639F">
        <w:rPr>
          <w:rFonts w:ascii="Arial" w:eastAsia="Calibri" w:hAnsi="Arial" w:cs="Arial"/>
          <w:noProof/>
          <w:sz w:val="22"/>
          <w:szCs w:val="22"/>
        </w:rPr>
        <w:t>275</w:t>
      </w:r>
      <w:r w:rsidR="00232B3C" w:rsidRPr="0033639F">
        <w:rPr>
          <w:rFonts w:ascii="Arial" w:eastAsia="Calibri" w:hAnsi="Arial" w:cs="Arial"/>
          <w:noProof/>
          <w:sz w:val="22"/>
          <w:szCs w:val="22"/>
        </w:rPr>
        <w:t>,2</w:t>
      </w:r>
      <w:r w:rsidR="00691EE1" w:rsidRPr="0033639F">
        <w:rPr>
          <w:rFonts w:ascii="Arial" w:eastAsia="Calibri" w:hAnsi="Arial" w:cs="Arial"/>
          <w:noProof/>
          <w:sz w:val="22"/>
          <w:szCs w:val="22"/>
        </w:rPr>
        <w:t>76</w:t>
      </w:r>
      <w:r w:rsidR="00232B3C" w:rsidRPr="0033639F">
        <w:rPr>
          <w:rFonts w:ascii="Arial" w:eastAsia="Calibri" w:hAnsi="Arial" w:cs="Arial"/>
          <w:noProof/>
          <w:sz w:val="22"/>
          <w:szCs w:val="22"/>
        </w:rPr>
        <w:t>)</w:t>
      </w:r>
      <w:r w:rsidRPr="0033639F">
        <w:rPr>
          <w:rFonts w:ascii="Arial" w:eastAsia="Calibri" w:hAnsi="Arial" w:cs="Arial"/>
          <w:sz w:val="22"/>
          <w:szCs w:val="22"/>
        </w:rPr>
        <w:t>. However, identifying appropriate patients for transitioning from childhood to adult GH therapy remains challenging. The majority of children with a diagnosis of GHD and who are treated with GH do not have permanent GHD and will not require treatment during adulthood.  Re-evaluation of GH secretory capacity is recommended after completion of linear growth in adolescents with history of childhood GHD</w:t>
      </w:r>
      <w:r w:rsidRPr="0033639F">
        <w:rPr>
          <w:rFonts w:ascii="Arial" w:eastAsia="Calibri" w:hAnsi="Arial" w:cs="Arial"/>
          <w:noProof/>
          <w:sz w:val="22"/>
          <w:szCs w:val="22"/>
        </w:rPr>
        <w:t xml:space="preserve"> </w:t>
      </w:r>
      <w:r w:rsidR="00232B3C" w:rsidRPr="0033639F">
        <w:rPr>
          <w:rFonts w:ascii="Arial" w:eastAsia="Calibri" w:hAnsi="Arial" w:cs="Arial"/>
          <w:noProof/>
          <w:sz w:val="22"/>
          <w:szCs w:val="22"/>
        </w:rPr>
        <w:t>(</w:t>
      </w:r>
      <w:r w:rsidR="00691EE1" w:rsidRPr="0033639F">
        <w:rPr>
          <w:rFonts w:ascii="Arial" w:eastAsia="Calibri" w:hAnsi="Arial" w:cs="Arial"/>
          <w:noProof/>
          <w:sz w:val="22"/>
          <w:szCs w:val="22"/>
        </w:rPr>
        <w:t>277</w:t>
      </w:r>
      <w:r w:rsidR="00232B3C" w:rsidRPr="0033639F">
        <w:rPr>
          <w:rFonts w:ascii="Arial" w:eastAsia="Calibri" w:hAnsi="Arial" w:cs="Arial"/>
          <w:noProof/>
          <w:sz w:val="22"/>
          <w:szCs w:val="22"/>
        </w:rPr>
        <w:t>)</w:t>
      </w:r>
      <w:r w:rsidRPr="0033639F">
        <w:rPr>
          <w:rFonts w:ascii="Arial" w:eastAsia="Calibri" w:hAnsi="Arial" w:cs="Arial"/>
          <w:sz w:val="22"/>
          <w:szCs w:val="22"/>
        </w:rPr>
        <w:t xml:space="preserve">. However, such re-evaluation requires cessation of GH treatment for at least one month.  Furthermore, there is no established optimal GH stimulation test identified and validated during this transition period.  The stimulation test results vary by protocol, and only a few secretagogues (insulin, arginine, and glucagon) are available to confirm GHD.  The cut-off values are also </w:t>
      </w:r>
      <w:r w:rsidR="005917AD" w:rsidRPr="0033639F">
        <w:rPr>
          <w:rFonts w:ascii="Arial" w:eastAsia="Calibri" w:hAnsi="Arial" w:cs="Arial"/>
          <w:sz w:val="22"/>
          <w:szCs w:val="22"/>
        </w:rPr>
        <w:t>stricter</w:t>
      </w:r>
      <w:r w:rsidRPr="0033639F">
        <w:rPr>
          <w:rFonts w:ascii="Arial" w:eastAsia="Calibri" w:hAnsi="Arial" w:cs="Arial"/>
          <w:sz w:val="22"/>
          <w:szCs w:val="22"/>
        </w:rPr>
        <w:t>; the peak GH level to establish GHD is &lt;6 mcg/L for the insulin tolerance test and ≤ 3 mcg/L for the glucagon test in young adults</w:t>
      </w:r>
      <w:r w:rsidR="00520D74" w:rsidRPr="0033639F">
        <w:rPr>
          <w:rFonts w:ascii="Arial" w:eastAsia="Calibri" w:hAnsi="Arial" w:cs="Arial"/>
          <w:sz w:val="22"/>
          <w:szCs w:val="22"/>
        </w:rPr>
        <w:t xml:space="preserve"> </w:t>
      </w:r>
      <w:r w:rsidR="00232B3C" w:rsidRPr="0033639F">
        <w:rPr>
          <w:rFonts w:ascii="Arial" w:eastAsia="Calibri" w:hAnsi="Arial" w:cs="Arial"/>
          <w:noProof/>
          <w:sz w:val="22"/>
          <w:szCs w:val="22"/>
        </w:rPr>
        <w:t>(2</w:t>
      </w:r>
      <w:r w:rsidR="00691EE1" w:rsidRPr="0033639F">
        <w:rPr>
          <w:rFonts w:ascii="Arial" w:eastAsia="Calibri" w:hAnsi="Arial" w:cs="Arial"/>
          <w:noProof/>
          <w:sz w:val="22"/>
          <w:szCs w:val="22"/>
        </w:rPr>
        <w:t>78</w:t>
      </w:r>
      <w:r w:rsidR="00232B3C" w:rsidRPr="0033639F">
        <w:rPr>
          <w:rFonts w:ascii="Arial" w:eastAsia="Calibri" w:hAnsi="Arial" w:cs="Arial"/>
          <w:noProof/>
          <w:sz w:val="22"/>
          <w:szCs w:val="22"/>
        </w:rPr>
        <w:t>,2</w:t>
      </w:r>
      <w:r w:rsidR="00691EE1" w:rsidRPr="0033639F">
        <w:rPr>
          <w:rFonts w:ascii="Arial" w:eastAsia="Calibri" w:hAnsi="Arial" w:cs="Arial"/>
          <w:noProof/>
          <w:sz w:val="22"/>
          <w:szCs w:val="22"/>
        </w:rPr>
        <w:t>79</w:t>
      </w:r>
      <w:r w:rsidR="00232B3C" w:rsidRPr="0033639F">
        <w:rPr>
          <w:rFonts w:ascii="Arial" w:eastAsia="Calibri" w:hAnsi="Arial" w:cs="Arial"/>
          <w:noProof/>
          <w:sz w:val="22"/>
          <w:szCs w:val="22"/>
        </w:rPr>
        <w:t>)</w:t>
      </w:r>
      <w:r w:rsidRPr="0033639F">
        <w:rPr>
          <w:rFonts w:ascii="Arial" w:eastAsia="Calibri" w:hAnsi="Arial" w:cs="Arial"/>
          <w:sz w:val="22"/>
          <w:szCs w:val="22"/>
        </w:rPr>
        <w:t>.  It is generally agreed that patients with severe GHD secondary to organic defects (hypothalamic-pituitary abnormalities, tumors involving pituitary or hypothalamic area, infiltrative diseases, and cranial irradiation), genetic causes of GHD involving one or more additional pituitary hormone deficiencies and serum IGF-1 level below the normal range at least one month off therapy, are more likely to have permanent GHD and retesting to confirm GHD is unnecessary</w:t>
      </w:r>
      <w:r w:rsidRPr="0033639F">
        <w:rPr>
          <w:rFonts w:ascii="Arial" w:eastAsia="Calibri" w:hAnsi="Arial" w:cs="Arial"/>
          <w:noProof/>
          <w:sz w:val="22"/>
          <w:szCs w:val="22"/>
        </w:rPr>
        <w:t xml:space="preserve"> (</w:t>
      </w:r>
      <w:r w:rsidR="00C75C9C" w:rsidRPr="0033639F">
        <w:rPr>
          <w:rFonts w:ascii="Arial" w:eastAsia="Calibri" w:hAnsi="Arial" w:cs="Arial"/>
          <w:noProof/>
          <w:sz w:val="22"/>
          <w:szCs w:val="22"/>
        </w:rPr>
        <w:t>275</w:t>
      </w:r>
      <w:r w:rsidRPr="0033639F">
        <w:rPr>
          <w:rFonts w:ascii="Arial" w:eastAsia="Calibri" w:hAnsi="Arial" w:cs="Arial"/>
          <w:noProof/>
          <w:sz w:val="22"/>
          <w:szCs w:val="22"/>
        </w:rPr>
        <w:t>,</w:t>
      </w:r>
      <w:r w:rsidR="00C75C9C" w:rsidRPr="0033639F">
        <w:rPr>
          <w:rFonts w:ascii="Arial" w:eastAsia="Calibri" w:hAnsi="Arial" w:cs="Arial"/>
          <w:noProof/>
          <w:sz w:val="22"/>
          <w:szCs w:val="22"/>
        </w:rPr>
        <w:t>279</w:t>
      </w:r>
      <w:r w:rsidRPr="0033639F">
        <w:rPr>
          <w:rFonts w:ascii="Arial" w:eastAsia="Calibri" w:hAnsi="Arial" w:cs="Arial"/>
          <w:noProof/>
          <w:sz w:val="22"/>
          <w:szCs w:val="22"/>
        </w:rPr>
        <w:t>)</w:t>
      </w:r>
      <w:r w:rsidRPr="0033639F">
        <w:rPr>
          <w:rFonts w:ascii="Arial" w:eastAsia="Calibri" w:hAnsi="Arial" w:cs="Arial"/>
          <w:sz w:val="22"/>
          <w:szCs w:val="22"/>
        </w:rPr>
        <w:t>. However, children with idiopathic GHD are less likely to have permanent GHD.  In a US study, only one third of patients with idiopathic GHD retested as GHD</w:t>
      </w:r>
      <w:r w:rsidRPr="0033639F">
        <w:rPr>
          <w:rFonts w:ascii="Arial" w:eastAsia="Calibri" w:hAnsi="Arial" w:cs="Arial"/>
          <w:noProof/>
          <w:sz w:val="22"/>
          <w:szCs w:val="22"/>
        </w:rPr>
        <w:t xml:space="preserve"> </w:t>
      </w:r>
      <w:r w:rsidR="00232B3C" w:rsidRPr="0033639F">
        <w:rPr>
          <w:rFonts w:ascii="Arial" w:eastAsia="Calibri" w:hAnsi="Arial" w:cs="Arial"/>
          <w:noProof/>
          <w:sz w:val="22"/>
          <w:szCs w:val="22"/>
        </w:rPr>
        <w:t>(</w:t>
      </w:r>
      <w:r w:rsidR="00E93C24" w:rsidRPr="0033639F">
        <w:rPr>
          <w:rFonts w:ascii="Arial" w:eastAsia="Calibri" w:hAnsi="Arial" w:cs="Arial"/>
          <w:noProof/>
          <w:sz w:val="22"/>
          <w:szCs w:val="22"/>
        </w:rPr>
        <w:t>280</w:t>
      </w:r>
      <w:r w:rsidR="00232B3C" w:rsidRPr="0033639F">
        <w:rPr>
          <w:rFonts w:ascii="Arial" w:eastAsia="Calibri" w:hAnsi="Arial" w:cs="Arial"/>
          <w:noProof/>
          <w:sz w:val="22"/>
          <w:szCs w:val="22"/>
        </w:rPr>
        <w:t>)</w:t>
      </w:r>
      <w:r w:rsidRPr="0033639F">
        <w:rPr>
          <w:rFonts w:ascii="Arial" w:eastAsia="Calibri" w:hAnsi="Arial" w:cs="Arial"/>
          <w:sz w:val="22"/>
          <w:szCs w:val="22"/>
        </w:rPr>
        <w:t>.  In that cohort, authors found age &lt;4 at diagnosis and IGFBP3 below -2.0 SDS were the strongest predictive factors (100% PPV) for permanent GHD.  In contrast to previous studies</w:t>
      </w:r>
      <w:r w:rsidRPr="0033639F">
        <w:rPr>
          <w:rFonts w:ascii="Arial" w:eastAsia="Calibri" w:hAnsi="Arial" w:cs="Arial"/>
          <w:noProof/>
          <w:sz w:val="22"/>
          <w:szCs w:val="22"/>
        </w:rPr>
        <w:t xml:space="preserve"> </w:t>
      </w:r>
      <w:r w:rsidR="00232B3C" w:rsidRPr="0033639F">
        <w:rPr>
          <w:rFonts w:ascii="Arial" w:eastAsia="Calibri" w:hAnsi="Arial" w:cs="Arial"/>
          <w:noProof/>
          <w:sz w:val="22"/>
          <w:szCs w:val="22"/>
        </w:rPr>
        <w:t>(</w:t>
      </w:r>
      <w:r w:rsidR="006061E3" w:rsidRPr="0033639F">
        <w:rPr>
          <w:rFonts w:ascii="Arial" w:eastAsia="Calibri" w:hAnsi="Arial" w:cs="Arial"/>
          <w:noProof/>
          <w:sz w:val="22"/>
          <w:szCs w:val="22"/>
        </w:rPr>
        <w:t>277</w:t>
      </w:r>
      <w:r w:rsidR="00232B3C" w:rsidRPr="0033639F">
        <w:rPr>
          <w:rFonts w:ascii="Arial" w:eastAsia="Calibri" w:hAnsi="Arial" w:cs="Arial"/>
          <w:noProof/>
          <w:sz w:val="22"/>
          <w:szCs w:val="22"/>
        </w:rPr>
        <w:t>)</w:t>
      </w:r>
      <w:r w:rsidRPr="0033639F">
        <w:rPr>
          <w:rFonts w:ascii="Arial" w:eastAsia="Calibri" w:hAnsi="Arial" w:cs="Arial"/>
          <w:sz w:val="22"/>
          <w:szCs w:val="22"/>
        </w:rPr>
        <w:t>, low IGF-1 (&lt; -2.0 SDS) did not have significant power to identify permanent GHD unless IGF-1 level was extremely low (-5.3 SDS)</w:t>
      </w:r>
      <w:r w:rsidR="00520D74" w:rsidRPr="0033639F">
        <w:rPr>
          <w:rFonts w:ascii="Arial" w:eastAsia="Calibri" w:hAnsi="Arial" w:cs="Arial"/>
          <w:sz w:val="22"/>
          <w:szCs w:val="22"/>
        </w:rPr>
        <w:t xml:space="preserve"> </w:t>
      </w:r>
      <w:r w:rsidR="00232B3C" w:rsidRPr="0033639F">
        <w:rPr>
          <w:rFonts w:ascii="Arial" w:eastAsia="Calibri" w:hAnsi="Arial" w:cs="Arial"/>
          <w:noProof/>
          <w:sz w:val="22"/>
          <w:szCs w:val="22"/>
        </w:rPr>
        <w:t>(</w:t>
      </w:r>
      <w:r w:rsidR="006061E3" w:rsidRPr="0033639F">
        <w:rPr>
          <w:rFonts w:ascii="Arial" w:eastAsia="Calibri" w:hAnsi="Arial" w:cs="Arial"/>
          <w:noProof/>
          <w:sz w:val="22"/>
          <w:szCs w:val="22"/>
        </w:rPr>
        <w:t>280</w:t>
      </w:r>
      <w:r w:rsidR="00232B3C" w:rsidRPr="0033639F">
        <w:rPr>
          <w:rFonts w:ascii="Arial" w:eastAsia="Calibri" w:hAnsi="Arial" w:cs="Arial"/>
          <w:noProof/>
          <w:sz w:val="22"/>
          <w:szCs w:val="22"/>
        </w:rPr>
        <w:t>)</w:t>
      </w:r>
      <w:r w:rsidRPr="0033639F">
        <w:rPr>
          <w:rFonts w:ascii="Arial" w:eastAsia="Calibri" w:hAnsi="Arial" w:cs="Arial"/>
          <w:sz w:val="22"/>
          <w:szCs w:val="22"/>
        </w:rPr>
        <w:t xml:space="preserve">.  </w:t>
      </w:r>
    </w:p>
    <w:p w14:paraId="62ECF64D" w14:textId="77777777" w:rsidR="00803B01" w:rsidRPr="0033639F" w:rsidRDefault="00803B01" w:rsidP="0033639F">
      <w:pPr>
        <w:shd w:val="clear" w:color="auto" w:fill="FFFFFF"/>
        <w:spacing w:line="276" w:lineRule="auto"/>
        <w:rPr>
          <w:rFonts w:ascii="Arial" w:eastAsia="Calibri" w:hAnsi="Arial" w:cs="Arial"/>
          <w:sz w:val="22"/>
          <w:szCs w:val="22"/>
        </w:rPr>
      </w:pPr>
    </w:p>
    <w:p w14:paraId="37B1E148" w14:textId="27C244F6" w:rsidR="00803B01" w:rsidRPr="0033639F" w:rsidRDefault="00803B01" w:rsidP="0033639F">
      <w:pPr>
        <w:shd w:val="clear" w:color="auto" w:fill="FFFFFF"/>
        <w:spacing w:line="276" w:lineRule="auto"/>
        <w:rPr>
          <w:rFonts w:ascii="Arial" w:eastAsia="Calibri" w:hAnsi="Arial" w:cs="Arial"/>
          <w:sz w:val="22"/>
          <w:szCs w:val="22"/>
        </w:rPr>
      </w:pPr>
      <w:r w:rsidRPr="0033639F">
        <w:rPr>
          <w:rFonts w:ascii="Arial" w:eastAsia="Calibri" w:hAnsi="Arial" w:cs="Arial"/>
          <w:sz w:val="22"/>
          <w:szCs w:val="22"/>
        </w:rPr>
        <w:t xml:space="preserve">In summary, current guidelines recommend the measurement of serum IGF-1 levels and a GH stimulation test after cessation of treatment for at least one month to determine whether the </w:t>
      </w:r>
      <w:r w:rsidRPr="0033639F">
        <w:rPr>
          <w:rFonts w:ascii="Arial" w:eastAsia="Calibri" w:hAnsi="Arial" w:cs="Arial"/>
          <w:sz w:val="22"/>
          <w:szCs w:val="22"/>
        </w:rPr>
        <w:lastRenderedPageBreak/>
        <w:t xml:space="preserve">adolescents with childhood-onset GHD will need ongoing treatment unless they have </w:t>
      </w:r>
      <w:r w:rsidR="006C0275" w:rsidRPr="0033639F">
        <w:rPr>
          <w:rFonts w:ascii="Arial" w:eastAsia="Calibri" w:hAnsi="Arial" w:cs="Arial"/>
          <w:sz w:val="22"/>
          <w:szCs w:val="22"/>
        </w:rPr>
        <w:t>known organic</w:t>
      </w:r>
      <w:r w:rsidRPr="0033639F">
        <w:rPr>
          <w:rFonts w:ascii="Arial" w:eastAsia="Calibri" w:hAnsi="Arial" w:cs="Arial"/>
          <w:sz w:val="22"/>
          <w:szCs w:val="22"/>
        </w:rPr>
        <w:t xml:space="preserve"> or genetic defects in the hypothalamic-pituitary region</w:t>
      </w:r>
      <w:r w:rsidR="00520D74" w:rsidRPr="0033639F">
        <w:rPr>
          <w:rFonts w:ascii="Arial" w:eastAsia="Calibri" w:hAnsi="Arial" w:cs="Arial"/>
          <w:sz w:val="22"/>
          <w:szCs w:val="22"/>
        </w:rPr>
        <w:t xml:space="preserve"> </w:t>
      </w:r>
      <w:r w:rsidR="00232B3C" w:rsidRPr="0033639F">
        <w:rPr>
          <w:rFonts w:ascii="Arial" w:eastAsia="Calibri" w:hAnsi="Arial" w:cs="Arial"/>
          <w:noProof/>
          <w:sz w:val="22"/>
          <w:szCs w:val="22"/>
        </w:rPr>
        <w:t>(</w:t>
      </w:r>
      <w:r w:rsidR="006061E3" w:rsidRPr="0033639F">
        <w:rPr>
          <w:rFonts w:ascii="Arial" w:eastAsia="Calibri" w:hAnsi="Arial" w:cs="Arial"/>
          <w:noProof/>
          <w:sz w:val="22"/>
          <w:szCs w:val="22"/>
        </w:rPr>
        <w:t>275</w:t>
      </w:r>
      <w:r w:rsidR="00232B3C" w:rsidRPr="0033639F">
        <w:rPr>
          <w:rFonts w:ascii="Arial" w:eastAsia="Calibri" w:hAnsi="Arial" w:cs="Arial"/>
          <w:noProof/>
          <w:sz w:val="22"/>
          <w:szCs w:val="22"/>
        </w:rPr>
        <w:t>,2</w:t>
      </w:r>
      <w:r w:rsidR="006061E3" w:rsidRPr="0033639F">
        <w:rPr>
          <w:rFonts w:ascii="Arial" w:eastAsia="Calibri" w:hAnsi="Arial" w:cs="Arial"/>
          <w:noProof/>
          <w:sz w:val="22"/>
          <w:szCs w:val="22"/>
        </w:rPr>
        <w:t>76</w:t>
      </w:r>
      <w:r w:rsidR="00232B3C" w:rsidRPr="0033639F">
        <w:rPr>
          <w:rFonts w:ascii="Arial" w:eastAsia="Calibri" w:hAnsi="Arial" w:cs="Arial"/>
          <w:noProof/>
          <w:sz w:val="22"/>
          <w:szCs w:val="22"/>
        </w:rPr>
        <w:t>,2</w:t>
      </w:r>
      <w:r w:rsidR="006061E3" w:rsidRPr="0033639F">
        <w:rPr>
          <w:rFonts w:ascii="Arial" w:eastAsia="Calibri" w:hAnsi="Arial" w:cs="Arial"/>
          <w:noProof/>
          <w:sz w:val="22"/>
          <w:szCs w:val="22"/>
        </w:rPr>
        <w:t>79</w:t>
      </w:r>
      <w:r w:rsidR="00232B3C" w:rsidRPr="0033639F">
        <w:rPr>
          <w:rFonts w:ascii="Arial" w:eastAsia="Calibri" w:hAnsi="Arial" w:cs="Arial"/>
          <w:noProof/>
          <w:sz w:val="22"/>
          <w:szCs w:val="22"/>
        </w:rPr>
        <w:t>)</w:t>
      </w:r>
      <w:r w:rsidRPr="0033639F">
        <w:rPr>
          <w:rFonts w:ascii="Arial" w:eastAsia="Calibri" w:hAnsi="Arial" w:cs="Arial"/>
          <w:sz w:val="22"/>
          <w:szCs w:val="22"/>
        </w:rPr>
        <w:t>.</w:t>
      </w:r>
    </w:p>
    <w:p w14:paraId="3E1C63EB" w14:textId="77777777" w:rsidR="00803B01" w:rsidRPr="0033639F" w:rsidRDefault="00803B01" w:rsidP="0033639F">
      <w:pPr>
        <w:shd w:val="clear" w:color="auto" w:fill="FFFFFF"/>
        <w:spacing w:line="276" w:lineRule="auto"/>
        <w:rPr>
          <w:rFonts w:ascii="Arial" w:eastAsia="Calibri" w:hAnsi="Arial" w:cs="Arial"/>
          <w:sz w:val="22"/>
          <w:szCs w:val="22"/>
        </w:rPr>
      </w:pPr>
    </w:p>
    <w:p w14:paraId="62320343" w14:textId="77777777" w:rsidR="00803B01" w:rsidRDefault="00803B01" w:rsidP="0033639F">
      <w:pPr>
        <w:spacing w:line="276" w:lineRule="auto"/>
        <w:outlineLvl w:val="1"/>
        <w:rPr>
          <w:rFonts w:ascii="Arial" w:hAnsi="Arial" w:cs="Arial"/>
          <w:sz w:val="22"/>
          <w:szCs w:val="22"/>
        </w:rPr>
      </w:pPr>
      <w:hyperlink r:id="rId72" w:history="1">
        <w:r w:rsidRPr="00E7109A">
          <w:rPr>
            <w:rFonts w:ascii="Arial" w:hAnsi="Arial" w:cs="Arial"/>
            <w:b/>
            <w:bCs/>
            <w:color w:val="0070C0"/>
            <w:sz w:val="22"/>
            <w:szCs w:val="22"/>
          </w:rPr>
          <w:t>CONCLUSION</w:t>
        </w:r>
      </w:hyperlink>
    </w:p>
    <w:p w14:paraId="56C5914F" w14:textId="77777777" w:rsidR="00E7109A" w:rsidRPr="0033639F" w:rsidRDefault="00E7109A" w:rsidP="0033639F">
      <w:pPr>
        <w:spacing w:line="276" w:lineRule="auto"/>
        <w:outlineLvl w:val="1"/>
        <w:rPr>
          <w:rFonts w:ascii="Arial" w:hAnsi="Arial" w:cs="Arial"/>
          <w:bCs/>
          <w:sz w:val="22"/>
          <w:szCs w:val="22"/>
        </w:rPr>
      </w:pPr>
    </w:p>
    <w:p w14:paraId="365FABB0" w14:textId="31580690" w:rsidR="00FD5153" w:rsidRDefault="00FD5153" w:rsidP="0033639F">
      <w:pPr>
        <w:spacing w:line="276" w:lineRule="auto"/>
        <w:outlineLvl w:val="1"/>
        <w:rPr>
          <w:rFonts w:ascii="Arial" w:hAnsi="Arial" w:cs="Arial"/>
          <w:sz w:val="22"/>
          <w:szCs w:val="22"/>
        </w:rPr>
      </w:pPr>
      <w:r w:rsidRPr="0033639F">
        <w:rPr>
          <w:rFonts w:ascii="Arial" w:hAnsi="Arial" w:cs="Arial"/>
          <w:sz w:val="22"/>
          <w:szCs w:val="22"/>
        </w:rPr>
        <w:t xml:space="preserve">The control of human growth is becoming increasingly clear and involves both genetic and </w:t>
      </w:r>
      <w:r w:rsidR="008D1D21" w:rsidRPr="0033639F">
        <w:rPr>
          <w:rFonts w:ascii="Arial" w:hAnsi="Arial" w:cs="Arial"/>
          <w:sz w:val="22"/>
          <w:szCs w:val="22"/>
        </w:rPr>
        <w:t>environmental</w:t>
      </w:r>
      <w:r w:rsidRPr="0033639F">
        <w:rPr>
          <w:rFonts w:ascii="Arial" w:hAnsi="Arial" w:cs="Arial"/>
          <w:sz w:val="22"/>
          <w:szCs w:val="22"/>
        </w:rPr>
        <w:t xml:space="preserve"> factors. Many genes have been identified as being involved in normal growth and in the common phenotype of short stature.  </w:t>
      </w:r>
      <w:r w:rsidR="007A1C70" w:rsidRPr="0033639F">
        <w:rPr>
          <w:rFonts w:ascii="Arial" w:hAnsi="Arial" w:cs="Arial"/>
          <w:sz w:val="22"/>
          <w:szCs w:val="22"/>
        </w:rPr>
        <w:t>Genetic analyses, however</w:t>
      </w:r>
      <w:r w:rsidRPr="0033639F">
        <w:rPr>
          <w:rFonts w:ascii="Arial" w:hAnsi="Arial" w:cs="Arial"/>
          <w:sz w:val="22"/>
          <w:szCs w:val="22"/>
        </w:rPr>
        <w:t xml:space="preserve">, </w:t>
      </w:r>
      <w:r w:rsidR="007A1C70" w:rsidRPr="0033639F">
        <w:rPr>
          <w:rFonts w:ascii="Arial" w:hAnsi="Arial" w:cs="Arial"/>
          <w:sz w:val="22"/>
          <w:szCs w:val="22"/>
        </w:rPr>
        <w:t xml:space="preserve">should </w:t>
      </w:r>
      <w:r w:rsidR="00A84A99" w:rsidRPr="0033639F">
        <w:rPr>
          <w:rFonts w:ascii="Arial" w:hAnsi="Arial" w:cs="Arial"/>
          <w:sz w:val="22"/>
          <w:szCs w:val="22"/>
        </w:rPr>
        <w:t xml:space="preserve">follow </w:t>
      </w:r>
      <w:r w:rsidRPr="0033639F">
        <w:rPr>
          <w:rFonts w:ascii="Arial" w:hAnsi="Arial" w:cs="Arial"/>
          <w:sz w:val="22"/>
          <w:szCs w:val="22"/>
        </w:rPr>
        <w:t>a detailed clinical, biochemical and radiological assessment i</w:t>
      </w:r>
      <w:r w:rsidR="00745BD6" w:rsidRPr="0033639F">
        <w:rPr>
          <w:rFonts w:ascii="Arial" w:hAnsi="Arial" w:cs="Arial"/>
          <w:sz w:val="22"/>
          <w:szCs w:val="22"/>
        </w:rPr>
        <w:t>n order</w:t>
      </w:r>
      <w:r w:rsidRPr="0033639F">
        <w:rPr>
          <w:rFonts w:ascii="Arial" w:hAnsi="Arial" w:cs="Arial"/>
          <w:sz w:val="22"/>
          <w:szCs w:val="22"/>
        </w:rPr>
        <w:t xml:space="preserve"> to refine the phenotype and point to the relevant pathophysiology, </w:t>
      </w:r>
      <w:r w:rsidRPr="0033639F">
        <w:rPr>
          <w:rFonts w:ascii="Arial" w:hAnsi="Arial" w:cs="Arial"/>
          <w:i/>
          <w:iCs/>
          <w:sz w:val="22"/>
          <w:szCs w:val="22"/>
        </w:rPr>
        <w:t>e.g.</w:t>
      </w:r>
      <w:r w:rsidRPr="0033639F">
        <w:rPr>
          <w:rFonts w:ascii="Arial" w:hAnsi="Arial" w:cs="Arial"/>
          <w:sz w:val="22"/>
          <w:szCs w:val="22"/>
        </w:rPr>
        <w:t xml:space="preserve"> genes involved in the development and function of the pituitary gland (</w:t>
      </w:r>
      <w:r w:rsidRPr="0033639F">
        <w:rPr>
          <w:rFonts w:ascii="Arial" w:hAnsi="Arial" w:cs="Arial"/>
          <w:i/>
          <w:iCs/>
          <w:sz w:val="22"/>
          <w:szCs w:val="22"/>
        </w:rPr>
        <w:t>e.g. POU1F1</w:t>
      </w:r>
      <w:r w:rsidRPr="0033639F">
        <w:rPr>
          <w:rFonts w:ascii="Arial" w:hAnsi="Arial" w:cs="Arial"/>
          <w:sz w:val="22"/>
          <w:szCs w:val="22"/>
        </w:rPr>
        <w:t>), those involved in transducing the GH signal (</w:t>
      </w:r>
      <w:r w:rsidRPr="0033639F">
        <w:rPr>
          <w:rFonts w:ascii="Arial" w:hAnsi="Arial" w:cs="Arial"/>
          <w:i/>
          <w:iCs/>
          <w:sz w:val="22"/>
          <w:szCs w:val="22"/>
        </w:rPr>
        <w:t>e.g. STAT5B</w:t>
      </w:r>
      <w:r w:rsidRPr="0033639F">
        <w:rPr>
          <w:rFonts w:ascii="Arial" w:hAnsi="Arial" w:cs="Arial"/>
          <w:sz w:val="22"/>
          <w:szCs w:val="22"/>
        </w:rPr>
        <w:t>) or the IGF1 signal (</w:t>
      </w:r>
      <w:r w:rsidRPr="0033639F">
        <w:rPr>
          <w:rFonts w:ascii="Arial" w:hAnsi="Arial" w:cs="Arial"/>
          <w:i/>
          <w:iCs/>
          <w:sz w:val="22"/>
          <w:szCs w:val="22"/>
        </w:rPr>
        <w:t xml:space="preserve">e.g. </w:t>
      </w:r>
      <w:r w:rsidR="007506CF" w:rsidRPr="0033639F">
        <w:rPr>
          <w:rFonts w:ascii="Arial" w:hAnsi="Arial" w:cs="Arial"/>
          <w:i/>
          <w:iCs/>
          <w:sz w:val="22"/>
          <w:szCs w:val="22"/>
        </w:rPr>
        <w:t>PAPPA2</w:t>
      </w:r>
      <w:r w:rsidRPr="0033639F">
        <w:rPr>
          <w:rFonts w:ascii="Arial" w:hAnsi="Arial" w:cs="Arial"/>
          <w:sz w:val="22"/>
          <w:szCs w:val="22"/>
        </w:rPr>
        <w:t xml:space="preserve">) and everything further “downstream”, </w:t>
      </w:r>
      <w:r w:rsidRPr="0033639F">
        <w:rPr>
          <w:rFonts w:ascii="Arial" w:hAnsi="Arial" w:cs="Arial"/>
          <w:i/>
          <w:iCs/>
          <w:sz w:val="22"/>
          <w:szCs w:val="22"/>
        </w:rPr>
        <w:t>e.g.</w:t>
      </w:r>
      <w:r w:rsidRPr="0033639F">
        <w:rPr>
          <w:rFonts w:ascii="Arial" w:hAnsi="Arial" w:cs="Arial"/>
          <w:sz w:val="22"/>
          <w:szCs w:val="22"/>
        </w:rPr>
        <w:t xml:space="preserve"> the growth plate, (</w:t>
      </w:r>
      <w:r w:rsidRPr="0033639F">
        <w:rPr>
          <w:rFonts w:ascii="Arial" w:hAnsi="Arial" w:cs="Arial"/>
          <w:i/>
          <w:iCs/>
          <w:sz w:val="22"/>
          <w:szCs w:val="22"/>
        </w:rPr>
        <w:t xml:space="preserve">e.g. </w:t>
      </w:r>
      <w:r w:rsidR="008B475B" w:rsidRPr="0033639F">
        <w:rPr>
          <w:rFonts w:ascii="Arial" w:hAnsi="Arial" w:cs="Arial"/>
          <w:i/>
          <w:iCs/>
          <w:sz w:val="22"/>
          <w:szCs w:val="22"/>
        </w:rPr>
        <w:t>SHOX</w:t>
      </w:r>
      <w:r w:rsidRPr="0033639F">
        <w:rPr>
          <w:rFonts w:ascii="Arial" w:hAnsi="Arial" w:cs="Arial"/>
          <w:sz w:val="22"/>
          <w:szCs w:val="22"/>
        </w:rPr>
        <w:t xml:space="preserve">).  Clinical identification of patterns and unique findings can direct the genetic evaluation and narrow its focus – </w:t>
      </w:r>
      <w:r w:rsidRPr="0033639F">
        <w:rPr>
          <w:rFonts w:ascii="Arial" w:hAnsi="Arial" w:cs="Arial"/>
          <w:i/>
          <w:iCs/>
          <w:sz w:val="22"/>
          <w:szCs w:val="22"/>
        </w:rPr>
        <w:t>e.g.</w:t>
      </w:r>
      <w:r w:rsidRPr="0033639F">
        <w:rPr>
          <w:rFonts w:ascii="Arial" w:hAnsi="Arial" w:cs="Arial"/>
          <w:sz w:val="22"/>
          <w:szCs w:val="22"/>
        </w:rPr>
        <w:t xml:space="preserve"> short stature with an advanced bone age </w:t>
      </w:r>
      <w:r w:rsidR="00601EC7" w:rsidRPr="0033639F">
        <w:rPr>
          <w:rFonts w:ascii="Arial" w:hAnsi="Arial" w:cs="Arial"/>
          <w:sz w:val="22"/>
          <w:szCs w:val="22"/>
        </w:rPr>
        <w:t>may suggest</w:t>
      </w:r>
      <w:r w:rsidRPr="0033639F">
        <w:rPr>
          <w:rFonts w:ascii="Arial" w:hAnsi="Arial" w:cs="Arial"/>
          <w:sz w:val="22"/>
          <w:szCs w:val="22"/>
        </w:rPr>
        <w:t xml:space="preserve"> mutations in the </w:t>
      </w:r>
      <w:r w:rsidRPr="0033639F">
        <w:rPr>
          <w:rFonts w:ascii="Arial" w:hAnsi="Arial" w:cs="Arial"/>
          <w:i/>
          <w:iCs/>
          <w:sz w:val="22"/>
          <w:szCs w:val="22"/>
        </w:rPr>
        <w:t>ACAN</w:t>
      </w:r>
      <w:r w:rsidRPr="0033639F">
        <w:rPr>
          <w:rFonts w:ascii="Arial" w:hAnsi="Arial" w:cs="Arial"/>
          <w:sz w:val="22"/>
          <w:szCs w:val="22"/>
        </w:rPr>
        <w:t xml:space="preserve"> gene.</w:t>
      </w:r>
    </w:p>
    <w:p w14:paraId="572DD2CD" w14:textId="77777777" w:rsidR="00E7109A" w:rsidRPr="0033639F" w:rsidRDefault="00E7109A" w:rsidP="0033639F">
      <w:pPr>
        <w:spacing w:line="276" w:lineRule="auto"/>
        <w:outlineLvl w:val="1"/>
        <w:rPr>
          <w:rFonts w:ascii="Arial" w:hAnsi="Arial" w:cs="Arial"/>
          <w:sz w:val="22"/>
          <w:szCs w:val="22"/>
        </w:rPr>
      </w:pPr>
    </w:p>
    <w:p w14:paraId="35193753" w14:textId="72817093" w:rsidR="00D957E3" w:rsidRDefault="00675EA0" w:rsidP="0033639F">
      <w:pPr>
        <w:spacing w:line="276" w:lineRule="auto"/>
        <w:outlineLvl w:val="1"/>
        <w:rPr>
          <w:rFonts w:ascii="Arial" w:hAnsi="Arial" w:cs="Arial"/>
          <w:sz w:val="22"/>
          <w:szCs w:val="22"/>
        </w:rPr>
      </w:pPr>
      <w:r w:rsidRPr="0033639F">
        <w:rPr>
          <w:rFonts w:ascii="Arial" w:hAnsi="Arial" w:cs="Arial"/>
          <w:sz w:val="22"/>
          <w:szCs w:val="22"/>
        </w:rPr>
        <w:t xml:space="preserve">Identifying </w:t>
      </w:r>
      <w:r w:rsidRPr="0033639F">
        <w:rPr>
          <w:rFonts w:ascii="Arial" w:hAnsi="Arial" w:cs="Arial"/>
          <w:color w:val="000000" w:themeColor="text1"/>
          <w:sz w:val="22"/>
          <w:szCs w:val="22"/>
          <w:shd w:val="clear" w:color="auto" w:fill="FFFFFF"/>
        </w:rPr>
        <w:t xml:space="preserve">causes of short stature is challenging due to </w:t>
      </w:r>
      <w:r w:rsidR="00580794" w:rsidRPr="0033639F">
        <w:rPr>
          <w:rFonts w:ascii="Arial" w:hAnsi="Arial" w:cs="Arial"/>
          <w:color w:val="000000" w:themeColor="text1"/>
          <w:sz w:val="22"/>
          <w:szCs w:val="22"/>
          <w:shd w:val="clear" w:color="auto" w:fill="FFFFFF"/>
        </w:rPr>
        <w:t xml:space="preserve">many factors, including </w:t>
      </w:r>
      <w:r w:rsidRPr="0033639F">
        <w:rPr>
          <w:rFonts w:ascii="Arial" w:hAnsi="Arial" w:cs="Arial"/>
          <w:color w:val="000000" w:themeColor="text1"/>
          <w:sz w:val="22"/>
          <w:szCs w:val="22"/>
          <w:shd w:val="clear" w:color="auto" w:fill="FFFFFF"/>
        </w:rPr>
        <w:t xml:space="preserve">the lack of </w:t>
      </w:r>
      <w:r w:rsidR="00B25F3F" w:rsidRPr="0033639F">
        <w:rPr>
          <w:rFonts w:ascii="Arial" w:hAnsi="Arial" w:cs="Arial"/>
          <w:color w:val="000000" w:themeColor="text1"/>
          <w:sz w:val="22"/>
          <w:szCs w:val="22"/>
          <w:shd w:val="clear" w:color="auto" w:fill="FFFFFF"/>
        </w:rPr>
        <w:t>‘</w:t>
      </w:r>
      <w:r w:rsidRPr="0033639F">
        <w:rPr>
          <w:rFonts w:ascii="Arial" w:hAnsi="Arial" w:cs="Arial"/>
          <w:color w:val="000000" w:themeColor="text1"/>
          <w:sz w:val="22"/>
          <w:szCs w:val="22"/>
          <w:shd w:val="clear" w:color="auto" w:fill="FFFFFF"/>
        </w:rPr>
        <w:t>gold standard</w:t>
      </w:r>
      <w:r w:rsidR="00B25F3F" w:rsidRPr="0033639F">
        <w:rPr>
          <w:rFonts w:ascii="Arial" w:hAnsi="Arial" w:cs="Arial"/>
          <w:color w:val="000000" w:themeColor="text1"/>
          <w:sz w:val="22"/>
          <w:szCs w:val="22"/>
          <w:shd w:val="clear" w:color="auto" w:fill="FFFFFF"/>
        </w:rPr>
        <w:t>’ diagnostic criteria</w:t>
      </w:r>
      <w:r w:rsidRPr="0033639F">
        <w:rPr>
          <w:rFonts w:ascii="Arial" w:hAnsi="Arial" w:cs="Arial"/>
          <w:color w:val="000000" w:themeColor="text1"/>
          <w:sz w:val="22"/>
          <w:szCs w:val="22"/>
          <w:shd w:val="clear" w:color="auto" w:fill="FFFFFF"/>
        </w:rPr>
        <w:t xml:space="preserve"> and limitations in available diagnostic tests </w:t>
      </w:r>
      <w:r w:rsidR="006061E3" w:rsidRPr="0033639F">
        <w:rPr>
          <w:rFonts w:ascii="Arial" w:hAnsi="Arial" w:cs="Arial"/>
          <w:color w:val="000000" w:themeColor="text1"/>
          <w:sz w:val="22"/>
          <w:szCs w:val="22"/>
          <w:shd w:val="clear" w:color="auto" w:fill="FFFFFF"/>
        </w:rPr>
        <w:t xml:space="preserve">(281). </w:t>
      </w:r>
      <w:r w:rsidR="0030030F" w:rsidRPr="0033639F">
        <w:rPr>
          <w:rFonts w:ascii="Arial" w:hAnsi="Arial" w:cs="Arial"/>
          <w:sz w:val="22"/>
          <w:szCs w:val="22"/>
          <w:shd w:val="clear" w:color="auto" w:fill="FFFFFF"/>
        </w:rPr>
        <w:t>C</w:t>
      </w:r>
      <w:r w:rsidR="0030030F" w:rsidRPr="0033639F">
        <w:rPr>
          <w:rFonts w:ascii="Arial" w:hAnsi="Arial" w:cs="Arial"/>
          <w:sz w:val="22"/>
          <w:szCs w:val="22"/>
        </w:rPr>
        <w:t>linical, biochemical and radiological</w:t>
      </w:r>
      <w:r w:rsidRPr="0033639F">
        <w:rPr>
          <w:rFonts w:ascii="Arial" w:hAnsi="Arial" w:cs="Arial"/>
          <w:sz w:val="22"/>
          <w:szCs w:val="22"/>
        </w:rPr>
        <w:t xml:space="preserve"> evaluation </w:t>
      </w:r>
      <w:r w:rsidRPr="0033639F">
        <w:rPr>
          <w:rFonts w:ascii="Arial" w:hAnsi="Arial" w:cs="Arial"/>
          <w:color w:val="000000" w:themeColor="text1"/>
          <w:sz w:val="22"/>
          <w:szCs w:val="22"/>
          <w:shd w:val="clear" w:color="auto" w:fill="FFFFFF"/>
        </w:rPr>
        <w:t>continue to be the foundation for diagnosis</w:t>
      </w:r>
      <w:r w:rsidR="00AC40E3" w:rsidRPr="0033639F">
        <w:rPr>
          <w:rFonts w:ascii="Arial" w:hAnsi="Arial" w:cs="Arial"/>
          <w:color w:val="000000" w:themeColor="text1"/>
          <w:sz w:val="22"/>
          <w:szCs w:val="22"/>
          <w:shd w:val="clear" w:color="auto" w:fill="FFFFFF"/>
        </w:rPr>
        <w:t>.</w:t>
      </w:r>
      <w:r w:rsidRPr="0033639F">
        <w:rPr>
          <w:rFonts w:ascii="Arial" w:hAnsi="Arial" w:cs="Arial"/>
          <w:color w:val="000000" w:themeColor="text1"/>
          <w:sz w:val="22"/>
          <w:szCs w:val="22"/>
          <w:shd w:val="clear" w:color="auto" w:fill="FFFFFF"/>
        </w:rPr>
        <w:t xml:space="preserve"> IGF</w:t>
      </w:r>
      <w:r w:rsidR="0038631D" w:rsidRPr="0033639F">
        <w:rPr>
          <w:rFonts w:ascii="Arial" w:hAnsi="Arial" w:cs="Arial"/>
          <w:color w:val="000000" w:themeColor="text1"/>
          <w:sz w:val="22"/>
          <w:szCs w:val="22"/>
          <w:shd w:val="clear" w:color="auto" w:fill="FFFFFF"/>
        </w:rPr>
        <w:t>1</w:t>
      </w:r>
      <w:r w:rsidRPr="0033639F">
        <w:rPr>
          <w:rFonts w:ascii="Arial" w:hAnsi="Arial" w:cs="Arial"/>
          <w:color w:val="000000" w:themeColor="text1"/>
          <w:sz w:val="22"/>
          <w:szCs w:val="22"/>
          <w:shd w:val="clear" w:color="auto" w:fill="FFFFFF"/>
        </w:rPr>
        <w:t xml:space="preserve"> and IGFBP3 measurements and neuroimaging</w:t>
      </w:r>
      <w:r w:rsidR="00E20466" w:rsidRPr="0033639F">
        <w:rPr>
          <w:rFonts w:ascii="Arial" w:hAnsi="Arial" w:cs="Arial"/>
          <w:color w:val="000000" w:themeColor="text1"/>
          <w:sz w:val="22"/>
          <w:szCs w:val="22"/>
          <w:shd w:val="clear" w:color="auto" w:fill="FFFFFF"/>
        </w:rPr>
        <w:t xml:space="preserve"> play especially critical roles</w:t>
      </w:r>
      <w:r w:rsidR="005A5119" w:rsidRPr="0033639F">
        <w:rPr>
          <w:rFonts w:ascii="Arial" w:hAnsi="Arial" w:cs="Arial"/>
          <w:color w:val="000000" w:themeColor="text1"/>
          <w:sz w:val="22"/>
          <w:szCs w:val="22"/>
          <w:shd w:val="clear" w:color="auto" w:fill="FFFFFF"/>
        </w:rPr>
        <w:t xml:space="preserve"> in defining the clinical phenotype, and </w:t>
      </w:r>
      <w:r w:rsidR="00BA5371" w:rsidRPr="0033639F">
        <w:rPr>
          <w:rFonts w:ascii="Arial" w:hAnsi="Arial" w:cs="Arial"/>
          <w:color w:val="000000" w:themeColor="text1"/>
          <w:sz w:val="22"/>
          <w:szCs w:val="22"/>
          <w:shd w:val="clear" w:color="auto" w:fill="FFFFFF"/>
        </w:rPr>
        <w:t>in directing genetic testing to</w:t>
      </w:r>
      <w:r w:rsidRPr="0033639F">
        <w:rPr>
          <w:rFonts w:ascii="Arial" w:hAnsi="Arial" w:cs="Arial"/>
          <w:sz w:val="22"/>
          <w:szCs w:val="22"/>
        </w:rPr>
        <w:t xml:space="preserve"> establish </w:t>
      </w:r>
      <w:r w:rsidR="009E2679" w:rsidRPr="0033639F">
        <w:rPr>
          <w:rFonts w:ascii="Arial" w:hAnsi="Arial" w:cs="Arial"/>
          <w:sz w:val="22"/>
          <w:szCs w:val="22"/>
        </w:rPr>
        <w:t>the</w:t>
      </w:r>
      <w:r w:rsidRPr="0033639F">
        <w:rPr>
          <w:rFonts w:ascii="Arial" w:hAnsi="Arial" w:cs="Arial"/>
          <w:sz w:val="22"/>
          <w:szCs w:val="22"/>
        </w:rPr>
        <w:t xml:space="preserve"> diagnosis in children with abnormal growth and initiating appropriate treatment</w:t>
      </w:r>
      <w:r w:rsidR="006061E3" w:rsidRPr="0033639F">
        <w:rPr>
          <w:rFonts w:ascii="Arial" w:hAnsi="Arial" w:cs="Arial"/>
          <w:sz w:val="22"/>
          <w:szCs w:val="22"/>
        </w:rPr>
        <w:t xml:space="preserve"> (281,282).</w:t>
      </w:r>
      <w:r w:rsidRPr="0033639F">
        <w:rPr>
          <w:rFonts w:ascii="Arial" w:hAnsi="Arial" w:cs="Arial"/>
          <w:sz w:val="22"/>
          <w:szCs w:val="22"/>
        </w:rPr>
        <w:t xml:space="preserve"> </w:t>
      </w:r>
    </w:p>
    <w:p w14:paraId="6834E85E" w14:textId="77777777" w:rsidR="00E7109A" w:rsidRPr="0033639F" w:rsidRDefault="00E7109A" w:rsidP="0033639F">
      <w:pPr>
        <w:spacing w:line="276" w:lineRule="auto"/>
        <w:outlineLvl w:val="1"/>
        <w:rPr>
          <w:rFonts w:ascii="Arial" w:hAnsi="Arial" w:cs="Arial"/>
          <w:sz w:val="22"/>
          <w:szCs w:val="22"/>
        </w:rPr>
      </w:pPr>
    </w:p>
    <w:p w14:paraId="0E70ECAB" w14:textId="0E479834" w:rsidR="00675EA0" w:rsidRDefault="00675EA0" w:rsidP="0033639F">
      <w:pPr>
        <w:spacing w:line="276" w:lineRule="auto"/>
        <w:outlineLvl w:val="1"/>
        <w:rPr>
          <w:rFonts w:ascii="Arial" w:hAnsi="Arial" w:cs="Arial"/>
          <w:color w:val="000000" w:themeColor="text1"/>
          <w:sz w:val="22"/>
          <w:szCs w:val="22"/>
          <w:shd w:val="clear" w:color="auto" w:fill="FFFFFF"/>
        </w:rPr>
      </w:pPr>
      <w:r w:rsidRPr="0033639F">
        <w:rPr>
          <w:rFonts w:ascii="Arial" w:hAnsi="Arial" w:cs="Arial"/>
          <w:sz w:val="22"/>
          <w:szCs w:val="22"/>
        </w:rPr>
        <w:t xml:space="preserve">Treatment with rhGH has been shown to be effective and safe, improving linear growth and achieving </w:t>
      </w:r>
      <w:r w:rsidR="00020272" w:rsidRPr="0033639F">
        <w:rPr>
          <w:rFonts w:ascii="Arial" w:hAnsi="Arial" w:cs="Arial"/>
          <w:sz w:val="22"/>
          <w:szCs w:val="22"/>
        </w:rPr>
        <w:t xml:space="preserve">adult </w:t>
      </w:r>
      <w:r w:rsidRPr="0033639F">
        <w:rPr>
          <w:rFonts w:ascii="Arial" w:hAnsi="Arial" w:cs="Arial"/>
          <w:sz w:val="22"/>
          <w:szCs w:val="22"/>
        </w:rPr>
        <w:t>height</w:t>
      </w:r>
      <w:r w:rsidR="00020272" w:rsidRPr="0033639F">
        <w:rPr>
          <w:rFonts w:ascii="Arial" w:hAnsi="Arial" w:cs="Arial"/>
          <w:sz w:val="22"/>
          <w:szCs w:val="22"/>
        </w:rPr>
        <w:t>s</w:t>
      </w:r>
      <w:r w:rsidRPr="0033639F">
        <w:rPr>
          <w:rFonts w:ascii="Arial" w:hAnsi="Arial" w:cs="Arial"/>
          <w:sz w:val="22"/>
          <w:szCs w:val="22"/>
        </w:rPr>
        <w:t xml:space="preserve"> </w:t>
      </w:r>
      <w:r w:rsidR="00020272" w:rsidRPr="0033639F">
        <w:rPr>
          <w:rFonts w:ascii="Arial" w:hAnsi="Arial" w:cs="Arial"/>
          <w:sz w:val="22"/>
          <w:szCs w:val="22"/>
        </w:rPr>
        <w:t xml:space="preserve">in the normal range, </w:t>
      </w:r>
      <w:r w:rsidRPr="0033639F">
        <w:rPr>
          <w:rFonts w:ascii="Arial" w:hAnsi="Arial" w:cs="Arial"/>
          <w:sz w:val="22"/>
          <w:szCs w:val="22"/>
        </w:rPr>
        <w:t xml:space="preserve">as well as improving body composition, bone mineral density, cardiovascular outcomes, and quality of life </w:t>
      </w:r>
      <w:r w:rsidR="006061E3" w:rsidRPr="0033639F">
        <w:rPr>
          <w:rFonts w:ascii="Arial" w:hAnsi="Arial" w:cs="Arial"/>
          <w:sz w:val="22"/>
          <w:szCs w:val="22"/>
        </w:rPr>
        <w:t>(283–285).</w:t>
      </w:r>
      <w:r w:rsidRPr="0033639F">
        <w:rPr>
          <w:rFonts w:ascii="Arial" w:hAnsi="Arial" w:cs="Arial"/>
          <w:sz w:val="22"/>
          <w:szCs w:val="22"/>
        </w:rPr>
        <w:t xml:space="preserve"> </w:t>
      </w:r>
      <w:r w:rsidR="00935568" w:rsidRPr="0033639F">
        <w:rPr>
          <w:rFonts w:ascii="Arial" w:hAnsi="Arial" w:cs="Arial"/>
          <w:sz w:val="22"/>
          <w:szCs w:val="22"/>
        </w:rPr>
        <w:t xml:space="preserve">rhIGF1 </w:t>
      </w:r>
      <w:r w:rsidR="007F4AEE" w:rsidRPr="0033639F">
        <w:rPr>
          <w:rFonts w:ascii="Arial" w:hAnsi="Arial" w:cs="Arial"/>
          <w:sz w:val="22"/>
          <w:szCs w:val="22"/>
        </w:rPr>
        <w:t xml:space="preserve">may be considered for select children, especially those with </w:t>
      </w:r>
      <w:r w:rsidR="009D6C98" w:rsidRPr="0033639F">
        <w:rPr>
          <w:rFonts w:ascii="Arial" w:hAnsi="Arial" w:cs="Arial"/>
          <w:sz w:val="22"/>
          <w:szCs w:val="22"/>
        </w:rPr>
        <w:t>primary severe IGF1 deficiency.</w:t>
      </w:r>
      <w:r w:rsidR="00760A7A" w:rsidRPr="0033639F">
        <w:rPr>
          <w:rFonts w:ascii="Arial" w:hAnsi="Arial" w:cs="Arial"/>
          <w:sz w:val="22"/>
          <w:szCs w:val="22"/>
        </w:rPr>
        <w:t xml:space="preserve"> </w:t>
      </w:r>
      <w:r w:rsidR="00B518F2" w:rsidRPr="0033639F">
        <w:rPr>
          <w:rFonts w:ascii="Arial" w:hAnsi="Arial" w:cs="Arial"/>
          <w:sz w:val="22"/>
          <w:szCs w:val="22"/>
        </w:rPr>
        <w:t>T</w:t>
      </w:r>
      <w:r w:rsidRPr="0033639F">
        <w:rPr>
          <w:rFonts w:ascii="Arial" w:hAnsi="Arial" w:cs="Arial"/>
          <w:sz w:val="22"/>
          <w:szCs w:val="22"/>
        </w:rPr>
        <w:t>he timing of treatment initiation and dosage are crucial factors in determining treatment outcomes</w:t>
      </w:r>
      <w:r w:rsidR="006061E3" w:rsidRPr="0033639F">
        <w:rPr>
          <w:rFonts w:ascii="Arial" w:hAnsi="Arial" w:cs="Arial"/>
          <w:sz w:val="22"/>
          <w:szCs w:val="22"/>
        </w:rPr>
        <w:t xml:space="preserve"> (286)</w:t>
      </w:r>
      <w:r w:rsidRPr="0033639F">
        <w:rPr>
          <w:rFonts w:ascii="Arial" w:hAnsi="Arial" w:cs="Arial"/>
          <w:sz w:val="22"/>
          <w:szCs w:val="22"/>
        </w:rPr>
        <w:t>. Additionally, continuing GH administration during the transition period between childhood and adulthood may be necessary for proper body composition, bone and muscle health, and metabolic parameters</w:t>
      </w:r>
      <w:r w:rsidR="00486990" w:rsidRPr="0033639F">
        <w:rPr>
          <w:rFonts w:ascii="Arial" w:hAnsi="Arial" w:cs="Arial"/>
          <w:sz w:val="22"/>
          <w:szCs w:val="22"/>
        </w:rPr>
        <w:t xml:space="preserve"> (287).</w:t>
      </w:r>
      <w:r w:rsidR="00036ADD" w:rsidRPr="0033639F">
        <w:rPr>
          <w:rFonts w:ascii="Arial" w:hAnsi="Arial" w:cs="Arial"/>
          <w:sz w:val="22"/>
          <w:szCs w:val="22"/>
        </w:rPr>
        <w:t xml:space="preserve"> </w:t>
      </w:r>
      <w:r w:rsidR="00F50219" w:rsidRPr="0033639F">
        <w:rPr>
          <w:rFonts w:ascii="Arial" w:hAnsi="Arial" w:cs="Arial"/>
          <w:sz w:val="22"/>
          <w:szCs w:val="22"/>
        </w:rPr>
        <w:t xml:space="preserve">Weekly GH preparations </w:t>
      </w:r>
      <w:r w:rsidR="006224A2" w:rsidRPr="0033639F">
        <w:rPr>
          <w:rFonts w:ascii="Arial" w:hAnsi="Arial" w:cs="Arial"/>
          <w:sz w:val="22"/>
          <w:szCs w:val="22"/>
        </w:rPr>
        <w:t>are now approved for the treatment of children with GH defici</w:t>
      </w:r>
      <w:r w:rsidR="008D2173" w:rsidRPr="0033639F">
        <w:rPr>
          <w:rFonts w:ascii="Arial" w:hAnsi="Arial" w:cs="Arial"/>
          <w:sz w:val="22"/>
          <w:szCs w:val="22"/>
        </w:rPr>
        <w:t>e</w:t>
      </w:r>
      <w:r w:rsidR="006224A2" w:rsidRPr="0033639F">
        <w:rPr>
          <w:rFonts w:ascii="Arial" w:hAnsi="Arial" w:cs="Arial"/>
          <w:sz w:val="22"/>
          <w:szCs w:val="22"/>
        </w:rPr>
        <w:t>ncy</w:t>
      </w:r>
      <w:r w:rsidR="002733C1" w:rsidRPr="0033639F">
        <w:rPr>
          <w:rFonts w:ascii="Arial" w:hAnsi="Arial" w:cs="Arial"/>
          <w:sz w:val="22"/>
          <w:szCs w:val="22"/>
        </w:rPr>
        <w:t xml:space="preserve"> and offer the potential for reduced treatment burden, </w:t>
      </w:r>
      <w:r w:rsidR="00573A49" w:rsidRPr="0033639F">
        <w:rPr>
          <w:rFonts w:ascii="Arial" w:hAnsi="Arial" w:cs="Arial"/>
          <w:sz w:val="22"/>
          <w:szCs w:val="22"/>
        </w:rPr>
        <w:t>increased compli</w:t>
      </w:r>
      <w:r w:rsidR="002733C1" w:rsidRPr="0033639F">
        <w:rPr>
          <w:rFonts w:ascii="Arial" w:hAnsi="Arial" w:cs="Arial"/>
          <w:sz w:val="22"/>
          <w:szCs w:val="22"/>
        </w:rPr>
        <w:t xml:space="preserve">ance </w:t>
      </w:r>
      <w:r w:rsidR="009B552E" w:rsidRPr="0033639F">
        <w:rPr>
          <w:rFonts w:ascii="Arial" w:hAnsi="Arial" w:cs="Arial"/>
          <w:sz w:val="22"/>
          <w:szCs w:val="22"/>
        </w:rPr>
        <w:t xml:space="preserve">and </w:t>
      </w:r>
      <w:r w:rsidR="00573A49" w:rsidRPr="0033639F">
        <w:rPr>
          <w:rFonts w:ascii="Arial" w:hAnsi="Arial" w:cs="Arial"/>
          <w:sz w:val="22"/>
          <w:szCs w:val="22"/>
        </w:rPr>
        <w:t>improved clinical outcomes</w:t>
      </w:r>
      <w:r w:rsidR="00486990" w:rsidRPr="0033639F">
        <w:rPr>
          <w:rFonts w:ascii="Arial" w:hAnsi="Arial" w:cs="Arial"/>
          <w:sz w:val="22"/>
          <w:szCs w:val="22"/>
        </w:rPr>
        <w:t xml:space="preserve"> (219,288)</w:t>
      </w:r>
      <w:r w:rsidR="00573A49" w:rsidRPr="0033639F">
        <w:rPr>
          <w:rFonts w:ascii="Arial" w:hAnsi="Arial" w:cs="Arial"/>
          <w:sz w:val="22"/>
          <w:szCs w:val="22"/>
        </w:rPr>
        <w:t>.</w:t>
      </w:r>
      <w:r w:rsidR="00486990" w:rsidRPr="0033639F">
        <w:rPr>
          <w:rFonts w:ascii="Arial" w:hAnsi="Arial" w:cs="Arial"/>
          <w:sz w:val="22"/>
          <w:szCs w:val="22"/>
        </w:rPr>
        <w:t xml:space="preserve"> </w:t>
      </w:r>
      <w:r w:rsidRPr="0033639F">
        <w:rPr>
          <w:rFonts w:ascii="Arial" w:hAnsi="Arial" w:cs="Arial"/>
          <w:color w:val="000000" w:themeColor="text1"/>
          <w:sz w:val="22"/>
          <w:szCs w:val="22"/>
          <w:shd w:val="clear" w:color="auto" w:fill="FFFFFF"/>
        </w:rPr>
        <w:t>However, long-term safety concerns and non</w:t>
      </w:r>
      <w:r w:rsidR="00074448" w:rsidRPr="0033639F">
        <w:rPr>
          <w:rFonts w:ascii="Arial" w:hAnsi="Arial" w:cs="Arial"/>
          <w:color w:val="000000" w:themeColor="text1"/>
          <w:sz w:val="22"/>
          <w:szCs w:val="22"/>
          <w:shd w:val="clear" w:color="auto" w:fill="FFFFFF"/>
        </w:rPr>
        <w:t>-</w:t>
      </w:r>
      <w:r w:rsidRPr="0033639F">
        <w:rPr>
          <w:rFonts w:ascii="Arial" w:hAnsi="Arial" w:cs="Arial"/>
          <w:color w:val="000000" w:themeColor="text1"/>
          <w:sz w:val="22"/>
          <w:szCs w:val="22"/>
          <w:shd w:val="clear" w:color="auto" w:fill="FFFFFF"/>
        </w:rPr>
        <w:t>physiological GH profiles, need to be carefully monitored and addressed in future studies</w:t>
      </w:r>
      <w:r w:rsidR="002D4D2B" w:rsidRPr="0033639F">
        <w:rPr>
          <w:rFonts w:ascii="Arial" w:hAnsi="Arial" w:cs="Arial"/>
          <w:color w:val="000000" w:themeColor="text1"/>
          <w:sz w:val="22"/>
          <w:szCs w:val="22"/>
          <w:shd w:val="clear" w:color="auto" w:fill="FFFFFF"/>
        </w:rPr>
        <w:t xml:space="preserve">; </w:t>
      </w:r>
      <w:r w:rsidR="00A7139B" w:rsidRPr="0033639F">
        <w:rPr>
          <w:rFonts w:ascii="Arial" w:hAnsi="Arial" w:cs="Arial"/>
          <w:color w:val="000000" w:themeColor="text1"/>
          <w:sz w:val="22"/>
          <w:szCs w:val="22"/>
          <w:shd w:val="clear" w:color="auto" w:fill="FFFFFF"/>
        </w:rPr>
        <w:t xml:space="preserve">a growth hormone </w:t>
      </w:r>
      <w:r w:rsidR="002D4D2B" w:rsidRPr="0033639F">
        <w:rPr>
          <w:rFonts w:ascii="Arial" w:hAnsi="Arial" w:cs="Arial"/>
          <w:color w:val="000000" w:themeColor="text1"/>
          <w:sz w:val="22"/>
          <w:szCs w:val="22"/>
          <w:shd w:val="clear" w:color="auto" w:fill="FFFFFF"/>
        </w:rPr>
        <w:t>registr</w:t>
      </w:r>
      <w:r w:rsidR="00A7139B" w:rsidRPr="0033639F">
        <w:rPr>
          <w:rFonts w:ascii="Arial" w:hAnsi="Arial" w:cs="Arial"/>
          <w:color w:val="000000" w:themeColor="text1"/>
          <w:sz w:val="22"/>
          <w:szCs w:val="22"/>
          <w:shd w:val="clear" w:color="auto" w:fill="FFFFFF"/>
        </w:rPr>
        <w:t>y for daily and weekly GH preparations</w:t>
      </w:r>
      <w:r w:rsidR="00654A78" w:rsidRPr="0033639F">
        <w:rPr>
          <w:rFonts w:ascii="Arial" w:hAnsi="Arial" w:cs="Arial"/>
          <w:color w:val="000000" w:themeColor="text1"/>
          <w:sz w:val="22"/>
          <w:szCs w:val="22"/>
          <w:shd w:val="clear" w:color="auto" w:fill="FFFFFF"/>
        </w:rPr>
        <w:t xml:space="preserve"> </w:t>
      </w:r>
      <w:r w:rsidR="00FB7C23" w:rsidRPr="0033639F">
        <w:rPr>
          <w:rFonts w:ascii="Arial" w:hAnsi="Arial" w:cs="Arial"/>
          <w:color w:val="000000" w:themeColor="text1"/>
          <w:sz w:val="22"/>
          <w:szCs w:val="22"/>
          <w:shd w:val="clear" w:color="auto" w:fill="FFFFFF"/>
        </w:rPr>
        <w:t>may help resolve these questions</w:t>
      </w:r>
      <w:r w:rsidR="00486990" w:rsidRPr="0033639F">
        <w:rPr>
          <w:rFonts w:ascii="Arial" w:hAnsi="Arial" w:cs="Arial"/>
          <w:color w:val="000000" w:themeColor="text1"/>
          <w:sz w:val="22"/>
          <w:szCs w:val="22"/>
          <w:shd w:val="clear" w:color="auto" w:fill="FFFFFF"/>
        </w:rPr>
        <w:t xml:space="preserve"> (250,289). </w:t>
      </w:r>
    </w:p>
    <w:p w14:paraId="708085F4" w14:textId="77777777" w:rsidR="00E7109A" w:rsidRPr="0033639F" w:rsidRDefault="00E7109A" w:rsidP="0033639F">
      <w:pPr>
        <w:spacing w:line="276" w:lineRule="auto"/>
        <w:outlineLvl w:val="1"/>
        <w:rPr>
          <w:rFonts w:ascii="Arial" w:hAnsi="Arial" w:cs="Arial"/>
          <w:noProof/>
          <w:sz w:val="22"/>
          <w:szCs w:val="22"/>
        </w:rPr>
      </w:pPr>
    </w:p>
    <w:p w14:paraId="795BEA36" w14:textId="0D9FD269" w:rsidR="00936494" w:rsidRDefault="00F35DF4" w:rsidP="0033639F">
      <w:pPr>
        <w:spacing w:line="276" w:lineRule="auto"/>
        <w:rPr>
          <w:rFonts w:ascii="Arial" w:hAnsi="Arial" w:cs="Arial"/>
          <w:sz w:val="22"/>
          <w:szCs w:val="22"/>
        </w:rPr>
      </w:pPr>
      <w:bookmarkStart w:id="48" w:name="id2507509"/>
      <w:bookmarkEnd w:id="48"/>
      <w:r w:rsidRPr="0033639F">
        <w:rPr>
          <w:rFonts w:ascii="Arial" w:hAnsi="Arial" w:cs="Arial"/>
          <w:sz w:val="22"/>
          <w:szCs w:val="22"/>
        </w:rPr>
        <w:t>The understanding of growth remains complex</w:t>
      </w:r>
      <w:r w:rsidR="00A21C78" w:rsidRPr="0033639F">
        <w:rPr>
          <w:rFonts w:ascii="Arial" w:hAnsi="Arial" w:cs="Arial"/>
          <w:sz w:val="22"/>
          <w:szCs w:val="22"/>
        </w:rPr>
        <w:t>,</w:t>
      </w:r>
      <w:r w:rsidRPr="0033639F">
        <w:rPr>
          <w:rFonts w:ascii="Arial" w:hAnsi="Arial" w:cs="Arial"/>
          <w:sz w:val="22"/>
          <w:szCs w:val="22"/>
        </w:rPr>
        <w:t xml:space="preserve"> despite remarkable scientific advances in the last decades. Elucidation of new genetic factors</w:t>
      </w:r>
      <w:r w:rsidR="008C0938" w:rsidRPr="0033639F">
        <w:rPr>
          <w:rFonts w:ascii="Arial" w:hAnsi="Arial" w:cs="Arial"/>
          <w:sz w:val="22"/>
          <w:szCs w:val="22"/>
        </w:rPr>
        <w:t xml:space="preserve">, </w:t>
      </w:r>
      <w:r w:rsidR="00854141" w:rsidRPr="0033639F">
        <w:rPr>
          <w:rFonts w:ascii="Arial" w:hAnsi="Arial" w:cs="Arial"/>
          <w:sz w:val="22"/>
          <w:szCs w:val="22"/>
        </w:rPr>
        <w:t xml:space="preserve">diagnostic </w:t>
      </w:r>
      <w:r w:rsidR="008C0938" w:rsidRPr="0033639F">
        <w:rPr>
          <w:rFonts w:ascii="Arial" w:hAnsi="Arial" w:cs="Arial"/>
          <w:sz w:val="22"/>
          <w:szCs w:val="22"/>
        </w:rPr>
        <w:t>tests</w:t>
      </w:r>
      <w:r w:rsidR="00A60F00" w:rsidRPr="0033639F">
        <w:rPr>
          <w:rFonts w:ascii="Arial" w:hAnsi="Arial" w:cs="Arial"/>
          <w:sz w:val="22"/>
          <w:szCs w:val="22"/>
        </w:rPr>
        <w:t xml:space="preserve"> and treatment options</w:t>
      </w:r>
      <w:r w:rsidRPr="0033639F">
        <w:rPr>
          <w:rFonts w:ascii="Arial" w:hAnsi="Arial" w:cs="Arial"/>
          <w:sz w:val="22"/>
          <w:szCs w:val="22"/>
        </w:rPr>
        <w:t xml:space="preserve"> will provide us with a better understanding of the physiology of growth and should lead to improved diagnosis and</w:t>
      </w:r>
      <w:r w:rsidR="00590BD6" w:rsidRPr="0033639F">
        <w:rPr>
          <w:rFonts w:ascii="Arial" w:hAnsi="Arial" w:cs="Arial"/>
          <w:sz w:val="22"/>
          <w:szCs w:val="22"/>
        </w:rPr>
        <w:t xml:space="preserve"> </w:t>
      </w:r>
      <w:r w:rsidRPr="0033639F">
        <w:rPr>
          <w:rFonts w:ascii="Arial" w:hAnsi="Arial" w:cs="Arial"/>
          <w:sz w:val="22"/>
          <w:szCs w:val="22"/>
        </w:rPr>
        <w:t>treatment</w:t>
      </w:r>
      <w:r w:rsidR="00E05132" w:rsidRPr="0033639F">
        <w:rPr>
          <w:rFonts w:ascii="Arial" w:hAnsi="Arial" w:cs="Arial"/>
          <w:sz w:val="22"/>
          <w:szCs w:val="22"/>
        </w:rPr>
        <w:t xml:space="preserve"> options</w:t>
      </w:r>
      <w:r w:rsidR="00830234" w:rsidRPr="0033639F">
        <w:rPr>
          <w:rFonts w:ascii="Arial" w:hAnsi="Arial" w:cs="Arial"/>
          <w:sz w:val="22"/>
          <w:szCs w:val="22"/>
        </w:rPr>
        <w:t>,</w:t>
      </w:r>
      <w:r w:rsidR="00E05132" w:rsidRPr="0033639F">
        <w:rPr>
          <w:rFonts w:ascii="Arial" w:hAnsi="Arial" w:cs="Arial"/>
          <w:sz w:val="22"/>
          <w:szCs w:val="22"/>
        </w:rPr>
        <w:t xml:space="preserve"> individualized to </w:t>
      </w:r>
      <w:r w:rsidR="00C3065E" w:rsidRPr="0033639F">
        <w:rPr>
          <w:rFonts w:ascii="Arial" w:hAnsi="Arial" w:cs="Arial"/>
          <w:sz w:val="22"/>
          <w:szCs w:val="22"/>
        </w:rPr>
        <w:t>each</w:t>
      </w:r>
      <w:r w:rsidR="00830234" w:rsidRPr="0033639F">
        <w:rPr>
          <w:rFonts w:ascii="Arial" w:hAnsi="Arial" w:cs="Arial"/>
          <w:sz w:val="22"/>
          <w:szCs w:val="22"/>
        </w:rPr>
        <w:t xml:space="preserve"> patients</w:t>
      </w:r>
      <w:r w:rsidR="00B560A8" w:rsidRPr="0033639F">
        <w:rPr>
          <w:rFonts w:ascii="Arial" w:hAnsi="Arial" w:cs="Arial"/>
          <w:sz w:val="22"/>
          <w:szCs w:val="22"/>
        </w:rPr>
        <w:t>’</w:t>
      </w:r>
      <w:r w:rsidR="00830234" w:rsidRPr="0033639F">
        <w:rPr>
          <w:rFonts w:ascii="Arial" w:hAnsi="Arial" w:cs="Arial"/>
          <w:sz w:val="22"/>
          <w:szCs w:val="22"/>
        </w:rPr>
        <w:t xml:space="preserve"> unique </w:t>
      </w:r>
      <w:r w:rsidR="003511FF" w:rsidRPr="0033639F">
        <w:rPr>
          <w:rFonts w:ascii="Arial" w:hAnsi="Arial" w:cs="Arial"/>
          <w:sz w:val="22"/>
          <w:szCs w:val="22"/>
        </w:rPr>
        <w:t>situatio</w:t>
      </w:r>
      <w:r w:rsidR="00B560A8" w:rsidRPr="0033639F">
        <w:rPr>
          <w:rFonts w:ascii="Arial" w:hAnsi="Arial" w:cs="Arial"/>
          <w:sz w:val="22"/>
          <w:szCs w:val="22"/>
        </w:rPr>
        <w:t>n.</w:t>
      </w:r>
    </w:p>
    <w:p w14:paraId="0D9B01DD" w14:textId="77777777" w:rsidR="00E7109A" w:rsidRPr="0033639F" w:rsidRDefault="00E7109A" w:rsidP="0033639F">
      <w:pPr>
        <w:spacing w:line="276" w:lineRule="auto"/>
        <w:rPr>
          <w:rFonts w:ascii="Arial" w:hAnsi="Arial" w:cs="Arial"/>
          <w:b/>
          <w:bCs/>
          <w:sz w:val="22"/>
          <w:szCs w:val="22"/>
        </w:rPr>
      </w:pPr>
    </w:p>
    <w:p w14:paraId="68C3366E" w14:textId="2E512096" w:rsidR="007F7828" w:rsidRPr="00E7109A" w:rsidRDefault="007F7828" w:rsidP="0033639F">
      <w:pPr>
        <w:spacing w:line="276" w:lineRule="auto"/>
        <w:outlineLvl w:val="1"/>
        <w:rPr>
          <w:rFonts w:ascii="Arial" w:hAnsi="Arial" w:cs="Arial"/>
          <w:b/>
          <w:bCs/>
          <w:color w:val="0070C0"/>
          <w:sz w:val="22"/>
          <w:szCs w:val="22"/>
        </w:rPr>
      </w:pPr>
      <w:r w:rsidRPr="00E7109A">
        <w:rPr>
          <w:rFonts w:ascii="Arial" w:hAnsi="Arial" w:cs="Arial"/>
          <w:b/>
          <w:bCs/>
          <w:color w:val="0070C0"/>
          <w:sz w:val="22"/>
          <w:szCs w:val="22"/>
        </w:rPr>
        <w:t>REFERENCES</w:t>
      </w:r>
    </w:p>
    <w:p w14:paraId="6CCC5B04" w14:textId="77777777" w:rsidR="0033639F" w:rsidRPr="0033639F" w:rsidRDefault="0033639F" w:rsidP="0033639F">
      <w:pPr>
        <w:spacing w:line="276" w:lineRule="auto"/>
        <w:outlineLvl w:val="1"/>
        <w:rPr>
          <w:rFonts w:ascii="Arial" w:hAnsi="Arial" w:cs="Arial"/>
          <w:b/>
          <w:bCs/>
          <w:sz w:val="22"/>
          <w:szCs w:val="22"/>
        </w:rPr>
      </w:pPr>
    </w:p>
    <w:p w14:paraId="3ED21EA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bookmarkStart w:id="49" w:name="_ENREF_153"/>
      <w:bookmarkEnd w:id="49"/>
      <w:r w:rsidRPr="0033639F">
        <w:rPr>
          <w:rFonts w:ascii="Arial" w:hAnsi="Arial" w:cs="Arial"/>
          <w:noProof/>
          <w:sz w:val="22"/>
          <w:szCs w:val="22"/>
        </w:rPr>
        <w:lastRenderedPageBreak/>
        <w:t xml:space="preserve">1. </w:t>
      </w:r>
      <w:r w:rsidRPr="0033639F">
        <w:rPr>
          <w:rFonts w:ascii="Arial" w:hAnsi="Arial" w:cs="Arial"/>
          <w:noProof/>
          <w:sz w:val="22"/>
          <w:szCs w:val="22"/>
        </w:rPr>
        <w:tab/>
        <w:t xml:space="preserve">Knobil E, Greep R. The physiology of growth hormone with particular reference to its action in the rhesus monkey and the’species specificity’problem. Recent Progr Horm Res. 1959;15(1). </w:t>
      </w:r>
    </w:p>
    <w:p w14:paraId="1DEFD45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 </w:t>
      </w:r>
      <w:r w:rsidRPr="0033639F">
        <w:rPr>
          <w:rFonts w:ascii="Arial" w:hAnsi="Arial" w:cs="Arial"/>
          <w:noProof/>
          <w:sz w:val="22"/>
          <w:szCs w:val="22"/>
        </w:rPr>
        <w:tab/>
        <w:t xml:space="preserve">Ranke MB, Wit JM. Growth hormone - past, present and future. Nat Rev Endocrinol. 2018 May;14(5):285–300. </w:t>
      </w:r>
    </w:p>
    <w:p w14:paraId="14B1493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3. </w:t>
      </w:r>
      <w:r w:rsidRPr="0033639F">
        <w:rPr>
          <w:rFonts w:ascii="Arial" w:hAnsi="Arial" w:cs="Arial"/>
          <w:noProof/>
          <w:sz w:val="22"/>
          <w:szCs w:val="22"/>
        </w:rPr>
        <w:tab/>
        <w:t>Slonim AE, Bulone L, Damore MB, Goldberg T, Wingertzahn MA, McKinley MJ. A preliminary study of growth hormone therapy for Crohn’s disease. N Engl J Med. 2000;342(22):1633–7.</w:t>
      </w:r>
    </w:p>
    <w:p w14:paraId="7051E33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4. </w:t>
      </w:r>
      <w:r w:rsidRPr="0033639F">
        <w:rPr>
          <w:rFonts w:ascii="Arial" w:hAnsi="Arial" w:cs="Arial"/>
          <w:noProof/>
          <w:sz w:val="22"/>
          <w:szCs w:val="22"/>
        </w:rPr>
        <w:tab/>
        <w:t xml:space="preserve">Touati G, Prieur AM, Ruiz JC, Noel M, Czernichow P. Beneficial effects of one-year growth hormone administration to children with juvenile chronic arthritis on chronic steroid therapy. I. Effects on growth velocity and body composition. J Clin Endocrinol Metab. 1998;83(2):403–9. </w:t>
      </w:r>
    </w:p>
    <w:p w14:paraId="1086D64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5. </w:t>
      </w:r>
      <w:r w:rsidRPr="0033639F">
        <w:rPr>
          <w:rFonts w:ascii="Arial" w:hAnsi="Arial" w:cs="Arial"/>
          <w:noProof/>
          <w:sz w:val="22"/>
          <w:szCs w:val="22"/>
        </w:rPr>
        <w:tab/>
        <w:t xml:space="preserve">Hardin DS, Stratton R, Kramer JC, de la Rocha SR, Govaerts K, Wilson DP. Growth hormone improves weight velocity and height velocity in prepubertal children with cystic fibrosis. Horm Metab Res. 1998;30(10):636–41. </w:t>
      </w:r>
    </w:p>
    <w:p w14:paraId="1FD824A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6. </w:t>
      </w:r>
      <w:r w:rsidRPr="0033639F">
        <w:rPr>
          <w:rFonts w:ascii="Arial" w:hAnsi="Arial" w:cs="Arial"/>
          <w:noProof/>
          <w:sz w:val="22"/>
          <w:szCs w:val="22"/>
        </w:rPr>
        <w:tab/>
        <w:t xml:space="preserve">Hardin DS, Ellis KJ, Dyson M, Rice J, McConnell R, Seilheimer DK. Growth hormone improves clinical status in prepubertal children with cystic fibrosis: results of a randomized controlled trial. J Pediatr. 2001;139(5):636–42. </w:t>
      </w:r>
    </w:p>
    <w:p w14:paraId="4203355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7. </w:t>
      </w:r>
      <w:r w:rsidRPr="0033639F">
        <w:rPr>
          <w:rFonts w:ascii="Arial" w:hAnsi="Arial" w:cs="Arial"/>
          <w:noProof/>
          <w:sz w:val="22"/>
          <w:szCs w:val="22"/>
        </w:rPr>
        <w:tab/>
        <w:t xml:space="preserve">Gullett NP, Hebbar G, Ziegler TR. Update on clinical trials of growth factors and anabolic steroids in cachexia and  wasting. Am J Clin Nutr. 2010 Apr;91(4):1143S-1147S. </w:t>
      </w:r>
    </w:p>
    <w:p w14:paraId="1021610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8. </w:t>
      </w:r>
      <w:r w:rsidRPr="0033639F">
        <w:rPr>
          <w:rFonts w:ascii="Arial" w:hAnsi="Arial" w:cs="Arial"/>
          <w:noProof/>
          <w:sz w:val="22"/>
          <w:szCs w:val="22"/>
        </w:rPr>
        <w:tab/>
        <w:t xml:space="preserve">Wilson TA, Rose SR, Cohen P, Rogol AD, Backeljauw P, Brown R, et al. Update of guidelines for the use of growth hormone in children: the Lawson Wilkins Pediatric Endocrinology Society Drug and Therapeutics Committee. J Pediatr. 2003;143(4):415–21. </w:t>
      </w:r>
    </w:p>
    <w:p w14:paraId="6B944C5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9. </w:t>
      </w:r>
      <w:r w:rsidRPr="0033639F">
        <w:rPr>
          <w:rFonts w:ascii="Arial" w:hAnsi="Arial" w:cs="Arial"/>
          <w:noProof/>
          <w:sz w:val="22"/>
          <w:szCs w:val="22"/>
        </w:rPr>
        <w:tab/>
        <w:t xml:space="preserve">Savage MO, Simon D, Czernichow PC. Growth hormone treatment in children on chronic glucorticoid therapy. Endocr Dev. 2011;20:194–201. </w:t>
      </w:r>
    </w:p>
    <w:p w14:paraId="3342918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10. </w:t>
      </w:r>
      <w:r w:rsidRPr="0033639F">
        <w:rPr>
          <w:rFonts w:ascii="Arial" w:hAnsi="Arial" w:cs="Arial"/>
          <w:noProof/>
          <w:sz w:val="22"/>
          <w:szCs w:val="22"/>
        </w:rPr>
        <w:tab/>
        <w:t>Mauras N, George D, Evans J, Milov D, Abrams S, Rini A, et al. Growth hormone has anabolic effects in glucocorticosteroid-dependent children with inflammatory bowel disease: A pilot study. Metabolism. 2002;51(1):127–35.</w:t>
      </w:r>
    </w:p>
    <w:p w14:paraId="1BD5F11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11. </w:t>
      </w:r>
      <w:r w:rsidRPr="0033639F">
        <w:rPr>
          <w:rFonts w:ascii="Arial" w:hAnsi="Arial" w:cs="Arial"/>
          <w:noProof/>
          <w:sz w:val="22"/>
          <w:szCs w:val="22"/>
        </w:rPr>
        <w:tab/>
        <w:t xml:space="preserve">Lin-Su K, Vogiatzi MG, Marshall I, Harbison MD, Macapagal MC, Betensky B, et al. Treatment with growth hormone and LHRH analogue improves final adult height in children with congenital adrenal hyperplasia. J Clin Endocrinol Metab. 2005;jc.2004-2128. </w:t>
      </w:r>
    </w:p>
    <w:p w14:paraId="798EBB4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12. </w:t>
      </w:r>
      <w:r w:rsidRPr="0033639F">
        <w:rPr>
          <w:rFonts w:ascii="Arial" w:hAnsi="Arial" w:cs="Arial"/>
          <w:noProof/>
          <w:sz w:val="22"/>
          <w:szCs w:val="22"/>
        </w:rPr>
        <w:tab/>
        <w:t xml:space="preserve">Rosenbloom AL. Mecasermin (recombinant human insulin-like growth factor I). Adv Ther. 2009;26(1):40. </w:t>
      </w:r>
    </w:p>
    <w:p w14:paraId="73B4386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13. </w:t>
      </w:r>
      <w:r w:rsidRPr="0033639F">
        <w:rPr>
          <w:rFonts w:ascii="Arial" w:hAnsi="Arial" w:cs="Arial"/>
          <w:noProof/>
          <w:sz w:val="22"/>
          <w:szCs w:val="22"/>
        </w:rPr>
        <w:tab/>
        <w:t xml:space="preserve">Larsen WJ. Human Embryology. Second. Churchhill Livingstone, Inc; 1997. </w:t>
      </w:r>
    </w:p>
    <w:p w14:paraId="63E5F4D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14. </w:t>
      </w:r>
      <w:r w:rsidRPr="0033639F">
        <w:rPr>
          <w:rFonts w:ascii="Arial" w:hAnsi="Arial" w:cs="Arial"/>
          <w:noProof/>
          <w:sz w:val="22"/>
          <w:szCs w:val="22"/>
        </w:rPr>
        <w:tab/>
        <w:t xml:space="preserve">De Rienzo F, Mellone S, Bellone S, Babu D, Fusco I, Prodam F, et al. Frequency of genetic defects in combined pituitary hormone deficiency: a systematic review and analysis of a multicentre Italian cohort. Clin Endocrinol. 2015;83(6):849–60. </w:t>
      </w:r>
    </w:p>
    <w:p w14:paraId="07EE689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15. </w:t>
      </w:r>
      <w:r w:rsidRPr="0033639F">
        <w:rPr>
          <w:rFonts w:ascii="Arial" w:hAnsi="Arial" w:cs="Arial"/>
          <w:noProof/>
          <w:sz w:val="22"/>
          <w:szCs w:val="22"/>
        </w:rPr>
        <w:tab/>
        <w:t xml:space="preserve">Phillips JA, Cogan JD. Genetic basis of endocrine disease. 6. Molecular basis of familial human growth hormone deficiency. J Clin Endocrinol Metab. 1994;78(1):11–6. </w:t>
      </w:r>
    </w:p>
    <w:p w14:paraId="60305C0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16. </w:t>
      </w:r>
      <w:r w:rsidRPr="0033639F">
        <w:rPr>
          <w:rFonts w:ascii="Arial" w:hAnsi="Arial" w:cs="Arial"/>
          <w:noProof/>
          <w:sz w:val="22"/>
          <w:szCs w:val="22"/>
        </w:rPr>
        <w:tab/>
        <w:t xml:space="preserve">Roessler E, Du Y-Z, Mullor JL, Casas E, Allen WP, Gillessen-Kaesbach G, et al. Loss-of-function mutations in the human GLI2 gene are associated with pituitary anomalies and holoprosencephaly-like features. Proc Natl Acad Sci U S A. 2003;100(23):13424–9. </w:t>
      </w:r>
    </w:p>
    <w:p w14:paraId="3A4832B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17. </w:t>
      </w:r>
      <w:r w:rsidRPr="0033639F">
        <w:rPr>
          <w:rFonts w:ascii="Arial" w:hAnsi="Arial" w:cs="Arial"/>
          <w:noProof/>
          <w:sz w:val="22"/>
          <w:szCs w:val="22"/>
        </w:rPr>
        <w:tab/>
        <w:t xml:space="preserve">Roessler E, Ermilov AN, Grange DK, Wang A, Grachtchouk M, Dlugosz AA, et al. A previously unidentified amino-terminal domain regulates transcriptional activity of wild-type </w:t>
      </w:r>
      <w:r w:rsidRPr="0033639F">
        <w:rPr>
          <w:rFonts w:ascii="Arial" w:hAnsi="Arial" w:cs="Arial"/>
          <w:noProof/>
          <w:sz w:val="22"/>
          <w:szCs w:val="22"/>
        </w:rPr>
        <w:lastRenderedPageBreak/>
        <w:t xml:space="preserve">and disease-associated human GLI2. Hum Mol Genet. 2005;14(15):2181–8. </w:t>
      </w:r>
    </w:p>
    <w:p w14:paraId="7ECE881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18. </w:t>
      </w:r>
      <w:r w:rsidRPr="0033639F">
        <w:rPr>
          <w:rFonts w:ascii="Arial" w:hAnsi="Arial" w:cs="Arial"/>
          <w:noProof/>
          <w:sz w:val="22"/>
          <w:szCs w:val="22"/>
        </w:rPr>
        <w:tab/>
        <w:t xml:space="preserve">França MM, Jorge AAL, Carvalho LRS, Costalonga EF, Vasques GA, Leite CC, et al. Novel heterozygous nonsense GLI2 mutations in patients with hypopituitarism and ectopic posterior pituitary lobe without holoprosencephaly. J Clin Endocrinol Metab. 2010;95(11):E384–91. </w:t>
      </w:r>
    </w:p>
    <w:p w14:paraId="5447027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19. </w:t>
      </w:r>
      <w:r w:rsidRPr="0033639F">
        <w:rPr>
          <w:rFonts w:ascii="Arial" w:hAnsi="Arial" w:cs="Arial"/>
          <w:noProof/>
          <w:sz w:val="22"/>
          <w:szCs w:val="22"/>
        </w:rPr>
        <w:tab/>
        <w:t xml:space="preserve">Demiral M, Demirbilek H, Unal E, Durmaz CD, Ceylaner S, Ozbek MN. Ectopic posterior pituitary, polydactyly, midfacial hypoplasia and multiple pituitary hormone deficiency due to a novel heterozygous IVS11-2A&gt;C(C.1957-2A&gt;C) mutation in GLI2 gene. J Clin Res Pediatr Endocrinol. 2020;12(3):319-28. </w:t>
      </w:r>
    </w:p>
    <w:p w14:paraId="433666A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20. </w:t>
      </w:r>
      <w:r w:rsidRPr="0033639F">
        <w:rPr>
          <w:rFonts w:ascii="Arial" w:hAnsi="Arial" w:cs="Arial"/>
          <w:noProof/>
          <w:sz w:val="22"/>
          <w:szCs w:val="22"/>
        </w:rPr>
        <w:tab/>
        <w:t xml:space="preserve">Netchine I, Sobrier ML, Krude H, Schnabel D, Maghnie M, Marcos E, et al. Mutations in LHX3 result in a new syndrome revealed by combined pituitary hormone deficiency. Nat Genet. 2000;25(2):182–6. </w:t>
      </w:r>
    </w:p>
    <w:p w14:paraId="190DAD5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21. </w:t>
      </w:r>
      <w:r w:rsidRPr="0033639F">
        <w:rPr>
          <w:rFonts w:ascii="Arial" w:hAnsi="Arial" w:cs="Arial"/>
          <w:noProof/>
          <w:sz w:val="22"/>
          <w:szCs w:val="22"/>
        </w:rPr>
        <w:tab/>
        <w:t xml:space="preserve">Bhangoo APS, Hunter CS, Savage JJ, Anhalt H, Pavlakis S, Walvoord EC, et al. Clinical case seminar: a novel LHX3 mutation presenting as combined pituitary hormonal deficiency. J Clin Endocrinol Metab. 2006;91(3):747–53. </w:t>
      </w:r>
    </w:p>
    <w:p w14:paraId="3CC0198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22. </w:t>
      </w:r>
      <w:r w:rsidRPr="0033639F">
        <w:rPr>
          <w:rFonts w:ascii="Arial" w:hAnsi="Arial" w:cs="Arial"/>
          <w:noProof/>
          <w:sz w:val="22"/>
          <w:szCs w:val="22"/>
        </w:rPr>
        <w:tab/>
        <w:t xml:space="preserve">Raetzman LT, Ward R, Camper SA. Lhx4 and Prop1 are required for cell survival and expansion of the pituitary primordia. Development. 2002;129(18):4229–39. </w:t>
      </w:r>
    </w:p>
    <w:p w14:paraId="309F527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23. </w:t>
      </w:r>
      <w:r w:rsidRPr="0033639F">
        <w:rPr>
          <w:rFonts w:ascii="Arial" w:hAnsi="Arial" w:cs="Arial"/>
          <w:noProof/>
          <w:sz w:val="22"/>
          <w:szCs w:val="22"/>
        </w:rPr>
        <w:tab/>
        <w:t xml:space="preserve">Mullen RD, Colvin SC, Hunter CS, Savage JJ, Walvoord EC, Bhangoo APS, et al. Roles of the LHX3 and LHX4 LIM-homeodomain factors in pituitary development. Mol Cell Endocrinol. 2007 Feb;265–266:190–5. </w:t>
      </w:r>
    </w:p>
    <w:p w14:paraId="6B2B689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24. </w:t>
      </w:r>
      <w:r w:rsidRPr="0033639F">
        <w:rPr>
          <w:rFonts w:ascii="Arial" w:hAnsi="Arial" w:cs="Arial"/>
          <w:noProof/>
          <w:sz w:val="22"/>
          <w:szCs w:val="22"/>
        </w:rPr>
        <w:tab/>
        <w:t xml:space="preserve">Sobrier ML, Attié-Bitach T, Netchine I, Encha-Razavi F, Vekemans M, Amselem S. Pathophysiology of syndromic combined pituitary hormone deficiency due to a LHX3 defect in light of LHX3 and LHX4 expression during early human development. Gene Expr Patterns. 2004;5(2):279–84. </w:t>
      </w:r>
    </w:p>
    <w:p w14:paraId="7B5815A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25. </w:t>
      </w:r>
      <w:r w:rsidRPr="0033639F">
        <w:rPr>
          <w:rFonts w:ascii="Arial" w:hAnsi="Arial" w:cs="Arial"/>
          <w:noProof/>
          <w:sz w:val="22"/>
          <w:szCs w:val="22"/>
        </w:rPr>
        <w:tab/>
        <w:t xml:space="preserve">Machinis K, Pantel J, Netchine I, Leger J, Camand OJ, Sobrier ML, et al. Syndromic short stature in patients with a germline mutation in the LIM homeobox LHX4. Am J Hum Genet. 2001;69(5):961–8. </w:t>
      </w:r>
    </w:p>
    <w:p w14:paraId="7D43E63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26. </w:t>
      </w:r>
      <w:r w:rsidRPr="0033639F">
        <w:rPr>
          <w:rFonts w:ascii="Arial" w:hAnsi="Arial" w:cs="Arial"/>
          <w:noProof/>
          <w:sz w:val="22"/>
          <w:szCs w:val="22"/>
        </w:rPr>
        <w:tab/>
        <w:t xml:space="preserve">Dattani MT, Martinez-Barbera JP, Thomas PQ, Brickman JM, Gupta R, Martensson IL, et al. Mutations in the homeobox gene HESX1/Hesx1 associated with septo-optic dysplasia in human and mouse. Nat Genet. 1998;19(2):125–33. </w:t>
      </w:r>
    </w:p>
    <w:p w14:paraId="30E37C2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27. </w:t>
      </w:r>
      <w:r w:rsidRPr="0033639F">
        <w:rPr>
          <w:rFonts w:ascii="Arial" w:hAnsi="Arial" w:cs="Arial"/>
          <w:noProof/>
          <w:sz w:val="22"/>
          <w:szCs w:val="22"/>
        </w:rPr>
        <w:tab/>
        <w:t xml:space="preserve">Carvalho LR, Woods KS, Mendonca BB, Marcal N, Zamparini AL, Stifani S, et al. A homozygous mutation in HESX1 is associated with evolving hypopituitarism due to impaired repressor-corepressor interaction. J Clin Invest. 2003;112(8):1192–201. </w:t>
      </w:r>
    </w:p>
    <w:p w14:paraId="221F02F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28. </w:t>
      </w:r>
      <w:r w:rsidRPr="0033639F">
        <w:rPr>
          <w:rFonts w:ascii="Arial" w:hAnsi="Arial" w:cs="Arial"/>
          <w:noProof/>
          <w:sz w:val="22"/>
          <w:szCs w:val="22"/>
        </w:rPr>
        <w:tab/>
        <w:t xml:space="preserve">Parks JS, Brown MR, Hurley DL, Phelps CJ, Wajnrajch MP. Heritable disorders of pituitary development. J Clin Endocrinol Metab. 1999;84(12):4362–70. </w:t>
      </w:r>
    </w:p>
    <w:p w14:paraId="1AC0AD6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29. </w:t>
      </w:r>
      <w:r w:rsidRPr="0033639F">
        <w:rPr>
          <w:rFonts w:ascii="Arial" w:hAnsi="Arial" w:cs="Arial"/>
          <w:noProof/>
          <w:sz w:val="22"/>
          <w:szCs w:val="22"/>
        </w:rPr>
        <w:tab/>
        <w:t xml:space="preserve">Thomas PQ, Dattani MT, Brickman JM, McNay D, Warne G, Zacharin M, et al. Heterozygous HESX1 mutations associated with isolated congenital pituitary hypoplasia and septo-optic dysplasia. Hum Mol Genet. 2001;10(1):39–45. </w:t>
      </w:r>
    </w:p>
    <w:p w14:paraId="6CC9C1D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30. </w:t>
      </w:r>
      <w:r w:rsidRPr="0033639F">
        <w:rPr>
          <w:rFonts w:ascii="Arial" w:hAnsi="Arial" w:cs="Arial"/>
          <w:noProof/>
          <w:sz w:val="22"/>
          <w:szCs w:val="22"/>
        </w:rPr>
        <w:tab/>
        <w:t xml:space="preserve">Rosenbloom A l., Almonte AS, Brown MR, Fisher DA, Baumbach L, Parks JS. Clinical and biochemical phenotype of familial anterior hypopituitarism from mutation of the PROP1 gene. J Clin Endocrinol Metab. 1999;84(1):50–7. </w:t>
      </w:r>
    </w:p>
    <w:p w14:paraId="131EBC3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31. </w:t>
      </w:r>
      <w:r w:rsidRPr="0033639F">
        <w:rPr>
          <w:rFonts w:ascii="Arial" w:hAnsi="Arial" w:cs="Arial"/>
          <w:noProof/>
          <w:sz w:val="22"/>
          <w:szCs w:val="22"/>
        </w:rPr>
        <w:tab/>
        <w:t xml:space="preserve">Turton JPG, Mehta A, Raza J, Woods KS, Tiulpakov A, Cassar J, et al. Mutations within the transcription factor PROP1 are rare in a cohort of patients with sporadic combined pituitary hormone deficiency (CPHD). Clin Endocrinol (Oxf). 2005;63(1):10–8. </w:t>
      </w:r>
    </w:p>
    <w:p w14:paraId="1D2637C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lastRenderedPageBreak/>
        <w:t xml:space="preserve">32. </w:t>
      </w:r>
      <w:r w:rsidRPr="0033639F">
        <w:rPr>
          <w:rFonts w:ascii="Arial" w:hAnsi="Arial" w:cs="Arial"/>
          <w:noProof/>
          <w:sz w:val="22"/>
          <w:szCs w:val="22"/>
        </w:rPr>
        <w:tab/>
        <w:t xml:space="preserve">Pfäffle RW, DiMattia GE, Parks JS, Brown MR, Wit JM, Jansen M, et al. Mutation of the POU-specific domain of Pit-1 and hypopituitarism without pituitary hypoplasia. Science. 1992;257(5073):1118–21. </w:t>
      </w:r>
    </w:p>
    <w:p w14:paraId="5E37C6C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33. </w:t>
      </w:r>
      <w:r w:rsidRPr="0033639F">
        <w:rPr>
          <w:rFonts w:ascii="Arial" w:hAnsi="Arial" w:cs="Arial"/>
          <w:noProof/>
          <w:sz w:val="22"/>
          <w:szCs w:val="22"/>
        </w:rPr>
        <w:tab/>
        <w:t xml:space="preserve">Turton JPG, Reynaud R, Mehta A, Torpiano J, Saveanu A, Woods KS, et al. Novel mutations within the POU1F1 gene associated with variable combined pituitary hormone deficiency. J Clin Endocrinol Metab. 2005;90(8):4762–70. </w:t>
      </w:r>
    </w:p>
    <w:p w14:paraId="1CD1C48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34. </w:t>
      </w:r>
      <w:r w:rsidRPr="0033639F">
        <w:rPr>
          <w:rFonts w:ascii="Arial" w:hAnsi="Arial" w:cs="Arial"/>
          <w:noProof/>
          <w:sz w:val="22"/>
          <w:szCs w:val="22"/>
        </w:rPr>
        <w:tab/>
        <w:t xml:space="preserve">Dattani MT. Growth hormone deficiency and combined pituitary hormone deficiency: does the genotype matter? Clin Endocrinol (Oxf). 2005;63(2):121–30. </w:t>
      </w:r>
    </w:p>
    <w:p w14:paraId="366DD2D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35. </w:t>
      </w:r>
      <w:r w:rsidRPr="0033639F">
        <w:rPr>
          <w:rFonts w:ascii="Arial" w:hAnsi="Arial" w:cs="Arial"/>
          <w:noProof/>
          <w:sz w:val="22"/>
          <w:szCs w:val="22"/>
        </w:rPr>
        <w:tab/>
        <w:t>Rizzoti K, Brunelli S, Carmignac D, Thomas PQ, Robinson IC, Lovell-Badge R. SOX3 is required during the formation of the hypothalamo-pituitary axis. Nat Genet. 2004;36(3):247–55.</w:t>
      </w:r>
    </w:p>
    <w:p w14:paraId="2E3DC9B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36. </w:t>
      </w:r>
      <w:r w:rsidRPr="0033639F">
        <w:rPr>
          <w:rFonts w:ascii="Arial" w:hAnsi="Arial" w:cs="Arial"/>
          <w:noProof/>
          <w:sz w:val="22"/>
          <w:szCs w:val="22"/>
        </w:rPr>
        <w:tab/>
        <w:t>Foster JW, Graves JA. An SRY-related sequence on the marsupial X chromosome: implications for the evolution of the mammalian testis-determining gene. Proc Natl Acad Sci U S A. 1994;91(5):1927–31.</w:t>
      </w:r>
    </w:p>
    <w:p w14:paraId="136F210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37. </w:t>
      </w:r>
      <w:r w:rsidRPr="0033639F">
        <w:rPr>
          <w:rFonts w:ascii="Arial" w:hAnsi="Arial" w:cs="Arial"/>
          <w:noProof/>
          <w:sz w:val="22"/>
          <w:szCs w:val="22"/>
        </w:rPr>
        <w:tab/>
        <w:t xml:space="preserve">Stevanović M, Lovell-Badge R, Collignon J, Goodfellow PN. SOX3 is an X-linked gene related to SRY. Hum Mol Genet. 1993;2(12):2013–8. </w:t>
      </w:r>
    </w:p>
    <w:p w14:paraId="2952FD4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38. </w:t>
      </w:r>
      <w:r w:rsidRPr="0033639F">
        <w:rPr>
          <w:rFonts w:ascii="Arial" w:hAnsi="Arial" w:cs="Arial"/>
          <w:noProof/>
          <w:sz w:val="22"/>
          <w:szCs w:val="22"/>
        </w:rPr>
        <w:tab/>
        <w:t xml:space="preserve">Collignon J, Sockanathan S, Hacker A, Cohen-Tannoudji M, Norris D, Rastan S, et al. A comparison of the properties of Sox-3 with Sry and two related genes, Sox-1 and Sox-2. Development. 1996;122(2):509–20. </w:t>
      </w:r>
    </w:p>
    <w:p w14:paraId="6FCC8B8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39. </w:t>
      </w:r>
      <w:r w:rsidRPr="0033639F">
        <w:rPr>
          <w:rFonts w:ascii="Arial" w:hAnsi="Arial" w:cs="Arial"/>
          <w:noProof/>
          <w:sz w:val="22"/>
          <w:szCs w:val="22"/>
        </w:rPr>
        <w:tab/>
        <w:t xml:space="preserve">Laumonnier F, Ronce N, Hamel BCJ, Thomas P, Lespinasse J, Raynaud M, et al. Transcription factor SOX3 is involved in X-Linked mental retardation with growth hormone deficiency. Am J Hum Genet. 2002;71(6):1450–5. </w:t>
      </w:r>
    </w:p>
    <w:p w14:paraId="15118CF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40. </w:t>
      </w:r>
      <w:r w:rsidRPr="0033639F">
        <w:rPr>
          <w:rFonts w:ascii="Arial" w:hAnsi="Arial" w:cs="Arial"/>
          <w:noProof/>
          <w:sz w:val="22"/>
          <w:szCs w:val="22"/>
        </w:rPr>
        <w:tab/>
        <w:t>Woods KS, Cundall M, Turton J, Rizotti K, Mehta A, Palmer R, et al. Over- and underdosage of SOX3 is associated with infundibular hypoplasia and hypopituitarism. Am J Hum Genet. 2005;76(5):833–49.</w:t>
      </w:r>
    </w:p>
    <w:p w14:paraId="5D5AA2B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41. </w:t>
      </w:r>
      <w:r w:rsidRPr="0033639F">
        <w:rPr>
          <w:rFonts w:ascii="Arial" w:hAnsi="Arial" w:cs="Arial"/>
          <w:noProof/>
          <w:sz w:val="22"/>
          <w:szCs w:val="22"/>
        </w:rPr>
        <w:tab/>
        <w:t xml:space="preserve">Goosens M, Brauner R, Czernichow P, Duquesnoy P, Rapaport R. Isolated growth hormone (GH) deficiency type 1A associated with a double deletion in the human GH gene cluster. J Clin Endocrinol Metab. 1986;62(4):712–6. </w:t>
      </w:r>
    </w:p>
    <w:p w14:paraId="7922553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42. </w:t>
      </w:r>
      <w:r w:rsidRPr="0033639F">
        <w:rPr>
          <w:rFonts w:ascii="Arial" w:hAnsi="Arial" w:cs="Arial"/>
          <w:noProof/>
          <w:sz w:val="22"/>
          <w:szCs w:val="22"/>
        </w:rPr>
        <w:tab/>
        <w:t xml:space="preserve">Wagner JK, Eblé A, Hindmarsh PC, Mullis PE. Prevalence of human GH-1 gene alterations in patients with isolated growth hormone deficiency. Pediatr Res. 1998;43(1):105–10. </w:t>
      </w:r>
    </w:p>
    <w:p w14:paraId="352D464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43. </w:t>
      </w:r>
      <w:r w:rsidRPr="0033639F">
        <w:rPr>
          <w:rFonts w:ascii="Arial" w:hAnsi="Arial" w:cs="Arial"/>
          <w:noProof/>
          <w:sz w:val="22"/>
          <w:szCs w:val="22"/>
        </w:rPr>
        <w:tab/>
        <w:t xml:space="preserve">Wajnrajch MP, Gertner JM, Harbison MD, Chua SC, Leibel RL. Nonsense mutation in the human growth hormone releasing hormone receptor causes growth failure analogous to the little (lit) mouse. Nat Genet. 1996;12:88–90. </w:t>
      </w:r>
    </w:p>
    <w:p w14:paraId="24ECE28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44. </w:t>
      </w:r>
      <w:r w:rsidRPr="0033639F">
        <w:rPr>
          <w:rFonts w:ascii="Arial" w:hAnsi="Arial" w:cs="Arial"/>
          <w:noProof/>
          <w:sz w:val="22"/>
          <w:szCs w:val="22"/>
        </w:rPr>
        <w:tab/>
        <w:t xml:space="preserve">Binder G, Nagel BH, Ranke MB, Mullis PE. Isolated GH deficiency (IGHD) type II: imaging of the pituitary gland by magnetic resonance reveals characteristic differences in comparison with severe IGHD of unknown origin. Eur J Endocrinol. 2002;147(6):755–60. </w:t>
      </w:r>
    </w:p>
    <w:p w14:paraId="2EBB8114"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45. </w:t>
      </w:r>
      <w:r w:rsidRPr="0033639F">
        <w:rPr>
          <w:rFonts w:ascii="Arial" w:hAnsi="Arial" w:cs="Arial"/>
          <w:noProof/>
          <w:sz w:val="22"/>
          <w:szCs w:val="22"/>
        </w:rPr>
        <w:tab/>
        <w:t xml:space="preserve">Mullis PE, Robinson ICAF, Salemi S, Eble A, Besson A, Vuissoz J-M, et al. Isolated autosomal dominant growth hormone deficiency: An evolving pituitary deficit? A multicenter follow-up study. J Clin Endocrinol Metab. 2005;90(4):2089–96. </w:t>
      </w:r>
    </w:p>
    <w:p w14:paraId="6A53B7E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46. </w:t>
      </w:r>
      <w:r w:rsidRPr="0033639F">
        <w:rPr>
          <w:rFonts w:ascii="Arial" w:hAnsi="Arial" w:cs="Arial"/>
          <w:noProof/>
          <w:sz w:val="22"/>
          <w:szCs w:val="22"/>
        </w:rPr>
        <w:tab/>
        <w:t xml:space="preserve">Cogan JD, Ramel B, Lehto M, Phillips J, Prince M, Blizzard RM, et al. A recurring dominant negative mutation causes autosomal dominant growth hormone deficiency--a clinical research center study. J Clin Endocrinol Metab. 1995;80(12):3591–5. </w:t>
      </w:r>
    </w:p>
    <w:p w14:paraId="28C2F86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47. </w:t>
      </w:r>
      <w:r w:rsidRPr="0033639F">
        <w:rPr>
          <w:rFonts w:ascii="Arial" w:hAnsi="Arial" w:cs="Arial"/>
          <w:noProof/>
          <w:sz w:val="22"/>
          <w:szCs w:val="22"/>
        </w:rPr>
        <w:tab/>
        <w:t xml:space="preserve">Takahashi Y, Shirono H, Arisaka O, Takahashi K, Yagi T, Koga J, et al. Biologically </w:t>
      </w:r>
      <w:r w:rsidRPr="0033639F">
        <w:rPr>
          <w:rFonts w:ascii="Arial" w:hAnsi="Arial" w:cs="Arial"/>
          <w:noProof/>
          <w:sz w:val="22"/>
          <w:szCs w:val="22"/>
        </w:rPr>
        <w:lastRenderedPageBreak/>
        <w:t xml:space="preserve">inactive growth hormone caused by an amino acid substitution. J Clin Invest. 1997;100(5):1159–65. </w:t>
      </w:r>
    </w:p>
    <w:p w14:paraId="5ABF647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48. </w:t>
      </w:r>
      <w:r w:rsidRPr="0033639F">
        <w:rPr>
          <w:rFonts w:ascii="Arial" w:hAnsi="Arial" w:cs="Arial"/>
          <w:noProof/>
          <w:sz w:val="22"/>
          <w:szCs w:val="22"/>
        </w:rPr>
        <w:tab/>
        <w:t xml:space="preserve">McCarthy EM, Phillips JA. Characterization of an intron splice enhancer that regulates alternative splicing of human GH pre-mRNA. Hum Mol Genet. 1998;7(9):1491–6. </w:t>
      </w:r>
    </w:p>
    <w:p w14:paraId="7B7D66F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49. </w:t>
      </w:r>
      <w:r w:rsidRPr="0033639F">
        <w:rPr>
          <w:rFonts w:ascii="Arial" w:hAnsi="Arial" w:cs="Arial"/>
          <w:noProof/>
          <w:sz w:val="22"/>
          <w:szCs w:val="22"/>
        </w:rPr>
        <w:tab/>
        <w:t xml:space="preserve">Cogan JD, Prince MA, Lekhakula S, Bundey S, Futrakul A, McCarthy EM, et al. A novel mechanism of aberrant pre-mRNA splicing in humans. Hum Mol Genet. 1997;6(6):909–12. </w:t>
      </w:r>
    </w:p>
    <w:p w14:paraId="14E5089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50. </w:t>
      </w:r>
      <w:r w:rsidRPr="0033639F">
        <w:rPr>
          <w:rFonts w:ascii="Arial" w:hAnsi="Arial" w:cs="Arial"/>
          <w:noProof/>
          <w:sz w:val="22"/>
          <w:szCs w:val="22"/>
        </w:rPr>
        <w:tab/>
        <w:t xml:space="preserve">Hayashi Y, Yamamoto M, Ohmori S, Kamijo T, Ogawa M, Seo H. Inhibition of growth hormone (GH) secretion by a mutant GH-I gene product in neuroendocrine cells containing secretory granules: An implication for isolated GH deficiency inherited in an autosomal dominant manner. J Clin Endocrinol Metab. 1999;84(6):2134–9. </w:t>
      </w:r>
    </w:p>
    <w:p w14:paraId="3187A5D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51. </w:t>
      </w:r>
      <w:r w:rsidRPr="0033639F">
        <w:rPr>
          <w:rFonts w:ascii="Arial" w:hAnsi="Arial" w:cs="Arial"/>
          <w:noProof/>
          <w:sz w:val="22"/>
          <w:szCs w:val="22"/>
        </w:rPr>
        <w:tab/>
        <w:t xml:space="preserve">Kamijo T, Hayashi Y, Seo H, Ogawa M. Hereditary isolated growth hormone deficiency caused by GH1 gene mutations in Japanese patients. Growth Horm IGF Res. 1999;9(Suppl B):31–4. </w:t>
      </w:r>
    </w:p>
    <w:p w14:paraId="3BF1A47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52. </w:t>
      </w:r>
      <w:r w:rsidRPr="0033639F">
        <w:rPr>
          <w:rFonts w:ascii="Arial" w:hAnsi="Arial" w:cs="Arial"/>
          <w:noProof/>
          <w:sz w:val="22"/>
          <w:szCs w:val="22"/>
        </w:rPr>
        <w:tab/>
        <w:t xml:space="preserve">Lee MS, Wajnrajch MP, Kim SS, Plotnick LP, Wang J, Gertner JM, et al. Autosomal dominant growth hormone (GH) deficiency type II: the Del32-71-GH deletion mutant suppresses secretion of wild-type GH. Endocrinology. 2000;141(3):883–90. </w:t>
      </w:r>
    </w:p>
    <w:p w14:paraId="403F12A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53. </w:t>
      </w:r>
      <w:r w:rsidRPr="0033639F">
        <w:rPr>
          <w:rFonts w:ascii="Arial" w:hAnsi="Arial" w:cs="Arial"/>
          <w:noProof/>
          <w:sz w:val="22"/>
          <w:szCs w:val="22"/>
        </w:rPr>
        <w:tab/>
        <w:t>Vivenza D, Guazzarotti L, Godi M, Frasca D, di Natale B, Momigliano-Richiardi P, et al. A novel deletion in the GH1 gene including the IVS3 branch site responsible for autosomal dominant isolated growth hormone deficiency. J Clin Endocrinol Metab. 2006;91(3):980–6.</w:t>
      </w:r>
    </w:p>
    <w:p w14:paraId="4EBBEEC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54. </w:t>
      </w:r>
      <w:r w:rsidRPr="0033639F">
        <w:rPr>
          <w:rFonts w:ascii="Arial" w:hAnsi="Arial" w:cs="Arial"/>
          <w:noProof/>
          <w:sz w:val="22"/>
          <w:szCs w:val="22"/>
        </w:rPr>
        <w:tab/>
        <w:t xml:space="preserve">Fintini D, Salvatori R, Salemi S, Otten B, Ubertini G, Cambiaso P, et al. Autosomal-dominant isolated growth hormone deficiency (IGHD type II) with normal GH-1 gene. Horm Res. 2006;65(2):76–82. </w:t>
      </w:r>
    </w:p>
    <w:p w14:paraId="1AC34AA4"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55. </w:t>
      </w:r>
      <w:r w:rsidRPr="0033639F">
        <w:rPr>
          <w:rFonts w:ascii="Arial" w:hAnsi="Arial" w:cs="Arial"/>
          <w:noProof/>
          <w:sz w:val="22"/>
          <w:szCs w:val="22"/>
        </w:rPr>
        <w:tab/>
        <w:t xml:space="preserve">Veldhuis JD, Roemmich JN, Rogol AD. Gender and sexual maturation-dependent contrasts in the neuroregulation of growth hormone secretion in prepubertal and late adolescent males and females--a general clinical research center-based study. J Clin Endocrinol Metab. 2000;85(7):2385–94. </w:t>
      </w:r>
    </w:p>
    <w:p w14:paraId="511337F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56. </w:t>
      </w:r>
      <w:r w:rsidRPr="0033639F">
        <w:rPr>
          <w:rFonts w:ascii="Arial" w:hAnsi="Arial" w:cs="Arial"/>
          <w:noProof/>
          <w:sz w:val="22"/>
          <w:szCs w:val="22"/>
        </w:rPr>
        <w:tab/>
        <w:t xml:space="preserve">van den Berg G, Veldhuis JD, Frölich M, Roelfsema F. An amplitude-specific divergence in the pulsatile mode of growth hormone (GH) secretion underlies, the gender difference in mean GH concentrations in men and premenapausal women. J Clin Endocrinol Metab. 1996;81(7):2460–7. </w:t>
      </w:r>
    </w:p>
    <w:p w14:paraId="6956D60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57. </w:t>
      </w:r>
      <w:r w:rsidRPr="0033639F">
        <w:rPr>
          <w:rFonts w:ascii="Arial" w:hAnsi="Arial" w:cs="Arial"/>
          <w:noProof/>
          <w:sz w:val="22"/>
          <w:szCs w:val="22"/>
        </w:rPr>
        <w:tab/>
        <w:t xml:space="preserve">Roemmich JN, Clark PA, Weltman A, Veldhuis JD, Rogol AD. Pubertal alterations in growth and body composition: IX. Altered spontaneous secretion and metabolic clearance of growth hormone in overweight youth. Metabolism. 2005;54(10):1374–83. </w:t>
      </w:r>
    </w:p>
    <w:p w14:paraId="435D6F1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58. </w:t>
      </w:r>
      <w:r w:rsidRPr="0033639F">
        <w:rPr>
          <w:rFonts w:ascii="Arial" w:hAnsi="Arial" w:cs="Arial"/>
          <w:noProof/>
          <w:sz w:val="22"/>
          <w:szCs w:val="22"/>
        </w:rPr>
        <w:tab/>
        <w:t xml:space="preserve">Rivier J, Spiess J, Thorner M, Vale W. Characterization of a growth hormone-releasing factor from a human pancreatic islet tumour. Nature. 1982;300(5889):276–8. </w:t>
      </w:r>
    </w:p>
    <w:p w14:paraId="727C513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59. </w:t>
      </w:r>
      <w:r w:rsidRPr="0033639F">
        <w:rPr>
          <w:rFonts w:ascii="Arial" w:hAnsi="Arial" w:cs="Arial"/>
          <w:noProof/>
          <w:sz w:val="22"/>
          <w:szCs w:val="22"/>
        </w:rPr>
        <w:tab/>
        <w:t xml:space="preserve">Gonzalez-Crespo S, Boronat A. Expression of the rat growth hormone-releasing hormone gene in placenta is directed by an alternative promoter. Proc Natl Acad Sci U S A. 1991;88(19):8749-53. </w:t>
      </w:r>
    </w:p>
    <w:p w14:paraId="2644DF8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60. </w:t>
      </w:r>
      <w:r w:rsidRPr="0033639F">
        <w:rPr>
          <w:rFonts w:ascii="Arial" w:hAnsi="Arial" w:cs="Arial"/>
          <w:noProof/>
          <w:sz w:val="22"/>
          <w:szCs w:val="22"/>
        </w:rPr>
        <w:tab/>
        <w:t xml:space="preserve">Rogol AD, Blizzard RM, Foley TPJ, Furlanetto R, Selden R, Mayo K, et al. Growth hormone releasing hormone and growth hormone: Genetic studies in familial growth hormone deficiency. Pediatr Res. 1985;19:489–92. </w:t>
      </w:r>
    </w:p>
    <w:p w14:paraId="3B41417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61. </w:t>
      </w:r>
      <w:r w:rsidRPr="0033639F">
        <w:rPr>
          <w:rFonts w:ascii="Arial" w:hAnsi="Arial" w:cs="Arial"/>
          <w:noProof/>
          <w:sz w:val="22"/>
          <w:szCs w:val="22"/>
        </w:rPr>
        <w:tab/>
        <w:t xml:space="preserve">Mayo KE. Molecular cloning and expression of a pituitary-specific receptor for growth hormone-releasing hormone. Mol Endocrinol. 1992;6:1734–44. </w:t>
      </w:r>
    </w:p>
    <w:p w14:paraId="517A891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lastRenderedPageBreak/>
        <w:t xml:space="preserve">62. </w:t>
      </w:r>
      <w:r w:rsidRPr="0033639F">
        <w:rPr>
          <w:rFonts w:ascii="Arial" w:hAnsi="Arial" w:cs="Arial"/>
          <w:noProof/>
          <w:sz w:val="22"/>
          <w:szCs w:val="22"/>
        </w:rPr>
        <w:tab/>
        <w:t xml:space="preserve">Godfrey P, Rahal JO, Beamer WG, Copeland NG, Jenkins NA, Mayo KE. GHRH receptor of little mice contains a missense mutation in the extracellular domain that disrupts receptor function. Nat Genet. 1993;4(3):227-32. </w:t>
      </w:r>
    </w:p>
    <w:p w14:paraId="64EA1D0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63. </w:t>
      </w:r>
      <w:r w:rsidRPr="0033639F">
        <w:rPr>
          <w:rFonts w:ascii="Arial" w:hAnsi="Arial" w:cs="Arial"/>
          <w:noProof/>
          <w:sz w:val="22"/>
          <w:szCs w:val="22"/>
        </w:rPr>
        <w:tab/>
        <w:t xml:space="preserve">Lin SC, Lin CR, Gukovsky I, Lusis AJ, Sawchenko PE, Rosenfeld MG. Molecular basis of the little mouse phenotype and implications for cell type-specific growth. Nature. 1993;364(6434):208–13. </w:t>
      </w:r>
    </w:p>
    <w:p w14:paraId="0468A86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64. </w:t>
      </w:r>
      <w:r w:rsidRPr="0033639F">
        <w:rPr>
          <w:rFonts w:ascii="Arial" w:hAnsi="Arial" w:cs="Arial"/>
          <w:noProof/>
          <w:sz w:val="22"/>
          <w:szCs w:val="22"/>
        </w:rPr>
        <w:tab/>
        <w:t xml:space="preserve">Wajnrajch MP, Chua SC, Green ED, Leibel RL. Human growth hormone-releasing hormone receptor (GHRHR) maps to a YAC at Chromosome 7p15. Mamm Genome. 1994;5(9):595. </w:t>
      </w:r>
    </w:p>
    <w:p w14:paraId="3E1151D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65. </w:t>
      </w:r>
      <w:r w:rsidRPr="0033639F">
        <w:rPr>
          <w:rFonts w:ascii="Arial" w:hAnsi="Arial" w:cs="Arial"/>
          <w:noProof/>
          <w:sz w:val="22"/>
          <w:szCs w:val="22"/>
        </w:rPr>
        <w:tab/>
        <w:t xml:space="preserve">Baumann G, Maheshwari H. The dwarfs of Sindh:  severe growth hormone (GH) deficiency caused by a mutation in the GH-releasing hormone receptor gene. Acta Pediatr Suppl. 1997;423:33–8. </w:t>
      </w:r>
    </w:p>
    <w:p w14:paraId="397E219D"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66. </w:t>
      </w:r>
      <w:r w:rsidRPr="0033639F">
        <w:rPr>
          <w:rFonts w:ascii="Arial" w:hAnsi="Arial" w:cs="Arial"/>
          <w:noProof/>
          <w:sz w:val="22"/>
          <w:szCs w:val="22"/>
        </w:rPr>
        <w:tab/>
        <w:t xml:space="preserve">Netchine I, Talon P, Dastot F, Vitaux F, Goosens M, Amselem S. Extensive phenotypic analysis of a family with growth hormone (GH) deficiency caused by a mutation in the GH-releasing hormone receptor gene. J Clin Endocrinol Metab. 1998;83(2):432–6. </w:t>
      </w:r>
    </w:p>
    <w:p w14:paraId="36DC62D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67. </w:t>
      </w:r>
      <w:r w:rsidRPr="0033639F">
        <w:rPr>
          <w:rFonts w:ascii="Arial" w:hAnsi="Arial" w:cs="Arial"/>
          <w:noProof/>
          <w:sz w:val="22"/>
          <w:szCs w:val="22"/>
        </w:rPr>
        <w:tab/>
        <w:t xml:space="preserve">Salvatori R, Hayashida CY, Aguiar-Oliveira MH, Phillips JA, Souza AH, Gondo RG, et al. Familial dwarfism due to a novel mutation of the growth hormone-releasing hormone receptor gene. J Clin Endocrinol Metab. 1999;84(3):917–23. </w:t>
      </w:r>
    </w:p>
    <w:p w14:paraId="3FC7E38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68. </w:t>
      </w:r>
      <w:r w:rsidRPr="0033639F">
        <w:rPr>
          <w:rFonts w:ascii="Arial" w:hAnsi="Arial" w:cs="Arial"/>
          <w:noProof/>
          <w:sz w:val="22"/>
          <w:szCs w:val="22"/>
        </w:rPr>
        <w:tab/>
        <w:t xml:space="preserve">Wajnrajch MP, Gertner JM, Harbison MD, Netchine I, Maheshwari HG, Baumann G, et al. Haplotype analysis of the growth hormone releasing hormone receptor locus in three apparently unrelated kindreds from the Indian subcontinent with the identical mutation in the GHRH receptor. Am J Med Genet. 2003;120A:77–83. </w:t>
      </w:r>
    </w:p>
    <w:p w14:paraId="726FEE8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69. </w:t>
      </w:r>
      <w:r w:rsidRPr="0033639F">
        <w:rPr>
          <w:rFonts w:ascii="Arial" w:hAnsi="Arial" w:cs="Arial"/>
          <w:noProof/>
          <w:sz w:val="22"/>
          <w:szCs w:val="22"/>
        </w:rPr>
        <w:tab/>
        <w:t xml:space="preserve">Desai MP, Upadhye PS, Kamijo T, Yamamoto M, Ogawa M, Hayashi Y, et al. Growth hormone releasing hormone receptor (GHRH-r) gene mutation in Indian children with familial isolated growth hormone deficiency: a study from western India. J Pediatr Endocrinol Metab. 2005;18(10):955–73. </w:t>
      </w:r>
    </w:p>
    <w:p w14:paraId="4B1EBE5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70. </w:t>
      </w:r>
      <w:r w:rsidRPr="0033639F">
        <w:rPr>
          <w:rFonts w:ascii="Arial" w:hAnsi="Arial" w:cs="Arial"/>
          <w:noProof/>
          <w:sz w:val="22"/>
          <w:szCs w:val="22"/>
        </w:rPr>
        <w:tab/>
        <w:t xml:space="preserve">Roelfsema F, Biermasz NR, Veldman RG, Veldhuis JD, Frolich M, Stovkis-Brantsma WH, et al. Growth hormone (GH) secretion in patients with an inactivating defect of the GH-releasing hormone (GHRH) receptor is pulsatile: evidence for a role for non-GHRH inputs into the generation of GH pulses. J Clin Endocrinol Metab. 2001;86(6):2459–64. </w:t>
      </w:r>
    </w:p>
    <w:p w14:paraId="7579991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71. </w:t>
      </w:r>
      <w:r w:rsidRPr="0033639F">
        <w:rPr>
          <w:rFonts w:ascii="Arial" w:hAnsi="Arial" w:cs="Arial"/>
          <w:noProof/>
          <w:sz w:val="22"/>
          <w:szCs w:val="22"/>
        </w:rPr>
        <w:tab/>
        <w:t xml:space="preserve">MacIntyre I, Szelke M, Royal Postgraduate Medical S, Bowers CY, Chang J, Momany FA, et al. Effects of the enkephalins and enkephalin-analog on release of pituitary hormones in vitro. In: Molecular Endocrinology: Proceedings of Endocrinology ’77 held at the Royal College of Physicians, London, England on 11-15 July, 1977. New York: Elsevier/North-Holland Biomedical Press; 1977. </w:t>
      </w:r>
    </w:p>
    <w:p w14:paraId="54F25CF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72. </w:t>
      </w:r>
      <w:r w:rsidRPr="0033639F">
        <w:rPr>
          <w:rFonts w:ascii="Arial" w:hAnsi="Arial" w:cs="Arial"/>
          <w:noProof/>
          <w:sz w:val="22"/>
          <w:szCs w:val="22"/>
        </w:rPr>
        <w:tab/>
        <w:t xml:space="preserve">Kojima M, Hosoda H, Date Y, Nakazato M, Matsuo H, Kangawa K. Ghrelin is a growth-hormone-releasing acylated peptide from stomach. Nature. 1999;402(6762):656–60. </w:t>
      </w:r>
    </w:p>
    <w:p w14:paraId="70E4913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73. </w:t>
      </w:r>
      <w:r w:rsidRPr="0033639F">
        <w:rPr>
          <w:rFonts w:ascii="Arial" w:hAnsi="Arial" w:cs="Arial"/>
          <w:noProof/>
          <w:sz w:val="22"/>
          <w:szCs w:val="22"/>
        </w:rPr>
        <w:tab/>
        <w:t xml:space="preserve">Wajnrajch MP, Gertner JM, Mullis PE, Cogan JD, Dannies PS, Kim S, et al. Arg183His, a new mutational hot-spot in the growth hormone gene causing isolated GH deficiency type II. J Endocr Genet. 2000;1(3):124–34. </w:t>
      </w:r>
    </w:p>
    <w:p w14:paraId="0BA4F5D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74. </w:t>
      </w:r>
      <w:r w:rsidRPr="0033639F">
        <w:rPr>
          <w:rFonts w:ascii="Arial" w:hAnsi="Arial" w:cs="Arial"/>
          <w:noProof/>
          <w:sz w:val="22"/>
          <w:szCs w:val="22"/>
        </w:rPr>
        <w:tab/>
        <w:t xml:space="preserve">Howard AD, Feighner SD, Cully DF, Arena JP, Liberator PA, Rosenblum CI, et al. A receptor in pituitary and hypothalamus that functions in growth hormone release. Science. 1996;273:974–7. </w:t>
      </w:r>
    </w:p>
    <w:p w14:paraId="52788FA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75. </w:t>
      </w:r>
      <w:r w:rsidRPr="0033639F">
        <w:rPr>
          <w:rFonts w:ascii="Arial" w:hAnsi="Arial" w:cs="Arial"/>
          <w:noProof/>
          <w:sz w:val="22"/>
          <w:szCs w:val="22"/>
        </w:rPr>
        <w:tab/>
        <w:t xml:space="preserve">Takaya K, Ariyasu H, Kanamoto N, Iwakura H, Yoshimoto A, Harada M, et al. Ghrelin </w:t>
      </w:r>
      <w:r w:rsidRPr="0033639F">
        <w:rPr>
          <w:rFonts w:ascii="Arial" w:hAnsi="Arial" w:cs="Arial"/>
          <w:noProof/>
          <w:sz w:val="22"/>
          <w:szCs w:val="22"/>
        </w:rPr>
        <w:lastRenderedPageBreak/>
        <w:t>strongly stimulates growth hormone release in humans. J Clin Endocrinol Metab. 2000;85(12):4908–11.</w:t>
      </w:r>
    </w:p>
    <w:p w14:paraId="762AC86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76. </w:t>
      </w:r>
      <w:r w:rsidRPr="0033639F">
        <w:rPr>
          <w:rFonts w:ascii="Arial" w:hAnsi="Arial" w:cs="Arial"/>
          <w:noProof/>
          <w:sz w:val="22"/>
          <w:szCs w:val="22"/>
        </w:rPr>
        <w:tab/>
        <w:t xml:space="preserve">Bercu B, Walker RF. Novel growth hormone secretagogues: Clinical applications. Endocrinologist. 1997;7(1):51-64. </w:t>
      </w:r>
    </w:p>
    <w:p w14:paraId="625660F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77. </w:t>
      </w:r>
      <w:r w:rsidRPr="0033639F">
        <w:rPr>
          <w:rFonts w:ascii="Arial" w:hAnsi="Arial" w:cs="Arial"/>
          <w:noProof/>
          <w:sz w:val="22"/>
          <w:szCs w:val="22"/>
        </w:rPr>
        <w:tab/>
        <w:t xml:space="preserve">Giustina A, Bonfanti C, Licini M, Ragni G, Stefana B. Hexarelin, a novel GHRP-6 analog, stimulates growth hormone (GH) release in a GH-secreting rat cell line (GH1) insensitive to GH-releasing hormone. Rugul Pept. 1997;70(1):49–54. </w:t>
      </w:r>
    </w:p>
    <w:p w14:paraId="26D1FBC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78. </w:t>
      </w:r>
      <w:r w:rsidRPr="0033639F">
        <w:rPr>
          <w:rFonts w:ascii="Arial" w:hAnsi="Arial" w:cs="Arial"/>
          <w:noProof/>
          <w:sz w:val="22"/>
          <w:szCs w:val="22"/>
        </w:rPr>
        <w:tab/>
        <w:t xml:space="preserve">Tolis G, Karydis I, Markousis V, Karagiorga M, Mesimeris T, Lenaerts V, et al. Growth hormone release by the novel GH releasing peptide Hexarelin in patients with homozygous b-Thalassemia. J Pediatr Endocrinol Metab. 1997;10(1):35–40. </w:t>
      </w:r>
    </w:p>
    <w:p w14:paraId="60B5EA2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79. </w:t>
      </w:r>
      <w:r w:rsidRPr="0033639F">
        <w:rPr>
          <w:rFonts w:ascii="Arial" w:hAnsi="Arial" w:cs="Arial"/>
          <w:noProof/>
          <w:sz w:val="22"/>
          <w:szCs w:val="22"/>
        </w:rPr>
        <w:tab/>
        <w:t xml:space="preserve">Hataya Y, Akamizu T, Takaya K, Kanamoto N, Ariyasu H, Saijo M, et al. A low dose of ghrelin stimulates growth hormone (gh) release synergistically with gh-releasing hormone in humans. J Clin Endocrinol Metab. 2001;86(9):45524555. </w:t>
      </w:r>
    </w:p>
    <w:p w14:paraId="3DE4854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80. </w:t>
      </w:r>
      <w:r w:rsidRPr="0033639F">
        <w:rPr>
          <w:rFonts w:ascii="Arial" w:hAnsi="Arial" w:cs="Arial"/>
          <w:noProof/>
          <w:sz w:val="22"/>
          <w:szCs w:val="22"/>
        </w:rPr>
        <w:tab/>
        <w:t xml:space="preserve">Arvat E, Di Vito L, Broglio F, Papotti M, Muccioli G, Dieguez C, et al. Preliminary evidence that Ghrelin, the natural GH secretagogue (GHS)-receptor ligand, strongly stimulates GH secretion in humans. J Endocrinol Invest. 2000;23(8):493–5. </w:t>
      </w:r>
    </w:p>
    <w:p w14:paraId="02D8D31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81. </w:t>
      </w:r>
      <w:r w:rsidRPr="0033639F">
        <w:rPr>
          <w:rFonts w:ascii="Arial" w:hAnsi="Arial" w:cs="Arial"/>
          <w:noProof/>
          <w:sz w:val="22"/>
          <w:szCs w:val="22"/>
        </w:rPr>
        <w:tab/>
        <w:t xml:space="preserve">Ghizzoni L, Mastorakos G, Vottero A, Ziveri M, Ilias I, Bernasconi S. Spontaneous growth hormone (GH) secretion is not directly affected by ghrelin in either short normal prepubertal children or children with GH neurosecretory dysfunction. J Clin Endocrinol Metab. 2004;89(11):5488–95. </w:t>
      </w:r>
    </w:p>
    <w:p w14:paraId="532740A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82. </w:t>
      </w:r>
      <w:r w:rsidRPr="0033639F">
        <w:rPr>
          <w:rFonts w:ascii="Arial" w:hAnsi="Arial" w:cs="Arial"/>
          <w:noProof/>
          <w:sz w:val="22"/>
          <w:szCs w:val="22"/>
        </w:rPr>
        <w:tab/>
        <w:t xml:space="preserve">Racine MS, Symons K V, Foster CM, Barkan AL. Augmentation of growth hormone secretion after testosterone treatment in boys with constitutional delay of growth and adolescence: Evidence against an increase in hypothalamic secretion of growth hormone-releasing hormone. J Clin Endocrinol Metab. 2004;89(7):3326–31. </w:t>
      </w:r>
    </w:p>
    <w:p w14:paraId="23E8D11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83. </w:t>
      </w:r>
      <w:r w:rsidRPr="0033639F">
        <w:rPr>
          <w:rFonts w:ascii="Arial" w:hAnsi="Arial" w:cs="Arial"/>
          <w:noProof/>
          <w:sz w:val="22"/>
          <w:szCs w:val="22"/>
        </w:rPr>
        <w:tab/>
        <w:t xml:space="preserve">Hirsh D, Heinrichs C, Leenders B, Wong ACK, Cummings DE, Chanoine J-P. Ghrelin is suppressed by glucagon and does not mediate glucagon-related growth hormone release. Horm Res. 2005;63(3):111–8. </w:t>
      </w:r>
    </w:p>
    <w:p w14:paraId="35AB331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84. </w:t>
      </w:r>
      <w:r w:rsidRPr="0033639F">
        <w:rPr>
          <w:rFonts w:ascii="Arial" w:hAnsi="Arial" w:cs="Arial"/>
          <w:noProof/>
          <w:sz w:val="22"/>
          <w:szCs w:val="22"/>
        </w:rPr>
        <w:tab/>
        <w:t>Zhang J V, Ren P-G, Avsian-Kretchmer O, Luo C-W, Rauch R, Klein C, et al. Obestatin, a peptide encoded by the ghrelin gene, opposes ghrelin’s effects on food intake. Science. 2005;310(5750):996–9.</w:t>
      </w:r>
    </w:p>
    <w:p w14:paraId="03D3758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85. </w:t>
      </w:r>
      <w:r w:rsidRPr="0033639F">
        <w:rPr>
          <w:rFonts w:ascii="Arial" w:hAnsi="Arial" w:cs="Arial"/>
          <w:noProof/>
          <w:sz w:val="22"/>
          <w:szCs w:val="22"/>
        </w:rPr>
        <w:tab/>
        <w:t xml:space="preserve">Ukkola O, Ravussin E, Jacobson P, Snyder EE, Chagnon M, Sjöström L, et al. Mutations in the preproghrelin/ghrelin gene associated with obesity in humans. J Clin Endocrinol Metab. 2001;86(8):3996–9. </w:t>
      </w:r>
    </w:p>
    <w:p w14:paraId="6250D87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86. </w:t>
      </w:r>
      <w:r w:rsidRPr="0033639F">
        <w:rPr>
          <w:rFonts w:ascii="Arial" w:hAnsi="Arial" w:cs="Arial"/>
          <w:noProof/>
          <w:sz w:val="22"/>
          <w:szCs w:val="22"/>
        </w:rPr>
        <w:tab/>
        <w:t xml:space="preserve">Pantel J, Legendre M, Cabrol S, Hilal L, Hajaji Y, Morisset S, et al. Loss of constitutive activity of the growth hormone secretagogue receptor in familial short stature. J Clin Invest. 2006;116:760–8. </w:t>
      </w:r>
    </w:p>
    <w:p w14:paraId="528E3DCD"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87. </w:t>
      </w:r>
      <w:r w:rsidRPr="0033639F">
        <w:rPr>
          <w:rFonts w:ascii="Arial" w:hAnsi="Arial" w:cs="Arial"/>
          <w:noProof/>
          <w:sz w:val="22"/>
          <w:szCs w:val="22"/>
        </w:rPr>
        <w:tab/>
        <w:t xml:space="preserve">Grossman A, Savage MO, Lytras N, Preece MA, Sueiras-Diaz J, Coy DH, et al. Responses to analogues of growth hormone-releasing hormone in normal subjects, and in growth-hormone deficient children and young adults. Clin Endocrinol. 1984;21(3):321–30. </w:t>
      </w:r>
    </w:p>
    <w:p w14:paraId="35E5CE1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88. </w:t>
      </w:r>
      <w:r w:rsidRPr="0033639F">
        <w:rPr>
          <w:rFonts w:ascii="Arial" w:hAnsi="Arial" w:cs="Arial"/>
          <w:noProof/>
          <w:sz w:val="22"/>
          <w:szCs w:val="22"/>
        </w:rPr>
        <w:tab/>
        <w:t xml:space="preserve">Date Y, Murakami N, Kojima M, Kuroiwa T, Matsukura S, Kangawa K, et al. Central effects of a novel acylated peptide, ghrelin, on growth hormone release in rats. Biochem Biophys Res Commun. 2000;275(2):477–80. </w:t>
      </w:r>
    </w:p>
    <w:p w14:paraId="4C213D4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89. </w:t>
      </w:r>
      <w:r w:rsidRPr="0033639F">
        <w:rPr>
          <w:rFonts w:ascii="Arial" w:hAnsi="Arial" w:cs="Arial"/>
          <w:noProof/>
          <w:sz w:val="22"/>
          <w:szCs w:val="22"/>
        </w:rPr>
        <w:tab/>
        <w:t xml:space="preserve">Shen LP, Pictet RL, Rutter WJ. Human somatostatin I: Sequence of the cDNA. Proc Natl Acad Sci USA. 1982;79(15):4575–9. </w:t>
      </w:r>
    </w:p>
    <w:p w14:paraId="3238813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lastRenderedPageBreak/>
        <w:t xml:space="preserve">90. </w:t>
      </w:r>
      <w:r w:rsidRPr="0033639F">
        <w:rPr>
          <w:rFonts w:ascii="Arial" w:hAnsi="Arial" w:cs="Arial"/>
          <w:noProof/>
          <w:sz w:val="22"/>
          <w:szCs w:val="22"/>
        </w:rPr>
        <w:tab/>
        <w:t xml:space="preserve">Rosskopf D, Schurks M, Manthey I, Joisten M, Busch S, Siffert W. Signal transduction of somatostatin in human B lymphoblasts. Am J Physiol Cell Physiol. 2003;284(1):C179-190. </w:t>
      </w:r>
    </w:p>
    <w:p w14:paraId="3CC3070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91. </w:t>
      </w:r>
      <w:r w:rsidRPr="0033639F">
        <w:rPr>
          <w:rFonts w:ascii="Arial" w:hAnsi="Arial" w:cs="Arial"/>
          <w:noProof/>
          <w:sz w:val="22"/>
          <w:szCs w:val="22"/>
        </w:rPr>
        <w:tab/>
        <w:t xml:space="preserve">Laron Z. Prismatic cases: Laron syndrome (primary growth hormone resistance) from patient to laboratory to patient. J Clin Endocrinol Metab. 1995;80(5):1526–31. </w:t>
      </w:r>
    </w:p>
    <w:p w14:paraId="20F294A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92. </w:t>
      </w:r>
      <w:r w:rsidRPr="0033639F">
        <w:rPr>
          <w:rFonts w:ascii="Arial" w:hAnsi="Arial" w:cs="Arial"/>
          <w:noProof/>
          <w:sz w:val="22"/>
          <w:szCs w:val="22"/>
        </w:rPr>
        <w:tab/>
        <w:t xml:space="preserve">Dastot F, Sobrier ML, Duquesnoy P, Duriez B, Goossens M, Amselem S. Alternatively spliced forms in the cytoplasmic domain of the human growth hormone (GH) receptor regulate its ability to generate a soluble GH-binding protein. Proc Natl Acad Sci U S A. 1996;93(20):10723–8. </w:t>
      </w:r>
    </w:p>
    <w:p w14:paraId="153CB79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93. </w:t>
      </w:r>
      <w:r w:rsidRPr="0033639F">
        <w:rPr>
          <w:rFonts w:ascii="Arial" w:hAnsi="Arial" w:cs="Arial"/>
          <w:noProof/>
          <w:sz w:val="22"/>
          <w:szCs w:val="22"/>
        </w:rPr>
        <w:tab/>
        <w:t xml:space="preserve">Dos Santos C, Essioux L, Teinturier C, Tauber M, Goffin V, Bougneres P. A common polymorphism of the growth hormone receptor is associated with increased responsiveness to growth hormone. Nat Genet. 2004;36(7):720–4. </w:t>
      </w:r>
    </w:p>
    <w:p w14:paraId="555BB9D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94. </w:t>
      </w:r>
      <w:r w:rsidRPr="0033639F">
        <w:rPr>
          <w:rFonts w:ascii="Arial" w:hAnsi="Arial" w:cs="Arial"/>
          <w:noProof/>
          <w:sz w:val="22"/>
          <w:szCs w:val="22"/>
        </w:rPr>
        <w:tab/>
        <w:t>Binder G, Baur F, Schweizer R, Ranke MB. The d3-growth hormone (GH) receptor polymorphism is associated with increased responsiveness to GH in Turner syndrome and short small-for-gestational-age children. J Clin Endocrinol Metab. 2006;91(2):659–64.</w:t>
      </w:r>
    </w:p>
    <w:p w14:paraId="3AF4C6A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95. </w:t>
      </w:r>
      <w:r w:rsidRPr="0033639F">
        <w:rPr>
          <w:rFonts w:ascii="Arial" w:hAnsi="Arial" w:cs="Arial"/>
          <w:noProof/>
          <w:sz w:val="22"/>
          <w:szCs w:val="22"/>
        </w:rPr>
        <w:tab/>
        <w:t xml:space="preserve">Jorge AAL, Marchisotti FG, Montenegro LR, Carvalho LR, Mendonca BB, Arnhold IJP. Growth hormone (GH) pharmacogenetics: Influence of GH receptor exon 3 retention or deletion on first-year growth response and final height in patients with severe GH deficiency. J Clin Endocrinol Metab. 2006;91(3):1076–80. </w:t>
      </w:r>
    </w:p>
    <w:p w14:paraId="5B7660F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96. </w:t>
      </w:r>
      <w:r w:rsidRPr="0033639F">
        <w:rPr>
          <w:rFonts w:ascii="Arial" w:hAnsi="Arial" w:cs="Arial"/>
          <w:noProof/>
          <w:sz w:val="22"/>
          <w:szCs w:val="22"/>
        </w:rPr>
        <w:tab/>
        <w:t xml:space="preserve">Pilotta A, Mella P, Filisetti M, Felappi B, Prandi E, Parrinello G, et al. Common polymorphisms of the Growth Hormone (GH) Receptor do not correlate with the growth response to exogenous recombinant human GH in GH deficient children. J Clin Endocrinol Metab. 2006;91(3):jc.2005-1308. </w:t>
      </w:r>
    </w:p>
    <w:p w14:paraId="6773C61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97. </w:t>
      </w:r>
      <w:r w:rsidRPr="0033639F">
        <w:rPr>
          <w:rFonts w:ascii="Arial" w:hAnsi="Arial" w:cs="Arial"/>
          <w:noProof/>
          <w:sz w:val="22"/>
          <w:szCs w:val="22"/>
        </w:rPr>
        <w:tab/>
        <w:t xml:space="preserve">Rosenfeld RG, Belgorosky A, Camacho-Hubner C, Savage MO, Wit JM, Hwa V. Defects in growth hormone receptor signaling. Trends Endocrinol Metab. 2007;18(4):134–41. </w:t>
      </w:r>
    </w:p>
    <w:p w14:paraId="5F82533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98. </w:t>
      </w:r>
      <w:r w:rsidRPr="0033639F">
        <w:rPr>
          <w:rFonts w:ascii="Arial" w:hAnsi="Arial" w:cs="Arial"/>
          <w:noProof/>
          <w:sz w:val="22"/>
          <w:szCs w:val="22"/>
        </w:rPr>
        <w:tab/>
        <w:t xml:space="preserve">Savage MO, Hwa V, David A, Rosenfeld RG, Metherell LA. Genetic defects in the growth hormone-IGF-I axis causing growth hormone insensitivity and impaired linear growth. Front Endocrinol (Lausanne). 2011;2:95. </w:t>
      </w:r>
    </w:p>
    <w:p w14:paraId="25BE508D"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99. </w:t>
      </w:r>
      <w:r w:rsidRPr="0033639F">
        <w:rPr>
          <w:rFonts w:ascii="Arial" w:hAnsi="Arial" w:cs="Arial"/>
          <w:noProof/>
          <w:sz w:val="22"/>
          <w:szCs w:val="22"/>
        </w:rPr>
        <w:tab/>
        <w:t xml:space="preserve">Ayling RM, Ross R, Towner P, von Laue S, Finidori J, Moutoussamy S, et al. A dominant-negative mutation of the growth hormone receptor causes familial short stature. Nat Genet. 1997;16:13–4. </w:t>
      </w:r>
    </w:p>
    <w:p w14:paraId="1124EB3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100. </w:t>
      </w:r>
      <w:r w:rsidRPr="0033639F">
        <w:rPr>
          <w:rFonts w:ascii="Arial" w:hAnsi="Arial" w:cs="Arial"/>
          <w:noProof/>
          <w:sz w:val="22"/>
          <w:szCs w:val="22"/>
        </w:rPr>
        <w:tab/>
        <w:t xml:space="preserve">Amselem S, Duquesnoy P, Attree O, Novelli G, Bousnina S, Postel-Vinay MC, et al. Laron dwarfism and mutations of the growth hormone-receptor gene. N Engl J Med. 1989;321(15):989–95. </w:t>
      </w:r>
    </w:p>
    <w:p w14:paraId="50608D7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101. </w:t>
      </w:r>
      <w:r w:rsidRPr="0033639F">
        <w:rPr>
          <w:rFonts w:ascii="Arial" w:hAnsi="Arial" w:cs="Arial"/>
          <w:noProof/>
          <w:sz w:val="22"/>
          <w:szCs w:val="22"/>
        </w:rPr>
        <w:tab/>
        <w:t xml:space="preserve">Woods KA, Fraser NC, Postel-Vinay MC, Savage MO, Clark AJ. A homozygous splice site mutation affecting the intracellular domain of the growth hormone (GH) receptor resulting in Laron syndrome with elevated GH-binding protein. J Clin Endocrinol Metab. 1996;81(5):1686–90. </w:t>
      </w:r>
    </w:p>
    <w:p w14:paraId="231F40E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102. </w:t>
      </w:r>
      <w:r w:rsidRPr="0033639F">
        <w:rPr>
          <w:rFonts w:ascii="Arial" w:hAnsi="Arial" w:cs="Arial"/>
          <w:noProof/>
          <w:sz w:val="22"/>
          <w:szCs w:val="22"/>
        </w:rPr>
        <w:tab/>
        <w:t xml:space="preserve">Woods KA, Dastot F, Preece MA, Clark AJ, Postel-Vinay MC, Chatelain PG, et al. Phenotype: genotype relationships in growth hormone insensitivity syndrome. J Clin Endocrinol Metab. 1997;82(11):3529–35. </w:t>
      </w:r>
    </w:p>
    <w:p w14:paraId="0109CCB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103. </w:t>
      </w:r>
      <w:r w:rsidRPr="0033639F">
        <w:rPr>
          <w:rFonts w:ascii="Arial" w:hAnsi="Arial" w:cs="Arial"/>
          <w:noProof/>
          <w:sz w:val="22"/>
          <w:szCs w:val="22"/>
        </w:rPr>
        <w:tab/>
        <w:t xml:space="preserve">Salerno M, Balestrieri B, Matrecano E, Officioso A, Rosenfeld RG, Di Maio S, et al. Abnormal GH receptor signaling in children with idiopathic short stature. J Clin Endocrinol Metab. 2001;86(8):3882–8. </w:t>
      </w:r>
    </w:p>
    <w:p w14:paraId="70003AE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104. </w:t>
      </w:r>
      <w:r w:rsidRPr="0033639F">
        <w:rPr>
          <w:rFonts w:ascii="Arial" w:hAnsi="Arial" w:cs="Arial"/>
          <w:noProof/>
          <w:sz w:val="22"/>
          <w:szCs w:val="22"/>
        </w:rPr>
        <w:tab/>
        <w:t xml:space="preserve">Abuzzahab MJ, Schneider A, Goddard A, Grigorescu F, Lautier C, Keller E, et al. IGF-I </w:t>
      </w:r>
      <w:r w:rsidRPr="0033639F">
        <w:rPr>
          <w:rFonts w:ascii="Arial" w:hAnsi="Arial" w:cs="Arial"/>
          <w:noProof/>
          <w:sz w:val="22"/>
          <w:szCs w:val="22"/>
        </w:rPr>
        <w:lastRenderedPageBreak/>
        <w:t xml:space="preserve">receptor mutations resulting in intrauterine and postnatal growth retardation. N Engl J Med. 2003;349(23):2211–22. </w:t>
      </w:r>
    </w:p>
    <w:p w14:paraId="53E1DF9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105. </w:t>
      </w:r>
      <w:r w:rsidRPr="0033639F">
        <w:rPr>
          <w:rFonts w:ascii="Arial" w:hAnsi="Arial" w:cs="Arial"/>
          <w:noProof/>
          <w:sz w:val="22"/>
          <w:szCs w:val="22"/>
        </w:rPr>
        <w:tab/>
        <w:t xml:space="preserve">Bonioli E, Tarò M, Rosa C La, Citana A, Bertorelli R, Morcaldi G, et al. Heterozygous mutations of growth hormone receptor gene in children with idiopathic short stature. Growth Horm IGF Res. 2005;15(6):405–10. </w:t>
      </w:r>
    </w:p>
    <w:p w14:paraId="1B4B26C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106. </w:t>
      </w:r>
      <w:r w:rsidRPr="0033639F">
        <w:rPr>
          <w:rFonts w:ascii="Arial" w:hAnsi="Arial" w:cs="Arial"/>
          <w:noProof/>
          <w:sz w:val="22"/>
          <w:szCs w:val="22"/>
        </w:rPr>
        <w:tab/>
        <w:t xml:space="preserve">Rosenbloom AL, Guevara Aguirre J, Rosenfeld RG. The little women of Loja--growth hormone-receptor deficiency in an inbred population of southern Ecuador. N Engl J Med. 1990;323(20):1367–74. </w:t>
      </w:r>
    </w:p>
    <w:p w14:paraId="2D1B7D5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107. </w:t>
      </w:r>
      <w:r w:rsidRPr="0033639F">
        <w:rPr>
          <w:rFonts w:ascii="Arial" w:hAnsi="Arial" w:cs="Arial"/>
          <w:noProof/>
          <w:sz w:val="22"/>
          <w:szCs w:val="22"/>
        </w:rPr>
        <w:tab/>
        <w:t>Aalbers AM, Chin D, Pratt KL, Little BM, Frank SJ, Hwa V, et al. Extreme elevation of serum growth hormone-binding protein concentrations resulting from a novel heterozygous splice site mutation of the growth hormone receptor gene. Horm Res Paediatr. 2009;71(5):276–84.</w:t>
      </w:r>
    </w:p>
    <w:p w14:paraId="12A4D67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108. </w:t>
      </w:r>
      <w:r w:rsidRPr="0033639F">
        <w:rPr>
          <w:rFonts w:ascii="Arial" w:hAnsi="Arial" w:cs="Arial"/>
          <w:noProof/>
          <w:sz w:val="22"/>
          <w:szCs w:val="22"/>
        </w:rPr>
        <w:tab/>
        <w:t xml:space="preserve">Overgaard MT, Boldt HB, Laursen LS, Sottrup-Jensen L, Conover CA, Oxvig C. Pregnancy-associated plasma protein-A2 (PAPP-A2), a novel insulin-like growth factor-binding protein-5 proteinase. J Biol Chem. 2001;276(24):21849–53. </w:t>
      </w:r>
    </w:p>
    <w:p w14:paraId="58C454D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109. </w:t>
      </w:r>
      <w:r w:rsidRPr="0033639F">
        <w:rPr>
          <w:rFonts w:ascii="Arial" w:hAnsi="Arial" w:cs="Arial"/>
          <w:noProof/>
          <w:sz w:val="22"/>
          <w:szCs w:val="22"/>
        </w:rPr>
        <w:tab/>
        <w:t xml:space="preserve">Jepsen MR, Kløverpris S, Mikkelsen JH, Pedersen JH, Füchtbauer E-M, Laursen LS, et al. Stanniocalcin-2 inhibits mammalian growth by proteolytic inhibition of the insulin-like growth factor axis. J Biol Chem. 2015;290(6):3430–9. </w:t>
      </w:r>
    </w:p>
    <w:p w14:paraId="7EF8A6F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110. </w:t>
      </w:r>
      <w:r w:rsidRPr="0033639F">
        <w:rPr>
          <w:rFonts w:ascii="Arial" w:hAnsi="Arial" w:cs="Arial"/>
          <w:noProof/>
          <w:sz w:val="22"/>
          <w:szCs w:val="22"/>
        </w:rPr>
        <w:tab/>
        <w:t xml:space="preserve">Fujimoto M, Hwa V, Dauber A. Novel modulators of the growth hormone - insulin-like growth factor axis: Pregnancy-associated plasma protein-A2 and stanniocalcin-2. J Clin Res Pediatr Endocrinol. 2017;9(Suppl 2):1–8. </w:t>
      </w:r>
    </w:p>
    <w:p w14:paraId="242ADF5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111. </w:t>
      </w:r>
      <w:r w:rsidRPr="0033639F">
        <w:rPr>
          <w:rFonts w:ascii="Arial" w:hAnsi="Arial" w:cs="Arial"/>
          <w:noProof/>
          <w:sz w:val="22"/>
          <w:szCs w:val="22"/>
        </w:rPr>
        <w:tab/>
        <w:t xml:space="preserve">Woods KA, Camacho-Hübner C, Savage MO, Clark AJ. Intrauterine growth retardation and postnatal growth failure associated with deletion of the insulin-like growth factor I gene. N Engl J Med. 1996;335(18):1363–7. </w:t>
      </w:r>
    </w:p>
    <w:p w14:paraId="1BC63B9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112. </w:t>
      </w:r>
      <w:r w:rsidRPr="0033639F">
        <w:rPr>
          <w:rFonts w:ascii="Arial" w:hAnsi="Arial" w:cs="Arial"/>
          <w:noProof/>
          <w:sz w:val="22"/>
          <w:szCs w:val="22"/>
        </w:rPr>
        <w:tab/>
        <w:t xml:space="preserve">Baker J, Liu JP, Robertson EJ, Efstratiadis A. Role of insulin-like growth factors in embryonic and postnatal growth. Cell. 1993;75(1):73–82. </w:t>
      </w:r>
    </w:p>
    <w:p w14:paraId="1EE99BF4"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113. </w:t>
      </w:r>
      <w:r w:rsidRPr="0033639F">
        <w:rPr>
          <w:rFonts w:ascii="Arial" w:hAnsi="Arial" w:cs="Arial"/>
          <w:noProof/>
          <w:sz w:val="22"/>
          <w:szCs w:val="22"/>
        </w:rPr>
        <w:tab/>
        <w:t xml:space="preserve">Bonapace G, Concolino D, Formicola S, Strisciuglio P. A novel mutation in a patient with insulin-like growth factor 1 (IGF1) deficiency. J Med Genet. 2003;40(12):913–7. </w:t>
      </w:r>
    </w:p>
    <w:p w14:paraId="03108FA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114. </w:t>
      </w:r>
      <w:r w:rsidRPr="0033639F">
        <w:rPr>
          <w:rFonts w:ascii="Arial" w:hAnsi="Arial" w:cs="Arial"/>
          <w:noProof/>
          <w:sz w:val="22"/>
          <w:szCs w:val="22"/>
        </w:rPr>
        <w:tab/>
        <w:t xml:space="preserve">Walenkamp MJE, Karperien M, Pereira AM, Hilhorst-Hofstee Y, van Doorn J, Chen JW, et al. Homozygous and heterozygous expression of a novel insulin-like growth factor-I mutation. J Clin Endocrinol Metab. 2005;90(5):2855–64. </w:t>
      </w:r>
    </w:p>
    <w:p w14:paraId="2D647D8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115. </w:t>
      </w:r>
      <w:r w:rsidRPr="0033639F">
        <w:rPr>
          <w:rFonts w:ascii="Arial" w:hAnsi="Arial" w:cs="Arial"/>
          <w:noProof/>
          <w:sz w:val="22"/>
          <w:szCs w:val="22"/>
        </w:rPr>
        <w:tab/>
        <w:t xml:space="preserve">Liu JP, Baker J, Perkins AS, Robertson EJ, Efstratiadis A. Mice carrying null mutations of the genes encoding insulin-like growth factor I (Igf-1) and type 1 IGF receptor (Igf1r). Cell. 1993;75(1):59–72. </w:t>
      </w:r>
    </w:p>
    <w:p w14:paraId="03302E7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116. </w:t>
      </w:r>
      <w:r w:rsidRPr="0033639F">
        <w:rPr>
          <w:rFonts w:ascii="Arial" w:hAnsi="Arial" w:cs="Arial"/>
          <w:noProof/>
          <w:sz w:val="22"/>
          <w:szCs w:val="22"/>
        </w:rPr>
        <w:tab/>
        <w:t xml:space="preserve">Morison IM, Reeve AE. Insulin-like growth factor 2 and overgrowth: molecular biology and clinical implications. Mol Med Today. 1998;4(3):110–5. </w:t>
      </w:r>
    </w:p>
    <w:p w14:paraId="6A7338D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117. </w:t>
      </w:r>
      <w:r w:rsidRPr="0033639F">
        <w:rPr>
          <w:rFonts w:ascii="Arial" w:hAnsi="Arial" w:cs="Arial"/>
          <w:noProof/>
          <w:sz w:val="22"/>
          <w:szCs w:val="22"/>
        </w:rPr>
        <w:tab/>
        <w:t xml:space="preserve">Yakar S, Liu JL, Stannard B, Butler A, Accili D, Sauer B, et al. Normal growth and development in the absence of hepatic insulin-like growth factor I. Proc Natl Acad Sci U S A. 1999;96(13):7324–9. </w:t>
      </w:r>
    </w:p>
    <w:p w14:paraId="61594184"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118. </w:t>
      </w:r>
      <w:r w:rsidRPr="0033639F">
        <w:rPr>
          <w:rFonts w:ascii="Arial" w:hAnsi="Arial" w:cs="Arial"/>
          <w:noProof/>
          <w:sz w:val="22"/>
          <w:szCs w:val="22"/>
        </w:rPr>
        <w:tab/>
        <w:t xml:space="preserve">Sjögren K, Liu JL, Blad K, Skrtic S, Vidal O, Wallenius V, et al. Liver-derived insulin-like growth factor I (IGF-I) is the principal source of IGF-I in blood but is not required for postnatal body growth in mice. Proc Natl Acad Sci U S A. 1999;96(12):7088–92. </w:t>
      </w:r>
    </w:p>
    <w:p w14:paraId="38333D8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119. </w:t>
      </w:r>
      <w:r w:rsidRPr="0033639F">
        <w:rPr>
          <w:rFonts w:ascii="Arial" w:hAnsi="Arial" w:cs="Arial"/>
          <w:noProof/>
          <w:sz w:val="22"/>
          <w:szCs w:val="22"/>
        </w:rPr>
        <w:tab/>
        <w:t>Yakar S, Rosen CJ, Beamer WG, Ackert-Bicknell CL, Wu Y, Liu JL, et al. Circulating levels of IGF-1 directly regulate bone growth and density. J Clin Invest. 2002;110(6):771–</w:t>
      </w:r>
      <w:r w:rsidRPr="0033639F">
        <w:rPr>
          <w:rFonts w:ascii="Arial" w:hAnsi="Arial" w:cs="Arial"/>
          <w:noProof/>
          <w:sz w:val="22"/>
          <w:szCs w:val="22"/>
        </w:rPr>
        <w:lastRenderedPageBreak/>
        <w:t xml:space="preserve">81. </w:t>
      </w:r>
    </w:p>
    <w:p w14:paraId="20CBE59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120. </w:t>
      </w:r>
      <w:r w:rsidRPr="0033639F">
        <w:rPr>
          <w:rFonts w:ascii="Arial" w:hAnsi="Arial" w:cs="Arial"/>
          <w:noProof/>
          <w:sz w:val="22"/>
          <w:szCs w:val="22"/>
        </w:rPr>
        <w:tab/>
        <w:t xml:space="preserve">Domené HM, Bengolea S V, Martínez AS, Ropelato MG, Pennisi P, Scaglia P, et al. Deficiency of the circulating insulin-like growth factor system associated with inactivation of the acid-labile subunit gene. N Engl J Med. 2004;350(6):570–7. </w:t>
      </w:r>
    </w:p>
    <w:p w14:paraId="4934B11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121. </w:t>
      </w:r>
      <w:r w:rsidRPr="0033639F">
        <w:rPr>
          <w:rFonts w:ascii="Arial" w:hAnsi="Arial" w:cs="Arial"/>
          <w:noProof/>
          <w:sz w:val="22"/>
          <w:szCs w:val="22"/>
        </w:rPr>
        <w:tab/>
        <w:t>Hwa V, Haeusler G, Pratt KL, Little BM, Frisch H, Koller D, et al. Total absence of functional acid labile subunit, resulting in severe insulin-like growth factor deficiency and moderate growth failure. J Clin Endocrinol Metab. 2006;91(5):1826–31.</w:t>
      </w:r>
    </w:p>
    <w:p w14:paraId="057BBA1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122. </w:t>
      </w:r>
      <w:r w:rsidRPr="0033639F">
        <w:rPr>
          <w:rFonts w:ascii="Arial" w:hAnsi="Arial" w:cs="Arial"/>
          <w:noProof/>
          <w:sz w:val="22"/>
          <w:szCs w:val="22"/>
        </w:rPr>
        <w:tab/>
        <w:t xml:space="preserve">Domené HM, Scaglia PA, Lteif A, Mahmud FH, Kirmani S, Frystyk J, et al. Phenotypic effects of null and haploinsufficiency of acid-labile subunit in a family with two novel IGFALS gene mutations. J Clin Endocrinol Metab. 2007;92(11):4444–50. </w:t>
      </w:r>
    </w:p>
    <w:p w14:paraId="769FF22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123. </w:t>
      </w:r>
      <w:r w:rsidRPr="0033639F">
        <w:rPr>
          <w:rFonts w:ascii="Arial" w:hAnsi="Arial" w:cs="Arial"/>
          <w:noProof/>
          <w:sz w:val="22"/>
          <w:szCs w:val="22"/>
        </w:rPr>
        <w:tab/>
        <w:t xml:space="preserve">Domené HM, Hwa V, Jasper HG, Rosenfeld RG. Acid-labile subunit (ALS) deficiency. Best Pract Res Clin Endocrinol Metab. 2011;25(1):101–13. </w:t>
      </w:r>
    </w:p>
    <w:p w14:paraId="7119B98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124. </w:t>
      </w:r>
      <w:r w:rsidRPr="0033639F">
        <w:rPr>
          <w:rFonts w:ascii="Arial" w:hAnsi="Arial" w:cs="Arial"/>
          <w:noProof/>
          <w:sz w:val="22"/>
          <w:szCs w:val="22"/>
        </w:rPr>
        <w:tab/>
        <w:t xml:space="preserve">Savage MO, Camacho-Hübner C, David A, Metherell LA, Hwa V, Rosenfeld RG, et al. Idiopathic short stature: will genetics influence the choice between GH and IGF-I therapy? Eur J Endocrinol. 2007;157 Suppl:S33-37. </w:t>
      </w:r>
    </w:p>
    <w:p w14:paraId="02EF578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125. </w:t>
      </w:r>
      <w:r w:rsidRPr="0033639F">
        <w:rPr>
          <w:rFonts w:ascii="Arial" w:hAnsi="Arial" w:cs="Arial"/>
          <w:noProof/>
          <w:sz w:val="22"/>
          <w:szCs w:val="22"/>
        </w:rPr>
        <w:tab/>
        <w:t xml:space="preserve">Chan JM, Stampfer MJ, Giovannucci E, Gann PH, Ma J, Wilkinson P, et al. Plasma insulin-like growth factor-I and prostate cancer risk: A prospective study. Science. 1998;279(5350):563–6. </w:t>
      </w:r>
    </w:p>
    <w:p w14:paraId="32FD5D5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126. </w:t>
      </w:r>
      <w:r w:rsidRPr="0033639F">
        <w:rPr>
          <w:rFonts w:ascii="Arial" w:hAnsi="Arial" w:cs="Arial"/>
          <w:noProof/>
          <w:sz w:val="22"/>
          <w:szCs w:val="22"/>
        </w:rPr>
        <w:tab/>
        <w:t xml:space="preserve">Pollak M. Insulin-like growth factor physiology and cancer risk. Eur J Cancer. 2000;36(10):1224–8. </w:t>
      </w:r>
    </w:p>
    <w:p w14:paraId="3CF1914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127. </w:t>
      </w:r>
      <w:r w:rsidRPr="0033639F">
        <w:rPr>
          <w:rFonts w:ascii="Arial" w:hAnsi="Arial" w:cs="Arial"/>
          <w:noProof/>
          <w:sz w:val="22"/>
          <w:szCs w:val="22"/>
        </w:rPr>
        <w:tab/>
        <w:t xml:space="preserve">Jernstrom H, Chu W, Vesprini D, Tao Y, Majeed N, Deal C, et al. Genetic factors related to racial variation in plasma levels of insulin-like growth factor-1: Implications for premenopausal breast cancer risk. Mol Genet Metab. 2001;72(2):144–54. </w:t>
      </w:r>
    </w:p>
    <w:p w14:paraId="1A5FC2D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128. </w:t>
      </w:r>
      <w:r w:rsidRPr="0033639F">
        <w:rPr>
          <w:rFonts w:ascii="Arial" w:hAnsi="Arial" w:cs="Arial"/>
          <w:noProof/>
          <w:sz w:val="22"/>
          <w:szCs w:val="22"/>
        </w:rPr>
        <w:tab/>
        <w:t xml:space="preserve">Cohen P, Clemmons DR, Rosenfeld RG. Does the GH-IGF axis play a role in cancer pathogenesis? Growth Horm IGF Res. 2000;10(6):297–305. </w:t>
      </w:r>
    </w:p>
    <w:p w14:paraId="66C173D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129. </w:t>
      </w:r>
      <w:r w:rsidRPr="0033639F">
        <w:rPr>
          <w:rFonts w:ascii="Arial" w:hAnsi="Arial" w:cs="Arial"/>
          <w:noProof/>
          <w:sz w:val="22"/>
          <w:szCs w:val="22"/>
        </w:rPr>
        <w:tab/>
        <w:t xml:space="preserve">Cohen P. Overview of the IGF-I system. Horm Res. 2006;65(Suppl 1):3–8. </w:t>
      </w:r>
    </w:p>
    <w:p w14:paraId="2686B80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130. </w:t>
      </w:r>
      <w:r w:rsidRPr="0033639F">
        <w:rPr>
          <w:rFonts w:ascii="Arial" w:hAnsi="Arial" w:cs="Arial"/>
          <w:noProof/>
          <w:sz w:val="22"/>
          <w:szCs w:val="22"/>
        </w:rPr>
        <w:tab/>
        <w:t xml:space="preserve">Ranke MB. Defining insulin-like growth factor-I deficiency. Horm Res. 2006;65(Suppl 1):9–14. </w:t>
      </w:r>
    </w:p>
    <w:p w14:paraId="194DEC9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131. </w:t>
      </w:r>
      <w:r w:rsidRPr="0033639F">
        <w:rPr>
          <w:rFonts w:ascii="Arial" w:hAnsi="Arial" w:cs="Arial"/>
          <w:noProof/>
          <w:sz w:val="22"/>
          <w:szCs w:val="22"/>
        </w:rPr>
        <w:tab/>
        <w:t xml:space="preserve">Savage MO, Camacho-Hübner C, Dunger DB. Therapeutic applications of the insulin-like growth factors. Growth Horm IGF Res. 2004;14(4):301–8. </w:t>
      </w:r>
    </w:p>
    <w:p w14:paraId="5D79F16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132. </w:t>
      </w:r>
      <w:r w:rsidRPr="0033639F">
        <w:rPr>
          <w:rFonts w:ascii="Arial" w:hAnsi="Arial" w:cs="Arial"/>
          <w:noProof/>
          <w:sz w:val="22"/>
          <w:szCs w:val="22"/>
        </w:rPr>
        <w:tab/>
        <w:t xml:space="preserve">Laron Z, Anin S, Klipper-Aurbach Y, Klinger B. Effects of insulin-like growth factor on linear growth, head circumference, and body fat in patients with Laron-type dwarfism. Lancet. 1992;339(8804):1258–61. </w:t>
      </w:r>
    </w:p>
    <w:p w14:paraId="2A2E33F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133. </w:t>
      </w:r>
      <w:r w:rsidRPr="0033639F">
        <w:rPr>
          <w:rFonts w:ascii="Arial" w:hAnsi="Arial" w:cs="Arial"/>
          <w:noProof/>
          <w:sz w:val="22"/>
          <w:szCs w:val="22"/>
        </w:rPr>
        <w:tab/>
        <w:t xml:space="preserve">Ranke MB, Savage MO, Chatelain PG, Preece MA, Rosenfeld RG, Blum WF, et al. Insulin-like growth factor I improves height in growth hormone insensitivity: two years’ results. Horm Res. 1995;44(6):253–64. </w:t>
      </w:r>
    </w:p>
    <w:p w14:paraId="498C4BC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134. </w:t>
      </w:r>
      <w:r w:rsidRPr="0033639F">
        <w:rPr>
          <w:rFonts w:ascii="Arial" w:hAnsi="Arial" w:cs="Arial"/>
          <w:noProof/>
          <w:sz w:val="22"/>
          <w:szCs w:val="22"/>
        </w:rPr>
        <w:tab/>
        <w:t xml:space="preserve">Ranke MB, Savage MO, Chatelain PG, Preece MA, Rosenfeld RG, Wilton P. Long-term treatment of growth hormone insensitivity syndrome with IGF-I. Results of the European Multicentre Study. The Working Group on Growth Hormone Insensitivity Syndromes. Horm Res. 1999;51(3):128–34. </w:t>
      </w:r>
    </w:p>
    <w:p w14:paraId="2643918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135. </w:t>
      </w:r>
      <w:r w:rsidRPr="0033639F">
        <w:rPr>
          <w:rFonts w:ascii="Arial" w:hAnsi="Arial" w:cs="Arial"/>
          <w:noProof/>
          <w:sz w:val="22"/>
          <w:szCs w:val="22"/>
        </w:rPr>
        <w:tab/>
        <w:t xml:space="preserve">Collett-Solberg PF, Misra M, Drug and Therapeutics Committee of the Lawson Wilkins Pediatric Endocrine Society. The role of recombinant human insulin-like growth factor-I in treating children with short stature. J Clin Endocrinol Metab. 2008;93(1):10–8. </w:t>
      </w:r>
    </w:p>
    <w:p w14:paraId="093263B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136. </w:t>
      </w:r>
      <w:r w:rsidRPr="0033639F">
        <w:rPr>
          <w:rFonts w:ascii="Arial" w:hAnsi="Arial" w:cs="Arial"/>
          <w:noProof/>
          <w:sz w:val="22"/>
          <w:szCs w:val="22"/>
        </w:rPr>
        <w:tab/>
        <w:t xml:space="preserve">Laron Z. Insulin-like growth factor-I (lGF-l): safety and efficacy. Pediatr Endocrinol Rev. </w:t>
      </w:r>
      <w:r w:rsidRPr="0033639F">
        <w:rPr>
          <w:rFonts w:ascii="Arial" w:hAnsi="Arial" w:cs="Arial"/>
          <w:noProof/>
          <w:sz w:val="22"/>
          <w:szCs w:val="22"/>
        </w:rPr>
        <w:lastRenderedPageBreak/>
        <w:t xml:space="preserve">2004;2(Suppl 1):78–85. </w:t>
      </w:r>
    </w:p>
    <w:p w14:paraId="6D278F5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137. </w:t>
      </w:r>
      <w:r w:rsidRPr="0033639F">
        <w:rPr>
          <w:rFonts w:ascii="Arial" w:hAnsi="Arial" w:cs="Arial"/>
          <w:noProof/>
          <w:sz w:val="22"/>
          <w:szCs w:val="22"/>
        </w:rPr>
        <w:tab/>
        <w:t xml:space="preserve">Backeljauw PF, Underwood LE, GHIS Collaborative Group. Therapy for 6.5-7.5 years with recombinant insulin-like growth factor I in children with growth hormone insensitivity syndrome: A clinical research center study. J Clin Endocrinol Metab. 2001;86(4):1504–10. </w:t>
      </w:r>
    </w:p>
    <w:p w14:paraId="21B2B0C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138. </w:t>
      </w:r>
      <w:r w:rsidRPr="0033639F">
        <w:rPr>
          <w:rFonts w:ascii="Arial" w:hAnsi="Arial" w:cs="Arial"/>
          <w:noProof/>
          <w:sz w:val="22"/>
          <w:szCs w:val="22"/>
        </w:rPr>
        <w:tab/>
        <w:t xml:space="preserve">Roback EW, Barakat AJ, Dev VG, Mbikay M, Chretien M, Butler MG. An infant with deletion of the distal long arm of chromosome 15 (q26.1----qter) and loss of insulin-like growth factor 1 receptor gene. Am J Med Genet. 1991;38(1):74–9. </w:t>
      </w:r>
    </w:p>
    <w:p w14:paraId="5F33C62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139. </w:t>
      </w:r>
      <w:r w:rsidRPr="0033639F">
        <w:rPr>
          <w:rFonts w:ascii="Arial" w:hAnsi="Arial" w:cs="Arial"/>
          <w:noProof/>
          <w:sz w:val="22"/>
          <w:szCs w:val="22"/>
        </w:rPr>
        <w:tab/>
        <w:t xml:space="preserve">Fang P, Schwartz ID, Johnson BD, Derr MA, Roberts CT, Hwa V, et al. Familial short stature caused by haploinsufficiency of the insulin-like growth factor i receptor due to nonsense-mediated messenger ribonucleic acid decay. J Clin Endocrinol Metab. 2009;94(5):1740–7. </w:t>
      </w:r>
    </w:p>
    <w:p w14:paraId="6045076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140. </w:t>
      </w:r>
      <w:r w:rsidRPr="0033639F">
        <w:rPr>
          <w:rFonts w:ascii="Arial" w:hAnsi="Arial" w:cs="Arial"/>
          <w:noProof/>
          <w:sz w:val="22"/>
          <w:szCs w:val="22"/>
        </w:rPr>
        <w:tab/>
        <w:t xml:space="preserve">Fujimoto M, Andrew M, Dauber A. Disorders caused by genetic defects associated with GH-dependent genes: PAPPA2 defects. Mol Cell Endocrinol. 2020 Dec;518:110967. </w:t>
      </w:r>
    </w:p>
    <w:p w14:paraId="5338E5D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141. </w:t>
      </w:r>
      <w:r w:rsidRPr="0033639F">
        <w:rPr>
          <w:rFonts w:ascii="Arial" w:hAnsi="Arial" w:cs="Arial"/>
          <w:noProof/>
          <w:sz w:val="22"/>
          <w:szCs w:val="22"/>
        </w:rPr>
        <w:tab/>
        <w:t xml:space="preserve">Dauber A, Muñoz-Calvo MT, Barrios V, Domené HM, Kloverpris S, Serra-Juhé C, et al. Mutations in pregnancy-associated plasma protein A2 cause short stature due to low IGF-I availability. EMBO Mol Med. 2016 Apr;8(4):363–74. </w:t>
      </w:r>
    </w:p>
    <w:p w14:paraId="48D6152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142. </w:t>
      </w:r>
      <w:r w:rsidRPr="0033639F">
        <w:rPr>
          <w:rFonts w:ascii="Arial" w:hAnsi="Arial" w:cs="Arial"/>
          <w:noProof/>
          <w:sz w:val="22"/>
          <w:szCs w:val="22"/>
        </w:rPr>
        <w:tab/>
        <w:t xml:space="preserve">Babiker A, Al Noaim K, Al Swaid A, Alfadhel M, Deeb A, Martín-Rivada Á, et al. Short stature with low insulin-like growth factor 1 availability due to pregnancy-associated plasma protein A2 deficiency in a Saudi family. Clin Genet. 2021 Nov;100(5):601–6. </w:t>
      </w:r>
    </w:p>
    <w:p w14:paraId="57F6BE9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143. </w:t>
      </w:r>
      <w:r w:rsidRPr="0033639F">
        <w:rPr>
          <w:rFonts w:ascii="Arial" w:hAnsi="Arial" w:cs="Arial"/>
          <w:noProof/>
          <w:sz w:val="22"/>
          <w:szCs w:val="22"/>
        </w:rPr>
        <w:tab/>
        <w:t xml:space="preserve">Barrios V, Chowen JA, Martín-Rivada Á, Guerra-Cantera S, Pozo J, Yakar S, et al. Pregnancy-associated plasma protein (PAPP)-A2 in physiology and disease. Cells. 2021;10(12):3576. </w:t>
      </w:r>
    </w:p>
    <w:p w14:paraId="2FFB0BB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144. </w:t>
      </w:r>
      <w:r w:rsidRPr="0033639F">
        <w:rPr>
          <w:rFonts w:ascii="Arial" w:hAnsi="Arial" w:cs="Arial"/>
          <w:noProof/>
          <w:sz w:val="22"/>
          <w:szCs w:val="22"/>
        </w:rPr>
        <w:tab/>
        <w:t xml:space="preserve">Muñoz-Calvo MT, Barrios V, Pozo J, Chowen JA, Martos-Moreno GÁ, Hawkins F, et al. Treatment With recombinant human insulin-like growth factor-1 improves growth in  patients with PAPP-A2 deficiency. J Clin Endocrinol Metab. 2016;101(11):3879–83. </w:t>
      </w:r>
    </w:p>
    <w:p w14:paraId="4CFC2E7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145. </w:t>
      </w:r>
      <w:r w:rsidRPr="0033639F">
        <w:rPr>
          <w:rFonts w:ascii="Arial" w:hAnsi="Arial" w:cs="Arial"/>
          <w:noProof/>
          <w:sz w:val="22"/>
          <w:szCs w:val="22"/>
        </w:rPr>
        <w:tab/>
        <w:t xml:space="preserve">Martín-Rivada Á, Barrios V, Martínez Díaz-Guerra G, Pozo J, Martos-Moreno GÁ, Argente J. Adult height and long-term outcomes after rhIGF-1 therapy in two patients with  PAPP-A2 deficiency. Growth Horm IGF Res. 2021;60–61:101419. </w:t>
      </w:r>
    </w:p>
    <w:p w14:paraId="018E4DD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146. </w:t>
      </w:r>
      <w:r w:rsidRPr="0033639F">
        <w:rPr>
          <w:rFonts w:ascii="Arial" w:hAnsi="Arial" w:cs="Arial"/>
          <w:noProof/>
          <w:sz w:val="22"/>
          <w:szCs w:val="22"/>
        </w:rPr>
        <w:tab/>
        <w:t xml:space="preserve">Muthuvel G, Dauber A, Alexandrou E, Tyzinski L, Andrew M, Hwa V, et al. Five-year therapy with recombinant human insulin-like growth factor-1 in a patient with PAPP-A2 deficiency. Horm Res Paediatr. 2023;96(5):449–57. </w:t>
      </w:r>
    </w:p>
    <w:p w14:paraId="4B4BF73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147. </w:t>
      </w:r>
      <w:r w:rsidRPr="0033639F">
        <w:rPr>
          <w:rFonts w:ascii="Arial" w:hAnsi="Arial" w:cs="Arial"/>
          <w:noProof/>
          <w:sz w:val="22"/>
          <w:szCs w:val="22"/>
        </w:rPr>
        <w:tab/>
        <w:t xml:space="preserve">Cabrera-Salcedo C, Mizuno T, Tyzinski L, Andrew M, Vinks AA, Frystyk J, et al. Pharmacokinetics of IGF-1 in PAPP-A2-deficient patients, growth response, and effects on glucose and bone density. J Clin Endocrinol Metab. 2017;102(12):4568–77. </w:t>
      </w:r>
    </w:p>
    <w:p w14:paraId="3C57938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148. </w:t>
      </w:r>
      <w:r w:rsidRPr="0033639F">
        <w:rPr>
          <w:rFonts w:ascii="Arial" w:hAnsi="Arial" w:cs="Arial"/>
          <w:noProof/>
          <w:sz w:val="22"/>
          <w:szCs w:val="22"/>
        </w:rPr>
        <w:tab/>
        <w:t xml:space="preserve">Hawkins-Carranza FG, Muñoz-Calvo MT, Martos-Moreno GÁ, Allo-Miguel G, Del Río L, Pozo J, et al. rhIGF-1 treatment increases bone mineral density and trabecular bone structure in children with PAPP-A2 deficiency. Horm Res Paediatr. 2018;89(3):200–4. </w:t>
      </w:r>
    </w:p>
    <w:p w14:paraId="06C2ACB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149. </w:t>
      </w:r>
      <w:r w:rsidRPr="0033639F">
        <w:rPr>
          <w:rFonts w:ascii="Arial" w:hAnsi="Arial" w:cs="Arial"/>
          <w:noProof/>
          <w:sz w:val="22"/>
          <w:szCs w:val="22"/>
        </w:rPr>
        <w:tab/>
        <w:t xml:space="preserve">Andrew M, Liao L, Fujimoto M, Khoury J, Hwa V, Dauber A. PAPPA2 as a therapeutic modulator of IGF-I bioavailability: in vivo and in vitro evidence. J Endocr Soc. 2018;2(7):646–56. </w:t>
      </w:r>
    </w:p>
    <w:p w14:paraId="7568645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150. </w:t>
      </w:r>
      <w:r w:rsidRPr="0033639F">
        <w:rPr>
          <w:rFonts w:ascii="Arial" w:hAnsi="Arial" w:cs="Arial"/>
          <w:noProof/>
          <w:sz w:val="22"/>
          <w:szCs w:val="22"/>
        </w:rPr>
        <w:tab/>
        <w:t xml:space="preserve">Fitzpatrick GV, Soloway PD, Higgins MJ. Regional loss of imprinting and growth deficiency in mice with a targeted deletion of KvDMR1. Nat Genet. 2002;32(3):426–31. </w:t>
      </w:r>
    </w:p>
    <w:p w14:paraId="40DEF7A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151. </w:t>
      </w:r>
      <w:r w:rsidRPr="0033639F">
        <w:rPr>
          <w:rFonts w:ascii="Arial" w:hAnsi="Arial" w:cs="Arial"/>
          <w:noProof/>
          <w:sz w:val="22"/>
          <w:szCs w:val="22"/>
        </w:rPr>
        <w:tab/>
        <w:t>Eggenschwiler J, Ludwig T, Fisher P, Leighton PA, Tilghman SM, Efstratiadis A. Mouse mutant embryos overexpressing IGF-II exhibit phenotypic features of the Beckwith-</w:t>
      </w:r>
      <w:r w:rsidRPr="0033639F">
        <w:rPr>
          <w:rFonts w:ascii="Arial" w:hAnsi="Arial" w:cs="Arial"/>
          <w:noProof/>
          <w:sz w:val="22"/>
          <w:szCs w:val="22"/>
        </w:rPr>
        <w:lastRenderedPageBreak/>
        <w:t xml:space="preserve">Wiedemann and Simpson-Golabi-Behmel syndromes. Genes Dev. 1997;11(23):3128–42. </w:t>
      </w:r>
    </w:p>
    <w:p w14:paraId="44CEF65D"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152. </w:t>
      </w:r>
      <w:r w:rsidRPr="0033639F">
        <w:rPr>
          <w:rFonts w:ascii="Arial" w:hAnsi="Arial" w:cs="Arial"/>
          <w:noProof/>
          <w:sz w:val="22"/>
          <w:szCs w:val="22"/>
        </w:rPr>
        <w:tab/>
        <w:t xml:space="preserve">McElreavey K, Fellous M. Sex-determining genes. Trends Endocrinol Metab. 1997;8(9):342–5. </w:t>
      </w:r>
    </w:p>
    <w:p w14:paraId="52CE38E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153. </w:t>
      </w:r>
      <w:r w:rsidRPr="0033639F">
        <w:rPr>
          <w:rFonts w:ascii="Arial" w:hAnsi="Arial" w:cs="Arial"/>
          <w:noProof/>
          <w:sz w:val="22"/>
          <w:szCs w:val="22"/>
        </w:rPr>
        <w:tab/>
        <w:t xml:space="preserve">Fisher AM, Thomas NS, Cockwell A, Stecko O, Kerr B, Temple IK, et al. Duplications of chromosome 11p15 of maternal origin result in a phenotype that includes growth retardation. Hum Genet. 2002;111(3):290–6. </w:t>
      </w:r>
    </w:p>
    <w:p w14:paraId="4C6AF8E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154. </w:t>
      </w:r>
      <w:r w:rsidRPr="0033639F">
        <w:rPr>
          <w:rFonts w:ascii="Arial" w:hAnsi="Arial" w:cs="Arial"/>
          <w:noProof/>
          <w:sz w:val="22"/>
          <w:szCs w:val="22"/>
        </w:rPr>
        <w:tab/>
        <w:t xml:space="preserve">Gicquel C, Rossignol S, Cabrol S, Houang M, Steunou V, Barbu V, et al. Epimutation of the telomeric imprinting center region on chromosome 11p15 in Silver-Russell syndrome. Nat Genet. 2005;37(9):1003–7. </w:t>
      </w:r>
    </w:p>
    <w:p w14:paraId="3EDC563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155. </w:t>
      </w:r>
      <w:r w:rsidRPr="0033639F">
        <w:rPr>
          <w:rFonts w:ascii="Arial" w:hAnsi="Arial" w:cs="Arial"/>
          <w:noProof/>
          <w:sz w:val="22"/>
          <w:szCs w:val="22"/>
        </w:rPr>
        <w:tab/>
        <w:t xml:space="preserve">Schönherr N, Meyer E, Eggermann K, Ranke MB, Wollmann HA, Eggermann T. (Epi)mutations in 11p15 significantly contribute to Silver-Russell syndrome: but are they generally involved in growth retardation? Eur J Med Genet. 2006;49(5):414–8. </w:t>
      </w:r>
    </w:p>
    <w:p w14:paraId="25E5609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156. </w:t>
      </w:r>
      <w:r w:rsidRPr="0033639F">
        <w:rPr>
          <w:rFonts w:ascii="Arial" w:hAnsi="Arial" w:cs="Arial"/>
          <w:noProof/>
          <w:sz w:val="22"/>
          <w:szCs w:val="22"/>
        </w:rPr>
        <w:tab/>
        <w:t xml:space="preserve">Hannula K, Lipsanen-Nyman M, Kontiokari T, Kere J. A narrow segment of maternal uniparental disomy of chromosome 7q31-qter in Silver-Russell syndrome delimits a candidate gene region. Am J Hum Genet. 2001;68(1):247–53. </w:t>
      </w:r>
    </w:p>
    <w:p w14:paraId="6BB65E8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157. </w:t>
      </w:r>
      <w:r w:rsidRPr="0033639F">
        <w:rPr>
          <w:rFonts w:ascii="Arial" w:hAnsi="Arial" w:cs="Arial"/>
          <w:noProof/>
          <w:sz w:val="22"/>
          <w:szCs w:val="22"/>
        </w:rPr>
        <w:tab/>
        <w:t xml:space="preserve">Murphy R, Baptista J, Holly J, Umpleby AM, Ellard S, Harries LW, et al. Severe intrauterine growth retardation and atypical diabetes associated with a translocation breakpoint disrupting regulation of the insulin-like growth factor 2 gene. J Clin Endocrinol Metab. 2008;93(11):4373–80. </w:t>
      </w:r>
    </w:p>
    <w:p w14:paraId="4E568384"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158. </w:t>
      </w:r>
      <w:r w:rsidRPr="0033639F">
        <w:rPr>
          <w:rFonts w:ascii="Arial" w:hAnsi="Arial" w:cs="Arial"/>
          <w:noProof/>
          <w:sz w:val="22"/>
          <w:szCs w:val="22"/>
        </w:rPr>
        <w:tab/>
        <w:t>Valhmu WB, Palmer GD, Rivers PA, Ebara S, Cheng JF, Fischer S, et al. Structure of the human aggrecan gene: Exon-intron organization and association with the protein domains. Biochem J. 1995;309(2):535–42.</w:t>
      </w:r>
    </w:p>
    <w:p w14:paraId="68004A9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159. </w:t>
      </w:r>
      <w:r w:rsidRPr="0033639F">
        <w:rPr>
          <w:rFonts w:ascii="Arial" w:hAnsi="Arial" w:cs="Arial"/>
          <w:noProof/>
          <w:sz w:val="22"/>
          <w:szCs w:val="22"/>
        </w:rPr>
        <w:tab/>
        <w:t>Kiani C, Chen L, Wu YJ, Yee AJ, Yang BB. Structure and function of aggrecan. Cell Res. 2002;12:19.</w:t>
      </w:r>
    </w:p>
    <w:p w14:paraId="6E3BB6A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160. </w:t>
      </w:r>
      <w:r w:rsidRPr="0033639F">
        <w:rPr>
          <w:rFonts w:ascii="Arial" w:hAnsi="Arial" w:cs="Arial"/>
          <w:noProof/>
          <w:sz w:val="22"/>
          <w:szCs w:val="22"/>
        </w:rPr>
        <w:tab/>
        <w:t xml:space="preserve">Kawaguchi Y, Osada R, Kanamori M, Ishihara H, Ohmori K, Matsui H, et al. Association between an aggrecan gene polymorphism and lumbar disc degeneration. Spine. 1999;24:2456–60. </w:t>
      </w:r>
    </w:p>
    <w:p w14:paraId="03DA753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161. </w:t>
      </w:r>
      <w:r w:rsidRPr="0033639F">
        <w:rPr>
          <w:rFonts w:ascii="Arial" w:hAnsi="Arial" w:cs="Arial"/>
          <w:noProof/>
          <w:sz w:val="22"/>
          <w:szCs w:val="22"/>
        </w:rPr>
        <w:tab/>
        <w:t xml:space="preserve">Gleghorn L, Ramesar R, Beighton P, Wallis G. A mutation in the variable repeat region of the aggrecan gene (AGC1) causes a form of spondyloepiphyseal dysplasia associated with severe, premature osteoarthritis. Am J Hum Genet. 2005;77:484–90. </w:t>
      </w:r>
    </w:p>
    <w:p w14:paraId="6ED07FE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162. </w:t>
      </w:r>
      <w:r w:rsidRPr="0033639F">
        <w:rPr>
          <w:rFonts w:ascii="Arial" w:hAnsi="Arial" w:cs="Arial"/>
          <w:noProof/>
          <w:sz w:val="22"/>
          <w:szCs w:val="22"/>
        </w:rPr>
        <w:tab/>
        <w:t xml:space="preserve">Tompson SW, Merriman B, Funari VA, Fresquet M, Lachman RS, Rimoin DL, et al. A recessive skeletal dysplasia, SEMD aggrecan type, results from a missense mutation affecting the C-type lectin domain of aggrecan. Am J Hum Genet. 2009;84:72–9. </w:t>
      </w:r>
    </w:p>
    <w:p w14:paraId="4FC7731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163. </w:t>
      </w:r>
      <w:r w:rsidRPr="0033639F">
        <w:rPr>
          <w:rFonts w:ascii="Arial" w:hAnsi="Arial" w:cs="Arial"/>
          <w:noProof/>
          <w:sz w:val="22"/>
          <w:szCs w:val="22"/>
        </w:rPr>
        <w:tab/>
        <w:t>Stattin E-L, Wiklund F, Lindblom K, Önnerfjord P, Jonsson B-A, Tegner Y, et al. A missense mutation in the aggrecan c-type lectin domain disrupts extracellular matrix interactions and causes dominant familial osteochondritis dissecans. Am J Hum Genet. 2010;86(2):126–37.</w:t>
      </w:r>
    </w:p>
    <w:p w14:paraId="31983AB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164. </w:t>
      </w:r>
      <w:r w:rsidRPr="0033639F">
        <w:rPr>
          <w:rFonts w:ascii="Arial" w:hAnsi="Arial" w:cs="Arial"/>
          <w:noProof/>
          <w:sz w:val="22"/>
          <w:szCs w:val="22"/>
        </w:rPr>
        <w:tab/>
        <w:t>Nilsson O, Guo MH, Dunbar N, Popovic J, Flynn D, Jacobsen C, et al. Short stature, accelerated bone maturation, and early growth cessation due to heterozygous aggrecan mutations. J Clin Endocrinol Metab. 2014;99(8):E1510–8.</w:t>
      </w:r>
    </w:p>
    <w:p w14:paraId="381138C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165. </w:t>
      </w:r>
      <w:r w:rsidRPr="0033639F">
        <w:rPr>
          <w:rFonts w:ascii="Arial" w:hAnsi="Arial" w:cs="Arial"/>
          <w:noProof/>
          <w:sz w:val="22"/>
          <w:szCs w:val="22"/>
        </w:rPr>
        <w:tab/>
        <w:t xml:space="preserve">Quintos JB, Guo. MH, Dauber A. Idiopathic short stature due to novel heterozygous mutation of the aggrecan gene. J Pediatr Endocrinol Metab. 2015;28(7-8):927–32. </w:t>
      </w:r>
    </w:p>
    <w:p w14:paraId="07BBE9E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166. </w:t>
      </w:r>
      <w:r w:rsidRPr="0033639F">
        <w:rPr>
          <w:rFonts w:ascii="Arial" w:hAnsi="Arial" w:cs="Arial"/>
          <w:noProof/>
          <w:sz w:val="22"/>
          <w:szCs w:val="22"/>
        </w:rPr>
        <w:tab/>
        <w:t xml:space="preserve">Gkourogianni A, Andrew M, Tyzinski L, Crocker M, Douglas J, Dunbar N, et al. Clinical characterization of patients with autosomal dominant short stature due to aggrecan </w:t>
      </w:r>
      <w:r w:rsidRPr="0033639F">
        <w:rPr>
          <w:rFonts w:ascii="Arial" w:hAnsi="Arial" w:cs="Arial"/>
          <w:noProof/>
          <w:sz w:val="22"/>
          <w:szCs w:val="22"/>
        </w:rPr>
        <w:lastRenderedPageBreak/>
        <w:t>mutations. J Clin Endocrinol Metab. 2017;102(2):460–9.</w:t>
      </w:r>
    </w:p>
    <w:p w14:paraId="4F094B4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167. </w:t>
      </w:r>
      <w:r w:rsidRPr="0033639F">
        <w:rPr>
          <w:rFonts w:ascii="Arial" w:hAnsi="Arial" w:cs="Arial"/>
          <w:noProof/>
          <w:sz w:val="22"/>
          <w:szCs w:val="22"/>
        </w:rPr>
        <w:tab/>
        <w:t xml:space="preserve">van der Steen M, Pfundt R, Maas SJWH, Bakker-van Waarde WM, Odink RJ, Hokken-Koelega ACS. ACAN gene mutations in short children born SGA and response to growth hormone treatment. J Clin Endo Metab. 2017;102:1458–67. </w:t>
      </w:r>
    </w:p>
    <w:p w14:paraId="329A1FD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168. </w:t>
      </w:r>
      <w:r w:rsidRPr="0033639F">
        <w:rPr>
          <w:rFonts w:ascii="Arial" w:hAnsi="Arial" w:cs="Arial"/>
          <w:noProof/>
          <w:sz w:val="22"/>
          <w:szCs w:val="22"/>
        </w:rPr>
        <w:tab/>
        <w:t xml:space="preserve">Dateki S, Nakatomi A, Watanabe S, Shimizu H, Inoue Y, Baba H, et al. Identification of a novel heterozygous mutation of the aggrecan gene in a family with idiopathic short stature and multiple intervertebral disc herniation. J Hum Genet. 2017;62:717–21. </w:t>
      </w:r>
    </w:p>
    <w:p w14:paraId="5DC4394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169. </w:t>
      </w:r>
      <w:r w:rsidRPr="0033639F">
        <w:rPr>
          <w:rFonts w:ascii="Arial" w:hAnsi="Arial" w:cs="Arial"/>
          <w:noProof/>
          <w:sz w:val="22"/>
          <w:szCs w:val="22"/>
        </w:rPr>
        <w:tab/>
        <w:t xml:space="preserve">Rao E, Weiss B, Fukami M, Rump A, Niesler B, Mertz A, et al. Pseudoautosomal deletions encompassing a novel homeobox gene causes growth failure in idiopathic short stature and Turner syndrome. Nat Genet. 1997;16:54–62. </w:t>
      </w:r>
    </w:p>
    <w:p w14:paraId="4BD6E94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170. </w:t>
      </w:r>
      <w:r w:rsidRPr="0033639F">
        <w:rPr>
          <w:rFonts w:ascii="Arial" w:hAnsi="Arial" w:cs="Arial"/>
          <w:noProof/>
          <w:sz w:val="22"/>
          <w:szCs w:val="22"/>
        </w:rPr>
        <w:tab/>
        <w:t>Huber C, Rosilio M, Munnich A, Cormier-Daire V. High incidence of SHOX anomalies in individuals with short stature. J Med Genet. 2006;43(9):735–9.</w:t>
      </w:r>
    </w:p>
    <w:p w14:paraId="0EC1473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171. </w:t>
      </w:r>
      <w:r w:rsidRPr="0033639F">
        <w:rPr>
          <w:rFonts w:ascii="Arial" w:hAnsi="Arial" w:cs="Arial"/>
          <w:noProof/>
          <w:sz w:val="22"/>
          <w:szCs w:val="22"/>
        </w:rPr>
        <w:tab/>
        <w:t xml:space="preserve">Jorge AAL, Nishi MY, Funari MFA, Souza SC, Arnhold IJP, Mendonça BB. [Short stature caused by SHOX gene haploinsufficiency: from diagnosis to treatment]. Arq Bras Endocrinol Metabol. 2008;52(5):765–73. </w:t>
      </w:r>
    </w:p>
    <w:p w14:paraId="27D6598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172. </w:t>
      </w:r>
      <w:r w:rsidRPr="0033639F">
        <w:rPr>
          <w:rFonts w:ascii="Arial" w:hAnsi="Arial" w:cs="Arial"/>
          <w:noProof/>
          <w:sz w:val="22"/>
          <w:szCs w:val="22"/>
        </w:rPr>
        <w:tab/>
        <w:t xml:space="preserve">Binder G. Short stature due to SHOX deficiency: genotype, phenotype, and therapy. Horm Res Paediatr. 2011;75(2):81–9. </w:t>
      </w:r>
    </w:p>
    <w:p w14:paraId="6534971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173. </w:t>
      </w:r>
      <w:r w:rsidRPr="0033639F">
        <w:rPr>
          <w:rFonts w:ascii="Arial" w:hAnsi="Arial" w:cs="Arial"/>
          <w:noProof/>
          <w:sz w:val="22"/>
          <w:szCs w:val="22"/>
        </w:rPr>
        <w:tab/>
        <w:t>Marchini A, Rappold G, Schneider KU. SHOX at a glance: From gene to protein. Arch Physiol Biochem. 2007;113(3):116–23.</w:t>
      </w:r>
    </w:p>
    <w:p w14:paraId="2D95E09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174. </w:t>
      </w:r>
      <w:r w:rsidRPr="0033639F">
        <w:rPr>
          <w:rFonts w:ascii="Arial" w:hAnsi="Arial" w:cs="Arial"/>
          <w:noProof/>
          <w:sz w:val="22"/>
          <w:szCs w:val="22"/>
        </w:rPr>
        <w:tab/>
        <w:t xml:space="preserve">Munns CJF, Haase HR, Crowther LM, Hayes MT, Blaschke R, Rappold G, et al. Expression of SHOX in human fetal and childhood growth plate. J Clin Endocrinol Metab. 2004;89(8):4130–5. </w:t>
      </w:r>
    </w:p>
    <w:p w14:paraId="69D4FAE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175. </w:t>
      </w:r>
      <w:r w:rsidRPr="0033639F">
        <w:rPr>
          <w:rFonts w:ascii="Arial" w:hAnsi="Arial" w:cs="Arial"/>
          <w:noProof/>
          <w:sz w:val="22"/>
          <w:szCs w:val="22"/>
        </w:rPr>
        <w:tab/>
        <w:t xml:space="preserve">Rappold G, Blum WF, Shavrikova EP, Crowe BJ, Roeth R, Quigley CA, et al. Genotypes and phenotypes in children with short stature: Clinical indicators of SHOX haploinsufficiency. J Med Genet. 2007;44(5):306–13. </w:t>
      </w:r>
    </w:p>
    <w:p w14:paraId="2AA992A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176. </w:t>
      </w:r>
      <w:r w:rsidRPr="0033639F">
        <w:rPr>
          <w:rFonts w:ascii="Arial" w:hAnsi="Arial" w:cs="Arial"/>
          <w:noProof/>
          <w:sz w:val="22"/>
          <w:szCs w:val="22"/>
        </w:rPr>
        <w:tab/>
        <w:t>Blum WF, Crowe BJ, Quigley CA, Jung H, Cao D, Ross JL, et al. Growth hormone is effective in treatment of short stature associated with short stature homeobox-containing gene deficiency: Two-year results of a randomized, controlled, multicenter trial. J Clin Endocrinol Metab. 2007;92(1):219–28.</w:t>
      </w:r>
    </w:p>
    <w:p w14:paraId="466B253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177. </w:t>
      </w:r>
      <w:r w:rsidRPr="0033639F">
        <w:rPr>
          <w:rFonts w:ascii="Arial" w:hAnsi="Arial" w:cs="Arial"/>
          <w:noProof/>
          <w:sz w:val="22"/>
          <w:szCs w:val="22"/>
        </w:rPr>
        <w:tab/>
        <w:t xml:space="preserve">Shaw AC, Kalidas K, Crosby AH, Jeffery S, Patton MA. The natural history of Noonan syndrome: A long-term follow-up study. Arch Dis Child. 2007;92(2):128–32. </w:t>
      </w:r>
    </w:p>
    <w:p w14:paraId="177FC36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178. </w:t>
      </w:r>
      <w:r w:rsidRPr="0033639F">
        <w:rPr>
          <w:rFonts w:ascii="Arial" w:hAnsi="Arial" w:cs="Arial"/>
          <w:noProof/>
          <w:sz w:val="22"/>
          <w:szCs w:val="22"/>
        </w:rPr>
        <w:tab/>
        <w:t xml:space="preserve">Allanson JE. Noonan syndrome. J Med Genet. 1987;24(1):9–13. </w:t>
      </w:r>
    </w:p>
    <w:p w14:paraId="1B788CD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179. </w:t>
      </w:r>
      <w:r w:rsidRPr="0033639F">
        <w:rPr>
          <w:rFonts w:ascii="Arial" w:hAnsi="Arial" w:cs="Arial"/>
          <w:noProof/>
          <w:sz w:val="22"/>
          <w:szCs w:val="22"/>
        </w:rPr>
        <w:tab/>
        <w:t xml:space="preserve">Allanson JE, Hall JG, Hughes HE, Preus M, Witt RD. Noonan syndrome: The changing phenotype. Am J Med Genet. 1985;21(3):507–14. </w:t>
      </w:r>
    </w:p>
    <w:p w14:paraId="7ABF7A4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180. </w:t>
      </w:r>
      <w:r w:rsidRPr="0033639F">
        <w:rPr>
          <w:rFonts w:ascii="Arial" w:hAnsi="Arial" w:cs="Arial"/>
          <w:noProof/>
          <w:sz w:val="22"/>
          <w:szCs w:val="22"/>
        </w:rPr>
        <w:tab/>
        <w:t xml:space="preserve">Tartaglia M, Mehler EL, Goldberg R, Zampino G, Brunner HG, Kremer H, et al. Mutations in PTPN11, encoding the protein tyrosine phosphatase SHP-2, cause Noonan syndrome. Nat Genet. 2001;29(4):465–8. </w:t>
      </w:r>
    </w:p>
    <w:p w14:paraId="1EC1F644"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181. </w:t>
      </w:r>
      <w:r w:rsidRPr="0033639F">
        <w:rPr>
          <w:rFonts w:ascii="Arial" w:hAnsi="Arial" w:cs="Arial"/>
          <w:noProof/>
          <w:sz w:val="22"/>
          <w:szCs w:val="22"/>
        </w:rPr>
        <w:tab/>
        <w:t xml:space="preserve">Gelb BD, Tartaglia M. Noonan syndrome and related disorders: dysregulated RAS-mitogen activated protein kinase signal transduction. Hum Mol Genet. 2006;15 Spec No:R220-226. </w:t>
      </w:r>
    </w:p>
    <w:p w14:paraId="121162D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182. </w:t>
      </w:r>
      <w:r w:rsidRPr="0033639F">
        <w:rPr>
          <w:rFonts w:ascii="Arial" w:hAnsi="Arial" w:cs="Arial"/>
          <w:noProof/>
          <w:sz w:val="22"/>
          <w:szCs w:val="22"/>
        </w:rPr>
        <w:tab/>
        <w:t xml:space="preserve">Ferreira LV, Souza SAL, Arnhold IJP, Mendonca BB, Jorge AAL. PTPN11 (protein tyrosine phosphatase, nonreceptor type 11) mutations and response to growth hormone therapy in children with Noonan syndrome. J Clin Endocrinol Metab. 2005;90(9):5156–60. </w:t>
      </w:r>
    </w:p>
    <w:p w14:paraId="4009F7F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183. </w:t>
      </w:r>
      <w:r w:rsidRPr="0033639F">
        <w:rPr>
          <w:rFonts w:ascii="Arial" w:hAnsi="Arial" w:cs="Arial"/>
          <w:noProof/>
          <w:sz w:val="22"/>
          <w:szCs w:val="22"/>
        </w:rPr>
        <w:tab/>
        <w:t xml:space="preserve">Limal J-M, Parfait B, Cabrol S, Bonnet D, Leheup B, Lyonnet S, et al. Noonan syndrome: </w:t>
      </w:r>
      <w:r w:rsidRPr="0033639F">
        <w:rPr>
          <w:rFonts w:ascii="Arial" w:hAnsi="Arial" w:cs="Arial"/>
          <w:noProof/>
          <w:sz w:val="22"/>
          <w:szCs w:val="22"/>
        </w:rPr>
        <w:lastRenderedPageBreak/>
        <w:t xml:space="preserve">relationships between genotype, growth, and growth factors. J Clin Endocrinol Metab. 2006;91(1):300–6. </w:t>
      </w:r>
    </w:p>
    <w:p w14:paraId="597BD15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184. </w:t>
      </w:r>
      <w:r w:rsidRPr="0033639F">
        <w:rPr>
          <w:rFonts w:ascii="Arial" w:hAnsi="Arial" w:cs="Arial"/>
          <w:noProof/>
          <w:sz w:val="22"/>
          <w:szCs w:val="22"/>
        </w:rPr>
        <w:tab/>
        <w:t xml:space="preserve">Raaijmakers R, Noordam C, Karagiannis G, Gregory JW, Hertel NT, Sipilä I, et al. Response to growth hormone treatment and final height in Noonan syndrome in a large cohort of patients in the KIGS database. J Pediatr Endocrinol Metab. 2008;21(3):267–73. </w:t>
      </w:r>
    </w:p>
    <w:p w14:paraId="7E1A0EE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185. </w:t>
      </w:r>
      <w:r w:rsidRPr="0033639F">
        <w:rPr>
          <w:rFonts w:ascii="Arial" w:hAnsi="Arial" w:cs="Arial"/>
          <w:noProof/>
          <w:sz w:val="22"/>
          <w:szCs w:val="22"/>
        </w:rPr>
        <w:tab/>
        <w:t xml:space="preserve">Noordam C, Peer PGM, Francois I, De Schepper J, van den Burgt I, Otten BJ. Long-term GH treatment improves adult height in children with Noonan syndrome with and without mutations in protein tyrosine phosphatase, non-receptor-type 11. Eur J Endocrinol. 2008;159(3):203–8. </w:t>
      </w:r>
    </w:p>
    <w:p w14:paraId="48BAA52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186. </w:t>
      </w:r>
      <w:r w:rsidRPr="0033639F">
        <w:rPr>
          <w:rFonts w:ascii="Arial" w:hAnsi="Arial" w:cs="Arial"/>
          <w:noProof/>
          <w:sz w:val="22"/>
          <w:szCs w:val="22"/>
        </w:rPr>
        <w:tab/>
        <w:t xml:space="preserve">Growth Hormone Research Society. Consensus guidelines for the diagnosis and treatment of growth hormone (GH) deficiency in childhood and adolescence: summary statement of the GH Research Society. GH Research Society. J Clin Endocrinol Metab. 2000;85(11):3990–3. </w:t>
      </w:r>
    </w:p>
    <w:p w14:paraId="3B5DF4E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187. </w:t>
      </w:r>
      <w:r w:rsidRPr="0033639F">
        <w:rPr>
          <w:rFonts w:ascii="Arial" w:hAnsi="Arial" w:cs="Arial"/>
          <w:noProof/>
          <w:sz w:val="22"/>
          <w:szCs w:val="22"/>
        </w:rPr>
        <w:tab/>
        <w:t>Kuczmarski RJ, Ogden C, Grummer-Strawn LM, Guo SS, Wei R, Mei Z, et al. CDC growth charts: United States. Hyattsville: U.S. Department of Health and Human Services. Centers for Disease Control and Prevention. National Center for Health Statistics; 2000.</w:t>
      </w:r>
    </w:p>
    <w:p w14:paraId="1E8801F4"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188. </w:t>
      </w:r>
      <w:r w:rsidRPr="0033639F">
        <w:rPr>
          <w:rFonts w:ascii="Arial" w:hAnsi="Arial" w:cs="Arial"/>
          <w:noProof/>
          <w:sz w:val="22"/>
          <w:szCs w:val="22"/>
        </w:rPr>
        <w:tab/>
        <w:t xml:space="preserve">Sizonenko PC, Clayton PE, Cohen P, Hintz RL, Tanaka T, Laron Z. Diagnosis and management of growth hormone deficiency in childhood and adolescence. Part 1: Diagnosis of growth hormone deficiency. Growth Horm IGF Res. 2001;11(3):137–65. </w:t>
      </w:r>
    </w:p>
    <w:p w14:paraId="62BFB98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189. </w:t>
      </w:r>
      <w:r w:rsidRPr="0033639F">
        <w:rPr>
          <w:rFonts w:ascii="Arial" w:hAnsi="Arial" w:cs="Arial"/>
          <w:noProof/>
          <w:sz w:val="22"/>
          <w:szCs w:val="22"/>
        </w:rPr>
        <w:tab/>
        <w:t xml:space="preserve">Gruelich WW, Pyle SI. Radiographic atlas of skeletal development of the hand and wrist. Stanford University Press; 1959. </w:t>
      </w:r>
    </w:p>
    <w:p w14:paraId="703DE36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190. </w:t>
      </w:r>
      <w:r w:rsidRPr="0033639F">
        <w:rPr>
          <w:rFonts w:ascii="Arial" w:hAnsi="Arial" w:cs="Arial"/>
          <w:noProof/>
          <w:sz w:val="22"/>
          <w:szCs w:val="22"/>
        </w:rPr>
        <w:tab/>
        <w:t xml:space="preserve">Tanner JM. Assessment of skeletal maturity and prediction of adult height (TW2 method). Tanner JM, editor. London ; New York: Academic Press ; 1983. </w:t>
      </w:r>
    </w:p>
    <w:p w14:paraId="114A0BC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191. </w:t>
      </w:r>
      <w:r w:rsidRPr="0033639F">
        <w:rPr>
          <w:rFonts w:ascii="Arial" w:hAnsi="Arial" w:cs="Arial"/>
          <w:noProof/>
          <w:sz w:val="22"/>
          <w:szCs w:val="22"/>
        </w:rPr>
        <w:tab/>
        <w:t xml:space="preserve">Bayley N. Tables for predicting adult height from present height and skeletal age. J Pediat. 1946;28:49. </w:t>
      </w:r>
    </w:p>
    <w:p w14:paraId="60B2F35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192. </w:t>
      </w:r>
      <w:r w:rsidRPr="0033639F">
        <w:rPr>
          <w:rFonts w:ascii="Arial" w:hAnsi="Arial" w:cs="Arial"/>
          <w:noProof/>
          <w:sz w:val="22"/>
          <w:szCs w:val="22"/>
        </w:rPr>
        <w:tab/>
        <w:t xml:space="preserve">Rosenfield R, Cutler L, Jameson JL, DeGroot L, Burger H. Somatic growth and maturation. In: Endocrinology. Philadelphia: W.B. Saunders Co.; 2001. p. 477-502. </w:t>
      </w:r>
    </w:p>
    <w:p w14:paraId="4C2F0C5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193. </w:t>
      </w:r>
      <w:r w:rsidRPr="0033639F">
        <w:rPr>
          <w:rFonts w:ascii="Arial" w:hAnsi="Arial" w:cs="Arial"/>
          <w:noProof/>
          <w:sz w:val="22"/>
          <w:szCs w:val="22"/>
        </w:rPr>
        <w:tab/>
        <w:t xml:space="preserve">Underwood LE, Van Wyk JJ. Normal and aberrant growth. In: Williams Textbook Of Endocrinology. Philadelphia: W.B. Saunders Co.; 2003. p. 1079–138. </w:t>
      </w:r>
    </w:p>
    <w:p w14:paraId="43F9C32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194. </w:t>
      </w:r>
      <w:r w:rsidRPr="0033639F">
        <w:rPr>
          <w:rFonts w:ascii="Arial" w:hAnsi="Arial" w:cs="Arial"/>
          <w:noProof/>
          <w:sz w:val="22"/>
          <w:szCs w:val="22"/>
        </w:rPr>
        <w:tab/>
        <w:t xml:space="preserve">Bayley N, Pinneau SR. Tables for predicting adult height from skeletal age: Revised for use with the Greulich-Pyle hand standards. J Pediatr. 1952;40(4):423–41. </w:t>
      </w:r>
    </w:p>
    <w:p w14:paraId="5FC126B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195. </w:t>
      </w:r>
      <w:r w:rsidRPr="0033639F">
        <w:rPr>
          <w:rFonts w:ascii="Arial" w:hAnsi="Arial" w:cs="Arial"/>
          <w:noProof/>
          <w:sz w:val="22"/>
          <w:szCs w:val="22"/>
        </w:rPr>
        <w:tab/>
        <w:t xml:space="preserve">Roche AF, Wainer H, Thissen D. The RWT method for the prediction of adult stature. Pediatrics. 1975;56(6):1026–33. </w:t>
      </w:r>
    </w:p>
    <w:p w14:paraId="0FF7B32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196. </w:t>
      </w:r>
      <w:r w:rsidRPr="0033639F">
        <w:rPr>
          <w:rFonts w:ascii="Arial" w:hAnsi="Arial" w:cs="Arial"/>
          <w:noProof/>
          <w:sz w:val="22"/>
          <w:szCs w:val="22"/>
        </w:rPr>
        <w:tab/>
        <w:t xml:space="preserve">Zachmann M, Sobradillo B, Frank M, Frisch H, Prader A. Bayley-Pinneau, Roche-Wainer-Thissen, and Tanner height predictions in normal children and in patients with various pathologic conditions. J Pediatr. 1978;93(5):749–55. </w:t>
      </w:r>
    </w:p>
    <w:p w14:paraId="2CA14D4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197. </w:t>
      </w:r>
      <w:r w:rsidRPr="0033639F">
        <w:rPr>
          <w:rFonts w:ascii="Arial" w:hAnsi="Arial" w:cs="Arial"/>
          <w:noProof/>
          <w:sz w:val="22"/>
          <w:szCs w:val="22"/>
        </w:rPr>
        <w:tab/>
        <w:t xml:space="preserve">Marin G, Domené HM, Barnes KM, Blackwell BJ, Cassorla FG, Cutler GB. The effects of estrogen priming and puberty on the growth hormone response to standardized treadmill exercise and arginine-insulin in normal girls and boys. J Clin Endocrinol Metab. 1994;79(2):537–41. </w:t>
      </w:r>
    </w:p>
    <w:p w14:paraId="431EF37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198. </w:t>
      </w:r>
      <w:r w:rsidRPr="0033639F">
        <w:rPr>
          <w:rFonts w:ascii="Arial" w:hAnsi="Arial" w:cs="Arial"/>
          <w:noProof/>
          <w:sz w:val="22"/>
          <w:szCs w:val="22"/>
        </w:rPr>
        <w:tab/>
        <w:t xml:space="preserve">Molina S, Paoli M, Camacho N, Arata-Bellabarba G, Lanes R. Is testosterone and estrogen priming prior to clonidine useful in the evaluation of the growth hormone status of short peripubertal children? J Pediatr Endocrinol Metab. 2008;21(3):257–66. </w:t>
      </w:r>
    </w:p>
    <w:p w14:paraId="156EDF1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199. </w:t>
      </w:r>
      <w:r w:rsidRPr="0033639F">
        <w:rPr>
          <w:rFonts w:ascii="Arial" w:hAnsi="Arial" w:cs="Arial"/>
          <w:noProof/>
          <w:sz w:val="22"/>
          <w:szCs w:val="22"/>
        </w:rPr>
        <w:tab/>
        <w:t xml:space="preserve">Agrawal V, Garcia JM. The macimorelin-stimulated growth hormone test for adult growth </w:t>
      </w:r>
      <w:r w:rsidRPr="0033639F">
        <w:rPr>
          <w:rFonts w:ascii="Arial" w:hAnsi="Arial" w:cs="Arial"/>
          <w:noProof/>
          <w:sz w:val="22"/>
          <w:szCs w:val="22"/>
        </w:rPr>
        <w:lastRenderedPageBreak/>
        <w:t xml:space="preserve">hormone deficiency diagnosis. Expert Rev Mol Diagn. 2014;14(6):647–54. </w:t>
      </w:r>
    </w:p>
    <w:p w14:paraId="597069E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200. </w:t>
      </w:r>
      <w:r w:rsidRPr="0033639F">
        <w:rPr>
          <w:rFonts w:ascii="Arial" w:hAnsi="Arial" w:cs="Arial"/>
          <w:noProof/>
          <w:sz w:val="22"/>
          <w:szCs w:val="22"/>
        </w:rPr>
        <w:tab/>
        <w:t xml:space="preserve">Csákváry V, Muzsnai A, Raduk D, Chaychenko T, Damholt BB, Kelepouris N, et al. Pharmacokinetics and pharmacodynamics of macimorelin acetate (AEZS-130) in paediatric patients with suspected growth hormone deficiency (GHD). J Endocr Soc. 2021;5(Suppl 1):A682–A682. </w:t>
      </w:r>
    </w:p>
    <w:p w14:paraId="489C0E9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201. </w:t>
      </w:r>
      <w:r w:rsidRPr="0033639F">
        <w:rPr>
          <w:rFonts w:ascii="Arial" w:hAnsi="Arial" w:cs="Arial"/>
          <w:noProof/>
          <w:sz w:val="22"/>
          <w:szCs w:val="22"/>
        </w:rPr>
        <w:tab/>
        <w:t xml:space="preserve">Roh S-G, Lee H-G, Phung LT, Hidari H. Characterization of growth hormone secretion to growth hormone-releasing peptide-2 in domestic animals - a review. Asian-Australasian J Anim Sci. 2002;15(5):757–66. </w:t>
      </w:r>
    </w:p>
    <w:p w14:paraId="25E7EBB4"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202. </w:t>
      </w:r>
      <w:r w:rsidRPr="0033639F">
        <w:rPr>
          <w:rFonts w:ascii="Arial" w:hAnsi="Arial" w:cs="Arial"/>
          <w:noProof/>
          <w:sz w:val="22"/>
          <w:szCs w:val="22"/>
        </w:rPr>
        <w:tab/>
        <w:t xml:space="preserve">Onuki T, Hiroaki T, Sawano K, Shibata N, Nyuzuki H, Ogawa Y, et al. Robust growth hormone responses to GH-releasing peptide 2 in adolescents. J Pediatr Endocrinol Metab. 2024;37(8):730–3. </w:t>
      </w:r>
    </w:p>
    <w:p w14:paraId="4D4A2B1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203. </w:t>
      </w:r>
      <w:r w:rsidRPr="0033639F">
        <w:rPr>
          <w:rFonts w:ascii="Arial" w:hAnsi="Arial" w:cs="Arial"/>
          <w:noProof/>
          <w:sz w:val="22"/>
          <w:szCs w:val="22"/>
        </w:rPr>
        <w:tab/>
        <w:t xml:space="preserve">Chihara K, Shimatsu A, Hizuka N, Tanaka T, Seino Y, Katofor Y. A simple diagnostic test using GH-releasing peptide-2 in adult GH deficiency. Eur J Endocrinol. 2007;157(1):19–27. </w:t>
      </w:r>
    </w:p>
    <w:p w14:paraId="3164BF6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204. </w:t>
      </w:r>
      <w:r w:rsidRPr="0033639F">
        <w:rPr>
          <w:rFonts w:ascii="Arial" w:hAnsi="Arial" w:cs="Arial"/>
          <w:noProof/>
          <w:sz w:val="22"/>
          <w:szCs w:val="22"/>
        </w:rPr>
        <w:tab/>
        <w:t xml:space="preserve">Suzuki S, Ruike Y, Ishiwata K, Naito K, Igarashi K, Ishida A, et al. LBODP006 clinical usefulness of the growth hormone-releasing peptide-2 test for hypothalamic-pituitary disorder. J Endocr Soc. 2022;6(Suppl 1):A39–40. </w:t>
      </w:r>
    </w:p>
    <w:p w14:paraId="010F409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205. </w:t>
      </w:r>
      <w:r w:rsidRPr="0033639F">
        <w:rPr>
          <w:rFonts w:ascii="Arial" w:hAnsi="Arial" w:cs="Arial"/>
          <w:noProof/>
          <w:sz w:val="22"/>
          <w:szCs w:val="22"/>
        </w:rPr>
        <w:tab/>
        <w:t xml:space="preserve">Cohen P, Rogol AD, Howard CP, Bright GM, Kappelgaard A-M, Rosenfeld RG, et al. Insulin growth factor-based dosing of growth hormone therapy in children: A randomized, controlled study. J Clin Endocrinol Metab. 2007;92(7):2480–6. </w:t>
      </w:r>
    </w:p>
    <w:p w14:paraId="412D8B7D"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206. </w:t>
      </w:r>
      <w:r w:rsidRPr="0033639F">
        <w:rPr>
          <w:rFonts w:ascii="Arial" w:hAnsi="Arial" w:cs="Arial"/>
          <w:noProof/>
          <w:sz w:val="22"/>
          <w:szCs w:val="22"/>
        </w:rPr>
        <w:tab/>
        <w:t>Baron J. Growth hormone therapy in childhood: Titration versus weight-based dosing? J Clin Endocrinol Metab. 2007;92(7):2436–8.</w:t>
      </w:r>
    </w:p>
    <w:p w14:paraId="0B4D21D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207. </w:t>
      </w:r>
      <w:r w:rsidRPr="0033639F">
        <w:rPr>
          <w:rFonts w:ascii="Arial" w:hAnsi="Arial" w:cs="Arial"/>
          <w:noProof/>
          <w:sz w:val="22"/>
          <w:szCs w:val="22"/>
        </w:rPr>
        <w:tab/>
        <w:t xml:space="preserve">Pasquino AM, Pucarelli I, Roggini M, Segni M. Adult height in short normal girls treated with gonadotropin-releasing hormone analogs and growth hormone. J Clin Endocrinol Metab. 2000;85(2):619–22. </w:t>
      </w:r>
    </w:p>
    <w:p w14:paraId="291700F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208. </w:t>
      </w:r>
      <w:r w:rsidRPr="0033639F">
        <w:rPr>
          <w:rFonts w:ascii="Arial" w:hAnsi="Arial" w:cs="Arial"/>
          <w:noProof/>
          <w:sz w:val="22"/>
          <w:szCs w:val="22"/>
        </w:rPr>
        <w:tab/>
        <w:t xml:space="preserve">Reiter EO. A brief review of the addition of gonadotropin-releasing hormone agonists  (GnRH-Ag) to growth hormone (GH) treatment of children with idiopathic growth hormone deficiency: Previously published studies from America. Mol Cell Endocrinol. 2006;254–255:221–5. </w:t>
      </w:r>
    </w:p>
    <w:p w14:paraId="728D5D8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209. </w:t>
      </w:r>
      <w:r w:rsidRPr="0033639F">
        <w:rPr>
          <w:rFonts w:ascii="Arial" w:hAnsi="Arial" w:cs="Arial"/>
          <w:noProof/>
          <w:sz w:val="22"/>
          <w:szCs w:val="22"/>
        </w:rPr>
        <w:tab/>
        <w:t xml:space="preserve">Li S, Wang X, Zhao Y, Ji W, Mao J, Nie M, et al. Combined therapy with GnRH analogue and growth hormone increases adult height in  children with short stature and normal pubertal onset. Endocrine. 2020;69(3):615–24. </w:t>
      </w:r>
    </w:p>
    <w:p w14:paraId="344A9ED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210. </w:t>
      </w:r>
      <w:r w:rsidRPr="0033639F">
        <w:rPr>
          <w:rFonts w:ascii="Arial" w:hAnsi="Arial" w:cs="Arial"/>
          <w:noProof/>
          <w:sz w:val="22"/>
          <w:szCs w:val="22"/>
        </w:rPr>
        <w:tab/>
        <w:t xml:space="preserve">Faglia G, Arosio M, Porretti S. Delayed closure of epiphyseal cartilages induced by the aromatase inhibitor anastrozole. Would it help short children grow up? J Endocrinol Invest. 2000;23(11):721–3. </w:t>
      </w:r>
    </w:p>
    <w:p w14:paraId="2DBBCBE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211. </w:t>
      </w:r>
      <w:r w:rsidRPr="0033639F">
        <w:rPr>
          <w:rFonts w:ascii="Arial" w:hAnsi="Arial" w:cs="Arial"/>
          <w:noProof/>
          <w:sz w:val="22"/>
          <w:szCs w:val="22"/>
        </w:rPr>
        <w:tab/>
        <w:t xml:space="preserve">Dunkel L, Wickman S. Novel treatment of delayed male puberty with aromatase inhibitors. Horm Res. 2002;57(Suppl 2):44–52. </w:t>
      </w:r>
    </w:p>
    <w:p w14:paraId="188A798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212. </w:t>
      </w:r>
      <w:r w:rsidRPr="0033639F">
        <w:rPr>
          <w:rFonts w:ascii="Arial" w:hAnsi="Arial" w:cs="Arial"/>
          <w:noProof/>
          <w:sz w:val="22"/>
          <w:szCs w:val="22"/>
        </w:rPr>
        <w:tab/>
        <w:t xml:space="preserve">Zung A, Zadik Z. New approaches in the treatment of short stature. Harefuah. 2002;141(12):1059–65. </w:t>
      </w:r>
    </w:p>
    <w:p w14:paraId="1364AEE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213. </w:t>
      </w:r>
      <w:r w:rsidRPr="0033639F">
        <w:rPr>
          <w:rFonts w:ascii="Arial" w:hAnsi="Arial" w:cs="Arial"/>
          <w:noProof/>
          <w:sz w:val="22"/>
          <w:szCs w:val="22"/>
        </w:rPr>
        <w:tab/>
        <w:t>Hero M, Norjavaara E, Dunkel L. Inhibition of estrogen biosynthesis with a potent aromatase inhibitor increases predicted adult height in boys with idiopathic short stature: A randomized controlled trial. J Clin Endocrinol Metab. 2005;90(12):6396–402.</w:t>
      </w:r>
    </w:p>
    <w:p w14:paraId="189751C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214. </w:t>
      </w:r>
      <w:r w:rsidRPr="0033639F">
        <w:rPr>
          <w:rFonts w:ascii="Arial" w:hAnsi="Arial" w:cs="Arial"/>
          <w:noProof/>
          <w:sz w:val="22"/>
          <w:szCs w:val="22"/>
        </w:rPr>
        <w:tab/>
        <w:t xml:space="preserve">Wassenaar MJ, Dekkers OM, Pereira AM, Wit JM, Smit JW, Biermasz NR, et al. Impact of the exon 3-deleted growth hormone (GH) receptor polymorphism on baseline height and </w:t>
      </w:r>
      <w:r w:rsidRPr="0033639F">
        <w:rPr>
          <w:rFonts w:ascii="Arial" w:hAnsi="Arial" w:cs="Arial"/>
          <w:noProof/>
          <w:sz w:val="22"/>
          <w:szCs w:val="22"/>
        </w:rPr>
        <w:lastRenderedPageBreak/>
        <w:t xml:space="preserve">the growth response to recombinant human GH therapy in GH-deficient (GHD) and non-GHD children with short stature: A systematic review and meta-analysis. J Clin Endocrinol Metab. 2009;94(10):3721–30. </w:t>
      </w:r>
    </w:p>
    <w:p w14:paraId="0029020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215. </w:t>
      </w:r>
      <w:r w:rsidRPr="0033639F">
        <w:rPr>
          <w:rFonts w:ascii="Arial" w:hAnsi="Arial" w:cs="Arial"/>
          <w:noProof/>
          <w:sz w:val="22"/>
          <w:szCs w:val="22"/>
        </w:rPr>
        <w:tab/>
        <w:t xml:space="preserve">Tauber M, Ester W, Auriol F, Molinas C, Fauvel J, Caliebe J, et al. GH responsiveness in a large multinational cohort of SGA children with short stature (NESTEGG) is related to the exon 3 GHR polymorphism. Clin Endocrinol. 2007;67(3):457–61. </w:t>
      </w:r>
    </w:p>
    <w:p w14:paraId="4040A6D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216. </w:t>
      </w:r>
      <w:r w:rsidRPr="0033639F">
        <w:rPr>
          <w:rFonts w:ascii="Arial" w:hAnsi="Arial" w:cs="Arial"/>
          <w:noProof/>
          <w:sz w:val="22"/>
          <w:szCs w:val="22"/>
        </w:rPr>
        <w:tab/>
        <w:t xml:space="preserve">Braz AF, Costalonga EF, Montenegro LR, Trarbach EB, Antonini SR, Malaquias AC, et al. The interactive effect of GHR-exon 3 and -202 A/C IGFBP3 polymorphisms on rhGH responsiveness and treatment outcomes in patients with Turner syndrome. J Clin Endocrinol Metab. 2012;97(4):E671-7. </w:t>
      </w:r>
    </w:p>
    <w:p w14:paraId="0B4DFC4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217. </w:t>
      </w:r>
      <w:r w:rsidRPr="0033639F">
        <w:rPr>
          <w:rFonts w:ascii="Arial" w:hAnsi="Arial" w:cs="Arial"/>
          <w:noProof/>
          <w:sz w:val="22"/>
          <w:szCs w:val="22"/>
        </w:rPr>
        <w:tab/>
        <w:t xml:space="preserve">Blum WF, Machinis K, Shavrikova EP, Keller A, Stobbe H, Pfaeffle RW, et al. The growth response to growth hormone (GH) treatment in children with isolated GH deficiency is independent of the presence of the exon 3-minus isoform of the GH receptor. J Clin Endocrinol Metab. 2006;91(10):4171–4. </w:t>
      </w:r>
    </w:p>
    <w:p w14:paraId="49D2D93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218. </w:t>
      </w:r>
      <w:r w:rsidRPr="0033639F">
        <w:rPr>
          <w:rFonts w:ascii="Arial" w:hAnsi="Arial" w:cs="Arial"/>
          <w:noProof/>
          <w:sz w:val="22"/>
          <w:szCs w:val="22"/>
        </w:rPr>
        <w:tab/>
        <w:t xml:space="preserve">Carrascosa A, Esteban C, Espadero R, Fernández-Cancio M, Andaluz P, Clemente M, et al. The d3/fl-growth hormone (GH) receptor polymorphism does not influence the effect of GH treatment (66 microg/kg per day) or the spontaneous growth in short non-GH-deficient small-for-gestational-age children: Results from a two-year controlled prospective. J Clin Endocrinol Metab. 2006;91(9):3281–6. </w:t>
      </w:r>
    </w:p>
    <w:p w14:paraId="38E34AF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219. </w:t>
      </w:r>
      <w:r w:rsidRPr="0033639F">
        <w:rPr>
          <w:rFonts w:ascii="Arial" w:hAnsi="Arial" w:cs="Arial"/>
          <w:noProof/>
          <w:sz w:val="22"/>
          <w:szCs w:val="22"/>
        </w:rPr>
        <w:tab/>
        <w:t xml:space="preserve">Galetaki DM, Merchant N, Dauber A. Novel therapies for growth disorders. Eur J Pediatr. 2024;183(3):1121–8. </w:t>
      </w:r>
    </w:p>
    <w:p w14:paraId="02C01D4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220. </w:t>
      </w:r>
      <w:r w:rsidRPr="0033639F">
        <w:rPr>
          <w:rFonts w:ascii="Arial" w:hAnsi="Arial" w:cs="Arial"/>
          <w:noProof/>
          <w:sz w:val="22"/>
          <w:szCs w:val="22"/>
        </w:rPr>
        <w:tab/>
        <w:t xml:space="preserve">Choi HS, Kwon A, Suh J, Song K, Chae HW, Kim H-S. Effect of long-acting growth hormone treatment on endogenous growth hormone secretion in prepubertal patients with idiopathic short stature: A preliminary study. Growth Horm IGF Res. 2022;66:101486. </w:t>
      </w:r>
    </w:p>
    <w:p w14:paraId="1F3113ED"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221. </w:t>
      </w:r>
      <w:r w:rsidRPr="0033639F">
        <w:rPr>
          <w:rFonts w:ascii="Arial" w:hAnsi="Arial" w:cs="Arial"/>
          <w:noProof/>
          <w:sz w:val="22"/>
          <w:szCs w:val="22"/>
        </w:rPr>
        <w:tab/>
        <w:t xml:space="preserve">Matustik MC, Furlanetto RW, Meyer WJ 3rd. Chronobiologic considerations in human growth hormone therapy. J Pediatr. 1983;103(4):543–6. </w:t>
      </w:r>
    </w:p>
    <w:p w14:paraId="38D635B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222. </w:t>
      </w:r>
      <w:r w:rsidRPr="0033639F">
        <w:rPr>
          <w:rFonts w:ascii="Arial" w:hAnsi="Arial" w:cs="Arial"/>
          <w:noProof/>
          <w:sz w:val="22"/>
          <w:szCs w:val="22"/>
        </w:rPr>
        <w:tab/>
        <w:t xml:space="preserve">Lal RA, Hoffman AR. Perspectives on long-acting growth hormone therapy in children and adults. Arch Endocrinol Metab. 2019;63(6):601–7. </w:t>
      </w:r>
    </w:p>
    <w:p w14:paraId="0CD80E1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223. </w:t>
      </w:r>
      <w:r w:rsidRPr="0033639F">
        <w:rPr>
          <w:rFonts w:ascii="Arial" w:hAnsi="Arial" w:cs="Arial"/>
          <w:noProof/>
          <w:sz w:val="22"/>
          <w:szCs w:val="22"/>
        </w:rPr>
        <w:tab/>
        <w:t xml:space="preserve">Grillo MS, Frank J, Saenger P. Long acting growth hormone (LAGH), an update. Front Pediatr. 2023;11:1254231. </w:t>
      </w:r>
    </w:p>
    <w:p w14:paraId="57A25DCD"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224. </w:t>
      </w:r>
      <w:r w:rsidRPr="0033639F">
        <w:rPr>
          <w:rFonts w:ascii="Arial" w:hAnsi="Arial" w:cs="Arial"/>
          <w:noProof/>
          <w:sz w:val="22"/>
          <w:szCs w:val="22"/>
        </w:rPr>
        <w:tab/>
        <w:t xml:space="preserve">Höybye C, Pfeiffer AFH, Ferone D, Christiansen JS, Gilfoyle D, Christoffersen ED, et al. A phase 2 trial of long-acting TransCon growth hormone in adult GH deficiency. Endocr Connect. 2017;6(3):129–38. </w:t>
      </w:r>
    </w:p>
    <w:p w14:paraId="0AF5779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225. </w:t>
      </w:r>
      <w:r w:rsidRPr="0033639F">
        <w:rPr>
          <w:rFonts w:ascii="Arial" w:hAnsi="Arial" w:cs="Arial"/>
          <w:noProof/>
          <w:sz w:val="22"/>
          <w:szCs w:val="22"/>
        </w:rPr>
        <w:tab/>
        <w:t xml:space="preserve">Thornton P, Hofman P, Maniatis A, Aghajanova E, Chertok E, Korpal-Szczyrska M, et al. OR17-4 Transcon growth hormone in the treatment of pediatric growth hormone deficiency: Results of the phase 3 height trial. J Endocr Soc. 2019;3(Suppl 1). </w:t>
      </w:r>
    </w:p>
    <w:p w14:paraId="05F88CF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226. </w:t>
      </w:r>
      <w:r w:rsidRPr="0033639F">
        <w:rPr>
          <w:rFonts w:ascii="Arial" w:hAnsi="Arial" w:cs="Arial"/>
          <w:noProof/>
          <w:sz w:val="22"/>
          <w:szCs w:val="22"/>
        </w:rPr>
        <w:tab/>
        <w:t xml:space="preserve">Lamb YN. Lonapegsomatropin: Pediatric first approval. Paediatr Drugs. 2022 Jan;24(1):83–90. </w:t>
      </w:r>
    </w:p>
    <w:p w14:paraId="2B453F7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227. </w:t>
      </w:r>
      <w:r w:rsidRPr="0033639F">
        <w:rPr>
          <w:rFonts w:ascii="Arial" w:hAnsi="Arial" w:cs="Arial"/>
          <w:noProof/>
          <w:sz w:val="22"/>
          <w:szCs w:val="22"/>
        </w:rPr>
        <w:tab/>
        <w:t xml:space="preserve">Miller BS, Yuen KCJ. Spotlight on lonapegsomatropin once-weekly injection and its potential in the treatment of growth hormone deficiency in pediatric patients. Drug Des Devel Ther. 2022;16:2055–66. </w:t>
      </w:r>
    </w:p>
    <w:p w14:paraId="1AA0A09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228. </w:t>
      </w:r>
      <w:r w:rsidRPr="0033639F">
        <w:rPr>
          <w:rFonts w:ascii="Arial" w:hAnsi="Arial" w:cs="Arial"/>
          <w:noProof/>
          <w:sz w:val="22"/>
          <w:szCs w:val="22"/>
        </w:rPr>
        <w:tab/>
        <w:t xml:space="preserve">Chatelain P, Malievskiy O, Radziuk K, Senatorova G, Abdou MO, Vlachopapadopoulou E, et al. A randomized phase 2 study of long-acting TransCon GH vs daily GH in childhood GH deficiency. J Clin Endocrinol Metab. 2017;102(5):1673–82. </w:t>
      </w:r>
    </w:p>
    <w:p w14:paraId="1F3E352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lastRenderedPageBreak/>
        <w:t xml:space="preserve">229. </w:t>
      </w:r>
      <w:r w:rsidRPr="0033639F">
        <w:rPr>
          <w:rFonts w:ascii="Arial" w:hAnsi="Arial" w:cs="Arial"/>
          <w:noProof/>
          <w:sz w:val="22"/>
          <w:szCs w:val="22"/>
        </w:rPr>
        <w:tab/>
        <w:t xml:space="preserve">Campbell DL, Walsh KJ, Herz C, Karpf DB, Beckert M, Leff JA, et al. 016–TransCon GH as a long-acting growth hormone for the treatment of pediatric growth hormone deficiency. J Pediatr Nurs. 2019;46:133. </w:t>
      </w:r>
    </w:p>
    <w:p w14:paraId="3088C5C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230. </w:t>
      </w:r>
      <w:r w:rsidRPr="0033639F">
        <w:rPr>
          <w:rFonts w:ascii="Arial" w:hAnsi="Arial" w:cs="Arial"/>
          <w:noProof/>
          <w:sz w:val="22"/>
          <w:szCs w:val="22"/>
        </w:rPr>
        <w:tab/>
        <w:t xml:space="preserve">Thornton PS, Maniatis AK, Aghajanova E, Chertok E, Vlachopapadopoulou E, Lin Z, et al. Weekly lonapegsomatropin in treatment-naïve children with growth hormone  deficiency: The Phase 3 heiGHt Trial. J Clin Endocrinol Metab. 2021;106(11):3184–95. </w:t>
      </w:r>
    </w:p>
    <w:p w14:paraId="0A18ED4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231. </w:t>
      </w:r>
      <w:r w:rsidRPr="0033639F">
        <w:rPr>
          <w:rFonts w:ascii="Arial" w:hAnsi="Arial" w:cs="Arial"/>
          <w:noProof/>
          <w:sz w:val="22"/>
          <w:szCs w:val="22"/>
        </w:rPr>
        <w:tab/>
        <w:t xml:space="preserve">Stochholm K, Kiess W. Long-term safety of growth hormone-A combined registry analysis. Clin Endocrinol (Oxf). 2018;88(4):515–28. </w:t>
      </w:r>
    </w:p>
    <w:p w14:paraId="795402F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232. </w:t>
      </w:r>
      <w:r w:rsidRPr="0033639F">
        <w:rPr>
          <w:rFonts w:ascii="Arial" w:hAnsi="Arial" w:cs="Arial"/>
          <w:noProof/>
          <w:sz w:val="22"/>
          <w:szCs w:val="22"/>
        </w:rPr>
        <w:tab/>
        <w:t xml:space="preserve">Alkhatib EH, Dauber A, Estrada DE, Majidi S. Weekly growth hormone (lonapegsomatropin) causes severe transient hyperglycemia in a child with obesity. Vol. 96, Hormone Research in Paediatrics. Switzerland; 2023. p. 542–6. </w:t>
      </w:r>
    </w:p>
    <w:p w14:paraId="27031B8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233. </w:t>
      </w:r>
      <w:r w:rsidRPr="0033639F">
        <w:rPr>
          <w:rFonts w:ascii="Arial" w:hAnsi="Arial" w:cs="Arial"/>
          <w:noProof/>
          <w:sz w:val="22"/>
          <w:szCs w:val="22"/>
        </w:rPr>
        <w:tab/>
        <w:t xml:space="preserve">Maniatis AK, Carakushansky M, Galcheva S, Prakasam G, Fox LA, Dankovcikova A, et al. Treatment burden of weekly somatrogon vs daily somatropin in children with growth hormone deficiency: A randomized study. J Endocr Soc. 2022;6(10):bvac117. </w:t>
      </w:r>
    </w:p>
    <w:p w14:paraId="3D4389F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234. </w:t>
      </w:r>
      <w:r w:rsidRPr="0033639F">
        <w:rPr>
          <w:rFonts w:ascii="Arial" w:hAnsi="Arial" w:cs="Arial"/>
          <w:noProof/>
          <w:sz w:val="22"/>
          <w:szCs w:val="22"/>
        </w:rPr>
        <w:tab/>
        <w:t>Maniatis AK, Casella SJ, Nadgir UM, Hofman PL, Saenger P, Chertock ED, et al. Safety and efficacy of lonapegsomatropin in children with growth hormone deficiency: enliGHten Trial 2-year results. J Clin Endocrinol Metab. 2022;107(7):e2680-e2689.</w:t>
      </w:r>
    </w:p>
    <w:p w14:paraId="6310C1F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235. </w:t>
      </w:r>
      <w:r w:rsidRPr="0033639F">
        <w:rPr>
          <w:rFonts w:ascii="Arial" w:hAnsi="Arial" w:cs="Arial"/>
          <w:noProof/>
          <w:sz w:val="22"/>
          <w:szCs w:val="22"/>
        </w:rPr>
        <w:tab/>
        <w:t xml:space="preserve">Miller BS, Blair J, Horikawa R, Linglart A, Yuen KCJ. Developments in the management of growth hormone deficiency: Clinical utility of somapacitan. Drug Des Devel Ther. 2024;18:291–306. </w:t>
      </w:r>
    </w:p>
    <w:p w14:paraId="14EDF68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236. </w:t>
      </w:r>
      <w:r w:rsidRPr="0033639F">
        <w:rPr>
          <w:rFonts w:ascii="Arial" w:hAnsi="Arial" w:cs="Arial"/>
          <w:noProof/>
          <w:sz w:val="22"/>
          <w:szCs w:val="22"/>
        </w:rPr>
        <w:tab/>
        <w:t xml:space="preserve">Helleberg H, Bjelke M, Damholt BB, Pedersen PJ, Rasmussen MH. Absorption, metabolism and excretion of once-weekly somapacitan, a long-acting growth hormone derivative, after single subcutaneous dosing in human subjects. Eur J Pharm Sci. 2021;167:106030. </w:t>
      </w:r>
    </w:p>
    <w:p w14:paraId="08174BB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237. </w:t>
      </w:r>
      <w:r w:rsidRPr="0033639F">
        <w:rPr>
          <w:rFonts w:ascii="Arial" w:hAnsi="Arial" w:cs="Arial"/>
          <w:noProof/>
          <w:sz w:val="22"/>
          <w:szCs w:val="22"/>
        </w:rPr>
        <w:tab/>
        <w:t xml:space="preserve">Ramírez-Andersen HS, Behrens C, Buchardt J, Fels JJ, Folkesson CG, Jianhe C, et al. Long-acting human growth hormone analogue by noncovalent albumin binding. Bioconjug Chem. 2018;29(9):3129–43. </w:t>
      </w:r>
    </w:p>
    <w:p w14:paraId="00BFBD6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238. </w:t>
      </w:r>
      <w:r w:rsidRPr="0033639F">
        <w:rPr>
          <w:rFonts w:ascii="Arial" w:hAnsi="Arial" w:cs="Arial"/>
          <w:noProof/>
          <w:sz w:val="22"/>
          <w:szCs w:val="22"/>
        </w:rPr>
        <w:tab/>
        <w:t>Savendahl LS, Rasmussen MH. SAT-LB12 Once-weekly somapacitan vs daily growth hormone in growth hormone deficiency: 2-year safety results from REAL 3, a randomized phase 2 trial. J Endocr Soc. 2020 8;4(Suppl 1).</w:t>
      </w:r>
    </w:p>
    <w:p w14:paraId="56D2458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239. </w:t>
      </w:r>
      <w:r w:rsidRPr="0033639F">
        <w:rPr>
          <w:rFonts w:ascii="Arial" w:hAnsi="Arial" w:cs="Arial"/>
          <w:noProof/>
          <w:sz w:val="22"/>
          <w:szCs w:val="22"/>
        </w:rPr>
        <w:tab/>
        <w:t>Savendahl L, Højby Rasmussen M, Horikawa R, Khadilkar V, Battelino T, Saenger P. SUN-247 Once-weekly somapacitan in childhood growth hormone deficiency: Efficacy and safety results of a randomized, open-label, controlled phase 2 trial (REAL 3). J Endocr Soc. 2019;3(Suppl 1).</w:t>
      </w:r>
    </w:p>
    <w:p w14:paraId="5BC12FF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240. </w:t>
      </w:r>
      <w:r w:rsidRPr="0033639F">
        <w:rPr>
          <w:rFonts w:ascii="Arial" w:hAnsi="Arial" w:cs="Arial"/>
          <w:noProof/>
          <w:sz w:val="22"/>
          <w:szCs w:val="22"/>
        </w:rPr>
        <w:tab/>
        <w:t xml:space="preserve">Sävendahl LS, Battelino T, Rasmussen MH, Horikawa R, Saenger P. Once-weekly somapacitan versus daily growth hormone in growth hormone deficiency: 2-year efficacy results from REAL 3, a Randomized Phase 2 Trial. J Endocr Soc. 2021;5(Suppl 1):A680–A680. </w:t>
      </w:r>
    </w:p>
    <w:p w14:paraId="1D5A14B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241. </w:t>
      </w:r>
      <w:r w:rsidRPr="0033639F">
        <w:rPr>
          <w:rFonts w:ascii="Arial" w:hAnsi="Arial" w:cs="Arial"/>
          <w:noProof/>
          <w:sz w:val="22"/>
          <w:szCs w:val="22"/>
        </w:rPr>
        <w:tab/>
        <w:t xml:space="preserve">Sävendahl L, Battelino T, Højby Rasmussen M, Brod M, Röhrich S, Saenger P, et al. Weekly somapacitan in GH deficiency: 4-year efficacy, safety, and  treatment/disease burden results from REAL 3. J Clin Endocrinol Metab. 2023;108(10):2569–78. </w:t>
      </w:r>
    </w:p>
    <w:p w14:paraId="23D8646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242. </w:t>
      </w:r>
      <w:r w:rsidRPr="0033639F">
        <w:rPr>
          <w:rFonts w:ascii="Arial" w:hAnsi="Arial" w:cs="Arial"/>
          <w:noProof/>
          <w:sz w:val="22"/>
          <w:szCs w:val="22"/>
        </w:rPr>
        <w:tab/>
        <w:t xml:space="preserve">Yuen KCJ. Utilizing somapacitan, a long-acting growth hormone formulation, for the  treatment of adult growth hormone deficiency: A guide for clinicians. Endocr Pract. 2024;30(10):1003–10. </w:t>
      </w:r>
    </w:p>
    <w:p w14:paraId="3F8F98C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lastRenderedPageBreak/>
        <w:t xml:space="preserve">243. </w:t>
      </w:r>
      <w:r w:rsidRPr="0033639F">
        <w:rPr>
          <w:rFonts w:ascii="Arial" w:hAnsi="Arial" w:cs="Arial"/>
          <w:noProof/>
          <w:sz w:val="22"/>
          <w:szCs w:val="22"/>
        </w:rPr>
        <w:tab/>
        <w:t xml:space="preserve">Takahashi Y, Biller BMK, Fukuoka H, Ho KKY, Rasmussen MH, Nedjatian N, et al. Weekly somapacitan had no adverse effects on glucose metabolism in adults with  growth hormone deficiency. Pituitary. 2023;26(1):57–72. </w:t>
      </w:r>
    </w:p>
    <w:p w14:paraId="02E6003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244. </w:t>
      </w:r>
      <w:r w:rsidRPr="0033639F">
        <w:rPr>
          <w:rFonts w:ascii="Arial" w:hAnsi="Arial" w:cs="Arial"/>
          <w:noProof/>
          <w:sz w:val="22"/>
          <w:szCs w:val="22"/>
        </w:rPr>
        <w:tab/>
        <w:t xml:space="preserve">Fujio S, Makino R, Sugata J, Hanada T, Hanaya R. 6731 Initial therapeutic effects of weekly growth hormone replacement therapy: Somapacitan. J Endocr Soc. 2024;8(Suppl 1). </w:t>
      </w:r>
    </w:p>
    <w:p w14:paraId="4CA1F3C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245. </w:t>
      </w:r>
      <w:r w:rsidRPr="0033639F">
        <w:rPr>
          <w:rFonts w:ascii="Arial" w:hAnsi="Arial" w:cs="Arial"/>
          <w:noProof/>
          <w:sz w:val="22"/>
          <w:szCs w:val="22"/>
        </w:rPr>
        <w:tab/>
        <w:t xml:space="preserve">Hershkovitz O, Bar-Ilan A, Guy R, Felikman Y, Moschcovich L, Hwa V, et al. In vitro and in vivo characterization of MOD-4023, a long-acting carboxy-terminal peptide (CTP)-modified human growth hormone. Mol Pharm. 2016;13(2):631–9. </w:t>
      </w:r>
    </w:p>
    <w:p w14:paraId="7C10DD1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246. </w:t>
      </w:r>
      <w:r w:rsidRPr="0033639F">
        <w:rPr>
          <w:rFonts w:ascii="Arial" w:hAnsi="Arial" w:cs="Arial"/>
          <w:noProof/>
          <w:sz w:val="22"/>
          <w:szCs w:val="22"/>
        </w:rPr>
        <w:tab/>
        <w:t xml:space="preserve">Velazquez EP, Miller BS, Yuen KCJ. Somatrogon injection for the treatment of pediatric growth hormone deficiency with comparison to other LAGH products. Expert Rev Endocrinol Metab. 2024;19(1):1–10. </w:t>
      </w:r>
    </w:p>
    <w:p w14:paraId="2DFE07F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247. </w:t>
      </w:r>
      <w:r w:rsidRPr="0033639F">
        <w:rPr>
          <w:rFonts w:ascii="Arial" w:hAnsi="Arial" w:cs="Arial"/>
          <w:noProof/>
          <w:sz w:val="22"/>
          <w:szCs w:val="22"/>
        </w:rPr>
        <w:tab/>
        <w:t xml:space="preserve">Valluri S, Pastrak A, Wajnrajch M, Silverman L, Cara J, Deal C. Somatrogon growth hormone in the treatment of pediatric growth hormone deficiency: Results of the Pivotal Pediatric Phase 3 Clinical Trial. 2022; </w:t>
      </w:r>
    </w:p>
    <w:p w14:paraId="058404C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248. </w:t>
      </w:r>
      <w:r w:rsidRPr="0033639F">
        <w:rPr>
          <w:rFonts w:ascii="Arial" w:hAnsi="Arial" w:cs="Arial"/>
          <w:noProof/>
          <w:sz w:val="22"/>
          <w:szCs w:val="22"/>
        </w:rPr>
        <w:tab/>
        <w:t>Cara J, Carlsson M, Rosenfeld RG, Wajnrajch MP, Wang R, Zadik Z. RF26 | PSAT150 Growth outcomes from the Phase 2 and Phase 3 studies of once weekly somatrogon vs daily genotropin in pediatric patients with growth hormone deficiency: Comparisons with published literature and an international growth study database. J Endocr Soc. 2022;6(Suppl 1):A647–A647.</w:t>
      </w:r>
    </w:p>
    <w:p w14:paraId="34B7A6F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249. </w:t>
      </w:r>
      <w:r w:rsidRPr="0033639F">
        <w:rPr>
          <w:rFonts w:ascii="Arial" w:hAnsi="Arial" w:cs="Arial"/>
          <w:noProof/>
          <w:sz w:val="22"/>
          <w:szCs w:val="22"/>
        </w:rPr>
        <w:tab/>
        <w:t xml:space="preserve">Zadik Z, Zelinska N, Iotova V, Skorodok Y, Malievsky O, Mauras N, et al. An open-label extension of a phase 2 dose-finding study of once-weekly somatrogon vs. once-daily Genotropin in children with short stature due to growth hormone deficiency: Results following 5 years of treatment. J Pediatr Endocrinol Metab. 2023;36(3):261–9. </w:t>
      </w:r>
    </w:p>
    <w:p w14:paraId="048D7B2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250. </w:t>
      </w:r>
      <w:r w:rsidRPr="0033639F">
        <w:rPr>
          <w:rFonts w:ascii="Arial" w:hAnsi="Arial" w:cs="Arial"/>
          <w:noProof/>
          <w:sz w:val="22"/>
          <w:szCs w:val="22"/>
        </w:rPr>
        <w:tab/>
        <w:t xml:space="preserve">Boguszewski MC da S, Boguszewski CL. Update on the use of long-acting growth hormone in children. Curr Opin Pediatr. 2024;36(4):437–41. </w:t>
      </w:r>
    </w:p>
    <w:p w14:paraId="42BA085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251. </w:t>
      </w:r>
      <w:r w:rsidRPr="0033639F">
        <w:rPr>
          <w:rFonts w:ascii="Arial" w:hAnsi="Arial" w:cs="Arial"/>
          <w:noProof/>
          <w:sz w:val="22"/>
          <w:szCs w:val="22"/>
        </w:rPr>
        <w:tab/>
        <w:t xml:space="preserve">Höybye C. Comparing treatment with daily and long-acting growth hormone formulations in adults with growth hormone deficiency: Challenging issues, benefits, and risks. Best Pract Res Clin Endocrinol Metab. 2023;37(6):101788. </w:t>
      </w:r>
    </w:p>
    <w:p w14:paraId="75DFD46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252. </w:t>
      </w:r>
      <w:r w:rsidRPr="0033639F">
        <w:rPr>
          <w:rFonts w:ascii="Arial" w:hAnsi="Arial" w:cs="Arial"/>
          <w:noProof/>
          <w:sz w:val="22"/>
          <w:szCs w:val="22"/>
        </w:rPr>
        <w:tab/>
        <w:t>Maniatis A, Cutfield W, Dattani M, Deal C, Collett-Solberg PF, Horikawa R, et al. Long-acting growth hormone therapy in pediatric growth hormone deficiency: A consensus statement. J Clin Endocrinol Metab. 2024;1-9.</w:t>
      </w:r>
    </w:p>
    <w:p w14:paraId="26E3DCC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253. </w:t>
      </w:r>
      <w:r w:rsidRPr="0033639F">
        <w:rPr>
          <w:rFonts w:ascii="Arial" w:hAnsi="Arial" w:cs="Arial"/>
          <w:noProof/>
          <w:sz w:val="22"/>
          <w:szCs w:val="22"/>
        </w:rPr>
        <w:tab/>
        <w:t xml:space="preserve">Blethen SL, Allen DB, Graves D, August G, Moshang T, Rosenfeld R. Safety of recombinant deoxyribonucleic acid-derived growth hormone: The National Cooperative Growth Study Experience. J Clin Endocrinol Metab. 1996;81(5):1704–10. </w:t>
      </w:r>
    </w:p>
    <w:p w14:paraId="0E9A10E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254. </w:t>
      </w:r>
      <w:r w:rsidRPr="0033639F">
        <w:rPr>
          <w:rFonts w:ascii="Arial" w:hAnsi="Arial" w:cs="Arial"/>
          <w:noProof/>
          <w:sz w:val="22"/>
          <w:szCs w:val="22"/>
        </w:rPr>
        <w:tab/>
        <w:t xml:space="preserve">Tuffli GA, Johanson A, Rundle AC, Allen DB. Lack of increased risk for extracranial, nonleukemic neoplasms in recipients of recombinant deoxyribonucleic acid growth hormone. J Clin Endocrinol Metab. 1995;80(4):1416–22. </w:t>
      </w:r>
    </w:p>
    <w:p w14:paraId="4787D18D"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255. </w:t>
      </w:r>
      <w:r w:rsidRPr="0033639F">
        <w:rPr>
          <w:rFonts w:ascii="Arial" w:hAnsi="Arial" w:cs="Arial"/>
          <w:noProof/>
          <w:sz w:val="22"/>
          <w:szCs w:val="22"/>
        </w:rPr>
        <w:tab/>
        <w:t xml:space="preserve">Cowell CT, Dietsch S. Adverse events during growth hormone therapy. J Pediatr Endocrinol Metab. 1995;8:243–52. </w:t>
      </w:r>
    </w:p>
    <w:p w14:paraId="407EE15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256. </w:t>
      </w:r>
      <w:r w:rsidRPr="0033639F">
        <w:rPr>
          <w:rFonts w:ascii="Arial" w:hAnsi="Arial" w:cs="Arial"/>
          <w:noProof/>
          <w:sz w:val="22"/>
          <w:szCs w:val="22"/>
        </w:rPr>
        <w:tab/>
        <w:t xml:space="preserve">Clayton PE, Cowell CT. Safety issues in children and adolescents during growth hormone therapy-a review. Growth Horm &amp; IGF Res. 2000;10:306–10. </w:t>
      </w:r>
    </w:p>
    <w:p w14:paraId="5E96CB1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257. </w:t>
      </w:r>
      <w:r w:rsidRPr="0033639F">
        <w:rPr>
          <w:rFonts w:ascii="Arial" w:hAnsi="Arial" w:cs="Arial"/>
          <w:noProof/>
          <w:sz w:val="22"/>
          <w:szCs w:val="22"/>
        </w:rPr>
        <w:tab/>
        <w:t xml:space="preserve">Bell J, Parker KL, Swinford RD, Hoffman AR, Maneatis T, Lippe B. Long-term safety of recombinant human growth hormone in children. J Clin Endocrinol Metab. </w:t>
      </w:r>
      <w:r w:rsidRPr="0033639F">
        <w:rPr>
          <w:rFonts w:ascii="Arial" w:hAnsi="Arial" w:cs="Arial"/>
          <w:noProof/>
          <w:sz w:val="22"/>
          <w:szCs w:val="22"/>
        </w:rPr>
        <w:lastRenderedPageBreak/>
        <w:t xml:space="preserve">2010;95(1):167–77. </w:t>
      </w:r>
    </w:p>
    <w:p w14:paraId="59FB5746"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258. </w:t>
      </w:r>
      <w:r w:rsidRPr="0033639F">
        <w:rPr>
          <w:rFonts w:ascii="Arial" w:hAnsi="Arial" w:cs="Arial"/>
          <w:noProof/>
          <w:sz w:val="22"/>
          <w:szCs w:val="22"/>
        </w:rPr>
        <w:tab/>
        <w:t xml:space="preserve">Craig ME, Cowell CT, Larsson P, Zipf WB, Reiter EO, Albertsson Wikland K, et al. Growth hormone treatment and adverse events in Prader-Willi syndrome: Data from KIGS (the Pfizer International Growth Database). Clin Endocrinol (Oxf). 2006;65(2):178–85. </w:t>
      </w:r>
    </w:p>
    <w:p w14:paraId="1A5011AB"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259. </w:t>
      </w:r>
      <w:r w:rsidRPr="0033639F">
        <w:rPr>
          <w:rFonts w:ascii="Arial" w:hAnsi="Arial" w:cs="Arial"/>
          <w:noProof/>
          <w:sz w:val="22"/>
          <w:szCs w:val="22"/>
        </w:rPr>
        <w:tab/>
        <w:t xml:space="preserve">Tauber M, Diene G, Molinas C, Hébert M. Review of 64 cases of death in children with Prader-Willi syndrome (PWS). Am J Med Genet A. 2008;146A(7):881–7. </w:t>
      </w:r>
    </w:p>
    <w:p w14:paraId="0CC27C8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260. </w:t>
      </w:r>
      <w:r w:rsidRPr="0033639F">
        <w:rPr>
          <w:rFonts w:ascii="Arial" w:hAnsi="Arial" w:cs="Arial"/>
          <w:noProof/>
          <w:sz w:val="22"/>
          <w:szCs w:val="22"/>
        </w:rPr>
        <w:tab/>
        <w:t xml:space="preserve">Eiholzer U. Deaths in children with Prader-Willi syndrome. A contribution to the debate about  the safety of growth hormone treatment in children with PWS. Horm Res. 2005;63(1):33–9. </w:t>
      </w:r>
    </w:p>
    <w:p w14:paraId="1C31063D"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261. </w:t>
      </w:r>
      <w:r w:rsidRPr="0033639F">
        <w:rPr>
          <w:rFonts w:ascii="Arial" w:hAnsi="Arial" w:cs="Arial"/>
          <w:noProof/>
          <w:sz w:val="22"/>
          <w:szCs w:val="22"/>
        </w:rPr>
        <w:tab/>
        <w:t xml:space="preserve">Gerard JM, Garibaldi L, Myers SE, Aceto TJ, Kotagal S, Gibbons VP, et al. Sleep apnea in patients receiving growth hormone. Clin Pediatr. 1997;36(6):321–6. </w:t>
      </w:r>
    </w:p>
    <w:p w14:paraId="1FC923E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262. </w:t>
      </w:r>
      <w:r w:rsidRPr="0033639F">
        <w:rPr>
          <w:rFonts w:ascii="Arial" w:hAnsi="Arial" w:cs="Arial"/>
          <w:noProof/>
          <w:sz w:val="22"/>
          <w:szCs w:val="22"/>
        </w:rPr>
        <w:tab/>
        <w:t xml:space="preserve">Lindgren AC, Hellström LG, Ritzén EM, Milerad J. Growth hormone treatment increases CO(2) response, ventilation and central  inspiratory drive in children with Prader-Willi syndrome. Eur J Pediatr. 1999;158(11):936–40. </w:t>
      </w:r>
    </w:p>
    <w:p w14:paraId="02735BA5"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263. </w:t>
      </w:r>
      <w:r w:rsidRPr="0033639F">
        <w:rPr>
          <w:rFonts w:ascii="Arial" w:hAnsi="Arial" w:cs="Arial"/>
          <w:noProof/>
          <w:sz w:val="22"/>
          <w:szCs w:val="22"/>
        </w:rPr>
        <w:tab/>
        <w:t xml:space="preserve">Miller J, Silverstein J, Shuster J, Driscoll DJ, Wagner M. Short-term effects of growth hormone on sleep abnormalities in Prader-Willi syndrome. J Clin Endocrinol Metab. 2006;91(2):413–7. </w:t>
      </w:r>
    </w:p>
    <w:p w14:paraId="1E8F6CA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264. </w:t>
      </w:r>
      <w:r w:rsidRPr="0033639F">
        <w:rPr>
          <w:rFonts w:ascii="Arial" w:hAnsi="Arial" w:cs="Arial"/>
          <w:noProof/>
          <w:sz w:val="22"/>
          <w:szCs w:val="22"/>
        </w:rPr>
        <w:tab/>
        <w:t xml:space="preserve">Bolar K, Hoffman AR, Maneatis T, Lippe B. Long-term safety of recombinant human growth hormone in Turner syndrome. J Clin Endocrinol Metab. 2008;93(2):344–51. </w:t>
      </w:r>
    </w:p>
    <w:p w14:paraId="7F4941B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265. </w:t>
      </w:r>
      <w:r w:rsidRPr="0033639F">
        <w:rPr>
          <w:rFonts w:ascii="Arial" w:hAnsi="Arial" w:cs="Arial"/>
          <w:noProof/>
          <w:sz w:val="22"/>
          <w:szCs w:val="22"/>
        </w:rPr>
        <w:tab/>
        <w:t xml:space="preserve">Schoemaker MJ, Swerdlow AJ, Higgins CD, Wright AF, Jacobs PA, UK Clinical Cytogenetics Group. Cancer incidence in women with Turner syndrome in Great Britain: A national cohort study. Lancet Oncol. 2008;9(3):239–46. </w:t>
      </w:r>
    </w:p>
    <w:p w14:paraId="386A75D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266. </w:t>
      </w:r>
      <w:r w:rsidRPr="0033639F">
        <w:rPr>
          <w:rFonts w:ascii="Arial" w:hAnsi="Arial" w:cs="Arial"/>
          <w:noProof/>
          <w:sz w:val="22"/>
          <w:szCs w:val="22"/>
        </w:rPr>
        <w:tab/>
        <w:t xml:space="preserve">Carel J-C, Ecosse E, Landier F, Meguellati-Hakkas D, Kaguelidou F, Rey G, et al. Long-term mortality after recombinant growth hormone treatment for isolated growth hormone deficiency or childhood short stature: Preliminary report of the French SAGhE study. J Clin Endocrinol Metab. 2012;97(2):416–25. </w:t>
      </w:r>
    </w:p>
    <w:p w14:paraId="6737EF8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267. </w:t>
      </w:r>
      <w:r w:rsidRPr="0033639F">
        <w:rPr>
          <w:rFonts w:ascii="Arial" w:hAnsi="Arial" w:cs="Arial"/>
          <w:noProof/>
          <w:sz w:val="22"/>
          <w:szCs w:val="22"/>
        </w:rPr>
        <w:tab/>
        <w:t xml:space="preserve">Sävendahl L, Maes M, Albertsson-Wikland K, Borgström B, Carel JC, Henrard S, et al. Long-term mortality and causes of death in isolated GHD, ISS, and SGA patients treated with recombinant growth hormone during childhood in Belgium, The Netherlands, and Sweden: Preliminary report of 3 countries participating in the EU SAGhE study. J Clin Endo Metab. 2012;97(2):213–7. </w:t>
      </w:r>
    </w:p>
    <w:p w14:paraId="67EDFFBD"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268. </w:t>
      </w:r>
      <w:r w:rsidRPr="0033639F">
        <w:rPr>
          <w:rFonts w:ascii="Arial" w:hAnsi="Arial" w:cs="Arial"/>
          <w:noProof/>
          <w:sz w:val="22"/>
          <w:szCs w:val="22"/>
        </w:rPr>
        <w:tab/>
        <w:t xml:space="preserve">Maneatis T, Baptista J, Connelly K, Blethen S. Growth hormone safety update from the National Cooperative Growth Study. J Pediatr Endocrinol Metab. 2000;13(Suppl 2):1035–44. </w:t>
      </w:r>
    </w:p>
    <w:p w14:paraId="3078D7B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269. </w:t>
      </w:r>
      <w:r w:rsidRPr="0033639F">
        <w:rPr>
          <w:rFonts w:ascii="Arial" w:hAnsi="Arial" w:cs="Arial"/>
          <w:noProof/>
          <w:sz w:val="22"/>
          <w:szCs w:val="22"/>
        </w:rPr>
        <w:tab/>
        <w:t xml:space="preserve">Ergun-Longmire B, Mertens AC, Mitby P, Qin J, Heller G, Shi W, et al. Growth hormone treatment and risk of second neoplasms in the childhood cancer survivor. J Clin Endocrinol Metab. 2006;91(9):3494–8. </w:t>
      </w:r>
    </w:p>
    <w:p w14:paraId="26F964F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270. </w:t>
      </w:r>
      <w:r w:rsidRPr="0033639F">
        <w:rPr>
          <w:rFonts w:ascii="Arial" w:hAnsi="Arial" w:cs="Arial"/>
          <w:noProof/>
          <w:sz w:val="22"/>
          <w:szCs w:val="22"/>
        </w:rPr>
        <w:tab/>
        <w:t xml:space="preserve">Sklar CA, Mertens AC, Mitby P, Occhiogrosso G, Qin J, Heller G, et al. Risk of disease recurrence and second neoplasms in survivors of childhood cancer treated with growth hormone: A report from the Childhood Cancer Survivor Study. J Clin Endocrinol Metab. 2002;87(7):3136–41. </w:t>
      </w:r>
    </w:p>
    <w:p w14:paraId="48A2785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271. </w:t>
      </w:r>
      <w:r w:rsidRPr="0033639F">
        <w:rPr>
          <w:rFonts w:ascii="Arial" w:hAnsi="Arial" w:cs="Arial"/>
          <w:noProof/>
          <w:sz w:val="22"/>
          <w:szCs w:val="22"/>
        </w:rPr>
        <w:tab/>
        <w:t xml:space="preserve">Patterson BC, Chen Y, Sklar CA, Neglia J, Yasui Y, Mertens A, et al. Growth hormone exposure as a risk factor for the development of subsequent neoplasms of the central nervous system: A report from the Childhood Cancer Survivor Study. J Clin Endocrinol </w:t>
      </w:r>
      <w:r w:rsidRPr="0033639F">
        <w:rPr>
          <w:rFonts w:ascii="Arial" w:hAnsi="Arial" w:cs="Arial"/>
          <w:noProof/>
          <w:sz w:val="22"/>
          <w:szCs w:val="22"/>
        </w:rPr>
        <w:lastRenderedPageBreak/>
        <w:t xml:space="preserve">Metab. 2014;99(6):2030–7. </w:t>
      </w:r>
    </w:p>
    <w:p w14:paraId="1BEFBF6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272. </w:t>
      </w:r>
      <w:r w:rsidRPr="0033639F">
        <w:rPr>
          <w:rFonts w:ascii="Arial" w:hAnsi="Arial" w:cs="Arial"/>
          <w:noProof/>
          <w:sz w:val="22"/>
          <w:szCs w:val="22"/>
        </w:rPr>
        <w:tab/>
        <w:t>Sklar CA, Antal Z, Chemaitilly W, Cohen LE, Follin C, Meacham LR, et al. Hypothalamic–pituitary and growth disorders in survivors of childhood cancer: An Endocrine Society Clinical Practice Guideline. J Clin Endocrinol Metab. 2018;103(8):2761-84.</w:t>
      </w:r>
    </w:p>
    <w:p w14:paraId="578EC0C9"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273. </w:t>
      </w:r>
      <w:r w:rsidRPr="0033639F">
        <w:rPr>
          <w:rFonts w:ascii="Arial" w:hAnsi="Arial" w:cs="Arial"/>
          <w:noProof/>
          <w:sz w:val="22"/>
          <w:szCs w:val="22"/>
        </w:rPr>
        <w:tab/>
        <w:t xml:space="preserve">Child CJ, Zimmermann AG, Jia N, Robison LL, Brämswig JH, Blum WF. Assessment of primary cancer incidence in growth hormone-treated children: Comparison of a multinational prospective observational study with population databases. Horm Res Paediatr. 2016;85(3):198–206. </w:t>
      </w:r>
    </w:p>
    <w:p w14:paraId="1A86CE37"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274. </w:t>
      </w:r>
      <w:r w:rsidRPr="0033639F">
        <w:rPr>
          <w:rFonts w:ascii="Arial" w:hAnsi="Arial" w:cs="Arial"/>
          <w:noProof/>
          <w:sz w:val="22"/>
          <w:szCs w:val="22"/>
        </w:rPr>
        <w:tab/>
        <w:t xml:space="preserve">Raman S, Grimberg A, Waguespack SG, Miller BS, Sklar CA, Meacham LR, et al. Risk of neoplasia in pediatric patients receiving growth hormone therapy--a report from the Pediatric Endocrine Society Drug and Therapeutics Committee. J Clin Endocrinol Metab. 2015;100(6):2192–203. </w:t>
      </w:r>
    </w:p>
    <w:p w14:paraId="40A1DCBC"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275. </w:t>
      </w:r>
      <w:r w:rsidRPr="0033639F">
        <w:rPr>
          <w:rFonts w:ascii="Arial" w:hAnsi="Arial" w:cs="Arial"/>
          <w:noProof/>
          <w:sz w:val="22"/>
          <w:szCs w:val="22"/>
        </w:rPr>
        <w:tab/>
        <w:t>Clayton PE, Cuneo RC, Juul A, Monson JP, Shalet SM, Tauber M. Consensus statement on the management of the GH-treated adolescent in the transition to adult care. Eur J Endocrinol. 2005;152(2):165–70.</w:t>
      </w:r>
    </w:p>
    <w:p w14:paraId="1C9E007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276. </w:t>
      </w:r>
      <w:r w:rsidRPr="0033639F">
        <w:rPr>
          <w:rFonts w:ascii="Arial" w:hAnsi="Arial" w:cs="Arial"/>
          <w:noProof/>
          <w:sz w:val="22"/>
          <w:szCs w:val="22"/>
        </w:rPr>
        <w:tab/>
        <w:t>Molitch ME, Clemmons DR, Malozowski S, Merriam GR, Vance ML. Evaluation and treatment of adult growth hormone deficiency: An Endocrine Society Clinical Practice Guideline. J Clin Endocrinol Metab. 2011;96(6):1587–609.</w:t>
      </w:r>
    </w:p>
    <w:p w14:paraId="748401AF"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277. </w:t>
      </w:r>
      <w:r w:rsidRPr="0033639F">
        <w:rPr>
          <w:rFonts w:ascii="Arial" w:hAnsi="Arial" w:cs="Arial"/>
          <w:noProof/>
          <w:sz w:val="22"/>
          <w:szCs w:val="22"/>
        </w:rPr>
        <w:tab/>
        <w:t xml:space="preserve">Tauber M, Moulin P, Pienkowski C, Jouret B, Rochiccioli P. Growth hormone (GH) retesting and auxological data in 131 GH-deficient patients after completion of treatment. J Clin Endocrinol Metab. 1997;82(2):352–6. </w:t>
      </w:r>
    </w:p>
    <w:p w14:paraId="0741827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278. </w:t>
      </w:r>
      <w:r w:rsidRPr="0033639F">
        <w:rPr>
          <w:rFonts w:ascii="Arial" w:hAnsi="Arial" w:cs="Arial"/>
          <w:noProof/>
          <w:sz w:val="22"/>
          <w:szCs w:val="22"/>
        </w:rPr>
        <w:tab/>
        <w:t xml:space="preserve">Colao A, Di Somma C, Savastano S, Rota F, Savanelli MC, Aimaretti G, et al. A reappraisal of diagnosing GH deficiency in adults: Role of gender, age, waist circumference, and body mass index. J Clin Endocrinol Metab. 2009;94(11):4414–22. </w:t>
      </w:r>
    </w:p>
    <w:p w14:paraId="7737250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279. </w:t>
      </w:r>
      <w:r w:rsidRPr="0033639F">
        <w:rPr>
          <w:rFonts w:ascii="Arial" w:hAnsi="Arial" w:cs="Arial"/>
          <w:noProof/>
          <w:sz w:val="22"/>
          <w:szCs w:val="22"/>
        </w:rPr>
        <w:tab/>
        <w:t xml:space="preserve">Cook DM, Rose SR. A review of guidelines for use of growth hormone in pediatric and transition patients. Pituitary. 2012;15(3):301–10. </w:t>
      </w:r>
    </w:p>
    <w:p w14:paraId="1993C1C1"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280. </w:t>
      </w:r>
      <w:r w:rsidRPr="0033639F">
        <w:rPr>
          <w:rFonts w:ascii="Arial" w:hAnsi="Arial" w:cs="Arial"/>
          <w:noProof/>
          <w:sz w:val="22"/>
          <w:szCs w:val="22"/>
        </w:rPr>
        <w:tab/>
        <w:t xml:space="preserve">Quigley CA, Zagar AJ, Liu CC, Brown DM, Huseman C, Levitsky L, et al. United States multicenter study of factors predicting the persistence of GH deficiency during the transition period between childhood and adulthood. Int J Pediatr Endocrinol. 2013;2013(1):6. </w:t>
      </w:r>
    </w:p>
    <w:p w14:paraId="547CBEB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281. </w:t>
      </w:r>
      <w:r w:rsidRPr="0033639F">
        <w:rPr>
          <w:rFonts w:ascii="Arial" w:hAnsi="Arial" w:cs="Arial"/>
          <w:noProof/>
          <w:sz w:val="22"/>
          <w:szCs w:val="22"/>
        </w:rPr>
        <w:tab/>
        <w:t xml:space="preserve">Stanley T. Diagnosis of growth hormone deficiency in childhood. Curr Opin Endocrinol Diabetes Obes. 2012;19(1):47–52. </w:t>
      </w:r>
    </w:p>
    <w:p w14:paraId="50AC3AE8"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282. </w:t>
      </w:r>
      <w:r w:rsidRPr="0033639F">
        <w:rPr>
          <w:rFonts w:ascii="Arial" w:hAnsi="Arial" w:cs="Arial"/>
          <w:noProof/>
          <w:sz w:val="22"/>
          <w:szCs w:val="22"/>
        </w:rPr>
        <w:tab/>
        <w:t xml:space="preserve">Hage C, Gan H-W, Ibba A, Patti G, Dattani M, Loche S, et al. Advances in differential diagnosis and management of growth hormone deficiency in children. Nat Rev Endocrinol. 2021;17(10):608–24. </w:t>
      </w:r>
    </w:p>
    <w:p w14:paraId="7A5CAF5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283. </w:t>
      </w:r>
      <w:r w:rsidRPr="0033639F">
        <w:rPr>
          <w:rFonts w:ascii="Arial" w:hAnsi="Arial" w:cs="Arial"/>
          <w:noProof/>
          <w:sz w:val="22"/>
          <w:szCs w:val="22"/>
        </w:rPr>
        <w:tab/>
        <w:t xml:space="preserve">Ranke MB, Lindberg A, Albertsson-Wikland K, Wilton P, Price DA, Reiter EO. Increased response, but lower responsiveness, to growth hormone (GH) in very young children (aged 0-3 years) with idiopathic GH deficiency: Analysis of data from KIGS. J Clin Endocrinol Metab. 2005;90(4):1966–71. </w:t>
      </w:r>
    </w:p>
    <w:p w14:paraId="50C0A83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284. </w:t>
      </w:r>
      <w:r w:rsidRPr="0033639F">
        <w:rPr>
          <w:rFonts w:ascii="Arial" w:hAnsi="Arial" w:cs="Arial"/>
          <w:noProof/>
          <w:sz w:val="22"/>
          <w:szCs w:val="22"/>
        </w:rPr>
        <w:tab/>
        <w:t xml:space="preserve">Stagi S, Scalini P, Farello G, Verrotti A. Possible effects of an early diagnosis and treatment in patients with growth hormone deficiency: The state of art. Ital J Pediatr. 2017;43(1):81. </w:t>
      </w:r>
    </w:p>
    <w:p w14:paraId="0A029550"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285. </w:t>
      </w:r>
      <w:r w:rsidRPr="0033639F">
        <w:rPr>
          <w:rFonts w:ascii="Arial" w:hAnsi="Arial" w:cs="Arial"/>
          <w:noProof/>
          <w:sz w:val="22"/>
          <w:szCs w:val="22"/>
        </w:rPr>
        <w:tab/>
        <w:t xml:space="preserve">Boguszewski MCS. Growth hormone deficiency and replacement in children. Rev Endocr Metab Disord. 2021;22(1):101–8. </w:t>
      </w:r>
    </w:p>
    <w:p w14:paraId="2026C22E"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lastRenderedPageBreak/>
        <w:t xml:space="preserve">286. </w:t>
      </w:r>
      <w:r w:rsidRPr="0033639F">
        <w:rPr>
          <w:rFonts w:ascii="Arial" w:hAnsi="Arial" w:cs="Arial"/>
          <w:noProof/>
          <w:sz w:val="22"/>
          <w:szCs w:val="22"/>
        </w:rPr>
        <w:tab/>
        <w:t xml:space="preserve">Ross J, Fridman M, Kelepouris N, Murray K, Krone N, Polak M, et al. Factors associated with response to growth hormone in pediatric growth disorders: Results of a 5-year Registry Analysis. J Endocr Soc. 2023;7(5):bvad026. </w:t>
      </w:r>
    </w:p>
    <w:p w14:paraId="09F42752"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287. </w:t>
      </w:r>
      <w:r w:rsidRPr="0033639F">
        <w:rPr>
          <w:rFonts w:ascii="Arial" w:hAnsi="Arial" w:cs="Arial"/>
          <w:noProof/>
          <w:sz w:val="22"/>
          <w:szCs w:val="22"/>
        </w:rPr>
        <w:tab/>
        <w:t xml:space="preserve">Yuen KCJ, Alter CA, Miller BS, Gannon AW, Tritos NA, Samson SL, et al. Adult growth hormone deficiency: Optimizing transition of care from pediatric to adult services. Growth Horm IGF Res. 2021;56:101375. </w:t>
      </w:r>
    </w:p>
    <w:p w14:paraId="769528A3"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288. </w:t>
      </w:r>
      <w:r w:rsidRPr="0033639F">
        <w:rPr>
          <w:rFonts w:ascii="Arial" w:hAnsi="Arial" w:cs="Arial"/>
          <w:noProof/>
          <w:sz w:val="22"/>
          <w:szCs w:val="22"/>
        </w:rPr>
        <w:tab/>
        <w:t xml:space="preserve">Saenger PH, Mejia-Corletto J. Long-acting growth hormone: An update. Endocr Dev. 2016;30:79–97. </w:t>
      </w:r>
    </w:p>
    <w:p w14:paraId="5344E9BA" w14:textId="77777777" w:rsidR="009B4F63" w:rsidRPr="0033639F" w:rsidRDefault="009B4F63" w:rsidP="0033639F">
      <w:pPr>
        <w:widowControl w:val="0"/>
        <w:autoSpaceDE w:val="0"/>
        <w:autoSpaceDN w:val="0"/>
        <w:adjustRightInd w:val="0"/>
        <w:spacing w:line="276" w:lineRule="auto"/>
        <w:ind w:left="576" w:hanging="576"/>
        <w:rPr>
          <w:rFonts w:ascii="Arial" w:hAnsi="Arial" w:cs="Arial"/>
          <w:noProof/>
          <w:sz w:val="22"/>
          <w:szCs w:val="22"/>
        </w:rPr>
      </w:pPr>
      <w:r w:rsidRPr="0033639F">
        <w:rPr>
          <w:rFonts w:ascii="Arial" w:hAnsi="Arial" w:cs="Arial"/>
          <w:noProof/>
          <w:sz w:val="22"/>
          <w:szCs w:val="22"/>
        </w:rPr>
        <w:t xml:space="preserve">289. </w:t>
      </w:r>
      <w:r w:rsidRPr="0033639F">
        <w:rPr>
          <w:rFonts w:ascii="Arial" w:hAnsi="Arial" w:cs="Arial"/>
          <w:noProof/>
          <w:sz w:val="22"/>
          <w:szCs w:val="22"/>
        </w:rPr>
        <w:tab/>
        <w:t xml:space="preserve">Pampanini V, Deodati A, Inzaghi E, Cianfarani S. Long-acting growth hormone preparations and their use in children with growth hormone deficiency. Horm Res Paediatr. 2023;96(6):553–9. </w:t>
      </w:r>
    </w:p>
    <w:p w14:paraId="15C76FCC" w14:textId="77777777" w:rsidR="009B4F63" w:rsidRPr="0033639F" w:rsidRDefault="009B4F63" w:rsidP="0033639F">
      <w:pPr>
        <w:spacing w:line="276" w:lineRule="auto"/>
        <w:ind w:left="576" w:hanging="576"/>
        <w:rPr>
          <w:rFonts w:ascii="Arial" w:hAnsi="Arial" w:cs="Arial"/>
          <w:sz w:val="22"/>
          <w:szCs w:val="22"/>
        </w:rPr>
      </w:pPr>
    </w:p>
    <w:p w14:paraId="2D22393F" w14:textId="77777777" w:rsidR="00266E96" w:rsidRPr="0033639F" w:rsidRDefault="00266E96" w:rsidP="0033639F">
      <w:pPr>
        <w:widowControl w:val="0"/>
        <w:autoSpaceDE w:val="0"/>
        <w:autoSpaceDN w:val="0"/>
        <w:adjustRightInd w:val="0"/>
        <w:spacing w:line="276" w:lineRule="auto"/>
        <w:ind w:left="576" w:hanging="576"/>
        <w:rPr>
          <w:rFonts w:ascii="Arial" w:hAnsi="Arial" w:cs="Arial"/>
          <w:sz w:val="22"/>
          <w:szCs w:val="22"/>
        </w:rPr>
      </w:pPr>
    </w:p>
    <w:sectPr w:rsidR="00266E96" w:rsidRPr="0033639F" w:rsidSect="009251D6">
      <w:footerReference w:type="even" r:id="rId73"/>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7B96" w14:textId="77777777" w:rsidR="008C7007" w:rsidRDefault="008C7007">
      <w:r>
        <w:separator/>
      </w:r>
    </w:p>
  </w:endnote>
  <w:endnote w:type="continuationSeparator" w:id="0">
    <w:p w14:paraId="2EF159CD" w14:textId="77777777" w:rsidR="008C7007" w:rsidRDefault="008C7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A3361" w14:textId="77777777" w:rsidR="00AF382F" w:rsidRDefault="005247AA" w:rsidP="00423B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171F89C" w14:textId="77777777" w:rsidR="00AF382F" w:rsidRDefault="00AF3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07F16" w14:textId="77777777" w:rsidR="00AF382F" w:rsidRDefault="00AF3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67F39" w14:textId="77777777" w:rsidR="008C7007" w:rsidRDefault="008C7007">
      <w:r>
        <w:separator/>
      </w:r>
    </w:p>
  </w:footnote>
  <w:footnote w:type="continuationSeparator" w:id="0">
    <w:p w14:paraId="0B1F0406" w14:textId="77777777" w:rsidR="008C7007" w:rsidRDefault="008C7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83E80"/>
    <w:multiLevelType w:val="hybridMultilevel"/>
    <w:tmpl w:val="876A6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D5581"/>
    <w:multiLevelType w:val="hybridMultilevel"/>
    <w:tmpl w:val="A4E67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D3228"/>
    <w:multiLevelType w:val="hybridMultilevel"/>
    <w:tmpl w:val="B456E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E1D58"/>
    <w:multiLevelType w:val="hybridMultilevel"/>
    <w:tmpl w:val="0FCA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D2BDC"/>
    <w:multiLevelType w:val="multilevel"/>
    <w:tmpl w:val="A2BC87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6B3F1D"/>
    <w:multiLevelType w:val="hybridMultilevel"/>
    <w:tmpl w:val="1CA8D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25098"/>
    <w:multiLevelType w:val="hybridMultilevel"/>
    <w:tmpl w:val="7A244452"/>
    <w:lvl w:ilvl="0" w:tplc="91002896">
      <w:start w:val="1"/>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7" w15:restartNumberingAfterBreak="0">
    <w:nsid w:val="38F66866"/>
    <w:multiLevelType w:val="hybridMultilevel"/>
    <w:tmpl w:val="42504B80"/>
    <w:lvl w:ilvl="0" w:tplc="AB5C79B2">
      <w:start w:val="1"/>
      <w:numFmt w:val="decimal"/>
      <w:lvlText w:val="%1."/>
      <w:lvlJc w:val="left"/>
      <w:pPr>
        <w:ind w:left="975" w:hanging="360"/>
      </w:pPr>
      <w:rPr>
        <w:rFonts w:hint="default"/>
        <w:color w:val="0070C0"/>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8" w15:restartNumberingAfterBreak="0">
    <w:nsid w:val="43B77890"/>
    <w:multiLevelType w:val="hybridMultilevel"/>
    <w:tmpl w:val="EA3A6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7C1E6A"/>
    <w:multiLevelType w:val="hybridMultilevel"/>
    <w:tmpl w:val="6B2E2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C77468"/>
    <w:multiLevelType w:val="hybridMultilevel"/>
    <w:tmpl w:val="010A3B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6708BA"/>
    <w:multiLevelType w:val="hybridMultilevel"/>
    <w:tmpl w:val="3F84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F62376"/>
    <w:multiLevelType w:val="hybridMultilevel"/>
    <w:tmpl w:val="F93E6AB6"/>
    <w:lvl w:ilvl="0" w:tplc="531CD618">
      <w:start w:val="154"/>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FD81FE5"/>
    <w:multiLevelType w:val="hybridMultilevel"/>
    <w:tmpl w:val="9E5A75B2"/>
    <w:lvl w:ilvl="0" w:tplc="165AD42E">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4" w15:restartNumberingAfterBreak="0">
    <w:nsid w:val="6C5F3603"/>
    <w:multiLevelType w:val="hybridMultilevel"/>
    <w:tmpl w:val="9C74A9C2"/>
    <w:lvl w:ilvl="0" w:tplc="6ED2F8E2">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5" w15:restartNumberingAfterBreak="0">
    <w:nsid w:val="6FAC6CEB"/>
    <w:multiLevelType w:val="hybridMultilevel"/>
    <w:tmpl w:val="1E66962A"/>
    <w:lvl w:ilvl="0" w:tplc="23A0F254">
      <w:start w:val="1"/>
      <w:numFmt w:val="decimal"/>
      <w:lvlText w:val="%1."/>
      <w:lvlJc w:val="left"/>
      <w:pPr>
        <w:ind w:left="720" w:hanging="360"/>
      </w:pPr>
      <w:rPr>
        <w:rFonts w:ascii="Arial" w:hAnsi="Arial" w:cs="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614F9"/>
    <w:multiLevelType w:val="hybridMultilevel"/>
    <w:tmpl w:val="1E62F188"/>
    <w:lvl w:ilvl="0" w:tplc="FEAEFEF2">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7" w15:restartNumberingAfterBreak="0">
    <w:nsid w:val="746474A2"/>
    <w:multiLevelType w:val="hybridMultilevel"/>
    <w:tmpl w:val="CAF0FF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EC7ADA"/>
    <w:multiLevelType w:val="hybridMultilevel"/>
    <w:tmpl w:val="156AFA92"/>
    <w:lvl w:ilvl="0" w:tplc="CA1C3C0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78965E44"/>
    <w:multiLevelType w:val="hybridMultilevel"/>
    <w:tmpl w:val="4894B6DC"/>
    <w:lvl w:ilvl="0" w:tplc="5A7824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668821">
    <w:abstractNumId w:val="12"/>
  </w:num>
  <w:num w:numId="2" w16cid:durableId="1783987410">
    <w:abstractNumId w:val="8"/>
  </w:num>
  <w:num w:numId="3" w16cid:durableId="1193422252">
    <w:abstractNumId w:val="2"/>
  </w:num>
  <w:num w:numId="4" w16cid:durableId="1237786304">
    <w:abstractNumId w:val="0"/>
  </w:num>
  <w:num w:numId="5" w16cid:durableId="1771002732">
    <w:abstractNumId w:val="11"/>
  </w:num>
  <w:num w:numId="6" w16cid:durableId="340133405">
    <w:abstractNumId w:val="3"/>
  </w:num>
  <w:num w:numId="7" w16cid:durableId="633945819">
    <w:abstractNumId w:val="16"/>
  </w:num>
  <w:num w:numId="8" w16cid:durableId="195392371">
    <w:abstractNumId w:val="7"/>
  </w:num>
  <w:num w:numId="9" w16cid:durableId="1413310615">
    <w:abstractNumId w:val="18"/>
  </w:num>
  <w:num w:numId="10" w16cid:durableId="977612542">
    <w:abstractNumId w:val="13"/>
  </w:num>
  <w:num w:numId="11" w16cid:durableId="2039506790">
    <w:abstractNumId w:val="1"/>
  </w:num>
  <w:num w:numId="12" w16cid:durableId="2080666077">
    <w:abstractNumId w:val="6"/>
  </w:num>
  <w:num w:numId="13" w16cid:durableId="77604427">
    <w:abstractNumId w:val="14"/>
  </w:num>
  <w:num w:numId="14" w16cid:durableId="1338654868">
    <w:abstractNumId w:val="19"/>
  </w:num>
  <w:num w:numId="15" w16cid:durableId="588391766">
    <w:abstractNumId w:val="4"/>
  </w:num>
  <w:num w:numId="16" w16cid:durableId="427586295">
    <w:abstractNumId w:val="5"/>
  </w:num>
  <w:num w:numId="17" w16cid:durableId="918756934">
    <w:abstractNumId w:val="9"/>
  </w:num>
  <w:num w:numId="18" w16cid:durableId="489442863">
    <w:abstractNumId w:val="15"/>
  </w:num>
  <w:num w:numId="19" w16cid:durableId="566039289">
    <w:abstractNumId w:val="10"/>
  </w:num>
  <w:num w:numId="20" w16cid:durableId="7313916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803B01"/>
    <w:rsid w:val="00002144"/>
    <w:rsid w:val="00002318"/>
    <w:rsid w:val="00003AC3"/>
    <w:rsid w:val="00004736"/>
    <w:rsid w:val="0001312E"/>
    <w:rsid w:val="00014051"/>
    <w:rsid w:val="00014A45"/>
    <w:rsid w:val="00016520"/>
    <w:rsid w:val="00020272"/>
    <w:rsid w:val="000217B7"/>
    <w:rsid w:val="000270BC"/>
    <w:rsid w:val="00027694"/>
    <w:rsid w:val="00031F3E"/>
    <w:rsid w:val="00032BF8"/>
    <w:rsid w:val="0003585A"/>
    <w:rsid w:val="00036A84"/>
    <w:rsid w:val="00036ADD"/>
    <w:rsid w:val="00041B08"/>
    <w:rsid w:val="00045193"/>
    <w:rsid w:val="000453E7"/>
    <w:rsid w:val="00046550"/>
    <w:rsid w:val="00047036"/>
    <w:rsid w:val="000529F9"/>
    <w:rsid w:val="0005639D"/>
    <w:rsid w:val="00056550"/>
    <w:rsid w:val="00057E4C"/>
    <w:rsid w:val="00060251"/>
    <w:rsid w:val="00064C88"/>
    <w:rsid w:val="00073A98"/>
    <w:rsid w:val="00074448"/>
    <w:rsid w:val="000744E5"/>
    <w:rsid w:val="00077610"/>
    <w:rsid w:val="00083712"/>
    <w:rsid w:val="0008395C"/>
    <w:rsid w:val="00083E6F"/>
    <w:rsid w:val="00084072"/>
    <w:rsid w:val="00084EDE"/>
    <w:rsid w:val="00092A91"/>
    <w:rsid w:val="000A24F5"/>
    <w:rsid w:val="000A6F79"/>
    <w:rsid w:val="000B1E2F"/>
    <w:rsid w:val="000B2360"/>
    <w:rsid w:val="000B2B4E"/>
    <w:rsid w:val="000C53F7"/>
    <w:rsid w:val="000C61CE"/>
    <w:rsid w:val="000D47B8"/>
    <w:rsid w:val="000D4EB5"/>
    <w:rsid w:val="000D6209"/>
    <w:rsid w:val="000E439F"/>
    <w:rsid w:val="000E50BF"/>
    <w:rsid w:val="000E5A1A"/>
    <w:rsid w:val="000E5ECA"/>
    <w:rsid w:val="000E6774"/>
    <w:rsid w:val="000F3280"/>
    <w:rsid w:val="000F4146"/>
    <w:rsid w:val="000F5D77"/>
    <w:rsid w:val="000F621A"/>
    <w:rsid w:val="001019A2"/>
    <w:rsid w:val="001025F7"/>
    <w:rsid w:val="00102AA0"/>
    <w:rsid w:val="00104657"/>
    <w:rsid w:val="00104A4E"/>
    <w:rsid w:val="0010731D"/>
    <w:rsid w:val="00107B76"/>
    <w:rsid w:val="0011066B"/>
    <w:rsid w:val="00112879"/>
    <w:rsid w:val="001176D3"/>
    <w:rsid w:val="00120FE8"/>
    <w:rsid w:val="001237D3"/>
    <w:rsid w:val="0013412C"/>
    <w:rsid w:val="001372AD"/>
    <w:rsid w:val="0014024A"/>
    <w:rsid w:val="001416EB"/>
    <w:rsid w:val="001420B4"/>
    <w:rsid w:val="001420E1"/>
    <w:rsid w:val="00143E4A"/>
    <w:rsid w:val="00144E3B"/>
    <w:rsid w:val="00145EDD"/>
    <w:rsid w:val="001466E9"/>
    <w:rsid w:val="0014703D"/>
    <w:rsid w:val="00150EB5"/>
    <w:rsid w:val="001541B2"/>
    <w:rsid w:val="001568CA"/>
    <w:rsid w:val="00157055"/>
    <w:rsid w:val="00157551"/>
    <w:rsid w:val="001605D9"/>
    <w:rsid w:val="0016171D"/>
    <w:rsid w:val="001646F6"/>
    <w:rsid w:val="00180A42"/>
    <w:rsid w:val="00182A20"/>
    <w:rsid w:val="00183A8A"/>
    <w:rsid w:val="00183EC0"/>
    <w:rsid w:val="00186D13"/>
    <w:rsid w:val="00192360"/>
    <w:rsid w:val="001927C3"/>
    <w:rsid w:val="001935AD"/>
    <w:rsid w:val="001965CC"/>
    <w:rsid w:val="001976A3"/>
    <w:rsid w:val="001A2D3C"/>
    <w:rsid w:val="001A2F19"/>
    <w:rsid w:val="001A7539"/>
    <w:rsid w:val="001A7584"/>
    <w:rsid w:val="001B005D"/>
    <w:rsid w:val="001B5D5A"/>
    <w:rsid w:val="001C3887"/>
    <w:rsid w:val="001C6204"/>
    <w:rsid w:val="001D1396"/>
    <w:rsid w:val="001D365B"/>
    <w:rsid w:val="001D3666"/>
    <w:rsid w:val="001D6DD2"/>
    <w:rsid w:val="001E2F73"/>
    <w:rsid w:val="001E5165"/>
    <w:rsid w:val="001F0033"/>
    <w:rsid w:val="001F012F"/>
    <w:rsid w:val="001F1272"/>
    <w:rsid w:val="001F145D"/>
    <w:rsid w:val="001F2382"/>
    <w:rsid w:val="001F36E1"/>
    <w:rsid w:val="001F54EF"/>
    <w:rsid w:val="001F598B"/>
    <w:rsid w:val="001F5A68"/>
    <w:rsid w:val="001F67B9"/>
    <w:rsid w:val="00201CC7"/>
    <w:rsid w:val="00202E0E"/>
    <w:rsid w:val="0020454A"/>
    <w:rsid w:val="0020630A"/>
    <w:rsid w:val="00210518"/>
    <w:rsid w:val="00212A41"/>
    <w:rsid w:val="002136BD"/>
    <w:rsid w:val="00216C26"/>
    <w:rsid w:val="002201DE"/>
    <w:rsid w:val="00221149"/>
    <w:rsid w:val="00222690"/>
    <w:rsid w:val="0023294C"/>
    <w:rsid w:val="00232A8D"/>
    <w:rsid w:val="00232B3C"/>
    <w:rsid w:val="002335E7"/>
    <w:rsid w:val="002343C2"/>
    <w:rsid w:val="00234EB8"/>
    <w:rsid w:val="002355ED"/>
    <w:rsid w:val="00235F6E"/>
    <w:rsid w:val="002403F2"/>
    <w:rsid w:val="00245860"/>
    <w:rsid w:val="00250B0F"/>
    <w:rsid w:val="00252496"/>
    <w:rsid w:val="002532AE"/>
    <w:rsid w:val="0025380F"/>
    <w:rsid w:val="002543BD"/>
    <w:rsid w:val="00254865"/>
    <w:rsid w:val="002559E7"/>
    <w:rsid w:val="002565C4"/>
    <w:rsid w:val="002573C9"/>
    <w:rsid w:val="00261A57"/>
    <w:rsid w:val="00262771"/>
    <w:rsid w:val="00265E79"/>
    <w:rsid w:val="00266858"/>
    <w:rsid w:val="00266E96"/>
    <w:rsid w:val="00270F60"/>
    <w:rsid w:val="002733C1"/>
    <w:rsid w:val="002736EE"/>
    <w:rsid w:val="00276015"/>
    <w:rsid w:val="002818FC"/>
    <w:rsid w:val="00281CA5"/>
    <w:rsid w:val="00293E6A"/>
    <w:rsid w:val="002A0FE6"/>
    <w:rsid w:val="002A154C"/>
    <w:rsid w:val="002A7FE2"/>
    <w:rsid w:val="002B0202"/>
    <w:rsid w:val="002B07B8"/>
    <w:rsid w:val="002B5ECA"/>
    <w:rsid w:val="002B5FBC"/>
    <w:rsid w:val="002B7D99"/>
    <w:rsid w:val="002C455A"/>
    <w:rsid w:val="002C62B1"/>
    <w:rsid w:val="002C7CB7"/>
    <w:rsid w:val="002D29A7"/>
    <w:rsid w:val="002D47A9"/>
    <w:rsid w:val="002D4D2B"/>
    <w:rsid w:val="002D4F73"/>
    <w:rsid w:val="002D7799"/>
    <w:rsid w:val="002E650B"/>
    <w:rsid w:val="002E6B2F"/>
    <w:rsid w:val="002F716B"/>
    <w:rsid w:val="0030030F"/>
    <w:rsid w:val="00301D27"/>
    <w:rsid w:val="003036CF"/>
    <w:rsid w:val="003041FD"/>
    <w:rsid w:val="00304828"/>
    <w:rsid w:val="00305C0D"/>
    <w:rsid w:val="00307969"/>
    <w:rsid w:val="003136D0"/>
    <w:rsid w:val="00313B2D"/>
    <w:rsid w:val="003200E4"/>
    <w:rsid w:val="003221D3"/>
    <w:rsid w:val="00322A6C"/>
    <w:rsid w:val="00324B8C"/>
    <w:rsid w:val="00324E40"/>
    <w:rsid w:val="00325C49"/>
    <w:rsid w:val="003261CC"/>
    <w:rsid w:val="0032644F"/>
    <w:rsid w:val="00330784"/>
    <w:rsid w:val="00335F10"/>
    <w:rsid w:val="00336298"/>
    <w:rsid w:val="00336383"/>
    <w:rsid w:val="0033639F"/>
    <w:rsid w:val="00336586"/>
    <w:rsid w:val="00345D6D"/>
    <w:rsid w:val="003505E5"/>
    <w:rsid w:val="003511FF"/>
    <w:rsid w:val="003527AE"/>
    <w:rsid w:val="003543C9"/>
    <w:rsid w:val="00356201"/>
    <w:rsid w:val="0035723A"/>
    <w:rsid w:val="00360562"/>
    <w:rsid w:val="00360B48"/>
    <w:rsid w:val="00363B91"/>
    <w:rsid w:val="00364EF8"/>
    <w:rsid w:val="00373A78"/>
    <w:rsid w:val="00375A1A"/>
    <w:rsid w:val="003773D2"/>
    <w:rsid w:val="00380A88"/>
    <w:rsid w:val="003825E0"/>
    <w:rsid w:val="00382DB8"/>
    <w:rsid w:val="0038631D"/>
    <w:rsid w:val="00390624"/>
    <w:rsid w:val="0039108B"/>
    <w:rsid w:val="00396230"/>
    <w:rsid w:val="003973AE"/>
    <w:rsid w:val="003A6D94"/>
    <w:rsid w:val="003A728F"/>
    <w:rsid w:val="003B3F44"/>
    <w:rsid w:val="003B3FC1"/>
    <w:rsid w:val="003B4021"/>
    <w:rsid w:val="003C1BAE"/>
    <w:rsid w:val="003D0EB9"/>
    <w:rsid w:val="003D1C91"/>
    <w:rsid w:val="003D2E2D"/>
    <w:rsid w:val="003D6478"/>
    <w:rsid w:val="003D65EA"/>
    <w:rsid w:val="003D660C"/>
    <w:rsid w:val="003D67E0"/>
    <w:rsid w:val="003E0431"/>
    <w:rsid w:val="003E2078"/>
    <w:rsid w:val="003E2C38"/>
    <w:rsid w:val="003E438E"/>
    <w:rsid w:val="003F234E"/>
    <w:rsid w:val="00400B6F"/>
    <w:rsid w:val="00406F87"/>
    <w:rsid w:val="00413F18"/>
    <w:rsid w:val="00413F77"/>
    <w:rsid w:val="00423CAB"/>
    <w:rsid w:val="00424CB1"/>
    <w:rsid w:val="00425B87"/>
    <w:rsid w:val="0043053C"/>
    <w:rsid w:val="004349A9"/>
    <w:rsid w:val="00437F9A"/>
    <w:rsid w:val="00441897"/>
    <w:rsid w:val="0044300C"/>
    <w:rsid w:val="004439C7"/>
    <w:rsid w:val="004439D2"/>
    <w:rsid w:val="00443ADA"/>
    <w:rsid w:val="00444328"/>
    <w:rsid w:val="00444B1B"/>
    <w:rsid w:val="004475D4"/>
    <w:rsid w:val="004510B1"/>
    <w:rsid w:val="00451F0A"/>
    <w:rsid w:val="00453D36"/>
    <w:rsid w:val="00464BB3"/>
    <w:rsid w:val="00466A37"/>
    <w:rsid w:val="004678BA"/>
    <w:rsid w:val="0047114C"/>
    <w:rsid w:val="004731D4"/>
    <w:rsid w:val="00473647"/>
    <w:rsid w:val="004750B0"/>
    <w:rsid w:val="00477DE0"/>
    <w:rsid w:val="004817FC"/>
    <w:rsid w:val="00486990"/>
    <w:rsid w:val="0048717D"/>
    <w:rsid w:val="004902B4"/>
    <w:rsid w:val="00492693"/>
    <w:rsid w:val="004936AA"/>
    <w:rsid w:val="004951B2"/>
    <w:rsid w:val="004A1B74"/>
    <w:rsid w:val="004A26B9"/>
    <w:rsid w:val="004A356B"/>
    <w:rsid w:val="004A4AE0"/>
    <w:rsid w:val="004A6653"/>
    <w:rsid w:val="004A6F80"/>
    <w:rsid w:val="004B3033"/>
    <w:rsid w:val="004B6B02"/>
    <w:rsid w:val="004C0ACE"/>
    <w:rsid w:val="004C56CD"/>
    <w:rsid w:val="004D176B"/>
    <w:rsid w:val="004D188B"/>
    <w:rsid w:val="004D2097"/>
    <w:rsid w:val="004D35B3"/>
    <w:rsid w:val="004D35E0"/>
    <w:rsid w:val="004D425A"/>
    <w:rsid w:val="004D76CA"/>
    <w:rsid w:val="004E3ECF"/>
    <w:rsid w:val="004E4C93"/>
    <w:rsid w:val="004E7A6C"/>
    <w:rsid w:val="004F279A"/>
    <w:rsid w:val="004F58E2"/>
    <w:rsid w:val="004F6C27"/>
    <w:rsid w:val="004F7161"/>
    <w:rsid w:val="00504D31"/>
    <w:rsid w:val="0050567E"/>
    <w:rsid w:val="00505FC3"/>
    <w:rsid w:val="0051108E"/>
    <w:rsid w:val="005139B8"/>
    <w:rsid w:val="00514097"/>
    <w:rsid w:val="00514C61"/>
    <w:rsid w:val="00516392"/>
    <w:rsid w:val="0051765C"/>
    <w:rsid w:val="00520D74"/>
    <w:rsid w:val="005218CE"/>
    <w:rsid w:val="00523108"/>
    <w:rsid w:val="0052440E"/>
    <w:rsid w:val="005247AA"/>
    <w:rsid w:val="0052507E"/>
    <w:rsid w:val="005302D8"/>
    <w:rsid w:val="005377A6"/>
    <w:rsid w:val="00540153"/>
    <w:rsid w:val="005413AB"/>
    <w:rsid w:val="00541ECE"/>
    <w:rsid w:val="005432D7"/>
    <w:rsid w:val="00543DE3"/>
    <w:rsid w:val="0054411C"/>
    <w:rsid w:val="005525C4"/>
    <w:rsid w:val="00562947"/>
    <w:rsid w:val="005630BE"/>
    <w:rsid w:val="00563762"/>
    <w:rsid w:val="00563CB6"/>
    <w:rsid w:val="00563EE6"/>
    <w:rsid w:val="00565109"/>
    <w:rsid w:val="0056562C"/>
    <w:rsid w:val="00567775"/>
    <w:rsid w:val="00573A49"/>
    <w:rsid w:val="00573CDD"/>
    <w:rsid w:val="005742B5"/>
    <w:rsid w:val="00575E26"/>
    <w:rsid w:val="00580794"/>
    <w:rsid w:val="00582A3F"/>
    <w:rsid w:val="00584BEF"/>
    <w:rsid w:val="005861AD"/>
    <w:rsid w:val="00586887"/>
    <w:rsid w:val="0059007F"/>
    <w:rsid w:val="00590BD6"/>
    <w:rsid w:val="005917AD"/>
    <w:rsid w:val="00594AFC"/>
    <w:rsid w:val="005A4224"/>
    <w:rsid w:val="005A4531"/>
    <w:rsid w:val="005A5119"/>
    <w:rsid w:val="005A5435"/>
    <w:rsid w:val="005A5721"/>
    <w:rsid w:val="005B1285"/>
    <w:rsid w:val="005B30D3"/>
    <w:rsid w:val="005B4474"/>
    <w:rsid w:val="005B6B0F"/>
    <w:rsid w:val="005C007A"/>
    <w:rsid w:val="005C0E4B"/>
    <w:rsid w:val="005C4555"/>
    <w:rsid w:val="005D209A"/>
    <w:rsid w:val="005D4E02"/>
    <w:rsid w:val="005D50BE"/>
    <w:rsid w:val="005D69E8"/>
    <w:rsid w:val="005D71EF"/>
    <w:rsid w:val="005E07CF"/>
    <w:rsid w:val="005E679B"/>
    <w:rsid w:val="005E7A0D"/>
    <w:rsid w:val="005F0485"/>
    <w:rsid w:val="005F5D19"/>
    <w:rsid w:val="005F73F3"/>
    <w:rsid w:val="005F788B"/>
    <w:rsid w:val="00600E29"/>
    <w:rsid w:val="00601EC7"/>
    <w:rsid w:val="006027BB"/>
    <w:rsid w:val="00603971"/>
    <w:rsid w:val="006061E3"/>
    <w:rsid w:val="006067B8"/>
    <w:rsid w:val="006124D0"/>
    <w:rsid w:val="006150C8"/>
    <w:rsid w:val="00617504"/>
    <w:rsid w:val="006224A2"/>
    <w:rsid w:val="0062352E"/>
    <w:rsid w:val="006242B5"/>
    <w:rsid w:val="006265BC"/>
    <w:rsid w:val="0063100A"/>
    <w:rsid w:val="00632CC6"/>
    <w:rsid w:val="00634B05"/>
    <w:rsid w:val="00637D9B"/>
    <w:rsid w:val="00642F3D"/>
    <w:rsid w:val="00646206"/>
    <w:rsid w:val="00646E21"/>
    <w:rsid w:val="00653AB3"/>
    <w:rsid w:val="00653FD0"/>
    <w:rsid w:val="006543BC"/>
    <w:rsid w:val="00654A78"/>
    <w:rsid w:val="00671B45"/>
    <w:rsid w:val="00675EA0"/>
    <w:rsid w:val="00677927"/>
    <w:rsid w:val="00680340"/>
    <w:rsid w:val="006823AC"/>
    <w:rsid w:val="00683793"/>
    <w:rsid w:val="00683BB2"/>
    <w:rsid w:val="00686235"/>
    <w:rsid w:val="00691B0E"/>
    <w:rsid w:val="00691EE1"/>
    <w:rsid w:val="006A2BC4"/>
    <w:rsid w:val="006A3538"/>
    <w:rsid w:val="006A3FCC"/>
    <w:rsid w:val="006A4E6B"/>
    <w:rsid w:val="006B3C93"/>
    <w:rsid w:val="006B7532"/>
    <w:rsid w:val="006C0275"/>
    <w:rsid w:val="006C2F1E"/>
    <w:rsid w:val="006C4FAC"/>
    <w:rsid w:val="006D2DD5"/>
    <w:rsid w:val="006D3D53"/>
    <w:rsid w:val="006D4D49"/>
    <w:rsid w:val="006D6BB4"/>
    <w:rsid w:val="006E0A75"/>
    <w:rsid w:val="006E0AEC"/>
    <w:rsid w:val="006E13D2"/>
    <w:rsid w:val="006E2164"/>
    <w:rsid w:val="006E2D25"/>
    <w:rsid w:val="006F04CF"/>
    <w:rsid w:val="006F147E"/>
    <w:rsid w:val="006F3269"/>
    <w:rsid w:val="006F66C5"/>
    <w:rsid w:val="007056A9"/>
    <w:rsid w:val="0070697A"/>
    <w:rsid w:val="00711AC3"/>
    <w:rsid w:val="007120C6"/>
    <w:rsid w:val="0071382B"/>
    <w:rsid w:val="00713F01"/>
    <w:rsid w:val="00723019"/>
    <w:rsid w:val="007237CA"/>
    <w:rsid w:val="00726017"/>
    <w:rsid w:val="00734480"/>
    <w:rsid w:val="007401FD"/>
    <w:rsid w:val="00745BD6"/>
    <w:rsid w:val="00746022"/>
    <w:rsid w:val="00746384"/>
    <w:rsid w:val="007506CF"/>
    <w:rsid w:val="00760A7A"/>
    <w:rsid w:val="00763FC6"/>
    <w:rsid w:val="00764B08"/>
    <w:rsid w:val="00765DB2"/>
    <w:rsid w:val="00770D0A"/>
    <w:rsid w:val="0077270F"/>
    <w:rsid w:val="00772F50"/>
    <w:rsid w:val="00776CD9"/>
    <w:rsid w:val="00777FDE"/>
    <w:rsid w:val="0078035B"/>
    <w:rsid w:val="0078042B"/>
    <w:rsid w:val="00780D05"/>
    <w:rsid w:val="00791457"/>
    <w:rsid w:val="00794020"/>
    <w:rsid w:val="00794097"/>
    <w:rsid w:val="007A1C70"/>
    <w:rsid w:val="007A446C"/>
    <w:rsid w:val="007A4F37"/>
    <w:rsid w:val="007A5B8B"/>
    <w:rsid w:val="007B1523"/>
    <w:rsid w:val="007B2179"/>
    <w:rsid w:val="007B60B3"/>
    <w:rsid w:val="007C07A9"/>
    <w:rsid w:val="007C12AF"/>
    <w:rsid w:val="007C2099"/>
    <w:rsid w:val="007C310D"/>
    <w:rsid w:val="007C4BB0"/>
    <w:rsid w:val="007D00AB"/>
    <w:rsid w:val="007D1B5E"/>
    <w:rsid w:val="007E40BF"/>
    <w:rsid w:val="007E73CF"/>
    <w:rsid w:val="007F0879"/>
    <w:rsid w:val="007F0F14"/>
    <w:rsid w:val="007F3B3E"/>
    <w:rsid w:val="007F4AEE"/>
    <w:rsid w:val="007F4FE7"/>
    <w:rsid w:val="007F514F"/>
    <w:rsid w:val="007F5C33"/>
    <w:rsid w:val="007F7828"/>
    <w:rsid w:val="00801F3F"/>
    <w:rsid w:val="0080250A"/>
    <w:rsid w:val="00803B01"/>
    <w:rsid w:val="00804DBF"/>
    <w:rsid w:val="0080642E"/>
    <w:rsid w:val="00817136"/>
    <w:rsid w:val="008208CB"/>
    <w:rsid w:val="00826434"/>
    <w:rsid w:val="00830234"/>
    <w:rsid w:val="008368D8"/>
    <w:rsid w:val="00837116"/>
    <w:rsid w:val="00837FDA"/>
    <w:rsid w:val="00840CF4"/>
    <w:rsid w:val="00843C24"/>
    <w:rsid w:val="008465CA"/>
    <w:rsid w:val="00846F2E"/>
    <w:rsid w:val="00850D6C"/>
    <w:rsid w:val="00851D49"/>
    <w:rsid w:val="00854141"/>
    <w:rsid w:val="008547B9"/>
    <w:rsid w:val="0085529D"/>
    <w:rsid w:val="008643CE"/>
    <w:rsid w:val="0086677A"/>
    <w:rsid w:val="00866922"/>
    <w:rsid w:val="00870BE6"/>
    <w:rsid w:val="008713DA"/>
    <w:rsid w:val="00873777"/>
    <w:rsid w:val="0087402F"/>
    <w:rsid w:val="00874C28"/>
    <w:rsid w:val="00875983"/>
    <w:rsid w:val="008759C0"/>
    <w:rsid w:val="008778FE"/>
    <w:rsid w:val="00884FD9"/>
    <w:rsid w:val="00892788"/>
    <w:rsid w:val="00893820"/>
    <w:rsid w:val="00894039"/>
    <w:rsid w:val="00894B12"/>
    <w:rsid w:val="00897822"/>
    <w:rsid w:val="008A1AD6"/>
    <w:rsid w:val="008A4CD2"/>
    <w:rsid w:val="008B299E"/>
    <w:rsid w:val="008B475B"/>
    <w:rsid w:val="008B5B13"/>
    <w:rsid w:val="008C0823"/>
    <w:rsid w:val="008C0938"/>
    <w:rsid w:val="008C1614"/>
    <w:rsid w:val="008C1B42"/>
    <w:rsid w:val="008C1C13"/>
    <w:rsid w:val="008C2799"/>
    <w:rsid w:val="008C5BCE"/>
    <w:rsid w:val="008C64C0"/>
    <w:rsid w:val="008C64D9"/>
    <w:rsid w:val="008C7007"/>
    <w:rsid w:val="008D0B68"/>
    <w:rsid w:val="008D1D21"/>
    <w:rsid w:val="008D2173"/>
    <w:rsid w:val="008D2683"/>
    <w:rsid w:val="008D300E"/>
    <w:rsid w:val="008D740F"/>
    <w:rsid w:val="008E1A16"/>
    <w:rsid w:val="008E27EC"/>
    <w:rsid w:val="008E75CC"/>
    <w:rsid w:val="00901893"/>
    <w:rsid w:val="00906374"/>
    <w:rsid w:val="00906431"/>
    <w:rsid w:val="00920D72"/>
    <w:rsid w:val="00921AA8"/>
    <w:rsid w:val="009238F6"/>
    <w:rsid w:val="009248A6"/>
    <w:rsid w:val="00927FE4"/>
    <w:rsid w:val="00933D83"/>
    <w:rsid w:val="00935568"/>
    <w:rsid w:val="00936494"/>
    <w:rsid w:val="00940710"/>
    <w:rsid w:val="00941621"/>
    <w:rsid w:val="009432C6"/>
    <w:rsid w:val="009470CD"/>
    <w:rsid w:val="00947E90"/>
    <w:rsid w:val="009516E0"/>
    <w:rsid w:val="0095365B"/>
    <w:rsid w:val="009545C9"/>
    <w:rsid w:val="009606C2"/>
    <w:rsid w:val="00961B31"/>
    <w:rsid w:val="00965B9F"/>
    <w:rsid w:val="00974ED3"/>
    <w:rsid w:val="00980CAA"/>
    <w:rsid w:val="00981337"/>
    <w:rsid w:val="00982BE9"/>
    <w:rsid w:val="00983FF7"/>
    <w:rsid w:val="009868FA"/>
    <w:rsid w:val="009904E0"/>
    <w:rsid w:val="009927DC"/>
    <w:rsid w:val="009947B7"/>
    <w:rsid w:val="00994FE8"/>
    <w:rsid w:val="009A27FB"/>
    <w:rsid w:val="009A30AD"/>
    <w:rsid w:val="009A7916"/>
    <w:rsid w:val="009B09E7"/>
    <w:rsid w:val="009B1536"/>
    <w:rsid w:val="009B4F63"/>
    <w:rsid w:val="009B552E"/>
    <w:rsid w:val="009B6DE0"/>
    <w:rsid w:val="009B7F21"/>
    <w:rsid w:val="009C2848"/>
    <w:rsid w:val="009C65E0"/>
    <w:rsid w:val="009C6885"/>
    <w:rsid w:val="009D08ED"/>
    <w:rsid w:val="009D2B4C"/>
    <w:rsid w:val="009D6114"/>
    <w:rsid w:val="009D6C98"/>
    <w:rsid w:val="009D76FA"/>
    <w:rsid w:val="009E2679"/>
    <w:rsid w:val="009E4D37"/>
    <w:rsid w:val="009F61DC"/>
    <w:rsid w:val="009F6B61"/>
    <w:rsid w:val="00A00455"/>
    <w:rsid w:val="00A00D8E"/>
    <w:rsid w:val="00A02208"/>
    <w:rsid w:val="00A02774"/>
    <w:rsid w:val="00A04BD0"/>
    <w:rsid w:val="00A06C50"/>
    <w:rsid w:val="00A072DF"/>
    <w:rsid w:val="00A11C55"/>
    <w:rsid w:val="00A12453"/>
    <w:rsid w:val="00A14F04"/>
    <w:rsid w:val="00A21C78"/>
    <w:rsid w:val="00A2392C"/>
    <w:rsid w:val="00A23E92"/>
    <w:rsid w:val="00A25C5D"/>
    <w:rsid w:val="00A326F4"/>
    <w:rsid w:val="00A35C99"/>
    <w:rsid w:val="00A60F00"/>
    <w:rsid w:val="00A64622"/>
    <w:rsid w:val="00A66F89"/>
    <w:rsid w:val="00A7139B"/>
    <w:rsid w:val="00A76525"/>
    <w:rsid w:val="00A77B80"/>
    <w:rsid w:val="00A77EA2"/>
    <w:rsid w:val="00A84A99"/>
    <w:rsid w:val="00A90B26"/>
    <w:rsid w:val="00A979F5"/>
    <w:rsid w:val="00A97FD3"/>
    <w:rsid w:val="00AA1AFA"/>
    <w:rsid w:val="00AA32F7"/>
    <w:rsid w:val="00AA4C2C"/>
    <w:rsid w:val="00AA4E0A"/>
    <w:rsid w:val="00AB03BD"/>
    <w:rsid w:val="00AB043D"/>
    <w:rsid w:val="00AB390F"/>
    <w:rsid w:val="00AB3B2F"/>
    <w:rsid w:val="00AC02D6"/>
    <w:rsid w:val="00AC40E3"/>
    <w:rsid w:val="00AC51FC"/>
    <w:rsid w:val="00AC5B64"/>
    <w:rsid w:val="00AD364F"/>
    <w:rsid w:val="00AD3D45"/>
    <w:rsid w:val="00AD5AA1"/>
    <w:rsid w:val="00AE30C2"/>
    <w:rsid w:val="00AE3BD7"/>
    <w:rsid w:val="00AE3E86"/>
    <w:rsid w:val="00AE4751"/>
    <w:rsid w:val="00AE5CF9"/>
    <w:rsid w:val="00AE76DE"/>
    <w:rsid w:val="00AF382F"/>
    <w:rsid w:val="00AF69C7"/>
    <w:rsid w:val="00AF6BDA"/>
    <w:rsid w:val="00AF72AC"/>
    <w:rsid w:val="00B05860"/>
    <w:rsid w:val="00B11226"/>
    <w:rsid w:val="00B145A2"/>
    <w:rsid w:val="00B14AE1"/>
    <w:rsid w:val="00B178C9"/>
    <w:rsid w:val="00B17E8B"/>
    <w:rsid w:val="00B22502"/>
    <w:rsid w:val="00B22D08"/>
    <w:rsid w:val="00B242BF"/>
    <w:rsid w:val="00B25F3F"/>
    <w:rsid w:val="00B30F3E"/>
    <w:rsid w:val="00B31321"/>
    <w:rsid w:val="00B3444A"/>
    <w:rsid w:val="00B345E6"/>
    <w:rsid w:val="00B35A06"/>
    <w:rsid w:val="00B35A5C"/>
    <w:rsid w:val="00B4032C"/>
    <w:rsid w:val="00B4144E"/>
    <w:rsid w:val="00B43BE8"/>
    <w:rsid w:val="00B47371"/>
    <w:rsid w:val="00B518F2"/>
    <w:rsid w:val="00B51E8B"/>
    <w:rsid w:val="00B54258"/>
    <w:rsid w:val="00B560A8"/>
    <w:rsid w:val="00B5670B"/>
    <w:rsid w:val="00B61CF9"/>
    <w:rsid w:val="00B61F8D"/>
    <w:rsid w:val="00B64C62"/>
    <w:rsid w:val="00B70113"/>
    <w:rsid w:val="00B744F4"/>
    <w:rsid w:val="00B80043"/>
    <w:rsid w:val="00B802A2"/>
    <w:rsid w:val="00B80C16"/>
    <w:rsid w:val="00B83E54"/>
    <w:rsid w:val="00B903A1"/>
    <w:rsid w:val="00B909CD"/>
    <w:rsid w:val="00B92F3E"/>
    <w:rsid w:val="00B944E8"/>
    <w:rsid w:val="00B94C93"/>
    <w:rsid w:val="00B965AC"/>
    <w:rsid w:val="00B96728"/>
    <w:rsid w:val="00B96813"/>
    <w:rsid w:val="00BA27A0"/>
    <w:rsid w:val="00BA35BB"/>
    <w:rsid w:val="00BA427E"/>
    <w:rsid w:val="00BA5371"/>
    <w:rsid w:val="00BA5B89"/>
    <w:rsid w:val="00BA7B04"/>
    <w:rsid w:val="00BB4DCD"/>
    <w:rsid w:val="00BB6235"/>
    <w:rsid w:val="00BD0301"/>
    <w:rsid w:val="00BD071A"/>
    <w:rsid w:val="00BD0C04"/>
    <w:rsid w:val="00BD1C74"/>
    <w:rsid w:val="00BD29BB"/>
    <w:rsid w:val="00BE0CEB"/>
    <w:rsid w:val="00BE165B"/>
    <w:rsid w:val="00BF0E6A"/>
    <w:rsid w:val="00BF3C06"/>
    <w:rsid w:val="00BF4A3E"/>
    <w:rsid w:val="00C001B0"/>
    <w:rsid w:val="00C040AF"/>
    <w:rsid w:val="00C044E2"/>
    <w:rsid w:val="00C059E8"/>
    <w:rsid w:val="00C06D00"/>
    <w:rsid w:val="00C10241"/>
    <w:rsid w:val="00C13BF9"/>
    <w:rsid w:val="00C13D4A"/>
    <w:rsid w:val="00C14E77"/>
    <w:rsid w:val="00C17095"/>
    <w:rsid w:val="00C202D0"/>
    <w:rsid w:val="00C2365E"/>
    <w:rsid w:val="00C24A49"/>
    <w:rsid w:val="00C27A83"/>
    <w:rsid w:val="00C3065E"/>
    <w:rsid w:val="00C33A19"/>
    <w:rsid w:val="00C3420E"/>
    <w:rsid w:val="00C37797"/>
    <w:rsid w:val="00C412EC"/>
    <w:rsid w:val="00C439EF"/>
    <w:rsid w:val="00C47A79"/>
    <w:rsid w:val="00C47F69"/>
    <w:rsid w:val="00C47FA4"/>
    <w:rsid w:val="00C550D9"/>
    <w:rsid w:val="00C564C5"/>
    <w:rsid w:val="00C569B7"/>
    <w:rsid w:val="00C57719"/>
    <w:rsid w:val="00C63258"/>
    <w:rsid w:val="00C655E6"/>
    <w:rsid w:val="00C6572F"/>
    <w:rsid w:val="00C665E5"/>
    <w:rsid w:val="00C67B9C"/>
    <w:rsid w:val="00C711BF"/>
    <w:rsid w:val="00C71354"/>
    <w:rsid w:val="00C72BBC"/>
    <w:rsid w:val="00C74E52"/>
    <w:rsid w:val="00C758FD"/>
    <w:rsid w:val="00C75C9C"/>
    <w:rsid w:val="00C87E94"/>
    <w:rsid w:val="00C9253E"/>
    <w:rsid w:val="00CA4730"/>
    <w:rsid w:val="00CA47CD"/>
    <w:rsid w:val="00CA7014"/>
    <w:rsid w:val="00CA7AF3"/>
    <w:rsid w:val="00CB3510"/>
    <w:rsid w:val="00CB3BCD"/>
    <w:rsid w:val="00CC0FE3"/>
    <w:rsid w:val="00CC3CFD"/>
    <w:rsid w:val="00CC479E"/>
    <w:rsid w:val="00CC6DB4"/>
    <w:rsid w:val="00CC72FA"/>
    <w:rsid w:val="00CC77FE"/>
    <w:rsid w:val="00CE0F97"/>
    <w:rsid w:val="00CE2940"/>
    <w:rsid w:val="00CE2B70"/>
    <w:rsid w:val="00CE5021"/>
    <w:rsid w:val="00CE70DD"/>
    <w:rsid w:val="00CE7B5E"/>
    <w:rsid w:val="00CF06A0"/>
    <w:rsid w:val="00CF0A93"/>
    <w:rsid w:val="00CF405E"/>
    <w:rsid w:val="00D00C06"/>
    <w:rsid w:val="00D03C0C"/>
    <w:rsid w:val="00D071C4"/>
    <w:rsid w:val="00D079A9"/>
    <w:rsid w:val="00D13668"/>
    <w:rsid w:val="00D15414"/>
    <w:rsid w:val="00D15F40"/>
    <w:rsid w:val="00D16E81"/>
    <w:rsid w:val="00D17F38"/>
    <w:rsid w:val="00D22F55"/>
    <w:rsid w:val="00D23372"/>
    <w:rsid w:val="00D23456"/>
    <w:rsid w:val="00D23624"/>
    <w:rsid w:val="00D2390C"/>
    <w:rsid w:val="00D241B7"/>
    <w:rsid w:val="00D24623"/>
    <w:rsid w:val="00D25C48"/>
    <w:rsid w:val="00D25E8B"/>
    <w:rsid w:val="00D30521"/>
    <w:rsid w:val="00D32F08"/>
    <w:rsid w:val="00D3483E"/>
    <w:rsid w:val="00D3487D"/>
    <w:rsid w:val="00D35F74"/>
    <w:rsid w:val="00D36F32"/>
    <w:rsid w:val="00D400B3"/>
    <w:rsid w:val="00D51A89"/>
    <w:rsid w:val="00D5235D"/>
    <w:rsid w:val="00D526F5"/>
    <w:rsid w:val="00D6186F"/>
    <w:rsid w:val="00D65741"/>
    <w:rsid w:val="00D66D92"/>
    <w:rsid w:val="00D751B0"/>
    <w:rsid w:val="00D7673C"/>
    <w:rsid w:val="00D8450B"/>
    <w:rsid w:val="00D84AF1"/>
    <w:rsid w:val="00D8562D"/>
    <w:rsid w:val="00D87FB4"/>
    <w:rsid w:val="00D94104"/>
    <w:rsid w:val="00D957E3"/>
    <w:rsid w:val="00D95B47"/>
    <w:rsid w:val="00DA0288"/>
    <w:rsid w:val="00DA2186"/>
    <w:rsid w:val="00DA4570"/>
    <w:rsid w:val="00DA523D"/>
    <w:rsid w:val="00DA53DC"/>
    <w:rsid w:val="00DA6DC0"/>
    <w:rsid w:val="00DA7656"/>
    <w:rsid w:val="00DB26C4"/>
    <w:rsid w:val="00DB36AA"/>
    <w:rsid w:val="00DB791C"/>
    <w:rsid w:val="00DC01E8"/>
    <w:rsid w:val="00DC14E5"/>
    <w:rsid w:val="00DC2289"/>
    <w:rsid w:val="00DC7054"/>
    <w:rsid w:val="00DC7B1C"/>
    <w:rsid w:val="00DC7D62"/>
    <w:rsid w:val="00DD3DD8"/>
    <w:rsid w:val="00DD6194"/>
    <w:rsid w:val="00DD7324"/>
    <w:rsid w:val="00DE2751"/>
    <w:rsid w:val="00DE2929"/>
    <w:rsid w:val="00DE6759"/>
    <w:rsid w:val="00DE7137"/>
    <w:rsid w:val="00DE78D2"/>
    <w:rsid w:val="00DF555B"/>
    <w:rsid w:val="00E02137"/>
    <w:rsid w:val="00E048DF"/>
    <w:rsid w:val="00E05132"/>
    <w:rsid w:val="00E10A7B"/>
    <w:rsid w:val="00E11291"/>
    <w:rsid w:val="00E161E4"/>
    <w:rsid w:val="00E20466"/>
    <w:rsid w:val="00E2133C"/>
    <w:rsid w:val="00E27128"/>
    <w:rsid w:val="00E331E1"/>
    <w:rsid w:val="00E33D13"/>
    <w:rsid w:val="00E356F5"/>
    <w:rsid w:val="00E35A05"/>
    <w:rsid w:val="00E37B92"/>
    <w:rsid w:val="00E53036"/>
    <w:rsid w:val="00E569E0"/>
    <w:rsid w:val="00E62AF7"/>
    <w:rsid w:val="00E65834"/>
    <w:rsid w:val="00E664FF"/>
    <w:rsid w:val="00E7109A"/>
    <w:rsid w:val="00E71290"/>
    <w:rsid w:val="00E71CC4"/>
    <w:rsid w:val="00E72523"/>
    <w:rsid w:val="00E7409D"/>
    <w:rsid w:val="00E75B3D"/>
    <w:rsid w:val="00E77281"/>
    <w:rsid w:val="00E850A8"/>
    <w:rsid w:val="00E868C8"/>
    <w:rsid w:val="00E86BE6"/>
    <w:rsid w:val="00E9254B"/>
    <w:rsid w:val="00E92AD6"/>
    <w:rsid w:val="00E93C24"/>
    <w:rsid w:val="00EA053F"/>
    <w:rsid w:val="00EA27BB"/>
    <w:rsid w:val="00EA3E39"/>
    <w:rsid w:val="00EB0EB1"/>
    <w:rsid w:val="00EB2539"/>
    <w:rsid w:val="00EB2A98"/>
    <w:rsid w:val="00EB5698"/>
    <w:rsid w:val="00EB57B9"/>
    <w:rsid w:val="00EB59D6"/>
    <w:rsid w:val="00EB61BE"/>
    <w:rsid w:val="00EC592B"/>
    <w:rsid w:val="00EC6A39"/>
    <w:rsid w:val="00EC72ED"/>
    <w:rsid w:val="00ED089C"/>
    <w:rsid w:val="00ED6543"/>
    <w:rsid w:val="00EE21A9"/>
    <w:rsid w:val="00EE3F6C"/>
    <w:rsid w:val="00EE4751"/>
    <w:rsid w:val="00EF0AF4"/>
    <w:rsid w:val="00EF225A"/>
    <w:rsid w:val="00EF6427"/>
    <w:rsid w:val="00F008CB"/>
    <w:rsid w:val="00F01DDA"/>
    <w:rsid w:val="00F020DA"/>
    <w:rsid w:val="00F04AAF"/>
    <w:rsid w:val="00F0712E"/>
    <w:rsid w:val="00F104AD"/>
    <w:rsid w:val="00F114B9"/>
    <w:rsid w:val="00F1156F"/>
    <w:rsid w:val="00F11AFF"/>
    <w:rsid w:val="00F11C4F"/>
    <w:rsid w:val="00F1360F"/>
    <w:rsid w:val="00F13F7B"/>
    <w:rsid w:val="00F15215"/>
    <w:rsid w:val="00F1551C"/>
    <w:rsid w:val="00F16214"/>
    <w:rsid w:val="00F16879"/>
    <w:rsid w:val="00F2693C"/>
    <w:rsid w:val="00F270F1"/>
    <w:rsid w:val="00F3462F"/>
    <w:rsid w:val="00F3465F"/>
    <w:rsid w:val="00F350BF"/>
    <w:rsid w:val="00F351F3"/>
    <w:rsid w:val="00F35848"/>
    <w:rsid w:val="00F35DF4"/>
    <w:rsid w:val="00F373D1"/>
    <w:rsid w:val="00F417B9"/>
    <w:rsid w:val="00F42F31"/>
    <w:rsid w:val="00F43C52"/>
    <w:rsid w:val="00F47B89"/>
    <w:rsid w:val="00F50219"/>
    <w:rsid w:val="00F5101D"/>
    <w:rsid w:val="00F51523"/>
    <w:rsid w:val="00F523FC"/>
    <w:rsid w:val="00F5344E"/>
    <w:rsid w:val="00F54DF5"/>
    <w:rsid w:val="00F615AA"/>
    <w:rsid w:val="00F619A8"/>
    <w:rsid w:val="00F665DA"/>
    <w:rsid w:val="00F671B6"/>
    <w:rsid w:val="00F75120"/>
    <w:rsid w:val="00F75209"/>
    <w:rsid w:val="00F75BA8"/>
    <w:rsid w:val="00F76EDB"/>
    <w:rsid w:val="00F81254"/>
    <w:rsid w:val="00F82772"/>
    <w:rsid w:val="00F83BCA"/>
    <w:rsid w:val="00F8606C"/>
    <w:rsid w:val="00F86735"/>
    <w:rsid w:val="00F91534"/>
    <w:rsid w:val="00F919B2"/>
    <w:rsid w:val="00F93F51"/>
    <w:rsid w:val="00F94C1E"/>
    <w:rsid w:val="00F96B49"/>
    <w:rsid w:val="00F97D32"/>
    <w:rsid w:val="00FA0E83"/>
    <w:rsid w:val="00FA1DE8"/>
    <w:rsid w:val="00FA7520"/>
    <w:rsid w:val="00FB048C"/>
    <w:rsid w:val="00FB5A73"/>
    <w:rsid w:val="00FB7C23"/>
    <w:rsid w:val="00FC4C7B"/>
    <w:rsid w:val="00FD149D"/>
    <w:rsid w:val="00FD5153"/>
    <w:rsid w:val="00FD769D"/>
    <w:rsid w:val="00FE1C4D"/>
    <w:rsid w:val="00FE423A"/>
    <w:rsid w:val="00FE514B"/>
    <w:rsid w:val="00FE5C9C"/>
    <w:rsid w:val="00FF2069"/>
    <w:rsid w:val="00FF246B"/>
    <w:rsid w:val="00FF4078"/>
    <w:rsid w:val="00FF4A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09B31"/>
  <w15:chartTrackingRefBased/>
  <w15:docId w15:val="{1FE2F476-4344-A644-BC2B-295E785A6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B01"/>
    <w:rPr>
      <w:rFonts w:ascii="Times New Roman" w:eastAsia="Times New Roman" w:hAnsi="Times New Roman"/>
      <w:sz w:val="24"/>
      <w:szCs w:val="24"/>
    </w:rPr>
  </w:style>
  <w:style w:type="paragraph" w:styleId="Heading1">
    <w:name w:val="heading 1"/>
    <w:basedOn w:val="Normal"/>
    <w:next w:val="Normal"/>
    <w:link w:val="Heading1Char"/>
    <w:qFormat/>
    <w:rsid w:val="00803B01"/>
    <w:pPr>
      <w:keepNext/>
      <w:keepLines/>
      <w:spacing w:before="360" w:after="80"/>
      <w:outlineLvl w:val="0"/>
    </w:pPr>
    <w:rPr>
      <w:rFonts w:ascii="Calibri Light" w:hAnsi="Calibri Light"/>
      <w:color w:val="2F5496"/>
      <w:sz w:val="40"/>
      <w:szCs w:val="40"/>
    </w:rPr>
  </w:style>
  <w:style w:type="paragraph" w:styleId="Heading2">
    <w:name w:val="heading 2"/>
    <w:basedOn w:val="Normal"/>
    <w:next w:val="Normal"/>
    <w:link w:val="Heading2Char"/>
    <w:unhideWhenUsed/>
    <w:qFormat/>
    <w:rsid w:val="00803B01"/>
    <w:pPr>
      <w:keepNext/>
      <w:keepLines/>
      <w:spacing w:before="160" w:after="80"/>
      <w:outlineLvl w:val="1"/>
    </w:pPr>
    <w:rPr>
      <w:rFonts w:ascii="Calibri Light" w:hAnsi="Calibri Light"/>
      <w:color w:val="2F5496"/>
      <w:sz w:val="32"/>
      <w:szCs w:val="32"/>
    </w:rPr>
  </w:style>
  <w:style w:type="paragraph" w:styleId="Heading3">
    <w:name w:val="heading 3"/>
    <w:basedOn w:val="Normal"/>
    <w:next w:val="Normal"/>
    <w:link w:val="Heading3Char"/>
    <w:uiPriority w:val="9"/>
    <w:semiHidden/>
    <w:unhideWhenUsed/>
    <w:qFormat/>
    <w:rsid w:val="00803B01"/>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rsid w:val="00803B01"/>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rsid w:val="00803B01"/>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rsid w:val="00803B01"/>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803B01"/>
    <w:pPr>
      <w:keepNext/>
      <w:keepLines/>
      <w:spacing w:before="40"/>
      <w:outlineLvl w:val="6"/>
    </w:pPr>
    <w:rPr>
      <w:color w:val="595959"/>
    </w:rPr>
  </w:style>
  <w:style w:type="paragraph" w:styleId="Heading8">
    <w:name w:val="heading 8"/>
    <w:basedOn w:val="Normal"/>
    <w:next w:val="Normal"/>
    <w:link w:val="Heading8Char"/>
    <w:uiPriority w:val="9"/>
    <w:semiHidden/>
    <w:unhideWhenUsed/>
    <w:qFormat/>
    <w:rsid w:val="00803B01"/>
    <w:pPr>
      <w:keepNext/>
      <w:keepLines/>
      <w:outlineLvl w:val="7"/>
    </w:pPr>
    <w:rPr>
      <w:i/>
      <w:iCs/>
      <w:color w:val="272727"/>
    </w:rPr>
  </w:style>
  <w:style w:type="paragraph" w:styleId="Heading9">
    <w:name w:val="heading 9"/>
    <w:basedOn w:val="Normal"/>
    <w:next w:val="Normal"/>
    <w:link w:val="Heading9Char"/>
    <w:uiPriority w:val="9"/>
    <w:semiHidden/>
    <w:unhideWhenUsed/>
    <w:qFormat/>
    <w:rsid w:val="00803B01"/>
    <w:pPr>
      <w:keepNext/>
      <w:keepLines/>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3B01"/>
    <w:rPr>
      <w:rFonts w:ascii="Calibri Light" w:eastAsia="Times New Roman" w:hAnsi="Calibri Light" w:cs="Times New Roman"/>
      <w:color w:val="2F5496"/>
      <w:sz w:val="40"/>
      <w:szCs w:val="40"/>
    </w:rPr>
  </w:style>
  <w:style w:type="character" w:customStyle="1" w:styleId="Heading2Char">
    <w:name w:val="Heading 2 Char"/>
    <w:link w:val="Heading2"/>
    <w:uiPriority w:val="9"/>
    <w:rsid w:val="00803B01"/>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803B01"/>
    <w:rPr>
      <w:rFonts w:ascii="Times New Roman" w:eastAsia="Times New Roman" w:hAnsi="Times New Roman" w:cs="Times New Roman"/>
      <w:color w:val="2F5496"/>
      <w:sz w:val="28"/>
      <w:szCs w:val="28"/>
    </w:rPr>
  </w:style>
  <w:style w:type="character" w:customStyle="1" w:styleId="Heading4Char">
    <w:name w:val="Heading 4 Char"/>
    <w:link w:val="Heading4"/>
    <w:uiPriority w:val="9"/>
    <w:semiHidden/>
    <w:rsid w:val="00803B01"/>
    <w:rPr>
      <w:rFonts w:ascii="Times New Roman" w:eastAsia="Times New Roman" w:hAnsi="Times New Roman" w:cs="Times New Roman"/>
      <w:i/>
      <w:iCs/>
      <w:color w:val="2F5496"/>
    </w:rPr>
  </w:style>
  <w:style w:type="character" w:customStyle="1" w:styleId="Heading5Char">
    <w:name w:val="Heading 5 Char"/>
    <w:link w:val="Heading5"/>
    <w:uiPriority w:val="9"/>
    <w:semiHidden/>
    <w:rsid w:val="00803B01"/>
    <w:rPr>
      <w:rFonts w:ascii="Times New Roman" w:eastAsia="Times New Roman" w:hAnsi="Times New Roman" w:cs="Times New Roman"/>
      <w:color w:val="2F5496"/>
    </w:rPr>
  </w:style>
  <w:style w:type="character" w:customStyle="1" w:styleId="Heading6Char">
    <w:name w:val="Heading 6 Char"/>
    <w:link w:val="Heading6"/>
    <w:uiPriority w:val="9"/>
    <w:semiHidden/>
    <w:rsid w:val="00803B01"/>
    <w:rPr>
      <w:rFonts w:ascii="Times New Roman" w:eastAsia="Times New Roman" w:hAnsi="Times New Roman" w:cs="Times New Roman"/>
      <w:i/>
      <w:iCs/>
      <w:color w:val="595959"/>
    </w:rPr>
  </w:style>
  <w:style w:type="character" w:customStyle="1" w:styleId="Heading7Char">
    <w:name w:val="Heading 7 Char"/>
    <w:link w:val="Heading7"/>
    <w:uiPriority w:val="9"/>
    <w:semiHidden/>
    <w:rsid w:val="00803B01"/>
    <w:rPr>
      <w:rFonts w:ascii="Times New Roman" w:eastAsia="Times New Roman" w:hAnsi="Times New Roman" w:cs="Times New Roman"/>
      <w:color w:val="595959"/>
    </w:rPr>
  </w:style>
  <w:style w:type="character" w:customStyle="1" w:styleId="Heading8Char">
    <w:name w:val="Heading 8 Char"/>
    <w:link w:val="Heading8"/>
    <w:uiPriority w:val="9"/>
    <w:semiHidden/>
    <w:rsid w:val="00803B01"/>
    <w:rPr>
      <w:rFonts w:ascii="Times New Roman" w:eastAsia="Times New Roman" w:hAnsi="Times New Roman" w:cs="Times New Roman"/>
      <w:i/>
      <w:iCs/>
      <w:color w:val="272727"/>
    </w:rPr>
  </w:style>
  <w:style w:type="character" w:customStyle="1" w:styleId="Heading9Char">
    <w:name w:val="Heading 9 Char"/>
    <w:link w:val="Heading9"/>
    <w:uiPriority w:val="9"/>
    <w:semiHidden/>
    <w:rsid w:val="00803B01"/>
    <w:rPr>
      <w:rFonts w:ascii="Times New Roman" w:eastAsia="Times New Roman" w:hAnsi="Times New Roman" w:cs="Times New Roman"/>
      <w:color w:val="272727"/>
    </w:rPr>
  </w:style>
  <w:style w:type="paragraph" w:styleId="Title">
    <w:name w:val="Title"/>
    <w:basedOn w:val="Normal"/>
    <w:next w:val="Normal"/>
    <w:link w:val="TitleChar"/>
    <w:uiPriority w:val="10"/>
    <w:qFormat/>
    <w:rsid w:val="00803B01"/>
    <w:pPr>
      <w:spacing w:after="80"/>
      <w:contextualSpacing/>
    </w:pPr>
    <w:rPr>
      <w:rFonts w:ascii="Calibri Light" w:hAnsi="Calibri Light"/>
      <w:spacing w:val="-10"/>
      <w:kern w:val="28"/>
      <w:sz w:val="56"/>
      <w:szCs w:val="56"/>
    </w:rPr>
  </w:style>
  <w:style w:type="character" w:customStyle="1" w:styleId="TitleChar">
    <w:name w:val="Title Char"/>
    <w:link w:val="Title"/>
    <w:uiPriority w:val="10"/>
    <w:rsid w:val="00803B01"/>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803B01"/>
    <w:pPr>
      <w:numPr>
        <w:ilvl w:val="1"/>
      </w:numPr>
      <w:spacing w:after="160"/>
    </w:pPr>
    <w:rPr>
      <w:color w:val="595959"/>
      <w:spacing w:val="15"/>
      <w:sz w:val="28"/>
      <w:szCs w:val="28"/>
    </w:rPr>
  </w:style>
  <w:style w:type="character" w:customStyle="1" w:styleId="SubtitleChar">
    <w:name w:val="Subtitle Char"/>
    <w:link w:val="Subtitle"/>
    <w:uiPriority w:val="11"/>
    <w:rsid w:val="00803B01"/>
    <w:rPr>
      <w:rFonts w:ascii="Times New Roman" w:eastAsia="Times New Roman" w:hAnsi="Times New Roman" w:cs="Times New Roman"/>
      <w:color w:val="595959"/>
      <w:spacing w:val="15"/>
      <w:sz w:val="28"/>
      <w:szCs w:val="28"/>
    </w:rPr>
  </w:style>
  <w:style w:type="paragraph" w:styleId="Quote">
    <w:name w:val="Quote"/>
    <w:basedOn w:val="Normal"/>
    <w:next w:val="Normal"/>
    <w:link w:val="QuoteChar"/>
    <w:uiPriority w:val="29"/>
    <w:qFormat/>
    <w:rsid w:val="00803B01"/>
    <w:pPr>
      <w:spacing w:before="160" w:after="160"/>
      <w:jc w:val="center"/>
    </w:pPr>
    <w:rPr>
      <w:i/>
      <w:iCs/>
      <w:color w:val="404040"/>
    </w:rPr>
  </w:style>
  <w:style w:type="character" w:customStyle="1" w:styleId="QuoteChar">
    <w:name w:val="Quote Char"/>
    <w:link w:val="Quote"/>
    <w:uiPriority w:val="29"/>
    <w:rsid w:val="00803B01"/>
    <w:rPr>
      <w:rFonts w:ascii="Times New Roman" w:eastAsia="Times New Roman" w:hAnsi="Times New Roman" w:cs="Times New Roman"/>
      <w:i/>
      <w:iCs/>
      <w:color w:val="404040"/>
    </w:rPr>
  </w:style>
  <w:style w:type="paragraph" w:styleId="ListParagraph">
    <w:name w:val="List Paragraph"/>
    <w:basedOn w:val="Normal"/>
    <w:uiPriority w:val="34"/>
    <w:qFormat/>
    <w:rsid w:val="00803B01"/>
    <w:pPr>
      <w:ind w:left="720"/>
      <w:contextualSpacing/>
    </w:pPr>
  </w:style>
  <w:style w:type="character" w:styleId="IntenseEmphasis">
    <w:name w:val="Intense Emphasis"/>
    <w:uiPriority w:val="21"/>
    <w:qFormat/>
    <w:rsid w:val="00803B01"/>
    <w:rPr>
      <w:i/>
      <w:iCs/>
      <w:color w:val="2F5496"/>
    </w:rPr>
  </w:style>
  <w:style w:type="paragraph" w:styleId="IntenseQuote">
    <w:name w:val="Intense Quote"/>
    <w:basedOn w:val="Normal"/>
    <w:next w:val="Normal"/>
    <w:link w:val="IntenseQuoteChar"/>
    <w:uiPriority w:val="30"/>
    <w:qFormat/>
    <w:rsid w:val="00803B01"/>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803B01"/>
    <w:rPr>
      <w:rFonts w:ascii="Times New Roman" w:eastAsia="Times New Roman" w:hAnsi="Times New Roman" w:cs="Times New Roman"/>
      <w:i/>
      <w:iCs/>
      <w:color w:val="2F5496"/>
    </w:rPr>
  </w:style>
  <w:style w:type="character" w:styleId="IntenseReference">
    <w:name w:val="Intense Reference"/>
    <w:uiPriority w:val="32"/>
    <w:qFormat/>
    <w:rsid w:val="00803B01"/>
    <w:rPr>
      <w:b/>
      <w:bCs/>
      <w:smallCaps/>
      <w:color w:val="2F5496"/>
      <w:spacing w:val="5"/>
    </w:rPr>
  </w:style>
  <w:style w:type="character" w:styleId="Hyperlink">
    <w:name w:val="Hyperlink"/>
    <w:rsid w:val="00803B01"/>
    <w:rPr>
      <w:strike w:val="0"/>
      <w:dstrike w:val="0"/>
      <w:color w:val="000066"/>
      <w:u w:val="none"/>
      <w:effect w:val="none"/>
    </w:rPr>
  </w:style>
  <w:style w:type="paragraph" w:styleId="BalloonText">
    <w:name w:val="Balloon Text"/>
    <w:basedOn w:val="Normal"/>
    <w:link w:val="BalloonTextChar"/>
    <w:semiHidden/>
    <w:rsid w:val="00803B01"/>
    <w:rPr>
      <w:rFonts w:ascii="Tahoma" w:hAnsi="Tahoma" w:cs="Tahoma"/>
      <w:sz w:val="16"/>
      <w:szCs w:val="16"/>
    </w:rPr>
  </w:style>
  <w:style w:type="character" w:customStyle="1" w:styleId="BalloonTextChar">
    <w:name w:val="Balloon Text Char"/>
    <w:link w:val="BalloonText"/>
    <w:semiHidden/>
    <w:rsid w:val="00803B01"/>
    <w:rPr>
      <w:rFonts w:ascii="Tahoma" w:eastAsia="Times New Roman" w:hAnsi="Tahoma" w:cs="Tahoma"/>
      <w:sz w:val="16"/>
      <w:szCs w:val="16"/>
    </w:rPr>
  </w:style>
  <w:style w:type="character" w:styleId="CommentReference">
    <w:name w:val="annotation reference"/>
    <w:semiHidden/>
    <w:rsid w:val="00803B01"/>
    <w:rPr>
      <w:sz w:val="16"/>
      <w:szCs w:val="16"/>
    </w:rPr>
  </w:style>
  <w:style w:type="paragraph" w:styleId="CommentText">
    <w:name w:val="annotation text"/>
    <w:basedOn w:val="Normal"/>
    <w:link w:val="CommentTextChar"/>
    <w:semiHidden/>
    <w:rsid w:val="00803B01"/>
    <w:rPr>
      <w:sz w:val="20"/>
      <w:szCs w:val="20"/>
    </w:rPr>
  </w:style>
  <w:style w:type="character" w:customStyle="1" w:styleId="CommentTextChar">
    <w:name w:val="Comment Text Char"/>
    <w:link w:val="CommentText"/>
    <w:semiHidden/>
    <w:rsid w:val="00803B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03B01"/>
    <w:rPr>
      <w:b/>
      <w:bCs/>
    </w:rPr>
  </w:style>
  <w:style w:type="character" w:customStyle="1" w:styleId="CommentSubjectChar">
    <w:name w:val="Comment Subject Char"/>
    <w:link w:val="CommentSubject"/>
    <w:semiHidden/>
    <w:rsid w:val="00803B01"/>
    <w:rPr>
      <w:rFonts w:ascii="Times New Roman" w:eastAsia="Times New Roman" w:hAnsi="Times New Roman" w:cs="Times New Roman"/>
      <w:b/>
      <w:bCs/>
      <w:sz w:val="20"/>
      <w:szCs w:val="20"/>
    </w:rPr>
  </w:style>
  <w:style w:type="table" w:styleId="TableGrid">
    <w:name w:val="Table Grid"/>
    <w:basedOn w:val="TableNormal"/>
    <w:rsid w:val="00803B0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
    <w:name w:val="src"/>
    <w:basedOn w:val="DefaultParagraphFont"/>
    <w:rsid w:val="00803B01"/>
  </w:style>
  <w:style w:type="character" w:customStyle="1" w:styleId="jrnl">
    <w:name w:val="jrnl"/>
    <w:basedOn w:val="DefaultParagraphFont"/>
    <w:rsid w:val="00803B01"/>
  </w:style>
  <w:style w:type="paragraph" w:styleId="NormalWeb">
    <w:name w:val="Normal (Web)"/>
    <w:basedOn w:val="Normal"/>
    <w:uiPriority w:val="99"/>
    <w:rsid w:val="00803B01"/>
    <w:pPr>
      <w:spacing w:before="100" w:beforeAutospacing="1" w:after="100" w:afterAutospacing="1"/>
    </w:pPr>
    <w:rPr>
      <w:color w:val="000000"/>
    </w:rPr>
  </w:style>
  <w:style w:type="paragraph" w:customStyle="1" w:styleId="Title1">
    <w:name w:val="Title1"/>
    <w:basedOn w:val="Normal"/>
    <w:rsid w:val="00803B01"/>
    <w:pPr>
      <w:spacing w:before="100" w:beforeAutospacing="1" w:after="100" w:afterAutospacing="1"/>
    </w:pPr>
  </w:style>
  <w:style w:type="paragraph" w:customStyle="1" w:styleId="desc">
    <w:name w:val="desc"/>
    <w:basedOn w:val="Normal"/>
    <w:rsid w:val="00803B01"/>
    <w:pPr>
      <w:spacing w:before="100" w:beforeAutospacing="1" w:after="100" w:afterAutospacing="1"/>
    </w:pPr>
  </w:style>
  <w:style w:type="paragraph" w:customStyle="1" w:styleId="details">
    <w:name w:val="details"/>
    <w:basedOn w:val="Normal"/>
    <w:rsid w:val="00803B01"/>
    <w:pPr>
      <w:spacing w:before="100" w:beforeAutospacing="1" w:after="100" w:afterAutospacing="1"/>
    </w:pPr>
  </w:style>
  <w:style w:type="character" w:customStyle="1" w:styleId="highlight">
    <w:name w:val="highlight"/>
    <w:rsid w:val="00803B01"/>
  </w:style>
  <w:style w:type="character" w:styleId="Strong">
    <w:name w:val="Strong"/>
    <w:uiPriority w:val="22"/>
    <w:qFormat/>
    <w:rsid w:val="00803B01"/>
    <w:rPr>
      <w:b/>
      <w:bCs/>
    </w:rPr>
  </w:style>
  <w:style w:type="character" w:styleId="Emphasis">
    <w:name w:val="Emphasis"/>
    <w:uiPriority w:val="20"/>
    <w:qFormat/>
    <w:rsid w:val="00803B01"/>
    <w:rPr>
      <w:i/>
      <w:iCs/>
    </w:rPr>
  </w:style>
  <w:style w:type="paragraph" w:customStyle="1" w:styleId="Title2">
    <w:name w:val="Title2"/>
    <w:basedOn w:val="Normal"/>
    <w:rsid w:val="00803B01"/>
    <w:pPr>
      <w:spacing w:before="100" w:beforeAutospacing="1" w:after="100" w:afterAutospacing="1"/>
    </w:pPr>
  </w:style>
  <w:style w:type="character" w:customStyle="1" w:styleId="apple-converted-space">
    <w:name w:val="apple-converted-space"/>
    <w:rsid w:val="00803B01"/>
  </w:style>
  <w:style w:type="character" w:customStyle="1" w:styleId="highlight2">
    <w:name w:val="highlight2"/>
    <w:rsid w:val="00803B01"/>
  </w:style>
  <w:style w:type="paragraph" w:customStyle="1" w:styleId="title10">
    <w:name w:val="title1"/>
    <w:basedOn w:val="Normal"/>
    <w:rsid w:val="00803B01"/>
    <w:rPr>
      <w:sz w:val="27"/>
      <w:szCs w:val="27"/>
    </w:rPr>
  </w:style>
  <w:style w:type="character" w:customStyle="1" w:styleId="xbe">
    <w:name w:val="_xbe"/>
    <w:rsid w:val="00803B01"/>
  </w:style>
  <w:style w:type="character" w:customStyle="1" w:styleId="slug-vol1">
    <w:name w:val="slug-vol1"/>
    <w:rsid w:val="00803B01"/>
    <w:rPr>
      <w:b/>
      <w:bCs/>
    </w:rPr>
  </w:style>
  <w:style w:type="character" w:customStyle="1" w:styleId="citationref">
    <w:name w:val="citationref"/>
    <w:rsid w:val="00803B01"/>
  </w:style>
  <w:style w:type="paragraph" w:customStyle="1" w:styleId="desc2">
    <w:name w:val="desc2"/>
    <w:basedOn w:val="Normal"/>
    <w:rsid w:val="00803B01"/>
    <w:rPr>
      <w:sz w:val="26"/>
      <w:szCs w:val="26"/>
    </w:rPr>
  </w:style>
  <w:style w:type="paragraph" w:customStyle="1" w:styleId="details1">
    <w:name w:val="details1"/>
    <w:basedOn w:val="Normal"/>
    <w:rsid w:val="00803B01"/>
    <w:rPr>
      <w:sz w:val="22"/>
      <w:szCs w:val="22"/>
    </w:rPr>
  </w:style>
  <w:style w:type="paragraph" w:styleId="Header">
    <w:name w:val="header"/>
    <w:basedOn w:val="Normal"/>
    <w:link w:val="HeaderChar"/>
    <w:rsid w:val="00803B01"/>
    <w:pPr>
      <w:tabs>
        <w:tab w:val="center" w:pos="4680"/>
        <w:tab w:val="right" w:pos="9360"/>
      </w:tabs>
    </w:pPr>
  </w:style>
  <w:style w:type="character" w:customStyle="1" w:styleId="HeaderChar">
    <w:name w:val="Header Char"/>
    <w:link w:val="Header"/>
    <w:rsid w:val="00803B01"/>
    <w:rPr>
      <w:rFonts w:ascii="Times New Roman" w:eastAsia="Times New Roman" w:hAnsi="Times New Roman" w:cs="Times New Roman"/>
    </w:rPr>
  </w:style>
  <w:style w:type="paragraph" w:styleId="Footer">
    <w:name w:val="footer"/>
    <w:basedOn w:val="Normal"/>
    <w:link w:val="FooterChar"/>
    <w:rsid w:val="00803B01"/>
    <w:pPr>
      <w:tabs>
        <w:tab w:val="center" w:pos="4680"/>
        <w:tab w:val="right" w:pos="9360"/>
      </w:tabs>
    </w:pPr>
  </w:style>
  <w:style w:type="character" w:customStyle="1" w:styleId="FooterChar">
    <w:name w:val="Footer Char"/>
    <w:link w:val="Footer"/>
    <w:rsid w:val="00803B01"/>
    <w:rPr>
      <w:rFonts w:ascii="Times New Roman" w:eastAsia="Times New Roman" w:hAnsi="Times New Roman" w:cs="Times New Roman"/>
    </w:rPr>
  </w:style>
  <w:style w:type="paragraph" w:customStyle="1" w:styleId="EndNoteBibliographyTitle">
    <w:name w:val="EndNote Bibliography Title"/>
    <w:basedOn w:val="Normal"/>
    <w:link w:val="EndNoteBibliographyTitleChar"/>
    <w:rsid w:val="00803B01"/>
    <w:pPr>
      <w:jc w:val="center"/>
    </w:pPr>
    <w:rPr>
      <w:noProof/>
    </w:rPr>
  </w:style>
  <w:style w:type="character" w:customStyle="1" w:styleId="EndNoteBibliographyTitleChar">
    <w:name w:val="EndNote Bibliography Title Char"/>
    <w:link w:val="EndNoteBibliographyTitle"/>
    <w:rsid w:val="00803B01"/>
    <w:rPr>
      <w:rFonts w:ascii="Times New Roman" w:eastAsia="Times New Roman" w:hAnsi="Times New Roman" w:cs="Times New Roman"/>
      <w:noProof/>
    </w:rPr>
  </w:style>
  <w:style w:type="paragraph" w:customStyle="1" w:styleId="EndNoteBibliography">
    <w:name w:val="EndNote Bibliography"/>
    <w:basedOn w:val="Normal"/>
    <w:link w:val="EndNoteBibliographyChar"/>
    <w:rsid w:val="00803B01"/>
    <w:rPr>
      <w:noProof/>
    </w:rPr>
  </w:style>
  <w:style w:type="character" w:customStyle="1" w:styleId="EndNoteBibliographyChar">
    <w:name w:val="EndNote Bibliography Char"/>
    <w:link w:val="EndNoteBibliography"/>
    <w:rsid w:val="00803B01"/>
    <w:rPr>
      <w:rFonts w:ascii="Times New Roman" w:eastAsia="Times New Roman" w:hAnsi="Times New Roman" w:cs="Times New Roman"/>
      <w:noProof/>
    </w:rPr>
  </w:style>
  <w:style w:type="paragraph" w:styleId="Revision">
    <w:name w:val="Revision"/>
    <w:hidden/>
    <w:uiPriority w:val="99"/>
    <w:semiHidden/>
    <w:rsid w:val="00803B01"/>
    <w:rPr>
      <w:rFonts w:ascii="Times New Roman" w:eastAsia="Times New Roman" w:hAnsi="Times New Roman"/>
      <w:sz w:val="24"/>
      <w:szCs w:val="24"/>
    </w:rPr>
  </w:style>
  <w:style w:type="character" w:styleId="FollowedHyperlink">
    <w:name w:val="FollowedHyperlink"/>
    <w:rsid w:val="00803B01"/>
    <w:rPr>
      <w:color w:val="954F72"/>
      <w:u w:val="single"/>
    </w:rPr>
  </w:style>
  <w:style w:type="character" w:styleId="PageNumber">
    <w:name w:val="page number"/>
    <w:rsid w:val="00803B01"/>
  </w:style>
  <w:style w:type="character" w:styleId="UnresolvedMention">
    <w:name w:val="Unresolved Mention"/>
    <w:uiPriority w:val="99"/>
    <w:semiHidden/>
    <w:unhideWhenUsed/>
    <w:rsid w:val="00803B01"/>
    <w:rPr>
      <w:color w:val="605E5C"/>
      <w:shd w:val="clear" w:color="auto" w:fill="E1DFDD"/>
    </w:rPr>
  </w:style>
  <w:style w:type="character" w:customStyle="1" w:styleId="anchor-text">
    <w:name w:val="anchor-text"/>
    <w:basedOn w:val="DefaultParagraphFont"/>
    <w:rsid w:val="004951B2"/>
  </w:style>
  <w:style w:type="paragraph" w:customStyle="1" w:styleId="c-bdnkfx">
    <w:name w:val="c-bdnkfx"/>
    <w:basedOn w:val="Normal"/>
    <w:rsid w:val="00675EA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www.ncbi.nlm.nih.gov/pubmed/17182655?ordinalpos=9&amp;itool=EntrezSystem2.PEntrez.Pubmed.Pubmed_ResultsPanel.Pubmed_DefaultReportPanel.Pubmed_RVDocSum" TargetMode="External"/><Relationship Id="rId47" Type="http://schemas.openxmlformats.org/officeDocument/2006/relationships/hyperlink" Target="http://www.ncbi.nlm.nih.gov/pubmed/17182655?ordinalpos=9&amp;itool=EntrezSystem2.PEntrez.Pubmed.Pubmed_ResultsPanel.Pubmed_DefaultReportPanel.Pubmed_RVDocSum" TargetMode="External"/><Relationship Id="rId63" Type="http://schemas.openxmlformats.org/officeDocument/2006/relationships/hyperlink" Target="http://www.ncbi.nlm.nih.gov/pubmed/17182655?ordinalpos=9&amp;itool=EntrezSystem2.PEntrez.Pubmed.Pubmed_ResultsPanel.Pubmed_DefaultReportPanel.Pubmed_RVDocSum" TargetMode="External"/><Relationship Id="rId68" Type="http://schemas.openxmlformats.org/officeDocument/2006/relationships/hyperlink" Target="javascript:AL_get(this,%20'jour',%20'Eur%20J%20Endocrinol.');"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ncbi.nlm.nih.gov/pubmed/17182655?ordinalpos=9&amp;itool=EntrezSystem2.PEntrez.Pubmed.Pubmed_ResultsPanel.Pubmed_DefaultReportPanel.Pubmed_RVDocSum" TargetMode="External"/><Relationship Id="rId40" Type="http://schemas.openxmlformats.org/officeDocument/2006/relationships/hyperlink" Target="http://www.ncbi.nlm.nih.gov/pubmed/17182655?ordinalpos=9&amp;itool=EntrezSystem2.PEntrez.Pubmed.Pubmed_ResultsPanel.Pubmed_DefaultReportPanel.Pubmed_RVDocSum" TargetMode="External"/><Relationship Id="rId45" Type="http://schemas.openxmlformats.org/officeDocument/2006/relationships/hyperlink" Target="http://www.ncbi.nlm.nih.gov/pubmed/17182655?ordinalpos=9&amp;itool=EntrezSystem2.PEntrez.Pubmed.Pubmed_ResultsPanel.Pubmed_DefaultReportPanel.Pubmed_RVDocSum" TargetMode="External"/><Relationship Id="rId53" Type="http://schemas.openxmlformats.org/officeDocument/2006/relationships/hyperlink" Target="http://www.ncbi.nlm.nih.gov/pubmed/17182655?ordinalpos=9&amp;itool=EntrezSystem2.PEntrez.Pubmed.Pubmed_ResultsPanel.Pubmed_DefaultReportPanel.Pubmed_RVDocSum" TargetMode="External"/><Relationship Id="rId58" Type="http://schemas.openxmlformats.org/officeDocument/2006/relationships/hyperlink" Target="http://www.ncbi.nlm.nih.gov/pubmed/17182655?ordinalpos=9&amp;itool=EntrezSystem2.PEntrez.Pubmed.Pubmed_ResultsPanel.Pubmed_DefaultReportPanel.Pubmed_RVDocSum" TargetMode="External"/><Relationship Id="rId66" Type="http://schemas.openxmlformats.org/officeDocument/2006/relationships/image" Target="media/image28.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ncbi.nlm.nih.gov/pubmed/17182655?ordinalpos=9&amp;itool=EntrezSystem2.PEntrez.Pubmed.Pubmed_ResultsPanel.Pubmed_DefaultReportPanel.Pubmed_RVDocSu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www.ncbi.nlm.nih.gov/pubmed/17182655?ordinalpos=9&amp;itool=EntrezSystem2.PEntrez.Pubmed.Pubmed_ResultsPanel.Pubmed_DefaultReportPanel.Pubmed_RVDocSum" TargetMode="External"/><Relationship Id="rId43" Type="http://schemas.openxmlformats.org/officeDocument/2006/relationships/hyperlink" Target="http://www.ncbi.nlm.nih.gov/pubmed/17182655?ordinalpos=9&amp;itool=EntrezSystem2.PEntrez.Pubmed.Pubmed_ResultsPanel.Pubmed_DefaultReportPanel.Pubmed_RVDocSum" TargetMode="External"/><Relationship Id="rId48" Type="http://schemas.openxmlformats.org/officeDocument/2006/relationships/hyperlink" Target="http://www.ncbi.nlm.nih.gov/pubmed/17182655?ordinalpos=9&amp;itool=EntrezSystem2.PEntrez.Pubmed.Pubmed_ResultsPanel.Pubmed_DefaultReportPanel.Pubmed_RVDocSum" TargetMode="External"/><Relationship Id="rId56" Type="http://schemas.openxmlformats.org/officeDocument/2006/relationships/hyperlink" Target="http://www.ncbi.nlm.nih.gov/pubmed/17182655?ordinalpos=9&amp;itool=EntrezSystem2.PEntrez.Pubmed.Pubmed_ResultsPanel.Pubmed_DefaultReportPanel.Pubmed_RVDocSum" TargetMode="External"/><Relationship Id="rId64" Type="http://schemas.openxmlformats.org/officeDocument/2006/relationships/hyperlink" Target="http://www.ncbi.nlm.nih.gov/pubmed/17182655?ordinalpos=9&amp;itool=EntrezSystem2.PEntrez.Pubmed.Pubmed_ResultsPanel.Pubmed_DefaultReportPanel.Pubmed_RVDocSum" TargetMode="External"/><Relationship Id="rId69"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hyperlink" Target="http://www.ncbi.nlm.nih.gov/pubmed/17182655?ordinalpos=9&amp;itool=EntrezSystem2.PEntrez.Pubmed.Pubmed_ResultsPanel.Pubmed_DefaultReportPanel.Pubmed_RVDocSum" TargetMode="External"/><Relationship Id="rId72" Type="http://schemas.openxmlformats.org/officeDocument/2006/relationships/hyperlink" Target="javascript:AL_get(this,%20'jour',%20'Eur%20J%20Endocrino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ncbi.nlm.nih.gov/pubmed/17182655?ordinalpos=9&amp;itool=EntrezSystem2.PEntrez.Pubmed.Pubmed_ResultsPanel.Pubmed_DefaultReportPanel.Pubmed_RVDocSum" TargetMode="External"/><Relationship Id="rId46" Type="http://schemas.openxmlformats.org/officeDocument/2006/relationships/hyperlink" Target="http://www.ncbi.nlm.nih.gov/pubmed/17182655?ordinalpos=9&amp;itool=EntrezSystem2.PEntrez.Pubmed.Pubmed_ResultsPanel.Pubmed_DefaultReportPanel.Pubmed_RVDocSum" TargetMode="External"/><Relationship Id="rId59" Type="http://schemas.openxmlformats.org/officeDocument/2006/relationships/hyperlink" Target="http://www.ncbi.nlm.nih.gov/pubmed/17182655?ordinalpos=9&amp;itool=EntrezSystem2.PEntrez.Pubmed.Pubmed_ResultsPanel.Pubmed_DefaultReportPanel.Pubmed_RVDocSum" TargetMode="External"/><Relationship Id="rId67" Type="http://schemas.openxmlformats.org/officeDocument/2006/relationships/hyperlink" Target="javascript:AL_get(this,%20'jour',%20'Hum%20Mol%20Genet.');" TargetMode="External"/><Relationship Id="rId20" Type="http://schemas.openxmlformats.org/officeDocument/2006/relationships/image" Target="media/image13.png"/><Relationship Id="rId41" Type="http://schemas.openxmlformats.org/officeDocument/2006/relationships/hyperlink" Target="http://www.ncbi.nlm.nih.gov/pubmed/17182655?ordinalpos=9&amp;itool=EntrezSystem2.PEntrez.Pubmed.Pubmed_ResultsPanel.Pubmed_DefaultReportPanel.Pubmed_RVDocSum" TargetMode="External"/><Relationship Id="rId54" Type="http://schemas.openxmlformats.org/officeDocument/2006/relationships/hyperlink" Target="http://www.ncbi.nlm.nih.gov/pubmed/17182655?ordinalpos=9&amp;itool=EntrezSystem2.PEntrez.Pubmed.Pubmed_ResultsPanel.Pubmed_DefaultReportPanel.Pubmed_RVDocSum" TargetMode="External"/><Relationship Id="rId62" Type="http://schemas.openxmlformats.org/officeDocument/2006/relationships/hyperlink" Target="http://www.ncbi.nlm.nih.gov/pubmed/17182655?ordinalpos=9&amp;itool=EntrezSystem2.PEntrez.Pubmed.Pubmed_ResultsPanel.Pubmed_DefaultReportPanel.Pubmed_RVDocSum" TargetMode="External"/><Relationship Id="rId70" Type="http://schemas.openxmlformats.org/officeDocument/2006/relationships/image" Target="media/image3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ncbi.nlm.nih.gov/pubmed/17182655?ordinalpos=9&amp;itool=EntrezSystem2.PEntrez.Pubmed.Pubmed_ResultsPanel.Pubmed_DefaultReportPanel.Pubmed_RVDocSum" TargetMode="External"/><Relationship Id="rId49" Type="http://schemas.openxmlformats.org/officeDocument/2006/relationships/hyperlink" Target="http://www.ncbi.nlm.nih.gov/pubmed/17182655?ordinalpos=9&amp;itool=EntrezSystem2.PEntrez.Pubmed.Pubmed_ResultsPanel.Pubmed_DefaultReportPanel.Pubmed_RVDocSum" TargetMode="External"/><Relationship Id="rId57" Type="http://schemas.openxmlformats.org/officeDocument/2006/relationships/hyperlink" Target="http://www.ncbi.nlm.nih.gov/pubmed/17182655?ordinalpos=9&amp;itool=EntrezSystem2.PEntrez.Pubmed.Pubmed_ResultsPanel.Pubmed_DefaultReportPanel.Pubmed_RVDocSu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ncbi.nlm.nih.gov/pubmed/17182655?ordinalpos=9&amp;itool=EntrezSystem2.PEntrez.Pubmed.Pubmed_ResultsPanel.Pubmed_DefaultReportPanel.Pubmed_RVDocSum" TargetMode="External"/><Relationship Id="rId52" Type="http://schemas.openxmlformats.org/officeDocument/2006/relationships/hyperlink" Target="http://www.ncbi.nlm.nih.gov/pubmed/17182655?ordinalpos=9&amp;itool=EntrezSystem2.PEntrez.Pubmed.Pubmed_ResultsPanel.Pubmed_DefaultReportPanel.Pubmed_RVDocSum" TargetMode="External"/><Relationship Id="rId60" Type="http://schemas.openxmlformats.org/officeDocument/2006/relationships/hyperlink" Target="http://www.ncbi.nlm.nih.gov/pubmed/17182655?ordinalpos=9&amp;itool=EntrezSystem2.PEntrez.Pubmed.Pubmed_ResultsPanel.Pubmed_DefaultReportPanel.Pubmed_RVDocSum" TargetMode="External"/><Relationship Id="rId65" Type="http://schemas.openxmlformats.org/officeDocument/2006/relationships/hyperlink" Target="http://www.ncbi.nlm.nih.gov/pubmed/17182655?ordinalpos=9&amp;itool=EntrezSystem2.PEntrez.Pubmed.Pubmed_ResultsPanel.Pubmed_DefaultReportPanel.Pubmed_RVDocSum"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ncbi.nlm.nih.gov/pubmed/17182655?ordinalpos=9&amp;itool=EntrezSystem2.PEntrez.Pubmed.Pubmed_ResultsPanel.Pubmed_DefaultReportPanel.Pubmed_RVDocSum" TargetMode="External"/><Relationship Id="rId34" Type="http://schemas.openxmlformats.org/officeDocument/2006/relationships/image" Target="media/image27.png"/><Relationship Id="rId50" Type="http://schemas.openxmlformats.org/officeDocument/2006/relationships/hyperlink" Target="http://www.ncbi.nlm.nih.gov/pubmed/17182655?ordinalpos=9&amp;itool=EntrezSystem2.PEntrez.Pubmed.Pubmed_ResultsPanel.Pubmed_DefaultReportPanel.Pubmed_RVDocSum" TargetMode="External"/><Relationship Id="rId55" Type="http://schemas.openxmlformats.org/officeDocument/2006/relationships/hyperlink" Target="http://www.ncbi.nlm.nih.gov/pubmed/17182655?ordinalpos=9&amp;itool=EntrezSystem2.PEntrez.Pubmed.Pubmed_ResultsPanel.Pubmed_DefaultReportPanel.Pubmed_RVDocSu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CB77C5-D691-A841-AFDB-207A95A33FD7}">
  <we:reference id="f5112914-51aa-49ee-8046-d9cf4a21d5a3" version="2.129.3.0" store="EXCatalog" storeType="EXCatalog"/>
  <we:alternateReferences>
    <we:reference id="WA200001361" version="2.129.3.0" store="en-US" storeType="OMEX"/>
  </we:alternateReferences>
  <we:properties>
    <we:property name="paperpal-document-id" value="&quot;47450eb8-02cb-4c5d-811c-10ecad47525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DE929-F727-2448-BC3D-7BE06DA2F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77</Pages>
  <Words>27239</Words>
  <Characters>155268</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Kenneth Feingold</cp:lastModifiedBy>
  <cp:revision>124</cp:revision>
  <cp:lastPrinted>2025-01-29T21:54:00Z</cp:lastPrinted>
  <dcterms:created xsi:type="dcterms:W3CDTF">2025-03-02T19:07:00Z</dcterms:created>
  <dcterms:modified xsi:type="dcterms:W3CDTF">2025-03-03T22:25:00Z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http://www.zotero.org/styles/harvard-cite-them-right-11th-edition</vt:lpwstr>
  </property>
  <property fmtid="{D5CDD505-2E9C-101B-9397-08002B2CF9AE}" pid="7" name="Mendeley Recent Style Name 2_1">
    <vt:lpwstr>Cite Them Right 11th edition - Harvard</vt:lpwstr>
  </property>
  <property fmtid="{D5CDD505-2E9C-101B-9397-08002B2CF9AE}" pid="8" name="Mendeley Recent Style Id 3_1">
    <vt:lpwstr>http://www.zotero.org/styles/council-of-science-editors</vt:lpwstr>
  </property>
  <property fmtid="{D5CDD505-2E9C-101B-9397-08002B2CF9AE}" pid="9" name="Mendeley Recent Style Name 3_1">
    <vt:lpwstr>Council of Science Editors, Citation-Sequence (numeric)</vt:lpwstr>
  </property>
  <property fmtid="{D5CDD505-2E9C-101B-9397-08002B2CF9AE}" pid="10" name="Mendeley Recent Style Id 4_1">
    <vt:lpwstr>http://www.zotero.org/styles/current-eye-research</vt:lpwstr>
  </property>
  <property fmtid="{D5CDD505-2E9C-101B-9397-08002B2CF9AE}" pid="11" name="Mendeley Recent Style Name 4_1">
    <vt:lpwstr>Current Eye Research</vt:lpwstr>
  </property>
  <property fmtid="{D5CDD505-2E9C-101B-9397-08002B2CF9AE}" pid="12" name="Mendeley Recent Style Id 5_1">
    <vt:lpwstr>http://www.zotero.org/styles/elsevier-vancouver</vt:lpwstr>
  </property>
  <property fmtid="{D5CDD505-2E9C-101B-9397-08002B2CF9AE}" pid="13" name="Mendeley Recent Style Name 5_1">
    <vt:lpwstr>Elsevier - Vancouver</vt:lpwstr>
  </property>
  <property fmtid="{D5CDD505-2E9C-101B-9397-08002B2CF9AE}" pid="14" name="Mendeley Recent Style Id 6_1">
    <vt:lpwstr>http://csl.mendeley.com/styles/558521721/elsevier-vancouver-2</vt:lpwstr>
  </property>
  <property fmtid="{D5CDD505-2E9C-101B-9397-08002B2CF9AE}" pid="15" name="Mendeley Recent Style Name 6_1">
    <vt:lpwstr>Elsevier - Vancouver - Ann Harris</vt:lpwstr>
  </property>
  <property fmtid="{D5CDD505-2E9C-101B-9397-08002B2CF9AE}" pid="16" name="Mendeley Recent Style Id 7_1">
    <vt:lpwstr>http://www.zotero.org/styles/frontiers-in-behavioral-neuroscience</vt:lpwstr>
  </property>
  <property fmtid="{D5CDD505-2E9C-101B-9397-08002B2CF9AE}" pid="17" name="Mendeley Recent Style Name 7_1">
    <vt:lpwstr>Frontiers in Behavioral Neuroscience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SIP_Label_5e4b1be8-281e-475d-98b0-21c3457e5a46_Enabled">
    <vt:lpwstr>true</vt:lpwstr>
  </property>
  <property fmtid="{D5CDD505-2E9C-101B-9397-08002B2CF9AE}" pid="23" name="MSIP_Label_5e4b1be8-281e-475d-98b0-21c3457e5a46_SetDate">
    <vt:lpwstr>2024-12-23T16:57:25Z</vt:lpwstr>
  </property>
  <property fmtid="{D5CDD505-2E9C-101B-9397-08002B2CF9AE}" pid="24" name="MSIP_Label_5e4b1be8-281e-475d-98b0-21c3457e5a46_Method">
    <vt:lpwstr>Standard</vt:lpwstr>
  </property>
  <property fmtid="{D5CDD505-2E9C-101B-9397-08002B2CF9AE}" pid="25" name="MSIP_Label_5e4b1be8-281e-475d-98b0-21c3457e5a46_Name">
    <vt:lpwstr>Public</vt:lpwstr>
  </property>
  <property fmtid="{D5CDD505-2E9C-101B-9397-08002B2CF9AE}" pid="26" name="MSIP_Label_5e4b1be8-281e-475d-98b0-21c3457e5a46_SiteId">
    <vt:lpwstr>8b3dd73e-4e72-4679-b191-56da1588712b</vt:lpwstr>
  </property>
  <property fmtid="{D5CDD505-2E9C-101B-9397-08002B2CF9AE}" pid="27" name="MSIP_Label_5e4b1be8-281e-475d-98b0-21c3457e5a46_ActionId">
    <vt:lpwstr>c9b3221b-37f2-4357-b9ef-df6b6aabf6b7</vt:lpwstr>
  </property>
  <property fmtid="{D5CDD505-2E9C-101B-9397-08002B2CF9AE}" pid="28" name="MSIP_Label_5e4b1be8-281e-475d-98b0-21c3457e5a46_ContentBits">
    <vt:lpwstr>0</vt:lpwstr>
  </property>
  <property fmtid="{D5CDD505-2E9C-101B-9397-08002B2CF9AE}" pid="29" name="MSIP_Label_4791b42f-c435-42ca-9531-75a3f42aae3d_Enabled">
    <vt:lpwstr>true</vt:lpwstr>
  </property>
  <property fmtid="{D5CDD505-2E9C-101B-9397-08002B2CF9AE}" pid="30" name="MSIP_Label_4791b42f-c435-42ca-9531-75a3f42aae3d_SetDate">
    <vt:lpwstr>2025-02-05T00:11:19Z</vt:lpwstr>
  </property>
  <property fmtid="{D5CDD505-2E9C-101B-9397-08002B2CF9AE}" pid="31" name="MSIP_Label_4791b42f-c435-42ca-9531-75a3f42aae3d_Method">
    <vt:lpwstr>Privileged</vt:lpwstr>
  </property>
  <property fmtid="{D5CDD505-2E9C-101B-9397-08002B2CF9AE}" pid="32" name="MSIP_Label_4791b42f-c435-42ca-9531-75a3f42aae3d_Name">
    <vt:lpwstr>4791b42f-c435-42ca-9531-75a3f42aae3d</vt:lpwstr>
  </property>
  <property fmtid="{D5CDD505-2E9C-101B-9397-08002B2CF9AE}" pid="33" name="MSIP_Label_4791b42f-c435-42ca-9531-75a3f42aae3d_SiteId">
    <vt:lpwstr>7a916015-20ae-4ad1-9170-eefd915e9272</vt:lpwstr>
  </property>
  <property fmtid="{D5CDD505-2E9C-101B-9397-08002B2CF9AE}" pid="34" name="MSIP_Label_4791b42f-c435-42ca-9531-75a3f42aae3d_ActionId">
    <vt:lpwstr>2043f3bd-56da-4dc3-866c-c26b3201a622</vt:lpwstr>
  </property>
  <property fmtid="{D5CDD505-2E9C-101B-9397-08002B2CF9AE}" pid="35" name="MSIP_Label_4791b42f-c435-42ca-9531-75a3f42aae3d_ContentBits">
    <vt:lpwstr>0</vt:lpwstr>
  </property>
</Properties>
</file>