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F194" w14:textId="764C5910" w:rsidR="003F35E2" w:rsidRPr="003E11DB" w:rsidRDefault="006653E3" w:rsidP="00341288">
      <w:pPr>
        <w:pStyle w:val="Heading1"/>
      </w:pPr>
      <w:bookmarkStart w:id="0" w:name="_Hlk137752126"/>
      <w:r w:rsidRPr="003E11DB">
        <w:t xml:space="preserve">Management of Hospitalized Children with Severe Hypertriglyceridemia </w:t>
      </w:r>
    </w:p>
    <w:bookmarkEnd w:id="0"/>
    <w:p w14:paraId="747E3513" w14:textId="77777777" w:rsidR="006653E3" w:rsidRPr="003E11DB" w:rsidRDefault="006653E3" w:rsidP="00E723FC">
      <w:pPr>
        <w:spacing w:after="0" w:line="276" w:lineRule="auto"/>
        <w:rPr>
          <w:rFonts w:ascii="Arial" w:hAnsi="Arial" w:cs="Arial"/>
          <w:b/>
          <w:sz w:val="24"/>
          <w:szCs w:val="24"/>
        </w:rPr>
      </w:pPr>
    </w:p>
    <w:p w14:paraId="4BA41A85" w14:textId="5B288F2F" w:rsidR="0069602D" w:rsidRPr="003E11DB" w:rsidRDefault="00A12615" w:rsidP="00E723FC">
      <w:pPr>
        <w:spacing w:after="0" w:line="276" w:lineRule="auto"/>
        <w:rPr>
          <w:rFonts w:ascii="Arial" w:hAnsi="Arial" w:cs="Arial"/>
          <w:iCs/>
          <w:sz w:val="20"/>
          <w:szCs w:val="20"/>
        </w:rPr>
      </w:pPr>
      <w:r w:rsidRPr="003E11DB">
        <w:rPr>
          <w:rFonts w:ascii="Arial" w:hAnsi="Arial" w:cs="Arial"/>
          <w:b/>
          <w:sz w:val="24"/>
          <w:szCs w:val="24"/>
        </w:rPr>
        <w:t>Alejandro De La Torre, MD</w:t>
      </w:r>
      <w:r w:rsidR="00F25720" w:rsidRPr="003E11DB">
        <w:rPr>
          <w:rFonts w:ascii="Arial" w:hAnsi="Arial" w:cs="Arial"/>
          <w:b/>
          <w:sz w:val="24"/>
          <w:szCs w:val="24"/>
        </w:rPr>
        <w:t>,</w:t>
      </w:r>
      <w:r w:rsidR="0069602D" w:rsidRPr="003E11DB">
        <w:rPr>
          <w:rFonts w:ascii="Arial" w:hAnsi="Arial" w:cs="Arial"/>
          <w:iCs/>
          <w:sz w:val="24"/>
          <w:szCs w:val="24"/>
        </w:rPr>
        <w:t xml:space="preserve"> </w:t>
      </w:r>
      <w:r w:rsidR="0069602D" w:rsidRPr="003E11DB">
        <w:rPr>
          <w:rFonts w:ascii="Arial" w:hAnsi="Arial" w:cs="Arial"/>
          <w:iCs/>
          <w:sz w:val="20"/>
          <w:szCs w:val="20"/>
        </w:rPr>
        <w:t>Department of</w:t>
      </w:r>
      <w:r w:rsidR="0069602D" w:rsidRPr="003E11DB">
        <w:rPr>
          <w:rFonts w:ascii="Arial" w:hAnsi="Arial" w:cs="Arial"/>
          <w:iCs/>
          <w:sz w:val="20"/>
          <w:szCs w:val="20"/>
          <w:vertAlign w:val="superscript"/>
        </w:rPr>
        <w:t xml:space="preserve"> </w:t>
      </w:r>
      <w:r w:rsidR="0069602D" w:rsidRPr="003E11DB">
        <w:rPr>
          <w:rFonts w:ascii="Arial" w:hAnsi="Arial" w:cs="Arial"/>
          <w:iCs/>
          <w:sz w:val="20"/>
          <w:szCs w:val="20"/>
        </w:rPr>
        <w:t>Endocrinology, Cook Children’s Medical Center, F</w:t>
      </w:r>
      <w:r w:rsidR="00D020B7">
        <w:rPr>
          <w:rFonts w:ascii="Arial" w:hAnsi="Arial" w:cs="Arial"/>
          <w:iCs/>
          <w:sz w:val="20"/>
          <w:szCs w:val="20"/>
        </w:rPr>
        <w:t>or</w:t>
      </w:r>
      <w:r w:rsidR="0069602D" w:rsidRPr="003E11DB">
        <w:rPr>
          <w:rFonts w:ascii="Arial" w:hAnsi="Arial" w:cs="Arial"/>
          <w:iCs/>
          <w:sz w:val="20"/>
          <w:szCs w:val="20"/>
        </w:rPr>
        <w:t>t Worth, TX.</w:t>
      </w:r>
      <w:r w:rsidR="00D020B7">
        <w:rPr>
          <w:rFonts w:ascii="Arial" w:hAnsi="Arial" w:cs="Arial"/>
          <w:iCs/>
          <w:sz w:val="20"/>
          <w:szCs w:val="20"/>
        </w:rPr>
        <w:t xml:space="preserve"> </w:t>
      </w:r>
      <w:r w:rsidR="00D020B7" w:rsidRPr="00D020B7">
        <w:rPr>
          <w:rFonts w:ascii="Arial" w:hAnsi="Arial" w:cs="Arial"/>
          <w:iCs/>
          <w:sz w:val="20"/>
          <w:szCs w:val="20"/>
        </w:rPr>
        <w:t>Alejandro.DeLaTorre@cookchildrens.org</w:t>
      </w:r>
      <w:r w:rsidR="0069602D" w:rsidRPr="003E11DB">
        <w:rPr>
          <w:rFonts w:ascii="Arial" w:hAnsi="Arial" w:cs="Arial"/>
          <w:iCs/>
          <w:sz w:val="20"/>
          <w:szCs w:val="20"/>
        </w:rPr>
        <w:t xml:space="preserve">  </w:t>
      </w:r>
    </w:p>
    <w:p w14:paraId="569B4643" w14:textId="1CEDBF3A" w:rsidR="0069602D" w:rsidRPr="003E11DB" w:rsidRDefault="001635AB" w:rsidP="00E723FC">
      <w:pPr>
        <w:spacing w:after="0" w:line="276" w:lineRule="auto"/>
        <w:rPr>
          <w:rFonts w:ascii="Arial" w:hAnsi="Arial" w:cs="Arial"/>
          <w:iCs/>
          <w:sz w:val="20"/>
          <w:szCs w:val="20"/>
        </w:rPr>
      </w:pPr>
      <w:r w:rsidRPr="003E11DB">
        <w:rPr>
          <w:rFonts w:ascii="Arial" w:hAnsi="Arial" w:cs="Arial"/>
          <w:b/>
          <w:sz w:val="24"/>
          <w:szCs w:val="24"/>
        </w:rPr>
        <w:t>Luke Hamilton, MS</w:t>
      </w:r>
      <w:r w:rsidR="0069602D" w:rsidRPr="003E11DB">
        <w:rPr>
          <w:rFonts w:ascii="Arial" w:hAnsi="Arial" w:cs="Arial"/>
          <w:b/>
          <w:sz w:val="24"/>
          <w:szCs w:val="24"/>
        </w:rPr>
        <w:t xml:space="preserve">, </w:t>
      </w:r>
      <w:r w:rsidR="0069602D" w:rsidRPr="003E11DB">
        <w:rPr>
          <w:rFonts w:ascii="Arial" w:hAnsi="Arial" w:cs="Arial"/>
          <w:iCs/>
          <w:sz w:val="20"/>
          <w:szCs w:val="20"/>
        </w:rPr>
        <w:t>Department of</w:t>
      </w:r>
      <w:r w:rsidR="0069602D" w:rsidRPr="003E11DB">
        <w:rPr>
          <w:rFonts w:ascii="Arial" w:hAnsi="Arial" w:cs="Arial"/>
          <w:iCs/>
          <w:sz w:val="20"/>
          <w:szCs w:val="20"/>
          <w:vertAlign w:val="superscript"/>
        </w:rPr>
        <w:t xml:space="preserve"> </w:t>
      </w:r>
      <w:r w:rsidR="0069602D" w:rsidRPr="003E11DB">
        <w:rPr>
          <w:rFonts w:ascii="Arial" w:hAnsi="Arial" w:cs="Arial"/>
          <w:iCs/>
          <w:sz w:val="20"/>
          <w:szCs w:val="20"/>
        </w:rPr>
        <w:t>Endocrinology, Cook Children’s Medical Center, F</w:t>
      </w:r>
      <w:r w:rsidR="00D020B7">
        <w:rPr>
          <w:rFonts w:ascii="Arial" w:hAnsi="Arial" w:cs="Arial"/>
          <w:iCs/>
          <w:sz w:val="20"/>
          <w:szCs w:val="20"/>
        </w:rPr>
        <w:t>or</w:t>
      </w:r>
      <w:r w:rsidR="0069602D" w:rsidRPr="003E11DB">
        <w:rPr>
          <w:rFonts w:ascii="Arial" w:hAnsi="Arial" w:cs="Arial"/>
          <w:iCs/>
          <w:sz w:val="20"/>
          <w:szCs w:val="20"/>
        </w:rPr>
        <w:t xml:space="preserve">t Worth, TX. </w:t>
      </w:r>
      <w:r w:rsidR="00D020B7" w:rsidRPr="00D020B7">
        <w:rPr>
          <w:rFonts w:ascii="Arial" w:hAnsi="Arial" w:cs="Arial"/>
          <w:iCs/>
          <w:sz w:val="20"/>
          <w:szCs w:val="20"/>
        </w:rPr>
        <w:t>Luke.Hamilton@cookchildrens.org</w:t>
      </w:r>
      <w:r w:rsidR="0069602D" w:rsidRPr="003E11DB">
        <w:rPr>
          <w:rFonts w:ascii="Arial" w:hAnsi="Arial" w:cs="Arial"/>
          <w:iCs/>
          <w:sz w:val="20"/>
          <w:szCs w:val="20"/>
        </w:rPr>
        <w:t xml:space="preserve"> </w:t>
      </w:r>
    </w:p>
    <w:p w14:paraId="1D0970E1" w14:textId="3D45628D" w:rsidR="0069602D" w:rsidRPr="003E11DB" w:rsidRDefault="003F35E2" w:rsidP="00E723FC">
      <w:pPr>
        <w:spacing w:after="0" w:line="276" w:lineRule="auto"/>
        <w:rPr>
          <w:rFonts w:ascii="Arial" w:hAnsi="Arial" w:cs="Arial"/>
          <w:iCs/>
          <w:color w:val="000000" w:themeColor="text1"/>
          <w:sz w:val="24"/>
          <w:szCs w:val="24"/>
        </w:rPr>
      </w:pPr>
      <w:r w:rsidRPr="003E11DB">
        <w:rPr>
          <w:rFonts w:ascii="Arial" w:hAnsi="Arial" w:cs="Arial"/>
          <w:b/>
          <w:sz w:val="24"/>
          <w:szCs w:val="24"/>
        </w:rPr>
        <w:t>D</w:t>
      </w:r>
      <w:r w:rsidR="00AE7BA7" w:rsidRPr="003E11DB">
        <w:rPr>
          <w:rFonts w:ascii="Arial" w:hAnsi="Arial" w:cs="Arial"/>
          <w:b/>
          <w:sz w:val="24"/>
          <w:szCs w:val="24"/>
        </w:rPr>
        <w:t>on P.</w:t>
      </w:r>
      <w:r w:rsidRPr="003E11DB">
        <w:rPr>
          <w:rFonts w:ascii="Arial" w:hAnsi="Arial" w:cs="Arial"/>
          <w:b/>
          <w:sz w:val="24"/>
          <w:szCs w:val="24"/>
        </w:rPr>
        <w:t xml:space="preserve"> Wilson, MD, FNLA</w:t>
      </w:r>
      <w:r w:rsidR="0069602D" w:rsidRPr="003E11DB">
        <w:rPr>
          <w:rFonts w:ascii="Arial" w:hAnsi="Arial" w:cs="Arial"/>
          <w:b/>
          <w:sz w:val="24"/>
          <w:szCs w:val="24"/>
        </w:rPr>
        <w:t xml:space="preserve">, </w:t>
      </w:r>
      <w:r w:rsidR="0069602D" w:rsidRPr="003E11DB">
        <w:rPr>
          <w:rFonts w:ascii="Arial" w:hAnsi="Arial" w:cs="Arial"/>
          <w:iCs/>
          <w:sz w:val="20"/>
          <w:szCs w:val="20"/>
        </w:rPr>
        <w:t>Department of</w:t>
      </w:r>
      <w:r w:rsidR="0069602D" w:rsidRPr="003E11DB">
        <w:rPr>
          <w:rFonts w:ascii="Arial" w:hAnsi="Arial" w:cs="Arial"/>
          <w:iCs/>
          <w:sz w:val="20"/>
          <w:szCs w:val="20"/>
          <w:vertAlign w:val="superscript"/>
        </w:rPr>
        <w:t xml:space="preserve"> </w:t>
      </w:r>
      <w:r w:rsidR="0069602D" w:rsidRPr="003E11DB">
        <w:rPr>
          <w:rFonts w:ascii="Arial" w:hAnsi="Arial" w:cs="Arial"/>
          <w:iCs/>
          <w:sz w:val="20"/>
          <w:szCs w:val="20"/>
        </w:rPr>
        <w:t>Endocrinology, Coo</w:t>
      </w:r>
      <w:r w:rsidR="00D020B7">
        <w:rPr>
          <w:rFonts w:ascii="Arial" w:hAnsi="Arial" w:cs="Arial"/>
          <w:iCs/>
          <w:sz w:val="20"/>
          <w:szCs w:val="20"/>
        </w:rPr>
        <w:t>k Children’s Medical Center, Fort</w:t>
      </w:r>
      <w:r w:rsidR="0069602D" w:rsidRPr="003E11DB">
        <w:rPr>
          <w:rFonts w:ascii="Arial" w:hAnsi="Arial" w:cs="Arial"/>
          <w:iCs/>
          <w:sz w:val="20"/>
          <w:szCs w:val="20"/>
        </w:rPr>
        <w:t xml:space="preserve"> Worth, TX. </w:t>
      </w:r>
      <w:hyperlink r:id="rId8" w:history="1">
        <w:r w:rsidR="0069602D" w:rsidRPr="001423E4">
          <w:rPr>
            <w:rStyle w:val="Hyperlink"/>
            <w:rFonts w:ascii="Arial" w:hAnsi="Arial" w:cs="Arial"/>
            <w:iCs/>
            <w:color w:val="000000" w:themeColor="text1"/>
            <w:sz w:val="20"/>
            <w:szCs w:val="20"/>
            <w:u w:val="none"/>
          </w:rPr>
          <w:t>don.wilson@cookchildrens.org</w:t>
        </w:r>
      </w:hyperlink>
      <w:r w:rsidR="0069602D" w:rsidRPr="001423E4">
        <w:rPr>
          <w:rFonts w:ascii="Arial" w:hAnsi="Arial" w:cs="Arial"/>
          <w:iCs/>
          <w:color w:val="000000" w:themeColor="text1"/>
          <w:sz w:val="20"/>
          <w:szCs w:val="20"/>
        </w:rPr>
        <w:t xml:space="preserve"> </w:t>
      </w:r>
      <w:r w:rsidR="0069602D" w:rsidRPr="003E11DB">
        <w:rPr>
          <w:rFonts w:ascii="Arial" w:hAnsi="Arial" w:cs="Arial"/>
          <w:iCs/>
          <w:color w:val="000000" w:themeColor="text1"/>
          <w:sz w:val="20"/>
          <w:szCs w:val="20"/>
          <w:u w:val="single"/>
        </w:rPr>
        <w:t xml:space="preserve"> </w:t>
      </w:r>
      <w:r w:rsidR="0069602D" w:rsidRPr="003E11DB">
        <w:rPr>
          <w:rFonts w:ascii="Arial" w:hAnsi="Arial" w:cs="Arial"/>
          <w:iCs/>
          <w:color w:val="000000" w:themeColor="text1"/>
          <w:sz w:val="24"/>
          <w:szCs w:val="24"/>
        </w:rPr>
        <w:t xml:space="preserve"> </w:t>
      </w:r>
    </w:p>
    <w:p w14:paraId="054F02ED" w14:textId="0E3C172C" w:rsidR="003F35E2" w:rsidRPr="003E11DB" w:rsidRDefault="003F35E2" w:rsidP="00E723FC">
      <w:pPr>
        <w:spacing w:after="0" w:line="276" w:lineRule="auto"/>
        <w:rPr>
          <w:rFonts w:ascii="Arial" w:hAnsi="Arial" w:cs="Arial"/>
          <w:b/>
          <w:color w:val="000000" w:themeColor="text1"/>
          <w:sz w:val="24"/>
          <w:szCs w:val="24"/>
        </w:rPr>
      </w:pPr>
    </w:p>
    <w:p w14:paraId="60F0AD34" w14:textId="7EAE23A1" w:rsidR="00521421" w:rsidRDefault="00521421" w:rsidP="00521421">
      <w:pPr>
        <w:spacing w:after="0" w:line="276" w:lineRule="auto"/>
        <w:rPr>
          <w:rFonts w:ascii="Arial" w:hAnsi="Arial" w:cs="Arial"/>
          <w:b/>
          <w:iCs/>
        </w:rPr>
      </w:pPr>
      <w:r w:rsidRPr="003E11DB">
        <w:rPr>
          <w:rFonts w:ascii="Arial" w:hAnsi="Arial" w:cs="Arial"/>
          <w:b/>
          <w:iCs/>
        </w:rPr>
        <w:t>Updated</w:t>
      </w:r>
      <w:r w:rsidR="00A753BA">
        <w:rPr>
          <w:rFonts w:ascii="Arial" w:hAnsi="Arial" w:cs="Arial"/>
          <w:b/>
          <w:iCs/>
        </w:rPr>
        <w:t xml:space="preserve"> June 15, 2023</w:t>
      </w:r>
      <w:r w:rsidRPr="003E11DB">
        <w:rPr>
          <w:rFonts w:ascii="Arial" w:hAnsi="Arial" w:cs="Arial"/>
          <w:b/>
          <w:iCs/>
        </w:rPr>
        <w:t xml:space="preserve"> </w:t>
      </w:r>
    </w:p>
    <w:p w14:paraId="47D0B630" w14:textId="77777777" w:rsidR="00A753BA" w:rsidRPr="003E11DB" w:rsidRDefault="00A753BA" w:rsidP="00521421">
      <w:pPr>
        <w:spacing w:after="0" w:line="276" w:lineRule="auto"/>
        <w:rPr>
          <w:rFonts w:ascii="Arial" w:hAnsi="Arial" w:cs="Arial"/>
          <w:b/>
          <w:iCs/>
        </w:rPr>
      </w:pPr>
    </w:p>
    <w:p w14:paraId="0C3192A3" w14:textId="77777777" w:rsidR="00521421" w:rsidRPr="003E11DB" w:rsidRDefault="00521421" w:rsidP="003C0062">
      <w:pPr>
        <w:spacing w:after="0" w:line="276" w:lineRule="auto"/>
        <w:contextualSpacing/>
        <w:rPr>
          <w:rFonts w:ascii="Arial" w:hAnsi="Arial" w:cs="Arial"/>
          <w:b/>
          <w:color w:val="0070C0"/>
        </w:rPr>
      </w:pPr>
      <w:bookmarkStart w:id="1" w:name="_Hlk137752378"/>
      <w:r w:rsidRPr="003E11DB">
        <w:rPr>
          <w:rFonts w:ascii="Arial" w:hAnsi="Arial" w:cs="Arial"/>
          <w:b/>
          <w:color w:val="0070C0"/>
        </w:rPr>
        <w:t>ABSTRACT</w:t>
      </w:r>
    </w:p>
    <w:p w14:paraId="64D33C86" w14:textId="77777777" w:rsidR="00521421" w:rsidRPr="003E11DB" w:rsidRDefault="00521421" w:rsidP="003C0062">
      <w:pPr>
        <w:spacing w:after="0" w:line="276" w:lineRule="auto"/>
        <w:contextualSpacing/>
        <w:rPr>
          <w:rFonts w:ascii="Arial" w:hAnsi="Arial" w:cs="Arial"/>
        </w:rPr>
      </w:pPr>
    </w:p>
    <w:p w14:paraId="16C5BB32" w14:textId="2BD37CE3" w:rsidR="00521421" w:rsidRPr="003E11DB" w:rsidRDefault="00521421" w:rsidP="003C0062">
      <w:pPr>
        <w:spacing w:after="0" w:line="276" w:lineRule="auto"/>
        <w:contextualSpacing/>
        <w:rPr>
          <w:rFonts w:ascii="Arial" w:hAnsi="Arial" w:cs="Arial"/>
        </w:rPr>
      </w:pPr>
      <w:r w:rsidRPr="003E11DB">
        <w:rPr>
          <w:rFonts w:ascii="Arial" w:hAnsi="Arial" w:cs="Arial"/>
        </w:rPr>
        <w:t xml:space="preserve">Severe hypertriglyceridemia </w:t>
      </w:r>
      <w:r w:rsidR="00470D34">
        <w:rPr>
          <w:rFonts w:ascii="Arial" w:hAnsi="Arial" w:cs="Arial"/>
        </w:rPr>
        <w:t xml:space="preserve">(SHTG) is uncommon in children. </w:t>
      </w:r>
      <w:r w:rsidRPr="003E11DB">
        <w:rPr>
          <w:rFonts w:ascii="Arial" w:hAnsi="Arial" w:cs="Arial"/>
        </w:rPr>
        <w:t>Those with triglyceride</w:t>
      </w:r>
      <w:r w:rsidR="00F95B85" w:rsidRPr="003E11DB">
        <w:rPr>
          <w:rFonts w:ascii="Arial" w:hAnsi="Arial" w:cs="Arial"/>
        </w:rPr>
        <w:t xml:space="preserve"> (TG)</w:t>
      </w:r>
      <w:r w:rsidRPr="003E11DB">
        <w:rPr>
          <w:rFonts w:ascii="Arial" w:hAnsi="Arial" w:cs="Arial"/>
        </w:rPr>
        <w:t xml:space="preserve"> levels greater than 1,000 mg/dL are likely to have a monogenic disorder affecting </w:t>
      </w:r>
      <w:r w:rsidR="00F95B85" w:rsidRPr="003E11DB">
        <w:rPr>
          <w:rFonts w:ascii="Arial" w:hAnsi="Arial" w:cs="Arial"/>
        </w:rPr>
        <w:t>T</w:t>
      </w:r>
      <w:r w:rsidRPr="003E11DB">
        <w:rPr>
          <w:rFonts w:ascii="Arial" w:hAnsi="Arial" w:cs="Arial"/>
        </w:rPr>
        <w:t xml:space="preserve">G metabolism or </w:t>
      </w:r>
      <w:r w:rsidR="00F95B85" w:rsidRPr="003E11DB">
        <w:rPr>
          <w:rFonts w:ascii="Arial" w:hAnsi="Arial" w:cs="Arial"/>
        </w:rPr>
        <w:t xml:space="preserve">a combination of </w:t>
      </w:r>
      <w:r w:rsidRPr="003E11DB">
        <w:rPr>
          <w:rFonts w:ascii="Arial" w:hAnsi="Arial" w:cs="Arial"/>
        </w:rPr>
        <w:t>polygenic and small-effect genetic variants that increase the risk of hypertriglyceridemia</w:t>
      </w:r>
      <w:r w:rsidR="00F95B85" w:rsidRPr="003E11DB">
        <w:rPr>
          <w:rFonts w:ascii="Arial" w:hAnsi="Arial" w:cs="Arial"/>
        </w:rPr>
        <w:t xml:space="preserve"> (HTG),</w:t>
      </w:r>
      <w:r w:rsidRPr="003E11DB">
        <w:rPr>
          <w:rFonts w:ascii="Arial" w:hAnsi="Arial" w:cs="Arial"/>
        </w:rPr>
        <w:t xml:space="preserve"> in </w:t>
      </w:r>
      <w:r w:rsidR="00F95B85" w:rsidRPr="003E11DB">
        <w:rPr>
          <w:rFonts w:ascii="Arial" w:hAnsi="Arial" w:cs="Arial"/>
        </w:rPr>
        <w:t xml:space="preserve">addition to </w:t>
      </w:r>
      <w:r w:rsidRPr="003E11DB">
        <w:rPr>
          <w:rFonts w:ascii="Arial" w:hAnsi="Arial" w:cs="Arial"/>
        </w:rPr>
        <w:t xml:space="preserve">other factors such </w:t>
      </w:r>
      <w:r w:rsidR="00F95B85" w:rsidRPr="003E11DB">
        <w:rPr>
          <w:rFonts w:ascii="Arial" w:hAnsi="Arial" w:cs="Arial"/>
        </w:rPr>
        <w:t>as obesity and insulin resist</w:t>
      </w:r>
      <w:r w:rsidRPr="003E11DB">
        <w:rPr>
          <w:rFonts w:ascii="Arial" w:hAnsi="Arial" w:cs="Arial"/>
        </w:rPr>
        <w:t xml:space="preserve">ance, poorly controlled diabetes, or medications that interfere with </w:t>
      </w:r>
      <w:r w:rsidR="00F95B85" w:rsidRPr="003E11DB">
        <w:rPr>
          <w:rFonts w:ascii="Arial" w:hAnsi="Arial" w:cs="Arial"/>
        </w:rPr>
        <w:t>TG</w:t>
      </w:r>
      <w:r w:rsidRPr="003E11DB">
        <w:rPr>
          <w:rFonts w:ascii="Arial" w:hAnsi="Arial" w:cs="Arial"/>
        </w:rPr>
        <w:t xml:space="preserve"> metabolism</w:t>
      </w:r>
      <w:r w:rsidRPr="003E11DB">
        <w:rPr>
          <w:rFonts w:ascii="Arial" w:eastAsia="Calibri" w:hAnsi="Arial" w:cs="Arial"/>
        </w:rPr>
        <w:t xml:space="preserve">. </w:t>
      </w:r>
      <w:r w:rsidRPr="003E11DB">
        <w:rPr>
          <w:rFonts w:ascii="Arial" w:hAnsi="Arial" w:cs="Arial"/>
        </w:rPr>
        <w:t>When present, SHTG is associated with an increased risk of acute pancreatitis and, long-term, may contribute to ASCVD-related morbid and premature</w:t>
      </w:r>
      <w:r w:rsidR="001C4D31">
        <w:rPr>
          <w:rFonts w:ascii="Arial" w:hAnsi="Arial" w:cs="Arial"/>
        </w:rPr>
        <w:t xml:space="preserve"> mortality. </w:t>
      </w:r>
      <w:r w:rsidRPr="003E11DB">
        <w:rPr>
          <w:rFonts w:ascii="Arial" w:hAnsi="Arial" w:cs="Arial"/>
        </w:rPr>
        <w:t xml:space="preserve">In 2011 the NHLBI Expert Panel published recommendations for clinical management of children with </w:t>
      </w:r>
      <w:r w:rsidR="00F95B85" w:rsidRPr="003E11DB">
        <w:rPr>
          <w:rFonts w:ascii="Arial" w:hAnsi="Arial" w:cs="Arial"/>
        </w:rPr>
        <w:t>HTG</w:t>
      </w:r>
      <w:r w:rsidRPr="003E11DB">
        <w:rPr>
          <w:rFonts w:ascii="Arial" w:hAnsi="Arial" w:cs="Arial"/>
        </w:rPr>
        <w:t xml:space="preserve"> in the ambulatory setting</w:t>
      </w:r>
      <w:r w:rsidR="00302A6B">
        <w:rPr>
          <w:rFonts w:ascii="Arial" w:hAnsi="Arial" w:cs="Arial"/>
          <w:color w:val="FF0000"/>
        </w:rPr>
        <w:t xml:space="preserve"> </w:t>
      </w:r>
      <w:r w:rsidR="00302A6B" w:rsidRPr="00F43EAF">
        <w:rPr>
          <w:rFonts w:ascii="Arial" w:hAnsi="Arial" w:cs="Arial"/>
        </w:rPr>
        <w:t>(1)</w:t>
      </w:r>
      <w:r w:rsidRPr="00F43EAF">
        <w:rPr>
          <w:rFonts w:ascii="Arial" w:hAnsi="Arial" w:cs="Arial"/>
        </w:rPr>
        <w:t xml:space="preserve">. </w:t>
      </w:r>
      <w:r w:rsidRPr="003E11DB">
        <w:rPr>
          <w:rFonts w:ascii="Arial" w:hAnsi="Arial" w:cs="Arial"/>
        </w:rPr>
        <w:t>Presently, however, there are no pediatric guidelines to assist clinical decision-making when aggressive therapy of SHTG in critically ill children</w:t>
      </w:r>
      <w:r w:rsidR="00F95B85" w:rsidRPr="003E11DB">
        <w:rPr>
          <w:rFonts w:ascii="Arial" w:hAnsi="Arial" w:cs="Arial"/>
        </w:rPr>
        <w:t xml:space="preserve"> who require hospitalization</w:t>
      </w:r>
      <w:r w:rsidRPr="003E11DB">
        <w:rPr>
          <w:rFonts w:ascii="Arial" w:hAnsi="Arial" w:cs="Arial"/>
        </w:rPr>
        <w:t xml:space="preserve">, with or without pancreatitis, might be indicated. In this article we focus on the inpatient management of </w:t>
      </w:r>
      <w:r w:rsidR="00F95B85" w:rsidRPr="003E11DB">
        <w:rPr>
          <w:rFonts w:ascii="Arial" w:hAnsi="Arial" w:cs="Arial"/>
        </w:rPr>
        <w:t>SHTG</w:t>
      </w:r>
      <w:r w:rsidRPr="003E11DB">
        <w:rPr>
          <w:rFonts w:ascii="Arial" w:hAnsi="Arial" w:cs="Arial"/>
        </w:rPr>
        <w:t xml:space="preserve">. Other Endotext chapters address genetic and secondary causes of </w:t>
      </w:r>
      <w:r w:rsidR="00F95B85" w:rsidRPr="003E11DB">
        <w:rPr>
          <w:rFonts w:ascii="Arial" w:hAnsi="Arial" w:cs="Arial"/>
        </w:rPr>
        <w:t>HTG</w:t>
      </w:r>
      <w:r w:rsidRPr="003E11DB">
        <w:rPr>
          <w:rFonts w:ascii="Arial" w:hAnsi="Arial" w:cs="Arial"/>
        </w:rPr>
        <w:t xml:space="preserve"> and the outpatien</w:t>
      </w:r>
      <w:r w:rsidR="00302A6B">
        <w:rPr>
          <w:rFonts w:ascii="Arial" w:hAnsi="Arial" w:cs="Arial"/>
        </w:rPr>
        <w:t>t management of these disorders</w:t>
      </w:r>
      <w:r w:rsidR="00435740" w:rsidRPr="003E11DB">
        <w:rPr>
          <w:rFonts w:ascii="Arial" w:hAnsi="Arial" w:cs="Arial"/>
        </w:rPr>
        <w:t xml:space="preserve"> </w:t>
      </w:r>
      <w:r w:rsidR="00435740" w:rsidRPr="00F43EAF">
        <w:rPr>
          <w:rFonts w:ascii="Arial" w:hAnsi="Arial" w:cs="Arial"/>
        </w:rPr>
        <w:t>(</w:t>
      </w:r>
      <w:r w:rsidR="00302A6B" w:rsidRPr="00F43EAF">
        <w:rPr>
          <w:rFonts w:ascii="Arial" w:hAnsi="Arial" w:cs="Arial"/>
        </w:rPr>
        <w:t>2-5</w:t>
      </w:r>
      <w:r w:rsidR="00435740" w:rsidRPr="00F43EAF">
        <w:rPr>
          <w:rFonts w:ascii="Arial" w:hAnsi="Arial" w:cs="Arial"/>
        </w:rPr>
        <w:t>)</w:t>
      </w:r>
      <w:r w:rsidR="00302A6B" w:rsidRPr="00F43EAF">
        <w:rPr>
          <w:rFonts w:ascii="Arial" w:hAnsi="Arial" w:cs="Arial"/>
        </w:rPr>
        <w:t>.</w:t>
      </w:r>
    </w:p>
    <w:bookmarkEnd w:id="1"/>
    <w:p w14:paraId="4D41E40A" w14:textId="77777777" w:rsidR="00521421" w:rsidRPr="003E11DB" w:rsidRDefault="00521421" w:rsidP="003C0062">
      <w:pPr>
        <w:spacing w:after="0" w:line="276" w:lineRule="auto"/>
        <w:contextualSpacing/>
        <w:rPr>
          <w:rFonts w:ascii="Arial" w:hAnsi="Arial" w:cs="Arial"/>
          <w:b/>
          <w:iCs/>
        </w:rPr>
      </w:pPr>
    </w:p>
    <w:p w14:paraId="5724A454" w14:textId="43C33C8A" w:rsidR="00650FDF" w:rsidRPr="003E11DB" w:rsidRDefault="00650FDF" w:rsidP="003C0062">
      <w:pPr>
        <w:pStyle w:val="Heading2"/>
        <w:spacing w:before="0" w:line="276" w:lineRule="auto"/>
        <w:contextualSpacing/>
        <w:rPr>
          <w:rFonts w:eastAsia="Calibri"/>
        </w:rPr>
      </w:pPr>
      <w:bookmarkStart w:id="2" w:name="_Hlk137752441"/>
      <w:r w:rsidRPr="003E11DB">
        <w:rPr>
          <w:rFonts w:eastAsia="Calibri"/>
        </w:rPr>
        <w:t>I</w:t>
      </w:r>
      <w:r w:rsidR="0069602D" w:rsidRPr="003E11DB">
        <w:rPr>
          <w:rFonts w:eastAsia="Calibri"/>
        </w:rPr>
        <w:t xml:space="preserve">NTRODUCTION </w:t>
      </w:r>
    </w:p>
    <w:p w14:paraId="0F6941E1" w14:textId="77777777" w:rsidR="00650FDF" w:rsidRPr="003E11DB" w:rsidRDefault="00650FDF" w:rsidP="003C0062">
      <w:pPr>
        <w:spacing w:after="0" w:line="276" w:lineRule="auto"/>
        <w:contextualSpacing/>
        <w:rPr>
          <w:rFonts w:ascii="Arial" w:eastAsia="Calibri" w:hAnsi="Arial" w:cs="Arial"/>
          <w:b/>
        </w:rPr>
      </w:pPr>
    </w:p>
    <w:p w14:paraId="2146CFE7" w14:textId="26F6DB1A" w:rsidR="00562635" w:rsidRPr="003E11DB" w:rsidRDefault="00650FDF" w:rsidP="003C0062">
      <w:pPr>
        <w:spacing w:after="0" w:line="276" w:lineRule="auto"/>
        <w:contextualSpacing/>
        <w:rPr>
          <w:rFonts w:ascii="Arial" w:hAnsi="Arial" w:cs="Arial"/>
        </w:rPr>
      </w:pPr>
      <w:r w:rsidRPr="003E11DB">
        <w:rPr>
          <w:rFonts w:ascii="Arial" w:hAnsi="Arial" w:cs="Arial"/>
        </w:rPr>
        <w:t xml:space="preserve">Severe </w:t>
      </w:r>
      <w:r w:rsidR="00435740" w:rsidRPr="003E11DB">
        <w:rPr>
          <w:rFonts w:ascii="Arial" w:hAnsi="Arial" w:cs="Arial"/>
        </w:rPr>
        <w:t>HTG</w:t>
      </w:r>
      <w:r w:rsidRPr="003E11DB">
        <w:rPr>
          <w:rFonts w:ascii="Arial" w:hAnsi="Arial" w:cs="Arial"/>
        </w:rPr>
        <w:t xml:space="preserve"> is uncommon in children but</w:t>
      </w:r>
      <w:r w:rsidR="001635AB" w:rsidRPr="003E11DB">
        <w:rPr>
          <w:rFonts w:ascii="Arial" w:hAnsi="Arial" w:cs="Arial"/>
        </w:rPr>
        <w:t xml:space="preserve"> </w:t>
      </w:r>
      <w:r w:rsidR="00562635" w:rsidRPr="003E11DB">
        <w:rPr>
          <w:rFonts w:ascii="Arial" w:hAnsi="Arial" w:cs="Arial"/>
        </w:rPr>
        <w:t xml:space="preserve">is </w:t>
      </w:r>
      <w:r w:rsidR="001635AB" w:rsidRPr="003E11DB">
        <w:rPr>
          <w:rFonts w:ascii="Arial" w:hAnsi="Arial" w:cs="Arial"/>
        </w:rPr>
        <w:t xml:space="preserve">most </w:t>
      </w:r>
      <w:r w:rsidR="00562635" w:rsidRPr="003E11DB">
        <w:rPr>
          <w:rFonts w:ascii="Arial" w:hAnsi="Arial" w:cs="Arial"/>
        </w:rPr>
        <w:t>common</w:t>
      </w:r>
      <w:r w:rsidR="001635AB" w:rsidRPr="003E11DB">
        <w:rPr>
          <w:rFonts w:ascii="Arial" w:hAnsi="Arial" w:cs="Arial"/>
        </w:rPr>
        <w:t xml:space="preserve">ly encountered in youth who are obese and insulin resistant, </w:t>
      </w:r>
      <w:r w:rsidR="002E5EC0" w:rsidRPr="003E11DB">
        <w:rPr>
          <w:rFonts w:ascii="Arial" w:hAnsi="Arial" w:cs="Arial"/>
        </w:rPr>
        <w:t xml:space="preserve">those who have </w:t>
      </w:r>
      <w:r w:rsidR="001635AB" w:rsidRPr="003E11DB">
        <w:rPr>
          <w:rFonts w:ascii="Arial" w:hAnsi="Arial" w:cs="Arial"/>
        </w:rPr>
        <w:t>poorly controlled diabetes</w:t>
      </w:r>
      <w:r w:rsidR="00E64343" w:rsidRPr="003E11DB">
        <w:rPr>
          <w:rFonts w:ascii="Arial" w:hAnsi="Arial" w:cs="Arial"/>
        </w:rPr>
        <w:t>,</w:t>
      </w:r>
      <w:r w:rsidR="001635AB" w:rsidRPr="003E11DB">
        <w:rPr>
          <w:rFonts w:ascii="Arial" w:hAnsi="Arial" w:cs="Arial"/>
        </w:rPr>
        <w:t xml:space="preserve"> or who require medications t</w:t>
      </w:r>
      <w:r w:rsidR="00F95B85" w:rsidRPr="003E11DB">
        <w:rPr>
          <w:rFonts w:ascii="Arial" w:hAnsi="Arial" w:cs="Arial"/>
        </w:rPr>
        <w:t>hat interfere with TG</w:t>
      </w:r>
      <w:r w:rsidR="00521421" w:rsidRPr="003E11DB">
        <w:rPr>
          <w:rFonts w:ascii="Arial" w:hAnsi="Arial" w:cs="Arial"/>
        </w:rPr>
        <w:t xml:space="preserve"> </w:t>
      </w:r>
      <w:r w:rsidR="001635AB" w:rsidRPr="003E11DB">
        <w:rPr>
          <w:rFonts w:ascii="Arial" w:hAnsi="Arial" w:cs="Arial"/>
        </w:rPr>
        <w:t>metabolism (Table</w:t>
      </w:r>
      <w:r w:rsidR="00F61301" w:rsidRPr="003E11DB">
        <w:rPr>
          <w:rFonts w:ascii="Arial" w:hAnsi="Arial" w:cs="Arial"/>
        </w:rPr>
        <w:t xml:space="preserve"> 1</w:t>
      </w:r>
      <w:r w:rsidR="001C4D31">
        <w:rPr>
          <w:rFonts w:ascii="Arial" w:hAnsi="Arial" w:cs="Arial"/>
        </w:rPr>
        <w:t xml:space="preserve">). </w:t>
      </w:r>
      <w:r w:rsidR="002E5EC0" w:rsidRPr="003E11DB">
        <w:rPr>
          <w:rFonts w:ascii="Arial" w:hAnsi="Arial" w:cs="Arial"/>
        </w:rPr>
        <w:t xml:space="preserve">Although rare, those with monogenic disorders have </w:t>
      </w:r>
      <w:r w:rsidR="0016634F" w:rsidRPr="003E11DB">
        <w:rPr>
          <w:rFonts w:ascii="Arial" w:hAnsi="Arial" w:cs="Arial"/>
        </w:rPr>
        <w:t>severe</w:t>
      </w:r>
      <w:r w:rsidR="002E5EC0" w:rsidRPr="003E11DB">
        <w:rPr>
          <w:rFonts w:ascii="Arial" w:hAnsi="Arial" w:cs="Arial"/>
        </w:rPr>
        <w:t xml:space="preserve"> elevation</w:t>
      </w:r>
      <w:r w:rsidR="00521421" w:rsidRPr="003E11DB">
        <w:rPr>
          <w:rFonts w:ascii="Arial" w:hAnsi="Arial" w:cs="Arial"/>
        </w:rPr>
        <w:t>s</w:t>
      </w:r>
      <w:r w:rsidR="002E5EC0" w:rsidRPr="003E11DB">
        <w:rPr>
          <w:rFonts w:ascii="Arial" w:hAnsi="Arial" w:cs="Arial"/>
        </w:rPr>
        <w:t xml:space="preserve"> of </w:t>
      </w:r>
      <w:r w:rsidR="00B60353" w:rsidRPr="003E11DB">
        <w:rPr>
          <w:rFonts w:ascii="Arial" w:hAnsi="Arial" w:cs="Arial"/>
        </w:rPr>
        <w:t>TG</w:t>
      </w:r>
      <w:r w:rsidR="002E5EC0" w:rsidRPr="003E11DB">
        <w:rPr>
          <w:rFonts w:ascii="Arial" w:hAnsi="Arial" w:cs="Arial"/>
        </w:rPr>
        <w:t xml:space="preserve">, typically </w:t>
      </w:r>
      <w:r w:rsidR="00E64343" w:rsidRPr="003E11DB">
        <w:rPr>
          <w:rFonts w:ascii="Arial" w:hAnsi="Arial" w:cs="Arial"/>
        </w:rPr>
        <w:t>&gt;</w:t>
      </w:r>
      <w:r w:rsidR="002E5EC0" w:rsidRPr="003E11DB">
        <w:rPr>
          <w:rFonts w:ascii="Arial" w:hAnsi="Arial" w:cs="Arial"/>
        </w:rPr>
        <w:t xml:space="preserve">1000 mg/dL, while those with </w:t>
      </w:r>
      <w:r w:rsidR="00456D8A" w:rsidRPr="003E11DB">
        <w:rPr>
          <w:rFonts w:ascii="Arial" w:hAnsi="Arial" w:cs="Arial"/>
        </w:rPr>
        <w:t xml:space="preserve">polygenic and small-effect </w:t>
      </w:r>
      <w:r w:rsidR="003724EF" w:rsidRPr="003E11DB">
        <w:rPr>
          <w:rFonts w:ascii="Arial" w:hAnsi="Arial" w:cs="Arial"/>
        </w:rPr>
        <w:t xml:space="preserve">genetic </w:t>
      </w:r>
      <w:r w:rsidR="00456D8A" w:rsidRPr="003E11DB">
        <w:rPr>
          <w:rFonts w:ascii="Arial" w:hAnsi="Arial" w:cs="Arial"/>
        </w:rPr>
        <w:t xml:space="preserve">variants </w:t>
      </w:r>
      <w:r w:rsidR="002E5EC0" w:rsidRPr="003E11DB">
        <w:rPr>
          <w:rFonts w:ascii="Arial" w:hAnsi="Arial" w:cs="Arial"/>
        </w:rPr>
        <w:t>that contribute</w:t>
      </w:r>
      <w:r w:rsidR="00456D8A" w:rsidRPr="003E11DB">
        <w:rPr>
          <w:rFonts w:ascii="Arial" w:hAnsi="Arial" w:cs="Arial"/>
        </w:rPr>
        <w:t xml:space="preserve"> to alternations </w:t>
      </w:r>
      <w:r w:rsidR="00562635" w:rsidRPr="003E11DB">
        <w:rPr>
          <w:rFonts w:ascii="Arial" w:hAnsi="Arial" w:cs="Arial"/>
        </w:rPr>
        <w:t>in lipid and lipoprotein metabolism</w:t>
      </w:r>
      <w:r w:rsidR="002E5EC0" w:rsidRPr="003E11DB">
        <w:rPr>
          <w:rFonts w:ascii="Arial" w:hAnsi="Arial" w:cs="Arial"/>
        </w:rPr>
        <w:t xml:space="preserve"> are more common</w:t>
      </w:r>
      <w:r w:rsidR="00E64343" w:rsidRPr="003E11DB">
        <w:rPr>
          <w:rFonts w:ascii="Arial" w:hAnsi="Arial" w:cs="Arial"/>
        </w:rPr>
        <w:t xml:space="preserve"> and in combination with secondary causes of </w:t>
      </w:r>
      <w:r w:rsidR="00F95B85" w:rsidRPr="003E11DB">
        <w:rPr>
          <w:rFonts w:ascii="Arial" w:hAnsi="Arial" w:cs="Arial"/>
        </w:rPr>
        <w:t xml:space="preserve">HTG </w:t>
      </w:r>
      <w:r w:rsidR="00E64343" w:rsidRPr="003E11DB">
        <w:rPr>
          <w:rFonts w:ascii="Arial" w:hAnsi="Arial" w:cs="Arial"/>
        </w:rPr>
        <w:t>can lead to TG levels &gt;1000</w:t>
      </w:r>
      <w:r w:rsidR="0016634F" w:rsidRPr="003E11DB">
        <w:rPr>
          <w:rFonts w:ascii="Arial" w:hAnsi="Arial" w:cs="Arial"/>
        </w:rPr>
        <w:t xml:space="preserve"> </w:t>
      </w:r>
      <w:r w:rsidR="00E64343" w:rsidRPr="003E11DB">
        <w:rPr>
          <w:rFonts w:ascii="Arial" w:hAnsi="Arial" w:cs="Arial"/>
        </w:rPr>
        <w:t>mg/dL</w:t>
      </w:r>
      <w:r w:rsidR="00F61301" w:rsidRPr="003E11DB">
        <w:rPr>
          <w:rFonts w:ascii="Arial" w:hAnsi="Arial" w:cs="Arial"/>
        </w:rPr>
        <w:t xml:space="preserve"> (Table 2</w:t>
      </w:r>
      <w:r w:rsidR="00A72807" w:rsidRPr="003E11DB">
        <w:rPr>
          <w:rFonts w:ascii="Arial" w:hAnsi="Arial" w:cs="Arial"/>
        </w:rPr>
        <w:t xml:space="preserve"> and 3</w:t>
      </w:r>
      <w:r w:rsidR="00F61301" w:rsidRPr="003E11DB">
        <w:rPr>
          <w:rFonts w:ascii="Arial" w:hAnsi="Arial" w:cs="Arial"/>
        </w:rPr>
        <w:t>).</w:t>
      </w:r>
      <w:r w:rsidR="001C4D31">
        <w:rPr>
          <w:rFonts w:ascii="Arial" w:hAnsi="Arial" w:cs="Arial"/>
        </w:rPr>
        <w:t xml:space="preserve"> </w:t>
      </w:r>
      <w:r w:rsidRPr="003E11DB">
        <w:rPr>
          <w:rFonts w:ascii="Arial" w:hAnsi="Arial" w:cs="Arial"/>
        </w:rPr>
        <w:t>Such severe elevations may cause significant morbidity</w:t>
      </w:r>
      <w:r w:rsidR="0016634F" w:rsidRPr="003E11DB">
        <w:rPr>
          <w:rFonts w:ascii="Arial" w:hAnsi="Arial" w:cs="Arial"/>
        </w:rPr>
        <w:t>, including pancreatitis,</w:t>
      </w:r>
      <w:r w:rsidRPr="003E11DB">
        <w:rPr>
          <w:rFonts w:ascii="Arial" w:hAnsi="Arial" w:cs="Arial"/>
        </w:rPr>
        <w:t xml:space="preserve"> and occasionally may be life-threatening, necessitating aggressive TG lowering.</w:t>
      </w:r>
    </w:p>
    <w:p w14:paraId="6787B99B" w14:textId="77777777" w:rsidR="007357D5" w:rsidRPr="003E11DB" w:rsidRDefault="007357D5" w:rsidP="0005546E">
      <w:pPr>
        <w:spacing w:after="0" w:line="276" w:lineRule="auto"/>
        <w:rPr>
          <w:rFonts w:ascii="Arial" w:hAnsi="Arial" w:cs="Arial"/>
        </w:rPr>
      </w:pPr>
    </w:p>
    <w:tbl>
      <w:tblPr>
        <w:tblStyle w:val="TableGrid1"/>
        <w:tblW w:w="6565" w:type="dxa"/>
        <w:tblLook w:val="04A0" w:firstRow="1" w:lastRow="0" w:firstColumn="1" w:lastColumn="0" w:noHBand="0" w:noVBand="1"/>
      </w:tblPr>
      <w:tblGrid>
        <w:gridCol w:w="2965"/>
        <w:gridCol w:w="3600"/>
      </w:tblGrid>
      <w:tr w:rsidR="00E723FC" w:rsidRPr="003E11DB" w14:paraId="5D78E0AD" w14:textId="77777777" w:rsidTr="00A753BA">
        <w:trPr>
          <w:trHeight w:val="213"/>
        </w:trPr>
        <w:tc>
          <w:tcPr>
            <w:tcW w:w="6565" w:type="dxa"/>
            <w:gridSpan w:val="2"/>
            <w:shd w:val="clear" w:color="auto" w:fill="FFFF00"/>
          </w:tcPr>
          <w:p w14:paraId="7D6D1984" w14:textId="79E14358" w:rsidR="00E723FC" w:rsidRPr="003E11DB" w:rsidRDefault="00E723FC" w:rsidP="0005546E">
            <w:pPr>
              <w:spacing w:line="276" w:lineRule="auto"/>
              <w:rPr>
                <w:rFonts w:ascii="Arial" w:hAnsi="Arial" w:cs="Arial"/>
                <w:b/>
              </w:rPr>
            </w:pPr>
            <w:r w:rsidRPr="003E11DB">
              <w:rPr>
                <w:rFonts w:ascii="Arial" w:hAnsi="Arial" w:cs="Arial"/>
                <w:b/>
              </w:rPr>
              <w:t>Table 1. Common Secondary Causes of Dyslipidemia</w:t>
            </w:r>
          </w:p>
        </w:tc>
      </w:tr>
      <w:tr w:rsidR="007357D5" w:rsidRPr="003E11DB" w14:paraId="5634C0BC" w14:textId="77777777" w:rsidTr="00A753BA">
        <w:trPr>
          <w:trHeight w:val="213"/>
        </w:trPr>
        <w:tc>
          <w:tcPr>
            <w:tcW w:w="2965" w:type="dxa"/>
            <w:hideMark/>
          </w:tcPr>
          <w:p w14:paraId="0373C1EE" w14:textId="77777777" w:rsidR="007357D5" w:rsidRPr="003E11DB" w:rsidRDefault="007357D5" w:rsidP="0005546E">
            <w:pPr>
              <w:spacing w:line="276" w:lineRule="auto"/>
              <w:rPr>
                <w:rFonts w:ascii="Arial" w:hAnsi="Arial" w:cs="Arial"/>
                <w:b/>
              </w:rPr>
            </w:pPr>
            <w:r w:rsidRPr="003E11DB">
              <w:rPr>
                <w:rFonts w:ascii="Arial" w:hAnsi="Arial" w:cs="Arial"/>
                <w:b/>
              </w:rPr>
              <w:t>Condition</w:t>
            </w:r>
          </w:p>
        </w:tc>
        <w:tc>
          <w:tcPr>
            <w:tcW w:w="3600" w:type="dxa"/>
            <w:hideMark/>
          </w:tcPr>
          <w:p w14:paraId="0AE38A13" w14:textId="77777777" w:rsidR="007357D5" w:rsidRPr="003E11DB" w:rsidRDefault="007357D5" w:rsidP="0005546E">
            <w:pPr>
              <w:spacing w:line="276" w:lineRule="auto"/>
              <w:rPr>
                <w:rFonts w:ascii="Arial" w:hAnsi="Arial" w:cs="Arial"/>
                <w:b/>
              </w:rPr>
            </w:pPr>
            <w:r w:rsidRPr="003E11DB">
              <w:rPr>
                <w:rFonts w:ascii="Arial" w:hAnsi="Arial" w:cs="Arial"/>
                <w:b/>
              </w:rPr>
              <w:t>Screening Tests</w:t>
            </w:r>
          </w:p>
        </w:tc>
      </w:tr>
      <w:tr w:rsidR="007357D5" w:rsidRPr="003E11DB" w14:paraId="6221E675" w14:textId="77777777" w:rsidTr="00A753BA">
        <w:trPr>
          <w:trHeight w:val="710"/>
        </w:trPr>
        <w:tc>
          <w:tcPr>
            <w:tcW w:w="2965" w:type="dxa"/>
            <w:hideMark/>
          </w:tcPr>
          <w:p w14:paraId="40D2D13A" w14:textId="7038AEBF" w:rsidR="007357D5" w:rsidRPr="003E11DB" w:rsidRDefault="00A753BA" w:rsidP="0005546E">
            <w:pPr>
              <w:spacing w:line="276" w:lineRule="auto"/>
              <w:rPr>
                <w:rFonts w:ascii="Arial" w:hAnsi="Arial" w:cs="Arial"/>
              </w:rPr>
            </w:pPr>
            <w:r>
              <w:rPr>
                <w:rFonts w:ascii="Arial" w:hAnsi="Arial" w:cs="Arial"/>
                <w:bCs/>
              </w:rPr>
              <w:lastRenderedPageBreak/>
              <w:t>H</w:t>
            </w:r>
            <w:r w:rsidR="007357D5" w:rsidRPr="003E11DB">
              <w:rPr>
                <w:rFonts w:ascii="Arial" w:hAnsi="Arial" w:cs="Arial"/>
                <w:bCs/>
              </w:rPr>
              <w:t xml:space="preserve">ypothyroidism                        </w:t>
            </w:r>
          </w:p>
          <w:p w14:paraId="72B16B3E" w14:textId="77777777" w:rsidR="007357D5" w:rsidRPr="003E11DB" w:rsidRDefault="007357D5" w:rsidP="0005546E">
            <w:pPr>
              <w:spacing w:line="276" w:lineRule="auto"/>
              <w:rPr>
                <w:rFonts w:ascii="Arial" w:hAnsi="Arial" w:cs="Arial"/>
              </w:rPr>
            </w:pPr>
            <w:r w:rsidRPr="003E11DB">
              <w:rPr>
                <w:rFonts w:ascii="Arial" w:hAnsi="Arial" w:cs="Arial"/>
                <w:bCs/>
              </w:rPr>
              <w:t xml:space="preserve">Liver Diseases                         </w:t>
            </w:r>
          </w:p>
          <w:p w14:paraId="1B6C2D2D" w14:textId="77777777" w:rsidR="007357D5" w:rsidRPr="003E11DB" w:rsidRDefault="007357D5" w:rsidP="0005546E">
            <w:pPr>
              <w:spacing w:line="276" w:lineRule="auto"/>
              <w:rPr>
                <w:rFonts w:ascii="Arial" w:hAnsi="Arial" w:cs="Arial"/>
              </w:rPr>
            </w:pPr>
            <w:r w:rsidRPr="003E11DB">
              <w:rPr>
                <w:rFonts w:ascii="Arial" w:hAnsi="Arial" w:cs="Arial"/>
                <w:bCs/>
              </w:rPr>
              <w:t xml:space="preserve">Kidney diseases                       </w:t>
            </w:r>
          </w:p>
          <w:p w14:paraId="200DD05F" w14:textId="77777777" w:rsidR="007357D5" w:rsidRPr="003E11DB" w:rsidRDefault="007357D5" w:rsidP="0005546E">
            <w:pPr>
              <w:spacing w:line="276" w:lineRule="auto"/>
              <w:rPr>
                <w:rFonts w:ascii="Arial" w:hAnsi="Arial" w:cs="Arial"/>
              </w:rPr>
            </w:pPr>
            <w:r w:rsidRPr="003E11DB">
              <w:rPr>
                <w:rFonts w:ascii="Arial" w:hAnsi="Arial" w:cs="Arial"/>
                <w:bCs/>
              </w:rPr>
              <w:t xml:space="preserve">Diabetes Mellitus                    </w:t>
            </w:r>
          </w:p>
          <w:p w14:paraId="31DBFEE6" w14:textId="77777777" w:rsidR="00A753BA" w:rsidRDefault="00A753BA" w:rsidP="0005546E">
            <w:pPr>
              <w:spacing w:line="276" w:lineRule="auto"/>
              <w:rPr>
                <w:rFonts w:ascii="Arial" w:hAnsi="Arial" w:cs="Arial"/>
                <w:bCs/>
              </w:rPr>
            </w:pPr>
          </w:p>
          <w:p w14:paraId="4CFF88C1" w14:textId="5FCE809D" w:rsidR="007357D5" w:rsidRPr="003E11DB" w:rsidRDefault="007357D5" w:rsidP="0005546E">
            <w:pPr>
              <w:spacing w:line="276" w:lineRule="auto"/>
              <w:rPr>
                <w:rFonts w:ascii="Arial" w:hAnsi="Arial" w:cs="Arial"/>
              </w:rPr>
            </w:pPr>
            <w:r w:rsidRPr="003E11DB">
              <w:rPr>
                <w:rFonts w:ascii="Arial" w:hAnsi="Arial" w:cs="Arial"/>
                <w:bCs/>
              </w:rPr>
              <w:t>Obesity / Insulin Resistance</w:t>
            </w:r>
          </w:p>
        </w:tc>
        <w:tc>
          <w:tcPr>
            <w:tcW w:w="3600" w:type="dxa"/>
            <w:hideMark/>
          </w:tcPr>
          <w:p w14:paraId="022E2F74" w14:textId="337D6B12" w:rsidR="007357D5" w:rsidRPr="003E11DB" w:rsidRDefault="00A753BA" w:rsidP="0005546E">
            <w:pPr>
              <w:spacing w:line="276" w:lineRule="auto"/>
              <w:rPr>
                <w:rFonts w:ascii="Arial" w:hAnsi="Arial" w:cs="Arial"/>
              </w:rPr>
            </w:pPr>
            <w:r>
              <w:rPr>
                <w:rFonts w:ascii="Arial" w:hAnsi="Arial" w:cs="Arial"/>
              </w:rPr>
              <w:t>F</w:t>
            </w:r>
            <w:r w:rsidR="007357D5" w:rsidRPr="003E11DB">
              <w:rPr>
                <w:rFonts w:ascii="Arial" w:hAnsi="Arial" w:cs="Arial"/>
              </w:rPr>
              <w:t>ree T4, TSH</w:t>
            </w:r>
          </w:p>
          <w:p w14:paraId="40DF38BA" w14:textId="77777777" w:rsidR="007357D5" w:rsidRPr="003E11DB" w:rsidRDefault="007357D5" w:rsidP="0005546E">
            <w:pPr>
              <w:spacing w:line="276" w:lineRule="auto"/>
              <w:rPr>
                <w:rFonts w:ascii="Arial" w:hAnsi="Arial" w:cs="Arial"/>
              </w:rPr>
            </w:pPr>
            <w:r w:rsidRPr="003E11DB">
              <w:rPr>
                <w:rFonts w:ascii="Arial" w:hAnsi="Arial" w:cs="Arial"/>
              </w:rPr>
              <w:t>CMP</w:t>
            </w:r>
          </w:p>
          <w:p w14:paraId="4E900B44" w14:textId="77777777" w:rsidR="007357D5" w:rsidRPr="003E11DB" w:rsidRDefault="007357D5" w:rsidP="0005546E">
            <w:pPr>
              <w:spacing w:line="276" w:lineRule="auto"/>
              <w:rPr>
                <w:rFonts w:ascii="Arial" w:hAnsi="Arial" w:cs="Arial"/>
              </w:rPr>
            </w:pPr>
            <w:r w:rsidRPr="003E11DB">
              <w:rPr>
                <w:rFonts w:ascii="Arial" w:hAnsi="Arial" w:cs="Arial"/>
              </w:rPr>
              <w:t>CMP/ UA</w:t>
            </w:r>
          </w:p>
          <w:p w14:paraId="070D1C6E" w14:textId="77777777" w:rsidR="007357D5" w:rsidRPr="003E11DB" w:rsidRDefault="007357D5" w:rsidP="0005546E">
            <w:pPr>
              <w:spacing w:line="276" w:lineRule="auto"/>
              <w:rPr>
                <w:rFonts w:ascii="Arial" w:hAnsi="Arial" w:cs="Arial"/>
              </w:rPr>
            </w:pPr>
            <w:r w:rsidRPr="003E11DB">
              <w:rPr>
                <w:rFonts w:ascii="Arial" w:hAnsi="Arial" w:cs="Arial"/>
              </w:rPr>
              <w:t>CMP/ UA/Fasting or Random Glucose / HgbA1c</w:t>
            </w:r>
          </w:p>
          <w:p w14:paraId="1D084A95" w14:textId="582EF6D5" w:rsidR="007357D5" w:rsidRPr="003E11DB" w:rsidRDefault="007357D5" w:rsidP="0005546E">
            <w:pPr>
              <w:spacing w:line="276" w:lineRule="auto"/>
              <w:rPr>
                <w:rFonts w:ascii="Arial" w:hAnsi="Arial" w:cs="Arial"/>
              </w:rPr>
            </w:pPr>
            <w:r w:rsidRPr="003E11DB">
              <w:rPr>
                <w:rFonts w:ascii="Arial" w:hAnsi="Arial" w:cs="Arial"/>
              </w:rPr>
              <w:t xml:space="preserve">CMP/ Fasting Glucose and Insulin </w:t>
            </w:r>
          </w:p>
        </w:tc>
      </w:tr>
      <w:tr w:rsidR="007357D5" w:rsidRPr="003E11DB" w14:paraId="0393BB1E" w14:textId="77777777" w:rsidTr="00A753BA">
        <w:trPr>
          <w:trHeight w:val="241"/>
        </w:trPr>
        <w:tc>
          <w:tcPr>
            <w:tcW w:w="2965" w:type="dxa"/>
            <w:hideMark/>
          </w:tcPr>
          <w:p w14:paraId="4992F669" w14:textId="77777777" w:rsidR="007357D5" w:rsidRPr="003E11DB" w:rsidRDefault="007357D5" w:rsidP="0005546E">
            <w:pPr>
              <w:spacing w:line="276" w:lineRule="auto"/>
              <w:rPr>
                <w:rFonts w:ascii="Arial" w:hAnsi="Arial" w:cs="Arial"/>
              </w:rPr>
            </w:pPr>
            <w:r w:rsidRPr="003E11DB">
              <w:rPr>
                <w:rFonts w:ascii="Arial" w:hAnsi="Arial" w:cs="Arial"/>
                <w:bCs/>
              </w:rPr>
              <w:t>Medications</w:t>
            </w:r>
          </w:p>
        </w:tc>
        <w:tc>
          <w:tcPr>
            <w:tcW w:w="3600" w:type="dxa"/>
            <w:hideMark/>
          </w:tcPr>
          <w:p w14:paraId="2604072B" w14:textId="77777777" w:rsidR="007357D5" w:rsidRPr="003E11DB" w:rsidRDefault="007357D5" w:rsidP="0005546E">
            <w:pPr>
              <w:spacing w:line="276" w:lineRule="auto"/>
              <w:rPr>
                <w:rFonts w:ascii="Arial" w:hAnsi="Arial" w:cs="Arial"/>
              </w:rPr>
            </w:pPr>
            <w:r w:rsidRPr="003E11DB">
              <w:rPr>
                <w:rFonts w:ascii="Arial" w:hAnsi="Arial" w:cs="Arial"/>
              </w:rPr>
              <w:t>Steroids, retinoids, oral contraceptives, protease inhibitors</w:t>
            </w:r>
          </w:p>
        </w:tc>
      </w:tr>
    </w:tbl>
    <w:p w14:paraId="5C11337D" w14:textId="0F834727" w:rsidR="00E64343" w:rsidRPr="003E11DB" w:rsidRDefault="0005546E" w:rsidP="0005546E">
      <w:pPr>
        <w:spacing w:after="0" w:line="276" w:lineRule="auto"/>
        <w:rPr>
          <w:rFonts w:ascii="Arial" w:hAnsi="Arial" w:cs="Arial"/>
        </w:rPr>
      </w:pPr>
      <w:r w:rsidRPr="003E11DB">
        <w:rPr>
          <w:rFonts w:ascii="Arial" w:hAnsi="Arial" w:cs="Arial"/>
        </w:rPr>
        <w:t>T4, thyroxine; TSH, thyroid-stimulating hormone; CMP, comprehensive metabolic profile; UA, urinalysis; HgbA1c, glycosylated hemoglobin.</w:t>
      </w:r>
    </w:p>
    <w:p w14:paraId="29E39F6E" w14:textId="77777777" w:rsidR="0005546E" w:rsidRPr="003E11DB" w:rsidRDefault="0005546E" w:rsidP="0005546E">
      <w:pPr>
        <w:spacing w:after="0" w:line="276" w:lineRule="auto"/>
        <w:rPr>
          <w:rFonts w:ascii="Arial" w:hAnsi="Arial" w:cs="Arial"/>
        </w:rPr>
      </w:pPr>
    </w:p>
    <w:tbl>
      <w:tblPr>
        <w:tblW w:w="9120" w:type="dxa"/>
        <w:tblCellMar>
          <w:left w:w="0" w:type="dxa"/>
          <w:right w:w="0" w:type="dxa"/>
        </w:tblCellMar>
        <w:tblLook w:val="04A0" w:firstRow="1" w:lastRow="0" w:firstColumn="1" w:lastColumn="0" w:noHBand="0" w:noVBand="1"/>
      </w:tblPr>
      <w:tblGrid>
        <w:gridCol w:w="6748"/>
        <w:gridCol w:w="1185"/>
        <w:gridCol w:w="1187"/>
      </w:tblGrid>
      <w:tr w:rsidR="0005546E" w:rsidRPr="003E11DB" w14:paraId="1D2962B9" w14:textId="77777777" w:rsidTr="0005546E">
        <w:trPr>
          <w:trHeight w:val="198"/>
        </w:trPr>
        <w:tc>
          <w:tcPr>
            <w:tcW w:w="9120" w:type="dxa"/>
            <w:gridSpan w:val="3"/>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029EB243" w14:textId="1C414867" w:rsidR="0005546E" w:rsidRPr="003E11DB" w:rsidRDefault="0005546E" w:rsidP="0005546E">
            <w:pPr>
              <w:spacing w:after="0" w:line="276" w:lineRule="auto"/>
              <w:rPr>
                <w:rFonts w:ascii="Arial" w:eastAsia="Calibri" w:hAnsi="Arial" w:cs="Arial"/>
                <w:b/>
                <w:bCs/>
                <w:color w:val="000000" w:themeColor="text1"/>
                <w:kern w:val="24"/>
              </w:rPr>
            </w:pPr>
            <w:r w:rsidRPr="003E11DB">
              <w:rPr>
                <w:rFonts w:ascii="Arial" w:hAnsi="Arial" w:cs="Arial"/>
                <w:b/>
                <w:bCs/>
              </w:rPr>
              <w:t>Table 2. The Prevalence and Etiology of Extreme HTG (TG &gt; 2,000 mg/dL) in Children</w:t>
            </w:r>
          </w:p>
        </w:tc>
      </w:tr>
      <w:tr w:rsidR="001729AB" w:rsidRPr="003E11DB" w14:paraId="33B78AA2" w14:textId="77777777" w:rsidTr="00F95B85">
        <w:trPr>
          <w:trHeight w:val="198"/>
        </w:trPr>
        <w:tc>
          <w:tcPr>
            <w:tcW w:w="6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9E04A9" w14:textId="77777777" w:rsidR="001729AB" w:rsidRPr="003E11DB" w:rsidRDefault="001729AB" w:rsidP="0005546E">
            <w:pPr>
              <w:spacing w:after="0" w:line="276" w:lineRule="auto"/>
              <w:rPr>
                <w:rFonts w:ascii="Arial" w:eastAsia="Times New Roman" w:hAnsi="Arial" w:cs="Arial"/>
                <w:color w:val="000000" w:themeColor="text1"/>
              </w:rPr>
            </w:pPr>
            <w:r w:rsidRPr="003E11DB">
              <w:rPr>
                <w:rFonts w:ascii="Arial" w:eastAsia="Calibri" w:hAnsi="Arial" w:cs="Arial"/>
                <w:b/>
                <w:bCs/>
                <w:color w:val="000000" w:themeColor="text1"/>
                <w:kern w:val="24"/>
              </w:rPr>
              <w:t>Dallas Children’s Hospital</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259265"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b/>
                <w:bCs/>
                <w:color w:val="000000" w:themeColor="text1"/>
                <w:kern w:val="24"/>
              </w:rPr>
              <w:t>Total</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E2614" w14:textId="3984941A"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b/>
                <w:bCs/>
                <w:color w:val="000000" w:themeColor="text1"/>
                <w:kern w:val="24"/>
              </w:rPr>
              <w:t>%</w:t>
            </w:r>
          </w:p>
        </w:tc>
      </w:tr>
      <w:tr w:rsidR="001729AB" w:rsidRPr="003E11DB" w14:paraId="5F9FE885" w14:textId="77777777" w:rsidTr="00F95B85">
        <w:trPr>
          <w:trHeight w:val="353"/>
        </w:trPr>
        <w:tc>
          <w:tcPr>
            <w:tcW w:w="6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E39A0" w14:textId="77777777" w:rsidR="001729AB" w:rsidRPr="003E11DB" w:rsidRDefault="001729AB" w:rsidP="0005546E">
            <w:pPr>
              <w:spacing w:after="0" w:line="276" w:lineRule="auto"/>
              <w:rPr>
                <w:rFonts w:ascii="Arial" w:eastAsia="Times New Roman" w:hAnsi="Arial" w:cs="Arial"/>
                <w:color w:val="000000" w:themeColor="text1"/>
              </w:rPr>
            </w:pPr>
            <w:r w:rsidRPr="003E11DB">
              <w:rPr>
                <w:rFonts w:ascii="Arial" w:eastAsia="Calibri" w:hAnsi="Arial" w:cs="Arial"/>
                <w:color w:val="000000" w:themeColor="text1"/>
                <w:kern w:val="24"/>
              </w:rPr>
              <w:t>Study Population</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581A0"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30,623</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A8A13"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100%</w:t>
            </w:r>
          </w:p>
        </w:tc>
      </w:tr>
      <w:tr w:rsidR="00521421" w:rsidRPr="003E11DB" w14:paraId="4CF2F308" w14:textId="77777777" w:rsidTr="00F95B85">
        <w:trPr>
          <w:trHeight w:val="353"/>
        </w:trPr>
        <w:tc>
          <w:tcPr>
            <w:tcW w:w="6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3CCA45" w14:textId="101784C1" w:rsidR="00521421" w:rsidRPr="003E11DB" w:rsidRDefault="00521421" w:rsidP="0005546E">
            <w:pPr>
              <w:spacing w:after="0" w:line="276" w:lineRule="auto"/>
              <w:rPr>
                <w:rFonts w:ascii="Arial" w:eastAsia="Calibri" w:hAnsi="Arial" w:cs="Arial"/>
                <w:color w:val="000000" w:themeColor="text1"/>
                <w:kern w:val="24"/>
              </w:rPr>
            </w:pPr>
            <w:r w:rsidRPr="003E11DB">
              <w:rPr>
                <w:rFonts w:ascii="Arial" w:eastAsia="Calibri" w:hAnsi="Arial" w:cs="Arial"/>
                <w:color w:val="000000" w:themeColor="text1"/>
                <w:kern w:val="24"/>
              </w:rPr>
              <w:t xml:space="preserve">Extreme HTG </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285AB6" w14:textId="21A45B15" w:rsidR="00521421" w:rsidRPr="003E11DB" w:rsidRDefault="00521421" w:rsidP="00F95B85">
            <w:pPr>
              <w:spacing w:after="0" w:line="276" w:lineRule="auto"/>
              <w:jc w:val="center"/>
              <w:rPr>
                <w:rFonts w:ascii="Arial" w:eastAsia="Calibri" w:hAnsi="Arial" w:cs="Arial"/>
                <w:color w:val="000000" w:themeColor="text1"/>
                <w:kern w:val="24"/>
              </w:rPr>
            </w:pPr>
            <w:r w:rsidRPr="003E11DB">
              <w:rPr>
                <w:rFonts w:ascii="Arial" w:eastAsia="Calibri" w:hAnsi="Arial" w:cs="Arial"/>
                <w:color w:val="000000" w:themeColor="text1"/>
                <w:kern w:val="24"/>
              </w:rPr>
              <w:t>31</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2CC0F3" w14:textId="4712F967" w:rsidR="00521421" w:rsidRPr="003E11DB" w:rsidRDefault="00521421" w:rsidP="00F95B85">
            <w:pPr>
              <w:spacing w:after="0" w:line="276" w:lineRule="auto"/>
              <w:jc w:val="center"/>
              <w:rPr>
                <w:rFonts w:ascii="Arial" w:eastAsia="Calibri" w:hAnsi="Arial" w:cs="Arial"/>
                <w:color w:val="000000" w:themeColor="text1"/>
                <w:kern w:val="24"/>
              </w:rPr>
            </w:pPr>
            <w:r w:rsidRPr="003E11DB">
              <w:rPr>
                <w:rFonts w:ascii="Arial" w:eastAsia="Calibri" w:hAnsi="Arial" w:cs="Arial"/>
                <w:color w:val="000000" w:themeColor="text1"/>
                <w:kern w:val="24"/>
              </w:rPr>
              <w:t>0.1%</w:t>
            </w:r>
          </w:p>
        </w:tc>
      </w:tr>
      <w:tr w:rsidR="001729AB" w:rsidRPr="003E11DB" w14:paraId="2053D96F" w14:textId="77777777" w:rsidTr="00F95B85">
        <w:trPr>
          <w:trHeight w:val="310"/>
        </w:trPr>
        <w:tc>
          <w:tcPr>
            <w:tcW w:w="6748"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vAlign w:val="center"/>
            <w:hideMark/>
          </w:tcPr>
          <w:p w14:paraId="14A82CA2" w14:textId="77777777" w:rsidR="001729AB" w:rsidRPr="003E11DB" w:rsidRDefault="001729AB" w:rsidP="0005546E">
            <w:pPr>
              <w:spacing w:after="0" w:line="276" w:lineRule="auto"/>
              <w:rPr>
                <w:rFonts w:ascii="Arial" w:eastAsia="Times New Roman" w:hAnsi="Arial" w:cs="Arial"/>
                <w:color w:val="000000" w:themeColor="text1"/>
              </w:rPr>
            </w:pPr>
            <w:r w:rsidRPr="003E11DB">
              <w:rPr>
                <w:rFonts w:ascii="Arial" w:eastAsia="Calibri" w:hAnsi="Arial" w:cs="Arial"/>
                <w:b/>
                <w:bCs/>
                <w:color w:val="000000" w:themeColor="text1"/>
                <w:kern w:val="24"/>
              </w:rPr>
              <w:t>Primary Genetic Causes</w:t>
            </w:r>
          </w:p>
        </w:tc>
        <w:tc>
          <w:tcPr>
            <w:tcW w:w="118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12C4EF10" w14:textId="2E3289A8" w:rsidR="001729AB" w:rsidRPr="003E11DB" w:rsidRDefault="001729AB" w:rsidP="00F95B85">
            <w:pPr>
              <w:spacing w:after="0" w:line="276" w:lineRule="auto"/>
              <w:jc w:val="center"/>
              <w:rPr>
                <w:rFonts w:ascii="Arial" w:eastAsia="Times New Roman" w:hAnsi="Arial" w:cs="Arial"/>
                <w:color w:val="000000" w:themeColor="text1"/>
              </w:rPr>
            </w:pPr>
          </w:p>
        </w:tc>
        <w:tc>
          <w:tcPr>
            <w:tcW w:w="118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3F2BC" w14:textId="63D7AE32" w:rsidR="001729AB" w:rsidRPr="003E11DB" w:rsidRDefault="001729AB" w:rsidP="00F95B85">
            <w:pPr>
              <w:spacing w:after="0" w:line="276" w:lineRule="auto"/>
              <w:jc w:val="center"/>
              <w:rPr>
                <w:rFonts w:ascii="Arial" w:eastAsia="Times New Roman" w:hAnsi="Arial" w:cs="Arial"/>
                <w:color w:val="000000" w:themeColor="text1"/>
              </w:rPr>
            </w:pPr>
          </w:p>
        </w:tc>
      </w:tr>
      <w:tr w:rsidR="001729AB" w:rsidRPr="003E11DB" w14:paraId="4FFA8777" w14:textId="77777777" w:rsidTr="00F95B85">
        <w:trPr>
          <w:trHeight w:val="310"/>
        </w:trPr>
        <w:tc>
          <w:tcPr>
            <w:tcW w:w="6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94792" w14:textId="7C2D78E4" w:rsidR="001729AB" w:rsidRPr="003E11DB" w:rsidRDefault="001729AB" w:rsidP="00797EBD">
            <w:pPr>
              <w:numPr>
                <w:ilvl w:val="0"/>
                <w:numId w:val="5"/>
              </w:numPr>
              <w:tabs>
                <w:tab w:val="left" w:pos="720"/>
              </w:tabs>
              <w:spacing w:after="0" w:line="276" w:lineRule="auto"/>
              <w:ind w:left="0"/>
              <w:contextualSpacing/>
              <w:rPr>
                <w:rFonts w:ascii="Arial" w:eastAsia="Times New Roman" w:hAnsi="Arial" w:cs="Arial"/>
                <w:color w:val="000000" w:themeColor="text1"/>
              </w:rPr>
            </w:pPr>
            <w:r w:rsidRPr="003E11DB">
              <w:rPr>
                <w:rFonts w:ascii="Arial" w:eastAsia="Calibri" w:hAnsi="Arial" w:cs="Arial"/>
                <w:color w:val="000000" w:themeColor="text1"/>
                <w:kern w:val="24"/>
              </w:rPr>
              <w:t xml:space="preserve">Type 1 </w:t>
            </w:r>
            <w:r w:rsidR="00435740" w:rsidRPr="003E11DB">
              <w:rPr>
                <w:rFonts w:ascii="Arial" w:eastAsia="Calibri" w:hAnsi="Arial" w:cs="Arial"/>
                <w:color w:val="000000" w:themeColor="text1"/>
                <w:kern w:val="24"/>
              </w:rPr>
              <w:t>H</w:t>
            </w:r>
            <w:r w:rsidRPr="003E11DB">
              <w:rPr>
                <w:rFonts w:ascii="Arial" w:eastAsia="Calibri" w:hAnsi="Arial" w:cs="Arial"/>
                <w:color w:val="000000" w:themeColor="text1"/>
                <w:kern w:val="24"/>
              </w:rPr>
              <w:t>yperlipoproteinemia</w:t>
            </w:r>
            <w:r w:rsidR="00F95B85" w:rsidRPr="003E11DB">
              <w:rPr>
                <w:rFonts w:ascii="Arial" w:eastAsia="Calibri" w:hAnsi="Arial" w:cs="Arial"/>
                <w:color w:val="000000" w:themeColor="text1"/>
                <w:kern w:val="24"/>
              </w:rPr>
              <w:t>, m</w:t>
            </w:r>
            <w:r w:rsidR="006653E3" w:rsidRPr="003E11DB">
              <w:rPr>
                <w:rFonts w:ascii="Arial" w:eastAsia="Calibri" w:hAnsi="Arial" w:cs="Arial"/>
                <w:color w:val="000000" w:themeColor="text1"/>
                <w:kern w:val="24"/>
              </w:rPr>
              <w:t>onogenic (Familial Chylomicronemia Syndrome</w:t>
            </w:r>
            <w:r w:rsidR="00F95B85" w:rsidRPr="003E11DB">
              <w:rPr>
                <w:rFonts w:ascii="Arial" w:eastAsia="Calibri" w:hAnsi="Arial" w:cs="Arial"/>
                <w:color w:val="000000" w:themeColor="text1"/>
                <w:kern w:val="24"/>
              </w:rPr>
              <w:t xml:space="preserve"> or FCS)</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CB9A7D"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5</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256D9"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14%</w:t>
            </w:r>
          </w:p>
        </w:tc>
      </w:tr>
      <w:tr w:rsidR="001729AB" w:rsidRPr="003E11DB" w14:paraId="78A955C4" w14:textId="77777777" w:rsidTr="00F95B85">
        <w:trPr>
          <w:trHeight w:val="310"/>
        </w:trPr>
        <w:tc>
          <w:tcPr>
            <w:tcW w:w="6748"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vAlign w:val="center"/>
            <w:hideMark/>
          </w:tcPr>
          <w:p w14:paraId="592BC8C1" w14:textId="77777777" w:rsidR="001729AB" w:rsidRPr="003E11DB" w:rsidRDefault="001729AB" w:rsidP="0005546E">
            <w:pPr>
              <w:spacing w:after="0" w:line="276" w:lineRule="auto"/>
              <w:rPr>
                <w:rFonts w:ascii="Arial" w:eastAsia="Times New Roman" w:hAnsi="Arial" w:cs="Arial"/>
                <w:color w:val="000000" w:themeColor="text1"/>
              </w:rPr>
            </w:pPr>
            <w:r w:rsidRPr="003E11DB">
              <w:rPr>
                <w:rFonts w:ascii="Arial" w:eastAsia="Calibri" w:hAnsi="Arial" w:cs="Arial"/>
                <w:b/>
                <w:bCs/>
                <w:color w:val="000000" w:themeColor="text1"/>
                <w:kern w:val="24"/>
              </w:rPr>
              <w:t>Secondary Causes</w:t>
            </w:r>
          </w:p>
        </w:tc>
        <w:tc>
          <w:tcPr>
            <w:tcW w:w="118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FC17CDC" w14:textId="6442AEE5" w:rsidR="001729AB" w:rsidRPr="003E11DB" w:rsidRDefault="001729AB" w:rsidP="00F95B85">
            <w:pPr>
              <w:spacing w:after="0" w:line="276" w:lineRule="auto"/>
              <w:jc w:val="center"/>
              <w:rPr>
                <w:rFonts w:ascii="Arial" w:eastAsia="Times New Roman" w:hAnsi="Arial" w:cs="Arial"/>
                <w:color w:val="000000" w:themeColor="text1"/>
              </w:rPr>
            </w:pPr>
          </w:p>
        </w:tc>
        <w:tc>
          <w:tcPr>
            <w:tcW w:w="118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E00194" w14:textId="6D3C7542" w:rsidR="001729AB" w:rsidRPr="003E11DB" w:rsidRDefault="001729AB" w:rsidP="00F95B85">
            <w:pPr>
              <w:spacing w:after="0" w:line="276" w:lineRule="auto"/>
              <w:jc w:val="center"/>
              <w:rPr>
                <w:rFonts w:ascii="Arial" w:eastAsia="Times New Roman" w:hAnsi="Arial" w:cs="Arial"/>
                <w:color w:val="000000" w:themeColor="text1"/>
              </w:rPr>
            </w:pPr>
          </w:p>
        </w:tc>
      </w:tr>
      <w:tr w:rsidR="001729AB" w:rsidRPr="003E11DB" w14:paraId="12933B55" w14:textId="77777777" w:rsidTr="00F95B85">
        <w:trPr>
          <w:trHeight w:val="310"/>
        </w:trPr>
        <w:tc>
          <w:tcPr>
            <w:tcW w:w="6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4C3997" w14:textId="77777777" w:rsidR="001729AB" w:rsidRPr="003E11DB" w:rsidRDefault="001729AB" w:rsidP="00797EBD">
            <w:pPr>
              <w:numPr>
                <w:ilvl w:val="0"/>
                <w:numId w:val="6"/>
              </w:numPr>
              <w:tabs>
                <w:tab w:val="left" w:pos="720"/>
              </w:tabs>
              <w:spacing w:after="0" w:line="276" w:lineRule="auto"/>
              <w:ind w:left="0"/>
              <w:contextualSpacing/>
              <w:rPr>
                <w:rFonts w:ascii="Arial" w:eastAsia="Times New Roman" w:hAnsi="Arial" w:cs="Arial"/>
                <w:color w:val="000000" w:themeColor="text1"/>
              </w:rPr>
            </w:pPr>
            <w:r w:rsidRPr="003E11DB">
              <w:rPr>
                <w:rFonts w:ascii="Arial" w:eastAsia="Calibri" w:hAnsi="Arial" w:cs="Arial"/>
                <w:color w:val="000000" w:themeColor="text1"/>
                <w:kern w:val="24"/>
              </w:rPr>
              <w:t>Uncontrolled Diabetes</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4A1338"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11</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0427B"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30%</w:t>
            </w:r>
          </w:p>
        </w:tc>
      </w:tr>
      <w:tr w:rsidR="001729AB" w:rsidRPr="003E11DB" w14:paraId="31C0C4AD" w14:textId="77777777" w:rsidTr="00F95B85">
        <w:trPr>
          <w:trHeight w:val="396"/>
        </w:trPr>
        <w:tc>
          <w:tcPr>
            <w:tcW w:w="6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7ECC5" w14:textId="5AF88177" w:rsidR="001729AB" w:rsidRPr="003E11DB" w:rsidRDefault="001729AB" w:rsidP="00797EBD">
            <w:pPr>
              <w:numPr>
                <w:ilvl w:val="0"/>
                <w:numId w:val="7"/>
              </w:numPr>
              <w:tabs>
                <w:tab w:val="left" w:pos="720"/>
              </w:tabs>
              <w:spacing w:after="0" w:line="276" w:lineRule="auto"/>
              <w:ind w:left="0"/>
              <w:contextualSpacing/>
              <w:rPr>
                <w:rFonts w:ascii="Arial" w:eastAsia="Times New Roman" w:hAnsi="Arial" w:cs="Arial"/>
                <w:color w:val="000000" w:themeColor="text1"/>
              </w:rPr>
            </w:pPr>
            <w:r w:rsidRPr="003E11DB">
              <w:rPr>
                <w:rFonts w:ascii="Arial" w:eastAsia="Calibri" w:hAnsi="Arial" w:cs="Arial"/>
                <w:color w:val="000000" w:themeColor="text1"/>
                <w:kern w:val="24"/>
              </w:rPr>
              <w:t>L-ASP and Steroids for A</w:t>
            </w:r>
            <w:r w:rsidR="008C1CBB" w:rsidRPr="003E11DB">
              <w:rPr>
                <w:rFonts w:ascii="Arial" w:eastAsia="Calibri" w:hAnsi="Arial" w:cs="Arial"/>
                <w:color w:val="000000" w:themeColor="text1"/>
                <w:kern w:val="24"/>
              </w:rPr>
              <w:t xml:space="preserve">cute </w:t>
            </w:r>
            <w:r w:rsidRPr="003E11DB">
              <w:rPr>
                <w:rFonts w:ascii="Arial" w:eastAsia="Calibri" w:hAnsi="Arial" w:cs="Arial"/>
                <w:color w:val="000000" w:themeColor="text1"/>
                <w:kern w:val="24"/>
              </w:rPr>
              <w:t>L</w:t>
            </w:r>
            <w:r w:rsidR="008C1CBB" w:rsidRPr="003E11DB">
              <w:rPr>
                <w:rFonts w:ascii="Arial" w:eastAsia="Calibri" w:hAnsi="Arial" w:cs="Arial"/>
                <w:color w:val="000000" w:themeColor="text1"/>
                <w:kern w:val="24"/>
              </w:rPr>
              <w:t xml:space="preserve">ymphocytic </w:t>
            </w:r>
            <w:r w:rsidRPr="003E11DB">
              <w:rPr>
                <w:rFonts w:ascii="Arial" w:eastAsia="Calibri" w:hAnsi="Arial" w:cs="Arial"/>
                <w:color w:val="000000" w:themeColor="text1"/>
                <w:kern w:val="24"/>
              </w:rPr>
              <w:t>L</w:t>
            </w:r>
            <w:r w:rsidR="008C1CBB" w:rsidRPr="003E11DB">
              <w:rPr>
                <w:rFonts w:ascii="Arial" w:eastAsia="Calibri" w:hAnsi="Arial" w:cs="Arial"/>
                <w:color w:val="000000" w:themeColor="text1"/>
                <w:kern w:val="24"/>
              </w:rPr>
              <w:t>eukemia</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30096"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10</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A24C1"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28%</w:t>
            </w:r>
          </w:p>
        </w:tc>
      </w:tr>
      <w:tr w:rsidR="001729AB" w:rsidRPr="003E11DB" w14:paraId="14887E1C" w14:textId="77777777" w:rsidTr="00F95B85">
        <w:trPr>
          <w:trHeight w:val="224"/>
        </w:trPr>
        <w:tc>
          <w:tcPr>
            <w:tcW w:w="6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5DC0A" w14:textId="77777777" w:rsidR="001729AB" w:rsidRPr="003E11DB" w:rsidRDefault="001729AB" w:rsidP="00797EBD">
            <w:pPr>
              <w:numPr>
                <w:ilvl w:val="0"/>
                <w:numId w:val="8"/>
              </w:numPr>
              <w:tabs>
                <w:tab w:val="left" w:pos="720"/>
              </w:tabs>
              <w:spacing w:after="0" w:line="276" w:lineRule="auto"/>
              <w:ind w:left="0"/>
              <w:contextualSpacing/>
              <w:rPr>
                <w:rFonts w:ascii="Arial" w:eastAsia="Times New Roman" w:hAnsi="Arial" w:cs="Arial"/>
                <w:color w:val="000000" w:themeColor="text1"/>
              </w:rPr>
            </w:pPr>
            <w:r w:rsidRPr="003E11DB">
              <w:rPr>
                <w:rFonts w:ascii="Arial" w:eastAsia="Calibri" w:hAnsi="Arial" w:cs="Arial"/>
                <w:color w:val="000000" w:themeColor="text1"/>
                <w:kern w:val="24"/>
              </w:rPr>
              <w:t>Sirolimus/Tacrolimus Therapy after solid organ transplantation</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75881"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5</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B23C7" w14:textId="77777777" w:rsidR="001729AB" w:rsidRPr="003E11DB" w:rsidRDefault="001729AB" w:rsidP="00F95B85">
            <w:pPr>
              <w:spacing w:after="0" w:line="276" w:lineRule="auto"/>
              <w:jc w:val="center"/>
              <w:rPr>
                <w:rFonts w:ascii="Arial" w:eastAsia="Times New Roman" w:hAnsi="Arial" w:cs="Arial"/>
                <w:color w:val="000000" w:themeColor="text1"/>
              </w:rPr>
            </w:pPr>
            <w:r w:rsidRPr="003E11DB">
              <w:rPr>
                <w:rFonts w:ascii="Arial" w:eastAsia="Calibri" w:hAnsi="Arial" w:cs="Arial"/>
                <w:color w:val="000000" w:themeColor="text1"/>
                <w:kern w:val="24"/>
              </w:rPr>
              <w:t>14%</w:t>
            </w:r>
          </w:p>
        </w:tc>
      </w:tr>
    </w:tbl>
    <w:p w14:paraId="15AD2C93" w14:textId="6B8B5807" w:rsidR="001729AB" w:rsidRPr="003E11DB" w:rsidRDefault="008C1CBB" w:rsidP="0005546E">
      <w:pPr>
        <w:spacing w:after="0" w:line="276" w:lineRule="auto"/>
        <w:rPr>
          <w:rFonts w:ascii="Arial" w:hAnsi="Arial" w:cs="Arial"/>
        </w:rPr>
      </w:pPr>
      <w:r w:rsidRPr="003E11DB">
        <w:rPr>
          <w:rFonts w:ascii="Arial" w:hAnsi="Arial" w:cs="Arial"/>
        </w:rPr>
        <w:t>Data from</w:t>
      </w:r>
      <w:r w:rsidR="00302A6B">
        <w:rPr>
          <w:rFonts w:ascii="Arial" w:hAnsi="Arial" w:cs="Arial"/>
        </w:rPr>
        <w:t xml:space="preserve"> a tertiary children’s hospital</w:t>
      </w:r>
      <w:r w:rsidRPr="003E11DB">
        <w:rPr>
          <w:rFonts w:ascii="Arial" w:hAnsi="Arial" w:cs="Arial"/>
        </w:rPr>
        <w:t xml:space="preserve"> </w:t>
      </w:r>
      <w:r w:rsidR="00435740" w:rsidRPr="004F0380">
        <w:rPr>
          <w:rFonts w:ascii="Arial" w:hAnsi="Arial" w:cs="Arial"/>
        </w:rPr>
        <w:t>(</w:t>
      </w:r>
      <w:r w:rsidR="00302A6B" w:rsidRPr="004F0380">
        <w:rPr>
          <w:rFonts w:ascii="Arial" w:hAnsi="Arial" w:cs="Arial"/>
        </w:rPr>
        <w:t>6</w:t>
      </w:r>
      <w:r w:rsidRPr="004F0380">
        <w:rPr>
          <w:rFonts w:ascii="Arial" w:hAnsi="Arial" w:cs="Arial"/>
        </w:rPr>
        <w:t>)</w:t>
      </w:r>
      <w:r w:rsidR="00302A6B" w:rsidRPr="004F0380">
        <w:rPr>
          <w:rFonts w:ascii="Arial" w:hAnsi="Arial" w:cs="Arial"/>
        </w:rPr>
        <w:t>.</w:t>
      </w:r>
      <w:r w:rsidRPr="004F0380">
        <w:rPr>
          <w:rFonts w:ascii="Arial" w:hAnsi="Arial" w:cs="Arial"/>
        </w:rPr>
        <w:t xml:space="preserve"> </w:t>
      </w:r>
    </w:p>
    <w:p w14:paraId="69B572C4" w14:textId="77777777" w:rsidR="008C1CBB" w:rsidRPr="003E11DB" w:rsidRDefault="008C1CBB" w:rsidP="0005546E">
      <w:pPr>
        <w:spacing w:after="0" w:line="276" w:lineRule="auto"/>
        <w:rPr>
          <w:rFonts w:ascii="Arial" w:hAnsi="Arial" w:cs="Arial"/>
        </w:rPr>
      </w:pPr>
    </w:p>
    <w:tbl>
      <w:tblPr>
        <w:tblStyle w:val="TableGrid1"/>
        <w:tblW w:w="9085" w:type="dxa"/>
        <w:tblLook w:val="04A0" w:firstRow="1" w:lastRow="0" w:firstColumn="1" w:lastColumn="0" w:noHBand="0" w:noVBand="1"/>
      </w:tblPr>
      <w:tblGrid>
        <w:gridCol w:w="3325"/>
        <w:gridCol w:w="1440"/>
        <w:gridCol w:w="1440"/>
        <w:gridCol w:w="1440"/>
        <w:gridCol w:w="1440"/>
      </w:tblGrid>
      <w:tr w:rsidR="008C1CBB" w:rsidRPr="003E11DB" w14:paraId="39DE7930" w14:textId="77777777" w:rsidTr="008C1CBB">
        <w:trPr>
          <w:trHeight w:val="350"/>
        </w:trPr>
        <w:tc>
          <w:tcPr>
            <w:tcW w:w="9085" w:type="dxa"/>
            <w:gridSpan w:val="5"/>
            <w:shd w:val="clear" w:color="auto" w:fill="FFFF00"/>
            <w:vAlign w:val="center"/>
          </w:tcPr>
          <w:p w14:paraId="5670A107" w14:textId="42EB0F09" w:rsidR="008C1CBB" w:rsidRPr="003E11DB" w:rsidRDefault="008C1CBB" w:rsidP="0005546E">
            <w:pPr>
              <w:spacing w:line="276" w:lineRule="auto"/>
              <w:rPr>
                <w:rFonts w:ascii="Arial" w:hAnsi="Arial" w:cs="Arial"/>
                <w:b/>
                <w:bCs/>
              </w:rPr>
            </w:pPr>
            <w:r w:rsidRPr="003E11DB">
              <w:rPr>
                <w:rFonts w:ascii="Arial" w:hAnsi="Arial" w:cs="Arial"/>
                <w:b/>
                <w:bCs/>
              </w:rPr>
              <w:t>Table 3. Triglyceride Levels in Children 12-19 Years of Age. NHANES data 1999 to 2008</w:t>
            </w:r>
          </w:p>
        </w:tc>
      </w:tr>
      <w:tr w:rsidR="00A72807" w:rsidRPr="003E11DB" w14:paraId="381CFA97" w14:textId="77777777" w:rsidTr="00F95B85">
        <w:trPr>
          <w:trHeight w:val="350"/>
        </w:trPr>
        <w:tc>
          <w:tcPr>
            <w:tcW w:w="3325" w:type="dxa"/>
            <w:vAlign w:val="center"/>
            <w:hideMark/>
          </w:tcPr>
          <w:p w14:paraId="53031AEF" w14:textId="77777777" w:rsidR="001729AB" w:rsidRPr="003E11DB" w:rsidRDefault="001729AB" w:rsidP="0005546E">
            <w:pPr>
              <w:spacing w:line="276" w:lineRule="auto"/>
              <w:rPr>
                <w:rFonts w:ascii="Arial" w:hAnsi="Arial" w:cs="Arial"/>
              </w:rPr>
            </w:pPr>
            <w:r w:rsidRPr="003E11DB">
              <w:rPr>
                <w:rFonts w:ascii="Arial" w:hAnsi="Arial" w:cs="Arial"/>
                <w:b/>
                <w:bCs/>
              </w:rPr>
              <w:t>TG Concentration</w:t>
            </w:r>
          </w:p>
        </w:tc>
        <w:tc>
          <w:tcPr>
            <w:tcW w:w="1440" w:type="dxa"/>
            <w:vAlign w:val="center"/>
            <w:hideMark/>
          </w:tcPr>
          <w:p w14:paraId="392D152C" w14:textId="77777777" w:rsidR="001729AB" w:rsidRPr="003E11DB" w:rsidRDefault="001729AB" w:rsidP="00F95B85">
            <w:pPr>
              <w:spacing w:line="276" w:lineRule="auto"/>
              <w:jc w:val="center"/>
              <w:rPr>
                <w:rFonts w:ascii="Arial" w:hAnsi="Arial" w:cs="Arial"/>
              </w:rPr>
            </w:pPr>
            <w:r w:rsidRPr="003E11DB">
              <w:rPr>
                <w:rFonts w:ascii="Arial" w:hAnsi="Arial" w:cs="Arial"/>
                <w:b/>
                <w:bCs/>
              </w:rPr>
              <w:t>Normal</w:t>
            </w:r>
          </w:p>
        </w:tc>
        <w:tc>
          <w:tcPr>
            <w:tcW w:w="1440" w:type="dxa"/>
            <w:vAlign w:val="center"/>
            <w:hideMark/>
          </w:tcPr>
          <w:p w14:paraId="1192045E" w14:textId="77777777" w:rsidR="001729AB" w:rsidRPr="003E11DB" w:rsidRDefault="001729AB" w:rsidP="00F95B85">
            <w:pPr>
              <w:spacing w:line="276" w:lineRule="auto"/>
              <w:jc w:val="center"/>
              <w:rPr>
                <w:rFonts w:ascii="Arial" w:hAnsi="Arial" w:cs="Arial"/>
              </w:rPr>
            </w:pPr>
            <w:r w:rsidRPr="003E11DB">
              <w:rPr>
                <w:rFonts w:ascii="Arial" w:hAnsi="Arial" w:cs="Arial"/>
                <w:b/>
                <w:bCs/>
              </w:rPr>
              <w:t>Mild-Mod</w:t>
            </w:r>
          </w:p>
        </w:tc>
        <w:tc>
          <w:tcPr>
            <w:tcW w:w="1440" w:type="dxa"/>
            <w:vAlign w:val="center"/>
            <w:hideMark/>
          </w:tcPr>
          <w:p w14:paraId="29BE3349" w14:textId="77777777" w:rsidR="001729AB" w:rsidRPr="003E11DB" w:rsidRDefault="001729AB" w:rsidP="00F95B85">
            <w:pPr>
              <w:spacing w:line="276" w:lineRule="auto"/>
              <w:jc w:val="center"/>
              <w:rPr>
                <w:rFonts w:ascii="Arial" w:hAnsi="Arial" w:cs="Arial"/>
              </w:rPr>
            </w:pPr>
            <w:r w:rsidRPr="003E11DB">
              <w:rPr>
                <w:rFonts w:ascii="Arial" w:hAnsi="Arial" w:cs="Arial"/>
                <w:b/>
                <w:bCs/>
              </w:rPr>
              <w:t>High</w:t>
            </w:r>
          </w:p>
        </w:tc>
        <w:tc>
          <w:tcPr>
            <w:tcW w:w="1440" w:type="dxa"/>
            <w:vMerge w:val="restart"/>
            <w:vAlign w:val="center"/>
            <w:hideMark/>
          </w:tcPr>
          <w:p w14:paraId="31950089" w14:textId="77777777" w:rsidR="001729AB" w:rsidRPr="003E11DB" w:rsidRDefault="001729AB" w:rsidP="00F95B85">
            <w:pPr>
              <w:spacing w:line="276" w:lineRule="auto"/>
              <w:jc w:val="center"/>
              <w:rPr>
                <w:rFonts w:ascii="Arial" w:hAnsi="Arial" w:cs="Arial"/>
                <w:b/>
                <w:bCs/>
              </w:rPr>
            </w:pPr>
            <w:r w:rsidRPr="003E11DB">
              <w:rPr>
                <w:rFonts w:ascii="Arial" w:hAnsi="Arial" w:cs="Arial"/>
                <w:b/>
                <w:bCs/>
              </w:rPr>
              <w:t>Missing</w:t>
            </w:r>
          </w:p>
          <w:p w14:paraId="00C246A6" w14:textId="44A09700" w:rsidR="00A72807" w:rsidRPr="003E11DB" w:rsidRDefault="00A72807" w:rsidP="00F95B85">
            <w:pPr>
              <w:spacing w:line="276" w:lineRule="auto"/>
              <w:jc w:val="center"/>
              <w:rPr>
                <w:rFonts w:ascii="Arial" w:hAnsi="Arial" w:cs="Arial"/>
              </w:rPr>
            </w:pPr>
            <w:r w:rsidRPr="003E11DB">
              <w:rPr>
                <w:rFonts w:ascii="Arial" w:hAnsi="Arial" w:cs="Arial"/>
                <w:b/>
                <w:bCs/>
              </w:rPr>
              <w:t>Data</w:t>
            </w:r>
          </w:p>
        </w:tc>
      </w:tr>
      <w:tr w:rsidR="00A72807" w:rsidRPr="003E11DB" w14:paraId="535B5D68" w14:textId="77777777" w:rsidTr="00F95B85">
        <w:trPr>
          <w:trHeight w:val="350"/>
        </w:trPr>
        <w:tc>
          <w:tcPr>
            <w:tcW w:w="3325" w:type="dxa"/>
            <w:vAlign w:val="center"/>
            <w:hideMark/>
          </w:tcPr>
          <w:p w14:paraId="4AC633BF" w14:textId="77777777" w:rsidR="001729AB" w:rsidRPr="003E11DB" w:rsidRDefault="001729AB" w:rsidP="0005546E">
            <w:pPr>
              <w:spacing w:line="276" w:lineRule="auto"/>
              <w:rPr>
                <w:rFonts w:ascii="Arial" w:hAnsi="Arial" w:cs="Arial"/>
              </w:rPr>
            </w:pPr>
            <w:r w:rsidRPr="003E11DB">
              <w:rPr>
                <w:rFonts w:ascii="Arial" w:hAnsi="Arial" w:cs="Arial"/>
                <w:b/>
                <w:bCs/>
              </w:rPr>
              <w:t>Triglyceride Levels (mg/dL)</w:t>
            </w:r>
          </w:p>
        </w:tc>
        <w:tc>
          <w:tcPr>
            <w:tcW w:w="1440" w:type="dxa"/>
            <w:vAlign w:val="center"/>
            <w:hideMark/>
          </w:tcPr>
          <w:p w14:paraId="30BBF0DE" w14:textId="77777777" w:rsidR="001729AB" w:rsidRPr="003E11DB" w:rsidRDefault="001729AB" w:rsidP="00F95B85">
            <w:pPr>
              <w:spacing w:line="276" w:lineRule="auto"/>
              <w:jc w:val="center"/>
              <w:rPr>
                <w:rFonts w:ascii="Arial" w:hAnsi="Arial" w:cs="Arial"/>
              </w:rPr>
            </w:pPr>
            <w:r w:rsidRPr="003E11DB">
              <w:rPr>
                <w:rFonts w:ascii="Arial" w:hAnsi="Arial" w:cs="Arial"/>
                <w:b/>
                <w:bCs/>
              </w:rPr>
              <w:t>&lt;150</w:t>
            </w:r>
          </w:p>
        </w:tc>
        <w:tc>
          <w:tcPr>
            <w:tcW w:w="1440" w:type="dxa"/>
            <w:vAlign w:val="center"/>
            <w:hideMark/>
          </w:tcPr>
          <w:p w14:paraId="35143D41" w14:textId="77777777" w:rsidR="001729AB" w:rsidRPr="003E11DB" w:rsidRDefault="001729AB" w:rsidP="00F95B85">
            <w:pPr>
              <w:spacing w:line="276" w:lineRule="auto"/>
              <w:jc w:val="center"/>
              <w:rPr>
                <w:rFonts w:ascii="Arial" w:hAnsi="Arial" w:cs="Arial"/>
              </w:rPr>
            </w:pPr>
            <w:r w:rsidRPr="003E11DB">
              <w:rPr>
                <w:rFonts w:ascii="Arial" w:hAnsi="Arial" w:cs="Arial"/>
                <w:b/>
                <w:bCs/>
              </w:rPr>
              <w:t>150-499</w:t>
            </w:r>
          </w:p>
        </w:tc>
        <w:tc>
          <w:tcPr>
            <w:tcW w:w="1440" w:type="dxa"/>
            <w:vAlign w:val="center"/>
            <w:hideMark/>
          </w:tcPr>
          <w:p w14:paraId="647EC0D3" w14:textId="77777777" w:rsidR="001729AB" w:rsidRPr="003E11DB" w:rsidRDefault="001729AB" w:rsidP="00F95B85">
            <w:pPr>
              <w:spacing w:line="276" w:lineRule="auto"/>
              <w:jc w:val="center"/>
              <w:rPr>
                <w:rFonts w:ascii="Arial" w:hAnsi="Arial" w:cs="Arial"/>
              </w:rPr>
            </w:pPr>
            <w:r w:rsidRPr="003E11DB">
              <w:rPr>
                <w:rFonts w:ascii="Arial" w:hAnsi="Arial" w:cs="Arial"/>
                <w:b/>
                <w:bCs/>
              </w:rPr>
              <w:t>&gt; 500</w:t>
            </w:r>
          </w:p>
        </w:tc>
        <w:tc>
          <w:tcPr>
            <w:tcW w:w="1440" w:type="dxa"/>
            <w:vMerge/>
            <w:vAlign w:val="center"/>
            <w:hideMark/>
          </w:tcPr>
          <w:p w14:paraId="6DB8532A" w14:textId="77777777" w:rsidR="001729AB" w:rsidRPr="003E11DB" w:rsidRDefault="001729AB" w:rsidP="00F95B85">
            <w:pPr>
              <w:spacing w:line="276" w:lineRule="auto"/>
              <w:jc w:val="center"/>
              <w:rPr>
                <w:rFonts w:ascii="Arial" w:hAnsi="Arial" w:cs="Arial"/>
              </w:rPr>
            </w:pPr>
          </w:p>
        </w:tc>
      </w:tr>
      <w:tr w:rsidR="00A72807" w:rsidRPr="003E11DB" w14:paraId="07F3BA7B" w14:textId="77777777" w:rsidTr="00F95B85">
        <w:trPr>
          <w:trHeight w:val="332"/>
        </w:trPr>
        <w:tc>
          <w:tcPr>
            <w:tcW w:w="3325" w:type="dxa"/>
            <w:vAlign w:val="center"/>
            <w:hideMark/>
          </w:tcPr>
          <w:p w14:paraId="731B2F07" w14:textId="77777777" w:rsidR="001729AB" w:rsidRPr="003E11DB" w:rsidRDefault="001729AB" w:rsidP="0005546E">
            <w:pPr>
              <w:spacing w:line="276" w:lineRule="auto"/>
              <w:rPr>
                <w:rFonts w:ascii="Arial" w:hAnsi="Arial" w:cs="Arial"/>
              </w:rPr>
            </w:pPr>
            <w:r w:rsidRPr="003E11DB">
              <w:rPr>
                <w:rFonts w:ascii="Arial" w:hAnsi="Arial" w:cs="Arial"/>
              </w:rPr>
              <w:t xml:space="preserve">Sample (n) </w:t>
            </w:r>
          </w:p>
        </w:tc>
        <w:tc>
          <w:tcPr>
            <w:tcW w:w="1440" w:type="dxa"/>
            <w:vAlign w:val="center"/>
            <w:hideMark/>
          </w:tcPr>
          <w:p w14:paraId="74E80DFC" w14:textId="79D8E4D6" w:rsidR="001729AB" w:rsidRPr="003E11DB" w:rsidRDefault="001729AB" w:rsidP="00F95B85">
            <w:pPr>
              <w:spacing w:line="276" w:lineRule="auto"/>
              <w:jc w:val="center"/>
              <w:rPr>
                <w:rFonts w:ascii="Arial" w:hAnsi="Arial" w:cs="Arial"/>
              </w:rPr>
            </w:pPr>
            <w:r w:rsidRPr="003E11DB">
              <w:rPr>
                <w:rFonts w:ascii="Arial" w:hAnsi="Arial" w:cs="Arial"/>
              </w:rPr>
              <w:t>2872</w:t>
            </w:r>
          </w:p>
        </w:tc>
        <w:tc>
          <w:tcPr>
            <w:tcW w:w="1440" w:type="dxa"/>
            <w:vAlign w:val="center"/>
            <w:hideMark/>
          </w:tcPr>
          <w:p w14:paraId="056D72DD" w14:textId="10CFD5EA" w:rsidR="001729AB" w:rsidRPr="003E11DB" w:rsidRDefault="001729AB" w:rsidP="00F95B85">
            <w:pPr>
              <w:spacing w:line="276" w:lineRule="auto"/>
              <w:jc w:val="center"/>
              <w:rPr>
                <w:rFonts w:ascii="Arial" w:hAnsi="Arial" w:cs="Arial"/>
              </w:rPr>
            </w:pPr>
            <w:r w:rsidRPr="003E11DB">
              <w:rPr>
                <w:rFonts w:ascii="Arial" w:hAnsi="Arial" w:cs="Arial"/>
              </w:rPr>
              <w:t>316</w:t>
            </w:r>
          </w:p>
        </w:tc>
        <w:tc>
          <w:tcPr>
            <w:tcW w:w="1440" w:type="dxa"/>
            <w:vAlign w:val="center"/>
            <w:hideMark/>
          </w:tcPr>
          <w:p w14:paraId="52DC3491" w14:textId="104E2257" w:rsidR="001729AB" w:rsidRPr="003E11DB" w:rsidRDefault="001729AB" w:rsidP="00F95B85">
            <w:pPr>
              <w:spacing w:line="276" w:lineRule="auto"/>
              <w:jc w:val="center"/>
              <w:rPr>
                <w:rFonts w:ascii="Arial" w:hAnsi="Arial" w:cs="Arial"/>
              </w:rPr>
            </w:pPr>
            <w:r w:rsidRPr="003E11DB">
              <w:rPr>
                <w:rFonts w:ascii="Arial" w:hAnsi="Arial" w:cs="Arial"/>
              </w:rPr>
              <w:t>3</w:t>
            </w:r>
          </w:p>
        </w:tc>
        <w:tc>
          <w:tcPr>
            <w:tcW w:w="1440" w:type="dxa"/>
            <w:vAlign w:val="center"/>
            <w:hideMark/>
          </w:tcPr>
          <w:p w14:paraId="64D985ED" w14:textId="77777777" w:rsidR="001729AB" w:rsidRPr="003E11DB" w:rsidRDefault="001729AB" w:rsidP="00F95B85">
            <w:pPr>
              <w:spacing w:line="276" w:lineRule="auto"/>
              <w:jc w:val="center"/>
              <w:rPr>
                <w:rFonts w:ascii="Arial" w:hAnsi="Arial" w:cs="Arial"/>
              </w:rPr>
            </w:pPr>
            <w:r w:rsidRPr="003E11DB">
              <w:rPr>
                <w:rFonts w:ascii="Arial" w:hAnsi="Arial" w:cs="Arial"/>
              </w:rPr>
              <w:t>57</w:t>
            </w:r>
          </w:p>
        </w:tc>
      </w:tr>
      <w:tr w:rsidR="00A72807" w:rsidRPr="003E11DB" w14:paraId="1DEDB579" w14:textId="77777777" w:rsidTr="00F95B85">
        <w:trPr>
          <w:trHeight w:val="377"/>
        </w:trPr>
        <w:tc>
          <w:tcPr>
            <w:tcW w:w="3325" w:type="dxa"/>
            <w:vAlign w:val="center"/>
            <w:hideMark/>
          </w:tcPr>
          <w:p w14:paraId="2C45AAF2" w14:textId="59DBAB9E" w:rsidR="001729AB" w:rsidRPr="003E11DB" w:rsidRDefault="001729AB" w:rsidP="0005546E">
            <w:pPr>
              <w:spacing w:line="276" w:lineRule="auto"/>
              <w:rPr>
                <w:rFonts w:ascii="Arial" w:hAnsi="Arial" w:cs="Arial"/>
              </w:rPr>
            </w:pPr>
            <w:r w:rsidRPr="003E11DB">
              <w:rPr>
                <w:rFonts w:ascii="Arial" w:hAnsi="Arial" w:cs="Arial"/>
              </w:rPr>
              <w:t>Weighted to US pop</w:t>
            </w:r>
            <w:r w:rsidR="008C1CBB" w:rsidRPr="003E11DB">
              <w:rPr>
                <w:rFonts w:ascii="Arial" w:hAnsi="Arial" w:cs="Arial"/>
              </w:rPr>
              <w:t>ulation</w:t>
            </w:r>
            <w:r w:rsidRPr="003E11DB">
              <w:rPr>
                <w:rFonts w:ascii="Arial" w:hAnsi="Arial" w:cs="Arial"/>
              </w:rPr>
              <w:t xml:space="preserve"> (n) </w:t>
            </w:r>
          </w:p>
        </w:tc>
        <w:tc>
          <w:tcPr>
            <w:tcW w:w="1440" w:type="dxa"/>
            <w:vAlign w:val="center"/>
            <w:hideMark/>
          </w:tcPr>
          <w:p w14:paraId="07BBCA7A" w14:textId="77777777" w:rsidR="001729AB" w:rsidRPr="003E11DB" w:rsidRDefault="001729AB" w:rsidP="00F95B85">
            <w:pPr>
              <w:spacing w:line="276" w:lineRule="auto"/>
              <w:jc w:val="center"/>
              <w:rPr>
                <w:rFonts w:ascii="Arial" w:hAnsi="Arial" w:cs="Arial"/>
              </w:rPr>
            </w:pPr>
            <w:r w:rsidRPr="003E11DB">
              <w:rPr>
                <w:rFonts w:ascii="Arial" w:hAnsi="Arial" w:cs="Arial"/>
              </w:rPr>
              <w:t>29,168,008</w:t>
            </w:r>
          </w:p>
        </w:tc>
        <w:tc>
          <w:tcPr>
            <w:tcW w:w="1440" w:type="dxa"/>
            <w:vAlign w:val="center"/>
            <w:hideMark/>
          </w:tcPr>
          <w:p w14:paraId="4A536583" w14:textId="77777777" w:rsidR="001729AB" w:rsidRPr="003E11DB" w:rsidRDefault="001729AB" w:rsidP="00F95B85">
            <w:pPr>
              <w:spacing w:line="276" w:lineRule="auto"/>
              <w:jc w:val="center"/>
              <w:rPr>
                <w:rFonts w:ascii="Arial" w:hAnsi="Arial" w:cs="Arial"/>
              </w:rPr>
            </w:pPr>
            <w:r w:rsidRPr="003E11DB">
              <w:rPr>
                <w:rFonts w:ascii="Arial" w:hAnsi="Arial" w:cs="Arial"/>
              </w:rPr>
              <w:t>3,464,483</w:t>
            </w:r>
          </w:p>
        </w:tc>
        <w:tc>
          <w:tcPr>
            <w:tcW w:w="1440" w:type="dxa"/>
            <w:vAlign w:val="center"/>
            <w:hideMark/>
          </w:tcPr>
          <w:p w14:paraId="7C6A3F75" w14:textId="77777777" w:rsidR="001729AB" w:rsidRPr="003E11DB" w:rsidRDefault="001729AB" w:rsidP="00F95B85">
            <w:pPr>
              <w:spacing w:line="276" w:lineRule="auto"/>
              <w:jc w:val="center"/>
              <w:rPr>
                <w:rFonts w:ascii="Arial" w:hAnsi="Arial" w:cs="Arial"/>
              </w:rPr>
            </w:pPr>
            <w:r w:rsidRPr="003E11DB">
              <w:rPr>
                <w:rFonts w:ascii="Arial" w:hAnsi="Arial" w:cs="Arial"/>
              </w:rPr>
              <w:t>59,946</w:t>
            </w:r>
          </w:p>
        </w:tc>
        <w:tc>
          <w:tcPr>
            <w:tcW w:w="1440" w:type="dxa"/>
            <w:vAlign w:val="center"/>
            <w:hideMark/>
          </w:tcPr>
          <w:p w14:paraId="131168C9" w14:textId="77777777" w:rsidR="001729AB" w:rsidRPr="003E11DB" w:rsidRDefault="001729AB" w:rsidP="00F95B85">
            <w:pPr>
              <w:spacing w:line="276" w:lineRule="auto"/>
              <w:jc w:val="center"/>
              <w:rPr>
                <w:rFonts w:ascii="Arial" w:hAnsi="Arial" w:cs="Arial"/>
              </w:rPr>
            </w:pPr>
            <w:r w:rsidRPr="003E11DB">
              <w:rPr>
                <w:rFonts w:ascii="Arial" w:hAnsi="Arial" w:cs="Arial"/>
              </w:rPr>
              <w:t>465,332</w:t>
            </w:r>
          </w:p>
        </w:tc>
      </w:tr>
      <w:tr w:rsidR="00A72807" w:rsidRPr="003E11DB" w14:paraId="32BA6633" w14:textId="77777777" w:rsidTr="00F95B85">
        <w:trPr>
          <w:trHeight w:val="350"/>
        </w:trPr>
        <w:tc>
          <w:tcPr>
            <w:tcW w:w="3325" w:type="dxa"/>
            <w:vAlign w:val="center"/>
            <w:hideMark/>
          </w:tcPr>
          <w:p w14:paraId="43579D40" w14:textId="77777777" w:rsidR="001729AB" w:rsidRPr="003E11DB" w:rsidRDefault="001729AB" w:rsidP="0005546E">
            <w:pPr>
              <w:spacing w:line="276" w:lineRule="auto"/>
              <w:rPr>
                <w:rFonts w:ascii="Arial" w:hAnsi="Arial" w:cs="Arial"/>
              </w:rPr>
            </w:pPr>
            <w:r w:rsidRPr="003E11DB">
              <w:rPr>
                <w:rFonts w:ascii="Arial" w:hAnsi="Arial" w:cs="Arial"/>
              </w:rPr>
              <w:t xml:space="preserve">Weighted % for each category </w:t>
            </w:r>
          </w:p>
        </w:tc>
        <w:tc>
          <w:tcPr>
            <w:tcW w:w="1440" w:type="dxa"/>
            <w:vAlign w:val="center"/>
            <w:hideMark/>
          </w:tcPr>
          <w:p w14:paraId="1338863B" w14:textId="77777777" w:rsidR="001729AB" w:rsidRPr="003E11DB" w:rsidRDefault="001729AB" w:rsidP="00F95B85">
            <w:pPr>
              <w:spacing w:line="276" w:lineRule="auto"/>
              <w:jc w:val="center"/>
              <w:rPr>
                <w:rFonts w:ascii="Arial" w:hAnsi="Arial" w:cs="Arial"/>
              </w:rPr>
            </w:pPr>
            <w:r w:rsidRPr="003E11DB">
              <w:rPr>
                <w:rFonts w:ascii="Arial" w:hAnsi="Arial" w:cs="Arial"/>
              </w:rPr>
              <w:t>88.0%</w:t>
            </w:r>
          </w:p>
        </w:tc>
        <w:tc>
          <w:tcPr>
            <w:tcW w:w="1440" w:type="dxa"/>
            <w:vAlign w:val="center"/>
            <w:hideMark/>
          </w:tcPr>
          <w:p w14:paraId="7A824113" w14:textId="77777777" w:rsidR="001729AB" w:rsidRPr="003E11DB" w:rsidRDefault="001729AB" w:rsidP="00F95B85">
            <w:pPr>
              <w:spacing w:line="276" w:lineRule="auto"/>
              <w:jc w:val="center"/>
              <w:rPr>
                <w:rFonts w:ascii="Arial" w:hAnsi="Arial" w:cs="Arial"/>
              </w:rPr>
            </w:pPr>
            <w:r w:rsidRPr="003E11DB">
              <w:rPr>
                <w:rFonts w:ascii="Arial" w:hAnsi="Arial" w:cs="Arial"/>
              </w:rPr>
              <w:t>10.5%</w:t>
            </w:r>
          </w:p>
        </w:tc>
        <w:tc>
          <w:tcPr>
            <w:tcW w:w="1440" w:type="dxa"/>
            <w:vAlign w:val="center"/>
            <w:hideMark/>
          </w:tcPr>
          <w:p w14:paraId="72076638" w14:textId="77777777" w:rsidR="001729AB" w:rsidRPr="003E11DB" w:rsidRDefault="001729AB" w:rsidP="00F95B85">
            <w:pPr>
              <w:spacing w:line="276" w:lineRule="auto"/>
              <w:jc w:val="center"/>
              <w:rPr>
                <w:rFonts w:ascii="Arial" w:hAnsi="Arial" w:cs="Arial"/>
              </w:rPr>
            </w:pPr>
            <w:r w:rsidRPr="003E11DB">
              <w:rPr>
                <w:rFonts w:ascii="Arial" w:hAnsi="Arial" w:cs="Arial"/>
              </w:rPr>
              <w:t>0.2%</w:t>
            </w:r>
          </w:p>
        </w:tc>
        <w:tc>
          <w:tcPr>
            <w:tcW w:w="1440" w:type="dxa"/>
            <w:vAlign w:val="center"/>
            <w:hideMark/>
          </w:tcPr>
          <w:p w14:paraId="20E956FA" w14:textId="77777777" w:rsidR="001729AB" w:rsidRPr="003E11DB" w:rsidRDefault="001729AB" w:rsidP="00F95B85">
            <w:pPr>
              <w:spacing w:line="276" w:lineRule="auto"/>
              <w:jc w:val="center"/>
              <w:rPr>
                <w:rFonts w:ascii="Arial" w:hAnsi="Arial" w:cs="Arial"/>
              </w:rPr>
            </w:pPr>
            <w:r w:rsidRPr="003E11DB">
              <w:rPr>
                <w:rFonts w:ascii="Arial" w:hAnsi="Arial" w:cs="Arial"/>
              </w:rPr>
              <w:t>1.4%</w:t>
            </w:r>
          </w:p>
        </w:tc>
      </w:tr>
    </w:tbl>
    <w:p w14:paraId="1C48A1D8" w14:textId="3C53D2ED" w:rsidR="00EB3837" w:rsidRPr="003E11DB" w:rsidRDefault="008C1CBB" w:rsidP="0005546E">
      <w:pPr>
        <w:spacing w:after="0" w:line="276" w:lineRule="auto"/>
        <w:rPr>
          <w:rFonts w:ascii="Arial" w:hAnsi="Arial" w:cs="Arial"/>
          <w:color w:val="FF0000"/>
        </w:rPr>
      </w:pPr>
      <w:r w:rsidRPr="003E11DB">
        <w:rPr>
          <w:rFonts w:ascii="Arial" w:hAnsi="Arial" w:cs="Arial"/>
        </w:rPr>
        <w:t>NHANES, National Health and Nutrition Examination Survey</w:t>
      </w:r>
      <w:r w:rsidR="00BE3A31">
        <w:rPr>
          <w:rFonts w:ascii="Arial" w:hAnsi="Arial" w:cs="Arial"/>
        </w:rPr>
        <w:t xml:space="preserve"> </w:t>
      </w:r>
      <w:r w:rsidR="00F43EAF">
        <w:rPr>
          <w:rFonts w:ascii="Arial" w:hAnsi="Arial" w:cs="Arial"/>
        </w:rPr>
        <w:t>(7)</w:t>
      </w:r>
    </w:p>
    <w:p w14:paraId="5FADAB0F" w14:textId="77777777" w:rsidR="008C1CBB" w:rsidRPr="003E11DB" w:rsidRDefault="008C1CBB" w:rsidP="0005546E">
      <w:pPr>
        <w:spacing w:after="0" w:line="276" w:lineRule="auto"/>
        <w:rPr>
          <w:rFonts w:ascii="Arial" w:hAnsi="Arial" w:cs="Arial"/>
          <w:color w:val="FF0000"/>
        </w:rPr>
      </w:pPr>
    </w:p>
    <w:p w14:paraId="2EFEF8D1" w14:textId="7B8C497D" w:rsidR="00E432C4" w:rsidRPr="003E11DB" w:rsidRDefault="000F75C7" w:rsidP="00461C6C">
      <w:pPr>
        <w:pStyle w:val="Heading2"/>
        <w:spacing w:before="0" w:line="276" w:lineRule="auto"/>
        <w:contextualSpacing/>
        <w:rPr>
          <w:rFonts w:eastAsia="Calibri"/>
        </w:rPr>
      </w:pPr>
      <w:r w:rsidRPr="003E11DB">
        <w:rPr>
          <w:rFonts w:eastAsia="Calibri"/>
        </w:rPr>
        <w:t>P</w:t>
      </w:r>
      <w:r w:rsidR="0069602D" w:rsidRPr="003E11DB">
        <w:rPr>
          <w:rFonts w:eastAsia="Calibri"/>
        </w:rPr>
        <w:t>ANCREATITIS</w:t>
      </w:r>
    </w:p>
    <w:p w14:paraId="0A511C88" w14:textId="77777777" w:rsidR="0069602D" w:rsidRPr="003E11DB" w:rsidRDefault="0069602D" w:rsidP="00461C6C">
      <w:pPr>
        <w:spacing w:after="0" w:line="276" w:lineRule="auto"/>
        <w:contextualSpacing/>
        <w:rPr>
          <w:rFonts w:ascii="Arial" w:eastAsia="Calibri" w:hAnsi="Arial" w:cs="Arial"/>
        </w:rPr>
      </w:pPr>
    </w:p>
    <w:p w14:paraId="38BD10F4" w14:textId="7A8FD86F" w:rsidR="00A178F5" w:rsidRPr="003E11DB" w:rsidRDefault="00495F86" w:rsidP="00461C6C">
      <w:pPr>
        <w:spacing w:after="0" w:line="276" w:lineRule="auto"/>
        <w:contextualSpacing/>
        <w:rPr>
          <w:rFonts w:ascii="Arial" w:eastAsia="Calibri" w:hAnsi="Arial" w:cs="Arial"/>
        </w:rPr>
      </w:pPr>
      <w:r w:rsidRPr="003E11DB">
        <w:rPr>
          <w:rFonts w:ascii="Arial" w:eastAsia="Calibri" w:hAnsi="Arial" w:cs="Arial"/>
        </w:rPr>
        <w:t xml:space="preserve">One of the main concerns in </w:t>
      </w:r>
      <w:r w:rsidR="0016634F" w:rsidRPr="003E11DB">
        <w:rPr>
          <w:rFonts w:ascii="Arial" w:eastAsia="Calibri" w:hAnsi="Arial" w:cs="Arial"/>
        </w:rPr>
        <w:t>children</w:t>
      </w:r>
      <w:r w:rsidRPr="003E11DB">
        <w:rPr>
          <w:rFonts w:ascii="Arial" w:eastAsia="Calibri" w:hAnsi="Arial" w:cs="Arial"/>
        </w:rPr>
        <w:t xml:space="preserve"> with </w:t>
      </w:r>
      <w:r w:rsidR="00B60353" w:rsidRPr="003E11DB">
        <w:rPr>
          <w:rFonts w:ascii="Arial" w:eastAsia="Calibri" w:hAnsi="Arial" w:cs="Arial"/>
        </w:rPr>
        <w:t>S</w:t>
      </w:r>
      <w:r w:rsidRPr="003E11DB">
        <w:rPr>
          <w:rFonts w:ascii="Arial" w:eastAsia="Calibri" w:hAnsi="Arial" w:cs="Arial"/>
        </w:rPr>
        <w:t xml:space="preserve">HTG is </w:t>
      </w:r>
      <w:r w:rsidR="00722340" w:rsidRPr="003E11DB">
        <w:rPr>
          <w:rFonts w:ascii="Arial" w:eastAsia="Calibri" w:hAnsi="Arial" w:cs="Arial"/>
        </w:rPr>
        <w:t xml:space="preserve">the </w:t>
      </w:r>
      <w:r w:rsidR="00B60353" w:rsidRPr="003E11DB">
        <w:rPr>
          <w:rFonts w:ascii="Arial" w:eastAsia="Calibri" w:hAnsi="Arial" w:cs="Arial"/>
        </w:rPr>
        <w:t xml:space="preserve">development of </w:t>
      </w:r>
      <w:r w:rsidRPr="003E11DB">
        <w:rPr>
          <w:rFonts w:ascii="Arial" w:eastAsia="Calibri" w:hAnsi="Arial" w:cs="Arial"/>
        </w:rPr>
        <w:t>a</w:t>
      </w:r>
      <w:r w:rsidR="0084213A" w:rsidRPr="003E11DB">
        <w:rPr>
          <w:rFonts w:ascii="Arial" w:eastAsia="Calibri" w:hAnsi="Arial" w:cs="Arial"/>
        </w:rPr>
        <w:t xml:space="preserve">cute pancreatitis </w:t>
      </w:r>
      <w:r w:rsidR="00C853FB" w:rsidRPr="003E11DB">
        <w:rPr>
          <w:rFonts w:ascii="Arial" w:eastAsia="Calibri" w:hAnsi="Arial" w:cs="Arial"/>
        </w:rPr>
        <w:t>(AP)</w:t>
      </w:r>
      <w:r w:rsidR="00B60353" w:rsidRPr="003E11DB">
        <w:rPr>
          <w:rFonts w:ascii="Arial" w:eastAsia="Calibri" w:hAnsi="Arial" w:cs="Arial"/>
        </w:rPr>
        <w:t xml:space="preserve">.  When present AP is </w:t>
      </w:r>
      <w:r w:rsidRPr="003E11DB">
        <w:rPr>
          <w:rFonts w:ascii="Arial" w:eastAsia="Calibri" w:hAnsi="Arial" w:cs="Arial"/>
        </w:rPr>
        <w:t xml:space="preserve">associated with </w:t>
      </w:r>
      <w:r w:rsidR="000B2552" w:rsidRPr="003E11DB">
        <w:rPr>
          <w:rFonts w:ascii="Arial" w:eastAsia="Calibri" w:hAnsi="Arial" w:cs="Arial"/>
        </w:rPr>
        <w:t xml:space="preserve">significant </w:t>
      </w:r>
      <w:r w:rsidR="00931320" w:rsidRPr="003E11DB">
        <w:rPr>
          <w:rFonts w:ascii="Arial" w:eastAsia="Calibri" w:hAnsi="Arial" w:cs="Arial"/>
        </w:rPr>
        <w:t xml:space="preserve">morbidity </w:t>
      </w:r>
      <w:r w:rsidR="00295FAB" w:rsidRPr="003E11DB">
        <w:rPr>
          <w:rFonts w:ascii="Arial" w:eastAsia="Calibri" w:hAnsi="Arial" w:cs="Arial"/>
        </w:rPr>
        <w:t>and</w:t>
      </w:r>
      <w:r w:rsidR="000B2552" w:rsidRPr="003E11DB">
        <w:rPr>
          <w:rFonts w:ascii="Arial" w:eastAsia="Calibri" w:hAnsi="Arial" w:cs="Arial"/>
        </w:rPr>
        <w:t xml:space="preserve"> can be life-threatening</w:t>
      </w:r>
      <w:r w:rsidR="004F0380">
        <w:rPr>
          <w:rFonts w:ascii="Arial" w:eastAsia="Calibri" w:hAnsi="Arial" w:cs="Arial"/>
        </w:rPr>
        <w:t xml:space="preserve">. </w:t>
      </w:r>
      <w:r w:rsidR="002E5EC0" w:rsidRPr="003E11DB">
        <w:rPr>
          <w:rFonts w:ascii="Arial" w:hAnsi="Arial" w:cs="Arial"/>
        </w:rPr>
        <w:t xml:space="preserve">Although </w:t>
      </w:r>
      <w:r w:rsidR="00B60353" w:rsidRPr="003E11DB">
        <w:rPr>
          <w:rFonts w:ascii="Arial" w:hAnsi="Arial" w:cs="Arial"/>
        </w:rPr>
        <w:t>S</w:t>
      </w:r>
      <w:r w:rsidR="002E5EC0" w:rsidRPr="003E11DB">
        <w:rPr>
          <w:rFonts w:ascii="Arial" w:hAnsi="Arial" w:cs="Arial"/>
        </w:rPr>
        <w:t xml:space="preserve">HTG is a </w:t>
      </w:r>
      <w:r w:rsidR="00482C8B" w:rsidRPr="003E11DB">
        <w:rPr>
          <w:rFonts w:ascii="Arial" w:hAnsi="Arial" w:cs="Arial"/>
        </w:rPr>
        <w:t>rare cause of AP</w:t>
      </w:r>
      <w:r w:rsidR="002E5EC0" w:rsidRPr="003E11DB">
        <w:rPr>
          <w:rFonts w:ascii="Arial" w:hAnsi="Arial" w:cs="Arial"/>
        </w:rPr>
        <w:t xml:space="preserve"> in children</w:t>
      </w:r>
      <w:r w:rsidR="00E109C0" w:rsidRPr="003E11DB">
        <w:rPr>
          <w:rFonts w:ascii="Arial" w:hAnsi="Arial" w:cs="Arial"/>
        </w:rPr>
        <w:t>,</w:t>
      </w:r>
      <w:r w:rsidR="00482C8B" w:rsidRPr="003E11DB">
        <w:rPr>
          <w:rFonts w:ascii="Arial" w:hAnsi="Arial" w:cs="Arial"/>
        </w:rPr>
        <w:t xml:space="preserve"> </w:t>
      </w:r>
      <w:r w:rsidR="00B60353" w:rsidRPr="003E11DB">
        <w:rPr>
          <w:rFonts w:ascii="Arial" w:hAnsi="Arial" w:cs="Arial"/>
        </w:rPr>
        <w:t xml:space="preserve">depending upon the etiology, </w:t>
      </w:r>
      <w:r w:rsidR="002E5EC0" w:rsidRPr="003E11DB">
        <w:rPr>
          <w:rFonts w:ascii="Arial" w:hAnsi="Arial" w:cs="Arial"/>
        </w:rPr>
        <w:t>it</w:t>
      </w:r>
      <w:r w:rsidR="000B2552" w:rsidRPr="003E11DB">
        <w:rPr>
          <w:rFonts w:ascii="Arial" w:hAnsi="Arial" w:cs="Arial"/>
        </w:rPr>
        <w:t xml:space="preserve"> may be recurrent</w:t>
      </w:r>
      <w:r w:rsidR="000A6483" w:rsidRPr="003E11DB">
        <w:rPr>
          <w:rFonts w:ascii="Arial" w:hAnsi="Arial" w:cs="Arial"/>
        </w:rPr>
        <w:t xml:space="preserve">. </w:t>
      </w:r>
      <w:r w:rsidR="00B60353" w:rsidRPr="003E11DB">
        <w:rPr>
          <w:rFonts w:ascii="Arial" w:hAnsi="Arial" w:cs="Arial"/>
        </w:rPr>
        <w:t xml:space="preserve">TG-associated </w:t>
      </w:r>
      <w:r w:rsidR="002E5EC0" w:rsidRPr="003E11DB">
        <w:rPr>
          <w:rFonts w:ascii="Arial" w:hAnsi="Arial" w:cs="Arial"/>
        </w:rPr>
        <w:t xml:space="preserve">AP </w:t>
      </w:r>
      <w:r w:rsidR="000A6483" w:rsidRPr="003E11DB">
        <w:rPr>
          <w:rFonts w:ascii="Arial" w:hAnsi="Arial" w:cs="Arial"/>
        </w:rPr>
        <w:t xml:space="preserve">typically occurs in </w:t>
      </w:r>
      <w:r w:rsidR="002E5EC0" w:rsidRPr="003E11DB">
        <w:rPr>
          <w:rFonts w:ascii="Arial" w:hAnsi="Arial" w:cs="Arial"/>
        </w:rPr>
        <w:t>individuals</w:t>
      </w:r>
      <w:r w:rsidR="000A6483" w:rsidRPr="003E11DB">
        <w:rPr>
          <w:rFonts w:ascii="Arial" w:hAnsi="Arial" w:cs="Arial"/>
        </w:rPr>
        <w:t xml:space="preserve"> with a pre-existing lipid abnormality, such as a monogenic disorders of TG metabolism</w:t>
      </w:r>
      <w:r w:rsidR="006653E3" w:rsidRPr="003E11DB">
        <w:rPr>
          <w:rFonts w:ascii="Arial" w:hAnsi="Arial" w:cs="Arial"/>
        </w:rPr>
        <w:t xml:space="preserve"> (Familial Chylomicronemia Syndrome)</w:t>
      </w:r>
      <w:r w:rsidR="00A329AE" w:rsidRPr="003E11DB">
        <w:rPr>
          <w:rFonts w:ascii="Arial" w:hAnsi="Arial" w:cs="Arial"/>
        </w:rPr>
        <w:t xml:space="preserve"> or</w:t>
      </w:r>
      <w:r w:rsidR="000A6483" w:rsidRPr="003E11DB">
        <w:rPr>
          <w:rFonts w:ascii="Arial" w:hAnsi="Arial" w:cs="Arial"/>
        </w:rPr>
        <w:t xml:space="preserve"> those with </w:t>
      </w:r>
      <w:r w:rsidR="000A6483" w:rsidRPr="003E11DB">
        <w:rPr>
          <w:rFonts w:ascii="Arial" w:hAnsi="Arial" w:cs="Arial"/>
        </w:rPr>
        <w:lastRenderedPageBreak/>
        <w:t xml:space="preserve">one or more secondary risk factors (e.g., poorly controlled diabetes, alcohol use, or </w:t>
      </w:r>
      <w:r w:rsidR="00E109C0" w:rsidRPr="003E11DB">
        <w:rPr>
          <w:rFonts w:ascii="Arial" w:hAnsi="Arial" w:cs="Arial"/>
        </w:rPr>
        <w:t xml:space="preserve">use of </w:t>
      </w:r>
      <w:r w:rsidR="000A6483" w:rsidRPr="003E11DB">
        <w:rPr>
          <w:rFonts w:ascii="Arial" w:hAnsi="Arial" w:cs="Arial"/>
        </w:rPr>
        <w:t xml:space="preserve">a medication that can provoke </w:t>
      </w:r>
      <w:r w:rsidR="00B60353" w:rsidRPr="003E11DB">
        <w:rPr>
          <w:rFonts w:ascii="Arial" w:hAnsi="Arial" w:cs="Arial"/>
        </w:rPr>
        <w:t>S</w:t>
      </w:r>
      <w:r w:rsidR="000A6483" w:rsidRPr="003E11DB">
        <w:rPr>
          <w:rFonts w:ascii="Arial" w:hAnsi="Arial" w:cs="Arial"/>
        </w:rPr>
        <w:t>HTG</w:t>
      </w:r>
      <w:r w:rsidR="00482C8B" w:rsidRPr="003E11DB">
        <w:rPr>
          <w:rFonts w:ascii="Arial" w:hAnsi="Arial" w:cs="Arial"/>
        </w:rPr>
        <w:t>)</w:t>
      </w:r>
      <w:r w:rsidR="00A329AE" w:rsidRPr="003E11DB">
        <w:rPr>
          <w:rFonts w:ascii="Arial" w:hAnsi="Arial" w:cs="Arial"/>
        </w:rPr>
        <w:t xml:space="preserve"> in</w:t>
      </w:r>
      <w:r w:rsidR="000A6483" w:rsidRPr="003E11DB">
        <w:rPr>
          <w:rFonts w:ascii="Arial" w:hAnsi="Arial" w:cs="Arial"/>
        </w:rPr>
        <w:t xml:space="preserve"> combination </w:t>
      </w:r>
      <w:r w:rsidR="00A329AE" w:rsidRPr="003E11DB">
        <w:rPr>
          <w:rFonts w:ascii="Arial" w:hAnsi="Arial" w:cs="Arial"/>
        </w:rPr>
        <w:t xml:space="preserve">with </w:t>
      </w:r>
      <w:r w:rsidR="00553BE9" w:rsidRPr="003E11DB">
        <w:rPr>
          <w:rFonts w:ascii="Arial" w:hAnsi="Arial" w:cs="Arial"/>
        </w:rPr>
        <w:t xml:space="preserve">small-effect genetic variants </w:t>
      </w:r>
      <w:r w:rsidR="00A329AE" w:rsidRPr="003E11DB">
        <w:rPr>
          <w:rFonts w:ascii="Arial" w:hAnsi="Arial" w:cs="Arial"/>
        </w:rPr>
        <w:t xml:space="preserve">leading to </w:t>
      </w:r>
      <w:r w:rsidR="00F95B85" w:rsidRPr="003E11DB">
        <w:rPr>
          <w:rFonts w:ascii="Arial" w:hAnsi="Arial" w:cs="Arial"/>
        </w:rPr>
        <w:t>HTG</w:t>
      </w:r>
      <w:r w:rsidR="006653E3" w:rsidRPr="003E11DB">
        <w:rPr>
          <w:rFonts w:ascii="Arial" w:hAnsi="Arial" w:cs="Arial"/>
        </w:rPr>
        <w:t xml:space="preserve"> (Multifactorial Chylomicronemia Syndrome)</w:t>
      </w:r>
      <w:r w:rsidR="000A6483" w:rsidRPr="003E11DB">
        <w:rPr>
          <w:rFonts w:ascii="Arial" w:hAnsi="Arial" w:cs="Arial"/>
        </w:rPr>
        <w:t xml:space="preserve">. </w:t>
      </w:r>
      <w:r w:rsidR="00A178F5" w:rsidRPr="003E11DB">
        <w:rPr>
          <w:rFonts w:ascii="Arial" w:hAnsi="Arial" w:cs="Arial"/>
        </w:rPr>
        <w:t xml:space="preserve">Compared to other causes, </w:t>
      </w:r>
      <w:r w:rsidR="00B60353" w:rsidRPr="003E11DB">
        <w:rPr>
          <w:rFonts w:ascii="Arial" w:hAnsi="Arial" w:cs="Arial"/>
        </w:rPr>
        <w:t>S</w:t>
      </w:r>
      <w:r w:rsidR="00A178F5" w:rsidRPr="003E11DB">
        <w:rPr>
          <w:rFonts w:ascii="Arial" w:hAnsi="Arial" w:cs="Arial"/>
        </w:rPr>
        <w:t>HTG</w:t>
      </w:r>
      <w:r w:rsidR="00B60353" w:rsidRPr="003E11DB">
        <w:rPr>
          <w:rFonts w:ascii="Arial" w:hAnsi="Arial" w:cs="Arial"/>
        </w:rPr>
        <w:t xml:space="preserve">-related </w:t>
      </w:r>
      <w:r w:rsidR="00A178F5" w:rsidRPr="003E11DB">
        <w:rPr>
          <w:rFonts w:ascii="Arial" w:hAnsi="Arial" w:cs="Arial"/>
        </w:rPr>
        <w:t xml:space="preserve">AP </w:t>
      </w:r>
      <w:r w:rsidR="00A329AE" w:rsidRPr="003E11DB">
        <w:rPr>
          <w:rFonts w:ascii="Arial" w:hAnsi="Arial" w:cs="Arial"/>
        </w:rPr>
        <w:t xml:space="preserve">is associated with </w:t>
      </w:r>
      <w:r w:rsidR="00A178F5" w:rsidRPr="003E11DB">
        <w:rPr>
          <w:rFonts w:ascii="Arial" w:hAnsi="Arial" w:cs="Arial"/>
        </w:rPr>
        <w:t>increased severity and mortality, higher frequencies of co</w:t>
      </w:r>
      <w:r w:rsidR="00B60353" w:rsidRPr="003E11DB">
        <w:rPr>
          <w:rFonts w:ascii="Arial" w:hAnsi="Arial" w:cs="Arial"/>
        </w:rPr>
        <w:t>-</w:t>
      </w:r>
      <w:r w:rsidR="00A178F5" w:rsidRPr="003E11DB">
        <w:rPr>
          <w:rFonts w:ascii="Arial" w:hAnsi="Arial" w:cs="Arial"/>
        </w:rPr>
        <w:t xml:space="preserve">morbidities and systemic complications, longer length of hospitalization, and more frequent </w:t>
      </w:r>
      <w:r w:rsidR="00A178F5" w:rsidRPr="00DE0F27">
        <w:rPr>
          <w:rFonts w:ascii="Arial" w:hAnsi="Arial" w:cs="Arial"/>
        </w:rPr>
        <w:t xml:space="preserve">recurrence </w:t>
      </w:r>
      <w:r w:rsidR="00C1789F" w:rsidRPr="00DE0F27">
        <w:rPr>
          <w:rFonts w:ascii="Arial" w:hAnsi="Arial" w:cs="Arial"/>
        </w:rPr>
        <w:t>(</w:t>
      </w:r>
      <w:r w:rsidR="00DE0F27" w:rsidRPr="00DE0F27">
        <w:rPr>
          <w:rFonts w:ascii="Arial" w:hAnsi="Arial" w:cs="Arial"/>
        </w:rPr>
        <w:t>8</w:t>
      </w:r>
      <w:r w:rsidR="00C1789F" w:rsidRPr="00DE0F27">
        <w:rPr>
          <w:rFonts w:ascii="Arial" w:hAnsi="Arial" w:cs="Arial"/>
        </w:rPr>
        <w:t>)</w:t>
      </w:r>
      <w:r w:rsidR="00295FAB" w:rsidRPr="00DE0F27">
        <w:rPr>
          <w:rFonts w:ascii="Arial" w:hAnsi="Arial" w:cs="Arial"/>
        </w:rPr>
        <w:t>.</w:t>
      </w:r>
      <w:r w:rsidR="004E1AE1" w:rsidRPr="00DE0F27">
        <w:rPr>
          <w:rFonts w:ascii="Arial" w:hAnsi="Arial" w:cs="Arial"/>
        </w:rPr>
        <w:t xml:space="preserve"> </w:t>
      </w:r>
      <w:r w:rsidR="009F01E5" w:rsidRPr="003E11DB">
        <w:rPr>
          <w:rFonts w:ascii="Arial" w:hAnsi="Arial" w:cs="Arial"/>
        </w:rPr>
        <w:t>In general</w:t>
      </w:r>
      <w:r w:rsidR="00E109C0" w:rsidRPr="003E11DB">
        <w:rPr>
          <w:rFonts w:ascii="Arial" w:hAnsi="Arial" w:cs="Arial"/>
        </w:rPr>
        <w:t>,</w:t>
      </w:r>
      <w:r w:rsidR="009F01E5" w:rsidRPr="003E11DB">
        <w:rPr>
          <w:rFonts w:ascii="Arial" w:hAnsi="Arial" w:cs="Arial"/>
        </w:rPr>
        <w:t xml:space="preserve"> it is believed that a TG level of 1,000 mg/dl or more is needed to precipitate an episode of AP. </w:t>
      </w:r>
    </w:p>
    <w:p w14:paraId="36801BFE" w14:textId="77777777" w:rsidR="00D31B02" w:rsidRPr="003E11DB" w:rsidRDefault="00D31B02" w:rsidP="00461C6C">
      <w:pPr>
        <w:spacing w:after="0" w:line="276" w:lineRule="auto"/>
        <w:contextualSpacing/>
        <w:rPr>
          <w:rFonts w:ascii="Arial" w:eastAsia="Calibri" w:hAnsi="Arial" w:cs="Arial"/>
        </w:rPr>
      </w:pPr>
    </w:p>
    <w:p w14:paraId="68DCF5BF" w14:textId="77777777" w:rsidR="00DE0F27" w:rsidRDefault="008E5084" w:rsidP="00461C6C">
      <w:pPr>
        <w:spacing w:after="0" w:line="276" w:lineRule="auto"/>
        <w:contextualSpacing/>
        <w:rPr>
          <w:rFonts w:ascii="Arial" w:eastAsia="Calibri" w:hAnsi="Arial" w:cs="Arial"/>
        </w:rPr>
      </w:pPr>
      <w:r w:rsidRPr="003E11DB">
        <w:rPr>
          <w:rFonts w:ascii="Arial" w:eastAsia="Calibri" w:hAnsi="Arial" w:cs="Arial"/>
        </w:rPr>
        <w:t xml:space="preserve">AP in children has </w:t>
      </w:r>
      <w:r w:rsidR="000B2552" w:rsidRPr="003E11DB">
        <w:rPr>
          <w:rFonts w:ascii="Arial" w:eastAsia="Calibri" w:hAnsi="Arial" w:cs="Arial"/>
        </w:rPr>
        <w:t xml:space="preserve">been </w:t>
      </w:r>
      <w:r w:rsidRPr="003E11DB">
        <w:rPr>
          <w:rFonts w:ascii="Arial" w:eastAsia="Calibri" w:hAnsi="Arial" w:cs="Arial"/>
        </w:rPr>
        <w:t xml:space="preserve">defined as having the presence of at least 2 of the following 3 criteria </w:t>
      </w:r>
      <w:r w:rsidR="00DE0F27" w:rsidRPr="00DE0F27">
        <w:rPr>
          <w:rFonts w:ascii="Arial" w:eastAsia="Calibri" w:hAnsi="Arial" w:cs="Arial"/>
        </w:rPr>
        <w:t>(9</w:t>
      </w:r>
      <w:r w:rsidRPr="00DE0F27">
        <w:rPr>
          <w:rFonts w:ascii="Arial" w:eastAsia="Calibri" w:hAnsi="Arial" w:cs="Arial"/>
        </w:rPr>
        <w:t xml:space="preserve">): </w:t>
      </w:r>
    </w:p>
    <w:p w14:paraId="1A7EB33D" w14:textId="595BEBD8" w:rsidR="00DE0F27" w:rsidRDefault="0097614C" w:rsidP="00DE0F27">
      <w:pPr>
        <w:pStyle w:val="ListParagraph"/>
        <w:numPr>
          <w:ilvl w:val="0"/>
          <w:numId w:val="12"/>
        </w:numPr>
        <w:spacing w:after="0"/>
        <w:rPr>
          <w:rFonts w:ascii="Arial" w:eastAsia="Calibri" w:hAnsi="Arial" w:cs="Arial"/>
        </w:rPr>
      </w:pPr>
      <w:r>
        <w:rPr>
          <w:rFonts w:ascii="Arial" w:eastAsia="Calibri" w:hAnsi="Arial" w:cs="Arial"/>
        </w:rPr>
        <w:t>A</w:t>
      </w:r>
      <w:r w:rsidR="008E5084" w:rsidRPr="00DE0F27">
        <w:rPr>
          <w:rFonts w:ascii="Arial" w:eastAsia="Calibri" w:hAnsi="Arial" w:cs="Arial"/>
        </w:rPr>
        <w:t xml:space="preserve">bdominal pain compatible with pancreatic origin; </w:t>
      </w:r>
    </w:p>
    <w:p w14:paraId="15734921" w14:textId="0F26B958" w:rsidR="00DE0F27" w:rsidRDefault="0097614C" w:rsidP="00DE0F27">
      <w:pPr>
        <w:pStyle w:val="ListParagraph"/>
        <w:numPr>
          <w:ilvl w:val="0"/>
          <w:numId w:val="12"/>
        </w:numPr>
        <w:spacing w:after="0"/>
        <w:rPr>
          <w:rFonts w:ascii="Arial" w:eastAsia="Calibri" w:hAnsi="Arial" w:cs="Arial"/>
        </w:rPr>
      </w:pPr>
      <w:r>
        <w:rPr>
          <w:rFonts w:ascii="Arial" w:eastAsia="Calibri" w:hAnsi="Arial" w:cs="Arial"/>
        </w:rPr>
        <w:t>A</w:t>
      </w:r>
      <w:r w:rsidR="008E5084" w:rsidRPr="00DE0F27">
        <w:rPr>
          <w:rFonts w:ascii="Arial" w:eastAsia="Calibri" w:hAnsi="Arial" w:cs="Arial"/>
        </w:rPr>
        <w:t xml:space="preserve">mylase and/or lipase at least 3 times upper limits of normal; and </w:t>
      </w:r>
    </w:p>
    <w:p w14:paraId="02E5E0FD" w14:textId="4EA3BA0B" w:rsidR="00DE0F27" w:rsidRDefault="0097614C" w:rsidP="00DE0F27">
      <w:pPr>
        <w:pStyle w:val="ListParagraph"/>
        <w:numPr>
          <w:ilvl w:val="0"/>
          <w:numId w:val="12"/>
        </w:numPr>
        <w:spacing w:after="0"/>
        <w:rPr>
          <w:rFonts w:ascii="Arial" w:eastAsia="Calibri" w:hAnsi="Arial" w:cs="Arial"/>
        </w:rPr>
      </w:pPr>
      <w:r>
        <w:rPr>
          <w:rFonts w:ascii="Arial" w:eastAsia="Calibri" w:hAnsi="Arial" w:cs="Arial"/>
        </w:rPr>
        <w:t>I</w:t>
      </w:r>
      <w:r w:rsidR="008E5084" w:rsidRPr="00DE0F27">
        <w:rPr>
          <w:rFonts w:ascii="Arial" w:eastAsia="Calibri" w:hAnsi="Arial" w:cs="Arial"/>
        </w:rPr>
        <w:t>maging suggestive</w:t>
      </w:r>
      <w:r w:rsidR="00E109C0" w:rsidRPr="00DE0F27">
        <w:rPr>
          <w:rFonts w:ascii="Arial" w:eastAsia="Calibri" w:hAnsi="Arial" w:cs="Arial"/>
        </w:rPr>
        <w:t xml:space="preserve"> of</w:t>
      </w:r>
      <w:r w:rsidR="00482C8B" w:rsidRPr="00DE0F27">
        <w:rPr>
          <w:rFonts w:ascii="Arial" w:eastAsia="Calibri" w:hAnsi="Arial" w:cs="Arial"/>
        </w:rPr>
        <w:t xml:space="preserve"> or </w:t>
      </w:r>
      <w:r w:rsidR="008E5084" w:rsidRPr="00DE0F27">
        <w:rPr>
          <w:rFonts w:ascii="Arial" w:eastAsia="Calibri" w:hAnsi="Arial" w:cs="Arial"/>
        </w:rPr>
        <w:t xml:space="preserve">compatible with pancreatic inflammation. </w:t>
      </w:r>
    </w:p>
    <w:p w14:paraId="1E5E7CFC" w14:textId="77777777" w:rsidR="00DE0F27" w:rsidRDefault="00DE0F27" w:rsidP="00DE0F27">
      <w:pPr>
        <w:pStyle w:val="ListParagraph"/>
        <w:spacing w:after="0"/>
        <w:rPr>
          <w:rFonts w:ascii="Arial" w:eastAsia="Calibri" w:hAnsi="Arial" w:cs="Arial"/>
        </w:rPr>
      </w:pPr>
    </w:p>
    <w:p w14:paraId="386E7F59" w14:textId="75161F77" w:rsidR="0084213A" w:rsidRPr="00DE0F27" w:rsidRDefault="008E5084" w:rsidP="00DE0F27">
      <w:pPr>
        <w:spacing w:after="0"/>
        <w:rPr>
          <w:rFonts w:ascii="Arial" w:eastAsia="Calibri" w:hAnsi="Arial" w:cs="Arial"/>
        </w:rPr>
      </w:pPr>
      <w:r w:rsidRPr="00DE0F27">
        <w:rPr>
          <w:rFonts w:ascii="Arial" w:eastAsia="Calibri" w:hAnsi="Arial" w:cs="Arial"/>
        </w:rPr>
        <w:t>Not all children with AP have abnormal levels o</w:t>
      </w:r>
      <w:r w:rsidR="00DE0F27">
        <w:rPr>
          <w:rFonts w:ascii="Arial" w:eastAsia="Calibri" w:hAnsi="Arial" w:cs="Arial"/>
        </w:rPr>
        <w:t xml:space="preserve">f serum amylase and/or lipase. </w:t>
      </w:r>
      <w:r w:rsidR="00B325E2" w:rsidRPr="00DE0F27">
        <w:rPr>
          <w:rFonts w:ascii="Arial" w:eastAsia="Calibri" w:hAnsi="Arial" w:cs="Arial"/>
        </w:rPr>
        <w:t>Furthermore</w:t>
      </w:r>
      <w:r w:rsidR="00E109C0" w:rsidRPr="00DE0F27">
        <w:rPr>
          <w:rFonts w:ascii="Arial" w:eastAsia="Calibri" w:hAnsi="Arial" w:cs="Arial"/>
        </w:rPr>
        <w:t>,</w:t>
      </w:r>
      <w:r w:rsidR="00B325E2" w:rsidRPr="00DE0F27">
        <w:rPr>
          <w:rFonts w:ascii="Arial" w:eastAsia="Calibri" w:hAnsi="Arial" w:cs="Arial"/>
        </w:rPr>
        <w:t xml:space="preserve"> interference with c</w:t>
      </w:r>
      <w:r w:rsidR="004B3EAC" w:rsidRPr="00DE0F27">
        <w:rPr>
          <w:rFonts w:ascii="Arial" w:eastAsia="Calibri" w:hAnsi="Arial" w:cs="Arial"/>
        </w:rPr>
        <w:t>o</w:t>
      </w:r>
      <w:r w:rsidR="00B325E2" w:rsidRPr="00DE0F27">
        <w:rPr>
          <w:rFonts w:ascii="Arial" w:eastAsia="Calibri" w:hAnsi="Arial" w:cs="Arial"/>
        </w:rPr>
        <w:t xml:space="preserve">lorimetric reading assays may cause falsely </w:t>
      </w:r>
      <w:r w:rsidR="002E5EC0" w:rsidRPr="00DE0F27">
        <w:rPr>
          <w:rFonts w:ascii="Arial" w:eastAsia="Calibri" w:hAnsi="Arial" w:cs="Arial"/>
        </w:rPr>
        <w:t xml:space="preserve">normal results when TG levels </w:t>
      </w:r>
      <w:r w:rsidR="00A329AE" w:rsidRPr="00DE0F27">
        <w:rPr>
          <w:rFonts w:ascii="Arial" w:eastAsia="Calibri" w:hAnsi="Arial" w:cs="Arial"/>
        </w:rPr>
        <w:t xml:space="preserve">are greater than </w:t>
      </w:r>
      <w:r w:rsidR="00B325E2" w:rsidRPr="00DE0F27">
        <w:rPr>
          <w:rFonts w:ascii="Arial" w:eastAsia="Calibri" w:hAnsi="Arial" w:cs="Arial"/>
        </w:rPr>
        <w:t>500 mg/dL</w:t>
      </w:r>
      <w:r w:rsidR="00553BE9" w:rsidRPr="00DE0F27">
        <w:rPr>
          <w:rFonts w:ascii="Arial" w:eastAsia="Calibri" w:hAnsi="Arial" w:cs="Arial"/>
        </w:rPr>
        <w:t xml:space="preserve">. A reasonable </w:t>
      </w:r>
      <w:r w:rsidR="00251721" w:rsidRPr="00DE0F27">
        <w:rPr>
          <w:rFonts w:ascii="Arial" w:eastAsia="Calibri" w:hAnsi="Arial" w:cs="Arial"/>
        </w:rPr>
        <w:t xml:space="preserve">estimate of the </w:t>
      </w:r>
      <w:r w:rsidR="001706CE" w:rsidRPr="00DE0F27">
        <w:rPr>
          <w:rFonts w:ascii="Arial" w:eastAsia="Calibri" w:hAnsi="Arial" w:cs="Arial"/>
        </w:rPr>
        <w:t>amylase/lipase</w:t>
      </w:r>
      <w:r w:rsidR="00251721" w:rsidRPr="00DE0F27">
        <w:rPr>
          <w:rFonts w:ascii="Arial" w:eastAsia="Calibri" w:hAnsi="Arial" w:cs="Arial"/>
        </w:rPr>
        <w:t xml:space="preserve"> level</w:t>
      </w:r>
      <w:r w:rsidR="001706CE" w:rsidRPr="00DE0F27">
        <w:rPr>
          <w:rFonts w:ascii="Arial" w:eastAsia="Calibri" w:hAnsi="Arial" w:cs="Arial"/>
        </w:rPr>
        <w:t>s</w:t>
      </w:r>
      <w:r w:rsidR="00251721" w:rsidRPr="00DE0F27">
        <w:rPr>
          <w:rFonts w:ascii="Arial" w:eastAsia="Calibri" w:hAnsi="Arial" w:cs="Arial"/>
        </w:rPr>
        <w:t xml:space="preserve"> may be obtained </w:t>
      </w:r>
      <w:r w:rsidR="00B325E2" w:rsidRPr="00DE0F27">
        <w:rPr>
          <w:rFonts w:ascii="Arial" w:eastAsia="Calibri" w:hAnsi="Arial" w:cs="Arial"/>
        </w:rPr>
        <w:t>with s</w:t>
      </w:r>
      <w:r w:rsidR="00F0466F" w:rsidRPr="00DE0F27">
        <w:rPr>
          <w:rFonts w:ascii="Arial" w:eastAsia="Calibri" w:hAnsi="Arial" w:cs="Arial"/>
        </w:rPr>
        <w:t xml:space="preserve">erial dilutions of the serum. </w:t>
      </w:r>
      <w:r w:rsidR="00B325E2" w:rsidRPr="00DE0F27">
        <w:rPr>
          <w:rFonts w:ascii="Arial" w:eastAsia="Calibri" w:hAnsi="Arial" w:cs="Arial"/>
        </w:rPr>
        <w:t>Compared to amylase, serum lipase appears to have higher specificity and sensitivity for AP</w:t>
      </w:r>
      <w:r w:rsidR="00C935AC" w:rsidRPr="00DE0F27">
        <w:rPr>
          <w:rFonts w:ascii="Arial" w:eastAsia="Calibri" w:hAnsi="Arial" w:cs="Arial"/>
        </w:rPr>
        <w:t>.</w:t>
      </w:r>
      <w:r w:rsidR="00434FD1" w:rsidRPr="00DE0F27">
        <w:rPr>
          <w:rFonts w:ascii="Arial" w:eastAsia="Calibri" w:hAnsi="Arial" w:cs="Arial"/>
        </w:rPr>
        <w:t xml:space="preserve"> </w:t>
      </w:r>
      <w:r w:rsidRPr="00DE0F27">
        <w:rPr>
          <w:rFonts w:ascii="Arial" w:eastAsia="Calibri" w:hAnsi="Arial" w:cs="Arial"/>
        </w:rPr>
        <w:t>To assist in clinical-decision making, Abu-El-Haija published guidelines to help categorize the severity of children</w:t>
      </w:r>
      <w:r w:rsidR="00B60353" w:rsidRPr="00DE0F27">
        <w:rPr>
          <w:rFonts w:ascii="Arial" w:eastAsia="Calibri" w:hAnsi="Arial" w:cs="Arial"/>
        </w:rPr>
        <w:t xml:space="preserve"> with AP</w:t>
      </w:r>
      <w:r w:rsidRPr="00DE0F27">
        <w:rPr>
          <w:rFonts w:ascii="Arial" w:eastAsia="Calibri" w:hAnsi="Arial" w:cs="Arial"/>
        </w:rPr>
        <w:t xml:space="preserve"> (</w:t>
      </w:r>
      <w:r w:rsidR="00DE0F27">
        <w:rPr>
          <w:rFonts w:ascii="Arial" w:eastAsia="Calibri" w:hAnsi="Arial" w:cs="Arial"/>
        </w:rPr>
        <w:t>10</w:t>
      </w:r>
      <w:r w:rsidRPr="00DE0F27">
        <w:rPr>
          <w:rFonts w:ascii="Arial" w:eastAsia="Calibri" w:hAnsi="Arial" w:cs="Arial"/>
        </w:rPr>
        <w:t xml:space="preserve">). </w:t>
      </w:r>
      <w:r w:rsidR="00B60353" w:rsidRPr="00DE0F27">
        <w:rPr>
          <w:rFonts w:ascii="Arial" w:eastAsia="Calibri" w:hAnsi="Arial" w:cs="Arial"/>
        </w:rPr>
        <w:t>C</w:t>
      </w:r>
      <w:r w:rsidR="005B1613" w:rsidRPr="00DE0F27">
        <w:rPr>
          <w:rFonts w:ascii="Arial" w:eastAsia="Calibri" w:hAnsi="Arial" w:cs="Arial"/>
        </w:rPr>
        <w:t xml:space="preserve">ategorization may be </w:t>
      </w:r>
      <w:r w:rsidR="00B60353" w:rsidRPr="00DE0F27">
        <w:rPr>
          <w:rFonts w:ascii="Arial" w:eastAsia="Calibri" w:hAnsi="Arial" w:cs="Arial"/>
        </w:rPr>
        <w:t xml:space="preserve">a </w:t>
      </w:r>
      <w:r w:rsidR="005B1613" w:rsidRPr="00DE0F27">
        <w:rPr>
          <w:rFonts w:ascii="Arial" w:eastAsia="Calibri" w:hAnsi="Arial" w:cs="Arial"/>
        </w:rPr>
        <w:t xml:space="preserve">helpful </w:t>
      </w:r>
      <w:r w:rsidR="00251721" w:rsidRPr="00DE0F27">
        <w:rPr>
          <w:rFonts w:ascii="Arial" w:eastAsia="Calibri" w:hAnsi="Arial" w:cs="Arial"/>
        </w:rPr>
        <w:t xml:space="preserve">clinical tool </w:t>
      </w:r>
      <w:r w:rsidR="005B1613" w:rsidRPr="00DE0F27">
        <w:rPr>
          <w:rFonts w:ascii="Arial" w:eastAsia="Calibri" w:hAnsi="Arial" w:cs="Arial"/>
        </w:rPr>
        <w:t>in determining how aggressive</w:t>
      </w:r>
      <w:r w:rsidR="00DE0F27">
        <w:rPr>
          <w:rFonts w:ascii="Arial" w:eastAsia="Calibri" w:hAnsi="Arial" w:cs="Arial"/>
        </w:rPr>
        <w:t>ly</w:t>
      </w:r>
      <w:r w:rsidR="005B1613" w:rsidRPr="00DE0F27">
        <w:rPr>
          <w:rFonts w:ascii="Arial" w:eastAsia="Calibri" w:hAnsi="Arial" w:cs="Arial"/>
        </w:rPr>
        <w:t xml:space="preserve"> to treat </w:t>
      </w:r>
      <w:r w:rsidR="00B60353" w:rsidRPr="00DE0F27">
        <w:rPr>
          <w:rFonts w:ascii="Arial" w:eastAsia="Calibri" w:hAnsi="Arial" w:cs="Arial"/>
        </w:rPr>
        <w:t>S</w:t>
      </w:r>
      <w:r w:rsidR="005B1613" w:rsidRPr="00DE0F27">
        <w:rPr>
          <w:rFonts w:ascii="Arial" w:eastAsia="Calibri" w:hAnsi="Arial" w:cs="Arial"/>
        </w:rPr>
        <w:t xml:space="preserve">HTG in this setting. </w:t>
      </w:r>
      <w:r w:rsidR="00553BE9" w:rsidRPr="00DE0F27">
        <w:rPr>
          <w:rFonts w:ascii="Arial" w:eastAsia="Calibri" w:hAnsi="Arial" w:cs="Arial"/>
        </w:rPr>
        <w:t xml:space="preserve">We have modified this guideline to aid clinicians in determining the potential benefit of aggressive TG management of </w:t>
      </w:r>
      <w:r w:rsidR="00F95B85" w:rsidRPr="00DE0F27">
        <w:rPr>
          <w:rFonts w:ascii="Arial" w:eastAsia="Calibri" w:hAnsi="Arial" w:cs="Arial"/>
        </w:rPr>
        <w:t xml:space="preserve">hospitalized </w:t>
      </w:r>
      <w:r w:rsidR="00553BE9" w:rsidRPr="00DE0F27">
        <w:rPr>
          <w:rFonts w:ascii="Arial" w:eastAsia="Calibri" w:hAnsi="Arial" w:cs="Arial"/>
        </w:rPr>
        <w:t>children with SHTG who are critically ill, with or without pancreatitis. (Figure)</w:t>
      </w:r>
    </w:p>
    <w:p w14:paraId="240E4437" w14:textId="77777777" w:rsidR="00AC76FD" w:rsidRPr="003E11DB" w:rsidRDefault="00AC76FD" w:rsidP="0005546E">
      <w:pPr>
        <w:spacing w:after="0" w:line="276" w:lineRule="auto"/>
        <w:rPr>
          <w:rFonts w:ascii="Arial" w:eastAsia="Calibri" w:hAnsi="Arial" w:cs="Arial"/>
        </w:rPr>
      </w:pPr>
    </w:p>
    <w:p w14:paraId="22143441" w14:textId="223BD54B" w:rsidR="001C6653" w:rsidRPr="003E11DB" w:rsidRDefault="00997B80" w:rsidP="0005546E">
      <w:pPr>
        <w:spacing w:after="0" w:line="276" w:lineRule="auto"/>
        <w:rPr>
          <w:rFonts w:ascii="Arial" w:eastAsia="Calibri" w:hAnsi="Arial" w:cs="Arial"/>
        </w:rPr>
      </w:pPr>
      <w:r w:rsidRPr="003E11DB">
        <w:rPr>
          <w:rFonts w:ascii="Arial" w:eastAsia="Calibri" w:hAnsi="Arial" w:cs="Arial"/>
          <w:noProof/>
        </w:rPr>
        <w:drawing>
          <wp:inline distT="0" distB="0" distL="0" distR="0" wp14:anchorId="6C72559E" wp14:editId="23A166E6">
            <wp:extent cx="5943600" cy="2930862"/>
            <wp:effectExtent l="0" t="0" r="0" b="3175"/>
            <wp:docPr id="44738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89141" name="Picture 447389141"/>
                    <pic:cNvPicPr/>
                  </pic:nvPicPr>
                  <pic:blipFill rotWithShape="1">
                    <a:blip r:embed="rId9">
                      <a:extLst>
                        <a:ext uri="{28A0092B-C50C-407E-A947-70E740481C1C}">
                          <a14:useLocalDpi xmlns:a14="http://schemas.microsoft.com/office/drawing/2010/main" val="0"/>
                        </a:ext>
                      </a:extLst>
                    </a:blip>
                    <a:srcRect t="18840"/>
                    <a:stretch/>
                  </pic:blipFill>
                  <pic:spPr bwMode="auto">
                    <a:xfrm>
                      <a:off x="0" y="0"/>
                      <a:ext cx="5943600" cy="2930862"/>
                    </a:xfrm>
                    <a:prstGeom prst="rect">
                      <a:avLst/>
                    </a:prstGeom>
                    <a:ln>
                      <a:noFill/>
                    </a:ln>
                    <a:extLst>
                      <a:ext uri="{53640926-AAD7-44D8-BBD7-CCE9431645EC}">
                        <a14:shadowObscured xmlns:a14="http://schemas.microsoft.com/office/drawing/2010/main"/>
                      </a:ext>
                    </a:extLst>
                  </pic:spPr>
                </pic:pic>
              </a:graphicData>
            </a:graphic>
          </wp:inline>
        </w:drawing>
      </w:r>
    </w:p>
    <w:p w14:paraId="725EF967" w14:textId="33546D10" w:rsidR="007146C9" w:rsidRPr="003E11DB" w:rsidRDefault="00435740" w:rsidP="00756085">
      <w:pPr>
        <w:spacing w:after="0" w:line="276" w:lineRule="auto"/>
        <w:rPr>
          <w:rFonts w:ascii="Arial" w:eastAsia="Calibri" w:hAnsi="Arial" w:cs="Arial"/>
          <w:b/>
          <w:bCs/>
        </w:rPr>
      </w:pPr>
      <w:r w:rsidRPr="003E11DB">
        <w:rPr>
          <w:rFonts w:ascii="Arial" w:eastAsia="Calibri" w:hAnsi="Arial" w:cs="Arial"/>
          <w:b/>
          <w:bCs/>
        </w:rPr>
        <w:t>Figure</w:t>
      </w:r>
      <w:r w:rsidR="00756085" w:rsidRPr="003E11DB">
        <w:rPr>
          <w:rFonts w:ascii="Arial" w:eastAsia="Calibri" w:hAnsi="Arial" w:cs="Arial"/>
          <w:b/>
          <w:bCs/>
        </w:rPr>
        <w:t xml:space="preserve">.  Algorithm to categorize and treat acutely ill </w:t>
      </w:r>
      <w:r w:rsidR="00F6669B" w:rsidRPr="003E11DB">
        <w:rPr>
          <w:rFonts w:ascii="Arial" w:eastAsia="Calibri" w:hAnsi="Arial" w:cs="Arial"/>
          <w:b/>
          <w:bCs/>
        </w:rPr>
        <w:t xml:space="preserve">hospitalized </w:t>
      </w:r>
      <w:r w:rsidR="00756085" w:rsidRPr="003E11DB">
        <w:rPr>
          <w:rFonts w:ascii="Arial" w:eastAsia="Calibri" w:hAnsi="Arial" w:cs="Arial"/>
          <w:b/>
          <w:bCs/>
        </w:rPr>
        <w:t xml:space="preserve">children, with or without acute pancreatitis, with </w:t>
      </w:r>
      <w:r w:rsidR="00F6669B" w:rsidRPr="003E11DB">
        <w:rPr>
          <w:rFonts w:ascii="Arial" w:eastAsia="Calibri" w:hAnsi="Arial" w:cs="Arial"/>
          <w:b/>
          <w:bCs/>
        </w:rPr>
        <w:t>SHTG</w:t>
      </w:r>
      <w:r w:rsidR="00756085" w:rsidRPr="003E11DB">
        <w:rPr>
          <w:rFonts w:ascii="Arial" w:eastAsia="Calibri" w:hAnsi="Arial" w:cs="Arial"/>
          <w:b/>
          <w:bCs/>
        </w:rPr>
        <w:t xml:space="preserve"> (</w:t>
      </w:r>
      <w:r w:rsidR="00DE0F27">
        <w:rPr>
          <w:rFonts w:ascii="Arial" w:eastAsia="Calibri" w:hAnsi="Arial" w:cs="Arial"/>
          <w:b/>
          <w:bCs/>
        </w:rPr>
        <w:t>10</w:t>
      </w:r>
      <w:r w:rsidR="00756085" w:rsidRPr="003E11DB">
        <w:rPr>
          <w:rFonts w:ascii="Arial" w:eastAsia="Calibri" w:hAnsi="Arial" w:cs="Arial"/>
          <w:b/>
          <w:bCs/>
        </w:rPr>
        <w:t xml:space="preserve">). </w:t>
      </w:r>
    </w:p>
    <w:p w14:paraId="749CB4EA" w14:textId="24EF55A2" w:rsidR="00756085" w:rsidRPr="003E11DB" w:rsidRDefault="00756085" w:rsidP="00756085">
      <w:pPr>
        <w:spacing w:after="0" w:line="276" w:lineRule="auto"/>
        <w:rPr>
          <w:rFonts w:ascii="Arial" w:eastAsia="Calibri" w:hAnsi="Arial" w:cs="Arial"/>
          <w:bCs/>
        </w:rPr>
      </w:pPr>
      <w:r w:rsidRPr="003E11DB">
        <w:rPr>
          <w:rFonts w:ascii="Arial" w:eastAsia="Calibri" w:hAnsi="Arial" w:cs="Arial"/>
          <w:bCs/>
          <w:vertAlign w:val="superscript"/>
        </w:rPr>
        <w:t>a</w:t>
      </w:r>
      <w:r w:rsidRPr="003E11DB">
        <w:rPr>
          <w:rFonts w:ascii="Arial" w:eastAsia="Calibri" w:hAnsi="Arial" w:cs="Arial"/>
          <w:bCs/>
        </w:rPr>
        <w:t>Presence of at least 2 of the following 3 criteria: 1) abdominal pain compatible with pancreatic origin; 2) amylase and/or lipase at least 3 X ULN; and 3) imaging suggestive of/compatib</w:t>
      </w:r>
      <w:r w:rsidR="00B7417A">
        <w:rPr>
          <w:rFonts w:ascii="Arial" w:eastAsia="Calibri" w:hAnsi="Arial" w:cs="Arial"/>
          <w:bCs/>
        </w:rPr>
        <w:t xml:space="preserve">le with </w:t>
      </w:r>
      <w:r w:rsidR="00B7417A">
        <w:rPr>
          <w:rFonts w:ascii="Arial" w:eastAsia="Calibri" w:hAnsi="Arial" w:cs="Arial"/>
          <w:bCs/>
        </w:rPr>
        <w:lastRenderedPageBreak/>
        <w:t>pancreatic inflammation</w:t>
      </w:r>
      <w:r w:rsidRPr="003E11DB">
        <w:rPr>
          <w:rFonts w:ascii="Arial" w:eastAsia="Calibri" w:hAnsi="Arial" w:cs="Arial"/>
          <w:bCs/>
        </w:rPr>
        <w:t xml:space="preserve"> (</w:t>
      </w:r>
      <w:r w:rsidR="006834D2">
        <w:rPr>
          <w:rFonts w:ascii="Arial" w:eastAsia="Calibri" w:hAnsi="Arial" w:cs="Arial"/>
          <w:bCs/>
        </w:rPr>
        <w:t>9</w:t>
      </w:r>
      <w:r w:rsidRPr="003E11DB">
        <w:rPr>
          <w:rFonts w:ascii="Arial" w:eastAsia="Calibri" w:hAnsi="Arial" w:cs="Arial"/>
          <w:bCs/>
        </w:rPr>
        <w:t xml:space="preserve">); </w:t>
      </w:r>
      <w:r w:rsidRPr="003E11DB">
        <w:rPr>
          <w:rFonts w:ascii="Arial" w:eastAsia="Calibri" w:hAnsi="Arial" w:cs="Arial"/>
          <w:bCs/>
          <w:vertAlign w:val="superscript"/>
        </w:rPr>
        <w:t>b</w:t>
      </w:r>
      <w:r w:rsidRPr="003E11DB">
        <w:rPr>
          <w:rFonts w:ascii="Arial" w:eastAsia="Calibri" w:hAnsi="Arial" w:cs="Arial"/>
          <w:bCs/>
        </w:rPr>
        <w:t xml:space="preserve">Criteria of organ dysfunction as per the International Pediatric Sepsis Consensus (modified from </w:t>
      </w:r>
      <w:r w:rsidR="006834D2">
        <w:rPr>
          <w:rFonts w:ascii="Arial" w:eastAsia="Calibri" w:hAnsi="Arial" w:cs="Arial"/>
          <w:bCs/>
        </w:rPr>
        <w:t>11</w:t>
      </w:r>
      <w:r w:rsidRPr="003E11DB">
        <w:rPr>
          <w:rFonts w:ascii="Arial" w:eastAsia="Calibri" w:hAnsi="Arial" w:cs="Arial"/>
          <w:bCs/>
        </w:rPr>
        <w:t>).</w:t>
      </w:r>
    </w:p>
    <w:p w14:paraId="3AD55D4F" w14:textId="0DC4674F" w:rsidR="00756085" w:rsidRPr="003E11DB" w:rsidRDefault="00756085" w:rsidP="00797EBD">
      <w:pPr>
        <w:pStyle w:val="ListParagraph"/>
        <w:numPr>
          <w:ilvl w:val="0"/>
          <w:numId w:val="9"/>
        </w:numPr>
        <w:spacing w:after="0"/>
        <w:rPr>
          <w:rFonts w:ascii="Arial" w:eastAsia="Calibri" w:hAnsi="Arial" w:cs="Arial"/>
          <w:bCs/>
        </w:rPr>
      </w:pPr>
      <w:r w:rsidRPr="003E11DB">
        <w:rPr>
          <w:rFonts w:ascii="Arial" w:eastAsia="Calibri" w:hAnsi="Arial" w:cs="Arial"/>
          <w:bCs/>
        </w:rPr>
        <w:t>Cardiovascular Dysfunction</w:t>
      </w:r>
    </w:p>
    <w:p w14:paraId="2669738C" w14:textId="4174D0B7"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One or more of the following despite administration of isotopic IV fluid bolus &gt; 40 mL/kg in 1 hr.</w:t>
      </w:r>
    </w:p>
    <w:p w14:paraId="36827F27" w14:textId="46AD8AB8" w:rsidR="00756085" w:rsidRPr="003E11DB" w:rsidRDefault="00756085" w:rsidP="00797EBD">
      <w:pPr>
        <w:pStyle w:val="ListParagraph"/>
        <w:numPr>
          <w:ilvl w:val="2"/>
          <w:numId w:val="9"/>
        </w:numPr>
        <w:spacing w:after="0"/>
        <w:rPr>
          <w:rFonts w:ascii="Arial" w:eastAsia="Calibri" w:hAnsi="Arial" w:cs="Arial"/>
          <w:bCs/>
        </w:rPr>
      </w:pPr>
      <w:r w:rsidRPr="003E11DB">
        <w:rPr>
          <w:rFonts w:ascii="Arial" w:eastAsia="Calibri" w:hAnsi="Arial" w:cs="Arial"/>
          <w:bCs/>
        </w:rPr>
        <w:t xml:space="preserve">Hypotension - Decrease in BP &lt; 5th% for age or systolic BP &lt; 2 SD below normal for age. </w:t>
      </w:r>
    </w:p>
    <w:p w14:paraId="4754C4F9" w14:textId="0A863252" w:rsidR="00756085" w:rsidRPr="003E11DB" w:rsidRDefault="00756085" w:rsidP="00797EBD">
      <w:pPr>
        <w:pStyle w:val="ListParagraph"/>
        <w:numPr>
          <w:ilvl w:val="2"/>
          <w:numId w:val="9"/>
        </w:numPr>
        <w:spacing w:after="0"/>
        <w:rPr>
          <w:rFonts w:ascii="Arial" w:eastAsia="Calibri" w:hAnsi="Arial" w:cs="Arial"/>
          <w:bCs/>
        </w:rPr>
      </w:pPr>
      <w:r w:rsidRPr="003E11DB">
        <w:rPr>
          <w:rFonts w:ascii="Arial" w:eastAsia="Calibri" w:hAnsi="Arial" w:cs="Arial"/>
          <w:bCs/>
        </w:rPr>
        <w:t>Need for vasoactive drug to maintain BP in normal range (dopamine &gt; 5 mcg/kg-1/mL-1 or dobutamine, epinephrine, or norepinephrine at any dose).</w:t>
      </w:r>
    </w:p>
    <w:p w14:paraId="1A155B14" w14:textId="268127DD"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Two of the following:</w:t>
      </w:r>
    </w:p>
    <w:p w14:paraId="4053C0D8" w14:textId="791E12F2" w:rsidR="00756085" w:rsidRPr="003E11DB" w:rsidRDefault="00756085" w:rsidP="00797EBD">
      <w:pPr>
        <w:pStyle w:val="ListParagraph"/>
        <w:numPr>
          <w:ilvl w:val="2"/>
          <w:numId w:val="9"/>
        </w:numPr>
        <w:spacing w:after="0"/>
        <w:rPr>
          <w:rFonts w:ascii="Arial" w:eastAsia="Calibri" w:hAnsi="Arial" w:cs="Arial"/>
          <w:bCs/>
        </w:rPr>
      </w:pPr>
      <w:r w:rsidRPr="003E11DB">
        <w:rPr>
          <w:rFonts w:ascii="Arial" w:eastAsia="Calibri" w:hAnsi="Arial" w:cs="Arial"/>
          <w:bCs/>
        </w:rPr>
        <w:t>Unexplained metabolic acidosis (BD &gt; 5 mEq/L).</w:t>
      </w:r>
    </w:p>
    <w:p w14:paraId="6819E93F" w14:textId="02C7AB2C" w:rsidR="00756085" w:rsidRPr="003E11DB" w:rsidRDefault="00756085" w:rsidP="00797EBD">
      <w:pPr>
        <w:pStyle w:val="ListParagraph"/>
        <w:numPr>
          <w:ilvl w:val="2"/>
          <w:numId w:val="9"/>
        </w:numPr>
        <w:spacing w:after="0"/>
        <w:rPr>
          <w:rFonts w:ascii="Arial" w:eastAsia="Calibri" w:hAnsi="Arial" w:cs="Arial"/>
          <w:bCs/>
        </w:rPr>
      </w:pPr>
      <w:r w:rsidRPr="003E11DB">
        <w:rPr>
          <w:rFonts w:ascii="Arial" w:eastAsia="Calibri" w:hAnsi="Arial" w:cs="Arial"/>
          <w:bCs/>
        </w:rPr>
        <w:t>Increased arterial lactate &gt; 2 X ULN.</w:t>
      </w:r>
    </w:p>
    <w:p w14:paraId="4515FA5E" w14:textId="7D8308CD" w:rsidR="00756085" w:rsidRPr="003E11DB" w:rsidRDefault="00756085" w:rsidP="00797EBD">
      <w:pPr>
        <w:pStyle w:val="ListParagraph"/>
        <w:numPr>
          <w:ilvl w:val="2"/>
          <w:numId w:val="9"/>
        </w:numPr>
        <w:spacing w:after="0"/>
        <w:rPr>
          <w:rFonts w:ascii="Arial" w:eastAsia="Calibri" w:hAnsi="Arial" w:cs="Arial"/>
          <w:bCs/>
        </w:rPr>
      </w:pPr>
      <w:r w:rsidRPr="003E11DB">
        <w:rPr>
          <w:rFonts w:ascii="Arial" w:eastAsia="Calibri" w:hAnsi="Arial" w:cs="Arial"/>
          <w:bCs/>
        </w:rPr>
        <w:t>Oliguria: urine output &lt; 0.5 mL/kg-1/hr-1.</w:t>
      </w:r>
    </w:p>
    <w:p w14:paraId="7732B1E0" w14:textId="395850A1" w:rsidR="00756085" w:rsidRPr="003E11DB" w:rsidRDefault="00756085" w:rsidP="00797EBD">
      <w:pPr>
        <w:pStyle w:val="ListParagraph"/>
        <w:numPr>
          <w:ilvl w:val="2"/>
          <w:numId w:val="9"/>
        </w:numPr>
        <w:spacing w:after="0"/>
        <w:rPr>
          <w:rFonts w:ascii="Arial" w:eastAsia="Calibri" w:hAnsi="Arial" w:cs="Arial"/>
          <w:bCs/>
        </w:rPr>
      </w:pPr>
      <w:r w:rsidRPr="003E11DB">
        <w:rPr>
          <w:rFonts w:ascii="Arial" w:eastAsia="Calibri" w:hAnsi="Arial" w:cs="Arial"/>
          <w:bCs/>
        </w:rPr>
        <w:t>Core to peripheral temperature gap &gt; 3° C.</w:t>
      </w:r>
    </w:p>
    <w:p w14:paraId="6EDED462" w14:textId="051BD26F" w:rsidR="00756085" w:rsidRPr="003E11DB" w:rsidRDefault="00756085" w:rsidP="00797EBD">
      <w:pPr>
        <w:pStyle w:val="ListParagraph"/>
        <w:numPr>
          <w:ilvl w:val="0"/>
          <w:numId w:val="9"/>
        </w:numPr>
        <w:spacing w:after="0"/>
        <w:rPr>
          <w:rFonts w:ascii="Arial" w:eastAsia="Calibri" w:hAnsi="Arial" w:cs="Arial"/>
          <w:bCs/>
        </w:rPr>
      </w:pPr>
      <w:r w:rsidRPr="003E11DB">
        <w:rPr>
          <w:rFonts w:ascii="Arial" w:eastAsia="Calibri" w:hAnsi="Arial" w:cs="Arial"/>
          <w:bCs/>
        </w:rPr>
        <w:t>Respiratory Dysfunction</w:t>
      </w:r>
    </w:p>
    <w:p w14:paraId="7586B719" w14:textId="0F7C6851"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One or more of the following in absence of pre-existing lung disease or cyanotic heart disease.</w:t>
      </w:r>
    </w:p>
    <w:p w14:paraId="4C2B31E4" w14:textId="7CD3BA9F"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PaO2/FIO2 &lt; 300 in absence of cyanotic heart disease or pre-existing lung disease.</w:t>
      </w:r>
    </w:p>
    <w:p w14:paraId="3025E2C1" w14:textId="058C6EA5"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PaCO2 &gt; 65 torr or 20 mmHg over baseline PaCO2.</w:t>
      </w:r>
    </w:p>
    <w:p w14:paraId="3878C14F" w14:textId="79F30CF8"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Proven need or &gt; 50% FIO2 to maintain saturation &gt; 92%.</w:t>
      </w:r>
    </w:p>
    <w:p w14:paraId="0B9CBA36" w14:textId="2E8287C8"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Need for non-elective mechanical ventilation.</w:t>
      </w:r>
    </w:p>
    <w:p w14:paraId="16A05A2C" w14:textId="39032AB3" w:rsidR="00756085" w:rsidRPr="003E11DB" w:rsidRDefault="00756085" w:rsidP="00797EBD">
      <w:pPr>
        <w:pStyle w:val="ListParagraph"/>
        <w:numPr>
          <w:ilvl w:val="0"/>
          <w:numId w:val="9"/>
        </w:numPr>
        <w:spacing w:after="0"/>
        <w:rPr>
          <w:rFonts w:ascii="Arial" w:eastAsia="Calibri" w:hAnsi="Arial" w:cs="Arial"/>
          <w:bCs/>
        </w:rPr>
      </w:pPr>
      <w:r w:rsidRPr="003E11DB">
        <w:rPr>
          <w:rFonts w:ascii="Arial" w:eastAsia="Calibri" w:hAnsi="Arial" w:cs="Arial"/>
          <w:bCs/>
        </w:rPr>
        <w:t>Renal Dysfunction</w:t>
      </w:r>
    </w:p>
    <w:p w14:paraId="20B01870" w14:textId="0A1AD0AD"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 xml:space="preserve">Serum creatinine ≥ 2 X ULN for age; or </w:t>
      </w:r>
    </w:p>
    <w:p w14:paraId="1EA63AFC" w14:textId="36734F80" w:rsidR="00756085" w:rsidRPr="003E11DB" w:rsidRDefault="00756085" w:rsidP="00797EBD">
      <w:pPr>
        <w:pStyle w:val="ListParagraph"/>
        <w:numPr>
          <w:ilvl w:val="1"/>
          <w:numId w:val="9"/>
        </w:numPr>
        <w:spacing w:after="0"/>
        <w:rPr>
          <w:rFonts w:ascii="Arial" w:eastAsia="Calibri" w:hAnsi="Arial" w:cs="Arial"/>
          <w:bCs/>
        </w:rPr>
      </w:pPr>
      <w:r w:rsidRPr="003E11DB">
        <w:rPr>
          <w:rFonts w:ascii="Arial" w:eastAsia="Calibri" w:hAnsi="Arial" w:cs="Arial"/>
          <w:bCs/>
        </w:rPr>
        <w:t>2-fold increase in baseline creatinine.</w:t>
      </w:r>
    </w:p>
    <w:p w14:paraId="0B3427E7" w14:textId="77777777" w:rsidR="00756085" w:rsidRPr="003E11DB" w:rsidRDefault="00756085" w:rsidP="00756085">
      <w:pPr>
        <w:spacing w:after="0" w:line="276" w:lineRule="auto"/>
        <w:rPr>
          <w:rFonts w:ascii="Arial" w:eastAsia="Calibri" w:hAnsi="Arial" w:cs="Arial"/>
          <w:bCs/>
        </w:rPr>
      </w:pPr>
      <w:r w:rsidRPr="003E11DB">
        <w:rPr>
          <w:rFonts w:ascii="Arial" w:eastAsia="Calibri" w:hAnsi="Arial" w:cs="Arial"/>
          <w:bCs/>
        </w:rPr>
        <w:t>BD = base deficit; BP = blood pressure; SD = standard deviation; ULN = upper limit of normal.</w:t>
      </w:r>
    </w:p>
    <w:p w14:paraId="42A882DD" w14:textId="77777777" w:rsidR="00756085" w:rsidRPr="003E11DB" w:rsidRDefault="00756085" w:rsidP="00756085">
      <w:pPr>
        <w:spacing w:after="0" w:line="276" w:lineRule="auto"/>
        <w:rPr>
          <w:rFonts w:ascii="Arial" w:eastAsia="Calibri" w:hAnsi="Arial" w:cs="Arial"/>
        </w:rPr>
      </w:pPr>
    </w:p>
    <w:p w14:paraId="57B29D45" w14:textId="550FD0A6" w:rsidR="00365276" w:rsidRPr="003E11DB" w:rsidRDefault="00365276" w:rsidP="00461C6C">
      <w:pPr>
        <w:pStyle w:val="Heading2"/>
        <w:spacing w:before="0" w:line="276" w:lineRule="auto"/>
        <w:contextualSpacing/>
        <w:rPr>
          <w:rFonts w:eastAsia="Calibri"/>
        </w:rPr>
      </w:pPr>
      <w:r w:rsidRPr="003E11DB">
        <w:rPr>
          <w:rFonts w:eastAsia="Calibri"/>
        </w:rPr>
        <w:t>T</w:t>
      </w:r>
      <w:r w:rsidR="0076721B" w:rsidRPr="003E11DB">
        <w:rPr>
          <w:rFonts w:eastAsia="Calibri"/>
        </w:rPr>
        <w:t xml:space="preserve">REATMENT OF HTG-RELATED PANCREATITIS </w:t>
      </w:r>
    </w:p>
    <w:p w14:paraId="359A173B" w14:textId="77777777" w:rsidR="0069602D" w:rsidRPr="003E11DB" w:rsidRDefault="0069602D" w:rsidP="00461C6C">
      <w:pPr>
        <w:spacing w:after="0" w:line="276" w:lineRule="auto"/>
        <w:contextualSpacing/>
        <w:rPr>
          <w:rFonts w:ascii="Arial" w:eastAsia="Calibri" w:hAnsi="Arial" w:cs="Arial"/>
        </w:rPr>
      </w:pPr>
    </w:p>
    <w:p w14:paraId="52EF0837" w14:textId="22A8567E" w:rsidR="00EB3837" w:rsidRPr="003E11DB" w:rsidRDefault="004868D7" w:rsidP="00461C6C">
      <w:pPr>
        <w:spacing w:after="0" w:line="276" w:lineRule="auto"/>
        <w:contextualSpacing/>
        <w:rPr>
          <w:rFonts w:ascii="Arial" w:eastAsia="Calibri" w:hAnsi="Arial" w:cs="Arial"/>
        </w:rPr>
      </w:pPr>
      <w:r w:rsidRPr="003E11DB">
        <w:rPr>
          <w:rFonts w:ascii="Arial" w:eastAsia="Calibri" w:hAnsi="Arial" w:cs="Arial"/>
        </w:rPr>
        <w:t xml:space="preserve">The management of acute pancreatitis secondary to </w:t>
      </w:r>
      <w:r w:rsidR="00F6669B" w:rsidRPr="003E11DB">
        <w:rPr>
          <w:rFonts w:ascii="Arial" w:eastAsia="Calibri" w:hAnsi="Arial" w:cs="Arial"/>
        </w:rPr>
        <w:t>HTG</w:t>
      </w:r>
      <w:r w:rsidRPr="003E11DB">
        <w:rPr>
          <w:rFonts w:ascii="Arial" w:eastAsia="Calibri" w:hAnsi="Arial" w:cs="Arial"/>
        </w:rPr>
        <w:t xml:space="preserve"> is similar to the management of pancreatitis due to other causes</w:t>
      </w:r>
      <w:r w:rsidR="00F6669B" w:rsidRPr="003E11DB">
        <w:rPr>
          <w:rFonts w:ascii="Arial" w:eastAsia="Calibri" w:hAnsi="Arial" w:cs="Arial"/>
        </w:rPr>
        <w:t xml:space="preserve"> (Table 4)</w:t>
      </w:r>
      <w:r w:rsidRPr="003E11DB">
        <w:rPr>
          <w:rFonts w:ascii="Arial" w:eastAsia="Calibri" w:hAnsi="Arial" w:cs="Arial"/>
        </w:rPr>
        <w:t xml:space="preserve"> except for the need to lower </w:t>
      </w:r>
      <w:r w:rsidR="00F6669B" w:rsidRPr="003E11DB">
        <w:rPr>
          <w:rFonts w:ascii="Arial" w:eastAsia="Calibri" w:hAnsi="Arial" w:cs="Arial"/>
        </w:rPr>
        <w:t>TG</w:t>
      </w:r>
      <w:r w:rsidRPr="003E11DB">
        <w:rPr>
          <w:rFonts w:ascii="Arial" w:eastAsia="Calibri" w:hAnsi="Arial" w:cs="Arial"/>
        </w:rPr>
        <w:t xml:space="preserve"> levels as quickly as possible. With cessation of food intake plasma</w:t>
      </w:r>
      <w:r w:rsidR="00F6669B" w:rsidRPr="003E11DB">
        <w:rPr>
          <w:rFonts w:ascii="Arial" w:eastAsia="Calibri" w:hAnsi="Arial" w:cs="Arial"/>
        </w:rPr>
        <w:t xml:space="preserve"> TG</w:t>
      </w:r>
      <w:r w:rsidRPr="003E11DB">
        <w:rPr>
          <w:rFonts w:ascii="Arial" w:eastAsia="Calibri" w:hAnsi="Arial" w:cs="Arial"/>
        </w:rPr>
        <w:t xml:space="preserve"> usually decrease rapidly (approximately 50% decrease in 24 hours). Parenteral feeding with lipid emulsions should be avoided since they will delay the clearance of </w:t>
      </w:r>
      <w:r w:rsidR="00F6669B" w:rsidRPr="003E11DB">
        <w:rPr>
          <w:rFonts w:ascii="Arial" w:eastAsia="Calibri" w:hAnsi="Arial" w:cs="Arial"/>
        </w:rPr>
        <w:t>TG</w:t>
      </w:r>
      <w:r w:rsidRPr="003E11DB">
        <w:rPr>
          <w:rFonts w:ascii="Arial" w:eastAsia="Calibri" w:hAnsi="Arial" w:cs="Arial"/>
        </w:rPr>
        <w:t xml:space="preserve"> rich lipoproteins and exacerbate the</w:t>
      </w:r>
      <w:r w:rsidR="00F6669B" w:rsidRPr="003E11DB">
        <w:rPr>
          <w:rFonts w:ascii="Arial" w:eastAsia="Calibri" w:hAnsi="Arial" w:cs="Arial"/>
        </w:rPr>
        <w:t xml:space="preserve"> HTG</w:t>
      </w:r>
      <w:r w:rsidRPr="003E11DB">
        <w:rPr>
          <w:rFonts w:ascii="Arial" w:eastAsia="Calibri" w:hAnsi="Arial" w:cs="Arial"/>
        </w:rPr>
        <w:t xml:space="preserve">. In patients on ventilators </w:t>
      </w:r>
      <w:r w:rsidR="00F6669B" w:rsidRPr="003E11DB">
        <w:rPr>
          <w:rFonts w:ascii="Arial" w:eastAsia="Calibri" w:hAnsi="Arial" w:cs="Arial"/>
        </w:rPr>
        <w:t>the use of</w:t>
      </w:r>
      <w:r w:rsidRPr="003E11DB">
        <w:rPr>
          <w:rFonts w:ascii="Arial" w:eastAsia="Calibri" w:hAnsi="Arial" w:cs="Arial"/>
        </w:rPr>
        <w:t xml:space="preserve"> propofol</w:t>
      </w:r>
      <w:r w:rsidR="00F6669B" w:rsidRPr="003E11DB">
        <w:rPr>
          <w:rFonts w:ascii="Arial" w:eastAsia="Calibri" w:hAnsi="Arial" w:cs="Arial"/>
        </w:rPr>
        <w:t xml:space="preserve"> should be avoided</w:t>
      </w:r>
      <w:r w:rsidR="00B06943" w:rsidRPr="003E11DB">
        <w:rPr>
          <w:rFonts w:ascii="Arial" w:eastAsia="Calibri" w:hAnsi="Arial" w:cs="Arial"/>
        </w:rPr>
        <w:t xml:space="preserve">. </w:t>
      </w:r>
      <w:r w:rsidR="00365276" w:rsidRPr="003E11DB">
        <w:rPr>
          <w:rFonts w:ascii="Arial" w:eastAsia="Calibri" w:hAnsi="Arial" w:cs="Arial"/>
        </w:rPr>
        <w:t xml:space="preserve">Reduction of TG levels to well below 1,000 mg/dL </w:t>
      </w:r>
      <w:r w:rsidR="00A229D3" w:rsidRPr="003E11DB">
        <w:rPr>
          <w:rFonts w:ascii="Arial" w:eastAsia="Calibri" w:hAnsi="Arial" w:cs="Arial"/>
        </w:rPr>
        <w:t>generally</w:t>
      </w:r>
      <w:r w:rsidR="00365276" w:rsidRPr="003E11DB">
        <w:rPr>
          <w:rFonts w:ascii="Arial" w:eastAsia="Calibri" w:hAnsi="Arial" w:cs="Arial"/>
        </w:rPr>
        <w:t xml:space="preserve"> prevents further episodes of pancreatitis. </w:t>
      </w:r>
    </w:p>
    <w:p w14:paraId="25A3611F" w14:textId="77777777" w:rsidR="00EB3837" w:rsidRPr="003E11DB" w:rsidRDefault="00EB3837" w:rsidP="0005546E">
      <w:pPr>
        <w:spacing w:after="0" w:line="276" w:lineRule="auto"/>
        <w:rPr>
          <w:rFonts w:ascii="Arial" w:eastAsia="Calibri" w:hAnsi="Arial" w:cs="Arial"/>
        </w:rPr>
      </w:pPr>
    </w:p>
    <w:tbl>
      <w:tblPr>
        <w:tblStyle w:val="TableGrid"/>
        <w:tblW w:w="0" w:type="auto"/>
        <w:tblLook w:val="04A0" w:firstRow="1" w:lastRow="0" w:firstColumn="1" w:lastColumn="0" w:noHBand="0" w:noVBand="1"/>
      </w:tblPr>
      <w:tblGrid>
        <w:gridCol w:w="8365"/>
        <w:gridCol w:w="720"/>
      </w:tblGrid>
      <w:tr w:rsidR="002C14CC" w:rsidRPr="003E11DB" w14:paraId="0B50A4AB" w14:textId="77777777" w:rsidTr="008C1CBB">
        <w:trPr>
          <w:gridAfter w:val="1"/>
          <w:wAfter w:w="720" w:type="dxa"/>
          <w:trHeight w:val="503"/>
        </w:trPr>
        <w:tc>
          <w:tcPr>
            <w:tcW w:w="8365" w:type="dxa"/>
            <w:shd w:val="clear" w:color="auto" w:fill="FFFF00"/>
          </w:tcPr>
          <w:p w14:paraId="411BC0AA" w14:textId="160EE07C" w:rsidR="002C14CC" w:rsidRPr="003E11DB" w:rsidRDefault="002C14CC" w:rsidP="0005546E">
            <w:pPr>
              <w:spacing w:line="276" w:lineRule="auto"/>
              <w:rPr>
                <w:rFonts w:ascii="Arial" w:eastAsia="Times New Roman" w:hAnsi="Arial" w:cs="Arial"/>
                <w:b/>
              </w:rPr>
            </w:pPr>
            <w:r w:rsidRPr="003E11DB">
              <w:rPr>
                <w:rFonts w:ascii="Arial" w:eastAsia="Times New Roman" w:hAnsi="Arial" w:cs="Arial"/>
                <w:b/>
              </w:rPr>
              <w:t>Table 4. Guidelines for Treatment of C</w:t>
            </w:r>
            <w:r w:rsidR="00B7417A">
              <w:rPr>
                <w:rFonts w:ascii="Arial" w:eastAsia="Times New Roman" w:hAnsi="Arial" w:cs="Arial"/>
                <w:b/>
              </w:rPr>
              <w:t>hildren with Acute Pancreatitis</w:t>
            </w:r>
          </w:p>
          <w:p w14:paraId="5087F862" w14:textId="5BEA4DA0" w:rsidR="002C14CC" w:rsidRPr="003E11DB" w:rsidRDefault="002C14CC" w:rsidP="00302A6B">
            <w:pPr>
              <w:spacing w:line="276" w:lineRule="auto"/>
              <w:rPr>
                <w:rFonts w:ascii="Arial" w:eastAsia="Times New Roman" w:hAnsi="Arial" w:cs="Arial"/>
              </w:rPr>
            </w:pPr>
            <w:r w:rsidRPr="003E11DB">
              <w:rPr>
                <w:rFonts w:ascii="Arial" w:eastAsia="Times New Roman" w:hAnsi="Arial" w:cs="Arial"/>
                <w:color w:val="000000" w:themeColor="text1"/>
              </w:rPr>
              <w:t xml:space="preserve">(Modified from </w:t>
            </w:r>
            <w:r w:rsidR="006834D2">
              <w:rPr>
                <w:rFonts w:ascii="Arial" w:eastAsia="Times New Roman" w:hAnsi="Arial" w:cs="Arial"/>
              </w:rPr>
              <w:t>12</w:t>
            </w:r>
            <w:r w:rsidRPr="003E11DB">
              <w:rPr>
                <w:rFonts w:ascii="Arial" w:eastAsia="Times New Roman" w:hAnsi="Arial" w:cs="Arial"/>
                <w:color w:val="000000" w:themeColor="text1"/>
              </w:rPr>
              <w:t>)</w:t>
            </w:r>
          </w:p>
        </w:tc>
      </w:tr>
      <w:tr w:rsidR="00EB3837" w:rsidRPr="003E11DB" w14:paraId="7DEBB4CB" w14:textId="77777777" w:rsidTr="00F6669B">
        <w:trPr>
          <w:trHeight w:val="1589"/>
        </w:trPr>
        <w:tc>
          <w:tcPr>
            <w:tcW w:w="9085" w:type="dxa"/>
            <w:gridSpan w:val="2"/>
          </w:tcPr>
          <w:p w14:paraId="1BD8E796" w14:textId="77777777" w:rsidR="00EB3837" w:rsidRPr="003E11DB" w:rsidRDefault="00EB3837" w:rsidP="00797EBD">
            <w:pPr>
              <w:pStyle w:val="ListParagraph"/>
              <w:numPr>
                <w:ilvl w:val="0"/>
                <w:numId w:val="10"/>
              </w:numPr>
              <w:spacing w:after="0"/>
              <w:rPr>
                <w:rFonts w:ascii="Arial" w:eastAsia="Times New Roman" w:hAnsi="Arial" w:cs="Arial"/>
              </w:rPr>
            </w:pPr>
            <w:r w:rsidRPr="003E11DB">
              <w:rPr>
                <w:rFonts w:ascii="Arial" w:eastAsia="Times New Roman" w:hAnsi="Arial" w:cs="Arial"/>
              </w:rPr>
              <w:lastRenderedPageBreak/>
              <w:t xml:space="preserve">Adequate fluid resuscitation with crystalloid appears key, especially within the first 24 hours. </w:t>
            </w:r>
          </w:p>
          <w:p w14:paraId="6B391F8F" w14:textId="77777777" w:rsidR="00EB3837" w:rsidRPr="003E11DB" w:rsidRDefault="00EB3837" w:rsidP="00797EBD">
            <w:pPr>
              <w:pStyle w:val="ListParagraph"/>
              <w:numPr>
                <w:ilvl w:val="0"/>
                <w:numId w:val="10"/>
              </w:numPr>
              <w:spacing w:after="0"/>
              <w:rPr>
                <w:rFonts w:ascii="Arial" w:eastAsia="Times New Roman" w:hAnsi="Arial" w:cs="Arial"/>
              </w:rPr>
            </w:pPr>
            <w:r w:rsidRPr="003E11DB">
              <w:rPr>
                <w:rFonts w:ascii="Arial" w:eastAsia="Times New Roman" w:hAnsi="Arial" w:cs="Arial"/>
              </w:rPr>
              <w:t xml:space="preserve">Analgesia may include opioid medications when opioid-sparing measures are inadequate. </w:t>
            </w:r>
          </w:p>
          <w:p w14:paraId="097CA863" w14:textId="77777777" w:rsidR="00EB3837" w:rsidRPr="003E11DB" w:rsidRDefault="00EB3837" w:rsidP="00797EBD">
            <w:pPr>
              <w:pStyle w:val="ListParagraph"/>
              <w:numPr>
                <w:ilvl w:val="0"/>
                <w:numId w:val="10"/>
              </w:numPr>
              <w:spacing w:after="0"/>
              <w:rPr>
                <w:rFonts w:ascii="Arial" w:eastAsia="Times New Roman" w:hAnsi="Arial" w:cs="Arial"/>
              </w:rPr>
            </w:pPr>
            <w:r w:rsidRPr="003E11DB">
              <w:rPr>
                <w:rFonts w:ascii="Arial" w:eastAsia="Times New Roman" w:hAnsi="Arial" w:cs="Arial"/>
              </w:rPr>
              <w:t xml:space="preserve">Pulmonary, cardiovascular, and renal status should be closely monitored, particularly within the first 48 hours. </w:t>
            </w:r>
          </w:p>
          <w:p w14:paraId="0E54A620" w14:textId="48D57F3E" w:rsidR="00EB3837" w:rsidRPr="003E11DB" w:rsidRDefault="00EB3837" w:rsidP="00797EBD">
            <w:pPr>
              <w:pStyle w:val="ListParagraph"/>
              <w:numPr>
                <w:ilvl w:val="0"/>
                <w:numId w:val="10"/>
              </w:numPr>
              <w:spacing w:after="0"/>
              <w:rPr>
                <w:rFonts w:ascii="Arial" w:eastAsia="Times New Roman" w:hAnsi="Arial" w:cs="Arial"/>
              </w:rPr>
            </w:pPr>
            <w:r w:rsidRPr="003E11DB">
              <w:rPr>
                <w:rFonts w:ascii="Arial" w:eastAsia="Times New Roman" w:hAnsi="Arial" w:cs="Arial"/>
              </w:rPr>
              <w:t xml:space="preserve">Enteral nutrition should be started as early as tolerated, whether through oral, gastric, or jejunal route. </w:t>
            </w:r>
            <w:r w:rsidR="00B06943" w:rsidRPr="003E11DB">
              <w:rPr>
                <w:rFonts w:ascii="Arial" w:eastAsia="Times New Roman" w:hAnsi="Arial" w:cs="Arial"/>
              </w:rPr>
              <w:t>Lipid emulsions should not be used.</w:t>
            </w:r>
          </w:p>
          <w:p w14:paraId="6075CA07" w14:textId="77777777" w:rsidR="00EB3837" w:rsidRPr="003E11DB" w:rsidRDefault="00EB3837" w:rsidP="00797EBD">
            <w:pPr>
              <w:pStyle w:val="ListParagraph"/>
              <w:numPr>
                <w:ilvl w:val="0"/>
                <w:numId w:val="10"/>
              </w:numPr>
              <w:spacing w:after="0"/>
              <w:rPr>
                <w:rFonts w:ascii="Arial" w:eastAsia="Times New Roman" w:hAnsi="Arial" w:cs="Arial"/>
              </w:rPr>
            </w:pPr>
            <w:r w:rsidRPr="003E11DB">
              <w:rPr>
                <w:rFonts w:ascii="Arial" w:eastAsia="Times New Roman" w:hAnsi="Arial" w:cs="Arial"/>
              </w:rPr>
              <w:t xml:space="preserve">There is little evidence to support the use of prophylactic antibiotics, antioxidants, probiotics, or protease inhibitors. </w:t>
            </w:r>
          </w:p>
          <w:p w14:paraId="21D4556C" w14:textId="77777777" w:rsidR="00EB3837" w:rsidRPr="003E11DB" w:rsidRDefault="00EB3837" w:rsidP="00797EBD">
            <w:pPr>
              <w:pStyle w:val="ListParagraph"/>
              <w:numPr>
                <w:ilvl w:val="0"/>
                <w:numId w:val="10"/>
              </w:numPr>
              <w:spacing w:after="0"/>
              <w:rPr>
                <w:rFonts w:ascii="Arial" w:eastAsia="Times New Roman" w:hAnsi="Arial" w:cs="Arial"/>
              </w:rPr>
            </w:pPr>
            <w:r w:rsidRPr="003E11DB">
              <w:rPr>
                <w:rFonts w:ascii="Arial" w:eastAsia="Times New Roman" w:hAnsi="Arial" w:cs="Arial"/>
              </w:rPr>
              <w:t xml:space="preserve">Esophagogastroduodenoscopy, endoscopic retrograde cholangiopancreatography, and endoscopic ultrasonography have limited roles in diagnosis and management. </w:t>
            </w:r>
          </w:p>
          <w:p w14:paraId="69DDD2C5" w14:textId="77777777" w:rsidR="00EB3837" w:rsidRPr="003E11DB" w:rsidRDefault="00EB3837" w:rsidP="00797EBD">
            <w:pPr>
              <w:pStyle w:val="ListParagraph"/>
              <w:numPr>
                <w:ilvl w:val="0"/>
                <w:numId w:val="10"/>
              </w:numPr>
              <w:spacing w:after="0"/>
              <w:rPr>
                <w:rFonts w:ascii="Arial" w:eastAsia="Times New Roman" w:hAnsi="Arial" w:cs="Arial"/>
              </w:rPr>
            </w:pPr>
            <w:r w:rsidRPr="003E11DB">
              <w:rPr>
                <w:rFonts w:ascii="Arial" w:eastAsia="Times New Roman" w:hAnsi="Arial" w:cs="Arial"/>
              </w:rPr>
              <w:t>Children should be carefully followed for development of early or late complications and recurrent attacks.</w:t>
            </w:r>
          </w:p>
        </w:tc>
      </w:tr>
    </w:tbl>
    <w:p w14:paraId="7A484CA2" w14:textId="48105FA0" w:rsidR="00365276" w:rsidRPr="003E11DB" w:rsidRDefault="00365276" w:rsidP="0005546E">
      <w:pPr>
        <w:spacing w:after="0" w:line="276" w:lineRule="auto"/>
        <w:rPr>
          <w:rFonts w:ascii="Arial" w:eastAsia="Calibri" w:hAnsi="Arial" w:cs="Arial"/>
        </w:rPr>
      </w:pPr>
    </w:p>
    <w:p w14:paraId="11E9BC44" w14:textId="575F13CB" w:rsidR="00A72807" w:rsidRPr="003E11DB" w:rsidRDefault="00A72807" w:rsidP="00B621ED">
      <w:pPr>
        <w:pStyle w:val="Heading2"/>
        <w:spacing w:before="0" w:line="276" w:lineRule="auto"/>
        <w:contextualSpacing/>
        <w:rPr>
          <w:rFonts w:eastAsia="Calibri"/>
        </w:rPr>
      </w:pPr>
      <w:r w:rsidRPr="003E11DB">
        <w:rPr>
          <w:rFonts w:eastAsia="Calibri"/>
        </w:rPr>
        <w:t>T</w:t>
      </w:r>
      <w:r w:rsidR="008C1CBB" w:rsidRPr="003E11DB">
        <w:rPr>
          <w:rFonts w:eastAsia="Calibri"/>
        </w:rPr>
        <w:t xml:space="preserve">REATMENT OF </w:t>
      </w:r>
      <w:r w:rsidR="0076721B" w:rsidRPr="003E11DB">
        <w:rPr>
          <w:rFonts w:eastAsia="Calibri"/>
        </w:rPr>
        <w:t xml:space="preserve">SEVERE </w:t>
      </w:r>
      <w:r w:rsidR="008C1CBB" w:rsidRPr="003E11DB">
        <w:rPr>
          <w:rFonts w:eastAsia="Calibri"/>
        </w:rPr>
        <w:t>HYPERTRIGLYCERIDEMIA</w:t>
      </w:r>
      <w:r w:rsidR="0076721B" w:rsidRPr="003E11DB">
        <w:rPr>
          <w:rFonts w:eastAsia="Calibri"/>
        </w:rPr>
        <w:t xml:space="preserve"> IN PATIENTS WITH PANCREATITIS </w:t>
      </w:r>
      <w:r w:rsidR="008C1CBB" w:rsidRPr="003E11DB">
        <w:rPr>
          <w:rFonts w:eastAsia="Calibri"/>
        </w:rPr>
        <w:t xml:space="preserve"> </w:t>
      </w:r>
    </w:p>
    <w:p w14:paraId="34BCA062" w14:textId="4361A88B" w:rsidR="00A72807" w:rsidRPr="003E11DB" w:rsidRDefault="00A72807" w:rsidP="00B621ED">
      <w:pPr>
        <w:spacing w:after="0" w:line="276" w:lineRule="auto"/>
        <w:contextualSpacing/>
        <w:rPr>
          <w:rFonts w:ascii="Arial" w:eastAsia="Calibri" w:hAnsi="Arial" w:cs="Arial"/>
        </w:rPr>
      </w:pPr>
    </w:p>
    <w:p w14:paraId="2874FA70" w14:textId="7B26447E" w:rsidR="00C16C62" w:rsidRPr="003E11DB" w:rsidRDefault="0041585C" w:rsidP="00B621ED">
      <w:pPr>
        <w:spacing w:after="0" w:line="276" w:lineRule="auto"/>
        <w:contextualSpacing/>
        <w:rPr>
          <w:rFonts w:ascii="Arial" w:hAnsi="Arial" w:cs="Arial"/>
        </w:rPr>
      </w:pPr>
      <w:r w:rsidRPr="003E11DB">
        <w:rPr>
          <w:rFonts w:ascii="Arial" w:eastAsia="Calibri" w:hAnsi="Arial" w:cs="Arial"/>
        </w:rPr>
        <w:t xml:space="preserve">Children with </w:t>
      </w:r>
      <w:r w:rsidR="00EB3A84" w:rsidRPr="003E11DB">
        <w:rPr>
          <w:rFonts w:ascii="Arial" w:eastAsia="Calibri" w:hAnsi="Arial" w:cs="Arial"/>
        </w:rPr>
        <w:t>SHTG</w:t>
      </w:r>
      <w:r w:rsidRPr="003E11DB">
        <w:rPr>
          <w:rFonts w:ascii="Arial" w:eastAsia="Calibri" w:hAnsi="Arial" w:cs="Arial"/>
        </w:rPr>
        <w:t xml:space="preserve"> who are symptomatic, especially those </w:t>
      </w:r>
      <w:r w:rsidR="00EC3F4A" w:rsidRPr="003E11DB">
        <w:rPr>
          <w:rFonts w:ascii="Arial" w:eastAsia="Calibri" w:hAnsi="Arial" w:cs="Arial"/>
        </w:rPr>
        <w:t xml:space="preserve">with </w:t>
      </w:r>
      <w:r w:rsidR="00B06943" w:rsidRPr="003E11DB">
        <w:rPr>
          <w:rFonts w:ascii="Arial" w:eastAsia="Calibri" w:hAnsi="Arial" w:cs="Arial"/>
        </w:rPr>
        <w:t xml:space="preserve">severe </w:t>
      </w:r>
      <w:r w:rsidRPr="003E11DB">
        <w:rPr>
          <w:rFonts w:ascii="Arial" w:eastAsia="Calibri" w:hAnsi="Arial" w:cs="Arial"/>
        </w:rPr>
        <w:t>pancreatitis, may require rapid TG</w:t>
      </w:r>
      <w:r w:rsidR="00397BB6" w:rsidRPr="003E11DB">
        <w:rPr>
          <w:rFonts w:ascii="Arial" w:eastAsia="Calibri" w:hAnsi="Arial" w:cs="Arial"/>
        </w:rPr>
        <w:t xml:space="preserve"> lower</w:t>
      </w:r>
      <w:r w:rsidRPr="003E11DB">
        <w:rPr>
          <w:rFonts w:ascii="Arial" w:eastAsia="Calibri" w:hAnsi="Arial" w:cs="Arial"/>
        </w:rPr>
        <w:t xml:space="preserve">ing. </w:t>
      </w:r>
      <w:r w:rsidR="00365276" w:rsidRPr="003E11DB">
        <w:rPr>
          <w:rFonts w:ascii="Arial" w:eastAsia="Calibri" w:hAnsi="Arial" w:cs="Arial"/>
        </w:rPr>
        <w:t>In situations where urgent</w:t>
      </w:r>
      <w:r w:rsidR="007F7CC4" w:rsidRPr="003E11DB">
        <w:rPr>
          <w:rFonts w:ascii="Arial" w:eastAsia="Calibri" w:hAnsi="Arial" w:cs="Arial"/>
        </w:rPr>
        <w:t xml:space="preserve"> </w:t>
      </w:r>
      <w:r w:rsidR="00365276" w:rsidRPr="003E11DB">
        <w:rPr>
          <w:rFonts w:ascii="Arial" w:eastAsia="Calibri" w:hAnsi="Arial" w:cs="Arial"/>
        </w:rPr>
        <w:t xml:space="preserve">reduction in TG levels </w:t>
      </w:r>
      <w:r w:rsidR="00C853FB" w:rsidRPr="003E11DB">
        <w:rPr>
          <w:rFonts w:ascii="Arial" w:eastAsia="Calibri" w:hAnsi="Arial" w:cs="Arial"/>
        </w:rPr>
        <w:t>is</w:t>
      </w:r>
      <w:r w:rsidR="00365276" w:rsidRPr="003E11DB">
        <w:rPr>
          <w:rFonts w:ascii="Arial" w:eastAsia="Calibri" w:hAnsi="Arial" w:cs="Arial"/>
        </w:rPr>
        <w:t xml:space="preserve"> needed, a more aggressive approach</w:t>
      </w:r>
      <w:r w:rsidR="00C853FB" w:rsidRPr="003E11DB">
        <w:rPr>
          <w:rFonts w:ascii="Arial" w:eastAsia="Calibri" w:hAnsi="Arial" w:cs="Arial"/>
        </w:rPr>
        <w:t xml:space="preserve"> </w:t>
      </w:r>
      <w:r w:rsidR="0076721B" w:rsidRPr="003E11DB">
        <w:rPr>
          <w:rFonts w:ascii="Arial" w:eastAsia="Calibri" w:hAnsi="Arial" w:cs="Arial"/>
        </w:rPr>
        <w:t xml:space="preserve">than fasting and avoidance of fat </w:t>
      </w:r>
      <w:r w:rsidR="00C853FB" w:rsidRPr="003E11DB">
        <w:rPr>
          <w:rFonts w:ascii="Arial" w:eastAsia="Calibri" w:hAnsi="Arial" w:cs="Arial"/>
        </w:rPr>
        <w:t xml:space="preserve">may be </w:t>
      </w:r>
      <w:r w:rsidR="007F0782" w:rsidRPr="003E11DB">
        <w:rPr>
          <w:rFonts w:ascii="Arial" w:eastAsia="Calibri" w:hAnsi="Arial" w:cs="Arial"/>
        </w:rPr>
        <w:t>indicated</w:t>
      </w:r>
      <w:r w:rsidR="00365276" w:rsidRPr="003E11DB">
        <w:rPr>
          <w:rFonts w:ascii="Arial" w:eastAsia="Calibri" w:hAnsi="Arial" w:cs="Arial"/>
        </w:rPr>
        <w:t>, including use of intravenous insulin, heparin,</w:t>
      </w:r>
      <w:r w:rsidR="00BC55A1" w:rsidRPr="003E11DB">
        <w:rPr>
          <w:rFonts w:ascii="Arial" w:eastAsia="Calibri" w:hAnsi="Arial" w:cs="Arial"/>
        </w:rPr>
        <w:t xml:space="preserve"> or both </w:t>
      </w:r>
      <w:r w:rsidR="00BC55A1" w:rsidRPr="004C1FF9">
        <w:rPr>
          <w:rFonts w:ascii="Arial" w:eastAsia="Calibri" w:hAnsi="Arial" w:cs="Arial"/>
        </w:rPr>
        <w:t>(</w:t>
      </w:r>
      <w:r w:rsidR="00302A6B" w:rsidRPr="004C1FF9">
        <w:rPr>
          <w:rFonts w:ascii="Arial" w:eastAsia="Calibri" w:hAnsi="Arial" w:cs="Arial"/>
        </w:rPr>
        <w:t>1</w:t>
      </w:r>
      <w:r w:rsidR="004C1FF9">
        <w:rPr>
          <w:rFonts w:ascii="Arial" w:eastAsia="Calibri" w:hAnsi="Arial" w:cs="Arial"/>
        </w:rPr>
        <w:t>3</w:t>
      </w:r>
      <w:r w:rsidR="007E0D9C" w:rsidRPr="004C1FF9">
        <w:rPr>
          <w:rFonts w:ascii="Arial" w:eastAsia="Calibri" w:hAnsi="Arial" w:cs="Arial"/>
        </w:rPr>
        <w:t>)</w:t>
      </w:r>
      <w:r w:rsidR="00BC55A1" w:rsidRPr="004C1FF9">
        <w:rPr>
          <w:rFonts w:ascii="Arial" w:eastAsia="Calibri" w:hAnsi="Arial" w:cs="Arial"/>
        </w:rPr>
        <w:t xml:space="preserve">, </w:t>
      </w:r>
      <w:r w:rsidR="00365276" w:rsidRPr="003E11DB">
        <w:rPr>
          <w:rFonts w:ascii="Arial" w:eastAsia="Calibri" w:hAnsi="Arial" w:cs="Arial"/>
        </w:rPr>
        <w:t>and TG removal</w:t>
      </w:r>
      <w:r w:rsidR="00C853FB" w:rsidRPr="003E11DB">
        <w:rPr>
          <w:rFonts w:ascii="Arial" w:eastAsia="Calibri" w:hAnsi="Arial" w:cs="Arial"/>
        </w:rPr>
        <w:t xml:space="preserve"> (</w:t>
      </w:r>
      <w:r w:rsidR="00EB5BB8" w:rsidRPr="003E11DB">
        <w:rPr>
          <w:rFonts w:ascii="Arial" w:eastAsia="Calibri" w:hAnsi="Arial" w:cs="Arial"/>
        </w:rPr>
        <w:t>e.g.</w:t>
      </w:r>
      <w:r w:rsidR="004E7A22" w:rsidRPr="003E11DB">
        <w:rPr>
          <w:rFonts w:ascii="Arial" w:eastAsia="Calibri" w:hAnsi="Arial" w:cs="Arial"/>
        </w:rPr>
        <w:t>,</w:t>
      </w:r>
      <w:r w:rsidR="00EB5BB8" w:rsidRPr="003E11DB">
        <w:rPr>
          <w:rFonts w:ascii="Arial" w:eastAsia="Calibri" w:hAnsi="Arial" w:cs="Arial"/>
        </w:rPr>
        <w:t xml:space="preserve"> plasmapheresis, apheresis</w:t>
      </w:r>
      <w:r w:rsidR="00C853FB" w:rsidRPr="003E11DB">
        <w:rPr>
          <w:rFonts w:ascii="Arial" w:eastAsia="Calibri" w:hAnsi="Arial" w:cs="Arial"/>
        </w:rPr>
        <w:t>)</w:t>
      </w:r>
      <w:r w:rsidR="004E7A22" w:rsidRPr="003E11DB">
        <w:rPr>
          <w:rFonts w:ascii="Arial" w:eastAsia="Calibri" w:hAnsi="Arial" w:cs="Arial"/>
        </w:rPr>
        <w:t xml:space="preserve"> </w:t>
      </w:r>
      <w:r w:rsidR="00F0466F" w:rsidRPr="003E11DB">
        <w:rPr>
          <w:rFonts w:ascii="Arial" w:eastAsia="Calibri" w:hAnsi="Arial" w:cs="Arial"/>
        </w:rPr>
        <w:t xml:space="preserve">(Table </w:t>
      </w:r>
      <w:r w:rsidR="00F61301" w:rsidRPr="003E11DB">
        <w:rPr>
          <w:rFonts w:ascii="Arial" w:eastAsia="Calibri" w:hAnsi="Arial" w:cs="Arial"/>
        </w:rPr>
        <w:t>5</w:t>
      </w:r>
      <w:r w:rsidR="00852892" w:rsidRPr="003E11DB">
        <w:rPr>
          <w:rFonts w:ascii="Arial" w:eastAsia="Calibri" w:hAnsi="Arial" w:cs="Arial"/>
        </w:rPr>
        <w:t>)</w:t>
      </w:r>
      <w:r w:rsidR="004E7A22" w:rsidRPr="003E11DB">
        <w:rPr>
          <w:rFonts w:ascii="Arial" w:eastAsia="Calibri" w:hAnsi="Arial" w:cs="Arial"/>
        </w:rPr>
        <w:t>.</w:t>
      </w:r>
      <w:r w:rsidR="007F7CC4" w:rsidRPr="003E11DB">
        <w:rPr>
          <w:rFonts w:ascii="Arial" w:eastAsia="Calibri" w:hAnsi="Arial" w:cs="Arial"/>
        </w:rPr>
        <w:t xml:space="preserve"> </w:t>
      </w:r>
      <w:r w:rsidR="00892C7F" w:rsidRPr="003E11DB">
        <w:rPr>
          <w:rFonts w:ascii="Arial" w:eastAsia="Calibri" w:hAnsi="Arial" w:cs="Arial"/>
        </w:rPr>
        <w:t xml:space="preserve">A single session of plasmapheresis has been shown to lower TG levels by up to 70% </w:t>
      </w:r>
      <w:r w:rsidR="004E1AE1" w:rsidRPr="004C1FF9">
        <w:rPr>
          <w:rFonts w:ascii="Arial" w:eastAsia="Calibri" w:hAnsi="Arial" w:cs="Arial"/>
        </w:rPr>
        <w:t>(</w:t>
      </w:r>
      <w:r w:rsidR="004C1FF9">
        <w:rPr>
          <w:rFonts w:ascii="Arial" w:eastAsia="Calibri" w:hAnsi="Arial" w:cs="Arial"/>
        </w:rPr>
        <w:t>14</w:t>
      </w:r>
      <w:r w:rsidR="004E1AE1" w:rsidRPr="004C1FF9">
        <w:rPr>
          <w:rFonts w:ascii="Arial" w:eastAsia="Calibri" w:hAnsi="Arial" w:cs="Arial"/>
        </w:rPr>
        <w:t>)</w:t>
      </w:r>
      <w:r w:rsidR="00B7417A">
        <w:rPr>
          <w:rFonts w:ascii="Arial" w:eastAsia="Calibri" w:hAnsi="Arial" w:cs="Arial"/>
        </w:rPr>
        <w:t>.</w:t>
      </w:r>
      <w:r w:rsidR="00892C7F" w:rsidRPr="004C1FF9">
        <w:rPr>
          <w:rFonts w:ascii="Arial" w:eastAsia="Calibri" w:hAnsi="Arial" w:cs="Arial"/>
        </w:rPr>
        <w:t xml:space="preserve"> </w:t>
      </w:r>
      <w:r w:rsidR="005B1613" w:rsidRPr="003E11DB">
        <w:rPr>
          <w:rFonts w:ascii="Arial" w:eastAsia="Calibri" w:hAnsi="Arial" w:cs="Arial"/>
        </w:rPr>
        <w:t>While a</w:t>
      </w:r>
      <w:r w:rsidR="00BC55A1" w:rsidRPr="003E11DB">
        <w:rPr>
          <w:rFonts w:ascii="Arial" w:eastAsia="Calibri" w:hAnsi="Arial" w:cs="Arial"/>
        </w:rPr>
        <w:t xml:space="preserve">pheresis can rapidly lower TG, rigorous proof of efficacy </w:t>
      </w:r>
      <w:r w:rsidR="004E7A22" w:rsidRPr="003E11DB">
        <w:rPr>
          <w:rFonts w:ascii="Arial" w:eastAsia="Calibri" w:hAnsi="Arial" w:cs="Arial"/>
        </w:rPr>
        <w:t>is</w:t>
      </w:r>
      <w:r w:rsidR="00BC55A1" w:rsidRPr="003E11DB">
        <w:rPr>
          <w:rFonts w:ascii="Arial" w:eastAsia="Calibri" w:hAnsi="Arial" w:cs="Arial"/>
        </w:rPr>
        <w:t xml:space="preserve"> lacking. </w:t>
      </w:r>
      <w:r w:rsidR="00C16C62" w:rsidRPr="003E11DB">
        <w:rPr>
          <w:rFonts w:ascii="Arial" w:eastAsia="Calibri" w:hAnsi="Arial" w:cs="Arial"/>
        </w:rPr>
        <w:t xml:space="preserve">Studies comparing technical aspects of apheresis are </w:t>
      </w:r>
      <w:r w:rsidR="00BC55A1" w:rsidRPr="003E11DB">
        <w:rPr>
          <w:rFonts w:ascii="Arial" w:eastAsia="Calibri" w:hAnsi="Arial" w:cs="Arial"/>
        </w:rPr>
        <w:t xml:space="preserve">also </w:t>
      </w:r>
      <w:r w:rsidR="00C16C62" w:rsidRPr="003E11DB">
        <w:rPr>
          <w:rFonts w:ascii="Arial" w:eastAsia="Calibri" w:hAnsi="Arial" w:cs="Arial"/>
        </w:rPr>
        <w:t>limited, such as different apheresis techniques (plasma exchange vs</w:t>
      </w:r>
      <w:r w:rsidR="005B1613" w:rsidRPr="003E11DB">
        <w:rPr>
          <w:rFonts w:ascii="Arial" w:eastAsia="Calibri" w:hAnsi="Arial" w:cs="Arial"/>
        </w:rPr>
        <w:t>.</w:t>
      </w:r>
      <w:r w:rsidR="00C16C62" w:rsidRPr="003E11DB">
        <w:rPr>
          <w:rFonts w:ascii="Arial" w:eastAsia="Calibri" w:hAnsi="Arial" w:cs="Arial"/>
        </w:rPr>
        <w:t xml:space="preserve"> double-membrane filtration) and proper fluid replacement (fresh frozen plasma vs</w:t>
      </w:r>
      <w:r w:rsidR="005B1613" w:rsidRPr="003E11DB">
        <w:rPr>
          <w:rFonts w:ascii="Arial" w:eastAsia="Calibri" w:hAnsi="Arial" w:cs="Arial"/>
        </w:rPr>
        <w:t>.</w:t>
      </w:r>
      <w:r w:rsidR="00EB3A84" w:rsidRPr="003E11DB">
        <w:rPr>
          <w:rFonts w:ascii="Arial" w:eastAsia="Calibri" w:hAnsi="Arial" w:cs="Arial"/>
        </w:rPr>
        <w:t xml:space="preserve"> albumin). </w:t>
      </w:r>
      <w:r w:rsidR="00C16C62" w:rsidRPr="003E11DB">
        <w:rPr>
          <w:rFonts w:ascii="Arial" w:eastAsia="Calibri" w:hAnsi="Arial" w:cs="Arial"/>
        </w:rPr>
        <w:t>Apheresis is expensive</w:t>
      </w:r>
      <w:r w:rsidR="00EB3A84" w:rsidRPr="003E11DB">
        <w:rPr>
          <w:rFonts w:ascii="Arial" w:eastAsia="Calibri" w:hAnsi="Arial" w:cs="Arial"/>
        </w:rPr>
        <w:t>,</w:t>
      </w:r>
      <w:r w:rsidR="00C16C62" w:rsidRPr="003E11DB">
        <w:rPr>
          <w:rFonts w:ascii="Arial" w:eastAsia="Calibri" w:hAnsi="Arial" w:cs="Arial"/>
        </w:rPr>
        <w:t xml:space="preserve"> not widely available</w:t>
      </w:r>
      <w:r w:rsidR="00EB3A84" w:rsidRPr="003E11DB">
        <w:rPr>
          <w:rFonts w:ascii="Arial" w:eastAsia="Calibri" w:hAnsi="Arial" w:cs="Arial"/>
        </w:rPr>
        <w:t xml:space="preserve"> and v</w:t>
      </w:r>
      <w:r w:rsidR="00551829" w:rsidRPr="003E11DB">
        <w:rPr>
          <w:rFonts w:ascii="Arial" w:eastAsia="Calibri" w:hAnsi="Arial" w:cs="Arial"/>
        </w:rPr>
        <w:t>ascular</w:t>
      </w:r>
      <w:r w:rsidR="00EB3A84" w:rsidRPr="003E11DB">
        <w:rPr>
          <w:rFonts w:ascii="Arial" w:eastAsia="Calibri" w:hAnsi="Arial" w:cs="Arial"/>
        </w:rPr>
        <w:t xml:space="preserve"> access challenging</w:t>
      </w:r>
      <w:r w:rsidR="00C16C62" w:rsidRPr="003E11DB">
        <w:rPr>
          <w:rFonts w:ascii="Arial" w:eastAsia="Calibri" w:hAnsi="Arial" w:cs="Arial"/>
        </w:rPr>
        <w:t>. Furthermore, a large retrospective study comparing two groups of adults with HTG before and after the availability of apheresis found no benefit</w:t>
      </w:r>
      <w:r w:rsidR="00892C7F" w:rsidRPr="004C1FF9">
        <w:rPr>
          <w:rFonts w:ascii="Arial" w:eastAsia="Calibri" w:hAnsi="Arial" w:cs="Arial"/>
        </w:rPr>
        <w:t xml:space="preserve"> (</w:t>
      </w:r>
      <w:r w:rsidR="00B7417A">
        <w:rPr>
          <w:rFonts w:ascii="Arial" w:eastAsia="Calibri" w:hAnsi="Arial" w:cs="Arial"/>
        </w:rPr>
        <w:t>15</w:t>
      </w:r>
      <w:r w:rsidR="00892C7F" w:rsidRPr="004C1FF9">
        <w:rPr>
          <w:rFonts w:ascii="Arial" w:eastAsia="Calibri" w:hAnsi="Arial" w:cs="Arial"/>
        </w:rPr>
        <w:t>)</w:t>
      </w:r>
      <w:r w:rsidR="00B7417A">
        <w:rPr>
          <w:rFonts w:ascii="Arial" w:eastAsia="Calibri" w:hAnsi="Arial" w:cs="Arial"/>
        </w:rPr>
        <w:t>.</w:t>
      </w:r>
      <w:r w:rsidR="00C16C62" w:rsidRPr="004C1FF9">
        <w:rPr>
          <w:rFonts w:ascii="Arial" w:eastAsia="Calibri" w:hAnsi="Arial" w:cs="Arial"/>
        </w:rPr>
        <w:t xml:space="preserve"> </w:t>
      </w:r>
      <w:r w:rsidR="00C16C62" w:rsidRPr="003E11DB">
        <w:rPr>
          <w:rFonts w:ascii="Arial" w:eastAsia="Calibri" w:hAnsi="Arial" w:cs="Arial"/>
        </w:rPr>
        <w:t xml:space="preserve">However, the authors suggested the timing of apheresis could </w:t>
      </w:r>
      <w:r w:rsidR="00892C7F" w:rsidRPr="003E11DB">
        <w:rPr>
          <w:rFonts w:ascii="Arial" w:eastAsia="Calibri" w:hAnsi="Arial" w:cs="Arial"/>
        </w:rPr>
        <w:t>be a</w:t>
      </w:r>
      <w:r w:rsidR="00C16C62" w:rsidRPr="003E11DB">
        <w:rPr>
          <w:rFonts w:ascii="Arial" w:eastAsia="Calibri" w:hAnsi="Arial" w:cs="Arial"/>
        </w:rPr>
        <w:t xml:space="preserve"> critical </w:t>
      </w:r>
      <w:r w:rsidR="00892C7F" w:rsidRPr="003E11DB">
        <w:rPr>
          <w:rFonts w:ascii="Arial" w:eastAsia="Calibri" w:hAnsi="Arial" w:cs="Arial"/>
        </w:rPr>
        <w:t>factor, based on other</w:t>
      </w:r>
      <w:r w:rsidR="00C16C62" w:rsidRPr="003E11DB">
        <w:rPr>
          <w:rFonts w:ascii="Arial" w:eastAsia="Calibri" w:hAnsi="Arial" w:cs="Arial"/>
        </w:rPr>
        <w:t xml:space="preserve"> reports showing that maximal reduction in morbidity and mortality can be achieved when apheresis is used as early as possible</w:t>
      </w:r>
      <w:r w:rsidR="00892C7F" w:rsidRPr="003E11DB">
        <w:rPr>
          <w:rFonts w:ascii="Arial" w:eastAsia="Calibri" w:hAnsi="Arial" w:cs="Arial"/>
        </w:rPr>
        <w:t>.</w:t>
      </w:r>
      <w:r w:rsidR="00C16C62" w:rsidRPr="003E11DB">
        <w:rPr>
          <w:rFonts w:ascii="Arial" w:eastAsia="Calibri" w:hAnsi="Arial" w:cs="Arial"/>
        </w:rPr>
        <w:t xml:space="preserve"> </w:t>
      </w:r>
      <w:r w:rsidR="00BC55A1" w:rsidRPr="003E11DB">
        <w:rPr>
          <w:rFonts w:ascii="Arial" w:hAnsi="Arial" w:cs="Arial"/>
        </w:rPr>
        <w:t xml:space="preserve">Randomized trials have not compared the efficacy of insulin and heparin to </w:t>
      </w:r>
      <w:r w:rsidR="00B06943" w:rsidRPr="003E11DB">
        <w:rPr>
          <w:rFonts w:ascii="Arial" w:hAnsi="Arial" w:cs="Arial"/>
        </w:rPr>
        <w:t xml:space="preserve">standard therapy or </w:t>
      </w:r>
      <w:r w:rsidR="00BC55A1" w:rsidRPr="003E11DB">
        <w:rPr>
          <w:rFonts w:ascii="Arial" w:hAnsi="Arial" w:cs="Arial"/>
        </w:rPr>
        <w:t xml:space="preserve">apheresis for the treatment of </w:t>
      </w:r>
      <w:r w:rsidR="00B06943" w:rsidRPr="003E11DB">
        <w:rPr>
          <w:rFonts w:ascii="Arial" w:hAnsi="Arial" w:cs="Arial"/>
        </w:rPr>
        <w:t xml:space="preserve">pancreatitis secondary to </w:t>
      </w:r>
      <w:r w:rsidR="003E2A49" w:rsidRPr="003E11DB">
        <w:rPr>
          <w:rFonts w:ascii="Arial" w:hAnsi="Arial" w:cs="Arial"/>
        </w:rPr>
        <w:t>HTG</w:t>
      </w:r>
      <w:r w:rsidR="00B06943" w:rsidRPr="003E11DB">
        <w:rPr>
          <w:rFonts w:ascii="Arial" w:hAnsi="Arial" w:cs="Arial"/>
        </w:rPr>
        <w:t xml:space="preserve">. In patients with poorly controlled diabetes (i.e., elevated plasma glucose levels) insulin should be administered to both lower glucose levels and increase </w:t>
      </w:r>
      <w:r w:rsidR="00935AC2">
        <w:rPr>
          <w:rFonts w:ascii="Arial" w:hAnsi="Arial" w:cs="Arial"/>
        </w:rPr>
        <w:t>lipoprotein lipase</w:t>
      </w:r>
      <w:r w:rsidR="00B06943" w:rsidRPr="003E11DB">
        <w:rPr>
          <w:rFonts w:ascii="Arial" w:hAnsi="Arial" w:cs="Arial"/>
        </w:rPr>
        <w:t xml:space="preserve"> activity thereby accelerating the clearance of </w:t>
      </w:r>
      <w:r w:rsidR="003E2A49" w:rsidRPr="003E11DB">
        <w:rPr>
          <w:rFonts w:ascii="Arial" w:hAnsi="Arial" w:cs="Arial"/>
        </w:rPr>
        <w:t>TG</w:t>
      </w:r>
      <w:r w:rsidR="00B06943" w:rsidRPr="003E11DB">
        <w:rPr>
          <w:rFonts w:ascii="Arial" w:hAnsi="Arial" w:cs="Arial"/>
        </w:rPr>
        <w:t xml:space="preserve"> rich lipoproteins. </w:t>
      </w:r>
      <w:r w:rsidR="00BC55A1" w:rsidRPr="003E11DB">
        <w:rPr>
          <w:rFonts w:ascii="Arial" w:hAnsi="Arial" w:cs="Arial"/>
        </w:rPr>
        <w:t xml:space="preserve">  </w:t>
      </w:r>
    </w:p>
    <w:p w14:paraId="211924E1" w14:textId="77777777" w:rsidR="00397BB6" w:rsidRPr="003E11DB" w:rsidRDefault="00397BB6" w:rsidP="0005546E">
      <w:pPr>
        <w:spacing w:after="0" w:line="276" w:lineRule="auto"/>
        <w:rPr>
          <w:rFonts w:ascii="Arial" w:hAnsi="Arial" w:cs="Arial"/>
        </w:rPr>
      </w:pPr>
    </w:p>
    <w:tbl>
      <w:tblPr>
        <w:tblW w:w="9309" w:type="dxa"/>
        <w:tblCellMar>
          <w:left w:w="0" w:type="dxa"/>
          <w:right w:w="0" w:type="dxa"/>
        </w:tblCellMar>
        <w:tblLook w:val="04A0" w:firstRow="1" w:lastRow="0" w:firstColumn="1" w:lastColumn="0" w:noHBand="0" w:noVBand="1"/>
      </w:tblPr>
      <w:tblGrid>
        <w:gridCol w:w="1380"/>
        <w:gridCol w:w="3760"/>
        <w:gridCol w:w="4169"/>
      </w:tblGrid>
      <w:tr w:rsidR="002C14CC" w:rsidRPr="003E11DB" w14:paraId="605B28D4" w14:textId="77777777" w:rsidTr="00BA267B">
        <w:trPr>
          <w:trHeight w:val="287"/>
        </w:trPr>
        <w:tc>
          <w:tcPr>
            <w:tcW w:w="9309" w:type="dxa"/>
            <w:gridSpan w:val="3"/>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341D3A87" w14:textId="063E0FF0" w:rsidR="002C14CC" w:rsidRPr="003E11DB" w:rsidRDefault="002C14CC" w:rsidP="0005546E">
            <w:pPr>
              <w:spacing w:after="0" w:line="276" w:lineRule="auto"/>
              <w:rPr>
                <w:rFonts w:ascii="Arial" w:eastAsia="Calibri" w:hAnsi="Arial" w:cs="Arial"/>
                <w:b/>
                <w:color w:val="000000" w:themeColor="text1"/>
                <w:kern w:val="24"/>
              </w:rPr>
            </w:pPr>
            <w:r w:rsidRPr="003E11DB">
              <w:rPr>
                <w:rFonts w:ascii="Arial" w:eastAsia="Calibri" w:hAnsi="Arial" w:cs="Arial"/>
                <w:b/>
                <w:color w:val="000000" w:themeColor="text1"/>
                <w:kern w:val="24"/>
              </w:rPr>
              <w:t>Table 5. Mor</w:t>
            </w:r>
            <w:r w:rsidR="00F03E7D">
              <w:rPr>
                <w:rFonts w:ascii="Arial" w:eastAsia="Calibri" w:hAnsi="Arial" w:cs="Arial"/>
                <w:b/>
                <w:color w:val="000000" w:themeColor="text1"/>
                <w:kern w:val="24"/>
              </w:rPr>
              <w:t>e Aggressive Management for HTG</w:t>
            </w:r>
          </w:p>
        </w:tc>
      </w:tr>
      <w:tr w:rsidR="00397BB6" w:rsidRPr="003E11DB" w14:paraId="23D75A20" w14:textId="77777777" w:rsidTr="006F53A2">
        <w:trPr>
          <w:trHeight w:val="287"/>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1BA925" w14:textId="77777777" w:rsidR="00397BB6" w:rsidRPr="003E11DB" w:rsidRDefault="00397BB6" w:rsidP="0005546E">
            <w:pPr>
              <w:spacing w:after="0" w:line="276" w:lineRule="auto"/>
              <w:rPr>
                <w:rFonts w:ascii="Arial" w:eastAsia="Times New Roman" w:hAnsi="Arial" w:cs="Arial"/>
                <w:b/>
              </w:rPr>
            </w:pPr>
            <w:r w:rsidRPr="003E11DB">
              <w:rPr>
                <w:rFonts w:ascii="Arial" w:eastAsia="Calibri" w:hAnsi="Arial" w:cs="Arial"/>
                <w:b/>
                <w:color w:val="000000" w:themeColor="text1"/>
                <w:kern w:val="24"/>
              </w:rPr>
              <w:t>Method</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4ABA2" w14:textId="77777777" w:rsidR="00397BB6" w:rsidRPr="003E11DB" w:rsidRDefault="00397BB6" w:rsidP="0005546E">
            <w:pPr>
              <w:spacing w:after="0" w:line="276" w:lineRule="auto"/>
              <w:rPr>
                <w:rFonts w:ascii="Arial" w:eastAsia="Times New Roman" w:hAnsi="Arial" w:cs="Arial"/>
                <w:b/>
              </w:rPr>
            </w:pPr>
            <w:r w:rsidRPr="003E11DB">
              <w:rPr>
                <w:rFonts w:ascii="Arial" w:eastAsia="Calibri" w:hAnsi="Arial" w:cs="Arial"/>
                <w:b/>
                <w:color w:val="000000" w:themeColor="text1"/>
                <w:kern w:val="24"/>
              </w:rPr>
              <w:t>Route</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A952B9" w14:textId="77777777" w:rsidR="00397BB6" w:rsidRPr="003E11DB" w:rsidRDefault="00397BB6" w:rsidP="0005546E">
            <w:pPr>
              <w:spacing w:after="0" w:line="276" w:lineRule="auto"/>
              <w:rPr>
                <w:rFonts w:ascii="Arial" w:eastAsia="Times New Roman" w:hAnsi="Arial" w:cs="Arial"/>
                <w:b/>
              </w:rPr>
            </w:pPr>
            <w:r w:rsidRPr="003E11DB">
              <w:rPr>
                <w:rFonts w:ascii="Arial" w:eastAsia="Calibri" w:hAnsi="Arial" w:cs="Arial"/>
                <w:b/>
                <w:color w:val="000000" w:themeColor="text1"/>
                <w:kern w:val="24"/>
              </w:rPr>
              <w:t>Mechanism</w:t>
            </w:r>
          </w:p>
        </w:tc>
      </w:tr>
      <w:tr w:rsidR="00397BB6" w:rsidRPr="003E11DB" w14:paraId="42EE2B8A" w14:textId="77777777" w:rsidTr="006F53A2">
        <w:trPr>
          <w:trHeight w:val="99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A94C14" w14:textId="77777777" w:rsidR="00397BB6" w:rsidRPr="003E11DB" w:rsidRDefault="00397BB6" w:rsidP="0005546E">
            <w:pPr>
              <w:spacing w:after="0" w:line="276" w:lineRule="auto"/>
              <w:rPr>
                <w:rFonts w:ascii="Arial" w:eastAsia="Times New Roman" w:hAnsi="Arial" w:cs="Arial"/>
              </w:rPr>
            </w:pPr>
            <w:r w:rsidRPr="003E11DB">
              <w:rPr>
                <w:rFonts w:ascii="Arial" w:eastAsia="Calibri" w:hAnsi="Arial" w:cs="Arial"/>
                <w:color w:val="000000" w:themeColor="text1"/>
                <w:kern w:val="24"/>
                <w:vertAlign w:val="superscript"/>
              </w:rPr>
              <w:t>a</w:t>
            </w:r>
            <w:r w:rsidRPr="003E11DB">
              <w:rPr>
                <w:rFonts w:ascii="Arial" w:eastAsia="Calibri" w:hAnsi="Arial" w:cs="Arial"/>
                <w:color w:val="000000" w:themeColor="text1"/>
                <w:kern w:val="24"/>
              </w:rPr>
              <w:t>Insulin</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D8558F" w14:textId="77777777" w:rsidR="00397BB6" w:rsidRPr="003E11DB" w:rsidRDefault="00397BB6" w:rsidP="00797EBD">
            <w:pPr>
              <w:numPr>
                <w:ilvl w:val="0"/>
                <w:numId w:val="4"/>
              </w:numPr>
              <w:spacing w:after="0" w:line="276" w:lineRule="auto"/>
              <w:ind w:left="0" w:hanging="242"/>
              <w:contextualSpacing/>
              <w:rPr>
                <w:rFonts w:ascii="Arial" w:eastAsia="Times New Roman" w:hAnsi="Arial" w:cs="Arial"/>
              </w:rPr>
            </w:pPr>
            <w:r w:rsidRPr="003E11DB">
              <w:rPr>
                <w:rFonts w:ascii="Arial" w:eastAsia="Calibri" w:hAnsi="Arial" w:cs="Arial"/>
                <w:color w:val="000000" w:themeColor="text1"/>
                <w:kern w:val="24"/>
              </w:rPr>
              <w:t>Dose: 0.05-0.1/kg/hr by continuous IV infusion.</w:t>
            </w:r>
          </w:p>
          <w:p w14:paraId="0A5734EE" w14:textId="77777777" w:rsidR="00397BB6" w:rsidRPr="003E11DB" w:rsidRDefault="00397BB6" w:rsidP="00797EBD">
            <w:pPr>
              <w:numPr>
                <w:ilvl w:val="0"/>
                <w:numId w:val="4"/>
              </w:numPr>
              <w:spacing w:after="0" w:line="276" w:lineRule="auto"/>
              <w:ind w:left="0" w:hanging="242"/>
              <w:contextualSpacing/>
              <w:rPr>
                <w:rFonts w:ascii="Arial" w:eastAsia="Times New Roman" w:hAnsi="Arial" w:cs="Arial"/>
              </w:rPr>
            </w:pPr>
            <w:r w:rsidRPr="003E11DB">
              <w:rPr>
                <w:rFonts w:ascii="Arial" w:eastAsia="Calibri" w:hAnsi="Arial" w:cs="Arial"/>
                <w:color w:val="000000" w:themeColor="text1"/>
                <w:kern w:val="24"/>
              </w:rPr>
              <w:t xml:space="preserve">Administer concomitant IV dextrose to avoid hypoglycemia. </w:t>
            </w:r>
          </w:p>
          <w:p w14:paraId="4E964A1A" w14:textId="77777777" w:rsidR="00397BB6" w:rsidRPr="003E11DB" w:rsidRDefault="00397BB6" w:rsidP="00797EBD">
            <w:pPr>
              <w:numPr>
                <w:ilvl w:val="0"/>
                <w:numId w:val="4"/>
              </w:numPr>
              <w:spacing w:after="0" w:line="276" w:lineRule="auto"/>
              <w:ind w:left="0" w:hanging="242"/>
              <w:contextualSpacing/>
              <w:rPr>
                <w:rFonts w:ascii="Arial" w:eastAsia="Times New Roman" w:hAnsi="Arial" w:cs="Arial"/>
              </w:rPr>
            </w:pPr>
            <w:r w:rsidRPr="003E11DB">
              <w:rPr>
                <w:rFonts w:ascii="Arial" w:eastAsia="Calibri" w:hAnsi="Arial" w:cs="Arial"/>
                <w:color w:val="000000" w:themeColor="text1"/>
                <w:kern w:val="24"/>
              </w:rPr>
              <w:lastRenderedPageBreak/>
              <w:t>Consider use of the “2-bag” system to titrate insulin and dextrose delivery.</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A5B7C3" w14:textId="78BD3EE8" w:rsidR="00397BB6" w:rsidRPr="003E11DB" w:rsidRDefault="00397BB6" w:rsidP="00797EBD">
            <w:pPr>
              <w:numPr>
                <w:ilvl w:val="0"/>
                <w:numId w:val="1"/>
              </w:numPr>
              <w:spacing w:after="0" w:line="276" w:lineRule="auto"/>
              <w:ind w:left="0" w:hanging="232"/>
              <w:contextualSpacing/>
              <w:rPr>
                <w:rFonts w:ascii="Arial" w:eastAsia="Times New Roman" w:hAnsi="Arial" w:cs="Arial"/>
              </w:rPr>
            </w:pPr>
            <w:r w:rsidRPr="003E11DB">
              <w:rPr>
                <w:rFonts w:ascii="Arial" w:eastAsia="Calibri" w:hAnsi="Arial" w:cs="Arial"/>
                <w:color w:val="000000" w:themeColor="text1"/>
                <w:kern w:val="24"/>
              </w:rPr>
              <w:lastRenderedPageBreak/>
              <w:t xml:space="preserve">Insulin increases lipoprotein lipase (LPL) activity which can degrade chylomicrons and thus reduce serum </w:t>
            </w:r>
            <w:r w:rsidR="003E2A49" w:rsidRPr="003E11DB">
              <w:rPr>
                <w:rFonts w:ascii="Arial" w:eastAsia="Calibri" w:hAnsi="Arial" w:cs="Arial"/>
                <w:color w:val="000000" w:themeColor="text1"/>
                <w:kern w:val="24"/>
              </w:rPr>
              <w:t>TG</w:t>
            </w:r>
            <w:r w:rsidRPr="003E11DB">
              <w:rPr>
                <w:rFonts w:ascii="Arial" w:eastAsia="Calibri" w:hAnsi="Arial" w:cs="Arial"/>
                <w:color w:val="000000" w:themeColor="text1"/>
                <w:kern w:val="24"/>
              </w:rPr>
              <w:t xml:space="preserve">. </w:t>
            </w:r>
          </w:p>
          <w:p w14:paraId="4E879865" w14:textId="77777777" w:rsidR="00397BB6" w:rsidRPr="003E11DB" w:rsidRDefault="00397BB6" w:rsidP="00797EBD">
            <w:pPr>
              <w:numPr>
                <w:ilvl w:val="0"/>
                <w:numId w:val="1"/>
              </w:numPr>
              <w:spacing w:after="0" w:line="276" w:lineRule="auto"/>
              <w:ind w:left="0" w:hanging="232"/>
              <w:contextualSpacing/>
              <w:rPr>
                <w:rFonts w:ascii="Arial" w:eastAsia="Times New Roman" w:hAnsi="Arial" w:cs="Arial"/>
              </w:rPr>
            </w:pPr>
            <w:r w:rsidRPr="003E11DB">
              <w:rPr>
                <w:rFonts w:ascii="Arial" w:eastAsia="Calibri" w:hAnsi="Arial" w:cs="Arial"/>
                <w:color w:val="000000" w:themeColor="text1"/>
                <w:kern w:val="24"/>
              </w:rPr>
              <w:lastRenderedPageBreak/>
              <w:t>Intravenous insulin may be more effective than subcutaneous insulin in severe cases of HTG.</w:t>
            </w:r>
          </w:p>
        </w:tc>
      </w:tr>
      <w:tr w:rsidR="00397BB6" w:rsidRPr="003E11DB" w14:paraId="0EF71A24" w14:textId="77777777" w:rsidTr="006F53A2">
        <w:trPr>
          <w:trHeight w:val="747"/>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092699" w14:textId="77777777" w:rsidR="00397BB6" w:rsidRPr="003E11DB" w:rsidRDefault="00397BB6" w:rsidP="0005546E">
            <w:pPr>
              <w:spacing w:after="0" w:line="276" w:lineRule="auto"/>
              <w:rPr>
                <w:rFonts w:ascii="Arial" w:eastAsia="Times New Roman" w:hAnsi="Arial" w:cs="Arial"/>
              </w:rPr>
            </w:pPr>
            <w:r w:rsidRPr="003E11DB">
              <w:rPr>
                <w:rFonts w:ascii="Arial" w:eastAsia="Calibri" w:hAnsi="Arial" w:cs="Arial"/>
                <w:color w:val="000000" w:themeColor="text1"/>
                <w:kern w:val="24"/>
                <w:vertAlign w:val="superscript"/>
              </w:rPr>
              <w:lastRenderedPageBreak/>
              <w:t>b</w:t>
            </w:r>
            <w:r w:rsidRPr="003E11DB">
              <w:rPr>
                <w:rFonts w:ascii="Arial" w:eastAsia="Calibri" w:hAnsi="Arial" w:cs="Arial"/>
                <w:color w:val="000000" w:themeColor="text1"/>
                <w:kern w:val="24"/>
              </w:rPr>
              <w:t>Heparin</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1A90C6" w14:textId="27AB135D" w:rsidR="00397BB6" w:rsidRPr="003E11DB" w:rsidRDefault="00DB155C" w:rsidP="00797EBD">
            <w:pPr>
              <w:numPr>
                <w:ilvl w:val="0"/>
                <w:numId w:val="2"/>
              </w:numPr>
              <w:spacing w:after="0" w:line="276" w:lineRule="auto"/>
              <w:ind w:left="0" w:hanging="242"/>
              <w:contextualSpacing/>
              <w:rPr>
                <w:rFonts w:ascii="Arial" w:eastAsia="Times New Roman" w:hAnsi="Arial" w:cs="Arial"/>
              </w:rPr>
            </w:pPr>
            <w:r w:rsidRPr="003E11DB">
              <w:rPr>
                <w:rFonts w:ascii="Arial" w:eastAsia="Calibri" w:hAnsi="Arial" w:cs="Arial"/>
                <w:color w:val="000000" w:themeColor="text1"/>
                <w:kern w:val="24"/>
              </w:rPr>
              <w:t>Generally,</w:t>
            </w:r>
            <w:r w:rsidR="00397BB6" w:rsidRPr="003E11DB">
              <w:rPr>
                <w:rFonts w:ascii="Arial" w:eastAsia="Calibri" w:hAnsi="Arial" w:cs="Arial"/>
                <w:color w:val="000000" w:themeColor="text1"/>
                <w:kern w:val="24"/>
              </w:rPr>
              <w:t xml:space="preserve"> not recommended as a monotherapy.</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30E9EC" w14:textId="77777777" w:rsidR="00397BB6" w:rsidRPr="003E11DB" w:rsidRDefault="00397BB6" w:rsidP="00797EBD">
            <w:pPr>
              <w:numPr>
                <w:ilvl w:val="0"/>
                <w:numId w:val="2"/>
              </w:numPr>
              <w:tabs>
                <w:tab w:val="num" w:pos="232"/>
              </w:tabs>
              <w:spacing w:after="0" w:line="276" w:lineRule="auto"/>
              <w:ind w:left="0" w:hanging="412"/>
              <w:contextualSpacing/>
              <w:rPr>
                <w:rFonts w:ascii="Arial" w:eastAsia="Times New Roman" w:hAnsi="Arial" w:cs="Arial"/>
              </w:rPr>
            </w:pPr>
            <w:r w:rsidRPr="003E11DB">
              <w:rPr>
                <w:rFonts w:ascii="Arial" w:eastAsia="Calibri" w:hAnsi="Arial" w:cs="Arial"/>
                <w:color w:val="000000" w:themeColor="text1"/>
                <w:kern w:val="24"/>
              </w:rPr>
              <w:t xml:space="preserve">Stimulates release of endothelial LPL into circulation. </w:t>
            </w:r>
          </w:p>
          <w:p w14:paraId="158AF574" w14:textId="77777777" w:rsidR="00397BB6" w:rsidRPr="003E11DB" w:rsidRDefault="00397BB6" w:rsidP="00797EBD">
            <w:pPr>
              <w:numPr>
                <w:ilvl w:val="0"/>
                <w:numId w:val="2"/>
              </w:numPr>
              <w:tabs>
                <w:tab w:val="num" w:pos="232"/>
              </w:tabs>
              <w:spacing w:after="0" w:line="276" w:lineRule="auto"/>
              <w:ind w:left="0" w:hanging="232"/>
              <w:contextualSpacing/>
              <w:rPr>
                <w:rFonts w:ascii="Arial" w:eastAsia="Times New Roman" w:hAnsi="Arial" w:cs="Arial"/>
              </w:rPr>
            </w:pPr>
            <w:r w:rsidRPr="003E11DB">
              <w:rPr>
                <w:rFonts w:ascii="Arial" w:eastAsia="Calibri" w:hAnsi="Arial" w:cs="Arial"/>
                <w:color w:val="000000" w:themeColor="text1"/>
                <w:kern w:val="24"/>
              </w:rPr>
              <w:t>However, use of heparin may only result in transient rise in LPL followed by increased degradation of plasma stores causing LPL deficiency.</w:t>
            </w:r>
          </w:p>
        </w:tc>
      </w:tr>
      <w:tr w:rsidR="00397BB6" w:rsidRPr="003E11DB" w14:paraId="38CAC80D" w14:textId="77777777" w:rsidTr="006F53A2">
        <w:trPr>
          <w:trHeight w:val="1704"/>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B296FE" w14:textId="77777777" w:rsidR="00397BB6" w:rsidRPr="003E11DB" w:rsidRDefault="00397BB6" w:rsidP="0005546E">
            <w:pPr>
              <w:spacing w:after="0" w:line="276" w:lineRule="auto"/>
              <w:rPr>
                <w:rFonts w:ascii="Arial" w:eastAsia="Times New Roman" w:hAnsi="Arial" w:cs="Arial"/>
              </w:rPr>
            </w:pPr>
            <w:r w:rsidRPr="003E11DB">
              <w:rPr>
                <w:rFonts w:ascii="Arial" w:eastAsia="Calibri" w:hAnsi="Arial" w:cs="Arial"/>
                <w:color w:val="000000" w:themeColor="text1"/>
                <w:kern w:val="24"/>
                <w:vertAlign w:val="superscript"/>
              </w:rPr>
              <w:t>c</w:t>
            </w:r>
            <w:r w:rsidRPr="003E11DB">
              <w:rPr>
                <w:rFonts w:ascii="Arial" w:eastAsia="Calibri" w:hAnsi="Arial" w:cs="Arial"/>
                <w:color w:val="000000" w:themeColor="text1"/>
                <w:kern w:val="24"/>
              </w:rPr>
              <w:t>Double membrane filtration or plasma exchange</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5765CA" w14:textId="77777777" w:rsidR="00397BB6" w:rsidRPr="003E11DB" w:rsidRDefault="00397BB6" w:rsidP="00797EBD">
            <w:pPr>
              <w:numPr>
                <w:ilvl w:val="0"/>
                <w:numId w:val="3"/>
              </w:numPr>
              <w:spacing w:after="0" w:line="276" w:lineRule="auto"/>
              <w:ind w:left="0" w:hanging="242"/>
              <w:contextualSpacing/>
              <w:rPr>
                <w:rFonts w:ascii="Arial" w:eastAsia="Times New Roman" w:hAnsi="Arial" w:cs="Arial"/>
              </w:rPr>
            </w:pPr>
            <w:r w:rsidRPr="003E11DB">
              <w:rPr>
                <w:rFonts w:ascii="Arial" w:eastAsia="Calibri" w:hAnsi="Arial" w:cs="Arial"/>
                <w:color w:val="000000" w:themeColor="text1"/>
                <w:kern w:val="24"/>
              </w:rPr>
              <w:t xml:space="preserve">Adequate vascular access may be challenging. </w:t>
            </w:r>
          </w:p>
          <w:p w14:paraId="51E8D637" w14:textId="77777777" w:rsidR="00397BB6" w:rsidRPr="003E11DB" w:rsidRDefault="00397BB6" w:rsidP="00797EBD">
            <w:pPr>
              <w:numPr>
                <w:ilvl w:val="0"/>
                <w:numId w:val="3"/>
              </w:numPr>
              <w:spacing w:after="0" w:line="276" w:lineRule="auto"/>
              <w:ind w:left="0" w:hanging="242"/>
              <w:contextualSpacing/>
              <w:rPr>
                <w:rFonts w:ascii="Arial" w:eastAsia="Times New Roman" w:hAnsi="Arial" w:cs="Arial"/>
              </w:rPr>
            </w:pPr>
            <w:r w:rsidRPr="003E11DB">
              <w:rPr>
                <w:rFonts w:ascii="Arial" w:eastAsia="Calibri" w:hAnsi="Arial" w:cs="Arial"/>
                <w:color w:val="000000" w:themeColor="text1"/>
                <w:kern w:val="24"/>
              </w:rPr>
              <w:t>Expensive procedure; not available in all medical centers.</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6EE208" w14:textId="77777777" w:rsidR="00397BB6" w:rsidRPr="003E11DB" w:rsidRDefault="00397BB6" w:rsidP="00797EBD">
            <w:pPr>
              <w:numPr>
                <w:ilvl w:val="0"/>
                <w:numId w:val="3"/>
              </w:numPr>
              <w:spacing w:after="0" w:line="276" w:lineRule="auto"/>
              <w:ind w:left="0" w:hanging="232"/>
              <w:contextualSpacing/>
              <w:rPr>
                <w:rFonts w:ascii="Arial" w:eastAsia="Times New Roman" w:hAnsi="Arial" w:cs="Arial"/>
              </w:rPr>
            </w:pPr>
            <w:r w:rsidRPr="003E11DB">
              <w:rPr>
                <w:rFonts w:ascii="Arial" w:eastAsia="Calibri" w:hAnsi="Arial" w:cs="Arial"/>
                <w:color w:val="000000" w:themeColor="text1"/>
                <w:kern w:val="24"/>
              </w:rPr>
              <w:t xml:space="preserve">The beneficial effect of plasmapheresis is believed to be due to a rapid decrease in TG levels.  </w:t>
            </w:r>
          </w:p>
          <w:p w14:paraId="74E235E1" w14:textId="77777777" w:rsidR="00397BB6" w:rsidRPr="003E11DB" w:rsidRDefault="00397BB6" w:rsidP="00797EBD">
            <w:pPr>
              <w:numPr>
                <w:ilvl w:val="0"/>
                <w:numId w:val="3"/>
              </w:numPr>
              <w:spacing w:after="0" w:line="276" w:lineRule="auto"/>
              <w:ind w:left="0" w:hanging="232"/>
              <w:contextualSpacing/>
              <w:rPr>
                <w:rFonts w:ascii="Arial" w:eastAsia="Times New Roman" w:hAnsi="Arial" w:cs="Arial"/>
              </w:rPr>
            </w:pPr>
            <w:r w:rsidRPr="003E11DB">
              <w:rPr>
                <w:rFonts w:ascii="Arial" w:eastAsia="Calibri" w:hAnsi="Arial" w:cs="Arial"/>
                <w:color w:val="000000" w:themeColor="text1"/>
                <w:kern w:val="24"/>
              </w:rPr>
              <w:t>The effects of heparin, the removal of excessive proteases from the plasma, and replacement of consumed protease-inhibitors with new ones from donor plasma may play an additional beneficial role.</w:t>
            </w:r>
          </w:p>
          <w:p w14:paraId="2539E503" w14:textId="77777777" w:rsidR="00397BB6" w:rsidRPr="003E11DB" w:rsidRDefault="00397BB6" w:rsidP="00797EBD">
            <w:pPr>
              <w:numPr>
                <w:ilvl w:val="0"/>
                <w:numId w:val="3"/>
              </w:numPr>
              <w:spacing w:after="0" w:line="276" w:lineRule="auto"/>
              <w:ind w:left="0" w:hanging="232"/>
              <w:contextualSpacing/>
              <w:rPr>
                <w:rFonts w:ascii="Arial" w:eastAsia="Times New Roman" w:hAnsi="Arial" w:cs="Arial"/>
              </w:rPr>
            </w:pPr>
            <w:r w:rsidRPr="003E11DB">
              <w:rPr>
                <w:rFonts w:ascii="Arial" w:eastAsia="Calibri" w:hAnsi="Arial" w:cs="Arial"/>
                <w:color w:val="000000" w:themeColor="text1"/>
                <w:kern w:val="24"/>
              </w:rPr>
              <w:t xml:space="preserve">Use of donor plasma carries risks of transfusion-related allergic reaction or infection. </w:t>
            </w:r>
          </w:p>
          <w:p w14:paraId="391369B3" w14:textId="77777777" w:rsidR="00397BB6" w:rsidRPr="003E11DB" w:rsidRDefault="00397BB6" w:rsidP="00797EBD">
            <w:pPr>
              <w:numPr>
                <w:ilvl w:val="0"/>
                <w:numId w:val="3"/>
              </w:numPr>
              <w:spacing w:after="0" w:line="276" w:lineRule="auto"/>
              <w:ind w:left="0" w:hanging="232"/>
              <w:contextualSpacing/>
              <w:rPr>
                <w:rFonts w:ascii="Arial" w:eastAsia="Times New Roman" w:hAnsi="Arial" w:cs="Arial"/>
              </w:rPr>
            </w:pPr>
            <w:r w:rsidRPr="003E11DB">
              <w:rPr>
                <w:rFonts w:ascii="Arial" w:eastAsia="Calibri" w:hAnsi="Arial" w:cs="Arial"/>
                <w:color w:val="000000" w:themeColor="text1"/>
                <w:kern w:val="24"/>
              </w:rPr>
              <w:t>Requires transient anti-coagulation.</w:t>
            </w:r>
          </w:p>
        </w:tc>
      </w:tr>
    </w:tbl>
    <w:p w14:paraId="485BA4AF" w14:textId="0D36F9FD" w:rsidR="00397BB6" w:rsidRPr="00804AC5" w:rsidRDefault="00BA267B" w:rsidP="0005546E">
      <w:pPr>
        <w:spacing w:after="0" w:line="276" w:lineRule="auto"/>
        <w:rPr>
          <w:rFonts w:ascii="Arial" w:eastAsia="Calibri" w:hAnsi="Arial" w:cs="Arial"/>
        </w:rPr>
      </w:pPr>
      <w:r w:rsidRPr="00804AC5">
        <w:rPr>
          <w:rFonts w:ascii="Arial" w:eastAsia="Calibri" w:hAnsi="Arial" w:cs="Arial"/>
          <w:vertAlign w:val="superscript"/>
        </w:rPr>
        <w:t>a</w:t>
      </w:r>
      <w:r w:rsidRPr="00804AC5">
        <w:rPr>
          <w:rFonts w:ascii="Arial" w:eastAsia="Calibri" w:hAnsi="Arial" w:cs="Arial"/>
        </w:rPr>
        <w:t>(</w:t>
      </w:r>
      <w:r w:rsidR="00804AC5">
        <w:rPr>
          <w:rFonts w:ascii="Arial" w:eastAsia="Calibri" w:hAnsi="Arial" w:cs="Arial"/>
        </w:rPr>
        <w:t>16</w:t>
      </w:r>
      <w:r w:rsidRPr="00804AC5">
        <w:rPr>
          <w:rFonts w:ascii="Arial" w:eastAsia="Calibri" w:hAnsi="Arial" w:cs="Arial"/>
        </w:rPr>
        <w:t xml:space="preserve">), </w:t>
      </w:r>
      <w:r w:rsidRPr="00804AC5">
        <w:rPr>
          <w:rFonts w:ascii="Arial" w:eastAsia="Calibri" w:hAnsi="Arial" w:cs="Arial"/>
          <w:vertAlign w:val="superscript"/>
        </w:rPr>
        <w:t>b</w:t>
      </w:r>
      <w:r w:rsidR="00804AC5">
        <w:rPr>
          <w:rFonts w:ascii="Arial" w:eastAsia="Calibri" w:hAnsi="Arial" w:cs="Arial"/>
        </w:rPr>
        <w:t>(17</w:t>
      </w:r>
      <w:r w:rsidR="00DB155C" w:rsidRPr="00804AC5">
        <w:rPr>
          <w:rFonts w:ascii="Arial" w:eastAsia="Calibri" w:hAnsi="Arial" w:cs="Arial"/>
        </w:rPr>
        <w:t>), c</w:t>
      </w:r>
      <w:r w:rsidRPr="00804AC5">
        <w:rPr>
          <w:rFonts w:ascii="Arial" w:eastAsia="Calibri" w:hAnsi="Arial" w:cs="Arial"/>
        </w:rPr>
        <w:t>(</w:t>
      </w:r>
      <w:r w:rsidR="00804AC5">
        <w:rPr>
          <w:rFonts w:ascii="Arial" w:eastAsia="Calibri" w:hAnsi="Arial" w:cs="Arial"/>
        </w:rPr>
        <w:t>18</w:t>
      </w:r>
      <w:r w:rsidRPr="00804AC5">
        <w:rPr>
          <w:rFonts w:ascii="Arial" w:eastAsia="Calibri" w:hAnsi="Arial" w:cs="Arial"/>
        </w:rPr>
        <w:t>).</w:t>
      </w:r>
    </w:p>
    <w:p w14:paraId="34CE0CE5" w14:textId="77777777" w:rsidR="00BA267B" w:rsidRPr="003E11DB" w:rsidRDefault="00BA267B" w:rsidP="0005546E">
      <w:pPr>
        <w:spacing w:after="0" w:line="276" w:lineRule="auto"/>
        <w:rPr>
          <w:rFonts w:ascii="Arial" w:eastAsia="Calibri" w:hAnsi="Arial" w:cs="Arial"/>
        </w:rPr>
      </w:pPr>
    </w:p>
    <w:p w14:paraId="5F1BEB7F" w14:textId="061E9B99" w:rsidR="00B54A67" w:rsidRPr="003E11DB" w:rsidRDefault="007F7CC4" w:rsidP="00145D27">
      <w:pPr>
        <w:spacing w:after="0" w:line="276" w:lineRule="auto"/>
        <w:contextualSpacing/>
        <w:rPr>
          <w:rFonts w:ascii="Arial" w:eastAsia="Calibri" w:hAnsi="Arial" w:cs="Arial"/>
        </w:rPr>
      </w:pPr>
      <w:r w:rsidRPr="003E11DB">
        <w:rPr>
          <w:rFonts w:ascii="Arial" w:eastAsia="Calibri" w:hAnsi="Arial" w:cs="Arial"/>
        </w:rPr>
        <w:t>Presently t</w:t>
      </w:r>
      <w:r w:rsidR="00365276" w:rsidRPr="003E11DB">
        <w:rPr>
          <w:rFonts w:ascii="Arial" w:eastAsia="Calibri" w:hAnsi="Arial" w:cs="Arial"/>
        </w:rPr>
        <w:t xml:space="preserve">here are no </w:t>
      </w:r>
      <w:r w:rsidR="00EB5BB8" w:rsidRPr="003E11DB">
        <w:rPr>
          <w:rFonts w:ascii="Arial" w:eastAsia="Calibri" w:hAnsi="Arial" w:cs="Arial"/>
        </w:rPr>
        <w:t xml:space="preserve">pediatric </w:t>
      </w:r>
      <w:r w:rsidR="00365276" w:rsidRPr="003E11DB">
        <w:rPr>
          <w:rFonts w:ascii="Arial" w:eastAsia="Calibri" w:hAnsi="Arial" w:cs="Arial"/>
        </w:rPr>
        <w:t>guidelines</w:t>
      </w:r>
      <w:r w:rsidR="00C853FB" w:rsidRPr="003E11DB">
        <w:rPr>
          <w:rFonts w:ascii="Arial" w:eastAsia="Calibri" w:hAnsi="Arial" w:cs="Arial"/>
        </w:rPr>
        <w:t xml:space="preserve"> </w:t>
      </w:r>
      <w:r w:rsidR="00365276" w:rsidRPr="003E11DB">
        <w:rPr>
          <w:rFonts w:ascii="Arial" w:eastAsia="Calibri" w:hAnsi="Arial" w:cs="Arial"/>
        </w:rPr>
        <w:t xml:space="preserve">to </w:t>
      </w:r>
      <w:r w:rsidR="00931320" w:rsidRPr="003E11DB">
        <w:rPr>
          <w:rFonts w:ascii="Arial" w:eastAsia="Calibri" w:hAnsi="Arial" w:cs="Arial"/>
        </w:rPr>
        <w:t xml:space="preserve">assist </w:t>
      </w:r>
      <w:r w:rsidR="00365276" w:rsidRPr="003E11DB">
        <w:rPr>
          <w:rFonts w:ascii="Arial" w:eastAsia="Calibri" w:hAnsi="Arial" w:cs="Arial"/>
        </w:rPr>
        <w:t xml:space="preserve">clinical decision-making when more aggressive therapy </w:t>
      </w:r>
      <w:r w:rsidR="00251721" w:rsidRPr="003E11DB">
        <w:rPr>
          <w:rFonts w:ascii="Arial" w:eastAsia="Calibri" w:hAnsi="Arial" w:cs="Arial"/>
        </w:rPr>
        <w:t>might be</w:t>
      </w:r>
      <w:r w:rsidR="00365276" w:rsidRPr="003E11DB">
        <w:rPr>
          <w:rFonts w:ascii="Arial" w:eastAsia="Calibri" w:hAnsi="Arial" w:cs="Arial"/>
        </w:rPr>
        <w:t xml:space="preserve"> </w:t>
      </w:r>
      <w:r w:rsidR="007F0782" w:rsidRPr="003E11DB">
        <w:rPr>
          <w:rFonts w:ascii="Arial" w:eastAsia="Calibri" w:hAnsi="Arial" w:cs="Arial"/>
        </w:rPr>
        <w:t>appropriate</w:t>
      </w:r>
      <w:r w:rsidR="00365276" w:rsidRPr="003E11DB">
        <w:rPr>
          <w:rFonts w:ascii="Arial" w:eastAsia="Calibri" w:hAnsi="Arial" w:cs="Arial"/>
        </w:rPr>
        <w:t>.</w:t>
      </w:r>
      <w:r w:rsidR="00C853FB" w:rsidRPr="003E11DB">
        <w:rPr>
          <w:rFonts w:ascii="Arial" w:eastAsia="Calibri" w:hAnsi="Arial" w:cs="Arial"/>
        </w:rPr>
        <w:t xml:space="preserve"> In general, more</w:t>
      </w:r>
      <w:r w:rsidR="00365276" w:rsidRPr="003E11DB">
        <w:rPr>
          <w:rFonts w:ascii="Arial" w:eastAsia="Calibri" w:hAnsi="Arial" w:cs="Arial"/>
        </w:rPr>
        <w:t xml:space="preserve"> aggressive </w:t>
      </w:r>
      <w:r w:rsidR="00C853FB" w:rsidRPr="003E11DB">
        <w:rPr>
          <w:rFonts w:ascii="Arial" w:eastAsia="Calibri" w:hAnsi="Arial" w:cs="Arial"/>
        </w:rPr>
        <w:t>TG</w:t>
      </w:r>
      <w:r w:rsidR="00B43304" w:rsidRPr="003E11DB">
        <w:rPr>
          <w:rFonts w:ascii="Arial" w:eastAsia="Calibri" w:hAnsi="Arial" w:cs="Arial"/>
        </w:rPr>
        <w:t>-</w:t>
      </w:r>
      <w:r w:rsidR="00365276" w:rsidRPr="003E11DB">
        <w:rPr>
          <w:rFonts w:ascii="Arial" w:eastAsia="Calibri" w:hAnsi="Arial" w:cs="Arial"/>
        </w:rPr>
        <w:t xml:space="preserve">lowering should be considered in </w:t>
      </w:r>
      <w:r w:rsidR="00551829" w:rsidRPr="003E11DB">
        <w:rPr>
          <w:rFonts w:ascii="Arial" w:eastAsia="Calibri" w:hAnsi="Arial" w:cs="Arial"/>
        </w:rPr>
        <w:t>symptomatic children</w:t>
      </w:r>
      <w:r w:rsidR="00365276" w:rsidRPr="003E11DB">
        <w:rPr>
          <w:rFonts w:ascii="Arial" w:eastAsia="Calibri" w:hAnsi="Arial" w:cs="Arial"/>
        </w:rPr>
        <w:t xml:space="preserve"> who fail to respon</w:t>
      </w:r>
      <w:r w:rsidR="00302A6B">
        <w:rPr>
          <w:rFonts w:ascii="Arial" w:eastAsia="Calibri" w:hAnsi="Arial" w:cs="Arial"/>
        </w:rPr>
        <w:t>d</w:t>
      </w:r>
      <w:r w:rsidR="00365276" w:rsidRPr="003E11DB">
        <w:rPr>
          <w:rFonts w:ascii="Arial" w:eastAsia="Calibri" w:hAnsi="Arial" w:cs="Arial"/>
        </w:rPr>
        <w:t xml:space="preserve"> to </w:t>
      </w:r>
      <w:r w:rsidR="00551829" w:rsidRPr="003E11DB">
        <w:rPr>
          <w:rFonts w:ascii="Arial" w:eastAsia="Calibri" w:hAnsi="Arial" w:cs="Arial"/>
        </w:rPr>
        <w:t>conventional</w:t>
      </w:r>
      <w:r w:rsidR="00365276" w:rsidRPr="003E11DB">
        <w:rPr>
          <w:rFonts w:ascii="Arial" w:eastAsia="Calibri" w:hAnsi="Arial" w:cs="Arial"/>
        </w:rPr>
        <w:t xml:space="preserve"> treatment</w:t>
      </w:r>
      <w:r w:rsidR="00397BB6" w:rsidRPr="003E11DB">
        <w:rPr>
          <w:rFonts w:ascii="Arial" w:eastAsia="Calibri" w:hAnsi="Arial" w:cs="Arial"/>
        </w:rPr>
        <w:t xml:space="preserve"> </w:t>
      </w:r>
      <w:r w:rsidR="00B876A2" w:rsidRPr="003E11DB">
        <w:rPr>
          <w:rFonts w:ascii="Arial" w:eastAsia="Calibri" w:hAnsi="Arial" w:cs="Arial"/>
        </w:rPr>
        <w:t xml:space="preserve">(avoidance of fat intake) </w:t>
      </w:r>
      <w:r w:rsidR="00365276" w:rsidRPr="003E11DB">
        <w:rPr>
          <w:rFonts w:ascii="Arial" w:eastAsia="Calibri" w:hAnsi="Arial" w:cs="Arial"/>
        </w:rPr>
        <w:t xml:space="preserve">and in </w:t>
      </w:r>
      <w:r w:rsidR="00B43304" w:rsidRPr="003E11DB">
        <w:rPr>
          <w:rFonts w:ascii="Arial" w:eastAsia="Calibri" w:hAnsi="Arial" w:cs="Arial"/>
        </w:rPr>
        <w:t>whom there is</w:t>
      </w:r>
      <w:r w:rsidR="00365276" w:rsidRPr="003E11DB">
        <w:rPr>
          <w:rFonts w:ascii="Arial" w:eastAsia="Calibri" w:hAnsi="Arial" w:cs="Arial"/>
        </w:rPr>
        <w:t xml:space="preserve"> evidence of organ</w:t>
      </w:r>
      <w:r w:rsidR="009A0474" w:rsidRPr="003E11DB">
        <w:rPr>
          <w:rFonts w:ascii="Arial" w:eastAsia="Calibri" w:hAnsi="Arial" w:cs="Arial"/>
        </w:rPr>
        <w:t xml:space="preserve"> dysfunction or failure (</w:t>
      </w:r>
      <w:r w:rsidR="00E250A5" w:rsidRPr="003E11DB">
        <w:rPr>
          <w:rFonts w:ascii="Arial" w:eastAsia="Calibri" w:hAnsi="Arial" w:cs="Arial"/>
        </w:rPr>
        <w:t>Figure</w:t>
      </w:r>
      <w:r w:rsidR="00365276" w:rsidRPr="003E11DB">
        <w:rPr>
          <w:rFonts w:ascii="Arial" w:eastAsia="Calibri" w:hAnsi="Arial" w:cs="Arial"/>
        </w:rPr>
        <w:t>)</w:t>
      </w:r>
      <w:r w:rsidR="004E7A22" w:rsidRPr="003E11DB">
        <w:rPr>
          <w:rFonts w:ascii="Arial" w:eastAsia="Calibri" w:hAnsi="Arial" w:cs="Arial"/>
        </w:rPr>
        <w:t>.</w:t>
      </w:r>
      <w:r w:rsidR="00F81B13" w:rsidRPr="003E11DB">
        <w:rPr>
          <w:rFonts w:ascii="Arial" w:eastAsia="Calibri" w:hAnsi="Arial" w:cs="Arial"/>
        </w:rPr>
        <w:t xml:space="preserve"> </w:t>
      </w:r>
      <w:r w:rsidR="00B43304" w:rsidRPr="003E11DB">
        <w:rPr>
          <w:rFonts w:ascii="Arial" w:eastAsia="Calibri" w:hAnsi="Arial" w:cs="Arial"/>
        </w:rPr>
        <w:t xml:space="preserve">In addition to the parameters listed in the Figure, given the effects of </w:t>
      </w:r>
      <w:r w:rsidR="00B60353" w:rsidRPr="003E11DB">
        <w:rPr>
          <w:rFonts w:ascii="Arial" w:eastAsia="Calibri" w:hAnsi="Arial" w:cs="Arial"/>
        </w:rPr>
        <w:t>S</w:t>
      </w:r>
      <w:r w:rsidR="00B43304" w:rsidRPr="003E11DB">
        <w:rPr>
          <w:rFonts w:ascii="Arial" w:eastAsia="Calibri" w:hAnsi="Arial" w:cs="Arial"/>
        </w:rPr>
        <w:t>HTG, alternated sensorium may also be considered</w:t>
      </w:r>
      <w:r w:rsidR="00551829" w:rsidRPr="003E11DB">
        <w:rPr>
          <w:rFonts w:ascii="Arial" w:eastAsia="Calibri" w:hAnsi="Arial" w:cs="Arial"/>
        </w:rPr>
        <w:t xml:space="preserve"> as an indication for aggressive TG lowering</w:t>
      </w:r>
      <w:r w:rsidR="00B43304" w:rsidRPr="003E11DB">
        <w:rPr>
          <w:rFonts w:ascii="Arial" w:eastAsia="Calibri" w:hAnsi="Arial" w:cs="Arial"/>
        </w:rPr>
        <w:t xml:space="preserve">. </w:t>
      </w:r>
      <w:r w:rsidR="00F81B13" w:rsidRPr="003E11DB">
        <w:rPr>
          <w:rFonts w:ascii="Arial" w:eastAsia="Calibri" w:hAnsi="Arial" w:cs="Arial"/>
        </w:rPr>
        <w:t>Although</w:t>
      </w:r>
      <w:r w:rsidR="00EB5BB8" w:rsidRPr="003E11DB">
        <w:rPr>
          <w:rFonts w:ascii="Arial" w:hAnsi="Arial" w:cs="Arial"/>
        </w:rPr>
        <w:t xml:space="preserve"> </w:t>
      </w:r>
      <w:r w:rsidR="00B60353" w:rsidRPr="003E11DB">
        <w:rPr>
          <w:rFonts w:ascii="Arial" w:eastAsia="Calibri" w:hAnsi="Arial" w:cs="Arial"/>
        </w:rPr>
        <w:t xml:space="preserve">plasma exchange for treating </w:t>
      </w:r>
      <w:r w:rsidR="00EB5BB8" w:rsidRPr="003E11DB">
        <w:rPr>
          <w:rFonts w:ascii="Arial" w:eastAsia="Calibri" w:hAnsi="Arial" w:cs="Arial"/>
        </w:rPr>
        <w:t>TG-</w:t>
      </w:r>
      <w:r w:rsidR="00B60353" w:rsidRPr="003E11DB">
        <w:rPr>
          <w:rFonts w:ascii="Arial" w:eastAsia="Calibri" w:hAnsi="Arial" w:cs="Arial"/>
        </w:rPr>
        <w:t xml:space="preserve">related </w:t>
      </w:r>
      <w:r w:rsidR="00EB5BB8" w:rsidRPr="003E11DB">
        <w:rPr>
          <w:rFonts w:ascii="Arial" w:eastAsia="Calibri" w:hAnsi="Arial" w:cs="Arial"/>
        </w:rPr>
        <w:t>AP was</w:t>
      </w:r>
      <w:r w:rsidR="00F81B13" w:rsidRPr="003E11DB">
        <w:rPr>
          <w:rFonts w:ascii="Arial" w:eastAsia="Calibri" w:hAnsi="Arial" w:cs="Arial"/>
        </w:rPr>
        <w:t xml:space="preserve"> included in the 2007 Guidelines on the Use of Therapeutic Apheresis in Clinical Practice from the Apheresis</w:t>
      </w:r>
      <w:r w:rsidR="00EB5BB8" w:rsidRPr="003E11DB">
        <w:rPr>
          <w:rFonts w:ascii="Arial" w:eastAsia="Calibri" w:hAnsi="Arial" w:cs="Arial"/>
        </w:rPr>
        <w:t xml:space="preserve">, </w:t>
      </w:r>
      <w:r w:rsidR="00F81B13" w:rsidRPr="003E11DB">
        <w:rPr>
          <w:rFonts w:ascii="Arial" w:eastAsia="Calibri" w:hAnsi="Arial" w:cs="Arial"/>
        </w:rPr>
        <w:t>the strength of the evidence was assigned to category III (“suggestion of benefit or for which existing evidence is insufficient to establis</w:t>
      </w:r>
      <w:r w:rsidR="00804AC5">
        <w:rPr>
          <w:rFonts w:ascii="Arial" w:eastAsia="Calibri" w:hAnsi="Arial" w:cs="Arial"/>
        </w:rPr>
        <w:t>h or clarify the risk/benefit”)</w:t>
      </w:r>
      <w:r w:rsidR="00496A62" w:rsidRPr="003E11DB">
        <w:rPr>
          <w:rFonts w:ascii="Arial" w:eastAsia="Calibri" w:hAnsi="Arial" w:cs="Arial"/>
        </w:rPr>
        <w:t xml:space="preserve"> (</w:t>
      </w:r>
      <w:r w:rsidR="00804AC5">
        <w:rPr>
          <w:rFonts w:ascii="Arial" w:eastAsia="Calibri" w:hAnsi="Arial" w:cs="Arial"/>
        </w:rPr>
        <w:t>19</w:t>
      </w:r>
      <w:r w:rsidR="00B54A67" w:rsidRPr="003E11DB">
        <w:rPr>
          <w:rFonts w:ascii="Arial" w:eastAsia="Calibri" w:hAnsi="Arial" w:cs="Arial"/>
        </w:rPr>
        <w:t>)</w:t>
      </w:r>
      <w:r w:rsidR="00397BB6" w:rsidRPr="003E11DB">
        <w:rPr>
          <w:rFonts w:ascii="Arial" w:eastAsia="Calibri" w:hAnsi="Arial" w:cs="Arial"/>
        </w:rPr>
        <w:t>.</w:t>
      </w:r>
      <w:r w:rsidR="003A4844" w:rsidRPr="003E11DB">
        <w:rPr>
          <w:rFonts w:ascii="Arial" w:eastAsia="Calibri" w:hAnsi="Arial" w:cs="Arial"/>
        </w:rPr>
        <w:t xml:space="preserve"> Therefore, clinical judgement is needed in deciding when use of more aggressive </w:t>
      </w:r>
      <w:r w:rsidR="00B3697B" w:rsidRPr="003E11DB">
        <w:rPr>
          <w:rFonts w:ascii="Arial" w:eastAsia="Calibri" w:hAnsi="Arial" w:cs="Arial"/>
        </w:rPr>
        <w:t>H</w:t>
      </w:r>
      <w:r w:rsidR="00B43304" w:rsidRPr="003E11DB">
        <w:rPr>
          <w:rFonts w:ascii="Arial" w:eastAsia="Calibri" w:hAnsi="Arial" w:cs="Arial"/>
        </w:rPr>
        <w:t>TG-</w:t>
      </w:r>
      <w:r w:rsidR="003A4844" w:rsidRPr="003E11DB">
        <w:rPr>
          <w:rFonts w:ascii="Arial" w:eastAsia="Calibri" w:hAnsi="Arial" w:cs="Arial"/>
        </w:rPr>
        <w:t xml:space="preserve">lowering </w:t>
      </w:r>
      <w:r w:rsidR="00B43304" w:rsidRPr="003E11DB">
        <w:rPr>
          <w:rFonts w:ascii="Arial" w:eastAsia="Calibri" w:hAnsi="Arial" w:cs="Arial"/>
        </w:rPr>
        <w:t>treatment.</w:t>
      </w:r>
    </w:p>
    <w:p w14:paraId="1205B2EE" w14:textId="77777777" w:rsidR="00C853FB" w:rsidRPr="003E11DB" w:rsidRDefault="00C853FB" w:rsidP="00145D27">
      <w:pPr>
        <w:spacing w:after="0" w:line="276" w:lineRule="auto"/>
        <w:contextualSpacing/>
        <w:rPr>
          <w:rFonts w:ascii="Arial" w:eastAsia="Calibri" w:hAnsi="Arial" w:cs="Arial"/>
        </w:rPr>
      </w:pPr>
    </w:p>
    <w:p w14:paraId="599FBA0E" w14:textId="083E1B40" w:rsidR="00551829" w:rsidRPr="003E11DB" w:rsidRDefault="004868D7" w:rsidP="00145D27">
      <w:pPr>
        <w:pStyle w:val="Heading2"/>
        <w:spacing w:before="0" w:line="276" w:lineRule="auto"/>
        <w:contextualSpacing/>
        <w:rPr>
          <w:rFonts w:eastAsia="Calibri"/>
        </w:rPr>
      </w:pPr>
      <w:r w:rsidRPr="003E11DB">
        <w:rPr>
          <w:rFonts w:eastAsia="Calibri"/>
        </w:rPr>
        <w:t>FOLLOW-UP CARE</w:t>
      </w:r>
    </w:p>
    <w:p w14:paraId="72582A1F" w14:textId="77777777" w:rsidR="00C54BF8" w:rsidRPr="003E11DB" w:rsidRDefault="00C54BF8" w:rsidP="00145D27">
      <w:pPr>
        <w:spacing w:after="0" w:line="276" w:lineRule="auto"/>
        <w:contextualSpacing/>
        <w:rPr>
          <w:rFonts w:ascii="Arial" w:eastAsia="Calibri" w:hAnsi="Arial" w:cs="Arial"/>
          <w:b/>
        </w:rPr>
      </w:pPr>
    </w:p>
    <w:p w14:paraId="4468C010" w14:textId="1997BCD2" w:rsidR="0001657E" w:rsidRPr="008B15D8" w:rsidRDefault="00365276" w:rsidP="00145D27">
      <w:pPr>
        <w:spacing w:after="0" w:line="276" w:lineRule="auto"/>
        <w:contextualSpacing/>
        <w:rPr>
          <w:rFonts w:ascii="Arial" w:hAnsi="Arial" w:cs="Arial"/>
        </w:rPr>
      </w:pPr>
      <w:r w:rsidRPr="003E11DB">
        <w:rPr>
          <w:rFonts w:ascii="Arial" w:eastAsia="Calibri" w:hAnsi="Arial" w:cs="Arial"/>
        </w:rPr>
        <w:t xml:space="preserve">Following recovery from the acute episode of pancreatitis, </w:t>
      </w:r>
      <w:r w:rsidR="00EC3F4A" w:rsidRPr="003E11DB">
        <w:rPr>
          <w:rFonts w:ascii="Arial" w:eastAsia="Calibri" w:hAnsi="Arial" w:cs="Arial"/>
        </w:rPr>
        <w:t xml:space="preserve">the goal is to maintain a TG level of </w:t>
      </w:r>
      <w:r w:rsidR="00B06943" w:rsidRPr="003E11DB">
        <w:rPr>
          <w:rFonts w:ascii="Arial" w:eastAsia="Calibri" w:hAnsi="Arial" w:cs="Arial"/>
        </w:rPr>
        <w:t>500</w:t>
      </w:r>
      <w:r w:rsidR="00EC3F4A" w:rsidRPr="003E11DB">
        <w:rPr>
          <w:rFonts w:ascii="Arial" w:eastAsia="Calibri" w:hAnsi="Arial" w:cs="Arial"/>
        </w:rPr>
        <w:t xml:space="preserve">mg/dL or less. </w:t>
      </w:r>
      <w:r w:rsidR="00B06943" w:rsidRPr="003E11DB">
        <w:rPr>
          <w:rFonts w:ascii="Arial" w:eastAsia="Calibri" w:hAnsi="Arial" w:cs="Arial"/>
        </w:rPr>
        <w:t xml:space="preserve">Management of </w:t>
      </w:r>
      <w:r w:rsidR="003E2A49" w:rsidRPr="003E11DB">
        <w:rPr>
          <w:rFonts w:ascii="Arial" w:eastAsia="Calibri" w:hAnsi="Arial" w:cs="Arial"/>
        </w:rPr>
        <w:t xml:space="preserve">HTG </w:t>
      </w:r>
      <w:r w:rsidR="00B06943" w:rsidRPr="003E11DB">
        <w:rPr>
          <w:rFonts w:ascii="Arial" w:eastAsia="Calibri" w:hAnsi="Arial" w:cs="Arial"/>
        </w:rPr>
        <w:t xml:space="preserve">is discussed in detail in other Endotext </w:t>
      </w:r>
      <w:r w:rsidR="00B06943" w:rsidRPr="00804AC5">
        <w:rPr>
          <w:rFonts w:ascii="Arial" w:eastAsia="Calibri" w:hAnsi="Arial" w:cs="Arial"/>
        </w:rPr>
        <w:t>chapter</w:t>
      </w:r>
      <w:r w:rsidR="00997B80" w:rsidRPr="00804AC5">
        <w:rPr>
          <w:rFonts w:ascii="Arial" w:eastAsia="Calibri" w:hAnsi="Arial" w:cs="Arial"/>
        </w:rPr>
        <w:t>s</w:t>
      </w:r>
      <w:r w:rsidR="00B06943" w:rsidRPr="00804AC5">
        <w:rPr>
          <w:rFonts w:ascii="Arial" w:eastAsia="Calibri" w:hAnsi="Arial" w:cs="Arial"/>
        </w:rPr>
        <w:t xml:space="preserve"> </w:t>
      </w:r>
      <w:r w:rsidR="00AC76FD" w:rsidRPr="00804AC5">
        <w:rPr>
          <w:rFonts w:ascii="Arial" w:hAnsi="Arial" w:cs="Arial"/>
        </w:rPr>
        <w:t>(</w:t>
      </w:r>
      <w:r w:rsidR="008B15D8" w:rsidRPr="00804AC5">
        <w:rPr>
          <w:rFonts w:ascii="Arial" w:hAnsi="Arial" w:cs="Arial"/>
        </w:rPr>
        <w:t>2-5</w:t>
      </w:r>
      <w:r w:rsidR="00AC76FD" w:rsidRPr="00804AC5">
        <w:rPr>
          <w:rFonts w:ascii="Arial" w:hAnsi="Arial" w:cs="Arial"/>
        </w:rPr>
        <w:t>)</w:t>
      </w:r>
      <w:r w:rsidR="0001657E" w:rsidRPr="00804AC5">
        <w:rPr>
          <w:rFonts w:ascii="Arial" w:eastAsia="Calibri" w:hAnsi="Arial" w:cs="Arial"/>
        </w:rPr>
        <w:t xml:space="preserve"> </w:t>
      </w:r>
      <w:r w:rsidR="0001657E" w:rsidRPr="003E11DB">
        <w:rPr>
          <w:rFonts w:ascii="Arial" w:eastAsia="Calibri" w:hAnsi="Arial" w:cs="Arial"/>
        </w:rPr>
        <w:t>and therefore will only be briefly discussed</w:t>
      </w:r>
      <w:r w:rsidR="003E2A49" w:rsidRPr="003E11DB">
        <w:rPr>
          <w:rFonts w:ascii="Arial" w:eastAsia="Calibri" w:hAnsi="Arial" w:cs="Arial"/>
        </w:rPr>
        <w:t xml:space="preserve"> here</w:t>
      </w:r>
      <w:r w:rsidR="00B06943" w:rsidRPr="003E11DB">
        <w:rPr>
          <w:rFonts w:ascii="Arial" w:eastAsia="Calibri" w:hAnsi="Arial" w:cs="Arial"/>
        </w:rPr>
        <w:t>.</w:t>
      </w:r>
      <w:r w:rsidR="0001657E" w:rsidRPr="003E11DB">
        <w:rPr>
          <w:rFonts w:ascii="Arial" w:eastAsia="Calibri" w:hAnsi="Arial" w:cs="Arial"/>
        </w:rPr>
        <w:t xml:space="preserve"> It is very important to recognize that the treatment of </w:t>
      </w:r>
      <w:r w:rsidR="003E2A49" w:rsidRPr="003E11DB">
        <w:rPr>
          <w:rFonts w:ascii="Arial" w:eastAsia="Calibri" w:hAnsi="Arial" w:cs="Arial"/>
        </w:rPr>
        <w:t>HTG</w:t>
      </w:r>
      <w:r w:rsidR="0001657E" w:rsidRPr="003E11DB">
        <w:rPr>
          <w:rFonts w:ascii="Arial" w:eastAsia="Calibri" w:hAnsi="Arial" w:cs="Arial"/>
        </w:rPr>
        <w:t xml:space="preserve"> is different in </w:t>
      </w:r>
      <w:r w:rsidR="003E2A49" w:rsidRPr="003E11DB">
        <w:rPr>
          <w:rFonts w:ascii="Arial" w:eastAsia="Calibri" w:hAnsi="Arial" w:cs="Arial"/>
        </w:rPr>
        <w:t xml:space="preserve">individuals with familiar </w:t>
      </w:r>
      <w:r w:rsidR="0001657E" w:rsidRPr="003E11DB">
        <w:rPr>
          <w:rFonts w:ascii="Arial" w:eastAsia="Calibri" w:hAnsi="Arial" w:cs="Arial"/>
        </w:rPr>
        <w:t>chylomicronemia syndrome (F</w:t>
      </w:r>
      <w:r w:rsidR="003E2A49" w:rsidRPr="003E11DB">
        <w:rPr>
          <w:rFonts w:ascii="Arial" w:eastAsia="Calibri" w:hAnsi="Arial" w:cs="Arial"/>
        </w:rPr>
        <w:t>C</w:t>
      </w:r>
      <w:r w:rsidR="0001657E" w:rsidRPr="003E11DB">
        <w:rPr>
          <w:rFonts w:ascii="Arial" w:eastAsia="Calibri" w:hAnsi="Arial" w:cs="Arial"/>
        </w:rPr>
        <w:t xml:space="preserve">S) </w:t>
      </w:r>
      <w:r w:rsidR="003E2A49" w:rsidRPr="003E11DB">
        <w:rPr>
          <w:rFonts w:ascii="Arial" w:eastAsia="Calibri" w:hAnsi="Arial" w:cs="Arial"/>
        </w:rPr>
        <w:t>vs.</w:t>
      </w:r>
      <w:r w:rsidR="0001657E" w:rsidRPr="003E11DB">
        <w:rPr>
          <w:rFonts w:ascii="Arial" w:eastAsia="Calibri" w:hAnsi="Arial" w:cs="Arial"/>
        </w:rPr>
        <w:t xml:space="preserve"> multifactor</w:t>
      </w:r>
      <w:r w:rsidR="003E2A49" w:rsidRPr="003E11DB">
        <w:rPr>
          <w:rFonts w:ascii="Arial" w:eastAsia="Calibri" w:hAnsi="Arial" w:cs="Arial"/>
        </w:rPr>
        <w:t>ial chylomicronemia syndrome (M</w:t>
      </w:r>
      <w:r w:rsidR="0001657E" w:rsidRPr="003E11DB">
        <w:rPr>
          <w:rFonts w:ascii="Arial" w:eastAsia="Calibri" w:hAnsi="Arial" w:cs="Arial"/>
        </w:rPr>
        <w:t>CS).</w:t>
      </w:r>
    </w:p>
    <w:p w14:paraId="019CF23E" w14:textId="77777777" w:rsidR="0001657E" w:rsidRPr="003E11DB" w:rsidRDefault="0001657E" w:rsidP="00145D27">
      <w:pPr>
        <w:spacing w:after="0" w:line="276" w:lineRule="auto"/>
        <w:contextualSpacing/>
        <w:rPr>
          <w:rFonts w:ascii="Arial" w:eastAsia="Calibri" w:hAnsi="Arial" w:cs="Arial"/>
        </w:rPr>
      </w:pPr>
    </w:p>
    <w:p w14:paraId="4241A91B" w14:textId="47D57F87" w:rsidR="0001657E" w:rsidRPr="003E11DB" w:rsidRDefault="0001657E" w:rsidP="00145D27">
      <w:pPr>
        <w:spacing w:after="0" w:line="276" w:lineRule="auto"/>
        <w:contextualSpacing/>
        <w:rPr>
          <w:rFonts w:ascii="Arial" w:eastAsia="Calibri" w:hAnsi="Arial" w:cs="Arial"/>
        </w:rPr>
      </w:pPr>
      <w:r w:rsidRPr="003E11DB">
        <w:rPr>
          <w:rFonts w:ascii="Arial" w:eastAsia="Calibri" w:hAnsi="Arial" w:cs="Arial"/>
        </w:rPr>
        <w:t>The primary treatment of individuals with F</w:t>
      </w:r>
      <w:r w:rsidR="003E2A49" w:rsidRPr="003E11DB">
        <w:rPr>
          <w:rFonts w:ascii="Arial" w:eastAsia="Calibri" w:hAnsi="Arial" w:cs="Arial"/>
        </w:rPr>
        <w:t>CS is dietary</w:t>
      </w:r>
      <w:r w:rsidRPr="003E11DB">
        <w:rPr>
          <w:rFonts w:ascii="Arial" w:eastAsia="Calibri" w:hAnsi="Arial" w:cs="Arial"/>
        </w:rPr>
        <w:t xml:space="preserve">. Dietary fat calories need to be severely restricted to approximately 5-20% of calories. </w:t>
      </w:r>
      <w:r w:rsidR="003E2A49" w:rsidRPr="003E11DB">
        <w:rPr>
          <w:rFonts w:ascii="Arial" w:eastAsia="Calibri" w:hAnsi="Arial" w:cs="Arial"/>
        </w:rPr>
        <w:t>Such a fat restricted diet is</w:t>
      </w:r>
      <w:r w:rsidRPr="003E11DB">
        <w:rPr>
          <w:rFonts w:ascii="Arial" w:eastAsia="Calibri" w:hAnsi="Arial" w:cs="Arial"/>
        </w:rPr>
        <w:t xml:space="preserve"> very difficult for most patients to follow</w:t>
      </w:r>
      <w:r w:rsidR="003E2A49" w:rsidRPr="003E11DB">
        <w:rPr>
          <w:rFonts w:ascii="Arial" w:eastAsia="Calibri" w:hAnsi="Arial" w:cs="Arial"/>
        </w:rPr>
        <w:t xml:space="preserve"> consistently</w:t>
      </w:r>
      <w:r w:rsidRPr="003E11DB">
        <w:rPr>
          <w:rFonts w:ascii="Arial" w:eastAsia="Calibri" w:hAnsi="Arial" w:cs="Arial"/>
        </w:rPr>
        <w:t>. Medium-chain triglycerides</w:t>
      </w:r>
      <w:r w:rsidR="003E2A49" w:rsidRPr="003E11DB">
        <w:rPr>
          <w:rFonts w:ascii="Arial" w:eastAsia="Calibri" w:hAnsi="Arial" w:cs="Arial"/>
        </w:rPr>
        <w:t xml:space="preserve"> (MCT)</w:t>
      </w:r>
      <w:r w:rsidRPr="003E11DB">
        <w:rPr>
          <w:rFonts w:ascii="Arial" w:eastAsia="Calibri" w:hAnsi="Arial" w:cs="Arial"/>
        </w:rPr>
        <w:t>, which are not incorporated into chylomicrons and are delivered to the liver via the portal vein</w:t>
      </w:r>
      <w:r w:rsidR="00BC58E9" w:rsidRPr="003E11DB">
        <w:rPr>
          <w:rFonts w:ascii="Arial" w:eastAsia="Calibri" w:hAnsi="Arial" w:cs="Arial"/>
        </w:rPr>
        <w:t>,</w:t>
      </w:r>
      <w:r w:rsidRPr="003E11DB">
        <w:rPr>
          <w:rFonts w:ascii="Arial" w:eastAsia="Calibri" w:hAnsi="Arial" w:cs="Arial"/>
        </w:rPr>
        <w:t xml:space="preserve"> are a potential alternate</w:t>
      </w:r>
      <w:r w:rsidR="00BC58E9" w:rsidRPr="003E11DB">
        <w:rPr>
          <w:rFonts w:ascii="Arial" w:eastAsia="Calibri" w:hAnsi="Arial" w:cs="Arial"/>
        </w:rPr>
        <w:t xml:space="preserve"> source of fats</w:t>
      </w:r>
      <w:r w:rsidRPr="003E11DB">
        <w:rPr>
          <w:rFonts w:ascii="Arial" w:eastAsia="Calibri" w:hAnsi="Arial" w:cs="Arial"/>
        </w:rPr>
        <w:t xml:space="preserve"> for these patients. One should monitor for deficiency of fat-soluble vitamins (A, D, E, K) and </w:t>
      </w:r>
      <w:r w:rsidR="00BC58E9" w:rsidRPr="003E11DB">
        <w:rPr>
          <w:rFonts w:ascii="Arial" w:eastAsia="Calibri" w:hAnsi="Arial" w:cs="Arial"/>
        </w:rPr>
        <w:t xml:space="preserve">recommend appropriate replacement </w:t>
      </w:r>
      <w:r w:rsidRPr="003E11DB">
        <w:rPr>
          <w:rFonts w:ascii="Arial" w:eastAsia="Calibri" w:hAnsi="Arial" w:cs="Arial"/>
        </w:rPr>
        <w:t xml:space="preserve">as </w:t>
      </w:r>
      <w:r w:rsidR="00BC58E9" w:rsidRPr="003E11DB">
        <w:rPr>
          <w:rFonts w:ascii="Arial" w:eastAsia="Calibri" w:hAnsi="Arial" w:cs="Arial"/>
        </w:rPr>
        <w:t>needed</w:t>
      </w:r>
      <w:r w:rsidRPr="003E11DB">
        <w:rPr>
          <w:rFonts w:ascii="Arial" w:eastAsia="Calibri" w:hAnsi="Arial" w:cs="Arial"/>
        </w:rPr>
        <w:t xml:space="preserve">. Pregnancy in </w:t>
      </w:r>
      <w:r w:rsidR="001121D3" w:rsidRPr="003E11DB">
        <w:rPr>
          <w:rFonts w:ascii="Arial" w:eastAsia="Calibri" w:hAnsi="Arial" w:cs="Arial"/>
        </w:rPr>
        <w:t>adolescents</w:t>
      </w:r>
      <w:r w:rsidRPr="003E11DB">
        <w:rPr>
          <w:rFonts w:ascii="Arial" w:eastAsia="Calibri" w:hAnsi="Arial" w:cs="Arial"/>
        </w:rPr>
        <w:t xml:space="preserve"> with FCS need to be carefully planned with close monitoring to avoid acute pancreatitis.</w:t>
      </w:r>
      <w:r w:rsidR="00BC58E9" w:rsidRPr="003E11DB">
        <w:rPr>
          <w:rFonts w:ascii="Arial" w:eastAsia="Calibri" w:hAnsi="Arial" w:cs="Arial"/>
        </w:rPr>
        <w:t xml:space="preserve"> Similar, to the treatment of M</w:t>
      </w:r>
      <w:r w:rsidRPr="003E11DB">
        <w:rPr>
          <w:rFonts w:ascii="Arial" w:eastAsia="Calibri" w:hAnsi="Arial" w:cs="Arial"/>
        </w:rPr>
        <w:t>CS described below</w:t>
      </w:r>
      <w:r w:rsidR="00BC58E9" w:rsidRPr="003E11DB">
        <w:rPr>
          <w:rFonts w:ascii="Arial" w:eastAsia="Calibri" w:hAnsi="Arial" w:cs="Arial"/>
        </w:rPr>
        <w:t>,</w:t>
      </w:r>
      <w:r w:rsidRPr="003E11DB">
        <w:rPr>
          <w:rFonts w:ascii="Arial" w:eastAsia="Calibri" w:hAnsi="Arial" w:cs="Arial"/>
        </w:rPr>
        <w:t xml:space="preserve"> drugs that increase </w:t>
      </w:r>
      <w:r w:rsidR="00BC58E9" w:rsidRPr="003E11DB">
        <w:rPr>
          <w:rFonts w:ascii="Arial" w:eastAsia="Calibri" w:hAnsi="Arial" w:cs="Arial"/>
        </w:rPr>
        <w:t xml:space="preserve">TG </w:t>
      </w:r>
      <w:r w:rsidRPr="003E11DB">
        <w:rPr>
          <w:rFonts w:ascii="Arial" w:eastAsia="Calibri" w:hAnsi="Arial" w:cs="Arial"/>
        </w:rPr>
        <w:t xml:space="preserve">levels should be discontinued if possible and </w:t>
      </w:r>
      <w:r w:rsidR="00BC58E9" w:rsidRPr="003E11DB">
        <w:rPr>
          <w:rFonts w:ascii="Arial" w:eastAsia="Calibri" w:hAnsi="Arial" w:cs="Arial"/>
        </w:rPr>
        <w:t xml:space="preserve">medical </w:t>
      </w:r>
      <w:r w:rsidRPr="003E11DB">
        <w:rPr>
          <w:rFonts w:ascii="Arial" w:eastAsia="Calibri" w:hAnsi="Arial" w:cs="Arial"/>
        </w:rPr>
        <w:t xml:space="preserve">conditions that </w:t>
      </w:r>
      <w:r w:rsidR="00BC58E9" w:rsidRPr="003E11DB">
        <w:rPr>
          <w:rFonts w:ascii="Arial" w:eastAsia="Calibri" w:hAnsi="Arial" w:cs="Arial"/>
        </w:rPr>
        <w:t>tend to increase</w:t>
      </w:r>
      <w:r w:rsidRPr="003E11DB">
        <w:rPr>
          <w:rFonts w:ascii="Arial" w:eastAsia="Calibri" w:hAnsi="Arial" w:cs="Arial"/>
        </w:rPr>
        <w:t xml:space="preserve"> </w:t>
      </w:r>
      <w:r w:rsidR="00BC58E9" w:rsidRPr="003E11DB">
        <w:rPr>
          <w:rFonts w:ascii="Arial" w:eastAsia="Calibri" w:hAnsi="Arial" w:cs="Arial"/>
        </w:rPr>
        <w:t>TG</w:t>
      </w:r>
      <w:r w:rsidRPr="003E11DB">
        <w:rPr>
          <w:rFonts w:ascii="Arial" w:eastAsia="Calibri" w:hAnsi="Arial" w:cs="Arial"/>
        </w:rPr>
        <w:t xml:space="preserve"> levels</w:t>
      </w:r>
      <w:r w:rsidR="00BC58E9" w:rsidRPr="003E11DB">
        <w:rPr>
          <w:rFonts w:ascii="Arial" w:eastAsia="Calibri" w:hAnsi="Arial" w:cs="Arial"/>
        </w:rPr>
        <w:t>,</w:t>
      </w:r>
      <w:r w:rsidRPr="003E11DB">
        <w:rPr>
          <w:rFonts w:ascii="Arial" w:eastAsia="Calibri" w:hAnsi="Arial" w:cs="Arial"/>
        </w:rPr>
        <w:t xml:space="preserve"> </w:t>
      </w:r>
      <w:r w:rsidR="00BC58E9" w:rsidRPr="003E11DB">
        <w:rPr>
          <w:rFonts w:ascii="Arial" w:eastAsia="Calibri" w:hAnsi="Arial" w:cs="Arial"/>
        </w:rPr>
        <w:t>optimally treated</w:t>
      </w:r>
      <w:r w:rsidRPr="003E11DB">
        <w:rPr>
          <w:rFonts w:ascii="Arial" w:eastAsia="Calibri" w:hAnsi="Arial" w:cs="Arial"/>
        </w:rPr>
        <w:t>. Omega-3-fatty acids (fish oil</w:t>
      </w:r>
      <w:r w:rsidR="00BC58E9" w:rsidRPr="003E11DB">
        <w:rPr>
          <w:rFonts w:ascii="Arial" w:eastAsia="Calibri" w:hAnsi="Arial" w:cs="Arial"/>
        </w:rPr>
        <w:t>s</w:t>
      </w:r>
      <w:r w:rsidRPr="003E11DB">
        <w:rPr>
          <w:rFonts w:ascii="Arial" w:eastAsia="Calibri" w:hAnsi="Arial" w:cs="Arial"/>
        </w:rPr>
        <w:t xml:space="preserve">) do not </w:t>
      </w:r>
      <w:r w:rsidR="001121D3" w:rsidRPr="003E11DB">
        <w:rPr>
          <w:rFonts w:ascii="Arial" w:eastAsia="Calibri" w:hAnsi="Arial" w:cs="Arial"/>
        </w:rPr>
        <w:t xml:space="preserve">usually </w:t>
      </w:r>
      <w:r w:rsidRPr="003E11DB">
        <w:rPr>
          <w:rFonts w:ascii="Arial" w:eastAsia="Calibri" w:hAnsi="Arial" w:cs="Arial"/>
        </w:rPr>
        <w:t xml:space="preserve">lower </w:t>
      </w:r>
      <w:r w:rsidR="00BC58E9" w:rsidRPr="003E11DB">
        <w:rPr>
          <w:rFonts w:ascii="Arial" w:eastAsia="Calibri" w:hAnsi="Arial" w:cs="Arial"/>
        </w:rPr>
        <w:t>TG</w:t>
      </w:r>
      <w:r w:rsidRPr="003E11DB">
        <w:rPr>
          <w:rFonts w:ascii="Arial" w:eastAsia="Calibri" w:hAnsi="Arial" w:cs="Arial"/>
        </w:rPr>
        <w:t xml:space="preserve"> levels in patients with F</w:t>
      </w:r>
      <w:r w:rsidR="00BC58E9" w:rsidRPr="003E11DB">
        <w:rPr>
          <w:rFonts w:ascii="Arial" w:eastAsia="Calibri" w:hAnsi="Arial" w:cs="Arial"/>
        </w:rPr>
        <w:t>C</w:t>
      </w:r>
      <w:r w:rsidRPr="003E11DB">
        <w:rPr>
          <w:rFonts w:ascii="Arial" w:eastAsia="Calibri" w:hAnsi="Arial" w:cs="Arial"/>
        </w:rPr>
        <w:t xml:space="preserve">S. Fibrates are also not </w:t>
      </w:r>
      <w:r w:rsidR="00DB155C" w:rsidRPr="003E11DB">
        <w:rPr>
          <w:rFonts w:ascii="Arial" w:eastAsia="Calibri" w:hAnsi="Arial" w:cs="Arial"/>
        </w:rPr>
        <w:t>effective;</w:t>
      </w:r>
      <w:r w:rsidRPr="003E11DB">
        <w:rPr>
          <w:rFonts w:ascii="Arial" w:eastAsia="Calibri" w:hAnsi="Arial" w:cs="Arial"/>
        </w:rPr>
        <w:t xml:space="preserve"> </w:t>
      </w:r>
      <w:r w:rsidR="00DB155C" w:rsidRPr="003E11DB">
        <w:rPr>
          <w:rFonts w:ascii="Arial" w:eastAsia="Calibri" w:hAnsi="Arial" w:cs="Arial"/>
        </w:rPr>
        <w:t>however,</w:t>
      </w:r>
      <w:r w:rsidRPr="003E11DB">
        <w:rPr>
          <w:rFonts w:ascii="Arial" w:eastAsia="Calibri" w:hAnsi="Arial" w:cs="Arial"/>
        </w:rPr>
        <w:t xml:space="preserve"> a few studies have suggested that orlistat may be beneficial. Volanesorsen (Waylivra</w:t>
      </w:r>
      <w:r w:rsidR="00AC76FD" w:rsidRPr="003E11DB">
        <w:rPr>
          <w:rFonts w:ascii="Arial" w:eastAsia="Calibri" w:hAnsi="Arial" w:cs="Arial"/>
        </w:rPr>
        <w:t xml:space="preserve"> </w:t>
      </w:r>
      <w:r w:rsidR="00AC76FD" w:rsidRPr="003E11DB">
        <w:rPr>
          <w:rFonts w:ascii="Arial" w:eastAsia="Calibri" w:hAnsi="Arial" w:cs="Arial"/>
          <w:vertAlign w:val="superscript"/>
        </w:rPr>
        <w:t>®</w:t>
      </w:r>
      <w:r w:rsidRPr="003E11DB">
        <w:rPr>
          <w:rFonts w:ascii="Arial" w:eastAsia="Calibri" w:hAnsi="Arial" w:cs="Arial"/>
        </w:rPr>
        <w:t>), an antisense oligonucleotide inhibitor of apolipoprotein C-III mRNA, is approved</w:t>
      </w:r>
      <w:r w:rsidR="00BC58E9" w:rsidRPr="003E11DB">
        <w:rPr>
          <w:rFonts w:ascii="Arial" w:eastAsia="Calibri" w:hAnsi="Arial" w:cs="Arial"/>
        </w:rPr>
        <w:t xml:space="preserve"> for treatment of FCS</w:t>
      </w:r>
      <w:r w:rsidRPr="003E11DB">
        <w:rPr>
          <w:rFonts w:ascii="Arial" w:eastAsia="Calibri" w:hAnsi="Arial" w:cs="Arial"/>
        </w:rPr>
        <w:t xml:space="preserve"> in Europe but not the United</w:t>
      </w:r>
      <w:r w:rsidR="00BC58E9" w:rsidRPr="003E11DB">
        <w:rPr>
          <w:rFonts w:ascii="Arial" w:eastAsia="Calibri" w:hAnsi="Arial" w:cs="Arial"/>
        </w:rPr>
        <w:t xml:space="preserve"> States</w:t>
      </w:r>
      <w:r w:rsidRPr="003E11DB">
        <w:rPr>
          <w:rFonts w:ascii="Arial" w:eastAsia="Calibri" w:hAnsi="Arial" w:cs="Arial"/>
        </w:rPr>
        <w:t xml:space="preserve">. FCS patients treated with volanesorsen had a 77% decrease at 3 months in </w:t>
      </w:r>
      <w:r w:rsidR="00BC58E9" w:rsidRPr="003E11DB">
        <w:rPr>
          <w:rFonts w:ascii="Arial" w:eastAsia="Calibri" w:hAnsi="Arial" w:cs="Arial"/>
        </w:rPr>
        <w:t>TG</w:t>
      </w:r>
      <w:r w:rsidRPr="003E11DB">
        <w:rPr>
          <w:rFonts w:ascii="Arial" w:eastAsia="Calibri" w:hAnsi="Arial" w:cs="Arial"/>
        </w:rPr>
        <w:t xml:space="preserve"> levels (mean decrease of 1,712 mg/dl) whereas</w:t>
      </w:r>
      <w:r w:rsidR="00CE2A69" w:rsidRPr="003E11DB">
        <w:rPr>
          <w:rFonts w:ascii="Arial" w:eastAsia="Calibri" w:hAnsi="Arial" w:cs="Arial"/>
        </w:rPr>
        <w:t xml:space="preserve"> those</w:t>
      </w:r>
      <w:r w:rsidRPr="003E11DB">
        <w:rPr>
          <w:rFonts w:ascii="Arial" w:eastAsia="Calibri" w:hAnsi="Arial" w:cs="Arial"/>
        </w:rPr>
        <w:t xml:space="preserve"> receiving placebo had an 18% increase in </w:t>
      </w:r>
      <w:r w:rsidR="00CE2A69" w:rsidRPr="003E11DB">
        <w:rPr>
          <w:rFonts w:ascii="Arial" w:eastAsia="Calibri" w:hAnsi="Arial" w:cs="Arial"/>
        </w:rPr>
        <w:t>TG</w:t>
      </w:r>
      <w:r w:rsidRPr="003E11DB">
        <w:rPr>
          <w:rFonts w:ascii="Arial" w:eastAsia="Calibri" w:hAnsi="Arial" w:cs="Arial"/>
        </w:rPr>
        <w:t xml:space="preserve"> levels</w:t>
      </w:r>
      <w:r w:rsidR="005979C1">
        <w:rPr>
          <w:rFonts w:ascii="Arial" w:eastAsia="Calibri" w:hAnsi="Arial" w:cs="Arial"/>
        </w:rPr>
        <w:t xml:space="preserve"> </w:t>
      </w:r>
      <w:r w:rsidR="005979C1" w:rsidRPr="00804AC5">
        <w:rPr>
          <w:rFonts w:ascii="Arial" w:eastAsia="Calibri" w:hAnsi="Arial" w:cs="Arial"/>
        </w:rPr>
        <w:t>(</w:t>
      </w:r>
      <w:r w:rsidR="00804AC5">
        <w:rPr>
          <w:rFonts w:ascii="Arial" w:eastAsia="Calibri" w:hAnsi="Arial" w:cs="Arial"/>
        </w:rPr>
        <w:t>20</w:t>
      </w:r>
      <w:r w:rsidR="005979C1" w:rsidRPr="00804AC5">
        <w:rPr>
          <w:rFonts w:ascii="Arial" w:eastAsia="Calibri" w:hAnsi="Arial" w:cs="Arial"/>
        </w:rPr>
        <w:t>)</w:t>
      </w:r>
      <w:r w:rsidRPr="00804AC5">
        <w:rPr>
          <w:rFonts w:ascii="Arial" w:eastAsia="Calibri" w:hAnsi="Arial" w:cs="Arial"/>
        </w:rPr>
        <w:t xml:space="preserve">. </w:t>
      </w:r>
      <w:r w:rsidRPr="003E11DB">
        <w:rPr>
          <w:rFonts w:ascii="Arial" w:eastAsia="Calibri" w:hAnsi="Arial" w:cs="Arial"/>
        </w:rPr>
        <w:t>Volanesorsen can lead to thrombocytopenia and</w:t>
      </w:r>
      <w:r w:rsidR="00CE2A69" w:rsidRPr="003E11DB">
        <w:rPr>
          <w:rFonts w:ascii="Arial" w:eastAsia="Calibri" w:hAnsi="Arial" w:cs="Arial"/>
        </w:rPr>
        <w:t>,</w:t>
      </w:r>
      <w:r w:rsidRPr="003E11DB">
        <w:rPr>
          <w:rFonts w:ascii="Arial" w:eastAsia="Calibri" w:hAnsi="Arial" w:cs="Arial"/>
        </w:rPr>
        <w:t xml:space="preserve"> therefore</w:t>
      </w:r>
      <w:r w:rsidR="00CE2A69" w:rsidRPr="003E11DB">
        <w:rPr>
          <w:rFonts w:ascii="Arial" w:eastAsia="Calibri" w:hAnsi="Arial" w:cs="Arial"/>
        </w:rPr>
        <w:t>,</w:t>
      </w:r>
      <w:r w:rsidRPr="003E11DB">
        <w:rPr>
          <w:rFonts w:ascii="Arial" w:eastAsia="Calibri" w:hAnsi="Arial" w:cs="Arial"/>
        </w:rPr>
        <w:t xml:space="preserve"> was not approved in the US but it is hoped that second generation inhibitors of apolipoprotein C-III will not demonstrate this side effect.</w:t>
      </w:r>
    </w:p>
    <w:p w14:paraId="6C014C12" w14:textId="77777777" w:rsidR="0001657E" w:rsidRPr="003E11DB" w:rsidRDefault="0001657E" w:rsidP="00145D27">
      <w:pPr>
        <w:spacing w:after="0" w:line="276" w:lineRule="auto"/>
        <w:contextualSpacing/>
        <w:rPr>
          <w:rFonts w:ascii="Arial" w:eastAsia="Calibri" w:hAnsi="Arial" w:cs="Arial"/>
        </w:rPr>
      </w:pPr>
    </w:p>
    <w:p w14:paraId="528BEBD1" w14:textId="5F43FFF1" w:rsidR="00EC3F4A" w:rsidRPr="003E11DB" w:rsidRDefault="00CE2A69" w:rsidP="00145D27">
      <w:pPr>
        <w:spacing w:after="0" w:line="276" w:lineRule="auto"/>
        <w:contextualSpacing/>
        <w:rPr>
          <w:rFonts w:ascii="Arial" w:eastAsia="Calibri" w:hAnsi="Arial" w:cs="Arial"/>
        </w:rPr>
      </w:pPr>
      <w:r w:rsidRPr="003E11DB">
        <w:rPr>
          <w:rFonts w:ascii="Arial" w:eastAsia="Calibri" w:hAnsi="Arial" w:cs="Arial"/>
        </w:rPr>
        <w:t>In patients with M</w:t>
      </w:r>
      <w:r w:rsidR="0001657E" w:rsidRPr="003E11DB">
        <w:rPr>
          <w:rFonts w:ascii="Arial" w:eastAsia="Calibri" w:hAnsi="Arial" w:cs="Arial"/>
        </w:rPr>
        <w:t>CS</w:t>
      </w:r>
      <w:r w:rsidR="008B15D8">
        <w:rPr>
          <w:rFonts w:ascii="Arial" w:eastAsia="Calibri" w:hAnsi="Arial" w:cs="Arial"/>
        </w:rPr>
        <w:t>,</w:t>
      </w:r>
      <w:r w:rsidRPr="003E11DB">
        <w:rPr>
          <w:rFonts w:ascii="Arial" w:eastAsia="Calibri" w:hAnsi="Arial" w:cs="Arial"/>
        </w:rPr>
        <w:t xml:space="preserve"> </w:t>
      </w:r>
      <w:r w:rsidR="008B15D8">
        <w:rPr>
          <w:rFonts w:ascii="Arial" w:eastAsia="Calibri" w:hAnsi="Arial" w:cs="Arial"/>
        </w:rPr>
        <w:t xml:space="preserve">it </w:t>
      </w:r>
      <w:r w:rsidRPr="003E11DB">
        <w:rPr>
          <w:rFonts w:ascii="Arial" w:eastAsia="Calibri" w:hAnsi="Arial" w:cs="Arial"/>
        </w:rPr>
        <w:t>is important to</w:t>
      </w:r>
      <w:r w:rsidR="0001657E" w:rsidRPr="003E11DB">
        <w:rPr>
          <w:rFonts w:ascii="Arial" w:eastAsia="Calibri" w:hAnsi="Arial" w:cs="Arial"/>
        </w:rPr>
        <w:t xml:space="preserve"> reverse</w:t>
      </w:r>
      <w:r w:rsidRPr="003E11DB">
        <w:rPr>
          <w:rFonts w:ascii="Arial" w:eastAsia="Calibri" w:hAnsi="Arial" w:cs="Arial"/>
        </w:rPr>
        <w:t xml:space="preserve"> the secondary factors that result</w:t>
      </w:r>
      <w:r w:rsidR="0001657E" w:rsidRPr="003E11DB">
        <w:rPr>
          <w:rFonts w:ascii="Arial" w:eastAsia="Calibri" w:hAnsi="Arial" w:cs="Arial"/>
        </w:rPr>
        <w:t xml:space="preserve"> in the marked </w:t>
      </w:r>
      <w:r w:rsidRPr="003E11DB">
        <w:rPr>
          <w:rFonts w:ascii="Arial" w:eastAsia="Calibri" w:hAnsi="Arial" w:cs="Arial"/>
        </w:rPr>
        <w:t>HTG</w:t>
      </w:r>
      <w:r w:rsidR="0001657E" w:rsidRPr="003E11DB">
        <w:rPr>
          <w:rFonts w:ascii="Arial" w:eastAsia="Calibri" w:hAnsi="Arial" w:cs="Arial"/>
        </w:rPr>
        <w:t xml:space="preserve">. For example, improving diabetic control, weight loss, eliminating ethanol intake, and discontinuing drugs that raise </w:t>
      </w:r>
      <w:r w:rsidRPr="003E11DB">
        <w:rPr>
          <w:rFonts w:ascii="Arial" w:eastAsia="Calibri" w:hAnsi="Arial" w:cs="Arial"/>
        </w:rPr>
        <w:t>TG</w:t>
      </w:r>
      <w:r w:rsidR="0001657E" w:rsidRPr="003E11DB">
        <w:rPr>
          <w:rFonts w:ascii="Arial" w:eastAsia="Calibri" w:hAnsi="Arial" w:cs="Arial"/>
        </w:rPr>
        <w:t xml:space="preserve"> levels. In patients with markedly elevated </w:t>
      </w:r>
      <w:r w:rsidRPr="003E11DB">
        <w:rPr>
          <w:rFonts w:ascii="Arial" w:eastAsia="Calibri" w:hAnsi="Arial" w:cs="Arial"/>
        </w:rPr>
        <w:t>TG</w:t>
      </w:r>
      <w:r w:rsidR="0001657E" w:rsidRPr="003E11DB">
        <w:rPr>
          <w:rFonts w:ascii="Arial" w:eastAsia="Calibri" w:hAnsi="Arial" w:cs="Arial"/>
        </w:rPr>
        <w:t xml:space="preserve"> leve</w:t>
      </w:r>
      <w:r w:rsidRPr="003E11DB">
        <w:rPr>
          <w:rFonts w:ascii="Arial" w:eastAsia="Calibri" w:hAnsi="Arial" w:cs="Arial"/>
        </w:rPr>
        <w:t>ls (&gt;1000mg/dL) initial management should include</w:t>
      </w:r>
      <w:r w:rsidR="0001657E" w:rsidRPr="003E11DB">
        <w:rPr>
          <w:rFonts w:ascii="Arial" w:eastAsia="Calibri" w:hAnsi="Arial" w:cs="Arial"/>
        </w:rPr>
        <w:t xml:space="preserve"> a very low-fat diet until the </w:t>
      </w:r>
      <w:r w:rsidRPr="003E11DB">
        <w:rPr>
          <w:rFonts w:ascii="Arial" w:eastAsia="Calibri" w:hAnsi="Arial" w:cs="Arial"/>
        </w:rPr>
        <w:t>TG</w:t>
      </w:r>
      <w:r w:rsidR="0001657E" w:rsidRPr="003E11DB">
        <w:rPr>
          <w:rFonts w:ascii="Arial" w:eastAsia="Calibri" w:hAnsi="Arial" w:cs="Arial"/>
        </w:rPr>
        <w:t xml:space="preserve"> levels decrease. Once the </w:t>
      </w:r>
      <w:r w:rsidRPr="003E11DB">
        <w:rPr>
          <w:rFonts w:ascii="Arial" w:eastAsia="Calibri" w:hAnsi="Arial" w:cs="Arial"/>
        </w:rPr>
        <w:t>TG</w:t>
      </w:r>
      <w:r w:rsidR="0001657E" w:rsidRPr="003E11DB">
        <w:rPr>
          <w:rFonts w:ascii="Arial" w:eastAsia="Calibri" w:hAnsi="Arial" w:cs="Arial"/>
        </w:rPr>
        <w:t xml:space="preserve"> decrease</w:t>
      </w:r>
      <w:r w:rsidRPr="003E11DB">
        <w:rPr>
          <w:rFonts w:ascii="Arial" w:eastAsia="Calibri" w:hAnsi="Arial" w:cs="Arial"/>
        </w:rPr>
        <w:t>s,</w:t>
      </w:r>
      <w:r w:rsidR="0001657E" w:rsidRPr="003E11DB">
        <w:rPr>
          <w:rFonts w:ascii="Arial" w:eastAsia="Calibri" w:hAnsi="Arial" w:cs="Arial"/>
        </w:rPr>
        <w:t xml:space="preserve"> a diet that reduces carbohydrate intake</w:t>
      </w:r>
      <w:r w:rsidRPr="003E11DB">
        <w:rPr>
          <w:rFonts w:ascii="Arial" w:eastAsia="Calibri" w:hAnsi="Arial" w:cs="Arial"/>
        </w:rPr>
        <w:t>,</w:t>
      </w:r>
      <w:r w:rsidR="0001657E" w:rsidRPr="003E11DB">
        <w:rPr>
          <w:rFonts w:ascii="Arial" w:eastAsia="Calibri" w:hAnsi="Arial" w:cs="Arial"/>
        </w:rPr>
        <w:t xml:space="preserve"> particularly simple sugars</w:t>
      </w:r>
      <w:r w:rsidRPr="003E11DB">
        <w:rPr>
          <w:rFonts w:ascii="Arial" w:eastAsia="Calibri" w:hAnsi="Arial" w:cs="Arial"/>
        </w:rPr>
        <w:t>,</w:t>
      </w:r>
      <w:r w:rsidR="0001657E" w:rsidRPr="003E11DB">
        <w:rPr>
          <w:rFonts w:ascii="Arial" w:eastAsia="Calibri" w:hAnsi="Arial" w:cs="Arial"/>
        </w:rPr>
        <w:t xml:space="preserve"> and minimizes alcohol intake </w:t>
      </w:r>
      <w:r w:rsidRPr="003E11DB">
        <w:rPr>
          <w:rFonts w:ascii="Arial" w:eastAsia="Calibri" w:hAnsi="Arial" w:cs="Arial"/>
        </w:rPr>
        <w:t>should be encouraged</w:t>
      </w:r>
      <w:r w:rsidR="0001657E" w:rsidRPr="003E11DB">
        <w:rPr>
          <w:rFonts w:ascii="Arial" w:eastAsia="Calibri" w:hAnsi="Arial" w:cs="Arial"/>
        </w:rPr>
        <w:t>. Weight loss</w:t>
      </w:r>
      <w:r w:rsidRPr="003E11DB">
        <w:rPr>
          <w:rFonts w:ascii="Arial" w:eastAsia="Calibri" w:hAnsi="Arial" w:cs="Arial"/>
        </w:rPr>
        <w:t xml:space="preserve"> </w:t>
      </w:r>
      <w:r w:rsidR="0001657E" w:rsidRPr="003E11DB">
        <w:rPr>
          <w:rFonts w:ascii="Arial" w:eastAsia="Calibri" w:hAnsi="Arial" w:cs="Arial"/>
        </w:rPr>
        <w:t xml:space="preserve">can be helpful in lowering </w:t>
      </w:r>
      <w:r w:rsidRPr="003E11DB">
        <w:rPr>
          <w:rFonts w:ascii="Arial" w:eastAsia="Calibri" w:hAnsi="Arial" w:cs="Arial"/>
        </w:rPr>
        <w:t>TG</w:t>
      </w:r>
      <w:r w:rsidR="0001657E" w:rsidRPr="003E11DB">
        <w:rPr>
          <w:rFonts w:ascii="Arial" w:eastAsia="Calibri" w:hAnsi="Arial" w:cs="Arial"/>
        </w:rPr>
        <w:t xml:space="preserve"> levels</w:t>
      </w:r>
      <w:r w:rsidRPr="003E11DB">
        <w:rPr>
          <w:rFonts w:ascii="Arial" w:eastAsia="Calibri" w:hAnsi="Arial" w:cs="Arial"/>
        </w:rPr>
        <w:t xml:space="preserve"> in those who are overweight or obese</w:t>
      </w:r>
      <w:r w:rsidR="0001657E" w:rsidRPr="003E11DB">
        <w:rPr>
          <w:rFonts w:ascii="Arial" w:eastAsia="Calibri" w:hAnsi="Arial" w:cs="Arial"/>
        </w:rPr>
        <w:t>. If</w:t>
      </w:r>
      <w:r w:rsidRPr="003E11DB">
        <w:rPr>
          <w:rFonts w:ascii="Arial" w:eastAsia="Calibri" w:hAnsi="Arial" w:cs="Arial"/>
        </w:rPr>
        <w:t xml:space="preserve"> TG</w:t>
      </w:r>
      <w:r w:rsidR="0001657E" w:rsidRPr="003E11DB">
        <w:rPr>
          <w:rFonts w:ascii="Arial" w:eastAsia="Calibri" w:hAnsi="Arial" w:cs="Arial"/>
        </w:rPr>
        <w:t xml:space="preserve"> remain elevated after the above measures one can consider the use of drugs that lower </w:t>
      </w:r>
      <w:r w:rsidRPr="003E11DB">
        <w:rPr>
          <w:rFonts w:ascii="Arial" w:eastAsia="Calibri" w:hAnsi="Arial" w:cs="Arial"/>
        </w:rPr>
        <w:t>TG</w:t>
      </w:r>
      <w:r w:rsidR="0001657E" w:rsidRPr="003E11DB">
        <w:rPr>
          <w:rFonts w:ascii="Arial" w:eastAsia="Calibri" w:hAnsi="Arial" w:cs="Arial"/>
        </w:rPr>
        <w:t xml:space="preserve"> levels such as omega-3-fatty acids and fibrates</w:t>
      </w:r>
      <w:r w:rsidR="001121D3" w:rsidRPr="003E11DB">
        <w:rPr>
          <w:rFonts w:ascii="Arial" w:eastAsia="Calibri" w:hAnsi="Arial" w:cs="Arial"/>
        </w:rPr>
        <w:t xml:space="preserve"> (</w:t>
      </w:r>
      <w:r w:rsidRPr="003E11DB">
        <w:rPr>
          <w:rFonts w:ascii="Arial" w:eastAsia="Calibri" w:hAnsi="Arial" w:cs="Arial"/>
        </w:rPr>
        <w:t>T</w:t>
      </w:r>
      <w:r w:rsidR="001121D3" w:rsidRPr="003E11DB">
        <w:rPr>
          <w:rFonts w:ascii="Arial" w:eastAsia="Calibri" w:hAnsi="Arial" w:cs="Arial"/>
        </w:rPr>
        <w:t>able 6)</w:t>
      </w:r>
      <w:r w:rsidR="0001657E" w:rsidRPr="003E11DB">
        <w:rPr>
          <w:rFonts w:ascii="Arial" w:eastAsia="Calibri" w:hAnsi="Arial" w:cs="Arial"/>
        </w:rPr>
        <w:t>. Many patients with MCS are at high risk for the future development of atherosclerotic cardiovascular disease</w:t>
      </w:r>
      <w:r w:rsidR="00AC76FD" w:rsidRPr="003E11DB">
        <w:rPr>
          <w:rFonts w:ascii="Arial" w:eastAsia="Calibri" w:hAnsi="Arial" w:cs="Arial"/>
        </w:rPr>
        <w:t>. T</w:t>
      </w:r>
      <w:r w:rsidR="0001657E" w:rsidRPr="003E11DB">
        <w:rPr>
          <w:rFonts w:ascii="Arial" w:eastAsia="Calibri" w:hAnsi="Arial" w:cs="Arial"/>
        </w:rPr>
        <w:t>herefore</w:t>
      </w:r>
      <w:r w:rsidR="00AC76FD" w:rsidRPr="003E11DB">
        <w:rPr>
          <w:rFonts w:ascii="Arial" w:eastAsia="Calibri" w:hAnsi="Arial" w:cs="Arial"/>
        </w:rPr>
        <w:t>,</w:t>
      </w:r>
      <w:r w:rsidR="0001657E" w:rsidRPr="003E11DB">
        <w:rPr>
          <w:rFonts w:ascii="Arial" w:eastAsia="Calibri" w:hAnsi="Arial" w:cs="Arial"/>
        </w:rPr>
        <w:t xml:space="preserve"> once the high </w:t>
      </w:r>
      <w:r w:rsidRPr="003E11DB">
        <w:rPr>
          <w:rFonts w:ascii="Arial" w:eastAsia="Calibri" w:hAnsi="Arial" w:cs="Arial"/>
        </w:rPr>
        <w:t xml:space="preserve">TG </w:t>
      </w:r>
      <w:r w:rsidR="0001657E" w:rsidRPr="003E11DB">
        <w:rPr>
          <w:rFonts w:ascii="Arial" w:eastAsia="Calibri" w:hAnsi="Arial" w:cs="Arial"/>
        </w:rPr>
        <w:t xml:space="preserve">levels are lowered </w:t>
      </w:r>
      <w:r w:rsidRPr="003E11DB">
        <w:rPr>
          <w:rFonts w:ascii="Arial" w:eastAsia="Calibri" w:hAnsi="Arial" w:cs="Arial"/>
        </w:rPr>
        <w:t xml:space="preserve">a repeat </w:t>
      </w:r>
      <w:r w:rsidR="0001657E" w:rsidRPr="003E11DB">
        <w:rPr>
          <w:rFonts w:ascii="Arial" w:eastAsia="Calibri" w:hAnsi="Arial" w:cs="Arial"/>
        </w:rPr>
        <w:t xml:space="preserve">lipid panel </w:t>
      </w:r>
      <w:r w:rsidR="00AC76FD" w:rsidRPr="003E11DB">
        <w:rPr>
          <w:rFonts w:ascii="Arial" w:eastAsia="Calibri" w:hAnsi="Arial" w:cs="Arial"/>
        </w:rPr>
        <w:t xml:space="preserve">is recommended </w:t>
      </w:r>
      <w:r w:rsidR="0001657E" w:rsidRPr="003E11DB">
        <w:rPr>
          <w:rFonts w:ascii="Arial" w:eastAsia="Calibri" w:hAnsi="Arial" w:cs="Arial"/>
        </w:rPr>
        <w:t xml:space="preserve">to determine whether treatment strategies to reduce the risk of </w:t>
      </w:r>
      <w:r w:rsidR="00AC76FD" w:rsidRPr="003E11DB">
        <w:rPr>
          <w:rFonts w:ascii="Arial" w:eastAsia="Calibri" w:hAnsi="Arial" w:cs="Arial"/>
        </w:rPr>
        <w:t>ASCVD</w:t>
      </w:r>
      <w:r w:rsidR="0001657E" w:rsidRPr="003E11DB">
        <w:rPr>
          <w:rFonts w:ascii="Arial" w:eastAsia="Calibri" w:hAnsi="Arial" w:cs="Arial"/>
        </w:rPr>
        <w:t xml:space="preserve"> </w:t>
      </w:r>
      <w:r w:rsidR="00AC76FD" w:rsidRPr="003E11DB">
        <w:rPr>
          <w:rFonts w:ascii="Arial" w:eastAsia="Calibri" w:hAnsi="Arial" w:cs="Arial"/>
        </w:rPr>
        <w:t>are</w:t>
      </w:r>
      <w:r w:rsidR="0001657E" w:rsidRPr="003E11DB">
        <w:rPr>
          <w:rFonts w:ascii="Arial" w:eastAsia="Calibri" w:hAnsi="Arial" w:cs="Arial"/>
        </w:rPr>
        <w:t xml:space="preserve"> </w:t>
      </w:r>
      <w:r w:rsidR="00AC76FD" w:rsidRPr="003E11DB">
        <w:rPr>
          <w:rFonts w:ascii="Arial" w:eastAsia="Calibri" w:hAnsi="Arial" w:cs="Arial"/>
        </w:rPr>
        <w:t>needed</w:t>
      </w:r>
      <w:r w:rsidR="0001657E" w:rsidRPr="003E11DB">
        <w:rPr>
          <w:rFonts w:ascii="Arial" w:eastAsia="Calibri" w:hAnsi="Arial" w:cs="Arial"/>
        </w:rPr>
        <w:t>.</w:t>
      </w:r>
    </w:p>
    <w:p w14:paraId="648A537A" w14:textId="77777777" w:rsidR="0001657E" w:rsidRPr="003E11DB" w:rsidRDefault="0001657E" w:rsidP="0005546E">
      <w:pPr>
        <w:spacing w:after="0" w:line="276" w:lineRule="auto"/>
        <w:rPr>
          <w:rFonts w:ascii="Arial" w:eastAsia="Calibri"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369"/>
        <w:gridCol w:w="1518"/>
        <w:gridCol w:w="2287"/>
        <w:gridCol w:w="2665"/>
      </w:tblGrid>
      <w:tr w:rsidR="0001657E" w:rsidRPr="003E11DB" w14:paraId="7D4D5444" w14:textId="77777777" w:rsidTr="00E90E4F">
        <w:trPr>
          <w:trHeight w:val="203"/>
        </w:trPr>
        <w:tc>
          <w:tcPr>
            <w:tcW w:w="10278" w:type="dxa"/>
            <w:gridSpan w:val="5"/>
            <w:shd w:val="clear" w:color="auto" w:fill="FFFF00"/>
          </w:tcPr>
          <w:p w14:paraId="399AA8DF" w14:textId="45907918" w:rsidR="0001657E" w:rsidRPr="003E11DB" w:rsidRDefault="0001657E" w:rsidP="004361C7">
            <w:pPr>
              <w:autoSpaceDE w:val="0"/>
              <w:autoSpaceDN w:val="0"/>
              <w:adjustRightInd w:val="0"/>
              <w:spacing w:after="0" w:line="276" w:lineRule="auto"/>
              <w:rPr>
                <w:rFonts w:ascii="Arial" w:hAnsi="Arial" w:cs="Arial"/>
                <w:b/>
                <w:bCs/>
              </w:rPr>
            </w:pPr>
            <w:r w:rsidRPr="003E11DB">
              <w:rPr>
                <w:rFonts w:ascii="Arial" w:hAnsi="Arial" w:cs="Arial"/>
                <w:b/>
                <w:bCs/>
              </w:rPr>
              <w:t>Table 6.  Medications for P</w:t>
            </w:r>
            <w:r w:rsidR="004361C7">
              <w:rPr>
                <w:rFonts w:ascii="Arial" w:hAnsi="Arial" w:cs="Arial"/>
                <w:b/>
                <w:bCs/>
              </w:rPr>
              <w:t>rimarily Lowering Triglycerides</w:t>
            </w:r>
            <w:r w:rsidRPr="003E11DB">
              <w:rPr>
                <w:rFonts w:ascii="Arial" w:hAnsi="Arial" w:cs="Arial"/>
                <w:b/>
                <w:bCs/>
              </w:rPr>
              <w:t xml:space="preserve"> </w:t>
            </w:r>
            <w:r w:rsidRPr="003E11DB">
              <w:rPr>
                <w:rFonts w:ascii="Arial" w:hAnsi="Arial" w:cs="Arial"/>
                <w:bCs/>
              </w:rPr>
              <w:t>(</w:t>
            </w:r>
            <w:r w:rsidR="004361C7">
              <w:rPr>
                <w:rFonts w:ascii="Arial" w:hAnsi="Arial" w:cs="Arial"/>
                <w:bCs/>
              </w:rPr>
              <w:t>21</w:t>
            </w:r>
            <w:r w:rsidRPr="003E11DB">
              <w:rPr>
                <w:rFonts w:ascii="Arial" w:hAnsi="Arial" w:cs="Arial"/>
                <w:bCs/>
              </w:rPr>
              <w:t>)</w:t>
            </w:r>
          </w:p>
        </w:tc>
      </w:tr>
      <w:tr w:rsidR="0001657E" w:rsidRPr="003E11DB" w14:paraId="7BB9E745" w14:textId="77777777" w:rsidTr="00E90E4F">
        <w:trPr>
          <w:trHeight w:val="203"/>
        </w:trPr>
        <w:tc>
          <w:tcPr>
            <w:tcW w:w="1439" w:type="dxa"/>
          </w:tcPr>
          <w:p w14:paraId="1AA6AC11"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b/>
                <w:bCs/>
                <w:color w:val="000000"/>
              </w:rPr>
              <w:t xml:space="preserve">Medication </w:t>
            </w:r>
          </w:p>
        </w:tc>
        <w:tc>
          <w:tcPr>
            <w:tcW w:w="2369" w:type="dxa"/>
          </w:tcPr>
          <w:p w14:paraId="0723C94B"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b/>
                <w:bCs/>
                <w:color w:val="000000"/>
              </w:rPr>
              <w:t>Pediatric Dosing</w:t>
            </w:r>
          </w:p>
        </w:tc>
        <w:tc>
          <w:tcPr>
            <w:tcW w:w="1518" w:type="dxa"/>
          </w:tcPr>
          <w:p w14:paraId="02EDEFCE"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b/>
                <w:bCs/>
                <w:color w:val="000000"/>
              </w:rPr>
              <w:t xml:space="preserve">Adult Dosing </w:t>
            </w:r>
          </w:p>
        </w:tc>
        <w:tc>
          <w:tcPr>
            <w:tcW w:w="2287" w:type="dxa"/>
          </w:tcPr>
          <w:p w14:paraId="7D157618" w14:textId="77777777" w:rsidR="0001657E" w:rsidRPr="003E11DB" w:rsidRDefault="0001657E" w:rsidP="00E90E4F">
            <w:pPr>
              <w:autoSpaceDE w:val="0"/>
              <w:autoSpaceDN w:val="0"/>
              <w:adjustRightInd w:val="0"/>
              <w:spacing w:after="0" w:line="276" w:lineRule="auto"/>
              <w:rPr>
                <w:rFonts w:ascii="Arial" w:hAnsi="Arial" w:cs="Arial"/>
                <w:b/>
                <w:bCs/>
                <w:color w:val="000000"/>
              </w:rPr>
            </w:pPr>
            <w:r w:rsidRPr="003E11DB">
              <w:rPr>
                <w:rFonts w:ascii="Arial" w:hAnsi="Arial" w:cs="Arial"/>
                <w:b/>
                <w:bCs/>
                <w:color w:val="000000"/>
              </w:rPr>
              <w:t>Side Effects</w:t>
            </w:r>
          </w:p>
        </w:tc>
        <w:tc>
          <w:tcPr>
            <w:tcW w:w="2665" w:type="dxa"/>
          </w:tcPr>
          <w:p w14:paraId="3B6062C5"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b/>
                <w:bCs/>
              </w:rPr>
              <w:t xml:space="preserve">Indication / Comments </w:t>
            </w:r>
          </w:p>
        </w:tc>
      </w:tr>
      <w:tr w:rsidR="0001657E" w:rsidRPr="003E11DB" w14:paraId="26030DFE" w14:textId="77777777" w:rsidTr="00E90E4F">
        <w:trPr>
          <w:trHeight w:val="230"/>
        </w:trPr>
        <w:tc>
          <w:tcPr>
            <w:tcW w:w="10278" w:type="dxa"/>
            <w:gridSpan w:val="5"/>
            <w:vAlign w:val="center"/>
          </w:tcPr>
          <w:p w14:paraId="25EA3BC0" w14:textId="77777777" w:rsidR="0001657E" w:rsidRPr="003E11DB" w:rsidRDefault="0001657E" w:rsidP="00E90E4F">
            <w:pPr>
              <w:autoSpaceDE w:val="0"/>
              <w:autoSpaceDN w:val="0"/>
              <w:adjustRightInd w:val="0"/>
              <w:spacing w:after="0" w:line="276" w:lineRule="auto"/>
              <w:rPr>
                <w:rFonts w:ascii="Arial" w:hAnsi="Arial" w:cs="Arial"/>
                <w:b/>
                <w:color w:val="000000"/>
              </w:rPr>
            </w:pPr>
            <w:r w:rsidRPr="003E11DB">
              <w:rPr>
                <w:rFonts w:ascii="Arial" w:hAnsi="Arial" w:cs="Arial"/>
                <w:b/>
                <w:color w:val="000000"/>
              </w:rPr>
              <w:t>Fibric Acid Derivatives</w:t>
            </w:r>
          </w:p>
        </w:tc>
      </w:tr>
      <w:tr w:rsidR="0001657E" w:rsidRPr="003E11DB" w14:paraId="2A179FFE" w14:textId="77777777" w:rsidTr="00E90E4F">
        <w:trPr>
          <w:trHeight w:val="318"/>
        </w:trPr>
        <w:tc>
          <w:tcPr>
            <w:tcW w:w="1439" w:type="dxa"/>
          </w:tcPr>
          <w:p w14:paraId="5E3C898F" w14:textId="77777777" w:rsidR="0001657E" w:rsidRPr="003E11DB" w:rsidRDefault="0001657E" w:rsidP="00E90E4F">
            <w:pPr>
              <w:autoSpaceDE w:val="0"/>
              <w:autoSpaceDN w:val="0"/>
              <w:adjustRightInd w:val="0"/>
              <w:spacing w:after="0" w:line="276" w:lineRule="auto"/>
              <w:rPr>
                <w:rFonts w:ascii="Arial" w:hAnsi="Arial" w:cs="Arial"/>
                <w:bCs/>
                <w:color w:val="000000"/>
              </w:rPr>
            </w:pPr>
            <w:r w:rsidRPr="003E11DB">
              <w:rPr>
                <w:rFonts w:ascii="Arial" w:hAnsi="Arial" w:cs="Arial"/>
                <w:bCs/>
                <w:color w:val="000000"/>
              </w:rPr>
              <w:t xml:space="preserve">Fenofibrate </w:t>
            </w:r>
          </w:p>
          <w:p w14:paraId="53762D4E"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bCs/>
                <w:color w:val="000000"/>
              </w:rPr>
              <w:t>(Many generic preparations available)</w:t>
            </w:r>
          </w:p>
        </w:tc>
        <w:tc>
          <w:tcPr>
            <w:tcW w:w="2369" w:type="dxa"/>
          </w:tcPr>
          <w:p w14:paraId="77B4FAED"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rPr>
              <w:t xml:space="preserve">Pediatric safety and efficacy not established. Not FDA approved for use in children. </w:t>
            </w:r>
          </w:p>
          <w:p w14:paraId="750B3E05" w14:textId="77777777" w:rsidR="0001657E" w:rsidRPr="003E11DB" w:rsidRDefault="0001657E" w:rsidP="00E90E4F">
            <w:pPr>
              <w:autoSpaceDE w:val="0"/>
              <w:autoSpaceDN w:val="0"/>
              <w:adjustRightInd w:val="0"/>
              <w:spacing w:after="0" w:line="276" w:lineRule="auto"/>
              <w:rPr>
                <w:rFonts w:ascii="Arial" w:hAnsi="Arial" w:cs="Arial"/>
                <w:color w:val="000000"/>
              </w:rPr>
            </w:pPr>
          </w:p>
        </w:tc>
        <w:tc>
          <w:tcPr>
            <w:tcW w:w="1518" w:type="dxa"/>
          </w:tcPr>
          <w:p w14:paraId="4B57439F" w14:textId="1A10CAC1"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Product specific. </w:t>
            </w:r>
            <w:r w:rsidR="00DB155C" w:rsidRPr="003E11DB">
              <w:rPr>
                <w:rFonts w:ascii="Arial" w:hAnsi="Arial" w:cs="Arial"/>
                <w:color w:val="000000"/>
              </w:rPr>
              <w:t>Generally,</w:t>
            </w:r>
            <w:r w:rsidRPr="003E11DB">
              <w:rPr>
                <w:rFonts w:ascii="Arial" w:hAnsi="Arial" w:cs="Arial"/>
                <w:color w:val="000000"/>
              </w:rPr>
              <w:t xml:space="preserve"> employ full dose in the setting of normal renal function.</w:t>
            </w:r>
          </w:p>
        </w:tc>
        <w:tc>
          <w:tcPr>
            <w:tcW w:w="2287" w:type="dxa"/>
          </w:tcPr>
          <w:p w14:paraId="6DCA03B3"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Skin rash, gastrointestinal (nausea, bloating, cramping), myalgia; lowers blood cyclosporine levels; potentially nephrotoxic in </w:t>
            </w:r>
            <w:r w:rsidRPr="003E11DB">
              <w:rPr>
                <w:rFonts w:ascii="Arial" w:hAnsi="Arial" w:cs="Arial"/>
                <w:color w:val="000000"/>
              </w:rPr>
              <w:lastRenderedPageBreak/>
              <w:t>cyclosporine treated patients. Avoid in patients with CrCl &lt; 30 mL/min.</w:t>
            </w:r>
          </w:p>
        </w:tc>
        <w:tc>
          <w:tcPr>
            <w:tcW w:w="2665" w:type="dxa"/>
          </w:tcPr>
          <w:p w14:paraId="79FCDB2A"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lastRenderedPageBreak/>
              <w:t>Hypertriglyceridemia.</w:t>
            </w:r>
          </w:p>
          <w:p w14:paraId="7470E53F"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Monitor renal function; avoid in the presence of severe renal function.  Regular monitoring of liver function test is required.  Discontinue if </w:t>
            </w:r>
            <w:r w:rsidRPr="003E11DB">
              <w:rPr>
                <w:rFonts w:ascii="Arial" w:hAnsi="Arial" w:cs="Arial"/>
                <w:color w:val="000000"/>
              </w:rPr>
              <w:lastRenderedPageBreak/>
              <w:t>persistent elevation of LFTs &gt; 3 X ULN.</w:t>
            </w:r>
          </w:p>
        </w:tc>
      </w:tr>
      <w:tr w:rsidR="0001657E" w:rsidRPr="003E11DB" w14:paraId="1775AA65" w14:textId="77777777" w:rsidTr="00E90E4F">
        <w:trPr>
          <w:trHeight w:val="318"/>
        </w:trPr>
        <w:tc>
          <w:tcPr>
            <w:tcW w:w="1439" w:type="dxa"/>
          </w:tcPr>
          <w:p w14:paraId="6761A1B9" w14:textId="77777777" w:rsidR="0001657E" w:rsidRPr="003E11DB" w:rsidRDefault="0001657E" w:rsidP="00E90E4F">
            <w:pPr>
              <w:autoSpaceDE w:val="0"/>
              <w:autoSpaceDN w:val="0"/>
              <w:adjustRightInd w:val="0"/>
              <w:spacing w:after="0" w:line="276" w:lineRule="auto"/>
              <w:rPr>
                <w:rFonts w:ascii="Arial" w:hAnsi="Arial" w:cs="Arial"/>
                <w:bCs/>
                <w:color w:val="000000"/>
              </w:rPr>
            </w:pPr>
            <w:r w:rsidRPr="003E11DB">
              <w:rPr>
                <w:rFonts w:ascii="Arial" w:hAnsi="Arial" w:cs="Arial"/>
                <w:bCs/>
                <w:color w:val="000000"/>
              </w:rPr>
              <w:lastRenderedPageBreak/>
              <w:t xml:space="preserve">Gemfibrozil </w:t>
            </w:r>
          </w:p>
          <w:p w14:paraId="278616DE"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bCs/>
                <w:color w:val="000000"/>
              </w:rPr>
              <w:t>(Lopid)</w:t>
            </w:r>
          </w:p>
        </w:tc>
        <w:tc>
          <w:tcPr>
            <w:tcW w:w="2369" w:type="dxa"/>
          </w:tcPr>
          <w:p w14:paraId="5E280243"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rPr>
              <w:t xml:space="preserve">Pediatric safety and efficacy not established. Not FDA approved for use in children. </w:t>
            </w:r>
          </w:p>
          <w:p w14:paraId="3FEBA659" w14:textId="77777777" w:rsidR="0001657E" w:rsidRPr="003E11DB" w:rsidRDefault="0001657E" w:rsidP="00E90E4F">
            <w:pPr>
              <w:autoSpaceDE w:val="0"/>
              <w:autoSpaceDN w:val="0"/>
              <w:adjustRightInd w:val="0"/>
              <w:spacing w:after="0" w:line="276" w:lineRule="auto"/>
              <w:rPr>
                <w:rFonts w:ascii="Arial" w:hAnsi="Arial" w:cs="Arial"/>
                <w:color w:val="000000"/>
              </w:rPr>
            </w:pPr>
          </w:p>
        </w:tc>
        <w:tc>
          <w:tcPr>
            <w:tcW w:w="1518" w:type="dxa"/>
          </w:tcPr>
          <w:p w14:paraId="4E596E49"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1200 mg p.o. daily, divided BID, 30 mins before breakfast and dinner</w:t>
            </w:r>
          </w:p>
        </w:tc>
        <w:tc>
          <w:tcPr>
            <w:tcW w:w="2287" w:type="dxa"/>
          </w:tcPr>
          <w:p w14:paraId="57E8CB12"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eastAsia="Times New Roman" w:hAnsi="Arial" w:cs="Arial"/>
              </w:rPr>
              <w:t xml:space="preserve">Potentiates warfarin action. Absorption of gemfibrozil diminished by bile acid sequestrants. </w:t>
            </w:r>
          </w:p>
        </w:tc>
        <w:tc>
          <w:tcPr>
            <w:tcW w:w="2665" w:type="dxa"/>
          </w:tcPr>
          <w:p w14:paraId="18C3689A"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Hypertriglyceridemia.</w:t>
            </w:r>
          </w:p>
          <w:p w14:paraId="1B90A77A"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Use with caution in patients with renal impairment, contraindicated with severe renal impairment; use contraindicated with hepatic impairment. Avoid with concurrent statin therapy.</w:t>
            </w:r>
          </w:p>
        </w:tc>
      </w:tr>
      <w:tr w:rsidR="0001657E" w:rsidRPr="003E11DB" w14:paraId="38C0F9CC" w14:textId="77777777" w:rsidTr="00E90E4F">
        <w:trPr>
          <w:trHeight w:val="185"/>
        </w:trPr>
        <w:tc>
          <w:tcPr>
            <w:tcW w:w="10278" w:type="dxa"/>
            <w:gridSpan w:val="5"/>
            <w:vAlign w:val="center"/>
          </w:tcPr>
          <w:p w14:paraId="1816AB94" w14:textId="77777777" w:rsidR="0001657E" w:rsidRPr="003E11DB" w:rsidRDefault="0001657E" w:rsidP="00E90E4F">
            <w:pPr>
              <w:autoSpaceDE w:val="0"/>
              <w:autoSpaceDN w:val="0"/>
              <w:adjustRightInd w:val="0"/>
              <w:spacing w:after="0" w:line="276" w:lineRule="auto"/>
              <w:rPr>
                <w:rFonts w:ascii="Arial" w:hAnsi="Arial" w:cs="Arial"/>
                <w:b/>
                <w:color w:val="000000"/>
              </w:rPr>
            </w:pPr>
            <w:r w:rsidRPr="003E11DB">
              <w:rPr>
                <w:rFonts w:ascii="Arial" w:hAnsi="Arial" w:cs="Arial"/>
                <w:b/>
                <w:color w:val="000000"/>
              </w:rPr>
              <w:t>Nicotinic Acid</w:t>
            </w:r>
          </w:p>
        </w:tc>
      </w:tr>
      <w:tr w:rsidR="0001657E" w:rsidRPr="003E11DB" w14:paraId="229757BD" w14:textId="77777777" w:rsidTr="00E90E4F">
        <w:trPr>
          <w:trHeight w:val="863"/>
        </w:trPr>
        <w:tc>
          <w:tcPr>
            <w:tcW w:w="1439" w:type="dxa"/>
          </w:tcPr>
          <w:p w14:paraId="5E3BE751" w14:textId="77777777" w:rsidR="0001657E" w:rsidRPr="003E11DB" w:rsidRDefault="0001657E" w:rsidP="00E90E4F">
            <w:pPr>
              <w:autoSpaceDE w:val="0"/>
              <w:autoSpaceDN w:val="0"/>
              <w:adjustRightInd w:val="0"/>
              <w:spacing w:after="0" w:line="276" w:lineRule="auto"/>
              <w:rPr>
                <w:rFonts w:ascii="Arial" w:hAnsi="Arial" w:cs="Arial"/>
                <w:bCs/>
                <w:color w:val="000000"/>
              </w:rPr>
            </w:pPr>
            <w:r w:rsidRPr="003E11DB">
              <w:rPr>
                <w:rFonts w:ascii="Arial" w:hAnsi="Arial" w:cs="Arial"/>
                <w:bCs/>
                <w:color w:val="000000"/>
              </w:rPr>
              <w:t xml:space="preserve">Niacin </w:t>
            </w:r>
          </w:p>
          <w:p w14:paraId="3B25F0F5"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bCs/>
                <w:color w:val="000000"/>
              </w:rPr>
              <w:t>(Multiple preparations available)</w:t>
            </w:r>
          </w:p>
        </w:tc>
        <w:tc>
          <w:tcPr>
            <w:tcW w:w="2369" w:type="dxa"/>
          </w:tcPr>
          <w:p w14:paraId="3999BB60"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Age ≥ 10 </w:t>
            </w:r>
          </w:p>
          <w:p w14:paraId="59B61995"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rPr>
              <w:t xml:space="preserve">Pediatric safety and efficacy not established. Not FDA approved for use in children. </w:t>
            </w:r>
            <w:r w:rsidRPr="003E11DB">
              <w:rPr>
                <w:rFonts w:ascii="Arial" w:hAnsi="Arial" w:cs="Arial"/>
                <w:color w:val="000000"/>
              </w:rPr>
              <w:t xml:space="preserve"> </w:t>
            </w:r>
            <w:r w:rsidRPr="003E11DB">
              <w:rPr>
                <w:rFonts w:ascii="Arial" w:hAnsi="Arial" w:cs="Arial"/>
              </w:rPr>
              <w:t xml:space="preserve">If used, suggested dose </w:t>
            </w:r>
          </w:p>
          <w:p w14:paraId="3A003C73"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Initial: 100-250 mg/d (Max: 10 mg/kg/day) divided three times daily with meals </w:t>
            </w:r>
          </w:p>
        </w:tc>
        <w:tc>
          <w:tcPr>
            <w:tcW w:w="1518" w:type="dxa"/>
          </w:tcPr>
          <w:p w14:paraId="361BE105"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Slowly titrate to max dose of intermediate release niacin (3 g/day) or slow-release niacin) 2 g/day)</w:t>
            </w:r>
          </w:p>
        </w:tc>
        <w:tc>
          <w:tcPr>
            <w:tcW w:w="2287" w:type="dxa"/>
          </w:tcPr>
          <w:p w14:paraId="66943D1A"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eastAsia="Times New Roman" w:hAnsi="Arial" w:cs="Arial"/>
              </w:rPr>
              <w:t>Prostaglandin-mediated cutaneous flushing, headache, warm sensation, and pruritus; dry skin; nausea; vomiting; diarrhea; and myositis.</w:t>
            </w:r>
          </w:p>
        </w:tc>
        <w:tc>
          <w:tcPr>
            <w:tcW w:w="2665" w:type="dxa"/>
          </w:tcPr>
          <w:p w14:paraId="5FF908CD"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Adjunct therapy to reduce high TG.  </w:t>
            </w:r>
          </w:p>
          <w:p w14:paraId="6FD39210"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For Ped dosing may titrate weekly by 100 mg/day or every 2 – 3 weeks by 250 mg/day.  No dosing adjustment has been provided by the manufacturer for renal or hepatic impairment.  Contraindicated in the presence of significant unexplained hepatic dysfunction, active liver disease, or unexplained persistent LFT elevation.</w:t>
            </w:r>
          </w:p>
        </w:tc>
      </w:tr>
      <w:tr w:rsidR="0001657E" w:rsidRPr="003E11DB" w14:paraId="624F4F4F" w14:textId="77777777" w:rsidTr="00E90E4F">
        <w:trPr>
          <w:trHeight w:val="185"/>
        </w:trPr>
        <w:tc>
          <w:tcPr>
            <w:tcW w:w="10278" w:type="dxa"/>
            <w:gridSpan w:val="5"/>
            <w:vAlign w:val="center"/>
          </w:tcPr>
          <w:p w14:paraId="230DC51B" w14:textId="77777777" w:rsidR="0001657E" w:rsidRPr="003E11DB" w:rsidRDefault="0001657E" w:rsidP="00E90E4F">
            <w:pPr>
              <w:autoSpaceDE w:val="0"/>
              <w:autoSpaceDN w:val="0"/>
              <w:adjustRightInd w:val="0"/>
              <w:spacing w:after="0" w:line="276" w:lineRule="auto"/>
              <w:rPr>
                <w:rFonts w:ascii="Arial" w:hAnsi="Arial" w:cs="Arial"/>
                <w:b/>
                <w:color w:val="000000"/>
              </w:rPr>
            </w:pPr>
            <w:r w:rsidRPr="003E11DB">
              <w:rPr>
                <w:rFonts w:ascii="Arial" w:hAnsi="Arial" w:cs="Arial"/>
                <w:b/>
                <w:color w:val="000000"/>
              </w:rPr>
              <w:t>Omega 3 Fatty Acids</w:t>
            </w:r>
          </w:p>
        </w:tc>
      </w:tr>
      <w:tr w:rsidR="0001657E" w:rsidRPr="003E11DB" w14:paraId="1CCA2AB0" w14:textId="77777777" w:rsidTr="00E90E4F">
        <w:trPr>
          <w:trHeight w:val="899"/>
        </w:trPr>
        <w:tc>
          <w:tcPr>
            <w:tcW w:w="1439" w:type="dxa"/>
          </w:tcPr>
          <w:p w14:paraId="17A273E0"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Ethyl esters</w:t>
            </w:r>
          </w:p>
          <w:p w14:paraId="4E441A9C"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(Lovaza)</w:t>
            </w:r>
          </w:p>
        </w:tc>
        <w:tc>
          <w:tcPr>
            <w:tcW w:w="2369" w:type="dxa"/>
          </w:tcPr>
          <w:p w14:paraId="25BDC264" w14:textId="77777777" w:rsidR="0001657E" w:rsidRPr="003E11DB" w:rsidRDefault="0001657E" w:rsidP="00E90E4F">
            <w:pPr>
              <w:spacing w:after="0" w:line="276" w:lineRule="auto"/>
              <w:rPr>
                <w:rFonts w:ascii="Arial" w:eastAsia="Times New Roman" w:hAnsi="Arial" w:cs="Arial"/>
              </w:rPr>
            </w:pPr>
            <w:r w:rsidRPr="003E11DB">
              <w:rPr>
                <w:rFonts w:ascii="Arial" w:hAnsi="Arial" w:cs="Arial"/>
              </w:rPr>
              <w:t>Pediatric safety and efficacy not established. Not FDA approved for use in children.</w:t>
            </w:r>
          </w:p>
          <w:p w14:paraId="7BD7497F" w14:textId="77777777" w:rsidR="0001657E" w:rsidRPr="003E11DB" w:rsidRDefault="0001657E" w:rsidP="00E90E4F">
            <w:pPr>
              <w:spacing w:after="0" w:line="276" w:lineRule="auto"/>
              <w:rPr>
                <w:rFonts w:ascii="Arial" w:eastAsia="Times New Roman" w:hAnsi="Arial" w:cs="Arial"/>
              </w:rPr>
            </w:pPr>
          </w:p>
        </w:tc>
        <w:tc>
          <w:tcPr>
            <w:tcW w:w="1518" w:type="dxa"/>
          </w:tcPr>
          <w:p w14:paraId="0D2B7ECE"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2-4 g EPA + DHA daily, divided BID</w:t>
            </w:r>
          </w:p>
        </w:tc>
        <w:tc>
          <w:tcPr>
            <w:tcW w:w="2287" w:type="dxa"/>
          </w:tcPr>
          <w:p w14:paraId="58AC6D71"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eastAsia="Times New Roman" w:hAnsi="Arial" w:cs="Arial"/>
              </w:rPr>
              <w:t>Eructation, dyspepsia. Diarrhea (7%-15%) most commonly reported.  May enhance anticoagulant and antiplatelet effects of other medications.</w:t>
            </w:r>
          </w:p>
        </w:tc>
        <w:tc>
          <w:tcPr>
            <w:tcW w:w="2665" w:type="dxa"/>
            <w:vMerge w:val="restart"/>
          </w:tcPr>
          <w:p w14:paraId="69EF6243"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Adjunct therapy to reduce high TG.  </w:t>
            </w:r>
          </w:p>
          <w:p w14:paraId="1F9998DB"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No dosage adjustments required for impaired renal or hepatic function.  Periodic monitoring of ALT and AST is recommended for patients with hepatic impairment.</w:t>
            </w:r>
          </w:p>
          <w:p w14:paraId="6289CE57" w14:textId="77777777" w:rsidR="0001657E" w:rsidRPr="003E11DB" w:rsidRDefault="0001657E" w:rsidP="00E90E4F">
            <w:pPr>
              <w:autoSpaceDE w:val="0"/>
              <w:autoSpaceDN w:val="0"/>
              <w:adjustRightInd w:val="0"/>
              <w:spacing w:after="0" w:line="276" w:lineRule="auto"/>
              <w:rPr>
                <w:rFonts w:ascii="Arial" w:hAnsi="Arial" w:cs="Arial"/>
                <w:color w:val="000000"/>
              </w:rPr>
            </w:pPr>
          </w:p>
          <w:p w14:paraId="5BBDD611" w14:textId="77777777" w:rsidR="0001657E" w:rsidRPr="003E11DB" w:rsidRDefault="0001657E" w:rsidP="00E90E4F">
            <w:pPr>
              <w:autoSpaceDE w:val="0"/>
              <w:autoSpaceDN w:val="0"/>
              <w:adjustRightInd w:val="0"/>
              <w:spacing w:after="0" w:line="276" w:lineRule="auto"/>
              <w:rPr>
                <w:rFonts w:ascii="Arial" w:hAnsi="Arial" w:cs="Arial"/>
                <w:color w:val="000000"/>
              </w:rPr>
            </w:pPr>
          </w:p>
        </w:tc>
      </w:tr>
      <w:tr w:rsidR="0001657E" w:rsidRPr="003E11DB" w14:paraId="5961CC17" w14:textId="77777777" w:rsidTr="00E90E4F">
        <w:trPr>
          <w:trHeight w:val="318"/>
        </w:trPr>
        <w:tc>
          <w:tcPr>
            <w:tcW w:w="1439" w:type="dxa"/>
          </w:tcPr>
          <w:p w14:paraId="12D4539E"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 xml:space="preserve">Icosapent </w:t>
            </w:r>
          </w:p>
          <w:p w14:paraId="76989848"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(Vascepa)</w:t>
            </w:r>
          </w:p>
        </w:tc>
        <w:tc>
          <w:tcPr>
            <w:tcW w:w="2369" w:type="dxa"/>
          </w:tcPr>
          <w:p w14:paraId="5716F1B9" w14:textId="77777777" w:rsidR="0001657E" w:rsidRPr="003E11DB" w:rsidRDefault="0001657E" w:rsidP="00E90E4F">
            <w:pPr>
              <w:spacing w:after="0" w:line="276" w:lineRule="auto"/>
              <w:rPr>
                <w:rFonts w:ascii="Arial" w:eastAsia="Times New Roman" w:hAnsi="Arial" w:cs="Arial"/>
              </w:rPr>
            </w:pPr>
            <w:r w:rsidRPr="003E11DB">
              <w:rPr>
                <w:rFonts w:ascii="Arial" w:hAnsi="Arial" w:cs="Arial"/>
              </w:rPr>
              <w:t xml:space="preserve">Pediatric safety and efficacy not established. Not FDA </w:t>
            </w:r>
            <w:r w:rsidRPr="003E11DB">
              <w:rPr>
                <w:rFonts w:ascii="Arial" w:hAnsi="Arial" w:cs="Arial"/>
              </w:rPr>
              <w:lastRenderedPageBreak/>
              <w:t>approved for use in children.</w:t>
            </w:r>
          </w:p>
        </w:tc>
        <w:tc>
          <w:tcPr>
            <w:tcW w:w="1518" w:type="dxa"/>
          </w:tcPr>
          <w:p w14:paraId="264431E2"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lastRenderedPageBreak/>
              <w:t>2-4 g EPA daily, divided BID</w:t>
            </w:r>
          </w:p>
        </w:tc>
        <w:tc>
          <w:tcPr>
            <w:tcW w:w="2287" w:type="dxa"/>
          </w:tcPr>
          <w:p w14:paraId="213A5F41" w14:textId="77777777" w:rsidR="0001657E" w:rsidRPr="003E11DB" w:rsidRDefault="0001657E" w:rsidP="00E90E4F">
            <w:pPr>
              <w:autoSpaceDE w:val="0"/>
              <w:autoSpaceDN w:val="0"/>
              <w:adjustRightInd w:val="0"/>
              <w:spacing w:after="0" w:line="276" w:lineRule="auto"/>
              <w:rPr>
                <w:rFonts w:ascii="Arial" w:hAnsi="Arial" w:cs="Arial"/>
                <w:color w:val="000000"/>
              </w:rPr>
            </w:pPr>
            <w:r w:rsidRPr="003E11DB">
              <w:rPr>
                <w:rFonts w:ascii="Arial" w:eastAsia="Times New Roman" w:hAnsi="Arial" w:cs="Arial"/>
              </w:rPr>
              <w:t>Arthralgia, oropharyngeal pain</w:t>
            </w:r>
          </w:p>
        </w:tc>
        <w:tc>
          <w:tcPr>
            <w:tcW w:w="2665" w:type="dxa"/>
            <w:vMerge/>
          </w:tcPr>
          <w:p w14:paraId="57650446" w14:textId="77777777" w:rsidR="0001657E" w:rsidRPr="003E11DB" w:rsidRDefault="0001657E" w:rsidP="00E90E4F">
            <w:pPr>
              <w:autoSpaceDE w:val="0"/>
              <w:autoSpaceDN w:val="0"/>
              <w:adjustRightInd w:val="0"/>
              <w:spacing w:after="0" w:line="276" w:lineRule="auto"/>
              <w:rPr>
                <w:rFonts w:ascii="Arial" w:hAnsi="Arial" w:cs="Arial"/>
                <w:color w:val="000000"/>
              </w:rPr>
            </w:pPr>
          </w:p>
        </w:tc>
      </w:tr>
      <w:tr w:rsidR="0001657E" w:rsidRPr="003E11DB" w14:paraId="7530A3D8" w14:textId="77777777" w:rsidTr="00E90E4F">
        <w:trPr>
          <w:trHeight w:val="318"/>
        </w:trPr>
        <w:tc>
          <w:tcPr>
            <w:tcW w:w="10278" w:type="dxa"/>
            <w:gridSpan w:val="5"/>
          </w:tcPr>
          <w:p w14:paraId="17DF8652" w14:textId="77777777" w:rsidR="0001657E" w:rsidRPr="003E11DB" w:rsidRDefault="0001657E" w:rsidP="00E90E4F">
            <w:pPr>
              <w:autoSpaceDE w:val="0"/>
              <w:autoSpaceDN w:val="0"/>
              <w:adjustRightInd w:val="0"/>
              <w:spacing w:after="0" w:line="276" w:lineRule="auto"/>
              <w:rPr>
                <w:rFonts w:ascii="Arial" w:hAnsi="Arial" w:cs="Arial"/>
                <w:b/>
                <w:bCs/>
                <w:color w:val="000000"/>
              </w:rPr>
            </w:pPr>
            <w:r w:rsidRPr="003E11DB">
              <w:rPr>
                <w:rFonts w:ascii="Arial" w:hAnsi="Arial" w:cs="Arial"/>
                <w:b/>
                <w:bCs/>
                <w:color w:val="000000"/>
              </w:rPr>
              <w:t>Statins</w:t>
            </w:r>
          </w:p>
        </w:tc>
      </w:tr>
      <w:tr w:rsidR="0001657E" w:rsidRPr="003E11DB" w14:paraId="40A989F7" w14:textId="77777777" w:rsidTr="00E90E4F">
        <w:trPr>
          <w:trHeight w:val="318"/>
        </w:trPr>
        <w:tc>
          <w:tcPr>
            <w:tcW w:w="1439" w:type="dxa"/>
          </w:tcPr>
          <w:p w14:paraId="660A8E2D"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Statins (Multiple preparations available)</w:t>
            </w:r>
          </w:p>
        </w:tc>
        <w:tc>
          <w:tcPr>
            <w:tcW w:w="2369" w:type="dxa"/>
          </w:tcPr>
          <w:p w14:paraId="3DFD462A"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Not FDA approved for use in children other than familial hypercholesterolemia.</w:t>
            </w:r>
          </w:p>
        </w:tc>
        <w:tc>
          <w:tcPr>
            <w:tcW w:w="1518" w:type="dxa"/>
          </w:tcPr>
          <w:p w14:paraId="38798FBA" w14:textId="77777777" w:rsidR="0001657E" w:rsidRPr="003E11DB" w:rsidRDefault="0001657E" w:rsidP="00E90E4F">
            <w:pPr>
              <w:spacing w:after="0" w:line="276" w:lineRule="auto"/>
              <w:rPr>
                <w:rFonts w:ascii="Arial" w:eastAsia="Times New Roman" w:hAnsi="Arial" w:cs="Arial"/>
              </w:rPr>
            </w:pPr>
            <w:r w:rsidRPr="003E11DB">
              <w:rPr>
                <w:rFonts w:ascii="Arial" w:eastAsia="Times New Roman" w:hAnsi="Arial" w:cs="Arial"/>
              </w:rPr>
              <w:t xml:space="preserve">Product specific.  </w:t>
            </w:r>
          </w:p>
        </w:tc>
        <w:tc>
          <w:tcPr>
            <w:tcW w:w="2287" w:type="dxa"/>
          </w:tcPr>
          <w:p w14:paraId="2A8B9D93" w14:textId="77777777" w:rsidR="0001657E" w:rsidRPr="003E11DB" w:rsidRDefault="0001657E" w:rsidP="00E90E4F">
            <w:pPr>
              <w:autoSpaceDE w:val="0"/>
              <w:autoSpaceDN w:val="0"/>
              <w:adjustRightInd w:val="0"/>
              <w:spacing w:after="0" w:line="276" w:lineRule="auto"/>
              <w:rPr>
                <w:rFonts w:ascii="Arial" w:eastAsia="Times New Roman" w:hAnsi="Arial" w:cs="Arial"/>
              </w:rPr>
            </w:pPr>
            <w:r w:rsidRPr="003E11DB">
              <w:rPr>
                <w:rFonts w:ascii="Arial" w:eastAsia="Times New Roman" w:hAnsi="Arial" w:cs="Arial"/>
              </w:rPr>
              <w:t>Headache; nausea; sleep disturbance; elevations in hepatocellular enzymes and alkaline phosphatase. Myositis and rhabdomyolysis, primarily when given with gemfibrozil or cyclosporine; myositis is also seen with severe renal insufficiency (CrCl &lt; 30 mL/min).</w:t>
            </w:r>
          </w:p>
        </w:tc>
        <w:tc>
          <w:tcPr>
            <w:tcW w:w="2665" w:type="dxa"/>
          </w:tcPr>
          <w:p w14:paraId="4928E36C" w14:textId="6001ADE2" w:rsidR="0001657E" w:rsidRPr="003E11DB" w:rsidRDefault="00CE2A69" w:rsidP="00E90E4F">
            <w:pPr>
              <w:autoSpaceDE w:val="0"/>
              <w:autoSpaceDN w:val="0"/>
              <w:adjustRightInd w:val="0"/>
              <w:spacing w:after="0" w:line="276" w:lineRule="auto"/>
              <w:rPr>
                <w:rFonts w:ascii="Arial" w:hAnsi="Arial" w:cs="Arial"/>
                <w:color w:val="000000"/>
              </w:rPr>
            </w:pPr>
            <w:r w:rsidRPr="003E11DB">
              <w:rPr>
                <w:rFonts w:ascii="Arial" w:hAnsi="Arial" w:cs="Arial"/>
                <w:color w:val="000000"/>
              </w:rPr>
              <w:t xml:space="preserve">If used off label </w:t>
            </w:r>
            <w:r w:rsidR="0001657E" w:rsidRPr="003E11DB">
              <w:rPr>
                <w:rFonts w:ascii="Arial" w:hAnsi="Arial" w:cs="Arial"/>
                <w:color w:val="000000"/>
              </w:rPr>
              <w:t>in HTG, statins are most often used in combination with other drugs, such as fibrates, in order to achieve synergistic effects.</w:t>
            </w:r>
          </w:p>
        </w:tc>
      </w:tr>
    </w:tbl>
    <w:p w14:paraId="161344BC" w14:textId="77777777" w:rsidR="0001657E" w:rsidRPr="003E11DB" w:rsidRDefault="0001657E" w:rsidP="0005546E">
      <w:pPr>
        <w:spacing w:after="0" w:line="276" w:lineRule="auto"/>
        <w:rPr>
          <w:rFonts w:ascii="Arial" w:eastAsia="Calibri" w:hAnsi="Arial" w:cs="Arial"/>
        </w:rPr>
      </w:pPr>
    </w:p>
    <w:p w14:paraId="05C08BAE" w14:textId="3B98A572" w:rsidR="00046284" w:rsidRPr="003E11DB" w:rsidRDefault="00046284" w:rsidP="00145D27">
      <w:pPr>
        <w:pStyle w:val="Heading2"/>
        <w:spacing w:before="0" w:line="276" w:lineRule="auto"/>
        <w:contextualSpacing/>
        <w:rPr>
          <w:rFonts w:eastAsia="Calibri"/>
        </w:rPr>
      </w:pPr>
      <w:r w:rsidRPr="003E11DB">
        <w:rPr>
          <w:rFonts w:eastAsia="Calibri"/>
        </w:rPr>
        <w:t>C</w:t>
      </w:r>
      <w:r w:rsidR="0069602D" w:rsidRPr="003E11DB">
        <w:rPr>
          <w:rFonts w:eastAsia="Calibri"/>
        </w:rPr>
        <w:t>ONCLUSION</w:t>
      </w:r>
    </w:p>
    <w:p w14:paraId="255B7FB3" w14:textId="77777777" w:rsidR="0069602D" w:rsidRPr="003E11DB" w:rsidRDefault="0069602D" w:rsidP="00145D27">
      <w:pPr>
        <w:spacing w:after="0" w:line="276" w:lineRule="auto"/>
        <w:contextualSpacing/>
        <w:rPr>
          <w:rFonts w:ascii="Arial" w:eastAsia="Calibri" w:hAnsi="Arial" w:cs="Arial"/>
        </w:rPr>
      </w:pPr>
    </w:p>
    <w:p w14:paraId="19BDBEFE" w14:textId="718B336A" w:rsidR="00046284" w:rsidRPr="003E11DB" w:rsidRDefault="00251721" w:rsidP="00145D27">
      <w:pPr>
        <w:spacing w:after="0" w:line="276" w:lineRule="auto"/>
        <w:contextualSpacing/>
        <w:rPr>
          <w:rFonts w:ascii="Arial" w:eastAsia="Calibri" w:hAnsi="Arial" w:cs="Arial"/>
        </w:rPr>
      </w:pPr>
      <w:r w:rsidRPr="003E11DB">
        <w:rPr>
          <w:rFonts w:ascii="Arial" w:eastAsia="Calibri" w:hAnsi="Arial" w:cs="Arial"/>
        </w:rPr>
        <w:t>Aggressive therapy</w:t>
      </w:r>
      <w:r w:rsidR="00A2269F" w:rsidRPr="003E11DB">
        <w:rPr>
          <w:rFonts w:ascii="Arial" w:eastAsia="Calibri" w:hAnsi="Arial" w:cs="Arial"/>
        </w:rPr>
        <w:t xml:space="preserve"> in symptomatic children with </w:t>
      </w:r>
      <w:r w:rsidR="00551829" w:rsidRPr="003E11DB">
        <w:rPr>
          <w:rFonts w:ascii="Arial" w:eastAsia="Calibri" w:hAnsi="Arial" w:cs="Arial"/>
        </w:rPr>
        <w:t>SHTG</w:t>
      </w:r>
      <w:r w:rsidRPr="003E11DB">
        <w:rPr>
          <w:rFonts w:ascii="Arial" w:eastAsia="Calibri" w:hAnsi="Arial" w:cs="Arial"/>
        </w:rPr>
        <w:t xml:space="preserve">, when indicated, can rapidly lower levels of </w:t>
      </w:r>
      <w:r w:rsidR="00CE2A69" w:rsidRPr="003E11DB">
        <w:rPr>
          <w:rFonts w:ascii="Arial" w:eastAsia="Calibri" w:hAnsi="Arial" w:cs="Arial"/>
        </w:rPr>
        <w:t>TG</w:t>
      </w:r>
      <w:r w:rsidRPr="003E11DB">
        <w:rPr>
          <w:rFonts w:ascii="Arial" w:eastAsia="Calibri" w:hAnsi="Arial" w:cs="Arial"/>
        </w:rPr>
        <w:t xml:space="preserve">, potentially reducing morbidity and mortality </w:t>
      </w:r>
      <w:r w:rsidR="00551829" w:rsidRPr="003E11DB">
        <w:rPr>
          <w:rFonts w:ascii="Arial" w:eastAsia="Calibri" w:hAnsi="Arial" w:cs="Arial"/>
        </w:rPr>
        <w:t>in critically ill</w:t>
      </w:r>
      <w:r w:rsidR="00CE2A69" w:rsidRPr="003E11DB">
        <w:rPr>
          <w:rFonts w:ascii="Arial" w:eastAsia="Calibri" w:hAnsi="Arial" w:cs="Arial"/>
        </w:rPr>
        <w:t xml:space="preserve"> hospitalized</w:t>
      </w:r>
      <w:r w:rsidR="00551829" w:rsidRPr="003E11DB">
        <w:rPr>
          <w:rFonts w:ascii="Arial" w:eastAsia="Calibri" w:hAnsi="Arial" w:cs="Arial"/>
        </w:rPr>
        <w:t xml:space="preserve"> children with</w:t>
      </w:r>
      <w:r w:rsidR="00CE2A69" w:rsidRPr="003E11DB">
        <w:rPr>
          <w:rFonts w:ascii="Arial" w:eastAsia="Calibri" w:hAnsi="Arial" w:cs="Arial"/>
        </w:rPr>
        <w:t xml:space="preserve"> and without</w:t>
      </w:r>
      <w:r w:rsidR="00551829" w:rsidRPr="003E11DB">
        <w:rPr>
          <w:rFonts w:ascii="Arial" w:eastAsia="Calibri" w:hAnsi="Arial" w:cs="Arial"/>
        </w:rPr>
        <w:t xml:space="preserve"> </w:t>
      </w:r>
      <w:r w:rsidRPr="003E11DB">
        <w:rPr>
          <w:rFonts w:ascii="Arial" w:eastAsia="Calibri" w:hAnsi="Arial" w:cs="Arial"/>
        </w:rPr>
        <w:t xml:space="preserve">acute pancreatitis. </w:t>
      </w:r>
      <w:r w:rsidR="00650FDF" w:rsidRPr="003E11DB">
        <w:rPr>
          <w:rFonts w:ascii="Arial" w:eastAsia="Calibri" w:hAnsi="Arial" w:cs="Arial"/>
        </w:rPr>
        <w:t xml:space="preserve">An algorithm to categorize severity of </w:t>
      </w:r>
      <w:r w:rsidR="00551829" w:rsidRPr="003E11DB">
        <w:rPr>
          <w:rFonts w:ascii="Arial" w:eastAsia="Calibri" w:hAnsi="Arial" w:cs="Arial"/>
        </w:rPr>
        <w:t>illness</w:t>
      </w:r>
      <w:r w:rsidR="00650FDF" w:rsidRPr="003E11DB">
        <w:rPr>
          <w:rFonts w:ascii="Arial" w:eastAsia="Calibri" w:hAnsi="Arial" w:cs="Arial"/>
        </w:rPr>
        <w:t xml:space="preserve">, the presence of </w:t>
      </w:r>
      <w:r w:rsidR="00551829" w:rsidRPr="003E11DB">
        <w:rPr>
          <w:rFonts w:ascii="Arial" w:eastAsia="Calibri" w:hAnsi="Arial" w:cs="Arial"/>
        </w:rPr>
        <w:t xml:space="preserve">pancreatitis and/or </w:t>
      </w:r>
      <w:r w:rsidR="00650FDF" w:rsidRPr="003E11DB">
        <w:rPr>
          <w:rFonts w:ascii="Arial" w:eastAsia="Calibri" w:hAnsi="Arial" w:cs="Arial"/>
        </w:rPr>
        <w:t xml:space="preserve">organ dysfunction, and </w:t>
      </w:r>
      <w:r w:rsidR="008720B6" w:rsidRPr="003E11DB">
        <w:rPr>
          <w:rFonts w:ascii="Arial" w:eastAsia="Calibri" w:hAnsi="Arial" w:cs="Arial"/>
        </w:rPr>
        <w:t>l</w:t>
      </w:r>
      <w:r w:rsidR="00650FDF" w:rsidRPr="003E11DB">
        <w:rPr>
          <w:rFonts w:ascii="Arial" w:eastAsia="Calibri" w:hAnsi="Arial" w:cs="Arial"/>
        </w:rPr>
        <w:t xml:space="preserve">ocal pancreatic or systemic complications or exacerbations of prior co-morbid disease can </w:t>
      </w:r>
      <w:r w:rsidRPr="003E11DB">
        <w:rPr>
          <w:rFonts w:ascii="Arial" w:eastAsia="Calibri" w:hAnsi="Arial" w:cs="Arial"/>
        </w:rPr>
        <w:t xml:space="preserve">assist clinical decision-making in </w:t>
      </w:r>
      <w:r w:rsidR="00650FDF" w:rsidRPr="003E11DB">
        <w:rPr>
          <w:rFonts w:ascii="Arial" w:eastAsia="Calibri" w:hAnsi="Arial" w:cs="Arial"/>
        </w:rPr>
        <w:t xml:space="preserve">helping to </w:t>
      </w:r>
      <w:r w:rsidR="005266FA" w:rsidRPr="003E11DB">
        <w:rPr>
          <w:rFonts w:ascii="Arial" w:eastAsia="Calibri" w:hAnsi="Arial" w:cs="Arial"/>
        </w:rPr>
        <w:t>determin</w:t>
      </w:r>
      <w:r w:rsidR="00650FDF" w:rsidRPr="003E11DB">
        <w:rPr>
          <w:rFonts w:ascii="Arial" w:eastAsia="Calibri" w:hAnsi="Arial" w:cs="Arial"/>
        </w:rPr>
        <w:t>e</w:t>
      </w:r>
      <w:r w:rsidR="005266FA" w:rsidRPr="003E11DB">
        <w:rPr>
          <w:rFonts w:ascii="Arial" w:eastAsia="Calibri" w:hAnsi="Arial" w:cs="Arial"/>
        </w:rPr>
        <w:t xml:space="preserve"> appropriate candidates for aggressive TG-lowering therapy.</w:t>
      </w:r>
      <w:r w:rsidRPr="003E11DB">
        <w:rPr>
          <w:rFonts w:ascii="Arial" w:eastAsia="Calibri" w:hAnsi="Arial" w:cs="Arial"/>
        </w:rPr>
        <w:t xml:space="preserve">  </w:t>
      </w:r>
    </w:p>
    <w:p w14:paraId="01B1F08D" w14:textId="77777777" w:rsidR="00A26CA3" w:rsidRPr="003E11DB" w:rsidRDefault="00A26CA3" w:rsidP="00145D27">
      <w:pPr>
        <w:spacing w:after="0" w:line="276" w:lineRule="auto"/>
        <w:contextualSpacing/>
        <w:rPr>
          <w:rFonts w:ascii="Arial" w:eastAsia="Calibri" w:hAnsi="Arial" w:cs="Arial"/>
        </w:rPr>
      </w:pPr>
    </w:p>
    <w:p w14:paraId="263CDDB0" w14:textId="77777777" w:rsidR="001F0B5E" w:rsidRPr="003E11DB" w:rsidRDefault="00B43304" w:rsidP="00145D27">
      <w:pPr>
        <w:pStyle w:val="Heading2"/>
        <w:spacing w:before="0" w:line="276" w:lineRule="auto"/>
        <w:contextualSpacing/>
        <w:rPr>
          <w:rFonts w:eastAsia="Calibri"/>
        </w:rPr>
      </w:pPr>
      <w:r w:rsidRPr="003E11DB">
        <w:rPr>
          <w:rFonts w:eastAsia="Calibri"/>
        </w:rPr>
        <w:t>A</w:t>
      </w:r>
      <w:r w:rsidR="001F0B5E" w:rsidRPr="003E11DB">
        <w:rPr>
          <w:rFonts w:eastAsia="Calibri"/>
        </w:rPr>
        <w:t xml:space="preserve">CKNOWLEDGEMENT </w:t>
      </w:r>
    </w:p>
    <w:p w14:paraId="210F9245" w14:textId="77777777" w:rsidR="001F0B5E" w:rsidRPr="003E11DB" w:rsidRDefault="001F0B5E" w:rsidP="00145D27">
      <w:pPr>
        <w:spacing w:after="0" w:line="276" w:lineRule="auto"/>
        <w:contextualSpacing/>
        <w:rPr>
          <w:rFonts w:ascii="Arial" w:eastAsia="Calibri" w:hAnsi="Arial" w:cs="Arial"/>
          <w:b/>
        </w:rPr>
      </w:pPr>
    </w:p>
    <w:p w14:paraId="57569F03" w14:textId="08117704" w:rsidR="00B43304" w:rsidRPr="003E11DB" w:rsidRDefault="00B43304" w:rsidP="00145D27">
      <w:pPr>
        <w:spacing w:after="0" w:line="276" w:lineRule="auto"/>
        <w:contextualSpacing/>
        <w:rPr>
          <w:rFonts w:ascii="Arial" w:eastAsia="Calibri" w:hAnsi="Arial" w:cs="Arial"/>
        </w:rPr>
      </w:pPr>
      <w:r w:rsidRPr="003E11DB">
        <w:rPr>
          <w:rFonts w:ascii="Arial" w:eastAsia="Calibri" w:hAnsi="Arial" w:cs="Arial"/>
        </w:rPr>
        <w:t>The authors would like to acknowledge Suzanne Beckett, Dena Hanson, and Ashley Brock for their assistance in preparing and editing this manuscript.</w:t>
      </w:r>
    </w:p>
    <w:p w14:paraId="3514460A" w14:textId="13D5607D" w:rsidR="00DF237C" w:rsidRPr="003E11DB" w:rsidRDefault="00DF237C" w:rsidP="0005546E">
      <w:pPr>
        <w:spacing w:after="0" w:line="276" w:lineRule="auto"/>
        <w:rPr>
          <w:rFonts w:ascii="Arial" w:eastAsia="Calibri" w:hAnsi="Arial" w:cs="Arial"/>
          <w:color w:val="000000" w:themeColor="text1"/>
        </w:rPr>
      </w:pPr>
    </w:p>
    <w:p w14:paraId="306C26B4" w14:textId="10A4B19F" w:rsidR="004667F7" w:rsidRPr="004667F7" w:rsidRDefault="00046284" w:rsidP="004667F7">
      <w:pPr>
        <w:pStyle w:val="Heading2"/>
        <w:rPr>
          <w:rFonts w:eastAsia="Calibri"/>
        </w:rPr>
      </w:pPr>
      <w:r w:rsidRPr="003E11DB">
        <w:rPr>
          <w:rFonts w:eastAsia="Calibri"/>
        </w:rPr>
        <w:t>R</w:t>
      </w:r>
      <w:r w:rsidR="001F0B5E" w:rsidRPr="003E11DB">
        <w:rPr>
          <w:rFonts w:eastAsia="Calibri"/>
        </w:rPr>
        <w:t xml:space="preserve">EFERENCES </w:t>
      </w:r>
    </w:p>
    <w:bookmarkEnd w:id="2"/>
    <w:p w14:paraId="4015A1E8" w14:textId="77777777" w:rsidR="004667F7" w:rsidRPr="004667F7" w:rsidRDefault="004667F7" w:rsidP="004667F7">
      <w:pPr>
        <w:spacing w:after="0"/>
        <w:rPr>
          <w:rFonts w:ascii="Arial" w:eastAsia="Times New Roman" w:hAnsi="Arial" w:cs="Arial"/>
        </w:rPr>
      </w:pPr>
    </w:p>
    <w:p w14:paraId="4D5874D8" w14:textId="3B5A1514" w:rsidR="00797EBD" w:rsidRPr="00797EBD" w:rsidRDefault="00797EBD" w:rsidP="00797EBD">
      <w:pPr>
        <w:pStyle w:val="ListParagraph"/>
        <w:numPr>
          <w:ilvl w:val="0"/>
          <w:numId w:val="11"/>
        </w:numPr>
        <w:spacing w:after="0"/>
        <w:ind w:left="360"/>
        <w:rPr>
          <w:rFonts w:ascii="Arial" w:eastAsia="Times New Roman" w:hAnsi="Arial" w:cs="Arial"/>
        </w:rPr>
      </w:pPr>
      <w:bookmarkStart w:id="3" w:name="_Hlk137752477"/>
      <w:r w:rsidRPr="00797EBD">
        <w:rPr>
          <w:rFonts w:ascii="Arial" w:eastAsia="Times New Roman" w:hAnsi="Arial" w:cs="Arial"/>
        </w:rPr>
        <w:t>Expert Panel on Integrated Guidelines for Cardiovascular Health and Risk Reduction in Children and Adolescents, National Heart, Lung, and Blood Institute. Expert panel on integrated guidelines for cardiovascular health and risk reduction in children and adolescents: Summary report. Pediatrics. 2011;128(Suppl 5):213-256.</w:t>
      </w:r>
    </w:p>
    <w:p w14:paraId="3C3200CC" w14:textId="1FD19B69" w:rsidR="00082FC1" w:rsidRDefault="00082FC1" w:rsidP="00797EBD">
      <w:pPr>
        <w:pStyle w:val="ListParagraph"/>
        <w:numPr>
          <w:ilvl w:val="0"/>
          <w:numId w:val="11"/>
        </w:numPr>
        <w:spacing w:after="0"/>
        <w:ind w:left="360"/>
        <w:rPr>
          <w:rFonts w:ascii="Arial" w:eastAsia="Times New Roman" w:hAnsi="Arial" w:cs="Arial"/>
        </w:rPr>
      </w:pPr>
      <w:r w:rsidRPr="004667F7">
        <w:rPr>
          <w:rFonts w:ascii="Arial" w:eastAsia="Times New Roman" w:hAnsi="Arial" w:cs="Arial"/>
        </w:rPr>
        <w:t>Shah AS, Wilson DP</w:t>
      </w:r>
      <w:r>
        <w:rPr>
          <w:rFonts w:ascii="Arial" w:eastAsia="Times New Roman" w:hAnsi="Arial" w:cs="Arial"/>
        </w:rPr>
        <w:t>.</w:t>
      </w:r>
      <w:r w:rsidRPr="004667F7">
        <w:rPr>
          <w:rFonts w:ascii="Arial" w:eastAsia="Times New Roman" w:hAnsi="Arial" w:cs="Arial"/>
        </w:rPr>
        <w:t xml:space="preserve"> Genetic disorders causing hypertriglyceridemia in children and adolescents. </w:t>
      </w:r>
      <w:r>
        <w:rPr>
          <w:rFonts w:ascii="Arial" w:eastAsia="Times New Roman" w:hAnsi="Arial" w:cs="Arial"/>
        </w:rPr>
        <w:t>2023 Feb 22.</w:t>
      </w:r>
      <w:r w:rsidRPr="004667F7">
        <w:rPr>
          <w:rFonts w:ascii="Arial" w:eastAsia="Times New Roman" w:hAnsi="Arial" w:cs="Arial"/>
        </w:rPr>
        <w:t xml:space="preserve"> In: Feingold KR, Anawalt B, Blackman MR, Boyce A, </w:t>
      </w:r>
      <w:proofErr w:type="spellStart"/>
      <w:r w:rsidRPr="004667F7">
        <w:rPr>
          <w:rFonts w:ascii="Arial" w:eastAsia="Times New Roman" w:hAnsi="Arial" w:cs="Arial"/>
        </w:rPr>
        <w:t>Chrousos</w:t>
      </w:r>
      <w:proofErr w:type="spellEnd"/>
      <w:r w:rsidRPr="004667F7">
        <w:rPr>
          <w:rFonts w:ascii="Arial" w:eastAsia="Times New Roman" w:hAnsi="Arial" w:cs="Arial"/>
        </w:rPr>
        <w:t xml:space="preserve"> G, Corpas E, de Herder WW, </w:t>
      </w:r>
      <w:proofErr w:type="spellStart"/>
      <w:r w:rsidRPr="004667F7">
        <w:rPr>
          <w:rFonts w:ascii="Arial" w:eastAsia="Times New Roman" w:hAnsi="Arial" w:cs="Arial"/>
        </w:rPr>
        <w:t>Dhatariya</w:t>
      </w:r>
      <w:proofErr w:type="spellEnd"/>
      <w:r w:rsidRPr="004667F7">
        <w:rPr>
          <w:rFonts w:ascii="Arial" w:eastAsia="Times New Roman" w:hAnsi="Arial" w:cs="Arial"/>
        </w:rPr>
        <w:t xml:space="preserve"> K, Dungan K, Hofland J, Kalra S, Kaltsas G, Kapoor N, Koch C, Kopp P, </w:t>
      </w:r>
      <w:proofErr w:type="spellStart"/>
      <w:r w:rsidRPr="004667F7">
        <w:rPr>
          <w:rFonts w:ascii="Arial" w:eastAsia="Times New Roman" w:hAnsi="Arial" w:cs="Arial"/>
        </w:rPr>
        <w:t>Korbonits</w:t>
      </w:r>
      <w:proofErr w:type="spellEnd"/>
      <w:r w:rsidRPr="004667F7">
        <w:rPr>
          <w:rFonts w:ascii="Arial" w:eastAsia="Times New Roman" w:hAnsi="Arial" w:cs="Arial"/>
        </w:rPr>
        <w:t xml:space="preserve"> M, Kovacs CS, </w:t>
      </w:r>
      <w:proofErr w:type="spellStart"/>
      <w:r w:rsidRPr="004667F7">
        <w:rPr>
          <w:rFonts w:ascii="Arial" w:eastAsia="Times New Roman" w:hAnsi="Arial" w:cs="Arial"/>
        </w:rPr>
        <w:t>Kuohung</w:t>
      </w:r>
      <w:proofErr w:type="spellEnd"/>
      <w:r w:rsidRPr="004667F7">
        <w:rPr>
          <w:rFonts w:ascii="Arial" w:eastAsia="Times New Roman" w:hAnsi="Arial" w:cs="Arial"/>
        </w:rPr>
        <w:t xml:space="preserve"> W, </w:t>
      </w:r>
      <w:proofErr w:type="spellStart"/>
      <w:r w:rsidRPr="004667F7">
        <w:rPr>
          <w:rFonts w:ascii="Arial" w:eastAsia="Times New Roman" w:hAnsi="Arial" w:cs="Arial"/>
        </w:rPr>
        <w:t>Laferrère</w:t>
      </w:r>
      <w:proofErr w:type="spellEnd"/>
      <w:r w:rsidRPr="004667F7">
        <w:rPr>
          <w:rFonts w:ascii="Arial" w:eastAsia="Times New Roman" w:hAnsi="Arial" w:cs="Arial"/>
        </w:rPr>
        <w:t xml:space="preserve"> B, Levy M, McGee EA, </w:t>
      </w:r>
      <w:r w:rsidRPr="004667F7">
        <w:rPr>
          <w:rFonts w:ascii="Arial" w:eastAsia="Times New Roman" w:hAnsi="Arial" w:cs="Arial"/>
        </w:rPr>
        <w:lastRenderedPageBreak/>
        <w:t>McLachlan R, New M, Purnell J, Sahay R, Shah AS, Singer F, Sperling MA, Stratakis CA, Trence DL, Wilson DP, ed</w:t>
      </w:r>
      <w:r>
        <w:rPr>
          <w:rFonts w:ascii="Arial" w:eastAsia="Times New Roman" w:hAnsi="Arial" w:cs="Arial"/>
        </w:rPr>
        <w:t>itor</w:t>
      </w:r>
      <w:r w:rsidRPr="004667F7">
        <w:rPr>
          <w:rFonts w:ascii="Arial" w:eastAsia="Times New Roman" w:hAnsi="Arial" w:cs="Arial"/>
        </w:rPr>
        <w:t>s. Endotext</w:t>
      </w:r>
      <w:r>
        <w:rPr>
          <w:rFonts w:ascii="Arial" w:eastAsia="Times New Roman" w:hAnsi="Arial" w:cs="Arial"/>
        </w:rPr>
        <w:t xml:space="preserve"> [Internet]</w:t>
      </w:r>
      <w:r w:rsidRPr="004667F7">
        <w:rPr>
          <w:rFonts w:ascii="Arial" w:eastAsia="Times New Roman" w:hAnsi="Arial" w:cs="Arial"/>
        </w:rPr>
        <w:t>. South Dartmouth (MA): MDText.com, Inc</w:t>
      </w:r>
    </w:p>
    <w:p w14:paraId="20B240ED" w14:textId="472C7966" w:rsidR="009A7053" w:rsidRPr="002E790D" w:rsidRDefault="007E3C1B" w:rsidP="00341C03">
      <w:pPr>
        <w:pStyle w:val="ListParagraph"/>
        <w:numPr>
          <w:ilvl w:val="0"/>
          <w:numId w:val="11"/>
        </w:numPr>
        <w:spacing w:after="0"/>
        <w:ind w:left="360"/>
        <w:rPr>
          <w:rFonts w:ascii="Arial" w:eastAsia="Times New Roman" w:hAnsi="Arial" w:cs="Arial"/>
        </w:rPr>
      </w:pPr>
      <w:proofErr w:type="spellStart"/>
      <w:r w:rsidRPr="002E790D">
        <w:rPr>
          <w:rFonts w:ascii="Arial" w:eastAsia="Times New Roman" w:hAnsi="Arial" w:cs="Arial"/>
        </w:rPr>
        <w:t>Benuck</w:t>
      </w:r>
      <w:proofErr w:type="spellEnd"/>
      <w:r w:rsidRPr="002E790D">
        <w:rPr>
          <w:rFonts w:ascii="Arial" w:eastAsia="Times New Roman" w:hAnsi="Arial" w:cs="Arial"/>
        </w:rPr>
        <w:t xml:space="preserve"> I, Wilson DP, McNeal C. Secondary hypertriglyceridemia. </w:t>
      </w:r>
      <w:r w:rsidR="00F5376C" w:rsidRPr="002E790D">
        <w:rPr>
          <w:rFonts w:ascii="Arial" w:eastAsia="Times New Roman" w:hAnsi="Arial" w:cs="Arial"/>
        </w:rPr>
        <w:t xml:space="preserve">2023 May 2. </w:t>
      </w:r>
      <w:r w:rsidRPr="002E790D">
        <w:rPr>
          <w:rFonts w:ascii="Arial" w:eastAsia="Times New Roman" w:hAnsi="Arial" w:cs="Arial"/>
        </w:rPr>
        <w:t xml:space="preserve">In: Feingold KR, Anawalt B, Blackman MR, Boyce A, </w:t>
      </w:r>
      <w:proofErr w:type="spellStart"/>
      <w:r w:rsidRPr="002E790D">
        <w:rPr>
          <w:rFonts w:ascii="Arial" w:eastAsia="Times New Roman" w:hAnsi="Arial" w:cs="Arial"/>
        </w:rPr>
        <w:t>Chrousos</w:t>
      </w:r>
      <w:proofErr w:type="spellEnd"/>
      <w:r w:rsidRPr="002E790D">
        <w:rPr>
          <w:rFonts w:ascii="Arial" w:eastAsia="Times New Roman" w:hAnsi="Arial" w:cs="Arial"/>
        </w:rPr>
        <w:t xml:space="preserve"> G, Corpas E, de Herder WW, </w:t>
      </w:r>
      <w:proofErr w:type="spellStart"/>
      <w:r w:rsidRPr="002E790D">
        <w:rPr>
          <w:rFonts w:ascii="Arial" w:eastAsia="Times New Roman" w:hAnsi="Arial" w:cs="Arial"/>
        </w:rPr>
        <w:t>Dhatariya</w:t>
      </w:r>
      <w:proofErr w:type="spellEnd"/>
      <w:r w:rsidRPr="002E790D">
        <w:rPr>
          <w:rFonts w:ascii="Arial" w:eastAsia="Times New Roman" w:hAnsi="Arial" w:cs="Arial"/>
        </w:rPr>
        <w:t xml:space="preserve"> K, Dungan K, Hofland J, Kalra S, Kaltsas G, Kapoor N, Koch C, Kopp P, </w:t>
      </w:r>
      <w:proofErr w:type="spellStart"/>
      <w:r w:rsidRPr="002E790D">
        <w:rPr>
          <w:rFonts w:ascii="Arial" w:eastAsia="Times New Roman" w:hAnsi="Arial" w:cs="Arial"/>
        </w:rPr>
        <w:t>Korbonits</w:t>
      </w:r>
      <w:proofErr w:type="spellEnd"/>
      <w:r w:rsidRPr="002E790D">
        <w:rPr>
          <w:rFonts w:ascii="Arial" w:eastAsia="Times New Roman" w:hAnsi="Arial" w:cs="Arial"/>
        </w:rPr>
        <w:t xml:space="preserve"> M, Kovacs CS, </w:t>
      </w:r>
      <w:proofErr w:type="spellStart"/>
      <w:r w:rsidRPr="002E790D">
        <w:rPr>
          <w:rFonts w:ascii="Arial" w:eastAsia="Times New Roman" w:hAnsi="Arial" w:cs="Arial"/>
        </w:rPr>
        <w:t>Kuohung</w:t>
      </w:r>
      <w:proofErr w:type="spellEnd"/>
      <w:r w:rsidRPr="002E790D">
        <w:rPr>
          <w:rFonts w:ascii="Arial" w:eastAsia="Times New Roman" w:hAnsi="Arial" w:cs="Arial"/>
        </w:rPr>
        <w:t xml:space="preserve"> W, </w:t>
      </w:r>
      <w:proofErr w:type="spellStart"/>
      <w:r w:rsidRPr="002E790D">
        <w:rPr>
          <w:rFonts w:ascii="Arial" w:eastAsia="Times New Roman" w:hAnsi="Arial" w:cs="Arial"/>
        </w:rPr>
        <w:t>Laferrère</w:t>
      </w:r>
      <w:proofErr w:type="spellEnd"/>
      <w:r w:rsidRPr="002E790D">
        <w:rPr>
          <w:rFonts w:ascii="Arial" w:eastAsia="Times New Roman" w:hAnsi="Arial" w:cs="Arial"/>
        </w:rPr>
        <w:t xml:space="preserve"> B, Levy M, McGee EA, McLachlan R, New M, Purnell J, Sahay R, Shah AS, Singer F, Sperling MA, Stratakis CA, Trence DL, Wilson DP, editors. Endotext [Internet]. South Dartmouth (MA): MDText.com, Inc</w:t>
      </w:r>
    </w:p>
    <w:p w14:paraId="742928E5" w14:textId="6447D6F9" w:rsidR="007E3C1B" w:rsidRPr="002E790D" w:rsidRDefault="009A7053" w:rsidP="00796DA8">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Kavey RW. Combined dyslipidemia in children and adolescents. 2023 May 10. In: Feingold KR, Anawalt B, Blackman MR, Boyce A, </w:t>
      </w:r>
      <w:proofErr w:type="spellStart"/>
      <w:r w:rsidRPr="002E790D">
        <w:rPr>
          <w:rFonts w:ascii="Arial" w:eastAsia="Times New Roman" w:hAnsi="Arial" w:cs="Arial"/>
        </w:rPr>
        <w:t>Chrousos</w:t>
      </w:r>
      <w:proofErr w:type="spellEnd"/>
      <w:r w:rsidRPr="002E790D">
        <w:rPr>
          <w:rFonts w:ascii="Arial" w:eastAsia="Times New Roman" w:hAnsi="Arial" w:cs="Arial"/>
        </w:rPr>
        <w:t xml:space="preserve"> G, Corpas E, de Herder WW, </w:t>
      </w:r>
      <w:proofErr w:type="spellStart"/>
      <w:r w:rsidRPr="002E790D">
        <w:rPr>
          <w:rFonts w:ascii="Arial" w:eastAsia="Times New Roman" w:hAnsi="Arial" w:cs="Arial"/>
        </w:rPr>
        <w:t>Dhatariya</w:t>
      </w:r>
      <w:proofErr w:type="spellEnd"/>
      <w:r w:rsidRPr="002E790D">
        <w:rPr>
          <w:rFonts w:ascii="Arial" w:eastAsia="Times New Roman" w:hAnsi="Arial" w:cs="Arial"/>
        </w:rPr>
        <w:t xml:space="preserve"> K, Dungan K, Hofland J, Kalra S, Kaltsas G, Kapoor N, Koch C, Kopp P, </w:t>
      </w:r>
      <w:proofErr w:type="spellStart"/>
      <w:r w:rsidRPr="002E790D">
        <w:rPr>
          <w:rFonts w:ascii="Arial" w:eastAsia="Times New Roman" w:hAnsi="Arial" w:cs="Arial"/>
        </w:rPr>
        <w:t>Korbonits</w:t>
      </w:r>
      <w:proofErr w:type="spellEnd"/>
      <w:r w:rsidRPr="002E790D">
        <w:rPr>
          <w:rFonts w:ascii="Arial" w:eastAsia="Times New Roman" w:hAnsi="Arial" w:cs="Arial"/>
        </w:rPr>
        <w:t xml:space="preserve"> M, Kovacs CS, </w:t>
      </w:r>
      <w:proofErr w:type="spellStart"/>
      <w:r w:rsidRPr="002E790D">
        <w:rPr>
          <w:rFonts w:ascii="Arial" w:eastAsia="Times New Roman" w:hAnsi="Arial" w:cs="Arial"/>
        </w:rPr>
        <w:t>Kuohung</w:t>
      </w:r>
      <w:proofErr w:type="spellEnd"/>
      <w:r w:rsidRPr="002E790D">
        <w:rPr>
          <w:rFonts w:ascii="Arial" w:eastAsia="Times New Roman" w:hAnsi="Arial" w:cs="Arial"/>
        </w:rPr>
        <w:t xml:space="preserve"> W, </w:t>
      </w:r>
      <w:proofErr w:type="spellStart"/>
      <w:r w:rsidRPr="002E790D">
        <w:rPr>
          <w:rFonts w:ascii="Arial" w:eastAsia="Times New Roman" w:hAnsi="Arial" w:cs="Arial"/>
        </w:rPr>
        <w:t>Laferrère</w:t>
      </w:r>
      <w:proofErr w:type="spellEnd"/>
      <w:r w:rsidRPr="002E790D">
        <w:rPr>
          <w:rFonts w:ascii="Arial" w:eastAsia="Times New Roman" w:hAnsi="Arial" w:cs="Arial"/>
        </w:rPr>
        <w:t xml:space="preserve"> B, Levy M, McGee EA, McLachlan R, New M, Purnell J, Sahay R, Shah AS, Singer F, Sperling MA, Stratakis CA, Trence DL, Wilson DP, editors. Endotext [Internet]. South Dartmouth (MA): MDText.com, Inc</w:t>
      </w:r>
    </w:p>
    <w:p w14:paraId="3D9E860A" w14:textId="6254A77B" w:rsidR="00EB6305" w:rsidRPr="002E790D" w:rsidRDefault="00EB6305" w:rsidP="001C18F6">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Williams LA, Wilson DP. Nutritional management of pediatric dyslipidemia. 2023 Apr 30. In: Feingold KR, Anawalt B, Blackman MR, Boyce A, </w:t>
      </w:r>
      <w:proofErr w:type="spellStart"/>
      <w:r w:rsidRPr="002E790D">
        <w:rPr>
          <w:rFonts w:ascii="Arial" w:eastAsia="Times New Roman" w:hAnsi="Arial" w:cs="Arial"/>
        </w:rPr>
        <w:t>Chrousos</w:t>
      </w:r>
      <w:proofErr w:type="spellEnd"/>
      <w:r w:rsidRPr="002E790D">
        <w:rPr>
          <w:rFonts w:ascii="Arial" w:eastAsia="Times New Roman" w:hAnsi="Arial" w:cs="Arial"/>
        </w:rPr>
        <w:t xml:space="preserve"> G, Corpas E, de Herder WW, </w:t>
      </w:r>
      <w:proofErr w:type="spellStart"/>
      <w:r w:rsidRPr="002E790D">
        <w:rPr>
          <w:rFonts w:ascii="Arial" w:eastAsia="Times New Roman" w:hAnsi="Arial" w:cs="Arial"/>
        </w:rPr>
        <w:t>Dhatariya</w:t>
      </w:r>
      <w:proofErr w:type="spellEnd"/>
      <w:r w:rsidRPr="002E790D">
        <w:rPr>
          <w:rFonts w:ascii="Arial" w:eastAsia="Times New Roman" w:hAnsi="Arial" w:cs="Arial"/>
        </w:rPr>
        <w:t xml:space="preserve"> K, Dungan K, Hofland J, Kalra S, Kaltsas G, Kapoor N, Koch C, Kopp P, </w:t>
      </w:r>
      <w:proofErr w:type="spellStart"/>
      <w:r w:rsidRPr="002E790D">
        <w:rPr>
          <w:rFonts w:ascii="Arial" w:eastAsia="Times New Roman" w:hAnsi="Arial" w:cs="Arial"/>
        </w:rPr>
        <w:t>Korbonits</w:t>
      </w:r>
      <w:proofErr w:type="spellEnd"/>
      <w:r w:rsidRPr="002E790D">
        <w:rPr>
          <w:rFonts w:ascii="Arial" w:eastAsia="Times New Roman" w:hAnsi="Arial" w:cs="Arial"/>
        </w:rPr>
        <w:t xml:space="preserve"> M, Kovacs CS, </w:t>
      </w:r>
      <w:proofErr w:type="spellStart"/>
      <w:r w:rsidRPr="002E790D">
        <w:rPr>
          <w:rFonts w:ascii="Arial" w:eastAsia="Times New Roman" w:hAnsi="Arial" w:cs="Arial"/>
        </w:rPr>
        <w:t>Kuohung</w:t>
      </w:r>
      <w:proofErr w:type="spellEnd"/>
      <w:r w:rsidRPr="002E790D">
        <w:rPr>
          <w:rFonts w:ascii="Arial" w:eastAsia="Times New Roman" w:hAnsi="Arial" w:cs="Arial"/>
        </w:rPr>
        <w:t xml:space="preserve"> W, </w:t>
      </w:r>
      <w:proofErr w:type="spellStart"/>
      <w:r w:rsidRPr="002E790D">
        <w:rPr>
          <w:rFonts w:ascii="Arial" w:eastAsia="Times New Roman" w:hAnsi="Arial" w:cs="Arial"/>
        </w:rPr>
        <w:t>Laferrère</w:t>
      </w:r>
      <w:proofErr w:type="spellEnd"/>
      <w:r w:rsidRPr="002E790D">
        <w:rPr>
          <w:rFonts w:ascii="Arial" w:eastAsia="Times New Roman" w:hAnsi="Arial" w:cs="Arial"/>
        </w:rPr>
        <w:t xml:space="preserve"> B, Levy M, McGee EA, McLachlan R, New M, Purnell J, Sahay R, Shah AS, Singer F, Sperling MA, Stratakis CA, Trence DL, Wilson DP, editors. Endotext [Internet]. South Dartmouth (MA): MDText.com, Inc</w:t>
      </w:r>
    </w:p>
    <w:p w14:paraId="5B3B086E" w14:textId="646660EC" w:rsidR="00E8613C" w:rsidRPr="002E790D" w:rsidRDefault="006B0543" w:rsidP="00574A76">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Patni N, Li X, Adams-Huet B, Garg A. The prevalence and etiology of extreme hypertriglyceridemia in children: Data from a tertiary children's hospital. J Clin </w:t>
      </w:r>
      <w:proofErr w:type="spellStart"/>
      <w:r w:rsidRPr="002E790D">
        <w:rPr>
          <w:rFonts w:ascii="Arial" w:eastAsia="Times New Roman" w:hAnsi="Arial" w:cs="Arial"/>
        </w:rPr>
        <w:t>Lipidol</w:t>
      </w:r>
      <w:proofErr w:type="spellEnd"/>
      <w:r w:rsidRPr="002E790D">
        <w:rPr>
          <w:rFonts w:ascii="Arial" w:eastAsia="Times New Roman" w:hAnsi="Arial" w:cs="Arial"/>
        </w:rPr>
        <w:t>. 2018; 12(2):305-310.</w:t>
      </w:r>
    </w:p>
    <w:p w14:paraId="72F8195D" w14:textId="5D34CAFF" w:rsidR="00E8613C" w:rsidRPr="002E790D" w:rsidRDefault="00E8613C" w:rsidP="00EE659B">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Perak AM, Ning H, Kit BK, de Ferranti SD, Van Horn LV, Wilkins JT, Lloyd-Jones DM. Trends in Levels of Lipids and Apolipoprotein B in US Youths Aged 6 to 19 Years, 1999-2016. JAMA. 2019;321(19):1895-1905. </w:t>
      </w:r>
    </w:p>
    <w:p w14:paraId="0D27B8B6" w14:textId="657781DA" w:rsidR="00882643" w:rsidRPr="002E790D" w:rsidRDefault="00882643" w:rsidP="006A39D7">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Zhang X, Li F, Zhen Y, Li A, Fang Y. Clinical study of 224 patients with hypertriglyceridemia pancreatitis. Chin Med J (Engl). 2015;128(15):2045-2049.</w:t>
      </w:r>
    </w:p>
    <w:p w14:paraId="61E810FC" w14:textId="236BF8B1" w:rsidR="003F41E1" w:rsidRPr="002E790D" w:rsidRDefault="003F41E1" w:rsidP="00FA138F">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Morinville VD, Lowe ME, Ahuja M, Barth B, Bellin MD, Davis H, Durie PR, Finley B, Fishman DS, Freedman SD, Gariepy CE, Giefer MJ, Gonska T, Heyman MB, Himes R, Husain S, Kumar S, Ooi CY, Pohl JF, Schwarzenberg SJ, Troendle D, Werlin SL, </w:t>
      </w:r>
      <w:proofErr w:type="spellStart"/>
      <w:r w:rsidRPr="002E790D">
        <w:rPr>
          <w:rFonts w:ascii="Arial" w:eastAsia="Times New Roman" w:hAnsi="Arial" w:cs="Arial"/>
        </w:rPr>
        <w:t>Wilschanski</w:t>
      </w:r>
      <w:proofErr w:type="spellEnd"/>
      <w:r w:rsidRPr="002E790D">
        <w:rPr>
          <w:rFonts w:ascii="Arial" w:eastAsia="Times New Roman" w:hAnsi="Arial" w:cs="Arial"/>
        </w:rPr>
        <w:t xml:space="preserve"> M, Yen E, Uc A. Design and implementation of INSPPIRE. J </w:t>
      </w:r>
      <w:proofErr w:type="spellStart"/>
      <w:r w:rsidRPr="002E790D">
        <w:rPr>
          <w:rFonts w:ascii="Arial" w:eastAsia="Times New Roman" w:hAnsi="Arial" w:cs="Arial"/>
        </w:rPr>
        <w:t>Pediatr</w:t>
      </w:r>
      <w:proofErr w:type="spellEnd"/>
      <w:r w:rsidRPr="002E790D">
        <w:rPr>
          <w:rFonts w:ascii="Arial" w:eastAsia="Times New Roman" w:hAnsi="Arial" w:cs="Arial"/>
        </w:rPr>
        <w:t xml:space="preserve"> Gastroenterol </w:t>
      </w:r>
      <w:proofErr w:type="spellStart"/>
      <w:r w:rsidRPr="002E790D">
        <w:rPr>
          <w:rFonts w:ascii="Arial" w:eastAsia="Times New Roman" w:hAnsi="Arial" w:cs="Arial"/>
        </w:rPr>
        <w:t>Nutr</w:t>
      </w:r>
      <w:proofErr w:type="spellEnd"/>
      <w:r w:rsidRPr="002E790D">
        <w:rPr>
          <w:rFonts w:ascii="Arial" w:eastAsia="Times New Roman" w:hAnsi="Arial" w:cs="Arial"/>
        </w:rPr>
        <w:t>. 2014;59(3):360-364.</w:t>
      </w:r>
    </w:p>
    <w:p w14:paraId="21578AC0" w14:textId="14655798" w:rsidR="005B19E9" w:rsidRPr="002E790D" w:rsidRDefault="005B19E9" w:rsidP="00AD3221">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Abu-El-</w:t>
      </w:r>
      <w:proofErr w:type="spellStart"/>
      <w:r w:rsidRPr="002E790D">
        <w:rPr>
          <w:rFonts w:ascii="Arial" w:eastAsia="Times New Roman" w:hAnsi="Arial" w:cs="Arial"/>
        </w:rPr>
        <w:t>Haija</w:t>
      </w:r>
      <w:proofErr w:type="spellEnd"/>
      <w:r w:rsidRPr="002E790D">
        <w:rPr>
          <w:rFonts w:ascii="Arial" w:eastAsia="Times New Roman" w:hAnsi="Arial" w:cs="Arial"/>
        </w:rPr>
        <w:t xml:space="preserve"> M, Kumar S, Szabo F, Werlin S, Conwell D, Banks P, Morinville VD, NASPGHAN Pancreas Committee. Classification of acute pancreatitis in the pediatric population: Clinical report from the NASPGHAN pancreas committee. J </w:t>
      </w:r>
      <w:proofErr w:type="spellStart"/>
      <w:r w:rsidRPr="002E790D">
        <w:rPr>
          <w:rFonts w:ascii="Arial" w:eastAsia="Times New Roman" w:hAnsi="Arial" w:cs="Arial"/>
        </w:rPr>
        <w:t>Pediatr</w:t>
      </w:r>
      <w:proofErr w:type="spellEnd"/>
      <w:r w:rsidRPr="002E790D">
        <w:rPr>
          <w:rFonts w:ascii="Arial" w:eastAsia="Times New Roman" w:hAnsi="Arial" w:cs="Arial"/>
        </w:rPr>
        <w:t xml:space="preserve"> Gastroenterol </w:t>
      </w:r>
      <w:proofErr w:type="spellStart"/>
      <w:r w:rsidRPr="002E790D">
        <w:rPr>
          <w:rFonts w:ascii="Arial" w:eastAsia="Times New Roman" w:hAnsi="Arial" w:cs="Arial"/>
        </w:rPr>
        <w:t>Nutr</w:t>
      </w:r>
      <w:proofErr w:type="spellEnd"/>
      <w:r w:rsidRPr="002E790D">
        <w:rPr>
          <w:rFonts w:ascii="Arial" w:eastAsia="Times New Roman" w:hAnsi="Arial" w:cs="Arial"/>
        </w:rPr>
        <w:t>. 2017;64(6):984-990.</w:t>
      </w:r>
    </w:p>
    <w:p w14:paraId="04E46EBB" w14:textId="30581057" w:rsidR="00640669" w:rsidRPr="002E790D" w:rsidRDefault="00640669" w:rsidP="00260CA5">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Goldstein B, Giroir B, Randolph A, International Consensus Conference on Pediatric Sepsis. International pediatric sepsis consensus conference: Definitions for sepsis and organ dysfunction in pediatrics. </w:t>
      </w:r>
      <w:proofErr w:type="spellStart"/>
      <w:r w:rsidRPr="002E790D">
        <w:rPr>
          <w:rFonts w:ascii="Arial" w:eastAsia="Times New Roman" w:hAnsi="Arial" w:cs="Arial"/>
        </w:rPr>
        <w:t>Pediatr</w:t>
      </w:r>
      <w:proofErr w:type="spellEnd"/>
      <w:r w:rsidRPr="002E790D">
        <w:rPr>
          <w:rFonts w:ascii="Arial" w:eastAsia="Times New Roman" w:hAnsi="Arial" w:cs="Arial"/>
        </w:rPr>
        <w:t xml:space="preserve"> Crit Care Med. 2005;6(1):2-8.</w:t>
      </w:r>
    </w:p>
    <w:p w14:paraId="74272C88" w14:textId="101B8DCC" w:rsidR="002523C4" w:rsidRPr="002E790D" w:rsidRDefault="004667F7" w:rsidP="0094085E">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Abu-El-</w:t>
      </w:r>
      <w:proofErr w:type="spellStart"/>
      <w:r w:rsidRPr="002E790D">
        <w:rPr>
          <w:rFonts w:ascii="Arial" w:eastAsia="Times New Roman" w:hAnsi="Arial" w:cs="Arial"/>
        </w:rPr>
        <w:t>Haija</w:t>
      </w:r>
      <w:proofErr w:type="spellEnd"/>
      <w:r w:rsidRPr="002E790D">
        <w:rPr>
          <w:rFonts w:ascii="Arial" w:eastAsia="Times New Roman" w:hAnsi="Arial" w:cs="Arial"/>
        </w:rPr>
        <w:t xml:space="preserve"> M, Kumar S, Quiros JA, Balakrishnan K, Barth B, Bitton S, </w:t>
      </w:r>
      <w:proofErr w:type="spellStart"/>
      <w:r w:rsidRPr="002E790D">
        <w:rPr>
          <w:rFonts w:ascii="Arial" w:eastAsia="Times New Roman" w:hAnsi="Arial" w:cs="Arial"/>
        </w:rPr>
        <w:t>Eisses</w:t>
      </w:r>
      <w:proofErr w:type="spellEnd"/>
      <w:r w:rsidRPr="002E790D">
        <w:rPr>
          <w:rFonts w:ascii="Arial" w:eastAsia="Times New Roman" w:hAnsi="Arial" w:cs="Arial"/>
        </w:rPr>
        <w:t xml:space="preserve"> JF, Foglio EJ, Fox V, Francis D, Freeman AJ, Gonska T, Grover AS, Husain SZ, Kumar R, </w:t>
      </w:r>
      <w:proofErr w:type="spellStart"/>
      <w:r w:rsidRPr="002E790D">
        <w:rPr>
          <w:rFonts w:ascii="Arial" w:eastAsia="Times New Roman" w:hAnsi="Arial" w:cs="Arial"/>
        </w:rPr>
        <w:t>Lapsia</w:t>
      </w:r>
      <w:proofErr w:type="spellEnd"/>
      <w:r w:rsidRPr="002E790D">
        <w:rPr>
          <w:rFonts w:ascii="Arial" w:eastAsia="Times New Roman" w:hAnsi="Arial" w:cs="Arial"/>
        </w:rPr>
        <w:t xml:space="preserve"> S, Lin T, Liu QY, Maqbool A, Sellers ZM, Szabo F, Uc A, Werlin SL, Morinville VD</w:t>
      </w:r>
      <w:r w:rsidR="00CE747F" w:rsidRPr="002E790D">
        <w:rPr>
          <w:rFonts w:ascii="Arial" w:eastAsia="Times New Roman" w:hAnsi="Arial" w:cs="Arial"/>
        </w:rPr>
        <w:t xml:space="preserve">. </w:t>
      </w:r>
      <w:r w:rsidRPr="002E790D">
        <w:rPr>
          <w:rFonts w:ascii="Arial" w:eastAsia="Times New Roman" w:hAnsi="Arial" w:cs="Arial"/>
        </w:rPr>
        <w:t>Management of acute pancreatitis in the pediatric populati</w:t>
      </w:r>
      <w:r w:rsidR="00CE747F" w:rsidRPr="002E790D">
        <w:rPr>
          <w:rFonts w:ascii="Arial" w:eastAsia="Times New Roman" w:hAnsi="Arial" w:cs="Arial"/>
        </w:rPr>
        <w:t xml:space="preserve">on: A clinical report from the North </w:t>
      </w:r>
      <w:r w:rsidR="00CE747F" w:rsidRPr="002E790D">
        <w:rPr>
          <w:rFonts w:ascii="Arial" w:eastAsia="Times New Roman" w:hAnsi="Arial" w:cs="Arial"/>
        </w:rPr>
        <w:lastRenderedPageBreak/>
        <w:t>American Society for Pediatric Gastroenterology, Hepatology and Nutrition Pancreas C</w:t>
      </w:r>
      <w:r w:rsidRPr="002E790D">
        <w:rPr>
          <w:rFonts w:ascii="Arial" w:eastAsia="Times New Roman" w:hAnsi="Arial" w:cs="Arial"/>
        </w:rPr>
        <w:t xml:space="preserve">ommittee. J </w:t>
      </w:r>
      <w:proofErr w:type="spellStart"/>
      <w:r w:rsidRPr="002E790D">
        <w:rPr>
          <w:rFonts w:ascii="Arial" w:eastAsia="Times New Roman" w:hAnsi="Arial" w:cs="Arial"/>
        </w:rPr>
        <w:t>Pediatr</w:t>
      </w:r>
      <w:proofErr w:type="spellEnd"/>
      <w:r w:rsidRPr="002E790D">
        <w:rPr>
          <w:rFonts w:ascii="Arial" w:eastAsia="Times New Roman" w:hAnsi="Arial" w:cs="Arial"/>
        </w:rPr>
        <w:t xml:space="preserve"> Gastroenterol </w:t>
      </w:r>
      <w:proofErr w:type="spellStart"/>
      <w:r w:rsidRPr="002E790D">
        <w:rPr>
          <w:rFonts w:ascii="Arial" w:eastAsia="Times New Roman" w:hAnsi="Arial" w:cs="Arial"/>
        </w:rPr>
        <w:t>Nutr</w:t>
      </w:r>
      <w:proofErr w:type="spellEnd"/>
      <w:r w:rsidR="00CE747F" w:rsidRPr="002E790D">
        <w:rPr>
          <w:rFonts w:ascii="Arial" w:eastAsia="Times New Roman" w:hAnsi="Arial" w:cs="Arial"/>
        </w:rPr>
        <w:t>. 2018;</w:t>
      </w:r>
      <w:r w:rsidRPr="002E790D">
        <w:rPr>
          <w:rFonts w:ascii="Arial" w:eastAsia="Times New Roman" w:hAnsi="Arial" w:cs="Arial"/>
        </w:rPr>
        <w:t>66(1):159-176</w:t>
      </w:r>
      <w:r w:rsidR="00EB68A3" w:rsidRPr="002E790D">
        <w:rPr>
          <w:rFonts w:ascii="Arial" w:eastAsia="Times New Roman" w:hAnsi="Arial" w:cs="Arial"/>
        </w:rPr>
        <w:t>.</w:t>
      </w:r>
    </w:p>
    <w:p w14:paraId="17EB54D0" w14:textId="7AF2BA90" w:rsidR="0030564A" w:rsidRPr="002E790D" w:rsidRDefault="002523C4" w:rsidP="008A1411">
      <w:pPr>
        <w:pStyle w:val="ListParagraph"/>
        <w:numPr>
          <w:ilvl w:val="0"/>
          <w:numId w:val="11"/>
        </w:numPr>
        <w:spacing w:after="0"/>
        <w:ind w:left="360"/>
        <w:rPr>
          <w:rFonts w:ascii="Arial" w:eastAsia="Times New Roman" w:hAnsi="Arial" w:cs="Arial"/>
        </w:rPr>
      </w:pPr>
      <w:proofErr w:type="spellStart"/>
      <w:r w:rsidRPr="002E790D">
        <w:rPr>
          <w:rFonts w:ascii="Arial" w:eastAsia="Times New Roman" w:hAnsi="Arial" w:cs="Arial"/>
        </w:rPr>
        <w:t>Alagözlü</w:t>
      </w:r>
      <w:proofErr w:type="spellEnd"/>
      <w:r w:rsidRPr="002E790D">
        <w:rPr>
          <w:rFonts w:ascii="Arial" w:eastAsia="Times New Roman" w:hAnsi="Arial" w:cs="Arial"/>
        </w:rPr>
        <w:t xml:space="preserve"> H, </w:t>
      </w:r>
      <w:proofErr w:type="spellStart"/>
      <w:r w:rsidRPr="002E790D">
        <w:rPr>
          <w:rFonts w:ascii="Arial" w:eastAsia="Times New Roman" w:hAnsi="Arial" w:cs="Arial"/>
        </w:rPr>
        <w:t>Cindoruk</w:t>
      </w:r>
      <w:proofErr w:type="spellEnd"/>
      <w:r w:rsidRPr="002E790D">
        <w:rPr>
          <w:rFonts w:ascii="Arial" w:eastAsia="Times New Roman" w:hAnsi="Arial" w:cs="Arial"/>
        </w:rPr>
        <w:t xml:space="preserve"> M, Karakan T, Unal S. Heparin and insulin in the treatment of hypertriglyceridemia-induced severe acute pancreatitis. Dig Dis Sci. 2006;51(5):931-933.</w:t>
      </w:r>
    </w:p>
    <w:p w14:paraId="59193D37" w14:textId="481F952F" w:rsidR="006433B1" w:rsidRPr="002E790D" w:rsidRDefault="0030564A" w:rsidP="00200BC6">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Yeh J, Lee M, Chiu H. Plasmapheresis for severe lipemia: Comparison of serum-lipid clearance rates for the plasma-exchange and double-filtration variants. J Clin </w:t>
      </w:r>
      <w:proofErr w:type="spellStart"/>
      <w:r w:rsidRPr="002E790D">
        <w:rPr>
          <w:rFonts w:ascii="Arial" w:eastAsia="Times New Roman" w:hAnsi="Arial" w:cs="Arial"/>
        </w:rPr>
        <w:t>Apher</w:t>
      </w:r>
      <w:proofErr w:type="spellEnd"/>
      <w:r w:rsidRPr="002E790D">
        <w:rPr>
          <w:rFonts w:ascii="Arial" w:eastAsia="Times New Roman" w:hAnsi="Arial" w:cs="Arial"/>
        </w:rPr>
        <w:t>. 2003;18(1):32-36.</w:t>
      </w:r>
    </w:p>
    <w:p w14:paraId="6F09B365" w14:textId="57D4C798" w:rsidR="006433B1" w:rsidRPr="002E790D" w:rsidRDefault="006433B1" w:rsidP="00A6066F">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Chen J, Yeh J, Lai H, Liao C. Therapeutic plasma exchange in patients with hyperlipidemic pancreatitis. World J Gastroenterol. 2004;10(15):2272-2274.</w:t>
      </w:r>
    </w:p>
    <w:p w14:paraId="1DF55732" w14:textId="302CABF5" w:rsidR="00A0678F" w:rsidRPr="002E790D" w:rsidRDefault="006433B1" w:rsidP="00CC5736">
      <w:pPr>
        <w:pStyle w:val="ListParagraph"/>
        <w:numPr>
          <w:ilvl w:val="0"/>
          <w:numId w:val="11"/>
        </w:numPr>
        <w:spacing w:after="0"/>
        <w:ind w:left="360"/>
        <w:rPr>
          <w:rFonts w:ascii="Arial" w:eastAsia="Times New Roman" w:hAnsi="Arial" w:cs="Arial"/>
        </w:rPr>
      </w:pPr>
      <w:proofErr w:type="spellStart"/>
      <w:r w:rsidRPr="002E790D">
        <w:rPr>
          <w:rFonts w:ascii="Arial" w:eastAsia="Times New Roman" w:hAnsi="Arial" w:cs="Arial"/>
        </w:rPr>
        <w:t>Tsuang</w:t>
      </w:r>
      <w:proofErr w:type="spellEnd"/>
      <w:r w:rsidRPr="002E790D">
        <w:rPr>
          <w:rFonts w:ascii="Arial" w:eastAsia="Times New Roman" w:hAnsi="Arial" w:cs="Arial"/>
        </w:rPr>
        <w:t xml:space="preserve"> W, Navaneethan U, Ruiz L, </w:t>
      </w:r>
      <w:proofErr w:type="spellStart"/>
      <w:r w:rsidRPr="002E790D">
        <w:rPr>
          <w:rFonts w:ascii="Arial" w:eastAsia="Times New Roman" w:hAnsi="Arial" w:cs="Arial"/>
        </w:rPr>
        <w:t>Palascak</w:t>
      </w:r>
      <w:proofErr w:type="spellEnd"/>
      <w:r w:rsidRPr="002E790D">
        <w:rPr>
          <w:rFonts w:ascii="Arial" w:eastAsia="Times New Roman" w:hAnsi="Arial" w:cs="Arial"/>
        </w:rPr>
        <w:t xml:space="preserve"> JB, Gelrud A. </w:t>
      </w:r>
      <w:proofErr w:type="spellStart"/>
      <w:r w:rsidRPr="002E790D">
        <w:rPr>
          <w:rFonts w:ascii="Arial" w:eastAsia="Times New Roman" w:hAnsi="Arial" w:cs="Arial"/>
        </w:rPr>
        <w:t>Hypertriglyceridemic</w:t>
      </w:r>
      <w:proofErr w:type="spellEnd"/>
      <w:r w:rsidRPr="002E790D">
        <w:rPr>
          <w:rFonts w:ascii="Arial" w:eastAsia="Times New Roman" w:hAnsi="Arial" w:cs="Arial"/>
        </w:rPr>
        <w:t xml:space="preserve"> pancreatitis: Presentation and management. Am J Gastroenterol. 2009;104(4):984-991.</w:t>
      </w:r>
    </w:p>
    <w:p w14:paraId="5A03A4B6" w14:textId="77777777" w:rsidR="002E790D" w:rsidRDefault="004667F7" w:rsidP="00447971">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Ewald N, Kloer H</w:t>
      </w:r>
      <w:r w:rsidR="00A0678F" w:rsidRPr="002E790D">
        <w:rPr>
          <w:rFonts w:ascii="Arial" w:eastAsia="Times New Roman" w:hAnsi="Arial" w:cs="Arial"/>
        </w:rPr>
        <w:t>.</w:t>
      </w:r>
      <w:r w:rsidRPr="002E790D">
        <w:rPr>
          <w:rFonts w:ascii="Arial" w:eastAsia="Times New Roman" w:hAnsi="Arial" w:cs="Arial"/>
        </w:rPr>
        <w:t xml:space="preserve"> Treatment options for severe hypertriglyceridemia (SHTG): The role of apheresis. Clin Res </w:t>
      </w:r>
      <w:proofErr w:type="spellStart"/>
      <w:r w:rsidRPr="002E790D">
        <w:rPr>
          <w:rFonts w:ascii="Arial" w:eastAsia="Times New Roman" w:hAnsi="Arial" w:cs="Arial"/>
        </w:rPr>
        <w:t>Cardiol</w:t>
      </w:r>
      <w:proofErr w:type="spellEnd"/>
      <w:r w:rsidR="00A0678F" w:rsidRPr="002E790D">
        <w:rPr>
          <w:rFonts w:ascii="Arial" w:eastAsia="Times New Roman" w:hAnsi="Arial" w:cs="Arial"/>
        </w:rPr>
        <w:t>. 2012;</w:t>
      </w:r>
      <w:r w:rsidRPr="002E790D">
        <w:rPr>
          <w:rFonts w:ascii="Arial" w:eastAsia="Times New Roman" w:hAnsi="Arial" w:cs="Arial"/>
        </w:rPr>
        <w:t>7(Suppl 1):31-35</w:t>
      </w:r>
      <w:r w:rsidR="00A0678F" w:rsidRPr="002E790D">
        <w:rPr>
          <w:rFonts w:ascii="Arial" w:eastAsia="Times New Roman" w:hAnsi="Arial" w:cs="Arial"/>
        </w:rPr>
        <w:t>.</w:t>
      </w:r>
    </w:p>
    <w:p w14:paraId="3CABCE98" w14:textId="69760698" w:rsidR="00A0678F" w:rsidRPr="002E790D" w:rsidRDefault="004667F7" w:rsidP="003F5571">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Lennertz A, </w:t>
      </w:r>
      <w:proofErr w:type="spellStart"/>
      <w:r w:rsidRPr="002E790D">
        <w:rPr>
          <w:rFonts w:ascii="Arial" w:eastAsia="Times New Roman" w:hAnsi="Arial" w:cs="Arial"/>
        </w:rPr>
        <w:t>Parhofer</w:t>
      </w:r>
      <w:proofErr w:type="spellEnd"/>
      <w:r w:rsidRPr="002E790D">
        <w:rPr>
          <w:rFonts w:ascii="Arial" w:eastAsia="Times New Roman" w:hAnsi="Arial" w:cs="Arial"/>
        </w:rPr>
        <w:t xml:space="preserve"> KG, </w:t>
      </w:r>
      <w:proofErr w:type="spellStart"/>
      <w:r w:rsidRPr="002E790D">
        <w:rPr>
          <w:rFonts w:ascii="Arial" w:eastAsia="Times New Roman" w:hAnsi="Arial" w:cs="Arial"/>
        </w:rPr>
        <w:t>Samtleben</w:t>
      </w:r>
      <w:proofErr w:type="spellEnd"/>
      <w:r w:rsidRPr="002E790D">
        <w:rPr>
          <w:rFonts w:ascii="Arial" w:eastAsia="Times New Roman" w:hAnsi="Arial" w:cs="Arial"/>
        </w:rPr>
        <w:t xml:space="preserve"> W, Bosch T</w:t>
      </w:r>
      <w:r w:rsidR="00A0678F" w:rsidRPr="002E790D">
        <w:rPr>
          <w:rFonts w:ascii="Arial" w:eastAsia="Times New Roman" w:hAnsi="Arial" w:cs="Arial"/>
        </w:rPr>
        <w:t>.</w:t>
      </w:r>
      <w:r w:rsidRPr="002E790D">
        <w:rPr>
          <w:rFonts w:ascii="Arial" w:eastAsia="Times New Roman" w:hAnsi="Arial" w:cs="Arial"/>
        </w:rPr>
        <w:t xml:space="preserve"> Therapeutic plasma exchange in patients with chylomicronemia syndrome complicated by acute pancreatitis. Ther </w:t>
      </w:r>
      <w:proofErr w:type="spellStart"/>
      <w:r w:rsidRPr="002E790D">
        <w:rPr>
          <w:rFonts w:ascii="Arial" w:eastAsia="Times New Roman" w:hAnsi="Arial" w:cs="Arial"/>
        </w:rPr>
        <w:t>Apher</w:t>
      </w:r>
      <w:proofErr w:type="spellEnd"/>
      <w:r w:rsidR="00A0678F" w:rsidRPr="002E790D">
        <w:rPr>
          <w:rFonts w:ascii="Arial" w:eastAsia="Times New Roman" w:hAnsi="Arial" w:cs="Arial"/>
        </w:rPr>
        <w:t>. 1999;</w:t>
      </w:r>
      <w:r w:rsidRPr="002E790D">
        <w:rPr>
          <w:rFonts w:ascii="Arial" w:eastAsia="Times New Roman" w:hAnsi="Arial" w:cs="Arial"/>
        </w:rPr>
        <w:t>3(3):227-233</w:t>
      </w:r>
      <w:r w:rsidR="00A0678F" w:rsidRPr="002E790D">
        <w:rPr>
          <w:rFonts w:ascii="Arial" w:eastAsia="Times New Roman" w:hAnsi="Arial" w:cs="Arial"/>
        </w:rPr>
        <w:t>.</w:t>
      </w:r>
    </w:p>
    <w:p w14:paraId="17BEC998" w14:textId="75480136" w:rsidR="00204D18" w:rsidRPr="002E790D" w:rsidRDefault="004667F7" w:rsidP="00287750">
      <w:pPr>
        <w:pStyle w:val="ListParagraph"/>
        <w:numPr>
          <w:ilvl w:val="0"/>
          <w:numId w:val="11"/>
        </w:numPr>
        <w:spacing w:after="0"/>
        <w:ind w:left="360"/>
        <w:rPr>
          <w:rFonts w:ascii="Arial" w:eastAsia="Times New Roman" w:hAnsi="Arial" w:cs="Arial"/>
        </w:rPr>
      </w:pPr>
      <w:r w:rsidRPr="002E790D">
        <w:rPr>
          <w:rFonts w:ascii="Arial" w:eastAsia="Times New Roman" w:hAnsi="Arial" w:cs="Arial"/>
        </w:rPr>
        <w:t xml:space="preserve">Shaz BH, Linenberger ML, </w:t>
      </w:r>
      <w:proofErr w:type="spellStart"/>
      <w:r w:rsidRPr="002E790D">
        <w:rPr>
          <w:rFonts w:ascii="Arial" w:eastAsia="Times New Roman" w:hAnsi="Arial" w:cs="Arial"/>
        </w:rPr>
        <w:t>Bandarenko</w:t>
      </w:r>
      <w:proofErr w:type="spellEnd"/>
      <w:r w:rsidRPr="002E790D">
        <w:rPr>
          <w:rFonts w:ascii="Arial" w:eastAsia="Times New Roman" w:hAnsi="Arial" w:cs="Arial"/>
        </w:rPr>
        <w:t xml:space="preserve"> N, Winters JL, Kim HC, Marques MB, Sarode R, Schwartz J, Weinstein R, </w:t>
      </w:r>
      <w:proofErr w:type="spellStart"/>
      <w:r w:rsidRPr="002E790D">
        <w:rPr>
          <w:rFonts w:ascii="Arial" w:eastAsia="Times New Roman" w:hAnsi="Arial" w:cs="Arial"/>
        </w:rPr>
        <w:t>Wirk</w:t>
      </w:r>
      <w:proofErr w:type="spellEnd"/>
      <w:r w:rsidRPr="002E790D">
        <w:rPr>
          <w:rFonts w:ascii="Arial" w:eastAsia="Times New Roman" w:hAnsi="Arial" w:cs="Arial"/>
        </w:rPr>
        <w:t xml:space="preserve"> A, </w:t>
      </w:r>
      <w:proofErr w:type="spellStart"/>
      <w:r w:rsidRPr="002E790D">
        <w:rPr>
          <w:rFonts w:ascii="Arial" w:eastAsia="Times New Roman" w:hAnsi="Arial" w:cs="Arial"/>
        </w:rPr>
        <w:t>Szczepiorkowski</w:t>
      </w:r>
      <w:proofErr w:type="spellEnd"/>
      <w:r w:rsidRPr="002E790D">
        <w:rPr>
          <w:rFonts w:ascii="Arial" w:eastAsia="Times New Roman" w:hAnsi="Arial" w:cs="Arial"/>
        </w:rPr>
        <w:t xml:space="preserve"> ZM</w:t>
      </w:r>
      <w:r w:rsidR="00A0678F" w:rsidRPr="002E790D">
        <w:rPr>
          <w:rFonts w:ascii="Arial" w:eastAsia="Times New Roman" w:hAnsi="Arial" w:cs="Arial"/>
        </w:rPr>
        <w:t>.</w:t>
      </w:r>
      <w:r w:rsidRPr="002E790D">
        <w:rPr>
          <w:rFonts w:ascii="Arial" w:eastAsia="Times New Roman" w:hAnsi="Arial" w:cs="Arial"/>
        </w:rPr>
        <w:t xml:space="preserve"> Category IV indications for therapeutic apheresis: ASFA fourth special issue. J Clin </w:t>
      </w:r>
      <w:proofErr w:type="spellStart"/>
      <w:r w:rsidRPr="002E790D">
        <w:rPr>
          <w:rFonts w:ascii="Arial" w:eastAsia="Times New Roman" w:hAnsi="Arial" w:cs="Arial"/>
        </w:rPr>
        <w:t>Apher</w:t>
      </w:r>
      <w:proofErr w:type="spellEnd"/>
      <w:r w:rsidR="00A0678F" w:rsidRPr="002E790D">
        <w:rPr>
          <w:rFonts w:ascii="Arial" w:eastAsia="Times New Roman" w:hAnsi="Arial" w:cs="Arial"/>
        </w:rPr>
        <w:t>. 2007;</w:t>
      </w:r>
      <w:r w:rsidRPr="002E790D">
        <w:rPr>
          <w:rFonts w:ascii="Arial" w:eastAsia="Times New Roman" w:hAnsi="Arial" w:cs="Arial"/>
        </w:rPr>
        <w:t>22(3):176-180</w:t>
      </w:r>
      <w:r w:rsidR="00A0678F" w:rsidRPr="002E790D">
        <w:rPr>
          <w:rFonts w:ascii="Arial" w:eastAsia="Times New Roman" w:hAnsi="Arial" w:cs="Arial"/>
        </w:rPr>
        <w:t>.</w:t>
      </w:r>
    </w:p>
    <w:p w14:paraId="673B4509" w14:textId="3DA742EC" w:rsidR="00A736B1" w:rsidRPr="002E790D" w:rsidRDefault="00A736B1" w:rsidP="00BC6C28">
      <w:pPr>
        <w:pStyle w:val="ListParagraph"/>
        <w:numPr>
          <w:ilvl w:val="0"/>
          <w:numId w:val="11"/>
        </w:numPr>
        <w:spacing w:after="0"/>
        <w:ind w:left="360"/>
        <w:rPr>
          <w:rFonts w:ascii="Arial" w:eastAsia="Times New Roman" w:hAnsi="Arial" w:cs="Arial"/>
        </w:rPr>
      </w:pPr>
      <w:r w:rsidRPr="002E790D">
        <w:rPr>
          <w:rFonts w:ascii="Arial" w:hAnsi="Arial" w:cs="Arial"/>
        </w:rPr>
        <w:t xml:space="preserve">Calcaterra I, Lupoli R, Di Minno A, Di Minno MND. Volanesorsen to treat hypertriglyceridemia: A pooled analysis- of randomized controlled trials. </w:t>
      </w:r>
      <w:proofErr w:type="spellStart"/>
      <w:r w:rsidRPr="002E790D">
        <w:rPr>
          <w:rFonts w:ascii="Arial" w:hAnsi="Arial" w:cs="Arial"/>
        </w:rPr>
        <w:t>Eur</w:t>
      </w:r>
      <w:proofErr w:type="spellEnd"/>
      <w:r w:rsidRPr="002E790D">
        <w:rPr>
          <w:rFonts w:ascii="Arial" w:hAnsi="Arial" w:cs="Arial"/>
        </w:rPr>
        <w:t xml:space="preserve"> J Clin Invest. 2022 Nov; 52(11</w:t>
      </w:r>
      <w:proofErr w:type="gramStart"/>
      <w:r w:rsidRPr="002E790D">
        <w:rPr>
          <w:rFonts w:ascii="Arial" w:hAnsi="Arial" w:cs="Arial"/>
        </w:rPr>
        <w:t>):e</w:t>
      </w:r>
      <w:proofErr w:type="gramEnd"/>
      <w:r w:rsidRPr="002E790D">
        <w:rPr>
          <w:rFonts w:ascii="Arial" w:hAnsi="Arial" w:cs="Arial"/>
        </w:rPr>
        <w:t>13841.</w:t>
      </w:r>
    </w:p>
    <w:p w14:paraId="2DA9B949" w14:textId="1BDE85D1" w:rsidR="00C721AC" w:rsidRPr="00204D18" w:rsidRDefault="004667F7" w:rsidP="00037A90">
      <w:pPr>
        <w:pStyle w:val="ListParagraph"/>
        <w:numPr>
          <w:ilvl w:val="0"/>
          <w:numId w:val="11"/>
        </w:numPr>
        <w:spacing w:after="0"/>
        <w:ind w:left="360"/>
        <w:rPr>
          <w:rFonts w:ascii="Arial" w:eastAsia="Times New Roman" w:hAnsi="Arial" w:cs="Arial"/>
          <w:sz w:val="24"/>
          <w:szCs w:val="24"/>
        </w:rPr>
      </w:pPr>
      <w:r w:rsidRPr="002E790D">
        <w:rPr>
          <w:rFonts w:ascii="Arial" w:eastAsia="Times New Roman" w:hAnsi="Arial" w:cs="Arial"/>
        </w:rPr>
        <w:t>Wilson DP, McNeal C, Blackett PR</w:t>
      </w:r>
      <w:r w:rsidR="00204D18" w:rsidRPr="002E790D">
        <w:rPr>
          <w:rFonts w:ascii="Arial" w:eastAsia="Times New Roman" w:hAnsi="Arial" w:cs="Arial"/>
        </w:rPr>
        <w:t xml:space="preserve">. </w:t>
      </w:r>
      <w:r w:rsidRPr="002E790D">
        <w:rPr>
          <w:rFonts w:ascii="Arial" w:eastAsia="Times New Roman" w:hAnsi="Arial" w:cs="Arial"/>
        </w:rPr>
        <w:t xml:space="preserve">Children and adolescents: Step-by-step evaluation and management plan. In: Myerson M, ed. Dyslipidemia: A clinical approach. Philadelphia: Lippincott Williams &amp; Wilkins; </w:t>
      </w:r>
      <w:r w:rsidR="00204D18" w:rsidRPr="002E790D">
        <w:rPr>
          <w:rFonts w:ascii="Arial" w:eastAsia="Times New Roman" w:hAnsi="Arial" w:cs="Arial"/>
        </w:rPr>
        <w:t>2018:</w:t>
      </w:r>
      <w:r w:rsidRPr="002E790D">
        <w:rPr>
          <w:rFonts w:ascii="Arial" w:eastAsia="Times New Roman" w:hAnsi="Arial" w:cs="Arial"/>
        </w:rPr>
        <w:t>245-265</w:t>
      </w:r>
      <w:r w:rsidR="00204D18" w:rsidRPr="002E790D">
        <w:rPr>
          <w:rFonts w:ascii="Arial" w:eastAsia="Times New Roman" w:hAnsi="Arial" w:cs="Arial"/>
        </w:rPr>
        <w:t>.</w:t>
      </w:r>
      <w:bookmarkEnd w:id="3"/>
    </w:p>
    <w:sectPr w:rsidR="00C721AC" w:rsidRPr="00204D18" w:rsidSect="000554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578F" w14:textId="77777777" w:rsidR="00986241" w:rsidRDefault="00986241" w:rsidP="00CA3D02">
      <w:pPr>
        <w:spacing w:after="0" w:line="240" w:lineRule="auto"/>
      </w:pPr>
      <w:r>
        <w:separator/>
      </w:r>
    </w:p>
  </w:endnote>
  <w:endnote w:type="continuationSeparator" w:id="0">
    <w:p w14:paraId="79CF28B8" w14:textId="77777777" w:rsidR="00986241" w:rsidRDefault="00986241" w:rsidP="00CA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516E" w14:textId="77777777" w:rsidR="00986241" w:rsidRDefault="00986241" w:rsidP="00CA3D02">
      <w:pPr>
        <w:spacing w:after="0" w:line="240" w:lineRule="auto"/>
      </w:pPr>
      <w:r>
        <w:separator/>
      </w:r>
    </w:p>
  </w:footnote>
  <w:footnote w:type="continuationSeparator" w:id="0">
    <w:p w14:paraId="4593A7C8" w14:textId="77777777" w:rsidR="00986241" w:rsidRDefault="00986241" w:rsidP="00CA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E92"/>
    <w:multiLevelType w:val="hybridMultilevel"/>
    <w:tmpl w:val="7966D5A4"/>
    <w:lvl w:ilvl="0" w:tplc="1F1CD0BA">
      <w:start w:val="1"/>
      <w:numFmt w:val="bullet"/>
      <w:lvlText w:val=""/>
      <w:lvlJc w:val="left"/>
      <w:pPr>
        <w:tabs>
          <w:tab w:val="num" w:pos="488"/>
        </w:tabs>
        <w:ind w:left="488" w:hanging="360"/>
      </w:pPr>
      <w:rPr>
        <w:rFonts w:ascii="Symbol" w:hAnsi="Symbol" w:hint="default"/>
      </w:rPr>
    </w:lvl>
    <w:lvl w:ilvl="1" w:tplc="2872169A" w:tentative="1">
      <w:start w:val="1"/>
      <w:numFmt w:val="bullet"/>
      <w:lvlText w:val=""/>
      <w:lvlJc w:val="left"/>
      <w:pPr>
        <w:tabs>
          <w:tab w:val="num" w:pos="1440"/>
        </w:tabs>
        <w:ind w:left="1440" w:hanging="360"/>
      </w:pPr>
      <w:rPr>
        <w:rFonts w:ascii="Symbol" w:hAnsi="Symbol" w:hint="default"/>
      </w:rPr>
    </w:lvl>
    <w:lvl w:ilvl="2" w:tplc="681ED4CE" w:tentative="1">
      <w:start w:val="1"/>
      <w:numFmt w:val="bullet"/>
      <w:lvlText w:val=""/>
      <w:lvlJc w:val="left"/>
      <w:pPr>
        <w:tabs>
          <w:tab w:val="num" w:pos="2160"/>
        </w:tabs>
        <w:ind w:left="2160" w:hanging="360"/>
      </w:pPr>
      <w:rPr>
        <w:rFonts w:ascii="Symbol" w:hAnsi="Symbol" w:hint="default"/>
      </w:rPr>
    </w:lvl>
    <w:lvl w:ilvl="3" w:tplc="600AC9AA" w:tentative="1">
      <w:start w:val="1"/>
      <w:numFmt w:val="bullet"/>
      <w:lvlText w:val=""/>
      <w:lvlJc w:val="left"/>
      <w:pPr>
        <w:tabs>
          <w:tab w:val="num" w:pos="2880"/>
        </w:tabs>
        <w:ind w:left="2880" w:hanging="360"/>
      </w:pPr>
      <w:rPr>
        <w:rFonts w:ascii="Symbol" w:hAnsi="Symbol" w:hint="default"/>
      </w:rPr>
    </w:lvl>
    <w:lvl w:ilvl="4" w:tplc="21201A76" w:tentative="1">
      <w:start w:val="1"/>
      <w:numFmt w:val="bullet"/>
      <w:lvlText w:val=""/>
      <w:lvlJc w:val="left"/>
      <w:pPr>
        <w:tabs>
          <w:tab w:val="num" w:pos="3600"/>
        </w:tabs>
        <w:ind w:left="3600" w:hanging="360"/>
      </w:pPr>
      <w:rPr>
        <w:rFonts w:ascii="Symbol" w:hAnsi="Symbol" w:hint="default"/>
      </w:rPr>
    </w:lvl>
    <w:lvl w:ilvl="5" w:tplc="6228048C" w:tentative="1">
      <w:start w:val="1"/>
      <w:numFmt w:val="bullet"/>
      <w:lvlText w:val=""/>
      <w:lvlJc w:val="left"/>
      <w:pPr>
        <w:tabs>
          <w:tab w:val="num" w:pos="4320"/>
        </w:tabs>
        <w:ind w:left="4320" w:hanging="360"/>
      </w:pPr>
      <w:rPr>
        <w:rFonts w:ascii="Symbol" w:hAnsi="Symbol" w:hint="default"/>
      </w:rPr>
    </w:lvl>
    <w:lvl w:ilvl="6" w:tplc="CD361292" w:tentative="1">
      <w:start w:val="1"/>
      <w:numFmt w:val="bullet"/>
      <w:lvlText w:val=""/>
      <w:lvlJc w:val="left"/>
      <w:pPr>
        <w:tabs>
          <w:tab w:val="num" w:pos="5040"/>
        </w:tabs>
        <w:ind w:left="5040" w:hanging="360"/>
      </w:pPr>
      <w:rPr>
        <w:rFonts w:ascii="Symbol" w:hAnsi="Symbol" w:hint="default"/>
      </w:rPr>
    </w:lvl>
    <w:lvl w:ilvl="7" w:tplc="A72CC610" w:tentative="1">
      <w:start w:val="1"/>
      <w:numFmt w:val="bullet"/>
      <w:lvlText w:val=""/>
      <w:lvlJc w:val="left"/>
      <w:pPr>
        <w:tabs>
          <w:tab w:val="num" w:pos="5760"/>
        </w:tabs>
        <w:ind w:left="5760" w:hanging="360"/>
      </w:pPr>
      <w:rPr>
        <w:rFonts w:ascii="Symbol" w:hAnsi="Symbol" w:hint="default"/>
      </w:rPr>
    </w:lvl>
    <w:lvl w:ilvl="8" w:tplc="ECB4446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740479"/>
    <w:multiLevelType w:val="hybridMultilevel"/>
    <w:tmpl w:val="9AB8F446"/>
    <w:lvl w:ilvl="0" w:tplc="CE5EA580">
      <w:start w:val="1"/>
      <w:numFmt w:val="bullet"/>
      <w:lvlText w:val=""/>
      <w:lvlJc w:val="left"/>
      <w:pPr>
        <w:tabs>
          <w:tab w:val="num" w:pos="720"/>
        </w:tabs>
        <w:ind w:left="720" w:hanging="360"/>
      </w:pPr>
      <w:rPr>
        <w:rFonts w:ascii="Symbol" w:hAnsi="Symbol" w:hint="default"/>
      </w:rPr>
    </w:lvl>
    <w:lvl w:ilvl="1" w:tplc="92A681B2" w:tentative="1">
      <w:start w:val="1"/>
      <w:numFmt w:val="bullet"/>
      <w:lvlText w:val=""/>
      <w:lvlJc w:val="left"/>
      <w:pPr>
        <w:tabs>
          <w:tab w:val="num" w:pos="1440"/>
        </w:tabs>
        <w:ind w:left="1440" w:hanging="360"/>
      </w:pPr>
      <w:rPr>
        <w:rFonts w:ascii="Symbol" w:hAnsi="Symbol" w:hint="default"/>
      </w:rPr>
    </w:lvl>
    <w:lvl w:ilvl="2" w:tplc="02A60CE8" w:tentative="1">
      <w:start w:val="1"/>
      <w:numFmt w:val="bullet"/>
      <w:lvlText w:val=""/>
      <w:lvlJc w:val="left"/>
      <w:pPr>
        <w:tabs>
          <w:tab w:val="num" w:pos="2160"/>
        </w:tabs>
        <w:ind w:left="2160" w:hanging="360"/>
      </w:pPr>
      <w:rPr>
        <w:rFonts w:ascii="Symbol" w:hAnsi="Symbol" w:hint="default"/>
      </w:rPr>
    </w:lvl>
    <w:lvl w:ilvl="3" w:tplc="606EBAA6" w:tentative="1">
      <w:start w:val="1"/>
      <w:numFmt w:val="bullet"/>
      <w:lvlText w:val=""/>
      <w:lvlJc w:val="left"/>
      <w:pPr>
        <w:tabs>
          <w:tab w:val="num" w:pos="2880"/>
        </w:tabs>
        <w:ind w:left="2880" w:hanging="360"/>
      </w:pPr>
      <w:rPr>
        <w:rFonts w:ascii="Symbol" w:hAnsi="Symbol" w:hint="default"/>
      </w:rPr>
    </w:lvl>
    <w:lvl w:ilvl="4" w:tplc="F454E312" w:tentative="1">
      <w:start w:val="1"/>
      <w:numFmt w:val="bullet"/>
      <w:lvlText w:val=""/>
      <w:lvlJc w:val="left"/>
      <w:pPr>
        <w:tabs>
          <w:tab w:val="num" w:pos="3600"/>
        </w:tabs>
        <w:ind w:left="3600" w:hanging="360"/>
      </w:pPr>
      <w:rPr>
        <w:rFonts w:ascii="Symbol" w:hAnsi="Symbol" w:hint="default"/>
      </w:rPr>
    </w:lvl>
    <w:lvl w:ilvl="5" w:tplc="BFC21E34" w:tentative="1">
      <w:start w:val="1"/>
      <w:numFmt w:val="bullet"/>
      <w:lvlText w:val=""/>
      <w:lvlJc w:val="left"/>
      <w:pPr>
        <w:tabs>
          <w:tab w:val="num" w:pos="4320"/>
        </w:tabs>
        <w:ind w:left="4320" w:hanging="360"/>
      </w:pPr>
      <w:rPr>
        <w:rFonts w:ascii="Symbol" w:hAnsi="Symbol" w:hint="default"/>
      </w:rPr>
    </w:lvl>
    <w:lvl w:ilvl="6" w:tplc="3C781B5C" w:tentative="1">
      <w:start w:val="1"/>
      <w:numFmt w:val="bullet"/>
      <w:lvlText w:val=""/>
      <w:lvlJc w:val="left"/>
      <w:pPr>
        <w:tabs>
          <w:tab w:val="num" w:pos="5040"/>
        </w:tabs>
        <w:ind w:left="5040" w:hanging="360"/>
      </w:pPr>
      <w:rPr>
        <w:rFonts w:ascii="Symbol" w:hAnsi="Symbol" w:hint="default"/>
      </w:rPr>
    </w:lvl>
    <w:lvl w:ilvl="7" w:tplc="17D81E4E" w:tentative="1">
      <w:start w:val="1"/>
      <w:numFmt w:val="bullet"/>
      <w:lvlText w:val=""/>
      <w:lvlJc w:val="left"/>
      <w:pPr>
        <w:tabs>
          <w:tab w:val="num" w:pos="5760"/>
        </w:tabs>
        <w:ind w:left="5760" w:hanging="360"/>
      </w:pPr>
      <w:rPr>
        <w:rFonts w:ascii="Symbol" w:hAnsi="Symbol" w:hint="default"/>
      </w:rPr>
    </w:lvl>
    <w:lvl w:ilvl="8" w:tplc="16E261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08425F"/>
    <w:multiLevelType w:val="hybridMultilevel"/>
    <w:tmpl w:val="F8487AFE"/>
    <w:lvl w:ilvl="0" w:tplc="D5303AEC">
      <w:start w:val="1"/>
      <w:numFmt w:val="bullet"/>
      <w:lvlText w:val=""/>
      <w:lvlJc w:val="left"/>
      <w:pPr>
        <w:tabs>
          <w:tab w:val="num" w:pos="1350"/>
        </w:tabs>
        <w:ind w:left="1350" w:hanging="360"/>
      </w:pPr>
      <w:rPr>
        <w:rFonts w:ascii="Symbol" w:hAnsi="Symbol" w:hint="default"/>
      </w:rPr>
    </w:lvl>
    <w:lvl w:ilvl="1" w:tplc="C3EAA56A" w:tentative="1">
      <w:start w:val="1"/>
      <w:numFmt w:val="bullet"/>
      <w:lvlText w:val=""/>
      <w:lvlJc w:val="left"/>
      <w:pPr>
        <w:tabs>
          <w:tab w:val="num" w:pos="1440"/>
        </w:tabs>
        <w:ind w:left="1440" w:hanging="360"/>
      </w:pPr>
      <w:rPr>
        <w:rFonts w:ascii="Symbol" w:hAnsi="Symbol" w:hint="default"/>
      </w:rPr>
    </w:lvl>
    <w:lvl w:ilvl="2" w:tplc="4228648E" w:tentative="1">
      <w:start w:val="1"/>
      <w:numFmt w:val="bullet"/>
      <w:lvlText w:val=""/>
      <w:lvlJc w:val="left"/>
      <w:pPr>
        <w:tabs>
          <w:tab w:val="num" w:pos="2160"/>
        </w:tabs>
        <w:ind w:left="2160" w:hanging="360"/>
      </w:pPr>
      <w:rPr>
        <w:rFonts w:ascii="Symbol" w:hAnsi="Symbol" w:hint="default"/>
      </w:rPr>
    </w:lvl>
    <w:lvl w:ilvl="3" w:tplc="033A157A" w:tentative="1">
      <w:start w:val="1"/>
      <w:numFmt w:val="bullet"/>
      <w:lvlText w:val=""/>
      <w:lvlJc w:val="left"/>
      <w:pPr>
        <w:tabs>
          <w:tab w:val="num" w:pos="2880"/>
        </w:tabs>
        <w:ind w:left="2880" w:hanging="360"/>
      </w:pPr>
      <w:rPr>
        <w:rFonts w:ascii="Symbol" w:hAnsi="Symbol" w:hint="default"/>
      </w:rPr>
    </w:lvl>
    <w:lvl w:ilvl="4" w:tplc="369C73D8" w:tentative="1">
      <w:start w:val="1"/>
      <w:numFmt w:val="bullet"/>
      <w:lvlText w:val=""/>
      <w:lvlJc w:val="left"/>
      <w:pPr>
        <w:tabs>
          <w:tab w:val="num" w:pos="3600"/>
        </w:tabs>
        <w:ind w:left="3600" w:hanging="360"/>
      </w:pPr>
      <w:rPr>
        <w:rFonts w:ascii="Symbol" w:hAnsi="Symbol" w:hint="default"/>
      </w:rPr>
    </w:lvl>
    <w:lvl w:ilvl="5" w:tplc="A71ECAAE" w:tentative="1">
      <w:start w:val="1"/>
      <w:numFmt w:val="bullet"/>
      <w:lvlText w:val=""/>
      <w:lvlJc w:val="left"/>
      <w:pPr>
        <w:tabs>
          <w:tab w:val="num" w:pos="4320"/>
        </w:tabs>
        <w:ind w:left="4320" w:hanging="360"/>
      </w:pPr>
      <w:rPr>
        <w:rFonts w:ascii="Symbol" w:hAnsi="Symbol" w:hint="default"/>
      </w:rPr>
    </w:lvl>
    <w:lvl w:ilvl="6" w:tplc="039CC3AC" w:tentative="1">
      <w:start w:val="1"/>
      <w:numFmt w:val="bullet"/>
      <w:lvlText w:val=""/>
      <w:lvlJc w:val="left"/>
      <w:pPr>
        <w:tabs>
          <w:tab w:val="num" w:pos="5040"/>
        </w:tabs>
        <w:ind w:left="5040" w:hanging="360"/>
      </w:pPr>
      <w:rPr>
        <w:rFonts w:ascii="Symbol" w:hAnsi="Symbol" w:hint="default"/>
      </w:rPr>
    </w:lvl>
    <w:lvl w:ilvl="7" w:tplc="2D6E3190" w:tentative="1">
      <w:start w:val="1"/>
      <w:numFmt w:val="bullet"/>
      <w:lvlText w:val=""/>
      <w:lvlJc w:val="left"/>
      <w:pPr>
        <w:tabs>
          <w:tab w:val="num" w:pos="5760"/>
        </w:tabs>
        <w:ind w:left="5760" w:hanging="360"/>
      </w:pPr>
      <w:rPr>
        <w:rFonts w:ascii="Symbol" w:hAnsi="Symbol" w:hint="default"/>
      </w:rPr>
    </w:lvl>
    <w:lvl w:ilvl="8" w:tplc="DBB8D4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0A4F30"/>
    <w:multiLevelType w:val="hybridMultilevel"/>
    <w:tmpl w:val="66D8E8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1C55AA"/>
    <w:multiLevelType w:val="hybridMultilevel"/>
    <w:tmpl w:val="2D48A3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D3893"/>
    <w:multiLevelType w:val="hybridMultilevel"/>
    <w:tmpl w:val="F57A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712BD"/>
    <w:multiLevelType w:val="hybridMultilevel"/>
    <w:tmpl w:val="C8D0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D39AA"/>
    <w:multiLevelType w:val="hybridMultilevel"/>
    <w:tmpl w:val="F59ABD1E"/>
    <w:lvl w:ilvl="0" w:tplc="E35CF1AE">
      <w:start w:val="1"/>
      <w:numFmt w:val="bullet"/>
      <w:lvlText w:val=""/>
      <w:lvlJc w:val="left"/>
      <w:pPr>
        <w:tabs>
          <w:tab w:val="num" w:pos="720"/>
        </w:tabs>
        <w:ind w:left="720" w:hanging="360"/>
      </w:pPr>
      <w:rPr>
        <w:rFonts w:ascii="Symbol" w:hAnsi="Symbol" w:hint="default"/>
      </w:rPr>
    </w:lvl>
    <w:lvl w:ilvl="1" w:tplc="64687C08" w:tentative="1">
      <w:start w:val="1"/>
      <w:numFmt w:val="bullet"/>
      <w:lvlText w:val=""/>
      <w:lvlJc w:val="left"/>
      <w:pPr>
        <w:tabs>
          <w:tab w:val="num" w:pos="1440"/>
        </w:tabs>
        <w:ind w:left="1440" w:hanging="360"/>
      </w:pPr>
      <w:rPr>
        <w:rFonts w:ascii="Symbol" w:hAnsi="Symbol" w:hint="default"/>
      </w:rPr>
    </w:lvl>
    <w:lvl w:ilvl="2" w:tplc="A5E609EC" w:tentative="1">
      <w:start w:val="1"/>
      <w:numFmt w:val="bullet"/>
      <w:lvlText w:val=""/>
      <w:lvlJc w:val="left"/>
      <w:pPr>
        <w:tabs>
          <w:tab w:val="num" w:pos="2160"/>
        </w:tabs>
        <w:ind w:left="2160" w:hanging="360"/>
      </w:pPr>
      <w:rPr>
        <w:rFonts w:ascii="Symbol" w:hAnsi="Symbol" w:hint="default"/>
      </w:rPr>
    </w:lvl>
    <w:lvl w:ilvl="3" w:tplc="02BC431C" w:tentative="1">
      <w:start w:val="1"/>
      <w:numFmt w:val="bullet"/>
      <w:lvlText w:val=""/>
      <w:lvlJc w:val="left"/>
      <w:pPr>
        <w:tabs>
          <w:tab w:val="num" w:pos="2880"/>
        </w:tabs>
        <w:ind w:left="2880" w:hanging="360"/>
      </w:pPr>
      <w:rPr>
        <w:rFonts w:ascii="Symbol" w:hAnsi="Symbol" w:hint="default"/>
      </w:rPr>
    </w:lvl>
    <w:lvl w:ilvl="4" w:tplc="ED9C3712" w:tentative="1">
      <w:start w:val="1"/>
      <w:numFmt w:val="bullet"/>
      <w:lvlText w:val=""/>
      <w:lvlJc w:val="left"/>
      <w:pPr>
        <w:tabs>
          <w:tab w:val="num" w:pos="3600"/>
        </w:tabs>
        <w:ind w:left="3600" w:hanging="360"/>
      </w:pPr>
      <w:rPr>
        <w:rFonts w:ascii="Symbol" w:hAnsi="Symbol" w:hint="default"/>
      </w:rPr>
    </w:lvl>
    <w:lvl w:ilvl="5" w:tplc="25B04C52" w:tentative="1">
      <w:start w:val="1"/>
      <w:numFmt w:val="bullet"/>
      <w:lvlText w:val=""/>
      <w:lvlJc w:val="left"/>
      <w:pPr>
        <w:tabs>
          <w:tab w:val="num" w:pos="4320"/>
        </w:tabs>
        <w:ind w:left="4320" w:hanging="360"/>
      </w:pPr>
      <w:rPr>
        <w:rFonts w:ascii="Symbol" w:hAnsi="Symbol" w:hint="default"/>
      </w:rPr>
    </w:lvl>
    <w:lvl w:ilvl="6" w:tplc="54A6ED9A" w:tentative="1">
      <w:start w:val="1"/>
      <w:numFmt w:val="bullet"/>
      <w:lvlText w:val=""/>
      <w:lvlJc w:val="left"/>
      <w:pPr>
        <w:tabs>
          <w:tab w:val="num" w:pos="5040"/>
        </w:tabs>
        <w:ind w:left="5040" w:hanging="360"/>
      </w:pPr>
      <w:rPr>
        <w:rFonts w:ascii="Symbol" w:hAnsi="Symbol" w:hint="default"/>
      </w:rPr>
    </w:lvl>
    <w:lvl w:ilvl="7" w:tplc="CD50305C" w:tentative="1">
      <w:start w:val="1"/>
      <w:numFmt w:val="bullet"/>
      <w:lvlText w:val=""/>
      <w:lvlJc w:val="left"/>
      <w:pPr>
        <w:tabs>
          <w:tab w:val="num" w:pos="5760"/>
        </w:tabs>
        <w:ind w:left="5760" w:hanging="360"/>
      </w:pPr>
      <w:rPr>
        <w:rFonts w:ascii="Symbol" w:hAnsi="Symbol" w:hint="default"/>
      </w:rPr>
    </w:lvl>
    <w:lvl w:ilvl="8" w:tplc="8E4A115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0AC0C54"/>
    <w:multiLevelType w:val="hybridMultilevel"/>
    <w:tmpl w:val="6B6ED0B4"/>
    <w:lvl w:ilvl="0" w:tplc="17D00CB0">
      <w:start w:val="1"/>
      <w:numFmt w:val="bullet"/>
      <w:lvlText w:val=""/>
      <w:lvlJc w:val="left"/>
      <w:pPr>
        <w:tabs>
          <w:tab w:val="num" w:pos="720"/>
        </w:tabs>
        <w:ind w:left="720" w:hanging="360"/>
      </w:pPr>
      <w:rPr>
        <w:rFonts w:ascii="Symbol" w:hAnsi="Symbol" w:hint="default"/>
      </w:rPr>
    </w:lvl>
    <w:lvl w:ilvl="1" w:tplc="39D05072" w:tentative="1">
      <w:start w:val="1"/>
      <w:numFmt w:val="bullet"/>
      <w:lvlText w:val=""/>
      <w:lvlJc w:val="left"/>
      <w:pPr>
        <w:tabs>
          <w:tab w:val="num" w:pos="1440"/>
        </w:tabs>
        <w:ind w:left="1440" w:hanging="360"/>
      </w:pPr>
      <w:rPr>
        <w:rFonts w:ascii="Symbol" w:hAnsi="Symbol" w:hint="default"/>
      </w:rPr>
    </w:lvl>
    <w:lvl w:ilvl="2" w:tplc="9C423E86" w:tentative="1">
      <w:start w:val="1"/>
      <w:numFmt w:val="bullet"/>
      <w:lvlText w:val=""/>
      <w:lvlJc w:val="left"/>
      <w:pPr>
        <w:tabs>
          <w:tab w:val="num" w:pos="2160"/>
        </w:tabs>
        <w:ind w:left="2160" w:hanging="360"/>
      </w:pPr>
      <w:rPr>
        <w:rFonts w:ascii="Symbol" w:hAnsi="Symbol" w:hint="default"/>
      </w:rPr>
    </w:lvl>
    <w:lvl w:ilvl="3" w:tplc="FD486178" w:tentative="1">
      <w:start w:val="1"/>
      <w:numFmt w:val="bullet"/>
      <w:lvlText w:val=""/>
      <w:lvlJc w:val="left"/>
      <w:pPr>
        <w:tabs>
          <w:tab w:val="num" w:pos="2880"/>
        </w:tabs>
        <w:ind w:left="2880" w:hanging="360"/>
      </w:pPr>
      <w:rPr>
        <w:rFonts w:ascii="Symbol" w:hAnsi="Symbol" w:hint="default"/>
      </w:rPr>
    </w:lvl>
    <w:lvl w:ilvl="4" w:tplc="8C8EC718" w:tentative="1">
      <w:start w:val="1"/>
      <w:numFmt w:val="bullet"/>
      <w:lvlText w:val=""/>
      <w:lvlJc w:val="left"/>
      <w:pPr>
        <w:tabs>
          <w:tab w:val="num" w:pos="3600"/>
        </w:tabs>
        <w:ind w:left="3600" w:hanging="360"/>
      </w:pPr>
      <w:rPr>
        <w:rFonts w:ascii="Symbol" w:hAnsi="Symbol" w:hint="default"/>
      </w:rPr>
    </w:lvl>
    <w:lvl w:ilvl="5" w:tplc="5EAC8A30" w:tentative="1">
      <w:start w:val="1"/>
      <w:numFmt w:val="bullet"/>
      <w:lvlText w:val=""/>
      <w:lvlJc w:val="left"/>
      <w:pPr>
        <w:tabs>
          <w:tab w:val="num" w:pos="4320"/>
        </w:tabs>
        <w:ind w:left="4320" w:hanging="360"/>
      </w:pPr>
      <w:rPr>
        <w:rFonts w:ascii="Symbol" w:hAnsi="Symbol" w:hint="default"/>
      </w:rPr>
    </w:lvl>
    <w:lvl w:ilvl="6" w:tplc="EFFC539E" w:tentative="1">
      <w:start w:val="1"/>
      <w:numFmt w:val="bullet"/>
      <w:lvlText w:val=""/>
      <w:lvlJc w:val="left"/>
      <w:pPr>
        <w:tabs>
          <w:tab w:val="num" w:pos="5040"/>
        </w:tabs>
        <w:ind w:left="5040" w:hanging="360"/>
      </w:pPr>
      <w:rPr>
        <w:rFonts w:ascii="Symbol" w:hAnsi="Symbol" w:hint="default"/>
      </w:rPr>
    </w:lvl>
    <w:lvl w:ilvl="7" w:tplc="38883526" w:tentative="1">
      <w:start w:val="1"/>
      <w:numFmt w:val="bullet"/>
      <w:lvlText w:val=""/>
      <w:lvlJc w:val="left"/>
      <w:pPr>
        <w:tabs>
          <w:tab w:val="num" w:pos="5760"/>
        </w:tabs>
        <w:ind w:left="5760" w:hanging="360"/>
      </w:pPr>
      <w:rPr>
        <w:rFonts w:ascii="Symbol" w:hAnsi="Symbol" w:hint="default"/>
      </w:rPr>
    </w:lvl>
    <w:lvl w:ilvl="8" w:tplc="743A332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2943B0"/>
    <w:multiLevelType w:val="hybridMultilevel"/>
    <w:tmpl w:val="EE76B5DE"/>
    <w:lvl w:ilvl="0" w:tplc="04090001">
      <w:start w:val="1"/>
      <w:numFmt w:val="bullet"/>
      <w:lvlText w:val=""/>
      <w:lvlJc w:val="left"/>
      <w:pPr>
        <w:tabs>
          <w:tab w:val="num" w:pos="720"/>
        </w:tabs>
        <w:ind w:left="720" w:hanging="360"/>
      </w:pPr>
      <w:rPr>
        <w:rFonts w:ascii="Symbol" w:hAnsi="Symbol" w:hint="default"/>
      </w:rPr>
    </w:lvl>
    <w:lvl w:ilvl="1" w:tplc="C8CCBAD2" w:tentative="1">
      <w:start w:val="1"/>
      <w:numFmt w:val="bullet"/>
      <w:lvlText w:val="•"/>
      <w:lvlJc w:val="left"/>
      <w:pPr>
        <w:tabs>
          <w:tab w:val="num" w:pos="1440"/>
        </w:tabs>
        <w:ind w:left="1440" w:hanging="360"/>
      </w:pPr>
      <w:rPr>
        <w:rFonts w:ascii="Arial" w:hAnsi="Arial" w:hint="default"/>
      </w:rPr>
    </w:lvl>
    <w:lvl w:ilvl="2" w:tplc="98603120" w:tentative="1">
      <w:start w:val="1"/>
      <w:numFmt w:val="bullet"/>
      <w:lvlText w:val="•"/>
      <w:lvlJc w:val="left"/>
      <w:pPr>
        <w:tabs>
          <w:tab w:val="num" w:pos="2160"/>
        </w:tabs>
        <w:ind w:left="2160" w:hanging="360"/>
      </w:pPr>
      <w:rPr>
        <w:rFonts w:ascii="Arial" w:hAnsi="Arial" w:hint="default"/>
      </w:rPr>
    </w:lvl>
    <w:lvl w:ilvl="3" w:tplc="E506933C" w:tentative="1">
      <w:start w:val="1"/>
      <w:numFmt w:val="bullet"/>
      <w:lvlText w:val="•"/>
      <w:lvlJc w:val="left"/>
      <w:pPr>
        <w:tabs>
          <w:tab w:val="num" w:pos="2880"/>
        </w:tabs>
        <w:ind w:left="2880" w:hanging="360"/>
      </w:pPr>
      <w:rPr>
        <w:rFonts w:ascii="Arial" w:hAnsi="Arial" w:hint="default"/>
      </w:rPr>
    </w:lvl>
    <w:lvl w:ilvl="4" w:tplc="D828FD00" w:tentative="1">
      <w:start w:val="1"/>
      <w:numFmt w:val="bullet"/>
      <w:lvlText w:val="•"/>
      <w:lvlJc w:val="left"/>
      <w:pPr>
        <w:tabs>
          <w:tab w:val="num" w:pos="3600"/>
        </w:tabs>
        <w:ind w:left="3600" w:hanging="360"/>
      </w:pPr>
      <w:rPr>
        <w:rFonts w:ascii="Arial" w:hAnsi="Arial" w:hint="default"/>
      </w:rPr>
    </w:lvl>
    <w:lvl w:ilvl="5" w:tplc="A7504688" w:tentative="1">
      <w:start w:val="1"/>
      <w:numFmt w:val="bullet"/>
      <w:lvlText w:val="•"/>
      <w:lvlJc w:val="left"/>
      <w:pPr>
        <w:tabs>
          <w:tab w:val="num" w:pos="4320"/>
        </w:tabs>
        <w:ind w:left="4320" w:hanging="360"/>
      </w:pPr>
      <w:rPr>
        <w:rFonts w:ascii="Arial" w:hAnsi="Arial" w:hint="default"/>
      </w:rPr>
    </w:lvl>
    <w:lvl w:ilvl="6" w:tplc="2EB414A6" w:tentative="1">
      <w:start w:val="1"/>
      <w:numFmt w:val="bullet"/>
      <w:lvlText w:val="•"/>
      <w:lvlJc w:val="left"/>
      <w:pPr>
        <w:tabs>
          <w:tab w:val="num" w:pos="5040"/>
        </w:tabs>
        <w:ind w:left="5040" w:hanging="360"/>
      </w:pPr>
      <w:rPr>
        <w:rFonts w:ascii="Arial" w:hAnsi="Arial" w:hint="default"/>
      </w:rPr>
    </w:lvl>
    <w:lvl w:ilvl="7" w:tplc="810C236C" w:tentative="1">
      <w:start w:val="1"/>
      <w:numFmt w:val="bullet"/>
      <w:lvlText w:val="•"/>
      <w:lvlJc w:val="left"/>
      <w:pPr>
        <w:tabs>
          <w:tab w:val="num" w:pos="5760"/>
        </w:tabs>
        <w:ind w:left="5760" w:hanging="360"/>
      </w:pPr>
      <w:rPr>
        <w:rFonts w:ascii="Arial" w:hAnsi="Arial" w:hint="default"/>
      </w:rPr>
    </w:lvl>
    <w:lvl w:ilvl="8" w:tplc="2A9E67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C9789C"/>
    <w:multiLevelType w:val="hybridMultilevel"/>
    <w:tmpl w:val="B9068B6E"/>
    <w:lvl w:ilvl="0" w:tplc="99421D38">
      <w:start w:val="1"/>
      <w:numFmt w:val="bullet"/>
      <w:lvlText w:val=""/>
      <w:lvlJc w:val="left"/>
      <w:pPr>
        <w:tabs>
          <w:tab w:val="num" w:pos="720"/>
        </w:tabs>
        <w:ind w:left="720" w:hanging="360"/>
      </w:pPr>
      <w:rPr>
        <w:rFonts w:ascii="Symbol" w:hAnsi="Symbol" w:hint="default"/>
      </w:rPr>
    </w:lvl>
    <w:lvl w:ilvl="1" w:tplc="694E2EAC" w:tentative="1">
      <w:start w:val="1"/>
      <w:numFmt w:val="bullet"/>
      <w:lvlText w:val=""/>
      <w:lvlJc w:val="left"/>
      <w:pPr>
        <w:tabs>
          <w:tab w:val="num" w:pos="1440"/>
        </w:tabs>
        <w:ind w:left="1440" w:hanging="360"/>
      </w:pPr>
      <w:rPr>
        <w:rFonts w:ascii="Symbol" w:hAnsi="Symbol" w:hint="default"/>
      </w:rPr>
    </w:lvl>
    <w:lvl w:ilvl="2" w:tplc="069863A4" w:tentative="1">
      <w:start w:val="1"/>
      <w:numFmt w:val="bullet"/>
      <w:lvlText w:val=""/>
      <w:lvlJc w:val="left"/>
      <w:pPr>
        <w:tabs>
          <w:tab w:val="num" w:pos="2160"/>
        </w:tabs>
        <w:ind w:left="2160" w:hanging="360"/>
      </w:pPr>
      <w:rPr>
        <w:rFonts w:ascii="Symbol" w:hAnsi="Symbol" w:hint="default"/>
      </w:rPr>
    </w:lvl>
    <w:lvl w:ilvl="3" w:tplc="EE2E21BA" w:tentative="1">
      <w:start w:val="1"/>
      <w:numFmt w:val="bullet"/>
      <w:lvlText w:val=""/>
      <w:lvlJc w:val="left"/>
      <w:pPr>
        <w:tabs>
          <w:tab w:val="num" w:pos="2880"/>
        </w:tabs>
        <w:ind w:left="2880" w:hanging="360"/>
      </w:pPr>
      <w:rPr>
        <w:rFonts w:ascii="Symbol" w:hAnsi="Symbol" w:hint="default"/>
      </w:rPr>
    </w:lvl>
    <w:lvl w:ilvl="4" w:tplc="557E4566" w:tentative="1">
      <w:start w:val="1"/>
      <w:numFmt w:val="bullet"/>
      <w:lvlText w:val=""/>
      <w:lvlJc w:val="left"/>
      <w:pPr>
        <w:tabs>
          <w:tab w:val="num" w:pos="3600"/>
        </w:tabs>
        <w:ind w:left="3600" w:hanging="360"/>
      </w:pPr>
      <w:rPr>
        <w:rFonts w:ascii="Symbol" w:hAnsi="Symbol" w:hint="default"/>
      </w:rPr>
    </w:lvl>
    <w:lvl w:ilvl="5" w:tplc="D94CB8FE" w:tentative="1">
      <w:start w:val="1"/>
      <w:numFmt w:val="bullet"/>
      <w:lvlText w:val=""/>
      <w:lvlJc w:val="left"/>
      <w:pPr>
        <w:tabs>
          <w:tab w:val="num" w:pos="4320"/>
        </w:tabs>
        <w:ind w:left="4320" w:hanging="360"/>
      </w:pPr>
      <w:rPr>
        <w:rFonts w:ascii="Symbol" w:hAnsi="Symbol" w:hint="default"/>
      </w:rPr>
    </w:lvl>
    <w:lvl w:ilvl="6" w:tplc="8B9690D6" w:tentative="1">
      <w:start w:val="1"/>
      <w:numFmt w:val="bullet"/>
      <w:lvlText w:val=""/>
      <w:lvlJc w:val="left"/>
      <w:pPr>
        <w:tabs>
          <w:tab w:val="num" w:pos="5040"/>
        </w:tabs>
        <w:ind w:left="5040" w:hanging="360"/>
      </w:pPr>
      <w:rPr>
        <w:rFonts w:ascii="Symbol" w:hAnsi="Symbol" w:hint="default"/>
      </w:rPr>
    </w:lvl>
    <w:lvl w:ilvl="7" w:tplc="D05C02CE" w:tentative="1">
      <w:start w:val="1"/>
      <w:numFmt w:val="bullet"/>
      <w:lvlText w:val=""/>
      <w:lvlJc w:val="left"/>
      <w:pPr>
        <w:tabs>
          <w:tab w:val="num" w:pos="5760"/>
        </w:tabs>
        <w:ind w:left="5760" w:hanging="360"/>
      </w:pPr>
      <w:rPr>
        <w:rFonts w:ascii="Symbol" w:hAnsi="Symbol" w:hint="default"/>
      </w:rPr>
    </w:lvl>
    <w:lvl w:ilvl="8" w:tplc="157801D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D4E77B3"/>
    <w:multiLevelType w:val="hybridMultilevel"/>
    <w:tmpl w:val="9AF67F5C"/>
    <w:lvl w:ilvl="0" w:tplc="617C658C">
      <w:start w:val="1"/>
      <w:numFmt w:val="bullet"/>
      <w:lvlText w:val=""/>
      <w:lvlJc w:val="left"/>
      <w:pPr>
        <w:tabs>
          <w:tab w:val="num" w:pos="1350"/>
        </w:tabs>
        <w:ind w:left="1350" w:hanging="360"/>
      </w:pPr>
      <w:rPr>
        <w:rFonts w:ascii="Symbol" w:hAnsi="Symbol" w:hint="default"/>
      </w:rPr>
    </w:lvl>
    <w:lvl w:ilvl="1" w:tplc="48CC2BB4" w:tentative="1">
      <w:start w:val="1"/>
      <w:numFmt w:val="bullet"/>
      <w:lvlText w:val=""/>
      <w:lvlJc w:val="left"/>
      <w:pPr>
        <w:tabs>
          <w:tab w:val="num" w:pos="2070"/>
        </w:tabs>
        <w:ind w:left="2070" w:hanging="360"/>
      </w:pPr>
      <w:rPr>
        <w:rFonts w:ascii="Symbol" w:hAnsi="Symbol" w:hint="default"/>
      </w:rPr>
    </w:lvl>
    <w:lvl w:ilvl="2" w:tplc="EB1E61D4" w:tentative="1">
      <w:start w:val="1"/>
      <w:numFmt w:val="bullet"/>
      <w:lvlText w:val=""/>
      <w:lvlJc w:val="left"/>
      <w:pPr>
        <w:tabs>
          <w:tab w:val="num" w:pos="2790"/>
        </w:tabs>
        <w:ind w:left="2790" w:hanging="360"/>
      </w:pPr>
      <w:rPr>
        <w:rFonts w:ascii="Symbol" w:hAnsi="Symbol" w:hint="default"/>
      </w:rPr>
    </w:lvl>
    <w:lvl w:ilvl="3" w:tplc="803E43C6" w:tentative="1">
      <w:start w:val="1"/>
      <w:numFmt w:val="bullet"/>
      <w:lvlText w:val=""/>
      <w:lvlJc w:val="left"/>
      <w:pPr>
        <w:tabs>
          <w:tab w:val="num" w:pos="3510"/>
        </w:tabs>
        <w:ind w:left="3510" w:hanging="360"/>
      </w:pPr>
      <w:rPr>
        <w:rFonts w:ascii="Symbol" w:hAnsi="Symbol" w:hint="default"/>
      </w:rPr>
    </w:lvl>
    <w:lvl w:ilvl="4" w:tplc="5C967D1E" w:tentative="1">
      <w:start w:val="1"/>
      <w:numFmt w:val="bullet"/>
      <w:lvlText w:val=""/>
      <w:lvlJc w:val="left"/>
      <w:pPr>
        <w:tabs>
          <w:tab w:val="num" w:pos="4230"/>
        </w:tabs>
        <w:ind w:left="4230" w:hanging="360"/>
      </w:pPr>
      <w:rPr>
        <w:rFonts w:ascii="Symbol" w:hAnsi="Symbol" w:hint="default"/>
      </w:rPr>
    </w:lvl>
    <w:lvl w:ilvl="5" w:tplc="65DE4E32" w:tentative="1">
      <w:start w:val="1"/>
      <w:numFmt w:val="bullet"/>
      <w:lvlText w:val=""/>
      <w:lvlJc w:val="left"/>
      <w:pPr>
        <w:tabs>
          <w:tab w:val="num" w:pos="4950"/>
        </w:tabs>
        <w:ind w:left="4950" w:hanging="360"/>
      </w:pPr>
      <w:rPr>
        <w:rFonts w:ascii="Symbol" w:hAnsi="Symbol" w:hint="default"/>
      </w:rPr>
    </w:lvl>
    <w:lvl w:ilvl="6" w:tplc="3CACEA60" w:tentative="1">
      <w:start w:val="1"/>
      <w:numFmt w:val="bullet"/>
      <w:lvlText w:val=""/>
      <w:lvlJc w:val="left"/>
      <w:pPr>
        <w:tabs>
          <w:tab w:val="num" w:pos="5670"/>
        </w:tabs>
        <w:ind w:left="5670" w:hanging="360"/>
      </w:pPr>
      <w:rPr>
        <w:rFonts w:ascii="Symbol" w:hAnsi="Symbol" w:hint="default"/>
      </w:rPr>
    </w:lvl>
    <w:lvl w:ilvl="7" w:tplc="1FC4F0EC" w:tentative="1">
      <w:start w:val="1"/>
      <w:numFmt w:val="bullet"/>
      <w:lvlText w:val=""/>
      <w:lvlJc w:val="left"/>
      <w:pPr>
        <w:tabs>
          <w:tab w:val="num" w:pos="6390"/>
        </w:tabs>
        <w:ind w:left="6390" w:hanging="360"/>
      </w:pPr>
      <w:rPr>
        <w:rFonts w:ascii="Symbol" w:hAnsi="Symbol" w:hint="default"/>
      </w:rPr>
    </w:lvl>
    <w:lvl w:ilvl="8" w:tplc="15B05684" w:tentative="1">
      <w:start w:val="1"/>
      <w:numFmt w:val="bullet"/>
      <w:lvlText w:val=""/>
      <w:lvlJc w:val="left"/>
      <w:pPr>
        <w:tabs>
          <w:tab w:val="num" w:pos="7110"/>
        </w:tabs>
        <w:ind w:left="7110" w:hanging="360"/>
      </w:pPr>
      <w:rPr>
        <w:rFonts w:ascii="Symbol" w:hAnsi="Symbol" w:hint="default"/>
      </w:rPr>
    </w:lvl>
  </w:abstractNum>
  <w:num w:numId="1" w16cid:durableId="1919707378">
    <w:abstractNumId w:val="11"/>
  </w:num>
  <w:num w:numId="2" w16cid:durableId="45567265">
    <w:abstractNumId w:val="0"/>
  </w:num>
  <w:num w:numId="3" w16cid:durableId="1961108048">
    <w:abstractNumId w:val="2"/>
  </w:num>
  <w:num w:numId="4" w16cid:durableId="933169138">
    <w:abstractNumId w:val="9"/>
  </w:num>
  <w:num w:numId="5" w16cid:durableId="1097210087">
    <w:abstractNumId w:val="10"/>
  </w:num>
  <w:num w:numId="6" w16cid:durableId="1589389139">
    <w:abstractNumId w:val="8"/>
  </w:num>
  <w:num w:numId="7" w16cid:durableId="286397283">
    <w:abstractNumId w:val="1"/>
  </w:num>
  <w:num w:numId="8" w16cid:durableId="570427465">
    <w:abstractNumId w:val="7"/>
  </w:num>
  <w:num w:numId="9" w16cid:durableId="1399553098">
    <w:abstractNumId w:val="4"/>
  </w:num>
  <w:num w:numId="10" w16cid:durableId="1010375928">
    <w:abstractNumId w:val="3"/>
  </w:num>
  <w:num w:numId="11" w16cid:durableId="310135718">
    <w:abstractNumId w:val="6"/>
  </w:num>
  <w:num w:numId="12" w16cid:durableId="160171507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1A"/>
    <w:rsid w:val="00016061"/>
    <w:rsid w:val="0001657E"/>
    <w:rsid w:val="00016A10"/>
    <w:rsid w:val="000200FC"/>
    <w:rsid w:val="00022C6D"/>
    <w:rsid w:val="00046284"/>
    <w:rsid w:val="00050E66"/>
    <w:rsid w:val="0005546E"/>
    <w:rsid w:val="00071135"/>
    <w:rsid w:val="00082FC1"/>
    <w:rsid w:val="0008571E"/>
    <w:rsid w:val="000950CB"/>
    <w:rsid w:val="000A0DD8"/>
    <w:rsid w:val="000A6483"/>
    <w:rsid w:val="000B2552"/>
    <w:rsid w:val="000D5521"/>
    <w:rsid w:val="000E22EF"/>
    <w:rsid w:val="000F75C7"/>
    <w:rsid w:val="001041BD"/>
    <w:rsid w:val="00107AD4"/>
    <w:rsid w:val="001121D3"/>
    <w:rsid w:val="001255F5"/>
    <w:rsid w:val="00127C6F"/>
    <w:rsid w:val="0013191C"/>
    <w:rsid w:val="0013473F"/>
    <w:rsid w:val="0014214A"/>
    <w:rsid w:val="001423E4"/>
    <w:rsid w:val="00145D27"/>
    <w:rsid w:val="00154F05"/>
    <w:rsid w:val="001635AB"/>
    <w:rsid w:val="00165251"/>
    <w:rsid w:val="0016634F"/>
    <w:rsid w:val="001706CE"/>
    <w:rsid w:val="001729AB"/>
    <w:rsid w:val="001776C5"/>
    <w:rsid w:val="001778D0"/>
    <w:rsid w:val="001938A2"/>
    <w:rsid w:val="00195A62"/>
    <w:rsid w:val="001A4D98"/>
    <w:rsid w:val="001B77E8"/>
    <w:rsid w:val="001C4D31"/>
    <w:rsid w:val="001C6653"/>
    <w:rsid w:val="001E4C16"/>
    <w:rsid w:val="001F0B5E"/>
    <w:rsid w:val="001F434D"/>
    <w:rsid w:val="001F5594"/>
    <w:rsid w:val="00204D18"/>
    <w:rsid w:val="002432C5"/>
    <w:rsid w:val="00251721"/>
    <w:rsid w:val="002523C4"/>
    <w:rsid w:val="00254584"/>
    <w:rsid w:val="00257FCE"/>
    <w:rsid w:val="00270355"/>
    <w:rsid w:val="00282550"/>
    <w:rsid w:val="002854AB"/>
    <w:rsid w:val="00295FAB"/>
    <w:rsid w:val="002A7937"/>
    <w:rsid w:val="002C14CC"/>
    <w:rsid w:val="002C33DF"/>
    <w:rsid w:val="002C5EAC"/>
    <w:rsid w:val="002D55C5"/>
    <w:rsid w:val="002E5EC0"/>
    <w:rsid w:val="002E62B9"/>
    <w:rsid w:val="002E790D"/>
    <w:rsid w:val="00302A6B"/>
    <w:rsid w:val="0030564A"/>
    <w:rsid w:val="00314694"/>
    <w:rsid w:val="00315E49"/>
    <w:rsid w:val="00322799"/>
    <w:rsid w:val="0032634C"/>
    <w:rsid w:val="00327864"/>
    <w:rsid w:val="00341288"/>
    <w:rsid w:val="00347200"/>
    <w:rsid w:val="003616B8"/>
    <w:rsid w:val="00365276"/>
    <w:rsid w:val="00371F6B"/>
    <w:rsid w:val="003724EF"/>
    <w:rsid w:val="00374ACF"/>
    <w:rsid w:val="00391E84"/>
    <w:rsid w:val="00397BB6"/>
    <w:rsid w:val="003A0D82"/>
    <w:rsid w:val="003A4844"/>
    <w:rsid w:val="003C0062"/>
    <w:rsid w:val="003C160D"/>
    <w:rsid w:val="003E11DB"/>
    <w:rsid w:val="003E12F8"/>
    <w:rsid w:val="003E232A"/>
    <w:rsid w:val="003E2A49"/>
    <w:rsid w:val="003E50D8"/>
    <w:rsid w:val="003F35E2"/>
    <w:rsid w:val="003F41E1"/>
    <w:rsid w:val="003F4AF7"/>
    <w:rsid w:val="00405B4B"/>
    <w:rsid w:val="00407D5B"/>
    <w:rsid w:val="00412543"/>
    <w:rsid w:val="00412EB1"/>
    <w:rsid w:val="0041585C"/>
    <w:rsid w:val="00416A27"/>
    <w:rsid w:val="00434FD1"/>
    <w:rsid w:val="00435740"/>
    <w:rsid w:val="004361C7"/>
    <w:rsid w:val="00450496"/>
    <w:rsid w:val="00456D8A"/>
    <w:rsid w:val="00461C6C"/>
    <w:rsid w:val="0046210C"/>
    <w:rsid w:val="00465631"/>
    <w:rsid w:val="004667F7"/>
    <w:rsid w:val="00470D34"/>
    <w:rsid w:val="00482C8B"/>
    <w:rsid w:val="004868D7"/>
    <w:rsid w:val="00493920"/>
    <w:rsid w:val="00495F86"/>
    <w:rsid w:val="0049650E"/>
    <w:rsid w:val="00496A62"/>
    <w:rsid w:val="004A5680"/>
    <w:rsid w:val="004A6546"/>
    <w:rsid w:val="004B3EAC"/>
    <w:rsid w:val="004C1FF9"/>
    <w:rsid w:val="004E1AE1"/>
    <w:rsid w:val="004E7A22"/>
    <w:rsid w:val="004F0380"/>
    <w:rsid w:val="004F62A2"/>
    <w:rsid w:val="00502CEA"/>
    <w:rsid w:val="00506D9A"/>
    <w:rsid w:val="00521421"/>
    <w:rsid w:val="00525991"/>
    <w:rsid w:val="005266FA"/>
    <w:rsid w:val="00537FEF"/>
    <w:rsid w:val="00551829"/>
    <w:rsid w:val="00552A23"/>
    <w:rsid w:val="00553BE9"/>
    <w:rsid w:val="00562635"/>
    <w:rsid w:val="005654EC"/>
    <w:rsid w:val="005700AF"/>
    <w:rsid w:val="00576867"/>
    <w:rsid w:val="00583213"/>
    <w:rsid w:val="00593A7A"/>
    <w:rsid w:val="005979C1"/>
    <w:rsid w:val="005A4632"/>
    <w:rsid w:val="005B1613"/>
    <w:rsid w:val="005B19E9"/>
    <w:rsid w:val="005E3E6C"/>
    <w:rsid w:val="006040FD"/>
    <w:rsid w:val="00627917"/>
    <w:rsid w:val="006372DB"/>
    <w:rsid w:val="00640669"/>
    <w:rsid w:val="006433B1"/>
    <w:rsid w:val="00650FDF"/>
    <w:rsid w:val="00656514"/>
    <w:rsid w:val="00656F88"/>
    <w:rsid w:val="006653E3"/>
    <w:rsid w:val="00666E8B"/>
    <w:rsid w:val="006834D2"/>
    <w:rsid w:val="0069602D"/>
    <w:rsid w:val="006B0543"/>
    <w:rsid w:val="006D60F0"/>
    <w:rsid w:val="006F70E0"/>
    <w:rsid w:val="00702463"/>
    <w:rsid w:val="007059C3"/>
    <w:rsid w:val="007146C9"/>
    <w:rsid w:val="00714F87"/>
    <w:rsid w:val="00717598"/>
    <w:rsid w:val="00722340"/>
    <w:rsid w:val="007357D5"/>
    <w:rsid w:val="007458D8"/>
    <w:rsid w:val="007523A9"/>
    <w:rsid w:val="00756085"/>
    <w:rsid w:val="0076721B"/>
    <w:rsid w:val="00774732"/>
    <w:rsid w:val="007955D6"/>
    <w:rsid w:val="00797EBD"/>
    <w:rsid w:val="007A7D31"/>
    <w:rsid w:val="007B3E0D"/>
    <w:rsid w:val="007C79C6"/>
    <w:rsid w:val="007E0D9C"/>
    <w:rsid w:val="007E3C1B"/>
    <w:rsid w:val="007F0782"/>
    <w:rsid w:val="007F7CC4"/>
    <w:rsid w:val="00804AC5"/>
    <w:rsid w:val="008260FF"/>
    <w:rsid w:val="0084213A"/>
    <w:rsid w:val="008431F2"/>
    <w:rsid w:val="00847119"/>
    <w:rsid w:val="00852892"/>
    <w:rsid w:val="0086388C"/>
    <w:rsid w:val="008662B8"/>
    <w:rsid w:val="00870FF3"/>
    <w:rsid w:val="008720B6"/>
    <w:rsid w:val="00882643"/>
    <w:rsid w:val="00887388"/>
    <w:rsid w:val="00890A36"/>
    <w:rsid w:val="00892C7F"/>
    <w:rsid w:val="008B15D8"/>
    <w:rsid w:val="008B6957"/>
    <w:rsid w:val="008C0241"/>
    <w:rsid w:val="008C1CBB"/>
    <w:rsid w:val="008D3529"/>
    <w:rsid w:val="008D4053"/>
    <w:rsid w:val="008D7C89"/>
    <w:rsid w:val="008E5084"/>
    <w:rsid w:val="008F5D79"/>
    <w:rsid w:val="00907682"/>
    <w:rsid w:val="00921BB2"/>
    <w:rsid w:val="00921BEA"/>
    <w:rsid w:val="009242CA"/>
    <w:rsid w:val="00926A0E"/>
    <w:rsid w:val="00931320"/>
    <w:rsid w:val="00935AC2"/>
    <w:rsid w:val="00942C01"/>
    <w:rsid w:val="009459A4"/>
    <w:rsid w:val="00965AC9"/>
    <w:rsid w:val="0097218A"/>
    <w:rsid w:val="0097614C"/>
    <w:rsid w:val="00986241"/>
    <w:rsid w:val="00997B80"/>
    <w:rsid w:val="009A0474"/>
    <w:rsid w:val="009A7053"/>
    <w:rsid w:val="009D6DE8"/>
    <w:rsid w:val="009F01E5"/>
    <w:rsid w:val="009F036C"/>
    <w:rsid w:val="009F4A16"/>
    <w:rsid w:val="00A03BF9"/>
    <w:rsid w:val="00A0678F"/>
    <w:rsid w:val="00A12615"/>
    <w:rsid w:val="00A13422"/>
    <w:rsid w:val="00A178F5"/>
    <w:rsid w:val="00A2269F"/>
    <w:rsid w:val="00A229D3"/>
    <w:rsid w:val="00A26CA3"/>
    <w:rsid w:val="00A329AE"/>
    <w:rsid w:val="00A40700"/>
    <w:rsid w:val="00A46C99"/>
    <w:rsid w:val="00A51441"/>
    <w:rsid w:val="00A51A99"/>
    <w:rsid w:val="00A54FBB"/>
    <w:rsid w:val="00A67B18"/>
    <w:rsid w:val="00A717E8"/>
    <w:rsid w:val="00A72807"/>
    <w:rsid w:val="00A736B1"/>
    <w:rsid w:val="00A753BA"/>
    <w:rsid w:val="00AA230B"/>
    <w:rsid w:val="00AB6385"/>
    <w:rsid w:val="00AC76FD"/>
    <w:rsid w:val="00AE645E"/>
    <w:rsid w:val="00AE7BA7"/>
    <w:rsid w:val="00B006FE"/>
    <w:rsid w:val="00B06943"/>
    <w:rsid w:val="00B20F3D"/>
    <w:rsid w:val="00B27AE8"/>
    <w:rsid w:val="00B325E2"/>
    <w:rsid w:val="00B3697B"/>
    <w:rsid w:val="00B43304"/>
    <w:rsid w:val="00B47C08"/>
    <w:rsid w:val="00B54A67"/>
    <w:rsid w:val="00B560FF"/>
    <w:rsid w:val="00B60353"/>
    <w:rsid w:val="00B621ED"/>
    <w:rsid w:val="00B7417A"/>
    <w:rsid w:val="00B876A2"/>
    <w:rsid w:val="00B90A18"/>
    <w:rsid w:val="00BA267B"/>
    <w:rsid w:val="00BB0678"/>
    <w:rsid w:val="00BB371E"/>
    <w:rsid w:val="00BB3A0B"/>
    <w:rsid w:val="00BC0A8B"/>
    <w:rsid w:val="00BC4432"/>
    <w:rsid w:val="00BC55A1"/>
    <w:rsid w:val="00BC58E9"/>
    <w:rsid w:val="00BC5932"/>
    <w:rsid w:val="00BD49F2"/>
    <w:rsid w:val="00BE3A31"/>
    <w:rsid w:val="00BF00EA"/>
    <w:rsid w:val="00BF25BA"/>
    <w:rsid w:val="00BF40C2"/>
    <w:rsid w:val="00BF5A12"/>
    <w:rsid w:val="00C071B6"/>
    <w:rsid w:val="00C07558"/>
    <w:rsid w:val="00C115CE"/>
    <w:rsid w:val="00C154A0"/>
    <w:rsid w:val="00C16C62"/>
    <w:rsid w:val="00C1789F"/>
    <w:rsid w:val="00C20981"/>
    <w:rsid w:val="00C21A8F"/>
    <w:rsid w:val="00C3146E"/>
    <w:rsid w:val="00C33E1C"/>
    <w:rsid w:val="00C438EC"/>
    <w:rsid w:val="00C5414A"/>
    <w:rsid w:val="00C54BF8"/>
    <w:rsid w:val="00C721AC"/>
    <w:rsid w:val="00C82014"/>
    <w:rsid w:val="00C853FB"/>
    <w:rsid w:val="00C90A8C"/>
    <w:rsid w:val="00C9352E"/>
    <w:rsid w:val="00C935AC"/>
    <w:rsid w:val="00CA3D02"/>
    <w:rsid w:val="00CA68C0"/>
    <w:rsid w:val="00CB341A"/>
    <w:rsid w:val="00CB6455"/>
    <w:rsid w:val="00CC50A0"/>
    <w:rsid w:val="00CD2F62"/>
    <w:rsid w:val="00CE2A69"/>
    <w:rsid w:val="00CE747F"/>
    <w:rsid w:val="00CF0D56"/>
    <w:rsid w:val="00CF383A"/>
    <w:rsid w:val="00D020B7"/>
    <w:rsid w:val="00D17952"/>
    <w:rsid w:val="00D31B02"/>
    <w:rsid w:val="00D5180D"/>
    <w:rsid w:val="00D72492"/>
    <w:rsid w:val="00D761F1"/>
    <w:rsid w:val="00D82EF4"/>
    <w:rsid w:val="00D852B9"/>
    <w:rsid w:val="00DB155C"/>
    <w:rsid w:val="00DB1E32"/>
    <w:rsid w:val="00DE072C"/>
    <w:rsid w:val="00DE083F"/>
    <w:rsid w:val="00DE0F27"/>
    <w:rsid w:val="00DE1FAB"/>
    <w:rsid w:val="00DF0155"/>
    <w:rsid w:val="00DF237C"/>
    <w:rsid w:val="00E109C0"/>
    <w:rsid w:val="00E250A5"/>
    <w:rsid w:val="00E35653"/>
    <w:rsid w:val="00E40949"/>
    <w:rsid w:val="00E432C4"/>
    <w:rsid w:val="00E64343"/>
    <w:rsid w:val="00E723FC"/>
    <w:rsid w:val="00E815CF"/>
    <w:rsid w:val="00E8613C"/>
    <w:rsid w:val="00EA12B1"/>
    <w:rsid w:val="00EB3837"/>
    <w:rsid w:val="00EB3A84"/>
    <w:rsid w:val="00EB5BB8"/>
    <w:rsid w:val="00EB6305"/>
    <w:rsid w:val="00EB68A3"/>
    <w:rsid w:val="00EC3F4A"/>
    <w:rsid w:val="00EC6F1E"/>
    <w:rsid w:val="00EE0AA3"/>
    <w:rsid w:val="00EF25B8"/>
    <w:rsid w:val="00EF5E6C"/>
    <w:rsid w:val="00F03E7D"/>
    <w:rsid w:val="00F0466F"/>
    <w:rsid w:val="00F135A7"/>
    <w:rsid w:val="00F21D98"/>
    <w:rsid w:val="00F25720"/>
    <w:rsid w:val="00F43EAF"/>
    <w:rsid w:val="00F46725"/>
    <w:rsid w:val="00F51420"/>
    <w:rsid w:val="00F5376C"/>
    <w:rsid w:val="00F61301"/>
    <w:rsid w:val="00F6669B"/>
    <w:rsid w:val="00F81B13"/>
    <w:rsid w:val="00F85150"/>
    <w:rsid w:val="00F95B85"/>
    <w:rsid w:val="00F96012"/>
    <w:rsid w:val="00F97571"/>
    <w:rsid w:val="00FA3989"/>
    <w:rsid w:val="00FB2F18"/>
    <w:rsid w:val="00FC4AB5"/>
    <w:rsid w:val="00FE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B6A0"/>
  <w15:docId w15:val="{0A4BE0BD-3674-4F01-9C94-7598949A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B6"/>
  </w:style>
  <w:style w:type="paragraph" w:styleId="Heading1">
    <w:name w:val="heading 1"/>
    <w:basedOn w:val="Normal"/>
    <w:next w:val="Normal"/>
    <w:link w:val="Heading1Char"/>
    <w:uiPriority w:val="9"/>
    <w:qFormat/>
    <w:rsid w:val="00341288"/>
    <w:pPr>
      <w:keepNext/>
      <w:keepLines/>
      <w:spacing w:before="240" w:after="0"/>
      <w:outlineLvl w:val="0"/>
    </w:pPr>
    <w:rPr>
      <w:rFonts w:ascii="Arial" w:eastAsiaTheme="majorEastAsia" w:hAnsi="Arial" w:cstheme="majorBidi"/>
      <w:b/>
      <w:caps/>
      <w:sz w:val="28"/>
      <w:szCs w:val="32"/>
    </w:rPr>
  </w:style>
  <w:style w:type="paragraph" w:styleId="Heading2">
    <w:name w:val="heading 2"/>
    <w:basedOn w:val="Normal"/>
    <w:next w:val="Normal"/>
    <w:link w:val="Heading2Char"/>
    <w:uiPriority w:val="9"/>
    <w:unhideWhenUsed/>
    <w:qFormat/>
    <w:rsid w:val="003C0062"/>
    <w:pPr>
      <w:keepNext/>
      <w:keepLines/>
      <w:spacing w:before="40" w:after="0"/>
      <w:outlineLvl w:val="1"/>
    </w:pPr>
    <w:rPr>
      <w:rFonts w:ascii="Arial" w:eastAsiaTheme="majorEastAsia" w:hAnsi="Arial" w:cstheme="majorBidi"/>
      <w:b/>
      <w:caps/>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41A"/>
    <w:rPr>
      <w:rFonts w:ascii="Segoe UI" w:hAnsi="Segoe UI" w:cs="Segoe UI"/>
      <w:sz w:val="18"/>
      <w:szCs w:val="18"/>
    </w:rPr>
  </w:style>
  <w:style w:type="character" w:styleId="Hyperlink">
    <w:name w:val="Hyperlink"/>
    <w:basedOn w:val="DefaultParagraphFont"/>
    <w:uiPriority w:val="99"/>
    <w:unhideWhenUsed/>
    <w:rsid w:val="00C90A8C"/>
    <w:rPr>
      <w:color w:val="0000FF"/>
      <w:u w:val="single"/>
    </w:rPr>
  </w:style>
  <w:style w:type="paragraph" w:styleId="ListParagraph">
    <w:name w:val="List Paragraph"/>
    <w:basedOn w:val="Normal"/>
    <w:uiPriority w:val="34"/>
    <w:qFormat/>
    <w:rsid w:val="00C90A8C"/>
    <w:pPr>
      <w:spacing w:after="200" w:line="276" w:lineRule="auto"/>
      <w:ind w:left="720"/>
      <w:contextualSpacing/>
    </w:pPr>
    <w:rPr>
      <w:rFonts w:ascii="Calibri" w:hAnsi="Calibri" w:cs="Times New Roman"/>
    </w:rPr>
  </w:style>
  <w:style w:type="paragraph" w:styleId="Header">
    <w:name w:val="header"/>
    <w:basedOn w:val="Normal"/>
    <w:link w:val="HeaderChar"/>
    <w:uiPriority w:val="99"/>
    <w:unhideWhenUsed/>
    <w:rsid w:val="00CA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D02"/>
  </w:style>
  <w:style w:type="paragraph" w:styleId="Footer">
    <w:name w:val="footer"/>
    <w:basedOn w:val="Normal"/>
    <w:link w:val="FooterChar"/>
    <w:uiPriority w:val="99"/>
    <w:unhideWhenUsed/>
    <w:rsid w:val="00CA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02"/>
  </w:style>
  <w:style w:type="character" w:styleId="CommentReference">
    <w:name w:val="annotation reference"/>
    <w:basedOn w:val="DefaultParagraphFont"/>
    <w:uiPriority w:val="99"/>
    <w:semiHidden/>
    <w:unhideWhenUsed/>
    <w:rsid w:val="00107AD4"/>
    <w:rPr>
      <w:sz w:val="16"/>
      <w:szCs w:val="16"/>
    </w:rPr>
  </w:style>
  <w:style w:type="paragraph" w:styleId="CommentText">
    <w:name w:val="annotation text"/>
    <w:basedOn w:val="Normal"/>
    <w:link w:val="CommentTextChar"/>
    <w:uiPriority w:val="99"/>
    <w:semiHidden/>
    <w:unhideWhenUsed/>
    <w:rsid w:val="00107AD4"/>
    <w:pPr>
      <w:spacing w:line="240" w:lineRule="auto"/>
    </w:pPr>
    <w:rPr>
      <w:sz w:val="20"/>
      <w:szCs w:val="20"/>
    </w:rPr>
  </w:style>
  <w:style w:type="character" w:customStyle="1" w:styleId="CommentTextChar">
    <w:name w:val="Comment Text Char"/>
    <w:basedOn w:val="DefaultParagraphFont"/>
    <w:link w:val="CommentText"/>
    <w:uiPriority w:val="99"/>
    <w:semiHidden/>
    <w:rsid w:val="00107AD4"/>
    <w:rPr>
      <w:sz w:val="20"/>
      <w:szCs w:val="20"/>
    </w:rPr>
  </w:style>
  <w:style w:type="paragraph" w:styleId="CommentSubject">
    <w:name w:val="annotation subject"/>
    <w:basedOn w:val="CommentText"/>
    <w:next w:val="CommentText"/>
    <w:link w:val="CommentSubjectChar"/>
    <w:uiPriority w:val="99"/>
    <w:semiHidden/>
    <w:unhideWhenUsed/>
    <w:rsid w:val="00107AD4"/>
    <w:rPr>
      <w:b/>
      <w:bCs/>
    </w:rPr>
  </w:style>
  <w:style w:type="character" w:customStyle="1" w:styleId="CommentSubjectChar">
    <w:name w:val="Comment Subject Char"/>
    <w:basedOn w:val="CommentTextChar"/>
    <w:link w:val="CommentSubject"/>
    <w:uiPriority w:val="99"/>
    <w:semiHidden/>
    <w:rsid w:val="00107AD4"/>
    <w:rPr>
      <w:b/>
      <w:bCs/>
      <w:sz w:val="20"/>
      <w:szCs w:val="20"/>
    </w:rPr>
  </w:style>
  <w:style w:type="table" w:styleId="TableGrid">
    <w:name w:val="Table Grid"/>
    <w:basedOn w:val="TableNormal"/>
    <w:uiPriority w:val="39"/>
    <w:rsid w:val="0004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F88"/>
    <w:pPr>
      <w:spacing w:after="0" w:line="240" w:lineRule="auto"/>
    </w:pPr>
  </w:style>
  <w:style w:type="paragraph" w:styleId="NormalWeb">
    <w:name w:val="Normal (Web)"/>
    <w:basedOn w:val="Normal"/>
    <w:uiPriority w:val="99"/>
    <w:semiHidden/>
    <w:unhideWhenUsed/>
    <w:rsid w:val="00526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F0B5E"/>
    <w:rPr>
      <w:color w:val="605E5C"/>
      <w:shd w:val="clear" w:color="auto" w:fill="E1DFDD"/>
    </w:rPr>
  </w:style>
  <w:style w:type="table" w:customStyle="1" w:styleId="TableGrid2">
    <w:name w:val="Table Grid2"/>
    <w:basedOn w:val="TableNormal"/>
    <w:next w:val="TableGrid"/>
    <w:uiPriority w:val="39"/>
    <w:rsid w:val="0050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288"/>
    <w:rPr>
      <w:rFonts w:ascii="Arial" w:eastAsiaTheme="majorEastAsia" w:hAnsi="Arial" w:cstheme="majorBidi"/>
      <w:b/>
      <w:caps/>
      <w:sz w:val="28"/>
      <w:szCs w:val="32"/>
    </w:rPr>
  </w:style>
  <w:style w:type="character" w:customStyle="1" w:styleId="Heading2Char">
    <w:name w:val="Heading 2 Char"/>
    <w:basedOn w:val="DefaultParagraphFont"/>
    <w:link w:val="Heading2"/>
    <w:uiPriority w:val="9"/>
    <w:rsid w:val="003C0062"/>
    <w:rPr>
      <w:rFonts w:ascii="Arial" w:eastAsiaTheme="majorEastAsia" w:hAnsi="Arial" w:cstheme="majorBidi"/>
      <w:b/>
      <w:caps/>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1013">
      <w:bodyDiv w:val="1"/>
      <w:marLeft w:val="0"/>
      <w:marRight w:val="0"/>
      <w:marTop w:val="0"/>
      <w:marBottom w:val="0"/>
      <w:divBdr>
        <w:top w:val="none" w:sz="0" w:space="0" w:color="auto"/>
        <w:left w:val="none" w:sz="0" w:space="0" w:color="auto"/>
        <w:bottom w:val="none" w:sz="0" w:space="0" w:color="auto"/>
        <w:right w:val="none" w:sz="0" w:space="0" w:color="auto"/>
      </w:divBdr>
    </w:div>
    <w:div w:id="322706387">
      <w:bodyDiv w:val="1"/>
      <w:marLeft w:val="0"/>
      <w:marRight w:val="0"/>
      <w:marTop w:val="0"/>
      <w:marBottom w:val="0"/>
      <w:divBdr>
        <w:top w:val="none" w:sz="0" w:space="0" w:color="auto"/>
        <w:left w:val="none" w:sz="0" w:space="0" w:color="auto"/>
        <w:bottom w:val="none" w:sz="0" w:space="0" w:color="auto"/>
        <w:right w:val="none" w:sz="0" w:space="0" w:color="auto"/>
      </w:divBdr>
    </w:div>
    <w:div w:id="333920703">
      <w:bodyDiv w:val="1"/>
      <w:marLeft w:val="0"/>
      <w:marRight w:val="0"/>
      <w:marTop w:val="0"/>
      <w:marBottom w:val="0"/>
      <w:divBdr>
        <w:top w:val="none" w:sz="0" w:space="0" w:color="auto"/>
        <w:left w:val="none" w:sz="0" w:space="0" w:color="auto"/>
        <w:bottom w:val="none" w:sz="0" w:space="0" w:color="auto"/>
        <w:right w:val="none" w:sz="0" w:space="0" w:color="auto"/>
      </w:divBdr>
    </w:div>
    <w:div w:id="398745779">
      <w:bodyDiv w:val="1"/>
      <w:marLeft w:val="0"/>
      <w:marRight w:val="0"/>
      <w:marTop w:val="0"/>
      <w:marBottom w:val="0"/>
      <w:divBdr>
        <w:top w:val="none" w:sz="0" w:space="0" w:color="auto"/>
        <w:left w:val="none" w:sz="0" w:space="0" w:color="auto"/>
        <w:bottom w:val="none" w:sz="0" w:space="0" w:color="auto"/>
        <w:right w:val="none" w:sz="0" w:space="0" w:color="auto"/>
      </w:divBdr>
    </w:div>
    <w:div w:id="430931286">
      <w:bodyDiv w:val="1"/>
      <w:marLeft w:val="0"/>
      <w:marRight w:val="0"/>
      <w:marTop w:val="0"/>
      <w:marBottom w:val="0"/>
      <w:divBdr>
        <w:top w:val="none" w:sz="0" w:space="0" w:color="auto"/>
        <w:left w:val="none" w:sz="0" w:space="0" w:color="auto"/>
        <w:bottom w:val="none" w:sz="0" w:space="0" w:color="auto"/>
        <w:right w:val="none" w:sz="0" w:space="0" w:color="auto"/>
      </w:divBdr>
    </w:div>
    <w:div w:id="575479489">
      <w:bodyDiv w:val="1"/>
      <w:marLeft w:val="0"/>
      <w:marRight w:val="0"/>
      <w:marTop w:val="0"/>
      <w:marBottom w:val="0"/>
      <w:divBdr>
        <w:top w:val="none" w:sz="0" w:space="0" w:color="auto"/>
        <w:left w:val="none" w:sz="0" w:space="0" w:color="auto"/>
        <w:bottom w:val="none" w:sz="0" w:space="0" w:color="auto"/>
        <w:right w:val="none" w:sz="0" w:space="0" w:color="auto"/>
      </w:divBdr>
    </w:div>
    <w:div w:id="628706103">
      <w:bodyDiv w:val="1"/>
      <w:marLeft w:val="0"/>
      <w:marRight w:val="0"/>
      <w:marTop w:val="0"/>
      <w:marBottom w:val="0"/>
      <w:divBdr>
        <w:top w:val="none" w:sz="0" w:space="0" w:color="auto"/>
        <w:left w:val="none" w:sz="0" w:space="0" w:color="auto"/>
        <w:bottom w:val="none" w:sz="0" w:space="0" w:color="auto"/>
        <w:right w:val="none" w:sz="0" w:space="0" w:color="auto"/>
      </w:divBdr>
    </w:div>
    <w:div w:id="920257152">
      <w:bodyDiv w:val="1"/>
      <w:marLeft w:val="0"/>
      <w:marRight w:val="0"/>
      <w:marTop w:val="0"/>
      <w:marBottom w:val="0"/>
      <w:divBdr>
        <w:top w:val="none" w:sz="0" w:space="0" w:color="auto"/>
        <w:left w:val="none" w:sz="0" w:space="0" w:color="auto"/>
        <w:bottom w:val="none" w:sz="0" w:space="0" w:color="auto"/>
        <w:right w:val="none" w:sz="0" w:space="0" w:color="auto"/>
      </w:divBdr>
    </w:div>
    <w:div w:id="1069381977">
      <w:bodyDiv w:val="1"/>
      <w:marLeft w:val="0"/>
      <w:marRight w:val="0"/>
      <w:marTop w:val="0"/>
      <w:marBottom w:val="0"/>
      <w:divBdr>
        <w:top w:val="none" w:sz="0" w:space="0" w:color="auto"/>
        <w:left w:val="none" w:sz="0" w:space="0" w:color="auto"/>
        <w:bottom w:val="none" w:sz="0" w:space="0" w:color="auto"/>
        <w:right w:val="none" w:sz="0" w:space="0" w:color="auto"/>
      </w:divBdr>
      <w:divsChild>
        <w:div w:id="705452627">
          <w:marLeft w:val="547"/>
          <w:marRight w:val="0"/>
          <w:marTop w:val="0"/>
          <w:marBottom w:val="0"/>
          <w:divBdr>
            <w:top w:val="none" w:sz="0" w:space="0" w:color="auto"/>
            <w:left w:val="none" w:sz="0" w:space="0" w:color="auto"/>
            <w:bottom w:val="none" w:sz="0" w:space="0" w:color="auto"/>
            <w:right w:val="none" w:sz="0" w:space="0" w:color="auto"/>
          </w:divBdr>
        </w:div>
        <w:div w:id="2088188666">
          <w:marLeft w:val="547"/>
          <w:marRight w:val="0"/>
          <w:marTop w:val="0"/>
          <w:marBottom w:val="0"/>
          <w:divBdr>
            <w:top w:val="none" w:sz="0" w:space="0" w:color="auto"/>
            <w:left w:val="none" w:sz="0" w:space="0" w:color="auto"/>
            <w:bottom w:val="none" w:sz="0" w:space="0" w:color="auto"/>
            <w:right w:val="none" w:sz="0" w:space="0" w:color="auto"/>
          </w:divBdr>
        </w:div>
        <w:div w:id="711267935">
          <w:marLeft w:val="547"/>
          <w:marRight w:val="0"/>
          <w:marTop w:val="0"/>
          <w:marBottom w:val="0"/>
          <w:divBdr>
            <w:top w:val="none" w:sz="0" w:space="0" w:color="auto"/>
            <w:left w:val="none" w:sz="0" w:space="0" w:color="auto"/>
            <w:bottom w:val="none" w:sz="0" w:space="0" w:color="auto"/>
            <w:right w:val="none" w:sz="0" w:space="0" w:color="auto"/>
          </w:divBdr>
        </w:div>
        <w:div w:id="362708722">
          <w:marLeft w:val="547"/>
          <w:marRight w:val="0"/>
          <w:marTop w:val="0"/>
          <w:marBottom w:val="0"/>
          <w:divBdr>
            <w:top w:val="none" w:sz="0" w:space="0" w:color="auto"/>
            <w:left w:val="none" w:sz="0" w:space="0" w:color="auto"/>
            <w:bottom w:val="none" w:sz="0" w:space="0" w:color="auto"/>
            <w:right w:val="none" w:sz="0" w:space="0" w:color="auto"/>
          </w:divBdr>
        </w:div>
      </w:divsChild>
    </w:div>
    <w:div w:id="1078482281">
      <w:bodyDiv w:val="1"/>
      <w:marLeft w:val="0"/>
      <w:marRight w:val="0"/>
      <w:marTop w:val="0"/>
      <w:marBottom w:val="0"/>
      <w:divBdr>
        <w:top w:val="none" w:sz="0" w:space="0" w:color="auto"/>
        <w:left w:val="none" w:sz="0" w:space="0" w:color="auto"/>
        <w:bottom w:val="none" w:sz="0" w:space="0" w:color="auto"/>
        <w:right w:val="none" w:sz="0" w:space="0" w:color="auto"/>
      </w:divBdr>
    </w:div>
    <w:div w:id="1262228149">
      <w:bodyDiv w:val="1"/>
      <w:marLeft w:val="0"/>
      <w:marRight w:val="0"/>
      <w:marTop w:val="0"/>
      <w:marBottom w:val="0"/>
      <w:divBdr>
        <w:top w:val="none" w:sz="0" w:space="0" w:color="auto"/>
        <w:left w:val="none" w:sz="0" w:space="0" w:color="auto"/>
        <w:bottom w:val="none" w:sz="0" w:space="0" w:color="auto"/>
        <w:right w:val="none" w:sz="0" w:space="0" w:color="auto"/>
      </w:divBdr>
    </w:div>
    <w:div w:id="1284851227">
      <w:bodyDiv w:val="1"/>
      <w:marLeft w:val="0"/>
      <w:marRight w:val="0"/>
      <w:marTop w:val="0"/>
      <w:marBottom w:val="0"/>
      <w:divBdr>
        <w:top w:val="none" w:sz="0" w:space="0" w:color="auto"/>
        <w:left w:val="none" w:sz="0" w:space="0" w:color="auto"/>
        <w:bottom w:val="none" w:sz="0" w:space="0" w:color="auto"/>
        <w:right w:val="none" w:sz="0" w:space="0" w:color="auto"/>
      </w:divBdr>
    </w:div>
    <w:div w:id="1440291693">
      <w:bodyDiv w:val="1"/>
      <w:marLeft w:val="0"/>
      <w:marRight w:val="0"/>
      <w:marTop w:val="0"/>
      <w:marBottom w:val="0"/>
      <w:divBdr>
        <w:top w:val="none" w:sz="0" w:space="0" w:color="auto"/>
        <w:left w:val="none" w:sz="0" w:space="0" w:color="auto"/>
        <w:bottom w:val="none" w:sz="0" w:space="0" w:color="auto"/>
        <w:right w:val="none" w:sz="0" w:space="0" w:color="auto"/>
      </w:divBdr>
    </w:div>
    <w:div w:id="1550190910">
      <w:bodyDiv w:val="1"/>
      <w:marLeft w:val="0"/>
      <w:marRight w:val="0"/>
      <w:marTop w:val="0"/>
      <w:marBottom w:val="0"/>
      <w:divBdr>
        <w:top w:val="none" w:sz="0" w:space="0" w:color="auto"/>
        <w:left w:val="none" w:sz="0" w:space="0" w:color="auto"/>
        <w:bottom w:val="none" w:sz="0" w:space="0" w:color="auto"/>
        <w:right w:val="none" w:sz="0" w:space="0" w:color="auto"/>
      </w:divBdr>
      <w:divsChild>
        <w:div w:id="1481533051">
          <w:marLeft w:val="0"/>
          <w:marRight w:val="0"/>
          <w:marTop w:val="0"/>
          <w:marBottom w:val="0"/>
          <w:divBdr>
            <w:top w:val="none" w:sz="0" w:space="0" w:color="auto"/>
            <w:left w:val="none" w:sz="0" w:space="0" w:color="auto"/>
            <w:bottom w:val="none" w:sz="0" w:space="0" w:color="auto"/>
            <w:right w:val="none" w:sz="0" w:space="0" w:color="auto"/>
          </w:divBdr>
        </w:div>
        <w:div w:id="640235771">
          <w:marLeft w:val="0"/>
          <w:marRight w:val="0"/>
          <w:marTop w:val="0"/>
          <w:marBottom w:val="0"/>
          <w:divBdr>
            <w:top w:val="none" w:sz="0" w:space="0" w:color="auto"/>
            <w:left w:val="none" w:sz="0" w:space="0" w:color="auto"/>
            <w:bottom w:val="none" w:sz="0" w:space="0" w:color="auto"/>
            <w:right w:val="none" w:sz="0" w:space="0" w:color="auto"/>
          </w:divBdr>
        </w:div>
        <w:div w:id="79983013">
          <w:marLeft w:val="0"/>
          <w:marRight w:val="0"/>
          <w:marTop w:val="0"/>
          <w:marBottom w:val="0"/>
          <w:divBdr>
            <w:top w:val="none" w:sz="0" w:space="0" w:color="auto"/>
            <w:left w:val="none" w:sz="0" w:space="0" w:color="auto"/>
            <w:bottom w:val="none" w:sz="0" w:space="0" w:color="auto"/>
            <w:right w:val="none" w:sz="0" w:space="0" w:color="auto"/>
          </w:divBdr>
        </w:div>
      </w:divsChild>
    </w:div>
    <w:div w:id="16536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wilson@cookchildren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1CA3-97CE-4F4E-9ABB-5AD48C55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TechnicalDress Rehearsal6</dc:creator>
  <cp:lastModifiedBy>Kenneth Feingold</cp:lastModifiedBy>
  <cp:revision>4</cp:revision>
  <cp:lastPrinted>2018-08-17T16:30:00Z</cp:lastPrinted>
  <dcterms:created xsi:type="dcterms:W3CDTF">2023-06-15T22:54:00Z</dcterms:created>
  <dcterms:modified xsi:type="dcterms:W3CDTF">2023-06-16T00:36:00Z</dcterms:modified>
</cp:coreProperties>
</file>