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074ADBB" w14:textId="44345CFB" w:rsidR="0016751E" w:rsidRPr="00735ABA" w:rsidRDefault="003C4ED9" w:rsidP="00B55FE6">
      <w:pPr>
        <w:rPr>
          <w:rStyle w:val="Strong"/>
          <w:rFonts w:ascii="Arial" w:hAnsi="Arial" w:cs="Arial"/>
          <w:color w:val="000000"/>
          <w:sz w:val="24"/>
        </w:rPr>
      </w:pPr>
      <w:bookmarkStart w:id="0" w:name="_Toc145824089"/>
      <w:r w:rsidRPr="00735ABA">
        <w:rPr>
          <w:rStyle w:val="Strong"/>
          <w:rFonts w:ascii="Arial" w:hAnsi="Arial" w:cs="Arial"/>
          <w:color w:val="000000"/>
          <w:sz w:val="24"/>
        </w:rPr>
        <w:t>REPRINTED </w:t>
      </w:r>
      <w:r w:rsidR="0016751E" w:rsidRPr="00735ABA">
        <w:rPr>
          <w:rStyle w:val="Strong"/>
          <w:rFonts w:ascii="Arial" w:hAnsi="Arial" w:cs="Arial"/>
          <w:color w:val="000000"/>
          <w:sz w:val="24"/>
        </w:rPr>
        <w:t xml:space="preserve">FROM </w:t>
      </w:r>
      <w:hyperlink r:id="rId8" w:history="1">
        <w:r w:rsidR="00AA491A" w:rsidRPr="00735ABA">
          <w:rPr>
            <w:rStyle w:val="Hyperlink"/>
            <w:rFonts w:ascii="Arial" w:hAnsi="Arial" w:cs="Arial"/>
            <w:b/>
            <w:szCs w:val="30"/>
          </w:rPr>
          <w:t>WWW.THYROIDMANAGER.ORG</w:t>
        </w:r>
      </w:hyperlink>
    </w:p>
    <w:p w14:paraId="4739C489" w14:textId="77777777" w:rsidR="0016751E" w:rsidRPr="00735ABA" w:rsidRDefault="0016751E" w:rsidP="00B55FE6">
      <w:pPr>
        <w:rPr>
          <w:rStyle w:val="Strong"/>
          <w:rFonts w:ascii="Arial" w:hAnsi="Arial" w:cs="Arial"/>
          <w:color w:val="000000"/>
          <w:sz w:val="24"/>
        </w:rPr>
      </w:pPr>
    </w:p>
    <w:bookmarkEnd w:id="0"/>
    <w:p w14:paraId="0E35A14D" w14:textId="77777777" w:rsidR="0016751E" w:rsidRPr="00735ABA" w:rsidRDefault="005759F1" w:rsidP="00B55FE6">
      <w:pPr>
        <w:rPr>
          <w:rFonts w:ascii="Arial" w:hAnsi="Arial" w:cs="Arial"/>
          <w:b/>
          <w:color w:val="1F497D"/>
          <w:sz w:val="28"/>
          <w:szCs w:val="28"/>
        </w:rPr>
      </w:pPr>
      <w:r w:rsidRPr="00735ABA">
        <w:rPr>
          <w:rFonts w:ascii="Arial" w:hAnsi="Arial" w:cs="Arial"/>
          <w:b/>
          <w:color w:val="1F497D"/>
          <w:sz w:val="28"/>
          <w:szCs w:val="28"/>
        </w:rPr>
        <w:t xml:space="preserve">CHAPTER 17 – MULTINODULAR GOITER </w:t>
      </w:r>
    </w:p>
    <w:p w14:paraId="2615EA44" w14:textId="77777777" w:rsidR="009414A1" w:rsidRDefault="009414A1" w:rsidP="00B55FE6">
      <w:pPr>
        <w:rPr>
          <w:rFonts w:ascii="Arial" w:hAnsi="Arial" w:cs="Arial"/>
          <w:b/>
        </w:rPr>
      </w:pPr>
    </w:p>
    <w:p w14:paraId="6BA7B74D" w14:textId="77777777" w:rsidR="00F77D94" w:rsidRPr="00735ABA" w:rsidRDefault="00AA491A" w:rsidP="00B55FE6">
      <w:pPr>
        <w:rPr>
          <w:rFonts w:ascii="Arial" w:hAnsi="Arial" w:cs="Arial"/>
          <w:sz w:val="20"/>
          <w:szCs w:val="20"/>
        </w:rPr>
      </w:pPr>
      <w:r w:rsidRPr="00735ABA">
        <w:rPr>
          <w:rFonts w:ascii="Arial" w:hAnsi="Arial" w:cs="Arial"/>
          <w:b/>
        </w:rPr>
        <w:t>Geraldo Medeiros-Neto, MD, MACP</w:t>
      </w:r>
      <w:r w:rsidRPr="00735ABA">
        <w:rPr>
          <w:rFonts w:ascii="Arial" w:hAnsi="Arial" w:cs="Arial"/>
        </w:rPr>
        <w:t xml:space="preserve">, </w:t>
      </w:r>
      <w:r w:rsidRPr="00735ABA">
        <w:rPr>
          <w:rFonts w:ascii="Arial" w:hAnsi="Arial" w:cs="Arial"/>
          <w:sz w:val="20"/>
          <w:szCs w:val="20"/>
        </w:rPr>
        <w:t>Senior Professor of Endocrinology,</w:t>
      </w:r>
    </w:p>
    <w:p w14:paraId="1C2FE748" w14:textId="2A025097" w:rsidR="00F77D94" w:rsidRPr="00E47C7A" w:rsidRDefault="00E47C7A" w:rsidP="00B55FE6">
      <w:pPr>
        <w:rPr>
          <w:rFonts w:ascii="Arial" w:hAnsi="Arial" w:cs="Arial"/>
          <w:sz w:val="20"/>
          <w:szCs w:val="20"/>
        </w:rPr>
      </w:pPr>
      <w:r>
        <w:rPr>
          <w:rFonts w:ascii="Arial" w:hAnsi="Arial" w:cs="Arial"/>
          <w:sz w:val="20"/>
          <w:szCs w:val="20"/>
        </w:rPr>
        <w:t xml:space="preserve">Department of Medicine, University of </w:t>
      </w:r>
      <w:r w:rsidR="00AA491A" w:rsidRPr="00E47C7A">
        <w:rPr>
          <w:rFonts w:ascii="Arial" w:hAnsi="Arial" w:cs="Arial"/>
          <w:sz w:val="20"/>
          <w:szCs w:val="20"/>
        </w:rPr>
        <w:t>Sao Paulo Medical School,</w:t>
      </w:r>
    </w:p>
    <w:p w14:paraId="74C8749E" w14:textId="77777777" w:rsidR="00AA491A" w:rsidRPr="00E47C7A" w:rsidRDefault="00AA491A" w:rsidP="00B55FE6">
      <w:pPr>
        <w:rPr>
          <w:rFonts w:ascii="Arial" w:hAnsi="Arial" w:cs="Arial"/>
          <w:sz w:val="20"/>
          <w:szCs w:val="20"/>
          <w:lang w:val="pt-BR"/>
        </w:rPr>
      </w:pPr>
      <w:r w:rsidRPr="00E47C7A">
        <w:rPr>
          <w:rFonts w:ascii="Arial" w:hAnsi="Arial" w:cs="Arial"/>
          <w:sz w:val="20"/>
          <w:szCs w:val="20"/>
          <w:lang w:val="pt-BR"/>
        </w:rPr>
        <w:t xml:space="preserve">Rua Artur Ramos, 96 - 01454-903 Sao Paulo, SP </w:t>
      </w:r>
      <w:r w:rsidR="00C55838" w:rsidRPr="00E47C7A">
        <w:rPr>
          <w:rFonts w:ascii="Arial" w:hAnsi="Arial" w:cs="Arial"/>
          <w:sz w:val="20"/>
          <w:szCs w:val="20"/>
          <w:lang w:val="pt-BR"/>
        </w:rPr>
        <w:t>–</w:t>
      </w:r>
      <w:r w:rsidRPr="00E47C7A">
        <w:rPr>
          <w:rFonts w:ascii="Arial" w:hAnsi="Arial" w:cs="Arial"/>
          <w:sz w:val="20"/>
          <w:szCs w:val="20"/>
          <w:lang w:val="pt-BR"/>
        </w:rPr>
        <w:t xml:space="preserve"> BRAZIL</w:t>
      </w:r>
    </w:p>
    <w:p w14:paraId="492ECBD5" w14:textId="77777777" w:rsidR="00C55838" w:rsidRPr="00E47C7A" w:rsidRDefault="00C55838" w:rsidP="00B55FE6">
      <w:pPr>
        <w:rPr>
          <w:rFonts w:ascii="Arial" w:hAnsi="Arial" w:cs="Arial"/>
          <w:sz w:val="20"/>
          <w:szCs w:val="20"/>
          <w:lang w:val="pt-BR"/>
        </w:rPr>
      </w:pPr>
    </w:p>
    <w:p w14:paraId="234E7CBA" w14:textId="1F94B0EA" w:rsidR="00C55838" w:rsidRPr="00735ABA" w:rsidRDefault="004C1ADB" w:rsidP="00C55838">
      <w:pPr>
        <w:shd w:val="clear" w:color="auto" w:fill="FFFFFF"/>
        <w:rPr>
          <w:rFonts w:ascii="Arial" w:hAnsi="Arial" w:cs="Arial"/>
          <w:sz w:val="20"/>
          <w:szCs w:val="20"/>
        </w:rPr>
      </w:pPr>
      <w:r w:rsidRPr="00735ABA">
        <w:rPr>
          <w:rFonts w:ascii="Arial" w:hAnsi="Arial" w:cs="Arial"/>
          <w:b/>
        </w:rPr>
        <w:t>Ileana G. S. Rubio, PhD</w:t>
      </w:r>
      <w:r w:rsidR="00C55838" w:rsidRPr="00735ABA">
        <w:rPr>
          <w:rFonts w:ascii="Arial" w:hAnsi="Arial" w:cs="Arial"/>
          <w:b/>
        </w:rPr>
        <w:t>,</w:t>
      </w:r>
      <w:r w:rsidR="00C55838" w:rsidRPr="00735ABA">
        <w:rPr>
          <w:rFonts w:ascii="Arial" w:hAnsi="Arial" w:cs="Arial"/>
          <w:sz w:val="20"/>
          <w:szCs w:val="20"/>
        </w:rPr>
        <w:t xml:space="preserve"> Professor of Genetics, Department of Biological Sciences, </w:t>
      </w:r>
      <w:r w:rsidR="00E47C7A">
        <w:rPr>
          <w:rFonts w:ascii="Arial" w:hAnsi="Arial" w:cs="Arial"/>
          <w:sz w:val="20"/>
          <w:szCs w:val="20"/>
        </w:rPr>
        <w:t xml:space="preserve"> </w:t>
      </w:r>
      <w:r w:rsidR="00C55838" w:rsidRPr="00735ABA">
        <w:rPr>
          <w:rFonts w:ascii="Arial" w:hAnsi="Arial" w:cs="Arial"/>
          <w:sz w:val="20"/>
          <w:szCs w:val="20"/>
        </w:rPr>
        <w:t xml:space="preserve">Federal University of São Paulo, </w:t>
      </w:r>
    </w:p>
    <w:p w14:paraId="1513B6F3" w14:textId="34479DF7" w:rsidR="00C55838" w:rsidRPr="00E47C7A" w:rsidRDefault="00C55838" w:rsidP="00C55838">
      <w:pPr>
        <w:shd w:val="clear" w:color="auto" w:fill="FFFFFF"/>
        <w:rPr>
          <w:rFonts w:cs="Arial"/>
          <w:color w:val="auto"/>
          <w:lang w:val="pt-BR"/>
        </w:rPr>
      </w:pPr>
      <w:r w:rsidRPr="00E47C7A">
        <w:rPr>
          <w:rFonts w:cs="Arial"/>
          <w:color w:val="auto"/>
          <w:lang w:val="pt-BR"/>
        </w:rPr>
        <w:t>Rua São Nicolau 210, 5</w:t>
      </w:r>
      <w:r w:rsidRPr="00E47C7A">
        <w:rPr>
          <w:rFonts w:cs="Arial"/>
          <w:color w:val="auto"/>
          <w:vertAlign w:val="superscript"/>
          <w:lang w:val="pt-BR"/>
        </w:rPr>
        <w:t>o</w:t>
      </w:r>
      <w:r w:rsidRPr="00E47C7A">
        <w:rPr>
          <w:rFonts w:cs="Arial"/>
          <w:color w:val="auto"/>
          <w:lang w:val="pt-BR"/>
        </w:rPr>
        <w:t xml:space="preserve"> andar, 09913-030</w:t>
      </w:r>
      <w:r w:rsidR="00E47C7A" w:rsidRPr="00E47C7A">
        <w:rPr>
          <w:rFonts w:cs="Arial"/>
          <w:color w:val="auto"/>
          <w:lang w:val="pt-BR"/>
        </w:rPr>
        <w:t xml:space="preserve"> Diadema, SP -</w:t>
      </w:r>
      <w:r w:rsidRPr="00E47C7A">
        <w:rPr>
          <w:rFonts w:cs="Arial"/>
          <w:color w:val="auto"/>
          <w:lang w:val="pt-BR"/>
        </w:rPr>
        <w:t xml:space="preserve"> BRAZIL </w:t>
      </w:r>
    </w:p>
    <w:p w14:paraId="305E57C7" w14:textId="77777777" w:rsidR="00C55838" w:rsidRPr="00E47C7A" w:rsidRDefault="00C55838" w:rsidP="00B55FE6">
      <w:pPr>
        <w:rPr>
          <w:rFonts w:ascii="Arial" w:hAnsi="Arial" w:cs="Arial"/>
          <w:szCs w:val="20"/>
          <w:lang w:val="pt-BR"/>
        </w:rPr>
      </w:pPr>
    </w:p>
    <w:p w14:paraId="2E5A3C6B" w14:textId="77777777" w:rsidR="00AA491A" w:rsidRPr="00E47C7A" w:rsidRDefault="00AA491A" w:rsidP="00B55FE6">
      <w:pPr>
        <w:rPr>
          <w:rFonts w:ascii="Arial" w:hAnsi="Arial" w:cs="Arial"/>
          <w:lang w:val="pt-BR"/>
        </w:rPr>
      </w:pPr>
    </w:p>
    <w:p w14:paraId="56CCA784" w14:textId="03A0A872" w:rsidR="00340DBD" w:rsidRPr="00735ABA" w:rsidRDefault="00D671BD" w:rsidP="00B55FE6">
      <w:pPr>
        <w:rPr>
          <w:rFonts w:ascii="Arial" w:hAnsi="Arial" w:cs="Arial"/>
        </w:rPr>
      </w:pPr>
      <w:r w:rsidRPr="00735ABA">
        <w:rPr>
          <w:rFonts w:ascii="Arial" w:hAnsi="Arial" w:cs="Arial"/>
        </w:rPr>
        <w:t xml:space="preserve">Revised </w:t>
      </w:r>
      <w:r w:rsidR="00C55838" w:rsidRPr="00735ABA">
        <w:rPr>
          <w:rFonts w:ascii="Arial" w:hAnsi="Arial" w:cs="Arial"/>
        </w:rPr>
        <w:t xml:space="preserve"> </w:t>
      </w:r>
      <w:r w:rsidR="00006342">
        <w:rPr>
          <w:rFonts w:ascii="Arial" w:hAnsi="Arial" w:cs="Arial"/>
        </w:rPr>
        <w:t>9/1/</w:t>
      </w:r>
      <w:r w:rsidR="00C55838" w:rsidRPr="00735ABA">
        <w:rPr>
          <w:rFonts w:ascii="Arial" w:hAnsi="Arial" w:cs="Arial"/>
        </w:rPr>
        <w:t>2016</w:t>
      </w:r>
    </w:p>
    <w:p w14:paraId="04435A35" w14:textId="77777777" w:rsidR="00340DBD" w:rsidRPr="00735ABA" w:rsidRDefault="00340DBD" w:rsidP="00B55FE6">
      <w:pPr>
        <w:rPr>
          <w:rFonts w:ascii="Arial" w:hAnsi="Arial" w:cs="Arial"/>
        </w:rPr>
      </w:pPr>
    </w:p>
    <w:p w14:paraId="2002A724" w14:textId="77777777" w:rsidR="00B835F9" w:rsidRPr="00586BC7" w:rsidRDefault="00B835F9" w:rsidP="00B835F9">
      <w:pPr>
        <w:pStyle w:val="Heading1"/>
        <w:spacing w:line="360" w:lineRule="auto"/>
        <w:rPr>
          <w:sz w:val="22"/>
          <w:szCs w:val="22"/>
        </w:rPr>
      </w:pPr>
      <w:r w:rsidRPr="00586BC7">
        <w:rPr>
          <w:sz w:val="22"/>
          <w:szCs w:val="22"/>
        </w:rPr>
        <w:t>ABSTRACT</w:t>
      </w:r>
    </w:p>
    <w:p w14:paraId="24230C4D" w14:textId="77777777" w:rsidR="00ED15B6" w:rsidRDefault="00B835F9" w:rsidP="00ED15B6">
      <w:pPr>
        <w:rPr>
          <w:rFonts w:ascii="Arial" w:hAnsi="Arial" w:cs="Arial"/>
        </w:rPr>
      </w:pPr>
      <w:r w:rsidRPr="00586BC7">
        <w:rPr>
          <w:rFonts w:ascii="Arial" w:hAnsi="Arial" w:cs="Arial"/>
          <w:sz w:val="22"/>
          <w:szCs w:val="22"/>
        </w:rPr>
        <w:t xml:space="preserve">Multinodular goiter (MNG) is the most common of all the disorders of the thyroid gland.  MNG is the result of </w:t>
      </w:r>
      <w:r>
        <w:rPr>
          <w:rFonts w:ascii="Arial" w:hAnsi="Arial" w:cs="Arial"/>
          <w:sz w:val="22"/>
          <w:szCs w:val="22"/>
        </w:rPr>
        <w:t>the</w:t>
      </w:r>
      <w:r w:rsidRPr="00586BC7">
        <w:rPr>
          <w:rFonts w:ascii="Arial" w:hAnsi="Arial" w:cs="Arial"/>
          <w:sz w:val="22"/>
          <w:szCs w:val="22"/>
        </w:rPr>
        <w:t xml:space="preserve"> genetic heterogeneity of follicular cells</w:t>
      </w:r>
      <w:r>
        <w:rPr>
          <w:rFonts w:ascii="Arial" w:hAnsi="Arial" w:cs="Arial"/>
          <w:sz w:val="22"/>
          <w:szCs w:val="22"/>
        </w:rPr>
        <w:t xml:space="preserve"> and </w:t>
      </w:r>
      <w:r w:rsidR="00B10738">
        <w:rPr>
          <w:rFonts w:ascii="Arial" w:hAnsi="Arial" w:cs="Arial"/>
          <w:sz w:val="22"/>
          <w:szCs w:val="22"/>
        </w:rPr>
        <w:t xml:space="preserve">apparent </w:t>
      </w:r>
      <w:r>
        <w:rPr>
          <w:rFonts w:ascii="Arial" w:hAnsi="Arial" w:cs="Arial"/>
          <w:sz w:val="22"/>
          <w:szCs w:val="22"/>
        </w:rPr>
        <w:t xml:space="preserve">acquisition of new </w:t>
      </w:r>
      <w:r w:rsidR="00B10738">
        <w:rPr>
          <w:rFonts w:ascii="Arial" w:hAnsi="Arial" w:cs="Arial"/>
          <w:sz w:val="22"/>
          <w:szCs w:val="22"/>
        </w:rPr>
        <w:t xml:space="preserve">cellular </w:t>
      </w:r>
      <w:r>
        <w:rPr>
          <w:rFonts w:ascii="Arial" w:hAnsi="Arial" w:cs="Arial"/>
          <w:sz w:val="22"/>
          <w:szCs w:val="22"/>
        </w:rPr>
        <w:t>qualities that become inheritable</w:t>
      </w:r>
      <w:r w:rsidRPr="00586BC7">
        <w:rPr>
          <w:rFonts w:ascii="Arial" w:hAnsi="Arial" w:cs="Arial"/>
          <w:sz w:val="22"/>
          <w:szCs w:val="22"/>
        </w:rPr>
        <w:t xml:space="preserve">. Nodular goiter is most often detected simply as </w:t>
      </w:r>
      <w:r>
        <w:rPr>
          <w:rFonts w:ascii="Arial" w:hAnsi="Arial" w:cs="Arial"/>
          <w:sz w:val="22"/>
          <w:szCs w:val="22"/>
        </w:rPr>
        <w:t>a mass in the neck, but sometimes</w:t>
      </w:r>
      <w:r w:rsidRPr="00586BC7">
        <w:rPr>
          <w:rFonts w:ascii="Arial" w:hAnsi="Arial" w:cs="Arial"/>
          <w:sz w:val="22"/>
          <w:szCs w:val="22"/>
        </w:rPr>
        <w:t xml:space="preserve"> an enlarging gland produces pressure symptoms. Hyperthyroidism develops in a large proportion of </w:t>
      </w:r>
      <w:r>
        <w:rPr>
          <w:rFonts w:ascii="Arial" w:hAnsi="Arial" w:cs="Arial"/>
          <w:sz w:val="22"/>
          <w:szCs w:val="22"/>
        </w:rPr>
        <w:t>MNGs</w:t>
      </w:r>
      <w:r w:rsidRPr="00586BC7">
        <w:rPr>
          <w:rFonts w:ascii="Arial" w:hAnsi="Arial" w:cs="Arial"/>
          <w:sz w:val="22"/>
          <w:szCs w:val="22"/>
        </w:rPr>
        <w:t xml:space="preserve"> after a few decades</w:t>
      </w:r>
      <w:r w:rsidR="00B10738">
        <w:rPr>
          <w:rFonts w:ascii="Arial" w:hAnsi="Arial" w:cs="Arial"/>
          <w:sz w:val="22"/>
          <w:szCs w:val="22"/>
        </w:rPr>
        <w:t>,</w:t>
      </w:r>
      <w:r w:rsidRPr="00586BC7">
        <w:rPr>
          <w:rFonts w:ascii="Arial" w:hAnsi="Arial" w:cs="Arial"/>
          <w:sz w:val="22"/>
          <w:szCs w:val="22"/>
        </w:rPr>
        <w:t xml:space="preserve"> frequently after iodine excess. </w:t>
      </w:r>
      <w:r>
        <w:rPr>
          <w:rFonts w:ascii="Arial" w:hAnsi="Arial" w:cs="Arial"/>
          <w:sz w:val="22"/>
          <w:szCs w:val="22"/>
        </w:rPr>
        <w:t>D</w:t>
      </w:r>
      <w:r w:rsidRPr="00586BC7">
        <w:rPr>
          <w:rFonts w:ascii="Arial" w:hAnsi="Arial" w:cs="Arial"/>
          <w:sz w:val="22"/>
          <w:szCs w:val="22"/>
        </w:rPr>
        <w:t>iagnosis is based on the physical examination</w:t>
      </w:r>
      <w:r>
        <w:rPr>
          <w:rFonts w:ascii="Arial" w:hAnsi="Arial" w:cs="Arial"/>
          <w:sz w:val="22"/>
          <w:szCs w:val="22"/>
        </w:rPr>
        <w:t xml:space="preserve">. Thyroid function test results are normal, </w:t>
      </w:r>
      <w:r w:rsidR="00B10738">
        <w:rPr>
          <w:rFonts w:ascii="Arial" w:hAnsi="Arial" w:cs="Arial"/>
          <w:sz w:val="22"/>
          <w:szCs w:val="22"/>
        </w:rPr>
        <w:t xml:space="preserve">or indicate </w:t>
      </w:r>
      <w:r w:rsidRPr="00586BC7">
        <w:rPr>
          <w:rFonts w:ascii="Arial" w:hAnsi="Arial" w:cs="Arial"/>
          <w:sz w:val="22"/>
          <w:szCs w:val="22"/>
        </w:rPr>
        <w:t xml:space="preserve">subclinical or overt hyperthyroidism. Imaging procedures are useful to detect details </w:t>
      </w:r>
      <w:r w:rsidR="00B10738">
        <w:rPr>
          <w:rFonts w:ascii="Arial" w:hAnsi="Arial" w:cs="Arial"/>
          <w:sz w:val="22"/>
          <w:szCs w:val="22"/>
        </w:rPr>
        <w:t xml:space="preserve">such </w:t>
      </w:r>
      <w:r>
        <w:rPr>
          <w:rFonts w:ascii="Arial" w:hAnsi="Arial" w:cs="Arial"/>
          <w:sz w:val="22"/>
          <w:szCs w:val="22"/>
        </w:rPr>
        <w:t xml:space="preserve">as </w:t>
      </w:r>
      <w:r w:rsidRPr="00586BC7">
        <w:rPr>
          <w:rFonts w:ascii="Arial" w:hAnsi="Arial" w:cs="Arial"/>
          <w:sz w:val="22"/>
          <w:szCs w:val="22"/>
        </w:rPr>
        <w:t>distortion of the trachea</w:t>
      </w:r>
      <w:r w:rsidR="00B10738">
        <w:rPr>
          <w:rFonts w:ascii="Arial" w:hAnsi="Arial" w:cs="Arial"/>
          <w:sz w:val="22"/>
          <w:szCs w:val="22"/>
        </w:rPr>
        <w:t>,</w:t>
      </w:r>
      <w:r w:rsidRPr="00586BC7">
        <w:rPr>
          <w:rFonts w:ascii="Arial" w:hAnsi="Arial" w:cs="Arial"/>
          <w:sz w:val="22"/>
          <w:szCs w:val="22"/>
        </w:rPr>
        <w:t xml:space="preserve"> and to provide an estimation of the volume before and after therapy. From 4 to 17% of </w:t>
      </w:r>
      <w:r>
        <w:rPr>
          <w:rFonts w:ascii="Arial" w:hAnsi="Arial" w:cs="Arial"/>
          <w:sz w:val="22"/>
          <w:szCs w:val="22"/>
        </w:rPr>
        <w:t xml:space="preserve">MNGs </w:t>
      </w:r>
      <w:r w:rsidRPr="00586BC7">
        <w:rPr>
          <w:rFonts w:ascii="Arial" w:hAnsi="Arial" w:cs="Arial"/>
          <w:sz w:val="22"/>
          <w:szCs w:val="22"/>
        </w:rPr>
        <w:t>fulfill the criteria of malignant change</w:t>
      </w:r>
      <w:r w:rsidR="00B10738">
        <w:rPr>
          <w:rFonts w:ascii="Arial" w:hAnsi="Arial" w:cs="Arial"/>
          <w:sz w:val="22"/>
          <w:szCs w:val="22"/>
        </w:rPr>
        <w:t>,</w:t>
      </w:r>
      <w:r>
        <w:rPr>
          <w:rFonts w:ascii="Arial" w:hAnsi="Arial" w:cs="Arial"/>
          <w:sz w:val="22"/>
          <w:szCs w:val="22"/>
        </w:rPr>
        <w:t xml:space="preserve"> however, the </w:t>
      </w:r>
      <w:r w:rsidRPr="00586BC7">
        <w:rPr>
          <w:rFonts w:ascii="Arial" w:hAnsi="Arial" w:cs="Arial"/>
          <w:sz w:val="22"/>
          <w:szCs w:val="22"/>
        </w:rPr>
        <w:t xml:space="preserve">majority of these lesions are not lethal. If a clinical and biochemically euthyroid </w:t>
      </w:r>
      <w:r>
        <w:rPr>
          <w:rFonts w:ascii="Arial" w:hAnsi="Arial" w:cs="Arial"/>
          <w:sz w:val="22"/>
          <w:szCs w:val="22"/>
        </w:rPr>
        <w:t xml:space="preserve">MNG </w:t>
      </w:r>
      <w:r w:rsidRPr="00586BC7">
        <w:rPr>
          <w:rFonts w:ascii="Arial" w:hAnsi="Arial" w:cs="Arial"/>
          <w:sz w:val="22"/>
          <w:szCs w:val="22"/>
        </w:rPr>
        <w:t>is small and produces no symptoms, treatment is controversial. T4 given to shrink the gland or to prevent further growth is eff</w:t>
      </w:r>
      <w:r>
        <w:rPr>
          <w:rFonts w:ascii="Arial" w:hAnsi="Arial" w:cs="Arial"/>
          <w:sz w:val="22"/>
          <w:szCs w:val="22"/>
        </w:rPr>
        <w:t>ective in about one third of</w:t>
      </w:r>
      <w:r w:rsidRPr="00586BC7">
        <w:rPr>
          <w:rFonts w:ascii="Arial" w:hAnsi="Arial" w:cs="Arial"/>
          <w:sz w:val="22"/>
          <w:szCs w:val="22"/>
        </w:rPr>
        <w:t xml:space="preserve"> patients. If the clinically euthyroid goiter is unsightly, shows subclinica</w:t>
      </w:r>
      <w:r>
        <w:rPr>
          <w:rFonts w:ascii="Arial" w:hAnsi="Arial" w:cs="Arial"/>
          <w:sz w:val="22"/>
          <w:szCs w:val="22"/>
        </w:rPr>
        <w:t>l hyperthyroidism or is causing</w:t>
      </w:r>
      <w:r w:rsidRPr="00586BC7">
        <w:rPr>
          <w:rFonts w:ascii="Arial" w:hAnsi="Arial" w:cs="Arial"/>
          <w:sz w:val="22"/>
          <w:szCs w:val="22"/>
        </w:rPr>
        <w:t xml:space="preserve"> pressure symptoms, treatment with ¹³¹I preceded by recom</w:t>
      </w:r>
      <w:r>
        <w:rPr>
          <w:rFonts w:ascii="Arial" w:hAnsi="Arial" w:cs="Arial"/>
          <w:sz w:val="22"/>
          <w:szCs w:val="22"/>
        </w:rPr>
        <w:t>binant human TSH is successful</w:t>
      </w:r>
      <w:r w:rsidRPr="00586BC7">
        <w:rPr>
          <w:rFonts w:ascii="Arial" w:hAnsi="Arial" w:cs="Arial"/>
          <w:sz w:val="22"/>
          <w:szCs w:val="22"/>
        </w:rPr>
        <w:t xml:space="preserve"> but causes hypothyroidism </w:t>
      </w:r>
      <w:r w:rsidR="00B10738">
        <w:rPr>
          <w:rFonts w:ascii="Arial" w:hAnsi="Arial" w:cs="Arial"/>
          <w:sz w:val="22"/>
          <w:szCs w:val="22"/>
        </w:rPr>
        <w:t>in</w:t>
      </w:r>
      <w:r w:rsidRPr="00586BC7">
        <w:rPr>
          <w:rFonts w:ascii="Arial" w:hAnsi="Arial" w:cs="Arial"/>
          <w:sz w:val="22"/>
          <w:szCs w:val="22"/>
        </w:rPr>
        <w:t xml:space="preserve"> varying degree</w:t>
      </w:r>
      <w:r w:rsidR="00B10738">
        <w:rPr>
          <w:rFonts w:ascii="Arial" w:hAnsi="Arial" w:cs="Arial"/>
          <w:sz w:val="22"/>
          <w:szCs w:val="22"/>
        </w:rPr>
        <w:t>s</w:t>
      </w:r>
      <w:r w:rsidRPr="00586BC7">
        <w:rPr>
          <w:rFonts w:ascii="Arial" w:hAnsi="Arial" w:cs="Arial"/>
          <w:sz w:val="22"/>
          <w:szCs w:val="22"/>
        </w:rPr>
        <w:t xml:space="preserve">. </w:t>
      </w:r>
      <w:r>
        <w:rPr>
          <w:rFonts w:ascii="Arial" w:hAnsi="Arial" w:cs="Arial"/>
          <w:sz w:val="22"/>
          <w:szCs w:val="22"/>
        </w:rPr>
        <w:t xml:space="preserve">This treatment </w:t>
      </w:r>
      <w:r w:rsidR="00B10738">
        <w:rPr>
          <w:rFonts w:ascii="Arial" w:hAnsi="Arial" w:cs="Arial"/>
          <w:sz w:val="22"/>
          <w:szCs w:val="22"/>
        </w:rPr>
        <w:t>can lead</w:t>
      </w:r>
      <w:r>
        <w:rPr>
          <w:rFonts w:ascii="Arial" w:hAnsi="Arial" w:cs="Arial"/>
          <w:sz w:val="22"/>
          <w:szCs w:val="22"/>
        </w:rPr>
        <w:t xml:space="preserve"> to</w:t>
      </w:r>
      <w:r w:rsidRPr="00586BC7">
        <w:rPr>
          <w:rFonts w:ascii="Arial" w:hAnsi="Arial" w:cs="Arial"/>
          <w:sz w:val="22"/>
          <w:szCs w:val="22"/>
        </w:rPr>
        <w:t xml:space="preserve"> 45-65% shrinkage of the MNG, even </w:t>
      </w:r>
      <w:r w:rsidR="00B10738">
        <w:rPr>
          <w:rFonts w:ascii="Arial" w:hAnsi="Arial" w:cs="Arial"/>
          <w:sz w:val="22"/>
          <w:szCs w:val="22"/>
        </w:rPr>
        <w:t>if in</w:t>
      </w:r>
      <w:r w:rsidRPr="00586BC7">
        <w:rPr>
          <w:rFonts w:ascii="Arial" w:hAnsi="Arial" w:cs="Arial"/>
          <w:sz w:val="22"/>
          <w:szCs w:val="22"/>
        </w:rPr>
        <w:t xml:space="preserve"> an intrathoracic position</w:t>
      </w:r>
      <w:r>
        <w:rPr>
          <w:rFonts w:ascii="Arial" w:hAnsi="Arial" w:cs="Arial"/>
          <w:sz w:val="22"/>
          <w:szCs w:val="22"/>
        </w:rPr>
        <w:t>, with a</w:t>
      </w:r>
      <w:r w:rsidRPr="00586BC7">
        <w:rPr>
          <w:rFonts w:ascii="Arial" w:hAnsi="Arial" w:cs="Arial"/>
          <w:sz w:val="22"/>
          <w:szCs w:val="22"/>
        </w:rPr>
        <w:t xml:space="preserve"> relatively low cost</w:t>
      </w:r>
      <w:r>
        <w:rPr>
          <w:rFonts w:ascii="Arial" w:hAnsi="Arial" w:cs="Arial"/>
          <w:sz w:val="22"/>
          <w:szCs w:val="22"/>
        </w:rPr>
        <w:t xml:space="preserve">, thus </w:t>
      </w:r>
      <w:r w:rsidRPr="00586BC7">
        <w:rPr>
          <w:rFonts w:ascii="Arial" w:hAnsi="Arial" w:cs="Arial"/>
          <w:sz w:val="22"/>
          <w:szCs w:val="22"/>
        </w:rPr>
        <w:t>it is considere</w:t>
      </w:r>
      <w:r>
        <w:rPr>
          <w:rFonts w:ascii="Arial" w:hAnsi="Arial" w:cs="Arial"/>
          <w:sz w:val="22"/>
          <w:szCs w:val="22"/>
        </w:rPr>
        <w:t>d a good alternative to surgery. However, s</w:t>
      </w:r>
      <w:r w:rsidRPr="00586BC7">
        <w:rPr>
          <w:rFonts w:ascii="Arial" w:hAnsi="Arial" w:cs="Arial"/>
          <w:sz w:val="22"/>
          <w:szCs w:val="22"/>
        </w:rPr>
        <w:t>urg</w:t>
      </w:r>
      <w:r>
        <w:rPr>
          <w:rFonts w:ascii="Arial" w:hAnsi="Arial" w:cs="Arial"/>
          <w:sz w:val="22"/>
          <w:szCs w:val="22"/>
        </w:rPr>
        <w:t>ery is an acceptable option</w:t>
      </w:r>
      <w:r w:rsidRPr="00586BC7">
        <w:rPr>
          <w:rFonts w:ascii="Arial" w:hAnsi="Arial" w:cs="Arial"/>
          <w:sz w:val="22"/>
          <w:szCs w:val="22"/>
        </w:rPr>
        <w:t xml:space="preserve">. The efficacy of T4 treatment after surgery, to prevent regrowth, is </w:t>
      </w:r>
      <w:r w:rsidR="00B10738" w:rsidRPr="00586BC7">
        <w:rPr>
          <w:rFonts w:ascii="Arial" w:hAnsi="Arial" w:cs="Arial"/>
          <w:sz w:val="22"/>
          <w:szCs w:val="22"/>
        </w:rPr>
        <w:t xml:space="preserve">debatable </w:t>
      </w:r>
      <w:r w:rsidR="00B10738">
        <w:rPr>
          <w:rFonts w:ascii="Arial" w:hAnsi="Arial" w:cs="Arial"/>
          <w:sz w:val="22"/>
          <w:szCs w:val="22"/>
        </w:rPr>
        <w:t xml:space="preserve">although </w:t>
      </w:r>
      <w:r w:rsidRPr="00586BC7">
        <w:rPr>
          <w:rFonts w:ascii="Arial" w:hAnsi="Arial" w:cs="Arial"/>
          <w:sz w:val="22"/>
          <w:szCs w:val="22"/>
        </w:rPr>
        <w:t xml:space="preserve">frequently usedt. </w:t>
      </w:r>
      <w:r w:rsidR="00ED15B6">
        <w:rPr>
          <w:rFonts w:ascii="Arial" w:hAnsi="Arial" w:cs="Arial"/>
        </w:rPr>
        <w:t xml:space="preserve">For complete coverage of all related aeas of Endocrinology, please visit our on-line FREE web-text,  </w:t>
      </w:r>
      <w:hyperlink r:id="rId9" w:history="1">
        <w:r w:rsidR="00ED15B6">
          <w:rPr>
            <w:rStyle w:val="Hyperlink"/>
            <w:rFonts w:ascii="Arial" w:hAnsi="Arial" w:cs="Arial"/>
          </w:rPr>
          <w:t>WWW.ENDOTEXT.ORG</w:t>
        </w:r>
      </w:hyperlink>
      <w:r w:rsidR="00ED15B6">
        <w:rPr>
          <w:rFonts w:ascii="Arial" w:hAnsi="Arial" w:cs="Arial"/>
        </w:rPr>
        <w:t>.</w:t>
      </w:r>
    </w:p>
    <w:p w14:paraId="20D2E353" w14:textId="5F52B879" w:rsidR="00B835F9" w:rsidRPr="00586BC7" w:rsidRDefault="00B835F9" w:rsidP="00B835F9">
      <w:pPr>
        <w:ind w:right="-136"/>
        <w:rPr>
          <w:rFonts w:ascii="Arial" w:hAnsi="Arial" w:cs="Arial"/>
          <w:sz w:val="22"/>
          <w:szCs w:val="22"/>
        </w:rPr>
      </w:pPr>
    </w:p>
    <w:p w14:paraId="5567B96C" w14:textId="77777777" w:rsidR="00B835F9" w:rsidRPr="00735ABA" w:rsidRDefault="00B835F9" w:rsidP="00B835F9">
      <w:pPr>
        <w:rPr>
          <w:rFonts w:ascii="Arial" w:hAnsi="Arial" w:cs="Arial"/>
          <w:b/>
          <w:sz w:val="20"/>
          <w:szCs w:val="20"/>
        </w:rPr>
      </w:pPr>
    </w:p>
    <w:p w14:paraId="3C0EC1B1" w14:textId="77777777" w:rsidR="00AA491A" w:rsidRPr="00735ABA" w:rsidRDefault="00AA491A" w:rsidP="00B55FE6">
      <w:pPr>
        <w:pStyle w:val="Heading1"/>
        <w:rPr>
          <w:rFonts w:cs="Arial"/>
          <w:sz w:val="22"/>
          <w:szCs w:val="22"/>
        </w:rPr>
      </w:pPr>
      <w:r w:rsidRPr="00735ABA">
        <w:rPr>
          <w:rFonts w:cs="Arial"/>
          <w:sz w:val="22"/>
          <w:szCs w:val="22"/>
        </w:rPr>
        <w:t>INTRODUCTION</w:t>
      </w:r>
    </w:p>
    <w:p w14:paraId="1D2967DD" w14:textId="77777777" w:rsidR="00F77D94" w:rsidRPr="00735ABA" w:rsidRDefault="00AA491A" w:rsidP="00B55FE6">
      <w:pPr>
        <w:rPr>
          <w:rFonts w:ascii="Arial" w:hAnsi="Arial" w:cs="Arial"/>
          <w:sz w:val="22"/>
          <w:szCs w:val="22"/>
        </w:rPr>
      </w:pPr>
      <w:r w:rsidRPr="00735ABA">
        <w:rPr>
          <w:rFonts w:ascii="Arial" w:hAnsi="Arial" w:cs="Arial"/>
          <w:sz w:val="22"/>
          <w:szCs w:val="22"/>
        </w:rPr>
        <w:t xml:space="preserve">The normal thyroid gland is a fairly homogenous structure, but nodules often </w:t>
      </w:r>
    </w:p>
    <w:p w14:paraId="5882447A" w14:textId="77777777" w:rsidR="00AA491A" w:rsidRPr="00735ABA" w:rsidRDefault="00AA491A" w:rsidP="00B55FE6">
      <w:pPr>
        <w:rPr>
          <w:rFonts w:ascii="Arial" w:hAnsi="Arial" w:cs="Arial"/>
          <w:sz w:val="22"/>
          <w:szCs w:val="22"/>
        </w:rPr>
      </w:pPr>
      <w:r w:rsidRPr="00735ABA">
        <w:rPr>
          <w:rFonts w:ascii="Arial" w:hAnsi="Arial" w:cs="Arial"/>
          <w:sz w:val="22"/>
          <w:szCs w:val="22"/>
        </w:rPr>
        <w:t xml:space="preserve">form within its substance. These nodules may be only the growth and fusion of localized colloid-filled follicles, or more or less discrete adenomas, or cysts. Nodules larger than 1 cm may be detected clinically by palpation. Careful examination discloses their presence in at least 4% of the general population. Nodules less than 1 cm in diameter not clinically detectable unless located on the surface of the gland, are much more frequent. The </w:t>
      </w:r>
      <w:r w:rsidRPr="00735ABA">
        <w:rPr>
          <w:rFonts w:ascii="Arial" w:hAnsi="Arial" w:cs="Arial"/>
          <w:sz w:val="22"/>
          <w:szCs w:val="22"/>
        </w:rPr>
        <w:lastRenderedPageBreak/>
        <w:t xml:space="preserve">terms adenomatous goiter, nontoxic nodular goiter, and colloid nodular goiter are used interchangeably as descriptive terms when a multinodular goiter is found. </w:t>
      </w:r>
    </w:p>
    <w:p w14:paraId="1889E932" w14:textId="77777777" w:rsidR="00AA491A" w:rsidRPr="00735ABA" w:rsidRDefault="00AA491A" w:rsidP="00B55FE6">
      <w:pPr>
        <w:rPr>
          <w:rFonts w:ascii="Arial" w:hAnsi="Arial" w:cs="Arial"/>
          <w:sz w:val="22"/>
          <w:szCs w:val="22"/>
        </w:rPr>
      </w:pPr>
    </w:p>
    <w:p w14:paraId="7DC3D3B7" w14:textId="77777777" w:rsidR="00AA491A" w:rsidRPr="00735ABA" w:rsidRDefault="00AA491A" w:rsidP="00B55FE6">
      <w:pPr>
        <w:pStyle w:val="Heading1"/>
        <w:rPr>
          <w:rFonts w:cs="Arial"/>
          <w:sz w:val="22"/>
          <w:szCs w:val="22"/>
        </w:rPr>
      </w:pPr>
      <w:r w:rsidRPr="00735ABA">
        <w:rPr>
          <w:rFonts w:cs="Arial"/>
          <w:sz w:val="22"/>
          <w:szCs w:val="22"/>
        </w:rPr>
        <w:t>INCIDENCE</w:t>
      </w:r>
    </w:p>
    <w:p w14:paraId="5C9E084B" w14:textId="217E2845" w:rsidR="00AA491A" w:rsidRPr="00735ABA" w:rsidRDefault="00AA491A" w:rsidP="00B55FE6">
      <w:pPr>
        <w:rPr>
          <w:rFonts w:ascii="Arial" w:hAnsi="Arial" w:cs="Arial"/>
          <w:sz w:val="22"/>
          <w:szCs w:val="22"/>
        </w:rPr>
      </w:pPr>
      <w:r w:rsidRPr="00735ABA">
        <w:rPr>
          <w:rFonts w:ascii="Arial" w:hAnsi="Arial" w:cs="Arial"/>
          <w:sz w:val="22"/>
          <w:szCs w:val="22"/>
        </w:rPr>
        <w:t>The incidence of goiter, diffuse and nodular, is very much dependent on the status of iodine intake of the population. In areas of iodine deficiency, goiter prevalence may be very high and especially in goiters of longstanding, multinodularit</w:t>
      </w:r>
      <w:r w:rsidR="00D671BD" w:rsidRPr="00735ABA">
        <w:rPr>
          <w:rFonts w:ascii="Arial" w:hAnsi="Arial" w:cs="Arial"/>
          <w:sz w:val="22"/>
          <w:szCs w:val="22"/>
        </w:rPr>
        <w:t>y</w:t>
      </w:r>
      <w:r w:rsidRPr="00735ABA">
        <w:rPr>
          <w:rFonts w:ascii="Arial" w:hAnsi="Arial" w:cs="Arial"/>
          <w:sz w:val="22"/>
          <w:szCs w:val="22"/>
        </w:rPr>
        <w:t xml:space="preserve"> develops frequently (Figure 17-1). The incidence of multinodular goiter in areas with sufficient iodine intake has been documented in several reports (1-10). In a comprehensive population survey of 2,749 persons in northern England, Tunbridge et al (1) found obvious goiters in 5.9% with a female/male ratio of 13:1. Single and multiple thyroid nodules were found in 0.8% of men and 5.3% of women, with an increased frequency in women over 45 </w:t>
      </w:r>
      <w:r w:rsidR="00F77D94" w:rsidRPr="00735ABA">
        <w:rPr>
          <w:rFonts w:ascii="Arial" w:hAnsi="Arial" w:cs="Arial"/>
          <w:sz w:val="22"/>
          <w:szCs w:val="22"/>
        </w:rPr>
        <w:t xml:space="preserve"> </w:t>
      </w:r>
      <w:r w:rsidRPr="00735ABA">
        <w:rPr>
          <w:rFonts w:ascii="Arial" w:hAnsi="Arial" w:cs="Arial"/>
          <w:sz w:val="22"/>
          <w:szCs w:val="22"/>
        </w:rPr>
        <w:t xml:space="preserve">years of age. Routine autopsy surveys and the use of sensitive imaging techniques produce a much higher incidence. In three reports nodularity was found in 30% to 50% of subjects in autopsy studies, and in 16% to 67% in prospective studies of randomly selected subjects on ultrasound (2). In Framingham the prevalence of multinodular goiter as found in a population study of 5234 persons over 60 years was 1% (3). Results from Singapore show a prevalence of 2.8% (4). In an evaluation in 2,829 subjects, living in southwestern Utah and Nevada (USA, between 31 and 38 years) of age, 23% had non-toxic goiter, including 18 single nodules, 3 cysts, 38 colloid goiters and 7 without a histological diagnosis. No mention was made of multinodular goiters, although some might have been present in the colloid and unidentified group (5). In general, in iodine sufficient countries the prevalence of multinodular goiter is not higher than 4% (6). In countries with previous deficiency that was corrected by universal salt iodination, elderly subjects may have an incidence of, </w:t>
      </w:r>
      <w:r w:rsidR="00F976F8" w:rsidRPr="00735ABA">
        <w:rPr>
          <w:rFonts w:ascii="Arial" w:hAnsi="Arial" w:cs="Arial"/>
          <w:sz w:val="22"/>
          <w:szCs w:val="22"/>
        </w:rPr>
        <w:t>approximately</w:t>
      </w:r>
      <w:r w:rsidRPr="00735ABA">
        <w:rPr>
          <w:rFonts w:ascii="Arial" w:hAnsi="Arial" w:cs="Arial"/>
          <w:sz w:val="22"/>
          <w:szCs w:val="22"/>
        </w:rPr>
        <w:t>, 10% of nodular and multinodular goiter, attributed to lack of nutritional iodine in early adult life (</w:t>
      </w:r>
      <w:r w:rsidR="00651E9F">
        <w:rPr>
          <w:rFonts w:ascii="Arial" w:hAnsi="Arial" w:cs="Arial"/>
          <w:sz w:val="22"/>
          <w:szCs w:val="22"/>
        </w:rPr>
        <w:t>7</w:t>
      </w:r>
      <w:r w:rsidRPr="00735ABA">
        <w:rPr>
          <w:rFonts w:ascii="Arial" w:hAnsi="Arial" w:cs="Arial"/>
          <w:sz w:val="22"/>
          <w:szCs w:val="22"/>
        </w:rPr>
        <w:t>).</w:t>
      </w:r>
    </w:p>
    <w:p w14:paraId="35B105FB" w14:textId="77777777" w:rsidR="00AA491A" w:rsidRPr="00735ABA" w:rsidRDefault="00AA491A" w:rsidP="00B55FE6">
      <w:pPr>
        <w:rPr>
          <w:rFonts w:ascii="Arial" w:hAnsi="Arial" w:cs="Arial"/>
          <w:sz w:val="22"/>
          <w:szCs w:val="22"/>
        </w:rPr>
      </w:pPr>
    </w:p>
    <w:p w14:paraId="633F34C4" w14:textId="77777777" w:rsidR="00AA491A" w:rsidRPr="00735ABA" w:rsidRDefault="00AA491A" w:rsidP="00B55FE6">
      <w:pPr>
        <w:pStyle w:val="Heading1"/>
        <w:rPr>
          <w:rFonts w:cs="Arial"/>
          <w:sz w:val="22"/>
          <w:szCs w:val="22"/>
        </w:rPr>
      </w:pPr>
      <w:r w:rsidRPr="00735ABA">
        <w:rPr>
          <w:rFonts w:cs="Arial"/>
          <w:sz w:val="22"/>
          <w:szCs w:val="22"/>
        </w:rPr>
        <w:t>ETIOLOGY</w:t>
      </w:r>
    </w:p>
    <w:p w14:paraId="0AD82118" w14:textId="77777777" w:rsidR="00AA491A" w:rsidRPr="00735ABA" w:rsidRDefault="00AA491A" w:rsidP="00B55FE6">
      <w:pPr>
        <w:rPr>
          <w:rFonts w:ascii="Arial" w:hAnsi="Arial" w:cs="Arial"/>
          <w:sz w:val="22"/>
          <w:szCs w:val="22"/>
        </w:rPr>
      </w:pPr>
      <w:r w:rsidRPr="00735ABA">
        <w:rPr>
          <w:rFonts w:ascii="Arial" w:hAnsi="Arial" w:cs="Arial"/>
          <w:sz w:val="22"/>
          <w:szCs w:val="22"/>
        </w:rPr>
        <w:t xml:space="preserve">The first comprehensive theory about the development of multinodular goiter was proposed by David Marine (8) and studied further by Selwyn Taylor (9), and can be considered one of the classics in this field. Nodular goiter may be the result of any chronic low-grade, intermittent stimulus to thyroid hyperplasia. Supporting evidence for this view is circumstantial. David Marine first developed the concept, that in response to iodide deficiency, the thyroid first goes through a period of hyperplasia as a consequence of the resulting TSH stimulation, but eventually, possibly because of iodide repletion or a decreased requirement for thyroid hormone, enters a resting phase characterized by colloid storage and the histologic picture of a colloid goiter. Marine believed that repetition of these two phases of the cycle would eventually result in the formation of nontoxic multinodular goiter (8). Studies by Taylor of thyroid glands removed at surgery led him to believe that the initial lesion is diffuse hyperplasia, but that with time discrete nodules develop (9). </w:t>
      </w:r>
    </w:p>
    <w:p w14:paraId="207A39B0" w14:textId="77777777" w:rsidR="00AA491A" w:rsidRPr="00735ABA" w:rsidRDefault="00AA491A" w:rsidP="00B55FE6">
      <w:pPr>
        <w:rPr>
          <w:rFonts w:ascii="Arial" w:hAnsi="Arial" w:cs="Arial"/>
          <w:sz w:val="22"/>
          <w:szCs w:val="22"/>
        </w:rPr>
      </w:pPr>
    </w:p>
    <w:p w14:paraId="0C03CF9C" w14:textId="77777777" w:rsidR="00AA491A" w:rsidRPr="00735ABA" w:rsidRDefault="00AA491A" w:rsidP="00B55FE6">
      <w:pPr>
        <w:rPr>
          <w:rFonts w:ascii="Arial" w:hAnsi="Arial" w:cs="Arial"/>
          <w:sz w:val="22"/>
          <w:szCs w:val="22"/>
        </w:rPr>
      </w:pPr>
      <w:r w:rsidRPr="00735ABA">
        <w:rPr>
          <w:rFonts w:ascii="Arial" w:hAnsi="Arial" w:cs="Arial"/>
          <w:sz w:val="22"/>
          <w:szCs w:val="22"/>
        </w:rPr>
        <w:t xml:space="preserve">By the time the goiter is well developed, serum TSH levels and TSH production rates are usually normal or even suppressed (10). For example, Dige-Petersen and Hummer evaluated basal and TRH-stimulated serum TSH levels in 15 patients with diffuse goiter and 47 patients with nodular goiter (11). They found impairment of TRH-induced TSH release in 27% of the patients with nodular goiter, suggesting thyroid autonomy, but in </w:t>
      </w:r>
      <w:r w:rsidRPr="00735ABA">
        <w:rPr>
          <w:rFonts w:ascii="Arial" w:hAnsi="Arial" w:cs="Arial"/>
          <w:sz w:val="22"/>
          <w:szCs w:val="22"/>
        </w:rPr>
        <w:lastRenderedPageBreak/>
        <w:t>only 1 of the 15 with diffuse goiter. Smeulers et al (12), studied clinically euthyroid women with multinodular goiter and found that there was an inverse relationship between the increment of TSH after administration of TRH, and size of the thyroid gland (Figure 17-1). It was also found that, while being still within the normal range, the mean serum T3 concentration of the group with impaired TSH secretion was significantly higher than the normal mean, whereas the mean value of serum T4 levels was not elevated (12). These and other results (13) are consistent with the hypothesis that a diffuse goiter may precede the development of nodules. They are also consistent with the clinical observation that, with time, autonomy may occur, with suppression of TSH release, even though such goiters were originally TSH dependent.</w:t>
      </w:r>
    </w:p>
    <w:p w14:paraId="09404FC5" w14:textId="77777777" w:rsidR="007655BC" w:rsidRPr="00735ABA" w:rsidRDefault="007655BC" w:rsidP="00B55FE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655BC" w:rsidRPr="00735ABA" w14:paraId="6ACF0922" w14:textId="77777777" w:rsidTr="00862297">
        <w:tc>
          <w:tcPr>
            <w:tcW w:w="8856" w:type="dxa"/>
            <w:shd w:val="clear" w:color="auto" w:fill="auto"/>
          </w:tcPr>
          <w:p w14:paraId="0340DF9C" w14:textId="77777777" w:rsidR="007655BC" w:rsidRPr="00735ABA" w:rsidRDefault="008250DA" w:rsidP="00862297">
            <w:pPr>
              <w:jc w:val="center"/>
              <w:rPr>
                <w:rFonts w:ascii="Arial" w:hAnsi="Arial" w:cs="Arial"/>
                <w:sz w:val="22"/>
                <w:szCs w:val="22"/>
              </w:rPr>
            </w:pPr>
            <w:r>
              <w:rPr>
                <w:rFonts w:ascii="Arial" w:hAnsi="Arial" w:cs="Arial"/>
                <w:noProof/>
                <w:sz w:val="22"/>
                <w:szCs w:val="22"/>
              </w:rPr>
              <w:drawing>
                <wp:inline distT="0" distB="0" distL="0" distR="0" wp14:anchorId="3657D22A" wp14:editId="62266AD3">
                  <wp:extent cx="4763135" cy="2974340"/>
                  <wp:effectExtent l="0" t="0" r="12065" b="0"/>
                  <wp:docPr id="2" name="Picture 2" descr="Relationship of TSH (after 400 m g TRH i.v.) and thyroid weight (g) in 22 women with clinically euthyroid multinodular goiter (with permission ref.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ionship of TSH (after 400 m g TRH i.v.) and thyroid weight (g) in 22 women with clinically euthyroid multinodular goiter (with permission ref.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2974340"/>
                          </a:xfrm>
                          <a:prstGeom prst="rect">
                            <a:avLst/>
                          </a:prstGeom>
                          <a:noFill/>
                          <a:ln>
                            <a:noFill/>
                          </a:ln>
                        </pic:spPr>
                      </pic:pic>
                    </a:graphicData>
                  </a:graphic>
                </wp:inline>
              </w:drawing>
            </w:r>
          </w:p>
        </w:tc>
      </w:tr>
      <w:tr w:rsidR="007655BC" w:rsidRPr="00735ABA" w14:paraId="0C6F852A" w14:textId="77777777" w:rsidTr="00862297">
        <w:tc>
          <w:tcPr>
            <w:tcW w:w="8856" w:type="dxa"/>
            <w:shd w:val="clear" w:color="auto" w:fill="99CCFF"/>
          </w:tcPr>
          <w:p w14:paraId="239E56AA" w14:textId="77777777" w:rsidR="007655BC" w:rsidRPr="00735ABA" w:rsidRDefault="007655BC" w:rsidP="00B55FE6">
            <w:pPr>
              <w:rPr>
                <w:rFonts w:ascii="Arial" w:hAnsi="Arial" w:cs="Arial"/>
                <w:sz w:val="22"/>
                <w:szCs w:val="22"/>
              </w:rPr>
            </w:pPr>
            <w:r w:rsidRPr="00735ABA">
              <w:rPr>
                <w:rFonts w:ascii="Arial" w:hAnsi="Arial" w:cs="Arial"/>
                <w:b/>
                <w:sz w:val="22"/>
                <w:szCs w:val="22"/>
              </w:rPr>
              <w:t>Figure 17-1</w:t>
            </w:r>
            <w:r w:rsidRPr="00735ABA">
              <w:rPr>
                <w:rFonts w:ascii="Arial" w:hAnsi="Arial" w:cs="Arial"/>
                <w:sz w:val="22"/>
                <w:szCs w:val="22"/>
              </w:rPr>
              <w:t>. Relationship of TSH (after 400 mg TRH i.v.) and thyroid weight (g) in 22 women with clinically euthyroid multinodular goiter (with permission ref. 12)</w:t>
            </w:r>
          </w:p>
        </w:tc>
      </w:tr>
    </w:tbl>
    <w:p w14:paraId="2D5441B9" w14:textId="77777777" w:rsidR="007655BC" w:rsidRPr="00735ABA" w:rsidRDefault="007655BC" w:rsidP="00B55FE6">
      <w:pPr>
        <w:rPr>
          <w:rFonts w:ascii="Arial" w:hAnsi="Arial" w:cs="Arial"/>
          <w:sz w:val="22"/>
          <w:szCs w:val="22"/>
        </w:rPr>
      </w:pPr>
    </w:p>
    <w:p w14:paraId="146A2928" w14:textId="77777777" w:rsidR="00AA491A" w:rsidRPr="00735ABA" w:rsidRDefault="00AA491A" w:rsidP="00B55FE6">
      <w:pPr>
        <w:rPr>
          <w:rFonts w:ascii="Arial" w:hAnsi="Arial" w:cs="Arial"/>
          <w:sz w:val="22"/>
          <w:szCs w:val="22"/>
        </w:rPr>
      </w:pPr>
      <w:r w:rsidRPr="00735ABA">
        <w:rPr>
          <w:rFonts w:ascii="Arial" w:hAnsi="Arial" w:cs="Arial"/>
          <w:sz w:val="22"/>
          <w:szCs w:val="22"/>
        </w:rPr>
        <w:t>Comprehensive reviews about insights into the evolution of multinodular goiter have been published by Studer and co-workers (14-16). An adapted summary of the major factors that are discussed is presented in Table 17-1 and will be referred to in the discussion that follows.</w:t>
      </w:r>
    </w:p>
    <w:p w14:paraId="47B999EE" w14:textId="77777777" w:rsidR="00AA491A" w:rsidRPr="00735ABA" w:rsidRDefault="00AA491A" w:rsidP="00B55FE6">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655BC" w:rsidRPr="00735ABA" w14:paraId="6E5B34B8" w14:textId="77777777" w:rsidTr="00862297">
        <w:tc>
          <w:tcPr>
            <w:tcW w:w="8856" w:type="dxa"/>
            <w:shd w:val="clear" w:color="auto" w:fill="99CCFF"/>
          </w:tcPr>
          <w:p w14:paraId="3653145B" w14:textId="77777777" w:rsidR="00E22FB0" w:rsidRPr="00735ABA" w:rsidRDefault="00E22FB0" w:rsidP="00B55FE6">
            <w:pPr>
              <w:rPr>
                <w:rFonts w:ascii="Arial" w:hAnsi="Arial" w:cs="Arial"/>
                <w:b/>
                <w:sz w:val="22"/>
                <w:szCs w:val="22"/>
              </w:rPr>
            </w:pPr>
          </w:p>
          <w:p w14:paraId="2C40B92E" w14:textId="77777777" w:rsidR="007655BC" w:rsidRPr="00735ABA" w:rsidRDefault="007655BC" w:rsidP="00B55FE6">
            <w:pPr>
              <w:rPr>
                <w:rFonts w:ascii="Arial" w:hAnsi="Arial" w:cs="Arial"/>
                <w:b/>
                <w:sz w:val="22"/>
                <w:szCs w:val="22"/>
              </w:rPr>
            </w:pPr>
            <w:r w:rsidRPr="00735ABA">
              <w:rPr>
                <w:rFonts w:ascii="Arial" w:hAnsi="Arial" w:cs="Arial"/>
                <w:b/>
                <w:sz w:val="22"/>
                <w:szCs w:val="22"/>
              </w:rPr>
              <w:t>Table 17-1.  Factors that may be involved in the evolution of multinodular goiter.</w:t>
            </w:r>
          </w:p>
          <w:p w14:paraId="4A0CF68C" w14:textId="77777777" w:rsidR="00E22FB0" w:rsidRPr="00735ABA" w:rsidRDefault="00E22FB0" w:rsidP="00B55FE6">
            <w:pPr>
              <w:rPr>
                <w:rFonts w:ascii="Arial" w:hAnsi="Arial" w:cs="Arial"/>
                <w:sz w:val="22"/>
                <w:szCs w:val="22"/>
              </w:rPr>
            </w:pPr>
          </w:p>
        </w:tc>
      </w:tr>
      <w:tr w:rsidR="007655BC" w:rsidRPr="00735ABA" w14:paraId="7D3D7C17" w14:textId="77777777" w:rsidTr="00862297">
        <w:tc>
          <w:tcPr>
            <w:tcW w:w="8856" w:type="dxa"/>
            <w:shd w:val="clear" w:color="auto" w:fill="auto"/>
          </w:tcPr>
          <w:p w14:paraId="3C026B35" w14:textId="77777777" w:rsidR="007655BC" w:rsidRPr="00735ABA" w:rsidRDefault="007655BC" w:rsidP="00B55FE6">
            <w:pPr>
              <w:rPr>
                <w:rFonts w:ascii="Arial" w:hAnsi="Arial" w:cs="Arial"/>
                <w:b/>
                <w:sz w:val="22"/>
                <w:szCs w:val="22"/>
              </w:rPr>
            </w:pPr>
            <w:r w:rsidRPr="00735ABA">
              <w:rPr>
                <w:rFonts w:ascii="Arial" w:hAnsi="Arial" w:cs="Arial"/>
                <w:b/>
                <w:sz w:val="22"/>
                <w:szCs w:val="22"/>
              </w:rPr>
              <w:t>PRIMARY FACTORS</w:t>
            </w:r>
          </w:p>
          <w:p w14:paraId="43D7AD8A" w14:textId="77777777" w:rsidR="007655BC" w:rsidRPr="00735ABA" w:rsidRDefault="007655BC" w:rsidP="00A953C6">
            <w:pPr>
              <w:numPr>
                <w:ilvl w:val="0"/>
                <w:numId w:val="27"/>
              </w:numPr>
              <w:rPr>
                <w:rFonts w:ascii="Arial" w:hAnsi="Arial" w:cs="Arial"/>
                <w:sz w:val="22"/>
                <w:szCs w:val="22"/>
              </w:rPr>
            </w:pPr>
            <w:r w:rsidRPr="00735ABA">
              <w:rPr>
                <w:rFonts w:ascii="Arial" w:hAnsi="Arial" w:cs="Arial"/>
                <w:sz w:val="22"/>
                <w:szCs w:val="22"/>
              </w:rPr>
              <w:t>Functional heterogeneity of normal follicular cells, most probably due to genetic and acquisition of new inheritable qualities by replicating epithelial cells. Gender (women) is an important factor.</w:t>
            </w:r>
          </w:p>
          <w:p w14:paraId="44296671" w14:textId="77777777" w:rsidR="007655BC" w:rsidRPr="00735ABA" w:rsidRDefault="007655BC" w:rsidP="00B55FE6">
            <w:pPr>
              <w:rPr>
                <w:rFonts w:ascii="Arial" w:hAnsi="Arial" w:cs="Arial"/>
                <w:sz w:val="22"/>
                <w:szCs w:val="22"/>
              </w:rPr>
            </w:pPr>
          </w:p>
          <w:p w14:paraId="034BD8B1" w14:textId="77777777" w:rsidR="007655BC" w:rsidRPr="00735ABA" w:rsidRDefault="007655BC" w:rsidP="00A953C6">
            <w:pPr>
              <w:numPr>
                <w:ilvl w:val="0"/>
                <w:numId w:val="27"/>
              </w:numPr>
              <w:rPr>
                <w:rFonts w:ascii="Arial" w:hAnsi="Arial" w:cs="Arial"/>
                <w:sz w:val="22"/>
                <w:szCs w:val="22"/>
              </w:rPr>
            </w:pPr>
            <w:r w:rsidRPr="00735ABA">
              <w:rPr>
                <w:rFonts w:ascii="Arial" w:hAnsi="Arial" w:cs="Arial"/>
                <w:sz w:val="22"/>
                <w:szCs w:val="22"/>
              </w:rPr>
              <w:t>Subsequent functional and structural abnormalities in growing goiters.</w:t>
            </w:r>
          </w:p>
          <w:p w14:paraId="0FC4B766" w14:textId="77777777" w:rsidR="007655BC" w:rsidRPr="00735ABA" w:rsidRDefault="007655BC" w:rsidP="00B55FE6">
            <w:pPr>
              <w:rPr>
                <w:rFonts w:ascii="Arial" w:hAnsi="Arial" w:cs="Arial"/>
                <w:sz w:val="22"/>
                <w:szCs w:val="22"/>
              </w:rPr>
            </w:pPr>
          </w:p>
          <w:p w14:paraId="08BC8745" w14:textId="77777777" w:rsidR="007655BC" w:rsidRPr="00735ABA" w:rsidRDefault="007655BC" w:rsidP="00B55FE6">
            <w:pPr>
              <w:rPr>
                <w:rFonts w:ascii="Arial" w:hAnsi="Arial" w:cs="Arial"/>
                <w:b/>
                <w:sz w:val="22"/>
                <w:szCs w:val="22"/>
              </w:rPr>
            </w:pPr>
            <w:r w:rsidRPr="00735ABA">
              <w:rPr>
                <w:rFonts w:ascii="Arial" w:hAnsi="Arial" w:cs="Arial"/>
                <w:b/>
                <w:sz w:val="22"/>
                <w:szCs w:val="22"/>
              </w:rPr>
              <w:t>SECONDARY FACTORS</w:t>
            </w:r>
          </w:p>
          <w:p w14:paraId="439E29EC" w14:textId="77777777" w:rsidR="007655BC" w:rsidRPr="00735ABA" w:rsidRDefault="007655BC" w:rsidP="00A953C6">
            <w:pPr>
              <w:numPr>
                <w:ilvl w:val="0"/>
                <w:numId w:val="27"/>
              </w:numPr>
              <w:rPr>
                <w:rFonts w:ascii="Arial" w:hAnsi="Arial" w:cs="Arial"/>
                <w:sz w:val="22"/>
                <w:szCs w:val="22"/>
              </w:rPr>
            </w:pPr>
            <w:r w:rsidRPr="00735ABA">
              <w:rPr>
                <w:rFonts w:ascii="Arial" w:hAnsi="Arial" w:cs="Arial"/>
                <w:sz w:val="22"/>
                <w:szCs w:val="22"/>
              </w:rPr>
              <w:t>Elevated TSH  (induced by iodine deficiency, natural goitrogens, inborn errors of thyroid  hormone synthesis)</w:t>
            </w:r>
          </w:p>
          <w:p w14:paraId="25BB23FE" w14:textId="77777777" w:rsidR="007655BC" w:rsidRPr="00735ABA" w:rsidRDefault="007655BC" w:rsidP="00B55FE6">
            <w:pPr>
              <w:rPr>
                <w:rFonts w:ascii="Arial" w:hAnsi="Arial" w:cs="Arial"/>
                <w:sz w:val="22"/>
                <w:szCs w:val="22"/>
              </w:rPr>
            </w:pPr>
          </w:p>
          <w:p w14:paraId="17609846" w14:textId="77777777" w:rsidR="007655BC" w:rsidRPr="00735ABA" w:rsidRDefault="007655BC" w:rsidP="00A953C6">
            <w:pPr>
              <w:numPr>
                <w:ilvl w:val="0"/>
                <w:numId w:val="27"/>
              </w:numPr>
              <w:rPr>
                <w:rFonts w:ascii="Arial" w:hAnsi="Arial" w:cs="Arial"/>
                <w:sz w:val="22"/>
                <w:szCs w:val="22"/>
              </w:rPr>
            </w:pPr>
            <w:r w:rsidRPr="00735ABA">
              <w:rPr>
                <w:rFonts w:ascii="Arial" w:hAnsi="Arial" w:cs="Arial"/>
                <w:sz w:val="22"/>
                <w:szCs w:val="22"/>
              </w:rPr>
              <w:lastRenderedPageBreak/>
              <w:t>Smoking, stress, certain drugs</w:t>
            </w:r>
          </w:p>
          <w:p w14:paraId="6FBE7677" w14:textId="77777777" w:rsidR="007655BC" w:rsidRPr="00735ABA" w:rsidRDefault="007655BC" w:rsidP="00B55FE6">
            <w:pPr>
              <w:rPr>
                <w:rFonts w:ascii="Arial" w:hAnsi="Arial" w:cs="Arial"/>
                <w:sz w:val="22"/>
                <w:szCs w:val="22"/>
              </w:rPr>
            </w:pPr>
          </w:p>
          <w:p w14:paraId="78D3A68B" w14:textId="77777777" w:rsidR="007655BC" w:rsidRPr="00735ABA" w:rsidRDefault="007655BC" w:rsidP="00A953C6">
            <w:pPr>
              <w:numPr>
                <w:ilvl w:val="0"/>
                <w:numId w:val="27"/>
              </w:numPr>
              <w:rPr>
                <w:rFonts w:ascii="Arial" w:hAnsi="Arial" w:cs="Arial"/>
                <w:sz w:val="22"/>
                <w:szCs w:val="22"/>
              </w:rPr>
            </w:pPr>
            <w:r w:rsidRPr="00735ABA">
              <w:rPr>
                <w:rFonts w:ascii="Arial" w:hAnsi="Arial" w:cs="Arial"/>
                <w:sz w:val="22"/>
                <w:szCs w:val="22"/>
              </w:rPr>
              <w:t>Other thyroid-stimulating factors (IGF-1 and others)</w:t>
            </w:r>
          </w:p>
          <w:p w14:paraId="6AA91150" w14:textId="77777777" w:rsidR="007655BC" w:rsidRPr="00735ABA" w:rsidRDefault="007655BC" w:rsidP="00B55FE6">
            <w:pPr>
              <w:rPr>
                <w:rFonts w:ascii="Arial" w:hAnsi="Arial" w:cs="Arial"/>
                <w:sz w:val="22"/>
                <w:szCs w:val="22"/>
              </w:rPr>
            </w:pPr>
          </w:p>
          <w:p w14:paraId="730A1CC6" w14:textId="77777777" w:rsidR="007655BC" w:rsidRPr="00735ABA" w:rsidRDefault="007655BC" w:rsidP="00A953C6">
            <w:pPr>
              <w:numPr>
                <w:ilvl w:val="0"/>
                <w:numId w:val="27"/>
              </w:numPr>
              <w:rPr>
                <w:rFonts w:ascii="Arial" w:hAnsi="Arial" w:cs="Arial"/>
                <w:sz w:val="22"/>
                <w:szCs w:val="22"/>
              </w:rPr>
            </w:pPr>
            <w:r w:rsidRPr="00735ABA">
              <w:rPr>
                <w:rFonts w:ascii="Arial" w:hAnsi="Arial" w:cs="Arial"/>
                <w:sz w:val="22"/>
                <w:szCs w:val="22"/>
              </w:rPr>
              <w:t>Endogenous factor (gender)</w:t>
            </w:r>
          </w:p>
          <w:p w14:paraId="65FEDBA7" w14:textId="77777777" w:rsidR="007655BC" w:rsidRPr="00735ABA" w:rsidRDefault="007655BC" w:rsidP="00B55FE6">
            <w:pPr>
              <w:rPr>
                <w:rFonts w:ascii="Arial" w:hAnsi="Arial" w:cs="Arial"/>
                <w:sz w:val="22"/>
                <w:szCs w:val="22"/>
              </w:rPr>
            </w:pPr>
          </w:p>
        </w:tc>
      </w:tr>
    </w:tbl>
    <w:p w14:paraId="3ACE8A2C" w14:textId="77777777" w:rsidR="003342C6" w:rsidRPr="00735ABA" w:rsidRDefault="003342C6" w:rsidP="00703E45">
      <w:pPr>
        <w:pStyle w:val="Heading1"/>
        <w:rPr>
          <w:rFonts w:cs="Arial"/>
          <w:sz w:val="22"/>
          <w:szCs w:val="22"/>
        </w:rPr>
      </w:pPr>
    </w:p>
    <w:p w14:paraId="209791BA" w14:textId="77777777" w:rsidR="003342C6" w:rsidRPr="00735ABA" w:rsidRDefault="003342C6" w:rsidP="00703E45">
      <w:pPr>
        <w:pStyle w:val="Heading1"/>
        <w:rPr>
          <w:rFonts w:cs="Arial"/>
          <w:sz w:val="22"/>
          <w:szCs w:val="22"/>
        </w:rPr>
      </w:pPr>
    </w:p>
    <w:p w14:paraId="71BE5AF1" w14:textId="77777777" w:rsidR="00703E45" w:rsidRPr="00735ABA" w:rsidRDefault="00AA491A" w:rsidP="00703E45">
      <w:pPr>
        <w:pStyle w:val="Heading1"/>
        <w:rPr>
          <w:rFonts w:cs="Arial"/>
          <w:sz w:val="22"/>
          <w:szCs w:val="22"/>
        </w:rPr>
      </w:pPr>
      <w:r w:rsidRPr="00735ABA">
        <w:rPr>
          <w:rFonts w:cs="Arial"/>
          <w:sz w:val="22"/>
          <w:szCs w:val="22"/>
        </w:rPr>
        <w:t>PRIMARY FACTORS</w:t>
      </w:r>
    </w:p>
    <w:p w14:paraId="2EB3CF9B" w14:textId="7FDB94C9" w:rsidR="007655BC" w:rsidRPr="00735ABA" w:rsidRDefault="00AA491A" w:rsidP="00703E45">
      <w:pPr>
        <w:pStyle w:val="Heading1"/>
        <w:rPr>
          <w:rFonts w:cs="Arial"/>
          <w:b w:val="0"/>
          <w:sz w:val="22"/>
          <w:szCs w:val="22"/>
        </w:rPr>
      </w:pPr>
      <w:r w:rsidRPr="00735ABA">
        <w:rPr>
          <w:rFonts w:cs="Arial"/>
          <w:b w:val="0"/>
          <w:sz w:val="22"/>
          <w:szCs w:val="22"/>
        </w:rPr>
        <w:t>Genetic heterogeneity of normal follicular cells and acquisition of new inheritable qualities by replicating epithelial cells. (Figure 17-2)</w:t>
      </w:r>
      <w:r w:rsidR="00703E45" w:rsidRPr="00735ABA">
        <w:rPr>
          <w:rFonts w:cs="Arial"/>
          <w:b w:val="0"/>
          <w:sz w:val="22"/>
          <w:szCs w:val="22"/>
        </w:rPr>
        <w:t>.</w:t>
      </w:r>
      <w:r w:rsidRPr="00735ABA">
        <w:rPr>
          <w:rFonts w:cs="Arial"/>
          <w:b w:val="0"/>
          <w:sz w:val="22"/>
          <w:szCs w:val="22"/>
        </w:rPr>
        <w:t>It has been shown cells of many organs, including, the thyroid gland, are often polyclonal, rather than monoclonal of origin. Also from a functional aspect it appears that through developmental processes the thyroid epithelial cells forming a follicle are functionally polyclonal and possess widely differing qualities regarding the different biochemical steps leading to growth and to thyroid hormone synthesis like e.g. iodine uptake (and transport), thyroglobulin production and iodination, iodotyrosine coupling, endocytosis and dehalogenation. As a consequence there is some heterogeneity of growth and function within a thyroid and even within a follicle Studer et al (14-16) demonstrated the existence of monoclonal and polyclonal nodules in the same multinodular gland. They analyzed 25 nodules from 9 multinodular goiters and found 9 to be polyclonal and 16 monoclonal. Three goiters contained only polyclonal nodules and 3 contained only monoclonal nodules. In 3 goiters poly- and monoclonal nodules coexisted in the same gland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655BC" w:rsidRPr="00735ABA" w14:paraId="2AD93480" w14:textId="77777777" w:rsidTr="00862297">
        <w:trPr>
          <w:jc w:val="center"/>
        </w:trPr>
        <w:tc>
          <w:tcPr>
            <w:tcW w:w="8856" w:type="dxa"/>
            <w:shd w:val="clear" w:color="auto" w:fill="auto"/>
          </w:tcPr>
          <w:p w14:paraId="4330311E" w14:textId="77777777" w:rsidR="007655BC" w:rsidRPr="00735ABA" w:rsidRDefault="008250DA" w:rsidP="00862297">
            <w:pPr>
              <w:jc w:val="center"/>
              <w:rPr>
                <w:rFonts w:ascii="Arial" w:hAnsi="Arial" w:cs="Arial"/>
                <w:b/>
              </w:rPr>
            </w:pPr>
            <w:r>
              <w:rPr>
                <w:rFonts w:ascii="Verdana" w:hAnsi="Verdana"/>
                <w:noProof/>
                <w:sz w:val="21"/>
                <w:szCs w:val="21"/>
              </w:rPr>
              <w:drawing>
                <wp:inline distT="0" distB="0" distL="0" distR="0" wp14:anchorId="76DD0B1F" wp14:editId="1900A8BD">
                  <wp:extent cx="4200525" cy="3205480"/>
                  <wp:effectExtent l="0" t="0" r="0" b="0"/>
                  <wp:docPr id="3" name="Picture 3" descr="Heterogeneity of morphology and function in a human multinodular goiter. Autoradiographs of two different areas of a typical multinodular euthyroid human goiter excised after administration of radioiodine tracer to the patient. There are enormous differences of size, shape and function among the individual follicles of the same goiter. Note also that there is no correlation between the size or any other morphological hallmark of a single follicle and its iodine uptake. (with permission ref.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terogeneity of morphology and function in a human multinodular goiter. Autoradiographs of two different areas of a typical multinodular euthyroid human goiter excised after administration of radioiodine tracer to the patient. There are enormous differences of size, shape and function among the individual follicles of the same goiter. Note also that there is no correlation between the size or any other morphological hallmark of a single follicle and its iodine uptake. (with permission ref.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0525" cy="3205480"/>
                          </a:xfrm>
                          <a:prstGeom prst="rect">
                            <a:avLst/>
                          </a:prstGeom>
                          <a:noFill/>
                          <a:ln>
                            <a:noFill/>
                          </a:ln>
                        </pic:spPr>
                      </pic:pic>
                    </a:graphicData>
                  </a:graphic>
                </wp:inline>
              </w:drawing>
            </w:r>
          </w:p>
        </w:tc>
      </w:tr>
      <w:tr w:rsidR="007655BC" w:rsidRPr="00735ABA" w14:paraId="006233BC" w14:textId="77777777" w:rsidTr="00862297">
        <w:trPr>
          <w:jc w:val="center"/>
        </w:trPr>
        <w:tc>
          <w:tcPr>
            <w:tcW w:w="8856" w:type="dxa"/>
            <w:shd w:val="clear" w:color="auto" w:fill="99CCFF"/>
          </w:tcPr>
          <w:p w14:paraId="69BFDBDA" w14:textId="77777777" w:rsidR="007655BC" w:rsidRPr="00735ABA" w:rsidRDefault="007655BC" w:rsidP="00B55FE6">
            <w:pPr>
              <w:rPr>
                <w:rFonts w:ascii="Arial" w:hAnsi="Arial" w:cs="Arial"/>
                <w:sz w:val="22"/>
                <w:szCs w:val="22"/>
              </w:rPr>
            </w:pPr>
            <w:r w:rsidRPr="00735ABA">
              <w:rPr>
                <w:rFonts w:ascii="Arial" w:hAnsi="Arial" w:cs="Arial"/>
                <w:b/>
                <w:sz w:val="22"/>
                <w:szCs w:val="22"/>
              </w:rPr>
              <w:t>Figure 17-2</w:t>
            </w:r>
            <w:r w:rsidRPr="00735ABA">
              <w:rPr>
                <w:rFonts w:ascii="Arial" w:hAnsi="Arial" w:cs="Arial"/>
                <w:sz w:val="22"/>
                <w:szCs w:val="22"/>
              </w:rPr>
              <w:t xml:space="preserve">. Heterogeneity of morphology and function in a human multinodular goiter. Autoradiographs of two different areas of typical multindular euthyroid human goiter excised after administration of radioiodine tracer to the patient. There are enormous </w:t>
            </w:r>
            <w:r w:rsidRPr="00735ABA">
              <w:rPr>
                <w:rFonts w:ascii="Arial" w:hAnsi="Arial" w:cs="Arial"/>
                <w:sz w:val="22"/>
                <w:szCs w:val="22"/>
              </w:rPr>
              <w:lastRenderedPageBreak/>
              <w:t xml:space="preserve">differences of size, shape and function among the individual follicles of the same goiter. Note also that there is no correlation between the size or any other morphological hallmark of a single follicle and its iodine uptake. (with permission ref.15). </w:t>
            </w:r>
          </w:p>
        </w:tc>
      </w:tr>
    </w:tbl>
    <w:p w14:paraId="5267583C" w14:textId="77777777" w:rsidR="007655BC" w:rsidRPr="00735ABA" w:rsidRDefault="007655BC" w:rsidP="00B55FE6">
      <w:pPr>
        <w:rPr>
          <w:rFonts w:ascii="Arial" w:hAnsi="Arial" w:cs="Arial"/>
          <w:b/>
        </w:rPr>
      </w:pPr>
    </w:p>
    <w:p w14:paraId="61B0E4B1" w14:textId="77777777" w:rsidR="00AA491A" w:rsidRPr="00735ABA" w:rsidRDefault="00AA491A" w:rsidP="00B55FE6">
      <w:pPr>
        <w:rPr>
          <w:rFonts w:ascii="Arial" w:hAnsi="Arial" w:cs="Arial"/>
        </w:rPr>
      </w:pPr>
    </w:p>
    <w:p w14:paraId="5A423BEE" w14:textId="0F761667" w:rsidR="00AA491A" w:rsidRPr="00735ABA" w:rsidRDefault="00AA491A" w:rsidP="00B55FE6">
      <w:pPr>
        <w:rPr>
          <w:rFonts w:ascii="Arial" w:hAnsi="Arial" w:cs="Arial"/>
          <w:sz w:val="22"/>
          <w:szCs w:val="22"/>
        </w:rPr>
      </w:pPr>
      <w:r w:rsidRPr="00735ABA">
        <w:rPr>
          <w:rFonts w:ascii="Arial" w:hAnsi="Arial" w:cs="Arial"/>
          <w:sz w:val="22"/>
          <w:szCs w:val="22"/>
        </w:rPr>
        <w:t>Newly generated cells may acquire qualities not previously present in mother cells. These qualities could subsequently be passed on to further generations of cells. A possible example of this process is the acquired abnormal growth pattern that is reproduced when a tissue sample is transplanted into a nude mouse (16). Other examples are acquired variable responsiveness to TSH (13). These changes may be related to mutations in oncogenes which do not produce malignancy per se, but that can alter growth and function. An example of acquisition of genetic qualities is the identification in the last few years of constitutively activating somatic mutations not only in solitary toxic adenoma, but also in hyperfunctioning nodules of toxic multinodular goiters (</w:t>
      </w:r>
      <w:r w:rsidR="00651E9F">
        <w:rPr>
          <w:rFonts w:ascii="Arial" w:hAnsi="Arial" w:cs="Arial"/>
          <w:sz w:val="22"/>
          <w:szCs w:val="22"/>
        </w:rPr>
        <w:t>18</w:t>
      </w:r>
      <w:r w:rsidRPr="00735ABA">
        <w:rPr>
          <w:rFonts w:ascii="Arial" w:hAnsi="Arial" w:cs="Arial"/>
          <w:sz w:val="22"/>
          <w:szCs w:val="22"/>
        </w:rPr>
        <w:t>). So far these mutations in MNG have only been found in the TSH-receptor (TSHR) gene, and not in the Gs-alpha gene. Different somatic mutations are found in exon 9 and 10 of the TSHR gene and the majority of mutations that are present in toxic adenomas are also found in toxic nodules in multinodular goiter (1</w:t>
      </w:r>
      <w:r w:rsidR="00651E9F">
        <w:rPr>
          <w:rFonts w:ascii="Arial" w:hAnsi="Arial" w:cs="Arial"/>
          <w:sz w:val="22"/>
          <w:szCs w:val="22"/>
        </w:rPr>
        <w:t>9</w:t>
      </w:r>
      <w:r w:rsidRPr="00735ABA">
        <w:rPr>
          <w:rFonts w:ascii="Arial" w:hAnsi="Arial" w:cs="Arial"/>
          <w:sz w:val="22"/>
          <w:szCs w:val="22"/>
        </w:rPr>
        <w:t>-2</w:t>
      </w:r>
      <w:r w:rsidR="00651E9F">
        <w:rPr>
          <w:rFonts w:ascii="Arial" w:hAnsi="Arial" w:cs="Arial"/>
          <w:sz w:val="22"/>
          <w:szCs w:val="22"/>
        </w:rPr>
        <w:t>1</w:t>
      </w:r>
      <w:r w:rsidRPr="00735ABA">
        <w:rPr>
          <w:rFonts w:ascii="Arial" w:hAnsi="Arial" w:cs="Arial"/>
          <w:sz w:val="22"/>
          <w:szCs w:val="22"/>
        </w:rPr>
        <w:t>).</w:t>
      </w:r>
    </w:p>
    <w:p w14:paraId="3A020D4D" w14:textId="77777777" w:rsidR="00AA491A" w:rsidRPr="00735ABA" w:rsidRDefault="00AA491A" w:rsidP="00B55FE6">
      <w:pPr>
        <w:rPr>
          <w:rFonts w:ascii="Arial" w:hAnsi="Arial" w:cs="Arial"/>
          <w:sz w:val="22"/>
          <w:szCs w:val="22"/>
        </w:rPr>
      </w:pPr>
    </w:p>
    <w:p w14:paraId="7BC515C4" w14:textId="77777777" w:rsidR="00AA491A" w:rsidRPr="00735ABA" w:rsidRDefault="00A953C6" w:rsidP="00901294">
      <w:pPr>
        <w:pStyle w:val="Heading1"/>
        <w:spacing w:after="240" w:afterAutospacing="0"/>
        <w:rPr>
          <w:sz w:val="22"/>
          <w:szCs w:val="22"/>
        </w:rPr>
      </w:pPr>
      <w:r w:rsidRPr="00735ABA">
        <w:rPr>
          <w:sz w:val="22"/>
          <w:szCs w:val="22"/>
        </w:rPr>
        <w:t>Genes associated with multinodular goiter</w:t>
      </w:r>
    </w:p>
    <w:p w14:paraId="52E0F564" w14:textId="565260E2" w:rsidR="00AA491A" w:rsidRPr="00735ABA" w:rsidRDefault="00AA491A" w:rsidP="00B55FE6">
      <w:pPr>
        <w:rPr>
          <w:rFonts w:ascii="Arial" w:hAnsi="Arial" w:cs="Arial"/>
          <w:sz w:val="22"/>
          <w:szCs w:val="22"/>
        </w:rPr>
      </w:pPr>
      <w:r w:rsidRPr="00735ABA">
        <w:rPr>
          <w:rFonts w:ascii="Arial" w:hAnsi="Arial" w:cs="Arial"/>
          <w:sz w:val="22"/>
          <w:szCs w:val="22"/>
        </w:rPr>
        <w:t>In contrast to sporadic goiters, caused by spontaneous recessive genomic variation, most cases of familial goiter present an autosomal dominant pattern of inheritance, indicating predominant genetic defects. Gene-gene interactions or various polygenic mechanisms (i.e. synergistic effects of several variants or polymorphisms) could increase the complexity of the pathogenesis of nontoxic goiter and offer an explanation for its genetic heterogeneity (2</w:t>
      </w:r>
      <w:r w:rsidR="00651E9F">
        <w:rPr>
          <w:rFonts w:ascii="Arial" w:hAnsi="Arial" w:cs="Arial"/>
          <w:sz w:val="22"/>
          <w:szCs w:val="22"/>
        </w:rPr>
        <w:t>2</w:t>
      </w:r>
      <w:r w:rsidRPr="00735ABA">
        <w:rPr>
          <w:rFonts w:ascii="Arial" w:hAnsi="Arial" w:cs="Arial"/>
          <w:sz w:val="22"/>
          <w:szCs w:val="22"/>
        </w:rPr>
        <w:t>-2</w:t>
      </w:r>
      <w:r w:rsidR="00651E9F">
        <w:rPr>
          <w:rFonts w:ascii="Arial" w:hAnsi="Arial" w:cs="Arial"/>
          <w:sz w:val="22"/>
          <w:szCs w:val="22"/>
        </w:rPr>
        <w:t>6</w:t>
      </w:r>
      <w:r w:rsidRPr="00735ABA">
        <w:rPr>
          <w:rFonts w:ascii="Arial" w:hAnsi="Arial" w:cs="Arial"/>
          <w:sz w:val="22"/>
          <w:szCs w:val="22"/>
        </w:rPr>
        <w:t>). A strong genetic predisposition is indicated by family and twin studies (</w:t>
      </w:r>
      <w:r w:rsidR="00271689">
        <w:rPr>
          <w:rFonts w:ascii="Arial" w:hAnsi="Arial" w:cs="Arial"/>
          <w:sz w:val="22"/>
          <w:szCs w:val="22"/>
        </w:rPr>
        <w:t>27-29</w:t>
      </w:r>
      <w:r w:rsidRPr="00735ABA">
        <w:rPr>
          <w:rFonts w:ascii="Arial" w:hAnsi="Arial" w:cs="Arial"/>
          <w:sz w:val="22"/>
          <w:szCs w:val="22"/>
        </w:rPr>
        <w:t>). Thus, children of parents with goiter have a significantly higher risk of developing goiter compared with children of nongoitrous parents (2</w:t>
      </w:r>
      <w:r w:rsidR="00651E9F">
        <w:rPr>
          <w:rFonts w:ascii="Arial" w:hAnsi="Arial" w:cs="Arial"/>
          <w:sz w:val="22"/>
          <w:szCs w:val="22"/>
        </w:rPr>
        <w:t>4</w:t>
      </w:r>
      <w:r w:rsidRPr="00735ABA">
        <w:rPr>
          <w:rFonts w:ascii="Arial" w:hAnsi="Arial" w:cs="Arial"/>
          <w:sz w:val="22"/>
          <w:szCs w:val="22"/>
        </w:rPr>
        <w:t>). The high incidence in females and the higher concordance in monozygotic than in dizygotic twins also suggested a genetic predisposition (2</w:t>
      </w:r>
      <w:r w:rsidR="00651E9F">
        <w:rPr>
          <w:rFonts w:ascii="Arial" w:hAnsi="Arial" w:cs="Arial"/>
          <w:sz w:val="22"/>
          <w:szCs w:val="22"/>
        </w:rPr>
        <w:t>4</w:t>
      </w:r>
      <w:r w:rsidRPr="00735ABA">
        <w:rPr>
          <w:rFonts w:ascii="Arial" w:hAnsi="Arial" w:cs="Arial"/>
          <w:sz w:val="22"/>
          <w:szCs w:val="22"/>
        </w:rPr>
        <w:t>). Moreover, there is preliminary evidence of a positive family history for thyroid diseases in those who have postoperative relapse of goiter, which can occur from months to years after surgery.</w:t>
      </w:r>
    </w:p>
    <w:p w14:paraId="1B32DA77" w14:textId="77777777" w:rsidR="00AA491A" w:rsidRPr="00735ABA" w:rsidRDefault="00AA491A" w:rsidP="00B55FE6">
      <w:pPr>
        <w:rPr>
          <w:rFonts w:ascii="Arial" w:hAnsi="Arial" w:cs="Arial"/>
          <w:sz w:val="22"/>
          <w:szCs w:val="22"/>
        </w:rPr>
      </w:pPr>
    </w:p>
    <w:p w14:paraId="08F3D89B" w14:textId="23D213DA" w:rsidR="00AA491A" w:rsidRPr="00735ABA" w:rsidRDefault="00AA491A" w:rsidP="00B55FE6">
      <w:pPr>
        <w:rPr>
          <w:rFonts w:ascii="Arial" w:hAnsi="Arial" w:cs="Arial"/>
          <w:sz w:val="22"/>
          <w:szCs w:val="22"/>
        </w:rPr>
      </w:pPr>
      <w:r w:rsidRPr="00735ABA">
        <w:rPr>
          <w:rFonts w:ascii="Arial" w:hAnsi="Arial" w:cs="Arial"/>
          <w:sz w:val="22"/>
          <w:szCs w:val="22"/>
        </w:rPr>
        <w:t>Defects in genes that play an important role in thyroid physiology and thyroid hormone synthesis could predispose to the development of goiter, especially in case of borderline or overt iodine deficiency.  Such defects could lead to dyshormonogenesis as an immediate response, thereby indirectly explaining the nodular transformation of the thyroid as late consequences of dyshormonogenesis, as a form of maladaptation (12). The genes that encode the proteins involved in thyroid hormone synthesis, such as the thyroglobulin-gene (TG-gene), the thyroid peroxidase-gene (TPO-gene), the sodium – iodide – symporter-gene (SLC5A5), the Pendred syndrome-gene (SLC26A4), the TSH receptor-gene (TSH-R-gene), the iodotyrosine deiodinase (DEHAL 1) and the thyroid oxidase 2 gene3 (DUOX2) are convincing candidate genes in familial euthyroid goiter (3</w:t>
      </w:r>
      <w:r w:rsidR="00271689">
        <w:rPr>
          <w:rFonts w:ascii="Arial" w:hAnsi="Arial" w:cs="Arial"/>
          <w:sz w:val="22"/>
          <w:szCs w:val="22"/>
        </w:rPr>
        <w:t>0</w:t>
      </w:r>
      <w:r w:rsidRPr="00735ABA">
        <w:rPr>
          <w:rFonts w:ascii="Arial" w:hAnsi="Arial" w:cs="Arial"/>
          <w:sz w:val="22"/>
          <w:szCs w:val="22"/>
        </w:rPr>
        <w:t>). Originally, several mutations in these genes were identified in patients with congenital hypothyroidism (3</w:t>
      </w:r>
      <w:r w:rsidR="00271689">
        <w:rPr>
          <w:rFonts w:ascii="Arial" w:hAnsi="Arial" w:cs="Arial"/>
          <w:sz w:val="22"/>
          <w:szCs w:val="22"/>
        </w:rPr>
        <w:t>0</w:t>
      </w:r>
      <w:r w:rsidRPr="00735ABA">
        <w:rPr>
          <w:rFonts w:ascii="Arial" w:hAnsi="Arial" w:cs="Arial"/>
          <w:sz w:val="22"/>
          <w:szCs w:val="22"/>
        </w:rPr>
        <w:t xml:space="preserve">). However, in cases of less severe functional impairment, with can still be compensated, a contribution of variants of these genes in the etiology of nontoxic goiter is possible. </w:t>
      </w:r>
    </w:p>
    <w:p w14:paraId="0DC96FD4" w14:textId="77777777" w:rsidR="007655BC" w:rsidRPr="00735ABA" w:rsidRDefault="007655BC" w:rsidP="00B55FE6">
      <w:pPr>
        <w:rPr>
          <w:rFonts w:ascii="Arial" w:hAnsi="Arial" w:cs="Arial"/>
          <w:b/>
          <w:sz w:val="22"/>
          <w:szCs w:val="22"/>
        </w:rPr>
      </w:pPr>
    </w:p>
    <w:p w14:paraId="03D3D05E" w14:textId="77777777" w:rsidR="00AA491A" w:rsidRPr="00735ABA" w:rsidRDefault="00AA491A" w:rsidP="00901294">
      <w:pPr>
        <w:pStyle w:val="Heading2"/>
        <w:spacing w:after="240"/>
        <w:rPr>
          <w:sz w:val="22"/>
          <w:szCs w:val="22"/>
        </w:rPr>
      </w:pPr>
      <w:r w:rsidRPr="00735ABA">
        <w:rPr>
          <w:sz w:val="22"/>
          <w:szCs w:val="22"/>
        </w:rPr>
        <w:lastRenderedPageBreak/>
        <w:t xml:space="preserve">Linkage studies </w:t>
      </w:r>
    </w:p>
    <w:p w14:paraId="6FED4A09" w14:textId="3968F604" w:rsidR="00AA491A" w:rsidRPr="00735ABA" w:rsidRDefault="00AA491A" w:rsidP="00901294">
      <w:pPr>
        <w:spacing w:after="240"/>
        <w:rPr>
          <w:rFonts w:ascii="Arial" w:hAnsi="Arial" w:cs="Arial"/>
          <w:sz w:val="22"/>
          <w:szCs w:val="22"/>
        </w:rPr>
      </w:pPr>
      <w:r w:rsidRPr="00735ABA">
        <w:rPr>
          <w:rFonts w:ascii="Arial" w:hAnsi="Arial" w:cs="Arial"/>
          <w:sz w:val="22"/>
          <w:szCs w:val="22"/>
        </w:rPr>
        <w:t>A genome-wide linkage analysis has identified a candidate locus, MNG1 on chromosome 14q31, in a large Canadian family with 18 affected individuals (</w:t>
      </w:r>
      <w:r w:rsidR="00F568A9">
        <w:rPr>
          <w:rFonts w:ascii="Arial" w:hAnsi="Arial" w:cs="Arial"/>
          <w:sz w:val="22"/>
          <w:szCs w:val="22"/>
        </w:rPr>
        <w:t>31</w:t>
      </w:r>
      <w:r w:rsidRPr="00735ABA">
        <w:rPr>
          <w:rFonts w:ascii="Arial" w:hAnsi="Arial" w:cs="Arial"/>
          <w:sz w:val="22"/>
          <w:szCs w:val="22"/>
        </w:rPr>
        <w:t>). This locus was confirmed in a German family with recurrent euthyroid goiters (</w:t>
      </w:r>
      <w:r w:rsidR="00F568A9">
        <w:rPr>
          <w:rFonts w:ascii="Arial" w:hAnsi="Arial" w:cs="Arial"/>
          <w:sz w:val="22"/>
          <w:szCs w:val="22"/>
        </w:rPr>
        <w:t>32</w:t>
      </w:r>
      <w:r w:rsidRPr="00735ABA">
        <w:rPr>
          <w:rFonts w:ascii="Arial" w:hAnsi="Arial" w:cs="Arial"/>
          <w:sz w:val="22"/>
          <w:szCs w:val="22"/>
        </w:rPr>
        <w:t>). A dominant pattern of inheritance with high penetrance was assumed in both investigations. Moreover, a region on 14q31 between MNG1 and the TSH-R-gene was identified as a potential positional candidate region for nontoxic goiter (</w:t>
      </w:r>
      <w:r w:rsidR="008135CC">
        <w:rPr>
          <w:rFonts w:ascii="Arial" w:hAnsi="Arial" w:cs="Arial"/>
          <w:sz w:val="22"/>
          <w:szCs w:val="22"/>
        </w:rPr>
        <w:t>33</w:t>
      </w:r>
      <w:r w:rsidRPr="00735ABA">
        <w:rPr>
          <w:rFonts w:ascii="Arial" w:hAnsi="Arial" w:cs="Arial"/>
          <w:sz w:val="22"/>
          <w:szCs w:val="22"/>
        </w:rPr>
        <w:t>). However, in an earlier study the TSH-R-gene was clearly excluded</w:t>
      </w:r>
      <w:r w:rsidR="00F568A9">
        <w:rPr>
          <w:rFonts w:ascii="Arial" w:hAnsi="Arial" w:cs="Arial"/>
          <w:sz w:val="22"/>
          <w:szCs w:val="22"/>
        </w:rPr>
        <w:t xml:space="preserve"> (31)</w:t>
      </w:r>
      <w:r w:rsidRPr="00735ABA">
        <w:rPr>
          <w:rFonts w:ascii="Arial" w:hAnsi="Arial" w:cs="Arial"/>
          <w:sz w:val="22"/>
          <w:szCs w:val="22"/>
        </w:rPr>
        <w:t>. Furthermore, an X-linked autosomal dominant pattern and linkage to a second locus MNG2 (Xp22) was identified in an Italian pedigree with nontoxic familial goiter (</w:t>
      </w:r>
      <w:r w:rsidR="008135CC">
        <w:rPr>
          <w:rFonts w:ascii="Arial" w:hAnsi="Arial" w:cs="Arial"/>
          <w:sz w:val="22"/>
          <w:szCs w:val="22"/>
        </w:rPr>
        <w:t>34</w:t>
      </w:r>
      <w:r w:rsidRPr="00735ABA">
        <w:rPr>
          <w:rFonts w:ascii="Arial" w:hAnsi="Arial" w:cs="Arial"/>
          <w:sz w:val="22"/>
          <w:szCs w:val="22"/>
        </w:rPr>
        <w:t>). To identify further candidate regions, the first extended genome-wide linkage analysis was performed to detect susceptibility loci in 18 Danish, German and Slovakian euthyroid goiter families (</w:t>
      </w:r>
      <w:r w:rsidR="008135CC">
        <w:rPr>
          <w:rFonts w:ascii="Arial" w:hAnsi="Arial" w:cs="Arial"/>
          <w:sz w:val="22"/>
          <w:szCs w:val="22"/>
        </w:rPr>
        <w:t>35</w:t>
      </w:r>
      <w:r w:rsidRPr="00735ABA">
        <w:rPr>
          <w:rFonts w:ascii="Arial" w:hAnsi="Arial" w:cs="Arial"/>
          <w:sz w:val="22"/>
          <w:szCs w:val="22"/>
        </w:rPr>
        <w:t xml:space="preserve">). Assuming genetic heterogeneity and a dominant pattern of inheritance, four novel candidate loci on chromosomes 2q, 3p, 7q and 8p </w:t>
      </w:r>
      <w:r w:rsidR="00FE2F40">
        <w:rPr>
          <w:rFonts w:ascii="Arial" w:hAnsi="Arial" w:cs="Arial"/>
          <w:sz w:val="22"/>
          <w:szCs w:val="22"/>
        </w:rPr>
        <w:t xml:space="preserve">(36) </w:t>
      </w:r>
      <w:r w:rsidRPr="00735ABA">
        <w:rPr>
          <w:rFonts w:ascii="Arial" w:hAnsi="Arial" w:cs="Arial"/>
          <w:sz w:val="22"/>
          <w:szCs w:val="22"/>
        </w:rPr>
        <w:t>were identified</w:t>
      </w:r>
      <w:r w:rsidR="008135CC">
        <w:rPr>
          <w:rFonts w:ascii="Arial" w:hAnsi="Arial" w:cs="Arial"/>
          <w:sz w:val="22"/>
          <w:szCs w:val="22"/>
        </w:rPr>
        <w:t xml:space="preserve"> </w:t>
      </w:r>
      <w:r w:rsidRPr="00735ABA">
        <w:rPr>
          <w:rFonts w:ascii="Arial" w:hAnsi="Arial" w:cs="Arial"/>
          <w:sz w:val="22"/>
          <w:szCs w:val="22"/>
        </w:rPr>
        <w:t>. An individual contribution was attributable to four families for the 3p locus and to 1 family to each of the other loci, respectively. On the basis of the previously identified candidate regions and the established environmental factors, nontoxic goiter can consequently be defined as a complex disease. However, for this first time a more prevalent putative locus, present in 20% of the families investigated, was identified (</w:t>
      </w:r>
      <w:r w:rsidR="008135CC">
        <w:rPr>
          <w:rFonts w:ascii="Arial" w:hAnsi="Arial" w:cs="Arial"/>
          <w:sz w:val="22"/>
          <w:szCs w:val="22"/>
        </w:rPr>
        <w:t>35</w:t>
      </w:r>
      <w:r w:rsidRPr="00735ABA">
        <w:rPr>
          <w:rFonts w:ascii="Arial" w:hAnsi="Arial" w:cs="Arial"/>
          <w:sz w:val="22"/>
          <w:szCs w:val="22"/>
        </w:rPr>
        <w:t>).</w:t>
      </w:r>
    </w:p>
    <w:p w14:paraId="7D3E3BB1" w14:textId="77777777" w:rsidR="00AA491A" w:rsidRPr="00735ABA" w:rsidRDefault="00AA491A" w:rsidP="00B55FE6">
      <w:pPr>
        <w:rPr>
          <w:rFonts w:ascii="Arial" w:hAnsi="Arial" w:cs="Arial"/>
          <w:sz w:val="22"/>
          <w:szCs w:val="22"/>
        </w:rPr>
      </w:pPr>
    </w:p>
    <w:p w14:paraId="57850264" w14:textId="083985C0" w:rsidR="00AA491A" w:rsidRPr="00735ABA" w:rsidRDefault="00AA491A" w:rsidP="00B55FE6">
      <w:pPr>
        <w:rPr>
          <w:rFonts w:ascii="Arial" w:hAnsi="Arial" w:cs="Arial"/>
          <w:sz w:val="22"/>
          <w:szCs w:val="22"/>
        </w:rPr>
      </w:pPr>
      <w:r w:rsidRPr="00735ABA">
        <w:rPr>
          <w:rFonts w:ascii="Arial" w:hAnsi="Arial" w:cs="Arial"/>
          <w:sz w:val="22"/>
          <w:szCs w:val="22"/>
        </w:rPr>
        <w:t>The candidate region on 3p (</w:t>
      </w:r>
      <w:r w:rsidR="00FE2F40">
        <w:rPr>
          <w:rFonts w:ascii="Arial" w:hAnsi="Arial" w:cs="Arial"/>
          <w:sz w:val="22"/>
          <w:szCs w:val="22"/>
        </w:rPr>
        <w:t>37</w:t>
      </w:r>
      <w:r w:rsidRPr="00735ABA">
        <w:rPr>
          <w:rFonts w:ascii="Arial" w:hAnsi="Arial" w:cs="Arial"/>
          <w:sz w:val="22"/>
          <w:szCs w:val="22"/>
        </w:rPr>
        <w:t>) suggests a dominant pattern of inheritance for goiter. However, whereas linkage studies are suitable for the detection of candidate genes with a strong effect it is possible to miss weak genetic defects of first-line candidate gene-variants or of novel genes by linkage studies. Moreover, it is conceivable that the sum of several weak genetic variations in different genomic regions could lead to goiter predisposition. Therefore, the widely accepted risk factors such as iodine deficiency, smoking, old age, and female gender are likely to interact with and / or trigger the genetic susceptibility (2</w:t>
      </w:r>
      <w:r w:rsidR="00651E9F">
        <w:rPr>
          <w:rFonts w:ascii="Arial" w:hAnsi="Arial" w:cs="Arial"/>
          <w:sz w:val="22"/>
          <w:szCs w:val="22"/>
        </w:rPr>
        <w:t>2</w:t>
      </w:r>
      <w:r w:rsidRPr="00735ABA">
        <w:rPr>
          <w:rFonts w:ascii="Arial" w:hAnsi="Arial" w:cs="Arial"/>
          <w:sz w:val="22"/>
          <w:szCs w:val="22"/>
        </w:rPr>
        <w:t xml:space="preserve">). </w:t>
      </w:r>
    </w:p>
    <w:p w14:paraId="24B9915E" w14:textId="77777777" w:rsidR="00AA491A" w:rsidRPr="00735ABA" w:rsidRDefault="00AA491A" w:rsidP="00B55FE6">
      <w:pPr>
        <w:rPr>
          <w:rFonts w:ascii="Arial" w:hAnsi="Arial" w:cs="Arial"/>
          <w:sz w:val="22"/>
          <w:szCs w:val="22"/>
        </w:rPr>
      </w:pPr>
    </w:p>
    <w:p w14:paraId="7E0A9138" w14:textId="77777777" w:rsidR="00AA491A" w:rsidRPr="00735ABA" w:rsidRDefault="00A953C6" w:rsidP="00B55FE6">
      <w:pPr>
        <w:pStyle w:val="Heading1"/>
        <w:rPr>
          <w:sz w:val="22"/>
          <w:szCs w:val="22"/>
        </w:rPr>
      </w:pPr>
      <w:r w:rsidRPr="00735ABA">
        <w:rPr>
          <w:sz w:val="22"/>
          <w:szCs w:val="22"/>
        </w:rPr>
        <w:t>Mutagenesis leading to multinodular goiter</w:t>
      </w:r>
    </w:p>
    <w:p w14:paraId="76721BE2" w14:textId="49571AA8" w:rsidR="00AA491A" w:rsidRPr="00735ABA" w:rsidRDefault="00AA491A" w:rsidP="00B55FE6">
      <w:pPr>
        <w:rPr>
          <w:rFonts w:ascii="Arial" w:hAnsi="Arial" w:cs="Arial"/>
          <w:sz w:val="22"/>
          <w:szCs w:val="22"/>
        </w:rPr>
      </w:pPr>
      <w:r w:rsidRPr="00735ABA">
        <w:rPr>
          <w:rFonts w:ascii="Arial" w:hAnsi="Arial" w:cs="Arial"/>
          <w:sz w:val="22"/>
          <w:szCs w:val="22"/>
        </w:rPr>
        <w:t>Most goiters become nodular with time. (Figure 17-3) From animal models of hyperplasia caused by iodine depletion (</w:t>
      </w:r>
      <w:r w:rsidR="00FE2F40">
        <w:rPr>
          <w:rFonts w:ascii="Arial" w:hAnsi="Arial" w:cs="Arial"/>
          <w:sz w:val="22"/>
          <w:szCs w:val="22"/>
        </w:rPr>
        <w:t>3</w:t>
      </w:r>
      <w:r w:rsidRPr="00735ABA">
        <w:rPr>
          <w:rFonts w:ascii="Arial" w:hAnsi="Arial" w:cs="Arial"/>
          <w:sz w:val="22"/>
          <w:szCs w:val="22"/>
        </w:rPr>
        <w:t>8) we have learned that besides an increase in functional activity a tremendous increase in thyroid cell number occurs. These two events likely induce a number of mutation events. It is known that thyroid hormone synthesis goes along with increased H2O2 production and free radical formation with may damage genomic DNA and cause mutations. Together with a higher spontaneous mutation rate, a higher replication rate will more often prevent mutation repair and increase the mutation load of the thyroid, thereby also randomly affecting genes essential for thyrocyte physiology. Mutations that confer a growth advantage (e.g. TSH-R mutations) very likely initiate focal growth. Hence, autonomously functioning thyroid nodules (AFTNs) are likely to develop from small cell clones that contain advantageous mutation as shown for the TSH-R in “hot” microscopic regions of euthyroid MNG (</w:t>
      </w:r>
      <w:r w:rsidR="00FE2F40">
        <w:rPr>
          <w:rFonts w:ascii="Arial" w:hAnsi="Arial" w:cs="Arial"/>
          <w:sz w:val="22"/>
          <w:szCs w:val="22"/>
        </w:rPr>
        <w:t>18</w:t>
      </w:r>
      <w:r w:rsidRPr="00735ABA">
        <w:rPr>
          <w:rFonts w:ascii="Arial" w:hAnsi="Arial" w:cs="Arial"/>
          <w:sz w:val="22"/>
          <w:szCs w:val="22"/>
        </w:rPr>
        <w:t>).</w:t>
      </w:r>
    </w:p>
    <w:p w14:paraId="12A4A7C3" w14:textId="77777777" w:rsidR="00AA491A" w:rsidRPr="00735ABA" w:rsidRDefault="00AA491A" w:rsidP="00B55FE6">
      <w:pPr>
        <w:rPr>
          <w:rFonts w:ascii="Arial" w:hAnsi="Arial" w:cs="Arial"/>
          <w:sz w:val="22"/>
          <w:szCs w:val="22"/>
        </w:rPr>
      </w:pPr>
    </w:p>
    <w:p w14:paraId="51C4A4A7" w14:textId="77245CD4" w:rsidR="00AA491A" w:rsidRPr="00735ABA" w:rsidRDefault="00AA491A" w:rsidP="00B55FE6">
      <w:pPr>
        <w:rPr>
          <w:rFonts w:ascii="Arial" w:hAnsi="Arial" w:cs="Arial"/>
          <w:sz w:val="22"/>
          <w:szCs w:val="22"/>
        </w:rPr>
      </w:pPr>
      <w:r w:rsidRPr="00735ABA">
        <w:rPr>
          <w:rFonts w:ascii="Arial" w:hAnsi="Arial" w:cs="Arial"/>
          <w:sz w:val="22"/>
          <w:szCs w:val="22"/>
        </w:rPr>
        <w:t xml:space="preserve">Epidemiologic studies, animal models and molecular/genetic data outline a general theory of nodular transformation. Based on the identification of somatic mutations and the predominant clonal origine of AFTNs and cold thyroid nodules (CTNs) the following sequence of events could lead to thyroid nodular transformation in three steps. First, iodine deficiency, nutritional goitrogens or autoimmunity cause diffuse thyroid hyperplasia </w:t>
      </w:r>
      <w:r w:rsidRPr="00735ABA">
        <w:rPr>
          <w:rFonts w:ascii="Arial" w:hAnsi="Arial" w:cs="Arial"/>
          <w:sz w:val="22"/>
          <w:szCs w:val="22"/>
        </w:rPr>
        <w:lastRenderedPageBreak/>
        <w:t>(3</w:t>
      </w:r>
      <w:r w:rsidR="00FE2F40">
        <w:rPr>
          <w:rFonts w:ascii="Arial" w:hAnsi="Arial" w:cs="Arial"/>
          <w:sz w:val="22"/>
          <w:szCs w:val="22"/>
        </w:rPr>
        <w:t>9-41</w:t>
      </w:r>
      <w:r w:rsidRPr="00735ABA">
        <w:rPr>
          <w:rFonts w:ascii="Arial" w:hAnsi="Arial" w:cs="Arial"/>
          <w:sz w:val="22"/>
          <w:szCs w:val="22"/>
        </w:rPr>
        <w:t>). Secondly, at this stage of thyroid hyperplasia, increased proliferation together with a possible DNA damage due to H2O2 action causes a higher mutation load, i.e. a higher number of cells bearing mutations. Some of these spontaneous mutations confer constitutive activation of the cAMP cascade (e.g. TSH-R mutations) which stimulates growth and function. Finally, in a proliferating thyroid, growth factor expression (e.g. insulin-like growth factor 1   [IGF-1], transforming growth factor ß [TGF-ß], or epidermal growth factor [EGF]) is increased (4</w:t>
      </w:r>
      <w:r w:rsidR="00C5160F">
        <w:rPr>
          <w:rFonts w:ascii="Arial" w:hAnsi="Arial" w:cs="Arial"/>
          <w:sz w:val="22"/>
          <w:szCs w:val="22"/>
        </w:rPr>
        <w:t>2</w:t>
      </w:r>
      <w:r w:rsidRPr="00735ABA">
        <w:rPr>
          <w:rFonts w:ascii="Arial" w:hAnsi="Arial" w:cs="Arial"/>
          <w:sz w:val="22"/>
          <w:szCs w:val="22"/>
        </w:rPr>
        <w:t>-5</w:t>
      </w:r>
      <w:r w:rsidR="00C5160F">
        <w:rPr>
          <w:rFonts w:ascii="Arial" w:hAnsi="Arial" w:cs="Arial"/>
          <w:sz w:val="22"/>
          <w:szCs w:val="22"/>
        </w:rPr>
        <w:t>1</w:t>
      </w:r>
      <w:r w:rsidRPr="00735ABA">
        <w:rPr>
          <w:rFonts w:ascii="Arial" w:hAnsi="Arial" w:cs="Arial"/>
          <w:sz w:val="22"/>
          <w:szCs w:val="22"/>
        </w:rPr>
        <w:t xml:space="preserve">). As a result of growth factor co-stimulation most cells divide and form small clones. After increased growth factor expression ceases, small clones with activating mutations will further proliferate if they can achieve self-stimulation. They could thus form small foci, which could develop into thyroid nodules. This mechanism could explain AFTNs by advantageous mutations that both initiate growth and function of the affected thyroid cells as well as CTNs by mutations that stimulate proliferation only. Moreover, nodular transformation of thyroid tissue due to TSH secreting pituitary adenomas, nodular transformation of thyroid tissue in Graves´ disease and in goiters of patients with acromegaly could follow a similar mechanism, because thyroid pathology in these patients is characterized by early thyroid hyperplasia. </w:t>
      </w:r>
    </w:p>
    <w:p w14:paraId="7FED7913" w14:textId="77777777" w:rsidR="00AA491A" w:rsidRPr="00735ABA" w:rsidRDefault="00AA491A" w:rsidP="00B55FE6">
      <w:pPr>
        <w:rPr>
          <w:rFonts w:ascii="Arial" w:hAnsi="Arial" w:cs="Arial"/>
          <w:sz w:val="22"/>
          <w:szCs w:val="22"/>
        </w:rPr>
      </w:pPr>
    </w:p>
    <w:p w14:paraId="544AC902" w14:textId="490A2767" w:rsidR="00AA491A" w:rsidRPr="00735ABA" w:rsidRDefault="00AA491A" w:rsidP="00B55FE6">
      <w:pPr>
        <w:rPr>
          <w:rFonts w:ascii="Arial" w:hAnsi="Arial" w:cs="Arial"/>
          <w:sz w:val="22"/>
          <w:szCs w:val="22"/>
        </w:rPr>
      </w:pPr>
      <w:r w:rsidRPr="00735ABA">
        <w:rPr>
          <w:rFonts w:ascii="Arial" w:hAnsi="Arial" w:cs="Arial"/>
          <w:sz w:val="22"/>
          <w:szCs w:val="22"/>
        </w:rPr>
        <w:t>As an alternative to the increase of cells mass, and as illustrated by those individuals who do not develop a goiter when exposed to iodine deficiency, the thyroid might also adapt to iodine deficiency without extended hyperplasia.  Although the mechanism that allows this adaptation is poorly understood, data from a mouse model suggests an increase of mRNA expression of TSH-R, NIS and TPO in response to iodine deficiency, which might be a sign of increased iodine turnover in the thyroid cell in iodine deficiency. Moreover, expansion of the thyroid microvasculature, caused by up regulation of vascular endothelial growth factor and other proangiogenic factors, could be an additional mechanism that might help the thyroid to adapt to iodine deficiency (</w:t>
      </w:r>
      <w:r w:rsidR="00C50E29">
        <w:rPr>
          <w:rFonts w:ascii="Arial" w:hAnsi="Arial" w:cs="Arial"/>
          <w:sz w:val="22"/>
          <w:szCs w:val="22"/>
        </w:rPr>
        <w:t>52</w:t>
      </w:r>
      <w:r w:rsidRPr="00735ABA">
        <w:rPr>
          <w:rFonts w:ascii="Arial" w:hAnsi="Arial" w:cs="Arial"/>
          <w:sz w:val="22"/>
          <w:szCs w:val="22"/>
        </w:rPr>
        <w:t>).</w:t>
      </w:r>
    </w:p>
    <w:p w14:paraId="540E3C59" w14:textId="77777777" w:rsidR="00283FFD" w:rsidRPr="00735ABA" w:rsidRDefault="00283FFD" w:rsidP="00B55FE6">
      <w:pPr>
        <w:rPr>
          <w:rFonts w:ascii="Arial" w:hAnsi="Arial" w:cs="Arial"/>
        </w:rPr>
      </w:pPr>
    </w:p>
    <w:p w14:paraId="412E0E61" w14:textId="77777777" w:rsidR="00AA491A" w:rsidRPr="00735ABA" w:rsidRDefault="00AA491A" w:rsidP="00B55FE6">
      <w:pPr>
        <w:pStyle w:val="Heading1"/>
        <w:rPr>
          <w:rFonts w:cs="Arial"/>
          <w:sz w:val="22"/>
          <w:szCs w:val="22"/>
        </w:rPr>
      </w:pPr>
      <w:r w:rsidRPr="00735ABA">
        <w:rPr>
          <w:rFonts w:cs="Arial"/>
          <w:sz w:val="22"/>
          <w:szCs w:val="22"/>
        </w:rPr>
        <w:t>SECONDARY FACTORS</w:t>
      </w:r>
    </w:p>
    <w:p w14:paraId="1EEA763B" w14:textId="77777777" w:rsidR="00AA491A" w:rsidRPr="00735ABA" w:rsidRDefault="00AA491A" w:rsidP="00B55FE6">
      <w:pPr>
        <w:rPr>
          <w:rFonts w:ascii="Arial" w:hAnsi="Arial" w:cs="Arial"/>
          <w:sz w:val="22"/>
          <w:szCs w:val="22"/>
        </w:rPr>
      </w:pPr>
      <w:r w:rsidRPr="00735ABA">
        <w:rPr>
          <w:rFonts w:ascii="Arial" w:hAnsi="Arial" w:cs="Arial"/>
          <w:sz w:val="22"/>
          <w:szCs w:val="22"/>
        </w:rPr>
        <w:t xml:space="preserve">The secondary factors discussed below stimulate thyroid cell growth and / or function and, because of differences in cellular responsiveness that are presumed to exist, aggravate the expression of heterogeneity which leads to further growth and focal autonomic function of the thyroid gland. Local necrosis, cyst formation sometimes with bleeding and fibrosis may be the anatomical end stage of such processes (Figure 17-3). </w:t>
      </w:r>
    </w:p>
    <w:p w14:paraId="23C68ADB" w14:textId="77777777" w:rsidR="00703E45" w:rsidRDefault="00703E45" w:rsidP="00B55FE6">
      <w:pPr>
        <w:rPr>
          <w:rFonts w:ascii="Arial" w:hAnsi="Arial" w:cs="Arial"/>
          <w:sz w:val="22"/>
          <w:szCs w:val="22"/>
        </w:rPr>
      </w:pPr>
    </w:p>
    <w:p w14:paraId="7C6F8FC3" w14:textId="77777777" w:rsidR="00030999" w:rsidRDefault="00030999" w:rsidP="00B55FE6">
      <w:pPr>
        <w:rPr>
          <w:rFonts w:ascii="Arial" w:hAnsi="Arial" w:cs="Arial"/>
          <w:sz w:val="22"/>
          <w:szCs w:val="22"/>
        </w:rPr>
      </w:pPr>
    </w:p>
    <w:p w14:paraId="5EEB1C02" w14:textId="77777777" w:rsidR="00030999" w:rsidRDefault="00030999" w:rsidP="00B55FE6">
      <w:pPr>
        <w:rPr>
          <w:rFonts w:ascii="Arial" w:hAnsi="Arial" w:cs="Arial"/>
          <w:sz w:val="22"/>
          <w:szCs w:val="22"/>
        </w:rPr>
      </w:pPr>
    </w:p>
    <w:p w14:paraId="7C9E4F6A" w14:textId="77777777" w:rsidR="00030999" w:rsidRDefault="00030999" w:rsidP="00B55FE6">
      <w:pPr>
        <w:rPr>
          <w:rFonts w:ascii="Arial" w:hAnsi="Arial" w:cs="Arial"/>
          <w:sz w:val="22"/>
          <w:szCs w:val="22"/>
        </w:rPr>
      </w:pPr>
    </w:p>
    <w:p w14:paraId="60599BC7" w14:textId="77777777" w:rsidR="00030999" w:rsidRDefault="00030999" w:rsidP="00B55FE6">
      <w:pPr>
        <w:rPr>
          <w:rFonts w:ascii="Arial" w:hAnsi="Arial" w:cs="Arial"/>
          <w:sz w:val="22"/>
          <w:szCs w:val="22"/>
        </w:rPr>
      </w:pPr>
    </w:p>
    <w:p w14:paraId="68BA0E50" w14:textId="77777777" w:rsidR="00030999" w:rsidRDefault="00030999" w:rsidP="00B55FE6">
      <w:pPr>
        <w:rPr>
          <w:rFonts w:ascii="Arial" w:hAnsi="Arial" w:cs="Arial"/>
          <w:sz w:val="22"/>
          <w:szCs w:val="22"/>
        </w:rPr>
      </w:pPr>
    </w:p>
    <w:p w14:paraId="44C3F7EA" w14:textId="77777777" w:rsidR="00030999" w:rsidRDefault="00030999" w:rsidP="00B55FE6">
      <w:pPr>
        <w:rPr>
          <w:rFonts w:ascii="Arial" w:hAnsi="Arial" w:cs="Arial"/>
          <w:sz w:val="22"/>
          <w:szCs w:val="22"/>
        </w:rPr>
      </w:pPr>
    </w:p>
    <w:p w14:paraId="2D0AB895" w14:textId="77777777" w:rsidR="00030999" w:rsidRDefault="00030999" w:rsidP="00B55FE6">
      <w:pPr>
        <w:rPr>
          <w:rFonts w:ascii="Arial" w:hAnsi="Arial" w:cs="Arial"/>
          <w:sz w:val="22"/>
          <w:szCs w:val="22"/>
        </w:rPr>
      </w:pPr>
    </w:p>
    <w:p w14:paraId="0F57E72D" w14:textId="77777777" w:rsidR="00030999" w:rsidRDefault="00030999" w:rsidP="00B55FE6">
      <w:pPr>
        <w:rPr>
          <w:rFonts w:ascii="Arial" w:hAnsi="Arial" w:cs="Arial"/>
          <w:sz w:val="22"/>
          <w:szCs w:val="22"/>
        </w:rPr>
      </w:pPr>
    </w:p>
    <w:p w14:paraId="3A4C61EB" w14:textId="77777777" w:rsidR="00030999" w:rsidRDefault="00030999" w:rsidP="00B55FE6">
      <w:pPr>
        <w:rPr>
          <w:rFonts w:ascii="Arial" w:hAnsi="Arial" w:cs="Arial"/>
          <w:sz w:val="22"/>
          <w:szCs w:val="22"/>
        </w:rPr>
      </w:pPr>
    </w:p>
    <w:p w14:paraId="1F555388" w14:textId="77777777" w:rsidR="00030999" w:rsidRDefault="00030999" w:rsidP="00B55FE6">
      <w:pPr>
        <w:rPr>
          <w:rFonts w:ascii="Arial" w:hAnsi="Arial" w:cs="Arial"/>
          <w:sz w:val="22"/>
          <w:szCs w:val="22"/>
        </w:rPr>
      </w:pPr>
    </w:p>
    <w:p w14:paraId="2772561C" w14:textId="77777777" w:rsidR="00030999" w:rsidRDefault="00030999" w:rsidP="00B55FE6">
      <w:pPr>
        <w:rPr>
          <w:rFonts w:ascii="Arial" w:hAnsi="Arial" w:cs="Arial"/>
          <w:sz w:val="22"/>
          <w:szCs w:val="22"/>
        </w:rPr>
      </w:pPr>
    </w:p>
    <w:p w14:paraId="685E3182" w14:textId="77777777" w:rsidR="00030999" w:rsidRDefault="00030999" w:rsidP="00B55FE6">
      <w:pPr>
        <w:rPr>
          <w:rFonts w:ascii="Arial" w:hAnsi="Arial" w:cs="Arial"/>
          <w:sz w:val="22"/>
          <w:szCs w:val="22"/>
        </w:rPr>
      </w:pPr>
    </w:p>
    <w:p w14:paraId="009E310E" w14:textId="77777777" w:rsidR="00030999" w:rsidRDefault="00030999" w:rsidP="00B55FE6">
      <w:pPr>
        <w:rPr>
          <w:rFonts w:ascii="Arial" w:hAnsi="Arial" w:cs="Arial"/>
          <w:sz w:val="22"/>
          <w:szCs w:val="22"/>
        </w:rPr>
      </w:pPr>
    </w:p>
    <w:p w14:paraId="4FCC9DFB" w14:textId="77777777" w:rsidR="00030999" w:rsidRDefault="00030999" w:rsidP="00B55FE6">
      <w:pPr>
        <w:rPr>
          <w:rFonts w:ascii="Arial" w:hAnsi="Arial" w:cs="Arial"/>
          <w:sz w:val="22"/>
          <w:szCs w:val="22"/>
        </w:rPr>
      </w:pPr>
    </w:p>
    <w:p w14:paraId="77D5935A" w14:textId="77777777" w:rsidR="00030999" w:rsidRDefault="00030999" w:rsidP="00B55FE6">
      <w:pPr>
        <w:rPr>
          <w:rFonts w:ascii="Arial" w:hAnsi="Arial" w:cs="Arial"/>
          <w:sz w:val="22"/>
          <w:szCs w:val="22"/>
        </w:rPr>
      </w:pPr>
    </w:p>
    <w:p w14:paraId="5782E1F3" w14:textId="77777777" w:rsidR="00030999" w:rsidRDefault="00030999" w:rsidP="00B55FE6">
      <w:pPr>
        <w:rPr>
          <w:rFonts w:ascii="Arial" w:hAnsi="Arial" w:cs="Arial"/>
          <w:sz w:val="22"/>
          <w:szCs w:val="22"/>
        </w:rPr>
      </w:pPr>
    </w:p>
    <w:p w14:paraId="532303AA" w14:textId="77777777" w:rsidR="00030999" w:rsidRDefault="00030999" w:rsidP="00B55FE6">
      <w:pPr>
        <w:rPr>
          <w:rFonts w:ascii="Arial" w:hAnsi="Arial" w:cs="Arial"/>
          <w:sz w:val="22"/>
          <w:szCs w:val="22"/>
        </w:rPr>
      </w:pPr>
    </w:p>
    <w:p w14:paraId="0150692D" w14:textId="77777777" w:rsidR="00030999" w:rsidRDefault="00030999" w:rsidP="00B55FE6">
      <w:pPr>
        <w:rPr>
          <w:rFonts w:ascii="Arial" w:hAnsi="Arial" w:cs="Arial"/>
          <w:sz w:val="22"/>
          <w:szCs w:val="22"/>
        </w:rPr>
      </w:pPr>
    </w:p>
    <w:p w14:paraId="04DFA3B7" w14:textId="77777777" w:rsidR="00030999" w:rsidRDefault="00030999" w:rsidP="00B55FE6">
      <w:pPr>
        <w:rPr>
          <w:rFonts w:ascii="Arial" w:hAnsi="Arial" w:cs="Arial"/>
          <w:sz w:val="22"/>
          <w:szCs w:val="22"/>
        </w:rPr>
      </w:pPr>
    </w:p>
    <w:p w14:paraId="12985816" w14:textId="77777777" w:rsidR="00030999" w:rsidRDefault="00030999" w:rsidP="00B55FE6">
      <w:pPr>
        <w:rPr>
          <w:rFonts w:ascii="Arial" w:hAnsi="Arial" w:cs="Arial"/>
          <w:sz w:val="22"/>
          <w:szCs w:val="22"/>
        </w:rPr>
      </w:pPr>
    </w:p>
    <w:p w14:paraId="7977F03B" w14:textId="77777777" w:rsidR="00030999" w:rsidRDefault="00030999" w:rsidP="00B55FE6">
      <w:pPr>
        <w:rPr>
          <w:rFonts w:ascii="Arial" w:hAnsi="Arial" w:cs="Arial"/>
          <w:sz w:val="22"/>
          <w:szCs w:val="22"/>
        </w:rPr>
      </w:pPr>
    </w:p>
    <w:p w14:paraId="0947F6C3" w14:textId="77777777" w:rsidR="00030999" w:rsidRDefault="00030999" w:rsidP="00B55FE6">
      <w:pPr>
        <w:rPr>
          <w:rFonts w:ascii="Arial" w:hAnsi="Arial" w:cs="Arial"/>
          <w:sz w:val="22"/>
          <w:szCs w:val="22"/>
        </w:rPr>
      </w:pPr>
    </w:p>
    <w:p w14:paraId="28D24F1D" w14:textId="77777777" w:rsidR="00030999" w:rsidRDefault="00030999" w:rsidP="00B55FE6">
      <w:pPr>
        <w:rPr>
          <w:rFonts w:ascii="Arial" w:hAnsi="Arial" w:cs="Arial"/>
          <w:sz w:val="22"/>
          <w:szCs w:val="22"/>
        </w:rPr>
      </w:pPr>
    </w:p>
    <w:p w14:paraId="2731CED3" w14:textId="77777777" w:rsidR="00030999" w:rsidRDefault="00030999" w:rsidP="00B55FE6">
      <w:pPr>
        <w:rPr>
          <w:rFonts w:ascii="Arial" w:hAnsi="Arial" w:cs="Arial"/>
          <w:sz w:val="22"/>
          <w:szCs w:val="22"/>
        </w:rPr>
      </w:pPr>
    </w:p>
    <w:p w14:paraId="3CD82C79" w14:textId="77777777" w:rsidR="00030999" w:rsidRDefault="00030999" w:rsidP="00B55FE6">
      <w:pPr>
        <w:rPr>
          <w:rFonts w:ascii="Arial" w:hAnsi="Arial" w:cs="Arial"/>
          <w:sz w:val="22"/>
          <w:szCs w:val="22"/>
        </w:rPr>
      </w:pPr>
    </w:p>
    <w:p w14:paraId="4C2F0429" w14:textId="77777777" w:rsidR="00030999" w:rsidRPr="00735ABA" w:rsidRDefault="00030999" w:rsidP="00B55FE6">
      <w:pPr>
        <w:rPr>
          <w:rFonts w:ascii="Arial" w:hAnsi="Arial" w:cs="Arial"/>
          <w:sz w:val="22"/>
          <w:szCs w:val="22"/>
        </w:rPr>
      </w:pPr>
    </w:p>
    <w:p w14:paraId="12C9A9BC" w14:textId="77777777" w:rsidR="00703E45" w:rsidRPr="00735ABA" w:rsidRDefault="00703E45" w:rsidP="00B55FE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97DBC" w:rsidRPr="00735ABA" w14:paraId="4DC2CE13" w14:textId="77777777" w:rsidTr="00862297">
        <w:tc>
          <w:tcPr>
            <w:tcW w:w="8856" w:type="dxa"/>
            <w:shd w:val="clear" w:color="auto" w:fill="auto"/>
          </w:tcPr>
          <w:p w14:paraId="5D815149" w14:textId="77777777" w:rsidR="00A97DBC" w:rsidRPr="00735ABA" w:rsidRDefault="00A97DBC" w:rsidP="00862297">
            <w:pPr>
              <w:jc w:val="center"/>
              <w:rPr>
                <w:rFonts w:ascii="Arial" w:hAnsi="Arial" w:cs="Arial"/>
                <w:sz w:val="22"/>
                <w:szCs w:val="22"/>
              </w:rPr>
            </w:pPr>
          </w:p>
          <w:p w14:paraId="45183C01" w14:textId="77777777" w:rsidR="00A97DBC" w:rsidRPr="00735ABA" w:rsidRDefault="008250DA" w:rsidP="00862297">
            <w:pPr>
              <w:jc w:val="center"/>
              <w:rPr>
                <w:rFonts w:ascii="Arial" w:hAnsi="Arial" w:cs="Arial"/>
                <w:sz w:val="22"/>
                <w:szCs w:val="22"/>
              </w:rPr>
            </w:pPr>
            <w:r>
              <w:rPr>
                <w:rFonts w:ascii="Arial" w:hAnsi="Arial" w:cs="Arial"/>
                <w:noProof/>
                <w:sz w:val="22"/>
                <w:szCs w:val="22"/>
              </w:rPr>
              <w:drawing>
                <wp:inline distT="0" distB="0" distL="0" distR="0" wp14:anchorId="49561388" wp14:editId="06381D14">
                  <wp:extent cx="5257800" cy="3729990"/>
                  <wp:effectExtent l="0" t="0" r="0" b="381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0" cy="3729990"/>
                          </a:xfrm>
                          <a:prstGeom prst="rect">
                            <a:avLst/>
                          </a:prstGeom>
                          <a:noFill/>
                        </pic:spPr>
                      </pic:pic>
                    </a:graphicData>
                  </a:graphic>
                </wp:inline>
              </w:drawing>
            </w:r>
          </w:p>
        </w:tc>
      </w:tr>
      <w:tr w:rsidR="00A97DBC" w:rsidRPr="00735ABA" w14:paraId="58359CF8" w14:textId="77777777" w:rsidTr="00862297">
        <w:tc>
          <w:tcPr>
            <w:tcW w:w="8856" w:type="dxa"/>
            <w:shd w:val="clear" w:color="auto" w:fill="99CCFF"/>
          </w:tcPr>
          <w:p w14:paraId="45689554" w14:textId="77777777" w:rsidR="00A97DBC" w:rsidRPr="00735ABA" w:rsidRDefault="00A97DBC" w:rsidP="00B55FE6">
            <w:pPr>
              <w:rPr>
                <w:rFonts w:ascii="Arial" w:hAnsi="Arial" w:cs="Arial"/>
                <w:sz w:val="22"/>
                <w:szCs w:val="22"/>
              </w:rPr>
            </w:pPr>
            <w:r w:rsidRPr="00735ABA">
              <w:rPr>
                <w:rFonts w:ascii="Arial" w:hAnsi="Arial" w:cs="Arial"/>
                <w:b/>
                <w:sz w:val="22"/>
                <w:szCs w:val="22"/>
              </w:rPr>
              <w:t>Figure 17-3:</w:t>
            </w:r>
            <w:r w:rsidRPr="00735ABA">
              <w:rPr>
                <w:rFonts w:ascii="Arial" w:hAnsi="Arial" w:cs="Arial"/>
                <w:sz w:val="22"/>
                <w:szCs w:val="22"/>
              </w:rPr>
              <w:t xml:space="preserve"> Mild iodine deficiency associated or not with smoking, presence of natural goitrogenic, drugs, familial goiter, genetic markers and gender (women) will decrease the inhibition of serum T4 on the pituitary thyrotrophs. Increased TSH production will cause </w:t>
            </w:r>
            <w:r w:rsidR="00A953C6" w:rsidRPr="00735ABA">
              <w:rPr>
                <w:rFonts w:ascii="Arial" w:hAnsi="Arial" w:cs="Arial"/>
                <w:sz w:val="22"/>
                <w:szCs w:val="22"/>
              </w:rPr>
              <w:t>d</w:t>
            </w:r>
            <w:r w:rsidRPr="00735ABA">
              <w:rPr>
                <w:rFonts w:ascii="Arial" w:hAnsi="Arial" w:cs="Arial"/>
                <w:sz w:val="22"/>
                <w:szCs w:val="22"/>
              </w:rPr>
              <w:t>iffuse goiter followed by nodule formation. Finally, after decades of life, a large multinodular goiter is present with cystic areas, hemorrhage, fibrosis and calcium deposits.</w:t>
            </w:r>
          </w:p>
        </w:tc>
      </w:tr>
    </w:tbl>
    <w:p w14:paraId="1BD3ADB0" w14:textId="77777777" w:rsidR="00A97DBC" w:rsidRPr="00735ABA" w:rsidRDefault="00A97DBC" w:rsidP="00B55FE6">
      <w:pPr>
        <w:rPr>
          <w:rFonts w:ascii="Arial" w:hAnsi="Arial" w:cs="Arial"/>
          <w:sz w:val="22"/>
          <w:szCs w:val="22"/>
        </w:rPr>
      </w:pPr>
    </w:p>
    <w:p w14:paraId="22BAF961" w14:textId="77777777" w:rsidR="00AA491A" w:rsidRPr="00735ABA" w:rsidRDefault="00AA491A" w:rsidP="00B55FE6">
      <w:pPr>
        <w:rPr>
          <w:rFonts w:ascii="Arial" w:hAnsi="Arial" w:cs="Arial"/>
          <w:sz w:val="22"/>
          <w:szCs w:val="22"/>
        </w:rPr>
      </w:pPr>
    </w:p>
    <w:p w14:paraId="79FDB9CE" w14:textId="77777777" w:rsidR="00AA491A" w:rsidRPr="00735ABA" w:rsidRDefault="00AA491A" w:rsidP="00901294">
      <w:pPr>
        <w:pStyle w:val="Heading2"/>
        <w:spacing w:after="240"/>
        <w:rPr>
          <w:sz w:val="22"/>
          <w:szCs w:val="22"/>
        </w:rPr>
      </w:pPr>
      <w:r w:rsidRPr="00735ABA">
        <w:rPr>
          <w:sz w:val="22"/>
          <w:szCs w:val="22"/>
        </w:rPr>
        <w:t>Iodine Deficiency</w:t>
      </w:r>
    </w:p>
    <w:p w14:paraId="15CDFD30" w14:textId="3723EE5F" w:rsidR="00AA491A" w:rsidRPr="00735ABA" w:rsidRDefault="00AA491A" w:rsidP="00901294">
      <w:pPr>
        <w:spacing w:after="240"/>
        <w:rPr>
          <w:rFonts w:ascii="Arial" w:hAnsi="Arial" w:cs="Arial"/>
          <w:sz w:val="22"/>
          <w:szCs w:val="22"/>
        </w:rPr>
      </w:pPr>
      <w:r w:rsidRPr="00735ABA">
        <w:rPr>
          <w:rFonts w:ascii="Arial" w:hAnsi="Arial" w:cs="Arial"/>
          <w:sz w:val="22"/>
          <w:szCs w:val="22"/>
        </w:rPr>
        <w:t>Stimulation of new follicle generation seems to be necessary in the formation of simple goiter. (Figure 17-3) Evidence accumulated from many studies indicates that iodine deficiency or impairment of iodine metabolism by the thyroid gland, perhaps due to congenital biochemical defects, may be an important mechanism leading to increases in TSH secretion (3</w:t>
      </w:r>
      <w:r w:rsidR="00C50E29">
        <w:rPr>
          <w:rFonts w:ascii="Arial" w:hAnsi="Arial" w:cs="Arial"/>
          <w:sz w:val="22"/>
          <w:szCs w:val="22"/>
        </w:rPr>
        <w:t>0</w:t>
      </w:r>
      <w:r w:rsidRPr="00735ABA">
        <w:rPr>
          <w:rFonts w:ascii="Arial" w:hAnsi="Arial" w:cs="Arial"/>
          <w:sz w:val="22"/>
          <w:szCs w:val="22"/>
        </w:rPr>
        <w:t>,</w:t>
      </w:r>
      <w:r w:rsidR="00C50E29">
        <w:rPr>
          <w:rFonts w:ascii="Arial" w:hAnsi="Arial" w:cs="Arial"/>
          <w:sz w:val="22"/>
          <w:szCs w:val="22"/>
        </w:rPr>
        <w:t>53</w:t>
      </w:r>
      <w:r w:rsidRPr="00735ABA">
        <w:rPr>
          <w:rFonts w:ascii="Arial" w:hAnsi="Arial" w:cs="Arial"/>
          <w:sz w:val="22"/>
          <w:szCs w:val="22"/>
        </w:rPr>
        <w:t xml:space="preserve">). Since in experimental animals the level of iodine per se may modulate the response of thyroid cells to TSH, this is an additional mechanism by which </w:t>
      </w:r>
      <w:r w:rsidRPr="00735ABA">
        <w:rPr>
          <w:rFonts w:ascii="Arial" w:hAnsi="Arial" w:cs="Arial"/>
          <w:sz w:val="22"/>
          <w:szCs w:val="22"/>
        </w:rPr>
        <w:lastRenderedPageBreak/>
        <w:t>relatively small increases in serum TSH level may cause substantial effects on thyroid growth in iodine-deficient areas (</w:t>
      </w:r>
      <w:r w:rsidR="00C50E29">
        <w:rPr>
          <w:rFonts w:ascii="Arial" w:hAnsi="Arial" w:cs="Arial"/>
          <w:sz w:val="22"/>
          <w:szCs w:val="22"/>
        </w:rPr>
        <w:t>53</w:t>
      </w:r>
      <w:r w:rsidRPr="00735ABA">
        <w:rPr>
          <w:rFonts w:ascii="Arial" w:hAnsi="Arial" w:cs="Arial"/>
          <w:sz w:val="22"/>
          <w:szCs w:val="22"/>
        </w:rPr>
        <w:t>). It was found that the thyroidal iodine clearance of patients with nontoxic nodular goiter was, on overage, higher than that in normal persons (Fig. 17-3). This finding was interpreted as a reflection of a suboptimal iodine intake by such patients. When data published from various major cities in Western Europe, regarding thyroid volume and iodine excretion are put together (</w:t>
      </w:r>
      <w:r w:rsidR="00121B92">
        <w:rPr>
          <w:rFonts w:ascii="Arial" w:hAnsi="Arial" w:cs="Arial"/>
          <w:sz w:val="22"/>
          <w:szCs w:val="22"/>
        </w:rPr>
        <w:t>54</w:t>
      </w:r>
      <w:r w:rsidRPr="00735ABA">
        <w:rPr>
          <w:rFonts w:ascii="Arial" w:hAnsi="Arial" w:cs="Arial"/>
          <w:sz w:val="22"/>
          <w:szCs w:val="22"/>
        </w:rPr>
        <w:t>) and inverse relation is found between urinary iodine excretion and thyroid volume (Fig. 17-4). Physiologic stresses, such as pregnancy, may increase the need for iodine and require thyroid hypertrophy to increase iodine uptake that might otherwise satisfy minimal needs. An elevated renal clearance   of iodine   occurs during normal pregnancy (2</w:t>
      </w:r>
      <w:r w:rsidR="00651E9F">
        <w:rPr>
          <w:rFonts w:ascii="Arial" w:hAnsi="Arial" w:cs="Arial"/>
          <w:sz w:val="22"/>
          <w:szCs w:val="22"/>
        </w:rPr>
        <w:t>4</w:t>
      </w:r>
      <w:r w:rsidRPr="00735ABA">
        <w:rPr>
          <w:rFonts w:ascii="Arial" w:hAnsi="Arial" w:cs="Arial"/>
          <w:sz w:val="22"/>
          <w:szCs w:val="22"/>
        </w:rPr>
        <w:t>). It has been suggested that in some patients with endemic goiter there are similar increases in renal iodine losses (</w:t>
      </w:r>
      <w:r w:rsidR="00D50146">
        <w:rPr>
          <w:rFonts w:ascii="Arial" w:hAnsi="Arial" w:cs="Arial"/>
          <w:sz w:val="22"/>
          <w:szCs w:val="22"/>
        </w:rPr>
        <w:t>5</w:t>
      </w:r>
      <w:r w:rsidRPr="00735ABA">
        <w:rPr>
          <w:rFonts w:ascii="Arial" w:hAnsi="Arial" w:cs="Arial"/>
          <w:sz w:val="22"/>
          <w:szCs w:val="22"/>
        </w:rPr>
        <w:t>3). Increased need for thyroxin during pregnancy may also lead to thyroid hypertrophy when iodine intake as limited. Iodide need in pregnancy is increased by increased iodide loss through the kidneys, but also because of significant transfer of thyroid hormone from the mother to the fetus (2</w:t>
      </w:r>
      <w:r w:rsidR="00651E9F">
        <w:rPr>
          <w:rFonts w:ascii="Arial" w:hAnsi="Arial" w:cs="Arial"/>
          <w:sz w:val="22"/>
          <w:szCs w:val="22"/>
        </w:rPr>
        <w:t>4</w:t>
      </w:r>
      <w:r w:rsidRPr="00735ABA">
        <w:rPr>
          <w:rFonts w:ascii="Arial" w:hAnsi="Arial" w:cs="Arial"/>
          <w:sz w:val="22"/>
          <w:szCs w:val="22"/>
        </w:rPr>
        <w:t>). In areas of moderate iodine intake, thyroid volume increase is predominantly affected by a higher HCG serum concentration during the first trimester of pregnancy, and by a slightly elevated serum TSH level present at delivery (2</w:t>
      </w:r>
      <w:r w:rsidR="00651E9F">
        <w:rPr>
          <w:rFonts w:ascii="Arial" w:hAnsi="Arial" w:cs="Arial"/>
          <w:sz w:val="22"/>
          <w:szCs w:val="22"/>
        </w:rPr>
        <w:t>4</w:t>
      </w:r>
      <w:r w:rsidRPr="00735ABA">
        <w:rPr>
          <w:rFonts w:ascii="Arial" w:hAnsi="Arial" w:cs="Arial"/>
          <w:sz w:val="22"/>
          <w:szCs w:val="22"/>
        </w:rPr>
        <w:t>). Finally mutations in the thyroglobulin gene may impair the efficiency of thyroid hormone synthesis and release, leading to a decreased rate of inhibition of TSH at pituitary level. The relatively high TSH released from the thyrotrophs will continuously stimulate the thyroid gland growth (</w:t>
      </w:r>
      <w:r w:rsidR="00D50146">
        <w:rPr>
          <w:rFonts w:ascii="Arial" w:hAnsi="Arial" w:cs="Arial"/>
          <w:sz w:val="22"/>
          <w:szCs w:val="22"/>
        </w:rPr>
        <w:t>55</w:t>
      </w:r>
      <w:r w:rsidRPr="00735ABA">
        <w:rPr>
          <w:rFonts w:ascii="Arial" w:hAnsi="Arial" w:cs="Arial"/>
          <w:sz w:val="22"/>
          <w:szCs w:val="22"/>
        </w:rPr>
        <w:t>).</w:t>
      </w:r>
    </w:p>
    <w:p w14:paraId="1A76DCE7" w14:textId="77777777" w:rsidR="00283FFD" w:rsidRPr="00735ABA" w:rsidRDefault="00283FFD" w:rsidP="00B55FE6">
      <w:pPr>
        <w:rPr>
          <w:rFonts w:ascii="Arial" w:hAnsi="Arial" w:cs="Arial"/>
          <w:sz w:val="22"/>
          <w:szCs w:val="22"/>
        </w:rPr>
      </w:pPr>
    </w:p>
    <w:p w14:paraId="5D0541D0" w14:textId="77777777" w:rsidR="00283FFD" w:rsidRPr="00735ABA" w:rsidRDefault="00283FFD" w:rsidP="00B55FE6">
      <w:pPr>
        <w:rPr>
          <w:rFonts w:ascii="Arial" w:hAnsi="Arial" w:cs="Arial"/>
          <w:sz w:val="22"/>
          <w:szCs w:val="22"/>
        </w:rPr>
      </w:pPr>
    </w:p>
    <w:p w14:paraId="2DBAB5BC" w14:textId="77777777" w:rsidR="007655BC" w:rsidRPr="00735ABA" w:rsidRDefault="007655BC" w:rsidP="00B55FE6">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655BC" w:rsidRPr="00735ABA" w14:paraId="5813D289" w14:textId="77777777" w:rsidTr="00862297">
        <w:trPr>
          <w:jc w:val="center"/>
        </w:trPr>
        <w:tc>
          <w:tcPr>
            <w:tcW w:w="8856" w:type="dxa"/>
            <w:shd w:val="clear" w:color="auto" w:fill="auto"/>
          </w:tcPr>
          <w:p w14:paraId="6EDAB9B9" w14:textId="77777777" w:rsidR="007655BC" w:rsidRPr="00735ABA" w:rsidRDefault="008250DA" w:rsidP="00862297">
            <w:pPr>
              <w:jc w:val="center"/>
              <w:rPr>
                <w:rFonts w:ascii="Arial" w:hAnsi="Arial" w:cs="Arial"/>
                <w:sz w:val="22"/>
                <w:szCs w:val="22"/>
              </w:rPr>
            </w:pPr>
            <w:r>
              <w:rPr>
                <w:rFonts w:ascii="Arial" w:hAnsi="Arial" w:cs="Arial"/>
                <w:noProof/>
                <w:sz w:val="22"/>
                <w:szCs w:val="22"/>
              </w:rPr>
              <w:drawing>
                <wp:inline distT="0" distB="0" distL="0" distR="0" wp14:anchorId="31C0457C" wp14:editId="383668E2">
                  <wp:extent cx="4763135" cy="3426460"/>
                  <wp:effectExtent l="0" t="0" r="12065" b="2540"/>
                  <wp:docPr id="4" name="Picture 4" descr="Relationship between nontoxic goiter and thyroidal iodine clearance (with permission ref.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ionship between nontoxic goiter and thyroidal iodine clearance (with permission ref.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3135" cy="3426460"/>
                          </a:xfrm>
                          <a:prstGeom prst="rect">
                            <a:avLst/>
                          </a:prstGeom>
                          <a:noFill/>
                          <a:ln>
                            <a:noFill/>
                          </a:ln>
                        </pic:spPr>
                      </pic:pic>
                    </a:graphicData>
                  </a:graphic>
                </wp:inline>
              </w:drawing>
            </w:r>
          </w:p>
        </w:tc>
      </w:tr>
      <w:tr w:rsidR="007655BC" w:rsidRPr="00735ABA" w14:paraId="638642DB" w14:textId="77777777" w:rsidTr="00862297">
        <w:trPr>
          <w:jc w:val="center"/>
        </w:trPr>
        <w:tc>
          <w:tcPr>
            <w:tcW w:w="8856" w:type="dxa"/>
            <w:shd w:val="clear" w:color="auto" w:fill="99CCFF"/>
          </w:tcPr>
          <w:p w14:paraId="0B80B401" w14:textId="77777777" w:rsidR="007655BC" w:rsidRPr="00735ABA" w:rsidRDefault="007655BC" w:rsidP="00B55FE6">
            <w:pPr>
              <w:rPr>
                <w:rFonts w:ascii="Arial" w:hAnsi="Arial" w:cs="Arial"/>
                <w:sz w:val="22"/>
                <w:szCs w:val="22"/>
              </w:rPr>
            </w:pPr>
            <w:r w:rsidRPr="00735ABA">
              <w:rPr>
                <w:rFonts w:ascii="Arial" w:hAnsi="Arial" w:cs="Arial"/>
                <w:b/>
                <w:sz w:val="22"/>
                <w:szCs w:val="22"/>
              </w:rPr>
              <w:t>Figure 17-4.</w:t>
            </w:r>
            <w:r w:rsidRPr="00735ABA">
              <w:rPr>
                <w:rFonts w:ascii="Arial" w:hAnsi="Arial" w:cs="Arial"/>
                <w:sz w:val="22"/>
                <w:szCs w:val="22"/>
              </w:rPr>
              <w:tab/>
              <w:t>Relationship between nontoxic goiter and thyroidal iodine clearance.</w:t>
            </w:r>
          </w:p>
        </w:tc>
      </w:tr>
    </w:tbl>
    <w:p w14:paraId="30BFCA1D" w14:textId="77777777" w:rsidR="007655BC" w:rsidRPr="00735ABA" w:rsidRDefault="007655BC" w:rsidP="00B55FE6">
      <w:pPr>
        <w:rPr>
          <w:rFonts w:ascii="Arial" w:hAnsi="Arial" w:cs="Arial"/>
          <w:b/>
          <w:sz w:val="22"/>
          <w:szCs w:val="22"/>
        </w:rPr>
      </w:pPr>
    </w:p>
    <w:p w14:paraId="48B98C5B" w14:textId="77777777" w:rsidR="007655BC" w:rsidRPr="00735ABA" w:rsidRDefault="007655BC" w:rsidP="00B55FE6">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655BC" w:rsidRPr="00735ABA" w14:paraId="6E46A9F2" w14:textId="77777777" w:rsidTr="00862297">
        <w:tc>
          <w:tcPr>
            <w:tcW w:w="8856" w:type="dxa"/>
            <w:shd w:val="clear" w:color="auto" w:fill="auto"/>
          </w:tcPr>
          <w:p w14:paraId="114A6663" w14:textId="77777777" w:rsidR="007655BC" w:rsidRPr="00735ABA" w:rsidRDefault="008250DA" w:rsidP="00862297">
            <w:pPr>
              <w:jc w:val="center"/>
              <w:rPr>
                <w:rFonts w:ascii="Arial" w:hAnsi="Arial" w:cs="Arial"/>
                <w:sz w:val="22"/>
                <w:szCs w:val="22"/>
              </w:rPr>
            </w:pPr>
            <w:r>
              <w:rPr>
                <w:rFonts w:ascii="Arial" w:hAnsi="Arial" w:cs="Arial"/>
                <w:noProof/>
                <w:sz w:val="22"/>
                <w:szCs w:val="22"/>
              </w:rPr>
              <w:lastRenderedPageBreak/>
              <w:drawing>
                <wp:inline distT="0" distB="0" distL="0" distR="0" wp14:anchorId="1A6280D8" wp14:editId="4FF590AC">
                  <wp:extent cx="4763135" cy="2974340"/>
                  <wp:effectExtent l="0" t="0" r="12065" b="0"/>
                  <wp:docPr id="5" name="Picture 5" descr="Relationship of TSH (after 400 m g TRH i.v.) and thyroid weight (g) in 22 women with clinically euthyroid multinodular goiter (with permission ref.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ionship of TSH (after 400 m g TRH i.v.) and thyroid weight (g) in 22 women with clinically euthyroid multinodular goiter (with permission ref.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2974340"/>
                          </a:xfrm>
                          <a:prstGeom prst="rect">
                            <a:avLst/>
                          </a:prstGeom>
                          <a:noFill/>
                          <a:ln>
                            <a:noFill/>
                          </a:ln>
                        </pic:spPr>
                      </pic:pic>
                    </a:graphicData>
                  </a:graphic>
                </wp:inline>
              </w:drawing>
            </w:r>
          </w:p>
        </w:tc>
      </w:tr>
      <w:tr w:rsidR="007655BC" w:rsidRPr="00735ABA" w14:paraId="214F0CAB" w14:textId="77777777" w:rsidTr="00862297">
        <w:tc>
          <w:tcPr>
            <w:tcW w:w="8856" w:type="dxa"/>
            <w:shd w:val="clear" w:color="auto" w:fill="99CCFF"/>
          </w:tcPr>
          <w:p w14:paraId="27F29BC8" w14:textId="77777777" w:rsidR="007655BC" w:rsidRPr="00735ABA" w:rsidRDefault="007655BC" w:rsidP="00B55FE6">
            <w:pPr>
              <w:rPr>
                <w:rFonts w:ascii="Arial" w:hAnsi="Arial" w:cs="Arial"/>
                <w:sz w:val="22"/>
                <w:szCs w:val="22"/>
              </w:rPr>
            </w:pPr>
            <w:r w:rsidRPr="00735ABA">
              <w:rPr>
                <w:rFonts w:ascii="Arial" w:hAnsi="Arial" w:cs="Arial"/>
                <w:b/>
                <w:sz w:val="22"/>
                <w:szCs w:val="22"/>
              </w:rPr>
              <w:t xml:space="preserve">Figure 17-5.  </w:t>
            </w:r>
            <w:r w:rsidRPr="00735ABA">
              <w:rPr>
                <w:rFonts w:ascii="Arial" w:hAnsi="Arial" w:cs="Arial"/>
                <w:sz w:val="22"/>
                <w:szCs w:val="22"/>
              </w:rPr>
              <w:t>Correlation between thyroid volume and urinary iodine excretion in normal population from various areas.</w:t>
            </w:r>
          </w:p>
        </w:tc>
      </w:tr>
    </w:tbl>
    <w:p w14:paraId="70A5BAC2" w14:textId="77777777" w:rsidR="00AA491A" w:rsidRPr="00735ABA" w:rsidRDefault="00AA491A" w:rsidP="00B55FE6">
      <w:pPr>
        <w:rPr>
          <w:rFonts w:ascii="Arial" w:hAnsi="Arial" w:cs="Arial"/>
          <w:sz w:val="22"/>
          <w:szCs w:val="22"/>
        </w:rPr>
      </w:pPr>
    </w:p>
    <w:p w14:paraId="20FA9EFD" w14:textId="77777777" w:rsidR="00AA491A" w:rsidRPr="00735ABA" w:rsidRDefault="00AA491A" w:rsidP="00B55FE6">
      <w:pPr>
        <w:rPr>
          <w:rFonts w:ascii="Arial" w:hAnsi="Arial" w:cs="Arial"/>
          <w:sz w:val="22"/>
          <w:szCs w:val="22"/>
        </w:rPr>
      </w:pPr>
    </w:p>
    <w:p w14:paraId="49B202C9" w14:textId="77777777" w:rsidR="00AA491A" w:rsidRPr="00735ABA" w:rsidRDefault="00A953C6" w:rsidP="00B55FE6">
      <w:pPr>
        <w:pStyle w:val="Heading1"/>
        <w:rPr>
          <w:rFonts w:cs="Arial"/>
          <w:sz w:val="22"/>
          <w:szCs w:val="22"/>
        </w:rPr>
      </w:pPr>
      <w:r w:rsidRPr="00735ABA">
        <w:rPr>
          <w:rFonts w:cs="Arial"/>
          <w:sz w:val="22"/>
          <w:szCs w:val="22"/>
        </w:rPr>
        <w:t>Natural occurring goitrogens</w:t>
      </w:r>
    </w:p>
    <w:p w14:paraId="4D21BFAC" w14:textId="649A5367" w:rsidR="00AA491A" w:rsidRPr="00735ABA" w:rsidRDefault="00AA491A" w:rsidP="00B55FE6">
      <w:pPr>
        <w:rPr>
          <w:rFonts w:ascii="Arial" w:hAnsi="Arial" w:cs="Arial"/>
          <w:sz w:val="22"/>
          <w:szCs w:val="22"/>
        </w:rPr>
      </w:pPr>
      <w:r w:rsidRPr="00735ABA">
        <w:rPr>
          <w:rFonts w:ascii="Arial" w:hAnsi="Arial" w:cs="Arial"/>
          <w:sz w:val="22"/>
          <w:szCs w:val="22"/>
        </w:rPr>
        <w:t>Patients occasionally have thyroid enlargement either because of goitrogenic substances in their diet or because of drugs that have been given for other conditions (</w:t>
      </w:r>
      <w:r w:rsidR="00A0033A">
        <w:rPr>
          <w:rFonts w:ascii="Arial" w:hAnsi="Arial" w:cs="Arial"/>
          <w:sz w:val="22"/>
          <w:szCs w:val="22"/>
        </w:rPr>
        <w:t>5</w:t>
      </w:r>
      <w:r w:rsidRPr="00735ABA">
        <w:rPr>
          <w:rFonts w:ascii="Arial" w:hAnsi="Arial" w:cs="Arial"/>
          <w:sz w:val="22"/>
          <w:szCs w:val="22"/>
        </w:rPr>
        <w:t>3). Feeding rats with minute doses of a natural goitrogen over many months will result in the same kind of response. Similar results have been obtained using combinations of the three most prevalent goitrogens contained in cabbage. The explanation for the effect of such substances is that the goitrogen is much more effective at the level of iodothyronine synthesis than at earlier steps in hormone production such as iodide trapping. Thus, the RAIU may be high, but with a block in hormone synthesis the stage would be set for the production of a goiter. This possibility remains to be proved in humans, but one might surmise that, if true, it would operate most effectively in a situation of borderline iodine supply. The goitrogen thiocyanate potentiates the effect of severe iodine deficiency in endemic areas of Africa (</w:t>
      </w:r>
      <w:r w:rsidR="00D50146">
        <w:rPr>
          <w:rFonts w:ascii="Arial" w:hAnsi="Arial" w:cs="Arial"/>
          <w:sz w:val="22"/>
          <w:szCs w:val="22"/>
        </w:rPr>
        <w:t>5</w:t>
      </w:r>
      <w:r w:rsidRPr="00735ABA">
        <w:rPr>
          <w:rFonts w:ascii="Arial" w:hAnsi="Arial" w:cs="Arial"/>
          <w:sz w:val="22"/>
          <w:szCs w:val="22"/>
        </w:rPr>
        <w:t>3).</w:t>
      </w:r>
    </w:p>
    <w:p w14:paraId="22C2FD7B" w14:textId="77777777" w:rsidR="00AA491A" w:rsidRPr="00735ABA" w:rsidRDefault="00AA491A" w:rsidP="00B55FE6">
      <w:pPr>
        <w:rPr>
          <w:rFonts w:ascii="Arial" w:hAnsi="Arial" w:cs="Arial"/>
          <w:sz w:val="22"/>
          <w:szCs w:val="22"/>
        </w:rPr>
      </w:pPr>
    </w:p>
    <w:p w14:paraId="2D8322EA" w14:textId="77777777" w:rsidR="00AA491A" w:rsidRPr="00735ABA" w:rsidRDefault="00AA491A" w:rsidP="00B55FE6">
      <w:pPr>
        <w:rPr>
          <w:rFonts w:ascii="Arial" w:hAnsi="Arial" w:cs="Arial"/>
          <w:sz w:val="22"/>
          <w:szCs w:val="22"/>
        </w:rPr>
      </w:pPr>
      <w:r w:rsidRPr="00735ABA">
        <w:rPr>
          <w:rFonts w:ascii="Arial" w:hAnsi="Arial" w:cs="Arial"/>
          <w:sz w:val="22"/>
          <w:szCs w:val="22"/>
        </w:rPr>
        <w:t xml:space="preserve">Several natural occurring goitrogens are listed in Table 17-2. Note that excessive </w:t>
      </w:r>
    </w:p>
    <w:p w14:paraId="1ADF2C93" w14:textId="77777777" w:rsidR="00AA491A" w:rsidRPr="00735ABA" w:rsidRDefault="00AA491A" w:rsidP="00B55FE6">
      <w:pPr>
        <w:rPr>
          <w:rFonts w:ascii="Arial" w:hAnsi="Arial" w:cs="Arial"/>
          <w:sz w:val="22"/>
          <w:szCs w:val="22"/>
        </w:rPr>
      </w:pPr>
      <w:r w:rsidRPr="00735ABA">
        <w:rPr>
          <w:rFonts w:ascii="Arial" w:hAnsi="Arial" w:cs="Arial"/>
          <w:sz w:val="22"/>
          <w:szCs w:val="22"/>
        </w:rPr>
        <w:t>Nutritional use of seaweed (rich in iodine) may induce goiter. Moreover malnutrition (protein-caloric malnutrition) iron deficiency, selenium deficiency when associated with marginally low nutritional iodine may impair thyroid hormone synthesis and induce thyroid enlargement.</w:t>
      </w:r>
    </w:p>
    <w:p w14:paraId="7EBDB467" w14:textId="77777777" w:rsidR="00703E45" w:rsidRPr="00735ABA" w:rsidRDefault="00703E45" w:rsidP="00B55FE6">
      <w:pPr>
        <w:rPr>
          <w:rFonts w:ascii="Arial" w:hAnsi="Arial" w:cs="Arial"/>
          <w:sz w:val="22"/>
          <w:szCs w:val="22"/>
        </w:rPr>
      </w:pPr>
    </w:p>
    <w:p w14:paraId="4EBECBAD" w14:textId="77777777" w:rsidR="00703E45" w:rsidRPr="00735ABA" w:rsidRDefault="00703E45" w:rsidP="00B55FE6">
      <w:pPr>
        <w:rPr>
          <w:rFonts w:ascii="Arial" w:hAnsi="Arial" w:cs="Arial"/>
          <w:sz w:val="22"/>
          <w:szCs w:val="22"/>
        </w:rPr>
      </w:pPr>
    </w:p>
    <w:p w14:paraId="08989A39" w14:textId="77777777" w:rsidR="00703E45" w:rsidRPr="00735ABA" w:rsidRDefault="00703E45" w:rsidP="00B55FE6">
      <w:pPr>
        <w:rPr>
          <w:rFonts w:ascii="Arial" w:hAnsi="Arial" w:cs="Arial"/>
          <w:sz w:val="22"/>
          <w:szCs w:val="22"/>
        </w:rPr>
      </w:pPr>
    </w:p>
    <w:p w14:paraId="61611F2C" w14:textId="77777777" w:rsidR="00703E45" w:rsidRDefault="00703E45" w:rsidP="00B55FE6">
      <w:pPr>
        <w:rPr>
          <w:rFonts w:ascii="Arial" w:hAnsi="Arial" w:cs="Arial"/>
          <w:sz w:val="22"/>
          <w:szCs w:val="22"/>
        </w:rPr>
      </w:pPr>
    </w:p>
    <w:p w14:paraId="42BF6971" w14:textId="77777777" w:rsidR="00030999" w:rsidRDefault="00030999" w:rsidP="00B55FE6">
      <w:pPr>
        <w:rPr>
          <w:rFonts w:ascii="Arial" w:hAnsi="Arial" w:cs="Arial"/>
          <w:sz w:val="22"/>
          <w:szCs w:val="22"/>
        </w:rPr>
      </w:pPr>
    </w:p>
    <w:p w14:paraId="443CF801" w14:textId="77777777" w:rsidR="00030999" w:rsidRDefault="00030999" w:rsidP="00B55FE6">
      <w:pPr>
        <w:rPr>
          <w:rFonts w:ascii="Arial" w:hAnsi="Arial" w:cs="Arial"/>
          <w:sz w:val="22"/>
          <w:szCs w:val="22"/>
        </w:rPr>
      </w:pPr>
    </w:p>
    <w:p w14:paraId="7203240A" w14:textId="77777777" w:rsidR="00030999" w:rsidRPr="00735ABA" w:rsidRDefault="00030999" w:rsidP="00B55FE6">
      <w:pPr>
        <w:rPr>
          <w:rFonts w:ascii="Arial" w:hAnsi="Arial" w:cs="Arial"/>
          <w:sz w:val="22"/>
          <w:szCs w:val="22"/>
        </w:rPr>
      </w:pPr>
    </w:p>
    <w:p w14:paraId="65F5CA1A" w14:textId="77777777" w:rsidR="00AA491A" w:rsidRPr="00735ABA" w:rsidRDefault="00AA491A" w:rsidP="00B55FE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2642"/>
        <w:gridCol w:w="2642"/>
      </w:tblGrid>
      <w:tr w:rsidR="007655BC" w:rsidRPr="00735ABA" w14:paraId="28C9C67E" w14:textId="77777777" w:rsidTr="00862297">
        <w:tc>
          <w:tcPr>
            <w:tcW w:w="8856" w:type="dxa"/>
            <w:gridSpan w:val="3"/>
            <w:shd w:val="clear" w:color="auto" w:fill="99CCFF"/>
          </w:tcPr>
          <w:p w14:paraId="21572F99" w14:textId="77777777" w:rsidR="007655BC" w:rsidRPr="00735ABA" w:rsidRDefault="007655BC" w:rsidP="00B55FE6">
            <w:pPr>
              <w:rPr>
                <w:rFonts w:ascii="Arial" w:hAnsi="Arial" w:cs="Arial"/>
                <w:b/>
                <w:sz w:val="22"/>
                <w:szCs w:val="22"/>
              </w:rPr>
            </w:pPr>
            <w:r w:rsidRPr="00735ABA">
              <w:rPr>
                <w:rFonts w:ascii="Arial" w:hAnsi="Arial" w:cs="Arial"/>
                <w:b/>
                <w:sz w:val="22"/>
                <w:szCs w:val="22"/>
              </w:rPr>
              <w:lastRenderedPageBreak/>
              <w:t xml:space="preserve">Table 17-2. </w:t>
            </w:r>
            <w:r w:rsidRPr="00735ABA">
              <w:rPr>
                <w:rFonts w:ascii="Arial" w:hAnsi="Arial" w:cs="Arial"/>
                <w:sz w:val="22"/>
                <w:szCs w:val="22"/>
              </w:rPr>
              <w:t xml:space="preserve"> Natural goitrogens associated with Multinodular Goiter</w:t>
            </w:r>
          </w:p>
        </w:tc>
      </w:tr>
      <w:tr w:rsidR="007655BC" w:rsidRPr="00735ABA" w14:paraId="64614CB7" w14:textId="77777777" w:rsidTr="00862297">
        <w:tc>
          <w:tcPr>
            <w:tcW w:w="3572" w:type="dxa"/>
            <w:shd w:val="clear" w:color="auto" w:fill="auto"/>
          </w:tcPr>
          <w:p w14:paraId="5FD0954E" w14:textId="77777777" w:rsidR="007655BC" w:rsidRPr="00735ABA" w:rsidRDefault="007655BC" w:rsidP="00862297">
            <w:pPr>
              <w:jc w:val="center"/>
              <w:rPr>
                <w:rFonts w:ascii="Arial" w:hAnsi="Arial" w:cs="Arial"/>
                <w:b/>
                <w:sz w:val="22"/>
                <w:szCs w:val="22"/>
              </w:rPr>
            </w:pPr>
            <w:r w:rsidRPr="00735ABA">
              <w:rPr>
                <w:rFonts w:ascii="Arial" w:hAnsi="Arial" w:cs="Arial"/>
                <w:b/>
                <w:sz w:val="22"/>
                <w:szCs w:val="22"/>
              </w:rPr>
              <w:t>Goitrogens</w:t>
            </w:r>
          </w:p>
        </w:tc>
        <w:tc>
          <w:tcPr>
            <w:tcW w:w="2642" w:type="dxa"/>
            <w:shd w:val="clear" w:color="auto" w:fill="auto"/>
          </w:tcPr>
          <w:p w14:paraId="5FFCC0C1" w14:textId="77777777" w:rsidR="007655BC" w:rsidRPr="00735ABA" w:rsidRDefault="007655BC" w:rsidP="00862297">
            <w:pPr>
              <w:jc w:val="center"/>
              <w:rPr>
                <w:rFonts w:ascii="Arial" w:hAnsi="Arial" w:cs="Arial"/>
                <w:b/>
                <w:sz w:val="22"/>
                <w:szCs w:val="22"/>
              </w:rPr>
            </w:pPr>
            <w:r w:rsidRPr="00735ABA">
              <w:rPr>
                <w:rFonts w:ascii="Arial" w:hAnsi="Arial" w:cs="Arial"/>
                <w:b/>
                <w:sz w:val="22"/>
                <w:szCs w:val="22"/>
              </w:rPr>
              <w:t>Agent</w:t>
            </w:r>
          </w:p>
        </w:tc>
        <w:tc>
          <w:tcPr>
            <w:tcW w:w="2642" w:type="dxa"/>
            <w:shd w:val="clear" w:color="auto" w:fill="auto"/>
          </w:tcPr>
          <w:p w14:paraId="7E7B89C5" w14:textId="77777777" w:rsidR="007655BC" w:rsidRPr="00735ABA" w:rsidRDefault="007655BC" w:rsidP="00862297">
            <w:pPr>
              <w:jc w:val="center"/>
              <w:rPr>
                <w:rFonts w:ascii="Arial" w:hAnsi="Arial" w:cs="Arial"/>
                <w:b/>
                <w:sz w:val="22"/>
                <w:szCs w:val="22"/>
              </w:rPr>
            </w:pPr>
            <w:r w:rsidRPr="00735ABA">
              <w:rPr>
                <w:rFonts w:ascii="Arial" w:hAnsi="Arial" w:cs="Arial"/>
                <w:b/>
                <w:sz w:val="22"/>
                <w:szCs w:val="22"/>
              </w:rPr>
              <w:t>Action</w:t>
            </w:r>
          </w:p>
        </w:tc>
      </w:tr>
      <w:tr w:rsidR="007655BC" w:rsidRPr="00735ABA" w14:paraId="1B99CC54" w14:textId="77777777" w:rsidTr="00862297">
        <w:tc>
          <w:tcPr>
            <w:tcW w:w="3572" w:type="dxa"/>
            <w:shd w:val="clear" w:color="auto" w:fill="auto"/>
          </w:tcPr>
          <w:p w14:paraId="03C8F5F4" w14:textId="77777777" w:rsidR="007655BC" w:rsidRPr="00735ABA" w:rsidRDefault="007655BC" w:rsidP="00B55FE6">
            <w:pPr>
              <w:rPr>
                <w:rFonts w:ascii="Arial" w:hAnsi="Arial" w:cs="Arial"/>
                <w:b/>
                <w:sz w:val="22"/>
                <w:szCs w:val="22"/>
              </w:rPr>
            </w:pPr>
            <w:r w:rsidRPr="00735ABA">
              <w:rPr>
                <w:rFonts w:ascii="Arial" w:hAnsi="Arial" w:cs="Arial"/>
                <w:sz w:val="22"/>
                <w:szCs w:val="22"/>
              </w:rPr>
              <w:t>Millet, soy beans</w:t>
            </w:r>
          </w:p>
        </w:tc>
        <w:tc>
          <w:tcPr>
            <w:tcW w:w="2642" w:type="dxa"/>
            <w:shd w:val="clear" w:color="auto" w:fill="auto"/>
          </w:tcPr>
          <w:p w14:paraId="4F905394" w14:textId="77777777" w:rsidR="007655BC" w:rsidRPr="00735ABA" w:rsidRDefault="007655BC" w:rsidP="00B55FE6">
            <w:pPr>
              <w:rPr>
                <w:rFonts w:ascii="Arial" w:hAnsi="Arial" w:cs="Arial"/>
                <w:b/>
                <w:sz w:val="22"/>
                <w:szCs w:val="22"/>
              </w:rPr>
            </w:pPr>
            <w:r w:rsidRPr="00735ABA">
              <w:rPr>
                <w:rFonts w:ascii="Arial" w:hAnsi="Arial" w:cs="Arial"/>
                <w:sz w:val="22"/>
                <w:szCs w:val="22"/>
              </w:rPr>
              <w:t>Flavonoids</w:t>
            </w:r>
          </w:p>
        </w:tc>
        <w:tc>
          <w:tcPr>
            <w:tcW w:w="2642" w:type="dxa"/>
            <w:shd w:val="clear" w:color="auto" w:fill="auto"/>
          </w:tcPr>
          <w:p w14:paraId="6EE3289C" w14:textId="77777777" w:rsidR="007655BC" w:rsidRPr="00735ABA" w:rsidRDefault="007655BC" w:rsidP="00B55FE6">
            <w:pPr>
              <w:rPr>
                <w:rFonts w:ascii="Arial" w:hAnsi="Arial" w:cs="Arial"/>
                <w:b/>
                <w:sz w:val="22"/>
                <w:szCs w:val="22"/>
              </w:rPr>
            </w:pPr>
            <w:r w:rsidRPr="00735ABA">
              <w:rPr>
                <w:rFonts w:ascii="Arial" w:hAnsi="Arial" w:cs="Arial"/>
                <w:sz w:val="22"/>
                <w:szCs w:val="22"/>
              </w:rPr>
              <w:t>Impairs thyroperoxidase</w:t>
            </w:r>
          </w:p>
        </w:tc>
      </w:tr>
      <w:tr w:rsidR="007655BC" w:rsidRPr="00735ABA" w14:paraId="4AEB6622" w14:textId="77777777" w:rsidTr="00862297">
        <w:tc>
          <w:tcPr>
            <w:tcW w:w="3572" w:type="dxa"/>
            <w:shd w:val="clear" w:color="auto" w:fill="auto"/>
          </w:tcPr>
          <w:p w14:paraId="76407C78" w14:textId="77777777" w:rsidR="007655BC" w:rsidRPr="00735ABA" w:rsidRDefault="007655BC" w:rsidP="00B55FE6">
            <w:pPr>
              <w:rPr>
                <w:rFonts w:ascii="Arial" w:hAnsi="Arial" w:cs="Arial"/>
                <w:sz w:val="22"/>
                <w:szCs w:val="22"/>
              </w:rPr>
            </w:pPr>
            <w:r w:rsidRPr="00735ABA">
              <w:rPr>
                <w:rFonts w:ascii="Arial" w:hAnsi="Arial" w:cs="Arial"/>
                <w:sz w:val="22"/>
                <w:szCs w:val="22"/>
              </w:rPr>
              <w:t>Cassava</w:t>
            </w:r>
            <w:r w:rsidR="00F61AF2" w:rsidRPr="00735ABA">
              <w:rPr>
                <w:rFonts w:ascii="Arial" w:hAnsi="Arial" w:cs="Arial"/>
                <w:sz w:val="22"/>
                <w:szCs w:val="22"/>
              </w:rPr>
              <w:t xml:space="preserve">, </w:t>
            </w:r>
            <w:r w:rsidRPr="00735ABA">
              <w:rPr>
                <w:rFonts w:ascii="Arial" w:hAnsi="Arial" w:cs="Arial"/>
                <w:sz w:val="22"/>
                <w:szCs w:val="22"/>
              </w:rPr>
              <w:t xml:space="preserve"> sweet potato, sorghum</w:t>
            </w:r>
          </w:p>
        </w:tc>
        <w:tc>
          <w:tcPr>
            <w:tcW w:w="2642" w:type="dxa"/>
            <w:shd w:val="clear" w:color="auto" w:fill="auto"/>
          </w:tcPr>
          <w:p w14:paraId="22F3EC26" w14:textId="77777777" w:rsidR="007655BC" w:rsidRPr="00735ABA" w:rsidRDefault="007655BC" w:rsidP="00B55FE6">
            <w:pPr>
              <w:rPr>
                <w:rFonts w:ascii="Arial" w:hAnsi="Arial" w:cs="Arial"/>
                <w:sz w:val="22"/>
                <w:szCs w:val="22"/>
              </w:rPr>
            </w:pPr>
            <w:r w:rsidRPr="00735ABA">
              <w:rPr>
                <w:rFonts w:ascii="Arial" w:hAnsi="Arial" w:cs="Arial"/>
                <w:sz w:val="22"/>
                <w:szCs w:val="22"/>
              </w:rPr>
              <w:t>Cyanogenic glucosides metabolized to thiocyanates</w:t>
            </w:r>
          </w:p>
        </w:tc>
        <w:tc>
          <w:tcPr>
            <w:tcW w:w="2642" w:type="dxa"/>
            <w:shd w:val="clear" w:color="auto" w:fill="auto"/>
          </w:tcPr>
          <w:p w14:paraId="02B73EA8" w14:textId="77777777" w:rsidR="007655BC" w:rsidRPr="00735ABA" w:rsidRDefault="007655BC" w:rsidP="00B55FE6">
            <w:pPr>
              <w:rPr>
                <w:rFonts w:ascii="Arial" w:hAnsi="Arial" w:cs="Arial"/>
                <w:sz w:val="22"/>
                <w:szCs w:val="22"/>
              </w:rPr>
            </w:pPr>
            <w:r w:rsidRPr="00735ABA">
              <w:rPr>
                <w:rFonts w:ascii="Arial" w:hAnsi="Arial" w:cs="Arial"/>
                <w:sz w:val="22"/>
                <w:szCs w:val="22"/>
              </w:rPr>
              <w:t>Inhibits iodine thyroidal uptake</w:t>
            </w:r>
          </w:p>
        </w:tc>
      </w:tr>
      <w:tr w:rsidR="007655BC" w:rsidRPr="00735ABA" w14:paraId="5F4E146B" w14:textId="77777777" w:rsidTr="00862297">
        <w:tc>
          <w:tcPr>
            <w:tcW w:w="3572" w:type="dxa"/>
            <w:shd w:val="clear" w:color="auto" w:fill="auto"/>
          </w:tcPr>
          <w:p w14:paraId="43B9FB8C" w14:textId="77777777" w:rsidR="007655BC" w:rsidRPr="00735ABA" w:rsidRDefault="007655BC" w:rsidP="00B55FE6">
            <w:pPr>
              <w:rPr>
                <w:rFonts w:ascii="Arial" w:hAnsi="Arial" w:cs="Arial"/>
                <w:sz w:val="22"/>
                <w:szCs w:val="22"/>
              </w:rPr>
            </w:pPr>
            <w:r w:rsidRPr="00735ABA">
              <w:rPr>
                <w:rFonts w:ascii="Arial" w:hAnsi="Arial" w:cs="Arial"/>
                <w:sz w:val="22"/>
                <w:szCs w:val="22"/>
              </w:rPr>
              <w:t>Babassu coconut</w:t>
            </w:r>
          </w:p>
        </w:tc>
        <w:tc>
          <w:tcPr>
            <w:tcW w:w="2642" w:type="dxa"/>
            <w:shd w:val="clear" w:color="auto" w:fill="auto"/>
          </w:tcPr>
          <w:p w14:paraId="50F4087E" w14:textId="77777777" w:rsidR="007655BC" w:rsidRPr="00735ABA" w:rsidRDefault="007655BC" w:rsidP="00B55FE6">
            <w:pPr>
              <w:rPr>
                <w:rFonts w:ascii="Arial" w:hAnsi="Arial" w:cs="Arial"/>
                <w:sz w:val="22"/>
                <w:szCs w:val="22"/>
              </w:rPr>
            </w:pPr>
            <w:r w:rsidRPr="00735ABA">
              <w:rPr>
                <w:rFonts w:ascii="Arial" w:hAnsi="Arial" w:cs="Arial"/>
                <w:sz w:val="22"/>
                <w:szCs w:val="22"/>
              </w:rPr>
              <w:t>Flavoniods</w:t>
            </w:r>
          </w:p>
        </w:tc>
        <w:tc>
          <w:tcPr>
            <w:tcW w:w="2642" w:type="dxa"/>
            <w:shd w:val="clear" w:color="auto" w:fill="auto"/>
          </w:tcPr>
          <w:p w14:paraId="3CF6B36C" w14:textId="77777777" w:rsidR="007655BC" w:rsidRPr="00735ABA" w:rsidRDefault="007655BC" w:rsidP="00B55FE6">
            <w:pPr>
              <w:rPr>
                <w:rFonts w:ascii="Arial" w:hAnsi="Arial" w:cs="Arial"/>
                <w:sz w:val="22"/>
                <w:szCs w:val="22"/>
              </w:rPr>
            </w:pPr>
            <w:r w:rsidRPr="00735ABA">
              <w:rPr>
                <w:rFonts w:ascii="Arial" w:hAnsi="Arial" w:cs="Arial"/>
                <w:sz w:val="22"/>
                <w:szCs w:val="22"/>
              </w:rPr>
              <w:t>Inhibits thyroperoxidase</w:t>
            </w:r>
          </w:p>
        </w:tc>
      </w:tr>
      <w:tr w:rsidR="007655BC" w:rsidRPr="00735ABA" w14:paraId="2BD7DE9D" w14:textId="77777777" w:rsidTr="00862297">
        <w:tc>
          <w:tcPr>
            <w:tcW w:w="3572" w:type="dxa"/>
            <w:shd w:val="clear" w:color="auto" w:fill="auto"/>
          </w:tcPr>
          <w:p w14:paraId="51723313" w14:textId="77777777" w:rsidR="007655BC" w:rsidRPr="00735ABA" w:rsidRDefault="007655BC" w:rsidP="00B55FE6">
            <w:pPr>
              <w:rPr>
                <w:rFonts w:ascii="Arial" w:hAnsi="Arial" w:cs="Arial"/>
                <w:sz w:val="22"/>
                <w:szCs w:val="22"/>
              </w:rPr>
            </w:pPr>
            <w:r w:rsidRPr="00735ABA">
              <w:rPr>
                <w:rFonts w:ascii="Arial" w:hAnsi="Arial" w:cs="Arial"/>
                <w:sz w:val="22"/>
                <w:szCs w:val="22"/>
              </w:rPr>
              <w:t>Cruciferous vegetables: Cabbage, cauliflower, Broccoli, turnips</w:t>
            </w:r>
          </w:p>
        </w:tc>
        <w:tc>
          <w:tcPr>
            <w:tcW w:w="2642" w:type="dxa"/>
            <w:shd w:val="clear" w:color="auto" w:fill="auto"/>
          </w:tcPr>
          <w:p w14:paraId="251E3074" w14:textId="77777777" w:rsidR="007655BC" w:rsidRPr="00735ABA" w:rsidRDefault="007655BC" w:rsidP="00B55FE6">
            <w:pPr>
              <w:rPr>
                <w:rFonts w:ascii="Arial" w:hAnsi="Arial" w:cs="Arial"/>
                <w:sz w:val="22"/>
                <w:szCs w:val="22"/>
              </w:rPr>
            </w:pPr>
            <w:r w:rsidRPr="00735ABA">
              <w:rPr>
                <w:rFonts w:ascii="Arial" w:hAnsi="Arial" w:cs="Arial"/>
                <w:sz w:val="22"/>
                <w:szCs w:val="22"/>
              </w:rPr>
              <w:t>Glucosinolates</w:t>
            </w:r>
          </w:p>
        </w:tc>
        <w:tc>
          <w:tcPr>
            <w:tcW w:w="2642" w:type="dxa"/>
            <w:shd w:val="clear" w:color="auto" w:fill="auto"/>
          </w:tcPr>
          <w:p w14:paraId="12358FBC" w14:textId="77777777" w:rsidR="007655BC" w:rsidRPr="00735ABA" w:rsidRDefault="007655BC" w:rsidP="00B55FE6">
            <w:pPr>
              <w:rPr>
                <w:rFonts w:ascii="Arial" w:hAnsi="Arial" w:cs="Arial"/>
                <w:sz w:val="22"/>
                <w:szCs w:val="22"/>
              </w:rPr>
            </w:pPr>
            <w:r w:rsidRPr="00735ABA">
              <w:rPr>
                <w:rFonts w:ascii="Arial" w:hAnsi="Arial" w:cs="Arial"/>
                <w:sz w:val="22"/>
                <w:szCs w:val="22"/>
              </w:rPr>
              <w:t>Impairs iodine thyroidal uptake</w:t>
            </w:r>
          </w:p>
        </w:tc>
      </w:tr>
      <w:tr w:rsidR="007655BC" w:rsidRPr="00735ABA" w14:paraId="2459F8A6" w14:textId="77777777" w:rsidTr="00862297">
        <w:tc>
          <w:tcPr>
            <w:tcW w:w="3572" w:type="dxa"/>
            <w:shd w:val="clear" w:color="auto" w:fill="auto"/>
          </w:tcPr>
          <w:p w14:paraId="1383F32C" w14:textId="77777777" w:rsidR="007655BC" w:rsidRPr="00735ABA" w:rsidRDefault="007655BC" w:rsidP="00B55FE6">
            <w:pPr>
              <w:rPr>
                <w:rFonts w:ascii="Arial" w:hAnsi="Arial" w:cs="Arial"/>
                <w:sz w:val="22"/>
                <w:szCs w:val="22"/>
              </w:rPr>
            </w:pPr>
            <w:r w:rsidRPr="00735ABA">
              <w:rPr>
                <w:rFonts w:ascii="Arial" w:hAnsi="Arial" w:cs="Arial"/>
                <w:sz w:val="22"/>
                <w:szCs w:val="22"/>
              </w:rPr>
              <w:t>Seaweed (kelp)</w:t>
            </w:r>
          </w:p>
        </w:tc>
        <w:tc>
          <w:tcPr>
            <w:tcW w:w="2642" w:type="dxa"/>
            <w:shd w:val="clear" w:color="auto" w:fill="auto"/>
          </w:tcPr>
          <w:p w14:paraId="4814930F" w14:textId="77777777" w:rsidR="007655BC" w:rsidRPr="00735ABA" w:rsidRDefault="007655BC" w:rsidP="00B55FE6">
            <w:pPr>
              <w:rPr>
                <w:rFonts w:ascii="Arial" w:hAnsi="Arial" w:cs="Arial"/>
                <w:sz w:val="22"/>
                <w:szCs w:val="22"/>
              </w:rPr>
            </w:pPr>
            <w:r w:rsidRPr="00735ABA">
              <w:rPr>
                <w:rFonts w:ascii="Arial" w:hAnsi="Arial" w:cs="Arial"/>
                <w:sz w:val="22"/>
                <w:szCs w:val="22"/>
              </w:rPr>
              <w:t>Iodine excess</w:t>
            </w:r>
          </w:p>
        </w:tc>
        <w:tc>
          <w:tcPr>
            <w:tcW w:w="2642" w:type="dxa"/>
            <w:shd w:val="clear" w:color="auto" w:fill="auto"/>
          </w:tcPr>
          <w:p w14:paraId="585A8981" w14:textId="77777777" w:rsidR="007655BC" w:rsidRPr="00735ABA" w:rsidRDefault="007655BC" w:rsidP="00B55FE6">
            <w:pPr>
              <w:rPr>
                <w:rFonts w:ascii="Arial" w:hAnsi="Arial" w:cs="Arial"/>
                <w:sz w:val="22"/>
                <w:szCs w:val="22"/>
              </w:rPr>
            </w:pPr>
            <w:r w:rsidRPr="00735ABA">
              <w:rPr>
                <w:rFonts w:ascii="Arial" w:hAnsi="Arial" w:cs="Arial"/>
                <w:sz w:val="22"/>
                <w:szCs w:val="22"/>
              </w:rPr>
              <w:t>Inhibits release of thyroidal Hormones</w:t>
            </w:r>
          </w:p>
        </w:tc>
      </w:tr>
      <w:tr w:rsidR="007655BC" w:rsidRPr="00735ABA" w14:paraId="64C93701" w14:textId="77777777" w:rsidTr="00862297">
        <w:tc>
          <w:tcPr>
            <w:tcW w:w="3572" w:type="dxa"/>
            <w:shd w:val="clear" w:color="auto" w:fill="auto"/>
          </w:tcPr>
          <w:p w14:paraId="2AA4C987" w14:textId="77777777" w:rsidR="007655BC" w:rsidRPr="00735ABA" w:rsidRDefault="007655BC" w:rsidP="00B55FE6">
            <w:pPr>
              <w:rPr>
                <w:rFonts w:ascii="Arial" w:hAnsi="Arial" w:cs="Arial"/>
                <w:sz w:val="22"/>
                <w:szCs w:val="22"/>
              </w:rPr>
            </w:pPr>
          </w:p>
        </w:tc>
        <w:tc>
          <w:tcPr>
            <w:tcW w:w="2642" w:type="dxa"/>
            <w:shd w:val="clear" w:color="auto" w:fill="auto"/>
          </w:tcPr>
          <w:p w14:paraId="0ED415FD" w14:textId="77777777" w:rsidR="007655BC" w:rsidRPr="00735ABA" w:rsidRDefault="007655BC" w:rsidP="00B55FE6">
            <w:pPr>
              <w:rPr>
                <w:rFonts w:ascii="Arial" w:hAnsi="Arial" w:cs="Arial"/>
                <w:sz w:val="22"/>
                <w:szCs w:val="22"/>
              </w:rPr>
            </w:pPr>
          </w:p>
        </w:tc>
        <w:tc>
          <w:tcPr>
            <w:tcW w:w="2642" w:type="dxa"/>
            <w:shd w:val="clear" w:color="auto" w:fill="auto"/>
          </w:tcPr>
          <w:p w14:paraId="795C4B7F" w14:textId="77777777" w:rsidR="007655BC" w:rsidRPr="00735ABA" w:rsidRDefault="007655BC" w:rsidP="00B55FE6">
            <w:pPr>
              <w:rPr>
                <w:rFonts w:ascii="Arial" w:hAnsi="Arial" w:cs="Arial"/>
                <w:sz w:val="22"/>
                <w:szCs w:val="22"/>
              </w:rPr>
            </w:pPr>
          </w:p>
        </w:tc>
      </w:tr>
      <w:tr w:rsidR="007655BC" w:rsidRPr="00735ABA" w14:paraId="6A5F50FA" w14:textId="77777777" w:rsidTr="00862297">
        <w:tc>
          <w:tcPr>
            <w:tcW w:w="3572" w:type="dxa"/>
            <w:shd w:val="clear" w:color="auto" w:fill="auto"/>
          </w:tcPr>
          <w:p w14:paraId="1650028C" w14:textId="77777777" w:rsidR="007655BC" w:rsidRPr="00735ABA" w:rsidRDefault="007655BC" w:rsidP="00B55FE6">
            <w:pPr>
              <w:rPr>
                <w:rFonts w:ascii="Arial" w:hAnsi="Arial" w:cs="Arial"/>
                <w:sz w:val="22"/>
                <w:szCs w:val="22"/>
              </w:rPr>
            </w:pPr>
            <w:r w:rsidRPr="00735ABA">
              <w:rPr>
                <w:rFonts w:ascii="Arial" w:hAnsi="Arial" w:cs="Arial"/>
                <w:sz w:val="22"/>
                <w:szCs w:val="22"/>
              </w:rPr>
              <w:t>Malnutrition</w:t>
            </w:r>
            <w:r w:rsidR="00F61AF2" w:rsidRPr="00735ABA">
              <w:rPr>
                <w:rFonts w:ascii="Arial" w:hAnsi="Arial" w:cs="Arial"/>
                <w:sz w:val="22"/>
                <w:szCs w:val="22"/>
              </w:rPr>
              <w:t xml:space="preserve">, </w:t>
            </w:r>
            <w:r w:rsidRPr="00735ABA">
              <w:rPr>
                <w:rFonts w:ascii="Arial" w:hAnsi="Arial" w:cs="Arial"/>
                <w:sz w:val="22"/>
                <w:szCs w:val="22"/>
              </w:rPr>
              <w:t xml:space="preserve"> Iron</w:t>
            </w:r>
            <w:r w:rsidR="00F61AF2" w:rsidRPr="00735ABA">
              <w:rPr>
                <w:rFonts w:ascii="Arial" w:hAnsi="Arial" w:cs="Arial"/>
                <w:sz w:val="22"/>
                <w:szCs w:val="22"/>
              </w:rPr>
              <w:t xml:space="preserve"> deficiency</w:t>
            </w:r>
          </w:p>
        </w:tc>
        <w:tc>
          <w:tcPr>
            <w:tcW w:w="2642" w:type="dxa"/>
            <w:shd w:val="clear" w:color="auto" w:fill="auto"/>
          </w:tcPr>
          <w:p w14:paraId="167E7EE4" w14:textId="77777777" w:rsidR="007655BC" w:rsidRPr="00735ABA" w:rsidRDefault="000122E4" w:rsidP="00B55FE6">
            <w:pPr>
              <w:rPr>
                <w:rFonts w:ascii="Arial" w:hAnsi="Arial" w:cs="Arial"/>
                <w:sz w:val="22"/>
                <w:szCs w:val="22"/>
              </w:rPr>
            </w:pPr>
            <w:r w:rsidRPr="00735ABA">
              <w:rPr>
                <w:rFonts w:ascii="Arial" w:hAnsi="Arial" w:cs="Arial"/>
                <w:sz w:val="22"/>
                <w:szCs w:val="22"/>
              </w:rPr>
              <w:t>Vitamin A deficiency</w:t>
            </w:r>
          </w:p>
          <w:p w14:paraId="0DD6B5FE" w14:textId="77777777" w:rsidR="000122E4" w:rsidRPr="00735ABA" w:rsidRDefault="000122E4" w:rsidP="00B55FE6">
            <w:pPr>
              <w:rPr>
                <w:rFonts w:ascii="Arial" w:hAnsi="Arial" w:cs="Arial"/>
                <w:sz w:val="22"/>
                <w:szCs w:val="22"/>
              </w:rPr>
            </w:pPr>
            <w:r w:rsidRPr="00735ABA">
              <w:rPr>
                <w:rFonts w:ascii="Arial" w:hAnsi="Arial" w:cs="Arial"/>
                <w:sz w:val="22"/>
                <w:szCs w:val="22"/>
              </w:rPr>
              <w:t>Iron deficiency</w:t>
            </w:r>
          </w:p>
        </w:tc>
        <w:tc>
          <w:tcPr>
            <w:tcW w:w="2642" w:type="dxa"/>
            <w:shd w:val="clear" w:color="auto" w:fill="auto"/>
          </w:tcPr>
          <w:p w14:paraId="0110777E" w14:textId="77777777" w:rsidR="007655BC" w:rsidRPr="00735ABA" w:rsidRDefault="000122E4" w:rsidP="00B55FE6">
            <w:pPr>
              <w:rPr>
                <w:rFonts w:ascii="Arial" w:hAnsi="Arial" w:cs="Arial"/>
                <w:sz w:val="22"/>
                <w:szCs w:val="22"/>
              </w:rPr>
            </w:pPr>
            <w:r w:rsidRPr="00735ABA">
              <w:rPr>
                <w:rFonts w:ascii="Arial" w:hAnsi="Arial" w:cs="Arial"/>
                <w:sz w:val="22"/>
                <w:szCs w:val="22"/>
              </w:rPr>
              <w:t>Increases TSH stimulation</w:t>
            </w:r>
          </w:p>
          <w:p w14:paraId="6FC4C24F" w14:textId="77777777" w:rsidR="000122E4" w:rsidRPr="00735ABA" w:rsidRDefault="000122E4" w:rsidP="00B55FE6">
            <w:pPr>
              <w:rPr>
                <w:rFonts w:ascii="Arial" w:hAnsi="Arial" w:cs="Arial"/>
                <w:sz w:val="22"/>
                <w:szCs w:val="22"/>
              </w:rPr>
            </w:pPr>
            <w:r w:rsidRPr="00735ABA">
              <w:rPr>
                <w:rFonts w:ascii="Arial" w:hAnsi="Arial" w:cs="Arial"/>
                <w:sz w:val="22"/>
                <w:szCs w:val="22"/>
              </w:rPr>
              <w:t>Reduces heme-dependent thyroperoxidase thyroidal activity</w:t>
            </w:r>
          </w:p>
        </w:tc>
      </w:tr>
      <w:tr w:rsidR="000122E4" w:rsidRPr="00735ABA" w14:paraId="0C9B62E3" w14:textId="77777777" w:rsidTr="00862297">
        <w:tc>
          <w:tcPr>
            <w:tcW w:w="3572" w:type="dxa"/>
            <w:shd w:val="clear" w:color="auto" w:fill="auto"/>
          </w:tcPr>
          <w:p w14:paraId="65B26AFF" w14:textId="77777777" w:rsidR="000122E4" w:rsidRPr="00735ABA" w:rsidRDefault="000122E4" w:rsidP="00B55FE6">
            <w:pPr>
              <w:rPr>
                <w:rFonts w:ascii="Arial" w:hAnsi="Arial" w:cs="Arial"/>
                <w:sz w:val="22"/>
                <w:szCs w:val="22"/>
              </w:rPr>
            </w:pPr>
            <w:r w:rsidRPr="00735ABA">
              <w:rPr>
                <w:rFonts w:ascii="Arial" w:hAnsi="Arial" w:cs="Arial"/>
                <w:sz w:val="22"/>
                <w:szCs w:val="22"/>
              </w:rPr>
              <w:t>Selenium</w:t>
            </w:r>
          </w:p>
        </w:tc>
        <w:tc>
          <w:tcPr>
            <w:tcW w:w="2642" w:type="dxa"/>
            <w:shd w:val="clear" w:color="auto" w:fill="auto"/>
          </w:tcPr>
          <w:p w14:paraId="08BFB339" w14:textId="77777777" w:rsidR="000122E4" w:rsidRPr="00735ABA" w:rsidRDefault="000122E4" w:rsidP="00B55FE6">
            <w:pPr>
              <w:rPr>
                <w:rFonts w:ascii="Arial" w:hAnsi="Arial" w:cs="Arial"/>
                <w:sz w:val="22"/>
                <w:szCs w:val="22"/>
              </w:rPr>
            </w:pPr>
            <w:r w:rsidRPr="00735ABA">
              <w:rPr>
                <w:rFonts w:ascii="Arial" w:hAnsi="Arial" w:cs="Arial"/>
                <w:sz w:val="22"/>
                <w:szCs w:val="22"/>
              </w:rPr>
              <w:t>Selenium deficiency</w:t>
            </w:r>
          </w:p>
        </w:tc>
        <w:tc>
          <w:tcPr>
            <w:tcW w:w="2642" w:type="dxa"/>
            <w:shd w:val="clear" w:color="auto" w:fill="auto"/>
          </w:tcPr>
          <w:p w14:paraId="3D4B4B7A" w14:textId="77777777" w:rsidR="000122E4" w:rsidRPr="00735ABA" w:rsidRDefault="000122E4" w:rsidP="00B55FE6">
            <w:pPr>
              <w:rPr>
                <w:rFonts w:ascii="Arial" w:hAnsi="Arial" w:cs="Arial"/>
                <w:sz w:val="22"/>
                <w:szCs w:val="22"/>
              </w:rPr>
            </w:pPr>
            <w:r w:rsidRPr="00735ABA">
              <w:rPr>
                <w:rFonts w:ascii="Arial" w:hAnsi="Arial" w:cs="Arial"/>
                <w:sz w:val="22"/>
                <w:szCs w:val="22"/>
              </w:rPr>
              <w:t>Accumulates peroxidase and cause deiodinase deficiency; impairs thyroid hormone synthesis</w:t>
            </w:r>
          </w:p>
        </w:tc>
      </w:tr>
      <w:tr w:rsidR="000122E4" w:rsidRPr="00735ABA" w14:paraId="195979A9" w14:textId="77777777" w:rsidTr="00862297">
        <w:tc>
          <w:tcPr>
            <w:tcW w:w="8856" w:type="dxa"/>
            <w:gridSpan w:val="3"/>
            <w:shd w:val="clear" w:color="auto" w:fill="auto"/>
          </w:tcPr>
          <w:p w14:paraId="402D5098" w14:textId="77777777" w:rsidR="00E22FB0" w:rsidRPr="00735ABA" w:rsidRDefault="00E22FB0" w:rsidP="00B55FE6">
            <w:pPr>
              <w:rPr>
                <w:rFonts w:ascii="Arial" w:hAnsi="Arial" w:cs="Arial"/>
                <w:sz w:val="22"/>
                <w:szCs w:val="22"/>
              </w:rPr>
            </w:pPr>
          </w:p>
          <w:p w14:paraId="25799E8D" w14:textId="0F7E7488" w:rsidR="000122E4" w:rsidRPr="00735ABA" w:rsidRDefault="000122E4" w:rsidP="00B55FE6">
            <w:pPr>
              <w:rPr>
                <w:rFonts w:ascii="Arial" w:hAnsi="Arial" w:cs="Arial"/>
                <w:sz w:val="22"/>
                <w:szCs w:val="22"/>
              </w:rPr>
            </w:pPr>
            <w:r w:rsidRPr="00735ABA">
              <w:rPr>
                <w:rFonts w:ascii="Arial" w:hAnsi="Arial" w:cs="Arial"/>
                <w:sz w:val="22"/>
                <w:szCs w:val="22"/>
              </w:rPr>
              <w:t xml:space="preserve">Modified and adapted from Medeiros-Neto &amp; Knobel, ref. </w:t>
            </w:r>
            <w:r w:rsidR="00D50146">
              <w:rPr>
                <w:rFonts w:ascii="Arial" w:hAnsi="Arial" w:cs="Arial"/>
                <w:sz w:val="22"/>
                <w:szCs w:val="22"/>
              </w:rPr>
              <w:t>5</w:t>
            </w:r>
            <w:r w:rsidRPr="00735ABA">
              <w:rPr>
                <w:rFonts w:ascii="Arial" w:hAnsi="Arial" w:cs="Arial"/>
                <w:sz w:val="22"/>
                <w:szCs w:val="22"/>
              </w:rPr>
              <w:t>3</w:t>
            </w:r>
          </w:p>
          <w:p w14:paraId="45C45E11" w14:textId="77777777" w:rsidR="00E22FB0" w:rsidRPr="00735ABA" w:rsidRDefault="00E22FB0" w:rsidP="00B55FE6">
            <w:pPr>
              <w:rPr>
                <w:rFonts w:ascii="Arial" w:hAnsi="Arial" w:cs="Arial"/>
                <w:sz w:val="22"/>
                <w:szCs w:val="22"/>
              </w:rPr>
            </w:pPr>
          </w:p>
        </w:tc>
      </w:tr>
    </w:tbl>
    <w:p w14:paraId="189D06D0" w14:textId="77777777" w:rsidR="00AA491A" w:rsidRPr="00735ABA" w:rsidRDefault="00AA491A" w:rsidP="00B55FE6">
      <w:pPr>
        <w:rPr>
          <w:rFonts w:ascii="Arial" w:hAnsi="Arial" w:cs="Arial"/>
        </w:rPr>
      </w:pPr>
    </w:p>
    <w:p w14:paraId="5B1B18CD" w14:textId="77777777" w:rsidR="00AA491A" w:rsidRPr="00E82DBF" w:rsidRDefault="00A953C6" w:rsidP="00901294">
      <w:pPr>
        <w:pStyle w:val="Heading1"/>
        <w:spacing w:after="240" w:afterAutospacing="0"/>
        <w:rPr>
          <w:sz w:val="22"/>
          <w:szCs w:val="22"/>
        </w:rPr>
      </w:pPr>
      <w:r w:rsidRPr="00735ABA">
        <w:rPr>
          <w:sz w:val="22"/>
          <w:szCs w:val="22"/>
        </w:rPr>
        <w:t>Inherited defects in thyroid hormone synthesis and resistan</w:t>
      </w:r>
      <w:r w:rsidR="00B32F99" w:rsidRPr="00735ABA">
        <w:rPr>
          <w:sz w:val="22"/>
          <w:szCs w:val="22"/>
        </w:rPr>
        <w:t>c</w:t>
      </w:r>
      <w:r w:rsidRPr="008250DA">
        <w:rPr>
          <w:sz w:val="22"/>
          <w:szCs w:val="22"/>
        </w:rPr>
        <w:t>e to thyroid hormone action</w:t>
      </w:r>
    </w:p>
    <w:p w14:paraId="39935600" w14:textId="77777777" w:rsidR="00AA491A" w:rsidRPr="00E82DBF" w:rsidRDefault="00AA491A" w:rsidP="00901294">
      <w:pPr>
        <w:spacing w:after="240"/>
        <w:rPr>
          <w:rFonts w:ascii="Arial" w:hAnsi="Arial" w:cs="Arial"/>
          <w:b/>
          <w:sz w:val="22"/>
          <w:szCs w:val="22"/>
        </w:rPr>
      </w:pPr>
    </w:p>
    <w:p w14:paraId="64571C8F" w14:textId="71E6FE76" w:rsidR="00AA491A" w:rsidRPr="008250DA" w:rsidRDefault="00AA491A" w:rsidP="00901294">
      <w:pPr>
        <w:spacing w:after="240"/>
        <w:rPr>
          <w:rFonts w:ascii="Arial" w:hAnsi="Arial" w:cs="Arial"/>
          <w:sz w:val="22"/>
          <w:szCs w:val="22"/>
        </w:rPr>
      </w:pPr>
      <w:r w:rsidRPr="00735ABA">
        <w:rPr>
          <w:rFonts w:ascii="Arial" w:hAnsi="Arial" w:cs="Arial"/>
          <w:sz w:val="22"/>
          <w:szCs w:val="22"/>
        </w:rPr>
        <w:t xml:space="preserve">Inherited goiter and congenital hypothyroidism were first described by Stanbury and </w:t>
      </w:r>
      <w:r w:rsidRPr="008250DA">
        <w:rPr>
          <w:rFonts w:ascii="Arial" w:hAnsi="Arial" w:cs="Arial"/>
          <w:sz w:val="22"/>
          <w:szCs w:val="22"/>
        </w:rPr>
        <w:t>associate</w:t>
      </w:r>
      <w:r w:rsidR="003F18A4" w:rsidRPr="008250DA">
        <w:rPr>
          <w:rFonts w:ascii="Arial" w:hAnsi="Arial" w:cs="Arial"/>
          <w:sz w:val="22"/>
          <w:szCs w:val="22"/>
        </w:rPr>
        <w:t>d</w:t>
      </w:r>
      <w:r w:rsidRPr="008250DA">
        <w:rPr>
          <w:rFonts w:ascii="Arial" w:hAnsi="Arial" w:cs="Arial"/>
          <w:sz w:val="22"/>
          <w:szCs w:val="22"/>
        </w:rPr>
        <w:t xml:space="preserve"> (3</w:t>
      </w:r>
      <w:r w:rsidR="00D50146">
        <w:rPr>
          <w:rFonts w:ascii="Arial" w:hAnsi="Arial" w:cs="Arial"/>
          <w:sz w:val="22"/>
          <w:szCs w:val="22"/>
        </w:rPr>
        <w:t>0</w:t>
      </w:r>
      <w:r w:rsidRPr="008250DA">
        <w:rPr>
          <w:rFonts w:ascii="Arial" w:hAnsi="Arial" w:cs="Arial"/>
          <w:sz w:val="22"/>
          <w:szCs w:val="22"/>
        </w:rPr>
        <w:t>) in two goitrous siblings with defective thyroperoxidase action resulting in impaired iodine organification. Both siblings were mentally retarded and had enormous multinodular goiters. In the next fifty years a number of genetic defects in every step of thyroid hormone synthesis have been described in detail. If not diagnosed at birth the impaired thyroid hormone synthesis would result in an elevated TSH secretion and diffuse goiter could progressively appears. Other factors might be of importance regarding goiter formation. The level of nutritional iodine seems to be quite important in patients with the defective sodium iodine symporter (NIS), thyroglobulin gene mutations and the defective dehalogenase system (DEHAL gene). If a relatively high intake of iodine is provided goiter formation may be slowed down to a certain extent. On the contrary in marginally low nutritional iodine intake goiter will progress to a very large size and nodules will appear (multinodular goiter). It has been proposed that mutations of certain genes involved in thyroid hormone synthesis that do not entirely affect the physiological action of the translated protein may cause goiter later on life and more frequently in women (</w:t>
      </w:r>
      <w:r w:rsidR="00D50146">
        <w:rPr>
          <w:rFonts w:ascii="Arial" w:hAnsi="Arial" w:cs="Arial"/>
          <w:sz w:val="22"/>
          <w:szCs w:val="22"/>
        </w:rPr>
        <w:t>55</w:t>
      </w:r>
      <w:r w:rsidRPr="008250DA">
        <w:rPr>
          <w:rFonts w:ascii="Arial" w:hAnsi="Arial" w:cs="Arial"/>
          <w:sz w:val="22"/>
          <w:szCs w:val="22"/>
        </w:rPr>
        <w:t xml:space="preserve">). Thus the variable phenotype resulting from genetically documented mutations may be quite variable depending on environmental factors (iodine). Individual adaptation to the defective protein, rapid hydrolysis of defective TG, </w:t>
      </w:r>
      <w:r w:rsidRPr="008250DA">
        <w:rPr>
          <w:rFonts w:ascii="Arial" w:hAnsi="Arial" w:cs="Arial"/>
          <w:sz w:val="22"/>
          <w:szCs w:val="22"/>
        </w:rPr>
        <w:lastRenderedPageBreak/>
        <w:t>serum level of TSH and response of the thyroid epithelial cells to the growth-promoting effect of TSH are other factors to be considered.</w:t>
      </w:r>
    </w:p>
    <w:p w14:paraId="7CEF7CA0" w14:textId="77777777" w:rsidR="00AA491A" w:rsidRPr="008250DA" w:rsidRDefault="00AA491A" w:rsidP="00B55FE6">
      <w:pPr>
        <w:rPr>
          <w:rFonts w:ascii="Arial" w:hAnsi="Arial" w:cs="Arial"/>
          <w:sz w:val="22"/>
          <w:szCs w:val="22"/>
        </w:rPr>
      </w:pPr>
      <w:r w:rsidRPr="008250DA">
        <w:rPr>
          <w:rFonts w:ascii="Arial" w:hAnsi="Arial" w:cs="Arial"/>
          <w:sz w:val="22"/>
          <w:szCs w:val="22"/>
        </w:rPr>
        <w:t>It is conceivable that multinodular goiter could result from a defect in any step of thyroid hormone synthesis, and to resistance to thyroid hormone action. In both groups of defects in the thyroid hormone system serum TSH would be elevated and goiter would be the logical consequence of a prolonged stimulation to growth. In the context of other factor that might induce multinodular goiters the defective thyroid hormone system and resistance to thyroid hormone action are relatively rare conditions as compared to other factors.</w:t>
      </w:r>
    </w:p>
    <w:p w14:paraId="0A8D0ECC" w14:textId="77777777" w:rsidR="00671412" w:rsidRPr="008250DA" w:rsidRDefault="00671412" w:rsidP="00B55FE6">
      <w:pPr>
        <w:rPr>
          <w:rFonts w:ascii="Arial" w:hAnsi="Arial" w:cs="Arial"/>
          <w:sz w:val="22"/>
          <w:szCs w:val="22"/>
        </w:rPr>
      </w:pPr>
    </w:p>
    <w:p w14:paraId="607D6792" w14:textId="77777777" w:rsidR="00E22FB0" w:rsidRPr="008250DA" w:rsidRDefault="00E22FB0" w:rsidP="00B55FE6">
      <w:pPr>
        <w:rPr>
          <w:rFonts w:ascii="Arial" w:hAnsi="Arial" w:cs="Arial"/>
          <w:sz w:val="22"/>
          <w:szCs w:val="22"/>
        </w:rPr>
      </w:pPr>
    </w:p>
    <w:p w14:paraId="45FB4679" w14:textId="77777777" w:rsidR="00E22FB0" w:rsidRPr="008250DA" w:rsidRDefault="00E22FB0" w:rsidP="00B55FE6">
      <w:pPr>
        <w:rPr>
          <w:rFonts w:ascii="Arial" w:hAnsi="Arial" w:cs="Arial"/>
        </w:rPr>
      </w:pPr>
    </w:p>
    <w:p w14:paraId="53CB6227" w14:textId="77777777" w:rsidR="00CA3F6C" w:rsidRPr="00735ABA" w:rsidRDefault="008250DA" w:rsidP="006C55F3">
      <w:pPr>
        <w:spacing w:after="200" w:line="276" w:lineRule="auto"/>
      </w:pPr>
      <w:r>
        <w:rPr>
          <w:rFonts w:ascii="Arial" w:eastAsia="Calibri" w:hAnsi="Arial" w:cs="Arial"/>
          <w:noProof/>
          <w:color w:val="auto"/>
          <w:sz w:val="22"/>
          <w:szCs w:val="22"/>
        </w:rPr>
        <w:drawing>
          <wp:inline distT="0" distB="0" distL="0" distR="0" wp14:anchorId="1ABBE4C9" wp14:editId="3544C5BE">
            <wp:extent cx="5918200" cy="4019550"/>
            <wp:effectExtent l="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8200" cy="4019550"/>
                    </a:xfrm>
                    <a:prstGeom prst="rect">
                      <a:avLst/>
                    </a:prstGeom>
                    <a:noFill/>
                    <a:ln>
                      <a:noFill/>
                    </a:ln>
                  </pic:spPr>
                </pic:pic>
              </a:graphicData>
            </a:graphic>
          </wp:inline>
        </w:drawing>
      </w:r>
    </w:p>
    <w:p w14:paraId="3C8155F9" w14:textId="77777777" w:rsidR="00175712" w:rsidRPr="008250DA" w:rsidRDefault="00175712" w:rsidP="00175712">
      <w:pPr>
        <w:spacing w:after="200" w:line="276" w:lineRule="auto"/>
        <w:rPr>
          <w:rFonts w:ascii="Arial" w:eastAsia="Calibri" w:hAnsi="Arial" w:cs="Arial"/>
          <w:color w:val="auto"/>
          <w:sz w:val="22"/>
          <w:szCs w:val="22"/>
        </w:rPr>
      </w:pPr>
      <w:r w:rsidRPr="008250DA">
        <w:rPr>
          <w:rFonts w:ascii="Arial" w:eastAsia="Calibri" w:hAnsi="Arial" w:cs="Arial"/>
          <w:color w:val="auto"/>
          <w:sz w:val="22"/>
          <w:szCs w:val="22"/>
        </w:rPr>
        <w:t xml:space="preserve">IOD  </w:t>
      </w:r>
      <w:r w:rsidR="00972DA6" w:rsidRPr="008250DA">
        <w:rPr>
          <w:rFonts w:ascii="Arial" w:eastAsia="Calibri" w:hAnsi="Arial" w:cs="Arial"/>
          <w:color w:val="auto"/>
          <w:sz w:val="22"/>
          <w:szCs w:val="22"/>
        </w:rPr>
        <w:t>I</w:t>
      </w:r>
      <w:r w:rsidRPr="008250DA">
        <w:rPr>
          <w:rFonts w:ascii="Arial" w:eastAsia="Calibri" w:hAnsi="Arial" w:cs="Arial"/>
          <w:color w:val="auto"/>
          <w:sz w:val="22"/>
          <w:szCs w:val="22"/>
        </w:rPr>
        <w:t>odine organification defect; PIOD: Partial IOD;TIOD: Total IOD; RAI: radioactive iodine.</w:t>
      </w:r>
      <w:r w:rsidR="003342C6" w:rsidRPr="008250DA" w:rsidDel="003342C6">
        <w:rPr>
          <w:rFonts w:ascii="Arial" w:eastAsia="Calibri" w:hAnsi="Arial" w:cs="Arial"/>
          <w:color w:val="auto"/>
          <w:sz w:val="22"/>
          <w:szCs w:val="22"/>
        </w:rPr>
        <w:t xml:space="preserve"> </w:t>
      </w:r>
      <w:r w:rsidRPr="008250DA">
        <w:rPr>
          <w:rFonts w:ascii="Arial" w:eastAsia="Calibri" w:hAnsi="Arial" w:cs="Arial"/>
          <w:color w:val="auto"/>
          <w:sz w:val="22"/>
          <w:szCs w:val="22"/>
        </w:rPr>
        <w:t>Source: modified from “Genetic causes of</w:t>
      </w:r>
      <w:r w:rsidR="003342C6" w:rsidRPr="008250DA">
        <w:rPr>
          <w:rFonts w:ascii="Arial" w:eastAsia="Calibri" w:hAnsi="Arial" w:cs="Arial"/>
          <w:color w:val="auto"/>
          <w:sz w:val="22"/>
          <w:szCs w:val="22"/>
        </w:rPr>
        <w:t xml:space="preserve"> </w:t>
      </w:r>
      <w:r w:rsidRPr="008250DA">
        <w:rPr>
          <w:rFonts w:ascii="Arial" w:eastAsia="Calibri" w:hAnsi="Arial" w:cs="Arial"/>
          <w:color w:val="auto"/>
          <w:sz w:val="22"/>
          <w:szCs w:val="22"/>
        </w:rPr>
        <w:t>dyshormonogenesis. Grasberger and Refetoff, 2011.</w:t>
      </w:r>
    </w:p>
    <w:p w14:paraId="48CC0933" w14:textId="77777777" w:rsidR="00AA491A" w:rsidRPr="008250DA" w:rsidRDefault="00AA491A" w:rsidP="00B55FE6">
      <w:pPr>
        <w:rPr>
          <w:rFonts w:ascii="Arial" w:hAnsi="Arial" w:cs="Arial"/>
        </w:rPr>
      </w:pPr>
    </w:p>
    <w:p w14:paraId="5689B7E7" w14:textId="77777777" w:rsidR="00AA491A" w:rsidRPr="008250DA" w:rsidRDefault="00AA491A" w:rsidP="00B55FE6">
      <w:pPr>
        <w:pStyle w:val="Heading2"/>
        <w:rPr>
          <w:sz w:val="22"/>
          <w:szCs w:val="22"/>
        </w:rPr>
      </w:pPr>
      <w:r w:rsidRPr="008250DA">
        <w:rPr>
          <w:sz w:val="22"/>
          <w:szCs w:val="22"/>
        </w:rPr>
        <w:t>Other Thyroid-Stimulating Factors</w:t>
      </w:r>
    </w:p>
    <w:p w14:paraId="7C60F29B" w14:textId="329D947F" w:rsidR="00AA491A" w:rsidRPr="008250DA" w:rsidRDefault="00AA491A" w:rsidP="00B55FE6">
      <w:pPr>
        <w:ind w:right="-136"/>
        <w:rPr>
          <w:rFonts w:ascii="Arial" w:hAnsi="Arial" w:cs="Arial"/>
          <w:sz w:val="22"/>
          <w:szCs w:val="22"/>
        </w:rPr>
      </w:pPr>
      <w:r w:rsidRPr="008250DA">
        <w:rPr>
          <w:rFonts w:ascii="Arial" w:hAnsi="Arial" w:cs="Arial"/>
          <w:sz w:val="22"/>
          <w:szCs w:val="22"/>
        </w:rPr>
        <w:t>Other substances that could be involved in stimulating thyroid enlargement are epidermal growth factor (EGF) and insulin-like growth factors (IGF). EGF stimulates the proliferation of thyrocytes from sheep, dogs, pigs, calves, and humans (4</w:t>
      </w:r>
      <w:r w:rsidR="00D50146">
        <w:rPr>
          <w:rFonts w:ascii="Arial" w:hAnsi="Arial" w:cs="Arial"/>
          <w:sz w:val="22"/>
          <w:szCs w:val="22"/>
        </w:rPr>
        <w:t>2-51</w:t>
      </w:r>
      <w:r w:rsidRPr="008250DA">
        <w:rPr>
          <w:rFonts w:ascii="Arial" w:hAnsi="Arial" w:cs="Arial"/>
          <w:sz w:val="22"/>
          <w:szCs w:val="22"/>
        </w:rPr>
        <w:t xml:space="preserve">). While stimulating growth, EGF reduces trapping and organification of iodide, TSH receptor binding, and release of thyroglobulin, T3 and T4. On the other hand TSH may modulate EGF binding, </w:t>
      </w:r>
      <w:r w:rsidRPr="008250DA">
        <w:rPr>
          <w:rFonts w:ascii="Arial" w:hAnsi="Arial" w:cs="Arial"/>
          <w:sz w:val="22"/>
          <w:szCs w:val="22"/>
        </w:rPr>
        <w:lastRenderedPageBreak/>
        <w:t>to thyroid cell membranes and thyroid hormone may stimulate EGF production and EGF receptor number. In a study on adenomatous tissue, obtained from patients with multinodular goiter, it was found, by immunohistochemistry, that expression of EGF was increased (4</w:t>
      </w:r>
      <w:r w:rsidR="00D50146">
        <w:rPr>
          <w:rFonts w:ascii="Arial" w:hAnsi="Arial" w:cs="Arial"/>
          <w:sz w:val="22"/>
          <w:szCs w:val="22"/>
        </w:rPr>
        <w:t>3</w:t>
      </w:r>
      <w:r w:rsidRPr="008250DA">
        <w:rPr>
          <w:rFonts w:ascii="Arial" w:hAnsi="Arial" w:cs="Arial"/>
          <w:sz w:val="22"/>
          <w:szCs w:val="22"/>
        </w:rPr>
        <w:t>). IGF-2 interacts with trophic hormones to stimulate cell proliferation and differentiation in a variety of cell types. The interaction between TSH and IGF-2 is synergestic (4</w:t>
      </w:r>
      <w:r w:rsidR="00D50146">
        <w:rPr>
          <w:rFonts w:ascii="Arial" w:hAnsi="Arial" w:cs="Arial"/>
          <w:sz w:val="22"/>
          <w:szCs w:val="22"/>
        </w:rPr>
        <w:t>4</w:t>
      </w:r>
      <w:r w:rsidRPr="008250DA">
        <w:rPr>
          <w:rFonts w:ascii="Arial" w:hAnsi="Arial" w:cs="Arial"/>
          <w:sz w:val="22"/>
          <w:szCs w:val="22"/>
        </w:rPr>
        <w:t>). Increased IGF-I expression may contribute to goiter formation. A similar synergistic effect may exist between IGF-I and TSH. This synergism on DNA synthesis is mediated by complex interactions including the secretion of one or more autocrine amplification factors. Non-functioning nodules in patients with multinodular goiter contain the same IGF-1 receptors that are present in the normal adjacent extra-nodular follicles but are expressed in higher concentrations. Fibroblast growth factor (FGF)-1, stimulates colloid accumulation in thyroids of rat s but only in the presence of TSH (4</w:t>
      </w:r>
      <w:r w:rsidR="00D50146">
        <w:rPr>
          <w:rFonts w:ascii="Arial" w:hAnsi="Arial" w:cs="Arial"/>
          <w:sz w:val="22"/>
          <w:szCs w:val="22"/>
        </w:rPr>
        <w:t>3</w:t>
      </w:r>
      <w:r w:rsidRPr="008250DA">
        <w:rPr>
          <w:rFonts w:ascii="Arial" w:hAnsi="Arial" w:cs="Arial"/>
          <w:sz w:val="22"/>
          <w:szCs w:val="22"/>
        </w:rPr>
        <w:t>). Expression of FGF-1 and -2 and FGF-receptor-1 will be followed by thyroid hyperplasia and may play a role in development of multinodular goiter (</w:t>
      </w:r>
      <w:r w:rsidR="00D50146">
        <w:rPr>
          <w:rFonts w:ascii="Arial" w:hAnsi="Arial" w:cs="Arial"/>
          <w:sz w:val="22"/>
          <w:szCs w:val="22"/>
        </w:rPr>
        <w:t>49</w:t>
      </w:r>
      <w:r w:rsidRPr="008250DA">
        <w:rPr>
          <w:rFonts w:ascii="Arial" w:hAnsi="Arial" w:cs="Arial"/>
          <w:sz w:val="22"/>
          <w:szCs w:val="22"/>
        </w:rPr>
        <w:t>). Fancia et al (5</w:t>
      </w:r>
      <w:r w:rsidR="00D50146">
        <w:rPr>
          <w:rFonts w:ascii="Arial" w:hAnsi="Arial" w:cs="Arial"/>
          <w:sz w:val="22"/>
          <w:szCs w:val="22"/>
        </w:rPr>
        <w:t>0</w:t>
      </w:r>
      <w:r w:rsidRPr="008250DA">
        <w:rPr>
          <w:rFonts w:ascii="Arial" w:hAnsi="Arial" w:cs="Arial"/>
          <w:sz w:val="22"/>
          <w:szCs w:val="22"/>
        </w:rPr>
        <w:t>) found that in goiters with aneuploid components growth rate was higher than when euploid components were present (5</w:t>
      </w:r>
      <w:r w:rsidR="00D50146">
        <w:rPr>
          <w:rFonts w:ascii="Arial" w:hAnsi="Arial" w:cs="Arial"/>
          <w:sz w:val="22"/>
          <w:szCs w:val="22"/>
        </w:rPr>
        <w:t>1</w:t>
      </w:r>
      <w:r w:rsidRPr="008250DA">
        <w:rPr>
          <w:rFonts w:ascii="Arial" w:hAnsi="Arial" w:cs="Arial"/>
          <w:sz w:val="22"/>
          <w:szCs w:val="22"/>
        </w:rPr>
        <w:t xml:space="preserve">). Other factors promoting cell growth and differentiation have been identified in the past. These include cytokines, acetylcholine, norepinephrine, prostaglandins, substances of neural origin like vasoactive intestinal peptide, and substances of C-cell origin. It is however not known to what extent these compounds play a role in the genesis of multinodular goiter. </w:t>
      </w:r>
    </w:p>
    <w:p w14:paraId="2E480E69" w14:textId="77777777" w:rsidR="00AA491A" w:rsidRPr="008250DA" w:rsidRDefault="00AA491A" w:rsidP="00B55FE6">
      <w:pPr>
        <w:ind w:right="-136"/>
        <w:rPr>
          <w:rFonts w:ascii="Arial" w:hAnsi="Arial" w:cs="Arial"/>
          <w:sz w:val="22"/>
          <w:szCs w:val="22"/>
        </w:rPr>
      </w:pPr>
    </w:p>
    <w:p w14:paraId="1D5D8D6A" w14:textId="6256938B" w:rsidR="00AA491A" w:rsidRPr="008250DA" w:rsidRDefault="00AA491A" w:rsidP="00B55FE6">
      <w:pPr>
        <w:ind w:right="-136"/>
        <w:rPr>
          <w:rFonts w:ascii="Arial" w:hAnsi="Arial" w:cs="Arial"/>
          <w:sz w:val="22"/>
          <w:szCs w:val="22"/>
        </w:rPr>
      </w:pPr>
      <w:r w:rsidRPr="008250DA">
        <w:rPr>
          <w:rFonts w:ascii="Arial" w:hAnsi="Arial" w:cs="Arial"/>
          <w:sz w:val="22"/>
          <w:szCs w:val="22"/>
        </w:rPr>
        <w:t>The hypothesis that the development of thyroid autonomy is due to a gradual increase in the numbers of cells having relatively autonomous thyroid hormone synthesis is supported by the 27% prevalence of impaired TSH responses to TRH in patients with nodular goiter as opposed to such responses in only 1 of 15 patients with diffuse goiter (11). Such partial autonomy may appear only with time and could possibly be prevented by TSH-suppressive therapy. The fact that it is possible to induce hyperthyroidism in some patients with multinodular goiters by administration of iodide suggests that certain of the nodules in the multinodular gland are autonomous but unable under normal iodine intake to concentrate sufficient quantities of iodide to cause hyperthyroidism (</w:t>
      </w:r>
      <w:r w:rsidR="0041536B">
        <w:rPr>
          <w:rFonts w:ascii="Arial" w:hAnsi="Arial" w:cs="Arial"/>
          <w:sz w:val="22"/>
          <w:szCs w:val="22"/>
        </w:rPr>
        <w:t>5</w:t>
      </w:r>
      <w:r w:rsidRPr="008250DA">
        <w:rPr>
          <w:rFonts w:ascii="Arial" w:hAnsi="Arial" w:cs="Arial"/>
          <w:sz w:val="22"/>
          <w:szCs w:val="22"/>
        </w:rPr>
        <w:t>3). Presumably iodide administration provides sufficient substrate for generation of excessive amounts of hormone, although it does not readily account for the long persistence of the hyperthyroidism in some of those cases.</w:t>
      </w:r>
    </w:p>
    <w:p w14:paraId="2906E8FC" w14:textId="77777777" w:rsidR="00AA491A" w:rsidRPr="008250DA" w:rsidRDefault="00AA491A" w:rsidP="00B55FE6">
      <w:pPr>
        <w:ind w:right="-136"/>
        <w:rPr>
          <w:rFonts w:ascii="Arial" w:hAnsi="Arial" w:cs="Arial"/>
          <w:sz w:val="22"/>
          <w:szCs w:val="22"/>
        </w:rPr>
      </w:pPr>
    </w:p>
    <w:p w14:paraId="0924DE59" w14:textId="77777777" w:rsidR="00AA491A" w:rsidRPr="008250DA" w:rsidRDefault="00AA491A" w:rsidP="00B55FE6">
      <w:pPr>
        <w:ind w:right="-136"/>
        <w:rPr>
          <w:rFonts w:ascii="Arial" w:hAnsi="Arial" w:cs="Arial"/>
          <w:sz w:val="22"/>
          <w:szCs w:val="22"/>
        </w:rPr>
      </w:pPr>
      <w:r w:rsidRPr="008250DA">
        <w:rPr>
          <w:rFonts w:ascii="Arial" w:hAnsi="Arial" w:cs="Arial"/>
          <w:sz w:val="22"/>
          <w:szCs w:val="22"/>
        </w:rPr>
        <w:t>Thus, there may be several etiologic factors in simple and nodular goiter, and some of these factors may act synergistically. The end result is a collection of heterogeneously functioning thyroid follicles, some of which may be autonomous and produce sufficient amounts of thyroid hormone to cause hyperthyroidism.</w:t>
      </w:r>
    </w:p>
    <w:p w14:paraId="6672A4CB" w14:textId="77777777" w:rsidR="00C41422" w:rsidRPr="008250DA" w:rsidRDefault="00C41422" w:rsidP="00B55FE6">
      <w:pPr>
        <w:ind w:right="-136"/>
        <w:rPr>
          <w:rFonts w:ascii="Arial" w:hAnsi="Arial" w:cs="Arial"/>
          <w:sz w:val="22"/>
          <w:szCs w:val="22"/>
        </w:rPr>
      </w:pPr>
    </w:p>
    <w:p w14:paraId="5728DCE2" w14:textId="77777777" w:rsidR="00AA491A" w:rsidRPr="008250DA" w:rsidRDefault="00AA491A" w:rsidP="00B55FE6">
      <w:pPr>
        <w:pStyle w:val="Heading1"/>
        <w:rPr>
          <w:rFonts w:cs="Arial"/>
          <w:sz w:val="22"/>
          <w:szCs w:val="22"/>
        </w:rPr>
      </w:pPr>
      <w:r w:rsidRPr="008250DA">
        <w:rPr>
          <w:rFonts w:cs="Arial"/>
          <w:sz w:val="22"/>
          <w:szCs w:val="22"/>
        </w:rPr>
        <w:t>PATHOLOGY</w:t>
      </w:r>
    </w:p>
    <w:p w14:paraId="55AE9B79" w14:textId="77777777" w:rsidR="00AA491A" w:rsidRPr="008250DA" w:rsidRDefault="00AA491A" w:rsidP="00B55FE6">
      <w:pPr>
        <w:ind w:right="-136"/>
        <w:rPr>
          <w:rFonts w:ascii="Arial" w:hAnsi="Arial" w:cs="Arial"/>
          <w:sz w:val="22"/>
          <w:szCs w:val="22"/>
        </w:rPr>
      </w:pPr>
      <w:r w:rsidRPr="008250DA">
        <w:rPr>
          <w:rFonts w:ascii="Arial" w:hAnsi="Arial" w:cs="Arial"/>
          <w:sz w:val="22"/>
          <w:szCs w:val="22"/>
        </w:rPr>
        <w:t xml:space="preserve">Although it is rare to obtain pathological examination of thyroid glands in the early phase of development of multinodular goiters, such glands should show areas of hyperplasia with considerable variation in follicle size. The more typical specimen coming to pathologists is the goiter that has developed a nodular consistency.  Such goiters characteristically present a variegated appearance, with the normal homogeneous parenchymal structure deformed by the presence of nodules     (Figure 17-6). The nodules may vary considerably in size (from a few millimeters to several centimeters); in outline (from sharp encapsulation in adenomas to poorly defined margination for ordinary nodules); and in architecture (from the solid follicular adenomas to the gelatinous, colloid-rich nodules or degenerative cystic structures). The graphic term “Puddingstone goiter” has been applied. Frequently the </w:t>
      </w:r>
      <w:r w:rsidRPr="008250DA">
        <w:rPr>
          <w:rFonts w:ascii="Arial" w:hAnsi="Arial" w:cs="Arial"/>
          <w:sz w:val="22"/>
          <w:szCs w:val="22"/>
        </w:rPr>
        <w:lastRenderedPageBreak/>
        <w:t>nodules have degenerated and a cyst has formed, with evidence of old or recent  hemorrhage, and the cyst wall may have become calcified. Often there is extensive fibrosis, and calcium may also be deposited in these septae. Scattered between the nodules are areas of normal thyroid tissue, and often-focal areas of lymphocytic infiltration. Radioautography shows a variegated appearance, with RAI localized sometimes in the adenomas and sometimes in the paranodular tissue. Occasionally, most of the radioactivity is confined to a few nodules that seem to dominate the metabolic activity of the gland.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B676B" w:rsidRPr="008250DA" w14:paraId="63B67473" w14:textId="77777777" w:rsidTr="00862297">
        <w:trPr>
          <w:jc w:val="center"/>
        </w:trPr>
        <w:tc>
          <w:tcPr>
            <w:tcW w:w="8856" w:type="dxa"/>
            <w:shd w:val="clear" w:color="auto" w:fill="auto"/>
          </w:tcPr>
          <w:p w14:paraId="268F54D7" w14:textId="77777777" w:rsidR="00CB676B" w:rsidRPr="00735ABA" w:rsidRDefault="008250DA" w:rsidP="00862297">
            <w:pPr>
              <w:ind w:right="-136"/>
              <w:jc w:val="center"/>
              <w:rPr>
                <w:rFonts w:ascii="Arial" w:hAnsi="Arial" w:cs="Arial"/>
                <w:sz w:val="22"/>
                <w:szCs w:val="22"/>
              </w:rPr>
            </w:pPr>
            <w:r>
              <w:rPr>
                <w:rFonts w:ascii="Arial" w:hAnsi="Arial" w:cs="Arial"/>
                <w:noProof/>
                <w:sz w:val="22"/>
                <w:szCs w:val="22"/>
              </w:rPr>
              <w:drawing>
                <wp:inline distT="0" distB="0" distL="0" distR="0" wp14:anchorId="2A62D1E2" wp14:editId="2C1A85FF">
                  <wp:extent cx="4029075" cy="4763135"/>
                  <wp:effectExtent l="0" t="0" r="9525" b="12065"/>
                  <wp:docPr id="8" name="Picture 8" descr="(A) Cross section of multinodular goiter. (B) Gross radioautograph of the thyroid in part a. Observe the variation in 131I uptake in different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Cross section of multinodular goiter. (B) Gross radioautograph of the thyroid in part a. Observe the variation in 131I uptake in different are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9075" cy="4763135"/>
                          </a:xfrm>
                          <a:prstGeom prst="rect">
                            <a:avLst/>
                          </a:prstGeom>
                          <a:noFill/>
                          <a:ln>
                            <a:noFill/>
                          </a:ln>
                        </pic:spPr>
                      </pic:pic>
                    </a:graphicData>
                  </a:graphic>
                </wp:inline>
              </w:drawing>
            </w:r>
          </w:p>
        </w:tc>
      </w:tr>
      <w:tr w:rsidR="00CB676B" w:rsidRPr="008250DA" w14:paraId="1A192EB1" w14:textId="77777777" w:rsidTr="00862297">
        <w:trPr>
          <w:jc w:val="center"/>
        </w:trPr>
        <w:tc>
          <w:tcPr>
            <w:tcW w:w="8856" w:type="dxa"/>
            <w:shd w:val="clear" w:color="auto" w:fill="99CCFF"/>
          </w:tcPr>
          <w:p w14:paraId="699E5064" w14:textId="77777777" w:rsidR="00CB676B" w:rsidRPr="008250DA" w:rsidRDefault="00CB676B" w:rsidP="00862297">
            <w:pPr>
              <w:ind w:right="-136"/>
              <w:rPr>
                <w:rFonts w:ascii="Arial" w:hAnsi="Arial" w:cs="Arial"/>
                <w:sz w:val="22"/>
                <w:szCs w:val="22"/>
              </w:rPr>
            </w:pPr>
            <w:r w:rsidRPr="008250DA">
              <w:rPr>
                <w:rFonts w:ascii="Arial" w:hAnsi="Arial" w:cs="Arial"/>
                <w:b/>
                <w:sz w:val="22"/>
                <w:szCs w:val="22"/>
              </w:rPr>
              <w:t>Figure 17-6</w:t>
            </w:r>
            <w:r w:rsidRPr="008250DA">
              <w:rPr>
                <w:rFonts w:ascii="Arial" w:hAnsi="Arial" w:cs="Arial"/>
                <w:sz w:val="22"/>
                <w:szCs w:val="22"/>
              </w:rPr>
              <w:t>.</w:t>
            </w:r>
            <w:r w:rsidRPr="008250DA">
              <w:rPr>
                <w:rFonts w:ascii="Arial" w:hAnsi="Arial" w:cs="Arial"/>
                <w:sz w:val="22"/>
                <w:szCs w:val="22"/>
              </w:rPr>
              <w:tab/>
              <w:t xml:space="preserve">(A) Cross section of multinodular goiter. (B) Cross radioautograph of </w:t>
            </w:r>
          </w:p>
          <w:p w14:paraId="797F0CC1" w14:textId="77777777" w:rsidR="00CB676B" w:rsidRPr="008250DA" w:rsidRDefault="00CB676B" w:rsidP="00862297">
            <w:pPr>
              <w:ind w:right="-136"/>
              <w:rPr>
                <w:rFonts w:ascii="Arial" w:hAnsi="Arial" w:cs="Arial"/>
                <w:sz w:val="22"/>
                <w:szCs w:val="22"/>
              </w:rPr>
            </w:pPr>
            <w:r w:rsidRPr="008250DA">
              <w:rPr>
                <w:rFonts w:ascii="Arial" w:hAnsi="Arial" w:cs="Arial"/>
                <w:sz w:val="22"/>
                <w:szCs w:val="22"/>
              </w:rPr>
              <w:t>The thyroid in part a. Observe the variation in 131I uptake indifferent areas.</w:t>
            </w:r>
          </w:p>
        </w:tc>
      </w:tr>
    </w:tbl>
    <w:p w14:paraId="53210967" w14:textId="77777777" w:rsidR="00CB676B" w:rsidRPr="008250DA" w:rsidRDefault="00CB676B" w:rsidP="00B55FE6">
      <w:pPr>
        <w:ind w:right="-136"/>
        <w:rPr>
          <w:rFonts w:ascii="Arial" w:hAnsi="Arial" w:cs="Arial"/>
          <w:sz w:val="22"/>
          <w:szCs w:val="22"/>
        </w:rPr>
      </w:pPr>
    </w:p>
    <w:p w14:paraId="35728ABD" w14:textId="77777777" w:rsidR="00AA491A" w:rsidRPr="008250DA" w:rsidRDefault="00AA491A" w:rsidP="00B55FE6">
      <w:pPr>
        <w:ind w:right="-136"/>
        <w:rPr>
          <w:rFonts w:ascii="Arial" w:hAnsi="Arial" w:cs="Arial"/>
          <w:sz w:val="22"/>
          <w:szCs w:val="22"/>
        </w:rPr>
      </w:pPr>
    </w:p>
    <w:p w14:paraId="064131BB" w14:textId="4442AF0F" w:rsidR="00AA491A" w:rsidRPr="008250DA" w:rsidRDefault="00AA491A" w:rsidP="00B55FE6">
      <w:pPr>
        <w:ind w:right="-136"/>
        <w:rPr>
          <w:rFonts w:ascii="Arial" w:hAnsi="Arial" w:cs="Arial"/>
          <w:sz w:val="22"/>
          <w:szCs w:val="22"/>
        </w:rPr>
      </w:pPr>
      <w:r w:rsidRPr="008250DA">
        <w:rPr>
          <w:rFonts w:ascii="Arial" w:hAnsi="Arial" w:cs="Arial"/>
          <w:sz w:val="22"/>
          <w:szCs w:val="22"/>
        </w:rPr>
        <w:t>If careful sections are made of numerous areas, 4-17% of these glands removed at surgery will be found to harbor microscopic papillary carcinoma (5</w:t>
      </w:r>
      <w:r w:rsidR="00C83407">
        <w:rPr>
          <w:rFonts w:ascii="Arial" w:hAnsi="Arial" w:cs="Arial"/>
          <w:sz w:val="22"/>
          <w:szCs w:val="22"/>
        </w:rPr>
        <w:t>6</w:t>
      </w:r>
      <w:r w:rsidRPr="008250DA">
        <w:rPr>
          <w:rFonts w:ascii="Arial" w:hAnsi="Arial" w:cs="Arial"/>
          <w:sz w:val="22"/>
          <w:szCs w:val="22"/>
        </w:rPr>
        <w:t>-6</w:t>
      </w:r>
      <w:r w:rsidR="00C83407">
        <w:rPr>
          <w:rFonts w:ascii="Arial" w:hAnsi="Arial" w:cs="Arial"/>
          <w:sz w:val="22"/>
          <w:szCs w:val="22"/>
        </w:rPr>
        <w:t>0</w:t>
      </w:r>
      <w:r w:rsidRPr="008250DA">
        <w:rPr>
          <w:rFonts w:ascii="Arial" w:hAnsi="Arial" w:cs="Arial"/>
          <w:sz w:val="22"/>
          <w:szCs w:val="22"/>
        </w:rPr>
        <w:t>). The variable incidence can most likely be attributed to the different criteria used by the pathologists and the basis of selection of the patients for operation by their physicians. These factors are discussed below.</w:t>
      </w:r>
    </w:p>
    <w:p w14:paraId="0E1D87D6" w14:textId="77777777" w:rsidR="00CB676B" w:rsidRPr="008250DA" w:rsidRDefault="00CB676B" w:rsidP="00B55FE6">
      <w:pPr>
        <w:ind w:right="-136"/>
        <w:rPr>
          <w:rFonts w:ascii="Arial" w:hAnsi="Arial" w:cs="Arial"/>
          <w:sz w:val="22"/>
          <w:szCs w:val="22"/>
        </w:rPr>
      </w:pPr>
    </w:p>
    <w:p w14:paraId="1DF0D95D" w14:textId="77777777" w:rsidR="00AA491A" w:rsidRPr="008250DA" w:rsidRDefault="00AA491A" w:rsidP="00B55FE6">
      <w:pPr>
        <w:pStyle w:val="Heading1"/>
        <w:rPr>
          <w:rFonts w:cs="Arial"/>
          <w:sz w:val="22"/>
          <w:szCs w:val="22"/>
        </w:rPr>
      </w:pPr>
      <w:r w:rsidRPr="008250DA">
        <w:rPr>
          <w:rFonts w:cs="Arial"/>
          <w:sz w:val="22"/>
          <w:szCs w:val="22"/>
        </w:rPr>
        <w:t>NATURAL HISTORY OF THE DISEASE</w:t>
      </w:r>
    </w:p>
    <w:p w14:paraId="3BCF763D" w14:textId="77777777" w:rsidR="00AA491A" w:rsidRPr="008250DA" w:rsidRDefault="00AA491A" w:rsidP="00B55FE6">
      <w:pPr>
        <w:ind w:right="-136"/>
        <w:rPr>
          <w:rFonts w:ascii="Arial" w:hAnsi="Arial" w:cs="Arial"/>
          <w:sz w:val="22"/>
          <w:szCs w:val="22"/>
        </w:rPr>
      </w:pPr>
      <w:r w:rsidRPr="008250DA">
        <w:rPr>
          <w:rFonts w:ascii="Arial" w:hAnsi="Arial" w:cs="Arial"/>
          <w:sz w:val="22"/>
          <w:szCs w:val="22"/>
        </w:rPr>
        <w:lastRenderedPageBreak/>
        <w:t>Multinodular goiter is probably a lifelong condition that has its inception in adolescence or at puberty. Minimal diffuse enlargement of the thyroid gland is found in many teenage boys and girls, and is almost a physiologic response to the complex structural and hormonal changes occurring at this time. It usually regresses, but occasionally (much more commonly in girls) it persists and undergoes further growth during pregnancy. This course of events has not been documented as well as might be desired in sporadic nodular goiter, but it is the usual evolution in areas where mild endemic goiter is found.</w:t>
      </w:r>
    </w:p>
    <w:p w14:paraId="20F7D781" w14:textId="77777777" w:rsidR="00AA491A" w:rsidRPr="008250DA" w:rsidRDefault="00AA491A" w:rsidP="00B55FE6">
      <w:pPr>
        <w:ind w:right="-136"/>
        <w:rPr>
          <w:rFonts w:ascii="Arial" w:hAnsi="Arial" w:cs="Arial"/>
          <w:sz w:val="22"/>
          <w:szCs w:val="22"/>
        </w:rPr>
      </w:pPr>
    </w:p>
    <w:p w14:paraId="5F13456E" w14:textId="77777777" w:rsidR="00AA491A" w:rsidRPr="008250DA" w:rsidRDefault="00AA491A" w:rsidP="00B55FE6">
      <w:pPr>
        <w:ind w:right="-136"/>
        <w:rPr>
          <w:rFonts w:ascii="Arial" w:hAnsi="Arial" w:cs="Arial"/>
          <w:sz w:val="22"/>
          <w:szCs w:val="22"/>
        </w:rPr>
      </w:pPr>
      <w:r w:rsidRPr="008250DA">
        <w:rPr>
          <w:rFonts w:ascii="Arial" w:hAnsi="Arial" w:cs="Arial"/>
          <w:sz w:val="22"/>
          <w:szCs w:val="22"/>
        </w:rPr>
        <w:t>Patients with multinodular goiter seek medical attention for many reasons. Perhaps most commonly they consult a physician because a lump has been discovered in the neck, or because a growth spurt has been observed in a goiter known to be present for a long time. Sometimes the increase in the size of the goiter will cause pressure symptoms, such as difficulty in swallowing, cough, respiratory distress, or the feeling of a lump in the throat. Rarely, an area of particularly asymmetrical enlargement may impinge upon or stretch the recurrent laryngeal nerve. Commonly the goiter is discovered by a physician in the course of an examination for some other condition. An important scenario is for the patient to seek medical attention because of cardiac irregularities or congestive heart failure, which proves to be the result of slowly developing thyrotoxicosis. (The issue is discussed more fully later in this chapter). Many times the goiter grows gradually for a period of a few too many years, and then becomes stable with little tendency for further growth. It is rare for any noteworthy spontaneous reduction in the size of the thyroid gland to occur, but patients often describe fluctuation in the size of the goiters and the symptoms they give. These are usually subjective occurrences, and more often than not the physician is unable to corroborate the changes that the patient describes. On the other hand, it could be that changes in blood flow through the enlarged gland account for the symptoms.</w:t>
      </w:r>
    </w:p>
    <w:p w14:paraId="015B7770" w14:textId="77777777" w:rsidR="00AA491A" w:rsidRPr="008250DA" w:rsidRDefault="00AA491A" w:rsidP="00B55FE6">
      <w:pPr>
        <w:ind w:right="-136"/>
        <w:rPr>
          <w:rFonts w:ascii="Arial" w:hAnsi="Arial" w:cs="Arial"/>
          <w:sz w:val="22"/>
          <w:szCs w:val="22"/>
        </w:rPr>
      </w:pPr>
    </w:p>
    <w:p w14:paraId="2D01BB70" w14:textId="77777777" w:rsidR="00AA491A" w:rsidRPr="008250DA" w:rsidRDefault="00AA491A" w:rsidP="00B55FE6">
      <w:pPr>
        <w:ind w:right="-136"/>
        <w:rPr>
          <w:rFonts w:ascii="Arial" w:hAnsi="Arial" w:cs="Arial"/>
          <w:sz w:val="22"/>
          <w:szCs w:val="22"/>
        </w:rPr>
      </w:pPr>
      <w:r w:rsidRPr="008250DA">
        <w:rPr>
          <w:rFonts w:ascii="Arial" w:hAnsi="Arial" w:cs="Arial"/>
          <w:sz w:val="22"/>
          <w:szCs w:val="22"/>
        </w:rPr>
        <w:t>Occasionally, a sudden increase in the size of the gland is associated with sharp pain and tenderness in one area. This event suggests hemorrhage into a nodular cyst of the goiter, which can be confirmed by ultrasound. Within 3-4 days the symptoms subside, and within 2-3 weeks the gland may revert to its previous dimensions. In such a situation, acute thyrotoxicosis may develop and subside spontaneously.</w:t>
      </w:r>
    </w:p>
    <w:p w14:paraId="3680708F" w14:textId="77777777" w:rsidR="00AA491A" w:rsidRPr="008250DA" w:rsidRDefault="00AA491A" w:rsidP="00B55FE6">
      <w:pPr>
        <w:ind w:right="-136"/>
        <w:rPr>
          <w:rFonts w:ascii="Arial" w:hAnsi="Arial" w:cs="Arial"/>
          <w:sz w:val="22"/>
          <w:szCs w:val="22"/>
        </w:rPr>
      </w:pPr>
      <w:r w:rsidRPr="008250DA">
        <w:rPr>
          <w:rFonts w:ascii="Arial" w:hAnsi="Arial" w:cs="Arial"/>
          <w:sz w:val="22"/>
          <w:szCs w:val="22"/>
        </w:rPr>
        <w:t xml:space="preserve">   </w:t>
      </w:r>
    </w:p>
    <w:p w14:paraId="786AFE1E" w14:textId="73394462" w:rsidR="00AA491A" w:rsidRPr="008250DA" w:rsidRDefault="00AA491A" w:rsidP="00B55FE6">
      <w:pPr>
        <w:ind w:right="-136"/>
        <w:rPr>
          <w:rFonts w:ascii="Arial" w:hAnsi="Arial" w:cs="Arial"/>
          <w:sz w:val="22"/>
          <w:szCs w:val="22"/>
        </w:rPr>
      </w:pPr>
      <w:r w:rsidRPr="008250DA">
        <w:rPr>
          <w:rFonts w:ascii="Arial" w:hAnsi="Arial" w:cs="Arial"/>
          <w:sz w:val="22"/>
          <w:szCs w:val="22"/>
        </w:rPr>
        <w:t>Rarely, if ever, do the patients become hypothyroid and if they do, the diagnosis is more probably Hashimoto´s thyroiditis than nodular goiter. In a study in clinically euthyroid subjects with multinodular goiter, 13 out of 22 had subnormal TSH release after TRH. (12) If the goiter is present for long time, thyrotoxicosis develops in a large number of patients. In a series collected many years ago at the Mayo Clinic, 60% of patients with MNG over 60 were thyrotoxic. The average duration of the goiter before the onset of thyrotoxicosis was 17 years; the longer the goiter had been present the greater was the tendency for thyrotoxicosis to develop. This condition appears to occur because with the passage of time, autonomous function of the nodules develops. In a study of patients with euthyroid multinodular goiter, thyroid function was autonomous in 64 and normal in 26. After a mean follow-up of 5.0 years (maximum 12 years) 18 patients with autonomous thyroid function became overtly hyperthyroid and in 6 patients with primarily normal thyroid function autonomy developed (2</w:t>
      </w:r>
      <w:r w:rsidR="00651E9F">
        <w:rPr>
          <w:rFonts w:ascii="Arial" w:hAnsi="Arial" w:cs="Arial"/>
          <w:sz w:val="22"/>
          <w:szCs w:val="22"/>
        </w:rPr>
        <w:t>5</w:t>
      </w:r>
      <w:r w:rsidRPr="008250DA">
        <w:rPr>
          <w:rFonts w:ascii="Arial" w:hAnsi="Arial" w:cs="Arial"/>
          <w:sz w:val="22"/>
          <w:szCs w:val="22"/>
        </w:rPr>
        <w:t>-2</w:t>
      </w:r>
      <w:r w:rsidR="00651E9F">
        <w:rPr>
          <w:rFonts w:ascii="Arial" w:hAnsi="Arial" w:cs="Arial"/>
          <w:sz w:val="22"/>
          <w:szCs w:val="22"/>
        </w:rPr>
        <w:t>6</w:t>
      </w:r>
      <w:r w:rsidRPr="008250DA">
        <w:rPr>
          <w:rFonts w:ascii="Arial" w:hAnsi="Arial" w:cs="Arial"/>
          <w:sz w:val="22"/>
          <w:szCs w:val="22"/>
        </w:rPr>
        <w:t xml:space="preserve">). Thyroid function tests is illustrated in a patient with multinodular goiter starting from complete euthyroidism on to overt thyrotoxicosis. Occasionally a single discrete nodule in the thyroid gland becomes sufficiently active to cause thyrotoxicosis and to suppress the activity of the rest of the gland. (see Chap13). If these patients are given thyroid hormone, continued function of nodules can be demonstrated by radioiodine scanning techniques. Thus, these nodules have become independent of pituitary control. When patients with euthyroid multinodular goiter are frequently tested, it appears that in some of them occasional transient increases of serum </w:t>
      </w:r>
      <w:r w:rsidRPr="008250DA">
        <w:rPr>
          <w:rFonts w:ascii="Arial" w:hAnsi="Arial" w:cs="Arial"/>
          <w:sz w:val="22"/>
          <w:szCs w:val="22"/>
        </w:rPr>
        <w:lastRenderedPageBreak/>
        <w:t>T3 and / or T4 are seen. The possibility that the abrupt development of hyperthyroidism may follow administration of large amounts of iodine to these patients was reviewed by Stanbury and collaboration (</w:t>
      </w:r>
      <w:r w:rsidR="002801CF">
        <w:rPr>
          <w:rFonts w:ascii="Arial" w:hAnsi="Arial" w:cs="Arial"/>
          <w:sz w:val="22"/>
          <w:szCs w:val="22"/>
        </w:rPr>
        <w:t>61</w:t>
      </w:r>
      <w:r w:rsidRPr="008250DA">
        <w:rPr>
          <w:rFonts w:ascii="Arial" w:hAnsi="Arial" w:cs="Arial"/>
          <w:sz w:val="22"/>
          <w:szCs w:val="22"/>
        </w:rPr>
        <w:t>). In several areas of the world previously iodine deficiency the introduction of iodine supplementation lead to an increase of hyperthyroidism (non-autoimmune) possibly by excessive thyroid hormone production by “hot” thyroid nodules.</w:t>
      </w:r>
    </w:p>
    <w:p w14:paraId="3BA3B717" w14:textId="77777777" w:rsidR="00AA491A" w:rsidRPr="008250DA" w:rsidRDefault="00AA491A" w:rsidP="00B55FE6">
      <w:pPr>
        <w:ind w:right="-136"/>
        <w:rPr>
          <w:rFonts w:ascii="Arial" w:hAnsi="Arial" w:cs="Arial"/>
          <w:sz w:val="22"/>
          <w:szCs w:val="22"/>
        </w:rPr>
      </w:pPr>
    </w:p>
    <w:p w14:paraId="12B3C04E" w14:textId="77777777" w:rsidR="00AA491A" w:rsidRPr="008250DA" w:rsidRDefault="00AA491A" w:rsidP="00B55FE6">
      <w:pPr>
        <w:pStyle w:val="Heading1"/>
        <w:rPr>
          <w:rFonts w:cs="Arial"/>
          <w:sz w:val="22"/>
          <w:szCs w:val="22"/>
        </w:rPr>
      </w:pPr>
      <w:r w:rsidRPr="008250DA">
        <w:rPr>
          <w:rFonts w:cs="Arial"/>
          <w:sz w:val="22"/>
          <w:szCs w:val="22"/>
        </w:rPr>
        <w:t>MULTINODULAR GOITER AND CANCER</w:t>
      </w:r>
    </w:p>
    <w:p w14:paraId="14E526BD" w14:textId="5C79A1D8" w:rsidR="00AA491A" w:rsidRPr="00735ABA" w:rsidRDefault="00AA491A" w:rsidP="00B55FE6">
      <w:pPr>
        <w:ind w:right="-136"/>
        <w:rPr>
          <w:rFonts w:ascii="Arial" w:hAnsi="Arial" w:cs="Arial"/>
          <w:sz w:val="22"/>
          <w:szCs w:val="22"/>
        </w:rPr>
      </w:pPr>
      <w:r w:rsidRPr="008250DA">
        <w:rPr>
          <w:rFonts w:ascii="Arial" w:hAnsi="Arial" w:cs="Arial"/>
          <w:sz w:val="22"/>
          <w:szCs w:val="22"/>
        </w:rPr>
        <w:t>If surgical specimens of multinodular goiters are examined c</w:t>
      </w:r>
      <w:r w:rsidR="00B452D1" w:rsidRPr="008250DA">
        <w:rPr>
          <w:rFonts w:ascii="Arial" w:hAnsi="Arial" w:cs="Arial"/>
          <w:sz w:val="22"/>
          <w:szCs w:val="22"/>
        </w:rPr>
        <w:t>a</w:t>
      </w:r>
      <w:r w:rsidRPr="008250DA">
        <w:rPr>
          <w:rFonts w:ascii="Arial" w:hAnsi="Arial" w:cs="Arial"/>
          <w:sz w:val="22"/>
          <w:szCs w:val="22"/>
        </w:rPr>
        <w:t>refully, 4-17% are found to harbor a carcinoma (5</w:t>
      </w:r>
      <w:r w:rsidR="002801CF">
        <w:rPr>
          <w:rFonts w:ascii="Arial" w:hAnsi="Arial" w:cs="Arial"/>
          <w:sz w:val="22"/>
          <w:szCs w:val="22"/>
        </w:rPr>
        <w:t>6</w:t>
      </w:r>
      <w:r w:rsidRPr="008250DA">
        <w:rPr>
          <w:rFonts w:ascii="Arial" w:hAnsi="Arial" w:cs="Arial"/>
          <w:sz w:val="22"/>
          <w:szCs w:val="22"/>
        </w:rPr>
        <w:t>-6</w:t>
      </w:r>
      <w:r w:rsidR="002801CF">
        <w:rPr>
          <w:rFonts w:ascii="Arial" w:hAnsi="Arial" w:cs="Arial"/>
          <w:sz w:val="22"/>
          <w:szCs w:val="22"/>
        </w:rPr>
        <w:t>0, 62-64</w:t>
      </w:r>
      <w:r w:rsidRPr="00A00389">
        <w:rPr>
          <w:rFonts w:ascii="Arial" w:hAnsi="Arial" w:cs="Arial"/>
          <w:sz w:val="22"/>
          <w:szCs w:val="22"/>
        </w:rPr>
        <w:t xml:space="preserve">). </w:t>
      </w:r>
      <w:r w:rsidR="00A00389" w:rsidRPr="00073BE2">
        <w:rPr>
          <w:rFonts w:ascii="Arial" w:hAnsi="Arial" w:cs="Arial"/>
          <w:sz w:val="22"/>
          <w:szCs w:val="22"/>
        </w:rPr>
        <w:t>The use of ultrasound-guided fine needle aspiration (FNA) for evaluating these patients is not clearly defined. The biopsy of all the numerous nodules is impractical. Recently, a retrospective study with 134 patients showed a significant incidence (46,3%) of thyroid cancer in patients with multinodular goiter and benign FNA (</w:t>
      </w:r>
      <w:r w:rsidR="002801CF">
        <w:rPr>
          <w:rFonts w:ascii="Arial" w:hAnsi="Arial" w:cs="Arial"/>
          <w:sz w:val="22"/>
          <w:szCs w:val="22"/>
        </w:rPr>
        <w:t>65</w:t>
      </w:r>
      <w:r w:rsidR="00A00389" w:rsidRPr="00073BE2">
        <w:rPr>
          <w:rFonts w:ascii="Arial" w:hAnsi="Arial" w:cs="Arial"/>
          <w:sz w:val="22"/>
          <w:szCs w:val="22"/>
        </w:rPr>
        <w:t>).</w:t>
      </w:r>
      <w:r w:rsidR="00E21D4E" w:rsidRPr="00735ABA">
        <w:rPr>
          <w:rFonts w:ascii="Arial" w:hAnsi="Arial" w:cs="Arial"/>
          <w:sz w:val="22"/>
          <w:szCs w:val="22"/>
        </w:rPr>
        <w:t>T</w:t>
      </w:r>
      <w:r w:rsidRPr="00735ABA">
        <w:rPr>
          <w:rFonts w:ascii="Arial" w:hAnsi="Arial" w:cs="Arial"/>
          <w:sz w:val="22"/>
          <w:szCs w:val="22"/>
        </w:rPr>
        <w:t>hese carcinomas vary widely in size and are typically of the papillary variety. Similar tumors are occasionally found in thyroid glands affected by Hashimoto´s thyroiditis and in otherwise normal glands. Bisi et al (</w:t>
      </w:r>
      <w:r w:rsidR="002801CF">
        <w:rPr>
          <w:rFonts w:ascii="Arial" w:hAnsi="Arial" w:cs="Arial"/>
          <w:sz w:val="22"/>
          <w:szCs w:val="22"/>
        </w:rPr>
        <w:t>59</w:t>
      </w:r>
      <w:r w:rsidRPr="00735ABA">
        <w:rPr>
          <w:rFonts w:ascii="Arial" w:hAnsi="Arial" w:cs="Arial"/>
          <w:sz w:val="22"/>
          <w:szCs w:val="22"/>
        </w:rPr>
        <w:t>) reported that 13% of the glands resected in thyroid operations for any reason contained papillary adenocarcinoma. In Japan, routine autopsies of patients who were not suspected of having thyroid disease and who had no known irradiation experience, 17% were foun</w:t>
      </w:r>
      <w:r w:rsidR="00D671BD" w:rsidRPr="00735ABA">
        <w:rPr>
          <w:rFonts w:ascii="Arial" w:hAnsi="Arial" w:cs="Arial"/>
          <w:sz w:val="22"/>
          <w:szCs w:val="22"/>
        </w:rPr>
        <w:t>d to have small carcinomas when</w:t>
      </w:r>
      <w:r w:rsidRPr="00735ABA">
        <w:rPr>
          <w:rFonts w:ascii="Arial" w:hAnsi="Arial" w:cs="Arial"/>
          <w:sz w:val="22"/>
          <w:szCs w:val="22"/>
        </w:rPr>
        <w:t xml:space="preserve"> careful serial sections of the thyroid glands were done (6</w:t>
      </w:r>
      <w:r w:rsidR="002801CF">
        <w:rPr>
          <w:rFonts w:ascii="Arial" w:hAnsi="Arial" w:cs="Arial"/>
          <w:sz w:val="22"/>
          <w:szCs w:val="22"/>
        </w:rPr>
        <w:t>2</w:t>
      </w:r>
      <w:r w:rsidRPr="00735ABA">
        <w:rPr>
          <w:rFonts w:ascii="Arial" w:hAnsi="Arial" w:cs="Arial"/>
          <w:sz w:val="22"/>
          <w:szCs w:val="22"/>
        </w:rPr>
        <w:t>). If the figures of Bisi et al (</w:t>
      </w:r>
      <w:r w:rsidR="002801CF">
        <w:rPr>
          <w:rFonts w:ascii="Arial" w:hAnsi="Arial" w:cs="Arial"/>
          <w:sz w:val="22"/>
          <w:szCs w:val="22"/>
        </w:rPr>
        <w:t>59</w:t>
      </w:r>
      <w:r w:rsidRPr="00735ABA">
        <w:rPr>
          <w:rFonts w:ascii="Arial" w:hAnsi="Arial" w:cs="Arial"/>
          <w:sz w:val="22"/>
          <w:szCs w:val="22"/>
        </w:rPr>
        <w:t>) were confirmed (6</w:t>
      </w:r>
      <w:r w:rsidR="002801CF">
        <w:rPr>
          <w:rFonts w:ascii="Arial" w:hAnsi="Arial" w:cs="Arial"/>
          <w:sz w:val="22"/>
          <w:szCs w:val="22"/>
        </w:rPr>
        <w:t>3</w:t>
      </w:r>
      <w:r w:rsidRPr="00735ABA">
        <w:rPr>
          <w:rFonts w:ascii="Arial" w:hAnsi="Arial" w:cs="Arial"/>
          <w:sz w:val="22"/>
          <w:szCs w:val="22"/>
        </w:rPr>
        <w:t>, 6</w:t>
      </w:r>
      <w:r w:rsidR="002801CF">
        <w:rPr>
          <w:rFonts w:ascii="Arial" w:hAnsi="Arial" w:cs="Arial"/>
          <w:sz w:val="22"/>
          <w:szCs w:val="22"/>
        </w:rPr>
        <w:t>4</w:t>
      </w:r>
      <w:r w:rsidRPr="00735ABA">
        <w:rPr>
          <w:rFonts w:ascii="Arial" w:hAnsi="Arial" w:cs="Arial"/>
          <w:sz w:val="22"/>
          <w:szCs w:val="22"/>
        </w:rPr>
        <w:t>) truly represent the prevalence of invasive carcinoma, one would certainly be forced to conclude that all multinodular goiters should be resected in order to prevent dissemination of malignant disease. However, it seems quite unlikely that all lesions that appear to satisfy the histological criteria for malignant neoplasia are potentially lethal. This view is strongly supported by the final report of the study on the significance of nodular goiter carried out in Framingham (see ref. 2</w:t>
      </w:r>
      <w:r w:rsidR="005F2171">
        <w:rPr>
          <w:rFonts w:ascii="Arial" w:hAnsi="Arial" w:cs="Arial"/>
          <w:sz w:val="22"/>
          <w:szCs w:val="22"/>
        </w:rPr>
        <w:t>4</w:t>
      </w:r>
      <w:r w:rsidRPr="00735ABA">
        <w:rPr>
          <w:rFonts w:ascii="Arial" w:hAnsi="Arial" w:cs="Arial"/>
          <w:sz w:val="22"/>
          <w:szCs w:val="22"/>
        </w:rPr>
        <w:t>). They followed for 15 years all 218 nontoxic thyroid nodules previously detected in a total population of approximately 5,000 persons. None of these lesions showed any clinical evidence of malignancy at the end of that time.</w:t>
      </w:r>
      <w:r w:rsidR="002801CF">
        <w:rPr>
          <w:rFonts w:ascii="Arial" w:hAnsi="Arial" w:cs="Arial"/>
          <w:sz w:val="22"/>
          <w:szCs w:val="22"/>
        </w:rPr>
        <w:t xml:space="preserve"> </w:t>
      </w:r>
      <w:r w:rsidR="00073BE2" w:rsidRPr="00073BE2">
        <w:rPr>
          <w:rFonts w:ascii="Arial" w:hAnsi="Arial" w:cs="Arial"/>
          <w:sz w:val="22"/>
          <w:szCs w:val="22"/>
        </w:rPr>
        <w:t>Despite of the low-quality, the evidence suggest</w:t>
      </w:r>
      <w:r w:rsidR="00B10738">
        <w:rPr>
          <w:rFonts w:ascii="Arial" w:hAnsi="Arial" w:cs="Arial"/>
          <w:sz w:val="22"/>
          <w:szCs w:val="22"/>
        </w:rPr>
        <w:t>s a</w:t>
      </w:r>
      <w:r w:rsidR="00073BE2" w:rsidRPr="00073BE2">
        <w:rPr>
          <w:rFonts w:ascii="Arial" w:hAnsi="Arial" w:cs="Arial"/>
          <w:sz w:val="22"/>
          <w:szCs w:val="22"/>
        </w:rPr>
        <w:t xml:space="preserve"> lower prevalence of thyroid caner in multinodular goiter compared to single nodule</w:t>
      </w:r>
      <w:r w:rsidR="00B10738">
        <w:rPr>
          <w:rFonts w:ascii="Arial" w:hAnsi="Arial" w:cs="Arial"/>
          <w:sz w:val="22"/>
          <w:szCs w:val="22"/>
        </w:rPr>
        <w:t>s</w:t>
      </w:r>
      <w:r w:rsidR="00073BE2" w:rsidRPr="00073BE2">
        <w:rPr>
          <w:rFonts w:ascii="Arial" w:hAnsi="Arial" w:cs="Arial"/>
          <w:sz w:val="22"/>
          <w:szCs w:val="22"/>
        </w:rPr>
        <w:t xml:space="preserve">, particularly in iodine-deficient areas </w:t>
      </w:r>
      <w:r w:rsidR="00073BE2">
        <w:rPr>
          <w:rFonts w:ascii="Arial" w:hAnsi="Arial" w:cs="Arial"/>
          <w:sz w:val="22"/>
          <w:szCs w:val="22"/>
        </w:rPr>
        <w:t>(</w:t>
      </w:r>
      <w:r w:rsidR="002801CF">
        <w:rPr>
          <w:rFonts w:ascii="Arial" w:hAnsi="Arial" w:cs="Arial"/>
          <w:sz w:val="22"/>
          <w:szCs w:val="22"/>
        </w:rPr>
        <w:t>66</w:t>
      </w:r>
      <w:r w:rsidR="00073BE2" w:rsidRPr="00073BE2">
        <w:rPr>
          <w:rFonts w:ascii="Arial" w:hAnsi="Arial" w:cs="Arial"/>
          <w:sz w:val="22"/>
          <w:szCs w:val="22"/>
        </w:rPr>
        <w:t xml:space="preserve">, </w:t>
      </w:r>
      <w:r w:rsidR="002801CF">
        <w:rPr>
          <w:rFonts w:ascii="Arial" w:hAnsi="Arial" w:cs="Arial"/>
          <w:sz w:val="22"/>
          <w:szCs w:val="22"/>
        </w:rPr>
        <w:t>67</w:t>
      </w:r>
      <w:r w:rsidR="00073BE2">
        <w:rPr>
          <w:rFonts w:ascii="Arial" w:hAnsi="Arial" w:cs="Arial"/>
          <w:sz w:val="22"/>
          <w:szCs w:val="22"/>
        </w:rPr>
        <w:t>)</w:t>
      </w:r>
      <w:r w:rsidR="0057780D" w:rsidRPr="00073BE2">
        <w:rPr>
          <w:rFonts w:ascii="Arial" w:hAnsi="Arial" w:cs="Arial"/>
          <w:sz w:val="22"/>
          <w:szCs w:val="22"/>
        </w:rPr>
        <w:t>.</w:t>
      </w:r>
      <w:r w:rsidR="0057780D" w:rsidRPr="00735ABA">
        <w:rPr>
          <w:rFonts w:ascii="Arial" w:hAnsi="Arial" w:cs="Arial"/>
          <w:sz w:val="22"/>
          <w:szCs w:val="22"/>
        </w:rPr>
        <w:t xml:space="preserve"> </w:t>
      </w:r>
    </w:p>
    <w:p w14:paraId="360BCF31" w14:textId="77777777" w:rsidR="00AA491A" w:rsidRPr="00735ABA" w:rsidRDefault="00AA491A" w:rsidP="00B55FE6">
      <w:pPr>
        <w:ind w:right="-136"/>
        <w:rPr>
          <w:rFonts w:ascii="Arial" w:hAnsi="Arial" w:cs="Arial"/>
          <w:sz w:val="22"/>
          <w:szCs w:val="22"/>
        </w:rPr>
      </w:pPr>
    </w:p>
    <w:p w14:paraId="7E185CEB" w14:textId="3E814DAC" w:rsidR="00AA491A" w:rsidRPr="00735ABA" w:rsidRDefault="00AA491A" w:rsidP="00B55FE6">
      <w:pPr>
        <w:ind w:right="-136"/>
        <w:rPr>
          <w:rFonts w:ascii="Arial" w:hAnsi="Arial" w:cs="Arial"/>
          <w:sz w:val="22"/>
          <w:szCs w:val="22"/>
        </w:rPr>
      </w:pPr>
      <w:r w:rsidRPr="00735ABA">
        <w:rPr>
          <w:rFonts w:ascii="Arial" w:hAnsi="Arial" w:cs="Arial"/>
          <w:sz w:val="22"/>
          <w:szCs w:val="22"/>
        </w:rPr>
        <w:t>A strong case can be made for the view that there is only minimal risk from carcinoma in multinodular goiter. The prevalence of clinical nodularity of the thyroid is at least 4%, or 40,000 per 1,000,000 populations. Use of a much higher figure can be justified by the autopsy studies described above. Despite the high frequency of nodular goiter, only 36-60 thyroid tumors appear per 1,000,000 persons each year or by analysis of reported statistics on thyroid surgical specimens (5</w:t>
      </w:r>
      <w:r w:rsidR="002801CF">
        <w:rPr>
          <w:rFonts w:ascii="Arial" w:hAnsi="Arial" w:cs="Arial"/>
          <w:sz w:val="22"/>
          <w:szCs w:val="22"/>
        </w:rPr>
        <w:t>7</w:t>
      </w:r>
      <w:r w:rsidRPr="00735ABA">
        <w:rPr>
          <w:rFonts w:ascii="Arial" w:hAnsi="Arial" w:cs="Arial"/>
          <w:sz w:val="22"/>
          <w:szCs w:val="22"/>
        </w:rPr>
        <w:t>-6</w:t>
      </w:r>
      <w:r w:rsidR="002801CF">
        <w:rPr>
          <w:rFonts w:ascii="Arial" w:hAnsi="Arial" w:cs="Arial"/>
          <w:sz w:val="22"/>
          <w:szCs w:val="22"/>
        </w:rPr>
        <w:t>0</w:t>
      </w:r>
      <w:r w:rsidRPr="00735ABA">
        <w:rPr>
          <w:rFonts w:ascii="Arial" w:hAnsi="Arial" w:cs="Arial"/>
          <w:sz w:val="22"/>
          <w:szCs w:val="22"/>
        </w:rPr>
        <w:t>). A recent national cancer survey in the United States found an incidence of 40 per 1,000,000. An overview of the incidence of thyroid cancer in 409 countries, both with and free of endemic goiter was reported previously (</w:t>
      </w:r>
      <w:r w:rsidR="002801CF">
        <w:rPr>
          <w:rFonts w:ascii="Arial" w:hAnsi="Arial" w:cs="Arial"/>
          <w:sz w:val="22"/>
          <w:szCs w:val="22"/>
        </w:rPr>
        <w:t>58</w:t>
      </w:r>
      <w:r w:rsidRPr="00735ABA">
        <w:rPr>
          <w:rFonts w:ascii="Arial" w:hAnsi="Arial" w:cs="Arial"/>
          <w:sz w:val="22"/>
          <w:szCs w:val="22"/>
        </w:rPr>
        <w:t>). The range of incidence varied between 7.5 and 56 per 1,000,000 persons each year. The prevalence of significant thyroid carcinoma at routine autopsy is less than 0.1% and persons with this type of tumor are probably examined as frequently as are those with other forms of neoplasia. The United States mortality figures for thyroid carcinoma are constant at about 6 per 10-6 population each year. Riccabona also summarized death rates from thyroid cancer in non-endemic and in endemic countries. (6</w:t>
      </w:r>
      <w:r w:rsidR="008409B7">
        <w:rPr>
          <w:rFonts w:ascii="Arial" w:hAnsi="Arial" w:cs="Arial"/>
          <w:sz w:val="22"/>
          <w:szCs w:val="22"/>
        </w:rPr>
        <w:t>4</w:t>
      </w:r>
      <w:r w:rsidRPr="00735ABA">
        <w:rPr>
          <w:rFonts w:ascii="Arial" w:hAnsi="Arial" w:cs="Arial"/>
          <w:sz w:val="22"/>
          <w:szCs w:val="22"/>
        </w:rPr>
        <w:t xml:space="preserve">) For Austria this was 16 per 10-6 per year in 1952 and 10 per 10-6 per year in 1983. For Switzerland this was in 1952, 18 per 10-6 per year and in 1979, 9 per 10-6 per year. The death rate per year for the United States in 1979 was 3 per 10-6, for Israel in 1952 1 per 10-6 per year and for the UK 7 per 10-6 in 1963. Death rates from thyroid cancer in </w:t>
      </w:r>
      <w:r w:rsidRPr="00735ABA">
        <w:rPr>
          <w:rFonts w:ascii="Arial" w:hAnsi="Arial" w:cs="Arial"/>
          <w:sz w:val="22"/>
          <w:szCs w:val="22"/>
        </w:rPr>
        <w:lastRenderedPageBreak/>
        <w:t>endemic goiter areas from regions in Austria, Yugoslavia, Finland and Israel were between 10 and 16 per 10-6 per year between 1980 and 1984.</w:t>
      </w:r>
    </w:p>
    <w:p w14:paraId="07B1A693" w14:textId="77777777" w:rsidR="00AA491A" w:rsidRPr="00735ABA" w:rsidRDefault="00AA491A" w:rsidP="00B55FE6">
      <w:pPr>
        <w:ind w:right="-136"/>
        <w:rPr>
          <w:rFonts w:ascii="Arial" w:hAnsi="Arial" w:cs="Arial"/>
          <w:sz w:val="22"/>
          <w:szCs w:val="22"/>
        </w:rPr>
      </w:pPr>
    </w:p>
    <w:p w14:paraId="45500AFA" w14:textId="02ACF293" w:rsidR="00AA491A" w:rsidRPr="00735ABA" w:rsidRDefault="00AA491A" w:rsidP="00B55FE6">
      <w:pPr>
        <w:ind w:right="-136"/>
        <w:rPr>
          <w:rFonts w:ascii="Arial" w:hAnsi="Arial" w:cs="Arial"/>
          <w:sz w:val="22"/>
          <w:szCs w:val="22"/>
        </w:rPr>
      </w:pPr>
      <w:r w:rsidRPr="00735ABA">
        <w:rPr>
          <w:rFonts w:ascii="Arial" w:hAnsi="Arial" w:cs="Arial"/>
          <w:sz w:val="22"/>
          <w:szCs w:val="22"/>
        </w:rPr>
        <w:t xml:space="preserve">Lastly, it should be recognized that meticulous examination of autopsy specimens from persons dying of nonthyroid disease may show small (less than 0.5 cm) papillary lesions in4-24% of human </w:t>
      </w:r>
      <w:r w:rsidR="00B452D1" w:rsidRPr="00735ABA">
        <w:rPr>
          <w:rFonts w:ascii="Arial" w:hAnsi="Arial" w:cs="Arial"/>
          <w:sz w:val="22"/>
          <w:szCs w:val="22"/>
        </w:rPr>
        <w:t>thyroid glands (6</w:t>
      </w:r>
      <w:r w:rsidR="008409B7">
        <w:rPr>
          <w:rFonts w:ascii="Arial" w:hAnsi="Arial" w:cs="Arial"/>
          <w:sz w:val="22"/>
          <w:szCs w:val="22"/>
        </w:rPr>
        <w:t>3</w:t>
      </w:r>
      <w:r w:rsidR="00B452D1" w:rsidRPr="00735ABA">
        <w:rPr>
          <w:rFonts w:ascii="Arial" w:hAnsi="Arial" w:cs="Arial"/>
          <w:sz w:val="22"/>
          <w:szCs w:val="22"/>
        </w:rPr>
        <w:t>,6</w:t>
      </w:r>
      <w:r w:rsidR="008409B7">
        <w:rPr>
          <w:rFonts w:ascii="Arial" w:hAnsi="Arial" w:cs="Arial"/>
          <w:sz w:val="22"/>
          <w:szCs w:val="22"/>
        </w:rPr>
        <w:t>4</w:t>
      </w:r>
      <w:r w:rsidR="00B452D1" w:rsidRPr="00735ABA">
        <w:rPr>
          <w:rFonts w:ascii="Arial" w:hAnsi="Arial" w:cs="Arial"/>
          <w:sz w:val="22"/>
          <w:szCs w:val="22"/>
        </w:rPr>
        <w:t>). A</w:t>
      </w:r>
      <w:r w:rsidRPr="00735ABA">
        <w:rPr>
          <w:rFonts w:ascii="Arial" w:hAnsi="Arial" w:cs="Arial"/>
          <w:sz w:val="22"/>
          <w:szCs w:val="22"/>
        </w:rPr>
        <w:t xml:space="preserve"> report of 1020 sequential autopsies revealed the presence of microscopic papillary carcinoma in 6%. (6</w:t>
      </w:r>
      <w:r w:rsidR="008409B7">
        <w:rPr>
          <w:rFonts w:ascii="Arial" w:hAnsi="Arial" w:cs="Arial"/>
          <w:sz w:val="22"/>
          <w:szCs w:val="22"/>
        </w:rPr>
        <w:t>0</w:t>
      </w:r>
      <w:r w:rsidRPr="00735ABA">
        <w:rPr>
          <w:rFonts w:ascii="Arial" w:hAnsi="Arial" w:cs="Arial"/>
          <w:sz w:val="22"/>
          <w:szCs w:val="22"/>
        </w:rPr>
        <w:t>) Although the prevalence of this type of lesion increases with age, there is no question that such lesions may be present even in younger persons. The proportion of these lesions that even become clinically apparent is unknown, but their presence in otherwise normal thyroid glands should be kept in mind when evaluating reports of similar prevalences of thyroid carcinoma in multinodular thyroid glands.</w:t>
      </w:r>
    </w:p>
    <w:p w14:paraId="2AC1EDCA" w14:textId="77777777" w:rsidR="00AA491A" w:rsidRPr="00735ABA" w:rsidRDefault="00AA491A" w:rsidP="00B55FE6">
      <w:pPr>
        <w:ind w:right="-136"/>
        <w:rPr>
          <w:rFonts w:ascii="Arial" w:hAnsi="Arial" w:cs="Arial"/>
          <w:sz w:val="22"/>
          <w:szCs w:val="22"/>
        </w:rPr>
      </w:pPr>
    </w:p>
    <w:p w14:paraId="6CCC3778" w14:textId="77777777" w:rsidR="00AA491A" w:rsidRPr="00735ABA" w:rsidRDefault="00AA491A" w:rsidP="00B55FE6">
      <w:pPr>
        <w:ind w:right="-136"/>
        <w:rPr>
          <w:rFonts w:ascii="Arial" w:hAnsi="Arial" w:cs="Arial"/>
          <w:sz w:val="22"/>
          <w:szCs w:val="22"/>
        </w:rPr>
      </w:pPr>
      <w:r w:rsidRPr="00735ABA">
        <w:rPr>
          <w:rFonts w:ascii="Arial" w:hAnsi="Arial" w:cs="Arial"/>
          <w:sz w:val="22"/>
          <w:szCs w:val="22"/>
        </w:rPr>
        <w:t>If 4% of patients with nodular goiter actually have thyroid carcinoma, the prevalence of tumor in the general population would be 1,600 per 1,000,000. It is remarkable that only about 25 of these 1,600 hypothetical tumors would become apparent each year, or that only about 10 would prove fatal. Thus, there appears to be a gross discrepancy between the mortality form thyroid carcinoma and its reported frequency in surgical specimens of multinodular goiters. Reasonable arguments can be mustered in an effort to reconcile the information. Perhaps the most important single factor is selection. Persons with nodular goiter who come to operation are not representative of the general population but are patients with clinically significant thyroid disease who have been selected by their physicians for thyroid surgery. One of the factors controlling the selection process is the suspicion of malignant tumor. In fact, the selection process is especially good, as reflected by the high recovery of malignant thyroid tumors in patients operated on with this presumptive diagnosis. A second factor is that the histologic diagnosis of thyroid carcinoma may not correlate well with true invasiveness. It is impossible to prove this thesis, but pathologists agree that the criteria for judging malignancy are variable and that it is exceedingly difficult to predict with any degree of certainty the growth potential of a particular thyroid lesion.</w:t>
      </w:r>
    </w:p>
    <w:p w14:paraId="7178F5AB" w14:textId="77777777" w:rsidR="00AA491A" w:rsidRPr="00735ABA" w:rsidRDefault="00AA491A" w:rsidP="00B55FE6">
      <w:pPr>
        <w:ind w:right="-136"/>
        <w:rPr>
          <w:rFonts w:ascii="Arial" w:hAnsi="Arial" w:cs="Arial"/>
          <w:sz w:val="22"/>
          <w:szCs w:val="22"/>
        </w:rPr>
      </w:pPr>
    </w:p>
    <w:p w14:paraId="4875A3B9" w14:textId="435698D7" w:rsidR="00AA491A" w:rsidRPr="00735ABA" w:rsidRDefault="00AA491A" w:rsidP="00B55FE6">
      <w:pPr>
        <w:ind w:right="-136"/>
        <w:rPr>
          <w:rFonts w:ascii="Arial" w:hAnsi="Arial" w:cs="Arial"/>
          <w:sz w:val="22"/>
          <w:szCs w:val="22"/>
        </w:rPr>
      </w:pPr>
      <w:r w:rsidRPr="00735ABA">
        <w:rPr>
          <w:rFonts w:ascii="Arial" w:hAnsi="Arial" w:cs="Arial"/>
          <w:sz w:val="22"/>
          <w:szCs w:val="22"/>
        </w:rPr>
        <w:t>Other arguments may be used to defend a conservative therapeutic position. In the first place, the tumors that are usually found in multinodular goiters are papillary tumors, and their degree of invasiveness is low. Indeed, the survival rate for intrathyroid papillary carcinoma is only slightly less than that for normal persons of the same age and sex (6</w:t>
      </w:r>
      <w:r w:rsidR="008409B7">
        <w:rPr>
          <w:rFonts w:ascii="Arial" w:hAnsi="Arial" w:cs="Arial"/>
          <w:sz w:val="22"/>
          <w:szCs w:val="22"/>
        </w:rPr>
        <w:t>9</w:t>
      </w:r>
      <w:r w:rsidRPr="00735ABA">
        <w:rPr>
          <w:rFonts w:ascii="Arial" w:hAnsi="Arial" w:cs="Arial"/>
          <w:sz w:val="22"/>
          <w:szCs w:val="22"/>
        </w:rPr>
        <w:t>-7</w:t>
      </w:r>
      <w:r w:rsidR="008409B7">
        <w:rPr>
          <w:rFonts w:ascii="Arial" w:hAnsi="Arial" w:cs="Arial"/>
          <w:sz w:val="22"/>
          <w:szCs w:val="22"/>
        </w:rPr>
        <w:t>4</w:t>
      </w:r>
      <w:r w:rsidRPr="00735ABA">
        <w:rPr>
          <w:rFonts w:ascii="Arial" w:hAnsi="Arial" w:cs="Arial"/>
          <w:sz w:val="22"/>
          <w:szCs w:val="22"/>
        </w:rPr>
        <w:t>). Furthermore, prophylactic subtotal thyroidectomy is not a guarantee of protection from cancer arising in a nodular goiter, since the process is usually diffuse, and it may be assumed that abnormal tissue is left in the neck after operation. In fact, unless replacement therapy is given, partial thyroidectomy might be expected to induce a tremendous growth stimulus in the remaining gland (</w:t>
      </w:r>
      <w:r w:rsidR="008409B7">
        <w:rPr>
          <w:rFonts w:ascii="Arial" w:hAnsi="Arial" w:cs="Arial"/>
          <w:sz w:val="22"/>
          <w:szCs w:val="22"/>
        </w:rPr>
        <w:t>75</w:t>
      </w:r>
      <w:r w:rsidRPr="00735ABA">
        <w:rPr>
          <w:rFonts w:ascii="Arial" w:hAnsi="Arial" w:cs="Arial"/>
          <w:sz w:val="22"/>
          <w:szCs w:val="22"/>
        </w:rPr>
        <w:t>-</w:t>
      </w:r>
      <w:r w:rsidR="008409B7">
        <w:rPr>
          <w:rFonts w:ascii="Arial" w:hAnsi="Arial" w:cs="Arial"/>
          <w:sz w:val="22"/>
          <w:szCs w:val="22"/>
        </w:rPr>
        <w:t>80</w:t>
      </w:r>
      <w:r w:rsidRPr="00735ABA">
        <w:rPr>
          <w:rFonts w:ascii="Arial" w:hAnsi="Arial" w:cs="Arial"/>
          <w:sz w:val="22"/>
          <w:szCs w:val="22"/>
        </w:rPr>
        <w:t>). A further point is that thyroidectomy, even in the best of hands, carries its own risk and its own morbidity, with dimensions comparable to those of missing a small papillary carcinoma within a multinodular goiter (8</w:t>
      </w:r>
      <w:r w:rsidR="00A0033A">
        <w:rPr>
          <w:rFonts w:ascii="Arial" w:hAnsi="Arial" w:cs="Arial"/>
          <w:sz w:val="22"/>
          <w:szCs w:val="22"/>
        </w:rPr>
        <w:t>1</w:t>
      </w:r>
      <w:r w:rsidRPr="00735ABA">
        <w:rPr>
          <w:rFonts w:ascii="Arial" w:hAnsi="Arial" w:cs="Arial"/>
          <w:sz w:val="22"/>
          <w:szCs w:val="22"/>
        </w:rPr>
        <w:t>-84). Obviously this last possibility does not apply when a focus of unusual induration or rapid growth rate is detected clinically.</w:t>
      </w:r>
    </w:p>
    <w:p w14:paraId="6416BAC2" w14:textId="77777777" w:rsidR="00AA491A" w:rsidRPr="00735ABA" w:rsidRDefault="00AA491A" w:rsidP="00B55FE6">
      <w:pPr>
        <w:ind w:right="-136"/>
        <w:rPr>
          <w:rFonts w:ascii="Arial" w:hAnsi="Arial" w:cs="Arial"/>
          <w:sz w:val="22"/>
          <w:szCs w:val="22"/>
        </w:rPr>
      </w:pPr>
    </w:p>
    <w:p w14:paraId="57079A6A" w14:textId="77777777" w:rsidR="00AA491A" w:rsidRPr="00735ABA" w:rsidRDefault="00CB676B" w:rsidP="00C41422">
      <w:pPr>
        <w:pStyle w:val="Heading2"/>
        <w:spacing w:after="240"/>
        <w:rPr>
          <w:iCs w:val="0"/>
          <w:caps/>
          <w:sz w:val="22"/>
          <w:szCs w:val="22"/>
        </w:rPr>
      </w:pPr>
      <w:r w:rsidRPr="00735ABA">
        <w:rPr>
          <w:iCs w:val="0"/>
          <w:caps/>
          <w:sz w:val="22"/>
          <w:szCs w:val="22"/>
        </w:rPr>
        <w:t>Diagnosis</w:t>
      </w:r>
    </w:p>
    <w:p w14:paraId="59BBAA99" w14:textId="77777777" w:rsidR="00AA491A" w:rsidRPr="00735ABA" w:rsidRDefault="00AA491A" w:rsidP="00C41422">
      <w:pPr>
        <w:spacing w:after="240"/>
        <w:ind w:right="-136"/>
        <w:rPr>
          <w:rFonts w:ascii="Arial" w:hAnsi="Arial" w:cs="Arial"/>
          <w:sz w:val="22"/>
          <w:szCs w:val="22"/>
        </w:rPr>
      </w:pPr>
      <w:r w:rsidRPr="00735ABA">
        <w:rPr>
          <w:rFonts w:ascii="Arial" w:hAnsi="Arial" w:cs="Arial"/>
          <w:sz w:val="22"/>
          <w:szCs w:val="22"/>
        </w:rPr>
        <w:t>Many of the symptoms of multinodular goiter have already been described. They are chiefly due to the presence o</w:t>
      </w:r>
      <w:r w:rsidR="00B452D1" w:rsidRPr="00735ABA">
        <w:rPr>
          <w:rFonts w:ascii="Arial" w:hAnsi="Arial" w:cs="Arial"/>
          <w:sz w:val="22"/>
          <w:szCs w:val="22"/>
        </w:rPr>
        <w:t>f</w:t>
      </w:r>
      <w:r w:rsidRPr="00735ABA">
        <w:rPr>
          <w:rFonts w:ascii="Arial" w:hAnsi="Arial" w:cs="Arial"/>
          <w:sz w:val="22"/>
          <w:szCs w:val="22"/>
        </w:rPr>
        <w:t xml:space="preserve"> an enlarging mass in the neck and its impingement upon the adjacent structures. There may be dysphagia, cough, and hoarseness. Paralysis of recurrent laryngeal nerve may occur when the nerve is stretched taut across the surface of </w:t>
      </w:r>
      <w:r w:rsidRPr="00735ABA">
        <w:rPr>
          <w:rFonts w:ascii="Arial" w:hAnsi="Arial" w:cs="Arial"/>
          <w:sz w:val="22"/>
          <w:szCs w:val="22"/>
        </w:rPr>
        <w:lastRenderedPageBreak/>
        <w:t>an expanding goiter, but this event is very unusual. When unilateral vocal cord paralysis is demonstrated, the presumptive diagnosis is cancer. Pressure on the superior sympathetic ganglions and nerves may produce a Horner´s syndrome.</w:t>
      </w:r>
    </w:p>
    <w:p w14:paraId="0F8CA479" w14:textId="77777777" w:rsidR="00AA491A" w:rsidRPr="00735ABA" w:rsidRDefault="00AA491A" w:rsidP="00B55FE6">
      <w:pPr>
        <w:ind w:right="-136"/>
        <w:rPr>
          <w:rFonts w:ascii="Arial" w:hAnsi="Arial" w:cs="Arial"/>
          <w:sz w:val="22"/>
          <w:szCs w:val="22"/>
        </w:rPr>
      </w:pPr>
    </w:p>
    <w:p w14:paraId="218E7739" w14:textId="77777777" w:rsidR="00AA491A" w:rsidRPr="00735ABA" w:rsidRDefault="00AA491A" w:rsidP="00B55FE6">
      <w:pPr>
        <w:ind w:right="-136"/>
        <w:rPr>
          <w:rFonts w:ascii="Arial" w:hAnsi="Arial" w:cs="Arial"/>
          <w:sz w:val="22"/>
          <w:szCs w:val="22"/>
        </w:rPr>
      </w:pPr>
      <w:r w:rsidRPr="00735ABA">
        <w:rPr>
          <w:rFonts w:ascii="Arial" w:hAnsi="Arial" w:cs="Arial"/>
          <w:sz w:val="22"/>
          <w:szCs w:val="22"/>
        </w:rPr>
        <w:t xml:space="preserve">As the gland grows it characteristically enlarges the neck, but frequently the growth occurs in a downward direction, producing a substernal goiter. A history sometimes given by an older patient that a goiter once present in the neck has disappeared may mean that it has fallen down into the upper mediastinum, where its upper limits can be felt by careful deep palpation. Hemorrhage into this goiter can produce acute tracheal obstruction. Sometime substernal goiters are attached only by a fibrous band to the goiter in the neck and extend downward to the arch of the aorta. They have even been observed as deep in the mediastinum as the diaphragm. Occasionally the skilled physician can detect a substernal goiter by percussion, particularly if there is a hint from tracheal deviation, or the presence of a nodular mass in the neck above the manubrial notch. </w:t>
      </w:r>
    </w:p>
    <w:p w14:paraId="71808133" w14:textId="77777777" w:rsidR="00AA491A" w:rsidRPr="00735ABA" w:rsidRDefault="00AA491A" w:rsidP="00B55FE6">
      <w:pPr>
        <w:ind w:right="-136"/>
        <w:rPr>
          <w:rFonts w:ascii="Arial" w:hAnsi="Arial" w:cs="Arial"/>
          <w:sz w:val="22"/>
          <w:szCs w:val="22"/>
        </w:rPr>
      </w:pPr>
    </w:p>
    <w:p w14:paraId="69E963E8" w14:textId="77777777" w:rsidR="00AA491A" w:rsidRPr="00735ABA" w:rsidRDefault="00AA491A" w:rsidP="00B55FE6">
      <w:pPr>
        <w:ind w:right="-136"/>
        <w:rPr>
          <w:rFonts w:ascii="Arial" w:hAnsi="Arial" w:cs="Arial"/>
          <w:sz w:val="22"/>
          <w:szCs w:val="22"/>
        </w:rPr>
      </w:pPr>
      <w:r w:rsidRPr="00735ABA">
        <w:rPr>
          <w:rFonts w:ascii="Arial" w:hAnsi="Arial" w:cs="Arial"/>
          <w:sz w:val="22"/>
          <w:szCs w:val="22"/>
        </w:rPr>
        <w:t xml:space="preserve">Symptoms suggesting constriction of the trachea are frequent, and displacement of the trachea is commonly found on physical examination. Computer Tomography examination is useful in defining the extent of tracheal deviation and compression. Compression is frequently seen but rarely is functionally significant have expected to find softened tracheal cartilage after the removal of some large goiters, but tracheomalacia has been observed only on the rarest occasion. Patients may be remarkably tolerant of nodular goiter even when the enlargement is striking. This finding is especially true in the endemic goiter areas of the world. </w:t>
      </w:r>
    </w:p>
    <w:p w14:paraId="39AAA827" w14:textId="77777777" w:rsidR="00AA491A" w:rsidRPr="00735ABA" w:rsidRDefault="00AA491A" w:rsidP="00B55FE6">
      <w:pPr>
        <w:ind w:right="-136"/>
        <w:rPr>
          <w:rFonts w:ascii="Arial" w:hAnsi="Arial" w:cs="Arial"/>
          <w:sz w:val="22"/>
          <w:szCs w:val="22"/>
        </w:rPr>
      </w:pPr>
    </w:p>
    <w:p w14:paraId="6301B715" w14:textId="77777777" w:rsidR="00AA491A" w:rsidRDefault="00AA491A" w:rsidP="00B55FE6">
      <w:pPr>
        <w:ind w:right="-136"/>
        <w:rPr>
          <w:rFonts w:ascii="Arial" w:hAnsi="Arial" w:cs="Arial"/>
          <w:sz w:val="22"/>
          <w:szCs w:val="22"/>
        </w:rPr>
      </w:pPr>
      <w:r w:rsidRPr="00735ABA">
        <w:rPr>
          <w:rFonts w:ascii="Arial" w:hAnsi="Arial" w:cs="Arial"/>
          <w:sz w:val="22"/>
          <w:szCs w:val="22"/>
        </w:rPr>
        <w:t xml:space="preserve">It is generally agreed that, thyroid isotope or ultrasound scanning are of little or no use in the diagnosis of carcinoma in a multinodular goiter. Two aspects are important in the differentiation from malignancy. First, the clinical presentation, if the goiter is of longstanding, showing little or no growth, absence of a dominant node, familial, while there is no neck irradiation in the past, especially in childhood, no hoarse voice, and no suspicious lymphnodes in the neck, there is little fear for carcinoma. </w:t>
      </w:r>
    </w:p>
    <w:p w14:paraId="1787EFCD" w14:textId="77777777" w:rsidR="003811F8" w:rsidRDefault="003811F8" w:rsidP="00B55FE6">
      <w:pPr>
        <w:ind w:right="-136"/>
        <w:rPr>
          <w:rFonts w:ascii="Arial" w:hAnsi="Arial" w:cs="Arial"/>
          <w:sz w:val="22"/>
          <w:szCs w:val="22"/>
        </w:rPr>
      </w:pPr>
    </w:p>
    <w:p w14:paraId="55075893" w14:textId="77777777" w:rsidR="003811F8" w:rsidRDefault="003811F8" w:rsidP="00B55FE6">
      <w:pPr>
        <w:ind w:right="-136"/>
        <w:rPr>
          <w:rFonts w:ascii="Arial" w:hAnsi="Arial" w:cs="Arial"/>
          <w:sz w:val="22"/>
          <w:szCs w:val="22"/>
        </w:rPr>
      </w:pPr>
    </w:p>
    <w:p w14:paraId="15DDD5B9" w14:textId="77777777" w:rsidR="003811F8" w:rsidRDefault="003811F8" w:rsidP="00B55FE6">
      <w:pPr>
        <w:ind w:right="-136"/>
        <w:rPr>
          <w:rFonts w:ascii="Arial" w:hAnsi="Arial" w:cs="Arial"/>
          <w:sz w:val="22"/>
          <w:szCs w:val="22"/>
        </w:rPr>
      </w:pPr>
    </w:p>
    <w:p w14:paraId="7A5CD745" w14:textId="77777777" w:rsidR="003811F8" w:rsidRDefault="003811F8" w:rsidP="00B55FE6">
      <w:pPr>
        <w:ind w:right="-136"/>
        <w:rPr>
          <w:rFonts w:ascii="Arial" w:hAnsi="Arial" w:cs="Arial"/>
          <w:sz w:val="22"/>
          <w:szCs w:val="22"/>
        </w:rPr>
      </w:pPr>
    </w:p>
    <w:p w14:paraId="56BB73B1" w14:textId="77777777" w:rsidR="003811F8" w:rsidRDefault="003811F8" w:rsidP="00B55FE6">
      <w:pPr>
        <w:ind w:right="-136"/>
        <w:rPr>
          <w:rFonts w:ascii="Arial" w:hAnsi="Arial" w:cs="Arial"/>
          <w:sz w:val="22"/>
          <w:szCs w:val="22"/>
        </w:rPr>
      </w:pPr>
    </w:p>
    <w:p w14:paraId="7052306E" w14:textId="77777777" w:rsidR="003811F8" w:rsidRDefault="003811F8" w:rsidP="00B55FE6">
      <w:pPr>
        <w:ind w:right="-136"/>
        <w:rPr>
          <w:rFonts w:ascii="Arial" w:hAnsi="Arial" w:cs="Arial"/>
          <w:sz w:val="22"/>
          <w:szCs w:val="22"/>
        </w:rPr>
      </w:pPr>
    </w:p>
    <w:p w14:paraId="1C18D1B7" w14:textId="77777777" w:rsidR="003811F8" w:rsidRDefault="003811F8" w:rsidP="00B55FE6">
      <w:pPr>
        <w:ind w:right="-136"/>
        <w:rPr>
          <w:rFonts w:ascii="Arial" w:hAnsi="Arial" w:cs="Arial"/>
          <w:sz w:val="22"/>
          <w:szCs w:val="22"/>
        </w:rPr>
      </w:pPr>
    </w:p>
    <w:p w14:paraId="7F3226BA" w14:textId="77777777" w:rsidR="003811F8" w:rsidRDefault="003811F8" w:rsidP="00B55FE6">
      <w:pPr>
        <w:ind w:right="-136"/>
        <w:rPr>
          <w:rFonts w:ascii="Arial" w:hAnsi="Arial" w:cs="Arial"/>
          <w:sz w:val="22"/>
          <w:szCs w:val="22"/>
        </w:rPr>
      </w:pPr>
    </w:p>
    <w:p w14:paraId="4204B830" w14:textId="77777777" w:rsidR="003811F8" w:rsidRDefault="003811F8" w:rsidP="00B55FE6">
      <w:pPr>
        <w:ind w:right="-136"/>
        <w:rPr>
          <w:rFonts w:ascii="Arial" w:hAnsi="Arial" w:cs="Arial"/>
          <w:sz w:val="22"/>
          <w:szCs w:val="22"/>
        </w:rPr>
      </w:pPr>
    </w:p>
    <w:p w14:paraId="4A1AE4C6" w14:textId="77777777" w:rsidR="003811F8" w:rsidRDefault="003811F8" w:rsidP="00B55FE6">
      <w:pPr>
        <w:ind w:right="-136"/>
        <w:rPr>
          <w:rFonts w:ascii="Arial" w:hAnsi="Arial" w:cs="Arial"/>
          <w:sz w:val="22"/>
          <w:szCs w:val="22"/>
        </w:rPr>
      </w:pPr>
    </w:p>
    <w:p w14:paraId="04C769E2" w14:textId="77777777" w:rsidR="003811F8" w:rsidRDefault="003811F8" w:rsidP="00B55FE6">
      <w:pPr>
        <w:ind w:right="-136"/>
        <w:rPr>
          <w:rFonts w:ascii="Arial" w:hAnsi="Arial" w:cs="Arial"/>
          <w:sz w:val="22"/>
          <w:szCs w:val="22"/>
        </w:rPr>
      </w:pPr>
    </w:p>
    <w:p w14:paraId="7135B06E" w14:textId="77777777" w:rsidR="003811F8" w:rsidRDefault="003811F8" w:rsidP="00B55FE6">
      <w:pPr>
        <w:ind w:right="-136"/>
        <w:rPr>
          <w:rFonts w:ascii="Arial" w:hAnsi="Arial" w:cs="Arial"/>
          <w:sz w:val="22"/>
          <w:szCs w:val="22"/>
        </w:rPr>
      </w:pPr>
    </w:p>
    <w:p w14:paraId="33BE680B" w14:textId="77777777" w:rsidR="003811F8" w:rsidRDefault="003811F8" w:rsidP="00B55FE6">
      <w:pPr>
        <w:ind w:right="-136"/>
        <w:rPr>
          <w:rFonts w:ascii="Arial" w:hAnsi="Arial" w:cs="Arial"/>
          <w:sz w:val="22"/>
          <w:szCs w:val="22"/>
        </w:rPr>
      </w:pPr>
    </w:p>
    <w:p w14:paraId="2AAA400B" w14:textId="77777777" w:rsidR="003811F8" w:rsidRDefault="003811F8" w:rsidP="00B55FE6">
      <w:pPr>
        <w:ind w:right="-136"/>
        <w:rPr>
          <w:rFonts w:ascii="Arial" w:hAnsi="Arial" w:cs="Arial"/>
          <w:sz w:val="22"/>
          <w:szCs w:val="22"/>
        </w:rPr>
      </w:pPr>
    </w:p>
    <w:p w14:paraId="6067BBDD" w14:textId="77777777" w:rsidR="003811F8" w:rsidRDefault="003811F8" w:rsidP="00B55FE6">
      <w:pPr>
        <w:ind w:right="-136"/>
        <w:rPr>
          <w:rFonts w:ascii="Arial" w:hAnsi="Arial" w:cs="Arial"/>
          <w:sz w:val="22"/>
          <w:szCs w:val="22"/>
        </w:rPr>
      </w:pPr>
    </w:p>
    <w:p w14:paraId="069EED46" w14:textId="77777777" w:rsidR="003811F8" w:rsidRDefault="003811F8" w:rsidP="00B55FE6">
      <w:pPr>
        <w:ind w:right="-136"/>
        <w:rPr>
          <w:rFonts w:ascii="Arial" w:hAnsi="Arial" w:cs="Arial"/>
          <w:sz w:val="22"/>
          <w:szCs w:val="22"/>
        </w:rPr>
      </w:pPr>
    </w:p>
    <w:p w14:paraId="1A013DB2" w14:textId="77777777" w:rsidR="003811F8" w:rsidRDefault="003811F8" w:rsidP="00B55FE6">
      <w:pPr>
        <w:ind w:right="-136"/>
        <w:rPr>
          <w:rFonts w:ascii="Arial" w:hAnsi="Arial" w:cs="Arial"/>
          <w:sz w:val="22"/>
          <w:szCs w:val="22"/>
        </w:rPr>
      </w:pPr>
    </w:p>
    <w:p w14:paraId="3CA89009" w14:textId="77777777" w:rsidR="003811F8" w:rsidRDefault="003811F8" w:rsidP="00B55FE6">
      <w:pPr>
        <w:ind w:right="-136"/>
        <w:rPr>
          <w:rFonts w:ascii="Arial" w:hAnsi="Arial" w:cs="Arial"/>
          <w:sz w:val="22"/>
          <w:szCs w:val="22"/>
        </w:rPr>
      </w:pPr>
    </w:p>
    <w:p w14:paraId="29AA6FDB" w14:textId="77777777" w:rsidR="003811F8" w:rsidRDefault="003811F8" w:rsidP="00B55FE6">
      <w:pPr>
        <w:ind w:right="-136"/>
        <w:rPr>
          <w:rFonts w:ascii="Arial" w:hAnsi="Arial" w:cs="Arial"/>
          <w:sz w:val="22"/>
          <w:szCs w:val="22"/>
        </w:rPr>
      </w:pPr>
    </w:p>
    <w:p w14:paraId="0A91DC16" w14:textId="77777777" w:rsidR="003811F8" w:rsidRDefault="003811F8" w:rsidP="00B55FE6">
      <w:pPr>
        <w:ind w:right="-136"/>
        <w:rPr>
          <w:rFonts w:ascii="Arial" w:hAnsi="Arial" w:cs="Arial"/>
          <w:sz w:val="22"/>
          <w:szCs w:val="22"/>
        </w:rPr>
      </w:pPr>
    </w:p>
    <w:p w14:paraId="18B4DBF6" w14:textId="77777777" w:rsidR="003811F8" w:rsidRPr="00735ABA" w:rsidRDefault="003811F8" w:rsidP="00B55FE6">
      <w:pPr>
        <w:ind w:right="-136"/>
        <w:rPr>
          <w:rFonts w:ascii="Arial" w:hAnsi="Arial" w:cs="Arial"/>
          <w:sz w:val="22"/>
          <w:szCs w:val="22"/>
        </w:rPr>
      </w:pPr>
    </w:p>
    <w:p w14:paraId="53D99571" w14:textId="77777777" w:rsidR="001E0CFC" w:rsidRPr="00735ABA" w:rsidRDefault="001E0CFC" w:rsidP="00B55FE6">
      <w:pPr>
        <w:ind w:right="-13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E314F" w:rsidRPr="00735ABA" w14:paraId="058D35BC" w14:textId="77777777" w:rsidTr="00862297">
        <w:tc>
          <w:tcPr>
            <w:tcW w:w="8856" w:type="dxa"/>
            <w:shd w:val="clear" w:color="auto" w:fill="99CCFF"/>
          </w:tcPr>
          <w:p w14:paraId="5D46F0B5" w14:textId="77777777" w:rsidR="00CE314F" w:rsidRPr="00735ABA" w:rsidRDefault="00CE314F" w:rsidP="00862297">
            <w:pPr>
              <w:ind w:right="-136"/>
              <w:rPr>
                <w:rFonts w:ascii="Arial" w:hAnsi="Arial" w:cs="Arial"/>
                <w:sz w:val="22"/>
                <w:szCs w:val="22"/>
              </w:rPr>
            </w:pPr>
            <w:r w:rsidRPr="00735ABA">
              <w:rPr>
                <w:rFonts w:ascii="Arial" w:hAnsi="Arial" w:cs="Arial"/>
                <w:b/>
                <w:sz w:val="22"/>
                <w:szCs w:val="22"/>
              </w:rPr>
              <w:t>Table 17-4</w:t>
            </w:r>
            <w:r w:rsidRPr="00735ABA">
              <w:rPr>
                <w:rFonts w:ascii="Arial" w:hAnsi="Arial" w:cs="Arial"/>
                <w:b/>
                <w:sz w:val="22"/>
                <w:szCs w:val="22"/>
              </w:rPr>
              <w:tab/>
            </w:r>
            <w:r w:rsidRPr="00735ABA">
              <w:rPr>
                <w:rFonts w:ascii="Arial" w:hAnsi="Arial" w:cs="Arial"/>
                <w:sz w:val="22"/>
                <w:szCs w:val="22"/>
              </w:rPr>
              <w:t>Clinical symptoms and investigations in the diagnosis of MNG</w:t>
            </w:r>
          </w:p>
        </w:tc>
      </w:tr>
      <w:tr w:rsidR="00CE314F" w:rsidRPr="00735ABA" w14:paraId="50735A19" w14:textId="77777777" w:rsidTr="00862297">
        <w:tc>
          <w:tcPr>
            <w:tcW w:w="8856" w:type="dxa"/>
            <w:shd w:val="clear" w:color="auto" w:fill="auto"/>
          </w:tcPr>
          <w:p w14:paraId="155328F1" w14:textId="77777777" w:rsidR="00CE314F" w:rsidRPr="00735ABA" w:rsidRDefault="00CE314F" w:rsidP="00862297">
            <w:pPr>
              <w:ind w:right="-136"/>
              <w:rPr>
                <w:rFonts w:ascii="Arial" w:hAnsi="Arial" w:cs="Arial"/>
                <w:b/>
                <w:sz w:val="22"/>
                <w:szCs w:val="22"/>
              </w:rPr>
            </w:pPr>
            <w:r w:rsidRPr="00735ABA">
              <w:rPr>
                <w:rFonts w:ascii="Arial" w:hAnsi="Arial" w:cs="Arial"/>
                <w:b/>
                <w:sz w:val="22"/>
                <w:szCs w:val="22"/>
              </w:rPr>
              <w:t>Simptoms and signs</w:t>
            </w:r>
          </w:p>
          <w:p w14:paraId="32566F82"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ab/>
              <w:t>Often family history of benign thyroid disease</w:t>
            </w:r>
          </w:p>
          <w:p w14:paraId="39008C6B"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ab/>
              <w:t>Slowly growing anterior neck mass</w:t>
            </w:r>
          </w:p>
          <w:p w14:paraId="6517B591"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ab/>
              <w:t>Uni- or multinodularity on examination</w:t>
            </w:r>
          </w:p>
          <w:p w14:paraId="599D6D91"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ab/>
              <w:t>Enlargment during pregnancy</w:t>
            </w:r>
          </w:p>
          <w:p w14:paraId="0781311D"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ab/>
              <w:t>Cosmetic complaints</w:t>
            </w:r>
          </w:p>
          <w:p w14:paraId="0245EC6C"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ab/>
              <w:t>Asymmetry, tracheal deviation, and/or compression</w:t>
            </w:r>
          </w:p>
          <w:p w14:paraId="4F8B9844"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ab/>
              <w:t>Rarelly upper airway obstruction, dyspnea, cough, and dysphagia</w:t>
            </w:r>
          </w:p>
          <w:p w14:paraId="395D48EA"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ab/>
              <w:t>Sudden transient pain or enlargement secondary to hemorrhage</w:t>
            </w:r>
          </w:p>
          <w:p w14:paraId="4AC30C2E"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ab/>
              <w:t>Gradually developing hyperthyroidism</w:t>
            </w:r>
          </w:p>
          <w:p w14:paraId="37B70C04"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ab/>
              <w:t>Superior vena cava obstruction syndrome (rare)</w:t>
            </w:r>
          </w:p>
          <w:p w14:paraId="0454BDFD"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ab/>
              <w:t>Recurrent nerve palsy (rare)</w:t>
            </w:r>
          </w:p>
          <w:p w14:paraId="42093FCB"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ab/>
              <w:t>Horner´s syndrome (rare)</w:t>
            </w:r>
          </w:p>
          <w:p w14:paraId="77E12104" w14:textId="77777777" w:rsidR="00CE314F" w:rsidRPr="00735ABA" w:rsidRDefault="00CE314F" w:rsidP="00862297">
            <w:pPr>
              <w:ind w:right="-136"/>
              <w:rPr>
                <w:rFonts w:ascii="Arial" w:hAnsi="Arial" w:cs="Arial"/>
                <w:b/>
                <w:sz w:val="22"/>
                <w:szCs w:val="22"/>
              </w:rPr>
            </w:pPr>
            <w:r w:rsidRPr="00735ABA">
              <w:rPr>
                <w:rFonts w:ascii="Arial" w:hAnsi="Arial" w:cs="Arial"/>
                <w:b/>
                <w:sz w:val="22"/>
                <w:szCs w:val="22"/>
              </w:rPr>
              <w:t>Investigations</w:t>
            </w:r>
          </w:p>
          <w:p w14:paraId="12BC813B"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ab/>
              <w:t xml:space="preserve">TSH normal or decreased, </w:t>
            </w:r>
            <w:r w:rsidR="001E0CFC" w:rsidRPr="00735ABA">
              <w:rPr>
                <w:rFonts w:ascii="Arial" w:hAnsi="Arial" w:cs="Arial"/>
                <w:sz w:val="22"/>
                <w:szCs w:val="22"/>
              </w:rPr>
              <w:t xml:space="preserve">normal </w:t>
            </w:r>
            <w:r w:rsidRPr="00735ABA">
              <w:rPr>
                <w:rFonts w:ascii="Arial" w:hAnsi="Arial" w:cs="Arial"/>
                <w:sz w:val="22"/>
                <w:szCs w:val="22"/>
              </w:rPr>
              <w:t xml:space="preserve">free T4, and free T3, </w:t>
            </w:r>
          </w:p>
          <w:p w14:paraId="64B661C3"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ab/>
            </w:r>
            <w:r w:rsidR="001E0CFC" w:rsidRPr="00735ABA">
              <w:rPr>
                <w:rFonts w:ascii="Arial" w:hAnsi="Arial" w:cs="Arial"/>
                <w:sz w:val="22"/>
                <w:szCs w:val="22"/>
              </w:rPr>
              <w:t xml:space="preserve">Serum </w:t>
            </w:r>
            <w:r w:rsidRPr="00735ABA">
              <w:rPr>
                <w:rFonts w:ascii="Arial" w:hAnsi="Arial" w:cs="Arial"/>
                <w:sz w:val="22"/>
                <w:szCs w:val="22"/>
              </w:rPr>
              <w:t>Tg usually elevated</w:t>
            </w:r>
          </w:p>
          <w:p w14:paraId="43D171EC"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ab/>
              <w:t>Thyroid autoantibodies (TPO and Tg) usually negative</w:t>
            </w:r>
          </w:p>
          <w:p w14:paraId="550C3CC8"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ab/>
              <w:t>Scintigraphy with solitary or multiple hot and/or cold areas</w:t>
            </w:r>
          </w:p>
          <w:p w14:paraId="51849A86"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ab/>
              <w:t>Ultrasound finding of solitary or multiple nodules with varying</w:t>
            </w:r>
          </w:p>
          <w:p w14:paraId="6728E6A9"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 xml:space="preserve">  </w:t>
            </w:r>
            <w:r w:rsidRPr="00735ABA">
              <w:rPr>
                <w:rFonts w:ascii="Arial" w:hAnsi="Arial" w:cs="Arial"/>
                <w:sz w:val="22"/>
                <w:szCs w:val="22"/>
              </w:rPr>
              <w:tab/>
            </w:r>
            <w:r w:rsidRPr="00735ABA">
              <w:rPr>
                <w:rFonts w:ascii="Arial" w:hAnsi="Arial" w:cs="Arial"/>
                <w:sz w:val="22"/>
                <w:szCs w:val="22"/>
              </w:rPr>
              <w:tab/>
              <w:t>echogenicity (nonhomogeneity)</w:t>
            </w:r>
          </w:p>
          <w:p w14:paraId="2725D563"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 xml:space="preserve">    </w:t>
            </w:r>
            <w:r w:rsidRPr="00735ABA">
              <w:rPr>
                <w:rFonts w:ascii="Arial" w:hAnsi="Arial" w:cs="Arial"/>
                <w:sz w:val="22"/>
                <w:szCs w:val="22"/>
              </w:rPr>
              <w:tab/>
              <w:t>Computed tomography and MR imaging demonstrating solitary or</w:t>
            </w:r>
          </w:p>
          <w:p w14:paraId="7177F155"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ab/>
            </w:r>
            <w:r w:rsidRPr="00735ABA">
              <w:rPr>
                <w:rFonts w:ascii="Arial" w:hAnsi="Arial" w:cs="Arial"/>
                <w:sz w:val="22"/>
                <w:szCs w:val="22"/>
              </w:rPr>
              <w:tab/>
              <w:t>multiple nodules with varying echogenicity</w:t>
            </w:r>
          </w:p>
          <w:p w14:paraId="217236D4" w14:textId="77777777" w:rsidR="00CE314F" w:rsidRPr="00735ABA" w:rsidRDefault="00CE314F" w:rsidP="00862297">
            <w:pPr>
              <w:ind w:right="-136"/>
              <w:rPr>
                <w:rFonts w:ascii="Arial" w:hAnsi="Arial" w:cs="Arial"/>
                <w:sz w:val="22"/>
                <w:szCs w:val="22"/>
              </w:rPr>
            </w:pPr>
            <w:r w:rsidRPr="00735ABA">
              <w:rPr>
                <w:rFonts w:ascii="Arial" w:hAnsi="Arial" w:cs="Arial"/>
                <w:sz w:val="22"/>
                <w:szCs w:val="22"/>
              </w:rPr>
              <w:tab/>
              <w:t>Lung function testing may demonstrate impaired inspiratory capacity</w:t>
            </w:r>
          </w:p>
          <w:p w14:paraId="35AE1AB0" w14:textId="77777777" w:rsidR="00CE314F" w:rsidRPr="00735ABA" w:rsidRDefault="00CE314F" w:rsidP="00862297">
            <w:pPr>
              <w:pBdr>
                <w:bottom w:val="single" w:sz="12" w:space="1" w:color="auto"/>
              </w:pBdr>
              <w:ind w:right="-136"/>
              <w:rPr>
                <w:rFonts w:ascii="Arial" w:hAnsi="Arial" w:cs="Arial"/>
                <w:sz w:val="22"/>
                <w:szCs w:val="22"/>
              </w:rPr>
            </w:pPr>
            <w:r w:rsidRPr="00735ABA">
              <w:rPr>
                <w:rFonts w:ascii="Arial" w:hAnsi="Arial" w:cs="Arial"/>
                <w:sz w:val="22"/>
                <w:szCs w:val="22"/>
              </w:rPr>
              <w:tab/>
              <w:t>Fine-needle aspiration of solitary or dominant nodules – benign cytology</w:t>
            </w:r>
          </w:p>
          <w:p w14:paraId="7342AA33" w14:textId="77777777" w:rsidR="00900DA3" w:rsidRPr="00735ABA" w:rsidRDefault="00900DA3" w:rsidP="00862297">
            <w:pPr>
              <w:ind w:right="-136"/>
              <w:rPr>
                <w:rFonts w:ascii="Arial" w:hAnsi="Arial" w:cs="Arial"/>
                <w:sz w:val="22"/>
                <w:szCs w:val="22"/>
              </w:rPr>
            </w:pPr>
          </w:p>
          <w:p w14:paraId="5F8865AE" w14:textId="6C3259AD" w:rsidR="00CE314F" w:rsidRPr="00735ABA" w:rsidRDefault="00900DA3" w:rsidP="00862297">
            <w:pPr>
              <w:ind w:right="-136"/>
              <w:rPr>
                <w:rFonts w:ascii="Arial" w:hAnsi="Arial" w:cs="Arial"/>
                <w:sz w:val="22"/>
                <w:szCs w:val="22"/>
              </w:rPr>
            </w:pPr>
            <w:r w:rsidRPr="00735ABA">
              <w:rPr>
                <w:rFonts w:ascii="Arial" w:hAnsi="Arial" w:cs="Arial"/>
                <w:sz w:val="22"/>
                <w:szCs w:val="22"/>
              </w:rPr>
              <w:t>Modified and adapted from Hegedus et al (</w:t>
            </w:r>
            <w:r w:rsidR="00271689">
              <w:rPr>
                <w:rFonts w:ascii="Arial" w:hAnsi="Arial" w:cs="Arial"/>
                <w:sz w:val="22"/>
                <w:szCs w:val="22"/>
              </w:rPr>
              <w:t>24</w:t>
            </w:r>
            <w:r w:rsidRPr="00735ABA">
              <w:rPr>
                <w:rFonts w:ascii="Arial" w:hAnsi="Arial" w:cs="Arial"/>
                <w:sz w:val="22"/>
                <w:szCs w:val="22"/>
              </w:rPr>
              <w:t>)</w:t>
            </w:r>
          </w:p>
          <w:p w14:paraId="0EB1A77F" w14:textId="77777777" w:rsidR="00900DA3" w:rsidRPr="00735ABA" w:rsidRDefault="00900DA3" w:rsidP="00862297">
            <w:pPr>
              <w:ind w:right="-136"/>
              <w:rPr>
                <w:rFonts w:ascii="Arial" w:hAnsi="Arial" w:cs="Arial"/>
                <w:sz w:val="22"/>
                <w:szCs w:val="22"/>
              </w:rPr>
            </w:pPr>
          </w:p>
        </w:tc>
      </w:tr>
    </w:tbl>
    <w:p w14:paraId="74545C4D" w14:textId="77777777" w:rsidR="003B305B" w:rsidRPr="00735ABA" w:rsidRDefault="003B305B" w:rsidP="00E315B0">
      <w:pPr>
        <w:pStyle w:val="Heading2"/>
        <w:rPr>
          <w:sz w:val="22"/>
          <w:szCs w:val="22"/>
        </w:rPr>
      </w:pPr>
    </w:p>
    <w:p w14:paraId="6365F367" w14:textId="77777777" w:rsidR="00AA491A" w:rsidRPr="00735ABA" w:rsidRDefault="00AA491A" w:rsidP="00E315B0">
      <w:pPr>
        <w:pStyle w:val="Heading2"/>
        <w:rPr>
          <w:sz w:val="22"/>
          <w:szCs w:val="22"/>
        </w:rPr>
      </w:pPr>
      <w:r w:rsidRPr="00735ABA">
        <w:rPr>
          <w:sz w:val="22"/>
          <w:szCs w:val="22"/>
        </w:rPr>
        <w:t>Laboratory investigation</w:t>
      </w:r>
    </w:p>
    <w:p w14:paraId="593792F4" w14:textId="62A73F6D" w:rsidR="00AA491A" w:rsidRPr="00735ABA" w:rsidRDefault="00AA491A" w:rsidP="00B55FE6">
      <w:pPr>
        <w:ind w:right="-136"/>
        <w:rPr>
          <w:rFonts w:ascii="Arial" w:hAnsi="Arial" w:cs="Arial"/>
          <w:sz w:val="22"/>
          <w:szCs w:val="22"/>
        </w:rPr>
      </w:pPr>
      <w:r w:rsidRPr="00735ABA">
        <w:rPr>
          <w:rFonts w:ascii="Arial" w:hAnsi="Arial" w:cs="Arial"/>
          <w:sz w:val="22"/>
          <w:szCs w:val="22"/>
        </w:rPr>
        <w:t>The choice of tests to investigate the functional status of a patient with a Simple diffuse goiter or Multinodular goiter may differ depending on the geographic areas of the world. Recent surveys conducted in the American, European and Latin American Thyroid Associations have indicated that the North American thyroidologists are quite restrictive in the choice of laboratory tests. Most of the experts, however, would perform a serum TSH and serum Free T4 test. In other settings Total T4 and Total T3 are also included because of the preferen</w:t>
      </w:r>
      <w:r w:rsidR="00B452D1" w:rsidRPr="00735ABA">
        <w:rPr>
          <w:rFonts w:ascii="Arial" w:hAnsi="Arial" w:cs="Arial"/>
          <w:sz w:val="22"/>
          <w:szCs w:val="22"/>
        </w:rPr>
        <w:t>tial secretion of T3 over T4 in</w:t>
      </w:r>
      <w:r w:rsidRPr="00735ABA">
        <w:rPr>
          <w:rFonts w:ascii="Arial" w:hAnsi="Arial" w:cs="Arial"/>
          <w:sz w:val="22"/>
          <w:szCs w:val="22"/>
        </w:rPr>
        <w:t xml:space="preserve"> mild iodine deficiency (</w:t>
      </w:r>
      <w:r w:rsidR="008409B7">
        <w:rPr>
          <w:rFonts w:ascii="Arial" w:hAnsi="Arial" w:cs="Arial"/>
          <w:sz w:val="22"/>
          <w:szCs w:val="22"/>
        </w:rPr>
        <w:t>5</w:t>
      </w:r>
      <w:r w:rsidRPr="00735ABA">
        <w:rPr>
          <w:rFonts w:ascii="Arial" w:hAnsi="Arial" w:cs="Arial"/>
          <w:sz w:val="22"/>
          <w:szCs w:val="22"/>
        </w:rPr>
        <w:t xml:space="preserve">3). </w:t>
      </w:r>
    </w:p>
    <w:p w14:paraId="440D80FE" w14:textId="77777777" w:rsidR="00AA491A" w:rsidRPr="00735ABA" w:rsidRDefault="00AA491A" w:rsidP="00B55FE6">
      <w:pPr>
        <w:ind w:right="-136"/>
        <w:rPr>
          <w:rFonts w:ascii="Arial" w:hAnsi="Arial" w:cs="Arial"/>
          <w:sz w:val="22"/>
          <w:szCs w:val="22"/>
        </w:rPr>
      </w:pPr>
    </w:p>
    <w:p w14:paraId="551A6EC2" w14:textId="77777777" w:rsidR="00AA491A" w:rsidRPr="00735ABA" w:rsidRDefault="00AA491A" w:rsidP="00B55FE6">
      <w:pPr>
        <w:ind w:right="-136"/>
        <w:rPr>
          <w:rFonts w:ascii="Arial" w:hAnsi="Arial" w:cs="Arial"/>
          <w:sz w:val="22"/>
          <w:szCs w:val="22"/>
        </w:rPr>
      </w:pPr>
      <w:r w:rsidRPr="00735ABA">
        <w:rPr>
          <w:rFonts w:ascii="Arial" w:hAnsi="Arial" w:cs="Arial"/>
          <w:sz w:val="22"/>
          <w:szCs w:val="22"/>
        </w:rPr>
        <w:t>Antibodies against thyro-peroxidase (anti-TPO) and thyroglobulin (anti-TG) are measured, routinely, by most Europeans and Latin Americans thyroidologists. This seems to be relevant because thyroid auto antibodies are found approximately in 10% of the population and, consequently, autoimmunity may coexist with a goiter. Also diffuse or focal lymphocytic infiltration in an enlarged gland may represent chronic autoimmune thyroiditis.</w:t>
      </w:r>
    </w:p>
    <w:p w14:paraId="7217E430" w14:textId="77777777" w:rsidR="00AA491A" w:rsidRPr="00735ABA" w:rsidRDefault="00AA491A" w:rsidP="00B55FE6">
      <w:pPr>
        <w:ind w:right="-136"/>
        <w:rPr>
          <w:rFonts w:ascii="Arial" w:hAnsi="Arial" w:cs="Arial"/>
          <w:sz w:val="22"/>
          <w:szCs w:val="22"/>
        </w:rPr>
      </w:pPr>
      <w:r w:rsidRPr="00735ABA">
        <w:rPr>
          <w:rFonts w:ascii="Arial" w:hAnsi="Arial" w:cs="Arial"/>
          <w:sz w:val="22"/>
          <w:szCs w:val="22"/>
        </w:rPr>
        <w:t>Although serum TG correlates with the iodine status and the size of the enlarged thyroid gland it has little or no value in the diagnosis of goiter.</w:t>
      </w:r>
    </w:p>
    <w:p w14:paraId="1999EBDE" w14:textId="77777777" w:rsidR="00AA491A" w:rsidRPr="00735ABA" w:rsidRDefault="00AA491A" w:rsidP="00B55FE6">
      <w:pPr>
        <w:ind w:right="-136"/>
        <w:rPr>
          <w:rFonts w:ascii="Arial" w:hAnsi="Arial" w:cs="Arial"/>
          <w:sz w:val="22"/>
          <w:szCs w:val="22"/>
        </w:rPr>
      </w:pPr>
    </w:p>
    <w:p w14:paraId="40FA62D0" w14:textId="77777777" w:rsidR="00AA491A" w:rsidRPr="00735ABA" w:rsidRDefault="00AA491A" w:rsidP="00E315B0">
      <w:pPr>
        <w:pStyle w:val="Heading2"/>
        <w:rPr>
          <w:sz w:val="22"/>
          <w:szCs w:val="22"/>
        </w:rPr>
      </w:pPr>
      <w:r w:rsidRPr="00735ABA">
        <w:rPr>
          <w:sz w:val="22"/>
          <w:szCs w:val="22"/>
        </w:rPr>
        <w:lastRenderedPageBreak/>
        <w:t>Diagnostic imaging</w:t>
      </w:r>
    </w:p>
    <w:p w14:paraId="60ADA41F" w14:textId="453922EC" w:rsidR="00AA491A" w:rsidRPr="00735ABA" w:rsidRDefault="00AA491A" w:rsidP="00B55FE6">
      <w:pPr>
        <w:ind w:right="-136"/>
        <w:rPr>
          <w:rFonts w:ascii="Arial" w:hAnsi="Arial" w:cs="Arial"/>
          <w:sz w:val="22"/>
          <w:szCs w:val="22"/>
        </w:rPr>
      </w:pPr>
      <w:r w:rsidRPr="00735ABA">
        <w:rPr>
          <w:rFonts w:ascii="Arial" w:hAnsi="Arial" w:cs="Arial"/>
          <w:sz w:val="22"/>
          <w:szCs w:val="22"/>
        </w:rPr>
        <w:t>Neck palpation is notoriously imprecise with regard to thyroid morphology and size estimation (8</w:t>
      </w:r>
      <w:r w:rsidR="00CE2D6C">
        <w:rPr>
          <w:rFonts w:ascii="Arial" w:hAnsi="Arial" w:cs="Arial"/>
          <w:sz w:val="22"/>
          <w:szCs w:val="22"/>
        </w:rPr>
        <w:t>5</w:t>
      </w:r>
      <w:r w:rsidRPr="00735ABA">
        <w:rPr>
          <w:rFonts w:ascii="Arial" w:hAnsi="Arial" w:cs="Arial"/>
          <w:sz w:val="22"/>
          <w:szCs w:val="22"/>
        </w:rPr>
        <w:t>). Several imaging methods are available in most settings: scintilography (with radioiodine, technetium), ultrasonography, computed tomography scans, magnetic resonance imaging and, less frequently used, positron emission tomography (PET). In Table 17-5 it is listed the characteristics, advantages and disadvantages of these imaging methods.</w:t>
      </w:r>
    </w:p>
    <w:p w14:paraId="007E1BF2" w14:textId="77777777" w:rsidR="00AA491A" w:rsidRPr="00735ABA" w:rsidRDefault="00AA491A" w:rsidP="00B55FE6">
      <w:pPr>
        <w:ind w:right="-136"/>
        <w:rPr>
          <w:rFonts w:ascii="Arial" w:hAnsi="Arial" w:cs="Arial"/>
          <w:sz w:val="22"/>
          <w:szCs w:val="22"/>
        </w:rPr>
      </w:pPr>
    </w:p>
    <w:p w14:paraId="0102CEDC" w14:textId="77777777" w:rsidR="00AA491A" w:rsidRPr="00735ABA" w:rsidRDefault="00AA491A" w:rsidP="00B55FE6">
      <w:pPr>
        <w:pStyle w:val="Heading2"/>
        <w:rPr>
          <w:sz w:val="22"/>
          <w:szCs w:val="22"/>
        </w:rPr>
      </w:pPr>
      <w:r w:rsidRPr="00735ABA">
        <w:rPr>
          <w:sz w:val="22"/>
          <w:szCs w:val="22"/>
        </w:rPr>
        <w:t>Ultrasonography of the thyroid</w:t>
      </w:r>
    </w:p>
    <w:p w14:paraId="63C68D63" w14:textId="0853B6C3" w:rsidR="00AA491A" w:rsidRPr="00735ABA" w:rsidRDefault="00AA491A" w:rsidP="00B55FE6">
      <w:pPr>
        <w:ind w:right="-136"/>
        <w:rPr>
          <w:rFonts w:ascii="Arial" w:hAnsi="Arial" w:cs="Arial"/>
          <w:sz w:val="22"/>
          <w:szCs w:val="22"/>
        </w:rPr>
      </w:pPr>
      <w:r w:rsidRPr="00735ABA">
        <w:rPr>
          <w:rFonts w:ascii="Arial" w:hAnsi="Arial" w:cs="Arial"/>
          <w:sz w:val="22"/>
          <w:szCs w:val="22"/>
        </w:rPr>
        <w:t>The main reasons for the widespread use of thyroid sonography are availability (several portable models are widely available at a relatively affordable price), the low cost of the procedure (if performed in the office or in the thyroid clinic), limited discomfort for the patient, and the non ionizing nature of the method. Ultrasonography may detect non palpable nodules cysts, will estimate nodule and goiter size (volume), will monitor the changes following therapy and will guide the Fine Needle Aspiration Biopsy (FNAB). After the introduction of ultrasonography it has become clear that nodules in the thyroid gland are very prevalent, ranging from 17% to 60% if older people are included in the study (8</w:t>
      </w:r>
      <w:r w:rsidR="00CE2D6C">
        <w:rPr>
          <w:rFonts w:ascii="Arial" w:hAnsi="Arial" w:cs="Arial"/>
          <w:sz w:val="22"/>
          <w:szCs w:val="22"/>
        </w:rPr>
        <w:t>5</w:t>
      </w:r>
      <w:r w:rsidRPr="00735ABA">
        <w:rPr>
          <w:rFonts w:ascii="Arial" w:hAnsi="Arial" w:cs="Arial"/>
          <w:sz w:val="22"/>
          <w:szCs w:val="22"/>
        </w:rPr>
        <w:t>-9</w:t>
      </w:r>
      <w:r w:rsidR="00CE2D6C">
        <w:rPr>
          <w:rFonts w:ascii="Arial" w:hAnsi="Arial" w:cs="Arial"/>
          <w:sz w:val="22"/>
          <w:szCs w:val="22"/>
        </w:rPr>
        <w:t>5</w:t>
      </w:r>
      <w:r w:rsidRPr="00735ABA">
        <w:rPr>
          <w:rFonts w:ascii="Arial" w:hAnsi="Arial" w:cs="Arial"/>
          <w:sz w:val="22"/>
          <w:szCs w:val="22"/>
        </w:rPr>
        <w:t>).</w:t>
      </w:r>
    </w:p>
    <w:p w14:paraId="532AEE88" w14:textId="77777777" w:rsidR="00AA491A" w:rsidRPr="00735ABA" w:rsidRDefault="00AA491A" w:rsidP="00B55FE6">
      <w:pPr>
        <w:ind w:right="-136"/>
        <w:rPr>
          <w:rFonts w:ascii="Arial" w:hAnsi="Arial" w:cs="Arial"/>
          <w:sz w:val="22"/>
          <w:szCs w:val="22"/>
        </w:rPr>
      </w:pPr>
    </w:p>
    <w:p w14:paraId="310DC7A6" w14:textId="77777777" w:rsidR="00AA491A" w:rsidRPr="00735ABA" w:rsidRDefault="00AA491A" w:rsidP="00B55FE6">
      <w:pPr>
        <w:ind w:right="-136"/>
        <w:rPr>
          <w:rFonts w:ascii="Arial" w:hAnsi="Arial" w:cs="Arial"/>
          <w:sz w:val="22"/>
          <w:szCs w:val="22"/>
        </w:rPr>
      </w:pPr>
      <w:r w:rsidRPr="00735ABA">
        <w:rPr>
          <w:rFonts w:ascii="Arial" w:hAnsi="Arial" w:cs="Arial"/>
          <w:sz w:val="22"/>
          <w:szCs w:val="22"/>
        </w:rPr>
        <w:t>Hypoechogenicity, micro-calcifications, indistinct borders</w:t>
      </w:r>
      <w:r w:rsidR="00972DA6" w:rsidRPr="00735ABA">
        <w:rPr>
          <w:rFonts w:ascii="Arial" w:hAnsi="Arial" w:cs="Arial"/>
          <w:sz w:val="22"/>
          <w:szCs w:val="22"/>
        </w:rPr>
        <w:t>,</w:t>
      </w:r>
      <w:r w:rsidRPr="00735ABA">
        <w:rPr>
          <w:rFonts w:ascii="Arial" w:hAnsi="Arial" w:cs="Arial"/>
          <w:sz w:val="22"/>
          <w:szCs w:val="22"/>
        </w:rPr>
        <w:t xml:space="preserve"> </w:t>
      </w:r>
      <w:proofErr w:type="gramStart"/>
      <w:r w:rsidRPr="00735ABA">
        <w:rPr>
          <w:rFonts w:ascii="Arial" w:hAnsi="Arial" w:cs="Arial"/>
          <w:sz w:val="22"/>
          <w:szCs w:val="22"/>
        </w:rPr>
        <w:t>increased nodular flow</w:t>
      </w:r>
      <w:proofErr w:type="gramEnd"/>
      <w:r w:rsidRPr="00735ABA">
        <w:rPr>
          <w:rFonts w:ascii="Arial" w:hAnsi="Arial" w:cs="Arial"/>
          <w:sz w:val="22"/>
          <w:szCs w:val="22"/>
        </w:rPr>
        <w:t xml:space="preserve"> (visualized by DOPPLER) may have predictive value in distinguishing malignant from benign nodules (even in Multinodular Goiters).</w:t>
      </w:r>
    </w:p>
    <w:p w14:paraId="78B108E3" w14:textId="77777777" w:rsidR="00AA491A" w:rsidRPr="00735ABA" w:rsidRDefault="00AA491A" w:rsidP="00B55FE6">
      <w:pPr>
        <w:ind w:right="-136"/>
        <w:rPr>
          <w:rFonts w:ascii="Arial" w:hAnsi="Arial" w:cs="Arial"/>
          <w:sz w:val="22"/>
          <w:szCs w:val="22"/>
        </w:rPr>
      </w:pPr>
    </w:p>
    <w:p w14:paraId="3AAEE7A6" w14:textId="3943B534" w:rsidR="00AA491A" w:rsidRDefault="00AA491A" w:rsidP="00B55FE6">
      <w:pPr>
        <w:ind w:right="-136"/>
        <w:rPr>
          <w:rFonts w:ascii="Arial" w:hAnsi="Arial" w:cs="Arial"/>
          <w:sz w:val="22"/>
          <w:szCs w:val="22"/>
        </w:rPr>
      </w:pPr>
      <w:r w:rsidRPr="00735ABA">
        <w:rPr>
          <w:rFonts w:ascii="Arial" w:hAnsi="Arial" w:cs="Arial"/>
          <w:sz w:val="22"/>
          <w:szCs w:val="22"/>
        </w:rPr>
        <w:t>The possibility of measuring thyroid volume is another highly useful feature of ultrasonographic studies particularly after therapy with L-T4 or radioiodine ablation. The volume of the goiter is usually based on the ellipsoid method (length, width depth X pi/6). This has an observer coefficient of variation of more than 10%.</w:t>
      </w:r>
      <w:r w:rsidR="00B11AE0">
        <w:rPr>
          <w:rFonts w:ascii="Arial" w:hAnsi="Arial" w:cs="Arial"/>
          <w:sz w:val="22"/>
          <w:szCs w:val="22"/>
        </w:rPr>
        <w:t xml:space="preserve"> </w:t>
      </w:r>
      <w:r w:rsidRPr="00735ABA">
        <w:rPr>
          <w:rFonts w:ascii="Arial" w:hAnsi="Arial" w:cs="Arial"/>
          <w:sz w:val="22"/>
          <w:szCs w:val="22"/>
        </w:rPr>
        <w:t>When compared to CT planimetry the ellipsoid method underestimate the goiter volume by 20%. Ultrasonography can not evaluate a multinodular goiter that has partially migrated to the upper mediastinum.</w:t>
      </w:r>
    </w:p>
    <w:p w14:paraId="758B4DAD" w14:textId="77777777" w:rsidR="00B11AE0" w:rsidRPr="00735ABA" w:rsidRDefault="00B11AE0" w:rsidP="00B55FE6">
      <w:pPr>
        <w:ind w:right="-136"/>
        <w:rPr>
          <w:rFonts w:ascii="Arial" w:hAnsi="Arial" w:cs="Arial"/>
          <w:sz w:val="22"/>
          <w:szCs w:val="22"/>
        </w:rPr>
      </w:pPr>
    </w:p>
    <w:p w14:paraId="62F99675" w14:textId="606C362A" w:rsidR="003944AB" w:rsidRPr="008250DA" w:rsidRDefault="00073BE2" w:rsidP="00B55FE6">
      <w:pPr>
        <w:ind w:right="-136"/>
        <w:rPr>
          <w:rFonts w:ascii="Arial" w:hAnsi="Arial" w:cs="Arial"/>
          <w:sz w:val="22"/>
          <w:szCs w:val="22"/>
        </w:rPr>
      </w:pPr>
      <w:r w:rsidRPr="00073BE2">
        <w:rPr>
          <w:rFonts w:ascii="Arial" w:hAnsi="Arial" w:cs="Arial"/>
          <w:sz w:val="22"/>
          <w:szCs w:val="22"/>
        </w:rPr>
        <w:t xml:space="preserve">Ultrasound elastography can also </w:t>
      </w:r>
      <w:r w:rsidR="00B10738">
        <w:rPr>
          <w:rFonts w:ascii="Arial" w:hAnsi="Arial" w:cs="Arial"/>
          <w:sz w:val="22"/>
          <w:szCs w:val="22"/>
        </w:rPr>
        <w:t>provide</w:t>
      </w:r>
      <w:r w:rsidRPr="00073BE2">
        <w:rPr>
          <w:rFonts w:ascii="Arial" w:hAnsi="Arial" w:cs="Arial"/>
          <w:sz w:val="22"/>
          <w:szCs w:val="22"/>
        </w:rPr>
        <w:t xml:space="preserve"> information regarding malignant risk of thyroid nodules and multinodular goiter, however with questionable sensitivity</w:t>
      </w:r>
      <w:r w:rsidR="00BC78C7">
        <w:rPr>
          <w:rFonts w:ascii="Arial" w:hAnsi="Arial" w:cs="Arial"/>
          <w:sz w:val="22"/>
          <w:szCs w:val="22"/>
        </w:rPr>
        <w:t xml:space="preserve"> (75%) and specificity (45,73%)</w:t>
      </w:r>
      <w:r w:rsidRPr="00073BE2">
        <w:rPr>
          <w:rFonts w:ascii="Arial" w:hAnsi="Arial" w:cs="Arial"/>
          <w:sz w:val="22"/>
          <w:szCs w:val="22"/>
        </w:rPr>
        <w:t xml:space="preserve"> (</w:t>
      </w:r>
      <w:r w:rsidR="00CE2D6C">
        <w:rPr>
          <w:rFonts w:ascii="Arial" w:hAnsi="Arial" w:cs="Arial"/>
          <w:sz w:val="22"/>
          <w:szCs w:val="22"/>
        </w:rPr>
        <w:t>96</w:t>
      </w:r>
      <w:r w:rsidRPr="00073BE2">
        <w:rPr>
          <w:rFonts w:ascii="Arial" w:hAnsi="Arial" w:cs="Arial"/>
          <w:sz w:val="22"/>
          <w:szCs w:val="22"/>
        </w:rPr>
        <w:t>).</w:t>
      </w:r>
    </w:p>
    <w:p w14:paraId="5C75755A" w14:textId="77777777" w:rsidR="00AA491A" w:rsidRPr="008250DA" w:rsidRDefault="00AA491A" w:rsidP="00B55FE6">
      <w:pPr>
        <w:pStyle w:val="Heading2"/>
        <w:rPr>
          <w:sz w:val="22"/>
          <w:szCs w:val="22"/>
        </w:rPr>
      </w:pPr>
      <w:r w:rsidRPr="008250DA">
        <w:rPr>
          <w:sz w:val="22"/>
          <w:szCs w:val="22"/>
        </w:rPr>
        <w:t>Scintigraphy (isotope imaging)</w:t>
      </w:r>
    </w:p>
    <w:p w14:paraId="2123F595" w14:textId="202CA821" w:rsidR="00AA491A" w:rsidRPr="00735ABA" w:rsidRDefault="00AA491A" w:rsidP="00B55FE6">
      <w:pPr>
        <w:ind w:right="-136"/>
        <w:rPr>
          <w:rFonts w:ascii="Arial" w:hAnsi="Arial" w:cs="Arial"/>
          <w:sz w:val="22"/>
          <w:szCs w:val="22"/>
        </w:rPr>
      </w:pPr>
      <w:r w:rsidRPr="00E82DBF">
        <w:rPr>
          <w:rFonts w:ascii="Arial" w:hAnsi="Arial" w:cs="Arial"/>
          <w:sz w:val="22"/>
          <w:szCs w:val="22"/>
        </w:rPr>
        <w:t>It was used routinely in the past but at present has little place in the evaluation of a multinodular goiter (</w:t>
      </w:r>
      <w:r w:rsidR="00CE2D6C">
        <w:rPr>
          <w:rFonts w:ascii="Arial" w:hAnsi="Arial" w:cs="Arial"/>
          <w:sz w:val="22"/>
          <w:szCs w:val="22"/>
        </w:rPr>
        <w:t>97</w:t>
      </w:r>
      <w:r w:rsidRPr="00E82DBF">
        <w:rPr>
          <w:rFonts w:ascii="Arial" w:hAnsi="Arial" w:cs="Arial"/>
          <w:sz w:val="22"/>
          <w:szCs w:val="22"/>
        </w:rPr>
        <w:t>-10</w:t>
      </w:r>
      <w:r w:rsidR="00CE2D6C">
        <w:rPr>
          <w:rFonts w:ascii="Arial" w:hAnsi="Arial" w:cs="Arial"/>
          <w:sz w:val="22"/>
          <w:szCs w:val="22"/>
        </w:rPr>
        <w:t>1</w:t>
      </w:r>
      <w:r w:rsidRPr="00E82DBF">
        <w:rPr>
          <w:rFonts w:ascii="Arial" w:hAnsi="Arial" w:cs="Arial"/>
          <w:sz w:val="22"/>
          <w:szCs w:val="22"/>
        </w:rPr>
        <w:t xml:space="preserve">). It </w:t>
      </w:r>
      <w:r w:rsidRPr="00735ABA">
        <w:rPr>
          <w:rFonts w:ascii="Arial" w:hAnsi="Arial" w:cs="Arial"/>
          <w:sz w:val="22"/>
          <w:szCs w:val="22"/>
        </w:rPr>
        <w:t>is helpful in the determination of the functionality of the various nodules of a MNG. Thyroid scintigrams have been used through many years for measurement of the thyroid volume but compared to other methods is very inaccurate (</w:t>
      </w:r>
      <w:r w:rsidR="00271689">
        <w:rPr>
          <w:rFonts w:ascii="Arial" w:hAnsi="Arial" w:cs="Arial"/>
          <w:sz w:val="22"/>
          <w:szCs w:val="22"/>
        </w:rPr>
        <w:t>24</w:t>
      </w:r>
      <w:r w:rsidRPr="00735ABA">
        <w:rPr>
          <w:rFonts w:ascii="Arial" w:hAnsi="Arial" w:cs="Arial"/>
          <w:sz w:val="22"/>
          <w:szCs w:val="22"/>
        </w:rPr>
        <w:t xml:space="preserve">). </w:t>
      </w:r>
    </w:p>
    <w:p w14:paraId="7B912094" w14:textId="77777777" w:rsidR="00AA491A" w:rsidRPr="00735ABA" w:rsidRDefault="00AA491A" w:rsidP="00B55FE6">
      <w:pPr>
        <w:ind w:right="-136"/>
        <w:rPr>
          <w:rFonts w:ascii="Arial" w:hAnsi="Arial" w:cs="Arial"/>
          <w:sz w:val="22"/>
          <w:szCs w:val="22"/>
        </w:rPr>
      </w:pPr>
    </w:p>
    <w:p w14:paraId="099BCA9A" w14:textId="77777777" w:rsidR="00AA491A" w:rsidRPr="00735ABA" w:rsidRDefault="00AA491A" w:rsidP="00B55FE6">
      <w:pPr>
        <w:pStyle w:val="Heading2"/>
        <w:rPr>
          <w:sz w:val="22"/>
          <w:szCs w:val="22"/>
        </w:rPr>
      </w:pPr>
      <w:r w:rsidRPr="00735ABA">
        <w:rPr>
          <w:sz w:val="22"/>
          <w:szCs w:val="22"/>
        </w:rPr>
        <w:t>Computed tomography (CT) and Magnetic resonance (MR)</w:t>
      </w:r>
    </w:p>
    <w:p w14:paraId="38B81ABC" w14:textId="22655CAC" w:rsidR="00AA491A" w:rsidRPr="00735ABA" w:rsidRDefault="00AA491A" w:rsidP="00B55FE6">
      <w:pPr>
        <w:ind w:right="-136"/>
        <w:rPr>
          <w:rFonts w:ascii="Arial" w:hAnsi="Arial" w:cs="Arial"/>
          <w:sz w:val="22"/>
          <w:szCs w:val="22"/>
        </w:rPr>
      </w:pPr>
      <w:r w:rsidRPr="00735ABA">
        <w:rPr>
          <w:rFonts w:ascii="Arial" w:hAnsi="Arial" w:cs="Arial"/>
          <w:sz w:val="22"/>
          <w:szCs w:val="22"/>
        </w:rPr>
        <w:t>CT and MR provide high-resolution visualization of the goiter (Simple diffuse, multinodular). The major strength of CT and MR is their ability to diagnose and assess the extent of subesternal goiters (Fig. 17-7). Another advantage of the CT is the possibility for planimetric volume estimations, quite useful in irregularly enlarged multinodular goiter (</w:t>
      </w:r>
      <w:r w:rsidR="00CE2D6C">
        <w:rPr>
          <w:rFonts w:ascii="Arial" w:hAnsi="Arial" w:cs="Arial"/>
          <w:sz w:val="22"/>
          <w:szCs w:val="22"/>
        </w:rPr>
        <w:t>102-105</w:t>
      </w:r>
      <w:r w:rsidRPr="00735ABA">
        <w:rPr>
          <w:rFonts w:ascii="Arial" w:hAnsi="Arial" w:cs="Arial"/>
          <w:sz w:val="22"/>
          <w:szCs w:val="22"/>
        </w:rPr>
        <w:t>).</w:t>
      </w:r>
    </w:p>
    <w:p w14:paraId="09E67F42" w14:textId="77777777" w:rsidR="00AA491A" w:rsidRPr="00735ABA" w:rsidRDefault="00AA491A" w:rsidP="00B55FE6">
      <w:pPr>
        <w:ind w:right="-136"/>
        <w:rPr>
          <w:rFonts w:ascii="Arial" w:hAnsi="Arial" w:cs="Arial"/>
          <w:sz w:val="22"/>
          <w:szCs w:val="22"/>
        </w:rPr>
      </w:pPr>
    </w:p>
    <w:p w14:paraId="6AACBC19" w14:textId="77777777" w:rsidR="00AA491A" w:rsidRPr="00735ABA" w:rsidRDefault="00AA491A" w:rsidP="00B55FE6">
      <w:pPr>
        <w:ind w:right="-136"/>
        <w:rPr>
          <w:rFonts w:ascii="Arial" w:hAnsi="Arial" w:cs="Arial"/>
          <w:sz w:val="22"/>
          <w:szCs w:val="22"/>
        </w:rPr>
      </w:pPr>
      <w:r w:rsidRPr="00735ABA">
        <w:rPr>
          <w:rFonts w:ascii="Arial" w:hAnsi="Arial" w:cs="Arial"/>
          <w:sz w:val="22"/>
          <w:szCs w:val="22"/>
        </w:rPr>
        <w:lastRenderedPageBreak/>
        <w:t>Recently the ionizing radiation delivered by a CT procedure has been source of concern for both clinicians and radiologists. Therefore the use of CT as an imaging method should be reserved for intra thoracic multinodular goiters, with tracheal compression.</w:t>
      </w:r>
    </w:p>
    <w:p w14:paraId="7FB902F7" w14:textId="77777777" w:rsidR="003B305B" w:rsidRPr="00735ABA" w:rsidRDefault="003B305B" w:rsidP="00B55FE6">
      <w:pPr>
        <w:ind w:right="-136"/>
        <w:rPr>
          <w:rFonts w:ascii="Arial" w:hAnsi="Arial" w:cs="Arial"/>
          <w:sz w:val="22"/>
          <w:szCs w:val="22"/>
        </w:rPr>
      </w:pPr>
    </w:p>
    <w:p w14:paraId="77B3AF8B" w14:textId="77777777" w:rsidR="00E315B0" w:rsidRPr="00735ABA" w:rsidRDefault="00E315B0" w:rsidP="00B55FE6">
      <w:pPr>
        <w:ind w:right="-13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356"/>
        <w:gridCol w:w="2952"/>
      </w:tblGrid>
      <w:tr w:rsidR="00E315B0" w:rsidRPr="00735ABA" w14:paraId="41CEBB11" w14:textId="77777777" w:rsidTr="00862297">
        <w:tc>
          <w:tcPr>
            <w:tcW w:w="8856" w:type="dxa"/>
            <w:gridSpan w:val="3"/>
            <w:shd w:val="clear" w:color="auto" w:fill="99CCFF"/>
          </w:tcPr>
          <w:p w14:paraId="43626467" w14:textId="77777777" w:rsidR="006349FE" w:rsidRPr="00735ABA" w:rsidRDefault="006349FE" w:rsidP="00862297">
            <w:pPr>
              <w:ind w:right="-136"/>
              <w:rPr>
                <w:rFonts w:ascii="Arial" w:hAnsi="Arial" w:cs="Arial"/>
                <w:b/>
                <w:sz w:val="22"/>
                <w:szCs w:val="22"/>
              </w:rPr>
            </w:pPr>
          </w:p>
          <w:p w14:paraId="30B29577" w14:textId="77777777" w:rsidR="00E315B0" w:rsidRPr="00735ABA" w:rsidRDefault="00E315B0" w:rsidP="00862297">
            <w:pPr>
              <w:ind w:right="-136"/>
              <w:rPr>
                <w:rFonts w:ascii="Arial" w:hAnsi="Arial" w:cs="Arial"/>
                <w:sz w:val="22"/>
                <w:szCs w:val="22"/>
              </w:rPr>
            </w:pPr>
            <w:r w:rsidRPr="00735ABA">
              <w:rPr>
                <w:rFonts w:ascii="Arial" w:hAnsi="Arial" w:cs="Arial"/>
                <w:b/>
                <w:sz w:val="22"/>
                <w:szCs w:val="22"/>
              </w:rPr>
              <w:t>Table 17-5</w:t>
            </w:r>
            <w:r w:rsidRPr="00735ABA">
              <w:rPr>
                <w:rFonts w:ascii="Arial" w:hAnsi="Arial" w:cs="Arial"/>
                <w:b/>
                <w:sz w:val="22"/>
                <w:szCs w:val="22"/>
              </w:rPr>
              <w:tab/>
            </w:r>
            <w:r w:rsidRPr="00735ABA">
              <w:rPr>
                <w:rFonts w:ascii="Arial" w:hAnsi="Arial" w:cs="Arial"/>
                <w:sz w:val="22"/>
                <w:szCs w:val="22"/>
              </w:rPr>
              <w:t>Characteristics of imaging procedures in relation to nodular thyroid disease</w:t>
            </w:r>
          </w:p>
          <w:p w14:paraId="4E1CCC19" w14:textId="77777777" w:rsidR="006349FE" w:rsidRPr="00735ABA" w:rsidRDefault="006349FE" w:rsidP="00862297">
            <w:pPr>
              <w:ind w:right="-136"/>
              <w:rPr>
                <w:rFonts w:ascii="Arial" w:hAnsi="Arial" w:cs="Arial"/>
                <w:sz w:val="22"/>
                <w:szCs w:val="22"/>
              </w:rPr>
            </w:pPr>
          </w:p>
        </w:tc>
      </w:tr>
      <w:tr w:rsidR="00E315B0" w:rsidRPr="00735ABA" w14:paraId="57E5F3A0" w14:textId="77777777" w:rsidTr="00862297">
        <w:tc>
          <w:tcPr>
            <w:tcW w:w="1548" w:type="dxa"/>
            <w:shd w:val="clear" w:color="auto" w:fill="auto"/>
          </w:tcPr>
          <w:p w14:paraId="32EB48CD" w14:textId="77777777" w:rsidR="00E315B0" w:rsidRPr="00735ABA" w:rsidRDefault="00E315B0" w:rsidP="00862297">
            <w:pPr>
              <w:ind w:right="-136"/>
              <w:rPr>
                <w:rFonts w:ascii="Arial" w:hAnsi="Arial" w:cs="Arial"/>
                <w:sz w:val="20"/>
                <w:szCs w:val="20"/>
              </w:rPr>
            </w:pPr>
          </w:p>
        </w:tc>
        <w:tc>
          <w:tcPr>
            <w:tcW w:w="4356" w:type="dxa"/>
            <w:shd w:val="clear" w:color="auto" w:fill="auto"/>
          </w:tcPr>
          <w:p w14:paraId="0754C135" w14:textId="77777777" w:rsidR="00E315B0" w:rsidRPr="00735ABA" w:rsidRDefault="00E315B0" w:rsidP="00862297">
            <w:pPr>
              <w:ind w:right="-136"/>
              <w:jc w:val="center"/>
              <w:rPr>
                <w:rFonts w:ascii="Arial" w:hAnsi="Arial" w:cs="Arial"/>
                <w:b/>
                <w:sz w:val="20"/>
                <w:szCs w:val="20"/>
              </w:rPr>
            </w:pPr>
            <w:r w:rsidRPr="00735ABA">
              <w:rPr>
                <w:rFonts w:ascii="Arial" w:hAnsi="Arial" w:cs="Arial"/>
                <w:b/>
                <w:sz w:val="20"/>
                <w:szCs w:val="20"/>
              </w:rPr>
              <w:t>Advantages</w:t>
            </w:r>
          </w:p>
        </w:tc>
        <w:tc>
          <w:tcPr>
            <w:tcW w:w="2952" w:type="dxa"/>
            <w:shd w:val="clear" w:color="auto" w:fill="auto"/>
          </w:tcPr>
          <w:p w14:paraId="5984D4D6" w14:textId="77777777" w:rsidR="00E315B0" w:rsidRPr="00735ABA" w:rsidRDefault="00E315B0" w:rsidP="00862297">
            <w:pPr>
              <w:ind w:right="-136"/>
              <w:jc w:val="center"/>
              <w:rPr>
                <w:rFonts w:ascii="Arial" w:hAnsi="Arial" w:cs="Arial"/>
                <w:b/>
                <w:sz w:val="20"/>
                <w:szCs w:val="20"/>
              </w:rPr>
            </w:pPr>
            <w:r w:rsidRPr="00735ABA">
              <w:rPr>
                <w:rFonts w:ascii="Arial" w:hAnsi="Arial" w:cs="Arial"/>
                <w:b/>
                <w:sz w:val="20"/>
                <w:szCs w:val="20"/>
              </w:rPr>
              <w:t>Disadvantages</w:t>
            </w:r>
          </w:p>
        </w:tc>
      </w:tr>
      <w:tr w:rsidR="00E315B0" w:rsidRPr="00735ABA" w14:paraId="55B9F476" w14:textId="77777777" w:rsidTr="00862297">
        <w:tc>
          <w:tcPr>
            <w:tcW w:w="1548" w:type="dxa"/>
            <w:shd w:val="clear" w:color="auto" w:fill="auto"/>
          </w:tcPr>
          <w:p w14:paraId="2BC031D2" w14:textId="77777777" w:rsidR="00E315B0" w:rsidRPr="00735ABA" w:rsidRDefault="00750F13" w:rsidP="00862297">
            <w:pPr>
              <w:ind w:right="-136"/>
              <w:rPr>
                <w:rFonts w:ascii="Arial" w:hAnsi="Arial" w:cs="Arial"/>
                <w:sz w:val="20"/>
                <w:szCs w:val="20"/>
              </w:rPr>
            </w:pPr>
            <w:r w:rsidRPr="00735ABA">
              <w:rPr>
                <w:rFonts w:ascii="Arial" w:hAnsi="Arial" w:cs="Arial"/>
                <w:sz w:val="20"/>
                <w:szCs w:val="20"/>
              </w:rPr>
              <w:t>Sonography</w:t>
            </w:r>
          </w:p>
        </w:tc>
        <w:tc>
          <w:tcPr>
            <w:tcW w:w="4356" w:type="dxa"/>
            <w:shd w:val="clear" w:color="auto" w:fill="auto"/>
          </w:tcPr>
          <w:p w14:paraId="0743FFF6" w14:textId="77777777" w:rsidR="00E315B0" w:rsidRPr="00735ABA" w:rsidRDefault="00750F13" w:rsidP="00862297">
            <w:pPr>
              <w:numPr>
                <w:ilvl w:val="0"/>
                <w:numId w:val="19"/>
              </w:numPr>
              <w:tabs>
                <w:tab w:val="clear" w:pos="720"/>
                <w:tab w:val="num" w:pos="72"/>
              </w:tabs>
              <w:ind w:left="252" w:right="-136" w:hanging="180"/>
              <w:rPr>
                <w:rFonts w:ascii="Arial" w:hAnsi="Arial" w:cs="Arial"/>
                <w:sz w:val="20"/>
                <w:szCs w:val="20"/>
              </w:rPr>
            </w:pPr>
            <w:r w:rsidRPr="00735ABA">
              <w:rPr>
                <w:rFonts w:ascii="Arial" w:hAnsi="Arial" w:cs="Arial"/>
                <w:sz w:val="20"/>
                <w:szCs w:val="20"/>
              </w:rPr>
              <w:t>High Availability</w:t>
            </w:r>
          </w:p>
          <w:p w14:paraId="56BF3C75" w14:textId="77777777" w:rsidR="00750F13" w:rsidRPr="00735ABA" w:rsidRDefault="00750F13" w:rsidP="00862297">
            <w:pPr>
              <w:numPr>
                <w:ilvl w:val="0"/>
                <w:numId w:val="19"/>
              </w:numPr>
              <w:tabs>
                <w:tab w:val="clear" w:pos="720"/>
                <w:tab w:val="num" w:pos="72"/>
              </w:tabs>
              <w:ind w:left="252" w:right="-136" w:hanging="180"/>
              <w:rPr>
                <w:rFonts w:ascii="Arial" w:hAnsi="Arial" w:cs="Arial"/>
                <w:sz w:val="20"/>
                <w:szCs w:val="20"/>
              </w:rPr>
            </w:pPr>
            <w:r w:rsidRPr="00735ABA">
              <w:rPr>
                <w:rFonts w:ascii="Arial" w:hAnsi="Arial" w:cs="Arial"/>
                <w:sz w:val="20"/>
                <w:szCs w:val="20"/>
              </w:rPr>
              <w:t>High morphologic resolution</w:t>
            </w:r>
          </w:p>
          <w:p w14:paraId="017F4846" w14:textId="77777777" w:rsidR="00750F13" w:rsidRPr="00735ABA" w:rsidRDefault="00750F13" w:rsidP="00862297">
            <w:pPr>
              <w:numPr>
                <w:ilvl w:val="0"/>
                <w:numId w:val="19"/>
              </w:numPr>
              <w:tabs>
                <w:tab w:val="clear" w:pos="720"/>
                <w:tab w:val="num" w:pos="72"/>
              </w:tabs>
              <w:ind w:left="252" w:right="-136" w:hanging="180"/>
              <w:rPr>
                <w:rFonts w:ascii="Arial" w:hAnsi="Arial" w:cs="Arial"/>
                <w:sz w:val="20"/>
                <w:szCs w:val="20"/>
              </w:rPr>
            </w:pPr>
            <w:r w:rsidRPr="00735ABA">
              <w:rPr>
                <w:rFonts w:ascii="Arial" w:hAnsi="Arial" w:cs="Arial"/>
                <w:sz w:val="20"/>
                <w:szCs w:val="20"/>
              </w:rPr>
              <w:t>No ionizing irradiation</w:t>
            </w:r>
          </w:p>
          <w:p w14:paraId="0B044AE6" w14:textId="77777777" w:rsidR="00750F13" w:rsidRPr="00735ABA" w:rsidRDefault="00750F13" w:rsidP="00862297">
            <w:pPr>
              <w:numPr>
                <w:ilvl w:val="0"/>
                <w:numId w:val="19"/>
              </w:numPr>
              <w:tabs>
                <w:tab w:val="clear" w:pos="720"/>
                <w:tab w:val="num" w:pos="72"/>
              </w:tabs>
              <w:ind w:left="252" w:right="-136" w:hanging="180"/>
              <w:rPr>
                <w:rFonts w:ascii="Arial" w:hAnsi="Arial" w:cs="Arial"/>
                <w:sz w:val="20"/>
                <w:szCs w:val="20"/>
              </w:rPr>
            </w:pPr>
            <w:r w:rsidRPr="00735ABA">
              <w:rPr>
                <w:rFonts w:ascii="Arial" w:hAnsi="Arial" w:cs="Arial"/>
                <w:sz w:val="20"/>
                <w:szCs w:val="20"/>
              </w:rPr>
              <w:t>Dynamic picture</w:t>
            </w:r>
          </w:p>
          <w:p w14:paraId="3EBA0623" w14:textId="77777777" w:rsidR="00750F13" w:rsidRPr="00735ABA" w:rsidRDefault="00750F13" w:rsidP="00862297">
            <w:pPr>
              <w:numPr>
                <w:ilvl w:val="0"/>
                <w:numId w:val="19"/>
              </w:numPr>
              <w:tabs>
                <w:tab w:val="clear" w:pos="720"/>
                <w:tab w:val="num" w:pos="72"/>
              </w:tabs>
              <w:ind w:left="252" w:right="-136" w:hanging="180"/>
              <w:rPr>
                <w:rFonts w:ascii="Arial" w:hAnsi="Arial" w:cs="Arial"/>
                <w:sz w:val="20"/>
                <w:szCs w:val="20"/>
              </w:rPr>
            </w:pPr>
            <w:r w:rsidRPr="00735ABA">
              <w:rPr>
                <w:rFonts w:ascii="Arial" w:hAnsi="Arial" w:cs="Arial"/>
                <w:sz w:val="20"/>
                <w:szCs w:val="20"/>
              </w:rPr>
              <w:t>Blood flow visualization (Doppler)</w:t>
            </w:r>
          </w:p>
          <w:p w14:paraId="018A54FB" w14:textId="77777777" w:rsidR="00750F13" w:rsidRPr="00735ABA" w:rsidRDefault="00750F13" w:rsidP="00862297">
            <w:pPr>
              <w:numPr>
                <w:ilvl w:val="0"/>
                <w:numId w:val="19"/>
              </w:numPr>
              <w:tabs>
                <w:tab w:val="clear" w:pos="720"/>
                <w:tab w:val="num" w:pos="72"/>
              </w:tabs>
              <w:ind w:left="252" w:right="-136" w:hanging="180"/>
              <w:rPr>
                <w:rFonts w:ascii="Arial" w:hAnsi="Arial" w:cs="Arial"/>
                <w:sz w:val="20"/>
                <w:szCs w:val="20"/>
              </w:rPr>
            </w:pPr>
            <w:r w:rsidRPr="00735ABA">
              <w:rPr>
                <w:rFonts w:ascii="Arial" w:hAnsi="Arial" w:cs="Arial"/>
                <w:sz w:val="20"/>
                <w:szCs w:val="20"/>
              </w:rPr>
              <w:t>Biopsy guidance, also of lymph nodes</w:t>
            </w:r>
          </w:p>
          <w:p w14:paraId="32EADE54" w14:textId="77777777" w:rsidR="00750F13" w:rsidRPr="00735ABA" w:rsidRDefault="00750F13" w:rsidP="00862297">
            <w:pPr>
              <w:numPr>
                <w:ilvl w:val="0"/>
                <w:numId w:val="19"/>
              </w:numPr>
              <w:tabs>
                <w:tab w:val="clear" w:pos="720"/>
                <w:tab w:val="num" w:pos="72"/>
              </w:tabs>
              <w:ind w:left="252" w:right="-136" w:hanging="180"/>
              <w:rPr>
                <w:rFonts w:ascii="Arial" w:hAnsi="Arial" w:cs="Arial"/>
                <w:sz w:val="20"/>
                <w:szCs w:val="20"/>
              </w:rPr>
            </w:pPr>
            <w:r w:rsidRPr="00735ABA">
              <w:rPr>
                <w:rFonts w:ascii="Arial" w:hAnsi="Arial" w:cs="Arial"/>
                <w:sz w:val="20"/>
                <w:szCs w:val="20"/>
              </w:rPr>
              <w:t>Moderate precision in volume estimation</w:t>
            </w:r>
          </w:p>
        </w:tc>
        <w:tc>
          <w:tcPr>
            <w:tcW w:w="2952" w:type="dxa"/>
            <w:shd w:val="clear" w:color="auto" w:fill="auto"/>
          </w:tcPr>
          <w:p w14:paraId="775FF862" w14:textId="77777777" w:rsidR="00E315B0" w:rsidRPr="00735ABA" w:rsidRDefault="00750F13" w:rsidP="00862297">
            <w:pPr>
              <w:numPr>
                <w:ilvl w:val="0"/>
                <w:numId w:val="19"/>
              </w:numPr>
              <w:tabs>
                <w:tab w:val="clear" w:pos="720"/>
              </w:tabs>
              <w:ind w:left="216" w:right="-136" w:hanging="180"/>
              <w:rPr>
                <w:rFonts w:ascii="Arial" w:hAnsi="Arial" w:cs="Arial"/>
                <w:sz w:val="20"/>
                <w:szCs w:val="20"/>
              </w:rPr>
            </w:pPr>
            <w:r w:rsidRPr="00735ABA">
              <w:rPr>
                <w:rFonts w:ascii="Arial" w:hAnsi="Arial" w:cs="Arial"/>
                <w:sz w:val="20"/>
                <w:szCs w:val="20"/>
              </w:rPr>
              <w:t>Operator dependency</w:t>
            </w:r>
          </w:p>
          <w:p w14:paraId="37C8B1F7" w14:textId="77777777" w:rsidR="00750F13" w:rsidRPr="00735ABA" w:rsidRDefault="00750F13" w:rsidP="00862297">
            <w:pPr>
              <w:numPr>
                <w:ilvl w:val="0"/>
                <w:numId w:val="19"/>
              </w:numPr>
              <w:tabs>
                <w:tab w:val="clear" w:pos="720"/>
              </w:tabs>
              <w:ind w:left="216" w:right="-136" w:hanging="180"/>
              <w:rPr>
                <w:rFonts w:ascii="Arial" w:hAnsi="Arial" w:cs="Arial"/>
                <w:sz w:val="20"/>
                <w:szCs w:val="20"/>
              </w:rPr>
            </w:pPr>
            <w:r w:rsidRPr="00735ABA">
              <w:rPr>
                <w:rFonts w:ascii="Arial" w:hAnsi="Arial" w:cs="Arial"/>
                <w:sz w:val="20"/>
                <w:szCs w:val="20"/>
              </w:rPr>
              <w:t>No information of functionality</w:t>
            </w:r>
          </w:p>
          <w:p w14:paraId="2960113F" w14:textId="77777777" w:rsidR="00750F13" w:rsidRPr="00735ABA" w:rsidRDefault="00750F13" w:rsidP="00862297">
            <w:pPr>
              <w:numPr>
                <w:ilvl w:val="0"/>
                <w:numId w:val="19"/>
              </w:numPr>
              <w:tabs>
                <w:tab w:val="clear" w:pos="720"/>
              </w:tabs>
              <w:ind w:left="216" w:right="-136" w:hanging="180"/>
              <w:rPr>
                <w:rFonts w:ascii="Arial" w:hAnsi="Arial" w:cs="Arial"/>
                <w:sz w:val="20"/>
                <w:szCs w:val="20"/>
              </w:rPr>
            </w:pPr>
            <w:r w:rsidRPr="00735ABA">
              <w:rPr>
                <w:rFonts w:ascii="Arial" w:hAnsi="Arial" w:cs="Arial"/>
                <w:sz w:val="20"/>
                <w:szCs w:val="20"/>
              </w:rPr>
              <w:t>Not feasible in substernal goiter</w:t>
            </w:r>
          </w:p>
          <w:p w14:paraId="6582606C" w14:textId="77777777" w:rsidR="00750F13" w:rsidRPr="00735ABA" w:rsidRDefault="00750F13" w:rsidP="00862297">
            <w:pPr>
              <w:numPr>
                <w:ilvl w:val="0"/>
                <w:numId w:val="19"/>
              </w:numPr>
              <w:tabs>
                <w:tab w:val="clear" w:pos="720"/>
              </w:tabs>
              <w:ind w:left="216" w:right="-136" w:hanging="180"/>
              <w:rPr>
                <w:rFonts w:ascii="Arial" w:hAnsi="Arial" w:cs="Arial"/>
                <w:sz w:val="20"/>
                <w:szCs w:val="20"/>
              </w:rPr>
            </w:pPr>
            <w:r w:rsidRPr="00735ABA">
              <w:rPr>
                <w:rFonts w:ascii="Arial" w:hAnsi="Arial" w:cs="Arial"/>
                <w:sz w:val="20"/>
                <w:szCs w:val="20"/>
              </w:rPr>
              <w:t>Poor prediction of malignancy</w:t>
            </w:r>
          </w:p>
        </w:tc>
      </w:tr>
      <w:tr w:rsidR="00E315B0" w:rsidRPr="00735ABA" w14:paraId="4C15CDFE" w14:textId="77777777" w:rsidTr="00862297">
        <w:tc>
          <w:tcPr>
            <w:tcW w:w="1548" w:type="dxa"/>
            <w:shd w:val="clear" w:color="auto" w:fill="auto"/>
          </w:tcPr>
          <w:p w14:paraId="59E43BEA" w14:textId="77777777" w:rsidR="00E315B0" w:rsidRPr="00735ABA" w:rsidRDefault="00750F13" w:rsidP="00862297">
            <w:pPr>
              <w:ind w:right="-136"/>
              <w:rPr>
                <w:rFonts w:ascii="Arial" w:hAnsi="Arial" w:cs="Arial"/>
                <w:sz w:val="20"/>
                <w:szCs w:val="20"/>
              </w:rPr>
            </w:pPr>
            <w:r w:rsidRPr="00735ABA">
              <w:rPr>
                <w:rFonts w:ascii="Arial" w:hAnsi="Arial" w:cs="Arial"/>
                <w:sz w:val="20"/>
                <w:szCs w:val="20"/>
              </w:rPr>
              <w:t>Scintigraphy</w:t>
            </w:r>
          </w:p>
        </w:tc>
        <w:tc>
          <w:tcPr>
            <w:tcW w:w="4356" w:type="dxa"/>
            <w:shd w:val="clear" w:color="auto" w:fill="auto"/>
          </w:tcPr>
          <w:p w14:paraId="23DB732D" w14:textId="77777777" w:rsidR="00750F13" w:rsidRPr="00735ABA" w:rsidRDefault="00750F13" w:rsidP="00862297">
            <w:pPr>
              <w:numPr>
                <w:ilvl w:val="0"/>
                <w:numId w:val="20"/>
              </w:numPr>
              <w:tabs>
                <w:tab w:val="clear" w:pos="720"/>
              </w:tabs>
              <w:ind w:left="252" w:right="-136" w:hanging="180"/>
              <w:rPr>
                <w:rFonts w:ascii="Arial" w:hAnsi="Arial" w:cs="Arial"/>
                <w:sz w:val="20"/>
                <w:szCs w:val="20"/>
              </w:rPr>
            </w:pPr>
            <w:r w:rsidRPr="00735ABA">
              <w:rPr>
                <w:rFonts w:ascii="Arial" w:hAnsi="Arial" w:cs="Arial"/>
                <w:sz w:val="20"/>
                <w:szCs w:val="20"/>
              </w:rPr>
              <w:t>Information of functionality</w:t>
            </w:r>
          </w:p>
          <w:p w14:paraId="34DE3FCB" w14:textId="77777777" w:rsidR="00750F13" w:rsidRPr="00735ABA" w:rsidRDefault="00750F13" w:rsidP="00862297">
            <w:pPr>
              <w:numPr>
                <w:ilvl w:val="0"/>
                <w:numId w:val="20"/>
              </w:numPr>
              <w:tabs>
                <w:tab w:val="clear" w:pos="720"/>
                <w:tab w:val="num" w:pos="72"/>
              </w:tabs>
              <w:ind w:left="252" w:right="-136" w:hanging="180"/>
              <w:rPr>
                <w:rFonts w:ascii="Arial" w:hAnsi="Arial" w:cs="Arial"/>
                <w:sz w:val="20"/>
                <w:szCs w:val="20"/>
              </w:rPr>
            </w:pPr>
            <w:r w:rsidRPr="00735ABA">
              <w:rPr>
                <w:rFonts w:ascii="Arial" w:hAnsi="Arial" w:cs="Arial"/>
                <w:sz w:val="20"/>
                <w:szCs w:val="20"/>
              </w:rPr>
              <w:t>Differentiates between destructive and hyperthyroid conditions</w:t>
            </w:r>
          </w:p>
          <w:p w14:paraId="4D421C4C" w14:textId="77777777" w:rsidR="00750F13" w:rsidRPr="00735ABA" w:rsidRDefault="00750F13" w:rsidP="00862297">
            <w:pPr>
              <w:numPr>
                <w:ilvl w:val="0"/>
                <w:numId w:val="20"/>
              </w:numPr>
              <w:tabs>
                <w:tab w:val="clear" w:pos="720"/>
                <w:tab w:val="num" w:pos="72"/>
              </w:tabs>
              <w:ind w:left="252" w:right="-136" w:hanging="180"/>
              <w:rPr>
                <w:rFonts w:ascii="Arial" w:hAnsi="Arial" w:cs="Arial"/>
                <w:sz w:val="20"/>
                <w:szCs w:val="20"/>
              </w:rPr>
            </w:pPr>
            <w:r w:rsidRPr="00735ABA">
              <w:rPr>
                <w:rFonts w:ascii="Arial" w:hAnsi="Arial" w:cs="Arial"/>
                <w:sz w:val="20"/>
                <w:szCs w:val="20"/>
              </w:rPr>
              <w:t>Measurement of thyroid iodine uptake</w:t>
            </w:r>
          </w:p>
          <w:p w14:paraId="7C44695F" w14:textId="77777777" w:rsidR="008B4175" w:rsidRPr="00735ABA" w:rsidRDefault="008B4175" w:rsidP="00862297">
            <w:pPr>
              <w:numPr>
                <w:ilvl w:val="0"/>
                <w:numId w:val="20"/>
              </w:numPr>
              <w:tabs>
                <w:tab w:val="clear" w:pos="720"/>
                <w:tab w:val="num" w:pos="72"/>
              </w:tabs>
              <w:ind w:left="252" w:right="-136" w:hanging="180"/>
              <w:rPr>
                <w:rFonts w:ascii="Arial" w:hAnsi="Arial" w:cs="Arial"/>
                <w:sz w:val="20"/>
                <w:szCs w:val="20"/>
              </w:rPr>
            </w:pPr>
            <w:r w:rsidRPr="00735ABA">
              <w:rPr>
                <w:rFonts w:ascii="Arial" w:hAnsi="Arial" w:cs="Arial"/>
                <w:sz w:val="20"/>
                <w:szCs w:val="20"/>
              </w:rPr>
              <w:t>Predictive of feasibility of ¹³¹I therapy</w:t>
            </w:r>
          </w:p>
          <w:p w14:paraId="678B5294" w14:textId="77777777" w:rsidR="008B4175" w:rsidRPr="00735ABA" w:rsidRDefault="008B4175" w:rsidP="00862297">
            <w:pPr>
              <w:numPr>
                <w:ilvl w:val="0"/>
                <w:numId w:val="20"/>
              </w:numPr>
              <w:tabs>
                <w:tab w:val="clear" w:pos="720"/>
                <w:tab w:val="num" w:pos="72"/>
              </w:tabs>
              <w:ind w:left="252" w:right="-136" w:hanging="180"/>
              <w:rPr>
                <w:rFonts w:ascii="Arial" w:hAnsi="Arial" w:cs="Arial"/>
                <w:sz w:val="20"/>
                <w:szCs w:val="20"/>
              </w:rPr>
            </w:pPr>
            <w:r w:rsidRPr="00735ABA">
              <w:rPr>
                <w:rFonts w:ascii="Arial" w:hAnsi="Arial" w:cs="Arial"/>
                <w:sz w:val="20"/>
                <w:szCs w:val="20"/>
              </w:rPr>
              <w:t>Detects ectopic thyroid tissue</w:t>
            </w:r>
          </w:p>
        </w:tc>
        <w:tc>
          <w:tcPr>
            <w:tcW w:w="2952" w:type="dxa"/>
            <w:shd w:val="clear" w:color="auto" w:fill="auto"/>
          </w:tcPr>
          <w:p w14:paraId="66EBD559" w14:textId="77777777" w:rsidR="00E315B0" w:rsidRPr="00735ABA" w:rsidRDefault="00750F13" w:rsidP="00862297">
            <w:pPr>
              <w:numPr>
                <w:ilvl w:val="0"/>
                <w:numId w:val="20"/>
              </w:numPr>
              <w:tabs>
                <w:tab w:val="clear" w:pos="720"/>
              </w:tabs>
              <w:ind w:left="216" w:right="-136" w:hanging="180"/>
              <w:rPr>
                <w:rFonts w:ascii="Arial" w:hAnsi="Arial" w:cs="Arial"/>
                <w:sz w:val="20"/>
                <w:szCs w:val="20"/>
              </w:rPr>
            </w:pPr>
            <w:r w:rsidRPr="00735ABA">
              <w:rPr>
                <w:rFonts w:ascii="Arial" w:hAnsi="Arial" w:cs="Arial"/>
                <w:sz w:val="20"/>
                <w:szCs w:val="20"/>
              </w:rPr>
              <w:t>Requires nuclear medicine</w:t>
            </w:r>
          </w:p>
          <w:p w14:paraId="0064B285" w14:textId="77777777" w:rsidR="00750F13" w:rsidRPr="00735ABA" w:rsidRDefault="00750F13" w:rsidP="00862297">
            <w:pPr>
              <w:numPr>
                <w:ilvl w:val="0"/>
                <w:numId w:val="20"/>
              </w:numPr>
              <w:tabs>
                <w:tab w:val="clear" w:pos="720"/>
              </w:tabs>
              <w:ind w:left="216" w:right="-136" w:hanging="180"/>
              <w:rPr>
                <w:rFonts w:ascii="Arial" w:hAnsi="Arial" w:cs="Arial"/>
                <w:sz w:val="20"/>
                <w:szCs w:val="20"/>
              </w:rPr>
            </w:pPr>
            <w:r w:rsidRPr="00735ABA">
              <w:rPr>
                <w:rFonts w:ascii="Arial" w:hAnsi="Arial" w:cs="Arial"/>
                <w:sz w:val="20"/>
                <w:szCs w:val="20"/>
              </w:rPr>
              <w:t>Ionizing irradiation</w:t>
            </w:r>
          </w:p>
          <w:p w14:paraId="32213D1B" w14:textId="77777777" w:rsidR="00750F13" w:rsidRPr="00735ABA" w:rsidRDefault="00750F13" w:rsidP="00862297">
            <w:pPr>
              <w:numPr>
                <w:ilvl w:val="0"/>
                <w:numId w:val="20"/>
              </w:numPr>
              <w:tabs>
                <w:tab w:val="clear" w:pos="720"/>
              </w:tabs>
              <w:ind w:left="216" w:right="-136" w:hanging="180"/>
              <w:rPr>
                <w:rFonts w:ascii="Arial" w:hAnsi="Arial" w:cs="Arial"/>
                <w:sz w:val="20"/>
                <w:szCs w:val="20"/>
              </w:rPr>
            </w:pPr>
            <w:r w:rsidRPr="00735ABA">
              <w:rPr>
                <w:rFonts w:ascii="Arial" w:hAnsi="Arial" w:cs="Arial"/>
                <w:sz w:val="20"/>
                <w:szCs w:val="20"/>
              </w:rPr>
              <w:t>Poor resolution</w:t>
            </w:r>
          </w:p>
          <w:p w14:paraId="403215C5" w14:textId="77777777" w:rsidR="00750F13" w:rsidRPr="00735ABA" w:rsidRDefault="00750F13" w:rsidP="00862297">
            <w:pPr>
              <w:numPr>
                <w:ilvl w:val="0"/>
                <w:numId w:val="20"/>
              </w:numPr>
              <w:tabs>
                <w:tab w:val="clear" w:pos="720"/>
              </w:tabs>
              <w:ind w:left="216" w:right="-136" w:hanging="180"/>
              <w:rPr>
                <w:rFonts w:ascii="Arial" w:hAnsi="Arial" w:cs="Arial"/>
                <w:sz w:val="20"/>
                <w:szCs w:val="20"/>
              </w:rPr>
            </w:pPr>
            <w:r w:rsidRPr="00735ABA">
              <w:rPr>
                <w:rFonts w:ascii="Arial" w:hAnsi="Arial" w:cs="Arial"/>
                <w:sz w:val="20"/>
                <w:szCs w:val="20"/>
              </w:rPr>
              <w:t>Poor differentiation between solid</w:t>
            </w:r>
            <w:r w:rsidR="008B4175" w:rsidRPr="00735ABA">
              <w:rPr>
                <w:rFonts w:ascii="Arial" w:hAnsi="Arial" w:cs="Arial"/>
                <w:sz w:val="20"/>
                <w:szCs w:val="20"/>
              </w:rPr>
              <w:t xml:space="preserve"> and cystic cold nodules</w:t>
            </w:r>
          </w:p>
          <w:p w14:paraId="5C79EA13" w14:textId="77777777" w:rsidR="008B4175" w:rsidRPr="00735ABA" w:rsidRDefault="008B4175" w:rsidP="00862297">
            <w:pPr>
              <w:numPr>
                <w:ilvl w:val="0"/>
                <w:numId w:val="20"/>
              </w:numPr>
              <w:tabs>
                <w:tab w:val="clear" w:pos="720"/>
              </w:tabs>
              <w:ind w:left="216" w:right="-136" w:hanging="180"/>
              <w:rPr>
                <w:rFonts w:ascii="Arial" w:hAnsi="Arial" w:cs="Arial"/>
                <w:sz w:val="20"/>
                <w:szCs w:val="20"/>
              </w:rPr>
            </w:pPr>
            <w:r w:rsidRPr="00735ABA">
              <w:rPr>
                <w:rFonts w:ascii="Arial" w:hAnsi="Arial" w:cs="Arial"/>
                <w:sz w:val="20"/>
                <w:szCs w:val="20"/>
              </w:rPr>
              <w:t>Volume estimationinaccurate</w:t>
            </w:r>
          </w:p>
        </w:tc>
      </w:tr>
      <w:tr w:rsidR="008B4175" w:rsidRPr="00735ABA" w14:paraId="36499704" w14:textId="77777777" w:rsidTr="00862297">
        <w:tc>
          <w:tcPr>
            <w:tcW w:w="1548" w:type="dxa"/>
            <w:shd w:val="clear" w:color="auto" w:fill="auto"/>
          </w:tcPr>
          <w:p w14:paraId="7B8C631C" w14:textId="77777777" w:rsidR="008B4175" w:rsidRPr="00735ABA" w:rsidRDefault="008B4175" w:rsidP="00862297">
            <w:pPr>
              <w:ind w:right="-136"/>
              <w:rPr>
                <w:rFonts w:ascii="Arial" w:hAnsi="Arial" w:cs="Arial"/>
                <w:sz w:val="20"/>
                <w:szCs w:val="20"/>
              </w:rPr>
            </w:pPr>
            <w:r w:rsidRPr="00735ABA">
              <w:rPr>
                <w:rFonts w:ascii="Arial" w:hAnsi="Arial" w:cs="Arial"/>
                <w:sz w:val="20"/>
                <w:szCs w:val="20"/>
              </w:rPr>
              <w:t>CT Scan</w:t>
            </w:r>
          </w:p>
        </w:tc>
        <w:tc>
          <w:tcPr>
            <w:tcW w:w="4356" w:type="dxa"/>
            <w:shd w:val="clear" w:color="auto" w:fill="auto"/>
          </w:tcPr>
          <w:p w14:paraId="53C32135" w14:textId="77777777" w:rsidR="008B4175" w:rsidRPr="00735ABA" w:rsidRDefault="008B4175" w:rsidP="00862297">
            <w:pPr>
              <w:numPr>
                <w:ilvl w:val="0"/>
                <w:numId w:val="21"/>
              </w:numPr>
              <w:tabs>
                <w:tab w:val="clear" w:pos="720"/>
              </w:tabs>
              <w:ind w:left="252" w:right="-136" w:hanging="180"/>
              <w:rPr>
                <w:rFonts w:ascii="Arial" w:hAnsi="Arial" w:cs="Arial"/>
                <w:sz w:val="20"/>
                <w:szCs w:val="20"/>
              </w:rPr>
            </w:pPr>
            <w:r w:rsidRPr="00735ABA">
              <w:rPr>
                <w:rFonts w:ascii="Arial" w:hAnsi="Arial" w:cs="Arial"/>
                <w:sz w:val="20"/>
                <w:szCs w:val="20"/>
              </w:rPr>
              <w:t>High morpho</w:t>
            </w:r>
            <w:r w:rsidR="00C373DF" w:rsidRPr="00735ABA">
              <w:rPr>
                <w:rFonts w:ascii="Arial" w:hAnsi="Arial" w:cs="Arial"/>
                <w:sz w:val="20"/>
                <w:szCs w:val="20"/>
              </w:rPr>
              <w:t>logic resolution</w:t>
            </w:r>
          </w:p>
          <w:p w14:paraId="7FDDC7CA" w14:textId="77777777" w:rsidR="00C373DF" w:rsidRPr="00735ABA" w:rsidRDefault="00C373DF" w:rsidP="00862297">
            <w:pPr>
              <w:numPr>
                <w:ilvl w:val="0"/>
                <w:numId w:val="21"/>
              </w:numPr>
              <w:tabs>
                <w:tab w:val="clear" w:pos="720"/>
              </w:tabs>
              <w:ind w:left="252" w:right="-136" w:hanging="180"/>
              <w:rPr>
                <w:rFonts w:ascii="Arial" w:hAnsi="Arial" w:cs="Arial"/>
                <w:sz w:val="20"/>
                <w:szCs w:val="20"/>
              </w:rPr>
            </w:pPr>
            <w:r w:rsidRPr="00735ABA">
              <w:rPr>
                <w:rFonts w:ascii="Arial" w:hAnsi="Arial" w:cs="Arial"/>
                <w:sz w:val="20"/>
                <w:szCs w:val="20"/>
              </w:rPr>
              <w:t>Visualization of adjacent structure</w:t>
            </w:r>
          </w:p>
          <w:p w14:paraId="7A4692E8" w14:textId="77777777" w:rsidR="00C373DF" w:rsidRPr="00735ABA" w:rsidRDefault="00C373DF" w:rsidP="00862297">
            <w:pPr>
              <w:numPr>
                <w:ilvl w:val="0"/>
                <w:numId w:val="21"/>
              </w:numPr>
              <w:tabs>
                <w:tab w:val="clear" w:pos="720"/>
              </w:tabs>
              <w:ind w:left="252" w:right="-136" w:hanging="180"/>
              <w:rPr>
                <w:rFonts w:ascii="Arial" w:hAnsi="Arial" w:cs="Arial"/>
                <w:sz w:val="20"/>
                <w:szCs w:val="20"/>
              </w:rPr>
            </w:pPr>
            <w:r w:rsidRPr="00735ABA">
              <w:rPr>
                <w:rFonts w:ascii="Arial" w:hAnsi="Arial" w:cs="Arial"/>
                <w:sz w:val="20"/>
                <w:szCs w:val="20"/>
              </w:rPr>
              <w:t>Ideal for substernal goiter</w:t>
            </w:r>
          </w:p>
          <w:p w14:paraId="007EB84F" w14:textId="77777777" w:rsidR="00C373DF" w:rsidRPr="00735ABA" w:rsidRDefault="00C373DF" w:rsidP="00862297">
            <w:pPr>
              <w:numPr>
                <w:ilvl w:val="0"/>
                <w:numId w:val="21"/>
              </w:numPr>
              <w:tabs>
                <w:tab w:val="clear" w:pos="720"/>
              </w:tabs>
              <w:ind w:left="252" w:right="-136" w:hanging="180"/>
              <w:rPr>
                <w:rFonts w:ascii="Arial" w:hAnsi="Arial" w:cs="Arial"/>
                <w:sz w:val="20"/>
                <w:szCs w:val="20"/>
              </w:rPr>
            </w:pPr>
            <w:r w:rsidRPr="00735ABA">
              <w:rPr>
                <w:rFonts w:ascii="Arial" w:hAnsi="Arial" w:cs="Arial"/>
                <w:sz w:val="20"/>
                <w:szCs w:val="20"/>
              </w:rPr>
              <w:t>Planimetric volume estimation</w:t>
            </w:r>
          </w:p>
          <w:p w14:paraId="18716314" w14:textId="77777777" w:rsidR="00C373DF" w:rsidRPr="00735ABA" w:rsidRDefault="00C373DF" w:rsidP="00862297">
            <w:pPr>
              <w:numPr>
                <w:ilvl w:val="0"/>
                <w:numId w:val="21"/>
              </w:numPr>
              <w:tabs>
                <w:tab w:val="clear" w:pos="720"/>
              </w:tabs>
              <w:ind w:left="252" w:right="-136" w:hanging="180"/>
              <w:rPr>
                <w:rFonts w:ascii="Arial" w:hAnsi="Arial" w:cs="Arial"/>
                <w:sz w:val="20"/>
                <w:szCs w:val="20"/>
              </w:rPr>
            </w:pPr>
            <w:r w:rsidRPr="00735ABA">
              <w:rPr>
                <w:rFonts w:ascii="Arial" w:hAnsi="Arial" w:cs="Arial"/>
                <w:sz w:val="20"/>
                <w:szCs w:val="20"/>
              </w:rPr>
              <w:t>Volume estimation probably accurate</w:t>
            </w:r>
          </w:p>
        </w:tc>
        <w:tc>
          <w:tcPr>
            <w:tcW w:w="2952" w:type="dxa"/>
            <w:shd w:val="clear" w:color="auto" w:fill="auto"/>
          </w:tcPr>
          <w:p w14:paraId="50F2A878" w14:textId="77777777" w:rsidR="008B4175" w:rsidRPr="00735ABA" w:rsidRDefault="00C373DF" w:rsidP="00862297">
            <w:pPr>
              <w:numPr>
                <w:ilvl w:val="0"/>
                <w:numId w:val="21"/>
              </w:numPr>
              <w:tabs>
                <w:tab w:val="clear" w:pos="720"/>
              </w:tabs>
              <w:ind w:left="216" w:right="-136" w:hanging="180"/>
              <w:rPr>
                <w:rFonts w:ascii="Arial" w:hAnsi="Arial" w:cs="Arial"/>
                <w:sz w:val="20"/>
                <w:szCs w:val="20"/>
              </w:rPr>
            </w:pPr>
            <w:r w:rsidRPr="00735ABA">
              <w:rPr>
                <w:rFonts w:ascii="Arial" w:hAnsi="Arial" w:cs="Arial"/>
                <w:sz w:val="20"/>
                <w:szCs w:val="20"/>
              </w:rPr>
              <w:t>Ionizing irradiation</w:t>
            </w:r>
          </w:p>
          <w:p w14:paraId="0835DD66" w14:textId="77777777" w:rsidR="00C373DF" w:rsidRPr="00735ABA" w:rsidRDefault="00C373DF" w:rsidP="00862297">
            <w:pPr>
              <w:numPr>
                <w:ilvl w:val="0"/>
                <w:numId w:val="21"/>
              </w:numPr>
              <w:tabs>
                <w:tab w:val="clear" w:pos="720"/>
              </w:tabs>
              <w:ind w:left="216" w:right="-136" w:hanging="180"/>
              <w:rPr>
                <w:rFonts w:ascii="Arial" w:hAnsi="Arial" w:cs="Arial"/>
                <w:sz w:val="20"/>
                <w:szCs w:val="20"/>
              </w:rPr>
            </w:pPr>
            <w:r w:rsidRPr="00735ABA">
              <w:rPr>
                <w:rFonts w:ascii="Arial" w:hAnsi="Arial" w:cs="Arial"/>
                <w:sz w:val="20"/>
                <w:szCs w:val="20"/>
              </w:rPr>
              <w:t>No information of functionality</w:t>
            </w:r>
          </w:p>
          <w:p w14:paraId="157B4D1A" w14:textId="77777777" w:rsidR="00C373DF" w:rsidRPr="00735ABA" w:rsidRDefault="00C373DF" w:rsidP="00862297">
            <w:pPr>
              <w:numPr>
                <w:ilvl w:val="0"/>
                <w:numId w:val="21"/>
              </w:numPr>
              <w:tabs>
                <w:tab w:val="clear" w:pos="720"/>
              </w:tabs>
              <w:ind w:left="216" w:right="-136" w:hanging="180"/>
              <w:rPr>
                <w:rFonts w:ascii="Arial" w:hAnsi="Arial" w:cs="Arial"/>
                <w:sz w:val="20"/>
                <w:szCs w:val="20"/>
              </w:rPr>
            </w:pPr>
            <w:r w:rsidRPr="00735ABA">
              <w:rPr>
                <w:rFonts w:ascii="Arial" w:hAnsi="Arial" w:cs="Arial"/>
                <w:sz w:val="20"/>
                <w:szCs w:val="20"/>
              </w:rPr>
              <w:t>Poor prediction of malignancy</w:t>
            </w:r>
          </w:p>
        </w:tc>
      </w:tr>
      <w:tr w:rsidR="008B4175" w:rsidRPr="00735ABA" w14:paraId="05F831B0" w14:textId="77777777" w:rsidTr="00862297">
        <w:tc>
          <w:tcPr>
            <w:tcW w:w="1548" w:type="dxa"/>
            <w:shd w:val="clear" w:color="auto" w:fill="auto"/>
          </w:tcPr>
          <w:p w14:paraId="4033539D" w14:textId="77777777" w:rsidR="008B4175" w:rsidRPr="00735ABA" w:rsidRDefault="00C373DF" w:rsidP="00862297">
            <w:pPr>
              <w:ind w:right="-136"/>
              <w:rPr>
                <w:rFonts w:ascii="Arial" w:hAnsi="Arial" w:cs="Arial"/>
                <w:sz w:val="20"/>
                <w:szCs w:val="20"/>
              </w:rPr>
            </w:pPr>
            <w:r w:rsidRPr="00735ABA">
              <w:rPr>
                <w:rFonts w:ascii="Arial" w:hAnsi="Arial" w:cs="Arial"/>
                <w:sz w:val="20"/>
                <w:szCs w:val="20"/>
              </w:rPr>
              <w:t>MR imaging</w:t>
            </w:r>
          </w:p>
        </w:tc>
        <w:tc>
          <w:tcPr>
            <w:tcW w:w="4356" w:type="dxa"/>
            <w:shd w:val="clear" w:color="auto" w:fill="auto"/>
          </w:tcPr>
          <w:p w14:paraId="0C1B7BBD" w14:textId="77777777" w:rsidR="008B4175" w:rsidRPr="00735ABA" w:rsidRDefault="00C373DF" w:rsidP="00862297">
            <w:pPr>
              <w:numPr>
                <w:ilvl w:val="0"/>
                <w:numId w:val="22"/>
              </w:numPr>
              <w:tabs>
                <w:tab w:val="clear" w:pos="720"/>
              </w:tabs>
              <w:ind w:left="252" w:right="-136" w:hanging="180"/>
              <w:rPr>
                <w:rFonts w:ascii="Arial" w:hAnsi="Arial" w:cs="Arial"/>
                <w:sz w:val="20"/>
                <w:szCs w:val="20"/>
              </w:rPr>
            </w:pPr>
            <w:r w:rsidRPr="00735ABA">
              <w:rPr>
                <w:rFonts w:ascii="Arial" w:hAnsi="Arial" w:cs="Arial"/>
                <w:sz w:val="20"/>
                <w:szCs w:val="20"/>
              </w:rPr>
              <w:t>No ionizing irradiation</w:t>
            </w:r>
          </w:p>
          <w:p w14:paraId="1566C300" w14:textId="77777777" w:rsidR="00C373DF" w:rsidRPr="00735ABA" w:rsidRDefault="00C373DF" w:rsidP="00862297">
            <w:pPr>
              <w:numPr>
                <w:ilvl w:val="0"/>
                <w:numId w:val="22"/>
              </w:numPr>
              <w:tabs>
                <w:tab w:val="clear" w:pos="720"/>
              </w:tabs>
              <w:ind w:left="252" w:right="-136" w:hanging="180"/>
              <w:rPr>
                <w:rFonts w:ascii="Arial" w:hAnsi="Arial" w:cs="Arial"/>
                <w:sz w:val="20"/>
                <w:szCs w:val="20"/>
              </w:rPr>
            </w:pPr>
            <w:r w:rsidRPr="00735ABA">
              <w:rPr>
                <w:rFonts w:ascii="Arial" w:hAnsi="Arial" w:cs="Arial"/>
                <w:sz w:val="20"/>
                <w:szCs w:val="20"/>
              </w:rPr>
              <w:t>High morphologic resolution</w:t>
            </w:r>
          </w:p>
          <w:p w14:paraId="22539977" w14:textId="77777777" w:rsidR="00C373DF" w:rsidRPr="00735ABA" w:rsidRDefault="00C373DF" w:rsidP="00862297">
            <w:pPr>
              <w:numPr>
                <w:ilvl w:val="0"/>
                <w:numId w:val="22"/>
              </w:numPr>
              <w:tabs>
                <w:tab w:val="clear" w:pos="720"/>
              </w:tabs>
              <w:ind w:left="252" w:right="-136" w:hanging="180"/>
              <w:rPr>
                <w:rFonts w:ascii="Arial" w:hAnsi="Arial" w:cs="Arial"/>
                <w:sz w:val="20"/>
                <w:szCs w:val="20"/>
              </w:rPr>
            </w:pPr>
            <w:r w:rsidRPr="00735ABA">
              <w:rPr>
                <w:rFonts w:ascii="Arial" w:hAnsi="Arial" w:cs="Arial"/>
                <w:sz w:val="20"/>
                <w:szCs w:val="20"/>
              </w:rPr>
              <w:t>Visualization of adjacent structure</w:t>
            </w:r>
          </w:p>
          <w:p w14:paraId="7C332220" w14:textId="77777777" w:rsidR="00C373DF" w:rsidRPr="00735ABA" w:rsidRDefault="00C373DF" w:rsidP="00862297">
            <w:pPr>
              <w:numPr>
                <w:ilvl w:val="0"/>
                <w:numId w:val="22"/>
              </w:numPr>
              <w:tabs>
                <w:tab w:val="clear" w:pos="720"/>
              </w:tabs>
              <w:ind w:left="252" w:right="-136" w:hanging="180"/>
              <w:rPr>
                <w:rFonts w:ascii="Arial" w:hAnsi="Arial" w:cs="Arial"/>
                <w:sz w:val="20"/>
                <w:szCs w:val="20"/>
              </w:rPr>
            </w:pPr>
            <w:r w:rsidRPr="00735ABA">
              <w:rPr>
                <w:rFonts w:ascii="Arial" w:hAnsi="Arial" w:cs="Arial"/>
                <w:sz w:val="20"/>
                <w:szCs w:val="20"/>
              </w:rPr>
              <w:t>Ideal for substernal goiter</w:t>
            </w:r>
          </w:p>
          <w:p w14:paraId="50B112CB" w14:textId="77777777" w:rsidR="00C373DF" w:rsidRPr="00735ABA" w:rsidRDefault="00C373DF" w:rsidP="00862297">
            <w:pPr>
              <w:numPr>
                <w:ilvl w:val="0"/>
                <w:numId w:val="22"/>
              </w:numPr>
              <w:tabs>
                <w:tab w:val="clear" w:pos="720"/>
              </w:tabs>
              <w:ind w:left="252" w:right="-136" w:hanging="180"/>
              <w:rPr>
                <w:rFonts w:ascii="Arial" w:hAnsi="Arial" w:cs="Arial"/>
                <w:sz w:val="20"/>
                <w:szCs w:val="20"/>
              </w:rPr>
            </w:pPr>
            <w:r w:rsidRPr="00735ABA">
              <w:rPr>
                <w:rFonts w:ascii="Arial" w:hAnsi="Arial" w:cs="Arial"/>
                <w:sz w:val="20"/>
                <w:szCs w:val="20"/>
              </w:rPr>
              <w:t>Planimetric volume estimation</w:t>
            </w:r>
          </w:p>
          <w:p w14:paraId="342AE89D" w14:textId="77777777" w:rsidR="00C373DF" w:rsidRPr="00735ABA" w:rsidRDefault="00C373DF" w:rsidP="00862297">
            <w:pPr>
              <w:numPr>
                <w:ilvl w:val="0"/>
                <w:numId w:val="22"/>
              </w:numPr>
              <w:tabs>
                <w:tab w:val="clear" w:pos="720"/>
              </w:tabs>
              <w:ind w:left="252" w:right="-136" w:hanging="180"/>
              <w:rPr>
                <w:rFonts w:ascii="Arial" w:hAnsi="Arial" w:cs="Arial"/>
                <w:sz w:val="20"/>
                <w:szCs w:val="20"/>
              </w:rPr>
            </w:pPr>
            <w:r w:rsidRPr="00735ABA">
              <w:rPr>
                <w:rFonts w:ascii="Arial" w:hAnsi="Arial" w:cs="Arial"/>
                <w:sz w:val="20"/>
                <w:szCs w:val="20"/>
              </w:rPr>
              <w:t>Volume estimation with high precision</w:t>
            </w:r>
          </w:p>
        </w:tc>
        <w:tc>
          <w:tcPr>
            <w:tcW w:w="2952" w:type="dxa"/>
            <w:shd w:val="clear" w:color="auto" w:fill="auto"/>
          </w:tcPr>
          <w:p w14:paraId="6D2A93F7" w14:textId="77777777" w:rsidR="008B4175" w:rsidRPr="00735ABA" w:rsidRDefault="00C373DF" w:rsidP="00862297">
            <w:pPr>
              <w:numPr>
                <w:ilvl w:val="0"/>
                <w:numId w:val="22"/>
              </w:numPr>
              <w:tabs>
                <w:tab w:val="clear" w:pos="720"/>
              </w:tabs>
              <w:ind w:left="216" w:right="-136" w:hanging="180"/>
              <w:rPr>
                <w:rFonts w:ascii="Arial" w:hAnsi="Arial" w:cs="Arial"/>
                <w:sz w:val="20"/>
                <w:szCs w:val="20"/>
              </w:rPr>
            </w:pPr>
            <w:r w:rsidRPr="00735ABA">
              <w:rPr>
                <w:rFonts w:ascii="Arial" w:hAnsi="Arial" w:cs="Arial"/>
                <w:sz w:val="20"/>
                <w:szCs w:val="20"/>
              </w:rPr>
              <w:t>Moderate availability</w:t>
            </w:r>
          </w:p>
          <w:p w14:paraId="157B6F22" w14:textId="77777777" w:rsidR="00C373DF" w:rsidRPr="00735ABA" w:rsidRDefault="00C373DF" w:rsidP="00862297">
            <w:pPr>
              <w:numPr>
                <w:ilvl w:val="0"/>
                <w:numId w:val="22"/>
              </w:numPr>
              <w:tabs>
                <w:tab w:val="clear" w:pos="720"/>
              </w:tabs>
              <w:ind w:left="216" w:right="-136" w:hanging="180"/>
              <w:rPr>
                <w:rFonts w:ascii="Arial" w:hAnsi="Arial" w:cs="Arial"/>
                <w:sz w:val="20"/>
                <w:szCs w:val="20"/>
              </w:rPr>
            </w:pPr>
            <w:r w:rsidRPr="00735ABA">
              <w:rPr>
                <w:rFonts w:ascii="Arial" w:hAnsi="Arial" w:cs="Arial"/>
                <w:sz w:val="20"/>
                <w:szCs w:val="20"/>
              </w:rPr>
              <w:t>Long procedure time</w:t>
            </w:r>
          </w:p>
          <w:p w14:paraId="3B631D54" w14:textId="77777777" w:rsidR="00C373DF" w:rsidRPr="00735ABA" w:rsidRDefault="00C373DF" w:rsidP="00862297">
            <w:pPr>
              <w:numPr>
                <w:ilvl w:val="0"/>
                <w:numId w:val="22"/>
              </w:numPr>
              <w:tabs>
                <w:tab w:val="clear" w:pos="720"/>
              </w:tabs>
              <w:ind w:left="216" w:right="-136" w:hanging="180"/>
              <w:rPr>
                <w:rFonts w:ascii="Arial" w:hAnsi="Arial" w:cs="Arial"/>
                <w:sz w:val="20"/>
                <w:szCs w:val="20"/>
              </w:rPr>
            </w:pPr>
            <w:r w:rsidRPr="00735ABA">
              <w:rPr>
                <w:rFonts w:ascii="Arial" w:hAnsi="Arial" w:cs="Arial"/>
                <w:sz w:val="20"/>
                <w:szCs w:val="20"/>
              </w:rPr>
              <w:t>Not usable with metallic objects inside patient</w:t>
            </w:r>
          </w:p>
          <w:p w14:paraId="6468FF46" w14:textId="77777777" w:rsidR="00C373DF" w:rsidRPr="00735ABA" w:rsidRDefault="00C373DF" w:rsidP="00862297">
            <w:pPr>
              <w:numPr>
                <w:ilvl w:val="0"/>
                <w:numId w:val="22"/>
              </w:numPr>
              <w:tabs>
                <w:tab w:val="clear" w:pos="720"/>
              </w:tabs>
              <w:ind w:left="216" w:right="-136" w:hanging="180"/>
              <w:rPr>
                <w:rFonts w:ascii="Arial" w:hAnsi="Arial" w:cs="Arial"/>
                <w:sz w:val="20"/>
                <w:szCs w:val="20"/>
              </w:rPr>
            </w:pPr>
            <w:r w:rsidRPr="00735ABA">
              <w:rPr>
                <w:rFonts w:ascii="Arial" w:hAnsi="Arial" w:cs="Arial"/>
                <w:sz w:val="20"/>
                <w:szCs w:val="20"/>
              </w:rPr>
              <w:t>No information of functionality</w:t>
            </w:r>
          </w:p>
          <w:p w14:paraId="2B15FF84" w14:textId="77777777" w:rsidR="00C373DF" w:rsidRPr="00735ABA" w:rsidRDefault="00C373DF" w:rsidP="00862297">
            <w:pPr>
              <w:numPr>
                <w:ilvl w:val="0"/>
                <w:numId w:val="22"/>
              </w:numPr>
              <w:tabs>
                <w:tab w:val="clear" w:pos="720"/>
              </w:tabs>
              <w:ind w:left="216" w:right="-136" w:hanging="180"/>
              <w:rPr>
                <w:rFonts w:ascii="Arial" w:hAnsi="Arial" w:cs="Arial"/>
                <w:sz w:val="20"/>
                <w:szCs w:val="20"/>
              </w:rPr>
            </w:pPr>
            <w:r w:rsidRPr="00735ABA">
              <w:rPr>
                <w:rFonts w:ascii="Arial" w:hAnsi="Arial" w:cs="Arial"/>
                <w:sz w:val="20"/>
                <w:szCs w:val="20"/>
              </w:rPr>
              <w:t>Poor prediction of malignancy</w:t>
            </w:r>
          </w:p>
        </w:tc>
      </w:tr>
      <w:tr w:rsidR="008B4175" w:rsidRPr="00735ABA" w14:paraId="644369A5" w14:textId="77777777" w:rsidTr="00862297">
        <w:tc>
          <w:tcPr>
            <w:tcW w:w="1548" w:type="dxa"/>
            <w:shd w:val="clear" w:color="auto" w:fill="auto"/>
          </w:tcPr>
          <w:p w14:paraId="1D96F266" w14:textId="77777777" w:rsidR="008B4175" w:rsidRPr="00735ABA" w:rsidRDefault="00C373DF" w:rsidP="00862297">
            <w:pPr>
              <w:ind w:right="-136"/>
              <w:rPr>
                <w:rFonts w:ascii="Arial" w:hAnsi="Arial" w:cs="Arial"/>
                <w:sz w:val="20"/>
                <w:szCs w:val="20"/>
              </w:rPr>
            </w:pPr>
            <w:r w:rsidRPr="00735ABA">
              <w:rPr>
                <w:rFonts w:ascii="Arial" w:hAnsi="Arial" w:cs="Arial"/>
                <w:sz w:val="20"/>
                <w:szCs w:val="20"/>
              </w:rPr>
              <w:t>PET</w:t>
            </w:r>
          </w:p>
        </w:tc>
        <w:tc>
          <w:tcPr>
            <w:tcW w:w="4356" w:type="dxa"/>
            <w:shd w:val="clear" w:color="auto" w:fill="auto"/>
          </w:tcPr>
          <w:p w14:paraId="42DDF524" w14:textId="77777777" w:rsidR="008B4175" w:rsidRPr="00735ABA" w:rsidRDefault="00C373DF" w:rsidP="00862297">
            <w:pPr>
              <w:numPr>
                <w:ilvl w:val="0"/>
                <w:numId w:val="23"/>
              </w:numPr>
              <w:tabs>
                <w:tab w:val="clear" w:pos="720"/>
              </w:tabs>
              <w:ind w:left="252" w:right="-136" w:hanging="180"/>
              <w:rPr>
                <w:rFonts w:ascii="Arial" w:hAnsi="Arial" w:cs="Arial"/>
                <w:sz w:val="20"/>
                <w:szCs w:val="20"/>
              </w:rPr>
            </w:pPr>
            <w:r w:rsidRPr="00735ABA">
              <w:rPr>
                <w:rFonts w:ascii="Arial" w:hAnsi="Arial" w:cs="Arial"/>
                <w:sz w:val="20"/>
                <w:szCs w:val="20"/>
              </w:rPr>
              <w:t>Information of functionality</w:t>
            </w:r>
          </w:p>
          <w:p w14:paraId="581247DC" w14:textId="77777777" w:rsidR="00C373DF" w:rsidRPr="00735ABA" w:rsidRDefault="00C373DF" w:rsidP="00862297">
            <w:pPr>
              <w:numPr>
                <w:ilvl w:val="0"/>
                <w:numId w:val="23"/>
              </w:numPr>
              <w:tabs>
                <w:tab w:val="clear" w:pos="720"/>
              </w:tabs>
              <w:ind w:left="252" w:right="-136" w:hanging="180"/>
              <w:rPr>
                <w:rFonts w:ascii="Arial" w:hAnsi="Arial" w:cs="Arial"/>
                <w:sz w:val="20"/>
                <w:szCs w:val="20"/>
              </w:rPr>
            </w:pPr>
            <w:r w:rsidRPr="00735ABA">
              <w:rPr>
                <w:rFonts w:ascii="Arial" w:hAnsi="Arial" w:cs="Arial"/>
                <w:sz w:val="20"/>
                <w:szCs w:val="20"/>
              </w:rPr>
              <w:t>Metabolic investigations</w:t>
            </w:r>
          </w:p>
          <w:p w14:paraId="505B9E55" w14:textId="77777777" w:rsidR="00C373DF" w:rsidRPr="00735ABA" w:rsidRDefault="00C373DF" w:rsidP="00862297">
            <w:pPr>
              <w:numPr>
                <w:ilvl w:val="0"/>
                <w:numId w:val="23"/>
              </w:numPr>
              <w:tabs>
                <w:tab w:val="clear" w:pos="720"/>
              </w:tabs>
              <w:ind w:left="252" w:right="-136" w:hanging="180"/>
              <w:rPr>
                <w:rFonts w:ascii="Arial" w:hAnsi="Arial" w:cs="Arial"/>
                <w:sz w:val="20"/>
                <w:szCs w:val="20"/>
              </w:rPr>
            </w:pPr>
            <w:r w:rsidRPr="00735ABA">
              <w:rPr>
                <w:rFonts w:ascii="Arial" w:hAnsi="Arial" w:cs="Arial"/>
                <w:sz w:val="20"/>
                <w:szCs w:val="20"/>
              </w:rPr>
              <w:t>Good prediction of malignancy</w:t>
            </w:r>
          </w:p>
        </w:tc>
        <w:tc>
          <w:tcPr>
            <w:tcW w:w="2952" w:type="dxa"/>
            <w:shd w:val="clear" w:color="auto" w:fill="auto"/>
          </w:tcPr>
          <w:p w14:paraId="65D613CB" w14:textId="77777777" w:rsidR="008B4175" w:rsidRPr="00735ABA" w:rsidRDefault="00C373DF" w:rsidP="00862297">
            <w:pPr>
              <w:numPr>
                <w:ilvl w:val="0"/>
                <w:numId w:val="23"/>
              </w:numPr>
              <w:tabs>
                <w:tab w:val="clear" w:pos="720"/>
              </w:tabs>
              <w:ind w:left="216" w:right="-136" w:hanging="180"/>
              <w:rPr>
                <w:rFonts w:ascii="Arial" w:hAnsi="Arial" w:cs="Arial"/>
                <w:sz w:val="20"/>
                <w:szCs w:val="20"/>
              </w:rPr>
            </w:pPr>
            <w:r w:rsidRPr="00735ABA">
              <w:rPr>
                <w:rFonts w:ascii="Arial" w:hAnsi="Arial" w:cs="Arial"/>
                <w:sz w:val="20"/>
                <w:szCs w:val="20"/>
              </w:rPr>
              <w:t>Low availability and high cost</w:t>
            </w:r>
          </w:p>
          <w:p w14:paraId="60C248AE" w14:textId="77777777" w:rsidR="00C373DF" w:rsidRPr="00735ABA" w:rsidRDefault="00C373DF" w:rsidP="00862297">
            <w:pPr>
              <w:numPr>
                <w:ilvl w:val="0"/>
                <w:numId w:val="23"/>
              </w:numPr>
              <w:tabs>
                <w:tab w:val="clear" w:pos="720"/>
              </w:tabs>
              <w:ind w:left="216" w:right="-136" w:hanging="180"/>
              <w:rPr>
                <w:rFonts w:ascii="Arial" w:hAnsi="Arial" w:cs="Arial"/>
                <w:sz w:val="20"/>
                <w:szCs w:val="20"/>
              </w:rPr>
            </w:pPr>
            <w:r w:rsidRPr="00735ABA">
              <w:rPr>
                <w:rFonts w:ascii="Arial" w:hAnsi="Arial" w:cs="Arial"/>
                <w:sz w:val="20"/>
                <w:szCs w:val="20"/>
              </w:rPr>
              <w:t>Requires specialized units</w:t>
            </w:r>
          </w:p>
          <w:p w14:paraId="186B37AB" w14:textId="77777777" w:rsidR="00C373DF" w:rsidRPr="00735ABA" w:rsidRDefault="00C373DF" w:rsidP="00862297">
            <w:pPr>
              <w:numPr>
                <w:ilvl w:val="0"/>
                <w:numId w:val="23"/>
              </w:numPr>
              <w:tabs>
                <w:tab w:val="clear" w:pos="720"/>
              </w:tabs>
              <w:ind w:left="216" w:right="-136" w:hanging="180"/>
              <w:rPr>
                <w:rFonts w:ascii="Arial" w:hAnsi="Arial" w:cs="Arial"/>
                <w:sz w:val="20"/>
                <w:szCs w:val="20"/>
              </w:rPr>
            </w:pPr>
            <w:r w:rsidRPr="00735ABA">
              <w:rPr>
                <w:rFonts w:ascii="Arial" w:hAnsi="Arial" w:cs="Arial"/>
                <w:sz w:val="20"/>
                <w:szCs w:val="20"/>
              </w:rPr>
              <w:t>Ionizing irradiation</w:t>
            </w:r>
          </w:p>
        </w:tc>
      </w:tr>
      <w:tr w:rsidR="00C373DF" w:rsidRPr="00735ABA" w14:paraId="7801FCF1" w14:textId="77777777" w:rsidTr="00862297">
        <w:tc>
          <w:tcPr>
            <w:tcW w:w="8856" w:type="dxa"/>
            <w:gridSpan w:val="3"/>
            <w:shd w:val="clear" w:color="auto" w:fill="auto"/>
          </w:tcPr>
          <w:p w14:paraId="0938C692" w14:textId="77777777" w:rsidR="00280D24" w:rsidRPr="00735ABA" w:rsidRDefault="00280D24" w:rsidP="00862297">
            <w:pPr>
              <w:ind w:right="-136"/>
              <w:rPr>
                <w:rFonts w:ascii="Arial" w:hAnsi="Arial" w:cs="Arial"/>
                <w:sz w:val="20"/>
                <w:szCs w:val="20"/>
              </w:rPr>
            </w:pPr>
          </w:p>
          <w:p w14:paraId="62268A88" w14:textId="5A3CC909" w:rsidR="00C373DF" w:rsidRPr="00735ABA" w:rsidRDefault="00C373DF" w:rsidP="00862297">
            <w:pPr>
              <w:ind w:right="-136"/>
              <w:rPr>
                <w:rFonts w:ascii="Arial" w:hAnsi="Arial" w:cs="Arial"/>
                <w:sz w:val="20"/>
                <w:szCs w:val="20"/>
              </w:rPr>
            </w:pPr>
            <w:r w:rsidRPr="00735ABA">
              <w:rPr>
                <w:rFonts w:ascii="Arial" w:hAnsi="Arial" w:cs="Arial"/>
                <w:sz w:val="20"/>
                <w:szCs w:val="20"/>
              </w:rPr>
              <w:t xml:space="preserve">CT, Computed tomography. MR, magnetic </w:t>
            </w:r>
            <w:r w:rsidR="00BC78C7">
              <w:rPr>
                <w:rFonts w:ascii="Arial" w:hAnsi="Arial" w:cs="Arial"/>
                <w:sz w:val="20"/>
                <w:szCs w:val="20"/>
              </w:rPr>
              <w:t>r</w:t>
            </w:r>
            <w:r w:rsidR="00CE2D6C" w:rsidRPr="00735ABA">
              <w:rPr>
                <w:rFonts w:ascii="Arial" w:hAnsi="Arial" w:cs="Arial"/>
                <w:sz w:val="20"/>
                <w:szCs w:val="20"/>
              </w:rPr>
              <w:t>esonance</w:t>
            </w:r>
            <w:r w:rsidRPr="00735ABA">
              <w:rPr>
                <w:rFonts w:ascii="Arial" w:hAnsi="Arial" w:cs="Arial"/>
                <w:sz w:val="20"/>
                <w:szCs w:val="20"/>
              </w:rPr>
              <w:tab/>
            </w:r>
          </w:p>
          <w:p w14:paraId="7B9D65C9" w14:textId="77777777" w:rsidR="00C373DF" w:rsidRPr="00735ABA" w:rsidRDefault="00C373DF" w:rsidP="00862297">
            <w:pPr>
              <w:ind w:right="-136"/>
              <w:rPr>
                <w:rFonts w:ascii="Arial" w:hAnsi="Arial" w:cs="Arial"/>
                <w:sz w:val="20"/>
                <w:szCs w:val="20"/>
              </w:rPr>
            </w:pPr>
          </w:p>
          <w:p w14:paraId="6056BCD0" w14:textId="2A634BDE" w:rsidR="00C373DF" w:rsidRPr="00735ABA" w:rsidRDefault="00C373DF" w:rsidP="00862297">
            <w:pPr>
              <w:ind w:right="-136"/>
              <w:rPr>
                <w:rFonts w:ascii="Arial" w:hAnsi="Arial" w:cs="Arial"/>
                <w:sz w:val="20"/>
                <w:szCs w:val="20"/>
              </w:rPr>
            </w:pPr>
            <w:r w:rsidRPr="00735ABA">
              <w:rPr>
                <w:rFonts w:ascii="Arial" w:hAnsi="Arial" w:cs="Arial"/>
                <w:sz w:val="20"/>
                <w:szCs w:val="20"/>
              </w:rPr>
              <w:t>Modified and adapted from Hegedus et al (</w:t>
            </w:r>
            <w:r w:rsidR="00271689">
              <w:rPr>
                <w:rFonts w:ascii="Arial" w:hAnsi="Arial" w:cs="Arial"/>
                <w:sz w:val="20"/>
                <w:szCs w:val="20"/>
              </w:rPr>
              <w:t>24</w:t>
            </w:r>
            <w:r w:rsidRPr="00735ABA">
              <w:rPr>
                <w:rFonts w:ascii="Arial" w:hAnsi="Arial" w:cs="Arial"/>
                <w:sz w:val="20"/>
                <w:szCs w:val="20"/>
              </w:rPr>
              <w:t>)</w:t>
            </w:r>
          </w:p>
          <w:p w14:paraId="7A966DDF" w14:textId="77777777" w:rsidR="00C373DF" w:rsidRPr="00735ABA" w:rsidRDefault="00C373DF" w:rsidP="00862297">
            <w:pPr>
              <w:ind w:right="-136"/>
              <w:rPr>
                <w:rFonts w:ascii="Arial" w:hAnsi="Arial" w:cs="Arial"/>
                <w:sz w:val="20"/>
                <w:szCs w:val="20"/>
              </w:rPr>
            </w:pPr>
          </w:p>
        </w:tc>
      </w:tr>
    </w:tbl>
    <w:p w14:paraId="7F51B058" w14:textId="77777777" w:rsidR="00AA491A" w:rsidRPr="00735ABA" w:rsidRDefault="00AA491A" w:rsidP="00B55FE6">
      <w:pPr>
        <w:ind w:right="-136"/>
        <w:rPr>
          <w:rFonts w:ascii="Arial" w:hAnsi="Arial" w:cs="Arial"/>
          <w:sz w:val="22"/>
          <w:szCs w:val="22"/>
        </w:rPr>
      </w:pPr>
    </w:p>
    <w:p w14:paraId="7BE7177A" w14:textId="77777777" w:rsidR="00AA491A" w:rsidRPr="00735ABA" w:rsidRDefault="00AA491A" w:rsidP="00C41422">
      <w:pPr>
        <w:pStyle w:val="Heading2"/>
        <w:spacing w:after="240"/>
        <w:rPr>
          <w:iCs w:val="0"/>
          <w:caps/>
          <w:sz w:val="22"/>
          <w:szCs w:val="22"/>
        </w:rPr>
      </w:pPr>
      <w:r w:rsidRPr="00735ABA">
        <w:rPr>
          <w:iCs w:val="0"/>
          <w:caps/>
          <w:sz w:val="22"/>
          <w:szCs w:val="22"/>
        </w:rPr>
        <w:t>Treatment of multinodular goiter</w:t>
      </w:r>
    </w:p>
    <w:p w14:paraId="6B7C98BB" w14:textId="68F94418" w:rsidR="00AA491A" w:rsidRPr="00735ABA" w:rsidRDefault="00AA491A" w:rsidP="00D260D8">
      <w:pPr>
        <w:spacing w:after="240"/>
        <w:ind w:right="-136"/>
        <w:rPr>
          <w:rFonts w:ascii="Arial" w:hAnsi="Arial" w:cs="Arial"/>
          <w:sz w:val="22"/>
          <w:szCs w:val="22"/>
        </w:rPr>
      </w:pPr>
      <w:r w:rsidRPr="00735ABA">
        <w:rPr>
          <w:rFonts w:ascii="Arial" w:hAnsi="Arial" w:cs="Arial"/>
          <w:sz w:val="22"/>
          <w:szCs w:val="22"/>
        </w:rPr>
        <w:t>In the past iodine supplementation seems to be an adequate approach because goiter development is associated with mild iodine deficiency in many countries worldwide. The effect of iodine once a multinodular goiter has developed a limited value in reducting the MNG. A major problem of iodine supplementation is the risk for inducing subclinical / clinical hyperthyroidism (Jod-Basedow). Therefore aside from a few European Countries iodine is no longer used alone or associated with L-T4 to treat thyroid enlargement (</w:t>
      </w:r>
      <w:r w:rsidR="00271689">
        <w:rPr>
          <w:rFonts w:ascii="Arial" w:hAnsi="Arial" w:cs="Arial"/>
          <w:sz w:val="22"/>
          <w:szCs w:val="22"/>
        </w:rPr>
        <w:t>24</w:t>
      </w:r>
      <w:r w:rsidRPr="00735ABA">
        <w:rPr>
          <w:rFonts w:ascii="Arial" w:hAnsi="Arial" w:cs="Arial"/>
          <w:sz w:val="22"/>
          <w:szCs w:val="22"/>
        </w:rPr>
        <w:t>).</w:t>
      </w:r>
    </w:p>
    <w:p w14:paraId="25FC300D" w14:textId="77777777" w:rsidR="00AA491A" w:rsidRPr="00735ABA" w:rsidRDefault="00AA491A" w:rsidP="00B55FE6">
      <w:pPr>
        <w:ind w:right="-136"/>
        <w:rPr>
          <w:rFonts w:ascii="Arial" w:hAnsi="Arial" w:cs="Arial"/>
          <w:sz w:val="22"/>
          <w:szCs w:val="22"/>
        </w:rPr>
      </w:pPr>
      <w:r w:rsidRPr="00735ABA">
        <w:rPr>
          <w:rFonts w:ascii="Arial" w:hAnsi="Arial" w:cs="Arial"/>
          <w:sz w:val="22"/>
          <w:szCs w:val="22"/>
        </w:rPr>
        <w:t>This leaves in essence three modalities of therapy:</w:t>
      </w:r>
    </w:p>
    <w:p w14:paraId="56CC2EC6" w14:textId="77777777" w:rsidR="00AA491A" w:rsidRPr="00735ABA" w:rsidRDefault="00AA491A" w:rsidP="00B55FE6">
      <w:pPr>
        <w:ind w:right="-136" w:firstLine="708"/>
        <w:rPr>
          <w:rFonts w:ascii="Arial" w:hAnsi="Arial" w:cs="Arial"/>
          <w:sz w:val="22"/>
          <w:szCs w:val="22"/>
        </w:rPr>
      </w:pPr>
      <w:r w:rsidRPr="00735ABA">
        <w:rPr>
          <w:rFonts w:ascii="Arial" w:hAnsi="Arial" w:cs="Arial"/>
          <w:sz w:val="22"/>
          <w:szCs w:val="22"/>
        </w:rPr>
        <w:lastRenderedPageBreak/>
        <w:t>(1). L-T4 suppressive therapy</w:t>
      </w:r>
    </w:p>
    <w:p w14:paraId="722B49C7" w14:textId="77777777" w:rsidR="00AA491A" w:rsidRPr="00735ABA" w:rsidRDefault="00AA491A" w:rsidP="00B55FE6">
      <w:pPr>
        <w:ind w:right="-136" w:firstLine="708"/>
        <w:rPr>
          <w:rFonts w:ascii="Arial" w:hAnsi="Arial" w:cs="Arial"/>
          <w:sz w:val="22"/>
          <w:szCs w:val="22"/>
        </w:rPr>
      </w:pPr>
      <w:r w:rsidRPr="00735ABA">
        <w:rPr>
          <w:rFonts w:ascii="Arial" w:hAnsi="Arial" w:cs="Arial"/>
          <w:sz w:val="22"/>
          <w:szCs w:val="22"/>
        </w:rPr>
        <w:t>(2). Radioiodine (¹³¹I) alone or preceded by rhTSH</w:t>
      </w:r>
    </w:p>
    <w:p w14:paraId="01BA4E0F" w14:textId="77777777" w:rsidR="00AA491A" w:rsidRPr="00735ABA" w:rsidRDefault="00AA491A" w:rsidP="00B55FE6">
      <w:pPr>
        <w:ind w:right="-136" w:firstLine="708"/>
        <w:rPr>
          <w:rFonts w:ascii="Arial" w:hAnsi="Arial" w:cs="Arial"/>
          <w:sz w:val="22"/>
          <w:szCs w:val="22"/>
        </w:rPr>
      </w:pPr>
      <w:r w:rsidRPr="00735ABA">
        <w:rPr>
          <w:rFonts w:ascii="Arial" w:hAnsi="Arial" w:cs="Arial"/>
          <w:sz w:val="22"/>
          <w:szCs w:val="22"/>
        </w:rPr>
        <w:t>(3). Surgery</w:t>
      </w:r>
    </w:p>
    <w:p w14:paraId="6351452D" w14:textId="77777777" w:rsidR="003B305B" w:rsidRPr="00735ABA" w:rsidRDefault="003B305B" w:rsidP="00B55FE6">
      <w:pPr>
        <w:ind w:right="-136" w:firstLine="708"/>
        <w:rPr>
          <w:rFonts w:ascii="Arial" w:hAnsi="Arial" w:cs="Arial"/>
          <w:sz w:val="22"/>
          <w:szCs w:val="22"/>
        </w:rPr>
      </w:pPr>
    </w:p>
    <w:p w14:paraId="3FD7C43D" w14:textId="77777777" w:rsidR="00C41422" w:rsidRPr="00735ABA" w:rsidRDefault="00C41422" w:rsidP="00B55FE6">
      <w:pPr>
        <w:ind w:right="-136" w:firstLine="708"/>
        <w:rPr>
          <w:rFonts w:ascii="Arial" w:hAnsi="Arial" w:cs="Arial"/>
          <w:sz w:val="22"/>
          <w:szCs w:val="22"/>
        </w:rPr>
      </w:pPr>
    </w:p>
    <w:p w14:paraId="5390306D" w14:textId="77777777" w:rsidR="00C41422" w:rsidRPr="00735ABA" w:rsidRDefault="00AA491A" w:rsidP="00C41422">
      <w:pPr>
        <w:spacing w:after="240"/>
        <w:ind w:right="-136"/>
        <w:rPr>
          <w:rFonts w:ascii="Arial" w:hAnsi="Arial" w:cs="Arial"/>
          <w:sz w:val="22"/>
          <w:szCs w:val="22"/>
        </w:rPr>
      </w:pPr>
      <w:r w:rsidRPr="00735ABA">
        <w:rPr>
          <w:rFonts w:ascii="Arial" w:hAnsi="Arial" w:cs="Arial"/>
          <w:b/>
          <w:sz w:val="22"/>
          <w:szCs w:val="22"/>
        </w:rPr>
        <w:t>L-T4 suppressive therapy</w:t>
      </w:r>
      <w:r w:rsidRPr="00735ABA">
        <w:rPr>
          <w:rFonts w:ascii="Arial" w:hAnsi="Arial" w:cs="Arial"/>
          <w:sz w:val="22"/>
          <w:szCs w:val="22"/>
        </w:rPr>
        <w:t xml:space="preserve"> </w:t>
      </w:r>
    </w:p>
    <w:p w14:paraId="5D9E9E63" w14:textId="103B47F6" w:rsidR="00AA491A" w:rsidRPr="00735ABA" w:rsidRDefault="00C41422" w:rsidP="00D260D8">
      <w:pPr>
        <w:spacing w:after="240"/>
        <w:ind w:right="-136"/>
        <w:rPr>
          <w:rFonts w:ascii="Arial" w:hAnsi="Arial" w:cs="Arial"/>
          <w:sz w:val="22"/>
          <w:szCs w:val="22"/>
        </w:rPr>
      </w:pPr>
      <w:r w:rsidRPr="00735ABA">
        <w:rPr>
          <w:rFonts w:ascii="Arial" w:hAnsi="Arial" w:cs="Arial"/>
          <w:sz w:val="22"/>
          <w:szCs w:val="22"/>
        </w:rPr>
        <w:t xml:space="preserve">L-T4 suppressive therapy </w:t>
      </w:r>
      <w:r w:rsidR="00AA491A" w:rsidRPr="00735ABA">
        <w:rPr>
          <w:rFonts w:ascii="Arial" w:hAnsi="Arial" w:cs="Arial"/>
          <w:sz w:val="22"/>
          <w:szCs w:val="22"/>
        </w:rPr>
        <w:t>is used extensively both in Europe, USA and Latin America, according to their respective surveys. A beneficial effect of L-T4 has been demonstrated in diffuse goiters in many controlled trials (1</w:t>
      </w:r>
      <w:r w:rsidR="00CE2D6C">
        <w:rPr>
          <w:rFonts w:ascii="Arial" w:hAnsi="Arial" w:cs="Arial"/>
          <w:sz w:val="22"/>
          <w:szCs w:val="22"/>
        </w:rPr>
        <w:t>06</w:t>
      </w:r>
      <w:r w:rsidR="00AA491A" w:rsidRPr="00735ABA">
        <w:rPr>
          <w:rFonts w:ascii="Arial" w:hAnsi="Arial" w:cs="Arial"/>
          <w:sz w:val="22"/>
          <w:szCs w:val="22"/>
        </w:rPr>
        <w:t>-1</w:t>
      </w:r>
      <w:r w:rsidR="00CE2D6C">
        <w:rPr>
          <w:rFonts w:ascii="Arial" w:hAnsi="Arial" w:cs="Arial"/>
          <w:sz w:val="22"/>
          <w:szCs w:val="22"/>
        </w:rPr>
        <w:t>12</w:t>
      </w:r>
      <w:r w:rsidR="00AA491A" w:rsidRPr="00735ABA">
        <w:rPr>
          <w:rFonts w:ascii="Arial" w:hAnsi="Arial" w:cs="Arial"/>
          <w:sz w:val="22"/>
          <w:szCs w:val="22"/>
        </w:rPr>
        <w:t>). A goiter reduction of 20-40% can be expected in 3-6 months of therapy, the goiter returning to the pre-treatment size after L-T4 withdrawal. The efficacy of L-T4 is shown to depend on the degree of TSH suppre</w:t>
      </w:r>
      <w:r w:rsidR="00830A21">
        <w:rPr>
          <w:rFonts w:ascii="Arial" w:hAnsi="Arial" w:cs="Arial"/>
          <w:sz w:val="22"/>
          <w:szCs w:val="22"/>
        </w:rPr>
        <w:t>ssion. When it comes to the non</w:t>
      </w:r>
      <w:r w:rsidR="00AA491A" w:rsidRPr="00735ABA">
        <w:rPr>
          <w:rFonts w:ascii="Arial" w:hAnsi="Arial" w:cs="Arial"/>
          <w:sz w:val="22"/>
          <w:szCs w:val="22"/>
        </w:rPr>
        <w:t xml:space="preserve">toxic MNG there are five controlled studies in which sonography was used for objective size monitoring. </w:t>
      </w:r>
      <w:r w:rsidR="00AA491A" w:rsidRPr="003B5DCF">
        <w:rPr>
          <w:rFonts w:ascii="Arial" w:hAnsi="Arial" w:cs="Arial"/>
          <w:sz w:val="22"/>
          <w:szCs w:val="22"/>
        </w:rPr>
        <w:t>Berghout et al (</w:t>
      </w:r>
      <w:r w:rsidR="003B5DCF" w:rsidRPr="00BC78C7">
        <w:rPr>
          <w:rFonts w:ascii="Arial" w:hAnsi="Arial" w:cs="Arial"/>
          <w:sz w:val="22"/>
          <w:szCs w:val="22"/>
        </w:rPr>
        <w:t>113</w:t>
      </w:r>
      <w:r w:rsidR="00AA491A" w:rsidRPr="00984B75">
        <w:rPr>
          <w:rFonts w:ascii="Arial" w:hAnsi="Arial" w:cs="Arial"/>
          <w:sz w:val="22"/>
          <w:szCs w:val="22"/>
        </w:rPr>
        <w:t>)</w:t>
      </w:r>
      <w:r w:rsidR="00AA491A" w:rsidRPr="00735ABA">
        <w:rPr>
          <w:rFonts w:ascii="Arial" w:hAnsi="Arial" w:cs="Arial"/>
          <w:sz w:val="22"/>
          <w:szCs w:val="22"/>
        </w:rPr>
        <w:t xml:space="preserve"> in a randomized double-blind trial showed that the goiter volume was reduced by 15% (9 months of L-T4 therapy). In the placebo group the goiter continued to increase in size by more than 20% in the 9 months period. The goiter volume returned to baseline values after discontinuation of the therapy. Lima et al  (1</w:t>
      </w:r>
      <w:r w:rsidR="00984B75">
        <w:rPr>
          <w:rFonts w:ascii="Arial" w:hAnsi="Arial" w:cs="Arial"/>
          <w:sz w:val="22"/>
          <w:szCs w:val="22"/>
        </w:rPr>
        <w:t>09</w:t>
      </w:r>
      <w:r w:rsidR="00AA491A" w:rsidRPr="00735ABA">
        <w:rPr>
          <w:rFonts w:ascii="Arial" w:hAnsi="Arial" w:cs="Arial"/>
          <w:sz w:val="22"/>
          <w:szCs w:val="22"/>
        </w:rPr>
        <w:t>) studied 62 patients with nodular goiter. Thirty per cent of patients were regarded as responders (reduction &gt; 50% of the initial volume). In the control group 87% showed no change or an increase in goiter size. Wesche et al (1</w:t>
      </w:r>
      <w:r w:rsidR="00984B75">
        <w:rPr>
          <w:rFonts w:ascii="Arial" w:hAnsi="Arial" w:cs="Arial"/>
          <w:sz w:val="22"/>
          <w:szCs w:val="22"/>
        </w:rPr>
        <w:t>10</w:t>
      </w:r>
      <w:r w:rsidR="00AA491A" w:rsidRPr="00735ABA">
        <w:rPr>
          <w:rFonts w:ascii="Arial" w:hAnsi="Arial" w:cs="Arial"/>
          <w:sz w:val="22"/>
          <w:szCs w:val="22"/>
        </w:rPr>
        <w:t>) compared L-T4 with ¹³¹I therapy in a randomized trial. The median reduction of goiter volume in the radioiodine treated group was 38-44% whereas only 7% of the L-T4 treated patients had a significant goiter reduction.</w:t>
      </w:r>
    </w:p>
    <w:p w14:paraId="292F1F2C" w14:textId="4D445BD8" w:rsidR="00AA491A" w:rsidRPr="00735ABA" w:rsidRDefault="00AA491A" w:rsidP="00B55FE6">
      <w:pPr>
        <w:ind w:right="-136"/>
        <w:rPr>
          <w:rFonts w:ascii="Arial" w:hAnsi="Arial" w:cs="Arial"/>
          <w:sz w:val="22"/>
          <w:szCs w:val="22"/>
        </w:rPr>
      </w:pPr>
      <w:r w:rsidRPr="00735ABA">
        <w:rPr>
          <w:rFonts w:ascii="Arial" w:hAnsi="Arial" w:cs="Arial"/>
          <w:sz w:val="22"/>
          <w:szCs w:val="22"/>
        </w:rPr>
        <w:t>Papini et al (1</w:t>
      </w:r>
      <w:r w:rsidR="00984B75">
        <w:rPr>
          <w:rFonts w:ascii="Arial" w:hAnsi="Arial" w:cs="Arial"/>
          <w:sz w:val="22"/>
          <w:szCs w:val="22"/>
        </w:rPr>
        <w:t>11</w:t>
      </w:r>
      <w:r w:rsidRPr="00735ABA">
        <w:rPr>
          <w:rFonts w:ascii="Arial" w:hAnsi="Arial" w:cs="Arial"/>
          <w:sz w:val="22"/>
          <w:szCs w:val="22"/>
        </w:rPr>
        <w:t xml:space="preserve">) treated 83 goitrous patients (nodular goiter) with suppressive doses of L-T4 comparing the results with a control group. The L-T4 therapy was extended for 5 years. There was a decrease in nodular size in the L-T4 treated group and a mean volume increase in the control group. After 5 years sonograms detected 28.5% new nodules in the control group but only 7.5% in the L-T4 treated group. In conclusion long term TSH suppression induced volume reduction in a subgroup of thyroid nodules but effectively prevented the appearance of new nodules. </w:t>
      </w:r>
    </w:p>
    <w:p w14:paraId="0FCBA158" w14:textId="134BC6D2" w:rsidR="00AA491A" w:rsidRPr="00735ABA" w:rsidRDefault="00AA491A" w:rsidP="00B55FE6">
      <w:pPr>
        <w:ind w:right="-136"/>
        <w:rPr>
          <w:rFonts w:ascii="Arial" w:hAnsi="Arial" w:cs="Arial"/>
          <w:sz w:val="22"/>
          <w:szCs w:val="22"/>
        </w:rPr>
      </w:pPr>
      <w:r w:rsidRPr="00735ABA">
        <w:rPr>
          <w:rFonts w:ascii="Arial" w:hAnsi="Arial" w:cs="Arial"/>
          <w:sz w:val="22"/>
          <w:szCs w:val="22"/>
        </w:rPr>
        <w:t>Zelmanovitz et al (1</w:t>
      </w:r>
      <w:r w:rsidR="00984B75">
        <w:rPr>
          <w:rFonts w:ascii="Arial" w:hAnsi="Arial" w:cs="Arial"/>
          <w:sz w:val="22"/>
          <w:szCs w:val="22"/>
        </w:rPr>
        <w:t>12</w:t>
      </w:r>
      <w:r w:rsidRPr="00735ABA">
        <w:rPr>
          <w:rFonts w:ascii="Arial" w:hAnsi="Arial" w:cs="Arial"/>
          <w:sz w:val="22"/>
          <w:szCs w:val="22"/>
        </w:rPr>
        <w:t>) studied 42 women with a single colloid nodule. Twenty one patients were treated with 2.7µg/kg of L-T4 for one year. Six of the 21 treated patients had a &gt;50% reduction of the nodule volume as evaluated by sonography as compared to only 2 (out of 24 patients) that received placebo. They concluded that L-T4 therapy is associated with 17% of reduction of a single colloid nodule and may inhibit growth in other patients. They also conducted a meta-analysis of 6 prospective controlled trials and concluded that four of seven studies favors treatment with L-T4. The treatment of single nodules or multinodular goiter with L-T4 is an open issue as the reduction of the nodule / MNG is only obtained in about one third of patients. The possible unwanted effects of L-T4 therapy have also to be considered (1</w:t>
      </w:r>
      <w:r w:rsidR="00984B75">
        <w:rPr>
          <w:rFonts w:ascii="Arial" w:hAnsi="Arial" w:cs="Arial"/>
          <w:sz w:val="22"/>
          <w:szCs w:val="22"/>
        </w:rPr>
        <w:t>14</w:t>
      </w:r>
      <w:r w:rsidRPr="00735ABA">
        <w:rPr>
          <w:rFonts w:ascii="Arial" w:hAnsi="Arial" w:cs="Arial"/>
          <w:sz w:val="22"/>
          <w:szCs w:val="22"/>
        </w:rPr>
        <w:t>, 1</w:t>
      </w:r>
      <w:r w:rsidR="00984B75">
        <w:rPr>
          <w:rFonts w:ascii="Arial" w:hAnsi="Arial" w:cs="Arial"/>
          <w:sz w:val="22"/>
          <w:szCs w:val="22"/>
        </w:rPr>
        <w:t>15</w:t>
      </w:r>
      <w:r w:rsidRPr="00735ABA">
        <w:rPr>
          <w:rFonts w:ascii="Arial" w:hAnsi="Arial" w:cs="Arial"/>
          <w:sz w:val="22"/>
          <w:szCs w:val="22"/>
        </w:rPr>
        <w:t>).</w:t>
      </w:r>
    </w:p>
    <w:p w14:paraId="11F975F4" w14:textId="77777777" w:rsidR="001E0CFC" w:rsidRDefault="001E0CFC" w:rsidP="00B55FE6">
      <w:pPr>
        <w:ind w:right="-136"/>
        <w:rPr>
          <w:rFonts w:ascii="Arial" w:hAnsi="Arial" w:cs="Arial"/>
          <w:sz w:val="22"/>
          <w:szCs w:val="22"/>
        </w:rPr>
      </w:pPr>
    </w:p>
    <w:p w14:paraId="6D672709" w14:textId="77777777" w:rsidR="003811F8" w:rsidRDefault="003811F8" w:rsidP="00B55FE6">
      <w:pPr>
        <w:ind w:right="-136"/>
        <w:rPr>
          <w:rFonts w:ascii="Arial" w:hAnsi="Arial" w:cs="Arial"/>
          <w:sz w:val="22"/>
          <w:szCs w:val="22"/>
        </w:rPr>
      </w:pPr>
    </w:p>
    <w:p w14:paraId="295166BA" w14:textId="77777777" w:rsidR="003811F8" w:rsidRDefault="003811F8" w:rsidP="00B55FE6">
      <w:pPr>
        <w:ind w:right="-136"/>
        <w:rPr>
          <w:rFonts w:ascii="Arial" w:hAnsi="Arial" w:cs="Arial"/>
          <w:sz w:val="22"/>
          <w:szCs w:val="22"/>
        </w:rPr>
      </w:pPr>
    </w:p>
    <w:p w14:paraId="32DEBB1F" w14:textId="77777777" w:rsidR="003811F8" w:rsidRDefault="003811F8" w:rsidP="00B55FE6">
      <w:pPr>
        <w:ind w:right="-136"/>
        <w:rPr>
          <w:rFonts w:ascii="Arial" w:hAnsi="Arial" w:cs="Arial"/>
          <w:sz w:val="22"/>
          <w:szCs w:val="22"/>
        </w:rPr>
      </w:pPr>
    </w:p>
    <w:p w14:paraId="25BD6E07" w14:textId="77777777" w:rsidR="003811F8" w:rsidRDefault="003811F8" w:rsidP="00B55FE6">
      <w:pPr>
        <w:ind w:right="-136"/>
        <w:rPr>
          <w:rFonts w:ascii="Arial" w:hAnsi="Arial" w:cs="Arial"/>
          <w:sz w:val="22"/>
          <w:szCs w:val="22"/>
        </w:rPr>
      </w:pPr>
    </w:p>
    <w:p w14:paraId="6F32CD3E" w14:textId="77777777" w:rsidR="003811F8" w:rsidRDefault="003811F8" w:rsidP="00B55FE6">
      <w:pPr>
        <w:ind w:right="-136"/>
        <w:rPr>
          <w:rFonts w:ascii="Arial" w:hAnsi="Arial" w:cs="Arial"/>
          <w:sz w:val="22"/>
          <w:szCs w:val="22"/>
        </w:rPr>
      </w:pPr>
    </w:p>
    <w:p w14:paraId="0AF8C767" w14:textId="77777777" w:rsidR="003811F8" w:rsidRDefault="003811F8" w:rsidP="00B55FE6">
      <w:pPr>
        <w:ind w:right="-136"/>
        <w:rPr>
          <w:rFonts w:ascii="Arial" w:hAnsi="Arial" w:cs="Arial"/>
          <w:sz w:val="22"/>
          <w:szCs w:val="22"/>
        </w:rPr>
      </w:pPr>
    </w:p>
    <w:p w14:paraId="050661E9" w14:textId="77777777" w:rsidR="003811F8" w:rsidRDefault="003811F8" w:rsidP="00B55FE6">
      <w:pPr>
        <w:ind w:right="-136"/>
        <w:rPr>
          <w:rFonts w:ascii="Arial" w:hAnsi="Arial" w:cs="Arial"/>
          <w:sz w:val="22"/>
          <w:szCs w:val="22"/>
        </w:rPr>
      </w:pPr>
    </w:p>
    <w:p w14:paraId="60E6D08E" w14:textId="77777777" w:rsidR="003811F8" w:rsidRDefault="003811F8" w:rsidP="00B55FE6">
      <w:pPr>
        <w:ind w:right="-136"/>
        <w:rPr>
          <w:rFonts w:ascii="Arial" w:hAnsi="Arial" w:cs="Arial"/>
          <w:sz w:val="22"/>
          <w:szCs w:val="22"/>
        </w:rPr>
      </w:pPr>
    </w:p>
    <w:p w14:paraId="11DBB82C" w14:textId="77777777" w:rsidR="003811F8" w:rsidRPr="00735ABA" w:rsidRDefault="003811F8" w:rsidP="00B55FE6">
      <w:pPr>
        <w:ind w:right="-136"/>
        <w:rPr>
          <w:rFonts w:ascii="Arial" w:hAnsi="Arial" w:cs="Arial"/>
          <w:sz w:val="22"/>
          <w:szCs w:val="22"/>
        </w:rPr>
      </w:pPr>
    </w:p>
    <w:p w14:paraId="2A2EC1F9" w14:textId="77777777" w:rsidR="001E0CFC" w:rsidRPr="00735ABA" w:rsidRDefault="001E0CFC" w:rsidP="00B55FE6">
      <w:pPr>
        <w:ind w:right="-136"/>
        <w:rPr>
          <w:rFonts w:ascii="Arial" w:hAnsi="Arial" w:cs="Arial"/>
          <w:sz w:val="22"/>
          <w:szCs w:val="22"/>
        </w:rPr>
      </w:pPr>
    </w:p>
    <w:tbl>
      <w:tblPr>
        <w:tblW w:w="9426"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96"/>
        <w:gridCol w:w="567"/>
        <w:gridCol w:w="1701"/>
        <w:gridCol w:w="1560"/>
        <w:gridCol w:w="1701"/>
        <w:gridCol w:w="1701"/>
      </w:tblGrid>
      <w:tr w:rsidR="001E0CFC" w:rsidRPr="00735ABA" w14:paraId="084B5CAC" w14:textId="77777777" w:rsidTr="00D70544">
        <w:trPr>
          <w:trHeight w:val="272"/>
        </w:trPr>
        <w:tc>
          <w:tcPr>
            <w:tcW w:w="9426" w:type="dxa"/>
            <w:gridSpan w:val="6"/>
            <w:tcBorders>
              <w:top w:val="single" w:sz="8" w:space="0" w:color="000000"/>
              <w:bottom w:val="single" w:sz="8" w:space="0" w:color="000000"/>
            </w:tcBorders>
            <w:shd w:val="clear" w:color="auto" w:fill="99CCFF"/>
          </w:tcPr>
          <w:p w14:paraId="5ED42700"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b/>
                <w:bCs/>
                <w:sz w:val="22"/>
                <w:szCs w:val="22"/>
              </w:rPr>
              <w:lastRenderedPageBreak/>
              <w:t xml:space="preserve">Table 17-6: </w:t>
            </w:r>
            <w:r w:rsidRPr="00735ABA">
              <w:rPr>
                <w:rFonts w:ascii="Arial" w:eastAsia="Calibri" w:hAnsi="Arial" w:cs="Arial"/>
                <w:sz w:val="22"/>
                <w:szCs w:val="22"/>
              </w:rPr>
              <w:t xml:space="preserve">Controlled studies of L-T4 therapy in multinodular goiter using a </w:t>
            </w:r>
          </w:p>
          <w:p w14:paraId="0BE91806"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                    precise thyroid size determination </w:t>
            </w:r>
          </w:p>
        </w:tc>
      </w:tr>
      <w:tr w:rsidR="00D70544" w:rsidRPr="00735ABA" w14:paraId="71AFAABA" w14:textId="77777777" w:rsidTr="00D70544">
        <w:trPr>
          <w:trHeight w:val="404"/>
        </w:trPr>
        <w:tc>
          <w:tcPr>
            <w:tcW w:w="2196" w:type="dxa"/>
            <w:tcBorders>
              <w:top w:val="single" w:sz="8" w:space="0" w:color="000000"/>
              <w:bottom w:val="single" w:sz="8" w:space="0" w:color="000000"/>
              <w:right w:val="single" w:sz="8" w:space="0" w:color="000000"/>
            </w:tcBorders>
          </w:tcPr>
          <w:p w14:paraId="4E2EF8B1" w14:textId="77777777" w:rsidR="001E0CFC" w:rsidRPr="00735ABA" w:rsidRDefault="001E0CFC" w:rsidP="001E0CFC">
            <w:pPr>
              <w:autoSpaceDE w:val="0"/>
              <w:autoSpaceDN w:val="0"/>
              <w:adjustRightInd w:val="0"/>
              <w:jc w:val="center"/>
              <w:rPr>
                <w:rFonts w:ascii="Arial" w:eastAsia="Calibri" w:hAnsi="Arial" w:cs="Arial"/>
                <w:sz w:val="22"/>
                <w:szCs w:val="22"/>
              </w:rPr>
            </w:pPr>
            <w:r w:rsidRPr="00735ABA">
              <w:rPr>
                <w:rFonts w:ascii="Arial" w:eastAsia="Calibri" w:hAnsi="Arial" w:cs="Arial"/>
                <w:b/>
                <w:bCs/>
                <w:sz w:val="22"/>
                <w:szCs w:val="22"/>
              </w:rPr>
              <w:t>Authors (Country)</w:t>
            </w:r>
          </w:p>
        </w:tc>
        <w:tc>
          <w:tcPr>
            <w:tcW w:w="567" w:type="dxa"/>
            <w:tcBorders>
              <w:top w:val="single" w:sz="8" w:space="0" w:color="000000"/>
              <w:left w:val="single" w:sz="8" w:space="0" w:color="000000"/>
              <w:bottom w:val="single" w:sz="8" w:space="0" w:color="000000"/>
              <w:right w:val="single" w:sz="8" w:space="0" w:color="000000"/>
            </w:tcBorders>
          </w:tcPr>
          <w:p w14:paraId="7B077FB4" w14:textId="77777777" w:rsidR="001E0CFC" w:rsidRPr="00735ABA" w:rsidRDefault="001E0CFC" w:rsidP="001E0CFC">
            <w:pPr>
              <w:autoSpaceDE w:val="0"/>
              <w:autoSpaceDN w:val="0"/>
              <w:adjustRightInd w:val="0"/>
              <w:jc w:val="center"/>
              <w:rPr>
                <w:rFonts w:ascii="Arial" w:eastAsia="Calibri" w:hAnsi="Arial" w:cs="Arial"/>
                <w:sz w:val="22"/>
                <w:szCs w:val="22"/>
              </w:rPr>
            </w:pPr>
            <w:r w:rsidRPr="00735ABA">
              <w:rPr>
                <w:rFonts w:ascii="Arial" w:eastAsia="Calibri" w:hAnsi="Arial" w:cs="Arial"/>
                <w:b/>
                <w:bCs/>
                <w:sz w:val="22"/>
                <w:szCs w:val="22"/>
              </w:rPr>
              <w:t>(n)</w:t>
            </w:r>
          </w:p>
        </w:tc>
        <w:tc>
          <w:tcPr>
            <w:tcW w:w="1701" w:type="dxa"/>
            <w:tcBorders>
              <w:top w:val="single" w:sz="8" w:space="0" w:color="000000"/>
              <w:left w:val="single" w:sz="8" w:space="0" w:color="000000"/>
              <w:bottom w:val="single" w:sz="8" w:space="0" w:color="000000"/>
              <w:right w:val="single" w:sz="8" w:space="0" w:color="000000"/>
            </w:tcBorders>
          </w:tcPr>
          <w:p w14:paraId="69BB21B0" w14:textId="77777777" w:rsidR="001E0CFC" w:rsidRPr="00735ABA" w:rsidRDefault="001E0CFC" w:rsidP="001E0CFC">
            <w:pPr>
              <w:autoSpaceDE w:val="0"/>
              <w:autoSpaceDN w:val="0"/>
              <w:adjustRightInd w:val="0"/>
              <w:jc w:val="center"/>
              <w:rPr>
                <w:rFonts w:ascii="Arial" w:eastAsia="Calibri" w:hAnsi="Arial" w:cs="Arial"/>
                <w:b/>
                <w:bCs/>
                <w:sz w:val="22"/>
                <w:szCs w:val="22"/>
              </w:rPr>
            </w:pPr>
            <w:r w:rsidRPr="00735ABA">
              <w:rPr>
                <w:rFonts w:ascii="Arial" w:eastAsia="Calibri" w:hAnsi="Arial" w:cs="Arial"/>
                <w:b/>
                <w:bCs/>
                <w:sz w:val="22"/>
                <w:szCs w:val="22"/>
              </w:rPr>
              <w:t>Duration of</w:t>
            </w:r>
          </w:p>
          <w:p w14:paraId="4B083C2C" w14:textId="77777777" w:rsidR="001E0CFC" w:rsidRPr="00735ABA" w:rsidRDefault="001E0CFC" w:rsidP="001E0CFC">
            <w:pPr>
              <w:autoSpaceDE w:val="0"/>
              <w:autoSpaceDN w:val="0"/>
              <w:adjustRightInd w:val="0"/>
              <w:jc w:val="center"/>
              <w:rPr>
                <w:rFonts w:ascii="Arial" w:eastAsia="Calibri" w:hAnsi="Arial" w:cs="Arial"/>
                <w:sz w:val="22"/>
                <w:szCs w:val="22"/>
              </w:rPr>
            </w:pPr>
            <w:r w:rsidRPr="00735ABA">
              <w:rPr>
                <w:rFonts w:ascii="Arial" w:eastAsia="Calibri" w:hAnsi="Arial" w:cs="Arial"/>
                <w:b/>
                <w:bCs/>
                <w:sz w:val="22"/>
                <w:szCs w:val="22"/>
              </w:rPr>
              <w:t>L-T4 therapy</w:t>
            </w:r>
          </w:p>
        </w:tc>
        <w:tc>
          <w:tcPr>
            <w:tcW w:w="1560" w:type="dxa"/>
            <w:tcBorders>
              <w:top w:val="single" w:sz="8" w:space="0" w:color="000000"/>
              <w:left w:val="single" w:sz="8" w:space="0" w:color="000000"/>
              <w:bottom w:val="single" w:sz="8" w:space="0" w:color="000000"/>
              <w:right w:val="single" w:sz="8" w:space="0" w:color="000000"/>
            </w:tcBorders>
          </w:tcPr>
          <w:p w14:paraId="15F938A8" w14:textId="77777777" w:rsidR="001E0CFC" w:rsidRPr="00735ABA" w:rsidRDefault="001E0CFC" w:rsidP="001E0CFC">
            <w:pPr>
              <w:autoSpaceDE w:val="0"/>
              <w:autoSpaceDN w:val="0"/>
              <w:adjustRightInd w:val="0"/>
              <w:jc w:val="center"/>
              <w:rPr>
                <w:rFonts w:ascii="Arial" w:eastAsia="Calibri" w:hAnsi="Arial" w:cs="Arial"/>
                <w:sz w:val="22"/>
                <w:szCs w:val="22"/>
              </w:rPr>
            </w:pPr>
            <w:r w:rsidRPr="00735ABA">
              <w:rPr>
                <w:rFonts w:ascii="Arial" w:eastAsia="Calibri" w:hAnsi="Arial" w:cs="Arial"/>
                <w:b/>
                <w:bCs/>
                <w:sz w:val="22"/>
                <w:szCs w:val="22"/>
              </w:rPr>
              <w:t>Dose of L-T4</w:t>
            </w:r>
          </w:p>
        </w:tc>
        <w:tc>
          <w:tcPr>
            <w:tcW w:w="1701" w:type="dxa"/>
            <w:tcBorders>
              <w:top w:val="single" w:sz="8" w:space="0" w:color="000000"/>
              <w:left w:val="single" w:sz="8" w:space="0" w:color="000000"/>
              <w:bottom w:val="single" w:sz="8" w:space="0" w:color="000000"/>
              <w:right w:val="single" w:sz="8" w:space="0" w:color="000000"/>
            </w:tcBorders>
          </w:tcPr>
          <w:p w14:paraId="14FF4240" w14:textId="77777777" w:rsidR="001E0CFC" w:rsidRPr="00735ABA" w:rsidRDefault="001E0CFC" w:rsidP="001E0CFC">
            <w:pPr>
              <w:autoSpaceDE w:val="0"/>
              <w:autoSpaceDN w:val="0"/>
              <w:adjustRightInd w:val="0"/>
              <w:jc w:val="center"/>
              <w:rPr>
                <w:rFonts w:ascii="Arial" w:eastAsia="Calibri" w:hAnsi="Arial" w:cs="Arial"/>
                <w:sz w:val="22"/>
                <w:szCs w:val="22"/>
              </w:rPr>
            </w:pPr>
            <w:r w:rsidRPr="00735ABA">
              <w:rPr>
                <w:rFonts w:ascii="Arial" w:eastAsia="Calibri" w:hAnsi="Arial" w:cs="Arial"/>
                <w:b/>
                <w:bCs/>
                <w:sz w:val="22"/>
                <w:szCs w:val="22"/>
              </w:rPr>
              <w:t>Outcome of continuous</w:t>
            </w:r>
            <w:r w:rsidR="00D70544" w:rsidRPr="00735ABA">
              <w:rPr>
                <w:rFonts w:ascii="Arial" w:eastAsia="Calibri" w:hAnsi="Arial" w:cs="Arial"/>
                <w:b/>
                <w:bCs/>
                <w:sz w:val="22"/>
                <w:szCs w:val="22"/>
              </w:rPr>
              <w:t xml:space="preserve"> </w:t>
            </w:r>
            <w:r w:rsidRPr="00735ABA">
              <w:rPr>
                <w:rFonts w:ascii="Arial" w:eastAsia="Calibri" w:hAnsi="Arial" w:cs="Arial"/>
                <w:b/>
                <w:bCs/>
                <w:sz w:val="22"/>
                <w:szCs w:val="22"/>
              </w:rPr>
              <w:t xml:space="preserve"> L-T4 </w:t>
            </w:r>
          </w:p>
        </w:tc>
        <w:tc>
          <w:tcPr>
            <w:tcW w:w="1701" w:type="dxa"/>
            <w:tcBorders>
              <w:top w:val="single" w:sz="8" w:space="0" w:color="000000"/>
              <w:left w:val="single" w:sz="8" w:space="0" w:color="000000"/>
              <w:bottom w:val="single" w:sz="8" w:space="0" w:color="000000"/>
            </w:tcBorders>
          </w:tcPr>
          <w:p w14:paraId="1F9D5417" w14:textId="77777777" w:rsidR="001E0CFC" w:rsidRPr="00735ABA" w:rsidRDefault="001E0CFC" w:rsidP="001E0CFC">
            <w:pPr>
              <w:autoSpaceDE w:val="0"/>
              <w:autoSpaceDN w:val="0"/>
              <w:adjustRightInd w:val="0"/>
              <w:jc w:val="center"/>
              <w:rPr>
                <w:rFonts w:ascii="Arial" w:eastAsia="Calibri" w:hAnsi="Arial" w:cs="Arial"/>
                <w:sz w:val="22"/>
                <w:szCs w:val="22"/>
              </w:rPr>
            </w:pPr>
            <w:r w:rsidRPr="00735ABA">
              <w:rPr>
                <w:rFonts w:ascii="Arial" w:eastAsia="Calibri" w:hAnsi="Arial" w:cs="Arial"/>
                <w:b/>
                <w:bCs/>
                <w:sz w:val="22"/>
                <w:szCs w:val="22"/>
              </w:rPr>
              <w:t xml:space="preserve">Therapy vs. Controls </w:t>
            </w:r>
          </w:p>
        </w:tc>
      </w:tr>
      <w:tr w:rsidR="00D70544" w:rsidRPr="00735ABA" w14:paraId="56236962" w14:textId="77777777" w:rsidTr="00D70544">
        <w:trPr>
          <w:trHeight w:val="525"/>
        </w:trPr>
        <w:tc>
          <w:tcPr>
            <w:tcW w:w="2196" w:type="dxa"/>
            <w:tcBorders>
              <w:top w:val="single" w:sz="8" w:space="0" w:color="000000"/>
              <w:bottom w:val="single" w:sz="8" w:space="0" w:color="000000"/>
              <w:right w:val="single" w:sz="8" w:space="0" w:color="000000"/>
            </w:tcBorders>
          </w:tcPr>
          <w:p w14:paraId="7B35A07F"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Berghout et al </w:t>
            </w:r>
          </w:p>
          <w:p w14:paraId="535B1CF3"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(The Netherlands) </w:t>
            </w:r>
          </w:p>
        </w:tc>
        <w:tc>
          <w:tcPr>
            <w:tcW w:w="567" w:type="dxa"/>
            <w:tcBorders>
              <w:top w:val="single" w:sz="8" w:space="0" w:color="000000"/>
              <w:left w:val="single" w:sz="8" w:space="0" w:color="000000"/>
              <w:bottom w:val="single" w:sz="8" w:space="0" w:color="000000"/>
              <w:right w:val="single" w:sz="8" w:space="0" w:color="000000"/>
            </w:tcBorders>
          </w:tcPr>
          <w:p w14:paraId="69727702" w14:textId="77777777" w:rsidR="001E0CFC" w:rsidRPr="00735ABA" w:rsidRDefault="001E0CFC" w:rsidP="001E0CFC">
            <w:pPr>
              <w:autoSpaceDE w:val="0"/>
              <w:autoSpaceDN w:val="0"/>
              <w:adjustRightInd w:val="0"/>
              <w:jc w:val="center"/>
              <w:rPr>
                <w:rFonts w:ascii="Arial" w:eastAsia="Calibri" w:hAnsi="Arial" w:cs="Arial"/>
                <w:sz w:val="22"/>
                <w:szCs w:val="22"/>
              </w:rPr>
            </w:pPr>
            <w:r w:rsidRPr="00735ABA">
              <w:rPr>
                <w:rFonts w:ascii="Arial" w:eastAsia="Calibri" w:hAnsi="Arial" w:cs="Arial"/>
                <w:sz w:val="22"/>
                <w:szCs w:val="22"/>
              </w:rPr>
              <w:t>55</w:t>
            </w:r>
          </w:p>
        </w:tc>
        <w:tc>
          <w:tcPr>
            <w:tcW w:w="1701" w:type="dxa"/>
            <w:tcBorders>
              <w:top w:val="single" w:sz="8" w:space="0" w:color="000000"/>
              <w:left w:val="single" w:sz="8" w:space="0" w:color="000000"/>
              <w:bottom w:val="single" w:sz="8" w:space="0" w:color="000000"/>
              <w:right w:val="single" w:sz="8" w:space="0" w:color="000000"/>
            </w:tcBorders>
          </w:tcPr>
          <w:p w14:paraId="674C74AC" w14:textId="77777777" w:rsidR="001E0CFC" w:rsidRPr="00735ABA" w:rsidRDefault="001E0CFC" w:rsidP="001E0CFC">
            <w:pPr>
              <w:autoSpaceDE w:val="0"/>
              <w:autoSpaceDN w:val="0"/>
              <w:adjustRightInd w:val="0"/>
              <w:jc w:val="center"/>
              <w:rPr>
                <w:rFonts w:ascii="Arial" w:eastAsia="Calibri" w:hAnsi="Arial" w:cs="Arial"/>
                <w:sz w:val="22"/>
                <w:szCs w:val="22"/>
              </w:rPr>
            </w:pPr>
            <w:r w:rsidRPr="00735ABA">
              <w:rPr>
                <w:rFonts w:ascii="Arial" w:eastAsia="Calibri" w:hAnsi="Arial" w:cs="Arial"/>
                <w:sz w:val="22"/>
                <w:szCs w:val="22"/>
              </w:rPr>
              <w:t>9 months</w:t>
            </w:r>
          </w:p>
        </w:tc>
        <w:tc>
          <w:tcPr>
            <w:tcW w:w="1560" w:type="dxa"/>
            <w:tcBorders>
              <w:top w:val="single" w:sz="8" w:space="0" w:color="000000"/>
              <w:left w:val="single" w:sz="8" w:space="0" w:color="000000"/>
              <w:bottom w:val="single" w:sz="8" w:space="0" w:color="000000"/>
              <w:right w:val="single" w:sz="8" w:space="0" w:color="000000"/>
            </w:tcBorders>
          </w:tcPr>
          <w:p w14:paraId="7B24C85E"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2.5μg/kg</w:t>
            </w:r>
          </w:p>
        </w:tc>
        <w:tc>
          <w:tcPr>
            <w:tcW w:w="1701" w:type="dxa"/>
            <w:tcBorders>
              <w:top w:val="single" w:sz="8" w:space="0" w:color="000000"/>
              <w:left w:val="single" w:sz="8" w:space="0" w:color="000000"/>
              <w:bottom w:val="single" w:sz="8" w:space="0" w:color="000000"/>
              <w:right w:val="single" w:sz="8" w:space="0" w:color="000000"/>
            </w:tcBorders>
          </w:tcPr>
          <w:p w14:paraId="4D27AED7"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25% reduction among responders* </w:t>
            </w:r>
          </w:p>
        </w:tc>
        <w:tc>
          <w:tcPr>
            <w:tcW w:w="1701" w:type="dxa"/>
            <w:tcBorders>
              <w:top w:val="single" w:sz="8" w:space="0" w:color="000000"/>
              <w:left w:val="single" w:sz="8" w:space="0" w:color="000000"/>
              <w:bottom w:val="single" w:sz="8" w:space="0" w:color="000000"/>
            </w:tcBorders>
          </w:tcPr>
          <w:p w14:paraId="066B4F24"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20% had </w:t>
            </w:r>
          </w:p>
          <w:p w14:paraId="5DC7D42B"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Increase of nodular volume</w:t>
            </w:r>
          </w:p>
        </w:tc>
      </w:tr>
      <w:tr w:rsidR="00D70544" w:rsidRPr="00735ABA" w14:paraId="648AD37A" w14:textId="77777777" w:rsidTr="00D70544">
        <w:trPr>
          <w:trHeight w:val="272"/>
        </w:trPr>
        <w:tc>
          <w:tcPr>
            <w:tcW w:w="2196" w:type="dxa"/>
            <w:tcBorders>
              <w:top w:val="single" w:sz="8" w:space="0" w:color="000000"/>
              <w:bottom w:val="single" w:sz="8" w:space="0" w:color="000000"/>
              <w:right w:val="single" w:sz="8" w:space="0" w:color="000000"/>
            </w:tcBorders>
          </w:tcPr>
          <w:p w14:paraId="278EC6CB"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Lima et al (Brazil) </w:t>
            </w:r>
          </w:p>
        </w:tc>
        <w:tc>
          <w:tcPr>
            <w:tcW w:w="567" w:type="dxa"/>
            <w:tcBorders>
              <w:top w:val="single" w:sz="8" w:space="0" w:color="000000"/>
              <w:left w:val="single" w:sz="8" w:space="0" w:color="000000"/>
              <w:bottom w:val="single" w:sz="8" w:space="0" w:color="000000"/>
              <w:right w:val="single" w:sz="8" w:space="0" w:color="000000"/>
            </w:tcBorders>
          </w:tcPr>
          <w:p w14:paraId="2B6D2CB1" w14:textId="77777777" w:rsidR="001E0CFC" w:rsidRPr="00735ABA" w:rsidRDefault="001E0CFC" w:rsidP="001E0CFC">
            <w:pPr>
              <w:autoSpaceDE w:val="0"/>
              <w:autoSpaceDN w:val="0"/>
              <w:adjustRightInd w:val="0"/>
              <w:jc w:val="center"/>
              <w:rPr>
                <w:rFonts w:ascii="Arial" w:eastAsia="Calibri" w:hAnsi="Arial" w:cs="Arial"/>
                <w:sz w:val="22"/>
                <w:szCs w:val="22"/>
              </w:rPr>
            </w:pPr>
            <w:r w:rsidRPr="00735ABA">
              <w:rPr>
                <w:rFonts w:ascii="Arial" w:eastAsia="Calibri" w:hAnsi="Arial" w:cs="Arial"/>
                <w:sz w:val="22"/>
                <w:szCs w:val="22"/>
              </w:rPr>
              <w:t>62</w:t>
            </w:r>
          </w:p>
        </w:tc>
        <w:tc>
          <w:tcPr>
            <w:tcW w:w="1701" w:type="dxa"/>
            <w:tcBorders>
              <w:top w:val="single" w:sz="8" w:space="0" w:color="000000"/>
              <w:left w:val="single" w:sz="8" w:space="0" w:color="000000"/>
              <w:bottom w:val="single" w:sz="8" w:space="0" w:color="000000"/>
              <w:right w:val="single" w:sz="8" w:space="0" w:color="000000"/>
            </w:tcBorders>
          </w:tcPr>
          <w:p w14:paraId="16585F11" w14:textId="77777777" w:rsidR="001E0CFC" w:rsidRPr="00735ABA" w:rsidRDefault="001E0CFC" w:rsidP="001E0CFC">
            <w:pPr>
              <w:autoSpaceDE w:val="0"/>
              <w:autoSpaceDN w:val="0"/>
              <w:adjustRightInd w:val="0"/>
              <w:jc w:val="center"/>
              <w:rPr>
                <w:rFonts w:ascii="Arial" w:eastAsia="Calibri" w:hAnsi="Arial" w:cs="Arial"/>
                <w:sz w:val="22"/>
                <w:szCs w:val="22"/>
              </w:rPr>
            </w:pPr>
            <w:r w:rsidRPr="00735ABA">
              <w:rPr>
                <w:rFonts w:ascii="Arial" w:eastAsia="Calibri" w:hAnsi="Arial" w:cs="Arial"/>
                <w:sz w:val="22"/>
                <w:szCs w:val="22"/>
              </w:rPr>
              <w:t>12 months</w:t>
            </w:r>
          </w:p>
        </w:tc>
        <w:tc>
          <w:tcPr>
            <w:tcW w:w="1560" w:type="dxa"/>
            <w:tcBorders>
              <w:top w:val="single" w:sz="8" w:space="0" w:color="000000"/>
              <w:left w:val="single" w:sz="8" w:space="0" w:color="000000"/>
              <w:bottom w:val="single" w:sz="8" w:space="0" w:color="000000"/>
              <w:right w:val="single" w:sz="8" w:space="0" w:color="000000"/>
            </w:tcBorders>
          </w:tcPr>
          <w:p w14:paraId="5743BDB5"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200μg/dia</w:t>
            </w:r>
          </w:p>
        </w:tc>
        <w:tc>
          <w:tcPr>
            <w:tcW w:w="1701" w:type="dxa"/>
            <w:tcBorders>
              <w:top w:val="single" w:sz="8" w:space="0" w:color="000000"/>
              <w:left w:val="single" w:sz="8" w:space="0" w:color="000000"/>
              <w:bottom w:val="single" w:sz="8" w:space="0" w:color="000000"/>
              <w:right w:val="single" w:sz="8" w:space="0" w:color="000000"/>
            </w:tcBorders>
          </w:tcPr>
          <w:p w14:paraId="5CD19AE0"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30% reduction** </w:t>
            </w:r>
          </w:p>
        </w:tc>
        <w:tc>
          <w:tcPr>
            <w:tcW w:w="1701" w:type="dxa"/>
            <w:tcBorders>
              <w:top w:val="single" w:sz="8" w:space="0" w:color="000000"/>
              <w:left w:val="single" w:sz="8" w:space="0" w:color="000000"/>
              <w:bottom w:val="single" w:sz="8" w:space="0" w:color="000000"/>
            </w:tcBorders>
          </w:tcPr>
          <w:p w14:paraId="702F6035"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No variation volume </w:t>
            </w:r>
          </w:p>
        </w:tc>
      </w:tr>
      <w:tr w:rsidR="00D70544" w:rsidRPr="00735ABA" w14:paraId="754CA4C3" w14:textId="77777777" w:rsidTr="00D70544">
        <w:trPr>
          <w:trHeight w:val="399"/>
        </w:trPr>
        <w:tc>
          <w:tcPr>
            <w:tcW w:w="2196" w:type="dxa"/>
            <w:tcBorders>
              <w:top w:val="single" w:sz="8" w:space="0" w:color="000000"/>
              <w:bottom w:val="single" w:sz="8" w:space="0" w:color="000000"/>
              <w:right w:val="single" w:sz="8" w:space="0" w:color="000000"/>
            </w:tcBorders>
          </w:tcPr>
          <w:p w14:paraId="3CDFE3D6"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Wesche et al </w:t>
            </w:r>
          </w:p>
          <w:p w14:paraId="74344D86"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(The Netherlands) </w:t>
            </w:r>
          </w:p>
        </w:tc>
        <w:tc>
          <w:tcPr>
            <w:tcW w:w="567" w:type="dxa"/>
            <w:tcBorders>
              <w:top w:val="single" w:sz="8" w:space="0" w:color="000000"/>
              <w:left w:val="single" w:sz="8" w:space="0" w:color="000000"/>
              <w:bottom w:val="single" w:sz="8" w:space="0" w:color="000000"/>
              <w:right w:val="single" w:sz="8" w:space="0" w:color="000000"/>
            </w:tcBorders>
          </w:tcPr>
          <w:p w14:paraId="158F0425" w14:textId="77777777" w:rsidR="001E0CFC" w:rsidRPr="00735ABA" w:rsidRDefault="001E0CFC" w:rsidP="001E0CFC">
            <w:pPr>
              <w:autoSpaceDE w:val="0"/>
              <w:autoSpaceDN w:val="0"/>
              <w:adjustRightInd w:val="0"/>
              <w:jc w:val="center"/>
              <w:rPr>
                <w:rFonts w:ascii="Arial" w:eastAsia="Calibri" w:hAnsi="Arial" w:cs="Arial"/>
                <w:sz w:val="22"/>
                <w:szCs w:val="22"/>
              </w:rPr>
            </w:pPr>
            <w:r w:rsidRPr="00735ABA">
              <w:rPr>
                <w:rFonts w:ascii="Arial" w:eastAsia="Calibri" w:hAnsi="Arial" w:cs="Arial"/>
                <w:sz w:val="22"/>
                <w:szCs w:val="22"/>
              </w:rPr>
              <w:t>57</w:t>
            </w:r>
          </w:p>
        </w:tc>
        <w:tc>
          <w:tcPr>
            <w:tcW w:w="1701" w:type="dxa"/>
            <w:tcBorders>
              <w:top w:val="single" w:sz="8" w:space="0" w:color="000000"/>
              <w:left w:val="single" w:sz="8" w:space="0" w:color="000000"/>
              <w:bottom w:val="single" w:sz="8" w:space="0" w:color="000000"/>
              <w:right w:val="single" w:sz="8" w:space="0" w:color="000000"/>
            </w:tcBorders>
          </w:tcPr>
          <w:p w14:paraId="2A9EB9AA" w14:textId="77777777" w:rsidR="001E0CFC" w:rsidRPr="00735ABA" w:rsidRDefault="001E0CFC" w:rsidP="001E0CFC">
            <w:pPr>
              <w:autoSpaceDE w:val="0"/>
              <w:autoSpaceDN w:val="0"/>
              <w:adjustRightInd w:val="0"/>
              <w:jc w:val="center"/>
              <w:rPr>
                <w:rFonts w:ascii="Arial" w:eastAsia="Calibri" w:hAnsi="Arial" w:cs="Arial"/>
                <w:sz w:val="22"/>
                <w:szCs w:val="22"/>
              </w:rPr>
            </w:pPr>
            <w:r w:rsidRPr="00735ABA">
              <w:rPr>
                <w:rFonts w:ascii="Arial" w:eastAsia="Calibri" w:hAnsi="Arial" w:cs="Arial"/>
                <w:sz w:val="22"/>
                <w:szCs w:val="22"/>
              </w:rPr>
              <w:t>24 months</w:t>
            </w:r>
          </w:p>
        </w:tc>
        <w:tc>
          <w:tcPr>
            <w:tcW w:w="1560" w:type="dxa"/>
            <w:tcBorders>
              <w:top w:val="single" w:sz="8" w:space="0" w:color="000000"/>
              <w:left w:val="single" w:sz="8" w:space="0" w:color="000000"/>
              <w:bottom w:val="single" w:sz="8" w:space="0" w:color="000000"/>
              <w:right w:val="single" w:sz="8" w:space="0" w:color="000000"/>
            </w:tcBorders>
          </w:tcPr>
          <w:p w14:paraId="26456768"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2.5μg/kg</w:t>
            </w:r>
          </w:p>
        </w:tc>
        <w:tc>
          <w:tcPr>
            <w:tcW w:w="1701" w:type="dxa"/>
            <w:tcBorders>
              <w:top w:val="single" w:sz="8" w:space="0" w:color="000000"/>
              <w:left w:val="single" w:sz="8" w:space="0" w:color="000000"/>
              <w:bottom w:val="single" w:sz="8" w:space="0" w:color="000000"/>
              <w:right w:val="single" w:sz="8" w:space="0" w:color="000000"/>
            </w:tcBorders>
          </w:tcPr>
          <w:p w14:paraId="4F9CC08B"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22% reduction </w:t>
            </w:r>
          </w:p>
        </w:tc>
        <w:tc>
          <w:tcPr>
            <w:tcW w:w="1701" w:type="dxa"/>
            <w:tcBorders>
              <w:top w:val="single" w:sz="8" w:space="0" w:color="000000"/>
              <w:left w:val="single" w:sz="8" w:space="0" w:color="000000"/>
              <w:bottom w:val="single" w:sz="8" w:space="0" w:color="000000"/>
            </w:tcBorders>
          </w:tcPr>
          <w:p w14:paraId="4B938470"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44% volume with Radioidine </w:t>
            </w:r>
          </w:p>
        </w:tc>
      </w:tr>
      <w:tr w:rsidR="00D70544" w:rsidRPr="00735ABA" w14:paraId="01C01029" w14:textId="77777777" w:rsidTr="00D70544">
        <w:trPr>
          <w:trHeight w:val="525"/>
        </w:trPr>
        <w:tc>
          <w:tcPr>
            <w:tcW w:w="2196" w:type="dxa"/>
            <w:tcBorders>
              <w:top w:val="single" w:sz="8" w:space="0" w:color="000000"/>
              <w:bottom w:val="single" w:sz="8" w:space="0" w:color="000000"/>
              <w:right w:val="single" w:sz="8" w:space="0" w:color="000000"/>
            </w:tcBorders>
          </w:tcPr>
          <w:p w14:paraId="1859B225"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Papini et al (Italy) </w:t>
            </w:r>
          </w:p>
        </w:tc>
        <w:tc>
          <w:tcPr>
            <w:tcW w:w="567" w:type="dxa"/>
            <w:tcBorders>
              <w:top w:val="single" w:sz="8" w:space="0" w:color="000000"/>
              <w:left w:val="single" w:sz="8" w:space="0" w:color="000000"/>
              <w:bottom w:val="single" w:sz="8" w:space="0" w:color="000000"/>
              <w:right w:val="single" w:sz="8" w:space="0" w:color="000000"/>
            </w:tcBorders>
          </w:tcPr>
          <w:p w14:paraId="4413FF19" w14:textId="77777777" w:rsidR="001E0CFC" w:rsidRPr="00735ABA" w:rsidRDefault="001E0CFC" w:rsidP="001E0CFC">
            <w:pPr>
              <w:autoSpaceDE w:val="0"/>
              <w:autoSpaceDN w:val="0"/>
              <w:adjustRightInd w:val="0"/>
              <w:jc w:val="center"/>
              <w:rPr>
                <w:rFonts w:ascii="Arial" w:eastAsia="Calibri" w:hAnsi="Arial" w:cs="Arial"/>
                <w:sz w:val="22"/>
                <w:szCs w:val="22"/>
              </w:rPr>
            </w:pPr>
            <w:r w:rsidRPr="00735ABA">
              <w:rPr>
                <w:rFonts w:ascii="Arial" w:eastAsia="Calibri" w:hAnsi="Arial" w:cs="Arial"/>
                <w:sz w:val="22"/>
                <w:szCs w:val="22"/>
              </w:rPr>
              <w:t>83</w:t>
            </w:r>
          </w:p>
        </w:tc>
        <w:tc>
          <w:tcPr>
            <w:tcW w:w="1701" w:type="dxa"/>
            <w:tcBorders>
              <w:top w:val="single" w:sz="8" w:space="0" w:color="000000"/>
              <w:left w:val="single" w:sz="8" w:space="0" w:color="000000"/>
              <w:bottom w:val="single" w:sz="8" w:space="0" w:color="000000"/>
              <w:right w:val="single" w:sz="8" w:space="0" w:color="000000"/>
            </w:tcBorders>
          </w:tcPr>
          <w:p w14:paraId="4E2E2AC3" w14:textId="77777777" w:rsidR="001E0CFC" w:rsidRPr="00735ABA" w:rsidRDefault="001E0CFC" w:rsidP="001E0CFC">
            <w:pPr>
              <w:autoSpaceDE w:val="0"/>
              <w:autoSpaceDN w:val="0"/>
              <w:adjustRightInd w:val="0"/>
              <w:jc w:val="center"/>
              <w:rPr>
                <w:rFonts w:ascii="Arial" w:eastAsia="Calibri" w:hAnsi="Arial" w:cs="Arial"/>
                <w:sz w:val="22"/>
                <w:szCs w:val="22"/>
              </w:rPr>
            </w:pPr>
            <w:r w:rsidRPr="00735ABA">
              <w:rPr>
                <w:rFonts w:ascii="Arial" w:eastAsia="Calibri" w:hAnsi="Arial" w:cs="Arial"/>
                <w:sz w:val="22"/>
                <w:szCs w:val="22"/>
              </w:rPr>
              <w:t>5 years</w:t>
            </w:r>
          </w:p>
        </w:tc>
        <w:tc>
          <w:tcPr>
            <w:tcW w:w="1560" w:type="dxa"/>
            <w:tcBorders>
              <w:top w:val="single" w:sz="8" w:space="0" w:color="000000"/>
              <w:left w:val="single" w:sz="8" w:space="0" w:color="000000"/>
              <w:bottom w:val="single" w:sz="8" w:space="0" w:color="000000"/>
              <w:right w:val="single" w:sz="8" w:space="0" w:color="000000"/>
            </w:tcBorders>
          </w:tcPr>
          <w:p w14:paraId="5C2B5C05"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2,0μg/kg</w:t>
            </w:r>
          </w:p>
          <w:p w14:paraId="06761C36"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7.5% new nodules</w:t>
            </w:r>
          </w:p>
        </w:tc>
        <w:tc>
          <w:tcPr>
            <w:tcW w:w="1701" w:type="dxa"/>
            <w:tcBorders>
              <w:top w:val="single" w:sz="8" w:space="0" w:color="000000"/>
              <w:left w:val="single" w:sz="8" w:space="0" w:color="000000"/>
              <w:bottom w:val="single" w:sz="8" w:space="0" w:color="000000"/>
              <w:right w:val="single" w:sz="8" w:space="0" w:color="000000"/>
            </w:tcBorders>
          </w:tcPr>
          <w:p w14:paraId="7C2508C6"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47.6% reduction </w:t>
            </w:r>
          </w:p>
          <w:p w14:paraId="33CE86DF"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28.5% new </w:t>
            </w:r>
          </w:p>
          <w:p w14:paraId="1518E511"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nodules</w:t>
            </w:r>
          </w:p>
        </w:tc>
        <w:tc>
          <w:tcPr>
            <w:tcW w:w="1701" w:type="dxa"/>
            <w:tcBorders>
              <w:top w:val="single" w:sz="8" w:space="0" w:color="000000"/>
              <w:left w:val="single" w:sz="8" w:space="0" w:color="000000"/>
              <w:bottom w:val="single" w:sz="8" w:space="0" w:color="000000"/>
            </w:tcBorders>
          </w:tcPr>
          <w:p w14:paraId="77187EA9"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22% had reduction nodules </w:t>
            </w:r>
          </w:p>
        </w:tc>
      </w:tr>
      <w:tr w:rsidR="00D70544" w:rsidRPr="00735ABA" w14:paraId="2AA0A431" w14:textId="77777777" w:rsidTr="00D70544">
        <w:trPr>
          <w:trHeight w:val="272"/>
        </w:trPr>
        <w:tc>
          <w:tcPr>
            <w:tcW w:w="2196" w:type="dxa"/>
            <w:tcBorders>
              <w:top w:val="single" w:sz="8" w:space="0" w:color="000000"/>
              <w:bottom w:val="single" w:sz="8" w:space="0" w:color="000000"/>
              <w:right w:val="single" w:sz="8" w:space="0" w:color="000000"/>
            </w:tcBorders>
          </w:tcPr>
          <w:p w14:paraId="4038A4A0"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Zelmanovitz et al </w:t>
            </w:r>
          </w:p>
          <w:p w14:paraId="58105CA7"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(Brazil) </w:t>
            </w:r>
          </w:p>
        </w:tc>
        <w:tc>
          <w:tcPr>
            <w:tcW w:w="567" w:type="dxa"/>
            <w:tcBorders>
              <w:top w:val="single" w:sz="8" w:space="0" w:color="000000"/>
              <w:left w:val="single" w:sz="8" w:space="0" w:color="000000"/>
              <w:bottom w:val="single" w:sz="8" w:space="0" w:color="000000"/>
              <w:right w:val="single" w:sz="8" w:space="0" w:color="000000"/>
            </w:tcBorders>
          </w:tcPr>
          <w:p w14:paraId="06BF4AF0" w14:textId="77777777" w:rsidR="001E0CFC" w:rsidRPr="00735ABA" w:rsidRDefault="001E0CFC" w:rsidP="001E0CFC">
            <w:pPr>
              <w:autoSpaceDE w:val="0"/>
              <w:autoSpaceDN w:val="0"/>
              <w:adjustRightInd w:val="0"/>
              <w:jc w:val="center"/>
              <w:rPr>
                <w:rFonts w:ascii="Arial" w:eastAsia="Calibri" w:hAnsi="Arial" w:cs="Arial"/>
                <w:sz w:val="22"/>
                <w:szCs w:val="22"/>
              </w:rPr>
            </w:pPr>
            <w:r w:rsidRPr="00735ABA">
              <w:rPr>
                <w:rFonts w:ascii="Arial" w:eastAsia="Calibri" w:hAnsi="Arial" w:cs="Arial"/>
                <w:sz w:val="22"/>
                <w:szCs w:val="22"/>
              </w:rPr>
              <w:t>45</w:t>
            </w:r>
          </w:p>
        </w:tc>
        <w:tc>
          <w:tcPr>
            <w:tcW w:w="1701" w:type="dxa"/>
            <w:tcBorders>
              <w:top w:val="single" w:sz="8" w:space="0" w:color="000000"/>
              <w:left w:val="single" w:sz="8" w:space="0" w:color="000000"/>
              <w:bottom w:val="single" w:sz="8" w:space="0" w:color="000000"/>
              <w:right w:val="single" w:sz="8" w:space="0" w:color="000000"/>
            </w:tcBorders>
          </w:tcPr>
          <w:p w14:paraId="73AA8B9D" w14:textId="77777777" w:rsidR="001E0CFC" w:rsidRPr="00735ABA" w:rsidRDefault="001E0CFC" w:rsidP="001E0CFC">
            <w:pPr>
              <w:autoSpaceDE w:val="0"/>
              <w:autoSpaceDN w:val="0"/>
              <w:adjustRightInd w:val="0"/>
              <w:jc w:val="center"/>
              <w:rPr>
                <w:rFonts w:ascii="Arial" w:eastAsia="Calibri" w:hAnsi="Arial" w:cs="Arial"/>
                <w:sz w:val="22"/>
                <w:szCs w:val="22"/>
              </w:rPr>
            </w:pPr>
            <w:r w:rsidRPr="00735ABA">
              <w:rPr>
                <w:rFonts w:ascii="Arial" w:eastAsia="Calibri" w:hAnsi="Arial" w:cs="Arial"/>
                <w:sz w:val="22"/>
                <w:szCs w:val="22"/>
              </w:rPr>
              <w:t>12 months</w:t>
            </w:r>
          </w:p>
        </w:tc>
        <w:tc>
          <w:tcPr>
            <w:tcW w:w="1560" w:type="dxa"/>
            <w:tcBorders>
              <w:top w:val="single" w:sz="8" w:space="0" w:color="000000"/>
              <w:left w:val="single" w:sz="8" w:space="0" w:color="000000"/>
              <w:bottom w:val="single" w:sz="8" w:space="0" w:color="000000"/>
              <w:right w:val="single" w:sz="8" w:space="0" w:color="000000"/>
            </w:tcBorders>
          </w:tcPr>
          <w:p w14:paraId="70BAE93D"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2.7μg/kg</w:t>
            </w:r>
          </w:p>
        </w:tc>
        <w:tc>
          <w:tcPr>
            <w:tcW w:w="1701" w:type="dxa"/>
            <w:tcBorders>
              <w:top w:val="single" w:sz="8" w:space="0" w:color="000000"/>
              <w:left w:val="single" w:sz="8" w:space="0" w:color="000000"/>
              <w:bottom w:val="single" w:sz="8" w:space="0" w:color="000000"/>
              <w:right w:val="single" w:sz="8" w:space="0" w:color="000000"/>
            </w:tcBorders>
          </w:tcPr>
          <w:p w14:paraId="4D92B5E1"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28% reduction** </w:t>
            </w:r>
          </w:p>
        </w:tc>
        <w:tc>
          <w:tcPr>
            <w:tcW w:w="1701" w:type="dxa"/>
            <w:tcBorders>
              <w:top w:val="single" w:sz="8" w:space="0" w:color="000000"/>
              <w:left w:val="single" w:sz="8" w:space="0" w:color="000000"/>
              <w:bottom w:val="single" w:sz="8" w:space="0" w:color="000000"/>
            </w:tcBorders>
          </w:tcPr>
          <w:p w14:paraId="10586829" w14:textId="77777777" w:rsidR="001E0CFC" w:rsidRPr="00735ABA" w:rsidRDefault="001E0CFC" w:rsidP="001E0CFC">
            <w:pPr>
              <w:autoSpaceDE w:val="0"/>
              <w:autoSpaceDN w:val="0"/>
              <w:adjustRightInd w:val="0"/>
              <w:rPr>
                <w:rFonts w:ascii="Arial" w:eastAsia="Calibri" w:hAnsi="Arial" w:cs="Arial"/>
                <w:sz w:val="22"/>
                <w:szCs w:val="22"/>
              </w:rPr>
            </w:pPr>
            <w:r w:rsidRPr="00735ABA">
              <w:rPr>
                <w:rFonts w:ascii="Arial" w:eastAsia="Calibri" w:hAnsi="Arial" w:cs="Arial"/>
                <w:sz w:val="22"/>
                <w:szCs w:val="22"/>
              </w:rPr>
              <w:t xml:space="preserve">8.3% had reduction </w:t>
            </w:r>
          </w:p>
        </w:tc>
      </w:tr>
      <w:tr w:rsidR="001E0CFC" w:rsidRPr="00735ABA" w14:paraId="03685D14" w14:textId="77777777" w:rsidTr="00D70544">
        <w:trPr>
          <w:trHeight w:val="399"/>
        </w:trPr>
        <w:tc>
          <w:tcPr>
            <w:tcW w:w="9426" w:type="dxa"/>
            <w:gridSpan w:val="6"/>
            <w:tcBorders>
              <w:top w:val="single" w:sz="8" w:space="0" w:color="000000"/>
              <w:bottom w:val="single" w:sz="8" w:space="0" w:color="000000"/>
            </w:tcBorders>
          </w:tcPr>
          <w:p w14:paraId="6FC7C796" w14:textId="77777777" w:rsidR="001E0CFC" w:rsidRPr="00735ABA" w:rsidRDefault="003342C6" w:rsidP="001E0CFC">
            <w:pPr>
              <w:autoSpaceDE w:val="0"/>
              <w:autoSpaceDN w:val="0"/>
              <w:adjustRightInd w:val="0"/>
              <w:rPr>
                <w:rFonts w:ascii="Arial" w:eastAsia="Calibri" w:hAnsi="Arial" w:cs="Arial"/>
                <w:sz w:val="22"/>
                <w:szCs w:val="22"/>
              </w:rPr>
            </w:pPr>
            <w:r w:rsidRPr="00735ABA" w:rsidDel="003342C6">
              <w:rPr>
                <w:rFonts w:ascii="Arial" w:eastAsia="Calibri" w:hAnsi="Arial" w:cs="Arial"/>
                <w:sz w:val="22"/>
                <w:szCs w:val="22"/>
              </w:rPr>
              <w:t xml:space="preserve"> </w:t>
            </w:r>
            <w:r w:rsidR="001E0CFC" w:rsidRPr="00735ABA">
              <w:rPr>
                <w:rFonts w:ascii="Arial" w:eastAsia="Calibri" w:hAnsi="Arial" w:cs="Arial"/>
                <w:sz w:val="22"/>
                <w:szCs w:val="22"/>
              </w:rPr>
              <w:t xml:space="preserve">(*) Effective response to L-T4 therapy: volume was reduced by 13% of basal </w:t>
            </w:r>
          </w:p>
          <w:p w14:paraId="5E40B2E3" w14:textId="77777777" w:rsidR="001E0CFC" w:rsidRPr="00735ABA" w:rsidRDefault="003342C6" w:rsidP="001E0CFC">
            <w:pPr>
              <w:autoSpaceDE w:val="0"/>
              <w:autoSpaceDN w:val="0"/>
              <w:adjustRightInd w:val="0"/>
              <w:rPr>
                <w:rFonts w:ascii="Arial" w:eastAsia="Calibri" w:hAnsi="Arial" w:cs="Arial"/>
                <w:sz w:val="22"/>
                <w:szCs w:val="22"/>
              </w:rPr>
            </w:pPr>
            <w:r w:rsidRPr="00735ABA" w:rsidDel="003342C6">
              <w:rPr>
                <w:rFonts w:ascii="Arial" w:eastAsia="Calibri" w:hAnsi="Arial" w:cs="Arial"/>
                <w:sz w:val="22"/>
                <w:szCs w:val="22"/>
              </w:rPr>
              <w:t xml:space="preserve"> </w:t>
            </w:r>
            <w:r w:rsidR="001E0CFC" w:rsidRPr="00735ABA">
              <w:rPr>
                <w:rFonts w:ascii="Arial" w:eastAsia="Calibri" w:hAnsi="Arial" w:cs="Arial"/>
                <w:sz w:val="22"/>
                <w:szCs w:val="22"/>
              </w:rPr>
              <w:t xml:space="preserve">(**) Effective response to L-T4 therapy: volume reduction &gt;50% of basal </w:t>
            </w:r>
          </w:p>
          <w:p w14:paraId="731B8FCB" w14:textId="77777777" w:rsidR="00A06667" w:rsidRPr="00735ABA" w:rsidRDefault="00A06667" w:rsidP="001E0CFC">
            <w:pPr>
              <w:autoSpaceDE w:val="0"/>
              <w:autoSpaceDN w:val="0"/>
              <w:adjustRightInd w:val="0"/>
              <w:rPr>
                <w:rFonts w:ascii="Arial" w:eastAsia="Calibri" w:hAnsi="Arial" w:cs="Arial"/>
                <w:sz w:val="22"/>
                <w:szCs w:val="22"/>
              </w:rPr>
            </w:pPr>
          </w:p>
        </w:tc>
      </w:tr>
    </w:tbl>
    <w:p w14:paraId="55C78555" w14:textId="77777777" w:rsidR="001E0CFC" w:rsidRPr="00735ABA" w:rsidRDefault="001E0CFC" w:rsidP="001E0CFC">
      <w:pPr>
        <w:spacing w:after="200" w:line="276" w:lineRule="auto"/>
        <w:rPr>
          <w:rFonts w:ascii="Calibri" w:eastAsia="Calibri" w:hAnsi="Calibri"/>
          <w:color w:val="auto"/>
          <w:sz w:val="22"/>
          <w:szCs w:val="22"/>
        </w:rPr>
      </w:pPr>
    </w:p>
    <w:p w14:paraId="6252E924" w14:textId="77777777" w:rsidR="00AA491A" w:rsidRPr="00735ABA" w:rsidRDefault="00AA491A" w:rsidP="00B55FE6">
      <w:pPr>
        <w:pStyle w:val="Heading2"/>
        <w:rPr>
          <w:sz w:val="22"/>
          <w:szCs w:val="22"/>
        </w:rPr>
      </w:pPr>
      <w:r w:rsidRPr="00735ABA">
        <w:rPr>
          <w:sz w:val="22"/>
          <w:szCs w:val="22"/>
        </w:rPr>
        <w:t>Radioiodine ablation of goiter</w:t>
      </w:r>
    </w:p>
    <w:p w14:paraId="21C6ED10" w14:textId="5DE79BF9" w:rsidR="00AA491A" w:rsidRPr="00735ABA" w:rsidRDefault="00AA491A" w:rsidP="00B55FE6">
      <w:pPr>
        <w:ind w:right="-136"/>
        <w:rPr>
          <w:rFonts w:ascii="Arial" w:hAnsi="Arial" w:cs="Arial"/>
          <w:sz w:val="22"/>
          <w:szCs w:val="22"/>
        </w:rPr>
      </w:pPr>
      <w:r w:rsidRPr="00735ABA">
        <w:rPr>
          <w:rFonts w:ascii="Arial" w:hAnsi="Arial" w:cs="Arial"/>
          <w:sz w:val="22"/>
          <w:szCs w:val="22"/>
          <w:u w:val="single"/>
        </w:rPr>
        <w:t>General considerations:</w:t>
      </w:r>
      <w:r w:rsidRPr="00735ABA">
        <w:rPr>
          <w:rFonts w:ascii="Arial" w:hAnsi="Arial" w:cs="Arial"/>
          <w:sz w:val="22"/>
          <w:szCs w:val="22"/>
        </w:rPr>
        <w:t xml:space="preserve"> It has long been recognized that radioiodine administration results in shrinkage of the goitrous thyroid gland. Over 20 years ago ¹³¹I therapy reduced the MNG volume by approximately 40% in the first year, and 50-60% in the second year. In very large goiters with volume over 100 mL the reduction is less (around 35%). Patient with substernal MNG have also been treated with beneficial results. The individual response to radioiodine therapy, regarding goiter reduction and development of hypothyroidism is very difficult to predict. Goiter reduction is related to the absorbed thyroid dose. In most centers ¹³¹I doses of 3.7 MBq/g of thyroid tissue corrected for 100% 24h radioiodine uptake have been given. In other centers a fixed doses of radioiodine (100mCi, 150mCi) are administered according to the thyroid volume. The risk of permanent hypothyroidism after ¹³¹I therapy in MNG ranges from 11 to 58% after 1 to 8 years of follow-up (1</w:t>
      </w:r>
      <w:r w:rsidR="00984B75">
        <w:rPr>
          <w:rFonts w:ascii="Arial" w:hAnsi="Arial" w:cs="Arial"/>
          <w:sz w:val="22"/>
          <w:szCs w:val="22"/>
        </w:rPr>
        <w:t>16</w:t>
      </w:r>
      <w:r w:rsidRPr="00735ABA">
        <w:rPr>
          <w:rFonts w:ascii="Arial" w:hAnsi="Arial" w:cs="Arial"/>
          <w:sz w:val="22"/>
          <w:szCs w:val="22"/>
        </w:rPr>
        <w:t>-1</w:t>
      </w:r>
      <w:r w:rsidR="00984B75">
        <w:rPr>
          <w:rFonts w:ascii="Arial" w:hAnsi="Arial" w:cs="Arial"/>
          <w:sz w:val="22"/>
          <w:szCs w:val="22"/>
        </w:rPr>
        <w:t>24</w:t>
      </w:r>
      <w:r w:rsidRPr="00735ABA">
        <w:rPr>
          <w:rFonts w:ascii="Arial" w:hAnsi="Arial" w:cs="Arial"/>
          <w:sz w:val="22"/>
          <w:szCs w:val="22"/>
        </w:rPr>
        <w:t>).</w:t>
      </w:r>
    </w:p>
    <w:p w14:paraId="67813043" w14:textId="77777777" w:rsidR="00AA491A" w:rsidRPr="00735ABA" w:rsidRDefault="00AA491A" w:rsidP="00B55FE6">
      <w:pPr>
        <w:ind w:right="-136"/>
        <w:rPr>
          <w:rFonts w:ascii="Arial" w:hAnsi="Arial" w:cs="Arial"/>
          <w:sz w:val="22"/>
          <w:szCs w:val="22"/>
        </w:rPr>
      </w:pPr>
    </w:p>
    <w:p w14:paraId="6225760B" w14:textId="77777777" w:rsidR="00AA491A" w:rsidRPr="00735ABA" w:rsidRDefault="00AA491A" w:rsidP="001A49C5">
      <w:pPr>
        <w:pStyle w:val="Heading2"/>
      </w:pPr>
      <w:r w:rsidRPr="00735ABA">
        <w:rPr>
          <w:sz w:val="22"/>
          <w:szCs w:val="22"/>
        </w:rPr>
        <w:t>The use of rhTSH for improving ¹³¹I therapy of nontoxic multinodular goiter</w:t>
      </w:r>
    </w:p>
    <w:p w14:paraId="522E7FED" w14:textId="77777777" w:rsidR="00AA491A" w:rsidRPr="00735ABA" w:rsidRDefault="00AA491A" w:rsidP="004D2621">
      <w:pPr>
        <w:pStyle w:val="Heading3"/>
        <w:rPr>
          <w:sz w:val="22"/>
          <w:szCs w:val="22"/>
        </w:rPr>
      </w:pPr>
      <w:r w:rsidRPr="00735ABA">
        <w:rPr>
          <w:sz w:val="22"/>
          <w:szCs w:val="22"/>
        </w:rPr>
        <w:t>(1). Increased uptake and goiter volume reduction</w:t>
      </w:r>
    </w:p>
    <w:p w14:paraId="5CEE9192" w14:textId="499EC745" w:rsidR="00AA491A" w:rsidRPr="00735ABA" w:rsidRDefault="00AA491A" w:rsidP="00B55FE6">
      <w:pPr>
        <w:ind w:right="-136"/>
        <w:rPr>
          <w:rFonts w:ascii="Arial" w:hAnsi="Arial" w:cs="Arial"/>
          <w:sz w:val="22"/>
          <w:szCs w:val="22"/>
        </w:rPr>
      </w:pPr>
      <w:r w:rsidRPr="00735ABA">
        <w:rPr>
          <w:rFonts w:ascii="Arial" w:hAnsi="Arial" w:cs="Arial"/>
          <w:sz w:val="22"/>
          <w:szCs w:val="22"/>
        </w:rPr>
        <w:t>In recent years, pretreatment with rhTSH has been used in patients with MNG (which typically have only a fraction of the normal RAIU) to increase ¹³¹I uptake in the goiter and allow treatment with lower doses of ¹³¹I to induce thyroid volume reduction (1</w:t>
      </w:r>
      <w:r w:rsidR="00984B75">
        <w:rPr>
          <w:rFonts w:ascii="Arial" w:hAnsi="Arial" w:cs="Arial"/>
          <w:sz w:val="22"/>
          <w:szCs w:val="22"/>
        </w:rPr>
        <w:t>25</w:t>
      </w:r>
      <w:r w:rsidRPr="00735ABA">
        <w:rPr>
          <w:rFonts w:ascii="Arial" w:hAnsi="Arial" w:cs="Arial"/>
          <w:sz w:val="22"/>
          <w:szCs w:val="22"/>
        </w:rPr>
        <w:t>-1</w:t>
      </w:r>
      <w:r w:rsidR="00984B75">
        <w:rPr>
          <w:rFonts w:ascii="Arial" w:hAnsi="Arial" w:cs="Arial"/>
          <w:sz w:val="22"/>
          <w:szCs w:val="22"/>
        </w:rPr>
        <w:t>29</w:t>
      </w:r>
      <w:r w:rsidRPr="00735ABA">
        <w:rPr>
          <w:rFonts w:ascii="Arial" w:hAnsi="Arial" w:cs="Arial"/>
          <w:sz w:val="22"/>
          <w:szCs w:val="22"/>
        </w:rPr>
        <w:t>). Accordingly, in a study of 15 patients with nontoxic MNG, pretreatment with a single low dose of rhTSH (0.01 or 0.03 mg 24 h before ¹³¹I administration) resulted in a doubling of RAIU (1</w:t>
      </w:r>
      <w:r w:rsidR="00984B75">
        <w:rPr>
          <w:rFonts w:ascii="Arial" w:hAnsi="Arial" w:cs="Arial"/>
          <w:sz w:val="22"/>
          <w:szCs w:val="22"/>
        </w:rPr>
        <w:t>30</w:t>
      </w:r>
      <w:r w:rsidRPr="00735ABA">
        <w:rPr>
          <w:rFonts w:ascii="Arial" w:hAnsi="Arial" w:cs="Arial"/>
          <w:sz w:val="22"/>
          <w:szCs w:val="22"/>
        </w:rPr>
        <w:t>). In addition, the single dose of rhTSH caused a more homogeneous distribution of ¹³¹I by stimulating more uptake in relatively cold areas than in hot areas, particularly in patients with low serum TSH levels (Figure 17- 7).</w:t>
      </w:r>
    </w:p>
    <w:p w14:paraId="6668CD09" w14:textId="162DA3B5" w:rsidR="00AA491A" w:rsidRPr="00662893" w:rsidRDefault="00AA491A" w:rsidP="00B55FE6">
      <w:pPr>
        <w:ind w:right="-136"/>
        <w:rPr>
          <w:rFonts w:ascii="Arial" w:hAnsi="Arial" w:cs="Arial"/>
          <w:sz w:val="22"/>
          <w:szCs w:val="22"/>
        </w:rPr>
      </w:pPr>
      <w:r w:rsidRPr="00735ABA">
        <w:rPr>
          <w:rFonts w:ascii="Arial" w:hAnsi="Arial" w:cs="Arial"/>
          <w:sz w:val="22"/>
          <w:szCs w:val="22"/>
        </w:rPr>
        <w:lastRenderedPageBreak/>
        <w:t>Various studies have demonstrated the effect of rhTSH on ¹³¹I therapy for MNG. Twenty-two patients with MNG were treated with ¹³¹I 24h after admini</w:t>
      </w:r>
      <w:r w:rsidRPr="00662893">
        <w:rPr>
          <w:rFonts w:ascii="Arial" w:hAnsi="Arial" w:cs="Arial"/>
          <w:sz w:val="22"/>
          <w:szCs w:val="22"/>
        </w:rPr>
        <w:t>stration of 0.01 or 0.03 mg rhTSH (1</w:t>
      </w:r>
      <w:r w:rsidR="00984B75">
        <w:rPr>
          <w:rFonts w:ascii="Arial" w:hAnsi="Arial" w:cs="Arial"/>
          <w:sz w:val="22"/>
          <w:szCs w:val="22"/>
        </w:rPr>
        <w:t>31</w:t>
      </w:r>
      <w:r w:rsidRPr="00662893">
        <w:rPr>
          <w:rFonts w:ascii="Arial" w:hAnsi="Arial" w:cs="Arial"/>
          <w:sz w:val="22"/>
          <w:szCs w:val="22"/>
        </w:rPr>
        <w:t>). In this study, the dose of ¹³¹I was adjusted to the increase in uptake induced by rhTSH, aimed at 100 µCi/g thyroid tissue retained at 24h. Pretreatment with 0.01 and 0.03 mg rhTSH resulted in reductions in the ¹³¹I dose by a factor of 1.9 and 2.4, respectively. One year after treatment, there was a reduction in thyroid volume of 35% and 41% in the two groups, respectively. Despite delivering a good therapeutic response, the administration of ¹³¹I 100 µCi/g of thyroid tissue corrected for 24-h RAIU raises concerns of irradiation of the surrounding neck structures and potential risk for stomach, bladder, and breast cancer, which have been reported after ¹³¹I therapy for toxic nodular goiter (2</w:t>
      </w:r>
      <w:r w:rsidR="00984B75">
        <w:rPr>
          <w:rFonts w:ascii="Arial" w:hAnsi="Arial" w:cs="Arial"/>
          <w:sz w:val="22"/>
          <w:szCs w:val="22"/>
        </w:rPr>
        <w:t>4</w:t>
      </w:r>
      <w:r w:rsidRPr="00662893">
        <w:rPr>
          <w:rFonts w:ascii="Arial" w:hAnsi="Arial" w:cs="Arial"/>
          <w:sz w:val="22"/>
          <w:szCs w:val="22"/>
        </w:rPr>
        <w:t>). In another study (1</w:t>
      </w:r>
      <w:r w:rsidR="00984B75">
        <w:rPr>
          <w:rFonts w:ascii="Arial" w:hAnsi="Arial" w:cs="Arial"/>
          <w:sz w:val="22"/>
          <w:szCs w:val="22"/>
        </w:rPr>
        <w:t>32</w:t>
      </w:r>
      <w:r w:rsidRPr="00662893">
        <w:rPr>
          <w:rFonts w:ascii="Arial" w:hAnsi="Arial" w:cs="Arial"/>
          <w:sz w:val="22"/>
          <w:szCs w:val="22"/>
        </w:rPr>
        <w:t>), 16 patients with MNG were treated with a fixed dose of ¹³¹I (30 mCi) 72h after pretreatment with 0.3 mg rhTSH, or 24h after pretreatment with 0.9 mg rhTSH. The two regimens were equally effective, leading to a 30 to 40% reduction in thyroidal volume at 3 to 7 months.</w:t>
      </w:r>
      <w:r w:rsidR="00830A21" w:rsidRPr="00662893">
        <w:rPr>
          <w:rFonts w:ascii="Arial" w:hAnsi="Arial" w:cs="Arial"/>
          <w:sz w:val="22"/>
          <w:szCs w:val="22"/>
        </w:rPr>
        <w:t xml:space="preserve"> </w:t>
      </w:r>
      <w:r w:rsidR="00BC78C7">
        <w:rPr>
          <w:rFonts w:ascii="Arial" w:hAnsi="Arial" w:cs="Arial"/>
          <w:color w:val="auto"/>
          <w:sz w:val="22"/>
          <w:szCs w:val="22"/>
        </w:rPr>
        <w:t>Giusti</w:t>
      </w:r>
      <w:r w:rsidR="00073BE2" w:rsidRPr="00073BE2">
        <w:rPr>
          <w:rFonts w:ascii="Arial" w:hAnsi="Arial" w:cs="Arial"/>
          <w:color w:val="auto"/>
          <w:sz w:val="22"/>
          <w:szCs w:val="22"/>
        </w:rPr>
        <w:t xml:space="preserve"> et al</w:t>
      </w:r>
      <w:r w:rsidR="00FA49CF">
        <w:rPr>
          <w:rFonts w:ascii="Arial" w:hAnsi="Arial" w:cs="Arial"/>
          <w:color w:val="auto"/>
          <w:sz w:val="22"/>
          <w:szCs w:val="22"/>
        </w:rPr>
        <w:t xml:space="preserve"> </w:t>
      </w:r>
      <w:r w:rsidR="00073BE2" w:rsidRPr="00073BE2">
        <w:rPr>
          <w:rFonts w:ascii="Arial" w:hAnsi="Arial" w:cs="Arial"/>
          <w:color w:val="auto"/>
          <w:sz w:val="22"/>
          <w:szCs w:val="22"/>
        </w:rPr>
        <w:t xml:space="preserve"> compared the 12-months outcome after RAI and rhTSH arbitrarily chosen (0.1mg for 24-h RAIU &gt; 30 %; 0.2 mg for RAIU&lt;30 %) between patients with basal non-toxic (TSH&gt;0.3 mIU/l)) and non autimmune pre-toxic MNG (TSH&lt;0.3 mIU/l). They confirmed the effectiveness of rhTSH adjuvant treatment in reducing thyroid volume after low RAI dose (&lt;600 MBq) independently of the baseline TSH level. A more severe thyrotoxic phase after rhTSH was observed in patients with TSH&lt;0.3 mIU/L, while L-T4 therapy was more frequently needed when initial TSH </w:t>
      </w:r>
      <w:r w:rsidR="00FA49CF">
        <w:rPr>
          <w:rFonts w:ascii="Arial" w:hAnsi="Arial" w:cs="Arial"/>
          <w:color w:val="auto"/>
          <w:sz w:val="22"/>
          <w:szCs w:val="22"/>
        </w:rPr>
        <w:t xml:space="preserve">levels </w:t>
      </w:r>
      <w:r w:rsidR="00662B37">
        <w:rPr>
          <w:rFonts w:ascii="Arial" w:hAnsi="Arial" w:cs="Arial"/>
          <w:color w:val="auto"/>
          <w:sz w:val="22"/>
          <w:szCs w:val="22"/>
        </w:rPr>
        <w:t xml:space="preserve">were </w:t>
      </w:r>
      <w:r w:rsidR="00FA49CF">
        <w:rPr>
          <w:rFonts w:ascii="Arial" w:hAnsi="Arial" w:cs="Arial"/>
          <w:color w:val="auto"/>
          <w:sz w:val="22"/>
          <w:szCs w:val="22"/>
        </w:rPr>
        <w:t>&gt; 0.3 mIU/l (133</w:t>
      </w:r>
      <w:r w:rsidR="00073BE2" w:rsidRPr="00073BE2">
        <w:rPr>
          <w:rFonts w:ascii="Arial" w:hAnsi="Arial" w:cs="Arial"/>
          <w:color w:val="auto"/>
          <w:sz w:val="22"/>
          <w:szCs w:val="22"/>
        </w:rPr>
        <w:t>)</w:t>
      </w:r>
    </w:p>
    <w:p w14:paraId="48DD056F" w14:textId="77777777" w:rsidR="00830A21" w:rsidRPr="00662893" w:rsidRDefault="00830A21" w:rsidP="00B55FE6">
      <w:pPr>
        <w:ind w:right="-136"/>
        <w:rPr>
          <w:rFonts w:ascii="Arial" w:hAnsi="Arial" w:cs="Arial"/>
          <w:sz w:val="22"/>
          <w:szCs w:val="22"/>
        </w:rPr>
      </w:pPr>
    </w:p>
    <w:p w14:paraId="5D8ECD4D" w14:textId="798B4BC6" w:rsidR="00AA491A" w:rsidRPr="00662893" w:rsidRDefault="00AA491A" w:rsidP="00B55FE6">
      <w:pPr>
        <w:ind w:right="-136"/>
        <w:rPr>
          <w:rFonts w:ascii="Arial" w:hAnsi="Arial" w:cs="Arial"/>
          <w:sz w:val="22"/>
          <w:szCs w:val="22"/>
        </w:rPr>
      </w:pPr>
      <w:r w:rsidRPr="00662893">
        <w:rPr>
          <w:rFonts w:ascii="Arial" w:hAnsi="Arial" w:cs="Arial"/>
          <w:sz w:val="22"/>
          <w:szCs w:val="22"/>
        </w:rPr>
        <w:t>As mentioned, rhTSH was administered 24h before ¹³¹I therapy in most studies. However, results from a study published by Duick and Baskin (1</w:t>
      </w:r>
      <w:r w:rsidR="00FA49CF">
        <w:rPr>
          <w:rFonts w:ascii="Arial" w:hAnsi="Arial" w:cs="Arial"/>
          <w:sz w:val="22"/>
          <w:szCs w:val="22"/>
        </w:rPr>
        <w:t>34</w:t>
      </w:r>
      <w:r w:rsidRPr="00662893">
        <w:rPr>
          <w:rFonts w:ascii="Arial" w:hAnsi="Arial" w:cs="Arial"/>
          <w:sz w:val="22"/>
          <w:szCs w:val="22"/>
        </w:rPr>
        <w:t>, 1</w:t>
      </w:r>
      <w:r w:rsidR="00FA49CF">
        <w:rPr>
          <w:rFonts w:ascii="Arial" w:hAnsi="Arial" w:cs="Arial"/>
          <w:sz w:val="22"/>
          <w:szCs w:val="22"/>
        </w:rPr>
        <w:t>35</w:t>
      </w:r>
      <w:r w:rsidRPr="00662893">
        <w:rPr>
          <w:rFonts w:ascii="Arial" w:hAnsi="Arial" w:cs="Arial"/>
          <w:sz w:val="22"/>
          <w:szCs w:val="22"/>
        </w:rPr>
        <w:t>) suggested that the time interval may be even longer to achieve a maximum stimulation of the thyroid RAIU.</w:t>
      </w:r>
    </w:p>
    <w:p w14:paraId="4A66E68D" w14:textId="77777777" w:rsidR="00A6479F" w:rsidRPr="00662893" w:rsidRDefault="00A6479F" w:rsidP="00B55FE6">
      <w:pPr>
        <w:ind w:right="-136"/>
        <w:rPr>
          <w:rFonts w:ascii="Arial" w:hAnsi="Arial" w:cs="Arial"/>
          <w:sz w:val="22"/>
          <w:szCs w:val="22"/>
        </w:rPr>
      </w:pPr>
    </w:p>
    <w:p w14:paraId="68A7986B" w14:textId="19552564" w:rsidR="00A6479F" w:rsidRPr="00662893" w:rsidRDefault="00073BE2" w:rsidP="00B55FE6">
      <w:pPr>
        <w:ind w:right="-136"/>
        <w:rPr>
          <w:rFonts w:ascii="Arial" w:hAnsi="Arial" w:cs="Arial"/>
          <w:sz w:val="22"/>
          <w:szCs w:val="22"/>
        </w:rPr>
      </w:pPr>
      <w:r w:rsidRPr="00073BE2">
        <w:rPr>
          <w:rFonts w:ascii="Arial" w:hAnsi="Arial" w:cs="Arial"/>
          <w:sz w:val="22"/>
          <w:szCs w:val="22"/>
        </w:rPr>
        <w:t>Recently in a phase II, single blinded, placebo-controlled study with 95 patients evaluating two low doses (0.01 and 0.03mg) of modified-release rhTSH, no statistical significant enhancement of thyroid volume reduction was achieved at three years follow-up (41% to 53%) . The modified-release rhTSH was developed to minimize the side effects related to th</w:t>
      </w:r>
      <w:r w:rsidR="00FA49CF">
        <w:rPr>
          <w:rFonts w:ascii="Arial" w:hAnsi="Arial" w:cs="Arial"/>
          <w:sz w:val="22"/>
          <w:szCs w:val="22"/>
        </w:rPr>
        <w:t>yroid hormone excess, (136</w:t>
      </w:r>
      <w:r w:rsidRPr="00073BE2">
        <w:rPr>
          <w:rFonts w:ascii="Arial" w:hAnsi="Arial" w:cs="Arial"/>
          <w:sz w:val="22"/>
          <w:szCs w:val="22"/>
        </w:rPr>
        <w:t>).</w:t>
      </w:r>
    </w:p>
    <w:p w14:paraId="12E2C606" w14:textId="6C386BE3" w:rsidR="00A97ECB" w:rsidRPr="00F862D0" w:rsidRDefault="00A97ECB" w:rsidP="00F862D0">
      <w:pPr>
        <w:widowControl w:val="0"/>
        <w:autoSpaceDE w:val="0"/>
        <w:autoSpaceDN w:val="0"/>
        <w:adjustRightInd w:val="0"/>
        <w:rPr>
          <w:rFonts w:ascii="Arial" w:hAnsi="Arial" w:cs="Arial"/>
        </w:rPr>
      </w:pPr>
    </w:p>
    <w:p w14:paraId="20D3A27C" w14:textId="77777777" w:rsidR="00AA491A" w:rsidRPr="00922099" w:rsidRDefault="00AA491A" w:rsidP="004D2621">
      <w:pPr>
        <w:pStyle w:val="Heading3"/>
        <w:rPr>
          <w:sz w:val="22"/>
          <w:szCs w:val="22"/>
        </w:rPr>
      </w:pPr>
      <w:r w:rsidRPr="00922099">
        <w:rPr>
          <w:sz w:val="22"/>
          <w:szCs w:val="22"/>
        </w:rPr>
        <w:t>(2). Tracheal compression and pulmonary function</w:t>
      </w:r>
    </w:p>
    <w:p w14:paraId="720D26E7" w14:textId="795F22E8" w:rsidR="00AA491A" w:rsidRPr="00735ABA" w:rsidRDefault="00AA491A" w:rsidP="00B55FE6">
      <w:pPr>
        <w:ind w:right="-136"/>
        <w:rPr>
          <w:rFonts w:ascii="Arial" w:hAnsi="Arial" w:cs="Arial"/>
          <w:sz w:val="22"/>
          <w:szCs w:val="22"/>
        </w:rPr>
      </w:pPr>
      <w:r w:rsidRPr="00735ABA">
        <w:rPr>
          <w:rFonts w:ascii="Arial" w:hAnsi="Arial" w:cs="Arial"/>
          <w:sz w:val="22"/>
          <w:szCs w:val="22"/>
        </w:rPr>
        <w:t>Many elderly patients have significant intrathoracic extension of the MNG, which may cause tracheal compression with subsequent airflow reduction. Bonnema et al (</w:t>
      </w:r>
      <w:r w:rsidR="00FA49CF">
        <w:rPr>
          <w:rFonts w:ascii="Arial" w:hAnsi="Arial" w:cs="Arial"/>
          <w:sz w:val="22"/>
          <w:szCs w:val="22"/>
        </w:rPr>
        <w:t>137</w:t>
      </w:r>
      <w:r w:rsidRPr="00735ABA">
        <w:rPr>
          <w:rFonts w:ascii="Arial" w:hAnsi="Arial" w:cs="Arial"/>
          <w:sz w:val="22"/>
          <w:szCs w:val="22"/>
        </w:rPr>
        <w:t xml:space="preserve">) evaluated upper airway obstruction by flow volume loops in 23 patients with very large goiter. In one third of the patients, there was impairment of the forced inspiratory flow at 50% of the vital capacity (FIF50%).The authors found a significant correlation between FIF50% and the smallest tracheal cross-sectional area. Reduction of the MNG volume after high dose of ¹³¹I had a remarkable effect in enlarging tracheal cross-sectional area and consequently improving inspiratory capacity in these patients. </w:t>
      </w:r>
    </w:p>
    <w:p w14:paraId="7D9A68C8" w14:textId="77777777" w:rsidR="00AA491A" w:rsidRPr="00735ABA" w:rsidRDefault="00AA491A" w:rsidP="00B55FE6">
      <w:pPr>
        <w:ind w:right="-136"/>
        <w:rPr>
          <w:rFonts w:ascii="Arial" w:hAnsi="Arial" w:cs="Arial"/>
          <w:b/>
          <w:sz w:val="22"/>
          <w:szCs w:val="22"/>
          <w:u w:val="single"/>
        </w:rPr>
      </w:pPr>
    </w:p>
    <w:p w14:paraId="27B2C8CE" w14:textId="77777777" w:rsidR="00AA491A" w:rsidRPr="00735ABA" w:rsidRDefault="00AA491A" w:rsidP="004D2621">
      <w:pPr>
        <w:pStyle w:val="Heading3"/>
        <w:rPr>
          <w:sz w:val="22"/>
          <w:szCs w:val="22"/>
        </w:rPr>
      </w:pPr>
      <w:r w:rsidRPr="00735ABA">
        <w:rPr>
          <w:sz w:val="22"/>
          <w:szCs w:val="22"/>
        </w:rPr>
        <w:t>(3). Transient hyperthyroidism after ¹³¹I ablation</w:t>
      </w:r>
    </w:p>
    <w:p w14:paraId="10CE3BF7" w14:textId="4DB06AC5" w:rsidR="00AA491A" w:rsidRPr="00735ABA" w:rsidRDefault="00AA491A" w:rsidP="00B55FE6">
      <w:pPr>
        <w:ind w:right="-136"/>
        <w:rPr>
          <w:rFonts w:ascii="Arial" w:hAnsi="Arial" w:cs="Arial"/>
          <w:sz w:val="22"/>
          <w:szCs w:val="22"/>
        </w:rPr>
      </w:pPr>
      <w:r w:rsidRPr="00735ABA">
        <w:rPr>
          <w:rFonts w:ascii="Arial" w:hAnsi="Arial" w:cs="Arial"/>
          <w:sz w:val="22"/>
          <w:szCs w:val="22"/>
        </w:rPr>
        <w:t>Other studies using different doses of rhTSH and showing comparable RAIU increases with lower doses, demonstrated significant goiter reduction, but also transient hyperthyroidism after ¹³¹I therapy (1</w:t>
      </w:r>
      <w:r w:rsidR="00FA49CF">
        <w:rPr>
          <w:rFonts w:ascii="Arial" w:hAnsi="Arial" w:cs="Arial"/>
          <w:sz w:val="22"/>
          <w:szCs w:val="22"/>
        </w:rPr>
        <w:t>31</w:t>
      </w:r>
      <w:r w:rsidRPr="00735ABA">
        <w:rPr>
          <w:rFonts w:ascii="Arial" w:hAnsi="Arial" w:cs="Arial"/>
          <w:sz w:val="22"/>
          <w:szCs w:val="22"/>
        </w:rPr>
        <w:t>-1</w:t>
      </w:r>
      <w:r w:rsidR="00FA49CF">
        <w:rPr>
          <w:rFonts w:ascii="Arial" w:hAnsi="Arial" w:cs="Arial"/>
          <w:sz w:val="22"/>
          <w:szCs w:val="22"/>
        </w:rPr>
        <w:t>44</w:t>
      </w:r>
      <w:r w:rsidRPr="00735ABA">
        <w:rPr>
          <w:rFonts w:ascii="Arial" w:hAnsi="Arial" w:cs="Arial"/>
          <w:sz w:val="22"/>
          <w:szCs w:val="22"/>
        </w:rPr>
        <w:t xml:space="preserve">). A study in which 34 patients with large MNGs were randomized to receive ¹³¹I therapy (100 µCi/g of thyroid tissue) alone or following a single relatively high dose of rhTSH (0,45 mg) 24h before ¹³¹I administration, showed that patients who received rhTSH had transient elevations in thyroid hormone levels lasting a </w:t>
      </w:r>
      <w:r w:rsidRPr="00735ABA">
        <w:rPr>
          <w:rFonts w:ascii="Arial" w:hAnsi="Arial" w:cs="Arial"/>
          <w:sz w:val="22"/>
          <w:szCs w:val="22"/>
        </w:rPr>
        <w:lastRenderedPageBreak/>
        <w:t>few weeks, a greater reduction in goiter size (60% vs. 40%), and a higher incidence of hypothyroidism (65% vs. 21%) (</w:t>
      </w:r>
      <w:r w:rsidR="00FA49CF">
        <w:rPr>
          <w:rFonts w:ascii="Arial" w:hAnsi="Arial" w:cs="Arial"/>
          <w:sz w:val="22"/>
          <w:szCs w:val="22"/>
        </w:rPr>
        <w:t>142</w:t>
      </w:r>
      <w:r w:rsidRPr="00735ABA">
        <w:rPr>
          <w:rFonts w:ascii="Arial" w:hAnsi="Arial" w:cs="Arial"/>
          <w:sz w:val="22"/>
          <w:szCs w:val="22"/>
        </w:rPr>
        <w:t xml:space="preserve">). In another study, 18 patients received two 0.1 mg doses of rhTSH followed by 30 mCi of ¹³¹I. RAIU increased from 12 to 55%, free T 4 increased from 1.3 to 3.2 ng/dL, and goiter size reduced from 97 to 65 mL. </w:t>
      </w:r>
      <w:r w:rsidR="00FA49CF" w:rsidRPr="00735ABA">
        <w:rPr>
          <w:rFonts w:ascii="Arial" w:hAnsi="Arial" w:cs="Arial"/>
          <w:sz w:val="22"/>
          <w:szCs w:val="22"/>
        </w:rPr>
        <w:t>However</w:t>
      </w:r>
      <w:r w:rsidRPr="00735ABA">
        <w:rPr>
          <w:rFonts w:ascii="Arial" w:hAnsi="Arial" w:cs="Arial"/>
          <w:sz w:val="22"/>
          <w:szCs w:val="22"/>
        </w:rPr>
        <w:t>, about 30% of the patients experienced painful thyroiditis and 39% had mild hyperthyroidism (1</w:t>
      </w:r>
      <w:r w:rsidR="00FA49CF">
        <w:rPr>
          <w:rFonts w:ascii="Arial" w:hAnsi="Arial" w:cs="Arial"/>
          <w:sz w:val="22"/>
          <w:szCs w:val="22"/>
        </w:rPr>
        <w:t>3</w:t>
      </w:r>
      <w:r w:rsidRPr="00735ABA">
        <w:rPr>
          <w:rFonts w:ascii="Arial" w:hAnsi="Arial" w:cs="Arial"/>
          <w:sz w:val="22"/>
          <w:szCs w:val="22"/>
        </w:rPr>
        <w:t>7). In a randomized trial of ¹³¹I treatment   calculated to deliver a thyroidal absorbed dose of 100 Gy (10 mrads) and administered 24h after rhTSH (0.3 mg) or placebo, patients with MNG (mean goiter volume of 55 cm³) who received rhTSH had more symptoms of hyperthyroidism and neck pain during the first week after treatment, a greater reduction in goiter size (52% vs. 46%), and a higher frequency of hypothyroidism (62% vs. 11%) (1</w:t>
      </w:r>
      <w:r w:rsidR="00FA49CF">
        <w:rPr>
          <w:rFonts w:ascii="Arial" w:hAnsi="Arial" w:cs="Arial"/>
          <w:sz w:val="22"/>
          <w:szCs w:val="22"/>
        </w:rPr>
        <w:t>45</w:t>
      </w:r>
      <w:r w:rsidRPr="00735ABA">
        <w:rPr>
          <w:rFonts w:ascii="Arial" w:hAnsi="Arial" w:cs="Arial"/>
          <w:sz w:val="22"/>
          <w:szCs w:val="22"/>
        </w:rPr>
        <w:t>). Using a similar study design, Bonnema et al (1</w:t>
      </w:r>
      <w:r w:rsidR="00FA49CF">
        <w:rPr>
          <w:rFonts w:ascii="Arial" w:hAnsi="Arial" w:cs="Arial"/>
          <w:sz w:val="22"/>
          <w:szCs w:val="22"/>
        </w:rPr>
        <w:t>4</w:t>
      </w:r>
      <w:r w:rsidRPr="00735ABA">
        <w:rPr>
          <w:rFonts w:ascii="Arial" w:hAnsi="Arial" w:cs="Arial"/>
          <w:sz w:val="22"/>
          <w:szCs w:val="22"/>
        </w:rPr>
        <w:t xml:space="preserve">1) compared the effects of rhTSH (0.3 mg) or placebo, followed by a maximum dose of ¹³¹I 100 mCi on goiter volume reduction in 29 patients with very large goiters (median volume of 160 mL). After 12 months, the median goiter volume (monitored by magnetic resonance imaging) was reduced by 34% in the placebo group and by 53% in the rhTSH group. In the placebo group, the goiter reduction correlated positively with the retained thyroidal ¹³¹I dose, whereas this relationship was absent in the rhTSH group. Adverse effects, mainly related to thyroid pain and cervical compression, were more frequent in the rhTSH group. At 12 months, goiter-related complaints were significantly reduced in both groups without any between-group difference.  One patient in the placebo group and three patients in the rhTSH group developed hypothyroidism. </w:t>
      </w:r>
    </w:p>
    <w:p w14:paraId="52DF1DE3" w14:textId="77777777" w:rsidR="00AA491A" w:rsidRPr="00735ABA" w:rsidRDefault="00AA491A" w:rsidP="00B55FE6">
      <w:pPr>
        <w:ind w:right="-136"/>
        <w:rPr>
          <w:rFonts w:ascii="Arial" w:hAnsi="Arial" w:cs="Arial"/>
          <w:sz w:val="22"/>
          <w:szCs w:val="22"/>
        </w:rPr>
      </w:pPr>
    </w:p>
    <w:p w14:paraId="548A7F48" w14:textId="03FCD798" w:rsidR="00AA491A" w:rsidRPr="00735ABA" w:rsidRDefault="00AA491A" w:rsidP="00B55FE6">
      <w:pPr>
        <w:ind w:right="-136"/>
        <w:rPr>
          <w:rFonts w:ascii="Arial" w:hAnsi="Arial" w:cs="Arial"/>
          <w:sz w:val="22"/>
          <w:szCs w:val="22"/>
        </w:rPr>
      </w:pPr>
      <w:r w:rsidRPr="00735ABA">
        <w:rPr>
          <w:rFonts w:ascii="Arial" w:hAnsi="Arial" w:cs="Arial"/>
          <w:sz w:val="22"/>
          <w:szCs w:val="22"/>
        </w:rPr>
        <w:t>Recently, an uncontrolled study (1</w:t>
      </w:r>
      <w:r w:rsidR="00FA49CF">
        <w:rPr>
          <w:rFonts w:ascii="Arial" w:hAnsi="Arial" w:cs="Arial"/>
          <w:sz w:val="22"/>
          <w:szCs w:val="22"/>
        </w:rPr>
        <w:t>40</w:t>
      </w:r>
      <w:r w:rsidRPr="00735ABA">
        <w:rPr>
          <w:rFonts w:ascii="Arial" w:hAnsi="Arial" w:cs="Arial"/>
          <w:sz w:val="22"/>
          <w:szCs w:val="22"/>
        </w:rPr>
        <w:t xml:space="preserve">) demonstrated the effect of rhTSH (0.1 mg, single dose) followed by ¹³¹I 30mCi 24h later in 17 patients with MNG (mean thyroid volume of 106 cm³). Pretreatment with rhTSH resulted in a mean RAIU increase from 18 to 50% and an increase in free T4 of 55% at 24h. Mean T3 levels increased by 86% and peaked at 48h, and median TG levels increased about 600% and peaked on the fifth day. Symptomatic tachycardia was promptly relieved with ß-blocker administration. After 12 months, mean thyroid volume measured by computed tomography had reduced by 46%. The adverse effects observed were transient hyperthyroidism (17.6%), painful thyroiditis (29.4%), and hypothyroidism (52.9%). </w:t>
      </w:r>
    </w:p>
    <w:p w14:paraId="6041C39F" w14:textId="77777777" w:rsidR="00AA491A" w:rsidRPr="00735ABA" w:rsidRDefault="00AA491A" w:rsidP="00B55FE6">
      <w:pPr>
        <w:ind w:right="-136"/>
        <w:rPr>
          <w:rFonts w:ascii="Arial" w:hAnsi="Arial" w:cs="Arial"/>
          <w:sz w:val="22"/>
          <w:szCs w:val="22"/>
        </w:rPr>
      </w:pPr>
    </w:p>
    <w:p w14:paraId="0A447103" w14:textId="77777777" w:rsidR="00AA491A" w:rsidRPr="00735ABA" w:rsidRDefault="00AA491A" w:rsidP="00B55FE6">
      <w:pPr>
        <w:ind w:right="-136"/>
        <w:rPr>
          <w:rFonts w:ascii="Arial" w:hAnsi="Arial" w:cs="Arial"/>
          <w:b/>
          <w:sz w:val="22"/>
          <w:szCs w:val="22"/>
          <w:u w:val="single"/>
        </w:rPr>
      </w:pPr>
    </w:p>
    <w:p w14:paraId="7EB03D74" w14:textId="77777777" w:rsidR="00AA491A" w:rsidRPr="00735ABA" w:rsidRDefault="00AA491A" w:rsidP="004D2621">
      <w:pPr>
        <w:pStyle w:val="Heading3"/>
        <w:rPr>
          <w:sz w:val="22"/>
          <w:szCs w:val="22"/>
        </w:rPr>
      </w:pPr>
      <w:r w:rsidRPr="00735ABA">
        <w:rPr>
          <w:sz w:val="22"/>
          <w:szCs w:val="22"/>
        </w:rPr>
        <w:t>(4). Degree of goiter reduction, ¹³¹I dose, and rhTSH</w:t>
      </w:r>
    </w:p>
    <w:p w14:paraId="4A328247" w14:textId="72E1D811" w:rsidR="00AA491A" w:rsidRPr="00735ABA" w:rsidRDefault="00AA491A" w:rsidP="00B55FE6">
      <w:pPr>
        <w:ind w:right="-136"/>
        <w:rPr>
          <w:rFonts w:ascii="Arial" w:hAnsi="Arial" w:cs="Arial"/>
          <w:sz w:val="22"/>
          <w:szCs w:val="22"/>
        </w:rPr>
      </w:pPr>
      <w:r w:rsidRPr="00735ABA">
        <w:rPr>
          <w:rFonts w:ascii="Arial" w:hAnsi="Arial" w:cs="Arial"/>
          <w:sz w:val="22"/>
          <w:szCs w:val="22"/>
        </w:rPr>
        <w:t>Most investigators (</w:t>
      </w:r>
      <w:r w:rsidR="00120AC5" w:rsidRPr="00735ABA">
        <w:rPr>
          <w:rFonts w:ascii="Arial" w:hAnsi="Arial" w:cs="Arial"/>
          <w:sz w:val="22"/>
          <w:szCs w:val="22"/>
        </w:rPr>
        <w:t>Table 17-7</w:t>
      </w:r>
      <w:r w:rsidRPr="00735ABA">
        <w:rPr>
          <w:rFonts w:ascii="Arial" w:hAnsi="Arial" w:cs="Arial"/>
          <w:sz w:val="22"/>
          <w:szCs w:val="22"/>
        </w:rPr>
        <w:t>) could not find any correlation of thyroid volume reduction with post-rhTSH RAIU, area under the curve of TSH, basal thyroid volume, or effective activity of ¹³¹I. Also, in the placebo-controlled study by Bonnema et al (1</w:t>
      </w:r>
      <w:r w:rsidR="00FA49CF">
        <w:rPr>
          <w:rFonts w:ascii="Arial" w:hAnsi="Arial" w:cs="Arial"/>
          <w:sz w:val="22"/>
          <w:szCs w:val="22"/>
        </w:rPr>
        <w:t>4</w:t>
      </w:r>
      <w:r w:rsidRPr="00735ABA">
        <w:rPr>
          <w:rFonts w:ascii="Arial" w:hAnsi="Arial" w:cs="Arial"/>
          <w:sz w:val="22"/>
          <w:szCs w:val="22"/>
        </w:rPr>
        <w:t>1), no significant correlation was found, in either the placebo group of the rhTSH-treated group, between the degree of goiter reduction and the initial goiter size. However, in the placebo group, there was a correlation (r = 0.74) between the degree of goiter reduction and the retained ¹³¹I thyroid dose, an observation in agreement with previous reports (</w:t>
      </w:r>
      <w:r w:rsidR="00FA49CF">
        <w:rPr>
          <w:rFonts w:ascii="Arial" w:hAnsi="Arial" w:cs="Arial"/>
          <w:sz w:val="22"/>
          <w:szCs w:val="22"/>
        </w:rPr>
        <w:t>135</w:t>
      </w:r>
      <w:r w:rsidRPr="00735ABA">
        <w:rPr>
          <w:rFonts w:ascii="Arial" w:hAnsi="Arial" w:cs="Arial"/>
          <w:sz w:val="22"/>
          <w:szCs w:val="22"/>
        </w:rPr>
        <w:t>). At variance, Albino et al (1</w:t>
      </w:r>
      <w:r w:rsidR="00FA49CF">
        <w:rPr>
          <w:rFonts w:ascii="Arial" w:hAnsi="Arial" w:cs="Arial"/>
          <w:sz w:val="22"/>
          <w:szCs w:val="22"/>
        </w:rPr>
        <w:t>31</w:t>
      </w:r>
      <w:r w:rsidRPr="00735ABA">
        <w:rPr>
          <w:rFonts w:ascii="Arial" w:hAnsi="Arial" w:cs="Arial"/>
          <w:sz w:val="22"/>
          <w:szCs w:val="22"/>
        </w:rPr>
        <w:t>) found a positive correlation (r = 0.68) between the degree of goiter volume reduction and the effective activity of administered post-rhTSH ¹³¹I dose. This issue, therefore, needs further clarification, but overall, these studies suggest that goiter reduction may be dependent on other factors caused by rhTSH pre-stimulation and not only on the applied ¹³¹I thyroid dose. For example, rhTSH could induce reactivation of inactive thyroid tissue or render the thyrocytes more vulnerable to ionizing radiation. Generally, the dose of ¹³¹I in these studies ranged from 75 to 400 µCi/g tissue, and most patients received doses between 100 and 200 µCi/g, similar to those used to treat hyperthyroidism.</w:t>
      </w:r>
    </w:p>
    <w:p w14:paraId="0EBCB071" w14:textId="77777777" w:rsidR="009E49E4" w:rsidRPr="00735ABA" w:rsidRDefault="009E49E4" w:rsidP="00B55FE6">
      <w:pPr>
        <w:ind w:right="-136"/>
        <w:rPr>
          <w:rFonts w:ascii="Arial" w:hAnsi="Arial" w:cs="Arial"/>
        </w:rPr>
      </w:pPr>
    </w:p>
    <w:p w14:paraId="77C99FF0" w14:textId="77777777" w:rsidR="009E49E4" w:rsidRPr="00735ABA" w:rsidRDefault="009E49E4" w:rsidP="00B55FE6">
      <w:pPr>
        <w:ind w:right="-136"/>
        <w:rPr>
          <w:rFonts w:ascii="Arial" w:hAnsi="Arial" w:cs="Arial"/>
        </w:rPr>
      </w:pPr>
    </w:p>
    <w:p w14:paraId="0D099F92" w14:textId="029D1BE3" w:rsidR="0045477C" w:rsidRPr="00735ABA" w:rsidRDefault="003811F8" w:rsidP="0045477C">
      <w:pPr>
        <w:spacing w:after="200" w:line="276" w:lineRule="auto"/>
        <w:jc w:val="center"/>
        <w:rPr>
          <w:rFonts w:ascii="Calibri" w:eastAsia="Calibri" w:hAnsi="Calibri"/>
          <w:color w:val="auto"/>
          <w:sz w:val="22"/>
          <w:szCs w:val="22"/>
        </w:rPr>
      </w:pPr>
      <w:r>
        <w:rPr>
          <w:rFonts w:ascii="Calibri" w:eastAsia="Calibri" w:hAnsi="Calibri"/>
          <w:noProof/>
          <w:color w:val="auto"/>
          <w:sz w:val="22"/>
          <w:szCs w:val="22"/>
        </w:rPr>
        <w:drawing>
          <wp:inline distT="0" distB="0" distL="0" distR="0" wp14:anchorId="54C6C5C3" wp14:editId="689DA3AD">
            <wp:extent cx="4832985" cy="3757930"/>
            <wp:effectExtent l="0" t="0" r="0" b="1270"/>
            <wp:docPr id="6" name="Imagem 1" descr="Descrição: http://jcem.endojournals.org/content/97/8/2653/F4.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jcem.endojournals.org/content/97/8/2653/F4.larg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32985" cy="3757930"/>
                    </a:xfrm>
                    <a:prstGeom prst="rect">
                      <a:avLst/>
                    </a:prstGeom>
                    <a:noFill/>
                    <a:ln>
                      <a:noFill/>
                    </a:ln>
                  </pic:spPr>
                </pic:pic>
              </a:graphicData>
            </a:graphic>
          </wp:inline>
        </w:drawing>
      </w:r>
    </w:p>
    <w:p w14:paraId="453B4E60" w14:textId="5315170E" w:rsidR="0045477C" w:rsidRPr="00735ABA" w:rsidRDefault="0045477C" w:rsidP="00807499">
      <w:pPr>
        <w:pBdr>
          <w:top w:val="single" w:sz="4" w:space="1" w:color="auto"/>
          <w:left w:val="single" w:sz="4" w:space="4" w:color="auto"/>
          <w:bottom w:val="single" w:sz="4" w:space="1" w:color="auto"/>
          <w:right w:val="single" w:sz="4" w:space="4" w:color="auto"/>
        </w:pBdr>
        <w:shd w:val="clear" w:color="auto" w:fill="92CDDC"/>
        <w:spacing w:after="200" w:line="276" w:lineRule="auto"/>
        <w:rPr>
          <w:rFonts w:ascii="Arial" w:eastAsia="Calibri" w:hAnsi="Arial" w:cs="Arial"/>
          <w:color w:val="auto"/>
          <w:sz w:val="22"/>
          <w:szCs w:val="22"/>
        </w:rPr>
      </w:pPr>
      <w:r w:rsidRPr="008250DA">
        <w:rPr>
          <w:rFonts w:ascii="Arial" w:eastAsia="Calibri" w:hAnsi="Arial" w:cs="Arial"/>
          <w:b/>
          <w:color w:val="auto"/>
          <w:sz w:val="22"/>
          <w:szCs w:val="22"/>
        </w:rPr>
        <w:t>Figure 17-7</w:t>
      </w:r>
      <w:r w:rsidRPr="008250DA">
        <w:rPr>
          <w:rFonts w:ascii="Arial" w:eastAsia="Calibri" w:hAnsi="Arial" w:cs="Arial"/>
          <w:color w:val="auto"/>
          <w:sz w:val="22"/>
          <w:szCs w:val="22"/>
        </w:rPr>
        <w:t xml:space="preserve"> – Goiter reduction volume (%) at last follow-up of patients treated only with radioiodine (left bars) as compared with patients that received recombinant human TSH plus radioiodine (right bars). Note the significant and early volume reduction with radioiodine preceded by rh TSH (</w:t>
      </w:r>
      <w:r w:rsidR="00BC78C7">
        <w:rPr>
          <w:rFonts w:ascii="Arial" w:eastAsia="Calibri" w:hAnsi="Arial" w:cs="Arial"/>
          <w:color w:val="auto"/>
          <w:sz w:val="22"/>
          <w:szCs w:val="22"/>
        </w:rPr>
        <w:t>146</w:t>
      </w:r>
      <w:r w:rsidRPr="00735ABA">
        <w:rPr>
          <w:rFonts w:ascii="Arial" w:eastAsia="Calibri" w:hAnsi="Arial" w:cs="Arial"/>
          <w:color w:val="auto"/>
          <w:sz w:val="22"/>
          <w:szCs w:val="22"/>
        </w:rPr>
        <w:t>)</w:t>
      </w:r>
    </w:p>
    <w:p w14:paraId="189AC23A" w14:textId="77777777" w:rsidR="00507729" w:rsidRDefault="00507729" w:rsidP="00507729">
      <w:pPr>
        <w:spacing w:after="200" w:line="276" w:lineRule="auto"/>
        <w:rPr>
          <w:rFonts w:ascii="Calibri" w:eastAsia="Calibri" w:hAnsi="Calibri"/>
          <w:szCs w:val="22"/>
        </w:rPr>
      </w:pPr>
    </w:p>
    <w:p w14:paraId="2D4FDE8E" w14:textId="77777777" w:rsidR="003811F8" w:rsidRDefault="003811F8" w:rsidP="00507729">
      <w:pPr>
        <w:spacing w:after="200" w:line="276" w:lineRule="auto"/>
        <w:rPr>
          <w:rFonts w:ascii="Calibri" w:eastAsia="Calibri" w:hAnsi="Calibri"/>
          <w:szCs w:val="22"/>
        </w:rPr>
      </w:pPr>
    </w:p>
    <w:p w14:paraId="0E2655E4" w14:textId="77777777" w:rsidR="003811F8" w:rsidRDefault="003811F8" w:rsidP="00507729">
      <w:pPr>
        <w:spacing w:after="200" w:line="276" w:lineRule="auto"/>
        <w:rPr>
          <w:rFonts w:ascii="Calibri" w:eastAsia="Calibri" w:hAnsi="Calibri"/>
          <w:szCs w:val="22"/>
        </w:rPr>
      </w:pPr>
    </w:p>
    <w:p w14:paraId="6FB9CEA9" w14:textId="77777777" w:rsidR="003811F8" w:rsidRDefault="003811F8" w:rsidP="00507729">
      <w:pPr>
        <w:spacing w:after="200" w:line="276" w:lineRule="auto"/>
        <w:rPr>
          <w:rFonts w:ascii="Calibri" w:eastAsia="Calibri" w:hAnsi="Calibri"/>
          <w:szCs w:val="22"/>
        </w:rPr>
      </w:pPr>
    </w:p>
    <w:p w14:paraId="463A2A7F" w14:textId="77777777" w:rsidR="003811F8" w:rsidRDefault="003811F8" w:rsidP="00507729">
      <w:pPr>
        <w:spacing w:after="200" w:line="276" w:lineRule="auto"/>
        <w:rPr>
          <w:rFonts w:ascii="Calibri" w:eastAsia="Calibri" w:hAnsi="Calibri"/>
          <w:szCs w:val="22"/>
        </w:rPr>
      </w:pPr>
    </w:p>
    <w:p w14:paraId="407D22C7" w14:textId="77777777" w:rsidR="003811F8" w:rsidRDefault="003811F8" w:rsidP="00507729">
      <w:pPr>
        <w:spacing w:after="200" w:line="276" w:lineRule="auto"/>
        <w:rPr>
          <w:rFonts w:ascii="Calibri" w:eastAsia="Calibri" w:hAnsi="Calibri"/>
          <w:szCs w:val="22"/>
        </w:rPr>
      </w:pPr>
    </w:p>
    <w:p w14:paraId="1BAC0190" w14:textId="77777777" w:rsidR="003811F8" w:rsidRDefault="003811F8" w:rsidP="00507729">
      <w:pPr>
        <w:spacing w:after="200" w:line="276" w:lineRule="auto"/>
        <w:rPr>
          <w:rFonts w:ascii="Calibri" w:eastAsia="Calibri" w:hAnsi="Calibri"/>
          <w:szCs w:val="22"/>
        </w:rPr>
      </w:pPr>
    </w:p>
    <w:p w14:paraId="4B8FCEFD" w14:textId="77777777" w:rsidR="00830A21" w:rsidRDefault="00830A21" w:rsidP="00507729">
      <w:pPr>
        <w:spacing w:after="200" w:line="276" w:lineRule="auto"/>
        <w:rPr>
          <w:rFonts w:ascii="Calibri" w:eastAsia="Calibri" w:hAnsi="Calibri"/>
          <w:szCs w:val="22"/>
        </w:rPr>
      </w:pPr>
    </w:p>
    <w:p w14:paraId="07033C3E" w14:textId="77777777" w:rsidR="003811F8" w:rsidRDefault="003811F8" w:rsidP="00507729">
      <w:pPr>
        <w:spacing w:after="200" w:line="276" w:lineRule="auto"/>
        <w:rPr>
          <w:rFonts w:ascii="Calibri" w:eastAsia="Calibri" w:hAnsi="Calibri"/>
          <w:szCs w:val="22"/>
        </w:rPr>
      </w:pPr>
    </w:p>
    <w:tbl>
      <w:tblPr>
        <w:tblW w:w="10944" w:type="dxa"/>
        <w:tblInd w:w="-781" w:type="dxa"/>
        <w:tblLayout w:type="fixed"/>
        <w:tblCellMar>
          <w:left w:w="70" w:type="dxa"/>
          <w:right w:w="70" w:type="dxa"/>
        </w:tblCellMar>
        <w:tblLook w:val="04A0" w:firstRow="1" w:lastRow="0" w:firstColumn="1" w:lastColumn="0" w:noHBand="0" w:noVBand="1"/>
      </w:tblPr>
      <w:tblGrid>
        <w:gridCol w:w="993"/>
        <w:gridCol w:w="828"/>
        <w:gridCol w:w="873"/>
        <w:gridCol w:w="1076"/>
        <w:gridCol w:w="1111"/>
        <w:gridCol w:w="110"/>
        <w:gridCol w:w="770"/>
        <w:gridCol w:w="335"/>
        <w:gridCol w:w="673"/>
        <w:gridCol w:w="267"/>
        <w:gridCol w:w="520"/>
        <w:gridCol w:w="285"/>
        <w:gridCol w:w="745"/>
        <w:gridCol w:w="816"/>
        <w:gridCol w:w="239"/>
        <w:gridCol w:w="1277"/>
        <w:gridCol w:w="26"/>
      </w:tblGrid>
      <w:tr w:rsidR="003811F8" w:rsidRPr="00735ABA" w14:paraId="18537826" w14:textId="77777777" w:rsidTr="003811F8">
        <w:trPr>
          <w:trHeight w:val="315"/>
        </w:trPr>
        <w:tc>
          <w:tcPr>
            <w:tcW w:w="9641" w:type="dxa"/>
            <w:gridSpan w:val="15"/>
            <w:tcBorders>
              <w:top w:val="single" w:sz="8" w:space="0" w:color="auto"/>
              <w:left w:val="single" w:sz="8" w:space="0" w:color="auto"/>
              <w:bottom w:val="nil"/>
              <w:right w:val="nil"/>
            </w:tcBorders>
            <w:shd w:val="clear" w:color="auto" w:fill="92CDDC"/>
            <w:noWrap/>
            <w:vAlign w:val="bottom"/>
          </w:tcPr>
          <w:p w14:paraId="5F29ACF2" w14:textId="77777777" w:rsidR="003811F8" w:rsidRPr="00735ABA" w:rsidRDefault="003811F8" w:rsidP="00B11AE0">
            <w:pPr>
              <w:rPr>
                <w:rFonts w:ascii="Arial" w:hAnsi="Arial" w:cs="Arial"/>
                <w:b/>
                <w:bCs/>
                <w:sz w:val="22"/>
                <w:szCs w:val="22"/>
                <w:lang w:eastAsia="pt-BR"/>
              </w:rPr>
            </w:pPr>
            <w:r w:rsidRPr="00735ABA">
              <w:rPr>
                <w:rFonts w:ascii="Arial" w:hAnsi="Arial" w:cs="Arial"/>
                <w:b/>
                <w:bCs/>
                <w:sz w:val="22"/>
                <w:szCs w:val="22"/>
                <w:lang w:eastAsia="pt-BR"/>
              </w:rPr>
              <w:t>Table 17-7. Studies on the effect of recombinant human TSH on goiter reduction</w:t>
            </w:r>
          </w:p>
        </w:tc>
        <w:tc>
          <w:tcPr>
            <w:tcW w:w="1303" w:type="dxa"/>
            <w:gridSpan w:val="2"/>
            <w:tcBorders>
              <w:top w:val="single" w:sz="8" w:space="0" w:color="auto"/>
              <w:left w:val="nil"/>
              <w:bottom w:val="nil"/>
              <w:right w:val="single" w:sz="8" w:space="0" w:color="auto"/>
            </w:tcBorders>
            <w:shd w:val="clear" w:color="auto" w:fill="92CDDC"/>
            <w:noWrap/>
            <w:vAlign w:val="bottom"/>
          </w:tcPr>
          <w:p w14:paraId="5CDCA930" w14:textId="77777777" w:rsidR="003811F8" w:rsidRPr="00735ABA" w:rsidRDefault="003811F8" w:rsidP="00B11AE0">
            <w:pPr>
              <w:rPr>
                <w:rFonts w:ascii="Calibri" w:hAnsi="Calibri" w:cs="Calibri"/>
                <w:sz w:val="22"/>
                <w:szCs w:val="22"/>
                <w:lang w:eastAsia="pt-BR"/>
              </w:rPr>
            </w:pPr>
            <w:r w:rsidRPr="00735ABA">
              <w:rPr>
                <w:rFonts w:ascii="Calibri" w:hAnsi="Calibri" w:cs="Calibri"/>
                <w:sz w:val="22"/>
                <w:szCs w:val="22"/>
                <w:lang w:eastAsia="pt-BR"/>
              </w:rPr>
              <w:t> </w:t>
            </w:r>
          </w:p>
        </w:tc>
      </w:tr>
      <w:tr w:rsidR="003811F8" w:rsidRPr="00735ABA" w14:paraId="47AA6138" w14:textId="77777777" w:rsidTr="003811F8">
        <w:trPr>
          <w:trHeight w:val="330"/>
        </w:trPr>
        <w:tc>
          <w:tcPr>
            <w:tcW w:w="4991" w:type="dxa"/>
            <w:gridSpan w:val="6"/>
            <w:tcBorders>
              <w:top w:val="nil"/>
              <w:left w:val="single" w:sz="8" w:space="0" w:color="auto"/>
              <w:bottom w:val="single" w:sz="8" w:space="0" w:color="auto"/>
              <w:right w:val="nil"/>
            </w:tcBorders>
            <w:shd w:val="clear" w:color="auto" w:fill="92CDDC"/>
            <w:noWrap/>
            <w:vAlign w:val="bottom"/>
          </w:tcPr>
          <w:p w14:paraId="5534F7E2" w14:textId="77777777" w:rsidR="003811F8" w:rsidRPr="00735ABA" w:rsidRDefault="003811F8" w:rsidP="00B11AE0">
            <w:pPr>
              <w:rPr>
                <w:rFonts w:ascii="Arial" w:hAnsi="Arial" w:cs="Arial"/>
                <w:b/>
                <w:bCs/>
                <w:sz w:val="22"/>
                <w:szCs w:val="22"/>
                <w:lang w:eastAsia="pt-BR"/>
              </w:rPr>
            </w:pPr>
            <w:r w:rsidRPr="00735ABA">
              <w:rPr>
                <w:rFonts w:ascii="Arial" w:hAnsi="Arial" w:cs="Arial"/>
                <w:b/>
                <w:bCs/>
                <w:sz w:val="22"/>
                <w:szCs w:val="22"/>
                <w:lang w:eastAsia="pt-BR"/>
              </w:rPr>
              <w:lastRenderedPageBreak/>
              <w:t xml:space="preserve"> in multinodular goiter patients.</w:t>
            </w:r>
          </w:p>
        </w:tc>
        <w:tc>
          <w:tcPr>
            <w:tcW w:w="770" w:type="dxa"/>
            <w:tcBorders>
              <w:top w:val="nil"/>
              <w:left w:val="nil"/>
              <w:bottom w:val="single" w:sz="8" w:space="0" w:color="auto"/>
              <w:right w:val="nil"/>
            </w:tcBorders>
            <w:shd w:val="clear" w:color="auto" w:fill="92CDDC"/>
            <w:vAlign w:val="center"/>
          </w:tcPr>
          <w:p w14:paraId="6C168E23" w14:textId="77777777" w:rsidR="003811F8" w:rsidRPr="00735ABA" w:rsidRDefault="003811F8" w:rsidP="00B11AE0">
            <w:pPr>
              <w:jc w:val="center"/>
              <w:rPr>
                <w:rFonts w:ascii="Arial" w:hAnsi="Arial" w:cs="Arial"/>
                <w:b/>
                <w:bCs/>
                <w:sz w:val="18"/>
                <w:szCs w:val="18"/>
                <w:lang w:eastAsia="pt-BR"/>
              </w:rPr>
            </w:pPr>
            <w:r w:rsidRPr="00735ABA">
              <w:rPr>
                <w:rFonts w:ascii="Arial" w:hAnsi="Arial" w:cs="Arial"/>
                <w:b/>
                <w:bCs/>
                <w:sz w:val="18"/>
                <w:szCs w:val="18"/>
                <w:lang w:eastAsia="pt-BR"/>
              </w:rPr>
              <w:t> </w:t>
            </w:r>
          </w:p>
        </w:tc>
        <w:tc>
          <w:tcPr>
            <w:tcW w:w="1008" w:type="dxa"/>
            <w:gridSpan w:val="2"/>
            <w:tcBorders>
              <w:top w:val="nil"/>
              <w:left w:val="nil"/>
              <w:bottom w:val="single" w:sz="8" w:space="0" w:color="auto"/>
              <w:right w:val="nil"/>
            </w:tcBorders>
            <w:shd w:val="clear" w:color="auto" w:fill="92CDDC"/>
            <w:vAlign w:val="center"/>
          </w:tcPr>
          <w:p w14:paraId="3857CA47" w14:textId="77777777" w:rsidR="003811F8" w:rsidRPr="00735ABA" w:rsidRDefault="003811F8" w:rsidP="00B11AE0">
            <w:pPr>
              <w:jc w:val="center"/>
              <w:rPr>
                <w:rFonts w:ascii="Arial" w:hAnsi="Arial" w:cs="Arial"/>
                <w:b/>
                <w:bCs/>
                <w:sz w:val="18"/>
                <w:szCs w:val="18"/>
                <w:lang w:eastAsia="pt-BR"/>
              </w:rPr>
            </w:pPr>
            <w:r w:rsidRPr="00735ABA">
              <w:rPr>
                <w:rFonts w:ascii="Arial" w:hAnsi="Arial" w:cs="Arial"/>
                <w:b/>
                <w:bCs/>
                <w:sz w:val="18"/>
                <w:szCs w:val="18"/>
                <w:lang w:eastAsia="pt-BR"/>
              </w:rPr>
              <w:t> </w:t>
            </w:r>
          </w:p>
        </w:tc>
        <w:tc>
          <w:tcPr>
            <w:tcW w:w="787" w:type="dxa"/>
            <w:gridSpan w:val="2"/>
            <w:tcBorders>
              <w:top w:val="nil"/>
              <w:left w:val="nil"/>
              <w:bottom w:val="single" w:sz="8" w:space="0" w:color="auto"/>
              <w:right w:val="nil"/>
            </w:tcBorders>
            <w:shd w:val="clear" w:color="auto" w:fill="92CDDC"/>
            <w:vAlign w:val="center"/>
          </w:tcPr>
          <w:p w14:paraId="1AF7DF7C" w14:textId="77777777" w:rsidR="003811F8" w:rsidRPr="00735ABA" w:rsidRDefault="003811F8" w:rsidP="00B11AE0">
            <w:pPr>
              <w:jc w:val="center"/>
              <w:rPr>
                <w:rFonts w:ascii="Arial" w:hAnsi="Arial" w:cs="Arial"/>
                <w:b/>
                <w:bCs/>
                <w:sz w:val="18"/>
                <w:szCs w:val="18"/>
                <w:lang w:eastAsia="pt-BR"/>
              </w:rPr>
            </w:pPr>
            <w:r w:rsidRPr="00735ABA">
              <w:rPr>
                <w:rFonts w:ascii="Arial" w:hAnsi="Arial" w:cs="Arial"/>
                <w:b/>
                <w:bCs/>
                <w:sz w:val="18"/>
                <w:szCs w:val="18"/>
                <w:lang w:eastAsia="pt-BR"/>
              </w:rPr>
              <w:t> </w:t>
            </w:r>
          </w:p>
        </w:tc>
        <w:tc>
          <w:tcPr>
            <w:tcW w:w="1030" w:type="dxa"/>
            <w:gridSpan w:val="2"/>
            <w:tcBorders>
              <w:top w:val="nil"/>
              <w:left w:val="nil"/>
              <w:bottom w:val="single" w:sz="8" w:space="0" w:color="auto"/>
              <w:right w:val="nil"/>
            </w:tcBorders>
            <w:shd w:val="clear" w:color="auto" w:fill="92CDDC"/>
            <w:vAlign w:val="center"/>
          </w:tcPr>
          <w:p w14:paraId="32455BC9" w14:textId="77777777" w:rsidR="003811F8" w:rsidRPr="00735ABA" w:rsidRDefault="003811F8" w:rsidP="00B11AE0">
            <w:pPr>
              <w:jc w:val="center"/>
              <w:rPr>
                <w:rFonts w:ascii="Arial" w:hAnsi="Arial" w:cs="Arial"/>
                <w:b/>
                <w:bCs/>
                <w:sz w:val="18"/>
                <w:szCs w:val="18"/>
                <w:lang w:eastAsia="pt-BR"/>
              </w:rPr>
            </w:pPr>
            <w:r w:rsidRPr="00735ABA">
              <w:rPr>
                <w:rFonts w:ascii="Arial" w:hAnsi="Arial" w:cs="Arial"/>
                <w:b/>
                <w:bCs/>
                <w:sz w:val="18"/>
                <w:szCs w:val="18"/>
                <w:lang w:eastAsia="pt-BR"/>
              </w:rPr>
              <w:t> </w:t>
            </w:r>
          </w:p>
        </w:tc>
        <w:tc>
          <w:tcPr>
            <w:tcW w:w="1055" w:type="dxa"/>
            <w:gridSpan w:val="2"/>
            <w:tcBorders>
              <w:top w:val="nil"/>
              <w:left w:val="nil"/>
              <w:bottom w:val="single" w:sz="8" w:space="0" w:color="auto"/>
              <w:right w:val="nil"/>
            </w:tcBorders>
            <w:shd w:val="clear" w:color="auto" w:fill="92CDDC"/>
            <w:vAlign w:val="center"/>
          </w:tcPr>
          <w:p w14:paraId="29DEE94A" w14:textId="77777777" w:rsidR="003811F8" w:rsidRPr="00735ABA" w:rsidRDefault="003811F8" w:rsidP="00B11AE0">
            <w:pPr>
              <w:jc w:val="center"/>
              <w:rPr>
                <w:rFonts w:ascii="Arial" w:hAnsi="Arial" w:cs="Arial"/>
                <w:b/>
                <w:bCs/>
                <w:sz w:val="18"/>
                <w:szCs w:val="18"/>
                <w:lang w:eastAsia="pt-BR"/>
              </w:rPr>
            </w:pPr>
            <w:r w:rsidRPr="00735ABA">
              <w:rPr>
                <w:rFonts w:ascii="Arial" w:hAnsi="Arial" w:cs="Arial"/>
                <w:b/>
                <w:bCs/>
                <w:sz w:val="18"/>
                <w:szCs w:val="18"/>
                <w:lang w:eastAsia="pt-BR"/>
              </w:rPr>
              <w:t> </w:t>
            </w:r>
          </w:p>
        </w:tc>
        <w:tc>
          <w:tcPr>
            <w:tcW w:w="1303" w:type="dxa"/>
            <w:gridSpan w:val="2"/>
            <w:tcBorders>
              <w:top w:val="nil"/>
              <w:left w:val="nil"/>
              <w:bottom w:val="single" w:sz="8" w:space="0" w:color="auto"/>
              <w:right w:val="single" w:sz="8" w:space="0" w:color="auto"/>
            </w:tcBorders>
            <w:shd w:val="clear" w:color="auto" w:fill="92CDDC"/>
            <w:vAlign w:val="center"/>
          </w:tcPr>
          <w:p w14:paraId="67A8895B" w14:textId="77777777" w:rsidR="003811F8" w:rsidRPr="00735ABA" w:rsidRDefault="003811F8" w:rsidP="00B11AE0">
            <w:pPr>
              <w:jc w:val="center"/>
              <w:rPr>
                <w:rFonts w:ascii="Calibri" w:hAnsi="Calibri" w:cs="Calibri"/>
                <w:b/>
                <w:bCs/>
                <w:sz w:val="18"/>
                <w:szCs w:val="18"/>
                <w:lang w:eastAsia="pt-BR"/>
              </w:rPr>
            </w:pPr>
            <w:r w:rsidRPr="00735ABA">
              <w:rPr>
                <w:rFonts w:ascii="Calibri" w:hAnsi="Calibri" w:cs="Calibri"/>
                <w:b/>
                <w:bCs/>
                <w:sz w:val="18"/>
                <w:szCs w:val="18"/>
                <w:lang w:eastAsia="pt-BR"/>
              </w:rPr>
              <w:t> </w:t>
            </w:r>
          </w:p>
        </w:tc>
      </w:tr>
      <w:tr w:rsidR="003811F8" w:rsidRPr="00735ABA" w14:paraId="7FDF3A4B" w14:textId="77777777" w:rsidTr="0038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single" w:sz="4" w:space="0" w:color="auto"/>
              <w:left w:val="nil"/>
              <w:bottom w:val="single" w:sz="4" w:space="0" w:color="auto"/>
              <w:right w:val="nil"/>
            </w:tcBorders>
          </w:tcPr>
          <w:p w14:paraId="6E60702A" w14:textId="77777777" w:rsidR="003811F8" w:rsidRPr="005143C2" w:rsidRDefault="003811F8" w:rsidP="00B11AE0">
            <w:pPr>
              <w:jc w:val="center"/>
              <w:rPr>
                <w:rFonts w:ascii="Calibri" w:eastAsia="Calibri" w:hAnsi="Calibri"/>
                <w:b/>
                <w:sz w:val="18"/>
                <w:szCs w:val="18"/>
              </w:rPr>
            </w:pPr>
          </w:p>
          <w:p w14:paraId="04BBFEC3" w14:textId="77777777" w:rsidR="003811F8" w:rsidRPr="00F862D0" w:rsidRDefault="003811F8" w:rsidP="00B11AE0">
            <w:pPr>
              <w:jc w:val="center"/>
              <w:rPr>
                <w:rFonts w:ascii="Calibri" w:eastAsia="Calibri" w:hAnsi="Calibri"/>
                <w:b/>
                <w:sz w:val="18"/>
                <w:szCs w:val="18"/>
              </w:rPr>
            </w:pPr>
          </w:p>
        </w:tc>
        <w:tc>
          <w:tcPr>
            <w:tcW w:w="828" w:type="dxa"/>
            <w:tcBorders>
              <w:top w:val="single" w:sz="4" w:space="0" w:color="auto"/>
              <w:left w:val="nil"/>
              <w:bottom w:val="single" w:sz="4" w:space="0" w:color="auto"/>
              <w:right w:val="nil"/>
            </w:tcBorders>
          </w:tcPr>
          <w:p w14:paraId="3B2929ED" w14:textId="77777777" w:rsidR="003811F8" w:rsidRPr="00735ABA" w:rsidRDefault="003811F8" w:rsidP="00B11AE0">
            <w:pPr>
              <w:spacing w:after="200"/>
              <w:jc w:val="center"/>
              <w:rPr>
                <w:rFonts w:ascii="Calibri" w:eastAsia="Calibri" w:hAnsi="Calibri" w:cs="Arial"/>
                <w:b/>
                <w:bCs/>
                <w:sz w:val="18"/>
                <w:szCs w:val="18"/>
              </w:rPr>
            </w:pPr>
            <w:r w:rsidRPr="00735ABA">
              <w:rPr>
                <w:rFonts w:ascii="Calibri" w:eastAsia="Calibri" w:hAnsi="Calibri"/>
                <w:b/>
                <w:sz w:val="18"/>
                <w:szCs w:val="18"/>
              </w:rPr>
              <w:t>No. of subjects</w:t>
            </w:r>
          </w:p>
        </w:tc>
        <w:tc>
          <w:tcPr>
            <w:tcW w:w="873" w:type="dxa"/>
            <w:tcBorders>
              <w:top w:val="single" w:sz="4" w:space="0" w:color="auto"/>
              <w:left w:val="nil"/>
              <w:bottom w:val="single" w:sz="4" w:space="0" w:color="auto"/>
              <w:right w:val="nil"/>
            </w:tcBorders>
          </w:tcPr>
          <w:p w14:paraId="353A2D95" w14:textId="77777777" w:rsidR="003811F8" w:rsidRPr="00735ABA" w:rsidRDefault="003811F8" w:rsidP="00B11AE0">
            <w:pPr>
              <w:spacing w:after="200"/>
              <w:jc w:val="center"/>
              <w:rPr>
                <w:rFonts w:ascii="Calibri" w:eastAsia="Calibri" w:hAnsi="Calibri" w:cs="Arial"/>
                <w:b/>
                <w:bCs/>
                <w:sz w:val="18"/>
                <w:szCs w:val="18"/>
              </w:rPr>
            </w:pPr>
            <w:r w:rsidRPr="00735ABA">
              <w:rPr>
                <w:rFonts w:ascii="Calibri" w:eastAsia="Calibri" w:hAnsi="Calibri"/>
                <w:b/>
                <w:sz w:val="18"/>
                <w:szCs w:val="18"/>
              </w:rPr>
              <w:t>Dose of rhTSH (mg)</w:t>
            </w:r>
          </w:p>
        </w:tc>
        <w:tc>
          <w:tcPr>
            <w:tcW w:w="1076" w:type="dxa"/>
            <w:tcBorders>
              <w:top w:val="single" w:sz="4" w:space="0" w:color="auto"/>
              <w:left w:val="nil"/>
              <w:bottom w:val="single" w:sz="4" w:space="0" w:color="auto"/>
              <w:right w:val="nil"/>
            </w:tcBorders>
          </w:tcPr>
          <w:p w14:paraId="13F387B8" w14:textId="77777777" w:rsidR="003811F8" w:rsidRPr="00735ABA" w:rsidRDefault="003811F8" w:rsidP="00B11AE0">
            <w:pPr>
              <w:spacing w:after="120"/>
              <w:jc w:val="center"/>
              <w:rPr>
                <w:rFonts w:ascii="Calibri" w:eastAsia="Calibri" w:hAnsi="Calibri" w:cs="Arial"/>
                <w:b/>
                <w:bCs/>
                <w:sz w:val="18"/>
                <w:szCs w:val="18"/>
              </w:rPr>
            </w:pPr>
            <w:r w:rsidRPr="00735ABA">
              <w:rPr>
                <w:rFonts w:ascii="Calibri" w:eastAsia="Calibri" w:hAnsi="Calibri"/>
                <w:b/>
                <w:sz w:val="18"/>
                <w:szCs w:val="18"/>
              </w:rPr>
              <w:t>Time interval between rhTSH and radioiodine (</w:t>
            </w:r>
            <w:r w:rsidRPr="00735ABA">
              <w:rPr>
                <w:rFonts w:ascii="Calibri" w:eastAsia="Calibri" w:hAnsi="Calibri"/>
                <w:b/>
                <w:sz w:val="18"/>
                <w:szCs w:val="18"/>
                <w:vertAlign w:val="superscript"/>
              </w:rPr>
              <w:t>123</w:t>
            </w:r>
            <w:r w:rsidRPr="00735ABA">
              <w:rPr>
                <w:rFonts w:ascii="Calibri" w:eastAsia="Calibri" w:hAnsi="Calibri"/>
                <w:b/>
                <w:sz w:val="18"/>
                <w:szCs w:val="18"/>
              </w:rPr>
              <w:t xml:space="preserve">I or </w:t>
            </w:r>
            <w:r w:rsidRPr="00735ABA">
              <w:rPr>
                <w:rFonts w:ascii="Calibri" w:eastAsia="Calibri" w:hAnsi="Calibri"/>
                <w:b/>
                <w:sz w:val="18"/>
                <w:szCs w:val="18"/>
                <w:vertAlign w:val="superscript"/>
              </w:rPr>
              <w:t>131</w:t>
            </w:r>
            <w:r w:rsidRPr="00735ABA">
              <w:rPr>
                <w:rFonts w:ascii="Calibri" w:eastAsia="Calibri" w:hAnsi="Calibri"/>
                <w:b/>
                <w:sz w:val="18"/>
                <w:szCs w:val="18"/>
              </w:rPr>
              <w:t>I)</w:t>
            </w:r>
          </w:p>
        </w:tc>
        <w:tc>
          <w:tcPr>
            <w:tcW w:w="1111" w:type="dxa"/>
            <w:tcBorders>
              <w:top w:val="single" w:sz="4" w:space="0" w:color="auto"/>
              <w:left w:val="nil"/>
              <w:bottom w:val="single" w:sz="4" w:space="0" w:color="auto"/>
              <w:right w:val="nil"/>
            </w:tcBorders>
          </w:tcPr>
          <w:p w14:paraId="00AA687A" w14:textId="77777777" w:rsidR="003811F8" w:rsidRPr="00735ABA" w:rsidRDefault="003811F8" w:rsidP="00B11AE0">
            <w:pPr>
              <w:spacing w:after="200"/>
              <w:jc w:val="center"/>
              <w:rPr>
                <w:rFonts w:ascii="Calibri" w:eastAsia="Calibri" w:hAnsi="Calibri"/>
                <w:b/>
                <w:sz w:val="18"/>
                <w:szCs w:val="18"/>
              </w:rPr>
            </w:pPr>
            <w:r w:rsidRPr="00735ABA">
              <w:rPr>
                <w:rFonts w:ascii="Calibri" w:eastAsia="Calibri" w:hAnsi="Calibri"/>
                <w:b/>
                <w:sz w:val="18"/>
                <w:szCs w:val="18"/>
              </w:rPr>
              <w:t xml:space="preserve">Therapeutic dose of </w:t>
            </w:r>
            <w:r w:rsidRPr="00735ABA">
              <w:rPr>
                <w:rFonts w:ascii="Calibri" w:eastAsia="Calibri" w:hAnsi="Calibri"/>
                <w:b/>
                <w:sz w:val="18"/>
                <w:szCs w:val="18"/>
                <w:vertAlign w:val="superscript"/>
              </w:rPr>
              <w:t>131</w:t>
            </w:r>
            <w:r w:rsidRPr="00735ABA">
              <w:rPr>
                <w:rFonts w:ascii="Calibri" w:eastAsia="Calibri" w:hAnsi="Calibri"/>
                <w:b/>
                <w:sz w:val="18"/>
                <w:szCs w:val="18"/>
              </w:rPr>
              <w:t>I (mCi)</w:t>
            </w:r>
          </w:p>
        </w:tc>
        <w:tc>
          <w:tcPr>
            <w:tcW w:w="1215" w:type="dxa"/>
            <w:gridSpan w:val="3"/>
            <w:tcBorders>
              <w:top w:val="single" w:sz="4" w:space="0" w:color="auto"/>
              <w:left w:val="nil"/>
              <w:bottom w:val="single" w:sz="4" w:space="0" w:color="auto"/>
              <w:right w:val="nil"/>
            </w:tcBorders>
          </w:tcPr>
          <w:p w14:paraId="7AC3C078" w14:textId="7183CC9B" w:rsidR="003811F8" w:rsidRPr="00735ABA" w:rsidRDefault="003811F8" w:rsidP="00B11AE0">
            <w:pPr>
              <w:spacing w:after="200"/>
              <w:jc w:val="center"/>
              <w:rPr>
                <w:rFonts w:ascii="Calibri" w:eastAsia="Calibri" w:hAnsi="Calibri"/>
                <w:b/>
                <w:sz w:val="18"/>
                <w:szCs w:val="18"/>
              </w:rPr>
            </w:pPr>
            <w:r w:rsidRPr="00735ABA">
              <w:rPr>
                <w:rFonts w:ascii="Calibri" w:eastAsia="Calibri" w:hAnsi="Calibri"/>
                <w:b/>
                <w:sz w:val="18"/>
                <w:szCs w:val="18"/>
              </w:rPr>
              <w:t>Peak increase in thyroid hormones</w:t>
            </w:r>
            <w:r>
              <w:rPr>
                <w:rFonts w:ascii="Calibri" w:eastAsia="Calibri" w:hAnsi="Calibri"/>
                <w:b/>
                <w:sz w:val="18"/>
                <w:szCs w:val="18"/>
              </w:rPr>
              <w:t xml:space="preserve"> </w:t>
            </w:r>
            <w:r w:rsidRPr="00735ABA">
              <w:rPr>
                <w:rFonts w:ascii="Calibri" w:eastAsia="Calibri" w:hAnsi="Calibri"/>
                <w:b/>
                <w:sz w:val="18"/>
                <w:szCs w:val="18"/>
              </w:rPr>
              <w:t>(%)</w:t>
            </w:r>
          </w:p>
        </w:tc>
        <w:tc>
          <w:tcPr>
            <w:tcW w:w="940" w:type="dxa"/>
            <w:gridSpan w:val="2"/>
            <w:tcBorders>
              <w:top w:val="single" w:sz="4" w:space="0" w:color="auto"/>
              <w:left w:val="nil"/>
              <w:bottom w:val="single" w:sz="4" w:space="0" w:color="auto"/>
              <w:right w:val="nil"/>
            </w:tcBorders>
          </w:tcPr>
          <w:p w14:paraId="3735E1ED" w14:textId="684D431A" w:rsidR="003811F8" w:rsidRPr="00735ABA" w:rsidRDefault="003811F8" w:rsidP="00B11AE0">
            <w:pPr>
              <w:spacing w:after="200"/>
              <w:jc w:val="center"/>
              <w:rPr>
                <w:rFonts w:ascii="Calibri" w:eastAsia="Calibri" w:hAnsi="Calibri"/>
                <w:b/>
                <w:sz w:val="18"/>
                <w:szCs w:val="18"/>
              </w:rPr>
            </w:pPr>
            <w:r w:rsidRPr="00735ABA">
              <w:rPr>
                <w:rFonts w:ascii="Calibri" w:eastAsia="Calibri" w:hAnsi="Calibri"/>
                <w:b/>
                <w:sz w:val="18"/>
                <w:szCs w:val="18"/>
              </w:rPr>
              <w:t>Goiter reduction(%)</w:t>
            </w:r>
          </w:p>
        </w:tc>
        <w:tc>
          <w:tcPr>
            <w:tcW w:w="805" w:type="dxa"/>
            <w:gridSpan w:val="2"/>
            <w:tcBorders>
              <w:top w:val="single" w:sz="4" w:space="0" w:color="auto"/>
              <w:left w:val="nil"/>
              <w:bottom w:val="single" w:sz="4" w:space="0" w:color="auto"/>
              <w:right w:val="nil"/>
            </w:tcBorders>
          </w:tcPr>
          <w:p w14:paraId="29290609" w14:textId="77777777" w:rsidR="003811F8" w:rsidRPr="00735ABA" w:rsidRDefault="003811F8" w:rsidP="00B11AE0">
            <w:pPr>
              <w:spacing w:after="200"/>
              <w:jc w:val="center"/>
              <w:rPr>
                <w:rFonts w:ascii="Calibri" w:eastAsia="Calibri" w:hAnsi="Calibri"/>
                <w:b/>
                <w:sz w:val="18"/>
                <w:szCs w:val="18"/>
              </w:rPr>
            </w:pPr>
            <w:r w:rsidRPr="00735ABA">
              <w:rPr>
                <w:rFonts w:ascii="Calibri" w:eastAsia="Calibri" w:hAnsi="Calibri"/>
                <w:b/>
                <w:sz w:val="18"/>
                <w:szCs w:val="18"/>
              </w:rPr>
              <w:t>Time of follow-up</w:t>
            </w:r>
          </w:p>
        </w:tc>
        <w:tc>
          <w:tcPr>
            <w:tcW w:w="1561" w:type="dxa"/>
            <w:gridSpan w:val="2"/>
            <w:tcBorders>
              <w:top w:val="single" w:sz="4" w:space="0" w:color="auto"/>
              <w:left w:val="nil"/>
              <w:bottom w:val="single" w:sz="4" w:space="0" w:color="auto"/>
              <w:right w:val="nil"/>
            </w:tcBorders>
          </w:tcPr>
          <w:p w14:paraId="1A507BD2" w14:textId="5CEC0F0C" w:rsidR="003811F8" w:rsidRPr="00735ABA" w:rsidRDefault="003811F8" w:rsidP="00B11AE0">
            <w:pPr>
              <w:spacing w:after="200"/>
              <w:jc w:val="center"/>
              <w:rPr>
                <w:rFonts w:ascii="Calibri" w:eastAsia="Calibri" w:hAnsi="Calibri"/>
                <w:b/>
                <w:sz w:val="18"/>
                <w:szCs w:val="18"/>
              </w:rPr>
            </w:pPr>
            <w:r w:rsidRPr="00735ABA">
              <w:rPr>
                <w:rFonts w:ascii="Calibri" w:eastAsia="Calibri" w:hAnsi="Calibri"/>
                <w:b/>
                <w:sz w:val="18"/>
                <w:szCs w:val="18"/>
              </w:rPr>
              <w:t>Goiter size estimation</w:t>
            </w:r>
            <w:r>
              <w:rPr>
                <w:rFonts w:ascii="Calibri" w:eastAsia="Calibri" w:hAnsi="Calibri"/>
                <w:b/>
                <w:sz w:val="18"/>
                <w:szCs w:val="18"/>
              </w:rPr>
              <w:t xml:space="preserve"> </w:t>
            </w:r>
            <w:r w:rsidRPr="00735ABA">
              <w:rPr>
                <w:rFonts w:ascii="Calibri" w:eastAsia="Calibri" w:hAnsi="Calibri"/>
                <w:b/>
                <w:sz w:val="18"/>
                <w:szCs w:val="18"/>
              </w:rPr>
              <w:t>(Methods)</w:t>
            </w:r>
          </w:p>
        </w:tc>
        <w:tc>
          <w:tcPr>
            <w:tcW w:w="1516" w:type="dxa"/>
            <w:gridSpan w:val="2"/>
            <w:tcBorders>
              <w:top w:val="single" w:sz="4" w:space="0" w:color="auto"/>
              <w:left w:val="nil"/>
              <w:bottom w:val="single" w:sz="4" w:space="0" w:color="auto"/>
              <w:right w:val="nil"/>
            </w:tcBorders>
          </w:tcPr>
          <w:p w14:paraId="1CAAD9B8" w14:textId="77777777" w:rsidR="003811F8" w:rsidRPr="00735ABA" w:rsidRDefault="003811F8" w:rsidP="00B11AE0">
            <w:pPr>
              <w:spacing w:after="200"/>
              <w:jc w:val="center"/>
              <w:rPr>
                <w:rFonts w:ascii="Calibri" w:eastAsia="Calibri" w:hAnsi="Calibri" w:cs="Arial"/>
                <w:b/>
                <w:bCs/>
                <w:sz w:val="18"/>
                <w:szCs w:val="18"/>
              </w:rPr>
            </w:pPr>
            <w:r w:rsidRPr="00735ABA">
              <w:rPr>
                <w:rFonts w:ascii="Calibri" w:eastAsia="Calibri" w:hAnsi="Calibri"/>
                <w:b/>
                <w:sz w:val="18"/>
                <w:szCs w:val="18"/>
              </w:rPr>
              <w:t>Remarks</w:t>
            </w:r>
          </w:p>
          <w:p w14:paraId="616F24AF" w14:textId="77777777" w:rsidR="003811F8" w:rsidRPr="00735ABA" w:rsidRDefault="003811F8" w:rsidP="00B11AE0">
            <w:pPr>
              <w:spacing w:after="200"/>
              <w:jc w:val="center"/>
              <w:rPr>
                <w:rFonts w:ascii="Calibri" w:eastAsia="Calibri" w:hAnsi="Calibri" w:cs="Arial"/>
                <w:b/>
                <w:bCs/>
                <w:sz w:val="18"/>
                <w:szCs w:val="18"/>
              </w:rPr>
            </w:pPr>
          </w:p>
        </w:tc>
      </w:tr>
      <w:tr w:rsidR="003811F8" w:rsidRPr="00735ABA" w14:paraId="6DB86892" w14:textId="77777777" w:rsidTr="0038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single" w:sz="4" w:space="0" w:color="auto"/>
              <w:left w:val="nil"/>
              <w:bottom w:val="nil"/>
              <w:right w:val="nil"/>
            </w:tcBorders>
            <w:shd w:val="clear" w:color="auto" w:fill="BFBFBF"/>
          </w:tcPr>
          <w:p w14:paraId="31CC3E97" w14:textId="1C70A1A7" w:rsidR="003811F8" w:rsidRPr="00735ABA" w:rsidRDefault="003811F8" w:rsidP="00B11AE0">
            <w:pPr>
              <w:spacing w:after="200"/>
              <w:jc w:val="center"/>
              <w:rPr>
                <w:rFonts w:ascii="Calibri" w:eastAsia="Calibri" w:hAnsi="Calibri" w:cs="Arial"/>
                <w:b/>
                <w:bCs/>
                <w:sz w:val="18"/>
                <w:szCs w:val="18"/>
              </w:rPr>
            </w:pPr>
            <w:r w:rsidRPr="00735ABA">
              <w:rPr>
                <w:rFonts w:ascii="Calibri" w:eastAsia="Calibri" w:hAnsi="Calibri" w:cs="Arial"/>
                <w:b/>
                <w:bCs/>
                <w:sz w:val="18"/>
                <w:szCs w:val="18"/>
              </w:rPr>
              <w:t>Nieuwlaat et al. (</w:t>
            </w:r>
            <w:r w:rsidR="007C69EF">
              <w:rPr>
                <w:rFonts w:ascii="Calibri" w:eastAsia="Calibri" w:hAnsi="Calibri" w:cs="Arial"/>
                <w:b/>
                <w:bCs/>
                <w:sz w:val="18"/>
                <w:szCs w:val="18"/>
              </w:rPr>
              <w:t>128)</w:t>
            </w:r>
          </w:p>
        </w:tc>
        <w:tc>
          <w:tcPr>
            <w:tcW w:w="828" w:type="dxa"/>
            <w:tcBorders>
              <w:top w:val="single" w:sz="4" w:space="0" w:color="auto"/>
              <w:left w:val="nil"/>
              <w:bottom w:val="nil"/>
              <w:right w:val="nil"/>
            </w:tcBorders>
            <w:shd w:val="clear" w:color="auto" w:fill="BFBFBF"/>
          </w:tcPr>
          <w:p w14:paraId="0389FDB4"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12</w:t>
            </w:r>
          </w:p>
        </w:tc>
        <w:tc>
          <w:tcPr>
            <w:tcW w:w="873" w:type="dxa"/>
            <w:tcBorders>
              <w:top w:val="single" w:sz="4" w:space="0" w:color="auto"/>
              <w:left w:val="nil"/>
              <w:bottom w:val="nil"/>
              <w:right w:val="nil"/>
            </w:tcBorders>
            <w:shd w:val="clear" w:color="auto" w:fill="BFBFBF"/>
          </w:tcPr>
          <w:p w14:paraId="5FD68382"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0.01</w:t>
            </w:r>
          </w:p>
        </w:tc>
        <w:tc>
          <w:tcPr>
            <w:tcW w:w="1076" w:type="dxa"/>
            <w:tcBorders>
              <w:top w:val="single" w:sz="4" w:space="0" w:color="auto"/>
              <w:left w:val="nil"/>
              <w:bottom w:val="nil"/>
              <w:right w:val="nil"/>
            </w:tcBorders>
            <w:shd w:val="clear" w:color="auto" w:fill="BFBFBF"/>
          </w:tcPr>
          <w:p w14:paraId="437FF701" w14:textId="77777777" w:rsidR="003811F8" w:rsidRPr="00735ABA" w:rsidRDefault="003811F8" w:rsidP="00B11AE0">
            <w:pPr>
              <w:spacing w:after="120"/>
              <w:jc w:val="center"/>
              <w:rPr>
                <w:rFonts w:ascii="Calibri" w:eastAsia="Calibri" w:hAnsi="Calibri" w:cs="Arial"/>
                <w:bCs/>
                <w:sz w:val="18"/>
                <w:szCs w:val="18"/>
              </w:rPr>
            </w:pPr>
            <w:r w:rsidRPr="00735ABA">
              <w:rPr>
                <w:rFonts w:ascii="Calibri" w:eastAsia="Calibri" w:hAnsi="Calibri" w:cs="Arial"/>
                <w:bCs/>
                <w:sz w:val="18"/>
                <w:szCs w:val="18"/>
              </w:rPr>
              <w:t>24 h</w:t>
            </w:r>
          </w:p>
        </w:tc>
        <w:tc>
          <w:tcPr>
            <w:tcW w:w="1111" w:type="dxa"/>
            <w:tcBorders>
              <w:top w:val="single" w:sz="4" w:space="0" w:color="auto"/>
              <w:left w:val="nil"/>
              <w:bottom w:val="nil"/>
              <w:right w:val="nil"/>
            </w:tcBorders>
            <w:shd w:val="clear" w:color="auto" w:fill="BFBFBF"/>
          </w:tcPr>
          <w:p w14:paraId="1F33C6F8"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
                <w:bCs/>
                <w:sz w:val="18"/>
                <w:szCs w:val="18"/>
              </w:rPr>
              <w:sym w:font="Symbol" w:char="F07E"/>
            </w:r>
            <w:r w:rsidRPr="00735ABA">
              <w:rPr>
                <w:rFonts w:ascii="Calibri" w:eastAsia="Calibri" w:hAnsi="Calibri" w:cs="Arial"/>
                <w:bCs/>
                <w:sz w:val="18"/>
                <w:szCs w:val="18"/>
              </w:rPr>
              <w:t>39 (mean)</w:t>
            </w:r>
          </w:p>
        </w:tc>
        <w:tc>
          <w:tcPr>
            <w:tcW w:w="1215" w:type="dxa"/>
            <w:gridSpan w:val="3"/>
            <w:tcBorders>
              <w:top w:val="single" w:sz="4" w:space="0" w:color="auto"/>
              <w:left w:val="nil"/>
              <w:bottom w:val="nil"/>
              <w:right w:val="nil"/>
            </w:tcBorders>
            <w:shd w:val="clear" w:color="auto" w:fill="BFBFBF"/>
          </w:tcPr>
          <w:p w14:paraId="2064D743" w14:textId="77777777" w:rsidR="003811F8" w:rsidRPr="008250DA" w:rsidRDefault="003811F8" w:rsidP="00B11AE0">
            <w:pPr>
              <w:spacing w:after="200"/>
              <w:jc w:val="center"/>
              <w:rPr>
                <w:rFonts w:ascii="Calibri" w:eastAsia="Calibri" w:hAnsi="Calibri" w:cs="Arial"/>
                <w:bCs/>
                <w:sz w:val="18"/>
                <w:szCs w:val="18"/>
              </w:rPr>
            </w:pPr>
            <w:r w:rsidRPr="008250DA">
              <w:rPr>
                <w:rFonts w:ascii="Calibri" w:eastAsia="Calibri" w:hAnsi="Calibri" w:cs="Arial"/>
                <w:bCs/>
                <w:sz w:val="18"/>
                <w:szCs w:val="18"/>
              </w:rPr>
              <w:t>Free T4: 47        Free T3: 41</w:t>
            </w:r>
          </w:p>
        </w:tc>
        <w:tc>
          <w:tcPr>
            <w:tcW w:w="940" w:type="dxa"/>
            <w:gridSpan w:val="2"/>
            <w:tcBorders>
              <w:top w:val="single" w:sz="4" w:space="0" w:color="auto"/>
              <w:left w:val="nil"/>
              <w:bottom w:val="nil"/>
              <w:right w:val="nil"/>
            </w:tcBorders>
            <w:shd w:val="clear" w:color="auto" w:fill="BFBFBF"/>
          </w:tcPr>
          <w:p w14:paraId="57A2DD89" w14:textId="77777777" w:rsidR="003811F8" w:rsidRPr="00E82DBF" w:rsidRDefault="003811F8" w:rsidP="00B11AE0">
            <w:pPr>
              <w:spacing w:after="200"/>
              <w:jc w:val="center"/>
              <w:rPr>
                <w:rFonts w:ascii="Calibri" w:eastAsia="Calibri" w:hAnsi="Calibri" w:cs="Arial"/>
                <w:bCs/>
                <w:sz w:val="18"/>
                <w:szCs w:val="18"/>
              </w:rPr>
            </w:pPr>
            <w:r w:rsidRPr="00E82DBF">
              <w:rPr>
                <w:rFonts w:ascii="Calibri" w:eastAsia="Calibri" w:hAnsi="Calibri" w:cs="Arial"/>
                <w:bCs/>
                <w:sz w:val="18"/>
                <w:szCs w:val="18"/>
              </w:rPr>
              <w:t>35</w:t>
            </w:r>
          </w:p>
        </w:tc>
        <w:tc>
          <w:tcPr>
            <w:tcW w:w="805" w:type="dxa"/>
            <w:gridSpan w:val="2"/>
            <w:vMerge w:val="restart"/>
            <w:tcBorders>
              <w:top w:val="single" w:sz="4" w:space="0" w:color="auto"/>
              <w:left w:val="nil"/>
              <w:bottom w:val="nil"/>
              <w:right w:val="nil"/>
            </w:tcBorders>
            <w:shd w:val="clear" w:color="auto" w:fill="BFBFBF"/>
          </w:tcPr>
          <w:p w14:paraId="1E19B374" w14:textId="77777777" w:rsidR="003811F8" w:rsidRPr="00A72062" w:rsidRDefault="003811F8" w:rsidP="00B11AE0">
            <w:pPr>
              <w:spacing w:after="200"/>
              <w:jc w:val="center"/>
              <w:rPr>
                <w:rFonts w:ascii="Calibri" w:eastAsia="Calibri" w:hAnsi="Calibri" w:cs="Arial"/>
                <w:bCs/>
                <w:sz w:val="18"/>
                <w:szCs w:val="18"/>
              </w:rPr>
            </w:pPr>
            <w:r w:rsidRPr="00A72062">
              <w:rPr>
                <w:rFonts w:ascii="Calibri" w:eastAsia="Calibri" w:hAnsi="Calibri" w:cs="Arial"/>
                <w:bCs/>
                <w:sz w:val="18"/>
                <w:szCs w:val="18"/>
              </w:rPr>
              <w:t>1 year</w:t>
            </w:r>
          </w:p>
        </w:tc>
        <w:tc>
          <w:tcPr>
            <w:tcW w:w="1561" w:type="dxa"/>
            <w:gridSpan w:val="2"/>
            <w:vMerge w:val="restart"/>
            <w:tcBorders>
              <w:top w:val="single" w:sz="4" w:space="0" w:color="auto"/>
              <w:left w:val="nil"/>
              <w:bottom w:val="nil"/>
              <w:right w:val="nil"/>
            </w:tcBorders>
            <w:shd w:val="clear" w:color="auto" w:fill="BFBFBF"/>
          </w:tcPr>
          <w:p w14:paraId="5B062515" w14:textId="77777777" w:rsidR="003811F8" w:rsidRPr="00A72062" w:rsidRDefault="003811F8" w:rsidP="00B11AE0">
            <w:pPr>
              <w:spacing w:after="200"/>
              <w:jc w:val="center"/>
              <w:rPr>
                <w:rFonts w:ascii="Calibri" w:eastAsia="Calibri" w:hAnsi="Calibri" w:cs="Arial"/>
                <w:bCs/>
                <w:sz w:val="18"/>
                <w:szCs w:val="18"/>
              </w:rPr>
            </w:pPr>
            <w:r w:rsidRPr="00A72062">
              <w:rPr>
                <w:rFonts w:ascii="Calibri" w:eastAsia="Calibri" w:hAnsi="Calibri" w:cs="Arial"/>
                <w:bCs/>
                <w:sz w:val="18"/>
                <w:szCs w:val="18"/>
              </w:rPr>
              <w:t>MRI</w:t>
            </w:r>
          </w:p>
        </w:tc>
        <w:tc>
          <w:tcPr>
            <w:tcW w:w="1516" w:type="dxa"/>
            <w:gridSpan w:val="2"/>
            <w:tcBorders>
              <w:top w:val="single" w:sz="4" w:space="0" w:color="auto"/>
              <w:left w:val="nil"/>
              <w:bottom w:val="nil"/>
              <w:right w:val="nil"/>
            </w:tcBorders>
            <w:shd w:val="clear" w:color="auto" w:fill="BFBFBF"/>
          </w:tcPr>
          <w:p w14:paraId="15C97C76" w14:textId="77777777" w:rsidR="003811F8" w:rsidRPr="00A72062" w:rsidRDefault="003811F8" w:rsidP="00B11AE0">
            <w:pPr>
              <w:spacing w:after="200"/>
              <w:jc w:val="center"/>
              <w:rPr>
                <w:rFonts w:ascii="Calibri" w:eastAsia="Calibri" w:hAnsi="Calibri" w:cs="Arial"/>
                <w:bCs/>
                <w:sz w:val="18"/>
                <w:szCs w:val="18"/>
              </w:rPr>
            </w:pPr>
            <w:r w:rsidRPr="00A72062">
              <w:rPr>
                <w:rFonts w:ascii="Calibri" w:eastAsia="Calibri" w:hAnsi="Calibri" w:cs="Arial"/>
                <w:bCs/>
                <w:sz w:val="18"/>
                <w:szCs w:val="18"/>
              </w:rPr>
              <w:t xml:space="preserve">0.01 mg: </w:t>
            </w:r>
            <w:r w:rsidRPr="00A72062">
              <w:rPr>
                <w:rFonts w:ascii="Calibri" w:eastAsia="Calibri" w:hAnsi="Calibri" w:cs="Arial"/>
                <w:bCs/>
                <w:sz w:val="18"/>
                <w:szCs w:val="18"/>
                <w:vertAlign w:val="superscript"/>
              </w:rPr>
              <w:t>131</w:t>
            </w:r>
            <w:r w:rsidRPr="00A72062">
              <w:rPr>
                <w:rFonts w:ascii="Calibri" w:eastAsia="Calibri" w:hAnsi="Calibri" w:cs="Arial"/>
                <w:bCs/>
                <w:sz w:val="18"/>
                <w:szCs w:val="18"/>
              </w:rPr>
              <w:t>I  activity reduced by a factor 1.9</w:t>
            </w:r>
          </w:p>
        </w:tc>
      </w:tr>
      <w:tr w:rsidR="003811F8" w:rsidRPr="00735ABA" w14:paraId="0975BC7D" w14:textId="77777777" w:rsidTr="0038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nil"/>
              <w:left w:val="nil"/>
              <w:bottom w:val="single" w:sz="4" w:space="0" w:color="auto"/>
              <w:right w:val="nil"/>
            </w:tcBorders>
            <w:shd w:val="clear" w:color="auto" w:fill="BFBFBF"/>
          </w:tcPr>
          <w:p w14:paraId="5690A199" w14:textId="77777777" w:rsidR="003811F8" w:rsidRPr="00735ABA" w:rsidRDefault="003811F8" w:rsidP="00B11AE0">
            <w:pPr>
              <w:spacing w:after="200"/>
              <w:jc w:val="center"/>
              <w:rPr>
                <w:rFonts w:ascii="Calibri" w:eastAsia="Calibri" w:hAnsi="Calibri" w:cs="Arial"/>
                <w:b/>
                <w:bCs/>
                <w:sz w:val="18"/>
                <w:szCs w:val="18"/>
              </w:rPr>
            </w:pPr>
          </w:p>
        </w:tc>
        <w:tc>
          <w:tcPr>
            <w:tcW w:w="828" w:type="dxa"/>
            <w:tcBorders>
              <w:top w:val="nil"/>
              <w:left w:val="nil"/>
              <w:bottom w:val="single" w:sz="4" w:space="0" w:color="auto"/>
              <w:right w:val="nil"/>
            </w:tcBorders>
            <w:shd w:val="clear" w:color="auto" w:fill="BFBFBF"/>
          </w:tcPr>
          <w:p w14:paraId="05944E77"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10</w:t>
            </w:r>
          </w:p>
        </w:tc>
        <w:tc>
          <w:tcPr>
            <w:tcW w:w="873" w:type="dxa"/>
            <w:tcBorders>
              <w:top w:val="nil"/>
              <w:left w:val="nil"/>
              <w:bottom w:val="single" w:sz="4" w:space="0" w:color="auto"/>
              <w:right w:val="nil"/>
            </w:tcBorders>
            <w:shd w:val="clear" w:color="auto" w:fill="BFBFBF"/>
          </w:tcPr>
          <w:p w14:paraId="2592E394"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0.03</w:t>
            </w:r>
          </w:p>
        </w:tc>
        <w:tc>
          <w:tcPr>
            <w:tcW w:w="1076" w:type="dxa"/>
            <w:tcBorders>
              <w:top w:val="nil"/>
              <w:left w:val="nil"/>
              <w:bottom w:val="single" w:sz="4" w:space="0" w:color="auto"/>
              <w:right w:val="nil"/>
            </w:tcBorders>
            <w:shd w:val="clear" w:color="auto" w:fill="BFBFBF"/>
          </w:tcPr>
          <w:p w14:paraId="0F316F06"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24 h</w:t>
            </w:r>
          </w:p>
        </w:tc>
        <w:tc>
          <w:tcPr>
            <w:tcW w:w="1111" w:type="dxa"/>
            <w:tcBorders>
              <w:top w:val="nil"/>
              <w:left w:val="nil"/>
              <w:bottom w:val="single" w:sz="4" w:space="0" w:color="auto"/>
              <w:right w:val="nil"/>
            </w:tcBorders>
            <w:shd w:val="clear" w:color="auto" w:fill="BFBFBF"/>
          </w:tcPr>
          <w:p w14:paraId="767CECE1"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
                <w:bCs/>
                <w:sz w:val="18"/>
                <w:szCs w:val="18"/>
              </w:rPr>
              <w:sym w:font="Symbol" w:char="F07E"/>
            </w:r>
            <w:r w:rsidRPr="00735ABA">
              <w:rPr>
                <w:rFonts w:ascii="Calibri" w:eastAsia="Calibri" w:hAnsi="Calibri" w:cs="Arial"/>
                <w:bCs/>
                <w:sz w:val="18"/>
                <w:szCs w:val="18"/>
              </w:rPr>
              <w:t>23 (mean)</w:t>
            </w:r>
          </w:p>
        </w:tc>
        <w:tc>
          <w:tcPr>
            <w:tcW w:w="1215" w:type="dxa"/>
            <w:gridSpan w:val="3"/>
            <w:tcBorders>
              <w:top w:val="nil"/>
              <w:left w:val="nil"/>
              <w:bottom w:val="single" w:sz="4" w:space="0" w:color="auto"/>
              <w:right w:val="nil"/>
            </w:tcBorders>
            <w:shd w:val="clear" w:color="auto" w:fill="BFBFBF"/>
          </w:tcPr>
          <w:p w14:paraId="31985A51" w14:textId="77777777" w:rsidR="003811F8" w:rsidRPr="008250DA" w:rsidRDefault="003811F8" w:rsidP="00B11AE0">
            <w:pPr>
              <w:spacing w:after="200"/>
              <w:jc w:val="center"/>
              <w:rPr>
                <w:rFonts w:ascii="Calibri" w:eastAsia="Calibri" w:hAnsi="Calibri" w:cs="Arial"/>
                <w:bCs/>
                <w:sz w:val="18"/>
                <w:szCs w:val="18"/>
              </w:rPr>
            </w:pPr>
            <w:r w:rsidRPr="008250DA">
              <w:rPr>
                <w:rFonts w:ascii="Calibri" w:eastAsia="Calibri" w:hAnsi="Calibri" w:cs="Arial"/>
                <w:bCs/>
                <w:sz w:val="18"/>
                <w:szCs w:val="18"/>
              </w:rPr>
              <w:t>Free T4: 52        Free T3: 59</w:t>
            </w:r>
          </w:p>
        </w:tc>
        <w:tc>
          <w:tcPr>
            <w:tcW w:w="940" w:type="dxa"/>
            <w:gridSpan w:val="2"/>
            <w:tcBorders>
              <w:top w:val="nil"/>
              <w:left w:val="nil"/>
              <w:bottom w:val="single" w:sz="4" w:space="0" w:color="auto"/>
              <w:right w:val="nil"/>
            </w:tcBorders>
            <w:shd w:val="clear" w:color="auto" w:fill="BFBFBF"/>
          </w:tcPr>
          <w:p w14:paraId="3CCDA287" w14:textId="77777777" w:rsidR="003811F8" w:rsidRPr="00E82DBF" w:rsidRDefault="003811F8" w:rsidP="00B11AE0">
            <w:pPr>
              <w:spacing w:after="200"/>
              <w:jc w:val="center"/>
              <w:rPr>
                <w:rFonts w:ascii="Calibri" w:eastAsia="Calibri" w:hAnsi="Calibri" w:cs="Arial"/>
                <w:bCs/>
                <w:sz w:val="18"/>
                <w:szCs w:val="18"/>
              </w:rPr>
            </w:pPr>
            <w:r w:rsidRPr="00E82DBF">
              <w:rPr>
                <w:rFonts w:ascii="Calibri" w:eastAsia="Calibri" w:hAnsi="Calibri" w:cs="Arial"/>
                <w:bCs/>
                <w:sz w:val="18"/>
                <w:szCs w:val="18"/>
              </w:rPr>
              <w:t>41</w:t>
            </w:r>
          </w:p>
        </w:tc>
        <w:tc>
          <w:tcPr>
            <w:tcW w:w="805" w:type="dxa"/>
            <w:gridSpan w:val="2"/>
            <w:vMerge/>
            <w:tcBorders>
              <w:top w:val="nil"/>
              <w:left w:val="nil"/>
              <w:bottom w:val="single" w:sz="4" w:space="0" w:color="auto"/>
              <w:right w:val="nil"/>
            </w:tcBorders>
            <w:shd w:val="clear" w:color="auto" w:fill="BFBFBF"/>
          </w:tcPr>
          <w:p w14:paraId="37E0EB5C" w14:textId="77777777" w:rsidR="003811F8" w:rsidRPr="00735ABA" w:rsidRDefault="003811F8" w:rsidP="00B11AE0">
            <w:pPr>
              <w:spacing w:after="200"/>
              <w:jc w:val="center"/>
              <w:rPr>
                <w:rFonts w:ascii="Calibri" w:eastAsia="Calibri" w:hAnsi="Calibri" w:cs="Arial"/>
                <w:bCs/>
                <w:sz w:val="18"/>
                <w:szCs w:val="18"/>
              </w:rPr>
            </w:pPr>
          </w:p>
        </w:tc>
        <w:tc>
          <w:tcPr>
            <w:tcW w:w="1561" w:type="dxa"/>
            <w:gridSpan w:val="2"/>
            <w:vMerge/>
            <w:tcBorders>
              <w:top w:val="nil"/>
              <w:left w:val="nil"/>
              <w:bottom w:val="single" w:sz="4" w:space="0" w:color="auto"/>
              <w:right w:val="nil"/>
            </w:tcBorders>
            <w:shd w:val="clear" w:color="auto" w:fill="BFBFBF"/>
          </w:tcPr>
          <w:p w14:paraId="4AB20BDA" w14:textId="77777777" w:rsidR="003811F8" w:rsidRPr="00735ABA" w:rsidRDefault="003811F8" w:rsidP="00B11AE0">
            <w:pPr>
              <w:spacing w:after="200"/>
              <w:jc w:val="center"/>
              <w:rPr>
                <w:rFonts w:ascii="Calibri" w:eastAsia="Calibri" w:hAnsi="Calibri" w:cs="Arial"/>
                <w:bCs/>
                <w:sz w:val="18"/>
                <w:szCs w:val="18"/>
              </w:rPr>
            </w:pPr>
          </w:p>
        </w:tc>
        <w:tc>
          <w:tcPr>
            <w:tcW w:w="1516" w:type="dxa"/>
            <w:gridSpan w:val="2"/>
            <w:tcBorders>
              <w:top w:val="nil"/>
              <w:left w:val="nil"/>
              <w:bottom w:val="single" w:sz="4" w:space="0" w:color="auto"/>
              <w:right w:val="nil"/>
            </w:tcBorders>
            <w:shd w:val="clear" w:color="auto" w:fill="BFBFBF"/>
          </w:tcPr>
          <w:p w14:paraId="2B7D8576" w14:textId="77777777" w:rsidR="003811F8" w:rsidRPr="00735ABA" w:rsidRDefault="003811F8" w:rsidP="00B11AE0">
            <w:pPr>
              <w:spacing w:after="120"/>
              <w:jc w:val="center"/>
              <w:rPr>
                <w:rFonts w:ascii="Calibri" w:eastAsia="Calibri" w:hAnsi="Calibri" w:cs="Arial"/>
                <w:bCs/>
                <w:sz w:val="18"/>
                <w:szCs w:val="18"/>
              </w:rPr>
            </w:pPr>
            <w:r w:rsidRPr="00735ABA">
              <w:rPr>
                <w:rFonts w:ascii="Calibri" w:eastAsia="Calibri" w:hAnsi="Calibri" w:cs="Arial"/>
                <w:bCs/>
                <w:sz w:val="18"/>
                <w:szCs w:val="18"/>
              </w:rPr>
              <w:t xml:space="preserve">0.03 mg: </w:t>
            </w:r>
            <w:r w:rsidRPr="00735ABA">
              <w:rPr>
                <w:rFonts w:ascii="Calibri" w:eastAsia="Calibri" w:hAnsi="Calibri" w:cs="Arial"/>
                <w:bCs/>
                <w:sz w:val="18"/>
                <w:szCs w:val="18"/>
                <w:vertAlign w:val="superscript"/>
              </w:rPr>
              <w:t>131</w:t>
            </w:r>
            <w:r w:rsidRPr="00735ABA">
              <w:rPr>
                <w:rFonts w:ascii="Calibri" w:eastAsia="Calibri" w:hAnsi="Calibri" w:cs="Arial"/>
                <w:bCs/>
                <w:sz w:val="18"/>
                <w:szCs w:val="18"/>
              </w:rPr>
              <w:t>I activity reduced by a factor 2.4;  Hypothyroidism: 36%</w:t>
            </w:r>
          </w:p>
        </w:tc>
      </w:tr>
      <w:tr w:rsidR="003811F8" w:rsidRPr="00735ABA" w14:paraId="3E73C7EE" w14:textId="77777777" w:rsidTr="0038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single" w:sz="4" w:space="0" w:color="auto"/>
              <w:left w:val="nil"/>
              <w:bottom w:val="nil"/>
              <w:right w:val="nil"/>
            </w:tcBorders>
          </w:tcPr>
          <w:p w14:paraId="04CCB8DE" w14:textId="27F650EC" w:rsidR="003811F8" w:rsidRPr="00735ABA" w:rsidRDefault="003811F8" w:rsidP="00B11AE0">
            <w:pPr>
              <w:spacing w:after="200"/>
              <w:jc w:val="center"/>
              <w:rPr>
                <w:rFonts w:ascii="Calibri" w:eastAsia="Calibri" w:hAnsi="Calibri" w:cs="Arial"/>
                <w:b/>
                <w:bCs/>
                <w:sz w:val="18"/>
                <w:szCs w:val="18"/>
              </w:rPr>
            </w:pPr>
            <w:r w:rsidRPr="00735ABA">
              <w:rPr>
                <w:rFonts w:ascii="Calibri" w:eastAsia="Calibri" w:hAnsi="Calibri" w:cs="Arial"/>
                <w:b/>
                <w:bCs/>
                <w:sz w:val="18"/>
                <w:szCs w:val="18"/>
              </w:rPr>
              <w:t>Duick &amp; Baskin (</w:t>
            </w:r>
            <w:r w:rsidR="007C69EF">
              <w:rPr>
                <w:rFonts w:ascii="Calibri" w:eastAsia="Calibri" w:hAnsi="Calibri" w:cs="Arial"/>
                <w:b/>
                <w:bCs/>
                <w:sz w:val="18"/>
                <w:szCs w:val="18"/>
              </w:rPr>
              <w:t>134</w:t>
            </w:r>
            <w:r w:rsidRPr="00735ABA">
              <w:rPr>
                <w:rFonts w:ascii="Calibri" w:eastAsia="Calibri" w:hAnsi="Calibri" w:cs="Arial"/>
                <w:b/>
                <w:bCs/>
                <w:sz w:val="18"/>
                <w:szCs w:val="18"/>
              </w:rPr>
              <w:t>)</w:t>
            </w:r>
          </w:p>
        </w:tc>
        <w:tc>
          <w:tcPr>
            <w:tcW w:w="828" w:type="dxa"/>
            <w:tcBorders>
              <w:top w:val="single" w:sz="4" w:space="0" w:color="auto"/>
              <w:left w:val="nil"/>
              <w:bottom w:val="nil"/>
              <w:right w:val="nil"/>
            </w:tcBorders>
          </w:tcPr>
          <w:p w14:paraId="3CDCCBA1"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6</w:t>
            </w:r>
          </w:p>
        </w:tc>
        <w:tc>
          <w:tcPr>
            <w:tcW w:w="873" w:type="dxa"/>
            <w:tcBorders>
              <w:top w:val="single" w:sz="4" w:space="0" w:color="auto"/>
              <w:left w:val="nil"/>
              <w:bottom w:val="nil"/>
              <w:right w:val="nil"/>
            </w:tcBorders>
          </w:tcPr>
          <w:p w14:paraId="7D7CB50E"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0.3</w:t>
            </w:r>
          </w:p>
        </w:tc>
        <w:tc>
          <w:tcPr>
            <w:tcW w:w="1076" w:type="dxa"/>
            <w:tcBorders>
              <w:top w:val="single" w:sz="4" w:space="0" w:color="auto"/>
              <w:left w:val="nil"/>
              <w:bottom w:val="nil"/>
              <w:right w:val="nil"/>
            </w:tcBorders>
          </w:tcPr>
          <w:p w14:paraId="343AC48F"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72 h</w:t>
            </w:r>
          </w:p>
        </w:tc>
        <w:tc>
          <w:tcPr>
            <w:tcW w:w="1111" w:type="dxa"/>
            <w:tcBorders>
              <w:top w:val="single" w:sz="4" w:space="0" w:color="auto"/>
              <w:left w:val="nil"/>
              <w:bottom w:val="nil"/>
              <w:right w:val="nil"/>
            </w:tcBorders>
          </w:tcPr>
          <w:p w14:paraId="4D938022"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30</w:t>
            </w:r>
          </w:p>
        </w:tc>
        <w:tc>
          <w:tcPr>
            <w:tcW w:w="1215" w:type="dxa"/>
            <w:gridSpan w:val="3"/>
            <w:tcBorders>
              <w:top w:val="single" w:sz="4" w:space="0" w:color="auto"/>
              <w:left w:val="nil"/>
              <w:bottom w:val="nil"/>
              <w:right w:val="nil"/>
            </w:tcBorders>
          </w:tcPr>
          <w:p w14:paraId="2EA77E8E"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NI</w:t>
            </w:r>
          </w:p>
        </w:tc>
        <w:tc>
          <w:tcPr>
            <w:tcW w:w="940" w:type="dxa"/>
            <w:gridSpan w:val="2"/>
            <w:tcBorders>
              <w:top w:val="single" w:sz="4" w:space="0" w:color="auto"/>
              <w:left w:val="nil"/>
              <w:bottom w:val="nil"/>
              <w:right w:val="nil"/>
            </w:tcBorders>
          </w:tcPr>
          <w:p w14:paraId="6AAEDE22"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NI</w:t>
            </w:r>
          </w:p>
        </w:tc>
        <w:tc>
          <w:tcPr>
            <w:tcW w:w="805" w:type="dxa"/>
            <w:gridSpan w:val="2"/>
            <w:tcBorders>
              <w:top w:val="single" w:sz="4" w:space="0" w:color="auto"/>
              <w:left w:val="nil"/>
              <w:bottom w:val="nil"/>
              <w:right w:val="nil"/>
            </w:tcBorders>
          </w:tcPr>
          <w:p w14:paraId="518CA24E" w14:textId="14487A8F" w:rsidR="003811F8" w:rsidRPr="00735ABA" w:rsidRDefault="003811F8" w:rsidP="00B11AE0">
            <w:pPr>
              <w:spacing w:after="200"/>
              <w:jc w:val="center"/>
              <w:rPr>
                <w:rFonts w:ascii="Calibri" w:eastAsia="Calibri" w:hAnsi="Calibri" w:cs="Arial"/>
                <w:bCs/>
                <w:sz w:val="18"/>
                <w:szCs w:val="18"/>
              </w:rPr>
            </w:pPr>
            <w:r>
              <w:rPr>
                <w:rFonts w:ascii="Calibri" w:eastAsia="Calibri" w:hAnsi="Calibri" w:cs="Arial"/>
                <w:bCs/>
                <w:sz w:val="18"/>
                <w:szCs w:val="18"/>
              </w:rPr>
              <w:t>7 m</w:t>
            </w:r>
          </w:p>
        </w:tc>
        <w:tc>
          <w:tcPr>
            <w:tcW w:w="1561" w:type="dxa"/>
            <w:gridSpan w:val="2"/>
            <w:tcBorders>
              <w:top w:val="single" w:sz="4" w:space="0" w:color="auto"/>
              <w:left w:val="nil"/>
              <w:bottom w:val="nil"/>
              <w:right w:val="nil"/>
            </w:tcBorders>
          </w:tcPr>
          <w:p w14:paraId="1B3B7004"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Palpation</w:t>
            </w:r>
          </w:p>
        </w:tc>
        <w:tc>
          <w:tcPr>
            <w:tcW w:w="1516" w:type="dxa"/>
            <w:gridSpan w:val="2"/>
            <w:tcBorders>
              <w:top w:val="single" w:sz="4" w:space="0" w:color="auto"/>
              <w:left w:val="nil"/>
              <w:bottom w:val="nil"/>
              <w:right w:val="nil"/>
            </w:tcBorders>
          </w:tcPr>
          <w:p w14:paraId="52450F96" w14:textId="77777777" w:rsidR="003811F8" w:rsidRPr="00735ABA" w:rsidRDefault="003811F8" w:rsidP="00B11AE0">
            <w:pPr>
              <w:spacing w:after="120"/>
              <w:jc w:val="center"/>
              <w:rPr>
                <w:rFonts w:ascii="Calibri" w:eastAsia="Calibri" w:hAnsi="Calibri" w:cs="Arial"/>
                <w:bCs/>
                <w:sz w:val="18"/>
                <w:szCs w:val="18"/>
              </w:rPr>
            </w:pPr>
            <w:r w:rsidRPr="00735ABA">
              <w:rPr>
                <w:rFonts w:ascii="Calibri" w:eastAsia="Calibri" w:hAnsi="Calibri" w:cs="Arial"/>
                <w:bCs/>
                <w:sz w:val="18"/>
                <w:szCs w:val="18"/>
              </w:rPr>
              <w:t>0.3 mg: increase in 4 h RAIU 72 h after rhTSH: from 3.9 to 17</w:t>
            </w:r>
          </w:p>
        </w:tc>
      </w:tr>
      <w:tr w:rsidR="003811F8" w:rsidRPr="00735ABA" w14:paraId="2A493C45" w14:textId="77777777" w:rsidTr="0038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nil"/>
              <w:left w:val="nil"/>
              <w:bottom w:val="single" w:sz="4" w:space="0" w:color="auto"/>
              <w:right w:val="nil"/>
            </w:tcBorders>
          </w:tcPr>
          <w:p w14:paraId="7AC9D883" w14:textId="77777777" w:rsidR="003811F8" w:rsidRPr="00735ABA" w:rsidRDefault="003811F8" w:rsidP="00B11AE0">
            <w:pPr>
              <w:spacing w:after="200"/>
              <w:jc w:val="center"/>
              <w:rPr>
                <w:rFonts w:ascii="Calibri" w:eastAsia="Calibri" w:hAnsi="Calibri" w:cs="Arial"/>
                <w:b/>
                <w:bCs/>
                <w:sz w:val="18"/>
                <w:szCs w:val="18"/>
              </w:rPr>
            </w:pPr>
          </w:p>
        </w:tc>
        <w:tc>
          <w:tcPr>
            <w:tcW w:w="828" w:type="dxa"/>
            <w:tcBorders>
              <w:top w:val="nil"/>
              <w:left w:val="nil"/>
              <w:bottom w:val="single" w:sz="4" w:space="0" w:color="auto"/>
              <w:right w:val="nil"/>
            </w:tcBorders>
          </w:tcPr>
          <w:p w14:paraId="2C841EBD"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10</w:t>
            </w:r>
          </w:p>
        </w:tc>
        <w:tc>
          <w:tcPr>
            <w:tcW w:w="873" w:type="dxa"/>
            <w:tcBorders>
              <w:top w:val="nil"/>
              <w:left w:val="nil"/>
              <w:bottom w:val="single" w:sz="4" w:space="0" w:color="auto"/>
              <w:right w:val="nil"/>
            </w:tcBorders>
          </w:tcPr>
          <w:p w14:paraId="639C09F5"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0.9</w:t>
            </w:r>
          </w:p>
        </w:tc>
        <w:tc>
          <w:tcPr>
            <w:tcW w:w="1076" w:type="dxa"/>
            <w:tcBorders>
              <w:top w:val="nil"/>
              <w:left w:val="nil"/>
              <w:bottom w:val="single" w:sz="4" w:space="0" w:color="auto"/>
              <w:right w:val="nil"/>
            </w:tcBorders>
          </w:tcPr>
          <w:p w14:paraId="7436D8EA"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24 h</w:t>
            </w:r>
          </w:p>
        </w:tc>
        <w:tc>
          <w:tcPr>
            <w:tcW w:w="1111" w:type="dxa"/>
            <w:tcBorders>
              <w:top w:val="nil"/>
              <w:left w:val="nil"/>
              <w:bottom w:val="single" w:sz="4" w:space="0" w:color="auto"/>
              <w:right w:val="nil"/>
            </w:tcBorders>
          </w:tcPr>
          <w:p w14:paraId="772C6BD6"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30</w:t>
            </w:r>
          </w:p>
        </w:tc>
        <w:tc>
          <w:tcPr>
            <w:tcW w:w="1215" w:type="dxa"/>
            <w:gridSpan w:val="3"/>
            <w:tcBorders>
              <w:top w:val="nil"/>
              <w:left w:val="nil"/>
              <w:bottom w:val="single" w:sz="4" w:space="0" w:color="auto"/>
              <w:right w:val="nil"/>
            </w:tcBorders>
          </w:tcPr>
          <w:p w14:paraId="7E31E10E"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NI</w:t>
            </w:r>
          </w:p>
        </w:tc>
        <w:tc>
          <w:tcPr>
            <w:tcW w:w="940" w:type="dxa"/>
            <w:gridSpan w:val="2"/>
            <w:tcBorders>
              <w:top w:val="nil"/>
              <w:left w:val="nil"/>
              <w:bottom w:val="single" w:sz="4" w:space="0" w:color="auto"/>
              <w:right w:val="nil"/>
            </w:tcBorders>
          </w:tcPr>
          <w:p w14:paraId="5A93E114"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30-40</w:t>
            </w:r>
          </w:p>
        </w:tc>
        <w:tc>
          <w:tcPr>
            <w:tcW w:w="805" w:type="dxa"/>
            <w:gridSpan w:val="2"/>
            <w:tcBorders>
              <w:top w:val="nil"/>
              <w:left w:val="nil"/>
              <w:bottom w:val="single" w:sz="4" w:space="0" w:color="auto"/>
              <w:right w:val="nil"/>
            </w:tcBorders>
          </w:tcPr>
          <w:p w14:paraId="762E9401" w14:textId="77777777" w:rsidR="003811F8" w:rsidRPr="00735ABA" w:rsidRDefault="003811F8" w:rsidP="00B11AE0">
            <w:pPr>
              <w:spacing w:after="200"/>
              <w:jc w:val="center"/>
              <w:rPr>
                <w:rFonts w:ascii="Calibri" w:eastAsia="Calibri" w:hAnsi="Calibri" w:cs="Arial"/>
                <w:bCs/>
                <w:sz w:val="18"/>
                <w:szCs w:val="18"/>
              </w:rPr>
            </w:pPr>
          </w:p>
        </w:tc>
        <w:tc>
          <w:tcPr>
            <w:tcW w:w="1561" w:type="dxa"/>
            <w:gridSpan w:val="2"/>
            <w:tcBorders>
              <w:top w:val="nil"/>
              <w:left w:val="nil"/>
              <w:bottom w:val="single" w:sz="4" w:space="0" w:color="auto"/>
              <w:right w:val="nil"/>
            </w:tcBorders>
          </w:tcPr>
          <w:p w14:paraId="73F0DF19" w14:textId="77777777" w:rsidR="003811F8" w:rsidRPr="00735ABA" w:rsidRDefault="003811F8" w:rsidP="00B11AE0">
            <w:pPr>
              <w:spacing w:after="200"/>
              <w:jc w:val="center"/>
              <w:rPr>
                <w:rFonts w:ascii="Calibri" w:eastAsia="Calibri" w:hAnsi="Calibri" w:cs="Arial"/>
                <w:bCs/>
                <w:sz w:val="18"/>
                <w:szCs w:val="18"/>
              </w:rPr>
            </w:pPr>
          </w:p>
        </w:tc>
        <w:tc>
          <w:tcPr>
            <w:tcW w:w="1516" w:type="dxa"/>
            <w:gridSpan w:val="2"/>
            <w:tcBorders>
              <w:top w:val="nil"/>
              <w:left w:val="nil"/>
              <w:bottom w:val="single" w:sz="4" w:space="0" w:color="auto"/>
              <w:right w:val="nil"/>
            </w:tcBorders>
          </w:tcPr>
          <w:p w14:paraId="7AABC248" w14:textId="77777777" w:rsidR="003811F8" w:rsidRPr="00735ABA" w:rsidRDefault="003811F8" w:rsidP="00B11AE0">
            <w:pPr>
              <w:spacing w:after="120"/>
              <w:jc w:val="center"/>
              <w:rPr>
                <w:rFonts w:ascii="Calibri" w:eastAsia="Calibri" w:hAnsi="Calibri" w:cs="Arial"/>
                <w:bCs/>
                <w:sz w:val="18"/>
                <w:szCs w:val="18"/>
              </w:rPr>
            </w:pPr>
            <w:r w:rsidRPr="00735ABA">
              <w:rPr>
                <w:rFonts w:ascii="Calibri" w:eastAsia="Calibri" w:hAnsi="Calibri" w:cs="Arial"/>
                <w:bCs/>
                <w:sz w:val="18"/>
                <w:szCs w:val="18"/>
              </w:rPr>
              <w:t>0.9 mg: remission of compressive symptoms in 69%                                          Hypothyroidism: 56%</w:t>
            </w:r>
          </w:p>
        </w:tc>
      </w:tr>
      <w:tr w:rsidR="003811F8" w:rsidRPr="00735ABA" w14:paraId="2190D38A" w14:textId="77777777" w:rsidTr="0038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single" w:sz="4" w:space="0" w:color="auto"/>
              <w:left w:val="nil"/>
              <w:bottom w:val="nil"/>
              <w:right w:val="nil"/>
            </w:tcBorders>
            <w:shd w:val="clear" w:color="auto" w:fill="BFBFBF"/>
          </w:tcPr>
          <w:p w14:paraId="5699DD23" w14:textId="2F8B2BA0" w:rsidR="003811F8" w:rsidRPr="00735ABA" w:rsidRDefault="003811F8" w:rsidP="00B11AE0">
            <w:pPr>
              <w:spacing w:after="200"/>
              <w:jc w:val="center"/>
              <w:rPr>
                <w:rFonts w:ascii="Calibri" w:eastAsia="Calibri" w:hAnsi="Calibri" w:cs="Arial"/>
                <w:b/>
                <w:bCs/>
                <w:sz w:val="18"/>
                <w:szCs w:val="18"/>
              </w:rPr>
            </w:pPr>
            <w:r w:rsidRPr="00735ABA">
              <w:rPr>
                <w:rFonts w:ascii="Calibri" w:eastAsia="Calibri" w:hAnsi="Calibri" w:cs="Arial"/>
                <w:b/>
                <w:bCs/>
                <w:sz w:val="18"/>
                <w:szCs w:val="18"/>
              </w:rPr>
              <w:t>Silva et al.  (</w:t>
            </w:r>
            <w:r w:rsidR="007C69EF">
              <w:rPr>
                <w:rFonts w:ascii="Calibri" w:eastAsia="Calibri" w:hAnsi="Calibri" w:cs="Arial"/>
                <w:b/>
                <w:bCs/>
                <w:sz w:val="18"/>
                <w:szCs w:val="18"/>
              </w:rPr>
              <w:t>142</w:t>
            </w:r>
            <w:r w:rsidRPr="00735ABA">
              <w:rPr>
                <w:rFonts w:ascii="Calibri" w:eastAsia="Calibri" w:hAnsi="Calibri" w:cs="Arial"/>
                <w:b/>
                <w:bCs/>
                <w:sz w:val="18"/>
                <w:szCs w:val="18"/>
              </w:rPr>
              <w:t>)</w:t>
            </w:r>
          </w:p>
        </w:tc>
        <w:tc>
          <w:tcPr>
            <w:tcW w:w="828" w:type="dxa"/>
            <w:tcBorders>
              <w:top w:val="single" w:sz="4" w:space="0" w:color="auto"/>
              <w:left w:val="nil"/>
              <w:bottom w:val="nil"/>
              <w:right w:val="nil"/>
            </w:tcBorders>
            <w:shd w:val="clear" w:color="auto" w:fill="BFBFBF"/>
          </w:tcPr>
          <w:p w14:paraId="67C558C9"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17</w:t>
            </w:r>
          </w:p>
        </w:tc>
        <w:tc>
          <w:tcPr>
            <w:tcW w:w="873" w:type="dxa"/>
            <w:tcBorders>
              <w:top w:val="single" w:sz="4" w:space="0" w:color="auto"/>
              <w:left w:val="nil"/>
              <w:bottom w:val="nil"/>
              <w:right w:val="nil"/>
            </w:tcBorders>
            <w:shd w:val="clear" w:color="auto" w:fill="BFBFBF"/>
          </w:tcPr>
          <w:p w14:paraId="18EC0564"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none</w:t>
            </w:r>
          </w:p>
        </w:tc>
        <w:tc>
          <w:tcPr>
            <w:tcW w:w="1076" w:type="dxa"/>
            <w:tcBorders>
              <w:top w:val="single" w:sz="4" w:space="0" w:color="auto"/>
              <w:left w:val="nil"/>
              <w:bottom w:val="nil"/>
              <w:right w:val="nil"/>
            </w:tcBorders>
            <w:shd w:val="clear" w:color="auto" w:fill="BFBFBF"/>
          </w:tcPr>
          <w:p w14:paraId="31979629" w14:textId="77777777" w:rsidR="003811F8" w:rsidRPr="00735ABA" w:rsidRDefault="003811F8" w:rsidP="00B11AE0">
            <w:pPr>
              <w:spacing w:after="200"/>
              <w:jc w:val="center"/>
              <w:rPr>
                <w:rFonts w:ascii="Calibri" w:eastAsia="Calibri" w:hAnsi="Calibri" w:cs="Arial"/>
                <w:bCs/>
                <w:sz w:val="18"/>
                <w:szCs w:val="18"/>
              </w:rPr>
            </w:pPr>
          </w:p>
        </w:tc>
        <w:tc>
          <w:tcPr>
            <w:tcW w:w="1111" w:type="dxa"/>
            <w:tcBorders>
              <w:top w:val="single" w:sz="4" w:space="0" w:color="auto"/>
              <w:left w:val="nil"/>
              <w:bottom w:val="nil"/>
              <w:right w:val="nil"/>
            </w:tcBorders>
            <w:shd w:val="clear" w:color="auto" w:fill="BFBFBF"/>
          </w:tcPr>
          <w:p w14:paraId="1F686BA7"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
                <w:bCs/>
                <w:sz w:val="18"/>
                <w:szCs w:val="18"/>
              </w:rPr>
              <w:sym w:font="Symbol" w:char="F07E"/>
            </w:r>
            <w:r w:rsidRPr="00735ABA">
              <w:rPr>
                <w:rFonts w:ascii="Calibri" w:eastAsia="Calibri" w:hAnsi="Calibri" w:cs="Arial"/>
                <w:bCs/>
                <w:sz w:val="18"/>
                <w:szCs w:val="18"/>
              </w:rPr>
              <w:t>96 (mean)</w:t>
            </w:r>
          </w:p>
        </w:tc>
        <w:tc>
          <w:tcPr>
            <w:tcW w:w="1215" w:type="dxa"/>
            <w:gridSpan w:val="3"/>
            <w:tcBorders>
              <w:top w:val="single" w:sz="4" w:space="0" w:color="auto"/>
              <w:left w:val="nil"/>
              <w:bottom w:val="nil"/>
              <w:right w:val="nil"/>
            </w:tcBorders>
            <w:shd w:val="clear" w:color="auto" w:fill="BFBFBF"/>
          </w:tcPr>
          <w:p w14:paraId="03F6A776" w14:textId="77777777" w:rsidR="003811F8" w:rsidRPr="008250DA" w:rsidRDefault="003811F8" w:rsidP="00B11AE0">
            <w:pPr>
              <w:spacing w:after="200"/>
              <w:jc w:val="center"/>
              <w:rPr>
                <w:rFonts w:ascii="Calibri" w:eastAsia="Calibri" w:hAnsi="Calibri" w:cs="Arial"/>
                <w:bCs/>
                <w:sz w:val="18"/>
                <w:szCs w:val="18"/>
              </w:rPr>
            </w:pPr>
            <w:r w:rsidRPr="008250DA">
              <w:rPr>
                <w:rFonts w:ascii="Calibri" w:eastAsia="Calibri" w:hAnsi="Calibri" w:cs="Arial"/>
                <w:bCs/>
                <w:sz w:val="18"/>
                <w:szCs w:val="18"/>
              </w:rPr>
              <w:t>Free T4: 34 T3: 33</w:t>
            </w:r>
          </w:p>
        </w:tc>
        <w:tc>
          <w:tcPr>
            <w:tcW w:w="940" w:type="dxa"/>
            <w:gridSpan w:val="2"/>
            <w:tcBorders>
              <w:top w:val="single" w:sz="4" w:space="0" w:color="auto"/>
              <w:left w:val="nil"/>
              <w:bottom w:val="nil"/>
              <w:right w:val="nil"/>
            </w:tcBorders>
            <w:shd w:val="clear" w:color="auto" w:fill="BFBFBF"/>
          </w:tcPr>
          <w:p w14:paraId="2882F96A" w14:textId="77777777" w:rsidR="003811F8" w:rsidRPr="00E82DBF" w:rsidRDefault="003811F8" w:rsidP="00B11AE0">
            <w:pPr>
              <w:spacing w:after="200"/>
              <w:jc w:val="center"/>
              <w:rPr>
                <w:rFonts w:ascii="Calibri" w:eastAsia="Calibri" w:hAnsi="Calibri" w:cs="Arial"/>
                <w:bCs/>
                <w:sz w:val="18"/>
                <w:szCs w:val="18"/>
              </w:rPr>
            </w:pPr>
            <w:r w:rsidRPr="00E82DBF">
              <w:rPr>
                <w:rFonts w:ascii="Calibri" w:eastAsia="Calibri" w:hAnsi="Calibri" w:cs="Arial"/>
                <w:bCs/>
                <w:sz w:val="18"/>
                <w:szCs w:val="18"/>
              </w:rPr>
              <w:t>40</w:t>
            </w:r>
          </w:p>
        </w:tc>
        <w:tc>
          <w:tcPr>
            <w:tcW w:w="805" w:type="dxa"/>
            <w:gridSpan w:val="2"/>
            <w:tcBorders>
              <w:top w:val="single" w:sz="4" w:space="0" w:color="auto"/>
              <w:left w:val="nil"/>
              <w:bottom w:val="nil"/>
              <w:right w:val="nil"/>
            </w:tcBorders>
            <w:shd w:val="clear" w:color="auto" w:fill="BFBFBF"/>
          </w:tcPr>
          <w:p w14:paraId="43A71D0B" w14:textId="77777777" w:rsidR="003811F8" w:rsidRPr="00A72062" w:rsidRDefault="003811F8" w:rsidP="00B11AE0">
            <w:pPr>
              <w:spacing w:after="200"/>
              <w:jc w:val="center"/>
              <w:rPr>
                <w:rFonts w:ascii="Calibri" w:eastAsia="Calibri" w:hAnsi="Calibri" w:cs="Arial"/>
                <w:bCs/>
                <w:sz w:val="18"/>
                <w:szCs w:val="18"/>
              </w:rPr>
            </w:pPr>
            <w:r w:rsidRPr="00A72062">
              <w:rPr>
                <w:rFonts w:ascii="Calibri" w:eastAsia="Calibri" w:hAnsi="Calibri" w:cs="Arial"/>
                <w:bCs/>
                <w:sz w:val="18"/>
                <w:szCs w:val="18"/>
              </w:rPr>
              <w:t>1 year</w:t>
            </w:r>
          </w:p>
        </w:tc>
        <w:tc>
          <w:tcPr>
            <w:tcW w:w="1561" w:type="dxa"/>
            <w:gridSpan w:val="2"/>
            <w:tcBorders>
              <w:top w:val="single" w:sz="4" w:space="0" w:color="auto"/>
              <w:left w:val="nil"/>
              <w:bottom w:val="nil"/>
              <w:right w:val="nil"/>
            </w:tcBorders>
            <w:shd w:val="clear" w:color="auto" w:fill="BFBFBF"/>
          </w:tcPr>
          <w:p w14:paraId="7D11F80C" w14:textId="77777777" w:rsidR="003811F8" w:rsidRPr="00A72062" w:rsidRDefault="003811F8" w:rsidP="00B11AE0">
            <w:pPr>
              <w:spacing w:after="200"/>
              <w:jc w:val="center"/>
              <w:rPr>
                <w:rFonts w:ascii="Calibri" w:eastAsia="Calibri" w:hAnsi="Calibri" w:cs="Arial"/>
                <w:bCs/>
                <w:sz w:val="18"/>
                <w:szCs w:val="18"/>
              </w:rPr>
            </w:pPr>
            <w:r w:rsidRPr="00A72062">
              <w:rPr>
                <w:rFonts w:ascii="Calibri" w:eastAsia="Calibri" w:hAnsi="Calibri" w:cs="Arial"/>
                <w:bCs/>
                <w:sz w:val="18"/>
                <w:szCs w:val="18"/>
              </w:rPr>
              <w:t>CT</w:t>
            </w:r>
          </w:p>
        </w:tc>
        <w:tc>
          <w:tcPr>
            <w:tcW w:w="1516" w:type="dxa"/>
            <w:gridSpan w:val="2"/>
            <w:tcBorders>
              <w:top w:val="single" w:sz="4" w:space="0" w:color="auto"/>
              <w:left w:val="nil"/>
              <w:bottom w:val="nil"/>
              <w:right w:val="nil"/>
            </w:tcBorders>
            <w:shd w:val="clear" w:color="auto" w:fill="BFBFBF"/>
          </w:tcPr>
          <w:p w14:paraId="3565E862" w14:textId="77777777" w:rsidR="003811F8" w:rsidRPr="00A72062" w:rsidRDefault="003811F8" w:rsidP="00B11AE0">
            <w:pPr>
              <w:spacing w:after="120"/>
              <w:jc w:val="center"/>
              <w:rPr>
                <w:rFonts w:ascii="Calibri" w:eastAsia="Calibri" w:hAnsi="Calibri" w:cs="Arial"/>
                <w:bCs/>
                <w:sz w:val="18"/>
                <w:szCs w:val="18"/>
              </w:rPr>
            </w:pPr>
            <w:r w:rsidRPr="00A72062">
              <w:rPr>
                <w:rFonts w:ascii="Calibri" w:eastAsia="Calibri" w:hAnsi="Calibri" w:cs="Arial"/>
                <w:bCs/>
                <w:sz w:val="18"/>
                <w:szCs w:val="18"/>
                <w:vertAlign w:val="superscript"/>
              </w:rPr>
              <w:t>131</w:t>
            </w:r>
            <w:r w:rsidRPr="00A72062">
              <w:rPr>
                <w:rFonts w:ascii="Calibri" w:eastAsia="Calibri" w:hAnsi="Calibri" w:cs="Arial"/>
                <w:bCs/>
                <w:sz w:val="18"/>
                <w:szCs w:val="18"/>
              </w:rPr>
              <w:t>I:                                                 Hypothyroidism: 23%</w:t>
            </w:r>
          </w:p>
        </w:tc>
      </w:tr>
      <w:tr w:rsidR="003811F8" w:rsidRPr="00735ABA" w14:paraId="5AAB5091" w14:textId="77777777" w:rsidTr="0038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nil"/>
              <w:left w:val="nil"/>
              <w:bottom w:val="single" w:sz="4" w:space="0" w:color="auto"/>
              <w:right w:val="nil"/>
            </w:tcBorders>
            <w:shd w:val="clear" w:color="auto" w:fill="BFBFBF"/>
          </w:tcPr>
          <w:p w14:paraId="4C102A1A" w14:textId="77777777" w:rsidR="003811F8" w:rsidRPr="00735ABA" w:rsidRDefault="003811F8" w:rsidP="00B11AE0">
            <w:pPr>
              <w:spacing w:after="200"/>
              <w:jc w:val="center"/>
              <w:rPr>
                <w:rFonts w:ascii="Calibri" w:eastAsia="Calibri" w:hAnsi="Calibri" w:cs="Arial"/>
                <w:b/>
                <w:bCs/>
                <w:sz w:val="18"/>
                <w:szCs w:val="18"/>
              </w:rPr>
            </w:pPr>
          </w:p>
        </w:tc>
        <w:tc>
          <w:tcPr>
            <w:tcW w:w="828" w:type="dxa"/>
            <w:tcBorders>
              <w:top w:val="nil"/>
              <w:left w:val="nil"/>
              <w:bottom w:val="single" w:sz="4" w:space="0" w:color="auto"/>
              <w:right w:val="nil"/>
            </w:tcBorders>
            <w:shd w:val="clear" w:color="auto" w:fill="BFBFBF"/>
          </w:tcPr>
          <w:p w14:paraId="232C008A"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17</w:t>
            </w:r>
          </w:p>
        </w:tc>
        <w:tc>
          <w:tcPr>
            <w:tcW w:w="873" w:type="dxa"/>
            <w:tcBorders>
              <w:top w:val="nil"/>
              <w:left w:val="nil"/>
              <w:bottom w:val="single" w:sz="4" w:space="0" w:color="auto"/>
              <w:right w:val="nil"/>
            </w:tcBorders>
            <w:shd w:val="clear" w:color="auto" w:fill="BFBFBF"/>
          </w:tcPr>
          <w:p w14:paraId="6A1D607B"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0.45</w:t>
            </w:r>
          </w:p>
        </w:tc>
        <w:tc>
          <w:tcPr>
            <w:tcW w:w="1076" w:type="dxa"/>
            <w:tcBorders>
              <w:top w:val="nil"/>
              <w:left w:val="nil"/>
              <w:bottom w:val="single" w:sz="4" w:space="0" w:color="auto"/>
              <w:right w:val="nil"/>
            </w:tcBorders>
            <w:shd w:val="clear" w:color="auto" w:fill="BFBFBF"/>
          </w:tcPr>
          <w:p w14:paraId="040B514A"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24 h</w:t>
            </w:r>
          </w:p>
        </w:tc>
        <w:tc>
          <w:tcPr>
            <w:tcW w:w="1111" w:type="dxa"/>
            <w:tcBorders>
              <w:top w:val="nil"/>
              <w:left w:val="nil"/>
              <w:bottom w:val="single" w:sz="4" w:space="0" w:color="auto"/>
              <w:right w:val="nil"/>
            </w:tcBorders>
            <w:shd w:val="clear" w:color="auto" w:fill="BFBFBF"/>
          </w:tcPr>
          <w:p w14:paraId="413A2800"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
                <w:bCs/>
                <w:sz w:val="18"/>
                <w:szCs w:val="18"/>
              </w:rPr>
              <w:sym w:font="Symbol" w:char="F07E"/>
            </w:r>
            <w:r w:rsidRPr="00735ABA">
              <w:rPr>
                <w:rFonts w:ascii="Calibri" w:eastAsia="Calibri" w:hAnsi="Calibri" w:cs="Arial"/>
                <w:bCs/>
                <w:sz w:val="18"/>
                <w:szCs w:val="18"/>
              </w:rPr>
              <w:t>90 (mean)</w:t>
            </w:r>
          </w:p>
        </w:tc>
        <w:tc>
          <w:tcPr>
            <w:tcW w:w="1215" w:type="dxa"/>
            <w:gridSpan w:val="3"/>
            <w:tcBorders>
              <w:top w:val="nil"/>
              <w:left w:val="nil"/>
              <w:bottom w:val="single" w:sz="4" w:space="0" w:color="auto"/>
              <w:right w:val="nil"/>
            </w:tcBorders>
            <w:shd w:val="clear" w:color="auto" w:fill="BFBFBF"/>
          </w:tcPr>
          <w:p w14:paraId="6F1D509A" w14:textId="77777777" w:rsidR="003811F8" w:rsidRPr="008250DA" w:rsidRDefault="003811F8" w:rsidP="00B11AE0">
            <w:pPr>
              <w:spacing w:after="200"/>
              <w:jc w:val="center"/>
              <w:rPr>
                <w:rFonts w:ascii="Calibri" w:eastAsia="Calibri" w:hAnsi="Calibri" w:cs="Arial"/>
                <w:bCs/>
                <w:sz w:val="18"/>
                <w:szCs w:val="18"/>
              </w:rPr>
            </w:pPr>
            <w:r w:rsidRPr="008250DA">
              <w:rPr>
                <w:rFonts w:ascii="Calibri" w:eastAsia="Calibri" w:hAnsi="Calibri" w:cs="Arial"/>
                <w:bCs/>
                <w:sz w:val="18"/>
                <w:szCs w:val="18"/>
              </w:rPr>
              <w:t>Free T4: 594          T3: 73</w:t>
            </w:r>
          </w:p>
        </w:tc>
        <w:tc>
          <w:tcPr>
            <w:tcW w:w="940" w:type="dxa"/>
            <w:gridSpan w:val="2"/>
            <w:tcBorders>
              <w:top w:val="nil"/>
              <w:left w:val="nil"/>
              <w:bottom w:val="single" w:sz="4" w:space="0" w:color="auto"/>
              <w:right w:val="nil"/>
            </w:tcBorders>
            <w:shd w:val="clear" w:color="auto" w:fill="BFBFBF"/>
          </w:tcPr>
          <w:p w14:paraId="52AA2485" w14:textId="77777777" w:rsidR="003811F8" w:rsidRPr="00E82DBF" w:rsidRDefault="003811F8" w:rsidP="00B11AE0">
            <w:pPr>
              <w:spacing w:after="200"/>
              <w:jc w:val="center"/>
              <w:rPr>
                <w:rFonts w:ascii="Calibri" w:eastAsia="Calibri" w:hAnsi="Calibri" w:cs="Arial"/>
                <w:bCs/>
                <w:sz w:val="18"/>
                <w:szCs w:val="18"/>
              </w:rPr>
            </w:pPr>
            <w:r w:rsidRPr="00E82DBF">
              <w:rPr>
                <w:rFonts w:ascii="Calibri" w:eastAsia="Calibri" w:hAnsi="Calibri" w:cs="Arial"/>
                <w:bCs/>
                <w:sz w:val="18"/>
                <w:szCs w:val="18"/>
              </w:rPr>
              <w:t>58</w:t>
            </w:r>
          </w:p>
        </w:tc>
        <w:tc>
          <w:tcPr>
            <w:tcW w:w="805" w:type="dxa"/>
            <w:gridSpan w:val="2"/>
            <w:tcBorders>
              <w:top w:val="nil"/>
              <w:left w:val="nil"/>
              <w:bottom w:val="single" w:sz="4" w:space="0" w:color="auto"/>
              <w:right w:val="nil"/>
            </w:tcBorders>
            <w:shd w:val="clear" w:color="auto" w:fill="BFBFBF"/>
          </w:tcPr>
          <w:p w14:paraId="6447F6D4" w14:textId="77777777" w:rsidR="003811F8" w:rsidRPr="00A72062" w:rsidRDefault="003811F8" w:rsidP="00B11AE0">
            <w:pPr>
              <w:spacing w:after="200"/>
              <w:jc w:val="center"/>
              <w:rPr>
                <w:rFonts w:ascii="Calibri" w:eastAsia="Calibri" w:hAnsi="Calibri" w:cs="Arial"/>
                <w:bCs/>
                <w:sz w:val="18"/>
                <w:szCs w:val="18"/>
              </w:rPr>
            </w:pPr>
          </w:p>
        </w:tc>
        <w:tc>
          <w:tcPr>
            <w:tcW w:w="1561" w:type="dxa"/>
            <w:gridSpan w:val="2"/>
            <w:tcBorders>
              <w:top w:val="nil"/>
              <w:left w:val="nil"/>
              <w:bottom w:val="single" w:sz="4" w:space="0" w:color="auto"/>
              <w:right w:val="nil"/>
            </w:tcBorders>
            <w:shd w:val="clear" w:color="auto" w:fill="BFBFBF"/>
          </w:tcPr>
          <w:p w14:paraId="37D50E2A" w14:textId="77777777" w:rsidR="003811F8" w:rsidRPr="00A72062" w:rsidRDefault="003811F8" w:rsidP="00B11AE0">
            <w:pPr>
              <w:spacing w:after="200"/>
              <w:jc w:val="center"/>
              <w:rPr>
                <w:rFonts w:ascii="Calibri" w:eastAsia="Calibri" w:hAnsi="Calibri" w:cs="Arial"/>
                <w:bCs/>
                <w:sz w:val="18"/>
                <w:szCs w:val="18"/>
              </w:rPr>
            </w:pPr>
          </w:p>
        </w:tc>
        <w:tc>
          <w:tcPr>
            <w:tcW w:w="1516" w:type="dxa"/>
            <w:gridSpan w:val="2"/>
            <w:tcBorders>
              <w:top w:val="nil"/>
              <w:left w:val="nil"/>
              <w:bottom w:val="single" w:sz="4" w:space="0" w:color="auto"/>
              <w:right w:val="nil"/>
            </w:tcBorders>
            <w:shd w:val="clear" w:color="auto" w:fill="BFBFBF"/>
          </w:tcPr>
          <w:p w14:paraId="038D315C" w14:textId="77777777" w:rsidR="003811F8" w:rsidRPr="00A72062" w:rsidRDefault="003811F8" w:rsidP="00B11AE0">
            <w:pPr>
              <w:spacing w:after="120"/>
              <w:jc w:val="center"/>
              <w:rPr>
                <w:rFonts w:ascii="Calibri" w:eastAsia="Calibri" w:hAnsi="Calibri" w:cs="Arial"/>
                <w:bCs/>
                <w:sz w:val="18"/>
                <w:szCs w:val="18"/>
              </w:rPr>
            </w:pPr>
            <w:r w:rsidRPr="00A72062">
              <w:rPr>
                <w:rFonts w:ascii="Calibri" w:eastAsia="Calibri" w:hAnsi="Calibri" w:cs="Arial"/>
                <w:bCs/>
                <w:sz w:val="18"/>
                <w:szCs w:val="18"/>
                <w:vertAlign w:val="superscript"/>
              </w:rPr>
              <w:t>131</w:t>
            </w:r>
            <w:r w:rsidRPr="00A72062">
              <w:rPr>
                <w:rFonts w:ascii="Calibri" w:eastAsia="Calibri" w:hAnsi="Calibri" w:cs="Arial"/>
                <w:bCs/>
                <w:sz w:val="18"/>
                <w:szCs w:val="18"/>
              </w:rPr>
              <w:t>I + rhTSH:                                    Hypothyroidism: 64%; hyperthyroidism: 100%</w:t>
            </w:r>
          </w:p>
        </w:tc>
      </w:tr>
      <w:tr w:rsidR="003811F8" w:rsidRPr="00735ABA" w14:paraId="66D73159" w14:textId="77777777" w:rsidTr="0038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single" w:sz="4" w:space="0" w:color="auto"/>
              <w:left w:val="nil"/>
              <w:bottom w:val="single" w:sz="4" w:space="0" w:color="auto"/>
              <w:right w:val="nil"/>
            </w:tcBorders>
          </w:tcPr>
          <w:p w14:paraId="793EA2B7" w14:textId="09157451" w:rsidR="003811F8" w:rsidRPr="00735ABA" w:rsidRDefault="003811F8" w:rsidP="00B11AE0">
            <w:pPr>
              <w:spacing w:after="200"/>
              <w:jc w:val="center"/>
              <w:rPr>
                <w:rFonts w:ascii="Calibri" w:eastAsia="Calibri" w:hAnsi="Calibri" w:cs="Arial"/>
                <w:b/>
                <w:bCs/>
                <w:sz w:val="18"/>
                <w:szCs w:val="18"/>
              </w:rPr>
            </w:pPr>
            <w:r w:rsidRPr="00735ABA">
              <w:rPr>
                <w:rFonts w:ascii="Calibri" w:eastAsia="Calibri" w:hAnsi="Calibri" w:cs="Arial"/>
                <w:b/>
                <w:bCs/>
                <w:sz w:val="18"/>
                <w:szCs w:val="18"/>
              </w:rPr>
              <w:t>Albino et al. (</w:t>
            </w:r>
            <w:r w:rsidR="007C69EF">
              <w:rPr>
                <w:rFonts w:ascii="Calibri" w:eastAsia="Calibri" w:hAnsi="Calibri" w:cs="Arial"/>
                <w:b/>
                <w:bCs/>
                <w:sz w:val="18"/>
                <w:szCs w:val="18"/>
              </w:rPr>
              <w:t>131</w:t>
            </w:r>
            <w:r w:rsidRPr="00735ABA">
              <w:rPr>
                <w:rFonts w:ascii="Calibri" w:eastAsia="Calibri" w:hAnsi="Calibri" w:cs="Arial"/>
                <w:b/>
                <w:bCs/>
                <w:sz w:val="18"/>
                <w:szCs w:val="18"/>
              </w:rPr>
              <w:t>)</w:t>
            </w:r>
          </w:p>
        </w:tc>
        <w:tc>
          <w:tcPr>
            <w:tcW w:w="828" w:type="dxa"/>
            <w:tcBorders>
              <w:top w:val="single" w:sz="4" w:space="0" w:color="auto"/>
              <w:left w:val="nil"/>
              <w:bottom w:val="single" w:sz="4" w:space="0" w:color="auto"/>
              <w:right w:val="nil"/>
            </w:tcBorders>
          </w:tcPr>
          <w:p w14:paraId="72F530BA"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18</w:t>
            </w:r>
          </w:p>
        </w:tc>
        <w:tc>
          <w:tcPr>
            <w:tcW w:w="873" w:type="dxa"/>
            <w:tcBorders>
              <w:top w:val="single" w:sz="4" w:space="0" w:color="auto"/>
              <w:left w:val="nil"/>
              <w:bottom w:val="single" w:sz="4" w:space="0" w:color="auto"/>
              <w:right w:val="nil"/>
            </w:tcBorders>
          </w:tcPr>
          <w:p w14:paraId="435B3F4A"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2 x 0.1</w:t>
            </w:r>
          </w:p>
        </w:tc>
        <w:tc>
          <w:tcPr>
            <w:tcW w:w="1076" w:type="dxa"/>
            <w:tcBorders>
              <w:top w:val="single" w:sz="4" w:space="0" w:color="auto"/>
              <w:left w:val="nil"/>
              <w:bottom w:val="single" w:sz="4" w:space="0" w:color="auto"/>
              <w:right w:val="nil"/>
            </w:tcBorders>
          </w:tcPr>
          <w:p w14:paraId="1E97CD21"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24 h</w:t>
            </w:r>
          </w:p>
        </w:tc>
        <w:tc>
          <w:tcPr>
            <w:tcW w:w="1111" w:type="dxa"/>
            <w:tcBorders>
              <w:top w:val="single" w:sz="4" w:space="0" w:color="auto"/>
              <w:left w:val="nil"/>
              <w:bottom w:val="single" w:sz="4" w:space="0" w:color="auto"/>
              <w:right w:val="nil"/>
            </w:tcBorders>
          </w:tcPr>
          <w:p w14:paraId="40A53D43"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30</w:t>
            </w:r>
          </w:p>
        </w:tc>
        <w:tc>
          <w:tcPr>
            <w:tcW w:w="1215" w:type="dxa"/>
            <w:gridSpan w:val="3"/>
            <w:tcBorders>
              <w:top w:val="single" w:sz="4" w:space="0" w:color="auto"/>
              <w:left w:val="nil"/>
              <w:bottom w:val="single" w:sz="4" w:space="0" w:color="auto"/>
              <w:right w:val="nil"/>
            </w:tcBorders>
          </w:tcPr>
          <w:p w14:paraId="1E2BF7C0"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Free T4: 146           T3: 191</w:t>
            </w:r>
          </w:p>
        </w:tc>
        <w:tc>
          <w:tcPr>
            <w:tcW w:w="940" w:type="dxa"/>
            <w:gridSpan w:val="2"/>
            <w:tcBorders>
              <w:top w:val="single" w:sz="4" w:space="0" w:color="auto"/>
              <w:left w:val="nil"/>
              <w:bottom w:val="single" w:sz="4" w:space="0" w:color="auto"/>
              <w:right w:val="nil"/>
            </w:tcBorders>
          </w:tcPr>
          <w:p w14:paraId="17CC545F"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39</w:t>
            </w:r>
          </w:p>
        </w:tc>
        <w:tc>
          <w:tcPr>
            <w:tcW w:w="805" w:type="dxa"/>
            <w:gridSpan w:val="2"/>
            <w:tcBorders>
              <w:top w:val="single" w:sz="4" w:space="0" w:color="auto"/>
              <w:left w:val="nil"/>
              <w:bottom w:val="single" w:sz="4" w:space="0" w:color="auto"/>
              <w:right w:val="nil"/>
            </w:tcBorders>
          </w:tcPr>
          <w:p w14:paraId="14CD8F44" w14:textId="1D4C31E1" w:rsidR="003811F8" w:rsidRPr="00735ABA" w:rsidRDefault="003811F8" w:rsidP="003811F8">
            <w:pPr>
              <w:spacing w:after="200"/>
              <w:jc w:val="center"/>
              <w:rPr>
                <w:rFonts w:ascii="Calibri" w:eastAsia="Calibri" w:hAnsi="Calibri" w:cs="Arial"/>
                <w:bCs/>
                <w:sz w:val="18"/>
                <w:szCs w:val="18"/>
              </w:rPr>
            </w:pPr>
            <w:r w:rsidRPr="00735ABA">
              <w:rPr>
                <w:rFonts w:ascii="Calibri" w:eastAsia="Calibri" w:hAnsi="Calibri" w:cs="Arial"/>
                <w:bCs/>
                <w:sz w:val="18"/>
                <w:szCs w:val="18"/>
              </w:rPr>
              <w:t>6</w:t>
            </w:r>
            <w:r>
              <w:rPr>
                <w:rFonts w:ascii="Calibri" w:eastAsia="Calibri" w:hAnsi="Calibri" w:cs="Arial"/>
                <w:bCs/>
                <w:sz w:val="18"/>
                <w:szCs w:val="18"/>
              </w:rPr>
              <w:t xml:space="preserve"> m</w:t>
            </w:r>
            <w:r w:rsidRPr="00735ABA">
              <w:rPr>
                <w:rFonts w:ascii="Calibri" w:eastAsia="Calibri" w:hAnsi="Calibri" w:cs="Arial"/>
                <w:bCs/>
                <w:sz w:val="18"/>
                <w:szCs w:val="18"/>
              </w:rPr>
              <w:t xml:space="preserve"> </w:t>
            </w:r>
          </w:p>
        </w:tc>
        <w:tc>
          <w:tcPr>
            <w:tcW w:w="1561" w:type="dxa"/>
            <w:gridSpan w:val="2"/>
            <w:tcBorders>
              <w:top w:val="single" w:sz="4" w:space="0" w:color="auto"/>
              <w:left w:val="nil"/>
              <w:bottom w:val="single" w:sz="4" w:space="0" w:color="auto"/>
              <w:right w:val="nil"/>
            </w:tcBorders>
          </w:tcPr>
          <w:p w14:paraId="2CFDD382"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CT</w:t>
            </w:r>
          </w:p>
        </w:tc>
        <w:tc>
          <w:tcPr>
            <w:tcW w:w="1516" w:type="dxa"/>
            <w:gridSpan w:val="2"/>
            <w:tcBorders>
              <w:top w:val="single" w:sz="4" w:space="0" w:color="auto"/>
              <w:left w:val="nil"/>
              <w:bottom w:val="single" w:sz="4" w:space="0" w:color="auto"/>
              <w:right w:val="nil"/>
            </w:tcBorders>
          </w:tcPr>
          <w:p w14:paraId="20A7F7B9" w14:textId="77777777" w:rsidR="003811F8" w:rsidRPr="00735ABA" w:rsidRDefault="003811F8" w:rsidP="00B11AE0">
            <w:pPr>
              <w:spacing w:after="120"/>
              <w:jc w:val="center"/>
              <w:rPr>
                <w:rFonts w:ascii="Calibri" w:eastAsia="Calibri" w:hAnsi="Calibri" w:cs="Arial"/>
                <w:bCs/>
                <w:sz w:val="18"/>
                <w:szCs w:val="18"/>
              </w:rPr>
            </w:pPr>
            <w:r w:rsidRPr="00735ABA">
              <w:rPr>
                <w:rFonts w:ascii="Calibri" w:eastAsia="Calibri" w:hAnsi="Calibri" w:cs="Arial"/>
                <w:bCs/>
                <w:sz w:val="18"/>
                <w:szCs w:val="18"/>
              </w:rPr>
              <w:t>24 h RAIU increased from 12 – 53%; Hypothyroidism: 65%; hyperthyroidism: 39%</w:t>
            </w:r>
          </w:p>
        </w:tc>
      </w:tr>
      <w:tr w:rsidR="003811F8" w:rsidRPr="00735ABA" w14:paraId="58A1EA37" w14:textId="77777777" w:rsidTr="0038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single" w:sz="4" w:space="0" w:color="auto"/>
              <w:left w:val="nil"/>
              <w:bottom w:val="nil"/>
              <w:right w:val="nil"/>
            </w:tcBorders>
            <w:shd w:val="clear" w:color="auto" w:fill="BFBFBF"/>
          </w:tcPr>
          <w:p w14:paraId="688D0590" w14:textId="171BFD14" w:rsidR="003811F8" w:rsidRPr="00735ABA" w:rsidRDefault="003811F8" w:rsidP="00B11AE0">
            <w:pPr>
              <w:spacing w:after="200"/>
              <w:jc w:val="center"/>
              <w:rPr>
                <w:rFonts w:ascii="Calibri" w:eastAsia="Calibri" w:hAnsi="Calibri" w:cs="Arial"/>
                <w:b/>
                <w:bCs/>
                <w:sz w:val="18"/>
                <w:szCs w:val="18"/>
              </w:rPr>
            </w:pPr>
            <w:r w:rsidRPr="00735ABA">
              <w:rPr>
                <w:rFonts w:ascii="Calibri" w:eastAsia="Calibri" w:hAnsi="Calibri" w:cs="Arial"/>
                <w:b/>
                <w:bCs/>
                <w:sz w:val="18"/>
                <w:szCs w:val="18"/>
              </w:rPr>
              <w:t>Giusti et al. (</w:t>
            </w:r>
            <w:r w:rsidR="007C69EF">
              <w:rPr>
                <w:rFonts w:ascii="Calibri" w:eastAsia="Calibri" w:hAnsi="Calibri" w:cs="Arial"/>
                <w:b/>
                <w:bCs/>
                <w:sz w:val="18"/>
                <w:szCs w:val="18"/>
              </w:rPr>
              <w:t>140</w:t>
            </w:r>
            <w:r w:rsidRPr="00735ABA">
              <w:rPr>
                <w:rFonts w:ascii="Calibri" w:eastAsia="Calibri" w:hAnsi="Calibri" w:cs="Arial"/>
                <w:b/>
                <w:bCs/>
                <w:sz w:val="18"/>
                <w:szCs w:val="18"/>
              </w:rPr>
              <w:t>)</w:t>
            </w:r>
          </w:p>
        </w:tc>
        <w:tc>
          <w:tcPr>
            <w:tcW w:w="828" w:type="dxa"/>
            <w:tcBorders>
              <w:top w:val="single" w:sz="4" w:space="0" w:color="auto"/>
              <w:left w:val="nil"/>
              <w:bottom w:val="nil"/>
              <w:right w:val="nil"/>
            </w:tcBorders>
            <w:shd w:val="clear" w:color="auto" w:fill="BFBFBF"/>
          </w:tcPr>
          <w:p w14:paraId="051B442D"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8</w:t>
            </w:r>
          </w:p>
        </w:tc>
        <w:tc>
          <w:tcPr>
            <w:tcW w:w="873" w:type="dxa"/>
            <w:tcBorders>
              <w:top w:val="single" w:sz="4" w:space="0" w:color="auto"/>
              <w:left w:val="nil"/>
              <w:bottom w:val="nil"/>
              <w:right w:val="nil"/>
            </w:tcBorders>
            <w:shd w:val="clear" w:color="auto" w:fill="BFBFBF"/>
          </w:tcPr>
          <w:p w14:paraId="0213242E"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none</w:t>
            </w:r>
          </w:p>
        </w:tc>
        <w:tc>
          <w:tcPr>
            <w:tcW w:w="1076" w:type="dxa"/>
            <w:tcBorders>
              <w:top w:val="single" w:sz="4" w:space="0" w:color="auto"/>
              <w:left w:val="nil"/>
              <w:bottom w:val="nil"/>
              <w:right w:val="nil"/>
            </w:tcBorders>
            <w:shd w:val="clear" w:color="auto" w:fill="BFBFBF"/>
          </w:tcPr>
          <w:p w14:paraId="335FA42C" w14:textId="77777777" w:rsidR="003811F8" w:rsidRPr="00735ABA" w:rsidRDefault="003811F8" w:rsidP="00B11AE0">
            <w:pPr>
              <w:spacing w:after="200"/>
              <w:jc w:val="center"/>
              <w:rPr>
                <w:rFonts w:ascii="Calibri" w:eastAsia="Calibri" w:hAnsi="Calibri" w:cs="Arial"/>
                <w:bCs/>
                <w:sz w:val="18"/>
                <w:szCs w:val="18"/>
              </w:rPr>
            </w:pPr>
          </w:p>
        </w:tc>
        <w:tc>
          <w:tcPr>
            <w:tcW w:w="1111" w:type="dxa"/>
            <w:tcBorders>
              <w:top w:val="single" w:sz="4" w:space="0" w:color="auto"/>
              <w:left w:val="nil"/>
              <w:bottom w:val="nil"/>
              <w:right w:val="nil"/>
            </w:tcBorders>
            <w:shd w:val="clear" w:color="auto" w:fill="BFBFBF"/>
          </w:tcPr>
          <w:p w14:paraId="7729ECF2"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NM</w:t>
            </w:r>
          </w:p>
        </w:tc>
        <w:tc>
          <w:tcPr>
            <w:tcW w:w="1215" w:type="dxa"/>
            <w:gridSpan w:val="3"/>
            <w:tcBorders>
              <w:top w:val="single" w:sz="4" w:space="0" w:color="auto"/>
              <w:left w:val="nil"/>
              <w:bottom w:val="nil"/>
              <w:right w:val="nil"/>
            </w:tcBorders>
            <w:shd w:val="clear" w:color="auto" w:fill="BFBFBF"/>
          </w:tcPr>
          <w:p w14:paraId="1E740344"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NM</w:t>
            </w:r>
          </w:p>
        </w:tc>
        <w:tc>
          <w:tcPr>
            <w:tcW w:w="940" w:type="dxa"/>
            <w:gridSpan w:val="2"/>
            <w:tcBorders>
              <w:top w:val="single" w:sz="4" w:space="0" w:color="auto"/>
              <w:left w:val="nil"/>
              <w:bottom w:val="nil"/>
              <w:right w:val="nil"/>
            </w:tcBorders>
            <w:shd w:val="clear" w:color="auto" w:fill="BFBFBF"/>
          </w:tcPr>
          <w:p w14:paraId="63AE0B36"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25</w:t>
            </w:r>
          </w:p>
        </w:tc>
        <w:tc>
          <w:tcPr>
            <w:tcW w:w="805" w:type="dxa"/>
            <w:gridSpan w:val="2"/>
            <w:tcBorders>
              <w:top w:val="single" w:sz="4" w:space="0" w:color="auto"/>
              <w:left w:val="nil"/>
              <w:bottom w:val="nil"/>
              <w:right w:val="nil"/>
            </w:tcBorders>
            <w:shd w:val="clear" w:color="auto" w:fill="BFBFBF"/>
          </w:tcPr>
          <w:p w14:paraId="26F109B5" w14:textId="3037D79E" w:rsidR="003811F8" w:rsidRPr="00735ABA" w:rsidRDefault="003811F8" w:rsidP="003811F8">
            <w:pPr>
              <w:spacing w:after="200"/>
              <w:jc w:val="center"/>
              <w:rPr>
                <w:rFonts w:ascii="Calibri" w:eastAsia="Calibri" w:hAnsi="Calibri" w:cs="Arial"/>
                <w:bCs/>
                <w:sz w:val="18"/>
                <w:szCs w:val="18"/>
              </w:rPr>
            </w:pPr>
            <w:r w:rsidRPr="00735ABA">
              <w:rPr>
                <w:rFonts w:ascii="Calibri" w:eastAsia="Calibri" w:hAnsi="Calibri" w:cs="Arial"/>
                <w:bCs/>
                <w:sz w:val="18"/>
                <w:szCs w:val="18"/>
              </w:rPr>
              <w:t>20</w:t>
            </w:r>
            <w:r>
              <w:rPr>
                <w:rFonts w:ascii="Calibri" w:eastAsia="Calibri" w:hAnsi="Calibri" w:cs="Arial"/>
                <w:bCs/>
                <w:sz w:val="18"/>
                <w:szCs w:val="18"/>
              </w:rPr>
              <w:t xml:space="preserve"> m</w:t>
            </w:r>
          </w:p>
        </w:tc>
        <w:tc>
          <w:tcPr>
            <w:tcW w:w="1561" w:type="dxa"/>
            <w:gridSpan w:val="2"/>
            <w:tcBorders>
              <w:top w:val="single" w:sz="4" w:space="0" w:color="auto"/>
              <w:left w:val="nil"/>
              <w:bottom w:val="nil"/>
              <w:right w:val="nil"/>
            </w:tcBorders>
            <w:shd w:val="clear" w:color="auto" w:fill="BFBFBF"/>
          </w:tcPr>
          <w:p w14:paraId="080E3E99"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US + CT</w:t>
            </w:r>
          </w:p>
        </w:tc>
        <w:tc>
          <w:tcPr>
            <w:tcW w:w="1516" w:type="dxa"/>
            <w:gridSpan w:val="2"/>
            <w:tcBorders>
              <w:top w:val="single" w:sz="4" w:space="0" w:color="auto"/>
              <w:left w:val="nil"/>
              <w:bottom w:val="nil"/>
              <w:right w:val="nil"/>
            </w:tcBorders>
            <w:shd w:val="clear" w:color="auto" w:fill="BFBFBF"/>
          </w:tcPr>
          <w:p w14:paraId="25841EE4" w14:textId="77777777" w:rsidR="003811F8" w:rsidRPr="00735ABA" w:rsidRDefault="003811F8" w:rsidP="00B11AE0">
            <w:pPr>
              <w:spacing w:after="120"/>
              <w:jc w:val="center"/>
              <w:rPr>
                <w:rFonts w:ascii="Calibri" w:eastAsia="Calibri" w:hAnsi="Calibri" w:cs="Arial"/>
                <w:bCs/>
                <w:sz w:val="18"/>
                <w:szCs w:val="18"/>
              </w:rPr>
            </w:pPr>
          </w:p>
        </w:tc>
      </w:tr>
      <w:tr w:rsidR="003811F8" w:rsidRPr="00735ABA" w14:paraId="2BF7EB40" w14:textId="77777777" w:rsidTr="0038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nil"/>
              <w:left w:val="nil"/>
              <w:bottom w:val="single" w:sz="4" w:space="0" w:color="auto"/>
              <w:right w:val="nil"/>
            </w:tcBorders>
            <w:shd w:val="clear" w:color="auto" w:fill="BFBFBF"/>
          </w:tcPr>
          <w:p w14:paraId="56A33491" w14:textId="77777777" w:rsidR="003811F8" w:rsidRPr="00735ABA" w:rsidRDefault="003811F8" w:rsidP="00B11AE0">
            <w:pPr>
              <w:spacing w:after="200"/>
              <w:jc w:val="center"/>
              <w:rPr>
                <w:rFonts w:ascii="Calibri" w:eastAsia="Calibri" w:hAnsi="Calibri" w:cs="Arial"/>
                <w:b/>
                <w:bCs/>
                <w:sz w:val="18"/>
                <w:szCs w:val="18"/>
              </w:rPr>
            </w:pPr>
          </w:p>
        </w:tc>
        <w:tc>
          <w:tcPr>
            <w:tcW w:w="828" w:type="dxa"/>
            <w:tcBorders>
              <w:top w:val="nil"/>
              <w:left w:val="nil"/>
              <w:bottom w:val="single" w:sz="4" w:space="0" w:color="auto"/>
              <w:right w:val="nil"/>
            </w:tcBorders>
            <w:shd w:val="clear" w:color="auto" w:fill="BFBFBF"/>
          </w:tcPr>
          <w:p w14:paraId="4E2490CB"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12</w:t>
            </w:r>
          </w:p>
        </w:tc>
        <w:tc>
          <w:tcPr>
            <w:tcW w:w="873" w:type="dxa"/>
            <w:tcBorders>
              <w:top w:val="nil"/>
              <w:left w:val="nil"/>
              <w:bottom w:val="single" w:sz="4" w:space="0" w:color="auto"/>
              <w:right w:val="nil"/>
            </w:tcBorders>
            <w:shd w:val="clear" w:color="auto" w:fill="BFBFBF"/>
          </w:tcPr>
          <w:p w14:paraId="6BD387B9"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2x0.2</w:t>
            </w:r>
          </w:p>
        </w:tc>
        <w:tc>
          <w:tcPr>
            <w:tcW w:w="1076" w:type="dxa"/>
            <w:tcBorders>
              <w:top w:val="nil"/>
              <w:left w:val="nil"/>
              <w:bottom w:val="single" w:sz="4" w:space="0" w:color="auto"/>
              <w:right w:val="nil"/>
            </w:tcBorders>
            <w:shd w:val="clear" w:color="auto" w:fill="BFBFBF"/>
          </w:tcPr>
          <w:p w14:paraId="2D0AA517"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24 h</w:t>
            </w:r>
          </w:p>
        </w:tc>
        <w:tc>
          <w:tcPr>
            <w:tcW w:w="1111" w:type="dxa"/>
            <w:tcBorders>
              <w:top w:val="nil"/>
              <w:left w:val="nil"/>
              <w:bottom w:val="single" w:sz="4" w:space="0" w:color="auto"/>
              <w:right w:val="nil"/>
            </w:tcBorders>
            <w:shd w:val="clear" w:color="auto" w:fill="BFBFBF"/>
          </w:tcPr>
          <w:p w14:paraId="0C6C37F4"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NM</w:t>
            </w:r>
          </w:p>
        </w:tc>
        <w:tc>
          <w:tcPr>
            <w:tcW w:w="1215" w:type="dxa"/>
            <w:gridSpan w:val="3"/>
            <w:tcBorders>
              <w:top w:val="nil"/>
              <w:left w:val="nil"/>
              <w:bottom w:val="single" w:sz="4" w:space="0" w:color="auto"/>
              <w:right w:val="nil"/>
            </w:tcBorders>
            <w:shd w:val="clear" w:color="auto" w:fill="BFBFBF"/>
          </w:tcPr>
          <w:p w14:paraId="2EAB41E4"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Free T4: 290*        Free T3: 340*</w:t>
            </w:r>
          </w:p>
        </w:tc>
        <w:tc>
          <w:tcPr>
            <w:tcW w:w="940" w:type="dxa"/>
            <w:gridSpan w:val="2"/>
            <w:tcBorders>
              <w:top w:val="nil"/>
              <w:left w:val="nil"/>
              <w:bottom w:val="single" w:sz="4" w:space="0" w:color="auto"/>
              <w:right w:val="nil"/>
            </w:tcBorders>
            <w:shd w:val="clear" w:color="auto" w:fill="BFBFBF"/>
          </w:tcPr>
          <w:p w14:paraId="7B0B8EC8"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44</w:t>
            </w:r>
          </w:p>
        </w:tc>
        <w:tc>
          <w:tcPr>
            <w:tcW w:w="805" w:type="dxa"/>
            <w:gridSpan w:val="2"/>
            <w:tcBorders>
              <w:top w:val="nil"/>
              <w:left w:val="nil"/>
              <w:bottom w:val="single" w:sz="4" w:space="0" w:color="auto"/>
              <w:right w:val="nil"/>
            </w:tcBorders>
            <w:shd w:val="clear" w:color="auto" w:fill="BFBFBF"/>
          </w:tcPr>
          <w:p w14:paraId="05718F63" w14:textId="402AA65B" w:rsidR="003811F8" w:rsidRPr="00735ABA" w:rsidRDefault="003811F8" w:rsidP="003811F8">
            <w:pPr>
              <w:spacing w:after="200"/>
              <w:jc w:val="center"/>
              <w:rPr>
                <w:rFonts w:ascii="Calibri" w:eastAsia="Calibri" w:hAnsi="Calibri" w:cs="Arial"/>
                <w:bCs/>
                <w:sz w:val="18"/>
                <w:szCs w:val="18"/>
              </w:rPr>
            </w:pPr>
            <w:r w:rsidRPr="00735ABA">
              <w:rPr>
                <w:rFonts w:ascii="Calibri" w:eastAsia="Calibri" w:hAnsi="Calibri" w:cs="Arial"/>
                <w:bCs/>
                <w:sz w:val="18"/>
                <w:szCs w:val="18"/>
              </w:rPr>
              <w:t>22</w:t>
            </w:r>
            <w:r>
              <w:rPr>
                <w:rFonts w:ascii="Calibri" w:eastAsia="Calibri" w:hAnsi="Calibri" w:cs="Arial"/>
                <w:bCs/>
                <w:sz w:val="18"/>
                <w:szCs w:val="18"/>
              </w:rPr>
              <w:t xml:space="preserve"> m</w:t>
            </w:r>
          </w:p>
        </w:tc>
        <w:tc>
          <w:tcPr>
            <w:tcW w:w="1561" w:type="dxa"/>
            <w:gridSpan w:val="2"/>
            <w:tcBorders>
              <w:top w:val="nil"/>
              <w:left w:val="nil"/>
              <w:bottom w:val="single" w:sz="4" w:space="0" w:color="auto"/>
              <w:right w:val="nil"/>
            </w:tcBorders>
            <w:shd w:val="clear" w:color="auto" w:fill="BFBFBF"/>
          </w:tcPr>
          <w:p w14:paraId="70967ED6"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US + CT</w:t>
            </w:r>
          </w:p>
        </w:tc>
        <w:tc>
          <w:tcPr>
            <w:tcW w:w="1516" w:type="dxa"/>
            <w:gridSpan w:val="2"/>
            <w:tcBorders>
              <w:top w:val="nil"/>
              <w:left w:val="nil"/>
              <w:bottom w:val="single" w:sz="4" w:space="0" w:color="auto"/>
              <w:right w:val="nil"/>
            </w:tcBorders>
            <w:shd w:val="clear" w:color="auto" w:fill="BFBFBF"/>
          </w:tcPr>
          <w:p w14:paraId="588CC895" w14:textId="77777777" w:rsidR="003811F8" w:rsidRPr="00735ABA" w:rsidRDefault="003811F8" w:rsidP="00B11AE0">
            <w:pPr>
              <w:spacing w:after="120"/>
              <w:jc w:val="center"/>
              <w:rPr>
                <w:rFonts w:ascii="Calibri" w:eastAsia="Calibri" w:hAnsi="Calibri" w:cs="Arial"/>
                <w:bCs/>
                <w:sz w:val="18"/>
                <w:szCs w:val="18"/>
              </w:rPr>
            </w:pPr>
          </w:p>
        </w:tc>
      </w:tr>
      <w:tr w:rsidR="003811F8" w:rsidRPr="00735ABA" w14:paraId="59209E9A" w14:textId="77777777" w:rsidTr="0038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single" w:sz="4" w:space="0" w:color="auto"/>
              <w:left w:val="nil"/>
              <w:bottom w:val="single" w:sz="4" w:space="0" w:color="auto"/>
              <w:right w:val="nil"/>
            </w:tcBorders>
          </w:tcPr>
          <w:p w14:paraId="6108B809" w14:textId="27C89DD7" w:rsidR="003811F8" w:rsidRPr="00735ABA" w:rsidRDefault="003811F8" w:rsidP="00B11AE0">
            <w:pPr>
              <w:spacing w:after="200"/>
              <w:jc w:val="center"/>
              <w:rPr>
                <w:rFonts w:ascii="Calibri" w:eastAsia="Calibri" w:hAnsi="Calibri" w:cs="Arial"/>
                <w:b/>
                <w:bCs/>
                <w:sz w:val="18"/>
                <w:szCs w:val="18"/>
              </w:rPr>
            </w:pPr>
            <w:r w:rsidRPr="00735ABA">
              <w:rPr>
                <w:rFonts w:ascii="Calibri" w:eastAsia="Calibri" w:hAnsi="Calibri" w:cs="Arial"/>
                <w:b/>
                <w:bCs/>
                <w:sz w:val="18"/>
                <w:szCs w:val="18"/>
              </w:rPr>
              <w:t>Cohen et al. (</w:t>
            </w:r>
            <w:r w:rsidR="007C69EF">
              <w:rPr>
                <w:rFonts w:ascii="Calibri" w:eastAsia="Calibri" w:hAnsi="Calibri" w:cs="Arial"/>
                <w:b/>
                <w:bCs/>
                <w:sz w:val="18"/>
                <w:szCs w:val="18"/>
              </w:rPr>
              <w:t>132</w:t>
            </w:r>
            <w:r w:rsidRPr="00735ABA">
              <w:rPr>
                <w:rFonts w:ascii="Calibri" w:eastAsia="Calibri" w:hAnsi="Calibri" w:cs="Arial"/>
                <w:b/>
                <w:bCs/>
                <w:sz w:val="18"/>
                <w:szCs w:val="18"/>
              </w:rPr>
              <w:t>)</w:t>
            </w:r>
          </w:p>
        </w:tc>
        <w:tc>
          <w:tcPr>
            <w:tcW w:w="828" w:type="dxa"/>
            <w:tcBorders>
              <w:top w:val="single" w:sz="4" w:space="0" w:color="auto"/>
              <w:left w:val="nil"/>
              <w:bottom w:val="single" w:sz="4" w:space="0" w:color="auto"/>
              <w:right w:val="nil"/>
            </w:tcBorders>
          </w:tcPr>
          <w:p w14:paraId="26891D8B"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17</w:t>
            </w:r>
          </w:p>
        </w:tc>
        <w:tc>
          <w:tcPr>
            <w:tcW w:w="873" w:type="dxa"/>
            <w:tcBorders>
              <w:top w:val="single" w:sz="4" w:space="0" w:color="auto"/>
              <w:left w:val="nil"/>
              <w:bottom w:val="single" w:sz="4" w:space="0" w:color="auto"/>
              <w:right w:val="nil"/>
            </w:tcBorders>
          </w:tcPr>
          <w:p w14:paraId="753F2307"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0.03</w:t>
            </w:r>
          </w:p>
        </w:tc>
        <w:tc>
          <w:tcPr>
            <w:tcW w:w="1076" w:type="dxa"/>
            <w:tcBorders>
              <w:top w:val="single" w:sz="4" w:space="0" w:color="auto"/>
              <w:left w:val="nil"/>
              <w:bottom w:val="single" w:sz="4" w:space="0" w:color="auto"/>
              <w:right w:val="nil"/>
            </w:tcBorders>
          </w:tcPr>
          <w:p w14:paraId="122FB2F7"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24 h</w:t>
            </w:r>
          </w:p>
        </w:tc>
        <w:tc>
          <w:tcPr>
            <w:tcW w:w="1111" w:type="dxa"/>
            <w:tcBorders>
              <w:top w:val="single" w:sz="4" w:space="0" w:color="auto"/>
              <w:left w:val="nil"/>
              <w:bottom w:val="single" w:sz="4" w:space="0" w:color="auto"/>
              <w:right w:val="nil"/>
            </w:tcBorders>
          </w:tcPr>
          <w:p w14:paraId="4AF1651A"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
                <w:bCs/>
                <w:sz w:val="18"/>
                <w:szCs w:val="18"/>
              </w:rPr>
              <w:sym w:font="Symbol" w:char="F07E"/>
            </w:r>
            <w:r w:rsidRPr="00735ABA">
              <w:rPr>
                <w:rFonts w:ascii="Calibri" w:eastAsia="Calibri" w:hAnsi="Calibri" w:cs="Arial"/>
                <w:bCs/>
                <w:sz w:val="18"/>
                <w:szCs w:val="18"/>
              </w:rPr>
              <w:t>30</w:t>
            </w:r>
          </w:p>
        </w:tc>
        <w:tc>
          <w:tcPr>
            <w:tcW w:w="1215" w:type="dxa"/>
            <w:gridSpan w:val="3"/>
            <w:tcBorders>
              <w:top w:val="single" w:sz="4" w:space="0" w:color="auto"/>
              <w:left w:val="nil"/>
              <w:bottom w:val="single" w:sz="4" w:space="0" w:color="auto"/>
              <w:right w:val="nil"/>
            </w:tcBorders>
          </w:tcPr>
          <w:p w14:paraId="29C07934" w14:textId="77777777" w:rsidR="003811F8" w:rsidRPr="008250DA" w:rsidRDefault="003811F8" w:rsidP="00B11AE0">
            <w:pPr>
              <w:spacing w:after="200"/>
              <w:jc w:val="center"/>
              <w:rPr>
                <w:rFonts w:ascii="Calibri" w:eastAsia="Calibri" w:hAnsi="Calibri" w:cs="Arial"/>
                <w:bCs/>
                <w:sz w:val="18"/>
                <w:szCs w:val="18"/>
              </w:rPr>
            </w:pPr>
            <w:r w:rsidRPr="008250DA">
              <w:rPr>
                <w:rFonts w:ascii="Calibri" w:eastAsia="Calibri" w:hAnsi="Calibri" w:cs="Arial"/>
                <w:bCs/>
                <w:sz w:val="18"/>
                <w:szCs w:val="18"/>
              </w:rPr>
              <w:t>Free T4: 46 T3: 33</w:t>
            </w:r>
          </w:p>
        </w:tc>
        <w:tc>
          <w:tcPr>
            <w:tcW w:w="940" w:type="dxa"/>
            <w:gridSpan w:val="2"/>
            <w:tcBorders>
              <w:top w:val="single" w:sz="4" w:space="0" w:color="auto"/>
              <w:left w:val="nil"/>
              <w:bottom w:val="single" w:sz="4" w:space="0" w:color="auto"/>
              <w:right w:val="nil"/>
            </w:tcBorders>
          </w:tcPr>
          <w:p w14:paraId="57F682CD" w14:textId="77777777" w:rsidR="003811F8" w:rsidRPr="00E82DBF" w:rsidRDefault="003811F8" w:rsidP="00B11AE0">
            <w:pPr>
              <w:spacing w:after="200"/>
              <w:jc w:val="center"/>
              <w:rPr>
                <w:rFonts w:ascii="Calibri" w:eastAsia="Calibri" w:hAnsi="Calibri" w:cs="Arial"/>
                <w:bCs/>
                <w:sz w:val="18"/>
                <w:szCs w:val="18"/>
              </w:rPr>
            </w:pPr>
            <w:r w:rsidRPr="00E82DBF">
              <w:rPr>
                <w:rFonts w:ascii="Calibri" w:eastAsia="Calibri" w:hAnsi="Calibri" w:cs="Arial"/>
                <w:bCs/>
                <w:sz w:val="18"/>
                <w:szCs w:val="18"/>
              </w:rPr>
              <w:t>34</w:t>
            </w:r>
          </w:p>
        </w:tc>
        <w:tc>
          <w:tcPr>
            <w:tcW w:w="805" w:type="dxa"/>
            <w:gridSpan w:val="2"/>
            <w:tcBorders>
              <w:top w:val="single" w:sz="4" w:space="0" w:color="auto"/>
              <w:left w:val="nil"/>
              <w:bottom w:val="single" w:sz="4" w:space="0" w:color="auto"/>
              <w:right w:val="nil"/>
            </w:tcBorders>
          </w:tcPr>
          <w:p w14:paraId="2704D42E" w14:textId="1A7748C6" w:rsidR="003811F8" w:rsidRPr="00A72062" w:rsidRDefault="003811F8" w:rsidP="003811F8">
            <w:pPr>
              <w:spacing w:after="200"/>
              <w:jc w:val="center"/>
              <w:rPr>
                <w:rFonts w:ascii="Calibri" w:eastAsia="Calibri" w:hAnsi="Calibri" w:cs="Arial"/>
                <w:bCs/>
                <w:sz w:val="18"/>
                <w:szCs w:val="18"/>
              </w:rPr>
            </w:pPr>
            <w:r w:rsidRPr="00A72062">
              <w:rPr>
                <w:rFonts w:ascii="Calibri" w:eastAsia="Calibri" w:hAnsi="Calibri" w:cs="Arial"/>
                <w:bCs/>
                <w:sz w:val="18"/>
                <w:szCs w:val="18"/>
              </w:rPr>
              <w:t xml:space="preserve">6 </w:t>
            </w:r>
            <w:r>
              <w:rPr>
                <w:rFonts w:ascii="Calibri" w:eastAsia="Calibri" w:hAnsi="Calibri" w:cs="Arial"/>
                <w:bCs/>
                <w:sz w:val="18"/>
                <w:szCs w:val="18"/>
              </w:rPr>
              <w:t xml:space="preserve">m </w:t>
            </w:r>
          </w:p>
        </w:tc>
        <w:tc>
          <w:tcPr>
            <w:tcW w:w="1561" w:type="dxa"/>
            <w:gridSpan w:val="2"/>
            <w:tcBorders>
              <w:top w:val="single" w:sz="4" w:space="0" w:color="auto"/>
              <w:left w:val="nil"/>
              <w:bottom w:val="single" w:sz="4" w:space="0" w:color="auto"/>
              <w:right w:val="nil"/>
            </w:tcBorders>
          </w:tcPr>
          <w:p w14:paraId="7F4CBD27" w14:textId="77777777" w:rsidR="003811F8" w:rsidRPr="00A72062" w:rsidRDefault="003811F8" w:rsidP="00B11AE0">
            <w:pPr>
              <w:spacing w:after="200"/>
              <w:jc w:val="center"/>
              <w:rPr>
                <w:rFonts w:ascii="Calibri" w:eastAsia="Calibri" w:hAnsi="Calibri" w:cs="Arial"/>
                <w:bCs/>
                <w:sz w:val="18"/>
                <w:szCs w:val="18"/>
              </w:rPr>
            </w:pPr>
            <w:r w:rsidRPr="00A72062">
              <w:rPr>
                <w:rFonts w:ascii="Calibri" w:eastAsia="Calibri" w:hAnsi="Calibri" w:cs="Arial"/>
                <w:bCs/>
                <w:sz w:val="18"/>
                <w:szCs w:val="18"/>
              </w:rPr>
              <w:t>CT</w:t>
            </w:r>
          </w:p>
        </w:tc>
        <w:tc>
          <w:tcPr>
            <w:tcW w:w="1516" w:type="dxa"/>
            <w:gridSpan w:val="2"/>
            <w:tcBorders>
              <w:top w:val="single" w:sz="4" w:space="0" w:color="auto"/>
              <w:left w:val="nil"/>
              <w:bottom w:val="single" w:sz="4" w:space="0" w:color="auto"/>
              <w:right w:val="nil"/>
            </w:tcBorders>
          </w:tcPr>
          <w:p w14:paraId="3E017635" w14:textId="77777777" w:rsidR="003811F8" w:rsidRPr="00A72062" w:rsidRDefault="003811F8" w:rsidP="00B11AE0">
            <w:pPr>
              <w:spacing w:after="120"/>
              <w:jc w:val="center"/>
              <w:rPr>
                <w:rFonts w:ascii="Calibri" w:eastAsia="Calibri" w:hAnsi="Calibri" w:cs="Arial"/>
                <w:bCs/>
                <w:sz w:val="18"/>
                <w:szCs w:val="18"/>
              </w:rPr>
            </w:pPr>
            <w:r w:rsidRPr="00A72062">
              <w:rPr>
                <w:rFonts w:ascii="Calibri" w:eastAsia="Calibri" w:hAnsi="Calibri" w:cs="Arial"/>
                <w:bCs/>
                <w:sz w:val="18"/>
                <w:szCs w:val="18"/>
              </w:rPr>
              <w:t>24 h RAIU increased from 26% to 43%; Hypothyroidism: 18%; hyperthyroidism: 18%</w:t>
            </w:r>
          </w:p>
        </w:tc>
      </w:tr>
      <w:tr w:rsidR="003811F8" w:rsidRPr="00735ABA" w14:paraId="1CB31368" w14:textId="77777777" w:rsidTr="0038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single" w:sz="4" w:space="0" w:color="auto"/>
              <w:left w:val="nil"/>
              <w:bottom w:val="nil"/>
              <w:right w:val="nil"/>
            </w:tcBorders>
            <w:shd w:val="clear" w:color="auto" w:fill="BFBFBF"/>
          </w:tcPr>
          <w:p w14:paraId="5371617F" w14:textId="565C1613" w:rsidR="003811F8" w:rsidRPr="00735ABA" w:rsidRDefault="003811F8" w:rsidP="00B11AE0">
            <w:pPr>
              <w:spacing w:after="200"/>
              <w:jc w:val="center"/>
              <w:rPr>
                <w:rFonts w:ascii="Calibri" w:eastAsia="Calibri" w:hAnsi="Calibri" w:cs="Arial"/>
                <w:b/>
                <w:bCs/>
                <w:sz w:val="18"/>
                <w:szCs w:val="18"/>
              </w:rPr>
            </w:pPr>
            <w:r w:rsidRPr="00735ABA">
              <w:rPr>
                <w:rFonts w:ascii="Calibri" w:eastAsia="Calibri" w:hAnsi="Calibri" w:cs="Arial"/>
                <w:b/>
                <w:bCs/>
                <w:sz w:val="18"/>
                <w:szCs w:val="18"/>
              </w:rPr>
              <w:t xml:space="preserve">Nielsen et </w:t>
            </w:r>
            <w:r w:rsidRPr="00735ABA">
              <w:rPr>
                <w:rFonts w:ascii="Calibri" w:eastAsia="Calibri" w:hAnsi="Calibri" w:cs="Arial"/>
                <w:b/>
                <w:bCs/>
                <w:sz w:val="18"/>
                <w:szCs w:val="18"/>
              </w:rPr>
              <w:lastRenderedPageBreak/>
              <w:t>al. (</w:t>
            </w:r>
            <w:r w:rsidR="007C69EF">
              <w:rPr>
                <w:rFonts w:ascii="Calibri" w:eastAsia="Calibri" w:hAnsi="Calibri" w:cs="Arial"/>
                <w:b/>
                <w:bCs/>
                <w:sz w:val="18"/>
                <w:szCs w:val="18"/>
              </w:rPr>
              <w:t>145</w:t>
            </w:r>
            <w:r w:rsidRPr="00735ABA">
              <w:rPr>
                <w:rFonts w:ascii="Calibri" w:eastAsia="Calibri" w:hAnsi="Calibri" w:cs="Arial"/>
                <w:b/>
                <w:bCs/>
                <w:sz w:val="18"/>
                <w:szCs w:val="18"/>
              </w:rPr>
              <w:t>)</w:t>
            </w:r>
          </w:p>
        </w:tc>
        <w:tc>
          <w:tcPr>
            <w:tcW w:w="828" w:type="dxa"/>
            <w:tcBorders>
              <w:top w:val="single" w:sz="4" w:space="0" w:color="auto"/>
              <w:left w:val="nil"/>
              <w:bottom w:val="nil"/>
              <w:right w:val="nil"/>
            </w:tcBorders>
            <w:shd w:val="clear" w:color="auto" w:fill="BFBFBF"/>
          </w:tcPr>
          <w:p w14:paraId="3FB62006"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lastRenderedPageBreak/>
              <w:t>29</w:t>
            </w:r>
          </w:p>
        </w:tc>
        <w:tc>
          <w:tcPr>
            <w:tcW w:w="873" w:type="dxa"/>
            <w:tcBorders>
              <w:top w:val="single" w:sz="4" w:space="0" w:color="auto"/>
              <w:left w:val="nil"/>
              <w:bottom w:val="nil"/>
              <w:right w:val="nil"/>
            </w:tcBorders>
            <w:shd w:val="clear" w:color="auto" w:fill="BFBFBF"/>
          </w:tcPr>
          <w:p w14:paraId="48F76CAE"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none</w:t>
            </w:r>
          </w:p>
        </w:tc>
        <w:tc>
          <w:tcPr>
            <w:tcW w:w="1076" w:type="dxa"/>
            <w:tcBorders>
              <w:top w:val="single" w:sz="4" w:space="0" w:color="auto"/>
              <w:left w:val="nil"/>
              <w:bottom w:val="nil"/>
              <w:right w:val="nil"/>
            </w:tcBorders>
            <w:shd w:val="clear" w:color="auto" w:fill="BFBFBF"/>
          </w:tcPr>
          <w:p w14:paraId="57113BA2" w14:textId="77777777" w:rsidR="003811F8" w:rsidRPr="00735ABA" w:rsidRDefault="003811F8" w:rsidP="00B11AE0">
            <w:pPr>
              <w:spacing w:after="200"/>
              <w:jc w:val="center"/>
              <w:rPr>
                <w:rFonts w:ascii="Calibri" w:eastAsia="Calibri" w:hAnsi="Calibri" w:cs="Arial"/>
                <w:bCs/>
                <w:sz w:val="18"/>
                <w:szCs w:val="18"/>
              </w:rPr>
            </w:pPr>
          </w:p>
        </w:tc>
        <w:tc>
          <w:tcPr>
            <w:tcW w:w="1111" w:type="dxa"/>
            <w:tcBorders>
              <w:top w:val="single" w:sz="4" w:space="0" w:color="auto"/>
              <w:left w:val="nil"/>
              <w:bottom w:val="nil"/>
              <w:right w:val="nil"/>
            </w:tcBorders>
            <w:shd w:val="clear" w:color="auto" w:fill="BFBFBF"/>
          </w:tcPr>
          <w:p w14:paraId="4B298952"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14 (median)</w:t>
            </w:r>
          </w:p>
        </w:tc>
        <w:tc>
          <w:tcPr>
            <w:tcW w:w="1215" w:type="dxa"/>
            <w:gridSpan w:val="3"/>
            <w:tcBorders>
              <w:top w:val="single" w:sz="4" w:space="0" w:color="auto"/>
              <w:left w:val="nil"/>
              <w:bottom w:val="nil"/>
              <w:right w:val="nil"/>
            </w:tcBorders>
            <w:shd w:val="clear" w:color="auto" w:fill="BFBFBF"/>
          </w:tcPr>
          <w:p w14:paraId="1385F5F8"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NM</w:t>
            </w:r>
          </w:p>
        </w:tc>
        <w:tc>
          <w:tcPr>
            <w:tcW w:w="940" w:type="dxa"/>
            <w:gridSpan w:val="2"/>
            <w:tcBorders>
              <w:top w:val="single" w:sz="4" w:space="0" w:color="auto"/>
              <w:left w:val="nil"/>
              <w:bottom w:val="nil"/>
              <w:right w:val="nil"/>
            </w:tcBorders>
            <w:shd w:val="clear" w:color="auto" w:fill="BFBFBF"/>
          </w:tcPr>
          <w:p w14:paraId="1539E325"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46</w:t>
            </w:r>
          </w:p>
        </w:tc>
        <w:tc>
          <w:tcPr>
            <w:tcW w:w="805" w:type="dxa"/>
            <w:gridSpan w:val="2"/>
            <w:tcBorders>
              <w:top w:val="single" w:sz="4" w:space="0" w:color="auto"/>
              <w:left w:val="nil"/>
              <w:bottom w:val="nil"/>
              <w:right w:val="nil"/>
            </w:tcBorders>
            <w:shd w:val="clear" w:color="auto" w:fill="BFBFBF"/>
          </w:tcPr>
          <w:p w14:paraId="68CBB0D2"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1 year</w:t>
            </w:r>
          </w:p>
        </w:tc>
        <w:tc>
          <w:tcPr>
            <w:tcW w:w="1561" w:type="dxa"/>
            <w:gridSpan w:val="2"/>
            <w:tcBorders>
              <w:top w:val="single" w:sz="4" w:space="0" w:color="auto"/>
              <w:left w:val="nil"/>
              <w:bottom w:val="nil"/>
              <w:right w:val="nil"/>
            </w:tcBorders>
            <w:shd w:val="clear" w:color="auto" w:fill="BFBFBF"/>
          </w:tcPr>
          <w:p w14:paraId="694B52D6"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US</w:t>
            </w:r>
          </w:p>
        </w:tc>
        <w:tc>
          <w:tcPr>
            <w:tcW w:w="1516" w:type="dxa"/>
            <w:gridSpan w:val="2"/>
            <w:tcBorders>
              <w:top w:val="single" w:sz="4" w:space="0" w:color="auto"/>
              <w:left w:val="nil"/>
              <w:bottom w:val="nil"/>
              <w:right w:val="nil"/>
            </w:tcBorders>
            <w:shd w:val="clear" w:color="auto" w:fill="BFBFBF"/>
          </w:tcPr>
          <w:p w14:paraId="09B5C0D3"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vertAlign w:val="superscript"/>
              </w:rPr>
              <w:t>131</w:t>
            </w:r>
            <w:r w:rsidRPr="00735ABA">
              <w:rPr>
                <w:rFonts w:ascii="Calibri" w:eastAsia="Calibri" w:hAnsi="Calibri" w:cs="Arial"/>
                <w:bCs/>
                <w:sz w:val="18"/>
                <w:szCs w:val="18"/>
              </w:rPr>
              <w:t xml:space="preserve">I: 24 h RAIU decreased from </w:t>
            </w:r>
            <w:r w:rsidRPr="00735ABA">
              <w:rPr>
                <w:rFonts w:ascii="Calibri" w:eastAsia="Calibri" w:hAnsi="Calibri" w:cs="Arial"/>
                <w:bCs/>
                <w:sz w:val="18"/>
                <w:szCs w:val="18"/>
              </w:rPr>
              <w:lastRenderedPageBreak/>
              <w:t>32 to 29; Hypothyroidism: 11%; hyperthyroidism: 21%</w:t>
            </w:r>
          </w:p>
        </w:tc>
      </w:tr>
      <w:tr w:rsidR="003811F8" w:rsidRPr="00735ABA" w14:paraId="06C6D563" w14:textId="77777777" w:rsidTr="0038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nil"/>
              <w:left w:val="nil"/>
              <w:bottom w:val="single" w:sz="4" w:space="0" w:color="auto"/>
              <w:right w:val="nil"/>
            </w:tcBorders>
            <w:shd w:val="clear" w:color="auto" w:fill="BFBFBF"/>
          </w:tcPr>
          <w:p w14:paraId="1CFC2B77" w14:textId="77777777" w:rsidR="003811F8" w:rsidRPr="00735ABA" w:rsidRDefault="003811F8" w:rsidP="00B11AE0">
            <w:pPr>
              <w:spacing w:after="200"/>
              <w:jc w:val="center"/>
              <w:rPr>
                <w:rFonts w:ascii="Calibri" w:eastAsia="Calibri" w:hAnsi="Calibri" w:cs="Arial"/>
                <w:b/>
                <w:bCs/>
                <w:sz w:val="18"/>
                <w:szCs w:val="18"/>
              </w:rPr>
            </w:pPr>
          </w:p>
        </w:tc>
        <w:tc>
          <w:tcPr>
            <w:tcW w:w="828" w:type="dxa"/>
            <w:tcBorders>
              <w:top w:val="nil"/>
              <w:left w:val="nil"/>
              <w:bottom w:val="single" w:sz="4" w:space="0" w:color="auto"/>
              <w:right w:val="nil"/>
            </w:tcBorders>
            <w:shd w:val="clear" w:color="auto" w:fill="BFBFBF"/>
          </w:tcPr>
          <w:p w14:paraId="111C2DEE"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28</w:t>
            </w:r>
          </w:p>
        </w:tc>
        <w:tc>
          <w:tcPr>
            <w:tcW w:w="873" w:type="dxa"/>
            <w:tcBorders>
              <w:top w:val="nil"/>
              <w:left w:val="nil"/>
              <w:bottom w:val="single" w:sz="4" w:space="0" w:color="auto"/>
              <w:right w:val="nil"/>
            </w:tcBorders>
            <w:shd w:val="clear" w:color="auto" w:fill="BFBFBF"/>
          </w:tcPr>
          <w:p w14:paraId="011AB1B2"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0.3</w:t>
            </w:r>
          </w:p>
        </w:tc>
        <w:tc>
          <w:tcPr>
            <w:tcW w:w="1076" w:type="dxa"/>
            <w:tcBorders>
              <w:top w:val="nil"/>
              <w:left w:val="nil"/>
              <w:bottom w:val="single" w:sz="4" w:space="0" w:color="auto"/>
              <w:right w:val="nil"/>
            </w:tcBorders>
            <w:shd w:val="clear" w:color="auto" w:fill="BFBFBF"/>
          </w:tcPr>
          <w:p w14:paraId="781FAFE9"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24 h</w:t>
            </w:r>
          </w:p>
        </w:tc>
        <w:tc>
          <w:tcPr>
            <w:tcW w:w="1111" w:type="dxa"/>
            <w:tcBorders>
              <w:top w:val="nil"/>
              <w:left w:val="nil"/>
              <w:bottom w:val="single" w:sz="4" w:space="0" w:color="auto"/>
              <w:right w:val="nil"/>
            </w:tcBorders>
            <w:shd w:val="clear" w:color="auto" w:fill="BFBFBF"/>
          </w:tcPr>
          <w:p w14:paraId="72AC6AF7"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
                <w:bCs/>
                <w:sz w:val="18"/>
                <w:szCs w:val="18"/>
              </w:rPr>
              <w:sym w:font="Symbol" w:char="F07E"/>
            </w:r>
            <w:r w:rsidRPr="00735ABA">
              <w:rPr>
                <w:rFonts w:ascii="Calibri" w:eastAsia="Calibri" w:hAnsi="Calibri" w:cs="Arial"/>
                <w:bCs/>
                <w:sz w:val="18"/>
                <w:szCs w:val="18"/>
              </w:rPr>
              <w:t>16 (median)</w:t>
            </w:r>
          </w:p>
        </w:tc>
        <w:tc>
          <w:tcPr>
            <w:tcW w:w="1215" w:type="dxa"/>
            <w:gridSpan w:val="3"/>
            <w:tcBorders>
              <w:top w:val="nil"/>
              <w:left w:val="nil"/>
              <w:bottom w:val="single" w:sz="4" w:space="0" w:color="auto"/>
              <w:right w:val="nil"/>
            </w:tcBorders>
            <w:shd w:val="clear" w:color="auto" w:fill="BFBFBF"/>
          </w:tcPr>
          <w:p w14:paraId="5B906BB5" w14:textId="77777777" w:rsidR="003811F8" w:rsidRPr="008250DA" w:rsidRDefault="003811F8" w:rsidP="00B11AE0">
            <w:pPr>
              <w:spacing w:after="200"/>
              <w:jc w:val="center"/>
              <w:rPr>
                <w:rFonts w:ascii="Calibri" w:eastAsia="Calibri" w:hAnsi="Calibri" w:cs="Arial"/>
                <w:bCs/>
                <w:sz w:val="18"/>
                <w:szCs w:val="18"/>
              </w:rPr>
            </w:pPr>
            <w:r w:rsidRPr="008250DA">
              <w:rPr>
                <w:rFonts w:ascii="Calibri" w:eastAsia="Calibri" w:hAnsi="Calibri" w:cs="Arial"/>
                <w:bCs/>
                <w:sz w:val="18"/>
                <w:szCs w:val="18"/>
              </w:rPr>
              <w:t>NM</w:t>
            </w:r>
          </w:p>
        </w:tc>
        <w:tc>
          <w:tcPr>
            <w:tcW w:w="940" w:type="dxa"/>
            <w:gridSpan w:val="2"/>
            <w:tcBorders>
              <w:top w:val="nil"/>
              <w:left w:val="nil"/>
              <w:bottom w:val="single" w:sz="4" w:space="0" w:color="auto"/>
              <w:right w:val="nil"/>
            </w:tcBorders>
            <w:shd w:val="clear" w:color="auto" w:fill="BFBFBF"/>
          </w:tcPr>
          <w:p w14:paraId="4E80E0D6" w14:textId="77777777" w:rsidR="003811F8" w:rsidRPr="00E82DBF" w:rsidRDefault="003811F8" w:rsidP="00B11AE0">
            <w:pPr>
              <w:spacing w:after="200"/>
              <w:jc w:val="center"/>
              <w:rPr>
                <w:rFonts w:ascii="Calibri" w:eastAsia="Calibri" w:hAnsi="Calibri" w:cs="Arial"/>
                <w:bCs/>
                <w:sz w:val="18"/>
                <w:szCs w:val="18"/>
              </w:rPr>
            </w:pPr>
            <w:r w:rsidRPr="00E82DBF">
              <w:rPr>
                <w:rFonts w:ascii="Calibri" w:eastAsia="Calibri" w:hAnsi="Calibri" w:cs="Arial"/>
                <w:bCs/>
                <w:sz w:val="18"/>
                <w:szCs w:val="18"/>
              </w:rPr>
              <w:t>62</w:t>
            </w:r>
          </w:p>
        </w:tc>
        <w:tc>
          <w:tcPr>
            <w:tcW w:w="805" w:type="dxa"/>
            <w:gridSpan w:val="2"/>
            <w:tcBorders>
              <w:top w:val="nil"/>
              <w:left w:val="nil"/>
              <w:bottom w:val="single" w:sz="4" w:space="0" w:color="auto"/>
              <w:right w:val="nil"/>
            </w:tcBorders>
            <w:shd w:val="clear" w:color="auto" w:fill="BFBFBF"/>
          </w:tcPr>
          <w:p w14:paraId="413E42AA" w14:textId="77777777" w:rsidR="003811F8" w:rsidRPr="00A72062" w:rsidRDefault="003811F8" w:rsidP="00B11AE0">
            <w:pPr>
              <w:spacing w:after="200"/>
              <w:jc w:val="center"/>
              <w:rPr>
                <w:rFonts w:ascii="Calibri" w:eastAsia="Calibri" w:hAnsi="Calibri" w:cs="Arial"/>
                <w:bCs/>
                <w:sz w:val="18"/>
                <w:szCs w:val="18"/>
              </w:rPr>
            </w:pPr>
          </w:p>
        </w:tc>
        <w:tc>
          <w:tcPr>
            <w:tcW w:w="1561" w:type="dxa"/>
            <w:gridSpan w:val="2"/>
            <w:tcBorders>
              <w:top w:val="nil"/>
              <w:left w:val="nil"/>
              <w:bottom w:val="single" w:sz="4" w:space="0" w:color="auto"/>
              <w:right w:val="nil"/>
            </w:tcBorders>
            <w:shd w:val="clear" w:color="auto" w:fill="BFBFBF"/>
          </w:tcPr>
          <w:p w14:paraId="0C905432" w14:textId="77777777" w:rsidR="003811F8" w:rsidRPr="00A72062" w:rsidRDefault="003811F8" w:rsidP="00B11AE0">
            <w:pPr>
              <w:spacing w:after="200"/>
              <w:jc w:val="center"/>
              <w:rPr>
                <w:rFonts w:ascii="Calibri" w:eastAsia="Calibri" w:hAnsi="Calibri" w:cs="Arial"/>
                <w:bCs/>
                <w:sz w:val="18"/>
                <w:szCs w:val="18"/>
              </w:rPr>
            </w:pPr>
          </w:p>
        </w:tc>
        <w:tc>
          <w:tcPr>
            <w:tcW w:w="1516" w:type="dxa"/>
            <w:gridSpan w:val="2"/>
            <w:tcBorders>
              <w:top w:val="nil"/>
              <w:left w:val="nil"/>
              <w:bottom w:val="single" w:sz="4" w:space="0" w:color="auto"/>
              <w:right w:val="nil"/>
            </w:tcBorders>
            <w:shd w:val="clear" w:color="auto" w:fill="BFBFBF"/>
          </w:tcPr>
          <w:p w14:paraId="17FAACE0" w14:textId="77777777" w:rsidR="003811F8" w:rsidRPr="00A72062" w:rsidRDefault="003811F8" w:rsidP="00B11AE0">
            <w:pPr>
              <w:spacing w:after="120"/>
              <w:jc w:val="center"/>
              <w:rPr>
                <w:rFonts w:ascii="Calibri" w:eastAsia="Calibri" w:hAnsi="Calibri" w:cs="Arial"/>
                <w:bCs/>
                <w:sz w:val="18"/>
                <w:szCs w:val="18"/>
              </w:rPr>
            </w:pPr>
            <w:r w:rsidRPr="00A72062">
              <w:rPr>
                <w:rFonts w:ascii="Calibri" w:eastAsia="Calibri" w:hAnsi="Calibri" w:cs="Arial"/>
                <w:bCs/>
                <w:sz w:val="18"/>
                <w:szCs w:val="18"/>
                <w:vertAlign w:val="superscript"/>
              </w:rPr>
              <w:t>131</w:t>
            </w:r>
            <w:r w:rsidRPr="00A72062">
              <w:rPr>
                <w:rFonts w:ascii="Calibri" w:eastAsia="Calibri" w:hAnsi="Calibri" w:cs="Arial"/>
                <w:bCs/>
                <w:sz w:val="18"/>
                <w:szCs w:val="18"/>
              </w:rPr>
              <w:t>I + rhTSH: 24 h RAIU increased from 34 to 47; Hypothyroidism: 62%; hyperthyroidism: 36%</w:t>
            </w:r>
          </w:p>
        </w:tc>
      </w:tr>
      <w:tr w:rsidR="003811F8" w:rsidRPr="00735ABA" w14:paraId="259799E4" w14:textId="77777777" w:rsidTr="0038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single" w:sz="4" w:space="0" w:color="auto"/>
              <w:left w:val="nil"/>
              <w:bottom w:val="nil"/>
              <w:right w:val="nil"/>
            </w:tcBorders>
            <w:shd w:val="clear" w:color="auto" w:fill="FFFFFF"/>
          </w:tcPr>
          <w:p w14:paraId="14F4D96F" w14:textId="25C7AFFE" w:rsidR="003811F8" w:rsidRPr="00735ABA" w:rsidRDefault="003811F8" w:rsidP="00B11AE0">
            <w:pPr>
              <w:spacing w:after="200"/>
              <w:jc w:val="center"/>
              <w:rPr>
                <w:rFonts w:ascii="Calibri" w:eastAsia="Calibri" w:hAnsi="Calibri" w:cs="Arial"/>
                <w:b/>
                <w:bCs/>
                <w:sz w:val="18"/>
                <w:szCs w:val="18"/>
              </w:rPr>
            </w:pPr>
            <w:r w:rsidRPr="00735ABA">
              <w:rPr>
                <w:rFonts w:ascii="Calibri" w:eastAsia="Calibri" w:hAnsi="Calibri" w:cs="Arial"/>
                <w:b/>
                <w:bCs/>
                <w:sz w:val="18"/>
                <w:szCs w:val="18"/>
              </w:rPr>
              <w:t>Bonnema et al. (</w:t>
            </w:r>
            <w:r w:rsidR="007C69EF">
              <w:rPr>
                <w:rFonts w:ascii="Calibri" w:eastAsia="Calibri" w:hAnsi="Calibri" w:cs="Arial"/>
                <w:b/>
                <w:bCs/>
                <w:sz w:val="18"/>
                <w:szCs w:val="18"/>
              </w:rPr>
              <w:t>141</w:t>
            </w:r>
            <w:r w:rsidRPr="00735ABA">
              <w:rPr>
                <w:rFonts w:ascii="Calibri" w:eastAsia="Calibri" w:hAnsi="Calibri" w:cs="Arial"/>
                <w:b/>
                <w:bCs/>
                <w:sz w:val="18"/>
                <w:szCs w:val="18"/>
              </w:rPr>
              <w:t>)</w:t>
            </w:r>
          </w:p>
        </w:tc>
        <w:tc>
          <w:tcPr>
            <w:tcW w:w="828" w:type="dxa"/>
            <w:tcBorders>
              <w:top w:val="single" w:sz="4" w:space="0" w:color="auto"/>
              <w:left w:val="nil"/>
              <w:bottom w:val="nil"/>
              <w:right w:val="nil"/>
            </w:tcBorders>
            <w:shd w:val="clear" w:color="auto" w:fill="FFFFFF"/>
          </w:tcPr>
          <w:p w14:paraId="10464015"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15</w:t>
            </w:r>
          </w:p>
        </w:tc>
        <w:tc>
          <w:tcPr>
            <w:tcW w:w="873" w:type="dxa"/>
            <w:tcBorders>
              <w:top w:val="single" w:sz="4" w:space="0" w:color="auto"/>
              <w:left w:val="nil"/>
              <w:bottom w:val="nil"/>
              <w:right w:val="nil"/>
            </w:tcBorders>
            <w:shd w:val="clear" w:color="auto" w:fill="FFFFFF"/>
          </w:tcPr>
          <w:p w14:paraId="7215276A"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none</w:t>
            </w:r>
          </w:p>
        </w:tc>
        <w:tc>
          <w:tcPr>
            <w:tcW w:w="1076" w:type="dxa"/>
            <w:tcBorders>
              <w:top w:val="single" w:sz="4" w:space="0" w:color="auto"/>
              <w:left w:val="nil"/>
              <w:bottom w:val="nil"/>
              <w:right w:val="nil"/>
            </w:tcBorders>
            <w:shd w:val="clear" w:color="auto" w:fill="FFFFFF"/>
          </w:tcPr>
          <w:p w14:paraId="3095F9C8"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24 h</w:t>
            </w:r>
          </w:p>
        </w:tc>
        <w:tc>
          <w:tcPr>
            <w:tcW w:w="1111" w:type="dxa"/>
            <w:tcBorders>
              <w:top w:val="single" w:sz="4" w:space="0" w:color="auto"/>
              <w:left w:val="nil"/>
              <w:bottom w:val="nil"/>
              <w:right w:val="nil"/>
            </w:tcBorders>
            <w:shd w:val="clear" w:color="auto" w:fill="FFFFFF"/>
          </w:tcPr>
          <w:p w14:paraId="049C3345"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
                <w:bCs/>
                <w:sz w:val="18"/>
                <w:szCs w:val="18"/>
              </w:rPr>
              <w:sym w:font="Symbol" w:char="F07E"/>
            </w:r>
            <w:r w:rsidRPr="00735ABA">
              <w:rPr>
                <w:rFonts w:ascii="Calibri" w:eastAsia="Calibri" w:hAnsi="Calibri" w:cs="Arial"/>
                <w:bCs/>
                <w:sz w:val="18"/>
                <w:szCs w:val="18"/>
              </w:rPr>
              <w:t>42 (median)</w:t>
            </w:r>
          </w:p>
        </w:tc>
        <w:tc>
          <w:tcPr>
            <w:tcW w:w="1215" w:type="dxa"/>
            <w:gridSpan w:val="3"/>
            <w:tcBorders>
              <w:top w:val="single" w:sz="4" w:space="0" w:color="auto"/>
              <w:left w:val="nil"/>
              <w:bottom w:val="nil"/>
              <w:right w:val="nil"/>
            </w:tcBorders>
            <w:shd w:val="clear" w:color="auto" w:fill="FFFFFF"/>
          </w:tcPr>
          <w:p w14:paraId="776787B9" w14:textId="77777777" w:rsidR="003811F8" w:rsidRPr="008250DA" w:rsidRDefault="003811F8" w:rsidP="00B11AE0">
            <w:pPr>
              <w:spacing w:after="200"/>
              <w:jc w:val="center"/>
              <w:rPr>
                <w:rFonts w:ascii="Calibri" w:eastAsia="Calibri" w:hAnsi="Calibri" w:cs="Arial"/>
                <w:bCs/>
                <w:sz w:val="18"/>
                <w:szCs w:val="18"/>
              </w:rPr>
            </w:pPr>
            <w:r w:rsidRPr="008250DA">
              <w:rPr>
                <w:rFonts w:ascii="Calibri" w:eastAsia="Calibri" w:hAnsi="Calibri" w:cs="Arial"/>
                <w:bCs/>
                <w:sz w:val="18"/>
                <w:szCs w:val="18"/>
              </w:rPr>
              <w:t>NM</w:t>
            </w:r>
          </w:p>
        </w:tc>
        <w:tc>
          <w:tcPr>
            <w:tcW w:w="940" w:type="dxa"/>
            <w:gridSpan w:val="2"/>
            <w:tcBorders>
              <w:top w:val="single" w:sz="4" w:space="0" w:color="auto"/>
              <w:left w:val="nil"/>
              <w:bottom w:val="nil"/>
              <w:right w:val="nil"/>
            </w:tcBorders>
            <w:shd w:val="clear" w:color="auto" w:fill="FFFFFF"/>
          </w:tcPr>
          <w:p w14:paraId="59CEC41C" w14:textId="77777777" w:rsidR="003811F8" w:rsidRPr="00E82DBF" w:rsidRDefault="003811F8" w:rsidP="00B11AE0">
            <w:pPr>
              <w:spacing w:after="200"/>
              <w:jc w:val="center"/>
              <w:rPr>
                <w:rFonts w:ascii="Calibri" w:eastAsia="Calibri" w:hAnsi="Calibri" w:cs="Arial"/>
                <w:bCs/>
                <w:sz w:val="18"/>
                <w:szCs w:val="18"/>
              </w:rPr>
            </w:pPr>
            <w:r w:rsidRPr="00E82DBF">
              <w:rPr>
                <w:rFonts w:ascii="Calibri" w:eastAsia="Calibri" w:hAnsi="Calibri" w:cs="Arial"/>
                <w:bCs/>
                <w:sz w:val="18"/>
                <w:szCs w:val="18"/>
              </w:rPr>
              <w:t>34</w:t>
            </w:r>
          </w:p>
        </w:tc>
        <w:tc>
          <w:tcPr>
            <w:tcW w:w="805" w:type="dxa"/>
            <w:gridSpan w:val="2"/>
            <w:tcBorders>
              <w:top w:val="single" w:sz="4" w:space="0" w:color="auto"/>
              <w:left w:val="nil"/>
              <w:bottom w:val="nil"/>
              <w:right w:val="nil"/>
            </w:tcBorders>
            <w:shd w:val="clear" w:color="auto" w:fill="FFFFFF"/>
          </w:tcPr>
          <w:p w14:paraId="6C464268" w14:textId="77777777" w:rsidR="003811F8" w:rsidRPr="00A72062" w:rsidRDefault="003811F8" w:rsidP="00B11AE0">
            <w:pPr>
              <w:spacing w:after="200"/>
              <w:jc w:val="center"/>
              <w:rPr>
                <w:rFonts w:ascii="Calibri" w:eastAsia="Calibri" w:hAnsi="Calibri" w:cs="Arial"/>
                <w:bCs/>
                <w:sz w:val="18"/>
                <w:szCs w:val="18"/>
              </w:rPr>
            </w:pPr>
            <w:r w:rsidRPr="00A72062">
              <w:rPr>
                <w:rFonts w:ascii="Calibri" w:eastAsia="Calibri" w:hAnsi="Calibri" w:cs="Arial"/>
                <w:bCs/>
                <w:sz w:val="18"/>
                <w:szCs w:val="18"/>
              </w:rPr>
              <w:t>1 year</w:t>
            </w:r>
          </w:p>
        </w:tc>
        <w:tc>
          <w:tcPr>
            <w:tcW w:w="1561" w:type="dxa"/>
            <w:gridSpan w:val="2"/>
            <w:tcBorders>
              <w:top w:val="single" w:sz="4" w:space="0" w:color="auto"/>
              <w:left w:val="nil"/>
              <w:bottom w:val="nil"/>
              <w:right w:val="nil"/>
            </w:tcBorders>
            <w:shd w:val="clear" w:color="auto" w:fill="FFFFFF"/>
          </w:tcPr>
          <w:p w14:paraId="5E6E809F" w14:textId="77777777" w:rsidR="003811F8" w:rsidRPr="00A72062" w:rsidRDefault="003811F8" w:rsidP="00B11AE0">
            <w:pPr>
              <w:spacing w:after="200"/>
              <w:jc w:val="center"/>
              <w:rPr>
                <w:rFonts w:ascii="Calibri" w:eastAsia="Calibri" w:hAnsi="Calibri" w:cs="Arial"/>
                <w:bCs/>
                <w:sz w:val="18"/>
                <w:szCs w:val="18"/>
              </w:rPr>
            </w:pPr>
            <w:r w:rsidRPr="00A72062">
              <w:rPr>
                <w:rFonts w:ascii="Calibri" w:eastAsia="Calibri" w:hAnsi="Calibri" w:cs="Arial"/>
                <w:bCs/>
                <w:sz w:val="18"/>
                <w:szCs w:val="18"/>
              </w:rPr>
              <w:t>MRI</w:t>
            </w:r>
          </w:p>
        </w:tc>
        <w:tc>
          <w:tcPr>
            <w:tcW w:w="1516" w:type="dxa"/>
            <w:gridSpan w:val="2"/>
            <w:tcBorders>
              <w:top w:val="single" w:sz="4" w:space="0" w:color="auto"/>
              <w:left w:val="nil"/>
              <w:bottom w:val="nil"/>
              <w:right w:val="nil"/>
            </w:tcBorders>
            <w:shd w:val="clear" w:color="auto" w:fill="FFFFFF"/>
          </w:tcPr>
          <w:p w14:paraId="504942E1" w14:textId="77777777" w:rsidR="003811F8" w:rsidRPr="00A72062" w:rsidRDefault="003811F8" w:rsidP="00B11AE0">
            <w:pPr>
              <w:spacing w:after="120"/>
              <w:jc w:val="center"/>
              <w:rPr>
                <w:rFonts w:ascii="Calibri" w:eastAsia="Calibri" w:hAnsi="Calibri" w:cs="Arial"/>
                <w:bCs/>
                <w:sz w:val="18"/>
                <w:szCs w:val="18"/>
              </w:rPr>
            </w:pPr>
            <w:r w:rsidRPr="00A72062">
              <w:rPr>
                <w:rFonts w:ascii="Calibri" w:eastAsia="Calibri" w:hAnsi="Calibri" w:cs="Arial"/>
                <w:bCs/>
                <w:sz w:val="18"/>
                <w:szCs w:val="18"/>
              </w:rPr>
              <w:t>131I: hypothyroidism: 7%</w:t>
            </w:r>
          </w:p>
        </w:tc>
      </w:tr>
      <w:tr w:rsidR="003811F8" w:rsidRPr="00735ABA" w14:paraId="033C2758" w14:textId="77777777" w:rsidTr="0038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nil"/>
              <w:left w:val="nil"/>
              <w:bottom w:val="single" w:sz="4" w:space="0" w:color="auto"/>
              <w:right w:val="nil"/>
            </w:tcBorders>
            <w:shd w:val="clear" w:color="auto" w:fill="FFFFFF"/>
          </w:tcPr>
          <w:p w14:paraId="43F785BC" w14:textId="77777777" w:rsidR="003811F8" w:rsidRPr="00735ABA" w:rsidRDefault="003811F8" w:rsidP="00B11AE0">
            <w:pPr>
              <w:spacing w:after="200"/>
              <w:jc w:val="center"/>
              <w:rPr>
                <w:rFonts w:ascii="Calibri" w:eastAsia="Calibri" w:hAnsi="Calibri" w:cs="Arial"/>
                <w:b/>
                <w:bCs/>
                <w:sz w:val="18"/>
                <w:szCs w:val="18"/>
              </w:rPr>
            </w:pPr>
          </w:p>
        </w:tc>
        <w:tc>
          <w:tcPr>
            <w:tcW w:w="828" w:type="dxa"/>
            <w:tcBorders>
              <w:top w:val="nil"/>
              <w:left w:val="nil"/>
              <w:bottom w:val="single" w:sz="4" w:space="0" w:color="auto"/>
              <w:right w:val="nil"/>
            </w:tcBorders>
            <w:shd w:val="clear" w:color="auto" w:fill="FFFFFF"/>
          </w:tcPr>
          <w:p w14:paraId="09D26932"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14</w:t>
            </w:r>
          </w:p>
        </w:tc>
        <w:tc>
          <w:tcPr>
            <w:tcW w:w="873" w:type="dxa"/>
            <w:tcBorders>
              <w:top w:val="nil"/>
              <w:left w:val="nil"/>
              <w:bottom w:val="single" w:sz="4" w:space="0" w:color="auto"/>
              <w:right w:val="nil"/>
            </w:tcBorders>
            <w:shd w:val="clear" w:color="auto" w:fill="FFFFFF"/>
          </w:tcPr>
          <w:p w14:paraId="681A6C38"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0.3</w:t>
            </w:r>
          </w:p>
        </w:tc>
        <w:tc>
          <w:tcPr>
            <w:tcW w:w="1076" w:type="dxa"/>
            <w:tcBorders>
              <w:top w:val="nil"/>
              <w:left w:val="nil"/>
              <w:bottom w:val="single" w:sz="4" w:space="0" w:color="auto"/>
              <w:right w:val="nil"/>
            </w:tcBorders>
            <w:shd w:val="clear" w:color="auto" w:fill="FFFFFF"/>
          </w:tcPr>
          <w:p w14:paraId="58B67E01" w14:textId="77777777" w:rsidR="003811F8" w:rsidRPr="00735ABA" w:rsidRDefault="003811F8" w:rsidP="00B11AE0">
            <w:pPr>
              <w:spacing w:after="200"/>
              <w:jc w:val="center"/>
              <w:rPr>
                <w:rFonts w:ascii="Calibri" w:eastAsia="Calibri" w:hAnsi="Calibri" w:cs="Arial"/>
                <w:bCs/>
                <w:sz w:val="18"/>
                <w:szCs w:val="18"/>
              </w:rPr>
            </w:pPr>
          </w:p>
        </w:tc>
        <w:tc>
          <w:tcPr>
            <w:tcW w:w="1111" w:type="dxa"/>
            <w:tcBorders>
              <w:top w:val="nil"/>
              <w:left w:val="nil"/>
              <w:bottom w:val="single" w:sz="4" w:space="0" w:color="auto"/>
              <w:right w:val="nil"/>
            </w:tcBorders>
            <w:shd w:val="clear" w:color="auto" w:fill="FFFFFF"/>
          </w:tcPr>
          <w:p w14:paraId="6C0CC826"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
                <w:bCs/>
                <w:sz w:val="18"/>
                <w:szCs w:val="18"/>
              </w:rPr>
              <w:sym w:font="Symbol" w:char="F07E"/>
            </w:r>
            <w:r w:rsidRPr="00735ABA">
              <w:rPr>
                <w:rFonts w:ascii="Calibri" w:eastAsia="Calibri" w:hAnsi="Calibri" w:cs="Arial"/>
                <w:bCs/>
                <w:sz w:val="18"/>
                <w:szCs w:val="18"/>
              </w:rPr>
              <w:t>38 (median)</w:t>
            </w:r>
          </w:p>
        </w:tc>
        <w:tc>
          <w:tcPr>
            <w:tcW w:w="1215" w:type="dxa"/>
            <w:gridSpan w:val="3"/>
            <w:tcBorders>
              <w:top w:val="nil"/>
              <w:left w:val="nil"/>
              <w:bottom w:val="single" w:sz="4" w:space="0" w:color="auto"/>
              <w:right w:val="nil"/>
            </w:tcBorders>
            <w:shd w:val="clear" w:color="auto" w:fill="FFFFFF"/>
          </w:tcPr>
          <w:p w14:paraId="41674733" w14:textId="77777777" w:rsidR="003811F8" w:rsidRPr="008250DA" w:rsidRDefault="003811F8" w:rsidP="00B11AE0">
            <w:pPr>
              <w:spacing w:after="200"/>
              <w:jc w:val="center"/>
              <w:rPr>
                <w:rFonts w:ascii="Calibri" w:eastAsia="Calibri" w:hAnsi="Calibri" w:cs="Arial"/>
                <w:bCs/>
                <w:sz w:val="18"/>
                <w:szCs w:val="18"/>
              </w:rPr>
            </w:pPr>
            <w:r w:rsidRPr="008250DA">
              <w:rPr>
                <w:rFonts w:ascii="Calibri" w:eastAsia="Calibri" w:hAnsi="Calibri" w:cs="Arial"/>
                <w:bCs/>
                <w:sz w:val="18"/>
                <w:szCs w:val="18"/>
              </w:rPr>
              <w:t>NM</w:t>
            </w:r>
          </w:p>
        </w:tc>
        <w:tc>
          <w:tcPr>
            <w:tcW w:w="940" w:type="dxa"/>
            <w:gridSpan w:val="2"/>
            <w:tcBorders>
              <w:top w:val="nil"/>
              <w:left w:val="nil"/>
              <w:bottom w:val="single" w:sz="4" w:space="0" w:color="auto"/>
              <w:right w:val="nil"/>
            </w:tcBorders>
            <w:shd w:val="clear" w:color="auto" w:fill="FFFFFF"/>
          </w:tcPr>
          <w:p w14:paraId="322350DC" w14:textId="77777777" w:rsidR="003811F8" w:rsidRPr="00E82DBF" w:rsidRDefault="003811F8" w:rsidP="00B11AE0">
            <w:pPr>
              <w:spacing w:after="200"/>
              <w:jc w:val="center"/>
              <w:rPr>
                <w:rFonts w:ascii="Calibri" w:eastAsia="Calibri" w:hAnsi="Calibri" w:cs="Arial"/>
                <w:bCs/>
                <w:sz w:val="18"/>
                <w:szCs w:val="18"/>
              </w:rPr>
            </w:pPr>
            <w:r w:rsidRPr="00E82DBF">
              <w:rPr>
                <w:rFonts w:ascii="Calibri" w:eastAsia="Calibri" w:hAnsi="Calibri" w:cs="Arial"/>
                <w:bCs/>
                <w:sz w:val="18"/>
                <w:szCs w:val="18"/>
              </w:rPr>
              <w:t>53</w:t>
            </w:r>
          </w:p>
        </w:tc>
        <w:tc>
          <w:tcPr>
            <w:tcW w:w="805" w:type="dxa"/>
            <w:gridSpan w:val="2"/>
            <w:tcBorders>
              <w:top w:val="nil"/>
              <w:left w:val="nil"/>
              <w:bottom w:val="single" w:sz="4" w:space="0" w:color="auto"/>
              <w:right w:val="nil"/>
            </w:tcBorders>
            <w:shd w:val="clear" w:color="auto" w:fill="FFFFFF"/>
          </w:tcPr>
          <w:p w14:paraId="0FE1DFE4" w14:textId="77777777" w:rsidR="003811F8" w:rsidRPr="00A72062" w:rsidRDefault="003811F8" w:rsidP="00B11AE0">
            <w:pPr>
              <w:spacing w:after="200"/>
              <w:jc w:val="center"/>
              <w:rPr>
                <w:rFonts w:ascii="Calibri" w:eastAsia="Calibri" w:hAnsi="Calibri" w:cs="Arial"/>
                <w:bCs/>
                <w:sz w:val="18"/>
                <w:szCs w:val="18"/>
              </w:rPr>
            </w:pPr>
          </w:p>
        </w:tc>
        <w:tc>
          <w:tcPr>
            <w:tcW w:w="1561" w:type="dxa"/>
            <w:gridSpan w:val="2"/>
            <w:tcBorders>
              <w:top w:val="nil"/>
              <w:left w:val="nil"/>
              <w:bottom w:val="single" w:sz="4" w:space="0" w:color="auto"/>
              <w:right w:val="nil"/>
            </w:tcBorders>
            <w:shd w:val="clear" w:color="auto" w:fill="FFFFFF"/>
          </w:tcPr>
          <w:p w14:paraId="6756EABE" w14:textId="77777777" w:rsidR="003811F8" w:rsidRPr="00A72062" w:rsidRDefault="003811F8" w:rsidP="00B11AE0">
            <w:pPr>
              <w:spacing w:after="200"/>
              <w:jc w:val="center"/>
              <w:rPr>
                <w:rFonts w:ascii="Calibri" w:eastAsia="Calibri" w:hAnsi="Calibri" w:cs="Arial"/>
                <w:bCs/>
                <w:sz w:val="18"/>
                <w:szCs w:val="18"/>
              </w:rPr>
            </w:pPr>
          </w:p>
        </w:tc>
        <w:tc>
          <w:tcPr>
            <w:tcW w:w="1516" w:type="dxa"/>
            <w:gridSpan w:val="2"/>
            <w:tcBorders>
              <w:top w:val="nil"/>
              <w:left w:val="nil"/>
              <w:bottom w:val="single" w:sz="4" w:space="0" w:color="auto"/>
              <w:right w:val="nil"/>
            </w:tcBorders>
            <w:shd w:val="clear" w:color="auto" w:fill="FFFFFF"/>
          </w:tcPr>
          <w:p w14:paraId="0C786EB7" w14:textId="77777777" w:rsidR="003811F8" w:rsidRPr="00A72062" w:rsidRDefault="003811F8" w:rsidP="00420160">
            <w:pPr>
              <w:spacing w:after="120"/>
              <w:jc w:val="center"/>
              <w:rPr>
                <w:rFonts w:ascii="Calibri" w:eastAsia="Calibri" w:hAnsi="Calibri" w:cs="Arial"/>
                <w:bCs/>
                <w:sz w:val="18"/>
                <w:szCs w:val="18"/>
              </w:rPr>
            </w:pPr>
            <w:r w:rsidRPr="00A72062">
              <w:rPr>
                <w:rFonts w:ascii="Calibri" w:eastAsia="Calibri" w:hAnsi="Calibri" w:cs="Arial"/>
                <w:bCs/>
                <w:sz w:val="18"/>
                <w:szCs w:val="18"/>
              </w:rPr>
              <w:t>131I + rhTSH: hypothyroidism: 21%</w:t>
            </w:r>
          </w:p>
        </w:tc>
      </w:tr>
      <w:tr w:rsidR="003811F8" w:rsidRPr="00735ABA" w14:paraId="71457493" w14:textId="77777777" w:rsidTr="0038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single" w:sz="4" w:space="0" w:color="auto"/>
              <w:left w:val="nil"/>
              <w:bottom w:val="single" w:sz="4" w:space="0" w:color="auto"/>
              <w:right w:val="nil"/>
            </w:tcBorders>
            <w:shd w:val="clear" w:color="auto" w:fill="BFBFBF"/>
          </w:tcPr>
          <w:p w14:paraId="35BE0BAC" w14:textId="78B77BFC" w:rsidR="003811F8" w:rsidRPr="00735ABA" w:rsidRDefault="003811F8" w:rsidP="00B11AE0">
            <w:pPr>
              <w:spacing w:after="200"/>
              <w:jc w:val="center"/>
              <w:rPr>
                <w:rFonts w:ascii="Calibri" w:eastAsia="Calibri" w:hAnsi="Calibri" w:cs="Arial"/>
                <w:b/>
                <w:bCs/>
                <w:sz w:val="18"/>
                <w:szCs w:val="18"/>
              </w:rPr>
            </w:pPr>
            <w:r w:rsidRPr="00735ABA">
              <w:rPr>
                <w:rFonts w:ascii="Calibri" w:eastAsia="Calibri" w:hAnsi="Calibri" w:cs="Arial"/>
                <w:b/>
                <w:bCs/>
                <w:sz w:val="18"/>
                <w:szCs w:val="18"/>
              </w:rPr>
              <w:t>Paz-Filho et al. (</w:t>
            </w:r>
            <w:r w:rsidR="007C69EF">
              <w:rPr>
                <w:rFonts w:ascii="Calibri" w:eastAsia="Calibri" w:hAnsi="Calibri" w:cs="Arial"/>
                <w:b/>
                <w:bCs/>
                <w:sz w:val="18"/>
                <w:szCs w:val="18"/>
              </w:rPr>
              <w:t>137</w:t>
            </w:r>
            <w:r w:rsidRPr="00735ABA">
              <w:rPr>
                <w:rFonts w:ascii="Calibri" w:eastAsia="Calibri" w:hAnsi="Calibri" w:cs="Arial"/>
                <w:b/>
                <w:bCs/>
                <w:sz w:val="18"/>
                <w:szCs w:val="18"/>
              </w:rPr>
              <w:t>)</w:t>
            </w:r>
          </w:p>
        </w:tc>
        <w:tc>
          <w:tcPr>
            <w:tcW w:w="828" w:type="dxa"/>
            <w:tcBorders>
              <w:top w:val="single" w:sz="4" w:space="0" w:color="auto"/>
              <w:left w:val="nil"/>
              <w:bottom w:val="single" w:sz="4" w:space="0" w:color="auto"/>
              <w:right w:val="nil"/>
            </w:tcBorders>
            <w:shd w:val="clear" w:color="auto" w:fill="BFBFBF"/>
          </w:tcPr>
          <w:p w14:paraId="56D2A1DF"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17</w:t>
            </w:r>
          </w:p>
        </w:tc>
        <w:tc>
          <w:tcPr>
            <w:tcW w:w="873" w:type="dxa"/>
            <w:tcBorders>
              <w:top w:val="single" w:sz="4" w:space="0" w:color="auto"/>
              <w:left w:val="nil"/>
              <w:bottom w:val="single" w:sz="4" w:space="0" w:color="auto"/>
              <w:right w:val="nil"/>
            </w:tcBorders>
            <w:shd w:val="clear" w:color="auto" w:fill="BFBFBF"/>
          </w:tcPr>
          <w:p w14:paraId="6998D76E"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0.1</w:t>
            </w:r>
          </w:p>
        </w:tc>
        <w:tc>
          <w:tcPr>
            <w:tcW w:w="1076" w:type="dxa"/>
            <w:tcBorders>
              <w:top w:val="single" w:sz="4" w:space="0" w:color="auto"/>
              <w:left w:val="nil"/>
              <w:bottom w:val="single" w:sz="4" w:space="0" w:color="auto"/>
              <w:right w:val="nil"/>
            </w:tcBorders>
            <w:shd w:val="clear" w:color="auto" w:fill="BFBFBF"/>
          </w:tcPr>
          <w:p w14:paraId="278D74A0"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24 h</w:t>
            </w:r>
          </w:p>
        </w:tc>
        <w:tc>
          <w:tcPr>
            <w:tcW w:w="1111" w:type="dxa"/>
            <w:tcBorders>
              <w:top w:val="single" w:sz="4" w:space="0" w:color="auto"/>
              <w:left w:val="nil"/>
              <w:bottom w:val="single" w:sz="4" w:space="0" w:color="auto"/>
              <w:right w:val="nil"/>
            </w:tcBorders>
            <w:shd w:val="clear" w:color="auto" w:fill="BFBFBF"/>
          </w:tcPr>
          <w:p w14:paraId="78BFD38C"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30</w:t>
            </w:r>
          </w:p>
        </w:tc>
        <w:tc>
          <w:tcPr>
            <w:tcW w:w="1215" w:type="dxa"/>
            <w:gridSpan w:val="3"/>
            <w:tcBorders>
              <w:top w:val="single" w:sz="4" w:space="0" w:color="auto"/>
              <w:left w:val="nil"/>
              <w:bottom w:val="single" w:sz="4" w:space="0" w:color="auto"/>
              <w:right w:val="nil"/>
            </w:tcBorders>
            <w:shd w:val="clear" w:color="auto" w:fill="BFBFBF"/>
          </w:tcPr>
          <w:p w14:paraId="72238F40"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Free T4: 56 T3: 87</w:t>
            </w:r>
          </w:p>
        </w:tc>
        <w:tc>
          <w:tcPr>
            <w:tcW w:w="940" w:type="dxa"/>
            <w:gridSpan w:val="2"/>
            <w:tcBorders>
              <w:top w:val="single" w:sz="4" w:space="0" w:color="auto"/>
              <w:left w:val="nil"/>
              <w:bottom w:val="single" w:sz="4" w:space="0" w:color="auto"/>
              <w:right w:val="nil"/>
            </w:tcBorders>
            <w:shd w:val="clear" w:color="auto" w:fill="BFBFBF"/>
          </w:tcPr>
          <w:p w14:paraId="593B91F2"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46</w:t>
            </w:r>
          </w:p>
        </w:tc>
        <w:tc>
          <w:tcPr>
            <w:tcW w:w="805" w:type="dxa"/>
            <w:gridSpan w:val="2"/>
            <w:tcBorders>
              <w:top w:val="single" w:sz="4" w:space="0" w:color="auto"/>
              <w:left w:val="nil"/>
              <w:bottom w:val="single" w:sz="4" w:space="0" w:color="auto"/>
              <w:right w:val="nil"/>
            </w:tcBorders>
            <w:shd w:val="clear" w:color="auto" w:fill="BFBFBF"/>
          </w:tcPr>
          <w:p w14:paraId="5D5AC8F4"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1 year</w:t>
            </w:r>
          </w:p>
        </w:tc>
        <w:tc>
          <w:tcPr>
            <w:tcW w:w="1561" w:type="dxa"/>
            <w:gridSpan w:val="2"/>
            <w:tcBorders>
              <w:top w:val="single" w:sz="4" w:space="0" w:color="auto"/>
              <w:left w:val="nil"/>
              <w:bottom w:val="single" w:sz="4" w:space="0" w:color="auto"/>
              <w:right w:val="nil"/>
            </w:tcBorders>
            <w:shd w:val="clear" w:color="auto" w:fill="BFBFBF"/>
          </w:tcPr>
          <w:p w14:paraId="7EDC22E3" w14:textId="77777777" w:rsidR="003811F8" w:rsidRPr="00735ABA" w:rsidRDefault="003811F8" w:rsidP="00B11AE0">
            <w:pPr>
              <w:spacing w:after="200"/>
              <w:jc w:val="center"/>
              <w:rPr>
                <w:rFonts w:ascii="Calibri" w:eastAsia="Calibri" w:hAnsi="Calibri" w:cs="Arial"/>
                <w:bCs/>
                <w:sz w:val="18"/>
                <w:szCs w:val="18"/>
              </w:rPr>
            </w:pPr>
            <w:r w:rsidRPr="00735ABA">
              <w:rPr>
                <w:rFonts w:ascii="Calibri" w:eastAsia="Calibri" w:hAnsi="Calibri" w:cs="Arial"/>
                <w:bCs/>
                <w:sz w:val="18"/>
                <w:szCs w:val="18"/>
              </w:rPr>
              <w:t>CT</w:t>
            </w:r>
          </w:p>
        </w:tc>
        <w:tc>
          <w:tcPr>
            <w:tcW w:w="1516" w:type="dxa"/>
            <w:gridSpan w:val="2"/>
            <w:tcBorders>
              <w:top w:val="single" w:sz="4" w:space="0" w:color="auto"/>
              <w:left w:val="nil"/>
              <w:bottom w:val="single" w:sz="4" w:space="0" w:color="auto"/>
              <w:right w:val="nil"/>
            </w:tcBorders>
            <w:shd w:val="clear" w:color="auto" w:fill="BFBFBF"/>
          </w:tcPr>
          <w:p w14:paraId="5E334E08" w14:textId="77777777" w:rsidR="003811F8" w:rsidRPr="00735ABA" w:rsidRDefault="003811F8" w:rsidP="00420160">
            <w:pPr>
              <w:spacing w:after="120"/>
              <w:jc w:val="center"/>
              <w:rPr>
                <w:rFonts w:ascii="Calibri" w:eastAsia="Calibri" w:hAnsi="Calibri" w:cs="Arial"/>
                <w:bCs/>
                <w:sz w:val="18"/>
                <w:szCs w:val="18"/>
              </w:rPr>
            </w:pPr>
            <w:r w:rsidRPr="00735ABA">
              <w:rPr>
                <w:rFonts w:ascii="Calibri" w:eastAsia="Calibri" w:hAnsi="Calibri" w:cs="Arial"/>
                <w:bCs/>
                <w:sz w:val="18"/>
                <w:szCs w:val="18"/>
              </w:rPr>
              <w:t>24 h RAIU increased from 18 to 50%; Hypothyroidism: 53%; hyperthyroidism: 18%</w:t>
            </w:r>
          </w:p>
        </w:tc>
      </w:tr>
      <w:tr w:rsidR="003811F8" w:rsidRPr="00735ABA" w14:paraId="63FABA35" w14:textId="77777777" w:rsidTr="0038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single" w:sz="4" w:space="0" w:color="auto"/>
              <w:left w:val="nil"/>
              <w:bottom w:val="single" w:sz="4" w:space="0" w:color="auto"/>
              <w:right w:val="nil"/>
            </w:tcBorders>
            <w:shd w:val="clear" w:color="auto" w:fill="auto"/>
          </w:tcPr>
          <w:p w14:paraId="10962C48" w14:textId="321C7526" w:rsidR="003811F8" w:rsidRPr="00735ABA" w:rsidRDefault="003811F8" w:rsidP="00B11AE0">
            <w:pPr>
              <w:jc w:val="center"/>
              <w:rPr>
                <w:rFonts w:ascii="Calibri" w:eastAsia="Calibri" w:hAnsi="Calibri" w:cs="Arial"/>
                <w:b/>
                <w:bCs/>
                <w:sz w:val="18"/>
                <w:szCs w:val="18"/>
              </w:rPr>
            </w:pPr>
            <w:r w:rsidRPr="00735ABA">
              <w:rPr>
                <w:rFonts w:ascii="Calibri" w:eastAsia="Calibri" w:hAnsi="Calibri" w:cs="Arial"/>
                <w:b/>
                <w:bCs/>
                <w:sz w:val="18"/>
                <w:szCs w:val="18"/>
              </w:rPr>
              <w:t>Cubas et al. (</w:t>
            </w:r>
            <w:r w:rsidR="007C69EF">
              <w:rPr>
                <w:rFonts w:ascii="Calibri" w:eastAsia="Calibri" w:hAnsi="Calibri" w:cs="Arial"/>
                <w:b/>
                <w:bCs/>
                <w:sz w:val="18"/>
                <w:szCs w:val="18"/>
              </w:rPr>
              <w:t>147</w:t>
            </w:r>
            <w:r w:rsidRPr="00735ABA">
              <w:rPr>
                <w:rFonts w:ascii="Calibri" w:eastAsia="Calibri" w:hAnsi="Calibri" w:cs="Arial"/>
                <w:b/>
                <w:bCs/>
                <w:sz w:val="18"/>
                <w:szCs w:val="18"/>
              </w:rPr>
              <w:t>)</w:t>
            </w:r>
          </w:p>
        </w:tc>
        <w:tc>
          <w:tcPr>
            <w:tcW w:w="828" w:type="dxa"/>
            <w:tcBorders>
              <w:top w:val="single" w:sz="4" w:space="0" w:color="auto"/>
              <w:left w:val="nil"/>
              <w:bottom w:val="single" w:sz="4" w:space="0" w:color="auto"/>
              <w:right w:val="nil"/>
            </w:tcBorders>
            <w:shd w:val="clear" w:color="auto" w:fill="auto"/>
          </w:tcPr>
          <w:p w14:paraId="6C2D89D0" w14:textId="77777777" w:rsidR="003811F8" w:rsidRPr="00735ABA" w:rsidRDefault="003811F8" w:rsidP="00B11AE0">
            <w:pPr>
              <w:jc w:val="center"/>
              <w:rPr>
                <w:rFonts w:ascii="Calibri" w:eastAsia="Calibri" w:hAnsi="Calibri" w:cs="Arial"/>
                <w:bCs/>
                <w:sz w:val="18"/>
                <w:szCs w:val="18"/>
              </w:rPr>
            </w:pPr>
            <w:r w:rsidRPr="00735ABA">
              <w:rPr>
                <w:rFonts w:ascii="Calibri" w:eastAsia="Calibri" w:hAnsi="Calibri" w:cs="Arial"/>
                <w:bCs/>
                <w:sz w:val="18"/>
                <w:szCs w:val="18"/>
              </w:rPr>
              <w:t>28</w:t>
            </w:r>
          </w:p>
        </w:tc>
        <w:tc>
          <w:tcPr>
            <w:tcW w:w="873" w:type="dxa"/>
            <w:tcBorders>
              <w:top w:val="single" w:sz="4" w:space="0" w:color="auto"/>
              <w:left w:val="nil"/>
              <w:bottom w:val="single" w:sz="4" w:space="0" w:color="auto"/>
              <w:right w:val="nil"/>
            </w:tcBorders>
            <w:shd w:val="clear" w:color="auto" w:fill="auto"/>
          </w:tcPr>
          <w:p w14:paraId="2A0CF197" w14:textId="77777777" w:rsidR="003811F8" w:rsidRPr="00735ABA" w:rsidRDefault="003811F8" w:rsidP="00B11AE0">
            <w:pPr>
              <w:jc w:val="center"/>
              <w:rPr>
                <w:rFonts w:ascii="Calibri" w:eastAsia="Calibri" w:hAnsi="Calibri" w:cs="Arial"/>
                <w:bCs/>
                <w:sz w:val="18"/>
                <w:szCs w:val="18"/>
              </w:rPr>
            </w:pPr>
            <w:r w:rsidRPr="00735ABA">
              <w:rPr>
                <w:rFonts w:ascii="Calibri" w:eastAsia="Calibri" w:hAnsi="Calibri" w:cs="Arial"/>
                <w:bCs/>
                <w:sz w:val="18"/>
                <w:szCs w:val="18"/>
              </w:rPr>
              <w:t>A: 0.1</w:t>
            </w:r>
          </w:p>
          <w:p w14:paraId="4D9CFF9A" w14:textId="77777777" w:rsidR="003811F8" w:rsidRPr="00735ABA" w:rsidRDefault="003811F8" w:rsidP="00B11AE0">
            <w:pPr>
              <w:jc w:val="center"/>
              <w:rPr>
                <w:rFonts w:ascii="Calibri" w:eastAsia="Calibri" w:hAnsi="Calibri" w:cs="Arial"/>
                <w:bCs/>
                <w:sz w:val="18"/>
                <w:szCs w:val="18"/>
              </w:rPr>
            </w:pPr>
            <w:r w:rsidRPr="00735ABA">
              <w:rPr>
                <w:rFonts w:ascii="Calibri" w:eastAsia="Calibri" w:hAnsi="Calibri" w:cs="Arial"/>
                <w:bCs/>
                <w:sz w:val="18"/>
                <w:szCs w:val="18"/>
              </w:rPr>
              <w:t>B: 0.005</w:t>
            </w:r>
          </w:p>
          <w:p w14:paraId="1B06974E" w14:textId="77777777" w:rsidR="003811F8" w:rsidRPr="00735ABA" w:rsidRDefault="003811F8" w:rsidP="00B11AE0">
            <w:pPr>
              <w:jc w:val="center"/>
              <w:rPr>
                <w:rFonts w:ascii="Calibri" w:eastAsia="Calibri" w:hAnsi="Calibri" w:cs="Arial"/>
                <w:bCs/>
                <w:sz w:val="18"/>
                <w:szCs w:val="18"/>
              </w:rPr>
            </w:pPr>
            <w:r w:rsidRPr="00735ABA">
              <w:rPr>
                <w:rFonts w:ascii="Calibri" w:eastAsia="Calibri" w:hAnsi="Calibri" w:cs="Arial"/>
                <w:bCs/>
                <w:sz w:val="18"/>
                <w:szCs w:val="18"/>
              </w:rPr>
              <w:t>C: NONE</w:t>
            </w:r>
          </w:p>
        </w:tc>
        <w:tc>
          <w:tcPr>
            <w:tcW w:w="1076" w:type="dxa"/>
            <w:tcBorders>
              <w:top w:val="single" w:sz="4" w:space="0" w:color="auto"/>
              <w:left w:val="nil"/>
              <w:bottom w:val="single" w:sz="4" w:space="0" w:color="auto"/>
              <w:right w:val="nil"/>
            </w:tcBorders>
            <w:shd w:val="clear" w:color="auto" w:fill="auto"/>
          </w:tcPr>
          <w:p w14:paraId="66E75570" w14:textId="77777777" w:rsidR="003811F8" w:rsidRPr="00735ABA" w:rsidRDefault="003811F8" w:rsidP="00B11AE0">
            <w:pPr>
              <w:jc w:val="center"/>
              <w:rPr>
                <w:rFonts w:ascii="Calibri" w:eastAsia="Calibri" w:hAnsi="Calibri" w:cs="Arial"/>
                <w:bCs/>
                <w:sz w:val="18"/>
                <w:szCs w:val="18"/>
              </w:rPr>
            </w:pPr>
            <w:r>
              <w:rPr>
                <w:rFonts w:ascii="Calibri" w:eastAsia="Calibri" w:hAnsi="Calibri" w:cs="Arial"/>
                <w:bCs/>
                <w:noProof/>
                <w:sz w:val="18"/>
                <w:szCs w:val="18"/>
              </w:rPr>
              <mc:AlternateContent>
                <mc:Choice Requires="wps">
                  <w:drawing>
                    <wp:anchor distT="0" distB="0" distL="114300" distR="114300" simplePos="0" relativeHeight="251661312" behindDoc="0" locked="0" layoutInCell="1" allowOverlap="1" wp14:anchorId="17D49AA4" wp14:editId="523D341C">
                      <wp:simplePos x="0" y="0"/>
                      <wp:positionH relativeFrom="column">
                        <wp:posOffset>59690</wp:posOffset>
                      </wp:positionH>
                      <wp:positionV relativeFrom="paragraph">
                        <wp:posOffset>42545</wp:posOffset>
                      </wp:positionV>
                      <wp:extent cx="90805" cy="352425"/>
                      <wp:effectExtent l="8890" t="17145" r="40005" b="36830"/>
                      <wp:wrapNone/>
                      <wp:docPr id="17"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2425"/>
                              </a:xfrm>
                              <a:prstGeom prst="rightBrace">
                                <a:avLst>
                                  <a:gd name="adj1" fmla="val 32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2" o:spid="_x0000_s1026" type="#_x0000_t88" style="position:absolute;margin-left:4.7pt;margin-top:3.35pt;width:7.1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"/>
                  </w:pict>
                </mc:Fallback>
              </mc:AlternateContent>
            </w:r>
          </w:p>
          <w:p w14:paraId="53C59C2D" w14:textId="77777777" w:rsidR="003811F8" w:rsidRPr="008250DA" w:rsidRDefault="003811F8" w:rsidP="00B11AE0">
            <w:pPr>
              <w:jc w:val="center"/>
              <w:rPr>
                <w:rFonts w:ascii="Calibri" w:eastAsia="Calibri" w:hAnsi="Calibri" w:cs="Arial"/>
                <w:bCs/>
                <w:sz w:val="18"/>
                <w:szCs w:val="18"/>
              </w:rPr>
            </w:pPr>
            <w:r w:rsidRPr="008250DA">
              <w:rPr>
                <w:rFonts w:ascii="Calibri" w:eastAsia="Calibri" w:hAnsi="Calibri" w:cs="Arial"/>
                <w:bCs/>
                <w:sz w:val="18"/>
                <w:szCs w:val="18"/>
              </w:rPr>
              <w:t>24 h</w:t>
            </w:r>
          </w:p>
        </w:tc>
        <w:tc>
          <w:tcPr>
            <w:tcW w:w="1111" w:type="dxa"/>
            <w:tcBorders>
              <w:top w:val="single" w:sz="4" w:space="0" w:color="auto"/>
              <w:left w:val="nil"/>
              <w:bottom w:val="single" w:sz="4" w:space="0" w:color="auto"/>
              <w:right w:val="nil"/>
            </w:tcBorders>
            <w:shd w:val="clear" w:color="auto" w:fill="auto"/>
          </w:tcPr>
          <w:p w14:paraId="5F05592A" w14:textId="77777777" w:rsidR="003811F8" w:rsidRPr="00735ABA" w:rsidRDefault="003811F8" w:rsidP="00B11AE0">
            <w:pPr>
              <w:jc w:val="center"/>
              <w:rPr>
                <w:rFonts w:ascii="Calibri" w:eastAsia="Calibri" w:hAnsi="Calibri" w:cs="Arial"/>
                <w:bCs/>
                <w:sz w:val="18"/>
                <w:szCs w:val="18"/>
              </w:rPr>
            </w:pPr>
            <w:r>
              <w:rPr>
                <w:rFonts w:ascii="Calibri" w:eastAsia="Calibri" w:hAnsi="Calibri" w:cs="Arial"/>
                <w:bCs/>
                <w:noProof/>
                <w:szCs w:val="22"/>
              </w:rPr>
              <mc:AlternateContent>
                <mc:Choice Requires="wps">
                  <w:drawing>
                    <wp:anchor distT="0" distB="0" distL="114300" distR="114300" simplePos="0" relativeHeight="251666432" behindDoc="0" locked="0" layoutInCell="1" allowOverlap="1" wp14:anchorId="1104E84C" wp14:editId="04506216">
                      <wp:simplePos x="0" y="0"/>
                      <wp:positionH relativeFrom="column">
                        <wp:posOffset>118745</wp:posOffset>
                      </wp:positionH>
                      <wp:positionV relativeFrom="paragraph">
                        <wp:posOffset>23495</wp:posOffset>
                      </wp:positionV>
                      <wp:extent cx="90805" cy="352425"/>
                      <wp:effectExtent l="17145" t="10795" r="31750" b="43180"/>
                      <wp:wrapNone/>
                      <wp:docPr id="1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2425"/>
                              </a:xfrm>
                              <a:prstGeom prst="rightBrace">
                                <a:avLst>
                                  <a:gd name="adj1" fmla="val 32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26" type="#_x0000_t88" style="position:absolute;margin-left:9.35pt;margin-top:1.85pt;width:7.1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"/>
                  </w:pict>
                </mc:Fallback>
              </mc:AlternateContent>
            </w:r>
          </w:p>
          <w:p w14:paraId="6B3A92E5" w14:textId="77777777" w:rsidR="003811F8" w:rsidRPr="008250DA" w:rsidRDefault="003811F8" w:rsidP="00B11AE0">
            <w:pPr>
              <w:jc w:val="center"/>
              <w:rPr>
                <w:rFonts w:ascii="Calibri" w:eastAsia="Calibri" w:hAnsi="Calibri" w:cs="Arial"/>
                <w:bCs/>
                <w:sz w:val="18"/>
                <w:szCs w:val="18"/>
              </w:rPr>
            </w:pPr>
            <w:r w:rsidRPr="008250DA">
              <w:rPr>
                <w:rFonts w:ascii="Calibri" w:eastAsia="Calibri" w:hAnsi="Calibri" w:cs="Arial"/>
                <w:bCs/>
                <w:sz w:val="18"/>
                <w:szCs w:val="18"/>
              </w:rPr>
              <w:t>30</w:t>
            </w:r>
          </w:p>
          <w:p w14:paraId="412257F3" w14:textId="77777777" w:rsidR="003811F8" w:rsidRPr="00E82DBF" w:rsidRDefault="003811F8" w:rsidP="00B11AE0">
            <w:pPr>
              <w:jc w:val="center"/>
              <w:rPr>
                <w:rFonts w:ascii="Calibri" w:eastAsia="Calibri" w:hAnsi="Calibri" w:cs="Arial"/>
                <w:bCs/>
                <w:sz w:val="18"/>
                <w:szCs w:val="18"/>
              </w:rPr>
            </w:pPr>
          </w:p>
        </w:tc>
        <w:tc>
          <w:tcPr>
            <w:tcW w:w="1215" w:type="dxa"/>
            <w:gridSpan w:val="3"/>
            <w:tcBorders>
              <w:top w:val="single" w:sz="4" w:space="0" w:color="auto"/>
              <w:left w:val="nil"/>
              <w:bottom w:val="single" w:sz="4" w:space="0" w:color="auto"/>
              <w:right w:val="nil"/>
            </w:tcBorders>
            <w:shd w:val="clear" w:color="auto" w:fill="auto"/>
          </w:tcPr>
          <w:p w14:paraId="5D94C963" w14:textId="77777777" w:rsidR="003811F8" w:rsidRPr="00A72062" w:rsidRDefault="003811F8" w:rsidP="00B11AE0">
            <w:pPr>
              <w:jc w:val="center"/>
              <w:rPr>
                <w:rFonts w:ascii="Calibri" w:eastAsia="Calibri" w:hAnsi="Calibri" w:cs="Arial"/>
                <w:bCs/>
                <w:sz w:val="18"/>
                <w:szCs w:val="18"/>
              </w:rPr>
            </w:pPr>
            <w:r w:rsidRPr="00A72062">
              <w:rPr>
                <w:rFonts w:ascii="Calibri" w:eastAsia="Calibri" w:hAnsi="Calibri" w:cs="Arial"/>
                <w:bCs/>
                <w:sz w:val="18"/>
                <w:szCs w:val="18"/>
              </w:rPr>
              <w:t>Free T4: 31</w:t>
            </w:r>
          </w:p>
          <w:p w14:paraId="2FFEB913" w14:textId="77777777" w:rsidR="003811F8" w:rsidRPr="00A72062" w:rsidRDefault="003811F8" w:rsidP="00B11AE0">
            <w:pPr>
              <w:jc w:val="center"/>
              <w:rPr>
                <w:rFonts w:ascii="Calibri" w:eastAsia="Calibri" w:hAnsi="Calibri" w:cs="Arial"/>
                <w:bCs/>
                <w:sz w:val="18"/>
                <w:szCs w:val="18"/>
              </w:rPr>
            </w:pPr>
            <w:r w:rsidRPr="00A72062">
              <w:rPr>
                <w:rFonts w:ascii="Calibri" w:eastAsia="Calibri" w:hAnsi="Calibri" w:cs="Arial"/>
                <w:bCs/>
                <w:sz w:val="18"/>
                <w:szCs w:val="18"/>
              </w:rPr>
              <w:t>Free T4: 23</w:t>
            </w:r>
          </w:p>
          <w:p w14:paraId="5A0EED23" w14:textId="77777777" w:rsidR="003811F8" w:rsidRPr="00A72062" w:rsidRDefault="003811F8" w:rsidP="00B11AE0">
            <w:pPr>
              <w:jc w:val="center"/>
              <w:rPr>
                <w:rFonts w:ascii="Calibri" w:eastAsia="Calibri" w:hAnsi="Calibri" w:cs="Arial"/>
                <w:bCs/>
                <w:sz w:val="18"/>
                <w:szCs w:val="18"/>
              </w:rPr>
            </w:pPr>
            <w:r w:rsidRPr="00A72062">
              <w:rPr>
                <w:rFonts w:ascii="Calibri" w:eastAsia="Calibri" w:hAnsi="Calibri" w:cs="Arial"/>
                <w:bCs/>
                <w:sz w:val="18"/>
                <w:szCs w:val="18"/>
              </w:rPr>
              <w:t>Free T4: 19</w:t>
            </w:r>
          </w:p>
        </w:tc>
        <w:tc>
          <w:tcPr>
            <w:tcW w:w="940" w:type="dxa"/>
            <w:gridSpan w:val="2"/>
            <w:tcBorders>
              <w:top w:val="single" w:sz="4" w:space="0" w:color="auto"/>
              <w:left w:val="nil"/>
              <w:bottom w:val="single" w:sz="4" w:space="0" w:color="auto"/>
              <w:right w:val="nil"/>
            </w:tcBorders>
            <w:shd w:val="clear" w:color="auto" w:fill="auto"/>
          </w:tcPr>
          <w:p w14:paraId="09AC2C63" w14:textId="77777777" w:rsidR="003811F8" w:rsidRPr="00735ABA" w:rsidRDefault="003811F8" w:rsidP="00B11AE0">
            <w:pPr>
              <w:jc w:val="center"/>
              <w:rPr>
                <w:rFonts w:ascii="Calibri" w:eastAsia="Calibri" w:hAnsi="Calibri" w:cs="Arial"/>
                <w:bCs/>
                <w:sz w:val="18"/>
                <w:szCs w:val="18"/>
              </w:rPr>
            </w:pPr>
            <w:r>
              <w:rPr>
                <w:rFonts w:ascii="Calibri" w:eastAsia="Calibri" w:hAnsi="Calibri" w:cs="Arial"/>
                <w:bCs/>
                <w:noProof/>
                <w:sz w:val="18"/>
                <w:szCs w:val="18"/>
              </w:rPr>
              <mc:AlternateContent>
                <mc:Choice Requires="wps">
                  <w:drawing>
                    <wp:anchor distT="0" distB="0" distL="114300" distR="114300" simplePos="0" relativeHeight="251662336" behindDoc="0" locked="0" layoutInCell="1" allowOverlap="1" wp14:anchorId="1ACF9B7E" wp14:editId="298CFEC7">
                      <wp:simplePos x="0" y="0"/>
                      <wp:positionH relativeFrom="column">
                        <wp:posOffset>528955</wp:posOffset>
                      </wp:positionH>
                      <wp:positionV relativeFrom="paragraph">
                        <wp:posOffset>42545</wp:posOffset>
                      </wp:positionV>
                      <wp:extent cx="90805" cy="352425"/>
                      <wp:effectExtent l="8255" t="17145" r="40640" b="36830"/>
                      <wp:wrapNone/>
                      <wp:docPr id="1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2425"/>
                              </a:xfrm>
                              <a:prstGeom prst="rightBrace">
                                <a:avLst>
                                  <a:gd name="adj1" fmla="val 32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26" type="#_x0000_t88" style="position:absolute;margin-left:41.65pt;margin-top:3.35pt;width:7.1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"/>
                  </w:pict>
                </mc:Fallback>
              </mc:AlternateContent>
            </w:r>
            <w:r w:rsidRPr="00735ABA">
              <w:rPr>
                <w:rFonts w:ascii="Calibri" w:eastAsia="Calibri" w:hAnsi="Calibri" w:cs="Arial"/>
                <w:bCs/>
                <w:sz w:val="18"/>
                <w:szCs w:val="18"/>
              </w:rPr>
              <w:t>37.2</w:t>
            </w:r>
          </w:p>
          <w:p w14:paraId="2D2F8F2F" w14:textId="77777777" w:rsidR="003811F8" w:rsidRPr="008250DA" w:rsidRDefault="003811F8" w:rsidP="00B11AE0">
            <w:pPr>
              <w:jc w:val="center"/>
              <w:rPr>
                <w:rFonts w:ascii="Calibri" w:eastAsia="Calibri" w:hAnsi="Calibri" w:cs="Arial"/>
                <w:bCs/>
                <w:sz w:val="18"/>
                <w:szCs w:val="18"/>
              </w:rPr>
            </w:pPr>
            <w:r w:rsidRPr="008250DA">
              <w:rPr>
                <w:rFonts w:ascii="Calibri" w:eastAsia="Calibri" w:hAnsi="Calibri" w:cs="Arial"/>
                <w:bCs/>
                <w:sz w:val="18"/>
                <w:szCs w:val="18"/>
              </w:rPr>
              <w:t>39.3</w:t>
            </w:r>
          </w:p>
          <w:p w14:paraId="1494C0EA" w14:textId="77777777" w:rsidR="003811F8" w:rsidRPr="00E82DBF" w:rsidRDefault="003811F8" w:rsidP="00B11AE0">
            <w:pPr>
              <w:jc w:val="center"/>
              <w:rPr>
                <w:rFonts w:ascii="Calibri" w:eastAsia="Calibri" w:hAnsi="Calibri" w:cs="Arial"/>
                <w:bCs/>
                <w:sz w:val="18"/>
                <w:szCs w:val="18"/>
              </w:rPr>
            </w:pPr>
            <w:r w:rsidRPr="00E82DBF">
              <w:rPr>
                <w:rFonts w:ascii="Calibri" w:eastAsia="Calibri" w:hAnsi="Calibri" w:cs="Arial"/>
                <w:bCs/>
                <w:sz w:val="18"/>
                <w:szCs w:val="18"/>
              </w:rPr>
              <w:t>15.3</w:t>
            </w:r>
          </w:p>
        </w:tc>
        <w:tc>
          <w:tcPr>
            <w:tcW w:w="805" w:type="dxa"/>
            <w:gridSpan w:val="2"/>
            <w:tcBorders>
              <w:top w:val="single" w:sz="4" w:space="0" w:color="auto"/>
              <w:left w:val="nil"/>
              <w:bottom w:val="single" w:sz="4" w:space="0" w:color="auto"/>
              <w:right w:val="nil"/>
            </w:tcBorders>
            <w:shd w:val="clear" w:color="auto" w:fill="auto"/>
          </w:tcPr>
          <w:p w14:paraId="29B98562" w14:textId="77777777" w:rsidR="003811F8" w:rsidRPr="00A72062" w:rsidRDefault="003811F8" w:rsidP="00B11AE0">
            <w:pPr>
              <w:jc w:val="center"/>
              <w:rPr>
                <w:rFonts w:ascii="Calibri" w:eastAsia="Calibri" w:hAnsi="Calibri" w:cs="Arial"/>
                <w:bCs/>
                <w:sz w:val="18"/>
                <w:szCs w:val="18"/>
              </w:rPr>
            </w:pPr>
          </w:p>
          <w:p w14:paraId="4D3ED92B" w14:textId="77777777" w:rsidR="003811F8" w:rsidRPr="00A72062" w:rsidRDefault="003811F8" w:rsidP="00B11AE0">
            <w:pPr>
              <w:jc w:val="center"/>
              <w:rPr>
                <w:rFonts w:ascii="Calibri" w:eastAsia="Calibri" w:hAnsi="Calibri" w:cs="Arial"/>
                <w:bCs/>
                <w:sz w:val="18"/>
                <w:szCs w:val="18"/>
              </w:rPr>
            </w:pPr>
            <w:r w:rsidRPr="00A72062">
              <w:rPr>
                <w:rFonts w:ascii="Calibri" w:eastAsia="Calibri" w:hAnsi="Calibri" w:cs="Arial"/>
                <w:bCs/>
                <w:sz w:val="18"/>
                <w:szCs w:val="18"/>
              </w:rPr>
              <w:t>2 years</w:t>
            </w:r>
          </w:p>
        </w:tc>
        <w:tc>
          <w:tcPr>
            <w:tcW w:w="1561" w:type="dxa"/>
            <w:gridSpan w:val="2"/>
            <w:tcBorders>
              <w:top w:val="single" w:sz="4" w:space="0" w:color="auto"/>
              <w:left w:val="nil"/>
              <w:bottom w:val="single" w:sz="4" w:space="0" w:color="auto"/>
              <w:right w:val="nil"/>
            </w:tcBorders>
            <w:shd w:val="clear" w:color="auto" w:fill="auto"/>
          </w:tcPr>
          <w:p w14:paraId="7F1E14EB" w14:textId="77777777" w:rsidR="003811F8" w:rsidRPr="00735ABA" w:rsidRDefault="003811F8" w:rsidP="00B11AE0">
            <w:pPr>
              <w:jc w:val="center"/>
              <w:rPr>
                <w:rFonts w:ascii="Calibri" w:eastAsia="Calibri" w:hAnsi="Calibri" w:cs="Arial"/>
                <w:bCs/>
                <w:sz w:val="18"/>
                <w:szCs w:val="18"/>
              </w:rPr>
            </w:pPr>
            <w:r>
              <w:rPr>
                <w:rFonts w:ascii="Calibri" w:eastAsia="Calibri" w:hAnsi="Calibri" w:cs="Arial"/>
                <w:bCs/>
                <w:noProof/>
                <w:sz w:val="18"/>
                <w:szCs w:val="18"/>
              </w:rPr>
              <mc:AlternateContent>
                <mc:Choice Requires="wps">
                  <w:drawing>
                    <wp:anchor distT="0" distB="0" distL="114300" distR="114300" simplePos="0" relativeHeight="251664384" behindDoc="0" locked="0" layoutInCell="1" allowOverlap="1" wp14:anchorId="2116CF25" wp14:editId="0315706C">
                      <wp:simplePos x="0" y="0"/>
                      <wp:positionH relativeFrom="column">
                        <wp:posOffset>66040</wp:posOffset>
                      </wp:positionH>
                      <wp:positionV relativeFrom="paragraph">
                        <wp:posOffset>42545</wp:posOffset>
                      </wp:positionV>
                      <wp:extent cx="90805" cy="352425"/>
                      <wp:effectExtent l="15240" t="17145" r="33655" b="36830"/>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2425"/>
                              </a:xfrm>
                              <a:prstGeom prst="rightBrace">
                                <a:avLst>
                                  <a:gd name="adj1" fmla="val 32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26" type="#_x0000_t88" style="position:absolute;margin-left:5.2pt;margin-top:3.35pt;width:7.1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"/>
                  </w:pict>
                </mc:Fallback>
              </mc:AlternateContent>
            </w:r>
          </w:p>
          <w:p w14:paraId="40157475" w14:textId="77777777" w:rsidR="003811F8" w:rsidRPr="008250DA" w:rsidRDefault="003811F8" w:rsidP="00B11AE0">
            <w:pPr>
              <w:jc w:val="center"/>
              <w:rPr>
                <w:rFonts w:ascii="Calibri" w:eastAsia="Calibri" w:hAnsi="Calibri" w:cs="Arial"/>
                <w:bCs/>
                <w:sz w:val="18"/>
                <w:szCs w:val="18"/>
              </w:rPr>
            </w:pPr>
            <w:r w:rsidRPr="008250DA">
              <w:rPr>
                <w:rFonts w:ascii="Calibri" w:eastAsia="Calibri" w:hAnsi="Calibri" w:cs="Arial"/>
                <w:bCs/>
                <w:sz w:val="18"/>
                <w:szCs w:val="18"/>
              </w:rPr>
              <w:t>CT</w:t>
            </w:r>
          </w:p>
        </w:tc>
        <w:tc>
          <w:tcPr>
            <w:tcW w:w="1516" w:type="dxa"/>
            <w:gridSpan w:val="2"/>
            <w:tcBorders>
              <w:top w:val="single" w:sz="4" w:space="0" w:color="auto"/>
              <w:left w:val="nil"/>
              <w:bottom w:val="single" w:sz="4" w:space="0" w:color="auto"/>
              <w:right w:val="nil"/>
            </w:tcBorders>
            <w:shd w:val="clear" w:color="auto" w:fill="auto"/>
          </w:tcPr>
          <w:p w14:paraId="1221745D" w14:textId="77777777" w:rsidR="003811F8" w:rsidRPr="00E82DBF" w:rsidRDefault="003811F8" w:rsidP="00B11AE0">
            <w:pPr>
              <w:jc w:val="center"/>
              <w:rPr>
                <w:rFonts w:ascii="Calibri" w:eastAsia="Calibri" w:hAnsi="Calibri" w:cs="Arial"/>
                <w:bCs/>
                <w:sz w:val="18"/>
                <w:szCs w:val="18"/>
              </w:rPr>
            </w:pPr>
            <w:r w:rsidRPr="00E82DBF">
              <w:rPr>
                <w:rFonts w:ascii="Calibri" w:eastAsia="Calibri" w:hAnsi="Calibri" w:cs="Arial"/>
                <w:bCs/>
                <w:sz w:val="18"/>
                <w:szCs w:val="18"/>
              </w:rPr>
              <w:t>43% had hypothyroid signs</w:t>
            </w:r>
          </w:p>
          <w:p w14:paraId="2879CEAE" w14:textId="77777777" w:rsidR="003811F8" w:rsidRPr="00A72062" w:rsidRDefault="003811F8" w:rsidP="00420160">
            <w:pPr>
              <w:spacing w:after="120"/>
              <w:jc w:val="center"/>
              <w:rPr>
                <w:rFonts w:ascii="Calibri" w:eastAsia="Calibri" w:hAnsi="Calibri" w:cs="Arial"/>
                <w:bCs/>
                <w:sz w:val="18"/>
                <w:szCs w:val="18"/>
              </w:rPr>
            </w:pPr>
            <w:r w:rsidRPr="00A72062">
              <w:rPr>
                <w:rFonts w:ascii="Calibri" w:eastAsia="Calibri" w:hAnsi="Calibri" w:cs="Arial"/>
                <w:bCs/>
                <w:sz w:val="18"/>
                <w:szCs w:val="18"/>
              </w:rPr>
              <w:t xml:space="preserve"> 25.9% had persistant hypothyroidism</w:t>
            </w:r>
          </w:p>
        </w:tc>
      </w:tr>
      <w:tr w:rsidR="003811F8" w:rsidRPr="00735ABA" w14:paraId="3BB6840B" w14:textId="77777777" w:rsidTr="0038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single" w:sz="4" w:space="0" w:color="auto"/>
              <w:left w:val="nil"/>
              <w:bottom w:val="single" w:sz="4" w:space="0" w:color="auto"/>
              <w:right w:val="nil"/>
            </w:tcBorders>
            <w:shd w:val="clear" w:color="auto" w:fill="BFBFBF"/>
          </w:tcPr>
          <w:p w14:paraId="24C66AA8" w14:textId="08C6FD5D" w:rsidR="003811F8" w:rsidRPr="00735ABA" w:rsidRDefault="003811F8" w:rsidP="00B11AE0">
            <w:pPr>
              <w:jc w:val="center"/>
              <w:rPr>
                <w:rFonts w:ascii="Calibri" w:eastAsia="Calibri" w:hAnsi="Calibri" w:cs="Arial"/>
                <w:b/>
                <w:bCs/>
                <w:sz w:val="18"/>
                <w:szCs w:val="18"/>
              </w:rPr>
            </w:pPr>
            <w:r w:rsidRPr="00735ABA">
              <w:rPr>
                <w:rFonts w:ascii="Calibri" w:eastAsia="Calibri" w:hAnsi="Calibri" w:cs="Arial"/>
                <w:b/>
                <w:bCs/>
                <w:sz w:val="18"/>
                <w:szCs w:val="18"/>
              </w:rPr>
              <w:t>Romão et al. (</w:t>
            </w:r>
            <w:r w:rsidR="007C69EF">
              <w:rPr>
                <w:rFonts w:ascii="Calibri" w:eastAsia="Calibri" w:hAnsi="Calibri" w:cs="Arial"/>
                <w:b/>
                <w:bCs/>
                <w:sz w:val="18"/>
                <w:szCs w:val="18"/>
              </w:rPr>
              <w:t>148</w:t>
            </w:r>
            <w:r w:rsidRPr="00735ABA">
              <w:rPr>
                <w:rFonts w:ascii="Calibri" w:eastAsia="Calibri" w:hAnsi="Calibri" w:cs="Arial"/>
                <w:b/>
                <w:bCs/>
                <w:sz w:val="18"/>
                <w:szCs w:val="18"/>
              </w:rPr>
              <w:t>)</w:t>
            </w:r>
          </w:p>
        </w:tc>
        <w:tc>
          <w:tcPr>
            <w:tcW w:w="828" w:type="dxa"/>
            <w:tcBorders>
              <w:top w:val="single" w:sz="4" w:space="0" w:color="auto"/>
              <w:left w:val="nil"/>
              <w:bottom w:val="single" w:sz="4" w:space="0" w:color="auto"/>
              <w:right w:val="nil"/>
            </w:tcBorders>
            <w:shd w:val="clear" w:color="auto" w:fill="BFBFBF"/>
          </w:tcPr>
          <w:p w14:paraId="6AF67BFB" w14:textId="77777777" w:rsidR="003811F8" w:rsidRPr="00735ABA" w:rsidRDefault="003811F8" w:rsidP="00B11AE0">
            <w:pPr>
              <w:rPr>
                <w:rFonts w:ascii="Calibri" w:eastAsia="Calibri" w:hAnsi="Calibri" w:cs="Arial"/>
                <w:bCs/>
                <w:sz w:val="18"/>
                <w:szCs w:val="18"/>
              </w:rPr>
            </w:pPr>
            <w:r w:rsidRPr="00735ABA">
              <w:rPr>
                <w:rFonts w:ascii="Calibri" w:eastAsia="Calibri" w:hAnsi="Calibri" w:cs="Arial"/>
                <w:bCs/>
                <w:sz w:val="18"/>
                <w:szCs w:val="18"/>
              </w:rPr>
              <w:t>Eu: 18</w:t>
            </w:r>
          </w:p>
          <w:p w14:paraId="0CFF3AEE" w14:textId="77777777" w:rsidR="003811F8" w:rsidRPr="00735ABA" w:rsidRDefault="003811F8" w:rsidP="00B11AE0">
            <w:pPr>
              <w:rPr>
                <w:rFonts w:ascii="Calibri" w:eastAsia="Calibri" w:hAnsi="Calibri" w:cs="Arial"/>
                <w:bCs/>
                <w:sz w:val="18"/>
                <w:szCs w:val="18"/>
              </w:rPr>
            </w:pPr>
            <w:r w:rsidRPr="00735ABA">
              <w:rPr>
                <w:rFonts w:ascii="Calibri" w:eastAsia="Calibri" w:hAnsi="Calibri" w:cs="Arial"/>
                <w:bCs/>
                <w:sz w:val="18"/>
                <w:szCs w:val="18"/>
              </w:rPr>
              <w:t>SCH: 18</w:t>
            </w:r>
          </w:p>
          <w:p w14:paraId="368481EC" w14:textId="77777777" w:rsidR="003811F8" w:rsidRPr="00735ABA" w:rsidRDefault="003811F8" w:rsidP="00B11AE0">
            <w:pPr>
              <w:rPr>
                <w:rFonts w:ascii="Calibri" w:eastAsia="Calibri" w:hAnsi="Calibri" w:cs="Arial"/>
                <w:bCs/>
                <w:sz w:val="18"/>
                <w:szCs w:val="18"/>
              </w:rPr>
            </w:pPr>
            <w:r w:rsidRPr="00735ABA">
              <w:rPr>
                <w:rFonts w:ascii="Calibri" w:eastAsia="Calibri" w:hAnsi="Calibri" w:cs="Arial"/>
                <w:bCs/>
                <w:sz w:val="18"/>
                <w:szCs w:val="18"/>
              </w:rPr>
              <w:t>CH: 6</w:t>
            </w:r>
          </w:p>
        </w:tc>
        <w:tc>
          <w:tcPr>
            <w:tcW w:w="873" w:type="dxa"/>
            <w:tcBorders>
              <w:top w:val="single" w:sz="4" w:space="0" w:color="auto"/>
              <w:left w:val="nil"/>
              <w:bottom w:val="single" w:sz="4" w:space="0" w:color="auto"/>
              <w:right w:val="nil"/>
            </w:tcBorders>
            <w:shd w:val="clear" w:color="auto" w:fill="BFBFBF"/>
          </w:tcPr>
          <w:p w14:paraId="1478FCD3" w14:textId="77777777" w:rsidR="003811F8" w:rsidRPr="00735ABA" w:rsidRDefault="003811F8" w:rsidP="00B11AE0">
            <w:pPr>
              <w:jc w:val="center"/>
              <w:rPr>
                <w:rFonts w:ascii="Calibri" w:eastAsia="Calibri" w:hAnsi="Calibri" w:cs="Arial"/>
                <w:bCs/>
                <w:sz w:val="18"/>
                <w:szCs w:val="18"/>
              </w:rPr>
            </w:pPr>
            <w:r>
              <w:rPr>
                <w:rFonts w:ascii="Calibri" w:eastAsia="Calibri" w:hAnsi="Calibri" w:cs="Arial"/>
                <w:bCs/>
                <w:noProof/>
                <w:sz w:val="18"/>
                <w:szCs w:val="18"/>
              </w:rPr>
              <mc:AlternateContent>
                <mc:Choice Requires="wps">
                  <w:drawing>
                    <wp:anchor distT="0" distB="0" distL="114300" distR="114300" simplePos="0" relativeHeight="251659264" behindDoc="0" locked="0" layoutInCell="1" allowOverlap="1" wp14:anchorId="688698A1" wp14:editId="0E9A3794">
                      <wp:simplePos x="0" y="0"/>
                      <wp:positionH relativeFrom="column">
                        <wp:posOffset>-12065</wp:posOffset>
                      </wp:positionH>
                      <wp:positionV relativeFrom="paragraph">
                        <wp:posOffset>31115</wp:posOffset>
                      </wp:positionV>
                      <wp:extent cx="90805" cy="352425"/>
                      <wp:effectExtent l="13335" t="18415" r="35560" b="35560"/>
                      <wp:wrapNone/>
                      <wp:docPr id="1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2425"/>
                              </a:xfrm>
                              <a:prstGeom prst="rightBrace">
                                <a:avLst>
                                  <a:gd name="adj1" fmla="val 32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26" type="#_x0000_t88" style="position:absolute;margin-left:-.9pt;margin-top:2.45pt;width:7.1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"/>
                  </w:pict>
                </mc:Fallback>
              </mc:AlternateContent>
            </w:r>
          </w:p>
          <w:p w14:paraId="0087E613" w14:textId="77777777" w:rsidR="003811F8" w:rsidRPr="008250DA" w:rsidRDefault="003811F8" w:rsidP="00B11AE0">
            <w:pPr>
              <w:jc w:val="center"/>
              <w:rPr>
                <w:rFonts w:ascii="Calibri" w:eastAsia="Calibri" w:hAnsi="Calibri" w:cs="Arial"/>
                <w:bCs/>
                <w:sz w:val="18"/>
                <w:szCs w:val="18"/>
              </w:rPr>
            </w:pPr>
            <w:r w:rsidRPr="008250DA">
              <w:rPr>
                <w:rFonts w:ascii="Calibri" w:eastAsia="Calibri" w:hAnsi="Calibri" w:cs="Arial"/>
                <w:bCs/>
                <w:sz w:val="18"/>
                <w:szCs w:val="18"/>
              </w:rPr>
              <w:t>0.1</w:t>
            </w:r>
          </w:p>
        </w:tc>
        <w:tc>
          <w:tcPr>
            <w:tcW w:w="1076" w:type="dxa"/>
            <w:tcBorders>
              <w:top w:val="single" w:sz="4" w:space="0" w:color="auto"/>
              <w:left w:val="nil"/>
              <w:bottom w:val="single" w:sz="4" w:space="0" w:color="auto"/>
              <w:right w:val="nil"/>
            </w:tcBorders>
            <w:shd w:val="clear" w:color="auto" w:fill="BFBFBF"/>
          </w:tcPr>
          <w:p w14:paraId="78921BF3" w14:textId="77777777" w:rsidR="003811F8" w:rsidRPr="00735ABA" w:rsidRDefault="003811F8" w:rsidP="00B11AE0">
            <w:pPr>
              <w:jc w:val="center"/>
              <w:rPr>
                <w:rFonts w:ascii="Calibri" w:eastAsia="Calibri" w:hAnsi="Calibri" w:cs="Arial"/>
                <w:bCs/>
                <w:sz w:val="18"/>
                <w:szCs w:val="18"/>
              </w:rPr>
            </w:pPr>
            <w:r>
              <w:rPr>
                <w:rFonts w:ascii="Calibri" w:eastAsia="Calibri" w:hAnsi="Calibri" w:cs="Arial"/>
                <w:bCs/>
                <w:noProof/>
                <w:sz w:val="18"/>
                <w:szCs w:val="18"/>
              </w:rPr>
              <mc:AlternateContent>
                <mc:Choice Requires="wps">
                  <w:drawing>
                    <wp:anchor distT="0" distB="0" distL="114300" distR="114300" simplePos="0" relativeHeight="251660288" behindDoc="0" locked="0" layoutInCell="1" allowOverlap="1" wp14:anchorId="4D52E023" wp14:editId="7F6D8177">
                      <wp:simplePos x="0" y="0"/>
                      <wp:positionH relativeFrom="column">
                        <wp:posOffset>59690</wp:posOffset>
                      </wp:positionH>
                      <wp:positionV relativeFrom="paragraph">
                        <wp:posOffset>26670</wp:posOffset>
                      </wp:positionV>
                      <wp:extent cx="90805" cy="352425"/>
                      <wp:effectExtent l="8890" t="13970" r="40005" b="40005"/>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2425"/>
                              </a:xfrm>
                              <a:prstGeom prst="rightBrace">
                                <a:avLst>
                                  <a:gd name="adj1" fmla="val 32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26" type="#_x0000_t88" style="position:absolute;margin-left:4.7pt;margin-top:2.1pt;width:7.1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"/>
                  </w:pict>
                </mc:Fallback>
              </mc:AlternateContent>
            </w:r>
          </w:p>
          <w:p w14:paraId="18472A33" w14:textId="77777777" w:rsidR="003811F8" w:rsidRPr="008250DA" w:rsidRDefault="003811F8" w:rsidP="00B11AE0">
            <w:pPr>
              <w:jc w:val="center"/>
              <w:rPr>
                <w:rFonts w:ascii="Calibri" w:eastAsia="Calibri" w:hAnsi="Calibri" w:cs="Arial"/>
                <w:bCs/>
                <w:sz w:val="18"/>
                <w:szCs w:val="18"/>
              </w:rPr>
            </w:pPr>
            <w:r w:rsidRPr="008250DA">
              <w:rPr>
                <w:rFonts w:ascii="Calibri" w:eastAsia="Calibri" w:hAnsi="Calibri" w:cs="Arial"/>
                <w:bCs/>
                <w:sz w:val="18"/>
                <w:szCs w:val="18"/>
              </w:rPr>
              <w:t>24h</w:t>
            </w:r>
          </w:p>
          <w:p w14:paraId="7D2A9B59" w14:textId="77777777" w:rsidR="003811F8" w:rsidRPr="00E82DBF" w:rsidRDefault="003811F8" w:rsidP="00B11AE0">
            <w:pPr>
              <w:jc w:val="center"/>
              <w:rPr>
                <w:rFonts w:ascii="Calibri" w:eastAsia="Calibri" w:hAnsi="Calibri" w:cs="Arial"/>
                <w:bCs/>
                <w:sz w:val="18"/>
                <w:szCs w:val="18"/>
              </w:rPr>
            </w:pPr>
          </w:p>
        </w:tc>
        <w:tc>
          <w:tcPr>
            <w:tcW w:w="1111" w:type="dxa"/>
            <w:tcBorders>
              <w:top w:val="single" w:sz="4" w:space="0" w:color="auto"/>
              <w:left w:val="nil"/>
              <w:bottom w:val="single" w:sz="4" w:space="0" w:color="auto"/>
              <w:right w:val="nil"/>
            </w:tcBorders>
            <w:shd w:val="clear" w:color="auto" w:fill="BFBFBF"/>
          </w:tcPr>
          <w:p w14:paraId="6696A7B5" w14:textId="77777777" w:rsidR="003811F8" w:rsidRPr="00735ABA" w:rsidRDefault="003811F8" w:rsidP="00B11AE0">
            <w:pPr>
              <w:jc w:val="center"/>
              <w:rPr>
                <w:rFonts w:ascii="Calibri" w:eastAsia="Calibri" w:hAnsi="Calibri" w:cs="Arial"/>
                <w:bCs/>
                <w:sz w:val="18"/>
                <w:szCs w:val="18"/>
              </w:rPr>
            </w:pPr>
            <w:r>
              <w:rPr>
                <w:rFonts w:ascii="Calibri" w:eastAsia="Calibri" w:hAnsi="Calibri" w:cs="Arial"/>
                <w:bCs/>
                <w:noProof/>
                <w:szCs w:val="22"/>
              </w:rPr>
              <mc:AlternateContent>
                <mc:Choice Requires="wps">
                  <w:drawing>
                    <wp:anchor distT="0" distB="0" distL="114300" distR="114300" simplePos="0" relativeHeight="251667456" behindDoc="0" locked="0" layoutInCell="1" allowOverlap="1" wp14:anchorId="270CC1DF" wp14:editId="2F76436E">
                      <wp:simplePos x="0" y="0"/>
                      <wp:positionH relativeFrom="column">
                        <wp:posOffset>118745</wp:posOffset>
                      </wp:positionH>
                      <wp:positionV relativeFrom="paragraph">
                        <wp:posOffset>31115</wp:posOffset>
                      </wp:positionV>
                      <wp:extent cx="90805" cy="352425"/>
                      <wp:effectExtent l="17145" t="18415" r="31750" b="35560"/>
                      <wp:wrapNone/>
                      <wp:docPr id="1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2425"/>
                              </a:xfrm>
                              <a:prstGeom prst="rightBrace">
                                <a:avLst>
                                  <a:gd name="adj1" fmla="val 32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26" type="#_x0000_t88" style="position:absolute;margin-left:9.35pt;margin-top:2.45pt;width:7.1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"/>
                  </w:pict>
                </mc:Fallback>
              </mc:AlternateContent>
            </w:r>
          </w:p>
          <w:p w14:paraId="3CACA6B1" w14:textId="77777777" w:rsidR="003811F8" w:rsidRPr="008250DA" w:rsidRDefault="003811F8" w:rsidP="00B11AE0">
            <w:pPr>
              <w:jc w:val="center"/>
              <w:rPr>
                <w:rFonts w:ascii="Calibri" w:eastAsia="Calibri" w:hAnsi="Calibri" w:cs="Arial"/>
                <w:bCs/>
                <w:sz w:val="18"/>
                <w:szCs w:val="18"/>
              </w:rPr>
            </w:pPr>
            <w:r w:rsidRPr="008250DA">
              <w:rPr>
                <w:rFonts w:ascii="Calibri" w:eastAsia="Calibri" w:hAnsi="Calibri" w:cs="Arial"/>
                <w:bCs/>
                <w:sz w:val="18"/>
                <w:szCs w:val="18"/>
              </w:rPr>
              <w:t>30</w:t>
            </w:r>
          </w:p>
          <w:p w14:paraId="4683A945" w14:textId="77777777" w:rsidR="003811F8" w:rsidRPr="00E82DBF" w:rsidRDefault="003811F8" w:rsidP="00B11AE0">
            <w:pPr>
              <w:jc w:val="center"/>
              <w:rPr>
                <w:rFonts w:ascii="Calibri" w:eastAsia="Calibri" w:hAnsi="Calibri" w:cs="Arial"/>
                <w:bCs/>
                <w:sz w:val="18"/>
                <w:szCs w:val="18"/>
              </w:rPr>
            </w:pPr>
          </w:p>
        </w:tc>
        <w:tc>
          <w:tcPr>
            <w:tcW w:w="1215" w:type="dxa"/>
            <w:gridSpan w:val="3"/>
            <w:tcBorders>
              <w:top w:val="single" w:sz="4" w:space="0" w:color="auto"/>
              <w:left w:val="nil"/>
              <w:bottom w:val="single" w:sz="4" w:space="0" w:color="auto"/>
              <w:right w:val="nil"/>
            </w:tcBorders>
            <w:shd w:val="clear" w:color="auto" w:fill="BFBFBF"/>
          </w:tcPr>
          <w:p w14:paraId="44019528" w14:textId="77777777" w:rsidR="003811F8" w:rsidRPr="00A72062" w:rsidRDefault="003811F8" w:rsidP="00B11AE0">
            <w:pPr>
              <w:jc w:val="center"/>
              <w:rPr>
                <w:rFonts w:ascii="Calibri" w:eastAsia="Calibri" w:hAnsi="Calibri" w:cs="Arial"/>
                <w:bCs/>
                <w:sz w:val="18"/>
                <w:szCs w:val="18"/>
              </w:rPr>
            </w:pPr>
            <w:r w:rsidRPr="00A72062">
              <w:rPr>
                <w:rFonts w:ascii="Calibri" w:eastAsia="Calibri" w:hAnsi="Calibri" w:cs="Arial"/>
                <w:bCs/>
                <w:sz w:val="18"/>
                <w:szCs w:val="18"/>
              </w:rPr>
              <w:t>Free T4: 67</w:t>
            </w:r>
          </w:p>
          <w:p w14:paraId="0BC3F840" w14:textId="77777777" w:rsidR="003811F8" w:rsidRPr="00A72062" w:rsidRDefault="003811F8" w:rsidP="00B11AE0">
            <w:pPr>
              <w:jc w:val="center"/>
              <w:rPr>
                <w:rFonts w:ascii="Calibri" w:eastAsia="Calibri" w:hAnsi="Calibri" w:cs="Arial"/>
                <w:bCs/>
                <w:sz w:val="18"/>
                <w:szCs w:val="18"/>
              </w:rPr>
            </w:pPr>
            <w:r w:rsidRPr="00A72062">
              <w:rPr>
                <w:rFonts w:ascii="Calibri" w:eastAsia="Calibri" w:hAnsi="Calibri" w:cs="Arial"/>
                <w:bCs/>
                <w:sz w:val="18"/>
                <w:szCs w:val="18"/>
              </w:rPr>
              <w:t>Free T4: 106</w:t>
            </w:r>
          </w:p>
          <w:p w14:paraId="7817651F" w14:textId="77777777" w:rsidR="003811F8" w:rsidRPr="00A72062" w:rsidRDefault="003811F8" w:rsidP="00B11AE0">
            <w:pPr>
              <w:jc w:val="center"/>
              <w:rPr>
                <w:rFonts w:ascii="Calibri" w:eastAsia="Calibri" w:hAnsi="Calibri" w:cs="Arial"/>
                <w:bCs/>
                <w:sz w:val="18"/>
                <w:szCs w:val="18"/>
              </w:rPr>
            </w:pPr>
            <w:r w:rsidRPr="00A72062">
              <w:rPr>
                <w:rFonts w:ascii="Calibri" w:eastAsia="Calibri" w:hAnsi="Calibri" w:cs="Arial"/>
                <w:bCs/>
                <w:sz w:val="18"/>
                <w:szCs w:val="18"/>
              </w:rPr>
              <w:t>Free T4: 170</w:t>
            </w:r>
          </w:p>
        </w:tc>
        <w:tc>
          <w:tcPr>
            <w:tcW w:w="940" w:type="dxa"/>
            <w:gridSpan w:val="2"/>
            <w:tcBorders>
              <w:top w:val="single" w:sz="4" w:space="0" w:color="auto"/>
              <w:left w:val="nil"/>
              <w:bottom w:val="single" w:sz="4" w:space="0" w:color="auto"/>
              <w:right w:val="nil"/>
            </w:tcBorders>
            <w:shd w:val="clear" w:color="auto" w:fill="BFBFBF"/>
          </w:tcPr>
          <w:p w14:paraId="348F471B" w14:textId="77777777" w:rsidR="003811F8" w:rsidRPr="00735ABA" w:rsidRDefault="003811F8" w:rsidP="00B11AE0">
            <w:pPr>
              <w:jc w:val="center"/>
              <w:rPr>
                <w:rFonts w:ascii="Calibri" w:eastAsia="Calibri" w:hAnsi="Calibri" w:cs="Arial"/>
                <w:bCs/>
                <w:sz w:val="18"/>
                <w:szCs w:val="18"/>
              </w:rPr>
            </w:pPr>
            <w:r>
              <w:rPr>
                <w:rFonts w:ascii="Calibri" w:eastAsia="Calibri" w:hAnsi="Calibri" w:cs="Arial"/>
                <w:bCs/>
                <w:noProof/>
                <w:sz w:val="18"/>
                <w:szCs w:val="18"/>
              </w:rPr>
              <mc:AlternateContent>
                <mc:Choice Requires="wps">
                  <w:drawing>
                    <wp:anchor distT="0" distB="0" distL="114300" distR="114300" simplePos="0" relativeHeight="251663360" behindDoc="0" locked="0" layoutInCell="1" allowOverlap="1" wp14:anchorId="6705AE5F" wp14:editId="5FFF636D">
                      <wp:simplePos x="0" y="0"/>
                      <wp:positionH relativeFrom="column">
                        <wp:posOffset>528955</wp:posOffset>
                      </wp:positionH>
                      <wp:positionV relativeFrom="paragraph">
                        <wp:posOffset>31115</wp:posOffset>
                      </wp:positionV>
                      <wp:extent cx="90805" cy="352425"/>
                      <wp:effectExtent l="8255" t="18415" r="40640" b="35560"/>
                      <wp:wrapNone/>
                      <wp:docPr id="10"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2425"/>
                              </a:xfrm>
                              <a:prstGeom prst="rightBrace">
                                <a:avLst>
                                  <a:gd name="adj1" fmla="val 32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26" type="#_x0000_t88" style="position:absolute;margin-left:41.65pt;margin-top:2.45pt;width:7.1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"/>
                  </w:pict>
                </mc:Fallback>
              </mc:AlternateContent>
            </w:r>
            <w:r w:rsidRPr="00735ABA">
              <w:rPr>
                <w:rFonts w:ascii="Calibri" w:eastAsia="Calibri" w:hAnsi="Calibri" w:cs="Arial"/>
                <w:bCs/>
                <w:sz w:val="18"/>
                <w:szCs w:val="18"/>
              </w:rPr>
              <w:t>79.5</w:t>
            </w:r>
          </w:p>
          <w:p w14:paraId="77A79F90" w14:textId="77777777" w:rsidR="003811F8" w:rsidRPr="008250DA" w:rsidRDefault="003811F8" w:rsidP="00B11AE0">
            <w:pPr>
              <w:jc w:val="center"/>
              <w:rPr>
                <w:rFonts w:ascii="Calibri" w:eastAsia="Calibri" w:hAnsi="Calibri" w:cs="Arial"/>
                <w:bCs/>
                <w:sz w:val="18"/>
                <w:szCs w:val="18"/>
              </w:rPr>
            </w:pPr>
            <w:r w:rsidRPr="008250DA">
              <w:rPr>
                <w:rFonts w:ascii="Calibri" w:eastAsia="Calibri" w:hAnsi="Calibri" w:cs="Arial"/>
                <w:bCs/>
                <w:sz w:val="18"/>
                <w:szCs w:val="18"/>
              </w:rPr>
              <w:t>70.6</w:t>
            </w:r>
          </w:p>
          <w:p w14:paraId="74A13F76" w14:textId="77777777" w:rsidR="003811F8" w:rsidRPr="00E82DBF" w:rsidRDefault="003811F8" w:rsidP="00B11AE0">
            <w:pPr>
              <w:jc w:val="center"/>
              <w:rPr>
                <w:rFonts w:ascii="Calibri" w:eastAsia="Calibri" w:hAnsi="Calibri" w:cs="Arial"/>
                <w:bCs/>
                <w:sz w:val="18"/>
                <w:szCs w:val="18"/>
              </w:rPr>
            </w:pPr>
            <w:r w:rsidRPr="00E82DBF">
              <w:rPr>
                <w:rFonts w:ascii="Calibri" w:eastAsia="Calibri" w:hAnsi="Calibri" w:cs="Arial"/>
                <w:bCs/>
                <w:sz w:val="18"/>
                <w:szCs w:val="18"/>
              </w:rPr>
              <w:t>68.7</w:t>
            </w:r>
          </w:p>
        </w:tc>
        <w:tc>
          <w:tcPr>
            <w:tcW w:w="805" w:type="dxa"/>
            <w:gridSpan w:val="2"/>
            <w:tcBorders>
              <w:top w:val="single" w:sz="4" w:space="0" w:color="auto"/>
              <w:left w:val="nil"/>
              <w:bottom w:val="single" w:sz="4" w:space="0" w:color="auto"/>
              <w:right w:val="nil"/>
            </w:tcBorders>
            <w:shd w:val="clear" w:color="auto" w:fill="BFBFBF"/>
          </w:tcPr>
          <w:p w14:paraId="690C7E49" w14:textId="77777777" w:rsidR="003811F8" w:rsidRPr="00A72062" w:rsidRDefault="003811F8" w:rsidP="00B11AE0">
            <w:pPr>
              <w:jc w:val="center"/>
              <w:rPr>
                <w:rFonts w:ascii="Calibri" w:eastAsia="Calibri" w:hAnsi="Calibri" w:cs="Arial"/>
                <w:bCs/>
                <w:sz w:val="18"/>
                <w:szCs w:val="18"/>
              </w:rPr>
            </w:pPr>
          </w:p>
          <w:p w14:paraId="1F55B06E" w14:textId="77777777" w:rsidR="003811F8" w:rsidRPr="00A72062" w:rsidRDefault="003811F8" w:rsidP="00B11AE0">
            <w:pPr>
              <w:jc w:val="center"/>
              <w:rPr>
                <w:rFonts w:ascii="Calibri" w:eastAsia="Calibri" w:hAnsi="Calibri" w:cs="Arial"/>
                <w:bCs/>
                <w:sz w:val="18"/>
                <w:szCs w:val="18"/>
              </w:rPr>
            </w:pPr>
            <w:r w:rsidRPr="00A72062">
              <w:rPr>
                <w:rFonts w:ascii="Calibri" w:eastAsia="Calibri" w:hAnsi="Calibri" w:cs="Arial"/>
                <w:bCs/>
                <w:sz w:val="18"/>
                <w:szCs w:val="18"/>
              </w:rPr>
              <w:t>3 years</w:t>
            </w:r>
          </w:p>
        </w:tc>
        <w:tc>
          <w:tcPr>
            <w:tcW w:w="1561" w:type="dxa"/>
            <w:gridSpan w:val="2"/>
            <w:tcBorders>
              <w:top w:val="single" w:sz="4" w:space="0" w:color="auto"/>
              <w:left w:val="nil"/>
              <w:bottom w:val="single" w:sz="4" w:space="0" w:color="auto"/>
              <w:right w:val="nil"/>
            </w:tcBorders>
            <w:shd w:val="clear" w:color="auto" w:fill="BFBFBF"/>
          </w:tcPr>
          <w:p w14:paraId="355E33BE" w14:textId="77777777" w:rsidR="003811F8" w:rsidRPr="00735ABA" w:rsidRDefault="003811F8" w:rsidP="00B11AE0">
            <w:pPr>
              <w:jc w:val="center"/>
              <w:rPr>
                <w:rFonts w:ascii="Calibri" w:eastAsia="Calibri" w:hAnsi="Calibri" w:cs="Arial"/>
                <w:bCs/>
                <w:sz w:val="18"/>
                <w:szCs w:val="18"/>
              </w:rPr>
            </w:pPr>
            <w:r>
              <w:rPr>
                <w:rFonts w:ascii="Calibri" w:eastAsia="Calibri" w:hAnsi="Calibri" w:cs="Arial"/>
                <w:bCs/>
                <w:noProof/>
                <w:sz w:val="18"/>
                <w:szCs w:val="18"/>
              </w:rPr>
              <mc:AlternateContent>
                <mc:Choice Requires="wps">
                  <w:drawing>
                    <wp:anchor distT="0" distB="0" distL="114300" distR="114300" simplePos="0" relativeHeight="251665408" behindDoc="0" locked="0" layoutInCell="1" allowOverlap="1" wp14:anchorId="63964288" wp14:editId="168357DD">
                      <wp:simplePos x="0" y="0"/>
                      <wp:positionH relativeFrom="column">
                        <wp:posOffset>66040</wp:posOffset>
                      </wp:positionH>
                      <wp:positionV relativeFrom="paragraph">
                        <wp:posOffset>26670</wp:posOffset>
                      </wp:positionV>
                      <wp:extent cx="90805" cy="352425"/>
                      <wp:effectExtent l="15240" t="13970" r="33655" b="40005"/>
                      <wp:wrapNone/>
                      <wp:docPr id="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2425"/>
                              </a:xfrm>
                              <a:prstGeom prst="rightBrace">
                                <a:avLst>
                                  <a:gd name="adj1" fmla="val 32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26" type="#_x0000_t88" style="position:absolute;margin-left:5.2pt;margin-top:2.1pt;width:7.1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"/>
                  </w:pict>
                </mc:Fallback>
              </mc:AlternateContent>
            </w:r>
          </w:p>
          <w:p w14:paraId="79F3DA4F" w14:textId="77777777" w:rsidR="003811F8" w:rsidRPr="008250DA" w:rsidRDefault="003811F8" w:rsidP="00B11AE0">
            <w:pPr>
              <w:jc w:val="center"/>
              <w:rPr>
                <w:rFonts w:ascii="Calibri" w:eastAsia="Calibri" w:hAnsi="Calibri" w:cs="Arial"/>
                <w:bCs/>
                <w:sz w:val="18"/>
                <w:szCs w:val="18"/>
              </w:rPr>
            </w:pPr>
            <w:r w:rsidRPr="008250DA">
              <w:rPr>
                <w:rFonts w:ascii="Calibri" w:eastAsia="Calibri" w:hAnsi="Calibri" w:cs="Arial"/>
                <w:bCs/>
                <w:sz w:val="18"/>
                <w:szCs w:val="18"/>
              </w:rPr>
              <w:t>CT</w:t>
            </w:r>
          </w:p>
        </w:tc>
        <w:tc>
          <w:tcPr>
            <w:tcW w:w="1516" w:type="dxa"/>
            <w:gridSpan w:val="2"/>
            <w:tcBorders>
              <w:top w:val="single" w:sz="4" w:space="0" w:color="auto"/>
              <w:left w:val="nil"/>
              <w:bottom w:val="single" w:sz="4" w:space="0" w:color="auto"/>
              <w:right w:val="nil"/>
            </w:tcBorders>
            <w:shd w:val="clear" w:color="auto" w:fill="BFBFBF"/>
          </w:tcPr>
          <w:p w14:paraId="1B0B042F" w14:textId="77777777" w:rsidR="003811F8" w:rsidRPr="00E82DBF" w:rsidRDefault="003811F8" w:rsidP="00B11AE0">
            <w:pPr>
              <w:jc w:val="center"/>
              <w:rPr>
                <w:rFonts w:ascii="Calibri" w:eastAsia="Calibri" w:hAnsi="Calibri" w:cs="Arial"/>
                <w:bCs/>
                <w:sz w:val="18"/>
                <w:szCs w:val="18"/>
              </w:rPr>
            </w:pPr>
            <w:r w:rsidRPr="00E82DBF">
              <w:rPr>
                <w:rFonts w:ascii="Calibri" w:eastAsia="Calibri" w:hAnsi="Calibri" w:cs="Arial"/>
                <w:bCs/>
                <w:sz w:val="18"/>
                <w:szCs w:val="18"/>
              </w:rPr>
              <w:t xml:space="preserve">Hypothyroidism: 50% </w:t>
            </w:r>
          </w:p>
          <w:p w14:paraId="10AC3FBE" w14:textId="77777777" w:rsidR="003811F8" w:rsidRPr="00A72062" w:rsidRDefault="003811F8" w:rsidP="00B11AE0">
            <w:pPr>
              <w:jc w:val="center"/>
              <w:rPr>
                <w:rFonts w:ascii="Calibri" w:eastAsia="Calibri" w:hAnsi="Calibri" w:cs="Arial"/>
                <w:bCs/>
                <w:sz w:val="18"/>
                <w:szCs w:val="18"/>
              </w:rPr>
            </w:pPr>
            <w:r w:rsidRPr="00A72062">
              <w:rPr>
                <w:rFonts w:ascii="Calibri" w:eastAsia="Calibri" w:hAnsi="Calibri" w:cs="Arial"/>
                <w:bCs/>
                <w:sz w:val="18"/>
                <w:szCs w:val="18"/>
              </w:rPr>
              <w:t xml:space="preserve">                           11%</w:t>
            </w:r>
          </w:p>
          <w:p w14:paraId="3B160622" w14:textId="77777777" w:rsidR="003811F8" w:rsidRPr="00A72062" w:rsidRDefault="003811F8" w:rsidP="00B11AE0">
            <w:pPr>
              <w:jc w:val="center"/>
              <w:rPr>
                <w:rFonts w:ascii="Calibri" w:eastAsia="Calibri" w:hAnsi="Calibri" w:cs="Arial"/>
                <w:bCs/>
                <w:sz w:val="18"/>
                <w:szCs w:val="18"/>
              </w:rPr>
            </w:pPr>
            <w:r w:rsidRPr="00A72062">
              <w:rPr>
                <w:rFonts w:ascii="Calibri" w:eastAsia="Calibri" w:hAnsi="Calibri" w:cs="Arial"/>
                <w:bCs/>
                <w:sz w:val="18"/>
                <w:szCs w:val="18"/>
              </w:rPr>
              <w:t xml:space="preserve">                           16%</w:t>
            </w:r>
          </w:p>
          <w:p w14:paraId="56F62356" w14:textId="77777777" w:rsidR="003811F8" w:rsidRPr="00A72062" w:rsidRDefault="003811F8" w:rsidP="00420160">
            <w:pPr>
              <w:spacing w:after="120"/>
              <w:jc w:val="center"/>
              <w:rPr>
                <w:rFonts w:ascii="Calibri" w:eastAsia="Calibri" w:hAnsi="Calibri" w:cs="Arial"/>
                <w:bCs/>
                <w:sz w:val="18"/>
                <w:szCs w:val="18"/>
              </w:rPr>
            </w:pPr>
            <w:r w:rsidRPr="00A72062">
              <w:rPr>
                <w:rFonts w:ascii="Calibri" w:eastAsia="Calibri" w:hAnsi="Calibri" w:cs="Arial"/>
                <w:bCs/>
                <w:sz w:val="18"/>
                <w:szCs w:val="18"/>
              </w:rPr>
              <w:t>Side effects more commonly find in SCH and CH</w:t>
            </w:r>
          </w:p>
        </w:tc>
      </w:tr>
      <w:tr w:rsidR="003811F8" w:rsidRPr="00735ABA" w14:paraId="1D29C1F7" w14:textId="77777777" w:rsidTr="0038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single" w:sz="4" w:space="0" w:color="auto"/>
              <w:left w:val="nil"/>
              <w:bottom w:val="nil"/>
              <w:right w:val="nil"/>
            </w:tcBorders>
            <w:shd w:val="clear" w:color="auto" w:fill="auto"/>
          </w:tcPr>
          <w:p w14:paraId="63F45FC1" w14:textId="77777777" w:rsidR="003811F8" w:rsidRPr="00735ABA" w:rsidRDefault="003811F8" w:rsidP="00B11AE0">
            <w:pPr>
              <w:shd w:val="clear" w:color="auto" w:fill="FFFFFF"/>
              <w:jc w:val="center"/>
              <w:rPr>
                <w:rFonts w:ascii="Calibri" w:eastAsia="Calibri" w:hAnsi="Calibri" w:cs="Arial"/>
                <w:b/>
                <w:bCs/>
                <w:sz w:val="18"/>
                <w:szCs w:val="18"/>
              </w:rPr>
            </w:pPr>
            <w:r w:rsidRPr="00735ABA">
              <w:rPr>
                <w:rFonts w:ascii="Calibri" w:eastAsia="Calibri" w:hAnsi="Calibri" w:cs="Arial"/>
                <w:b/>
                <w:bCs/>
                <w:sz w:val="18"/>
                <w:szCs w:val="18"/>
              </w:rPr>
              <w:t>Fast et al</w:t>
            </w:r>
          </w:p>
        </w:tc>
        <w:tc>
          <w:tcPr>
            <w:tcW w:w="828" w:type="dxa"/>
            <w:tcBorders>
              <w:top w:val="single" w:sz="4" w:space="0" w:color="auto"/>
              <w:left w:val="nil"/>
              <w:bottom w:val="nil"/>
              <w:right w:val="nil"/>
            </w:tcBorders>
            <w:shd w:val="clear" w:color="auto" w:fill="auto"/>
          </w:tcPr>
          <w:p w14:paraId="310A4D13" w14:textId="77777777" w:rsidR="003811F8" w:rsidRPr="00735ABA" w:rsidRDefault="003811F8" w:rsidP="00B11AE0">
            <w:pPr>
              <w:shd w:val="clear" w:color="auto" w:fill="FFFFFF"/>
              <w:rPr>
                <w:rFonts w:ascii="Calibri" w:eastAsia="Calibri" w:hAnsi="Calibri" w:cs="Arial"/>
                <w:bCs/>
                <w:sz w:val="18"/>
                <w:szCs w:val="18"/>
              </w:rPr>
            </w:pPr>
            <w:r w:rsidRPr="00735ABA">
              <w:rPr>
                <w:rFonts w:ascii="Calibri" w:eastAsia="Calibri" w:hAnsi="Calibri" w:cs="Arial"/>
                <w:bCs/>
                <w:sz w:val="18"/>
                <w:szCs w:val="18"/>
              </w:rPr>
              <w:t> </w:t>
            </w:r>
          </w:p>
        </w:tc>
        <w:tc>
          <w:tcPr>
            <w:tcW w:w="873" w:type="dxa"/>
            <w:tcBorders>
              <w:top w:val="single" w:sz="4" w:space="0" w:color="auto"/>
              <w:left w:val="nil"/>
              <w:bottom w:val="nil"/>
              <w:right w:val="nil"/>
            </w:tcBorders>
            <w:shd w:val="clear" w:color="auto" w:fill="auto"/>
          </w:tcPr>
          <w:p w14:paraId="733BA332" w14:textId="77777777" w:rsidR="003811F8" w:rsidRPr="00735ABA" w:rsidRDefault="003811F8" w:rsidP="00B11AE0">
            <w:pPr>
              <w:shd w:val="clear" w:color="auto" w:fill="FFFFFF"/>
              <w:jc w:val="center"/>
              <w:rPr>
                <w:rFonts w:ascii="Calibri" w:eastAsia="Calibri" w:hAnsi="Calibri" w:cs="Arial"/>
                <w:bCs/>
                <w:noProof/>
                <w:sz w:val="18"/>
                <w:szCs w:val="18"/>
                <w:lang w:eastAsia="pt-BR"/>
              </w:rPr>
            </w:pPr>
            <w:r w:rsidRPr="00735ABA">
              <w:rPr>
                <w:rFonts w:ascii="Calibri" w:eastAsia="Calibri" w:hAnsi="Calibri" w:cs="Arial"/>
                <w:bCs/>
                <w:noProof/>
                <w:sz w:val="18"/>
                <w:szCs w:val="18"/>
                <w:lang w:eastAsia="pt-BR"/>
              </w:rPr>
              <w:t>Clontrol</w:t>
            </w:r>
          </w:p>
        </w:tc>
        <w:tc>
          <w:tcPr>
            <w:tcW w:w="1076" w:type="dxa"/>
            <w:tcBorders>
              <w:top w:val="single" w:sz="4" w:space="0" w:color="auto"/>
              <w:left w:val="nil"/>
              <w:bottom w:val="nil"/>
              <w:right w:val="nil"/>
            </w:tcBorders>
            <w:shd w:val="clear" w:color="auto" w:fill="auto"/>
          </w:tcPr>
          <w:p w14:paraId="51F0B870" w14:textId="77777777" w:rsidR="003811F8" w:rsidRPr="00735ABA" w:rsidRDefault="003811F8" w:rsidP="00B11AE0">
            <w:pPr>
              <w:shd w:val="clear" w:color="auto" w:fill="FFFFFF"/>
              <w:jc w:val="center"/>
              <w:rPr>
                <w:rFonts w:ascii="Calibri" w:eastAsia="Calibri" w:hAnsi="Calibri" w:cs="Arial"/>
                <w:bCs/>
                <w:noProof/>
                <w:sz w:val="18"/>
                <w:szCs w:val="18"/>
                <w:lang w:eastAsia="pt-BR"/>
              </w:rPr>
            </w:pPr>
            <w:r w:rsidRPr="00735ABA">
              <w:rPr>
                <w:rFonts w:ascii="Calibri" w:eastAsia="Calibri" w:hAnsi="Calibri" w:cs="Arial"/>
                <w:bCs/>
                <w:noProof/>
                <w:sz w:val="18"/>
                <w:szCs w:val="18"/>
                <w:lang w:eastAsia="pt-BR"/>
              </w:rPr>
              <w:t>24h</w:t>
            </w:r>
          </w:p>
        </w:tc>
        <w:tc>
          <w:tcPr>
            <w:tcW w:w="1111" w:type="dxa"/>
            <w:tcBorders>
              <w:top w:val="single" w:sz="4" w:space="0" w:color="auto"/>
              <w:left w:val="nil"/>
              <w:bottom w:val="nil"/>
              <w:right w:val="nil"/>
            </w:tcBorders>
            <w:shd w:val="clear" w:color="auto" w:fill="auto"/>
          </w:tcPr>
          <w:p w14:paraId="1AE08385" w14:textId="77777777" w:rsidR="003811F8" w:rsidRPr="00735ABA" w:rsidRDefault="003811F8" w:rsidP="00B11AE0">
            <w:pPr>
              <w:shd w:val="clear" w:color="auto" w:fill="FFFFFF"/>
              <w:jc w:val="center"/>
              <w:rPr>
                <w:rFonts w:ascii="Calibri" w:eastAsia="Calibri" w:hAnsi="Calibri" w:cs="Arial"/>
                <w:bCs/>
                <w:noProof/>
                <w:szCs w:val="22"/>
                <w:lang w:eastAsia="pt-BR"/>
              </w:rPr>
            </w:pPr>
            <w:r w:rsidRPr="00735ABA">
              <w:rPr>
                <w:rFonts w:ascii="Calibri" w:eastAsia="Calibri" w:hAnsi="Calibri" w:cs="Arial"/>
                <w:bCs/>
                <w:noProof/>
                <w:szCs w:val="22"/>
                <w:lang w:eastAsia="pt-BR"/>
              </w:rPr>
              <w:t> </w:t>
            </w:r>
          </w:p>
        </w:tc>
        <w:tc>
          <w:tcPr>
            <w:tcW w:w="1215" w:type="dxa"/>
            <w:gridSpan w:val="3"/>
            <w:tcBorders>
              <w:top w:val="single" w:sz="4" w:space="0" w:color="auto"/>
              <w:left w:val="nil"/>
              <w:bottom w:val="nil"/>
              <w:right w:val="nil"/>
            </w:tcBorders>
            <w:shd w:val="clear" w:color="auto" w:fill="auto"/>
          </w:tcPr>
          <w:p w14:paraId="32224F32" w14:textId="77777777" w:rsidR="003811F8" w:rsidRPr="00735ABA" w:rsidRDefault="003811F8" w:rsidP="00B11AE0">
            <w:pPr>
              <w:shd w:val="clear" w:color="auto" w:fill="FFFFFF"/>
              <w:jc w:val="center"/>
              <w:rPr>
                <w:rFonts w:ascii="Calibri" w:eastAsia="Calibri" w:hAnsi="Calibri" w:cs="Arial"/>
                <w:bCs/>
                <w:sz w:val="18"/>
                <w:szCs w:val="18"/>
              </w:rPr>
            </w:pPr>
            <w:r w:rsidRPr="00735ABA">
              <w:rPr>
                <w:rFonts w:ascii="Calibri" w:eastAsia="Calibri" w:hAnsi="Calibri" w:cs="Arial"/>
                <w:bCs/>
                <w:sz w:val="18"/>
                <w:szCs w:val="18"/>
              </w:rPr>
              <w:t>rh TSH&gt;</w:t>
            </w:r>
          </w:p>
        </w:tc>
        <w:tc>
          <w:tcPr>
            <w:tcW w:w="940" w:type="dxa"/>
            <w:gridSpan w:val="2"/>
            <w:tcBorders>
              <w:top w:val="single" w:sz="4" w:space="0" w:color="auto"/>
              <w:left w:val="nil"/>
              <w:bottom w:val="nil"/>
              <w:right w:val="nil"/>
            </w:tcBorders>
            <w:shd w:val="clear" w:color="auto" w:fill="auto"/>
          </w:tcPr>
          <w:p w14:paraId="69450EBF" w14:textId="77777777" w:rsidR="003811F8" w:rsidRPr="00735ABA" w:rsidRDefault="003811F8" w:rsidP="00B11AE0">
            <w:pPr>
              <w:shd w:val="clear" w:color="auto" w:fill="FFFFFF"/>
              <w:jc w:val="center"/>
              <w:rPr>
                <w:rFonts w:ascii="Calibri" w:eastAsia="Calibri" w:hAnsi="Calibri" w:cs="Arial"/>
                <w:bCs/>
                <w:noProof/>
                <w:sz w:val="18"/>
                <w:szCs w:val="18"/>
                <w:lang w:eastAsia="pt-BR"/>
              </w:rPr>
            </w:pPr>
            <w:r w:rsidRPr="00735ABA">
              <w:rPr>
                <w:rFonts w:ascii="Calibri" w:eastAsia="Calibri" w:hAnsi="Calibri" w:cs="Arial"/>
                <w:bCs/>
                <w:noProof/>
                <w:sz w:val="18"/>
                <w:szCs w:val="18"/>
                <w:lang w:eastAsia="pt-BR"/>
              </w:rPr>
              <w:t> </w:t>
            </w:r>
          </w:p>
        </w:tc>
        <w:tc>
          <w:tcPr>
            <w:tcW w:w="805" w:type="dxa"/>
            <w:gridSpan w:val="2"/>
            <w:tcBorders>
              <w:top w:val="single" w:sz="4" w:space="0" w:color="auto"/>
              <w:left w:val="nil"/>
              <w:bottom w:val="nil"/>
              <w:right w:val="nil"/>
            </w:tcBorders>
            <w:shd w:val="clear" w:color="auto" w:fill="auto"/>
          </w:tcPr>
          <w:p w14:paraId="1953B092" w14:textId="77777777" w:rsidR="003811F8" w:rsidRPr="00735ABA" w:rsidRDefault="003811F8" w:rsidP="00B11AE0">
            <w:pPr>
              <w:shd w:val="clear" w:color="auto" w:fill="FFFFFF"/>
              <w:jc w:val="center"/>
              <w:rPr>
                <w:rFonts w:ascii="Calibri" w:eastAsia="Calibri" w:hAnsi="Calibri" w:cs="Arial"/>
                <w:bCs/>
                <w:sz w:val="18"/>
                <w:szCs w:val="18"/>
              </w:rPr>
            </w:pPr>
            <w:r w:rsidRPr="00735ABA">
              <w:rPr>
                <w:rFonts w:ascii="Calibri" w:eastAsia="Calibri" w:hAnsi="Calibri" w:cs="Arial"/>
                <w:bCs/>
                <w:sz w:val="18"/>
                <w:szCs w:val="18"/>
              </w:rPr>
              <w:t>1 year</w:t>
            </w:r>
          </w:p>
        </w:tc>
        <w:tc>
          <w:tcPr>
            <w:tcW w:w="1561" w:type="dxa"/>
            <w:gridSpan w:val="2"/>
            <w:tcBorders>
              <w:top w:val="single" w:sz="4" w:space="0" w:color="auto"/>
              <w:left w:val="nil"/>
              <w:bottom w:val="nil"/>
              <w:right w:val="nil"/>
            </w:tcBorders>
            <w:shd w:val="clear" w:color="auto" w:fill="auto"/>
          </w:tcPr>
          <w:p w14:paraId="3AA99C31" w14:textId="77777777" w:rsidR="003811F8" w:rsidRPr="00735ABA" w:rsidRDefault="003811F8" w:rsidP="00B11AE0">
            <w:pPr>
              <w:shd w:val="clear" w:color="auto" w:fill="FFFFFF"/>
              <w:jc w:val="center"/>
              <w:rPr>
                <w:rFonts w:ascii="Calibri" w:eastAsia="Calibri" w:hAnsi="Calibri" w:cs="Arial"/>
                <w:bCs/>
                <w:noProof/>
                <w:sz w:val="18"/>
                <w:szCs w:val="18"/>
                <w:lang w:eastAsia="pt-BR"/>
              </w:rPr>
            </w:pPr>
            <w:r w:rsidRPr="00735ABA">
              <w:rPr>
                <w:rFonts w:ascii="Calibri" w:eastAsia="Calibri" w:hAnsi="Calibri" w:cs="Arial"/>
                <w:bCs/>
                <w:noProof/>
                <w:sz w:val="18"/>
                <w:szCs w:val="18"/>
                <w:lang w:eastAsia="pt-BR"/>
              </w:rPr>
              <w:t> </w:t>
            </w:r>
          </w:p>
        </w:tc>
        <w:tc>
          <w:tcPr>
            <w:tcW w:w="1516" w:type="dxa"/>
            <w:gridSpan w:val="2"/>
            <w:tcBorders>
              <w:top w:val="single" w:sz="4" w:space="0" w:color="auto"/>
              <w:left w:val="nil"/>
              <w:bottom w:val="nil"/>
              <w:right w:val="nil"/>
            </w:tcBorders>
            <w:shd w:val="clear" w:color="auto" w:fill="auto"/>
          </w:tcPr>
          <w:p w14:paraId="17D9E4C3" w14:textId="77777777" w:rsidR="003811F8" w:rsidRPr="00735ABA" w:rsidRDefault="003811F8" w:rsidP="00B11AE0">
            <w:pPr>
              <w:shd w:val="clear" w:color="auto" w:fill="FFFFFF"/>
              <w:jc w:val="center"/>
              <w:rPr>
                <w:rFonts w:ascii="Calibri" w:eastAsia="Calibri" w:hAnsi="Calibri" w:cs="Arial"/>
                <w:bCs/>
                <w:sz w:val="18"/>
                <w:szCs w:val="18"/>
              </w:rPr>
            </w:pPr>
            <w:r w:rsidRPr="00735ABA">
              <w:rPr>
                <w:rFonts w:ascii="Calibri" w:eastAsia="Calibri" w:hAnsi="Calibri" w:cs="Arial"/>
                <w:bCs/>
                <w:sz w:val="18"/>
                <w:szCs w:val="18"/>
              </w:rPr>
              <w:t>see Figure 17-7</w:t>
            </w:r>
          </w:p>
        </w:tc>
      </w:tr>
      <w:tr w:rsidR="003811F8" w:rsidRPr="00735ABA" w14:paraId="33B9AF72" w14:textId="77777777" w:rsidTr="00B11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nil"/>
              <w:left w:val="nil"/>
              <w:bottom w:val="single" w:sz="4" w:space="0" w:color="auto"/>
              <w:right w:val="nil"/>
            </w:tcBorders>
            <w:shd w:val="clear" w:color="auto" w:fill="auto"/>
          </w:tcPr>
          <w:p w14:paraId="6602F240" w14:textId="54F281FF" w:rsidR="003811F8" w:rsidRPr="00951F46" w:rsidRDefault="003811F8" w:rsidP="00B11AE0">
            <w:pPr>
              <w:shd w:val="clear" w:color="auto" w:fill="FFFFFF"/>
              <w:jc w:val="center"/>
              <w:rPr>
                <w:rFonts w:ascii="Calibri" w:eastAsia="Calibri" w:hAnsi="Calibri" w:cs="Arial"/>
                <w:b/>
                <w:bCs/>
                <w:sz w:val="18"/>
                <w:szCs w:val="18"/>
              </w:rPr>
            </w:pPr>
            <w:r w:rsidRPr="00951F46">
              <w:rPr>
                <w:rFonts w:ascii="Calibri" w:eastAsia="Calibri" w:hAnsi="Calibri" w:cs="Arial"/>
                <w:b/>
                <w:bCs/>
                <w:sz w:val="18"/>
                <w:szCs w:val="18"/>
              </w:rPr>
              <w:t>(</w:t>
            </w:r>
            <w:r w:rsidR="007C69EF">
              <w:rPr>
                <w:rFonts w:ascii="Calibri" w:eastAsia="Calibri" w:hAnsi="Calibri" w:cs="Arial"/>
                <w:b/>
                <w:bCs/>
                <w:sz w:val="18"/>
                <w:szCs w:val="18"/>
              </w:rPr>
              <w:t>146</w:t>
            </w:r>
            <w:r w:rsidRPr="00951F46">
              <w:rPr>
                <w:rFonts w:ascii="Calibri" w:eastAsia="Calibri" w:hAnsi="Calibri" w:cs="Arial"/>
                <w:b/>
                <w:bCs/>
                <w:sz w:val="18"/>
                <w:szCs w:val="18"/>
              </w:rPr>
              <w:t>)</w:t>
            </w:r>
          </w:p>
        </w:tc>
        <w:tc>
          <w:tcPr>
            <w:tcW w:w="828" w:type="dxa"/>
            <w:tcBorders>
              <w:top w:val="nil"/>
              <w:left w:val="nil"/>
              <w:bottom w:val="single" w:sz="4" w:space="0" w:color="auto"/>
              <w:right w:val="nil"/>
            </w:tcBorders>
            <w:shd w:val="clear" w:color="auto" w:fill="auto"/>
          </w:tcPr>
          <w:p w14:paraId="1A147312" w14:textId="77777777" w:rsidR="003811F8" w:rsidRPr="00951F46" w:rsidRDefault="003811F8" w:rsidP="00B11AE0">
            <w:pPr>
              <w:shd w:val="clear" w:color="auto" w:fill="FFFFFF"/>
              <w:rPr>
                <w:rFonts w:ascii="Calibri" w:eastAsia="Calibri" w:hAnsi="Calibri" w:cs="Arial"/>
                <w:bCs/>
                <w:sz w:val="18"/>
                <w:szCs w:val="18"/>
              </w:rPr>
            </w:pPr>
            <w:r w:rsidRPr="00951F46">
              <w:rPr>
                <w:rFonts w:ascii="Calibri" w:eastAsia="Calibri" w:hAnsi="Calibri" w:cs="Arial"/>
                <w:bCs/>
                <w:sz w:val="18"/>
                <w:szCs w:val="18"/>
              </w:rPr>
              <w:t> </w:t>
            </w:r>
          </w:p>
        </w:tc>
        <w:tc>
          <w:tcPr>
            <w:tcW w:w="873" w:type="dxa"/>
            <w:tcBorders>
              <w:top w:val="nil"/>
              <w:left w:val="nil"/>
              <w:bottom w:val="single" w:sz="4" w:space="0" w:color="auto"/>
              <w:right w:val="nil"/>
            </w:tcBorders>
            <w:shd w:val="clear" w:color="auto" w:fill="auto"/>
          </w:tcPr>
          <w:p w14:paraId="1D8F29A5" w14:textId="77777777" w:rsidR="003811F8" w:rsidRPr="008250DA" w:rsidRDefault="003811F8" w:rsidP="00B11AE0">
            <w:pPr>
              <w:shd w:val="clear" w:color="auto" w:fill="FFFFFF"/>
              <w:jc w:val="center"/>
              <w:rPr>
                <w:rFonts w:ascii="Calibri" w:eastAsia="Calibri" w:hAnsi="Calibri" w:cs="Arial"/>
                <w:bCs/>
                <w:noProof/>
                <w:sz w:val="18"/>
                <w:szCs w:val="18"/>
                <w:lang w:eastAsia="pt-BR"/>
              </w:rPr>
            </w:pPr>
            <w:r w:rsidRPr="008250DA">
              <w:rPr>
                <w:rFonts w:ascii="Calibri" w:eastAsia="Calibri" w:hAnsi="Calibri" w:cs="Arial"/>
                <w:bCs/>
                <w:noProof/>
                <w:sz w:val="18"/>
                <w:szCs w:val="18"/>
                <w:lang w:eastAsia="pt-BR"/>
              </w:rPr>
              <w:t>Rh TSH </w:t>
            </w:r>
          </w:p>
        </w:tc>
        <w:tc>
          <w:tcPr>
            <w:tcW w:w="1076" w:type="dxa"/>
            <w:tcBorders>
              <w:top w:val="nil"/>
              <w:left w:val="nil"/>
              <w:bottom w:val="single" w:sz="4" w:space="0" w:color="auto"/>
              <w:right w:val="nil"/>
            </w:tcBorders>
            <w:shd w:val="clear" w:color="auto" w:fill="auto"/>
          </w:tcPr>
          <w:p w14:paraId="183D69F3" w14:textId="77777777" w:rsidR="003811F8" w:rsidRPr="00E82DBF" w:rsidRDefault="003811F8" w:rsidP="00B11AE0">
            <w:pPr>
              <w:shd w:val="clear" w:color="auto" w:fill="FFFFFF"/>
              <w:jc w:val="center"/>
              <w:rPr>
                <w:rFonts w:ascii="Calibri" w:eastAsia="Calibri" w:hAnsi="Calibri" w:cs="Arial"/>
                <w:bCs/>
                <w:noProof/>
                <w:sz w:val="18"/>
                <w:szCs w:val="18"/>
                <w:lang w:eastAsia="pt-BR"/>
              </w:rPr>
            </w:pPr>
            <w:r w:rsidRPr="00E82DBF">
              <w:rPr>
                <w:rFonts w:ascii="Calibri" w:eastAsia="Calibri" w:hAnsi="Calibri" w:cs="Arial"/>
                <w:bCs/>
                <w:noProof/>
                <w:sz w:val="18"/>
                <w:szCs w:val="18"/>
                <w:lang w:eastAsia="pt-BR"/>
              </w:rPr>
              <w:t> </w:t>
            </w:r>
          </w:p>
        </w:tc>
        <w:tc>
          <w:tcPr>
            <w:tcW w:w="1111" w:type="dxa"/>
            <w:tcBorders>
              <w:top w:val="nil"/>
              <w:left w:val="nil"/>
              <w:bottom w:val="single" w:sz="4" w:space="0" w:color="auto"/>
              <w:right w:val="nil"/>
            </w:tcBorders>
            <w:shd w:val="clear" w:color="auto" w:fill="auto"/>
          </w:tcPr>
          <w:p w14:paraId="07163BF0" w14:textId="77777777" w:rsidR="003811F8" w:rsidRPr="00A72062" w:rsidRDefault="003811F8" w:rsidP="00B11AE0">
            <w:pPr>
              <w:shd w:val="clear" w:color="auto" w:fill="FFFFFF"/>
              <w:jc w:val="center"/>
              <w:rPr>
                <w:rFonts w:ascii="Calibri" w:eastAsia="Calibri" w:hAnsi="Calibri" w:cs="Arial"/>
                <w:bCs/>
                <w:noProof/>
                <w:szCs w:val="22"/>
                <w:lang w:eastAsia="pt-BR"/>
              </w:rPr>
            </w:pPr>
            <w:r w:rsidRPr="00A72062">
              <w:rPr>
                <w:rFonts w:ascii="Calibri" w:eastAsia="Calibri" w:hAnsi="Calibri" w:cs="Arial"/>
                <w:bCs/>
                <w:noProof/>
                <w:szCs w:val="22"/>
                <w:lang w:eastAsia="pt-BR"/>
              </w:rPr>
              <w:t> </w:t>
            </w:r>
          </w:p>
        </w:tc>
        <w:tc>
          <w:tcPr>
            <w:tcW w:w="1215" w:type="dxa"/>
            <w:gridSpan w:val="3"/>
            <w:tcBorders>
              <w:top w:val="nil"/>
              <w:left w:val="nil"/>
              <w:bottom w:val="single" w:sz="4" w:space="0" w:color="auto"/>
              <w:right w:val="nil"/>
            </w:tcBorders>
            <w:shd w:val="clear" w:color="auto" w:fill="auto"/>
          </w:tcPr>
          <w:p w14:paraId="7B06238D" w14:textId="77777777" w:rsidR="003811F8" w:rsidRPr="00A72062" w:rsidRDefault="003811F8" w:rsidP="00B11AE0">
            <w:pPr>
              <w:shd w:val="clear" w:color="auto" w:fill="FFFFFF"/>
              <w:jc w:val="center"/>
              <w:rPr>
                <w:rFonts w:ascii="Calibri" w:eastAsia="Calibri" w:hAnsi="Calibri" w:cs="Arial"/>
                <w:bCs/>
                <w:sz w:val="18"/>
                <w:szCs w:val="18"/>
              </w:rPr>
            </w:pPr>
            <w:r w:rsidRPr="00A72062">
              <w:rPr>
                <w:rFonts w:ascii="Calibri" w:eastAsia="Calibri" w:hAnsi="Calibri" w:cs="Arial"/>
                <w:bCs/>
                <w:sz w:val="18"/>
                <w:szCs w:val="18"/>
              </w:rPr>
              <w:t>X control</w:t>
            </w:r>
          </w:p>
        </w:tc>
        <w:tc>
          <w:tcPr>
            <w:tcW w:w="940" w:type="dxa"/>
            <w:gridSpan w:val="2"/>
            <w:tcBorders>
              <w:top w:val="nil"/>
              <w:left w:val="nil"/>
              <w:bottom w:val="single" w:sz="4" w:space="0" w:color="auto"/>
              <w:right w:val="nil"/>
            </w:tcBorders>
            <w:shd w:val="clear" w:color="auto" w:fill="auto"/>
          </w:tcPr>
          <w:p w14:paraId="358ECF5C" w14:textId="77777777" w:rsidR="003811F8" w:rsidRPr="004C6D14" w:rsidRDefault="003811F8" w:rsidP="00B11AE0">
            <w:pPr>
              <w:shd w:val="clear" w:color="auto" w:fill="FFFFFF"/>
              <w:jc w:val="center"/>
              <w:rPr>
                <w:rFonts w:ascii="Calibri" w:eastAsia="Calibri" w:hAnsi="Calibri" w:cs="Arial"/>
                <w:bCs/>
                <w:noProof/>
                <w:sz w:val="18"/>
                <w:szCs w:val="18"/>
                <w:lang w:eastAsia="pt-BR"/>
              </w:rPr>
            </w:pPr>
            <w:r w:rsidRPr="004C6D14">
              <w:rPr>
                <w:rFonts w:ascii="Calibri" w:eastAsia="Calibri" w:hAnsi="Calibri" w:cs="Arial"/>
                <w:bCs/>
                <w:noProof/>
                <w:sz w:val="18"/>
                <w:szCs w:val="18"/>
                <w:lang w:eastAsia="pt-BR"/>
              </w:rPr>
              <w:t> </w:t>
            </w:r>
          </w:p>
        </w:tc>
        <w:tc>
          <w:tcPr>
            <w:tcW w:w="805" w:type="dxa"/>
            <w:gridSpan w:val="2"/>
            <w:tcBorders>
              <w:top w:val="nil"/>
              <w:left w:val="nil"/>
              <w:bottom w:val="single" w:sz="4" w:space="0" w:color="auto"/>
              <w:right w:val="nil"/>
            </w:tcBorders>
            <w:shd w:val="clear" w:color="auto" w:fill="auto"/>
          </w:tcPr>
          <w:p w14:paraId="42B5CF11" w14:textId="77777777" w:rsidR="003811F8" w:rsidRPr="004C6D14" w:rsidRDefault="003811F8" w:rsidP="00B11AE0">
            <w:pPr>
              <w:shd w:val="clear" w:color="auto" w:fill="FFFFFF"/>
              <w:jc w:val="center"/>
              <w:rPr>
                <w:rFonts w:ascii="Calibri" w:eastAsia="Calibri" w:hAnsi="Calibri" w:cs="Arial"/>
                <w:bCs/>
                <w:sz w:val="18"/>
                <w:szCs w:val="18"/>
              </w:rPr>
            </w:pPr>
            <w:r w:rsidRPr="004C6D14">
              <w:rPr>
                <w:rFonts w:ascii="Calibri" w:eastAsia="Calibri" w:hAnsi="Calibri" w:cs="Arial"/>
                <w:bCs/>
                <w:sz w:val="18"/>
                <w:szCs w:val="18"/>
              </w:rPr>
              <w:t> </w:t>
            </w:r>
          </w:p>
        </w:tc>
        <w:tc>
          <w:tcPr>
            <w:tcW w:w="1561" w:type="dxa"/>
            <w:gridSpan w:val="2"/>
            <w:tcBorders>
              <w:top w:val="nil"/>
              <w:left w:val="nil"/>
              <w:bottom w:val="single" w:sz="4" w:space="0" w:color="auto"/>
              <w:right w:val="nil"/>
            </w:tcBorders>
            <w:shd w:val="clear" w:color="auto" w:fill="auto"/>
          </w:tcPr>
          <w:p w14:paraId="53D5A66D" w14:textId="77777777" w:rsidR="003811F8" w:rsidRPr="00951F46" w:rsidRDefault="003811F8" w:rsidP="00B11AE0">
            <w:pPr>
              <w:shd w:val="clear" w:color="auto" w:fill="FFFFFF"/>
              <w:jc w:val="center"/>
              <w:rPr>
                <w:rFonts w:ascii="Calibri" w:eastAsia="Calibri" w:hAnsi="Calibri" w:cs="Arial"/>
                <w:bCs/>
                <w:noProof/>
                <w:sz w:val="18"/>
                <w:szCs w:val="18"/>
                <w:lang w:eastAsia="pt-BR"/>
              </w:rPr>
            </w:pPr>
            <w:r w:rsidRPr="00951F46">
              <w:rPr>
                <w:rFonts w:ascii="Calibri" w:eastAsia="Calibri" w:hAnsi="Calibri" w:cs="Arial"/>
                <w:bCs/>
                <w:noProof/>
                <w:sz w:val="18"/>
                <w:szCs w:val="18"/>
                <w:lang w:eastAsia="pt-BR"/>
              </w:rPr>
              <w:t> </w:t>
            </w:r>
          </w:p>
        </w:tc>
        <w:tc>
          <w:tcPr>
            <w:tcW w:w="1516" w:type="dxa"/>
            <w:gridSpan w:val="2"/>
            <w:tcBorders>
              <w:top w:val="nil"/>
              <w:left w:val="nil"/>
              <w:bottom w:val="single" w:sz="4" w:space="0" w:color="auto"/>
              <w:right w:val="nil"/>
            </w:tcBorders>
            <w:shd w:val="clear" w:color="auto" w:fill="auto"/>
          </w:tcPr>
          <w:p w14:paraId="465E88FA" w14:textId="77777777" w:rsidR="003811F8" w:rsidRPr="008250DA" w:rsidRDefault="003811F8" w:rsidP="00B11AE0">
            <w:pPr>
              <w:shd w:val="clear" w:color="auto" w:fill="FFFFFF"/>
              <w:jc w:val="center"/>
              <w:rPr>
                <w:rFonts w:ascii="Calibri" w:eastAsia="Calibri" w:hAnsi="Calibri" w:cs="Arial"/>
                <w:bCs/>
                <w:sz w:val="18"/>
                <w:szCs w:val="18"/>
              </w:rPr>
            </w:pPr>
          </w:p>
        </w:tc>
      </w:tr>
      <w:tr w:rsidR="00073BE2" w:rsidRPr="00BA10B6" w14:paraId="7D10085D" w14:textId="77777777" w:rsidTr="00F97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single" w:sz="4" w:space="0" w:color="auto"/>
              <w:left w:val="nil"/>
              <w:bottom w:val="single" w:sz="4" w:space="0" w:color="auto"/>
              <w:right w:val="nil"/>
            </w:tcBorders>
            <w:shd w:val="clear" w:color="auto" w:fill="BFBFBF" w:themeFill="background1" w:themeFillShade="BF"/>
          </w:tcPr>
          <w:p w14:paraId="3453DDA9" w14:textId="769484D7" w:rsidR="00073BE2" w:rsidRPr="00073BE2" w:rsidRDefault="00073BE2" w:rsidP="00F976F8">
            <w:pPr>
              <w:shd w:val="clear" w:color="auto" w:fill="FFFFFF"/>
              <w:jc w:val="center"/>
              <w:rPr>
                <w:rFonts w:ascii="Calibri" w:eastAsia="Calibri" w:hAnsi="Calibri" w:cs="Arial"/>
                <w:b/>
                <w:bCs/>
                <w:sz w:val="18"/>
                <w:szCs w:val="18"/>
              </w:rPr>
            </w:pPr>
            <w:r w:rsidRPr="00073BE2">
              <w:rPr>
                <w:rFonts w:ascii="Calibri" w:eastAsia="Calibri" w:hAnsi="Calibri" w:cs="Arial"/>
                <w:b/>
                <w:bCs/>
                <w:sz w:val="18"/>
                <w:szCs w:val="18"/>
              </w:rPr>
              <w:t>Fast et al. (</w:t>
            </w:r>
            <w:r w:rsidR="007C69EF">
              <w:rPr>
                <w:rFonts w:ascii="Calibri" w:eastAsia="Calibri" w:hAnsi="Calibri" w:cs="Arial"/>
                <w:b/>
                <w:bCs/>
                <w:sz w:val="18"/>
                <w:szCs w:val="18"/>
              </w:rPr>
              <w:t>136</w:t>
            </w:r>
            <w:r w:rsidRPr="00073BE2">
              <w:rPr>
                <w:rFonts w:ascii="Calibri" w:eastAsia="Calibri" w:hAnsi="Calibri" w:cs="Arial"/>
                <w:b/>
                <w:bCs/>
                <w:sz w:val="18"/>
                <w:szCs w:val="18"/>
              </w:rPr>
              <w:t>)</w:t>
            </w:r>
          </w:p>
        </w:tc>
        <w:tc>
          <w:tcPr>
            <w:tcW w:w="828" w:type="dxa"/>
            <w:tcBorders>
              <w:top w:val="single" w:sz="4" w:space="0" w:color="auto"/>
              <w:left w:val="nil"/>
              <w:bottom w:val="single" w:sz="4" w:space="0" w:color="auto"/>
              <w:right w:val="nil"/>
            </w:tcBorders>
            <w:shd w:val="clear" w:color="auto" w:fill="BFBFBF" w:themeFill="background1" w:themeFillShade="BF"/>
          </w:tcPr>
          <w:p w14:paraId="106B75DD" w14:textId="77777777" w:rsidR="00073BE2" w:rsidRPr="00073BE2" w:rsidRDefault="00073BE2" w:rsidP="00F976F8">
            <w:pPr>
              <w:shd w:val="clear" w:color="auto" w:fill="FFFFFF"/>
              <w:rPr>
                <w:rFonts w:ascii="Calibri" w:eastAsia="Calibri" w:hAnsi="Calibri" w:cs="Arial"/>
                <w:bCs/>
                <w:sz w:val="18"/>
                <w:szCs w:val="18"/>
              </w:rPr>
            </w:pPr>
            <w:r w:rsidRPr="00073BE2">
              <w:rPr>
                <w:rFonts w:ascii="Calibri" w:eastAsia="Calibri" w:hAnsi="Calibri" w:cs="Arial"/>
                <w:bCs/>
                <w:sz w:val="18"/>
                <w:szCs w:val="18"/>
              </w:rPr>
              <w:t>95</w:t>
            </w:r>
          </w:p>
        </w:tc>
        <w:tc>
          <w:tcPr>
            <w:tcW w:w="873" w:type="dxa"/>
            <w:tcBorders>
              <w:top w:val="single" w:sz="4" w:space="0" w:color="auto"/>
              <w:left w:val="nil"/>
              <w:bottom w:val="single" w:sz="4" w:space="0" w:color="auto"/>
              <w:right w:val="nil"/>
            </w:tcBorders>
            <w:shd w:val="clear" w:color="auto" w:fill="BFBFBF" w:themeFill="background1" w:themeFillShade="BF"/>
          </w:tcPr>
          <w:p w14:paraId="05954E1F" w14:textId="77777777" w:rsidR="00073BE2" w:rsidRPr="00073BE2" w:rsidRDefault="00073BE2" w:rsidP="00F976F8">
            <w:pPr>
              <w:shd w:val="clear" w:color="auto" w:fill="FFFFFF"/>
              <w:jc w:val="center"/>
              <w:rPr>
                <w:rFonts w:ascii="Calibri" w:eastAsia="Calibri" w:hAnsi="Calibri" w:cs="Arial"/>
                <w:bCs/>
                <w:noProof/>
                <w:sz w:val="18"/>
                <w:szCs w:val="18"/>
                <w:lang w:eastAsia="pt-BR"/>
              </w:rPr>
            </w:pPr>
            <w:r w:rsidRPr="00073BE2">
              <w:rPr>
                <w:rFonts w:ascii="Calibri" w:eastAsia="Calibri" w:hAnsi="Calibri" w:cs="Arial"/>
                <w:bCs/>
                <w:noProof/>
                <w:sz w:val="18"/>
                <w:szCs w:val="18"/>
                <w:lang w:eastAsia="pt-BR"/>
              </w:rPr>
              <w:t>Placebo</w:t>
            </w:r>
          </w:p>
          <w:p w14:paraId="4BE29C88" w14:textId="77777777" w:rsidR="00073BE2" w:rsidRPr="00073BE2" w:rsidRDefault="00073BE2" w:rsidP="00F976F8">
            <w:pPr>
              <w:shd w:val="clear" w:color="auto" w:fill="FFFFFF"/>
              <w:jc w:val="center"/>
              <w:rPr>
                <w:rFonts w:ascii="Calibri" w:eastAsia="Calibri" w:hAnsi="Calibri" w:cs="Arial"/>
                <w:bCs/>
                <w:noProof/>
                <w:sz w:val="18"/>
                <w:szCs w:val="18"/>
                <w:lang w:eastAsia="pt-BR"/>
              </w:rPr>
            </w:pPr>
            <w:r w:rsidRPr="00073BE2">
              <w:rPr>
                <w:rFonts w:ascii="Calibri" w:eastAsia="Calibri" w:hAnsi="Calibri" w:cs="Arial"/>
                <w:bCs/>
                <w:noProof/>
                <w:sz w:val="18"/>
                <w:szCs w:val="18"/>
                <w:lang w:eastAsia="pt-BR"/>
              </w:rPr>
              <w:t>0.01</w:t>
            </w:r>
          </w:p>
          <w:p w14:paraId="4F9BD9C2" w14:textId="77777777" w:rsidR="00073BE2" w:rsidRPr="00073BE2" w:rsidRDefault="00073BE2" w:rsidP="00F976F8">
            <w:pPr>
              <w:shd w:val="clear" w:color="auto" w:fill="FFFFFF"/>
              <w:spacing w:after="120"/>
              <w:jc w:val="center"/>
              <w:rPr>
                <w:rFonts w:ascii="Calibri" w:eastAsia="Calibri" w:hAnsi="Calibri" w:cs="Arial"/>
                <w:bCs/>
                <w:noProof/>
                <w:sz w:val="18"/>
                <w:szCs w:val="18"/>
                <w:lang w:eastAsia="pt-BR"/>
              </w:rPr>
            </w:pPr>
            <w:r w:rsidRPr="00073BE2">
              <w:rPr>
                <w:rFonts w:ascii="Calibri" w:eastAsia="Calibri" w:hAnsi="Calibri" w:cs="Arial"/>
                <w:bCs/>
                <w:noProof/>
                <w:sz w:val="18"/>
                <w:szCs w:val="18"/>
                <w:lang w:eastAsia="pt-BR"/>
              </w:rPr>
              <w:t>0.03</w:t>
            </w:r>
          </w:p>
        </w:tc>
        <w:tc>
          <w:tcPr>
            <w:tcW w:w="1076" w:type="dxa"/>
            <w:tcBorders>
              <w:top w:val="single" w:sz="4" w:space="0" w:color="auto"/>
              <w:left w:val="nil"/>
              <w:bottom w:val="single" w:sz="4" w:space="0" w:color="auto"/>
              <w:right w:val="nil"/>
            </w:tcBorders>
            <w:shd w:val="clear" w:color="auto" w:fill="BFBFBF" w:themeFill="background1" w:themeFillShade="BF"/>
          </w:tcPr>
          <w:p w14:paraId="28FDC4D7" w14:textId="77777777" w:rsidR="00073BE2" w:rsidRPr="00073BE2" w:rsidRDefault="00073BE2" w:rsidP="00F976F8">
            <w:pPr>
              <w:shd w:val="clear" w:color="auto" w:fill="FFFFFF"/>
              <w:jc w:val="center"/>
              <w:rPr>
                <w:rFonts w:ascii="Calibri" w:eastAsia="Calibri" w:hAnsi="Calibri" w:cs="Arial"/>
                <w:bCs/>
                <w:noProof/>
                <w:sz w:val="18"/>
                <w:szCs w:val="18"/>
                <w:lang w:eastAsia="pt-BR"/>
              </w:rPr>
            </w:pPr>
            <w:r w:rsidRPr="00073BE2">
              <w:rPr>
                <w:rFonts w:ascii="Calibri" w:eastAsia="Calibri" w:hAnsi="Calibri" w:cs="Arial"/>
                <w:bCs/>
                <w:noProof/>
                <w:sz w:val="18"/>
                <w:szCs w:val="18"/>
                <w:lang w:eastAsia="pt-BR"/>
              </w:rPr>
              <w:t xml:space="preserve">24hs </w:t>
            </w:r>
          </w:p>
        </w:tc>
        <w:tc>
          <w:tcPr>
            <w:tcW w:w="1111" w:type="dxa"/>
            <w:tcBorders>
              <w:top w:val="single" w:sz="4" w:space="0" w:color="auto"/>
              <w:left w:val="nil"/>
              <w:bottom w:val="single" w:sz="4" w:space="0" w:color="auto"/>
              <w:right w:val="nil"/>
            </w:tcBorders>
            <w:shd w:val="clear" w:color="auto" w:fill="BFBFBF" w:themeFill="background1" w:themeFillShade="BF"/>
          </w:tcPr>
          <w:p w14:paraId="2A752C05" w14:textId="77777777" w:rsidR="00073BE2" w:rsidRPr="00073BE2" w:rsidRDefault="00073BE2" w:rsidP="00F976F8">
            <w:pPr>
              <w:shd w:val="clear" w:color="auto" w:fill="FFFFFF"/>
              <w:jc w:val="center"/>
              <w:rPr>
                <w:rFonts w:ascii="Calibri" w:eastAsia="Calibri" w:hAnsi="Calibri" w:cs="Arial"/>
                <w:bCs/>
                <w:noProof/>
                <w:sz w:val="18"/>
                <w:szCs w:val="18"/>
                <w:lang w:eastAsia="pt-BR"/>
              </w:rPr>
            </w:pPr>
            <w:r w:rsidRPr="00073BE2">
              <w:rPr>
                <w:rFonts w:ascii="Calibri" w:eastAsia="Calibri" w:hAnsi="Calibri" w:cs="Arial"/>
                <w:bCs/>
                <w:noProof/>
                <w:sz w:val="18"/>
                <w:szCs w:val="18"/>
                <w:lang w:eastAsia="pt-BR"/>
              </w:rPr>
              <w:t xml:space="preserve"> 100Gy</w:t>
            </w:r>
          </w:p>
        </w:tc>
        <w:tc>
          <w:tcPr>
            <w:tcW w:w="1215" w:type="dxa"/>
            <w:gridSpan w:val="3"/>
            <w:tcBorders>
              <w:top w:val="single" w:sz="4" w:space="0" w:color="auto"/>
              <w:left w:val="nil"/>
              <w:bottom w:val="single" w:sz="4" w:space="0" w:color="auto"/>
              <w:right w:val="nil"/>
            </w:tcBorders>
            <w:shd w:val="clear" w:color="auto" w:fill="BFBFBF" w:themeFill="background1" w:themeFillShade="BF"/>
          </w:tcPr>
          <w:p w14:paraId="6C269355" w14:textId="77777777" w:rsidR="00073BE2" w:rsidRPr="00073BE2" w:rsidRDefault="00073BE2" w:rsidP="00F976F8">
            <w:pPr>
              <w:shd w:val="clear" w:color="auto" w:fill="FFFFFF"/>
              <w:jc w:val="center"/>
              <w:rPr>
                <w:rFonts w:ascii="Calibri" w:eastAsia="Calibri" w:hAnsi="Calibri" w:cs="Arial"/>
                <w:bCs/>
                <w:sz w:val="18"/>
                <w:szCs w:val="18"/>
              </w:rPr>
            </w:pPr>
            <w:r w:rsidRPr="00073BE2">
              <w:rPr>
                <w:rFonts w:ascii="Calibri" w:eastAsia="Calibri" w:hAnsi="Calibri" w:cs="Arial"/>
                <w:bCs/>
                <w:sz w:val="18"/>
                <w:szCs w:val="18"/>
              </w:rPr>
              <w:t>NM</w:t>
            </w:r>
          </w:p>
        </w:tc>
        <w:tc>
          <w:tcPr>
            <w:tcW w:w="940" w:type="dxa"/>
            <w:gridSpan w:val="2"/>
            <w:tcBorders>
              <w:top w:val="single" w:sz="4" w:space="0" w:color="auto"/>
              <w:left w:val="nil"/>
              <w:bottom w:val="single" w:sz="4" w:space="0" w:color="auto"/>
              <w:right w:val="nil"/>
            </w:tcBorders>
            <w:shd w:val="clear" w:color="auto" w:fill="BFBFBF" w:themeFill="background1" w:themeFillShade="BF"/>
          </w:tcPr>
          <w:p w14:paraId="1EEF03B7" w14:textId="77777777" w:rsidR="00073BE2" w:rsidRPr="00073BE2" w:rsidRDefault="00073BE2" w:rsidP="00F976F8">
            <w:pPr>
              <w:shd w:val="clear" w:color="auto" w:fill="FFFFFF"/>
              <w:jc w:val="center"/>
              <w:rPr>
                <w:rFonts w:ascii="Calibri" w:eastAsia="Calibri" w:hAnsi="Calibri" w:cs="Arial"/>
                <w:bCs/>
                <w:noProof/>
                <w:sz w:val="18"/>
                <w:szCs w:val="18"/>
                <w:lang w:eastAsia="pt-BR"/>
              </w:rPr>
            </w:pPr>
            <w:r w:rsidRPr="00073BE2">
              <w:rPr>
                <w:rFonts w:ascii="Calibri" w:eastAsia="Calibri" w:hAnsi="Calibri" w:cs="Arial"/>
                <w:bCs/>
                <w:noProof/>
                <w:sz w:val="18"/>
                <w:szCs w:val="18"/>
                <w:lang w:eastAsia="pt-BR"/>
              </w:rPr>
              <w:t>44</w:t>
            </w:r>
          </w:p>
          <w:p w14:paraId="526E433E" w14:textId="77777777" w:rsidR="00073BE2" w:rsidRPr="00073BE2" w:rsidRDefault="00073BE2" w:rsidP="00F976F8">
            <w:pPr>
              <w:shd w:val="clear" w:color="auto" w:fill="FFFFFF"/>
              <w:jc w:val="center"/>
              <w:rPr>
                <w:rFonts w:ascii="Calibri" w:eastAsia="Calibri" w:hAnsi="Calibri" w:cs="Arial"/>
                <w:bCs/>
                <w:noProof/>
                <w:sz w:val="18"/>
                <w:szCs w:val="18"/>
                <w:lang w:eastAsia="pt-BR"/>
              </w:rPr>
            </w:pPr>
            <w:r w:rsidRPr="00073BE2">
              <w:rPr>
                <w:rFonts w:ascii="Calibri" w:eastAsia="Calibri" w:hAnsi="Calibri" w:cs="Arial"/>
                <w:bCs/>
                <w:noProof/>
                <w:sz w:val="18"/>
                <w:szCs w:val="18"/>
                <w:lang w:eastAsia="pt-BR"/>
              </w:rPr>
              <w:t>41</w:t>
            </w:r>
          </w:p>
          <w:p w14:paraId="6B169177" w14:textId="77777777" w:rsidR="00073BE2" w:rsidRPr="00073BE2" w:rsidRDefault="00073BE2" w:rsidP="00F976F8">
            <w:pPr>
              <w:shd w:val="clear" w:color="auto" w:fill="FFFFFF"/>
              <w:jc w:val="center"/>
              <w:rPr>
                <w:rFonts w:ascii="Calibri" w:eastAsia="Calibri" w:hAnsi="Calibri" w:cs="Arial"/>
                <w:bCs/>
                <w:noProof/>
                <w:sz w:val="18"/>
                <w:szCs w:val="18"/>
                <w:lang w:eastAsia="pt-BR"/>
              </w:rPr>
            </w:pPr>
            <w:r w:rsidRPr="00073BE2">
              <w:rPr>
                <w:rFonts w:ascii="Calibri" w:eastAsia="Calibri" w:hAnsi="Calibri" w:cs="Arial"/>
                <w:bCs/>
                <w:noProof/>
                <w:sz w:val="18"/>
                <w:szCs w:val="18"/>
                <w:lang w:eastAsia="pt-BR"/>
              </w:rPr>
              <w:t>53</w:t>
            </w:r>
          </w:p>
        </w:tc>
        <w:tc>
          <w:tcPr>
            <w:tcW w:w="805" w:type="dxa"/>
            <w:gridSpan w:val="2"/>
            <w:tcBorders>
              <w:top w:val="single" w:sz="4" w:space="0" w:color="auto"/>
              <w:left w:val="nil"/>
              <w:bottom w:val="single" w:sz="4" w:space="0" w:color="auto"/>
              <w:right w:val="nil"/>
            </w:tcBorders>
            <w:shd w:val="clear" w:color="auto" w:fill="BFBFBF" w:themeFill="background1" w:themeFillShade="BF"/>
          </w:tcPr>
          <w:p w14:paraId="5BD76A4E" w14:textId="77777777" w:rsidR="00073BE2" w:rsidRPr="00073BE2" w:rsidRDefault="00073BE2" w:rsidP="00F976F8">
            <w:pPr>
              <w:shd w:val="clear" w:color="auto" w:fill="FFFFFF"/>
              <w:jc w:val="center"/>
              <w:rPr>
                <w:rFonts w:ascii="Calibri" w:eastAsia="Calibri" w:hAnsi="Calibri" w:cs="Arial"/>
                <w:bCs/>
                <w:sz w:val="18"/>
                <w:szCs w:val="18"/>
              </w:rPr>
            </w:pPr>
            <w:r w:rsidRPr="00073BE2">
              <w:rPr>
                <w:rFonts w:ascii="Calibri" w:eastAsia="Calibri" w:hAnsi="Calibri" w:cs="Arial"/>
                <w:bCs/>
                <w:sz w:val="18"/>
                <w:szCs w:val="18"/>
              </w:rPr>
              <w:t>3 years</w:t>
            </w:r>
          </w:p>
        </w:tc>
        <w:tc>
          <w:tcPr>
            <w:tcW w:w="1561" w:type="dxa"/>
            <w:gridSpan w:val="2"/>
            <w:tcBorders>
              <w:top w:val="single" w:sz="4" w:space="0" w:color="auto"/>
              <w:left w:val="nil"/>
              <w:bottom w:val="single" w:sz="4" w:space="0" w:color="auto"/>
              <w:right w:val="nil"/>
            </w:tcBorders>
            <w:shd w:val="clear" w:color="auto" w:fill="BFBFBF" w:themeFill="background1" w:themeFillShade="BF"/>
          </w:tcPr>
          <w:p w14:paraId="721617B6" w14:textId="77777777" w:rsidR="00073BE2" w:rsidRPr="00073BE2" w:rsidRDefault="00073BE2" w:rsidP="00F976F8">
            <w:pPr>
              <w:shd w:val="clear" w:color="auto" w:fill="FFFFFF"/>
              <w:jc w:val="center"/>
              <w:rPr>
                <w:rFonts w:ascii="Calibri" w:eastAsia="Calibri" w:hAnsi="Calibri" w:cs="Arial"/>
                <w:bCs/>
                <w:noProof/>
                <w:sz w:val="18"/>
                <w:szCs w:val="18"/>
                <w:lang w:eastAsia="pt-BR"/>
              </w:rPr>
            </w:pPr>
            <w:r w:rsidRPr="00073BE2">
              <w:rPr>
                <w:rFonts w:ascii="Calibri" w:eastAsia="Calibri" w:hAnsi="Calibri" w:cs="Arial"/>
                <w:bCs/>
                <w:noProof/>
                <w:sz w:val="18"/>
                <w:szCs w:val="18"/>
                <w:lang w:eastAsia="pt-BR"/>
              </w:rPr>
              <w:t>CT</w:t>
            </w:r>
          </w:p>
        </w:tc>
        <w:tc>
          <w:tcPr>
            <w:tcW w:w="1516" w:type="dxa"/>
            <w:gridSpan w:val="2"/>
            <w:tcBorders>
              <w:top w:val="single" w:sz="4" w:space="0" w:color="auto"/>
              <w:left w:val="nil"/>
              <w:bottom w:val="single" w:sz="4" w:space="0" w:color="auto"/>
              <w:right w:val="nil"/>
            </w:tcBorders>
            <w:shd w:val="clear" w:color="auto" w:fill="BFBFBF" w:themeFill="background1" w:themeFillShade="BF"/>
          </w:tcPr>
          <w:p w14:paraId="5498981A" w14:textId="77777777" w:rsidR="00073BE2" w:rsidRPr="00073BE2" w:rsidRDefault="00073BE2" w:rsidP="00F976F8">
            <w:pPr>
              <w:shd w:val="clear" w:color="auto" w:fill="FFFFFF"/>
              <w:spacing w:after="120"/>
              <w:jc w:val="center"/>
              <w:rPr>
                <w:rFonts w:ascii="Calibri" w:eastAsia="Calibri" w:hAnsi="Calibri" w:cs="Arial"/>
                <w:bCs/>
                <w:sz w:val="18"/>
                <w:szCs w:val="18"/>
              </w:rPr>
            </w:pPr>
            <w:r w:rsidRPr="00073BE2">
              <w:rPr>
                <w:rFonts w:ascii="Calibri" w:eastAsia="Calibri" w:hAnsi="Calibri" w:cs="Arial"/>
                <w:bCs/>
                <w:sz w:val="18"/>
                <w:szCs w:val="18"/>
              </w:rPr>
              <w:t>Hypothyroidism: more frequently in 0.03 mg group</w:t>
            </w:r>
          </w:p>
        </w:tc>
      </w:tr>
      <w:tr w:rsidR="00073BE2" w:rsidRPr="00951F46" w14:paraId="6CAB5231" w14:textId="77777777" w:rsidTr="00F97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6" w:type="dxa"/>
        </w:trPr>
        <w:tc>
          <w:tcPr>
            <w:tcW w:w="993" w:type="dxa"/>
            <w:tcBorders>
              <w:top w:val="single" w:sz="4" w:space="0" w:color="auto"/>
              <w:left w:val="nil"/>
              <w:bottom w:val="single" w:sz="4" w:space="0" w:color="auto"/>
              <w:right w:val="nil"/>
            </w:tcBorders>
            <w:shd w:val="clear" w:color="auto" w:fill="auto"/>
          </w:tcPr>
          <w:p w14:paraId="6B1DDFB4" w14:textId="6E331571" w:rsidR="00073BE2" w:rsidRPr="00073BE2" w:rsidRDefault="00073BE2" w:rsidP="00F976F8">
            <w:pPr>
              <w:shd w:val="clear" w:color="auto" w:fill="FFFFFF"/>
              <w:jc w:val="center"/>
              <w:rPr>
                <w:rFonts w:ascii="Calibri" w:eastAsia="Calibri" w:hAnsi="Calibri" w:cs="Arial"/>
                <w:b/>
                <w:bCs/>
                <w:sz w:val="18"/>
                <w:szCs w:val="18"/>
              </w:rPr>
            </w:pPr>
            <w:r w:rsidRPr="00073BE2">
              <w:rPr>
                <w:rFonts w:ascii="Calibri" w:eastAsia="Calibri" w:hAnsi="Calibri" w:cs="Arial"/>
                <w:b/>
                <w:bCs/>
                <w:sz w:val="18"/>
                <w:szCs w:val="18"/>
              </w:rPr>
              <w:t>Giust</w:t>
            </w:r>
            <w:r w:rsidR="00BC78C7">
              <w:rPr>
                <w:rFonts w:ascii="Calibri" w:eastAsia="Calibri" w:hAnsi="Calibri" w:cs="Arial"/>
                <w:b/>
                <w:bCs/>
                <w:sz w:val="18"/>
                <w:szCs w:val="18"/>
              </w:rPr>
              <w:t>i</w:t>
            </w:r>
            <w:r w:rsidRPr="00073BE2">
              <w:rPr>
                <w:rFonts w:ascii="Calibri" w:eastAsia="Calibri" w:hAnsi="Calibri" w:cs="Arial"/>
                <w:b/>
                <w:bCs/>
                <w:sz w:val="18"/>
                <w:szCs w:val="18"/>
              </w:rPr>
              <w:t xml:space="preserve"> et al </w:t>
            </w:r>
            <w:r w:rsidR="007C69EF">
              <w:rPr>
                <w:rFonts w:ascii="Calibri" w:eastAsia="Calibri" w:hAnsi="Calibri" w:cs="Arial"/>
                <w:b/>
                <w:bCs/>
                <w:sz w:val="18"/>
                <w:szCs w:val="18"/>
              </w:rPr>
              <w:t>(133)</w:t>
            </w:r>
          </w:p>
        </w:tc>
        <w:tc>
          <w:tcPr>
            <w:tcW w:w="828" w:type="dxa"/>
            <w:tcBorders>
              <w:top w:val="single" w:sz="4" w:space="0" w:color="auto"/>
              <w:left w:val="nil"/>
              <w:bottom w:val="single" w:sz="4" w:space="0" w:color="auto"/>
              <w:right w:val="nil"/>
            </w:tcBorders>
            <w:shd w:val="clear" w:color="auto" w:fill="auto"/>
          </w:tcPr>
          <w:p w14:paraId="741BE969" w14:textId="77777777" w:rsidR="00073BE2" w:rsidRPr="00073BE2" w:rsidRDefault="00073BE2" w:rsidP="00F976F8">
            <w:pPr>
              <w:shd w:val="clear" w:color="auto" w:fill="FFFFFF"/>
              <w:rPr>
                <w:rFonts w:ascii="Calibri" w:eastAsia="Calibri" w:hAnsi="Calibri" w:cs="Arial"/>
                <w:bCs/>
                <w:sz w:val="18"/>
                <w:szCs w:val="18"/>
              </w:rPr>
            </w:pPr>
            <w:r w:rsidRPr="00073BE2">
              <w:rPr>
                <w:rFonts w:ascii="Calibri" w:eastAsia="Calibri" w:hAnsi="Calibri" w:cs="Arial"/>
                <w:bCs/>
                <w:sz w:val="18"/>
                <w:szCs w:val="18"/>
              </w:rPr>
              <w:t>26</w:t>
            </w:r>
          </w:p>
        </w:tc>
        <w:tc>
          <w:tcPr>
            <w:tcW w:w="873" w:type="dxa"/>
            <w:tcBorders>
              <w:top w:val="single" w:sz="4" w:space="0" w:color="auto"/>
              <w:left w:val="nil"/>
              <w:bottom w:val="single" w:sz="4" w:space="0" w:color="auto"/>
              <w:right w:val="nil"/>
            </w:tcBorders>
            <w:shd w:val="clear" w:color="auto" w:fill="auto"/>
          </w:tcPr>
          <w:p w14:paraId="6DD64612" w14:textId="77777777" w:rsidR="00073BE2" w:rsidRPr="00073BE2" w:rsidRDefault="00073BE2" w:rsidP="00F976F8">
            <w:pPr>
              <w:shd w:val="clear" w:color="auto" w:fill="FFFFFF"/>
              <w:jc w:val="center"/>
              <w:rPr>
                <w:rFonts w:ascii="Calibri" w:eastAsia="Calibri" w:hAnsi="Calibri" w:cs="Arial"/>
                <w:bCs/>
                <w:noProof/>
                <w:sz w:val="18"/>
                <w:szCs w:val="18"/>
                <w:lang w:eastAsia="pt-BR"/>
              </w:rPr>
            </w:pPr>
            <w:r w:rsidRPr="00073BE2">
              <w:rPr>
                <w:rFonts w:ascii="Calibri" w:eastAsia="Calibri" w:hAnsi="Calibri" w:cs="Arial"/>
                <w:bCs/>
                <w:noProof/>
                <w:sz w:val="18"/>
                <w:szCs w:val="18"/>
                <w:lang w:eastAsia="pt-BR"/>
              </w:rPr>
              <w:t>TSH&gt;0.3mlU/l</w:t>
            </w:r>
          </w:p>
          <w:p w14:paraId="504B1427" w14:textId="77777777" w:rsidR="00073BE2" w:rsidRPr="00073BE2" w:rsidRDefault="00073BE2" w:rsidP="00F976F8">
            <w:pPr>
              <w:shd w:val="clear" w:color="auto" w:fill="FFFFFF"/>
              <w:jc w:val="center"/>
              <w:rPr>
                <w:rFonts w:ascii="Calibri" w:eastAsia="Calibri" w:hAnsi="Calibri" w:cs="Arial"/>
                <w:bCs/>
                <w:noProof/>
                <w:sz w:val="18"/>
                <w:szCs w:val="18"/>
                <w:lang w:eastAsia="pt-BR"/>
              </w:rPr>
            </w:pPr>
          </w:p>
          <w:p w14:paraId="6B51007F" w14:textId="77777777" w:rsidR="00073BE2" w:rsidRPr="00073BE2" w:rsidRDefault="00073BE2" w:rsidP="00F976F8">
            <w:pPr>
              <w:shd w:val="clear" w:color="auto" w:fill="FFFFFF"/>
              <w:jc w:val="center"/>
              <w:rPr>
                <w:rFonts w:ascii="Calibri" w:eastAsia="Calibri" w:hAnsi="Calibri" w:cs="Arial"/>
                <w:bCs/>
                <w:noProof/>
                <w:sz w:val="18"/>
                <w:szCs w:val="18"/>
                <w:lang w:eastAsia="pt-BR"/>
              </w:rPr>
            </w:pPr>
            <w:r w:rsidRPr="00073BE2">
              <w:rPr>
                <w:rFonts w:ascii="Calibri" w:eastAsia="Calibri" w:hAnsi="Calibri" w:cs="Arial"/>
                <w:bCs/>
                <w:noProof/>
                <w:sz w:val="18"/>
                <w:szCs w:val="18"/>
                <w:lang w:eastAsia="pt-BR"/>
              </w:rPr>
              <w:t>TSH&lt;0.3mlU/l</w:t>
            </w:r>
          </w:p>
        </w:tc>
        <w:tc>
          <w:tcPr>
            <w:tcW w:w="1076" w:type="dxa"/>
            <w:tcBorders>
              <w:top w:val="single" w:sz="4" w:space="0" w:color="auto"/>
              <w:left w:val="nil"/>
              <w:bottom w:val="single" w:sz="4" w:space="0" w:color="auto"/>
              <w:right w:val="nil"/>
            </w:tcBorders>
            <w:shd w:val="clear" w:color="auto" w:fill="auto"/>
          </w:tcPr>
          <w:p w14:paraId="1D8CEA4C" w14:textId="77777777" w:rsidR="00073BE2" w:rsidRPr="00073BE2" w:rsidRDefault="00073BE2" w:rsidP="00F976F8">
            <w:pPr>
              <w:shd w:val="clear" w:color="auto" w:fill="FFFFFF"/>
              <w:jc w:val="center"/>
              <w:rPr>
                <w:rFonts w:ascii="Calibri" w:eastAsia="Calibri" w:hAnsi="Calibri" w:cs="Arial"/>
                <w:bCs/>
                <w:noProof/>
                <w:sz w:val="18"/>
                <w:szCs w:val="18"/>
                <w:lang w:eastAsia="pt-BR"/>
              </w:rPr>
            </w:pPr>
            <w:r w:rsidRPr="00073BE2">
              <w:rPr>
                <w:rFonts w:ascii="Calibri" w:eastAsia="Calibri" w:hAnsi="Calibri" w:cs="Arial"/>
                <w:bCs/>
                <w:noProof/>
                <w:sz w:val="18"/>
                <w:szCs w:val="18"/>
                <w:lang w:eastAsia="pt-BR"/>
              </w:rPr>
              <w:t>24hs</w:t>
            </w:r>
          </w:p>
        </w:tc>
        <w:tc>
          <w:tcPr>
            <w:tcW w:w="1111" w:type="dxa"/>
            <w:tcBorders>
              <w:top w:val="single" w:sz="4" w:space="0" w:color="auto"/>
              <w:left w:val="nil"/>
              <w:bottom w:val="single" w:sz="4" w:space="0" w:color="auto"/>
              <w:right w:val="nil"/>
            </w:tcBorders>
            <w:shd w:val="clear" w:color="auto" w:fill="auto"/>
          </w:tcPr>
          <w:p w14:paraId="42051749" w14:textId="77777777" w:rsidR="00073BE2" w:rsidRPr="00073BE2" w:rsidRDefault="00073BE2" w:rsidP="00F976F8">
            <w:pPr>
              <w:shd w:val="clear" w:color="auto" w:fill="FFFFFF"/>
              <w:jc w:val="center"/>
              <w:rPr>
                <w:rFonts w:ascii="Calibri" w:eastAsia="Calibri" w:hAnsi="Calibri" w:cs="Arial"/>
                <w:bCs/>
                <w:noProof/>
                <w:sz w:val="18"/>
                <w:szCs w:val="18"/>
                <w:lang w:eastAsia="pt-BR"/>
              </w:rPr>
            </w:pPr>
            <w:r w:rsidRPr="00073BE2">
              <w:rPr>
                <w:color w:val="auto"/>
                <w:sz w:val="20"/>
                <w:szCs w:val="20"/>
              </w:rPr>
              <w:t>600 MBq</w:t>
            </w:r>
          </w:p>
        </w:tc>
        <w:tc>
          <w:tcPr>
            <w:tcW w:w="1215" w:type="dxa"/>
            <w:gridSpan w:val="3"/>
            <w:tcBorders>
              <w:top w:val="single" w:sz="4" w:space="0" w:color="auto"/>
              <w:left w:val="nil"/>
              <w:bottom w:val="single" w:sz="4" w:space="0" w:color="auto"/>
              <w:right w:val="nil"/>
            </w:tcBorders>
            <w:shd w:val="clear" w:color="auto" w:fill="auto"/>
          </w:tcPr>
          <w:p w14:paraId="585B35C4" w14:textId="77777777" w:rsidR="00073BE2" w:rsidRPr="00073BE2" w:rsidRDefault="00073BE2" w:rsidP="00F976F8">
            <w:pPr>
              <w:shd w:val="clear" w:color="auto" w:fill="FFFFFF"/>
              <w:jc w:val="center"/>
              <w:rPr>
                <w:rFonts w:ascii="Calibri" w:eastAsia="Calibri" w:hAnsi="Calibri" w:cs="Arial"/>
                <w:bCs/>
                <w:sz w:val="18"/>
                <w:szCs w:val="18"/>
              </w:rPr>
            </w:pPr>
            <w:r w:rsidRPr="00073BE2">
              <w:rPr>
                <w:rFonts w:ascii="Calibri" w:eastAsia="Calibri" w:hAnsi="Calibri" w:cs="Arial"/>
                <w:bCs/>
                <w:sz w:val="18"/>
                <w:szCs w:val="18"/>
              </w:rPr>
              <w:t>NM</w:t>
            </w:r>
          </w:p>
        </w:tc>
        <w:tc>
          <w:tcPr>
            <w:tcW w:w="940" w:type="dxa"/>
            <w:gridSpan w:val="2"/>
            <w:tcBorders>
              <w:top w:val="single" w:sz="4" w:space="0" w:color="auto"/>
              <w:left w:val="nil"/>
              <w:bottom w:val="single" w:sz="4" w:space="0" w:color="auto"/>
              <w:right w:val="nil"/>
            </w:tcBorders>
            <w:shd w:val="clear" w:color="auto" w:fill="auto"/>
          </w:tcPr>
          <w:p w14:paraId="3E2A8FC6" w14:textId="77777777" w:rsidR="00073BE2" w:rsidRPr="00073BE2" w:rsidRDefault="00073BE2" w:rsidP="00F976F8">
            <w:pPr>
              <w:shd w:val="clear" w:color="auto" w:fill="FFFFFF"/>
              <w:jc w:val="center"/>
              <w:rPr>
                <w:rFonts w:ascii="Calibri" w:eastAsia="Calibri" w:hAnsi="Calibri" w:cs="Arial"/>
                <w:bCs/>
                <w:noProof/>
                <w:sz w:val="18"/>
                <w:szCs w:val="18"/>
                <w:lang w:eastAsia="pt-BR"/>
              </w:rPr>
            </w:pPr>
            <w:r w:rsidRPr="00073BE2">
              <w:rPr>
                <w:rFonts w:ascii="Calibri" w:eastAsia="Calibri" w:hAnsi="Calibri" w:cs="Arial"/>
                <w:bCs/>
                <w:noProof/>
                <w:sz w:val="18"/>
                <w:szCs w:val="18"/>
                <w:lang w:eastAsia="pt-BR"/>
              </w:rPr>
              <w:t>67,1</w:t>
            </w:r>
          </w:p>
          <w:p w14:paraId="01DA642B" w14:textId="77777777" w:rsidR="00073BE2" w:rsidRPr="00073BE2" w:rsidRDefault="00073BE2" w:rsidP="00F976F8">
            <w:pPr>
              <w:shd w:val="clear" w:color="auto" w:fill="FFFFFF"/>
              <w:jc w:val="center"/>
              <w:rPr>
                <w:color w:val="auto"/>
                <w:sz w:val="20"/>
                <w:szCs w:val="20"/>
              </w:rPr>
            </w:pPr>
          </w:p>
          <w:p w14:paraId="324172CE" w14:textId="77777777" w:rsidR="00073BE2" w:rsidRPr="00073BE2" w:rsidRDefault="00073BE2" w:rsidP="00F976F8">
            <w:pPr>
              <w:shd w:val="clear" w:color="auto" w:fill="FFFFFF"/>
              <w:jc w:val="center"/>
              <w:rPr>
                <w:color w:val="auto"/>
                <w:sz w:val="20"/>
                <w:szCs w:val="20"/>
              </w:rPr>
            </w:pPr>
          </w:p>
          <w:p w14:paraId="13DE109F" w14:textId="77777777" w:rsidR="00073BE2" w:rsidRPr="00073BE2" w:rsidRDefault="00073BE2" w:rsidP="00F976F8">
            <w:pPr>
              <w:shd w:val="clear" w:color="auto" w:fill="FFFFFF"/>
              <w:jc w:val="center"/>
              <w:rPr>
                <w:rFonts w:ascii="Calibri" w:eastAsia="Calibri" w:hAnsi="Calibri" w:cs="Arial"/>
                <w:bCs/>
                <w:noProof/>
                <w:sz w:val="18"/>
                <w:szCs w:val="18"/>
                <w:lang w:eastAsia="pt-BR"/>
              </w:rPr>
            </w:pPr>
            <w:r w:rsidRPr="00073BE2">
              <w:rPr>
                <w:color w:val="auto"/>
                <w:sz w:val="20"/>
                <w:szCs w:val="20"/>
              </w:rPr>
              <w:t>61.7</w:t>
            </w:r>
          </w:p>
        </w:tc>
        <w:tc>
          <w:tcPr>
            <w:tcW w:w="805" w:type="dxa"/>
            <w:gridSpan w:val="2"/>
            <w:tcBorders>
              <w:top w:val="single" w:sz="4" w:space="0" w:color="auto"/>
              <w:left w:val="nil"/>
              <w:bottom w:val="single" w:sz="4" w:space="0" w:color="auto"/>
              <w:right w:val="nil"/>
            </w:tcBorders>
            <w:shd w:val="clear" w:color="auto" w:fill="auto"/>
          </w:tcPr>
          <w:p w14:paraId="49306EB1" w14:textId="77777777" w:rsidR="00073BE2" w:rsidRPr="00073BE2" w:rsidRDefault="00073BE2" w:rsidP="00F976F8">
            <w:pPr>
              <w:shd w:val="clear" w:color="auto" w:fill="FFFFFF"/>
              <w:jc w:val="center"/>
              <w:rPr>
                <w:color w:val="auto"/>
                <w:sz w:val="20"/>
                <w:szCs w:val="20"/>
              </w:rPr>
            </w:pPr>
            <w:r w:rsidRPr="00073BE2">
              <w:rPr>
                <w:color w:val="auto"/>
                <w:sz w:val="20"/>
                <w:szCs w:val="20"/>
              </w:rPr>
              <w:t xml:space="preserve">55.3 ±  4.1m </w:t>
            </w:r>
          </w:p>
          <w:p w14:paraId="6213485A" w14:textId="77777777" w:rsidR="00073BE2" w:rsidRPr="00073BE2" w:rsidRDefault="00073BE2" w:rsidP="00F976F8">
            <w:pPr>
              <w:shd w:val="clear" w:color="auto" w:fill="FFFFFF"/>
              <w:jc w:val="center"/>
              <w:rPr>
                <w:color w:val="auto"/>
                <w:sz w:val="20"/>
                <w:szCs w:val="20"/>
              </w:rPr>
            </w:pPr>
          </w:p>
          <w:p w14:paraId="18CB8C8C" w14:textId="77777777" w:rsidR="00073BE2" w:rsidRPr="00073BE2" w:rsidRDefault="00073BE2" w:rsidP="00F976F8">
            <w:pPr>
              <w:shd w:val="clear" w:color="auto" w:fill="FFFFFF"/>
              <w:jc w:val="center"/>
              <w:rPr>
                <w:color w:val="auto"/>
                <w:sz w:val="20"/>
                <w:szCs w:val="20"/>
              </w:rPr>
            </w:pPr>
            <w:r w:rsidRPr="00073BE2">
              <w:rPr>
                <w:color w:val="auto"/>
                <w:sz w:val="20"/>
                <w:szCs w:val="20"/>
              </w:rPr>
              <w:t>57.2 ±  5.1m</w:t>
            </w:r>
          </w:p>
        </w:tc>
        <w:tc>
          <w:tcPr>
            <w:tcW w:w="1561" w:type="dxa"/>
            <w:gridSpan w:val="2"/>
            <w:tcBorders>
              <w:top w:val="single" w:sz="4" w:space="0" w:color="auto"/>
              <w:left w:val="nil"/>
              <w:bottom w:val="single" w:sz="4" w:space="0" w:color="auto"/>
              <w:right w:val="nil"/>
            </w:tcBorders>
            <w:shd w:val="clear" w:color="auto" w:fill="auto"/>
          </w:tcPr>
          <w:p w14:paraId="53DBA742" w14:textId="77777777" w:rsidR="00073BE2" w:rsidRPr="00073BE2" w:rsidRDefault="00073BE2" w:rsidP="00F976F8">
            <w:pPr>
              <w:shd w:val="clear" w:color="auto" w:fill="FFFFFF"/>
              <w:jc w:val="center"/>
              <w:rPr>
                <w:rFonts w:ascii="Calibri" w:eastAsia="Calibri" w:hAnsi="Calibri" w:cs="Arial"/>
                <w:bCs/>
                <w:noProof/>
                <w:sz w:val="18"/>
                <w:szCs w:val="18"/>
                <w:lang w:eastAsia="pt-BR"/>
              </w:rPr>
            </w:pPr>
            <w:r w:rsidRPr="00073BE2">
              <w:rPr>
                <w:color w:val="auto"/>
                <w:sz w:val="20"/>
                <w:szCs w:val="20"/>
              </w:rPr>
              <w:t>Ultrasonography</w:t>
            </w:r>
          </w:p>
        </w:tc>
        <w:tc>
          <w:tcPr>
            <w:tcW w:w="1516" w:type="dxa"/>
            <w:gridSpan w:val="2"/>
            <w:tcBorders>
              <w:top w:val="single" w:sz="4" w:space="0" w:color="auto"/>
              <w:left w:val="nil"/>
              <w:bottom w:val="single" w:sz="4" w:space="0" w:color="auto"/>
              <w:right w:val="nil"/>
            </w:tcBorders>
            <w:shd w:val="clear" w:color="auto" w:fill="auto"/>
          </w:tcPr>
          <w:p w14:paraId="2CAC64FF" w14:textId="77777777" w:rsidR="00073BE2" w:rsidRPr="00073BE2" w:rsidRDefault="00073BE2" w:rsidP="00F976F8">
            <w:pPr>
              <w:shd w:val="clear" w:color="auto" w:fill="FFFFFF"/>
              <w:jc w:val="center"/>
              <w:rPr>
                <w:rFonts w:ascii="Calibri" w:eastAsia="Calibri" w:hAnsi="Calibri" w:cs="Arial"/>
                <w:bCs/>
                <w:sz w:val="18"/>
                <w:szCs w:val="18"/>
              </w:rPr>
            </w:pPr>
            <w:r w:rsidRPr="00073BE2">
              <w:rPr>
                <w:rFonts w:ascii="Calibri" w:eastAsia="Calibri" w:hAnsi="Calibri" w:cs="Arial"/>
                <w:bCs/>
                <w:sz w:val="18"/>
                <w:szCs w:val="18"/>
              </w:rPr>
              <w:t>Several side effects in both groups</w:t>
            </w:r>
          </w:p>
        </w:tc>
      </w:tr>
    </w:tbl>
    <w:p w14:paraId="222ACDE6" w14:textId="335E66EC" w:rsidR="003811F8" w:rsidRPr="003811F8" w:rsidRDefault="003811F8" w:rsidP="00507729">
      <w:pPr>
        <w:spacing w:after="200" w:line="276" w:lineRule="auto"/>
        <w:rPr>
          <w:rFonts w:ascii="Arial" w:eastAsia="Calibri" w:hAnsi="Arial" w:cs="Arial"/>
          <w:sz w:val="18"/>
          <w:szCs w:val="18"/>
        </w:rPr>
      </w:pPr>
      <w:r w:rsidRPr="003811F8">
        <w:rPr>
          <w:rFonts w:ascii="Arial" w:eastAsia="Calibri" w:hAnsi="Arial" w:cs="Arial"/>
          <w:sz w:val="18"/>
          <w:szCs w:val="18"/>
        </w:rPr>
        <w:t>M: months</w:t>
      </w:r>
    </w:p>
    <w:p w14:paraId="0419E0F3" w14:textId="77777777" w:rsidR="00AA491A" w:rsidRPr="00E82DBF" w:rsidRDefault="00AA491A" w:rsidP="004D2621">
      <w:pPr>
        <w:pStyle w:val="Heading3"/>
        <w:rPr>
          <w:sz w:val="22"/>
          <w:szCs w:val="22"/>
        </w:rPr>
      </w:pPr>
      <w:r w:rsidRPr="00E82DBF">
        <w:rPr>
          <w:sz w:val="22"/>
          <w:szCs w:val="22"/>
        </w:rPr>
        <w:lastRenderedPageBreak/>
        <w:t>(5). Increase in goiter size immediately after ablation</w:t>
      </w:r>
    </w:p>
    <w:p w14:paraId="6FD76E64" w14:textId="0C61DDB1" w:rsidR="00AA491A" w:rsidRPr="00735ABA" w:rsidRDefault="00AA491A" w:rsidP="00B55FE6">
      <w:pPr>
        <w:ind w:right="-136"/>
        <w:rPr>
          <w:rFonts w:ascii="Arial" w:hAnsi="Arial" w:cs="Arial"/>
          <w:sz w:val="22"/>
          <w:szCs w:val="22"/>
        </w:rPr>
      </w:pPr>
      <w:r w:rsidRPr="00735ABA">
        <w:rPr>
          <w:rFonts w:ascii="Arial" w:hAnsi="Arial" w:cs="Arial"/>
          <w:sz w:val="22"/>
          <w:szCs w:val="22"/>
        </w:rPr>
        <w:t>It is worth mentioning the possibility of increase in goiter size with rhTSH (1</w:t>
      </w:r>
      <w:r w:rsidR="007C69EF">
        <w:rPr>
          <w:rFonts w:ascii="Arial" w:hAnsi="Arial" w:cs="Arial"/>
          <w:sz w:val="22"/>
          <w:szCs w:val="22"/>
        </w:rPr>
        <w:t>42</w:t>
      </w:r>
      <w:r w:rsidRPr="00735ABA">
        <w:rPr>
          <w:rFonts w:ascii="Arial" w:hAnsi="Arial" w:cs="Arial"/>
          <w:sz w:val="22"/>
          <w:szCs w:val="22"/>
        </w:rPr>
        <w:t xml:space="preserve">, </w:t>
      </w:r>
      <w:r w:rsidR="007C69EF">
        <w:rPr>
          <w:rFonts w:ascii="Arial" w:hAnsi="Arial" w:cs="Arial"/>
          <w:sz w:val="22"/>
          <w:szCs w:val="22"/>
        </w:rPr>
        <w:t>145</w:t>
      </w:r>
      <w:r w:rsidRPr="00735ABA">
        <w:rPr>
          <w:rFonts w:ascii="Arial" w:hAnsi="Arial" w:cs="Arial"/>
          <w:sz w:val="22"/>
          <w:szCs w:val="22"/>
        </w:rPr>
        <w:t>). In a study of 10 patients with MNG who were given 0.3 mg of rhTSH, it was shown that 24h after rhTSH, the mean goiter volume increased by 9.8% and after 48h, by 24%, reverting to baseline at 1 week. This suggests that rhTSH may lead to significant cervical compression in patients with near obstructive goiters, when used for improving ¹³¹I therapy in patients with goiter (1</w:t>
      </w:r>
      <w:r w:rsidR="007C69EF">
        <w:rPr>
          <w:rFonts w:ascii="Arial" w:hAnsi="Arial" w:cs="Arial"/>
          <w:sz w:val="22"/>
          <w:szCs w:val="22"/>
        </w:rPr>
        <w:t>45</w:t>
      </w:r>
      <w:r w:rsidRPr="00735ABA">
        <w:rPr>
          <w:rFonts w:ascii="Arial" w:hAnsi="Arial" w:cs="Arial"/>
          <w:sz w:val="22"/>
          <w:szCs w:val="22"/>
        </w:rPr>
        <w:t>).  All side effects related to acute thyroid enlargement causing tenderness and dyspnea due to possible obstruction of tracheal airway were promptly resolved with corticosteroid therapy.</w:t>
      </w:r>
    </w:p>
    <w:p w14:paraId="36B2E14C" w14:textId="77777777" w:rsidR="00AA491A" w:rsidRPr="00735ABA" w:rsidRDefault="00AA491A" w:rsidP="004D2621">
      <w:pPr>
        <w:pStyle w:val="Heading3"/>
        <w:rPr>
          <w:sz w:val="22"/>
          <w:szCs w:val="22"/>
        </w:rPr>
      </w:pPr>
      <w:r w:rsidRPr="00735ABA">
        <w:rPr>
          <w:sz w:val="22"/>
          <w:szCs w:val="22"/>
        </w:rPr>
        <w:t>(6). Radioactive iodine and rhTSH in elderly with hyperthyroidism</w:t>
      </w:r>
    </w:p>
    <w:p w14:paraId="0779FAE7" w14:textId="35917BCF" w:rsidR="00AA491A" w:rsidRPr="00735ABA" w:rsidRDefault="00AA491A" w:rsidP="00B55FE6">
      <w:pPr>
        <w:ind w:right="-136"/>
        <w:rPr>
          <w:rFonts w:ascii="Arial" w:hAnsi="Arial" w:cs="Arial"/>
          <w:sz w:val="22"/>
          <w:szCs w:val="22"/>
        </w:rPr>
      </w:pPr>
      <w:r w:rsidRPr="00735ABA">
        <w:rPr>
          <w:rFonts w:ascii="Arial" w:hAnsi="Arial" w:cs="Arial"/>
          <w:sz w:val="22"/>
          <w:szCs w:val="22"/>
        </w:rPr>
        <w:t>Treatment with ¹³¹I following rhTSH stimulation is also an attractive alternative in elderly patients considered poor surgical candidates or who refuse surgery. The prevalence of MNG rises in the elderly, a population in whom comorbities prevail. Of even greater concern in iodine repleted areas is the development of subclinical or overt hyperthyroidism, since thyroid hyper-function may increase the mortality risk in these patients (1</w:t>
      </w:r>
      <w:r w:rsidR="007C69EF">
        <w:rPr>
          <w:rFonts w:ascii="Arial" w:hAnsi="Arial" w:cs="Arial"/>
          <w:sz w:val="22"/>
          <w:szCs w:val="22"/>
        </w:rPr>
        <w:t>48</w:t>
      </w:r>
      <w:r w:rsidRPr="00735ABA">
        <w:rPr>
          <w:rFonts w:ascii="Arial" w:hAnsi="Arial" w:cs="Arial"/>
          <w:sz w:val="22"/>
          <w:szCs w:val="22"/>
        </w:rPr>
        <w:t>). An Italian study assessed 20 elderly patients with large goiters and compared treatment with ¹³¹I (10 to 15 mCi fixed dose) following two consecutive 0.2 mg doses of rhTSH (n = 12; 3 patients had subclinical hyperthyroidism with TSH &lt;0.3 µU/ml) with treatment with ¹³¹I alone (n = 8; subclinical hyperthyroidism recorded in 5). Patients who received rhTSH had higher transient elevations in free T4 and Free T3 lasting 2 weeks, a greater reduction in goiter size (44% vs. 25%). Both groups had a 17% incidence of hypothyroidism ~ 2 years after ¹³¹I therapy. Symptomatic relief occurred in all but 1 patient following rhTSH with a 50% median reduction on thyroid volume after about 2 years (1</w:t>
      </w:r>
      <w:r w:rsidR="007C69EF">
        <w:rPr>
          <w:rFonts w:ascii="Arial" w:hAnsi="Arial" w:cs="Arial"/>
          <w:sz w:val="22"/>
          <w:szCs w:val="22"/>
        </w:rPr>
        <w:t>40</w:t>
      </w:r>
      <w:r w:rsidRPr="00735ABA">
        <w:rPr>
          <w:rFonts w:ascii="Arial" w:hAnsi="Arial" w:cs="Arial"/>
          <w:sz w:val="22"/>
          <w:szCs w:val="22"/>
        </w:rPr>
        <w:t>). In study conducted by Silva et al (1</w:t>
      </w:r>
      <w:r w:rsidR="007C69EF">
        <w:rPr>
          <w:rFonts w:ascii="Arial" w:hAnsi="Arial" w:cs="Arial"/>
          <w:sz w:val="22"/>
          <w:szCs w:val="22"/>
        </w:rPr>
        <w:t>42</w:t>
      </w:r>
      <w:r w:rsidRPr="00735ABA">
        <w:rPr>
          <w:rFonts w:ascii="Arial" w:hAnsi="Arial" w:cs="Arial"/>
          <w:sz w:val="22"/>
          <w:szCs w:val="22"/>
        </w:rPr>
        <w:t>), 17 elderly subjects with MNG treatment with ¹³¹I 24h after pretreatment with 0.45 mg rhTSH and were compared with 17 elderly controls treated with ¹³¹I alone. In patients pretreated with rhTSH, serum TSH and T3 levels rose to a peak level in 24h, returning to normal at 72h. Serum free T4 concentrations rose significantly at 48h returning to normal at 7 days. Serum TG increased and remained elevated during the following 12 months. Patients pretreated with rhTSH had a 58% reduction in goiter volume when compared with 40% in patients treated with ¹³¹I alone. Hypothyroidism was more frequent in pretreated patients (65% versus 21% in non-pretreated) after 1 year. No symptoms of hyperthyroidism were observed in these patients. Four years after ¹³¹I therapy, additional thyroid volume reduction was similar for patients treated with rhTSH prior to ¹³¹I or with ¹³¹I alone, but it was significantly more pronounced in the rhTSH group, mainly in the first year (1</w:t>
      </w:r>
      <w:r w:rsidR="007C69EF">
        <w:rPr>
          <w:rFonts w:ascii="Arial" w:hAnsi="Arial" w:cs="Arial"/>
          <w:sz w:val="22"/>
          <w:szCs w:val="22"/>
        </w:rPr>
        <w:t>49</w:t>
      </w:r>
      <w:r w:rsidRPr="00735ABA">
        <w:rPr>
          <w:rFonts w:ascii="Arial" w:hAnsi="Arial" w:cs="Arial"/>
          <w:sz w:val="22"/>
          <w:szCs w:val="22"/>
        </w:rPr>
        <w:t>). Although no additional benefit of rhTSH was observed after a long follow-up, the initial difference in thyroid volume reduction was maintained, denoting the advantage of using rhTSH pretreatment to achieve higher thyroid volume reduction during the first treatment (Table 17-6).</w:t>
      </w:r>
    </w:p>
    <w:p w14:paraId="6D9B1EAC" w14:textId="77777777" w:rsidR="00AA491A" w:rsidRPr="00735ABA" w:rsidRDefault="00AA491A" w:rsidP="00B55FE6">
      <w:pPr>
        <w:ind w:right="-136"/>
        <w:rPr>
          <w:rFonts w:ascii="Arial" w:hAnsi="Arial" w:cs="Arial"/>
          <w:sz w:val="22"/>
          <w:szCs w:val="22"/>
        </w:rPr>
      </w:pPr>
    </w:p>
    <w:p w14:paraId="72F49382" w14:textId="7C58972F" w:rsidR="00AA491A" w:rsidRPr="00735ABA" w:rsidRDefault="00AA491A" w:rsidP="00B55FE6">
      <w:pPr>
        <w:ind w:right="-136"/>
        <w:rPr>
          <w:rFonts w:ascii="Arial" w:hAnsi="Arial" w:cs="Arial"/>
          <w:sz w:val="22"/>
          <w:szCs w:val="22"/>
        </w:rPr>
      </w:pPr>
      <w:r w:rsidRPr="00735ABA">
        <w:rPr>
          <w:rFonts w:ascii="Arial" w:hAnsi="Arial" w:cs="Arial"/>
          <w:sz w:val="22"/>
          <w:szCs w:val="22"/>
        </w:rPr>
        <w:t>In another report of a short-term observational study, the investigators assessed the efficacy of a low-dose (0.03 mg) rhTSH stimulation on a fixed therapeutic activity of</w:t>
      </w:r>
      <w:r w:rsidR="00807499" w:rsidRPr="00735ABA">
        <w:rPr>
          <w:rFonts w:ascii="Arial" w:hAnsi="Arial" w:cs="Arial"/>
          <w:sz w:val="22"/>
          <w:szCs w:val="22"/>
        </w:rPr>
        <w:t xml:space="preserve"> </w:t>
      </w:r>
      <w:r w:rsidRPr="00735ABA">
        <w:rPr>
          <w:rFonts w:ascii="Arial" w:hAnsi="Arial" w:cs="Arial"/>
          <w:sz w:val="22"/>
          <w:szCs w:val="22"/>
        </w:rPr>
        <w:t xml:space="preserve"> ~ 30 mCi ¹³¹I in 17 patients with large nodular goiters (12 with overt or subclinical hyperthyroidism / TSH &lt;0.5 µU/ml and five on treatment with thionamides) (1</w:t>
      </w:r>
      <w:r w:rsidR="007C69EF">
        <w:rPr>
          <w:rFonts w:ascii="Arial" w:hAnsi="Arial" w:cs="Arial"/>
          <w:sz w:val="22"/>
          <w:szCs w:val="22"/>
        </w:rPr>
        <w:t>47</w:t>
      </w:r>
      <w:r w:rsidRPr="00735ABA">
        <w:rPr>
          <w:rFonts w:ascii="Arial" w:hAnsi="Arial" w:cs="Arial"/>
          <w:sz w:val="22"/>
          <w:szCs w:val="22"/>
        </w:rPr>
        <w:t>). RAIU increased from 26% to 43%, free T4 increased from 1.4 to 2.0 ng/dl, and goiter size decreased from 170 to 113 cm³ by 6 months. Symptomatic relief, improved well-being and / or reduction, or elimination of anti-hyperthyroid drug was seen in 76% of the patients. However, 3 (18%) patients presented transient neck pain or tenderness, 1 experienced asymptomatic thyroid enlargement, and 3 became hypothyroid by 3 months (Table 17-6).</w:t>
      </w:r>
      <w:r w:rsidR="00722BD5" w:rsidRPr="00735ABA">
        <w:rPr>
          <w:rFonts w:ascii="Arial" w:hAnsi="Arial" w:cs="Arial"/>
          <w:sz w:val="22"/>
          <w:szCs w:val="22"/>
        </w:rPr>
        <w:t xml:space="preserve"> </w:t>
      </w:r>
      <w:bookmarkStart w:id="1" w:name="_GoBack"/>
      <w:r w:rsidR="00722BD5" w:rsidRPr="00735ABA">
        <w:rPr>
          <w:rFonts w:ascii="Arial" w:hAnsi="Arial" w:cs="Arial"/>
          <w:sz w:val="22"/>
          <w:szCs w:val="22"/>
        </w:rPr>
        <w:t>A recent paper (1</w:t>
      </w:r>
      <w:r w:rsidR="007C69EF">
        <w:rPr>
          <w:rFonts w:ascii="Arial" w:hAnsi="Arial" w:cs="Arial"/>
          <w:sz w:val="22"/>
          <w:szCs w:val="22"/>
        </w:rPr>
        <w:t>46</w:t>
      </w:r>
      <w:r w:rsidR="00722BD5" w:rsidRPr="00735ABA">
        <w:rPr>
          <w:rFonts w:ascii="Arial" w:hAnsi="Arial" w:cs="Arial"/>
          <w:sz w:val="22"/>
          <w:szCs w:val="22"/>
        </w:rPr>
        <w:t xml:space="preserve">) compared the results of RAI alone and RAI </w:t>
      </w:r>
      <w:proofErr w:type="gramStart"/>
      <w:r w:rsidR="00722BD5" w:rsidRPr="00735ABA">
        <w:rPr>
          <w:rFonts w:ascii="Arial" w:hAnsi="Arial" w:cs="Arial"/>
          <w:sz w:val="22"/>
          <w:szCs w:val="22"/>
        </w:rPr>
        <w:t>preceded</w:t>
      </w:r>
      <w:proofErr w:type="gramEnd"/>
      <w:r w:rsidR="00722BD5" w:rsidRPr="00735ABA">
        <w:rPr>
          <w:rFonts w:ascii="Arial" w:hAnsi="Arial" w:cs="Arial"/>
          <w:sz w:val="22"/>
          <w:szCs w:val="22"/>
        </w:rPr>
        <w:t xml:space="preserve"> by rhTSH (see </w:t>
      </w:r>
      <w:bookmarkEnd w:id="1"/>
      <w:r w:rsidR="00722BD5" w:rsidRPr="00735ABA">
        <w:rPr>
          <w:rFonts w:ascii="Arial" w:hAnsi="Arial" w:cs="Arial"/>
          <w:sz w:val="22"/>
          <w:szCs w:val="22"/>
        </w:rPr>
        <w:t>Figure 17</w:t>
      </w:r>
      <w:r w:rsidR="00B74396">
        <w:rPr>
          <w:rFonts w:ascii="Arial" w:hAnsi="Arial" w:cs="Arial"/>
          <w:sz w:val="22"/>
          <w:szCs w:val="22"/>
        </w:rPr>
        <w:t>-8</w:t>
      </w:r>
      <w:r w:rsidR="00722BD5" w:rsidRPr="00735ABA">
        <w:rPr>
          <w:rFonts w:ascii="Arial" w:hAnsi="Arial" w:cs="Arial"/>
          <w:sz w:val="22"/>
          <w:szCs w:val="22"/>
        </w:rPr>
        <w:t>) clearly demonstrating the efficacy of pre-treatment with rh TSH.</w:t>
      </w:r>
    </w:p>
    <w:p w14:paraId="2BCBD924" w14:textId="77777777" w:rsidR="00AA491A" w:rsidRPr="00735ABA" w:rsidRDefault="00AA491A" w:rsidP="00B55FE6">
      <w:pPr>
        <w:ind w:right="-136"/>
        <w:rPr>
          <w:rFonts w:ascii="Arial" w:hAnsi="Arial" w:cs="Arial"/>
          <w:sz w:val="22"/>
          <w:szCs w:val="22"/>
        </w:rPr>
      </w:pPr>
    </w:p>
    <w:p w14:paraId="4655F7BE" w14:textId="77777777" w:rsidR="00AA491A" w:rsidRPr="00735ABA" w:rsidRDefault="00AA491A" w:rsidP="004D2621">
      <w:pPr>
        <w:pStyle w:val="Heading3"/>
        <w:rPr>
          <w:sz w:val="22"/>
          <w:szCs w:val="22"/>
        </w:rPr>
      </w:pPr>
      <w:r w:rsidRPr="00735ABA">
        <w:rPr>
          <w:sz w:val="22"/>
          <w:szCs w:val="22"/>
        </w:rPr>
        <w:t>(7). Cardiovascular events after RAI ablation</w:t>
      </w:r>
    </w:p>
    <w:p w14:paraId="6B0E20AB" w14:textId="6CC966E1" w:rsidR="00AA491A" w:rsidRPr="00735ABA" w:rsidRDefault="00AA491A" w:rsidP="00B55FE6">
      <w:pPr>
        <w:ind w:right="-136"/>
        <w:rPr>
          <w:rFonts w:ascii="Arial" w:hAnsi="Arial" w:cs="Arial"/>
          <w:sz w:val="22"/>
          <w:szCs w:val="22"/>
        </w:rPr>
      </w:pPr>
      <w:r w:rsidRPr="00735ABA">
        <w:rPr>
          <w:rFonts w:ascii="Arial" w:hAnsi="Arial" w:cs="Arial"/>
          <w:sz w:val="22"/>
          <w:szCs w:val="22"/>
        </w:rPr>
        <w:t>Cardiovascular parameters to detect transient elevation of serum thyroid hormones were evaluated in 27 of 42 patients (age range 42-80 years) with large MNGs who were treated with rhTSH before receiving ¹³¹I 30 mCi (1</w:t>
      </w:r>
      <w:r w:rsidR="007C69EF">
        <w:rPr>
          <w:rFonts w:ascii="Arial" w:hAnsi="Arial" w:cs="Arial"/>
          <w:sz w:val="22"/>
          <w:szCs w:val="22"/>
        </w:rPr>
        <w:t>50</w:t>
      </w:r>
      <w:r w:rsidRPr="00735ABA">
        <w:rPr>
          <w:rFonts w:ascii="Arial" w:hAnsi="Arial" w:cs="Arial"/>
          <w:sz w:val="22"/>
          <w:szCs w:val="22"/>
        </w:rPr>
        <w:t>). All patients presented a transient surge in serum levels of free T4 and total T3 into the hyperthyroid range following therapy. However, post-treatment cardiovascular evaluation did not show significant changes when compared with baseline evaluation, suggesting that treatment of MNGs with RAI after rhTSH stimulation does not affect structural and functional parameters of the heart. These findings are reassuring, particularly when considering treatment for older adults with comorbidities that preclude surgery.</w:t>
      </w:r>
    </w:p>
    <w:p w14:paraId="18082880" w14:textId="77777777" w:rsidR="00AA491A" w:rsidRPr="00735ABA" w:rsidRDefault="00AA491A" w:rsidP="00B55FE6">
      <w:pPr>
        <w:ind w:right="-136"/>
        <w:rPr>
          <w:rFonts w:ascii="Arial" w:hAnsi="Arial" w:cs="Arial"/>
          <w:sz w:val="22"/>
          <w:szCs w:val="22"/>
        </w:rPr>
      </w:pPr>
    </w:p>
    <w:p w14:paraId="0C066B07" w14:textId="77777777" w:rsidR="00AA491A" w:rsidRPr="00735ABA" w:rsidRDefault="00AA491A" w:rsidP="004D2621">
      <w:pPr>
        <w:pStyle w:val="Heading3"/>
        <w:rPr>
          <w:sz w:val="22"/>
          <w:szCs w:val="22"/>
        </w:rPr>
      </w:pPr>
      <w:r w:rsidRPr="00735ABA">
        <w:rPr>
          <w:sz w:val="22"/>
          <w:szCs w:val="22"/>
        </w:rPr>
        <w:t>(8). Thyroid autoantibodies occurrence after ¹³¹I therapy</w:t>
      </w:r>
    </w:p>
    <w:p w14:paraId="6D44ABAE" w14:textId="1F40FA9C" w:rsidR="00AA491A" w:rsidRPr="00735ABA" w:rsidRDefault="00AA491A" w:rsidP="00B55FE6">
      <w:pPr>
        <w:ind w:right="-136"/>
        <w:rPr>
          <w:rFonts w:ascii="Arial" w:hAnsi="Arial" w:cs="Arial"/>
          <w:sz w:val="22"/>
          <w:szCs w:val="22"/>
        </w:rPr>
      </w:pPr>
      <w:r w:rsidRPr="00735ABA">
        <w:rPr>
          <w:rFonts w:ascii="Arial" w:hAnsi="Arial" w:cs="Arial"/>
          <w:sz w:val="22"/>
          <w:szCs w:val="22"/>
        </w:rPr>
        <w:t>Some studies have reported the development of thyroid antibodies associated with ¹³¹I therapy (1</w:t>
      </w:r>
      <w:r w:rsidR="007C69EF">
        <w:rPr>
          <w:rFonts w:ascii="Arial" w:hAnsi="Arial" w:cs="Arial"/>
          <w:sz w:val="22"/>
          <w:szCs w:val="22"/>
        </w:rPr>
        <w:t>51</w:t>
      </w:r>
      <w:r w:rsidRPr="00735ABA">
        <w:rPr>
          <w:rFonts w:ascii="Arial" w:hAnsi="Arial" w:cs="Arial"/>
          <w:sz w:val="22"/>
          <w:szCs w:val="22"/>
        </w:rPr>
        <w:t>), however a direct cause-effect linking to rhTSH has not been demonstrated. These observations have been interpreted as an immunological response caused by the release of thyroid antigens from destroyed follicular cells. In a study published by Rubio et al (1</w:t>
      </w:r>
      <w:r w:rsidR="007C69EF">
        <w:rPr>
          <w:rFonts w:ascii="Arial" w:hAnsi="Arial" w:cs="Arial"/>
          <w:sz w:val="22"/>
          <w:szCs w:val="22"/>
        </w:rPr>
        <w:t>52</w:t>
      </w:r>
      <w:r w:rsidRPr="00735ABA">
        <w:rPr>
          <w:rFonts w:ascii="Arial" w:hAnsi="Arial" w:cs="Arial"/>
          <w:sz w:val="22"/>
          <w:szCs w:val="22"/>
        </w:rPr>
        <w:t>), it was found that rhTSH pretreatment had no significant effect in the development of antibodies (TSH receptor and TPO) when compared with treatment with ¹³¹I alone. As noted below, up to 5% of individuals develop auto-immune hyperthyroidism after 131-I therapy.</w:t>
      </w:r>
    </w:p>
    <w:p w14:paraId="7E7B1EA1" w14:textId="77777777" w:rsidR="00AA491A" w:rsidRPr="00735ABA" w:rsidRDefault="00AA491A" w:rsidP="00B55FE6">
      <w:pPr>
        <w:ind w:right="-136"/>
        <w:rPr>
          <w:rFonts w:ascii="Arial" w:hAnsi="Arial" w:cs="Arial"/>
          <w:sz w:val="22"/>
          <w:szCs w:val="22"/>
        </w:rPr>
      </w:pPr>
      <w:r w:rsidRPr="00735ABA">
        <w:rPr>
          <w:rFonts w:ascii="Arial" w:hAnsi="Arial" w:cs="Arial"/>
          <w:sz w:val="22"/>
          <w:szCs w:val="22"/>
        </w:rPr>
        <w:t xml:space="preserve"> </w:t>
      </w:r>
    </w:p>
    <w:p w14:paraId="54530065" w14:textId="77777777" w:rsidR="00AA491A" w:rsidRPr="00735ABA" w:rsidRDefault="00AA491A" w:rsidP="00B55FE6">
      <w:pPr>
        <w:ind w:right="-136"/>
        <w:rPr>
          <w:rFonts w:ascii="Arial" w:hAnsi="Arial" w:cs="Arial"/>
          <w:sz w:val="22"/>
          <w:szCs w:val="22"/>
        </w:rPr>
      </w:pPr>
      <w:r w:rsidRPr="00735ABA">
        <w:rPr>
          <w:rStyle w:val="Heading3Char"/>
          <w:sz w:val="22"/>
          <w:szCs w:val="22"/>
        </w:rPr>
        <w:t>(9)</w:t>
      </w:r>
      <w:r w:rsidR="001776FD" w:rsidRPr="00735ABA">
        <w:rPr>
          <w:rStyle w:val="Heading3Char"/>
          <w:sz w:val="22"/>
          <w:szCs w:val="22"/>
        </w:rPr>
        <w:t>.</w:t>
      </w:r>
      <w:r w:rsidRPr="00735ABA">
        <w:rPr>
          <w:rStyle w:val="Heading3Char"/>
          <w:sz w:val="22"/>
          <w:szCs w:val="22"/>
        </w:rPr>
        <w:t xml:space="preserve"> Potential induction of malignancy </w:t>
      </w:r>
      <w:r w:rsidRPr="00735ABA">
        <w:rPr>
          <w:rFonts w:ascii="Arial" w:hAnsi="Arial" w:cs="Arial"/>
          <w:sz w:val="22"/>
          <w:szCs w:val="22"/>
        </w:rPr>
        <w:br/>
        <w:t>Although generally ignored, treatment with large doses of 131-I obviously raises the possibility of induction of malignancy. This has not so far been recorded in relation to therapy of MNG. Depending on functionality of the thyroid tissue, dose administered, size of the goiter, and size of the patient, whole body radiation could be up to 1 rad/mCi given,  a dosage similar to that obtained  during therapy of thyroid cancer. Perhaps the major use of this treatment will be in older individuals, with a shorter potential life span after treatment, which would presumably make this less of a concern.</w:t>
      </w:r>
    </w:p>
    <w:p w14:paraId="0F4310EA" w14:textId="77777777" w:rsidR="00AA491A" w:rsidRPr="00735ABA" w:rsidRDefault="00AA491A" w:rsidP="00B55FE6">
      <w:pPr>
        <w:ind w:right="-136"/>
        <w:rPr>
          <w:rFonts w:ascii="Arial" w:hAnsi="Arial" w:cs="Arial"/>
          <w:b/>
          <w:sz w:val="22"/>
          <w:szCs w:val="22"/>
          <w:u w:val="single"/>
        </w:rPr>
      </w:pPr>
    </w:p>
    <w:p w14:paraId="1AEC9BE7" w14:textId="77777777" w:rsidR="00AA491A" w:rsidRPr="00735ABA" w:rsidRDefault="00AA491A" w:rsidP="004D2621">
      <w:pPr>
        <w:pStyle w:val="Heading2"/>
        <w:rPr>
          <w:sz w:val="22"/>
          <w:szCs w:val="22"/>
        </w:rPr>
      </w:pPr>
      <w:r w:rsidRPr="00735ABA">
        <w:rPr>
          <w:sz w:val="22"/>
          <w:szCs w:val="22"/>
        </w:rPr>
        <w:t>Conclusions and comments</w:t>
      </w:r>
    </w:p>
    <w:p w14:paraId="0225BDEB" w14:textId="5D48941E" w:rsidR="00AA491A" w:rsidRPr="00735ABA" w:rsidRDefault="00AA491A" w:rsidP="00B55FE6">
      <w:pPr>
        <w:ind w:right="-136"/>
        <w:rPr>
          <w:rFonts w:ascii="Arial" w:hAnsi="Arial" w:cs="Arial"/>
          <w:sz w:val="22"/>
          <w:szCs w:val="22"/>
        </w:rPr>
      </w:pPr>
      <w:r w:rsidRPr="00735ABA">
        <w:rPr>
          <w:rFonts w:ascii="Arial" w:hAnsi="Arial" w:cs="Arial"/>
          <w:sz w:val="22"/>
          <w:szCs w:val="22"/>
        </w:rPr>
        <w:t>Given the limited experience published in the literature so far, before considering the routine use of rhTSH administration before ¹³¹I treatment of MNG, several issues must be taken into consideration (1</w:t>
      </w:r>
      <w:r w:rsidR="008F3984">
        <w:rPr>
          <w:rFonts w:ascii="Arial" w:hAnsi="Arial" w:cs="Arial"/>
          <w:sz w:val="22"/>
          <w:szCs w:val="22"/>
        </w:rPr>
        <w:t>53</w:t>
      </w:r>
      <w:r w:rsidRPr="00735ABA">
        <w:rPr>
          <w:rFonts w:ascii="Arial" w:hAnsi="Arial" w:cs="Arial"/>
          <w:sz w:val="22"/>
          <w:szCs w:val="22"/>
        </w:rPr>
        <w:t>-1</w:t>
      </w:r>
      <w:r w:rsidR="008F3984">
        <w:rPr>
          <w:rFonts w:ascii="Arial" w:hAnsi="Arial" w:cs="Arial"/>
          <w:sz w:val="22"/>
          <w:szCs w:val="22"/>
        </w:rPr>
        <w:t>57</w:t>
      </w:r>
      <w:r w:rsidRPr="00735ABA">
        <w:rPr>
          <w:rFonts w:ascii="Arial" w:hAnsi="Arial" w:cs="Arial"/>
          <w:sz w:val="22"/>
          <w:szCs w:val="22"/>
        </w:rPr>
        <w:t>).</w:t>
      </w:r>
    </w:p>
    <w:p w14:paraId="7CF3A168" w14:textId="446733E4" w:rsidR="00AA491A" w:rsidRPr="00735ABA" w:rsidRDefault="00AA491A" w:rsidP="00722BD5">
      <w:pPr>
        <w:numPr>
          <w:ilvl w:val="0"/>
          <w:numId w:val="24"/>
        </w:numPr>
        <w:ind w:right="-136"/>
        <w:rPr>
          <w:rFonts w:ascii="Arial" w:hAnsi="Arial" w:cs="Arial"/>
          <w:sz w:val="22"/>
          <w:szCs w:val="22"/>
        </w:rPr>
      </w:pPr>
      <w:r w:rsidRPr="00735ABA">
        <w:rPr>
          <w:rFonts w:ascii="Arial" w:hAnsi="Arial" w:cs="Arial"/>
          <w:sz w:val="22"/>
          <w:szCs w:val="22"/>
        </w:rPr>
        <w:t>¹³³I treatment alone can lead to a 15-25% transient increase in thyroid volume during the first week after treatment;</w:t>
      </w:r>
    </w:p>
    <w:p w14:paraId="2984061A" w14:textId="77777777" w:rsidR="00AA491A" w:rsidRPr="00735ABA" w:rsidRDefault="00AA491A" w:rsidP="00722BD5">
      <w:pPr>
        <w:numPr>
          <w:ilvl w:val="0"/>
          <w:numId w:val="24"/>
        </w:numPr>
        <w:ind w:right="-136"/>
        <w:rPr>
          <w:rFonts w:ascii="Arial" w:hAnsi="Arial" w:cs="Arial"/>
          <w:sz w:val="22"/>
          <w:szCs w:val="22"/>
        </w:rPr>
      </w:pPr>
      <w:r w:rsidRPr="00735ABA">
        <w:rPr>
          <w:rFonts w:ascii="Arial" w:hAnsi="Arial" w:cs="Arial"/>
          <w:sz w:val="22"/>
          <w:szCs w:val="22"/>
        </w:rPr>
        <w:t>rhTSH administration alone occasionally can lead to a significant increase, albeit transient, in thyroid volume, of up to 100% in normal subjects with 48h.</w:t>
      </w:r>
    </w:p>
    <w:p w14:paraId="48EACC77" w14:textId="77777777" w:rsidR="00AA491A" w:rsidRPr="00735ABA" w:rsidRDefault="00AA491A" w:rsidP="00722BD5">
      <w:pPr>
        <w:numPr>
          <w:ilvl w:val="0"/>
          <w:numId w:val="24"/>
        </w:numPr>
        <w:ind w:right="-136"/>
        <w:rPr>
          <w:rFonts w:ascii="Arial" w:hAnsi="Arial" w:cs="Arial"/>
          <w:sz w:val="22"/>
          <w:szCs w:val="22"/>
        </w:rPr>
      </w:pPr>
      <w:r w:rsidRPr="00735ABA">
        <w:rPr>
          <w:rFonts w:ascii="Arial" w:hAnsi="Arial" w:cs="Arial"/>
          <w:sz w:val="22"/>
          <w:szCs w:val="22"/>
        </w:rPr>
        <w:t>The combination of the two modalities may lead to a substantial acute increase in thyroid volume;</w:t>
      </w:r>
    </w:p>
    <w:p w14:paraId="72B2D3D5" w14:textId="463E885F" w:rsidR="00AA491A" w:rsidRPr="00735ABA" w:rsidRDefault="00AA491A" w:rsidP="00722BD5">
      <w:pPr>
        <w:numPr>
          <w:ilvl w:val="0"/>
          <w:numId w:val="24"/>
        </w:numPr>
        <w:ind w:right="-136"/>
        <w:rPr>
          <w:rFonts w:ascii="Arial" w:hAnsi="Arial" w:cs="Arial"/>
          <w:sz w:val="22"/>
          <w:szCs w:val="22"/>
        </w:rPr>
      </w:pPr>
      <w:r w:rsidRPr="00735ABA">
        <w:rPr>
          <w:rFonts w:ascii="Arial" w:hAnsi="Arial" w:cs="Arial"/>
          <w:sz w:val="22"/>
          <w:szCs w:val="22"/>
        </w:rPr>
        <w:t>¹³¹I treatment of MNG leads to transient hyperthyroidism during the first 2-3  weeks after therapy and the combination with rhTSH administration can enhance this effect, with potential consequences particularly for the elderly patients (1</w:t>
      </w:r>
      <w:r w:rsidR="008F3984">
        <w:rPr>
          <w:rFonts w:ascii="Arial" w:hAnsi="Arial" w:cs="Arial"/>
          <w:sz w:val="22"/>
          <w:szCs w:val="22"/>
        </w:rPr>
        <w:t>48</w:t>
      </w:r>
      <w:r w:rsidRPr="00735ABA">
        <w:rPr>
          <w:rFonts w:ascii="Arial" w:hAnsi="Arial" w:cs="Arial"/>
          <w:sz w:val="22"/>
          <w:szCs w:val="22"/>
        </w:rPr>
        <w:t>);</w:t>
      </w:r>
    </w:p>
    <w:p w14:paraId="51759414" w14:textId="77777777" w:rsidR="00AA491A" w:rsidRPr="00735ABA" w:rsidRDefault="00AA491A" w:rsidP="00722BD5">
      <w:pPr>
        <w:numPr>
          <w:ilvl w:val="0"/>
          <w:numId w:val="24"/>
        </w:numPr>
        <w:ind w:right="-136"/>
        <w:rPr>
          <w:rFonts w:ascii="Arial" w:hAnsi="Arial" w:cs="Arial"/>
          <w:sz w:val="22"/>
          <w:szCs w:val="22"/>
        </w:rPr>
      </w:pPr>
      <w:r w:rsidRPr="00735ABA">
        <w:rPr>
          <w:rFonts w:ascii="Arial" w:hAnsi="Arial" w:cs="Arial"/>
          <w:sz w:val="22"/>
          <w:szCs w:val="22"/>
        </w:rPr>
        <w:t>The optimal dose of rhTSH for pretreatment of MNG remains to be determined. Studies have used different doses and regimens or rhTSH administration, from as low as 0.01 or 0.03 mg to as high as 0.45 mg or    0.9 mg 24h before RAI treatment;</w:t>
      </w:r>
    </w:p>
    <w:p w14:paraId="26BEAD4B" w14:textId="77777777" w:rsidR="00AA491A" w:rsidRPr="00735ABA" w:rsidRDefault="00AA491A" w:rsidP="00722BD5">
      <w:pPr>
        <w:numPr>
          <w:ilvl w:val="0"/>
          <w:numId w:val="24"/>
        </w:numPr>
        <w:ind w:right="-136"/>
        <w:rPr>
          <w:rFonts w:ascii="Arial" w:hAnsi="Arial" w:cs="Arial"/>
          <w:sz w:val="22"/>
          <w:szCs w:val="22"/>
        </w:rPr>
      </w:pPr>
      <w:r w:rsidRPr="00735ABA">
        <w:rPr>
          <w:rFonts w:ascii="Arial" w:hAnsi="Arial" w:cs="Arial"/>
          <w:sz w:val="22"/>
          <w:szCs w:val="22"/>
        </w:rPr>
        <w:lastRenderedPageBreak/>
        <w:t>There is a significant occurrence of hypothyroidism after ¹³¹I treatment following rhTSH stimulation;</w:t>
      </w:r>
    </w:p>
    <w:p w14:paraId="7C0ACA8B" w14:textId="77777777" w:rsidR="00AA491A" w:rsidRPr="00735ABA" w:rsidRDefault="00AA491A" w:rsidP="00722BD5">
      <w:pPr>
        <w:numPr>
          <w:ilvl w:val="0"/>
          <w:numId w:val="24"/>
        </w:numPr>
        <w:ind w:right="-136"/>
        <w:rPr>
          <w:rFonts w:ascii="Arial" w:hAnsi="Arial" w:cs="Arial"/>
          <w:sz w:val="22"/>
          <w:szCs w:val="22"/>
        </w:rPr>
      </w:pPr>
      <w:r w:rsidRPr="00735ABA">
        <w:rPr>
          <w:rFonts w:ascii="Arial" w:hAnsi="Arial" w:cs="Arial"/>
          <w:sz w:val="22"/>
          <w:szCs w:val="22"/>
        </w:rPr>
        <w:t>Although rare, autoimmune hyperthyroidism (approximate reported incidence of 4-5%) can develop after treatment of MNG with ¹³¹I;</w:t>
      </w:r>
    </w:p>
    <w:p w14:paraId="45092E75" w14:textId="77777777" w:rsidR="00AA491A" w:rsidRPr="00735ABA" w:rsidRDefault="00AA491A" w:rsidP="00722BD5">
      <w:pPr>
        <w:numPr>
          <w:ilvl w:val="0"/>
          <w:numId w:val="24"/>
        </w:numPr>
        <w:ind w:right="-136"/>
        <w:rPr>
          <w:rFonts w:ascii="Arial" w:hAnsi="Arial" w:cs="Arial"/>
          <w:sz w:val="22"/>
          <w:szCs w:val="22"/>
        </w:rPr>
      </w:pPr>
      <w:r w:rsidRPr="00735ABA">
        <w:rPr>
          <w:rFonts w:ascii="Arial" w:hAnsi="Arial" w:cs="Arial"/>
          <w:sz w:val="22"/>
          <w:szCs w:val="22"/>
        </w:rPr>
        <w:t>Currently, rhTSH is not approved by the FDA as an adjuvant for ¹³¹I treatment of goiter.</w:t>
      </w:r>
    </w:p>
    <w:p w14:paraId="0C481101" w14:textId="77777777" w:rsidR="00AA491A" w:rsidRPr="00735ABA" w:rsidRDefault="00AA491A" w:rsidP="00B55FE6">
      <w:pPr>
        <w:ind w:right="-136"/>
        <w:rPr>
          <w:rFonts w:ascii="Arial" w:hAnsi="Arial" w:cs="Arial"/>
          <w:sz w:val="22"/>
          <w:szCs w:val="22"/>
        </w:rPr>
      </w:pPr>
    </w:p>
    <w:p w14:paraId="43C10651" w14:textId="77777777" w:rsidR="00AA491A" w:rsidRPr="00735ABA" w:rsidRDefault="00AA491A" w:rsidP="00B55FE6">
      <w:pPr>
        <w:ind w:right="-136"/>
        <w:rPr>
          <w:rFonts w:ascii="Arial" w:hAnsi="Arial" w:cs="Arial"/>
          <w:sz w:val="22"/>
          <w:szCs w:val="22"/>
        </w:rPr>
      </w:pPr>
      <w:r w:rsidRPr="00735ABA">
        <w:rPr>
          <w:rFonts w:ascii="Arial" w:hAnsi="Arial" w:cs="Arial"/>
          <w:sz w:val="22"/>
          <w:szCs w:val="22"/>
        </w:rPr>
        <w:t xml:space="preserve">Based on these results, pretreatment with rhTSH seems a promising alternative to thyroid surgery for the management of nontoxic MNG, particularly in elderly individuals. However, the optimal dose and timing of both, rhTSH and ¹³¹I as well as the criteria for patient eligibility remain to be determined. </w:t>
      </w:r>
    </w:p>
    <w:p w14:paraId="5F1C18AE" w14:textId="77777777" w:rsidR="00AA491A" w:rsidRPr="00735ABA" w:rsidRDefault="00AA491A" w:rsidP="00B55FE6">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6"/>
      </w:tblGrid>
      <w:tr w:rsidR="00B55FE6" w:rsidRPr="00735ABA" w14:paraId="16692462" w14:textId="77777777" w:rsidTr="00862297">
        <w:trPr>
          <w:jc w:val="center"/>
        </w:trPr>
        <w:tc>
          <w:tcPr>
            <w:tcW w:w="8856" w:type="dxa"/>
            <w:shd w:val="clear" w:color="auto" w:fill="auto"/>
          </w:tcPr>
          <w:p w14:paraId="53EBC172" w14:textId="77777777" w:rsidR="00B55FE6" w:rsidRPr="00735ABA" w:rsidRDefault="008250DA" w:rsidP="00862297">
            <w:pPr>
              <w:jc w:val="center"/>
              <w:rPr>
                <w:rFonts w:ascii="Arial" w:hAnsi="Arial" w:cs="Arial"/>
                <w:sz w:val="22"/>
                <w:szCs w:val="22"/>
              </w:rPr>
            </w:pPr>
            <w:r>
              <w:rPr>
                <w:rFonts w:ascii="Arial" w:hAnsi="Arial" w:cs="Arial"/>
                <w:noProof/>
                <w:sz w:val="22"/>
                <w:szCs w:val="22"/>
              </w:rPr>
              <w:drawing>
                <wp:inline distT="0" distB="0" distL="0" distR="0" wp14:anchorId="4B73B97C" wp14:editId="319F9B6C">
                  <wp:extent cx="5878195" cy="20599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8195" cy="2059940"/>
                          </a:xfrm>
                          <a:prstGeom prst="rect">
                            <a:avLst/>
                          </a:prstGeom>
                          <a:noFill/>
                          <a:ln>
                            <a:noFill/>
                          </a:ln>
                        </pic:spPr>
                      </pic:pic>
                    </a:graphicData>
                  </a:graphic>
                </wp:inline>
              </w:drawing>
            </w:r>
          </w:p>
        </w:tc>
      </w:tr>
      <w:tr w:rsidR="00B55FE6" w:rsidRPr="00735ABA" w14:paraId="1A6B59B5" w14:textId="77777777" w:rsidTr="00862297">
        <w:trPr>
          <w:jc w:val="center"/>
        </w:trPr>
        <w:tc>
          <w:tcPr>
            <w:tcW w:w="8856" w:type="dxa"/>
            <w:shd w:val="clear" w:color="auto" w:fill="99CCFF"/>
          </w:tcPr>
          <w:p w14:paraId="5AA581A4" w14:textId="3A57E63E" w:rsidR="00B55FE6" w:rsidRPr="00735ABA" w:rsidRDefault="00B55FE6" w:rsidP="00722BD5">
            <w:pPr>
              <w:ind w:right="-676"/>
              <w:rPr>
                <w:rFonts w:ascii="Arial" w:hAnsi="Arial" w:cs="Arial"/>
                <w:sz w:val="22"/>
                <w:szCs w:val="22"/>
              </w:rPr>
            </w:pPr>
            <w:r w:rsidRPr="00735ABA">
              <w:rPr>
                <w:rFonts w:ascii="Arial" w:hAnsi="Arial" w:cs="Arial"/>
                <w:b/>
                <w:sz w:val="22"/>
                <w:szCs w:val="22"/>
              </w:rPr>
              <w:t>Figur</w:t>
            </w:r>
            <w:r w:rsidR="00722BD5" w:rsidRPr="00735ABA">
              <w:rPr>
                <w:rFonts w:ascii="Arial" w:hAnsi="Arial" w:cs="Arial"/>
                <w:b/>
                <w:sz w:val="22"/>
                <w:szCs w:val="22"/>
              </w:rPr>
              <w:t>e</w:t>
            </w:r>
            <w:r w:rsidRPr="00735ABA">
              <w:rPr>
                <w:rFonts w:ascii="Arial" w:hAnsi="Arial" w:cs="Arial"/>
                <w:b/>
                <w:sz w:val="22"/>
                <w:szCs w:val="22"/>
              </w:rPr>
              <w:t xml:space="preserve"> 17-</w:t>
            </w:r>
            <w:r w:rsidR="00B74396">
              <w:rPr>
                <w:rFonts w:ascii="Arial" w:hAnsi="Arial" w:cs="Arial"/>
                <w:b/>
                <w:sz w:val="22"/>
                <w:szCs w:val="22"/>
              </w:rPr>
              <w:t>8</w:t>
            </w:r>
            <w:r w:rsidRPr="00735ABA">
              <w:rPr>
                <w:rFonts w:ascii="Arial" w:hAnsi="Arial" w:cs="Arial"/>
                <w:sz w:val="22"/>
                <w:szCs w:val="22"/>
              </w:rPr>
              <w:t xml:space="preserve"> – An elderly woman with a large and longstanding MNG that migrated to the upper mediastinal region with subsequent compression of the subclavian system. Note the subcutaneous enlarged venous circulation (a). In the next panel (b), it is presented the scintilographic studies after a tracer dose of  </w:t>
            </w:r>
            <w:r w:rsidRPr="00735ABA">
              <w:rPr>
                <w:rFonts w:ascii="Arial" w:hAnsi="Arial" w:cs="Arial"/>
                <w:sz w:val="22"/>
                <w:szCs w:val="22"/>
                <w:vertAlign w:val="superscript"/>
              </w:rPr>
              <w:t>131</w:t>
            </w:r>
            <w:r w:rsidRPr="00735ABA">
              <w:rPr>
                <w:rFonts w:ascii="Arial" w:hAnsi="Arial" w:cs="Arial"/>
                <w:sz w:val="22"/>
                <w:szCs w:val="22"/>
              </w:rPr>
              <w:t>I before and (c) after stimulation by 0.45 mg of recombinant human TSH. (</w:t>
            </w:r>
            <w:r w:rsidR="008F3984">
              <w:rPr>
                <w:rFonts w:ascii="Arial" w:hAnsi="Arial" w:cs="Arial"/>
                <w:sz w:val="22"/>
                <w:szCs w:val="22"/>
              </w:rPr>
              <w:t>ref. 142</w:t>
            </w:r>
            <w:r w:rsidRPr="00735ABA">
              <w:rPr>
                <w:rFonts w:ascii="Arial" w:hAnsi="Arial" w:cs="Arial"/>
                <w:sz w:val="22"/>
                <w:szCs w:val="22"/>
              </w:rPr>
              <w:t>.).</w:t>
            </w:r>
          </w:p>
        </w:tc>
      </w:tr>
    </w:tbl>
    <w:p w14:paraId="235D222A" w14:textId="77777777" w:rsidR="00B55FE6" w:rsidRPr="00735ABA" w:rsidRDefault="00B55FE6" w:rsidP="00B55FE6">
      <w:pPr>
        <w:ind w:right="-136"/>
        <w:rPr>
          <w:rFonts w:ascii="Arial" w:hAnsi="Arial" w:cs="Arial"/>
          <w:b/>
          <w:sz w:val="22"/>
          <w:szCs w:val="22"/>
          <w:u w:val="single"/>
        </w:rPr>
      </w:pPr>
    </w:p>
    <w:p w14:paraId="46F45B95" w14:textId="77777777" w:rsidR="00AA491A" w:rsidRPr="00735ABA" w:rsidRDefault="00AA491A" w:rsidP="00820632">
      <w:pPr>
        <w:pStyle w:val="Heading2"/>
        <w:spacing w:after="240"/>
        <w:rPr>
          <w:sz w:val="22"/>
          <w:szCs w:val="22"/>
        </w:rPr>
      </w:pPr>
      <w:r w:rsidRPr="00735ABA">
        <w:rPr>
          <w:sz w:val="22"/>
          <w:szCs w:val="22"/>
        </w:rPr>
        <w:t>Surgery for MNG</w:t>
      </w:r>
    </w:p>
    <w:p w14:paraId="276A310E" w14:textId="418841F2" w:rsidR="00AA491A" w:rsidRPr="00735ABA" w:rsidRDefault="00AA491A" w:rsidP="00820632">
      <w:pPr>
        <w:spacing w:after="240"/>
        <w:ind w:right="-136"/>
        <w:rPr>
          <w:rFonts w:ascii="Arial" w:hAnsi="Arial" w:cs="Arial"/>
          <w:sz w:val="22"/>
          <w:szCs w:val="22"/>
        </w:rPr>
      </w:pPr>
      <w:r w:rsidRPr="00735ABA">
        <w:rPr>
          <w:rFonts w:ascii="Arial" w:hAnsi="Arial" w:cs="Arial"/>
          <w:sz w:val="22"/>
          <w:szCs w:val="22"/>
        </w:rPr>
        <w:t>As indicated by Fast et al (</w:t>
      </w:r>
      <w:r w:rsidR="008F3984">
        <w:rPr>
          <w:rFonts w:ascii="Arial" w:hAnsi="Arial" w:cs="Arial"/>
          <w:sz w:val="22"/>
          <w:szCs w:val="22"/>
        </w:rPr>
        <w:t>154</w:t>
      </w:r>
      <w:r w:rsidRPr="00735ABA">
        <w:rPr>
          <w:rFonts w:ascii="Arial" w:hAnsi="Arial" w:cs="Arial"/>
          <w:sz w:val="22"/>
          <w:szCs w:val="22"/>
        </w:rPr>
        <w:t>) it is time to consider radioiodine treatment for MNG as an alternative to surgery. As indicated previously radioiodine (¹³¹I) is a simple, cost-effective and safe procedure with an impressive goiter reduction up to 65% of the original volume. Surgery of the MNG, however, is equally effective and the choice among the two procedures depends largely on their availability, clinical features, and last but not least the personal preference of the patient (and also the physician in charge). In many centers, specially in countries with large populations previously living in iodine deficiency, the number of patients with MNG, most of them, over 50 years old, are very common in the thyroid clinic daily routine. Therefore sending all those patients to surgery will inevitably, cause a logistic problem in terms of available surgical rooms, surgeons well trained in head and neck surgery, post surgical follow-up and all the costs involved. Moreover with the widespread use of ultrasonographic studies followed by Fine Needle Aspiration Biopsy (FNAB) the number of new cases of thyroid cancer has increased dramatically in the past few years. Obviously these patients will have precedence for a surgical therapy as compared with the patient with MNG. This situation is quite common in many countries where there is a long waiting list for a given patient to be selected for thyroid surgery. Frequently surgery of the thyroid due to a nodule harboring a papillary cancer in a relatively young subject has a definite preferential status over an elderly patient with a long standing MNG.</w:t>
      </w:r>
    </w:p>
    <w:p w14:paraId="2FE8BC54" w14:textId="77777777" w:rsidR="00AA491A" w:rsidRPr="00735ABA" w:rsidRDefault="00AA491A" w:rsidP="00B55FE6">
      <w:pPr>
        <w:ind w:right="-136"/>
        <w:rPr>
          <w:rFonts w:ascii="Arial" w:hAnsi="Arial" w:cs="Arial"/>
          <w:sz w:val="22"/>
          <w:szCs w:val="22"/>
        </w:rPr>
      </w:pPr>
    </w:p>
    <w:p w14:paraId="0E8DBEFB" w14:textId="77777777" w:rsidR="00AA491A" w:rsidRPr="00735ABA" w:rsidRDefault="00AA491A" w:rsidP="00B55FE6">
      <w:pPr>
        <w:ind w:right="-136"/>
        <w:rPr>
          <w:rFonts w:ascii="Arial" w:hAnsi="Arial" w:cs="Arial"/>
          <w:sz w:val="22"/>
          <w:szCs w:val="22"/>
        </w:rPr>
      </w:pPr>
      <w:r w:rsidRPr="00735ABA">
        <w:rPr>
          <w:rFonts w:ascii="Arial" w:hAnsi="Arial" w:cs="Arial"/>
          <w:sz w:val="22"/>
          <w:szCs w:val="22"/>
        </w:rPr>
        <w:t xml:space="preserve">The preferred operation for MNG is subtotal thyroidectomy. The frequency of complications due to surgical depends on several factors and well-trained and experienced surgeons will reduce the rates of such complications. Recurrence after goiter surgery is rare and the frequency of hypothyroidism is low. It is advisable to introduce L-T4 therapy after surgery in order to avoid goiter recurrence although this option is considered highly controversial. </w:t>
      </w:r>
    </w:p>
    <w:p w14:paraId="6EE45C34" w14:textId="77777777" w:rsidR="00775A98" w:rsidRPr="00735ABA" w:rsidRDefault="00775A98" w:rsidP="00B55FE6">
      <w:pPr>
        <w:ind w:right="-136"/>
        <w:rPr>
          <w:rFonts w:ascii="Arial" w:hAnsi="Arial" w:cs="Arial"/>
          <w:sz w:val="22"/>
          <w:szCs w:val="22"/>
        </w:rPr>
      </w:pPr>
    </w:p>
    <w:p w14:paraId="3DB10536" w14:textId="77777777" w:rsidR="00073BE2" w:rsidRPr="00073BE2" w:rsidRDefault="00073BE2" w:rsidP="00073BE2">
      <w:pPr>
        <w:ind w:right="-136"/>
        <w:rPr>
          <w:rFonts w:ascii="Arial" w:hAnsi="Arial" w:cs="Arial"/>
          <w:b/>
          <w:sz w:val="22"/>
          <w:szCs w:val="22"/>
        </w:rPr>
      </w:pPr>
      <w:r w:rsidRPr="00073BE2">
        <w:rPr>
          <w:rFonts w:ascii="Arial" w:hAnsi="Arial" w:cs="Arial"/>
          <w:b/>
          <w:sz w:val="22"/>
          <w:szCs w:val="22"/>
        </w:rPr>
        <w:t xml:space="preserve">Laser Ablation Therapy </w:t>
      </w:r>
    </w:p>
    <w:p w14:paraId="4B21AD40" w14:textId="77777777" w:rsidR="00073BE2" w:rsidRPr="00073BE2" w:rsidRDefault="00073BE2" w:rsidP="00073BE2">
      <w:pPr>
        <w:ind w:right="-136"/>
        <w:rPr>
          <w:rFonts w:ascii="Arial" w:hAnsi="Arial" w:cs="Arial"/>
          <w:sz w:val="22"/>
          <w:szCs w:val="22"/>
        </w:rPr>
      </w:pPr>
    </w:p>
    <w:p w14:paraId="660058C6" w14:textId="08AF15C7" w:rsidR="00073BE2" w:rsidRDefault="00073BE2" w:rsidP="00073BE2">
      <w:pPr>
        <w:ind w:right="-136"/>
        <w:rPr>
          <w:rFonts w:ascii="Arial" w:hAnsi="Arial" w:cs="Arial"/>
          <w:sz w:val="22"/>
          <w:szCs w:val="22"/>
        </w:rPr>
      </w:pPr>
      <w:r w:rsidRPr="00073BE2">
        <w:rPr>
          <w:rFonts w:ascii="Arial" w:hAnsi="Arial" w:cs="Arial"/>
          <w:sz w:val="22"/>
          <w:szCs w:val="22"/>
        </w:rPr>
        <w:t>A retrospective study that assessed clinical records of 1534 benign nodules in 1531 patients treated with image-guided laser ablation therapy (LAT) showed that LAT induced a clinical relevant nodule volume reduction that ranges from 48 to 96% (72</w:t>
      </w:r>
      <w:r w:rsidRPr="00073BE2">
        <w:rPr>
          <w:rFonts w:ascii="Arial" w:hAnsi="Arial" w:cs="Arial"/>
          <w:sz w:val="22"/>
          <w:szCs w:val="22"/>
        </w:rPr>
        <w:sym w:font="Symbol" w:char="F0B1"/>
      </w:r>
      <w:r w:rsidRPr="00073BE2">
        <w:rPr>
          <w:rFonts w:ascii="Arial" w:hAnsi="Arial" w:cs="Arial"/>
          <w:sz w:val="22"/>
          <w:szCs w:val="22"/>
        </w:rPr>
        <w:t xml:space="preserve">11%) </w:t>
      </w:r>
      <w:r w:rsidR="007A05AF">
        <w:rPr>
          <w:rFonts w:ascii="Arial" w:hAnsi="Arial" w:cs="Arial"/>
          <w:sz w:val="22"/>
          <w:szCs w:val="22"/>
        </w:rPr>
        <w:t>twelve months after treatment (</w:t>
      </w:r>
      <w:r w:rsidR="008F3984">
        <w:rPr>
          <w:rFonts w:ascii="Arial" w:hAnsi="Arial" w:cs="Arial"/>
          <w:sz w:val="22"/>
          <w:szCs w:val="22"/>
        </w:rPr>
        <w:t>158</w:t>
      </w:r>
      <w:r w:rsidRPr="00073BE2">
        <w:rPr>
          <w:rFonts w:ascii="Arial" w:hAnsi="Arial" w:cs="Arial"/>
          <w:sz w:val="22"/>
          <w:szCs w:val="22"/>
        </w:rPr>
        <w:t>). This picture was more significantly in mixed nodules (range 70-92%, 79</w:t>
      </w:r>
      <w:r w:rsidRPr="00073BE2">
        <w:rPr>
          <w:rFonts w:ascii="Arial" w:hAnsi="Arial" w:cs="Arial"/>
          <w:sz w:val="22"/>
          <w:szCs w:val="22"/>
        </w:rPr>
        <w:sym w:font="Symbol" w:char="F0B1"/>
      </w:r>
      <w:r w:rsidRPr="00073BE2">
        <w:rPr>
          <w:rFonts w:ascii="Arial" w:hAnsi="Arial" w:cs="Arial"/>
          <w:sz w:val="22"/>
          <w:szCs w:val="22"/>
        </w:rPr>
        <w:t xml:space="preserve">7%). Most of the nodules (83%) received a single LAT dose while 13% </w:t>
      </w:r>
      <w:r w:rsidR="00662B37">
        <w:rPr>
          <w:rFonts w:ascii="Arial" w:hAnsi="Arial" w:cs="Arial"/>
          <w:sz w:val="22"/>
          <w:szCs w:val="22"/>
        </w:rPr>
        <w:t xml:space="preserve">received </w:t>
      </w:r>
      <w:r w:rsidRPr="00073BE2">
        <w:rPr>
          <w:rFonts w:ascii="Arial" w:hAnsi="Arial" w:cs="Arial"/>
          <w:sz w:val="22"/>
          <w:szCs w:val="22"/>
        </w:rPr>
        <w:t xml:space="preserve">two doses and 3% three doses, with a total energy delivery based on the initial volume. The symptoms improved from </w:t>
      </w:r>
      <w:r w:rsidR="00662B37">
        <w:rPr>
          <w:rFonts w:ascii="Arial" w:hAnsi="Arial" w:cs="Arial"/>
          <w:sz w:val="22"/>
          <w:szCs w:val="22"/>
        </w:rPr>
        <w:t>10</w:t>
      </w:r>
      <w:r w:rsidRPr="00073BE2">
        <w:rPr>
          <w:rFonts w:ascii="Arial" w:hAnsi="Arial" w:cs="Arial"/>
          <w:sz w:val="22"/>
          <w:szCs w:val="22"/>
        </w:rPr>
        <w:t xml:space="preserve">% to </w:t>
      </w:r>
      <w:r w:rsidR="00662B37">
        <w:rPr>
          <w:rFonts w:ascii="Arial" w:hAnsi="Arial" w:cs="Arial"/>
          <w:sz w:val="22"/>
          <w:szCs w:val="22"/>
        </w:rPr>
        <w:t>49</w:t>
      </w:r>
      <w:r w:rsidRPr="00073BE2">
        <w:rPr>
          <w:rFonts w:ascii="Arial" w:hAnsi="Arial" w:cs="Arial"/>
          <w:sz w:val="22"/>
          <w:szCs w:val="22"/>
        </w:rPr>
        <w:t>% of cases (p&lt;0.001), while major (voice changes) and minor complications (hematomas, skin burn) were rare. Thus, LAT is considered clinically effective and well-tolerated as an alternative to surgery for benign thyroid lesions.</w:t>
      </w:r>
    </w:p>
    <w:p w14:paraId="73D1A289" w14:textId="77777777" w:rsidR="00B9735C" w:rsidRPr="00F862D0" w:rsidRDefault="00B9735C" w:rsidP="00B55FE6">
      <w:pPr>
        <w:ind w:right="-136"/>
        <w:rPr>
          <w:rFonts w:ascii="Arial" w:hAnsi="Arial" w:cs="Arial"/>
        </w:rPr>
      </w:pPr>
    </w:p>
    <w:p w14:paraId="4C555A2E" w14:textId="77777777" w:rsidR="00AA491A" w:rsidRPr="00B9735C" w:rsidRDefault="00AA491A" w:rsidP="00B55FE6">
      <w:pPr>
        <w:ind w:right="-136"/>
        <w:rPr>
          <w:rFonts w:ascii="Arial" w:hAnsi="Arial" w:cs="Arial"/>
          <w:sz w:val="22"/>
          <w:szCs w:val="22"/>
        </w:rPr>
      </w:pPr>
    </w:p>
    <w:p w14:paraId="01716CA8" w14:textId="0FA3BDE6" w:rsidR="00AA491A" w:rsidRPr="00DE1586" w:rsidRDefault="00AA491A" w:rsidP="00B55FE6">
      <w:pPr>
        <w:ind w:right="-136"/>
        <w:rPr>
          <w:rFonts w:ascii="Arial" w:hAnsi="Arial" w:cs="Arial"/>
          <w:sz w:val="22"/>
          <w:szCs w:val="22"/>
        </w:rPr>
      </w:pPr>
      <w:r w:rsidRPr="00316FA9">
        <w:rPr>
          <w:rFonts w:ascii="Arial" w:hAnsi="Arial" w:cs="Arial"/>
          <w:sz w:val="22"/>
          <w:szCs w:val="22"/>
        </w:rPr>
        <w:t>To summarize: treatment of MNG with L-T4 suppressive doses is not accepted by many thyroidologists in spite of the fact that goiter reduction is achieved in one thi</w:t>
      </w:r>
      <w:r w:rsidRPr="008250DA">
        <w:rPr>
          <w:rFonts w:ascii="Arial" w:hAnsi="Arial" w:cs="Arial"/>
          <w:sz w:val="22"/>
          <w:szCs w:val="22"/>
        </w:rPr>
        <w:t>rd of the patients and new nodules appearance is lower in the L-T4 treated patients.</w:t>
      </w:r>
      <w:r w:rsidR="00073BE2" w:rsidRPr="00073BE2">
        <w:rPr>
          <w:rFonts w:ascii="Arial" w:hAnsi="Arial" w:cs="Arial"/>
          <w:sz w:val="22"/>
          <w:szCs w:val="22"/>
        </w:rPr>
        <w:t xml:space="preserve">The results so far published </w:t>
      </w:r>
      <w:r w:rsidR="00662B37">
        <w:rPr>
          <w:rFonts w:ascii="Arial" w:hAnsi="Arial" w:cs="Arial"/>
          <w:sz w:val="22"/>
          <w:szCs w:val="22"/>
        </w:rPr>
        <w:t xml:space="preserve">using </w:t>
      </w:r>
      <w:r w:rsidR="00073BE2" w:rsidRPr="00073BE2">
        <w:rPr>
          <w:rFonts w:ascii="Arial" w:hAnsi="Arial" w:cs="Arial"/>
          <w:sz w:val="22"/>
          <w:szCs w:val="22"/>
        </w:rPr>
        <w:t>radioiodine preceded by rhTSH are quite encouraging</w:t>
      </w:r>
      <w:r w:rsidR="00073BE2" w:rsidRPr="00073BE2" w:rsidDel="00073BE2">
        <w:rPr>
          <w:rFonts w:ascii="Arial" w:hAnsi="Arial" w:cs="Arial"/>
          <w:sz w:val="22"/>
          <w:szCs w:val="22"/>
        </w:rPr>
        <w:t xml:space="preserve"> </w:t>
      </w:r>
      <w:r w:rsidRPr="00073BE2">
        <w:rPr>
          <w:rFonts w:ascii="Arial" w:hAnsi="Arial" w:cs="Arial"/>
          <w:sz w:val="22"/>
          <w:szCs w:val="22"/>
        </w:rPr>
        <w:t>. It is an excellent alternative when surgical teams are not available f</w:t>
      </w:r>
      <w:r w:rsidR="00662893" w:rsidRPr="00073BE2">
        <w:rPr>
          <w:rFonts w:ascii="Arial" w:hAnsi="Arial" w:cs="Arial"/>
          <w:sz w:val="22"/>
          <w:szCs w:val="22"/>
        </w:rPr>
        <w:t>or all patients.</w:t>
      </w:r>
      <w:r w:rsidR="008F3984">
        <w:rPr>
          <w:rFonts w:ascii="Arial" w:hAnsi="Arial" w:cs="Arial"/>
          <w:sz w:val="22"/>
          <w:szCs w:val="22"/>
        </w:rPr>
        <w:t xml:space="preserve"> LAT</w:t>
      </w:r>
      <w:r w:rsidR="00073BE2" w:rsidRPr="00073BE2">
        <w:rPr>
          <w:rFonts w:ascii="Arial" w:hAnsi="Arial" w:cs="Arial"/>
          <w:sz w:val="22"/>
          <w:szCs w:val="22"/>
        </w:rPr>
        <w:t xml:space="preserve"> treatment should be performed only by experience operators</w:t>
      </w:r>
      <w:r w:rsidR="000C5929" w:rsidRPr="00073BE2">
        <w:rPr>
          <w:rFonts w:ascii="Arial" w:hAnsi="Arial" w:cs="Arial"/>
          <w:sz w:val="22"/>
          <w:szCs w:val="22"/>
        </w:rPr>
        <w:t>.</w:t>
      </w:r>
      <w:r w:rsidR="000C5929">
        <w:rPr>
          <w:rFonts w:ascii="Arial" w:hAnsi="Arial" w:cs="Arial"/>
          <w:sz w:val="22"/>
          <w:szCs w:val="22"/>
        </w:rPr>
        <w:t xml:space="preserve"> </w:t>
      </w:r>
      <w:r w:rsidRPr="00DE1586">
        <w:rPr>
          <w:rFonts w:ascii="Arial" w:hAnsi="Arial" w:cs="Arial"/>
          <w:sz w:val="22"/>
          <w:szCs w:val="22"/>
        </w:rPr>
        <w:t>Finally</w:t>
      </w:r>
      <w:r w:rsidR="00662B37">
        <w:rPr>
          <w:rFonts w:ascii="Arial" w:hAnsi="Arial" w:cs="Arial"/>
          <w:sz w:val="22"/>
          <w:szCs w:val="22"/>
        </w:rPr>
        <w:t>,</w:t>
      </w:r>
      <w:r w:rsidRPr="00DE1586">
        <w:rPr>
          <w:rFonts w:ascii="Arial" w:hAnsi="Arial" w:cs="Arial"/>
          <w:sz w:val="22"/>
          <w:szCs w:val="22"/>
        </w:rPr>
        <w:t xml:space="preserve"> patients preference for a non</w:t>
      </w:r>
      <w:r w:rsidR="00662B37">
        <w:rPr>
          <w:rFonts w:ascii="Arial" w:hAnsi="Arial" w:cs="Arial"/>
          <w:sz w:val="22"/>
          <w:szCs w:val="22"/>
        </w:rPr>
        <w:t>-</w:t>
      </w:r>
      <w:r w:rsidRPr="00DE1586">
        <w:rPr>
          <w:rFonts w:ascii="Arial" w:hAnsi="Arial" w:cs="Arial"/>
          <w:sz w:val="22"/>
          <w:szCs w:val="22"/>
        </w:rPr>
        <w:t xml:space="preserve"> surgical alternative should always be taken into consideration</w:t>
      </w:r>
      <w:r w:rsidR="00DE1586">
        <w:rPr>
          <w:rFonts w:ascii="Arial" w:hAnsi="Arial" w:cs="Arial"/>
          <w:sz w:val="22"/>
          <w:szCs w:val="22"/>
        </w:rPr>
        <w:t>.</w:t>
      </w:r>
    </w:p>
    <w:p w14:paraId="7762299E" w14:textId="77777777" w:rsidR="00B55FE6" w:rsidRPr="00316FA9" w:rsidRDefault="00B55FE6" w:rsidP="00B55FE6">
      <w:pPr>
        <w:ind w:right="-136"/>
        <w:rPr>
          <w:rFonts w:ascii="Arial" w:hAnsi="Arial" w:cs="Arial"/>
          <w:b/>
          <w:sz w:val="22"/>
          <w:szCs w:val="22"/>
          <w:u w:val="single"/>
        </w:rPr>
      </w:pPr>
    </w:p>
    <w:p w14:paraId="0BE38245" w14:textId="77777777" w:rsidR="00AA491A" w:rsidRPr="00D06D95" w:rsidRDefault="00AA491A" w:rsidP="00B55FE6">
      <w:pPr>
        <w:pStyle w:val="Heading1"/>
        <w:rPr>
          <w:rFonts w:cs="Arial"/>
          <w:sz w:val="22"/>
          <w:szCs w:val="22"/>
        </w:rPr>
      </w:pPr>
      <w:r w:rsidRPr="00D06D95">
        <w:rPr>
          <w:rFonts w:cs="Arial"/>
          <w:sz w:val="22"/>
          <w:szCs w:val="22"/>
        </w:rPr>
        <w:t>SUMMARY</w:t>
      </w:r>
    </w:p>
    <w:p w14:paraId="3209576D" w14:textId="16A582DF" w:rsidR="00AA491A" w:rsidRPr="00E82DBF" w:rsidRDefault="00AA491A" w:rsidP="00B55FE6">
      <w:pPr>
        <w:ind w:right="-136"/>
        <w:rPr>
          <w:rFonts w:ascii="Arial" w:hAnsi="Arial" w:cs="Arial"/>
          <w:sz w:val="22"/>
          <w:szCs w:val="22"/>
        </w:rPr>
      </w:pPr>
      <w:r w:rsidRPr="008250DA">
        <w:rPr>
          <w:rFonts w:ascii="Arial" w:hAnsi="Arial" w:cs="Arial"/>
          <w:sz w:val="22"/>
          <w:szCs w:val="22"/>
        </w:rPr>
        <w:t>Perhaps the most common of all the disorders of the thyroid gland is multinodular goiter. Even in non</w:t>
      </w:r>
      <w:r w:rsidR="00662B37">
        <w:rPr>
          <w:rFonts w:ascii="Arial" w:hAnsi="Arial" w:cs="Arial"/>
          <w:sz w:val="22"/>
          <w:szCs w:val="22"/>
        </w:rPr>
        <w:t>-</w:t>
      </w:r>
      <w:r w:rsidRPr="008250DA">
        <w:rPr>
          <w:rFonts w:ascii="Arial" w:hAnsi="Arial" w:cs="Arial"/>
          <w:sz w:val="22"/>
          <w:szCs w:val="22"/>
        </w:rPr>
        <w:t>endemic regions it is clinically detected in about 4% of all adul</w:t>
      </w:r>
      <w:r w:rsidRPr="00E82DBF">
        <w:rPr>
          <w:rFonts w:ascii="Arial" w:hAnsi="Arial" w:cs="Arial"/>
          <w:sz w:val="22"/>
          <w:szCs w:val="22"/>
        </w:rPr>
        <w:t>ts beyond the age of 30. Pathologically it is much more frequent, the percentage incidence being roughly the same as the age of the group examined. The disease is much more common in women than in men.</w:t>
      </w:r>
    </w:p>
    <w:p w14:paraId="2B6BB994" w14:textId="77777777" w:rsidR="00AA491A" w:rsidRPr="00735ABA" w:rsidRDefault="00AA491A" w:rsidP="00B55FE6">
      <w:pPr>
        <w:ind w:right="-136"/>
        <w:rPr>
          <w:rFonts w:ascii="Arial" w:hAnsi="Arial" w:cs="Arial"/>
          <w:sz w:val="22"/>
          <w:szCs w:val="22"/>
        </w:rPr>
      </w:pPr>
    </w:p>
    <w:p w14:paraId="5EBB3975" w14:textId="4C91AA71" w:rsidR="00AA491A" w:rsidRPr="00735ABA" w:rsidRDefault="00AA491A" w:rsidP="00B55FE6">
      <w:pPr>
        <w:ind w:right="-136"/>
        <w:rPr>
          <w:rFonts w:ascii="Arial" w:hAnsi="Arial" w:cs="Arial"/>
          <w:sz w:val="22"/>
          <w:szCs w:val="22"/>
        </w:rPr>
      </w:pPr>
      <w:r w:rsidRPr="00735ABA">
        <w:rPr>
          <w:rFonts w:ascii="Arial" w:hAnsi="Arial" w:cs="Arial"/>
          <w:sz w:val="22"/>
          <w:szCs w:val="22"/>
        </w:rPr>
        <w:t>Multinodular goiter is thought to be the result of primarily two factors. The first factor is genetic heterogeneity of follicular cells with regard to function (i.e. thyroid hormone synthesis) and growth. The second factor is the acquisition of new qualities that were not present in mother cells and become inheritable during further replication. Mutations may occur in follicular cells leading to constitutively activated adenomas and to hyperthyroidism.  These factors may lead to lo</w:t>
      </w:r>
      <w:r w:rsidR="00662B37">
        <w:rPr>
          <w:rFonts w:ascii="Arial" w:hAnsi="Arial" w:cs="Arial"/>
          <w:sz w:val="22"/>
          <w:szCs w:val="22"/>
        </w:rPr>
        <w:t>ss</w:t>
      </w:r>
      <w:r w:rsidRPr="00735ABA">
        <w:rPr>
          <w:rFonts w:ascii="Arial" w:hAnsi="Arial" w:cs="Arial"/>
          <w:sz w:val="22"/>
          <w:szCs w:val="22"/>
        </w:rPr>
        <w:t xml:space="preserve"> of anatomical and functional integrity of the follicles and of the gland as a whole. These processes ultimately lead to goiter formation and are accelerated by stimulatory factors. These stimulatory factors are basically an elevated serum TSH, brought about by events such as iodine deficiency, inborn errors of thyroid hormone synthesis, goitrogens or local tissue growth-regulating factors. These basic and secondary factors may cause the thyroid to grow and gradually </w:t>
      </w:r>
      <w:r w:rsidRPr="00735ABA">
        <w:rPr>
          <w:rFonts w:ascii="Arial" w:hAnsi="Arial" w:cs="Arial"/>
          <w:sz w:val="22"/>
          <w:szCs w:val="22"/>
        </w:rPr>
        <w:lastRenderedPageBreak/>
        <w:t>evolve into an organ containing hyperplastic islands of normal glandular elements, together with nodules and cysts of varied histologic pattern.</w:t>
      </w:r>
    </w:p>
    <w:p w14:paraId="4F981D69" w14:textId="77777777" w:rsidR="00AA491A" w:rsidRPr="00735ABA" w:rsidRDefault="00AA491A" w:rsidP="00B55FE6">
      <w:pPr>
        <w:ind w:right="-136"/>
        <w:rPr>
          <w:rFonts w:ascii="Arial" w:hAnsi="Arial" w:cs="Arial"/>
          <w:sz w:val="22"/>
          <w:szCs w:val="22"/>
        </w:rPr>
      </w:pPr>
    </w:p>
    <w:p w14:paraId="19AD322B" w14:textId="77777777" w:rsidR="00AA491A" w:rsidRPr="00735ABA" w:rsidRDefault="00AA491A" w:rsidP="00B55FE6">
      <w:pPr>
        <w:ind w:right="-136"/>
        <w:rPr>
          <w:rFonts w:ascii="Arial" w:hAnsi="Arial" w:cs="Arial"/>
          <w:sz w:val="22"/>
          <w:szCs w:val="22"/>
        </w:rPr>
      </w:pPr>
      <w:r w:rsidRPr="00735ABA">
        <w:rPr>
          <w:rFonts w:ascii="Arial" w:hAnsi="Arial" w:cs="Arial"/>
          <w:sz w:val="22"/>
          <w:szCs w:val="22"/>
        </w:rPr>
        <w:t xml:space="preserve">Nodular goiter is most often detected simply as a mass in the neck, but at times an enlarging gland produces pressure symptoms on the trachea and the esophagus. Occasionally tenderness and a sudden increase in size herald hemorrhage into a cyst. Hyperthyroidism develops in a large proportion of these goiters after a few decades frequently after iodine excess. Rare complications are paralysis of the recurrent laryngeal nerve, and pressure on the superior sympathetic ganglion causes a Horner´s syndrome. </w:t>
      </w:r>
    </w:p>
    <w:p w14:paraId="246A5A1D" w14:textId="77777777" w:rsidR="00AA491A" w:rsidRPr="00735ABA" w:rsidRDefault="00AA491A" w:rsidP="00B55FE6">
      <w:pPr>
        <w:ind w:right="-136"/>
        <w:rPr>
          <w:rFonts w:ascii="Arial" w:hAnsi="Arial" w:cs="Arial"/>
          <w:sz w:val="22"/>
          <w:szCs w:val="22"/>
        </w:rPr>
      </w:pPr>
    </w:p>
    <w:p w14:paraId="1F0FD0BF" w14:textId="77777777" w:rsidR="00AA491A" w:rsidRPr="00735ABA" w:rsidRDefault="00AA491A" w:rsidP="00B55FE6">
      <w:pPr>
        <w:ind w:right="-136"/>
        <w:rPr>
          <w:rFonts w:ascii="Arial" w:hAnsi="Arial" w:cs="Arial"/>
          <w:sz w:val="22"/>
          <w:szCs w:val="22"/>
        </w:rPr>
      </w:pPr>
      <w:r w:rsidRPr="00735ABA">
        <w:rPr>
          <w:rFonts w:ascii="Arial" w:hAnsi="Arial" w:cs="Arial"/>
          <w:sz w:val="22"/>
          <w:szCs w:val="22"/>
        </w:rPr>
        <w:t>The diagnosis is based on the physical examination. Thyroid function test results are normal or disclose subclinical or overt hyperthyroidism. Thyroid autoantibodies are usually absent or low, excluding Hashimoto´s thyroidits. Imaging procedures may reveal distortion of the trachea, calcified cysts, or impingement of the goiter on the esophagus. Sonographic studies, Scintilography (¹³¹I), CT and MRI are useful to detect details of the MNG and to provide an estimation of the volume before and after therapy.</w:t>
      </w:r>
    </w:p>
    <w:p w14:paraId="3CC7EA6E" w14:textId="77777777" w:rsidR="00AA491A" w:rsidRPr="00735ABA" w:rsidRDefault="00AA491A" w:rsidP="00B55FE6">
      <w:pPr>
        <w:ind w:right="-136"/>
        <w:rPr>
          <w:rFonts w:ascii="Arial" w:hAnsi="Arial" w:cs="Arial"/>
          <w:sz w:val="22"/>
          <w:szCs w:val="22"/>
        </w:rPr>
      </w:pPr>
    </w:p>
    <w:p w14:paraId="5C795CE5" w14:textId="77777777" w:rsidR="00AA491A" w:rsidRPr="00735ABA" w:rsidRDefault="00AA491A" w:rsidP="00B55FE6">
      <w:pPr>
        <w:ind w:right="-136"/>
        <w:rPr>
          <w:rFonts w:ascii="Arial" w:hAnsi="Arial" w:cs="Arial"/>
          <w:sz w:val="22"/>
          <w:szCs w:val="22"/>
        </w:rPr>
      </w:pPr>
      <w:r w:rsidRPr="00735ABA">
        <w:rPr>
          <w:rFonts w:ascii="Arial" w:hAnsi="Arial" w:cs="Arial"/>
          <w:sz w:val="22"/>
          <w:szCs w:val="22"/>
        </w:rPr>
        <w:t xml:space="preserve">From 4 to 17% of multinodular thyroids removed at operation contain foci that on microscopic examination fulfill the criteria of malignant change. The infrequency of thyroid cancer as a cause of death clearly proves that the vast majority of these lesions are not lethal or even clinically active. One of the reasons for the high incidence of cancer in surgical specimens is that patients with multinodular goiters were often selected for surgery because of a concern for carcinoma. </w:t>
      </w:r>
    </w:p>
    <w:p w14:paraId="36ED9C5A" w14:textId="77777777" w:rsidR="00AA491A" w:rsidRPr="00735ABA" w:rsidRDefault="00AA491A" w:rsidP="00B55FE6">
      <w:pPr>
        <w:ind w:right="-136"/>
        <w:rPr>
          <w:rFonts w:ascii="Arial" w:hAnsi="Arial" w:cs="Arial"/>
          <w:sz w:val="22"/>
          <w:szCs w:val="22"/>
        </w:rPr>
      </w:pPr>
    </w:p>
    <w:p w14:paraId="5493F665" w14:textId="77777777" w:rsidR="00AA491A" w:rsidRPr="00735ABA" w:rsidRDefault="00AA491A" w:rsidP="00B55FE6">
      <w:pPr>
        <w:ind w:right="-136"/>
        <w:rPr>
          <w:rFonts w:ascii="Arial" w:hAnsi="Arial" w:cs="Arial"/>
          <w:sz w:val="22"/>
          <w:szCs w:val="22"/>
        </w:rPr>
      </w:pPr>
      <w:r w:rsidRPr="00735ABA">
        <w:rPr>
          <w:rFonts w:ascii="Arial" w:hAnsi="Arial" w:cs="Arial"/>
          <w:sz w:val="22"/>
          <w:szCs w:val="22"/>
        </w:rPr>
        <w:t xml:space="preserve">If a clinical and biochemically euthyroid multinodular goiter is small and produces no symptoms, treatment is controversial. T4 given in an effort to shrink the gland or to prevent further growth is effective in about one third of the patients. This therapy is more likely to be effective if begun at an early age while the goiter is still diffuse than in older patients in whom certain nodules may have already become autonomous. If the clinically euthyroid goiter is unsightly, shows subclinical hyperthyroidism or is causing, pressure symptoms, treatment with ¹³¹I preceded by recombinant human TSH is successful in virtually all cases but causes hypothyroidism at varying degree. Surgery is an acceptable alternative. The efficacy of T4 treatment after surgery, to prevent regrowth, is frequently used albeit debatable. </w:t>
      </w:r>
    </w:p>
    <w:p w14:paraId="4B606864" w14:textId="77777777" w:rsidR="00AA491A" w:rsidRPr="00735ABA" w:rsidRDefault="00AA491A" w:rsidP="00B55FE6">
      <w:pPr>
        <w:ind w:right="-136"/>
        <w:rPr>
          <w:rFonts w:ascii="Arial" w:hAnsi="Arial" w:cs="Arial"/>
          <w:sz w:val="22"/>
          <w:szCs w:val="22"/>
        </w:rPr>
      </w:pPr>
    </w:p>
    <w:p w14:paraId="4C91AD27" w14:textId="77777777" w:rsidR="00AA491A" w:rsidRPr="00735ABA" w:rsidRDefault="00AA491A" w:rsidP="00B55FE6">
      <w:pPr>
        <w:ind w:right="-136"/>
        <w:rPr>
          <w:rFonts w:ascii="Arial" w:hAnsi="Arial" w:cs="Arial"/>
          <w:sz w:val="22"/>
          <w:szCs w:val="22"/>
        </w:rPr>
      </w:pPr>
      <w:r w:rsidRPr="00735ABA">
        <w:rPr>
          <w:rFonts w:ascii="Arial" w:hAnsi="Arial" w:cs="Arial"/>
          <w:sz w:val="22"/>
          <w:szCs w:val="22"/>
        </w:rPr>
        <w:t>Overt toxic nodular goiter is usually treated with radioiodine. A gratifying reduction in the size of the goiter and control of the hyperthyroidism may be expected. Hypothyroidism often ensues.</w:t>
      </w:r>
    </w:p>
    <w:p w14:paraId="0BAC8F6E" w14:textId="77777777" w:rsidR="00AA491A" w:rsidRPr="00735ABA" w:rsidRDefault="00AA491A" w:rsidP="00B55FE6">
      <w:pPr>
        <w:ind w:right="-136"/>
        <w:rPr>
          <w:rFonts w:ascii="Arial" w:hAnsi="Arial" w:cs="Arial"/>
          <w:sz w:val="22"/>
          <w:szCs w:val="22"/>
        </w:rPr>
      </w:pPr>
    </w:p>
    <w:p w14:paraId="760735C4" w14:textId="7B5CC663" w:rsidR="00AA491A" w:rsidRPr="00735ABA" w:rsidRDefault="00AA491A" w:rsidP="00B55FE6">
      <w:pPr>
        <w:ind w:right="-136"/>
        <w:rPr>
          <w:rFonts w:ascii="Arial" w:hAnsi="Arial" w:cs="Arial"/>
          <w:sz w:val="22"/>
          <w:szCs w:val="22"/>
        </w:rPr>
      </w:pPr>
      <w:r w:rsidRPr="00735ABA">
        <w:rPr>
          <w:rFonts w:ascii="Arial" w:hAnsi="Arial" w:cs="Arial"/>
          <w:sz w:val="22"/>
          <w:szCs w:val="22"/>
        </w:rPr>
        <w:t>During the past few years the use of recombinant human TSH has been used to enhance the uptake of radioiodine and to provide a more homogenous distribution of the radionuclide. Results have been rewarding with a 45-65% shrinkage of the MNG, even with an intrathoracic position. A surge of high levels of serum Free T4, total T3 and serum TG is observed in the first weeks after therapy. Clinically hyperthyroid patients seem to have more unwanted signs and symptoms as compared to euthyroid patients. Hypothyroidism (permanent) is commonly observed at 6-12 months after rhTSH plus RAI treatment. Taking all into account</w:t>
      </w:r>
      <w:r w:rsidR="00006342">
        <w:rPr>
          <w:rFonts w:ascii="Arial" w:hAnsi="Arial" w:cs="Arial"/>
          <w:sz w:val="22"/>
          <w:szCs w:val="22"/>
        </w:rPr>
        <w:t>,</w:t>
      </w:r>
      <w:r w:rsidRPr="00735ABA">
        <w:rPr>
          <w:rFonts w:ascii="Arial" w:hAnsi="Arial" w:cs="Arial"/>
          <w:sz w:val="22"/>
          <w:szCs w:val="22"/>
        </w:rPr>
        <w:t xml:space="preserve"> this modality of treatment of MNG has a relatively low cost and it is considered a good alternative to surgery that might not be available for all patients with MNG in many centers around the world.</w:t>
      </w:r>
    </w:p>
    <w:p w14:paraId="0DA692FF" w14:textId="77777777" w:rsidR="00AA491A" w:rsidRPr="00735ABA" w:rsidRDefault="00AA491A" w:rsidP="00B55FE6">
      <w:pPr>
        <w:ind w:right="-136"/>
        <w:rPr>
          <w:rFonts w:ascii="Arial" w:hAnsi="Arial" w:cs="Arial"/>
          <w:sz w:val="22"/>
          <w:szCs w:val="22"/>
        </w:rPr>
      </w:pPr>
    </w:p>
    <w:p w14:paraId="4A61FE9A" w14:textId="77777777" w:rsidR="00AA491A" w:rsidRPr="00735ABA" w:rsidRDefault="00AA491A" w:rsidP="00B55FE6">
      <w:pPr>
        <w:ind w:right="-136"/>
        <w:rPr>
          <w:rFonts w:ascii="Arial" w:hAnsi="Arial" w:cs="Arial"/>
          <w:sz w:val="22"/>
          <w:szCs w:val="22"/>
        </w:rPr>
      </w:pPr>
      <w:r w:rsidRPr="00735ABA">
        <w:rPr>
          <w:rFonts w:ascii="Arial" w:hAnsi="Arial" w:cs="Arial"/>
          <w:sz w:val="22"/>
          <w:szCs w:val="22"/>
        </w:rPr>
        <w:t xml:space="preserve">The term colloid is applied to glands composed of uniformly distended follicles appearing as a diffuse enlargement of the thyroid gland. The condition is found almost exclusively in </w:t>
      </w:r>
      <w:r w:rsidRPr="00735ABA">
        <w:rPr>
          <w:rFonts w:ascii="Arial" w:hAnsi="Arial" w:cs="Arial"/>
          <w:sz w:val="22"/>
          <w:szCs w:val="22"/>
        </w:rPr>
        <w:lastRenderedPageBreak/>
        <w:t>young women. With time and due to a number of primary and secondary factors it may gradually develop into a multinodular goiter which becomes increasingly prominent as the decades pass. Appropriate therapy, if required, is the timely administration of thyroid hormone that may be continued for several years.</w:t>
      </w:r>
    </w:p>
    <w:p w14:paraId="2C713C1A" w14:textId="77777777" w:rsidR="00AA491A" w:rsidRPr="00735ABA" w:rsidRDefault="00AA491A" w:rsidP="00B55FE6">
      <w:pPr>
        <w:ind w:right="-136"/>
        <w:rPr>
          <w:rFonts w:ascii="Arial" w:hAnsi="Arial" w:cs="Arial"/>
          <w:sz w:val="22"/>
          <w:szCs w:val="22"/>
        </w:rPr>
      </w:pPr>
    </w:p>
    <w:p w14:paraId="0F1B8957" w14:textId="6FCF6D4A" w:rsidR="00AA491A" w:rsidRPr="00735ABA" w:rsidRDefault="00AA491A" w:rsidP="00B55FE6">
      <w:pPr>
        <w:ind w:right="-136"/>
        <w:rPr>
          <w:rFonts w:ascii="Arial" w:hAnsi="Arial" w:cs="Arial"/>
          <w:sz w:val="22"/>
          <w:szCs w:val="22"/>
        </w:rPr>
      </w:pPr>
      <w:r w:rsidRPr="00735ABA">
        <w:rPr>
          <w:rFonts w:ascii="Arial" w:hAnsi="Arial" w:cs="Arial"/>
          <w:sz w:val="22"/>
          <w:szCs w:val="22"/>
        </w:rPr>
        <w:t xml:space="preserve">An intrathoracic goiter is usually an acquired rather than a development abnormality. It may come about in embryonic life by a carrying downward into the thorax of the developing thyroid anlage, or in adult life by protrusion of an enlarging thyroid through the superior thoracic inlet into the yielding mediastinal spaces. These lesions may produce pressure symptoms and may also be associated with hyperthyroidism. If too large for treatment with ¹³¹I, the appropriate therapy is resection of the goiter through the neck, if possible. Attachment of the intrathoracic goiter to the gland in the neck ordinarily proves the site of origin and provides a method for its easy surgical removal. </w:t>
      </w:r>
      <w:r w:rsidR="00006342">
        <w:rPr>
          <w:rFonts w:ascii="Arial" w:hAnsi="Arial" w:cs="Arial"/>
          <w:sz w:val="22"/>
          <w:szCs w:val="22"/>
        </w:rPr>
        <w:t xml:space="preserve"> I</w:t>
      </w:r>
      <w:r w:rsidRPr="00735ABA">
        <w:rPr>
          <w:rFonts w:ascii="Arial" w:hAnsi="Arial" w:cs="Arial"/>
          <w:sz w:val="22"/>
          <w:szCs w:val="22"/>
        </w:rPr>
        <w:t>n many of these patients a safe and easily performed therapy, in an outpatient mode, is the administration of a fixed dose of radioiodine (¹³¹I) of 30 mCi preceded by rhTSH.</w:t>
      </w:r>
    </w:p>
    <w:p w14:paraId="2E70848E" w14:textId="77777777" w:rsidR="00AA491A" w:rsidRPr="00735ABA" w:rsidRDefault="00AA491A" w:rsidP="00B55FE6">
      <w:pPr>
        <w:ind w:right="-136"/>
        <w:rPr>
          <w:rFonts w:ascii="Arial" w:hAnsi="Arial" w:cs="Arial"/>
          <w:sz w:val="22"/>
          <w:szCs w:val="22"/>
        </w:rPr>
      </w:pPr>
      <w:r w:rsidRPr="00735ABA">
        <w:rPr>
          <w:rFonts w:ascii="Arial" w:hAnsi="Arial" w:cs="Arial"/>
          <w:sz w:val="22"/>
          <w:szCs w:val="22"/>
        </w:rPr>
        <w:t xml:space="preserve"> </w:t>
      </w:r>
    </w:p>
    <w:p w14:paraId="2D9A0D09" w14:textId="77777777" w:rsidR="00AA491A" w:rsidRPr="00735ABA" w:rsidRDefault="00AA491A" w:rsidP="00B55FE6">
      <w:pPr>
        <w:rPr>
          <w:rFonts w:ascii="Arial" w:hAnsi="Arial" w:cs="Arial"/>
          <w:vanish/>
          <w:sz w:val="22"/>
          <w:szCs w:val="22"/>
        </w:rPr>
      </w:pPr>
    </w:p>
    <w:p w14:paraId="09F2D6C2" w14:textId="77777777" w:rsidR="00B94016" w:rsidRPr="00735ABA" w:rsidRDefault="00B94016" w:rsidP="00B55FE6">
      <w:pPr>
        <w:rPr>
          <w:rFonts w:ascii="Arial" w:hAnsi="Arial" w:cs="Arial"/>
          <w:sz w:val="22"/>
          <w:szCs w:val="22"/>
        </w:rPr>
      </w:pPr>
    </w:p>
    <w:p w14:paraId="442584B4" w14:textId="77777777" w:rsidR="000102C1" w:rsidRPr="00735ABA" w:rsidRDefault="000102C1" w:rsidP="00B55FE6">
      <w:pPr>
        <w:rPr>
          <w:rFonts w:ascii="Arial" w:hAnsi="Arial" w:cs="Arial"/>
          <w:sz w:val="22"/>
          <w:szCs w:val="22"/>
        </w:rPr>
      </w:pPr>
    </w:p>
    <w:p w14:paraId="6E60B804" w14:textId="77777777" w:rsidR="00722BD5" w:rsidRPr="00735ABA" w:rsidRDefault="00722BD5" w:rsidP="004D2621">
      <w:pPr>
        <w:pStyle w:val="Heading1"/>
        <w:rPr>
          <w:rFonts w:cs="Arial"/>
          <w:sz w:val="22"/>
          <w:szCs w:val="22"/>
        </w:rPr>
      </w:pPr>
      <w:bookmarkStart w:id="2" w:name="INTRODUCTION"/>
      <w:bookmarkEnd w:id="2"/>
    </w:p>
    <w:p w14:paraId="0F806E5D" w14:textId="77777777" w:rsidR="00722BD5" w:rsidRPr="00735ABA" w:rsidRDefault="00722BD5" w:rsidP="004D2621">
      <w:pPr>
        <w:pStyle w:val="Heading1"/>
        <w:rPr>
          <w:rFonts w:cs="Arial"/>
          <w:sz w:val="22"/>
          <w:szCs w:val="22"/>
        </w:rPr>
      </w:pPr>
    </w:p>
    <w:p w14:paraId="4D169178" w14:textId="77777777" w:rsidR="00722BD5" w:rsidRPr="00735ABA" w:rsidRDefault="00722BD5" w:rsidP="004D2621">
      <w:pPr>
        <w:pStyle w:val="Heading1"/>
        <w:rPr>
          <w:rFonts w:cs="Arial"/>
          <w:sz w:val="22"/>
          <w:szCs w:val="22"/>
        </w:rPr>
      </w:pPr>
    </w:p>
    <w:p w14:paraId="75D77E75" w14:textId="77777777" w:rsidR="008049E3" w:rsidRPr="00735ABA" w:rsidRDefault="008049E3" w:rsidP="008049E3">
      <w:pPr>
        <w:autoSpaceDE w:val="0"/>
        <w:autoSpaceDN w:val="0"/>
        <w:adjustRightInd w:val="0"/>
        <w:spacing w:before="100" w:after="100"/>
        <w:rPr>
          <w:rFonts w:ascii="Arial" w:eastAsia="Calibri" w:hAnsi="Arial" w:cs="Arial"/>
          <w:sz w:val="22"/>
          <w:szCs w:val="22"/>
        </w:rPr>
      </w:pPr>
      <w:r w:rsidRPr="00735ABA">
        <w:rPr>
          <w:rFonts w:ascii="Arial" w:eastAsia="Calibri" w:hAnsi="Arial" w:cs="Arial"/>
          <w:b/>
          <w:bCs/>
          <w:sz w:val="22"/>
          <w:szCs w:val="22"/>
        </w:rPr>
        <w:t xml:space="preserve">REFERENCES </w:t>
      </w:r>
    </w:p>
    <w:p w14:paraId="6BDCB66F"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Tunbridge WGM, Evered DC, Hall R, Appleton D, Brewis M, Clark F, Evans JG: The spectrum of thyroid disease in a community: The Whickham survey. Clin Endocrinol 7:481, 1977. </w:t>
      </w:r>
    </w:p>
    <w:p w14:paraId="0D4FA003" w14:textId="77777777" w:rsidR="0003189D" w:rsidRPr="00735ABA" w:rsidRDefault="0003189D" w:rsidP="0003189D">
      <w:pPr>
        <w:autoSpaceDE w:val="0"/>
        <w:autoSpaceDN w:val="0"/>
        <w:adjustRightInd w:val="0"/>
        <w:rPr>
          <w:rFonts w:ascii="Arial" w:eastAsia="Calibri" w:hAnsi="Arial" w:cs="Arial"/>
          <w:sz w:val="22"/>
          <w:szCs w:val="22"/>
        </w:rPr>
      </w:pPr>
    </w:p>
    <w:p w14:paraId="42BA44EB"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Charib TGH, Thyroid incidentalomas: management approaches to non palpable nodules discovered incidentally on thyroid imaging. Ann Int Med 126:226-231, 1997. </w:t>
      </w:r>
    </w:p>
    <w:p w14:paraId="7EF2BD30" w14:textId="77777777" w:rsidR="0003189D" w:rsidRPr="00735ABA" w:rsidRDefault="0003189D" w:rsidP="0003189D">
      <w:pPr>
        <w:autoSpaceDE w:val="0"/>
        <w:autoSpaceDN w:val="0"/>
        <w:adjustRightInd w:val="0"/>
        <w:rPr>
          <w:rFonts w:ascii="Arial" w:eastAsia="Calibri" w:hAnsi="Arial" w:cs="Arial"/>
          <w:sz w:val="22"/>
          <w:szCs w:val="22"/>
        </w:rPr>
      </w:pPr>
    </w:p>
    <w:p w14:paraId="4150E821"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Sawin CT, Bigos ST, Land S, Bacharach P. The aging thyroid. Relationship between elevated thyrotropin levels and thyroid antibodies in elderly patients. Am J Med 79:591, 1985. </w:t>
      </w:r>
    </w:p>
    <w:p w14:paraId="57E6000C" w14:textId="77777777" w:rsidR="0003189D" w:rsidRPr="00735ABA" w:rsidRDefault="0003189D" w:rsidP="0003189D">
      <w:pPr>
        <w:autoSpaceDE w:val="0"/>
        <w:autoSpaceDN w:val="0"/>
        <w:adjustRightInd w:val="0"/>
        <w:rPr>
          <w:rFonts w:ascii="Arial" w:eastAsia="Calibri" w:hAnsi="Arial" w:cs="Arial"/>
          <w:sz w:val="22"/>
          <w:szCs w:val="22"/>
        </w:rPr>
      </w:pPr>
    </w:p>
    <w:p w14:paraId="2D9C9FD5"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Wang KW, Sum CF, Tan KT, Ng WY, Cheah JS, A study of non-toxic goiter. Ann Acad Med Singapore 19:439-442, 1990. </w:t>
      </w:r>
    </w:p>
    <w:p w14:paraId="6CAC6F31" w14:textId="77777777" w:rsidR="0003189D" w:rsidRPr="00735ABA" w:rsidRDefault="0003189D" w:rsidP="0003189D">
      <w:pPr>
        <w:autoSpaceDE w:val="0"/>
        <w:autoSpaceDN w:val="0"/>
        <w:adjustRightInd w:val="0"/>
        <w:rPr>
          <w:rFonts w:ascii="Arial" w:eastAsia="Calibri" w:hAnsi="Arial" w:cs="Arial"/>
          <w:sz w:val="22"/>
          <w:szCs w:val="22"/>
        </w:rPr>
      </w:pPr>
    </w:p>
    <w:p w14:paraId="2E328936"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Rallison ML, Dobyns BM, Meikle AW, et al. Natural history of thyroid abnormalities: prevalence, incidence, and regression of thyroid diseases in adolescents and young adults. Am J Med 91:363-370, 1991. </w:t>
      </w:r>
    </w:p>
    <w:p w14:paraId="63C6B15C" w14:textId="77777777" w:rsidR="0003189D" w:rsidRPr="00735ABA" w:rsidRDefault="0003189D" w:rsidP="0003189D">
      <w:pPr>
        <w:autoSpaceDE w:val="0"/>
        <w:autoSpaceDN w:val="0"/>
        <w:adjustRightInd w:val="0"/>
        <w:rPr>
          <w:rFonts w:ascii="Arial" w:eastAsia="Calibri" w:hAnsi="Arial" w:cs="Arial"/>
          <w:sz w:val="22"/>
          <w:szCs w:val="22"/>
        </w:rPr>
      </w:pPr>
    </w:p>
    <w:p w14:paraId="588F00F8"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E47C7A">
        <w:rPr>
          <w:rFonts w:ascii="Arial" w:eastAsia="Calibri" w:hAnsi="Arial" w:cs="Arial"/>
          <w:sz w:val="22"/>
          <w:szCs w:val="22"/>
          <w:lang w:val="pt-BR"/>
        </w:rPr>
        <w:lastRenderedPageBreak/>
        <w:t xml:space="preserve">Pinchera A, Aghini-Lombardi F, Antonangeli L, Vitti P. Multinodular goiter. </w:t>
      </w:r>
      <w:r w:rsidRPr="00735ABA">
        <w:rPr>
          <w:rFonts w:ascii="Arial" w:eastAsia="Calibri" w:hAnsi="Arial" w:cs="Arial"/>
          <w:sz w:val="22"/>
          <w:szCs w:val="22"/>
        </w:rPr>
        <w:t xml:space="preserve">Epidemiology and prevention. Ann Ital Chir 67:317-325, 1996. </w:t>
      </w:r>
    </w:p>
    <w:p w14:paraId="01250F2D" w14:textId="77777777" w:rsidR="0003189D" w:rsidRPr="00735ABA" w:rsidRDefault="0003189D" w:rsidP="0003189D">
      <w:pPr>
        <w:autoSpaceDE w:val="0"/>
        <w:autoSpaceDN w:val="0"/>
        <w:adjustRightInd w:val="0"/>
        <w:rPr>
          <w:rFonts w:ascii="Arial" w:eastAsia="Calibri" w:hAnsi="Arial" w:cs="Arial"/>
          <w:sz w:val="22"/>
          <w:szCs w:val="22"/>
        </w:rPr>
      </w:pPr>
    </w:p>
    <w:p w14:paraId="05C3E61A"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Jarlob AE, Nygaard B, Hegedus L, Hartling SC, Hansen JM: Oberver variation in the clinical and laboratory evaluation of patients with thyroid dysfunction and goiter. Thyroid 8:393-398, 1998. </w:t>
      </w:r>
    </w:p>
    <w:p w14:paraId="475F2220" w14:textId="77777777" w:rsidR="0003189D" w:rsidRPr="00735ABA" w:rsidRDefault="0003189D" w:rsidP="0003189D">
      <w:pPr>
        <w:autoSpaceDE w:val="0"/>
        <w:autoSpaceDN w:val="0"/>
        <w:adjustRightInd w:val="0"/>
        <w:rPr>
          <w:rFonts w:ascii="Arial" w:eastAsia="Calibri" w:hAnsi="Arial" w:cs="Arial"/>
          <w:sz w:val="22"/>
          <w:szCs w:val="22"/>
        </w:rPr>
      </w:pPr>
    </w:p>
    <w:p w14:paraId="27AD1130"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Marine D: Etiology and prevention of simple goiter. Medicine 3:453, 1924. </w:t>
      </w:r>
    </w:p>
    <w:p w14:paraId="35791B5B" w14:textId="77777777" w:rsidR="0003189D" w:rsidRPr="00735ABA" w:rsidRDefault="0003189D" w:rsidP="0003189D">
      <w:pPr>
        <w:autoSpaceDE w:val="0"/>
        <w:autoSpaceDN w:val="0"/>
        <w:adjustRightInd w:val="0"/>
        <w:rPr>
          <w:rFonts w:ascii="Arial" w:eastAsia="Calibri" w:hAnsi="Arial" w:cs="Arial"/>
          <w:sz w:val="22"/>
          <w:szCs w:val="22"/>
        </w:rPr>
      </w:pPr>
    </w:p>
    <w:p w14:paraId="021B3F64"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Taylor S: The evolution of nodular goiter. J Clin Endocrinol Metab 13:1232, 1953. </w:t>
      </w:r>
    </w:p>
    <w:p w14:paraId="6A5B7DD2" w14:textId="77777777" w:rsidR="0003189D" w:rsidRPr="00735ABA" w:rsidRDefault="0003189D" w:rsidP="0003189D">
      <w:pPr>
        <w:autoSpaceDE w:val="0"/>
        <w:autoSpaceDN w:val="0"/>
        <w:adjustRightInd w:val="0"/>
        <w:rPr>
          <w:rFonts w:ascii="Arial" w:eastAsia="Calibri" w:hAnsi="Arial" w:cs="Arial"/>
          <w:sz w:val="22"/>
          <w:szCs w:val="22"/>
        </w:rPr>
      </w:pPr>
    </w:p>
    <w:p w14:paraId="52F6DEB8"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Beckers C, Cornette C: TSH production rate in nontoxic goiter. J Clin Endocrinol Metab 32:852, 1971. </w:t>
      </w:r>
    </w:p>
    <w:p w14:paraId="63CB2C3B" w14:textId="77777777" w:rsidR="0003189D" w:rsidRPr="00735ABA" w:rsidRDefault="0003189D" w:rsidP="0003189D">
      <w:pPr>
        <w:autoSpaceDE w:val="0"/>
        <w:autoSpaceDN w:val="0"/>
        <w:adjustRightInd w:val="0"/>
        <w:rPr>
          <w:rFonts w:ascii="Arial" w:eastAsia="Calibri" w:hAnsi="Arial" w:cs="Arial"/>
          <w:sz w:val="22"/>
          <w:szCs w:val="22"/>
        </w:rPr>
      </w:pPr>
    </w:p>
    <w:p w14:paraId="046CC926"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Dige-Petersen H, Hummer L: Serum thyrotropin concentrations under basal conditions and after stimulation with thyrotropin-releasing, hormone in idiopathic non-toxic goiter. J Clin Endocrinol Metab 44:1115, 1977. </w:t>
      </w:r>
    </w:p>
    <w:p w14:paraId="5C6D77FE" w14:textId="77777777" w:rsidR="0003189D" w:rsidRPr="00735ABA" w:rsidRDefault="0003189D" w:rsidP="0003189D">
      <w:pPr>
        <w:autoSpaceDE w:val="0"/>
        <w:autoSpaceDN w:val="0"/>
        <w:adjustRightInd w:val="0"/>
        <w:rPr>
          <w:rFonts w:ascii="Arial" w:eastAsia="Calibri" w:hAnsi="Arial" w:cs="Arial"/>
          <w:sz w:val="22"/>
          <w:szCs w:val="22"/>
        </w:rPr>
      </w:pPr>
    </w:p>
    <w:p w14:paraId="6EA12629"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Smeulers J, Docter R, Visser TJ, Hennemann G: Response to thyrotrophin-releasing hormone and triiodothyronine suppressibility in euthyroid multinodular goiter. Clin Endocrinology 7:389, 1977. </w:t>
      </w:r>
    </w:p>
    <w:p w14:paraId="3741D966" w14:textId="77777777" w:rsidR="0003189D" w:rsidRPr="00735ABA" w:rsidRDefault="0003189D" w:rsidP="0003189D">
      <w:pPr>
        <w:autoSpaceDE w:val="0"/>
        <w:autoSpaceDN w:val="0"/>
        <w:adjustRightInd w:val="0"/>
        <w:rPr>
          <w:rFonts w:ascii="Arial" w:eastAsia="Calibri" w:hAnsi="Arial" w:cs="Arial"/>
          <w:sz w:val="22"/>
          <w:szCs w:val="22"/>
        </w:rPr>
      </w:pPr>
    </w:p>
    <w:p w14:paraId="743DE41C"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Berghout A, Wiersing WM, Smits NJ, Touber JL. Interrelationships between age, thyroid volume, thyroid nodularity, and thyroid function in patients with sporadic non-toxic goiter. Am J Med 89:602-608, 1995. </w:t>
      </w:r>
    </w:p>
    <w:p w14:paraId="05650002" w14:textId="77777777" w:rsidR="0003189D" w:rsidRPr="00735ABA" w:rsidRDefault="0003189D" w:rsidP="0003189D">
      <w:pPr>
        <w:autoSpaceDE w:val="0"/>
        <w:autoSpaceDN w:val="0"/>
        <w:adjustRightInd w:val="0"/>
        <w:rPr>
          <w:rFonts w:ascii="Arial" w:eastAsia="Calibri" w:hAnsi="Arial" w:cs="Arial"/>
          <w:sz w:val="22"/>
          <w:szCs w:val="22"/>
        </w:rPr>
      </w:pPr>
    </w:p>
    <w:p w14:paraId="0EBE0D8B"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Derwahl M, Studer H. Nodular goiter and goiter nodules: Where iodine deficiency falls short of explaining the facts. Exp Clin Endocrinol Diabetes 109:250-60, 2001. </w:t>
      </w:r>
    </w:p>
    <w:p w14:paraId="2C1A458B" w14:textId="77777777" w:rsidR="0003189D" w:rsidRPr="00735ABA" w:rsidRDefault="0003189D" w:rsidP="0003189D">
      <w:pPr>
        <w:autoSpaceDE w:val="0"/>
        <w:autoSpaceDN w:val="0"/>
        <w:adjustRightInd w:val="0"/>
        <w:rPr>
          <w:rFonts w:ascii="Arial" w:eastAsia="Calibri" w:hAnsi="Arial" w:cs="Arial"/>
          <w:sz w:val="22"/>
          <w:szCs w:val="22"/>
        </w:rPr>
      </w:pPr>
    </w:p>
    <w:p w14:paraId="06EABA3E"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Studer H, Peter HJ, Gerber H: Natural heterogeneity of thyroid cells: The basis for understanding thyroid function and nodular growth. Endocr Rev 10:125, 1989. </w:t>
      </w:r>
    </w:p>
    <w:p w14:paraId="75F7A0B5" w14:textId="77777777" w:rsidR="0003189D" w:rsidRPr="00735ABA" w:rsidRDefault="0003189D" w:rsidP="0003189D">
      <w:pPr>
        <w:autoSpaceDE w:val="0"/>
        <w:autoSpaceDN w:val="0"/>
        <w:adjustRightInd w:val="0"/>
        <w:rPr>
          <w:rFonts w:ascii="Arial" w:eastAsia="Calibri" w:hAnsi="Arial" w:cs="Arial"/>
          <w:sz w:val="22"/>
          <w:szCs w:val="22"/>
        </w:rPr>
      </w:pPr>
    </w:p>
    <w:p w14:paraId="37DD24D5"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Peter JH, Gerber, Studer H, Smeds S: Pathogenesis of heterogeneity in human multinodular goiter. J Clin Invest 76:1992, 1985. </w:t>
      </w:r>
    </w:p>
    <w:p w14:paraId="39DADA91" w14:textId="77777777" w:rsidR="0003189D" w:rsidRPr="00735ABA" w:rsidRDefault="0003189D" w:rsidP="0003189D">
      <w:pPr>
        <w:autoSpaceDE w:val="0"/>
        <w:autoSpaceDN w:val="0"/>
        <w:adjustRightInd w:val="0"/>
        <w:rPr>
          <w:rFonts w:ascii="Arial" w:eastAsia="Calibri" w:hAnsi="Arial" w:cs="Arial"/>
          <w:sz w:val="22"/>
          <w:szCs w:val="22"/>
        </w:rPr>
      </w:pPr>
    </w:p>
    <w:p w14:paraId="1BFFC8B1"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Kopp P, Kimura ET, Aeschimann S, et al. Polyclonal and monoclonal nodules coexist with human multinodular goiters. J Clin Endocrinol Metab 79:134-139, 1994. </w:t>
      </w:r>
    </w:p>
    <w:p w14:paraId="3EC2E3E0" w14:textId="77777777" w:rsidR="0003189D" w:rsidRPr="00735ABA" w:rsidRDefault="0003189D" w:rsidP="0003189D">
      <w:pPr>
        <w:autoSpaceDE w:val="0"/>
        <w:autoSpaceDN w:val="0"/>
        <w:adjustRightInd w:val="0"/>
        <w:rPr>
          <w:rFonts w:ascii="Arial" w:eastAsia="Calibri" w:hAnsi="Arial" w:cs="Arial"/>
          <w:sz w:val="22"/>
          <w:szCs w:val="22"/>
        </w:rPr>
      </w:pPr>
    </w:p>
    <w:p w14:paraId="55ACDD58"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Krohn K, Wohlgemuth S, Gerber H, Paschke R. Hot microscopic areas of iodine-deficient euthyroid goiters contain constitutively activating TSH receptor mutations. J Pathol 192:37-42, 2000. </w:t>
      </w:r>
    </w:p>
    <w:p w14:paraId="63B4520E" w14:textId="77777777" w:rsidR="0003189D" w:rsidRDefault="0003189D" w:rsidP="0003189D">
      <w:pPr>
        <w:pStyle w:val="ListParagraph"/>
        <w:rPr>
          <w:rFonts w:ascii="Arial" w:eastAsia="Calibri" w:hAnsi="Arial" w:cs="Arial"/>
          <w:sz w:val="22"/>
          <w:szCs w:val="22"/>
        </w:rPr>
      </w:pPr>
    </w:p>
    <w:p w14:paraId="17BCE22B"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Holzapfel AP, Fuhrer D, Wonerow P, et al. Identification of constitutively activating somatic thyrotropin receptor mutations in a subset of toxic multinodular goiters. J Clin Endocrinol Metab 82:4292-4233, 1997. </w:t>
      </w:r>
    </w:p>
    <w:p w14:paraId="443D417F" w14:textId="77777777" w:rsidR="0003189D" w:rsidRPr="00735ABA" w:rsidRDefault="0003189D" w:rsidP="0003189D">
      <w:pPr>
        <w:autoSpaceDE w:val="0"/>
        <w:autoSpaceDN w:val="0"/>
        <w:adjustRightInd w:val="0"/>
        <w:rPr>
          <w:rFonts w:ascii="Arial" w:eastAsia="Calibri" w:hAnsi="Arial" w:cs="Arial"/>
          <w:sz w:val="22"/>
          <w:szCs w:val="22"/>
        </w:rPr>
      </w:pPr>
    </w:p>
    <w:p w14:paraId="7D066F9D"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Tassi V, Di Cerbo A, Porcellini A, Papini E, Cisternino C, et al. Screening of thyrotropin receptor mutations by fine-needle aspiration biopsy in autonomous functioning thyroid nodules in multinodular goiters. Thyroid 9:353-357, 1999. </w:t>
      </w:r>
    </w:p>
    <w:p w14:paraId="7AF4C900" w14:textId="77777777" w:rsidR="0003189D" w:rsidRPr="00735ABA" w:rsidRDefault="0003189D" w:rsidP="0003189D">
      <w:pPr>
        <w:autoSpaceDE w:val="0"/>
        <w:autoSpaceDN w:val="0"/>
        <w:adjustRightInd w:val="0"/>
        <w:rPr>
          <w:rFonts w:ascii="Arial" w:eastAsia="Calibri" w:hAnsi="Arial" w:cs="Arial"/>
          <w:sz w:val="22"/>
          <w:szCs w:val="22"/>
        </w:rPr>
      </w:pPr>
    </w:p>
    <w:p w14:paraId="1BD005A8"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Gabriel EM, Bergert ER, Grant CS, van Heerden JA, Thompson GB, et al. Germline polymorphism of codon 727 of human thyroid-stimulating receptor is associated with toxic multinodular goiter. J Clin Endocrinol Metab84:3328-3335, 1999. </w:t>
      </w:r>
    </w:p>
    <w:p w14:paraId="1675ACDD" w14:textId="77777777" w:rsidR="0003189D" w:rsidRPr="00735ABA" w:rsidRDefault="0003189D" w:rsidP="0003189D">
      <w:pPr>
        <w:autoSpaceDE w:val="0"/>
        <w:autoSpaceDN w:val="0"/>
        <w:adjustRightInd w:val="0"/>
        <w:rPr>
          <w:rFonts w:ascii="Arial" w:eastAsia="Calibri" w:hAnsi="Arial" w:cs="Arial"/>
          <w:sz w:val="22"/>
          <w:szCs w:val="22"/>
        </w:rPr>
      </w:pPr>
    </w:p>
    <w:p w14:paraId="3B7561EB" w14:textId="77777777" w:rsidR="0003189D" w:rsidRPr="00735ABA" w:rsidRDefault="0003189D" w:rsidP="0003189D">
      <w:pPr>
        <w:autoSpaceDE w:val="0"/>
        <w:autoSpaceDN w:val="0"/>
        <w:adjustRightInd w:val="0"/>
        <w:rPr>
          <w:rFonts w:ascii="Arial" w:eastAsia="Calibri" w:hAnsi="Arial" w:cs="Arial"/>
          <w:sz w:val="22"/>
          <w:szCs w:val="22"/>
        </w:rPr>
      </w:pPr>
    </w:p>
    <w:p w14:paraId="213A40BA" w14:textId="77777777" w:rsidR="0003189D" w:rsidRPr="00735ABA" w:rsidRDefault="0003189D" w:rsidP="0003189D">
      <w:pPr>
        <w:autoSpaceDE w:val="0"/>
        <w:autoSpaceDN w:val="0"/>
        <w:adjustRightInd w:val="0"/>
        <w:rPr>
          <w:rFonts w:ascii="Arial" w:eastAsia="Calibri" w:hAnsi="Arial" w:cs="Arial"/>
          <w:sz w:val="22"/>
          <w:szCs w:val="22"/>
        </w:rPr>
      </w:pPr>
    </w:p>
    <w:p w14:paraId="52D1D691"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Krohn K, Führer D, Bayer Y, Eszlinger M, Brauer V, Neumann S, Paschke R. Molecular Pathogenesis of Euthyroid and Toxic Multinodular Goiter. Endocr Rev. 2005 June; 26(4):504-24. </w:t>
      </w:r>
    </w:p>
    <w:p w14:paraId="57215EF4" w14:textId="77777777" w:rsidR="0003189D" w:rsidRPr="00735ABA" w:rsidRDefault="0003189D" w:rsidP="0003189D">
      <w:pPr>
        <w:autoSpaceDE w:val="0"/>
        <w:autoSpaceDN w:val="0"/>
        <w:adjustRightInd w:val="0"/>
        <w:rPr>
          <w:rFonts w:ascii="Arial" w:eastAsia="Calibri" w:hAnsi="Arial" w:cs="Arial"/>
          <w:sz w:val="22"/>
          <w:szCs w:val="22"/>
        </w:rPr>
      </w:pPr>
    </w:p>
    <w:p w14:paraId="36448E28"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E47C7A">
        <w:rPr>
          <w:rFonts w:ascii="Arial" w:eastAsia="Calibri" w:hAnsi="Arial" w:cs="Arial"/>
          <w:sz w:val="22"/>
          <w:szCs w:val="22"/>
          <w:lang w:val="pt-BR"/>
        </w:rPr>
        <w:t xml:space="preserve">Masini-Repiso AM, Cobanillas AM, Bonaventura M, Coleoni AH. </w:t>
      </w:r>
      <w:r w:rsidRPr="00735ABA">
        <w:rPr>
          <w:rFonts w:ascii="Arial" w:eastAsia="Calibri" w:hAnsi="Arial" w:cs="Arial"/>
          <w:sz w:val="22"/>
          <w:szCs w:val="22"/>
        </w:rPr>
        <w:t xml:space="preserve">Dissociation of thyrotropin-dependent enzyme activities, reduced iodide transport, and preserved iodide organification in nonfunctioning adenoma and multinodular goiter. J Clin Endocrinol Metab 79:39, 1994. </w:t>
      </w:r>
    </w:p>
    <w:p w14:paraId="7F0E745C" w14:textId="77777777" w:rsidR="0003189D" w:rsidRPr="00735ABA" w:rsidRDefault="0003189D" w:rsidP="0003189D">
      <w:pPr>
        <w:autoSpaceDE w:val="0"/>
        <w:autoSpaceDN w:val="0"/>
        <w:adjustRightInd w:val="0"/>
        <w:rPr>
          <w:rFonts w:ascii="Arial" w:eastAsia="Calibri" w:hAnsi="Arial" w:cs="Arial"/>
          <w:sz w:val="22"/>
          <w:szCs w:val="22"/>
        </w:rPr>
      </w:pPr>
    </w:p>
    <w:p w14:paraId="6892F9D6"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Hegedus L, Bonnema SJ, Bennedbek FN. Management of simple nodular goiter: current status and fature perspectives. Endocr Reviews 24:102-132, 2003. </w:t>
      </w:r>
    </w:p>
    <w:p w14:paraId="69876FB7" w14:textId="77777777" w:rsidR="0003189D" w:rsidRPr="00735ABA" w:rsidRDefault="0003189D" w:rsidP="0003189D">
      <w:pPr>
        <w:autoSpaceDE w:val="0"/>
        <w:autoSpaceDN w:val="0"/>
        <w:adjustRightInd w:val="0"/>
        <w:rPr>
          <w:rFonts w:ascii="Arial" w:eastAsia="Calibri" w:hAnsi="Arial" w:cs="Arial"/>
          <w:sz w:val="22"/>
          <w:szCs w:val="22"/>
        </w:rPr>
      </w:pPr>
    </w:p>
    <w:p w14:paraId="0BD5ABAE"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Krohn K, Paschke R. Progress in understanding the etiology of thyroid autonomy. J Clin Endocrinol Metab 86:3336-3345, 2001. </w:t>
      </w:r>
    </w:p>
    <w:p w14:paraId="1F27F0C7" w14:textId="77777777" w:rsidR="0003189D" w:rsidRPr="00735ABA" w:rsidRDefault="0003189D" w:rsidP="0003189D">
      <w:pPr>
        <w:autoSpaceDE w:val="0"/>
        <w:autoSpaceDN w:val="0"/>
        <w:adjustRightInd w:val="0"/>
        <w:rPr>
          <w:rFonts w:ascii="Arial" w:eastAsia="Calibri" w:hAnsi="Arial" w:cs="Arial"/>
          <w:sz w:val="22"/>
          <w:szCs w:val="22"/>
        </w:rPr>
      </w:pPr>
    </w:p>
    <w:p w14:paraId="5A4CCF78"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Brix TH, Hededus L. Genetic and environmental factors in the aetiology of simple goiter. Ann Med 32:153-156, 2000. </w:t>
      </w:r>
    </w:p>
    <w:p w14:paraId="4FC00BE1" w14:textId="77777777" w:rsidR="0003189D" w:rsidRPr="00735ABA" w:rsidRDefault="0003189D" w:rsidP="0003189D">
      <w:pPr>
        <w:autoSpaceDE w:val="0"/>
        <w:autoSpaceDN w:val="0"/>
        <w:adjustRightInd w:val="0"/>
        <w:rPr>
          <w:rFonts w:ascii="Arial" w:eastAsia="Calibri" w:hAnsi="Arial" w:cs="Arial"/>
          <w:sz w:val="22"/>
          <w:szCs w:val="22"/>
        </w:rPr>
      </w:pPr>
    </w:p>
    <w:p w14:paraId="1594960D"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Brix TH, Kyvik KO, Hedegu¨s L. Major role of genes in the etiology of simple goiter in females: a population-based twin study. J Clin Endocrinol Metab 84:3071-3075, 1999. </w:t>
      </w:r>
    </w:p>
    <w:p w14:paraId="004D2600" w14:textId="77777777" w:rsidR="0003189D" w:rsidRPr="00735ABA" w:rsidRDefault="0003189D" w:rsidP="0003189D">
      <w:pPr>
        <w:autoSpaceDE w:val="0"/>
        <w:autoSpaceDN w:val="0"/>
        <w:adjustRightInd w:val="0"/>
        <w:rPr>
          <w:rFonts w:ascii="Arial" w:eastAsia="Calibri" w:hAnsi="Arial" w:cs="Arial"/>
          <w:sz w:val="22"/>
          <w:szCs w:val="22"/>
        </w:rPr>
      </w:pPr>
    </w:p>
    <w:p w14:paraId="2AB78719"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Brix TH, Kyvik KO, Hegedüs L. A population-based study of chronic autoimmune hypothyroidism in Danish twins. J Clin Endocrinol Metab 85:536-539, 2000. </w:t>
      </w:r>
    </w:p>
    <w:p w14:paraId="5DC68D4B" w14:textId="77777777" w:rsidR="0003189D" w:rsidRDefault="0003189D" w:rsidP="0003189D">
      <w:pPr>
        <w:pStyle w:val="ListParagraph"/>
        <w:rPr>
          <w:rFonts w:ascii="Arial" w:eastAsia="Calibri" w:hAnsi="Arial" w:cs="Arial"/>
          <w:sz w:val="22"/>
          <w:szCs w:val="22"/>
        </w:rPr>
      </w:pPr>
    </w:p>
    <w:p w14:paraId="25275BDA" w14:textId="77777777" w:rsidR="0003189D" w:rsidRDefault="0003189D" w:rsidP="0003189D">
      <w:pPr>
        <w:pStyle w:val="ListParagraph"/>
        <w:numPr>
          <w:ilvl w:val="0"/>
          <w:numId w:val="25"/>
        </w:numPr>
        <w:autoSpaceDE w:val="0"/>
        <w:autoSpaceDN w:val="0"/>
        <w:adjustRightInd w:val="0"/>
        <w:rPr>
          <w:rFonts w:ascii="Arial" w:eastAsia="Calibri" w:hAnsi="Arial" w:cs="Arial"/>
          <w:sz w:val="22"/>
          <w:szCs w:val="22"/>
        </w:rPr>
      </w:pPr>
      <w:r w:rsidRPr="00444DD0">
        <w:rPr>
          <w:rFonts w:ascii="Arial" w:eastAsia="Calibri" w:hAnsi="Arial" w:cs="Arial"/>
          <w:sz w:val="22"/>
          <w:szCs w:val="22"/>
          <w:lang w:val="pt-BR"/>
        </w:rPr>
        <w:t xml:space="preserve">Medeiros-Neto G, Camargo RYC, Tomimori EK. </w:t>
      </w:r>
      <w:r w:rsidRPr="00444DD0">
        <w:rPr>
          <w:rFonts w:ascii="Arial" w:eastAsia="Calibri" w:hAnsi="Arial" w:cs="Arial"/>
          <w:sz w:val="22"/>
          <w:szCs w:val="22"/>
        </w:rPr>
        <w:t>Approach to and treatment of  goiters. Med Clin N Am 92(2):351-358, 2012</w:t>
      </w:r>
    </w:p>
    <w:p w14:paraId="71FB795B" w14:textId="77777777" w:rsidR="0003189D" w:rsidRPr="00444DD0" w:rsidRDefault="0003189D" w:rsidP="0003189D">
      <w:pPr>
        <w:pStyle w:val="ListParagraph"/>
        <w:autoSpaceDE w:val="0"/>
        <w:autoSpaceDN w:val="0"/>
        <w:adjustRightInd w:val="0"/>
        <w:rPr>
          <w:rFonts w:ascii="Arial" w:eastAsia="Calibri" w:hAnsi="Arial" w:cs="Arial"/>
          <w:sz w:val="22"/>
          <w:szCs w:val="22"/>
        </w:rPr>
      </w:pPr>
    </w:p>
    <w:p w14:paraId="576B9CFB" w14:textId="77777777" w:rsidR="0003189D" w:rsidRPr="00444DD0" w:rsidRDefault="0003189D" w:rsidP="0003189D">
      <w:pPr>
        <w:pStyle w:val="ListParagraph"/>
        <w:numPr>
          <w:ilvl w:val="0"/>
          <w:numId w:val="25"/>
        </w:numPr>
        <w:autoSpaceDE w:val="0"/>
        <w:autoSpaceDN w:val="0"/>
        <w:adjustRightInd w:val="0"/>
        <w:rPr>
          <w:rFonts w:ascii="Arial" w:eastAsia="Calibri" w:hAnsi="Arial" w:cs="Arial"/>
          <w:sz w:val="22"/>
          <w:szCs w:val="22"/>
        </w:rPr>
      </w:pPr>
      <w:r w:rsidRPr="00444DD0">
        <w:rPr>
          <w:rFonts w:ascii="Arial" w:eastAsia="Calibri" w:hAnsi="Arial" w:cs="Arial"/>
          <w:sz w:val="22"/>
          <w:szCs w:val="22"/>
        </w:rPr>
        <w:t xml:space="preserve">Knobel M &amp; Medeiros-Neto G: An outline of inherited disorders of the thyroid hormone generating system. THYROID 13:771-801, 2003. </w:t>
      </w:r>
    </w:p>
    <w:p w14:paraId="56722BDD" w14:textId="77777777" w:rsidR="0003189D" w:rsidRPr="00444DD0" w:rsidRDefault="0003189D" w:rsidP="0003189D">
      <w:pPr>
        <w:pStyle w:val="ListParagraph"/>
        <w:autoSpaceDE w:val="0"/>
        <w:autoSpaceDN w:val="0"/>
        <w:adjustRightInd w:val="0"/>
        <w:rPr>
          <w:rFonts w:ascii="Arial" w:eastAsia="Calibri" w:hAnsi="Arial" w:cs="Arial"/>
          <w:sz w:val="22"/>
          <w:szCs w:val="22"/>
        </w:rPr>
      </w:pPr>
    </w:p>
    <w:p w14:paraId="75099F97"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Bignel GR, Canzian F, Shayeghi M, Stark M, Shugart YY, Biggs P, Mangion J, Hamoudi R, Rosenblatt J, Buu P, Sun S, Stoffer SS, Goldgar DE, Romeo G, Houlston RS, Narod SA, Stratton MR, Foulkes WD. Familial nontoxic multinodular thyroid goiter locus maps to chromosome 14q but does not account for familial nonmedullary thyroid cancer. Am J Hum Genet 61:1123-1130, 1997. </w:t>
      </w:r>
    </w:p>
    <w:p w14:paraId="0D3C49B0" w14:textId="77777777" w:rsidR="0003189D" w:rsidRDefault="0003189D" w:rsidP="0003189D">
      <w:pPr>
        <w:pStyle w:val="ListParagraph"/>
        <w:rPr>
          <w:rFonts w:ascii="Arial" w:eastAsia="Calibri" w:hAnsi="Arial" w:cs="Arial"/>
          <w:sz w:val="22"/>
          <w:szCs w:val="22"/>
        </w:rPr>
      </w:pPr>
    </w:p>
    <w:p w14:paraId="5CE392B8"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Neumann S, Willgerodt H, Ackermann F, Reske A, Jung M, Reis A, Paschke R. Linkaged of familial euthyroid goiter to the multinodular goiter-1 locus and exclusion of the candidate genes thyroglobulin, thyroperoxidase and NA+/I- symporter. J Clin Endocrinol Metab 84:3750-3756, 1999. </w:t>
      </w:r>
    </w:p>
    <w:p w14:paraId="21807603"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Mckay JD, Williamson J, Lesueur F, Stark M, Duffield A, Canzian F, Romeo G, Hoffman L. At least three genes account for familial papillary thyroid carcinoma: TCO and MNG1 excluded as susceptibility loci form a large Tasmanian family. Eur J Endocrinol 141:122-125, 1999. </w:t>
      </w:r>
    </w:p>
    <w:p w14:paraId="583C0A69" w14:textId="77777777" w:rsidR="0003189D" w:rsidRPr="00735ABA" w:rsidRDefault="0003189D" w:rsidP="0003189D">
      <w:pPr>
        <w:autoSpaceDE w:val="0"/>
        <w:autoSpaceDN w:val="0"/>
        <w:adjustRightInd w:val="0"/>
        <w:rPr>
          <w:rFonts w:ascii="Arial" w:eastAsia="Calibri" w:hAnsi="Arial" w:cs="Arial"/>
          <w:sz w:val="22"/>
          <w:szCs w:val="22"/>
        </w:rPr>
      </w:pPr>
    </w:p>
    <w:p w14:paraId="12683643"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Capon F, Tacconelli A, Giardina E, Sciacchitano S, Bruno R, Tassi V, Trischitta V, Filetti S, Dallapiccola B, Novelli G. Mapping a dominant form of multinodular goiter to chromosome Xp22. Am J Hum Genet 67:1004-1007, 2000. </w:t>
      </w:r>
    </w:p>
    <w:p w14:paraId="42F67331" w14:textId="77777777" w:rsidR="0003189D" w:rsidRDefault="0003189D" w:rsidP="0003189D">
      <w:pPr>
        <w:pStyle w:val="ListParagraph"/>
        <w:rPr>
          <w:rFonts w:ascii="Arial" w:eastAsia="Calibri" w:hAnsi="Arial" w:cs="Arial"/>
          <w:sz w:val="22"/>
          <w:szCs w:val="22"/>
        </w:rPr>
      </w:pPr>
    </w:p>
    <w:p w14:paraId="03AE0A41"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Bayer Y, Neumann S, Meyer B. Genome-wide Linkage Analysis reveals evidence for four new susceptibility foci for familial euthyroid goiter. J Clin Endocr Metab 89:4044-53, 2004. </w:t>
      </w:r>
    </w:p>
    <w:p w14:paraId="46CBFEDC" w14:textId="77777777" w:rsidR="0003189D" w:rsidRDefault="0003189D" w:rsidP="0003189D">
      <w:pPr>
        <w:pStyle w:val="ListParagraph"/>
        <w:rPr>
          <w:rFonts w:ascii="Arial" w:eastAsia="Calibri" w:hAnsi="Arial" w:cs="Arial"/>
          <w:sz w:val="22"/>
          <w:szCs w:val="22"/>
        </w:rPr>
      </w:pPr>
    </w:p>
    <w:p w14:paraId="1AFD0DF3"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Corval M, Perez R, Sanchez I, Mories MT, San Millan JL, Miralles JM, Gonzalez-Samiento R. Thyroglobulin gene point mutation associated with non-endemic simple goiter. Lancet 341:462-464, 1993. </w:t>
      </w:r>
    </w:p>
    <w:p w14:paraId="790CD673" w14:textId="77777777" w:rsidR="0003189D" w:rsidRDefault="0003189D" w:rsidP="0003189D">
      <w:pPr>
        <w:pStyle w:val="ListParagraph"/>
        <w:rPr>
          <w:rFonts w:ascii="Arial" w:eastAsia="Calibri" w:hAnsi="Arial" w:cs="Arial"/>
          <w:sz w:val="22"/>
          <w:szCs w:val="22"/>
        </w:rPr>
      </w:pPr>
    </w:p>
    <w:p w14:paraId="7C8BFC4D"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Takashi T, Nozaki JI, Komatsu M, Wada Y, Utsunomiya M, Inoue K, Takada G, Koisumi A. A new Locus for a dominant form of Multinodular Goiter on 3q26.1-q26.3 Bioch Biophy Res Comm 284:650-654, 2001. </w:t>
      </w:r>
    </w:p>
    <w:p w14:paraId="215AFFD9" w14:textId="77777777" w:rsidR="0003189D" w:rsidRDefault="0003189D" w:rsidP="0003189D">
      <w:pPr>
        <w:pStyle w:val="ListParagraph"/>
        <w:rPr>
          <w:rFonts w:ascii="Arial" w:eastAsia="Calibri" w:hAnsi="Arial" w:cs="Arial"/>
          <w:sz w:val="22"/>
          <w:szCs w:val="22"/>
        </w:rPr>
      </w:pPr>
    </w:p>
    <w:p w14:paraId="3B15F4A2"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lastRenderedPageBreak/>
        <w:t xml:space="preserve">Samuels MH. Evaluation and treatment of sporadic nontoxic goiter-some answers and more questions. J Clin Endocrinol Metab 86:994-997, 2001. </w:t>
      </w:r>
    </w:p>
    <w:p w14:paraId="5456CBA8" w14:textId="77777777" w:rsidR="0003189D" w:rsidRPr="00735ABA" w:rsidRDefault="0003189D" w:rsidP="0003189D">
      <w:pPr>
        <w:autoSpaceDE w:val="0"/>
        <w:autoSpaceDN w:val="0"/>
        <w:adjustRightInd w:val="0"/>
        <w:rPr>
          <w:rFonts w:ascii="Arial" w:eastAsia="Calibri" w:hAnsi="Arial" w:cs="Arial"/>
          <w:sz w:val="22"/>
          <w:szCs w:val="22"/>
        </w:rPr>
      </w:pPr>
    </w:p>
    <w:p w14:paraId="20CFDFF3"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Bertelsen JB, Hegedüs L. Cigarette smoking and the thyroid. Thyroid 4:327-331, 1994. </w:t>
      </w:r>
    </w:p>
    <w:p w14:paraId="61CF20AD" w14:textId="77777777" w:rsidR="0003189D" w:rsidRPr="00735ABA" w:rsidRDefault="0003189D" w:rsidP="0003189D">
      <w:pPr>
        <w:pStyle w:val="ListParagraph1"/>
        <w:rPr>
          <w:rFonts w:ascii="Arial" w:eastAsia="Calibri" w:hAnsi="Arial" w:cs="Arial"/>
          <w:sz w:val="22"/>
          <w:szCs w:val="22"/>
        </w:rPr>
      </w:pPr>
    </w:p>
    <w:p w14:paraId="62257DEA"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Brix TX, Hansen PS, Kyvik KO, Hegedüs L. Cigarette smoking and risk of clinically overt thyroid disease: a population-based twin case-control study. Arch Intern Med 160:661-666, 2000. </w:t>
      </w:r>
    </w:p>
    <w:p w14:paraId="535C5784" w14:textId="77777777" w:rsidR="0003189D" w:rsidRPr="00735ABA" w:rsidRDefault="0003189D" w:rsidP="0003189D">
      <w:pPr>
        <w:autoSpaceDE w:val="0"/>
        <w:autoSpaceDN w:val="0"/>
        <w:adjustRightInd w:val="0"/>
        <w:rPr>
          <w:rFonts w:ascii="Arial" w:eastAsia="Calibri" w:hAnsi="Arial" w:cs="Arial"/>
          <w:sz w:val="22"/>
          <w:szCs w:val="22"/>
        </w:rPr>
      </w:pPr>
    </w:p>
    <w:p w14:paraId="1896572B"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Gaitan E. Environmental natural goitrogens. In: Peter F, Wiersinga WM, Hostalek U, eds. The thyroid and environment. New York: Schattauer; 69-78, 2000. </w:t>
      </w:r>
    </w:p>
    <w:p w14:paraId="5A9ADBE5" w14:textId="77777777" w:rsidR="0003189D" w:rsidRDefault="0003189D" w:rsidP="0003189D">
      <w:pPr>
        <w:pStyle w:val="ListParagraph"/>
        <w:rPr>
          <w:rFonts w:ascii="Arial" w:eastAsia="Calibri" w:hAnsi="Arial" w:cs="Arial"/>
          <w:sz w:val="22"/>
          <w:szCs w:val="22"/>
        </w:rPr>
      </w:pPr>
    </w:p>
    <w:p w14:paraId="01F2C0C7"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Cheng YL. Birman KD, Schaudies RP, Ahmann AJ, d´Avis J, Geelhoed GW, Wartofsky L: Effects of epidermal growth factor on thyroglobulin and adenosine 3´,5´-monophosphate production by cultured human thyrocytes. J Clin Endocrinol Metab 69:771, 1989. </w:t>
      </w:r>
    </w:p>
    <w:p w14:paraId="58DA4AF0" w14:textId="77777777" w:rsidR="0003189D" w:rsidRDefault="0003189D" w:rsidP="0003189D">
      <w:pPr>
        <w:pStyle w:val="ListParagraph"/>
        <w:rPr>
          <w:rFonts w:ascii="Arial" w:eastAsia="Calibri" w:hAnsi="Arial" w:cs="Arial"/>
          <w:sz w:val="22"/>
          <w:szCs w:val="22"/>
        </w:rPr>
      </w:pPr>
    </w:p>
    <w:p w14:paraId="4979BF51"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Sugenoya A, Masuda H, Komatzu M, Jokojama S, Shimizu T, Fujimori M, Kobajashi S, Iida F. Adenomatous goitre: therapeutic strategy, postoperative outcome, and study of epidermal growth factor receptor. Brit J Surg 79:404, 1992. </w:t>
      </w:r>
    </w:p>
    <w:p w14:paraId="5EAD6702" w14:textId="77777777" w:rsidR="0003189D" w:rsidRPr="00735ABA" w:rsidRDefault="0003189D" w:rsidP="0003189D">
      <w:pPr>
        <w:autoSpaceDE w:val="0"/>
        <w:autoSpaceDN w:val="0"/>
        <w:adjustRightInd w:val="0"/>
        <w:rPr>
          <w:rFonts w:ascii="Arial" w:eastAsia="Calibri" w:hAnsi="Arial" w:cs="Arial"/>
          <w:sz w:val="22"/>
          <w:szCs w:val="22"/>
        </w:rPr>
      </w:pPr>
    </w:p>
    <w:p w14:paraId="3D5596BC"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Maciel RM, Moses AC, Villone G, Tramontano D, Ingbar SH: Demonstration of the production and physiological role of insulin-like growth factor II in rat thyroid follicular cells in culture. J Clin Invest 82:1546, 1988. </w:t>
      </w:r>
    </w:p>
    <w:p w14:paraId="1784906D" w14:textId="77777777" w:rsidR="0003189D" w:rsidRPr="00735ABA" w:rsidRDefault="0003189D" w:rsidP="0003189D">
      <w:pPr>
        <w:autoSpaceDE w:val="0"/>
        <w:autoSpaceDN w:val="0"/>
        <w:adjustRightInd w:val="0"/>
        <w:rPr>
          <w:rFonts w:ascii="Arial" w:eastAsia="Calibri" w:hAnsi="Arial" w:cs="Arial"/>
          <w:sz w:val="22"/>
          <w:szCs w:val="22"/>
        </w:rPr>
      </w:pPr>
    </w:p>
    <w:p w14:paraId="53A56F2D"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Phillips ID, Becks GP, Logan A, Wang JF, Smith C et al. Altered expression of insulin growth factor-1 (IGF-I) and IGF binding proteins during rat hyperplasia and involution. Growth Factors 10:207, 1994. </w:t>
      </w:r>
    </w:p>
    <w:p w14:paraId="0CA6F96D" w14:textId="77777777" w:rsidR="0003189D" w:rsidRPr="00735ABA" w:rsidRDefault="0003189D" w:rsidP="0003189D">
      <w:pPr>
        <w:autoSpaceDE w:val="0"/>
        <w:autoSpaceDN w:val="0"/>
        <w:adjustRightInd w:val="0"/>
        <w:rPr>
          <w:rFonts w:ascii="Arial" w:eastAsia="Calibri" w:hAnsi="Arial" w:cs="Arial"/>
          <w:sz w:val="22"/>
          <w:szCs w:val="22"/>
        </w:rPr>
      </w:pPr>
    </w:p>
    <w:p w14:paraId="7CBB8989"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Takahashi S-I, Conti M, Van Wyk JJ: Thyrotropin potentiation of insulin-like growth factor-I dependent deoxyribonucleic acid synthesis in FRTL-5 cells: Mediation by an autocrine amplification factor(s). Endocrinology 126:736, 1990. </w:t>
      </w:r>
    </w:p>
    <w:p w14:paraId="41983CCA" w14:textId="77777777" w:rsidR="0003189D" w:rsidRDefault="0003189D" w:rsidP="0003189D">
      <w:pPr>
        <w:pStyle w:val="ListParagraph"/>
        <w:rPr>
          <w:rFonts w:ascii="Arial" w:eastAsia="Calibri" w:hAnsi="Arial" w:cs="Arial"/>
          <w:sz w:val="22"/>
          <w:szCs w:val="22"/>
        </w:rPr>
      </w:pPr>
    </w:p>
    <w:p w14:paraId="0860DA24"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Vanelli GB, Barni T, Modigliani U, Paulin I, Serio M, Magi M, Fiorelli G, Balboni GC. Insulin-like growth factor-I receptors in non-functioning thyroid nodules. J Clin Endocrinol Metab 71:1175, 1990. </w:t>
      </w:r>
    </w:p>
    <w:p w14:paraId="069D58DE" w14:textId="77777777" w:rsidR="0003189D" w:rsidRPr="00735ABA" w:rsidRDefault="0003189D" w:rsidP="0003189D">
      <w:pPr>
        <w:autoSpaceDE w:val="0"/>
        <w:autoSpaceDN w:val="0"/>
        <w:adjustRightInd w:val="0"/>
        <w:rPr>
          <w:rFonts w:ascii="Arial" w:eastAsia="Calibri" w:hAnsi="Arial" w:cs="Arial"/>
          <w:sz w:val="22"/>
          <w:szCs w:val="22"/>
        </w:rPr>
      </w:pPr>
    </w:p>
    <w:p w14:paraId="5D67028E"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lastRenderedPageBreak/>
        <w:t xml:space="preserve">deVito WJ, Chanoine J-P, Alex s, Fang S-L, Stone S. Effect of in vivo administration of recombinant acidic fibroblast growth factor on thyroid function in the rat: induction of colloid goiter. Endocrinology 131:729, 1992. </w:t>
      </w:r>
    </w:p>
    <w:p w14:paraId="53D9ED7B" w14:textId="77777777" w:rsidR="0003189D" w:rsidRPr="00735ABA" w:rsidRDefault="0003189D" w:rsidP="0003189D">
      <w:pPr>
        <w:autoSpaceDE w:val="0"/>
        <w:autoSpaceDN w:val="0"/>
        <w:adjustRightInd w:val="0"/>
        <w:rPr>
          <w:rFonts w:ascii="Arial" w:eastAsia="Calibri" w:hAnsi="Arial" w:cs="Arial"/>
          <w:sz w:val="22"/>
          <w:szCs w:val="22"/>
        </w:rPr>
      </w:pPr>
    </w:p>
    <w:p w14:paraId="6A78771A"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Thompson SD, Franklyn JA, Watkinson JC, et al. Fibroblast growth factors 1 and 2 and fibroblast growth factor receptor 1 are elevated in thyroid hyperplasia. J Clin Endocrinol Metab 83:1336-1341, 1998. </w:t>
      </w:r>
    </w:p>
    <w:p w14:paraId="2A7DFE1B" w14:textId="77777777" w:rsidR="0003189D" w:rsidRPr="00735ABA" w:rsidRDefault="0003189D" w:rsidP="0003189D">
      <w:pPr>
        <w:autoSpaceDE w:val="0"/>
        <w:autoSpaceDN w:val="0"/>
        <w:adjustRightInd w:val="0"/>
        <w:ind w:left="360"/>
        <w:rPr>
          <w:rFonts w:ascii="Arial" w:eastAsia="Calibri" w:hAnsi="Arial" w:cs="Arial"/>
          <w:sz w:val="22"/>
          <w:szCs w:val="22"/>
        </w:rPr>
      </w:pPr>
    </w:p>
    <w:p w14:paraId="3E8A2D99"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E47C7A">
        <w:rPr>
          <w:rFonts w:ascii="Arial" w:eastAsia="Calibri" w:hAnsi="Arial" w:cs="Arial"/>
          <w:sz w:val="22"/>
          <w:szCs w:val="22"/>
          <w:lang w:val="es-ES_tradnl"/>
        </w:rPr>
        <w:t xml:space="preserve">Francia FG, Azzolina L, Mantovani T, et al. </w:t>
      </w:r>
      <w:r w:rsidRPr="00735ABA">
        <w:rPr>
          <w:rFonts w:ascii="Arial" w:eastAsia="Calibri" w:hAnsi="Arial" w:cs="Arial"/>
          <w:sz w:val="22"/>
          <w:szCs w:val="22"/>
        </w:rPr>
        <w:t xml:space="preserve">Heterogeneity of nuclear DNA pattern and its relationship with cell cycle activity parameters in multinodular goiter. Clin Endocrinol 46:649-654, 1997. </w:t>
      </w:r>
    </w:p>
    <w:p w14:paraId="56040D9D" w14:textId="77777777" w:rsidR="0003189D" w:rsidRDefault="0003189D" w:rsidP="0003189D">
      <w:pPr>
        <w:pStyle w:val="ListParagraph"/>
        <w:rPr>
          <w:rFonts w:ascii="Arial" w:eastAsia="Calibri" w:hAnsi="Arial" w:cs="Arial"/>
          <w:sz w:val="22"/>
          <w:szCs w:val="22"/>
        </w:rPr>
      </w:pPr>
    </w:p>
    <w:p w14:paraId="748B215D"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Bidey SP, Hill DJ, and Eggo MC. Growth factors and goitrogenesis. J Endocrinol 160:321-332, 1999. </w:t>
      </w:r>
    </w:p>
    <w:p w14:paraId="188BEB1E" w14:textId="77777777" w:rsidR="0003189D" w:rsidRDefault="0003189D" w:rsidP="0003189D">
      <w:pPr>
        <w:pStyle w:val="ListParagraph"/>
        <w:rPr>
          <w:rFonts w:ascii="Arial" w:eastAsia="Calibri" w:hAnsi="Arial" w:cs="Arial"/>
          <w:sz w:val="22"/>
          <w:szCs w:val="22"/>
        </w:rPr>
      </w:pPr>
    </w:p>
    <w:p w14:paraId="4AC79AD1"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Pr>
          <w:rFonts w:ascii="Arial" w:eastAsia="Calibri" w:hAnsi="Arial" w:cs="Arial"/>
          <w:sz w:val="22"/>
          <w:szCs w:val="22"/>
        </w:rPr>
        <w:t>Gérard AC, Poncin S, Caetano B et al. Iodine deficiency induces a thyroid stimulating hormone-independent early phase of microvascular reshaping in the thyroid. Am J Pathol 172(3):748-60, 2008.</w:t>
      </w:r>
    </w:p>
    <w:p w14:paraId="668B1140"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Medeiros-Neto G and Knobel M. iodine deficiency disorders. In: deGroot LJ, Jameson JL, eds. Endocrinology 6th Ed. Chapter 88. New York, Elsevier, 2010. </w:t>
      </w:r>
    </w:p>
    <w:p w14:paraId="0021AF7A" w14:textId="77777777" w:rsidR="0003189D" w:rsidRPr="00735ABA" w:rsidRDefault="0003189D" w:rsidP="0003189D">
      <w:pPr>
        <w:autoSpaceDE w:val="0"/>
        <w:autoSpaceDN w:val="0"/>
        <w:adjustRightInd w:val="0"/>
        <w:rPr>
          <w:rFonts w:ascii="Arial" w:eastAsia="Calibri" w:hAnsi="Arial" w:cs="Arial"/>
          <w:sz w:val="22"/>
          <w:szCs w:val="22"/>
        </w:rPr>
      </w:pPr>
    </w:p>
    <w:p w14:paraId="27558C07"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260522">
        <w:rPr>
          <w:rFonts w:ascii="Arial" w:eastAsia="Calibri" w:hAnsi="Arial" w:cs="Arial"/>
          <w:sz w:val="22"/>
          <w:szCs w:val="22"/>
        </w:rPr>
        <w:t xml:space="preserve">Hegedüs L. Thyroid size determined by ultrasound. Influence of physiological factors and non-thyroidal disease. Dan Med Bull 37:249-263. </w:t>
      </w:r>
    </w:p>
    <w:p w14:paraId="17E99E92" w14:textId="77777777" w:rsidR="0003189D" w:rsidRDefault="0003189D" w:rsidP="0003189D">
      <w:pPr>
        <w:pStyle w:val="ListParagraph"/>
        <w:rPr>
          <w:rFonts w:ascii="Arial" w:eastAsia="Calibri" w:hAnsi="Arial" w:cs="Arial"/>
          <w:sz w:val="22"/>
          <w:szCs w:val="22"/>
        </w:rPr>
      </w:pPr>
    </w:p>
    <w:p w14:paraId="78750779"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Rubio IGS, Medeiros-Neto G. Mutations of the thyroglobulin gene and its relevance to thyroid disorders. Curr Opin Endocrinol Diabetes Obes. 16(5):373-8, 2009. </w:t>
      </w:r>
    </w:p>
    <w:p w14:paraId="3CACB541" w14:textId="77777777" w:rsidR="0003189D" w:rsidRDefault="0003189D" w:rsidP="0003189D">
      <w:pPr>
        <w:pStyle w:val="ListParagraph"/>
        <w:rPr>
          <w:rFonts w:ascii="Arial" w:eastAsia="Calibri" w:hAnsi="Arial" w:cs="Arial"/>
          <w:sz w:val="22"/>
          <w:szCs w:val="22"/>
        </w:rPr>
      </w:pPr>
    </w:p>
    <w:p w14:paraId="48B241AD"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Pelizzo MR, Piotto A, Rubello D, Casara D, Fassina A, Busnardo B. High prevalence of occult papillary thyroid carcinoma in a surgical series for benign thyroid diseases. Tumori 76:255,1990. </w:t>
      </w:r>
    </w:p>
    <w:p w14:paraId="798E5320" w14:textId="77777777" w:rsidR="0003189D" w:rsidRPr="00735ABA" w:rsidRDefault="0003189D" w:rsidP="0003189D">
      <w:pPr>
        <w:autoSpaceDE w:val="0"/>
        <w:autoSpaceDN w:val="0"/>
        <w:adjustRightInd w:val="0"/>
        <w:rPr>
          <w:rFonts w:ascii="Arial" w:eastAsia="Calibri" w:hAnsi="Arial" w:cs="Arial"/>
          <w:sz w:val="22"/>
          <w:szCs w:val="22"/>
        </w:rPr>
      </w:pPr>
    </w:p>
    <w:p w14:paraId="6417E530"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McCall A, Jarosz H, Lawrence AM, Paloyan E. The incidence of thyroid carcinoma in solitary cold nodules and in multinodular goiters. Surgery 100:1128, 1986. </w:t>
      </w:r>
    </w:p>
    <w:p w14:paraId="03C0584E" w14:textId="77777777" w:rsidR="0003189D" w:rsidRPr="00735ABA" w:rsidRDefault="0003189D" w:rsidP="0003189D">
      <w:pPr>
        <w:autoSpaceDE w:val="0"/>
        <w:autoSpaceDN w:val="0"/>
        <w:adjustRightInd w:val="0"/>
        <w:rPr>
          <w:rFonts w:ascii="Arial" w:eastAsia="Calibri" w:hAnsi="Arial" w:cs="Arial"/>
          <w:sz w:val="22"/>
          <w:szCs w:val="22"/>
        </w:rPr>
      </w:pPr>
    </w:p>
    <w:p w14:paraId="0508511A"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Koh KB, Chang KW. Carcinoma in multinodular goiter. Brit J Surg 79:266, 1992. </w:t>
      </w:r>
    </w:p>
    <w:p w14:paraId="2B1BFEBB" w14:textId="77777777" w:rsidR="0003189D" w:rsidRPr="00735ABA" w:rsidRDefault="0003189D" w:rsidP="0003189D">
      <w:pPr>
        <w:autoSpaceDE w:val="0"/>
        <w:autoSpaceDN w:val="0"/>
        <w:adjustRightInd w:val="0"/>
        <w:rPr>
          <w:rFonts w:ascii="Arial" w:eastAsia="Calibri" w:hAnsi="Arial" w:cs="Arial"/>
          <w:sz w:val="22"/>
          <w:szCs w:val="22"/>
        </w:rPr>
      </w:pPr>
    </w:p>
    <w:p w14:paraId="6C080CD2"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lastRenderedPageBreak/>
        <w:t xml:space="preserve">Bisi H, Fernandes SO, Camargo RYA, Koch L, Abdo AH, Brito T. The prevalence of unsuspected thyroid pathology in 300 sequential autopsies with special reference to the incidental carcinoma. Cancer 64:1888-1893, 1989. </w:t>
      </w:r>
    </w:p>
    <w:p w14:paraId="0BE0B9AC" w14:textId="77777777" w:rsidR="0003189D" w:rsidRPr="00735ABA" w:rsidRDefault="0003189D" w:rsidP="0003189D">
      <w:pPr>
        <w:autoSpaceDE w:val="0"/>
        <w:autoSpaceDN w:val="0"/>
        <w:adjustRightInd w:val="0"/>
        <w:rPr>
          <w:rFonts w:ascii="Arial" w:eastAsia="Calibri" w:hAnsi="Arial" w:cs="Arial"/>
          <w:sz w:val="22"/>
          <w:szCs w:val="22"/>
        </w:rPr>
      </w:pPr>
    </w:p>
    <w:p w14:paraId="473FA5D2"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Lang W, Borrusch H, Bauer L. Occult carcinomas of the thyroid. Evaluation of 1020 sequential autopsies. Am J Clin Pathol 90:72, 1988. </w:t>
      </w:r>
    </w:p>
    <w:p w14:paraId="6FC934D0" w14:textId="77777777" w:rsidR="0003189D" w:rsidRDefault="0003189D" w:rsidP="0003189D">
      <w:pPr>
        <w:pStyle w:val="ListParagraph"/>
        <w:rPr>
          <w:rFonts w:ascii="Arial" w:eastAsia="Calibri" w:hAnsi="Arial" w:cs="Arial"/>
          <w:sz w:val="22"/>
          <w:szCs w:val="22"/>
        </w:rPr>
      </w:pPr>
    </w:p>
    <w:p w14:paraId="14FC135D"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Stanbury JB, Ermans AE, Bourdoux P, Todd C, Oken E, Tonglet R, Vidor G, Braverman LE, and Medeiros Neto G. Iodine-induced hyperthyroidism: Occurrence and epidemiology. Thyroid 8(1):83-100, 1998. </w:t>
      </w:r>
    </w:p>
    <w:p w14:paraId="257F9DBF" w14:textId="77777777" w:rsidR="0003189D" w:rsidRDefault="0003189D" w:rsidP="0003189D">
      <w:pPr>
        <w:pStyle w:val="ListParagraph"/>
        <w:rPr>
          <w:rFonts w:ascii="Arial" w:eastAsia="Calibri" w:hAnsi="Arial" w:cs="Arial"/>
          <w:sz w:val="22"/>
          <w:szCs w:val="22"/>
        </w:rPr>
      </w:pPr>
    </w:p>
    <w:p w14:paraId="2BD35C63"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Fukunaga FH, Lockett LJ: Thyroid carcinoma in the Japanese in Hawaii. Arch Pathol Lab Med 92:6, 1971. </w:t>
      </w:r>
    </w:p>
    <w:p w14:paraId="668C1E0D" w14:textId="77777777" w:rsidR="0003189D" w:rsidRPr="00735ABA" w:rsidRDefault="0003189D" w:rsidP="0003189D">
      <w:pPr>
        <w:autoSpaceDE w:val="0"/>
        <w:autoSpaceDN w:val="0"/>
        <w:adjustRightInd w:val="0"/>
        <w:rPr>
          <w:rFonts w:ascii="Arial" w:eastAsia="Calibri" w:hAnsi="Arial" w:cs="Arial"/>
          <w:sz w:val="22"/>
          <w:szCs w:val="22"/>
        </w:rPr>
      </w:pPr>
    </w:p>
    <w:p w14:paraId="2869BBA1"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Sampson RJ, Key CR, Buncher CR, Iijima S: Smallest form of papillary carcinoma of the thyroid. Arch Pathol Lab Med 91:334, 1971. </w:t>
      </w:r>
    </w:p>
    <w:p w14:paraId="7B4FE055" w14:textId="77777777" w:rsidR="0003189D" w:rsidRPr="00735ABA" w:rsidRDefault="0003189D" w:rsidP="0003189D">
      <w:pPr>
        <w:autoSpaceDE w:val="0"/>
        <w:autoSpaceDN w:val="0"/>
        <w:adjustRightInd w:val="0"/>
        <w:rPr>
          <w:rFonts w:ascii="Arial" w:eastAsia="Calibri" w:hAnsi="Arial" w:cs="Arial"/>
          <w:sz w:val="22"/>
          <w:szCs w:val="22"/>
        </w:rPr>
      </w:pPr>
    </w:p>
    <w:p w14:paraId="425E1CB5"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Sampson RJ, Woolner LB, Bahn RC, Kurland LT: Occult thyroid carcinoma in Olmsted County, Minnesota: Prevalence at autopsy compared with that in Hiroshima and Nagasaki. Jpn Cancer 34:2072, 1974. </w:t>
      </w:r>
    </w:p>
    <w:p w14:paraId="2F8020F3" w14:textId="77777777" w:rsidR="0003189D" w:rsidRDefault="0003189D" w:rsidP="0003189D">
      <w:pPr>
        <w:pStyle w:val="ListParagraph"/>
        <w:rPr>
          <w:rFonts w:ascii="Arial" w:eastAsia="Calibri" w:hAnsi="Arial" w:cs="Arial"/>
          <w:sz w:val="22"/>
          <w:szCs w:val="22"/>
        </w:rPr>
      </w:pPr>
    </w:p>
    <w:p w14:paraId="617CD1E8" w14:textId="77777777" w:rsidR="0003189D" w:rsidRPr="00260522"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39330F">
        <w:rPr>
          <w:rFonts w:ascii="Arial" w:hAnsi="Arial" w:cs="Arial"/>
          <w:sz w:val="22"/>
          <w:szCs w:val="22"/>
          <w:lang w:eastAsia="pt-BR"/>
        </w:rPr>
        <w:t xml:space="preserve">Campbell MJ, Seib CD, Candell L, Gosnell JE, Duh QY, Clark OH, Shen WT. </w:t>
      </w:r>
      <w:hyperlink r:id="rId18" w:history="1">
        <w:r w:rsidRPr="0039330F">
          <w:rPr>
            <w:rFonts w:ascii="Arial" w:hAnsi="Arial" w:cs="Arial"/>
            <w:sz w:val="22"/>
            <w:szCs w:val="22"/>
            <w:lang w:eastAsia="pt-BR"/>
          </w:rPr>
          <w:t>The underestimated risk of cancer in patients with </w:t>
        </w:r>
        <w:r w:rsidRPr="0039330F">
          <w:rPr>
            <w:rFonts w:ascii="Arial" w:hAnsi="Arial" w:cs="Arial"/>
            <w:bCs/>
            <w:sz w:val="22"/>
            <w:szCs w:val="22"/>
            <w:lang w:eastAsia="pt-BR"/>
          </w:rPr>
          <w:t>multinodular</w:t>
        </w:r>
        <w:r w:rsidRPr="0039330F">
          <w:rPr>
            <w:rFonts w:ascii="Arial" w:hAnsi="Arial" w:cs="Arial"/>
            <w:sz w:val="22"/>
            <w:szCs w:val="22"/>
            <w:lang w:eastAsia="pt-BR"/>
          </w:rPr>
          <w:t> goiters after a benign fine needle aspiration.</w:t>
        </w:r>
      </w:hyperlink>
      <w:r w:rsidRPr="0039330F">
        <w:rPr>
          <w:rFonts w:ascii="Arial" w:hAnsi="Arial" w:cs="Arial"/>
          <w:sz w:val="22"/>
          <w:szCs w:val="22"/>
          <w:lang w:eastAsia="pt-BR"/>
        </w:rPr>
        <w:t xml:space="preserve">  World J Surg. 39(3):695-700, 2015.</w:t>
      </w:r>
    </w:p>
    <w:p w14:paraId="0C8DA400" w14:textId="77777777" w:rsidR="0003189D" w:rsidRDefault="0003189D" w:rsidP="0003189D">
      <w:pPr>
        <w:pStyle w:val="ListParagraph"/>
        <w:rPr>
          <w:rFonts w:ascii="Arial" w:eastAsia="Calibri" w:hAnsi="Arial" w:cs="Arial"/>
          <w:sz w:val="22"/>
          <w:szCs w:val="22"/>
        </w:rPr>
      </w:pPr>
    </w:p>
    <w:p w14:paraId="30D94B00" w14:textId="77777777" w:rsidR="0003189D" w:rsidRPr="00A16933" w:rsidRDefault="0003189D" w:rsidP="0003189D">
      <w:pPr>
        <w:pStyle w:val="ListParagraph"/>
        <w:numPr>
          <w:ilvl w:val="0"/>
          <w:numId w:val="25"/>
        </w:numPr>
        <w:shd w:val="clear" w:color="auto" w:fill="FFFFFF"/>
        <w:spacing w:after="34" w:line="270" w:lineRule="atLeast"/>
        <w:rPr>
          <w:rFonts w:ascii="Arial" w:hAnsi="Arial" w:cs="Arial"/>
          <w:sz w:val="22"/>
          <w:szCs w:val="22"/>
          <w:lang w:eastAsia="pt-BR"/>
        </w:rPr>
      </w:pPr>
      <w:r w:rsidRPr="00A16933">
        <w:rPr>
          <w:rFonts w:ascii="Arial" w:hAnsi="Arial" w:cs="Arial"/>
          <w:sz w:val="22"/>
          <w:szCs w:val="22"/>
          <w:lang w:eastAsia="pt-BR"/>
        </w:rPr>
        <w:t xml:space="preserve">Brito JP, Yarur AJ, Prokop LJ, McIver B, Murad MH, Montori VM. </w:t>
      </w:r>
      <w:hyperlink r:id="rId19" w:history="1">
        <w:r w:rsidRPr="00A16933">
          <w:rPr>
            <w:rFonts w:ascii="Arial" w:hAnsi="Arial" w:cs="Arial"/>
            <w:sz w:val="22"/>
            <w:szCs w:val="22"/>
            <w:lang w:eastAsia="pt-BR"/>
          </w:rPr>
          <w:t>Prevalence of thyroid cancer in </w:t>
        </w:r>
        <w:r w:rsidRPr="00A16933">
          <w:rPr>
            <w:rFonts w:ascii="Arial" w:hAnsi="Arial" w:cs="Arial"/>
            <w:bCs/>
            <w:sz w:val="22"/>
            <w:szCs w:val="22"/>
            <w:lang w:eastAsia="pt-BR"/>
          </w:rPr>
          <w:t>multinodular</w:t>
        </w:r>
        <w:r w:rsidRPr="00A16933">
          <w:rPr>
            <w:rFonts w:ascii="Arial" w:hAnsi="Arial" w:cs="Arial"/>
            <w:sz w:val="22"/>
            <w:szCs w:val="22"/>
            <w:lang w:eastAsia="pt-BR"/>
          </w:rPr>
          <w:t> </w:t>
        </w:r>
        <w:r w:rsidRPr="00A16933">
          <w:rPr>
            <w:rFonts w:ascii="Arial" w:hAnsi="Arial" w:cs="Arial"/>
            <w:bCs/>
            <w:sz w:val="22"/>
            <w:szCs w:val="22"/>
            <w:lang w:eastAsia="pt-BR"/>
          </w:rPr>
          <w:t>goiter</w:t>
        </w:r>
        <w:r w:rsidRPr="00A16933">
          <w:rPr>
            <w:rFonts w:ascii="Arial" w:hAnsi="Arial" w:cs="Arial"/>
            <w:sz w:val="22"/>
            <w:szCs w:val="22"/>
            <w:lang w:eastAsia="pt-BR"/>
          </w:rPr>
          <w:t> versus single nodule: a systematic review and meta-analysis.</w:t>
        </w:r>
      </w:hyperlink>
      <w:r w:rsidRPr="00A16933">
        <w:rPr>
          <w:rFonts w:ascii="Arial" w:hAnsi="Arial" w:cs="Arial"/>
          <w:sz w:val="22"/>
          <w:szCs w:val="22"/>
          <w:lang w:eastAsia="pt-BR"/>
        </w:rPr>
        <w:t xml:space="preserve"> Thyroid.  23(4):449-55, 2013. </w:t>
      </w:r>
      <w:r>
        <w:rPr>
          <w:rFonts w:ascii="Arial" w:hAnsi="Arial" w:cs="Arial"/>
          <w:sz w:val="22"/>
          <w:szCs w:val="22"/>
          <w:lang w:eastAsia="pt-BR"/>
        </w:rPr>
        <w:t>Review.</w:t>
      </w:r>
    </w:p>
    <w:p w14:paraId="1B1EFEEB" w14:textId="77777777" w:rsidR="0003189D" w:rsidRPr="00A16933" w:rsidRDefault="0003189D" w:rsidP="0003189D">
      <w:pPr>
        <w:shd w:val="clear" w:color="auto" w:fill="FFFFFF"/>
        <w:spacing w:after="34" w:line="270" w:lineRule="atLeast"/>
        <w:ind w:left="720"/>
        <w:rPr>
          <w:rFonts w:ascii="Arial" w:hAnsi="Arial" w:cs="Arial"/>
          <w:sz w:val="22"/>
          <w:szCs w:val="22"/>
          <w:lang w:eastAsia="pt-BR"/>
        </w:rPr>
      </w:pPr>
    </w:p>
    <w:p w14:paraId="0F262E87" w14:textId="77777777" w:rsidR="0003189D" w:rsidRPr="00A16933" w:rsidRDefault="0003189D" w:rsidP="0003189D">
      <w:pPr>
        <w:pStyle w:val="ListParagraph"/>
        <w:numPr>
          <w:ilvl w:val="0"/>
          <w:numId w:val="25"/>
        </w:numPr>
        <w:shd w:val="clear" w:color="auto" w:fill="FFFFFF"/>
        <w:spacing w:after="34" w:line="270" w:lineRule="atLeast"/>
        <w:rPr>
          <w:rFonts w:ascii="Arial" w:hAnsi="Arial" w:cs="Arial"/>
          <w:sz w:val="22"/>
          <w:szCs w:val="22"/>
          <w:lang w:eastAsia="pt-BR"/>
        </w:rPr>
      </w:pPr>
      <w:r w:rsidRPr="00A16933">
        <w:rPr>
          <w:rFonts w:ascii="Arial" w:hAnsi="Arial" w:cs="Arial"/>
          <w:sz w:val="22"/>
          <w:szCs w:val="22"/>
          <w:lang w:eastAsia="pt-BR"/>
        </w:rPr>
        <w:t>Pasqualetti G, Caraccio N, Basolo F, Miccoli P, Monzani F.</w:t>
      </w:r>
      <w:hyperlink r:id="rId20" w:history="1">
        <w:r w:rsidRPr="00A16933">
          <w:rPr>
            <w:rFonts w:ascii="Arial" w:hAnsi="Arial" w:cs="Arial"/>
            <w:sz w:val="22"/>
            <w:szCs w:val="22"/>
            <w:lang w:eastAsia="pt-BR"/>
          </w:rPr>
          <w:t>Prevalence of thyroid cancer in </w:t>
        </w:r>
        <w:r w:rsidRPr="00A16933">
          <w:rPr>
            <w:rFonts w:ascii="Arial" w:hAnsi="Arial" w:cs="Arial"/>
            <w:bCs/>
            <w:sz w:val="22"/>
            <w:szCs w:val="22"/>
            <w:lang w:eastAsia="pt-BR"/>
          </w:rPr>
          <w:t>multinodular</w:t>
        </w:r>
        <w:r w:rsidRPr="00A16933">
          <w:rPr>
            <w:rFonts w:ascii="Arial" w:hAnsi="Arial" w:cs="Arial"/>
            <w:sz w:val="22"/>
            <w:szCs w:val="22"/>
            <w:lang w:eastAsia="pt-BR"/>
          </w:rPr>
          <w:t> </w:t>
        </w:r>
        <w:r w:rsidRPr="00A16933">
          <w:rPr>
            <w:rFonts w:ascii="Arial" w:hAnsi="Arial" w:cs="Arial"/>
            <w:bCs/>
            <w:sz w:val="22"/>
            <w:szCs w:val="22"/>
            <w:lang w:eastAsia="pt-BR"/>
          </w:rPr>
          <w:t>goiter</w:t>
        </w:r>
        <w:r w:rsidRPr="00A16933">
          <w:rPr>
            <w:rFonts w:ascii="Arial" w:hAnsi="Arial" w:cs="Arial"/>
            <w:sz w:val="22"/>
            <w:szCs w:val="22"/>
            <w:lang w:eastAsia="pt-BR"/>
          </w:rPr>
          <w:t> versus single nodule: iodine intake and cancer phenotypes.</w:t>
        </w:r>
      </w:hyperlink>
      <w:r w:rsidRPr="00A16933">
        <w:rPr>
          <w:rFonts w:ascii="Arial" w:hAnsi="Arial" w:cs="Arial"/>
          <w:sz w:val="22"/>
          <w:szCs w:val="22"/>
          <w:lang w:eastAsia="pt-BR"/>
        </w:rPr>
        <w:t xml:space="preserve"> Thyroid. 24(3):604-5, 2014</w:t>
      </w:r>
    </w:p>
    <w:p w14:paraId="46D3AA83" w14:textId="77777777" w:rsidR="0003189D" w:rsidRPr="0039330F" w:rsidRDefault="0003189D" w:rsidP="0003189D">
      <w:pPr>
        <w:pStyle w:val="ListParagraph"/>
        <w:rPr>
          <w:rFonts w:ascii="Arial" w:hAnsi="Arial" w:cs="Arial"/>
          <w:lang w:eastAsia="pt-BR"/>
        </w:rPr>
      </w:pPr>
    </w:p>
    <w:p w14:paraId="414149A4" w14:textId="77777777" w:rsidR="0003189D" w:rsidRDefault="0003189D" w:rsidP="0003189D">
      <w:pPr>
        <w:pStyle w:val="ListParagraph"/>
        <w:numPr>
          <w:ilvl w:val="0"/>
          <w:numId w:val="25"/>
        </w:numPr>
        <w:suppressAutoHyphens/>
        <w:autoSpaceDE w:val="0"/>
        <w:autoSpaceDN w:val="0"/>
        <w:adjustRightInd w:val="0"/>
        <w:spacing w:before="100" w:line="220" w:lineRule="atLeast"/>
        <w:jc w:val="both"/>
        <w:rPr>
          <w:rFonts w:ascii="Arial" w:hAnsi="Arial" w:cs="Arial"/>
          <w:sz w:val="22"/>
          <w:szCs w:val="22"/>
        </w:rPr>
      </w:pPr>
      <w:r w:rsidRPr="00A16933">
        <w:rPr>
          <w:rFonts w:ascii="Arial" w:hAnsi="Arial" w:cs="Arial"/>
          <w:sz w:val="22"/>
          <w:szCs w:val="22"/>
        </w:rPr>
        <w:t>Riccabona OA. Thyroid cancer: its epidemiology, clinical features and treatment. Springer Verlag 1987.</w:t>
      </w:r>
    </w:p>
    <w:p w14:paraId="00B3018F" w14:textId="77777777" w:rsidR="0003189D" w:rsidRPr="00A16933" w:rsidRDefault="0003189D" w:rsidP="0003189D">
      <w:pPr>
        <w:pStyle w:val="ListParagraph"/>
        <w:rPr>
          <w:rFonts w:ascii="Arial" w:hAnsi="Arial" w:cs="Arial"/>
          <w:sz w:val="22"/>
          <w:szCs w:val="22"/>
        </w:rPr>
      </w:pPr>
    </w:p>
    <w:p w14:paraId="6E4F6A6B"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Tomusch O, Machens A, Sekulla C, Ukkat J, Lippert H, Gastinger I, Dralle H. Multivariate analysis of risk factors for postoperative complications in benign goiter surgery: prospective multicenter study in Germany. World J Surg 24:1335-1341, 2000. </w:t>
      </w:r>
    </w:p>
    <w:p w14:paraId="77B26FCC" w14:textId="77777777" w:rsidR="0003189D" w:rsidRPr="00735ABA" w:rsidRDefault="0003189D" w:rsidP="0003189D">
      <w:pPr>
        <w:autoSpaceDE w:val="0"/>
        <w:autoSpaceDN w:val="0"/>
        <w:adjustRightInd w:val="0"/>
        <w:rPr>
          <w:rFonts w:ascii="Arial" w:eastAsia="Calibri" w:hAnsi="Arial" w:cs="Arial"/>
          <w:sz w:val="22"/>
          <w:szCs w:val="22"/>
        </w:rPr>
      </w:pPr>
    </w:p>
    <w:p w14:paraId="1377E41E"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lastRenderedPageBreak/>
        <w:t xml:space="preserve">Abdel Rahim AA, Ahmed ME, Hassan MA. Respiratory complications after thyroidectomy and the need for tracheostomy in patients with a large goiter. Br J Surg 86:88-90, 1999. </w:t>
      </w:r>
    </w:p>
    <w:p w14:paraId="797701E0" w14:textId="77777777" w:rsidR="0003189D" w:rsidRPr="00735ABA" w:rsidRDefault="0003189D" w:rsidP="0003189D">
      <w:pPr>
        <w:autoSpaceDE w:val="0"/>
        <w:autoSpaceDN w:val="0"/>
        <w:adjustRightInd w:val="0"/>
        <w:rPr>
          <w:rFonts w:ascii="Arial" w:eastAsia="Calibri" w:hAnsi="Arial" w:cs="Arial"/>
          <w:sz w:val="22"/>
          <w:szCs w:val="22"/>
        </w:rPr>
      </w:pPr>
    </w:p>
    <w:p w14:paraId="658FEA4E"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Mariotti RA, Zannini P, Viani MP, Voci C, Pezzuoli G. Surgical treatment of substernal goiters. Int Surg 76:12-17, 1991. </w:t>
      </w:r>
    </w:p>
    <w:p w14:paraId="5D1C9CCF" w14:textId="77777777" w:rsidR="0003189D" w:rsidRPr="00735ABA" w:rsidRDefault="0003189D" w:rsidP="0003189D">
      <w:pPr>
        <w:autoSpaceDE w:val="0"/>
        <w:autoSpaceDN w:val="0"/>
        <w:adjustRightInd w:val="0"/>
        <w:rPr>
          <w:rFonts w:ascii="Arial" w:eastAsia="Calibri" w:hAnsi="Arial" w:cs="Arial"/>
          <w:sz w:val="22"/>
          <w:szCs w:val="22"/>
        </w:rPr>
      </w:pPr>
    </w:p>
    <w:p w14:paraId="2DB88F50"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Torre G, Borgonovo G, Amato A, Arezzo A, Ansaldo G, De Negri A, Ughe M, Mattioli F. Surgical management of substernal goiter: analysis of 237 patients. Am Surg 61:826-831, 1995. </w:t>
      </w:r>
    </w:p>
    <w:p w14:paraId="1C5EA8F0" w14:textId="77777777" w:rsidR="0003189D" w:rsidRDefault="0003189D" w:rsidP="0003189D">
      <w:pPr>
        <w:pStyle w:val="ListParagraph"/>
        <w:rPr>
          <w:rFonts w:ascii="Arial" w:eastAsia="Calibri" w:hAnsi="Arial" w:cs="Arial"/>
          <w:sz w:val="22"/>
          <w:szCs w:val="22"/>
        </w:rPr>
      </w:pPr>
    </w:p>
    <w:p w14:paraId="7683AD7D"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Vadasz P, Kotsis L. Surgical aspects of 175 mediatinal goiters. Eur J Cardiothorac surg 14:393-397, 1998. </w:t>
      </w:r>
    </w:p>
    <w:p w14:paraId="34A39E5B" w14:textId="77777777" w:rsidR="0003189D" w:rsidRPr="00735ABA" w:rsidRDefault="0003189D" w:rsidP="0003189D">
      <w:pPr>
        <w:autoSpaceDE w:val="0"/>
        <w:autoSpaceDN w:val="0"/>
        <w:adjustRightInd w:val="0"/>
        <w:rPr>
          <w:rFonts w:ascii="Arial" w:eastAsia="Calibri" w:hAnsi="Arial" w:cs="Arial"/>
          <w:sz w:val="22"/>
          <w:szCs w:val="22"/>
        </w:rPr>
      </w:pPr>
    </w:p>
    <w:p w14:paraId="03FECBF9"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Allo MD, Thompson NW. Rationale for the operative management of substernal goiters. Surgery 94:969-977, 1983. </w:t>
      </w:r>
    </w:p>
    <w:p w14:paraId="60E3CACC" w14:textId="77777777" w:rsidR="0003189D" w:rsidRDefault="0003189D" w:rsidP="0003189D">
      <w:pPr>
        <w:pStyle w:val="ListParagraph"/>
        <w:rPr>
          <w:rFonts w:ascii="Arial" w:eastAsia="Calibri" w:hAnsi="Arial" w:cs="Arial"/>
          <w:sz w:val="22"/>
          <w:szCs w:val="22"/>
        </w:rPr>
      </w:pPr>
    </w:p>
    <w:p w14:paraId="1DE7EEEB"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Röjdmark J, Järhult J. High long term recurrence rate after subtotal thyroidectomy for nodular goiter. Eur J Surg 161:725-727, 1995. </w:t>
      </w:r>
    </w:p>
    <w:p w14:paraId="65C57C0B" w14:textId="77777777" w:rsidR="0003189D" w:rsidRPr="00735ABA" w:rsidRDefault="0003189D" w:rsidP="0003189D">
      <w:pPr>
        <w:autoSpaceDE w:val="0"/>
        <w:autoSpaceDN w:val="0"/>
        <w:adjustRightInd w:val="0"/>
        <w:rPr>
          <w:rFonts w:ascii="Arial" w:eastAsia="Calibri" w:hAnsi="Arial" w:cs="Arial"/>
          <w:sz w:val="22"/>
          <w:szCs w:val="22"/>
        </w:rPr>
      </w:pPr>
    </w:p>
    <w:p w14:paraId="6434A78F"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Berghout A, Wiersinga WM, Drexhage HA, van Trotsenburg P, Smits NJ, van der Gaag RD, Touber JL. The long-term outcome of thyroidectomy for sporadic non-toxic goitre. Clin Endocr (Oxf) 31:193-199, 1989. </w:t>
      </w:r>
    </w:p>
    <w:p w14:paraId="530CF290" w14:textId="77777777" w:rsidR="0003189D" w:rsidRPr="00735ABA" w:rsidRDefault="0003189D" w:rsidP="0003189D">
      <w:pPr>
        <w:autoSpaceDE w:val="0"/>
        <w:autoSpaceDN w:val="0"/>
        <w:adjustRightInd w:val="0"/>
        <w:rPr>
          <w:rFonts w:ascii="Arial" w:eastAsia="Calibri" w:hAnsi="Arial" w:cs="Arial"/>
          <w:sz w:val="22"/>
          <w:szCs w:val="22"/>
        </w:rPr>
      </w:pPr>
    </w:p>
    <w:p w14:paraId="32C26172"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Geerdsen JP, Frolund L. Thyroid function after surgical treatment of nontoxic goitre. A randomized study of postoperative thyroxine administration. Acta Med Scand 220:341-345, 1986. </w:t>
      </w:r>
    </w:p>
    <w:p w14:paraId="662111CD" w14:textId="77777777" w:rsidR="0003189D" w:rsidRPr="00735ABA" w:rsidRDefault="0003189D" w:rsidP="0003189D">
      <w:pPr>
        <w:autoSpaceDE w:val="0"/>
        <w:autoSpaceDN w:val="0"/>
        <w:adjustRightInd w:val="0"/>
        <w:rPr>
          <w:rFonts w:ascii="Arial" w:eastAsia="Calibri" w:hAnsi="Arial" w:cs="Arial"/>
          <w:sz w:val="22"/>
          <w:szCs w:val="22"/>
        </w:rPr>
      </w:pPr>
    </w:p>
    <w:p w14:paraId="1DB4D8F1"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Bistrup C, Nielsen JD, Gregersen G, Franch P. Preventive effect of levothyroxine in patients operated for non-toxic goitre: a randomized trial of one hundred patients with nine years follow-up. Clin Endocrinol (Oxf) 40:323-327, 1986. </w:t>
      </w:r>
    </w:p>
    <w:p w14:paraId="3DF34581" w14:textId="77777777" w:rsidR="0003189D" w:rsidRPr="00735ABA" w:rsidRDefault="0003189D" w:rsidP="0003189D">
      <w:pPr>
        <w:autoSpaceDE w:val="0"/>
        <w:autoSpaceDN w:val="0"/>
        <w:adjustRightInd w:val="0"/>
        <w:rPr>
          <w:rFonts w:ascii="Arial" w:eastAsia="Calibri" w:hAnsi="Arial" w:cs="Arial"/>
          <w:sz w:val="22"/>
          <w:szCs w:val="22"/>
        </w:rPr>
      </w:pPr>
    </w:p>
    <w:p w14:paraId="38BE494B"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Miccoli P, Antonelli A, Iacconi P, Alberti B, Gambuzza C, Baschieri L. Prospective, randomized, double-blind study about effectiveness of levothyroxine suppressive therapy in prevention of recurrence after operation: result at the third year of follow-up. Surgery 114:1097-1101, 1993. </w:t>
      </w:r>
    </w:p>
    <w:p w14:paraId="770E9D81" w14:textId="77777777" w:rsidR="0003189D" w:rsidRPr="00735ABA" w:rsidRDefault="0003189D" w:rsidP="0003189D">
      <w:pPr>
        <w:autoSpaceDE w:val="0"/>
        <w:autoSpaceDN w:val="0"/>
        <w:adjustRightInd w:val="0"/>
        <w:rPr>
          <w:rFonts w:ascii="Arial" w:eastAsia="Calibri" w:hAnsi="Arial" w:cs="Arial"/>
          <w:sz w:val="22"/>
          <w:szCs w:val="22"/>
        </w:rPr>
      </w:pPr>
    </w:p>
    <w:p w14:paraId="06BD6736"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Feldkamp J, Seppl T, Becker A, Klisch A, Schlagheck R, Goretzki PE, Roher HD. Iodide or L-thyroxine to prevent recurrent goiter in an iodine-deficient area: prospective sonographic study. World J Surg 21:10-14, 1997. </w:t>
      </w:r>
    </w:p>
    <w:p w14:paraId="2B2D3425" w14:textId="77777777" w:rsidR="0003189D" w:rsidRPr="00735ABA" w:rsidRDefault="0003189D" w:rsidP="0003189D">
      <w:pPr>
        <w:autoSpaceDE w:val="0"/>
        <w:autoSpaceDN w:val="0"/>
        <w:adjustRightInd w:val="0"/>
        <w:rPr>
          <w:rFonts w:ascii="Arial" w:eastAsia="Calibri" w:hAnsi="Arial" w:cs="Arial"/>
          <w:sz w:val="22"/>
          <w:szCs w:val="22"/>
        </w:rPr>
      </w:pPr>
    </w:p>
    <w:p w14:paraId="00364BC2"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Seiler CA, Glaser C, Wagner HE. Thyroid gland surgery in an endemic region. World J Surg 20:593-596, 1996. </w:t>
      </w:r>
    </w:p>
    <w:p w14:paraId="3E04FC90" w14:textId="77777777" w:rsidR="0003189D" w:rsidRDefault="0003189D" w:rsidP="0003189D">
      <w:pPr>
        <w:pStyle w:val="ListParagraph"/>
        <w:rPr>
          <w:rFonts w:ascii="Arial" w:eastAsia="Calibri" w:hAnsi="Arial" w:cs="Arial"/>
          <w:sz w:val="22"/>
          <w:szCs w:val="22"/>
        </w:rPr>
      </w:pPr>
    </w:p>
    <w:p w14:paraId="6059E4CC"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Mishra A, Agarwal A, Agarwal G, Mishra SK. Total thyroidectomy for benign thyroid disorders in an endemic region. World J Surg 25:307-310, 2001. </w:t>
      </w:r>
    </w:p>
    <w:p w14:paraId="73AB4F15" w14:textId="77777777" w:rsidR="0003189D" w:rsidRPr="00735ABA" w:rsidRDefault="0003189D" w:rsidP="0003189D">
      <w:pPr>
        <w:autoSpaceDE w:val="0"/>
        <w:autoSpaceDN w:val="0"/>
        <w:adjustRightInd w:val="0"/>
        <w:rPr>
          <w:rFonts w:ascii="Arial" w:eastAsia="Calibri" w:hAnsi="Arial" w:cs="Arial"/>
          <w:sz w:val="22"/>
          <w:szCs w:val="22"/>
        </w:rPr>
      </w:pPr>
    </w:p>
    <w:p w14:paraId="0E05C4D4"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Pappalardo G, Guadalaxara A, Frattaroli FM, Illomei G, Falaschi P. Total compared with subtotal thyroidectomy in benign nodular disease: personal series and review of published reports. Eur J Surg 164:501-506, 1998. </w:t>
      </w:r>
    </w:p>
    <w:p w14:paraId="0E5CB796" w14:textId="77777777" w:rsidR="0003189D" w:rsidRPr="00735ABA" w:rsidRDefault="0003189D" w:rsidP="0003189D">
      <w:pPr>
        <w:autoSpaceDE w:val="0"/>
        <w:autoSpaceDN w:val="0"/>
        <w:adjustRightInd w:val="0"/>
        <w:rPr>
          <w:rFonts w:ascii="Arial" w:eastAsia="Calibri" w:hAnsi="Arial" w:cs="Arial"/>
          <w:sz w:val="22"/>
          <w:szCs w:val="22"/>
        </w:rPr>
      </w:pPr>
    </w:p>
    <w:p w14:paraId="15FB9C4F"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Hisham AN, Azlina AF, Aina EN, Sarojah A. Total thyroidectomy: the procedure of choice for multinodular goitre. Eur J Surg 167:403-405, 2001. </w:t>
      </w:r>
    </w:p>
    <w:p w14:paraId="70A8399E" w14:textId="77777777" w:rsidR="0003189D" w:rsidRDefault="0003189D" w:rsidP="0003189D">
      <w:pPr>
        <w:pStyle w:val="ListParagraph"/>
        <w:rPr>
          <w:rFonts w:ascii="Arial" w:eastAsia="Calibri" w:hAnsi="Arial" w:cs="Arial"/>
          <w:sz w:val="22"/>
          <w:szCs w:val="22"/>
        </w:rPr>
      </w:pPr>
    </w:p>
    <w:p w14:paraId="00B76813"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Wiest PW, Hartshorne MF, Inskip PD, Crooks LA, Vela BS, Telepak RI, Williamson MR, Blumhardt R, Bauman JM, Tekkel M. Thyroid palpation vs high-resolution thyroid ultrasonography in the detection of nodules. J Ultrasound Med 17:487-496, 1998.</w:t>
      </w:r>
    </w:p>
    <w:p w14:paraId="1720562E" w14:textId="77777777" w:rsidR="0003189D" w:rsidRDefault="0003189D" w:rsidP="0003189D">
      <w:pPr>
        <w:pStyle w:val="ListParagraph"/>
        <w:rPr>
          <w:rFonts w:ascii="Arial" w:eastAsia="Calibri" w:hAnsi="Arial" w:cs="Arial"/>
          <w:sz w:val="22"/>
          <w:szCs w:val="22"/>
        </w:rPr>
      </w:pPr>
    </w:p>
    <w:p w14:paraId="4E96DBCF"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Borghout A, Wiersinga WM, Smits NJ, Touber JL. The value of thyroid volume measured by ultrasonography in the diagnosis of goitre. Clin Endocrinol (Oxf) 28:409-414, 1988. </w:t>
      </w:r>
    </w:p>
    <w:p w14:paraId="0C7B62EA" w14:textId="77777777" w:rsidR="0003189D" w:rsidRDefault="0003189D" w:rsidP="0003189D">
      <w:pPr>
        <w:pStyle w:val="ListParagraph"/>
        <w:rPr>
          <w:rFonts w:ascii="Arial" w:eastAsia="Calibri" w:hAnsi="Arial" w:cs="Arial"/>
          <w:sz w:val="22"/>
          <w:szCs w:val="22"/>
        </w:rPr>
      </w:pPr>
    </w:p>
    <w:p w14:paraId="748E6A8B"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Knudsen N, Bols B, Bülow I, Jorgensen T, Perrild H, Ovesen L, Laurberg P. Validation of ultrasonography of the thyroid gland for epidemiological purposes. Thyroid 9:1069-1074, 1999. </w:t>
      </w:r>
    </w:p>
    <w:p w14:paraId="169A57E6" w14:textId="77777777" w:rsidR="0003189D" w:rsidRDefault="0003189D" w:rsidP="0003189D">
      <w:pPr>
        <w:pStyle w:val="ListParagraph"/>
        <w:rPr>
          <w:rFonts w:ascii="Arial" w:eastAsia="Calibri" w:hAnsi="Arial" w:cs="Arial"/>
          <w:sz w:val="22"/>
          <w:szCs w:val="22"/>
        </w:rPr>
      </w:pPr>
    </w:p>
    <w:p w14:paraId="3A2AE0B5"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E47C7A">
        <w:rPr>
          <w:rFonts w:ascii="Arial" w:eastAsia="Calibri" w:hAnsi="Arial" w:cs="Arial"/>
          <w:sz w:val="22"/>
          <w:szCs w:val="22"/>
          <w:lang w:val="pt-BR"/>
        </w:rPr>
        <w:t xml:space="preserve">Ezzat S, Sarti DA, Cain DR, Braunstein GD. </w:t>
      </w:r>
      <w:r w:rsidRPr="00735ABA">
        <w:rPr>
          <w:rFonts w:ascii="Arial" w:eastAsia="Calibri" w:hAnsi="Arial" w:cs="Arial"/>
          <w:sz w:val="22"/>
          <w:szCs w:val="22"/>
        </w:rPr>
        <w:t xml:space="preserve">Thyroid incidentalomas. Prevalence by palpation and ultrasonography. Arch Intern Med 154:1838-1840, 1994. </w:t>
      </w:r>
    </w:p>
    <w:p w14:paraId="19FB448A" w14:textId="77777777" w:rsidR="0003189D" w:rsidRPr="00735ABA" w:rsidRDefault="0003189D" w:rsidP="0003189D">
      <w:pPr>
        <w:autoSpaceDE w:val="0"/>
        <w:autoSpaceDN w:val="0"/>
        <w:adjustRightInd w:val="0"/>
        <w:rPr>
          <w:rFonts w:ascii="Arial" w:eastAsia="Calibri" w:hAnsi="Arial" w:cs="Arial"/>
          <w:sz w:val="22"/>
          <w:szCs w:val="22"/>
        </w:rPr>
      </w:pPr>
    </w:p>
    <w:p w14:paraId="5781323B"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Tomimori E, Pedrinola F, Cavaliere H, Knobel M, Medeiros-Neto G. Prevalence of incidental thyroid disease in a relatively low iodine intake area. Thyroid 5:273-276, 1995. </w:t>
      </w:r>
    </w:p>
    <w:p w14:paraId="1270E1F2" w14:textId="77777777" w:rsidR="0003189D" w:rsidRPr="00735ABA" w:rsidRDefault="0003189D" w:rsidP="0003189D">
      <w:pPr>
        <w:autoSpaceDE w:val="0"/>
        <w:autoSpaceDN w:val="0"/>
        <w:adjustRightInd w:val="0"/>
        <w:rPr>
          <w:rFonts w:ascii="Arial" w:eastAsia="Calibri" w:hAnsi="Arial" w:cs="Arial"/>
          <w:sz w:val="22"/>
          <w:szCs w:val="22"/>
        </w:rPr>
      </w:pPr>
    </w:p>
    <w:p w14:paraId="0F98B298"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Brunn J, Block U, Ruf G, Bos I, Kunze WP, Scriba PC. [Volumetric analysis of thyroid lobes by real-time ultrasound.] Dtsch Med Wochenschr 106:1338-1340, 1981. </w:t>
      </w:r>
    </w:p>
    <w:p w14:paraId="7008351A" w14:textId="77777777" w:rsidR="0003189D" w:rsidRPr="00735ABA" w:rsidRDefault="0003189D" w:rsidP="0003189D">
      <w:pPr>
        <w:autoSpaceDE w:val="0"/>
        <w:autoSpaceDN w:val="0"/>
        <w:adjustRightInd w:val="0"/>
        <w:rPr>
          <w:rFonts w:ascii="Arial" w:eastAsia="Calibri" w:hAnsi="Arial" w:cs="Arial"/>
          <w:sz w:val="22"/>
          <w:szCs w:val="22"/>
        </w:rPr>
      </w:pPr>
    </w:p>
    <w:p w14:paraId="05EA1604"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Reinartz P, Sabri O, Zimmy M, Nowak B, Cremerius U, Setani K, Bull U. Thyroid volume measurement in patients prior to radioiodine therapy: comparison </w:t>
      </w:r>
      <w:r w:rsidRPr="00735ABA">
        <w:rPr>
          <w:rFonts w:ascii="Arial" w:eastAsia="Calibri" w:hAnsi="Arial" w:cs="Arial"/>
          <w:sz w:val="22"/>
          <w:szCs w:val="22"/>
        </w:rPr>
        <w:lastRenderedPageBreak/>
        <w:t xml:space="preserve">between three-dimensional magnetic resonance imaging and ultrasonography. Thyroid 12:713-717, 2002. </w:t>
      </w:r>
    </w:p>
    <w:p w14:paraId="005B5CC4" w14:textId="77777777" w:rsidR="0003189D" w:rsidRPr="00735ABA" w:rsidRDefault="0003189D" w:rsidP="0003189D">
      <w:pPr>
        <w:autoSpaceDE w:val="0"/>
        <w:autoSpaceDN w:val="0"/>
        <w:adjustRightInd w:val="0"/>
        <w:rPr>
          <w:rFonts w:ascii="Arial" w:eastAsia="Calibri" w:hAnsi="Arial" w:cs="Arial"/>
          <w:sz w:val="22"/>
          <w:szCs w:val="22"/>
        </w:rPr>
      </w:pPr>
    </w:p>
    <w:p w14:paraId="4C027F5A"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Hegedus L, Perrild H, Poulsen LR, Andersen JR, Holm B, Schnohr P, Jensen G, Hansen JM. The determination of thyroid volume by ultrasound and its relationship to body weight, age, and sex in normal subjects. J Clin Endocrinol Metab 56:260-263, 1983. </w:t>
      </w:r>
    </w:p>
    <w:p w14:paraId="16DC89B9" w14:textId="77777777" w:rsidR="0003189D" w:rsidRPr="00735ABA" w:rsidRDefault="0003189D" w:rsidP="0003189D">
      <w:pPr>
        <w:autoSpaceDE w:val="0"/>
        <w:autoSpaceDN w:val="0"/>
        <w:adjustRightInd w:val="0"/>
        <w:rPr>
          <w:rFonts w:ascii="Arial" w:eastAsia="Calibri" w:hAnsi="Arial" w:cs="Arial"/>
          <w:sz w:val="22"/>
          <w:szCs w:val="22"/>
        </w:rPr>
      </w:pPr>
    </w:p>
    <w:p w14:paraId="259C40E5"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Nygaard B, Nygaard T, Court-Payen, Jensen LI, Soe-Jensen P, Gerhard NK, Fugl M, Hegedus L. Thyroid volume measured by ultrasonography and CT. Acta Radiol 43:269-274, 2002. </w:t>
      </w:r>
    </w:p>
    <w:p w14:paraId="76725DFD" w14:textId="77777777" w:rsidR="0003189D" w:rsidRDefault="0003189D" w:rsidP="0003189D">
      <w:pPr>
        <w:pStyle w:val="ListParagraph"/>
        <w:rPr>
          <w:rFonts w:ascii="Arial" w:eastAsia="Calibri" w:hAnsi="Arial" w:cs="Arial"/>
          <w:sz w:val="22"/>
          <w:szCs w:val="22"/>
        </w:rPr>
      </w:pPr>
    </w:p>
    <w:p w14:paraId="1C8CBA15"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Bonnema SJ, Andersen PB, Knudsen DU, Hegedus L. MR imaging of large multinodular goiters: observer agreement on volume vs observer disagreement on dimensions of the involved trachea. AJR Am J Roentgenol 179:259-266, 2002. </w:t>
      </w:r>
    </w:p>
    <w:p w14:paraId="5DCB852E" w14:textId="77777777" w:rsidR="0003189D" w:rsidRPr="00735ABA" w:rsidRDefault="0003189D" w:rsidP="0003189D">
      <w:pPr>
        <w:autoSpaceDE w:val="0"/>
        <w:autoSpaceDN w:val="0"/>
        <w:adjustRightInd w:val="0"/>
        <w:rPr>
          <w:rFonts w:ascii="Arial" w:eastAsia="Calibri" w:hAnsi="Arial" w:cs="Arial"/>
          <w:sz w:val="22"/>
          <w:szCs w:val="22"/>
        </w:rPr>
      </w:pPr>
    </w:p>
    <w:p w14:paraId="63C10F79"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Schlogl S, Werner E, Lassmann M, Terekhova J, Muffert S, Seybold S, Reiners C. The use of three-dimensional ultrasound for thyroid volumetry. Thyroid 11:569-574, 2001. </w:t>
      </w:r>
    </w:p>
    <w:p w14:paraId="007B8607" w14:textId="77777777" w:rsidR="0003189D" w:rsidRPr="00735ABA" w:rsidRDefault="0003189D" w:rsidP="0003189D">
      <w:pPr>
        <w:autoSpaceDE w:val="0"/>
        <w:autoSpaceDN w:val="0"/>
        <w:adjustRightInd w:val="0"/>
        <w:rPr>
          <w:rFonts w:ascii="Arial" w:eastAsia="Calibri" w:hAnsi="Arial" w:cs="Arial"/>
          <w:sz w:val="22"/>
          <w:szCs w:val="22"/>
        </w:rPr>
      </w:pPr>
    </w:p>
    <w:p w14:paraId="1DD171B1" w14:textId="77777777" w:rsidR="0003189D" w:rsidRPr="00056619"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056619">
        <w:rPr>
          <w:rFonts w:ascii="Arial" w:hAnsi="Arial" w:cs="Arial"/>
          <w:sz w:val="22"/>
          <w:szCs w:val="22"/>
          <w:lang w:eastAsia="pt-BR"/>
        </w:rPr>
        <w:t xml:space="preserve">Rivo-Vázquez Á, Rodríguez-Lorenzo Á, Rivo-Vázquez JE, Páramo-Fernández C, García-Lorenzo F, Pardellas-Rivera H, Casal-Núñez JE, Gil-Gil P.  </w:t>
      </w:r>
      <w:hyperlink r:id="rId21" w:history="1">
        <w:r w:rsidRPr="00056619">
          <w:rPr>
            <w:rFonts w:ascii="Arial" w:hAnsi="Arial" w:cs="Arial"/>
            <w:sz w:val="22"/>
            <w:szCs w:val="22"/>
            <w:lang w:eastAsia="pt-BR"/>
          </w:rPr>
          <w:t>The use of ultrasound elastography in the assessment of malignancy risk in thyroid nodules and </w:t>
        </w:r>
        <w:r w:rsidRPr="00056619">
          <w:rPr>
            <w:rFonts w:ascii="Arial" w:hAnsi="Arial" w:cs="Arial"/>
            <w:bCs/>
            <w:sz w:val="22"/>
            <w:szCs w:val="22"/>
            <w:lang w:eastAsia="pt-BR"/>
          </w:rPr>
          <w:t>multinodular</w:t>
        </w:r>
        <w:r w:rsidRPr="00056619">
          <w:rPr>
            <w:rFonts w:ascii="Arial" w:hAnsi="Arial" w:cs="Arial"/>
            <w:sz w:val="22"/>
            <w:szCs w:val="22"/>
            <w:lang w:eastAsia="pt-BR"/>
          </w:rPr>
          <w:t> goitres.</w:t>
        </w:r>
      </w:hyperlink>
      <w:r w:rsidRPr="00056619">
        <w:rPr>
          <w:rFonts w:ascii="Arial" w:hAnsi="Arial" w:cs="Arial"/>
          <w:sz w:val="22"/>
          <w:szCs w:val="22"/>
          <w:lang w:eastAsia="pt-BR"/>
        </w:rPr>
        <w:t xml:space="preserve"> Clin Endocrinol (Oxf).  79(6):887-91, 2013.  </w:t>
      </w:r>
    </w:p>
    <w:p w14:paraId="07036128" w14:textId="77777777" w:rsidR="0003189D" w:rsidRDefault="0003189D" w:rsidP="0003189D">
      <w:pPr>
        <w:pStyle w:val="ListParagraph"/>
        <w:rPr>
          <w:rFonts w:ascii="Arial" w:eastAsia="Calibri" w:hAnsi="Arial" w:cs="Arial"/>
          <w:sz w:val="22"/>
          <w:szCs w:val="22"/>
        </w:rPr>
      </w:pPr>
    </w:p>
    <w:p w14:paraId="27B2EFF2"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Hays MT, Wesselossky B. Simultaneous measurement of thyroidal trapping (99 mTcO4-) and binding (¹³¹I-): clinical and experimental studies in man. J Nucl Med 14:785-792, 1973. </w:t>
      </w:r>
    </w:p>
    <w:p w14:paraId="16ABDFC9" w14:textId="77777777" w:rsidR="0003189D" w:rsidRPr="00735ABA" w:rsidRDefault="0003189D" w:rsidP="0003189D">
      <w:pPr>
        <w:autoSpaceDE w:val="0"/>
        <w:autoSpaceDN w:val="0"/>
        <w:adjustRightInd w:val="0"/>
        <w:rPr>
          <w:rFonts w:ascii="Arial" w:eastAsia="Calibri" w:hAnsi="Arial" w:cs="Arial"/>
          <w:sz w:val="22"/>
          <w:szCs w:val="22"/>
        </w:rPr>
      </w:pPr>
    </w:p>
    <w:p w14:paraId="5AB4DB13"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Arnold JE. Pinsky S. Comparison of 99 mTc and ¹²³I for thyroid imaging. J Nucl Med 17:261-267, 1976. </w:t>
      </w:r>
    </w:p>
    <w:p w14:paraId="6745612C" w14:textId="77777777" w:rsidR="0003189D" w:rsidRPr="00735ABA" w:rsidRDefault="0003189D" w:rsidP="0003189D">
      <w:pPr>
        <w:autoSpaceDE w:val="0"/>
        <w:autoSpaceDN w:val="0"/>
        <w:adjustRightInd w:val="0"/>
        <w:rPr>
          <w:rFonts w:ascii="Arial" w:eastAsia="Calibri" w:hAnsi="Arial" w:cs="Arial"/>
          <w:sz w:val="22"/>
          <w:szCs w:val="22"/>
        </w:rPr>
      </w:pPr>
    </w:p>
    <w:p w14:paraId="6BADC17A"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Dige-Petersen H, Kroon S, Vadstrup S, Andersen ML, Roy-Poulsen NO. A comparison of 99Tc and ¹²³I scintigraphy in nodular thyroid disorders. Eur J Nucl Med 3:1-4, 1978. </w:t>
      </w:r>
    </w:p>
    <w:p w14:paraId="03E46620" w14:textId="77777777" w:rsidR="0003189D" w:rsidRPr="00735ABA" w:rsidRDefault="0003189D" w:rsidP="0003189D">
      <w:pPr>
        <w:autoSpaceDE w:val="0"/>
        <w:autoSpaceDN w:val="0"/>
        <w:adjustRightInd w:val="0"/>
        <w:rPr>
          <w:rFonts w:ascii="Arial" w:eastAsia="Calibri" w:hAnsi="Arial" w:cs="Arial"/>
          <w:sz w:val="22"/>
          <w:szCs w:val="22"/>
        </w:rPr>
      </w:pPr>
    </w:p>
    <w:p w14:paraId="6C2E9664"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Ryo UY, Vaidya PV, Schneider AB, Bekerman C, Pinsky SM. Thyroid imaging agents: a comparison of I-123 and TC-99m pertechnetate. Radiology 148:819-822, 1983. </w:t>
      </w:r>
    </w:p>
    <w:p w14:paraId="524C6014" w14:textId="77777777" w:rsidR="0003189D" w:rsidRPr="00735ABA" w:rsidRDefault="0003189D" w:rsidP="0003189D">
      <w:pPr>
        <w:autoSpaceDE w:val="0"/>
        <w:autoSpaceDN w:val="0"/>
        <w:adjustRightInd w:val="0"/>
        <w:rPr>
          <w:rFonts w:ascii="Arial" w:eastAsia="Calibri" w:hAnsi="Arial" w:cs="Arial"/>
          <w:sz w:val="22"/>
          <w:szCs w:val="22"/>
        </w:rPr>
      </w:pPr>
    </w:p>
    <w:p w14:paraId="570ED2BB"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Wesche MF, Tiel-Van Buul MM, Smits NJ, Wiersinga WM. Ultrasonographics vs. scintigraphic measurement of thyroid volume in patients referred for 131I therapy. Nucl Med Commun 19:341-346, 1998. </w:t>
      </w:r>
    </w:p>
    <w:p w14:paraId="6EB72640" w14:textId="77777777" w:rsidR="0003189D" w:rsidRDefault="0003189D" w:rsidP="0003189D">
      <w:pPr>
        <w:pStyle w:val="ListParagraph"/>
        <w:rPr>
          <w:rFonts w:ascii="Arial" w:eastAsia="Calibri" w:hAnsi="Arial" w:cs="Arial"/>
          <w:sz w:val="22"/>
          <w:szCs w:val="22"/>
        </w:rPr>
      </w:pPr>
    </w:p>
    <w:p w14:paraId="034348AF"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Wanet PM, Sand A, Abramovici J. Physical and clinical evaluation of high-resolution thyroid pinhole tomography. J Nucl Med 37:2017-2020, 1996. </w:t>
      </w:r>
    </w:p>
    <w:p w14:paraId="4748168C" w14:textId="77777777" w:rsidR="0003189D" w:rsidRDefault="0003189D" w:rsidP="0003189D">
      <w:pPr>
        <w:pStyle w:val="ListParagraph"/>
        <w:rPr>
          <w:rFonts w:ascii="Arial" w:eastAsia="Calibri" w:hAnsi="Arial" w:cs="Arial"/>
          <w:sz w:val="22"/>
          <w:szCs w:val="22"/>
        </w:rPr>
      </w:pPr>
    </w:p>
    <w:p w14:paraId="3395E2D0"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Jennings A. Evaluation of substernal goiters using computed tomography and MR imaging. Endocrinol Metab Clin North Am 30:401-414, 2001. </w:t>
      </w:r>
    </w:p>
    <w:p w14:paraId="182B09E6" w14:textId="77777777" w:rsidR="0003189D" w:rsidRPr="00735ABA" w:rsidRDefault="0003189D" w:rsidP="0003189D">
      <w:pPr>
        <w:pStyle w:val="ListParagraph1"/>
        <w:rPr>
          <w:rFonts w:ascii="Arial" w:eastAsia="Calibri" w:hAnsi="Arial" w:cs="Arial"/>
          <w:sz w:val="22"/>
          <w:szCs w:val="22"/>
        </w:rPr>
      </w:pPr>
    </w:p>
    <w:p w14:paraId="46278935"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Belardinlli L, Gualdi G, Ceroni L, Guadalaxara A, Polettini E, Pappalardo G. Comparison between computed tomography and magnetic resonance data and pathologic findings in substernal goiters. Int Surg 80:65-69, 1995. </w:t>
      </w:r>
    </w:p>
    <w:p w14:paraId="75C7891F" w14:textId="77777777" w:rsidR="0003189D" w:rsidRPr="00735ABA" w:rsidRDefault="0003189D" w:rsidP="0003189D">
      <w:pPr>
        <w:autoSpaceDE w:val="0"/>
        <w:autoSpaceDN w:val="0"/>
        <w:adjustRightInd w:val="0"/>
        <w:rPr>
          <w:rFonts w:ascii="Arial" w:eastAsia="Calibri" w:hAnsi="Arial" w:cs="Arial"/>
          <w:sz w:val="22"/>
          <w:szCs w:val="22"/>
        </w:rPr>
      </w:pPr>
    </w:p>
    <w:p w14:paraId="02E4666C"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proofErr w:type="gramStart"/>
      <w:r w:rsidRPr="00735ABA">
        <w:rPr>
          <w:rFonts w:ascii="Arial" w:eastAsia="Calibri" w:hAnsi="Arial" w:cs="Arial"/>
          <w:sz w:val="22"/>
          <w:szCs w:val="22"/>
        </w:rPr>
        <w:t>Hermans</w:t>
      </w:r>
      <w:proofErr w:type="gramEnd"/>
      <w:r w:rsidRPr="00735ABA">
        <w:rPr>
          <w:rFonts w:ascii="Arial" w:eastAsia="Calibri" w:hAnsi="Arial" w:cs="Arial"/>
          <w:sz w:val="22"/>
          <w:szCs w:val="22"/>
        </w:rPr>
        <w:t xml:space="preserve"> r, Bouillon R, LagaK, Delaere PR, Foer BD, Marchal G, Baer AL. Estimation of thyroid gland volume by spiral computed tomography. Eur Radiol. 7:214-216, 1997. </w:t>
      </w:r>
    </w:p>
    <w:p w14:paraId="0F39EFF7" w14:textId="77777777" w:rsidR="0003189D" w:rsidRDefault="0003189D" w:rsidP="0003189D">
      <w:pPr>
        <w:pStyle w:val="ListParagraph"/>
        <w:rPr>
          <w:rFonts w:ascii="Arial" w:eastAsia="Calibri" w:hAnsi="Arial" w:cs="Arial"/>
          <w:sz w:val="22"/>
          <w:szCs w:val="22"/>
        </w:rPr>
      </w:pPr>
    </w:p>
    <w:p w14:paraId="3CB78916"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Gullu S, Gurses MA, Baskal N, Uysal AR, Kamel AN, Erdogan G. Suppressive therapy with levothyroxine for euthyroid diffuse and nodular goiter. Endocr J 46:221-226, 1999 </w:t>
      </w:r>
    </w:p>
    <w:p w14:paraId="6812DDDE" w14:textId="77777777" w:rsidR="0003189D" w:rsidRPr="00735ABA" w:rsidRDefault="0003189D" w:rsidP="0003189D">
      <w:pPr>
        <w:autoSpaceDE w:val="0"/>
        <w:autoSpaceDN w:val="0"/>
        <w:adjustRightInd w:val="0"/>
        <w:rPr>
          <w:rFonts w:ascii="Arial" w:eastAsia="Calibri" w:hAnsi="Arial" w:cs="Arial"/>
          <w:sz w:val="22"/>
          <w:szCs w:val="22"/>
        </w:rPr>
      </w:pPr>
    </w:p>
    <w:p w14:paraId="36D6756D"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Peters H, Hackel D, Schleusener H. Treatment of euthyroid struma. Comparable volume reduction with 400 micrograms iodine, 100 micrograms levothyroxine combined with 100 micrograms iodine or individually dosed levothyroxine. Med Klin 92:63-67, 1997. </w:t>
      </w:r>
    </w:p>
    <w:p w14:paraId="5C63A007" w14:textId="77777777" w:rsidR="0003189D" w:rsidRPr="00735ABA" w:rsidRDefault="0003189D" w:rsidP="0003189D">
      <w:pPr>
        <w:autoSpaceDE w:val="0"/>
        <w:autoSpaceDN w:val="0"/>
        <w:adjustRightInd w:val="0"/>
        <w:rPr>
          <w:rFonts w:ascii="Arial" w:eastAsia="Calibri" w:hAnsi="Arial" w:cs="Arial"/>
          <w:sz w:val="22"/>
          <w:szCs w:val="22"/>
        </w:rPr>
      </w:pPr>
    </w:p>
    <w:p w14:paraId="74FF06AE"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Schumm-Draeger PM. Drug therapy of goiter. Iodine, thyroid hormones or combined therapy. Z Gesamte Inn Med 48:592-598, 1993. </w:t>
      </w:r>
    </w:p>
    <w:p w14:paraId="76B02EC1" w14:textId="77777777" w:rsidR="0003189D" w:rsidRPr="00735ABA" w:rsidRDefault="0003189D" w:rsidP="0003189D">
      <w:pPr>
        <w:autoSpaceDE w:val="0"/>
        <w:autoSpaceDN w:val="0"/>
        <w:adjustRightInd w:val="0"/>
        <w:rPr>
          <w:rFonts w:ascii="Arial" w:eastAsia="Calibri" w:hAnsi="Arial" w:cs="Arial"/>
          <w:sz w:val="22"/>
          <w:szCs w:val="22"/>
        </w:rPr>
      </w:pPr>
    </w:p>
    <w:p w14:paraId="5FFE9161"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Lima N, Knobel M, Cavaliere H, Sztejnsznajd, Tomimori E, Medeiros-Neto G. Levothyroxine suppressive therapy is partially effective in treating patients with benign, solid thyroid nodules and multinodular goiters. Thyroid 7:691-697, 1997. </w:t>
      </w:r>
    </w:p>
    <w:p w14:paraId="441C2C66" w14:textId="77777777" w:rsidR="0003189D" w:rsidRPr="00735ABA" w:rsidRDefault="0003189D" w:rsidP="0003189D">
      <w:pPr>
        <w:autoSpaceDE w:val="0"/>
        <w:autoSpaceDN w:val="0"/>
        <w:adjustRightInd w:val="0"/>
        <w:rPr>
          <w:rFonts w:ascii="Arial" w:eastAsia="Calibri" w:hAnsi="Arial" w:cs="Arial"/>
          <w:sz w:val="22"/>
          <w:szCs w:val="22"/>
        </w:rPr>
      </w:pPr>
    </w:p>
    <w:p w14:paraId="07E0300E"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Wesche MF, Tiel-Van Buul MM, Lips P, Smits NJ, Wiersinga WM. A randomized trial comparing levothyroxine with radioactived iodine in the treatment of sporadic nontoxic goiter. J Clin Endocrinol Metab 86:998-1005, 2001. </w:t>
      </w:r>
    </w:p>
    <w:p w14:paraId="3EA04B3F" w14:textId="77777777" w:rsidR="0003189D" w:rsidRPr="00735ABA" w:rsidRDefault="0003189D" w:rsidP="0003189D">
      <w:pPr>
        <w:autoSpaceDE w:val="0"/>
        <w:autoSpaceDN w:val="0"/>
        <w:adjustRightInd w:val="0"/>
        <w:rPr>
          <w:rFonts w:ascii="Arial" w:eastAsia="Calibri" w:hAnsi="Arial" w:cs="Arial"/>
          <w:sz w:val="22"/>
          <w:szCs w:val="22"/>
        </w:rPr>
      </w:pPr>
    </w:p>
    <w:p w14:paraId="267398A3"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E47C7A">
        <w:rPr>
          <w:rFonts w:ascii="Arial" w:eastAsia="Calibri" w:hAnsi="Arial" w:cs="Arial"/>
          <w:sz w:val="22"/>
          <w:szCs w:val="22"/>
          <w:lang w:val="pt-BR"/>
        </w:rPr>
        <w:lastRenderedPageBreak/>
        <w:t xml:space="preserve">Papini E, Petrucni R, Guglielmi R, Panunzi C, Rinaldi R, Bacci V, Crescenzi A, Nardi F, Fabbrini R, Pecella CM. </w:t>
      </w:r>
      <w:r w:rsidRPr="00735ABA">
        <w:rPr>
          <w:rFonts w:ascii="Arial" w:eastAsia="Calibri" w:hAnsi="Arial" w:cs="Arial"/>
          <w:sz w:val="22"/>
          <w:szCs w:val="22"/>
        </w:rPr>
        <w:t xml:space="preserve">Long Term changes in Nodular Goiter: a 5 yr prospective randomized trial of L-T4 suppressive therapy for benign thyroid nodules. J Clin Endocr Metab 83:780-783, 1998. </w:t>
      </w:r>
    </w:p>
    <w:p w14:paraId="3BB37C82" w14:textId="77777777" w:rsidR="0003189D" w:rsidRPr="00735ABA" w:rsidRDefault="0003189D" w:rsidP="0003189D">
      <w:pPr>
        <w:autoSpaceDE w:val="0"/>
        <w:autoSpaceDN w:val="0"/>
        <w:adjustRightInd w:val="0"/>
        <w:rPr>
          <w:rFonts w:ascii="Arial" w:eastAsia="Calibri" w:hAnsi="Arial" w:cs="Arial"/>
          <w:sz w:val="22"/>
          <w:szCs w:val="22"/>
        </w:rPr>
      </w:pPr>
    </w:p>
    <w:p w14:paraId="6FBC5227"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E47C7A">
        <w:rPr>
          <w:rFonts w:ascii="Arial" w:eastAsia="Calibri" w:hAnsi="Arial" w:cs="Arial"/>
          <w:sz w:val="22"/>
          <w:szCs w:val="22"/>
          <w:lang w:val="pt-BR"/>
        </w:rPr>
        <w:t xml:space="preserve">Zelmanovitz F, Genro S, Gross JL. </w:t>
      </w:r>
      <w:r w:rsidRPr="00735ABA">
        <w:rPr>
          <w:rFonts w:ascii="Arial" w:eastAsia="Calibri" w:hAnsi="Arial" w:cs="Arial"/>
          <w:sz w:val="22"/>
          <w:szCs w:val="22"/>
        </w:rPr>
        <w:t xml:space="preserve">Suppressive therapy with L-T4 for solitary thyroid nodules: a double blind controlled clinical study and cumulative Meta-Analysis. J Clin Endocr Metab 83:3881-3885, 1998. </w:t>
      </w:r>
    </w:p>
    <w:p w14:paraId="26A89496" w14:textId="77777777" w:rsidR="0003189D" w:rsidRDefault="0003189D" w:rsidP="0003189D">
      <w:pPr>
        <w:pStyle w:val="ListParagraph"/>
        <w:rPr>
          <w:rFonts w:ascii="Arial" w:eastAsia="Calibri" w:hAnsi="Arial" w:cs="Arial"/>
          <w:sz w:val="22"/>
          <w:szCs w:val="22"/>
        </w:rPr>
      </w:pPr>
    </w:p>
    <w:p w14:paraId="2C59000E" w14:textId="77777777" w:rsidR="0003189D" w:rsidRDefault="0003189D" w:rsidP="0003189D">
      <w:pPr>
        <w:pStyle w:val="ListParagraph"/>
        <w:numPr>
          <w:ilvl w:val="0"/>
          <w:numId w:val="25"/>
        </w:numPr>
        <w:suppressAutoHyphens/>
        <w:autoSpaceDE w:val="0"/>
        <w:autoSpaceDN w:val="0"/>
        <w:adjustRightInd w:val="0"/>
        <w:spacing w:before="100" w:line="220" w:lineRule="atLeast"/>
        <w:jc w:val="both"/>
        <w:rPr>
          <w:rFonts w:ascii="Arial" w:hAnsi="Arial" w:cs="Arial"/>
          <w:sz w:val="22"/>
          <w:szCs w:val="22"/>
        </w:rPr>
      </w:pPr>
      <w:r w:rsidRPr="00B55D73">
        <w:rPr>
          <w:rFonts w:ascii="Arial" w:hAnsi="Arial" w:cs="Arial"/>
          <w:sz w:val="22"/>
          <w:szCs w:val="22"/>
        </w:rPr>
        <w:t>Berghout A, Wiersinga WM, Smits NJ, Touber JL. Interrelationships between age, thyroid volume, thyroid nodularity, and thyroid function in patients with sporadic non-toxic goiter. Am J Med 89:602-608,1995</w:t>
      </w:r>
      <w:r>
        <w:rPr>
          <w:rFonts w:ascii="Arial" w:hAnsi="Arial" w:cs="Arial"/>
          <w:sz w:val="22"/>
          <w:szCs w:val="22"/>
        </w:rPr>
        <w:t>.</w:t>
      </w:r>
    </w:p>
    <w:p w14:paraId="6D63F073" w14:textId="77777777" w:rsidR="0003189D" w:rsidRPr="00260522" w:rsidRDefault="0003189D" w:rsidP="0003189D">
      <w:pPr>
        <w:pStyle w:val="ListParagraph"/>
        <w:rPr>
          <w:rFonts w:ascii="Arial" w:hAnsi="Arial" w:cs="Arial"/>
          <w:sz w:val="22"/>
          <w:szCs w:val="22"/>
        </w:rPr>
      </w:pPr>
    </w:p>
    <w:p w14:paraId="2E0C640A"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Leese GP, Jung RT, Guthrie C, Waugh N, Browning MC. Morbidity in patients on L-thyroxine: a comparison of those with a normal TSH to those with a suppressed TSH. Clin Endocrinol (Oxf) 37:500-503, 1992. </w:t>
      </w:r>
    </w:p>
    <w:p w14:paraId="2C669BA4"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Uzzan B, Campos J, Cucherat M, Nony P, Boissel JP, Perret GY. Effects on bone mass of long term treatment with thyroid hormones: a meta-analysis. J Clin Endocrinol Metab 81:4278-4289, 1996. </w:t>
      </w:r>
    </w:p>
    <w:p w14:paraId="776DAB68" w14:textId="77777777" w:rsidR="0003189D" w:rsidRDefault="0003189D" w:rsidP="0003189D">
      <w:pPr>
        <w:pStyle w:val="ListParagraph"/>
        <w:rPr>
          <w:rFonts w:ascii="Arial" w:eastAsia="Calibri" w:hAnsi="Arial" w:cs="Arial"/>
          <w:sz w:val="22"/>
          <w:szCs w:val="22"/>
        </w:rPr>
      </w:pPr>
    </w:p>
    <w:p w14:paraId="4555A3E6"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Hegedüs L, Hansen BM, Knudsen N, Hansen JM: Reduction of size of thyroid with radioactive iodine in multinodualr nontoxic goitre. Brit Med J 297:661, 1988. </w:t>
      </w:r>
    </w:p>
    <w:p w14:paraId="017D96C9" w14:textId="77777777" w:rsidR="0003189D" w:rsidRPr="00735ABA" w:rsidRDefault="0003189D" w:rsidP="0003189D">
      <w:pPr>
        <w:autoSpaceDE w:val="0"/>
        <w:autoSpaceDN w:val="0"/>
        <w:adjustRightInd w:val="0"/>
        <w:rPr>
          <w:rFonts w:ascii="Arial" w:eastAsia="Calibri" w:hAnsi="Arial" w:cs="Arial"/>
          <w:sz w:val="22"/>
          <w:szCs w:val="22"/>
        </w:rPr>
      </w:pPr>
    </w:p>
    <w:p w14:paraId="4A0E4388"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Hamburger JI, Hamburger SW: Diagnosis and management of large toxic multinodular goiters. J Nucl Med 26:888, 1985. </w:t>
      </w:r>
    </w:p>
    <w:p w14:paraId="2041A02F" w14:textId="77777777" w:rsidR="0003189D" w:rsidRPr="00735ABA" w:rsidRDefault="0003189D" w:rsidP="0003189D">
      <w:pPr>
        <w:autoSpaceDE w:val="0"/>
        <w:autoSpaceDN w:val="0"/>
        <w:adjustRightInd w:val="0"/>
        <w:rPr>
          <w:rFonts w:ascii="Arial" w:eastAsia="Calibri" w:hAnsi="Arial" w:cs="Arial"/>
          <w:sz w:val="22"/>
          <w:szCs w:val="22"/>
        </w:rPr>
      </w:pPr>
    </w:p>
    <w:p w14:paraId="10AAFFF9"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Kay TW, d´Emden MC, Andrews JT, Martin FI: Treatment of non-toxic multinodular goiter with radioactive iodine. Am J Med 84:19, 1988. </w:t>
      </w:r>
    </w:p>
    <w:p w14:paraId="0B2A9F38" w14:textId="77777777" w:rsidR="0003189D" w:rsidRPr="00735ABA" w:rsidRDefault="0003189D" w:rsidP="0003189D">
      <w:pPr>
        <w:autoSpaceDE w:val="0"/>
        <w:autoSpaceDN w:val="0"/>
        <w:adjustRightInd w:val="0"/>
        <w:rPr>
          <w:rFonts w:ascii="Arial" w:eastAsia="Calibri" w:hAnsi="Arial" w:cs="Arial"/>
          <w:sz w:val="22"/>
          <w:szCs w:val="22"/>
        </w:rPr>
      </w:pPr>
    </w:p>
    <w:p w14:paraId="7D2ADDD0"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Huysmans D, Hermus A, Edelbroek M, et al. Radioiodine for nontoxic multinodular goiter. Thyroid 7:235-239, 1997. </w:t>
      </w:r>
    </w:p>
    <w:p w14:paraId="708C76C9" w14:textId="77777777" w:rsidR="0003189D" w:rsidRPr="00735ABA" w:rsidRDefault="0003189D" w:rsidP="0003189D">
      <w:pPr>
        <w:autoSpaceDE w:val="0"/>
        <w:autoSpaceDN w:val="0"/>
        <w:adjustRightInd w:val="0"/>
        <w:rPr>
          <w:rFonts w:ascii="Arial" w:eastAsia="Calibri" w:hAnsi="Arial" w:cs="Arial"/>
          <w:sz w:val="22"/>
          <w:szCs w:val="22"/>
        </w:rPr>
      </w:pPr>
    </w:p>
    <w:p w14:paraId="57B5F162"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Nygaard B, Hegedüs L, Gervil M, Hjalgrim H, Soe-Jensen G et al. Radioiodine treatment of multinodular non-toxic goitre. Br Med J 307:828, 1993. </w:t>
      </w:r>
    </w:p>
    <w:p w14:paraId="79FA19E2" w14:textId="77777777" w:rsidR="0003189D" w:rsidRPr="00735ABA" w:rsidRDefault="0003189D" w:rsidP="0003189D">
      <w:pPr>
        <w:autoSpaceDE w:val="0"/>
        <w:autoSpaceDN w:val="0"/>
        <w:adjustRightInd w:val="0"/>
        <w:rPr>
          <w:rFonts w:ascii="Arial" w:eastAsia="Calibri" w:hAnsi="Arial" w:cs="Arial"/>
          <w:sz w:val="22"/>
          <w:szCs w:val="22"/>
        </w:rPr>
      </w:pPr>
    </w:p>
    <w:p w14:paraId="0ABFF8C7"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Danaci M, Veek CM, Notghi A, Merck MV, Padfield PL, Edwards CR. 131I radioiodine therapy for hyperthyroidism in patients with Graves´ disease, uninodular goiter and multinodular goiter. N Z Med J 101:784, 1988. </w:t>
      </w:r>
    </w:p>
    <w:p w14:paraId="01B79F92" w14:textId="77777777" w:rsidR="0003189D" w:rsidRPr="00735ABA" w:rsidRDefault="0003189D" w:rsidP="0003189D">
      <w:pPr>
        <w:autoSpaceDE w:val="0"/>
        <w:autoSpaceDN w:val="0"/>
        <w:adjustRightInd w:val="0"/>
        <w:rPr>
          <w:rFonts w:ascii="Arial" w:eastAsia="Calibri" w:hAnsi="Arial" w:cs="Arial"/>
          <w:sz w:val="22"/>
          <w:szCs w:val="22"/>
        </w:rPr>
      </w:pPr>
    </w:p>
    <w:p w14:paraId="7C715D22"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lastRenderedPageBreak/>
        <w:t xml:space="preserve">Nygaard B, Hegedus L, Ulriksen P, Nielsen KG, Hansen JM. Radioiodine therapy for multinodular toxic goiter. Arch Intern Med 159:1364-1368, 1999. </w:t>
      </w:r>
    </w:p>
    <w:p w14:paraId="240ECAEE" w14:textId="77777777" w:rsidR="0003189D" w:rsidRPr="00735ABA" w:rsidRDefault="0003189D" w:rsidP="0003189D">
      <w:pPr>
        <w:autoSpaceDE w:val="0"/>
        <w:autoSpaceDN w:val="0"/>
        <w:adjustRightInd w:val="0"/>
        <w:rPr>
          <w:rFonts w:ascii="Arial" w:eastAsia="Calibri" w:hAnsi="Arial" w:cs="Arial"/>
          <w:sz w:val="22"/>
          <w:szCs w:val="22"/>
        </w:rPr>
      </w:pPr>
    </w:p>
    <w:p w14:paraId="668BD451"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Aach R, Kissane J: Thyroid storm shortly after 131I therapy of a toxic multinodular goiter. Am J Med 52:786, 1972. </w:t>
      </w:r>
    </w:p>
    <w:p w14:paraId="1D5D08AF" w14:textId="77777777" w:rsidR="0003189D" w:rsidRPr="00735ABA" w:rsidRDefault="0003189D" w:rsidP="0003189D">
      <w:pPr>
        <w:pStyle w:val="ListParagraph1"/>
        <w:rPr>
          <w:rFonts w:ascii="Arial" w:eastAsia="Calibri" w:hAnsi="Arial" w:cs="Arial"/>
          <w:sz w:val="22"/>
          <w:szCs w:val="22"/>
        </w:rPr>
      </w:pPr>
    </w:p>
    <w:p w14:paraId="1522F293"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Huysmans Ak, Hermus RM, Cortstens FAM, Barents JO, Kloppenborgh PWC. Large compressive goiters treated with radioiodine. Ann Int Med 121:757, 1994. </w:t>
      </w:r>
    </w:p>
    <w:p w14:paraId="78C0B270" w14:textId="77777777" w:rsidR="0003189D" w:rsidRPr="00735ABA" w:rsidRDefault="0003189D" w:rsidP="0003189D">
      <w:pPr>
        <w:autoSpaceDE w:val="0"/>
        <w:autoSpaceDN w:val="0"/>
        <w:adjustRightInd w:val="0"/>
        <w:rPr>
          <w:rFonts w:ascii="Arial" w:eastAsia="Calibri" w:hAnsi="Arial" w:cs="Arial"/>
          <w:sz w:val="22"/>
          <w:szCs w:val="22"/>
        </w:rPr>
      </w:pPr>
    </w:p>
    <w:p w14:paraId="138A6601"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Nygaard B, Hegedus L, Gervil M, Hjalgrim H, Soe-Jensen P, Hansen JM. Radioiodine treatment of multinodular non-toxic goitre. BMJ 307(6908):828-32, 1993. </w:t>
      </w:r>
    </w:p>
    <w:p w14:paraId="3F77FCD2" w14:textId="77777777" w:rsidR="0003189D" w:rsidRPr="00735ABA" w:rsidRDefault="0003189D" w:rsidP="0003189D">
      <w:pPr>
        <w:autoSpaceDE w:val="0"/>
        <w:autoSpaceDN w:val="0"/>
        <w:adjustRightInd w:val="0"/>
        <w:rPr>
          <w:rFonts w:ascii="Arial" w:eastAsia="Calibri" w:hAnsi="Arial" w:cs="Arial"/>
          <w:sz w:val="22"/>
          <w:szCs w:val="22"/>
        </w:rPr>
      </w:pPr>
    </w:p>
    <w:p w14:paraId="792AD090"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Nielsen VE, Bonnema SJ, Hegedus L. The effects of recombinant human thyrotropin, in normal subjects and patients with goitre. Clin Endocrinol (Oxf) 61(6)655-63, 2004. </w:t>
      </w:r>
    </w:p>
    <w:p w14:paraId="7A902111" w14:textId="77777777" w:rsidR="0003189D" w:rsidRPr="00735ABA" w:rsidRDefault="0003189D" w:rsidP="0003189D">
      <w:pPr>
        <w:autoSpaceDE w:val="0"/>
        <w:autoSpaceDN w:val="0"/>
        <w:adjustRightInd w:val="0"/>
        <w:rPr>
          <w:rFonts w:ascii="Arial" w:eastAsia="Calibri" w:hAnsi="Arial" w:cs="Arial"/>
          <w:sz w:val="22"/>
          <w:szCs w:val="22"/>
        </w:rPr>
      </w:pPr>
    </w:p>
    <w:p w14:paraId="065173A7"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Nielsen VE, Bonnema SJ, Boel-Jorgensen H, Grupe P, Hegedus L. Stimulation with 0.3 mg recombinant human thyrotropin prior to iodine 131I therapy to improve the size reduction of benign nontoxic nodular goiter: a prospective randomized double-blind trial. Arch Intern Med 166(14):1476-82, 2006. </w:t>
      </w:r>
    </w:p>
    <w:p w14:paraId="7DCE857C" w14:textId="77777777" w:rsidR="0003189D" w:rsidRPr="00735ABA" w:rsidRDefault="0003189D" w:rsidP="0003189D">
      <w:pPr>
        <w:autoSpaceDE w:val="0"/>
        <w:autoSpaceDN w:val="0"/>
        <w:adjustRightInd w:val="0"/>
        <w:rPr>
          <w:rFonts w:ascii="Arial" w:eastAsia="Calibri" w:hAnsi="Arial" w:cs="Arial"/>
          <w:sz w:val="22"/>
          <w:szCs w:val="22"/>
        </w:rPr>
      </w:pPr>
    </w:p>
    <w:p w14:paraId="76E3F29C"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Nieuwlaat Wa, Huysmans DA, van den Bosch HC, Sweep CG, Ross HA, Corstens FH, et al. Pretreatment with a single, low dose of recombinant human thyrotropin allows dose reduction of radioiodine therapy in patients with nodular goiter. J Clin Endocrinol Metab 3121-9, 2003. </w:t>
      </w:r>
    </w:p>
    <w:p w14:paraId="21DF4196" w14:textId="77777777" w:rsidR="0003189D" w:rsidRDefault="0003189D" w:rsidP="0003189D">
      <w:pPr>
        <w:pStyle w:val="ListParagraph"/>
        <w:rPr>
          <w:rFonts w:ascii="Arial" w:eastAsia="Calibri" w:hAnsi="Arial" w:cs="Arial"/>
          <w:sz w:val="22"/>
          <w:szCs w:val="22"/>
        </w:rPr>
      </w:pPr>
    </w:p>
    <w:p w14:paraId="0CE3D529"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Weetman AP. Radioiodine treatment for benign thyroid diseases. Clin Endocrinol (Oxf) 66(6):757-64, 2007. </w:t>
      </w:r>
    </w:p>
    <w:p w14:paraId="1B754C2E" w14:textId="77777777" w:rsidR="0003189D" w:rsidRPr="00735ABA" w:rsidRDefault="0003189D" w:rsidP="0003189D">
      <w:pPr>
        <w:autoSpaceDE w:val="0"/>
        <w:autoSpaceDN w:val="0"/>
        <w:adjustRightInd w:val="0"/>
        <w:rPr>
          <w:rFonts w:ascii="Arial" w:eastAsia="Calibri" w:hAnsi="Arial" w:cs="Arial"/>
          <w:sz w:val="22"/>
          <w:szCs w:val="22"/>
        </w:rPr>
      </w:pPr>
    </w:p>
    <w:p w14:paraId="7DF842B8"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Huysmans DA, Nieuwlaat WA, Erdtsieck RJ, Schellekens AP, Bus JW, Bravenboer B. Administration of a single low dose of recombinant human thyrotropin significantly enhances thyroid radioiodide uptake in nontoxic nodular goiter. J Clin Endocrinol Metab 85(10):3592-6, 2000. </w:t>
      </w:r>
    </w:p>
    <w:p w14:paraId="38248E05" w14:textId="77777777" w:rsidR="0003189D" w:rsidRDefault="0003189D" w:rsidP="0003189D">
      <w:pPr>
        <w:pStyle w:val="ListParagraph"/>
        <w:rPr>
          <w:rFonts w:ascii="Arial" w:eastAsia="Calibri" w:hAnsi="Arial" w:cs="Arial"/>
          <w:sz w:val="22"/>
          <w:szCs w:val="22"/>
        </w:rPr>
      </w:pPr>
    </w:p>
    <w:p w14:paraId="6D693559"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Albino CC, Mesa CO, Jr, Olandoski M, Ueda CE, Woellner LC, Goedert CA, et al. Recombinant human thyrotropin as adjuvant in the treatment of </w:t>
      </w:r>
      <w:r w:rsidRPr="00735ABA">
        <w:rPr>
          <w:rFonts w:ascii="Arial" w:eastAsia="Calibri" w:hAnsi="Arial" w:cs="Arial"/>
          <w:sz w:val="22"/>
          <w:szCs w:val="22"/>
        </w:rPr>
        <w:lastRenderedPageBreak/>
        <w:t xml:space="preserve">multinodular goiters with radioiodine. J Clin Endocrinol Metab 90(5):2775-80, 2005. </w:t>
      </w:r>
    </w:p>
    <w:p w14:paraId="783087DF" w14:textId="77777777" w:rsidR="0003189D" w:rsidRPr="00735ABA" w:rsidRDefault="0003189D" w:rsidP="0003189D">
      <w:pPr>
        <w:autoSpaceDE w:val="0"/>
        <w:autoSpaceDN w:val="0"/>
        <w:adjustRightInd w:val="0"/>
        <w:rPr>
          <w:rFonts w:ascii="Arial" w:eastAsia="Calibri" w:hAnsi="Arial" w:cs="Arial"/>
          <w:sz w:val="22"/>
          <w:szCs w:val="22"/>
        </w:rPr>
      </w:pPr>
    </w:p>
    <w:p w14:paraId="78D96F78"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Cohen O,m Ilany J, Hoffman C, Olchovsky D, Dabhi S, Karasik A. Low-dose recombinant human thyrotropin-aided radioiodine treatment of large, multinodular goiters in elderly patients. Eur J Endocrinol 154(2):243-52, 2006. </w:t>
      </w:r>
    </w:p>
    <w:p w14:paraId="4896395E" w14:textId="77777777" w:rsidR="0003189D" w:rsidRDefault="0003189D" w:rsidP="0003189D">
      <w:pPr>
        <w:pStyle w:val="ListParagraph"/>
        <w:rPr>
          <w:rFonts w:ascii="Arial" w:eastAsia="Calibri" w:hAnsi="Arial" w:cs="Arial"/>
          <w:sz w:val="22"/>
          <w:szCs w:val="22"/>
        </w:rPr>
      </w:pPr>
    </w:p>
    <w:p w14:paraId="46239ED8" w14:textId="77777777" w:rsidR="0003189D" w:rsidRPr="0073638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638A">
        <w:rPr>
          <w:rFonts w:ascii="Arial" w:hAnsi="Arial" w:cs="Arial"/>
          <w:sz w:val="22"/>
          <w:szCs w:val="22"/>
          <w:lang w:val="pt-BR" w:eastAsia="pt-BR"/>
        </w:rPr>
        <w:t xml:space="preserve">Giusti M, Caorsi V, Mortara L, Caputo M, Monti E, Schiavo M, Bagnara MC, Minuto F, Bagnasco M. </w:t>
      </w:r>
      <w:hyperlink r:id="rId22" w:history="1">
        <w:r w:rsidRPr="0073638A">
          <w:rPr>
            <w:rFonts w:ascii="Arial" w:hAnsi="Arial" w:cs="Arial"/>
            <w:sz w:val="22"/>
            <w:szCs w:val="22"/>
            <w:lang w:eastAsia="pt-BR"/>
          </w:rPr>
          <w:t xml:space="preserve">Long-term outcome after radioiodine therapy with adjuvant rhTSH treatment: comparison between patients with non-toxic and pre-toxic large </w:t>
        </w:r>
        <w:r w:rsidRPr="0073638A">
          <w:rPr>
            <w:rFonts w:ascii="Arial" w:hAnsi="Arial" w:cs="Arial"/>
            <w:bCs/>
            <w:sz w:val="22"/>
            <w:szCs w:val="22"/>
            <w:lang w:eastAsia="pt-BR"/>
          </w:rPr>
          <w:t>multinodular</w:t>
        </w:r>
        <w:r w:rsidRPr="0073638A">
          <w:rPr>
            <w:rFonts w:ascii="Arial" w:hAnsi="Arial" w:cs="Arial"/>
            <w:sz w:val="22"/>
            <w:szCs w:val="22"/>
            <w:lang w:eastAsia="pt-BR"/>
          </w:rPr>
          <w:t xml:space="preserve">  </w:t>
        </w:r>
        <w:r w:rsidRPr="0073638A">
          <w:rPr>
            <w:rFonts w:ascii="Arial" w:hAnsi="Arial" w:cs="Arial"/>
            <w:bCs/>
            <w:sz w:val="22"/>
            <w:szCs w:val="22"/>
            <w:lang w:eastAsia="pt-BR"/>
          </w:rPr>
          <w:t>goitre</w:t>
        </w:r>
        <w:r w:rsidRPr="0073638A">
          <w:rPr>
            <w:rFonts w:ascii="Arial" w:hAnsi="Arial" w:cs="Arial"/>
            <w:sz w:val="22"/>
            <w:szCs w:val="22"/>
            <w:lang w:eastAsia="pt-BR"/>
          </w:rPr>
          <w:t>.</w:t>
        </w:r>
      </w:hyperlink>
      <w:r w:rsidRPr="0073638A">
        <w:rPr>
          <w:rFonts w:ascii="Arial" w:hAnsi="Arial" w:cs="Arial"/>
          <w:sz w:val="22"/>
          <w:szCs w:val="22"/>
          <w:lang w:eastAsia="pt-BR"/>
        </w:rPr>
        <w:t xml:space="preserve"> Endocrine (2):221-9, 2014.</w:t>
      </w:r>
    </w:p>
    <w:p w14:paraId="5F919A2F" w14:textId="77777777" w:rsidR="0003189D" w:rsidRDefault="0003189D" w:rsidP="0003189D">
      <w:pPr>
        <w:pStyle w:val="ListParagraph"/>
        <w:rPr>
          <w:rFonts w:ascii="Arial" w:eastAsia="Calibri" w:hAnsi="Arial" w:cs="Arial"/>
          <w:sz w:val="22"/>
          <w:szCs w:val="22"/>
        </w:rPr>
      </w:pPr>
    </w:p>
    <w:p w14:paraId="6FD4F57B"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Duick DS, Baskin HJ. Utility of recombinant human thyrotropin for augmentation of radioiodine uptake and treatment of nontoxic and toxic multinodular goiters. Endocr Pract 9(3):204-9, 2003. </w:t>
      </w:r>
    </w:p>
    <w:p w14:paraId="57DA6BEA" w14:textId="77777777" w:rsidR="0003189D" w:rsidRPr="00735ABA" w:rsidRDefault="0003189D" w:rsidP="0003189D">
      <w:pPr>
        <w:autoSpaceDE w:val="0"/>
        <w:autoSpaceDN w:val="0"/>
        <w:adjustRightInd w:val="0"/>
        <w:rPr>
          <w:rFonts w:ascii="Arial" w:eastAsia="Calibri" w:hAnsi="Arial" w:cs="Arial"/>
          <w:sz w:val="22"/>
          <w:szCs w:val="22"/>
        </w:rPr>
      </w:pPr>
    </w:p>
    <w:p w14:paraId="716ACFFD"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Duick DS, Baskin HJ. Significance of radioiodine uptake at 72 hours versus 24 hours after pretreatment with recombinant human thyrotropin for enhancement of radioiodine therapy in patients with symptomatic nontoxic multinodular goiter. Endocr Pract 10(3):253-60, 2004. </w:t>
      </w:r>
    </w:p>
    <w:p w14:paraId="29BA10E7" w14:textId="77777777" w:rsidR="0003189D" w:rsidRDefault="0003189D" w:rsidP="0003189D">
      <w:pPr>
        <w:pStyle w:val="ListParagraph"/>
        <w:rPr>
          <w:rFonts w:ascii="Arial" w:eastAsia="Calibri" w:hAnsi="Arial" w:cs="Arial"/>
          <w:sz w:val="22"/>
          <w:szCs w:val="22"/>
        </w:rPr>
      </w:pPr>
    </w:p>
    <w:p w14:paraId="62272849" w14:textId="77777777" w:rsidR="0003189D" w:rsidRPr="0073638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638A">
        <w:rPr>
          <w:rFonts w:ascii="Arial" w:hAnsi="Arial" w:cs="Arial"/>
          <w:sz w:val="22"/>
          <w:szCs w:val="22"/>
          <w:lang w:eastAsia="pt-BR"/>
        </w:rPr>
        <w:t xml:space="preserve">Fast S, Hegedüs L, Pacini F, Pinchera A, Leung AM, Vaisman M, Reiners C, Wemeau JL, Huysmans DA, Harper W, Rachinsky I, de Souza HN, Castagna MG, Antonangeli L, Braverman LE, Corbo R, Düren C, Proust-Lemoine E, Marriott C, Driedger A, Grupe P, Watt T, Magner J, Purvis A, Graf H. </w:t>
      </w:r>
      <w:hyperlink r:id="rId23" w:history="1">
        <w:r w:rsidRPr="0073638A">
          <w:rPr>
            <w:rFonts w:ascii="Arial" w:hAnsi="Arial" w:cs="Arial"/>
            <w:sz w:val="22"/>
            <w:szCs w:val="22"/>
            <w:lang w:eastAsia="pt-BR"/>
          </w:rPr>
          <w:t>Long-term efficacy of modified-release recombinant human thyrotropin augmented radioiodine therapy for benign </w:t>
        </w:r>
        <w:r w:rsidRPr="0073638A">
          <w:rPr>
            <w:rFonts w:ascii="Arial" w:hAnsi="Arial" w:cs="Arial"/>
            <w:bCs/>
            <w:sz w:val="22"/>
            <w:szCs w:val="22"/>
            <w:lang w:eastAsia="pt-BR"/>
          </w:rPr>
          <w:t>multinodular</w:t>
        </w:r>
        <w:r w:rsidRPr="0073638A">
          <w:rPr>
            <w:rFonts w:ascii="Arial" w:hAnsi="Arial" w:cs="Arial"/>
            <w:sz w:val="22"/>
            <w:szCs w:val="22"/>
            <w:lang w:eastAsia="pt-BR"/>
          </w:rPr>
          <w:t> </w:t>
        </w:r>
        <w:r w:rsidRPr="0073638A">
          <w:rPr>
            <w:rFonts w:ascii="Arial" w:hAnsi="Arial" w:cs="Arial"/>
            <w:bCs/>
            <w:sz w:val="22"/>
            <w:szCs w:val="22"/>
            <w:lang w:eastAsia="pt-BR"/>
          </w:rPr>
          <w:t>goiter</w:t>
        </w:r>
        <w:r w:rsidRPr="0073638A">
          <w:rPr>
            <w:rFonts w:ascii="Arial" w:hAnsi="Arial" w:cs="Arial"/>
            <w:sz w:val="22"/>
            <w:szCs w:val="22"/>
            <w:lang w:eastAsia="pt-BR"/>
          </w:rPr>
          <w:t>: results from a multicenter, international, randomized, placebo-controlled, dose-selection study.</w:t>
        </w:r>
      </w:hyperlink>
      <w:r>
        <w:rPr>
          <w:rFonts w:ascii="Arial" w:hAnsi="Arial" w:cs="Arial"/>
          <w:sz w:val="22"/>
          <w:szCs w:val="22"/>
          <w:lang w:eastAsia="pt-BR"/>
        </w:rPr>
        <w:t xml:space="preserve"> Thyroid. 2014.</w:t>
      </w:r>
    </w:p>
    <w:p w14:paraId="13416578" w14:textId="77777777" w:rsidR="0003189D" w:rsidRDefault="0003189D" w:rsidP="0003189D">
      <w:pPr>
        <w:pStyle w:val="ListParagraph"/>
        <w:rPr>
          <w:rFonts w:ascii="Arial" w:eastAsia="Calibri" w:hAnsi="Arial" w:cs="Arial"/>
          <w:sz w:val="22"/>
          <w:szCs w:val="22"/>
        </w:rPr>
      </w:pPr>
    </w:p>
    <w:p w14:paraId="4EDE641D"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Paz-Filho GJ, Mesa-Junior CO, Olandoski M, Woellner LC, Goedert CA, Boguszewski CL, et al. Effect of 30 mCi radioiodine on multinodular goiter previously treated with recombinant human thyroid stimulating hormone. Braz J Med Biol Res 40(12):1661-70, 2007. </w:t>
      </w:r>
    </w:p>
    <w:p w14:paraId="44B39D3A" w14:textId="77777777" w:rsidR="0003189D" w:rsidRPr="00735ABA" w:rsidRDefault="0003189D" w:rsidP="0003189D">
      <w:pPr>
        <w:autoSpaceDE w:val="0"/>
        <w:autoSpaceDN w:val="0"/>
        <w:adjustRightInd w:val="0"/>
        <w:rPr>
          <w:rFonts w:ascii="Arial" w:eastAsia="Calibri" w:hAnsi="Arial" w:cs="Arial"/>
          <w:sz w:val="22"/>
          <w:szCs w:val="22"/>
        </w:rPr>
      </w:pPr>
    </w:p>
    <w:p w14:paraId="39A39B1A"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Nielsen VE, Bonnema SJ, Boel-Jorgensen H, Veje A, Hegedus L. Recombinant human thyrotropin markedly changes the 131I kinetics during 131I therapy of patients with nodular goiter: an evaluation by a randomized double-blinded trial. J Clin Endocrinol Metab 90(1):79-83, 2005. </w:t>
      </w:r>
    </w:p>
    <w:p w14:paraId="548216E6" w14:textId="77777777" w:rsidR="0003189D" w:rsidRPr="00735ABA" w:rsidRDefault="0003189D" w:rsidP="0003189D">
      <w:pPr>
        <w:autoSpaceDE w:val="0"/>
        <w:autoSpaceDN w:val="0"/>
        <w:adjustRightInd w:val="0"/>
        <w:rPr>
          <w:rFonts w:ascii="Arial" w:eastAsia="Calibri" w:hAnsi="Arial" w:cs="Arial"/>
          <w:sz w:val="22"/>
          <w:szCs w:val="22"/>
        </w:rPr>
      </w:pPr>
    </w:p>
    <w:p w14:paraId="1DB56952"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lastRenderedPageBreak/>
        <w:t xml:space="preserve">Niewlaat WA, Hermus AR, Sivro-Pmdelj F, Corstens FH, Huysmans DA. Pretreatment with recombinant human TSH changes the regional distribution of radioiodine on thyroid scintigrams of nodular goiters. J Clin Endocrinol Metab 86(11):5330-6, 2001. </w:t>
      </w:r>
    </w:p>
    <w:p w14:paraId="53963A9E" w14:textId="77777777" w:rsidR="0003189D" w:rsidRPr="00735ABA" w:rsidRDefault="0003189D" w:rsidP="0003189D">
      <w:pPr>
        <w:autoSpaceDE w:val="0"/>
        <w:autoSpaceDN w:val="0"/>
        <w:adjustRightInd w:val="0"/>
        <w:rPr>
          <w:rFonts w:ascii="Arial" w:eastAsia="Calibri" w:hAnsi="Arial" w:cs="Arial"/>
          <w:sz w:val="22"/>
          <w:szCs w:val="22"/>
        </w:rPr>
      </w:pPr>
    </w:p>
    <w:p w14:paraId="45539258"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Giusti M, Cappi C, Santaniello B, Ceresola E, Augeri C, Lagasio C, et al. Safety and efficacy of administering 0.2 mg of recombinant human TSH for two consecutive days as an adjuvant to therapy with low radioiodine doses in elderly out-patients with large nontoxic multinodular goiter. Minerva Endocrinol 31(3):191-209, 2006. </w:t>
      </w:r>
    </w:p>
    <w:p w14:paraId="322216BB" w14:textId="77777777" w:rsidR="0003189D" w:rsidRDefault="0003189D" w:rsidP="0003189D">
      <w:pPr>
        <w:pStyle w:val="ListParagraph"/>
        <w:rPr>
          <w:rFonts w:ascii="Arial" w:eastAsia="Calibri" w:hAnsi="Arial" w:cs="Arial"/>
          <w:sz w:val="22"/>
          <w:szCs w:val="22"/>
        </w:rPr>
      </w:pPr>
    </w:p>
    <w:p w14:paraId="60CED8D3"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Bonnema SJ, Nielsen VE, Boel-Jorgensen H, Grupe P, Andersen PB, Bastholt L, et al. Improvement of goiter volume reduction after 0.3 mg recombinant human thyrotropin-stimulated radioiodine therapy in patients with a very large goiter: a double-blinded, randomized trial. J Clin Endocrinol Metab 92(9):3424-8, 2007. </w:t>
      </w:r>
    </w:p>
    <w:p w14:paraId="7A610F22" w14:textId="77777777" w:rsidR="0003189D" w:rsidRPr="00735ABA" w:rsidRDefault="0003189D" w:rsidP="0003189D">
      <w:pPr>
        <w:autoSpaceDE w:val="0"/>
        <w:autoSpaceDN w:val="0"/>
        <w:adjustRightInd w:val="0"/>
        <w:rPr>
          <w:rFonts w:ascii="Arial" w:eastAsia="Calibri" w:hAnsi="Arial" w:cs="Arial"/>
          <w:sz w:val="22"/>
          <w:szCs w:val="22"/>
        </w:rPr>
      </w:pPr>
    </w:p>
    <w:p w14:paraId="788E8E8C"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Silva MN, Rubio IG, Romao R, Gebrin EM, Buchpiguel C, Tomimori E, Camargo RYA, Cardia MS, Medeiros-Neto G. Administration of a single dose of recombinant human thyrotropin enhances the efficacy of radioiodine treatment of large compressive multinodular goitres. Clin Endocrinol (Oxf) 60(3):300-8, 2004. </w:t>
      </w:r>
    </w:p>
    <w:p w14:paraId="0FFF932A" w14:textId="77777777" w:rsidR="0003189D" w:rsidRPr="00735ABA" w:rsidRDefault="0003189D" w:rsidP="0003189D">
      <w:pPr>
        <w:autoSpaceDE w:val="0"/>
        <w:autoSpaceDN w:val="0"/>
        <w:adjustRightInd w:val="0"/>
        <w:rPr>
          <w:rFonts w:ascii="Arial" w:eastAsia="Calibri" w:hAnsi="Arial" w:cs="Arial"/>
          <w:sz w:val="22"/>
          <w:szCs w:val="22"/>
        </w:rPr>
      </w:pPr>
    </w:p>
    <w:p w14:paraId="5ABD60F0"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Paz-Filho G, Mesa C, Carvalho G, Goedert C, Graf H. Recombinant human TSH associated with radioiodine does not have further effects on thyroid volume and function after two years. Clin Endocrinol (Oxf) 2007 (Letter|). </w:t>
      </w:r>
    </w:p>
    <w:p w14:paraId="2E3CB73F" w14:textId="77777777" w:rsidR="0003189D" w:rsidRPr="00735ABA" w:rsidRDefault="0003189D" w:rsidP="0003189D">
      <w:pPr>
        <w:autoSpaceDE w:val="0"/>
        <w:autoSpaceDN w:val="0"/>
        <w:adjustRightInd w:val="0"/>
        <w:rPr>
          <w:rFonts w:ascii="Arial" w:eastAsia="Calibri" w:hAnsi="Arial" w:cs="Arial"/>
          <w:sz w:val="22"/>
          <w:szCs w:val="22"/>
        </w:rPr>
      </w:pPr>
    </w:p>
    <w:p w14:paraId="6A4EC07A"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Nieuwlaat WA, Hermus AR, Ross HA, Buijs WC, Edelbroek MA, Bus JW, et al. Dosimetry of radioiodine therapy in patients with nodular goiter after pretreatment with a single, low dose or recombinant human thyroid-stimulating hormone. J Nucl Med 45(4):626-33, 2004. </w:t>
      </w:r>
    </w:p>
    <w:p w14:paraId="6A3B0B4B" w14:textId="77777777" w:rsidR="0003189D" w:rsidRDefault="0003189D" w:rsidP="0003189D">
      <w:pPr>
        <w:pStyle w:val="ListParagraph"/>
        <w:rPr>
          <w:rFonts w:ascii="Arial" w:eastAsia="Calibri" w:hAnsi="Arial" w:cs="Arial"/>
          <w:sz w:val="22"/>
          <w:szCs w:val="22"/>
        </w:rPr>
      </w:pPr>
    </w:p>
    <w:p w14:paraId="762D2990"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Nielsen VE, Bonnema SJ, Hegedus L. Transient goiter enlargement after administration of 0.3 mg of recombinant human thyrotrophin in patients with benign nontoxic nodular goiter: a randomized, double-blind, crossover trial. J Clin Endocrinol Metab 91(4):1317-22, 2006. </w:t>
      </w:r>
    </w:p>
    <w:p w14:paraId="3DA07A0A" w14:textId="77777777" w:rsidR="0003189D" w:rsidRDefault="0003189D" w:rsidP="0003189D">
      <w:pPr>
        <w:pStyle w:val="ListParagraph"/>
        <w:rPr>
          <w:rFonts w:ascii="Arial" w:eastAsia="Calibri" w:hAnsi="Arial" w:cs="Arial"/>
          <w:sz w:val="22"/>
          <w:szCs w:val="22"/>
        </w:rPr>
      </w:pPr>
    </w:p>
    <w:p w14:paraId="5076ADB8"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Fast S., Nielsen VE, Grupe P, Boel-Jaegersen H, Bastholt L, Andersen PB, Bonnema SJ, Hegedus L. Prestimulation with recombinant human thyrotropin (rhTSH) improves the long-term outcome of radioiodine therapy for multinodular nontoxic goiter. J Clin Endocrinol Metab 98::2653-2660, 2012</w:t>
      </w:r>
    </w:p>
    <w:p w14:paraId="73F34EBF" w14:textId="77777777" w:rsidR="0003189D" w:rsidRDefault="0003189D" w:rsidP="0003189D">
      <w:pPr>
        <w:pStyle w:val="ListParagraph"/>
        <w:rPr>
          <w:rFonts w:ascii="Arial" w:eastAsia="Calibri" w:hAnsi="Arial" w:cs="Arial"/>
          <w:sz w:val="22"/>
          <w:szCs w:val="22"/>
        </w:rPr>
      </w:pPr>
    </w:p>
    <w:p w14:paraId="5820EC99"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lastRenderedPageBreak/>
        <w:t xml:space="preserve">Cubas ER, Paz-Filho GJ, Olandoski M, Goedert CA, Woellner LC, Carvalho GA, Graf H. Recombinant human TSH increases the efficacy of a fixed activity of radioiodine for treatment of multinodular goitre. Int J Clin Pract 63:585-590, 2009. </w:t>
      </w:r>
    </w:p>
    <w:p w14:paraId="02218320" w14:textId="77777777" w:rsidR="0003189D" w:rsidRDefault="0003189D" w:rsidP="0003189D">
      <w:pPr>
        <w:pStyle w:val="ListParagraph"/>
        <w:rPr>
          <w:rFonts w:ascii="Arial" w:eastAsia="Calibri" w:hAnsi="Arial" w:cs="Arial"/>
          <w:sz w:val="22"/>
          <w:szCs w:val="22"/>
        </w:rPr>
      </w:pPr>
    </w:p>
    <w:p w14:paraId="5AB0186C"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Rom</w:t>
      </w:r>
      <w:r>
        <w:rPr>
          <w:rFonts w:ascii="Arial" w:eastAsia="Calibri" w:hAnsi="Arial" w:cs="Arial"/>
          <w:sz w:val="22"/>
          <w:szCs w:val="22"/>
        </w:rPr>
        <w:t>ão</w:t>
      </w:r>
      <w:r w:rsidRPr="00735ABA">
        <w:rPr>
          <w:rFonts w:ascii="Arial" w:eastAsia="Calibri" w:hAnsi="Arial" w:cs="Arial"/>
          <w:sz w:val="22"/>
          <w:szCs w:val="22"/>
        </w:rPr>
        <w:t xml:space="preserve"> R, Rubio IGS, Tomimori EK, Camargo RYA, Knobel M, Medeiros-Neto G. High prevalence of side effects after rhTSH-stimulated radioiodine treatment with 30 mCi in patients with multinodular goiter and subclinical / clinical hyperthyroidism. Thyroid 19:945-951, 2009. </w:t>
      </w:r>
    </w:p>
    <w:p w14:paraId="30A5D11D" w14:textId="77777777" w:rsidR="0003189D" w:rsidRDefault="0003189D" w:rsidP="0003189D">
      <w:pPr>
        <w:pStyle w:val="ListParagraph"/>
        <w:rPr>
          <w:rFonts w:ascii="Arial" w:eastAsia="Calibri" w:hAnsi="Arial" w:cs="Arial"/>
          <w:sz w:val="22"/>
          <w:szCs w:val="22"/>
        </w:rPr>
      </w:pPr>
    </w:p>
    <w:p w14:paraId="645402E6"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Cardia MS, Rubio IG, Medeiros-Neto G. Prolonged follow-up of multinodular goitre patients treated with radioiodine preceded or not by human recombinant TSH. Clin Endocrinol (Oxf) 64(4):474, 2006. </w:t>
      </w:r>
    </w:p>
    <w:p w14:paraId="060028B2" w14:textId="77777777" w:rsidR="0003189D" w:rsidRDefault="0003189D" w:rsidP="0003189D">
      <w:pPr>
        <w:pStyle w:val="ListParagraph"/>
        <w:rPr>
          <w:rFonts w:ascii="Arial" w:eastAsia="Calibri" w:hAnsi="Arial" w:cs="Arial"/>
          <w:sz w:val="22"/>
          <w:szCs w:val="22"/>
        </w:rPr>
      </w:pPr>
    </w:p>
    <w:p w14:paraId="4F25E0CC"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Barca MF, Gruppi C, Oliveira MT, Romao R, Cardia MS, Rubio IGS, Knobel M, Medeiros-Neto G. Cardiovascular assessment of hyperthyroid patients with multinodular goiters before and after radioiodine treatment preceded by stimulation with recombinant human TSH. Endocrine 70:810-813, 2009. </w:t>
      </w:r>
    </w:p>
    <w:p w14:paraId="7B2DCB6C" w14:textId="77777777" w:rsidR="0003189D" w:rsidRDefault="0003189D" w:rsidP="0003189D">
      <w:pPr>
        <w:pStyle w:val="ListParagraph"/>
        <w:rPr>
          <w:rFonts w:ascii="Arial" w:eastAsia="Calibri" w:hAnsi="Arial" w:cs="Arial"/>
          <w:sz w:val="22"/>
          <w:szCs w:val="22"/>
        </w:rPr>
      </w:pPr>
    </w:p>
    <w:p w14:paraId="26E1DBDB"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Nygaard B, Knudsen JH, Hedegus L, Scient AV, Hansen JE. Thyrotropin receptor antibodies and Graves´ disease, a side-effect of 131I treatment in patients with nontoxic goiter. J Clin Endocrinol Metab. 82(9):2926-30, 1997. </w:t>
      </w:r>
    </w:p>
    <w:p w14:paraId="41BC3082" w14:textId="77777777" w:rsidR="0003189D" w:rsidRPr="00735ABA" w:rsidRDefault="0003189D" w:rsidP="0003189D">
      <w:pPr>
        <w:autoSpaceDE w:val="0"/>
        <w:autoSpaceDN w:val="0"/>
        <w:adjustRightInd w:val="0"/>
        <w:rPr>
          <w:rFonts w:ascii="Arial" w:eastAsia="Calibri" w:hAnsi="Arial" w:cs="Arial"/>
          <w:sz w:val="22"/>
          <w:szCs w:val="22"/>
        </w:rPr>
      </w:pPr>
    </w:p>
    <w:p w14:paraId="6B9DBDCC" w14:textId="77777777" w:rsidR="0003189D"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Rubio IG, Perone BH, Silva MN, Knobel M, Medeiros-Neto G. Human recombinant TSH preceding a therapeutic dose of radioiodine for multinodular goiters has no significant effect in the surge of TSH-receptor and TPO antibodies. Thyroid 15(2):134-9, 2005. </w:t>
      </w:r>
    </w:p>
    <w:p w14:paraId="1D871B65" w14:textId="77777777" w:rsidR="0003189D" w:rsidRDefault="0003189D" w:rsidP="0003189D">
      <w:pPr>
        <w:pStyle w:val="ListParagraph"/>
        <w:rPr>
          <w:rFonts w:ascii="Arial" w:eastAsia="Calibri" w:hAnsi="Arial" w:cs="Arial"/>
          <w:sz w:val="22"/>
          <w:szCs w:val="22"/>
        </w:rPr>
      </w:pPr>
    </w:p>
    <w:p w14:paraId="6332B4E6"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Medeiros-Neto G, Marui S, Knobel M. An outline concerning the potential use of recombinant human thyrotropin for improving radioiodine therapy of multinodular goiter. Endocrine 33:109-117, 2009. </w:t>
      </w:r>
    </w:p>
    <w:p w14:paraId="2B52D923" w14:textId="77777777" w:rsidR="0003189D" w:rsidRPr="00735ABA" w:rsidRDefault="0003189D" w:rsidP="0003189D">
      <w:pPr>
        <w:autoSpaceDE w:val="0"/>
        <w:autoSpaceDN w:val="0"/>
        <w:adjustRightInd w:val="0"/>
        <w:rPr>
          <w:rFonts w:ascii="Arial" w:eastAsia="Calibri" w:hAnsi="Arial" w:cs="Arial"/>
          <w:sz w:val="22"/>
          <w:szCs w:val="22"/>
        </w:rPr>
      </w:pPr>
    </w:p>
    <w:p w14:paraId="2460D7AD"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Fast S, Nielsen UE, Bonnema SJ, Hegedus L. Time to reconsider non- surgical therapy of benign non-toxic multinodular goiter: focus on recombinant human TSH augmented radioiodine therapy. Eur J Endocrinol 160:517-528, 2009. </w:t>
      </w:r>
    </w:p>
    <w:p w14:paraId="323ED806" w14:textId="77777777" w:rsidR="0003189D" w:rsidRPr="00735ABA" w:rsidRDefault="0003189D" w:rsidP="0003189D">
      <w:pPr>
        <w:autoSpaceDE w:val="0"/>
        <w:autoSpaceDN w:val="0"/>
        <w:adjustRightInd w:val="0"/>
        <w:rPr>
          <w:rFonts w:ascii="Arial" w:eastAsia="Calibri" w:hAnsi="Arial" w:cs="Arial"/>
          <w:sz w:val="22"/>
          <w:szCs w:val="22"/>
        </w:rPr>
      </w:pPr>
    </w:p>
    <w:p w14:paraId="2FF21F4B"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Magner J. Problems associated with the use of thyrogen in patients with a thyroid gland. N Engl J Med 359:1738-9, 2008. </w:t>
      </w:r>
    </w:p>
    <w:p w14:paraId="76A7542A" w14:textId="77777777" w:rsidR="0003189D" w:rsidRPr="00735ABA" w:rsidRDefault="0003189D" w:rsidP="0003189D">
      <w:pPr>
        <w:autoSpaceDE w:val="0"/>
        <w:autoSpaceDN w:val="0"/>
        <w:adjustRightInd w:val="0"/>
        <w:rPr>
          <w:rFonts w:ascii="Arial" w:eastAsia="Calibri" w:hAnsi="Arial" w:cs="Arial"/>
          <w:sz w:val="22"/>
          <w:szCs w:val="22"/>
        </w:rPr>
      </w:pPr>
    </w:p>
    <w:p w14:paraId="0C54B9E2"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lastRenderedPageBreak/>
        <w:t xml:space="preserve">Fast S, Nielsen VE, Bonnema SJ, Hegedus L. Optimizing 131I uptake after rhTSH stimulation in Patients with multinodular goiter: evidence from a prospective double blind study. J Nucl Med 50:732-737, 2009. </w:t>
      </w:r>
    </w:p>
    <w:p w14:paraId="296BD8DD" w14:textId="77777777" w:rsidR="0003189D" w:rsidRPr="00735ABA" w:rsidRDefault="0003189D" w:rsidP="0003189D">
      <w:pPr>
        <w:autoSpaceDE w:val="0"/>
        <w:autoSpaceDN w:val="0"/>
        <w:adjustRightInd w:val="0"/>
        <w:rPr>
          <w:rFonts w:ascii="Arial" w:eastAsia="Calibri" w:hAnsi="Arial" w:cs="Arial"/>
          <w:sz w:val="22"/>
          <w:szCs w:val="22"/>
        </w:rPr>
      </w:pPr>
    </w:p>
    <w:p w14:paraId="296B4DE2" w14:textId="77777777" w:rsidR="0003189D" w:rsidRPr="00735ABA" w:rsidRDefault="0003189D" w:rsidP="0003189D">
      <w:pPr>
        <w:numPr>
          <w:ilvl w:val="0"/>
          <w:numId w:val="25"/>
        </w:numPr>
        <w:autoSpaceDE w:val="0"/>
        <w:autoSpaceDN w:val="0"/>
        <w:adjustRightInd w:val="0"/>
        <w:spacing w:after="200" w:line="276" w:lineRule="auto"/>
        <w:rPr>
          <w:rFonts w:ascii="Arial" w:eastAsia="Calibri" w:hAnsi="Arial" w:cs="Arial"/>
          <w:sz w:val="22"/>
          <w:szCs w:val="22"/>
        </w:rPr>
      </w:pPr>
      <w:r w:rsidRPr="00735ABA">
        <w:rPr>
          <w:rFonts w:ascii="Arial" w:eastAsia="Calibri" w:hAnsi="Arial" w:cs="Arial"/>
          <w:sz w:val="22"/>
          <w:szCs w:val="22"/>
        </w:rPr>
        <w:t xml:space="preserve">Bonnema SJ, Hegedus L, A 30 year perspective on radioiodine therapy of benign nontoxic multinodular goiter. Cur Op Endocr Metab Diab Obes. 16:379-384, 2009. </w:t>
      </w:r>
    </w:p>
    <w:p w14:paraId="1497A867" w14:textId="77777777" w:rsidR="0003189D" w:rsidRPr="00E10C5E" w:rsidRDefault="009414A1" w:rsidP="0003189D">
      <w:pPr>
        <w:pStyle w:val="ListParagraph"/>
        <w:numPr>
          <w:ilvl w:val="0"/>
          <w:numId w:val="25"/>
        </w:numPr>
        <w:autoSpaceDE w:val="0"/>
        <w:autoSpaceDN w:val="0"/>
        <w:adjustRightInd w:val="0"/>
        <w:rPr>
          <w:rStyle w:val="apple-converted-space"/>
          <w:rFonts w:ascii="Arial" w:hAnsi="Arial" w:cs="Arial"/>
          <w:sz w:val="22"/>
          <w:szCs w:val="22"/>
        </w:rPr>
      </w:pPr>
      <w:hyperlink r:id="rId24" w:history="1">
        <w:r w:rsidR="0003189D" w:rsidRPr="00E10C5E">
          <w:rPr>
            <w:rStyle w:val="highlight"/>
            <w:rFonts w:ascii="Arial" w:hAnsi="Arial" w:cs="Arial"/>
            <w:sz w:val="22"/>
            <w:szCs w:val="22"/>
          </w:rPr>
          <w:t>Pacella CM</w:t>
        </w:r>
      </w:hyperlink>
      <w:r w:rsidR="0003189D" w:rsidRPr="00E10C5E">
        <w:rPr>
          <w:rFonts w:ascii="Arial" w:hAnsi="Arial" w:cs="Arial"/>
          <w:sz w:val="22"/>
          <w:szCs w:val="22"/>
        </w:rPr>
        <w:t>,</w:t>
      </w:r>
      <w:r w:rsidR="0003189D" w:rsidRPr="00E10C5E">
        <w:rPr>
          <w:rStyle w:val="apple-converted-space"/>
          <w:rFonts w:ascii="Arial" w:hAnsi="Arial" w:cs="Arial"/>
          <w:sz w:val="22"/>
          <w:szCs w:val="22"/>
        </w:rPr>
        <w:t> </w:t>
      </w:r>
      <w:hyperlink r:id="rId25" w:history="1">
        <w:r w:rsidR="0003189D" w:rsidRPr="00E10C5E">
          <w:rPr>
            <w:rStyle w:val="Hyperlink"/>
            <w:rFonts w:ascii="Arial" w:hAnsi="Arial" w:cs="Arial"/>
            <w:color w:val="auto"/>
            <w:sz w:val="22"/>
            <w:szCs w:val="22"/>
          </w:rPr>
          <w:t>Mauri G</w:t>
        </w:r>
      </w:hyperlink>
      <w:r w:rsidR="0003189D" w:rsidRPr="00E10C5E">
        <w:rPr>
          <w:rFonts w:ascii="Arial" w:hAnsi="Arial" w:cs="Arial"/>
          <w:sz w:val="22"/>
          <w:szCs w:val="22"/>
        </w:rPr>
        <w:t>,</w:t>
      </w:r>
      <w:r w:rsidR="0003189D" w:rsidRPr="00E10C5E">
        <w:rPr>
          <w:rStyle w:val="apple-converted-space"/>
          <w:rFonts w:ascii="Arial" w:hAnsi="Arial" w:cs="Arial"/>
          <w:sz w:val="22"/>
          <w:szCs w:val="22"/>
        </w:rPr>
        <w:t> </w:t>
      </w:r>
      <w:hyperlink r:id="rId26" w:history="1">
        <w:r w:rsidR="0003189D" w:rsidRPr="00E10C5E">
          <w:rPr>
            <w:rStyle w:val="Hyperlink"/>
            <w:rFonts w:ascii="Arial" w:hAnsi="Arial" w:cs="Arial"/>
            <w:color w:val="auto"/>
            <w:sz w:val="22"/>
            <w:szCs w:val="22"/>
          </w:rPr>
          <w:t>Achille G</w:t>
        </w:r>
      </w:hyperlink>
      <w:r w:rsidR="0003189D" w:rsidRPr="00E10C5E">
        <w:rPr>
          <w:rFonts w:ascii="Arial" w:hAnsi="Arial" w:cs="Arial"/>
          <w:sz w:val="22"/>
          <w:szCs w:val="22"/>
        </w:rPr>
        <w:t>,</w:t>
      </w:r>
      <w:r w:rsidR="0003189D" w:rsidRPr="00E10C5E">
        <w:rPr>
          <w:rStyle w:val="apple-converted-space"/>
          <w:rFonts w:ascii="Arial" w:hAnsi="Arial" w:cs="Arial"/>
          <w:sz w:val="22"/>
          <w:szCs w:val="22"/>
        </w:rPr>
        <w:t> </w:t>
      </w:r>
      <w:hyperlink r:id="rId27" w:history="1">
        <w:r w:rsidR="0003189D" w:rsidRPr="00E10C5E">
          <w:rPr>
            <w:rStyle w:val="Hyperlink"/>
            <w:rFonts w:ascii="Arial" w:hAnsi="Arial" w:cs="Arial"/>
            <w:color w:val="auto"/>
            <w:sz w:val="22"/>
            <w:szCs w:val="22"/>
          </w:rPr>
          <w:t>Barbaro D</w:t>
        </w:r>
      </w:hyperlink>
      <w:r w:rsidR="0003189D" w:rsidRPr="00E10C5E">
        <w:rPr>
          <w:rFonts w:ascii="Arial" w:hAnsi="Arial" w:cs="Arial"/>
          <w:sz w:val="22"/>
          <w:szCs w:val="22"/>
        </w:rPr>
        <w:t>,</w:t>
      </w:r>
      <w:r w:rsidR="0003189D" w:rsidRPr="00E10C5E">
        <w:rPr>
          <w:rStyle w:val="apple-converted-space"/>
          <w:rFonts w:ascii="Arial" w:hAnsi="Arial" w:cs="Arial"/>
          <w:sz w:val="22"/>
          <w:szCs w:val="22"/>
        </w:rPr>
        <w:t> </w:t>
      </w:r>
      <w:hyperlink r:id="rId28" w:history="1">
        <w:r w:rsidR="0003189D" w:rsidRPr="00E10C5E">
          <w:rPr>
            <w:rStyle w:val="Hyperlink"/>
            <w:rFonts w:ascii="Arial" w:hAnsi="Arial" w:cs="Arial"/>
            <w:color w:val="auto"/>
            <w:sz w:val="22"/>
            <w:szCs w:val="22"/>
          </w:rPr>
          <w:t>Bizzarri G</w:t>
        </w:r>
      </w:hyperlink>
      <w:r w:rsidR="0003189D" w:rsidRPr="00E10C5E">
        <w:rPr>
          <w:rFonts w:ascii="Arial" w:hAnsi="Arial" w:cs="Arial"/>
          <w:sz w:val="22"/>
          <w:szCs w:val="22"/>
        </w:rPr>
        <w:t>,</w:t>
      </w:r>
      <w:r w:rsidR="0003189D" w:rsidRPr="00E10C5E">
        <w:rPr>
          <w:rStyle w:val="apple-converted-space"/>
          <w:rFonts w:ascii="Arial" w:hAnsi="Arial" w:cs="Arial"/>
          <w:sz w:val="22"/>
          <w:szCs w:val="22"/>
        </w:rPr>
        <w:t> </w:t>
      </w:r>
      <w:hyperlink r:id="rId29" w:history="1">
        <w:r w:rsidR="0003189D" w:rsidRPr="00E10C5E">
          <w:rPr>
            <w:rStyle w:val="Hyperlink"/>
            <w:rFonts w:ascii="Arial" w:hAnsi="Arial" w:cs="Arial"/>
            <w:color w:val="auto"/>
            <w:sz w:val="22"/>
            <w:szCs w:val="22"/>
          </w:rPr>
          <w:t>De Feo P</w:t>
        </w:r>
      </w:hyperlink>
      <w:r w:rsidR="0003189D" w:rsidRPr="00E10C5E">
        <w:rPr>
          <w:rFonts w:ascii="Arial" w:hAnsi="Arial" w:cs="Arial"/>
          <w:sz w:val="22"/>
          <w:szCs w:val="22"/>
        </w:rPr>
        <w:t>,</w:t>
      </w:r>
      <w:r w:rsidR="0003189D" w:rsidRPr="00E10C5E">
        <w:rPr>
          <w:rStyle w:val="apple-converted-space"/>
          <w:rFonts w:ascii="Arial" w:hAnsi="Arial" w:cs="Arial"/>
          <w:sz w:val="22"/>
          <w:szCs w:val="22"/>
        </w:rPr>
        <w:t> </w:t>
      </w:r>
      <w:hyperlink r:id="rId30" w:history="1">
        <w:r w:rsidR="0003189D" w:rsidRPr="00E10C5E">
          <w:rPr>
            <w:rStyle w:val="Hyperlink"/>
            <w:rFonts w:ascii="Arial" w:hAnsi="Arial" w:cs="Arial"/>
            <w:color w:val="auto"/>
            <w:sz w:val="22"/>
            <w:szCs w:val="22"/>
          </w:rPr>
          <w:t>Di Stasio E</w:t>
        </w:r>
      </w:hyperlink>
      <w:r w:rsidR="0003189D" w:rsidRPr="00E10C5E">
        <w:rPr>
          <w:rFonts w:ascii="Arial" w:hAnsi="Arial" w:cs="Arial"/>
          <w:sz w:val="22"/>
          <w:szCs w:val="22"/>
        </w:rPr>
        <w:t>,</w:t>
      </w:r>
      <w:r w:rsidR="0003189D" w:rsidRPr="00E10C5E">
        <w:rPr>
          <w:rStyle w:val="apple-converted-space"/>
          <w:rFonts w:ascii="Arial" w:hAnsi="Arial" w:cs="Arial"/>
          <w:sz w:val="22"/>
          <w:szCs w:val="22"/>
        </w:rPr>
        <w:t> </w:t>
      </w:r>
      <w:hyperlink r:id="rId31" w:history="1">
        <w:r w:rsidR="0003189D" w:rsidRPr="00E10C5E">
          <w:rPr>
            <w:rStyle w:val="Hyperlink"/>
            <w:rFonts w:ascii="Arial" w:hAnsi="Arial" w:cs="Arial"/>
            <w:color w:val="auto"/>
            <w:sz w:val="22"/>
            <w:szCs w:val="22"/>
          </w:rPr>
          <w:t>Esposito R</w:t>
        </w:r>
      </w:hyperlink>
      <w:r w:rsidR="0003189D" w:rsidRPr="00E10C5E">
        <w:rPr>
          <w:rFonts w:ascii="Arial" w:hAnsi="Arial" w:cs="Arial"/>
          <w:sz w:val="22"/>
          <w:szCs w:val="22"/>
        </w:rPr>
        <w:t>,</w:t>
      </w:r>
      <w:r w:rsidR="0003189D" w:rsidRPr="00E10C5E">
        <w:rPr>
          <w:rStyle w:val="apple-converted-space"/>
          <w:rFonts w:ascii="Arial" w:hAnsi="Arial" w:cs="Arial"/>
          <w:sz w:val="22"/>
          <w:szCs w:val="22"/>
        </w:rPr>
        <w:t> </w:t>
      </w:r>
      <w:hyperlink r:id="rId32" w:history="1">
        <w:r w:rsidR="0003189D" w:rsidRPr="00E10C5E">
          <w:rPr>
            <w:rStyle w:val="Hyperlink"/>
            <w:rFonts w:ascii="Arial" w:hAnsi="Arial" w:cs="Arial"/>
            <w:color w:val="auto"/>
            <w:sz w:val="22"/>
            <w:szCs w:val="22"/>
          </w:rPr>
          <w:t>Gambelunghe G</w:t>
        </w:r>
      </w:hyperlink>
      <w:r w:rsidR="0003189D" w:rsidRPr="00E10C5E">
        <w:rPr>
          <w:rFonts w:ascii="Arial" w:hAnsi="Arial" w:cs="Arial"/>
          <w:sz w:val="22"/>
          <w:szCs w:val="22"/>
        </w:rPr>
        <w:t>,</w:t>
      </w:r>
      <w:r w:rsidR="0003189D" w:rsidRPr="00E10C5E">
        <w:rPr>
          <w:rStyle w:val="apple-converted-space"/>
          <w:rFonts w:ascii="Arial" w:hAnsi="Arial" w:cs="Arial"/>
          <w:sz w:val="22"/>
          <w:szCs w:val="22"/>
        </w:rPr>
        <w:t> </w:t>
      </w:r>
      <w:hyperlink r:id="rId33" w:history="1">
        <w:r w:rsidR="0003189D" w:rsidRPr="00E10C5E">
          <w:rPr>
            <w:rStyle w:val="Hyperlink"/>
            <w:rFonts w:ascii="Arial" w:hAnsi="Arial" w:cs="Arial"/>
            <w:color w:val="auto"/>
            <w:sz w:val="22"/>
            <w:szCs w:val="22"/>
          </w:rPr>
          <w:t>Misischi I</w:t>
        </w:r>
      </w:hyperlink>
      <w:r w:rsidR="0003189D" w:rsidRPr="00E10C5E">
        <w:rPr>
          <w:rFonts w:ascii="Arial" w:hAnsi="Arial" w:cs="Arial"/>
          <w:sz w:val="22"/>
          <w:szCs w:val="22"/>
        </w:rPr>
        <w:t>,</w:t>
      </w:r>
      <w:hyperlink r:id="rId34" w:history="1">
        <w:r w:rsidR="0003189D" w:rsidRPr="00E10C5E">
          <w:rPr>
            <w:rStyle w:val="Hyperlink"/>
            <w:rFonts w:ascii="Arial" w:hAnsi="Arial" w:cs="Arial"/>
            <w:color w:val="auto"/>
            <w:sz w:val="22"/>
            <w:szCs w:val="22"/>
          </w:rPr>
          <w:t>Raggiunti B</w:t>
        </w:r>
      </w:hyperlink>
      <w:r w:rsidR="0003189D" w:rsidRPr="00E10C5E">
        <w:rPr>
          <w:rFonts w:ascii="Arial" w:hAnsi="Arial" w:cs="Arial"/>
          <w:sz w:val="22"/>
          <w:szCs w:val="22"/>
        </w:rPr>
        <w:t>,</w:t>
      </w:r>
      <w:r w:rsidR="0003189D" w:rsidRPr="00E10C5E">
        <w:rPr>
          <w:rStyle w:val="apple-converted-space"/>
          <w:rFonts w:ascii="Arial" w:hAnsi="Arial" w:cs="Arial"/>
          <w:sz w:val="22"/>
          <w:szCs w:val="22"/>
        </w:rPr>
        <w:t> </w:t>
      </w:r>
      <w:hyperlink r:id="rId35" w:history="1">
        <w:r w:rsidR="0003189D" w:rsidRPr="00E10C5E">
          <w:rPr>
            <w:rStyle w:val="Hyperlink"/>
            <w:rFonts w:ascii="Arial" w:hAnsi="Arial" w:cs="Arial"/>
            <w:color w:val="auto"/>
            <w:sz w:val="22"/>
            <w:szCs w:val="22"/>
          </w:rPr>
          <w:t>Rago T</w:t>
        </w:r>
      </w:hyperlink>
      <w:r w:rsidR="0003189D" w:rsidRPr="00E10C5E">
        <w:rPr>
          <w:rFonts w:ascii="Arial" w:hAnsi="Arial" w:cs="Arial"/>
          <w:sz w:val="22"/>
          <w:szCs w:val="22"/>
        </w:rPr>
        <w:t>,</w:t>
      </w:r>
      <w:r w:rsidR="0003189D" w:rsidRPr="00E10C5E">
        <w:rPr>
          <w:rStyle w:val="apple-converted-space"/>
          <w:rFonts w:ascii="Arial" w:hAnsi="Arial" w:cs="Arial"/>
          <w:sz w:val="22"/>
          <w:szCs w:val="22"/>
        </w:rPr>
        <w:t> </w:t>
      </w:r>
      <w:hyperlink r:id="rId36" w:history="1">
        <w:r w:rsidR="0003189D" w:rsidRPr="00E10C5E">
          <w:rPr>
            <w:rStyle w:val="Hyperlink"/>
            <w:rFonts w:ascii="Arial" w:hAnsi="Arial" w:cs="Arial"/>
            <w:color w:val="auto"/>
            <w:sz w:val="22"/>
            <w:szCs w:val="22"/>
          </w:rPr>
          <w:t>Patelli GL</w:t>
        </w:r>
      </w:hyperlink>
      <w:r w:rsidR="0003189D" w:rsidRPr="00E10C5E">
        <w:rPr>
          <w:rFonts w:ascii="Arial" w:hAnsi="Arial" w:cs="Arial"/>
          <w:sz w:val="22"/>
          <w:szCs w:val="22"/>
        </w:rPr>
        <w:t>,</w:t>
      </w:r>
      <w:r w:rsidR="0003189D" w:rsidRPr="00E10C5E">
        <w:rPr>
          <w:rStyle w:val="apple-converted-space"/>
          <w:rFonts w:ascii="Arial" w:hAnsi="Arial" w:cs="Arial"/>
          <w:sz w:val="22"/>
          <w:szCs w:val="22"/>
        </w:rPr>
        <w:t> </w:t>
      </w:r>
      <w:hyperlink r:id="rId37" w:history="1">
        <w:r w:rsidR="0003189D" w:rsidRPr="00E10C5E">
          <w:rPr>
            <w:rStyle w:val="Hyperlink"/>
            <w:rFonts w:ascii="Arial" w:hAnsi="Arial" w:cs="Arial"/>
            <w:color w:val="auto"/>
            <w:sz w:val="22"/>
            <w:szCs w:val="22"/>
          </w:rPr>
          <w:t>D'Este S</w:t>
        </w:r>
      </w:hyperlink>
      <w:r w:rsidR="0003189D" w:rsidRPr="00E10C5E">
        <w:rPr>
          <w:rFonts w:ascii="Arial" w:hAnsi="Arial" w:cs="Arial"/>
          <w:sz w:val="22"/>
          <w:szCs w:val="22"/>
        </w:rPr>
        <w:t>,</w:t>
      </w:r>
      <w:r w:rsidR="0003189D" w:rsidRPr="00E10C5E">
        <w:rPr>
          <w:rStyle w:val="apple-converted-space"/>
          <w:rFonts w:ascii="Arial" w:hAnsi="Arial" w:cs="Arial"/>
          <w:sz w:val="22"/>
          <w:szCs w:val="22"/>
        </w:rPr>
        <w:t> </w:t>
      </w:r>
      <w:hyperlink r:id="rId38" w:history="1">
        <w:r w:rsidR="0003189D" w:rsidRPr="00E10C5E">
          <w:rPr>
            <w:rStyle w:val="Hyperlink"/>
            <w:rFonts w:ascii="Arial" w:hAnsi="Arial" w:cs="Arial"/>
            <w:color w:val="auto"/>
            <w:sz w:val="22"/>
            <w:szCs w:val="22"/>
          </w:rPr>
          <w:t>Vitti P</w:t>
        </w:r>
      </w:hyperlink>
      <w:r w:rsidR="0003189D" w:rsidRPr="00E10C5E">
        <w:rPr>
          <w:rFonts w:ascii="Arial" w:hAnsi="Arial" w:cs="Arial"/>
          <w:sz w:val="22"/>
          <w:szCs w:val="22"/>
        </w:rPr>
        <w:t>,</w:t>
      </w:r>
      <w:r w:rsidR="0003189D" w:rsidRPr="00E10C5E">
        <w:rPr>
          <w:rStyle w:val="apple-converted-space"/>
          <w:rFonts w:ascii="Arial" w:hAnsi="Arial" w:cs="Arial"/>
          <w:sz w:val="22"/>
          <w:szCs w:val="22"/>
        </w:rPr>
        <w:t> </w:t>
      </w:r>
      <w:hyperlink r:id="rId39" w:history="1">
        <w:r w:rsidR="0003189D" w:rsidRPr="00E10C5E">
          <w:rPr>
            <w:rStyle w:val="Hyperlink"/>
            <w:rFonts w:ascii="Arial" w:hAnsi="Arial" w:cs="Arial"/>
            <w:color w:val="auto"/>
            <w:sz w:val="22"/>
            <w:szCs w:val="22"/>
          </w:rPr>
          <w:t>Papini E</w:t>
        </w:r>
      </w:hyperlink>
      <w:r w:rsidR="0003189D" w:rsidRPr="00E10C5E">
        <w:rPr>
          <w:rFonts w:ascii="Arial" w:hAnsi="Arial" w:cs="Arial"/>
          <w:sz w:val="22"/>
          <w:szCs w:val="22"/>
        </w:rPr>
        <w:t xml:space="preserve">. </w:t>
      </w:r>
      <w:r w:rsidR="0003189D" w:rsidRPr="00E10C5E">
        <w:rPr>
          <w:rStyle w:val="highlight"/>
          <w:rFonts w:ascii="Arial" w:hAnsi="Arial" w:cs="Arial"/>
          <w:sz w:val="22"/>
          <w:szCs w:val="22"/>
        </w:rPr>
        <w:t>Outcomes</w:t>
      </w:r>
      <w:r w:rsidR="0003189D" w:rsidRPr="00E10C5E">
        <w:rPr>
          <w:rStyle w:val="apple-converted-space"/>
          <w:rFonts w:ascii="Arial" w:hAnsi="Arial" w:cs="Arial"/>
          <w:sz w:val="22"/>
          <w:szCs w:val="22"/>
        </w:rPr>
        <w:t> </w:t>
      </w:r>
      <w:r w:rsidR="0003189D" w:rsidRPr="00E10C5E">
        <w:rPr>
          <w:rFonts w:ascii="Arial" w:hAnsi="Arial" w:cs="Arial"/>
          <w:sz w:val="22"/>
          <w:szCs w:val="22"/>
        </w:rPr>
        <w:t>and</w:t>
      </w:r>
      <w:r w:rsidR="0003189D" w:rsidRPr="00E10C5E">
        <w:rPr>
          <w:rStyle w:val="apple-converted-space"/>
          <w:rFonts w:ascii="Arial" w:hAnsi="Arial" w:cs="Arial"/>
          <w:sz w:val="22"/>
          <w:szCs w:val="22"/>
        </w:rPr>
        <w:t> </w:t>
      </w:r>
      <w:r w:rsidR="0003189D" w:rsidRPr="00E10C5E">
        <w:rPr>
          <w:rStyle w:val="highlight"/>
          <w:rFonts w:ascii="Arial" w:hAnsi="Arial" w:cs="Arial"/>
          <w:sz w:val="22"/>
          <w:szCs w:val="22"/>
        </w:rPr>
        <w:t>Risk Factors</w:t>
      </w:r>
      <w:r w:rsidR="0003189D" w:rsidRPr="00E10C5E">
        <w:rPr>
          <w:rStyle w:val="apple-converted-space"/>
          <w:rFonts w:ascii="Arial" w:hAnsi="Arial" w:cs="Arial"/>
          <w:sz w:val="22"/>
          <w:szCs w:val="22"/>
        </w:rPr>
        <w:t> </w:t>
      </w:r>
      <w:r w:rsidR="0003189D" w:rsidRPr="00E10C5E">
        <w:rPr>
          <w:rFonts w:ascii="Arial" w:hAnsi="Arial" w:cs="Arial"/>
          <w:sz w:val="22"/>
          <w:szCs w:val="22"/>
        </w:rPr>
        <w:t>for</w:t>
      </w:r>
      <w:r w:rsidR="0003189D" w:rsidRPr="00E10C5E">
        <w:rPr>
          <w:rStyle w:val="apple-converted-space"/>
          <w:rFonts w:ascii="Arial" w:hAnsi="Arial" w:cs="Arial"/>
          <w:sz w:val="22"/>
          <w:szCs w:val="22"/>
        </w:rPr>
        <w:t> </w:t>
      </w:r>
    </w:p>
    <w:p w14:paraId="19242DF8" w14:textId="77777777" w:rsidR="0003189D" w:rsidRPr="00E10C5E" w:rsidRDefault="0003189D" w:rsidP="0003189D">
      <w:pPr>
        <w:pStyle w:val="ListParagraph"/>
        <w:suppressAutoHyphens/>
        <w:autoSpaceDE w:val="0"/>
        <w:autoSpaceDN w:val="0"/>
        <w:adjustRightInd w:val="0"/>
        <w:spacing w:before="100" w:line="220" w:lineRule="atLeast"/>
        <w:jc w:val="both"/>
        <w:rPr>
          <w:rFonts w:ascii="Arial" w:hAnsi="Arial" w:cs="Arial"/>
          <w:sz w:val="22"/>
          <w:szCs w:val="22"/>
        </w:rPr>
      </w:pPr>
      <w:r w:rsidRPr="00E10C5E">
        <w:rPr>
          <w:rStyle w:val="highlight"/>
          <w:rFonts w:ascii="Arial" w:hAnsi="Arial" w:cs="Arial"/>
          <w:sz w:val="22"/>
          <w:szCs w:val="22"/>
        </w:rPr>
        <w:t>Complications</w:t>
      </w:r>
      <w:r w:rsidRPr="00E10C5E">
        <w:rPr>
          <w:rStyle w:val="apple-converted-space"/>
          <w:rFonts w:ascii="Arial" w:hAnsi="Arial" w:cs="Arial"/>
          <w:sz w:val="22"/>
          <w:szCs w:val="22"/>
        </w:rPr>
        <w:t> </w:t>
      </w:r>
      <w:r w:rsidRPr="00E10C5E">
        <w:rPr>
          <w:rFonts w:ascii="Arial" w:hAnsi="Arial" w:cs="Arial"/>
          <w:sz w:val="22"/>
          <w:szCs w:val="22"/>
        </w:rPr>
        <w:t xml:space="preserve">of Laser Ablation for Thyroid Nodules: A Multicenter Study on 1531 Patients. </w:t>
      </w:r>
      <w:hyperlink r:id="rId40" w:tooltip="The Journal of clinical endocrinology and metabolism." w:history="1">
        <w:r w:rsidRPr="00E10C5E">
          <w:rPr>
            <w:rStyle w:val="Hyperlink"/>
            <w:rFonts w:ascii="Arial" w:hAnsi="Arial" w:cs="Arial"/>
            <w:color w:val="auto"/>
            <w:sz w:val="22"/>
            <w:szCs w:val="22"/>
          </w:rPr>
          <w:t>J Clin Endocrinol Metab.</w:t>
        </w:r>
      </w:hyperlink>
      <w:r w:rsidRPr="00E10C5E">
        <w:rPr>
          <w:rStyle w:val="apple-converted-space"/>
          <w:rFonts w:ascii="Arial" w:hAnsi="Arial" w:cs="Arial"/>
          <w:sz w:val="22"/>
          <w:szCs w:val="22"/>
        </w:rPr>
        <w:t> </w:t>
      </w:r>
      <w:r w:rsidRPr="00E10C5E">
        <w:rPr>
          <w:rFonts w:ascii="Arial" w:hAnsi="Arial" w:cs="Arial"/>
          <w:sz w:val="22"/>
          <w:szCs w:val="22"/>
        </w:rPr>
        <w:t>100(10):3903-10, 2015.</w:t>
      </w:r>
    </w:p>
    <w:p w14:paraId="1C043F90" w14:textId="77777777" w:rsidR="0003189D" w:rsidRPr="00B55D73" w:rsidRDefault="0003189D" w:rsidP="0003189D">
      <w:pPr>
        <w:pStyle w:val="ListParagraph"/>
        <w:rPr>
          <w:rFonts w:ascii="Arial" w:hAnsi="Arial" w:cs="Arial"/>
          <w:sz w:val="22"/>
          <w:szCs w:val="22"/>
        </w:rPr>
      </w:pPr>
    </w:p>
    <w:p w14:paraId="671B54D9" w14:textId="77777777" w:rsidR="008049E3" w:rsidRPr="00735ABA" w:rsidRDefault="008049E3" w:rsidP="008049E3">
      <w:pPr>
        <w:autoSpaceDE w:val="0"/>
        <w:autoSpaceDN w:val="0"/>
        <w:adjustRightInd w:val="0"/>
        <w:rPr>
          <w:rFonts w:ascii="Arial" w:eastAsia="Calibri" w:hAnsi="Arial" w:cs="Arial"/>
          <w:sz w:val="22"/>
          <w:szCs w:val="22"/>
        </w:rPr>
      </w:pPr>
    </w:p>
    <w:sectPr w:rsidR="008049E3" w:rsidRPr="00735ABA" w:rsidSect="00F77D94">
      <w:pgSz w:w="12240" w:h="15840"/>
      <w:pgMar w:top="1296" w:right="1750" w:bottom="1296"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2CCA1" w14:textId="77777777" w:rsidR="009414A1" w:rsidRDefault="009414A1" w:rsidP="003A1141">
      <w:r>
        <w:separator/>
      </w:r>
    </w:p>
  </w:endnote>
  <w:endnote w:type="continuationSeparator" w:id="0">
    <w:p w14:paraId="4F916307" w14:textId="77777777" w:rsidR="009414A1" w:rsidRDefault="009414A1" w:rsidP="003A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84F14" w14:textId="77777777" w:rsidR="009414A1" w:rsidRDefault="009414A1" w:rsidP="003A1141">
      <w:r>
        <w:separator/>
      </w:r>
    </w:p>
  </w:footnote>
  <w:footnote w:type="continuationSeparator" w:id="0">
    <w:p w14:paraId="2B92BCCB" w14:textId="77777777" w:rsidR="009414A1" w:rsidRDefault="009414A1" w:rsidP="003A11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708E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B76E4F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4E20494"/>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7DF6ABE0"/>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ED8A8C24"/>
    <w:lvl w:ilvl="0">
      <w:start w:val="1"/>
      <w:numFmt w:val="decimal"/>
      <w:pStyle w:val="ListNumber2"/>
      <w:lvlText w:val="%1."/>
      <w:lvlJc w:val="left"/>
      <w:pPr>
        <w:tabs>
          <w:tab w:val="num" w:pos="720"/>
        </w:tabs>
        <w:ind w:left="720" w:hanging="360"/>
      </w:pPr>
    </w:lvl>
  </w:abstractNum>
  <w:abstractNum w:abstractNumId="5">
    <w:nsid w:val="FFFFFF80"/>
    <w:multiLevelType w:val="singleLevel"/>
    <w:tmpl w:val="57F820AC"/>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003ECC8A"/>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D26AC8FA"/>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9A780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F65A900E"/>
    <w:lvl w:ilvl="0">
      <w:start w:val="1"/>
      <w:numFmt w:val="decimal"/>
      <w:pStyle w:val="ListNumber"/>
      <w:lvlText w:val="%1."/>
      <w:lvlJc w:val="left"/>
      <w:pPr>
        <w:tabs>
          <w:tab w:val="num" w:pos="360"/>
        </w:tabs>
        <w:ind w:left="360" w:hanging="360"/>
      </w:pPr>
    </w:lvl>
  </w:abstractNum>
  <w:abstractNum w:abstractNumId="10">
    <w:nsid w:val="FFFFFF89"/>
    <w:multiLevelType w:val="singleLevel"/>
    <w:tmpl w:val="9AC28D42"/>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29F4016"/>
    <w:multiLevelType w:val="hybridMultilevel"/>
    <w:tmpl w:val="005ABD74"/>
    <w:lvl w:ilvl="0" w:tplc="4E8CBFA0">
      <w:start w:val="1"/>
      <w:numFmt w:val="decimalZero"/>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033A00D9"/>
    <w:multiLevelType w:val="hybridMultilevel"/>
    <w:tmpl w:val="50EAAF8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nsid w:val="056363EE"/>
    <w:multiLevelType w:val="hybridMultilevel"/>
    <w:tmpl w:val="E5DA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6103E7B"/>
    <w:multiLevelType w:val="multilevel"/>
    <w:tmpl w:val="876CD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327A3F"/>
    <w:multiLevelType w:val="hybridMultilevel"/>
    <w:tmpl w:val="D8D26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AC1A16"/>
    <w:multiLevelType w:val="hybridMultilevel"/>
    <w:tmpl w:val="0866B1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D194EE5"/>
    <w:multiLevelType w:val="hybridMultilevel"/>
    <w:tmpl w:val="F766A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63501D"/>
    <w:multiLevelType w:val="hybridMultilevel"/>
    <w:tmpl w:val="54CEE32C"/>
    <w:lvl w:ilvl="0" w:tplc="04160001">
      <w:start w:val="1"/>
      <w:numFmt w:val="bullet"/>
      <w:lvlText w:val=""/>
      <w:lvlJc w:val="left"/>
      <w:pPr>
        <w:tabs>
          <w:tab w:val="num" w:pos="960"/>
        </w:tabs>
        <w:ind w:left="960" w:hanging="360"/>
      </w:pPr>
      <w:rPr>
        <w:rFonts w:ascii="Symbol" w:hAnsi="Symbol" w:hint="default"/>
      </w:rPr>
    </w:lvl>
    <w:lvl w:ilvl="1" w:tplc="04160003" w:tentative="1">
      <w:start w:val="1"/>
      <w:numFmt w:val="bullet"/>
      <w:lvlText w:val="o"/>
      <w:lvlJc w:val="left"/>
      <w:pPr>
        <w:tabs>
          <w:tab w:val="num" w:pos="1680"/>
        </w:tabs>
        <w:ind w:left="1680" w:hanging="360"/>
      </w:pPr>
      <w:rPr>
        <w:rFonts w:ascii="Courier New" w:hAnsi="Courier New" w:cs="Courier New" w:hint="default"/>
      </w:rPr>
    </w:lvl>
    <w:lvl w:ilvl="2" w:tplc="04160005" w:tentative="1">
      <w:start w:val="1"/>
      <w:numFmt w:val="bullet"/>
      <w:lvlText w:val=""/>
      <w:lvlJc w:val="left"/>
      <w:pPr>
        <w:tabs>
          <w:tab w:val="num" w:pos="2400"/>
        </w:tabs>
        <w:ind w:left="2400" w:hanging="360"/>
      </w:pPr>
      <w:rPr>
        <w:rFonts w:ascii="Wingdings" w:hAnsi="Wingdings" w:hint="default"/>
      </w:rPr>
    </w:lvl>
    <w:lvl w:ilvl="3" w:tplc="04160001" w:tentative="1">
      <w:start w:val="1"/>
      <w:numFmt w:val="bullet"/>
      <w:lvlText w:val=""/>
      <w:lvlJc w:val="left"/>
      <w:pPr>
        <w:tabs>
          <w:tab w:val="num" w:pos="3120"/>
        </w:tabs>
        <w:ind w:left="3120" w:hanging="360"/>
      </w:pPr>
      <w:rPr>
        <w:rFonts w:ascii="Symbol" w:hAnsi="Symbol" w:hint="default"/>
      </w:rPr>
    </w:lvl>
    <w:lvl w:ilvl="4" w:tplc="04160003" w:tentative="1">
      <w:start w:val="1"/>
      <w:numFmt w:val="bullet"/>
      <w:lvlText w:val="o"/>
      <w:lvlJc w:val="left"/>
      <w:pPr>
        <w:tabs>
          <w:tab w:val="num" w:pos="3840"/>
        </w:tabs>
        <w:ind w:left="3840" w:hanging="360"/>
      </w:pPr>
      <w:rPr>
        <w:rFonts w:ascii="Courier New" w:hAnsi="Courier New" w:cs="Courier New" w:hint="default"/>
      </w:rPr>
    </w:lvl>
    <w:lvl w:ilvl="5" w:tplc="04160005" w:tentative="1">
      <w:start w:val="1"/>
      <w:numFmt w:val="bullet"/>
      <w:lvlText w:val=""/>
      <w:lvlJc w:val="left"/>
      <w:pPr>
        <w:tabs>
          <w:tab w:val="num" w:pos="4560"/>
        </w:tabs>
        <w:ind w:left="4560" w:hanging="360"/>
      </w:pPr>
      <w:rPr>
        <w:rFonts w:ascii="Wingdings" w:hAnsi="Wingdings" w:hint="default"/>
      </w:rPr>
    </w:lvl>
    <w:lvl w:ilvl="6" w:tplc="04160001" w:tentative="1">
      <w:start w:val="1"/>
      <w:numFmt w:val="bullet"/>
      <w:lvlText w:val=""/>
      <w:lvlJc w:val="left"/>
      <w:pPr>
        <w:tabs>
          <w:tab w:val="num" w:pos="5280"/>
        </w:tabs>
        <w:ind w:left="5280" w:hanging="360"/>
      </w:pPr>
      <w:rPr>
        <w:rFonts w:ascii="Symbol" w:hAnsi="Symbol" w:hint="default"/>
      </w:rPr>
    </w:lvl>
    <w:lvl w:ilvl="7" w:tplc="04160003" w:tentative="1">
      <w:start w:val="1"/>
      <w:numFmt w:val="bullet"/>
      <w:lvlText w:val="o"/>
      <w:lvlJc w:val="left"/>
      <w:pPr>
        <w:tabs>
          <w:tab w:val="num" w:pos="6000"/>
        </w:tabs>
        <w:ind w:left="6000" w:hanging="360"/>
      </w:pPr>
      <w:rPr>
        <w:rFonts w:ascii="Courier New" w:hAnsi="Courier New" w:cs="Courier New" w:hint="default"/>
      </w:rPr>
    </w:lvl>
    <w:lvl w:ilvl="8" w:tplc="04160005" w:tentative="1">
      <w:start w:val="1"/>
      <w:numFmt w:val="bullet"/>
      <w:lvlText w:val=""/>
      <w:lvlJc w:val="left"/>
      <w:pPr>
        <w:tabs>
          <w:tab w:val="num" w:pos="6720"/>
        </w:tabs>
        <w:ind w:left="6720" w:hanging="360"/>
      </w:pPr>
      <w:rPr>
        <w:rFonts w:ascii="Wingdings" w:hAnsi="Wingdings" w:hint="default"/>
      </w:rPr>
    </w:lvl>
  </w:abstractNum>
  <w:abstractNum w:abstractNumId="19">
    <w:nsid w:val="448557C2"/>
    <w:multiLevelType w:val="hybridMultilevel"/>
    <w:tmpl w:val="5C84C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841EFF"/>
    <w:multiLevelType w:val="multilevel"/>
    <w:tmpl w:val="BC802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350D40"/>
    <w:multiLevelType w:val="hybridMultilevel"/>
    <w:tmpl w:val="FD7E58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35251B3"/>
    <w:multiLevelType w:val="hybridMultilevel"/>
    <w:tmpl w:val="4ED00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795202"/>
    <w:multiLevelType w:val="multilevel"/>
    <w:tmpl w:val="3BDE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E25023"/>
    <w:multiLevelType w:val="multilevel"/>
    <w:tmpl w:val="4208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6C3DF0"/>
    <w:multiLevelType w:val="hybridMultilevel"/>
    <w:tmpl w:val="BB0E8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A943D8"/>
    <w:multiLevelType w:val="hybridMultilevel"/>
    <w:tmpl w:val="D2F47A10"/>
    <w:lvl w:ilvl="0" w:tplc="04160001">
      <w:start w:val="1"/>
      <w:numFmt w:val="bullet"/>
      <w:lvlText w:val=""/>
      <w:lvlJc w:val="left"/>
      <w:pPr>
        <w:tabs>
          <w:tab w:val="num" w:pos="720"/>
        </w:tabs>
        <w:ind w:left="720" w:hanging="360"/>
      </w:pPr>
      <w:rPr>
        <w:rFonts w:ascii="Symbol" w:hAnsi="Symbol" w:hint="default"/>
      </w:rPr>
    </w:lvl>
    <w:lvl w:ilvl="1" w:tplc="5C628A14">
      <w:numFmt w:val="bullet"/>
      <w:lvlText w:val="-"/>
      <w:lvlJc w:val="left"/>
      <w:pPr>
        <w:tabs>
          <w:tab w:val="num" w:pos="1440"/>
        </w:tabs>
        <w:ind w:left="1440" w:hanging="360"/>
      </w:pPr>
      <w:rPr>
        <w:rFonts w:ascii="Arial" w:eastAsia="Times New Roman" w:hAnsi="Arial" w:cs="Arial"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4"/>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24"/>
  </w:num>
  <w:num w:numId="14">
    <w:abstractNumId w:val="20"/>
  </w:num>
  <w:num w:numId="15">
    <w:abstractNumId w:val="26"/>
  </w:num>
  <w:num w:numId="16">
    <w:abstractNumId w:val="16"/>
  </w:num>
  <w:num w:numId="17">
    <w:abstractNumId w:val="18"/>
  </w:num>
  <w:num w:numId="18">
    <w:abstractNumId w:val="11"/>
  </w:num>
  <w:num w:numId="19">
    <w:abstractNumId w:val="17"/>
  </w:num>
  <w:num w:numId="20">
    <w:abstractNumId w:val="15"/>
  </w:num>
  <w:num w:numId="21">
    <w:abstractNumId w:val="19"/>
  </w:num>
  <w:num w:numId="22">
    <w:abstractNumId w:val="22"/>
  </w:num>
  <w:num w:numId="23">
    <w:abstractNumId w:val="25"/>
  </w:num>
  <w:num w:numId="24">
    <w:abstractNumId w:val="12"/>
  </w:num>
  <w:num w:numId="25">
    <w:abstractNumId w:val="21"/>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B92043C-C42B-4156-BDAE-492DB8A664FE}"/>
    <w:docVar w:name="dgnword-eventsink" w:val="55960400"/>
  </w:docVars>
  <w:rsids>
    <w:rsidRoot w:val="00EA6532"/>
    <w:rsid w:val="00006342"/>
    <w:rsid w:val="000102C1"/>
    <w:rsid w:val="000122E4"/>
    <w:rsid w:val="00030999"/>
    <w:rsid w:val="0003189D"/>
    <w:rsid w:val="00050E95"/>
    <w:rsid w:val="0005477B"/>
    <w:rsid w:val="00064BD1"/>
    <w:rsid w:val="00072B64"/>
    <w:rsid w:val="00073BE2"/>
    <w:rsid w:val="000C3F3E"/>
    <w:rsid w:val="000C5929"/>
    <w:rsid w:val="00110ACC"/>
    <w:rsid w:val="00120AC5"/>
    <w:rsid w:val="00121B92"/>
    <w:rsid w:val="0016751E"/>
    <w:rsid w:val="00170636"/>
    <w:rsid w:val="00175712"/>
    <w:rsid w:val="001776FD"/>
    <w:rsid w:val="001A26D5"/>
    <w:rsid w:val="001A49C5"/>
    <w:rsid w:val="001D1F31"/>
    <w:rsid w:val="001D6B63"/>
    <w:rsid w:val="001E0CFC"/>
    <w:rsid w:val="001F4740"/>
    <w:rsid w:val="00222382"/>
    <w:rsid w:val="00227343"/>
    <w:rsid w:val="00265F56"/>
    <w:rsid w:val="00271689"/>
    <w:rsid w:val="00273901"/>
    <w:rsid w:val="002801CF"/>
    <w:rsid w:val="00280D24"/>
    <w:rsid w:val="00283FFD"/>
    <w:rsid w:val="002B3794"/>
    <w:rsid w:val="002B5C33"/>
    <w:rsid w:val="002C0FC7"/>
    <w:rsid w:val="002F24FF"/>
    <w:rsid w:val="00316FA9"/>
    <w:rsid w:val="003271D1"/>
    <w:rsid w:val="00327E05"/>
    <w:rsid w:val="003342C6"/>
    <w:rsid w:val="00340DBD"/>
    <w:rsid w:val="00355B43"/>
    <w:rsid w:val="00370F1A"/>
    <w:rsid w:val="003811F8"/>
    <w:rsid w:val="003944AB"/>
    <w:rsid w:val="003A1141"/>
    <w:rsid w:val="003B305B"/>
    <w:rsid w:val="003B4587"/>
    <w:rsid w:val="003B5190"/>
    <w:rsid w:val="003B5DCF"/>
    <w:rsid w:val="003C4ED9"/>
    <w:rsid w:val="003E2F1B"/>
    <w:rsid w:val="003E3A2A"/>
    <w:rsid w:val="003F18A4"/>
    <w:rsid w:val="003F5958"/>
    <w:rsid w:val="00402A1D"/>
    <w:rsid w:val="004049BC"/>
    <w:rsid w:val="00412616"/>
    <w:rsid w:val="0041536B"/>
    <w:rsid w:val="004167FE"/>
    <w:rsid w:val="00420160"/>
    <w:rsid w:val="00445725"/>
    <w:rsid w:val="004462E8"/>
    <w:rsid w:val="0045477C"/>
    <w:rsid w:val="004C1ADB"/>
    <w:rsid w:val="004C6D14"/>
    <w:rsid w:val="004D2621"/>
    <w:rsid w:val="004E10DE"/>
    <w:rsid w:val="00507729"/>
    <w:rsid w:val="00511F64"/>
    <w:rsid w:val="005143C2"/>
    <w:rsid w:val="0054414C"/>
    <w:rsid w:val="005737B4"/>
    <w:rsid w:val="005759F1"/>
    <w:rsid w:val="0057780D"/>
    <w:rsid w:val="00591EDC"/>
    <w:rsid w:val="005D6C04"/>
    <w:rsid w:val="005F2171"/>
    <w:rsid w:val="006253B0"/>
    <w:rsid w:val="006349FE"/>
    <w:rsid w:val="00651E9F"/>
    <w:rsid w:val="00662893"/>
    <w:rsid w:val="00662B37"/>
    <w:rsid w:val="00671412"/>
    <w:rsid w:val="006928F2"/>
    <w:rsid w:val="006C3F56"/>
    <w:rsid w:val="006C55F3"/>
    <w:rsid w:val="00703333"/>
    <w:rsid w:val="00703E45"/>
    <w:rsid w:val="00710D26"/>
    <w:rsid w:val="00722BD5"/>
    <w:rsid w:val="00735ABA"/>
    <w:rsid w:val="00736637"/>
    <w:rsid w:val="00750F13"/>
    <w:rsid w:val="007655BC"/>
    <w:rsid w:val="00773B7B"/>
    <w:rsid w:val="00775A98"/>
    <w:rsid w:val="007A05AF"/>
    <w:rsid w:val="007C3D3F"/>
    <w:rsid w:val="007C69EF"/>
    <w:rsid w:val="007D67DC"/>
    <w:rsid w:val="007E3B6A"/>
    <w:rsid w:val="00803826"/>
    <w:rsid w:val="008049E3"/>
    <w:rsid w:val="00807499"/>
    <w:rsid w:val="008135CC"/>
    <w:rsid w:val="00820632"/>
    <w:rsid w:val="008250DA"/>
    <w:rsid w:val="00830A21"/>
    <w:rsid w:val="008409B7"/>
    <w:rsid w:val="00851A69"/>
    <w:rsid w:val="00862297"/>
    <w:rsid w:val="00885DAC"/>
    <w:rsid w:val="008B4175"/>
    <w:rsid w:val="008F3984"/>
    <w:rsid w:val="00900DA3"/>
    <w:rsid w:val="00901294"/>
    <w:rsid w:val="00922099"/>
    <w:rsid w:val="00926FE7"/>
    <w:rsid w:val="009414A1"/>
    <w:rsid w:val="00951F46"/>
    <w:rsid w:val="0095335F"/>
    <w:rsid w:val="00972DA6"/>
    <w:rsid w:val="00984B75"/>
    <w:rsid w:val="009E0BCA"/>
    <w:rsid w:val="009E49E4"/>
    <w:rsid w:val="009E4BCD"/>
    <w:rsid w:val="009F5AA1"/>
    <w:rsid w:val="00A0033A"/>
    <w:rsid w:val="00A00389"/>
    <w:rsid w:val="00A034CE"/>
    <w:rsid w:val="00A06667"/>
    <w:rsid w:val="00A41ACA"/>
    <w:rsid w:val="00A6479F"/>
    <w:rsid w:val="00A72062"/>
    <w:rsid w:val="00A76967"/>
    <w:rsid w:val="00A8435B"/>
    <w:rsid w:val="00A953C6"/>
    <w:rsid w:val="00A97DBC"/>
    <w:rsid w:val="00A97ECB"/>
    <w:rsid w:val="00AA00DB"/>
    <w:rsid w:val="00AA491A"/>
    <w:rsid w:val="00AB2E5D"/>
    <w:rsid w:val="00AD7B1B"/>
    <w:rsid w:val="00AE3FA3"/>
    <w:rsid w:val="00B10738"/>
    <w:rsid w:val="00B11AE0"/>
    <w:rsid w:val="00B32F99"/>
    <w:rsid w:val="00B452D1"/>
    <w:rsid w:val="00B55FE6"/>
    <w:rsid w:val="00B74396"/>
    <w:rsid w:val="00B835F9"/>
    <w:rsid w:val="00B92CC2"/>
    <w:rsid w:val="00B94016"/>
    <w:rsid w:val="00B9735C"/>
    <w:rsid w:val="00BC78C7"/>
    <w:rsid w:val="00BD4369"/>
    <w:rsid w:val="00BD7DDE"/>
    <w:rsid w:val="00BE0817"/>
    <w:rsid w:val="00BE3F30"/>
    <w:rsid w:val="00C0166B"/>
    <w:rsid w:val="00C11E07"/>
    <w:rsid w:val="00C12F1D"/>
    <w:rsid w:val="00C13900"/>
    <w:rsid w:val="00C33C4C"/>
    <w:rsid w:val="00C373DF"/>
    <w:rsid w:val="00C41422"/>
    <w:rsid w:val="00C4413E"/>
    <w:rsid w:val="00C50E29"/>
    <w:rsid w:val="00C5160F"/>
    <w:rsid w:val="00C55838"/>
    <w:rsid w:val="00C83407"/>
    <w:rsid w:val="00CA3F6C"/>
    <w:rsid w:val="00CB675D"/>
    <w:rsid w:val="00CB676B"/>
    <w:rsid w:val="00CE1558"/>
    <w:rsid w:val="00CE2D6C"/>
    <w:rsid w:val="00CE314F"/>
    <w:rsid w:val="00CF7AB2"/>
    <w:rsid w:val="00D06D95"/>
    <w:rsid w:val="00D15444"/>
    <w:rsid w:val="00D260D8"/>
    <w:rsid w:val="00D50146"/>
    <w:rsid w:val="00D51316"/>
    <w:rsid w:val="00D671BD"/>
    <w:rsid w:val="00D70544"/>
    <w:rsid w:val="00D83287"/>
    <w:rsid w:val="00D955CC"/>
    <w:rsid w:val="00D95D64"/>
    <w:rsid w:val="00DE1586"/>
    <w:rsid w:val="00DE1FCA"/>
    <w:rsid w:val="00E21D4E"/>
    <w:rsid w:val="00E22FB0"/>
    <w:rsid w:val="00E27CC1"/>
    <w:rsid w:val="00E315B0"/>
    <w:rsid w:val="00E325E7"/>
    <w:rsid w:val="00E4129B"/>
    <w:rsid w:val="00E47C7A"/>
    <w:rsid w:val="00E552F3"/>
    <w:rsid w:val="00E57EAA"/>
    <w:rsid w:val="00E82DBF"/>
    <w:rsid w:val="00EA1CA0"/>
    <w:rsid w:val="00EA6532"/>
    <w:rsid w:val="00EB4D95"/>
    <w:rsid w:val="00EB6038"/>
    <w:rsid w:val="00ED15B6"/>
    <w:rsid w:val="00ED280A"/>
    <w:rsid w:val="00F54C4D"/>
    <w:rsid w:val="00F568A9"/>
    <w:rsid w:val="00F61AF2"/>
    <w:rsid w:val="00F648AA"/>
    <w:rsid w:val="00F724AE"/>
    <w:rsid w:val="00F77D94"/>
    <w:rsid w:val="00F82321"/>
    <w:rsid w:val="00F862D0"/>
    <w:rsid w:val="00F976F8"/>
    <w:rsid w:val="00FA49CF"/>
    <w:rsid w:val="00FD03B8"/>
    <w:rsid w:val="00FD7EC1"/>
    <w:rsid w:val="00FE0D35"/>
    <w:rsid w:val="00FE2F40"/>
    <w:rsid w:val="00FE30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5CE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lang w:val="en-US"/>
    </w:rPr>
  </w:style>
  <w:style w:type="paragraph" w:styleId="Heading1">
    <w:name w:val="heading 1"/>
    <w:basedOn w:val="Normal"/>
    <w:link w:val="Heading1Char"/>
    <w:qFormat/>
    <w:rsid w:val="00412616"/>
    <w:pPr>
      <w:spacing w:before="100" w:beforeAutospacing="1" w:after="100" w:afterAutospacing="1"/>
      <w:outlineLvl w:val="0"/>
    </w:pPr>
    <w:rPr>
      <w:rFonts w:ascii="Arial" w:hAnsi="Arial"/>
      <w:b/>
      <w:bCs/>
      <w:kern w:val="36"/>
      <w:sz w:val="26"/>
      <w:szCs w:val="18"/>
    </w:rPr>
  </w:style>
  <w:style w:type="paragraph" w:styleId="Heading2">
    <w:name w:val="heading 2"/>
    <w:basedOn w:val="Normal"/>
    <w:next w:val="Normal"/>
    <w:link w:val="Heading2Char"/>
    <w:qFormat/>
    <w:rsid w:val="00412616"/>
    <w:pPr>
      <w:keepNext/>
      <w:spacing w:before="240" w:after="60"/>
      <w:outlineLvl w:val="1"/>
    </w:pPr>
    <w:rPr>
      <w:rFonts w:ascii="Arial" w:hAnsi="Arial" w:cs="Arial"/>
      <w:b/>
      <w:bCs/>
      <w:iCs/>
      <w:sz w:val="26"/>
      <w:szCs w:val="28"/>
    </w:rPr>
  </w:style>
  <w:style w:type="paragraph" w:styleId="Heading3">
    <w:name w:val="heading 3"/>
    <w:basedOn w:val="Normal"/>
    <w:next w:val="Normal"/>
    <w:link w:val="Heading3Char"/>
    <w:qFormat/>
    <w:rsid w:val="00C0166B"/>
    <w:pPr>
      <w:keepNext/>
      <w:spacing w:before="240" w:after="60"/>
      <w:outlineLvl w:val="2"/>
    </w:pPr>
    <w:rPr>
      <w:rFonts w:ascii="Arial" w:hAnsi="Arial" w:cs="Arial"/>
      <w:b/>
      <w:bCs/>
      <w:sz w:val="26"/>
      <w:szCs w:val="26"/>
    </w:rPr>
  </w:style>
  <w:style w:type="paragraph" w:styleId="Heading4">
    <w:name w:val="heading 4"/>
    <w:basedOn w:val="Normal"/>
    <w:next w:val="Normal"/>
    <w:qFormat/>
    <w:rsid w:val="00C0166B"/>
    <w:pPr>
      <w:keepNext/>
      <w:spacing w:before="240" w:after="60"/>
      <w:outlineLvl w:val="3"/>
    </w:pPr>
    <w:rPr>
      <w:b/>
      <w:bCs/>
      <w:sz w:val="28"/>
      <w:szCs w:val="28"/>
    </w:rPr>
  </w:style>
  <w:style w:type="paragraph" w:styleId="Heading5">
    <w:name w:val="heading 5"/>
    <w:basedOn w:val="Normal"/>
    <w:next w:val="Normal"/>
    <w:qFormat/>
    <w:rsid w:val="00C0166B"/>
    <w:pPr>
      <w:spacing w:before="240" w:after="60"/>
      <w:outlineLvl w:val="4"/>
    </w:pPr>
    <w:rPr>
      <w:b/>
      <w:bCs/>
      <w:i/>
      <w:iCs/>
      <w:sz w:val="26"/>
      <w:szCs w:val="26"/>
    </w:rPr>
  </w:style>
  <w:style w:type="paragraph" w:styleId="Heading6">
    <w:name w:val="heading 6"/>
    <w:basedOn w:val="Normal"/>
    <w:next w:val="Normal"/>
    <w:qFormat/>
    <w:rsid w:val="00C0166B"/>
    <w:pPr>
      <w:spacing w:before="240" w:after="60"/>
      <w:outlineLvl w:val="5"/>
    </w:pPr>
    <w:rPr>
      <w:b/>
      <w:bCs/>
      <w:sz w:val="22"/>
      <w:szCs w:val="22"/>
    </w:rPr>
  </w:style>
  <w:style w:type="paragraph" w:styleId="Heading7">
    <w:name w:val="heading 7"/>
    <w:basedOn w:val="Normal"/>
    <w:next w:val="Normal"/>
    <w:qFormat/>
    <w:rsid w:val="00C0166B"/>
    <w:pPr>
      <w:spacing w:before="240" w:after="60"/>
      <w:outlineLvl w:val="6"/>
    </w:pPr>
  </w:style>
  <w:style w:type="paragraph" w:styleId="Heading8">
    <w:name w:val="heading 8"/>
    <w:basedOn w:val="Normal"/>
    <w:next w:val="Normal"/>
    <w:qFormat/>
    <w:rsid w:val="0016751E"/>
    <w:pPr>
      <w:spacing w:before="240" w:after="60"/>
      <w:outlineLvl w:val="7"/>
    </w:pPr>
    <w:rPr>
      <w:i/>
      <w:iCs/>
    </w:rPr>
  </w:style>
  <w:style w:type="paragraph" w:styleId="Heading9">
    <w:name w:val="heading 9"/>
    <w:basedOn w:val="Normal"/>
    <w:next w:val="Normal"/>
    <w:qFormat/>
    <w:rsid w:val="00C0166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strike w:val="0"/>
      <w:dstrike w:val="0"/>
      <w:color w:val="000066"/>
      <w:u w:val="none"/>
      <w:effect w:val="none"/>
    </w:rPr>
  </w:style>
  <w:style w:type="character" w:styleId="FollowedHyperlink">
    <w:name w:val="FollowedHyperlink"/>
    <w:rPr>
      <w:strike w:val="0"/>
      <w:dstrike w:val="0"/>
      <w:color w:val="000066"/>
      <w:u w:val="none"/>
      <w:effect w:val="none"/>
    </w:rPr>
  </w:style>
  <w:style w:type="character" w:styleId="Strong">
    <w:name w:val="Strong"/>
    <w:qFormat/>
    <w:rPr>
      <w:rFonts w:ascii="Verdana" w:hAnsi="Verdana" w:hint="default"/>
      <w:b/>
      <w:bCs/>
      <w:color w:val="FF0000"/>
      <w:sz w:val="30"/>
      <w:szCs w:val="30"/>
    </w:rPr>
  </w:style>
  <w:style w:type="paragraph" w:styleId="NormalWeb">
    <w:name w:val="Normal (Web)"/>
    <w:basedOn w:val="Normal"/>
    <w:pPr>
      <w:spacing w:before="100" w:beforeAutospacing="1" w:after="100" w:afterAutospacing="1"/>
    </w:pPr>
  </w:style>
  <w:style w:type="character" w:customStyle="1" w:styleId="yshortcuts">
    <w:name w:val="yshortcuts"/>
    <w:basedOn w:val="DefaultParagraphFont"/>
    <w:rsid w:val="0016751E"/>
  </w:style>
  <w:style w:type="character" w:customStyle="1" w:styleId="bibrecord-highlight1">
    <w:name w:val="bibrecord-highlight1"/>
    <w:rsid w:val="000C3F3E"/>
    <w:rPr>
      <w:b/>
      <w:bCs/>
      <w:color w:val="CC0000"/>
    </w:rPr>
  </w:style>
  <w:style w:type="character" w:customStyle="1" w:styleId="titles-title1">
    <w:name w:val="titles-title1"/>
    <w:rsid w:val="000C3F3E"/>
    <w:rPr>
      <w:b/>
      <w:bCs/>
    </w:rPr>
  </w:style>
  <w:style w:type="character" w:customStyle="1" w:styleId="titles-source1">
    <w:name w:val="titles-source1"/>
    <w:rsid w:val="000C3F3E"/>
    <w:rPr>
      <w:i/>
      <w:iCs/>
    </w:rPr>
  </w:style>
  <w:style w:type="paragraph" w:styleId="BalloonText">
    <w:name w:val="Balloon Text"/>
    <w:basedOn w:val="Normal"/>
    <w:semiHidden/>
    <w:rsid w:val="00C0166B"/>
    <w:rPr>
      <w:rFonts w:ascii="Tahoma" w:hAnsi="Tahoma" w:cs="Tahoma"/>
      <w:sz w:val="16"/>
      <w:szCs w:val="16"/>
    </w:rPr>
  </w:style>
  <w:style w:type="paragraph" w:styleId="BlockText">
    <w:name w:val="Block Text"/>
    <w:basedOn w:val="Normal"/>
    <w:rsid w:val="00C0166B"/>
    <w:pPr>
      <w:spacing w:after="120"/>
      <w:ind w:left="1440" w:right="1440"/>
    </w:pPr>
  </w:style>
  <w:style w:type="paragraph" w:styleId="BodyText">
    <w:name w:val="Body Text"/>
    <w:basedOn w:val="Normal"/>
    <w:rsid w:val="00C0166B"/>
    <w:pPr>
      <w:spacing w:after="120"/>
    </w:pPr>
  </w:style>
  <w:style w:type="paragraph" w:styleId="BodyText2">
    <w:name w:val="Body Text 2"/>
    <w:basedOn w:val="Normal"/>
    <w:rsid w:val="00C0166B"/>
    <w:pPr>
      <w:spacing w:after="120" w:line="480" w:lineRule="auto"/>
    </w:pPr>
  </w:style>
  <w:style w:type="paragraph" w:styleId="BodyText3">
    <w:name w:val="Body Text 3"/>
    <w:basedOn w:val="Normal"/>
    <w:rsid w:val="00C0166B"/>
    <w:pPr>
      <w:spacing w:after="120"/>
    </w:pPr>
    <w:rPr>
      <w:sz w:val="16"/>
      <w:szCs w:val="16"/>
    </w:rPr>
  </w:style>
  <w:style w:type="paragraph" w:styleId="BodyTextFirstIndent">
    <w:name w:val="Body Text First Indent"/>
    <w:basedOn w:val="BodyText"/>
    <w:rsid w:val="00C0166B"/>
    <w:pPr>
      <w:ind w:firstLine="210"/>
    </w:pPr>
  </w:style>
  <w:style w:type="paragraph" w:styleId="BodyTextIndent">
    <w:name w:val="Body Text Indent"/>
    <w:basedOn w:val="Normal"/>
    <w:rsid w:val="00C0166B"/>
    <w:pPr>
      <w:spacing w:after="120"/>
      <w:ind w:left="360"/>
    </w:pPr>
  </w:style>
  <w:style w:type="paragraph" w:styleId="BodyTextFirstIndent2">
    <w:name w:val="Body Text First Indent 2"/>
    <w:basedOn w:val="BodyTextIndent"/>
    <w:rsid w:val="00C0166B"/>
    <w:pPr>
      <w:ind w:firstLine="210"/>
    </w:pPr>
  </w:style>
  <w:style w:type="paragraph" w:styleId="BodyTextIndent2">
    <w:name w:val="Body Text Indent 2"/>
    <w:basedOn w:val="Normal"/>
    <w:rsid w:val="00C0166B"/>
    <w:pPr>
      <w:spacing w:after="120" w:line="480" w:lineRule="auto"/>
      <w:ind w:left="360"/>
    </w:pPr>
  </w:style>
  <w:style w:type="paragraph" w:styleId="BodyTextIndent3">
    <w:name w:val="Body Text Indent 3"/>
    <w:basedOn w:val="Normal"/>
    <w:link w:val="BodyTextIndent3Char"/>
    <w:rsid w:val="00C0166B"/>
    <w:pPr>
      <w:spacing w:after="120"/>
      <w:ind w:left="360"/>
    </w:pPr>
    <w:rPr>
      <w:sz w:val="16"/>
      <w:szCs w:val="16"/>
    </w:rPr>
  </w:style>
  <w:style w:type="paragraph" w:styleId="Caption">
    <w:name w:val="caption"/>
    <w:basedOn w:val="Normal"/>
    <w:next w:val="Normal"/>
    <w:qFormat/>
    <w:rsid w:val="00C0166B"/>
    <w:rPr>
      <w:b/>
      <w:bCs/>
      <w:sz w:val="20"/>
      <w:szCs w:val="20"/>
    </w:rPr>
  </w:style>
  <w:style w:type="paragraph" w:styleId="Closing">
    <w:name w:val="Closing"/>
    <w:basedOn w:val="Normal"/>
    <w:rsid w:val="00C0166B"/>
    <w:pPr>
      <w:ind w:left="4320"/>
    </w:pPr>
  </w:style>
  <w:style w:type="paragraph" w:styleId="CommentText">
    <w:name w:val="annotation text"/>
    <w:basedOn w:val="Normal"/>
    <w:semiHidden/>
    <w:rsid w:val="00C0166B"/>
    <w:rPr>
      <w:sz w:val="20"/>
      <w:szCs w:val="20"/>
    </w:rPr>
  </w:style>
  <w:style w:type="paragraph" w:styleId="CommentSubject">
    <w:name w:val="annotation subject"/>
    <w:basedOn w:val="CommentText"/>
    <w:next w:val="CommentText"/>
    <w:semiHidden/>
    <w:rsid w:val="00C0166B"/>
    <w:rPr>
      <w:b/>
      <w:bCs/>
    </w:rPr>
  </w:style>
  <w:style w:type="paragraph" w:styleId="Date">
    <w:name w:val="Date"/>
    <w:basedOn w:val="Normal"/>
    <w:next w:val="Normal"/>
    <w:rsid w:val="00C0166B"/>
  </w:style>
  <w:style w:type="paragraph" w:styleId="DocumentMap">
    <w:name w:val="Document Map"/>
    <w:basedOn w:val="Normal"/>
    <w:semiHidden/>
    <w:rsid w:val="00C0166B"/>
    <w:pPr>
      <w:shd w:val="clear" w:color="auto" w:fill="000080"/>
    </w:pPr>
    <w:rPr>
      <w:rFonts w:ascii="Tahoma" w:hAnsi="Tahoma" w:cs="Tahoma"/>
      <w:sz w:val="20"/>
      <w:szCs w:val="20"/>
    </w:rPr>
  </w:style>
  <w:style w:type="paragraph" w:styleId="E-mailSignature">
    <w:name w:val="E-mail Signature"/>
    <w:basedOn w:val="Normal"/>
    <w:rsid w:val="00C0166B"/>
  </w:style>
  <w:style w:type="paragraph" w:styleId="EndnoteText">
    <w:name w:val="endnote text"/>
    <w:basedOn w:val="Normal"/>
    <w:semiHidden/>
    <w:rsid w:val="00C0166B"/>
    <w:rPr>
      <w:sz w:val="20"/>
      <w:szCs w:val="20"/>
    </w:rPr>
  </w:style>
  <w:style w:type="paragraph" w:styleId="EnvelopeAddress">
    <w:name w:val="envelope address"/>
    <w:basedOn w:val="Normal"/>
    <w:rsid w:val="00C0166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0166B"/>
    <w:rPr>
      <w:rFonts w:ascii="Arial" w:hAnsi="Arial" w:cs="Arial"/>
      <w:sz w:val="20"/>
      <w:szCs w:val="20"/>
    </w:rPr>
  </w:style>
  <w:style w:type="paragraph" w:styleId="Footer">
    <w:name w:val="footer"/>
    <w:basedOn w:val="Normal"/>
    <w:rsid w:val="00C0166B"/>
    <w:pPr>
      <w:tabs>
        <w:tab w:val="center" w:pos="4320"/>
        <w:tab w:val="right" w:pos="8640"/>
      </w:tabs>
    </w:pPr>
  </w:style>
  <w:style w:type="paragraph" w:styleId="FootnoteText">
    <w:name w:val="footnote text"/>
    <w:basedOn w:val="Normal"/>
    <w:semiHidden/>
    <w:rsid w:val="00C0166B"/>
    <w:rPr>
      <w:sz w:val="20"/>
      <w:szCs w:val="20"/>
    </w:rPr>
  </w:style>
  <w:style w:type="paragraph" w:styleId="Header">
    <w:name w:val="header"/>
    <w:basedOn w:val="Normal"/>
    <w:rsid w:val="00C0166B"/>
    <w:pPr>
      <w:tabs>
        <w:tab w:val="center" w:pos="4320"/>
        <w:tab w:val="right" w:pos="8640"/>
      </w:tabs>
    </w:pPr>
  </w:style>
  <w:style w:type="paragraph" w:styleId="HTMLAddress">
    <w:name w:val="HTML Address"/>
    <w:basedOn w:val="Normal"/>
    <w:rsid w:val="00C0166B"/>
    <w:rPr>
      <w:i/>
      <w:iCs/>
    </w:rPr>
  </w:style>
  <w:style w:type="paragraph" w:styleId="HTMLPreformatted">
    <w:name w:val="HTML Preformatted"/>
    <w:basedOn w:val="Normal"/>
    <w:rsid w:val="00C0166B"/>
    <w:rPr>
      <w:rFonts w:ascii="Courier New" w:hAnsi="Courier New" w:cs="Courier New"/>
      <w:sz w:val="20"/>
      <w:szCs w:val="20"/>
    </w:rPr>
  </w:style>
  <w:style w:type="paragraph" w:styleId="Index1">
    <w:name w:val="index 1"/>
    <w:basedOn w:val="Normal"/>
    <w:next w:val="Normal"/>
    <w:autoRedefine/>
    <w:semiHidden/>
    <w:rsid w:val="00C0166B"/>
    <w:pPr>
      <w:ind w:left="240" w:hanging="240"/>
    </w:pPr>
  </w:style>
  <w:style w:type="paragraph" w:styleId="Index2">
    <w:name w:val="index 2"/>
    <w:basedOn w:val="Normal"/>
    <w:next w:val="Normal"/>
    <w:autoRedefine/>
    <w:semiHidden/>
    <w:rsid w:val="00C0166B"/>
    <w:pPr>
      <w:ind w:left="480" w:hanging="240"/>
    </w:pPr>
  </w:style>
  <w:style w:type="paragraph" w:styleId="Index3">
    <w:name w:val="index 3"/>
    <w:basedOn w:val="Normal"/>
    <w:next w:val="Normal"/>
    <w:autoRedefine/>
    <w:semiHidden/>
    <w:rsid w:val="00C0166B"/>
    <w:pPr>
      <w:ind w:left="720" w:hanging="240"/>
    </w:pPr>
  </w:style>
  <w:style w:type="paragraph" w:styleId="Index4">
    <w:name w:val="index 4"/>
    <w:basedOn w:val="Normal"/>
    <w:next w:val="Normal"/>
    <w:autoRedefine/>
    <w:semiHidden/>
    <w:rsid w:val="00C0166B"/>
    <w:pPr>
      <w:ind w:left="960" w:hanging="240"/>
    </w:pPr>
  </w:style>
  <w:style w:type="paragraph" w:styleId="Index5">
    <w:name w:val="index 5"/>
    <w:basedOn w:val="Normal"/>
    <w:next w:val="Normal"/>
    <w:autoRedefine/>
    <w:semiHidden/>
    <w:rsid w:val="00C0166B"/>
    <w:pPr>
      <w:ind w:left="1200" w:hanging="240"/>
    </w:pPr>
  </w:style>
  <w:style w:type="paragraph" w:styleId="Index6">
    <w:name w:val="index 6"/>
    <w:basedOn w:val="Normal"/>
    <w:next w:val="Normal"/>
    <w:autoRedefine/>
    <w:semiHidden/>
    <w:rsid w:val="00C0166B"/>
    <w:pPr>
      <w:ind w:left="1440" w:hanging="240"/>
    </w:pPr>
  </w:style>
  <w:style w:type="paragraph" w:styleId="Index7">
    <w:name w:val="index 7"/>
    <w:basedOn w:val="Normal"/>
    <w:next w:val="Normal"/>
    <w:autoRedefine/>
    <w:semiHidden/>
    <w:rsid w:val="00C0166B"/>
    <w:pPr>
      <w:ind w:left="1680" w:hanging="240"/>
    </w:pPr>
  </w:style>
  <w:style w:type="paragraph" w:styleId="Index8">
    <w:name w:val="index 8"/>
    <w:basedOn w:val="Normal"/>
    <w:next w:val="Normal"/>
    <w:autoRedefine/>
    <w:semiHidden/>
    <w:rsid w:val="00C0166B"/>
    <w:pPr>
      <w:ind w:left="1920" w:hanging="240"/>
    </w:pPr>
  </w:style>
  <w:style w:type="paragraph" w:styleId="Index9">
    <w:name w:val="index 9"/>
    <w:basedOn w:val="Normal"/>
    <w:next w:val="Normal"/>
    <w:autoRedefine/>
    <w:semiHidden/>
    <w:rsid w:val="00C0166B"/>
    <w:pPr>
      <w:ind w:left="2160" w:hanging="240"/>
    </w:pPr>
  </w:style>
  <w:style w:type="paragraph" w:styleId="IndexHeading">
    <w:name w:val="index heading"/>
    <w:basedOn w:val="Normal"/>
    <w:next w:val="Index1"/>
    <w:semiHidden/>
    <w:rsid w:val="00C0166B"/>
    <w:rPr>
      <w:rFonts w:ascii="Arial" w:hAnsi="Arial" w:cs="Arial"/>
      <w:b/>
      <w:bCs/>
    </w:rPr>
  </w:style>
  <w:style w:type="paragraph" w:styleId="List">
    <w:name w:val="List"/>
    <w:basedOn w:val="Normal"/>
    <w:rsid w:val="00C0166B"/>
    <w:pPr>
      <w:ind w:left="360" w:hanging="360"/>
    </w:pPr>
  </w:style>
  <w:style w:type="paragraph" w:styleId="List2">
    <w:name w:val="List 2"/>
    <w:basedOn w:val="Normal"/>
    <w:rsid w:val="00C0166B"/>
    <w:pPr>
      <w:ind w:left="720" w:hanging="360"/>
    </w:pPr>
  </w:style>
  <w:style w:type="paragraph" w:styleId="List3">
    <w:name w:val="List 3"/>
    <w:basedOn w:val="Normal"/>
    <w:rsid w:val="00C0166B"/>
    <w:pPr>
      <w:ind w:left="1080" w:hanging="360"/>
    </w:pPr>
  </w:style>
  <w:style w:type="paragraph" w:styleId="List4">
    <w:name w:val="List 4"/>
    <w:basedOn w:val="Normal"/>
    <w:rsid w:val="00C0166B"/>
    <w:pPr>
      <w:ind w:left="1440" w:hanging="360"/>
    </w:pPr>
  </w:style>
  <w:style w:type="paragraph" w:styleId="List5">
    <w:name w:val="List 5"/>
    <w:basedOn w:val="Normal"/>
    <w:rsid w:val="00C0166B"/>
    <w:pPr>
      <w:ind w:left="1800" w:hanging="360"/>
    </w:pPr>
  </w:style>
  <w:style w:type="paragraph" w:styleId="ListBullet">
    <w:name w:val="List Bullet"/>
    <w:basedOn w:val="Normal"/>
    <w:rsid w:val="00C0166B"/>
    <w:pPr>
      <w:numPr>
        <w:numId w:val="3"/>
      </w:numPr>
    </w:pPr>
  </w:style>
  <w:style w:type="paragraph" w:styleId="ListBullet2">
    <w:name w:val="List Bullet 2"/>
    <w:basedOn w:val="Normal"/>
    <w:rsid w:val="00C0166B"/>
    <w:pPr>
      <w:numPr>
        <w:numId w:val="4"/>
      </w:numPr>
    </w:pPr>
  </w:style>
  <w:style w:type="paragraph" w:styleId="ListBullet3">
    <w:name w:val="List Bullet 3"/>
    <w:basedOn w:val="Normal"/>
    <w:rsid w:val="00C0166B"/>
    <w:pPr>
      <w:numPr>
        <w:numId w:val="5"/>
      </w:numPr>
    </w:pPr>
  </w:style>
  <w:style w:type="paragraph" w:styleId="ListBullet4">
    <w:name w:val="List Bullet 4"/>
    <w:basedOn w:val="Normal"/>
    <w:rsid w:val="00C0166B"/>
    <w:pPr>
      <w:numPr>
        <w:numId w:val="6"/>
      </w:numPr>
    </w:pPr>
  </w:style>
  <w:style w:type="paragraph" w:styleId="ListBullet5">
    <w:name w:val="List Bullet 5"/>
    <w:basedOn w:val="Normal"/>
    <w:rsid w:val="00C0166B"/>
    <w:pPr>
      <w:numPr>
        <w:numId w:val="7"/>
      </w:numPr>
    </w:pPr>
  </w:style>
  <w:style w:type="paragraph" w:styleId="ListContinue">
    <w:name w:val="List Continue"/>
    <w:basedOn w:val="Normal"/>
    <w:rsid w:val="00C0166B"/>
    <w:pPr>
      <w:spacing w:after="120"/>
      <w:ind w:left="360"/>
    </w:pPr>
  </w:style>
  <w:style w:type="paragraph" w:styleId="ListContinue2">
    <w:name w:val="List Continue 2"/>
    <w:basedOn w:val="Normal"/>
    <w:rsid w:val="00C0166B"/>
    <w:pPr>
      <w:spacing w:after="120"/>
      <w:ind w:left="720"/>
    </w:pPr>
  </w:style>
  <w:style w:type="paragraph" w:styleId="ListContinue3">
    <w:name w:val="List Continue 3"/>
    <w:basedOn w:val="Normal"/>
    <w:rsid w:val="00C0166B"/>
    <w:pPr>
      <w:spacing w:after="120"/>
      <w:ind w:left="1080"/>
    </w:pPr>
  </w:style>
  <w:style w:type="paragraph" w:styleId="ListContinue4">
    <w:name w:val="List Continue 4"/>
    <w:basedOn w:val="Normal"/>
    <w:rsid w:val="00C0166B"/>
    <w:pPr>
      <w:spacing w:after="120"/>
      <w:ind w:left="1440"/>
    </w:pPr>
  </w:style>
  <w:style w:type="paragraph" w:styleId="ListContinue5">
    <w:name w:val="List Continue 5"/>
    <w:basedOn w:val="Normal"/>
    <w:rsid w:val="00C0166B"/>
    <w:pPr>
      <w:spacing w:after="120"/>
      <w:ind w:left="1800"/>
    </w:pPr>
  </w:style>
  <w:style w:type="paragraph" w:styleId="ListNumber">
    <w:name w:val="List Number"/>
    <w:basedOn w:val="Normal"/>
    <w:rsid w:val="00C0166B"/>
    <w:pPr>
      <w:numPr>
        <w:numId w:val="8"/>
      </w:numPr>
    </w:pPr>
  </w:style>
  <w:style w:type="paragraph" w:styleId="ListNumber2">
    <w:name w:val="List Number 2"/>
    <w:basedOn w:val="Normal"/>
    <w:rsid w:val="00C0166B"/>
    <w:pPr>
      <w:numPr>
        <w:numId w:val="9"/>
      </w:numPr>
    </w:pPr>
  </w:style>
  <w:style w:type="paragraph" w:styleId="ListNumber3">
    <w:name w:val="List Number 3"/>
    <w:basedOn w:val="Normal"/>
    <w:rsid w:val="00C0166B"/>
    <w:pPr>
      <w:numPr>
        <w:numId w:val="10"/>
      </w:numPr>
    </w:pPr>
  </w:style>
  <w:style w:type="paragraph" w:styleId="ListNumber4">
    <w:name w:val="List Number 4"/>
    <w:basedOn w:val="Normal"/>
    <w:rsid w:val="00C0166B"/>
    <w:pPr>
      <w:numPr>
        <w:numId w:val="11"/>
      </w:numPr>
    </w:pPr>
  </w:style>
  <w:style w:type="paragraph" w:styleId="ListNumber5">
    <w:name w:val="List Number 5"/>
    <w:basedOn w:val="Normal"/>
    <w:rsid w:val="00C0166B"/>
    <w:pPr>
      <w:numPr>
        <w:numId w:val="12"/>
      </w:numPr>
    </w:pPr>
  </w:style>
  <w:style w:type="paragraph" w:styleId="MacroText">
    <w:name w:val="macro"/>
    <w:semiHidden/>
    <w:rsid w:val="00C0166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val="en-US"/>
    </w:rPr>
  </w:style>
  <w:style w:type="paragraph" w:styleId="MessageHeader">
    <w:name w:val="Message Header"/>
    <w:basedOn w:val="Normal"/>
    <w:rsid w:val="00C0166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C0166B"/>
    <w:pPr>
      <w:ind w:left="720"/>
    </w:pPr>
  </w:style>
  <w:style w:type="paragraph" w:styleId="NoteHeading">
    <w:name w:val="Note Heading"/>
    <w:basedOn w:val="Normal"/>
    <w:next w:val="Normal"/>
    <w:rsid w:val="00C0166B"/>
  </w:style>
  <w:style w:type="paragraph" w:styleId="PlainText">
    <w:name w:val="Plain Text"/>
    <w:basedOn w:val="Normal"/>
    <w:rsid w:val="00C0166B"/>
    <w:rPr>
      <w:rFonts w:ascii="Courier New" w:hAnsi="Courier New" w:cs="Courier New"/>
      <w:sz w:val="20"/>
      <w:szCs w:val="20"/>
    </w:rPr>
  </w:style>
  <w:style w:type="paragraph" w:styleId="Salutation">
    <w:name w:val="Salutation"/>
    <w:basedOn w:val="Normal"/>
    <w:next w:val="Normal"/>
    <w:rsid w:val="00C0166B"/>
  </w:style>
  <w:style w:type="paragraph" w:styleId="Signature">
    <w:name w:val="Signature"/>
    <w:basedOn w:val="Normal"/>
    <w:rsid w:val="00C0166B"/>
    <w:pPr>
      <w:ind w:left="4320"/>
    </w:pPr>
  </w:style>
  <w:style w:type="paragraph" w:styleId="Subtitle">
    <w:name w:val="Subtitle"/>
    <w:basedOn w:val="Normal"/>
    <w:qFormat/>
    <w:rsid w:val="00C0166B"/>
    <w:pPr>
      <w:spacing w:after="60"/>
      <w:jc w:val="center"/>
      <w:outlineLvl w:val="1"/>
    </w:pPr>
    <w:rPr>
      <w:rFonts w:ascii="Arial" w:hAnsi="Arial" w:cs="Arial"/>
    </w:rPr>
  </w:style>
  <w:style w:type="paragraph" w:styleId="TableofAuthorities">
    <w:name w:val="table of authorities"/>
    <w:basedOn w:val="Normal"/>
    <w:next w:val="Normal"/>
    <w:semiHidden/>
    <w:rsid w:val="00C0166B"/>
    <w:pPr>
      <w:ind w:left="240" w:hanging="240"/>
    </w:pPr>
  </w:style>
  <w:style w:type="paragraph" w:styleId="TableofFigures">
    <w:name w:val="table of figures"/>
    <w:basedOn w:val="Normal"/>
    <w:next w:val="Normal"/>
    <w:semiHidden/>
    <w:rsid w:val="00C0166B"/>
  </w:style>
  <w:style w:type="paragraph" w:styleId="Title">
    <w:name w:val="Title"/>
    <w:basedOn w:val="Normal"/>
    <w:qFormat/>
    <w:rsid w:val="00C0166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0166B"/>
    <w:pPr>
      <w:spacing w:before="120"/>
    </w:pPr>
    <w:rPr>
      <w:rFonts w:ascii="Arial" w:hAnsi="Arial" w:cs="Arial"/>
      <w:b/>
      <w:bCs/>
    </w:rPr>
  </w:style>
  <w:style w:type="paragraph" w:styleId="TOC1">
    <w:name w:val="toc 1"/>
    <w:basedOn w:val="Normal"/>
    <w:next w:val="Normal"/>
    <w:autoRedefine/>
    <w:semiHidden/>
    <w:rsid w:val="00C0166B"/>
  </w:style>
  <w:style w:type="paragraph" w:styleId="TOC2">
    <w:name w:val="toc 2"/>
    <w:basedOn w:val="Normal"/>
    <w:next w:val="Normal"/>
    <w:autoRedefine/>
    <w:semiHidden/>
    <w:rsid w:val="00C0166B"/>
    <w:pPr>
      <w:ind w:left="240"/>
    </w:pPr>
  </w:style>
  <w:style w:type="paragraph" w:styleId="TOC3">
    <w:name w:val="toc 3"/>
    <w:basedOn w:val="Normal"/>
    <w:next w:val="Normal"/>
    <w:autoRedefine/>
    <w:semiHidden/>
    <w:rsid w:val="00C0166B"/>
    <w:pPr>
      <w:ind w:left="480"/>
    </w:pPr>
  </w:style>
  <w:style w:type="paragraph" w:styleId="TOC4">
    <w:name w:val="toc 4"/>
    <w:basedOn w:val="Normal"/>
    <w:next w:val="Normal"/>
    <w:autoRedefine/>
    <w:semiHidden/>
    <w:rsid w:val="00C0166B"/>
    <w:pPr>
      <w:ind w:left="720"/>
    </w:pPr>
  </w:style>
  <w:style w:type="paragraph" w:styleId="TOC5">
    <w:name w:val="toc 5"/>
    <w:basedOn w:val="Normal"/>
    <w:next w:val="Normal"/>
    <w:autoRedefine/>
    <w:semiHidden/>
    <w:rsid w:val="00C0166B"/>
    <w:pPr>
      <w:ind w:left="960"/>
    </w:pPr>
  </w:style>
  <w:style w:type="paragraph" w:styleId="TOC6">
    <w:name w:val="toc 6"/>
    <w:basedOn w:val="Normal"/>
    <w:next w:val="Normal"/>
    <w:autoRedefine/>
    <w:semiHidden/>
    <w:rsid w:val="00C0166B"/>
    <w:pPr>
      <w:ind w:left="1200"/>
    </w:pPr>
  </w:style>
  <w:style w:type="paragraph" w:styleId="TOC7">
    <w:name w:val="toc 7"/>
    <w:basedOn w:val="Normal"/>
    <w:next w:val="Normal"/>
    <w:autoRedefine/>
    <w:semiHidden/>
    <w:rsid w:val="00C0166B"/>
    <w:pPr>
      <w:ind w:left="1440"/>
    </w:pPr>
  </w:style>
  <w:style w:type="paragraph" w:styleId="TOC8">
    <w:name w:val="toc 8"/>
    <w:basedOn w:val="Normal"/>
    <w:next w:val="Normal"/>
    <w:autoRedefine/>
    <w:semiHidden/>
    <w:rsid w:val="00C0166B"/>
    <w:pPr>
      <w:ind w:left="1680"/>
    </w:pPr>
  </w:style>
  <w:style w:type="paragraph" w:styleId="TOC9">
    <w:name w:val="toc 9"/>
    <w:basedOn w:val="Normal"/>
    <w:next w:val="Normal"/>
    <w:autoRedefine/>
    <w:semiHidden/>
    <w:rsid w:val="00C0166B"/>
    <w:pPr>
      <w:ind w:left="1920"/>
    </w:pPr>
  </w:style>
  <w:style w:type="character" w:customStyle="1" w:styleId="Heading3Char">
    <w:name w:val="Heading 3 Char"/>
    <w:link w:val="Heading3"/>
    <w:rsid w:val="00C0166B"/>
    <w:rPr>
      <w:rFonts w:ascii="Arial" w:hAnsi="Arial" w:cs="Arial"/>
      <w:b/>
      <w:bCs/>
      <w:color w:val="000000"/>
      <w:sz w:val="26"/>
      <w:szCs w:val="26"/>
      <w:lang w:val="en-US" w:eastAsia="en-US" w:bidi="ar-SA"/>
    </w:rPr>
  </w:style>
  <w:style w:type="character" w:customStyle="1" w:styleId="BodyTextIndent3Char">
    <w:name w:val="Body Text Indent 3 Char"/>
    <w:link w:val="BodyTextIndent3"/>
    <w:rsid w:val="004E10DE"/>
    <w:rPr>
      <w:color w:val="000000"/>
      <w:sz w:val="16"/>
      <w:szCs w:val="16"/>
      <w:lang w:val="en-US" w:eastAsia="en-US" w:bidi="ar-SA"/>
    </w:rPr>
  </w:style>
  <w:style w:type="character" w:customStyle="1" w:styleId="CharChar1">
    <w:name w:val="Char Char1"/>
    <w:rsid w:val="001F4740"/>
    <w:rPr>
      <w:rFonts w:ascii="Arial" w:hAnsi="Arial" w:cs="Arial"/>
      <w:b/>
      <w:bCs/>
      <w:color w:val="000000"/>
      <w:sz w:val="26"/>
      <w:szCs w:val="26"/>
      <w:lang w:val="en-US" w:eastAsia="en-US" w:bidi="ar-SA"/>
    </w:rPr>
  </w:style>
  <w:style w:type="character" w:customStyle="1" w:styleId="titles-title">
    <w:name w:val="titles-title"/>
    <w:basedOn w:val="DefaultParagraphFont"/>
    <w:rsid w:val="001F4740"/>
  </w:style>
  <w:style w:type="character" w:customStyle="1" w:styleId="bibrecord-highlight">
    <w:name w:val="bibrecord-highlight"/>
    <w:basedOn w:val="DefaultParagraphFont"/>
    <w:rsid w:val="001F4740"/>
  </w:style>
  <w:style w:type="character" w:customStyle="1" w:styleId="titles-source">
    <w:name w:val="titles-source"/>
    <w:basedOn w:val="DefaultParagraphFont"/>
    <w:rsid w:val="001F4740"/>
  </w:style>
  <w:style w:type="table" w:styleId="TableGrid">
    <w:name w:val="Table Grid"/>
    <w:basedOn w:val="TableNormal"/>
    <w:rsid w:val="00765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CB676B"/>
    <w:rPr>
      <w:rFonts w:ascii="Arial" w:hAnsi="Arial" w:cs="Arial"/>
      <w:b/>
      <w:bCs/>
      <w:iCs/>
      <w:color w:val="000000"/>
      <w:sz w:val="26"/>
      <w:szCs w:val="28"/>
      <w:lang w:val="en-US" w:eastAsia="en-US" w:bidi="ar-SA"/>
    </w:rPr>
  </w:style>
  <w:style w:type="character" w:customStyle="1" w:styleId="ti">
    <w:name w:val="ti"/>
    <w:basedOn w:val="DefaultParagraphFont"/>
    <w:rsid w:val="004167FE"/>
  </w:style>
  <w:style w:type="paragraph" w:customStyle="1" w:styleId="ListParagraph1">
    <w:name w:val="List Paragraph1"/>
    <w:basedOn w:val="Normal"/>
    <w:uiPriority w:val="34"/>
    <w:qFormat/>
    <w:rsid w:val="00A41ACA"/>
    <w:pPr>
      <w:ind w:left="708"/>
    </w:pPr>
  </w:style>
  <w:style w:type="character" w:customStyle="1" w:styleId="apple-converted-space">
    <w:name w:val="apple-converted-space"/>
    <w:rsid w:val="00C55838"/>
  </w:style>
  <w:style w:type="character" w:customStyle="1" w:styleId="Heading1Char">
    <w:name w:val="Heading 1 Char"/>
    <w:link w:val="Heading1"/>
    <w:rsid w:val="00D95D64"/>
    <w:rPr>
      <w:rFonts w:ascii="Arial" w:hAnsi="Arial"/>
      <w:b/>
      <w:bCs/>
      <w:color w:val="000000"/>
      <w:kern w:val="36"/>
      <w:sz w:val="26"/>
      <w:szCs w:val="18"/>
      <w:lang w:val="en-US"/>
    </w:rPr>
  </w:style>
  <w:style w:type="character" w:customStyle="1" w:styleId="cit">
    <w:name w:val="cit"/>
    <w:basedOn w:val="DefaultParagraphFont"/>
    <w:rsid w:val="00F724AE"/>
  </w:style>
  <w:style w:type="character" w:customStyle="1" w:styleId="doi">
    <w:name w:val="doi"/>
    <w:basedOn w:val="DefaultParagraphFont"/>
    <w:rsid w:val="00F724AE"/>
  </w:style>
  <w:style w:type="character" w:customStyle="1" w:styleId="fm-citation-ids-label">
    <w:name w:val="fm-citation-ids-label"/>
    <w:basedOn w:val="DefaultParagraphFont"/>
    <w:rsid w:val="00F724AE"/>
  </w:style>
  <w:style w:type="paragraph" w:styleId="ListParagraph">
    <w:name w:val="List Paragraph"/>
    <w:basedOn w:val="Normal"/>
    <w:uiPriority w:val="34"/>
    <w:qFormat/>
    <w:rsid w:val="00F724AE"/>
    <w:pPr>
      <w:ind w:left="720"/>
      <w:contextualSpacing/>
    </w:pPr>
  </w:style>
  <w:style w:type="character" w:styleId="CommentReference">
    <w:name w:val="annotation reference"/>
    <w:basedOn w:val="DefaultParagraphFont"/>
    <w:rsid w:val="00BC78C7"/>
    <w:rPr>
      <w:sz w:val="18"/>
      <w:szCs w:val="18"/>
    </w:rPr>
  </w:style>
  <w:style w:type="character" w:customStyle="1" w:styleId="highlight">
    <w:name w:val="highlight"/>
    <w:rsid w:val="000318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lang w:val="en-US"/>
    </w:rPr>
  </w:style>
  <w:style w:type="paragraph" w:styleId="Heading1">
    <w:name w:val="heading 1"/>
    <w:basedOn w:val="Normal"/>
    <w:link w:val="Heading1Char"/>
    <w:qFormat/>
    <w:rsid w:val="00412616"/>
    <w:pPr>
      <w:spacing w:before="100" w:beforeAutospacing="1" w:after="100" w:afterAutospacing="1"/>
      <w:outlineLvl w:val="0"/>
    </w:pPr>
    <w:rPr>
      <w:rFonts w:ascii="Arial" w:hAnsi="Arial"/>
      <w:b/>
      <w:bCs/>
      <w:kern w:val="36"/>
      <w:sz w:val="26"/>
      <w:szCs w:val="18"/>
    </w:rPr>
  </w:style>
  <w:style w:type="paragraph" w:styleId="Heading2">
    <w:name w:val="heading 2"/>
    <w:basedOn w:val="Normal"/>
    <w:next w:val="Normal"/>
    <w:link w:val="Heading2Char"/>
    <w:qFormat/>
    <w:rsid w:val="00412616"/>
    <w:pPr>
      <w:keepNext/>
      <w:spacing w:before="240" w:after="60"/>
      <w:outlineLvl w:val="1"/>
    </w:pPr>
    <w:rPr>
      <w:rFonts w:ascii="Arial" w:hAnsi="Arial" w:cs="Arial"/>
      <w:b/>
      <w:bCs/>
      <w:iCs/>
      <w:sz w:val="26"/>
      <w:szCs w:val="28"/>
    </w:rPr>
  </w:style>
  <w:style w:type="paragraph" w:styleId="Heading3">
    <w:name w:val="heading 3"/>
    <w:basedOn w:val="Normal"/>
    <w:next w:val="Normal"/>
    <w:link w:val="Heading3Char"/>
    <w:qFormat/>
    <w:rsid w:val="00C0166B"/>
    <w:pPr>
      <w:keepNext/>
      <w:spacing w:before="240" w:after="60"/>
      <w:outlineLvl w:val="2"/>
    </w:pPr>
    <w:rPr>
      <w:rFonts w:ascii="Arial" w:hAnsi="Arial" w:cs="Arial"/>
      <w:b/>
      <w:bCs/>
      <w:sz w:val="26"/>
      <w:szCs w:val="26"/>
    </w:rPr>
  </w:style>
  <w:style w:type="paragraph" w:styleId="Heading4">
    <w:name w:val="heading 4"/>
    <w:basedOn w:val="Normal"/>
    <w:next w:val="Normal"/>
    <w:qFormat/>
    <w:rsid w:val="00C0166B"/>
    <w:pPr>
      <w:keepNext/>
      <w:spacing w:before="240" w:after="60"/>
      <w:outlineLvl w:val="3"/>
    </w:pPr>
    <w:rPr>
      <w:b/>
      <w:bCs/>
      <w:sz w:val="28"/>
      <w:szCs w:val="28"/>
    </w:rPr>
  </w:style>
  <w:style w:type="paragraph" w:styleId="Heading5">
    <w:name w:val="heading 5"/>
    <w:basedOn w:val="Normal"/>
    <w:next w:val="Normal"/>
    <w:qFormat/>
    <w:rsid w:val="00C0166B"/>
    <w:pPr>
      <w:spacing w:before="240" w:after="60"/>
      <w:outlineLvl w:val="4"/>
    </w:pPr>
    <w:rPr>
      <w:b/>
      <w:bCs/>
      <w:i/>
      <w:iCs/>
      <w:sz w:val="26"/>
      <w:szCs w:val="26"/>
    </w:rPr>
  </w:style>
  <w:style w:type="paragraph" w:styleId="Heading6">
    <w:name w:val="heading 6"/>
    <w:basedOn w:val="Normal"/>
    <w:next w:val="Normal"/>
    <w:qFormat/>
    <w:rsid w:val="00C0166B"/>
    <w:pPr>
      <w:spacing w:before="240" w:after="60"/>
      <w:outlineLvl w:val="5"/>
    </w:pPr>
    <w:rPr>
      <w:b/>
      <w:bCs/>
      <w:sz w:val="22"/>
      <w:szCs w:val="22"/>
    </w:rPr>
  </w:style>
  <w:style w:type="paragraph" w:styleId="Heading7">
    <w:name w:val="heading 7"/>
    <w:basedOn w:val="Normal"/>
    <w:next w:val="Normal"/>
    <w:qFormat/>
    <w:rsid w:val="00C0166B"/>
    <w:pPr>
      <w:spacing w:before="240" w:after="60"/>
      <w:outlineLvl w:val="6"/>
    </w:pPr>
  </w:style>
  <w:style w:type="paragraph" w:styleId="Heading8">
    <w:name w:val="heading 8"/>
    <w:basedOn w:val="Normal"/>
    <w:next w:val="Normal"/>
    <w:qFormat/>
    <w:rsid w:val="0016751E"/>
    <w:pPr>
      <w:spacing w:before="240" w:after="60"/>
      <w:outlineLvl w:val="7"/>
    </w:pPr>
    <w:rPr>
      <w:i/>
      <w:iCs/>
    </w:rPr>
  </w:style>
  <w:style w:type="paragraph" w:styleId="Heading9">
    <w:name w:val="heading 9"/>
    <w:basedOn w:val="Normal"/>
    <w:next w:val="Normal"/>
    <w:qFormat/>
    <w:rsid w:val="00C0166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strike w:val="0"/>
      <w:dstrike w:val="0"/>
      <w:color w:val="000066"/>
      <w:u w:val="none"/>
      <w:effect w:val="none"/>
    </w:rPr>
  </w:style>
  <w:style w:type="character" w:styleId="FollowedHyperlink">
    <w:name w:val="FollowedHyperlink"/>
    <w:rPr>
      <w:strike w:val="0"/>
      <w:dstrike w:val="0"/>
      <w:color w:val="000066"/>
      <w:u w:val="none"/>
      <w:effect w:val="none"/>
    </w:rPr>
  </w:style>
  <w:style w:type="character" w:styleId="Strong">
    <w:name w:val="Strong"/>
    <w:qFormat/>
    <w:rPr>
      <w:rFonts w:ascii="Verdana" w:hAnsi="Verdana" w:hint="default"/>
      <w:b/>
      <w:bCs/>
      <w:color w:val="FF0000"/>
      <w:sz w:val="30"/>
      <w:szCs w:val="30"/>
    </w:rPr>
  </w:style>
  <w:style w:type="paragraph" w:styleId="NormalWeb">
    <w:name w:val="Normal (Web)"/>
    <w:basedOn w:val="Normal"/>
    <w:pPr>
      <w:spacing w:before="100" w:beforeAutospacing="1" w:after="100" w:afterAutospacing="1"/>
    </w:pPr>
  </w:style>
  <w:style w:type="character" w:customStyle="1" w:styleId="yshortcuts">
    <w:name w:val="yshortcuts"/>
    <w:basedOn w:val="DefaultParagraphFont"/>
    <w:rsid w:val="0016751E"/>
  </w:style>
  <w:style w:type="character" w:customStyle="1" w:styleId="bibrecord-highlight1">
    <w:name w:val="bibrecord-highlight1"/>
    <w:rsid w:val="000C3F3E"/>
    <w:rPr>
      <w:b/>
      <w:bCs/>
      <w:color w:val="CC0000"/>
    </w:rPr>
  </w:style>
  <w:style w:type="character" w:customStyle="1" w:styleId="titles-title1">
    <w:name w:val="titles-title1"/>
    <w:rsid w:val="000C3F3E"/>
    <w:rPr>
      <w:b/>
      <w:bCs/>
    </w:rPr>
  </w:style>
  <w:style w:type="character" w:customStyle="1" w:styleId="titles-source1">
    <w:name w:val="titles-source1"/>
    <w:rsid w:val="000C3F3E"/>
    <w:rPr>
      <w:i/>
      <w:iCs/>
    </w:rPr>
  </w:style>
  <w:style w:type="paragraph" w:styleId="BalloonText">
    <w:name w:val="Balloon Text"/>
    <w:basedOn w:val="Normal"/>
    <w:semiHidden/>
    <w:rsid w:val="00C0166B"/>
    <w:rPr>
      <w:rFonts w:ascii="Tahoma" w:hAnsi="Tahoma" w:cs="Tahoma"/>
      <w:sz w:val="16"/>
      <w:szCs w:val="16"/>
    </w:rPr>
  </w:style>
  <w:style w:type="paragraph" w:styleId="BlockText">
    <w:name w:val="Block Text"/>
    <w:basedOn w:val="Normal"/>
    <w:rsid w:val="00C0166B"/>
    <w:pPr>
      <w:spacing w:after="120"/>
      <w:ind w:left="1440" w:right="1440"/>
    </w:pPr>
  </w:style>
  <w:style w:type="paragraph" w:styleId="BodyText">
    <w:name w:val="Body Text"/>
    <w:basedOn w:val="Normal"/>
    <w:rsid w:val="00C0166B"/>
    <w:pPr>
      <w:spacing w:after="120"/>
    </w:pPr>
  </w:style>
  <w:style w:type="paragraph" w:styleId="BodyText2">
    <w:name w:val="Body Text 2"/>
    <w:basedOn w:val="Normal"/>
    <w:rsid w:val="00C0166B"/>
    <w:pPr>
      <w:spacing w:after="120" w:line="480" w:lineRule="auto"/>
    </w:pPr>
  </w:style>
  <w:style w:type="paragraph" w:styleId="BodyText3">
    <w:name w:val="Body Text 3"/>
    <w:basedOn w:val="Normal"/>
    <w:rsid w:val="00C0166B"/>
    <w:pPr>
      <w:spacing w:after="120"/>
    </w:pPr>
    <w:rPr>
      <w:sz w:val="16"/>
      <w:szCs w:val="16"/>
    </w:rPr>
  </w:style>
  <w:style w:type="paragraph" w:styleId="BodyTextFirstIndent">
    <w:name w:val="Body Text First Indent"/>
    <w:basedOn w:val="BodyText"/>
    <w:rsid w:val="00C0166B"/>
    <w:pPr>
      <w:ind w:firstLine="210"/>
    </w:pPr>
  </w:style>
  <w:style w:type="paragraph" w:styleId="BodyTextIndent">
    <w:name w:val="Body Text Indent"/>
    <w:basedOn w:val="Normal"/>
    <w:rsid w:val="00C0166B"/>
    <w:pPr>
      <w:spacing w:after="120"/>
      <w:ind w:left="360"/>
    </w:pPr>
  </w:style>
  <w:style w:type="paragraph" w:styleId="BodyTextFirstIndent2">
    <w:name w:val="Body Text First Indent 2"/>
    <w:basedOn w:val="BodyTextIndent"/>
    <w:rsid w:val="00C0166B"/>
    <w:pPr>
      <w:ind w:firstLine="210"/>
    </w:pPr>
  </w:style>
  <w:style w:type="paragraph" w:styleId="BodyTextIndent2">
    <w:name w:val="Body Text Indent 2"/>
    <w:basedOn w:val="Normal"/>
    <w:rsid w:val="00C0166B"/>
    <w:pPr>
      <w:spacing w:after="120" w:line="480" w:lineRule="auto"/>
      <w:ind w:left="360"/>
    </w:pPr>
  </w:style>
  <w:style w:type="paragraph" w:styleId="BodyTextIndent3">
    <w:name w:val="Body Text Indent 3"/>
    <w:basedOn w:val="Normal"/>
    <w:link w:val="BodyTextIndent3Char"/>
    <w:rsid w:val="00C0166B"/>
    <w:pPr>
      <w:spacing w:after="120"/>
      <w:ind w:left="360"/>
    </w:pPr>
    <w:rPr>
      <w:sz w:val="16"/>
      <w:szCs w:val="16"/>
    </w:rPr>
  </w:style>
  <w:style w:type="paragraph" w:styleId="Caption">
    <w:name w:val="caption"/>
    <w:basedOn w:val="Normal"/>
    <w:next w:val="Normal"/>
    <w:qFormat/>
    <w:rsid w:val="00C0166B"/>
    <w:rPr>
      <w:b/>
      <w:bCs/>
      <w:sz w:val="20"/>
      <w:szCs w:val="20"/>
    </w:rPr>
  </w:style>
  <w:style w:type="paragraph" w:styleId="Closing">
    <w:name w:val="Closing"/>
    <w:basedOn w:val="Normal"/>
    <w:rsid w:val="00C0166B"/>
    <w:pPr>
      <w:ind w:left="4320"/>
    </w:pPr>
  </w:style>
  <w:style w:type="paragraph" w:styleId="CommentText">
    <w:name w:val="annotation text"/>
    <w:basedOn w:val="Normal"/>
    <w:semiHidden/>
    <w:rsid w:val="00C0166B"/>
    <w:rPr>
      <w:sz w:val="20"/>
      <w:szCs w:val="20"/>
    </w:rPr>
  </w:style>
  <w:style w:type="paragraph" w:styleId="CommentSubject">
    <w:name w:val="annotation subject"/>
    <w:basedOn w:val="CommentText"/>
    <w:next w:val="CommentText"/>
    <w:semiHidden/>
    <w:rsid w:val="00C0166B"/>
    <w:rPr>
      <w:b/>
      <w:bCs/>
    </w:rPr>
  </w:style>
  <w:style w:type="paragraph" w:styleId="Date">
    <w:name w:val="Date"/>
    <w:basedOn w:val="Normal"/>
    <w:next w:val="Normal"/>
    <w:rsid w:val="00C0166B"/>
  </w:style>
  <w:style w:type="paragraph" w:styleId="DocumentMap">
    <w:name w:val="Document Map"/>
    <w:basedOn w:val="Normal"/>
    <w:semiHidden/>
    <w:rsid w:val="00C0166B"/>
    <w:pPr>
      <w:shd w:val="clear" w:color="auto" w:fill="000080"/>
    </w:pPr>
    <w:rPr>
      <w:rFonts w:ascii="Tahoma" w:hAnsi="Tahoma" w:cs="Tahoma"/>
      <w:sz w:val="20"/>
      <w:szCs w:val="20"/>
    </w:rPr>
  </w:style>
  <w:style w:type="paragraph" w:styleId="E-mailSignature">
    <w:name w:val="E-mail Signature"/>
    <w:basedOn w:val="Normal"/>
    <w:rsid w:val="00C0166B"/>
  </w:style>
  <w:style w:type="paragraph" w:styleId="EndnoteText">
    <w:name w:val="endnote text"/>
    <w:basedOn w:val="Normal"/>
    <w:semiHidden/>
    <w:rsid w:val="00C0166B"/>
    <w:rPr>
      <w:sz w:val="20"/>
      <w:szCs w:val="20"/>
    </w:rPr>
  </w:style>
  <w:style w:type="paragraph" w:styleId="EnvelopeAddress">
    <w:name w:val="envelope address"/>
    <w:basedOn w:val="Normal"/>
    <w:rsid w:val="00C0166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0166B"/>
    <w:rPr>
      <w:rFonts w:ascii="Arial" w:hAnsi="Arial" w:cs="Arial"/>
      <w:sz w:val="20"/>
      <w:szCs w:val="20"/>
    </w:rPr>
  </w:style>
  <w:style w:type="paragraph" w:styleId="Footer">
    <w:name w:val="footer"/>
    <w:basedOn w:val="Normal"/>
    <w:rsid w:val="00C0166B"/>
    <w:pPr>
      <w:tabs>
        <w:tab w:val="center" w:pos="4320"/>
        <w:tab w:val="right" w:pos="8640"/>
      </w:tabs>
    </w:pPr>
  </w:style>
  <w:style w:type="paragraph" w:styleId="FootnoteText">
    <w:name w:val="footnote text"/>
    <w:basedOn w:val="Normal"/>
    <w:semiHidden/>
    <w:rsid w:val="00C0166B"/>
    <w:rPr>
      <w:sz w:val="20"/>
      <w:szCs w:val="20"/>
    </w:rPr>
  </w:style>
  <w:style w:type="paragraph" w:styleId="Header">
    <w:name w:val="header"/>
    <w:basedOn w:val="Normal"/>
    <w:rsid w:val="00C0166B"/>
    <w:pPr>
      <w:tabs>
        <w:tab w:val="center" w:pos="4320"/>
        <w:tab w:val="right" w:pos="8640"/>
      </w:tabs>
    </w:pPr>
  </w:style>
  <w:style w:type="paragraph" w:styleId="HTMLAddress">
    <w:name w:val="HTML Address"/>
    <w:basedOn w:val="Normal"/>
    <w:rsid w:val="00C0166B"/>
    <w:rPr>
      <w:i/>
      <w:iCs/>
    </w:rPr>
  </w:style>
  <w:style w:type="paragraph" w:styleId="HTMLPreformatted">
    <w:name w:val="HTML Preformatted"/>
    <w:basedOn w:val="Normal"/>
    <w:rsid w:val="00C0166B"/>
    <w:rPr>
      <w:rFonts w:ascii="Courier New" w:hAnsi="Courier New" w:cs="Courier New"/>
      <w:sz w:val="20"/>
      <w:szCs w:val="20"/>
    </w:rPr>
  </w:style>
  <w:style w:type="paragraph" w:styleId="Index1">
    <w:name w:val="index 1"/>
    <w:basedOn w:val="Normal"/>
    <w:next w:val="Normal"/>
    <w:autoRedefine/>
    <w:semiHidden/>
    <w:rsid w:val="00C0166B"/>
    <w:pPr>
      <w:ind w:left="240" w:hanging="240"/>
    </w:pPr>
  </w:style>
  <w:style w:type="paragraph" w:styleId="Index2">
    <w:name w:val="index 2"/>
    <w:basedOn w:val="Normal"/>
    <w:next w:val="Normal"/>
    <w:autoRedefine/>
    <w:semiHidden/>
    <w:rsid w:val="00C0166B"/>
    <w:pPr>
      <w:ind w:left="480" w:hanging="240"/>
    </w:pPr>
  </w:style>
  <w:style w:type="paragraph" w:styleId="Index3">
    <w:name w:val="index 3"/>
    <w:basedOn w:val="Normal"/>
    <w:next w:val="Normal"/>
    <w:autoRedefine/>
    <w:semiHidden/>
    <w:rsid w:val="00C0166B"/>
    <w:pPr>
      <w:ind w:left="720" w:hanging="240"/>
    </w:pPr>
  </w:style>
  <w:style w:type="paragraph" w:styleId="Index4">
    <w:name w:val="index 4"/>
    <w:basedOn w:val="Normal"/>
    <w:next w:val="Normal"/>
    <w:autoRedefine/>
    <w:semiHidden/>
    <w:rsid w:val="00C0166B"/>
    <w:pPr>
      <w:ind w:left="960" w:hanging="240"/>
    </w:pPr>
  </w:style>
  <w:style w:type="paragraph" w:styleId="Index5">
    <w:name w:val="index 5"/>
    <w:basedOn w:val="Normal"/>
    <w:next w:val="Normal"/>
    <w:autoRedefine/>
    <w:semiHidden/>
    <w:rsid w:val="00C0166B"/>
    <w:pPr>
      <w:ind w:left="1200" w:hanging="240"/>
    </w:pPr>
  </w:style>
  <w:style w:type="paragraph" w:styleId="Index6">
    <w:name w:val="index 6"/>
    <w:basedOn w:val="Normal"/>
    <w:next w:val="Normal"/>
    <w:autoRedefine/>
    <w:semiHidden/>
    <w:rsid w:val="00C0166B"/>
    <w:pPr>
      <w:ind w:left="1440" w:hanging="240"/>
    </w:pPr>
  </w:style>
  <w:style w:type="paragraph" w:styleId="Index7">
    <w:name w:val="index 7"/>
    <w:basedOn w:val="Normal"/>
    <w:next w:val="Normal"/>
    <w:autoRedefine/>
    <w:semiHidden/>
    <w:rsid w:val="00C0166B"/>
    <w:pPr>
      <w:ind w:left="1680" w:hanging="240"/>
    </w:pPr>
  </w:style>
  <w:style w:type="paragraph" w:styleId="Index8">
    <w:name w:val="index 8"/>
    <w:basedOn w:val="Normal"/>
    <w:next w:val="Normal"/>
    <w:autoRedefine/>
    <w:semiHidden/>
    <w:rsid w:val="00C0166B"/>
    <w:pPr>
      <w:ind w:left="1920" w:hanging="240"/>
    </w:pPr>
  </w:style>
  <w:style w:type="paragraph" w:styleId="Index9">
    <w:name w:val="index 9"/>
    <w:basedOn w:val="Normal"/>
    <w:next w:val="Normal"/>
    <w:autoRedefine/>
    <w:semiHidden/>
    <w:rsid w:val="00C0166B"/>
    <w:pPr>
      <w:ind w:left="2160" w:hanging="240"/>
    </w:pPr>
  </w:style>
  <w:style w:type="paragraph" w:styleId="IndexHeading">
    <w:name w:val="index heading"/>
    <w:basedOn w:val="Normal"/>
    <w:next w:val="Index1"/>
    <w:semiHidden/>
    <w:rsid w:val="00C0166B"/>
    <w:rPr>
      <w:rFonts w:ascii="Arial" w:hAnsi="Arial" w:cs="Arial"/>
      <w:b/>
      <w:bCs/>
    </w:rPr>
  </w:style>
  <w:style w:type="paragraph" w:styleId="List">
    <w:name w:val="List"/>
    <w:basedOn w:val="Normal"/>
    <w:rsid w:val="00C0166B"/>
    <w:pPr>
      <w:ind w:left="360" w:hanging="360"/>
    </w:pPr>
  </w:style>
  <w:style w:type="paragraph" w:styleId="List2">
    <w:name w:val="List 2"/>
    <w:basedOn w:val="Normal"/>
    <w:rsid w:val="00C0166B"/>
    <w:pPr>
      <w:ind w:left="720" w:hanging="360"/>
    </w:pPr>
  </w:style>
  <w:style w:type="paragraph" w:styleId="List3">
    <w:name w:val="List 3"/>
    <w:basedOn w:val="Normal"/>
    <w:rsid w:val="00C0166B"/>
    <w:pPr>
      <w:ind w:left="1080" w:hanging="360"/>
    </w:pPr>
  </w:style>
  <w:style w:type="paragraph" w:styleId="List4">
    <w:name w:val="List 4"/>
    <w:basedOn w:val="Normal"/>
    <w:rsid w:val="00C0166B"/>
    <w:pPr>
      <w:ind w:left="1440" w:hanging="360"/>
    </w:pPr>
  </w:style>
  <w:style w:type="paragraph" w:styleId="List5">
    <w:name w:val="List 5"/>
    <w:basedOn w:val="Normal"/>
    <w:rsid w:val="00C0166B"/>
    <w:pPr>
      <w:ind w:left="1800" w:hanging="360"/>
    </w:pPr>
  </w:style>
  <w:style w:type="paragraph" w:styleId="ListBullet">
    <w:name w:val="List Bullet"/>
    <w:basedOn w:val="Normal"/>
    <w:rsid w:val="00C0166B"/>
    <w:pPr>
      <w:numPr>
        <w:numId w:val="3"/>
      </w:numPr>
    </w:pPr>
  </w:style>
  <w:style w:type="paragraph" w:styleId="ListBullet2">
    <w:name w:val="List Bullet 2"/>
    <w:basedOn w:val="Normal"/>
    <w:rsid w:val="00C0166B"/>
    <w:pPr>
      <w:numPr>
        <w:numId w:val="4"/>
      </w:numPr>
    </w:pPr>
  </w:style>
  <w:style w:type="paragraph" w:styleId="ListBullet3">
    <w:name w:val="List Bullet 3"/>
    <w:basedOn w:val="Normal"/>
    <w:rsid w:val="00C0166B"/>
    <w:pPr>
      <w:numPr>
        <w:numId w:val="5"/>
      </w:numPr>
    </w:pPr>
  </w:style>
  <w:style w:type="paragraph" w:styleId="ListBullet4">
    <w:name w:val="List Bullet 4"/>
    <w:basedOn w:val="Normal"/>
    <w:rsid w:val="00C0166B"/>
    <w:pPr>
      <w:numPr>
        <w:numId w:val="6"/>
      </w:numPr>
    </w:pPr>
  </w:style>
  <w:style w:type="paragraph" w:styleId="ListBullet5">
    <w:name w:val="List Bullet 5"/>
    <w:basedOn w:val="Normal"/>
    <w:rsid w:val="00C0166B"/>
    <w:pPr>
      <w:numPr>
        <w:numId w:val="7"/>
      </w:numPr>
    </w:pPr>
  </w:style>
  <w:style w:type="paragraph" w:styleId="ListContinue">
    <w:name w:val="List Continue"/>
    <w:basedOn w:val="Normal"/>
    <w:rsid w:val="00C0166B"/>
    <w:pPr>
      <w:spacing w:after="120"/>
      <w:ind w:left="360"/>
    </w:pPr>
  </w:style>
  <w:style w:type="paragraph" w:styleId="ListContinue2">
    <w:name w:val="List Continue 2"/>
    <w:basedOn w:val="Normal"/>
    <w:rsid w:val="00C0166B"/>
    <w:pPr>
      <w:spacing w:after="120"/>
      <w:ind w:left="720"/>
    </w:pPr>
  </w:style>
  <w:style w:type="paragraph" w:styleId="ListContinue3">
    <w:name w:val="List Continue 3"/>
    <w:basedOn w:val="Normal"/>
    <w:rsid w:val="00C0166B"/>
    <w:pPr>
      <w:spacing w:after="120"/>
      <w:ind w:left="1080"/>
    </w:pPr>
  </w:style>
  <w:style w:type="paragraph" w:styleId="ListContinue4">
    <w:name w:val="List Continue 4"/>
    <w:basedOn w:val="Normal"/>
    <w:rsid w:val="00C0166B"/>
    <w:pPr>
      <w:spacing w:after="120"/>
      <w:ind w:left="1440"/>
    </w:pPr>
  </w:style>
  <w:style w:type="paragraph" w:styleId="ListContinue5">
    <w:name w:val="List Continue 5"/>
    <w:basedOn w:val="Normal"/>
    <w:rsid w:val="00C0166B"/>
    <w:pPr>
      <w:spacing w:after="120"/>
      <w:ind w:left="1800"/>
    </w:pPr>
  </w:style>
  <w:style w:type="paragraph" w:styleId="ListNumber">
    <w:name w:val="List Number"/>
    <w:basedOn w:val="Normal"/>
    <w:rsid w:val="00C0166B"/>
    <w:pPr>
      <w:numPr>
        <w:numId w:val="8"/>
      </w:numPr>
    </w:pPr>
  </w:style>
  <w:style w:type="paragraph" w:styleId="ListNumber2">
    <w:name w:val="List Number 2"/>
    <w:basedOn w:val="Normal"/>
    <w:rsid w:val="00C0166B"/>
    <w:pPr>
      <w:numPr>
        <w:numId w:val="9"/>
      </w:numPr>
    </w:pPr>
  </w:style>
  <w:style w:type="paragraph" w:styleId="ListNumber3">
    <w:name w:val="List Number 3"/>
    <w:basedOn w:val="Normal"/>
    <w:rsid w:val="00C0166B"/>
    <w:pPr>
      <w:numPr>
        <w:numId w:val="10"/>
      </w:numPr>
    </w:pPr>
  </w:style>
  <w:style w:type="paragraph" w:styleId="ListNumber4">
    <w:name w:val="List Number 4"/>
    <w:basedOn w:val="Normal"/>
    <w:rsid w:val="00C0166B"/>
    <w:pPr>
      <w:numPr>
        <w:numId w:val="11"/>
      </w:numPr>
    </w:pPr>
  </w:style>
  <w:style w:type="paragraph" w:styleId="ListNumber5">
    <w:name w:val="List Number 5"/>
    <w:basedOn w:val="Normal"/>
    <w:rsid w:val="00C0166B"/>
    <w:pPr>
      <w:numPr>
        <w:numId w:val="12"/>
      </w:numPr>
    </w:pPr>
  </w:style>
  <w:style w:type="paragraph" w:styleId="MacroText">
    <w:name w:val="macro"/>
    <w:semiHidden/>
    <w:rsid w:val="00C0166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val="en-US"/>
    </w:rPr>
  </w:style>
  <w:style w:type="paragraph" w:styleId="MessageHeader">
    <w:name w:val="Message Header"/>
    <w:basedOn w:val="Normal"/>
    <w:rsid w:val="00C0166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C0166B"/>
    <w:pPr>
      <w:ind w:left="720"/>
    </w:pPr>
  </w:style>
  <w:style w:type="paragraph" w:styleId="NoteHeading">
    <w:name w:val="Note Heading"/>
    <w:basedOn w:val="Normal"/>
    <w:next w:val="Normal"/>
    <w:rsid w:val="00C0166B"/>
  </w:style>
  <w:style w:type="paragraph" w:styleId="PlainText">
    <w:name w:val="Plain Text"/>
    <w:basedOn w:val="Normal"/>
    <w:rsid w:val="00C0166B"/>
    <w:rPr>
      <w:rFonts w:ascii="Courier New" w:hAnsi="Courier New" w:cs="Courier New"/>
      <w:sz w:val="20"/>
      <w:szCs w:val="20"/>
    </w:rPr>
  </w:style>
  <w:style w:type="paragraph" w:styleId="Salutation">
    <w:name w:val="Salutation"/>
    <w:basedOn w:val="Normal"/>
    <w:next w:val="Normal"/>
    <w:rsid w:val="00C0166B"/>
  </w:style>
  <w:style w:type="paragraph" w:styleId="Signature">
    <w:name w:val="Signature"/>
    <w:basedOn w:val="Normal"/>
    <w:rsid w:val="00C0166B"/>
    <w:pPr>
      <w:ind w:left="4320"/>
    </w:pPr>
  </w:style>
  <w:style w:type="paragraph" w:styleId="Subtitle">
    <w:name w:val="Subtitle"/>
    <w:basedOn w:val="Normal"/>
    <w:qFormat/>
    <w:rsid w:val="00C0166B"/>
    <w:pPr>
      <w:spacing w:after="60"/>
      <w:jc w:val="center"/>
      <w:outlineLvl w:val="1"/>
    </w:pPr>
    <w:rPr>
      <w:rFonts w:ascii="Arial" w:hAnsi="Arial" w:cs="Arial"/>
    </w:rPr>
  </w:style>
  <w:style w:type="paragraph" w:styleId="TableofAuthorities">
    <w:name w:val="table of authorities"/>
    <w:basedOn w:val="Normal"/>
    <w:next w:val="Normal"/>
    <w:semiHidden/>
    <w:rsid w:val="00C0166B"/>
    <w:pPr>
      <w:ind w:left="240" w:hanging="240"/>
    </w:pPr>
  </w:style>
  <w:style w:type="paragraph" w:styleId="TableofFigures">
    <w:name w:val="table of figures"/>
    <w:basedOn w:val="Normal"/>
    <w:next w:val="Normal"/>
    <w:semiHidden/>
    <w:rsid w:val="00C0166B"/>
  </w:style>
  <w:style w:type="paragraph" w:styleId="Title">
    <w:name w:val="Title"/>
    <w:basedOn w:val="Normal"/>
    <w:qFormat/>
    <w:rsid w:val="00C0166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0166B"/>
    <w:pPr>
      <w:spacing w:before="120"/>
    </w:pPr>
    <w:rPr>
      <w:rFonts w:ascii="Arial" w:hAnsi="Arial" w:cs="Arial"/>
      <w:b/>
      <w:bCs/>
    </w:rPr>
  </w:style>
  <w:style w:type="paragraph" w:styleId="TOC1">
    <w:name w:val="toc 1"/>
    <w:basedOn w:val="Normal"/>
    <w:next w:val="Normal"/>
    <w:autoRedefine/>
    <w:semiHidden/>
    <w:rsid w:val="00C0166B"/>
  </w:style>
  <w:style w:type="paragraph" w:styleId="TOC2">
    <w:name w:val="toc 2"/>
    <w:basedOn w:val="Normal"/>
    <w:next w:val="Normal"/>
    <w:autoRedefine/>
    <w:semiHidden/>
    <w:rsid w:val="00C0166B"/>
    <w:pPr>
      <w:ind w:left="240"/>
    </w:pPr>
  </w:style>
  <w:style w:type="paragraph" w:styleId="TOC3">
    <w:name w:val="toc 3"/>
    <w:basedOn w:val="Normal"/>
    <w:next w:val="Normal"/>
    <w:autoRedefine/>
    <w:semiHidden/>
    <w:rsid w:val="00C0166B"/>
    <w:pPr>
      <w:ind w:left="480"/>
    </w:pPr>
  </w:style>
  <w:style w:type="paragraph" w:styleId="TOC4">
    <w:name w:val="toc 4"/>
    <w:basedOn w:val="Normal"/>
    <w:next w:val="Normal"/>
    <w:autoRedefine/>
    <w:semiHidden/>
    <w:rsid w:val="00C0166B"/>
    <w:pPr>
      <w:ind w:left="720"/>
    </w:pPr>
  </w:style>
  <w:style w:type="paragraph" w:styleId="TOC5">
    <w:name w:val="toc 5"/>
    <w:basedOn w:val="Normal"/>
    <w:next w:val="Normal"/>
    <w:autoRedefine/>
    <w:semiHidden/>
    <w:rsid w:val="00C0166B"/>
    <w:pPr>
      <w:ind w:left="960"/>
    </w:pPr>
  </w:style>
  <w:style w:type="paragraph" w:styleId="TOC6">
    <w:name w:val="toc 6"/>
    <w:basedOn w:val="Normal"/>
    <w:next w:val="Normal"/>
    <w:autoRedefine/>
    <w:semiHidden/>
    <w:rsid w:val="00C0166B"/>
    <w:pPr>
      <w:ind w:left="1200"/>
    </w:pPr>
  </w:style>
  <w:style w:type="paragraph" w:styleId="TOC7">
    <w:name w:val="toc 7"/>
    <w:basedOn w:val="Normal"/>
    <w:next w:val="Normal"/>
    <w:autoRedefine/>
    <w:semiHidden/>
    <w:rsid w:val="00C0166B"/>
    <w:pPr>
      <w:ind w:left="1440"/>
    </w:pPr>
  </w:style>
  <w:style w:type="paragraph" w:styleId="TOC8">
    <w:name w:val="toc 8"/>
    <w:basedOn w:val="Normal"/>
    <w:next w:val="Normal"/>
    <w:autoRedefine/>
    <w:semiHidden/>
    <w:rsid w:val="00C0166B"/>
    <w:pPr>
      <w:ind w:left="1680"/>
    </w:pPr>
  </w:style>
  <w:style w:type="paragraph" w:styleId="TOC9">
    <w:name w:val="toc 9"/>
    <w:basedOn w:val="Normal"/>
    <w:next w:val="Normal"/>
    <w:autoRedefine/>
    <w:semiHidden/>
    <w:rsid w:val="00C0166B"/>
    <w:pPr>
      <w:ind w:left="1920"/>
    </w:pPr>
  </w:style>
  <w:style w:type="character" w:customStyle="1" w:styleId="Heading3Char">
    <w:name w:val="Heading 3 Char"/>
    <w:link w:val="Heading3"/>
    <w:rsid w:val="00C0166B"/>
    <w:rPr>
      <w:rFonts w:ascii="Arial" w:hAnsi="Arial" w:cs="Arial"/>
      <w:b/>
      <w:bCs/>
      <w:color w:val="000000"/>
      <w:sz w:val="26"/>
      <w:szCs w:val="26"/>
      <w:lang w:val="en-US" w:eastAsia="en-US" w:bidi="ar-SA"/>
    </w:rPr>
  </w:style>
  <w:style w:type="character" w:customStyle="1" w:styleId="BodyTextIndent3Char">
    <w:name w:val="Body Text Indent 3 Char"/>
    <w:link w:val="BodyTextIndent3"/>
    <w:rsid w:val="004E10DE"/>
    <w:rPr>
      <w:color w:val="000000"/>
      <w:sz w:val="16"/>
      <w:szCs w:val="16"/>
      <w:lang w:val="en-US" w:eastAsia="en-US" w:bidi="ar-SA"/>
    </w:rPr>
  </w:style>
  <w:style w:type="character" w:customStyle="1" w:styleId="CharChar1">
    <w:name w:val="Char Char1"/>
    <w:rsid w:val="001F4740"/>
    <w:rPr>
      <w:rFonts w:ascii="Arial" w:hAnsi="Arial" w:cs="Arial"/>
      <w:b/>
      <w:bCs/>
      <w:color w:val="000000"/>
      <w:sz w:val="26"/>
      <w:szCs w:val="26"/>
      <w:lang w:val="en-US" w:eastAsia="en-US" w:bidi="ar-SA"/>
    </w:rPr>
  </w:style>
  <w:style w:type="character" w:customStyle="1" w:styleId="titles-title">
    <w:name w:val="titles-title"/>
    <w:basedOn w:val="DefaultParagraphFont"/>
    <w:rsid w:val="001F4740"/>
  </w:style>
  <w:style w:type="character" w:customStyle="1" w:styleId="bibrecord-highlight">
    <w:name w:val="bibrecord-highlight"/>
    <w:basedOn w:val="DefaultParagraphFont"/>
    <w:rsid w:val="001F4740"/>
  </w:style>
  <w:style w:type="character" w:customStyle="1" w:styleId="titles-source">
    <w:name w:val="titles-source"/>
    <w:basedOn w:val="DefaultParagraphFont"/>
    <w:rsid w:val="001F4740"/>
  </w:style>
  <w:style w:type="table" w:styleId="TableGrid">
    <w:name w:val="Table Grid"/>
    <w:basedOn w:val="TableNormal"/>
    <w:rsid w:val="00765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CB676B"/>
    <w:rPr>
      <w:rFonts w:ascii="Arial" w:hAnsi="Arial" w:cs="Arial"/>
      <w:b/>
      <w:bCs/>
      <w:iCs/>
      <w:color w:val="000000"/>
      <w:sz w:val="26"/>
      <w:szCs w:val="28"/>
      <w:lang w:val="en-US" w:eastAsia="en-US" w:bidi="ar-SA"/>
    </w:rPr>
  </w:style>
  <w:style w:type="character" w:customStyle="1" w:styleId="ti">
    <w:name w:val="ti"/>
    <w:basedOn w:val="DefaultParagraphFont"/>
    <w:rsid w:val="004167FE"/>
  </w:style>
  <w:style w:type="paragraph" w:customStyle="1" w:styleId="ListParagraph1">
    <w:name w:val="List Paragraph1"/>
    <w:basedOn w:val="Normal"/>
    <w:uiPriority w:val="34"/>
    <w:qFormat/>
    <w:rsid w:val="00A41ACA"/>
    <w:pPr>
      <w:ind w:left="708"/>
    </w:pPr>
  </w:style>
  <w:style w:type="character" w:customStyle="1" w:styleId="apple-converted-space">
    <w:name w:val="apple-converted-space"/>
    <w:rsid w:val="00C55838"/>
  </w:style>
  <w:style w:type="character" w:customStyle="1" w:styleId="Heading1Char">
    <w:name w:val="Heading 1 Char"/>
    <w:link w:val="Heading1"/>
    <w:rsid w:val="00D95D64"/>
    <w:rPr>
      <w:rFonts w:ascii="Arial" w:hAnsi="Arial"/>
      <w:b/>
      <w:bCs/>
      <w:color w:val="000000"/>
      <w:kern w:val="36"/>
      <w:sz w:val="26"/>
      <w:szCs w:val="18"/>
      <w:lang w:val="en-US"/>
    </w:rPr>
  </w:style>
  <w:style w:type="character" w:customStyle="1" w:styleId="cit">
    <w:name w:val="cit"/>
    <w:basedOn w:val="DefaultParagraphFont"/>
    <w:rsid w:val="00F724AE"/>
  </w:style>
  <w:style w:type="character" w:customStyle="1" w:styleId="doi">
    <w:name w:val="doi"/>
    <w:basedOn w:val="DefaultParagraphFont"/>
    <w:rsid w:val="00F724AE"/>
  </w:style>
  <w:style w:type="character" w:customStyle="1" w:styleId="fm-citation-ids-label">
    <w:name w:val="fm-citation-ids-label"/>
    <w:basedOn w:val="DefaultParagraphFont"/>
    <w:rsid w:val="00F724AE"/>
  </w:style>
  <w:style w:type="paragraph" w:styleId="ListParagraph">
    <w:name w:val="List Paragraph"/>
    <w:basedOn w:val="Normal"/>
    <w:uiPriority w:val="34"/>
    <w:qFormat/>
    <w:rsid w:val="00F724AE"/>
    <w:pPr>
      <w:ind w:left="720"/>
      <w:contextualSpacing/>
    </w:pPr>
  </w:style>
  <w:style w:type="character" w:styleId="CommentReference">
    <w:name w:val="annotation reference"/>
    <w:basedOn w:val="DefaultParagraphFont"/>
    <w:rsid w:val="00BC78C7"/>
    <w:rPr>
      <w:sz w:val="18"/>
      <w:szCs w:val="18"/>
    </w:rPr>
  </w:style>
  <w:style w:type="character" w:customStyle="1" w:styleId="highlight">
    <w:name w:val="highlight"/>
    <w:rsid w:val="00031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4855">
      <w:bodyDiv w:val="1"/>
      <w:marLeft w:val="0"/>
      <w:marRight w:val="0"/>
      <w:marTop w:val="0"/>
      <w:marBottom w:val="0"/>
      <w:divBdr>
        <w:top w:val="none" w:sz="0" w:space="0" w:color="auto"/>
        <w:left w:val="none" w:sz="0" w:space="0" w:color="auto"/>
        <w:bottom w:val="none" w:sz="0" w:space="0" w:color="auto"/>
        <w:right w:val="none" w:sz="0" w:space="0" w:color="auto"/>
      </w:divBdr>
      <w:divsChild>
        <w:div w:id="147286086">
          <w:marLeft w:val="0"/>
          <w:marRight w:val="0"/>
          <w:marTop w:val="0"/>
          <w:marBottom w:val="166"/>
          <w:divBdr>
            <w:top w:val="none" w:sz="0" w:space="0" w:color="auto"/>
            <w:left w:val="none" w:sz="0" w:space="0" w:color="auto"/>
            <w:bottom w:val="none" w:sz="0" w:space="0" w:color="auto"/>
            <w:right w:val="none" w:sz="0" w:space="0" w:color="auto"/>
          </w:divBdr>
          <w:divsChild>
            <w:div w:id="1898196902">
              <w:marLeft w:val="0"/>
              <w:marRight w:val="0"/>
              <w:marTop w:val="0"/>
              <w:marBottom w:val="0"/>
              <w:divBdr>
                <w:top w:val="none" w:sz="0" w:space="0" w:color="auto"/>
                <w:left w:val="none" w:sz="0" w:space="0" w:color="auto"/>
                <w:bottom w:val="none" w:sz="0" w:space="0" w:color="auto"/>
                <w:right w:val="none" w:sz="0" w:space="0" w:color="auto"/>
              </w:divBdr>
              <w:divsChild>
                <w:div w:id="64494746">
                  <w:marLeft w:val="0"/>
                  <w:marRight w:val="0"/>
                  <w:marTop w:val="0"/>
                  <w:marBottom w:val="0"/>
                  <w:divBdr>
                    <w:top w:val="none" w:sz="0" w:space="0" w:color="auto"/>
                    <w:left w:val="none" w:sz="0" w:space="0" w:color="auto"/>
                    <w:bottom w:val="none" w:sz="0" w:space="0" w:color="auto"/>
                    <w:right w:val="none" w:sz="0" w:space="0" w:color="auto"/>
                  </w:divBdr>
                  <w:divsChild>
                    <w:div w:id="45884408">
                      <w:marLeft w:val="0"/>
                      <w:marRight w:val="0"/>
                      <w:marTop w:val="0"/>
                      <w:marBottom w:val="0"/>
                      <w:divBdr>
                        <w:top w:val="none" w:sz="0" w:space="0" w:color="auto"/>
                        <w:left w:val="none" w:sz="0" w:space="0" w:color="auto"/>
                        <w:bottom w:val="none" w:sz="0" w:space="0" w:color="auto"/>
                        <w:right w:val="none" w:sz="0" w:space="0" w:color="auto"/>
                      </w:divBdr>
                      <w:divsChild>
                        <w:div w:id="1420249225">
                          <w:marLeft w:val="0"/>
                          <w:marRight w:val="0"/>
                          <w:marTop w:val="0"/>
                          <w:marBottom w:val="0"/>
                          <w:divBdr>
                            <w:top w:val="none" w:sz="0" w:space="0" w:color="auto"/>
                            <w:left w:val="none" w:sz="0" w:space="0" w:color="auto"/>
                            <w:bottom w:val="none" w:sz="0" w:space="0" w:color="auto"/>
                            <w:right w:val="none" w:sz="0" w:space="0" w:color="auto"/>
                          </w:divBdr>
                        </w:div>
                        <w:div w:id="11881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86307">
                  <w:marLeft w:val="0"/>
                  <w:marRight w:val="0"/>
                  <w:marTop w:val="0"/>
                  <w:marBottom w:val="0"/>
                  <w:divBdr>
                    <w:top w:val="none" w:sz="0" w:space="0" w:color="auto"/>
                    <w:left w:val="none" w:sz="0" w:space="0" w:color="auto"/>
                    <w:bottom w:val="none" w:sz="0" w:space="0" w:color="auto"/>
                    <w:right w:val="none" w:sz="0" w:space="0" w:color="auto"/>
                  </w:divBdr>
                  <w:divsChild>
                    <w:div w:id="11921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536191">
          <w:marLeft w:val="0"/>
          <w:marRight w:val="0"/>
          <w:marTop w:val="166"/>
          <w:marBottom w:val="166"/>
          <w:divBdr>
            <w:top w:val="none" w:sz="0" w:space="0" w:color="auto"/>
            <w:left w:val="none" w:sz="0" w:space="0" w:color="auto"/>
            <w:bottom w:val="none" w:sz="0" w:space="0" w:color="auto"/>
            <w:right w:val="none" w:sz="0" w:space="0" w:color="auto"/>
          </w:divBdr>
          <w:divsChild>
            <w:div w:id="17682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0484">
      <w:marLeft w:val="0"/>
      <w:marRight w:val="0"/>
      <w:marTop w:val="0"/>
      <w:marBottom w:val="0"/>
      <w:divBdr>
        <w:top w:val="none" w:sz="0" w:space="0" w:color="auto"/>
        <w:left w:val="none" w:sz="0" w:space="0" w:color="auto"/>
        <w:bottom w:val="none" w:sz="0" w:space="0" w:color="auto"/>
        <w:right w:val="none" w:sz="0" w:space="0" w:color="auto"/>
      </w:divBdr>
    </w:div>
    <w:div w:id="367682861">
      <w:marLeft w:val="0"/>
      <w:marRight w:val="0"/>
      <w:marTop w:val="0"/>
      <w:marBottom w:val="0"/>
      <w:divBdr>
        <w:top w:val="none" w:sz="0" w:space="0" w:color="auto"/>
        <w:left w:val="none" w:sz="0" w:space="0" w:color="auto"/>
        <w:bottom w:val="none" w:sz="0" w:space="0" w:color="auto"/>
        <w:right w:val="none" w:sz="0" w:space="0" w:color="auto"/>
      </w:divBdr>
      <w:divsChild>
        <w:div w:id="47459626">
          <w:marLeft w:val="0"/>
          <w:marRight w:val="0"/>
          <w:marTop w:val="0"/>
          <w:marBottom w:val="0"/>
          <w:divBdr>
            <w:top w:val="none" w:sz="0" w:space="0" w:color="auto"/>
            <w:left w:val="none" w:sz="0" w:space="0" w:color="auto"/>
            <w:bottom w:val="none" w:sz="0" w:space="0" w:color="auto"/>
            <w:right w:val="none" w:sz="0" w:space="0" w:color="auto"/>
          </w:divBdr>
        </w:div>
        <w:div w:id="1001128162">
          <w:marLeft w:val="0"/>
          <w:marRight w:val="0"/>
          <w:marTop w:val="0"/>
          <w:marBottom w:val="0"/>
          <w:divBdr>
            <w:top w:val="none" w:sz="0" w:space="0" w:color="auto"/>
            <w:left w:val="none" w:sz="0" w:space="0" w:color="auto"/>
            <w:bottom w:val="none" w:sz="0" w:space="0" w:color="auto"/>
            <w:right w:val="none" w:sz="0" w:space="0" w:color="auto"/>
          </w:divBdr>
        </w:div>
        <w:div w:id="1665236441">
          <w:marLeft w:val="0"/>
          <w:marRight w:val="0"/>
          <w:marTop w:val="0"/>
          <w:marBottom w:val="0"/>
          <w:divBdr>
            <w:top w:val="none" w:sz="0" w:space="0" w:color="auto"/>
            <w:left w:val="none" w:sz="0" w:space="0" w:color="auto"/>
            <w:bottom w:val="none" w:sz="0" w:space="0" w:color="auto"/>
            <w:right w:val="none" w:sz="0" w:space="0" w:color="auto"/>
          </w:divBdr>
        </w:div>
      </w:divsChild>
    </w:div>
    <w:div w:id="663045892">
      <w:marLeft w:val="0"/>
      <w:marRight w:val="0"/>
      <w:marTop w:val="0"/>
      <w:marBottom w:val="0"/>
      <w:divBdr>
        <w:top w:val="none" w:sz="0" w:space="0" w:color="auto"/>
        <w:left w:val="none" w:sz="0" w:space="0" w:color="auto"/>
        <w:bottom w:val="none" w:sz="0" w:space="0" w:color="auto"/>
        <w:right w:val="none" w:sz="0" w:space="0" w:color="auto"/>
      </w:divBdr>
    </w:div>
    <w:div w:id="839276279">
      <w:marLeft w:val="0"/>
      <w:marRight w:val="0"/>
      <w:marTop w:val="0"/>
      <w:marBottom w:val="0"/>
      <w:divBdr>
        <w:top w:val="none" w:sz="0" w:space="0" w:color="auto"/>
        <w:left w:val="none" w:sz="0" w:space="0" w:color="auto"/>
        <w:bottom w:val="none" w:sz="0" w:space="0" w:color="auto"/>
        <w:right w:val="none" w:sz="0" w:space="0" w:color="auto"/>
      </w:divBdr>
    </w:div>
    <w:div w:id="1243949271">
      <w:marLeft w:val="0"/>
      <w:marRight w:val="0"/>
      <w:marTop w:val="0"/>
      <w:marBottom w:val="0"/>
      <w:divBdr>
        <w:top w:val="none" w:sz="0" w:space="0" w:color="auto"/>
        <w:left w:val="none" w:sz="0" w:space="0" w:color="auto"/>
        <w:bottom w:val="none" w:sz="0" w:space="0" w:color="auto"/>
        <w:right w:val="none" w:sz="0" w:space="0" w:color="auto"/>
      </w:divBdr>
    </w:div>
    <w:div w:id="1707489274">
      <w:bodyDiv w:val="1"/>
      <w:marLeft w:val="0"/>
      <w:marRight w:val="0"/>
      <w:marTop w:val="0"/>
      <w:marBottom w:val="0"/>
      <w:divBdr>
        <w:top w:val="none" w:sz="0" w:space="0" w:color="auto"/>
        <w:left w:val="none" w:sz="0" w:space="0" w:color="auto"/>
        <w:bottom w:val="none" w:sz="0" w:space="0" w:color="auto"/>
        <w:right w:val="none" w:sz="0" w:space="0" w:color="auto"/>
      </w:divBdr>
    </w:div>
    <w:div w:id="1735272239">
      <w:bodyDiv w:val="1"/>
      <w:marLeft w:val="0"/>
      <w:marRight w:val="0"/>
      <w:marTop w:val="0"/>
      <w:marBottom w:val="0"/>
      <w:divBdr>
        <w:top w:val="none" w:sz="0" w:space="0" w:color="auto"/>
        <w:left w:val="none" w:sz="0" w:space="0" w:color="auto"/>
        <w:bottom w:val="none" w:sz="0" w:space="0" w:color="auto"/>
        <w:right w:val="none" w:sz="0" w:space="0" w:color="auto"/>
      </w:divBdr>
      <w:divsChild>
        <w:div w:id="335112105">
          <w:marLeft w:val="0"/>
          <w:marRight w:val="0"/>
          <w:marTop w:val="0"/>
          <w:marBottom w:val="0"/>
          <w:divBdr>
            <w:top w:val="none" w:sz="0" w:space="0" w:color="auto"/>
            <w:left w:val="none" w:sz="0" w:space="0" w:color="auto"/>
            <w:bottom w:val="none" w:sz="0" w:space="0" w:color="auto"/>
            <w:right w:val="none" w:sz="0" w:space="0" w:color="auto"/>
          </w:divBdr>
          <w:divsChild>
            <w:div w:id="633609333">
              <w:marLeft w:val="0"/>
              <w:marRight w:val="0"/>
              <w:marTop w:val="0"/>
              <w:marBottom w:val="0"/>
              <w:divBdr>
                <w:top w:val="none" w:sz="0" w:space="0" w:color="auto"/>
                <w:left w:val="none" w:sz="0" w:space="0" w:color="auto"/>
                <w:bottom w:val="none" w:sz="0" w:space="0" w:color="auto"/>
                <w:right w:val="none" w:sz="0" w:space="0" w:color="auto"/>
              </w:divBdr>
            </w:div>
            <w:div w:id="1015425498">
              <w:marLeft w:val="0"/>
              <w:marRight w:val="0"/>
              <w:marTop w:val="0"/>
              <w:marBottom w:val="0"/>
              <w:divBdr>
                <w:top w:val="none" w:sz="0" w:space="0" w:color="auto"/>
                <w:left w:val="none" w:sz="0" w:space="0" w:color="auto"/>
                <w:bottom w:val="none" w:sz="0" w:space="0" w:color="auto"/>
                <w:right w:val="none" w:sz="0" w:space="0" w:color="auto"/>
              </w:divBdr>
            </w:div>
            <w:div w:id="1235316786">
              <w:marLeft w:val="0"/>
              <w:marRight w:val="0"/>
              <w:marTop w:val="0"/>
              <w:marBottom w:val="0"/>
              <w:divBdr>
                <w:top w:val="none" w:sz="0" w:space="0" w:color="auto"/>
                <w:left w:val="none" w:sz="0" w:space="0" w:color="auto"/>
                <w:bottom w:val="none" w:sz="0" w:space="0" w:color="auto"/>
                <w:right w:val="none" w:sz="0" w:space="0" w:color="auto"/>
              </w:divBdr>
            </w:div>
            <w:div w:id="15041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393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ncbi.nlm.nih.gov/pubmed/23991912" TargetMode="External"/><Relationship Id="rId21" Type="http://schemas.openxmlformats.org/officeDocument/2006/relationships/hyperlink" Target="http://www.ncbi.nlm.nih.gov/pubmed/23551059" TargetMode="External"/><Relationship Id="rId22" Type="http://schemas.openxmlformats.org/officeDocument/2006/relationships/hyperlink" Target="http://www.ncbi.nlm.nih.gov/pubmed/23619962" TargetMode="External"/><Relationship Id="rId23" Type="http://schemas.openxmlformats.org/officeDocument/2006/relationships/hyperlink" Target="http://www.ncbi.nlm.nih.gov/pubmed/24341527" TargetMode="External"/><Relationship Id="rId24" Type="http://schemas.openxmlformats.org/officeDocument/2006/relationships/hyperlink" Target="http://www.ncbi.nlm.nih.gov/pubmed/?term=Pacella%20CM%5BAuthor%5D&amp;cauthor=true&amp;cauthor_uid=26274342" TargetMode="External"/><Relationship Id="rId25" Type="http://schemas.openxmlformats.org/officeDocument/2006/relationships/hyperlink" Target="http://www.ncbi.nlm.nih.gov/pubmed/?term=Mauri%20G%5BAuthor%5D&amp;cauthor=true&amp;cauthor_uid=26274342" TargetMode="External"/><Relationship Id="rId26" Type="http://schemas.openxmlformats.org/officeDocument/2006/relationships/hyperlink" Target="http://www.ncbi.nlm.nih.gov/pubmed/?term=Achille%20G%5BAuthor%5D&amp;cauthor=true&amp;cauthor_uid=26274342" TargetMode="External"/><Relationship Id="rId27" Type="http://schemas.openxmlformats.org/officeDocument/2006/relationships/hyperlink" Target="http://www.ncbi.nlm.nih.gov/pubmed/?term=Barbaro%20D%5BAuthor%5D&amp;cauthor=true&amp;cauthor_uid=26274342" TargetMode="External"/><Relationship Id="rId28" Type="http://schemas.openxmlformats.org/officeDocument/2006/relationships/hyperlink" Target="http://www.ncbi.nlm.nih.gov/pubmed/?term=Bizzarri%20G%5BAuthor%5D&amp;cauthor=true&amp;cauthor_uid=26274342" TargetMode="External"/><Relationship Id="rId29" Type="http://schemas.openxmlformats.org/officeDocument/2006/relationships/hyperlink" Target="http://www.ncbi.nlm.nih.gov/pubmed/?term=De%20Feo%20P%5BAuthor%5D&amp;cauthor=true&amp;cauthor_uid=2627434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ncbi.nlm.nih.gov/pubmed/?term=Di%20Stasio%20E%5BAuthor%5D&amp;cauthor=true&amp;cauthor_uid=26274342" TargetMode="External"/><Relationship Id="rId31" Type="http://schemas.openxmlformats.org/officeDocument/2006/relationships/hyperlink" Target="http://www.ncbi.nlm.nih.gov/pubmed/?term=Esposito%20R%5BAuthor%5D&amp;cauthor=true&amp;cauthor_uid=26274342" TargetMode="External"/><Relationship Id="rId32" Type="http://schemas.openxmlformats.org/officeDocument/2006/relationships/hyperlink" Target="http://www.ncbi.nlm.nih.gov/pubmed/?term=Gambelunghe%20G%5BAuthor%5D&amp;cauthor=true&amp;cauthor_uid=26274342" TargetMode="External"/><Relationship Id="rId9" Type="http://schemas.openxmlformats.org/officeDocument/2006/relationships/hyperlink" Target="http://WWW.ENDOTEXT.ORG"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YROIDMANAGER.ORG" TargetMode="External"/><Relationship Id="rId33" Type="http://schemas.openxmlformats.org/officeDocument/2006/relationships/hyperlink" Target="http://www.ncbi.nlm.nih.gov/pubmed/?term=Misischi%20I%5BAuthor%5D&amp;cauthor=true&amp;cauthor_uid=26274342" TargetMode="External"/><Relationship Id="rId34" Type="http://schemas.openxmlformats.org/officeDocument/2006/relationships/hyperlink" Target="http://www.ncbi.nlm.nih.gov/pubmed/?term=Raggiunti%20B%5BAuthor%5D&amp;cauthor=true&amp;cauthor_uid=26274342" TargetMode="External"/><Relationship Id="rId35" Type="http://schemas.openxmlformats.org/officeDocument/2006/relationships/hyperlink" Target="http://www.ncbi.nlm.nih.gov/pubmed/?term=Rago%20T%5BAuthor%5D&amp;cauthor=true&amp;cauthor_uid=26274342" TargetMode="External"/><Relationship Id="rId36" Type="http://schemas.openxmlformats.org/officeDocument/2006/relationships/hyperlink" Target="http://www.ncbi.nlm.nih.gov/pubmed/?term=Patelli%20GL%5BAuthor%5D&amp;cauthor=true&amp;cauthor_uid=26274342"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image" Target="media/image4.jpeg"/><Relationship Id="rId14" Type="http://schemas.openxmlformats.org/officeDocument/2006/relationships/image" Target="media/image5.emf"/><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png"/><Relationship Id="rId18" Type="http://schemas.openxmlformats.org/officeDocument/2006/relationships/hyperlink" Target="http://www.ncbi.nlm.nih.gov/pubmed/25446471" TargetMode="External"/><Relationship Id="rId19" Type="http://schemas.openxmlformats.org/officeDocument/2006/relationships/hyperlink" Target="http://www.ncbi.nlm.nih.gov/pubmed/23067375" TargetMode="External"/><Relationship Id="rId37" Type="http://schemas.openxmlformats.org/officeDocument/2006/relationships/hyperlink" Target="http://www.ncbi.nlm.nih.gov/pubmed/?term=D%27Este%20S%5BAuthor%5D&amp;cauthor=true&amp;cauthor_uid=26274342" TargetMode="External"/><Relationship Id="rId38" Type="http://schemas.openxmlformats.org/officeDocument/2006/relationships/hyperlink" Target="http://www.ncbi.nlm.nih.gov/pubmed/?term=Vitti%20P%5BAuthor%5D&amp;cauthor=true&amp;cauthor_uid=26274342" TargetMode="External"/><Relationship Id="rId39" Type="http://schemas.openxmlformats.org/officeDocument/2006/relationships/hyperlink" Target="http://www.ncbi.nlm.nih.gov/pubmed/?term=Papini%20E%5BAuthor%5D&amp;cauthor=true&amp;cauthor_uid=26274342" TargetMode="External"/><Relationship Id="rId40" Type="http://schemas.openxmlformats.org/officeDocument/2006/relationships/hyperlink" Target="http://www.ncbi.nlm.nih.gov/pubmed/?term=Pacella+CM+.+Outcomes+and+risk+factors+for+complications" TargetMode="Externa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50</Pages>
  <Words>18345</Words>
  <Characters>104573</Characters>
  <Application>Microsoft Macintosh Word</Application>
  <DocSecurity>0</DocSecurity>
  <Lines>871</Lines>
  <Paragraphs>245</Paragraphs>
  <ScaleCrop>false</ScaleCrop>
  <HeadingPairs>
    <vt:vector size="6" baseType="variant">
      <vt:variant>
        <vt:lpstr>Title</vt:lpstr>
      </vt:variant>
      <vt:variant>
        <vt:i4>1</vt:i4>
      </vt:variant>
      <vt:variant>
        <vt:lpstr>Título</vt:lpstr>
      </vt:variant>
      <vt:variant>
        <vt:i4>1</vt:i4>
      </vt:variant>
      <vt:variant>
        <vt:lpstr>Títulos</vt:lpstr>
      </vt:variant>
      <vt:variant>
        <vt:i4>43</vt:i4>
      </vt:variant>
    </vt:vector>
  </HeadingPairs>
  <TitlesOfParts>
    <vt:vector size="45" baseType="lpstr">
      <vt:lpstr>Endotext.com - Female Reproductive Endocrinology - Premenstrual Syndrome</vt:lpstr>
      <vt:lpstr>Endotext.com - Female Reproductive Endocrinology - Premenstrual Syndrome</vt:lpstr>
      <vt:lpstr>ABSTRACT</vt:lpstr>
      <vt:lpstr>INTRODUCTION</vt:lpstr>
      <vt:lpstr>INCIDENCE</vt:lpstr>
      <vt:lpstr>ETIOLOGY</vt:lpstr>
      <vt:lpstr/>
      <vt:lpstr/>
      <vt:lpstr>PRIMARY FACTORS</vt:lpstr>
      <vt:lpstr>Genetic heterogeneity of normal follicular cells and acquisition of new inherita</vt:lpstr>
      <vt:lpstr>Genes associated with multinodular goiter</vt:lpstr>
      <vt:lpstr>    Linkage studies </vt:lpstr>
      <vt:lpstr>Mutagenesis leading to multinodular goiter</vt:lpstr>
      <vt:lpstr>SECONDARY FACTORS</vt:lpstr>
      <vt:lpstr>    Iodine Deficiency</vt:lpstr>
      <vt:lpstr>Natural occurring goitrogens</vt:lpstr>
      <vt:lpstr>Inherited defects in thyroid hormone synthesis and resistance to thyroid hormone</vt:lpstr>
      <vt:lpstr>    Other Thyroid-Stimulating Factors</vt:lpstr>
      <vt:lpstr>PATHOLOGY</vt:lpstr>
      <vt:lpstr>NATURAL HISTORY OF THE DISEASE</vt:lpstr>
      <vt:lpstr>MULTINODULAR GOITER AND CANCER</vt:lpstr>
      <vt:lpstr>    Diagnosis</vt:lpstr>
      <vt:lpstr>    </vt:lpstr>
      <vt:lpstr>    Laboratory investigation</vt:lpstr>
      <vt:lpstr>    Diagnostic imaging</vt:lpstr>
      <vt:lpstr>    Ultrasonography of the thyroid</vt:lpstr>
      <vt:lpstr>    Scintigraphy (isotope imaging)</vt:lpstr>
      <vt:lpstr>    Computed tomography (CT) and Magnetic resonance (MR)</vt:lpstr>
      <vt:lpstr>    Treatment of multinodular goiter</vt:lpstr>
      <vt:lpstr>    Radioiodine ablation of goiter</vt:lpstr>
      <vt:lpstr>    The use of rhTSH for improving ¹³¹I therapy of nontoxic multinodular goiter</vt:lpstr>
      <vt:lpstr>        (1). Increased uptake and goiter volume reduction</vt:lpstr>
      <vt:lpstr>        (2). Tracheal compression and pulmonary function</vt:lpstr>
      <vt:lpstr>        (3). Transient hyperthyroidism after ¹³¹I ablation</vt:lpstr>
      <vt:lpstr>        (4). Degree of goiter reduction, ¹³¹I dose, and rhTSH</vt:lpstr>
      <vt:lpstr>        (5). Increase in goiter size immediately after ablation</vt:lpstr>
      <vt:lpstr>        (6). Radioactive iodine and rhTSH in elderly with hyperthyroidism</vt:lpstr>
      <vt:lpstr>        (7). Cardiovascular events after RAI ablation</vt:lpstr>
      <vt:lpstr>        (8). Thyroid autoantibodies occurrence after ¹³¹I therapy</vt:lpstr>
      <vt:lpstr>    Conclusions and comments</vt:lpstr>
      <vt:lpstr>    Surgery for MNG</vt:lpstr>
      <vt:lpstr>SUMMARY</vt:lpstr>
      <vt:lpstr/>
      <vt:lpstr/>
      <vt:lpstr/>
    </vt:vector>
  </TitlesOfParts>
  <Company>Southcoast Health Systems</Company>
  <LinksUpToDate>false</LinksUpToDate>
  <CharactersWithSpaces>122673</CharactersWithSpaces>
  <SharedDoc>false</SharedDoc>
  <HLinks>
    <vt:vector size="36" baseType="variant">
      <vt:variant>
        <vt:i4>3866685</vt:i4>
      </vt:variant>
      <vt:variant>
        <vt:i4>0</vt:i4>
      </vt:variant>
      <vt:variant>
        <vt:i4>0</vt:i4>
      </vt:variant>
      <vt:variant>
        <vt:i4>5</vt:i4>
      </vt:variant>
      <vt:variant>
        <vt:lpwstr>http://www.thyroidmanager.org/</vt:lpwstr>
      </vt:variant>
      <vt:variant>
        <vt:lpwstr/>
      </vt:variant>
      <vt:variant>
        <vt:i4>7929922</vt:i4>
      </vt:variant>
      <vt:variant>
        <vt:i4>7589</vt:i4>
      </vt:variant>
      <vt:variant>
        <vt:i4>1026</vt:i4>
      </vt:variant>
      <vt:variant>
        <vt:i4>1</vt:i4>
      </vt:variant>
      <vt:variant>
        <vt:lpwstr>figure1</vt:lpwstr>
      </vt:variant>
      <vt:variant>
        <vt:lpwstr/>
      </vt:variant>
      <vt:variant>
        <vt:i4>7929921</vt:i4>
      </vt:variant>
      <vt:variant>
        <vt:i4>10005</vt:i4>
      </vt:variant>
      <vt:variant>
        <vt:i4>1027</vt:i4>
      </vt:variant>
      <vt:variant>
        <vt:i4>1</vt:i4>
      </vt:variant>
      <vt:variant>
        <vt:lpwstr>figure2</vt:lpwstr>
      </vt:variant>
      <vt:variant>
        <vt:lpwstr/>
      </vt:variant>
      <vt:variant>
        <vt:i4>7929920</vt:i4>
      </vt:variant>
      <vt:variant>
        <vt:i4>22944</vt:i4>
      </vt:variant>
      <vt:variant>
        <vt:i4>1028</vt:i4>
      </vt:variant>
      <vt:variant>
        <vt:i4>1</vt:i4>
      </vt:variant>
      <vt:variant>
        <vt:lpwstr>figure3</vt:lpwstr>
      </vt:variant>
      <vt:variant>
        <vt:lpwstr/>
      </vt:variant>
      <vt:variant>
        <vt:i4>7929922</vt:i4>
      </vt:variant>
      <vt:variant>
        <vt:i4>23132</vt:i4>
      </vt:variant>
      <vt:variant>
        <vt:i4>1029</vt:i4>
      </vt:variant>
      <vt:variant>
        <vt:i4>1</vt:i4>
      </vt:variant>
      <vt:variant>
        <vt:lpwstr>figure1</vt:lpwstr>
      </vt:variant>
      <vt:variant>
        <vt:lpwstr/>
      </vt:variant>
      <vt:variant>
        <vt:i4>7929926</vt:i4>
      </vt:variant>
      <vt:variant>
        <vt:i4>33061</vt:i4>
      </vt:variant>
      <vt:variant>
        <vt:i4>1031</vt:i4>
      </vt:variant>
      <vt:variant>
        <vt:i4>1</vt:i4>
      </vt:variant>
      <vt:variant>
        <vt:lpwstr>figure5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Endotext.com - Female Reproductive Endocrinology - Premenstrual Syndrome</dc:title>
  <dc:creator>Peter Medeiros</dc:creator>
  <cp:lastModifiedBy>Jim DelGrande</cp:lastModifiedBy>
  <cp:revision>5</cp:revision>
  <cp:lastPrinted>2013-01-22T12:19:00Z</cp:lastPrinted>
  <dcterms:created xsi:type="dcterms:W3CDTF">2016-09-01T16:24:00Z</dcterms:created>
  <dcterms:modified xsi:type="dcterms:W3CDTF">2016-09-10T19:27:00Z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rbottom</vt:lpwstr>
  </property>
</Properties>
</file>