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B11A" w14:textId="77777777" w:rsidR="00743276" w:rsidRPr="00D1219A" w:rsidRDefault="00E540C7" w:rsidP="00D1219A">
      <w:pPr>
        <w:spacing w:after="0"/>
        <w:rPr>
          <w:rFonts w:ascii="Arial" w:eastAsia="Arial" w:hAnsi="Arial" w:cs="Arial"/>
          <w:sz w:val="28"/>
          <w:szCs w:val="28"/>
        </w:rPr>
      </w:pPr>
      <w:r w:rsidRPr="00D1219A">
        <w:rPr>
          <w:rFonts w:ascii="Arial" w:eastAsia="Arial" w:hAnsi="Arial" w:cs="Arial"/>
          <w:b/>
          <w:bCs/>
          <w:sz w:val="28"/>
          <w:szCs w:val="28"/>
        </w:rPr>
        <w:t>N</w:t>
      </w:r>
      <w:r w:rsidRPr="00D1219A">
        <w:rPr>
          <w:rFonts w:ascii="Arial" w:eastAsia="Arial" w:hAnsi="Arial" w:cs="Arial"/>
          <w:b/>
          <w:bCs/>
          <w:spacing w:val="3"/>
          <w:sz w:val="28"/>
          <w:szCs w:val="28"/>
        </w:rPr>
        <w:t>E</w:t>
      </w:r>
      <w:r w:rsidRPr="00D1219A">
        <w:rPr>
          <w:rFonts w:ascii="Arial" w:eastAsia="Arial" w:hAnsi="Arial" w:cs="Arial"/>
          <w:b/>
          <w:bCs/>
          <w:spacing w:val="-1"/>
          <w:sz w:val="28"/>
          <w:szCs w:val="28"/>
        </w:rPr>
        <w:t>O</w:t>
      </w:r>
      <w:r w:rsidRPr="00D1219A">
        <w:rPr>
          <w:rFonts w:ascii="Arial" w:eastAsia="Arial" w:hAnsi="Arial" w:cs="Arial"/>
          <w:b/>
          <w:bCs/>
          <w:spacing w:val="4"/>
          <w:sz w:val="28"/>
          <w:szCs w:val="28"/>
        </w:rPr>
        <w:t>N</w:t>
      </w:r>
      <w:r w:rsidRPr="00D1219A">
        <w:rPr>
          <w:rFonts w:ascii="Arial" w:eastAsia="Arial" w:hAnsi="Arial" w:cs="Arial"/>
          <w:b/>
          <w:bCs/>
          <w:spacing w:val="-5"/>
          <w:sz w:val="28"/>
          <w:szCs w:val="28"/>
        </w:rPr>
        <w:t>A</w:t>
      </w:r>
      <w:r w:rsidRPr="00D1219A">
        <w:rPr>
          <w:rFonts w:ascii="Arial" w:eastAsia="Arial" w:hAnsi="Arial" w:cs="Arial"/>
          <w:b/>
          <w:bCs/>
          <w:spacing w:val="6"/>
          <w:sz w:val="28"/>
          <w:szCs w:val="28"/>
        </w:rPr>
        <w:t>T</w:t>
      </w:r>
      <w:r w:rsidRPr="00D1219A">
        <w:rPr>
          <w:rFonts w:ascii="Arial" w:eastAsia="Arial" w:hAnsi="Arial" w:cs="Arial"/>
          <w:b/>
          <w:bCs/>
          <w:spacing w:val="-7"/>
          <w:sz w:val="28"/>
          <w:szCs w:val="28"/>
        </w:rPr>
        <w:t>A</w:t>
      </w:r>
      <w:r w:rsidRPr="00D1219A">
        <w:rPr>
          <w:rFonts w:ascii="Arial" w:eastAsia="Arial" w:hAnsi="Arial" w:cs="Arial"/>
          <w:b/>
          <w:bCs/>
          <w:sz w:val="28"/>
          <w:szCs w:val="28"/>
        </w:rPr>
        <w:t>L</w:t>
      </w:r>
      <w:r w:rsidRPr="00D1219A">
        <w:rPr>
          <w:rFonts w:ascii="Arial" w:eastAsia="Arial" w:hAnsi="Arial" w:cs="Arial"/>
          <w:b/>
          <w:bCs/>
          <w:spacing w:val="-17"/>
          <w:sz w:val="28"/>
          <w:szCs w:val="28"/>
        </w:rPr>
        <w:t xml:space="preserve"> </w:t>
      </w:r>
      <w:r w:rsidRPr="00D1219A">
        <w:rPr>
          <w:rFonts w:ascii="Arial" w:eastAsia="Arial" w:hAnsi="Arial" w:cs="Arial"/>
          <w:b/>
          <w:bCs/>
          <w:spacing w:val="2"/>
          <w:sz w:val="28"/>
          <w:szCs w:val="28"/>
        </w:rPr>
        <w:t>H</w:t>
      </w:r>
      <w:r w:rsidRPr="00D1219A">
        <w:rPr>
          <w:rFonts w:ascii="Arial" w:eastAsia="Arial" w:hAnsi="Arial" w:cs="Arial"/>
          <w:b/>
          <w:bCs/>
          <w:sz w:val="28"/>
          <w:szCs w:val="28"/>
        </w:rPr>
        <w:t>Y</w:t>
      </w:r>
      <w:r w:rsidRPr="00D1219A">
        <w:rPr>
          <w:rFonts w:ascii="Arial" w:eastAsia="Arial" w:hAnsi="Arial" w:cs="Arial"/>
          <w:b/>
          <w:bCs/>
          <w:spacing w:val="1"/>
          <w:sz w:val="28"/>
          <w:szCs w:val="28"/>
        </w:rPr>
        <w:t>P</w:t>
      </w:r>
      <w:r w:rsidRPr="00D1219A">
        <w:rPr>
          <w:rFonts w:ascii="Arial" w:eastAsia="Arial" w:hAnsi="Arial" w:cs="Arial"/>
          <w:b/>
          <w:bCs/>
          <w:sz w:val="28"/>
          <w:szCs w:val="28"/>
        </w:rPr>
        <w:t>ERTHY</w:t>
      </w:r>
      <w:r w:rsidRPr="00D1219A">
        <w:rPr>
          <w:rFonts w:ascii="Arial" w:eastAsia="Arial" w:hAnsi="Arial" w:cs="Arial"/>
          <w:b/>
          <w:bCs/>
          <w:spacing w:val="3"/>
          <w:sz w:val="28"/>
          <w:szCs w:val="28"/>
        </w:rPr>
        <w:t>R</w:t>
      </w:r>
      <w:r w:rsidRPr="00D1219A">
        <w:rPr>
          <w:rFonts w:ascii="Arial" w:eastAsia="Arial" w:hAnsi="Arial" w:cs="Arial"/>
          <w:b/>
          <w:bCs/>
          <w:spacing w:val="-1"/>
          <w:sz w:val="28"/>
          <w:szCs w:val="28"/>
        </w:rPr>
        <w:t>O</w:t>
      </w:r>
      <w:r w:rsidRPr="00D1219A">
        <w:rPr>
          <w:rFonts w:ascii="Arial" w:eastAsia="Arial" w:hAnsi="Arial" w:cs="Arial"/>
          <w:b/>
          <w:bCs/>
          <w:sz w:val="28"/>
          <w:szCs w:val="28"/>
        </w:rPr>
        <w:t>ID</w:t>
      </w:r>
      <w:r w:rsidRPr="00D1219A">
        <w:rPr>
          <w:rFonts w:ascii="Arial" w:eastAsia="Arial" w:hAnsi="Arial" w:cs="Arial"/>
          <w:b/>
          <w:bCs/>
          <w:spacing w:val="2"/>
          <w:sz w:val="28"/>
          <w:szCs w:val="28"/>
        </w:rPr>
        <w:t>I</w:t>
      </w:r>
      <w:r w:rsidRPr="00D1219A">
        <w:rPr>
          <w:rFonts w:ascii="Arial" w:eastAsia="Arial" w:hAnsi="Arial" w:cs="Arial"/>
          <w:b/>
          <w:bCs/>
          <w:sz w:val="28"/>
          <w:szCs w:val="28"/>
        </w:rPr>
        <w:t>S</w:t>
      </w:r>
      <w:r w:rsidRPr="00D1219A">
        <w:rPr>
          <w:rFonts w:ascii="Arial" w:eastAsia="Arial" w:hAnsi="Arial" w:cs="Arial"/>
          <w:b/>
          <w:bCs/>
          <w:spacing w:val="5"/>
          <w:sz w:val="28"/>
          <w:szCs w:val="28"/>
        </w:rPr>
        <w:t>M</w:t>
      </w:r>
    </w:p>
    <w:p w14:paraId="20BE0565" w14:textId="77777777" w:rsidR="00743276" w:rsidRDefault="00743276" w:rsidP="00D1219A">
      <w:pPr>
        <w:spacing w:after="0"/>
        <w:rPr>
          <w:sz w:val="20"/>
          <w:szCs w:val="20"/>
        </w:rPr>
      </w:pPr>
    </w:p>
    <w:p w14:paraId="50470940" w14:textId="11F6E10D" w:rsidR="00D03D01" w:rsidRPr="00D1219A" w:rsidRDefault="00D03D01" w:rsidP="00D1219A">
      <w:pPr>
        <w:widowControl/>
        <w:autoSpaceDE w:val="0"/>
        <w:autoSpaceDN w:val="0"/>
        <w:adjustRightInd w:val="0"/>
        <w:spacing w:after="0"/>
        <w:rPr>
          <w:rFonts w:ascii="Arial" w:hAnsi="Arial" w:cs="Arial"/>
          <w:sz w:val="20"/>
          <w:szCs w:val="20"/>
          <w:lang w:val="it-IT"/>
        </w:rPr>
      </w:pPr>
      <w:r w:rsidRPr="00D1219A">
        <w:rPr>
          <w:rFonts w:ascii="Arial" w:hAnsi="Arial" w:cs="Arial"/>
          <w:b/>
          <w:bCs/>
          <w:sz w:val="24"/>
          <w:szCs w:val="24"/>
        </w:rPr>
        <w:t>Maria Segni, M.D.</w:t>
      </w:r>
      <w:r w:rsidRPr="000B50AF">
        <w:rPr>
          <w:rFonts w:ascii="Arial Black" w:hAnsi="Arial Black" w:cs="Arial-BoldMT"/>
          <w:b/>
          <w:bCs/>
          <w:sz w:val="24"/>
          <w:szCs w:val="24"/>
        </w:rPr>
        <w:t xml:space="preserve"> </w:t>
      </w:r>
      <w:r w:rsidRPr="00D1219A">
        <w:rPr>
          <w:rFonts w:ascii="Arial" w:hAnsi="Arial" w:cs="Arial"/>
          <w:sz w:val="20"/>
          <w:szCs w:val="20"/>
        </w:rPr>
        <w:t>Associated Professor of Pediatrics. Sapienza University. Department of Pediatrics,</w:t>
      </w:r>
      <w:r w:rsidR="00D1219A">
        <w:rPr>
          <w:rFonts w:ascii="Arial" w:hAnsi="Arial" w:cs="Arial"/>
          <w:sz w:val="20"/>
          <w:szCs w:val="20"/>
        </w:rPr>
        <w:t xml:space="preserve"> </w:t>
      </w:r>
      <w:r w:rsidRPr="00D1219A">
        <w:rPr>
          <w:rFonts w:ascii="Arial" w:hAnsi="Arial" w:cs="Arial"/>
          <w:sz w:val="20"/>
          <w:szCs w:val="20"/>
          <w:lang w:val="it-IT"/>
        </w:rPr>
        <w:t>Rome, Italy. Pediatric Endocrinology Unit, Policlinico Umberto I, Viale</w:t>
      </w:r>
      <w:r w:rsidR="006F1EB7" w:rsidRPr="00D1219A">
        <w:rPr>
          <w:rFonts w:ascii="Arial" w:hAnsi="Arial" w:cs="Arial"/>
          <w:sz w:val="20"/>
          <w:szCs w:val="20"/>
          <w:lang w:val="it-IT"/>
        </w:rPr>
        <w:t xml:space="preserve"> </w:t>
      </w:r>
      <w:r w:rsidRPr="00D1219A">
        <w:rPr>
          <w:rFonts w:ascii="Arial" w:hAnsi="Arial" w:cs="Arial"/>
          <w:sz w:val="20"/>
          <w:szCs w:val="20"/>
          <w:lang w:val="it-IT"/>
        </w:rPr>
        <w:t>Regina Elena 364 -00161- Rome Italy.</w:t>
      </w:r>
      <w:r w:rsidR="00D1219A">
        <w:rPr>
          <w:rFonts w:ascii="Arial" w:hAnsi="Arial" w:cs="Arial"/>
          <w:sz w:val="20"/>
          <w:szCs w:val="20"/>
          <w:lang w:val="it-IT"/>
        </w:rPr>
        <w:t xml:space="preserve"> </w:t>
      </w:r>
      <w:r w:rsidR="00D1219A" w:rsidRPr="00D1219A">
        <w:rPr>
          <w:rFonts w:ascii="Arial" w:hAnsi="Arial" w:cs="Arial"/>
          <w:sz w:val="20"/>
          <w:szCs w:val="20"/>
          <w:lang w:val="it-IT"/>
        </w:rPr>
        <w:t>Email maria.segni@uniroma1.it.</w:t>
      </w:r>
    </w:p>
    <w:p w14:paraId="76404F58" w14:textId="77777777" w:rsidR="00743276" w:rsidRDefault="00743276" w:rsidP="00D1219A">
      <w:pPr>
        <w:spacing w:after="0"/>
        <w:rPr>
          <w:sz w:val="12"/>
          <w:szCs w:val="12"/>
        </w:rPr>
      </w:pPr>
    </w:p>
    <w:p w14:paraId="1C30E532" w14:textId="4246FF54" w:rsidR="00D03D01" w:rsidRPr="00D1219A" w:rsidRDefault="00D1219A" w:rsidP="00D1219A">
      <w:pPr>
        <w:spacing w:after="0"/>
        <w:rPr>
          <w:rFonts w:ascii="Arial" w:hAnsi="Arial" w:cs="Arial"/>
          <w:b/>
        </w:rPr>
      </w:pPr>
      <w:r w:rsidRPr="00D1219A">
        <w:rPr>
          <w:rFonts w:ascii="Arial" w:hAnsi="Arial" w:cs="Arial"/>
          <w:b/>
        </w:rPr>
        <w:t>Updated April 14, 2019</w:t>
      </w:r>
    </w:p>
    <w:p w14:paraId="1AD57D51" w14:textId="77777777" w:rsidR="00D03D01" w:rsidRPr="00D1219A" w:rsidRDefault="00D03D01" w:rsidP="00D1219A">
      <w:pPr>
        <w:spacing w:after="0"/>
        <w:rPr>
          <w:rFonts w:ascii="Arial" w:hAnsi="Arial" w:cs="Arial"/>
        </w:rPr>
      </w:pPr>
    </w:p>
    <w:p w14:paraId="216551F4" w14:textId="2BA5F6F4" w:rsidR="0058308F" w:rsidRPr="00D1219A" w:rsidRDefault="0058308F" w:rsidP="00D1219A">
      <w:pPr>
        <w:widowControl/>
        <w:autoSpaceDE w:val="0"/>
        <w:autoSpaceDN w:val="0"/>
        <w:adjustRightInd w:val="0"/>
        <w:spacing w:after="0"/>
        <w:rPr>
          <w:rFonts w:ascii="Arial" w:hAnsi="Arial" w:cs="Arial"/>
          <w:b/>
          <w:bCs/>
        </w:rPr>
      </w:pPr>
      <w:r w:rsidRPr="00D1219A">
        <w:rPr>
          <w:rFonts w:ascii="Arial" w:hAnsi="Arial" w:cs="Arial"/>
          <w:b/>
          <w:bCs/>
        </w:rPr>
        <w:t>I</w:t>
      </w:r>
      <w:r w:rsidR="00D1219A">
        <w:rPr>
          <w:rFonts w:ascii="Arial" w:hAnsi="Arial" w:cs="Arial"/>
          <w:b/>
          <w:bCs/>
        </w:rPr>
        <w:t>NTRODUCTION</w:t>
      </w:r>
      <w:r w:rsidRPr="00D1219A">
        <w:rPr>
          <w:rFonts w:ascii="Arial" w:hAnsi="Arial" w:cs="Arial"/>
          <w:b/>
          <w:bCs/>
        </w:rPr>
        <w:t xml:space="preserve"> </w:t>
      </w:r>
    </w:p>
    <w:p w14:paraId="61F17AA8" w14:textId="77777777" w:rsidR="00D1219A" w:rsidRDefault="00D1219A" w:rsidP="00D1219A">
      <w:pPr>
        <w:widowControl/>
        <w:autoSpaceDE w:val="0"/>
        <w:autoSpaceDN w:val="0"/>
        <w:adjustRightInd w:val="0"/>
        <w:spacing w:after="0"/>
        <w:rPr>
          <w:rFonts w:ascii="Arial" w:hAnsi="Arial" w:cs="Arial"/>
        </w:rPr>
      </w:pPr>
    </w:p>
    <w:p w14:paraId="2A9A64F6" w14:textId="77777777" w:rsidR="00D1219A" w:rsidRDefault="000B50AF" w:rsidP="00D1219A">
      <w:pPr>
        <w:widowControl/>
        <w:autoSpaceDE w:val="0"/>
        <w:autoSpaceDN w:val="0"/>
        <w:adjustRightInd w:val="0"/>
        <w:spacing w:after="0"/>
        <w:rPr>
          <w:rFonts w:ascii="Arial" w:hAnsi="Arial" w:cs="Arial"/>
        </w:rPr>
      </w:pPr>
      <w:r w:rsidRPr="00D1219A">
        <w:rPr>
          <w:rFonts w:ascii="Arial" w:hAnsi="Arial" w:cs="Arial"/>
        </w:rPr>
        <w:t>N</w:t>
      </w:r>
      <w:r w:rsidR="0058308F" w:rsidRPr="00D1219A">
        <w:rPr>
          <w:rFonts w:ascii="Arial" w:hAnsi="Arial" w:cs="Arial"/>
        </w:rPr>
        <w:t xml:space="preserve">eonatal hyperthyroidism </w:t>
      </w:r>
      <w:r w:rsidRPr="00D1219A">
        <w:rPr>
          <w:rFonts w:ascii="Arial" w:hAnsi="Arial" w:cs="Arial"/>
        </w:rPr>
        <w:t xml:space="preserve">in </w:t>
      </w:r>
      <w:r w:rsidR="006F1EB7" w:rsidRPr="00D1219A">
        <w:rPr>
          <w:rFonts w:ascii="Arial" w:hAnsi="Arial" w:cs="Arial"/>
        </w:rPr>
        <w:t>most</w:t>
      </w:r>
      <w:r w:rsidRPr="00D1219A">
        <w:rPr>
          <w:rFonts w:ascii="Arial" w:hAnsi="Arial" w:cs="Arial"/>
        </w:rPr>
        <w:t xml:space="preserve"> cases</w:t>
      </w:r>
      <w:r w:rsidR="0058308F" w:rsidRPr="00D1219A">
        <w:rPr>
          <w:rFonts w:ascii="Arial" w:hAnsi="Arial" w:cs="Arial"/>
        </w:rPr>
        <w:t xml:space="preserve"> is transient and results from the transplacental</w:t>
      </w:r>
      <w:r w:rsidR="00FD4AC7" w:rsidRPr="00D1219A">
        <w:rPr>
          <w:rFonts w:ascii="Arial" w:hAnsi="Arial" w:cs="Arial"/>
        </w:rPr>
        <w:t xml:space="preserve"> pa</w:t>
      </w:r>
      <w:r w:rsidR="0058308F" w:rsidRPr="00D1219A">
        <w:rPr>
          <w:rFonts w:ascii="Arial" w:hAnsi="Arial" w:cs="Arial"/>
        </w:rPr>
        <w:t xml:space="preserve">ssage of maternal </w:t>
      </w:r>
      <w:r w:rsidR="00890342" w:rsidRPr="00D1219A">
        <w:rPr>
          <w:rFonts w:ascii="Arial" w:hAnsi="Arial" w:cs="Arial"/>
        </w:rPr>
        <w:t xml:space="preserve">stimulating </w:t>
      </w:r>
      <w:r w:rsidR="0058308F" w:rsidRPr="00D1219A">
        <w:rPr>
          <w:rFonts w:ascii="Arial" w:hAnsi="Arial" w:cs="Arial"/>
        </w:rPr>
        <w:t>TSH receptor antibodies (TRAb)</w:t>
      </w:r>
      <w:r w:rsidR="000B0321" w:rsidRPr="00D1219A">
        <w:rPr>
          <w:rFonts w:ascii="Arial" w:hAnsi="Arial" w:cs="Arial"/>
        </w:rPr>
        <w:t xml:space="preserve"> </w:t>
      </w:r>
      <w:r w:rsidR="00EE323B" w:rsidRPr="00D1219A">
        <w:rPr>
          <w:rFonts w:ascii="Arial" w:hAnsi="Arial" w:cs="Arial"/>
        </w:rPr>
        <w:t>known as neonatal Graves’ disease (GD)</w:t>
      </w:r>
      <w:r w:rsidR="0058308F" w:rsidRPr="00D1219A">
        <w:rPr>
          <w:rFonts w:ascii="Arial" w:hAnsi="Arial" w:cs="Arial"/>
        </w:rPr>
        <w:t xml:space="preserve">.  Permanent non autoimmune neonatal hyperthyroidism is </w:t>
      </w:r>
      <w:r w:rsidR="00105C1D" w:rsidRPr="00D1219A">
        <w:rPr>
          <w:rFonts w:ascii="Arial" w:hAnsi="Arial" w:cs="Arial"/>
        </w:rPr>
        <w:t xml:space="preserve">rare and is </w:t>
      </w:r>
      <w:r w:rsidR="0058308F" w:rsidRPr="00D1219A">
        <w:rPr>
          <w:rFonts w:ascii="Arial" w:hAnsi="Arial" w:cs="Arial"/>
        </w:rPr>
        <w:t>due to activating mutations</w:t>
      </w:r>
      <w:r w:rsidR="00FD4AC7" w:rsidRPr="00D1219A">
        <w:rPr>
          <w:rFonts w:ascii="Arial" w:hAnsi="Arial" w:cs="Arial"/>
        </w:rPr>
        <w:t xml:space="preserve"> </w:t>
      </w:r>
      <w:r w:rsidR="0058308F" w:rsidRPr="00D1219A">
        <w:rPr>
          <w:rFonts w:ascii="Arial" w:hAnsi="Arial" w:cs="Arial"/>
        </w:rPr>
        <w:t>of TSH receptor</w:t>
      </w:r>
      <w:r w:rsidR="00DA0164" w:rsidRPr="00D1219A">
        <w:rPr>
          <w:rFonts w:ascii="Arial" w:hAnsi="Arial" w:cs="Arial"/>
        </w:rPr>
        <w:t xml:space="preserve"> </w:t>
      </w:r>
      <w:r w:rsidR="0058308F" w:rsidRPr="00D1219A">
        <w:rPr>
          <w:rFonts w:ascii="Arial" w:hAnsi="Arial" w:cs="Arial"/>
        </w:rPr>
        <w:t xml:space="preserve">or </w:t>
      </w:r>
      <w:r w:rsidR="00B26AA1" w:rsidRPr="00D1219A">
        <w:rPr>
          <w:rFonts w:ascii="Arial" w:hAnsi="Arial" w:cs="Arial"/>
        </w:rPr>
        <w:t>due to somatic activating mutations in</w:t>
      </w:r>
      <w:r w:rsidR="009E36E4" w:rsidRPr="00D1219A">
        <w:rPr>
          <w:rFonts w:ascii="Arial" w:hAnsi="Arial" w:cs="Arial"/>
        </w:rPr>
        <w:t xml:space="preserve"> the stimulatory alpha subunit of the guanine nucleotide-binding protein (GNAS</w:t>
      </w:r>
      <w:r w:rsidR="00B26AA1" w:rsidRPr="00D1219A">
        <w:rPr>
          <w:rFonts w:ascii="Arial" w:hAnsi="Arial" w:cs="Arial"/>
        </w:rPr>
        <w:t xml:space="preserve"> gene</w:t>
      </w:r>
      <w:r w:rsidR="003A139B" w:rsidRPr="00D1219A">
        <w:rPr>
          <w:rFonts w:ascii="Arial" w:hAnsi="Arial" w:cs="Arial"/>
        </w:rPr>
        <w:t>)</w:t>
      </w:r>
      <w:r w:rsidR="00DE4BDC" w:rsidRPr="00D1219A">
        <w:rPr>
          <w:rFonts w:ascii="Arial" w:hAnsi="Arial" w:cs="Arial"/>
        </w:rPr>
        <w:t xml:space="preserve"> in McCune-Albright syndrome</w:t>
      </w:r>
      <w:r w:rsidR="0058308F" w:rsidRPr="00D1219A">
        <w:rPr>
          <w:rFonts w:ascii="Arial" w:hAnsi="Arial" w:cs="Arial"/>
        </w:rPr>
        <w:t>.</w:t>
      </w:r>
      <w:r w:rsidR="003A139B" w:rsidRPr="00D1219A">
        <w:rPr>
          <w:rFonts w:ascii="Arial" w:hAnsi="Arial" w:cs="Arial"/>
        </w:rPr>
        <w:t xml:space="preserve"> Exp</w:t>
      </w:r>
      <w:r w:rsidR="00FD4AC7" w:rsidRPr="00D1219A">
        <w:rPr>
          <w:rFonts w:ascii="Arial" w:hAnsi="Arial" w:cs="Arial"/>
        </w:rPr>
        <w:t>o</w:t>
      </w:r>
      <w:r w:rsidR="003A139B" w:rsidRPr="00D1219A">
        <w:rPr>
          <w:rFonts w:ascii="Arial" w:hAnsi="Arial" w:cs="Arial"/>
        </w:rPr>
        <w:t xml:space="preserve">sure to topical iodine has also been reported as a rare cause of hyperthyroidism in </w:t>
      </w:r>
      <w:bookmarkStart w:id="0" w:name="_GoBack"/>
      <w:bookmarkEnd w:id="0"/>
      <w:r w:rsidR="003A139B" w:rsidRPr="00D1219A">
        <w:rPr>
          <w:rFonts w:ascii="Arial" w:hAnsi="Arial" w:cs="Arial"/>
        </w:rPr>
        <w:t>newborns.</w:t>
      </w:r>
      <w:r w:rsidR="000B0321" w:rsidRPr="00D1219A">
        <w:rPr>
          <w:rFonts w:ascii="Arial" w:hAnsi="Arial" w:cs="Arial"/>
        </w:rPr>
        <w:t xml:space="preserve"> </w:t>
      </w:r>
    </w:p>
    <w:p w14:paraId="4705C187" w14:textId="5A3E7EFC" w:rsidR="0058308F" w:rsidRPr="00D1219A" w:rsidRDefault="003A139B" w:rsidP="00D1219A">
      <w:pPr>
        <w:widowControl/>
        <w:autoSpaceDE w:val="0"/>
        <w:autoSpaceDN w:val="0"/>
        <w:adjustRightInd w:val="0"/>
        <w:spacing w:after="0"/>
        <w:rPr>
          <w:rFonts w:ascii="Arial" w:hAnsi="Arial" w:cs="Arial"/>
        </w:rPr>
      </w:pPr>
      <w:r w:rsidRPr="00D1219A">
        <w:rPr>
          <w:rFonts w:ascii="Arial" w:hAnsi="Arial" w:cs="Arial"/>
        </w:rPr>
        <w:t xml:space="preserve"> </w:t>
      </w:r>
    </w:p>
    <w:p w14:paraId="61ABBD97" w14:textId="21064F09" w:rsidR="00D03D01" w:rsidRPr="00D1219A" w:rsidRDefault="00D03D01" w:rsidP="00D1219A">
      <w:pPr>
        <w:widowControl/>
        <w:autoSpaceDE w:val="0"/>
        <w:autoSpaceDN w:val="0"/>
        <w:adjustRightInd w:val="0"/>
        <w:spacing w:after="0"/>
        <w:rPr>
          <w:rFonts w:ascii="Arial" w:hAnsi="Arial" w:cs="Arial"/>
          <w:b/>
          <w:bCs/>
        </w:rPr>
      </w:pPr>
      <w:r w:rsidRPr="00D1219A">
        <w:rPr>
          <w:rFonts w:ascii="Arial" w:hAnsi="Arial" w:cs="Arial"/>
          <w:b/>
          <w:bCs/>
        </w:rPr>
        <w:t>T</w:t>
      </w:r>
      <w:r w:rsidR="00D1219A">
        <w:rPr>
          <w:rFonts w:ascii="Arial" w:hAnsi="Arial" w:cs="Arial"/>
          <w:b/>
          <w:bCs/>
        </w:rPr>
        <w:t>RANSIENT NEONATAL HYPERTHYROIDISM</w:t>
      </w:r>
    </w:p>
    <w:p w14:paraId="61A59EFF" w14:textId="77777777" w:rsidR="00D1219A" w:rsidRDefault="00D1219A" w:rsidP="00D1219A">
      <w:pPr>
        <w:widowControl/>
        <w:autoSpaceDE w:val="0"/>
        <w:autoSpaceDN w:val="0"/>
        <w:adjustRightInd w:val="0"/>
        <w:spacing w:after="0"/>
        <w:rPr>
          <w:rFonts w:ascii="Arial" w:hAnsi="Arial" w:cs="Arial"/>
        </w:rPr>
      </w:pPr>
    </w:p>
    <w:p w14:paraId="14953801" w14:textId="6EEDCBF1" w:rsidR="00DE4BDC" w:rsidRDefault="003A139B" w:rsidP="00D1219A">
      <w:pPr>
        <w:widowControl/>
        <w:autoSpaceDE w:val="0"/>
        <w:autoSpaceDN w:val="0"/>
        <w:adjustRightInd w:val="0"/>
        <w:spacing w:after="0"/>
        <w:rPr>
          <w:rFonts w:ascii="Arial" w:hAnsi="Arial" w:cs="Arial"/>
        </w:rPr>
      </w:pPr>
      <w:r w:rsidRPr="00D1219A">
        <w:rPr>
          <w:rFonts w:ascii="Arial" w:hAnsi="Arial" w:cs="Arial"/>
        </w:rPr>
        <w:t xml:space="preserve">Neonatal </w:t>
      </w:r>
      <w:r w:rsidR="00DE4BDC" w:rsidRPr="00D1219A">
        <w:rPr>
          <w:rFonts w:ascii="Arial" w:hAnsi="Arial" w:cs="Arial"/>
        </w:rPr>
        <w:t>Graves</w:t>
      </w:r>
      <w:r w:rsidR="00EE323B" w:rsidRPr="00D1219A">
        <w:rPr>
          <w:rFonts w:ascii="Arial" w:hAnsi="Arial" w:cs="Arial"/>
        </w:rPr>
        <w:t>’</w:t>
      </w:r>
      <w:r w:rsidR="00DE4BDC" w:rsidRPr="00D1219A">
        <w:rPr>
          <w:rFonts w:ascii="Arial" w:hAnsi="Arial" w:cs="Arial"/>
        </w:rPr>
        <w:t xml:space="preserve"> disease</w:t>
      </w:r>
      <w:r w:rsidR="00324A71" w:rsidRPr="00D1219A">
        <w:rPr>
          <w:rFonts w:ascii="Arial" w:hAnsi="Arial" w:cs="Arial"/>
        </w:rPr>
        <w:t xml:space="preserve"> (GD)</w:t>
      </w:r>
      <w:r w:rsidR="006C07FF" w:rsidRPr="00D1219A">
        <w:rPr>
          <w:rFonts w:ascii="Arial" w:hAnsi="Arial" w:cs="Arial"/>
        </w:rPr>
        <w:t xml:space="preserve"> </w:t>
      </w:r>
      <w:r w:rsidR="00324A71" w:rsidRPr="00D1219A">
        <w:rPr>
          <w:rFonts w:ascii="Arial" w:hAnsi="Arial" w:cs="Arial"/>
        </w:rPr>
        <w:t xml:space="preserve">is usually a self-limited disease, but it can be life threatening and permanently damage </w:t>
      </w:r>
      <w:r w:rsidR="006C07FF" w:rsidRPr="00D1219A">
        <w:rPr>
          <w:rFonts w:ascii="Arial" w:hAnsi="Arial" w:cs="Arial"/>
        </w:rPr>
        <w:t xml:space="preserve">the </w:t>
      </w:r>
      <w:r w:rsidR="00890342" w:rsidRPr="00D1219A">
        <w:rPr>
          <w:rFonts w:ascii="Arial" w:hAnsi="Arial" w:cs="Arial"/>
        </w:rPr>
        <w:t xml:space="preserve">brain. </w:t>
      </w:r>
      <w:r w:rsidR="00324A71" w:rsidRPr="00D1219A">
        <w:rPr>
          <w:rFonts w:ascii="Arial" w:hAnsi="Arial" w:cs="Arial"/>
        </w:rPr>
        <w:t xml:space="preserve"> Neonatal </w:t>
      </w:r>
      <w:r w:rsidR="00DE4BDC" w:rsidRPr="00D1219A">
        <w:rPr>
          <w:rFonts w:ascii="Arial" w:hAnsi="Arial" w:cs="Arial"/>
        </w:rPr>
        <w:t xml:space="preserve">GD </w:t>
      </w:r>
      <w:r w:rsidR="00FD4AC7" w:rsidRPr="00D1219A">
        <w:rPr>
          <w:rFonts w:ascii="Arial" w:hAnsi="Arial" w:cs="Arial"/>
        </w:rPr>
        <w:t xml:space="preserve">is </w:t>
      </w:r>
      <w:r w:rsidRPr="00D1219A">
        <w:rPr>
          <w:rFonts w:ascii="Arial" w:hAnsi="Arial" w:cs="Arial"/>
        </w:rPr>
        <w:t xml:space="preserve">caused by </w:t>
      </w:r>
      <w:r w:rsidR="00D03D01" w:rsidRPr="00D1219A">
        <w:rPr>
          <w:rFonts w:ascii="Arial" w:hAnsi="Arial" w:cs="Arial"/>
        </w:rPr>
        <w:t>tra</w:t>
      </w:r>
      <w:r w:rsidR="00925B45" w:rsidRPr="00D1219A">
        <w:rPr>
          <w:rFonts w:ascii="Arial" w:hAnsi="Arial" w:cs="Arial"/>
        </w:rPr>
        <w:t>nsplacental passa</w:t>
      </w:r>
      <w:r w:rsidR="006C07FF" w:rsidRPr="00D1219A">
        <w:rPr>
          <w:rFonts w:ascii="Arial" w:hAnsi="Arial" w:cs="Arial"/>
        </w:rPr>
        <w:t>ge</w:t>
      </w:r>
      <w:r w:rsidR="00A1497E" w:rsidRPr="00D1219A">
        <w:rPr>
          <w:rFonts w:ascii="Arial" w:hAnsi="Arial" w:cs="Arial"/>
        </w:rPr>
        <w:t xml:space="preserve"> of TSH receptor antibodies (TRAb) with stim</w:t>
      </w:r>
      <w:r w:rsidR="00BB6AC2" w:rsidRPr="00D1219A">
        <w:rPr>
          <w:rFonts w:ascii="Arial" w:hAnsi="Arial" w:cs="Arial"/>
        </w:rPr>
        <w:t>ula</w:t>
      </w:r>
      <w:r w:rsidR="00A1497E" w:rsidRPr="00D1219A">
        <w:rPr>
          <w:rFonts w:ascii="Arial" w:hAnsi="Arial" w:cs="Arial"/>
        </w:rPr>
        <w:t xml:space="preserve">tory activity. </w:t>
      </w:r>
    </w:p>
    <w:p w14:paraId="33B5D7F5" w14:textId="77777777" w:rsidR="00DF1B7B" w:rsidRPr="00D1219A" w:rsidRDefault="00DF1B7B" w:rsidP="00D1219A">
      <w:pPr>
        <w:widowControl/>
        <w:autoSpaceDE w:val="0"/>
        <w:autoSpaceDN w:val="0"/>
        <w:adjustRightInd w:val="0"/>
        <w:spacing w:after="0"/>
        <w:rPr>
          <w:rFonts w:ascii="Arial" w:hAnsi="Arial" w:cs="Arial"/>
        </w:rPr>
      </w:pPr>
    </w:p>
    <w:p w14:paraId="3B92324A" w14:textId="0D4D942A" w:rsidR="0030597A" w:rsidRDefault="00DE4BDC" w:rsidP="00D1219A">
      <w:pPr>
        <w:widowControl/>
        <w:autoSpaceDE w:val="0"/>
        <w:autoSpaceDN w:val="0"/>
        <w:adjustRightInd w:val="0"/>
        <w:spacing w:after="0"/>
        <w:rPr>
          <w:rFonts w:ascii="Arial" w:hAnsi="Arial" w:cs="Arial"/>
        </w:rPr>
      </w:pPr>
      <w:r w:rsidRPr="00D1219A">
        <w:rPr>
          <w:rFonts w:ascii="Arial" w:hAnsi="Arial" w:cs="Arial"/>
        </w:rPr>
        <w:t>TRAb</w:t>
      </w:r>
      <w:r w:rsidR="0030597A" w:rsidRPr="00D1219A">
        <w:rPr>
          <w:rFonts w:ascii="Arial" w:hAnsi="Arial" w:cs="Arial"/>
        </w:rPr>
        <w:t xml:space="preserve"> are Immunoglobulin of G class and freely cross the placenta. Different type</w:t>
      </w:r>
      <w:r w:rsidR="00766F54">
        <w:rPr>
          <w:rFonts w:ascii="Arial" w:hAnsi="Arial" w:cs="Arial"/>
        </w:rPr>
        <w:t>s</w:t>
      </w:r>
      <w:r w:rsidR="0030597A" w:rsidRPr="00D1219A">
        <w:rPr>
          <w:rFonts w:ascii="Arial" w:hAnsi="Arial" w:cs="Arial"/>
        </w:rPr>
        <w:t xml:space="preserve"> of TRAb can be found: TRAb that bind to the TSH receptor and stimulates the</w:t>
      </w:r>
      <w:r w:rsidR="00B832DD" w:rsidRPr="00D1219A">
        <w:rPr>
          <w:rFonts w:ascii="Arial" w:hAnsi="Arial" w:cs="Arial"/>
        </w:rPr>
        <w:t xml:space="preserve"> </w:t>
      </w:r>
      <w:r w:rsidR="0030597A" w:rsidRPr="00D1219A">
        <w:rPr>
          <w:rFonts w:ascii="Arial" w:hAnsi="Arial" w:cs="Arial"/>
        </w:rPr>
        <w:t>production of thyroid hormones, (TSH receptor stimulating antibodies, TSI), TRAb that bind to the</w:t>
      </w:r>
      <w:r w:rsidR="00BB6AC2" w:rsidRPr="00D1219A">
        <w:rPr>
          <w:rFonts w:ascii="Arial" w:hAnsi="Arial" w:cs="Arial"/>
        </w:rPr>
        <w:t xml:space="preserve"> </w:t>
      </w:r>
      <w:r w:rsidR="0030597A" w:rsidRPr="00D1219A">
        <w:rPr>
          <w:rFonts w:ascii="Arial" w:hAnsi="Arial" w:cs="Arial"/>
        </w:rPr>
        <w:t>TSH receptor, do not stimulate the production of thyroid hormones and can block the binding of</w:t>
      </w:r>
      <w:r w:rsidR="00B832DD" w:rsidRPr="00D1219A">
        <w:rPr>
          <w:rFonts w:ascii="Arial" w:hAnsi="Arial" w:cs="Arial"/>
        </w:rPr>
        <w:t xml:space="preserve"> </w:t>
      </w:r>
      <w:r w:rsidR="0030597A" w:rsidRPr="00D1219A">
        <w:rPr>
          <w:rFonts w:ascii="Arial" w:hAnsi="Arial" w:cs="Arial"/>
        </w:rPr>
        <w:t>TSH (TSH receptor blocking antibodies TBI).</w:t>
      </w:r>
    </w:p>
    <w:p w14:paraId="7439C7AD" w14:textId="77777777" w:rsidR="00766F54" w:rsidRPr="00D1219A" w:rsidRDefault="00766F54" w:rsidP="00D1219A">
      <w:pPr>
        <w:widowControl/>
        <w:autoSpaceDE w:val="0"/>
        <w:autoSpaceDN w:val="0"/>
        <w:adjustRightInd w:val="0"/>
        <w:spacing w:after="0"/>
        <w:rPr>
          <w:rFonts w:ascii="Arial" w:hAnsi="Arial" w:cs="Arial"/>
        </w:rPr>
      </w:pPr>
    </w:p>
    <w:p w14:paraId="0278E508" w14:textId="0AB4F770" w:rsidR="00EC6599" w:rsidRDefault="00D03D01" w:rsidP="00D1219A">
      <w:pPr>
        <w:widowControl/>
        <w:autoSpaceDE w:val="0"/>
        <w:autoSpaceDN w:val="0"/>
        <w:adjustRightInd w:val="0"/>
        <w:spacing w:after="0"/>
        <w:rPr>
          <w:rFonts w:ascii="Arial" w:hAnsi="Arial" w:cs="Arial"/>
        </w:rPr>
      </w:pPr>
      <w:r w:rsidRPr="00D1219A">
        <w:rPr>
          <w:rFonts w:ascii="Arial" w:hAnsi="Arial" w:cs="Arial"/>
        </w:rPr>
        <w:t>Hyperthyroidism develops only in babies born to mothers with the most potent</w:t>
      </w:r>
      <w:r w:rsidR="00251A14" w:rsidRPr="00D1219A">
        <w:rPr>
          <w:rFonts w:ascii="Arial" w:hAnsi="Arial" w:cs="Arial"/>
        </w:rPr>
        <w:t xml:space="preserve"> </w:t>
      </w:r>
      <w:r w:rsidRPr="00D1219A">
        <w:rPr>
          <w:rFonts w:ascii="Arial" w:hAnsi="Arial" w:cs="Arial"/>
        </w:rPr>
        <w:t>stimulatory activity in serum</w:t>
      </w:r>
      <w:r w:rsidR="00766F54">
        <w:rPr>
          <w:rFonts w:ascii="Arial" w:hAnsi="Arial" w:cs="Arial"/>
        </w:rPr>
        <w:t>.</w:t>
      </w:r>
      <w:r w:rsidRPr="00D1219A">
        <w:rPr>
          <w:rFonts w:ascii="Arial" w:hAnsi="Arial" w:cs="Arial"/>
        </w:rPr>
        <w:t xml:space="preserve"> This corresponds to 1-2% of mothers with Graves’</w:t>
      </w:r>
      <w:r w:rsidR="00105C1D" w:rsidRPr="00D1219A">
        <w:rPr>
          <w:rFonts w:ascii="Arial" w:hAnsi="Arial" w:cs="Arial"/>
        </w:rPr>
        <w:t xml:space="preserve"> </w:t>
      </w:r>
      <w:r w:rsidRPr="00D1219A">
        <w:rPr>
          <w:rFonts w:ascii="Arial" w:hAnsi="Arial" w:cs="Arial"/>
        </w:rPr>
        <w:t>disease, or 1 in 50,000 newborns, an incidence that is approximately four times higher than is that</w:t>
      </w:r>
      <w:r w:rsidR="00251A14" w:rsidRPr="00D1219A">
        <w:rPr>
          <w:rFonts w:ascii="Arial" w:hAnsi="Arial" w:cs="Arial"/>
        </w:rPr>
        <w:t xml:space="preserve"> </w:t>
      </w:r>
      <w:r w:rsidRPr="00D1219A">
        <w:rPr>
          <w:rFonts w:ascii="Arial" w:hAnsi="Arial" w:cs="Arial"/>
        </w:rPr>
        <w:t>for transient neonatal hypothyroidism due to maternal TSH rec</w:t>
      </w:r>
      <w:r w:rsidR="00251A14" w:rsidRPr="00D1219A">
        <w:rPr>
          <w:rFonts w:ascii="Arial" w:hAnsi="Arial" w:cs="Arial"/>
        </w:rPr>
        <w:t>eptor blocking antibodies</w:t>
      </w:r>
      <w:r w:rsidR="00766F54">
        <w:rPr>
          <w:rFonts w:ascii="Arial" w:hAnsi="Arial" w:cs="Arial"/>
        </w:rPr>
        <w:t xml:space="preserve">. </w:t>
      </w:r>
      <w:r w:rsidR="00EC6599" w:rsidRPr="00D1219A">
        <w:rPr>
          <w:rFonts w:ascii="Arial" w:hAnsi="Arial" w:cs="Arial"/>
        </w:rPr>
        <w:t>Some mothers have mixtures of stimulating and blocking antibodies in their circulation, the relative proportion of which may change over time</w:t>
      </w:r>
      <w:r w:rsidR="00890342" w:rsidRPr="00D1219A">
        <w:rPr>
          <w:rFonts w:ascii="Arial" w:hAnsi="Arial" w:cs="Arial"/>
        </w:rPr>
        <w:t>.</w:t>
      </w:r>
      <w:r w:rsidR="00766F54">
        <w:rPr>
          <w:rFonts w:ascii="Arial" w:hAnsi="Arial" w:cs="Arial"/>
        </w:rPr>
        <w:t xml:space="preserve"> </w:t>
      </w:r>
      <w:r w:rsidR="00EC6599" w:rsidRPr="00D1219A">
        <w:rPr>
          <w:rFonts w:ascii="Arial" w:hAnsi="Arial" w:cs="Arial"/>
        </w:rPr>
        <w:t>Not surprisingly, the clinical picture in the fetus and neonate of these mothers is more complex and depends not only on the relative proportion of each activity in the maternal circulation at any one time but on the rate of their clearance from the</w:t>
      </w:r>
      <w:r w:rsidR="00B832DD" w:rsidRPr="00D1219A">
        <w:rPr>
          <w:rFonts w:ascii="Arial" w:hAnsi="Arial" w:cs="Arial"/>
        </w:rPr>
        <w:t xml:space="preserve"> </w:t>
      </w:r>
      <w:r w:rsidR="00EC6599" w:rsidRPr="00D1219A">
        <w:rPr>
          <w:rFonts w:ascii="Arial" w:hAnsi="Arial" w:cs="Arial"/>
        </w:rPr>
        <w:t>neonatal circulation postpartum.</w:t>
      </w:r>
    </w:p>
    <w:p w14:paraId="5B853AC2" w14:textId="77777777" w:rsidR="00766F54" w:rsidRPr="00D1219A" w:rsidRDefault="00766F54" w:rsidP="00D1219A">
      <w:pPr>
        <w:widowControl/>
        <w:autoSpaceDE w:val="0"/>
        <w:autoSpaceDN w:val="0"/>
        <w:adjustRightInd w:val="0"/>
        <w:spacing w:after="0"/>
        <w:rPr>
          <w:rFonts w:ascii="Arial" w:hAnsi="Arial" w:cs="Arial"/>
        </w:rPr>
      </w:pPr>
    </w:p>
    <w:p w14:paraId="72F70E17" w14:textId="778152BD" w:rsidR="00251A14" w:rsidRPr="00D1219A" w:rsidRDefault="00251A14" w:rsidP="00D1219A">
      <w:pPr>
        <w:widowControl/>
        <w:autoSpaceDE w:val="0"/>
        <w:autoSpaceDN w:val="0"/>
        <w:adjustRightInd w:val="0"/>
        <w:spacing w:after="0"/>
        <w:rPr>
          <w:rFonts w:ascii="Arial" w:hAnsi="Arial" w:cs="Arial"/>
        </w:rPr>
      </w:pPr>
      <w:r w:rsidRPr="00D1219A">
        <w:rPr>
          <w:rFonts w:ascii="Arial" w:hAnsi="Arial" w:cs="Arial"/>
        </w:rPr>
        <w:t xml:space="preserve">Occasionally, neonatal hyperthyroidism may even occur in infants born to hypothyroid mothers. A prospective study showed that 40% of patients treated for Graves’ disease with radioactive iodine had TRAb detectable after 5 years </w:t>
      </w:r>
      <w:r w:rsidR="00694CEF" w:rsidRPr="00D1219A">
        <w:rPr>
          <w:rFonts w:ascii="Arial" w:hAnsi="Arial" w:cs="Arial"/>
        </w:rPr>
        <w:t>(13)</w:t>
      </w:r>
      <w:r w:rsidRPr="00D1219A">
        <w:rPr>
          <w:rFonts w:ascii="Arial" w:hAnsi="Arial" w:cs="Arial"/>
        </w:rPr>
        <w:t>. In these situations, the maternal thyroid has been destroyed either by prior radioablation, surgery</w:t>
      </w:r>
      <w:r w:rsidR="00CC19B0">
        <w:rPr>
          <w:rFonts w:ascii="Arial" w:hAnsi="Arial" w:cs="Arial"/>
        </w:rPr>
        <w:t>,</w:t>
      </w:r>
      <w:r w:rsidRPr="00D1219A">
        <w:rPr>
          <w:rFonts w:ascii="Arial" w:hAnsi="Arial" w:cs="Arial"/>
        </w:rPr>
        <w:t xml:space="preserve"> or by coincident destructive autoimmune </w:t>
      </w:r>
      <w:r w:rsidRPr="00D1219A">
        <w:rPr>
          <w:rFonts w:ascii="Arial" w:hAnsi="Arial" w:cs="Arial"/>
        </w:rPr>
        <w:lastRenderedPageBreak/>
        <w:t>processes so that potent thyroid stimulating antibodies, present in the maternal circulation, are silent in contrast to the neonate whose</w:t>
      </w:r>
      <w:r w:rsidR="00D81D42" w:rsidRPr="00D1219A">
        <w:rPr>
          <w:rFonts w:ascii="Arial" w:hAnsi="Arial" w:cs="Arial"/>
        </w:rPr>
        <w:t xml:space="preserve"> thyroid gland is normal</w:t>
      </w:r>
      <w:r w:rsidRPr="00D1219A">
        <w:rPr>
          <w:rFonts w:ascii="Arial" w:hAnsi="Arial" w:cs="Arial"/>
        </w:rPr>
        <w:t>.</w:t>
      </w:r>
      <w:r w:rsidR="00D81D42" w:rsidRPr="00D1219A">
        <w:rPr>
          <w:rFonts w:ascii="Arial" w:hAnsi="Arial" w:cs="Arial"/>
        </w:rPr>
        <w:t xml:space="preserve">  Persis</w:t>
      </w:r>
      <w:r w:rsidR="00890342" w:rsidRPr="00D1219A">
        <w:rPr>
          <w:rFonts w:ascii="Arial" w:hAnsi="Arial" w:cs="Arial"/>
        </w:rPr>
        <w:t>tence of TRAb</w:t>
      </w:r>
      <w:r w:rsidR="00BC1D1E" w:rsidRPr="00D1219A">
        <w:rPr>
          <w:rFonts w:ascii="Arial" w:hAnsi="Arial" w:cs="Arial"/>
        </w:rPr>
        <w:t xml:space="preserve"> after thyroidectomy </w:t>
      </w:r>
      <w:r w:rsidR="00D81D42" w:rsidRPr="00D1219A">
        <w:rPr>
          <w:rFonts w:ascii="Arial" w:hAnsi="Arial" w:cs="Arial"/>
        </w:rPr>
        <w:t>is higher in females with Graves</w:t>
      </w:r>
      <w:r w:rsidR="00BC1D1E" w:rsidRPr="00D1219A">
        <w:rPr>
          <w:rFonts w:ascii="Arial" w:hAnsi="Arial" w:cs="Arial"/>
        </w:rPr>
        <w:t>’</w:t>
      </w:r>
      <w:r w:rsidR="00D81D42" w:rsidRPr="00D1219A">
        <w:rPr>
          <w:rFonts w:ascii="Arial" w:hAnsi="Arial" w:cs="Arial"/>
        </w:rPr>
        <w:t xml:space="preserve"> o</w:t>
      </w:r>
      <w:r w:rsidR="00BC1D1E" w:rsidRPr="00D1219A">
        <w:rPr>
          <w:rFonts w:ascii="Arial" w:hAnsi="Arial" w:cs="Arial"/>
        </w:rPr>
        <w:t>p</w:t>
      </w:r>
      <w:r w:rsidR="00A05579" w:rsidRPr="00D1219A">
        <w:rPr>
          <w:rFonts w:ascii="Arial" w:hAnsi="Arial" w:cs="Arial"/>
        </w:rPr>
        <w:t>h</w:t>
      </w:r>
      <w:r w:rsidR="00D81D42" w:rsidRPr="00D1219A">
        <w:rPr>
          <w:rFonts w:ascii="Arial" w:hAnsi="Arial" w:cs="Arial"/>
        </w:rPr>
        <w:t>t</w:t>
      </w:r>
      <w:r w:rsidR="0014441C" w:rsidRPr="00D1219A">
        <w:rPr>
          <w:rFonts w:ascii="Arial" w:hAnsi="Arial" w:cs="Arial"/>
        </w:rPr>
        <w:t>h</w:t>
      </w:r>
      <w:r w:rsidR="00D81D42" w:rsidRPr="00D1219A">
        <w:rPr>
          <w:rFonts w:ascii="Arial" w:hAnsi="Arial" w:cs="Arial"/>
        </w:rPr>
        <w:t>almopathy or smokers</w:t>
      </w:r>
      <w:r w:rsidR="00890342" w:rsidRPr="00D1219A">
        <w:rPr>
          <w:rFonts w:ascii="Arial" w:hAnsi="Arial" w:cs="Arial"/>
        </w:rPr>
        <w:t>.</w:t>
      </w:r>
      <w:r w:rsidRPr="00D1219A">
        <w:rPr>
          <w:rFonts w:ascii="Arial" w:hAnsi="Arial" w:cs="Arial"/>
        </w:rPr>
        <w:t xml:space="preserve"> Fetal/neonatal thyrotoxicosis can occur also in newborn from hypothyroid mothers with chronic lymphocytic thyroiditis.</w:t>
      </w:r>
    </w:p>
    <w:p w14:paraId="0AE46C51" w14:textId="77777777" w:rsidR="00890342" w:rsidRPr="00D1219A" w:rsidRDefault="00890342" w:rsidP="00D1219A">
      <w:pPr>
        <w:widowControl/>
        <w:autoSpaceDE w:val="0"/>
        <w:autoSpaceDN w:val="0"/>
        <w:adjustRightInd w:val="0"/>
        <w:spacing w:after="0"/>
        <w:rPr>
          <w:rFonts w:ascii="Arial" w:hAnsi="Arial" w:cs="Arial"/>
          <w:b/>
          <w:bCs/>
        </w:rPr>
      </w:pPr>
    </w:p>
    <w:p w14:paraId="781C0F74" w14:textId="24C48EB6" w:rsidR="00D03D01" w:rsidRDefault="00D03D01" w:rsidP="00D1219A">
      <w:pPr>
        <w:widowControl/>
        <w:autoSpaceDE w:val="0"/>
        <w:autoSpaceDN w:val="0"/>
        <w:adjustRightInd w:val="0"/>
        <w:spacing w:after="0"/>
        <w:rPr>
          <w:rFonts w:ascii="Arial" w:hAnsi="Arial" w:cs="Arial"/>
          <w:b/>
          <w:bCs/>
        </w:rPr>
      </w:pPr>
      <w:r w:rsidRPr="00D1219A">
        <w:rPr>
          <w:rFonts w:ascii="Arial" w:hAnsi="Arial" w:cs="Arial"/>
          <w:b/>
          <w:bCs/>
        </w:rPr>
        <w:t>C</w:t>
      </w:r>
      <w:r w:rsidR="0062486E">
        <w:rPr>
          <w:rFonts w:ascii="Arial" w:hAnsi="Arial" w:cs="Arial"/>
          <w:b/>
          <w:bCs/>
        </w:rPr>
        <w:t>LINICAL MANIFESTATIONS</w:t>
      </w:r>
    </w:p>
    <w:p w14:paraId="23A39776" w14:textId="55F65E4F" w:rsidR="0062486E" w:rsidRDefault="0062486E" w:rsidP="00D1219A">
      <w:pPr>
        <w:widowControl/>
        <w:autoSpaceDE w:val="0"/>
        <w:autoSpaceDN w:val="0"/>
        <w:adjustRightInd w:val="0"/>
        <w:spacing w:after="0"/>
        <w:rPr>
          <w:rFonts w:ascii="Arial" w:hAnsi="Arial" w:cs="Arial"/>
          <w:b/>
          <w:bCs/>
        </w:rPr>
      </w:pPr>
    </w:p>
    <w:tbl>
      <w:tblPr>
        <w:tblStyle w:val="TableGrid"/>
        <w:tblW w:w="0" w:type="auto"/>
        <w:tblLook w:val="04A0" w:firstRow="1" w:lastRow="0" w:firstColumn="1" w:lastColumn="0" w:noHBand="0" w:noVBand="1"/>
      </w:tblPr>
      <w:tblGrid>
        <w:gridCol w:w="9350"/>
      </w:tblGrid>
      <w:tr w:rsidR="0062486E" w14:paraId="4485A55C" w14:textId="77777777" w:rsidTr="0062486E">
        <w:tc>
          <w:tcPr>
            <w:tcW w:w="9350" w:type="dxa"/>
            <w:shd w:val="clear" w:color="auto" w:fill="FFFF00"/>
          </w:tcPr>
          <w:p w14:paraId="71682CA5" w14:textId="025DE48E" w:rsidR="0062486E" w:rsidRDefault="0062486E" w:rsidP="00D1219A">
            <w:pPr>
              <w:widowControl/>
              <w:autoSpaceDE w:val="0"/>
              <w:autoSpaceDN w:val="0"/>
              <w:adjustRightInd w:val="0"/>
              <w:rPr>
                <w:rFonts w:ascii="Arial" w:hAnsi="Arial" w:cs="Arial"/>
                <w:b/>
                <w:bCs/>
              </w:rPr>
            </w:pPr>
            <w:r w:rsidRPr="00D1219A">
              <w:rPr>
                <w:rFonts w:ascii="Arial" w:hAnsi="Arial" w:cs="Arial"/>
                <w:b/>
                <w:bCs/>
              </w:rPr>
              <w:t xml:space="preserve">TABLE 1. Situations </w:t>
            </w:r>
            <w:r>
              <w:rPr>
                <w:rFonts w:ascii="Arial" w:hAnsi="Arial" w:cs="Arial"/>
                <w:b/>
                <w:bCs/>
              </w:rPr>
              <w:t>T</w:t>
            </w:r>
            <w:r w:rsidRPr="00D1219A">
              <w:rPr>
                <w:rFonts w:ascii="Arial" w:hAnsi="Arial" w:cs="Arial"/>
                <w:b/>
                <w:bCs/>
              </w:rPr>
              <w:t xml:space="preserve">hat </w:t>
            </w:r>
            <w:r>
              <w:rPr>
                <w:rFonts w:ascii="Arial" w:hAnsi="Arial" w:cs="Arial"/>
                <w:b/>
                <w:bCs/>
              </w:rPr>
              <w:t>S</w:t>
            </w:r>
            <w:r w:rsidRPr="00D1219A">
              <w:rPr>
                <w:rFonts w:ascii="Arial" w:hAnsi="Arial" w:cs="Arial"/>
                <w:b/>
                <w:bCs/>
              </w:rPr>
              <w:t xml:space="preserve">hould </w:t>
            </w:r>
            <w:r>
              <w:rPr>
                <w:rFonts w:ascii="Arial" w:hAnsi="Arial" w:cs="Arial"/>
                <w:b/>
                <w:bCs/>
              </w:rPr>
              <w:t>P</w:t>
            </w:r>
            <w:r w:rsidRPr="00D1219A">
              <w:rPr>
                <w:rFonts w:ascii="Arial" w:hAnsi="Arial" w:cs="Arial"/>
                <w:b/>
                <w:bCs/>
              </w:rPr>
              <w:t xml:space="preserve">rompt </w:t>
            </w:r>
            <w:r>
              <w:rPr>
                <w:rFonts w:ascii="Arial" w:hAnsi="Arial" w:cs="Arial"/>
                <w:b/>
                <w:bCs/>
              </w:rPr>
              <w:t>C</w:t>
            </w:r>
            <w:r w:rsidRPr="00D1219A">
              <w:rPr>
                <w:rFonts w:ascii="Arial" w:hAnsi="Arial" w:cs="Arial"/>
                <w:b/>
                <w:bCs/>
              </w:rPr>
              <w:t xml:space="preserve">onsideration of </w:t>
            </w:r>
            <w:r>
              <w:rPr>
                <w:rFonts w:ascii="Arial" w:hAnsi="Arial" w:cs="Arial"/>
                <w:b/>
                <w:bCs/>
              </w:rPr>
              <w:t>N</w:t>
            </w:r>
            <w:r w:rsidRPr="00D1219A">
              <w:rPr>
                <w:rFonts w:ascii="Arial" w:hAnsi="Arial" w:cs="Arial"/>
                <w:b/>
                <w:bCs/>
              </w:rPr>
              <w:t xml:space="preserve">eonatal </w:t>
            </w:r>
            <w:r>
              <w:rPr>
                <w:rFonts w:ascii="Arial" w:hAnsi="Arial" w:cs="Arial"/>
                <w:b/>
                <w:bCs/>
              </w:rPr>
              <w:t>H</w:t>
            </w:r>
            <w:r w:rsidRPr="00D1219A">
              <w:rPr>
                <w:rFonts w:ascii="Arial" w:hAnsi="Arial" w:cs="Arial"/>
                <w:b/>
                <w:bCs/>
              </w:rPr>
              <w:t>yperthyroidism</w:t>
            </w:r>
          </w:p>
        </w:tc>
      </w:tr>
      <w:tr w:rsidR="0062486E" w14:paraId="7B4B1949" w14:textId="77777777" w:rsidTr="0062486E">
        <w:tc>
          <w:tcPr>
            <w:tcW w:w="9350" w:type="dxa"/>
          </w:tcPr>
          <w:p w14:paraId="56259828" w14:textId="424DE322" w:rsidR="0062486E" w:rsidRDefault="0062486E" w:rsidP="0062486E">
            <w:pPr>
              <w:pStyle w:val="ListParagraph"/>
              <w:widowControl/>
              <w:numPr>
                <w:ilvl w:val="0"/>
                <w:numId w:val="1"/>
              </w:numPr>
              <w:autoSpaceDE w:val="0"/>
              <w:autoSpaceDN w:val="0"/>
              <w:adjustRightInd w:val="0"/>
              <w:spacing w:line="276" w:lineRule="auto"/>
              <w:ind w:left="0"/>
              <w:rPr>
                <w:rFonts w:ascii="Arial" w:hAnsi="Arial" w:cs="Arial"/>
                <w:b/>
                <w:bCs/>
              </w:rPr>
            </w:pPr>
            <w:r w:rsidRPr="00D1219A">
              <w:rPr>
                <w:rFonts w:ascii="Arial" w:hAnsi="Arial" w:cs="Arial"/>
              </w:rPr>
              <w:t>Unexplained tachycardia, goiter or stare</w:t>
            </w:r>
          </w:p>
        </w:tc>
      </w:tr>
      <w:tr w:rsidR="0062486E" w14:paraId="6376C387" w14:textId="77777777" w:rsidTr="0062486E">
        <w:tc>
          <w:tcPr>
            <w:tcW w:w="9350" w:type="dxa"/>
          </w:tcPr>
          <w:p w14:paraId="0B15EECC" w14:textId="519B915D" w:rsidR="0062486E" w:rsidRDefault="0062486E" w:rsidP="00D1219A">
            <w:pPr>
              <w:widowControl/>
              <w:autoSpaceDE w:val="0"/>
              <w:autoSpaceDN w:val="0"/>
              <w:adjustRightInd w:val="0"/>
              <w:rPr>
                <w:rFonts w:ascii="Arial" w:hAnsi="Arial" w:cs="Arial"/>
                <w:b/>
                <w:bCs/>
              </w:rPr>
            </w:pPr>
            <w:r w:rsidRPr="00D1219A">
              <w:rPr>
                <w:rFonts w:ascii="Arial" w:hAnsi="Arial" w:cs="Arial"/>
              </w:rPr>
              <w:t>Unexplained petechiae, hyperbilirubinemia, or hepatosplenomegaly</w:t>
            </w:r>
          </w:p>
        </w:tc>
      </w:tr>
      <w:tr w:rsidR="0062486E" w14:paraId="229D6C0F" w14:textId="77777777" w:rsidTr="0062486E">
        <w:tc>
          <w:tcPr>
            <w:tcW w:w="9350" w:type="dxa"/>
          </w:tcPr>
          <w:p w14:paraId="5E37ED74" w14:textId="1CDACC25" w:rsidR="0062486E" w:rsidRDefault="0062486E" w:rsidP="0062486E">
            <w:pPr>
              <w:pStyle w:val="ListParagraph"/>
              <w:widowControl/>
              <w:numPr>
                <w:ilvl w:val="0"/>
                <w:numId w:val="1"/>
              </w:numPr>
              <w:autoSpaceDE w:val="0"/>
              <w:autoSpaceDN w:val="0"/>
              <w:adjustRightInd w:val="0"/>
              <w:spacing w:line="276" w:lineRule="auto"/>
              <w:ind w:left="0"/>
              <w:rPr>
                <w:rFonts w:ascii="Arial" w:hAnsi="Arial" w:cs="Arial"/>
                <w:b/>
                <w:bCs/>
              </w:rPr>
            </w:pPr>
            <w:r w:rsidRPr="00D1219A">
              <w:rPr>
                <w:rFonts w:ascii="Arial" w:hAnsi="Arial" w:cs="Arial"/>
              </w:rPr>
              <w:t>History of persistently high TSH receptor antibody titer in mother during pregnancy</w:t>
            </w:r>
          </w:p>
        </w:tc>
      </w:tr>
      <w:tr w:rsidR="0062486E" w14:paraId="2615FB46" w14:textId="77777777" w:rsidTr="0062486E">
        <w:tc>
          <w:tcPr>
            <w:tcW w:w="9350" w:type="dxa"/>
          </w:tcPr>
          <w:p w14:paraId="0C474B07" w14:textId="0C7A1B07" w:rsidR="0062486E" w:rsidRDefault="0062486E" w:rsidP="0062486E">
            <w:pPr>
              <w:pStyle w:val="ListParagraph"/>
              <w:widowControl/>
              <w:numPr>
                <w:ilvl w:val="0"/>
                <w:numId w:val="1"/>
              </w:numPr>
              <w:autoSpaceDE w:val="0"/>
              <w:autoSpaceDN w:val="0"/>
              <w:adjustRightInd w:val="0"/>
              <w:spacing w:line="276" w:lineRule="auto"/>
              <w:ind w:left="0"/>
              <w:rPr>
                <w:rFonts w:ascii="Arial" w:hAnsi="Arial" w:cs="Arial"/>
                <w:b/>
                <w:bCs/>
              </w:rPr>
            </w:pPr>
            <w:r w:rsidRPr="00D1219A">
              <w:rPr>
                <w:rFonts w:ascii="Arial" w:hAnsi="Arial" w:cs="Arial"/>
              </w:rPr>
              <w:t>History of persistently high requirement for antithyroid medication in mother during pregnancy</w:t>
            </w:r>
          </w:p>
        </w:tc>
      </w:tr>
      <w:tr w:rsidR="0062486E" w14:paraId="4E5ACA44" w14:textId="77777777" w:rsidTr="0062486E">
        <w:tc>
          <w:tcPr>
            <w:tcW w:w="9350" w:type="dxa"/>
          </w:tcPr>
          <w:p w14:paraId="34557AF5" w14:textId="4C1172FF" w:rsidR="0062486E" w:rsidRDefault="0062486E" w:rsidP="0062486E">
            <w:pPr>
              <w:pStyle w:val="ListParagraph"/>
              <w:widowControl/>
              <w:numPr>
                <w:ilvl w:val="0"/>
                <w:numId w:val="1"/>
              </w:numPr>
              <w:autoSpaceDE w:val="0"/>
              <w:autoSpaceDN w:val="0"/>
              <w:adjustRightInd w:val="0"/>
              <w:spacing w:line="276" w:lineRule="auto"/>
              <w:ind w:left="0"/>
              <w:rPr>
                <w:rFonts w:ascii="Arial" w:hAnsi="Arial" w:cs="Arial"/>
                <w:b/>
                <w:bCs/>
              </w:rPr>
            </w:pPr>
            <w:r w:rsidRPr="00D1219A">
              <w:rPr>
                <w:rFonts w:ascii="Arial" w:hAnsi="Arial" w:cs="Arial"/>
              </w:rPr>
              <w:t>History of thyroid ablation for hyperthyroidism in mother</w:t>
            </w:r>
          </w:p>
        </w:tc>
      </w:tr>
      <w:tr w:rsidR="0062486E" w14:paraId="219A7455" w14:textId="77777777" w:rsidTr="0062486E">
        <w:tc>
          <w:tcPr>
            <w:tcW w:w="9350" w:type="dxa"/>
          </w:tcPr>
          <w:p w14:paraId="0C0E7490" w14:textId="053A49E0" w:rsidR="0062486E" w:rsidRDefault="0062486E" w:rsidP="0062486E">
            <w:pPr>
              <w:pStyle w:val="ListParagraph"/>
              <w:widowControl/>
              <w:numPr>
                <w:ilvl w:val="0"/>
                <w:numId w:val="1"/>
              </w:numPr>
              <w:autoSpaceDE w:val="0"/>
              <w:autoSpaceDN w:val="0"/>
              <w:adjustRightInd w:val="0"/>
              <w:spacing w:line="276" w:lineRule="auto"/>
              <w:ind w:left="0"/>
              <w:rPr>
                <w:rFonts w:ascii="Arial" w:hAnsi="Arial" w:cs="Arial"/>
                <w:b/>
                <w:bCs/>
              </w:rPr>
            </w:pPr>
            <w:r w:rsidRPr="00D1219A">
              <w:rPr>
                <w:rFonts w:ascii="Arial" w:hAnsi="Arial" w:cs="Arial"/>
              </w:rPr>
              <w:t>History of previously affected sibling</w:t>
            </w:r>
          </w:p>
        </w:tc>
      </w:tr>
    </w:tbl>
    <w:p w14:paraId="678CF1BC" w14:textId="77777777" w:rsidR="0062486E" w:rsidRPr="00D1219A" w:rsidRDefault="0062486E" w:rsidP="00D1219A">
      <w:pPr>
        <w:widowControl/>
        <w:autoSpaceDE w:val="0"/>
        <w:autoSpaceDN w:val="0"/>
        <w:adjustRightInd w:val="0"/>
        <w:spacing w:after="0"/>
        <w:rPr>
          <w:rFonts w:ascii="Arial" w:hAnsi="Arial" w:cs="Arial"/>
          <w:b/>
          <w:bCs/>
        </w:rPr>
      </w:pPr>
    </w:p>
    <w:p w14:paraId="005EB0D8" w14:textId="519204B2" w:rsidR="00A612CE" w:rsidRDefault="00D03D01" w:rsidP="00D1219A">
      <w:pPr>
        <w:widowControl/>
        <w:autoSpaceDE w:val="0"/>
        <w:autoSpaceDN w:val="0"/>
        <w:adjustRightInd w:val="0"/>
        <w:spacing w:after="0"/>
        <w:rPr>
          <w:rFonts w:ascii="Arial" w:hAnsi="Arial" w:cs="Arial"/>
        </w:rPr>
      </w:pPr>
      <w:r w:rsidRPr="00D1219A">
        <w:rPr>
          <w:rFonts w:ascii="Arial" w:hAnsi="Arial" w:cs="Arial"/>
        </w:rPr>
        <w:t>Maternal TSH receptor antibody-mediated hyperthyroidism may present in utero. Fetal</w:t>
      </w:r>
      <w:r w:rsidR="00251A14" w:rsidRPr="00D1219A">
        <w:rPr>
          <w:rFonts w:ascii="Arial" w:hAnsi="Arial" w:cs="Arial"/>
        </w:rPr>
        <w:t xml:space="preserve"> </w:t>
      </w:r>
      <w:r w:rsidRPr="00D1219A">
        <w:rPr>
          <w:rFonts w:ascii="Arial" w:hAnsi="Arial" w:cs="Arial"/>
        </w:rPr>
        <w:t>hyperthyroidism is suspected in the presence of fetal tachycardia (pulse greater than 160/min)</w:t>
      </w:r>
      <w:r w:rsidR="00FD6D45" w:rsidRPr="00D1219A">
        <w:rPr>
          <w:rFonts w:ascii="Arial" w:hAnsi="Arial" w:cs="Arial"/>
        </w:rPr>
        <w:t xml:space="preserve"> </w:t>
      </w:r>
      <w:r w:rsidRPr="00D1219A">
        <w:rPr>
          <w:rFonts w:ascii="Arial" w:hAnsi="Arial" w:cs="Arial"/>
        </w:rPr>
        <w:t>especially if there is evidence of failure to thrive. Obstetric complications are common. Fetal goiter</w:t>
      </w:r>
      <w:r w:rsidR="00FD6D45" w:rsidRPr="00D1219A">
        <w:rPr>
          <w:rFonts w:ascii="Arial" w:hAnsi="Arial" w:cs="Arial"/>
        </w:rPr>
        <w:t xml:space="preserve"> </w:t>
      </w:r>
      <w:r w:rsidR="002C0C49" w:rsidRPr="00D1219A">
        <w:rPr>
          <w:rFonts w:ascii="Arial" w:hAnsi="Arial" w:cs="Arial"/>
        </w:rPr>
        <w:t>(fetal neck circumference &gt;95%) can by monitored by ultrasound</w:t>
      </w:r>
      <w:r w:rsidR="00C2380F" w:rsidRPr="00D1219A">
        <w:rPr>
          <w:rFonts w:ascii="Arial" w:hAnsi="Arial" w:cs="Arial"/>
        </w:rPr>
        <w:t xml:space="preserve"> using nomograms for fetal thyroid </w:t>
      </w:r>
      <w:r w:rsidR="004D6C7D" w:rsidRPr="00D1219A">
        <w:rPr>
          <w:rFonts w:ascii="Arial" w:hAnsi="Arial" w:cs="Arial"/>
        </w:rPr>
        <w:t>growth</w:t>
      </w:r>
      <w:r w:rsidR="00C2380F" w:rsidRPr="00D1219A">
        <w:rPr>
          <w:rFonts w:ascii="Arial" w:hAnsi="Arial" w:cs="Arial"/>
        </w:rPr>
        <w:t xml:space="preserve">. </w:t>
      </w:r>
      <w:r w:rsidR="002C0C49" w:rsidRPr="00D1219A">
        <w:rPr>
          <w:rFonts w:ascii="Arial" w:hAnsi="Arial" w:cs="Arial"/>
        </w:rPr>
        <w:t xml:space="preserve">Fetal goiter </w:t>
      </w:r>
      <w:r w:rsidR="00EB57EA" w:rsidRPr="00D1219A">
        <w:rPr>
          <w:rFonts w:ascii="Arial" w:hAnsi="Arial" w:cs="Arial"/>
        </w:rPr>
        <w:t>can cause esop</w:t>
      </w:r>
      <w:r w:rsidR="00EF77E2" w:rsidRPr="00D1219A">
        <w:rPr>
          <w:rFonts w:ascii="Arial" w:hAnsi="Arial" w:cs="Arial"/>
        </w:rPr>
        <w:t>h</w:t>
      </w:r>
      <w:r w:rsidR="00EB57EA" w:rsidRPr="00D1219A">
        <w:rPr>
          <w:rFonts w:ascii="Arial" w:hAnsi="Arial" w:cs="Arial"/>
        </w:rPr>
        <w:t>ageal and/or trac</w:t>
      </w:r>
      <w:r w:rsidR="00EF77E2" w:rsidRPr="00D1219A">
        <w:rPr>
          <w:rFonts w:ascii="Arial" w:hAnsi="Arial" w:cs="Arial"/>
        </w:rPr>
        <w:t>h</w:t>
      </w:r>
      <w:r w:rsidR="00EB57EA" w:rsidRPr="00D1219A">
        <w:rPr>
          <w:rFonts w:ascii="Arial" w:hAnsi="Arial" w:cs="Arial"/>
        </w:rPr>
        <w:t>eal obstr</w:t>
      </w:r>
      <w:r w:rsidR="006255BE" w:rsidRPr="00D1219A">
        <w:rPr>
          <w:rFonts w:ascii="Arial" w:hAnsi="Arial" w:cs="Arial"/>
        </w:rPr>
        <w:t>u</w:t>
      </w:r>
      <w:r w:rsidR="00EB57EA" w:rsidRPr="00D1219A">
        <w:rPr>
          <w:rFonts w:ascii="Arial" w:hAnsi="Arial" w:cs="Arial"/>
        </w:rPr>
        <w:t>ctions and</w:t>
      </w:r>
      <w:r w:rsidR="002C0C49" w:rsidRPr="00D1219A">
        <w:rPr>
          <w:rFonts w:ascii="Arial" w:hAnsi="Arial" w:cs="Arial"/>
        </w:rPr>
        <w:t xml:space="preserve"> </w:t>
      </w:r>
      <w:r w:rsidR="00EB57EA" w:rsidRPr="00D1219A">
        <w:rPr>
          <w:rFonts w:ascii="Arial" w:hAnsi="Arial" w:cs="Arial"/>
        </w:rPr>
        <w:t>polyhydramnios</w:t>
      </w:r>
      <w:r w:rsidR="00EF77E2" w:rsidRPr="00D1219A">
        <w:rPr>
          <w:rFonts w:ascii="Arial" w:hAnsi="Arial" w:cs="Arial"/>
        </w:rPr>
        <w:t xml:space="preserve">. </w:t>
      </w:r>
      <w:r w:rsidR="00CA0078" w:rsidRPr="00D1219A">
        <w:rPr>
          <w:rFonts w:ascii="Arial" w:hAnsi="Arial" w:cs="Arial"/>
        </w:rPr>
        <w:t xml:space="preserve">Fetal goiter </w:t>
      </w:r>
      <w:r w:rsidR="002C0C49" w:rsidRPr="00D1219A">
        <w:rPr>
          <w:rFonts w:ascii="Arial" w:hAnsi="Arial" w:cs="Arial"/>
        </w:rPr>
        <w:t xml:space="preserve">can </w:t>
      </w:r>
      <w:r w:rsidR="00A612CE" w:rsidRPr="00D1219A">
        <w:rPr>
          <w:rFonts w:ascii="Arial" w:hAnsi="Arial" w:cs="Arial"/>
        </w:rPr>
        <w:t xml:space="preserve">also </w:t>
      </w:r>
      <w:r w:rsidR="002C0C49" w:rsidRPr="00D1219A">
        <w:rPr>
          <w:rFonts w:ascii="Arial" w:hAnsi="Arial" w:cs="Arial"/>
        </w:rPr>
        <w:t>be due</w:t>
      </w:r>
      <w:r w:rsidR="00CA0078" w:rsidRPr="00D1219A">
        <w:rPr>
          <w:rFonts w:ascii="Arial" w:hAnsi="Arial" w:cs="Arial"/>
        </w:rPr>
        <w:t xml:space="preserve"> to </w:t>
      </w:r>
      <w:r w:rsidR="002C0C49" w:rsidRPr="00D1219A">
        <w:rPr>
          <w:rFonts w:ascii="Arial" w:hAnsi="Arial" w:cs="Arial"/>
        </w:rPr>
        <w:t xml:space="preserve">transplacental passage of </w:t>
      </w:r>
      <w:r w:rsidR="00CA0078" w:rsidRPr="00D1219A">
        <w:rPr>
          <w:rFonts w:ascii="Arial" w:hAnsi="Arial" w:cs="Arial"/>
        </w:rPr>
        <w:t>antithyroid drugs</w:t>
      </w:r>
      <w:r w:rsidR="00A612CE" w:rsidRPr="00D1219A">
        <w:rPr>
          <w:rFonts w:ascii="Arial" w:hAnsi="Arial" w:cs="Arial"/>
        </w:rPr>
        <w:t xml:space="preserve"> that cause hypothyroidism in the fetus</w:t>
      </w:r>
      <w:r w:rsidR="002C0C49" w:rsidRPr="00D1219A">
        <w:rPr>
          <w:rFonts w:ascii="Arial" w:hAnsi="Arial" w:cs="Arial"/>
        </w:rPr>
        <w:t>.</w:t>
      </w:r>
    </w:p>
    <w:p w14:paraId="69CAFE9F" w14:textId="2B97116C" w:rsidR="0062486E" w:rsidRDefault="0062486E" w:rsidP="00D1219A">
      <w:pPr>
        <w:widowControl/>
        <w:autoSpaceDE w:val="0"/>
        <w:autoSpaceDN w:val="0"/>
        <w:adjustRightInd w:val="0"/>
        <w:spacing w:after="0"/>
        <w:rPr>
          <w:rFonts w:ascii="Arial" w:hAnsi="Arial" w:cs="Arial"/>
        </w:rPr>
      </w:pPr>
    </w:p>
    <w:tbl>
      <w:tblPr>
        <w:tblStyle w:val="TableGrid"/>
        <w:tblW w:w="0" w:type="auto"/>
        <w:tblLook w:val="04A0" w:firstRow="1" w:lastRow="0" w:firstColumn="1" w:lastColumn="0" w:noHBand="0" w:noVBand="1"/>
      </w:tblPr>
      <w:tblGrid>
        <w:gridCol w:w="5935"/>
      </w:tblGrid>
      <w:tr w:rsidR="0062486E" w14:paraId="1AEB231B" w14:textId="77777777" w:rsidTr="0062486E">
        <w:tc>
          <w:tcPr>
            <w:tcW w:w="5935" w:type="dxa"/>
            <w:shd w:val="clear" w:color="auto" w:fill="FFFF00"/>
          </w:tcPr>
          <w:p w14:paraId="2EB2C2E2" w14:textId="141A0952" w:rsidR="0062486E" w:rsidRDefault="0062486E" w:rsidP="00D1219A">
            <w:pPr>
              <w:widowControl/>
              <w:autoSpaceDE w:val="0"/>
              <w:autoSpaceDN w:val="0"/>
              <w:adjustRightInd w:val="0"/>
              <w:rPr>
                <w:rFonts w:ascii="Arial" w:hAnsi="Arial" w:cs="Arial"/>
              </w:rPr>
            </w:pPr>
            <w:r w:rsidRPr="00D1219A">
              <w:rPr>
                <w:rFonts w:ascii="Arial" w:hAnsi="Arial" w:cs="Arial"/>
                <w:b/>
                <w:bCs/>
              </w:rPr>
              <w:t>TABLE 2</w:t>
            </w:r>
            <w:r>
              <w:rPr>
                <w:rFonts w:ascii="Arial" w:hAnsi="Arial" w:cs="Arial"/>
                <w:b/>
                <w:bCs/>
              </w:rPr>
              <w:t>.</w:t>
            </w:r>
            <w:r w:rsidRPr="00D1219A">
              <w:rPr>
                <w:rFonts w:ascii="Arial" w:hAnsi="Arial" w:cs="Arial"/>
                <w:b/>
                <w:bCs/>
              </w:rPr>
              <w:t xml:space="preserve"> Clinical </w:t>
            </w:r>
            <w:r>
              <w:rPr>
                <w:rFonts w:ascii="Arial" w:hAnsi="Arial" w:cs="Arial"/>
                <w:b/>
                <w:bCs/>
              </w:rPr>
              <w:t>M</w:t>
            </w:r>
            <w:r w:rsidRPr="00D1219A">
              <w:rPr>
                <w:rFonts w:ascii="Arial" w:hAnsi="Arial" w:cs="Arial"/>
                <w:b/>
                <w:bCs/>
              </w:rPr>
              <w:t xml:space="preserve">anifestations in the </w:t>
            </w:r>
            <w:r>
              <w:rPr>
                <w:rFonts w:ascii="Arial" w:hAnsi="Arial" w:cs="Arial"/>
                <w:b/>
                <w:bCs/>
              </w:rPr>
              <w:t>F</w:t>
            </w:r>
            <w:r w:rsidRPr="00D1219A">
              <w:rPr>
                <w:rFonts w:ascii="Arial" w:hAnsi="Arial" w:cs="Arial"/>
                <w:b/>
                <w:bCs/>
              </w:rPr>
              <w:t>etus</w:t>
            </w:r>
          </w:p>
        </w:tc>
      </w:tr>
      <w:tr w:rsidR="0062486E" w14:paraId="49B6C9BF" w14:textId="77777777" w:rsidTr="0062486E">
        <w:tc>
          <w:tcPr>
            <w:tcW w:w="5935" w:type="dxa"/>
          </w:tcPr>
          <w:p w14:paraId="3C3EE75E" w14:textId="77777777" w:rsidR="0062486E" w:rsidRPr="00D1219A" w:rsidRDefault="0062486E"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 xml:space="preserve">Unexplained tachycardia, </w:t>
            </w:r>
          </w:p>
          <w:p w14:paraId="543ED2F8" w14:textId="77777777" w:rsidR="0062486E" w:rsidRPr="00D1219A" w:rsidRDefault="0062486E"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Failure to thrive</w:t>
            </w:r>
          </w:p>
          <w:p w14:paraId="09305B6C" w14:textId="77777777" w:rsidR="0062486E" w:rsidRPr="00D1219A" w:rsidRDefault="0062486E"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Intrauterine growth retardation</w:t>
            </w:r>
          </w:p>
          <w:p w14:paraId="101EA4D9" w14:textId="77777777" w:rsidR="0062486E" w:rsidRPr="00D1219A" w:rsidRDefault="0062486E"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 xml:space="preserve">Goiter </w:t>
            </w:r>
          </w:p>
          <w:p w14:paraId="02A6DDC5" w14:textId="77777777" w:rsidR="0062486E" w:rsidRPr="00D1219A" w:rsidRDefault="0062486E"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Advanced bone age</w:t>
            </w:r>
          </w:p>
          <w:p w14:paraId="5696863D" w14:textId="77777777" w:rsidR="0062486E" w:rsidRPr="00D1219A" w:rsidRDefault="0062486E"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Prematurity</w:t>
            </w:r>
          </w:p>
          <w:p w14:paraId="67A8AA6D" w14:textId="78B73383" w:rsidR="0062486E" w:rsidRPr="00D1219A" w:rsidRDefault="00920642"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Craniosynostosis</w:t>
            </w:r>
            <w:r w:rsidR="0062486E" w:rsidRPr="00D1219A">
              <w:rPr>
                <w:rFonts w:ascii="Arial" w:hAnsi="Arial" w:cs="Arial"/>
              </w:rPr>
              <w:t>, microcephaly</w:t>
            </w:r>
          </w:p>
          <w:p w14:paraId="49AE95D4" w14:textId="078F3E34" w:rsidR="0062486E" w:rsidRDefault="0062486E"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Fetal death</w:t>
            </w:r>
          </w:p>
        </w:tc>
      </w:tr>
    </w:tbl>
    <w:p w14:paraId="5D843925" w14:textId="31871A33" w:rsidR="0062486E" w:rsidRPr="00D1219A" w:rsidRDefault="0062486E" w:rsidP="00D1219A">
      <w:pPr>
        <w:widowControl/>
        <w:autoSpaceDE w:val="0"/>
        <w:autoSpaceDN w:val="0"/>
        <w:adjustRightInd w:val="0"/>
        <w:spacing w:after="0"/>
        <w:rPr>
          <w:rFonts w:ascii="Arial" w:hAnsi="Arial" w:cs="Arial"/>
        </w:rPr>
      </w:pPr>
    </w:p>
    <w:p w14:paraId="03968413" w14:textId="7FC8249F" w:rsidR="00FD6D45" w:rsidRPr="00D1219A" w:rsidRDefault="00D03D01" w:rsidP="00D1219A">
      <w:pPr>
        <w:widowControl/>
        <w:autoSpaceDE w:val="0"/>
        <w:autoSpaceDN w:val="0"/>
        <w:adjustRightInd w:val="0"/>
        <w:spacing w:after="0"/>
        <w:rPr>
          <w:rFonts w:ascii="Arial" w:hAnsi="Arial" w:cs="Arial"/>
        </w:rPr>
      </w:pPr>
      <w:r w:rsidRPr="00D1219A">
        <w:rPr>
          <w:rFonts w:ascii="Arial" w:hAnsi="Arial" w:cs="Arial"/>
        </w:rPr>
        <w:t xml:space="preserve">In the neonate infant </w:t>
      </w:r>
      <w:r w:rsidR="00920642">
        <w:rPr>
          <w:rFonts w:ascii="Arial" w:hAnsi="Arial" w:cs="Arial"/>
        </w:rPr>
        <w:t>typically,</w:t>
      </w:r>
      <w:r w:rsidR="0062486E">
        <w:rPr>
          <w:rFonts w:ascii="Arial" w:hAnsi="Arial" w:cs="Arial"/>
        </w:rPr>
        <w:t xml:space="preserve"> </w:t>
      </w:r>
      <w:r w:rsidRPr="00D1219A">
        <w:rPr>
          <w:rFonts w:ascii="Arial" w:hAnsi="Arial" w:cs="Arial"/>
        </w:rPr>
        <w:t>the onset is during the first one</w:t>
      </w:r>
      <w:r w:rsidR="00281768" w:rsidRPr="00D1219A">
        <w:rPr>
          <w:rFonts w:ascii="Arial" w:hAnsi="Arial" w:cs="Arial"/>
        </w:rPr>
        <w:t xml:space="preserve"> </w:t>
      </w:r>
      <w:r w:rsidRPr="00D1219A">
        <w:rPr>
          <w:rFonts w:ascii="Arial" w:hAnsi="Arial" w:cs="Arial"/>
        </w:rPr>
        <w:t>two</w:t>
      </w:r>
      <w:r w:rsidR="00281768" w:rsidRPr="00D1219A">
        <w:rPr>
          <w:rFonts w:ascii="Arial" w:hAnsi="Arial" w:cs="Arial"/>
        </w:rPr>
        <w:t xml:space="preserve"> </w:t>
      </w:r>
      <w:r w:rsidRPr="00D1219A">
        <w:rPr>
          <w:rFonts w:ascii="Arial" w:hAnsi="Arial" w:cs="Arial"/>
        </w:rPr>
        <w:t xml:space="preserve">weeks of life but can occur by 45 days. This is due both to the clearance of </w:t>
      </w:r>
      <w:r w:rsidR="00281768" w:rsidRPr="00D1219A">
        <w:rPr>
          <w:rFonts w:ascii="Arial" w:hAnsi="Arial" w:cs="Arial"/>
        </w:rPr>
        <w:t>m</w:t>
      </w:r>
      <w:r w:rsidRPr="00D1219A">
        <w:rPr>
          <w:rFonts w:ascii="Arial" w:hAnsi="Arial" w:cs="Arial"/>
        </w:rPr>
        <w:t>aternally</w:t>
      </w:r>
      <w:r w:rsidR="00281768" w:rsidRPr="00D1219A">
        <w:rPr>
          <w:rFonts w:ascii="Arial" w:hAnsi="Arial" w:cs="Arial"/>
        </w:rPr>
        <w:t xml:space="preserve"> </w:t>
      </w:r>
      <w:r w:rsidRPr="00D1219A">
        <w:rPr>
          <w:rFonts w:ascii="Arial" w:hAnsi="Arial" w:cs="Arial"/>
        </w:rPr>
        <w:t>administered</w:t>
      </w:r>
      <w:r w:rsidR="00281768" w:rsidRPr="00D1219A">
        <w:rPr>
          <w:rFonts w:ascii="Arial" w:hAnsi="Arial" w:cs="Arial"/>
        </w:rPr>
        <w:t xml:space="preserve"> </w:t>
      </w:r>
      <w:r w:rsidRPr="00D1219A">
        <w:rPr>
          <w:rFonts w:ascii="Arial" w:hAnsi="Arial" w:cs="Arial"/>
        </w:rPr>
        <w:t>antithyroid drug (propylthiouracil</w:t>
      </w:r>
      <w:r w:rsidR="005E3254">
        <w:rPr>
          <w:rFonts w:ascii="Arial" w:hAnsi="Arial" w:cs="Arial"/>
        </w:rPr>
        <w:t>-</w:t>
      </w:r>
      <w:r w:rsidRPr="00D1219A">
        <w:rPr>
          <w:rFonts w:ascii="Arial" w:hAnsi="Arial" w:cs="Arial"/>
        </w:rPr>
        <w:t xml:space="preserve"> PTU, methimazole</w:t>
      </w:r>
      <w:r w:rsidR="00B945CF">
        <w:rPr>
          <w:rFonts w:ascii="Arial" w:hAnsi="Arial" w:cs="Arial"/>
        </w:rPr>
        <w:t>- MMI</w:t>
      </w:r>
      <w:r w:rsidR="005E3254">
        <w:rPr>
          <w:rFonts w:ascii="Arial" w:hAnsi="Arial" w:cs="Arial"/>
        </w:rPr>
        <w:t>,</w:t>
      </w:r>
      <w:r w:rsidRPr="00D1219A">
        <w:rPr>
          <w:rFonts w:ascii="Arial" w:hAnsi="Arial" w:cs="Arial"/>
        </w:rPr>
        <w:t xml:space="preserve"> or carbimazole) from the</w:t>
      </w:r>
      <w:r w:rsidR="00FD6D45" w:rsidRPr="00D1219A">
        <w:rPr>
          <w:rFonts w:ascii="Arial" w:hAnsi="Arial" w:cs="Arial"/>
        </w:rPr>
        <w:t xml:space="preserve"> </w:t>
      </w:r>
      <w:r w:rsidRPr="00D1219A">
        <w:rPr>
          <w:rFonts w:ascii="Arial" w:hAnsi="Arial" w:cs="Arial"/>
        </w:rPr>
        <w:t>infant ’s circulation and to the increased conversion of T4 to the more metabolically active T3 after</w:t>
      </w:r>
      <w:r w:rsidR="00105C1D" w:rsidRPr="00D1219A">
        <w:rPr>
          <w:rFonts w:ascii="Arial" w:hAnsi="Arial" w:cs="Arial"/>
        </w:rPr>
        <w:t xml:space="preserve"> </w:t>
      </w:r>
      <w:r w:rsidRPr="00D1219A">
        <w:rPr>
          <w:rFonts w:ascii="Arial" w:hAnsi="Arial" w:cs="Arial"/>
        </w:rPr>
        <w:t>birth. Rarely, as noted earlier, the onset of neonatal hyperthyroidism may be delayed until later if</w:t>
      </w:r>
      <w:r w:rsidR="00FD6D45" w:rsidRPr="00D1219A">
        <w:rPr>
          <w:rFonts w:ascii="Arial" w:hAnsi="Arial" w:cs="Arial"/>
        </w:rPr>
        <w:t xml:space="preserve"> </w:t>
      </w:r>
      <w:r w:rsidRPr="00D1219A">
        <w:rPr>
          <w:rFonts w:ascii="Arial" w:hAnsi="Arial" w:cs="Arial"/>
        </w:rPr>
        <w:t>higher affinity blocki</w:t>
      </w:r>
      <w:r w:rsidR="00FD6D45" w:rsidRPr="00D1219A">
        <w:rPr>
          <w:rFonts w:ascii="Arial" w:hAnsi="Arial" w:cs="Arial"/>
        </w:rPr>
        <w:t>ng antibodies are also present.</w:t>
      </w:r>
    </w:p>
    <w:p w14:paraId="40558014" w14:textId="4AC0AFE9" w:rsidR="00D03D01" w:rsidRDefault="00D03D01" w:rsidP="00D1219A">
      <w:pPr>
        <w:widowControl/>
        <w:autoSpaceDE w:val="0"/>
        <w:autoSpaceDN w:val="0"/>
        <w:adjustRightInd w:val="0"/>
        <w:spacing w:after="0"/>
        <w:rPr>
          <w:rFonts w:ascii="Arial" w:hAnsi="Arial" w:cs="Arial"/>
        </w:rPr>
      </w:pPr>
      <w:r w:rsidRPr="00D1219A">
        <w:rPr>
          <w:rFonts w:ascii="Arial" w:hAnsi="Arial" w:cs="Arial"/>
        </w:rPr>
        <w:t>In the newborn infant, characteristic signs and</w:t>
      </w:r>
      <w:r w:rsidR="00FD6D45" w:rsidRPr="00D1219A">
        <w:rPr>
          <w:rFonts w:ascii="Arial" w:hAnsi="Arial" w:cs="Arial"/>
        </w:rPr>
        <w:t xml:space="preserve"> </w:t>
      </w:r>
      <w:r w:rsidRPr="00D1219A">
        <w:rPr>
          <w:rFonts w:ascii="Arial" w:hAnsi="Arial" w:cs="Arial"/>
        </w:rPr>
        <w:t>symptoms include tachycardia, irritability, poor weight gain, and prominent eyes</w:t>
      </w:r>
      <w:r w:rsidR="00FD6D45" w:rsidRPr="00D1219A">
        <w:rPr>
          <w:rFonts w:ascii="Arial" w:hAnsi="Arial" w:cs="Arial"/>
        </w:rPr>
        <w:t xml:space="preserve">. </w:t>
      </w:r>
      <w:r w:rsidRPr="00D1219A">
        <w:rPr>
          <w:rFonts w:ascii="Arial" w:hAnsi="Arial" w:cs="Arial"/>
        </w:rPr>
        <w:t xml:space="preserve"> Goiter,</w:t>
      </w:r>
      <w:r w:rsidR="005E3254">
        <w:rPr>
          <w:rFonts w:ascii="Arial" w:hAnsi="Arial" w:cs="Arial"/>
        </w:rPr>
        <w:t xml:space="preserve"> </w:t>
      </w:r>
      <w:r w:rsidRPr="00D1219A">
        <w:rPr>
          <w:rFonts w:ascii="Arial" w:hAnsi="Arial" w:cs="Arial"/>
        </w:rPr>
        <w:t>when present, may be related to maternal antithyroid drug treatment as well as to the neonatal</w:t>
      </w:r>
      <w:r w:rsidR="00281768" w:rsidRPr="00D1219A">
        <w:rPr>
          <w:rFonts w:ascii="Arial" w:hAnsi="Arial" w:cs="Arial"/>
        </w:rPr>
        <w:t xml:space="preserve"> </w:t>
      </w:r>
      <w:r w:rsidRPr="00D1219A">
        <w:rPr>
          <w:rFonts w:ascii="Arial" w:hAnsi="Arial" w:cs="Arial"/>
        </w:rPr>
        <w:t>Graves’ disease itself.</w:t>
      </w:r>
    </w:p>
    <w:p w14:paraId="5D295B74" w14:textId="77777777" w:rsidR="005E3254" w:rsidRPr="00D1219A" w:rsidRDefault="005E3254" w:rsidP="00D1219A">
      <w:pPr>
        <w:widowControl/>
        <w:autoSpaceDE w:val="0"/>
        <w:autoSpaceDN w:val="0"/>
        <w:adjustRightInd w:val="0"/>
        <w:spacing w:after="0"/>
        <w:rPr>
          <w:rFonts w:ascii="Arial" w:hAnsi="Arial" w:cs="Arial"/>
        </w:rPr>
      </w:pPr>
    </w:p>
    <w:p w14:paraId="2B1F5B6E" w14:textId="6854DCD7" w:rsidR="00D03D01" w:rsidRPr="00D1219A" w:rsidRDefault="00D03D01" w:rsidP="00D1219A">
      <w:pPr>
        <w:widowControl/>
        <w:autoSpaceDE w:val="0"/>
        <w:autoSpaceDN w:val="0"/>
        <w:adjustRightInd w:val="0"/>
        <w:spacing w:after="0"/>
        <w:rPr>
          <w:rFonts w:ascii="Arial" w:hAnsi="Arial" w:cs="Arial"/>
        </w:rPr>
      </w:pPr>
      <w:r w:rsidRPr="00D1219A">
        <w:rPr>
          <w:rFonts w:ascii="Arial" w:hAnsi="Arial" w:cs="Arial"/>
        </w:rPr>
        <w:lastRenderedPageBreak/>
        <w:t>Rarely, infants with neonatal Graves’ disease present with thrombocytopenia, jaundice,</w:t>
      </w:r>
      <w:r w:rsidR="00015596" w:rsidRPr="00D1219A">
        <w:rPr>
          <w:rFonts w:ascii="Arial" w:hAnsi="Arial" w:cs="Arial"/>
        </w:rPr>
        <w:t xml:space="preserve"> </w:t>
      </w:r>
      <w:r w:rsidRPr="00D1219A">
        <w:rPr>
          <w:rFonts w:ascii="Arial" w:hAnsi="Arial" w:cs="Arial"/>
        </w:rPr>
        <w:t>hepatosplenomegaly, and hypoprothrombinemia, a picture that may be confused with congenital</w:t>
      </w:r>
      <w:r w:rsidR="00FD6D45" w:rsidRPr="00D1219A">
        <w:rPr>
          <w:rFonts w:ascii="Arial" w:hAnsi="Arial" w:cs="Arial"/>
        </w:rPr>
        <w:t xml:space="preserve"> </w:t>
      </w:r>
      <w:r w:rsidRPr="00D1219A">
        <w:rPr>
          <w:rFonts w:ascii="Arial" w:hAnsi="Arial" w:cs="Arial"/>
        </w:rPr>
        <w:t>infections such as toxoplasmosis, rubella, or cytomegalovirus</w:t>
      </w:r>
      <w:r w:rsidR="00015596" w:rsidRPr="00D1219A">
        <w:rPr>
          <w:rFonts w:ascii="Arial" w:hAnsi="Arial" w:cs="Arial"/>
        </w:rPr>
        <w:t>.</w:t>
      </w:r>
      <w:r w:rsidRPr="00D1219A">
        <w:rPr>
          <w:rFonts w:ascii="Arial" w:hAnsi="Arial" w:cs="Arial"/>
        </w:rPr>
        <w:t xml:space="preserve"> In addition, arrhythmias and</w:t>
      </w:r>
      <w:r w:rsidR="00FD6D45" w:rsidRPr="00D1219A">
        <w:rPr>
          <w:rFonts w:ascii="Arial" w:hAnsi="Arial" w:cs="Arial"/>
        </w:rPr>
        <w:t xml:space="preserve"> </w:t>
      </w:r>
      <w:r w:rsidRPr="00D1219A">
        <w:rPr>
          <w:rFonts w:ascii="Arial" w:hAnsi="Arial" w:cs="Arial"/>
        </w:rPr>
        <w:t>cardiac failure may develop and may cause death, particularly if treatment is delayed or</w:t>
      </w:r>
    </w:p>
    <w:p w14:paraId="6D034E78" w14:textId="77777777" w:rsidR="00D03D01" w:rsidRPr="00D1219A" w:rsidRDefault="00D03D01" w:rsidP="00D1219A">
      <w:pPr>
        <w:widowControl/>
        <w:autoSpaceDE w:val="0"/>
        <w:autoSpaceDN w:val="0"/>
        <w:adjustRightInd w:val="0"/>
        <w:spacing w:after="0"/>
        <w:rPr>
          <w:rFonts w:ascii="Arial" w:hAnsi="Arial" w:cs="Arial"/>
        </w:rPr>
      </w:pPr>
      <w:r w:rsidRPr="00D1219A">
        <w:rPr>
          <w:rFonts w:ascii="Arial" w:hAnsi="Arial" w:cs="Arial"/>
        </w:rPr>
        <w:t>inadequate. In addition to a significant mortality rate that approximates 20% in some older series,</w:t>
      </w:r>
      <w:r w:rsidR="00FD6D45" w:rsidRPr="00D1219A">
        <w:rPr>
          <w:rFonts w:ascii="Arial" w:hAnsi="Arial" w:cs="Arial"/>
        </w:rPr>
        <w:t xml:space="preserve"> </w:t>
      </w:r>
      <w:r w:rsidRPr="00D1219A">
        <w:rPr>
          <w:rFonts w:ascii="Arial" w:hAnsi="Arial" w:cs="Arial"/>
        </w:rPr>
        <w:t>untreated fetal and neonatal hyperthyroidism is associated with deleterious long-term</w:t>
      </w:r>
      <w:r w:rsidR="00FD6D45" w:rsidRPr="00D1219A">
        <w:rPr>
          <w:rFonts w:ascii="Arial" w:hAnsi="Arial" w:cs="Arial"/>
        </w:rPr>
        <w:t xml:space="preserve"> </w:t>
      </w:r>
      <w:r w:rsidRPr="00D1219A">
        <w:rPr>
          <w:rFonts w:ascii="Arial" w:hAnsi="Arial" w:cs="Arial"/>
        </w:rPr>
        <w:t>consequences, including premature closure of the cranial sutures (cranial synostosis), failure to</w:t>
      </w:r>
    </w:p>
    <w:p w14:paraId="32E644AF" w14:textId="3F7BB20B" w:rsidR="00D03D01" w:rsidRDefault="00D03D01" w:rsidP="00D1219A">
      <w:pPr>
        <w:widowControl/>
        <w:autoSpaceDE w:val="0"/>
        <w:autoSpaceDN w:val="0"/>
        <w:adjustRightInd w:val="0"/>
        <w:spacing w:after="0"/>
        <w:rPr>
          <w:rFonts w:ascii="Arial" w:hAnsi="Arial" w:cs="Arial"/>
        </w:rPr>
      </w:pPr>
      <w:r w:rsidRPr="00D1219A">
        <w:rPr>
          <w:rFonts w:ascii="Arial" w:hAnsi="Arial" w:cs="Arial"/>
        </w:rPr>
        <w:t>thrive, and developmental delay. The half-life of TSH receptor antibodies is 1 to 2 weeks. The</w:t>
      </w:r>
      <w:r w:rsidR="00281768" w:rsidRPr="00D1219A">
        <w:rPr>
          <w:rFonts w:ascii="Arial" w:hAnsi="Arial" w:cs="Arial"/>
        </w:rPr>
        <w:t xml:space="preserve"> </w:t>
      </w:r>
      <w:r w:rsidRPr="00D1219A">
        <w:rPr>
          <w:rFonts w:ascii="Arial" w:hAnsi="Arial" w:cs="Arial"/>
        </w:rPr>
        <w:t>duration of neonatal hyperthyroidism, a function of antibody potency and the rate of their metabolic</w:t>
      </w:r>
      <w:r w:rsidR="00281768" w:rsidRPr="00D1219A">
        <w:rPr>
          <w:rFonts w:ascii="Arial" w:hAnsi="Arial" w:cs="Arial"/>
        </w:rPr>
        <w:t xml:space="preserve"> </w:t>
      </w:r>
      <w:r w:rsidRPr="00D1219A">
        <w:rPr>
          <w:rFonts w:ascii="Arial" w:hAnsi="Arial" w:cs="Arial"/>
        </w:rPr>
        <w:t>clearance, is usually 2 to 3 months but may be longer.</w:t>
      </w:r>
    </w:p>
    <w:p w14:paraId="076A2DCF" w14:textId="0F6C2190" w:rsidR="005E3254" w:rsidRDefault="005E3254" w:rsidP="00D1219A">
      <w:pPr>
        <w:widowControl/>
        <w:autoSpaceDE w:val="0"/>
        <w:autoSpaceDN w:val="0"/>
        <w:adjustRightInd w:val="0"/>
        <w:spacing w:after="0"/>
        <w:rPr>
          <w:rFonts w:ascii="Arial" w:hAnsi="Arial" w:cs="Arial"/>
        </w:rPr>
      </w:pPr>
    </w:p>
    <w:tbl>
      <w:tblPr>
        <w:tblStyle w:val="TableGrid"/>
        <w:tblW w:w="0" w:type="auto"/>
        <w:tblLook w:val="04A0" w:firstRow="1" w:lastRow="0" w:firstColumn="1" w:lastColumn="0" w:noHBand="0" w:noVBand="1"/>
      </w:tblPr>
      <w:tblGrid>
        <w:gridCol w:w="7825"/>
      </w:tblGrid>
      <w:tr w:rsidR="005E3254" w14:paraId="706DF544" w14:textId="77777777" w:rsidTr="005E3254">
        <w:tc>
          <w:tcPr>
            <w:tcW w:w="7825" w:type="dxa"/>
            <w:shd w:val="clear" w:color="auto" w:fill="FFFF00"/>
          </w:tcPr>
          <w:p w14:paraId="68286314" w14:textId="0C6AA84F" w:rsidR="005E3254" w:rsidRDefault="005E3254" w:rsidP="005E3254">
            <w:pPr>
              <w:widowControl/>
              <w:autoSpaceDE w:val="0"/>
              <w:autoSpaceDN w:val="0"/>
              <w:adjustRightInd w:val="0"/>
              <w:spacing w:line="276" w:lineRule="auto"/>
              <w:rPr>
                <w:rFonts w:ascii="Arial" w:hAnsi="Arial" w:cs="Arial"/>
              </w:rPr>
            </w:pPr>
            <w:r w:rsidRPr="00D1219A">
              <w:rPr>
                <w:rFonts w:ascii="Arial" w:hAnsi="Arial" w:cs="Arial"/>
                <w:b/>
                <w:bCs/>
              </w:rPr>
              <w:t>TABLE 3</w:t>
            </w:r>
            <w:r>
              <w:rPr>
                <w:rFonts w:ascii="Arial" w:hAnsi="Arial" w:cs="Arial"/>
                <w:b/>
                <w:bCs/>
              </w:rPr>
              <w:t>.</w:t>
            </w:r>
            <w:r w:rsidRPr="00D1219A">
              <w:rPr>
                <w:rFonts w:ascii="Arial" w:hAnsi="Arial" w:cs="Arial"/>
                <w:b/>
                <w:bCs/>
              </w:rPr>
              <w:t xml:space="preserve"> Clinical </w:t>
            </w:r>
            <w:r>
              <w:rPr>
                <w:rFonts w:ascii="Arial" w:hAnsi="Arial" w:cs="Arial"/>
                <w:b/>
                <w:bCs/>
              </w:rPr>
              <w:t>M</w:t>
            </w:r>
            <w:r w:rsidRPr="00D1219A">
              <w:rPr>
                <w:rFonts w:ascii="Arial" w:hAnsi="Arial" w:cs="Arial"/>
                <w:b/>
                <w:bCs/>
              </w:rPr>
              <w:t xml:space="preserve">anifestations in the </w:t>
            </w:r>
            <w:r>
              <w:rPr>
                <w:rFonts w:ascii="Arial" w:hAnsi="Arial" w:cs="Arial"/>
                <w:b/>
                <w:bCs/>
              </w:rPr>
              <w:t>N</w:t>
            </w:r>
            <w:r w:rsidRPr="00D1219A">
              <w:rPr>
                <w:rFonts w:ascii="Arial" w:hAnsi="Arial" w:cs="Arial"/>
                <w:b/>
                <w:bCs/>
              </w:rPr>
              <w:t>eonate</w:t>
            </w:r>
          </w:p>
        </w:tc>
      </w:tr>
      <w:tr w:rsidR="005E3254" w14:paraId="22430AFE" w14:textId="77777777" w:rsidTr="005E3254">
        <w:tc>
          <w:tcPr>
            <w:tcW w:w="7825" w:type="dxa"/>
          </w:tcPr>
          <w:p w14:paraId="7AF4B858" w14:textId="7407246F" w:rsidR="005E3254" w:rsidRPr="00D1219A"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 xml:space="preserve">Irritability, </w:t>
            </w:r>
            <w:r w:rsidR="00920642" w:rsidRPr="00D1219A">
              <w:rPr>
                <w:rFonts w:ascii="Arial" w:hAnsi="Arial" w:cs="Arial"/>
              </w:rPr>
              <w:t>hyperexcitability</w:t>
            </w:r>
            <w:r w:rsidRPr="00D1219A">
              <w:rPr>
                <w:rFonts w:ascii="Arial" w:hAnsi="Arial" w:cs="Arial"/>
              </w:rPr>
              <w:t>, sleep disorders</w:t>
            </w:r>
          </w:p>
          <w:p w14:paraId="195112AA" w14:textId="77777777" w:rsidR="005E3254" w:rsidRPr="00D1219A"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Tachycardia, hypertension, cardiac failure</w:t>
            </w:r>
          </w:p>
          <w:p w14:paraId="5645BFA0" w14:textId="77777777" w:rsidR="005E3254" w:rsidRPr="00D1219A"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Flushing, sweating</w:t>
            </w:r>
          </w:p>
          <w:p w14:paraId="4CD53BFC" w14:textId="77777777" w:rsidR="005E3254" w:rsidRPr="00D1219A"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Respiratory distress, pulmonary hypertension</w:t>
            </w:r>
          </w:p>
          <w:p w14:paraId="2B6B0ABD" w14:textId="77777777" w:rsidR="005E3254" w:rsidRPr="00D1219A"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Goiter, stare</w:t>
            </w:r>
          </w:p>
          <w:p w14:paraId="4487C67B" w14:textId="77777777" w:rsidR="005E3254" w:rsidRPr="00D1219A"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Feeding difficulties, increased appetite but no/poor weight gain</w:t>
            </w:r>
          </w:p>
          <w:p w14:paraId="27D64403" w14:textId="77777777" w:rsidR="005E3254" w:rsidRPr="00D1219A"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Diarrhea</w:t>
            </w:r>
          </w:p>
          <w:p w14:paraId="61FBED12" w14:textId="3AC4DAB4" w:rsidR="005E3254" w:rsidRPr="00D1219A"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 xml:space="preserve">Unexplained petechiae, hyperbilirubinemia, </w:t>
            </w:r>
            <w:r w:rsidR="00920642">
              <w:rPr>
                <w:rFonts w:ascii="Arial" w:hAnsi="Arial" w:cs="Arial"/>
              </w:rPr>
              <w:t>j</w:t>
            </w:r>
            <w:r w:rsidR="00920642" w:rsidRPr="00D1219A">
              <w:rPr>
                <w:rFonts w:ascii="Arial" w:hAnsi="Arial" w:cs="Arial"/>
              </w:rPr>
              <w:t>aun</w:t>
            </w:r>
            <w:r w:rsidR="00920642">
              <w:rPr>
                <w:rFonts w:ascii="Arial" w:hAnsi="Arial" w:cs="Arial"/>
              </w:rPr>
              <w:t>d</w:t>
            </w:r>
            <w:r w:rsidR="00920642" w:rsidRPr="00D1219A">
              <w:rPr>
                <w:rFonts w:ascii="Arial" w:hAnsi="Arial" w:cs="Arial"/>
              </w:rPr>
              <w:t>ice</w:t>
            </w:r>
            <w:r w:rsidRPr="00D1219A">
              <w:rPr>
                <w:rFonts w:ascii="Arial" w:hAnsi="Arial" w:cs="Arial"/>
              </w:rPr>
              <w:t>, or hepatosplenomegaly</w:t>
            </w:r>
          </w:p>
          <w:p w14:paraId="18C2BE68" w14:textId="30CE3BF0" w:rsidR="005E3254" w:rsidRPr="00D1219A" w:rsidRDefault="00920642"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Craniosynostosis</w:t>
            </w:r>
            <w:r w:rsidR="005E3254" w:rsidRPr="00D1219A">
              <w:rPr>
                <w:rFonts w:ascii="Arial" w:hAnsi="Arial" w:cs="Arial"/>
              </w:rPr>
              <w:t xml:space="preserve">, </w:t>
            </w:r>
            <w:r w:rsidRPr="00D1219A">
              <w:rPr>
                <w:rFonts w:ascii="Arial" w:hAnsi="Arial" w:cs="Arial"/>
              </w:rPr>
              <w:t>microcephaly</w:t>
            </w:r>
            <w:r w:rsidR="005E3254" w:rsidRPr="00D1219A">
              <w:rPr>
                <w:rFonts w:ascii="Arial" w:hAnsi="Arial" w:cs="Arial"/>
              </w:rPr>
              <w:t>,</w:t>
            </w:r>
          </w:p>
          <w:p w14:paraId="45672D56" w14:textId="42406E23" w:rsidR="005E3254" w:rsidRDefault="005E3254" w:rsidP="00D900FD">
            <w:pPr>
              <w:pStyle w:val="ListParagraph"/>
              <w:widowControl/>
              <w:autoSpaceDE w:val="0"/>
              <w:autoSpaceDN w:val="0"/>
              <w:adjustRightInd w:val="0"/>
              <w:spacing w:line="276" w:lineRule="auto"/>
              <w:ind w:left="0"/>
              <w:rPr>
                <w:rFonts w:ascii="Arial" w:hAnsi="Arial" w:cs="Arial"/>
              </w:rPr>
            </w:pPr>
            <w:r w:rsidRPr="00D1219A">
              <w:rPr>
                <w:rFonts w:ascii="Arial" w:hAnsi="Arial" w:cs="Arial"/>
              </w:rPr>
              <w:t>Death</w:t>
            </w:r>
          </w:p>
        </w:tc>
      </w:tr>
    </w:tbl>
    <w:p w14:paraId="4250501A" w14:textId="77777777" w:rsidR="005E3254" w:rsidRPr="00D1219A" w:rsidRDefault="005E3254" w:rsidP="00D1219A">
      <w:pPr>
        <w:widowControl/>
        <w:autoSpaceDE w:val="0"/>
        <w:autoSpaceDN w:val="0"/>
        <w:adjustRightInd w:val="0"/>
        <w:spacing w:after="0"/>
        <w:rPr>
          <w:rFonts w:ascii="Arial" w:hAnsi="Arial" w:cs="Arial"/>
        </w:rPr>
      </w:pPr>
    </w:p>
    <w:p w14:paraId="33A905EB" w14:textId="0F84F7ED" w:rsidR="00D03D01" w:rsidRPr="00D1219A" w:rsidRDefault="00D03D01" w:rsidP="00D1219A">
      <w:pPr>
        <w:widowControl/>
        <w:autoSpaceDE w:val="0"/>
        <w:autoSpaceDN w:val="0"/>
        <w:adjustRightInd w:val="0"/>
        <w:spacing w:after="0"/>
        <w:rPr>
          <w:rFonts w:ascii="Arial" w:hAnsi="Arial" w:cs="Arial"/>
          <w:b/>
          <w:bCs/>
        </w:rPr>
      </w:pPr>
      <w:r w:rsidRPr="00D1219A">
        <w:rPr>
          <w:rFonts w:ascii="Arial" w:hAnsi="Arial" w:cs="Arial"/>
          <w:b/>
          <w:bCs/>
        </w:rPr>
        <w:t>L</w:t>
      </w:r>
      <w:r w:rsidR="005E3254">
        <w:rPr>
          <w:rFonts w:ascii="Arial" w:hAnsi="Arial" w:cs="Arial"/>
          <w:b/>
          <w:bCs/>
        </w:rPr>
        <w:t>ABORATORY EVALUATION</w:t>
      </w:r>
    </w:p>
    <w:p w14:paraId="7C2AA7BE" w14:textId="77777777" w:rsidR="005E3254" w:rsidRDefault="005E3254" w:rsidP="00D1219A">
      <w:pPr>
        <w:widowControl/>
        <w:autoSpaceDE w:val="0"/>
        <w:autoSpaceDN w:val="0"/>
        <w:adjustRightInd w:val="0"/>
        <w:spacing w:after="0"/>
        <w:rPr>
          <w:rFonts w:ascii="Arial" w:hAnsi="Arial" w:cs="Arial"/>
        </w:rPr>
      </w:pPr>
    </w:p>
    <w:p w14:paraId="7654DE76" w14:textId="3C67711E" w:rsidR="00D03D01" w:rsidRDefault="00D03D01" w:rsidP="00D1219A">
      <w:pPr>
        <w:widowControl/>
        <w:autoSpaceDE w:val="0"/>
        <w:autoSpaceDN w:val="0"/>
        <w:adjustRightInd w:val="0"/>
        <w:spacing w:after="0"/>
        <w:rPr>
          <w:rFonts w:ascii="Arial" w:hAnsi="Arial" w:cs="Arial"/>
        </w:rPr>
      </w:pPr>
      <w:r w:rsidRPr="00D1219A">
        <w:rPr>
          <w:rFonts w:ascii="Arial" w:hAnsi="Arial" w:cs="Arial"/>
        </w:rPr>
        <w:t>The recent</w:t>
      </w:r>
      <w:r w:rsidR="0097703C" w:rsidRPr="00D1219A">
        <w:rPr>
          <w:rFonts w:ascii="Arial" w:hAnsi="Arial" w:cs="Arial"/>
        </w:rPr>
        <w:t xml:space="preserve"> </w:t>
      </w:r>
      <w:r w:rsidRPr="00D1219A">
        <w:rPr>
          <w:rFonts w:ascii="Arial" w:hAnsi="Arial" w:cs="Arial"/>
        </w:rPr>
        <w:t>guidelines for management of hyperthyroidism and the updated guidelines for the</w:t>
      </w:r>
      <w:r w:rsidR="00FD6D45" w:rsidRPr="00D1219A">
        <w:rPr>
          <w:rFonts w:ascii="Arial" w:hAnsi="Arial" w:cs="Arial"/>
        </w:rPr>
        <w:t xml:space="preserve"> </w:t>
      </w:r>
      <w:r w:rsidRPr="00D1219A">
        <w:rPr>
          <w:rFonts w:ascii="Arial" w:hAnsi="Arial" w:cs="Arial"/>
        </w:rPr>
        <w:t>management of thyroid disease during pregnancy released from the American Thyroid Association</w:t>
      </w:r>
      <w:r w:rsidR="00281768" w:rsidRPr="00D1219A">
        <w:rPr>
          <w:rFonts w:ascii="Arial" w:hAnsi="Arial" w:cs="Arial"/>
        </w:rPr>
        <w:t xml:space="preserve"> </w:t>
      </w:r>
      <w:r w:rsidRPr="00D1219A">
        <w:rPr>
          <w:rFonts w:ascii="Arial" w:hAnsi="Arial" w:cs="Arial"/>
        </w:rPr>
        <w:t>ATA both suggest determin</w:t>
      </w:r>
      <w:r w:rsidR="005E3254">
        <w:rPr>
          <w:rFonts w:ascii="Arial" w:hAnsi="Arial" w:cs="Arial"/>
        </w:rPr>
        <w:t>ing</w:t>
      </w:r>
      <w:r w:rsidRPr="00D1219A">
        <w:rPr>
          <w:rFonts w:ascii="Arial" w:hAnsi="Arial" w:cs="Arial"/>
        </w:rPr>
        <w:t xml:space="preserve"> TRAb </w:t>
      </w:r>
      <w:r w:rsidR="005E3254">
        <w:rPr>
          <w:rFonts w:ascii="Arial" w:hAnsi="Arial" w:cs="Arial"/>
        </w:rPr>
        <w:t xml:space="preserve">levels </w:t>
      </w:r>
      <w:r w:rsidRPr="00D1219A">
        <w:rPr>
          <w:rFonts w:ascii="Arial" w:hAnsi="Arial" w:cs="Arial"/>
        </w:rPr>
        <w:t>in pregnant women with Graves’</w:t>
      </w:r>
      <w:r w:rsidR="005E3254">
        <w:rPr>
          <w:rFonts w:ascii="Arial" w:hAnsi="Arial" w:cs="Arial"/>
        </w:rPr>
        <w:t xml:space="preserve"> d</w:t>
      </w:r>
      <w:r w:rsidRPr="00D1219A">
        <w:rPr>
          <w:rFonts w:ascii="Arial" w:hAnsi="Arial" w:cs="Arial"/>
        </w:rPr>
        <w:t>isease at 18-22 weeks instead of 20-24 weeks of gestation because a severe case of fetal</w:t>
      </w:r>
      <w:r w:rsidR="00281768" w:rsidRPr="00D1219A">
        <w:rPr>
          <w:rFonts w:ascii="Arial" w:hAnsi="Arial" w:cs="Arial"/>
        </w:rPr>
        <w:t xml:space="preserve"> </w:t>
      </w:r>
      <w:r w:rsidRPr="00D1219A">
        <w:rPr>
          <w:rFonts w:ascii="Arial" w:hAnsi="Arial" w:cs="Arial"/>
        </w:rPr>
        <w:t>Graves’ disease has occurred at 18 weeks of pregnancy.</w:t>
      </w:r>
    </w:p>
    <w:p w14:paraId="42694266" w14:textId="77777777" w:rsidR="005E3254" w:rsidRPr="00D1219A" w:rsidRDefault="005E3254" w:rsidP="00D1219A">
      <w:pPr>
        <w:widowControl/>
        <w:autoSpaceDE w:val="0"/>
        <w:autoSpaceDN w:val="0"/>
        <w:adjustRightInd w:val="0"/>
        <w:spacing w:after="0"/>
        <w:rPr>
          <w:rFonts w:ascii="Arial" w:hAnsi="Arial" w:cs="Arial"/>
        </w:rPr>
      </w:pPr>
    </w:p>
    <w:p w14:paraId="30E749C2" w14:textId="77777777" w:rsidR="00D03D01" w:rsidRPr="00D1219A" w:rsidRDefault="00D03D01" w:rsidP="00D1219A">
      <w:pPr>
        <w:widowControl/>
        <w:autoSpaceDE w:val="0"/>
        <w:autoSpaceDN w:val="0"/>
        <w:adjustRightInd w:val="0"/>
        <w:spacing w:after="0"/>
        <w:rPr>
          <w:rFonts w:ascii="Arial" w:hAnsi="Arial" w:cs="Arial"/>
        </w:rPr>
      </w:pPr>
      <w:r w:rsidRPr="00D1219A">
        <w:rPr>
          <w:rFonts w:ascii="Arial" w:hAnsi="Arial" w:cs="Arial"/>
        </w:rPr>
        <w:t>Because of the importance of early diagnosis and treatment, infants at risk for neonatal</w:t>
      </w:r>
      <w:r w:rsidR="00FD6D45" w:rsidRPr="00D1219A">
        <w:rPr>
          <w:rFonts w:ascii="Arial" w:hAnsi="Arial" w:cs="Arial"/>
        </w:rPr>
        <w:t xml:space="preserve"> </w:t>
      </w:r>
      <w:r w:rsidRPr="00D1219A">
        <w:rPr>
          <w:rFonts w:ascii="Arial" w:hAnsi="Arial" w:cs="Arial"/>
        </w:rPr>
        <w:t>hyperthyroidism should undergo both clinical and biochemical assessment as soon as possible.</w:t>
      </w:r>
    </w:p>
    <w:p w14:paraId="4C2A2C84" w14:textId="536CC77F" w:rsidR="00D03D01" w:rsidRDefault="00D03D01" w:rsidP="00D1219A">
      <w:pPr>
        <w:widowControl/>
        <w:autoSpaceDE w:val="0"/>
        <w:autoSpaceDN w:val="0"/>
        <w:adjustRightInd w:val="0"/>
        <w:spacing w:after="0"/>
        <w:rPr>
          <w:rFonts w:ascii="Arial" w:hAnsi="Arial" w:cs="Arial"/>
        </w:rPr>
      </w:pPr>
      <w:r w:rsidRPr="00D1219A">
        <w:rPr>
          <w:rFonts w:ascii="Arial" w:hAnsi="Arial" w:cs="Arial"/>
        </w:rPr>
        <w:t>All neonates born from a woman with TRAb positivity in pregnancy should undergo determination</w:t>
      </w:r>
      <w:r w:rsidR="00FD6D45" w:rsidRPr="00D1219A">
        <w:rPr>
          <w:rFonts w:ascii="Arial" w:hAnsi="Arial" w:cs="Arial"/>
        </w:rPr>
        <w:t xml:space="preserve"> </w:t>
      </w:r>
      <w:r w:rsidRPr="00D1219A">
        <w:rPr>
          <w:rFonts w:ascii="Arial" w:hAnsi="Arial" w:cs="Arial"/>
        </w:rPr>
        <w:t xml:space="preserve">of TRAb from cord blood at delivery. If TRAb </w:t>
      </w:r>
      <w:r w:rsidR="005E3254">
        <w:rPr>
          <w:rFonts w:ascii="Arial" w:hAnsi="Arial" w:cs="Arial"/>
        </w:rPr>
        <w:t xml:space="preserve">is </w:t>
      </w:r>
      <w:r w:rsidRPr="00D1219A">
        <w:rPr>
          <w:rFonts w:ascii="Arial" w:hAnsi="Arial" w:cs="Arial"/>
        </w:rPr>
        <w:t>negative, the risk to neonatal hyperthyroidism is</w:t>
      </w:r>
      <w:r w:rsidR="00FD6D45" w:rsidRPr="00D1219A">
        <w:rPr>
          <w:rFonts w:ascii="Arial" w:hAnsi="Arial" w:cs="Arial"/>
        </w:rPr>
        <w:t xml:space="preserve"> </w:t>
      </w:r>
      <w:r w:rsidRPr="00D1219A">
        <w:rPr>
          <w:rFonts w:ascii="Arial" w:hAnsi="Arial" w:cs="Arial"/>
        </w:rPr>
        <w:t>negligible (Sensitivity is around 100%). FT3, FT4 and TSH determination from cord blood did not</w:t>
      </w:r>
      <w:r w:rsidR="005E3254">
        <w:rPr>
          <w:rFonts w:ascii="Arial" w:hAnsi="Arial" w:cs="Arial"/>
        </w:rPr>
        <w:t xml:space="preserve"> </w:t>
      </w:r>
      <w:r w:rsidRPr="00D1219A">
        <w:rPr>
          <w:rFonts w:ascii="Arial" w:hAnsi="Arial" w:cs="Arial"/>
        </w:rPr>
        <w:t xml:space="preserve">predict neonatal hyperthyroidism. </w:t>
      </w:r>
      <w:r w:rsidR="005E3254">
        <w:rPr>
          <w:rFonts w:ascii="Arial" w:hAnsi="Arial" w:cs="Arial"/>
        </w:rPr>
        <w:t xml:space="preserve">Increases in </w:t>
      </w:r>
      <w:r w:rsidRPr="00D1219A">
        <w:rPr>
          <w:rFonts w:ascii="Arial" w:hAnsi="Arial" w:cs="Arial"/>
        </w:rPr>
        <w:t>FT4 on day 3 to 5 seems to better</w:t>
      </w:r>
      <w:r w:rsidR="00FD6D45" w:rsidRPr="00D1219A">
        <w:rPr>
          <w:rFonts w:ascii="Arial" w:hAnsi="Arial" w:cs="Arial"/>
        </w:rPr>
        <w:t xml:space="preserve"> </w:t>
      </w:r>
      <w:r w:rsidRPr="00D1219A">
        <w:rPr>
          <w:rFonts w:ascii="Arial" w:hAnsi="Arial" w:cs="Arial"/>
        </w:rPr>
        <w:t>indicate the onset of hyperthyroidism</w:t>
      </w:r>
      <w:r w:rsidR="00AB4E9E" w:rsidRPr="00D1219A">
        <w:rPr>
          <w:rFonts w:ascii="Arial" w:hAnsi="Arial" w:cs="Arial"/>
        </w:rPr>
        <w:t>.</w:t>
      </w:r>
      <w:r w:rsidRPr="00D1219A">
        <w:rPr>
          <w:rFonts w:ascii="Arial" w:hAnsi="Arial" w:cs="Arial"/>
        </w:rPr>
        <w:t xml:space="preserve"> Situations that should prompt consideration of neonatal</w:t>
      </w:r>
      <w:r w:rsidR="00E540C7" w:rsidRPr="00D1219A">
        <w:rPr>
          <w:rFonts w:ascii="Arial" w:hAnsi="Arial" w:cs="Arial"/>
        </w:rPr>
        <w:t xml:space="preserve"> </w:t>
      </w:r>
      <w:r w:rsidRPr="00D1219A">
        <w:rPr>
          <w:rFonts w:ascii="Arial" w:hAnsi="Arial" w:cs="Arial"/>
        </w:rPr>
        <w:t xml:space="preserve">hyperthyroidism are listed in Table </w:t>
      </w:r>
      <w:r w:rsidR="000543D4" w:rsidRPr="00D1219A">
        <w:rPr>
          <w:rFonts w:ascii="Arial" w:hAnsi="Arial" w:cs="Arial"/>
        </w:rPr>
        <w:t>1</w:t>
      </w:r>
      <w:r w:rsidRPr="00D1219A">
        <w:rPr>
          <w:rFonts w:ascii="Arial" w:hAnsi="Arial" w:cs="Arial"/>
        </w:rPr>
        <w:t>. A high index of suspicion is necessary in babies of women</w:t>
      </w:r>
      <w:r w:rsidR="00E540C7" w:rsidRPr="00D1219A">
        <w:rPr>
          <w:rFonts w:ascii="Arial" w:hAnsi="Arial" w:cs="Arial"/>
        </w:rPr>
        <w:t xml:space="preserve"> </w:t>
      </w:r>
      <w:r w:rsidRPr="00D1219A">
        <w:rPr>
          <w:rFonts w:ascii="Arial" w:hAnsi="Arial" w:cs="Arial"/>
        </w:rPr>
        <w:t>who have had thyroid ablation because in them a high titer of TSH receptor antibodies would not</w:t>
      </w:r>
      <w:r w:rsidR="00E540C7" w:rsidRPr="00D1219A">
        <w:rPr>
          <w:rFonts w:ascii="Arial" w:hAnsi="Arial" w:cs="Arial"/>
        </w:rPr>
        <w:t xml:space="preserve"> </w:t>
      </w:r>
      <w:r w:rsidRPr="00D1219A">
        <w:rPr>
          <w:rFonts w:ascii="Arial" w:hAnsi="Arial" w:cs="Arial"/>
        </w:rPr>
        <w:t>be evident clinically. Similarly, women with persistently elevated TSH receptor antibodies and with</w:t>
      </w:r>
      <w:r w:rsidR="00E540C7" w:rsidRPr="00D1219A">
        <w:rPr>
          <w:rFonts w:ascii="Arial" w:hAnsi="Arial" w:cs="Arial"/>
        </w:rPr>
        <w:t xml:space="preserve"> </w:t>
      </w:r>
      <w:r w:rsidRPr="00D1219A">
        <w:rPr>
          <w:rFonts w:ascii="Arial" w:hAnsi="Arial" w:cs="Arial"/>
        </w:rPr>
        <w:t>a high requirement for antithyroid medication are at an increased risk of having an affected child.</w:t>
      </w:r>
    </w:p>
    <w:p w14:paraId="0F2E31DA" w14:textId="77777777" w:rsidR="005E3254" w:rsidRPr="00D1219A" w:rsidRDefault="005E3254" w:rsidP="00D1219A">
      <w:pPr>
        <w:widowControl/>
        <w:autoSpaceDE w:val="0"/>
        <w:autoSpaceDN w:val="0"/>
        <w:adjustRightInd w:val="0"/>
        <w:spacing w:after="0"/>
        <w:rPr>
          <w:rFonts w:ascii="Arial" w:hAnsi="Arial" w:cs="Arial"/>
        </w:rPr>
      </w:pPr>
    </w:p>
    <w:p w14:paraId="08FAA656" w14:textId="77777777" w:rsidR="00D03D01" w:rsidRPr="00D1219A" w:rsidRDefault="00D03D01" w:rsidP="00D1219A">
      <w:pPr>
        <w:widowControl/>
        <w:autoSpaceDE w:val="0"/>
        <w:autoSpaceDN w:val="0"/>
        <w:adjustRightInd w:val="0"/>
        <w:spacing w:after="0"/>
        <w:rPr>
          <w:rFonts w:ascii="Arial" w:hAnsi="Arial" w:cs="Arial"/>
        </w:rPr>
      </w:pPr>
      <w:r w:rsidRPr="00D1219A">
        <w:rPr>
          <w:rFonts w:ascii="Arial" w:hAnsi="Arial" w:cs="Arial"/>
        </w:rPr>
        <w:lastRenderedPageBreak/>
        <w:t>The diagnosis of hyperthyroidism is confirmed by the demonstration of an increased concentration</w:t>
      </w:r>
      <w:r w:rsidR="00E540C7" w:rsidRPr="00D1219A">
        <w:rPr>
          <w:rFonts w:ascii="Arial" w:hAnsi="Arial" w:cs="Arial"/>
        </w:rPr>
        <w:t xml:space="preserve"> </w:t>
      </w:r>
      <w:r w:rsidRPr="00D1219A">
        <w:rPr>
          <w:rFonts w:ascii="Arial" w:hAnsi="Arial" w:cs="Arial"/>
        </w:rPr>
        <w:t>of circulating T4 (and free T4, and T3, if possible) accompanied by a suppressed TSH level in</w:t>
      </w:r>
      <w:r w:rsidR="00E540C7" w:rsidRPr="00D1219A">
        <w:rPr>
          <w:rFonts w:ascii="Arial" w:hAnsi="Arial" w:cs="Arial"/>
        </w:rPr>
        <w:t xml:space="preserve"> </w:t>
      </w:r>
      <w:r w:rsidRPr="00D1219A">
        <w:rPr>
          <w:rFonts w:ascii="Arial" w:hAnsi="Arial" w:cs="Arial"/>
        </w:rPr>
        <w:t>neonatal or fetal blood. Results should be compared with normal values during gestation. Fetal</w:t>
      </w:r>
      <w:r w:rsidR="00E540C7" w:rsidRPr="00D1219A">
        <w:rPr>
          <w:rFonts w:ascii="Arial" w:hAnsi="Arial" w:cs="Arial"/>
        </w:rPr>
        <w:t xml:space="preserve"> </w:t>
      </w:r>
      <w:r w:rsidRPr="00D1219A">
        <w:rPr>
          <w:rFonts w:ascii="Arial" w:hAnsi="Arial" w:cs="Arial"/>
        </w:rPr>
        <w:t>ultrasonography may be helpful in detecting the presence of a fetal goiter and in monitoring fetal</w:t>
      </w:r>
      <w:r w:rsidR="00E540C7" w:rsidRPr="00D1219A">
        <w:rPr>
          <w:rFonts w:ascii="Arial" w:hAnsi="Arial" w:cs="Arial"/>
        </w:rPr>
        <w:t xml:space="preserve"> </w:t>
      </w:r>
      <w:r w:rsidRPr="00D1219A">
        <w:rPr>
          <w:rFonts w:ascii="Arial" w:hAnsi="Arial" w:cs="Arial"/>
        </w:rPr>
        <w:t>growth. Demonstration in the baby or mother of a high titer of TSH receptor antibodies will confirm</w:t>
      </w:r>
      <w:r w:rsidR="00E540C7" w:rsidRPr="00D1219A">
        <w:rPr>
          <w:rFonts w:ascii="Arial" w:hAnsi="Arial" w:cs="Arial"/>
        </w:rPr>
        <w:t xml:space="preserve"> </w:t>
      </w:r>
      <w:r w:rsidRPr="00D1219A">
        <w:rPr>
          <w:rFonts w:ascii="Arial" w:hAnsi="Arial" w:cs="Arial"/>
        </w:rPr>
        <w:t>the etiology of the hyperthyroidism and, in babies whose thyroid function testing is normal initially,</w:t>
      </w:r>
      <w:r w:rsidR="00E540C7" w:rsidRPr="00D1219A">
        <w:rPr>
          <w:rFonts w:ascii="Arial" w:hAnsi="Arial" w:cs="Arial"/>
        </w:rPr>
        <w:t xml:space="preserve"> </w:t>
      </w:r>
      <w:r w:rsidRPr="00D1219A">
        <w:rPr>
          <w:rFonts w:ascii="Arial" w:hAnsi="Arial" w:cs="Arial"/>
        </w:rPr>
        <w:t>indicate the degree to which the baby is at risk.</w:t>
      </w:r>
    </w:p>
    <w:p w14:paraId="12CBF7AE" w14:textId="77777777" w:rsidR="00FD6D45" w:rsidRPr="00D1219A" w:rsidRDefault="00FD6D45" w:rsidP="00D1219A">
      <w:pPr>
        <w:widowControl/>
        <w:autoSpaceDE w:val="0"/>
        <w:autoSpaceDN w:val="0"/>
        <w:adjustRightInd w:val="0"/>
        <w:spacing w:after="0"/>
        <w:rPr>
          <w:rFonts w:ascii="Arial" w:hAnsi="Arial" w:cs="Arial"/>
          <w:b/>
          <w:bCs/>
        </w:rPr>
      </w:pPr>
    </w:p>
    <w:p w14:paraId="35E977CC" w14:textId="46B4AF2E" w:rsidR="00D03D01" w:rsidRPr="00D1219A" w:rsidRDefault="00D03D01" w:rsidP="00D1219A">
      <w:pPr>
        <w:widowControl/>
        <w:autoSpaceDE w:val="0"/>
        <w:autoSpaceDN w:val="0"/>
        <w:adjustRightInd w:val="0"/>
        <w:spacing w:after="0"/>
        <w:rPr>
          <w:rFonts w:ascii="Arial" w:hAnsi="Arial" w:cs="Arial"/>
        </w:rPr>
      </w:pPr>
      <w:r w:rsidRPr="00D1219A">
        <w:rPr>
          <w:rFonts w:ascii="Arial" w:hAnsi="Arial" w:cs="Arial"/>
        </w:rPr>
        <w:t xml:space="preserve"> In general,</w:t>
      </w:r>
      <w:r w:rsidR="00FD6D45" w:rsidRPr="00D1219A">
        <w:rPr>
          <w:rFonts w:ascii="Arial" w:hAnsi="Arial" w:cs="Arial"/>
        </w:rPr>
        <w:t xml:space="preserve"> </w:t>
      </w:r>
      <w:r w:rsidRPr="00D1219A">
        <w:rPr>
          <w:rFonts w:ascii="Arial" w:hAnsi="Arial" w:cs="Arial"/>
        </w:rPr>
        <w:t xml:space="preserve">babies likely to become hyperthyroid have the highest TSH receptor antibody titer </w:t>
      </w:r>
      <w:r w:rsidR="00F12021" w:rsidRPr="00D1219A">
        <w:rPr>
          <w:rFonts w:ascii="Arial" w:hAnsi="Arial" w:cs="Arial"/>
        </w:rPr>
        <w:t xml:space="preserve">but levels of maternal TRAb in the serum as low as 4.4 U/L has been associated with neonatal thyrotoxicosis. </w:t>
      </w:r>
      <w:r w:rsidR="000640F1" w:rsidRPr="00D1219A">
        <w:rPr>
          <w:rFonts w:ascii="Arial" w:hAnsi="Arial" w:cs="Arial"/>
        </w:rPr>
        <w:t xml:space="preserve"> </w:t>
      </w:r>
      <w:r w:rsidR="00F12021" w:rsidRPr="00D1219A">
        <w:rPr>
          <w:rFonts w:ascii="Arial" w:hAnsi="Arial" w:cs="Arial"/>
        </w:rPr>
        <w:t>I</w:t>
      </w:r>
      <w:r w:rsidRPr="00D1219A">
        <w:rPr>
          <w:rFonts w:ascii="Arial" w:hAnsi="Arial" w:cs="Arial"/>
        </w:rPr>
        <w:t>f TSH</w:t>
      </w:r>
      <w:r w:rsidR="00FD6D45" w:rsidRPr="00D1219A">
        <w:rPr>
          <w:rFonts w:ascii="Arial" w:hAnsi="Arial" w:cs="Arial"/>
        </w:rPr>
        <w:t xml:space="preserve"> </w:t>
      </w:r>
      <w:r w:rsidRPr="00D1219A">
        <w:rPr>
          <w:rFonts w:ascii="Arial" w:hAnsi="Arial" w:cs="Arial"/>
        </w:rPr>
        <w:t xml:space="preserve">receptor antibodies are not detectable, the baby is </w:t>
      </w:r>
      <w:r w:rsidR="005E3254">
        <w:rPr>
          <w:rFonts w:ascii="Arial" w:hAnsi="Arial" w:cs="Arial"/>
        </w:rPr>
        <w:t>very</w:t>
      </w:r>
      <w:r w:rsidRPr="00D1219A">
        <w:rPr>
          <w:rFonts w:ascii="Arial" w:hAnsi="Arial" w:cs="Arial"/>
        </w:rPr>
        <w:t xml:space="preserve"> unlikely to become hyperthyroid. In the latter case, it can be anticipated that the baby will be euthyroid, have transient</w:t>
      </w:r>
      <w:r w:rsidR="00ED0415" w:rsidRPr="00D1219A">
        <w:rPr>
          <w:rFonts w:ascii="Arial" w:hAnsi="Arial" w:cs="Arial"/>
        </w:rPr>
        <w:t xml:space="preserve"> </w:t>
      </w:r>
      <w:r w:rsidRPr="00D1219A">
        <w:rPr>
          <w:rFonts w:ascii="Arial" w:hAnsi="Arial" w:cs="Arial"/>
        </w:rPr>
        <w:t>hypothalamic-pituitary suppression</w:t>
      </w:r>
      <w:r w:rsidR="00B945CF">
        <w:rPr>
          <w:rFonts w:ascii="Arial" w:hAnsi="Arial" w:cs="Arial"/>
        </w:rPr>
        <w:t>,</w:t>
      </w:r>
      <w:r w:rsidRPr="00D1219A">
        <w:rPr>
          <w:rFonts w:ascii="Arial" w:hAnsi="Arial" w:cs="Arial"/>
        </w:rPr>
        <w:t xml:space="preserve"> or have a transiently elevated TSH, depending on the relative</w:t>
      </w:r>
      <w:r w:rsidR="00ED0415" w:rsidRPr="00D1219A">
        <w:rPr>
          <w:rFonts w:ascii="Arial" w:hAnsi="Arial" w:cs="Arial"/>
        </w:rPr>
        <w:t xml:space="preserve"> </w:t>
      </w:r>
      <w:r w:rsidRPr="00D1219A">
        <w:rPr>
          <w:rFonts w:ascii="Arial" w:hAnsi="Arial" w:cs="Arial"/>
        </w:rPr>
        <w:t>contribution of maternal hyperthyroidism versus the effects of maternal antithyroid medication,</w:t>
      </w:r>
      <w:r w:rsidR="00ED0415" w:rsidRPr="00D1219A">
        <w:rPr>
          <w:rFonts w:ascii="Arial" w:hAnsi="Arial" w:cs="Arial"/>
        </w:rPr>
        <w:t xml:space="preserve"> </w:t>
      </w:r>
      <w:r w:rsidRPr="00D1219A">
        <w:rPr>
          <w:rFonts w:ascii="Arial" w:hAnsi="Arial" w:cs="Arial"/>
        </w:rPr>
        <w:t>respectively. Close follow up of all babies with abnormal thyroid function tests or detectable</w:t>
      </w:r>
      <w:r w:rsidR="00AB4E9E" w:rsidRPr="00D1219A">
        <w:rPr>
          <w:rFonts w:ascii="Arial" w:hAnsi="Arial" w:cs="Arial"/>
        </w:rPr>
        <w:t xml:space="preserve"> </w:t>
      </w:r>
      <w:r w:rsidRPr="00D1219A">
        <w:rPr>
          <w:rFonts w:ascii="Arial" w:hAnsi="Arial" w:cs="Arial"/>
        </w:rPr>
        <w:t>TSH receptor antibodies is mandatory.</w:t>
      </w:r>
    </w:p>
    <w:p w14:paraId="58A59FAE" w14:textId="77777777" w:rsidR="00517155" w:rsidRPr="00D1219A" w:rsidRDefault="00517155" w:rsidP="00D1219A">
      <w:pPr>
        <w:widowControl/>
        <w:autoSpaceDE w:val="0"/>
        <w:autoSpaceDN w:val="0"/>
        <w:adjustRightInd w:val="0"/>
        <w:spacing w:after="0"/>
        <w:rPr>
          <w:rFonts w:ascii="Arial" w:hAnsi="Arial" w:cs="Arial"/>
          <w:b/>
          <w:bCs/>
        </w:rPr>
      </w:pPr>
    </w:p>
    <w:p w14:paraId="64EBB67E" w14:textId="6AC32D6F" w:rsidR="00D03D01" w:rsidRPr="00D1219A" w:rsidRDefault="00D03D01" w:rsidP="00D1219A">
      <w:pPr>
        <w:widowControl/>
        <w:autoSpaceDE w:val="0"/>
        <w:autoSpaceDN w:val="0"/>
        <w:adjustRightInd w:val="0"/>
        <w:spacing w:after="0"/>
        <w:rPr>
          <w:rFonts w:ascii="Arial" w:hAnsi="Arial" w:cs="Arial"/>
          <w:b/>
          <w:bCs/>
        </w:rPr>
      </w:pPr>
      <w:r w:rsidRPr="00D1219A">
        <w:rPr>
          <w:rFonts w:ascii="Arial" w:hAnsi="Arial" w:cs="Arial"/>
          <w:b/>
          <w:bCs/>
        </w:rPr>
        <w:t>T</w:t>
      </w:r>
      <w:r w:rsidR="00B945CF">
        <w:rPr>
          <w:rFonts w:ascii="Arial" w:hAnsi="Arial" w:cs="Arial"/>
          <w:b/>
          <w:bCs/>
        </w:rPr>
        <w:t xml:space="preserve">HERAPY </w:t>
      </w:r>
    </w:p>
    <w:p w14:paraId="5B9AA87C" w14:textId="77777777" w:rsidR="00B945CF" w:rsidRDefault="00B945CF" w:rsidP="00D1219A">
      <w:pPr>
        <w:widowControl/>
        <w:autoSpaceDE w:val="0"/>
        <w:autoSpaceDN w:val="0"/>
        <w:adjustRightInd w:val="0"/>
        <w:spacing w:after="0"/>
        <w:rPr>
          <w:rFonts w:ascii="Arial" w:hAnsi="Arial" w:cs="Arial"/>
        </w:rPr>
      </w:pPr>
    </w:p>
    <w:p w14:paraId="41C4E946" w14:textId="7DCE8365" w:rsidR="0003043F" w:rsidRPr="00D1219A" w:rsidRDefault="00D03D01" w:rsidP="00D1219A">
      <w:pPr>
        <w:widowControl/>
        <w:autoSpaceDE w:val="0"/>
        <w:autoSpaceDN w:val="0"/>
        <w:adjustRightInd w:val="0"/>
        <w:spacing w:after="0"/>
        <w:rPr>
          <w:rFonts w:ascii="Arial" w:hAnsi="Arial" w:cs="Arial"/>
        </w:rPr>
      </w:pPr>
      <w:r w:rsidRPr="00D1219A">
        <w:rPr>
          <w:rFonts w:ascii="Arial" w:hAnsi="Arial" w:cs="Arial"/>
        </w:rPr>
        <w:t>In the fetus, treatment is accomplished by maternal administration of antithyroid medication. Until</w:t>
      </w:r>
      <w:r w:rsidR="00ED0415" w:rsidRPr="00D1219A">
        <w:rPr>
          <w:rFonts w:ascii="Arial" w:hAnsi="Arial" w:cs="Arial"/>
        </w:rPr>
        <w:t xml:space="preserve"> </w:t>
      </w:r>
      <w:r w:rsidRPr="00D1219A">
        <w:rPr>
          <w:rFonts w:ascii="Arial" w:hAnsi="Arial" w:cs="Arial"/>
        </w:rPr>
        <w:t>recently PTU was the preferred drug for pregnant women in North America, but current</w:t>
      </w:r>
      <w:r w:rsidR="00ED0415" w:rsidRPr="00D1219A">
        <w:rPr>
          <w:rFonts w:ascii="Arial" w:hAnsi="Arial" w:cs="Arial"/>
        </w:rPr>
        <w:t xml:space="preserve"> </w:t>
      </w:r>
      <w:r w:rsidRPr="00D1219A">
        <w:rPr>
          <w:rFonts w:ascii="Arial" w:hAnsi="Arial" w:cs="Arial"/>
        </w:rPr>
        <w:t>recommendations suggest the use of MMI rather than PTU after the first trimester because of</w:t>
      </w:r>
      <w:r w:rsidR="00ED0415" w:rsidRPr="00D1219A">
        <w:rPr>
          <w:rFonts w:ascii="Arial" w:hAnsi="Arial" w:cs="Arial"/>
        </w:rPr>
        <w:t xml:space="preserve"> </w:t>
      </w:r>
      <w:r w:rsidRPr="00D1219A">
        <w:rPr>
          <w:rFonts w:ascii="Arial" w:hAnsi="Arial" w:cs="Arial"/>
        </w:rPr>
        <w:t>concerns about potential PTU-induced hepatotoxicity. The goals of therapy are to utilize the minimal dosage necessary to normalize the fetal</w:t>
      </w:r>
      <w:r w:rsidR="00ED0415" w:rsidRPr="00D1219A">
        <w:rPr>
          <w:rFonts w:ascii="Arial" w:hAnsi="Arial" w:cs="Arial"/>
        </w:rPr>
        <w:t xml:space="preserve"> </w:t>
      </w:r>
      <w:r w:rsidRPr="00D1219A">
        <w:rPr>
          <w:rFonts w:ascii="Arial" w:hAnsi="Arial" w:cs="Arial"/>
        </w:rPr>
        <w:t>heart rate and render the mother euthyroid or slightly hyperthyroid.</w:t>
      </w:r>
      <w:r w:rsidR="00ED0415" w:rsidRPr="00D1219A">
        <w:rPr>
          <w:rFonts w:ascii="Arial" w:hAnsi="Arial" w:cs="Arial"/>
        </w:rPr>
        <w:t xml:space="preserve"> </w:t>
      </w:r>
      <w:r w:rsidRPr="00D1219A">
        <w:rPr>
          <w:rFonts w:ascii="Arial" w:hAnsi="Arial" w:cs="Arial"/>
        </w:rPr>
        <w:t>In the neonate MMI (0.</w:t>
      </w:r>
      <w:r w:rsidR="000543D4" w:rsidRPr="00D1219A">
        <w:rPr>
          <w:rFonts w:ascii="Arial" w:hAnsi="Arial" w:cs="Arial"/>
        </w:rPr>
        <w:t>2</w:t>
      </w:r>
      <w:r w:rsidRPr="00D1219A">
        <w:rPr>
          <w:rFonts w:ascii="Arial" w:hAnsi="Arial" w:cs="Arial"/>
        </w:rPr>
        <w:t>5 to 1.0 mg/kg/day) has been used initially in 3 divided doses. If the</w:t>
      </w:r>
      <w:r w:rsidR="00ED0415" w:rsidRPr="00D1219A">
        <w:rPr>
          <w:rFonts w:ascii="Arial" w:hAnsi="Arial" w:cs="Arial"/>
        </w:rPr>
        <w:t xml:space="preserve"> </w:t>
      </w:r>
      <w:r w:rsidRPr="00D1219A">
        <w:rPr>
          <w:rFonts w:ascii="Arial" w:hAnsi="Arial" w:cs="Arial"/>
        </w:rPr>
        <w:t>hyperthyroidism is severe, a strong iodine solution (Lugol’s solution or SSKI, 1 drop every 8 hours)</w:t>
      </w:r>
      <w:r w:rsidR="00E540C7" w:rsidRPr="00D1219A">
        <w:rPr>
          <w:rFonts w:ascii="Arial" w:hAnsi="Arial" w:cs="Arial"/>
        </w:rPr>
        <w:t xml:space="preserve"> </w:t>
      </w:r>
      <w:r w:rsidRPr="00D1219A">
        <w:rPr>
          <w:rFonts w:ascii="Arial" w:hAnsi="Arial" w:cs="Arial"/>
        </w:rPr>
        <w:t>is added to block the release of thyroid hormone immediately. Often the effect of MMI is not as</w:t>
      </w:r>
      <w:r w:rsidR="00ED0415" w:rsidRPr="00D1219A">
        <w:rPr>
          <w:rFonts w:ascii="Arial" w:hAnsi="Arial" w:cs="Arial"/>
        </w:rPr>
        <w:t xml:space="preserve"> </w:t>
      </w:r>
      <w:r w:rsidRPr="00D1219A">
        <w:rPr>
          <w:rFonts w:ascii="Arial" w:hAnsi="Arial" w:cs="Arial"/>
        </w:rPr>
        <w:t>delayed in infants as it is in older children or adults, a consequence of decreased intrathyroidal</w:t>
      </w:r>
      <w:r w:rsidR="00ED0415" w:rsidRPr="00D1219A">
        <w:rPr>
          <w:rFonts w:ascii="Arial" w:hAnsi="Arial" w:cs="Arial"/>
        </w:rPr>
        <w:t xml:space="preserve"> </w:t>
      </w:r>
      <w:r w:rsidRPr="00D1219A">
        <w:rPr>
          <w:rFonts w:ascii="Arial" w:hAnsi="Arial" w:cs="Arial"/>
        </w:rPr>
        <w:t>thyroid hormone storage. Therapy with both antithyroid drug and iodine is adjusted subsequently,</w:t>
      </w:r>
      <w:r w:rsidR="00B945CF">
        <w:rPr>
          <w:rFonts w:ascii="Arial" w:hAnsi="Arial" w:cs="Arial"/>
        </w:rPr>
        <w:t xml:space="preserve"> </w:t>
      </w:r>
      <w:r w:rsidRPr="00D1219A">
        <w:rPr>
          <w:rFonts w:ascii="Arial" w:hAnsi="Arial" w:cs="Arial"/>
        </w:rPr>
        <w:t>depending on the response. Propranolol (2 mg/kg/day in 2 or 3 divided doses) is added if</w:t>
      </w:r>
      <w:r w:rsidR="0003043F" w:rsidRPr="00D1219A">
        <w:rPr>
          <w:rFonts w:ascii="Arial" w:hAnsi="Arial" w:cs="Arial"/>
        </w:rPr>
        <w:t xml:space="preserve"> </w:t>
      </w:r>
      <w:r w:rsidRPr="00D1219A">
        <w:rPr>
          <w:rFonts w:ascii="Arial" w:hAnsi="Arial" w:cs="Arial"/>
        </w:rPr>
        <w:t>sympathetic overstimulation is severe, particularly in the presence of pronounced tachycardia. If</w:t>
      </w:r>
      <w:r w:rsidR="00ED0415" w:rsidRPr="00D1219A">
        <w:rPr>
          <w:rFonts w:ascii="Arial" w:hAnsi="Arial" w:cs="Arial"/>
        </w:rPr>
        <w:t xml:space="preserve"> </w:t>
      </w:r>
      <w:r w:rsidRPr="00D1219A">
        <w:rPr>
          <w:rFonts w:ascii="Arial" w:hAnsi="Arial" w:cs="Arial"/>
        </w:rPr>
        <w:t>cardiac failure develops, treatment with digoxin should be initiated, and propranolol should be</w:t>
      </w:r>
      <w:r w:rsidR="00ED0415" w:rsidRPr="00D1219A">
        <w:rPr>
          <w:rFonts w:ascii="Arial" w:hAnsi="Arial" w:cs="Arial"/>
        </w:rPr>
        <w:t xml:space="preserve"> </w:t>
      </w:r>
      <w:r w:rsidRPr="00D1219A">
        <w:rPr>
          <w:rFonts w:ascii="Arial" w:hAnsi="Arial" w:cs="Arial"/>
        </w:rPr>
        <w:t>discontinued. Rarely, prednisone (2 mg/kg/day) is added for immediate inhibition of thyroid</w:t>
      </w:r>
      <w:r w:rsidR="00ED0415" w:rsidRPr="00D1219A">
        <w:rPr>
          <w:rFonts w:ascii="Arial" w:hAnsi="Arial" w:cs="Arial"/>
        </w:rPr>
        <w:t xml:space="preserve"> </w:t>
      </w:r>
      <w:r w:rsidRPr="00D1219A">
        <w:rPr>
          <w:rFonts w:ascii="Arial" w:hAnsi="Arial" w:cs="Arial"/>
        </w:rPr>
        <w:t>hormone secretion. Measurement of TSH receptor antibodies in treated babies may be helpful in</w:t>
      </w:r>
      <w:r w:rsidR="00ED0415" w:rsidRPr="00D1219A">
        <w:rPr>
          <w:rFonts w:ascii="Arial" w:hAnsi="Arial" w:cs="Arial"/>
        </w:rPr>
        <w:t xml:space="preserve"> </w:t>
      </w:r>
      <w:r w:rsidRPr="00D1219A">
        <w:rPr>
          <w:rFonts w:ascii="Arial" w:hAnsi="Arial" w:cs="Arial"/>
        </w:rPr>
        <w:t>predicting when antithyroid medication can be safely discontinued. Lactating mothers on</w:t>
      </w:r>
      <w:r w:rsidR="00ED0415" w:rsidRPr="00D1219A">
        <w:rPr>
          <w:rFonts w:ascii="Arial" w:hAnsi="Arial" w:cs="Arial"/>
        </w:rPr>
        <w:t xml:space="preserve"> </w:t>
      </w:r>
      <w:r w:rsidRPr="00D1219A">
        <w:rPr>
          <w:rFonts w:ascii="Arial" w:hAnsi="Arial" w:cs="Arial"/>
        </w:rPr>
        <w:t>antithyroid medication can continue nursing as long as the dosage of PTU or MMI does not exceed</w:t>
      </w:r>
      <w:r w:rsidR="00ED0415" w:rsidRPr="00D1219A">
        <w:rPr>
          <w:rFonts w:ascii="Arial" w:hAnsi="Arial" w:cs="Arial"/>
        </w:rPr>
        <w:t xml:space="preserve"> </w:t>
      </w:r>
      <w:r w:rsidRPr="00D1219A">
        <w:rPr>
          <w:rFonts w:ascii="Arial" w:hAnsi="Arial" w:cs="Arial"/>
        </w:rPr>
        <w:t>400 mg or 40 mg, respectively. The milk/serum ratio of PTU is 1/10 that of MMI, a consequence of</w:t>
      </w:r>
      <w:r w:rsidR="00ED0415" w:rsidRPr="00D1219A">
        <w:rPr>
          <w:rFonts w:ascii="Arial" w:hAnsi="Arial" w:cs="Arial"/>
        </w:rPr>
        <w:t xml:space="preserve"> </w:t>
      </w:r>
      <w:r w:rsidRPr="00D1219A">
        <w:rPr>
          <w:rFonts w:ascii="Arial" w:hAnsi="Arial" w:cs="Arial"/>
        </w:rPr>
        <w:t>pH differences and increased protein binding, so one might anticipate less transmission to the</w:t>
      </w:r>
      <w:r w:rsidR="00ED0415" w:rsidRPr="00D1219A">
        <w:rPr>
          <w:rFonts w:ascii="Arial" w:hAnsi="Arial" w:cs="Arial"/>
        </w:rPr>
        <w:t xml:space="preserve"> </w:t>
      </w:r>
      <w:r w:rsidRPr="00D1219A">
        <w:rPr>
          <w:rFonts w:ascii="Arial" w:hAnsi="Arial" w:cs="Arial"/>
        </w:rPr>
        <w:t>infant, but concerns about potential PTU toxicity need to be considered. At higher dosages of</w:t>
      </w:r>
      <w:r w:rsidR="00ED0415" w:rsidRPr="00D1219A">
        <w:rPr>
          <w:rFonts w:ascii="Arial" w:hAnsi="Arial" w:cs="Arial"/>
        </w:rPr>
        <w:t xml:space="preserve"> </w:t>
      </w:r>
      <w:r w:rsidRPr="00D1219A">
        <w:rPr>
          <w:rFonts w:ascii="Arial" w:hAnsi="Arial" w:cs="Arial"/>
        </w:rPr>
        <w:t>antithyroid medication, close supervision of the infant is advisable.</w:t>
      </w:r>
      <w:r w:rsidR="0003043F" w:rsidRPr="00D1219A">
        <w:rPr>
          <w:rFonts w:ascii="Arial" w:hAnsi="Arial" w:cs="Arial"/>
        </w:rPr>
        <w:t xml:space="preserve"> </w:t>
      </w:r>
      <w:r w:rsidRPr="00D1219A">
        <w:rPr>
          <w:rFonts w:ascii="Arial" w:hAnsi="Arial" w:cs="Arial"/>
        </w:rPr>
        <w:t>A review about management of neonates born to mothers with Graves’ disease has been recently</w:t>
      </w:r>
      <w:r w:rsidR="00ED0415" w:rsidRPr="00D1219A">
        <w:rPr>
          <w:rFonts w:ascii="Arial" w:hAnsi="Arial" w:cs="Arial"/>
        </w:rPr>
        <w:t xml:space="preserve"> </w:t>
      </w:r>
      <w:r w:rsidRPr="00D1219A">
        <w:rPr>
          <w:rFonts w:ascii="Arial" w:hAnsi="Arial" w:cs="Arial"/>
        </w:rPr>
        <w:t>published.</w:t>
      </w:r>
    </w:p>
    <w:p w14:paraId="3A35F2AE" w14:textId="77777777" w:rsidR="0003043F" w:rsidRPr="00D1219A" w:rsidRDefault="0003043F" w:rsidP="00D1219A">
      <w:pPr>
        <w:widowControl/>
        <w:autoSpaceDE w:val="0"/>
        <w:autoSpaceDN w:val="0"/>
        <w:adjustRightInd w:val="0"/>
        <w:spacing w:after="0"/>
        <w:rPr>
          <w:rFonts w:ascii="Arial" w:hAnsi="Arial" w:cs="Arial"/>
        </w:rPr>
      </w:pPr>
    </w:p>
    <w:p w14:paraId="42ABC54B" w14:textId="21963EFE" w:rsidR="00D03D01" w:rsidRPr="00D1219A" w:rsidRDefault="00D03D01" w:rsidP="00D1219A">
      <w:pPr>
        <w:widowControl/>
        <w:autoSpaceDE w:val="0"/>
        <w:autoSpaceDN w:val="0"/>
        <w:adjustRightInd w:val="0"/>
        <w:spacing w:after="0"/>
        <w:rPr>
          <w:rFonts w:ascii="Arial" w:hAnsi="Arial" w:cs="Arial"/>
          <w:b/>
          <w:bCs/>
        </w:rPr>
      </w:pPr>
      <w:r w:rsidRPr="00D1219A">
        <w:rPr>
          <w:rFonts w:ascii="Arial" w:hAnsi="Arial" w:cs="Arial"/>
          <w:b/>
          <w:bCs/>
        </w:rPr>
        <w:t>P</w:t>
      </w:r>
      <w:r w:rsidR="00B945CF">
        <w:rPr>
          <w:rFonts w:ascii="Arial" w:hAnsi="Arial" w:cs="Arial"/>
          <w:b/>
          <w:bCs/>
        </w:rPr>
        <w:t>ERMANENT NEONATAL HYPERTHYROIDISM</w:t>
      </w:r>
    </w:p>
    <w:p w14:paraId="1D942940" w14:textId="77777777" w:rsidR="00B945CF" w:rsidRDefault="00B945CF" w:rsidP="00D1219A">
      <w:pPr>
        <w:widowControl/>
        <w:autoSpaceDE w:val="0"/>
        <w:autoSpaceDN w:val="0"/>
        <w:adjustRightInd w:val="0"/>
        <w:spacing w:after="0"/>
        <w:rPr>
          <w:rFonts w:ascii="Arial" w:hAnsi="Arial" w:cs="Arial"/>
        </w:rPr>
      </w:pPr>
    </w:p>
    <w:p w14:paraId="52BC9E0B" w14:textId="2B6AF32D" w:rsidR="00D03D01" w:rsidRDefault="00D03D01" w:rsidP="00D1219A">
      <w:pPr>
        <w:widowControl/>
        <w:autoSpaceDE w:val="0"/>
        <w:autoSpaceDN w:val="0"/>
        <w:adjustRightInd w:val="0"/>
        <w:spacing w:after="0"/>
        <w:rPr>
          <w:rFonts w:ascii="Arial" w:hAnsi="Arial" w:cs="Arial"/>
        </w:rPr>
      </w:pPr>
      <w:r w:rsidRPr="00D1219A">
        <w:rPr>
          <w:rFonts w:ascii="Arial" w:hAnsi="Arial" w:cs="Arial"/>
        </w:rPr>
        <w:t>Rarely, neonatal hyperthyroidism is permanent and is due to a germline mutation in the TSH</w:t>
      </w:r>
      <w:r w:rsidR="00D52529" w:rsidRPr="00D1219A">
        <w:rPr>
          <w:rFonts w:ascii="Arial" w:hAnsi="Arial" w:cs="Arial"/>
        </w:rPr>
        <w:t xml:space="preserve"> </w:t>
      </w:r>
      <w:r w:rsidRPr="00D1219A">
        <w:rPr>
          <w:rFonts w:ascii="Arial" w:hAnsi="Arial" w:cs="Arial"/>
        </w:rPr>
        <w:t>receptor (TSH-R) resulting in its constitutive activation. A gain of function</w:t>
      </w:r>
      <w:r w:rsidR="00D52529" w:rsidRPr="00D1219A">
        <w:rPr>
          <w:rFonts w:ascii="Arial" w:hAnsi="Arial" w:cs="Arial"/>
        </w:rPr>
        <w:t xml:space="preserve"> </w:t>
      </w:r>
      <w:r w:rsidRPr="00D1219A">
        <w:rPr>
          <w:rFonts w:ascii="Arial" w:hAnsi="Arial" w:cs="Arial"/>
        </w:rPr>
        <w:t>mutation of the TSH-R should be suspected if persistent neonatal hyperthyroidism occurs in the</w:t>
      </w:r>
      <w:r w:rsidR="00D52529" w:rsidRPr="00D1219A">
        <w:rPr>
          <w:rFonts w:ascii="Arial" w:hAnsi="Arial" w:cs="Arial"/>
        </w:rPr>
        <w:t xml:space="preserve"> </w:t>
      </w:r>
      <w:r w:rsidRPr="00D1219A">
        <w:rPr>
          <w:rFonts w:ascii="Arial" w:hAnsi="Arial" w:cs="Arial"/>
        </w:rPr>
        <w:t>absence of detectable TSH-R antibodies in the maternal circulation. Prematurity, low birth weight</w:t>
      </w:r>
      <w:r w:rsidR="00B945CF">
        <w:rPr>
          <w:rFonts w:ascii="Arial" w:hAnsi="Arial" w:cs="Arial"/>
        </w:rPr>
        <w:t>,</w:t>
      </w:r>
      <w:r w:rsidR="00D52529" w:rsidRPr="00D1219A">
        <w:rPr>
          <w:rFonts w:ascii="Arial" w:hAnsi="Arial" w:cs="Arial"/>
        </w:rPr>
        <w:t xml:space="preserve"> </w:t>
      </w:r>
      <w:r w:rsidRPr="00D1219A">
        <w:rPr>
          <w:rFonts w:ascii="Arial" w:hAnsi="Arial" w:cs="Arial"/>
        </w:rPr>
        <w:t>and advanced bone age are common. Most cases result from a mutation in exon 10 which</w:t>
      </w:r>
      <w:r w:rsidR="00D52529" w:rsidRPr="00D1219A">
        <w:rPr>
          <w:rFonts w:ascii="Arial" w:hAnsi="Arial" w:cs="Arial"/>
        </w:rPr>
        <w:t xml:space="preserve"> </w:t>
      </w:r>
      <w:r w:rsidRPr="00D1219A">
        <w:rPr>
          <w:rFonts w:ascii="Arial" w:hAnsi="Arial" w:cs="Arial"/>
        </w:rPr>
        <w:t>encodes the transmembrane domain and intracytoplasmic tail of the TSH-R, a member of the G</w:t>
      </w:r>
      <w:r w:rsidR="00D52529" w:rsidRPr="00D1219A">
        <w:rPr>
          <w:rFonts w:ascii="Arial" w:hAnsi="Arial" w:cs="Arial"/>
        </w:rPr>
        <w:t xml:space="preserve"> </w:t>
      </w:r>
      <w:r w:rsidRPr="00D1219A">
        <w:rPr>
          <w:rFonts w:ascii="Arial" w:hAnsi="Arial" w:cs="Arial"/>
        </w:rPr>
        <w:t>protein coupled receptor superfamily. Less frequently, a mutation encoding the</w:t>
      </w:r>
      <w:r w:rsidR="00D52529" w:rsidRPr="00D1219A">
        <w:rPr>
          <w:rFonts w:ascii="Arial" w:hAnsi="Arial" w:cs="Arial"/>
        </w:rPr>
        <w:t xml:space="preserve"> </w:t>
      </w:r>
      <w:r w:rsidRPr="00D1219A">
        <w:rPr>
          <w:rFonts w:ascii="Arial" w:hAnsi="Arial" w:cs="Arial"/>
        </w:rPr>
        <w:t>extracellular domain has been described. An autosomal dominant inheritance has been</w:t>
      </w:r>
      <w:r w:rsidR="00D52529" w:rsidRPr="00D1219A">
        <w:rPr>
          <w:rFonts w:ascii="Arial" w:hAnsi="Arial" w:cs="Arial"/>
        </w:rPr>
        <w:t xml:space="preserve"> </w:t>
      </w:r>
      <w:r w:rsidRPr="00D1219A">
        <w:rPr>
          <w:rFonts w:ascii="Arial" w:hAnsi="Arial" w:cs="Arial"/>
        </w:rPr>
        <w:t>noted in many of these infants; other cases have been sporadic, arising from a de novo mutation.</w:t>
      </w:r>
    </w:p>
    <w:p w14:paraId="40FFC021" w14:textId="77777777" w:rsidR="00B945CF" w:rsidRPr="00D1219A" w:rsidRDefault="00B945CF" w:rsidP="00D1219A">
      <w:pPr>
        <w:widowControl/>
        <w:autoSpaceDE w:val="0"/>
        <w:autoSpaceDN w:val="0"/>
        <w:adjustRightInd w:val="0"/>
        <w:spacing w:after="0"/>
        <w:rPr>
          <w:rFonts w:ascii="Arial" w:hAnsi="Arial" w:cs="Arial"/>
        </w:rPr>
      </w:pPr>
    </w:p>
    <w:p w14:paraId="2907F6FF" w14:textId="0D786E9B" w:rsidR="00D03D01" w:rsidRPr="00D1219A" w:rsidRDefault="00D03D01" w:rsidP="00D1219A">
      <w:pPr>
        <w:widowControl/>
        <w:autoSpaceDE w:val="0"/>
        <w:autoSpaceDN w:val="0"/>
        <w:adjustRightInd w:val="0"/>
        <w:spacing w:after="0"/>
        <w:rPr>
          <w:rFonts w:ascii="Arial" w:hAnsi="Arial" w:cs="Arial"/>
        </w:rPr>
      </w:pPr>
      <w:r w:rsidRPr="00D1219A">
        <w:rPr>
          <w:rFonts w:ascii="Arial" w:hAnsi="Arial" w:cs="Arial"/>
        </w:rPr>
        <w:t>Early recognition is important because the thyroid function of affected infants is frequently difficult</w:t>
      </w:r>
      <w:r w:rsidR="00D52529" w:rsidRPr="00D1219A">
        <w:rPr>
          <w:rFonts w:ascii="Arial" w:hAnsi="Arial" w:cs="Arial"/>
        </w:rPr>
        <w:t xml:space="preserve"> </w:t>
      </w:r>
      <w:r w:rsidRPr="00D1219A">
        <w:rPr>
          <w:rFonts w:ascii="Arial" w:hAnsi="Arial" w:cs="Arial"/>
        </w:rPr>
        <w:t>to manage medically and, when diagnosis and therapy is delayed, irreversible sequelae,</w:t>
      </w:r>
      <w:r w:rsidR="00D52529" w:rsidRPr="00D1219A">
        <w:rPr>
          <w:rFonts w:ascii="Arial" w:hAnsi="Arial" w:cs="Arial"/>
        </w:rPr>
        <w:t xml:space="preserve"> </w:t>
      </w:r>
      <w:r w:rsidRPr="00D1219A">
        <w:rPr>
          <w:rFonts w:ascii="Arial" w:hAnsi="Arial" w:cs="Arial"/>
        </w:rPr>
        <w:t>such as cranial synostosis and developmental delay may result. For this reason</w:t>
      </w:r>
      <w:r w:rsidR="00B945CF">
        <w:rPr>
          <w:rFonts w:ascii="Arial" w:hAnsi="Arial" w:cs="Arial"/>
        </w:rPr>
        <w:t>,</w:t>
      </w:r>
      <w:r w:rsidRPr="00D1219A">
        <w:rPr>
          <w:rFonts w:ascii="Arial" w:hAnsi="Arial" w:cs="Arial"/>
        </w:rPr>
        <w:t xml:space="preserve"> early,</w:t>
      </w:r>
      <w:r w:rsidR="00D52529" w:rsidRPr="00D1219A">
        <w:rPr>
          <w:rFonts w:ascii="Arial" w:hAnsi="Arial" w:cs="Arial"/>
        </w:rPr>
        <w:t xml:space="preserve"> </w:t>
      </w:r>
      <w:r w:rsidRPr="00D1219A">
        <w:rPr>
          <w:rFonts w:ascii="Arial" w:hAnsi="Arial" w:cs="Arial"/>
        </w:rPr>
        <w:t>aggressive therapy with either thyroidectomy or even radioablation has been recommended.</w:t>
      </w:r>
    </w:p>
    <w:p w14:paraId="5A0AF49F" w14:textId="77777777" w:rsidR="00B945CF" w:rsidRDefault="00B945CF" w:rsidP="00D1219A">
      <w:pPr>
        <w:widowControl/>
        <w:autoSpaceDE w:val="0"/>
        <w:autoSpaceDN w:val="0"/>
        <w:adjustRightInd w:val="0"/>
        <w:spacing w:after="0"/>
        <w:rPr>
          <w:rFonts w:ascii="Arial" w:hAnsi="Arial" w:cs="Arial"/>
        </w:rPr>
      </w:pPr>
    </w:p>
    <w:p w14:paraId="2F5DB8DC" w14:textId="41315796" w:rsidR="0000649F" w:rsidRDefault="00D03D01" w:rsidP="00B945CF">
      <w:pPr>
        <w:widowControl/>
        <w:autoSpaceDE w:val="0"/>
        <w:autoSpaceDN w:val="0"/>
        <w:adjustRightInd w:val="0"/>
        <w:spacing w:after="0"/>
        <w:rPr>
          <w:rFonts w:ascii="Arial" w:hAnsi="Arial" w:cs="Arial"/>
        </w:rPr>
      </w:pPr>
      <w:r w:rsidRPr="00D1219A">
        <w:rPr>
          <w:rFonts w:ascii="Arial" w:hAnsi="Arial" w:cs="Arial"/>
        </w:rPr>
        <w:t>Two clinical forms were described: the first one is the “familial non-autoimmune autosomal</w:t>
      </w:r>
      <w:r w:rsidR="00D52529" w:rsidRPr="00D1219A">
        <w:rPr>
          <w:rFonts w:ascii="Arial" w:hAnsi="Arial" w:cs="Arial"/>
        </w:rPr>
        <w:t xml:space="preserve"> </w:t>
      </w:r>
      <w:r w:rsidRPr="00D1219A">
        <w:rPr>
          <w:rFonts w:ascii="Arial" w:hAnsi="Arial" w:cs="Arial"/>
        </w:rPr>
        <w:t>dominant hyperthyroidism” (FNAH). High variable age of manifestation from neonatal period to 60</w:t>
      </w:r>
      <w:r w:rsidR="00D52529" w:rsidRPr="00D1219A">
        <w:rPr>
          <w:rFonts w:ascii="Arial" w:hAnsi="Arial" w:cs="Arial"/>
        </w:rPr>
        <w:t xml:space="preserve"> </w:t>
      </w:r>
      <w:r w:rsidRPr="00D1219A">
        <w:rPr>
          <w:rFonts w:ascii="Arial" w:hAnsi="Arial" w:cs="Arial"/>
        </w:rPr>
        <w:t>years, with variability also within the same family is reported. Goiter is present in children, with</w:t>
      </w:r>
      <w:r w:rsidR="00D52529" w:rsidRPr="00D1219A">
        <w:rPr>
          <w:rFonts w:ascii="Arial" w:hAnsi="Arial" w:cs="Arial"/>
        </w:rPr>
        <w:t xml:space="preserve"> </w:t>
      </w:r>
      <w:r w:rsidRPr="00D1219A">
        <w:rPr>
          <w:rFonts w:ascii="Arial" w:hAnsi="Arial" w:cs="Arial"/>
        </w:rPr>
        <w:t>nodules in older age.</w:t>
      </w:r>
      <w:r w:rsidR="00B945CF">
        <w:rPr>
          <w:rFonts w:ascii="Arial" w:hAnsi="Arial" w:cs="Arial"/>
        </w:rPr>
        <w:t xml:space="preserve"> </w:t>
      </w:r>
      <w:r w:rsidRPr="00D1219A">
        <w:rPr>
          <w:rFonts w:ascii="Arial" w:hAnsi="Arial" w:cs="Arial"/>
        </w:rPr>
        <w:t>The second one is “Persistent sporadic congenital non autoimmune hyperthyroidism” (PSNAH)</w:t>
      </w:r>
      <w:r w:rsidR="00D52529" w:rsidRPr="00D1219A">
        <w:rPr>
          <w:rFonts w:ascii="Arial" w:hAnsi="Arial" w:cs="Arial"/>
        </w:rPr>
        <w:t xml:space="preserve"> </w:t>
      </w:r>
      <w:r w:rsidRPr="00D1219A">
        <w:rPr>
          <w:rFonts w:ascii="Arial" w:hAnsi="Arial" w:cs="Arial"/>
        </w:rPr>
        <w:t>includes forms with sporadic (de novo) germline mutations in the TSH-R.</w:t>
      </w:r>
      <w:r w:rsidR="00B26AA1" w:rsidRPr="00D1219A">
        <w:rPr>
          <w:rFonts w:ascii="Arial" w:hAnsi="Arial" w:cs="Arial"/>
        </w:rPr>
        <w:t xml:space="preserve"> </w:t>
      </w:r>
      <w:r w:rsidRPr="00D1219A">
        <w:rPr>
          <w:rFonts w:ascii="Arial" w:hAnsi="Arial" w:cs="Arial"/>
        </w:rPr>
        <w:t>PSNAH is characterized by fetal-neonatal onset or within 11 months and more severe</w:t>
      </w:r>
      <w:r w:rsidR="00B26AA1" w:rsidRPr="00D1219A">
        <w:rPr>
          <w:rFonts w:ascii="Arial" w:hAnsi="Arial" w:cs="Arial"/>
        </w:rPr>
        <w:t xml:space="preserve"> </w:t>
      </w:r>
      <w:r w:rsidRPr="00D1219A">
        <w:rPr>
          <w:rFonts w:ascii="Arial" w:hAnsi="Arial" w:cs="Arial"/>
        </w:rPr>
        <w:t xml:space="preserve">hyperthyroidism requiring early aggressive therapy. </w:t>
      </w:r>
    </w:p>
    <w:p w14:paraId="1CF9DA0E" w14:textId="77777777" w:rsidR="00B945CF" w:rsidRPr="00D1219A" w:rsidRDefault="00B945CF" w:rsidP="00B945CF">
      <w:pPr>
        <w:widowControl/>
        <w:autoSpaceDE w:val="0"/>
        <w:autoSpaceDN w:val="0"/>
        <w:adjustRightInd w:val="0"/>
        <w:spacing w:after="0"/>
        <w:rPr>
          <w:rFonts w:ascii="Arial" w:eastAsia="Arial" w:hAnsi="Arial" w:cs="Arial"/>
          <w:spacing w:val="2"/>
        </w:rPr>
      </w:pPr>
    </w:p>
    <w:p w14:paraId="3989A737" w14:textId="5D683437" w:rsidR="0000649F" w:rsidRDefault="004E222A" w:rsidP="00D1219A">
      <w:pPr>
        <w:spacing w:after="0"/>
        <w:rPr>
          <w:rFonts w:ascii="Arial" w:eastAsia="Arial" w:hAnsi="Arial" w:cs="Arial"/>
          <w:spacing w:val="2"/>
        </w:rPr>
      </w:pPr>
      <w:r w:rsidRPr="00D1219A">
        <w:rPr>
          <w:rFonts w:ascii="Arial" w:eastAsia="Arial" w:hAnsi="Arial" w:cs="Arial"/>
          <w:spacing w:val="2"/>
        </w:rPr>
        <w:t>T</w:t>
      </w:r>
      <w:r w:rsidRPr="00D1219A">
        <w:rPr>
          <w:rFonts w:ascii="Arial" w:eastAsia="Arial" w:hAnsi="Arial" w:cs="Arial"/>
          <w:spacing w:val="1"/>
        </w:rPr>
        <w:t>h</w:t>
      </w:r>
      <w:r w:rsidRPr="00D1219A">
        <w:rPr>
          <w:rFonts w:ascii="Arial" w:eastAsia="Arial" w:hAnsi="Arial" w:cs="Arial"/>
          <w:spacing w:val="-2"/>
        </w:rPr>
        <w:t>y</w:t>
      </w:r>
      <w:r w:rsidRPr="00D1219A">
        <w:rPr>
          <w:rFonts w:ascii="Arial" w:eastAsia="Arial" w:hAnsi="Arial" w:cs="Arial"/>
        </w:rPr>
        <w:t>roid</w:t>
      </w:r>
      <w:r w:rsidRPr="00D1219A">
        <w:rPr>
          <w:rFonts w:ascii="Arial" w:eastAsia="Arial" w:hAnsi="Arial" w:cs="Arial"/>
          <w:spacing w:val="-1"/>
        </w:rPr>
        <w:t xml:space="preserve"> </w:t>
      </w:r>
      <w:r w:rsidRPr="00D1219A">
        <w:rPr>
          <w:rFonts w:ascii="Arial" w:eastAsia="Arial" w:hAnsi="Arial" w:cs="Arial"/>
          <w:spacing w:val="3"/>
        </w:rPr>
        <w:t>f</w:t>
      </w:r>
      <w:r w:rsidRPr="00D1219A">
        <w:rPr>
          <w:rFonts w:ascii="Arial" w:eastAsia="Arial" w:hAnsi="Arial" w:cs="Arial"/>
          <w:spacing w:val="-1"/>
        </w:rPr>
        <w:t>u</w:t>
      </w:r>
      <w:r w:rsidRPr="00D1219A">
        <w:rPr>
          <w:rFonts w:ascii="Arial" w:eastAsia="Arial" w:hAnsi="Arial" w:cs="Arial"/>
          <w:spacing w:val="1"/>
        </w:rPr>
        <w:t>n</w:t>
      </w:r>
      <w:r w:rsidRPr="00D1219A">
        <w:rPr>
          <w:rFonts w:ascii="Arial" w:eastAsia="Arial" w:hAnsi="Arial" w:cs="Arial"/>
        </w:rPr>
        <w:t>cti</w:t>
      </w:r>
      <w:r w:rsidRPr="00D1219A">
        <w:rPr>
          <w:rFonts w:ascii="Arial" w:eastAsia="Arial" w:hAnsi="Arial" w:cs="Arial"/>
          <w:spacing w:val="1"/>
        </w:rPr>
        <w:t>o</w:t>
      </w:r>
      <w:r w:rsidRPr="00D1219A">
        <w:rPr>
          <w:rFonts w:ascii="Arial" w:eastAsia="Arial" w:hAnsi="Arial" w:cs="Arial"/>
        </w:rPr>
        <w:t>n</w:t>
      </w:r>
      <w:r w:rsidRPr="00D1219A">
        <w:rPr>
          <w:rFonts w:ascii="Arial" w:eastAsia="Arial" w:hAnsi="Arial" w:cs="Arial"/>
          <w:spacing w:val="-1"/>
        </w:rPr>
        <w:t xml:space="preserve"> </w:t>
      </w:r>
      <w:r w:rsidRPr="00D1219A">
        <w:rPr>
          <w:rFonts w:ascii="Arial" w:eastAsia="Arial" w:hAnsi="Arial" w:cs="Arial"/>
        </w:rPr>
        <w:t>in</w:t>
      </w:r>
      <w:r w:rsidRPr="00D1219A">
        <w:rPr>
          <w:rFonts w:ascii="Arial" w:eastAsia="Arial" w:hAnsi="Arial" w:cs="Arial"/>
          <w:spacing w:val="1"/>
        </w:rPr>
        <w:t xml:space="preserve"> </w:t>
      </w:r>
      <w:r w:rsidRPr="00D1219A">
        <w:rPr>
          <w:rFonts w:ascii="Arial" w:eastAsia="Arial" w:hAnsi="Arial" w:cs="Arial"/>
          <w:spacing w:val="-1"/>
        </w:rPr>
        <w:t>b</w:t>
      </w:r>
      <w:r w:rsidRPr="00D1219A">
        <w:rPr>
          <w:rFonts w:ascii="Arial" w:eastAsia="Arial" w:hAnsi="Arial" w:cs="Arial"/>
          <w:spacing w:val="1"/>
        </w:rPr>
        <w:t>a</w:t>
      </w:r>
      <w:r w:rsidRPr="00D1219A">
        <w:rPr>
          <w:rFonts w:ascii="Arial" w:eastAsia="Arial" w:hAnsi="Arial" w:cs="Arial"/>
          <w:spacing w:val="-1"/>
        </w:rPr>
        <w:t>b</w:t>
      </w:r>
      <w:r w:rsidRPr="00D1219A">
        <w:rPr>
          <w:rFonts w:ascii="Arial" w:eastAsia="Arial" w:hAnsi="Arial" w:cs="Arial"/>
        </w:rPr>
        <w:t>ies</w:t>
      </w:r>
      <w:r w:rsidRPr="00D1219A">
        <w:rPr>
          <w:rFonts w:ascii="Arial" w:eastAsia="Arial" w:hAnsi="Arial" w:cs="Arial"/>
          <w:spacing w:val="1"/>
        </w:rPr>
        <w:t xml:space="preserve"> </w:t>
      </w:r>
      <w:r w:rsidRPr="00D1219A">
        <w:rPr>
          <w:rFonts w:ascii="Arial" w:eastAsia="Arial" w:hAnsi="Arial" w:cs="Arial"/>
          <w:spacing w:val="-3"/>
        </w:rPr>
        <w:t>w</w:t>
      </w:r>
      <w:r w:rsidRPr="00D1219A">
        <w:rPr>
          <w:rFonts w:ascii="Arial" w:eastAsia="Arial" w:hAnsi="Arial" w:cs="Arial"/>
        </w:rPr>
        <w:t>ith</w:t>
      </w:r>
      <w:r w:rsidRPr="00D1219A">
        <w:rPr>
          <w:rFonts w:ascii="Arial" w:eastAsia="Arial" w:hAnsi="Arial" w:cs="Arial"/>
          <w:spacing w:val="1"/>
        </w:rPr>
        <w:t xml:space="preserve"> </w:t>
      </w:r>
      <w:r w:rsidRPr="00D1219A">
        <w:rPr>
          <w:rFonts w:ascii="Arial" w:eastAsia="Arial" w:hAnsi="Arial" w:cs="Arial"/>
        </w:rPr>
        <w:t>a</w:t>
      </w:r>
      <w:r w:rsidRPr="00D1219A">
        <w:rPr>
          <w:rFonts w:ascii="Arial" w:eastAsia="Arial" w:hAnsi="Arial" w:cs="Arial"/>
          <w:spacing w:val="5"/>
        </w:rPr>
        <w:t xml:space="preserve"> </w:t>
      </w:r>
      <w:r w:rsidRPr="00D1219A">
        <w:rPr>
          <w:rFonts w:ascii="Arial" w:eastAsia="Arial" w:hAnsi="Arial" w:cs="Arial"/>
          <w:spacing w:val="-1"/>
        </w:rPr>
        <w:t>g</w:t>
      </w:r>
      <w:r w:rsidRPr="00D1219A">
        <w:rPr>
          <w:rFonts w:ascii="Arial" w:eastAsia="Arial" w:hAnsi="Arial" w:cs="Arial"/>
          <w:spacing w:val="1"/>
        </w:rPr>
        <w:t>a</w:t>
      </w:r>
      <w:r w:rsidRPr="00D1219A">
        <w:rPr>
          <w:rFonts w:ascii="Arial" w:eastAsia="Arial" w:hAnsi="Arial" w:cs="Arial"/>
        </w:rPr>
        <w:t>in</w:t>
      </w:r>
      <w:r w:rsidRPr="00D1219A">
        <w:rPr>
          <w:rFonts w:ascii="Arial" w:eastAsia="Arial" w:hAnsi="Arial" w:cs="Arial"/>
          <w:spacing w:val="1"/>
        </w:rPr>
        <w:t xml:space="preserve"> </w:t>
      </w:r>
      <w:r w:rsidRPr="00D1219A">
        <w:rPr>
          <w:rFonts w:ascii="Arial" w:eastAsia="Arial" w:hAnsi="Arial" w:cs="Arial"/>
          <w:spacing w:val="-1"/>
        </w:rPr>
        <w:t>o</w:t>
      </w:r>
      <w:r w:rsidRPr="00D1219A">
        <w:rPr>
          <w:rFonts w:ascii="Arial" w:eastAsia="Arial" w:hAnsi="Arial" w:cs="Arial"/>
        </w:rPr>
        <w:t>f</w:t>
      </w:r>
      <w:r w:rsidRPr="00D1219A">
        <w:rPr>
          <w:rFonts w:ascii="Arial" w:eastAsia="Arial" w:hAnsi="Arial" w:cs="Arial"/>
          <w:spacing w:val="1"/>
        </w:rPr>
        <w:t xml:space="preserve"> </w:t>
      </w:r>
      <w:r w:rsidRPr="00D1219A">
        <w:rPr>
          <w:rFonts w:ascii="Arial" w:eastAsia="Arial" w:hAnsi="Arial" w:cs="Arial"/>
        </w:rPr>
        <w:t>f</w:t>
      </w:r>
      <w:r w:rsidRPr="00D1219A">
        <w:rPr>
          <w:rFonts w:ascii="Arial" w:eastAsia="Arial" w:hAnsi="Arial" w:cs="Arial"/>
          <w:spacing w:val="1"/>
        </w:rPr>
        <w:t>un</w:t>
      </w:r>
      <w:r w:rsidRPr="00D1219A">
        <w:rPr>
          <w:rFonts w:ascii="Arial" w:eastAsia="Arial" w:hAnsi="Arial" w:cs="Arial"/>
        </w:rPr>
        <w:t>ct</w:t>
      </w:r>
      <w:r w:rsidRPr="00D1219A">
        <w:rPr>
          <w:rFonts w:ascii="Arial" w:eastAsia="Arial" w:hAnsi="Arial" w:cs="Arial"/>
          <w:spacing w:val="-2"/>
        </w:rPr>
        <w:t>i</w:t>
      </w:r>
      <w:r w:rsidRPr="00D1219A">
        <w:rPr>
          <w:rFonts w:ascii="Arial" w:eastAsia="Arial" w:hAnsi="Arial" w:cs="Arial"/>
          <w:spacing w:val="1"/>
        </w:rPr>
        <w:t>o</w:t>
      </w:r>
      <w:r w:rsidRPr="00D1219A">
        <w:rPr>
          <w:rFonts w:ascii="Arial" w:eastAsia="Arial" w:hAnsi="Arial" w:cs="Arial"/>
        </w:rPr>
        <w:t>n</w:t>
      </w:r>
      <w:r w:rsidRPr="00D1219A">
        <w:rPr>
          <w:rFonts w:ascii="Arial" w:eastAsia="Arial" w:hAnsi="Arial" w:cs="Arial"/>
          <w:spacing w:val="-1"/>
        </w:rPr>
        <w:t xml:space="preserve"> </w:t>
      </w:r>
      <w:r w:rsidRPr="00D1219A">
        <w:rPr>
          <w:rFonts w:ascii="Arial" w:eastAsia="Arial" w:hAnsi="Arial" w:cs="Arial"/>
          <w:spacing w:val="1"/>
        </w:rPr>
        <w:t>mu</w:t>
      </w:r>
      <w:r w:rsidRPr="00D1219A">
        <w:rPr>
          <w:rFonts w:ascii="Arial" w:eastAsia="Arial" w:hAnsi="Arial" w:cs="Arial"/>
          <w:spacing w:val="-2"/>
        </w:rPr>
        <w:t>t</w:t>
      </w:r>
      <w:r w:rsidRPr="00D1219A">
        <w:rPr>
          <w:rFonts w:ascii="Arial" w:eastAsia="Arial" w:hAnsi="Arial" w:cs="Arial"/>
          <w:spacing w:val="1"/>
        </w:rPr>
        <w:t>a</w:t>
      </w:r>
      <w:r w:rsidRPr="00D1219A">
        <w:rPr>
          <w:rFonts w:ascii="Arial" w:eastAsia="Arial" w:hAnsi="Arial" w:cs="Arial"/>
        </w:rPr>
        <w:t>ti</w:t>
      </w:r>
      <w:r w:rsidRPr="00D1219A">
        <w:rPr>
          <w:rFonts w:ascii="Arial" w:eastAsia="Arial" w:hAnsi="Arial" w:cs="Arial"/>
          <w:spacing w:val="1"/>
        </w:rPr>
        <w:t>o</w:t>
      </w:r>
      <w:r w:rsidRPr="00D1219A">
        <w:rPr>
          <w:rFonts w:ascii="Arial" w:eastAsia="Arial" w:hAnsi="Arial" w:cs="Arial"/>
        </w:rPr>
        <w:t>n</w:t>
      </w:r>
      <w:r w:rsidRPr="00D1219A">
        <w:rPr>
          <w:rFonts w:ascii="Arial" w:eastAsia="Arial" w:hAnsi="Arial" w:cs="Arial"/>
          <w:spacing w:val="-1"/>
        </w:rPr>
        <w:t xml:space="preserve"> o</w:t>
      </w:r>
      <w:r w:rsidRPr="00D1219A">
        <w:rPr>
          <w:rFonts w:ascii="Arial" w:eastAsia="Arial" w:hAnsi="Arial" w:cs="Arial"/>
        </w:rPr>
        <w:t>f</w:t>
      </w:r>
      <w:r w:rsidRPr="00D1219A">
        <w:rPr>
          <w:rFonts w:ascii="Arial" w:eastAsia="Arial" w:hAnsi="Arial" w:cs="Arial"/>
          <w:spacing w:val="1"/>
        </w:rPr>
        <w:t xml:space="preserve"> </w:t>
      </w:r>
      <w:r w:rsidRPr="00D1219A">
        <w:rPr>
          <w:rFonts w:ascii="Arial" w:eastAsia="Arial" w:hAnsi="Arial" w:cs="Arial"/>
        </w:rPr>
        <w:t>t</w:t>
      </w:r>
      <w:r w:rsidRPr="00D1219A">
        <w:rPr>
          <w:rFonts w:ascii="Arial" w:eastAsia="Arial" w:hAnsi="Arial" w:cs="Arial"/>
          <w:spacing w:val="1"/>
        </w:rPr>
        <w:t>h</w:t>
      </w:r>
      <w:r w:rsidRPr="00D1219A">
        <w:rPr>
          <w:rFonts w:ascii="Arial" w:eastAsia="Arial" w:hAnsi="Arial" w:cs="Arial"/>
        </w:rPr>
        <w:t>e</w:t>
      </w:r>
      <w:r w:rsidRPr="00D1219A">
        <w:rPr>
          <w:rFonts w:ascii="Arial" w:eastAsia="Arial" w:hAnsi="Arial" w:cs="Arial"/>
          <w:spacing w:val="-3"/>
        </w:rPr>
        <w:t xml:space="preserve"> </w:t>
      </w:r>
      <w:r w:rsidRPr="00D1219A">
        <w:rPr>
          <w:rFonts w:ascii="Arial" w:eastAsia="Arial" w:hAnsi="Arial" w:cs="Arial"/>
          <w:spacing w:val="2"/>
        </w:rPr>
        <w:t>T</w:t>
      </w:r>
      <w:r w:rsidRPr="00D1219A">
        <w:rPr>
          <w:rFonts w:ascii="Arial" w:eastAsia="Arial" w:hAnsi="Arial" w:cs="Arial"/>
          <w:spacing w:val="-2"/>
        </w:rPr>
        <w:t>S</w:t>
      </w:r>
      <w:r w:rsidRPr="00D1219A">
        <w:rPr>
          <w:rFonts w:ascii="Arial" w:eastAsia="Arial" w:hAnsi="Arial" w:cs="Arial"/>
        </w:rPr>
        <w:t>H rec</w:t>
      </w:r>
      <w:r w:rsidRPr="00D1219A">
        <w:rPr>
          <w:rFonts w:ascii="Arial" w:eastAsia="Arial" w:hAnsi="Arial" w:cs="Arial"/>
          <w:spacing w:val="1"/>
        </w:rPr>
        <w:t>ep</w:t>
      </w:r>
      <w:r w:rsidRPr="00D1219A">
        <w:rPr>
          <w:rFonts w:ascii="Arial" w:eastAsia="Arial" w:hAnsi="Arial" w:cs="Arial"/>
        </w:rPr>
        <w:t>t</w:t>
      </w:r>
      <w:r w:rsidRPr="00D1219A">
        <w:rPr>
          <w:rFonts w:ascii="Arial" w:eastAsia="Arial" w:hAnsi="Arial" w:cs="Arial"/>
          <w:spacing w:val="1"/>
        </w:rPr>
        <w:t>o</w:t>
      </w:r>
      <w:r w:rsidRPr="00D1219A">
        <w:rPr>
          <w:rFonts w:ascii="Arial" w:eastAsia="Arial" w:hAnsi="Arial" w:cs="Arial"/>
        </w:rPr>
        <w:t>r</w:t>
      </w:r>
      <w:r w:rsidRPr="00D1219A">
        <w:rPr>
          <w:rFonts w:ascii="Arial" w:eastAsia="Arial" w:hAnsi="Arial" w:cs="Arial"/>
          <w:spacing w:val="2"/>
        </w:rPr>
        <w:t xml:space="preserve"> </w:t>
      </w:r>
      <w:r w:rsidRPr="00D1219A">
        <w:rPr>
          <w:rFonts w:ascii="Arial" w:eastAsia="Arial" w:hAnsi="Arial" w:cs="Arial"/>
          <w:spacing w:val="1"/>
        </w:rPr>
        <w:t>ma</w:t>
      </w:r>
      <w:r w:rsidRPr="00D1219A">
        <w:rPr>
          <w:rFonts w:ascii="Arial" w:eastAsia="Arial" w:hAnsi="Arial" w:cs="Arial"/>
        </w:rPr>
        <w:t>y</w:t>
      </w:r>
      <w:r w:rsidRPr="00D1219A">
        <w:rPr>
          <w:rFonts w:ascii="Arial" w:eastAsia="Arial" w:hAnsi="Arial" w:cs="Arial"/>
          <w:spacing w:val="-2"/>
        </w:rPr>
        <w:t xml:space="preserve"> </w:t>
      </w:r>
      <w:r w:rsidRPr="00D1219A">
        <w:rPr>
          <w:rFonts w:ascii="Arial" w:eastAsia="Arial" w:hAnsi="Arial" w:cs="Arial"/>
          <w:spacing w:val="1"/>
        </w:rPr>
        <w:t>b</w:t>
      </w:r>
      <w:r w:rsidRPr="00D1219A">
        <w:rPr>
          <w:rFonts w:ascii="Arial" w:eastAsia="Arial" w:hAnsi="Arial" w:cs="Arial"/>
        </w:rPr>
        <w:t xml:space="preserve">e </w:t>
      </w:r>
      <w:r w:rsidRPr="00D1219A">
        <w:rPr>
          <w:rFonts w:ascii="Arial" w:eastAsia="Arial" w:hAnsi="Arial" w:cs="Arial"/>
          <w:spacing w:val="1"/>
        </w:rPr>
        <w:t>d</w:t>
      </w:r>
      <w:r w:rsidRPr="00D1219A">
        <w:rPr>
          <w:rFonts w:ascii="Arial" w:eastAsia="Arial" w:hAnsi="Arial" w:cs="Arial"/>
        </w:rPr>
        <w:t>if</w:t>
      </w:r>
      <w:r w:rsidRPr="00D1219A">
        <w:rPr>
          <w:rFonts w:ascii="Arial" w:eastAsia="Arial" w:hAnsi="Arial" w:cs="Arial"/>
          <w:spacing w:val="3"/>
        </w:rPr>
        <w:t>f</w:t>
      </w:r>
      <w:r w:rsidRPr="00D1219A">
        <w:rPr>
          <w:rFonts w:ascii="Arial" w:eastAsia="Arial" w:hAnsi="Arial" w:cs="Arial"/>
        </w:rPr>
        <w:t>i</w:t>
      </w:r>
      <w:r w:rsidRPr="00D1219A">
        <w:rPr>
          <w:rFonts w:ascii="Arial" w:eastAsia="Arial" w:hAnsi="Arial" w:cs="Arial"/>
          <w:spacing w:val="-3"/>
        </w:rPr>
        <w:t>c</w:t>
      </w:r>
      <w:r w:rsidRPr="00D1219A">
        <w:rPr>
          <w:rFonts w:ascii="Arial" w:eastAsia="Arial" w:hAnsi="Arial" w:cs="Arial"/>
          <w:spacing w:val="1"/>
        </w:rPr>
        <w:t>u</w:t>
      </w:r>
      <w:r w:rsidRPr="00D1219A">
        <w:rPr>
          <w:rFonts w:ascii="Arial" w:eastAsia="Arial" w:hAnsi="Arial" w:cs="Arial"/>
        </w:rPr>
        <w:t xml:space="preserve">lt </w:t>
      </w:r>
      <w:r w:rsidRPr="00D1219A">
        <w:rPr>
          <w:rFonts w:ascii="Arial" w:eastAsia="Arial" w:hAnsi="Arial" w:cs="Arial"/>
          <w:spacing w:val="-1"/>
        </w:rPr>
        <w:t>t</w:t>
      </w:r>
      <w:r w:rsidRPr="00D1219A">
        <w:rPr>
          <w:rFonts w:ascii="Arial" w:eastAsia="Arial" w:hAnsi="Arial" w:cs="Arial"/>
        </w:rPr>
        <w:t>o</w:t>
      </w:r>
      <w:r w:rsidRPr="00D1219A">
        <w:rPr>
          <w:rFonts w:ascii="Arial" w:eastAsia="Arial" w:hAnsi="Arial" w:cs="Arial"/>
          <w:spacing w:val="1"/>
        </w:rPr>
        <w:t xml:space="preserve"> </w:t>
      </w:r>
      <w:r w:rsidRPr="00D1219A">
        <w:rPr>
          <w:rFonts w:ascii="Arial" w:eastAsia="Arial" w:hAnsi="Arial" w:cs="Arial"/>
        </w:rPr>
        <w:t>ma</w:t>
      </w:r>
      <w:r w:rsidRPr="00D1219A">
        <w:rPr>
          <w:rFonts w:ascii="Arial" w:eastAsia="Arial" w:hAnsi="Arial" w:cs="Arial"/>
          <w:spacing w:val="-1"/>
        </w:rPr>
        <w:t>n</w:t>
      </w:r>
      <w:r w:rsidRPr="00D1219A">
        <w:rPr>
          <w:rFonts w:ascii="Arial" w:eastAsia="Arial" w:hAnsi="Arial" w:cs="Arial"/>
          <w:spacing w:val="1"/>
        </w:rPr>
        <w:t>a</w:t>
      </w:r>
      <w:r w:rsidRPr="00D1219A">
        <w:rPr>
          <w:rFonts w:ascii="Arial" w:eastAsia="Arial" w:hAnsi="Arial" w:cs="Arial"/>
          <w:spacing w:val="-1"/>
        </w:rPr>
        <w:t>g</w:t>
      </w:r>
      <w:r w:rsidRPr="00D1219A">
        <w:rPr>
          <w:rFonts w:ascii="Arial" w:eastAsia="Arial" w:hAnsi="Arial" w:cs="Arial"/>
        </w:rPr>
        <w:t>e</w:t>
      </w:r>
      <w:r w:rsidRPr="00D1219A">
        <w:rPr>
          <w:rFonts w:ascii="Arial" w:eastAsia="Arial" w:hAnsi="Arial" w:cs="Arial"/>
          <w:spacing w:val="1"/>
        </w:rPr>
        <w:t xml:space="preserve"> </w:t>
      </w:r>
      <w:r w:rsidRPr="00D1219A">
        <w:rPr>
          <w:rFonts w:ascii="Arial" w:eastAsia="Arial" w:hAnsi="Arial" w:cs="Arial"/>
        </w:rPr>
        <w:t>m</w:t>
      </w:r>
      <w:r w:rsidRPr="00D1219A">
        <w:rPr>
          <w:rFonts w:ascii="Arial" w:eastAsia="Arial" w:hAnsi="Arial" w:cs="Arial"/>
          <w:spacing w:val="-2"/>
        </w:rPr>
        <w:t>e</w:t>
      </w:r>
      <w:r w:rsidRPr="00D1219A">
        <w:rPr>
          <w:rFonts w:ascii="Arial" w:eastAsia="Arial" w:hAnsi="Arial" w:cs="Arial"/>
          <w:spacing w:val="1"/>
        </w:rPr>
        <w:t>d</w:t>
      </w:r>
      <w:r w:rsidRPr="00D1219A">
        <w:rPr>
          <w:rFonts w:ascii="Arial" w:eastAsia="Arial" w:hAnsi="Arial" w:cs="Arial"/>
        </w:rPr>
        <w:t xml:space="preserve">ically </w:t>
      </w:r>
      <w:r w:rsidRPr="00D1219A">
        <w:rPr>
          <w:rFonts w:ascii="Arial" w:eastAsia="Arial" w:hAnsi="Arial" w:cs="Arial"/>
          <w:spacing w:val="1"/>
        </w:rPr>
        <w:t>and</w:t>
      </w:r>
      <w:r w:rsidRPr="00D1219A">
        <w:rPr>
          <w:rFonts w:ascii="Arial" w:eastAsia="Arial" w:hAnsi="Arial" w:cs="Arial"/>
        </w:rPr>
        <w:t>,</w:t>
      </w:r>
      <w:r w:rsidRPr="00D1219A">
        <w:rPr>
          <w:rFonts w:ascii="Arial" w:eastAsia="Arial" w:hAnsi="Arial" w:cs="Arial"/>
          <w:spacing w:val="1"/>
        </w:rPr>
        <w:t xml:space="preserve"> </w:t>
      </w:r>
      <w:r w:rsidRPr="00D1219A">
        <w:rPr>
          <w:rFonts w:ascii="Arial" w:eastAsia="Arial" w:hAnsi="Arial" w:cs="Arial"/>
          <w:spacing w:val="-3"/>
        </w:rPr>
        <w:t>w</w:t>
      </w:r>
      <w:r w:rsidRPr="00D1219A">
        <w:rPr>
          <w:rFonts w:ascii="Arial" w:eastAsia="Arial" w:hAnsi="Arial" w:cs="Arial"/>
          <w:spacing w:val="1"/>
        </w:rPr>
        <w:t>he</w:t>
      </w:r>
      <w:r w:rsidRPr="00D1219A">
        <w:rPr>
          <w:rFonts w:ascii="Arial" w:eastAsia="Arial" w:hAnsi="Arial" w:cs="Arial"/>
        </w:rPr>
        <w:t>n</w:t>
      </w:r>
      <w:r w:rsidRPr="00D1219A">
        <w:rPr>
          <w:rFonts w:ascii="Arial" w:eastAsia="Arial" w:hAnsi="Arial" w:cs="Arial"/>
          <w:spacing w:val="-1"/>
        </w:rPr>
        <w:t xml:space="preserve"> </w:t>
      </w:r>
      <w:r w:rsidRPr="00D1219A">
        <w:rPr>
          <w:rFonts w:ascii="Arial" w:eastAsia="Arial" w:hAnsi="Arial" w:cs="Arial"/>
          <w:spacing w:val="1"/>
        </w:rPr>
        <w:t>d</w:t>
      </w:r>
      <w:r w:rsidRPr="00D1219A">
        <w:rPr>
          <w:rFonts w:ascii="Arial" w:eastAsia="Arial" w:hAnsi="Arial" w:cs="Arial"/>
        </w:rPr>
        <w:t>ia</w:t>
      </w:r>
      <w:r w:rsidRPr="00D1219A">
        <w:rPr>
          <w:rFonts w:ascii="Arial" w:eastAsia="Arial" w:hAnsi="Arial" w:cs="Arial"/>
          <w:spacing w:val="-1"/>
        </w:rPr>
        <w:t>g</w:t>
      </w:r>
      <w:r w:rsidRPr="00D1219A">
        <w:rPr>
          <w:rFonts w:ascii="Arial" w:eastAsia="Arial" w:hAnsi="Arial" w:cs="Arial"/>
          <w:spacing w:val="1"/>
        </w:rPr>
        <w:t>no</w:t>
      </w:r>
      <w:r w:rsidRPr="00D1219A">
        <w:rPr>
          <w:rFonts w:ascii="Arial" w:eastAsia="Arial" w:hAnsi="Arial" w:cs="Arial"/>
        </w:rPr>
        <w:t xml:space="preserve">sis </w:t>
      </w:r>
      <w:r w:rsidRPr="00D1219A">
        <w:rPr>
          <w:rFonts w:ascii="Arial" w:eastAsia="Arial" w:hAnsi="Arial" w:cs="Arial"/>
          <w:spacing w:val="-1"/>
        </w:rPr>
        <w:t>a</w:t>
      </w:r>
      <w:r w:rsidRPr="00D1219A">
        <w:rPr>
          <w:rFonts w:ascii="Arial" w:eastAsia="Arial" w:hAnsi="Arial" w:cs="Arial"/>
          <w:spacing w:val="1"/>
        </w:rPr>
        <w:t>n</w:t>
      </w:r>
      <w:r w:rsidRPr="00D1219A">
        <w:rPr>
          <w:rFonts w:ascii="Arial" w:eastAsia="Arial" w:hAnsi="Arial" w:cs="Arial"/>
        </w:rPr>
        <w:t>d</w:t>
      </w:r>
      <w:r w:rsidRPr="00D1219A">
        <w:rPr>
          <w:rFonts w:ascii="Arial" w:eastAsia="Arial" w:hAnsi="Arial" w:cs="Arial"/>
          <w:spacing w:val="1"/>
        </w:rPr>
        <w:t xml:space="preserve"> </w:t>
      </w:r>
      <w:r w:rsidRPr="00D1219A">
        <w:rPr>
          <w:rFonts w:ascii="Arial" w:eastAsia="Arial" w:hAnsi="Arial" w:cs="Arial"/>
          <w:spacing w:val="-1"/>
        </w:rPr>
        <w:t>t</w:t>
      </w:r>
      <w:r w:rsidRPr="00D1219A">
        <w:rPr>
          <w:rFonts w:ascii="Arial" w:eastAsia="Arial" w:hAnsi="Arial" w:cs="Arial"/>
          <w:spacing w:val="1"/>
        </w:rPr>
        <w:t>he</w:t>
      </w:r>
      <w:r w:rsidRPr="00D1219A">
        <w:rPr>
          <w:rFonts w:ascii="Arial" w:eastAsia="Arial" w:hAnsi="Arial" w:cs="Arial"/>
        </w:rPr>
        <w:t>r</w:t>
      </w:r>
      <w:r w:rsidRPr="00D1219A">
        <w:rPr>
          <w:rFonts w:ascii="Arial" w:eastAsia="Arial" w:hAnsi="Arial" w:cs="Arial"/>
          <w:spacing w:val="-2"/>
        </w:rPr>
        <w:t>a</w:t>
      </w:r>
      <w:r w:rsidRPr="00D1219A">
        <w:rPr>
          <w:rFonts w:ascii="Arial" w:eastAsia="Arial" w:hAnsi="Arial" w:cs="Arial"/>
          <w:spacing w:val="1"/>
        </w:rPr>
        <w:t>p</w:t>
      </w:r>
      <w:r w:rsidRPr="00D1219A">
        <w:rPr>
          <w:rFonts w:ascii="Arial" w:eastAsia="Arial" w:hAnsi="Arial" w:cs="Arial"/>
        </w:rPr>
        <w:t>y</w:t>
      </w:r>
      <w:r w:rsidRPr="00D1219A">
        <w:rPr>
          <w:rFonts w:ascii="Arial" w:eastAsia="Arial" w:hAnsi="Arial" w:cs="Arial"/>
          <w:spacing w:val="-2"/>
        </w:rPr>
        <w:t xml:space="preserve"> </w:t>
      </w:r>
      <w:r w:rsidRPr="00D1219A">
        <w:rPr>
          <w:rFonts w:ascii="Arial" w:eastAsia="Arial" w:hAnsi="Arial" w:cs="Arial"/>
        </w:rPr>
        <w:t>is</w:t>
      </w:r>
      <w:r w:rsidRPr="00D1219A">
        <w:rPr>
          <w:rFonts w:ascii="Arial" w:eastAsia="Arial" w:hAnsi="Arial" w:cs="Arial"/>
          <w:spacing w:val="4"/>
        </w:rPr>
        <w:t xml:space="preserve"> </w:t>
      </w:r>
      <w:r w:rsidRPr="00D1219A">
        <w:rPr>
          <w:rFonts w:ascii="Arial" w:eastAsia="Arial" w:hAnsi="Arial" w:cs="Arial"/>
          <w:spacing w:val="1"/>
        </w:rPr>
        <w:t>de</w:t>
      </w:r>
      <w:r w:rsidRPr="00D1219A">
        <w:rPr>
          <w:rFonts w:ascii="Arial" w:eastAsia="Arial" w:hAnsi="Arial" w:cs="Arial"/>
        </w:rPr>
        <w:t>la</w:t>
      </w:r>
      <w:r w:rsidRPr="00D1219A">
        <w:rPr>
          <w:rFonts w:ascii="Arial" w:eastAsia="Arial" w:hAnsi="Arial" w:cs="Arial"/>
          <w:spacing w:val="-2"/>
        </w:rPr>
        <w:t>y</w:t>
      </w:r>
      <w:r w:rsidRPr="00D1219A">
        <w:rPr>
          <w:rFonts w:ascii="Arial" w:eastAsia="Arial" w:hAnsi="Arial" w:cs="Arial"/>
          <w:spacing w:val="1"/>
        </w:rPr>
        <w:t>ed</w:t>
      </w:r>
      <w:r w:rsidRPr="00D1219A">
        <w:rPr>
          <w:rFonts w:ascii="Arial" w:eastAsia="Arial" w:hAnsi="Arial" w:cs="Arial"/>
        </w:rPr>
        <w:t>,</w:t>
      </w:r>
      <w:r w:rsidRPr="00D1219A">
        <w:rPr>
          <w:rFonts w:ascii="Arial" w:eastAsia="Arial" w:hAnsi="Arial" w:cs="Arial"/>
          <w:spacing w:val="1"/>
        </w:rPr>
        <w:t xml:space="preserve"> </w:t>
      </w:r>
      <w:r w:rsidRPr="00D1219A">
        <w:rPr>
          <w:rFonts w:ascii="Arial" w:eastAsia="Arial" w:hAnsi="Arial" w:cs="Arial"/>
        </w:rPr>
        <w:t>i</w:t>
      </w:r>
      <w:r w:rsidRPr="00D1219A">
        <w:rPr>
          <w:rFonts w:ascii="Arial" w:eastAsia="Arial" w:hAnsi="Arial" w:cs="Arial"/>
          <w:spacing w:val="-1"/>
        </w:rPr>
        <w:t>r</w:t>
      </w:r>
      <w:r w:rsidRPr="00D1219A">
        <w:rPr>
          <w:rFonts w:ascii="Arial" w:eastAsia="Arial" w:hAnsi="Arial" w:cs="Arial"/>
        </w:rPr>
        <w:t>re</w:t>
      </w:r>
      <w:r w:rsidRPr="00D1219A">
        <w:rPr>
          <w:rFonts w:ascii="Arial" w:eastAsia="Arial" w:hAnsi="Arial" w:cs="Arial"/>
          <w:spacing w:val="-2"/>
        </w:rPr>
        <w:t>v</w:t>
      </w:r>
      <w:r w:rsidRPr="00D1219A">
        <w:rPr>
          <w:rFonts w:ascii="Arial" w:eastAsia="Arial" w:hAnsi="Arial" w:cs="Arial"/>
          <w:spacing w:val="1"/>
        </w:rPr>
        <w:t>e</w:t>
      </w:r>
      <w:r w:rsidRPr="00D1219A">
        <w:rPr>
          <w:rFonts w:ascii="Arial" w:eastAsia="Arial" w:hAnsi="Arial" w:cs="Arial"/>
        </w:rPr>
        <w:t>rs</w:t>
      </w:r>
      <w:r w:rsidRPr="00D1219A">
        <w:rPr>
          <w:rFonts w:ascii="Arial" w:eastAsia="Arial" w:hAnsi="Arial" w:cs="Arial"/>
          <w:spacing w:val="-1"/>
        </w:rPr>
        <w:t>i</w:t>
      </w:r>
      <w:r w:rsidRPr="00D1219A">
        <w:rPr>
          <w:rFonts w:ascii="Arial" w:eastAsia="Arial" w:hAnsi="Arial" w:cs="Arial"/>
          <w:spacing w:val="1"/>
        </w:rPr>
        <w:t>b</w:t>
      </w:r>
      <w:r w:rsidRPr="00D1219A">
        <w:rPr>
          <w:rFonts w:ascii="Arial" w:eastAsia="Arial" w:hAnsi="Arial" w:cs="Arial"/>
        </w:rPr>
        <w:t>le s</w:t>
      </w:r>
      <w:r w:rsidRPr="00D1219A">
        <w:rPr>
          <w:rFonts w:ascii="Arial" w:eastAsia="Arial" w:hAnsi="Arial" w:cs="Arial"/>
          <w:spacing w:val="1"/>
        </w:rPr>
        <w:t>e</w:t>
      </w:r>
      <w:r w:rsidRPr="00D1219A">
        <w:rPr>
          <w:rFonts w:ascii="Arial" w:eastAsia="Arial" w:hAnsi="Arial" w:cs="Arial"/>
          <w:spacing w:val="-1"/>
        </w:rPr>
        <w:t>q</w:t>
      </w:r>
      <w:r w:rsidRPr="00D1219A">
        <w:rPr>
          <w:rFonts w:ascii="Arial" w:eastAsia="Arial" w:hAnsi="Arial" w:cs="Arial"/>
          <w:spacing w:val="1"/>
        </w:rPr>
        <w:t>ue</w:t>
      </w:r>
      <w:r w:rsidRPr="00D1219A">
        <w:rPr>
          <w:rFonts w:ascii="Arial" w:eastAsia="Arial" w:hAnsi="Arial" w:cs="Arial"/>
        </w:rPr>
        <w:t>la</w:t>
      </w:r>
      <w:r w:rsidRPr="00D1219A">
        <w:rPr>
          <w:rFonts w:ascii="Arial" w:eastAsia="Arial" w:hAnsi="Arial" w:cs="Arial"/>
          <w:spacing w:val="1"/>
        </w:rPr>
        <w:t>e</w:t>
      </w:r>
      <w:r w:rsidRPr="00D1219A">
        <w:rPr>
          <w:rFonts w:ascii="Arial" w:eastAsia="Arial" w:hAnsi="Arial" w:cs="Arial"/>
        </w:rPr>
        <w:t>,</w:t>
      </w:r>
      <w:r w:rsidRPr="00D1219A">
        <w:rPr>
          <w:rFonts w:ascii="Arial" w:eastAsia="Arial" w:hAnsi="Arial" w:cs="Arial"/>
          <w:spacing w:val="1"/>
        </w:rPr>
        <w:t xml:space="preserve"> </w:t>
      </w:r>
      <w:r w:rsidRPr="00D1219A">
        <w:rPr>
          <w:rFonts w:ascii="Arial" w:eastAsia="Arial" w:hAnsi="Arial" w:cs="Arial"/>
          <w:spacing w:val="-2"/>
        </w:rPr>
        <w:t>s</w:t>
      </w:r>
      <w:r w:rsidRPr="00D1219A">
        <w:rPr>
          <w:rFonts w:ascii="Arial" w:eastAsia="Arial" w:hAnsi="Arial" w:cs="Arial"/>
          <w:spacing w:val="1"/>
        </w:rPr>
        <w:t>u</w:t>
      </w:r>
      <w:r w:rsidRPr="00D1219A">
        <w:rPr>
          <w:rFonts w:ascii="Arial" w:eastAsia="Arial" w:hAnsi="Arial" w:cs="Arial"/>
        </w:rPr>
        <w:t>ch</w:t>
      </w:r>
      <w:r w:rsidRPr="00D1219A">
        <w:rPr>
          <w:rFonts w:ascii="Arial" w:eastAsia="Arial" w:hAnsi="Arial" w:cs="Arial"/>
          <w:spacing w:val="-1"/>
        </w:rPr>
        <w:t xml:space="preserve"> </w:t>
      </w:r>
      <w:r w:rsidRPr="00D1219A">
        <w:rPr>
          <w:rFonts w:ascii="Arial" w:eastAsia="Arial" w:hAnsi="Arial" w:cs="Arial"/>
          <w:spacing w:val="1"/>
        </w:rPr>
        <w:t>a</w:t>
      </w:r>
      <w:r w:rsidRPr="00D1219A">
        <w:rPr>
          <w:rFonts w:ascii="Arial" w:eastAsia="Arial" w:hAnsi="Arial" w:cs="Arial"/>
        </w:rPr>
        <w:t>s cr</w:t>
      </w:r>
      <w:r w:rsidRPr="00D1219A">
        <w:rPr>
          <w:rFonts w:ascii="Arial" w:eastAsia="Arial" w:hAnsi="Arial" w:cs="Arial"/>
          <w:spacing w:val="-2"/>
        </w:rPr>
        <w:t>a</w:t>
      </w:r>
      <w:r w:rsidRPr="00D1219A">
        <w:rPr>
          <w:rFonts w:ascii="Arial" w:eastAsia="Arial" w:hAnsi="Arial" w:cs="Arial"/>
          <w:spacing w:val="1"/>
        </w:rPr>
        <w:t>n</w:t>
      </w:r>
      <w:r w:rsidRPr="00D1219A">
        <w:rPr>
          <w:rFonts w:ascii="Arial" w:eastAsia="Arial" w:hAnsi="Arial" w:cs="Arial"/>
        </w:rPr>
        <w:t>ial s</w:t>
      </w:r>
      <w:r w:rsidRPr="00D1219A">
        <w:rPr>
          <w:rFonts w:ascii="Arial" w:eastAsia="Arial" w:hAnsi="Arial" w:cs="Arial"/>
          <w:spacing w:val="-2"/>
        </w:rPr>
        <w:t>y</w:t>
      </w:r>
      <w:r w:rsidRPr="00D1219A">
        <w:rPr>
          <w:rFonts w:ascii="Arial" w:eastAsia="Arial" w:hAnsi="Arial" w:cs="Arial"/>
          <w:spacing w:val="1"/>
        </w:rPr>
        <w:t>no</w:t>
      </w:r>
      <w:r w:rsidRPr="00D1219A">
        <w:rPr>
          <w:rFonts w:ascii="Arial" w:eastAsia="Arial" w:hAnsi="Arial" w:cs="Arial"/>
        </w:rPr>
        <w:t>st</w:t>
      </w:r>
      <w:r w:rsidRPr="00D1219A">
        <w:rPr>
          <w:rFonts w:ascii="Arial" w:eastAsia="Arial" w:hAnsi="Arial" w:cs="Arial"/>
          <w:spacing w:val="1"/>
        </w:rPr>
        <w:t>o</w:t>
      </w:r>
      <w:r w:rsidRPr="00D1219A">
        <w:rPr>
          <w:rFonts w:ascii="Arial" w:eastAsia="Arial" w:hAnsi="Arial" w:cs="Arial"/>
        </w:rPr>
        <w:t xml:space="preserve">sis </w:t>
      </w:r>
      <w:r w:rsidRPr="00D1219A">
        <w:rPr>
          <w:rFonts w:ascii="Arial" w:eastAsia="Arial" w:hAnsi="Arial" w:cs="Arial"/>
          <w:spacing w:val="-1"/>
        </w:rPr>
        <w:t>a</w:t>
      </w:r>
      <w:r w:rsidRPr="00D1219A">
        <w:rPr>
          <w:rFonts w:ascii="Arial" w:eastAsia="Arial" w:hAnsi="Arial" w:cs="Arial"/>
          <w:spacing w:val="1"/>
        </w:rPr>
        <w:t>n</w:t>
      </w:r>
      <w:r w:rsidRPr="00D1219A">
        <w:rPr>
          <w:rFonts w:ascii="Arial" w:eastAsia="Arial" w:hAnsi="Arial" w:cs="Arial"/>
        </w:rPr>
        <w:t>d</w:t>
      </w:r>
      <w:r w:rsidRPr="00D1219A">
        <w:rPr>
          <w:rFonts w:ascii="Arial" w:eastAsia="Arial" w:hAnsi="Arial" w:cs="Arial"/>
          <w:spacing w:val="-1"/>
        </w:rPr>
        <w:t xml:space="preserve"> </w:t>
      </w:r>
      <w:r w:rsidRPr="00D1219A">
        <w:rPr>
          <w:rFonts w:ascii="Arial" w:eastAsia="Arial" w:hAnsi="Arial" w:cs="Arial"/>
          <w:spacing w:val="1"/>
        </w:rPr>
        <w:t>d</w:t>
      </w:r>
      <w:r w:rsidRPr="00D1219A">
        <w:rPr>
          <w:rFonts w:ascii="Arial" w:eastAsia="Arial" w:hAnsi="Arial" w:cs="Arial"/>
          <w:spacing w:val="-1"/>
        </w:rPr>
        <w:t>e</w:t>
      </w:r>
      <w:r w:rsidRPr="00D1219A">
        <w:rPr>
          <w:rFonts w:ascii="Arial" w:eastAsia="Arial" w:hAnsi="Arial" w:cs="Arial"/>
          <w:spacing w:val="-2"/>
        </w:rPr>
        <w:t>v</w:t>
      </w:r>
      <w:r w:rsidRPr="00D1219A">
        <w:rPr>
          <w:rFonts w:ascii="Arial" w:eastAsia="Arial" w:hAnsi="Arial" w:cs="Arial"/>
          <w:spacing w:val="1"/>
        </w:rPr>
        <w:t>e</w:t>
      </w:r>
      <w:r w:rsidRPr="00D1219A">
        <w:rPr>
          <w:rFonts w:ascii="Arial" w:eastAsia="Arial" w:hAnsi="Arial" w:cs="Arial"/>
        </w:rPr>
        <w:t>lo</w:t>
      </w:r>
      <w:r w:rsidRPr="00D1219A">
        <w:rPr>
          <w:rFonts w:ascii="Arial" w:eastAsia="Arial" w:hAnsi="Arial" w:cs="Arial"/>
          <w:spacing w:val="1"/>
        </w:rPr>
        <w:t>pme</w:t>
      </w:r>
      <w:r w:rsidRPr="00D1219A">
        <w:rPr>
          <w:rFonts w:ascii="Arial" w:eastAsia="Arial" w:hAnsi="Arial" w:cs="Arial"/>
          <w:spacing w:val="-1"/>
        </w:rPr>
        <w:t>n</w:t>
      </w:r>
      <w:r w:rsidRPr="00D1219A">
        <w:rPr>
          <w:rFonts w:ascii="Arial" w:eastAsia="Arial" w:hAnsi="Arial" w:cs="Arial"/>
        </w:rPr>
        <w:t>t</w:t>
      </w:r>
      <w:r w:rsidRPr="00D1219A">
        <w:rPr>
          <w:rFonts w:ascii="Arial" w:eastAsia="Arial" w:hAnsi="Arial" w:cs="Arial"/>
          <w:spacing w:val="1"/>
        </w:rPr>
        <w:t>a</w:t>
      </w:r>
      <w:r w:rsidRPr="00D1219A">
        <w:rPr>
          <w:rFonts w:ascii="Arial" w:eastAsia="Arial" w:hAnsi="Arial" w:cs="Arial"/>
        </w:rPr>
        <w:t xml:space="preserve">l </w:t>
      </w:r>
      <w:r w:rsidRPr="00D1219A">
        <w:rPr>
          <w:rFonts w:ascii="Arial" w:eastAsia="Arial" w:hAnsi="Arial" w:cs="Arial"/>
          <w:spacing w:val="-1"/>
        </w:rPr>
        <w:t>d</w:t>
      </w:r>
      <w:r w:rsidRPr="00D1219A">
        <w:rPr>
          <w:rFonts w:ascii="Arial" w:eastAsia="Arial" w:hAnsi="Arial" w:cs="Arial"/>
          <w:spacing w:val="1"/>
        </w:rPr>
        <w:t>e</w:t>
      </w:r>
      <w:r w:rsidRPr="00D1219A">
        <w:rPr>
          <w:rFonts w:ascii="Arial" w:eastAsia="Arial" w:hAnsi="Arial" w:cs="Arial"/>
        </w:rPr>
        <w:t>lay</w:t>
      </w:r>
      <w:r w:rsidRPr="00D1219A">
        <w:rPr>
          <w:rFonts w:ascii="Arial" w:eastAsia="Arial" w:hAnsi="Arial" w:cs="Arial"/>
          <w:spacing w:val="-2"/>
        </w:rPr>
        <w:t xml:space="preserve"> </w:t>
      </w:r>
      <w:r w:rsidRPr="00D1219A">
        <w:rPr>
          <w:rFonts w:ascii="Arial" w:eastAsia="Arial" w:hAnsi="Arial" w:cs="Arial"/>
          <w:spacing w:val="2"/>
        </w:rPr>
        <w:t>m</w:t>
      </w:r>
      <w:r w:rsidRPr="00D1219A">
        <w:rPr>
          <w:rFonts w:ascii="Arial" w:eastAsia="Arial" w:hAnsi="Arial" w:cs="Arial"/>
          <w:spacing w:val="1"/>
        </w:rPr>
        <w:t>a</w:t>
      </w:r>
      <w:r w:rsidRPr="00D1219A">
        <w:rPr>
          <w:rFonts w:ascii="Arial" w:eastAsia="Arial" w:hAnsi="Arial" w:cs="Arial"/>
        </w:rPr>
        <w:t>y</w:t>
      </w:r>
      <w:r w:rsidRPr="00D1219A">
        <w:rPr>
          <w:rFonts w:ascii="Arial" w:eastAsia="Arial" w:hAnsi="Arial" w:cs="Arial"/>
          <w:spacing w:val="-2"/>
        </w:rPr>
        <w:t xml:space="preserve"> </w:t>
      </w:r>
      <w:r w:rsidRPr="00D1219A">
        <w:rPr>
          <w:rFonts w:ascii="Arial" w:eastAsia="Arial" w:hAnsi="Arial" w:cs="Arial"/>
        </w:rPr>
        <w:t>res</w:t>
      </w:r>
      <w:r w:rsidRPr="00D1219A">
        <w:rPr>
          <w:rFonts w:ascii="Arial" w:eastAsia="Arial" w:hAnsi="Arial" w:cs="Arial"/>
          <w:spacing w:val="1"/>
        </w:rPr>
        <w:t>u</w:t>
      </w:r>
      <w:r w:rsidRPr="00D1219A">
        <w:rPr>
          <w:rFonts w:ascii="Arial" w:eastAsia="Arial" w:hAnsi="Arial" w:cs="Arial"/>
        </w:rPr>
        <w:t>lt.</w:t>
      </w:r>
      <w:r w:rsidRPr="00D1219A">
        <w:rPr>
          <w:rFonts w:ascii="Arial" w:eastAsia="Arial" w:hAnsi="Arial" w:cs="Arial"/>
          <w:spacing w:val="5"/>
        </w:rPr>
        <w:t xml:space="preserve"> </w:t>
      </w:r>
      <w:r w:rsidRPr="00D1219A">
        <w:rPr>
          <w:rFonts w:ascii="Arial" w:eastAsia="Arial" w:hAnsi="Arial" w:cs="Arial"/>
          <w:spacing w:val="2"/>
        </w:rPr>
        <w:t>T</w:t>
      </w:r>
      <w:r w:rsidRPr="00D1219A">
        <w:rPr>
          <w:rFonts w:ascii="Arial" w:eastAsia="Arial" w:hAnsi="Arial" w:cs="Arial"/>
          <w:spacing w:val="1"/>
        </w:rPr>
        <w:t>h</w:t>
      </w:r>
      <w:r w:rsidRPr="00D1219A">
        <w:rPr>
          <w:rFonts w:ascii="Arial" w:eastAsia="Arial" w:hAnsi="Arial" w:cs="Arial"/>
          <w:spacing w:val="-2"/>
        </w:rPr>
        <w:t>y</w:t>
      </w:r>
      <w:r w:rsidRPr="00D1219A">
        <w:rPr>
          <w:rFonts w:ascii="Arial" w:eastAsia="Arial" w:hAnsi="Arial" w:cs="Arial"/>
        </w:rPr>
        <w:t xml:space="preserve">roid </w:t>
      </w:r>
      <w:r w:rsidRPr="00D1219A">
        <w:rPr>
          <w:rFonts w:ascii="Arial" w:eastAsia="Arial" w:hAnsi="Arial" w:cs="Arial"/>
          <w:spacing w:val="1"/>
        </w:rPr>
        <w:t>ab</w:t>
      </w:r>
      <w:r w:rsidRPr="00D1219A">
        <w:rPr>
          <w:rFonts w:ascii="Arial" w:eastAsia="Arial" w:hAnsi="Arial" w:cs="Arial"/>
        </w:rPr>
        <w:t>la</w:t>
      </w:r>
      <w:r w:rsidRPr="00D1219A">
        <w:rPr>
          <w:rFonts w:ascii="Arial" w:eastAsia="Arial" w:hAnsi="Arial" w:cs="Arial"/>
          <w:spacing w:val="1"/>
        </w:rPr>
        <w:t>t</w:t>
      </w:r>
      <w:r w:rsidRPr="00D1219A">
        <w:rPr>
          <w:rFonts w:ascii="Arial" w:eastAsia="Arial" w:hAnsi="Arial" w:cs="Arial"/>
        </w:rPr>
        <w:t>i</w:t>
      </w:r>
      <w:r w:rsidRPr="00D1219A">
        <w:rPr>
          <w:rFonts w:ascii="Arial" w:eastAsia="Arial" w:hAnsi="Arial" w:cs="Arial"/>
          <w:spacing w:val="-2"/>
        </w:rPr>
        <w:t>o</w:t>
      </w:r>
      <w:r w:rsidRPr="00D1219A">
        <w:rPr>
          <w:rFonts w:ascii="Arial" w:eastAsia="Arial" w:hAnsi="Arial" w:cs="Arial"/>
        </w:rPr>
        <w:t>n</w:t>
      </w:r>
      <w:r w:rsidRPr="00D1219A">
        <w:rPr>
          <w:rFonts w:ascii="Arial" w:eastAsia="Arial" w:hAnsi="Arial" w:cs="Arial"/>
          <w:spacing w:val="-1"/>
        </w:rPr>
        <w:t xml:space="preserve"> </w:t>
      </w:r>
      <w:r w:rsidRPr="00D1219A">
        <w:rPr>
          <w:rFonts w:ascii="Arial" w:eastAsia="Arial" w:hAnsi="Arial" w:cs="Arial"/>
          <w:spacing w:val="1"/>
        </w:rPr>
        <w:t>ma</w:t>
      </w:r>
      <w:r w:rsidRPr="00D1219A">
        <w:rPr>
          <w:rFonts w:ascii="Arial" w:eastAsia="Arial" w:hAnsi="Arial" w:cs="Arial"/>
        </w:rPr>
        <w:t>y</w:t>
      </w:r>
      <w:r w:rsidRPr="00D1219A">
        <w:rPr>
          <w:rFonts w:ascii="Arial" w:eastAsia="Arial" w:hAnsi="Arial" w:cs="Arial"/>
          <w:spacing w:val="-2"/>
        </w:rPr>
        <w:t xml:space="preserve"> </w:t>
      </w:r>
      <w:r w:rsidRPr="00D1219A">
        <w:rPr>
          <w:rFonts w:ascii="Arial" w:eastAsia="Arial" w:hAnsi="Arial" w:cs="Arial"/>
          <w:spacing w:val="1"/>
        </w:rPr>
        <w:t>b</w:t>
      </w:r>
      <w:r w:rsidRPr="00D1219A">
        <w:rPr>
          <w:rFonts w:ascii="Arial" w:eastAsia="Arial" w:hAnsi="Arial" w:cs="Arial"/>
        </w:rPr>
        <w:t>e</w:t>
      </w:r>
      <w:r w:rsidRPr="00D1219A">
        <w:rPr>
          <w:rFonts w:ascii="Arial" w:eastAsia="Arial" w:hAnsi="Arial" w:cs="Arial"/>
          <w:spacing w:val="1"/>
        </w:rPr>
        <w:t xml:space="preserve"> </w:t>
      </w:r>
      <w:r w:rsidRPr="00D1219A">
        <w:rPr>
          <w:rFonts w:ascii="Arial" w:eastAsia="Arial" w:hAnsi="Arial" w:cs="Arial"/>
        </w:rPr>
        <w:t>re</w:t>
      </w:r>
      <w:r w:rsidRPr="00D1219A">
        <w:rPr>
          <w:rFonts w:ascii="Arial" w:eastAsia="Arial" w:hAnsi="Arial" w:cs="Arial"/>
          <w:spacing w:val="-1"/>
        </w:rPr>
        <w:t>q</w:t>
      </w:r>
      <w:r w:rsidRPr="00D1219A">
        <w:rPr>
          <w:rFonts w:ascii="Arial" w:eastAsia="Arial" w:hAnsi="Arial" w:cs="Arial"/>
          <w:spacing w:val="1"/>
        </w:rPr>
        <w:t>u</w:t>
      </w:r>
      <w:r w:rsidRPr="00D1219A">
        <w:rPr>
          <w:rFonts w:ascii="Arial" w:eastAsia="Arial" w:hAnsi="Arial" w:cs="Arial"/>
        </w:rPr>
        <w:t>i</w:t>
      </w:r>
      <w:r w:rsidRPr="00D1219A">
        <w:rPr>
          <w:rFonts w:ascii="Arial" w:eastAsia="Arial" w:hAnsi="Arial" w:cs="Arial"/>
          <w:spacing w:val="-1"/>
        </w:rPr>
        <w:t>r</w:t>
      </w:r>
      <w:r w:rsidRPr="00D1219A">
        <w:rPr>
          <w:rFonts w:ascii="Arial" w:eastAsia="Arial" w:hAnsi="Arial" w:cs="Arial"/>
          <w:spacing w:val="1"/>
        </w:rPr>
        <w:t>ed</w:t>
      </w:r>
      <w:r w:rsidRPr="00D1219A">
        <w:rPr>
          <w:rFonts w:ascii="Arial" w:eastAsia="Arial" w:hAnsi="Arial" w:cs="Arial"/>
        </w:rPr>
        <w:t>.</w:t>
      </w:r>
      <w:r w:rsidRPr="00D1219A">
        <w:rPr>
          <w:rFonts w:ascii="Arial" w:eastAsia="Arial" w:hAnsi="Arial" w:cs="Arial"/>
          <w:spacing w:val="-1"/>
        </w:rPr>
        <w:t xml:space="preserve"> </w:t>
      </w:r>
      <w:r w:rsidRPr="00D1219A">
        <w:rPr>
          <w:rFonts w:ascii="Arial" w:eastAsia="Arial" w:hAnsi="Arial" w:cs="Arial"/>
          <w:spacing w:val="2"/>
        </w:rPr>
        <w:t>T</w:t>
      </w:r>
      <w:r w:rsidRPr="00D1219A">
        <w:rPr>
          <w:rFonts w:ascii="Arial" w:eastAsia="Arial" w:hAnsi="Arial" w:cs="Arial"/>
          <w:spacing w:val="1"/>
        </w:rPr>
        <w:t>h</w:t>
      </w:r>
      <w:r w:rsidRPr="00D1219A">
        <w:rPr>
          <w:rFonts w:ascii="Arial" w:eastAsia="Arial" w:hAnsi="Arial" w:cs="Arial"/>
          <w:spacing w:val="-2"/>
        </w:rPr>
        <w:t>y</w:t>
      </w:r>
      <w:r w:rsidRPr="00D1219A">
        <w:rPr>
          <w:rFonts w:ascii="Arial" w:eastAsia="Arial" w:hAnsi="Arial" w:cs="Arial"/>
        </w:rPr>
        <w:t>roid</w:t>
      </w:r>
      <w:r w:rsidRPr="00D1219A">
        <w:rPr>
          <w:rFonts w:ascii="Arial" w:eastAsia="Arial" w:hAnsi="Arial" w:cs="Arial"/>
          <w:spacing w:val="1"/>
        </w:rPr>
        <w:t xml:space="preserve"> </w:t>
      </w:r>
      <w:r w:rsidRPr="00D1219A">
        <w:rPr>
          <w:rFonts w:ascii="Arial" w:eastAsia="Arial" w:hAnsi="Arial" w:cs="Arial"/>
        </w:rPr>
        <w:t>s</w:t>
      </w:r>
      <w:r w:rsidRPr="00D1219A">
        <w:rPr>
          <w:rFonts w:ascii="Arial" w:eastAsia="Arial" w:hAnsi="Arial" w:cs="Arial"/>
          <w:spacing w:val="1"/>
        </w:rPr>
        <w:t>u</w:t>
      </w:r>
      <w:r w:rsidRPr="00D1219A">
        <w:rPr>
          <w:rFonts w:ascii="Arial" w:eastAsia="Arial" w:hAnsi="Arial" w:cs="Arial"/>
        </w:rPr>
        <w:t>r</w:t>
      </w:r>
      <w:r w:rsidRPr="00D1219A">
        <w:rPr>
          <w:rFonts w:ascii="Arial" w:eastAsia="Arial" w:hAnsi="Arial" w:cs="Arial"/>
          <w:spacing w:val="-2"/>
        </w:rPr>
        <w:t>g</w:t>
      </w:r>
      <w:r w:rsidRPr="00D1219A">
        <w:rPr>
          <w:rFonts w:ascii="Arial" w:eastAsia="Arial" w:hAnsi="Arial" w:cs="Arial"/>
          <w:spacing w:val="1"/>
        </w:rPr>
        <w:t>e</w:t>
      </w:r>
      <w:r w:rsidRPr="00D1219A">
        <w:rPr>
          <w:rFonts w:ascii="Arial" w:eastAsia="Arial" w:hAnsi="Arial" w:cs="Arial"/>
        </w:rPr>
        <w:t>ry</w:t>
      </w:r>
      <w:r w:rsidRPr="00D1219A">
        <w:rPr>
          <w:rFonts w:ascii="Arial" w:eastAsia="Arial" w:hAnsi="Arial" w:cs="Arial"/>
          <w:spacing w:val="-3"/>
        </w:rPr>
        <w:t xml:space="preserve"> </w:t>
      </w:r>
      <w:r w:rsidRPr="00D1219A">
        <w:rPr>
          <w:rFonts w:ascii="Arial" w:eastAsia="Arial" w:hAnsi="Arial" w:cs="Arial"/>
        </w:rPr>
        <w:t xml:space="preserve">is </w:t>
      </w:r>
      <w:r w:rsidRPr="00D1219A">
        <w:rPr>
          <w:rFonts w:ascii="Arial" w:eastAsia="Arial" w:hAnsi="Arial" w:cs="Arial"/>
          <w:spacing w:val="1"/>
        </w:rPr>
        <w:t>th</w:t>
      </w:r>
      <w:r w:rsidRPr="00D1219A">
        <w:rPr>
          <w:rFonts w:ascii="Arial" w:eastAsia="Arial" w:hAnsi="Arial" w:cs="Arial"/>
        </w:rPr>
        <w:t>e</w:t>
      </w:r>
      <w:r w:rsidRPr="00D1219A">
        <w:rPr>
          <w:rFonts w:ascii="Arial" w:eastAsia="Arial" w:hAnsi="Arial" w:cs="Arial"/>
          <w:spacing w:val="1"/>
        </w:rPr>
        <w:t xml:space="preserve"> p</w:t>
      </w:r>
      <w:r w:rsidRPr="00D1219A">
        <w:rPr>
          <w:rFonts w:ascii="Arial" w:eastAsia="Arial" w:hAnsi="Arial" w:cs="Arial"/>
        </w:rPr>
        <w:t>r</w:t>
      </w:r>
      <w:r w:rsidRPr="00D1219A">
        <w:rPr>
          <w:rFonts w:ascii="Arial" w:eastAsia="Arial" w:hAnsi="Arial" w:cs="Arial"/>
          <w:spacing w:val="-2"/>
        </w:rPr>
        <w:t>e</w:t>
      </w:r>
      <w:r w:rsidRPr="00D1219A">
        <w:rPr>
          <w:rFonts w:ascii="Arial" w:eastAsia="Arial" w:hAnsi="Arial" w:cs="Arial"/>
        </w:rPr>
        <w:t>f</w:t>
      </w:r>
      <w:r w:rsidRPr="00D1219A">
        <w:rPr>
          <w:rFonts w:ascii="Arial" w:eastAsia="Arial" w:hAnsi="Arial" w:cs="Arial"/>
          <w:spacing w:val="1"/>
        </w:rPr>
        <w:t>e</w:t>
      </w:r>
      <w:r w:rsidRPr="00D1219A">
        <w:rPr>
          <w:rFonts w:ascii="Arial" w:eastAsia="Arial" w:hAnsi="Arial" w:cs="Arial"/>
        </w:rPr>
        <w:t>r</w:t>
      </w:r>
      <w:r w:rsidRPr="00D1219A">
        <w:rPr>
          <w:rFonts w:ascii="Arial" w:eastAsia="Arial" w:hAnsi="Arial" w:cs="Arial"/>
          <w:spacing w:val="-1"/>
        </w:rPr>
        <w:t>r</w:t>
      </w:r>
      <w:r w:rsidRPr="00D1219A">
        <w:rPr>
          <w:rFonts w:ascii="Arial" w:eastAsia="Arial" w:hAnsi="Arial" w:cs="Arial"/>
          <w:spacing w:val="1"/>
        </w:rPr>
        <w:t>e</w:t>
      </w:r>
      <w:r w:rsidRPr="00D1219A">
        <w:rPr>
          <w:rFonts w:ascii="Arial" w:eastAsia="Arial" w:hAnsi="Arial" w:cs="Arial"/>
        </w:rPr>
        <w:t>d</w:t>
      </w:r>
      <w:r w:rsidRPr="00D1219A">
        <w:rPr>
          <w:rFonts w:ascii="Arial" w:eastAsia="Arial" w:hAnsi="Arial" w:cs="Arial"/>
          <w:spacing w:val="-1"/>
        </w:rPr>
        <w:t xml:space="preserve"> </w:t>
      </w:r>
      <w:r w:rsidRPr="00D1219A">
        <w:rPr>
          <w:rFonts w:ascii="Arial" w:eastAsia="Arial" w:hAnsi="Arial" w:cs="Arial"/>
          <w:spacing w:val="1"/>
        </w:rPr>
        <w:t>a</w:t>
      </w:r>
      <w:r w:rsidRPr="00D1219A">
        <w:rPr>
          <w:rFonts w:ascii="Arial" w:eastAsia="Arial" w:hAnsi="Arial" w:cs="Arial"/>
          <w:spacing w:val="-1"/>
        </w:rPr>
        <w:t>p</w:t>
      </w:r>
      <w:r w:rsidRPr="00D1219A">
        <w:rPr>
          <w:rFonts w:ascii="Arial" w:eastAsia="Arial" w:hAnsi="Arial" w:cs="Arial"/>
          <w:spacing w:val="1"/>
        </w:rPr>
        <w:t>p</w:t>
      </w:r>
      <w:r w:rsidRPr="00D1219A">
        <w:rPr>
          <w:rFonts w:ascii="Arial" w:eastAsia="Arial" w:hAnsi="Arial" w:cs="Arial"/>
        </w:rPr>
        <w:t>ro</w:t>
      </w:r>
      <w:r w:rsidRPr="00D1219A">
        <w:rPr>
          <w:rFonts w:ascii="Arial" w:eastAsia="Arial" w:hAnsi="Arial" w:cs="Arial"/>
          <w:spacing w:val="1"/>
        </w:rPr>
        <w:t>a</w:t>
      </w:r>
      <w:r w:rsidRPr="00D1219A">
        <w:rPr>
          <w:rFonts w:ascii="Arial" w:eastAsia="Arial" w:hAnsi="Arial" w:cs="Arial"/>
        </w:rPr>
        <w:t>ch</w:t>
      </w:r>
      <w:r w:rsidRPr="00D1219A">
        <w:rPr>
          <w:rFonts w:ascii="Arial" w:eastAsia="Arial" w:hAnsi="Arial" w:cs="Arial"/>
          <w:spacing w:val="4"/>
        </w:rPr>
        <w:t xml:space="preserve"> </w:t>
      </w:r>
      <w:r w:rsidRPr="00D1219A">
        <w:rPr>
          <w:rFonts w:ascii="Arial" w:eastAsia="Arial" w:hAnsi="Arial" w:cs="Arial"/>
        </w:rPr>
        <w:t xml:space="preserve">if </w:t>
      </w:r>
      <w:r w:rsidRPr="00D1219A">
        <w:rPr>
          <w:rFonts w:ascii="Arial" w:eastAsia="Arial" w:hAnsi="Arial" w:cs="Arial"/>
          <w:spacing w:val="1"/>
        </w:rPr>
        <w:t>a</w:t>
      </w:r>
      <w:r w:rsidRPr="00D1219A">
        <w:rPr>
          <w:rFonts w:ascii="Arial" w:eastAsia="Arial" w:hAnsi="Arial" w:cs="Arial"/>
        </w:rPr>
        <w:t>n</w:t>
      </w:r>
      <w:r w:rsidRPr="00D1219A">
        <w:rPr>
          <w:rFonts w:ascii="Arial" w:eastAsia="Arial" w:hAnsi="Arial" w:cs="Arial"/>
          <w:spacing w:val="-1"/>
        </w:rPr>
        <w:t xml:space="preserve"> </w:t>
      </w:r>
      <w:r w:rsidRPr="00D1219A">
        <w:rPr>
          <w:rFonts w:ascii="Arial" w:eastAsia="Arial" w:hAnsi="Arial" w:cs="Arial"/>
          <w:spacing w:val="1"/>
        </w:rPr>
        <w:t>e</w:t>
      </w:r>
      <w:r w:rsidRPr="00D1219A">
        <w:rPr>
          <w:rFonts w:ascii="Arial" w:eastAsia="Arial" w:hAnsi="Arial" w:cs="Arial"/>
          <w:spacing w:val="-2"/>
        </w:rPr>
        <w:t>x</w:t>
      </w:r>
      <w:r w:rsidRPr="00D1219A">
        <w:rPr>
          <w:rFonts w:ascii="Arial" w:eastAsia="Arial" w:hAnsi="Arial" w:cs="Arial"/>
          <w:spacing w:val="1"/>
        </w:rPr>
        <w:t>pe</w:t>
      </w:r>
      <w:r w:rsidRPr="00D1219A">
        <w:rPr>
          <w:rFonts w:ascii="Arial" w:eastAsia="Arial" w:hAnsi="Arial" w:cs="Arial"/>
        </w:rPr>
        <w:t>r</w:t>
      </w:r>
      <w:r w:rsidRPr="00D1219A">
        <w:rPr>
          <w:rFonts w:ascii="Arial" w:eastAsia="Arial" w:hAnsi="Arial" w:cs="Arial"/>
          <w:spacing w:val="-1"/>
        </w:rPr>
        <w:t>i</w:t>
      </w:r>
      <w:r w:rsidRPr="00D1219A">
        <w:rPr>
          <w:rFonts w:ascii="Arial" w:eastAsia="Arial" w:hAnsi="Arial" w:cs="Arial"/>
          <w:spacing w:val="1"/>
        </w:rPr>
        <w:t>en</w:t>
      </w:r>
      <w:r w:rsidRPr="00D1219A">
        <w:rPr>
          <w:rFonts w:ascii="Arial" w:eastAsia="Arial" w:hAnsi="Arial" w:cs="Arial"/>
        </w:rPr>
        <w:t>c</w:t>
      </w:r>
      <w:r w:rsidRPr="00D1219A">
        <w:rPr>
          <w:rFonts w:ascii="Arial" w:eastAsia="Arial" w:hAnsi="Arial" w:cs="Arial"/>
          <w:spacing w:val="1"/>
        </w:rPr>
        <w:t>e</w:t>
      </w:r>
      <w:r w:rsidRPr="00D1219A">
        <w:rPr>
          <w:rFonts w:ascii="Arial" w:eastAsia="Arial" w:hAnsi="Arial" w:cs="Arial"/>
        </w:rPr>
        <w:t xml:space="preserve">d </w:t>
      </w:r>
      <w:r w:rsidRPr="00D1219A">
        <w:rPr>
          <w:rFonts w:ascii="Arial" w:eastAsia="Arial" w:hAnsi="Arial" w:cs="Arial"/>
          <w:spacing w:val="1"/>
        </w:rPr>
        <w:t>ped</w:t>
      </w:r>
      <w:r w:rsidRPr="00D1219A">
        <w:rPr>
          <w:rFonts w:ascii="Arial" w:eastAsia="Arial" w:hAnsi="Arial" w:cs="Arial"/>
        </w:rPr>
        <w:t>i</w:t>
      </w:r>
      <w:r w:rsidRPr="00D1219A">
        <w:rPr>
          <w:rFonts w:ascii="Arial" w:eastAsia="Arial" w:hAnsi="Arial" w:cs="Arial"/>
          <w:spacing w:val="-1"/>
        </w:rPr>
        <w:t>a</w:t>
      </w:r>
      <w:r w:rsidRPr="00D1219A">
        <w:rPr>
          <w:rFonts w:ascii="Arial" w:eastAsia="Arial" w:hAnsi="Arial" w:cs="Arial"/>
        </w:rPr>
        <w:t>tric sur</w:t>
      </w:r>
      <w:r w:rsidRPr="00D1219A">
        <w:rPr>
          <w:rFonts w:ascii="Arial" w:eastAsia="Arial" w:hAnsi="Arial" w:cs="Arial"/>
          <w:spacing w:val="-2"/>
        </w:rPr>
        <w:t>g</w:t>
      </w:r>
      <w:r w:rsidRPr="00D1219A">
        <w:rPr>
          <w:rFonts w:ascii="Arial" w:eastAsia="Arial" w:hAnsi="Arial" w:cs="Arial"/>
          <w:spacing w:val="1"/>
        </w:rPr>
        <w:t>eo</w:t>
      </w:r>
      <w:r w:rsidRPr="00D1219A">
        <w:rPr>
          <w:rFonts w:ascii="Arial" w:eastAsia="Arial" w:hAnsi="Arial" w:cs="Arial"/>
        </w:rPr>
        <w:t>n</w:t>
      </w:r>
      <w:r w:rsidRPr="00D1219A">
        <w:rPr>
          <w:rFonts w:ascii="Arial" w:eastAsia="Arial" w:hAnsi="Arial" w:cs="Arial"/>
          <w:spacing w:val="1"/>
        </w:rPr>
        <w:t xml:space="preserve"> </w:t>
      </w:r>
      <w:r w:rsidRPr="00D1219A">
        <w:rPr>
          <w:rFonts w:ascii="Arial" w:eastAsia="Arial" w:hAnsi="Arial" w:cs="Arial"/>
        </w:rPr>
        <w:t xml:space="preserve">is </w:t>
      </w:r>
      <w:r w:rsidRPr="00D1219A">
        <w:rPr>
          <w:rFonts w:ascii="Arial" w:eastAsia="Arial" w:hAnsi="Arial" w:cs="Arial"/>
          <w:spacing w:val="1"/>
        </w:rPr>
        <w:t>a</w:t>
      </w:r>
      <w:r w:rsidRPr="00D1219A">
        <w:rPr>
          <w:rFonts w:ascii="Arial" w:eastAsia="Arial" w:hAnsi="Arial" w:cs="Arial"/>
          <w:spacing w:val="-2"/>
        </w:rPr>
        <w:t>v</w:t>
      </w:r>
      <w:r w:rsidRPr="00D1219A">
        <w:rPr>
          <w:rFonts w:ascii="Arial" w:eastAsia="Arial" w:hAnsi="Arial" w:cs="Arial"/>
          <w:spacing w:val="1"/>
        </w:rPr>
        <w:t>a</w:t>
      </w:r>
      <w:r w:rsidRPr="00D1219A">
        <w:rPr>
          <w:rFonts w:ascii="Arial" w:eastAsia="Arial" w:hAnsi="Arial" w:cs="Arial"/>
        </w:rPr>
        <w:t>i</w:t>
      </w:r>
      <w:r w:rsidRPr="00D1219A">
        <w:rPr>
          <w:rFonts w:ascii="Arial" w:eastAsia="Arial" w:hAnsi="Arial" w:cs="Arial"/>
          <w:spacing w:val="-1"/>
        </w:rPr>
        <w:t>l</w:t>
      </w:r>
      <w:r w:rsidRPr="00D1219A">
        <w:rPr>
          <w:rFonts w:ascii="Arial" w:eastAsia="Arial" w:hAnsi="Arial" w:cs="Arial"/>
          <w:spacing w:val="1"/>
        </w:rPr>
        <w:t>ab</w:t>
      </w:r>
      <w:r w:rsidRPr="00D1219A">
        <w:rPr>
          <w:rFonts w:ascii="Arial" w:eastAsia="Arial" w:hAnsi="Arial" w:cs="Arial"/>
        </w:rPr>
        <w:t>l</w:t>
      </w:r>
      <w:r w:rsidRPr="00D1219A">
        <w:rPr>
          <w:rFonts w:ascii="Arial" w:eastAsia="Arial" w:hAnsi="Arial" w:cs="Arial"/>
          <w:spacing w:val="3"/>
        </w:rPr>
        <w:t>e</w:t>
      </w:r>
      <w:r w:rsidRPr="00D1219A">
        <w:rPr>
          <w:rFonts w:ascii="Arial" w:eastAsia="Arial" w:hAnsi="Arial" w:cs="Arial"/>
        </w:rPr>
        <w:t>.</w:t>
      </w:r>
      <w:r w:rsidRPr="00D1219A">
        <w:rPr>
          <w:rFonts w:ascii="Arial" w:eastAsia="Arial" w:hAnsi="Arial" w:cs="Arial"/>
          <w:spacing w:val="-1"/>
        </w:rPr>
        <w:t xml:space="preserve"> </w:t>
      </w:r>
      <w:r w:rsidRPr="00D1219A">
        <w:rPr>
          <w:rFonts w:ascii="Arial" w:eastAsia="Arial" w:hAnsi="Arial" w:cs="Arial"/>
        </w:rPr>
        <w:t>T</w:t>
      </w:r>
      <w:r w:rsidRPr="00D1219A">
        <w:rPr>
          <w:rFonts w:ascii="Arial" w:eastAsia="Arial" w:hAnsi="Arial" w:cs="Arial"/>
          <w:spacing w:val="1"/>
        </w:rPr>
        <w:t>h</w:t>
      </w:r>
      <w:r w:rsidRPr="00D1219A">
        <w:rPr>
          <w:rFonts w:ascii="Arial" w:eastAsia="Arial" w:hAnsi="Arial" w:cs="Arial"/>
        </w:rPr>
        <w:t>e</w:t>
      </w:r>
      <w:r w:rsidRPr="00D1219A">
        <w:rPr>
          <w:rFonts w:ascii="Arial" w:eastAsia="Arial" w:hAnsi="Arial" w:cs="Arial"/>
          <w:spacing w:val="1"/>
        </w:rPr>
        <w:t xml:space="preserve"> t</w:t>
      </w:r>
      <w:r w:rsidRPr="00D1219A">
        <w:rPr>
          <w:rFonts w:ascii="Arial" w:eastAsia="Arial" w:hAnsi="Arial" w:cs="Arial"/>
          <w:spacing w:val="-3"/>
        </w:rPr>
        <w:t>i</w:t>
      </w:r>
      <w:r w:rsidRPr="00D1219A">
        <w:rPr>
          <w:rFonts w:ascii="Arial" w:eastAsia="Arial" w:hAnsi="Arial" w:cs="Arial"/>
          <w:spacing w:val="1"/>
        </w:rPr>
        <w:t>m</w:t>
      </w:r>
      <w:r w:rsidRPr="00D1219A">
        <w:rPr>
          <w:rFonts w:ascii="Arial" w:eastAsia="Arial" w:hAnsi="Arial" w:cs="Arial"/>
        </w:rPr>
        <w:t>ing</w:t>
      </w:r>
      <w:r w:rsidRPr="00D1219A">
        <w:rPr>
          <w:rFonts w:ascii="Arial" w:eastAsia="Arial" w:hAnsi="Arial" w:cs="Arial"/>
          <w:spacing w:val="-1"/>
        </w:rPr>
        <w:t xml:space="preserve"> </w:t>
      </w:r>
      <w:r w:rsidRPr="00D1219A">
        <w:rPr>
          <w:rFonts w:ascii="Arial" w:eastAsia="Arial" w:hAnsi="Arial" w:cs="Arial"/>
          <w:spacing w:val="1"/>
        </w:rPr>
        <w:t>a</w:t>
      </w:r>
      <w:r w:rsidRPr="00D1219A">
        <w:rPr>
          <w:rFonts w:ascii="Arial" w:eastAsia="Arial" w:hAnsi="Arial" w:cs="Arial"/>
        </w:rPr>
        <w:t>t</w:t>
      </w:r>
      <w:r w:rsidRPr="00D1219A">
        <w:rPr>
          <w:rFonts w:ascii="Arial" w:eastAsia="Arial" w:hAnsi="Arial" w:cs="Arial"/>
          <w:spacing w:val="1"/>
        </w:rPr>
        <w:t xml:space="preserve"> </w:t>
      </w:r>
      <w:r w:rsidRPr="00D1219A">
        <w:rPr>
          <w:rFonts w:ascii="Arial" w:eastAsia="Arial" w:hAnsi="Arial" w:cs="Arial"/>
          <w:spacing w:val="-3"/>
        </w:rPr>
        <w:t>w</w:t>
      </w:r>
      <w:r w:rsidRPr="00D1219A">
        <w:rPr>
          <w:rFonts w:ascii="Arial" w:eastAsia="Arial" w:hAnsi="Arial" w:cs="Arial"/>
          <w:spacing w:val="1"/>
        </w:rPr>
        <w:t>h</w:t>
      </w:r>
      <w:r w:rsidRPr="00D1219A">
        <w:rPr>
          <w:rFonts w:ascii="Arial" w:eastAsia="Arial" w:hAnsi="Arial" w:cs="Arial"/>
        </w:rPr>
        <w:t>ich</w:t>
      </w:r>
      <w:r w:rsidRPr="00D1219A">
        <w:rPr>
          <w:rFonts w:ascii="Arial" w:eastAsia="Arial" w:hAnsi="Arial" w:cs="Arial"/>
          <w:spacing w:val="3"/>
        </w:rPr>
        <w:t xml:space="preserve"> </w:t>
      </w:r>
      <w:r w:rsidRPr="00D1219A">
        <w:rPr>
          <w:rFonts w:ascii="Arial" w:eastAsia="Arial" w:hAnsi="Arial" w:cs="Arial"/>
        </w:rPr>
        <w:t>t</w:t>
      </w:r>
      <w:r w:rsidRPr="00D1219A">
        <w:rPr>
          <w:rFonts w:ascii="Arial" w:eastAsia="Arial" w:hAnsi="Arial" w:cs="Arial"/>
          <w:spacing w:val="1"/>
        </w:rPr>
        <w:t>h</w:t>
      </w:r>
      <w:r w:rsidRPr="00D1219A">
        <w:rPr>
          <w:rFonts w:ascii="Arial" w:eastAsia="Arial" w:hAnsi="Arial" w:cs="Arial"/>
          <w:spacing w:val="-2"/>
        </w:rPr>
        <w:t>y</w:t>
      </w:r>
      <w:r w:rsidRPr="00D1219A">
        <w:rPr>
          <w:rFonts w:ascii="Arial" w:eastAsia="Arial" w:hAnsi="Arial" w:cs="Arial"/>
        </w:rPr>
        <w:t>roid</w:t>
      </w:r>
      <w:r w:rsidRPr="00D1219A">
        <w:rPr>
          <w:rFonts w:ascii="Arial" w:eastAsia="Arial" w:hAnsi="Arial" w:cs="Arial"/>
          <w:spacing w:val="1"/>
        </w:rPr>
        <w:t>e</w:t>
      </w:r>
      <w:r w:rsidRPr="00D1219A">
        <w:rPr>
          <w:rFonts w:ascii="Arial" w:eastAsia="Arial" w:hAnsi="Arial" w:cs="Arial"/>
        </w:rPr>
        <w:t>c</w:t>
      </w:r>
      <w:r w:rsidRPr="00D1219A">
        <w:rPr>
          <w:rFonts w:ascii="Arial" w:eastAsia="Arial" w:hAnsi="Arial" w:cs="Arial"/>
          <w:spacing w:val="-2"/>
        </w:rPr>
        <w:t>t</w:t>
      </w:r>
      <w:r w:rsidRPr="00D1219A">
        <w:rPr>
          <w:rFonts w:ascii="Arial" w:eastAsia="Arial" w:hAnsi="Arial" w:cs="Arial"/>
          <w:spacing w:val="1"/>
        </w:rPr>
        <w:t>om</w:t>
      </w:r>
      <w:r w:rsidRPr="00D1219A">
        <w:rPr>
          <w:rFonts w:ascii="Arial" w:eastAsia="Arial" w:hAnsi="Arial" w:cs="Arial"/>
        </w:rPr>
        <w:t>y c</w:t>
      </w:r>
      <w:r w:rsidRPr="00D1219A">
        <w:rPr>
          <w:rFonts w:ascii="Arial" w:eastAsia="Arial" w:hAnsi="Arial" w:cs="Arial"/>
          <w:spacing w:val="1"/>
        </w:rPr>
        <w:t>a</w:t>
      </w:r>
      <w:r w:rsidRPr="00D1219A">
        <w:rPr>
          <w:rFonts w:ascii="Arial" w:eastAsia="Arial" w:hAnsi="Arial" w:cs="Arial"/>
        </w:rPr>
        <w:t>n</w:t>
      </w:r>
      <w:r w:rsidRPr="00D1219A">
        <w:rPr>
          <w:rFonts w:ascii="Arial" w:eastAsia="Arial" w:hAnsi="Arial" w:cs="Arial"/>
          <w:spacing w:val="-1"/>
        </w:rPr>
        <w:t xml:space="preserve"> </w:t>
      </w:r>
      <w:r w:rsidRPr="00D1219A">
        <w:rPr>
          <w:rFonts w:ascii="Arial" w:eastAsia="Arial" w:hAnsi="Arial" w:cs="Arial"/>
          <w:spacing w:val="1"/>
        </w:rPr>
        <w:t>b</w:t>
      </w:r>
      <w:r w:rsidRPr="00D1219A">
        <w:rPr>
          <w:rFonts w:ascii="Arial" w:eastAsia="Arial" w:hAnsi="Arial" w:cs="Arial"/>
        </w:rPr>
        <w:t>e</w:t>
      </w:r>
      <w:r w:rsidRPr="00D1219A">
        <w:rPr>
          <w:rFonts w:ascii="Arial" w:eastAsia="Arial" w:hAnsi="Arial" w:cs="Arial"/>
          <w:spacing w:val="-1"/>
        </w:rPr>
        <w:t xml:space="preserve"> </w:t>
      </w:r>
      <w:r w:rsidRPr="00D1219A">
        <w:rPr>
          <w:rFonts w:ascii="Arial" w:eastAsia="Arial" w:hAnsi="Arial" w:cs="Arial"/>
          <w:spacing w:val="1"/>
        </w:rPr>
        <w:t>pe</w:t>
      </w:r>
      <w:r w:rsidRPr="00D1219A">
        <w:rPr>
          <w:rFonts w:ascii="Arial" w:eastAsia="Arial" w:hAnsi="Arial" w:cs="Arial"/>
          <w:spacing w:val="-3"/>
        </w:rPr>
        <w:t>r</w:t>
      </w:r>
      <w:r w:rsidRPr="00D1219A">
        <w:rPr>
          <w:rFonts w:ascii="Arial" w:eastAsia="Arial" w:hAnsi="Arial" w:cs="Arial"/>
          <w:spacing w:val="3"/>
        </w:rPr>
        <w:t>f</w:t>
      </w:r>
      <w:r w:rsidRPr="00D1219A">
        <w:rPr>
          <w:rFonts w:ascii="Arial" w:eastAsia="Arial" w:hAnsi="Arial" w:cs="Arial"/>
          <w:spacing w:val="1"/>
        </w:rPr>
        <w:t>o</w:t>
      </w:r>
      <w:r w:rsidRPr="00D1219A">
        <w:rPr>
          <w:rFonts w:ascii="Arial" w:eastAsia="Arial" w:hAnsi="Arial" w:cs="Arial"/>
          <w:spacing w:val="-3"/>
        </w:rPr>
        <w:t>r</w:t>
      </w:r>
      <w:r w:rsidRPr="00D1219A">
        <w:rPr>
          <w:rFonts w:ascii="Arial" w:eastAsia="Arial" w:hAnsi="Arial" w:cs="Arial"/>
          <w:spacing w:val="1"/>
        </w:rPr>
        <w:t>me</w:t>
      </w:r>
      <w:r w:rsidRPr="00D1219A">
        <w:rPr>
          <w:rFonts w:ascii="Arial" w:eastAsia="Arial" w:hAnsi="Arial" w:cs="Arial"/>
        </w:rPr>
        <w:t>d</w:t>
      </w:r>
      <w:r w:rsidRPr="00D1219A">
        <w:rPr>
          <w:rFonts w:ascii="Arial" w:eastAsia="Arial" w:hAnsi="Arial" w:cs="Arial"/>
          <w:spacing w:val="-1"/>
        </w:rPr>
        <w:t xml:space="preserve"> </w:t>
      </w:r>
      <w:r w:rsidRPr="00D1219A">
        <w:rPr>
          <w:rFonts w:ascii="Arial" w:eastAsia="Arial" w:hAnsi="Arial" w:cs="Arial"/>
          <w:spacing w:val="-2"/>
        </w:rPr>
        <w:t>w</w:t>
      </w:r>
      <w:r w:rsidRPr="00D1219A">
        <w:rPr>
          <w:rFonts w:ascii="Arial" w:eastAsia="Arial" w:hAnsi="Arial" w:cs="Arial"/>
        </w:rPr>
        <w:t>i</w:t>
      </w:r>
      <w:r w:rsidRPr="00D1219A">
        <w:rPr>
          <w:rFonts w:ascii="Arial" w:eastAsia="Arial" w:hAnsi="Arial" w:cs="Arial"/>
          <w:spacing w:val="-1"/>
        </w:rPr>
        <w:t>l</w:t>
      </w:r>
      <w:r w:rsidRPr="00D1219A">
        <w:rPr>
          <w:rFonts w:ascii="Arial" w:eastAsia="Arial" w:hAnsi="Arial" w:cs="Arial"/>
        </w:rPr>
        <w:t xml:space="preserve">l </w:t>
      </w:r>
      <w:r w:rsidRPr="00D1219A">
        <w:rPr>
          <w:rFonts w:ascii="Arial" w:eastAsia="Arial" w:hAnsi="Arial" w:cs="Arial"/>
          <w:spacing w:val="1"/>
        </w:rPr>
        <w:t>de</w:t>
      </w:r>
      <w:r w:rsidRPr="00D1219A">
        <w:rPr>
          <w:rFonts w:ascii="Arial" w:eastAsia="Arial" w:hAnsi="Arial" w:cs="Arial"/>
          <w:spacing w:val="-1"/>
        </w:rPr>
        <w:t>p</w:t>
      </w:r>
      <w:r w:rsidRPr="00D1219A">
        <w:rPr>
          <w:rFonts w:ascii="Arial" w:eastAsia="Arial" w:hAnsi="Arial" w:cs="Arial"/>
          <w:spacing w:val="1"/>
        </w:rPr>
        <w:t>en</w:t>
      </w:r>
      <w:r w:rsidRPr="00D1219A">
        <w:rPr>
          <w:rFonts w:ascii="Arial" w:eastAsia="Arial" w:hAnsi="Arial" w:cs="Arial"/>
        </w:rPr>
        <w:t>d</w:t>
      </w:r>
      <w:r w:rsidRPr="00D1219A">
        <w:rPr>
          <w:rFonts w:ascii="Arial" w:eastAsia="Arial" w:hAnsi="Arial" w:cs="Arial"/>
          <w:spacing w:val="-1"/>
        </w:rPr>
        <w:t xml:space="preserve"> </w:t>
      </w:r>
      <w:r w:rsidRPr="00D1219A">
        <w:rPr>
          <w:rFonts w:ascii="Arial" w:eastAsia="Arial" w:hAnsi="Arial" w:cs="Arial"/>
          <w:spacing w:val="1"/>
        </w:rPr>
        <w:t>o</w:t>
      </w:r>
      <w:r w:rsidRPr="00D1219A">
        <w:rPr>
          <w:rFonts w:ascii="Arial" w:eastAsia="Arial" w:hAnsi="Arial" w:cs="Arial"/>
        </w:rPr>
        <w:t>n</w:t>
      </w:r>
      <w:r w:rsidRPr="00D1219A">
        <w:rPr>
          <w:rFonts w:ascii="Arial" w:eastAsia="Arial" w:hAnsi="Arial" w:cs="Arial"/>
          <w:spacing w:val="1"/>
        </w:rPr>
        <w:t xml:space="preserve"> </w:t>
      </w:r>
      <w:r w:rsidRPr="00D1219A">
        <w:rPr>
          <w:rFonts w:ascii="Arial" w:eastAsia="Arial" w:hAnsi="Arial" w:cs="Arial"/>
          <w:spacing w:val="-2"/>
        </w:rPr>
        <w:t>i</w:t>
      </w:r>
      <w:r w:rsidRPr="00D1219A">
        <w:rPr>
          <w:rFonts w:ascii="Arial" w:eastAsia="Arial" w:hAnsi="Arial" w:cs="Arial"/>
          <w:spacing w:val="1"/>
        </w:rPr>
        <w:t>n</w:t>
      </w:r>
      <w:r w:rsidRPr="00D1219A">
        <w:rPr>
          <w:rFonts w:ascii="Arial" w:eastAsia="Arial" w:hAnsi="Arial" w:cs="Arial"/>
        </w:rPr>
        <w:t>stit</w:t>
      </w:r>
      <w:r w:rsidRPr="00D1219A">
        <w:rPr>
          <w:rFonts w:ascii="Arial" w:eastAsia="Arial" w:hAnsi="Arial" w:cs="Arial"/>
          <w:spacing w:val="1"/>
        </w:rPr>
        <w:t>u</w:t>
      </w:r>
      <w:r w:rsidRPr="00D1219A">
        <w:rPr>
          <w:rFonts w:ascii="Arial" w:eastAsia="Arial" w:hAnsi="Arial" w:cs="Arial"/>
        </w:rPr>
        <w:t>t</w:t>
      </w:r>
      <w:r w:rsidRPr="00D1219A">
        <w:rPr>
          <w:rFonts w:ascii="Arial" w:eastAsia="Arial" w:hAnsi="Arial" w:cs="Arial"/>
          <w:spacing w:val="-2"/>
        </w:rPr>
        <w:t>i</w:t>
      </w:r>
      <w:r w:rsidRPr="00D1219A">
        <w:rPr>
          <w:rFonts w:ascii="Arial" w:eastAsia="Arial" w:hAnsi="Arial" w:cs="Arial"/>
          <w:spacing w:val="1"/>
        </w:rPr>
        <w:t>ona</w:t>
      </w:r>
      <w:r w:rsidRPr="00D1219A">
        <w:rPr>
          <w:rFonts w:ascii="Arial" w:eastAsia="Arial" w:hAnsi="Arial" w:cs="Arial"/>
        </w:rPr>
        <w:t>l</w:t>
      </w:r>
      <w:r w:rsidRPr="00D1219A">
        <w:rPr>
          <w:rFonts w:ascii="Arial" w:eastAsia="Arial" w:hAnsi="Arial" w:cs="Arial"/>
          <w:spacing w:val="-3"/>
        </w:rPr>
        <w:t xml:space="preserve"> </w:t>
      </w:r>
      <w:r w:rsidRPr="00D1219A">
        <w:rPr>
          <w:rFonts w:ascii="Arial" w:eastAsia="Arial" w:hAnsi="Arial" w:cs="Arial"/>
          <w:spacing w:val="1"/>
        </w:rPr>
        <w:t>p</w:t>
      </w:r>
      <w:r w:rsidRPr="00D1219A">
        <w:rPr>
          <w:rFonts w:ascii="Arial" w:eastAsia="Arial" w:hAnsi="Arial" w:cs="Arial"/>
        </w:rPr>
        <w:t>r</w:t>
      </w:r>
      <w:r w:rsidRPr="00D1219A">
        <w:rPr>
          <w:rFonts w:ascii="Arial" w:eastAsia="Arial" w:hAnsi="Arial" w:cs="Arial"/>
          <w:spacing w:val="-2"/>
        </w:rPr>
        <w:t>e</w:t>
      </w:r>
      <w:r w:rsidRPr="00D1219A">
        <w:rPr>
          <w:rFonts w:ascii="Arial" w:eastAsia="Arial" w:hAnsi="Arial" w:cs="Arial"/>
          <w:spacing w:val="3"/>
        </w:rPr>
        <w:t>f</w:t>
      </w:r>
      <w:r w:rsidRPr="00D1219A">
        <w:rPr>
          <w:rFonts w:ascii="Arial" w:eastAsia="Arial" w:hAnsi="Arial" w:cs="Arial"/>
          <w:spacing w:val="1"/>
        </w:rPr>
        <w:t>e</w:t>
      </w:r>
      <w:r w:rsidRPr="00D1219A">
        <w:rPr>
          <w:rFonts w:ascii="Arial" w:eastAsia="Arial" w:hAnsi="Arial" w:cs="Arial"/>
        </w:rPr>
        <w:t>r</w:t>
      </w:r>
      <w:r w:rsidRPr="00D1219A">
        <w:rPr>
          <w:rFonts w:ascii="Arial" w:eastAsia="Arial" w:hAnsi="Arial" w:cs="Arial"/>
          <w:spacing w:val="-2"/>
        </w:rPr>
        <w:t>e</w:t>
      </w:r>
      <w:r w:rsidRPr="00D1219A">
        <w:rPr>
          <w:rFonts w:ascii="Arial" w:eastAsia="Arial" w:hAnsi="Arial" w:cs="Arial"/>
          <w:spacing w:val="1"/>
        </w:rPr>
        <w:t>n</w:t>
      </w:r>
      <w:r w:rsidRPr="00D1219A">
        <w:rPr>
          <w:rFonts w:ascii="Arial" w:eastAsia="Arial" w:hAnsi="Arial" w:cs="Arial"/>
        </w:rPr>
        <w:t>c</w:t>
      </w:r>
      <w:r w:rsidRPr="00D1219A">
        <w:rPr>
          <w:rFonts w:ascii="Arial" w:eastAsia="Arial" w:hAnsi="Arial" w:cs="Arial"/>
          <w:spacing w:val="1"/>
        </w:rPr>
        <w:t>e</w:t>
      </w:r>
      <w:r w:rsidRPr="00D1219A">
        <w:rPr>
          <w:rFonts w:ascii="Arial" w:eastAsia="Arial" w:hAnsi="Arial" w:cs="Arial"/>
        </w:rPr>
        <w:t xml:space="preserve">. </w:t>
      </w:r>
      <w:r w:rsidRPr="00D1219A">
        <w:rPr>
          <w:rFonts w:ascii="Arial" w:eastAsia="Arial" w:hAnsi="Arial" w:cs="Arial"/>
          <w:spacing w:val="4"/>
        </w:rPr>
        <w:t xml:space="preserve"> </w:t>
      </w:r>
      <w:r w:rsidRPr="00D1219A">
        <w:rPr>
          <w:rFonts w:ascii="Arial" w:eastAsia="Arial" w:hAnsi="Arial" w:cs="Arial"/>
          <w:spacing w:val="-2"/>
        </w:rPr>
        <w:t>I</w:t>
      </w:r>
      <w:r w:rsidRPr="00D1219A">
        <w:rPr>
          <w:rFonts w:ascii="Arial" w:eastAsia="Arial" w:hAnsi="Arial" w:cs="Arial"/>
        </w:rPr>
        <w:t>f</w:t>
      </w:r>
      <w:r w:rsidRPr="00D1219A">
        <w:rPr>
          <w:rFonts w:ascii="Arial" w:eastAsia="Arial" w:hAnsi="Arial" w:cs="Arial"/>
          <w:spacing w:val="1"/>
        </w:rPr>
        <w:t xml:space="preserve"> </w:t>
      </w:r>
      <w:r w:rsidRPr="00D1219A">
        <w:rPr>
          <w:rFonts w:ascii="Arial" w:eastAsia="Arial" w:hAnsi="Arial" w:cs="Arial"/>
        </w:rPr>
        <w:t>t</w:t>
      </w:r>
      <w:r w:rsidRPr="00D1219A">
        <w:rPr>
          <w:rFonts w:ascii="Arial" w:eastAsia="Arial" w:hAnsi="Arial" w:cs="Arial"/>
          <w:spacing w:val="1"/>
        </w:rPr>
        <w:t>h</w:t>
      </w:r>
      <w:r w:rsidRPr="00D1219A">
        <w:rPr>
          <w:rFonts w:ascii="Arial" w:eastAsia="Arial" w:hAnsi="Arial" w:cs="Arial"/>
        </w:rPr>
        <w:t xml:space="preserve">is is </w:t>
      </w:r>
      <w:r w:rsidRPr="00D1219A">
        <w:rPr>
          <w:rFonts w:ascii="Arial" w:eastAsia="Arial" w:hAnsi="Arial" w:cs="Arial"/>
          <w:spacing w:val="-1"/>
        </w:rPr>
        <w:t>n</w:t>
      </w:r>
      <w:r w:rsidRPr="00D1219A">
        <w:rPr>
          <w:rFonts w:ascii="Arial" w:eastAsia="Arial" w:hAnsi="Arial" w:cs="Arial"/>
          <w:spacing w:val="1"/>
        </w:rPr>
        <w:t>o</w:t>
      </w:r>
      <w:r w:rsidRPr="00D1219A">
        <w:rPr>
          <w:rFonts w:ascii="Arial" w:eastAsia="Arial" w:hAnsi="Arial" w:cs="Arial"/>
        </w:rPr>
        <w:t>t</w:t>
      </w:r>
      <w:r w:rsidRPr="00D1219A">
        <w:rPr>
          <w:rFonts w:ascii="Arial" w:eastAsia="Arial" w:hAnsi="Arial" w:cs="Arial"/>
          <w:spacing w:val="-1"/>
        </w:rPr>
        <w:t xml:space="preserve"> </w:t>
      </w:r>
      <w:r w:rsidRPr="00D1219A">
        <w:rPr>
          <w:rFonts w:ascii="Arial" w:eastAsia="Arial" w:hAnsi="Arial" w:cs="Arial"/>
          <w:spacing w:val="3"/>
        </w:rPr>
        <w:t>f</w:t>
      </w:r>
      <w:r w:rsidRPr="00D1219A">
        <w:rPr>
          <w:rFonts w:ascii="Arial" w:eastAsia="Arial" w:hAnsi="Arial" w:cs="Arial"/>
          <w:spacing w:val="-1"/>
        </w:rPr>
        <w:t>e</w:t>
      </w:r>
      <w:r w:rsidRPr="00D1219A">
        <w:rPr>
          <w:rFonts w:ascii="Arial" w:eastAsia="Arial" w:hAnsi="Arial" w:cs="Arial"/>
          <w:spacing w:val="1"/>
        </w:rPr>
        <w:t>a</w:t>
      </w:r>
      <w:r w:rsidRPr="00D1219A">
        <w:rPr>
          <w:rFonts w:ascii="Arial" w:eastAsia="Arial" w:hAnsi="Arial" w:cs="Arial"/>
        </w:rPr>
        <w:t>sibl</w:t>
      </w:r>
      <w:r w:rsidRPr="00D1219A">
        <w:rPr>
          <w:rFonts w:ascii="Arial" w:eastAsia="Arial" w:hAnsi="Arial" w:cs="Arial"/>
          <w:spacing w:val="1"/>
        </w:rPr>
        <w:t>e</w:t>
      </w:r>
      <w:r w:rsidRPr="00D1219A">
        <w:rPr>
          <w:rFonts w:ascii="Arial" w:eastAsia="Arial" w:hAnsi="Arial" w:cs="Arial"/>
        </w:rPr>
        <w:t>,</w:t>
      </w:r>
      <w:r w:rsidRPr="00D1219A">
        <w:rPr>
          <w:rFonts w:ascii="Arial" w:eastAsia="Arial" w:hAnsi="Arial" w:cs="Arial"/>
          <w:spacing w:val="-2"/>
        </w:rPr>
        <w:t xml:space="preserve"> </w:t>
      </w:r>
      <w:r w:rsidRPr="00D1219A">
        <w:rPr>
          <w:rFonts w:ascii="Arial" w:eastAsia="Arial" w:hAnsi="Arial" w:cs="Arial"/>
          <w:spacing w:val="1"/>
        </w:rPr>
        <w:t>t</w:t>
      </w:r>
      <w:r w:rsidRPr="00D1219A">
        <w:rPr>
          <w:rFonts w:ascii="Arial" w:eastAsia="Arial" w:hAnsi="Arial" w:cs="Arial"/>
          <w:spacing w:val="-1"/>
        </w:rPr>
        <w:t>h</w:t>
      </w:r>
      <w:r w:rsidRPr="00D1219A">
        <w:rPr>
          <w:rFonts w:ascii="Arial" w:eastAsia="Arial" w:hAnsi="Arial" w:cs="Arial"/>
          <w:spacing w:val="1"/>
        </w:rPr>
        <w:t>e</w:t>
      </w:r>
      <w:r w:rsidRPr="00D1219A">
        <w:rPr>
          <w:rFonts w:ascii="Arial" w:eastAsia="Arial" w:hAnsi="Arial" w:cs="Arial"/>
        </w:rPr>
        <w:t>n</w:t>
      </w:r>
      <w:r w:rsidRPr="00D1219A">
        <w:rPr>
          <w:rFonts w:ascii="Arial" w:eastAsia="Arial" w:hAnsi="Arial" w:cs="Arial"/>
          <w:spacing w:val="4"/>
        </w:rPr>
        <w:t xml:space="preserve"> </w:t>
      </w:r>
      <w:r w:rsidRPr="00D1219A">
        <w:rPr>
          <w:rFonts w:ascii="Arial" w:eastAsia="Arial" w:hAnsi="Arial" w:cs="Arial"/>
        </w:rPr>
        <w:t>r</w:t>
      </w:r>
      <w:r w:rsidRPr="00D1219A">
        <w:rPr>
          <w:rFonts w:ascii="Arial" w:eastAsia="Arial" w:hAnsi="Arial" w:cs="Arial"/>
          <w:spacing w:val="-2"/>
        </w:rPr>
        <w:t>a</w:t>
      </w:r>
      <w:r w:rsidRPr="00D1219A">
        <w:rPr>
          <w:rFonts w:ascii="Arial" w:eastAsia="Arial" w:hAnsi="Arial" w:cs="Arial"/>
          <w:spacing w:val="1"/>
        </w:rPr>
        <w:t>d</w:t>
      </w:r>
      <w:r w:rsidRPr="00D1219A">
        <w:rPr>
          <w:rFonts w:ascii="Arial" w:eastAsia="Arial" w:hAnsi="Arial" w:cs="Arial"/>
        </w:rPr>
        <w:t>io</w:t>
      </w:r>
      <w:r w:rsidRPr="00D1219A">
        <w:rPr>
          <w:rFonts w:ascii="Arial" w:eastAsia="Arial" w:hAnsi="Arial" w:cs="Arial"/>
          <w:spacing w:val="-1"/>
        </w:rPr>
        <w:t>a</w:t>
      </w:r>
      <w:r w:rsidRPr="00D1219A">
        <w:rPr>
          <w:rFonts w:ascii="Arial" w:eastAsia="Arial" w:hAnsi="Arial" w:cs="Arial"/>
          <w:spacing w:val="1"/>
        </w:rPr>
        <w:t>b</w:t>
      </w:r>
      <w:r w:rsidRPr="00D1219A">
        <w:rPr>
          <w:rFonts w:ascii="Arial" w:eastAsia="Arial" w:hAnsi="Arial" w:cs="Arial"/>
        </w:rPr>
        <w:t>la</w:t>
      </w:r>
      <w:r w:rsidRPr="00D1219A">
        <w:rPr>
          <w:rFonts w:ascii="Arial" w:eastAsia="Arial" w:hAnsi="Arial" w:cs="Arial"/>
          <w:spacing w:val="1"/>
        </w:rPr>
        <w:t>t</w:t>
      </w:r>
      <w:r w:rsidRPr="00D1219A">
        <w:rPr>
          <w:rFonts w:ascii="Arial" w:eastAsia="Arial" w:hAnsi="Arial" w:cs="Arial"/>
        </w:rPr>
        <w:t xml:space="preserve">ion </w:t>
      </w:r>
      <w:r w:rsidRPr="00D1219A">
        <w:rPr>
          <w:rFonts w:ascii="Arial" w:eastAsia="Arial" w:hAnsi="Arial" w:cs="Arial"/>
          <w:spacing w:val="-1"/>
        </w:rPr>
        <w:t>m</w:t>
      </w:r>
      <w:r w:rsidRPr="00D1219A">
        <w:rPr>
          <w:rFonts w:ascii="Arial" w:eastAsia="Arial" w:hAnsi="Arial" w:cs="Arial"/>
          <w:spacing w:val="1"/>
        </w:rPr>
        <w:t>a</w:t>
      </w:r>
      <w:r w:rsidRPr="00D1219A">
        <w:rPr>
          <w:rFonts w:ascii="Arial" w:eastAsia="Arial" w:hAnsi="Arial" w:cs="Arial"/>
        </w:rPr>
        <w:t>y</w:t>
      </w:r>
      <w:r w:rsidRPr="00D1219A">
        <w:rPr>
          <w:rFonts w:ascii="Arial" w:eastAsia="Arial" w:hAnsi="Arial" w:cs="Arial"/>
          <w:spacing w:val="-2"/>
        </w:rPr>
        <w:t xml:space="preserve"> </w:t>
      </w:r>
      <w:r w:rsidRPr="00D1219A">
        <w:rPr>
          <w:rFonts w:ascii="Arial" w:eastAsia="Arial" w:hAnsi="Arial" w:cs="Arial"/>
          <w:spacing w:val="1"/>
        </w:rPr>
        <w:t>b</w:t>
      </w:r>
      <w:r w:rsidRPr="00D1219A">
        <w:rPr>
          <w:rFonts w:ascii="Arial" w:eastAsia="Arial" w:hAnsi="Arial" w:cs="Arial"/>
        </w:rPr>
        <w:t xml:space="preserve">e </w:t>
      </w:r>
      <w:r w:rsidRPr="00D1219A">
        <w:rPr>
          <w:rFonts w:ascii="Arial" w:eastAsia="Arial" w:hAnsi="Arial" w:cs="Arial"/>
          <w:spacing w:val="1"/>
        </w:rPr>
        <w:t>ne</w:t>
      </w:r>
      <w:r w:rsidRPr="00D1219A">
        <w:rPr>
          <w:rFonts w:ascii="Arial" w:eastAsia="Arial" w:hAnsi="Arial" w:cs="Arial"/>
        </w:rPr>
        <w:t>c</w:t>
      </w:r>
      <w:r w:rsidRPr="00D1219A">
        <w:rPr>
          <w:rFonts w:ascii="Arial" w:eastAsia="Arial" w:hAnsi="Arial" w:cs="Arial"/>
          <w:spacing w:val="1"/>
        </w:rPr>
        <w:t>e</w:t>
      </w:r>
      <w:r w:rsidRPr="00D1219A">
        <w:rPr>
          <w:rFonts w:ascii="Arial" w:eastAsia="Arial" w:hAnsi="Arial" w:cs="Arial"/>
        </w:rPr>
        <w:t>s</w:t>
      </w:r>
      <w:r w:rsidRPr="00D1219A">
        <w:rPr>
          <w:rFonts w:ascii="Arial" w:eastAsia="Arial" w:hAnsi="Arial" w:cs="Arial"/>
          <w:spacing w:val="-2"/>
        </w:rPr>
        <w:t>s</w:t>
      </w:r>
      <w:r w:rsidRPr="00D1219A">
        <w:rPr>
          <w:rFonts w:ascii="Arial" w:eastAsia="Arial" w:hAnsi="Arial" w:cs="Arial"/>
          <w:spacing w:val="1"/>
        </w:rPr>
        <w:t>a</w:t>
      </w:r>
      <w:r w:rsidRPr="00D1219A">
        <w:rPr>
          <w:rFonts w:ascii="Arial" w:eastAsia="Arial" w:hAnsi="Arial" w:cs="Arial"/>
        </w:rPr>
        <w:t>r</w:t>
      </w:r>
      <w:r w:rsidRPr="00D1219A">
        <w:rPr>
          <w:rFonts w:ascii="Arial" w:eastAsia="Arial" w:hAnsi="Arial" w:cs="Arial"/>
          <w:spacing w:val="-2"/>
        </w:rPr>
        <w:t>y</w:t>
      </w:r>
      <w:r w:rsidRPr="00D1219A">
        <w:rPr>
          <w:rFonts w:ascii="Arial" w:eastAsia="Arial" w:hAnsi="Arial" w:cs="Arial"/>
        </w:rPr>
        <w:t>.</w:t>
      </w:r>
      <w:r w:rsidR="0000649F" w:rsidRPr="00D1219A">
        <w:rPr>
          <w:rFonts w:ascii="Arial" w:eastAsia="Arial" w:hAnsi="Arial" w:cs="Arial"/>
        </w:rPr>
        <w:t xml:space="preserve"> </w:t>
      </w:r>
      <w:r w:rsidR="0000649F" w:rsidRPr="00D1219A">
        <w:rPr>
          <w:rFonts w:ascii="Arial" w:hAnsi="Arial" w:cs="Arial"/>
        </w:rPr>
        <w:t>Guidelines about this rare condition have recently been published.</w:t>
      </w:r>
      <w:r w:rsidR="0000649F" w:rsidRPr="00D1219A">
        <w:rPr>
          <w:rFonts w:ascii="Arial" w:eastAsia="Arial" w:hAnsi="Arial" w:cs="Arial"/>
          <w:spacing w:val="2"/>
        </w:rPr>
        <w:t xml:space="preserve"> </w:t>
      </w:r>
    </w:p>
    <w:p w14:paraId="01A8124D" w14:textId="77777777" w:rsidR="00B945CF" w:rsidRPr="00D1219A" w:rsidRDefault="00B945CF" w:rsidP="00D1219A">
      <w:pPr>
        <w:spacing w:after="0"/>
        <w:rPr>
          <w:rFonts w:ascii="Arial" w:eastAsia="Arial" w:hAnsi="Arial" w:cs="Arial"/>
          <w:spacing w:val="2"/>
        </w:rPr>
      </w:pPr>
    </w:p>
    <w:p w14:paraId="70E0B3E8" w14:textId="4DE05604" w:rsidR="00D03D01" w:rsidRPr="00D1219A" w:rsidRDefault="00D03D01" w:rsidP="00D1219A">
      <w:pPr>
        <w:widowControl/>
        <w:autoSpaceDE w:val="0"/>
        <w:autoSpaceDN w:val="0"/>
        <w:adjustRightInd w:val="0"/>
        <w:spacing w:after="0"/>
        <w:rPr>
          <w:rFonts w:ascii="Arial" w:hAnsi="Arial" w:cs="Arial"/>
          <w:b/>
          <w:bCs/>
        </w:rPr>
      </w:pPr>
      <w:r w:rsidRPr="00D1219A">
        <w:rPr>
          <w:rFonts w:ascii="Arial" w:hAnsi="Arial" w:cs="Arial"/>
          <w:b/>
          <w:bCs/>
        </w:rPr>
        <w:t>M</w:t>
      </w:r>
      <w:r w:rsidR="00B945CF">
        <w:rPr>
          <w:rFonts w:ascii="Arial" w:hAnsi="Arial" w:cs="Arial"/>
          <w:b/>
          <w:bCs/>
        </w:rPr>
        <w:t>CCUNE ALBRIGHT SYNDROME</w:t>
      </w:r>
    </w:p>
    <w:p w14:paraId="5DD565F5" w14:textId="77777777" w:rsidR="00B945CF" w:rsidRDefault="00B945CF" w:rsidP="00D1219A">
      <w:pPr>
        <w:widowControl/>
        <w:autoSpaceDE w:val="0"/>
        <w:autoSpaceDN w:val="0"/>
        <w:adjustRightInd w:val="0"/>
        <w:spacing w:after="0"/>
        <w:rPr>
          <w:rFonts w:ascii="Arial" w:hAnsi="Arial" w:cs="Arial"/>
        </w:rPr>
      </w:pPr>
    </w:p>
    <w:p w14:paraId="7762BDB2" w14:textId="3EE98F7D" w:rsidR="00D03D01" w:rsidRPr="00D1219A" w:rsidRDefault="00D03D01" w:rsidP="00D1219A">
      <w:pPr>
        <w:widowControl/>
        <w:autoSpaceDE w:val="0"/>
        <w:autoSpaceDN w:val="0"/>
        <w:adjustRightInd w:val="0"/>
        <w:spacing w:after="0"/>
        <w:rPr>
          <w:rFonts w:ascii="Arial" w:hAnsi="Arial" w:cs="Arial"/>
          <w:color w:val="548DD4" w:themeColor="text2" w:themeTint="99"/>
        </w:rPr>
      </w:pPr>
      <w:r w:rsidRPr="00D1219A">
        <w:rPr>
          <w:rFonts w:ascii="Arial" w:hAnsi="Arial" w:cs="Arial"/>
        </w:rPr>
        <w:t>McCune Albright is a syndrome due to somatic activating mutations in Gs</w:t>
      </w:r>
      <w:r w:rsidRPr="00D1219A">
        <w:rPr>
          <w:rFonts w:ascii="Arial" w:hAnsi="Arial" w:cs="Arial"/>
          <w:lang w:val="it-IT"/>
        </w:rPr>
        <w:t>α</w:t>
      </w:r>
      <w:r w:rsidRPr="00D1219A">
        <w:rPr>
          <w:rFonts w:ascii="Arial" w:hAnsi="Arial" w:cs="Arial"/>
        </w:rPr>
        <w:t xml:space="preserve"> gene</w:t>
      </w:r>
      <w:r w:rsidR="00B945CF">
        <w:rPr>
          <w:rFonts w:ascii="Arial" w:hAnsi="Arial" w:cs="Arial"/>
        </w:rPr>
        <w:t xml:space="preserve"> and</w:t>
      </w:r>
      <w:r w:rsidRPr="00D1219A">
        <w:rPr>
          <w:rFonts w:ascii="Arial" w:hAnsi="Arial" w:cs="Arial"/>
        </w:rPr>
        <w:t xml:space="preserve"> can rarely</w:t>
      </w:r>
      <w:r w:rsidR="00B26AA1" w:rsidRPr="00D1219A">
        <w:rPr>
          <w:rFonts w:ascii="Arial" w:hAnsi="Arial" w:cs="Arial"/>
        </w:rPr>
        <w:t xml:space="preserve"> </w:t>
      </w:r>
      <w:r w:rsidRPr="00D1219A">
        <w:rPr>
          <w:rFonts w:ascii="Arial" w:hAnsi="Arial" w:cs="Arial"/>
        </w:rPr>
        <w:t>present with neonatal hyperthyroidism</w:t>
      </w:r>
      <w:r w:rsidRPr="00D1219A">
        <w:rPr>
          <w:rFonts w:ascii="Arial" w:hAnsi="Arial" w:cs="Arial"/>
          <w:color w:val="548DD4" w:themeColor="text2" w:themeTint="99"/>
        </w:rPr>
        <w:t>.</w:t>
      </w:r>
    </w:p>
    <w:p w14:paraId="1BF52693" w14:textId="26D59E9C" w:rsidR="00D1219A" w:rsidRPr="00D1219A" w:rsidRDefault="00D1219A" w:rsidP="00D1219A">
      <w:pPr>
        <w:widowControl/>
        <w:autoSpaceDE w:val="0"/>
        <w:autoSpaceDN w:val="0"/>
        <w:adjustRightInd w:val="0"/>
        <w:spacing w:after="0"/>
        <w:rPr>
          <w:rFonts w:ascii="Arial" w:hAnsi="Arial" w:cs="Arial"/>
          <w:color w:val="548DD4" w:themeColor="text2" w:themeTint="99"/>
        </w:rPr>
      </w:pPr>
    </w:p>
    <w:p w14:paraId="562047DC" w14:textId="77777777" w:rsidR="0031564E" w:rsidRPr="0031564E" w:rsidRDefault="0031564E" w:rsidP="00D1219A">
      <w:pPr>
        <w:widowControl/>
        <w:autoSpaceDE w:val="0"/>
        <w:autoSpaceDN w:val="0"/>
        <w:adjustRightInd w:val="0"/>
        <w:spacing w:after="0"/>
        <w:rPr>
          <w:rFonts w:ascii="Arial" w:hAnsi="Arial" w:cs="Arial"/>
          <w:b/>
        </w:rPr>
      </w:pPr>
      <w:r w:rsidRPr="0031564E">
        <w:rPr>
          <w:rFonts w:ascii="Arial" w:hAnsi="Arial" w:cs="Arial"/>
          <w:b/>
        </w:rPr>
        <w:t>ACKNOWLEDGEMENTS</w:t>
      </w:r>
    </w:p>
    <w:p w14:paraId="34D6F3AB" w14:textId="77777777" w:rsidR="0031564E" w:rsidRDefault="0031564E" w:rsidP="00D1219A">
      <w:pPr>
        <w:widowControl/>
        <w:autoSpaceDE w:val="0"/>
        <w:autoSpaceDN w:val="0"/>
        <w:adjustRightInd w:val="0"/>
        <w:spacing w:after="0"/>
        <w:rPr>
          <w:rFonts w:ascii="Arial" w:hAnsi="Arial" w:cs="Arial"/>
        </w:rPr>
      </w:pPr>
    </w:p>
    <w:p w14:paraId="6C328BE7" w14:textId="2F719E69" w:rsidR="00D1219A" w:rsidRDefault="00D1219A" w:rsidP="00D1219A">
      <w:pPr>
        <w:widowControl/>
        <w:autoSpaceDE w:val="0"/>
        <w:autoSpaceDN w:val="0"/>
        <w:adjustRightInd w:val="0"/>
        <w:spacing w:after="0"/>
        <w:rPr>
          <w:rFonts w:ascii="Arial" w:hAnsi="Arial" w:cs="Arial"/>
        </w:rPr>
      </w:pPr>
      <w:r w:rsidRPr="00D1219A">
        <w:rPr>
          <w:rFonts w:ascii="Arial" w:hAnsi="Arial" w:cs="Arial"/>
        </w:rPr>
        <w:t>This chapter is, in part, based on the previous version written by Prof</w:t>
      </w:r>
      <w:r w:rsidRPr="00D1219A">
        <w:rPr>
          <w:rFonts w:ascii="Arial" w:hAnsi="Arial" w:cs="Arial"/>
        </w:rPr>
        <w:t>essor</w:t>
      </w:r>
      <w:r w:rsidRPr="00D1219A">
        <w:rPr>
          <w:rFonts w:ascii="Arial" w:hAnsi="Arial" w:cs="Arial"/>
        </w:rPr>
        <w:t xml:space="preserve"> Rosalind Brown.</w:t>
      </w:r>
    </w:p>
    <w:p w14:paraId="273AD81C" w14:textId="17817241" w:rsidR="00B945CF" w:rsidRDefault="00B945CF" w:rsidP="00D1219A">
      <w:pPr>
        <w:widowControl/>
        <w:autoSpaceDE w:val="0"/>
        <w:autoSpaceDN w:val="0"/>
        <w:adjustRightInd w:val="0"/>
        <w:spacing w:after="0"/>
        <w:rPr>
          <w:rFonts w:ascii="Arial" w:hAnsi="Arial" w:cs="Arial"/>
        </w:rPr>
      </w:pPr>
    </w:p>
    <w:p w14:paraId="5C08F769" w14:textId="50C58FEA" w:rsidR="00B945CF" w:rsidRDefault="00B945CF" w:rsidP="00D1219A">
      <w:pPr>
        <w:widowControl/>
        <w:autoSpaceDE w:val="0"/>
        <w:autoSpaceDN w:val="0"/>
        <w:adjustRightInd w:val="0"/>
        <w:spacing w:after="0"/>
        <w:rPr>
          <w:rFonts w:ascii="Arial" w:hAnsi="Arial" w:cs="Arial"/>
          <w:b/>
        </w:rPr>
      </w:pPr>
      <w:r w:rsidRPr="00B945CF">
        <w:rPr>
          <w:rFonts w:ascii="Arial" w:hAnsi="Arial" w:cs="Arial"/>
          <w:b/>
        </w:rPr>
        <w:t>GUIDELINES</w:t>
      </w:r>
    </w:p>
    <w:p w14:paraId="1478C68F" w14:textId="77777777" w:rsidR="00281402" w:rsidRDefault="00281402" w:rsidP="00171AFA">
      <w:pPr>
        <w:widowControl/>
        <w:autoSpaceDE w:val="0"/>
        <w:autoSpaceDN w:val="0"/>
        <w:adjustRightInd w:val="0"/>
        <w:spacing w:after="0"/>
        <w:rPr>
          <w:rFonts w:ascii="Arial" w:hAnsi="Arial" w:cs="Arial"/>
        </w:rPr>
      </w:pPr>
    </w:p>
    <w:p w14:paraId="10D90A4C" w14:textId="72DE29B2" w:rsidR="00171AFA" w:rsidRDefault="00171AFA" w:rsidP="00171AFA">
      <w:pPr>
        <w:widowControl/>
        <w:autoSpaceDE w:val="0"/>
        <w:autoSpaceDN w:val="0"/>
        <w:adjustRightInd w:val="0"/>
        <w:spacing w:after="0"/>
        <w:rPr>
          <w:rFonts w:ascii="Arial" w:hAnsi="Arial" w:cs="Arial"/>
        </w:rPr>
      </w:pPr>
      <w:r w:rsidRPr="00D1219A">
        <w:rPr>
          <w:rFonts w:ascii="Arial" w:hAnsi="Arial" w:cs="Arial"/>
        </w:rPr>
        <w:lastRenderedPageBreak/>
        <w:t>Ross DS, Burch HB, Cooper DS, Greenlee MC, Launberg P, Maia AL, Rivkees S, Samuels M,</w:t>
      </w:r>
      <w:r w:rsidR="00920642">
        <w:rPr>
          <w:rFonts w:ascii="Arial" w:hAnsi="Arial" w:cs="Arial"/>
        </w:rPr>
        <w:t xml:space="preserve"> </w:t>
      </w:r>
      <w:r w:rsidRPr="00D1219A">
        <w:rPr>
          <w:rFonts w:ascii="Arial" w:hAnsi="Arial" w:cs="Arial"/>
        </w:rPr>
        <w:t>Sosa JA, Stan MN, Walter MA. 2016 American Thyroid Association Guidelines for Diagnosis and management of hyperthyroidism and other causes of thyrotoxicosis.</w:t>
      </w:r>
      <w:r>
        <w:rPr>
          <w:rFonts w:ascii="Arial" w:hAnsi="Arial" w:cs="Arial"/>
        </w:rPr>
        <w:t xml:space="preserve"> </w:t>
      </w:r>
      <w:r w:rsidRPr="00D1219A">
        <w:rPr>
          <w:rFonts w:ascii="Arial" w:hAnsi="Arial" w:cs="Arial"/>
        </w:rPr>
        <w:t>Thyroid. 2016;</w:t>
      </w:r>
      <w:r>
        <w:rPr>
          <w:rFonts w:ascii="Arial" w:hAnsi="Arial" w:cs="Arial"/>
        </w:rPr>
        <w:t xml:space="preserve"> </w:t>
      </w:r>
      <w:r w:rsidRPr="00D1219A">
        <w:rPr>
          <w:rFonts w:ascii="Arial" w:hAnsi="Arial" w:cs="Arial"/>
        </w:rPr>
        <w:t>2:1343-1421.</w:t>
      </w:r>
    </w:p>
    <w:p w14:paraId="0061A3A4" w14:textId="77777777" w:rsidR="00281402" w:rsidRDefault="00281402" w:rsidP="00171AFA">
      <w:pPr>
        <w:widowControl/>
        <w:autoSpaceDE w:val="0"/>
        <w:autoSpaceDN w:val="0"/>
        <w:adjustRightInd w:val="0"/>
        <w:spacing w:after="0"/>
        <w:rPr>
          <w:rFonts w:ascii="Arial" w:hAnsi="Arial" w:cs="Arial"/>
        </w:rPr>
      </w:pPr>
    </w:p>
    <w:p w14:paraId="60C246E7" w14:textId="78661C89" w:rsidR="00171AFA" w:rsidRPr="00D1219A" w:rsidRDefault="00171AFA" w:rsidP="00171AFA">
      <w:pPr>
        <w:widowControl/>
        <w:autoSpaceDE w:val="0"/>
        <w:autoSpaceDN w:val="0"/>
        <w:adjustRightInd w:val="0"/>
        <w:spacing w:after="0"/>
        <w:rPr>
          <w:rFonts w:ascii="Arial" w:hAnsi="Arial" w:cs="Arial"/>
        </w:rPr>
      </w:pPr>
      <w:r w:rsidRPr="00D1219A">
        <w:rPr>
          <w:rFonts w:ascii="Arial" w:hAnsi="Arial" w:cs="Arial"/>
        </w:rPr>
        <w:t>Alexander EK, Pearce EN, Brent GA, Brown RS, Chen H, Dosiou C, Grobman WA, Launberg P, Lazarus JH, Mandel SJ, Peeters RP, Sullivan S. 2017 Guidelines of the American Thyroid Association for the diagnosis and management of thyroid disease during pregnancy and the postpartum. Thyroid: 27:315.</w:t>
      </w:r>
    </w:p>
    <w:p w14:paraId="5F948BC1" w14:textId="77777777" w:rsidR="00171AFA" w:rsidRPr="00D1219A" w:rsidRDefault="00171AFA" w:rsidP="00171AFA">
      <w:pPr>
        <w:widowControl/>
        <w:autoSpaceDE w:val="0"/>
        <w:autoSpaceDN w:val="0"/>
        <w:adjustRightInd w:val="0"/>
        <w:spacing w:after="0"/>
        <w:rPr>
          <w:rFonts w:ascii="Arial" w:hAnsi="Arial" w:cs="Arial"/>
        </w:rPr>
      </w:pPr>
    </w:p>
    <w:p w14:paraId="22143D97" w14:textId="7E20B02C" w:rsidR="00C619A5" w:rsidRDefault="00C619A5" w:rsidP="00D1219A">
      <w:pPr>
        <w:widowControl/>
        <w:autoSpaceDE w:val="0"/>
        <w:autoSpaceDN w:val="0"/>
        <w:adjustRightInd w:val="0"/>
        <w:spacing w:after="0"/>
        <w:rPr>
          <w:rFonts w:ascii="Arial" w:hAnsi="Arial" w:cs="Arial"/>
          <w:b/>
        </w:rPr>
      </w:pPr>
      <w:r w:rsidRPr="00B945CF">
        <w:rPr>
          <w:rFonts w:ascii="Arial" w:hAnsi="Arial" w:cs="Arial"/>
          <w:b/>
        </w:rPr>
        <w:t>R</w:t>
      </w:r>
      <w:r w:rsidR="00B945CF" w:rsidRPr="00B945CF">
        <w:rPr>
          <w:rFonts w:ascii="Arial" w:hAnsi="Arial" w:cs="Arial"/>
          <w:b/>
        </w:rPr>
        <w:t>EFERENCES</w:t>
      </w:r>
    </w:p>
    <w:p w14:paraId="47137CB9" w14:textId="77777777" w:rsidR="00B945CF" w:rsidRPr="00B945CF" w:rsidRDefault="00B945CF" w:rsidP="00D1219A">
      <w:pPr>
        <w:widowControl/>
        <w:autoSpaceDE w:val="0"/>
        <w:autoSpaceDN w:val="0"/>
        <w:adjustRightInd w:val="0"/>
        <w:spacing w:after="0"/>
        <w:rPr>
          <w:rFonts w:ascii="Arial" w:hAnsi="Arial" w:cs="Arial"/>
          <w:b/>
        </w:rPr>
      </w:pPr>
    </w:p>
    <w:p w14:paraId="5ECFFCAB" w14:textId="51FDD552" w:rsidR="000B0321" w:rsidRPr="00D1219A" w:rsidRDefault="000B0321" w:rsidP="00D1219A">
      <w:pPr>
        <w:widowControl/>
        <w:autoSpaceDE w:val="0"/>
        <w:autoSpaceDN w:val="0"/>
        <w:adjustRightInd w:val="0"/>
        <w:spacing w:after="0"/>
        <w:rPr>
          <w:rFonts w:ascii="Arial" w:hAnsi="Arial" w:cs="Arial"/>
        </w:rPr>
      </w:pPr>
      <w:r w:rsidRPr="00D1219A">
        <w:rPr>
          <w:rFonts w:ascii="Arial" w:hAnsi="Arial" w:cs="Arial"/>
        </w:rPr>
        <w:t>Samuels SL, Namoc SM, Bauer AJ. Neonatal thyrotoxicosis Clin Perinatol 45:31-40 2018.</w:t>
      </w:r>
    </w:p>
    <w:p w14:paraId="438E852C" w14:textId="77777777" w:rsidR="00171AFA" w:rsidRDefault="00171AFA" w:rsidP="00D1219A">
      <w:pPr>
        <w:widowControl/>
        <w:autoSpaceDE w:val="0"/>
        <w:autoSpaceDN w:val="0"/>
        <w:adjustRightInd w:val="0"/>
        <w:spacing w:after="0"/>
        <w:rPr>
          <w:rFonts w:ascii="Arial" w:hAnsi="Arial" w:cs="Arial"/>
        </w:rPr>
      </w:pPr>
    </w:p>
    <w:p w14:paraId="48EF762D" w14:textId="1CF6CFCC" w:rsidR="006A739B" w:rsidRPr="00D1219A" w:rsidRDefault="006A739B" w:rsidP="00D1219A">
      <w:pPr>
        <w:widowControl/>
        <w:autoSpaceDE w:val="0"/>
        <w:autoSpaceDN w:val="0"/>
        <w:adjustRightInd w:val="0"/>
        <w:spacing w:after="0"/>
        <w:rPr>
          <w:rFonts w:ascii="Arial" w:hAnsi="Arial" w:cs="Arial"/>
        </w:rPr>
      </w:pPr>
      <w:r w:rsidRPr="00D1219A">
        <w:rPr>
          <w:rFonts w:ascii="Arial" w:hAnsi="Arial" w:cs="Arial"/>
        </w:rPr>
        <w:t>Barbesino G, Tomer Y. Clinical utility of TSH receptor antibodies. J Clin Endocrinol Metab.</w:t>
      </w:r>
    </w:p>
    <w:p w14:paraId="25958267" w14:textId="4D97CE70" w:rsidR="006A739B" w:rsidRPr="00D1219A" w:rsidRDefault="006A739B" w:rsidP="00D1219A">
      <w:pPr>
        <w:widowControl/>
        <w:autoSpaceDE w:val="0"/>
        <w:autoSpaceDN w:val="0"/>
        <w:adjustRightInd w:val="0"/>
        <w:spacing w:after="0"/>
        <w:rPr>
          <w:rFonts w:ascii="Arial" w:hAnsi="Arial" w:cs="Arial"/>
        </w:rPr>
      </w:pPr>
      <w:r w:rsidRPr="00D1219A">
        <w:rPr>
          <w:rFonts w:ascii="Arial" w:hAnsi="Arial" w:cs="Arial"/>
        </w:rPr>
        <w:t>2013;</w:t>
      </w:r>
      <w:r w:rsidR="00171AFA">
        <w:rPr>
          <w:rFonts w:ascii="Arial" w:hAnsi="Arial" w:cs="Arial"/>
        </w:rPr>
        <w:t xml:space="preserve"> </w:t>
      </w:r>
      <w:r w:rsidRPr="00D1219A">
        <w:rPr>
          <w:rFonts w:ascii="Arial" w:hAnsi="Arial" w:cs="Arial"/>
        </w:rPr>
        <w:t>98:2247-2255.</w:t>
      </w:r>
    </w:p>
    <w:p w14:paraId="08503D09" w14:textId="0015FBC0" w:rsidR="0024438A" w:rsidRPr="00D1219A" w:rsidRDefault="006A739B" w:rsidP="00171AFA">
      <w:pPr>
        <w:widowControl/>
        <w:autoSpaceDE w:val="0"/>
        <w:autoSpaceDN w:val="0"/>
        <w:adjustRightInd w:val="0"/>
        <w:spacing w:after="0"/>
        <w:rPr>
          <w:rFonts w:ascii="Arial" w:hAnsi="Arial" w:cs="Arial"/>
        </w:rPr>
      </w:pPr>
      <w:r w:rsidRPr="00D1219A">
        <w:rPr>
          <w:rFonts w:ascii="Arial" w:hAnsi="Arial" w:cs="Arial"/>
        </w:rPr>
        <w:t xml:space="preserve"> </w:t>
      </w:r>
    </w:p>
    <w:p w14:paraId="09423932" w14:textId="6A150476" w:rsidR="008A615B" w:rsidRPr="00D1219A" w:rsidRDefault="00B60026" w:rsidP="00D1219A">
      <w:pPr>
        <w:widowControl/>
        <w:autoSpaceDE w:val="0"/>
        <w:autoSpaceDN w:val="0"/>
        <w:adjustRightInd w:val="0"/>
        <w:spacing w:after="0"/>
        <w:rPr>
          <w:rFonts w:ascii="Arial" w:hAnsi="Arial" w:cs="Arial"/>
        </w:rPr>
      </w:pPr>
      <w:r w:rsidRPr="00D1219A">
        <w:rPr>
          <w:rFonts w:ascii="Arial" w:hAnsi="Arial" w:cs="Arial"/>
        </w:rPr>
        <w:t xml:space="preserve">van Dijk MM, Smits IH, Fliers E, Bisschop PH. Maternal </w:t>
      </w:r>
      <w:r w:rsidR="0031564E">
        <w:rPr>
          <w:rFonts w:ascii="Arial" w:hAnsi="Arial" w:cs="Arial"/>
        </w:rPr>
        <w:t>t</w:t>
      </w:r>
      <w:r w:rsidRPr="00D1219A">
        <w:rPr>
          <w:rFonts w:ascii="Arial" w:hAnsi="Arial" w:cs="Arial"/>
        </w:rPr>
        <w:t>h</w:t>
      </w:r>
      <w:r w:rsidR="000A0F33" w:rsidRPr="00D1219A">
        <w:rPr>
          <w:rFonts w:ascii="Arial" w:hAnsi="Arial" w:cs="Arial"/>
        </w:rPr>
        <w:t>y</w:t>
      </w:r>
      <w:r w:rsidRPr="00D1219A">
        <w:rPr>
          <w:rFonts w:ascii="Arial" w:hAnsi="Arial" w:cs="Arial"/>
        </w:rPr>
        <w:t xml:space="preserve">rotropin </w:t>
      </w:r>
      <w:r w:rsidR="0031564E">
        <w:rPr>
          <w:rFonts w:ascii="Arial" w:hAnsi="Arial" w:cs="Arial"/>
        </w:rPr>
        <w:t>r</w:t>
      </w:r>
      <w:r w:rsidRPr="00D1219A">
        <w:rPr>
          <w:rFonts w:ascii="Arial" w:hAnsi="Arial" w:cs="Arial"/>
        </w:rPr>
        <w:t xml:space="preserve">eceptor </w:t>
      </w:r>
      <w:r w:rsidR="0031564E">
        <w:rPr>
          <w:rFonts w:ascii="Arial" w:hAnsi="Arial" w:cs="Arial"/>
        </w:rPr>
        <w:t>anti</w:t>
      </w:r>
      <w:r w:rsidRPr="00D1219A">
        <w:rPr>
          <w:rFonts w:ascii="Arial" w:hAnsi="Arial" w:cs="Arial"/>
        </w:rPr>
        <w:t>body concentration and the risk of fetal and neonatal thyrotoxicosis: a systematic review. Thyroid 2018: 28:257-</w:t>
      </w:r>
    </w:p>
    <w:p w14:paraId="403042E0" w14:textId="77777777" w:rsidR="00DF5FA9" w:rsidRPr="00D1219A" w:rsidRDefault="00DF5FA9" w:rsidP="00D1219A">
      <w:pPr>
        <w:widowControl/>
        <w:autoSpaceDE w:val="0"/>
        <w:autoSpaceDN w:val="0"/>
        <w:adjustRightInd w:val="0"/>
        <w:spacing w:after="0"/>
        <w:rPr>
          <w:rFonts w:ascii="Arial" w:hAnsi="Arial" w:cs="Arial"/>
        </w:rPr>
      </w:pPr>
    </w:p>
    <w:p w14:paraId="7EB35D7F" w14:textId="63801711" w:rsidR="00CF571D" w:rsidRDefault="00CF571D" w:rsidP="00D1219A">
      <w:pPr>
        <w:widowControl/>
        <w:autoSpaceDE w:val="0"/>
        <w:autoSpaceDN w:val="0"/>
        <w:adjustRightInd w:val="0"/>
        <w:spacing w:after="0"/>
        <w:rPr>
          <w:rFonts w:ascii="Arial" w:hAnsi="Arial" w:cs="Arial"/>
        </w:rPr>
      </w:pPr>
      <w:r w:rsidRPr="00D1219A">
        <w:rPr>
          <w:rFonts w:ascii="Arial" w:hAnsi="Arial" w:cs="Arial"/>
        </w:rPr>
        <w:t>Rivkees S, Pediatric Graves’ disease: management in the post -propylthiouracil Era. Int J Pediatr Endocrinol. 2014 10</w:t>
      </w:r>
    </w:p>
    <w:p w14:paraId="7195E0F3" w14:textId="77777777" w:rsidR="00171AFA" w:rsidRPr="00D1219A" w:rsidRDefault="00171AFA" w:rsidP="00D1219A">
      <w:pPr>
        <w:widowControl/>
        <w:autoSpaceDE w:val="0"/>
        <w:autoSpaceDN w:val="0"/>
        <w:adjustRightInd w:val="0"/>
        <w:spacing w:after="0"/>
        <w:rPr>
          <w:rFonts w:ascii="Arial" w:hAnsi="Arial" w:cs="Arial"/>
        </w:rPr>
      </w:pPr>
    </w:p>
    <w:p w14:paraId="4216D3E3" w14:textId="74AB6B8F" w:rsidR="007431F6" w:rsidRPr="00D1219A" w:rsidRDefault="007431F6" w:rsidP="00D1219A">
      <w:pPr>
        <w:widowControl/>
        <w:autoSpaceDE w:val="0"/>
        <w:autoSpaceDN w:val="0"/>
        <w:adjustRightInd w:val="0"/>
        <w:spacing w:after="0"/>
        <w:rPr>
          <w:rFonts w:ascii="Arial" w:hAnsi="Arial" w:cs="Arial"/>
          <w:lang w:val="it-IT"/>
        </w:rPr>
      </w:pPr>
      <w:r w:rsidRPr="00D1219A">
        <w:rPr>
          <w:rFonts w:ascii="Arial" w:hAnsi="Arial" w:cs="Arial"/>
        </w:rPr>
        <w:t xml:space="preserve">Van der Kaay D, Wasserman JD, Palmert MR. Management of neonates born to mothers with Graves’ disease. </w:t>
      </w:r>
      <w:r w:rsidRPr="00D1219A">
        <w:rPr>
          <w:rFonts w:ascii="Arial" w:hAnsi="Arial" w:cs="Arial"/>
          <w:lang w:val="it-IT"/>
        </w:rPr>
        <w:t>Pediatrics. 2016;137:e20151878</w:t>
      </w:r>
    </w:p>
    <w:p w14:paraId="42AEEFCF" w14:textId="77777777" w:rsidR="00171AFA" w:rsidRDefault="00171AFA" w:rsidP="00D1219A">
      <w:pPr>
        <w:widowControl/>
        <w:autoSpaceDE w:val="0"/>
        <w:autoSpaceDN w:val="0"/>
        <w:adjustRightInd w:val="0"/>
        <w:spacing w:after="0"/>
        <w:rPr>
          <w:rFonts w:ascii="Arial" w:hAnsi="Arial" w:cs="Arial"/>
        </w:rPr>
      </w:pPr>
    </w:p>
    <w:p w14:paraId="00B8E00E" w14:textId="5B17FF6D" w:rsidR="007431F6" w:rsidRPr="00D1219A" w:rsidRDefault="007431F6" w:rsidP="00D1219A">
      <w:pPr>
        <w:widowControl/>
        <w:autoSpaceDE w:val="0"/>
        <w:autoSpaceDN w:val="0"/>
        <w:adjustRightInd w:val="0"/>
        <w:spacing w:after="0"/>
        <w:rPr>
          <w:rFonts w:ascii="Arial" w:hAnsi="Arial" w:cs="Arial"/>
        </w:rPr>
      </w:pPr>
      <w:r w:rsidRPr="00D1219A">
        <w:rPr>
          <w:rFonts w:ascii="Arial" w:hAnsi="Arial" w:cs="Arial"/>
        </w:rPr>
        <w:t>Paschke R, Niedzela M, Vaidya B, Persani L, Rapaport B, Leclere J. The management of</w:t>
      </w:r>
    </w:p>
    <w:p w14:paraId="4F783627" w14:textId="77777777" w:rsidR="007431F6" w:rsidRPr="00D1219A" w:rsidRDefault="007431F6" w:rsidP="00D1219A">
      <w:pPr>
        <w:widowControl/>
        <w:autoSpaceDE w:val="0"/>
        <w:autoSpaceDN w:val="0"/>
        <w:adjustRightInd w:val="0"/>
        <w:spacing w:after="0"/>
        <w:rPr>
          <w:rFonts w:ascii="Arial" w:hAnsi="Arial" w:cs="Arial"/>
        </w:rPr>
      </w:pPr>
      <w:r w:rsidRPr="00D1219A">
        <w:rPr>
          <w:rFonts w:ascii="Arial" w:hAnsi="Arial" w:cs="Arial"/>
        </w:rPr>
        <w:t>familial and persistent sporadic non-autoimmune hyperthyroidism caused by thyroid stimulating</w:t>
      </w:r>
    </w:p>
    <w:p w14:paraId="51C2516E" w14:textId="50757A17" w:rsidR="007431F6" w:rsidRDefault="007431F6" w:rsidP="00D1219A">
      <w:pPr>
        <w:widowControl/>
        <w:autoSpaceDE w:val="0"/>
        <w:autoSpaceDN w:val="0"/>
        <w:adjustRightInd w:val="0"/>
        <w:spacing w:after="0"/>
        <w:rPr>
          <w:rFonts w:ascii="Arial" w:hAnsi="Arial" w:cs="Arial"/>
        </w:rPr>
      </w:pPr>
      <w:r w:rsidRPr="00D1219A">
        <w:rPr>
          <w:rFonts w:ascii="Arial" w:hAnsi="Arial" w:cs="Arial"/>
        </w:rPr>
        <w:t>hormone receptor germline mutations. Eur Thyroid J. 2012;</w:t>
      </w:r>
      <w:r w:rsidR="00171AFA">
        <w:rPr>
          <w:rFonts w:ascii="Arial" w:hAnsi="Arial" w:cs="Arial"/>
        </w:rPr>
        <w:t xml:space="preserve"> </w:t>
      </w:r>
      <w:r w:rsidRPr="00D1219A">
        <w:rPr>
          <w:rFonts w:ascii="Arial" w:hAnsi="Arial" w:cs="Arial"/>
        </w:rPr>
        <w:t>1:142-147.</w:t>
      </w:r>
    </w:p>
    <w:p w14:paraId="45D9B19A" w14:textId="4B7F3457" w:rsidR="00281402" w:rsidRDefault="00281402" w:rsidP="00D1219A">
      <w:pPr>
        <w:widowControl/>
        <w:autoSpaceDE w:val="0"/>
        <w:autoSpaceDN w:val="0"/>
        <w:adjustRightInd w:val="0"/>
        <w:spacing w:after="0"/>
        <w:rPr>
          <w:rFonts w:ascii="Arial" w:hAnsi="Arial" w:cs="Arial"/>
        </w:rPr>
      </w:pPr>
    </w:p>
    <w:p w14:paraId="68E68094" w14:textId="18154915" w:rsidR="007431F6" w:rsidRDefault="00920642" w:rsidP="00920642">
      <w:pPr>
        <w:widowControl/>
        <w:autoSpaceDE w:val="0"/>
        <w:autoSpaceDN w:val="0"/>
        <w:adjustRightInd w:val="0"/>
        <w:spacing w:after="0"/>
        <w:rPr>
          <w:rFonts w:ascii="Arial" w:hAnsi="Arial" w:cs="Arial"/>
        </w:rPr>
      </w:pPr>
      <w:r w:rsidRPr="00920642">
        <w:rPr>
          <w:rFonts w:ascii="Arial" w:hAnsi="Arial" w:cs="Arial"/>
        </w:rPr>
        <w:t>Segni M.</w:t>
      </w:r>
      <w:r>
        <w:rPr>
          <w:rFonts w:ascii="Arial" w:hAnsi="Arial" w:cs="Arial"/>
        </w:rPr>
        <w:t xml:space="preserve"> </w:t>
      </w:r>
      <w:r w:rsidRPr="00920642">
        <w:rPr>
          <w:rFonts w:ascii="Arial" w:hAnsi="Arial" w:cs="Arial"/>
        </w:rPr>
        <w:t>Disorders of the Thyroid Gland in Infancy, Childhood and Adolescence.</w:t>
      </w:r>
      <w:r>
        <w:rPr>
          <w:rFonts w:ascii="Arial" w:hAnsi="Arial" w:cs="Arial"/>
        </w:rPr>
        <w:t xml:space="preserve"> </w:t>
      </w:r>
      <w:r w:rsidRPr="00920642">
        <w:rPr>
          <w:rFonts w:ascii="Arial" w:hAnsi="Arial" w:cs="Arial"/>
        </w:rPr>
        <w:t>In: Feingold KR, Anawalt B, Boyce A, Chrousos G, Dungan K, Grossman A, Hershman JM, Kaltsas G, Koch C, Kopp P, Korbonits M, McLachlan R, Morley JE, New M, Perreault L, Purnell J, Rebar R, Singer F, Trence DL, Vinik A, Wilson DP, editors. Endotext [Internet]. South Dartmouth (MA): MDText.com, Inc.; 2017 Mar 18.</w:t>
      </w:r>
    </w:p>
    <w:p w14:paraId="03A1751D" w14:textId="64167BC7" w:rsidR="00920642" w:rsidRDefault="00920642" w:rsidP="00920642">
      <w:pPr>
        <w:widowControl/>
        <w:autoSpaceDE w:val="0"/>
        <w:autoSpaceDN w:val="0"/>
        <w:adjustRightInd w:val="0"/>
        <w:spacing w:after="0"/>
        <w:rPr>
          <w:rFonts w:ascii="Arial" w:hAnsi="Arial" w:cs="Arial"/>
        </w:rPr>
      </w:pPr>
    </w:p>
    <w:p w14:paraId="4D975B82" w14:textId="709B94AB" w:rsidR="00920642" w:rsidRPr="00D1219A" w:rsidRDefault="00920642" w:rsidP="00920642">
      <w:pPr>
        <w:widowControl/>
        <w:autoSpaceDE w:val="0"/>
        <w:autoSpaceDN w:val="0"/>
        <w:adjustRightInd w:val="0"/>
        <w:spacing w:after="0"/>
        <w:rPr>
          <w:rFonts w:ascii="Arial" w:hAnsi="Arial" w:cs="Arial"/>
        </w:rPr>
      </w:pPr>
      <w:proofErr w:type="spellStart"/>
      <w:r w:rsidRPr="00920642">
        <w:rPr>
          <w:rFonts w:ascii="Arial" w:hAnsi="Arial" w:cs="Arial"/>
        </w:rPr>
        <w:t>Kleinau</w:t>
      </w:r>
      <w:proofErr w:type="spellEnd"/>
      <w:r w:rsidRPr="00920642">
        <w:rPr>
          <w:rFonts w:ascii="Arial" w:hAnsi="Arial" w:cs="Arial"/>
        </w:rPr>
        <w:t xml:space="preserve"> G, </w:t>
      </w:r>
      <w:proofErr w:type="spellStart"/>
      <w:r w:rsidRPr="00920642">
        <w:rPr>
          <w:rFonts w:ascii="Arial" w:hAnsi="Arial" w:cs="Arial"/>
        </w:rPr>
        <w:t>Vassart</w:t>
      </w:r>
      <w:proofErr w:type="spellEnd"/>
      <w:r w:rsidRPr="00920642">
        <w:rPr>
          <w:rFonts w:ascii="Arial" w:hAnsi="Arial" w:cs="Arial"/>
        </w:rPr>
        <w:t xml:space="preserve"> G.</w:t>
      </w:r>
      <w:r>
        <w:rPr>
          <w:rFonts w:ascii="Arial" w:hAnsi="Arial" w:cs="Arial"/>
        </w:rPr>
        <w:t xml:space="preserve"> </w:t>
      </w:r>
      <w:r w:rsidRPr="00920642">
        <w:rPr>
          <w:rFonts w:ascii="Arial" w:hAnsi="Arial" w:cs="Arial"/>
        </w:rPr>
        <w:t>TSH Receptor Mutations and Diseases.</w:t>
      </w:r>
      <w:r>
        <w:rPr>
          <w:rFonts w:ascii="Arial" w:hAnsi="Arial" w:cs="Arial"/>
        </w:rPr>
        <w:t xml:space="preserve"> </w:t>
      </w:r>
      <w:r w:rsidRPr="00920642">
        <w:rPr>
          <w:rFonts w:ascii="Arial" w:hAnsi="Arial" w:cs="Arial"/>
        </w:rPr>
        <w:t>In: Feingold KR, Anawalt B, Boyce A, Chrousos G, Dungan K, Grossman A, Hershman JM, Kaltsas G, Koch C, Kopp P, Korbonits M, McLachlan R, Morley JE, New M, Perreault L, Purnell J, Rebar R, Singer F, Trence DL, Vinik A, Wilson DP, editors. Endotext [Internet]. South Dartmouth (MA): MDText.com, Inc.; 2017 Jul 24.</w:t>
      </w:r>
    </w:p>
    <w:p w14:paraId="6DDF98C3" w14:textId="77777777" w:rsidR="007431F6" w:rsidRPr="00D1219A" w:rsidRDefault="007431F6" w:rsidP="00D1219A">
      <w:pPr>
        <w:widowControl/>
        <w:autoSpaceDE w:val="0"/>
        <w:autoSpaceDN w:val="0"/>
        <w:adjustRightInd w:val="0"/>
        <w:spacing w:after="0"/>
        <w:rPr>
          <w:rFonts w:ascii="Arial" w:hAnsi="Arial" w:cs="Arial"/>
        </w:rPr>
      </w:pPr>
    </w:p>
    <w:p w14:paraId="35F4595E" w14:textId="77777777" w:rsidR="00743276" w:rsidRPr="00D1219A" w:rsidRDefault="00743276">
      <w:pPr>
        <w:spacing w:before="1" w:after="0" w:line="180" w:lineRule="exact"/>
        <w:rPr>
          <w:rFonts w:ascii="Arial" w:hAnsi="Arial" w:cs="Arial"/>
        </w:rPr>
      </w:pPr>
    </w:p>
    <w:p w14:paraId="7A152D9B" w14:textId="77777777" w:rsidR="00743276" w:rsidRPr="00D1219A" w:rsidRDefault="00743276">
      <w:pPr>
        <w:spacing w:after="0" w:line="200" w:lineRule="exact"/>
        <w:rPr>
          <w:rFonts w:ascii="Arial" w:hAnsi="Arial" w:cs="Arial"/>
        </w:rPr>
      </w:pPr>
    </w:p>
    <w:sectPr w:rsidR="00743276" w:rsidRPr="00D1219A" w:rsidSect="0062486E">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C0DFB"/>
    <w:multiLevelType w:val="hybridMultilevel"/>
    <w:tmpl w:val="361C1B7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76"/>
    <w:rsid w:val="0000649F"/>
    <w:rsid w:val="00011E87"/>
    <w:rsid w:val="000129F4"/>
    <w:rsid w:val="00015596"/>
    <w:rsid w:val="0003043F"/>
    <w:rsid w:val="000543D4"/>
    <w:rsid w:val="000640F1"/>
    <w:rsid w:val="00073394"/>
    <w:rsid w:val="00082D06"/>
    <w:rsid w:val="000934AF"/>
    <w:rsid w:val="000A0F33"/>
    <w:rsid w:val="000A2CB0"/>
    <w:rsid w:val="000B0321"/>
    <w:rsid w:val="000B50AF"/>
    <w:rsid w:val="00105C1D"/>
    <w:rsid w:val="001062D0"/>
    <w:rsid w:val="0014441C"/>
    <w:rsid w:val="00146E53"/>
    <w:rsid w:val="00171AFA"/>
    <w:rsid w:val="00242393"/>
    <w:rsid w:val="0024438A"/>
    <w:rsid w:val="00251A14"/>
    <w:rsid w:val="00281402"/>
    <w:rsid w:val="00281768"/>
    <w:rsid w:val="002C0C49"/>
    <w:rsid w:val="002F3C95"/>
    <w:rsid w:val="0030597A"/>
    <w:rsid w:val="0031564E"/>
    <w:rsid w:val="00324A71"/>
    <w:rsid w:val="00363881"/>
    <w:rsid w:val="003A139B"/>
    <w:rsid w:val="003B6BE9"/>
    <w:rsid w:val="003E407B"/>
    <w:rsid w:val="0043623F"/>
    <w:rsid w:val="00453149"/>
    <w:rsid w:val="00460380"/>
    <w:rsid w:val="00490529"/>
    <w:rsid w:val="004D1B83"/>
    <w:rsid w:val="004D6C7D"/>
    <w:rsid w:val="004E222A"/>
    <w:rsid w:val="00517155"/>
    <w:rsid w:val="0058308F"/>
    <w:rsid w:val="005B0446"/>
    <w:rsid w:val="005E3254"/>
    <w:rsid w:val="005F0C6F"/>
    <w:rsid w:val="0062486E"/>
    <w:rsid w:val="006255BE"/>
    <w:rsid w:val="0063694E"/>
    <w:rsid w:val="00675351"/>
    <w:rsid w:val="00691860"/>
    <w:rsid w:val="00694CEF"/>
    <w:rsid w:val="006A739B"/>
    <w:rsid w:val="006C07FF"/>
    <w:rsid w:val="006F1EB7"/>
    <w:rsid w:val="007431F6"/>
    <w:rsid w:val="00743276"/>
    <w:rsid w:val="00766F54"/>
    <w:rsid w:val="007B715E"/>
    <w:rsid w:val="0087569D"/>
    <w:rsid w:val="00890342"/>
    <w:rsid w:val="00894305"/>
    <w:rsid w:val="008A615B"/>
    <w:rsid w:val="008B525A"/>
    <w:rsid w:val="008B6AA0"/>
    <w:rsid w:val="00911094"/>
    <w:rsid w:val="00920642"/>
    <w:rsid w:val="00922620"/>
    <w:rsid w:val="00925B45"/>
    <w:rsid w:val="0097703C"/>
    <w:rsid w:val="009843DD"/>
    <w:rsid w:val="009B2272"/>
    <w:rsid w:val="009E36E4"/>
    <w:rsid w:val="00A05579"/>
    <w:rsid w:val="00A1497E"/>
    <w:rsid w:val="00A277DF"/>
    <w:rsid w:val="00A612CE"/>
    <w:rsid w:val="00AA7238"/>
    <w:rsid w:val="00AB4E9E"/>
    <w:rsid w:val="00AD04C3"/>
    <w:rsid w:val="00AD10A9"/>
    <w:rsid w:val="00AD4CD5"/>
    <w:rsid w:val="00B26AA1"/>
    <w:rsid w:val="00B27C6E"/>
    <w:rsid w:val="00B40A50"/>
    <w:rsid w:val="00B60026"/>
    <w:rsid w:val="00B832DD"/>
    <w:rsid w:val="00B86212"/>
    <w:rsid w:val="00B945CF"/>
    <w:rsid w:val="00BB6AC2"/>
    <w:rsid w:val="00BC1D1E"/>
    <w:rsid w:val="00BF417A"/>
    <w:rsid w:val="00C175B3"/>
    <w:rsid w:val="00C2380F"/>
    <w:rsid w:val="00C24317"/>
    <w:rsid w:val="00C607D9"/>
    <w:rsid w:val="00C619A5"/>
    <w:rsid w:val="00CA0078"/>
    <w:rsid w:val="00CC19B0"/>
    <w:rsid w:val="00CE1967"/>
    <w:rsid w:val="00CE41A4"/>
    <w:rsid w:val="00CF2F36"/>
    <w:rsid w:val="00CF571D"/>
    <w:rsid w:val="00D03D01"/>
    <w:rsid w:val="00D1219A"/>
    <w:rsid w:val="00D422ED"/>
    <w:rsid w:val="00D52529"/>
    <w:rsid w:val="00D81D42"/>
    <w:rsid w:val="00D900FD"/>
    <w:rsid w:val="00DA0164"/>
    <w:rsid w:val="00DA2FB9"/>
    <w:rsid w:val="00DD15FE"/>
    <w:rsid w:val="00DE4BDC"/>
    <w:rsid w:val="00DF1B7B"/>
    <w:rsid w:val="00DF5FA9"/>
    <w:rsid w:val="00E021B5"/>
    <w:rsid w:val="00E540C7"/>
    <w:rsid w:val="00EB57EA"/>
    <w:rsid w:val="00EC6599"/>
    <w:rsid w:val="00ED0415"/>
    <w:rsid w:val="00EE323B"/>
    <w:rsid w:val="00EF77E2"/>
    <w:rsid w:val="00F12021"/>
    <w:rsid w:val="00F3524A"/>
    <w:rsid w:val="00FD4AC7"/>
    <w:rsid w:val="00FD6D45"/>
    <w:rsid w:val="00FF56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72C7"/>
  <w15:docId w15:val="{0E25BAEB-82BC-47F6-96AA-6BADA931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D45"/>
    <w:pPr>
      <w:ind w:left="720"/>
      <w:contextualSpacing/>
    </w:pPr>
  </w:style>
  <w:style w:type="paragraph" w:styleId="NoSpacing">
    <w:name w:val="No Spacing"/>
    <w:uiPriority w:val="1"/>
    <w:qFormat/>
    <w:rsid w:val="00B27C6E"/>
    <w:pPr>
      <w:spacing w:after="0" w:line="240" w:lineRule="auto"/>
    </w:pPr>
  </w:style>
  <w:style w:type="paragraph" w:styleId="BalloonText">
    <w:name w:val="Balloon Text"/>
    <w:basedOn w:val="Normal"/>
    <w:link w:val="BalloonTextChar"/>
    <w:uiPriority w:val="99"/>
    <w:semiHidden/>
    <w:unhideWhenUsed/>
    <w:rsid w:val="00EE3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23B"/>
    <w:rPr>
      <w:rFonts w:ascii="Tahoma" w:hAnsi="Tahoma" w:cs="Tahoma"/>
      <w:sz w:val="16"/>
      <w:szCs w:val="16"/>
    </w:rPr>
  </w:style>
  <w:style w:type="table" w:styleId="TableGrid">
    <w:name w:val="Table Grid"/>
    <w:basedOn w:val="TableNormal"/>
    <w:uiPriority w:val="59"/>
    <w:rsid w:val="0062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8574">
      <w:bodyDiv w:val="1"/>
      <w:marLeft w:val="0"/>
      <w:marRight w:val="0"/>
      <w:marTop w:val="0"/>
      <w:marBottom w:val="0"/>
      <w:divBdr>
        <w:top w:val="none" w:sz="0" w:space="0" w:color="auto"/>
        <w:left w:val="none" w:sz="0" w:space="0" w:color="auto"/>
        <w:bottom w:val="none" w:sz="0" w:space="0" w:color="auto"/>
        <w:right w:val="none" w:sz="0" w:space="0" w:color="auto"/>
      </w:divBdr>
      <w:divsChild>
        <w:div w:id="1893271820">
          <w:marLeft w:val="0"/>
          <w:marRight w:val="0"/>
          <w:marTop w:val="34"/>
          <w:marBottom w:val="34"/>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BookshelfDoc</vt:lpstr>
    </vt:vector>
  </TitlesOfParts>
  <Company>Microsoft</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creator>grammers</dc:creator>
  <cp:lastModifiedBy>Kenneth Feingold</cp:lastModifiedBy>
  <cp:revision>7</cp:revision>
  <cp:lastPrinted>2019-04-14T12:23:00Z</cp:lastPrinted>
  <dcterms:created xsi:type="dcterms:W3CDTF">2019-04-15T01:48:00Z</dcterms:created>
  <dcterms:modified xsi:type="dcterms:W3CDTF">2019-04-15T04:16:00Z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2015-04-26T00:00:00Z</vt:filetime>
  </property>
  <property fmtid="{D5CDD505-2E9C-101B-9397-08002B2CF9AE}" pid="3" name="LastSaved">
    <vt:filetime>2018-08-13T00:00:00Z</vt:filetime>
  </property>
</Properties>
</file>