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DDF2" w14:textId="5C1435D7" w:rsidR="002E1549" w:rsidRPr="00CD1DC9" w:rsidRDefault="002E1549" w:rsidP="00CD1DC9">
      <w:pPr>
        <w:spacing w:after="0" w:line="276" w:lineRule="auto"/>
        <w:rPr>
          <w:rFonts w:ascii="Arial" w:hAnsi="Arial" w:cs="Arial"/>
          <w:b/>
          <w:bCs/>
          <w:sz w:val="28"/>
          <w:szCs w:val="28"/>
        </w:rPr>
      </w:pPr>
      <w:bookmarkStart w:id="0" w:name="_Hlk95319740"/>
      <w:r w:rsidRPr="00CD1DC9">
        <w:rPr>
          <w:rFonts w:ascii="Arial" w:hAnsi="Arial" w:cs="Arial"/>
          <w:b/>
          <w:bCs/>
          <w:sz w:val="28"/>
          <w:szCs w:val="28"/>
        </w:rPr>
        <w:t>N</w:t>
      </w:r>
      <w:r w:rsidR="00B86611">
        <w:rPr>
          <w:rFonts w:ascii="Arial" w:hAnsi="Arial" w:cs="Arial"/>
          <w:b/>
          <w:bCs/>
          <w:sz w:val="28"/>
          <w:szCs w:val="28"/>
        </w:rPr>
        <w:t xml:space="preserve">EW OSTEOPOROTIC/VERTEBRAL COMPRESSION FRACTURES         </w:t>
      </w:r>
    </w:p>
    <w:bookmarkEnd w:id="0"/>
    <w:p w14:paraId="5C11F314" w14:textId="77777777" w:rsidR="00CD1DC9" w:rsidRDefault="00CD1DC9" w:rsidP="00CD1DC9">
      <w:pPr>
        <w:spacing w:after="0" w:line="276" w:lineRule="auto"/>
        <w:rPr>
          <w:b/>
          <w:bCs/>
        </w:rPr>
      </w:pPr>
    </w:p>
    <w:p w14:paraId="7B5362B1" w14:textId="3F65BD22" w:rsidR="00CD1DC9" w:rsidRPr="00CD1DC9" w:rsidRDefault="00CD1DC9" w:rsidP="00CD1DC9">
      <w:pPr>
        <w:spacing w:after="0" w:line="276" w:lineRule="auto"/>
        <w:rPr>
          <w:rFonts w:ascii="Arial" w:hAnsi="Arial" w:cs="Arial"/>
          <w:b/>
          <w:bCs/>
        </w:rPr>
      </w:pPr>
      <w:r w:rsidRPr="00CD1DC9">
        <w:rPr>
          <w:rFonts w:ascii="Arial" w:hAnsi="Arial" w:cs="Arial"/>
          <w:b/>
          <w:bCs/>
          <w:sz w:val="24"/>
          <w:szCs w:val="24"/>
        </w:rPr>
        <w:t>Sharon Chou, MD</w:t>
      </w:r>
      <w:r w:rsidRPr="00CD1DC9">
        <w:rPr>
          <w:rFonts w:ascii="Arial" w:hAnsi="Arial" w:cs="Arial"/>
          <w:b/>
          <w:bCs/>
        </w:rPr>
        <w:t xml:space="preserve">, </w:t>
      </w:r>
      <w:r w:rsidRPr="00CD1DC9">
        <w:rPr>
          <w:rFonts w:ascii="Arial" w:hAnsi="Arial" w:cs="Arial"/>
          <w:sz w:val="20"/>
          <w:szCs w:val="20"/>
        </w:rPr>
        <w:t>Instructor of Harvard Medical School, Attending Physician at Brigham and Women’s Hospital</w:t>
      </w:r>
      <w:r w:rsidR="00BB409F">
        <w:rPr>
          <w:rFonts w:ascii="Arial" w:hAnsi="Arial" w:cs="Arial"/>
          <w:sz w:val="20"/>
          <w:szCs w:val="20"/>
        </w:rPr>
        <w:t xml:space="preserve">. </w:t>
      </w:r>
      <w:r w:rsidR="00BB409F" w:rsidRPr="00BB409F">
        <w:rPr>
          <w:rFonts w:ascii="Arial" w:hAnsi="Arial" w:cs="Arial"/>
          <w:sz w:val="20"/>
          <w:szCs w:val="20"/>
        </w:rPr>
        <w:t>sharonhchou@gmail.com</w:t>
      </w:r>
    </w:p>
    <w:p w14:paraId="1A921F7C" w14:textId="32722F5B" w:rsidR="00CD1DC9" w:rsidRPr="00CD1DC9" w:rsidRDefault="00CD1DC9" w:rsidP="00CD1DC9">
      <w:pPr>
        <w:spacing w:after="0" w:line="276" w:lineRule="auto"/>
        <w:rPr>
          <w:rFonts w:ascii="Arial" w:hAnsi="Arial" w:cs="Arial"/>
          <w:b/>
          <w:bCs/>
        </w:rPr>
      </w:pPr>
      <w:r w:rsidRPr="00CD1DC9">
        <w:rPr>
          <w:rFonts w:ascii="Arial" w:hAnsi="Arial" w:cs="Arial"/>
          <w:b/>
          <w:bCs/>
          <w:sz w:val="24"/>
          <w:szCs w:val="24"/>
        </w:rPr>
        <w:t>Anjali Grover, MD</w:t>
      </w:r>
      <w:r w:rsidRPr="00CD1DC9">
        <w:rPr>
          <w:rFonts w:ascii="Arial" w:hAnsi="Arial" w:cs="Arial"/>
          <w:b/>
          <w:bCs/>
          <w:sz w:val="24"/>
          <w:szCs w:val="24"/>
        </w:rPr>
        <w:t>,</w:t>
      </w:r>
      <w:r w:rsidRPr="00CD1DC9">
        <w:rPr>
          <w:rFonts w:ascii="Arial" w:hAnsi="Arial" w:cs="Arial"/>
          <w:b/>
          <w:bCs/>
        </w:rPr>
        <w:t xml:space="preserve"> </w:t>
      </w:r>
      <w:r w:rsidRPr="00CD1DC9">
        <w:rPr>
          <w:rFonts w:ascii="Arial" w:hAnsi="Arial" w:cs="Arial"/>
          <w:sz w:val="20"/>
          <w:szCs w:val="20"/>
        </w:rPr>
        <w:t>Clinical Instructor of Medicine, New York University School of Medicine, Attending Physician at NYU Langone Medical Center</w:t>
      </w:r>
    </w:p>
    <w:p w14:paraId="79A82C98" w14:textId="4B9FC4CE" w:rsidR="00CD1DC9" w:rsidRPr="00CD1DC9" w:rsidRDefault="00CD1DC9" w:rsidP="00CD1DC9">
      <w:pPr>
        <w:spacing w:after="0" w:line="276" w:lineRule="auto"/>
        <w:rPr>
          <w:rFonts w:ascii="Arial" w:hAnsi="Arial" w:cs="Arial"/>
          <w:sz w:val="20"/>
          <w:szCs w:val="20"/>
        </w:rPr>
      </w:pPr>
      <w:r w:rsidRPr="00CD1DC9">
        <w:rPr>
          <w:rFonts w:ascii="Arial" w:hAnsi="Arial" w:cs="Arial"/>
          <w:b/>
          <w:bCs/>
          <w:sz w:val="24"/>
          <w:szCs w:val="24"/>
        </w:rPr>
        <w:t>Meryl S. LeBoff, MD</w:t>
      </w:r>
      <w:r w:rsidRPr="00CD1DC9">
        <w:rPr>
          <w:rFonts w:ascii="Arial" w:hAnsi="Arial" w:cs="Arial"/>
          <w:b/>
          <w:bCs/>
          <w:sz w:val="24"/>
          <w:szCs w:val="24"/>
        </w:rPr>
        <w:t>,</w:t>
      </w:r>
      <w:r w:rsidRPr="00CD1DC9">
        <w:rPr>
          <w:rFonts w:ascii="Arial" w:hAnsi="Arial" w:cs="Arial"/>
          <w:b/>
          <w:bCs/>
        </w:rPr>
        <w:t xml:space="preserve"> </w:t>
      </w:r>
      <w:r w:rsidRPr="00CD1DC9">
        <w:rPr>
          <w:rFonts w:ascii="Arial" w:hAnsi="Arial" w:cs="Arial"/>
          <w:sz w:val="20"/>
          <w:szCs w:val="20"/>
        </w:rPr>
        <w:t>Professor of Medicine Harvard Medical School, Director, Skeletal Health and Osteoporosis Center and Bone Density Unit, Brigham and Women’s Hospital, Harvard Medical School</w:t>
      </w:r>
      <w:r w:rsidR="00BB409F">
        <w:rPr>
          <w:rFonts w:ascii="Arial" w:hAnsi="Arial" w:cs="Arial"/>
          <w:sz w:val="20"/>
          <w:szCs w:val="20"/>
        </w:rPr>
        <w:t xml:space="preserve">. </w:t>
      </w:r>
      <w:r w:rsidR="00BB409F" w:rsidRPr="00BB409F">
        <w:rPr>
          <w:rFonts w:ascii="Arial" w:hAnsi="Arial" w:cs="Arial"/>
          <w:sz w:val="20"/>
          <w:szCs w:val="20"/>
        </w:rPr>
        <w:t>mleboff@partners.org</w:t>
      </w:r>
    </w:p>
    <w:p w14:paraId="352475DC" w14:textId="77777777" w:rsidR="00CD1DC9" w:rsidRDefault="00CD1DC9" w:rsidP="00CD1DC9">
      <w:pPr>
        <w:spacing w:after="0" w:line="276" w:lineRule="auto"/>
        <w:rPr>
          <w:rFonts w:ascii="Arial" w:hAnsi="Arial" w:cs="Arial"/>
        </w:rPr>
      </w:pPr>
    </w:p>
    <w:p w14:paraId="263B9DDF" w14:textId="51C8748C" w:rsidR="002E1549" w:rsidRPr="00B7381B" w:rsidRDefault="002E1549" w:rsidP="00CD1DC9">
      <w:pPr>
        <w:spacing w:after="0" w:line="276" w:lineRule="auto"/>
        <w:rPr>
          <w:rFonts w:ascii="Arial" w:hAnsi="Arial" w:cs="Arial"/>
          <w:b/>
          <w:bCs/>
        </w:rPr>
      </w:pPr>
      <w:r w:rsidRPr="00B7381B">
        <w:rPr>
          <w:rFonts w:ascii="Arial" w:hAnsi="Arial" w:cs="Arial"/>
          <w:b/>
          <w:bCs/>
        </w:rPr>
        <w:t>Update: </w:t>
      </w:r>
      <w:r w:rsidR="006114BA" w:rsidRPr="00B7381B">
        <w:rPr>
          <w:rFonts w:ascii="Arial" w:hAnsi="Arial" w:cs="Arial"/>
          <w:b/>
          <w:bCs/>
        </w:rPr>
        <w:t xml:space="preserve">February </w:t>
      </w:r>
      <w:r w:rsidR="000D1090">
        <w:rPr>
          <w:rFonts w:ascii="Arial" w:hAnsi="Arial" w:cs="Arial"/>
          <w:b/>
          <w:bCs/>
        </w:rPr>
        <w:t>9</w:t>
      </w:r>
      <w:r w:rsidR="006114BA" w:rsidRPr="00B7381B">
        <w:rPr>
          <w:rFonts w:ascii="Arial" w:hAnsi="Arial" w:cs="Arial"/>
          <w:b/>
          <w:bCs/>
        </w:rPr>
        <w:t>, 2022</w:t>
      </w:r>
    </w:p>
    <w:p w14:paraId="36ECD37A" w14:textId="77777777" w:rsidR="00CD1DC9" w:rsidRPr="00CD1DC9" w:rsidRDefault="00CD1DC9" w:rsidP="00CD1DC9">
      <w:pPr>
        <w:spacing w:after="0" w:line="276" w:lineRule="auto"/>
        <w:rPr>
          <w:rFonts w:ascii="Arial" w:hAnsi="Arial" w:cs="Arial"/>
          <w:b/>
          <w:bCs/>
        </w:rPr>
      </w:pPr>
    </w:p>
    <w:p w14:paraId="7FF741F7" w14:textId="52CA535C" w:rsidR="002E1549" w:rsidRPr="00B86611" w:rsidRDefault="002E1549" w:rsidP="00CD1DC9">
      <w:pPr>
        <w:spacing w:after="0" w:line="276" w:lineRule="auto"/>
        <w:rPr>
          <w:rFonts w:ascii="Arial" w:hAnsi="Arial" w:cs="Arial"/>
          <w:b/>
          <w:bCs/>
          <w:color w:val="0070C0"/>
        </w:rPr>
      </w:pPr>
      <w:bookmarkStart w:id="1" w:name="_Hlk95319878"/>
      <w:r w:rsidRPr="00B86611">
        <w:rPr>
          <w:rFonts w:ascii="Arial" w:hAnsi="Arial" w:cs="Arial"/>
          <w:b/>
          <w:bCs/>
          <w:color w:val="0070C0"/>
        </w:rPr>
        <w:t>CLINICAL RECOGNITION</w:t>
      </w:r>
    </w:p>
    <w:p w14:paraId="79E4B307" w14:textId="77777777" w:rsidR="00CD1DC9" w:rsidRPr="00CD1DC9" w:rsidRDefault="00CD1DC9" w:rsidP="00CD1DC9">
      <w:pPr>
        <w:spacing w:after="0" w:line="276" w:lineRule="auto"/>
        <w:rPr>
          <w:rFonts w:ascii="Arial" w:hAnsi="Arial" w:cs="Arial"/>
        </w:rPr>
      </w:pPr>
    </w:p>
    <w:p w14:paraId="4BAA9252" w14:textId="4D2F53DE" w:rsidR="002E1549" w:rsidRPr="00CD1DC9" w:rsidRDefault="002E1549" w:rsidP="00CD1DC9">
      <w:pPr>
        <w:spacing w:after="0" w:line="276" w:lineRule="auto"/>
        <w:rPr>
          <w:rFonts w:ascii="Arial" w:hAnsi="Arial" w:cs="Arial"/>
        </w:rPr>
      </w:pPr>
      <w:r w:rsidRPr="00CD1DC9">
        <w:rPr>
          <w:rFonts w:ascii="Arial" w:hAnsi="Arial" w:cs="Arial"/>
        </w:rPr>
        <w:t xml:space="preserve">Osteoporosis is a prevalent disease characterized by reduced bone mass and architectural deterioration, which leads to structurally weakened bone and </w:t>
      </w:r>
      <w:r w:rsidR="00F34613">
        <w:rPr>
          <w:rFonts w:ascii="Arial" w:hAnsi="Arial" w:cs="Arial"/>
        </w:rPr>
        <w:t xml:space="preserve">an </w:t>
      </w:r>
      <w:r w:rsidRPr="00CD1DC9">
        <w:rPr>
          <w:rFonts w:ascii="Arial" w:hAnsi="Arial" w:cs="Arial"/>
        </w:rPr>
        <w:t>increased risk of fragility fractures. A fragility fracture is defined as a fracture occurring with minimal trauma, such as falling from standing height. These fractures rise exponentially with age and most commonly involve the spine, hip, humerus, and wrist. Vertebral compression fractures are the most common osteoporotic fractures with an estimated 700,000 per year in the United States</w:t>
      </w:r>
      <w:r w:rsidR="007B68E1" w:rsidRPr="00CD1DC9">
        <w:rPr>
          <w:rFonts w:ascii="Arial" w:hAnsi="Arial" w:cs="Arial"/>
        </w:rPr>
        <w:t xml:space="preserve"> </w:t>
      </w:r>
      <w:r w:rsidR="007B68E1" w:rsidRPr="00CF1B63">
        <w:rPr>
          <w:rFonts w:ascii="Arial" w:hAnsi="Arial" w:cs="Arial"/>
        </w:rPr>
        <w:t>(1)</w:t>
      </w:r>
      <w:r w:rsidRPr="00CF1B63">
        <w:rPr>
          <w:rFonts w:ascii="Arial" w:hAnsi="Arial" w:cs="Arial"/>
        </w:rPr>
        <w:t xml:space="preserve">. However, </w:t>
      </w:r>
      <w:r w:rsidR="00964932" w:rsidRPr="00CF1B63">
        <w:rPr>
          <w:rFonts w:ascii="Arial" w:hAnsi="Arial" w:cs="Arial"/>
        </w:rPr>
        <w:t xml:space="preserve">most patients with vertebral fractures are unaware </w:t>
      </w:r>
      <w:r w:rsidR="006C0EF9" w:rsidRPr="00CF1B63">
        <w:rPr>
          <w:rFonts w:ascii="Arial" w:hAnsi="Arial" w:cs="Arial"/>
        </w:rPr>
        <w:t>that they have fractured</w:t>
      </w:r>
      <w:r w:rsidR="00964932" w:rsidRPr="00CF1B63">
        <w:rPr>
          <w:rFonts w:ascii="Arial" w:hAnsi="Arial" w:cs="Arial"/>
        </w:rPr>
        <w:t xml:space="preserve"> as only </w:t>
      </w:r>
      <w:r w:rsidR="00E53A26" w:rsidRPr="00CF1B63">
        <w:rPr>
          <w:rFonts w:ascii="Arial" w:hAnsi="Arial" w:cs="Arial"/>
        </w:rPr>
        <w:t>~</w:t>
      </w:r>
      <w:r w:rsidR="00964932" w:rsidRPr="00CF1B63">
        <w:rPr>
          <w:rFonts w:ascii="Arial" w:hAnsi="Arial" w:cs="Arial"/>
        </w:rPr>
        <w:t>1/3</w:t>
      </w:r>
      <w:r w:rsidR="00964932" w:rsidRPr="00CF1B63">
        <w:rPr>
          <w:rFonts w:ascii="Arial" w:hAnsi="Arial" w:cs="Arial"/>
          <w:vertAlign w:val="superscript"/>
        </w:rPr>
        <w:t>rd</w:t>
      </w:r>
      <w:r w:rsidR="00964932" w:rsidRPr="00CF1B63">
        <w:rPr>
          <w:rFonts w:ascii="Arial" w:hAnsi="Arial" w:cs="Arial"/>
        </w:rPr>
        <w:t xml:space="preserve"> are clinically diagnosed</w:t>
      </w:r>
      <w:r w:rsidRPr="00CF1B63">
        <w:rPr>
          <w:rFonts w:ascii="Arial" w:hAnsi="Arial" w:cs="Arial"/>
        </w:rPr>
        <w:t>. While there are effective treatments to reduce the risk of fractures, only 23% of patients with fragility fractures receive osteoporosis evaluation and</w:t>
      </w:r>
      <w:r w:rsidRPr="00CD1DC9">
        <w:rPr>
          <w:rFonts w:ascii="Arial" w:hAnsi="Arial" w:cs="Arial"/>
        </w:rPr>
        <w:t xml:space="preserve"> treatment.</w:t>
      </w:r>
    </w:p>
    <w:p w14:paraId="084EE077" w14:textId="77777777" w:rsidR="00B7381B" w:rsidRDefault="00B7381B" w:rsidP="00CD1DC9">
      <w:pPr>
        <w:spacing w:after="0" w:line="276" w:lineRule="auto"/>
        <w:rPr>
          <w:rFonts w:ascii="Arial" w:hAnsi="Arial" w:cs="Arial"/>
          <w:b/>
          <w:bCs/>
        </w:rPr>
      </w:pPr>
    </w:p>
    <w:p w14:paraId="754BB2D8" w14:textId="1D1D4E3B"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PATHOPHYSIOLOGY</w:t>
      </w:r>
    </w:p>
    <w:p w14:paraId="5CFFAD78" w14:textId="77777777" w:rsidR="00B7381B" w:rsidRDefault="00B7381B" w:rsidP="00CD1DC9">
      <w:pPr>
        <w:spacing w:after="0" w:line="276" w:lineRule="auto"/>
        <w:rPr>
          <w:rFonts w:ascii="Arial" w:hAnsi="Arial" w:cs="Arial"/>
        </w:rPr>
      </w:pPr>
    </w:p>
    <w:p w14:paraId="741900BA" w14:textId="5505DD17" w:rsidR="002E1549" w:rsidRPr="00CD1DC9" w:rsidRDefault="002E1549" w:rsidP="00CD1DC9">
      <w:pPr>
        <w:spacing w:after="0" w:line="276" w:lineRule="auto"/>
        <w:rPr>
          <w:rFonts w:ascii="Arial" w:hAnsi="Arial" w:cs="Arial"/>
        </w:rPr>
      </w:pPr>
      <w:r w:rsidRPr="00CD1DC9">
        <w:rPr>
          <w:rFonts w:ascii="Arial" w:hAnsi="Arial" w:cs="Arial"/>
        </w:rPr>
        <w:t xml:space="preserve">Bone is a dynamic organ with continuous remodeling to maintain a healthy </w:t>
      </w:r>
      <w:r w:rsidRPr="00CF1B63">
        <w:rPr>
          <w:rFonts w:ascii="Arial" w:hAnsi="Arial" w:cs="Arial"/>
        </w:rPr>
        <w:t>skeleton</w:t>
      </w:r>
      <w:r w:rsidR="003B3AAE" w:rsidRPr="00CF1B63">
        <w:rPr>
          <w:rFonts w:ascii="Arial" w:hAnsi="Arial" w:cs="Arial"/>
        </w:rPr>
        <w:t>—</w:t>
      </w:r>
      <w:r w:rsidRPr="00CF1B63">
        <w:rPr>
          <w:rFonts w:ascii="Arial" w:hAnsi="Arial" w:cs="Arial"/>
        </w:rPr>
        <w:t>osteoclasts resorb bone and osteoblasts form new bone</w:t>
      </w:r>
      <w:r w:rsidR="00EB1537" w:rsidRPr="00CF1B63">
        <w:rPr>
          <w:rFonts w:ascii="Arial" w:hAnsi="Arial" w:cs="Arial"/>
        </w:rPr>
        <w:t xml:space="preserve"> (2)</w:t>
      </w:r>
      <w:r w:rsidRPr="00CF1B63">
        <w:rPr>
          <w:rFonts w:ascii="Arial" w:hAnsi="Arial" w:cs="Arial"/>
        </w:rPr>
        <w:t>. Osteoporosis results from a net increase in bone resorption relative to bone formation. The receptor activator of nuclear factor-kappa β (RANK), RANK ligand (RANKL), and osteoprotegerin (OPG) are key regulators of bone resorption. Interaction between RANKL and RANK stimulates osteoclastic differentiation, while OPG, made by osteoblasts, binds with RANKL and inhibits bone resorption. In addition, the Wnt signaling pathway is a network of proteins that is involved in activating the transcription of genes that direct the differentiation and proliferation of osteoblasts. Sclerostin, produced by the osteocytes embedded in bone, is the product of the SOST gene. Sclerostin reduces the Wnt signaling pathway, thereby, suppressing bone formation by osteoblasts. Some of the key factors that are mechanistically involved in bone turnover are therapeutic targets for osteoporosis treatment. See </w:t>
      </w:r>
      <w:hyperlink r:id="rId6" w:tgtFrame="object" w:history="1">
        <w:r w:rsidRPr="00CF1B63">
          <w:rPr>
            <w:rStyle w:val="Hyperlink"/>
            <w:rFonts w:ascii="Arial" w:hAnsi="Arial" w:cs="Arial"/>
            <w:color w:val="auto"/>
            <w:u w:val="none"/>
          </w:rPr>
          <w:t>Table 4</w:t>
        </w:r>
      </w:hyperlink>
      <w:r w:rsidRPr="00CF1B63">
        <w:rPr>
          <w:rFonts w:ascii="Arial" w:hAnsi="Arial" w:cs="Arial"/>
        </w:rPr>
        <w:t> for summary of treatments.</w:t>
      </w:r>
    </w:p>
    <w:p w14:paraId="67129FB4" w14:textId="77777777" w:rsidR="00B7381B" w:rsidRDefault="00B7381B" w:rsidP="00CD1DC9">
      <w:pPr>
        <w:spacing w:after="0" w:line="276" w:lineRule="auto"/>
        <w:rPr>
          <w:rFonts w:ascii="Arial" w:hAnsi="Arial" w:cs="Arial"/>
          <w:b/>
          <w:bCs/>
        </w:rPr>
      </w:pPr>
    </w:p>
    <w:p w14:paraId="7E3DCDF0" w14:textId="57AEC6EF" w:rsidR="002E1549" w:rsidRPr="00B86611" w:rsidRDefault="002E1549" w:rsidP="00CD1DC9">
      <w:pPr>
        <w:spacing w:after="0" w:line="276" w:lineRule="auto"/>
        <w:rPr>
          <w:rFonts w:ascii="Arial" w:hAnsi="Arial" w:cs="Arial"/>
          <w:b/>
          <w:bCs/>
          <w:color w:val="00B050"/>
        </w:rPr>
      </w:pPr>
      <w:r w:rsidRPr="00B86611">
        <w:rPr>
          <w:rFonts w:ascii="Arial" w:hAnsi="Arial" w:cs="Arial"/>
          <w:b/>
          <w:bCs/>
          <w:color w:val="00B050"/>
        </w:rPr>
        <w:t>Fragility Fractures</w:t>
      </w:r>
    </w:p>
    <w:p w14:paraId="34D4CE13" w14:textId="77777777" w:rsidR="00B7381B" w:rsidRDefault="00B7381B" w:rsidP="00CD1DC9">
      <w:pPr>
        <w:spacing w:after="0" w:line="276" w:lineRule="auto"/>
        <w:rPr>
          <w:rFonts w:ascii="Arial" w:hAnsi="Arial" w:cs="Arial"/>
        </w:rPr>
      </w:pPr>
    </w:p>
    <w:p w14:paraId="24125F75" w14:textId="5085B746" w:rsidR="002E1549" w:rsidRPr="00CD1DC9" w:rsidRDefault="002E1549" w:rsidP="00CD1DC9">
      <w:pPr>
        <w:spacing w:after="0" w:line="276" w:lineRule="auto"/>
        <w:rPr>
          <w:rFonts w:ascii="Arial" w:hAnsi="Arial" w:cs="Arial"/>
        </w:rPr>
      </w:pPr>
      <w:r w:rsidRPr="00CD1DC9">
        <w:rPr>
          <w:rFonts w:ascii="Arial" w:hAnsi="Arial" w:cs="Arial"/>
        </w:rPr>
        <w:t xml:space="preserve">Vertebral compression fractures are associated with substantial morbidity including: acute and chronic back pain, height loss, kyphosis, restrictive lung disease, early satiety, reduced quality </w:t>
      </w:r>
      <w:r w:rsidRPr="00CD1DC9">
        <w:rPr>
          <w:rFonts w:ascii="Arial" w:hAnsi="Arial" w:cs="Arial"/>
        </w:rPr>
        <w:lastRenderedPageBreak/>
        <w:t>of life, and increased mortality</w:t>
      </w:r>
      <w:r w:rsidR="00EB1537" w:rsidRPr="00CD1DC9">
        <w:rPr>
          <w:rFonts w:ascii="Arial" w:hAnsi="Arial" w:cs="Arial"/>
        </w:rPr>
        <w:t xml:space="preserve"> </w:t>
      </w:r>
      <w:r w:rsidR="00EB1537" w:rsidRPr="00CF1B63">
        <w:rPr>
          <w:rFonts w:ascii="Arial" w:hAnsi="Arial" w:cs="Arial"/>
        </w:rPr>
        <w:t>(1)</w:t>
      </w:r>
      <w:r w:rsidRPr="00CF1B63">
        <w:rPr>
          <w:rFonts w:ascii="Arial" w:hAnsi="Arial" w:cs="Arial"/>
        </w:rPr>
        <w:t>.</w:t>
      </w:r>
      <w:r w:rsidRPr="00CD1DC9">
        <w:rPr>
          <w:rFonts w:ascii="Arial" w:hAnsi="Arial" w:cs="Arial"/>
        </w:rPr>
        <w:t xml:space="preserve"> A spine fracture is associated with a 5-fold risk of a subsequent spine fracture and a 2-fold risk of hip and other fractures. Hip fractures are serious fractures that can lead to pain, disability, loss of independence, and high mortality. A Danish registry study published in 2018 found that one-year excess mortality was 20-25% after femur or pelvic, 10% following vertebral, and 5-10% following humerus fractures.</w:t>
      </w:r>
    </w:p>
    <w:p w14:paraId="7E30FCC0" w14:textId="77777777" w:rsidR="009A0875" w:rsidRDefault="009A0875" w:rsidP="00CD1DC9">
      <w:pPr>
        <w:spacing w:after="0" w:line="276" w:lineRule="auto"/>
        <w:rPr>
          <w:rFonts w:ascii="Arial" w:hAnsi="Arial" w:cs="Arial"/>
        </w:rPr>
      </w:pPr>
    </w:p>
    <w:p w14:paraId="6FE4DB4D" w14:textId="1D3B1212" w:rsidR="002E1549" w:rsidRPr="00CD1DC9" w:rsidRDefault="002E1549" w:rsidP="00CD1DC9">
      <w:pPr>
        <w:spacing w:after="0" w:line="276" w:lineRule="auto"/>
        <w:rPr>
          <w:rFonts w:ascii="Arial" w:hAnsi="Arial" w:cs="Arial"/>
        </w:rPr>
      </w:pPr>
      <w:r w:rsidRPr="00CD1DC9">
        <w:rPr>
          <w:rFonts w:ascii="Arial" w:hAnsi="Arial" w:cs="Arial"/>
        </w:rPr>
        <w:t>There is a high prevalence of low vitamin D levels among hip fracture patients. Since there is a large care gap for patients with fragility fractures, there are critical ongoing efforts to try to implement inter-disciplinary, hospital-based approaches to advance fracture care. It is imperative to ensure timely outpatient follow-up to correct the vitamin D deficiency, evaluate patients for other secondary causes of osteoporosis, and institute osteoporosis treatment. See Treatment section for further description of management of these fractures.</w:t>
      </w:r>
    </w:p>
    <w:p w14:paraId="0B3E6C2D" w14:textId="77777777" w:rsidR="00B7381B" w:rsidRDefault="00B7381B" w:rsidP="00CD1DC9">
      <w:pPr>
        <w:spacing w:after="0" w:line="276" w:lineRule="auto"/>
        <w:rPr>
          <w:rFonts w:ascii="Arial" w:hAnsi="Arial" w:cs="Arial"/>
          <w:b/>
          <w:bCs/>
        </w:rPr>
      </w:pPr>
    </w:p>
    <w:p w14:paraId="49AB299E" w14:textId="62F279FB"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DIAGNOSIS and DIFFERENTIAL</w:t>
      </w:r>
    </w:p>
    <w:p w14:paraId="529E9F5E" w14:textId="77777777" w:rsidR="00B7381B" w:rsidRDefault="00B7381B" w:rsidP="00CD1DC9">
      <w:pPr>
        <w:spacing w:after="0" w:line="276" w:lineRule="auto"/>
        <w:rPr>
          <w:rFonts w:ascii="Arial" w:hAnsi="Arial" w:cs="Arial"/>
        </w:rPr>
      </w:pPr>
    </w:p>
    <w:p w14:paraId="46687B26" w14:textId="2B551014" w:rsidR="002E1549" w:rsidRPr="00CD1DC9" w:rsidRDefault="002E1549" w:rsidP="00CD1DC9">
      <w:pPr>
        <w:spacing w:after="0" w:line="276" w:lineRule="auto"/>
        <w:rPr>
          <w:rFonts w:ascii="Arial" w:hAnsi="Arial" w:cs="Arial"/>
        </w:rPr>
      </w:pPr>
      <w:r w:rsidRPr="00CD1DC9">
        <w:rPr>
          <w:rFonts w:ascii="Arial" w:hAnsi="Arial" w:cs="Arial"/>
        </w:rPr>
        <w:t xml:space="preserve">Assessment of osteoporosis risk factors and measurement of bone mineral density (BMD) by dual energy x-ray absorptiometry (DXA) are important to determine which individuals are at increased risk of fractures. Low bone mass (osteopenia) is present when the BMD is between 1.0 and 2.5 SDs below peak bone density of young, healthy individuals. More than 50% of fragility fractures occur in these patients. Osteoporosis, according to the World Health Organization, is defined as a BMD ≤-2.5 SDs of young normal. BMD testing is typically measured at the proximal femur and lumbar spine, though the 1/3 radius should be measured in patients with hyperparathyroidism (https://www.iscd.org/official-positions/). </w:t>
      </w:r>
      <w:r w:rsidRPr="00276660">
        <w:rPr>
          <w:rFonts w:ascii="Arial" w:hAnsi="Arial" w:cs="Arial"/>
        </w:rPr>
        <w:t xml:space="preserve">The </w:t>
      </w:r>
      <w:r w:rsidR="005E20E5" w:rsidRPr="00276660">
        <w:rPr>
          <w:rFonts w:ascii="Arial" w:hAnsi="Arial" w:cs="Arial"/>
        </w:rPr>
        <w:t xml:space="preserve">Bone Health &amp; Osteoporosis Foundation (BHOF; </w:t>
      </w:r>
      <w:r w:rsidR="00AD227A" w:rsidRPr="00276660">
        <w:rPr>
          <w:rFonts w:ascii="Arial" w:hAnsi="Arial" w:cs="Arial"/>
        </w:rPr>
        <w:t>formerly the</w:t>
      </w:r>
      <w:r w:rsidR="005E20E5" w:rsidRPr="00276660">
        <w:rPr>
          <w:rFonts w:ascii="Arial" w:hAnsi="Arial" w:cs="Arial"/>
        </w:rPr>
        <w:t xml:space="preserve"> </w:t>
      </w:r>
      <w:r w:rsidRPr="00276660">
        <w:rPr>
          <w:rFonts w:ascii="Arial" w:hAnsi="Arial" w:cs="Arial"/>
        </w:rPr>
        <w:t>National Osteoporosis Foundation</w:t>
      </w:r>
      <w:r w:rsidR="005E20E5" w:rsidRPr="00276660">
        <w:rPr>
          <w:rFonts w:ascii="Arial" w:hAnsi="Arial" w:cs="Arial"/>
        </w:rPr>
        <w:t>)</w:t>
      </w:r>
      <w:r w:rsidRPr="00276660">
        <w:rPr>
          <w:rFonts w:ascii="Arial" w:hAnsi="Arial" w:cs="Arial"/>
        </w:rPr>
        <w:t xml:space="preserve"> currently recommends that women </w:t>
      </w:r>
      <w:r w:rsidRPr="00276660">
        <w:rPr>
          <w:rFonts w:ascii="Arial" w:hAnsi="Arial" w:cs="Arial"/>
          <w:u w:val="single"/>
        </w:rPr>
        <w:t>&gt;</w:t>
      </w:r>
      <w:r w:rsidRPr="00276660">
        <w:rPr>
          <w:rFonts w:ascii="Arial" w:hAnsi="Arial" w:cs="Arial"/>
        </w:rPr>
        <w:t>65 years, men </w:t>
      </w:r>
      <w:r w:rsidRPr="00276660">
        <w:rPr>
          <w:rFonts w:ascii="Arial" w:hAnsi="Arial" w:cs="Arial"/>
          <w:u w:val="single"/>
        </w:rPr>
        <w:t>&gt;</w:t>
      </w:r>
      <w:r w:rsidRPr="00276660">
        <w:rPr>
          <w:rFonts w:ascii="Arial" w:hAnsi="Arial" w:cs="Arial"/>
        </w:rPr>
        <w:t>70 years, and postmenopausal women and men </w:t>
      </w:r>
      <w:r w:rsidRPr="00276660">
        <w:rPr>
          <w:rFonts w:ascii="Arial" w:hAnsi="Arial" w:cs="Arial"/>
          <w:u w:val="single"/>
        </w:rPr>
        <w:t>&gt;</w:t>
      </w:r>
      <w:r w:rsidRPr="00276660">
        <w:rPr>
          <w:rFonts w:ascii="Arial" w:hAnsi="Arial" w:cs="Arial"/>
        </w:rPr>
        <w:t xml:space="preserve">50 years with risk factors or fracture </w:t>
      </w:r>
      <w:r w:rsidR="00276660" w:rsidRPr="00276660">
        <w:rPr>
          <w:rFonts w:ascii="Arial" w:hAnsi="Arial" w:cs="Arial"/>
        </w:rPr>
        <w:t xml:space="preserve">after age 50 </w:t>
      </w:r>
      <w:r w:rsidRPr="00276660">
        <w:rPr>
          <w:rFonts w:ascii="Arial" w:hAnsi="Arial" w:cs="Arial"/>
        </w:rPr>
        <w:t>receive screening DXA scans</w:t>
      </w:r>
      <w:r w:rsidR="00EB1537" w:rsidRPr="00276660">
        <w:rPr>
          <w:rFonts w:ascii="Arial" w:hAnsi="Arial" w:cs="Arial"/>
        </w:rPr>
        <w:t xml:space="preserve"> (3)</w:t>
      </w:r>
      <w:r w:rsidRPr="00276660">
        <w:rPr>
          <w:rFonts w:ascii="Arial" w:hAnsi="Arial" w:cs="Arial"/>
        </w:rPr>
        <w:t xml:space="preserve">. The </w:t>
      </w:r>
      <w:r w:rsidR="005E20E5" w:rsidRPr="00276660">
        <w:rPr>
          <w:rFonts w:ascii="Arial" w:hAnsi="Arial" w:cs="Arial"/>
        </w:rPr>
        <w:t>BH</w:t>
      </w:r>
      <w:r w:rsidRPr="00276660">
        <w:rPr>
          <w:rFonts w:ascii="Arial" w:hAnsi="Arial" w:cs="Arial"/>
        </w:rPr>
        <w:t>OF recommends monitoring osteoporosis by an annual measurement of a patient’s height, preferably with a mounted stadiometer, and BMD testing 1-2 years after initiating therapy and every 2 years thereafter. Because spine fractures are often not clinically evident, imaging for spine fractures (vertebral fracture assessment by DXA or X-ray) is recommended, particularly in older adults with osteopenia and after a</w:t>
      </w:r>
      <w:r w:rsidR="00F228D4" w:rsidRPr="00276660">
        <w:rPr>
          <w:rFonts w:ascii="Arial" w:hAnsi="Arial" w:cs="Arial"/>
        </w:rPr>
        <w:t xml:space="preserve">dult-age </w:t>
      </w:r>
      <w:r w:rsidRPr="00276660">
        <w:rPr>
          <w:rFonts w:ascii="Arial" w:hAnsi="Arial" w:cs="Arial"/>
        </w:rPr>
        <w:t>fracture</w:t>
      </w:r>
      <w:r w:rsidR="00276660" w:rsidRPr="00276660">
        <w:rPr>
          <w:rFonts w:ascii="Arial" w:hAnsi="Arial" w:cs="Arial"/>
        </w:rPr>
        <w:t xml:space="preserve"> (&gt;50 years of age)</w:t>
      </w:r>
      <w:r w:rsidR="00F228D4" w:rsidRPr="00276660">
        <w:rPr>
          <w:rFonts w:ascii="Arial" w:hAnsi="Arial" w:cs="Arial"/>
        </w:rPr>
        <w:t>,</w:t>
      </w:r>
      <w:r w:rsidRPr="00276660">
        <w:rPr>
          <w:rFonts w:ascii="Arial" w:hAnsi="Arial" w:cs="Arial"/>
        </w:rPr>
        <w:t xml:space="preserve"> glucocorticoid use</w:t>
      </w:r>
      <w:r w:rsidR="00F228D4" w:rsidRPr="00276660">
        <w:rPr>
          <w:rFonts w:ascii="Arial" w:hAnsi="Arial" w:cs="Arial"/>
        </w:rPr>
        <w:t>, or diagnosis of hyperparathyroidism</w:t>
      </w:r>
      <w:r w:rsidRPr="00276660">
        <w:rPr>
          <w:rFonts w:ascii="Arial" w:hAnsi="Arial" w:cs="Arial"/>
        </w:rPr>
        <w:t xml:space="preserve"> (See </w:t>
      </w:r>
      <w:hyperlink r:id="rId7" w:tgtFrame="object" w:history="1">
        <w:r w:rsidRPr="00276660">
          <w:rPr>
            <w:rStyle w:val="Hyperlink"/>
            <w:rFonts w:ascii="Arial" w:hAnsi="Arial" w:cs="Arial"/>
            <w:color w:val="auto"/>
            <w:u w:val="none"/>
          </w:rPr>
          <w:t>Table 1</w:t>
        </w:r>
      </w:hyperlink>
      <w:r w:rsidRPr="00276660">
        <w:rPr>
          <w:rFonts w:ascii="Arial" w:hAnsi="Arial" w:cs="Arial"/>
        </w:rPr>
        <w:t>)</w:t>
      </w:r>
      <w:r w:rsidR="00C95E1B" w:rsidRPr="00276660">
        <w:rPr>
          <w:rFonts w:ascii="Arial" w:hAnsi="Arial" w:cs="Arial"/>
        </w:rPr>
        <w:t xml:space="preserve"> </w:t>
      </w:r>
      <w:r w:rsidR="00EB1537" w:rsidRPr="00276660">
        <w:rPr>
          <w:rFonts w:ascii="Arial" w:hAnsi="Arial" w:cs="Arial"/>
        </w:rPr>
        <w:t>(3</w:t>
      </w:r>
      <w:r w:rsidR="00750D92" w:rsidRPr="00276660">
        <w:rPr>
          <w:rFonts w:ascii="Arial" w:hAnsi="Arial" w:cs="Arial"/>
        </w:rPr>
        <w:t>, 4</w:t>
      </w:r>
      <w:r w:rsidR="00EB1537" w:rsidRPr="00276660">
        <w:rPr>
          <w:rFonts w:ascii="Arial" w:hAnsi="Arial" w:cs="Arial"/>
        </w:rPr>
        <w:t>)</w:t>
      </w:r>
      <w:r w:rsidRPr="00276660">
        <w:rPr>
          <w:rFonts w:ascii="Arial" w:hAnsi="Arial" w:cs="Arial"/>
        </w:rPr>
        <w:t>.</w:t>
      </w:r>
    </w:p>
    <w:p w14:paraId="0CC57835" w14:textId="77777777" w:rsidR="00B7381B" w:rsidRDefault="00B7381B" w:rsidP="00CD1DC9">
      <w:pPr>
        <w:spacing w:after="0" w:line="276" w:lineRule="auto"/>
        <w:rPr>
          <w:rFonts w:ascii="Arial" w:hAnsi="Arial" w:cs="Arial"/>
        </w:rPr>
      </w:pPr>
    </w:p>
    <w:p w14:paraId="31493819" w14:textId="2A54A833" w:rsidR="002E1549" w:rsidRPr="00CD1DC9" w:rsidRDefault="002E1549" w:rsidP="00CD1DC9">
      <w:pPr>
        <w:spacing w:after="0" w:line="276" w:lineRule="auto"/>
        <w:rPr>
          <w:rFonts w:ascii="Arial" w:hAnsi="Arial" w:cs="Arial"/>
        </w:rPr>
      </w:pPr>
      <w:r w:rsidRPr="00CD1DC9">
        <w:rPr>
          <w:rFonts w:ascii="Arial" w:hAnsi="Arial" w:cs="Arial"/>
        </w:rPr>
        <w:t>The FRAX</w:t>
      </w:r>
      <w:r w:rsidRPr="00CD1DC9">
        <w:rPr>
          <w:rFonts w:ascii="Arial" w:hAnsi="Arial" w:cs="Arial"/>
          <w:vertAlign w:val="superscript"/>
        </w:rPr>
        <w:t>®</w:t>
      </w:r>
      <w:r w:rsidRPr="00CD1DC9">
        <w:rPr>
          <w:rFonts w:ascii="Arial" w:hAnsi="Arial" w:cs="Arial"/>
        </w:rPr>
        <w:t xml:space="preserve"> calculator was designed to quantify an individual’s absolute fracture risk (http://www.shef.ac.uk/FRAX). In addition to BMD, the following risk factors </w:t>
      </w:r>
      <w:r w:rsidRPr="00276660">
        <w:rPr>
          <w:rFonts w:ascii="Arial" w:hAnsi="Arial" w:cs="Arial"/>
        </w:rPr>
        <w:t>are included</w:t>
      </w:r>
      <w:r w:rsidR="003B3AAE" w:rsidRPr="00276660">
        <w:rPr>
          <w:rFonts w:ascii="Arial" w:hAnsi="Arial" w:cs="Arial"/>
        </w:rPr>
        <w:t>—</w:t>
      </w:r>
      <w:r w:rsidRPr="00276660">
        <w:rPr>
          <w:rFonts w:ascii="Arial" w:hAnsi="Arial" w:cs="Arial"/>
        </w:rPr>
        <w:t>ethnicity, age, body mass index, prior fracture history, glucocorticoid use, alcoho</w:t>
      </w:r>
      <w:r w:rsidRPr="00CD1DC9">
        <w:rPr>
          <w:rFonts w:ascii="Arial" w:hAnsi="Arial" w:cs="Arial"/>
        </w:rPr>
        <w:t>l use, smoking, rheumatoid arthritis, and other secondary causes of osteoporosis. If the 10-year absolute fracture risk is ≥3% for hip fractures or ≥20% for other major osteoporotic fractures, pharmacologic therapy should be considered. Note that the FRAX calculator is not designed for those with osteoporosis on BMD testing but mainly for those with low bone mass.</w:t>
      </w:r>
    </w:p>
    <w:p w14:paraId="6D32456D" w14:textId="77777777" w:rsidR="009A0875" w:rsidRDefault="009A0875" w:rsidP="00CD1DC9">
      <w:pPr>
        <w:spacing w:after="0" w:line="276" w:lineRule="auto"/>
        <w:rPr>
          <w:rFonts w:ascii="Arial" w:hAnsi="Arial" w:cs="Arial"/>
        </w:rPr>
      </w:pPr>
    </w:p>
    <w:p w14:paraId="60F9E202" w14:textId="385D4524" w:rsidR="002E1549" w:rsidRPr="00CD1DC9" w:rsidRDefault="002E1549" w:rsidP="00CD1DC9">
      <w:pPr>
        <w:spacing w:after="0" w:line="276" w:lineRule="auto"/>
        <w:rPr>
          <w:rFonts w:ascii="Arial" w:hAnsi="Arial" w:cs="Arial"/>
        </w:rPr>
      </w:pPr>
      <w:r w:rsidRPr="00CD1DC9">
        <w:rPr>
          <w:rFonts w:ascii="Arial" w:hAnsi="Arial" w:cs="Arial"/>
        </w:rPr>
        <w:t xml:space="preserve">Using a specialized software (incorporated in DXA machines), Trabecular Bone Score (TBS) can be generated from lumbar spine DXA images and is a measure that reflects bone </w:t>
      </w:r>
      <w:r w:rsidRPr="00CD1DC9">
        <w:rPr>
          <w:rFonts w:ascii="Arial" w:hAnsi="Arial" w:cs="Arial"/>
        </w:rPr>
        <w:lastRenderedPageBreak/>
        <w:t>microarchitecture and predicts fracture risk independent of bone density. TBS can now also be incorporated in the FRAX score.</w:t>
      </w:r>
    </w:p>
    <w:p w14:paraId="5D444557" w14:textId="77777777" w:rsidR="00B7381B" w:rsidRDefault="00B7381B" w:rsidP="00CD1DC9">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9350"/>
      </w:tblGrid>
      <w:tr w:rsidR="00B7381B" w:rsidRPr="00CD1DC9" w14:paraId="2D0B6A99" w14:textId="77777777" w:rsidTr="009A0875">
        <w:tc>
          <w:tcPr>
            <w:tcW w:w="0" w:type="auto"/>
            <w:shd w:val="clear" w:color="auto" w:fill="FFFF00"/>
          </w:tcPr>
          <w:p w14:paraId="40CDAA4F" w14:textId="2D2287AB" w:rsidR="00B7381B" w:rsidRPr="00CD1DC9" w:rsidRDefault="00B7381B" w:rsidP="00B7381B">
            <w:pPr>
              <w:spacing w:line="276" w:lineRule="auto"/>
              <w:rPr>
                <w:rFonts w:ascii="Arial" w:hAnsi="Arial" w:cs="Arial"/>
                <w:b/>
                <w:bCs/>
              </w:rPr>
            </w:pPr>
            <w:r w:rsidRPr="00CD1DC9">
              <w:rPr>
                <w:rFonts w:ascii="Arial" w:hAnsi="Arial" w:cs="Arial"/>
                <w:b/>
                <w:bCs/>
              </w:rPr>
              <w:t>Table 1.</w:t>
            </w:r>
            <w:r>
              <w:rPr>
                <w:rFonts w:ascii="Arial" w:hAnsi="Arial" w:cs="Arial"/>
                <w:b/>
                <w:bCs/>
              </w:rPr>
              <w:t xml:space="preserve"> </w:t>
            </w:r>
            <w:r w:rsidRPr="00B7381B">
              <w:rPr>
                <w:rFonts w:ascii="Arial" w:hAnsi="Arial" w:cs="Arial"/>
                <w:b/>
                <w:bCs/>
              </w:rPr>
              <w:t>Imaging Assessment Recommendations</w:t>
            </w:r>
          </w:p>
        </w:tc>
      </w:tr>
      <w:tr w:rsidR="002E1549" w:rsidRPr="00CD1DC9" w14:paraId="68CF48AE" w14:textId="77777777" w:rsidTr="00B7381B">
        <w:tc>
          <w:tcPr>
            <w:tcW w:w="0" w:type="auto"/>
            <w:hideMark/>
          </w:tcPr>
          <w:p w14:paraId="1178F803" w14:textId="254BFB4F" w:rsidR="002E1549" w:rsidRPr="00CD1DC9" w:rsidRDefault="002E1549" w:rsidP="00CD1DC9">
            <w:pPr>
              <w:spacing w:line="276" w:lineRule="auto"/>
              <w:rPr>
                <w:rFonts w:ascii="Arial" w:hAnsi="Arial" w:cs="Arial"/>
              </w:rPr>
            </w:pPr>
            <w:r w:rsidRPr="00CD1DC9">
              <w:rPr>
                <w:rFonts w:ascii="Arial" w:hAnsi="Arial" w:cs="Arial"/>
                <w:b/>
                <w:bCs/>
              </w:rPr>
              <w:t>DXA Tests:</w:t>
            </w:r>
            <w:r w:rsidRPr="00CD1DC9">
              <w:rPr>
                <w:rFonts w:ascii="Arial" w:hAnsi="Arial" w:cs="Arial"/>
              </w:rPr>
              <w:br/>
              <w:t>Women aged ≥65 and older men aged ≥70</w:t>
            </w:r>
            <w:r w:rsidRPr="00CD1DC9">
              <w:rPr>
                <w:rFonts w:ascii="Arial" w:hAnsi="Arial" w:cs="Arial"/>
              </w:rPr>
              <w:br/>
              <w:t>Younger postmenopausal women and men aged 50-69 with risk factors for bone loss or fractures</w:t>
            </w:r>
            <w:r w:rsidRPr="00CD1DC9">
              <w:rPr>
                <w:rFonts w:ascii="Arial" w:hAnsi="Arial" w:cs="Arial"/>
              </w:rPr>
              <w:br/>
            </w:r>
            <w:r w:rsidR="00A559B9" w:rsidRPr="00276660">
              <w:rPr>
                <w:rFonts w:ascii="Arial" w:hAnsi="Arial" w:cs="Arial"/>
              </w:rPr>
              <w:t xml:space="preserve">Adults who have a fracture at age </w:t>
            </w:r>
            <w:r w:rsidRPr="00276660">
              <w:rPr>
                <w:rFonts w:ascii="Arial" w:hAnsi="Arial" w:cs="Arial"/>
              </w:rPr>
              <w:t>≥50</w:t>
            </w:r>
            <w:r w:rsidRPr="00CD1DC9">
              <w:rPr>
                <w:rFonts w:ascii="Arial" w:hAnsi="Arial" w:cs="Arial"/>
              </w:rPr>
              <w:br/>
              <w:t>Adults with a medical condition or taking a medication associated with bone loss and/or fractures</w:t>
            </w:r>
          </w:p>
        </w:tc>
      </w:tr>
      <w:tr w:rsidR="002E1549" w:rsidRPr="00CD1DC9" w14:paraId="4C0E90F6" w14:textId="77777777" w:rsidTr="00B7381B">
        <w:tc>
          <w:tcPr>
            <w:tcW w:w="0" w:type="auto"/>
            <w:hideMark/>
          </w:tcPr>
          <w:p w14:paraId="4C864220" w14:textId="47FC5B5A" w:rsidR="00BB2508" w:rsidRPr="00FF1FE9" w:rsidRDefault="002E1549" w:rsidP="00CD1DC9">
            <w:pPr>
              <w:spacing w:line="276" w:lineRule="auto"/>
              <w:rPr>
                <w:rFonts w:ascii="Arial" w:hAnsi="Arial" w:cs="Arial"/>
              </w:rPr>
            </w:pPr>
            <w:r w:rsidRPr="00CD1DC9">
              <w:rPr>
                <w:rFonts w:ascii="Arial" w:hAnsi="Arial" w:cs="Arial"/>
                <w:b/>
                <w:bCs/>
              </w:rPr>
              <w:t>Vertebral Imaging Tests:</w:t>
            </w:r>
            <w:r w:rsidRPr="00CD1DC9">
              <w:rPr>
                <w:rFonts w:ascii="Arial" w:hAnsi="Arial" w:cs="Arial"/>
              </w:rPr>
              <w:br/>
              <w:t xml:space="preserve">Women </w:t>
            </w:r>
            <w:r w:rsidRPr="00FF1FE9">
              <w:rPr>
                <w:rFonts w:ascii="Arial" w:hAnsi="Arial" w:cs="Arial"/>
              </w:rPr>
              <w:t>aged ≥</w:t>
            </w:r>
            <w:r w:rsidR="004132D0" w:rsidRPr="00FF1FE9">
              <w:rPr>
                <w:rFonts w:ascii="Arial" w:hAnsi="Arial" w:cs="Arial"/>
              </w:rPr>
              <w:t>65</w:t>
            </w:r>
            <w:r w:rsidRPr="00FF1FE9">
              <w:rPr>
                <w:rFonts w:ascii="Arial" w:hAnsi="Arial" w:cs="Arial"/>
              </w:rPr>
              <w:t xml:space="preserve"> </w:t>
            </w:r>
            <w:r w:rsidR="004132D0" w:rsidRPr="00FF1FE9">
              <w:rPr>
                <w:rFonts w:ascii="Arial" w:hAnsi="Arial" w:cs="Arial"/>
              </w:rPr>
              <w:t xml:space="preserve">if T-score is </w:t>
            </w:r>
            <w:r w:rsidRPr="00FF1FE9">
              <w:rPr>
                <w:rFonts w:ascii="Arial" w:hAnsi="Arial" w:cs="Arial"/>
              </w:rPr>
              <w:t>≤ -1.0</w:t>
            </w:r>
            <w:r w:rsidR="004132D0" w:rsidRPr="00FF1FE9">
              <w:rPr>
                <w:rFonts w:ascii="Arial" w:hAnsi="Arial" w:cs="Arial"/>
              </w:rPr>
              <w:t xml:space="preserve"> at the femoral neck</w:t>
            </w:r>
          </w:p>
          <w:p w14:paraId="693DA314" w14:textId="6777F464" w:rsidR="00BB2508" w:rsidRPr="00FF1FE9" w:rsidRDefault="004132D0" w:rsidP="00CD1DC9">
            <w:pPr>
              <w:spacing w:line="276" w:lineRule="auto"/>
              <w:rPr>
                <w:rFonts w:ascii="Arial" w:hAnsi="Arial" w:cs="Arial"/>
              </w:rPr>
            </w:pPr>
            <w:r w:rsidRPr="00FF1FE9">
              <w:rPr>
                <w:rFonts w:ascii="Arial" w:hAnsi="Arial" w:cs="Arial"/>
              </w:rPr>
              <w:t xml:space="preserve">Women aged ≥70 and </w:t>
            </w:r>
            <w:r w:rsidR="00BB2508" w:rsidRPr="00FF1FE9">
              <w:rPr>
                <w:rFonts w:ascii="Arial" w:hAnsi="Arial" w:cs="Arial"/>
              </w:rPr>
              <w:t xml:space="preserve">men aged ≥80 if T-score is ≤ -1.0 at the lumbar spine, total hip, or femoral neck  </w:t>
            </w:r>
            <w:r w:rsidR="002E1549" w:rsidRPr="00FF1FE9">
              <w:rPr>
                <w:rFonts w:ascii="Arial" w:hAnsi="Arial" w:cs="Arial"/>
              </w:rPr>
              <w:br/>
            </w:r>
            <w:r w:rsidR="00BB2508" w:rsidRPr="00FF1FE9">
              <w:rPr>
                <w:rFonts w:ascii="Arial" w:hAnsi="Arial" w:cs="Arial"/>
              </w:rPr>
              <w:t>Men aged 70-79 if T-score is ≤ -1.5 at the lumbar spine, total hip, or femoral neck</w:t>
            </w:r>
            <w:r w:rsidR="002E1549" w:rsidRPr="00FF1FE9">
              <w:rPr>
                <w:rFonts w:ascii="Arial" w:hAnsi="Arial" w:cs="Arial"/>
              </w:rPr>
              <w:br/>
              <w:t>Postmenopausal women and men aged ≥50 with specific risk factors:</w:t>
            </w:r>
          </w:p>
          <w:p w14:paraId="568ECAFD" w14:textId="57647D68" w:rsidR="00BB2508" w:rsidRPr="00FF1FE9" w:rsidRDefault="00BB2508" w:rsidP="00CD1DC9">
            <w:pPr>
              <w:pStyle w:val="ListParagraph"/>
              <w:numPr>
                <w:ilvl w:val="0"/>
                <w:numId w:val="3"/>
              </w:numPr>
              <w:spacing w:line="276" w:lineRule="auto"/>
              <w:ind w:left="0"/>
              <w:rPr>
                <w:rFonts w:ascii="Arial" w:hAnsi="Arial" w:cs="Arial"/>
              </w:rPr>
            </w:pPr>
            <w:r w:rsidRPr="00FF1FE9">
              <w:rPr>
                <w:rFonts w:ascii="Arial" w:hAnsi="Arial" w:cs="Arial"/>
              </w:rPr>
              <w:t xml:space="preserve">Fracture(s) during adulthood </w:t>
            </w:r>
            <w:r w:rsidR="00A559B9" w:rsidRPr="00FF1FE9">
              <w:rPr>
                <w:rFonts w:ascii="Arial" w:hAnsi="Arial" w:cs="Arial"/>
              </w:rPr>
              <w:t xml:space="preserve">(age ≥50) </w:t>
            </w:r>
            <w:r w:rsidRPr="00FF1FE9">
              <w:rPr>
                <w:rFonts w:ascii="Arial" w:hAnsi="Arial" w:cs="Arial"/>
              </w:rPr>
              <w:t xml:space="preserve">from any cause </w:t>
            </w:r>
          </w:p>
          <w:p w14:paraId="5CBF1596" w14:textId="144C84C9" w:rsidR="00BB2508" w:rsidRPr="00FF1FE9" w:rsidRDefault="002E1549" w:rsidP="00CD1DC9">
            <w:pPr>
              <w:pStyle w:val="ListParagraph"/>
              <w:numPr>
                <w:ilvl w:val="0"/>
                <w:numId w:val="3"/>
              </w:numPr>
              <w:spacing w:line="276" w:lineRule="auto"/>
              <w:ind w:left="0"/>
              <w:rPr>
                <w:rFonts w:ascii="Arial" w:hAnsi="Arial" w:cs="Arial"/>
              </w:rPr>
            </w:pPr>
            <w:r w:rsidRPr="00FF1FE9">
              <w:rPr>
                <w:rFonts w:ascii="Arial" w:hAnsi="Arial" w:cs="Arial"/>
              </w:rPr>
              <w:t>Historical height loss of ≥1.5 inches (4 cm)</w:t>
            </w:r>
          </w:p>
          <w:p w14:paraId="4D2B976E" w14:textId="4B3A5697" w:rsidR="00BB2508" w:rsidRPr="00FF1FE9" w:rsidRDefault="002E1549" w:rsidP="00CD1DC9">
            <w:pPr>
              <w:pStyle w:val="ListParagraph"/>
              <w:numPr>
                <w:ilvl w:val="0"/>
                <w:numId w:val="3"/>
              </w:numPr>
              <w:spacing w:line="276" w:lineRule="auto"/>
              <w:ind w:left="0"/>
              <w:rPr>
                <w:rFonts w:ascii="Arial" w:hAnsi="Arial" w:cs="Arial"/>
              </w:rPr>
            </w:pPr>
            <w:r w:rsidRPr="00FF1FE9">
              <w:rPr>
                <w:rFonts w:ascii="Arial" w:hAnsi="Arial" w:cs="Arial"/>
              </w:rPr>
              <w:t>Prospective/interval height loss of ≥0.8 inches (2 cm)</w:t>
            </w:r>
          </w:p>
          <w:p w14:paraId="46A6A350" w14:textId="29202E77" w:rsidR="002E1549" w:rsidRPr="00FF1FE9" w:rsidRDefault="002E1549" w:rsidP="00CD1DC9">
            <w:pPr>
              <w:pStyle w:val="ListParagraph"/>
              <w:numPr>
                <w:ilvl w:val="0"/>
                <w:numId w:val="3"/>
              </w:numPr>
              <w:spacing w:line="276" w:lineRule="auto"/>
              <w:ind w:left="0"/>
              <w:rPr>
                <w:rFonts w:ascii="Arial" w:hAnsi="Arial" w:cs="Arial"/>
              </w:rPr>
            </w:pPr>
            <w:r w:rsidRPr="00FF1FE9">
              <w:rPr>
                <w:rFonts w:ascii="Arial" w:hAnsi="Arial" w:cs="Arial"/>
              </w:rPr>
              <w:t>Glucocorticoid therapy</w:t>
            </w:r>
          </w:p>
          <w:p w14:paraId="732420E3" w14:textId="09C11E3D" w:rsidR="00BB2508" w:rsidRPr="00CD1DC9" w:rsidRDefault="00BB2508" w:rsidP="00CD1DC9">
            <w:pPr>
              <w:pStyle w:val="ListParagraph"/>
              <w:numPr>
                <w:ilvl w:val="0"/>
                <w:numId w:val="3"/>
              </w:numPr>
              <w:spacing w:line="276" w:lineRule="auto"/>
              <w:ind w:left="0"/>
              <w:rPr>
                <w:rFonts w:ascii="Arial" w:hAnsi="Arial" w:cs="Arial"/>
              </w:rPr>
            </w:pPr>
            <w:r w:rsidRPr="00FF1FE9">
              <w:rPr>
                <w:rFonts w:ascii="Arial" w:hAnsi="Arial" w:cs="Arial"/>
              </w:rPr>
              <w:t>Hyperparathyroidism</w:t>
            </w:r>
          </w:p>
        </w:tc>
      </w:tr>
    </w:tbl>
    <w:p w14:paraId="0F7EAA32" w14:textId="77777777" w:rsidR="00B7381B" w:rsidRDefault="00B7381B" w:rsidP="00CD1DC9">
      <w:pPr>
        <w:spacing w:after="0" w:line="276" w:lineRule="auto"/>
        <w:rPr>
          <w:rFonts w:ascii="Arial" w:hAnsi="Arial" w:cs="Arial"/>
        </w:rPr>
      </w:pPr>
    </w:p>
    <w:p w14:paraId="65DC07CE" w14:textId="5F9C6FEC" w:rsidR="002E1549" w:rsidRPr="00CD1DC9" w:rsidRDefault="002E1549" w:rsidP="00CD1DC9">
      <w:pPr>
        <w:spacing w:after="0" w:line="276" w:lineRule="auto"/>
        <w:rPr>
          <w:rFonts w:ascii="Arial" w:hAnsi="Arial" w:cs="Arial"/>
        </w:rPr>
      </w:pPr>
      <w:r w:rsidRPr="00CD1DC9">
        <w:rPr>
          <w:rFonts w:ascii="Arial" w:hAnsi="Arial" w:cs="Arial"/>
        </w:rPr>
        <w:t xml:space="preserve">When the diagnosis of a low bone density is made, a work-up to look for secondary causes of osteoporosis should be considered. </w:t>
      </w:r>
      <w:r w:rsidRPr="00FF1FE9">
        <w:rPr>
          <w:rFonts w:ascii="Arial" w:hAnsi="Arial" w:cs="Arial"/>
        </w:rPr>
        <w:t>See </w:t>
      </w:r>
      <w:hyperlink r:id="rId8" w:tgtFrame="object" w:history="1">
        <w:r w:rsidRPr="00FF1FE9">
          <w:rPr>
            <w:rStyle w:val="Hyperlink"/>
            <w:rFonts w:ascii="Arial" w:hAnsi="Arial" w:cs="Arial"/>
            <w:color w:val="auto"/>
            <w:u w:val="none"/>
          </w:rPr>
          <w:t>Table 2</w:t>
        </w:r>
      </w:hyperlink>
      <w:r w:rsidRPr="00CD1DC9">
        <w:rPr>
          <w:rFonts w:ascii="Arial" w:hAnsi="Arial" w:cs="Arial"/>
          <w:b/>
          <w:bCs/>
        </w:rPr>
        <w:t>.</w:t>
      </w:r>
    </w:p>
    <w:p w14:paraId="773D6F26" w14:textId="77777777" w:rsidR="00B7381B" w:rsidRDefault="00B7381B" w:rsidP="00CD1DC9">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2382"/>
        <w:gridCol w:w="6968"/>
      </w:tblGrid>
      <w:tr w:rsidR="00B7381B" w:rsidRPr="00CD1DC9" w14:paraId="4304A209" w14:textId="77777777" w:rsidTr="00FF1FE9">
        <w:tc>
          <w:tcPr>
            <w:tcW w:w="0" w:type="auto"/>
            <w:gridSpan w:val="2"/>
            <w:shd w:val="clear" w:color="auto" w:fill="FFFF00"/>
          </w:tcPr>
          <w:p w14:paraId="62E69590" w14:textId="3680ACB8" w:rsidR="00B7381B" w:rsidRPr="00FF1FE9" w:rsidRDefault="00B7381B" w:rsidP="00B7381B">
            <w:pPr>
              <w:spacing w:line="276" w:lineRule="auto"/>
              <w:rPr>
                <w:rFonts w:ascii="Arial" w:hAnsi="Arial" w:cs="Arial"/>
              </w:rPr>
            </w:pPr>
            <w:r w:rsidRPr="00FF1FE9">
              <w:rPr>
                <w:rFonts w:ascii="Arial" w:hAnsi="Arial" w:cs="Arial"/>
                <w:b/>
                <w:bCs/>
              </w:rPr>
              <w:t>Table 2.</w:t>
            </w:r>
            <w:r w:rsidRPr="00FF1FE9">
              <w:rPr>
                <w:rFonts w:ascii="Arial" w:hAnsi="Arial" w:cs="Arial"/>
                <w:b/>
                <w:bCs/>
              </w:rPr>
              <w:t xml:space="preserve"> </w:t>
            </w:r>
            <w:r w:rsidRPr="00FF1FE9">
              <w:rPr>
                <w:rFonts w:ascii="Arial" w:hAnsi="Arial" w:cs="Arial"/>
                <w:b/>
                <w:bCs/>
                <w:shd w:val="clear" w:color="auto" w:fill="FFFF00"/>
              </w:rPr>
              <w:t>Secondary Causes of Osteoporosis</w:t>
            </w:r>
          </w:p>
        </w:tc>
      </w:tr>
      <w:tr w:rsidR="007538F4" w:rsidRPr="00CD1DC9" w14:paraId="5D91A452" w14:textId="77777777" w:rsidTr="00B7381B">
        <w:tc>
          <w:tcPr>
            <w:tcW w:w="0" w:type="auto"/>
            <w:hideMark/>
          </w:tcPr>
          <w:p w14:paraId="402C4942" w14:textId="77777777" w:rsidR="002E1549" w:rsidRPr="00FF1FE9" w:rsidRDefault="002E1549" w:rsidP="00CD1DC9">
            <w:pPr>
              <w:spacing w:line="276" w:lineRule="auto"/>
              <w:rPr>
                <w:rFonts w:ascii="Arial" w:hAnsi="Arial" w:cs="Arial"/>
              </w:rPr>
            </w:pPr>
            <w:r w:rsidRPr="00FF1FE9">
              <w:rPr>
                <w:rFonts w:ascii="Arial" w:hAnsi="Arial" w:cs="Arial"/>
                <w:b/>
                <w:bCs/>
              </w:rPr>
              <w:t>Endocrinological Abnormalities</w:t>
            </w:r>
          </w:p>
        </w:tc>
        <w:tc>
          <w:tcPr>
            <w:tcW w:w="0" w:type="auto"/>
            <w:hideMark/>
          </w:tcPr>
          <w:p w14:paraId="7E033EEA" w14:textId="77777777" w:rsidR="002E1549" w:rsidRPr="00FF1FE9" w:rsidRDefault="002E1549" w:rsidP="00CD1DC9">
            <w:pPr>
              <w:spacing w:line="276" w:lineRule="auto"/>
              <w:rPr>
                <w:rFonts w:ascii="Arial" w:hAnsi="Arial" w:cs="Arial"/>
              </w:rPr>
            </w:pPr>
            <w:r w:rsidRPr="00FF1FE9">
              <w:rPr>
                <w:rFonts w:ascii="Arial" w:hAnsi="Arial" w:cs="Arial"/>
              </w:rPr>
              <w:t>Glucocorticoid excess, hyperthyroidism, hypogonadism, anorexia, prolactinoma, hyperparathyroidism</w:t>
            </w:r>
          </w:p>
        </w:tc>
      </w:tr>
      <w:tr w:rsidR="007538F4" w:rsidRPr="00CD1DC9" w14:paraId="2F6106EC" w14:textId="77777777" w:rsidTr="00B7381B">
        <w:tc>
          <w:tcPr>
            <w:tcW w:w="0" w:type="auto"/>
            <w:hideMark/>
          </w:tcPr>
          <w:p w14:paraId="3759CDCF" w14:textId="2C923D96" w:rsidR="002E1549" w:rsidRPr="00FF1FE9" w:rsidRDefault="002902EE" w:rsidP="00CD1DC9">
            <w:pPr>
              <w:spacing w:line="276" w:lineRule="auto"/>
              <w:rPr>
                <w:rFonts w:ascii="Arial" w:hAnsi="Arial" w:cs="Arial"/>
              </w:rPr>
            </w:pPr>
            <w:r w:rsidRPr="00FF1FE9">
              <w:rPr>
                <w:rFonts w:ascii="Arial" w:hAnsi="Arial" w:cs="Arial"/>
                <w:b/>
                <w:bCs/>
              </w:rPr>
              <w:t>Hematologic Disorders</w:t>
            </w:r>
            <w:r w:rsidR="002E1549" w:rsidRPr="00FF1FE9">
              <w:rPr>
                <w:rFonts w:ascii="Arial" w:hAnsi="Arial" w:cs="Arial"/>
                <w:b/>
                <w:bCs/>
              </w:rPr>
              <w:t xml:space="preserve"> </w:t>
            </w:r>
          </w:p>
        </w:tc>
        <w:tc>
          <w:tcPr>
            <w:tcW w:w="0" w:type="auto"/>
            <w:hideMark/>
          </w:tcPr>
          <w:p w14:paraId="0B3946E2" w14:textId="77777777" w:rsidR="002E1549" w:rsidRPr="00FF1FE9" w:rsidRDefault="002E1549" w:rsidP="00CD1DC9">
            <w:pPr>
              <w:spacing w:line="276" w:lineRule="auto"/>
              <w:rPr>
                <w:rFonts w:ascii="Arial" w:hAnsi="Arial" w:cs="Arial"/>
              </w:rPr>
            </w:pPr>
            <w:r w:rsidRPr="00FF1FE9">
              <w:rPr>
                <w:rFonts w:ascii="Arial" w:hAnsi="Arial" w:cs="Arial"/>
              </w:rPr>
              <w:t>Multiple myeloma, mastocytosis, leukemia</w:t>
            </w:r>
          </w:p>
        </w:tc>
      </w:tr>
      <w:tr w:rsidR="007538F4" w:rsidRPr="00CD1DC9" w14:paraId="64F08D5C" w14:textId="77777777" w:rsidTr="00B7381B">
        <w:tc>
          <w:tcPr>
            <w:tcW w:w="0" w:type="auto"/>
            <w:hideMark/>
          </w:tcPr>
          <w:p w14:paraId="385355C4" w14:textId="1B232958" w:rsidR="002E1549" w:rsidRPr="00FF1FE9" w:rsidRDefault="007538F4" w:rsidP="00CD1DC9">
            <w:pPr>
              <w:spacing w:line="276" w:lineRule="auto"/>
              <w:rPr>
                <w:rFonts w:ascii="Arial" w:hAnsi="Arial" w:cs="Arial"/>
              </w:rPr>
            </w:pPr>
            <w:r w:rsidRPr="00FF1FE9">
              <w:rPr>
                <w:rFonts w:ascii="Arial" w:hAnsi="Arial" w:cs="Arial"/>
                <w:b/>
                <w:bCs/>
              </w:rPr>
              <w:t xml:space="preserve">Renal </w:t>
            </w:r>
            <w:r w:rsidR="002E1549" w:rsidRPr="00FF1FE9">
              <w:rPr>
                <w:rFonts w:ascii="Arial" w:hAnsi="Arial" w:cs="Arial"/>
                <w:b/>
                <w:bCs/>
              </w:rPr>
              <w:t>Disease</w:t>
            </w:r>
          </w:p>
        </w:tc>
        <w:tc>
          <w:tcPr>
            <w:tcW w:w="0" w:type="auto"/>
            <w:hideMark/>
          </w:tcPr>
          <w:p w14:paraId="700E055C" w14:textId="2AF9F102" w:rsidR="002E1549" w:rsidRPr="00FF1FE9" w:rsidRDefault="002E1549" w:rsidP="00CD1DC9">
            <w:pPr>
              <w:spacing w:line="276" w:lineRule="auto"/>
              <w:rPr>
                <w:rFonts w:ascii="Arial" w:hAnsi="Arial" w:cs="Arial"/>
              </w:rPr>
            </w:pPr>
            <w:r w:rsidRPr="00FF1FE9">
              <w:rPr>
                <w:rFonts w:ascii="Arial" w:hAnsi="Arial" w:cs="Arial"/>
              </w:rPr>
              <w:t>Metabolic bone disease</w:t>
            </w:r>
            <w:r w:rsidR="007538F4" w:rsidRPr="00FF1FE9">
              <w:rPr>
                <w:rFonts w:ascii="Arial" w:hAnsi="Arial" w:cs="Arial"/>
              </w:rPr>
              <w:t>, nephrolithiasis</w:t>
            </w:r>
          </w:p>
        </w:tc>
      </w:tr>
      <w:tr w:rsidR="007538F4" w:rsidRPr="00CD1DC9" w14:paraId="4E56A0C4" w14:textId="77777777" w:rsidTr="00B7381B">
        <w:tc>
          <w:tcPr>
            <w:tcW w:w="0" w:type="auto"/>
            <w:hideMark/>
          </w:tcPr>
          <w:p w14:paraId="7B6BF4D6" w14:textId="77777777" w:rsidR="002E1549" w:rsidRPr="00FF1FE9" w:rsidRDefault="002E1549" w:rsidP="00CD1DC9">
            <w:pPr>
              <w:spacing w:line="276" w:lineRule="auto"/>
              <w:rPr>
                <w:rFonts w:ascii="Arial" w:hAnsi="Arial" w:cs="Arial"/>
              </w:rPr>
            </w:pPr>
            <w:r w:rsidRPr="00FF1FE9">
              <w:rPr>
                <w:rFonts w:ascii="Arial" w:hAnsi="Arial" w:cs="Arial"/>
                <w:b/>
                <w:bCs/>
              </w:rPr>
              <w:t>Connective Tissue Disorders</w:t>
            </w:r>
          </w:p>
        </w:tc>
        <w:tc>
          <w:tcPr>
            <w:tcW w:w="0" w:type="auto"/>
            <w:hideMark/>
          </w:tcPr>
          <w:p w14:paraId="779C9D97" w14:textId="77777777" w:rsidR="002E1549" w:rsidRPr="00FF1FE9" w:rsidRDefault="002E1549" w:rsidP="00CD1DC9">
            <w:pPr>
              <w:spacing w:line="276" w:lineRule="auto"/>
              <w:rPr>
                <w:rFonts w:ascii="Arial" w:hAnsi="Arial" w:cs="Arial"/>
              </w:rPr>
            </w:pPr>
            <w:r w:rsidRPr="00FF1FE9">
              <w:rPr>
                <w:rFonts w:ascii="Arial" w:hAnsi="Arial" w:cs="Arial"/>
              </w:rPr>
              <w:t>Osteogenesis Imperfecta, Ehlers-Danlos syndrome</w:t>
            </w:r>
          </w:p>
        </w:tc>
      </w:tr>
      <w:tr w:rsidR="007538F4" w:rsidRPr="00CD1DC9" w14:paraId="4666D6CA" w14:textId="77777777" w:rsidTr="00B7381B">
        <w:tc>
          <w:tcPr>
            <w:tcW w:w="0" w:type="auto"/>
            <w:hideMark/>
          </w:tcPr>
          <w:p w14:paraId="6C62633B" w14:textId="77777777" w:rsidR="002E1549" w:rsidRPr="00FF1FE9" w:rsidRDefault="002E1549" w:rsidP="00CD1DC9">
            <w:pPr>
              <w:spacing w:line="276" w:lineRule="auto"/>
              <w:rPr>
                <w:rFonts w:ascii="Arial" w:hAnsi="Arial" w:cs="Arial"/>
              </w:rPr>
            </w:pPr>
            <w:r w:rsidRPr="00FF1FE9">
              <w:rPr>
                <w:rFonts w:ascii="Arial" w:hAnsi="Arial" w:cs="Arial"/>
                <w:b/>
                <w:bCs/>
              </w:rPr>
              <w:t>Gastrointestinal Diseases</w:t>
            </w:r>
          </w:p>
        </w:tc>
        <w:tc>
          <w:tcPr>
            <w:tcW w:w="0" w:type="auto"/>
            <w:hideMark/>
          </w:tcPr>
          <w:p w14:paraId="1585BB15" w14:textId="1377B27C" w:rsidR="002E1549" w:rsidRPr="00FF1FE9" w:rsidRDefault="002E1549" w:rsidP="00CD1DC9">
            <w:pPr>
              <w:spacing w:line="276" w:lineRule="auto"/>
              <w:rPr>
                <w:rFonts w:ascii="Arial" w:hAnsi="Arial" w:cs="Arial"/>
              </w:rPr>
            </w:pPr>
            <w:r w:rsidRPr="00FF1FE9">
              <w:rPr>
                <w:rFonts w:ascii="Arial" w:hAnsi="Arial" w:cs="Arial"/>
              </w:rPr>
              <w:t xml:space="preserve">Celiac </w:t>
            </w:r>
            <w:r w:rsidR="007538F4" w:rsidRPr="00FF1FE9">
              <w:rPr>
                <w:rFonts w:ascii="Arial" w:hAnsi="Arial" w:cs="Arial"/>
              </w:rPr>
              <w:t>disease</w:t>
            </w:r>
            <w:r w:rsidRPr="00FF1FE9">
              <w:rPr>
                <w:rFonts w:ascii="Arial" w:hAnsi="Arial" w:cs="Arial"/>
              </w:rPr>
              <w:t>, inflammatory bowel disease, post-gastrectomy, bariatric surgery</w:t>
            </w:r>
          </w:p>
        </w:tc>
      </w:tr>
      <w:tr w:rsidR="007538F4" w:rsidRPr="00CD1DC9" w14:paraId="3B32A3F2" w14:textId="77777777" w:rsidTr="00B7381B">
        <w:tc>
          <w:tcPr>
            <w:tcW w:w="0" w:type="auto"/>
            <w:hideMark/>
          </w:tcPr>
          <w:p w14:paraId="724AEC21" w14:textId="77777777" w:rsidR="002E1549" w:rsidRPr="00FF1FE9" w:rsidRDefault="002E1549" w:rsidP="00CD1DC9">
            <w:pPr>
              <w:spacing w:line="276" w:lineRule="auto"/>
              <w:rPr>
                <w:rFonts w:ascii="Arial" w:hAnsi="Arial" w:cs="Arial"/>
              </w:rPr>
            </w:pPr>
            <w:r w:rsidRPr="00FF1FE9">
              <w:rPr>
                <w:rFonts w:ascii="Arial" w:hAnsi="Arial" w:cs="Arial"/>
                <w:b/>
                <w:bCs/>
              </w:rPr>
              <w:t>Rheumatological Disorders</w:t>
            </w:r>
          </w:p>
        </w:tc>
        <w:tc>
          <w:tcPr>
            <w:tcW w:w="0" w:type="auto"/>
            <w:hideMark/>
          </w:tcPr>
          <w:p w14:paraId="3F51ABA5" w14:textId="77777777" w:rsidR="002E1549" w:rsidRPr="00FF1FE9" w:rsidRDefault="002E1549" w:rsidP="00CD1DC9">
            <w:pPr>
              <w:spacing w:line="276" w:lineRule="auto"/>
              <w:rPr>
                <w:rFonts w:ascii="Arial" w:hAnsi="Arial" w:cs="Arial"/>
              </w:rPr>
            </w:pPr>
            <w:r w:rsidRPr="00FF1FE9">
              <w:rPr>
                <w:rFonts w:ascii="Arial" w:hAnsi="Arial" w:cs="Arial"/>
              </w:rPr>
              <w:t>Ankylosing spondylitis, rheumatoid arthritis</w:t>
            </w:r>
          </w:p>
        </w:tc>
      </w:tr>
      <w:tr w:rsidR="007538F4" w:rsidRPr="00CD1DC9" w14:paraId="47A8F15C" w14:textId="77777777" w:rsidTr="00B7381B">
        <w:tc>
          <w:tcPr>
            <w:tcW w:w="0" w:type="auto"/>
            <w:hideMark/>
          </w:tcPr>
          <w:p w14:paraId="20C84DF0" w14:textId="77777777" w:rsidR="002E1549" w:rsidRPr="00FF1FE9" w:rsidRDefault="002E1549" w:rsidP="00CD1DC9">
            <w:pPr>
              <w:spacing w:line="276" w:lineRule="auto"/>
              <w:rPr>
                <w:rFonts w:ascii="Arial" w:hAnsi="Arial" w:cs="Arial"/>
              </w:rPr>
            </w:pPr>
            <w:r w:rsidRPr="00FF1FE9">
              <w:rPr>
                <w:rFonts w:ascii="Arial" w:hAnsi="Arial" w:cs="Arial"/>
                <w:b/>
                <w:bCs/>
              </w:rPr>
              <w:t>Medications</w:t>
            </w:r>
          </w:p>
        </w:tc>
        <w:tc>
          <w:tcPr>
            <w:tcW w:w="0" w:type="auto"/>
            <w:hideMark/>
          </w:tcPr>
          <w:p w14:paraId="3F62AD8E" w14:textId="3AE40FB0" w:rsidR="002E1549" w:rsidRPr="00FF1FE9" w:rsidRDefault="007538F4" w:rsidP="00CD1DC9">
            <w:pPr>
              <w:spacing w:line="276" w:lineRule="auto"/>
              <w:rPr>
                <w:rFonts w:ascii="Arial" w:hAnsi="Arial" w:cs="Arial"/>
              </w:rPr>
            </w:pPr>
            <w:r w:rsidRPr="00FF1FE9">
              <w:rPr>
                <w:rFonts w:ascii="Arial" w:hAnsi="Arial" w:cs="Arial"/>
              </w:rPr>
              <w:t>Glucocorticoids, cyclophosphamide, a</w:t>
            </w:r>
            <w:r w:rsidR="002E1549" w:rsidRPr="00FF1FE9">
              <w:rPr>
                <w:rFonts w:ascii="Arial" w:hAnsi="Arial" w:cs="Arial"/>
              </w:rPr>
              <w:t>romatase inhibitors, heparin, methotrexate,</w:t>
            </w:r>
            <w:r w:rsidR="00BE6C0A" w:rsidRPr="00FF1FE9">
              <w:rPr>
                <w:rFonts w:ascii="Arial" w:hAnsi="Arial" w:cs="Arial"/>
              </w:rPr>
              <w:t xml:space="preserve"> </w:t>
            </w:r>
            <w:r w:rsidR="002E1549" w:rsidRPr="00FF1FE9">
              <w:rPr>
                <w:rFonts w:ascii="Arial" w:hAnsi="Arial" w:cs="Arial"/>
              </w:rPr>
              <w:t>androgen deprivation therapy, gonadotropin releasing hormone agonists, proton-pump inhibitors, selective serotonin reuptake inhibitors</w:t>
            </w:r>
          </w:p>
        </w:tc>
      </w:tr>
    </w:tbl>
    <w:p w14:paraId="2028E2D8" w14:textId="77777777" w:rsidR="009A0875" w:rsidRDefault="009A0875" w:rsidP="00CD1DC9">
      <w:pPr>
        <w:spacing w:after="0" w:line="276" w:lineRule="auto"/>
        <w:rPr>
          <w:rFonts w:ascii="Arial" w:hAnsi="Arial" w:cs="Arial"/>
        </w:rPr>
      </w:pPr>
    </w:p>
    <w:p w14:paraId="374028EB" w14:textId="3C9E4E26" w:rsidR="002E1549" w:rsidRPr="00CD1DC9" w:rsidRDefault="002E1549" w:rsidP="00CD1DC9">
      <w:pPr>
        <w:spacing w:after="0" w:line="276" w:lineRule="auto"/>
        <w:rPr>
          <w:rFonts w:ascii="Arial" w:hAnsi="Arial" w:cs="Arial"/>
        </w:rPr>
      </w:pPr>
      <w:r w:rsidRPr="00CD1DC9">
        <w:rPr>
          <w:rFonts w:ascii="Arial" w:hAnsi="Arial" w:cs="Arial"/>
        </w:rPr>
        <w:lastRenderedPageBreak/>
        <w:t>Laboratory evaluation may include the following: calcium, phosphorus, liver tests (including alkaline phosphatase), CBC, 25-hydroxyvitamin D, 24-hour urine calcium, +/- parathyroid hormone, and thyroid stimulating hormone (if clinical evidence of hyperthyroidism or those already on thyroid hormone replacement), and serum testosterone level in men. For select cases one may consider obtaining specialized tests for gastrointestinal disorders (tissue transglutaminase for celiac disease with an IgA level), infiltrative diseases (serum tryptase for mastocytosis), neoplastic (serum and urine protein electrophoresis), or excess glucocorticoid (24-hour urine cortisol, dexamethasone suppression test).</w:t>
      </w:r>
    </w:p>
    <w:p w14:paraId="3C0626AD" w14:textId="77777777" w:rsidR="009A0875" w:rsidRDefault="009A0875" w:rsidP="00CD1DC9">
      <w:pPr>
        <w:spacing w:after="0" w:line="276" w:lineRule="auto"/>
        <w:rPr>
          <w:rFonts w:ascii="Arial" w:hAnsi="Arial" w:cs="Arial"/>
          <w:b/>
          <w:bCs/>
        </w:rPr>
      </w:pPr>
    </w:p>
    <w:p w14:paraId="34E45F32" w14:textId="5B93468B"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TREATMENT</w:t>
      </w:r>
    </w:p>
    <w:p w14:paraId="3DAB5F4F" w14:textId="77777777" w:rsidR="009A0875" w:rsidRDefault="009A0875" w:rsidP="00CD1DC9">
      <w:pPr>
        <w:spacing w:after="0" w:line="276" w:lineRule="auto"/>
        <w:rPr>
          <w:rFonts w:ascii="Arial" w:hAnsi="Arial" w:cs="Arial"/>
          <w:b/>
          <w:bCs/>
        </w:rPr>
      </w:pPr>
    </w:p>
    <w:p w14:paraId="3824D10A" w14:textId="53068F11" w:rsidR="002E1549" w:rsidRPr="00B86611" w:rsidRDefault="002E1549" w:rsidP="00CD1DC9">
      <w:pPr>
        <w:spacing w:after="0" w:line="276" w:lineRule="auto"/>
        <w:rPr>
          <w:rFonts w:ascii="Arial" w:hAnsi="Arial" w:cs="Arial"/>
          <w:b/>
          <w:bCs/>
          <w:color w:val="00B050"/>
        </w:rPr>
      </w:pPr>
      <w:r w:rsidRPr="00B86611">
        <w:rPr>
          <w:rFonts w:ascii="Arial" w:hAnsi="Arial" w:cs="Arial"/>
          <w:b/>
          <w:bCs/>
          <w:color w:val="00B050"/>
        </w:rPr>
        <w:t>Fractures</w:t>
      </w:r>
    </w:p>
    <w:p w14:paraId="3B6FDDC3" w14:textId="77777777" w:rsidR="00FF1FE9" w:rsidRDefault="00FF1FE9" w:rsidP="00CD1DC9">
      <w:pPr>
        <w:spacing w:after="0" w:line="276" w:lineRule="auto"/>
        <w:rPr>
          <w:rFonts w:ascii="Arial" w:hAnsi="Arial" w:cs="Arial"/>
        </w:rPr>
      </w:pPr>
    </w:p>
    <w:p w14:paraId="7774383B" w14:textId="3E64C895" w:rsidR="002E1549" w:rsidRPr="00CD1DC9" w:rsidRDefault="002E1549" w:rsidP="00CD1DC9">
      <w:pPr>
        <w:spacing w:after="0" w:line="276" w:lineRule="auto"/>
        <w:rPr>
          <w:rFonts w:ascii="Arial" w:hAnsi="Arial" w:cs="Arial"/>
        </w:rPr>
      </w:pPr>
      <w:r w:rsidRPr="00CD1DC9">
        <w:rPr>
          <w:rFonts w:ascii="Arial" w:hAnsi="Arial" w:cs="Arial"/>
        </w:rPr>
        <w:t xml:space="preserve">The management of a vertebral compression fracture involves both pharmacologic and non-pharmacologic approaches. The acute pain typically subsides over several weeks, but pain management with non-steroidal anti-inflammatory drugs, neuropathic pain agents, or narcotics may be needed. A 2-4 week course of calcitonin, administered as one spray (200 IU) per day intranasally, may help patients who need additional acute pain management. </w:t>
      </w:r>
      <w:r w:rsidR="005E3298" w:rsidRPr="00FF1FE9">
        <w:rPr>
          <w:rFonts w:ascii="Arial" w:hAnsi="Arial" w:cs="Arial"/>
        </w:rPr>
        <w:t xml:space="preserve">Spinal bracing may help with pain by limiting movement of bone fragments against one another, and physical therapy may improve mobility and reduce fear of falling. </w:t>
      </w:r>
      <w:r w:rsidRPr="00FF1FE9">
        <w:rPr>
          <w:rFonts w:ascii="Arial" w:hAnsi="Arial" w:cs="Arial"/>
        </w:rPr>
        <w:t xml:space="preserve">Vertebral fractures are common in older adults and secondary fracture prevention is important. </w:t>
      </w:r>
      <w:r w:rsidR="003B3AAE" w:rsidRPr="00FF1FE9">
        <w:rPr>
          <w:rFonts w:ascii="Arial" w:hAnsi="Arial" w:cs="Arial"/>
        </w:rPr>
        <w:t>After a vertebral fracture, patients should immediately start osteoporosis treatment to prevent subsequent vertebral fractures, particularly teriparatide, abaloparatide, zoledronic acid, denosumab, or romosozumab, which have been shown to reduce vertebral fracture risk within the first year of treatment.</w:t>
      </w:r>
    </w:p>
    <w:p w14:paraId="6F2C23D4" w14:textId="77777777" w:rsidR="009A0875" w:rsidRDefault="009A0875" w:rsidP="00CD1DC9">
      <w:pPr>
        <w:spacing w:after="0" w:line="276" w:lineRule="auto"/>
        <w:rPr>
          <w:rFonts w:ascii="Arial" w:hAnsi="Arial" w:cs="Arial"/>
        </w:rPr>
      </w:pPr>
    </w:p>
    <w:p w14:paraId="409E3A33" w14:textId="42BD50F4" w:rsidR="002E1549" w:rsidRPr="00CD1DC9" w:rsidRDefault="002E1549" w:rsidP="00CD1DC9">
      <w:pPr>
        <w:spacing w:after="0" w:line="276" w:lineRule="auto"/>
        <w:rPr>
          <w:rFonts w:ascii="Arial" w:hAnsi="Arial" w:cs="Arial"/>
        </w:rPr>
      </w:pPr>
      <w:r w:rsidRPr="00CD1DC9">
        <w:rPr>
          <w:rFonts w:ascii="Arial" w:hAnsi="Arial" w:cs="Arial"/>
        </w:rPr>
        <w:t xml:space="preserve">Procedures such as vertebroplasty or kyphoplasty have been thought to be effective for acute fracture pain; however, this finding has not been replicated across </w:t>
      </w:r>
      <w:r w:rsidRPr="00E232C1">
        <w:rPr>
          <w:rFonts w:ascii="Arial" w:hAnsi="Arial" w:cs="Arial"/>
        </w:rPr>
        <w:t>studies</w:t>
      </w:r>
      <w:r w:rsidR="00F76B12" w:rsidRPr="00E232C1">
        <w:rPr>
          <w:rFonts w:ascii="Arial" w:hAnsi="Arial" w:cs="Arial"/>
        </w:rPr>
        <w:t>, especially in those</w:t>
      </w:r>
      <w:r w:rsidR="00E53A26" w:rsidRPr="00E232C1">
        <w:rPr>
          <w:rFonts w:ascii="Arial" w:hAnsi="Arial" w:cs="Arial"/>
        </w:rPr>
        <w:t xml:space="preserve"> controlled by sham operations</w:t>
      </w:r>
      <w:r w:rsidRPr="00E232C1">
        <w:rPr>
          <w:rFonts w:ascii="Arial" w:hAnsi="Arial" w:cs="Arial"/>
        </w:rPr>
        <w:t xml:space="preserve">. This lack of a clear benefit is also offset by the small but serious risks of these procedures, which include epidural cement leak leading to possible nerve root compression, osteomyelitis, cement pulmonary embolism, and the possibility of subsequent vertebral fractures in adjacent vertebrae. A Cochrane review published in 2018 found no demonstrable clinically important benefits for vertebroplasty compared with placebo (sham procedure), and the results did not differ according to duration of pain (≤6 weeks vs. &gt;6 </w:t>
      </w:r>
      <w:r w:rsidR="00F34613" w:rsidRPr="00E232C1">
        <w:rPr>
          <w:rFonts w:ascii="Arial" w:hAnsi="Arial" w:cs="Arial"/>
        </w:rPr>
        <w:t>weeks) (</w:t>
      </w:r>
      <w:r w:rsidR="00EB1537" w:rsidRPr="00E232C1">
        <w:rPr>
          <w:rFonts w:ascii="Arial" w:hAnsi="Arial" w:cs="Arial"/>
        </w:rPr>
        <w:t>5</w:t>
      </w:r>
      <w:r w:rsidR="007B68E1" w:rsidRPr="00E232C1">
        <w:rPr>
          <w:rFonts w:ascii="Arial" w:hAnsi="Arial" w:cs="Arial"/>
        </w:rPr>
        <w:t>)</w:t>
      </w:r>
      <w:r w:rsidRPr="00E232C1">
        <w:rPr>
          <w:rFonts w:ascii="Arial" w:hAnsi="Arial" w:cs="Arial"/>
        </w:rPr>
        <w:t xml:space="preserve">. </w:t>
      </w:r>
      <w:r w:rsidR="00732BC4" w:rsidRPr="00E232C1">
        <w:rPr>
          <w:rFonts w:ascii="Arial" w:hAnsi="Arial" w:cs="Arial"/>
        </w:rPr>
        <w:t>A 2019 American Society for Bone and Mineral Research (ASBMR) task force concluded that</w:t>
      </w:r>
      <w:r w:rsidR="005E3298" w:rsidRPr="00E232C1">
        <w:rPr>
          <w:rFonts w:ascii="Arial" w:hAnsi="Arial" w:cs="Arial"/>
        </w:rPr>
        <w:t>, for patients with painful vertebral fractures,</w:t>
      </w:r>
      <w:r w:rsidR="00732BC4" w:rsidRPr="00E232C1">
        <w:rPr>
          <w:rFonts w:ascii="Arial" w:hAnsi="Arial" w:cs="Arial"/>
        </w:rPr>
        <w:t xml:space="preserve"> there was no significant benefit for vertebroplasty compared to placebo or sham procedures and recommended against the use of balloon kyphoplasty</w:t>
      </w:r>
      <w:r w:rsidR="007B68E1" w:rsidRPr="00E232C1">
        <w:rPr>
          <w:rFonts w:ascii="Arial" w:hAnsi="Arial" w:cs="Arial"/>
        </w:rPr>
        <w:t xml:space="preserve"> (</w:t>
      </w:r>
      <w:r w:rsidR="00EB1537" w:rsidRPr="00E232C1">
        <w:rPr>
          <w:rFonts w:ascii="Arial" w:hAnsi="Arial" w:cs="Arial"/>
        </w:rPr>
        <w:t>6</w:t>
      </w:r>
      <w:r w:rsidR="007B68E1" w:rsidRPr="00E232C1">
        <w:rPr>
          <w:rFonts w:ascii="Arial" w:hAnsi="Arial" w:cs="Arial"/>
        </w:rPr>
        <w:t>)</w:t>
      </w:r>
      <w:r w:rsidR="00732BC4" w:rsidRPr="00E232C1">
        <w:rPr>
          <w:rFonts w:ascii="Arial" w:hAnsi="Arial" w:cs="Arial"/>
        </w:rPr>
        <w:t xml:space="preserve">. </w:t>
      </w:r>
      <w:r w:rsidRPr="00E232C1">
        <w:rPr>
          <w:rFonts w:ascii="Arial" w:hAnsi="Arial" w:cs="Arial"/>
        </w:rPr>
        <w:t>If vertebral augmentation is considered in select patients with disabling spine fractures, osteoporosis treatment should be initiated concurrently.</w:t>
      </w:r>
    </w:p>
    <w:p w14:paraId="195221E8" w14:textId="77777777" w:rsidR="009A0875" w:rsidRDefault="009A0875" w:rsidP="00CD1DC9">
      <w:pPr>
        <w:spacing w:after="0" w:line="276" w:lineRule="auto"/>
        <w:rPr>
          <w:rFonts w:ascii="Arial" w:hAnsi="Arial" w:cs="Arial"/>
        </w:rPr>
      </w:pPr>
    </w:p>
    <w:p w14:paraId="112B9FA8" w14:textId="7EEB8B9B" w:rsidR="002E1549" w:rsidRPr="00CD1DC9" w:rsidRDefault="002E1549" w:rsidP="00CD1DC9">
      <w:pPr>
        <w:spacing w:after="0" w:line="276" w:lineRule="auto"/>
        <w:rPr>
          <w:rFonts w:ascii="Arial" w:hAnsi="Arial" w:cs="Arial"/>
        </w:rPr>
      </w:pPr>
      <w:r w:rsidRPr="00CD1DC9">
        <w:rPr>
          <w:rFonts w:ascii="Arial" w:hAnsi="Arial" w:cs="Arial"/>
        </w:rPr>
        <w:t xml:space="preserve">Glucocorticoid-induced osteoporosis affects the spine greater than other sites. Glucocorticoids have a major effect on reducing bone formation and also increase bone resorption. Thus, there are two sites for targeted intervention—anabolic and anti-resorptive treatments, respectively. The American College of Rheumatology has recommended starting bone protection therapy for adults ≥40 years taking prednisone at a dose of ≥2.5 mg/day for ≥3 months if at moderate to </w:t>
      </w:r>
      <w:r w:rsidRPr="00CD1DC9">
        <w:rPr>
          <w:rFonts w:ascii="Arial" w:hAnsi="Arial" w:cs="Arial"/>
        </w:rPr>
        <w:lastRenderedPageBreak/>
        <w:t xml:space="preserve">high risk for fracture (i.e., FRAX 10-year risk of major osteoporotic fracture &gt;10%, FRAX 10-year risk of hip fracture &gt;1%, osteoporosis by bone density criteria, or prior osteoporotic </w:t>
      </w:r>
      <w:r w:rsidRPr="00E232C1">
        <w:rPr>
          <w:rFonts w:ascii="Arial" w:hAnsi="Arial" w:cs="Arial"/>
        </w:rPr>
        <w:t>fracture)</w:t>
      </w:r>
      <w:r w:rsidR="009A0875" w:rsidRPr="00E232C1">
        <w:rPr>
          <w:rFonts w:ascii="Arial" w:hAnsi="Arial" w:cs="Arial"/>
        </w:rPr>
        <w:t xml:space="preserve"> </w:t>
      </w:r>
      <w:r w:rsidR="007B68E1" w:rsidRPr="00E232C1">
        <w:rPr>
          <w:rFonts w:ascii="Arial" w:hAnsi="Arial" w:cs="Arial"/>
        </w:rPr>
        <w:t>(7)</w:t>
      </w:r>
      <w:r w:rsidRPr="00E232C1">
        <w:rPr>
          <w:rFonts w:ascii="Arial" w:hAnsi="Arial" w:cs="Arial"/>
        </w:rPr>
        <w:t>.</w:t>
      </w:r>
      <w:r w:rsidRPr="00CD1DC9">
        <w:rPr>
          <w:rFonts w:ascii="Arial" w:hAnsi="Arial" w:cs="Arial"/>
        </w:rPr>
        <w:t xml:space="preserve"> The Food Drug Administration (FDA) has approved the following anti-resorptive agents — risedronate, alendronate, zoledronic acid, and denosumab — and the anabolic agent teriparatide for glucocorticoid-induced osteoporosis. In a randomized trial, teriparatide was superior to alendronate in preventing BMD declines at the spine and hip.</w:t>
      </w:r>
    </w:p>
    <w:p w14:paraId="1A889BED" w14:textId="77777777" w:rsidR="009A0875" w:rsidRDefault="009A0875" w:rsidP="00CD1DC9">
      <w:pPr>
        <w:spacing w:after="0" w:line="276" w:lineRule="auto"/>
        <w:rPr>
          <w:rFonts w:ascii="Arial" w:hAnsi="Arial" w:cs="Arial"/>
        </w:rPr>
      </w:pPr>
    </w:p>
    <w:p w14:paraId="51989D70" w14:textId="2D57C0B5" w:rsidR="002E1549" w:rsidRPr="00CD1DC9" w:rsidRDefault="002E1549" w:rsidP="00CD1DC9">
      <w:pPr>
        <w:spacing w:after="0" w:line="276" w:lineRule="auto"/>
        <w:rPr>
          <w:rFonts w:ascii="Arial" w:hAnsi="Arial" w:cs="Arial"/>
        </w:rPr>
      </w:pPr>
      <w:r w:rsidRPr="00CD1DC9">
        <w:rPr>
          <w:rFonts w:ascii="Arial" w:hAnsi="Arial" w:cs="Arial"/>
        </w:rPr>
        <w:t>With regards to hip fractures and the use of zoledronic acid once yearly, the timing of this FDA-approved treatment for secondary fracture prevention is important. There is a significant reduction in vertebral and non-vertebral fractures and mortality as well as an increase in hip BMD in those who receive zoledronic acid and supplemental vitamin D between two weeks and 90 days following a hip fracture.</w:t>
      </w:r>
    </w:p>
    <w:p w14:paraId="77AFB083" w14:textId="77777777" w:rsidR="009A0875" w:rsidRDefault="009A0875" w:rsidP="00CD1DC9">
      <w:pPr>
        <w:spacing w:after="0" w:line="276" w:lineRule="auto"/>
        <w:rPr>
          <w:rFonts w:ascii="Arial" w:hAnsi="Arial" w:cs="Arial"/>
          <w:b/>
          <w:bCs/>
        </w:rPr>
      </w:pPr>
    </w:p>
    <w:p w14:paraId="66DCAE5F" w14:textId="05D2811C" w:rsidR="002E1549" w:rsidRPr="00B86611" w:rsidRDefault="002E1549" w:rsidP="00CD1DC9">
      <w:pPr>
        <w:spacing w:after="0" w:line="276" w:lineRule="auto"/>
        <w:rPr>
          <w:rFonts w:ascii="Arial" w:hAnsi="Arial" w:cs="Arial"/>
          <w:b/>
          <w:bCs/>
          <w:color w:val="00B050"/>
        </w:rPr>
      </w:pPr>
      <w:r w:rsidRPr="00B86611">
        <w:rPr>
          <w:rFonts w:ascii="Arial" w:hAnsi="Arial" w:cs="Arial"/>
          <w:b/>
          <w:bCs/>
          <w:color w:val="00B050"/>
        </w:rPr>
        <w:t>Osteoporosis</w:t>
      </w:r>
    </w:p>
    <w:p w14:paraId="4AD2D5AB" w14:textId="77777777" w:rsidR="009A0875" w:rsidRDefault="009A0875" w:rsidP="00CD1DC9">
      <w:pPr>
        <w:spacing w:after="0" w:line="276" w:lineRule="auto"/>
        <w:rPr>
          <w:rFonts w:ascii="Arial" w:hAnsi="Arial" w:cs="Arial"/>
        </w:rPr>
      </w:pPr>
    </w:p>
    <w:p w14:paraId="3B1A66CD" w14:textId="2A138B46" w:rsidR="002E1549" w:rsidRPr="00E232C1" w:rsidRDefault="002E1549" w:rsidP="00CD1DC9">
      <w:pPr>
        <w:spacing w:after="0" w:line="276" w:lineRule="auto"/>
        <w:rPr>
          <w:rFonts w:ascii="Arial" w:hAnsi="Arial" w:cs="Arial"/>
        </w:rPr>
      </w:pPr>
      <w:r w:rsidRPr="00CD1DC9">
        <w:rPr>
          <w:rFonts w:ascii="Arial" w:hAnsi="Arial" w:cs="Arial"/>
        </w:rPr>
        <w:t>Adequate calcium and vitamin D intake are essential. In 2010, the Institute of Medicine (IOM) set recommendations for daily calcium and vitamin D requirements</w:t>
      </w:r>
      <w:r w:rsidR="00BC0E94" w:rsidRPr="00CD1DC9">
        <w:rPr>
          <w:rFonts w:ascii="Arial" w:hAnsi="Arial" w:cs="Arial"/>
        </w:rPr>
        <w:t xml:space="preserve"> </w:t>
      </w:r>
      <w:r w:rsidR="00BC0E94" w:rsidRPr="00E232C1">
        <w:rPr>
          <w:rFonts w:ascii="Arial" w:hAnsi="Arial" w:cs="Arial"/>
        </w:rPr>
        <w:t>(8)</w:t>
      </w:r>
      <w:r w:rsidRPr="00E232C1">
        <w:rPr>
          <w:rFonts w:ascii="Arial" w:hAnsi="Arial" w:cs="Arial"/>
        </w:rPr>
        <w:t>.</w:t>
      </w:r>
      <w:r w:rsidRPr="00CD1DC9">
        <w:rPr>
          <w:rFonts w:ascii="Arial" w:hAnsi="Arial" w:cs="Arial"/>
        </w:rPr>
        <w:t xml:space="preserve"> See </w:t>
      </w:r>
      <w:hyperlink r:id="rId9" w:tgtFrame="object" w:history="1">
        <w:r w:rsidRPr="00E232C1">
          <w:rPr>
            <w:rStyle w:val="Hyperlink"/>
            <w:rFonts w:ascii="Arial" w:hAnsi="Arial" w:cs="Arial"/>
            <w:color w:val="auto"/>
            <w:u w:val="none"/>
          </w:rPr>
          <w:t>Table 3</w:t>
        </w:r>
      </w:hyperlink>
      <w:r w:rsidRPr="00E232C1">
        <w:rPr>
          <w:rFonts w:ascii="Arial" w:hAnsi="Arial" w:cs="Arial"/>
        </w:rPr>
        <w:t>.</w:t>
      </w:r>
    </w:p>
    <w:p w14:paraId="01D76AEE" w14:textId="77777777" w:rsidR="009A0875" w:rsidRDefault="009A0875" w:rsidP="00CD1DC9">
      <w:pPr>
        <w:spacing w:after="0" w:line="276" w:lineRule="auto"/>
        <w:rPr>
          <w:rFonts w:ascii="Arial" w:hAnsi="Arial" w:cs="Arial"/>
          <w:b/>
          <w:bCs/>
        </w:rPr>
      </w:pPr>
    </w:p>
    <w:tbl>
      <w:tblPr>
        <w:tblStyle w:val="TableGrid"/>
        <w:tblW w:w="9715" w:type="dxa"/>
        <w:tblLook w:val="04A0" w:firstRow="1" w:lastRow="0" w:firstColumn="1" w:lastColumn="0" w:noHBand="0" w:noVBand="1"/>
      </w:tblPr>
      <w:tblGrid>
        <w:gridCol w:w="5395"/>
        <w:gridCol w:w="4320"/>
      </w:tblGrid>
      <w:tr w:rsidR="009A0875" w:rsidRPr="00CD1DC9" w14:paraId="4F324B2E" w14:textId="77777777" w:rsidTr="009A0875">
        <w:tc>
          <w:tcPr>
            <w:tcW w:w="9715" w:type="dxa"/>
            <w:gridSpan w:val="2"/>
            <w:shd w:val="clear" w:color="auto" w:fill="FFFF00"/>
          </w:tcPr>
          <w:p w14:paraId="507C64C2" w14:textId="2278483C" w:rsidR="009A0875" w:rsidRPr="00CD1DC9" w:rsidRDefault="009A0875" w:rsidP="009A0875">
            <w:pPr>
              <w:spacing w:line="276" w:lineRule="auto"/>
              <w:rPr>
                <w:rFonts w:ascii="Arial" w:hAnsi="Arial" w:cs="Arial"/>
              </w:rPr>
            </w:pPr>
            <w:r w:rsidRPr="00CD1DC9">
              <w:rPr>
                <w:rFonts w:ascii="Arial" w:hAnsi="Arial" w:cs="Arial"/>
                <w:b/>
                <w:bCs/>
              </w:rPr>
              <w:t>Table 3.</w:t>
            </w:r>
            <w:r>
              <w:rPr>
                <w:rFonts w:ascii="Arial" w:hAnsi="Arial" w:cs="Arial"/>
                <w:b/>
                <w:bCs/>
              </w:rPr>
              <w:t xml:space="preserve"> </w:t>
            </w:r>
            <w:r w:rsidRPr="009A0875">
              <w:rPr>
                <w:rFonts w:ascii="Arial" w:hAnsi="Arial" w:cs="Arial"/>
                <w:b/>
                <w:bCs/>
              </w:rPr>
              <w:t>Recommended Daily Intakes of Elemental Calcium (adapted from 2010 IOM report)</w:t>
            </w:r>
          </w:p>
        </w:tc>
      </w:tr>
      <w:tr w:rsidR="00B90C07" w:rsidRPr="00CD1DC9" w14:paraId="2F3E369A" w14:textId="77777777" w:rsidTr="00B90C07">
        <w:tc>
          <w:tcPr>
            <w:tcW w:w="9715" w:type="dxa"/>
            <w:gridSpan w:val="2"/>
            <w:shd w:val="clear" w:color="auto" w:fill="auto"/>
          </w:tcPr>
          <w:p w14:paraId="75C55AED" w14:textId="2272F82E" w:rsidR="00B90C07" w:rsidRPr="00CD1DC9" w:rsidRDefault="00B90C07" w:rsidP="009A0875">
            <w:pPr>
              <w:spacing w:line="276" w:lineRule="auto"/>
              <w:rPr>
                <w:rFonts w:ascii="Arial" w:hAnsi="Arial" w:cs="Arial"/>
                <w:b/>
                <w:bCs/>
              </w:rPr>
            </w:pPr>
            <w:r>
              <w:rPr>
                <w:rFonts w:ascii="Arial" w:hAnsi="Arial" w:cs="Arial"/>
                <w:b/>
                <w:bCs/>
              </w:rPr>
              <w:t>Calcium Intake</w:t>
            </w:r>
          </w:p>
        </w:tc>
      </w:tr>
      <w:tr w:rsidR="002E1549" w:rsidRPr="00CD1DC9" w14:paraId="5584B1F3" w14:textId="77777777" w:rsidTr="009A0875">
        <w:tc>
          <w:tcPr>
            <w:tcW w:w="5395" w:type="dxa"/>
            <w:hideMark/>
          </w:tcPr>
          <w:p w14:paraId="3BBFA116" w14:textId="77777777" w:rsidR="002E1549" w:rsidRPr="00CD1DC9" w:rsidRDefault="002E1549" w:rsidP="00CD1DC9">
            <w:pPr>
              <w:spacing w:line="276" w:lineRule="auto"/>
              <w:rPr>
                <w:rFonts w:ascii="Arial" w:hAnsi="Arial" w:cs="Arial"/>
              </w:rPr>
            </w:pPr>
            <w:r w:rsidRPr="00CD1DC9">
              <w:rPr>
                <w:rFonts w:ascii="Arial" w:hAnsi="Arial" w:cs="Arial"/>
              </w:rPr>
              <w:t>Women 19 to 50 years / Men 19 to 70 years</w:t>
            </w:r>
            <w:r w:rsidRPr="00CD1DC9">
              <w:rPr>
                <w:rFonts w:ascii="Arial" w:hAnsi="Arial" w:cs="Arial"/>
              </w:rPr>
              <w:br/>
              <w:t>Women ≥51 years / Men ≥71 years</w:t>
            </w:r>
          </w:p>
        </w:tc>
        <w:tc>
          <w:tcPr>
            <w:tcW w:w="4320" w:type="dxa"/>
            <w:hideMark/>
          </w:tcPr>
          <w:p w14:paraId="4193933F" w14:textId="77777777" w:rsidR="002E1549" w:rsidRPr="00CD1DC9" w:rsidRDefault="002E1549" w:rsidP="00CD1DC9">
            <w:pPr>
              <w:spacing w:line="276" w:lineRule="auto"/>
              <w:rPr>
                <w:rFonts w:ascii="Arial" w:hAnsi="Arial" w:cs="Arial"/>
              </w:rPr>
            </w:pPr>
            <w:r w:rsidRPr="00CD1DC9">
              <w:rPr>
                <w:rFonts w:ascii="Arial" w:hAnsi="Arial" w:cs="Arial"/>
              </w:rPr>
              <w:t>1000 mg</w:t>
            </w:r>
            <w:r w:rsidRPr="00CD1DC9">
              <w:rPr>
                <w:rFonts w:ascii="Arial" w:hAnsi="Arial" w:cs="Arial"/>
              </w:rPr>
              <w:br/>
              <w:t>1200 mg</w:t>
            </w:r>
          </w:p>
        </w:tc>
      </w:tr>
      <w:tr w:rsidR="00B90C07" w:rsidRPr="00CD1DC9" w14:paraId="775EF591" w14:textId="77777777" w:rsidTr="000A3712">
        <w:tc>
          <w:tcPr>
            <w:tcW w:w="9715" w:type="dxa"/>
            <w:gridSpan w:val="2"/>
          </w:tcPr>
          <w:p w14:paraId="23907180" w14:textId="69368C93" w:rsidR="00B90C07" w:rsidRPr="00B90C07" w:rsidRDefault="00B90C07" w:rsidP="00CD1DC9">
            <w:pPr>
              <w:spacing w:line="276" w:lineRule="auto"/>
              <w:rPr>
                <w:rFonts w:ascii="Arial" w:hAnsi="Arial" w:cs="Arial"/>
                <w:b/>
                <w:bCs/>
              </w:rPr>
            </w:pPr>
            <w:r w:rsidRPr="00B90C07">
              <w:rPr>
                <w:rFonts w:ascii="Arial" w:hAnsi="Arial" w:cs="Arial"/>
                <w:b/>
                <w:bCs/>
              </w:rPr>
              <w:t>Vitamin D Intake</w:t>
            </w:r>
          </w:p>
        </w:tc>
      </w:tr>
      <w:tr w:rsidR="00B90C07" w:rsidRPr="00CD1DC9" w14:paraId="7A0F3EA5" w14:textId="77777777" w:rsidTr="00B90C07">
        <w:tc>
          <w:tcPr>
            <w:tcW w:w="5395" w:type="dxa"/>
          </w:tcPr>
          <w:p w14:paraId="73006D3C" w14:textId="77777777" w:rsidR="00B90C07" w:rsidRDefault="000A23C5" w:rsidP="00CD1DC9">
            <w:pPr>
              <w:spacing w:line="276" w:lineRule="auto"/>
              <w:rPr>
                <w:rFonts w:ascii="Arial" w:hAnsi="Arial" w:cs="Arial"/>
              </w:rPr>
            </w:pPr>
            <w:r w:rsidRPr="000A23C5">
              <w:rPr>
                <w:rFonts w:ascii="Arial" w:hAnsi="Arial" w:cs="Arial"/>
              </w:rPr>
              <w:t>Women</w:t>
            </w:r>
            <w:r>
              <w:rPr>
                <w:rFonts w:ascii="Arial" w:hAnsi="Arial" w:cs="Arial"/>
              </w:rPr>
              <w:t xml:space="preserve"> and Men</w:t>
            </w:r>
            <w:r w:rsidRPr="000A23C5">
              <w:rPr>
                <w:rFonts w:ascii="Arial" w:hAnsi="Arial" w:cs="Arial"/>
              </w:rPr>
              <w:t xml:space="preserve"> &lt; 70 years</w:t>
            </w:r>
          </w:p>
          <w:p w14:paraId="144A16AA" w14:textId="5DEFBCB7" w:rsidR="000A23C5" w:rsidRPr="000A23C5" w:rsidRDefault="000A23C5" w:rsidP="00CD1DC9">
            <w:pPr>
              <w:spacing w:line="276" w:lineRule="auto"/>
              <w:rPr>
                <w:rFonts w:ascii="Arial" w:hAnsi="Arial" w:cs="Arial"/>
              </w:rPr>
            </w:pPr>
            <w:r>
              <w:rPr>
                <w:rFonts w:ascii="Arial" w:hAnsi="Arial" w:cs="Arial"/>
              </w:rPr>
              <w:t>Women and Men &gt; 70 years</w:t>
            </w:r>
          </w:p>
        </w:tc>
        <w:tc>
          <w:tcPr>
            <w:tcW w:w="4320" w:type="dxa"/>
          </w:tcPr>
          <w:p w14:paraId="78612BB9" w14:textId="77777777" w:rsidR="00B90C07" w:rsidRDefault="000A23C5" w:rsidP="00CD1DC9">
            <w:pPr>
              <w:spacing w:line="276" w:lineRule="auto"/>
              <w:rPr>
                <w:rFonts w:ascii="Arial" w:hAnsi="Arial" w:cs="Arial"/>
              </w:rPr>
            </w:pPr>
            <w:r w:rsidRPr="000A23C5">
              <w:rPr>
                <w:rFonts w:ascii="Arial" w:hAnsi="Arial" w:cs="Arial"/>
              </w:rPr>
              <w:t>600U</w:t>
            </w:r>
          </w:p>
          <w:p w14:paraId="79F2FE35" w14:textId="1BACA54E" w:rsidR="000A23C5" w:rsidRPr="000A23C5" w:rsidRDefault="000A23C5" w:rsidP="00CD1DC9">
            <w:pPr>
              <w:spacing w:line="276" w:lineRule="auto"/>
              <w:rPr>
                <w:rFonts w:ascii="Arial" w:hAnsi="Arial" w:cs="Arial"/>
              </w:rPr>
            </w:pPr>
            <w:r>
              <w:rPr>
                <w:rFonts w:ascii="Arial" w:hAnsi="Arial" w:cs="Arial"/>
              </w:rPr>
              <w:t>800U</w:t>
            </w:r>
          </w:p>
        </w:tc>
      </w:tr>
    </w:tbl>
    <w:p w14:paraId="38C44515" w14:textId="77777777" w:rsidR="009A0875" w:rsidRDefault="009A0875" w:rsidP="00CD1DC9">
      <w:pPr>
        <w:spacing w:after="0" w:line="276" w:lineRule="auto"/>
        <w:rPr>
          <w:rFonts w:ascii="Arial" w:hAnsi="Arial" w:cs="Arial"/>
        </w:rPr>
      </w:pPr>
    </w:p>
    <w:p w14:paraId="5EAB9DDA" w14:textId="402DD153" w:rsidR="002E1549" w:rsidRPr="00CD1DC9" w:rsidRDefault="002E1549" w:rsidP="00CD1DC9">
      <w:pPr>
        <w:spacing w:after="0" w:line="276" w:lineRule="auto"/>
        <w:rPr>
          <w:rFonts w:ascii="Arial" w:hAnsi="Arial" w:cs="Arial"/>
        </w:rPr>
      </w:pPr>
      <w:r w:rsidRPr="00CD1DC9">
        <w:rPr>
          <w:rFonts w:ascii="Arial" w:hAnsi="Arial" w:cs="Arial"/>
        </w:rPr>
        <w:t>Obtaining calcium through the diet is preferred. However, if taking calcium supplements</w:t>
      </w:r>
      <w:r w:rsidR="005970E9" w:rsidRPr="00CD1DC9">
        <w:rPr>
          <w:rFonts w:ascii="Arial" w:hAnsi="Arial" w:cs="Arial"/>
        </w:rPr>
        <w:t>,</w:t>
      </w:r>
      <w:r w:rsidRPr="00CD1DC9">
        <w:rPr>
          <w:rFonts w:ascii="Arial" w:hAnsi="Arial" w:cs="Arial"/>
        </w:rPr>
        <w:t xml:space="preserve"> for those on proton pump inhibitors, calcium citrate (e.g., Citracal</w:t>
      </w:r>
      <w:r w:rsidRPr="00CD1DC9">
        <w:rPr>
          <w:rFonts w:ascii="Arial" w:hAnsi="Arial" w:cs="Arial"/>
          <w:vertAlign w:val="superscript"/>
        </w:rPr>
        <w:t>®</w:t>
      </w:r>
      <w:r w:rsidRPr="00CD1DC9">
        <w:rPr>
          <w:rFonts w:ascii="Arial" w:hAnsi="Arial" w:cs="Arial"/>
        </w:rPr>
        <w:t>) is preferred given better absorption over calcium carbonate and can be taken on an empty stomach. Preparations of Citracal</w:t>
      </w:r>
      <w:r w:rsidRPr="00CD1DC9">
        <w:rPr>
          <w:rFonts w:ascii="Arial" w:hAnsi="Arial" w:cs="Arial"/>
          <w:vertAlign w:val="superscript"/>
        </w:rPr>
        <w:t>®</w:t>
      </w:r>
      <w:r w:rsidRPr="00CD1DC9">
        <w:rPr>
          <w:rFonts w:ascii="Arial" w:hAnsi="Arial" w:cs="Arial"/>
        </w:rPr>
        <w:t> include Maximum Plus (315 mg of calcium per tablet) and Petite (200 mg of calcium per tablet). Calcium carbonate (e.g., Oscal</w:t>
      </w:r>
      <w:r w:rsidRPr="00CD1DC9">
        <w:rPr>
          <w:rFonts w:ascii="Arial" w:hAnsi="Arial" w:cs="Arial"/>
          <w:vertAlign w:val="superscript"/>
        </w:rPr>
        <w:t>®</w:t>
      </w:r>
      <w:r w:rsidRPr="00CD1DC9">
        <w:rPr>
          <w:rFonts w:ascii="Arial" w:hAnsi="Arial" w:cs="Arial"/>
        </w:rPr>
        <w:t>, Caltrate</w:t>
      </w:r>
      <w:r w:rsidRPr="00CD1DC9">
        <w:rPr>
          <w:rFonts w:ascii="Arial" w:hAnsi="Arial" w:cs="Arial"/>
          <w:vertAlign w:val="superscript"/>
        </w:rPr>
        <w:t>®</w:t>
      </w:r>
      <w:r w:rsidRPr="00CD1DC9">
        <w:rPr>
          <w:rFonts w:ascii="Arial" w:hAnsi="Arial" w:cs="Arial"/>
        </w:rPr>
        <w:t>), ranging from 500 to 600 mg per tablet, should be taken with food to allow optimal absorption.</w:t>
      </w:r>
    </w:p>
    <w:p w14:paraId="61EB1800" w14:textId="77777777" w:rsidR="009A0875" w:rsidRDefault="009A0875" w:rsidP="00CD1DC9">
      <w:pPr>
        <w:spacing w:after="0" w:line="276" w:lineRule="auto"/>
        <w:rPr>
          <w:rFonts w:ascii="Arial" w:hAnsi="Arial" w:cs="Arial"/>
        </w:rPr>
      </w:pPr>
    </w:p>
    <w:p w14:paraId="78D3A795" w14:textId="73B42B39" w:rsidR="002E1549" w:rsidRPr="00CD1DC9" w:rsidRDefault="002E1549" w:rsidP="00CD1DC9">
      <w:pPr>
        <w:spacing w:after="0" w:line="276" w:lineRule="auto"/>
        <w:rPr>
          <w:rFonts w:ascii="Arial" w:hAnsi="Arial" w:cs="Arial"/>
        </w:rPr>
      </w:pPr>
      <w:r w:rsidRPr="00CD1DC9">
        <w:rPr>
          <w:rFonts w:ascii="Arial" w:hAnsi="Arial" w:cs="Arial"/>
        </w:rPr>
        <w:t>Vitamin D deficiency is a prevalent problem. The IOM guidelines recommend a daily dose of vitamin D</w:t>
      </w:r>
      <w:r w:rsidRPr="00CD1DC9">
        <w:rPr>
          <w:rFonts w:ascii="Arial" w:hAnsi="Arial" w:cs="Arial"/>
          <w:vertAlign w:val="subscript"/>
        </w:rPr>
        <w:t>3</w:t>
      </w:r>
      <w:r w:rsidRPr="00CD1DC9">
        <w:rPr>
          <w:rFonts w:ascii="Arial" w:hAnsi="Arial" w:cs="Arial"/>
        </w:rPr>
        <w:t xml:space="preserve"> of 600 IU for individuals ≤70 years of age and 800 IU daily for those ≥71. Other societies recommend 800-1000 IU of vitamin D for high-risk adults with osteoporosis. Patients with vitamin D deficiency need much higher doses. Although there is debate, the </w:t>
      </w:r>
      <w:r w:rsidR="005E20E5" w:rsidRPr="00BB409F">
        <w:rPr>
          <w:rFonts w:ascii="Arial" w:hAnsi="Arial" w:cs="Arial"/>
        </w:rPr>
        <w:t>BH</w:t>
      </w:r>
      <w:r w:rsidRPr="00BB409F">
        <w:rPr>
          <w:rFonts w:ascii="Arial" w:hAnsi="Arial" w:cs="Arial"/>
        </w:rPr>
        <w:t>OF</w:t>
      </w:r>
      <w:r w:rsidRPr="00CD1DC9">
        <w:rPr>
          <w:rFonts w:ascii="Arial" w:hAnsi="Arial" w:cs="Arial"/>
        </w:rPr>
        <w:t xml:space="preserve"> and other organizations currently recommend a 25-</w:t>
      </w:r>
      <w:r w:rsidR="005970E9" w:rsidRPr="00CD1DC9">
        <w:rPr>
          <w:rFonts w:ascii="Arial" w:hAnsi="Arial" w:cs="Arial"/>
        </w:rPr>
        <w:t xml:space="preserve">hydroxyvitamin </w:t>
      </w:r>
      <w:r w:rsidRPr="00CD1DC9">
        <w:rPr>
          <w:rFonts w:ascii="Arial" w:hAnsi="Arial" w:cs="Arial"/>
        </w:rPr>
        <w:t>D level ≥30 ng/mL. There are ongoing, population-based studies that are evaluating the effects of supplemental vitamin D on fractures and bone health measures.</w:t>
      </w:r>
    </w:p>
    <w:p w14:paraId="33839DF3" w14:textId="77777777" w:rsidR="009A0875" w:rsidRDefault="009A0875" w:rsidP="00CD1DC9">
      <w:pPr>
        <w:spacing w:after="0" w:line="276" w:lineRule="auto"/>
        <w:rPr>
          <w:rFonts w:ascii="Arial" w:hAnsi="Arial" w:cs="Arial"/>
        </w:rPr>
      </w:pPr>
    </w:p>
    <w:p w14:paraId="6AD0F4D7" w14:textId="1304A03A" w:rsidR="002E1549" w:rsidRPr="00CD1DC9" w:rsidRDefault="002E1549" w:rsidP="00CD1DC9">
      <w:pPr>
        <w:spacing w:after="0" w:line="276" w:lineRule="auto"/>
        <w:rPr>
          <w:rFonts w:ascii="Arial" w:hAnsi="Arial" w:cs="Arial"/>
        </w:rPr>
      </w:pPr>
      <w:r w:rsidRPr="00CD1DC9">
        <w:rPr>
          <w:rFonts w:ascii="Arial" w:hAnsi="Arial" w:cs="Arial"/>
        </w:rPr>
        <w:t>Recommendations for lifestyle and dietary modification include weight-bearing exercises, balance training, muscle-strengthening, fall prevention interventions, smoking cessation, and moderate alcohol consumption.</w:t>
      </w:r>
    </w:p>
    <w:p w14:paraId="08A533BC" w14:textId="77777777" w:rsidR="009A0875" w:rsidRDefault="009A0875" w:rsidP="00CD1DC9">
      <w:pPr>
        <w:spacing w:after="0" w:line="276" w:lineRule="auto"/>
        <w:rPr>
          <w:rFonts w:ascii="Arial" w:hAnsi="Arial" w:cs="Arial"/>
          <w:b/>
          <w:bCs/>
        </w:rPr>
      </w:pPr>
    </w:p>
    <w:p w14:paraId="6D4DC3BB" w14:textId="5B4F34B0"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PHARMACOLOGIC THERAPIES</w:t>
      </w:r>
    </w:p>
    <w:p w14:paraId="57850B15" w14:textId="77777777" w:rsidR="009A0875" w:rsidRDefault="009A0875" w:rsidP="00CD1DC9">
      <w:pPr>
        <w:spacing w:after="0" w:line="276" w:lineRule="auto"/>
        <w:rPr>
          <w:rFonts w:ascii="Arial" w:hAnsi="Arial" w:cs="Arial"/>
        </w:rPr>
      </w:pPr>
    </w:p>
    <w:p w14:paraId="5B5ABEDD" w14:textId="44BE6713" w:rsidR="002E1549" w:rsidRPr="00CD1DC9" w:rsidRDefault="00B86611" w:rsidP="00CD1DC9">
      <w:pPr>
        <w:spacing w:after="0" w:line="276" w:lineRule="auto"/>
        <w:rPr>
          <w:rFonts w:ascii="Arial" w:hAnsi="Arial" w:cs="Arial"/>
        </w:rPr>
      </w:pPr>
      <w:hyperlink r:id="rId10" w:tgtFrame="object" w:history="1">
        <w:r w:rsidR="002E1549" w:rsidRPr="000A23C5">
          <w:rPr>
            <w:rStyle w:val="Hyperlink"/>
            <w:rFonts w:ascii="Arial" w:hAnsi="Arial" w:cs="Arial"/>
            <w:color w:val="auto"/>
            <w:u w:val="none"/>
          </w:rPr>
          <w:t>Table 4</w:t>
        </w:r>
      </w:hyperlink>
      <w:r w:rsidR="002E1549" w:rsidRPr="00CD1DC9">
        <w:rPr>
          <w:rFonts w:ascii="Arial" w:hAnsi="Arial" w:cs="Arial"/>
        </w:rPr>
        <w:t> lists the currently available osteoporosis drugs approved by the FDA, their dosage, indication, and general efficacy to reduce fractures.</w:t>
      </w:r>
    </w:p>
    <w:p w14:paraId="78932E46" w14:textId="77777777" w:rsidR="009A0875" w:rsidRDefault="009A0875" w:rsidP="00CD1DC9">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1779"/>
        <w:gridCol w:w="2097"/>
        <w:gridCol w:w="1400"/>
        <w:gridCol w:w="4074"/>
      </w:tblGrid>
      <w:tr w:rsidR="001F72C9" w:rsidRPr="00CD1DC9" w14:paraId="77B3344A" w14:textId="77777777" w:rsidTr="001F72C9">
        <w:tc>
          <w:tcPr>
            <w:tcW w:w="0" w:type="auto"/>
            <w:gridSpan w:val="4"/>
            <w:shd w:val="clear" w:color="auto" w:fill="FFFF00"/>
          </w:tcPr>
          <w:p w14:paraId="75C73E70" w14:textId="7C160684" w:rsidR="001F72C9" w:rsidRPr="00CD1DC9" w:rsidRDefault="001F72C9" w:rsidP="001F72C9">
            <w:pPr>
              <w:spacing w:line="276" w:lineRule="auto"/>
              <w:rPr>
                <w:rFonts w:ascii="Arial" w:hAnsi="Arial" w:cs="Arial"/>
                <w:b/>
                <w:bCs/>
              </w:rPr>
            </w:pPr>
            <w:r w:rsidRPr="00CD1DC9">
              <w:rPr>
                <w:rFonts w:ascii="Arial" w:hAnsi="Arial" w:cs="Arial"/>
                <w:b/>
                <w:bCs/>
              </w:rPr>
              <w:t>Table 4.</w:t>
            </w:r>
            <w:r>
              <w:rPr>
                <w:rFonts w:ascii="Arial" w:hAnsi="Arial" w:cs="Arial"/>
                <w:b/>
                <w:bCs/>
              </w:rPr>
              <w:t xml:space="preserve"> </w:t>
            </w:r>
            <w:r w:rsidRPr="001F72C9">
              <w:rPr>
                <w:rFonts w:ascii="Arial" w:hAnsi="Arial" w:cs="Arial"/>
                <w:b/>
                <w:bCs/>
                <w:shd w:val="clear" w:color="auto" w:fill="FFFF00"/>
              </w:rPr>
              <w:t>FDA-approved Treatments for Osteoporosis: Dose, Fracture Indication, Efficacy and Side Effects</w:t>
            </w:r>
          </w:p>
        </w:tc>
      </w:tr>
      <w:tr w:rsidR="002E1549" w:rsidRPr="00CD1DC9" w14:paraId="1579F980" w14:textId="77777777" w:rsidTr="001F72C9">
        <w:tc>
          <w:tcPr>
            <w:tcW w:w="0" w:type="auto"/>
            <w:hideMark/>
          </w:tcPr>
          <w:p w14:paraId="3D67BD42" w14:textId="77777777" w:rsidR="002E1549" w:rsidRPr="00CD1DC9" w:rsidRDefault="002E1549" w:rsidP="00CD1DC9">
            <w:pPr>
              <w:spacing w:line="276" w:lineRule="auto"/>
              <w:rPr>
                <w:rFonts w:ascii="Arial" w:hAnsi="Arial" w:cs="Arial"/>
              </w:rPr>
            </w:pPr>
            <w:r w:rsidRPr="00CD1DC9">
              <w:rPr>
                <w:rFonts w:ascii="Arial" w:hAnsi="Arial" w:cs="Arial"/>
                <w:b/>
                <w:bCs/>
              </w:rPr>
              <w:t>Drug</w:t>
            </w:r>
          </w:p>
        </w:tc>
        <w:tc>
          <w:tcPr>
            <w:tcW w:w="0" w:type="auto"/>
            <w:hideMark/>
          </w:tcPr>
          <w:p w14:paraId="4FD45C66" w14:textId="77777777" w:rsidR="002E1549" w:rsidRPr="00CD1DC9" w:rsidRDefault="002E1549" w:rsidP="00CD1DC9">
            <w:pPr>
              <w:spacing w:line="276" w:lineRule="auto"/>
              <w:rPr>
                <w:rFonts w:ascii="Arial" w:hAnsi="Arial" w:cs="Arial"/>
              </w:rPr>
            </w:pPr>
            <w:r w:rsidRPr="00CD1DC9">
              <w:rPr>
                <w:rFonts w:ascii="Arial" w:hAnsi="Arial" w:cs="Arial"/>
                <w:b/>
                <w:bCs/>
              </w:rPr>
              <w:t>Dose &amp; Administration</w:t>
            </w:r>
          </w:p>
        </w:tc>
        <w:tc>
          <w:tcPr>
            <w:tcW w:w="0" w:type="auto"/>
            <w:hideMark/>
          </w:tcPr>
          <w:p w14:paraId="20E9A393" w14:textId="77777777" w:rsidR="002E1549" w:rsidRPr="00CD1DC9" w:rsidRDefault="002E1549" w:rsidP="00CD1DC9">
            <w:pPr>
              <w:spacing w:line="276" w:lineRule="auto"/>
              <w:rPr>
                <w:rFonts w:ascii="Arial" w:hAnsi="Arial" w:cs="Arial"/>
              </w:rPr>
            </w:pPr>
            <w:r w:rsidRPr="00CD1DC9">
              <w:rPr>
                <w:rFonts w:ascii="Arial" w:hAnsi="Arial" w:cs="Arial"/>
                <w:b/>
                <w:bCs/>
              </w:rPr>
              <w:t>Fracture Reduction *</w:t>
            </w:r>
          </w:p>
        </w:tc>
        <w:tc>
          <w:tcPr>
            <w:tcW w:w="0" w:type="auto"/>
            <w:hideMark/>
          </w:tcPr>
          <w:p w14:paraId="3E35152B" w14:textId="77777777" w:rsidR="002E1549" w:rsidRPr="00CD1DC9" w:rsidRDefault="002E1549" w:rsidP="00CD1DC9">
            <w:pPr>
              <w:spacing w:line="276" w:lineRule="auto"/>
              <w:rPr>
                <w:rFonts w:ascii="Arial" w:hAnsi="Arial" w:cs="Arial"/>
              </w:rPr>
            </w:pPr>
            <w:r w:rsidRPr="00CD1DC9">
              <w:rPr>
                <w:rFonts w:ascii="Arial" w:hAnsi="Arial" w:cs="Arial"/>
                <w:b/>
                <w:bCs/>
              </w:rPr>
              <w:t>Side Effects</w:t>
            </w:r>
          </w:p>
        </w:tc>
      </w:tr>
      <w:tr w:rsidR="002E1549" w:rsidRPr="00CD1DC9" w14:paraId="64084C7F" w14:textId="77777777" w:rsidTr="001F72C9">
        <w:tc>
          <w:tcPr>
            <w:tcW w:w="0" w:type="auto"/>
            <w:gridSpan w:val="4"/>
            <w:hideMark/>
          </w:tcPr>
          <w:p w14:paraId="0365660A" w14:textId="77777777" w:rsidR="002E1549" w:rsidRPr="00CD1DC9" w:rsidRDefault="002E1549" w:rsidP="00CD1DC9">
            <w:pPr>
              <w:spacing w:line="276" w:lineRule="auto"/>
              <w:rPr>
                <w:rFonts w:ascii="Arial" w:hAnsi="Arial" w:cs="Arial"/>
              </w:rPr>
            </w:pPr>
            <w:r w:rsidRPr="00CD1DC9">
              <w:rPr>
                <w:rFonts w:ascii="Arial" w:hAnsi="Arial" w:cs="Arial"/>
                <w:b/>
                <w:bCs/>
              </w:rPr>
              <w:t>Bisphosphonates</w:t>
            </w:r>
          </w:p>
        </w:tc>
      </w:tr>
      <w:tr w:rsidR="002E1549" w:rsidRPr="00CD1DC9" w14:paraId="629085B4" w14:textId="77777777" w:rsidTr="001F72C9">
        <w:tc>
          <w:tcPr>
            <w:tcW w:w="0" w:type="auto"/>
            <w:hideMark/>
          </w:tcPr>
          <w:p w14:paraId="2D6B8D30" w14:textId="77777777" w:rsidR="002E1549" w:rsidRPr="00CD1DC9" w:rsidRDefault="002E1549" w:rsidP="00CD1DC9">
            <w:pPr>
              <w:spacing w:line="276" w:lineRule="auto"/>
              <w:rPr>
                <w:rFonts w:ascii="Arial" w:hAnsi="Arial" w:cs="Arial"/>
              </w:rPr>
            </w:pPr>
            <w:r w:rsidRPr="00CD1DC9">
              <w:rPr>
                <w:rFonts w:ascii="Arial" w:hAnsi="Arial" w:cs="Arial"/>
              </w:rPr>
              <w:t>Alendronate</w:t>
            </w:r>
          </w:p>
        </w:tc>
        <w:tc>
          <w:tcPr>
            <w:tcW w:w="0" w:type="auto"/>
            <w:hideMark/>
          </w:tcPr>
          <w:p w14:paraId="1214373E" w14:textId="77777777" w:rsidR="002E1549" w:rsidRPr="00CD1DC9" w:rsidRDefault="002E1549" w:rsidP="00CD1DC9">
            <w:pPr>
              <w:spacing w:line="276" w:lineRule="auto"/>
              <w:rPr>
                <w:rFonts w:ascii="Arial" w:hAnsi="Arial" w:cs="Arial"/>
              </w:rPr>
            </w:pPr>
            <w:r w:rsidRPr="00CD1DC9">
              <w:rPr>
                <w:rFonts w:ascii="Arial" w:hAnsi="Arial" w:cs="Arial"/>
              </w:rPr>
              <w:t>70 mg PO once weekly</w:t>
            </w:r>
          </w:p>
        </w:tc>
        <w:tc>
          <w:tcPr>
            <w:tcW w:w="0" w:type="auto"/>
            <w:hideMark/>
          </w:tcPr>
          <w:p w14:paraId="2C97FFF8" w14:textId="77777777" w:rsidR="002E1549" w:rsidRPr="00CD1DC9" w:rsidRDefault="002E1549" w:rsidP="00CD1DC9">
            <w:pPr>
              <w:spacing w:line="276" w:lineRule="auto"/>
              <w:rPr>
                <w:rFonts w:ascii="Arial" w:hAnsi="Arial" w:cs="Arial"/>
              </w:rPr>
            </w:pPr>
            <w:r w:rsidRPr="00CD1DC9">
              <w:rPr>
                <w:rFonts w:ascii="Arial" w:hAnsi="Arial" w:cs="Arial"/>
              </w:rPr>
              <w:t>V, N, H</w:t>
            </w:r>
          </w:p>
        </w:tc>
        <w:tc>
          <w:tcPr>
            <w:tcW w:w="0" w:type="auto"/>
            <w:vMerge w:val="restart"/>
            <w:hideMark/>
          </w:tcPr>
          <w:p w14:paraId="5E439AA5" w14:textId="77777777" w:rsidR="002E1549" w:rsidRPr="00CD1DC9" w:rsidRDefault="002E1549" w:rsidP="00CD1DC9">
            <w:pPr>
              <w:spacing w:line="276" w:lineRule="auto"/>
              <w:rPr>
                <w:rFonts w:ascii="Arial" w:hAnsi="Arial" w:cs="Arial"/>
              </w:rPr>
            </w:pPr>
            <w:r w:rsidRPr="00CD1DC9">
              <w:rPr>
                <w:rFonts w:ascii="Arial" w:hAnsi="Arial" w:cs="Arial"/>
              </w:rPr>
              <w:t>Upper GI symptoms, rare bone pain, osteonecrosis of the jaw (rare), atypical femur fracture (rare).</w:t>
            </w:r>
          </w:p>
        </w:tc>
      </w:tr>
      <w:tr w:rsidR="002E1549" w:rsidRPr="00CD1DC9" w14:paraId="2CF06C42" w14:textId="77777777" w:rsidTr="001F72C9">
        <w:tc>
          <w:tcPr>
            <w:tcW w:w="0" w:type="auto"/>
            <w:hideMark/>
          </w:tcPr>
          <w:p w14:paraId="5D663B75" w14:textId="77777777" w:rsidR="002E1549" w:rsidRPr="00CD1DC9" w:rsidRDefault="002E1549" w:rsidP="00CD1DC9">
            <w:pPr>
              <w:spacing w:line="276" w:lineRule="auto"/>
              <w:rPr>
                <w:rFonts w:ascii="Arial" w:hAnsi="Arial" w:cs="Arial"/>
              </w:rPr>
            </w:pPr>
            <w:r w:rsidRPr="00CD1DC9">
              <w:rPr>
                <w:rFonts w:ascii="Arial" w:hAnsi="Arial" w:cs="Arial"/>
              </w:rPr>
              <w:t>Ibandronate</w:t>
            </w:r>
          </w:p>
        </w:tc>
        <w:tc>
          <w:tcPr>
            <w:tcW w:w="0" w:type="auto"/>
            <w:hideMark/>
          </w:tcPr>
          <w:p w14:paraId="3603D504" w14:textId="77777777" w:rsidR="002E1549" w:rsidRPr="00CD1DC9" w:rsidRDefault="002E1549" w:rsidP="00CD1DC9">
            <w:pPr>
              <w:spacing w:line="276" w:lineRule="auto"/>
              <w:rPr>
                <w:rFonts w:ascii="Arial" w:hAnsi="Arial" w:cs="Arial"/>
              </w:rPr>
            </w:pPr>
            <w:r w:rsidRPr="00CD1DC9">
              <w:rPr>
                <w:rFonts w:ascii="Arial" w:hAnsi="Arial" w:cs="Arial"/>
              </w:rPr>
              <w:t>150 mg PO monthly; 3 mg IV every 3 months</w:t>
            </w:r>
          </w:p>
        </w:tc>
        <w:tc>
          <w:tcPr>
            <w:tcW w:w="0" w:type="auto"/>
            <w:hideMark/>
          </w:tcPr>
          <w:p w14:paraId="4C0FC84E" w14:textId="77777777" w:rsidR="002E1549" w:rsidRPr="00CD1DC9" w:rsidRDefault="002E1549" w:rsidP="00CD1DC9">
            <w:pPr>
              <w:spacing w:line="276" w:lineRule="auto"/>
              <w:rPr>
                <w:rFonts w:ascii="Arial" w:hAnsi="Arial" w:cs="Arial"/>
              </w:rPr>
            </w:pPr>
            <w:r w:rsidRPr="00CD1DC9">
              <w:rPr>
                <w:rFonts w:ascii="Arial" w:hAnsi="Arial" w:cs="Arial"/>
              </w:rPr>
              <w:t>V</w:t>
            </w:r>
          </w:p>
        </w:tc>
        <w:tc>
          <w:tcPr>
            <w:tcW w:w="0" w:type="auto"/>
            <w:vMerge/>
            <w:hideMark/>
          </w:tcPr>
          <w:p w14:paraId="1484279D" w14:textId="77777777" w:rsidR="002E1549" w:rsidRPr="00CD1DC9" w:rsidRDefault="002E1549" w:rsidP="00CD1DC9">
            <w:pPr>
              <w:spacing w:line="276" w:lineRule="auto"/>
              <w:rPr>
                <w:rFonts w:ascii="Arial" w:hAnsi="Arial" w:cs="Arial"/>
              </w:rPr>
            </w:pPr>
          </w:p>
        </w:tc>
      </w:tr>
      <w:tr w:rsidR="002E1549" w:rsidRPr="00CD1DC9" w14:paraId="3873A8F0" w14:textId="77777777" w:rsidTr="001F72C9">
        <w:tc>
          <w:tcPr>
            <w:tcW w:w="0" w:type="auto"/>
            <w:hideMark/>
          </w:tcPr>
          <w:p w14:paraId="1E75D8A0" w14:textId="77777777" w:rsidR="002E1549" w:rsidRPr="00CD1DC9" w:rsidRDefault="002E1549" w:rsidP="00CD1DC9">
            <w:pPr>
              <w:spacing w:line="276" w:lineRule="auto"/>
              <w:rPr>
                <w:rFonts w:ascii="Arial" w:hAnsi="Arial" w:cs="Arial"/>
              </w:rPr>
            </w:pPr>
            <w:r w:rsidRPr="00CD1DC9">
              <w:rPr>
                <w:rFonts w:ascii="Arial" w:hAnsi="Arial" w:cs="Arial"/>
              </w:rPr>
              <w:t>Risedronate</w:t>
            </w:r>
          </w:p>
        </w:tc>
        <w:tc>
          <w:tcPr>
            <w:tcW w:w="0" w:type="auto"/>
            <w:hideMark/>
          </w:tcPr>
          <w:p w14:paraId="2A0431E4" w14:textId="77777777" w:rsidR="002E1549" w:rsidRPr="00CD1DC9" w:rsidRDefault="002E1549" w:rsidP="00CD1DC9">
            <w:pPr>
              <w:spacing w:line="276" w:lineRule="auto"/>
              <w:rPr>
                <w:rFonts w:ascii="Arial" w:hAnsi="Arial" w:cs="Arial"/>
              </w:rPr>
            </w:pPr>
            <w:r w:rsidRPr="00CD1DC9">
              <w:rPr>
                <w:rFonts w:ascii="Arial" w:hAnsi="Arial" w:cs="Arial"/>
              </w:rPr>
              <w:t>35 mg PO once weekly; 150 mg PO once monthly</w:t>
            </w:r>
          </w:p>
        </w:tc>
        <w:tc>
          <w:tcPr>
            <w:tcW w:w="0" w:type="auto"/>
            <w:hideMark/>
          </w:tcPr>
          <w:p w14:paraId="7DFAC167" w14:textId="77777777" w:rsidR="002E1549" w:rsidRPr="00CD1DC9" w:rsidRDefault="002E1549" w:rsidP="00CD1DC9">
            <w:pPr>
              <w:spacing w:line="276" w:lineRule="auto"/>
              <w:rPr>
                <w:rFonts w:ascii="Arial" w:hAnsi="Arial" w:cs="Arial"/>
              </w:rPr>
            </w:pPr>
            <w:r w:rsidRPr="00CD1DC9">
              <w:rPr>
                <w:rFonts w:ascii="Arial" w:hAnsi="Arial" w:cs="Arial"/>
              </w:rPr>
              <w:t>V, N, H</w:t>
            </w:r>
          </w:p>
        </w:tc>
        <w:tc>
          <w:tcPr>
            <w:tcW w:w="0" w:type="auto"/>
            <w:vMerge/>
            <w:hideMark/>
          </w:tcPr>
          <w:p w14:paraId="17DA9ADC" w14:textId="77777777" w:rsidR="002E1549" w:rsidRPr="00CD1DC9" w:rsidRDefault="002E1549" w:rsidP="00CD1DC9">
            <w:pPr>
              <w:spacing w:line="276" w:lineRule="auto"/>
              <w:rPr>
                <w:rFonts w:ascii="Arial" w:hAnsi="Arial" w:cs="Arial"/>
              </w:rPr>
            </w:pPr>
          </w:p>
        </w:tc>
      </w:tr>
      <w:tr w:rsidR="002E1549" w:rsidRPr="00CD1DC9" w14:paraId="76D3D406" w14:textId="77777777" w:rsidTr="001F72C9">
        <w:tc>
          <w:tcPr>
            <w:tcW w:w="0" w:type="auto"/>
            <w:hideMark/>
          </w:tcPr>
          <w:p w14:paraId="4824CFCF" w14:textId="77777777" w:rsidR="002E1549" w:rsidRPr="00CD1DC9" w:rsidRDefault="002E1549" w:rsidP="00CD1DC9">
            <w:pPr>
              <w:spacing w:line="276" w:lineRule="auto"/>
              <w:rPr>
                <w:rFonts w:ascii="Arial" w:hAnsi="Arial" w:cs="Arial"/>
              </w:rPr>
            </w:pPr>
            <w:r w:rsidRPr="00CD1DC9">
              <w:rPr>
                <w:rFonts w:ascii="Arial" w:hAnsi="Arial" w:cs="Arial"/>
              </w:rPr>
              <w:t>Zoledronic Acid (ZA)</w:t>
            </w:r>
          </w:p>
        </w:tc>
        <w:tc>
          <w:tcPr>
            <w:tcW w:w="0" w:type="auto"/>
            <w:hideMark/>
          </w:tcPr>
          <w:p w14:paraId="4745231F" w14:textId="77777777" w:rsidR="002E1549" w:rsidRPr="00CD1DC9" w:rsidRDefault="002E1549" w:rsidP="00CD1DC9">
            <w:pPr>
              <w:spacing w:line="276" w:lineRule="auto"/>
              <w:rPr>
                <w:rFonts w:ascii="Arial" w:hAnsi="Arial" w:cs="Arial"/>
              </w:rPr>
            </w:pPr>
            <w:r w:rsidRPr="00CD1DC9">
              <w:rPr>
                <w:rFonts w:ascii="Arial" w:hAnsi="Arial" w:cs="Arial"/>
              </w:rPr>
              <w:t>5 mg IV once yearly</w:t>
            </w:r>
          </w:p>
        </w:tc>
        <w:tc>
          <w:tcPr>
            <w:tcW w:w="0" w:type="auto"/>
            <w:hideMark/>
          </w:tcPr>
          <w:p w14:paraId="42613DD2" w14:textId="77777777" w:rsidR="002E1549" w:rsidRPr="00CD1DC9" w:rsidRDefault="002E1549" w:rsidP="00CD1DC9">
            <w:pPr>
              <w:spacing w:line="276" w:lineRule="auto"/>
              <w:rPr>
                <w:rFonts w:ascii="Arial" w:hAnsi="Arial" w:cs="Arial"/>
              </w:rPr>
            </w:pPr>
            <w:r w:rsidRPr="00CD1DC9">
              <w:rPr>
                <w:rFonts w:ascii="Arial" w:hAnsi="Arial" w:cs="Arial"/>
              </w:rPr>
              <w:t>V, N, H</w:t>
            </w:r>
          </w:p>
        </w:tc>
        <w:tc>
          <w:tcPr>
            <w:tcW w:w="0" w:type="auto"/>
            <w:hideMark/>
          </w:tcPr>
          <w:p w14:paraId="278D67CC" w14:textId="77777777" w:rsidR="002E1549" w:rsidRPr="00CD1DC9" w:rsidRDefault="002E1549" w:rsidP="00CD1DC9">
            <w:pPr>
              <w:spacing w:line="276" w:lineRule="auto"/>
              <w:rPr>
                <w:rFonts w:ascii="Arial" w:hAnsi="Arial" w:cs="Arial"/>
              </w:rPr>
            </w:pPr>
            <w:r w:rsidRPr="00CD1DC9">
              <w:rPr>
                <w:rFonts w:ascii="Arial" w:hAnsi="Arial" w:cs="Arial"/>
              </w:rPr>
              <w:t>Mild flu like syndrome during and after ZA infusion (pre-treat with acetaminophen); ZA should not be given if severe renal impairment (GFR &lt;35 mL/min). After a hip fracture, vitamin D and ZA should be initiated 2 weeks to 90 days after the fracture.</w:t>
            </w:r>
          </w:p>
        </w:tc>
      </w:tr>
      <w:tr w:rsidR="002E1549" w:rsidRPr="00CD1DC9" w14:paraId="596C9701" w14:textId="77777777" w:rsidTr="001F72C9">
        <w:tc>
          <w:tcPr>
            <w:tcW w:w="0" w:type="auto"/>
            <w:gridSpan w:val="4"/>
            <w:hideMark/>
          </w:tcPr>
          <w:p w14:paraId="3779DEFE" w14:textId="77777777" w:rsidR="002E1549" w:rsidRPr="00CD1DC9" w:rsidRDefault="002E1549" w:rsidP="00CD1DC9">
            <w:pPr>
              <w:spacing w:line="276" w:lineRule="auto"/>
              <w:rPr>
                <w:rFonts w:ascii="Arial" w:hAnsi="Arial" w:cs="Arial"/>
              </w:rPr>
            </w:pPr>
            <w:r w:rsidRPr="00CD1DC9">
              <w:rPr>
                <w:rFonts w:ascii="Arial" w:hAnsi="Arial" w:cs="Arial"/>
                <w:b/>
                <w:bCs/>
              </w:rPr>
              <w:t>SERMs (Selective Estrogen Receptor Modulators)</w:t>
            </w:r>
          </w:p>
        </w:tc>
      </w:tr>
      <w:tr w:rsidR="002E1549" w:rsidRPr="00CD1DC9" w14:paraId="3628B73F" w14:textId="77777777" w:rsidTr="001F72C9">
        <w:tc>
          <w:tcPr>
            <w:tcW w:w="0" w:type="auto"/>
            <w:hideMark/>
          </w:tcPr>
          <w:p w14:paraId="35E9EE4F" w14:textId="77777777" w:rsidR="002E1549" w:rsidRPr="00CD1DC9" w:rsidRDefault="002E1549" w:rsidP="00CD1DC9">
            <w:pPr>
              <w:spacing w:line="276" w:lineRule="auto"/>
              <w:rPr>
                <w:rFonts w:ascii="Arial" w:hAnsi="Arial" w:cs="Arial"/>
              </w:rPr>
            </w:pPr>
            <w:r w:rsidRPr="00CD1DC9">
              <w:rPr>
                <w:rFonts w:ascii="Arial" w:hAnsi="Arial" w:cs="Arial"/>
              </w:rPr>
              <w:t>Raloxifene</w:t>
            </w:r>
          </w:p>
        </w:tc>
        <w:tc>
          <w:tcPr>
            <w:tcW w:w="0" w:type="auto"/>
            <w:hideMark/>
          </w:tcPr>
          <w:p w14:paraId="6A682A95" w14:textId="77777777" w:rsidR="002E1549" w:rsidRPr="00CD1DC9" w:rsidRDefault="002E1549" w:rsidP="00CD1DC9">
            <w:pPr>
              <w:spacing w:line="276" w:lineRule="auto"/>
              <w:rPr>
                <w:rFonts w:ascii="Arial" w:hAnsi="Arial" w:cs="Arial"/>
              </w:rPr>
            </w:pPr>
            <w:r w:rsidRPr="00CD1DC9">
              <w:rPr>
                <w:rFonts w:ascii="Arial" w:hAnsi="Arial" w:cs="Arial"/>
              </w:rPr>
              <w:t>60 mg PO daily</w:t>
            </w:r>
          </w:p>
        </w:tc>
        <w:tc>
          <w:tcPr>
            <w:tcW w:w="0" w:type="auto"/>
            <w:hideMark/>
          </w:tcPr>
          <w:p w14:paraId="393686D2" w14:textId="77777777" w:rsidR="002E1549" w:rsidRPr="00CD1DC9" w:rsidRDefault="002E1549" w:rsidP="00CD1DC9">
            <w:pPr>
              <w:spacing w:line="276" w:lineRule="auto"/>
              <w:rPr>
                <w:rFonts w:ascii="Arial" w:hAnsi="Arial" w:cs="Arial"/>
              </w:rPr>
            </w:pPr>
            <w:r w:rsidRPr="00CD1DC9">
              <w:rPr>
                <w:rFonts w:ascii="Arial" w:hAnsi="Arial" w:cs="Arial"/>
              </w:rPr>
              <w:t>V</w:t>
            </w:r>
          </w:p>
        </w:tc>
        <w:tc>
          <w:tcPr>
            <w:tcW w:w="0" w:type="auto"/>
            <w:hideMark/>
          </w:tcPr>
          <w:p w14:paraId="7BDF0751" w14:textId="77777777" w:rsidR="002E1549" w:rsidRPr="00CD1DC9" w:rsidRDefault="002E1549" w:rsidP="00CD1DC9">
            <w:pPr>
              <w:spacing w:line="276" w:lineRule="auto"/>
              <w:rPr>
                <w:rFonts w:ascii="Arial" w:hAnsi="Arial" w:cs="Arial"/>
              </w:rPr>
            </w:pPr>
            <w:r w:rsidRPr="00CD1DC9">
              <w:rPr>
                <w:rFonts w:ascii="Arial" w:hAnsi="Arial" w:cs="Arial"/>
              </w:rPr>
              <w:t>Hot flashes, deep vein thrombosis (rare)</w:t>
            </w:r>
          </w:p>
        </w:tc>
      </w:tr>
      <w:tr w:rsidR="002E1549" w:rsidRPr="00CD1DC9" w14:paraId="5D78D773" w14:textId="77777777" w:rsidTr="001F72C9">
        <w:tc>
          <w:tcPr>
            <w:tcW w:w="0" w:type="auto"/>
            <w:gridSpan w:val="4"/>
            <w:hideMark/>
          </w:tcPr>
          <w:p w14:paraId="530AB970" w14:textId="77777777" w:rsidR="002E1549" w:rsidRPr="00CD1DC9" w:rsidRDefault="002E1549" w:rsidP="00CD1DC9">
            <w:pPr>
              <w:spacing w:line="276" w:lineRule="auto"/>
              <w:rPr>
                <w:rFonts w:ascii="Arial" w:hAnsi="Arial" w:cs="Arial"/>
              </w:rPr>
            </w:pPr>
            <w:r w:rsidRPr="00CD1DC9">
              <w:rPr>
                <w:rFonts w:ascii="Arial" w:hAnsi="Arial" w:cs="Arial"/>
                <w:b/>
                <w:bCs/>
              </w:rPr>
              <w:t>Parathyroid Hormone</w:t>
            </w:r>
          </w:p>
        </w:tc>
      </w:tr>
      <w:tr w:rsidR="002E1549" w:rsidRPr="00CD1DC9" w14:paraId="20E13DF4" w14:textId="77777777" w:rsidTr="001F72C9">
        <w:tc>
          <w:tcPr>
            <w:tcW w:w="0" w:type="auto"/>
            <w:hideMark/>
          </w:tcPr>
          <w:p w14:paraId="7FEE47D7" w14:textId="77777777" w:rsidR="002E1549" w:rsidRPr="00CD1DC9" w:rsidRDefault="002E1549" w:rsidP="00CD1DC9">
            <w:pPr>
              <w:spacing w:line="276" w:lineRule="auto"/>
              <w:rPr>
                <w:rFonts w:ascii="Arial" w:hAnsi="Arial" w:cs="Arial"/>
              </w:rPr>
            </w:pPr>
            <w:r w:rsidRPr="00CD1DC9">
              <w:rPr>
                <w:rFonts w:ascii="Arial" w:hAnsi="Arial" w:cs="Arial"/>
              </w:rPr>
              <w:t>PTH</w:t>
            </w:r>
            <w:r w:rsidRPr="00CD1DC9">
              <w:rPr>
                <w:rFonts w:ascii="Arial" w:hAnsi="Arial" w:cs="Arial"/>
              </w:rPr>
              <w:br/>
              <w:t>Teriparatide (PTH 1-34)</w:t>
            </w:r>
          </w:p>
        </w:tc>
        <w:tc>
          <w:tcPr>
            <w:tcW w:w="0" w:type="auto"/>
            <w:hideMark/>
          </w:tcPr>
          <w:p w14:paraId="734706FA" w14:textId="65447446" w:rsidR="002E1549" w:rsidRPr="001B7632" w:rsidRDefault="002E1549" w:rsidP="00CD1DC9">
            <w:pPr>
              <w:spacing w:line="276" w:lineRule="auto"/>
              <w:rPr>
                <w:rFonts w:ascii="Arial" w:hAnsi="Arial" w:cs="Arial"/>
              </w:rPr>
            </w:pPr>
            <w:r w:rsidRPr="001B7632">
              <w:rPr>
                <w:rFonts w:ascii="Arial" w:hAnsi="Arial" w:cs="Arial"/>
              </w:rPr>
              <w:t>20 mcg SC daily</w:t>
            </w:r>
          </w:p>
        </w:tc>
        <w:tc>
          <w:tcPr>
            <w:tcW w:w="0" w:type="auto"/>
            <w:hideMark/>
          </w:tcPr>
          <w:p w14:paraId="06E3990A" w14:textId="77777777" w:rsidR="002E1549" w:rsidRPr="001B7632" w:rsidRDefault="002E1549" w:rsidP="00CD1DC9">
            <w:pPr>
              <w:spacing w:line="276" w:lineRule="auto"/>
              <w:rPr>
                <w:rFonts w:ascii="Arial" w:hAnsi="Arial" w:cs="Arial"/>
              </w:rPr>
            </w:pPr>
            <w:r w:rsidRPr="001B7632">
              <w:rPr>
                <w:rFonts w:ascii="Arial" w:hAnsi="Arial" w:cs="Arial"/>
              </w:rPr>
              <w:t>V, N</w:t>
            </w:r>
          </w:p>
        </w:tc>
        <w:tc>
          <w:tcPr>
            <w:tcW w:w="0" w:type="auto"/>
            <w:hideMark/>
          </w:tcPr>
          <w:p w14:paraId="6472BD9E" w14:textId="4828A927" w:rsidR="002E1549" w:rsidRPr="001B7632" w:rsidRDefault="002E1549" w:rsidP="00CD1DC9">
            <w:pPr>
              <w:spacing w:line="276" w:lineRule="auto"/>
              <w:rPr>
                <w:rFonts w:ascii="Arial" w:hAnsi="Arial" w:cs="Arial"/>
              </w:rPr>
            </w:pPr>
            <w:r w:rsidRPr="001B7632">
              <w:rPr>
                <w:rFonts w:ascii="Arial" w:hAnsi="Arial" w:cs="Arial"/>
              </w:rPr>
              <w:t>Nausea, hypercalcemia, hypercalciuria, hypotension (rare)</w:t>
            </w:r>
          </w:p>
        </w:tc>
      </w:tr>
      <w:tr w:rsidR="002E1549" w:rsidRPr="00CD1DC9" w14:paraId="34D23D5B" w14:textId="77777777" w:rsidTr="001F72C9">
        <w:tc>
          <w:tcPr>
            <w:tcW w:w="0" w:type="auto"/>
            <w:hideMark/>
          </w:tcPr>
          <w:p w14:paraId="7C126E29" w14:textId="77777777" w:rsidR="002E1549" w:rsidRPr="00CD1DC9" w:rsidRDefault="002E1549" w:rsidP="00CD1DC9">
            <w:pPr>
              <w:spacing w:line="276" w:lineRule="auto"/>
              <w:rPr>
                <w:rFonts w:ascii="Arial" w:hAnsi="Arial" w:cs="Arial"/>
              </w:rPr>
            </w:pPr>
            <w:r w:rsidRPr="00CD1DC9">
              <w:rPr>
                <w:rFonts w:ascii="Arial" w:hAnsi="Arial" w:cs="Arial"/>
              </w:rPr>
              <w:t>PTHrP</w:t>
            </w:r>
            <w:r w:rsidRPr="00CD1DC9">
              <w:rPr>
                <w:rFonts w:ascii="Arial" w:hAnsi="Arial" w:cs="Arial"/>
              </w:rPr>
              <w:br/>
              <w:t>Abaloparatide</w:t>
            </w:r>
            <w:r w:rsidRPr="00CD1DC9">
              <w:rPr>
                <w:rFonts w:ascii="Arial" w:hAnsi="Arial" w:cs="Arial"/>
              </w:rPr>
              <w:br/>
              <w:t>(PTHrP 1-34)</w:t>
            </w:r>
          </w:p>
        </w:tc>
        <w:tc>
          <w:tcPr>
            <w:tcW w:w="0" w:type="auto"/>
            <w:hideMark/>
          </w:tcPr>
          <w:p w14:paraId="6A1927C2" w14:textId="77777777" w:rsidR="002E1549" w:rsidRPr="00CD1DC9" w:rsidRDefault="002E1549" w:rsidP="00CD1DC9">
            <w:pPr>
              <w:spacing w:line="276" w:lineRule="auto"/>
              <w:rPr>
                <w:rFonts w:ascii="Arial" w:hAnsi="Arial" w:cs="Arial"/>
              </w:rPr>
            </w:pPr>
            <w:r w:rsidRPr="00CD1DC9">
              <w:rPr>
                <w:rFonts w:ascii="Arial" w:hAnsi="Arial" w:cs="Arial"/>
              </w:rPr>
              <w:t>80 mcg SC daily (for maximum of 2 years)</w:t>
            </w:r>
          </w:p>
        </w:tc>
        <w:tc>
          <w:tcPr>
            <w:tcW w:w="0" w:type="auto"/>
            <w:hideMark/>
          </w:tcPr>
          <w:p w14:paraId="621729E5" w14:textId="77777777" w:rsidR="002E1549" w:rsidRPr="00CD1DC9" w:rsidRDefault="002E1549" w:rsidP="00CD1DC9">
            <w:pPr>
              <w:spacing w:line="276" w:lineRule="auto"/>
              <w:rPr>
                <w:rFonts w:ascii="Arial" w:hAnsi="Arial" w:cs="Arial"/>
              </w:rPr>
            </w:pPr>
            <w:r w:rsidRPr="00CD1DC9">
              <w:rPr>
                <w:rFonts w:ascii="Arial" w:hAnsi="Arial" w:cs="Arial"/>
              </w:rPr>
              <w:t>V, N</w:t>
            </w:r>
          </w:p>
        </w:tc>
        <w:tc>
          <w:tcPr>
            <w:tcW w:w="0" w:type="auto"/>
            <w:hideMark/>
          </w:tcPr>
          <w:p w14:paraId="2DAF3007" w14:textId="77777777" w:rsidR="002E1549" w:rsidRPr="00CD1DC9" w:rsidRDefault="002E1549" w:rsidP="00CD1DC9">
            <w:pPr>
              <w:spacing w:line="276" w:lineRule="auto"/>
              <w:rPr>
                <w:rFonts w:ascii="Arial" w:hAnsi="Arial" w:cs="Arial"/>
              </w:rPr>
            </w:pPr>
            <w:r w:rsidRPr="00CD1DC9">
              <w:rPr>
                <w:rFonts w:ascii="Arial" w:hAnsi="Arial" w:cs="Arial"/>
              </w:rPr>
              <w:t>Nausea, hypercalcemia, hypercalciuria, dizziness, osteosarcoma (in rodents)</w:t>
            </w:r>
          </w:p>
        </w:tc>
      </w:tr>
      <w:tr w:rsidR="002E1549" w:rsidRPr="00CD1DC9" w14:paraId="16009257" w14:textId="77777777" w:rsidTr="001F72C9">
        <w:tc>
          <w:tcPr>
            <w:tcW w:w="0" w:type="auto"/>
            <w:gridSpan w:val="4"/>
            <w:hideMark/>
          </w:tcPr>
          <w:p w14:paraId="0088AA79" w14:textId="77777777" w:rsidR="002E1549" w:rsidRPr="00CD1DC9" w:rsidRDefault="002E1549" w:rsidP="00CD1DC9">
            <w:pPr>
              <w:spacing w:line="276" w:lineRule="auto"/>
              <w:rPr>
                <w:rFonts w:ascii="Arial" w:hAnsi="Arial" w:cs="Arial"/>
              </w:rPr>
            </w:pPr>
            <w:r w:rsidRPr="00CD1DC9">
              <w:rPr>
                <w:rFonts w:ascii="Arial" w:hAnsi="Arial" w:cs="Arial"/>
                <w:b/>
                <w:bCs/>
              </w:rPr>
              <w:t>RANKL inhibitor</w:t>
            </w:r>
          </w:p>
        </w:tc>
      </w:tr>
      <w:tr w:rsidR="002E1549" w:rsidRPr="00CD1DC9" w14:paraId="46A68C51" w14:textId="77777777" w:rsidTr="001F72C9">
        <w:tc>
          <w:tcPr>
            <w:tcW w:w="0" w:type="auto"/>
            <w:hideMark/>
          </w:tcPr>
          <w:p w14:paraId="2EFAD7CB" w14:textId="77777777" w:rsidR="002E1549" w:rsidRPr="00CD1DC9" w:rsidRDefault="002E1549" w:rsidP="00CD1DC9">
            <w:pPr>
              <w:spacing w:line="276" w:lineRule="auto"/>
              <w:rPr>
                <w:rFonts w:ascii="Arial" w:hAnsi="Arial" w:cs="Arial"/>
              </w:rPr>
            </w:pPr>
            <w:r w:rsidRPr="00CD1DC9">
              <w:rPr>
                <w:rFonts w:ascii="Arial" w:hAnsi="Arial" w:cs="Arial"/>
              </w:rPr>
              <w:t>Denosumab</w:t>
            </w:r>
          </w:p>
        </w:tc>
        <w:tc>
          <w:tcPr>
            <w:tcW w:w="0" w:type="auto"/>
            <w:hideMark/>
          </w:tcPr>
          <w:p w14:paraId="683550F6" w14:textId="77777777" w:rsidR="002E1549" w:rsidRPr="00CD1DC9" w:rsidRDefault="002E1549" w:rsidP="00CD1DC9">
            <w:pPr>
              <w:spacing w:line="276" w:lineRule="auto"/>
              <w:rPr>
                <w:rFonts w:ascii="Arial" w:hAnsi="Arial" w:cs="Arial"/>
              </w:rPr>
            </w:pPr>
            <w:r w:rsidRPr="00CD1DC9">
              <w:rPr>
                <w:rFonts w:ascii="Arial" w:hAnsi="Arial" w:cs="Arial"/>
              </w:rPr>
              <w:t>60 mg SC every 6 months</w:t>
            </w:r>
          </w:p>
        </w:tc>
        <w:tc>
          <w:tcPr>
            <w:tcW w:w="0" w:type="auto"/>
            <w:hideMark/>
          </w:tcPr>
          <w:p w14:paraId="606FD720" w14:textId="77777777" w:rsidR="002E1549" w:rsidRPr="00CD1DC9" w:rsidRDefault="002E1549" w:rsidP="00CD1DC9">
            <w:pPr>
              <w:spacing w:line="276" w:lineRule="auto"/>
              <w:rPr>
                <w:rFonts w:ascii="Arial" w:hAnsi="Arial" w:cs="Arial"/>
              </w:rPr>
            </w:pPr>
            <w:r w:rsidRPr="00CD1DC9">
              <w:rPr>
                <w:rFonts w:ascii="Arial" w:hAnsi="Arial" w:cs="Arial"/>
              </w:rPr>
              <w:t>V, N, H</w:t>
            </w:r>
          </w:p>
        </w:tc>
        <w:tc>
          <w:tcPr>
            <w:tcW w:w="0" w:type="auto"/>
            <w:hideMark/>
          </w:tcPr>
          <w:p w14:paraId="3D9CE268" w14:textId="77777777" w:rsidR="002E1549" w:rsidRPr="00CD1DC9" w:rsidRDefault="002E1549" w:rsidP="00CD1DC9">
            <w:pPr>
              <w:spacing w:line="276" w:lineRule="auto"/>
              <w:rPr>
                <w:rFonts w:ascii="Arial" w:hAnsi="Arial" w:cs="Arial"/>
              </w:rPr>
            </w:pPr>
            <w:r w:rsidRPr="00CD1DC9">
              <w:rPr>
                <w:rFonts w:ascii="Arial" w:hAnsi="Arial" w:cs="Arial"/>
              </w:rPr>
              <w:t>Skin infections, other uncommon infections, osteonecrosis of the jaw (rare), atypical femur fractures (rare), bone loss/vertebral fractures upon discontinuation</w:t>
            </w:r>
          </w:p>
        </w:tc>
      </w:tr>
      <w:tr w:rsidR="005970E9" w:rsidRPr="00CD1DC9" w14:paraId="51080752" w14:textId="77777777" w:rsidTr="001F72C9">
        <w:tc>
          <w:tcPr>
            <w:tcW w:w="0" w:type="auto"/>
            <w:gridSpan w:val="4"/>
          </w:tcPr>
          <w:p w14:paraId="1B777674" w14:textId="7F81318E" w:rsidR="005970E9" w:rsidRPr="00CD1DC9" w:rsidRDefault="005970E9" w:rsidP="00CD1DC9">
            <w:pPr>
              <w:spacing w:line="276" w:lineRule="auto"/>
              <w:rPr>
                <w:rFonts w:ascii="Arial" w:hAnsi="Arial" w:cs="Arial"/>
                <w:b/>
                <w:bCs/>
              </w:rPr>
            </w:pPr>
            <w:r w:rsidRPr="001B7632">
              <w:rPr>
                <w:rFonts w:ascii="Arial" w:hAnsi="Arial" w:cs="Arial"/>
                <w:b/>
                <w:bCs/>
              </w:rPr>
              <w:lastRenderedPageBreak/>
              <w:t>Sclerostin inhibitor</w:t>
            </w:r>
          </w:p>
        </w:tc>
      </w:tr>
      <w:tr w:rsidR="005970E9" w:rsidRPr="00CD1DC9" w14:paraId="1817BB09" w14:textId="77777777" w:rsidTr="001F72C9">
        <w:tc>
          <w:tcPr>
            <w:tcW w:w="0" w:type="auto"/>
          </w:tcPr>
          <w:p w14:paraId="6CD8C6F9" w14:textId="6352FC4D" w:rsidR="005970E9" w:rsidRPr="001B7632" w:rsidRDefault="005970E9" w:rsidP="00CD1DC9">
            <w:pPr>
              <w:spacing w:line="276" w:lineRule="auto"/>
              <w:rPr>
                <w:rFonts w:ascii="Arial" w:hAnsi="Arial" w:cs="Arial"/>
              </w:rPr>
            </w:pPr>
            <w:r w:rsidRPr="001B7632">
              <w:rPr>
                <w:rFonts w:ascii="Arial" w:hAnsi="Arial" w:cs="Arial"/>
              </w:rPr>
              <w:t>Romosozumab</w:t>
            </w:r>
          </w:p>
        </w:tc>
        <w:tc>
          <w:tcPr>
            <w:tcW w:w="0" w:type="auto"/>
          </w:tcPr>
          <w:p w14:paraId="53563A50" w14:textId="2AEA64B9" w:rsidR="005970E9" w:rsidRPr="001B7632" w:rsidRDefault="005970E9" w:rsidP="00CD1DC9">
            <w:pPr>
              <w:spacing w:line="276" w:lineRule="auto"/>
              <w:rPr>
                <w:rFonts w:ascii="Arial" w:hAnsi="Arial" w:cs="Arial"/>
              </w:rPr>
            </w:pPr>
            <w:r w:rsidRPr="001B7632">
              <w:rPr>
                <w:rFonts w:ascii="Arial" w:hAnsi="Arial" w:cs="Arial"/>
              </w:rPr>
              <w:t xml:space="preserve">210 mg SC every </w:t>
            </w:r>
            <w:r w:rsidR="00F34613" w:rsidRPr="001B7632">
              <w:rPr>
                <w:rFonts w:ascii="Arial" w:hAnsi="Arial" w:cs="Arial"/>
              </w:rPr>
              <w:t>month</w:t>
            </w:r>
            <w:r w:rsidRPr="001B7632">
              <w:rPr>
                <w:rFonts w:ascii="Arial" w:hAnsi="Arial" w:cs="Arial"/>
              </w:rPr>
              <w:t xml:space="preserve"> for 12 months</w:t>
            </w:r>
          </w:p>
        </w:tc>
        <w:tc>
          <w:tcPr>
            <w:tcW w:w="0" w:type="auto"/>
          </w:tcPr>
          <w:p w14:paraId="2E07F2A5" w14:textId="5923EE75" w:rsidR="005970E9" w:rsidRPr="001B7632" w:rsidRDefault="004D478F" w:rsidP="00CD1DC9">
            <w:pPr>
              <w:spacing w:line="276" w:lineRule="auto"/>
              <w:rPr>
                <w:rFonts w:ascii="Arial" w:hAnsi="Arial" w:cs="Arial"/>
              </w:rPr>
            </w:pPr>
            <w:r w:rsidRPr="001B7632">
              <w:rPr>
                <w:rFonts w:ascii="Arial" w:hAnsi="Arial" w:cs="Arial"/>
              </w:rPr>
              <w:t>V</w:t>
            </w:r>
            <w:r w:rsidR="00B74EAE" w:rsidRPr="001B7632">
              <w:rPr>
                <w:rFonts w:ascii="Arial" w:hAnsi="Arial" w:cs="Arial"/>
              </w:rPr>
              <w:t>, N, H</w:t>
            </w:r>
          </w:p>
        </w:tc>
        <w:tc>
          <w:tcPr>
            <w:tcW w:w="0" w:type="auto"/>
          </w:tcPr>
          <w:p w14:paraId="01F466C8" w14:textId="0ADE26C2" w:rsidR="005970E9" w:rsidRPr="001B7632" w:rsidRDefault="004D478F" w:rsidP="00CD1DC9">
            <w:pPr>
              <w:spacing w:line="276" w:lineRule="auto"/>
              <w:rPr>
                <w:rFonts w:ascii="Arial" w:hAnsi="Arial" w:cs="Arial"/>
              </w:rPr>
            </w:pPr>
            <w:r w:rsidRPr="001B7632">
              <w:rPr>
                <w:rFonts w:ascii="Arial" w:hAnsi="Arial" w:cs="Arial"/>
              </w:rPr>
              <w:t>Injection site reaction, major adverse cardiac events, osteonecrosis of the jaw (rare), atypical femur fracture (rare)</w:t>
            </w:r>
          </w:p>
        </w:tc>
      </w:tr>
      <w:tr w:rsidR="002E1549" w:rsidRPr="00CD1DC9" w14:paraId="0CB8E1C8" w14:textId="77777777" w:rsidTr="001F72C9">
        <w:tc>
          <w:tcPr>
            <w:tcW w:w="0" w:type="auto"/>
            <w:gridSpan w:val="4"/>
            <w:hideMark/>
          </w:tcPr>
          <w:p w14:paraId="7E61E5C6" w14:textId="77777777" w:rsidR="002E1549" w:rsidRPr="00CD1DC9" w:rsidRDefault="002E1549" w:rsidP="00CD1DC9">
            <w:pPr>
              <w:spacing w:line="276" w:lineRule="auto"/>
              <w:rPr>
                <w:rFonts w:ascii="Arial" w:hAnsi="Arial" w:cs="Arial"/>
              </w:rPr>
            </w:pPr>
            <w:r w:rsidRPr="00CD1DC9">
              <w:rPr>
                <w:rFonts w:ascii="Arial" w:hAnsi="Arial" w:cs="Arial"/>
                <w:b/>
                <w:bCs/>
              </w:rPr>
              <w:t>Other</w:t>
            </w:r>
          </w:p>
        </w:tc>
      </w:tr>
      <w:tr w:rsidR="002E1549" w:rsidRPr="00CD1DC9" w14:paraId="6566B10C" w14:textId="77777777" w:rsidTr="001F72C9">
        <w:tc>
          <w:tcPr>
            <w:tcW w:w="0" w:type="auto"/>
            <w:hideMark/>
          </w:tcPr>
          <w:p w14:paraId="2BBA6B15" w14:textId="77777777" w:rsidR="002E1549" w:rsidRPr="00CD1DC9" w:rsidRDefault="002E1549" w:rsidP="00CD1DC9">
            <w:pPr>
              <w:spacing w:line="276" w:lineRule="auto"/>
              <w:rPr>
                <w:rFonts w:ascii="Arial" w:hAnsi="Arial" w:cs="Arial"/>
              </w:rPr>
            </w:pPr>
            <w:r w:rsidRPr="00CD1DC9">
              <w:rPr>
                <w:rFonts w:ascii="Arial" w:hAnsi="Arial" w:cs="Arial"/>
              </w:rPr>
              <w:t>Calcitonin</w:t>
            </w:r>
          </w:p>
        </w:tc>
        <w:tc>
          <w:tcPr>
            <w:tcW w:w="0" w:type="auto"/>
            <w:hideMark/>
          </w:tcPr>
          <w:p w14:paraId="29AACBAA" w14:textId="77777777" w:rsidR="002E1549" w:rsidRPr="00CD1DC9" w:rsidRDefault="002E1549" w:rsidP="00CD1DC9">
            <w:pPr>
              <w:spacing w:line="276" w:lineRule="auto"/>
              <w:rPr>
                <w:rFonts w:ascii="Arial" w:hAnsi="Arial" w:cs="Arial"/>
              </w:rPr>
            </w:pPr>
            <w:r w:rsidRPr="00CD1DC9">
              <w:rPr>
                <w:rFonts w:ascii="Arial" w:hAnsi="Arial" w:cs="Arial"/>
              </w:rPr>
              <w:t>200 IU nasally or</w:t>
            </w:r>
            <w:r w:rsidRPr="00CD1DC9">
              <w:rPr>
                <w:rFonts w:ascii="Arial" w:hAnsi="Arial" w:cs="Arial"/>
              </w:rPr>
              <w:br/>
              <w:t>100 IU subcutaneously every other day</w:t>
            </w:r>
          </w:p>
        </w:tc>
        <w:tc>
          <w:tcPr>
            <w:tcW w:w="0" w:type="auto"/>
            <w:hideMark/>
          </w:tcPr>
          <w:p w14:paraId="1853F3BB" w14:textId="77777777" w:rsidR="002E1549" w:rsidRPr="00CD1DC9" w:rsidRDefault="002E1549" w:rsidP="00CD1DC9">
            <w:pPr>
              <w:spacing w:line="276" w:lineRule="auto"/>
              <w:rPr>
                <w:rFonts w:ascii="Arial" w:hAnsi="Arial" w:cs="Arial"/>
              </w:rPr>
            </w:pPr>
            <w:r w:rsidRPr="00CD1DC9">
              <w:rPr>
                <w:rFonts w:ascii="Arial" w:hAnsi="Arial" w:cs="Arial"/>
              </w:rPr>
              <w:t>V</w:t>
            </w:r>
          </w:p>
        </w:tc>
        <w:tc>
          <w:tcPr>
            <w:tcW w:w="0" w:type="auto"/>
            <w:hideMark/>
          </w:tcPr>
          <w:p w14:paraId="67B9FE89" w14:textId="77777777" w:rsidR="002E1549" w:rsidRPr="00CD1DC9" w:rsidRDefault="002E1549" w:rsidP="00CD1DC9">
            <w:pPr>
              <w:spacing w:line="276" w:lineRule="auto"/>
              <w:rPr>
                <w:rFonts w:ascii="Arial" w:hAnsi="Arial" w:cs="Arial"/>
              </w:rPr>
            </w:pPr>
            <w:r w:rsidRPr="00CD1DC9">
              <w:rPr>
                <w:rFonts w:ascii="Arial" w:hAnsi="Arial" w:cs="Arial"/>
              </w:rPr>
              <w:t>Nasal congestion, malignancy</w:t>
            </w:r>
          </w:p>
        </w:tc>
      </w:tr>
    </w:tbl>
    <w:p w14:paraId="2FA30D0D" w14:textId="77777777" w:rsidR="002E1549" w:rsidRPr="00CD1DC9" w:rsidRDefault="002E1549" w:rsidP="00CD1DC9">
      <w:pPr>
        <w:spacing w:after="0" w:line="276" w:lineRule="auto"/>
        <w:rPr>
          <w:rFonts w:ascii="Arial" w:hAnsi="Arial" w:cs="Arial"/>
        </w:rPr>
      </w:pPr>
      <w:r w:rsidRPr="00CD1DC9">
        <w:rPr>
          <w:rFonts w:ascii="Arial" w:hAnsi="Arial" w:cs="Arial"/>
        </w:rPr>
        <w:t>V: vertebral, N: non-vertebral, H: hip</w:t>
      </w:r>
    </w:p>
    <w:p w14:paraId="7FD6A6F2" w14:textId="77777777" w:rsidR="001F72C9" w:rsidRDefault="001F72C9" w:rsidP="00CD1DC9">
      <w:pPr>
        <w:spacing w:after="0" w:line="276" w:lineRule="auto"/>
        <w:rPr>
          <w:rFonts w:ascii="Arial" w:hAnsi="Arial" w:cs="Arial"/>
          <w:b/>
          <w:bCs/>
        </w:rPr>
      </w:pPr>
    </w:p>
    <w:p w14:paraId="1D387096" w14:textId="7B0B6961"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CURRENT THERAPEUTIC APPROACH</w:t>
      </w:r>
    </w:p>
    <w:p w14:paraId="7BFD7379" w14:textId="77777777" w:rsidR="001F72C9" w:rsidRDefault="001F72C9" w:rsidP="00CD1DC9">
      <w:pPr>
        <w:spacing w:after="0" w:line="276" w:lineRule="auto"/>
        <w:rPr>
          <w:rFonts w:ascii="Arial" w:hAnsi="Arial" w:cs="Arial"/>
        </w:rPr>
      </w:pPr>
    </w:p>
    <w:p w14:paraId="1943DB33" w14:textId="68CF83BA" w:rsidR="002E1549" w:rsidRPr="00CD1DC9" w:rsidRDefault="002E1549" w:rsidP="00CD1DC9">
      <w:pPr>
        <w:spacing w:after="0" w:line="276" w:lineRule="auto"/>
        <w:rPr>
          <w:rFonts w:ascii="Arial" w:hAnsi="Arial" w:cs="Arial"/>
        </w:rPr>
      </w:pPr>
      <w:r w:rsidRPr="00CD1DC9">
        <w:rPr>
          <w:rFonts w:ascii="Arial" w:hAnsi="Arial" w:cs="Arial"/>
        </w:rPr>
        <w:t>Pharmacologic treatment is indicated for those with osteoporosis by BMD criteria; fragility vertebral or hip fracture regardless of BMD; fragility fracture of the pelvis, proximal humerus, or wrist with osteopenic range BMD; and elevated FRAX scores.</w:t>
      </w:r>
    </w:p>
    <w:p w14:paraId="5826C94B" w14:textId="77777777" w:rsidR="001F72C9" w:rsidRDefault="001F72C9" w:rsidP="00CD1DC9">
      <w:pPr>
        <w:spacing w:after="0" w:line="276" w:lineRule="auto"/>
        <w:rPr>
          <w:rFonts w:ascii="Arial" w:hAnsi="Arial" w:cs="Arial"/>
        </w:rPr>
      </w:pPr>
    </w:p>
    <w:p w14:paraId="5B3CE98D" w14:textId="4543E14B" w:rsidR="002E1549" w:rsidRPr="00CD1DC9" w:rsidRDefault="002E1549" w:rsidP="00CD1DC9">
      <w:pPr>
        <w:spacing w:after="0" w:line="276" w:lineRule="auto"/>
        <w:rPr>
          <w:rFonts w:ascii="Arial" w:hAnsi="Arial" w:cs="Arial"/>
        </w:rPr>
      </w:pPr>
      <w:r w:rsidRPr="00CD1DC9">
        <w:rPr>
          <w:rFonts w:ascii="Arial" w:hAnsi="Arial" w:cs="Arial"/>
        </w:rPr>
        <w:t>The most commonly used therapy is a bisphosphonate, which has long skeletal retention, decreases bone turnover, and reduces the risk of fractures (see </w:t>
      </w:r>
      <w:hyperlink r:id="rId11" w:tgtFrame="object" w:history="1">
        <w:r w:rsidRPr="001B7632">
          <w:rPr>
            <w:rStyle w:val="Hyperlink"/>
            <w:rFonts w:ascii="Arial" w:hAnsi="Arial" w:cs="Arial"/>
            <w:color w:val="auto"/>
            <w:u w:val="none"/>
          </w:rPr>
          <w:t>Table 4</w:t>
        </w:r>
      </w:hyperlink>
      <w:r w:rsidRPr="00CD1DC9">
        <w:rPr>
          <w:rFonts w:ascii="Arial" w:hAnsi="Arial" w:cs="Arial"/>
        </w:rPr>
        <w:t>). Alendronate, risedronate, and zoledronic acid decrease vertebral, non-vertebral, and hip fractures, whereas ibandronate decreases vertebral but </w:t>
      </w:r>
      <w:r w:rsidRPr="00CD1DC9">
        <w:rPr>
          <w:rFonts w:ascii="Arial" w:hAnsi="Arial" w:cs="Arial"/>
          <w:i/>
          <w:iCs/>
        </w:rPr>
        <w:t>not</w:t>
      </w:r>
      <w:r w:rsidRPr="00CD1DC9">
        <w:rPr>
          <w:rFonts w:ascii="Arial" w:hAnsi="Arial" w:cs="Arial"/>
        </w:rPr>
        <w:t> hip or non-vertebral fractures. There is concern about the association of its long-term use and risk of atypical femur fractures. These fractures (1) can occur along the subtrochanteric femur, (2) are associated with minimal or no trauma, (3) are in transverse or short oblique configuration, and (4) usually are complete fractures through both cortices. Some patients have prodromal symptoms of thigh or groin pain in the affected leg; bilateral atypical femur fractures may also be present. The incidence of these types of fractures is very low, and the consensus has been that the number of fractures prevented far exceeds the number of these fractures occurring as a result of bisphosphonates. According to the available limited, post-hoc data analyses, continuation of therapy after 3 years for zoledronic acid and 5 years for oral bisphosphonates may be considered in those with hip, spine, or multiple other osteoporotic fractures before or during therapy, osteoporosis at the hip after treatment, or high fracture risk. According to the 2011 FDA review, more data are needed concerning long-term bisphosphonate use. Until these data are available, annual evaluation and follow-up should involve decisions as to whether a 1-2 year or greater bisphosphonate holiday is needed, according to each individual’s risk, or to consider the use of alternative treatments as needed. It is important, however, to follow patients with a history of low bone mass or osteoporosis who are on a bisphosphonate holiday. Another rare complication is osteonecrosis of the jaw, which usually occurs in the setting of an invasive dental procedure. This complication is primarily seen in cancer patients who are receiving zoledronic acid on a monthly basis to prevent cancer-related fractures.</w:t>
      </w:r>
    </w:p>
    <w:p w14:paraId="59B3BFE4" w14:textId="77777777" w:rsidR="001F72C9" w:rsidRDefault="001F72C9" w:rsidP="00CD1DC9">
      <w:pPr>
        <w:spacing w:after="0" w:line="276" w:lineRule="auto"/>
        <w:rPr>
          <w:rFonts w:ascii="Arial" w:hAnsi="Arial" w:cs="Arial"/>
        </w:rPr>
      </w:pPr>
    </w:p>
    <w:p w14:paraId="4AD89EA3" w14:textId="63053449" w:rsidR="002E1549" w:rsidRPr="00CD1DC9" w:rsidRDefault="002E1549" w:rsidP="00CD1DC9">
      <w:pPr>
        <w:spacing w:after="0" w:line="276" w:lineRule="auto"/>
        <w:rPr>
          <w:rFonts w:ascii="Arial" w:hAnsi="Arial" w:cs="Arial"/>
        </w:rPr>
      </w:pPr>
      <w:r w:rsidRPr="00CD1DC9">
        <w:rPr>
          <w:rFonts w:ascii="Arial" w:hAnsi="Arial" w:cs="Arial"/>
        </w:rPr>
        <w:t xml:space="preserve">Denosumab, FDA approved in June 2010, is a monoclonal antibody that reduces RANKL, inhibiting the cellular mechanisms underlying bone resorption. It decreases the risk of vertebral, non-vertebral, and hip fractures and can be judiciously used in those with renal dysfunction. </w:t>
      </w:r>
      <w:r w:rsidRPr="00CD1DC9">
        <w:rPr>
          <w:rFonts w:ascii="Arial" w:hAnsi="Arial" w:cs="Arial"/>
        </w:rPr>
        <w:lastRenderedPageBreak/>
        <w:t>Denosumab has also been associated with rare cases of atypical femur fractures and osteonecrosis of the jaw. Of note, a drug holiday from denosumab is </w:t>
      </w:r>
      <w:r w:rsidRPr="00CD1DC9">
        <w:rPr>
          <w:rFonts w:ascii="Arial" w:hAnsi="Arial" w:cs="Arial"/>
          <w:i/>
          <w:iCs/>
        </w:rPr>
        <w:t>not</w:t>
      </w:r>
      <w:r w:rsidRPr="00CD1DC9">
        <w:rPr>
          <w:rFonts w:ascii="Arial" w:hAnsi="Arial" w:cs="Arial"/>
        </w:rPr>
        <w:t> recommended due to rebound bone loss and risk of multiple vertebral fractures with discontinuation. If denosumab is to be discontinued, it should be followed by bisphosphonate treatment.</w:t>
      </w:r>
    </w:p>
    <w:p w14:paraId="1AA32987" w14:textId="77777777" w:rsidR="001F72C9" w:rsidRDefault="001F72C9" w:rsidP="00CD1DC9">
      <w:pPr>
        <w:spacing w:after="0" w:line="276" w:lineRule="auto"/>
        <w:rPr>
          <w:rFonts w:ascii="Arial" w:hAnsi="Arial" w:cs="Arial"/>
        </w:rPr>
      </w:pPr>
    </w:p>
    <w:p w14:paraId="734AB9F0" w14:textId="5FD572D4" w:rsidR="002E1549" w:rsidRPr="00CD1DC9" w:rsidRDefault="002E1549" w:rsidP="00CD1DC9">
      <w:pPr>
        <w:spacing w:after="0" w:line="276" w:lineRule="auto"/>
        <w:rPr>
          <w:rFonts w:ascii="Arial" w:hAnsi="Arial" w:cs="Arial"/>
        </w:rPr>
      </w:pPr>
      <w:r w:rsidRPr="00CD1DC9">
        <w:rPr>
          <w:rFonts w:ascii="Arial" w:hAnsi="Arial" w:cs="Arial"/>
        </w:rPr>
        <w:t>Anabolic agents teriparatide (1-34 recombinant PTH) and abaloparatide (1-34 recombinant PTHrP) stimulate overall bone formation, improve bone structure, increase BMD particularly at the spine, and reduce risk of vertebral and non-vertebral fractures. In postmenopausal women with history of vertebral fracture, teriparatide has been shown to reduce incident vertebral and clinical fractures more than risedronate. Abaloparatide appears to be more effective at increasing bone density at the total hip compared to teriparatide and is less likely to cause hypercalcemia. They are administered as daily subcutaneous injections</w:t>
      </w:r>
      <w:r w:rsidR="00565D09" w:rsidRPr="00CD1DC9">
        <w:rPr>
          <w:rFonts w:ascii="Arial" w:hAnsi="Arial" w:cs="Arial"/>
        </w:rPr>
        <w:t xml:space="preserve">. </w:t>
      </w:r>
      <w:r w:rsidR="00565D09" w:rsidRPr="00817D81">
        <w:rPr>
          <w:rFonts w:ascii="Arial" w:hAnsi="Arial" w:cs="Arial"/>
        </w:rPr>
        <w:t>Due to increased risk of osteosarcoma in rodents, these agents were limited to 2 years</w:t>
      </w:r>
      <w:r w:rsidR="000F1FD6" w:rsidRPr="00817D81">
        <w:rPr>
          <w:rFonts w:ascii="Arial" w:hAnsi="Arial" w:cs="Arial"/>
        </w:rPr>
        <w:t xml:space="preserve"> in a lifetime</w:t>
      </w:r>
      <w:r w:rsidR="00565D09" w:rsidRPr="00817D81">
        <w:rPr>
          <w:rFonts w:ascii="Arial" w:hAnsi="Arial" w:cs="Arial"/>
        </w:rPr>
        <w:t xml:space="preserve">. However, due </w:t>
      </w:r>
      <w:r w:rsidR="000F1FD6" w:rsidRPr="00817D81">
        <w:rPr>
          <w:rFonts w:ascii="Arial" w:hAnsi="Arial" w:cs="Arial"/>
        </w:rPr>
        <w:t xml:space="preserve">to twenty </w:t>
      </w:r>
      <w:r w:rsidR="00565D09" w:rsidRPr="00817D81">
        <w:rPr>
          <w:rFonts w:ascii="Arial" w:hAnsi="Arial" w:cs="Arial"/>
        </w:rPr>
        <w:t xml:space="preserve">years of </w:t>
      </w:r>
      <w:r w:rsidR="000F1FD6" w:rsidRPr="00817D81">
        <w:rPr>
          <w:rFonts w:ascii="Arial" w:hAnsi="Arial" w:cs="Arial"/>
        </w:rPr>
        <w:t xml:space="preserve">post-surveillance data showing no increased risk of osteosarcoma in humans, </w:t>
      </w:r>
      <w:r w:rsidR="00313E32" w:rsidRPr="00817D81">
        <w:rPr>
          <w:rFonts w:ascii="Arial" w:hAnsi="Arial" w:cs="Arial"/>
        </w:rPr>
        <w:t xml:space="preserve">use of </w:t>
      </w:r>
      <w:r w:rsidR="000F1FD6" w:rsidRPr="00817D81">
        <w:rPr>
          <w:rFonts w:ascii="Arial" w:hAnsi="Arial" w:cs="Arial"/>
        </w:rPr>
        <w:t>teriparatide</w:t>
      </w:r>
      <w:r w:rsidR="00313E32" w:rsidRPr="00817D81">
        <w:rPr>
          <w:rFonts w:ascii="Arial" w:hAnsi="Arial" w:cs="Arial"/>
        </w:rPr>
        <w:t xml:space="preserve"> is no longer restricted to 2 years</w:t>
      </w:r>
      <w:r w:rsidR="000F1FD6" w:rsidRPr="00817D81">
        <w:rPr>
          <w:rFonts w:ascii="Arial" w:hAnsi="Arial" w:cs="Arial"/>
        </w:rPr>
        <w:t xml:space="preserve">. Use of abaloparatide, which was FDA approved in 2017, continues to be restricted to 2 years. </w:t>
      </w:r>
      <w:r w:rsidR="006534A8" w:rsidRPr="00817D81">
        <w:rPr>
          <w:rFonts w:ascii="Arial" w:hAnsi="Arial" w:cs="Arial"/>
        </w:rPr>
        <w:t>T</w:t>
      </w:r>
      <w:r w:rsidRPr="00817D81">
        <w:rPr>
          <w:rFonts w:ascii="Arial" w:hAnsi="Arial" w:cs="Arial"/>
        </w:rPr>
        <w:t>h</w:t>
      </w:r>
      <w:r w:rsidR="006534A8" w:rsidRPr="00817D81">
        <w:rPr>
          <w:rFonts w:ascii="Arial" w:hAnsi="Arial" w:cs="Arial"/>
        </w:rPr>
        <w:t>ese</w:t>
      </w:r>
      <w:r w:rsidRPr="00817D81">
        <w:rPr>
          <w:rFonts w:ascii="Arial" w:hAnsi="Arial" w:cs="Arial"/>
        </w:rPr>
        <w:t xml:space="preserve"> treatment</w:t>
      </w:r>
      <w:r w:rsidR="006534A8" w:rsidRPr="00817D81">
        <w:rPr>
          <w:rFonts w:ascii="Arial" w:hAnsi="Arial" w:cs="Arial"/>
        </w:rPr>
        <w:t>s</w:t>
      </w:r>
      <w:r w:rsidRPr="00817D81">
        <w:rPr>
          <w:rFonts w:ascii="Arial" w:hAnsi="Arial" w:cs="Arial"/>
        </w:rPr>
        <w:t xml:space="preserve"> should not be used in patients with active malignancy, history of radiation therapy, elevated</w:t>
      </w:r>
      <w:r w:rsidRPr="00CD1DC9">
        <w:rPr>
          <w:rFonts w:ascii="Arial" w:hAnsi="Arial" w:cs="Arial"/>
        </w:rPr>
        <w:t xml:space="preserve"> alkaline phosphatase, or Paget’s disease. Anabolic agents should be followed by anti-resorptive therapy to consolidate gains in BMD.</w:t>
      </w:r>
    </w:p>
    <w:p w14:paraId="4FB18827" w14:textId="77777777" w:rsidR="001F72C9" w:rsidRDefault="001F72C9" w:rsidP="00CD1DC9">
      <w:pPr>
        <w:spacing w:after="0" w:line="276" w:lineRule="auto"/>
        <w:rPr>
          <w:rFonts w:ascii="Arial" w:hAnsi="Arial" w:cs="Arial"/>
          <w:highlight w:val="yellow"/>
        </w:rPr>
      </w:pPr>
    </w:p>
    <w:p w14:paraId="77FAE835" w14:textId="007CD2D9" w:rsidR="002E1549" w:rsidRPr="00CD1DC9" w:rsidRDefault="006534A8" w:rsidP="00CD1DC9">
      <w:pPr>
        <w:spacing w:after="0" w:line="276" w:lineRule="auto"/>
        <w:rPr>
          <w:rFonts w:ascii="Arial" w:hAnsi="Arial" w:cs="Arial"/>
        </w:rPr>
      </w:pPr>
      <w:r w:rsidRPr="00817D81">
        <w:rPr>
          <w:rFonts w:ascii="Arial" w:hAnsi="Arial" w:cs="Arial"/>
        </w:rPr>
        <w:t>Romosozumab, FDA approved in April 2019, is</w:t>
      </w:r>
      <w:r w:rsidR="003B3AAE" w:rsidRPr="00817D81">
        <w:rPr>
          <w:rFonts w:ascii="Arial" w:hAnsi="Arial" w:cs="Arial"/>
        </w:rPr>
        <w:t xml:space="preserve"> fully human</w:t>
      </w:r>
      <w:r w:rsidR="00F76B12" w:rsidRPr="00817D81">
        <w:rPr>
          <w:rFonts w:ascii="Arial" w:hAnsi="Arial" w:cs="Arial"/>
        </w:rPr>
        <w:t xml:space="preserve"> </w:t>
      </w:r>
      <w:r w:rsidRPr="00817D81">
        <w:rPr>
          <w:rFonts w:ascii="Arial" w:hAnsi="Arial" w:cs="Arial"/>
        </w:rPr>
        <w:t>monoclonal antibody that inhibits sclerostin</w:t>
      </w:r>
      <w:r w:rsidR="00B74EAE" w:rsidRPr="00817D81">
        <w:rPr>
          <w:rFonts w:ascii="Arial" w:hAnsi="Arial" w:cs="Arial"/>
        </w:rPr>
        <w:t xml:space="preserve"> and simultaneously reduces bone resorption </w:t>
      </w:r>
      <w:r w:rsidR="006C0EF9" w:rsidRPr="00817D81">
        <w:rPr>
          <w:rFonts w:ascii="Arial" w:hAnsi="Arial" w:cs="Arial"/>
        </w:rPr>
        <w:t>and</w:t>
      </w:r>
      <w:r w:rsidR="00B74EAE" w:rsidRPr="00817D81">
        <w:rPr>
          <w:rFonts w:ascii="Arial" w:hAnsi="Arial" w:cs="Arial"/>
        </w:rPr>
        <w:t xml:space="preserve"> stimulat</w:t>
      </w:r>
      <w:r w:rsidR="006C0EF9" w:rsidRPr="00817D81">
        <w:rPr>
          <w:rFonts w:ascii="Arial" w:hAnsi="Arial" w:cs="Arial"/>
        </w:rPr>
        <w:t>es</w:t>
      </w:r>
      <w:r w:rsidR="00B74EAE" w:rsidRPr="00817D81">
        <w:rPr>
          <w:rFonts w:ascii="Arial" w:hAnsi="Arial" w:cs="Arial"/>
        </w:rPr>
        <w:t xml:space="preserve"> bone formation. </w:t>
      </w:r>
      <w:r w:rsidR="002E1549" w:rsidRPr="00817D81">
        <w:rPr>
          <w:rFonts w:ascii="Arial" w:hAnsi="Arial" w:cs="Arial"/>
        </w:rPr>
        <w:t xml:space="preserve">Clinical studies of romosozumab have shown reduced risk of vertebral and nonvertebral, and hip fractures compared to placebo as well as alendronate. However, there were more adjudicated serious cardiovascular events in the romosozumab treatment arm compared to the alendronate arm. Thus, </w:t>
      </w:r>
      <w:r w:rsidR="00F76B12" w:rsidRPr="00817D81">
        <w:rPr>
          <w:rFonts w:ascii="Arial" w:hAnsi="Arial" w:cs="Arial"/>
        </w:rPr>
        <w:t>according to</w:t>
      </w:r>
      <w:r w:rsidR="009F0101" w:rsidRPr="00817D81">
        <w:rPr>
          <w:rFonts w:ascii="Arial" w:hAnsi="Arial" w:cs="Arial"/>
        </w:rPr>
        <w:t xml:space="preserve"> the FDA, </w:t>
      </w:r>
      <w:r w:rsidR="00B74EAE" w:rsidRPr="00817D81">
        <w:rPr>
          <w:rFonts w:ascii="Arial" w:hAnsi="Arial" w:cs="Arial"/>
        </w:rPr>
        <w:t>romosozumab should not be used in patients who have had a myocardial infarction or stroke within the preceding year.</w:t>
      </w:r>
      <w:r w:rsidR="00491CCE" w:rsidRPr="00817D81">
        <w:rPr>
          <w:rFonts w:ascii="Arial" w:hAnsi="Arial" w:cs="Arial"/>
        </w:rPr>
        <w:t xml:space="preserve"> </w:t>
      </w:r>
      <w:r w:rsidR="005D25FA" w:rsidRPr="00817D81">
        <w:rPr>
          <w:rFonts w:ascii="Arial" w:hAnsi="Arial" w:cs="Arial"/>
        </w:rPr>
        <w:t xml:space="preserve">A course of </w:t>
      </w:r>
      <w:r w:rsidR="00491CCE" w:rsidRPr="00817D81">
        <w:rPr>
          <w:rFonts w:ascii="Arial" w:hAnsi="Arial" w:cs="Arial"/>
        </w:rPr>
        <w:t xml:space="preserve">romosozumab is </w:t>
      </w:r>
      <w:r w:rsidR="005D25FA" w:rsidRPr="00817D81">
        <w:rPr>
          <w:rFonts w:ascii="Arial" w:hAnsi="Arial" w:cs="Arial"/>
        </w:rPr>
        <w:t xml:space="preserve">12-months long, as the anabolic effects of romosozumab wane before then. There is no limit of courses. </w:t>
      </w:r>
      <w:r w:rsidR="00491CCE" w:rsidRPr="00817D81">
        <w:rPr>
          <w:rFonts w:ascii="Arial" w:hAnsi="Arial" w:cs="Arial"/>
        </w:rPr>
        <w:t>Similar to the parathyroid hormone analogues, romosozumab should also be followed by anti-resorptive therapy.</w:t>
      </w:r>
    </w:p>
    <w:p w14:paraId="52CD7ED6" w14:textId="77777777" w:rsidR="001F72C9" w:rsidRDefault="001F72C9" w:rsidP="00CD1DC9">
      <w:pPr>
        <w:spacing w:after="0" w:line="276" w:lineRule="auto"/>
        <w:rPr>
          <w:rFonts w:ascii="Arial" w:hAnsi="Arial" w:cs="Arial"/>
          <w:b/>
          <w:bCs/>
        </w:rPr>
      </w:pPr>
    </w:p>
    <w:p w14:paraId="1549C087" w14:textId="68C11848"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FOLLOW-UP</w:t>
      </w:r>
    </w:p>
    <w:p w14:paraId="6224623F" w14:textId="77777777" w:rsidR="001F72C9" w:rsidRDefault="001F72C9" w:rsidP="00CD1DC9">
      <w:pPr>
        <w:spacing w:after="0" w:line="276" w:lineRule="auto"/>
        <w:rPr>
          <w:rFonts w:ascii="Arial" w:hAnsi="Arial" w:cs="Arial"/>
        </w:rPr>
      </w:pPr>
    </w:p>
    <w:p w14:paraId="496BC718" w14:textId="3087BB2C" w:rsidR="002E1549" w:rsidRPr="00CD1DC9" w:rsidRDefault="002E1549" w:rsidP="00CD1DC9">
      <w:pPr>
        <w:spacing w:after="0" w:line="276" w:lineRule="auto"/>
        <w:rPr>
          <w:rFonts w:ascii="Arial" w:hAnsi="Arial" w:cs="Arial"/>
        </w:rPr>
      </w:pPr>
      <w:r w:rsidRPr="00CD1DC9">
        <w:rPr>
          <w:rFonts w:ascii="Arial" w:hAnsi="Arial" w:cs="Arial"/>
        </w:rPr>
        <w:t>Once an initial bone density is measured, a follow-up BMD should be done 1-2 years after the initial screening and depending on whether pharmacologic therapy was initiated. Biochemical bone turnover markers and collagen breakdown products (e.g., N-telopeptide, C-telopeptide, collected in the morning) at baseline and after 3 months of treatment may be helpful in select patients to determine patient response to a therapeutic intervention. Clinical musculoskeletal evaluation and annual height measurements are important in the identification of spine fractures. Fragility fractures increase exponentially with advancing age, and evaluation and treatment of new fractures are critical for secondary prevention of fractures and healthy aging.</w:t>
      </w:r>
    </w:p>
    <w:p w14:paraId="4B873577" w14:textId="77777777" w:rsidR="001F72C9" w:rsidRDefault="001F72C9" w:rsidP="00CD1DC9">
      <w:pPr>
        <w:spacing w:after="0" w:line="276" w:lineRule="auto"/>
        <w:rPr>
          <w:rFonts w:ascii="Arial" w:hAnsi="Arial" w:cs="Arial"/>
          <w:b/>
          <w:bCs/>
        </w:rPr>
      </w:pPr>
    </w:p>
    <w:p w14:paraId="13AB7071" w14:textId="28D9EDDE"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GUIDELINES</w:t>
      </w:r>
    </w:p>
    <w:p w14:paraId="2CCC3BF9" w14:textId="77777777" w:rsidR="001F72C9" w:rsidRDefault="001F72C9" w:rsidP="001F72C9">
      <w:pPr>
        <w:spacing w:after="0" w:line="276" w:lineRule="auto"/>
        <w:rPr>
          <w:rFonts w:ascii="Arial" w:hAnsi="Arial" w:cs="Arial"/>
          <w:highlight w:val="yellow"/>
        </w:rPr>
      </w:pPr>
    </w:p>
    <w:p w14:paraId="76DCDADC" w14:textId="1F0010BD" w:rsidR="00EF3CED" w:rsidRPr="00C95E1B" w:rsidRDefault="00EF3CED" w:rsidP="00C95E1B">
      <w:pPr>
        <w:spacing w:after="0" w:line="276" w:lineRule="auto"/>
        <w:rPr>
          <w:rFonts w:ascii="Arial" w:hAnsi="Arial" w:cs="Arial"/>
        </w:rPr>
      </w:pPr>
      <w:r w:rsidRPr="00C95E1B">
        <w:rPr>
          <w:rFonts w:ascii="Arial" w:hAnsi="Arial" w:cs="Arial"/>
        </w:rPr>
        <w:lastRenderedPageBreak/>
        <w:t>LeBoff M.S., Greenspan S.L, Insogna K.L., Lewiecki E.M., Saag K.G., Singer A.J., Siris, E.S. The Clinician's Guide to Prevention and Treatment of Osteoporosis. </w:t>
      </w:r>
      <w:proofErr w:type="spellStart"/>
      <w:r w:rsidRPr="00C95E1B">
        <w:rPr>
          <w:rFonts w:ascii="Arial" w:hAnsi="Arial" w:cs="Arial"/>
        </w:rPr>
        <w:t>Osteoporos</w:t>
      </w:r>
      <w:proofErr w:type="spellEnd"/>
      <w:r w:rsidRPr="00C95E1B">
        <w:rPr>
          <w:rFonts w:ascii="Arial" w:hAnsi="Arial" w:cs="Arial"/>
        </w:rPr>
        <w:t xml:space="preserve"> Int. </w:t>
      </w:r>
      <w:r w:rsidRPr="00C95E1B">
        <w:rPr>
          <w:rFonts w:ascii="Arial" w:hAnsi="Arial" w:cs="Arial"/>
          <w:i/>
          <w:iCs/>
        </w:rPr>
        <w:t>In press</w:t>
      </w:r>
      <w:r w:rsidRPr="00C95E1B">
        <w:rPr>
          <w:rFonts w:ascii="Arial" w:hAnsi="Arial" w:cs="Arial"/>
        </w:rPr>
        <w:t>.</w:t>
      </w:r>
    </w:p>
    <w:p w14:paraId="608EE57F" w14:textId="77777777" w:rsidR="001F72C9" w:rsidRPr="00C95E1B" w:rsidRDefault="001F72C9" w:rsidP="001F72C9">
      <w:pPr>
        <w:spacing w:after="0" w:line="276" w:lineRule="auto"/>
        <w:rPr>
          <w:rFonts w:ascii="Arial" w:hAnsi="Arial" w:cs="Arial"/>
        </w:rPr>
      </w:pPr>
    </w:p>
    <w:p w14:paraId="33054EB5" w14:textId="650713DF" w:rsidR="002E1549" w:rsidRPr="00C95E1B" w:rsidRDefault="00E04EB8" w:rsidP="00C95E1B">
      <w:pPr>
        <w:spacing w:after="0" w:line="276" w:lineRule="auto"/>
        <w:rPr>
          <w:rFonts w:ascii="Arial" w:hAnsi="Arial" w:cs="Arial"/>
        </w:rPr>
      </w:pPr>
      <w:r w:rsidRPr="00C95E1B">
        <w:rPr>
          <w:rFonts w:ascii="Arial" w:hAnsi="Arial" w:cs="Arial"/>
        </w:rPr>
        <w:t xml:space="preserve">Camacho, P. M., Petak, S. M., Binkley, N., Diab, D. L., </w:t>
      </w:r>
      <w:proofErr w:type="spellStart"/>
      <w:r w:rsidRPr="00C95E1B">
        <w:rPr>
          <w:rFonts w:ascii="Arial" w:hAnsi="Arial" w:cs="Arial"/>
        </w:rPr>
        <w:t>Eldeiry</w:t>
      </w:r>
      <w:proofErr w:type="spellEnd"/>
      <w:r w:rsidRPr="00C95E1B">
        <w:rPr>
          <w:rFonts w:ascii="Arial" w:hAnsi="Arial" w:cs="Arial"/>
        </w:rPr>
        <w:t xml:space="preserve">, L. S., </w:t>
      </w:r>
      <w:proofErr w:type="spellStart"/>
      <w:r w:rsidRPr="00C95E1B">
        <w:rPr>
          <w:rFonts w:ascii="Arial" w:hAnsi="Arial" w:cs="Arial"/>
        </w:rPr>
        <w:t>Farooki</w:t>
      </w:r>
      <w:proofErr w:type="spellEnd"/>
      <w:r w:rsidRPr="00C95E1B">
        <w:rPr>
          <w:rFonts w:ascii="Arial" w:hAnsi="Arial" w:cs="Arial"/>
        </w:rPr>
        <w:t xml:space="preserve">, A., Harris, S. T., Hurley, D. L., Kelly, J., Lewiecki, E. M., </w:t>
      </w:r>
      <w:proofErr w:type="spellStart"/>
      <w:r w:rsidRPr="00C95E1B">
        <w:rPr>
          <w:rFonts w:ascii="Arial" w:hAnsi="Arial" w:cs="Arial"/>
        </w:rPr>
        <w:t>Pessah</w:t>
      </w:r>
      <w:proofErr w:type="spellEnd"/>
      <w:r w:rsidRPr="00C95E1B">
        <w:rPr>
          <w:rFonts w:ascii="Arial" w:hAnsi="Arial" w:cs="Arial"/>
        </w:rPr>
        <w:t xml:space="preserve">-Pollack, R., McClung, M., </w:t>
      </w:r>
      <w:proofErr w:type="spellStart"/>
      <w:r w:rsidRPr="00C95E1B">
        <w:rPr>
          <w:rFonts w:ascii="Arial" w:hAnsi="Arial" w:cs="Arial"/>
        </w:rPr>
        <w:t>Wimalawansa</w:t>
      </w:r>
      <w:proofErr w:type="spellEnd"/>
      <w:r w:rsidRPr="00C95E1B">
        <w:rPr>
          <w:rFonts w:ascii="Arial" w:hAnsi="Arial" w:cs="Arial"/>
        </w:rPr>
        <w:t xml:space="preserve">, S. J., &amp; Watts, N. B. American Association of Clinical Endocrinologists/American College of Endocrinology Clinical Practice Guidelines for the Diagnosis and Treatment of Postmenopausal Osteoporosis – 2020 Update. </w:t>
      </w:r>
      <w:proofErr w:type="spellStart"/>
      <w:r w:rsidRPr="00C95E1B">
        <w:rPr>
          <w:rFonts w:ascii="Arial" w:hAnsi="Arial" w:cs="Arial"/>
        </w:rPr>
        <w:t>Endocr</w:t>
      </w:r>
      <w:proofErr w:type="spellEnd"/>
      <w:r w:rsidRPr="00C95E1B">
        <w:rPr>
          <w:rFonts w:ascii="Arial" w:hAnsi="Arial" w:cs="Arial"/>
        </w:rPr>
        <w:t xml:space="preserve"> </w:t>
      </w:r>
      <w:proofErr w:type="spellStart"/>
      <w:r w:rsidRPr="00C95E1B">
        <w:rPr>
          <w:rFonts w:ascii="Arial" w:hAnsi="Arial" w:cs="Arial"/>
        </w:rPr>
        <w:t>Pract</w:t>
      </w:r>
      <w:proofErr w:type="spellEnd"/>
      <w:r w:rsidRPr="00C95E1B">
        <w:rPr>
          <w:rFonts w:ascii="Arial" w:hAnsi="Arial" w:cs="Arial"/>
        </w:rPr>
        <w:t>. 2020;26(Suppl 1), 1–</w:t>
      </w:r>
      <w:proofErr w:type="gramStart"/>
      <w:r w:rsidRPr="00C95E1B">
        <w:rPr>
          <w:rFonts w:ascii="Arial" w:hAnsi="Arial" w:cs="Arial"/>
        </w:rPr>
        <w:t>46.</w:t>
      </w:r>
      <w:r w:rsidR="002E1549" w:rsidRPr="00C95E1B">
        <w:rPr>
          <w:rFonts w:ascii="Arial" w:hAnsi="Arial" w:cs="Arial"/>
        </w:rPr>
        <w:t>.</w:t>
      </w:r>
      <w:proofErr w:type="gramEnd"/>
    </w:p>
    <w:p w14:paraId="5B9250F0" w14:textId="77777777" w:rsidR="001F72C9" w:rsidRPr="00C95E1B" w:rsidRDefault="001F72C9" w:rsidP="001F72C9">
      <w:pPr>
        <w:spacing w:after="0" w:line="276" w:lineRule="auto"/>
        <w:rPr>
          <w:rFonts w:ascii="Arial" w:hAnsi="Arial" w:cs="Arial"/>
        </w:rPr>
      </w:pPr>
    </w:p>
    <w:p w14:paraId="483F93CC" w14:textId="0DBB0771" w:rsidR="00F9545B" w:rsidRPr="00C95E1B" w:rsidRDefault="00F9545B" w:rsidP="00C95E1B">
      <w:pPr>
        <w:spacing w:after="0" w:line="276" w:lineRule="auto"/>
        <w:rPr>
          <w:rFonts w:ascii="Arial" w:hAnsi="Arial" w:cs="Arial"/>
        </w:rPr>
      </w:pPr>
      <w:r w:rsidRPr="00C95E1B">
        <w:rPr>
          <w:rFonts w:ascii="Arial" w:hAnsi="Arial" w:cs="Arial"/>
        </w:rPr>
        <w:t xml:space="preserve">Eastell R., Rosen C.J., Black D.M., Cheung A.M., Murad M.H., Shoback D. Pharmacological Management of Osteoporosis in Postmenopausal Women:  An Endocrine Society Clinical Practice Guideline. J Clin Endocrinol </w:t>
      </w:r>
      <w:proofErr w:type="spellStart"/>
      <w:r w:rsidRPr="00C95E1B">
        <w:rPr>
          <w:rFonts w:ascii="Arial" w:hAnsi="Arial" w:cs="Arial"/>
        </w:rPr>
        <w:t>Metab</w:t>
      </w:r>
      <w:proofErr w:type="spellEnd"/>
      <w:r w:rsidRPr="00C95E1B">
        <w:rPr>
          <w:rFonts w:ascii="Arial" w:hAnsi="Arial" w:cs="Arial"/>
        </w:rPr>
        <w:t>. 2019;104(5):1595-1622.</w:t>
      </w:r>
    </w:p>
    <w:p w14:paraId="59C5ACEA" w14:textId="77777777" w:rsidR="001F72C9" w:rsidRPr="00C95E1B" w:rsidRDefault="001F72C9" w:rsidP="00C95E1B">
      <w:pPr>
        <w:spacing w:after="0" w:line="276" w:lineRule="auto"/>
        <w:rPr>
          <w:rFonts w:ascii="Arial" w:hAnsi="Arial" w:cs="Arial"/>
        </w:rPr>
      </w:pPr>
    </w:p>
    <w:p w14:paraId="30DC0D34" w14:textId="1737FBDB" w:rsidR="00F9545B" w:rsidRPr="00C95E1B" w:rsidRDefault="00F9545B" w:rsidP="00C95E1B">
      <w:pPr>
        <w:spacing w:after="0" w:line="276" w:lineRule="auto"/>
        <w:rPr>
          <w:rFonts w:ascii="Arial" w:hAnsi="Arial" w:cs="Arial"/>
        </w:rPr>
      </w:pPr>
      <w:r w:rsidRPr="00C95E1B">
        <w:rPr>
          <w:rFonts w:ascii="Arial" w:hAnsi="Arial" w:cs="Arial"/>
        </w:rPr>
        <w:t xml:space="preserve">Shoback D., Rosen C.J., Black D.M., Cheung A.M., Murad M.H., Eastell R. Pharmacological Management of Osteoporosis in Postmenopausal Women:  An Endocrine Society Guideline Update. J Clin Endocrinol </w:t>
      </w:r>
      <w:proofErr w:type="spellStart"/>
      <w:r w:rsidRPr="00C95E1B">
        <w:rPr>
          <w:rFonts w:ascii="Arial" w:hAnsi="Arial" w:cs="Arial"/>
        </w:rPr>
        <w:t>Metab</w:t>
      </w:r>
      <w:proofErr w:type="spellEnd"/>
      <w:r w:rsidRPr="00C95E1B">
        <w:rPr>
          <w:rFonts w:ascii="Arial" w:hAnsi="Arial" w:cs="Arial"/>
        </w:rPr>
        <w:t>. 2020;105(</w:t>
      </w:r>
      <w:r w:rsidR="00F941F3" w:rsidRPr="00C95E1B">
        <w:rPr>
          <w:rFonts w:ascii="Arial" w:hAnsi="Arial" w:cs="Arial"/>
        </w:rPr>
        <w:t>3)</w:t>
      </w:r>
      <w:r w:rsidR="00595792" w:rsidRPr="00C95E1B">
        <w:rPr>
          <w:rFonts w:ascii="Arial" w:hAnsi="Arial" w:cs="Arial"/>
        </w:rPr>
        <w:t>: 587–594</w:t>
      </w:r>
      <w:r w:rsidR="00F05D16" w:rsidRPr="00C95E1B" w:rsidDel="00F941F3">
        <w:rPr>
          <w:rFonts w:ascii="Arial" w:hAnsi="Arial" w:cs="Arial"/>
        </w:rPr>
        <w:t xml:space="preserve"> </w:t>
      </w:r>
    </w:p>
    <w:p w14:paraId="1328DDFA" w14:textId="04F34D40" w:rsidR="00F9545B" w:rsidRPr="00CD1DC9" w:rsidRDefault="00F9545B" w:rsidP="00CD1DC9">
      <w:pPr>
        <w:spacing w:after="0" w:line="276" w:lineRule="auto"/>
        <w:rPr>
          <w:rFonts w:ascii="Arial" w:hAnsi="Arial" w:cs="Arial"/>
        </w:rPr>
      </w:pPr>
    </w:p>
    <w:p w14:paraId="2ED2560C" w14:textId="224249C9" w:rsidR="002E1549" w:rsidRPr="00B86611" w:rsidRDefault="002E1549" w:rsidP="00CD1DC9">
      <w:pPr>
        <w:spacing w:after="0" w:line="276" w:lineRule="auto"/>
        <w:rPr>
          <w:rFonts w:ascii="Arial" w:hAnsi="Arial" w:cs="Arial"/>
          <w:b/>
          <w:bCs/>
          <w:color w:val="0070C0"/>
        </w:rPr>
      </w:pPr>
      <w:r w:rsidRPr="00B86611">
        <w:rPr>
          <w:rFonts w:ascii="Arial" w:hAnsi="Arial" w:cs="Arial"/>
          <w:b/>
          <w:bCs/>
          <w:color w:val="0070C0"/>
        </w:rPr>
        <w:t>REFERENCES</w:t>
      </w:r>
    </w:p>
    <w:p w14:paraId="6415692D" w14:textId="77777777" w:rsidR="00817D81" w:rsidRPr="00CD1DC9" w:rsidRDefault="00817D81" w:rsidP="00CD1DC9">
      <w:pPr>
        <w:spacing w:after="0" w:line="276" w:lineRule="auto"/>
        <w:rPr>
          <w:rFonts w:ascii="Arial" w:hAnsi="Arial" w:cs="Arial"/>
          <w:b/>
          <w:bCs/>
        </w:rPr>
      </w:pPr>
    </w:p>
    <w:p w14:paraId="563BD7D6" w14:textId="19ADF5FF" w:rsidR="002E1549" w:rsidRPr="00C95E1B" w:rsidRDefault="002E1549" w:rsidP="00817D81">
      <w:pPr>
        <w:numPr>
          <w:ilvl w:val="0"/>
          <w:numId w:val="2"/>
        </w:numPr>
        <w:spacing w:after="0" w:line="276" w:lineRule="auto"/>
        <w:ind w:left="576" w:hanging="576"/>
        <w:rPr>
          <w:rFonts w:ascii="Arial" w:hAnsi="Arial"/>
        </w:rPr>
      </w:pPr>
      <w:bookmarkStart w:id="2" w:name="_Hlk95320770"/>
      <w:r w:rsidRPr="00C95E1B">
        <w:rPr>
          <w:rFonts w:ascii="Arial" w:hAnsi="Arial"/>
        </w:rPr>
        <w:t>Ensrud K.E., Schousboe J.T. Clinical practice. Vertebral fractures. N Engl J Med. 2011;364(17):1634–42. [</w:t>
      </w:r>
      <w:hyperlink r:id="rId12" w:history="1">
        <w:r w:rsidRPr="00C95E1B">
          <w:rPr>
            <w:rStyle w:val="Hyperlink"/>
            <w:rFonts w:ascii="Arial" w:hAnsi="Arial"/>
          </w:rPr>
          <w:t>PubMed</w:t>
        </w:r>
      </w:hyperlink>
      <w:r w:rsidRPr="00C95E1B">
        <w:rPr>
          <w:rFonts w:ascii="Arial" w:hAnsi="Arial"/>
        </w:rPr>
        <w:t>]</w:t>
      </w:r>
    </w:p>
    <w:p w14:paraId="41C307BC" w14:textId="45F40F8A" w:rsidR="00EB1537" w:rsidRPr="00C95E1B" w:rsidRDefault="00852F81" w:rsidP="00817D81">
      <w:pPr>
        <w:numPr>
          <w:ilvl w:val="0"/>
          <w:numId w:val="2"/>
        </w:numPr>
        <w:spacing w:after="0" w:line="276" w:lineRule="auto"/>
        <w:ind w:left="576" w:hanging="576"/>
        <w:rPr>
          <w:rFonts w:ascii="Arial" w:hAnsi="Arial"/>
        </w:rPr>
      </w:pPr>
      <w:r w:rsidRPr="00C95E1B">
        <w:rPr>
          <w:rFonts w:ascii="Arial" w:hAnsi="Arial"/>
        </w:rPr>
        <w:t xml:space="preserve">Rosen CJ. The Epidemiology and Pathogenesis of Osteoporosis. In: De Groot LJ, </w:t>
      </w:r>
      <w:proofErr w:type="spellStart"/>
      <w:r w:rsidRPr="00C95E1B">
        <w:rPr>
          <w:rFonts w:ascii="Arial" w:hAnsi="Arial"/>
        </w:rPr>
        <w:t>Chrousos</w:t>
      </w:r>
      <w:proofErr w:type="spellEnd"/>
      <w:r w:rsidRPr="00C95E1B">
        <w:rPr>
          <w:rFonts w:ascii="Arial" w:hAnsi="Arial"/>
        </w:rPr>
        <w:t xml:space="preserve"> G, Dungan K, Feingold KR, Grossman A, Hershman JM, Koch C, </w:t>
      </w:r>
      <w:proofErr w:type="spellStart"/>
      <w:r w:rsidRPr="00C95E1B">
        <w:rPr>
          <w:rFonts w:ascii="Arial" w:hAnsi="Arial"/>
        </w:rPr>
        <w:t>Korbonits</w:t>
      </w:r>
      <w:proofErr w:type="spellEnd"/>
      <w:r w:rsidRPr="00C95E1B">
        <w:rPr>
          <w:rFonts w:ascii="Arial" w:hAnsi="Arial"/>
        </w:rPr>
        <w:t xml:space="preserve"> M, McLachlan R, New M, Purnell J, Rebar R, Singer F, Vinik A, editors. Endotext [Internet]. South Dartmouth (MA): MDText.com, Inc.; 2000-2017 Feb 21.</w:t>
      </w:r>
    </w:p>
    <w:p w14:paraId="50D3FF8A" w14:textId="7E49F343" w:rsidR="002E1549" w:rsidRPr="00C95E1B" w:rsidRDefault="00506E83" w:rsidP="00817D81">
      <w:pPr>
        <w:numPr>
          <w:ilvl w:val="0"/>
          <w:numId w:val="2"/>
        </w:numPr>
        <w:spacing w:after="0" w:line="276" w:lineRule="auto"/>
        <w:ind w:left="576" w:hanging="576"/>
        <w:rPr>
          <w:rFonts w:ascii="Arial" w:hAnsi="Arial"/>
        </w:rPr>
      </w:pPr>
      <w:r w:rsidRPr="00C95E1B">
        <w:rPr>
          <w:rFonts w:ascii="Arial" w:hAnsi="Arial"/>
        </w:rPr>
        <w:t xml:space="preserve">LeBoff </w:t>
      </w:r>
      <w:r w:rsidR="004606B1" w:rsidRPr="00C95E1B">
        <w:rPr>
          <w:rFonts w:ascii="Arial" w:hAnsi="Arial"/>
        </w:rPr>
        <w:t>M.</w:t>
      </w:r>
      <w:r w:rsidRPr="00C95E1B">
        <w:rPr>
          <w:rFonts w:ascii="Arial" w:hAnsi="Arial"/>
        </w:rPr>
        <w:t>S</w:t>
      </w:r>
      <w:r w:rsidR="002E1549" w:rsidRPr="00C95E1B">
        <w:rPr>
          <w:rFonts w:ascii="Arial" w:hAnsi="Arial"/>
        </w:rPr>
        <w:t xml:space="preserve">., </w:t>
      </w:r>
      <w:r w:rsidR="004606B1" w:rsidRPr="00C95E1B">
        <w:rPr>
          <w:rFonts w:ascii="Arial" w:hAnsi="Arial"/>
        </w:rPr>
        <w:t>Greenspan S.L, Insogna K.L., Lewiecki E.M., Saag K.G., Singer A.J., Siris, E.S</w:t>
      </w:r>
      <w:r w:rsidR="002E1549" w:rsidRPr="00C95E1B">
        <w:rPr>
          <w:rFonts w:ascii="Arial" w:hAnsi="Arial"/>
        </w:rPr>
        <w:t xml:space="preserve">. </w:t>
      </w:r>
      <w:r w:rsidR="004606B1" w:rsidRPr="00C95E1B">
        <w:rPr>
          <w:rFonts w:ascii="Arial" w:hAnsi="Arial"/>
        </w:rPr>
        <w:t>The C</w:t>
      </w:r>
      <w:r w:rsidR="002E1549" w:rsidRPr="00C95E1B">
        <w:rPr>
          <w:rFonts w:ascii="Arial" w:hAnsi="Arial"/>
        </w:rPr>
        <w:t xml:space="preserve">linician's </w:t>
      </w:r>
      <w:r w:rsidR="004606B1" w:rsidRPr="00C95E1B">
        <w:rPr>
          <w:rFonts w:ascii="Arial" w:hAnsi="Arial"/>
        </w:rPr>
        <w:t>G</w:t>
      </w:r>
      <w:r w:rsidR="002E1549" w:rsidRPr="00C95E1B">
        <w:rPr>
          <w:rFonts w:ascii="Arial" w:hAnsi="Arial"/>
        </w:rPr>
        <w:t>uide to Prevention and Treatment of Osteoporosis. </w:t>
      </w:r>
      <w:proofErr w:type="spellStart"/>
      <w:r w:rsidR="00EF3CED" w:rsidRPr="00C95E1B">
        <w:rPr>
          <w:rFonts w:ascii="Arial" w:hAnsi="Arial"/>
        </w:rPr>
        <w:t>Osteoporos</w:t>
      </w:r>
      <w:proofErr w:type="spellEnd"/>
      <w:r w:rsidR="00EF3CED" w:rsidRPr="00C95E1B">
        <w:rPr>
          <w:rFonts w:ascii="Arial" w:hAnsi="Arial"/>
        </w:rPr>
        <w:t xml:space="preserve"> </w:t>
      </w:r>
      <w:r w:rsidR="004606B1" w:rsidRPr="00C95E1B">
        <w:rPr>
          <w:rFonts w:ascii="Arial" w:hAnsi="Arial"/>
        </w:rPr>
        <w:t xml:space="preserve">Int. </w:t>
      </w:r>
      <w:r w:rsidR="004606B1" w:rsidRPr="00C95E1B">
        <w:rPr>
          <w:rFonts w:ascii="Arial" w:hAnsi="Arial"/>
          <w:iCs/>
        </w:rPr>
        <w:t>In press</w:t>
      </w:r>
      <w:r w:rsidR="00EF3CED" w:rsidRPr="00C95E1B">
        <w:rPr>
          <w:rFonts w:ascii="Arial" w:hAnsi="Arial"/>
        </w:rPr>
        <w:t>.</w:t>
      </w:r>
    </w:p>
    <w:p w14:paraId="6FFF1FF4" w14:textId="77777777" w:rsidR="002E1549" w:rsidRPr="00C95E1B" w:rsidRDefault="002E1549" w:rsidP="00817D81">
      <w:pPr>
        <w:numPr>
          <w:ilvl w:val="0"/>
          <w:numId w:val="2"/>
        </w:numPr>
        <w:spacing w:after="0" w:line="276" w:lineRule="auto"/>
        <w:ind w:left="576" w:hanging="576"/>
        <w:rPr>
          <w:rFonts w:ascii="Arial" w:hAnsi="Arial"/>
        </w:rPr>
      </w:pPr>
      <w:r w:rsidRPr="00C95E1B">
        <w:rPr>
          <w:rFonts w:ascii="Arial" w:hAnsi="Arial"/>
        </w:rPr>
        <w:t xml:space="preserve">Chou S.H., LeBoff M.S. Vertebral Imaging in the Diagnosis of Osteoporosis: </w:t>
      </w:r>
      <w:proofErr w:type="gramStart"/>
      <w:r w:rsidRPr="00C95E1B">
        <w:rPr>
          <w:rFonts w:ascii="Arial" w:hAnsi="Arial"/>
        </w:rPr>
        <w:t>a</w:t>
      </w:r>
      <w:proofErr w:type="gramEnd"/>
      <w:r w:rsidRPr="00C95E1B">
        <w:rPr>
          <w:rFonts w:ascii="Arial" w:hAnsi="Arial"/>
        </w:rPr>
        <w:t xml:space="preserve"> Clinician's Perspective. </w:t>
      </w:r>
      <w:proofErr w:type="spellStart"/>
      <w:r w:rsidRPr="00C95E1B">
        <w:rPr>
          <w:rFonts w:ascii="Arial" w:hAnsi="Arial"/>
        </w:rPr>
        <w:t>Curr</w:t>
      </w:r>
      <w:proofErr w:type="spellEnd"/>
      <w:r w:rsidRPr="00C95E1B">
        <w:rPr>
          <w:rFonts w:ascii="Arial" w:hAnsi="Arial"/>
        </w:rPr>
        <w:t xml:space="preserve"> </w:t>
      </w:r>
      <w:proofErr w:type="spellStart"/>
      <w:r w:rsidRPr="00C95E1B">
        <w:rPr>
          <w:rFonts w:ascii="Arial" w:hAnsi="Arial"/>
        </w:rPr>
        <w:t>Osteoporos</w:t>
      </w:r>
      <w:proofErr w:type="spellEnd"/>
      <w:r w:rsidRPr="00C95E1B">
        <w:rPr>
          <w:rFonts w:ascii="Arial" w:hAnsi="Arial"/>
        </w:rPr>
        <w:t xml:space="preserve"> Rep. 2017;15(6):509–520. [</w:t>
      </w:r>
      <w:hyperlink r:id="rId13" w:history="1">
        <w:r w:rsidRPr="00C95E1B">
          <w:rPr>
            <w:rStyle w:val="Hyperlink"/>
            <w:rFonts w:ascii="Arial" w:hAnsi="Arial"/>
          </w:rPr>
          <w:t>PubMed</w:t>
        </w:r>
      </w:hyperlink>
      <w:r w:rsidRPr="00C95E1B">
        <w:rPr>
          <w:rFonts w:ascii="Arial" w:hAnsi="Arial"/>
        </w:rPr>
        <w:t>]</w:t>
      </w:r>
    </w:p>
    <w:p w14:paraId="2979D724" w14:textId="4D03361F" w:rsidR="002E1549" w:rsidRPr="00C95E1B" w:rsidRDefault="002E1549" w:rsidP="00817D81">
      <w:pPr>
        <w:numPr>
          <w:ilvl w:val="0"/>
          <w:numId w:val="2"/>
        </w:numPr>
        <w:spacing w:after="0" w:line="276" w:lineRule="auto"/>
        <w:ind w:left="576" w:hanging="576"/>
        <w:rPr>
          <w:rFonts w:ascii="Arial" w:hAnsi="Arial"/>
        </w:rPr>
      </w:pPr>
      <w:r w:rsidRPr="00C95E1B">
        <w:rPr>
          <w:rFonts w:ascii="Arial" w:hAnsi="Arial"/>
        </w:rPr>
        <w:t>Buchbinder R., et al. Percutaneous vertebroplasty for osteoporotic vertebral compression fracture. Cochrane Database Syst Rev. 2018;4:CD006349. [</w:t>
      </w:r>
      <w:hyperlink r:id="rId14" w:history="1">
        <w:r w:rsidRPr="00C95E1B">
          <w:rPr>
            <w:rStyle w:val="Hyperlink"/>
            <w:rFonts w:ascii="Arial" w:hAnsi="Arial"/>
          </w:rPr>
          <w:t>PMC free article</w:t>
        </w:r>
      </w:hyperlink>
      <w:r w:rsidRPr="00C95E1B">
        <w:rPr>
          <w:rFonts w:ascii="Arial" w:hAnsi="Arial"/>
        </w:rPr>
        <w:t>] [</w:t>
      </w:r>
      <w:hyperlink r:id="rId15" w:history="1">
        <w:r w:rsidRPr="00C95E1B">
          <w:rPr>
            <w:rStyle w:val="Hyperlink"/>
            <w:rFonts w:ascii="Arial" w:hAnsi="Arial"/>
          </w:rPr>
          <w:t>PubMed</w:t>
        </w:r>
      </w:hyperlink>
      <w:r w:rsidRPr="00C95E1B">
        <w:rPr>
          <w:rFonts w:ascii="Arial" w:hAnsi="Arial"/>
        </w:rPr>
        <w:t>]</w:t>
      </w:r>
    </w:p>
    <w:p w14:paraId="0F4015D6" w14:textId="745921FD" w:rsidR="000817AF" w:rsidRPr="00C95E1B" w:rsidRDefault="000817AF" w:rsidP="00817D81">
      <w:pPr>
        <w:numPr>
          <w:ilvl w:val="0"/>
          <w:numId w:val="2"/>
        </w:numPr>
        <w:spacing w:after="0" w:line="276" w:lineRule="auto"/>
        <w:ind w:left="576" w:hanging="576"/>
        <w:rPr>
          <w:rFonts w:ascii="Arial" w:hAnsi="Arial"/>
        </w:rPr>
      </w:pPr>
      <w:r w:rsidRPr="00C95E1B">
        <w:rPr>
          <w:rFonts w:ascii="Arial" w:hAnsi="Arial"/>
        </w:rPr>
        <w:t>Ebeling P., et al. The Efficacy and Safety of Vertebral Augmentation:  A Second ASBMR Task Force Report. J Bone Miner Res. 2019; 34(1):3-21.</w:t>
      </w:r>
    </w:p>
    <w:p w14:paraId="46B132DA" w14:textId="4EE9EEFE" w:rsidR="00BC0E94" w:rsidRPr="00C95E1B" w:rsidRDefault="00B81462" w:rsidP="00817D81">
      <w:pPr>
        <w:numPr>
          <w:ilvl w:val="0"/>
          <w:numId w:val="2"/>
        </w:numPr>
        <w:spacing w:after="0" w:line="276" w:lineRule="auto"/>
        <w:ind w:left="576" w:hanging="576"/>
        <w:rPr>
          <w:rFonts w:ascii="Arial" w:hAnsi="Arial"/>
        </w:rPr>
      </w:pPr>
      <w:r w:rsidRPr="00C95E1B">
        <w:rPr>
          <w:rFonts w:ascii="Arial" w:hAnsi="Arial"/>
        </w:rPr>
        <w:t xml:space="preserve">Buckley L, </w:t>
      </w:r>
      <w:proofErr w:type="spellStart"/>
      <w:r w:rsidRPr="00C95E1B">
        <w:rPr>
          <w:rFonts w:ascii="Arial" w:hAnsi="Arial"/>
        </w:rPr>
        <w:t>Guyatt</w:t>
      </w:r>
      <w:proofErr w:type="spellEnd"/>
      <w:r w:rsidRPr="00C95E1B">
        <w:rPr>
          <w:rFonts w:ascii="Arial" w:hAnsi="Arial"/>
        </w:rPr>
        <w:t xml:space="preserve"> G, Fink H, Cannon M, Grossman J, Hansen K, Humphrey HB, Lane NE, </w:t>
      </w:r>
      <w:proofErr w:type="spellStart"/>
      <w:r w:rsidRPr="00C95E1B">
        <w:rPr>
          <w:rFonts w:ascii="Arial" w:hAnsi="Arial"/>
        </w:rPr>
        <w:t>Magrey</w:t>
      </w:r>
      <w:proofErr w:type="spellEnd"/>
      <w:r w:rsidRPr="00C95E1B">
        <w:rPr>
          <w:rFonts w:ascii="Arial" w:hAnsi="Arial"/>
        </w:rPr>
        <w:t xml:space="preserve"> M, Miller M, Morrison L, Rao M, Robinson AB, </w:t>
      </w:r>
      <w:proofErr w:type="spellStart"/>
      <w:r w:rsidRPr="00C95E1B">
        <w:rPr>
          <w:rFonts w:ascii="Arial" w:hAnsi="Arial"/>
        </w:rPr>
        <w:t>Saha</w:t>
      </w:r>
      <w:proofErr w:type="spellEnd"/>
      <w:r w:rsidRPr="00C95E1B">
        <w:rPr>
          <w:rFonts w:ascii="Arial" w:hAnsi="Arial"/>
        </w:rPr>
        <w:t xml:space="preserve"> S, Wolver S, </w:t>
      </w:r>
      <w:proofErr w:type="spellStart"/>
      <w:r w:rsidRPr="00C95E1B">
        <w:rPr>
          <w:rFonts w:ascii="Arial" w:hAnsi="Arial"/>
        </w:rPr>
        <w:t>Bannuru</w:t>
      </w:r>
      <w:proofErr w:type="spellEnd"/>
      <w:r w:rsidRPr="00C95E1B">
        <w:rPr>
          <w:rFonts w:ascii="Arial" w:hAnsi="Arial"/>
        </w:rPr>
        <w:t xml:space="preserve"> RR, </w:t>
      </w:r>
      <w:proofErr w:type="spellStart"/>
      <w:r w:rsidRPr="00C95E1B">
        <w:rPr>
          <w:rFonts w:ascii="Arial" w:hAnsi="Arial"/>
        </w:rPr>
        <w:t>Vaysbrot</w:t>
      </w:r>
      <w:proofErr w:type="spellEnd"/>
      <w:r w:rsidRPr="00C95E1B">
        <w:rPr>
          <w:rFonts w:ascii="Arial" w:hAnsi="Arial"/>
        </w:rPr>
        <w:t xml:space="preserve"> E, Osani M, </w:t>
      </w:r>
      <w:proofErr w:type="spellStart"/>
      <w:r w:rsidRPr="00C95E1B">
        <w:rPr>
          <w:rFonts w:ascii="Arial" w:hAnsi="Arial"/>
        </w:rPr>
        <w:t>Turgunbae</w:t>
      </w:r>
      <w:proofErr w:type="spellEnd"/>
      <w:r w:rsidRPr="00C95E1B">
        <w:rPr>
          <w:rFonts w:ascii="Arial" w:hAnsi="Arial"/>
        </w:rPr>
        <w:t xml:space="preserve"> M, Miller A, </w:t>
      </w:r>
      <w:proofErr w:type="spellStart"/>
      <w:r w:rsidRPr="00C95E1B">
        <w:rPr>
          <w:rFonts w:ascii="Arial" w:hAnsi="Arial"/>
        </w:rPr>
        <w:t>McAlindon</w:t>
      </w:r>
      <w:proofErr w:type="spellEnd"/>
      <w:r w:rsidRPr="00C95E1B">
        <w:rPr>
          <w:rFonts w:ascii="Arial" w:hAnsi="Arial"/>
        </w:rPr>
        <w:t xml:space="preserve"> T. 2017 America</w:t>
      </w:r>
      <w:r w:rsidR="0050397B" w:rsidRPr="00C95E1B">
        <w:rPr>
          <w:rFonts w:ascii="Arial" w:hAnsi="Arial"/>
        </w:rPr>
        <w:t>n</w:t>
      </w:r>
      <w:r w:rsidRPr="00C95E1B">
        <w:rPr>
          <w:rFonts w:ascii="Arial" w:hAnsi="Arial"/>
        </w:rPr>
        <w:t xml:space="preserve"> College of Rheumatology Guideline for the Prevention and Treatment of Glucocorticoid-I</w:t>
      </w:r>
      <w:r w:rsidR="00407206" w:rsidRPr="00C95E1B">
        <w:rPr>
          <w:rFonts w:ascii="Arial" w:hAnsi="Arial"/>
        </w:rPr>
        <w:t xml:space="preserve">nduced Osteoporosis. Arthritis </w:t>
      </w:r>
      <w:proofErr w:type="spellStart"/>
      <w:r w:rsidR="00407206" w:rsidRPr="00C95E1B">
        <w:rPr>
          <w:rFonts w:ascii="Arial" w:hAnsi="Arial"/>
        </w:rPr>
        <w:t>Rheumatol</w:t>
      </w:r>
      <w:proofErr w:type="spellEnd"/>
      <w:r w:rsidR="00407206" w:rsidRPr="00C95E1B">
        <w:rPr>
          <w:rFonts w:ascii="Arial" w:hAnsi="Arial"/>
        </w:rPr>
        <w:t>. 2017;69(8):1521-1537.</w:t>
      </w:r>
    </w:p>
    <w:p w14:paraId="52F77BA3" w14:textId="17C6F4FC" w:rsidR="00BC0E94" w:rsidRPr="00C95E1B" w:rsidRDefault="00BC0E94" w:rsidP="00817D81">
      <w:pPr>
        <w:numPr>
          <w:ilvl w:val="0"/>
          <w:numId w:val="2"/>
        </w:numPr>
        <w:spacing w:after="0" w:line="276" w:lineRule="auto"/>
        <w:ind w:left="576" w:hanging="576"/>
        <w:rPr>
          <w:rFonts w:ascii="Arial" w:hAnsi="Arial"/>
        </w:rPr>
      </w:pPr>
      <w:r w:rsidRPr="00C95E1B">
        <w:rPr>
          <w:rFonts w:ascii="Arial" w:hAnsi="Arial" w:cstheme="minorHAnsi"/>
        </w:rPr>
        <w:t xml:space="preserve">Institute of Medicine. In Ross AC, Taylor CL, </w:t>
      </w:r>
      <w:proofErr w:type="spellStart"/>
      <w:r w:rsidRPr="00C95E1B">
        <w:rPr>
          <w:rFonts w:ascii="Arial" w:hAnsi="Arial" w:cstheme="minorHAnsi"/>
        </w:rPr>
        <w:t>Yaktine</w:t>
      </w:r>
      <w:proofErr w:type="spellEnd"/>
      <w:r w:rsidRPr="00C95E1B">
        <w:rPr>
          <w:rFonts w:ascii="Arial" w:hAnsi="Arial" w:cstheme="minorHAnsi"/>
        </w:rPr>
        <w:t xml:space="preserve"> AL, Del Valle HB e, eds. Dietary reference intakes for calcium and vitamin D. Washington, DC: National Academy of Sciences; 2011.</w:t>
      </w:r>
    </w:p>
    <w:bookmarkEnd w:id="1"/>
    <w:bookmarkEnd w:id="2"/>
    <w:p w14:paraId="381D9BAB" w14:textId="77777777" w:rsidR="00302455" w:rsidRPr="00C95E1B" w:rsidRDefault="00302455" w:rsidP="00817D81">
      <w:pPr>
        <w:spacing w:after="0" w:line="276" w:lineRule="auto"/>
        <w:ind w:left="576" w:hanging="576"/>
        <w:rPr>
          <w:rFonts w:ascii="Arial" w:hAnsi="Arial" w:cs="Arial"/>
        </w:rPr>
      </w:pPr>
    </w:p>
    <w:sectPr w:rsidR="00302455" w:rsidRPr="00C95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E83"/>
    <w:multiLevelType w:val="multilevel"/>
    <w:tmpl w:val="D11A91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F7B3A"/>
    <w:multiLevelType w:val="hybridMultilevel"/>
    <w:tmpl w:val="51524E62"/>
    <w:lvl w:ilvl="0" w:tplc="FC24BE70">
      <w:start w:val="88"/>
      <w:numFmt w:val="decimal"/>
      <w:lvlText w:val="%1."/>
      <w:lvlJc w:val="left"/>
      <w:pPr>
        <w:tabs>
          <w:tab w:val="num" w:pos="360"/>
        </w:tabs>
        <w:ind w:left="360" w:hanging="360"/>
      </w:pPr>
      <w:rPr>
        <w:rFonts w:ascii="Times New Roman" w:hAnsi="Times New Roman" w:hint="default"/>
        <w:b w:val="0"/>
        <w:color w:val="auto"/>
        <w:sz w:val="24"/>
      </w:rPr>
    </w:lvl>
    <w:lvl w:ilvl="1" w:tplc="0409000F">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737A6D"/>
    <w:multiLevelType w:val="multilevel"/>
    <w:tmpl w:val="F028C0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51682"/>
    <w:multiLevelType w:val="multilevel"/>
    <w:tmpl w:val="7A72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210597"/>
    <w:multiLevelType w:val="multilevel"/>
    <w:tmpl w:val="3276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F44C0"/>
    <w:multiLevelType w:val="hybridMultilevel"/>
    <w:tmpl w:val="9A0C3F84"/>
    <w:lvl w:ilvl="0" w:tplc="F3C6B6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B3AD1"/>
    <w:multiLevelType w:val="multilevel"/>
    <w:tmpl w:val="7A72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49"/>
    <w:rsid w:val="00015E27"/>
    <w:rsid w:val="000817AF"/>
    <w:rsid w:val="000923D1"/>
    <w:rsid w:val="000A23C5"/>
    <w:rsid w:val="000D1090"/>
    <w:rsid w:val="000F1FD6"/>
    <w:rsid w:val="00107F46"/>
    <w:rsid w:val="001700C4"/>
    <w:rsid w:val="001B7632"/>
    <w:rsid w:val="001E7953"/>
    <w:rsid w:val="001F72C9"/>
    <w:rsid w:val="00276660"/>
    <w:rsid w:val="002902EE"/>
    <w:rsid w:val="002B459F"/>
    <w:rsid w:val="002E1549"/>
    <w:rsid w:val="00302455"/>
    <w:rsid w:val="00313E32"/>
    <w:rsid w:val="003B3AAE"/>
    <w:rsid w:val="003E7B64"/>
    <w:rsid w:val="00407206"/>
    <w:rsid w:val="004132D0"/>
    <w:rsid w:val="004577CC"/>
    <w:rsid w:val="004606B1"/>
    <w:rsid w:val="00491CCE"/>
    <w:rsid w:val="004D478F"/>
    <w:rsid w:val="0050397B"/>
    <w:rsid w:val="00506E83"/>
    <w:rsid w:val="005457C7"/>
    <w:rsid w:val="00565D09"/>
    <w:rsid w:val="00595792"/>
    <w:rsid w:val="005970E9"/>
    <w:rsid w:val="005D25FA"/>
    <w:rsid w:val="005E20E5"/>
    <w:rsid w:val="005E3298"/>
    <w:rsid w:val="006109E6"/>
    <w:rsid w:val="006114BA"/>
    <w:rsid w:val="00620314"/>
    <w:rsid w:val="006534A8"/>
    <w:rsid w:val="006775FA"/>
    <w:rsid w:val="006C0EF9"/>
    <w:rsid w:val="006C3210"/>
    <w:rsid w:val="00710A6C"/>
    <w:rsid w:val="00732BC4"/>
    <w:rsid w:val="00750D92"/>
    <w:rsid w:val="007538F4"/>
    <w:rsid w:val="00791EC9"/>
    <w:rsid w:val="007A318C"/>
    <w:rsid w:val="007B68E1"/>
    <w:rsid w:val="007E4042"/>
    <w:rsid w:val="00817D81"/>
    <w:rsid w:val="00852F81"/>
    <w:rsid w:val="008B7E13"/>
    <w:rsid w:val="00964932"/>
    <w:rsid w:val="009A0875"/>
    <w:rsid w:val="009F0101"/>
    <w:rsid w:val="009F4A7D"/>
    <w:rsid w:val="00A158ED"/>
    <w:rsid w:val="00A23642"/>
    <w:rsid w:val="00A45D4B"/>
    <w:rsid w:val="00A559B9"/>
    <w:rsid w:val="00AD227A"/>
    <w:rsid w:val="00B03679"/>
    <w:rsid w:val="00B343AF"/>
    <w:rsid w:val="00B375AC"/>
    <w:rsid w:val="00B543D7"/>
    <w:rsid w:val="00B54A59"/>
    <w:rsid w:val="00B7381B"/>
    <w:rsid w:val="00B74EAE"/>
    <w:rsid w:val="00B81462"/>
    <w:rsid w:val="00B86611"/>
    <w:rsid w:val="00B90C07"/>
    <w:rsid w:val="00BB2508"/>
    <w:rsid w:val="00BB409F"/>
    <w:rsid w:val="00BC0E94"/>
    <w:rsid w:val="00BC3336"/>
    <w:rsid w:val="00BE6C0A"/>
    <w:rsid w:val="00C95E1B"/>
    <w:rsid w:val="00CD1DC9"/>
    <w:rsid w:val="00CF1B63"/>
    <w:rsid w:val="00D772EE"/>
    <w:rsid w:val="00E04EB8"/>
    <w:rsid w:val="00E14728"/>
    <w:rsid w:val="00E232C1"/>
    <w:rsid w:val="00E42F21"/>
    <w:rsid w:val="00E53A26"/>
    <w:rsid w:val="00EB1537"/>
    <w:rsid w:val="00EF3CED"/>
    <w:rsid w:val="00F05D16"/>
    <w:rsid w:val="00F228D4"/>
    <w:rsid w:val="00F34613"/>
    <w:rsid w:val="00F76B12"/>
    <w:rsid w:val="00F941F3"/>
    <w:rsid w:val="00F9545B"/>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974C"/>
  <w15:chartTrackingRefBased/>
  <w15:docId w15:val="{4F5ABE40-CA5E-40A5-B81E-EE2B0721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49"/>
    <w:rPr>
      <w:color w:val="0563C1" w:themeColor="hyperlink"/>
      <w:u w:val="single"/>
    </w:rPr>
  </w:style>
  <w:style w:type="character" w:styleId="UnresolvedMention">
    <w:name w:val="Unresolved Mention"/>
    <w:basedOn w:val="DefaultParagraphFont"/>
    <w:uiPriority w:val="99"/>
    <w:semiHidden/>
    <w:unhideWhenUsed/>
    <w:rsid w:val="002E1549"/>
    <w:rPr>
      <w:color w:val="605E5C"/>
      <w:shd w:val="clear" w:color="auto" w:fill="E1DFDD"/>
    </w:rPr>
  </w:style>
  <w:style w:type="paragraph" w:styleId="Revision">
    <w:name w:val="Revision"/>
    <w:hidden/>
    <w:uiPriority w:val="99"/>
    <w:semiHidden/>
    <w:rsid w:val="001E7953"/>
    <w:pPr>
      <w:spacing w:after="0" w:line="240" w:lineRule="auto"/>
    </w:pPr>
  </w:style>
  <w:style w:type="paragraph" w:styleId="ListParagraph">
    <w:name w:val="List Paragraph"/>
    <w:basedOn w:val="Normal"/>
    <w:uiPriority w:val="34"/>
    <w:qFormat/>
    <w:rsid w:val="00BB2508"/>
    <w:pPr>
      <w:ind w:left="720"/>
      <w:contextualSpacing/>
    </w:pPr>
  </w:style>
  <w:style w:type="character" w:styleId="CommentReference">
    <w:name w:val="annotation reference"/>
    <w:basedOn w:val="DefaultParagraphFont"/>
    <w:uiPriority w:val="99"/>
    <w:semiHidden/>
    <w:unhideWhenUsed/>
    <w:rsid w:val="00620314"/>
    <w:rPr>
      <w:sz w:val="16"/>
      <w:szCs w:val="16"/>
    </w:rPr>
  </w:style>
  <w:style w:type="paragraph" w:styleId="CommentText">
    <w:name w:val="annotation text"/>
    <w:basedOn w:val="Normal"/>
    <w:link w:val="CommentTextChar"/>
    <w:uiPriority w:val="99"/>
    <w:unhideWhenUsed/>
    <w:rsid w:val="00620314"/>
    <w:pPr>
      <w:spacing w:line="240" w:lineRule="auto"/>
    </w:pPr>
    <w:rPr>
      <w:sz w:val="20"/>
      <w:szCs w:val="20"/>
    </w:rPr>
  </w:style>
  <w:style w:type="character" w:customStyle="1" w:styleId="CommentTextChar">
    <w:name w:val="Comment Text Char"/>
    <w:basedOn w:val="DefaultParagraphFont"/>
    <w:link w:val="CommentText"/>
    <w:uiPriority w:val="99"/>
    <w:rsid w:val="00620314"/>
    <w:rPr>
      <w:sz w:val="20"/>
      <w:szCs w:val="20"/>
    </w:rPr>
  </w:style>
  <w:style w:type="paragraph" w:styleId="CommentSubject">
    <w:name w:val="annotation subject"/>
    <w:basedOn w:val="CommentText"/>
    <w:next w:val="CommentText"/>
    <w:link w:val="CommentSubjectChar"/>
    <w:uiPriority w:val="99"/>
    <w:semiHidden/>
    <w:unhideWhenUsed/>
    <w:rsid w:val="00620314"/>
    <w:rPr>
      <w:b/>
      <w:bCs/>
    </w:rPr>
  </w:style>
  <w:style w:type="character" w:customStyle="1" w:styleId="CommentSubjectChar">
    <w:name w:val="Comment Subject Char"/>
    <w:basedOn w:val="CommentTextChar"/>
    <w:link w:val="CommentSubject"/>
    <w:uiPriority w:val="99"/>
    <w:semiHidden/>
    <w:rsid w:val="00620314"/>
    <w:rPr>
      <w:b/>
      <w:bCs/>
      <w:sz w:val="20"/>
      <w:szCs w:val="20"/>
    </w:rPr>
  </w:style>
  <w:style w:type="character" w:styleId="FollowedHyperlink">
    <w:name w:val="FollowedHyperlink"/>
    <w:basedOn w:val="DefaultParagraphFont"/>
    <w:uiPriority w:val="99"/>
    <w:semiHidden/>
    <w:unhideWhenUsed/>
    <w:rsid w:val="006114BA"/>
    <w:rPr>
      <w:color w:val="954F72" w:themeColor="followedHyperlink"/>
      <w:u w:val="single"/>
    </w:rPr>
  </w:style>
  <w:style w:type="table" w:styleId="TableGrid">
    <w:name w:val="Table Grid"/>
    <w:basedOn w:val="TableNormal"/>
    <w:uiPriority w:val="39"/>
    <w:rsid w:val="00B7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26557">
      <w:bodyDiv w:val="1"/>
      <w:marLeft w:val="0"/>
      <w:marRight w:val="0"/>
      <w:marTop w:val="0"/>
      <w:marBottom w:val="0"/>
      <w:divBdr>
        <w:top w:val="none" w:sz="0" w:space="0" w:color="auto"/>
        <w:left w:val="none" w:sz="0" w:space="0" w:color="auto"/>
        <w:bottom w:val="none" w:sz="0" w:space="0" w:color="auto"/>
        <w:right w:val="none" w:sz="0" w:space="0" w:color="auto"/>
      </w:divBdr>
      <w:divsChild>
        <w:div w:id="1768186599">
          <w:marLeft w:val="0"/>
          <w:marRight w:val="0"/>
          <w:marTop w:val="332"/>
          <w:marBottom w:val="332"/>
          <w:divBdr>
            <w:top w:val="none" w:sz="0" w:space="0" w:color="auto"/>
            <w:left w:val="none" w:sz="0" w:space="0" w:color="auto"/>
            <w:bottom w:val="none" w:sz="0" w:space="0" w:color="auto"/>
            <w:right w:val="none" w:sz="0" w:space="0" w:color="auto"/>
          </w:divBdr>
          <w:divsChild>
            <w:div w:id="227154893">
              <w:marLeft w:val="0"/>
              <w:marRight w:val="0"/>
              <w:marTop w:val="0"/>
              <w:marBottom w:val="0"/>
              <w:divBdr>
                <w:top w:val="none" w:sz="0" w:space="0" w:color="auto"/>
                <w:left w:val="none" w:sz="0" w:space="0" w:color="auto"/>
                <w:bottom w:val="none" w:sz="0" w:space="0" w:color="auto"/>
                <w:right w:val="none" w:sz="0" w:space="0" w:color="auto"/>
              </w:divBdr>
            </w:div>
            <w:div w:id="1756246975">
              <w:marLeft w:val="0"/>
              <w:marRight w:val="0"/>
              <w:marTop w:val="0"/>
              <w:marBottom w:val="0"/>
              <w:divBdr>
                <w:top w:val="none" w:sz="0" w:space="0" w:color="auto"/>
                <w:left w:val="none" w:sz="0" w:space="0" w:color="auto"/>
                <w:bottom w:val="none" w:sz="0" w:space="0" w:color="auto"/>
                <w:right w:val="none" w:sz="0" w:space="0" w:color="auto"/>
              </w:divBdr>
              <w:divsChild>
                <w:div w:id="505441690">
                  <w:marLeft w:val="0"/>
                  <w:marRight w:val="0"/>
                  <w:marTop w:val="0"/>
                  <w:marBottom w:val="0"/>
                  <w:divBdr>
                    <w:top w:val="none" w:sz="0" w:space="0" w:color="auto"/>
                    <w:left w:val="none" w:sz="0" w:space="0" w:color="auto"/>
                    <w:bottom w:val="none" w:sz="0" w:space="0" w:color="auto"/>
                    <w:right w:val="none" w:sz="0" w:space="0" w:color="auto"/>
                  </w:divBdr>
                </w:div>
              </w:divsChild>
            </w:div>
            <w:div w:id="1445539729">
              <w:marLeft w:val="0"/>
              <w:marRight w:val="0"/>
              <w:marTop w:val="0"/>
              <w:marBottom w:val="0"/>
              <w:divBdr>
                <w:top w:val="none" w:sz="0" w:space="0" w:color="auto"/>
                <w:left w:val="none" w:sz="0" w:space="0" w:color="auto"/>
                <w:bottom w:val="none" w:sz="0" w:space="0" w:color="auto"/>
                <w:right w:val="none" w:sz="0" w:space="0" w:color="auto"/>
              </w:divBdr>
              <w:divsChild>
                <w:div w:id="1438137979">
                  <w:marLeft w:val="0"/>
                  <w:marRight w:val="0"/>
                  <w:marTop w:val="0"/>
                  <w:marBottom w:val="0"/>
                  <w:divBdr>
                    <w:top w:val="none" w:sz="0" w:space="0" w:color="auto"/>
                    <w:left w:val="none" w:sz="0" w:space="0" w:color="auto"/>
                    <w:bottom w:val="none" w:sz="0" w:space="0" w:color="auto"/>
                    <w:right w:val="none" w:sz="0" w:space="0" w:color="auto"/>
                  </w:divBdr>
                  <w:divsChild>
                    <w:div w:id="740102743">
                      <w:marLeft w:val="0"/>
                      <w:marRight w:val="0"/>
                      <w:marTop w:val="0"/>
                      <w:marBottom w:val="0"/>
                      <w:divBdr>
                        <w:top w:val="none" w:sz="0" w:space="0" w:color="auto"/>
                        <w:left w:val="none" w:sz="0" w:space="0" w:color="auto"/>
                        <w:bottom w:val="none" w:sz="0" w:space="0" w:color="auto"/>
                        <w:right w:val="none" w:sz="0" w:space="0" w:color="auto"/>
                      </w:divBdr>
                    </w:div>
                    <w:div w:id="200212879">
                      <w:marLeft w:val="0"/>
                      <w:marRight w:val="0"/>
                      <w:marTop w:val="0"/>
                      <w:marBottom w:val="0"/>
                      <w:divBdr>
                        <w:top w:val="none" w:sz="0" w:space="0" w:color="auto"/>
                        <w:left w:val="none" w:sz="0" w:space="0" w:color="auto"/>
                        <w:bottom w:val="none" w:sz="0" w:space="0" w:color="auto"/>
                        <w:right w:val="none" w:sz="0" w:space="0" w:color="auto"/>
                      </w:divBdr>
                    </w:div>
                  </w:divsChild>
                </w:div>
                <w:div w:id="1770201159">
                  <w:marLeft w:val="0"/>
                  <w:marRight w:val="0"/>
                  <w:marTop w:val="0"/>
                  <w:marBottom w:val="0"/>
                  <w:divBdr>
                    <w:top w:val="none" w:sz="0" w:space="0" w:color="auto"/>
                    <w:left w:val="none" w:sz="0" w:space="0" w:color="auto"/>
                    <w:bottom w:val="none" w:sz="0" w:space="0" w:color="auto"/>
                    <w:right w:val="none" w:sz="0" w:space="0" w:color="auto"/>
                  </w:divBdr>
                  <w:divsChild>
                    <w:div w:id="132332347">
                      <w:marLeft w:val="0"/>
                      <w:marRight w:val="0"/>
                      <w:marTop w:val="0"/>
                      <w:marBottom w:val="0"/>
                      <w:divBdr>
                        <w:top w:val="none" w:sz="0" w:space="0" w:color="auto"/>
                        <w:left w:val="none" w:sz="0" w:space="0" w:color="auto"/>
                        <w:bottom w:val="none" w:sz="0" w:space="0" w:color="auto"/>
                        <w:right w:val="none" w:sz="0" w:space="0" w:color="auto"/>
                      </w:divBdr>
                    </w:div>
                    <w:div w:id="21164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369">
              <w:marLeft w:val="0"/>
              <w:marRight w:val="0"/>
              <w:marTop w:val="0"/>
              <w:marBottom w:val="0"/>
              <w:divBdr>
                <w:top w:val="none" w:sz="0" w:space="0" w:color="auto"/>
                <w:left w:val="none" w:sz="0" w:space="0" w:color="auto"/>
                <w:bottom w:val="none" w:sz="0" w:space="0" w:color="auto"/>
                <w:right w:val="none" w:sz="0" w:space="0" w:color="auto"/>
              </w:divBdr>
              <w:divsChild>
                <w:div w:id="1768504076">
                  <w:marLeft w:val="0"/>
                  <w:marRight w:val="0"/>
                  <w:marTop w:val="0"/>
                  <w:marBottom w:val="0"/>
                  <w:divBdr>
                    <w:top w:val="none" w:sz="0" w:space="0" w:color="auto"/>
                    <w:left w:val="none" w:sz="0" w:space="0" w:color="auto"/>
                    <w:bottom w:val="none" w:sz="0" w:space="0" w:color="auto"/>
                    <w:right w:val="none" w:sz="0" w:space="0" w:color="auto"/>
                  </w:divBdr>
                </w:div>
                <w:div w:id="1618633419">
                  <w:marLeft w:val="0"/>
                  <w:marRight w:val="0"/>
                  <w:marTop w:val="0"/>
                  <w:marBottom w:val="0"/>
                  <w:divBdr>
                    <w:top w:val="none" w:sz="0" w:space="0" w:color="auto"/>
                    <w:left w:val="none" w:sz="0" w:space="0" w:color="auto"/>
                    <w:bottom w:val="none" w:sz="0" w:space="0" w:color="auto"/>
                    <w:right w:val="none" w:sz="0" w:space="0" w:color="auto"/>
                  </w:divBdr>
                  <w:divsChild>
                    <w:div w:id="1123692599">
                      <w:marLeft w:val="0"/>
                      <w:marRight w:val="0"/>
                      <w:marTop w:val="0"/>
                      <w:marBottom w:val="0"/>
                      <w:divBdr>
                        <w:top w:val="none" w:sz="0" w:space="0" w:color="auto"/>
                        <w:left w:val="none" w:sz="0" w:space="0" w:color="auto"/>
                        <w:bottom w:val="none" w:sz="0" w:space="0" w:color="auto"/>
                        <w:right w:val="none" w:sz="0" w:space="0" w:color="auto"/>
                      </w:divBdr>
                      <w:divsChild>
                        <w:div w:id="1601523571">
                          <w:marLeft w:val="0"/>
                          <w:marRight w:val="0"/>
                          <w:marTop w:val="0"/>
                          <w:marBottom w:val="0"/>
                          <w:divBdr>
                            <w:top w:val="none" w:sz="0" w:space="0" w:color="auto"/>
                            <w:left w:val="none" w:sz="0" w:space="0" w:color="auto"/>
                            <w:bottom w:val="none" w:sz="0" w:space="0" w:color="auto"/>
                            <w:right w:val="none" w:sz="0" w:space="0" w:color="auto"/>
                          </w:divBdr>
                        </w:div>
                        <w:div w:id="1379011353">
                          <w:marLeft w:val="0"/>
                          <w:marRight w:val="0"/>
                          <w:marTop w:val="0"/>
                          <w:marBottom w:val="0"/>
                          <w:divBdr>
                            <w:top w:val="none" w:sz="0" w:space="0" w:color="auto"/>
                            <w:left w:val="none" w:sz="0" w:space="0" w:color="auto"/>
                            <w:bottom w:val="none" w:sz="0" w:space="0" w:color="auto"/>
                            <w:right w:val="none" w:sz="0" w:space="0" w:color="auto"/>
                          </w:divBdr>
                        </w:div>
                      </w:divsChild>
                    </w:div>
                    <w:div w:id="893662144">
                      <w:marLeft w:val="0"/>
                      <w:marRight w:val="0"/>
                      <w:marTop w:val="0"/>
                      <w:marBottom w:val="0"/>
                      <w:divBdr>
                        <w:top w:val="none" w:sz="0" w:space="0" w:color="auto"/>
                        <w:left w:val="none" w:sz="0" w:space="0" w:color="auto"/>
                        <w:bottom w:val="none" w:sz="0" w:space="0" w:color="auto"/>
                        <w:right w:val="none" w:sz="0" w:space="0" w:color="auto"/>
                      </w:divBdr>
                      <w:divsChild>
                        <w:div w:id="1061636453">
                          <w:marLeft w:val="0"/>
                          <w:marRight w:val="0"/>
                          <w:marTop w:val="0"/>
                          <w:marBottom w:val="0"/>
                          <w:divBdr>
                            <w:top w:val="none" w:sz="0" w:space="0" w:color="auto"/>
                            <w:left w:val="none" w:sz="0" w:space="0" w:color="auto"/>
                            <w:bottom w:val="none" w:sz="0" w:space="0" w:color="auto"/>
                            <w:right w:val="none" w:sz="0" w:space="0" w:color="auto"/>
                          </w:divBdr>
                          <w:divsChild>
                            <w:div w:id="1352758819">
                              <w:marLeft w:val="0"/>
                              <w:marRight w:val="0"/>
                              <w:marTop w:val="0"/>
                              <w:marBottom w:val="0"/>
                              <w:divBdr>
                                <w:top w:val="none" w:sz="0" w:space="0" w:color="auto"/>
                                <w:left w:val="none" w:sz="0" w:space="0" w:color="auto"/>
                                <w:bottom w:val="none" w:sz="0" w:space="0" w:color="auto"/>
                                <w:right w:val="none" w:sz="0" w:space="0" w:color="auto"/>
                              </w:divBdr>
                            </w:div>
                            <w:div w:id="846021971">
                              <w:marLeft w:val="0"/>
                              <w:marRight w:val="0"/>
                              <w:marTop w:val="0"/>
                              <w:marBottom w:val="0"/>
                              <w:divBdr>
                                <w:top w:val="none" w:sz="0" w:space="0" w:color="auto"/>
                                <w:left w:val="none" w:sz="0" w:space="0" w:color="auto"/>
                                <w:bottom w:val="none" w:sz="0" w:space="0" w:color="auto"/>
                                <w:right w:val="none" w:sz="0" w:space="0" w:color="auto"/>
                              </w:divBdr>
                            </w:div>
                            <w:div w:id="817650042">
                              <w:marLeft w:val="0"/>
                              <w:marRight w:val="0"/>
                              <w:marTop w:val="0"/>
                              <w:marBottom w:val="0"/>
                              <w:divBdr>
                                <w:top w:val="none" w:sz="0" w:space="0" w:color="auto"/>
                                <w:left w:val="none" w:sz="0" w:space="0" w:color="auto"/>
                                <w:bottom w:val="none" w:sz="0" w:space="0" w:color="auto"/>
                                <w:right w:val="none" w:sz="0" w:space="0" w:color="auto"/>
                              </w:divBdr>
                              <w:divsChild>
                                <w:div w:id="816148979">
                                  <w:marLeft w:val="0"/>
                                  <w:marRight w:val="0"/>
                                  <w:marTop w:val="0"/>
                                  <w:marBottom w:val="0"/>
                                  <w:divBdr>
                                    <w:top w:val="none" w:sz="0" w:space="0" w:color="auto"/>
                                    <w:left w:val="none" w:sz="0" w:space="0" w:color="auto"/>
                                    <w:bottom w:val="none" w:sz="0" w:space="0" w:color="auto"/>
                                    <w:right w:val="none" w:sz="0" w:space="0" w:color="auto"/>
                                  </w:divBdr>
                                  <w:divsChild>
                                    <w:div w:id="4246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441">
                      <w:marLeft w:val="0"/>
                      <w:marRight w:val="0"/>
                      <w:marTop w:val="0"/>
                      <w:marBottom w:val="0"/>
                      <w:divBdr>
                        <w:top w:val="none" w:sz="0" w:space="0" w:color="auto"/>
                        <w:left w:val="none" w:sz="0" w:space="0" w:color="auto"/>
                        <w:bottom w:val="none" w:sz="0" w:space="0" w:color="auto"/>
                        <w:right w:val="none" w:sz="0" w:space="0" w:color="auto"/>
                      </w:divBdr>
                    </w:div>
                    <w:div w:id="177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4902">
              <w:marLeft w:val="0"/>
              <w:marRight w:val="0"/>
              <w:marTop w:val="0"/>
              <w:marBottom w:val="0"/>
              <w:divBdr>
                <w:top w:val="none" w:sz="0" w:space="0" w:color="auto"/>
                <w:left w:val="none" w:sz="0" w:space="0" w:color="auto"/>
                <w:bottom w:val="none" w:sz="0" w:space="0" w:color="auto"/>
                <w:right w:val="none" w:sz="0" w:space="0" w:color="auto"/>
              </w:divBdr>
            </w:div>
            <w:div w:id="250046396">
              <w:marLeft w:val="0"/>
              <w:marRight w:val="0"/>
              <w:marTop w:val="0"/>
              <w:marBottom w:val="0"/>
              <w:divBdr>
                <w:top w:val="none" w:sz="0" w:space="0" w:color="auto"/>
                <w:left w:val="none" w:sz="0" w:space="0" w:color="auto"/>
                <w:bottom w:val="none" w:sz="0" w:space="0" w:color="auto"/>
                <w:right w:val="none" w:sz="0" w:space="0" w:color="auto"/>
              </w:divBdr>
              <w:divsChild>
                <w:div w:id="2068406887">
                  <w:marLeft w:val="0"/>
                  <w:marRight w:val="0"/>
                  <w:marTop w:val="0"/>
                  <w:marBottom w:val="0"/>
                  <w:divBdr>
                    <w:top w:val="none" w:sz="0" w:space="0" w:color="auto"/>
                    <w:left w:val="none" w:sz="0" w:space="0" w:color="auto"/>
                    <w:bottom w:val="none" w:sz="0" w:space="0" w:color="auto"/>
                    <w:right w:val="none" w:sz="0" w:space="0" w:color="auto"/>
                  </w:divBdr>
                </w:div>
                <w:div w:id="1055012555">
                  <w:marLeft w:val="0"/>
                  <w:marRight w:val="0"/>
                  <w:marTop w:val="0"/>
                  <w:marBottom w:val="0"/>
                  <w:divBdr>
                    <w:top w:val="none" w:sz="0" w:space="0" w:color="auto"/>
                    <w:left w:val="none" w:sz="0" w:space="0" w:color="auto"/>
                    <w:bottom w:val="none" w:sz="0" w:space="0" w:color="auto"/>
                    <w:right w:val="none" w:sz="0" w:space="0" w:color="auto"/>
                  </w:divBdr>
                </w:div>
              </w:divsChild>
            </w:div>
            <w:div w:id="1899512079">
              <w:marLeft w:val="0"/>
              <w:marRight w:val="0"/>
              <w:marTop w:val="0"/>
              <w:marBottom w:val="0"/>
              <w:divBdr>
                <w:top w:val="none" w:sz="0" w:space="0" w:color="auto"/>
                <w:left w:val="none" w:sz="0" w:space="0" w:color="auto"/>
                <w:bottom w:val="none" w:sz="0" w:space="0" w:color="auto"/>
                <w:right w:val="none" w:sz="0" w:space="0" w:color="auto"/>
              </w:divBdr>
              <w:divsChild>
                <w:div w:id="359823213">
                  <w:marLeft w:val="0"/>
                  <w:marRight w:val="0"/>
                  <w:marTop w:val="0"/>
                  <w:marBottom w:val="0"/>
                  <w:divBdr>
                    <w:top w:val="none" w:sz="0" w:space="0" w:color="auto"/>
                    <w:left w:val="none" w:sz="0" w:space="0" w:color="auto"/>
                    <w:bottom w:val="none" w:sz="0" w:space="0" w:color="auto"/>
                    <w:right w:val="none" w:sz="0" w:space="0" w:color="auto"/>
                  </w:divBdr>
                </w:div>
                <w:div w:id="875315828">
                  <w:marLeft w:val="0"/>
                  <w:marRight w:val="0"/>
                  <w:marTop w:val="0"/>
                  <w:marBottom w:val="0"/>
                  <w:divBdr>
                    <w:top w:val="none" w:sz="0" w:space="0" w:color="auto"/>
                    <w:left w:val="none" w:sz="0" w:space="0" w:color="auto"/>
                    <w:bottom w:val="none" w:sz="0" w:space="0" w:color="auto"/>
                    <w:right w:val="none" w:sz="0" w:space="0" w:color="auto"/>
                  </w:divBdr>
                </w:div>
                <w:div w:id="1863202984">
                  <w:marLeft w:val="0"/>
                  <w:marRight w:val="0"/>
                  <w:marTop w:val="0"/>
                  <w:marBottom w:val="0"/>
                  <w:divBdr>
                    <w:top w:val="none" w:sz="0" w:space="0" w:color="auto"/>
                    <w:left w:val="none" w:sz="0" w:space="0" w:color="auto"/>
                    <w:bottom w:val="none" w:sz="0" w:space="0" w:color="auto"/>
                    <w:right w:val="none" w:sz="0" w:space="0" w:color="auto"/>
                  </w:divBdr>
                </w:div>
                <w:div w:id="543520492">
                  <w:marLeft w:val="0"/>
                  <w:marRight w:val="0"/>
                  <w:marTop w:val="0"/>
                  <w:marBottom w:val="0"/>
                  <w:divBdr>
                    <w:top w:val="none" w:sz="0" w:space="0" w:color="auto"/>
                    <w:left w:val="none" w:sz="0" w:space="0" w:color="auto"/>
                    <w:bottom w:val="none" w:sz="0" w:space="0" w:color="auto"/>
                    <w:right w:val="none" w:sz="0" w:space="0" w:color="auto"/>
                  </w:divBdr>
                </w:div>
                <w:div w:id="1713581080">
                  <w:marLeft w:val="0"/>
                  <w:marRight w:val="0"/>
                  <w:marTop w:val="0"/>
                  <w:marBottom w:val="0"/>
                  <w:divBdr>
                    <w:top w:val="none" w:sz="0" w:space="0" w:color="auto"/>
                    <w:left w:val="none" w:sz="0" w:space="0" w:color="auto"/>
                    <w:bottom w:val="none" w:sz="0" w:space="0" w:color="auto"/>
                    <w:right w:val="none" w:sz="0" w:space="0" w:color="auto"/>
                  </w:divBdr>
                </w:div>
                <w:div w:id="883441798">
                  <w:marLeft w:val="0"/>
                  <w:marRight w:val="0"/>
                  <w:marTop w:val="0"/>
                  <w:marBottom w:val="0"/>
                  <w:divBdr>
                    <w:top w:val="none" w:sz="0" w:space="0" w:color="auto"/>
                    <w:left w:val="none" w:sz="0" w:space="0" w:color="auto"/>
                    <w:bottom w:val="none" w:sz="0" w:space="0" w:color="auto"/>
                    <w:right w:val="none" w:sz="0" w:space="0" w:color="auto"/>
                  </w:divBdr>
                </w:div>
                <w:div w:id="2098406663">
                  <w:marLeft w:val="0"/>
                  <w:marRight w:val="0"/>
                  <w:marTop w:val="0"/>
                  <w:marBottom w:val="0"/>
                  <w:divBdr>
                    <w:top w:val="none" w:sz="0" w:space="0" w:color="auto"/>
                    <w:left w:val="none" w:sz="0" w:space="0" w:color="auto"/>
                    <w:bottom w:val="none" w:sz="0" w:space="0" w:color="auto"/>
                    <w:right w:val="none" w:sz="0" w:space="0" w:color="auto"/>
                  </w:divBdr>
                </w:div>
                <w:div w:id="409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79035/table/emergencies_osteoporosis-vertebral-compression-fractures.T._1/?report=objectonly" TargetMode="External"/><Relationship Id="rId13" Type="http://schemas.openxmlformats.org/officeDocument/2006/relationships/hyperlink" Target="https://www.ncbi.nlm.nih.gov/pubmed/29103097" TargetMode="External"/><Relationship Id="rId3" Type="http://schemas.openxmlformats.org/officeDocument/2006/relationships/styles" Target="styles.xml"/><Relationship Id="rId7" Type="http://schemas.openxmlformats.org/officeDocument/2006/relationships/hyperlink" Target="https://www.ncbi.nlm.nih.gov/books/NBK279035/table/emergencies_osteoporosis-vertebral-compression-fractures.T./?report=objectonly" TargetMode="External"/><Relationship Id="rId12" Type="http://schemas.openxmlformats.org/officeDocument/2006/relationships/hyperlink" Target="https://www.ncbi.nlm.nih.gov/pubmed/215242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cbi.nlm.nih.gov/books/NBK279035/table/emergencies_osteoporosis-vertebral-compression-fractures.T._3/?report=objectonly" TargetMode="External"/><Relationship Id="rId11" Type="http://schemas.openxmlformats.org/officeDocument/2006/relationships/hyperlink" Target="https://www.ncbi.nlm.nih.gov/books/NBK279035/table/emergencies_osteoporosis-vertebral-compression-fractures.T._3/?report=objectonly" TargetMode="External"/><Relationship Id="rId5" Type="http://schemas.openxmlformats.org/officeDocument/2006/relationships/webSettings" Target="webSettings.xml"/><Relationship Id="rId15" Type="http://schemas.openxmlformats.org/officeDocument/2006/relationships/hyperlink" Target="https://www.ncbi.nlm.nih.gov/pubmed/29618171" TargetMode="External"/><Relationship Id="rId10" Type="http://schemas.openxmlformats.org/officeDocument/2006/relationships/hyperlink" Target="https://www.ncbi.nlm.nih.gov/books/NBK279035/table/emergencies_osteoporosis-vertebral-compression-fractures.T._3/?report=objectonly" TargetMode="External"/><Relationship Id="rId4" Type="http://schemas.openxmlformats.org/officeDocument/2006/relationships/settings" Target="settings.xml"/><Relationship Id="rId9" Type="http://schemas.openxmlformats.org/officeDocument/2006/relationships/hyperlink" Target="https://www.ncbi.nlm.nih.gov/books/NBK279035/table/emergencies_osteoporosis-vertebral-compression-fractures.T._2/?report=objectonly" TargetMode="External"/><Relationship Id="rId14" Type="http://schemas.openxmlformats.org/officeDocument/2006/relationships/hyperlink" Target="https://www.ncbi.nlm.nih.gov/pmc/articles/PMC6494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1996-BE33-004A-B735-152EFC9E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9</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Lampon, Marcella</dc:creator>
  <cp:keywords/>
  <dc:description/>
  <cp:lastModifiedBy>Kenneth Feingold</cp:lastModifiedBy>
  <cp:revision>4</cp:revision>
  <dcterms:created xsi:type="dcterms:W3CDTF">2022-02-09T05:15:00Z</dcterms:created>
  <dcterms:modified xsi:type="dcterms:W3CDTF">2022-02-10T01:47:00Z</dcterms:modified>
</cp:coreProperties>
</file>