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2AB2" w14:textId="5A0456BA" w:rsidR="00C40164" w:rsidRDefault="00287DA1" w:rsidP="002506B3">
      <w:pPr>
        <w:pStyle w:val="BodyText3"/>
        <w:spacing w:line="276" w:lineRule="auto"/>
        <w:jc w:val="left"/>
        <w:rPr>
          <w:rFonts w:ascii="Arial" w:hAnsi="Arial" w:cs="Arial"/>
          <w:sz w:val="28"/>
          <w:szCs w:val="28"/>
        </w:rPr>
      </w:pPr>
      <w:r w:rsidRPr="00287DA1">
        <w:rPr>
          <w:rFonts w:ascii="Arial" w:hAnsi="Arial" w:cs="Arial"/>
          <w:sz w:val="28"/>
          <w:szCs w:val="28"/>
        </w:rPr>
        <w:t>NONALCOHOLIC FATTY LIVER DISEASE: THE OVERLOOKED COMPLICATION OF TYPE 2 DIABETES</w:t>
      </w:r>
      <w:bookmarkStart w:id="0" w:name="_GoBack"/>
      <w:bookmarkEnd w:id="0"/>
    </w:p>
    <w:p w14:paraId="48381680" w14:textId="77777777" w:rsidR="00287DA1" w:rsidRPr="00287DA1" w:rsidRDefault="00287DA1" w:rsidP="002506B3">
      <w:pPr>
        <w:pStyle w:val="BodyText3"/>
        <w:spacing w:line="276" w:lineRule="auto"/>
        <w:jc w:val="left"/>
        <w:rPr>
          <w:rFonts w:ascii="Arial" w:hAnsi="Arial" w:cs="Arial"/>
          <w:sz w:val="28"/>
          <w:szCs w:val="28"/>
        </w:rPr>
      </w:pPr>
    </w:p>
    <w:p w14:paraId="5479E8F2" w14:textId="075A3B70" w:rsidR="00287DA1" w:rsidRPr="00287DA1" w:rsidRDefault="009F3395" w:rsidP="002506B3">
      <w:pPr>
        <w:pStyle w:val="BodyText"/>
        <w:spacing w:line="276" w:lineRule="auto"/>
        <w:ind w:right="0"/>
        <w:jc w:val="left"/>
        <w:rPr>
          <w:rFonts w:ascii="Arial" w:hAnsi="Arial" w:cs="Arial"/>
          <w:sz w:val="20"/>
          <w:szCs w:val="20"/>
        </w:rPr>
      </w:pPr>
      <w:proofErr w:type="spellStart"/>
      <w:r w:rsidRPr="00287DA1">
        <w:rPr>
          <w:rFonts w:ascii="Arial" w:hAnsi="Arial" w:cs="Arial"/>
          <w:b/>
          <w:bCs/>
        </w:rPr>
        <w:t>Divya</w:t>
      </w:r>
      <w:proofErr w:type="spellEnd"/>
      <w:r w:rsidRPr="00287DA1">
        <w:rPr>
          <w:rFonts w:ascii="Arial" w:hAnsi="Arial" w:cs="Arial"/>
          <w:b/>
          <w:bCs/>
        </w:rPr>
        <w:t xml:space="preserve"> </w:t>
      </w:r>
      <w:proofErr w:type="spellStart"/>
      <w:r w:rsidRPr="00287DA1">
        <w:rPr>
          <w:rFonts w:ascii="Arial" w:hAnsi="Arial" w:cs="Arial"/>
          <w:b/>
          <w:bCs/>
        </w:rPr>
        <w:t>Ak</w:t>
      </w:r>
      <w:r w:rsidR="008E788F" w:rsidRPr="00287DA1">
        <w:rPr>
          <w:rFonts w:ascii="Arial" w:hAnsi="Arial" w:cs="Arial"/>
          <w:b/>
          <w:bCs/>
        </w:rPr>
        <w:t>sh</w:t>
      </w:r>
      <w:r w:rsidRPr="00287DA1">
        <w:rPr>
          <w:rFonts w:ascii="Arial" w:hAnsi="Arial" w:cs="Arial"/>
          <w:b/>
          <w:bCs/>
        </w:rPr>
        <w:t>intala</w:t>
      </w:r>
      <w:proofErr w:type="spellEnd"/>
      <w:r w:rsidR="006953F5">
        <w:rPr>
          <w:rFonts w:ascii="Arial" w:hAnsi="Arial" w:cs="Arial"/>
          <w:b/>
          <w:bCs/>
        </w:rPr>
        <w:t>*</w:t>
      </w:r>
      <w:r w:rsidRPr="00287DA1">
        <w:rPr>
          <w:rFonts w:ascii="Arial" w:hAnsi="Arial" w:cs="Arial"/>
          <w:b/>
          <w:bCs/>
        </w:rPr>
        <w:t>, MD,</w:t>
      </w:r>
      <w:r>
        <w:rPr>
          <w:rFonts w:ascii="Arial" w:hAnsi="Arial" w:cs="Arial"/>
          <w:sz w:val="22"/>
          <w:szCs w:val="22"/>
        </w:rPr>
        <w:t xml:space="preserve"> </w:t>
      </w:r>
      <w:r w:rsidR="00287DA1" w:rsidRPr="00287DA1">
        <w:rPr>
          <w:rFonts w:ascii="Arial" w:hAnsi="Arial" w:cs="Arial"/>
          <w:sz w:val="20"/>
          <w:szCs w:val="20"/>
        </w:rPr>
        <w:t>Division of Endocrinology, Diabetes and Metabolism, University of Florida, Gainesville, Florida and the Division of Endocrinology, Diabetes and Metabolism Malcom Randall VAMC, Gainesville, Florida</w:t>
      </w:r>
    </w:p>
    <w:p w14:paraId="3564EB39" w14:textId="426603A0" w:rsidR="00287DA1" w:rsidRDefault="009F3395" w:rsidP="002506B3">
      <w:pPr>
        <w:pStyle w:val="BodyText"/>
        <w:spacing w:line="276" w:lineRule="auto"/>
        <w:ind w:right="0"/>
        <w:jc w:val="left"/>
        <w:rPr>
          <w:rFonts w:ascii="Arial" w:hAnsi="Arial" w:cs="Arial"/>
          <w:sz w:val="22"/>
          <w:szCs w:val="22"/>
        </w:rPr>
      </w:pPr>
      <w:r w:rsidRPr="00287DA1">
        <w:rPr>
          <w:rFonts w:ascii="Arial" w:hAnsi="Arial" w:cs="Arial"/>
          <w:b/>
          <w:bCs/>
        </w:rPr>
        <w:t xml:space="preserve">Radhika </w:t>
      </w:r>
      <w:proofErr w:type="spellStart"/>
      <w:r w:rsidRPr="00287DA1">
        <w:rPr>
          <w:rFonts w:ascii="Arial" w:hAnsi="Arial" w:cs="Arial"/>
          <w:b/>
          <w:bCs/>
        </w:rPr>
        <w:t>Chugh</w:t>
      </w:r>
      <w:proofErr w:type="spellEnd"/>
      <w:r w:rsidRPr="00287DA1">
        <w:rPr>
          <w:rFonts w:ascii="Arial" w:hAnsi="Arial" w:cs="Arial"/>
          <w:b/>
          <w:bCs/>
        </w:rPr>
        <w:t>*, MD,</w:t>
      </w:r>
      <w:r>
        <w:rPr>
          <w:rFonts w:ascii="Arial" w:hAnsi="Arial" w:cs="Arial"/>
          <w:sz w:val="22"/>
          <w:szCs w:val="22"/>
        </w:rPr>
        <w:t xml:space="preserve"> </w:t>
      </w:r>
      <w:r w:rsidR="00287DA1" w:rsidRPr="00287DA1">
        <w:rPr>
          <w:rFonts w:ascii="Arial" w:hAnsi="Arial" w:cs="Arial"/>
          <w:sz w:val="20"/>
          <w:szCs w:val="20"/>
        </w:rPr>
        <w:t>Division of Endocrinology, Diabetes and Metabolism, University of Florida, Gainesville, Florida and the Division of Endocrinology, Diabetes and Metabolism Malcom Randall VAMC, Gainesville, Florida</w:t>
      </w:r>
    </w:p>
    <w:p w14:paraId="5E4D2821" w14:textId="352B545A" w:rsidR="00287DA1" w:rsidRPr="00287DA1" w:rsidRDefault="009F3395" w:rsidP="002506B3">
      <w:pPr>
        <w:pStyle w:val="BodyText"/>
        <w:spacing w:line="276" w:lineRule="auto"/>
        <w:ind w:right="0"/>
        <w:jc w:val="left"/>
        <w:rPr>
          <w:rFonts w:ascii="Arial" w:hAnsi="Arial" w:cs="Arial"/>
          <w:sz w:val="20"/>
          <w:szCs w:val="20"/>
        </w:rPr>
      </w:pPr>
      <w:r w:rsidRPr="00287DA1">
        <w:rPr>
          <w:rFonts w:ascii="Arial" w:hAnsi="Arial" w:cs="Arial"/>
          <w:b/>
          <w:bCs/>
        </w:rPr>
        <w:t>Farah Amer,</w:t>
      </w:r>
      <w:r w:rsidR="00287DA1" w:rsidRPr="00287DA1">
        <w:t xml:space="preserve"> </w:t>
      </w:r>
      <w:r w:rsidR="00287DA1" w:rsidRPr="00287DA1">
        <w:rPr>
          <w:rFonts w:ascii="Arial" w:hAnsi="Arial" w:cs="Arial"/>
          <w:sz w:val="20"/>
          <w:szCs w:val="20"/>
        </w:rPr>
        <w:t>Division of Endocrinology, Diabetes and Metabolism, University of Florida, Gainesville, Florida and the Division of Endocrinology, Diabetes and Metabolism Malcom Randall VAMC, Gainesville, Florida</w:t>
      </w:r>
      <w:r w:rsidRPr="00287DA1">
        <w:rPr>
          <w:rFonts w:ascii="Arial" w:hAnsi="Arial" w:cs="Arial"/>
          <w:sz w:val="20"/>
          <w:szCs w:val="20"/>
        </w:rPr>
        <w:t xml:space="preserve"> </w:t>
      </w:r>
    </w:p>
    <w:p w14:paraId="78A0003F" w14:textId="7CB8EA20" w:rsidR="009F3395" w:rsidRPr="00287DA1" w:rsidRDefault="009F3395" w:rsidP="002506B3">
      <w:pPr>
        <w:pStyle w:val="BodyText"/>
        <w:spacing w:line="276" w:lineRule="auto"/>
        <w:ind w:right="0"/>
        <w:jc w:val="left"/>
        <w:rPr>
          <w:rFonts w:ascii="Arial" w:hAnsi="Arial" w:cs="Arial"/>
          <w:sz w:val="20"/>
          <w:szCs w:val="20"/>
          <w:vertAlign w:val="superscript"/>
        </w:rPr>
      </w:pPr>
      <w:r w:rsidRPr="00287DA1">
        <w:rPr>
          <w:rFonts w:ascii="Arial" w:hAnsi="Arial" w:cs="Arial"/>
          <w:b/>
          <w:bCs/>
        </w:rPr>
        <w:t>Kenneth Cusi, MD</w:t>
      </w:r>
      <w:r w:rsidR="00287DA1">
        <w:rPr>
          <w:rFonts w:ascii="Arial" w:hAnsi="Arial" w:cs="Arial"/>
          <w:sz w:val="22"/>
          <w:szCs w:val="22"/>
        </w:rPr>
        <w:t xml:space="preserve">, </w:t>
      </w:r>
      <w:r w:rsidR="004F73E3" w:rsidRPr="004F73E3">
        <w:rPr>
          <w:rFonts w:ascii="Arial" w:hAnsi="Arial" w:cs="Arial"/>
          <w:sz w:val="20"/>
          <w:szCs w:val="20"/>
        </w:rPr>
        <w:t>Professor of Medicine</w:t>
      </w:r>
      <w:r w:rsidR="004F73E3">
        <w:rPr>
          <w:rFonts w:ascii="Arial" w:hAnsi="Arial" w:cs="Arial"/>
          <w:sz w:val="20"/>
          <w:szCs w:val="20"/>
        </w:rPr>
        <w:t>,</w:t>
      </w:r>
      <w:r w:rsidR="004F73E3" w:rsidRPr="004F73E3">
        <w:rPr>
          <w:rFonts w:ascii="Arial" w:hAnsi="Arial" w:cs="Arial"/>
          <w:sz w:val="20"/>
          <w:szCs w:val="20"/>
        </w:rPr>
        <w:t xml:space="preserve"> Chief Division of Endocrinology, Diabetes and Metabolism</w:t>
      </w:r>
      <w:r w:rsidR="004F73E3">
        <w:rPr>
          <w:rFonts w:ascii="Arial" w:hAnsi="Arial" w:cs="Arial"/>
          <w:sz w:val="20"/>
          <w:szCs w:val="20"/>
        </w:rPr>
        <w:t>,</w:t>
      </w:r>
      <w:r w:rsidR="004F73E3" w:rsidRPr="004F73E3">
        <w:rPr>
          <w:rFonts w:ascii="Arial" w:hAnsi="Arial" w:cs="Arial"/>
          <w:sz w:val="22"/>
          <w:szCs w:val="22"/>
        </w:rPr>
        <w:t xml:space="preserve"> </w:t>
      </w:r>
      <w:r w:rsidR="00287DA1" w:rsidRPr="00287DA1">
        <w:rPr>
          <w:rFonts w:ascii="Arial" w:hAnsi="Arial" w:cs="Arial"/>
          <w:sz w:val="20"/>
          <w:szCs w:val="20"/>
        </w:rPr>
        <w:t>Division of Endocrinology, Diabetes and Metabolism, University of Florida, Gainesville, Florida and the Division of Endocrinology, Diabetes and Metabolism Malcom Randall VAMC, Gainesville, Florida</w:t>
      </w:r>
      <w:r w:rsidR="00287DA1">
        <w:rPr>
          <w:rFonts w:ascii="Arial" w:hAnsi="Arial" w:cs="Arial"/>
          <w:sz w:val="20"/>
          <w:szCs w:val="20"/>
        </w:rPr>
        <w:t xml:space="preserve">. </w:t>
      </w:r>
      <w:r w:rsidR="00287DA1" w:rsidRPr="00287DA1">
        <w:rPr>
          <w:rFonts w:ascii="Arial" w:hAnsi="Arial" w:cs="Arial"/>
          <w:sz w:val="20"/>
          <w:szCs w:val="20"/>
        </w:rPr>
        <w:t>Kenneth.Cusi@medicine.ufl.edu</w:t>
      </w:r>
    </w:p>
    <w:p w14:paraId="348FF76E" w14:textId="77777777" w:rsidR="009F3395" w:rsidRDefault="009F3395" w:rsidP="002506B3">
      <w:pPr>
        <w:pStyle w:val="BodyText"/>
        <w:spacing w:line="276" w:lineRule="auto"/>
        <w:ind w:right="0"/>
        <w:jc w:val="left"/>
        <w:rPr>
          <w:rFonts w:ascii="Arial" w:hAnsi="Arial" w:cs="Arial"/>
          <w:sz w:val="22"/>
          <w:szCs w:val="22"/>
        </w:rPr>
      </w:pPr>
    </w:p>
    <w:p w14:paraId="6F4D939F" w14:textId="74B8B63C" w:rsidR="009F3395" w:rsidRDefault="009F3395" w:rsidP="002506B3">
      <w:pPr>
        <w:pStyle w:val="BodyText"/>
        <w:spacing w:line="276" w:lineRule="auto"/>
        <w:ind w:right="0"/>
        <w:jc w:val="left"/>
        <w:rPr>
          <w:rFonts w:ascii="Arial" w:hAnsi="Arial" w:cs="Arial"/>
          <w:sz w:val="22"/>
          <w:szCs w:val="22"/>
        </w:rPr>
      </w:pPr>
      <w:r>
        <w:rPr>
          <w:rFonts w:ascii="Arial" w:hAnsi="Arial" w:cs="Arial"/>
          <w:sz w:val="22"/>
          <w:szCs w:val="22"/>
        </w:rPr>
        <w:t>* Denotes equal effort</w:t>
      </w:r>
    </w:p>
    <w:p w14:paraId="6D341E52" w14:textId="77777777" w:rsidR="00BF3153" w:rsidRPr="009F3395" w:rsidRDefault="00BF3153" w:rsidP="002506B3">
      <w:pPr>
        <w:pStyle w:val="BodyText"/>
        <w:spacing w:line="276" w:lineRule="auto"/>
        <w:ind w:right="0"/>
        <w:jc w:val="left"/>
        <w:rPr>
          <w:rFonts w:ascii="Arial" w:hAnsi="Arial" w:cs="Arial"/>
          <w:sz w:val="22"/>
          <w:szCs w:val="22"/>
        </w:rPr>
      </w:pPr>
    </w:p>
    <w:p w14:paraId="438ADBF7" w14:textId="024CD80D" w:rsidR="009F3395" w:rsidRDefault="00347292" w:rsidP="002506B3">
      <w:pPr>
        <w:pStyle w:val="BodyText"/>
        <w:spacing w:line="276" w:lineRule="auto"/>
        <w:ind w:right="0"/>
        <w:jc w:val="left"/>
        <w:rPr>
          <w:rFonts w:ascii="Arial" w:hAnsi="Arial" w:cs="Arial"/>
          <w:b/>
          <w:sz w:val="22"/>
          <w:szCs w:val="22"/>
        </w:rPr>
      </w:pPr>
      <w:r w:rsidRPr="00347292">
        <w:rPr>
          <w:rFonts w:ascii="Arial" w:hAnsi="Arial" w:cs="Arial"/>
          <w:b/>
          <w:sz w:val="22"/>
          <w:szCs w:val="22"/>
        </w:rPr>
        <w:t>Received July 8, 2019</w:t>
      </w:r>
    </w:p>
    <w:p w14:paraId="65CDA674" w14:textId="1D778E8D" w:rsidR="004F73E3" w:rsidRDefault="004F73E3" w:rsidP="002506B3">
      <w:pPr>
        <w:pStyle w:val="BodyText"/>
        <w:spacing w:line="276" w:lineRule="auto"/>
        <w:ind w:right="0"/>
        <w:jc w:val="left"/>
        <w:rPr>
          <w:rFonts w:ascii="Arial" w:hAnsi="Arial" w:cs="Arial"/>
          <w:b/>
          <w:sz w:val="22"/>
          <w:szCs w:val="22"/>
        </w:rPr>
      </w:pPr>
    </w:p>
    <w:p w14:paraId="749DEF8B" w14:textId="6EA871DB" w:rsidR="00A850E5" w:rsidRPr="00760D1B" w:rsidRDefault="00A850E5" w:rsidP="002506B3">
      <w:pPr>
        <w:spacing w:after="0" w:line="276" w:lineRule="auto"/>
        <w:rPr>
          <w:rFonts w:ascii="Arial" w:hAnsi="Arial" w:cs="Arial"/>
          <w:b/>
          <w:bCs/>
        </w:rPr>
      </w:pPr>
      <w:r w:rsidRPr="00760D1B">
        <w:rPr>
          <w:rFonts w:ascii="Arial" w:hAnsi="Arial" w:cs="Arial"/>
          <w:b/>
          <w:bCs/>
        </w:rPr>
        <w:t>ABSTRACT</w:t>
      </w:r>
    </w:p>
    <w:p w14:paraId="4F24D89E" w14:textId="5396FB31" w:rsidR="00A850E5" w:rsidRPr="00760D1B" w:rsidRDefault="00A850E5" w:rsidP="002506B3">
      <w:pPr>
        <w:spacing w:after="0" w:line="276" w:lineRule="auto"/>
        <w:rPr>
          <w:rFonts w:ascii="Arial" w:hAnsi="Arial" w:cs="Arial"/>
          <w:b/>
          <w:bCs/>
        </w:rPr>
      </w:pPr>
    </w:p>
    <w:p w14:paraId="77926970" w14:textId="3E04C173" w:rsidR="006250D9" w:rsidRPr="00760D1B" w:rsidRDefault="00010EFC" w:rsidP="002506B3">
      <w:pPr>
        <w:spacing w:after="0" w:line="276" w:lineRule="auto"/>
        <w:rPr>
          <w:rFonts w:ascii="Arial" w:hAnsi="Arial" w:cs="Arial"/>
        </w:rPr>
      </w:pPr>
      <w:r w:rsidRPr="00760D1B">
        <w:rPr>
          <w:rFonts w:ascii="Arial" w:hAnsi="Arial" w:cs="Arial"/>
        </w:rPr>
        <w:t xml:space="preserve">Nonalcoholic fatty liver disease (NAFLD) is a common </w:t>
      </w:r>
      <w:r w:rsidR="006250D9" w:rsidRPr="00760D1B">
        <w:rPr>
          <w:rFonts w:ascii="Arial" w:hAnsi="Arial" w:cs="Arial"/>
        </w:rPr>
        <w:t>co</w:t>
      </w:r>
      <w:r w:rsidRPr="00760D1B">
        <w:rPr>
          <w:rFonts w:ascii="Arial" w:hAnsi="Arial" w:cs="Arial"/>
        </w:rPr>
        <w:t>mplication</w:t>
      </w:r>
      <w:r w:rsidR="006250D9" w:rsidRPr="00760D1B">
        <w:rPr>
          <w:rFonts w:ascii="Arial" w:hAnsi="Arial" w:cs="Arial"/>
        </w:rPr>
        <w:t xml:space="preserve"> of obesity and type 2 diabetes mellitus (T2DM)</w:t>
      </w:r>
      <w:r w:rsidRPr="00760D1B">
        <w:rPr>
          <w:rFonts w:ascii="Arial" w:hAnsi="Arial" w:cs="Arial"/>
        </w:rPr>
        <w:t xml:space="preserve">.  Most times it is </w:t>
      </w:r>
      <w:r w:rsidR="00347292" w:rsidRPr="00760D1B">
        <w:rPr>
          <w:rFonts w:ascii="Arial" w:hAnsi="Arial" w:cs="Arial"/>
        </w:rPr>
        <w:t xml:space="preserve">an </w:t>
      </w:r>
      <w:r w:rsidR="006250D9" w:rsidRPr="00760D1B">
        <w:rPr>
          <w:rFonts w:ascii="Arial" w:hAnsi="Arial" w:cs="Arial"/>
        </w:rPr>
        <w:t xml:space="preserve">unrecognized comorbidity to the primary care provider and endocrinologist. Today it is the most common chronic liver disease in developed countries. It is characterized by insulin resistance and hepatic triglyceride accumulation in the absence of co-existing etiologies, such as excessive alcohol consumption, viral hepatitis, medications or other etiologies for hepatic steatosis.  Its more severe form of the disease with steatohepatitis (NASH) is associated with hepatocyte injury (necrosis and inflammation) and frequently with fibrosis. Although it appears to be an indolent condition, with few symptoms and often normal plasma aminotransferases, NASH is a leading cause of end-stage liver disease and hepatocellular carcinoma (HCC), and significantly increases the risk of developing cardiovascular disease (CVD) and T2DM. The </w:t>
      </w:r>
      <w:r w:rsidR="009557E8" w:rsidRPr="00760D1B">
        <w:rPr>
          <w:rFonts w:ascii="Arial" w:hAnsi="Arial" w:cs="Arial"/>
        </w:rPr>
        <w:t xml:space="preserve">pathogenesis of NASH remains poorly understood, and likely to be </w:t>
      </w:r>
      <w:r w:rsidR="006250D9" w:rsidRPr="00760D1B">
        <w:rPr>
          <w:rFonts w:ascii="Arial" w:hAnsi="Arial" w:cs="Arial"/>
        </w:rPr>
        <w:t xml:space="preserve">multifactorial, but insulin-resistant adipose tissue plays an important role. </w:t>
      </w:r>
      <w:r w:rsidR="00BE0C97" w:rsidRPr="00760D1B">
        <w:rPr>
          <w:rFonts w:ascii="Arial" w:hAnsi="Arial" w:cs="Arial"/>
        </w:rPr>
        <w:t>The natural history of NAFLD is incompletely understood, but risk factors for d</w:t>
      </w:r>
      <w:r w:rsidR="009557E8" w:rsidRPr="00760D1B">
        <w:rPr>
          <w:rFonts w:ascii="Arial" w:hAnsi="Arial" w:cs="Arial"/>
        </w:rPr>
        <w:t xml:space="preserve">isease progression </w:t>
      </w:r>
      <w:r w:rsidR="00BE0C97" w:rsidRPr="00760D1B">
        <w:rPr>
          <w:rFonts w:ascii="Arial" w:hAnsi="Arial" w:cs="Arial"/>
        </w:rPr>
        <w:t>include weight gain, obesity and T2DM, as well as the severity of fibrosis stage at diagnosis.  D</w:t>
      </w:r>
      <w:r w:rsidR="006250D9" w:rsidRPr="00760D1B">
        <w:rPr>
          <w:rFonts w:ascii="Arial" w:hAnsi="Arial" w:cs="Arial"/>
        </w:rPr>
        <w:t>iagnostic algorithm</w:t>
      </w:r>
      <w:r w:rsidR="00BE0C97" w:rsidRPr="00760D1B">
        <w:rPr>
          <w:rFonts w:ascii="Arial" w:hAnsi="Arial" w:cs="Arial"/>
        </w:rPr>
        <w:t>s are evolving but</w:t>
      </w:r>
      <w:r w:rsidR="006250D9" w:rsidRPr="00760D1B">
        <w:rPr>
          <w:rFonts w:ascii="Arial" w:hAnsi="Arial" w:cs="Arial"/>
        </w:rPr>
        <w:t xml:space="preserve"> </w:t>
      </w:r>
      <w:r w:rsidR="00BE0C97" w:rsidRPr="00760D1B">
        <w:rPr>
          <w:rFonts w:ascii="Arial" w:hAnsi="Arial" w:cs="Arial"/>
        </w:rPr>
        <w:t>we</w:t>
      </w:r>
      <w:r w:rsidR="006250D9" w:rsidRPr="00760D1B">
        <w:rPr>
          <w:rFonts w:ascii="Arial" w:hAnsi="Arial" w:cs="Arial"/>
        </w:rPr>
        <w:t xml:space="preserve"> offer</w:t>
      </w:r>
      <w:r w:rsidR="00BE0C97" w:rsidRPr="00760D1B">
        <w:rPr>
          <w:rFonts w:ascii="Arial" w:hAnsi="Arial" w:cs="Arial"/>
        </w:rPr>
        <w:t xml:space="preserve"> an approach</w:t>
      </w:r>
      <w:r w:rsidR="006250D9" w:rsidRPr="00760D1B">
        <w:rPr>
          <w:rFonts w:ascii="Arial" w:hAnsi="Arial" w:cs="Arial"/>
        </w:rPr>
        <w:t xml:space="preserve"> that integrates </w:t>
      </w:r>
      <w:r w:rsidR="00BE0C97" w:rsidRPr="00760D1B">
        <w:rPr>
          <w:rFonts w:ascii="Arial" w:hAnsi="Arial" w:cs="Arial"/>
        </w:rPr>
        <w:t xml:space="preserve">for the non-hepatologist </w:t>
      </w:r>
      <w:r w:rsidR="006250D9" w:rsidRPr="00760D1B">
        <w:rPr>
          <w:rFonts w:ascii="Arial" w:hAnsi="Arial" w:cs="Arial"/>
        </w:rPr>
        <w:t>plasma biomarkers</w:t>
      </w:r>
      <w:r w:rsidR="00BE0C97" w:rsidRPr="00760D1B">
        <w:rPr>
          <w:rFonts w:ascii="Arial" w:hAnsi="Arial" w:cs="Arial"/>
        </w:rPr>
        <w:t>, imaging</w:t>
      </w:r>
      <w:r w:rsidR="00347292" w:rsidRPr="00760D1B">
        <w:rPr>
          <w:rFonts w:ascii="Arial" w:hAnsi="Arial" w:cs="Arial"/>
        </w:rPr>
        <w:t>,</w:t>
      </w:r>
      <w:r w:rsidR="006250D9" w:rsidRPr="00760D1B">
        <w:rPr>
          <w:rFonts w:ascii="Arial" w:hAnsi="Arial" w:cs="Arial"/>
        </w:rPr>
        <w:t xml:space="preserve"> and </w:t>
      </w:r>
      <w:r w:rsidR="00BE0C97" w:rsidRPr="00760D1B">
        <w:rPr>
          <w:rFonts w:ascii="Arial" w:hAnsi="Arial" w:cs="Arial"/>
        </w:rPr>
        <w:t xml:space="preserve">the role of </w:t>
      </w:r>
      <w:r w:rsidR="006250D9" w:rsidRPr="00760D1B">
        <w:rPr>
          <w:rFonts w:ascii="Arial" w:hAnsi="Arial" w:cs="Arial"/>
        </w:rPr>
        <w:t>liver biopsy</w:t>
      </w:r>
      <w:r w:rsidR="00BE0C97" w:rsidRPr="00760D1B">
        <w:rPr>
          <w:rFonts w:ascii="Arial" w:hAnsi="Arial" w:cs="Arial"/>
        </w:rPr>
        <w:t xml:space="preserve"> for the management of these complex patients</w:t>
      </w:r>
      <w:r w:rsidR="006250D9" w:rsidRPr="00760D1B">
        <w:rPr>
          <w:rFonts w:ascii="Arial" w:hAnsi="Arial" w:cs="Arial"/>
        </w:rPr>
        <w:t xml:space="preserve">.  At the present time, </w:t>
      </w:r>
      <w:r w:rsidR="00BE0C97" w:rsidRPr="00760D1B">
        <w:rPr>
          <w:rFonts w:ascii="Arial" w:hAnsi="Arial" w:cs="Arial"/>
        </w:rPr>
        <w:t xml:space="preserve">early </w:t>
      </w:r>
      <w:r w:rsidR="006250D9" w:rsidRPr="00760D1B">
        <w:rPr>
          <w:rFonts w:ascii="Arial" w:hAnsi="Arial" w:cs="Arial"/>
        </w:rPr>
        <w:t xml:space="preserve">screening -with </w:t>
      </w:r>
      <w:r w:rsidR="00BE0C97" w:rsidRPr="00760D1B">
        <w:rPr>
          <w:rFonts w:ascii="Arial" w:hAnsi="Arial" w:cs="Arial"/>
        </w:rPr>
        <w:t xml:space="preserve">biomarker panels or </w:t>
      </w:r>
      <w:r w:rsidR="006250D9" w:rsidRPr="00760D1B">
        <w:rPr>
          <w:rFonts w:ascii="Arial" w:hAnsi="Arial" w:cs="Arial"/>
        </w:rPr>
        <w:t>a liver ultrasound</w:t>
      </w:r>
      <w:r w:rsidR="00BE0C97" w:rsidRPr="00760D1B">
        <w:rPr>
          <w:rFonts w:ascii="Arial" w:hAnsi="Arial" w:cs="Arial"/>
        </w:rPr>
        <w:t>, ideally with transient elastography</w:t>
      </w:r>
      <w:r w:rsidR="006250D9" w:rsidRPr="00760D1B">
        <w:rPr>
          <w:rFonts w:ascii="Arial" w:hAnsi="Arial" w:cs="Arial"/>
        </w:rPr>
        <w:t xml:space="preserve">- </w:t>
      </w:r>
      <w:r w:rsidR="00BE0C97" w:rsidRPr="00760D1B">
        <w:rPr>
          <w:rFonts w:ascii="Arial" w:hAnsi="Arial" w:cs="Arial"/>
        </w:rPr>
        <w:t>is</w:t>
      </w:r>
      <w:r w:rsidR="006250D9" w:rsidRPr="00760D1B">
        <w:rPr>
          <w:rFonts w:ascii="Arial" w:hAnsi="Arial" w:cs="Arial"/>
        </w:rPr>
        <w:t xml:space="preserve"> reserved for high-risk patients (i.e., obese patients with T2DM or elevated plasma AST/ALT levels</w:t>
      </w:r>
      <w:r w:rsidR="00BE0C97" w:rsidRPr="00760D1B">
        <w:rPr>
          <w:rFonts w:ascii="Arial" w:hAnsi="Arial" w:cs="Arial"/>
        </w:rPr>
        <w:t xml:space="preserve"> or evidence of steatosis at a random liver exam</w:t>
      </w:r>
      <w:r w:rsidR="006250D9" w:rsidRPr="00760D1B">
        <w:rPr>
          <w:rFonts w:ascii="Arial" w:hAnsi="Arial" w:cs="Arial"/>
        </w:rPr>
        <w:t>) until more accurate non-invasive methods are available.  A liver biopsy should be considered on a case-by-case basis, to identify those at risk of NASH</w:t>
      </w:r>
      <w:r w:rsidR="00BE0C97" w:rsidRPr="00760D1B">
        <w:rPr>
          <w:rFonts w:ascii="Arial" w:hAnsi="Arial" w:cs="Arial"/>
        </w:rPr>
        <w:t>-</w:t>
      </w:r>
      <w:r w:rsidR="006250D9" w:rsidRPr="00760D1B">
        <w:rPr>
          <w:rFonts w:ascii="Arial" w:hAnsi="Arial" w:cs="Arial"/>
        </w:rPr>
        <w:t xml:space="preserve">cirrhosis, working in close collaboration with a hepatologist. Treatment should include a comprehensive approach with lifestyle modification and therapeutic agents tested in RCTs, such as vitamin E (in </w:t>
      </w:r>
      <w:r w:rsidR="006250D9" w:rsidRPr="00760D1B">
        <w:rPr>
          <w:rFonts w:ascii="Arial" w:hAnsi="Arial" w:cs="Arial"/>
        </w:rPr>
        <w:lastRenderedPageBreak/>
        <w:t xml:space="preserve">patients without diabetes) or pioglitazone </w:t>
      </w:r>
      <w:r w:rsidR="00BE0C97" w:rsidRPr="00760D1B">
        <w:rPr>
          <w:rFonts w:ascii="Arial" w:hAnsi="Arial" w:cs="Arial"/>
        </w:rPr>
        <w:t xml:space="preserve">for patients with or </w:t>
      </w:r>
      <w:r w:rsidR="006250D9" w:rsidRPr="00760D1B">
        <w:rPr>
          <w:rFonts w:ascii="Arial" w:hAnsi="Arial" w:cs="Arial"/>
        </w:rPr>
        <w:t xml:space="preserve">without diabetes.  </w:t>
      </w:r>
      <w:r w:rsidR="00BE0C97" w:rsidRPr="00760D1B">
        <w:rPr>
          <w:rFonts w:ascii="Arial" w:hAnsi="Arial" w:cs="Arial"/>
        </w:rPr>
        <w:t xml:space="preserve"> Pioglitazone, given its</w:t>
      </w:r>
      <w:r w:rsidR="00347292" w:rsidRPr="00760D1B">
        <w:rPr>
          <w:rFonts w:ascii="Arial" w:hAnsi="Arial" w:cs="Arial"/>
        </w:rPr>
        <w:t xml:space="preserve"> </w:t>
      </w:r>
      <w:r w:rsidR="00BE0C97" w:rsidRPr="00760D1B">
        <w:rPr>
          <w:rFonts w:ascii="Arial" w:hAnsi="Arial" w:cs="Arial"/>
        </w:rPr>
        <w:t>low-cost as a generic medication, long-standing track record of efficacy in NASH</w:t>
      </w:r>
      <w:r w:rsidR="00347292" w:rsidRPr="00760D1B">
        <w:rPr>
          <w:rFonts w:ascii="Arial" w:hAnsi="Arial" w:cs="Arial"/>
        </w:rPr>
        <w:t>,</w:t>
      </w:r>
      <w:r w:rsidR="00BE0C97" w:rsidRPr="00760D1B">
        <w:rPr>
          <w:rFonts w:ascii="Arial" w:hAnsi="Arial" w:cs="Arial"/>
        </w:rPr>
        <w:t xml:space="preserve"> and cardiometabolic benefits, is likely to </w:t>
      </w:r>
      <w:r w:rsidR="00324F76" w:rsidRPr="00760D1B">
        <w:rPr>
          <w:rFonts w:ascii="Arial" w:hAnsi="Arial" w:cs="Arial"/>
        </w:rPr>
        <w:t>be</w:t>
      </w:r>
      <w:r w:rsidR="00BE0C97" w:rsidRPr="00760D1B">
        <w:rPr>
          <w:rFonts w:ascii="Arial" w:hAnsi="Arial" w:cs="Arial"/>
        </w:rPr>
        <w:t xml:space="preserve"> for NASH what metformin has become for the management of T2DM. However, proper patient selection and close monitoring is needed.  In addition, a</w:t>
      </w:r>
      <w:r w:rsidR="006250D9" w:rsidRPr="00760D1B">
        <w:rPr>
          <w:rFonts w:ascii="Arial" w:hAnsi="Arial" w:cs="Arial"/>
        </w:rPr>
        <w:t xml:space="preserve"> number of new pharmacological agents are </w:t>
      </w:r>
      <w:r w:rsidR="00BE0C97" w:rsidRPr="00760D1B">
        <w:rPr>
          <w:rFonts w:ascii="Arial" w:hAnsi="Arial" w:cs="Arial"/>
        </w:rPr>
        <w:t xml:space="preserve">being studied in phase II/III trials and </w:t>
      </w:r>
      <w:r w:rsidR="00092710" w:rsidRPr="00760D1B">
        <w:rPr>
          <w:rFonts w:ascii="Arial" w:hAnsi="Arial" w:cs="Arial"/>
        </w:rPr>
        <w:t>future management will involve the use of combination therapy</w:t>
      </w:r>
      <w:r w:rsidR="00324F76" w:rsidRPr="00760D1B">
        <w:rPr>
          <w:rFonts w:ascii="Arial" w:hAnsi="Arial" w:cs="Arial"/>
        </w:rPr>
        <w:t xml:space="preserve">, </w:t>
      </w:r>
      <w:r w:rsidR="00092710" w:rsidRPr="00760D1B">
        <w:rPr>
          <w:rFonts w:ascii="Arial" w:hAnsi="Arial" w:cs="Arial"/>
        </w:rPr>
        <w:t>as for other chronic metabolic conditions</w:t>
      </w:r>
      <w:r w:rsidR="006250D9" w:rsidRPr="00760D1B">
        <w:rPr>
          <w:rFonts w:ascii="Arial" w:hAnsi="Arial" w:cs="Arial"/>
        </w:rPr>
        <w:t>.</w:t>
      </w:r>
      <w:r w:rsidR="00347292" w:rsidRPr="00760D1B">
        <w:rPr>
          <w:rFonts w:ascii="Arial" w:hAnsi="Arial" w:cs="Arial"/>
        </w:rPr>
        <w:t xml:space="preserve"> </w:t>
      </w:r>
      <w:r w:rsidR="006250D9" w:rsidRPr="00760D1B">
        <w:rPr>
          <w:rFonts w:ascii="Arial" w:hAnsi="Arial" w:cs="Arial"/>
        </w:rPr>
        <w:t xml:space="preserve">In summary, endocrinologists need to be aware of the severe metabolic and liver-specific complications of NASH and establish early-on a long-term management plan. </w:t>
      </w:r>
      <w:r w:rsidR="00092710" w:rsidRPr="00760D1B">
        <w:rPr>
          <w:rFonts w:ascii="Arial" w:hAnsi="Arial" w:cs="Arial"/>
        </w:rPr>
        <w:t xml:space="preserve">Screening will likely take place in the same way as for diabetic retinopathy or nephropathy.  </w:t>
      </w:r>
      <w:r w:rsidR="006250D9" w:rsidRPr="00760D1B">
        <w:rPr>
          <w:rFonts w:ascii="Arial" w:hAnsi="Arial" w:cs="Arial"/>
        </w:rPr>
        <w:t xml:space="preserve">A better understanding of </w:t>
      </w:r>
      <w:r w:rsidR="00092710" w:rsidRPr="00760D1B">
        <w:rPr>
          <w:rFonts w:ascii="Arial" w:hAnsi="Arial" w:cs="Arial"/>
        </w:rPr>
        <w:t>its</w:t>
      </w:r>
      <w:r w:rsidR="00BE0C97" w:rsidRPr="00760D1B">
        <w:rPr>
          <w:rFonts w:ascii="Arial" w:hAnsi="Arial" w:cs="Arial"/>
        </w:rPr>
        <w:t xml:space="preserve"> natural history and pathogenesis of </w:t>
      </w:r>
      <w:r w:rsidR="006250D9" w:rsidRPr="00760D1B">
        <w:rPr>
          <w:rFonts w:ascii="Arial" w:hAnsi="Arial" w:cs="Arial"/>
        </w:rPr>
        <w:t xml:space="preserve">NASH, combined with improved diagnostic and treatment options, will likely </w:t>
      </w:r>
      <w:r w:rsidR="00BE0C97" w:rsidRPr="00760D1B">
        <w:rPr>
          <w:rFonts w:ascii="Arial" w:hAnsi="Arial" w:cs="Arial"/>
        </w:rPr>
        <w:t xml:space="preserve">place </w:t>
      </w:r>
      <w:r w:rsidR="006250D9" w:rsidRPr="00760D1B">
        <w:rPr>
          <w:rFonts w:ascii="Arial" w:hAnsi="Arial" w:cs="Arial"/>
        </w:rPr>
        <w:t xml:space="preserve">endocrinologists </w:t>
      </w:r>
      <w:r w:rsidR="00BE0C97" w:rsidRPr="00760D1B">
        <w:rPr>
          <w:rFonts w:ascii="Arial" w:hAnsi="Arial" w:cs="Arial"/>
        </w:rPr>
        <w:t xml:space="preserve">at the forefront of the </w:t>
      </w:r>
      <w:r w:rsidR="00324F76" w:rsidRPr="00760D1B">
        <w:rPr>
          <w:rFonts w:ascii="Arial" w:hAnsi="Arial" w:cs="Arial"/>
        </w:rPr>
        <w:t>management</w:t>
      </w:r>
      <w:r w:rsidR="00BE0C97" w:rsidRPr="00760D1B">
        <w:rPr>
          <w:rFonts w:ascii="Arial" w:hAnsi="Arial" w:cs="Arial"/>
        </w:rPr>
        <w:t xml:space="preserve"> efforts </w:t>
      </w:r>
      <w:r w:rsidR="00092710" w:rsidRPr="00760D1B">
        <w:rPr>
          <w:rFonts w:ascii="Arial" w:hAnsi="Arial" w:cs="Arial"/>
        </w:rPr>
        <w:t>to prevent end-stage liver disease in</w:t>
      </w:r>
      <w:r w:rsidR="00347292" w:rsidRPr="00760D1B">
        <w:rPr>
          <w:rFonts w:ascii="Arial" w:hAnsi="Arial" w:cs="Arial"/>
        </w:rPr>
        <w:t xml:space="preserve"> </w:t>
      </w:r>
      <w:r w:rsidR="00092710" w:rsidRPr="00760D1B">
        <w:rPr>
          <w:rFonts w:ascii="Arial" w:hAnsi="Arial" w:cs="Arial"/>
        </w:rPr>
        <w:t>patients with NASH</w:t>
      </w:r>
      <w:r w:rsidR="006250D9" w:rsidRPr="00760D1B">
        <w:rPr>
          <w:rFonts w:ascii="Arial" w:hAnsi="Arial" w:cs="Arial"/>
        </w:rPr>
        <w:t xml:space="preserve">.  </w:t>
      </w:r>
    </w:p>
    <w:p w14:paraId="3BB435DA" w14:textId="59EB9750" w:rsidR="004F73E3" w:rsidRPr="00760D1B" w:rsidRDefault="004F73E3" w:rsidP="002506B3">
      <w:pPr>
        <w:pStyle w:val="BodyText"/>
        <w:spacing w:line="276" w:lineRule="auto"/>
        <w:ind w:right="0"/>
        <w:jc w:val="left"/>
        <w:rPr>
          <w:rFonts w:ascii="Arial" w:hAnsi="Arial" w:cs="Arial"/>
          <w:b/>
          <w:color w:val="FF0000"/>
          <w:sz w:val="22"/>
          <w:szCs w:val="22"/>
        </w:rPr>
      </w:pPr>
    </w:p>
    <w:p w14:paraId="120C9F6E" w14:textId="4D605EFB" w:rsidR="00AB1BE1" w:rsidRPr="00760D1B" w:rsidRDefault="000A580B" w:rsidP="002506B3">
      <w:pPr>
        <w:spacing w:after="0" w:line="276" w:lineRule="auto"/>
        <w:rPr>
          <w:rFonts w:ascii="Arial" w:hAnsi="Arial" w:cs="Arial"/>
          <w:b/>
          <w:bCs/>
        </w:rPr>
      </w:pPr>
      <w:bookmarkStart w:id="1" w:name="_Hlk13489397"/>
      <w:r w:rsidRPr="00760D1B">
        <w:rPr>
          <w:rFonts w:ascii="Arial" w:hAnsi="Arial" w:cs="Arial"/>
          <w:b/>
          <w:bCs/>
        </w:rPr>
        <w:t>INTRODUCTION</w:t>
      </w:r>
    </w:p>
    <w:p w14:paraId="052891A3" w14:textId="77777777" w:rsidR="004F73E3" w:rsidRPr="00760D1B" w:rsidRDefault="004F73E3" w:rsidP="002506B3">
      <w:pPr>
        <w:spacing w:after="0" w:line="276" w:lineRule="auto"/>
        <w:rPr>
          <w:rFonts w:ascii="Arial" w:hAnsi="Arial" w:cs="Arial"/>
          <w:b/>
          <w:bCs/>
        </w:rPr>
      </w:pPr>
    </w:p>
    <w:p w14:paraId="4D5C9ED6" w14:textId="5DF856A6" w:rsidR="003165CB" w:rsidRPr="00760D1B" w:rsidRDefault="008369B6" w:rsidP="002506B3">
      <w:pPr>
        <w:spacing w:after="0" w:line="276" w:lineRule="auto"/>
        <w:rPr>
          <w:rFonts w:ascii="Arial" w:hAnsi="Arial" w:cs="Arial"/>
        </w:rPr>
      </w:pPr>
      <w:r w:rsidRPr="00760D1B">
        <w:rPr>
          <w:rFonts w:ascii="Arial" w:hAnsi="Arial" w:cs="Arial"/>
        </w:rPr>
        <w:t xml:space="preserve">Nonalcoholic fatty liver disease (NAFLD) is a chronic liver condition that is on the rise. It has become the most common chronic liver condition in many parts of the world. </w:t>
      </w:r>
      <w:r w:rsidR="00E139F9" w:rsidRPr="00760D1B">
        <w:rPr>
          <w:rFonts w:ascii="Arial" w:hAnsi="Arial" w:cs="Arial"/>
        </w:rPr>
        <w:t>It</w:t>
      </w:r>
      <w:r w:rsidRPr="00760D1B">
        <w:rPr>
          <w:rFonts w:ascii="Arial" w:hAnsi="Arial" w:cs="Arial"/>
        </w:rPr>
        <w:t xml:space="preserve"> encompasses a wide spectrum </w:t>
      </w:r>
      <w:r w:rsidR="00E139F9" w:rsidRPr="00760D1B">
        <w:rPr>
          <w:rFonts w:ascii="Arial" w:hAnsi="Arial" w:cs="Arial"/>
        </w:rPr>
        <w:t xml:space="preserve">of disease </w:t>
      </w:r>
      <w:r w:rsidRPr="00760D1B">
        <w:rPr>
          <w:rFonts w:ascii="Arial" w:hAnsi="Arial" w:cs="Arial"/>
        </w:rPr>
        <w:t xml:space="preserve">with different clinical implications. </w:t>
      </w:r>
      <w:r w:rsidR="005357F0" w:rsidRPr="00760D1B">
        <w:rPr>
          <w:rFonts w:ascii="Arial" w:hAnsi="Arial" w:cs="Arial"/>
        </w:rPr>
        <w:t xml:space="preserve">NAFLD means that there is evidence of liver steatosis, either by imaging or histology, in the absence of secondary causes of hepatic fat accumulation such as significant alcohol consumption, chronic use of steatogenic medication, or </w:t>
      </w:r>
      <w:r w:rsidR="008C0073" w:rsidRPr="00760D1B">
        <w:rPr>
          <w:rFonts w:ascii="Arial" w:hAnsi="Arial" w:cs="Arial"/>
        </w:rPr>
        <w:t>an</w:t>
      </w:r>
      <w:r w:rsidR="005357F0" w:rsidRPr="00760D1B">
        <w:rPr>
          <w:rFonts w:ascii="Arial" w:hAnsi="Arial" w:cs="Arial"/>
        </w:rPr>
        <w:t xml:space="preserve">other established chronic liver disease. </w:t>
      </w:r>
      <w:r w:rsidR="00336F09" w:rsidRPr="00760D1B">
        <w:rPr>
          <w:rFonts w:ascii="Arial" w:hAnsi="Arial" w:cs="Arial"/>
        </w:rPr>
        <w:t xml:space="preserve"> </w:t>
      </w:r>
      <w:r w:rsidR="00FC023B" w:rsidRPr="00760D1B">
        <w:rPr>
          <w:rFonts w:ascii="Arial" w:hAnsi="Arial" w:cs="Arial"/>
        </w:rPr>
        <w:t xml:space="preserve">Between 40 to 50% of patients that are obese </w:t>
      </w:r>
      <w:r w:rsidR="00A767D7" w:rsidRPr="00760D1B">
        <w:rPr>
          <w:rFonts w:ascii="Arial" w:hAnsi="Arial" w:cs="Arial"/>
        </w:rPr>
        <w:t xml:space="preserve">have </w:t>
      </w:r>
      <w:r w:rsidR="00336F09" w:rsidRPr="00760D1B">
        <w:rPr>
          <w:rFonts w:ascii="Arial" w:hAnsi="Arial" w:cs="Arial"/>
        </w:rPr>
        <w:t>NAFLD</w:t>
      </w:r>
      <w:r w:rsidR="00A767D7" w:rsidRPr="00760D1B">
        <w:rPr>
          <w:rFonts w:ascii="Arial" w:hAnsi="Arial" w:cs="Arial"/>
        </w:rPr>
        <w:t xml:space="preserve"> </w:t>
      </w:r>
      <w:r w:rsidR="00FC023B" w:rsidRPr="00760D1B">
        <w:rPr>
          <w:rFonts w:ascii="Arial" w:hAnsi="Arial" w:cs="Arial"/>
        </w:rPr>
        <w:t xml:space="preserve">and </w:t>
      </w:r>
      <w:r w:rsidR="00A767D7" w:rsidRPr="00760D1B">
        <w:rPr>
          <w:rFonts w:ascii="Arial" w:hAnsi="Arial" w:cs="Arial"/>
        </w:rPr>
        <w:t xml:space="preserve">this rises to about 70% if they </w:t>
      </w:r>
      <w:r w:rsidR="00FC023B" w:rsidRPr="00760D1B">
        <w:rPr>
          <w:rFonts w:ascii="Arial" w:hAnsi="Arial" w:cs="Arial"/>
        </w:rPr>
        <w:t xml:space="preserve">have type 2 diabetes mellitus (T2DM).  </w:t>
      </w:r>
      <w:r w:rsidR="00336F09" w:rsidRPr="00760D1B">
        <w:rPr>
          <w:rFonts w:ascii="Arial" w:hAnsi="Arial" w:cs="Arial"/>
        </w:rPr>
        <w:t xml:space="preserve">In its simplest form, known as isolated steatosis or NAFL (nonalcoholic fatty liver), there is triglyceride accumulation of ≥5% without evidence of hepatocellular injury in the form of </w:t>
      </w:r>
      <w:r w:rsidR="008C0073" w:rsidRPr="00760D1B">
        <w:rPr>
          <w:rFonts w:ascii="Arial" w:hAnsi="Arial" w:cs="Arial"/>
        </w:rPr>
        <w:t xml:space="preserve">hepatocyte </w:t>
      </w:r>
      <w:r w:rsidR="00336F09" w:rsidRPr="00760D1B">
        <w:rPr>
          <w:rFonts w:ascii="Arial" w:hAnsi="Arial" w:cs="Arial"/>
        </w:rPr>
        <w:t xml:space="preserve">ballooning or evidence of fibrosis.  </w:t>
      </w:r>
      <w:r w:rsidR="00FC023B" w:rsidRPr="00760D1B">
        <w:rPr>
          <w:rFonts w:ascii="Arial" w:hAnsi="Arial" w:cs="Arial"/>
        </w:rPr>
        <w:t>Although the natural history of this condition remains uncertain</w:t>
      </w:r>
      <w:r w:rsidR="008C0073" w:rsidRPr="00760D1B">
        <w:rPr>
          <w:rFonts w:ascii="Arial" w:hAnsi="Arial" w:cs="Arial"/>
        </w:rPr>
        <w:t>,</w:t>
      </w:r>
      <w:r w:rsidR="00FC023B" w:rsidRPr="00760D1B">
        <w:rPr>
          <w:rFonts w:ascii="Arial" w:hAnsi="Arial" w:cs="Arial"/>
        </w:rPr>
        <w:t xml:space="preserve"> and may possibly progress to more severe disease, at the present moment </w:t>
      </w:r>
      <w:r w:rsidR="008C0073" w:rsidRPr="00760D1B">
        <w:rPr>
          <w:rFonts w:ascii="Arial" w:hAnsi="Arial" w:cs="Arial"/>
        </w:rPr>
        <w:t>NAFL</w:t>
      </w:r>
      <w:r w:rsidR="00FC023B" w:rsidRPr="00760D1B">
        <w:rPr>
          <w:rFonts w:ascii="Arial" w:hAnsi="Arial" w:cs="Arial"/>
        </w:rPr>
        <w:t xml:space="preserve"> is considered to </w:t>
      </w:r>
      <w:r w:rsidR="00483B73" w:rsidRPr="00760D1B">
        <w:rPr>
          <w:rFonts w:ascii="Arial" w:hAnsi="Arial" w:cs="Arial"/>
        </w:rPr>
        <w:t>be associated</w:t>
      </w:r>
      <w:r w:rsidRPr="00760D1B">
        <w:rPr>
          <w:rFonts w:ascii="Arial" w:hAnsi="Arial" w:cs="Arial"/>
        </w:rPr>
        <w:t xml:space="preserve"> with limited </w:t>
      </w:r>
      <w:r w:rsidR="00FC023B" w:rsidRPr="00760D1B">
        <w:rPr>
          <w:rFonts w:ascii="Arial" w:hAnsi="Arial" w:cs="Arial"/>
        </w:rPr>
        <w:t xml:space="preserve">risk of </w:t>
      </w:r>
      <w:r w:rsidRPr="00760D1B">
        <w:rPr>
          <w:rFonts w:ascii="Arial" w:hAnsi="Arial" w:cs="Arial"/>
        </w:rPr>
        <w:t>liver morbidity</w:t>
      </w:r>
      <w:r w:rsidR="00CC336A" w:rsidRPr="00760D1B">
        <w:rPr>
          <w:rFonts w:ascii="Arial" w:hAnsi="Arial" w:cs="Arial"/>
        </w:rPr>
        <w:t>. However, it</w:t>
      </w:r>
      <w:r w:rsidR="00483B73" w:rsidRPr="00760D1B">
        <w:rPr>
          <w:rFonts w:ascii="Arial" w:hAnsi="Arial" w:cs="Arial"/>
        </w:rPr>
        <w:t xml:space="preserve"> </w:t>
      </w:r>
      <w:r w:rsidR="00FC023B" w:rsidRPr="00760D1B">
        <w:rPr>
          <w:rFonts w:ascii="Arial" w:hAnsi="Arial" w:cs="Arial"/>
        </w:rPr>
        <w:t xml:space="preserve">is associated </w:t>
      </w:r>
      <w:r w:rsidR="00CC336A" w:rsidRPr="00760D1B">
        <w:rPr>
          <w:rFonts w:ascii="Arial" w:hAnsi="Arial" w:cs="Arial"/>
        </w:rPr>
        <w:t xml:space="preserve">with </w:t>
      </w:r>
      <w:r w:rsidR="00483B73" w:rsidRPr="00760D1B">
        <w:rPr>
          <w:rFonts w:ascii="Arial" w:hAnsi="Arial" w:cs="Arial"/>
        </w:rPr>
        <w:t>insulin resistance</w:t>
      </w:r>
      <w:r w:rsidR="00CC336A" w:rsidRPr="00760D1B">
        <w:rPr>
          <w:rFonts w:ascii="Arial" w:hAnsi="Arial" w:cs="Arial"/>
        </w:rPr>
        <w:t xml:space="preserve"> so that the liver can be seen as a “mirror” of metabolic health (i.e., in obesity steatosis being a reflection of insulin resistance, and in particular, of adipose tissue dysfunction)</w:t>
      </w:r>
      <w:r w:rsidR="008C0073" w:rsidRPr="00760D1B">
        <w:rPr>
          <w:rFonts w:ascii="Arial" w:hAnsi="Arial" w:cs="Arial"/>
        </w:rPr>
        <w:t xml:space="preserve"> and with an increased risk of cardiovascular disease (CVD)</w:t>
      </w:r>
      <w:r w:rsidR="00CC336A" w:rsidRPr="00760D1B">
        <w:rPr>
          <w:rFonts w:ascii="Arial" w:hAnsi="Arial" w:cs="Arial"/>
        </w:rPr>
        <w:t xml:space="preserve">. </w:t>
      </w:r>
      <w:r w:rsidRPr="00760D1B">
        <w:rPr>
          <w:rFonts w:ascii="Arial" w:hAnsi="Arial" w:cs="Arial"/>
        </w:rPr>
        <w:t>In its more severe form</w:t>
      </w:r>
      <w:r w:rsidR="008C0073" w:rsidRPr="00760D1B">
        <w:rPr>
          <w:rFonts w:ascii="Arial" w:hAnsi="Arial" w:cs="Arial"/>
        </w:rPr>
        <w:t>,</w:t>
      </w:r>
      <w:r w:rsidR="00336F09" w:rsidRPr="00760D1B">
        <w:rPr>
          <w:rFonts w:ascii="Arial" w:hAnsi="Arial" w:cs="Arial"/>
        </w:rPr>
        <w:t xml:space="preserve"> known as nonalcoholic steatohepatitis or NASH</w:t>
      </w:r>
      <w:r w:rsidRPr="00760D1B">
        <w:rPr>
          <w:rFonts w:ascii="Arial" w:hAnsi="Arial" w:cs="Arial"/>
        </w:rPr>
        <w:t xml:space="preserve">, </w:t>
      </w:r>
      <w:r w:rsidR="00336F09" w:rsidRPr="00760D1B">
        <w:rPr>
          <w:rFonts w:ascii="Arial" w:hAnsi="Arial" w:cs="Arial"/>
        </w:rPr>
        <w:t>steatosis ≥5% is associated with</w:t>
      </w:r>
      <w:r w:rsidRPr="00760D1B">
        <w:rPr>
          <w:rFonts w:ascii="Arial" w:hAnsi="Arial" w:cs="Arial"/>
        </w:rPr>
        <w:t xml:space="preserve"> hepatocyte </w:t>
      </w:r>
      <w:r w:rsidR="00336F09" w:rsidRPr="00760D1B">
        <w:rPr>
          <w:rFonts w:ascii="Arial" w:hAnsi="Arial" w:cs="Arial"/>
        </w:rPr>
        <w:t xml:space="preserve">injury with </w:t>
      </w:r>
      <w:r w:rsidRPr="00760D1B">
        <w:rPr>
          <w:rFonts w:ascii="Arial" w:hAnsi="Arial" w:cs="Arial"/>
        </w:rPr>
        <w:t>necrosis</w:t>
      </w:r>
      <w:r w:rsidR="00FC023B" w:rsidRPr="00760D1B">
        <w:rPr>
          <w:rFonts w:ascii="Arial" w:hAnsi="Arial" w:cs="Arial"/>
        </w:rPr>
        <w:t xml:space="preserve"> (“ballooning”) and</w:t>
      </w:r>
      <w:r w:rsidRPr="00760D1B">
        <w:rPr>
          <w:rFonts w:ascii="Arial" w:hAnsi="Arial" w:cs="Arial"/>
        </w:rPr>
        <w:t xml:space="preserve"> lobular inflammation</w:t>
      </w:r>
      <w:r w:rsidR="008C0073" w:rsidRPr="00760D1B">
        <w:rPr>
          <w:rFonts w:ascii="Arial" w:hAnsi="Arial" w:cs="Arial"/>
        </w:rPr>
        <w:t>,</w:t>
      </w:r>
      <w:r w:rsidRPr="00760D1B">
        <w:rPr>
          <w:rFonts w:ascii="Arial" w:hAnsi="Arial" w:cs="Arial"/>
        </w:rPr>
        <w:t xml:space="preserve"> </w:t>
      </w:r>
      <w:r w:rsidR="00336F09" w:rsidRPr="00760D1B">
        <w:rPr>
          <w:rFonts w:ascii="Arial" w:hAnsi="Arial" w:cs="Arial"/>
        </w:rPr>
        <w:t>with or without fibrosis</w:t>
      </w:r>
      <w:r w:rsidRPr="00760D1B">
        <w:rPr>
          <w:rFonts w:ascii="Arial" w:hAnsi="Arial" w:cs="Arial"/>
        </w:rPr>
        <w:t xml:space="preserve">. </w:t>
      </w:r>
    </w:p>
    <w:p w14:paraId="1B211239" w14:textId="77777777" w:rsidR="00A36AEA" w:rsidRPr="00760D1B" w:rsidRDefault="00A36AEA" w:rsidP="002506B3">
      <w:pPr>
        <w:spacing w:after="0" w:line="276" w:lineRule="auto"/>
        <w:rPr>
          <w:rFonts w:ascii="Arial" w:hAnsi="Arial" w:cs="Arial"/>
        </w:rPr>
      </w:pPr>
    </w:p>
    <w:p w14:paraId="74EF349F" w14:textId="5F3B5A3B" w:rsidR="001342B1" w:rsidRPr="00760D1B" w:rsidRDefault="00FC023B" w:rsidP="002506B3">
      <w:pPr>
        <w:spacing w:after="0" w:line="276" w:lineRule="auto"/>
        <w:rPr>
          <w:rFonts w:ascii="Arial" w:hAnsi="Arial" w:cs="Arial"/>
        </w:rPr>
      </w:pPr>
      <w:r w:rsidRPr="00760D1B">
        <w:rPr>
          <w:rFonts w:ascii="Arial" w:hAnsi="Arial" w:cs="Arial"/>
        </w:rPr>
        <w:t xml:space="preserve">Steatohepatitis is often </w:t>
      </w:r>
      <w:r w:rsidR="004F73E3" w:rsidRPr="00760D1B">
        <w:rPr>
          <w:rFonts w:ascii="Arial" w:hAnsi="Arial" w:cs="Arial"/>
        </w:rPr>
        <w:t>a</w:t>
      </w:r>
      <w:r w:rsidRPr="00760D1B">
        <w:rPr>
          <w:rFonts w:ascii="Arial" w:hAnsi="Arial" w:cs="Arial"/>
        </w:rPr>
        <w:t xml:space="preserve"> </w:t>
      </w:r>
      <w:r w:rsidR="008369B6" w:rsidRPr="00760D1B">
        <w:rPr>
          <w:rFonts w:ascii="Arial" w:hAnsi="Arial" w:cs="Arial"/>
        </w:rPr>
        <w:t xml:space="preserve">progressive disorder </w:t>
      </w:r>
      <w:r w:rsidRPr="00760D1B">
        <w:rPr>
          <w:rFonts w:ascii="Arial" w:hAnsi="Arial" w:cs="Arial"/>
        </w:rPr>
        <w:t xml:space="preserve">in T2DM associated with the development of fibrosis </w:t>
      </w:r>
      <w:r w:rsidR="008369B6" w:rsidRPr="00760D1B">
        <w:rPr>
          <w:rFonts w:ascii="Arial" w:hAnsi="Arial" w:cs="Arial"/>
        </w:rPr>
        <w:t>that can eventually lead to cirrhosis.</w:t>
      </w:r>
      <w:r w:rsidR="00483B73" w:rsidRPr="00760D1B">
        <w:rPr>
          <w:rFonts w:ascii="Arial" w:hAnsi="Arial" w:cs="Arial"/>
        </w:rPr>
        <w:t xml:space="preserve"> </w:t>
      </w:r>
      <w:r w:rsidR="008C0073" w:rsidRPr="00760D1B">
        <w:rPr>
          <w:rFonts w:ascii="Arial" w:hAnsi="Arial" w:cs="Arial"/>
        </w:rPr>
        <w:t>Liver f</w:t>
      </w:r>
      <w:r w:rsidR="003165CB" w:rsidRPr="00760D1B">
        <w:rPr>
          <w:rFonts w:ascii="Arial" w:hAnsi="Arial" w:cs="Arial"/>
        </w:rPr>
        <w:t xml:space="preserve">ibrosis is defined </w:t>
      </w:r>
      <w:r w:rsidR="008C0073" w:rsidRPr="00760D1B">
        <w:rPr>
          <w:rFonts w:ascii="Arial" w:hAnsi="Arial" w:cs="Arial"/>
        </w:rPr>
        <w:t>by</w:t>
      </w:r>
      <w:r w:rsidR="003165CB" w:rsidRPr="00760D1B">
        <w:rPr>
          <w:rFonts w:ascii="Arial" w:hAnsi="Arial" w:cs="Arial"/>
        </w:rPr>
        <w:t xml:space="preserve"> its severity </w:t>
      </w:r>
      <w:r w:rsidR="008C0073" w:rsidRPr="00760D1B">
        <w:rPr>
          <w:rFonts w:ascii="Arial" w:hAnsi="Arial" w:cs="Arial"/>
        </w:rPr>
        <w:t>in</w:t>
      </w:r>
      <w:r w:rsidR="003165CB" w:rsidRPr="00760D1B">
        <w:rPr>
          <w:rFonts w:ascii="Arial" w:hAnsi="Arial" w:cs="Arial"/>
        </w:rPr>
        <w:t xml:space="preserve"> stages</w:t>
      </w:r>
      <w:r w:rsidR="008C0073" w:rsidRPr="00760D1B">
        <w:rPr>
          <w:rFonts w:ascii="Arial" w:hAnsi="Arial" w:cs="Arial"/>
        </w:rPr>
        <w:t xml:space="preserve"> ranging</w:t>
      </w:r>
      <w:r w:rsidR="003165CB" w:rsidRPr="00760D1B">
        <w:rPr>
          <w:rFonts w:ascii="Arial" w:hAnsi="Arial" w:cs="Arial"/>
        </w:rPr>
        <w:t xml:space="preserve"> from absence of fibrosis (</w:t>
      </w:r>
      <w:r w:rsidR="00F85F42" w:rsidRPr="00760D1B">
        <w:rPr>
          <w:rFonts w:ascii="Arial" w:hAnsi="Arial" w:cs="Arial"/>
        </w:rPr>
        <w:t xml:space="preserve">stage </w:t>
      </w:r>
      <w:r w:rsidR="003165CB" w:rsidRPr="00760D1B">
        <w:rPr>
          <w:rFonts w:ascii="Arial" w:hAnsi="Arial" w:cs="Arial"/>
        </w:rPr>
        <w:t>F0) to mild (</w:t>
      </w:r>
      <w:r w:rsidR="00F85F42" w:rsidRPr="00760D1B">
        <w:rPr>
          <w:rFonts w:ascii="Arial" w:hAnsi="Arial" w:cs="Arial"/>
        </w:rPr>
        <w:t xml:space="preserve">stage </w:t>
      </w:r>
      <w:r w:rsidR="003165CB" w:rsidRPr="00760D1B">
        <w:rPr>
          <w:rFonts w:ascii="Arial" w:hAnsi="Arial" w:cs="Arial"/>
        </w:rPr>
        <w:t>F1), moderate (</w:t>
      </w:r>
      <w:r w:rsidR="00F85F42" w:rsidRPr="00760D1B">
        <w:rPr>
          <w:rFonts w:ascii="Arial" w:hAnsi="Arial" w:cs="Arial"/>
        </w:rPr>
        <w:t xml:space="preserve">stage </w:t>
      </w:r>
      <w:r w:rsidR="003165CB" w:rsidRPr="00760D1B">
        <w:rPr>
          <w:rFonts w:ascii="Arial" w:hAnsi="Arial" w:cs="Arial"/>
        </w:rPr>
        <w:t>F2</w:t>
      </w:r>
      <w:r w:rsidR="00F85F42" w:rsidRPr="00760D1B">
        <w:rPr>
          <w:rFonts w:ascii="Arial" w:hAnsi="Arial" w:cs="Arial"/>
        </w:rPr>
        <w:t>, with zone 3 sinusoidal fibrosis plus periportal fibrosis</w:t>
      </w:r>
      <w:r w:rsidR="003165CB" w:rsidRPr="00760D1B">
        <w:rPr>
          <w:rFonts w:ascii="Arial" w:hAnsi="Arial" w:cs="Arial"/>
        </w:rPr>
        <w:t>)</w:t>
      </w:r>
      <w:r w:rsidR="008C0073" w:rsidRPr="00760D1B">
        <w:rPr>
          <w:rFonts w:ascii="Arial" w:hAnsi="Arial" w:cs="Arial"/>
        </w:rPr>
        <w:t>,</w:t>
      </w:r>
      <w:r w:rsidR="003165CB" w:rsidRPr="00760D1B">
        <w:rPr>
          <w:rFonts w:ascii="Arial" w:hAnsi="Arial" w:cs="Arial"/>
        </w:rPr>
        <w:t xml:space="preserve"> and “advanced” fibrosis referring specifically to stages 3 </w:t>
      </w:r>
      <w:r w:rsidR="00F85F42" w:rsidRPr="00760D1B">
        <w:rPr>
          <w:rFonts w:ascii="Arial" w:hAnsi="Arial" w:cs="Arial"/>
        </w:rPr>
        <w:t xml:space="preserve">(bridging fibrosis) </w:t>
      </w:r>
      <w:r w:rsidR="003165CB" w:rsidRPr="00760D1B">
        <w:rPr>
          <w:rFonts w:ascii="Arial" w:hAnsi="Arial" w:cs="Arial"/>
        </w:rPr>
        <w:t>or 4</w:t>
      </w:r>
      <w:r w:rsidR="00F85F42" w:rsidRPr="00760D1B">
        <w:rPr>
          <w:rFonts w:ascii="Arial" w:hAnsi="Arial" w:cs="Arial"/>
        </w:rPr>
        <w:t xml:space="preserve"> (</w:t>
      </w:r>
      <w:r w:rsidR="003165CB" w:rsidRPr="00760D1B">
        <w:rPr>
          <w:rFonts w:ascii="Arial" w:hAnsi="Arial" w:cs="Arial"/>
        </w:rPr>
        <w:t>cirrhosis</w:t>
      </w:r>
      <w:r w:rsidR="00F85F42" w:rsidRPr="00760D1B">
        <w:rPr>
          <w:rFonts w:ascii="Arial" w:hAnsi="Arial" w:cs="Arial"/>
        </w:rPr>
        <w:t>)</w:t>
      </w:r>
      <w:r w:rsidR="003165CB" w:rsidRPr="00760D1B">
        <w:rPr>
          <w:rFonts w:ascii="Arial" w:hAnsi="Arial" w:cs="Arial"/>
        </w:rPr>
        <w:t xml:space="preserve">. </w:t>
      </w:r>
      <w:r w:rsidR="00F85F42" w:rsidRPr="00760D1B">
        <w:rPr>
          <w:rFonts w:ascii="Arial" w:hAnsi="Arial" w:cs="Arial"/>
        </w:rPr>
        <w:t xml:space="preserve">Having fibrosis is the most important histological feature of NAFLD associated with long-term mortality.  </w:t>
      </w:r>
      <w:r w:rsidR="003165CB" w:rsidRPr="00760D1B">
        <w:rPr>
          <w:rFonts w:ascii="Arial" w:hAnsi="Arial" w:cs="Arial"/>
        </w:rPr>
        <w:t xml:space="preserve">Fibrosis </w:t>
      </w:r>
      <w:r w:rsidR="00483B73" w:rsidRPr="00760D1B">
        <w:rPr>
          <w:rFonts w:ascii="Arial" w:hAnsi="Arial" w:cs="Arial"/>
        </w:rPr>
        <w:t xml:space="preserve">also predisposes </w:t>
      </w:r>
      <w:r w:rsidR="00303150" w:rsidRPr="00760D1B">
        <w:rPr>
          <w:rFonts w:ascii="Arial" w:hAnsi="Arial" w:cs="Arial"/>
        </w:rPr>
        <w:t xml:space="preserve">patients </w:t>
      </w:r>
      <w:r w:rsidR="00483B73" w:rsidRPr="00760D1B">
        <w:rPr>
          <w:rFonts w:ascii="Arial" w:hAnsi="Arial" w:cs="Arial"/>
        </w:rPr>
        <w:t>to hepatocellular carcinoma</w:t>
      </w:r>
      <w:r w:rsidR="00F12079" w:rsidRPr="00760D1B">
        <w:rPr>
          <w:rFonts w:ascii="Arial" w:hAnsi="Arial" w:cs="Arial"/>
        </w:rPr>
        <w:t xml:space="preserve"> (HCC)</w:t>
      </w:r>
      <w:r w:rsidR="00483B73" w:rsidRPr="00760D1B">
        <w:rPr>
          <w:rFonts w:ascii="Arial" w:hAnsi="Arial" w:cs="Arial"/>
        </w:rPr>
        <w:t>.</w:t>
      </w:r>
    </w:p>
    <w:p w14:paraId="2FAD2343" w14:textId="77777777" w:rsidR="004F73E3" w:rsidRPr="00760D1B" w:rsidRDefault="004F73E3" w:rsidP="002506B3">
      <w:pPr>
        <w:spacing w:after="0" w:line="276" w:lineRule="auto"/>
        <w:rPr>
          <w:rFonts w:ascii="Arial" w:hAnsi="Arial" w:cs="Arial"/>
        </w:rPr>
      </w:pPr>
    </w:p>
    <w:p w14:paraId="61B38658" w14:textId="7176CA9B" w:rsidR="00483B73" w:rsidRPr="00760D1B" w:rsidRDefault="00483B73" w:rsidP="002506B3">
      <w:pPr>
        <w:spacing w:after="0" w:line="276" w:lineRule="auto"/>
        <w:rPr>
          <w:rFonts w:ascii="Arial" w:hAnsi="Arial" w:cs="Arial"/>
        </w:rPr>
      </w:pPr>
      <w:r w:rsidRPr="00760D1B">
        <w:rPr>
          <w:rFonts w:ascii="Arial" w:hAnsi="Arial" w:cs="Arial"/>
        </w:rPr>
        <w:t>Type 2 diabetes mellitus has been a well-established factor in the progression of NAFLD to more severe forms, including a higher incidence of HCC</w:t>
      </w:r>
      <w:r w:rsidR="000B5B2F" w:rsidRPr="00760D1B">
        <w:rPr>
          <w:rFonts w:ascii="Arial" w:hAnsi="Arial" w:cs="Arial"/>
        </w:rPr>
        <w:t xml:space="preserve"> (1-3)</w:t>
      </w:r>
      <w:r w:rsidRPr="00760D1B">
        <w:rPr>
          <w:rFonts w:ascii="Arial" w:hAnsi="Arial" w:cs="Arial"/>
        </w:rPr>
        <w:t>.</w:t>
      </w:r>
      <w:r w:rsidR="00F12079" w:rsidRPr="00760D1B">
        <w:rPr>
          <w:rFonts w:ascii="Arial" w:hAnsi="Arial" w:cs="Arial"/>
        </w:rPr>
        <w:t xml:space="preserve"> </w:t>
      </w:r>
      <w:r w:rsidRPr="00760D1B">
        <w:rPr>
          <w:rFonts w:ascii="Arial" w:hAnsi="Arial" w:cs="Arial"/>
        </w:rPr>
        <w:t>However, in clinical practice NAFLD still remains an under-recognized complication of T2DM, unlike the other microvascular and macrovascular complications.</w:t>
      </w:r>
      <w:r w:rsidR="00F12079" w:rsidRPr="00760D1B">
        <w:rPr>
          <w:rFonts w:ascii="Arial" w:hAnsi="Arial" w:cs="Arial"/>
        </w:rPr>
        <w:t xml:space="preserve"> </w:t>
      </w:r>
    </w:p>
    <w:p w14:paraId="59791C48" w14:textId="77777777" w:rsidR="00A35D60" w:rsidRPr="00760D1B" w:rsidRDefault="00A35D60" w:rsidP="002506B3">
      <w:pPr>
        <w:spacing w:after="0" w:line="276" w:lineRule="auto"/>
        <w:rPr>
          <w:rFonts w:ascii="Arial" w:hAnsi="Arial" w:cs="Arial"/>
        </w:rPr>
      </w:pPr>
    </w:p>
    <w:p w14:paraId="52C1EFBC" w14:textId="3C7B16A6" w:rsidR="008369B6" w:rsidRPr="00760D1B" w:rsidRDefault="00A35D60" w:rsidP="002506B3">
      <w:pPr>
        <w:spacing w:after="0" w:line="276" w:lineRule="auto"/>
        <w:rPr>
          <w:rFonts w:ascii="Arial" w:hAnsi="Arial" w:cs="Arial"/>
        </w:rPr>
      </w:pPr>
      <w:r w:rsidRPr="00760D1B">
        <w:rPr>
          <w:rFonts w:ascii="Arial" w:hAnsi="Arial" w:cs="Arial"/>
        </w:rPr>
        <w:lastRenderedPageBreak/>
        <w:t>As discussed later, isolated steatosis and NASH may carry an increased risk of CVD</w:t>
      </w:r>
      <w:r w:rsidR="008C0073" w:rsidRPr="00760D1B">
        <w:rPr>
          <w:rFonts w:ascii="Arial" w:hAnsi="Arial" w:cs="Arial"/>
        </w:rPr>
        <w:t xml:space="preserve"> and being the most common cause of death in patients with NAFLD, independent of other metabolic comorbidities. </w:t>
      </w:r>
      <w:r w:rsidR="00483B73" w:rsidRPr="00760D1B">
        <w:rPr>
          <w:rFonts w:ascii="Arial" w:hAnsi="Arial" w:cs="Arial"/>
        </w:rPr>
        <w:t>It is important for endocrinologists and primary care physicians to recognize that NAFLD in T2DM has been shown to be associated with adverse metabolic changes resulting in increased atherosclerotic disease and cardiovascular consequences</w:t>
      </w:r>
      <w:r w:rsidR="000B5B2F" w:rsidRPr="00760D1B">
        <w:rPr>
          <w:rFonts w:ascii="Arial" w:hAnsi="Arial" w:cs="Arial"/>
        </w:rPr>
        <w:t xml:space="preserve"> (4,5)</w:t>
      </w:r>
      <w:r w:rsidR="00483B73" w:rsidRPr="00760D1B">
        <w:rPr>
          <w:rFonts w:ascii="Arial" w:hAnsi="Arial" w:cs="Arial"/>
        </w:rPr>
        <w:t>.</w:t>
      </w:r>
      <w:r w:rsidR="000B5B2F" w:rsidRPr="00760D1B">
        <w:rPr>
          <w:rFonts w:ascii="Arial" w:hAnsi="Arial" w:cs="Arial"/>
        </w:rPr>
        <w:t xml:space="preserve"> </w:t>
      </w:r>
    </w:p>
    <w:p w14:paraId="5AB82083" w14:textId="77777777" w:rsidR="00BB6880" w:rsidRPr="00760D1B" w:rsidRDefault="00BB6880" w:rsidP="002506B3">
      <w:pPr>
        <w:spacing w:after="0" w:line="276" w:lineRule="auto"/>
        <w:rPr>
          <w:rFonts w:ascii="Arial" w:hAnsi="Arial" w:cs="Arial"/>
          <w:b/>
          <w:bCs/>
        </w:rPr>
      </w:pPr>
    </w:p>
    <w:p w14:paraId="5FC06B2D" w14:textId="2D584AD8" w:rsidR="00E87575" w:rsidRPr="00760D1B" w:rsidRDefault="000A580B" w:rsidP="002506B3">
      <w:pPr>
        <w:spacing w:after="0" w:line="276" w:lineRule="auto"/>
        <w:rPr>
          <w:rFonts w:ascii="Arial" w:hAnsi="Arial" w:cs="Arial"/>
          <w:b/>
          <w:bCs/>
        </w:rPr>
      </w:pPr>
      <w:r w:rsidRPr="00760D1B">
        <w:rPr>
          <w:rFonts w:ascii="Arial" w:hAnsi="Arial" w:cs="Arial"/>
          <w:b/>
          <w:bCs/>
        </w:rPr>
        <w:t>NAFLD: K</w:t>
      </w:r>
      <w:r w:rsidR="000B5B2F" w:rsidRPr="00760D1B">
        <w:rPr>
          <w:rFonts w:ascii="Arial" w:hAnsi="Arial" w:cs="Arial"/>
          <w:b/>
          <w:bCs/>
        </w:rPr>
        <w:t>EY CONCEPTS</w:t>
      </w:r>
    </w:p>
    <w:p w14:paraId="2F3C0A93" w14:textId="77777777" w:rsidR="000B5B2F" w:rsidRPr="00760D1B" w:rsidRDefault="000B5B2F" w:rsidP="002506B3">
      <w:pPr>
        <w:spacing w:after="0" w:line="276" w:lineRule="auto"/>
        <w:rPr>
          <w:rFonts w:ascii="Arial" w:hAnsi="Arial" w:cs="Arial"/>
          <w:b/>
          <w:bCs/>
        </w:rPr>
      </w:pPr>
    </w:p>
    <w:p w14:paraId="7F504AC9" w14:textId="58A5B10B" w:rsidR="000B5B2F" w:rsidRPr="00760D1B" w:rsidRDefault="00E87575" w:rsidP="002506B3">
      <w:pPr>
        <w:spacing w:after="0" w:line="276" w:lineRule="auto"/>
        <w:rPr>
          <w:rFonts w:ascii="Arial" w:hAnsi="Arial" w:cs="Arial"/>
        </w:rPr>
      </w:pPr>
      <w:r w:rsidRPr="00760D1B">
        <w:rPr>
          <w:rFonts w:ascii="Arial" w:hAnsi="Arial" w:cs="Arial"/>
        </w:rPr>
        <w:t>The incidence of NAFLD is rising, paralleling that of obesity and diabetes mellitus. There has been extensive research in the area of NAFLD</w:t>
      </w:r>
      <w:r w:rsidR="00BB6880" w:rsidRPr="00760D1B">
        <w:rPr>
          <w:rFonts w:ascii="Arial" w:hAnsi="Arial" w:cs="Arial"/>
        </w:rPr>
        <w:t>, especially</w:t>
      </w:r>
      <w:r w:rsidRPr="00760D1B">
        <w:rPr>
          <w:rFonts w:ascii="Arial" w:hAnsi="Arial" w:cs="Arial"/>
        </w:rPr>
        <w:t xml:space="preserve"> </w:t>
      </w:r>
      <w:r w:rsidR="0091245C" w:rsidRPr="00760D1B">
        <w:rPr>
          <w:rFonts w:ascii="Arial" w:hAnsi="Arial" w:cs="Arial"/>
        </w:rPr>
        <w:t>over</w:t>
      </w:r>
      <w:r w:rsidRPr="00760D1B">
        <w:rPr>
          <w:rFonts w:ascii="Arial" w:hAnsi="Arial" w:cs="Arial"/>
        </w:rPr>
        <w:t xml:space="preserve"> the past two decades. However, given the lack of highly reliable noninvasive diagnostic methods, the burden of NAFLD probably remains </w:t>
      </w:r>
      <w:r w:rsidR="00BB6880" w:rsidRPr="00760D1B">
        <w:rPr>
          <w:rFonts w:ascii="Arial" w:hAnsi="Arial" w:cs="Arial"/>
        </w:rPr>
        <w:t>overlooked</w:t>
      </w:r>
      <w:r w:rsidRPr="00760D1B">
        <w:rPr>
          <w:rFonts w:ascii="Arial" w:hAnsi="Arial" w:cs="Arial"/>
        </w:rPr>
        <w:t xml:space="preserve">. </w:t>
      </w:r>
      <w:r w:rsidR="00483B73" w:rsidRPr="00760D1B">
        <w:rPr>
          <w:rFonts w:ascii="Arial" w:hAnsi="Arial" w:cs="Arial"/>
        </w:rPr>
        <w:t>By liver ultrasound, studies</w:t>
      </w:r>
      <w:r w:rsidRPr="00760D1B">
        <w:rPr>
          <w:rFonts w:ascii="Arial" w:hAnsi="Arial" w:cs="Arial"/>
        </w:rPr>
        <w:t xml:space="preserve"> have demonstrated the prevalence of NAFLD to be 24% in U</w:t>
      </w:r>
      <w:r w:rsidR="00BB6880" w:rsidRPr="00760D1B">
        <w:rPr>
          <w:rFonts w:ascii="Arial" w:hAnsi="Arial" w:cs="Arial"/>
        </w:rPr>
        <w:t>nited States</w:t>
      </w:r>
      <w:r w:rsidRPr="00760D1B">
        <w:rPr>
          <w:rFonts w:ascii="Arial" w:hAnsi="Arial" w:cs="Arial"/>
        </w:rPr>
        <w:t>, whereas</w:t>
      </w:r>
      <w:r w:rsidR="00BB6880" w:rsidRPr="00760D1B">
        <w:rPr>
          <w:rFonts w:ascii="Arial" w:hAnsi="Arial" w:cs="Arial"/>
        </w:rPr>
        <w:t xml:space="preserve"> using blood testing alone</w:t>
      </w:r>
      <w:r w:rsidRPr="00760D1B">
        <w:rPr>
          <w:rFonts w:ascii="Arial" w:hAnsi="Arial" w:cs="Arial"/>
        </w:rPr>
        <w:t xml:space="preserve"> this is underestimated at </w:t>
      </w:r>
      <w:r w:rsidR="0091245C" w:rsidRPr="00760D1B">
        <w:rPr>
          <w:rFonts w:ascii="Arial" w:hAnsi="Arial" w:cs="Arial"/>
        </w:rPr>
        <w:t xml:space="preserve">just </w:t>
      </w:r>
      <w:r w:rsidRPr="00760D1B">
        <w:rPr>
          <w:rFonts w:ascii="Arial" w:hAnsi="Arial" w:cs="Arial"/>
        </w:rPr>
        <w:t>13%</w:t>
      </w:r>
      <w:r w:rsidR="000B5B2F" w:rsidRPr="00760D1B">
        <w:rPr>
          <w:rFonts w:ascii="Arial" w:hAnsi="Arial" w:cs="Arial"/>
        </w:rPr>
        <w:t xml:space="preserve"> (6)</w:t>
      </w:r>
      <w:r w:rsidRPr="00760D1B">
        <w:rPr>
          <w:rFonts w:ascii="Arial" w:hAnsi="Arial" w:cs="Arial"/>
        </w:rPr>
        <w:t xml:space="preserve">. By </w:t>
      </w:r>
      <w:r w:rsidR="00BB6880" w:rsidRPr="00760D1B">
        <w:rPr>
          <w:rFonts w:ascii="Arial" w:hAnsi="Arial" w:cs="Arial"/>
        </w:rPr>
        <w:t xml:space="preserve">the gold-standard </w:t>
      </w:r>
      <w:r w:rsidRPr="00760D1B">
        <w:rPr>
          <w:rFonts w:ascii="Arial" w:hAnsi="Arial" w:cs="Arial"/>
        </w:rPr>
        <w:t>magnetic resonance imaging and spectroscopy</w:t>
      </w:r>
      <w:r w:rsidR="00BB6880" w:rsidRPr="00760D1B">
        <w:rPr>
          <w:rFonts w:ascii="Arial" w:hAnsi="Arial" w:cs="Arial"/>
        </w:rPr>
        <w:t xml:space="preserve"> (</w:t>
      </w:r>
      <w:r w:rsidR="00BB6880" w:rsidRPr="00760D1B">
        <w:rPr>
          <w:rFonts w:ascii="Arial" w:hAnsi="Arial" w:cs="Arial"/>
          <w:vertAlign w:val="superscript"/>
        </w:rPr>
        <w:t>1</w:t>
      </w:r>
      <w:r w:rsidR="00BB6880" w:rsidRPr="00760D1B">
        <w:rPr>
          <w:rFonts w:ascii="Arial" w:hAnsi="Arial" w:cs="Arial"/>
        </w:rPr>
        <w:t>H-MRS)</w:t>
      </w:r>
      <w:r w:rsidRPr="00760D1B">
        <w:rPr>
          <w:rFonts w:ascii="Arial" w:hAnsi="Arial" w:cs="Arial"/>
        </w:rPr>
        <w:t xml:space="preserve">, the prevalence of NAFLD in the general population is </w:t>
      </w:r>
      <w:r w:rsidR="009B4223" w:rsidRPr="00760D1B">
        <w:rPr>
          <w:rFonts w:ascii="Arial" w:hAnsi="Arial" w:cs="Arial"/>
        </w:rPr>
        <w:t xml:space="preserve">estimated to be </w:t>
      </w:r>
      <w:r w:rsidRPr="00760D1B">
        <w:rPr>
          <w:rFonts w:ascii="Arial" w:hAnsi="Arial" w:cs="Arial"/>
        </w:rPr>
        <w:t>34%</w:t>
      </w:r>
      <w:r w:rsidR="000B5B2F" w:rsidRPr="00760D1B">
        <w:rPr>
          <w:rFonts w:ascii="Arial" w:hAnsi="Arial" w:cs="Arial"/>
        </w:rPr>
        <w:t xml:space="preserve"> (7)</w:t>
      </w:r>
      <w:r w:rsidRPr="00760D1B">
        <w:rPr>
          <w:rFonts w:ascii="Arial" w:hAnsi="Arial" w:cs="Arial"/>
        </w:rPr>
        <w:t>.</w:t>
      </w:r>
      <w:r w:rsidR="004F13FC" w:rsidRPr="00760D1B">
        <w:rPr>
          <w:rFonts w:ascii="Arial" w:hAnsi="Arial" w:cs="Arial"/>
        </w:rPr>
        <w:t xml:space="preserve"> </w:t>
      </w:r>
    </w:p>
    <w:p w14:paraId="2412AE3B" w14:textId="4B14FD90" w:rsidR="004460DB" w:rsidRPr="00760D1B" w:rsidRDefault="000B5B2F" w:rsidP="002506B3">
      <w:pPr>
        <w:spacing w:after="0" w:line="276" w:lineRule="auto"/>
        <w:rPr>
          <w:rFonts w:ascii="Arial" w:hAnsi="Arial" w:cs="Arial"/>
        </w:rPr>
      </w:pPr>
      <w:r w:rsidRPr="00760D1B">
        <w:rPr>
          <w:rFonts w:ascii="Arial" w:hAnsi="Arial" w:cs="Arial"/>
        </w:rPr>
        <w:t xml:space="preserve"> </w:t>
      </w:r>
    </w:p>
    <w:p w14:paraId="15826698" w14:textId="1628E1B7" w:rsidR="004460DB" w:rsidRPr="00760D1B" w:rsidRDefault="00E87575" w:rsidP="002506B3">
      <w:pPr>
        <w:spacing w:after="0" w:line="276" w:lineRule="auto"/>
        <w:rPr>
          <w:rFonts w:ascii="Arial" w:hAnsi="Arial" w:cs="Arial"/>
          <w:b/>
          <w:bCs/>
          <w:color w:val="FF0000"/>
        </w:rPr>
      </w:pPr>
      <w:r w:rsidRPr="00760D1B">
        <w:rPr>
          <w:rFonts w:ascii="Arial" w:hAnsi="Arial" w:cs="Arial"/>
        </w:rPr>
        <w:t xml:space="preserve">Unfortunately, imaging techniques cannot adequately evaluate for hepatocellular necrosis </w:t>
      </w:r>
      <w:r w:rsidR="00DA3EDA" w:rsidRPr="00760D1B">
        <w:rPr>
          <w:rFonts w:ascii="Arial" w:hAnsi="Arial" w:cs="Arial"/>
        </w:rPr>
        <w:t>or</w:t>
      </w:r>
      <w:r w:rsidR="009B4223" w:rsidRPr="00760D1B">
        <w:rPr>
          <w:rFonts w:ascii="Arial" w:hAnsi="Arial" w:cs="Arial"/>
        </w:rPr>
        <w:t xml:space="preserve"> inflammation </w:t>
      </w:r>
      <w:r w:rsidRPr="00760D1B">
        <w:rPr>
          <w:rFonts w:ascii="Arial" w:hAnsi="Arial" w:cs="Arial"/>
        </w:rPr>
        <w:t xml:space="preserve">(i.e. NASH). Studies that </w:t>
      </w:r>
      <w:r w:rsidR="009B4223" w:rsidRPr="00760D1B">
        <w:rPr>
          <w:rFonts w:ascii="Arial" w:hAnsi="Arial" w:cs="Arial"/>
        </w:rPr>
        <w:t xml:space="preserve">have utilized a liver biopsy to confirm the diagnosis of </w:t>
      </w:r>
      <w:r w:rsidRPr="00760D1B">
        <w:rPr>
          <w:rFonts w:ascii="Arial" w:hAnsi="Arial" w:cs="Arial"/>
        </w:rPr>
        <w:t xml:space="preserve">NAFLD have shown </w:t>
      </w:r>
      <w:r w:rsidR="009B4223" w:rsidRPr="00760D1B">
        <w:rPr>
          <w:rFonts w:ascii="Arial" w:hAnsi="Arial" w:cs="Arial"/>
        </w:rPr>
        <w:t xml:space="preserve">that </w:t>
      </w:r>
      <w:r w:rsidRPr="00760D1B">
        <w:rPr>
          <w:rFonts w:ascii="Arial" w:hAnsi="Arial" w:cs="Arial"/>
        </w:rPr>
        <w:t>59% of patients</w:t>
      </w:r>
      <w:r w:rsidR="009B4223" w:rsidRPr="00760D1B">
        <w:rPr>
          <w:rFonts w:ascii="Arial" w:hAnsi="Arial" w:cs="Arial"/>
        </w:rPr>
        <w:t xml:space="preserve"> with NAFLD</w:t>
      </w:r>
      <w:r w:rsidRPr="00760D1B">
        <w:rPr>
          <w:rFonts w:ascii="Arial" w:hAnsi="Arial" w:cs="Arial"/>
        </w:rPr>
        <w:t xml:space="preserve"> have NASH, </w:t>
      </w:r>
      <w:r w:rsidR="009B4223" w:rsidRPr="00760D1B">
        <w:rPr>
          <w:rFonts w:ascii="Arial" w:hAnsi="Arial" w:cs="Arial"/>
        </w:rPr>
        <w:t xml:space="preserve">this </w:t>
      </w:r>
      <w:r w:rsidRPr="00760D1B">
        <w:rPr>
          <w:rFonts w:ascii="Arial" w:hAnsi="Arial" w:cs="Arial"/>
        </w:rPr>
        <w:t>being much higher in obese individuals</w:t>
      </w:r>
      <w:r w:rsidR="000B5B2F" w:rsidRPr="00760D1B">
        <w:rPr>
          <w:rFonts w:ascii="Arial" w:hAnsi="Arial" w:cs="Arial"/>
        </w:rPr>
        <w:t xml:space="preserve"> (6)</w:t>
      </w:r>
      <w:r w:rsidRPr="00760D1B">
        <w:rPr>
          <w:rFonts w:ascii="Arial" w:hAnsi="Arial" w:cs="Arial"/>
        </w:rPr>
        <w:t>.</w:t>
      </w:r>
      <w:r w:rsidR="00DA3EDA" w:rsidRPr="00760D1B">
        <w:rPr>
          <w:rFonts w:ascii="Arial" w:hAnsi="Arial" w:cs="Arial"/>
        </w:rPr>
        <w:t xml:space="preserve">  Moreover, </w:t>
      </w:r>
      <w:r w:rsidR="00C53091" w:rsidRPr="00760D1B">
        <w:rPr>
          <w:rFonts w:ascii="Arial" w:hAnsi="Arial" w:cs="Arial"/>
        </w:rPr>
        <w:t>recent</w:t>
      </w:r>
      <w:r w:rsidR="0091245C" w:rsidRPr="00760D1B">
        <w:rPr>
          <w:rFonts w:ascii="Arial" w:hAnsi="Arial" w:cs="Arial"/>
        </w:rPr>
        <w:t xml:space="preserve"> </w:t>
      </w:r>
      <w:r w:rsidR="00DA3EDA" w:rsidRPr="00760D1B">
        <w:rPr>
          <w:rFonts w:ascii="Arial" w:hAnsi="Arial" w:cs="Arial"/>
        </w:rPr>
        <w:t xml:space="preserve">studies have reported that about 18% of unselected patients with T2DM have </w:t>
      </w:r>
      <w:r w:rsidR="00553A8E" w:rsidRPr="00760D1B">
        <w:rPr>
          <w:rFonts w:ascii="Arial" w:hAnsi="Arial" w:cs="Arial"/>
        </w:rPr>
        <w:t>moderate-to-severe (</w:t>
      </w:r>
      <w:r w:rsidR="00CE5DDB" w:rsidRPr="00760D1B">
        <w:rPr>
          <w:rFonts w:ascii="Arial" w:hAnsi="Arial" w:cs="Arial"/>
        </w:rPr>
        <w:t>F2-F4</w:t>
      </w:r>
      <w:r w:rsidR="00553A8E" w:rsidRPr="00760D1B">
        <w:rPr>
          <w:rFonts w:ascii="Arial" w:hAnsi="Arial" w:cs="Arial"/>
        </w:rPr>
        <w:t>)</w:t>
      </w:r>
      <w:r w:rsidR="00CE5DDB" w:rsidRPr="00760D1B">
        <w:rPr>
          <w:rFonts w:ascii="Arial" w:hAnsi="Arial" w:cs="Arial"/>
        </w:rPr>
        <w:t xml:space="preserve"> </w:t>
      </w:r>
      <w:r w:rsidR="00DA3EDA" w:rsidRPr="00760D1B">
        <w:rPr>
          <w:rFonts w:ascii="Arial" w:hAnsi="Arial" w:cs="Arial"/>
        </w:rPr>
        <w:t>fibrosis</w:t>
      </w:r>
      <w:r w:rsidR="000B5B2F" w:rsidRPr="00760D1B">
        <w:rPr>
          <w:rFonts w:ascii="Arial" w:hAnsi="Arial" w:cs="Arial"/>
        </w:rPr>
        <w:t xml:space="preserve"> (6,</w:t>
      </w:r>
      <w:r w:rsidR="00D74AFF" w:rsidRPr="00760D1B">
        <w:rPr>
          <w:rFonts w:ascii="Arial" w:hAnsi="Arial" w:cs="Arial"/>
        </w:rPr>
        <w:t>8</w:t>
      </w:r>
      <w:r w:rsidR="000B5B2F" w:rsidRPr="00760D1B">
        <w:rPr>
          <w:rFonts w:ascii="Arial" w:hAnsi="Arial" w:cs="Arial"/>
        </w:rPr>
        <w:t>)</w:t>
      </w:r>
      <w:r w:rsidR="00912254" w:rsidRPr="00760D1B">
        <w:rPr>
          <w:rFonts w:ascii="Arial" w:hAnsi="Arial" w:cs="Arial"/>
        </w:rPr>
        <w:t>.</w:t>
      </w:r>
    </w:p>
    <w:p w14:paraId="4EDD42C7" w14:textId="77777777" w:rsidR="000B5B2F" w:rsidRPr="00760D1B" w:rsidRDefault="000B5B2F" w:rsidP="002506B3">
      <w:pPr>
        <w:spacing w:after="0" w:line="276" w:lineRule="auto"/>
        <w:rPr>
          <w:rFonts w:ascii="Arial" w:hAnsi="Arial" w:cs="Arial"/>
        </w:rPr>
      </w:pPr>
    </w:p>
    <w:p w14:paraId="6CCD263F" w14:textId="6ED308F7" w:rsidR="00912254" w:rsidRPr="00760D1B" w:rsidRDefault="00912254" w:rsidP="002506B3">
      <w:pPr>
        <w:spacing w:after="0" w:line="276" w:lineRule="auto"/>
        <w:rPr>
          <w:rFonts w:ascii="Arial" w:hAnsi="Arial" w:cs="Arial"/>
        </w:rPr>
      </w:pPr>
      <w:r w:rsidRPr="00760D1B">
        <w:rPr>
          <w:rFonts w:ascii="Arial" w:hAnsi="Arial" w:cs="Arial"/>
        </w:rPr>
        <w:t xml:space="preserve">NAFLD </w:t>
      </w:r>
      <w:r w:rsidR="00336F09" w:rsidRPr="00760D1B">
        <w:rPr>
          <w:rFonts w:ascii="Arial" w:hAnsi="Arial" w:cs="Arial"/>
        </w:rPr>
        <w:t>often progresses to steatohepatitis (NASH</w:t>
      </w:r>
      <w:r w:rsidR="00A36AEA" w:rsidRPr="00760D1B">
        <w:rPr>
          <w:rFonts w:ascii="Arial" w:hAnsi="Arial" w:cs="Arial"/>
        </w:rPr>
        <w:t>)</w:t>
      </w:r>
      <w:r w:rsidR="00336F09" w:rsidRPr="00760D1B">
        <w:rPr>
          <w:rFonts w:ascii="Arial" w:hAnsi="Arial" w:cs="Arial"/>
        </w:rPr>
        <w:t>,</w:t>
      </w:r>
      <w:r w:rsidRPr="00760D1B">
        <w:rPr>
          <w:rFonts w:ascii="Arial" w:hAnsi="Arial" w:cs="Arial"/>
        </w:rPr>
        <w:t xml:space="preserve"> especially in patients with T2DM. NASH is hallmarked by hepatocellular necrosis, lobular inflammation and often fibrosis. Many studies have now documented that patients with NASH and fibrosis have the worst mortality</w:t>
      </w:r>
      <w:r w:rsidR="000B5B2F" w:rsidRPr="00760D1B">
        <w:rPr>
          <w:rFonts w:ascii="Arial" w:hAnsi="Arial" w:cs="Arial"/>
        </w:rPr>
        <w:t xml:space="preserve"> (</w:t>
      </w:r>
      <w:r w:rsidR="00D74AFF" w:rsidRPr="00760D1B">
        <w:rPr>
          <w:rFonts w:ascii="Arial" w:hAnsi="Arial" w:cs="Arial"/>
        </w:rPr>
        <w:t>9</w:t>
      </w:r>
      <w:r w:rsidR="000B5B2F" w:rsidRPr="00760D1B">
        <w:rPr>
          <w:rFonts w:ascii="Arial" w:hAnsi="Arial" w:cs="Arial"/>
        </w:rPr>
        <w:t>)</w:t>
      </w:r>
      <w:r w:rsidRPr="00760D1B">
        <w:rPr>
          <w:rFonts w:ascii="Arial" w:hAnsi="Arial" w:cs="Arial"/>
        </w:rPr>
        <w:t>. As fibrosis progresses, cirrhosis develops. This rate of progression to cirrhosis is highly variable and dependent on age, BMI, blood pressure control, presence of T2DM</w:t>
      </w:r>
      <w:r w:rsidR="00A36AEA" w:rsidRPr="00760D1B">
        <w:rPr>
          <w:rFonts w:ascii="Arial" w:hAnsi="Arial" w:cs="Arial"/>
        </w:rPr>
        <w:t>,</w:t>
      </w:r>
      <w:r w:rsidRPr="00760D1B">
        <w:rPr>
          <w:rFonts w:ascii="Arial" w:hAnsi="Arial" w:cs="Arial"/>
        </w:rPr>
        <w:t xml:space="preserve"> and degree of steatohepatitis</w:t>
      </w:r>
      <w:r w:rsidR="009D1D3A" w:rsidRPr="00760D1B">
        <w:rPr>
          <w:rFonts w:ascii="Arial" w:hAnsi="Arial" w:cs="Arial"/>
        </w:rPr>
        <w:t xml:space="preserve"> (</w:t>
      </w:r>
      <w:r w:rsidR="00D74AFF" w:rsidRPr="00760D1B">
        <w:rPr>
          <w:rFonts w:ascii="Arial" w:hAnsi="Arial" w:cs="Arial"/>
        </w:rPr>
        <w:t>10</w:t>
      </w:r>
      <w:r w:rsidR="009D1D3A" w:rsidRPr="00760D1B">
        <w:rPr>
          <w:rFonts w:ascii="Arial" w:hAnsi="Arial" w:cs="Arial"/>
        </w:rPr>
        <w:t>)</w:t>
      </w:r>
      <w:r w:rsidRPr="00760D1B">
        <w:rPr>
          <w:rFonts w:ascii="Arial" w:hAnsi="Arial" w:cs="Arial"/>
        </w:rPr>
        <w:t>. The three most relevant risk factors are obesity (excessive BMI or visceral obesity), T2DM</w:t>
      </w:r>
      <w:r w:rsidR="00BD7C3A" w:rsidRPr="00760D1B">
        <w:rPr>
          <w:rFonts w:ascii="Arial" w:hAnsi="Arial" w:cs="Arial"/>
        </w:rPr>
        <w:t>,</w:t>
      </w:r>
      <w:r w:rsidRPr="00760D1B">
        <w:rPr>
          <w:rFonts w:ascii="Arial" w:hAnsi="Arial" w:cs="Arial"/>
        </w:rPr>
        <w:t xml:space="preserve"> and presence of moderate to severe fibrosis</w:t>
      </w:r>
      <w:r w:rsidR="009D1D3A" w:rsidRPr="00760D1B">
        <w:rPr>
          <w:rFonts w:ascii="Arial" w:hAnsi="Arial" w:cs="Arial"/>
        </w:rPr>
        <w:t xml:space="preserve"> (</w:t>
      </w:r>
      <w:r w:rsidR="00D74AFF" w:rsidRPr="00760D1B">
        <w:rPr>
          <w:rFonts w:ascii="Arial" w:hAnsi="Arial" w:cs="Arial"/>
        </w:rPr>
        <w:t>11</w:t>
      </w:r>
      <w:r w:rsidR="009D1D3A" w:rsidRPr="00760D1B">
        <w:rPr>
          <w:rFonts w:ascii="Arial" w:hAnsi="Arial" w:cs="Arial"/>
        </w:rPr>
        <w:t>)</w:t>
      </w:r>
      <w:r w:rsidRPr="00760D1B">
        <w:rPr>
          <w:rFonts w:ascii="Arial" w:hAnsi="Arial" w:cs="Arial"/>
        </w:rPr>
        <w:t>.</w:t>
      </w:r>
      <w:r w:rsidR="00563A2C" w:rsidRPr="00760D1B">
        <w:rPr>
          <w:rFonts w:ascii="Arial" w:hAnsi="Arial" w:cs="Arial"/>
        </w:rPr>
        <w:t xml:space="preserve"> However, given the high heterogeneity in disease progression one must admit that the precise factors leading to cirrhosis remain unclear.</w:t>
      </w:r>
    </w:p>
    <w:p w14:paraId="7B3613CC" w14:textId="77777777" w:rsidR="009D1D3A" w:rsidRPr="00760D1B" w:rsidRDefault="009D1D3A" w:rsidP="002506B3">
      <w:pPr>
        <w:spacing w:after="0" w:line="276" w:lineRule="auto"/>
        <w:rPr>
          <w:rFonts w:ascii="Arial" w:hAnsi="Arial" w:cs="Arial"/>
          <w:b/>
          <w:bCs/>
        </w:rPr>
      </w:pPr>
    </w:p>
    <w:p w14:paraId="295802B0" w14:textId="24A6B56C" w:rsidR="00912254" w:rsidRPr="00760D1B" w:rsidRDefault="00E87575" w:rsidP="002506B3">
      <w:pPr>
        <w:spacing w:after="0" w:line="276" w:lineRule="auto"/>
        <w:rPr>
          <w:rFonts w:ascii="Arial" w:hAnsi="Arial" w:cs="Arial"/>
          <w:b/>
          <w:bCs/>
        </w:rPr>
      </w:pPr>
      <w:r w:rsidRPr="00760D1B">
        <w:rPr>
          <w:rFonts w:ascii="Arial" w:hAnsi="Arial" w:cs="Arial"/>
        </w:rPr>
        <w:t xml:space="preserve">NASH is currently the second </w:t>
      </w:r>
      <w:r w:rsidR="00BF4580" w:rsidRPr="00760D1B">
        <w:rPr>
          <w:rFonts w:ascii="Arial" w:hAnsi="Arial" w:cs="Arial"/>
        </w:rPr>
        <w:t xml:space="preserve">most common </w:t>
      </w:r>
      <w:r w:rsidRPr="00760D1B">
        <w:rPr>
          <w:rFonts w:ascii="Arial" w:hAnsi="Arial" w:cs="Arial"/>
        </w:rPr>
        <w:t>indication for liver transplantation, after hepatitis C. It is predicted to be the leading indication for liver transplantation in the next decade given the rise in incidence</w:t>
      </w:r>
      <w:r w:rsidR="009D1D3A" w:rsidRPr="00760D1B">
        <w:rPr>
          <w:rFonts w:ascii="Arial" w:hAnsi="Arial" w:cs="Arial"/>
        </w:rPr>
        <w:t xml:space="preserve"> (8)</w:t>
      </w:r>
      <w:r w:rsidRPr="00760D1B">
        <w:rPr>
          <w:rFonts w:ascii="Arial" w:hAnsi="Arial" w:cs="Arial"/>
        </w:rPr>
        <w:t>. The annual inciden</w:t>
      </w:r>
      <w:r w:rsidR="00F12079" w:rsidRPr="00760D1B">
        <w:rPr>
          <w:rFonts w:ascii="Arial" w:hAnsi="Arial" w:cs="Arial"/>
        </w:rPr>
        <w:t>ce of HCC</w:t>
      </w:r>
      <w:r w:rsidRPr="00760D1B">
        <w:rPr>
          <w:rFonts w:ascii="Arial" w:hAnsi="Arial" w:cs="Arial"/>
        </w:rPr>
        <w:t xml:space="preserve"> in NAFLD – related cirrhosis is about 1%</w:t>
      </w:r>
      <w:r w:rsidR="009D1D3A" w:rsidRPr="00760D1B">
        <w:rPr>
          <w:rFonts w:ascii="Arial" w:hAnsi="Arial" w:cs="Arial"/>
        </w:rPr>
        <w:t xml:space="preserve"> (1,8,</w:t>
      </w:r>
      <w:r w:rsidR="00BF4580" w:rsidRPr="00760D1B">
        <w:rPr>
          <w:rFonts w:ascii="Arial" w:hAnsi="Arial" w:cs="Arial"/>
        </w:rPr>
        <w:t>12</w:t>
      </w:r>
      <w:r w:rsidR="009D1D3A" w:rsidRPr="00760D1B">
        <w:rPr>
          <w:rFonts w:ascii="Arial" w:hAnsi="Arial" w:cs="Arial"/>
        </w:rPr>
        <w:t>,</w:t>
      </w:r>
      <w:r w:rsidR="00BF4580" w:rsidRPr="00760D1B">
        <w:rPr>
          <w:rFonts w:ascii="Arial" w:hAnsi="Arial" w:cs="Arial"/>
        </w:rPr>
        <w:t>13</w:t>
      </w:r>
      <w:r w:rsidR="009D1D3A" w:rsidRPr="00760D1B">
        <w:rPr>
          <w:rFonts w:ascii="Arial" w:hAnsi="Arial" w:cs="Arial"/>
        </w:rPr>
        <w:t>)</w:t>
      </w:r>
      <w:r w:rsidRPr="00760D1B">
        <w:rPr>
          <w:rFonts w:ascii="Arial" w:hAnsi="Arial" w:cs="Arial"/>
        </w:rPr>
        <w:t>.</w:t>
      </w:r>
      <w:r w:rsidR="007505B9" w:rsidRPr="00760D1B">
        <w:rPr>
          <w:rFonts w:ascii="Arial" w:hAnsi="Arial" w:cs="Arial"/>
        </w:rPr>
        <w:t xml:space="preserve"> </w:t>
      </w:r>
      <w:r w:rsidR="00912254" w:rsidRPr="00760D1B">
        <w:rPr>
          <w:rFonts w:ascii="Arial" w:hAnsi="Arial" w:cs="Arial"/>
        </w:rPr>
        <w:t>Nonalcoholic steatohepatitis related cirrhosis is currently the third leading cause for HCC, after HCV and alcohol-related liver disease. Importantly, those with NASH- related HCC that undergo liver transplantation are more likely to have a higher BMI and higher rate of T2DM</w:t>
      </w:r>
      <w:r w:rsidR="009D1D3A" w:rsidRPr="00760D1B">
        <w:rPr>
          <w:rFonts w:ascii="Arial" w:hAnsi="Arial" w:cs="Arial"/>
        </w:rPr>
        <w:t xml:space="preserve"> (</w:t>
      </w:r>
      <w:r w:rsidR="00BF4580" w:rsidRPr="00760D1B">
        <w:rPr>
          <w:rFonts w:ascii="Arial" w:hAnsi="Arial" w:cs="Arial"/>
        </w:rPr>
        <w:t>13</w:t>
      </w:r>
      <w:r w:rsidR="009D1D3A" w:rsidRPr="00760D1B">
        <w:rPr>
          <w:rFonts w:ascii="Arial" w:hAnsi="Arial" w:cs="Arial"/>
        </w:rPr>
        <w:t>)</w:t>
      </w:r>
      <w:r w:rsidR="00912254" w:rsidRPr="00760D1B">
        <w:rPr>
          <w:rFonts w:ascii="Arial" w:hAnsi="Arial" w:cs="Arial"/>
        </w:rPr>
        <w:t>. In one study, it has also been demonstrated that HCC can develop in NASH in the absence of cirrhosis</w:t>
      </w:r>
      <w:r w:rsidR="009D1D3A" w:rsidRPr="00760D1B">
        <w:rPr>
          <w:rFonts w:ascii="Arial" w:hAnsi="Arial" w:cs="Arial"/>
        </w:rPr>
        <w:t xml:space="preserve"> (</w:t>
      </w:r>
      <w:r w:rsidR="00BF4580" w:rsidRPr="00760D1B">
        <w:rPr>
          <w:rFonts w:ascii="Arial" w:hAnsi="Arial" w:cs="Arial"/>
        </w:rPr>
        <w:t>14</w:t>
      </w:r>
      <w:r w:rsidR="009D1D3A" w:rsidRPr="00760D1B">
        <w:rPr>
          <w:rFonts w:ascii="Arial" w:hAnsi="Arial" w:cs="Arial"/>
        </w:rPr>
        <w:t>)</w:t>
      </w:r>
      <w:r w:rsidR="00912254" w:rsidRPr="00760D1B">
        <w:rPr>
          <w:rFonts w:ascii="Arial" w:hAnsi="Arial" w:cs="Arial"/>
        </w:rPr>
        <w:t>.</w:t>
      </w:r>
      <w:r w:rsidR="009D1D3A" w:rsidRPr="00760D1B">
        <w:rPr>
          <w:rFonts w:ascii="Arial" w:hAnsi="Arial" w:cs="Arial"/>
          <w:b/>
          <w:bCs/>
        </w:rPr>
        <w:t xml:space="preserve"> </w:t>
      </w:r>
    </w:p>
    <w:p w14:paraId="42CD5766" w14:textId="7857C2A8" w:rsidR="00991AE5" w:rsidRPr="00760D1B" w:rsidRDefault="00991AE5" w:rsidP="002506B3">
      <w:pPr>
        <w:spacing w:after="0" w:line="276" w:lineRule="auto"/>
        <w:rPr>
          <w:rFonts w:ascii="Arial" w:hAnsi="Arial" w:cs="Arial"/>
        </w:rPr>
      </w:pPr>
    </w:p>
    <w:p w14:paraId="3C088087" w14:textId="77777777" w:rsidR="009D1D3A" w:rsidRPr="00760D1B" w:rsidRDefault="00483B73" w:rsidP="002506B3">
      <w:pPr>
        <w:spacing w:after="0" w:line="276" w:lineRule="auto"/>
        <w:rPr>
          <w:rFonts w:ascii="Arial" w:hAnsi="Arial" w:cs="Arial"/>
          <w:b/>
        </w:rPr>
      </w:pPr>
      <w:r w:rsidRPr="00760D1B">
        <w:rPr>
          <w:rFonts w:ascii="Arial" w:hAnsi="Arial" w:cs="Arial"/>
          <w:b/>
        </w:rPr>
        <w:t>NAFLD</w:t>
      </w:r>
      <w:r w:rsidR="00B95B51" w:rsidRPr="00760D1B">
        <w:rPr>
          <w:rFonts w:ascii="Arial" w:hAnsi="Arial" w:cs="Arial"/>
          <w:b/>
        </w:rPr>
        <w:t xml:space="preserve"> and </w:t>
      </w:r>
      <w:r w:rsidR="009D1D3A" w:rsidRPr="00760D1B">
        <w:rPr>
          <w:rFonts w:ascii="Arial" w:hAnsi="Arial" w:cs="Arial"/>
          <w:b/>
        </w:rPr>
        <w:t>C</w:t>
      </w:r>
      <w:r w:rsidR="00B95B51" w:rsidRPr="00760D1B">
        <w:rPr>
          <w:rFonts w:ascii="Arial" w:hAnsi="Arial" w:cs="Arial"/>
          <w:b/>
        </w:rPr>
        <w:t xml:space="preserve">ardiovascular </w:t>
      </w:r>
      <w:r w:rsidR="009D1D3A" w:rsidRPr="00760D1B">
        <w:rPr>
          <w:rFonts w:ascii="Arial" w:hAnsi="Arial" w:cs="Arial"/>
          <w:b/>
        </w:rPr>
        <w:t>D</w:t>
      </w:r>
      <w:r w:rsidR="00B95B51" w:rsidRPr="00760D1B">
        <w:rPr>
          <w:rFonts w:ascii="Arial" w:hAnsi="Arial" w:cs="Arial"/>
          <w:b/>
        </w:rPr>
        <w:t>isease</w:t>
      </w:r>
    </w:p>
    <w:p w14:paraId="16F1887C" w14:textId="4E29FE2A" w:rsidR="00483B73" w:rsidRPr="00760D1B" w:rsidRDefault="00B95B51" w:rsidP="002506B3">
      <w:pPr>
        <w:spacing w:after="0" w:line="276" w:lineRule="auto"/>
        <w:rPr>
          <w:rFonts w:ascii="Arial" w:hAnsi="Arial" w:cs="Arial"/>
          <w:b/>
        </w:rPr>
      </w:pPr>
      <w:r w:rsidRPr="00760D1B">
        <w:rPr>
          <w:rFonts w:ascii="Arial" w:hAnsi="Arial" w:cs="Arial"/>
          <w:b/>
        </w:rPr>
        <w:t xml:space="preserve"> </w:t>
      </w:r>
    </w:p>
    <w:p w14:paraId="442CF17A" w14:textId="2E681668" w:rsidR="009D1D3A" w:rsidRPr="00760D1B" w:rsidRDefault="000C6DF9" w:rsidP="002506B3">
      <w:pPr>
        <w:spacing w:after="0" w:line="276" w:lineRule="auto"/>
        <w:rPr>
          <w:rFonts w:ascii="Arial" w:hAnsi="Arial" w:cs="Arial"/>
        </w:rPr>
      </w:pPr>
      <w:r w:rsidRPr="00760D1B">
        <w:rPr>
          <w:rFonts w:ascii="Arial" w:hAnsi="Arial" w:cs="Arial"/>
        </w:rPr>
        <w:t>Many factors lead to cardiovascular disease in p</w:t>
      </w:r>
      <w:r w:rsidR="00E9650E" w:rsidRPr="00760D1B">
        <w:rPr>
          <w:rFonts w:ascii="Arial" w:hAnsi="Arial" w:cs="Arial"/>
        </w:rPr>
        <w:t xml:space="preserve">atients </w:t>
      </w:r>
      <w:r w:rsidR="00B2586A" w:rsidRPr="00760D1B">
        <w:rPr>
          <w:rFonts w:ascii="Arial" w:hAnsi="Arial" w:cs="Arial"/>
        </w:rPr>
        <w:t xml:space="preserve">with </w:t>
      </w:r>
      <w:r w:rsidRPr="00760D1B">
        <w:rPr>
          <w:rFonts w:ascii="Arial" w:hAnsi="Arial" w:cs="Arial"/>
        </w:rPr>
        <w:t>T2DM</w:t>
      </w:r>
      <w:r w:rsidR="00B2586A" w:rsidRPr="00760D1B">
        <w:rPr>
          <w:rFonts w:ascii="Arial" w:hAnsi="Arial" w:cs="Arial"/>
        </w:rPr>
        <w:t xml:space="preserve"> and NAFLD</w:t>
      </w:r>
      <w:r w:rsidRPr="00760D1B">
        <w:rPr>
          <w:rFonts w:ascii="Arial" w:hAnsi="Arial" w:cs="Arial"/>
        </w:rPr>
        <w:t>. For instance, they</w:t>
      </w:r>
      <w:r w:rsidR="00B2586A" w:rsidRPr="00760D1B">
        <w:rPr>
          <w:rFonts w:ascii="Arial" w:hAnsi="Arial" w:cs="Arial"/>
        </w:rPr>
        <w:t xml:space="preserve"> </w:t>
      </w:r>
      <w:r w:rsidR="00483B73" w:rsidRPr="00760D1B">
        <w:rPr>
          <w:rFonts w:ascii="Arial" w:hAnsi="Arial" w:cs="Arial"/>
        </w:rPr>
        <w:t>have increased intrahepatic triglyceride accumulation and insulin resistance</w:t>
      </w:r>
      <w:r w:rsidR="00563A2C" w:rsidRPr="00760D1B">
        <w:rPr>
          <w:rFonts w:ascii="Arial" w:hAnsi="Arial" w:cs="Arial"/>
        </w:rPr>
        <w:t>. This is associated</w:t>
      </w:r>
      <w:r w:rsidRPr="00760D1B">
        <w:rPr>
          <w:rFonts w:ascii="Arial" w:hAnsi="Arial" w:cs="Arial"/>
        </w:rPr>
        <w:t xml:space="preserve"> with </w:t>
      </w:r>
      <w:r w:rsidR="00BD7C3A" w:rsidRPr="00760D1B">
        <w:rPr>
          <w:rFonts w:ascii="Arial" w:hAnsi="Arial" w:cs="Arial"/>
        </w:rPr>
        <w:t xml:space="preserve">increased </w:t>
      </w:r>
      <w:r w:rsidR="00483B73" w:rsidRPr="00760D1B">
        <w:rPr>
          <w:rFonts w:ascii="Arial" w:hAnsi="Arial" w:cs="Arial"/>
        </w:rPr>
        <w:t>hepatic VLDL secretion</w:t>
      </w:r>
      <w:r w:rsidRPr="00760D1B">
        <w:rPr>
          <w:rFonts w:ascii="Arial" w:hAnsi="Arial" w:cs="Arial"/>
        </w:rPr>
        <w:t xml:space="preserve"> and </w:t>
      </w:r>
      <w:r w:rsidR="00563A2C" w:rsidRPr="00760D1B">
        <w:rPr>
          <w:rFonts w:ascii="Arial" w:hAnsi="Arial" w:cs="Arial"/>
        </w:rPr>
        <w:t xml:space="preserve">a </w:t>
      </w:r>
      <w:r w:rsidRPr="00760D1B">
        <w:rPr>
          <w:rFonts w:ascii="Arial" w:hAnsi="Arial" w:cs="Arial"/>
        </w:rPr>
        <w:t>decrease</w:t>
      </w:r>
      <w:r w:rsidR="00563A2C" w:rsidRPr="00760D1B">
        <w:rPr>
          <w:rFonts w:ascii="Arial" w:hAnsi="Arial" w:cs="Arial"/>
        </w:rPr>
        <w:t xml:space="preserve"> in the</w:t>
      </w:r>
      <w:r w:rsidRPr="00760D1B">
        <w:rPr>
          <w:rFonts w:ascii="Arial" w:hAnsi="Arial" w:cs="Arial"/>
        </w:rPr>
        <w:t xml:space="preserve"> peripheral </w:t>
      </w:r>
      <w:r w:rsidRPr="00760D1B">
        <w:rPr>
          <w:rFonts w:ascii="Arial" w:hAnsi="Arial" w:cs="Arial"/>
        </w:rPr>
        <w:lastRenderedPageBreak/>
        <w:t>clearance</w:t>
      </w:r>
      <w:r w:rsidR="00563A2C" w:rsidRPr="00760D1B">
        <w:rPr>
          <w:rFonts w:ascii="Arial" w:hAnsi="Arial" w:cs="Arial"/>
        </w:rPr>
        <w:t xml:space="preserve"> of triglyceride-rich lipoproteins</w:t>
      </w:r>
      <w:r w:rsidR="00483B73" w:rsidRPr="00760D1B">
        <w:rPr>
          <w:rFonts w:ascii="Arial" w:hAnsi="Arial" w:cs="Arial"/>
        </w:rPr>
        <w:t xml:space="preserve">. This results in </w:t>
      </w:r>
      <w:r w:rsidRPr="00760D1B">
        <w:rPr>
          <w:rFonts w:ascii="Arial" w:hAnsi="Arial" w:cs="Arial"/>
        </w:rPr>
        <w:t xml:space="preserve">a proatherogenic </w:t>
      </w:r>
      <w:r w:rsidR="00483B73" w:rsidRPr="00760D1B">
        <w:rPr>
          <w:rFonts w:ascii="Arial" w:hAnsi="Arial" w:cs="Arial"/>
        </w:rPr>
        <w:t>profile, which includes hypertriglyceridemia, low HDL</w:t>
      </w:r>
      <w:r w:rsidRPr="00760D1B">
        <w:rPr>
          <w:rFonts w:ascii="Arial" w:hAnsi="Arial" w:cs="Arial"/>
        </w:rPr>
        <w:t>-C</w:t>
      </w:r>
      <w:r w:rsidR="00BF4580" w:rsidRPr="00760D1B">
        <w:rPr>
          <w:rFonts w:ascii="Arial" w:hAnsi="Arial" w:cs="Arial"/>
        </w:rPr>
        <w:t>,</w:t>
      </w:r>
      <w:r w:rsidR="00483B73" w:rsidRPr="00760D1B">
        <w:rPr>
          <w:rFonts w:ascii="Arial" w:hAnsi="Arial" w:cs="Arial"/>
        </w:rPr>
        <w:t xml:space="preserve"> and </w:t>
      </w:r>
      <w:r w:rsidR="00BD7C3A" w:rsidRPr="00760D1B">
        <w:rPr>
          <w:rFonts w:ascii="Arial" w:hAnsi="Arial" w:cs="Arial"/>
        </w:rPr>
        <w:t xml:space="preserve">an increase in </w:t>
      </w:r>
      <w:r w:rsidR="00483B73" w:rsidRPr="00760D1B">
        <w:rPr>
          <w:rFonts w:ascii="Arial" w:hAnsi="Arial" w:cs="Arial"/>
        </w:rPr>
        <w:t xml:space="preserve">small, dense LDL particles, </w:t>
      </w:r>
      <w:r w:rsidRPr="00760D1B">
        <w:rPr>
          <w:rFonts w:ascii="Arial" w:hAnsi="Arial" w:cs="Arial"/>
        </w:rPr>
        <w:t>plus a state of subclinical inflammation</w:t>
      </w:r>
      <w:r w:rsidR="009D1D3A" w:rsidRPr="00760D1B">
        <w:rPr>
          <w:rFonts w:ascii="Arial" w:hAnsi="Arial" w:cs="Arial"/>
        </w:rPr>
        <w:t xml:space="preserve"> (</w:t>
      </w:r>
      <w:r w:rsidR="00BF4580" w:rsidRPr="00760D1B">
        <w:rPr>
          <w:rFonts w:ascii="Arial" w:hAnsi="Arial" w:cs="Arial"/>
        </w:rPr>
        <w:t>8</w:t>
      </w:r>
      <w:r w:rsidR="009D1D3A" w:rsidRPr="00760D1B">
        <w:rPr>
          <w:rFonts w:ascii="Arial" w:hAnsi="Arial" w:cs="Arial"/>
        </w:rPr>
        <w:t>)</w:t>
      </w:r>
      <w:r w:rsidR="00483B73" w:rsidRPr="00760D1B">
        <w:rPr>
          <w:rFonts w:ascii="Arial" w:hAnsi="Arial" w:cs="Arial"/>
        </w:rPr>
        <w:t>.</w:t>
      </w:r>
    </w:p>
    <w:p w14:paraId="647510E8" w14:textId="48B0DD77" w:rsidR="00483B73" w:rsidRPr="00760D1B" w:rsidRDefault="009D1D3A" w:rsidP="002506B3">
      <w:pPr>
        <w:spacing w:after="0" w:line="276" w:lineRule="auto"/>
        <w:rPr>
          <w:rFonts w:ascii="Arial" w:hAnsi="Arial" w:cs="Arial"/>
        </w:rPr>
      </w:pPr>
      <w:r w:rsidRPr="00760D1B">
        <w:rPr>
          <w:rFonts w:ascii="Arial" w:hAnsi="Arial" w:cs="Arial"/>
        </w:rPr>
        <w:t xml:space="preserve"> </w:t>
      </w:r>
    </w:p>
    <w:p w14:paraId="11CEFAA2" w14:textId="4EA8D690" w:rsidR="009D1D3A" w:rsidRPr="00760D1B" w:rsidRDefault="00483B73" w:rsidP="002506B3">
      <w:pPr>
        <w:spacing w:after="0" w:line="276" w:lineRule="auto"/>
        <w:rPr>
          <w:rFonts w:ascii="Arial" w:hAnsi="Arial" w:cs="Arial"/>
        </w:rPr>
      </w:pPr>
      <w:r w:rsidRPr="00760D1B">
        <w:rPr>
          <w:rFonts w:ascii="Arial" w:hAnsi="Arial" w:cs="Arial"/>
        </w:rPr>
        <w:t xml:space="preserve">These patients also </w:t>
      </w:r>
      <w:r w:rsidR="00563A2C" w:rsidRPr="00760D1B">
        <w:rPr>
          <w:rFonts w:ascii="Arial" w:hAnsi="Arial" w:cs="Arial"/>
        </w:rPr>
        <w:t xml:space="preserve">often </w:t>
      </w:r>
      <w:r w:rsidRPr="00760D1B">
        <w:rPr>
          <w:rFonts w:ascii="Arial" w:hAnsi="Arial" w:cs="Arial"/>
        </w:rPr>
        <w:t xml:space="preserve">have more severe hepatic insulin resistance leading to </w:t>
      </w:r>
      <w:r w:rsidR="00D73A84" w:rsidRPr="00760D1B">
        <w:rPr>
          <w:rFonts w:ascii="Arial" w:hAnsi="Arial" w:cs="Arial"/>
        </w:rPr>
        <w:t xml:space="preserve">progressive deterioration of </w:t>
      </w:r>
      <w:r w:rsidRPr="00760D1B">
        <w:rPr>
          <w:rFonts w:ascii="Arial" w:hAnsi="Arial" w:cs="Arial"/>
        </w:rPr>
        <w:t>glycemic control</w:t>
      </w:r>
      <w:r w:rsidR="009D1D3A" w:rsidRPr="00760D1B">
        <w:rPr>
          <w:rFonts w:ascii="Arial" w:hAnsi="Arial" w:cs="Arial"/>
        </w:rPr>
        <w:t xml:space="preserve"> (</w:t>
      </w:r>
      <w:r w:rsidR="00BF4580" w:rsidRPr="00760D1B">
        <w:rPr>
          <w:rFonts w:ascii="Arial" w:hAnsi="Arial" w:cs="Arial"/>
        </w:rPr>
        <w:t>9</w:t>
      </w:r>
      <w:r w:rsidR="009D1D3A" w:rsidRPr="00760D1B">
        <w:rPr>
          <w:rFonts w:ascii="Arial" w:hAnsi="Arial" w:cs="Arial"/>
        </w:rPr>
        <w:t>)</w:t>
      </w:r>
      <w:r w:rsidRPr="00760D1B">
        <w:rPr>
          <w:rFonts w:ascii="Arial" w:hAnsi="Arial" w:cs="Arial"/>
        </w:rPr>
        <w:t>.</w:t>
      </w:r>
      <w:r w:rsidR="000C6DF9" w:rsidRPr="00760D1B">
        <w:rPr>
          <w:rFonts w:ascii="Arial" w:hAnsi="Arial" w:cs="Arial"/>
        </w:rPr>
        <w:t xml:space="preserve"> Hepatic </w:t>
      </w:r>
      <w:r w:rsidRPr="00760D1B">
        <w:rPr>
          <w:rFonts w:ascii="Arial" w:hAnsi="Arial" w:cs="Arial"/>
        </w:rPr>
        <w:t xml:space="preserve">insulin resistance </w:t>
      </w:r>
      <w:r w:rsidR="000C6DF9" w:rsidRPr="00760D1B">
        <w:rPr>
          <w:rFonts w:ascii="Arial" w:hAnsi="Arial" w:cs="Arial"/>
        </w:rPr>
        <w:t>is associated with hyperinsulinemia from increased insulin secretion and decreased insulin clearance</w:t>
      </w:r>
      <w:r w:rsidR="009D1D3A" w:rsidRPr="00760D1B">
        <w:rPr>
          <w:rFonts w:ascii="Arial" w:hAnsi="Arial" w:cs="Arial"/>
        </w:rPr>
        <w:t xml:space="preserve"> (3,1</w:t>
      </w:r>
      <w:r w:rsidR="00BF4580" w:rsidRPr="00760D1B">
        <w:rPr>
          <w:rFonts w:ascii="Arial" w:hAnsi="Arial" w:cs="Arial"/>
        </w:rPr>
        <w:t>5</w:t>
      </w:r>
      <w:r w:rsidR="009D1D3A" w:rsidRPr="00760D1B">
        <w:rPr>
          <w:rFonts w:ascii="Arial" w:hAnsi="Arial" w:cs="Arial"/>
        </w:rPr>
        <w:t>)</w:t>
      </w:r>
      <w:r w:rsidR="000C6DF9" w:rsidRPr="00760D1B">
        <w:rPr>
          <w:rFonts w:ascii="Arial" w:hAnsi="Arial" w:cs="Arial"/>
        </w:rPr>
        <w:t xml:space="preserve">. Hyperinsulinemia </w:t>
      </w:r>
      <w:r w:rsidR="000C6DF9" w:rsidRPr="00760D1B">
        <w:rPr>
          <w:rFonts w:ascii="Arial" w:hAnsi="Arial" w:cs="Arial"/>
          <w:i/>
          <w:iCs/>
        </w:rPr>
        <w:t>per se</w:t>
      </w:r>
      <w:r w:rsidR="000C6DF9" w:rsidRPr="00760D1B">
        <w:rPr>
          <w:rFonts w:ascii="Arial" w:hAnsi="Arial" w:cs="Arial"/>
        </w:rPr>
        <w:t xml:space="preserve"> has been associated with atherogenesis in animal models of disease and in epidemiological studies.  Chronic hyperinsulinemia also causes downregulation of insulin signaling pathways and acquired insulin resistance in short-term clinical studies in humans</w:t>
      </w:r>
      <w:r w:rsidR="009D1D3A" w:rsidRPr="00760D1B">
        <w:rPr>
          <w:rFonts w:ascii="Arial" w:hAnsi="Arial" w:cs="Arial"/>
        </w:rPr>
        <w:t xml:space="preserve"> (</w:t>
      </w:r>
      <w:r w:rsidR="00BF4580" w:rsidRPr="00760D1B">
        <w:rPr>
          <w:rFonts w:ascii="Arial" w:hAnsi="Arial" w:cs="Arial"/>
        </w:rPr>
        <w:t>11</w:t>
      </w:r>
      <w:r w:rsidR="009D1D3A" w:rsidRPr="00760D1B">
        <w:rPr>
          <w:rFonts w:ascii="Arial" w:hAnsi="Arial" w:cs="Arial"/>
        </w:rPr>
        <w:t>)</w:t>
      </w:r>
      <w:r w:rsidR="000C6DF9" w:rsidRPr="00760D1B">
        <w:rPr>
          <w:rFonts w:ascii="Arial" w:hAnsi="Arial" w:cs="Arial"/>
        </w:rPr>
        <w:t xml:space="preserve">. In this context, hyperglycemia is more severe and also </w:t>
      </w:r>
      <w:r w:rsidR="00D73A84" w:rsidRPr="00760D1B">
        <w:rPr>
          <w:rFonts w:ascii="Arial" w:hAnsi="Arial" w:cs="Arial"/>
        </w:rPr>
        <w:t xml:space="preserve">appears to </w:t>
      </w:r>
      <w:r w:rsidR="000C6DF9" w:rsidRPr="00760D1B">
        <w:rPr>
          <w:rFonts w:ascii="Arial" w:hAnsi="Arial" w:cs="Arial"/>
        </w:rPr>
        <w:t>contribute to CVD.</w:t>
      </w:r>
      <w:r w:rsidR="006C79F9" w:rsidRPr="00760D1B">
        <w:rPr>
          <w:rFonts w:ascii="Arial" w:hAnsi="Arial" w:cs="Arial"/>
        </w:rPr>
        <w:t xml:space="preserve"> Endothelial dysfunction also has been shown to cause increased cardiovascular risk in patients with NAFLD</w:t>
      </w:r>
      <w:r w:rsidR="009D1D3A" w:rsidRPr="00760D1B">
        <w:rPr>
          <w:rFonts w:ascii="Arial" w:hAnsi="Arial" w:cs="Arial"/>
        </w:rPr>
        <w:t xml:space="preserve"> (1</w:t>
      </w:r>
      <w:r w:rsidR="00BF4580" w:rsidRPr="00760D1B">
        <w:rPr>
          <w:rFonts w:ascii="Arial" w:hAnsi="Arial" w:cs="Arial"/>
        </w:rPr>
        <w:t>6</w:t>
      </w:r>
      <w:r w:rsidR="009D1D3A" w:rsidRPr="00760D1B">
        <w:rPr>
          <w:rFonts w:ascii="Arial" w:hAnsi="Arial" w:cs="Arial"/>
        </w:rPr>
        <w:t>)</w:t>
      </w:r>
      <w:r w:rsidR="006C79F9" w:rsidRPr="00760D1B">
        <w:rPr>
          <w:rFonts w:ascii="Arial" w:hAnsi="Arial" w:cs="Arial"/>
        </w:rPr>
        <w:t xml:space="preserve">. Early left ventricular “diastolic dysfunction” (or heart failure with preserved ejection fraction or </w:t>
      </w:r>
      <w:proofErr w:type="spellStart"/>
      <w:r w:rsidR="006C79F9" w:rsidRPr="00760D1B">
        <w:rPr>
          <w:rFonts w:ascii="Arial" w:hAnsi="Arial" w:cs="Arial"/>
        </w:rPr>
        <w:t>HFpEF</w:t>
      </w:r>
      <w:proofErr w:type="spellEnd"/>
      <w:r w:rsidR="006C79F9" w:rsidRPr="00760D1B">
        <w:rPr>
          <w:rFonts w:ascii="Arial" w:hAnsi="Arial" w:cs="Arial"/>
        </w:rPr>
        <w:t>) has been noted in patients with NAFLD and well controlled T2DM independent of other risk factors</w:t>
      </w:r>
      <w:r w:rsidR="009D1D3A" w:rsidRPr="00760D1B">
        <w:rPr>
          <w:rFonts w:ascii="Arial" w:hAnsi="Arial" w:cs="Arial"/>
        </w:rPr>
        <w:t xml:space="preserve"> (1</w:t>
      </w:r>
      <w:r w:rsidR="005E212D" w:rsidRPr="00760D1B">
        <w:rPr>
          <w:rFonts w:ascii="Arial" w:hAnsi="Arial" w:cs="Arial"/>
        </w:rPr>
        <w:t>7</w:t>
      </w:r>
      <w:r w:rsidR="009D1D3A" w:rsidRPr="00760D1B">
        <w:rPr>
          <w:rFonts w:ascii="Arial" w:hAnsi="Arial" w:cs="Arial"/>
        </w:rPr>
        <w:t>)</w:t>
      </w:r>
      <w:r w:rsidR="006C79F9" w:rsidRPr="00760D1B">
        <w:rPr>
          <w:rFonts w:ascii="Arial" w:hAnsi="Arial" w:cs="Arial"/>
        </w:rPr>
        <w:t xml:space="preserve">. Patients with NAFLD </w:t>
      </w:r>
      <w:r w:rsidR="00301A4D" w:rsidRPr="00760D1B">
        <w:rPr>
          <w:rFonts w:ascii="Arial" w:hAnsi="Arial" w:cs="Arial"/>
        </w:rPr>
        <w:t>a</w:t>
      </w:r>
      <w:r w:rsidR="006C79F9" w:rsidRPr="00760D1B">
        <w:rPr>
          <w:rFonts w:ascii="Arial" w:hAnsi="Arial" w:cs="Arial"/>
        </w:rPr>
        <w:t xml:space="preserve">re </w:t>
      </w:r>
      <w:r w:rsidR="00301A4D" w:rsidRPr="00760D1B">
        <w:rPr>
          <w:rFonts w:ascii="Arial" w:hAnsi="Arial" w:cs="Arial"/>
        </w:rPr>
        <w:t xml:space="preserve">often </w:t>
      </w:r>
      <w:r w:rsidR="006C79F9" w:rsidRPr="00760D1B">
        <w:rPr>
          <w:rFonts w:ascii="Arial" w:hAnsi="Arial" w:cs="Arial"/>
        </w:rPr>
        <w:t xml:space="preserve">found to have a significantly </w:t>
      </w:r>
      <w:r w:rsidR="00301A4D" w:rsidRPr="00760D1B">
        <w:rPr>
          <w:rFonts w:ascii="Arial" w:hAnsi="Arial" w:cs="Arial"/>
        </w:rPr>
        <w:t xml:space="preserve">worse </w:t>
      </w:r>
      <w:r w:rsidR="006C79F9" w:rsidRPr="00760D1B">
        <w:rPr>
          <w:rFonts w:ascii="Arial" w:hAnsi="Arial" w:cs="Arial"/>
        </w:rPr>
        <w:t xml:space="preserve">carotid intima-media thickness with increased atherosclerotic disease when compared with </w:t>
      </w:r>
      <w:r w:rsidR="00301A4D" w:rsidRPr="00760D1B">
        <w:rPr>
          <w:rFonts w:ascii="Arial" w:hAnsi="Arial" w:cs="Arial"/>
        </w:rPr>
        <w:t xml:space="preserve">clinically matched </w:t>
      </w:r>
      <w:r w:rsidR="006C79F9" w:rsidRPr="00760D1B">
        <w:rPr>
          <w:rFonts w:ascii="Arial" w:hAnsi="Arial" w:cs="Arial"/>
        </w:rPr>
        <w:t xml:space="preserve">patients without NAFLD. This </w:t>
      </w:r>
      <w:r w:rsidR="00301A4D" w:rsidRPr="00760D1B">
        <w:rPr>
          <w:rFonts w:ascii="Arial" w:hAnsi="Arial" w:cs="Arial"/>
        </w:rPr>
        <w:t xml:space="preserve">has been </w:t>
      </w:r>
      <w:r w:rsidR="006C79F9" w:rsidRPr="00760D1B">
        <w:rPr>
          <w:rFonts w:ascii="Arial" w:hAnsi="Arial" w:cs="Arial"/>
        </w:rPr>
        <w:t xml:space="preserve">correlated </w:t>
      </w:r>
      <w:r w:rsidR="00301A4D" w:rsidRPr="00760D1B">
        <w:rPr>
          <w:rFonts w:ascii="Arial" w:hAnsi="Arial" w:cs="Arial"/>
        </w:rPr>
        <w:t xml:space="preserve">in some studies </w:t>
      </w:r>
      <w:r w:rsidR="006C79F9" w:rsidRPr="00760D1B">
        <w:rPr>
          <w:rFonts w:ascii="Arial" w:hAnsi="Arial" w:cs="Arial"/>
        </w:rPr>
        <w:t xml:space="preserve">with </w:t>
      </w:r>
      <w:r w:rsidR="00301A4D" w:rsidRPr="00760D1B">
        <w:rPr>
          <w:rFonts w:ascii="Arial" w:hAnsi="Arial" w:cs="Arial"/>
        </w:rPr>
        <w:t>an</w:t>
      </w:r>
      <w:r w:rsidR="006C79F9" w:rsidRPr="00760D1B">
        <w:rPr>
          <w:rFonts w:ascii="Arial" w:hAnsi="Arial" w:cs="Arial"/>
        </w:rPr>
        <w:t xml:space="preserve"> advancing degree </w:t>
      </w:r>
      <w:r w:rsidR="00301A4D" w:rsidRPr="00760D1B">
        <w:rPr>
          <w:rFonts w:ascii="Arial" w:hAnsi="Arial" w:cs="Arial"/>
        </w:rPr>
        <w:t>of</w:t>
      </w:r>
      <w:r w:rsidR="006C79F9" w:rsidRPr="00760D1B">
        <w:rPr>
          <w:rFonts w:ascii="Arial" w:hAnsi="Arial" w:cs="Arial"/>
        </w:rPr>
        <w:t xml:space="preserve"> steatosis, inflammation, and</w:t>
      </w:r>
      <w:r w:rsidR="00301A4D" w:rsidRPr="00760D1B">
        <w:rPr>
          <w:rFonts w:ascii="Arial" w:hAnsi="Arial" w:cs="Arial"/>
        </w:rPr>
        <w:t>/or</w:t>
      </w:r>
      <w:r w:rsidR="006C79F9" w:rsidRPr="00760D1B">
        <w:rPr>
          <w:rFonts w:ascii="Arial" w:hAnsi="Arial" w:cs="Arial"/>
        </w:rPr>
        <w:t xml:space="preserve"> fibrosis</w:t>
      </w:r>
      <w:r w:rsidR="009D1D3A" w:rsidRPr="00760D1B">
        <w:rPr>
          <w:rFonts w:ascii="Arial" w:hAnsi="Arial" w:cs="Arial"/>
        </w:rPr>
        <w:t xml:space="preserve"> (1</w:t>
      </w:r>
      <w:r w:rsidR="005E212D" w:rsidRPr="00760D1B">
        <w:rPr>
          <w:rFonts w:ascii="Arial" w:hAnsi="Arial" w:cs="Arial"/>
        </w:rPr>
        <w:t>8</w:t>
      </w:r>
      <w:r w:rsidR="009D1D3A" w:rsidRPr="00760D1B">
        <w:rPr>
          <w:rFonts w:ascii="Arial" w:hAnsi="Arial" w:cs="Arial"/>
        </w:rPr>
        <w:t>,1</w:t>
      </w:r>
      <w:r w:rsidR="005E212D" w:rsidRPr="00760D1B">
        <w:rPr>
          <w:rFonts w:ascii="Arial" w:hAnsi="Arial" w:cs="Arial"/>
        </w:rPr>
        <w:t>9</w:t>
      </w:r>
      <w:r w:rsidR="009D1D3A" w:rsidRPr="00760D1B">
        <w:rPr>
          <w:rFonts w:ascii="Arial" w:hAnsi="Arial" w:cs="Arial"/>
        </w:rPr>
        <w:t>)</w:t>
      </w:r>
      <w:r w:rsidR="006C79F9" w:rsidRPr="00760D1B">
        <w:rPr>
          <w:rFonts w:ascii="Arial" w:hAnsi="Arial" w:cs="Arial"/>
        </w:rPr>
        <w:t>.</w:t>
      </w:r>
      <w:r w:rsidR="00AC1382" w:rsidRPr="00760D1B">
        <w:rPr>
          <w:rFonts w:ascii="Arial" w:hAnsi="Arial" w:cs="Arial"/>
        </w:rPr>
        <w:t xml:space="preserve"> In</w:t>
      </w:r>
      <w:r w:rsidR="006C79F9" w:rsidRPr="00760D1B">
        <w:rPr>
          <w:rFonts w:ascii="Arial" w:hAnsi="Arial" w:cs="Arial"/>
        </w:rPr>
        <w:t xml:space="preserve"> NASH </w:t>
      </w:r>
      <w:r w:rsidR="00AC1382" w:rsidRPr="00760D1B">
        <w:rPr>
          <w:rFonts w:ascii="Arial" w:hAnsi="Arial" w:cs="Arial"/>
        </w:rPr>
        <w:t>with</w:t>
      </w:r>
      <w:r w:rsidR="006C79F9" w:rsidRPr="00760D1B">
        <w:rPr>
          <w:rFonts w:ascii="Arial" w:hAnsi="Arial" w:cs="Arial"/>
        </w:rPr>
        <w:t xml:space="preserve"> cirrhosis, </w:t>
      </w:r>
      <w:r w:rsidR="00AC1382" w:rsidRPr="00760D1B">
        <w:rPr>
          <w:rFonts w:ascii="Arial" w:hAnsi="Arial" w:cs="Arial"/>
        </w:rPr>
        <w:t>CVD is the leading cause of mortality</w:t>
      </w:r>
      <w:r w:rsidR="009D1D3A" w:rsidRPr="00760D1B">
        <w:rPr>
          <w:rFonts w:ascii="Arial" w:hAnsi="Arial" w:cs="Arial"/>
        </w:rPr>
        <w:t xml:space="preserve"> (1,</w:t>
      </w:r>
      <w:r w:rsidR="005E212D" w:rsidRPr="00760D1B">
        <w:rPr>
          <w:rFonts w:ascii="Arial" w:hAnsi="Arial" w:cs="Arial"/>
        </w:rPr>
        <w:t>8</w:t>
      </w:r>
      <w:r w:rsidR="009D1D3A" w:rsidRPr="00760D1B">
        <w:rPr>
          <w:rFonts w:ascii="Arial" w:hAnsi="Arial" w:cs="Arial"/>
        </w:rPr>
        <w:t>,</w:t>
      </w:r>
      <w:r w:rsidR="005E212D" w:rsidRPr="00760D1B">
        <w:rPr>
          <w:rFonts w:ascii="Arial" w:hAnsi="Arial" w:cs="Arial"/>
        </w:rPr>
        <w:t>20</w:t>
      </w:r>
      <w:r w:rsidR="009D1D3A" w:rsidRPr="00760D1B">
        <w:rPr>
          <w:rFonts w:ascii="Arial" w:hAnsi="Arial" w:cs="Arial"/>
        </w:rPr>
        <w:t>)</w:t>
      </w:r>
      <w:r w:rsidR="006C79F9" w:rsidRPr="00760D1B">
        <w:rPr>
          <w:rFonts w:ascii="Arial" w:hAnsi="Arial" w:cs="Arial"/>
        </w:rPr>
        <w:t>.</w:t>
      </w:r>
    </w:p>
    <w:p w14:paraId="2611B292" w14:textId="25679515" w:rsidR="006C79F9" w:rsidRPr="00760D1B" w:rsidRDefault="009D1D3A" w:rsidP="002506B3">
      <w:pPr>
        <w:spacing w:after="0" w:line="276" w:lineRule="auto"/>
        <w:rPr>
          <w:rFonts w:ascii="Arial" w:hAnsi="Arial" w:cs="Arial"/>
        </w:rPr>
      </w:pPr>
      <w:r w:rsidRPr="00760D1B">
        <w:rPr>
          <w:rFonts w:ascii="Arial" w:hAnsi="Arial" w:cs="Arial"/>
        </w:rPr>
        <w:t xml:space="preserve"> </w:t>
      </w:r>
    </w:p>
    <w:p w14:paraId="4A51C403" w14:textId="77A269E9" w:rsidR="00483B73" w:rsidRPr="00760D1B" w:rsidRDefault="00EB3F5E" w:rsidP="002506B3">
      <w:pPr>
        <w:spacing w:after="0" w:line="276" w:lineRule="auto"/>
        <w:rPr>
          <w:rFonts w:ascii="Arial" w:hAnsi="Arial" w:cs="Arial"/>
          <w:color w:val="FF0000"/>
        </w:rPr>
      </w:pPr>
      <w:r w:rsidRPr="00760D1B">
        <w:rPr>
          <w:rFonts w:ascii="Arial" w:hAnsi="Arial" w:cs="Arial"/>
        </w:rPr>
        <w:t xml:space="preserve">Thus, </w:t>
      </w:r>
      <w:r w:rsidR="00303B07" w:rsidRPr="00760D1B">
        <w:rPr>
          <w:rFonts w:ascii="Arial" w:hAnsi="Arial" w:cs="Arial"/>
        </w:rPr>
        <w:t>i</w:t>
      </w:r>
      <w:r w:rsidR="000C6DF9" w:rsidRPr="00760D1B">
        <w:rPr>
          <w:rFonts w:ascii="Arial" w:hAnsi="Arial" w:cs="Arial"/>
        </w:rPr>
        <w:t xml:space="preserve">t is not unexpected </w:t>
      </w:r>
      <w:r w:rsidR="000045BF" w:rsidRPr="00760D1B">
        <w:rPr>
          <w:rFonts w:ascii="Arial" w:hAnsi="Arial" w:cs="Arial"/>
        </w:rPr>
        <w:t xml:space="preserve">that </w:t>
      </w:r>
      <w:r w:rsidRPr="00760D1B">
        <w:rPr>
          <w:rFonts w:ascii="Arial" w:hAnsi="Arial" w:cs="Arial"/>
        </w:rPr>
        <w:t>in</w:t>
      </w:r>
      <w:r w:rsidR="000C6DF9" w:rsidRPr="00760D1B">
        <w:rPr>
          <w:rFonts w:ascii="Arial" w:hAnsi="Arial" w:cs="Arial"/>
        </w:rPr>
        <w:t xml:space="preserve"> </w:t>
      </w:r>
      <w:r w:rsidR="000045BF" w:rsidRPr="00760D1B">
        <w:rPr>
          <w:rFonts w:ascii="Arial" w:hAnsi="Arial" w:cs="Arial"/>
        </w:rPr>
        <w:t>NAFLD many studies</w:t>
      </w:r>
      <w:r w:rsidR="00483B73" w:rsidRPr="00760D1B">
        <w:rPr>
          <w:rFonts w:ascii="Arial" w:hAnsi="Arial" w:cs="Arial"/>
        </w:rPr>
        <w:t xml:space="preserve"> </w:t>
      </w:r>
      <w:r w:rsidRPr="00760D1B">
        <w:rPr>
          <w:rFonts w:ascii="Arial" w:hAnsi="Arial" w:cs="Arial"/>
        </w:rPr>
        <w:t xml:space="preserve">have reported </w:t>
      </w:r>
      <w:r w:rsidR="00483B73" w:rsidRPr="00760D1B">
        <w:rPr>
          <w:rFonts w:ascii="Arial" w:hAnsi="Arial" w:cs="Arial"/>
        </w:rPr>
        <w:t xml:space="preserve">a higher </w:t>
      </w:r>
      <w:r w:rsidR="000045BF" w:rsidRPr="00760D1B">
        <w:rPr>
          <w:rFonts w:ascii="Arial" w:hAnsi="Arial" w:cs="Arial"/>
        </w:rPr>
        <w:t xml:space="preserve">rate of </w:t>
      </w:r>
      <w:r w:rsidR="000C6DF9" w:rsidRPr="00760D1B">
        <w:rPr>
          <w:rFonts w:ascii="Arial" w:hAnsi="Arial" w:cs="Arial"/>
        </w:rPr>
        <w:t>CVD</w:t>
      </w:r>
      <w:r w:rsidRPr="00760D1B">
        <w:rPr>
          <w:rFonts w:ascii="Arial" w:hAnsi="Arial" w:cs="Arial"/>
        </w:rPr>
        <w:t xml:space="preserve"> </w:t>
      </w:r>
      <w:r w:rsidR="000045BF" w:rsidRPr="00760D1B">
        <w:rPr>
          <w:rFonts w:ascii="Arial" w:hAnsi="Arial" w:cs="Arial"/>
        </w:rPr>
        <w:t>(Tables 1 and 2)</w:t>
      </w:r>
      <w:r w:rsidR="00483B73" w:rsidRPr="00760D1B">
        <w:rPr>
          <w:rFonts w:ascii="Arial" w:hAnsi="Arial" w:cs="Arial"/>
        </w:rPr>
        <w:t xml:space="preserve">.  </w:t>
      </w:r>
      <w:r w:rsidR="000045BF" w:rsidRPr="00760D1B">
        <w:rPr>
          <w:rFonts w:ascii="Arial" w:hAnsi="Arial" w:cs="Arial"/>
        </w:rPr>
        <w:t xml:space="preserve">In addition to insulin resistance and hyperinsulinemia, </w:t>
      </w:r>
      <w:r w:rsidR="00483B73" w:rsidRPr="00760D1B">
        <w:rPr>
          <w:rFonts w:ascii="Arial" w:hAnsi="Arial" w:cs="Arial"/>
        </w:rPr>
        <w:t xml:space="preserve">NAFLD </w:t>
      </w:r>
      <w:r w:rsidR="000045BF" w:rsidRPr="00760D1B">
        <w:rPr>
          <w:rFonts w:ascii="Arial" w:hAnsi="Arial" w:cs="Arial"/>
        </w:rPr>
        <w:t>and CVD</w:t>
      </w:r>
      <w:r w:rsidRPr="00760D1B">
        <w:rPr>
          <w:rFonts w:ascii="Arial" w:hAnsi="Arial" w:cs="Arial"/>
        </w:rPr>
        <w:t xml:space="preserve"> cluster with </w:t>
      </w:r>
      <w:r w:rsidR="000045BF" w:rsidRPr="00760D1B">
        <w:rPr>
          <w:rFonts w:ascii="Arial" w:hAnsi="Arial" w:cs="Arial"/>
        </w:rPr>
        <w:t xml:space="preserve">other </w:t>
      </w:r>
      <w:r w:rsidR="00483B73" w:rsidRPr="00760D1B">
        <w:rPr>
          <w:rFonts w:ascii="Arial" w:hAnsi="Arial" w:cs="Arial"/>
        </w:rPr>
        <w:t xml:space="preserve">common risk factors, including hypertension, hyperlipidemia, </w:t>
      </w:r>
      <w:r w:rsidR="00D054CE" w:rsidRPr="00760D1B">
        <w:rPr>
          <w:rFonts w:ascii="Arial" w:hAnsi="Arial" w:cs="Arial"/>
        </w:rPr>
        <w:t>T2DM</w:t>
      </w:r>
      <w:r w:rsidR="00483B73" w:rsidRPr="00760D1B">
        <w:rPr>
          <w:rFonts w:ascii="Arial" w:hAnsi="Arial" w:cs="Arial"/>
        </w:rPr>
        <w:t>, obesity</w:t>
      </w:r>
      <w:r w:rsidR="00BD7C3A" w:rsidRPr="00760D1B">
        <w:rPr>
          <w:rFonts w:ascii="Arial" w:hAnsi="Arial" w:cs="Arial"/>
        </w:rPr>
        <w:t xml:space="preserve"> and inflammation</w:t>
      </w:r>
      <w:r w:rsidR="009D1D3A" w:rsidRPr="00760D1B">
        <w:rPr>
          <w:rFonts w:ascii="Arial" w:hAnsi="Arial" w:cs="Arial"/>
        </w:rPr>
        <w:t xml:space="preserve"> (</w:t>
      </w:r>
      <w:r w:rsidR="005E212D" w:rsidRPr="00760D1B">
        <w:rPr>
          <w:rFonts w:ascii="Arial" w:hAnsi="Arial" w:cs="Arial"/>
        </w:rPr>
        <w:t>8</w:t>
      </w:r>
      <w:r w:rsidR="009D1D3A" w:rsidRPr="00760D1B">
        <w:rPr>
          <w:rFonts w:ascii="Arial" w:hAnsi="Arial" w:cs="Arial"/>
        </w:rPr>
        <w:t>)</w:t>
      </w:r>
      <w:r w:rsidR="00483B73" w:rsidRPr="00760D1B">
        <w:rPr>
          <w:rFonts w:ascii="Arial" w:hAnsi="Arial" w:cs="Arial"/>
        </w:rPr>
        <w:t>.</w:t>
      </w:r>
      <w:r w:rsidR="00F12079" w:rsidRPr="00760D1B">
        <w:rPr>
          <w:rFonts w:ascii="Arial" w:hAnsi="Arial" w:cs="Arial"/>
        </w:rPr>
        <w:t xml:space="preserve"> </w:t>
      </w:r>
      <w:r w:rsidR="00003100" w:rsidRPr="00760D1B">
        <w:rPr>
          <w:rFonts w:ascii="Arial" w:hAnsi="Arial" w:cs="Arial"/>
        </w:rPr>
        <w:t>The</w:t>
      </w:r>
      <w:r w:rsidR="00483B73" w:rsidRPr="00760D1B">
        <w:rPr>
          <w:rFonts w:ascii="Arial" w:hAnsi="Arial" w:cs="Arial"/>
        </w:rPr>
        <w:t xml:space="preserve"> evidence of </w:t>
      </w:r>
      <w:r w:rsidR="00003100" w:rsidRPr="00760D1B">
        <w:rPr>
          <w:rFonts w:ascii="Arial" w:hAnsi="Arial" w:cs="Arial"/>
        </w:rPr>
        <w:t xml:space="preserve">the </w:t>
      </w:r>
      <w:r w:rsidR="00483B73" w:rsidRPr="00760D1B">
        <w:rPr>
          <w:rFonts w:ascii="Arial" w:hAnsi="Arial" w:cs="Arial"/>
        </w:rPr>
        <w:t xml:space="preserve">association between NAFLD and increased </w:t>
      </w:r>
      <w:r w:rsidR="003D73E4" w:rsidRPr="00760D1B">
        <w:rPr>
          <w:rFonts w:ascii="Arial" w:hAnsi="Arial" w:cs="Arial"/>
        </w:rPr>
        <w:t>CVD</w:t>
      </w:r>
      <w:r w:rsidR="00483B73" w:rsidRPr="00760D1B">
        <w:rPr>
          <w:rFonts w:ascii="Arial" w:hAnsi="Arial" w:cs="Arial"/>
        </w:rPr>
        <w:t xml:space="preserve"> </w:t>
      </w:r>
      <w:r w:rsidR="00003100" w:rsidRPr="00760D1B">
        <w:rPr>
          <w:rFonts w:ascii="Arial" w:hAnsi="Arial" w:cs="Arial"/>
        </w:rPr>
        <w:t xml:space="preserve">often persists </w:t>
      </w:r>
      <w:r w:rsidR="00483B73" w:rsidRPr="00760D1B">
        <w:rPr>
          <w:rFonts w:ascii="Arial" w:hAnsi="Arial" w:cs="Arial"/>
        </w:rPr>
        <w:t xml:space="preserve">even after adjusting for </w:t>
      </w:r>
      <w:r w:rsidR="002F50E0" w:rsidRPr="00760D1B">
        <w:rPr>
          <w:rFonts w:ascii="Arial" w:hAnsi="Arial" w:cs="Arial"/>
        </w:rPr>
        <w:t xml:space="preserve">traditional </w:t>
      </w:r>
      <w:r w:rsidR="00483B73" w:rsidRPr="00760D1B">
        <w:rPr>
          <w:rFonts w:ascii="Arial" w:hAnsi="Arial" w:cs="Arial"/>
        </w:rPr>
        <w:t>cardiovascular risk factors</w:t>
      </w:r>
      <w:r w:rsidR="00E1713C" w:rsidRPr="00760D1B">
        <w:rPr>
          <w:rFonts w:ascii="Arial" w:hAnsi="Arial" w:cs="Arial"/>
        </w:rPr>
        <w:t xml:space="preserve"> (Tables 1 and 2)</w:t>
      </w:r>
      <w:r w:rsidR="009D1D3A" w:rsidRPr="00760D1B">
        <w:rPr>
          <w:rFonts w:ascii="Arial" w:hAnsi="Arial" w:cs="Arial"/>
        </w:rPr>
        <w:t xml:space="preserve"> (</w:t>
      </w:r>
      <w:r w:rsidR="005E212D" w:rsidRPr="00760D1B">
        <w:rPr>
          <w:rFonts w:ascii="Arial" w:hAnsi="Arial" w:cs="Arial"/>
        </w:rPr>
        <w:t>9</w:t>
      </w:r>
      <w:r w:rsidR="009D1D3A" w:rsidRPr="00760D1B">
        <w:rPr>
          <w:rFonts w:ascii="Arial" w:hAnsi="Arial" w:cs="Arial"/>
        </w:rPr>
        <w:t>,</w:t>
      </w:r>
      <w:r w:rsidR="005E212D" w:rsidRPr="00760D1B">
        <w:rPr>
          <w:rFonts w:ascii="Arial" w:hAnsi="Arial" w:cs="Arial"/>
        </w:rPr>
        <w:t>2</w:t>
      </w:r>
      <w:r w:rsidR="009D1D3A" w:rsidRPr="00760D1B">
        <w:rPr>
          <w:rFonts w:ascii="Arial" w:hAnsi="Arial" w:cs="Arial"/>
        </w:rPr>
        <w:t>1)</w:t>
      </w:r>
      <w:r w:rsidR="00483B73" w:rsidRPr="00760D1B">
        <w:rPr>
          <w:rFonts w:ascii="Arial" w:hAnsi="Arial" w:cs="Arial"/>
        </w:rPr>
        <w:t>.</w:t>
      </w:r>
      <w:r w:rsidR="00483B73" w:rsidRPr="00760D1B">
        <w:rPr>
          <w:rFonts w:ascii="Arial" w:hAnsi="Arial" w:cs="Arial"/>
          <w:color w:val="FF0000"/>
        </w:rPr>
        <w:t xml:space="preserve"> </w:t>
      </w:r>
      <w:r w:rsidR="00483B73" w:rsidRPr="00760D1B">
        <w:rPr>
          <w:rFonts w:ascii="Arial" w:hAnsi="Arial" w:cs="Arial"/>
        </w:rPr>
        <w:t xml:space="preserve">This </w:t>
      </w:r>
      <w:r w:rsidR="00E1713C" w:rsidRPr="00760D1B">
        <w:rPr>
          <w:rFonts w:ascii="Arial" w:hAnsi="Arial" w:cs="Arial"/>
        </w:rPr>
        <w:t>suggests</w:t>
      </w:r>
      <w:r w:rsidR="00483B73" w:rsidRPr="00760D1B">
        <w:rPr>
          <w:rFonts w:ascii="Arial" w:hAnsi="Arial" w:cs="Arial"/>
        </w:rPr>
        <w:t xml:space="preserve"> that </w:t>
      </w:r>
      <w:r w:rsidR="00E1713C" w:rsidRPr="00760D1B">
        <w:rPr>
          <w:rFonts w:ascii="Arial" w:hAnsi="Arial" w:cs="Arial"/>
        </w:rPr>
        <w:t xml:space="preserve">the </w:t>
      </w:r>
      <w:r w:rsidR="00483B73" w:rsidRPr="00760D1B">
        <w:rPr>
          <w:rFonts w:ascii="Arial" w:hAnsi="Arial" w:cs="Arial"/>
        </w:rPr>
        <w:t xml:space="preserve">presence of NAFLD </w:t>
      </w:r>
      <w:r w:rsidR="002F50E0" w:rsidRPr="00760D1B">
        <w:rPr>
          <w:rFonts w:ascii="Arial" w:hAnsi="Arial" w:cs="Arial"/>
        </w:rPr>
        <w:t xml:space="preserve">may </w:t>
      </w:r>
      <w:r w:rsidR="00483B73" w:rsidRPr="00760D1B">
        <w:rPr>
          <w:rFonts w:ascii="Arial" w:hAnsi="Arial" w:cs="Arial"/>
        </w:rPr>
        <w:t xml:space="preserve">independently increase an individual’s cardiovascular risk, </w:t>
      </w:r>
      <w:r w:rsidR="00E1713C" w:rsidRPr="00760D1B">
        <w:rPr>
          <w:rFonts w:ascii="Arial" w:hAnsi="Arial" w:cs="Arial"/>
        </w:rPr>
        <w:t xml:space="preserve">but whether </w:t>
      </w:r>
      <w:r w:rsidR="00003100" w:rsidRPr="00760D1B">
        <w:rPr>
          <w:rFonts w:ascii="Arial" w:hAnsi="Arial" w:cs="Arial"/>
        </w:rPr>
        <w:t>this is worse</w:t>
      </w:r>
      <w:r w:rsidR="00483B73" w:rsidRPr="00760D1B">
        <w:rPr>
          <w:rFonts w:ascii="Arial" w:hAnsi="Arial" w:cs="Arial"/>
        </w:rPr>
        <w:t xml:space="preserve"> in patients with </w:t>
      </w:r>
      <w:r w:rsidR="00003100" w:rsidRPr="00760D1B">
        <w:rPr>
          <w:rFonts w:ascii="Arial" w:hAnsi="Arial" w:cs="Arial"/>
        </w:rPr>
        <w:t>steatohepatitis</w:t>
      </w:r>
      <w:r w:rsidR="00CC2F30" w:rsidRPr="00760D1B">
        <w:rPr>
          <w:rFonts w:ascii="Arial" w:hAnsi="Arial" w:cs="Arial"/>
        </w:rPr>
        <w:t xml:space="preserve"> </w:t>
      </w:r>
      <w:r w:rsidR="00003100" w:rsidRPr="00760D1B">
        <w:rPr>
          <w:rFonts w:ascii="Arial" w:hAnsi="Arial" w:cs="Arial"/>
        </w:rPr>
        <w:t xml:space="preserve">compared to those just having isolated steatosis </w:t>
      </w:r>
      <w:r w:rsidR="00E1713C" w:rsidRPr="00760D1B">
        <w:rPr>
          <w:rFonts w:ascii="Arial" w:hAnsi="Arial" w:cs="Arial"/>
        </w:rPr>
        <w:t>remains controversial</w:t>
      </w:r>
      <w:r w:rsidR="00483B73" w:rsidRPr="00760D1B">
        <w:rPr>
          <w:rFonts w:ascii="Arial" w:hAnsi="Arial" w:cs="Arial"/>
        </w:rPr>
        <w:t xml:space="preserve">. </w:t>
      </w:r>
      <w:r w:rsidR="00E1713C" w:rsidRPr="00760D1B">
        <w:rPr>
          <w:rFonts w:ascii="Arial" w:hAnsi="Arial" w:cs="Arial"/>
        </w:rPr>
        <w:t>It should also be noted that many investigators</w:t>
      </w:r>
      <w:r w:rsidR="00E1713C" w:rsidRPr="00760D1B">
        <w:rPr>
          <w:rFonts w:ascii="Arial" w:hAnsi="Arial" w:cs="Arial"/>
          <w:color w:val="FF0000"/>
        </w:rPr>
        <w:t xml:space="preserve"> </w:t>
      </w:r>
      <w:r w:rsidR="00E1713C" w:rsidRPr="00760D1B">
        <w:rPr>
          <w:rFonts w:ascii="Arial" w:hAnsi="Arial" w:cs="Arial"/>
          <w:color w:val="000000" w:themeColor="text1"/>
        </w:rPr>
        <w:t xml:space="preserve">have failed to see the association </w:t>
      </w:r>
      <w:r w:rsidR="00003100" w:rsidRPr="00760D1B">
        <w:rPr>
          <w:rFonts w:ascii="Arial" w:hAnsi="Arial" w:cs="Arial"/>
          <w:color w:val="000000" w:themeColor="text1"/>
        </w:rPr>
        <w:t xml:space="preserve">of NAFLD with CVD </w:t>
      </w:r>
      <w:r w:rsidR="00E1713C" w:rsidRPr="00760D1B">
        <w:rPr>
          <w:rFonts w:ascii="Arial" w:hAnsi="Arial" w:cs="Arial"/>
          <w:color w:val="000000" w:themeColor="text1"/>
        </w:rPr>
        <w:t>after adjusting for traditional cardiovascular risk factors</w:t>
      </w:r>
      <w:r w:rsidR="00003100" w:rsidRPr="00760D1B">
        <w:rPr>
          <w:rFonts w:ascii="Arial" w:hAnsi="Arial" w:cs="Arial"/>
          <w:color w:val="000000" w:themeColor="text1"/>
        </w:rPr>
        <w:t>,</w:t>
      </w:r>
      <w:r w:rsidR="00E1713C" w:rsidRPr="00760D1B">
        <w:rPr>
          <w:rFonts w:ascii="Arial" w:hAnsi="Arial" w:cs="Arial"/>
          <w:color w:val="000000" w:themeColor="text1"/>
        </w:rPr>
        <w:t xml:space="preserve"> as detailed in </w:t>
      </w:r>
      <w:r w:rsidR="00E1713C" w:rsidRPr="00760D1B">
        <w:rPr>
          <w:rFonts w:ascii="Arial" w:hAnsi="Arial" w:cs="Arial"/>
        </w:rPr>
        <w:t>Tables 1 and 2</w:t>
      </w:r>
      <w:r w:rsidR="00E1713C" w:rsidRPr="00760D1B">
        <w:rPr>
          <w:rFonts w:ascii="Arial" w:hAnsi="Arial" w:cs="Arial"/>
          <w:color w:val="FF0000"/>
        </w:rPr>
        <w:t>.</w:t>
      </w:r>
    </w:p>
    <w:p w14:paraId="2CC61192" w14:textId="459CE6AE" w:rsidR="006953F5" w:rsidRDefault="006953F5" w:rsidP="002506B3">
      <w:pPr>
        <w:spacing w:after="0" w:line="276" w:lineRule="auto"/>
        <w:rPr>
          <w:rFonts w:asciiTheme="minorBidi" w:hAnsiTheme="minorBidi"/>
          <w:color w:val="FF0000"/>
        </w:rPr>
      </w:pPr>
    </w:p>
    <w:tbl>
      <w:tblPr>
        <w:tblStyle w:val="TableGrid2"/>
        <w:tblW w:w="0" w:type="auto"/>
        <w:tblLook w:val="04A0" w:firstRow="1" w:lastRow="0" w:firstColumn="1" w:lastColumn="0" w:noHBand="0" w:noVBand="1"/>
      </w:tblPr>
      <w:tblGrid>
        <w:gridCol w:w="1259"/>
        <w:gridCol w:w="1201"/>
        <w:gridCol w:w="1391"/>
        <w:gridCol w:w="1313"/>
        <w:gridCol w:w="1203"/>
        <w:gridCol w:w="1203"/>
        <w:gridCol w:w="1446"/>
      </w:tblGrid>
      <w:tr w:rsidR="005570EE" w:rsidRPr="005570EE" w14:paraId="751B0858" w14:textId="77777777" w:rsidTr="00537AC6">
        <w:trPr>
          <w:trHeight w:val="300"/>
        </w:trPr>
        <w:tc>
          <w:tcPr>
            <w:tcW w:w="9016" w:type="dxa"/>
            <w:gridSpan w:val="7"/>
            <w:shd w:val="clear" w:color="auto" w:fill="FFFF00"/>
            <w:noWrap/>
          </w:tcPr>
          <w:p w14:paraId="5AC28FFF" w14:textId="5D8F6CBA" w:rsidR="005570EE" w:rsidRPr="00B04951" w:rsidRDefault="005570EE" w:rsidP="002506B3">
            <w:pPr>
              <w:tabs>
                <w:tab w:val="left" w:pos="322"/>
              </w:tabs>
              <w:spacing w:line="276" w:lineRule="auto"/>
              <w:rPr>
                <w:rFonts w:ascii="Arial" w:hAnsi="Arial" w:cs="Arial"/>
                <w:b/>
                <w:bCs/>
                <w:color w:val="000000"/>
                <w:sz w:val="22"/>
                <w:szCs w:val="22"/>
              </w:rPr>
            </w:pPr>
            <w:r w:rsidRPr="00B04951">
              <w:rPr>
                <w:rFonts w:ascii="Arial" w:hAnsi="Arial" w:cs="Arial"/>
                <w:b/>
                <w:bCs/>
                <w:color w:val="000000"/>
                <w:sz w:val="22"/>
                <w:szCs w:val="22"/>
              </w:rPr>
              <w:t>Table 1. Cardiovascular Disease in Patients with NAFLD without Type 2 Diabetes</w:t>
            </w:r>
          </w:p>
        </w:tc>
      </w:tr>
      <w:tr w:rsidR="005570EE" w:rsidRPr="005570EE" w14:paraId="7481E476" w14:textId="77777777" w:rsidTr="00A36AEA">
        <w:trPr>
          <w:trHeight w:val="300"/>
        </w:trPr>
        <w:tc>
          <w:tcPr>
            <w:tcW w:w="1256" w:type="dxa"/>
            <w:noWrap/>
            <w:hideMark/>
          </w:tcPr>
          <w:p w14:paraId="49879169" w14:textId="77777777" w:rsidR="005570EE" w:rsidRPr="005570EE" w:rsidRDefault="005570EE" w:rsidP="002506B3">
            <w:pPr>
              <w:spacing w:line="276" w:lineRule="auto"/>
              <w:rPr>
                <w:rFonts w:ascii="Arial" w:hAnsi="Arial" w:cs="Arial"/>
                <w:b/>
                <w:bCs/>
                <w:color w:val="000000"/>
              </w:rPr>
            </w:pPr>
            <w:r w:rsidRPr="005570EE">
              <w:rPr>
                <w:rFonts w:ascii="Arial" w:hAnsi="Arial" w:cs="Arial"/>
                <w:b/>
                <w:bCs/>
                <w:color w:val="000000"/>
              </w:rPr>
              <w:t>Author (year)</w:t>
            </w:r>
          </w:p>
        </w:tc>
        <w:tc>
          <w:tcPr>
            <w:tcW w:w="1204" w:type="dxa"/>
            <w:noWrap/>
            <w:hideMark/>
          </w:tcPr>
          <w:p w14:paraId="412F6B84" w14:textId="6397F495" w:rsidR="005570EE" w:rsidRDefault="005570EE" w:rsidP="002506B3">
            <w:pPr>
              <w:spacing w:line="276" w:lineRule="auto"/>
              <w:rPr>
                <w:rFonts w:ascii="Arial" w:hAnsi="Arial" w:cs="Arial"/>
                <w:b/>
                <w:bCs/>
                <w:color w:val="000000"/>
              </w:rPr>
            </w:pPr>
            <w:r w:rsidRPr="005570EE">
              <w:rPr>
                <w:rFonts w:ascii="Arial" w:hAnsi="Arial" w:cs="Arial"/>
                <w:b/>
                <w:bCs/>
                <w:color w:val="000000"/>
              </w:rPr>
              <w:t>NAFLD vs controls</w:t>
            </w:r>
          </w:p>
          <w:p w14:paraId="70E24B86" w14:textId="533C80CB" w:rsidR="00553A8E" w:rsidRPr="005570EE" w:rsidRDefault="00553A8E" w:rsidP="002506B3">
            <w:pPr>
              <w:spacing w:line="276" w:lineRule="auto"/>
              <w:rPr>
                <w:rFonts w:ascii="Arial" w:hAnsi="Arial" w:cs="Arial"/>
                <w:b/>
                <w:bCs/>
                <w:color w:val="000000"/>
              </w:rPr>
            </w:pPr>
            <w:r w:rsidRPr="005570EE">
              <w:rPr>
                <w:rFonts w:ascii="Arial" w:hAnsi="Arial" w:cs="Arial"/>
                <w:b/>
                <w:bCs/>
                <w:color w:val="000000"/>
              </w:rPr>
              <w:t>(n)</w:t>
            </w:r>
          </w:p>
        </w:tc>
        <w:tc>
          <w:tcPr>
            <w:tcW w:w="1389" w:type="dxa"/>
            <w:noWrap/>
            <w:hideMark/>
          </w:tcPr>
          <w:p w14:paraId="3478407A" w14:textId="77777777" w:rsidR="005570EE" w:rsidRPr="005570EE" w:rsidRDefault="005570EE" w:rsidP="002506B3">
            <w:pPr>
              <w:spacing w:line="276" w:lineRule="auto"/>
              <w:rPr>
                <w:rFonts w:ascii="Arial" w:hAnsi="Arial" w:cs="Arial"/>
                <w:b/>
                <w:bCs/>
                <w:color w:val="000000"/>
              </w:rPr>
            </w:pPr>
            <w:r w:rsidRPr="005570EE">
              <w:rPr>
                <w:rFonts w:ascii="Arial" w:hAnsi="Arial" w:cs="Arial"/>
                <w:b/>
                <w:bCs/>
                <w:color w:val="000000"/>
              </w:rPr>
              <w:t>Diagnosis of NAFLD</w:t>
            </w:r>
          </w:p>
        </w:tc>
        <w:tc>
          <w:tcPr>
            <w:tcW w:w="1311" w:type="dxa"/>
            <w:noWrap/>
            <w:hideMark/>
          </w:tcPr>
          <w:p w14:paraId="044E5846" w14:textId="77777777" w:rsidR="005570EE" w:rsidRPr="005570EE" w:rsidRDefault="005570EE" w:rsidP="002506B3">
            <w:pPr>
              <w:spacing w:line="276" w:lineRule="auto"/>
              <w:rPr>
                <w:rFonts w:ascii="Arial" w:hAnsi="Arial" w:cs="Arial"/>
                <w:b/>
                <w:bCs/>
                <w:color w:val="000000"/>
              </w:rPr>
            </w:pPr>
            <w:r w:rsidRPr="005570EE">
              <w:rPr>
                <w:rFonts w:ascii="Arial" w:hAnsi="Arial" w:cs="Arial"/>
                <w:b/>
                <w:bCs/>
                <w:color w:val="000000"/>
              </w:rPr>
              <w:t>Primary endpoint</w:t>
            </w:r>
          </w:p>
        </w:tc>
        <w:tc>
          <w:tcPr>
            <w:tcW w:w="1206" w:type="dxa"/>
            <w:noWrap/>
            <w:hideMark/>
          </w:tcPr>
          <w:p w14:paraId="4C9D21A3" w14:textId="77777777" w:rsidR="005570EE" w:rsidRPr="005570EE" w:rsidRDefault="005570EE" w:rsidP="002506B3">
            <w:pPr>
              <w:spacing w:line="276" w:lineRule="auto"/>
              <w:rPr>
                <w:rFonts w:ascii="Arial" w:hAnsi="Arial" w:cs="Arial"/>
                <w:b/>
                <w:bCs/>
                <w:color w:val="000000"/>
              </w:rPr>
            </w:pPr>
            <w:r w:rsidRPr="005570EE">
              <w:rPr>
                <w:rFonts w:ascii="Arial" w:hAnsi="Arial" w:cs="Arial"/>
                <w:b/>
                <w:bCs/>
                <w:color w:val="000000"/>
              </w:rPr>
              <w:t>Increased CVD</w:t>
            </w:r>
          </w:p>
        </w:tc>
        <w:tc>
          <w:tcPr>
            <w:tcW w:w="1206" w:type="dxa"/>
            <w:noWrap/>
            <w:hideMark/>
          </w:tcPr>
          <w:p w14:paraId="43204A7F" w14:textId="77777777" w:rsidR="005570EE" w:rsidRPr="005570EE" w:rsidRDefault="005570EE" w:rsidP="002506B3">
            <w:pPr>
              <w:spacing w:line="276" w:lineRule="auto"/>
              <w:rPr>
                <w:rFonts w:ascii="Arial" w:hAnsi="Arial" w:cs="Arial"/>
                <w:b/>
                <w:bCs/>
                <w:color w:val="000000"/>
              </w:rPr>
            </w:pPr>
            <w:r w:rsidRPr="005570EE">
              <w:rPr>
                <w:rFonts w:ascii="Arial" w:hAnsi="Arial" w:cs="Arial"/>
                <w:b/>
                <w:bCs/>
                <w:color w:val="000000"/>
              </w:rPr>
              <w:t>Adjusted CV risk</w:t>
            </w:r>
          </w:p>
        </w:tc>
        <w:tc>
          <w:tcPr>
            <w:tcW w:w="1444" w:type="dxa"/>
            <w:noWrap/>
            <w:hideMark/>
          </w:tcPr>
          <w:p w14:paraId="48D6D3A3" w14:textId="77777777" w:rsidR="005570EE" w:rsidRPr="005570EE" w:rsidRDefault="005570EE" w:rsidP="002506B3">
            <w:pPr>
              <w:spacing w:line="276" w:lineRule="auto"/>
              <w:rPr>
                <w:rFonts w:ascii="Arial" w:hAnsi="Arial" w:cs="Arial"/>
                <w:b/>
                <w:bCs/>
                <w:color w:val="000000"/>
              </w:rPr>
            </w:pPr>
            <w:r w:rsidRPr="005570EE">
              <w:rPr>
                <w:rFonts w:ascii="Arial" w:hAnsi="Arial" w:cs="Arial"/>
                <w:b/>
                <w:bCs/>
                <w:color w:val="000000"/>
              </w:rPr>
              <w:t>Study design</w:t>
            </w:r>
          </w:p>
        </w:tc>
      </w:tr>
      <w:tr w:rsidR="005570EE" w:rsidRPr="005570EE" w14:paraId="1E739428" w14:textId="77777777" w:rsidTr="00A36AEA">
        <w:trPr>
          <w:trHeight w:val="330"/>
        </w:trPr>
        <w:tc>
          <w:tcPr>
            <w:tcW w:w="1256" w:type="dxa"/>
            <w:noWrap/>
            <w:hideMark/>
          </w:tcPr>
          <w:p w14:paraId="36267150" w14:textId="5FEB570C" w:rsidR="005570EE" w:rsidRPr="005570EE" w:rsidRDefault="005570EE" w:rsidP="002506B3">
            <w:pPr>
              <w:spacing w:line="276" w:lineRule="auto"/>
              <w:rPr>
                <w:rFonts w:ascii="Arial" w:hAnsi="Arial" w:cs="Arial"/>
                <w:color w:val="000000"/>
              </w:rPr>
            </w:pPr>
            <w:r w:rsidRPr="005570EE">
              <w:rPr>
                <w:rFonts w:ascii="Arial" w:hAnsi="Arial" w:cs="Arial"/>
                <w:color w:val="000000"/>
              </w:rPr>
              <w:t>Villanova et al (</w:t>
            </w:r>
            <w:r w:rsidR="005E212D">
              <w:rPr>
                <w:rFonts w:ascii="Arial" w:hAnsi="Arial" w:cs="Arial"/>
                <w:color w:val="000000"/>
              </w:rPr>
              <w:t>22</w:t>
            </w:r>
            <w:r w:rsidRPr="005570EE">
              <w:rPr>
                <w:rFonts w:ascii="Arial" w:hAnsi="Arial" w:cs="Arial"/>
                <w:color w:val="000000"/>
              </w:rPr>
              <w:t>)</w:t>
            </w:r>
          </w:p>
        </w:tc>
        <w:tc>
          <w:tcPr>
            <w:tcW w:w="1204" w:type="dxa"/>
            <w:noWrap/>
            <w:hideMark/>
          </w:tcPr>
          <w:p w14:paraId="7BD5DA0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80</w:t>
            </w:r>
          </w:p>
        </w:tc>
        <w:tc>
          <w:tcPr>
            <w:tcW w:w="1389" w:type="dxa"/>
            <w:noWrap/>
            <w:hideMark/>
          </w:tcPr>
          <w:p w14:paraId="561977A9"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Liver biopsy</w:t>
            </w:r>
          </w:p>
        </w:tc>
        <w:tc>
          <w:tcPr>
            <w:tcW w:w="1311" w:type="dxa"/>
            <w:hideMark/>
          </w:tcPr>
          <w:p w14:paraId="2A106ED4"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Endothelial function  </w:t>
            </w:r>
          </w:p>
        </w:tc>
        <w:tc>
          <w:tcPr>
            <w:tcW w:w="1206" w:type="dxa"/>
            <w:noWrap/>
            <w:hideMark/>
          </w:tcPr>
          <w:p w14:paraId="53788C1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52A3165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559DB69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Prospective case-control, Cross-sectional</w:t>
            </w:r>
          </w:p>
        </w:tc>
      </w:tr>
      <w:tr w:rsidR="005570EE" w:rsidRPr="005570EE" w14:paraId="4AA97DE2" w14:textId="77777777" w:rsidTr="00A36AEA">
        <w:trPr>
          <w:trHeight w:val="570"/>
        </w:trPr>
        <w:tc>
          <w:tcPr>
            <w:tcW w:w="1256" w:type="dxa"/>
            <w:noWrap/>
            <w:hideMark/>
          </w:tcPr>
          <w:p w14:paraId="53078451" w14:textId="7EDA01EF" w:rsidR="005570EE" w:rsidRPr="005570EE" w:rsidRDefault="005570EE" w:rsidP="002506B3">
            <w:pPr>
              <w:spacing w:line="276" w:lineRule="auto"/>
              <w:rPr>
                <w:rFonts w:ascii="Arial" w:hAnsi="Arial" w:cs="Arial"/>
                <w:color w:val="000000"/>
              </w:rPr>
            </w:pPr>
            <w:r w:rsidRPr="005570EE">
              <w:rPr>
                <w:rFonts w:ascii="Arial" w:hAnsi="Arial" w:cs="Arial"/>
                <w:color w:val="000000"/>
              </w:rPr>
              <w:t>Brea et al (</w:t>
            </w:r>
            <w:r w:rsidR="00611AFC">
              <w:rPr>
                <w:rFonts w:ascii="Arial" w:hAnsi="Arial" w:cs="Arial"/>
                <w:color w:val="000000"/>
              </w:rPr>
              <w:t>23</w:t>
            </w:r>
            <w:r w:rsidRPr="005570EE">
              <w:rPr>
                <w:rFonts w:ascii="Arial" w:hAnsi="Arial" w:cs="Arial"/>
                <w:color w:val="000000"/>
              </w:rPr>
              <w:t>)</w:t>
            </w:r>
          </w:p>
        </w:tc>
        <w:tc>
          <w:tcPr>
            <w:tcW w:w="1204" w:type="dxa"/>
            <w:noWrap/>
            <w:hideMark/>
          </w:tcPr>
          <w:p w14:paraId="626C03B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80</w:t>
            </w:r>
          </w:p>
        </w:tc>
        <w:tc>
          <w:tcPr>
            <w:tcW w:w="1389" w:type="dxa"/>
            <w:noWrap/>
            <w:hideMark/>
          </w:tcPr>
          <w:p w14:paraId="64D6AF8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 (US)</w:t>
            </w:r>
          </w:p>
        </w:tc>
        <w:tc>
          <w:tcPr>
            <w:tcW w:w="1311" w:type="dxa"/>
            <w:hideMark/>
          </w:tcPr>
          <w:p w14:paraId="1B19F05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Carotid intima-media thickness test (CIMT) </w:t>
            </w:r>
          </w:p>
        </w:tc>
        <w:tc>
          <w:tcPr>
            <w:tcW w:w="1206" w:type="dxa"/>
            <w:noWrap/>
            <w:hideMark/>
          </w:tcPr>
          <w:p w14:paraId="4D2723C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719597F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No</w:t>
            </w:r>
          </w:p>
        </w:tc>
        <w:tc>
          <w:tcPr>
            <w:tcW w:w="1444" w:type="dxa"/>
            <w:noWrap/>
            <w:hideMark/>
          </w:tcPr>
          <w:p w14:paraId="12F48BF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Case-control, Cross-sectional </w:t>
            </w:r>
          </w:p>
        </w:tc>
      </w:tr>
      <w:tr w:rsidR="005570EE" w:rsidRPr="005570EE" w14:paraId="27905D19" w14:textId="77777777" w:rsidTr="00A36AEA">
        <w:trPr>
          <w:trHeight w:val="570"/>
        </w:trPr>
        <w:tc>
          <w:tcPr>
            <w:tcW w:w="1256" w:type="dxa"/>
            <w:noWrap/>
            <w:hideMark/>
          </w:tcPr>
          <w:p w14:paraId="634F1F11" w14:textId="007D313A" w:rsidR="005570EE" w:rsidRPr="005570EE" w:rsidRDefault="005570EE" w:rsidP="002506B3">
            <w:pPr>
              <w:spacing w:line="276" w:lineRule="auto"/>
              <w:rPr>
                <w:rFonts w:ascii="Arial" w:hAnsi="Arial" w:cs="Arial"/>
                <w:color w:val="000000"/>
              </w:rPr>
            </w:pPr>
            <w:r w:rsidRPr="005570EE">
              <w:rPr>
                <w:rFonts w:ascii="Arial" w:hAnsi="Arial" w:cs="Arial"/>
                <w:color w:val="000000"/>
              </w:rPr>
              <w:t>Adams et al (</w:t>
            </w:r>
            <w:r w:rsidR="00611AFC">
              <w:rPr>
                <w:rFonts w:ascii="Arial" w:hAnsi="Arial" w:cs="Arial"/>
                <w:color w:val="000000"/>
              </w:rPr>
              <w:t>24</w:t>
            </w:r>
            <w:r w:rsidRPr="005570EE">
              <w:rPr>
                <w:rFonts w:ascii="Arial" w:hAnsi="Arial" w:cs="Arial"/>
                <w:color w:val="000000"/>
              </w:rPr>
              <w:t>)</w:t>
            </w:r>
          </w:p>
        </w:tc>
        <w:tc>
          <w:tcPr>
            <w:tcW w:w="1204" w:type="dxa"/>
            <w:noWrap/>
            <w:hideMark/>
          </w:tcPr>
          <w:p w14:paraId="6D67B274"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420</w:t>
            </w:r>
          </w:p>
        </w:tc>
        <w:tc>
          <w:tcPr>
            <w:tcW w:w="1389" w:type="dxa"/>
            <w:hideMark/>
          </w:tcPr>
          <w:p w14:paraId="3E35FFD5"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US, CT, MRI or Liver biopsy</w:t>
            </w:r>
          </w:p>
        </w:tc>
        <w:tc>
          <w:tcPr>
            <w:tcW w:w="1311" w:type="dxa"/>
            <w:hideMark/>
          </w:tcPr>
          <w:p w14:paraId="38A4533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All cause and CV mortality</w:t>
            </w:r>
          </w:p>
        </w:tc>
        <w:tc>
          <w:tcPr>
            <w:tcW w:w="1206" w:type="dxa"/>
            <w:noWrap/>
            <w:hideMark/>
          </w:tcPr>
          <w:p w14:paraId="131A223B"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6C9FE774"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No</w:t>
            </w:r>
          </w:p>
        </w:tc>
        <w:tc>
          <w:tcPr>
            <w:tcW w:w="1444" w:type="dxa"/>
            <w:noWrap/>
            <w:hideMark/>
          </w:tcPr>
          <w:p w14:paraId="4D7F4BEB"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5EAB2B9C" w14:textId="77777777" w:rsidTr="00A36AEA">
        <w:trPr>
          <w:trHeight w:val="330"/>
        </w:trPr>
        <w:tc>
          <w:tcPr>
            <w:tcW w:w="1256" w:type="dxa"/>
            <w:noWrap/>
            <w:hideMark/>
          </w:tcPr>
          <w:p w14:paraId="6850630B" w14:textId="0AC62CC9"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lastRenderedPageBreak/>
              <w:t>Volzke</w:t>
            </w:r>
            <w:proofErr w:type="spellEnd"/>
            <w:r w:rsidRPr="005570EE">
              <w:rPr>
                <w:rFonts w:ascii="Arial" w:hAnsi="Arial" w:cs="Arial"/>
                <w:color w:val="000000"/>
              </w:rPr>
              <w:t xml:space="preserve"> et al (</w:t>
            </w:r>
            <w:r w:rsidR="00611AFC">
              <w:rPr>
                <w:rFonts w:ascii="Arial" w:hAnsi="Arial" w:cs="Arial"/>
                <w:color w:val="000000"/>
              </w:rPr>
              <w:t>25</w:t>
            </w:r>
            <w:r w:rsidRPr="005570EE">
              <w:rPr>
                <w:rFonts w:ascii="Arial" w:hAnsi="Arial" w:cs="Arial"/>
                <w:color w:val="000000"/>
              </w:rPr>
              <w:t>)</w:t>
            </w:r>
          </w:p>
        </w:tc>
        <w:tc>
          <w:tcPr>
            <w:tcW w:w="1204" w:type="dxa"/>
            <w:noWrap/>
            <w:hideMark/>
          </w:tcPr>
          <w:p w14:paraId="6EF48A7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4222</w:t>
            </w:r>
          </w:p>
        </w:tc>
        <w:tc>
          <w:tcPr>
            <w:tcW w:w="1389" w:type="dxa"/>
            <w:noWrap/>
            <w:hideMark/>
          </w:tcPr>
          <w:p w14:paraId="3670DF8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233C384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CIMT</w:t>
            </w:r>
          </w:p>
        </w:tc>
        <w:tc>
          <w:tcPr>
            <w:tcW w:w="1206" w:type="dxa"/>
            <w:noWrap/>
            <w:hideMark/>
          </w:tcPr>
          <w:p w14:paraId="5846D2E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3015D81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No</w:t>
            </w:r>
          </w:p>
        </w:tc>
        <w:tc>
          <w:tcPr>
            <w:tcW w:w="1444" w:type="dxa"/>
            <w:noWrap/>
            <w:hideMark/>
          </w:tcPr>
          <w:p w14:paraId="510F9A9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Case-control, Cross-sectional </w:t>
            </w:r>
          </w:p>
        </w:tc>
      </w:tr>
      <w:tr w:rsidR="005570EE" w:rsidRPr="005570EE" w14:paraId="1770853D" w14:textId="77777777" w:rsidTr="00A36AEA">
        <w:trPr>
          <w:trHeight w:val="330"/>
        </w:trPr>
        <w:tc>
          <w:tcPr>
            <w:tcW w:w="1256" w:type="dxa"/>
            <w:noWrap/>
            <w:hideMark/>
          </w:tcPr>
          <w:p w14:paraId="67B4F0D0" w14:textId="5EF4020C"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Ekstedt</w:t>
            </w:r>
            <w:proofErr w:type="spellEnd"/>
            <w:r w:rsidRPr="005570EE">
              <w:rPr>
                <w:rFonts w:ascii="Arial" w:hAnsi="Arial" w:cs="Arial"/>
                <w:color w:val="000000"/>
              </w:rPr>
              <w:t xml:space="preserve"> et al (</w:t>
            </w:r>
            <w:r w:rsidR="00611AFC">
              <w:rPr>
                <w:rFonts w:ascii="Arial" w:hAnsi="Arial" w:cs="Arial"/>
                <w:color w:val="000000"/>
              </w:rPr>
              <w:t>26</w:t>
            </w:r>
            <w:r w:rsidRPr="005570EE">
              <w:rPr>
                <w:rFonts w:ascii="Arial" w:hAnsi="Arial" w:cs="Arial"/>
                <w:color w:val="000000"/>
              </w:rPr>
              <w:t>)</w:t>
            </w:r>
          </w:p>
        </w:tc>
        <w:tc>
          <w:tcPr>
            <w:tcW w:w="1204" w:type="dxa"/>
            <w:noWrap/>
            <w:hideMark/>
          </w:tcPr>
          <w:p w14:paraId="2387400B"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129</w:t>
            </w:r>
          </w:p>
        </w:tc>
        <w:tc>
          <w:tcPr>
            <w:tcW w:w="1389" w:type="dxa"/>
            <w:noWrap/>
            <w:hideMark/>
          </w:tcPr>
          <w:p w14:paraId="16B0AFBA"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Liver biopsy</w:t>
            </w:r>
          </w:p>
        </w:tc>
        <w:tc>
          <w:tcPr>
            <w:tcW w:w="1311" w:type="dxa"/>
            <w:hideMark/>
          </w:tcPr>
          <w:p w14:paraId="13524239"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All cause and CV mortality</w:t>
            </w:r>
          </w:p>
        </w:tc>
        <w:tc>
          <w:tcPr>
            <w:tcW w:w="1206" w:type="dxa"/>
            <w:noWrap/>
            <w:hideMark/>
          </w:tcPr>
          <w:p w14:paraId="55C33B67" w14:textId="7B8D537A"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r w:rsidRPr="005570EE">
              <w:rPr>
                <w:rFonts w:ascii="Arial" w:hAnsi="Arial" w:cs="Arial"/>
                <w:color w:val="000000"/>
                <w:vertAlign w:val="superscript"/>
              </w:rPr>
              <w:t xml:space="preserve"> </w:t>
            </w:r>
            <w:r>
              <w:rPr>
                <w:rFonts w:ascii="Arial" w:hAnsi="Arial" w:cs="Arial"/>
                <w:color w:val="000000"/>
                <w:vertAlign w:val="superscript"/>
              </w:rPr>
              <w:t>*</w:t>
            </w:r>
          </w:p>
        </w:tc>
        <w:tc>
          <w:tcPr>
            <w:tcW w:w="1206" w:type="dxa"/>
            <w:noWrap/>
            <w:hideMark/>
          </w:tcPr>
          <w:p w14:paraId="3DCACF2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287B2614"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158C37FF" w14:textId="77777777" w:rsidTr="00A36AEA">
        <w:trPr>
          <w:trHeight w:val="330"/>
        </w:trPr>
        <w:tc>
          <w:tcPr>
            <w:tcW w:w="1256" w:type="dxa"/>
            <w:noWrap/>
            <w:hideMark/>
          </w:tcPr>
          <w:p w14:paraId="52B442EF" w14:textId="2B8591FD"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Mirbagheri</w:t>
            </w:r>
            <w:proofErr w:type="spellEnd"/>
            <w:r w:rsidRPr="005570EE">
              <w:rPr>
                <w:rFonts w:ascii="Arial" w:hAnsi="Arial" w:cs="Arial"/>
                <w:color w:val="000000"/>
              </w:rPr>
              <w:t xml:space="preserve"> et al (</w:t>
            </w:r>
            <w:r w:rsidR="00611AFC">
              <w:rPr>
                <w:rFonts w:ascii="Arial" w:hAnsi="Arial" w:cs="Arial"/>
                <w:color w:val="000000"/>
              </w:rPr>
              <w:t>27</w:t>
            </w:r>
            <w:r w:rsidRPr="005570EE">
              <w:rPr>
                <w:rFonts w:ascii="Arial" w:hAnsi="Arial" w:cs="Arial"/>
                <w:color w:val="000000"/>
              </w:rPr>
              <w:t>)</w:t>
            </w:r>
          </w:p>
        </w:tc>
        <w:tc>
          <w:tcPr>
            <w:tcW w:w="1204" w:type="dxa"/>
            <w:noWrap/>
            <w:hideMark/>
          </w:tcPr>
          <w:p w14:paraId="6878B97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171</w:t>
            </w:r>
          </w:p>
        </w:tc>
        <w:tc>
          <w:tcPr>
            <w:tcW w:w="1389" w:type="dxa"/>
            <w:noWrap/>
            <w:hideMark/>
          </w:tcPr>
          <w:p w14:paraId="7A70FB79"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5B6C55F4"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Coronary angiography</w:t>
            </w:r>
          </w:p>
        </w:tc>
        <w:tc>
          <w:tcPr>
            <w:tcW w:w="1206" w:type="dxa"/>
            <w:noWrap/>
            <w:hideMark/>
          </w:tcPr>
          <w:p w14:paraId="662A5B5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01FFE3F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50D85045"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Cross-sectional </w:t>
            </w:r>
          </w:p>
        </w:tc>
      </w:tr>
      <w:tr w:rsidR="005570EE" w:rsidRPr="005570EE" w14:paraId="1FCD121C" w14:textId="77777777" w:rsidTr="00A36AEA">
        <w:trPr>
          <w:trHeight w:val="330"/>
        </w:trPr>
        <w:tc>
          <w:tcPr>
            <w:tcW w:w="1256" w:type="dxa"/>
            <w:noWrap/>
            <w:hideMark/>
          </w:tcPr>
          <w:p w14:paraId="3F4CDC59" w14:textId="089A54E1" w:rsidR="005570EE" w:rsidRPr="005570EE" w:rsidRDefault="005570EE" w:rsidP="002506B3">
            <w:pPr>
              <w:spacing w:line="276" w:lineRule="auto"/>
              <w:rPr>
                <w:rFonts w:ascii="Arial" w:hAnsi="Arial" w:cs="Arial"/>
                <w:color w:val="000000"/>
              </w:rPr>
            </w:pPr>
            <w:r w:rsidRPr="005570EE">
              <w:rPr>
                <w:rFonts w:ascii="Arial" w:hAnsi="Arial" w:cs="Arial"/>
                <w:color w:val="000000"/>
              </w:rPr>
              <w:t>Hamaguchi et al (</w:t>
            </w:r>
            <w:r w:rsidR="00611AFC">
              <w:rPr>
                <w:rFonts w:ascii="Arial" w:hAnsi="Arial" w:cs="Arial"/>
                <w:color w:val="000000"/>
              </w:rPr>
              <w:t>28</w:t>
            </w:r>
            <w:r w:rsidRPr="005570EE">
              <w:rPr>
                <w:rFonts w:ascii="Arial" w:hAnsi="Arial" w:cs="Arial"/>
                <w:color w:val="000000"/>
              </w:rPr>
              <w:t>)</w:t>
            </w:r>
          </w:p>
        </w:tc>
        <w:tc>
          <w:tcPr>
            <w:tcW w:w="1204" w:type="dxa"/>
            <w:noWrap/>
            <w:hideMark/>
          </w:tcPr>
          <w:p w14:paraId="02AE0A5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1221</w:t>
            </w:r>
          </w:p>
        </w:tc>
        <w:tc>
          <w:tcPr>
            <w:tcW w:w="1389" w:type="dxa"/>
            <w:noWrap/>
            <w:hideMark/>
          </w:tcPr>
          <w:p w14:paraId="69CF746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56B2B57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CV events </w:t>
            </w:r>
          </w:p>
        </w:tc>
        <w:tc>
          <w:tcPr>
            <w:tcW w:w="1206" w:type="dxa"/>
            <w:noWrap/>
            <w:hideMark/>
          </w:tcPr>
          <w:p w14:paraId="20E7AF35"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7339411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76832270"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Prospective cohort, Longitudinal </w:t>
            </w:r>
          </w:p>
        </w:tc>
      </w:tr>
      <w:tr w:rsidR="005570EE" w:rsidRPr="005570EE" w14:paraId="3A88B006" w14:textId="77777777" w:rsidTr="00A36AEA">
        <w:trPr>
          <w:trHeight w:val="330"/>
        </w:trPr>
        <w:tc>
          <w:tcPr>
            <w:tcW w:w="1256" w:type="dxa"/>
            <w:noWrap/>
            <w:hideMark/>
          </w:tcPr>
          <w:p w14:paraId="193C738C" w14:textId="0F9C5721"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Schindhelm</w:t>
            </w:r>
            <w:proofErr w:type="spellEnd"/>
            <w:r w:rsidRPr="005570EE">
              <w:rPr>
                <w:rFonts w:ascii="Arial" w:hAnsi="Arial" w:cs="Arial"/>
                <w:color w:val="000000"/>
              </w:rPr>
              <w:t xml:space="preserve"> et al (</w:t>
            </w:r>
            <w:r w:rsidR="00611AFC">
              <w:rPr>
                <w:rFonts w:ascii="Arial" w:hAnsi="Arial" w:cs="Arial"/>
                <w:color w:val="000000"/>
              </w:rPr>
              <w:t>29</w:t>
            </w:r>
            <w:r w:rsidRPr="005570EE">
              <w:rPr>
                <w:rFonts w:ascii="Arial" w:hAnsi="Arial" w:cs="Arial"/>
                <w:color w:val="000000"/>
              </w:rPr>
              <w:t>)</w:t>
            </w:r>
          </w:p>
        </w:tc>
        <w:tc>
          <w:tcPr>
            <w:tcW w:w="1204" w:type="dxa"/>
            <w:noWrap/>
            <w:hideMark/>
          </w:tcPr>
          <w:p w14:paraId="3F297E4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1439</w:t>
            </w:r>
          </w:p>
        </w:tc>
        <w:tc>
          <w:tcPr>
            <w:tcW w:w="1389" w:type="dxa"/>
            <w:noWrap/>
            <w:hideMark/>
          </w:tcPr>
          <w:p w14:paraId="35DD468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ALT</w:t>
            </w:r>
          </w:p>
        </w:tc>
        <w:tc>
          <w:tcPr>
            <w:tcW w:w="1311" w:type="dxa"/>
            <w:hideMark/>
          </w:tcPr>
          <w:p w14:paraId="04E76464"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CV events</w:t>
            </w:r>
          </w:p>
        </w:tc>
        <w:tc>
          <w:tcPr>
            <w:tcW w:w="1206" w:type="dxa"/>
            <w:noWrap/>
            <w:hideMark/>
          </w:tcPr>
          <w:p w14:paraId="3C02FE69"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59E6D0D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06E5D77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3E27552C" w14:textId="77777777" w:rsidTr="00A36AEA">
        <w:trPr>
          <w:trHeight w:val="330"/>
        </w:trPr>
        <w:tc>
          <w:tcPr>
            <w:tcW w:w="1256" w:type="dxa"/>
            <w:noWrap/>
            <w:hideMark/>
          </w:tcPr>
          <w:p w14:paraId="28D5B950" w14:textId="1BB7F1A5"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Fracanzani</w:t>
            </w:r>
            <w:proofErr w:type="spellEnd"/>
            <w:r w:rsidRPr="005570EE">
              <w:rPr>
                <w:rFonts w:ascii="Arial" w:hAnsi="Arial" w:cs="Arial"/>
                <w:color w:val="000000"/>
              </w:rPr>
              <w:t xml:space="preserve"> et al (</w:t>
            </w:r>
            <w:r w:rsidR="00611AFC">
              <w:rPr>
                <w:rFonts w:ascii="Arial" w:hAnsi="Arial" w:cs="Arial"/>
                <w:color w:val="000000"/>
              </w:rPr>
              <w:t>30</w:t>
            </w:r>
            <w:r w:rsidRPr="005570EE">
              <w:rPr>
                <w:rFonts w:ascii="Arial" w:hAnsi="Arial" w:cs="Arial"/>
                <w:color w:val="000000"/>
              </w:rPr>
              <w:t>)</w:t>
            </w:r>
          </w:p>
        </w:tc>
        <w:tc>
          <w:tcPr>
            <w:tcW w:w="1204" w:type="dxa"/>
            <w:noWrap/>
            <w:hideMark/>
          </w:tcPr>
          <w:p w14:paraId="2A32F174"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375</w:t>
            </w:r>
          </w:p>
        </w:tc>
        <w:tc>
          <w:tcPr>
            <w:tcW w:w="1389" w:type="dxa"/>
            <w:noWrap/>
            <w:hideMark/>
          </w:tcPr>
          <w:p w14:paraId="7F65BC3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7CF36CD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CIMT</w:t>
            </w:r>
          </w:p>
        </w:tc>
        <w:tc>
          <w:tcPr>
            <w:tcW w:w="1206" w:type="dxa"/>
            <w:noWrap/>
            <w:hideMark/>
          </w:tcPr>
          <w:p w14:paraId="21A3578A"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1261FE1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545E3BC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Case-control, Cross-sectional </w:t>
            </w:r>
          </w:p>
        </w:tc>
      </w:tr>
      <w:tr w:rsidR="005570EE" w:rsidRPr="005570EE" w14:paraId="7A3EEEF1" w14:textId="77777777" w:rsidTr="00A36AEA">
        <w:trPr>
          <w:trHeight w:val="330"/>
        </w:trPr>
        <w:tc>
          <w:tcPr>
            <w:tcW w:w="1256" w:type="dxa"/>
            <w:noWrap/>
            <w:hideMark/>
          </w:tcPr>
          <w:p w14:paraId="05FB4EB5" w14:textId="66A9BC1E"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Goessling</w:t>
            </w:r>
            <w:proofErr w:type="spellEnd"/>
            <w:r w:rsidRPr="005570EE">
              <w:rPr>
                <w:rFonts w:ascii="Arial" w:hAnsi="Arial" w:cs="Arial"/>
                <w:color w:val="000000"/>
              </w:rPr>
              <w:t xml:space="preserve"> et al (</w:t>
            </w:r>
            <w:r w:rsidR="00611AFC">
              <w:rPr>
                <w:rFonts w:ascii="Arial" w:hAnsi="Arial" w:cs="Arial"/>
                <w:color w:val="000000"/>
              </w:rPr>
              <w:t>3</w:t>
            </w:r>
            <w:r w:rsidRPr="005570EE">
              <w:rPr>
                <w:rFonts w:ascii="Arial" w:hAnsi="Arial" w:cs="Arial"/>
                <w:color w:val="000000"/>
              </w:rPr>
              <w:t>1)</w:t>
            </w:r>
          </w:p>
        </w:tc>
        <w:tc>
          <w:tcPr>
            <w:tcW w:w="1204" w:type="dxa"/>
            <w:noWrap/>
            <w:hideMark/>
          </w:tcPr>
          <w:p w14:paraId="1507217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2812</w:t>
            </w:r>
          </w:p>
        </w:tc>
        <w:tc>
          <w:tcPr>
            <w:tcW w:w="1389" w:type="dxa"/>
            <w:noWrap/>
            <w:hideMark/>
          </w:tcPr>
          <w:p w14:paraId="4D9A9B8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AST, ALT</w:t>
            </w:r>
          </w:p>
        </w:tc>
        <w:tc>
          <w:tcPr>
            <w:tcW w:w="1311" w:type="dxa"/>
            <w:hideMark/>
          </w:tcPr>
          <w:p w14:paraId="3F4E769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CV events</w:t>
            </w:r>
          </w:p>
        </w:tc>
        <w:tc>
          <w:tcPr>
            <w:tcW w:w="1206" w:type="dxa"/>
            <w:noWrap/>
            <w:hideMark/>
          </w:tcPr>
          <w:p w14:paraId="40278CAA"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484C367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No</w:t>
            </w:r>
          </w:p>
        </w:tc>
        <w:tc>
          <w:tcPr>
            <w:tcW w:w="1444" w:type="dxa"/>
            <w:noWrap/>
            <w:hideMark/>
          </w:tcPr>
          <w:p w14:paraId="2ED3465B"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10A9585D" w14:textId="77777777" w:rsidTr="00A36AEA">
        <w:trPr>
          <w:trHeight w:val="330"/>
        </w:trPr>
        <w:tc>
          <w:tcPr>
            <w:tcW w:w="1256" w:type="dxa"/>
            <w:noWrap/>
            <w:hideMark/>
          </w:tcPr>
          <w:p w14:paraId="5B61843E" w14:textId="50E4DF62"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Aygun</w:t>
            </w:r>
            <w:proofErr w:type="spellEnd"/>
            <w:r w:rsidRPr="005570EE">
              <w:rPr>
                <w:rFonts w:ascii="Arial" w:hAnsi="Arial" w:cs="Arial"/>
                <w:color w:val="000000"/>
              </w:rPr>
              <w:t xml:space="preserve"> et al (</w:t>
            </w:r>
            <w:r w:rsidR="00611AFC">
              <w:rPr>
                <w:rFonts w:ascii="Arial" w:hAnsi="Arial" w:cs="Arial"/>
                <w:color w:val="000000"/>
              </w:rPr>
              <w:t>32</w:t>
            </w:r>
            <w:r w:rsidRPr="005570EE">
              <w:rPr>
                <w:rFonts w:ascii="Arial" w:hAnsi="Arial" w:cs="Arial"/>
                <w:color w:val="000000"/>
              </w:rPr>
              <w:t>)</w:t>
            </w:r>
          </w:p>
        </w:tc>
        <w:tc>
          <w:tcPr>
            <w:tcW w:w="1204" w:type="dxa"/>
            <w:noWrap/>
            <w:hideMark/>
          </w:tcPr>
          <w:p w14:paraId="471B1F8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80</w:t>
            </w:r>
          </w:p>
        </w:tc>
        <w:tc>
          <w:tcPr>
            <w:tcW w:w="1389" w:type="dxa"/>
            <w:noWrap/>
            <w:hideMark/>
          </w:tcPr>
          <w:p w14:paraId="76966D0A"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Liver biopsy</w:t>
            </w:r>
          </w:p>
        </w:tc>
        <w:tc>
          <w:tcPr>
            <w:tcW w:w="1311" w:type="dxa"/>
            <w:noWrap/>
            <w:hideMark/>
          </w:tcPr>
          <w:p w14:paraId="03E20C6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CIMT</w:t>
            </w:r>
          </w:p>
        </w:tc>
        <w:tc>
          <w:tcPr>
            <w:tcW w:w="1206" w:type="dxa"/>
            <w:noWrap/>
            <w:hideMark/>
          </w:tcPr>
          <w:p w14:paraId="120270F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02B440E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444" w:type="dxa"/>
            <w:noWrap/>
            <w:hideMark/>
          </w:tcPr>
          <w:p w14:paraId="582B5003"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Prospective case-control, cross-sectional</w:t>
            </w:r>
          </w:p>
        </w:tc>
      </w:tr>
      <w:tr w:rsidR="005570EE" w:rsidRPr="005570EE" w14:paraId="256183B4" w14:textId="77777777" w:rsidTr="00A36AEA">
        <w:trPr>
          <w:trHeight w:val="330"/>
        </w:trPr>
        <w:tc>
          <w:tcPr>
            <w:tcW w:w="1256" w:type="dxa"/>
            <w:noWrap/>
            <w:hideMark/>
          </w:tcPr>
          <w:p w14:paraId="4BAFA706" w14:textId="64844038" w:rsidR="005570EE" w:rsidRPr="005570EE" w:rsidRDefault="005570EE" w:rsidP="002506B3">
            <w:pPr>
              <w:spacing w:line="276" w:lineRule="auto"/>
              <w:rPr>
                <w:rFonts w:ascii="Arial" w:hAnsi="Arial" w:cs="Arial"/>
                <w:color w:val="000000"/>
              </w:rPr>
            </w:pPr>
            <w:r w:rsidRPr="005570EE">
              <w:rPr>
                <w:rFonts w:ascii="Arial" w:hAnsi="Arial" w:cs="Arial"/>
                <w:color w:val="000000"/>
              </w:rPr>
              <w:t>Haring et al (</w:t>
            </w:r>
            <w:r w:rsidR="00611AFC">
              <w:rPr>
                <w:rFonts w:ascii="Arial" w:hAnsi="Arial" w:cs="Arial"/>
                <w:color w:val="000000"/>
              </w:rPr>
              <w:t>33</w:t>
            </w:r>
            <w:r w:rsidRPr="005570EE">
              <w:rPr>
                <w:rFonts w:ascii="Arial" w:hAnsi="Arial" w:cs="Arial"/>
                <w:color w:val="000000"/>
              </w:rPr>
              <w:t>)</w:t>
            </w:r>
          </w:p>
        </w:tc>
        <w:tc>
          <w:tcPr>
            <w:tcW w:w="1204" w:type="dxa"/>
            <w:noWrap/>
            <w:hideMark/>
          </w:tcPr>
          <w:p w14:paraId="2CA776B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4160</w:t>
            </w:r>
          </w:p>
        </w:tc>
        <w:tc>
          <w:tcPr>
            <w:tcW w:w="1389" w:type="dxa"/>
            <w:noWrap/>
            <w:hideMark/>
          </w:tcPr>
          <w:p w14:paraId="2F81DC5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23EDCBB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All cause and CV mortality</w:t>
            </w:r>
          </w:p>
        </w:tc>
        <w:tc>
          <w:tcPr>
            <w:tcW w:w="1206" w:type="dxa"/>
            <w:noWrap/>
            <w:hideMark/>
          </w:tcPr>
          <w:p w14:paraId="74AE1A54" w14:textId="77C86435"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r>
              <w:rPr>
                <w:rFonts w:ascii="Arial" w:hAnsi="Arial" w:cs="Arial"/>
                <w:color w:val="000000"/>
              </w:rPr>
              <w:t>**</w:t>
            </w:r>
          </w:p>
        </w:tc>
        <w:tc>
          <w:tcPr>
            <w:tcW w:w="1206" w:type="dxa"/>
            <w:noWrap/>
            <w:hideMark/>
          </w:tcPr>
          <w:p w14:paraId="5634EE5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47A87A1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08CCC7FE" w14:textId="77777777" w:rsidTr="00A36AEA">
        <w:trPr>
          <w:trHeight w:val="330"/>
        </w:trPr>
        <w:tc>
          <w:tcPr>
            <w:tcW w:w="1256" w:type="dxa"/>
            <w:noWrap/>
            <w:hideMark/>
          </w:tcPr>
          <w:p w14:paraId="290649B6" w14:textId="6D0C37F8" w:rsidR="005570EE" w:rsidRPr="005570EE" w:rsidRDefault="005570EE" w:rsidP="002506B3">
            <w:pPr>
              <w:spacing w:line="276" w:lineRule="auto"/>
              <w:rPr>
                <w:rFonts w:ascii="Arial" w:hAnsi="Arial" w:cs="Arial"/>
                <w:color w:val="000000"/>
              </w:rPr>
            </w:pPr>
            <w:r w:rsidRPr="005570EE">
              <w:rPr>
                <w:rFonts w:ascii="Arial" w:hAnsi="Arial" w:cs="Arial"/>
                <w:color w:val="000000"/>
              </w:rPr>
              <w:t>Rafiq et al (3</w:t>
            </w:r>
            <w:r w:rsidR="00611AFC">
              <w:rPr>
                <w:rFonts w:ascii="Arial" w:hAnsi="Arial" w:cs="Arial"/>
                <w:color w:val="000000"/>
              </w:rPr>
              <w:t>4</w:t>
            </w:r>
            <w:r w:rsidRPr="005570EE">
              <w:rPr>
                <w:rFonts w:ascii="Arial" w:hAnsi="Arial" w:cs="Arial"/>
                <w:color w:val="000000"/>
              </w:rPr>
              <w:t>)</w:t>
            </w:r>
          </w:p>
        </w:tc>
        <w:tc>
          <w:tcPr>
            <w:tcW w:w="1204" w:type="dxa"/>
            <w:noWrap/>
            <w:hideMark/>
          </w:tcPr>
          <w:p w14:paraId="7146A33B"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173</w:t>
            </w:r>
          </w:p>
        </w:tc>
        <w:tc>
          <w:tcPr>
            <w:tcW w:w="1389" w:type="dxa"/>
            <w:noWrap/>
            <w:hideMark/>
          </w:tcPr>
          <w:p w14:paraId="3DF0FFA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Liver biopsy</w:t>
            </w:r>
          </w:p>
        </w:tc>
        <w:tc>
          <w:tcPr>
            <w:tcW w:w="1311" w:type="dxa"/>
            <w:hideMark/>
          </w:tcPr>
          <w:p w14:paraId="618C6ED3"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All cause and CV mortality</w:t>
            </w:r>
          </w:p>
        </w:tc>
        <w:tc>
          <w:tcPr>
            <w:tcW w:w="1206" w:type="dxa"/>
            <w:noWrap/>
            <w:hideMark/>
          </w:tcPr>
          <w:p w14:paraId="63848797" w14:textId="5DB92CE1" w:rsidR="005570EE" w:rsidRPr="005570EE" w:rsidRDefault="005570EE" w:rsidP="002506B3">
            <w:pPr>
              <w:spacing w:line="276" w:lineRule="auto"/>
              <w:rPr>
                <w:rFonts w:ascii="Arial" w:hAnsi="Arial" w:cs="Arial"/>
                <w:color w:val="000000"/>
              </w:rPr>
            </w:pPr>
            <w:r w:rsidRPr="005570EE">
              <w:rPr>
                <w:rFonts w:ascii="Arial" w:hAnsi="Arial" w:cs="Arial"/>
                <w:color w:val="000000"/>
              </w:rPr>
              <w:t>No</w:t>
            </w:r>
            <w:r>
              <w:rPr>
                <w:rFonts w:ascii="Arial" w:hAnsi="Arial" w:cs="Arial"/>
                <w:color w:val="000000"/>
              </w:rPr>
              <w:t>***</w:t>
            </w:r>
          </w:p>
        </w:tc>
        <w:tc>
          <w:tcPr>
            <w:tcW w:w="1206" w:type="dxa"/>
            <w:noWrap/>
            <w:hideMark/>
          </w:tcPr>
          <w:p w14:paraId="6E529E1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No</w:t>
            </w:r>
          </w:p>
        </w:tc>
        <w:tc>
          <w:tcPr>
            <w:tcW w:w="1444" w:type="dxa"/>
            <w:noWrap/>
            <w:hideMark/>
          </w:tcPr>
          <w:p w14:paraId="7288E52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47871BC5" w14:textId="77777777" w:rsidTr="00A36AEA">
        <w:trPr>
          <w:trHeight w:val="570"/>
        </w:trPr>
        <w:tc>
          <w:tcPr>
            <w:tcW w:w="1256" w:type="dxa"/>
            <w:noWrap/>
            <w:hideMark/>
          </w:tcPr>
          <w:p w14:paraId="33210A41" w14:textId="2904BFE7" w:rsidR="005570EE" w:rsidRPr="005570EE" w:rsidRDefault="005570EE" w:rsidP="002506B3">
            <w:pPr>
              <w:spacing w:line="276" w:lineRule="auto"/>
              <w:rPr>
                <w:rFonts w:ascii="Arial" w:hAnsi="Arial" w:cs="Arial"/>
                <w:color w:val="000000"/>
              </w:rPr>
            </w:pPr>
            <w:r w:rsidRPr="005570EE">
              <w:rPr>
                <w:rFonts w:ascii="Arial" w:hAnsi="Arial" w:cs="Arial"/>
                <w:color w:val="000000"/>
              </w:rPr>
              <w:t>Salvi et al (</w:t>
            </w:r>
            <w:r w:rsidR="00611AFC">
              <w:rPr>
                <w:rFonts w:ascii="Arial" w:hAnsi="Arial" w:cs="Arial"/>
                <w:color w:val="000000"/>
              </w:rPr>
              <w:t>35</w:t>
            </w:r>
            <w:r w:rsidRPr="005570EE">
              <w:rPr>
                <w:rFonts w:ascii="Arial" w:hAnsi="Arial" w:cs="Arial"/>
                <w:color w:val="000000"/>
              </w:rPr>
              <w:t>)</w:t>
            </w:r>
          </w:p>
        </w:tc>
        <w:tc>
          <w:tcPr>
            <w:tcW w:w="1204" w:type="dxa"/>
            <w:noWrap/>
            <w:hideMark/>
          </w:tcPr>
          <w:p w14:paraId="1593352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220</w:t>
            </w:r>
          </w:p>
        </w:tc>
        <w:tc>
          <w:tcPr>
            <w:tcW w:w="1389" w:type="dxa"/>
            <w:noWrap/>
            <w:hideMark/>
          </w:tcPr>
          <w:p w14:paraId="4B6C102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0BB5B930"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Arterial stiffness by carotid-femoral pulse wave velocity </w:t>
            </w:r>
          </w:p>
        </w:tc>
        <w:tc>
          <w:tcPr>
            <w:tcW w:w="1206" w:type="dxa"/>
            <w:noWrap/>
            <w:hideMark/>
          </w:tcPr>
          <w:p w14:paraId="558E1F4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4853EE5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444" w:type="dxa"/>
            <w:noWrap/>
            <w:hideMark/>
          </w:tcPr>
          <w:p w14:paraId="56EC6FBA"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Case-control, Cross-sectional </w:t>
            </w:r>
          </w:p>
        </w:tc>
      </w:tr>
      <w:tr w:rsidR="005570EE" w:rsidRPr="005570EE" w14:paraId="66572F03" w14:textId="77777777" w:rsidTr="00A36AEA">
        <w:trPr>
          <w:trHeight w:val="330"/>
        </w:trPr>
        <w:tc>
          <w:tcPr>
            <w:tcW w:w="1256" w:type="dxa"/>
            <w:noWrap/>
            <w:hideMark/>
          </w:tcPr>
          <w:p w14:paraId="25412F4E" w14:textId="37ECFD18" w:rsidR="005570EE" w:rsidRPr="005570EE" w:rsidRDefault="005570EE" w:rsidP="002506B3">
            <w:pPr>
              <w:spacing w:line="276" w:lineRule="auto"/>
              <w:rPr>
                <w:rFonts w:ascii="Arial" w:hAnsi="Arial" w:cs="Arial"/>
                <w:color w:val="000000"/>
              </w:rPr>
            </w:pPr>
            <w:r w:rsidRPr="005570EE">
              <w:rPr>
                <w:rFonts w:ascii="Arial" w:hAnsi="Arial" w:cs="Arial"/>
                <w:color w:val="000000"/>
              </w:rPr>
              <w:t>Soderberg et al (</w:t>
            </w:r>
            <w:r w:rsidR="00611AFC">
              <w:rPr>
                <w:rFonts w:ascii="Arial" w:hAnsi="Arial" w:cs="Arial"/>
                <w:color w:val="000000"/>
              </w:rPr>
              <w:t>36</w:t>
            </w:r>
            <w:r w:rsidRPr="005570EE">
              <w:rPr>
                <w:rFonts w:ascii="Arial" w:hAnsi="Arial" w:cs="Arial"/>
                <w:color w:val="000000"/>
              </w:rPr>
              <w:t>)</w:t>
            </w:r>
          </w:p>
        </w:tc>
        <w:tc>
          <w:tcPr>
            <w:tcW w:w="1204" w:type="dxa"/>
            <w:noWrap/>
            <w:hideMark/>
          </w:tcPr>
          <w:p w14:paraId="50C09BE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118</w:t>
            </w:r>
          </w:p>
        </w:tc>
        <w:tc>
          <w:tcPr>
            <w:tcW w:w="1389" w:type="dxa"/>
            <w:noWrap/>
            <w:hideMark/>
          </w:tcPr>
          <w:p w14:paraId="0829BB39"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Liver biopsy</w:t>
            </w:r>
          </w:p>
        </w:tc>
        <w:tc>
          <w:tcPr>
            <w:tcW w:w="1311" w:type="dxa"/>
            <w:hideMark/>
          </w:tcPr>
          <w:p w14:paraId="4400261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All cause and CV mortality</w:t>
            </w:r>
          </w:p>
        </w:tc>
        <w:tc>
          <w:tcPr>
            <w:tcW w:w="1206" w:type="dxa"/>
            <w:noWrap/>
            <w:hideMark/>
          </w:tcPr>
          <w:p w14:paraId="54C1220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206" w:type="dxa"/>
            <w:noWrap/>
            <w:hideMark/>
          </w:tcPr>
          <w:p w14:paraId="10436E2B"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05E6124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3618E787" w14:textId="77777777" w:rsidTr="00A36AEA">
        <w:trPr>
          <w:trHeight w:val="330"/>
        </w:trPr>
        <w:tc>
          <w:tcPr>
            <w:tcW w:w="1256" w:type="dxa"/>
            <w:noWrap/>
            <w:hideMark/>
          </w:tcPr>
          <w:p w14:paraId="39B37968" w14:textId="65F81415" w:rsidR="005570EE" w:rsidRPr="005570EE" w:rsidRDefault="005570EE" w:rsidP="002506B3">
            <w:pPr>
              <w:spacing w:line="276" w:lineRule="auto"/>
              <w:rPr>
                <w:rFonts w:ascii="Arial" w:hAnsi="Arial" w:cs="Arial"/>
                <w:color w:val="000000"/>
              </w:rPr>
            </w:pPr>
            <w:r w:rsidRPr="005570EE">
              <w:rPr>
                <w:rFonts w:ascii="Arial" w:hAnsi="Arial" w:cs="Arial"/>
                <w:color w:val="000000"/>
              </w:rPr>
              <w:t>Zhou et al (</w:t>
            </w:r>
            <w:r w:rsidR="00611AFC">
              <w:rPr>
                <w:rFonts w:ascii="Arial" w:hAnsi="Arial" w:cs="Arial"/>
                <w:color w:val="000000"/>
              </w:rPr>
              <w:t>37</w:t>
            </w:r>
            <w:r w:rsidRPr="005570EE">
              <w:rPr>
                <w:rFonts w:ascii="Arial" w:hAnsi="Arial" w:cs="Arial"/>
                <w:color w:val="000000"/>
              </w:rPr>
              <w:t>)</w:t>
            </w:r>
          </w:p>
        </w:tc>
        <w:tc>
          <w:tcPr>
            <w:tcW w:w="1204" w:type="dxa"/>
            <w:noWrap/>
            <w:hideMark/>
          </w:tcPr>
          <w:p w14:paraId="3545532A"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3324</w:t>
            </w:r>
          </w:p>
        </w:tc>
        <w:tc>
          <w:tcPr>
            <w:tcW w:w="1389" w:type="dxa"/>
            <w:noWrap/>
            <w:hideMark/>
          </w:tcPr>
          <w:p w14:paraId="3F94379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3424903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All cause and CV mortality</w:t>
            </w:r>
          </w:p>
        </w:tc>
        <w:tc>
          <w:tcPr>
            <w:tcW w:w="1206" w:type="dxa"/>
            <w:noWrap/>
            <w:hideMark/>
          </w:tcPr>
          <w:p w14:paraId="79BC6B75"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206" w:type="dxa"/>
            <w:noWrap/>
            <w:hideMark/>
          </w:tcPr>
          <w:p w14:paraId="4C73688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027DFB2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1316C17F" w14:textId="77777777" w:rsidTr="00A36AEA">
        <w:trPr>
          <w:trHeight w:val="330"/>
        </w:trPr>
        <w:tc>
          <w:tcPr>
            <w:tcW w:w="1256" w:type="dxa"/>
            <w:noWrap/>
            <w:hideMark/>
          </w:tcPr>
          <w:p w14:paraId="7476F026" w14:textId="1AF86BE1" w:rsidR="005570EE" w:rsidRPr="005570EE" w:rsidRDefault="005570EE" w:rsidP="002506B3">
            <w:pPr>
              <w:spacing w:line="276" w:lineRule="auto"/>
              <w:rPr>
                <w:rFonts w:ascii="Arial" w:hAnsi="Arial" w:cs="Arial"/>
                <w:color w:val="000000"/>
              </w:rPr>
            </w:pPr>
            <w:r w:rsidRPr="005570EE">
              <w:rPr>
                <w:rFonts w:ascii="Arial" w:hAnsi="Arial" w:cs="Arial"/>
                <w:color w:val="000000"/>
              </w:rPr>
              <w:t>Stepanova et al (</w:t>
            </w:r>
            <w:r w:rsidR="00611AFC">
              <w:rPr>
                <w:rFonts w:ascii="Arial" w:hAnsi="Arial" w:cs="Arial"/>
                <w:color w:val="000000"/>
              </w:rPr>
              <w:t>38</w:t>
            </w:r>
            <w:r w:rsidRPr="005570EE">
              <w:rPr>
                <w:rFonts w:ascii="Arial" w:hAnsi="Arial" w:cs="Arial"/>
                <w:color w:val="000000"/>
              </w:rPr>
              <w:t>)</w:t>
            </w:r>
          </w:p>
        </w:tc>
        <w:tc>
          <w:tcPr>
            <w:tcW w:w="1204" w:type="dxa"/>
            <w:noWrap/>
            <w:hideMark/>
          </w:tcPr>
          <w:p w14:paraId="11E7C4F0"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11,613</w:t>
            </w:r>
          </w:p>
        </w:tc>
        <w:tc>
          <w:tcPr>
            <w:tcW w:w="1389" w:type="dxa"/>
            <w:noWrap/>
            <w:hideMark/>
          </w:tcPr>
          <w:p w14:paraId="037AEAA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1D88DCB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All cause and CV mortality</w:t>
            </w:r>
          </w:p>
        </w:tc>
        <w:tc>
          <w:tcPr>
            <w:tcW w:w="1206" w:type="dxa"/>
            <w:noWrap/>
            <w:hideMark/>
          </w:tcPr>
          <w:p w14:paraId="268910D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206" w:type="dxa"/>
            <w:noWrap/>
            <w:hideMark/>
          </w:tcPr>
          <w:p w14:paraId="7358855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No</w:t>
            </w:r>
          </w:p>
        </w:tc>
        <w:tc>
          <w:tcPr>
            <w:tcW w:w="1444" w:type="dxa"/>
            <w:noWrap/>
            <w:hideMark/>
          </w:tcPr>
          <w:p w14:paraId="2601188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1CB0F7B7" w14:textId="77777777" w:rsidTr="00A36AEA">
        <w:trPr>
          <w:trHeight w:val="570"/>
        </w:trPr>
        <w:tc>
          <w:tcPr>
            <w:tcW w:w="1256" w:type="dxa"/>
            <w:noWrap/>
            <w:hideMark/>
          </w:tcPr>
          <w:p w14:paraId="6B09DF6E" w14:textId="4796FBC8" w:rsidR="005570EE" w:rsidRPr="005570EE" w:rsidRDefault="005570EE" w:rsidP="002506B3">
            <w:pPr>
              <w:spacing w:line="276" w:lineRule="auto"/>
              <w:rPr>
                <w:rFonts w:ascii="Arial" w:hAnsi="Arial" w:cs="Arial"/>
                <w:color w:val="000000"/>
              </w:rPr>
            </w:pPr>
            <w:r w:rsidRPr="005570EE">
              <w:rPr>
                <w:rFonts w:ascii="Arial" w:hAnsi="Arial" w:cs="Arial"/>
                <w:color w:val="000000"/>
              </w:rPr>
              <w:t>Lee et al (</w:t>
            </w:r>
            <w:r w:rsidR="00611AFC">
              <w:rPr>
                <w:rFonts w:ascii="Arial" w:hAnsi="Arial" w:cs="Arial"/>
                <w:color w:val="000000"/>
              </w:rPr>
              <w:t>39</w:t>
            </w:r>
            <w:r w:rsidRPr="005570EE">
              <w:rPr>
                <w:rFonts w:ascii="Arial" w:hAnsi="Arial" w:cs="Arial"/>
                <w:color w:val="000000"/>
              </w:rPr>
              <w:t>)</w:t>
            </w:r>
          </w:p>
        </w:tc>
        <w:tc>
          <w:tcPr>
            <w:tcW w:w="1204" w:type="dxa"/>
            <w:noWrap/>
            <w:hideMark/>
          </w:tcPr>
          <w:p w14:paraId="74CD64E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1442</w:t>
            </w:r>
          </w:p>
        </w:tc>
        <w:tc>
          <w:tcPr>
            <w:tcW w:w="1389" w:type="dxa"/>
            <w:noWrap/>
            <w:hideMark/>
          </w:tcPr>
          <w:p w14:paraId="06A62D4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3023811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Arterial stiffness by brachial-ankle pulse wave velocity </w:t>
            </w:r>
          </w:p>
        </w:tc>
        <w:tc>
          <w:tcPr>
            <w:tcW w:w="1206" w:type="dxa"/>
            <w:noWrap/>
            <w:hideMark/>
          </w:tcPr>
          <w:p w14:paraId="5D1B2A3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762F4CE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0FA73535"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Case-control, Cross-sectional </w:t>
            </w:r>
          </w:p>
        </w:tc>
      </w:tr>
      <w:tr w:rsidR="005570EE" w:rsidRPr="005570EE" w14:paraId="153B7683" w14:textId="77777777" w:rsidTr="00A36AEA">
        <w:trPr>
          <w:trHeight w:val="330"/>
        </w:trPr>
        <w:tc>
          <w:tcPr>
            <w:tcW w:w="1256" w:type="dxa"/>
            <w:noWrap/>
            <w:hideMark/>
          </w:tcPr>
          <w:p w14:paraId="4C1BE991" w14:textId="3E0CD9D9"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lastRenderedPageBreak/>
              <w:t>Kozakova</w:t>
            </w:r>
            <w:proofErr w:type="spellEnd"/>
            <w:r w:rsidRPr="005570EE">
              <w:rPr>
                <w:rFonts w:ascii="Arial" w:hAnsi="Arial" w:cs="Arial"/>
                <w:color w:val="000000"/>
              </w:rPr>
              <w:t xml:space="preserve"> et al (</w:t>
            </w:r>
            <w:r w:rsidR="00611AFC">
              <w:rPr>
                <w:rFonts w:ascii="Arial" w:hAnsi="Arial" w:cs="Arial"/>
                <w:color w:val="000000"/>
              </w:rPr>
              <w:t>40</w:t>
            </w:r>
            <w:r w:rsidRPr="005570EE">
              <w:rPr>
                <w:rFonts w:ascii="Arial" w:hAnsi="Arial" w:cs="Arial"/>
                <w:color w:val="000000"/>
              </w:rPr>
              <w:t>)</w:t>
            </w:r>
          </w:p>
        </w:tc>
        <w:tc>
          <w:tcPr>
            <w:tcW w:w="1204" w:type="dxa"/>
            <w:noWrap/>
            <w:hideMark/>
          </w:tcPr>
          <w:p w14:paraId="65DC4175"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1012</w:t>
            </w:r>
          </w:p>
        </w:tc>
        <w:tc>
          <w:tcPr>
            <w:tcW w:w="1389" w:type="dxa"/>
            <w:noWrap/>
            <w:hideMark/>
          </w:tcPr>
          <w:p w14:paraId="4DC800EA"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Fatty Liver Index</w:t>
            </w:r>
          </w:p>
        </w:tc>
        <w:tc>
          <w:tcPr>
            <w:tcW w:w="1311" w:type="dxa"/>
            <w:hideMark/>
          </w:tcPr>
          <w:p w14:paraId="0CD801E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CIMT</w:t>
            </w:r>
          </w:p>
        </w:tc>
        <w:tc>
          <w:tcPr>
            <w:tcW w:w="1206" w:type="dxa"/>
            <w:noWrap/>
            <w:hideMark/>
          </w:tcPr>
          <w:p w14:paraId="55CEB0A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755C8C93"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7A89D84A"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Cross-sectional </w:t>
            </w:r>
          </w:p>
        </w:tc>
      </w:tr>
      <w:tr w:rsidR="005570EE" w:rsidRPr="005570EE" w14:paraId="742FFA62" w14:textId="77777777" w:rsidTr="00A36AEA">
        <w:trPr>
          <w:trHeight w:val="570"/>
        </w:trPr>
        <w:tc>
          <w:tcPr>
            <w:tcW w:w="1256" w:type="dxa"/>
            <w:noWrap/>
            <w:hideMark/>
          </w:tcPr>
          <w:p w14:paraId="253E3B29" w14:textId="25BC6391" w:rsidR="005570EE" w:rsidRPr="005570EE" w:rsidRDefault="005570EE" w:rsidP="002506B3">
            <w:pPr>
              <w:spacing w:line="276" w:lineRule="auto"/>
              <w:rPr>
                <w:rFonts w:ascii="Arial" w:hAnsi="Arial" w:cs="Arial"/>
                <w:color w:val="000000"/>
              </w:rPr>
            </w:pPr>
            <w:r w:rsidRPr="005570EE">
              <w:rPr>
                <w:rFonts w:ascii="Arial" w:hAnsi="Arial" w:cs="Arial"/>
                <w:color w:val="000000"/>
              </w:rPr>
              <w:t>Kim et al (</w:t>
            </w:r>
            <w:r w:rsidR="00611AFC">
              <w:rPr>
                <w:rFonts w:ascii="Arial" w:hAnsi="Arial" w:cs="Arial"/>
                <w:color w:val="000000"/>
              </w:rPr>
              <w:t>41</w:t>
            </w:r>
            <w:r w:rsidRPr="005570EE">
              <w:rPr>
                <w:rFonts w:ascii="Arial" w:hAnsi="Arial" w:cs="Arial"/>
                <w:color w:val="000000"/>
              </w:rPr>
              <w:t>)</w:t>
            </w:r>
          </w:p>
        </w:tc>
        <w:tc>
          <w:tcPr>
            <w:tcW w:w="1204" w:type="dxa"/>
            <w:noWrap/>
            <w:hideMark/>
          </w:tcPr>
          <w:p w14:paraId="5F7056E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4023</w:t>
            </w:r>
          </w:p>
        </w:tc>
        <w:tc>
          <w:tcPr>
            <w:tcW w:w="1389" w:type="dxa"/>
            <w:noWrap/>
            <w:hideMark/>
          </w:tcPr>
          <w:p w14:paraId="73C1DE69"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6F7E58D4"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Coronary artery calcification score by CT </w:t>
            </w:r>
          </w:p>
        </w:tc>
        <w:tc>
          <w:tcPr>
            <w:tcW w:w="1206" w:type="dxa"/>
            <w:noWrap/>
            <w:hideMark/>
          </w:tcPr>
          <w:p w14:paraId="5D22B26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1723F1B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444" w:type="dxa"/>
            <w:noWrap/>
            <w:hideMark/>
          </w:tcPr>
          <w:p w14:paraId="58FCC575"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Cross-sectional </w:t>
            </w:r>
          </w:p>
        </w:tc>
      </w:tr>
      <w:tr w:rsidR="005570EE" w:rsidRPr="005570EE" w14:paraId="78385313" w14:textId="77777777" w:rsidTr="00A36AEA">
        <w:trPr>
          <w:trHeight w:val="570"/>
        </w:trPr>
        <w:tc>
          <w:tcPr>
            <w:tcW w:w="1256" w:type="dxa"/>
            <w:noWrap/>
            <w:hideMark/>
          </w:tcPr>
          <w:p w14:paraId="6FA57C7B" w14:textId="2650D630"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Hallsworth</w:t>
            </w:r>
            <w:proofErr w:type="spellEnd"/>
            <w:r w:rsidRPr="005570EE">
              <w:rPr>
                <w:rFonts w:ascii="Arial" w:hAnsi="Arial" w:cs="Arial"/>
                <w:color w:val="000000"/>
              </w:rPr>
              <w:t xml:space="preserve"> et al (</w:t>
            </w:r>
            <w:r w:rsidR="00611AFC">
              <w:rPr>
                <w:rFonts w:ascii="Arial" w:hAnsi="Arial" w:cs="Arial"/>
                <w:color w:val="000000"/>
              </w:rPr>
              <w:t>4</w:t>
            </w:r>
            <w:r w:rsidRPr="005570EE">
              <w:rPr>
                <w:rFonts w:ascii="Arial" w:hAnsi="Arial" w:cs="Arial"/>
                <w:color w:val="000000"/>
              </w:rPr>
              <w:t>2)</w:t>
            </w:r>
          </w:p>
        </w:tc>
        <w:tc>
          <w:tcPr>
            <w:tcW w:w="1204" w:type="dxa"/>
            <w:noWrap/>
            <w:hideMark/>
          </w:tcPr>
          <w:p w14:paraId="3AA576B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38</w:t>
            </w:r>
          </w:p>
        </w:tc>
        <w:tc>
          <w:tcPr>
            <w:tcW w:w="1389" w:type="dxa"/>
            <w:noWrap/>
            <w:hideMark/>
          </w:tcPr>
          <w:p w14:paraId="78C72F73"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MR spectroscopy </w:t>
            </w:r>
          </w:p>
        </w:tc>
        <w:tc>
          <w:tcPr>
            <w:tcW w:w="1311" w:type="dxa"/>
            <w:hideMark/>
          </w:tcPr>
          <w:p w14:paraId="0C74561A"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LV dysfunction by cardiac MRI </w:t>
            </w:r>
          </w:p>
        </w:tc>
        <w:tc>
          <w:tcPr>
            <w:tcW w:w="1206" w:type="dxa"/>
            <w:noWrap/>
            <w:hideMark/>
          </w:tcPr>
          <w:p w14:paraId="6617D8B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3BE1EA4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64E6758B"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Case-control, Cross-sectional </w:t>
            </w:r>
          </w:p>
        </w:tc>
      </w:tr>
      <w:tr w:rsidR="005570EE" w:rsidRPr="005570EE" w14:paraId="3064073B" w14:textId="77777777" w:rsidTr="00A36AEA">
        <w:trPr>
          <w:trHeight w:val="855"/>
        </w:trPr>
        <w:tc>
          <w:tcPr>
            <w:tcW w:w="1256" w:type="dxa"/>
            <w:noWrap/>
            <w:hideMark/>
          </w:tcPr>
          <w:p w14:paraId="23D7EA3A" w14:textId="67D9A6BD"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Colak</w:t>
            </w:r>
            <w:proofErr w:type="spellEnd"/>
            <w:r w:rsidRPr="005570EE">
              <w:rPr>
                <w:rFonts w:ascii="Arial" w:hAnsi="Arial" w:cs="Arial"/>
                <w:color w:val="000000"/>
              </w:rPr>
              <w:t xml:space="preserve"> et al (</w:t>
            </w:r>
            <w:r w:rsidR="00611AFC">
              <w:rPr>
                <w:rFonts w:ascii="Arial" w:hAnsi="Arial" w:cs="Arial"/>
                <w:color w:val="000000"/>
              </w:rPr>
              <w:t>43</w:t>
            </w:r>
            <w:r w:rsidRPr="005570EE">
              <w:rPr>
                <w:rFonts w:ascii="Arial" w:hAnsi="Arial" w:cs="Arial"/>
                <w:color w:val="000000"/>
              </w:rPr>
              <w:t>)</w:t>
            </w:r>
          </w:p>
        </w:tc>
        <w:tc>
          <w:tcPr>
            <w:tcW w:w="1204" w:type="dxa"/>
            <w:noWrap/>
            <w:hideMark/>
          </w:tcPr>
          <w:p w14:paraId="2D41835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72</w:t>
            </w:r>
          </w:p>
        </w:tc>
        <w:tc>
          <w:tcPr>
            <w:tcW w:w="1389" w:type="dxa"/>
            <w:noWrap/>
            <w:hideMark/>
          </w:tcPr>
          <w:p w14:paraId="4557A8D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Liver biopsy </w:t>
            </w:r>
          </w:p>
        </w:tc>
        <w:tc>
          <w:tcPr>
            <w:tcW w:w="1311" w:type="dxa"/>
            <w:hideMark/>
          </w:tcPr>
          <w:p w14:paraId="4EF642C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Endothelial function by flow mediated dilation (FMD) and CIMT</w:t>
            </w:r>
          </w:p>
        </w:tc>
        <w:tc>
          <w:tcPr>
            <w:tcW w:w="1206" w:type="dxa"/>
            <w:noWrap/>
            <w:hideMark/>
          </w:tcPr>
          <w:p w14:paraId="586DEA3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0BBE68B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444" w:type="dxa"/>
            <w:noWrap/>
            <w:hideMark/>
          </w:tcPr>
          <w:p w14:paraId="22C310B0"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Observational case-control, cross-sectional</w:t>
            </w:r>
          </w:p>
        </w:tc>
      </w:tr>
      <w:tr w:rsidR="005570EE" w:rsidRPr="005570EE" w14:paraId="080D4D9B" w14:textId="77777777" w:rsidTr="00A36AEA">
        <w:trPr>
          <w:trHeight w:val="330"/>
        </w:trPr>
        <w:tc>
          <w:tcPr>
            <w:tcW w:w="1256" w:type="dxa"/>
            <w:noWrap/>
            <w:hideMark/>
          </w:tcPr>
          <w:p w14:paraId="08762D5E" w14:textId="0668A1D6"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Pisto</w:t>
            </w:r>
            <w:proofErr w:type="spellEnd"/>
            <w:r w:rsidRPr="005570EE">
              <w:rPr>
                <w:rFonts w:ascii="Arial" w:hAnsi="Arial" w:cs="Arial"/>
                <w:color w:val="000000"/>
              </w:rPr>
              <w:t xml:space="preserve"> et al (</w:t>
            </w:r>
            <w:r w:rsidR="00611AFC">
              <w:rPr>
                <w:rFonts w:ascii="Arial" w:hAnsi="Arial" w:cs="Arial"/>
                <w:color w:val="000000"/>
              </w:rPr>
              <w:t>44</w:t>
            </w:r>
            <w:r w:rsidRPr="005570EE">
              <w:rPr>
                <w:rFonts w:ascii="Arial" w:hAnsi="Arial" w:cs="Arial"/>
                <w:color w:val="000000"/>
              </w:rPr>
              <w:t>)</w:t>
            </w:r>
          </w:p>
        </w:tc>
        <w:tc>
          <w:tcPr>
            <w:tcW w:w="1204" w:type="dxa"/>
            <w:noWrap/>
            <w:hideMark/>
          </w:tcPr>
          <w:p w14:paraId="38B714D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988</w:t>
            </w:r>
          </w:p>
        </w:tc>
        <w:tc>
          <w:tcPr>
            <w:tcW w:w="1389" w:type="dxa"/>
            <w:noWrap/>
            <w:hideMark/>
          </w:tcPr>
          <w:p w14:paraId="62A73D9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44F2C09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CV events </w:t>
            </w:r>
          </w:p>
        </w:tc>
        <w:tc>
          <w:tcPr>
            <w:tcW w:w="1206" w:type="dxa"/>
            <w:noWrap/>
            <w:hideMark/>
          </w:tcPr>
          <w:p w14:paraId="2FD4436B"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206" w:type="dxa"/>
            <w:noWrap/>
            <w:hideMark/>
          </w:tcPr>
          <w:p w14:paraId="7D2B276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No</w:t>
            </w:r>
          </w:p>
        </w:tc>
        <w:tc>
          <w:tcPr>
            <w:tcW w:w="1444" w:type="dxa"/>
            <w:noWrap/>
            <w:hideMark/>
          </w:tcPr>
          <w:p w14:paraId="7B946C57"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2E2F12F7" w14:textId="77777777" w:rsidTr="00A36AEA">
        <w:trPr>
          <w:trHeight w:val="330"/>
        </w:trPr>
        <w:tc>
          <w:tcPr>
            <w:tcW w:w="1256" w:type="dxa"/>
            <w:noWrap/>
            <w:hideMark/>
          </w:tcPr>
          <w:p w14:paraId="0166DA80" w14:textId="06814ED8"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Ekstedt</w:t>
            </w:r>
            <w:proofErr w:type="spellEnd"/>
            <w:r w:rsidRPr="005570EE">
              <w:rPr>
                <w:rFonts w:ascii="Arial" w:hAnsi="Arial" w:cs="Arial"/>
                <w:color w:val="000000"/>
              </w:rPr>
              <w:t xml:space="preserve"> et al (</w:t>
            </w:r>
            <w:r w:rsidR="00611AFC">
              <w:rPr>
                <w:rFonts w:ascii="Arial" w:hAnsi="Arial" w:cs="Arial"/>
                <w:color w:val="000000"/>
              </w:rPr>
              <w:t>45</w:t>
            </w:r>
            <w:r w:rsidRPr="005570EE">
              <w:rPr>
                <w:rFonts w:ascii="Arial" w:hAnsi="Arial" w:cs="Arial"/>
                <w:color w:val="000000"/>
              </w:rPr>
              <w:t>)</w:t>
            </w:r>
          </w:p>
        </w:tc>
        <w:tc>
          <w:tcPr>
            <w:tcW w:w="1204" w:type="dxa"/>
            <w:noWrap/>
            <w:hideMark/>
          </w:tcPr>
          <w:p w14:paraId="61D913E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2515</w:t>
            </w:r>
          </w:p>
        </w:tc>
        <w:tc>
          <w:tcPr>
            <w:tcW w:w="1389" w:type="dxa"/>
            <w:noWrap/>
            <w:hideMark/>
          </w:tcPr>
          <w:p w14:paraId="5FDD4F9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Liver biopsy </w:t>
            </w:r>
          </w:p>
        </w:tc>
        <w:tc>
          <w:tcPr>
            <w:tcW w:w="1311" w:type="dxa"/>
            <w:noWrap/>
            <w:hideMark/>
          </w:tcPr>
          <w:p w14:paraId="48446FB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CV events </w:t>
            </w:r>
          </w:p>
        </w:tc>
        <w:tc>
          <w:tcPr>
            <w:tcW w:w="1206" w:type="dxa"/>
            <w:noWrap/>
            <w:hideMark/>
          </w:tcPr>
          <w:p w14:paraId="047F6B7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hideMark/>
          </w:tcPr>
          <w:p w14:paraId="274BA5B4" w14:textId="23FB95AC" w:rsidR="005570EE" w:rsidRPr="005570EE" w:rsidRDefault="005570EE" w:rsidP="002506B3">
            <w:pPr>
              <w:spacing w:line="276" w:lineRule="auto"/>
              <w:rPr>
                <w:rFonts w:ascii="Arial" w:hAnsi="Arial" w:cs="Arial"/>
                <w:color w:val="000000"/>
              </w:rPr>
            </w:pPr>
            <w:r w:rsidRPr="005570EE">
              <w:rPr>
                <w:rFonts w:ascii="Arial" w:hAnsi="Arial" w:cs="Arial"/>
                <w:color w:val="000000"/>
              </w:rPr>
              <w:t>No</w:t>
            </w:r>
            <w:r>
              <w:rPr>
                <w:rFonts w:ascii="Arial" w:hAnsi="Arial" w:cs="Arial"/>
                <w:color w:val="000000"/>
              </w:rPr>
              <w:t>****</w:t>
            </w:r>
            <w:r w:rsidRPr="005570EE">
              <w:rPr>
                <w:rFonts w:ascii="Arial" w:hAnsi="Arial" w:cs="Arial"/>
                <w:color w:val="000000"/>
              </w:rPr>
              <w:t xml:space="preserve"> </w:t>
            </w:r>
          </w:p>
        </w:tc>
        <w:tc>
          <w:tcPr>
            <w:tcW w:w="1444" w:type="dxa"/>
            <w:noWrap/>
            <w:hideMark/>
          </w:tcPr>
          <w:p w14:paraId="1C20B79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Retrospective cohort, Longitudinal </w:t>
            </w:r>
          </w:p>
        </w:tc>
      </w:tr>
      <w:tr w:rsidR="005570EE" w:rsidRPr="005570EE" w14:paraId="70503123" w14:textId="77777777" w:rsidTr="00A36AEA">
        <w:trPr>
          <w:trHeight w:val="330"/>
        </w:trPr>
        <w:tc>
          <w:tcPr>
            <w:tcW w:w="1256" w:type="dxa"/>
            <w:noWrap/>
            <w:hideMark/>
          </w:tcPr>
          <w:p w14:paraId="5EF746AD" w14:textId="503DA2D9" w:rsidR="005570EE" w:rsidRPr="005570EE" w:rsidRDefault="005570EE" w:rsidP="002506B3">
            <w:pPr>
              <w:spacing w:line="276" w:lineRule="auto"/>
              <w:rPr>
                <w:rFonts w:ascii="Arial" w:hAnsi="Arial" w:cs="Arial"/>
                <w:color w:val="000000"/>
              </w:rPr>
            </w:pPr>
            <w:r w:rsidRPr="005570EE">
              <w:rPr>
                <w:rFonts w:ascii="Arial" w:hAnsi="Arial" w:cs="Arial"/>
                <w:color w:val="000000"/>
              </w:rPr>
              <w:t>Zeb et al (</w:t>
            </w:r>
            <w:r w:rsidR="00611AFC">
              <w:rPr>
                <w:rFonts w:ascii="Arial" w:hAnsi="Arial" w:cs="Arial"/>
                <w:color w:val="000000"/>
              </w:rPr>
              <w:t>46</w:t>
            </w:r>
            <w:r w:rsidRPr="005570EE">
              <w:rPr>
                <w:rFonts w:ascii="Arial" w:hAnsi="Arial" w:cs="Arial"/>
                <w:color w:val="000000"/>
              </w:rPr>
              <w:t>)</w:t>
            </w:r>
          </w:p>
        </w:tc>
        <w:tc>
          <w:tcPr>
            <w:tcW w:w="1204" w:type="dxa"/>
            <w:noWrap/>
            <w:hideMark/>
          </w:tcPr>
          <w:p w14:paraId="4F5F367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4119</w:t>
            </w:r>
          </w:p>
        </w:tc>
        <w:tc>
          <w:tcPr>
            <w:tcW w:w="1389" w:type="dxa"/>
            <w:noWrap/>
            <w:hideMark/>
          </w:tcPr>
          <w:p w14:paraId="12BA1282"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CT</w:t>
            </w:r>
          </w:p>
        </w:tc>
        <w:tc>
          <w:tcPr>
            <w:tcW w:w="1311" w:type="dxa"/>
            <w:hideMark/>
          </w:tcPr>
          <w:p w14:paraId="0764C871"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CV events </w:t>
            </w:r>
          </w:p>
        </w:tc>
        <w:tc>
          <w:tcPr>
            <w:tcW w:w="1206" w:type="dxa"/>
            <w:noWrap/>
            <w:hideMark/>
          </w:tcPr>
          <w:p w14:paraId="406A47E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206" w:type="dxa"/>
            <w:noWrap/>
            <w:hideMark/>
          </w:tcPr>
          <w:p w14:paraId="4855533E"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p>
        </w:tc>
        <w:tc>
          <w:tcPr>
            <w:tcW w:w="1444" w:type="dxa"/>
            <w:noWrap/>
            <w:hideMark/>
          </w:tcPr>
          <w:p w14:paraId="0C6741B3"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Prospective cohort, Longitudinal </w:t>
            </w:r>
          </w:p>
        </w:tc>
      </w:tr>
      <w:tr w:rsidR="005570EE" w:rsidRPr="005570EE" w14:paraId="774A4FE8" w14:textId="77777777" w:rsidTr="00A36AEA">
        <w:trPr>
          <w:trHeight w:val="330"/>
        </w:trPr>
        <w:tc>
          <w:tcPr>
            <w:tcW w:w="1256" w:type="dxa"/>
            <w:noWrap/>
            <w:hideMark/>
          </w:tcPr>
          <w:p w14:paraId="4F7A05FF" w14:textId="2A4349A2" w:rsidR="005570EE" w:rsidRPr="005570EE" w:rsidRDefault="005570EE" w:rsidP="002506B3">
            <w:pPr>
              <w:spacing w:line="276" w:lineRule="auto"/>
              <w:rPr>
                <w:rFonts w:ascii="Arial" w:hAnsi="Arial" w:cs="Arial"/>
                <w:color w:val="000000"/>
              </w:rPr>
            </w:pPr>
            <w:proofErr w:type="spellStart"/>
            <w:r w:rsidRPr="005570EE">
              <w:rPr>
                <w:rFonts w:ascii="Arial" w:hAnsi="Arial" w:cs="Arial"/>
                <w:color w:val="000000"/>
              </w:rPr>
              <w:t>Fracanzani</w:t>
            </w:r>
            <w:proofErr w:type="spellEnd"/>
            <w:r w:rsidRPr="005570EE">
              <w:rPr>
                <w:rFonts w:ascii="Arial" w:hAnsi="Arial" w:cs="Arial"/>
                <w:color w:val="000000"/>
              </w:rPr>
              <w:t xml:space="preserve"> et al (</w:t>
            </w:r>
            <w:r w:rsidR="00611AFC">
              <w:rPr>
                <w:rFonts w:ascii="Arial" w:hAnsi="Arial" w:cs="Arial"/>
                <w:color w:val="000000"/>
              </w:rPr>
              <w:t>47</w:t>
            </w:r>
            <w:r w:rsidRPr="005570EE">
              <w:rPr>
                <w:rFonts w:ascii="Arial" w:hAnsi="Arial" w:cs="Arial"/>
                <w:color w:val="000000"/>
              </w:rPr>
              <w:t>)</w:t>
            </w:r>
          </w:p>
        </w:tc>
        <w:tc>
          <w:tcPr>
            <w:tcW w:w="1204" w:type="dxa"/>
            <w:noWrap/>
            <w:hideMark/>
          </w:tcPr>
          <w:p w14:paraId="1744F243"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273</w:t>
            </w:r>
          </w:p>
        </w:tc>
        <w:tc>
          <w:tcPr>
            <w:tcW w:w="1389" w:type="dxa"/>
            <w:noWrap/>
            <w:hideMark/>
          </w:tcPr>
          <w:p w14:paraId="4B0EBA0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noWrap/>
            <w:hideMark/>
          </w:tcPr>
          <w:p w14:paraId="0F034F2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CIMT</w:t>
            </w:r>
          </w:p>
        </w:tc>
        <w:tc>
          <w:tcPr>
            <w:tcW w:w="1206" w:type="dxa"/>
            <w:noWrap/>
            <w:hideMark/>
          </w:tcPr>
          <w:p w14:paraId="0D01206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206" w:type="dxa"/>
            <w:noWrap/>
            <w:hideMark/>
          </w:tcPr>
          <w:p w14:paraId="7F44EBF3"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Yes </w:t>
            </w:r>
          </w:p>
        </w:tc>
        <w:tc>
          <w:tcPr>
            <w:tcW w:w="1444" w:type="dxa"/>
            <w:noWrap/>
            <w:hideMark/>
          </w:tcPr>
          <w:p w14:paraId="121CD5FF"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Prospective cohort, Longitudinal </w:t>
            </w:r>
          </w:p>
        </w:tc>
      </w:tr>
      <w:tr w:rsidR="005570EE" w:rsidRPr="005570EE" w14:paraId="1902AFF1" w14:textId="77777777" w:rsidTr="00A36AEA">
        <w:trPr>
          <w:trHeight w:val="570"/>
        </w:trPr>
        <w:tc>
          <w:tcPr>
            <w:tcW w:w="1256" w:type="dxa"/>
            <w:noWrap/>
            <w:hideMark/>
          </w:tcPr>
          <w:p w14:paraId="78E860ED" w14:textId="63CE493C" w:rsidR="005570EE" w:rsidRPr="005570EE" w:rsidRDefault="005570EE" w:rsidP="002506B3">
            <w:pPr>
              <w:spacing w:line="276" w:lineRule="auto"/>
              <w:rPr>
                <w:rFonts w:ascii="Arial" w:hAnsi="Arial" w:cs="Arial"/>
                <w:color w:val="000000"/>
              </w:rPr>
            </w:pPr>
            <w:r w:rsidRPr="005570EE">
              <w:rPr>
                <w:rFonts w:ascii="Arial" w:hAnsi="Arial" w:cs="Arial"/>
                <w:color w:val="000000"/>
              </w:rPr>
              <w:t>Wong et al (</w:t>
            </w:r>
            <w:r w:rsidR="00611AFC">
              <w:rPr>
                <w:rFonts w:ascii="Arial" w:hAnsi="Arial" w:cs="Arial"/>
                <w:color w:val="000000"/>
              </w:rPr>
              <w:t>48</w:t>
            </w:r>
            <w:r w:rsidRPr="005570EE">
              <w:rPr>
                <w:rFonts w:ascii="Arial" w:hAnsi="Arial" w:cs="Arial"/>
                <w:color w:val="000000"/>
              </w:rPr>
              <w:t>)</w:t>
            </w:r>
          </w:p>
        </w:tc>
        <w:tc>
          <w:tcPr>
            <w:tcW w:w="1204" w:type="dxa"/>
            <w:noWrap/>
            <w:hideMark/>
          </w:tcPr>
          <w:p w14:paraId="05DB68CD"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612</w:t>
            </w:r>
          </w:p>
        </w:tc>
        <w:tc>
          <w:tcPr>
            <w:tcW w:w="1389" w:type="dxa"/>
            <w:noWrap/>
            <w:hideMark/>
          </w:tcPr>
          <w:p w14:paraId="4D5027F6"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Ultrasound</w:t>
            </w:r>
          </w:p>
        </w:tc>
        <w:tc>
          <w:tcPr>
            <w:tcW w:w="1311" w:type="dxa"/>
            <w:hideMark/>
          </w:tcPr>
          <w:p w14:paraId="1719D7A5"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CV events, Coronary artery stenosis by angiogram</w:t>
            </w:r>
          </w:p>
        </w:tc>
        <w:tc>
          <w:tcPr>
            <w:tcW w:w="1206" w:type="dxa"/>
            <w:hideMark/>
          </w:tcPr>
          <w:p w14:paraId="55728F29" w14:textId="05A9AA79" w:rsidR="005570EE" w:rsidRPr="005570EE" w:rsidRDefault="005570EE" w:rsidP="002506B3">
            <w:pPr>
              <w:spacing w:line="276" w:lineRule="auto"/>
              <w:rPr>
                <w:rFonts w:ascii="Arial" w:hAnsi="Arial" w:cs="Arial"/>
                <w:color w:val="000000"/>
              </w:rPr>
            </w:pPr>
            <w:r w:rsidRPr="005570EE">
              <w:rPr>
                <w:rFonts w:ascii="Arial" w:hAnsi="Arial" w:cs="Arial"/>
                <w:color w:val="000000"/>
              </w:rPr>
              <w:t>Yes*</w:t>
            </w:r>
            <w:r>
              <w:rPr>
                <w:rFonts w:ascii="Arial" w:hAnsi="Arial" w:cs="Arial"/>
                <w:color w:val="000000"/>
              </w:rPr>
              <w:t>****</w:t>
            </w:r>
          </w:p>
        </w:tc>
        <w:tc>
          <w:tcPr>
            <w:tcW w:w="1206" w:type="dxa"/>
            <w:hideMark/>
          </w:tcPr>
          <w:p w14:paraId="26EAF6E8"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No </w:t>
            </w:r>
          </w:p>
        </w:tc>
        <w:tc>
          <w:tcPr>
            <w:tcW w:w="1444" w:type="dxa"/>
            <w:noWrap/>
            <w:hideMark/>
          </w:tcPr>
          <w:p w14:paraId="1F0EE20C" w14:textId="77777777" w:rsidR="005570EE" w:rsidRPr="005570EE" w:rsidRDefault="005570EE" w:rsidP="002506B3">
            <w:pPr>
              <w:spacing w:line="276" w:lineRule="auto"/>
              <w:rPr>
                <w:rFonts w:ascii="Arial" w:hAnsi="Arial" w:cs="Arial"/>
                <w:color w:val="000000"/>
              </w:rPr>
            </w:pPr>
            <w:r w:rsidRPr="005570EE">
              <w:rPr>
                <w:rFonts w:ascii="Arial" w:hAnsi="Arial" w:cs="Arial"/>
                <w:color w:val="000000"/>
              </w:rPr>
              <w:t xml:space="preserve">Prospective cohort, Longitudinal </w:t>
            </w:r>
          </w:p>
        </w:tc>
      </w:tr>
    </w:tbl>
    <w:tbl>
      <w:tblPr>
        <w:tblW w:w="31680" w:type="dxa"/>
        <w:tblLook w:val="04A0" w:firstRow="1" w:lastRow="0" w:firstColumn="1" w:lastColumn="0" w:noHBand="0" w:noVBand="1"/>
      </w:tblPr>
      <w:tblGrid>
        <w:gridCol w:w="2528"/>
        <w:gridCol w:w="2528"/>
        <w:gridCol w:w="2528"/>
        <w:gridCol w:w="2528"/>
        <w:gridCol w:w="2027"/>
        <w:gridCol w:w="2027"/>
        <w:gridCol w:w="4345"/>
        <w:gridCol w:w="13169"/>
      </w:tblGrid>
      <w:tr w:rsidR="005570EE" w:rsidRPr="005570EE" w14:paraId="4D6F83C8" w14:textId="77777777" w:rsidTr="005570EE">
        <w:trPr>
          <w:trHeight w:val="285"/>
        </w:trPr>
        <w:tc>
          <w:tcPr>
            <w:tcW w:w="10112" w:type="dxa"/>
            <w:gridSpan w:val="4"/>
            <w:tcBorders>
              <w:top w:val="nil"/>
              <w:left w:val="nil"/>
              <w:bottom w:val="nil"/>
              <w:right w:val="nil"/>
            </w:tcBorders>
            <w:shd w:val="clear" w:color="auto" w:fill="auto"/>
            <w:noWrap/>
            <w:vAlign w:val="bottom"/>
            <w:hideMark/>
          </w:tcPr>
          <w:p w14:paraId="6DE57802" w14:textId="2CDE1DF9" w:rsidR="005570EE" w:rsidRPr="00760D1B" w:rsidRDefault="005570EE" w:rsidP="002506B3">
            <w:pPr>
              <w:spacing w:after="0" w:line="276" w:lineRule="auto"/>
              <w:rPr>
                <w:rFonts w:ascii="Arial" w:eastAsia="Times New Roman" w:hAnsi="Arial" w:cs="Arial"/>
                <w:color w:val="000000"/>
              </w:rPr>
            </w:pPr>
            <w:r w:rsidRPr="00760D1B">
              <w:rPr>
                <w:rFonts w:ascii="Arial" w:eastAsia="Times New Roman" w:hAnsi="Arial" w:cs="Arial"/>
                <w:color w:val="000000"/>
              </w:rPr>
              <w:t>*Patients with NASH but not with only steatosis had increased cardiovascular mortality.</w:t>
            </w:r>
          </w:p>
        </w:tc>
        <w:tc>
          <w:tcPr>
            <w:tcW w:w="2027" w:type="dxa"/>
            <w:tcBorders>
              <w:top w:val="nil"/>
              <w:left w:val="nil"/>
              <w:bottom w:val="nil"/>
              <w:right w:val="nil"/>
            </w:tcBorders>
            <w:shd w:val="clear" w:color="auto" w:fill="auto"/>
            <w:noWrap/>
            <w:vAlign w:val="bottom"/>
            <w:hideMark/>
          </w:tcPr>
          <w:p w14:paraId="1739DDBD" w14:textId="77777777" w:rsidR="005570EE" w:rsidRPr="00760D1B" w:rsidRDefault="005570EE" w:rsidP="002506B3">
            <w:pPr>
              <w:spacing w:after="0" w:line="276" w:lineRule="auto"/>
              <w:rPr>
                <w:rFonts w:ascii="Arial" w:eastAsia="Times New Roman" w:hAnsi="Arial" w:cs="Arial"/>
                <w:color w:val="000000"/>
              </w:rPr>
            </w:pPr>
          </w:p>
        </w:tc>
        <w:tc>
          <w:tcPr>
            <w:tcW w:w="2027" w:type="dxa"/>
            <w:tcBorders>
              <w:top w:val="nil"/>
              <w:left w:val="nil"/>
              <w:bottom w:val="nil"/>
              <w:right w:val="nil"/>
            </w:tcBorders>
            <w:shd w:val="clear" w:color="auto" w:fill="auto"/>
            <w:noWrap/>
            <w:vAlign w:val="bottom"/>
            <w:hideMark/>
          </w:tcPr>
          <w:p w14:paraId="21FC5CA0" w14:textId="77777777" w:rsidR="005570EE" w:rsidRPr="00760D1B" w:rsidRDefault="005570EE" w:rsidP="002506B3">
            <w:pPr>
              <w:spacing w:after="0" w:line="276" w:lineRule="auto"/>
              <w:rPr>
                <w:rFonts w:ascii="Times New Roman" w:eastAsia="Times New Roman" w:hAnsi="Times New Roman" w:cs="Times New Roman"/>
              </w:rPr>
            </w:pPr>
          </w:p>
        </w:tc>
        <w:tc>
          <w:tcPr>
            <w:tcW w:w="4345" w:type="dxa"/>
            <w:tcBorders>
              <w:top w:val="nil"/>
              <w:left w:val="nil"/>
              <w:bottom w:val="nil"/>
              <w:right w:val="nil"/>
            </w:tcBorders>
            <w:shd w:val="clear" w:color="auto" w:fill="auto"/>
            <w:noWrap/>
            <w:vAlign w:val="bottom"/>
            <w:hideMark/>
          </w:tcPr>
          <w:p w14:paraId="697A2C1B" w14:textId="77777777" w:rsidR="005570EE" w:rsidRPr="00760D1B" w:rsidRDefault="005570EE" w:rsidP="002506B3">
            <w:pPr>
              <w:spacing w:after="0" w:line="276" w:lineRule="auto"/>
              <w:rPr>
                <w:rFonts w:ascii="Times New Roman" w:eastAsia="Times New Roman" w:hAnsi="Times New Roman" w:cs="Times New Roman"/>
              </w:rPr>
            </w:pPr>
          </w:p>
        </w:tc>
        <w:tc>
          <w:tcPr>
            <w:tcW w:w="13169" w:type="dxa"/>
            <w:tcBorders>
              <w:top w:val="nil"/>
              <w:left w:val="nil"/>
              <w:bottom w:val="nil"/>
              <w:right w:val="nil"/>
            </w:tcBorders>
            <w:shd w:val="clear" w:color="auto" w:fill="auto"/>
            <w:noWrap/>
            <w:vAlign w:val="bottom"/>
            <w:hideMark/>
          </w:tcPr>
          <w:p w14:paraId="0EFAFAAD" w14:textId="77777777" w:rsidR="005570EE" w:rsidRPr="00760D1B" w:rsidRDefault="005570EE" w:rsidP="002506B3">
            <w:pPr>
              <w:spacing w:after="0" w:line="276" w:lineRule="auto"/>
              <w:rPr>
                <w:rFonts w:ascii="Times New Roman" w:eastAsia="Times New Roman" w:hAnsi="Times New Roman" w:cs="Times New Roman"/>
              </w:rPr>
            </w:pPr>
          </w:p>
        </w:tc>
      </w:tr>
      <w:tr w:rsidR="005570EE" w:rsidRPr="005570EE" w14:paraId="579A866A" w14:textId="77777777" w:rsidTr="005570EE">
        <w:trPr>
          <w:trHeight w:val="285"/>
        </w:trPr>
        <w:tc>
          <w:tcPr>
            <w:tcW w:w="10112" w:type="dxa"/>
            <w:gridSpan w:val="4"/>
            <w:tcBorders>
              <w:top w:val="nil"/>
              <w:left w:val="nil"/>
              <w:bottom w:val="nil"/>
              <w:right w:val="nil"/>
            </w:tcBorders>
            <w:shd w:val="clear" w:color="auto" w:fill="auto"/>
            <w:noWrap/>
            <w:vAlign w:val="center"/>
            <w:hideMark/>
          </w:tcPr>
          <w:p w14:paraId="4A1F6DB1" w14:textId="7171F323" w:rsidR="005570EE" w:rsidRPr="00760D1B" w:rsidRDefault="005570EE" w:rsidP="002506B3">
            <w:pPr>
              <w:spacing w:after="0" w:line="276" w:lineRule="auto"/>
              <w:rPr>
                <w:rFonts w:ascii="Arial" w:eastAsia="Times New Roman" w:hAnsi="Arial" w:cs="Arial"/>
                <w:color w:val="000000"/>
              </w:rPr>
            </w:pPr>
            <w:r w:rsidRPr="00760D1B">
              <w:rPr>
                <w:rFonts w:ascii="Arial" w:eastAsia="Times New Roman" w:hAnsi="Arial" w:cs="Arial"/>
                <w:color w:val="000000"/>
              </w:rPr>
              <w:t xml:space="preserve">** NAFLD was associated with increased all cause and cardiovascular mortality in men only. </w:t>
            </w:r>
          </w:p>
        </w:tc>
        <w:tc>
          <w:tcPr>
            <w:tcW w:w="2027" w:type="dxa"/>
            <w:tcBorders>
              <w:top w:val="nil"/>
              <w:left w:val="nil"/>
              <w:bottom w:val="nil"/>
              <w:right w:val="nil"/>
            </w:tcBorders>
            <w:shd w:val="clear" w:color="auto" w:fill="auto"/>
            <w:noWrap/>
            <w:vAlign w:val="bottom"/>
            <w:hideMark/>
          </w:tcPr>
          <w:p w14:paraId="32BFF791" w14:textId="77777777" w:rsidR="005570EE" w:rsidRPr="00760D1B" w:rsidRDefault="005570EE" w:rsidP="002506B3">
            <w:pPr>
              <w:spacing w:after="0" w:line="276" w:lineRule="auto"/>
              <w:rPr>
                <w:rFonts w:ascii="Arial" w:eastAsia="Times New Roman" w:hAnsi="Arial" w:cs="Arial"/>
                <w:color w:val="000000"/>
              </w:rPr>
            </w:pPr>
          </w:p>
        </w:tc>
        <w:tc>
          <w:tcPr>
            <w:tcW w:w="2027" w:type="dxa"/>
            <w:tcBorders>
              <w:top w:val="nil"/>
              <w:left w:val="nil"/>
              <w:bottom w:val="nil"/>
              <w:right w:val="nil"/>
            </w:tcBorders>
            <w:shd w:val="clear" w:color="auto" w:fill="auto"/>
            <w:noWrap/>
            <w:vAlign w:val="bottom"/>
            <w:hideMark/>
          </w:tcPr>
          <w:p w14:paraId="09894E78" w14:textId="77777777" w:rsidR="005570EE" w:rsidRPr="00760D1B" w:rsidRDefault="005570EE" w:rsidP="002506B3">
            <w:pPr>
              <w:spacing w:after="0" w:line="276" w:lineRule="auto"/>
              <w:rPr>
                <w:rFonts w:ascii="Times New Roman" w:eastAsia="Times New Roman" w:hAnsi="Times New Roman" w:cs="Times New Roman"/>
              </w:rPr>
            </w:pPr>
          </w:p>
        </w:tc>
        <w:tc>
          <w:tcPr>
            <w:tcW w:w="4345" w:type="dxa"/>
            <w:tcBorders>
              <w:top w:val="nil"/>
              <w:left w:val="nil"/>
              <w:bottom w:val="nil"/>
              <w:right w:val="nil"/>
            </w:tcBorders>
            <w:shd w:val="clear" w:color="auto" w:fill="auto"/>
            <w:noWrap/>
            <w:vAlign w:val="bottom"/>
            <w:hideMark/>
          </w:tcPr>
          <w:p w14:paraId="73940E6F" w14:textId="77777777" w:rsidR="005570EE" w:rsidRPr="00760D1B" w:rsidRDefault="005570EE" w:rsidP="002506B3">
            <w:pPr>
              <w:spacing w:after="0" w:line="276" w:lineRule="auto"/>
              <w:rPr>
                <w:rFonts w:ascii="Times New Roman" w:eastAsia="Times New Roman" w:hAnsi="Times New Roman" w:cs="Times New Roman"/>
              </w:rPr>
            </w:pPr>
          </w:p>
        </w:tc>
        <w:tc>
          <w:tcPr>
            <w:tcW w:w="13169" w:type="dxa"/>
            <w:tcBorders>
              <w:top w:val="nil"/>
              <w:left w:val="nil"/>
              <w:bottom w:val="nil"/>
              <w:right w:val="nil"/>
            </w:tcBorders>
            <w:shd w:val="clear" w:color="auto" w:fill="auto"/>
            <w:noWrap/>
            <w:vAlign w:val="bottom"/>
            <w:hideMark/>
          </w:tcPr>
          <w:p w14:paraId="11FAA50C" w14:textId="77777777" w:rsidR="005570EE" w:rsidRPr="00760D1B" w:rsidRDefault="005570EE" w:rsidP="002506B3">
            <w:pPr>
              <w:spacing w:after="0" w:line="276" w:lineRule="auto"/>
              <w:rPr>
                <w:rFonts w:ascii="Times New Roman" w:eastAsia="Times New Roman" w:hAnsi="Times New Roman" w:cs="Times New Roman"/>
              </w:rPr>
            </w:pPr>
          </w:p>
        </w:tc>
      </w:tr>
      <w:tr w:rsidR="005570EE" w:rsidRPr="005570EE" w14:paraId="10464369" w14:textId="77777777" w:rsidTr="005570EE">
        <w:trPr>
          <w:trHeight w:val="285"/>
        </w:trPr>
        <w:tc>
          <w:tcPr>
            <w:tcW w:w="31680" w:type="dxa"/>
            <w:gridSpan w:val="8"/>
            <w:tcBorders>
              <w:top w:val="nil"/>
              <w:left w:val="nil"/>
              <w:bottom w:val="nil"/>
              <w:right w:val="nil"/>
            </w:tcBorders>
            <w:shd w:val="clear" w:color="auto" w:fill="auto"/>
            <w:noWrap/>
            <w:vAlign w:val="center"/>
            <w:hideMark/>
          </w:tcPr>
          <w:p w14:paraId="57F624C0" w14:textId="77777777" w:rsidR="005570EE" w:rsidRPr="00760D1B" w:rsidRDefault="005570EE" w:rsidP="002506B3">
            <w:pPr>
              <w:spacing w:after="0" w:line="276" w:lineRule="auto"/>
              <w:rPr>
                <w:rFonts w:ascii="Arial" w:eastAsia="Times New Roman" w:hAnsi="Arial" w:cs="Arial"/>
                <w:color w:val="000000"/>
              </w:rPr>
            </w:pPr>
            <w:r w:rsidRPr="00760D1B">
              <w:rPr>
                <w:rFonts w:ascii="Arial" w:eastAsia="Times New Roman" w:hAnsi="Arial" w:cs="Arial"/>
                <w:color w:val="000000"/>
              </w:rPr>
              <w:t xml:space="preserve">***Compared NASH vs non-NASH NAFLD patients, no difference in overall mortality was found, </w:t>
            </w:r>
          </w:p>
          <w:p w14:paraId="4D70057B" w14:textId="77777777" w:rsidR="005570EE" w:rsidRPr="00760D1B" w:rsidRDefault="005570EE" w:rsidP="002506B3">
            <w:pPr>
              <w:spacing w:after="0" w:line="276" w:lineRule="auto"/>
              <w:rPr>
                <w:rFonts w:ascii="Arial" w:eastAsia="Times New Roman" w:hAnsi="Arial" w:cs="Arial"/>
                <w:color w:val="000000"/>
              </w:rPr>
            </w:pPr>
            <w:r w:rsidRPr="00760D1B">
              <w:rPr>
                <w:rFonts w:ascii="Arial" w:eastAsia="Times New Roman" w:hAnsi="Arial" w:cs="Arial"/>
                <w:color w:val="000000"/>
              </w:rPr>
              <w:t xml:space="preserve">but liver mortality was significantly different, with higher rates in NASH patients. Overall, most </w:t>
            </w:r>
          </w:p>
          <w:p w14:paraId="5E236E2B" w14:textId="18ECBF35" w:rsidR="005570EE" w:rsidRPr="00760D1B" w:rsidRDefault="005570EE" w:rsidP="002506B3">
            <w:pPr>
              <w:spacing w:after="0" w:line="276" w:lineRule="auto"/>
              <w:rPr>
                <w:rFonts w:ascii="Arial" w:eastAsia="Times New Roman" w:hAnsi="Arial" w:cs="Arial"/>
                <w:color w:val="000000"/>
              </w:rPr>
            </w:pPr>
            <w:r w:rsidRPr="00760D1B">
              <w:rPr>
                <w:rFonts w:ascii="Arial" w:eastAsia="Times New Roman" w:hAnsi="Arial" w:cs="Arial"/>
                <w:color w:val="000000"/>
              </w:rPr>
              <w:t xml:space="preserve">common causes of death reported were cardiovascular disease, malignancy and liver related deaths. </w:t>
            </w:r>
          </w:p>
        </w:tc>
      </w:tr>
      <w:tr w:rsidR="005570EE" w:rsidRPr="005570EE" w14:paraId="251F5D75" w14:textId="77777777" w:rsidTr="005570EE">
        <w:trPr>
          <w:trHeight w:val="285"/>
        </w:trPr>
        <w:tc>
          <w:tcPr>
            <w:tcW w:w="7584" w:type="dxa"/>
            <w:gridSpan w:val="3"/>
            <w:tcBorders>
              <w:top w:val="nil"/>
              <w:left w:val="nil"/>
              <w:bottom w:val="nil"/>
              <w:right w:val="nil"/>
            </w:tcBorders>
            <w:shd w:val="clear" w:color="auto" w:fill="auto"/>
            <w:noWrap/>
            <w:vAlign w:val="center"/>
            <w:hideMark/>
          </w:tcPr>
          <w:p w14:paraId="7294DA2C" w14:textId="100A5499" w:rsidR="005570EE" w:rsidRPr="00760D1B" w:rsidRDefault="005570EE" w:rsidP="002506B3">
            <w:pPr>
              <w:spacing w:after="0" w:line="276" w:lineRule="auto"/>
              <w:rPr>
                <w:rFonts w:ascii="Arial" w:eastAsia="Times New Roman" w:hAnsi="Arial" w:cs="Arial"/>
                <w:color w:val="000000"/>
              </w:rPr>
            </w:pPr>
            <w:r w:rsidRPr="00760D1B">
              <w:rPr>
                <w:rFonts w:ascii="Arial" w:eastAsia="Times New Roman" w:hAnsi="Arial" w:cs="Arial"/>
                <w:color w:val="000000"/>
              </w:rPr>
              <w:t>****No increased CV risk when diabetics were excluded.</w:t>
            </w:r>
          </w:p>
        </w:tc>
        <w:tc>
          <w:tcPr>
            <w:tcW w:w="2528" w:type="dxa"/>
            <w:tcBorders>
              <w:top w:val="nil"/>
              <w:left w:val="nil"/>
              <w:bottom w:val="nil"/>
              <w:right w:val="nil"/>
            </w:tcBorders>
            <w:shd w:val="clear" w:color="auto" w:fill="auto"/>
            <w:noWrap/>
            <w:vAlign w:val="bottom"/>
            <w:hideMark/>
          </w:tcPr>
          <w:p w14:paraId="5382D1AE" w14:textId="77777777" w:rsidR="005570EE" w:rsidRPr="00760D1B" w:rsidRDefault="005570EE" w:rsidP="002506B3">
            <w:pPr>
              <w:spacing w:after="0" w:line="276" w:lineRule="auto"/>
              <w:rPr>
                <w:rFonts w:ascii="Arial" w:eastAsia="Times New Roman" w:hAnsi="Arial" w:cs="Arial"/>
                <w:color w:val="000000"/>
              </w:rPr>
            </w:pPr>
          </w:p>
        </w:tc>
        <w:tc>
          <w:tcPr>
            <w:tcW w:w="2027" w:type="dxa"/>
            <w:tcBorders>
              <w:top w:val="nil"/>
              <w:left w:val="nil"/>
              <w:bottom w:val="nil"/>
              <w:right w:val="nil"/>
            </w:tcBorders>
            <w:shd w:val="clear" w:color="auto" w:fill="auto"/>
            <w:noWrap/>
            <w:vAlign w:val="bottom"/>
            <w:hideMark/>
          </w:tcPr>
          <w:p w14:paraId="5CB2D840" w14:textId="77777777" w:rsidR="005570EE" w:rsidRPr="00760D1B" w:rsidRDefault="005570EE" w:rsidP="002506B3">
            <w:pPr>
              <w:spacing w:after="0" w:line="276" w:lineRule="auto"/>
              <w:rPr>
                <w:rFonts w:ascii="Times New Roman" w:eastAsia="Times New Roman" w:hAnsi="Times New Roman" w:cs="Times New Roman"/>
              </w:rPr>
            </w:pPr>
          </w:p>
        </w:tc>
        <w:tc>
          <w:tcPr>
            <w:tcW w:w="2027" w:type="dxa"/>
            <w:tcBorders>
              <w:top w:val="nil"/>
              <w:left w:val="nil"/>
              <w:bottom w:val="nil"/>
              <w:right w:val="nil"/>
            </w:tcBorders>
            <w:shd w:val="clear" w:color="auto" w:fill="auto"/>
            <w:noWrap/>
            <w:vAlign w:val="bottom"/>
            <w:hideMark/>
          </w:tcPr>
          <w:p w14:paraId="541EF97F" w14:textId="77777777" w:rsidR="005570EE" w:rsidRPr="00760D1B" w:rsidRDefault="005570EE" w:rsidP="002506B3">
            <w:pPr>
              <w:spacing w:after="0" w:line="276" w:lineRule="auto"/>
              <w:rPr>
                <w:rFonts w:ascii="Times New Roman" w:eastAsia="Times New Roman" w:hAnsi="Times New Roman" w:cs="Times New Roman"/>
              </w:rPr>
            </w:pPr>
          </w:p>
        </w:tc>
        <w:tc>
          <w:tcPr>
            <w:tcW w:w="4345" w:type="dxa"/>
            <w:tcBorders>
              <w:top w:val="nil"/>
              <w:left w:val="nil"/>
              <w:bottom w:val="nil"/>
              <w:right w:val="nil"/>
            </w:tcBorders>
            <w:shd w:val="clear" w:color="auto" w:fill="auto"/>
            <w:noWrap/>
            <w:vAlign w:val="bottom"/>
            <w:hideMark/>
          </w:tcPr>
          <w:p w14:paraId="43566CB4" w14:textId="77777777" w:rsidR="005570EE" w:rsidRPr="00760D1B" w:rsidRDefault="005570EE" w:rsidP="002506B3">
            <w:pPr>
              <w:spacing w:after="0" w:line="276" w:lineRule="auto"/>
              <w:rPr>
                <w:rFonts w:ascii="Times New Roman" w:eastAsia="Times New Roman" w:hAnsi="Times New Roman" w:cs="Times New Roman"/>
              </w:rPr>
            </w:pPr>
          </w:p>
        </w:tc>
        <w:tc>
          <w:tcPr>
            <w:tcW w:w="13169" w:type="dxa"/>
            <w:tcBorders>
              <w:top w:val="nil"/>
              <w:left w:val="nil"/>
              <w:bottom w:val="nil"/>
              <w:right w:val="nil"/>
            </w:tcBorders>
            <w:shd w:val="clear" w:color="auto" w:fill="auto"/>
            <w:noWrap/>
            <w:vAlign w:val="bottom"/>
            <w:hideMark/>
          </w:tcPr>
          <w:p w14:paraId="659520FC" w14:textId="77777777" w:rsidR="005570EE" w:rsidRPr="00760D1B" w:rsidRDefault="005570EE" w:rsidP="002506B3">
            <w:pPr>
              <w:spacing w:after="0" w:line="276" w:lineRule="auto"/>
              <w:rPr>
                <w:rFonts w:ascii="Times New Roman" w:eastAsia="Times New Roman" w:hAnsi="Times New Roman" w:cs="Times New Roman"/>
              </w:rPr>
            </w:pPr>
          </w:p>
        </w:tc>
      </w:tr>
      <w:tr w:rsidR="005570EE" w:rsidRPr="005570EE" w14:paraId="2543DFCF" w14:textId="77777777" w:rsidTr="005570EE">
        <w:trPr>
          <w:trHeight w:val="285"/>
        </w:trPr>
        <w:tc>
          <w:tcPr>
            <w:tcW w:w="31680" w:type="dxa"/>
            <w:gridSpan w:val="8"/>
            <w:tcBorders>
              <w:top w:val="nil"/>
              <w:left w:val="nil"/>
              <w:bottom w:val="nil"/>
              <w:right w:val="nil"/>
            </w:tcBorders>
            <w:shd w:val="clear" w:color="auto" w:fill="auto"/>
            <w:noWrap/>
            <w:vAlign w:val="center"/>
            <w:hideMark/>
          </w:tcPr>
          <w:p w14:paraId="57C444FA" w14:textId="77777777" w:rsidR="005570EE" w:rsidRPr="00760D1B" w:rsidRDefault="005570EE" w:rsidP="002506B3">
            <w:pPr>
              <w:spacing w:after="0" w:line="276" w:lineRule="auto"/>
              <w:rPr>
                <w:rFonts w:ascii="Arial" w:eastAsia="Times New Roman" w:hAnsi="Arial" w:cs="Arial"/>
                <w:color w:val="000000"/>
              </w:rPr>
            </w:pPr>
            <w:r w:rsidRPr="00760D1B">
              <w:rPr>
                <w:rFonts w:ascii="Arial" w:eastAsia="Times New Roman" w:hAnsi="Arial" w:cs="Arial"/>
                <w:color w:val="000000"/>
              </w:rPr>
              <w:t xml:space="preserve">***** Patients with NAFLD were more likely to have significant coronary artery stenosis at baseline, </w:t>
            </w:r>
          </w:p>
          <w:p w14:paraId="01ED9E4D" w14:textId="77777777" w:rsidR="005570EE" w:rsidRPr="00760D1B" w:rsidRDefault="005570EE" w:rsidP="002506B3">
            <w:pPr>
              <w:spacing w:after="0" w:line="276" w:lineRule="auto"/>
              <w:rPr>
                <w:rFonts w:ascii="Arial" w:eastAsia="Times New Roman" w:hAnsi="Arial" w:cs="Arial"/>
                <w:color w:val="000000"/>
              </w:rPr>
            </w:pPr>
            <w:r w:rsidRPr="00760D1B">
              <w:rPr>
                <w:rFonts w:ascii="Arial" w:eastAsia="Times New Roman" w:hAnsi="Arial" w:cs="Arial"/>
                <w:color w:val="000000"/>
              </w:rPr>
              <w:t xml:space="preserve">and more likely to undergo percutaneous coronary intervention; however, no increased association </w:t>
            </w:r>
          </w:p>
          <w:p w14:paraId="3F511949" w14:textId="4CE28C37" w:rsidR="008F2998" w:rsidRPr="00760D1B" w:rsidRDefault="005570EE" w:rsidP="002506B3">
            <w:pPr>
              <w:spacing w:after="0" w:line="276" w:lineRule="auto"/>
              <w:rPr>
                <w:rFonts w:ascii="Arial" w:eastAsia="Times New Roman" w:hAnsi="Arial" w:cs="Arial"/>
                <w:color w:val="000000"/>
              </w:rPr>
            </w:pPr>
            <w:r w:rsidRPr="00760D1B">
              <w:rPr>
                <w:rFonts w:ascii="Arial" w:eastAsia="Times New Roman" w:hAnsi="Arial" w:cs="Arial"/>
                <w:color w:val="000000"/>
              </w:rPr>
              <w:t>of NAFLD with CV events during follow up.</w:t>
            </w:r>
          </w:p>
        </w:tc>
      </w:tr>
      <w:tr w:rsidR="005570EE" w:rsidRPr="005570EE" w14:paraId="1DFBCF74" w14:textId="77777777" w:rsidTr="005570EE">
        <w:trPr>
          <w:trHeight w:val="285"/>
        </w:trPr>
        <w:tc>
          <w:tcPr>
            <w:tcW w:w="2528" w:type="dxa"/>
            <w:tcBorders>
              <w:top w:val="nil"/>
              <w:left w:val="nil"/>
              <w:bottom w:val="nil"/>
              <w:right w:val="nil"/>
            </w:tcBorders>
            <w:shd w:val="clear" w:color="auto" w:fill="auto"/>
            <w:noWrap/>
            <w:vAlign w:val="bottom"/>
            <w:hideMark/>
          </w:tcPr>
          <w:p w14:paraId="37EDDD52" w14:textId="77777777" w:rsidR="005570EE" w:rsidRPr="005570EE" w:rsidRDefault="005570EE" w:rsidP="002506B3">
            <w:pPr>
              <w:spacing w:after="0" w:line="276" w:lineRule="auto"/>
              <w:rPr>
                <w:rFonts w:ascii="Arial" w:eastAsia="Times New Roman" w:hAnsi="Arial" w:cs="Arial"/>
                <w:color w:val="000000"/>
              </w:rPr>
            </w:pPr>
          </w:p>
        </w:tc>
        <w:tc>
          <w:tcPr>
            <w:tcW w:w="2528" w:type="dxa"/>
            <w:tcBorders>
              <w:top w:val="nil"/>
              <w:left w:val="nil"/>
              <w:bottom w:val="nil"/>
              <w:right w:val="nil"/>
            </w:tcBorders>
            <w:shd w:val="clear" w:color="auto" w:fill="auto"/>
            <w:noWrap/>
            <w:vAlign w:val="bottom"/>
            <w:hideMark/>
          </w:tcPr>
          <w:p w14:paraId="1BDD942A" w14:textId="77777777" w:rsidR="005570EE" w:rsidRDefault="005570EE" w:rsidP="002506B3">
            <w:pPr>
              <w:spacing w:after="0" w:line="276" w:lineRule="auto"/>
              <w:rPr>
                <w:rFonts w:ascii="Times New Roman" w:eastAsia="Times New Roman" w:hAnsi="Times New Roman" w:cs="Times New Roman"/>
                <w:sz w:val="20"/>
                <w:szCs w:val="20"/>
              </w:rPr>
            </w:pPr>
          </w:p>
          <w:p w14:paraId="3B505374" w14:textId="465DE9C2" w:rsidR="008F2998" w:rsidRPr="005570EE" w:rsidRDefault="008F2998" w:rsidP="002506B3">
            <w:pPr>
              <w:spacing w:after="0" w:line="276" w:lineRule="auto"/>
              <w:rPr>
                <w:rFonts w:ascii="Times New Roman" w:eastAsia="Times New Roman" w:hAnsi="Times New Roman" w:cs="Times New Roman"/>
                <w:sz w:val="20"/>
                <w:szCs w:val="20"/>
              </w:rPr>
            </w:pPr>
          </w:p>
        </w:tc>
        <w:tc>
          <w:tcPr>
            <w:tcW w:w="2528" w:type="dxa"/>
            <w:tcBorders>
              <w:top w:val="nil"/>
              <w:left w:val="nil"/>
              <w:bottom w:val="nil"/>
              <w:right w:val="nil"/>
            </w:tcBorders>
            <w:shd w:val="clear" w:color="auto" w:fill="auto"/>
            <w:noWrap/>
            <w:vAlign w:val="bottom"/>
            <w:hideMark/>
          </w:tcPr>
          <w:p w14:paraId="139E599E" w14:textId="77777777" w:rsidR="005570EE" w:rsidRPr="005570EE" w:rsidRDefault="005570EE" w:rsidP="002506B3">
            <w:pPr>
              <w:spacing w:after="0" w:line="276" w:lineRule="auto"/>
              <w:rPr>
                <w:rFonts w:ascii="Times New Roman" w:eastAsia="Times New Roman" w:hAnsi="Times New Roman" w:cs="Times New Roman"/>
                <w:sz w:val="20"/>
                <w:szCs w:val="20"/>
              </w:rPr>
            </w:pPr>
          </w:p>
        </w:tc>
        <w:tc>
          <w:tcPr>
            <w:tcW w:w="2528" w:type="dxa"/>
            <w:tcBorders>
              <w:top w:val="nil"/>
              <w:left w:val="nil"/>
              <w:bottom w:val="nil"/>
              <w:right w:val="nil"/>
            </w:tcBorders>
            <w:shd w:val="clear" w:color="auto" w:fill="auto"/>
            <w:noWrap/>
            <w:vAlign w:val="bottom"/>
            <w:hideMark/>
          </w:tcPr>
          <w:p w14:paraId="3CE0B906" w14:textId="77777777" w:rsidR="005570EE" w:rsidRPr="005570EE" w:rsidRDefault="005570EE" w:rsidP="002506B3">
            <w:pPr>
              <w:spacing w:after="0" w:line="276" w:lineRule="auto"/>
              <w:rPr>
                <w:rFonts w:ascii="Times New Roman" w:eastAsia="Times New Roman" w:hAnsi="Times New Roman" w:cs="Times New Roman"/>
                <w:sz w:val="20"/>
                <w:szCs w:val="20"/>
              </w:rPr>
            </w:pPr>
          </w:p>
        </w:tc>
        <w:tc>
          <w:tcPr>
            <w:tcW w:w="2027" w:type="dxa"/>
            <w:tcBorders>
              <w:top w:val="nil"/>
              <w:left w:val="nil"/>
              <w:bottom w:val="nil"/>
              <w:right w:val="nil"/>
            </w:tcBorders>
            <w:shd w:val="clear" w:color="auto" w:fill="auto"/>
            <w:noWrap/>
            <w:vAlign w:val="bottom"/>
            <w:hideMark/>
          </w:tcPr>
          <w:p w14:paraId="1426DE9E" w14:textId="77777777" w:rsidR="005570EE" w:rsidRPr="005570EE" w:rsidRDefault="005570EE" w:rsidP="002506B3">
            <w:pPr>
              <w:spacing w:after="0" w:line="276" w:lineRule="auto"/>
              <w:rPr>
                <w:rFonts w:ascii="Times New Roman" w:eastAsia="Times New Roman" w:hAnsi="Times New Roman" w:cs="Times New Roman"/>
                <w:sz w:val="20"/>
                <w:szCs w:val="20"/>
              </w:rPr>
            </w:pPr>
          </w:p>
        </w:tc>
        <w:tc>
          <w:tcPr>
            <w:tcW w:w="2027" w:type="dxa"/>
            <w:tcBorders>
              <w:top w:val="nil"/>
              <w:left w:val="nil"/>
              <w:bottom w:val="nil"/>
              <w:right w:val="nil"/>
            </w:tcBorders>
            <w:shd w:val="clear" w:color="auto" w:fill="auto"/>
            <w:noWrap/>
            <w:vAlign w:val="bottom"/>
            <w:hideMark/>
          </w:tcPr>
          <w:p w14:paraId="32371928" w14:textId="77777777" w:rsidR="005570EE" w:rsidRPr="005570EE" w:rsidRDefault="005570EE" w:rsidP="002506B3">
            <w:pPr>
              <w:spacing w:after="0" w:line="276" w:lineRule="auto"/>
              <w:rPr>
                <w:rFonts w:ascii="Times New Roman" w:eastAsia="Times New Roman" w:hAnsi="Times New Roman" w:cs="Times New Roman"/>
                <w:sz w:val="20"/>
                <w:szCs w:val="20"/>
              </w:rPr>
            </w:pPr>
          </w:p>
        </w:tc>
        <w:tc>
          <w:tcPr>
            <w:tcW w:w="4345" w:type="dxa"/>
            <w:tcBorders>
              <w:top w:val="nil"/>
              <w:left w:val="nil"/>
              <w:bottom w:val="nil"/>
              <w:right w:val="nil"/>
            </w:tcBorders>
            <w:shd w:val="clear" w:color="auto" w:fill="auto"/>
            <w:noWrap/>
            <w:vAlign w:val="bottom"/>
            <w:hideMark/>
          </w:tcPr>
          <w:p w14:paraId="06CCF17F" w14:textId="77777777" w:rsidR="005570EE" w:rsidRPr="005570EE" w:rsidRDefault="005570EE" w:rsidP="002506B3">
            <w:pPr>
              <w:spacing w:after="0" w:line="276" w:lineRule="auto"/>
              <w:rPr>
                <w:rFonts w:ascii="Times New Roman" w:eastAsia="Times New Roman" w:hAnsi="Times New Roman" w:cs="Times New Roman"/>
                <w:sz w:val="20"/>
                <w:szCs w:val="20"/>
              </w:rPr>
            </w:pPr>
          </w:p>
        </w:tc>
        <w:tc>
          <w:tcPr>
            <w:tcW w:w="13169" w:type="dxa"/>
            <w:tcBorders>
              <w:top w:val="nil"/>
              <w:left w:val="nil"/>
              <w:bottom w:val="nil"/>
              <w:right w:val="nil"/>
            </w:tcBorders>
            <w:shd w:val="clear" w:color="auto" w:fill="auto"/>
            <w:noWrap/>
            <w:vAlign w:val="bottom"/>
            <w:hideMark/>
          </w:tcPr>
          <w:p w14:paraId="7F594011" w14:textId="77777777" w:rsidR="005570EE" w:rsidRPr="005570EE" w:rsidRDefault="005570EE" w:rsidP="002506B3">
            <w:pPr>
              <w:spacing w:after="0" w:line="276" w:lineRule="auto"/>
              <w:rPr>
                <w:rFonts w:ascii="Times New Roman" w:eastAsia="Times New Roman" w:hAnsi="Times New Roman" w:cs="Times New Roman"/>
                <w:sz w:val="20"/>
                <w:szCs w:val="20"/>
              </w:rPr>
            </w:pPr>
          </w:p>
        </w:tc>
      </w:tr>
    </w:tbl>
    <w:tbl>
      <w:tblPr>
        <w:tblStyle w:val="TableGrid1"/>
        <w:tblW w:w="0" w:type="auto"/>
        <w:tblLook w:val="04A0" w:firstRow="1" w:lastRow="0" w:firstColumn="1" w:lastColumn="0" w:noHBand="0" w:noVBand="1"/>
      </w:tblPr>
      <w:tblGrid>
        <w:gridCol w:w="1218"/>
        <w:gridCol w:w="1084"/>
        <w:gridCol w:w="1481"/>
        <w:gridCol w:w="1302"/>
        <w:gridCol w:w="1244"/>
        <w:gridCol w:w="1158"/>
        <w:gridCol w:w="1529"/>
      </w:tblGrid>
      <w:tr w:rsidR="009D7627" w:rsidRPr="009D7627" w14:paraId="2699F699" w14:textId="77777777" w:rsidTr="00537AC6">
        <w:tc>
          <w:tcPr>
            <w:tcW w:w="9016" w:type="dxa"/>
            <w:gridSpan w:val="7"/>
            <w:shd w:val="clear" w:color="auto" w:fill="FFFF00"/>
          </w:tcPr>
          <w:p w14:paraId="61161113" w14:textId="2F6577A9" w:rsidR="009D7627" w:rsidRPr="009D7627" w:rsidRDefault="009D7627" w:rsidP="002506B3">
            <w:pPr>
              <w:spacing w:line="276" w:lineRule="auto"/>
              <w:rPr>
                <w:rFonts w:ascii="Arial" w:hAnsi="Arial" w:cs="Arial"/>
                <w:b/>
                <w:bCs/>
                <w:sz w:val="22"/>
                <w:szCs w:val="22"/>
              </w:rPr>
            </w:pPr>
            <w:r w:rsidRPr="009D7627">
              <w:rPr>
                <w:rFonts w:ascii="Arial" w:hAnsi="Arial" w:cs="Arial"/>
                <w:b/>
                <w:bCs/>
                <w:sz w:val="22"/>
                <w:szCs w:val="22"/>
              </w:rPr>
              <w:t>Table 2. Cardiovascular Disease in Patients with NAFLD with Type 2 Diabetes</w:t>
            </w:r>
          </w:p>
        </w:tc>
      </w:tr>
      <w:tr w:rsidR="009D7627" w:rsidRPr="009D7627" w14:paraId="78D5B86E" w14:textId="77777777" w:rsidTr="009D7627">
        <w:tc>
          <w:tcPr>
            <w:tcW w:w="1227" w:type="dxa"/>
          </w:tcPr>
          <w:p w14:paraId="69E50FAD" w14:textId="046BB7D8" w:rsidR="009D7627" w:rsidRPr="00B04951" w:rsidRDefault="009D7627" w:rsidP="002506B3">
            <w:pPr>
              <w:spacing w:line="276" w:lineRule="auto"/>
              <w:rPr>
                <w:rFonts w:ascii="Arial" w:hAnsi="Arial" w:cs="Arial"/>
                <w:b/>
                <w:bCs/>
                <w:sz w:val="22"/>
                <w:szCs w:val="22"/>
              </w:rPr>
            </w:pPr>
            <w:r w:rsidRPr="00B04951">
              <w:rPr>
                <w:rFonts w:ascii="Arial" w:hAnsi="Arial" w:cs="Arial"/>
                <w:b/>
                <w:bCs/>
                <w:sz w:val="22"/>
                <w:szCs w:val="22"/>
              </w:rPr>
              <w:t>Author</w:t>
            </w:r>
          </w:p>
        </w:tc>
        <w:tc>
          <w:tcPr>
            <w:tcW w:w="1071" w:type="dxa"/>
          </w:tcPr>
          <w:p w14:paraId="64E98359" w14:textId="578EEE4B" w:rsidR="009D7627" w:rsidRPr="00B04951" w:rsidRDefault="009D7627" w:rsidP="002506B3">
            <w:pPr>
              <w:spacing w:line="276" w:lineRule="auto"/>
              <w:rPr>
                <w:rFonts w:ascii="Arial" w:hAnsi="Arial" w:cs="Arial"/>
                <w:b/>
                <w:bCs/>
                <w:sz w:val="22"/>
                <w:szCs w:val="22"/>
              </w:rPr>
            </w:pPr>
            <w:r w:rsidRPr="00B04951">
              <w:rPr>
                <w:rFonts w:ascii="Arial" w:hAnsi="Arial" w:cs="Arial"/>
                <w:b/>
                <w:bCs/>
                <w:sz w:val="22"/>
                <w:szCs w:val="22"/>
              </w:rPr>
              <w:t>NAFLD vs controls</w:t>
            </w:r>
          </w:p>
          <w:p w14:paraId="13975F87" w14:textId="042FD39B" w:rsidR="008F2998" w:rsidRPr="00B04951" w:rsidRDefault="008F2998" w:rsidP="002506B3">
            <w:pPr>
              <w:spacing w:line="276" w:lineRule="auto"/>
              <w:rPr>
                <w:rFonts w:ascii="Arial" w:hAnsi="Arial" w:cs="Arial"/>
                <w:b/>
                <w:bCs/>
                <w:sz w:val="22"/>
                <w:szCs w:val="22"/>
              </w:rPr>
            </w:pPr>
            <w:r w:rsidRPr="00B04951">
              <w:rPr>
                <w:rFonts w:ascii="Arial" w:hAnsi="Arial" w:cs="Arial"/>
                <w:b/>
                <w:bCs/>
                <w:sz w:val="22"/>
                <w:szCs w:val="22"/>
              </w:rPr>
              <w:t>(n)</w:t>
            </w:r>
          </w:p>
        </w:tc>
        <w:tc>
          <w:tcPr>
            <w:tcW w:w="1493" w:type="dxa"/>
          </w:tcPr>
          <w:p w14:paraId="3138854D" w14:textId="77777777" w:rsidR="009D7627" w:rsidRPr="00B04951" w:rsidRDefault="009D7627" w:rsidP="002506B3">
            <w:pPr>
              <w:spacing w:line="276" w:lineRule="auto"/>
              <w:rPr>
                <w:rFonts w:ascii="Arial" w:hAnsi="Arial" w:cs="Arial"/>
                <w:b/>
                <w:bCs/>
                <w:sz w:val="22"/>
                <w:szCs w:val="22"/>
              </w:rPr>
            </w:pPr>
            <w:r w:rsidRPr="00B04951">
              <w:rPr>
                <w:rFonts w:ascii="Arial" w:hAnsi="Arial" w:cs="Arial"/>
                <w:b/>
                <w:bCs/>
                <w:sz w:val="22"/>
                <w:szCs w:val="22"/>
              </w:rPr>
              <w:t>Diagnosis of NAFLD</w:t>
            </w:r>
          </w:p>
        </w:tc>
        <w:tc>
          <w:tcPr>
            <w:tcW w:w="1312" w:type="dxa"/>
          </w:tcPr>
          <w:p w14:paraId="605EAAD8" w14:textId="77777777" w:rsidR="009D7627" w:rsidRPr="00B04951" w:rsidRDefault="009D7627" w:rsidP="002506B3">
            <w:pPr>
              <w:spacing w:line="276" w:lineRule="auto"/>
              <w:rPr>
                <w:rFonts w:ascii="Arial" w:hAnsi="Arial" w:cs="Arial"/>
                <w:b/>
                <w:bCs/>
                <w:sz w:val="22"/>
                <w:szCs w:val="22"/>
              </w:rPr>
            </w:pPr>
            <w:r w:rsidRPr="00B04951">
              <w:rPr>
                <w:rFonts w:ascii="Arial" w:hAnsi="Arial" w:cs="Arial"/>
                <w:b/>
                <w:bCs/>
                <w:sz w:val="22"/>
                <w:szCs w:val="22"/>
              </w:rPr>
              <w:t>Primary Endpoint</w:t>
            </w:r>
          </w:p>
        </w:tc>
        <w:tc>
          <w:tcPr>
            <w:tcW w:w="1228" w:type="dxa"/>
          </w:tcPr>
          <w:p w14:paraId="2ACD1270" w14:textId="77777777" w:rsidR="009D7627" w:rsidRPr="00B04951" w:rsidRDefault="009D7627" w:rsidP="002506B3">
            <w:pPr>
              <w:spacing w:line="276" w:lineRule="auto"/>
              <w:rPr>
                <w:rFonts w:ascii="Arial" w:hAnsi="Arial" w:cs="Arial"/>
                <w:b/>
                <w:bCs/>
                <w:sz w:val="22"/>
                <w:szCs w:val="22"/>
              </w:rPr>
            </w:pPr>
            <w:r w:rsidRPr="00B04951">
              <w:rPr>
                <w:rFonts w:ascii="Arial" w:hAnsi="Arial" w:cs="Arial"/>
                <w:b/>
                <w:bCs/>
                <w:sz w:val="22"/>
                <w:szCs w:val="22"/>
              </w:rPr>
              <w:t>Increased CVD</w:t>
            </w:r>
          </w:p>
        </w:tc>
        <w:tc>
          <w:tcPr>
            <w:tcW w:w="1144" w:type="dxa"/>
          </w:tcPr>
          <w:p w14:paraId="184910BB" w14:textId="77777777" w:rsidR="009D7627" w:rsidRPr="00B04951" w:rsidRDefault="009D7627" w:rsidP="002506B3">
            <w:pPr>
              <w:spacing w:line="276" w:lineRule="auto"/>
              <w:rPr>
                <w:rFonts w:ascii="Arial" w:hAnsi="Arial" w:cs="Arial"/>
                <w:b/>
                <w:bCs/>
                <w:sz w:val="22"/>
                <w:szCs w:val="22"/>
              </w:rPr>
            </w:pPr>
            <w:r w:rsidRPr="00B04951">
              <w:rPr>
                <w:rFonts w:ascii="Arial" w:hAnsi="Arial" w:cs="Arial"/>
                <w:b/>
                <w:bCs/>
                <w:sz w:val="22"/>
                <w:szCs w:val="22"/>
              </w:rPr>
              <w:t>Adjusted CV Risk</w:t>
            </w:r>
          </w:p>
        </w:tc>
        <w:tc>
          <w:tcPr>
            <w:tcW w:w="1541" w:type="dxa"/>
          </w:tcPr>
          <w:p w14:paraId="461398B2" w14:textId="77777777" w:rsidR="009D7627" w:rsidRPr="00B04951" w:rsidRDefault="009D7627" w:rsidP="002506B3">
            <w:pPr>
              <w:spacing w:line="276" w:lineRule="auto"/>
              <w:rPr>
                <w:rFonts w:ascii="Arial" w:hAnsi="Arial" w:cs="Arial"/>
                <w:b/>
                <w:bCs/>
                <w:sz w:val="22"/>
                <w:szCs w:val="22"/>
              </w:rPr>
            </w:pPr>
            <w:r w:rsidRPr="00B04951">
              <w:rPr>
                <w:rFonts w:ascii="Arial" w:hAnsi="Arial" w:cs="Arial"/>
                <w:b/>
                <w:bCs/>
                <w:sz w:val="22"/>
                <w:szCs w:val="22"/>
              </w:rPr>
              <w:t>Study Design</w:t>
            </w:r>
          </w:p>
        </w:tc>
      </w:tr>
      <w:tr w:rsidR="009D7627" w:rsidRPr="009D7627" w14:paraId="64BD7615" w14:textId="77777777" w:rsidTr="009D7627">
        <w:tc>
          <w:tcPr>
            <w:tcW w:w="1227" w:type="dxa"/>
          </w:tcPr>
          <w:p w14:paraId="3A115703" w14:textId="10E21C1D" w:rsidR="009D7627" w:rsidRPr="009D7627" w:rsidRDefault="009D7627" w:rsidP="002506B3">
            <w:pPr>
              <w:spacing w:line="276" w:lineRule="auto"/>
              <w:rPr>
                <w:rFonts w:ascii="Arial" w:hAnsi="Arial" w:cs="Arial"/>
              </w:rPr>
            </w:pPr>
            <w:proofErr w:type="spellStart"/>
            <w:r w:rsidRPr="009D7627">
              <w:rPr>
                <w:rFonts w:ascii="Arial" w:hAnsi="Arial" w:cs="Arial"/>
              </w:rPr>
              <w:lastRenderedPageBreak/>
              <w:t>Targher</w:t>
            </w:r>
            <w:proofErr w:type="spellEnd"/>
            <w:r w:rsidRPr="009D7627">
              <w:rPr>
                <w:rFonts w:ascii="Arial" w:hAnsi="Arial" w:cs="Arial"/>
              </w:rPr>
              <w:t xml:space="preserve"> et al (</w:t>
            </w:r>
            <w:r w:rsidR="00611AFC">
              <w:rPr>
                <w:rFonts w:ascii="Arial" w:hAnsi="Arial" w:cs="Arial"/>
              </w:rPr>
              <w:t>49</w:t>
            </w:r>
            <w:r w:rsidRPr="009D7627">
              <w:rPr>
                <w:rFonts w:ascii="Arial" w:hAnsi="Arial" w:cs="Arial"/>
              </w:rPr>
              <w:t>)</w:t>
            </w:r>
          </w:p>
        </w:tc>
        <w:tc>
          <w:tcPr>
            <w:tcW w:w="1071" w:type="dxa"/>
          </w:tcPr>
          <w:p w14:paraId="4643DC17" w14:textId="77777777" w:rsidR="009D7627" w:rsidRPr="009D7627" w:rsidRDefault="009D7627" w:rsidP="002506B3">
            <w:pPr>
              <w:spacing w:line="276" w:lineRule="auto"/>
              <w:rPr>
                <w:rFonts w:ascii="Arial" w:hAnsi="Arial" w:cs="Arial"/>
              </w:rPr>
            </w:pPr>
            <w:r w:rsidRPr="009D7627">
              <w:rPr>
                <w:rFonts w:ascii="Arial" w:hAnsi="Arial" w:cs="Arial"/>
              </w:rPr>
              <w:t>200</w:t>
            </w:r>
          </w:p>
        </w:tc>
        <w:tc>
          <w:tcPr>
            <w:tcW w:w="1493" w:type="dxa"/>
          </w:tcPr>
          <w:p w14:paraId="345F3B91" w14:textId="77777777" w:rsidR="009D7627" w:rsidRPr="009D7627" w:rsidRDefault="009D7627" w:rsidP="002506B3">
            <w:pPr>
              <w:spacing w:line="276" w:lineRule="auto"/>
              <w:rPr>
                <w:rFonts w:ascii="Arial" w:hAnsi="Arial" w:cs="Arial"/>
              </w:rPr>
            </w:pPr>
            <w:r w:rsidRPr="009D7627">
              <w:rPr>
                <w:rFonts w:ascii="Arial" w:hAnsi="Arial" w:cs="Arial"/>
              </w:rPr>
              <w:t>Ultrasound</w:t>
            </w:r>
          </w:p>
        </w:tc>
        <w:tc>
          <w:tcPr>
            <w:tcW w:w="1312" w:type="dxa"/>
          </w:tcPr>
          <w:p w14:paraId="447D0204" w14:textId="77777777" w:rsidR="009D7627" w:rsidRPr="009D7627" w:rsidRDefault="009D7627" w:rsidP="002506B3">
            <w:pPr>
              <w:spacing w:line="276" w:lineRule="auto"/>
              <w:rPr>
                <w:rFonts w:ascii="Arial" w:hAnsi="Arial" w:cs="Arial"/>
              </w:rPr>
            </w:pPr>
            <w:r w:rsidRPr="009D7627">
              <w:rPr>
                <w:rFonts w:ascii="Arial" w:hAnsi="Arial" w:cs="Arial"/>
              </w:rPr>
              <w:t>CIMT</w:t>
            </w:r>
          </w:p>
        </w:tc>
        <w:tc>
          <w:tcPr>
            <w:tcW w:w="1228" w:type="dxa"/>
          </w:tcPr>
          <w:p w14:paraId="0AC33337"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144" w:type="dxa"/>
          </w:tcPr>
          <w:p w14:paraId="7D907DB3"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541" w:type="dxa"/>
          </w:tcPr>
          <w:p w14:paraId="2B332920" w14:textId="77777777" w:rsidR="009D7627" w:rsidRPr="009D7627" w:rsidRDefault="009D7627" w:rsidP="002506B3">
            <w:pPr>
              <w:spacing w:line="276" w:lineRule="auto"/>
              <w:rPr>
                <w:rFonts w:ascii="Arial" w:hAnsi="Arial" w:cs="Arial"/>
              </w:rPr>
            </w:pPr>
            <w:r w:rsidRPr="009D7627">
              <w:rPr>
                <w:rFonts w:ascii="Arial" w:hAnsi="Arial" w:cs="Arial"/>
              </w:rPr>
              <w:t>Cross-sectional</w:t>
            </w:r>
          </w:p>
        </w:tc>
      </w:tr>
      <w:tr w:rsidR="009D7627" w:rsidRPr="009D7627" w14:paraId="5FBE1841" w14:textId="77777777" w:rsidTr="009D7627">
        <w:tc>
          <w:tcPr>
            <w:tcW w:w="1227" w:type="dxa"/>
          </w:tcPr>
          <w:p w14:paraId="5367EC14" w14:textId="464A6FC0" w:rsidR="009D7627" w:rsidRPr="009D7627" w:rsidRDefault="009D7627" w:rsidP="002506B3">
            <w:pPr>
              <w:spacing w:line="276" w:lineRule="auto"/>
              <w:rPr>
                <w:rFonts w:ascii="Arial" w:hAnsi="Arial" w:cs="Arial"/>
              </w:rPr>
            </w:pPr>
            <w:proofErr w:type="spellStart"/>
            <w:r w:rsidRPr="009D7627">
              <w:rPr>
                <w:rFonts w:ascii="Arial" w:hAnsi="Arial" w:cs="Arial"/>
              </w:rPr>
              <w:t>Targher</w:t>
            </w:r>
            <w:proofErr w:type="spellEnd"/>
            <w:r w:rsidRPr="009D7627">
              <w:rPr>
                <w:rFonts w:ascii="Arial" w:hAnsi="Arial" w:cs="Arial"/>
              </w:rPr>
              <w:t xml:space="preserve"> et al (</w:t>
            </w:r>
            <w:r w:rsidR="00611AFC">
              <w:rPr>
                <w:rFonts w:ascii="Arial" w:hAnsi="Arial" w:cs="Arial"/>
              </w:rPr>
              <w:t>50</w:t>
            </w:r>
            <w:r w:rsidRPr="009D7627">
              <w:rPr>
                <w:rFonts w:ascii="Arial" w:hAnsi="Arial" w:cs="Arial"/>
              </w:rPr>
              <w:t>)</w:t>
            </w:r>
          </w:p>
        </w:tc>
        <w:tc>
          <w:tcPr>
            <w:tcW w:w="1071" w:type="dxa"/>
          </w:tcPr>
          <w:p w14:paraId="54D89D0C" w14:textId="77777777" w:rsidR="009D7627" w:rsidRPr="009D7627" w:rsidRDefault="009D7627" w:rsidP="002506B3">
            <w:pPr>
              <w:spacing w:line="276" w:lineRule="auto"/>
              <w:rPr>
                <w:rFonts w:ascii="Arial" w:hAnsi="Arial" w:cs="Arial"/>
              </w:rPr>
            </w:pPr>
            <w:r w:rsidRPr="009D7627">
              <w:rPr>
                <w:rFonts w:ascii="Arial" w:hAnsi="Arial" w:cs="Arial"/>
              </w:rPr>
              <w:t>2103</w:t>
            </w:r>
          </w:p>
        </w:tc>
        <w:tc>
          <w:tcPr>
            <w:tcW w:w="1493" w:type="dxa"/>
          </w:tcPr>
          <w:p w14:paraId="150DB0C6" w14:textId="77777777" w:rsidR="009D7627" w:rsidRPr="009D7627" w:rsidRDefault="009D7627" w:rsidP="002506B3">
            <w:pPr>
              <w:spacing w:line="276" w:lineRule="auto"/>
              <w:rPr>
                <w:rFonts w:ascii="Arial" w:hAnsi="Arial" w:cs="Arial"/>
              </w:rPr>
            </w:pPr>
            <w:r w:rsidRPr="009D7627">
              <w:rPr>
                <w:rFonts w:ascii="Arial" w:hAnsi="Arial" w:cs="Arial"/>
              </w:rPr>
              <w:t>Ultrasound</w:t>
            </w:r>
          </w:p>
        </w:tc>
        <w:tc>
          <w:tcPr>
            <w:tcW w:w="1312" w:type="dxa"/>
          </w:tcPr>
          <w:p w14:paraId="4943667C" w14:textId="77777777" w:rsidR="009D7627" w:rsidRPr="009D7627" w:rsidRDefault="009D7627" w:rsidP="002506B3">
            <w:pPr>
              <w:spacing w:line="276" w:lineRule="auto"/>
              <w:rPr>
                <w:rFonts w:ascii="Arial" w:hAnsi="Arial" w:cs="Arial"/>
              </w:rPr>
            </w:pPr>
            <w:r w:rsidRPr="009D7627">
              <w:rPr>
                <w:rFonts w:ascii="Arial" w:hAnsi="Arial" w:cs="Arial"/>
              </w:rPr>
              <w:t>CV events</w:t>
            </w:r>
          </w:p>
        </w:tc>
        <w:tc>
          <w:tcPr>
            <w:tcW w:w="1228" w:type="dxa"/>
          </w:tcPr>
          <w:p w14:paraId="39BF729F"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144" w:type="dxa"/>
          </w:tcPr>
          <w:p w14:paraId="009D13DC"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541" w:type="dxa"/>
          </w:tcPr>
          <w:p w14:paraId="250F8716" w14:textId="77777777" w:rsidR="009D7627" w:rsidRPr="009D7627" w:rsidRDefault="009D7627" w:rsidP="002506B3">
            <w:pPr>
              <w:spacing w:line="276" w:lineRule="auto"/>
              <w:rPr>
                <w:rFonts w:ascii="Arial" w:hAnsi="Arial" w:cs="Arial"/>
              </w:rPr>
            </w:pPr>
            <w:r w:rsidRPr="009D7627">
              <w:rPr>
                <w:rFonts w:ascii="Arial" w:hAnsi="Arial" w:cs="Arial"/>
              </w:rPr>
              <w:t>Longitudinal</w:t>
            </w:r>
          </w:p>
        </w:tc>
      </w:tr>
      <w:tr w:rsidR="009D7627" w:rsidRPr="009D7627" w14:paraId="36D634B8" w14:textId="77777777" w:rsidTr="009D7627">
        <w:tc>
          <w:tcPr>
            <w:tcW w:w="1227" w:type="dxa"/>
          </w:tcPr>
          <w:p w14:paraId="1AB562F9" w14:textId="2ADD8F5F" w:rsidR="009D7627" w:rsidRPr="009D7627" w:rsidRDefault="009D7627" w:rsidP="002506B3">
            <w:pPr>
              <w:spacing w:line="276" w:lineRule="auto"/>
              <w:rPr>
                <w:rFonts w:ascii="Arial" w:hAnsi="Arial" w:cs="Arial"/>
              </w:rPr>
            </w:pPr>
            <w:proofErr w:type="spellStart"/>
            <w:r w:rsidRPr="009D7627">
              <w:rPr>
                <w:rFonts w:ascii="Arial" w:hAnsi="Arial" w:cs="Arial"/>
              </w:rPr>
              <w:t>McKimmie</w:t>
            </w:r>
            <w:proofErr w:type="spellEnd"/>
            <w:r w:rsidRPr="009D7627">
              <w:rPr>
                <w:rFonts w:ascii="Arial" w:hAnsi="Arial" w:cs="Arial"/>
              </w:rPr>
              <w:t xml:space="preserve"> et al (</w:t>
            </w:r>
            <w:r w:rsidR="00611AFC">
              <w:rPr>
                <w:rFonts w:ascii="Arial" w:hAnsi="Arial" w:cs="Arial"/>
              </w:rPr>
              <w:t>51</w:t>
            </w:r>
            <w:r w:rsidRPr="009D7627">
              <w:rPr>
                <w:rFonts w:ascii="Arial" w:hAnsi="Arial" w:cs="Arial"/>
              </w:rPr>
              <w:t>)</w:t>
            </w:r>
          </w:p>
        </w:tc>
        <w:tc>
          <w:tcPr>
            <w:tcW w:w="1071" w:type="dxa"/>
          </w:tcPr>
          <w:p w14:paraId="3BA2B516" w14:textId="77777777" w:rsidR="009D7627" w:rsidRPr="009D7627" w:rsidRDefault="009D7627" w:rsidP="002506B3">
            <w:pPr>
              <w:spacing w:line="276" w:lineRule="auto"/>
              <w:rPr>
                <w:rFonts w:ascii="Arial" w:hAnsi="Arial" w:cs="Arial"/>
              </w:rPr>
            </w:pPr>
            <w:r w:rsidRPr="009D7627">
              <w:rPr>
                <w:rFonts w:ascii="Arial" w:hAnsi="Arial" w:cs="Arial"/>
              </w:rPr>
              <w:t>623</w:t>
            </w:r>
          </w:p>
        </w:tc>
        <w:tc>
          <w:tcPr>
            <w:tcW w:w="1493" w:type="dxa"/>
          </w:tcPr>
          <w:p w14:paraId="6C09E388" w14:textId="77777777" w:rsidR="009D7627" w:rsidRPr="009D7627" w:rsidRDefault="009D7627" w:rsidP="002506B3">
            <w:pPr>
              <w:spacing w:line="276" w:lineRule="auto"/>
              <w:rPr>
                <w:rFonts w:ascii="Arial" w:hAnsi="Arial" w:cs="Arial"/>
              </w:rPr>
            </w:pPr>
            <w:r w:rsidRPr="009D7627">
              <w:rPr>
                <w:rFonts w:ascii="Arial" w:hAnsi="Arial" w:cs="Arial"/>
              </w:rPr>
              <w:t>CT</w:t>
            </w:r>
          </w:p>
        </w:tc>
        <w:tc>
          <w:tcPr>
            <w:tcW w:w="1312" w:type="dxa"/>
          </w:tcPr>
          <w:p w14:paraId="526AD0BE" w14:textId="77777777" w:rsidR="009D7627" w:rsidRPr="009D7627" w:rsidRDefault="009D7627" w:rsidP="002506B3">
            <w:pPr>
              <w:spacing w:line="276" w:lineRule="auto"/>
              <w:rPr>
                <w:rFonts w:ascii="Arial" w:hAnsi="Arial" w:cs="Arial"/>
              </w:rPr>
            </w:pPr>
            <w:r w:rsidRPr="009D7627">
              <w:rPr>
                <w:rFonts w:ascii="Arial" w:hAnsi="Arial" w:cs="Arial"/>
              </w:rPr>
              <w:t>CIMT and coronary artery calcium score</w:t>
            </w:r>
          </w:p>
        </w:tc>
        <w:tc>
          <w:tcPr>
            <w:tcW w:w="1228" w:type="dxa"/>
          </w:tcPr>
          <w:p w14:paraId="66D6D812"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144" w:type="dxa"/>
          </w:tcPr>
          <w:p w14:paraId="5B2C1C94"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541" w:type="dxa"/>
          </w:tcPr>
          <w:p w14:paraId="46514523" w14:textId="77777777" w:rsidR="009D7627" w:rsidRPr="009D7627" w:rsidRDefault="009D7627" w:rsidP="002506B3">
            <w:pPr>
              <w:spacing w:line="276" w:lineRule="auto"/>
              <w:rPr>
                <w:rFonts w:ascii="Arial" w:hAnsi="Arial" w:cs="Arial"/>
              </w:rPr>
            </w:pPr>
            <w:r w:rsidRPr="009D7627">
              <w:rPr>
                <w:rFonts w:ascii="Arial" w:hAnsi="Arial" w:cs="Arial"/>
              </w:rPr>
              <w:t>Cross-sectional</w:t>
            </w:r>
          </w:p>
        </w:tc>
      </w:tr>
      <w:tr w:rsidR="009D7627" w:rsidRPr="009D7627" w14:paraId="76DB4DF9" w14:textId="77777777" w:rsidTr="009D7627">
        <w:tc>
          <w:tcPr>
            <w:tcW w:w="1227" w:type="dxa"/>
          </w:tcPr>
          <w:p w14:paraId="52B14AFD" w14:textId="11E0591B" w:rsidR="009D7627" w:rsidRPr="009D7627" w:rsidRDefault="009D7627" w:rsidP="002506B3">
            <w:pPr>
              <w:spacing w:line="276" w:lineRule="auto"/>
              <w:rPr>
                <w:rFonts w:ascii="Arial" w:hAnsi="Arial" w:cs="Arial"/>
              </w:rPr>
            </w:pPr>
            <w:r w:rsidRPr="009D7627">
              <w:rPr>
                <w:rFonts w:ascii="Arial" w:hAnsi="Arial" w:cs="Arial"/>
              </w:rPr>
              <w:t>Petit et al (</w:t>
            </w:r>
            <w:r w:rsidR="00611AFC">
              <w:rPr>
                <w:rFonts w:ascii="Arial" w:hAnsi="Arial" w:cs="Arial"/>
              </w:rPr>
              <w:t>52</w:t>
            </w:r>
            <w:r w:rsidRPr="009D7627">
              <w:rPr>
                <w:rFonts w:ascii="Arial" w:hAnsi="Arial" w:cs="Arial"/>
              </w:rPr>
              <w:t>)</w:t>
            </w:r>
          </w:p>
        </w:tc>
        <w:tc>
          <w:tcPr>
            <w:tcW w:w="1071" w:type="dxa"/>
          </w:tcPr>
          <w:p w14:paraId="7696A512" w14:textId="77777777" w:rsidR="009D7627" w:rsidRPr="009D7627" w:rsidRDefault="009D7627" w:rsidP="002506B3">
            <w:pPr>
              <w:spacing w:line="276" w:lineRule="auto"/>
              <w:rPr>
                <w:rFonts w:ascii="Arial" w:hAnsi="Arial" w:cs="Arial"/>
              </w:rPr>
            </w:pPr>
            <w:r w:rsidRPr="009D7627">
              <w:rPr>
                <w:rFonts w:ascii="Arial" w:hAnsi="Arial" w:cs="Arial"/>
              </w:rPr>
              <w:t>101</w:t>
            </w:r>
          </w:p>
        </w:tc>
        <w:tc>
          <w:tcPr>
            <w:tcW w:w="1493" w:type="dxa"/>
          </w:tcPr>
          <w:p w14:paraId="0C47A997" w14:textId="77777777" w:rsidR="009D7627" w:rsidRPr="009D7627" w:rsidRDefault="009D7627" w:rsidP="002506B3">
            <w:pPr>
              <w:spacing w:line="276" w:lineRule="auto"/>
              <w:rPr>
                <w:rFonts w:ascii="Arial" w:hAnsi="Arial" w:cs="Arial"/>
              </w:rPr>
            </w:pPr>
            <w:r w:rsidRPr="009D7627">
              <w:rPr>
                <w:rFonts w:ascii="Arial" w:hAnsi="Arial" w:cs="Arial"/>
              </w:rPr>
              <w:t>MR spectroscopy</w:t>
            </w:r>
          </w:p>
        </w:tc>
        <w:tc>
          <w:tcPr>
            <w:tcW w:w="1312" w:type="dxa"/>
          </w:tcPr>
          <w:p w14:paraId="3441B7AF" w14:textId="77777777" w:rsidR="009D7627" w:rsidRPr="009D7627" w:rsidRDefault="009D7627" w:rsidP="002506B3">
            <w:pPr>
              <w:spacing w:line="276" w:lineRule="auto"/>
              <w:rPr>
                <w:rFonts w:ascii="Arial" w:hAnsi="Arial" w:cs="Arial"/>
              </w:rPr>
            </w:pPr>
            <w:r w:rsidRPr="009D7627">
              <w:rPr>
                <w:rFonts w:ascii="Arial" w:hAnsi="Arial" w:cs="Arial"/>
              </w:rPr>
              <w:t>CIMT</w:t>
            </w:r>
          </w:p>
        </w:tc>
        <w:tc>
          <w:tcPr>
            <w:tcW w:w="1228" w:type="dxa"/>
          </w:tcPr>
          <w:p w14:paraId="58308665"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144" w:type="dxa"/>
          </w:tcPr>
          <w:p w14:paraId="58A0B804"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541" w:type="dxa"/>
          </w:tcPr>
          <w:p w14:paraId="28C05DCD" w14:textId="77777777" w:rsidR="009D7627" w:rsidRPr="009D7627" w:rsidRDefault="009D7627" w:rsidP="002506B3">
            <w:pPr>
              <w:spacing w:line="276" w:lineRule="auto"/>
              <w:rPr>
                <w:rFonts w:ascii="Arial" w:hAnsi="Arial" w:cs="Arial"/>
              </w:rPr>
            </w:pPr>
            <w:r w:rsidRPr="009D7627">
              <w:rPr>
                <w:rFonts w:ascii="Arial" w:hAnsi="Arial" w:cs="Arial"/>
              </w:rPr>
              <w:t>Prospective, Cross-sectional</w:t>
            </w:r>
          </w:p>
        </w:tc>
      </w:tr>
      <w:tr w:rsidR="009D7627" w:rsidRPr="009D7627" w14:paraId="4142E9B9" w14:textId="77777777" w:rsidTr="009D7627">
        <w:tc>
          <w:tcPr>
            <w:tcW w:w="1227" w:type="dxa"/>
          </w:tcPr>
          <w:p w14:paraId="564B34C1" w14:textId="0255D8AC" w:rsidR="009D7627" w:rsidRPr="009D7627" w:rsidRDefault="009D7627" w:rsidP="002506B3">
            <w:pPr>
              <w:spacing w:line="276" w:lineRule="auto"/>
              <w:rPr>
                <w:rFonts w:ascii="Arial" w:hAnsi="Arial" w:cs="Arial"/>
              </w:rPr>
            </w:pPr>
            <w:r w:rsidRPr="009D7627">
              <w:rPr>
                <w:rFonts w:ascii="Arial" w:hAnsi="Arial" w:cs="Arial"/>
              </w:rPr>
              <w:t>Adams et al (</w:t>
            </w:r>
            <w:r w:rsidR="00611AFC">
              <w:rPr>
                <w:rFonts w:ascii="Arial" w:hAnsi="Arial" w:cs="Arial"/>
              </w:rPr>
              <w:t>5</w:t>
            </w:r>
            <w:r w:rsidRPr="009D7627">
              <w:rPr>
                <w:rFonts w:ascii="Arial" w:hAnsi="Arial" w:cs="Arial"/>
              </w:rPr>
              <w:t>3)</w:t>
            </w:r>
          </w:p>
        </w:tc>
        <w:tc>
          <w:tcPr>
            <w:tcW w:w="1071" w:type="dxa"/>
          </w:tcPr>
          <w:p w14:paraId="1E33AE27" w14:textId="77777777" w:rsidR="009D7627" w:rsidRPr="009D7627" w:rsidRDefault="009D7627" w:rsidP="002506B3">
            <w:pPr>
              <w:spacing w:line="276" w:lineRule="auto"/>
              <w:rPr>
                <w:rFonts w:ascii="Arial" w:hAnsi="Arial" w:cs="Arial"/>
              </w:rPr>
            </w:pPr>
            <w:r w:rsidRPr="009D7627">
              <w:rPr>
                <w:rFonts w:ascii="Arial" w:hAnsi="Arial" w:cs="Arial"/>
              </w:rPr>
              <w:t>337</w:t>
            </w:r>
          </w:p>
        </w:tc>
        <w:tc>
          <w:tcPr>
            <w:tcW w:w="1493" w:type="dxa"/>
          </w:tcPr>
          <w:p w14:paraId="3FACC012" w14:textId="77777777" w:rsidR="009D7627" w:rsidRPr="009D7627" w:rsidRDefault="009D7627" w:rsidP="002506B3">
            <w:pPr>
              <w:spacing w:line="276" w:lineRule="auto"/>
              <w:rPr>
                <w:rFonts w:ascii="Arial" w:hAnsi="Arial" w:cs="Arial"/>
              </w:rPr>
            </w:pPr>
            <w:r w:rsidRPr="009D7627">
              <w:rPr>
                <w:rFonts w:ascii="Arial" w:hAnsi="Arial" w:cs="Arial"/>
              </w:rPr>
              <w:t>Liver US, CT or biopsy</w:t>
            </w:r>
          </w:p>
        </w:tc>
        <w:tc>
          <w:tcPr>
            <w:tcW w:w="1312" w:type="dxa"/>
          </w:tcPr>
          <w:p w14:paraId="61514B54" w14:textId="77777777" w:rsidR="009D7627" w:rsidRPr="009D7627" w:rsidRDefault="009D7627" w:rsidP="002506B3">
            <w:pPr>
              <w:spacing w:line="276" w:lineRule="auto"/>
              <w:rPr>
                <w:rFonts w:ascii="Arial" w:hAnsi="Arial" w:cs="Arial"/>
              </w:rPr>
            </w:pPr>
            <w:r w:rsidRPr="009D7627">
              <w:rPr>
                <w:rFonts w:ascii="Arial" w:hAnsi="Arial" w:cs="Arial"/>
              </w:rPr>
              <w:t>All-cause mortality and CVD</w:t>
            </w:r>
          </w:p>
        </w:tc>
        <w:tc>
          <w:tcPr>
            <w:tcW w:w="1228" w:type="dxa"/>
          </w:tcPr>
          <w:p w14:paraId="06C3B8B9"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144" w:type="dxa"/>
          </w:tcPr>
          <w:p w14:paraId="1D925791"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541" w:type="dxa"/>
          </w:tcPr>
          <w:p w14:paraId="12361EA9" w14:textId="77777777" w:rsidR="009D7627" w:rsidRPr="009D7627" w:rsidRDefault="009D7627" w:rsidP="002506B3">
            <w:pPr>
              <w:spacing w:line="276" w:lineRule="auto"/>
              <w:rPr>
                <w:rFonts w:ascii="Arial" w:hAnsi="Arial" w:cs="Arial"/>
              </w:rPr>
            </w:pPr>
            <w:r w:rsidRPr="009D7627">
              <w:rPr>
                <w:rFonts w:ascii="Arial" w:hAnsi="Arial" w:cs="Arial"/>
              </w:rPr>
              <w:t>Longitudinal</w:t>
            </w:r>
          </w:p>
        </w:tc>
      </w:tr>
      <w:tr w:rsidR="009D7627" w:rsidRPr="009D7627" w14:paraId="5988DFE6" w14:textId="77777777" w:rsidTr="009D7627">
        <w:tc>
          <w:tcPr>
            <w:tcW w:w="1227" w:type="dxa"/>
          </w:tcPr>
          <w:p w14:paraId="3F0D3E1E" w14:textId="44CD762F" w:rsidR="009D7627" w:rsidRPr="009D7627" w:rsidRDefault="009D7627" w:rsidP="002506B3">
            <w:pPr>
              <w:spacing w:line="276" w:lineRule="auto"/>
              <w:rPr>
                <w:rFonts w:ascii="Arial" w:hAnsi="Arial" w:cs="Arial"/>
              </w:rPr>
            </w:pPr>
            <w:proofErr w:type="spellStart"/>
            <w:r w:rsidRPr="009D7627">
              <w:rPr>
                <w:rFonts w:ascii="Arial" w:hAnsi="Arial" w:cs="Arial"/>
              </w:rPr>
              <w:t>Poanta</w:t>
            </w:r>
            <w:proofErr w:type="spellEnd"/>
            <w:r w:rsidRPr="009D7627">
              <w:rPr>
                <w:rFonts w:ascii="Arial" w:hAnsi="Arial" w:cs="Arial"/>
              </w:rPr>
              <w:t xml:space="preserve"> et al (</w:t>
            </w:r>
            <w:r w:rsidR="00611AFC">
              <w:rPr>
                <w:rFonts w:ascii="Arial" w:hAnsi="Arial" w:cs="Arial"/>
              </w:rPr>
              <w:t>54</w:t>
            </w:r>
            <w:r w:rsidRPr="009D7627">
              <w:rPr>
                <w:rFonts w:ascii="Arial" w:hAnsi="Arial" w:cs="Arial"/>
              </w:rPr>
              <w:t>)</w:t>
            </w:r>
          </w:p>
        </w:tc>
        <w:tc>
          <w:tcPr>
            <w:tcW w:w="1071" w:type="dxa"/>
          </w:tcPr>
          <w:p w14:paraId="7A14CB8D" w14:textId="77777777" w:rsidR="009D7627" w:rsidRPr="009D7627" w:rsidRDefault="009D7627" w:rsidP="002506B3">
            <w:pPr>
              <w:spacing w:line="276" w:lineRule="auto"/>
              <w:rPr>
                <w:rFonts w:ascii="Arial" w:hAnsi="Arial" w:cs="Arial"/>
              </w:rPr>
            </w:pPr>
            <w:r w:rsidRPr="009D7627">
              <w:rPr>
                <w:rFonts w:ascii="Arial" w:hAnsi="Arial" w:cs="Arial"/>
              </w:rPr>
              <w:t>56</w:t>
            </w:r>
          </w:p>
        </w:tc>
        <w:tc>
          <w:tcPr>
            <w:tcW w:w="1493" w:type="dxa"/>
          </w:tcPr>
          <w:p w14:paraId="0AD1EB71" w14:textId="77777777" w:rsidR="009D7627" w:rsidRPr="009D7627" w:rsidRDefault="009D7627" w:rsidP="002506B3">
            <w:pPr>
              <w:spacing w:line="276" w:lineRule="auto"/>
              <w:rPr>
                <w:rFonts w:ascii="Arial" w:hAnsi="Arial" w:cs="Arial"/>
              </w:rPr>
            </w:pPr>
            <w:r w:rsidRPr="009D7627">
              <w:rPr>
                <w:rFonts w:ascii="Arial" w:hAnsi="Arial" w:cs="Arial"/>
              </w:rPr>
              <w:t>Ultrasound</w:t>
            </w:r>
          </w:p>
        </w:tc>
        <w:tc>
          <w:tcPr>
            <w:tcW w:w="1312" w:type="dxa"/>
          </w:tcPr>
          <w:p w14:paraId="32421469" w14:textId="77777777" w:rsidR="009D7627" w:rsidRPr="009D7627" w:rsidRDefault="009D7627" w:rsidP="002506B3">
            <w:pPr>
              <w:spacing w:line="276" w:lineRule="auto"/>
              <w:rPr>
                <w:rFonts w:ascii="Arial" w:hAnsi="Arial" w:cs="Arial"/>
              </w:rPr>
            </w:pPr>
            <w:r w:rsidRPr="009D7627">
              <w:rPr>
                <w:rFonts w:ascii="Arial" w:hAnsi="Arial" w:cs="Arial"/>
              </w:rPr>
              <w:t>CIMT</w:t>
            </w:r>
          </w:p>
        </w:tc>
        <w:tc>
          <w:tcPr>
            <w:tcW w:w="1228" w:type="dxa"/>
          </w:tcPr>
          <w:p w14:paraId="2C15C920"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144" w:type="dxa"/>
          </w:tcPr>
          <w:p w14:paraId="5AD1A751"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541" w:type="dxa"/>
          </w:tcPr>
          <w:p w14:paraId="380CAE56" w14:textId="77777777" w:rsidR="009D7627" w:rsidRPr="009D7627" w:rsidRDefault="009D7627" w:rsidP="002506B3">
            <w:pPr>
              <w:spacing w:line="276" w:lineRule="auto"/>
              <w:rPr>
                <w:rFonts w:ascii="Arial" w:hAnsi="Arial" w:cs="Arial"/>
              </w:rPr>
            </w:pPr>
            <w:r w:rsidRPr="009D7627">
              <w:rPr>
                <w:rFonts w:ascii="Arial" w:hAnsi="Arial" w:cs="Arial"/>
              </w:rPr>
              <w:t>Case-control, Cross-sectional</w:t>
            </w:r>
          </w:p>
        </w:tc>
      </w:tr>
      <w:tr w:rsidR="009D7627" w:rsidRPr="009D7627" w14:paraId="4312D34B" w14:textId="77777777" w:rsidTr="00611AFC">
        <w:trPr>
          <w:trHeight w:val="530"/>
        </w:trPr>
        <w:tc>
          <w:tcPr>
            <w:tcW w:w="1227" w:type="dxa"/>
          </w:tcPr>
          <w:p w14:paraId="73025F68" w14:textId="50A4E938" w:rsidR="009D7627" w:rsidRPr="009D7627" w:rsidRDefault="009D7627" w:rsidP="002506B3">
            <w:pPr>
              <w:spacing w:line="276" w:lineRule="auto"/>
              <w:rPr>
                <w:rFonts w:ascii="Arial" w:hAnsi="Arial" w:cs="Arial"/>
              </w:rPr>
            </w:pPr>
            <w:proofErr w:type="spellStart"/>
            <w:r w:rsidRPr="009D7627">
              <w:rPr>
                <w:rFonts w:ascii="Arial" w:hAnsi="Arial" w:cs="Arial"/>
              </w:rPr>
              <w:t>Bonapace</w:t>
            </w:r>
            <w:proofErr w:type="spellEnd"/>
            <w:r w:rsidRPr="009D7627">
              <w:rPr>
                <w:rFonts w:ascii="Arial" w:hAnsi="Arial" w:cs="Arial"/>
              </w:rPr>
              <w:t xml:space="preserve"> et al (</w:t>
            </w:r>
            <w:r w:rsidR="00611AFC">
              <w:rPr>
                <w:rFonts w:ascii="Arial" w:hAnsi="Arial" w:cs="Arial"/>
              </w:rPr>
              <w:t>55</w:t>
            </w:r>
            <w:r w:rsidRPr="009D7627">
              <w:rPr>
                <w:rFonts w:ascii="Arial" w:hAnsi="Arial" w:cs="Arial"/>
              </w:rPr>
              <w:t>)</w:t>
            </w:r>
          </w:p>
        </w:tc>
        <w:tc>
          <w:tcPr>
            <w:tcW w:w="1071" w:type="dxa"/>
          </w:tcPr>
          <w:p w14:paraId="3D13055A" w14:textId="77777777" w:rsidR="009D7627" w:rsidRPr="009D7627" w:rsidRDefault="009D7627" w:rsidP="002506B3">
            <w:pPr>
              <w:spacing w:line="276" w:lineRule="auto"/>
              <w:rPr>
                <w:rFonts w:ascii="Arial" w:hAnsi="Arial" w:cs="Arial"/>
              </w:rPr>
            </w:pPr>
            <w:r w:rsidRPr="009D7627">
              <w:rPr>
                <w:rFonts w:ascii="Arial" w:hAnsi="Arial" w:cs="Arial"/>
              </w:rPr>
              <w:t>50</w:t>
            </w:r>
          </w:p>
        </w:tc>
        <w:tc>
          <w:tcPr>
            <w:tcW w:w="1493" w:type="dxa"/>
          </w:tcPr>
          <w:p w14:paraId="1DC12F2E" w14:textId="77777777" w:rsidR="009D7627" w:rsidRPr="009D7627" w:rsidRDefault="009D7627" w:rsidP="002506B3">
            <w:pPr>
              <w:spacing w:line="276" w:lineRule="auto"/>
              <w:rPr>
                <w:rFonts w:ascii="Arial" w:hAnsi="Arial" w:cs="Arial"/>
              </w:rPr>
            </w:pPr>
            <w:r w:rsidRPr="009D7627">
              <w:rPr>
                <w:rFonts w:ascii="Arial" w:hAnsi="Arial" w:cs="Arial"/>
              </w:rPr>
              <w:t>Ultrasound</w:t>
            </w:r>
          </w:p>
        </w:tc>
        <w:tc>
          <w:tcPr>
            <w:tcW w:w="1312" w:type="dxa"/>
          </w:tcPr>
          <w:p w14:paraId="173BB741" w14:textId="77777777" w:rsidR="009D7627" w:rsidRPr="009D7627" w:rsidRDefault="009D7627" w:rsidP="002506B3">
            <w:pPr>
              <w:spacing w:line="276" w:lineRule="auto"/>
              <w:rPr>
                <w:rFonts w:ascii="Arial" w:hAnsi="Arial" w:cs="Arial"/>
              </w:rPr>
            </w:pPr>
            <w:r w:rsidRPr="009D7627">
              <w:rPr>
                <w:rFonts w:ascii="Arial" w:hAnsi="Arial" w:cs="Arial"/>
              </w:rPr>
              <w:t>LV diastolic dysfunction</w:t>
            </w:r>
          </w:p>
        </w:tc>
        <w:tc>
          <w:tcPr>
            <w:tcW w:w="1228" w:type="dxa"/>
          </w:tcPr>
          <w:p w14:paraId="68F1ED49"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144" w:type="dxa"/>
          </w:tcPr>
          <w:p w14:paraId="2428FDF6"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541" w:type="dxa"/>
          </w:tcPr>
          <w:p w14:paraId="53A3842F" w14:textId="77777777" w:rsidR="009D7627" w:rsidRPr="009D7627" w:rsidRDefault="009D7627" w:rsidP="002506B3">
            <w:pPr>
              <w:spacing w:line="276" w:lineRule="auto"/>
              <w:rPr>
                <w:rFonts w:ascii="Arial" w:hAnsi="Arial" w:cs="Arial"/>
              </w:rPr>
            </w:pPr>
            <w:r w:rsidRPr="009D7627">
              <w:rPr>
                <w:rFonts w:ascii="Arial" w:hAnsi="Arial" w:cs="Arial"/>
              </w:rPr>
              <w:t>Cross-sectional, Prospective</w:t>
            </w:r>
          </w:p>
        </w:tc>
      </w:tr>
      <w:tr w:rsidR="009D7627" w:rsidRPr="009D7627" w14:paraId="20130C7F" w14:textId="77777777" w:rsidTr="009D7627">
        <w:tc>
          <w:tcPr>
            <w:tcW w:w="1227" w:type="dxa"/>
          </w:tcPr>
          <w:p w14:paraId="4440C461" w14:textId="39B38260" w:rsidR="009D7627" w:rsidRPr="009D7627" w:rsidRDefault="009D7627" w:rsidP="002506B3">
            <w:pPr>
              <w:spacing w:line="276" w:lineRule="auto"/>
              <w:rPr>
                <w:rFonts w:ascii="Arial" w:hAnsi="Arial" w:cs="Arial"/>
              </w:rPr>
            </w:pPr>
            <w:r w:rsidRPr="009D7627">
              <w:rPr>
                <w:rFonts w:ascii="Arial" w:hAnsi="Arial" w:cs="Arial"/>
              </w:rPr>
              <w:t>Dunn et al (</w:t>
            </w:r>
            <w:r w:rsidR="00611AFC">
              <w:rPr>
                <w:rFonts w:ascii="Arial" w:hAnsi="Arial" w:cs="Arial"/>
              </w:rPr>
              <w:t>56</w:t>
            </w:r>
            <w:r w:rsidRPr="009D7627">
              <w:rPr>
                <w:rFonts w:ascii="Arial" w:hAnsi="Arial" w:cs="Arial"/>
              </w:rPr>
              <w:t>)</w:t>
            </w:r>
          </w:p>
        </w:tc>
        <w:tc>
          <w:tcPr>
            <w:tcW w:w="1071" w:type="dxa"/>
          </w:tcPr>
          <w:p w14:paraId="03BA98CE" w14:textId="77777777" w:rsidR="009D7627" w:rsidRPr="009D7627" w:rsidRDefault="009D7627" w:rsidP="002506B3">
            <w:pPr>
              <w:spacing w:line="276" w:lineRule="auto"/>
              <w:rPr>
                <w:rFonts w:ascii="Arial" w:hAnsi="Arial" w:cs="Arial"/>
              </w:rPr>
            </w:pPr>
            <w:r w:rsidRPr="009D7627">
              <w:rPr>
                <w:rFonts w:ascii="Arial" w:hAnsi="Arial" w:cs="Arial"/>
              </w:rPr>
              <w:t>2343</w:t>
            </w:r>
          </w:p>
        </w:tc>
        <w:tc>
          <w:tcPr>
            <w:tcW w:w="1493" w:type="dxa"/>
          </w:tcPr>
          <w:p w14:paraId="2884C8F7" w14:textId="77777777" w:rsidR="009D7627" w:rsidRPr="009D7627" w:rsidRDefault="009D7627" w:rsidP="002506B3">
            <w:pPr>
              <w:spacing w:line="276" w:lineRule="auto"/>
              <w:rPr>
                <w:rFonts w:ascii="Arial" w:hAnsi="Arial" w:cs="Arial"/>
              </w:rPr>
            </w:pPr>
            <w:r w:rsidRPr="009D7627">
              <w:rPr>
                <w:rFonts w:ascii="Arial" w:hAnsi="Arial" w:cs="Arial"/>
              </w:rPr>
              <w:t>CT</w:t>
            </w:r>
          </w:p>
        </w:tc>
        <w:tc>
          <w:tcPr>
            <w:tcW w:w="1312" w:type="dxa"/>
          </w:tcPr>
          <w:p w14:paraId="091E7311" w14:textId="77777777" w:rsidR="009D7627" w:rsidRPr="009D7627" w:rsidRDefault="009D7627" w:rsidP="002506B3">
            <w:pPr>
              <w:spacing w:line="276" w:lineRule="auto"/>
              <w:rPr>
                <w:rFonts w:ascii="Arial" w:hAnsi="Arial" w:cs="Arial"/>
              </w:rPr>
            </w:pPr>
            <w:r w:rsidRPr="009D7627">
              <w:rPr>
                <w:rFonts w:ascii="Arial" w:hAnsi="Arial" w:cs="Arial"/>
              </w:rPr>
              <w:t xml:space="preserve">CV </w:t>
            </w:r>
            <w:proofErr w:type="spellStart"/>
            <w:r w:rsidRPr="009D7627">
              <w:rPr>
                <w:rFonts w:ascii="Arial" w:hAnsi="Arial" w:cs="Arial"/>
              </w:rPr>
              <w:t>mortaility</w:t>
            </w:r>
            <w:proofErr w:type="spellEnd"/>
          </w:p>
        </w:tc>
        <w:tc>
          <w:tcPr>
            <w:tcW w:w="1228" w:type="dxa"/>
          </w:tcPr>
          <w:p w14:paraId="703103A7"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144" w:type="dxa"/>
          </w:tcPr>
          <w:p w14:paraId="23660B84"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541" w:type="dxa"/>
          </w:tcPr>
          <w:p w14:paraId="1CD48585" w14:textId="77777777" w:rsidR="009D7627" w:rsidRPr="009D7627" w:rsidRDefault="009D7627" w:rsidP="002506B3">
            <w:pPr>
              <w:spacing w:line="276" w:lineRule="auto"/>
              <w:rPr>
                <w:rFonts w:ascii="Arial" w:hAnsi="Arial" w:cs="Arial"/>
              </w:rPr>
            </w:pPr>
            <w:r w:rsidRPr="009D7627">
              <w:rPr>
                <w:rFonts w:ascii="Arial" w:hAnsi="Arial" w:cs="Arial"/>
              </w:rPr>
              <w:t>Retrospective cohort, Longitudinal</w:t>
            </w:r>
          </w:p>
        </w:tc>
      </w:tr>
      <w:tr w:rsidR="009D7627" w:rsidRPr="009D7627" w14:paraId="38DBA2C0" w14:textId="77777777" w:rsidTr="009D7627">
        <w:tc>
          <w:tcPr>
            <w:tcW w:w="1227" w:type="dxa"/>
          </w:tcPr>
          <w:p w14:paraId="15D31B10" w14:textId="01A8B76D" w:rsidR="009D7627" w:rsidRPr="009D7627" w:rsidRDefault="009D7627" w:rsidP="002506B3">
            <w:pPr>
              <w:spacing w:line="276" w:lineRule="auto"/>
              <w:rPr>
                <w:rFonts w:ascii="Arial" w:hAnsi="Arial" w:cs="Arial"/>
              </w:rPr>
            </w:pPr>
            <w:proofErr w:type="spellStart"/>
            <w:r w:rsidRPr="009D7627">
              <w:rPr>
                <w:rFonts w:ascii="Arial" w:hAnsi="Arial" w:cs="Arial"/>
              </w:rPr>
              <w:t>Khashper</w:t>
            </w:r>
            <w:proofErr w:type="spellEnd"/>
            <w:r w:rsidRPr="009D7627">
              <w:rPr>
                <w:rFonts w:ascii="Arial" w:hAnsi="Arial" w:cs="Arial"/>
              </w:rPr>
              <w:t xml:space="preserve"> et al (</w:t>
            </w:r>
            <w:r w:rsidR="00611AFC">
              <w:rPr>
                <w:rFonts w:ascii="Arial" w:hAnsi="Arial" w:cs="Arial"/>
              </w:rPr>
              <w:t>57</w:t>
            </w:r>
            <w:r w:rsidRPr="009D7627">
              <w:rPr>
                <w:rFonts w:ascii="Arial" w:hAnsi="Arial" w:cs="Arial"/>
              </w:rPr>
              <w:t>)</w:t>
            </w:r>
          </w:p>
        </w:tc>
        <w:tc>
          <w:tcPr>
            <w:tcW w:w="1071" w:type="dxa"/>
          </w:tcPr>
          <w:p w14:paraId="5EC1EDC2" w14:textId="77777777" w:rsidR="009D7627" w:rsidRPr="009D7627" w:rsidRDefault="009D7627" w:rsidP="002506B3">
            <w:pPr>
              <w:spacing w:line="276" w:lineRule="auto"/>
              <w:rPr>
                <w:rFonts w:ascii="Arial" w:hAnsi="Arial" w:cs="Arial"/>
              </w:rPr>
            </w:pPr>
            <w:r w:rsidRPr="009D7627">
              <w:rPr>
                <w:rFonts w:ascii="Arial" w:hAnsi="Arial" w:cs="Arial"/>
              </w:rPr>
              <w:t>93</w:t>
            </w:r>
          </w:p>
        </w:tc>
        <w:tc>
          <w:tcPr>
            <w:tcW w:w="1493" w:type="dxa"/>
          </w:tcPr>
          <w:p w14:paraId="50CB071D" w14:textId="77777777" w:rsidR="009D7627" w:rsidRPr="009D7627" w:rsidRDefault="009D7627" w:rsidP="002506B3">
            <w:pPr>
              <w:spacing w:line="276" w:lineRule="auto"/>
              <w:rPr>
                <w:rFonts w:ascii="Arial" w:hAnsi="Arial" w:cs="Arial"/>
              </w:rPr>
            </w:pPr>
            <w:r w:rsidRPr="009D7627">
              <w:rPr>
                <w:rFonts w:ascii="Arial" w:hAnsi="Arial" w:cs="Arial"/>
              </w:rPr>
              <w:t>CT</w:t>
            </w:r>
          </w:p>
        </w:tc>
        <w:tc>
          <w:tcPr>
            <w:tcW w:w="1312" w:type="dxa"/>
          </w:tcPr>
          <w:p w14:paraId="17DCC2FF" w14:textId="77777777" w:rsidR="009D7627" w:rsidRPr="009D7627" w:rsidRDefault="009D7627" w:rsidP="002506B3">
            <w:pPr>
              <w:spacing w:line="276" w:lineRule="auto"/>
              <w:rPr>
                <w:rFonts w:ascii="Arial" w:hAnsi="Arial" w:cs="Arial"/>
              </w:rPr>
            </w:pPr>
            <w:r w:rsidRPr="009D7627">
              <w:rPr>
                <w:rFonts w:ascii="Arial" w:hAnsi="Arial" w:cs="Arial"/>
              </w:rPr>
              <w:t>Coronary artery calcium score</w:t>
            </w:r>
          </w:p>
        </w:tc>
        <w:tc>
          <w:tcPr>
            <w:tcW w:w="1228" w:type="dxa"/>
          </w:tcPr>
          <w:p w14:paraId="0B3173DA"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144" w:type="dxa"/>
          </w:tcPr>
          <w:p w14:paraId="0336230D"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541" w:type="dxa"/>
          </w:tcPr>
          <w:p w14:paraId="4EEB6DAF" w14:textId="77777777" w:rsidR="009D7627" w:rsidRPr="009D7627" w:rsidRDefault="009D7627" w:rsidP="002506B3">
            <w:pPr>
              <w:spacing w:line="276" w:lineRule="auto"/>
              <w:rPr>
                <w:rFonts w:ascii="Arial" w:hAnsi="Arial" w:cs="Arial"/>
              </w:rPr>
            </w:pPr>
            <w:r w:rsidRPr="009D7627">
              <w:rPr>
                <w:rFonts w:ascii="Arial" w:hAnsi="Arial" w:cs="Arial"/>
              </w:rPr>
              <w:t>Prospective, Cross-sectional</w:t>
            </w:r>
          </w:p>
        </w:tc>
      </w:tr>
      <w:tr w:rsidR="009D7627" w:rsidRPr="009D7627" w14:paraId="0D823691" w14:textId="77777777" w:rsidTr="009D7627">
        <w:tc>
          <w:tcPr>
            <w:tcW w:w="1227" w:type="dxa"/>
          </w:tcPr>
          <w:p w14:paraId="5CFF77DD" w14:textId="7C37FAB5" w:rsidR="009D7627" w:rsidRPr="009D7627" w:rsidRDefault="009D7627" w:rsidP="002506B3">
            <w:pPr>
              <w:spacing w:line="276" w:lineRule="auto"/>
              <w:rPr>
                <w:rFonts w:ascii="Arial" w:hAnsi="Arial" w:cs="Arial"/>
              </w:rPr>
            </w:pPr>
            <w:r w:rsidRPr="009D7627">
              <w:rPr>
                <w:rFonts w:ascii="Arial" w:hAnsi="Arial" w:cs="Arial"/>
              </w:rPr>
              <w:t>Kim et al (</w:t>
            </w:r>
            <w:r w:rsidR="00611AFC">
              <w:rPr>
                <w:rFonts w:ascii="Arial" w:hAnsi="Arial" w:cs="Arial"/>
              </w:rPr>
              <w:t>58</w:t>
            </w:r>
            <w:r w:rsidRPr="009D7627">
              <w:rPr>
                <w:rFonts w:ascii="Arial" w:hAnsi="Arial" w:cs="Arial"/>
              </w:rPr>
              <w:t>)</w:t>
            </w:r>
          </w:p>
        </w:tc>
        <w:tc>
          <w:tcPr>
            <w:tcW w:w="1071" w:type="dxa"/>
          </w:tcPr>
          <w:p w14:paraId="4FA64A80" w14:textId="77777777" w:rsidR="009D7627" w:rsidRPr="009D7627" w:rsidRDefault="009D7627" w:rsidP="002506B3">
            <w:pPr>
              <w:spacing w:line="276" w:lineRule="auto"/>
              <w:rPr>
                <w:rFonts w:ascii="Arial" w:hAnsi="Arial" w:cs="Arial"/>
              </w:rPr>
            </w:pPr>
            <w:r w:rsidRPr="009D7627">
              <w:rPr>
                <w:rFonts w:ascii="Arial" w:hAnsi="Arial" w:cs="Arial"/>
              </w:rPr>
              <w:t>4437</w:t>
            </w:r>
          </w:p>
        </w:tc>
        <w:tc>
          <w:tcPr>
            <w:tcW w:w="1493" w:type="dxa"/>
          </w:tcPr>
          <w:p w14:paraId="3984FBF3" w14:textId="77777777" w:rsidR="009D7627" w:rsidRPr="009D7627" w:rsidRDefault="009D7627" w:rsidP="002506B3">
            <w:pPr>
              <w:spacing w:line="276" w:lineRule="auto"/>
              <w:rPr>
                <w:rFonts w:ascii="Arial" w:hAnsi="Arial" w:cs="Arial"/>
              </w:rPr>
            </w:pPr>
            <w:r w:rsidRPr="009D7627">
              <w:rPr>
                <w:rFonts w:ascii="Arial" w:hAnsi="Arial" w:cs="Arial"/>
              </w:rPr>
              <w:t>Ultrasound</w:t>
            </w:r>
          </w:p>
        </w:tc>
        <w:tc>
          <w:tcPr>
            <w:tcW w:w="1312" w:type="dxa"/>
          </w:tcPr>
          <w:p w14:paraId="3DC25EE3" w14:textId="77777777" w:rsidR="009D7627" w:rsidRPr="009D7627" w:rsidRDefault="009D7627" w:rsidP="002506B3">
            <w:pPr>
              <w:spacing w:line="276" w:lineRule="auto"/>
              <w:rPr>
                <w:rFonts w:ascii="Arial" w:hAnsi="Arial" w:cs="Arial"/>
              </w:rPr>
            </w:pPr>
            <w:r w:rsidRPr="009D7627">
              <w:rPr>
                <w:rFonts w:ascii="Arial" w:hAnsi="Arial" w:cs="Arial"/>
              </w:rPr>
              <w:t>CIMT</w:t>
            </w:r>
          </w:p>
        </w:tc>
        <w:tc>
          <w:tcPr>
            <w:tcW w:w="1228" w:type="dxa"/>
          </w:tcPr>
          <w:p w14:paraId="64BEFA7D"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144" w:type="dxa"/>
          </w:tcPr>
          <w:p w14:paraId="0D9C66F4"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541" w:type="dxa"/>
          </w:tcPr>
          <w:p w14:paraId="44265470" w14:textId="77777777" w:rsidR="009D7627" w:rsidRPr="009D7627" w:rsidRDefault="009D7627" w:rsidP="002506B3">
            <w:pPr>
              <w:spacing w:line="276" w:lineRule="auto"/>
              <w:rPr>
                <w:rFonts w:ascii="Arial" w:hAnsi="Arial" w:cs="Arial"/>
              </w:rPr>
            </w:pPr>
            <w:r w:rsidRPr="009D7627">
              <w:rPr>
                <w:rFonts w:ascii="Arial" w:hAnsi="Arial" w:cs="Arial"/>
              </w:rPr>
              <w:t>Cross-sectional</w:t>
            </w:r>
          </w:p>
        </w:tc>
      </w:tr>
      <w:tr w:rsidR="009D7627" w:rsidRPr="009D7627" w14:paraId="5900DFEE" w14:textId="77777777" w:rsidTr="009D7627">
        <w:tc>
          <w:tcPr>
            <w:tcW w:w="1227" w:type="dxa"/>
          </w:tcPr>
          <w:p w14:paraId="5773FF0A" w14:textId="796F07D1" w:rsidR="009D7627" w:rsidRPr="009D7627" w:rsidRDefault="009D7627" w:rsidP="002506B3">
            <w:pPr>
              <w:spacing w:line="276" w:lineRule="auto"/>
              <w:rPr>
                <w:rFonts w:ascii="Arial" w:hAnsi="Arial" w:cs="Arial"/>
              </w:rPr>
            </w:pPr>
            <w:proofErr w:type="spellStart"/>
            <w:r w:rsidRPr="009D7627">
              <w:rPr>
                <w:rFonts w:ascii="Arial" w:hAnsi="Arial" w:cs="Arial"/>
              </w:rPr>
              <w:t>Idilman</w:t>
            </w:r>
            <w:proofErr w:type="spellEnd"/>
            <w:r w:rsidRPr="009D7627">
              <w:rPr>
                <w:rFonts w:ascii="Arial" w:hAnsi="Arial" w:cs="Arial"/>
              </w:rPr>
              <w:t xml:space="preserve"> et al (</w:t>
            </w:r>
            <w:r w:rsidR="00611AFC">
              <w:rPr>
                <w:rFonts w:ascii="Arial" w:hAnsi="Arial" w:cs="Arial"/>
              </w:rPr>
              <w:t>59</w:t>
            </w:r>
            <w:r w:rsidRPr="009D7627">
              <w:rPr>
                <w:rFonts w:ascii="Arial" w:hAnsi="Arial" w:cs="Arial"/>
              </w:rPr>
              <w:t>)</w:t>
            </w:r>
          </w:p>
        </w:tc>
        <w:tc>
          <w:tcPr>
            <w:tcW w:w="1071" w:type="dxa"/>
          </w:tcPr>
          <w:p w14:paraId="180BFC79" w14:textId="77777777" w:rsidR="009D7627" w:rsidRPr="009D7627" w:rsidRDefault="009D7627" w:rsidP="002506B3">
            <w:pPr>
              <w:spacing w:line="276" w:lineRule="auto"/>
              <w:rPr>
                <w:rFonts w:ascii="Arial" w:hAnsi="Arial" w:cs="Arial"/>
              </w:rPr>
            </w:pPr>
            <w:r w:rsidRPr="009D7627">
              <w:rPr>
                <w:rFonts w:ascii="Arial" w:hAnsi="Arial" w:cs="Arial"/>
              </w:rPr>
              <w:t>273</w:t>
            </w:r>
          </w:p>
        </w:tc>
        <w:tc>
          <w:tcPr>
            <w:tcW w:w="1493" w:type="dxa"/>
          </w:tcPr>
          <w:p w14:paraId="1EE17FA2" w14:textId="77777777" w:rsidR="009D7627" w:rsidRPr="009D7627" w:rsidRDefault="009D7627" w:rsidP="002506B3">
            <w:pPr>
              <w:spacing w:line="276" w:lineRule="auto"/>
              <w:rPr>
                <w:rFonts w:ascii="Arial" w:hAnsi="Arial" w:cs="Arial"/>
              </w:rPr>
            </w:pPr>
            <w:r w:rsidRPr="009D7627">
              <w:rPr>
                <w:rFonts w:ascii="Arial" w:hAnsi="Arial" w:cs="Arial"/>
              </w:rPr>
              <w:t>CT</w:t>
            </w:r>
          </w:p>
        </w:tc>
        <w:tc>
          <w:tcPr>
            <w:tcW w:w="1312" w:type="dxa"/>
          </w:tcPr>
          <w:p w14:paraId="4BEA1CE1" w14:textId="77777777" w:rsidR="009D7627" w:rsidRPr="009D7627" w:rsidRDefault="009D7627" w:rsidP="002506B3">
            <w:pPr>
              <w:spacing w:line="276" w:lineRule="auto"/>
              <w:rPr>
                <w:rFonts w:ascii="Arial" w:hAnsi="Arial" w:cs="Arial"/>
              </w:rPr>
            </w:pPr>
            <w:r w:rsidRPr="009D7627">
              <w:rPr>
                <w:rFonts w:ascii="Arial" w:hAnsi="Arial" w:cs="Arial"/>
              </w:rPr>
              <w:t>Coronary artery calcium score</w:t>
            </w:r>
          </w:p>
        </w:tc>
        <w:tc>
          <w:tcPr>
            <w:tcW w:w="1228" w:type="dxa"/>
          </w:tcPr>
          <w:p w14:paraId="6F62B1F6"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144" w:type="dxa"/>
          </w:tcPr>
          <w:p w14:paraId="38521C7C"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541" w:type="dxa"/>
          </w:tcPr>
          <w:p w14:paraId="411B8D19" w14:textId="77777777" w:rsidR="009D7627" w:rsidRPr="009D7627" w:rsidRDefault="009D7627" w:rsidP="002506B3">
            <w:pPr>
              <w:spacing w:line="276" w:lineRule="auto"/>
              <w:rPr>
                <w:rFonts w:ascii="Arial" w:hAnsi="Arial" w:cs="Arial"/>
              </w:rPr>
            </w:pPr>
            <w:r w:rsidRPr="009D7627">
              <w:rPr>
                <w:rFonts w:ascii="Arial" w:hAnsi="Arial" w:cs="Arial"/>
              </w:rPr>
              <w:t>Prospective, Cross-sectional</w:t>
            </w:r>
          </w:p>
        </w:tc>
      </w:tr>
      <w:tr w:rsidR="009D7627" w:rsidRPr="009D7627" w14:paraId="7395C60A" w14:textId="77777777" w:rsidTr="009D7627">
        <w:tc>
          <w:tcPr>
            <w:tcW w:w="1227" w:type="dxa"/>
          </w:tcPr>
          <w:p w14:paraId="119BA43A" w14:textId="413DB26D" w:rsidR="009D7627" w:rsidRPr="009D7627" w:rsidRDefault="009D7627" w:rsidP="002506B3">
            <w:pPr>
              <w:spacing w:line="276" w:lineRule="auto"/>
              <w:rPr>
                <w:rFonts w:ascii="Arial" w:hAnsi="Arial" w:cs="Arial"/>
              </w:rPr>
            </w:pPr>
            <w:proofErr w:type="spellStart"/>
            <w:r w:rsidRPr="009D7627">
              <w:rPr>
                <w:rFonts w:ascii="Arial" w:hAnsi="Arial" w:cs="Arial"/>
              </w:rPr>
              <w:t>Silaghi</w:t>
            </w:r>
            <w:proofErr w:type="spellEnd"/>
            <w:r w:rsidRPr="009D7627">
              <w:rPr>
                <w:rFonts w:ascii="Arial" w:hAnsi="Arial" w:cs="Arial"/>
              </w:rPr>
              <w:t xml:space="preserve"> et al (</w:t>
            </w:r>
            <w:r w:rsidR="00611AFC">
              <w:rPr>
                <w:rFonts w:ascii="Arial" w:hAnsi="Arial" w:cs="Arial"/>
              </w:rPr>
              <w:t>60</w:t>
            </w:r>
            <w:r w:rsidRPr="009D7627">
              <w:rPr>
                <w:rFonts w:ascii="Arial" w:hAnsi="Arial" w:cs="Arial"/>
              </w:rPr>
              <w:t>)</w:t>
            </w:r>
          </w:p>
        </w:tc>
        <w:tc>
          <w:tcPr>
            <w:tcW w:w="1071" w:type="dxa"/>
          </w:tcPr>
          <w:p w14:paraId="1AF7F4BA" w14:textId="77777777" w:rsidR="009D7627" w:rsidRPr="009D7627" w:rsidRDefault="009D7627" w:rsidP="002506B3">
            <w:pPr>
              <w:spacing w:line="276" w:lineRule="auto"/>
              <w:rPr>
                <w:rFonts w:ascii="Arial" w:hAnsi="Arial" w:cs="Arial"/>
              </w:rPr>
            </w:pPr>
            <w:r w:rsidRPr="009D7627">
              <w:rPr>
                <w:rFonts w:ascii="Arial" w:hAnsi="Arial" w:cs="Arial"/>
              </w:rPr>
              <w:t>336</w:t>
            </w:r>
          </w:p>
        </w:tc>
        <w:tc>
          <w:tcPr>
            <w:tcW w:w="1493" w:type="dxa"/>
          </w:tcPr>
          <w:p w14:paraId="35744B21" w14:textId="77777777" w:rsidR="009D7627" w:rsidRPr="009D7627" w:rsidRDefault="009D7627" w:rsidP="002506B3">
            <w:pPr>
              <w:spacing w:line="276" w:lineRule="auto"/>
              <w:rPr>
                <w:rFonts w:ascii="Arial" w:hAnsi="Arial" w:cs="Arial"/>
              </w:rPr>
            </w:pPr>
            <w:r w:rsidRPr="009D7627">
              <w:rPr>
                <w:rFonts w:ascii="Arial" w:hAnsi="Arial" w:cs="Arial"/>
              </w:rPr>
              <w:t>Ultrasound</w:t>
            </w:r>
          </w:p>
        </w:tc>
        <w:tc>
          <w:tcPr>
            <w:tcW w:w="1312" w:type="dxa"/>
          </w:tcPr>
          <w:p w14:paraId="4972F65F" w14:textId="77777777" w:rsidR="009D7627" w:rsidRPr="009D7627" w:rsidRDefault="009D7627" w:rsidP="002506B3">
            <w:pPr>
              <w:spacing w:line="276" w:lineRule="auto"/>
              <w:rPr>
                <w:rFonts w:ascii="Arial" w:hAnsi="Arial" w:cs="Arial"/>
              </w:rPr>
            </w:pPr>
            <w:r w:rsidRPr="009D7627">
              <w:rPr>
                <w:rFonts w:ascii="Arial" w:hAnsi="Arial" w:cs="Arial"/>
              </w:rPr>
              <w:t>CIMT</w:t>
            </w:r>
          </w:p>
        </w:tc>
        <w:tc>
          <w:tcPr>
            <w:tcW w:w="1228" w:type="dxa"/>
          </w:tcPr>
          <w:p w14:paraId="5A627BFE"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144" w:type="dxa"/>
          </w:tcPr>
          <w:p w14:paraId="0F3BA52E" w14:textId="77777777" w:rsidR="009D7627" w:rsidRPr="009D7627" w:rsidRDefault="009D7627" w:rsidP="002506B3">
            <w:pPr>
              <w:spacing w:line="276" w:lineRule="auto"/>
              <w:rPr>
                <w:rFonts w:ascii="Arial" w:hAnsi="Arial" w:cs="Arial"/>
              </w:rPr>
            </w:pPr>
            <w:r w:rsidRPr="009D7627">
              <w:rPr>
                <w:rFonts w:ascii="Arial" w:hAnsi="Arial" w:cs="Arial"/>
              </w:rPr>
              <w:t>No</w:t>
            </w:r>
          </w:p>
        </w:tc>
        <w:tc>
          <w:tcPr>
            <w:tcW w:w="1541" w:type="dxa"/>
          </w:tcPr>
          <w:p w14:paraId="7E3C8A62" w14:textId="77777777" w:rsidR="009D7627" w:rsidRPr="009D7627" w:rsidRDefault="009D7627" w:rsidP="002506B3">
            <w:pPr>
              <w:spacing w:line="276" w:lineRule="auto"/>
              <w:rPr>
                <w:rFonts w:ascii="Arial" w:hAnsi="Arial" w:cs="Arial"/>
              </w:rPr>
            </w:pPr>
            <w:r w:rsidRPr="009D7627">
              <w:rPr>
                <w:rFonts w:ascii="Arial" w:hAnsi="Arial" w:cs="Arial"/>
              </w:rPr>
              <w:t>Cross-sectional</w:t>
            </w:r>
          </w:p>
        </w:tc>
      </w:tr>
      <w:tr w:rsidR="009D7627" w:rsidRPr="009D7627" w14:paraId="0B2592AB" w14:textId="77777777" w:rsidTr="009D7627">
        <w:tc>
          <w:tcPr>
            <w:tcW w:w="1227" w:type="dxa"/>
          </w:tcPr>
          <w:p w14:paraId="53DB51F6" w14:textId="262447FD" w:rsidR="009D7627" w:rsidRPr="009D7627" w:rsidRDefault="009D7627" w:rsidP="002506B3">
            <w:pPr>
              <w:spacing w:line="276" w:lineRule="auto"/>
              <w:rPr>
                <w:rFonts w:ascii="Arial" w:hAnsi="Arial" w:cs="Arial"/>
              </w:rPr>
            </w:pPr>
            <w:r w:rsidRPr="009D7627">
              <w:rPr>
                <w:rFonts w:ascii="Arial" w:hAnsi="Arial" w:cs="Arial"/>
              </w:rPr>
              <w:t>Kwak et al (</w:t>
            </w:r>
            <w:r w:rsidR="00611AFC">
              <w:rPr>
                <w:rFonts w:ascii="Arial" w:hAnsi="Arial" w:cs="Arial"/>
              </w:rPr>
              <w:t>61</w:t>
            </w:r>
            <w:r w:rsidRPr="009D7627">
              <w:rPr>
                <w:rFonts w:ascii="Arial" w:hAnsi="Arial" w:cs="Arial"/>
              </w:rPr>
              <w:t>)</w:t>
            </w:r>
          </w:p>
        </w:tc>
        <w:tc>
          <w:tcPr>
            <w:tcW w:w="1071" w:type="dxa"/>
          </w:tcPr>
          <w:p w14:paraId="1FE42C9A" w14:textId="77777777" w:rsidR="009D7627" w:rsidRPr="009D7627" w:rsidRDefault="009D7627" w:rsidP="002506B3">
            <w:pPr>
              <w:spacing w:line="276" w:lineRule="auto"/>
              <w:rPr>
                <w:rFonts w:ascii="Arial" w:hAnsi="Arial" w:cs="Arial"/>
              </w:rPr>
            </w:pPr>
            <w:r w:rsidRPr="009D7627">
              <w:rPr>
                <w:rFonts w:ascii="Arial" w:hAnsi="Arial" w:cs="Arial"/>
              </w:rPr>
              <w:t>213</w:t>
            </w:r>
          </w:p>
        </w:tc>
        <w:tc>
          <w:tcPr>
            <w:tcW w:w="1493" w:type="dxa"/>
          </w:tcPr>
          <w:p w14:paraId="0F8FC872" w14:textId="77777777" w:rsidR="009D7627" w:rsidRPr="009D7627" w:rsidRDefault="009D7627" w:rsidP="002506B3">
            <w:pPr>
              <w:spacing w:line="276" w:lineRule="auto"/>
              <w:rPr>
                <w:rFonts w:ascii="Arial" w:hAnsi="Arial" w:cs="Arial"/>
              </w:rPr>
            </w:pPr>
            <w:r w:rsidRPr="009D7627">
              <w:rPr>
                <w:rFonts w:ascii="Arial" w:hAnsi="Arial" w:cs="Arial"/>
              </w:rPr>
              <w:t>Ultrasound</w:t>
            </w:r>
          </w:p>
        </w:tc>
        <w:tc>
          <w:tcPr>
            <w:tcW w:w="1312" w:type="dxa"/>
          </w:tcPr>
          <w:p w14:paraId="1A096F3E" w14:textId="77777777" w:rsidR="009D7627" w:rsidRPr="009D7627" w:rsidRDefault="009D7627" w:rsidP="002506B3">
            <w:pPr>
              <w:spacing w:line="276" w:lineRule="auto"/>
              <w:rPr>
                <w:rFonts w:ascii="Arial" w:hAnsi="Arial" w:cs="Arial"/>
              </w:rPr>
            </w:pPr>
            <w:r w:rsidRPr="009D7627">
              <w:rPr>
                <w:rFonts w:ascii="Arial" w:hAnsi="Arial" w:cs="Arial"/>
              </w:rPr>
              <w:t>Coronary artery calcium score</w:t>
            </w:r>
          </w:p>
        </w:tc>
        <w:tc>
          <w:tcPr>
            <w:tcW w:w="1228" w:type="dxa"/>
          </w:tcPr>
          <w:p w14:paraId="76FD6F58"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144" w:type="dxa"/>
          </w:tcPr>
          <w:p w14:paraId="73A56A4B"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541" w:type="dxa"/>
          </w:tcPr>
          <w:p w14:paraId="2BEBABAB" w14:textId="77777777" w:rsidR="009D7627" w:rsidRPr="009D7627" w:rsidRDefault="009D7627" w:rsidP="002506B3">
            <w:pPr>
              <w:spacing w:line="276" w:lineRule="auto"/>
              <w:rPr>
                <w:rFonts w:ascii="Arial" w:hAnsi="Arial" w:cs="Arial"/>
              </w:rPr>
            </w:pPr>
            <w:r w:rsidRPr="009D7627">
              <w:rPr>
                <w:rFonts w:ascii="Arial" w:hAnsi="Arial" w:cs="Arial"/>
              </w:rPr>
              <w:t>Cross-sectional</w:t>
            </w:r>
          </w:p>
        </w:tc>
      </w:tr>
      <w:tr w:rsidR="009D7627" w:rsidRPr="009D7627" w14:paraId="261C3023" w14:textId="77777777" w:rsidTr="009D7627">
        <w:tc>
          <w:tcPr>
            <w:tcW w:w="1227" w:type="dxa"/>
          </w:tcPr>
          <w:p w14:paraId="3B7871E7" w14:textId="59E354A6" w:rsidR="009D7627" w:rsidRPr="009D7627" w:rsidRDefault="009D7627" w:rsidP="002506B3">
            <w:pPr>
              <w:spacing w:line="276" w:lineRule="auto"/>
              <w:rPr>
                <w:rFonts w:ascii="Arial" w:hAnsi="Arial" w:cs="Arial"/>
              </w:rPr>
            </w:pPr>
            <w:proofErr w:type="spellStart"/>
            <w:r w:rsidRPr="009D7627">
              <w:rPr>
                <w:rFonts w:ascii="Arial" w:hAnsi="Arial" w:cs="Arial"/>
              </w:rPr>
              <w:t>Mantovani</w:t>
            </w:r>
            <w:proofErr w:type="spellEnd"/>
            <w:r w:rsidRPr="009D7627">
              <w:rPr>
                <w:rFonts w:ascii="Arial" w:hAnsi="Arial" w:cs="Arial"/>
              </w:rPr>
              <w:t xml:space="preserve"> et al (</w:t>
            </w:r>
            <w:r w:rsidR="00611AFC">
              <w:rPr>
                <w:rFonts w:ascii="Arial" w:hAnsi="Arial" w:cs="Arial"/>
              </w:rPr>
              <w:t>62</w:t>
            </w:r>
            <w:r w:rsidRPr="009D7627">
              <w:rPr>
                <w:rFonts w:ascii="Arial" w:hAnsi="Arial" w:cs="Arial"/>
              </w:rPr>
              <w:t>)</w:t>
            </w:r>
          </w:p>
        </w:tc>
        <w:tc>
          <w:tcPr>
            <w:tcW w:w="1071" w:type="dxa"/>
          </w:tcPr>
          <w:p w14:paraId="16B68536" w14:textId="77777777" w:rsidR="009D7627" w:rsidRPr="009D7627" w:rsidRDefault="009D7627" w:rsidP="002506B3">
            <w:pPr>
              <w:spacing w:line="276" w:lineRule="auto"/>
              <w:rPr>
                <w:rFonts w:ascii="Arial" w:hAnsi="Arial" w:cs="Arial"/>
              </w:rPr>
            </w:pPr>
            <w:r w:rsidRPr="009D7627">
              <w:rPr>
                <w:rFonts w:ascii="Arial" w:hAnsi="Arial" w:cs="Arial"/>
              </w:rPr>
              <w:t>222</w:t>
            </w:r>
          </w:p>
        </w:tc>
        <w:tc>
          <w:tcPr>
            <w:tcW w:w="1493" w:type="dxa"/>
          </w:tcPr>
          <w:p w14:paraId="7321175F" w14:textId="77777777" w:rsidR="009D7627" w:rsidRPr="009D7627" w:rsidRDefault="009D7627" w:rsidP="002506B3">
            <w:pPr>
              <w:spacing w:line="276" w:lineRule="auto"/>
              <w:rPr>
                <w:rFonts w:ascii="Arial" w:hAnsi="Arial" w:cs="Arial"/>
              </w:rPr>
            </w:pPr>
            <w:r w:rsidRPr="009D7627">
              <w:rPr>
                <w:rFonts w:ascii="Arial" w:hAnsi="Arial" w:cs="Arial"/>
              </w:rPr>
              <w:t>Ultrasound</w:t>
            </w:r>
          </w:p>
        </w:tc>
        <w:tc>
          <w:tcPr>
            <w:tcW w:w="1312" w:type="dxa"/>
          </w:tcPr>
          <w:p w14:paraId="578A7E89" w14:textId="77777777" w:rsidR="009D7627" w:rsidRPr="009D7627" w:rsidRDefault="009D7627" w:rsidP="002506B3">
            <w:pPr>
              <w:spacing w:line="276" w:lineRule="auto"/>
              <w:rPr>
                <w:rFonts w:ascii="Arial" w:hAnsi="Arial" w:cs="Arial"/>
              </w:rPr>
            </w:pPr>
            <w:r w:rsidRPr="009D7627">
              <w:rPr>
                <w:rFonts w:ascii="Arial" w:hAnsi="Arial" w:cs="Arial"/>
              </w:rPr>
              <w:t>LV diastolic dysfunction</w:t>
            </w:r>
          </w:p>
        </w:tc>
        <w:tc>
          <w:tcPr>
            <w:tcW w:w="1228" w:type="dxa"/>
          </w:tcPr>
          <w:p w14:paraId="772544AD"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144" w:type="dxa"/>
          </w:tcPr>
          <w:p w14:paraId="6BC8AB2A" w14:textId="77777777" w:rsidR="009D7627" w:rsidRPr="009D7627" w:rsidRDefault="009D7627" w:rsidP="002506B3">
            <w:pPr>
              <w:spacing w:line="276" w:lineRule="auto"/>
              <w:rPr>
                <w:rFonts w:ascii="Arial" w:hAnsi="Arial" w:cs="Arial"/>
              </w:rPr>
            </w:pPr>
            <w:r w:rsidRPr="009D7627">
              <w:rPr>
                <w:rFonts w:ascii="Arial" w:hAnsi="Arial" w:cs="Arial"/>
              </w:rPr>
              <w:t>Yes</w:t>
            </w:r>
          </w:p>
        </w:tc>
        <w:tc>
          <w:tcPr>
            <w:tcW w:w="1541" w:type="dxa"/>
          </w:tcPr>
          <w:p w14:paraId="0C5B5017" w14:textId="77777777" w:rsidR="009D7627" w:rsidRPr="009D7627" w:rsidRDefault="009D7627" w:rsidP="002506B3">
            <w:pPr>
              <w:spacing w:line="276" w:lineRule="auto"/>
              <w:rPr>
                <w:rFonts w:ascii="Arial" w:hAnsi="Arial" w:cs="Arial"/>
              </w:rPr>
            </w:pPr>
            <w:r w:rsidRPr="009D7627">
              <w:rPr>
                <w:rFonts w:ascii="Arial" w:hAnsi="Arial" w:cs="Arial"/>
              </w:rPr>
              <w:t>Cross-sectional</w:t>
            </w:r>
          </w:p>
        </w:tc>
      </w:tr>
    </w:tbl>
    <w:p w14:paraId="3A48FC15" w14:textId="4DDBCA12" w:rsidR="009D7627" w:rsidRPr="00051B46" w:rsidRDefault="009D7627" w:rsidP="002506B3">
      <w:pPr>
        <w:spacing w:after="0" w:line="276" w:lineRule="auto"/>
        <w:rPr>
          <w:rFonts w:ascii="Arial" w:hAnsi="Arial" w:cs="Arial"/>
        </w:rPr>
      </w:pPr>
      <w:r w:rsidRPr="00051B46">
        <w:rPr>
          <w:rFonts w:ascii="Arial" w:hAnsi="Arial" w:cs="Arial"/>
        </w:rPr>
        <w:t>*CV risk remained significant after adjustment for other traditional cardiovascular risk factors, however did not remain significant after adjustment for HOMA-IR.</w:t>
      </w:r>
      <w:r w:rsidRPr="00051B46">
        <w:rPr>
          <w:rFonts w:ascii="Arial" w:hAnsi="Arial" w:cs="Arial"/>
        </w:rPr>
        <w:tab/>
      </w:r>
      <w:r w:rsidRPr="00051B46">
        <w:rPr>
          <w:rFonts w:ascii="Arial" w:hAnsi="Arial" w:cs="Arial"/>
        </w:rPr>
        <w:tab/>
      </w:r>
      <w:r w:rsidRPr="00051B46">
        <w:rPr>
          <w:rFonts w:ascii="Arial" w:hAnsi="Arial" w:cs="Arial"/>
        </w:rPr>
        <w:tab/>
      </w:r>
      <w:r w:rsidRPr="00051B46">
        <w:rPr>
          <w:rFonts w:ascii="Arial" w:hAnsi="Arial" w:cs="Arial"/>
        </w:rPr>
        <w:tab/>
      </w:r>
    </w:p>
    <w:p w14:paraId="1CFB876D" w14:textId="723F58B7" w:rsidR="009D7627" w:rsidRPr="00051B46" w:rsidRDefault="009D7627" w:rsidP="002506B3">
      <w:pPr>
        <w:spacing w:after="0" w:line="276" w:lineRule="auto"/>
        <w:rPr>
          <w:rFonts w:ascii="Arial" w:hAnsi="Arial" w:cs="Arial"/>
        </w:rPr>
      </w:pPr>
      <w:r w:rsidRPr="00051B46">
        <w:rPr>
          <w:rFonts w:ascii="Arial" w:hAnsi="Arial" w:cs="Arial"/>
        </w:rPr>
        <w:t>**Only significant association was between NAFLD and significant CAD (defined as more than or equal to 50% stenosis in at least one coronary artery).</w:t>
      </w:r>
      <w:r w:rsidRPr="00051B46">
        <w:rPr>
          <w:rFonts w:ascii="Arial" w:hAnsi="Arial" w:cs="Arial"/>
        </w:rPr>
        <w:tab/>
      </w:r>
      <w:r w:rsidRPr="00051B46">
        <w:rPr>
          <w:rFonts w:ascii="Arial" w:hAnsi="Arial" w:cs="Arial"/>
        </w:rPr>
        <w:tab/>
      </w:r>
      <w:r w:rsidRPr="00051B46">
        <w:rPr>
          <w:rFonts w:ascii="Arial" w:hAnsi="Arial" w:cs="Arial"/>
        </w:rPr>
        <w:tab/>
      </w:r>
      <w:r w:rsidRPr="00051B46">
        <w:rPr>
          <w:rFonts w:ascii="Arial" w:hAnsi="Arial" w:cs="Arial"/>
        </w:rPr>
        <w:tab/>
      </w:r>
    </w:p>
    <w:p w14:paraId="226F87E2" w14:textId="7887133F" w:rsidR="009D7627" w:rsidRPr="00051B46" w:rsidRDefault="009D7627" w:rsidP="002506B3">
      <w:pPr>
        <w:spacing w:after="0" w:line="276" w:lineRule="auto"/>
        <w:rPr>
          <w:rFonts w:ascii="Arial" w:hAnsi="Arial" w:cs="Arial"/>
        </w:rPr>
      </w:pPr>
      <w:r w:rsidRPr="00051B46">
        <w:rPr>
          <w:rFonts w:ascii="Arial" w:hAnsi="Arial" w:cs="Arial"/>
        </w:rPr>
        <w:t>***Only significant association in patients with NAFLD and A1C &gt; 7% but not in lower A1C.</w:t>
      </w:r>
      <w:r w:rsidRPr="00051B46">
        <w:rPr>
          <w:rFonts w:ascii="Arial" w:hAnsi="Arial" w:cs="Arial"/>
        </w:rPr>
        <w:tab/>
      </w:r>
      <w:r w:rsidRPr="00051B46">
        <w:rPr>
          <w:rFonts w:ascii="Arial" w:hAnsi="Arial" w:cs="Arial"/>
        </w:rPr>
        <w:tab/>
      </w:r>
      <w:r w:rsidRPr="00051B46">
        <w:rPr>
          <w:rFonts w:ascii="Arial" w:hAnsi="Arial" w:cs="Arial"/>
        </w:rPr>
        <w:tab/>
      </w:r>
      <w:r w:rsidRPr="00051B46">
        <w:rPr>
          <w:rFonts w:ascii="Arial" w:hAnsi="Arial" w:cs="Arial"/>
        </w:rPr>
        <w:tab/>
      </w:r>
      <w:r w:rsidRPr="00051B46">
        <w:rPr>
          <w:rFonts w:ascii="Arial" w:hAnsi="Arial" w:cs="Arial"/>
        </w:rPr>
        <w:tab/>
      </w:r>
      <w:r w:rsidRPr="00051B46">
        <w:rPr>
          <w:rFonts w:ascii="Arial" w:hAnsi="Arial" w:cs="Arial"/>
        </w:rPr>
        <w:tab/>
      </w:r>
    </w:p>
    <w:p w14:paraId="3B6A834D" w14:textId="04E0FA4D" w:rsidR="00537AC6" w:rsidRPr="00051B46" w:rsidRDefault="00051A5D" w:rsidP="002506B3">
      <w:pPr>
        <w:spacing w:after="0" w:line="276" w:lineRule="auto"/>
        <w:rPr>
          <w:rFonts w:ascii="Arial" w:hAnsi="Arial" w:cs="Arial"/>
          <w:b/>
          <w:bCs/>
        </w:rPr>
      </w:pPr>
      <w:r w:rsidRPr="00051B46">
        <w:rPr>
          <w:rFonts w:ascii="Arial" w:hAnsi="Arial" w:cs="Arial"/>
          <w:b/>
          <w:bCs/>
        </w:rPr>
        <w:t xml:space="preserve">NAFLD and </w:t>
      </w:r>
      <w:r w:rsidR="00537AC6" w:rsidRPr="00051B46">
        <w:rPr>
          <w:rFonts w:ascii="Arial" w:hAnsi="Arial" w:cs="Arial"/>
          <w:b/>
          <w:bCs/>
        </w:rPr>
        <w:t>C</w:t>
      </w:r>
      <w:r w:rsidR="00C04BAD" w:rsidRPr="00051B46">
        <w:rPr>
          <w:rFonts w:ascii="Arial" w:hAnsi="Arial" w:cs="Arial"/>
          <w:b/>
          <w:bCs/>
        </w:rPr>
        <w:t xml:space="preserve">hronic </w:t>
      </w:r>
      <w:r w:rsidR="00537AC6" w:rsidRPr="00051B46">
        <w:rPr>
          <w:rFonts w:ascii="Arial" w:hAnsi="Arial" w:cs="Arial"/>
          <w:b/>
          <w:bCs/>
        </w:rPr>
        <w:t>K</w:t>
      </w:r>
      <w:r w:rsidR="00C04BAD" w:rsidRPr="00051B46">
        <w:rPr>
          <w:rFonts w:ascii="Arial" w:hAnsi="Arial" w:cs="Arial"/>
          <w:b/>
          <w:bCs/>
        </w:rPr>
        <w:t xml:space="preserve">idney </w:t>
      </w:r>
      <w:r w:rsidR="00537AC6" w:rsidRPr="00051B46">
        <w:rPr>
          <w:rFonts w:ascii="Arial" w:hAnsi="Arial" w:cs="Arial"/>
          <w:b/>
          <w:bCs/>
        </w:rPr>
        <w:t>D</w:t>
      </w:r>
      <w:r w:rsidR="00C04BAD" w:rsidRPr="00051B46">
        <w:rPr>
          <w:rFonts w:ascii="Arial" w:hAnsi="Arial" w:cs="Arial"/>
          <w:b/>
          <w:bCs/>
        </w:rPr>
        <w:t>isease</w:t>
      </w:r>
    </w:p>
    <w:p w14:paraId="665B5CEA" w14:textId="292CEC1B" w:rsidR="00CF3883" w:rsidRPr="00051B46" w:rsidRDefault="00C04BAD" w:rsidP="002506B3">
      <w:pPr>
        <w:spacing w:after="0" w:line="276" w:lineRule="auto"/>
        <w:rPr>
          <w:rFonts w:ascii="Arial" w:hAnsi="Arial" w:cs="Arial"/>
          <w:b/>
          <w:bCs/>
        </w:rPr>
      </w:pPr>
      <w:r w:rsidRPr="00051B46">
        <w:rPr>
          <w:rFonts w:ascii="Arial" w:hAnsi="Arial" w:cs="Arial"/>
          <w:b/>
          <w:bCs/>
        </w:rPr>
        <w:t xml:space="preserve"> </w:t>
      </w:r>
      <w:r w:rsidR="00051A5D" w:rsidRPr="00051B46">
        <w:rPr>
          <w:rFonts w:ascii="Arial" w:hAnsi="Arial" w:cs="Arial"/>
          <w:b/>
          <w:bCs/>
        </w:rPr>
        <w:t xml:space="preserve"> </w:t>
      </w:r>
    </w:p>
    <w:p w14:paraId="226188C6" w14:textId="5144908D" w:rsidR="00D17ED0" w:rsidRPr="00051B46" w:rsidRDefault="00272EC1" w:rsidP="002506B3">
      <w:pPr>
        <w:spacing w:after="0" w:line="276" w:lineRule="auto"/>
        <w:rPr>
          <w:rFonts w:ascii="Arial" w:hAnsi="Arial" w:cs="Arial"/>
          <w:bCs/>
        </w:rPr>
      </w:pPr>
      <w:r w:rsidRPr="00051B46">
        <w:rPr>
          <w:rFonts w:ascii="Arial" w:hAnsi="Arial" w:cs="Arial"/>
          <w:bCs/>
        </w:rPr>
        <w:lastRenderedPageBreak/>
        <w:t xml:space="preserve">The presence </w:t>
      </w:r>
      <w:r w:rsidR="00C04BAD" w:rsidRPr="00051B46">
        <w:rPr>
          <w:rFonts w:ascii="Arial" w:hAnsi="Arial" w:cs="Arial"/>
          <w:bCs/>
        </w:rPr>
        <w:t xml:space="preserve">of NAFLD and NASH </w:t>
      </w:r>
      <w:r w:rsidRPr="00051B46">
        <w:rPr>
          <w:rFonts w:ascii="Arial" w:hAnsi="Arial" w:cs="Arial"/>
          <w:bCs/>
        </w:rPr>
        <w:t>with</w:t>
      </w:r>
      <w:r w:rsidR="00A577A5" w:rsidRPr="00051B46">
        <w:rPr>
          <w:rFonts w:ascii="Arial" w:hAnsi="Arial" w:cs="Arial"/>
          <w:bCs/>
        </w:rPr>
        <w:t xml:space="preserve"> </w:t>
      </w:r>
      <w:r w:rsidR="00C04BAD" w:rsidRPr="00051B46">
        <w:rPr>
          <w:rFonts w:ascii="Arial" w:hAnsi="Arial" w:cs="Arial"/>
          <w:bCs/>
        </w:rPr>
        <w:t xml:space="preserve">fibrosis have been </w:t>
      </w:r>
      <w:r w:rsidRPr="00051B46">
        <w:rPr>
          <w:rFonts w:ascii="Arial" w:hAnsi="Arial" w:cs="Arial"/>
          <w:bCs/>
        </w:rPr>
        <w:t xml:space="preserve">recently </w:t>
      </w:r>
      <w:r w:rsidR="00C04BAD" w:rsidRPr="00051B46">
        <w:rPr>
          <w:rFonts w:ascii="Arial" w:hAnsi="Arial" w:cs="Arial"/>
          <w:bCs/>
        </w:rPr>
        <w:t>associated with chronic kidney disease (CKD)</w:t>
      </w:r>
      <w:r w:rsidRPr="00051B46">
        <w:rPr>
          <w:rFonts w:ascii="Arial" w:hAnsi="Arial" w:cs="Arial"/>
          <w:bCs/>
        </w:rPr>
        <w:t>, and m</w:t>
      </w:r>
      <w:r w:rsidR="00C04BAD" w:rsidRPr="00051B46">
        <w:rPr>
          <w:rFonts w:ascii="Arial" w:hAnsi="Arial" w:cs="Arial"/>
          <w:bCs/>
        </w:rPr>
        <w:t>ore severe forms of fatty liver disease correlat</w:t>
      </w:r>
      <w:r w:rsidRPr="00051B46">
        <w:rPr>
          <w:rFonts w:ascii="Arial" w:hAnsi="Arial" w:cs="Arial"/>
          <w:bCs/>
        </w:rPr>
        <w:t>e</w:t>
      </w:r>
      <w:r w:rsidR="00C04BAD" w:rsidRPr="00051B46">
        <w:rPr>
          <w:rFonts w:ascii="Arial" w:hAnsi="Arial" w:cs="Arial"/>
          <w:bCs/>
        </w:rPr>
        <w:t xml:space="preserve"> with worse and progressive stages of CKD. </w:t>
      </w:r>
      <w:r w:rsidR="00E06DED" w:rsidRPr="00051B46">
        <w:rPr>
          <w:rFonts w:ascii="Arial" w:hAnsi="Arial" w:cs="Arial"/>
          <w:bCs/>
        </w:rPr>
        <w:t>I</w:t>
      </w:r>
      <w:r w:rsidR="00C04BAD" w:rsidRPr="00051B46">
        <w:rPr>
          <w:rFonts w:ascii="Arial" w:hAnsi="Arial" w:cs="Arial"/>
          <w:bCs/>
        </w:rPr>
        <w:t>n most studies</w:t>
      </w:r>
      <w:r w:rsidR="00E06DED" w:rsidRPr="00051B46">
        <w:rPr>
          <w:rFonts w:ascii="Arial" w:hAnsi="Arial" w:cs="Arial"/>
          <w:bCs/>
        </w:rPr>
        <w:t>, CKD</w:t>
      </w:r>
      <w:r w:rsidR="00C04BAD" w:rsidRPr="00051B46">
        <w:rPr>
          <w:rFonts w:ascii="Arial" w:hAnsi="Arial" w:cs="Arial"/>
          <w:bCs/>
        </w:rPr>
        <w:t xml:space="preserve"> </w:t>
      </w:r>
      <w:r w:rsidR="00E06DED" w:rsidRPr="00051B46">
        <w:rPr>
          <w:rFonts w:ascii="Arial" w:hAnsi="Arial" w:cs="Arial"/>
          <w:bCs/>
        </w:rPr>
        <w:t>has been</w:t>
      </w:r>
      <w:r w:rsidR="00C04BAD" w:rsidRPr="00051B46">
        <w:rPr>
          <w:rFonts w:ascii="Arial" w:hAnsi="Arial" w:cs="Arial"/>
          <w:bCs/>
        </w:rPr>
        <w:t xml:space="preserve"> defined </w:t>
      </w:r>
      <w:r w:rsidR="00E06DED" w:rsidRPr="00051B46">
        <w:rPr>
          <w:rFonts w:ascii="Arial" w:hAnsi="Arial" w:cs="Arial"/>
          <w:bCs/>
        </w:rPr>
        <w:t>as having an estimated glomerular filtration rate (</w:t>
      </w:r>
      <w:r w:rsidR="00AE12EA" w:rsidRPr="00051B46">
        <w:rPr>
          <w:rFonts w:ascii="Arial" w:hAnsi="Arial" w:cs="Arial"/>
          <w:bCs/>
        </w:rPr>
        <w:t>e</w:t>
      </w:r>
      <w:r w:rsidR="00C04BAD" w:rsidRPr="00051B46">
        <w:rPr>
          <w:rFonts w:ascii="Arial" w:hAnsi="Arial" w:cs="Arial"/>
          <w:bCs/>
        </w:rPr>
        <w:t>GFR</w:t>
      </w:r>
      <w:r w:rsidR="00E06DED" w:rsidRPr="00051B46">
        <w:rPr>
          <w:rFonts w:ascii="Arial" w:hAnsi="Arial" w:cs="Arial"/>
          <w:bCs/>
        </w:rPr>
        <w:t>)</w:t>
      </w:r>
      <w:r w:rsidR="00C04BAD" w:rsidRPr="00051B46">
        <w:rPr>
          <w:rFonts w:ascii="Arial" w:hAnsi="Arial" w:cs="Arial"/>
          <w:bCs/>
        </w:rPr>
        <w:t xml:space="preserve"> &lt; 60 ml/min/1.73m</w:t>
      </w:r>
      <w:r w:rsidR="00C04BAD" w:rsidRPr="00051B46">
        <w:rPr>
          <w:rFonts w:ascii="Arial" w:hAnsi="Arial" w:cs="Arial"/>
          <w:bCs/>
          <w:vertAlign w:val="superscript"/>
        </w:rPr>
        <w:t>2</w:t>
      </w:r>
      <w:r w:rsidR="00C04BAD" w:rsidRPr="00051B46">
        <w:rPr>
          <w:rFonts w:ascii="Arial" w:hAnsi="Arial" w:cs="Arial"/>
          <w:bCs/>
        </w:rPr>
        <w:t xml:space="preserve"> or increased albuminuria</w:t>
      </w:r>
      <w:r w:rsidR="00E06DED" w:rsidRPr="00051B46">
        <w:rPr>
          <w:rFonts w:ascii="Arial" w:hAnsi="Arial" w:cs="Arial"/>
          <w:bCs/>
        </w:rPr>
        <w:t>/</w:t>
      </w:r>
      <w:r w:rsidR="008B4D38" w:rsidRPr="00051B46">
        <w:rPr>
          <w:rFonts w:ascii="Arial" w:hAnsi="Arial" w:cs="Arial"/>
          <w:bCs/>
        </w:rPr>
        <w:t>proteinuria</w:t>
      </w:r>
      <w:r w:rsidR="002E58C7" w:rsidRPr="00051B46">
        <w:rPr>
          <w:rFonts w:ascii="Arial" w:hAnsi="Arial" w:cs="Arial"/>
          <w:bCs/>
        </w:rPr>
        <w:t xml:space="preserve"> (20</w:t>
      </w:r>
      <w:r w:rsidR="00A10021" w:rsidRPr="00051B46">
        <w:rPr>
          <w:rFonts w:ascii="Arial" w:hAnsi="Arial" w:cs="Arial"/>
          <w:bCs/>
        </w:rPr>
        <w:t>,63,64</w:t>
      </w:r>
      <w:r w:rsidR="002E58C7" w:rsidRPr="00051B46">
        <w:rPr>
          <w:rFonts w:ascii="Arial" w:hAnsi="Arial" w:cs="Arial"/>
          <w:bCs/>
        </w:rPr>
        <w:t>)</w:t>
      </w:r>
      <w:r w:rsidR="00C04BAD" w:rsidRPr="00051B46">
        <w:rPr>
          <w:rFonts w:ascii="Arial" w:hAnsi="Arial" w:cs="Arial"/>
          <w:bCs/>
        </w:rPr>
        <w:t>.</w:t>
      </w:r>
      <w:r w:rsidR="00D05C5E" w:rsidRPr="00051B46">
        <w:rPr>
          <w:rFonts w:ascii="Arial" w:hAnsi="Arial" w:cs="Arial"/>
          <w:bCs/>
        </w:rPr>
        <w:t xml:space="preserve"> </w:t>
      </w:r>
      <w:r w:rsidR="00C04BAD" w:rsidRPr="00051B46">
        <w:rPr>
          <w:rFonts w:ascii="Arial" w:hAnsi="Arial" w:cs="Arial"/>
          <w:bCs/>
        </w:rPr>
        <w:t xml:space="preserve">In a case control study by </w:t>
      </w:r>
      <w:proofErr w:type="spellStart"/>
      <w:r w:rsidR="00C04BAD" w:rsidRPr="00051B46">
        <w:rPr>
          <w:rFonts w:ascii="Arial" w:hAnsi="Arial" w:cs="Arial"/>
          <w:bCs/>
        </w:rPr>
        <w:t>Targher</w:t>
      </w:r>
      <w:proofErr w:type="spellEnd"/>
      <w:r w:rsidR="00C04BAD" w:rsidRPr="00051B46">
        <w:rPr>
          <w:rFonts w:ascii="Arial" w:hAnsi="Arial" w:cs="Arial"/>
          <w:bCs/>
        </w:rPr>
        <w:t xml:space="preserve"> et al, </w:t>
      </w:r>
      <w:r w:rsidR="00862D0A" w:rsidRPr="00051B46">
        <w:rPr>
          <w:rFonts w:ascii="Arial" w:hAnsi="Arial" w:cs="Arial"/>
          <w:bCs/>
        </w:rPr>
        <w:t xml:space="preserve">the </w:t>
      </w:r>
      <w:r w:rsidR="00C04BAD" w:rsidRPr="00051B46">
        <w:rPr>
          <w:rFonts w:ascii="Arial" w:hAnsi="Arial" w:cs="Arial"/>
          <w:bCs/>
        </w:rPr>
        <w:t>severity of</w:t>
      </w:r>
      <w:r w:rsidR="00862D0A" w:rsidRPr="00051B46">
        <w:rPr>
          <w:rFonts w:ascii="Arial" w:hAnsi="Arial" w:cs="Arial"/>
          <w:bCs/>
        </w:rPr>
        <w:t xml:space="preserve"> liver histology in patients with </w:t>
      </w:r>
      <w:r w:rsidR="00C04BAD" w:rsidRPr="00051B46">
        <w:rPr>
          <w:rFonts w:ascii="Arial" w:hAnsi="Arial" w:cs="Arial"/>
          <w:bCs/>
        </w:rPr>
        <w:t>biopsy</w:t>
      </w:r>
      <w:r w:rsidR="00862D0A" w:rsidRPr="00051B46">
        <w:rPr>
          <w:rFonts w:ascii="Arial" w:hAnsi="Arial" w:cs="Arial"/>
          <w:bCs/>
        </w:rPr>
        <w:t>-</w:t>
      </w:r>
      <w:r w:rsidR="00C04BAD" w:rsidRPr="00051B46">
        <w:rPr>
          <w:rFonts w:ascii="Arial" w:hAnsi="Arial" w:cs="Arial"/>
          <w:bCs/>
        </w:rPr>
        <w:t xml:space="preserve">proven NASH was found to be independently associated with </w:t>
      </w:r>
      <w:r w:rsidR="00862D0A" w:rsidRPr="00051B46">
        <w:rPr>
          <w:rFonts w:ascii="Arial" w:hAnsi="Arial" w:cs="Arial"/>
          <w:bCs/>
        </w:rPr>
        <w:t xml:space="preserve">the </w:t>
      </w:r>
      <w:r w:rsidR="00C04BAD" w:rsidRPr="00051B46">
        <w:rPr>
          <w:rFonts w:ascii="Arial" w:hAnsi="Arial" w:cs="Arial"/>
          <w:bCs/>
        </w:rPr>
        <w:t xml:space="preserve">degree of worsening </w:t>
      </w:r>
      <w:r w:rsidR="00F40346" w:rsidRPr="00051B46">
        <w:rPr>
          <w:rFonts w:ascii="Arial" w:hAnsi="Arial" w:cs="Arial"/>
          <w:bCs/>
        </w:rPr>
        <w:t>e</w:t>
      </w:r>
      <w:r w:rsidR="00C04BAD" w:rsidRPr="00051B46">
        <w:rPr>
          <w:rFonts w:ascii="Arial" w:hAnsi="Arial" w:cs="Arial"/>
          <w:bCs/>
        </w:rPr>
        <w:t>GFR</w:t>
      </w:r>
      <w:r w:rsidR="002E58C7" w:rsidRPr="00051B46">
        <w:rPr>
          <w:rFonts w:ascii="Arial" w:hAnsi="Arial" w:cs="Arial"/>
          <w:bCs/>
        </w:rPr>
        <w:t xml:space="preserve"> (</w:t>
      </w:r>
      <w:r w:rsidR="00A10021" w:rsidRPr="00051B46">
        <w:rPr>
          <w:rFonts w:ascii="Arial" w:hAnsi="Arial" w:cs="Arial"/>
          <w:bCs/>
        </w:rPr>
        <w:t>65</w:t>
      </w:r>
      <w:r w:rsidR="002E58C7" w:rsidRPr="00051B46">
        <w:rPr>
          <w:rFonts w:ascii="Arial" w:hAnsi="Arial" w:cs="Arial"/>
          <w:bCs/>
        </w:rPr>
        <w:t>)</w:t>
      </w:r>
      <w:r w:rsidR="00C04BAD" w:rsidRPr="00051B46">
        <w:rPr>
          <w:rFonts w:ascii="Arial" w:hAnsi="Arial" w:cs="Arial"/>
          <w:bCs/>
        </w:rPr>
        <w:t>.</w:t>
      </w:r>
      <w:r w:rsidR="00387891" w:rsidRPr="00051B46">
        <w:rPr>
          <w:rFonts w:ascii="Arial" w:hAnsi="Arial" w:cs="Arial"/>
          <w:bCs/>
        </w:rPr>
        <w:t xml:space="preserve"> </w:t>
      </w:r>
    </w:p>
    <w:p w14:paraId="0597230B" w14:textId="77777777" w:rsidR="002E58C7" w:rsidRPr="00051B46" w:rsidRDefault="002E58C7" w:rsidP="002506B3">
      <w:pPr>
        <w:spacing w:after="0" w:line="276" w:lineRule="auto"/>
        <w:rPr>
          <w:rFonts w:ascii="Arial" w:hAnsi="Arial" w:cs="Arial"/>
          <w:bCs/>
        </w:rPr>
      </w:pPr>
    </w:p>
    <w:p w14:paraId="646C9804" w14:textId="503E484F" w:rsidR="00C74E52" w:rsidRPr="00051B46" w:rsidRDefault="008B4D38" w:rsidP="002506B3">
      <w:pPr>
        <w:spacing w:after="0" w:line="276" w:lineRule="auto"/>
        <w:rPr>
          <w:rFonts w:ascii="Arial" w:hAnsi="Arial" w:cs="Arial"/>
          <w:bCs/>
        </w:rPr>
      </w:pPr>
      <w:r w:rsidRPr="00051B46">
        <w:rPr>
          <w:rFonts w:ascii="Arial" w:hAnsi="Arial" w:cs="Arial"/>
          <w:bCs/>
        </w:rPr>
        <w:t xml:space="preserve">A cross-sectional study of Japanese patients with </w:t>
      </w:r>
      <w:r w:rsidR="00B629D6" w:rsidRPr="00051B46">
        <w:rPr>
          <w:rFonts w:ascii="Arial" w:hAnsi="Arial" w:cs="Arial"/>
          <w:bCs/>
        </w:rPr>
        <w:t xml:space="preserve">biopsy-proven NAFLD </w:t>
      </w:r>
      <w:r w:rsidRPr="00051B46">
        <w:rPr>
          <w:rFonts w:ascii="Arial" w:hAnsi="Arial" w:cs="Arial"/>
          <w:bCs/>
        </w:rPr>
        <w:t>showed</w:t>
      </w:r>
      <w:r w:rsidR="00B629D6" w:rsidRPr="00051B46">
        <w:rPr>
          <w:rFonts w:ascii="Arial" w:hAnsi="Arial" w:cs="Arial"/>
          <w:bCs/>
        </w:rPr>
        <w:t xml:space="preserve"> an</w:t>
      </w:r>
      <w:r w:rsidRPr="00051B46">
        <w:rPr>
          <w:rFonts w:ascii="Arial" w:hAnsi="Arial" w:cs="Arial"/>
          <w:bCs/>
        </w:rPr>
        <w:t xml:space="preserve"> increased prevalence of CKD with worsening </w:t>
      </w:r>
      <w:r w:rsidR="002F50E0" w:rsidRPr="00051B46">
        <w:rPr>
          <w:rFonts w:ascii="Arial" w:hAnsi="Arial" w:cs="Arial"/>
          <w:bCs/>
        </w:rPr>
        <w:t xml:space="preserve">liver </w:t>
      </w:r>
      <w:r w:rsidRPr="00051B46">
        <w:rPr>
          <w:rFonts w:ascii="Arial" w:hAnsi="Arial" w:cs="Arial"/>
          <w:bCs/>
        </w:rPr>
        <w:t>histology. They found that overall</w:t>
      </w:r>
      <w:r w:rsidR="00B629D6" w:rsidRPr="00051B46">
        <w:rPr>
          <w:rFonts w:ascii="Arial" w:hAnsi="Arial" w:cs="Arial"/>
          <w:bCs/>
        </w:rPr>
        <w:t>,</w:t>
      </w:r>
      <w:r w:rsidRPr="00051B46">
        <w:rPr>
          <w:rFonts w:ascii="Arial" w:hAnsi="Arial" w:cs="Arial"/>
          <w:bCs/>
        </w:rPr>
        <w:t xml:space="preserve"> 14% of patients with NAFLD had evidence of CKD</w:t>
      </w:r>
      <w:r w:rsidR="00D17ED0" w:rsidRPr="00051B46">
        <w:rPr>
          <w:rFonts w:ascii="Arial" w:hAnsi="Arial" w:cs="Arial"/>
          <w:bCs/>
        </w:rPr>
        <w:t xml:space="preserve">. Of the patients with biopsy proven NASH, 21% had </w:t>
      </w:r>
      <w:r w:rsidR="001548E7" w:rsidRPr="00051B46">
        <w:rPr>
          <w:rFonts w:ascii="Arial" w:hAnsi="Arial" w:cs="Arial"/>
          <w:bCs/>
        </w:rPr>
        <w:t xml:space="preserve">the </w:t>
      </w:r>
      <w:r w:rsidR="00D17ED0" w:rsidRPr="00051B46">
        <w:rPr>
          <w:rFonts w:ascii="Arial" w:hAnsi="Arial" w:cs="Arial"/>
          <w:bCs/>
        </w:rPr>
        <w:t xml:space="preserve">presence of CKD; and of the patients with NAFLD with no evidence of NASH, only 6% had </w:t>
      </w:r>
      <w:r w:rsidR="00FE05BB" w:rsidRPr="00051B46">
        <w:rPr>
          <w:rFonts w:ascii="Arial" w:hAnsi="Arial" w:cs="Arial"/>
          <w:bCs/>
        </w:rPr>
        <w:t>CKD</w:t>
      </w:r>
      <w:r w:rsidR="002E58C7" w:rsidRPr="00051B46">
        <w:rPr>
          <w:rFonts w:ascii="Arial" w:hAnsi="Arial" w:cs="Arial"/>
          <w:bCs/>
        </w:rPr>
        <w:t xml:space="preserve"> (</w:t>
      </w:r>
      <w:r w:rsidR="00A10021" w:rsidRPr="00051B46">
        <w:rPr>
          <w:rFonts w:ascii="Arial" w:hAnsi="Arial" w:cs="Arial"/>
          <w:bCs/>
        </w:rPr>
        <w:t>64</w:t>
      </w:r>
      <w:r w:rsidR="002E58C7" w:rsidRPr="00051B46">
        <w:rPr>
          <w:rFonts w:ascii="Arial" w:hAnsi="Arial" w:cs="Arial"/>
          <w:bCs/>
        </w:rPr>
        <w:t>)</w:t>
      </w:r>
      <w:r w:rsidR="00FE05BB" w:rsidRPr="00051B46">
        <w:rPr>
          <w:rFonts w:ascii="Arial" w:hAnsi="Arial" w:cs="Arial"/>
          <w:bCs/>
        </w:rPr>
        <w:t>.</w:t>
      </w:r>
      <w:r w:rsidRPr="00051B46">
        <w:rPr>
          <w:rFonts w:ascii="Arial" w:hAnsi="Arial" w:cs="Arial"/>
          <w:bCs/>
        </w:rPr>
        <w:t xml:space="preserve"> </w:t>
      </w:r>
      <w:r w:rsidR="002F50E0" w:rsidRPr="00051B46">
        <w:rPr>
          <w:rFonts w:ascii="Arial" w:hAnsi="Arial" w:cs="Arial"/>
          <w:bCs/>
        </w:rPr>
        <w:t xml:space="preserve">This was higher than in patients without NAFLD or NASH.  </w:t>
      </w:r>
      <w:r w:rsidR="00387891" w:rsidRPr="00051B46">
        <w:rPr>
          <w:rFonts w:ascii="Arial" w:hAnsi="Arial" w:cs="Arial"/>
          <w:bCs/>
        </w:rPr>
        <w:t xml:space="preserve">The pathophysiology of this association is not well </w:t>
      </w:r>
      <w:r w:rsidR="00B629D6" w:rsidRPr="00051B46">
        <w:rPr>
          <w:rFonts w:ascii="Arial" w:hAnsi="Arial" w:cs="Arial"/>
          <w:bCs/>
        </w:rPr>
        <w:t>understood</w:t>
      </w:r>
      <w:r w:rsidR="00387891" w:rsidRPr="00051B46">
        <w:rPr>
          <w:rFonts w:ascii="Arial" w:hAnsi="Arial" w:cs="Arial"/>
          <w:bCs/>
        </w:rPr>
        <w:t>, but the increased atherogenicity associated with NAFLD is likely a contribut</w:t>
      </w:r>
      <w:r w:rsidR="00C74E52" w:rsidRPr="00051B46">
        <w:rPr>
          <w:rFonts w:ascii="Arial" w:hAnsi="Arial" w:cs="Arial"/>
          <w:bCs/>
        </w:rPr>
        <w:t>i</w:t>
      </w:r>
      <w:r w:rsidR="00387891" w:rsidRPr="00051B46">
        <w:rPr>
          <w:rFonts w:ascii="Arial" w:hAnsi="Arial" w:cs="Arial"/>
          <w:bCs/>
        </w:rPr>
        <w:t>ng factor</w:t>
      </w:r>
      <w:r w:rsidR="002E58C7" w:rsidRPr="00051B46">
        <w:rPr>
          <w:rFonts w:ascii="Arial" w:hAnsi="Arial" w:cs="Arial"/>
          <w:bCs/>
        </w:rPr>
        <w:t xml:space="preserve"> (</w:t>
      </w:r>
      <w:r w:rsidR="00A10021" w:rsidRPr="00051B46">
        <w:rPr>
          <w:rFonts w:ascii="Arial" w:hAnsi="Arial" w:cs="Arial"/>
          <w:bCs/>
        </w:rPr>
        <w:t>20</w:t>
      </w:r>
      <w:r w:rsidR="002E58C7" w:rsidRPr="00051B46">
        <w:rPr>
          <w:rFonts w:ascii="Arial" w:hAnsi="Arial" w:cs="Arial"/>
          <w:bCs/>
        </w:rPr>
        <w:t>)</w:t>
      </w:r>
      <w:r w:rsidR="00387891" w:rsidRPr="00051B46">
        <w:rPr>
          <w:rFonts w:ascii="Arial" w:hAnsi="Arial" w:cs="Arial"/>
          <w:bCs/>
        </w:rPr>
        <w:t>.</w:t>
      </w:r>
      <w:r w:rsidR="00B629D6" w:rsidRPr="00051B46">
        <w:rPr>
          <w:rFonts w:ascii="Arial" w:hAnsi="Arial" w:cs="Arial"/>
          <w:bCs/>
        </w:rPr>
        <w:t xml:space="preserve"> A more recent </w:t>
      </w:r>
      <w:r w:rsidR="00A36D89" w:rsidRPr="00051B46">
        <w:rPr>
          <w:rFonts w:ascii="Arial" w:hAnsi="Arial" w:cs="Arial"/>
          <w:bCs/>
        </w:rPr>
        <w:t xml:space="preserve">meta-analysis </w:t>
      </w:r>
      <w:r w:rsidR="00C74E52" w:rsidRPr="00051B46">
        <w:rPr>
          <w:rFonts w:ascii="Arial" w:hAnsi="Arial" w:cs="Arial"/>
          <w:bCs/>
        </w:rPr>
        <w:t xml:space="preserve">also showed a higher prevalence of CKD in patients with NASH when compared with patients with NAFLD without NASH, and </w:t>
      </w:r>
      <w:r w:rsidR="00B629D6" w:rsidRPr="00051B46">
        <w:rPr>
          <w:rFonts w:ascii="Arial" w:hAnsi="Arial" w:cs="Arial"/>
          <w:bCs/>
        </w:rPr>
        <w:t xml:space="preserve">a </w:t>
      </w:r>
      <w:r w:rsidR="00C74E52" w:rsidRPr="00051B46">
        <w:rPr>
          <w:rFonts w:ascii="Arial" w:hAnsi="Arial" w:cs="Arial"/>
          <w:bCs/>
        </w:rPr>
        <w:t xml:space="preserve">higher prevalence of CKD in patients with advanced fibrosis when compared with </w:t>
      </w:r>
      <w:r w:rsidR="00D17ED0" w:rsidRPr="00051B46">
        <w:rPr>
          <w:rFonts w:ascii="Arial" w:hAnsi="Arial" w:cs="Arial"/>
          <w:bCs/>
        </w:rPr>
        <w:t>patients with lower degree of</w:t>
      </w:r>
      <w:r w:rsidR="00C74E52" w:rsidRPr="00051B46">
        <w:rPr>
          <w:rFonts w:ascii="Arial" w:hAnsi="Arial" w:cs="Arial"/>
          <w:bCs/>
        </w:rPr>
        <w:t xml:space="preserve"> fibrosis</w:t>
      </w:r>
      <w:r w:rsidR="002E58C7" w:rsidRPr="00051B46">
        <w:rPr>
          <w:rFonts w:ascii="Arial" w:hAnsi="Arial" w:cs="Arial"/>
          <w:bCs/>
        </w:rPr>
        <w:t xml:space="preserve"> (</w:t>
      </w:r>
      <w:r w:rsidR="00A10021" w:rsidRPr="00051B46">
        <w:rPr>
          <w:rFonts w:ascii="Arial" w:hAnsi="Arial" w:cs="Arial"/>
          <w:bCs/>
        </w:rPr>
        <w:t>63</w:t>
      </w:r>
      <w:r w:rsidR="002E58C7" w:rsidRPr="00051B46">
        <w:rPr>
          <w:rFonts w:ascii="Arial" w:hAnsi="Arial" w:cs="Arial"/>
          <w:bCs/>
        </w:rPr>
        <w:t>)</w:t>
      </w:r>
      <w:r w:rsidR="00C74E52" w:rsidRPr="00051B46">
        <w:rPr>
          <w:rFonts w:ascii="Arial" w:hAnsi="Arial" w:cs="Arial"/>
          <w:bCs/>
        </w:rPr>
        <w:t>.</w:t>
      </w:r>
      <w:r w:rsidR="002E58C7" w:rsidRPr="00051B46">
        <w:rPr>
          <w:rFonts w:ascii="Arial" w:hAnsi="Arial" w:cs="Arial"/>
          <w:bCs/>
        </w:rPr>
        <w:t xml:space="preserve"> </w:t>
      </w:r>
    </w:p>
    <w:p w14:paraId="66C86D7D" w14:textId="77777777" w:rsidR="002F50E0" w:rsidRPr="00051B46" w:rsidRDefault="002F50E0" w:rsidP="002506B3">
      <w:pPr>
        <w:spacing w:after="0" w:line="276" w:lineRule="auto"/>
        <w:rPr>
          <w:rFonts w:ascii="Arial" w:hAnsi="Arial" w:cs="Arial"/>
          <w:bCs/>
        </w:rPr>
      </w:pPr>
    </w:p>
    <w:p w14:paraId="3C39134E" w14:textId="1AE3E14A" w:rsidR="00051A5D" w:rsidRPr="00051B46" w:rsidRDefault="00051A5D" w:rsidP="002506B3">
      <w:pPr>
        <w:spacing w:after="0" w:line="276" w:lineRule="auto"/>
        <w:rPr>
          <w:rFonts w:ascii="Arial" w:hAnsi="Arial" w:cs="Arial"/>
          <w:b/>
          <w:bCs/>
        </w:rPr>
      </w:pPr>
      <w:r w:rsidRPr="00051B46">
        <w:rPr>
          <w:rFonts w:ascii="Arial" w:hAnsi="Arial" w:cs="Arial"/>
          <w:b/>
          <w:bCs/>
        </w:rPr>
        <w:t xml:space="preserve">NAFLD and </w:t>
      </w:r>
      <w:r w:rsidR="00E4641C" w:rsidRPr="00051B46">
        <w:rPr>
          <w:rFonts w:ascii="Arial" w:hAnsi="Arial" w:cs="Arial"/>
          <w:b/>
          <w:bCs/>
        </w:rPr>
        <w:t>P</w:t>
      </w:r>
      <w:r w:rsidR="00C04BAD" w:rsidRPr="00051B46">
        <w:rPr>
          <w:rFonts w:ascii="Arial" w:hAnsi="Arial" w:cs="Arial"/>
          <w:b/>
          <w:bCs/>
        </w:rPr>
        <w:t xml:space="preserve">olycystic </w:t>
      </w:r>
      <w:r w:rsidR="00E4641C" w:rsidRPr="00051B46">
        <w:rPr>
          <w:rFonts w:ascii="Arial" w:hAnsi="Arial" w:cs="Arial"/>
          <w:b/>
          <w:bCs/>
        </w:rPr>
        <w:t>O</w:t>
      </w:r>
      <w:r w:rsidR="00C04BAD" w:rsidRPr="00051B46">
        <w:rPr>
          <w:rFonts w:ascii="Arial" w:hAnsi="Arial" w:cs="Arial"/>
          <w:b/>
          <w:bCs/>
        </w:rPr>
        <w:t xml:space="preserve">varian </w:t>
      </w:r>
      <w:r w:rsidR="00E4641C" w:rsidRPr="00051B46">
        <w:rPr>
          <w:rFonts w:ascii="Arial" w:hAnsi="Arial" w:cs="Arial"/>
          <w:b/>
          <w:bCs/>
        </w:rPr>
        <w:t>S</w:t>
      </w:r>
      <w:r w:rsidR="00C04BAD" w:rsidRPr="00051B46">
        <w:rPr>
          <w:rFonts w:ascii="Arial" w:hAnsi="Arial" w:cs="Arial"/>
          <w:b/>
          <w:bCs/>
        </w:rPr>
        <w:t>yndrome</w:t>
      </w:r>
    </w:p>
    <w:p w14:paraId="51143A22" w14:textId="77777777" w:rsidR="001548E7" w:rsidRPr="00051B46" w:rsidRDefault="001548E7" w:rsidP="002506B3">
      <w:pPr>
        <w:spacing w:after="0" w:line="276" w:lineRule="auto"/>
        <w:rPr>
          <w:rFonts w:ascii="Arial" w:hAnsi="Arial" w:cs="Arial"/>
          <w:bCs/>
        </w:rPr>
      </w:pPr>
    </w:p>
    <w:p w14:paraId="6CE03B63" w14:textId="12DC7B88" w:rsidR="003223FB" w:rsidRPr="00051B46" w:rsidRDefault="0022031D" w:rsidP="002506B3">
      <w:pPr>
        <w:spacing w:after="0" w:line="276" w:lineRule="auto"/>
        <w:rPr>
          <w:rFonts w:ascii="Arial" w:hAnsi="Arial" w:cs="Arial"/>
          <w:b/>
          <w:bCs/>
        </w:rPr>
      </w:pPr>
      <w:r w:rsidRPr="00051B46">
        <w:rPr>
          <w:rFonts w:ascii="Arial" w:hAnsi="Arial" w:cs="Arial"/>
          <w:bCs/>
        </w:rPr>
        <w:t xml:space="preserve">Women with polycystic ovarian syndrome (PCOS) have been found to have an increased prevalence of NAFLD. This association has been present even after adjusting for other factors associated with the metabolic syndrome, such as BMI, hypertension, </w:t>
      </w:r>
      <w:r w:rsidR="001548E7" w:rsidRPr="00051B46">
        <w:rPr>
          <w:rFonts w:ascii="Arial" w:hAnsi="Arial" w:cs="Arial"/>
          <w:bCs/>
        </w:rPr>
        <w:t xml:space="preserve">and </w:t>
      </w:r>
      <w:r w:rsidRPr="00051B46">
        <w:rPr>
          <w:rFonts w:ascii="Arial" w:hAnsi="Arial" w:cs="Arial"/>
          <w:bCs/>
        </w:rPr>
        <w:t>type 2 diabetes mellitus</w:t>
      </w:r>
      <w:r w:rsidR="00E4641C" w:rsidRPr="00051B46">
        <w:rPr>
          <w:rFonts w:ascii="Arial" w:hAnsi="Arial" w:cs="Arial"/>
          <w:bCs/>
        </w:rPr>
        <w:t xml:space="preserve"> (</w:t>
      </w:r>
      <w:r w:rsidR="00A10021" w:rsidRPr="00051B46">
        <w:rPr>
          <w:rFonts w:ascii="Arial" w:hAnsi="Arial" w:cs="Arial"/>
          <w:bCs/>
        </w:rPr>
        <w:t>66,67</w:t>
      </w:r>
      <w:r w:rsidR="00E4641C" w:rsidRPr="00051B46">
        <w:rPr>
          <w:rFonts w:ascii="Arial" w:hAnsi="Arial" w:cs="Arial"/>
          <w:bCs/>
        </w:rPr>
        <w:t>)</w:t>
      </w:r>
      <w:r w:rsidR="004448FB" w:rsidRPr="00051B46">
        <w:rPr>
          <w:rFonts w:ascii="Arial" w:hAnsi="Arial" w:cs="Arial"/>
          <w:bCs/>
        </w:rPr>
        <w:t xml:space="preserve">. </w:t>
      </w:r>
      <w:r w:rsidRPr="00051B46">
        <w:rPr>
          <w:rFonts w:ascii="Arial" w:hAnsi="Arial" w:cs="Arial"/>
          <w:bCs/>
        </w:rPr>
        <w:t>Evidence of hyperandrogenism</w:t>
      </w:r>
      <w:r w:rsidR="00000BCD" w:rsidRPr="00051B46">
        <w:rPr>
          <w:rFonts w:ascii="Arial" w:hAnsi="Arial" w:cs="Arial"/>
          <w:bCs/>
        </w:rPr>
        <w:t xml:space="preserve">, especially </w:t>
      </w:r>
      <w:r w:rsidRPr="00051B46">
        <w:rPr>
          <w:rFonts w:ascii="Arial" w:hAnsi="Arial" w:cs="Arial"/>
          <w:bCs/>
        </w:rPr>
        <w:t>with testosterone level &gt; 3</w:t>
      </w:r>
      <w:r w:rsidR="00CD209F" w:rsidRPr="00051B46">
        <w:rPr>
          <w:rFonts w:ascii="Arial" w:hAnsi="Arial" w:cs="Arial"/>
          <w:bCs/>
        </w:rPr>
        <w:t xml:space="preserve"> nmol/L</w:t>
      </w:r>
      <w:r w:rsidR="00000BCD" w:rsidRPr="00051B46">
        <w:rPr>
          <w:rFonts w:ascii="Arial" w:hAnsi="Arial" w:cs="Arial"/>
          <w:bCs/>
        </w:rPr>
        <w:t xml:space="preserve"> has been </w:t>
      </w:r>
      <w:r w:rsidRPr="00051B46">
        <w:rPr>
          <w:rFonts w:ascii="Arial" w:hAnsi="Arial" w:cs="Arial"/>
          <w:bCs/>
        </w:rPr>
        <w:t>associated with increased risk of NAFLD in women with PCOS</w:t>
      </w:r>
      <w:r w:rsidR="00E4641C" w:rsidRPr="00051B46">
        <w:rPr>
          <w:rFonts w:ascii="Arial" w:hAnsi="Arial" w:cs="Arial"/>
          <w:bCs/>
        </w:rPr>
        <w:t xml:space="preserve"> (</w:t>
      </w:r>
      <w:r w:rsidR="00A10021" w:rsidRPr="00051B46">
        <w:rPr>
          <w:rFonts w:ascii="Arial" w:hAnsi="Arial" w:cs="Arial"/>
          <w:bCs/>
        </w:rPr>
        <w:t>66</w:t>
      </w:r>
      <w:r w:rsidR="00E4641C" w:rsidRPr="00051B46">
        <w:rPr>
          <w:rFonts w:ascii="Arial" w:hAnsi="Arial" w:cs="Arial"/>
          <w:bCs/>
        </w:rPr>
        <w:t>,</w:t>
      </w:r>
      <w:r w:rsidR="00A10021" w:rsidRPr="00051B46">
        <w:rPr>
          <w:rFonts w:ascii="Arial" w:hAnsi="Arial" w:cs="Arial"/>
          <w:bCs/>
        </w:rPr>
        <w:t>68</w:t>
      </w:r>
      <w:r w:rsidR="00E4641C" w:rsidRPr="00051B46">
        <w:rPr>
          <w:rFonts w:ascii="Arial" w:hAnsi="Arial" w:cs="Arial"/>
          <w:bCs/>
        </w:rPr>
        <w:t>)</w:t>
      </w:r>
      <w:r w:rsidRPr="00051B46">
        <w:rPr>
          <w:rFonts w:ascii="Arial" w:hAnsi="Arial" w:cs="Arial"/>
          <w:bCs/>
        </w:rPr>
        <w:t>.</w:t>
      </w:r>
      <w:r w:rsidR="002B7B5D" w:rsidRPr="00051B46">
        <w:rPr>
          <w:rFonts w:ascii="Arial" w:hAnsi="Arial" w:cs="Arial"/>
          <w:bCs/>
        </w:rPr>
        <w:t xml:space="preserve"> </w:t>
      </w:r>
      <w:r w:rsidR="00E87575" w:rsidRPr="00051B46">
        <w:rPr>
          <w:rFonts w:ascii="Arial" w:hAnsi="Arial" w:cs="Arial"/>
          <w:b/>
          <w:bCs/>
        </w:rPr>
        <w:t xml:space="preserve"> </w:t>
      </w:r>
    </w:p>
    <w:p w14:paraId="081E5F32" w14:textId="77777777" w:rsidR="006327C8" w:rsidRPr="00051B46" w:rsidRDefault="006327C8" w:rsidP="002506B3">
      <w:pPr>
        <w:spacing w:after="0" w:line="276" w:lineRule="auto"/>
        <w:rPr>
          <w:rFonts w:ascii="Arial" w:hAnsi="Arial" w:cs="Arial"/>
          <w:b/>
          <w:bCs/>
        </w:rPr>
      </w:pPr>
    </w:p>
    <w:p w14:paraId="380FF262" w14:textId="30DB911C" w:rsidR="00225E2B" w:rsidRPr="00051B46" w:rsidRDefault="0021500E" w:rsidP="002506B3">
      <w:pPr>
        <w:spacing w:after="0" w:line="276" w:lineRule="auto"/>
        <w:rPr>
          <w:rFonts w:ascii="Arial" w:hAnsi="Arial" w:cs="Arial"/>
          <w:b/>
          <w:bCs/>
        </w:rPr>
      </w:pPr>
      <w:r w:rsidRPr="00051B46">
        <w:rPr>
          <w:rFonts w:ascii="Arial" w:hAnsi="Arial" w:cs="Arial"/>
          <w:b/>
          <w:bCs/>
        </w:rPr>
        <w:t>P</w:t>
      </w:r>
      <w:r w:rsidR="000A580B" w:rsidRPr="00051B46">
        <w:rPr>
          <w:rFonts w:ascii="Arial" w:hAnsi="Arial" w:cs="Arial"/>
          <w:b/>
          <w:bCs/>
        </w:rPr>
        <w:t>ATHOGENESIS</w:t>
      </w:r>
    </w:p>
    <w:p w14:paraId="7E21B0D2" w14:textId="77777777" w:rsidR="00E4641C" w:rsidRPr="00051B46" w:rsidRDefault="00E4641C" w:rsidP="002506B3">
      <w:pPr>
        <w:spacing w:after="0" w:line="276" w:lineRule="auto"/>
        <w:rPr>
          <w:rFonts w:ascii="Arial" w:hAnsi="Arial" w:cs="Arial"/>
        </w:rPr>
      </w:pPr>
    </w:p>
    <w:p w14:paraId="78B77440" w14:textId="2351B426" w:rsidR="00C9518F" w:rsidRPr="00051B46" w:rsidRDefault="00CE00AD" w:rsidP="002506B3">
      <w:pPr>
        <w:spacing w:after="0" w:line="276" w:lineRule="auto"/>
        <w:rPr>
          <w:rFonts w:ascii="Arial" w:hAnsi="Arial" w:cs="Arial"/>
        </w:rPr>
      </w:pPr>
      <w:r w:rsidRPr="00051B46">
        <w:rPr>
          <w:rFonts w:ascii="Arial" w:hAnsi="Arial" w:cs="Arial"/>
        </w:rPr>
        <w:t>Of note</w:t>
      </w:r>
      <w:r w:rsidR="006A6A02" w:rsidRPr="00051B46">
        <w:rPr>
          <w:rFonts w:ascii="Arial" w:hAnsi="Arial" w:cs="Arial"/>
        </w:rPr>
        <w:t>,</w:t>
      </w:r>
      <w:r w:rsidRPr="00051B46">
        <w:rPr>
          <w:rFonts w:ascii="Arial" w:hAnsi="Arial" w:cs="Arial"/>
        </w:rPr>
        <w:t xml:space="preserve"> the pathogenesis of NASH is poorly understood in humans.  Most proposed mechanisms a</w:t>
      </w:r>
      <w:r w:rsidR="006A6A02" w:rsidRPr="00051B46">
        <w:rPr>
          <w:rFonts w:ascii="Arial" w:hAnsi="Arial" w:cs="Arial"/>
        </w:rPr>
        <w:t>t</w:t>
      </w:r>
      <w:r w:rsidRPr="00051B46">
        <w:rPr>
          <w:rFonts w:ascii="Arial" w:hAnsi="Arial" w:cs="Arial"/>
        </w:rPr>
        <w:t xml:space="preserve"> the molecular level have only been observed in cell systems or animal models, but not confirmed in humans. Animal models of NASH are far from ideal in resembling human disease</w:t>
      </w:r>
      <w:r w:rsidR="00E4641C" w:rsidRPr="00051B46">
        <w:rPr>
          <w:rFonts w:ascii="Arial" w:hAnsi="Arial" w:cs="Arial"/>
        </w:rPr>
        <w:t xml:space="preserve"> (</w:t>
      </w:r>
      <w:r w:rsidR="00A72440" w:rsidRPr="00051B46">
        <w:rPr>
          <w:rFonts w:ascii="Arial" w:hAnsi="Arial" w:cs="Arial"/>
        </w:rPr>
        <w:t>69</w:t>
      </w:r>
      <w:r w:rsidR="00E4641C" w:rsidRPr="00051B46">
        <w:rPr>
          <w:rFonts w:ascii="Arial" w:hAnsi="Arial" w:cs="Arial"/>
        </w:rPr>
        <w:t>)</w:t>
      </w:r>
      <w:r w:rsidR="004448FB" w:rsidRPr="00051B46">
        <w:rPr>
          <w:rFonts w:ascii="Arial" w:hAnsi="Arial" w:cs="Arial"/>
        </w:rPr>
        <w:t>. O</w:t>
      </w:r>
      <w:r w:rsidRPr="00051B46">
        <w:rPr>
          <w:rFonts w:ascii="Arial" w:hAnsi="Arial" w:cs="Arial"/>
        </w:rPr>
        <w:t>ften treatments that are promising in animal models are in discordance with results in humans</w:t>
      </w:r>
      <w:r w:rsidR="00726706" w:rsidRPr="00051B46">
        <w:rPr>
          <w:rFonts w:ascii="Arial" w:hAnsi="Arial" w:cs="Arial"/>
        </w:rPr>
        <w:t xml:space="preserve"> – indeed, most treatments that have resolved NASH</w:t>
      </w:r>
      <w:r w:rsidR="00D1078C" w:rsidRPr="00051B46">
        <w:rPr>
          <w:rFonts w:ascii="Arial" w:hAnsi="Arial" w:cs="Arial"/>
        </w:rPr>
        <w:t>,</w:t>
      </w:r>
      <w:r w:rsidR="00726706" w:rsidRPr="00051B46">
        <w:rPr>
          <w:rFonts w:ascii="Arial" w:hAnsi="Arial" w:cs="Arial"/>
        </w:rPr>
        <w:t xml:space="preserve"> and even fibrosis</w:t>
      </w:r>
      <w:r w:rsidR="00D1078C" w:rsidRPr="00051B46">
        <w:rPr>
          <w:rFonts w:ascii="Arial" w:hAnsi="Arial" w:cs="Arial"/>
        </w:rPr>
        <w:t>,</w:t>
      </w:r>
      <w:r w:rsidR="00726706" w:rsidRPr="00051B46">
        <w:rPr>
          <w:rFonts w:ascii="Arial" w:hAnsi="Arial" w:cs="Arial"/>
        </w:rPr>
        <w:t xml:space="preserve"> in mice have failed so far in large RCTs</w:t>
      </w:r>
      <w:r w:rsidRPr="00051B46">
        <w:rPr>
          <w:rFonts w:ascii="Arial" w:hAnsi="Arial" w:cs="Arial"/>
        </w:rPr>
        <w:t>.</w:t>
      </w:r>
      <w:r w:rsidR="00726706" w:rsidRPr="00051B46">
        <w:rPr>
          <w:rFonts w:ascii="Arial" w:hAnsi="Arial" w:cs="Arial"/>
        </w:rPr>
        <w:t xml:space="preserve"> </w:t>
      </w:r>
      <w:r w:rsidRPr="00051B46">
        <w:rPr>
          <w:rFonts w:ascii="Arial" w:hAnsi="Arial" w:cs="Arial"/>
        </w:rPr>
        <w:t xml:space="preserve"> </w:t>
      </w:r>
      <w:r w:rsidR="00D1078C" w:rsidRPr="00051B46">
        <w:rPr>
          <w:rFonts w:ascii="Arial" w:hAnsi="Arial" w:cs="Arial"/>
        </w:rPr>
        <w:t xml:space="preserve">A detailed description of the potential pathways leading to steatohepatitis exceeds the scope of this review, therefore we </w:t>
      </w:r>
      <w:r w:rsidRPr="00051B46">
        <w:rPr>
          <w:rFonts w:ascii="Arial" w:hAnsi="Arial" w:cs="Arial"/>
        </w:rPr>
        <w:t>refer the reader to recent in-depth reviews</w:t>
      </w:r>
      <w:r w:rsidR="004448FB" w:rsidRPr="00051B46">
        <w:rPr>
          <w:rFonts w:ascii="Arial" w:hAnsi="Arial" w:cs="Arial"/>
        </w:rPr>
        <w:t xml:space="preserve"> </w:t>
      </w:r>
      <w:r w:rsidRPr="00051B46">
        <w:rPr>
          <w:rFonts w:ascii="Arial" w:hAnsi="Arial" w:cs="Arial"/>
        </w:rPr>
        <w:t xml:space="preserve">involving a broad spectrum of mechanisms </w:t>
      </w:r>
      <w:r w:rsidR="000430C0" w:rsidRPr="00051B46">
        <w:rPr>
          <w:rFonts w:ascii="Arial" w:hAnsi="Arial" w:cs="Arial"/>
        </w:rPr>
        <w:t>involved in the development of NASH</w:t>
      </w:r>
      <w:r w:rsidR="00D1078C" w:rsidRPr="00051B46">
        <w:rPr>
          <w:rFonts w:ascii="Arial" w:hAnsi="Arial" w:cs="Arial"/>
        </w:rPr>
        <w:t xml:space="preserve"> and liver fibrosis</w:t>
      </w:r>
      <w:r w:rsidR="00E4641C" w:rsidRPr="00051B46">
        <w:rPr>
          <w:rFonts w:ascii="Arial" w:hAnsi="Arial" w:cs="Arial"/>
        </w:rPr>
        <w:t xml:space="preserve"> (</w:t>
      </w:r>
      <w:r w:rsidR="00A72440" w:rsidRPr="00051B46">
        <w:rPr>
          <w:rFonts w:ascii="Arial" w:hAnsi="Arial" w:cs="Arial"/>
        </w:rPr>
        <w:t>11,69-72</w:t>
      </w:r>
      <w:r w:rsidR="00E4641C" w:rsidRPr="00051B46">
        <w:rPr>
          <w:rFonts w:ascii="Arial" w:hAnsi="Arial" w:cs="Arial"/>
        </w:rPr>
        <w:t>)</w:t>
      </w:r>
      <w:r w:rsidR="004448FB" w:rsidRPr="00051B46">
        <w:rPr>
          <w:rFonts w:ascii="Arial" w:hAnsi="Arial" w:cs="Arial"/>
        </w:rPr>
        <w:t>.</w:t>
      </w:r>
      <w:r w:rsidR="006A6A02" w:rsidRPr="00051B46">
        <w:rPr>
          <w:rFonts w:ascii="Arial" w:hAnsi="Arial" w:cs="Arial"/>
        </w:rPr>
        <w:t xml:space="preserve"> </w:t>
      </w:r>
      <w:r w:rsidRPr="00051B46">
        <w:rPr>
          <w:rFonts w:ascii="Arial" w:hAnsi="Arial" w:cs="Arial"/>
          <w:vertAlign w:val="superscript"/>
        </w:rPr>
        <w:t xml:space="preserve"> </w:t>
      </w:r>
      <w:r w:rsidR="00D1078C" w:rsidRPr="00051B46">
        <w:rPr>
          <w:rFonts w:ascii="Arial" w:hAnsi="Arial" w:cs="Arial"/>
        </w:rPr>
        <w:t xml:space="preserve">In </w:t>
      </w:r>
      <w:r w:rsidR="00D1078C" w:rsidRPr="00051B46">
        <w:rPr>
          <w:rFonts w:ascii="Arial" w:hAnsi="Arial" w:cs="Arial"/>
          <w:b/>
          <w:bCs/>
        </w:rPr>
        <w:t>Figure 1</w:t>
      </w:r>
      <w:r w:rsidR="00D1078C" w:rsidRPr="00051B46">
        <w:rPr>
          <w:rFonts w:ascii="Arial" w:hAnsi="Arial" w:cs="Arial"/>
        </w:rPr>
        <w:t xml:space="preserve"> (below) we propose a schematic representation </w:t>
      </w:r>
      <w:r w:rsidR="004224AD" w:rsidRPr="00051B46">
        <w:rPr>
          <w:rFonts w:ascii="Arial" w:hAnsi="Arial" w:cs="Arial"/>
        </w:rPr>
        <w:t>o</w:t>
      </w:r>
      <w:r w:rsidR="00D1078C" w:rsidRPr="00051B46">
        <w:rPr>
          <w:rFonts w:ascii="Arial" w:hAnsi="Arial" w:cs="Arial"/>
        </w:rPr>
        <w:t>f the factors and</w:t>
      </w:r>
      <w:r w:rsidRPr="00051B46">
        <w:rPr>
          <w:rFonts w:ascii="Arial" w:hAnsi="Arial" w:cs="Arial"/>
        </w:rPr>
        <w:t xml:space="preserve"> many pathways leading to NASH and fibrosis</w:t>
      </w:r>
      <w:r w:rsidR="00D1078C" w:rsidRPr="00051B46">
        <w:rPr>
          <w:rFonts w:ascii="Arial" w:hAnsi="Arial" w:cs="Arial"/>
        </w:rPr>
        <w:t xml:space="preserve">. </w:t>
      </w:r>
    </w:p>
    <w:p w14:paraId="2FFE524E" w14:textId="5E9C7440" w:rsidR="004460DB" w:rsidRPr="00051B46" w:rsidRDefault="00C9518F" w:rsidP="002506B3">
      <w:pPr>
        <w:spacing w:after="0" w:line="276" w:lineRule="auto"/>
        <w:rPr>
          <w:rFonts w:ascii="Arial" w:hAnsi="Arial" w:cs="Arial"/>
        </w:rPr>
      </w:pPr>
      <w:r w:rsidRPr="00051B46">
        <w:rPr>
          <w:rFonts w:ascii="Arial" w:hAnsi="Arial" w:cs="Arial"/>
          <w:noProof/>
        </w:rPr>
        <w:lastRenderedPageBreak/>
        <w:drawing>
          <wp:inline distT="0" distB="0" distL="0" distR="0" wp14:anchorId="3324A50D" wp14:editId="73617925">
            <wp:extent cx="5731510" cy="316611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8"/>
                    <a:stretch>
                      <a:fillRect/>
                    </a:stretch>
                  </pic:blipFill>
                  <pic:spPr>
                    <a:xfrm>
                      <a:off x="0" y="0"/>
                      <a:ext cx="5731510" cy="3166110"/>
                    </a:xfrm>
                    <a:prstGeom prst="rect">
                      <a:avLst/>
                    </a:prstGeom>
                  </pic:spPr>
                </pic:pic>
              </a:graphicData>
            </a:graphic>
          </wp:inline>
        </w:drawing>
      </w:r>
      <w:r w:rsidR="00945068" w:rsidRPr="00051B46">
        <w:rPr>
          <w:rFonts w:ascii="Arial" w:hAnsi="Arial" w:cs="Arial"/>
        </w:rPr>
        <w:t xml:space="preserve"> </w:t>
      </w:r>
    </w:p>
    <w:p w14:paraId="1E2A4EB1" w14:textId="346698C7" w:rsidR="00C47A6B" w:rsidRPr="00051B46" w:rsidRDefault="00C47A6B" w:rsidP="002506B3">
      <w:pPr>
        <w:spacing w:after="0" w:line="276" w:lineRule="auto"/>
        <w:rPr>
          <w:rFonts w:ascii="Arial" w:hAnsi="Arial" w:cs="Arial"/>
        </w:rPr>
      </w:pPr>
    </w:p>
    <w:p w14:paraId="039E44EC" w14:textId="00ACE61C" w:rsidR="001B4505" w:rsidRPr="00051B46" w:rsidRDefault="001B4505" w:rsidP="002506B3">
      <w:pPr>
        <w:spacing w:after="0" w:line="276" w:lineRule="auto"/>
        <w:rPr>
          <w:rFonts w:ascii="Arial" w:hAnsi="Arial" w:cs="Arial"/>
          <w:b/>
          <w:bCs/>
          <w:vertAlign w:val="superscript"/>
        </w:rPr>
      </w:pPr>
      <w:r w:rsidRPr="00051B46">
        <w:rPr>
          <w:rFonts w:ascii="Arial" w:hAnsi="Arial" w:cs="Arial"/>
          <w:b/>
          <w:bCs/>
        </w:rPr>
        <w:t>Figure 1: Pathogenies of NAFLD, adapted from Cusi K</w:t>
      </w:r>
      <w:r w:rsidR="00DA46D1" w:rsidRPr="00051B46">
        <w:rPr>
          <w:rFonts w:ascii="Arial" w:hAnsi="Arial" w:cs="Arial"/>
          <w:b/>
          <w:bCs/>
        </w:rPr>
        <w:t xml:space="preserve"> (</w:t>
      </w:r>
      <w:r w:rsidR="00054635" w:rsidRPr="00051B46">
        <w:rPr>
          <w:rFonts w:ascii="Arial" w:hAnsi="Arial" w:cs="Arial"/>
          <w:b/>
          <w:bCs/>
        </w:rPr>
        <w:t>11</w:t>
      </w:r>
      <w:r w:rsidR="00DA46D1" w:rsidRPr="00051B46">
        <w:rPr>
          <w:rFonts w:ascii="Arial" w:hAnsi="Arial" w:cs="Arial"/>
          <w:b/>
          <w:bCs/>
        </w:rPr>
        <w:t>)</w:t>
      </w:r>
      <w:r w:rsidRPr="00051B46">
        <w:rPr>
          <w:rFonts w:ascii="Arial" w:hAnsi="Arial" w:cs="Arial"/>
          <w:b/>
          <w:bCs/>
        </w:rPr>
        <w:t xml:space="preserve">. </w:t>
      </w:r>
      <w:r w:rsidR="00175560" w:rsidRPr="00051B46">
        <w:rPr>
          <w:rFonts w:ascii="Arial" w:hAnsi="Arial" w:cs="Arial"/>
          <w:b/>
          <w:bCs/>
          <w:vertAlign w:val="superscript"/>
        </w:rPr>
        <w:t xml:space="preserve"> </w:t>
      </w:r>
    </w:p>
    <w:p w14:paraId="3E316E1F" w14:textId="44C6E18B" w:rsidR="00DA3EDA" w:rsidRPr="00051B46" w:rsidRDefault="00DA3EDA" w:rsidP="002506B3">
      <w:pPr>
        <w:spacing w:after="0" w:line="276" w:lineRule="auto"/>
        <w:rPr>
          <w:rFonts w:ascii="Arial" w:hAnsi="Arial" w:cs="Arial"/>
          <w:b/>
          <w:bCs/>
        </w:rPr>
      </w:pPr>
      <w:r w:rsidRPr="00051B46">
        <w:rPr>
          <w:rFonts w:ascii="Arial" w:hAnsi="Arial" w:cs="Arial"/>
          <w:b/>
          <w:bCs/>
        </w:rPr>
        <w:t>PNPLA3=</w:t>
      </w:r>
      <w:proofErr w:type="spellStart"/>
      <w:r w:rsidRPr="00051B46">
        <w:rPr>
          <w:rFonts w:ascii="Arial" w:hAnsi="Arial" w:cs="Arial"/>
          <w:b/>
          <w:bCs/>
        </w:rPr>
        <w:t>patatin</w:t>
      </w:r>
      <w:proofErr w:type="spellEnd"/>
      <w:r w:rsidRPr="00051B46">
        <w:rPr>
          <w:rFonts w:ascii="Arial" w:hAnsi="Arial" w:cs="Arial"/>
          <w:b/>
          <w:bCs/>
        </w:rPr>
        <w:t>-like phospholipase domain-containing protein 3. TM6SF2=transmembrane-6 superfamily member 2. GCKR=glucokinase regulator. HSD17B13=hydroxysteroid 17-beta dehydrogenase 13. NAFLD=non-alcoholic fatty liver disease. HDL-C=high-density lipoprotein cholesterol. LDL-C=low-density lipoprotein cholesterol. VLDL=very low-density lipoprotein. CETP=Cholesteryl ester transfer protein.</w:t>
      </w:r>
    </w:p>
    <w:p w14:paraId="693FC297" w14:textId="4E19124A" w:rsidR="00A80E5C" w:rsidRPr="00051B46" w:rsidRDefault="00A80E5C" w:rsidP="002506B3">
      <w:pPr>
        <w:spacing w:after="0" w:line="276" w:lineRule="auto"/>
        <w:rPr>
          <w:rFonts w:ascii="Arial" w:hAnsi="Arial" w:cs="Arial"/>
        </w:rPr>
      </w:pPr>
    </w:p>
    <w:p w14:paraId="69AA6085" w14:textId="2922D747" w:rsidR="00D1078C" w:rsidRPr="00051B46" w:rsidRDefault="00D1078C" w:rsidP="004224AD">
      <w:pPr>
        <w:pStyle w:val="ListParagraph"/>
        <w:spacing w:line="276" w:lineRule="auto"/>
        <w:ind w:left="0"/>
        <w:rPr>
          <w:rFonts w:ascii="Arial" w:hAnsi="Arial" w:cs="Arial"/>
          <w:b/>
          <w:bCs/>
          <w:sz w:val="22"/>
          <w:szCs w:val="22"/>
        </w:rPr>
      </w:pPr>
      <w:r w:rsidRPr="00051B46">
        <w:rPr>
          <w:rFonts w:ascii="Arial" w:hAnsi="Arial" w:cs="Arial"/>
          <w:b/>
          <w:bCs/>
          <w:sz w:val="22"/>
          <w:szCs w:val="22"/>
        </w:rPr>
        <w:t xml:space="preserve">Development of </w:t>
      </w:r>
      <w:r w:rsidR="004224AD" w:rsidRPr="00051B46">
        <w:rPr>
          <w:rFonts w:ascii="Arial" w:hAnsi="Arial" w:cs="Arial"/>
          <w:b/>
          <w:bCs/>
          <w:sz w:val="22"/>
          <w:szCs w:val="22"/>
        </w:rPr>
        <w:t>S</w:t>
      </w:r>
      <w:r w:rsidRPr="00051B46">
        <w:rPr>
          <w:rFonts w:ascii="Arial" w:hAnsi="Arial" w:cs="Arial"/>
          <w:b/>
          <w:bCs/>
          <w:sz w:val="22"/>
          <w:szCs w:val="22"/>
        </w:rPr>
        <w:t>teatosis</w:t>
      </w:r>
    </w:p>
    <w:p w14:paraId="4845BDA9" w14:textId="77777777" w:rsidR="00D1078C" w:rsidRPr="00051B46" w:rsidRDefault="00D1078C" w:rsidP="002506B3">
      <w:pPr>
        <w:spacing w:after="0" w:line="276" w:lineRule="auto"/>
        <w:rPr>
          <w:rFonts w:ascii="Arial" w:hAnsi="Arial" w:cs="Arial"/>
          <w:b/>
          <w:bCs/>
        </w:rPr>
      </w:pPr>
      <w:r w:rsidRPr="00051B46">
        <w:rPr>
          <w:rFonts w:ascii="Arial" w:hAnsi="Arial" w:cs="Arial"/>
        </w:rPr>
        <w:t xml:space="preserve"> </w:t>
      </w:r>
    </w:p>
    <w:p w14:paraId="566EAE93" w14:textId="0A12B4B9" w:rsidR="00D1078C" w:rsidRPr="00051B46" w:rsidRDefault="00D1078C" w:rsidP="002506B3">
      <w:pPr>
        <w:spacing w:after="0" w:line="276" w:lineRule="auto"/>
        <w:rPr>
          <w:rFonts w:ascii="Arial" w:hAnsi="Arial" w:cs="Arial"/>
        </w:rPr>
      </w:pPr>
      <w:r w:rsidRPr="00051B46">
        <w:rPr>
          <w:rFonts w:ascii="Arial" w:hAnsi="Arial" w:cs="Arial"/>
        </w:rPr>
        <w:t xml:space="preserve">Clinical studies have shown that the source of intrahepatic triglycerides in NAFLD is about two-thirds from free fatty acids originating from adipose tissue. However, higher rates of </w:t>
      </w:r>
      <w:r w:rsidRPr="00051B46">
        <w:rPr>
          <w:rFonts w:ascii="Arial" w:hAnsi="Arial" w:cs="Arial"/>
          <w:i/>
          <w:iCs/>
        </w:rPr>
        <w:t>de novo</w:t>
      </w:r>
      <w:r w:rsidRPr="00051B46">
        <w:rPr>
          <w:rFonts w:ascii="Arial" w:hAnsi="Arial" w:cs="Arial"/>
        </w:rPr>
        <w:t xml:space="preserve"> lipogenesis (DNL) are also observed in obesity and T2DM (73).</w:t>
      </w:r>
      <w:r w:rsidRPr="00051B46" w:rsidDel="00523076">
        <w:rPr>
          <w:rFonts w:ascii="Arial" w:hAnsi="Arial" w:cs="Arial"/>
        </w:rPr>
        <w:t xml:space="preserve"> </w:t>
      </w:r>
      <w:r w:rsidRPr="00051B46">
        <w:rPr>
          <w:rFonts w:ascii="Arial" w:hAnsi="Arial" w:cs="Arial"/>
        </w:rPr>
        <w:t xml:space="preserve">In obesity, adipocytes adapt to chronic excess energy supply by undergoing hypertrophy and hyperplasia. This is likely a protective adaptation to allow for an increase in adipocyte storage capacity and ameliorate the potential for ectopic triglyceride accumulation in tissues with limited ability to do so such as the liver, skeletal muscle, pancreas and others. </w:t>
      </w:r>
      <w:r w:rsidR="004A7B8B" w:rsidRPr="00051B46">
        <w:rPr>
          <w:rFonts w:ascii="Arial" w:hAnsi="Arial" w:cs="Arial"/>
        </w:rPr>
        <w:t>When these adaptive mechanisms are overwhelmed by a chronic excess in nutrient supply, the chronic flux of FFAs promotes a state of “</w:t>
      </w:r>
      <w:proofErr w:type="spellStart"/>
      <w:r w:rsidR="004A7B8B" w:rsidRPr="00051B46">
        <w:rPr>
          <w:rFonts w:ascii="Arial" w:hAnsi="Arial" w:cs="Arial"/>
        </w:rPr>
        <w:t>lipotoxicity</w:t>
      </w:r>
      <w:proofErr w:type="spellEnd"/>
      <w:r w:rsidR="004A7B8B" w:rsidRPr="00051B46">
        <w:rPr>
          <w:rFonts w:ascii="Arial" w:hAnsi="Arial" w:cs="Arial"/>
        </w:rPr>
        <w:t>” across different tissues (11). Adaptation to chronic overnutrition occurs</w:t>
      </w:r>
      <w:r w:rsidRPr="00051B46">
        <w:rPr>
          <w:rFonts w:ascii="Arial" w:hAnsi="Arial" w:cs="Arial"/>
        </w:rPr>
        <w:t xml:space="preserve"> at the expense of developing adipose tissue insulin resistance and triggering mechanisms that attract macrophage accumulation and activation in fat and systemic subclinical inflammation. Moreover, it has been shown that hypertrophic adipocytes share a gene expression pattern that is similar to macrophages and produce adipocytokines similar to those produces by foam cells (74). Adipocytokines have a key role to play in the pathogenesis of insulin resistance by inhibiting insulin signaling pathways via action of insulin receptor substrate (IRS)-1 and c-Jun N terminal kinase (JNK) pathways. Insulin resistance and inflammat</w:t>
      </w:r>
      <w:r w:rsidR="004A7B8B" w:rsidRPr="00051B46">
        <w:rPr>
          <w:rFonts w:ascii="Arial" w:hAnsi="Arial" w:cs="Arial"/>
        </w:rPr>
        <w:t xml:space="preserve">ion is </w:t>
      </w:r>
      <w:r w:rsidRPr="00051B46">
        <w:rPr>
          <w:rFonts w:ascii="Arial" w:hAnsi="Arial" w:cs="Arial"/>
        </w:rPr>
        <w:t xml:space="preserve">also triggered by the generation of reactive oxygen species, and lipid intermediates such as diacylglycerol (DAG) (75), ceramides (76, 77) and </w:t>
      </w:r>
      <w:proofErr w:type="spellStart"/>
      <w:r w:rsidRPr="00051B46">
        <w:rPr>
          <w:rFonts w:ascii="Arial" w:hAnsi="Arial" w:cs="Arial"/>
        </w:rPr>
        <w:t>acylcarnitines</w:t>
      </w:r>
      <w:proofErr w:type="spellEnd"/>
      <w:r w:rsidRPr="00051B46">
        <w:rPr>
          <w:rFonts w:ascii="Arial" w:hAnsi="Arial" w:cs="Arial"/>
        </w:rPr>
        <w:t xml:space="preserve"> (77).</w:t>
      </w:r>
    </w:p>
    <w:p w14:paraId="521F1C67" w14:textId="77777777" w:rsidR="001214C3" w:rsidRPr="00051B46" w:rsidRDefault="001214C3" w:rsidP="002506B3">
      <w:pPr>
        <w:spacing w:after="0" w:line="276" w:lineRule="auto"/>
        <w:rPr>
          <w:rFonts w:ascii="Arial" w:hAnsi="Arial" w:cs="Arial"/>
          <w:vertAlign w:val="superscript"/>
        </w:rPr>
      </w:pPr>
    </w:p>
    <w:p w14:paraId="5A086380" w14:textId="77777777" w:rsidR="0060681B" w:rsidRPr="00051B46" w:rsidRDefault="0060681B" w:rsidP="002506B3">
      <w:pPr>
        <w:spacing w:after="0" w:line="276" w:lineRule="auto"/>
        <w:rPr>
          <w:rFonts w:ascii="Arial" w:hAnsi="Arial" w:cs="Arial"/>
        </w:rPr>
      </w:pPr>
      <w:r w:rsidRPr="00051B46">
        <w:rPr>
          <w:rFonts w:ascii="Arial" w:hAnsi="Arial" w:cs="Arial"/>
        </w:rPr>
        <w:t>Normally, insulin decreases gluconeogenesis and increases hepatic synthesis of</w:t>
      </w:r>
    </w:p>
    <w:p w14:paraId="6CA78CC8" w14:textId="75A8BDCB" w:rsidR="005461CD" w:rsidRPr="00051B46" w:rsidRDefault="0060681B" w:rsidP="002506B3">
      <w:pPr>
        <w:spacing w:after="0" w:line="276" w:lineRule="auto"/>
        <w:rPr>
          <w:rFonts w:ascii="Arial" w:hAnsi="Arial" w:cs="Arial"/>
        </w:rPr>
      </w:pPr>
      <w:r w:rsidRPr="00051B46">
        <w:rPr>
          <w:rFonts w:ascii="Arial" w:hAnsi="Arial" w:cs="Arial"/>
        </w:rPr>
        <w:t>fatty acids and triglycerides.  B</w:t>
      </w:r>
      <w:r w:rsidR="004A7B8B" w:rsidRPr="00051B46">
        <w:rPr>
          <w:rFonts w:ascii="Arial" w:hAnsi="Arial" w:cs="Arial"/>
        </w:rPr>
        <w:t xml:space="preserve">ased on animal models of T2DM, </w:t>
      </w:r>
      <w:r w:rsidRPr="00051B46">
        <w:rPr>
          <w:rFonts w:ascii="Arial" w:hAnsi="Arial" w:cs="Arial"/>
        </w:rPr>
        <w:t xml:space="preserve">it has been postulated </w:t>
      </w:r>
      <w:r w:rsidR="004A7B8B" w:rsidRPr="00051B46">
        <w:rPr>
          <w:rFonts w:ascii="Arial" w:hAnsi="Arial" w:cs="Arial"/>
        </w:rPr>
        <w:t xml:space="preserve">that there </w:t>
      </w:r>
      <w:r w:rsidR="00F47AFF" w:rsidRPr="00051B46">
        <w:rPr>
          <w:rFonts w:ascii="Arial" w:hAnsi="Arial" w:cs="Arial"/>
        </w:rPr>
        <w:t>may be</w:t>
      </w:r>
      <w:r w:rsidR="004A7B8B" w:rsidRPr="00051B46">
        <w:rPr>
          <w:rFonts w:ascii="Arial" w:hAnsi="Arial" w:cs="Arial"/>
        </w:rPr>
        <w:t xml:space="preserve"> a selective </w:t>
      </w:r>
      <w:r w:rsidRPr="00051B46">
        <w:rPr>
          <w:rFonts w:ascii="Arial" w:hAnsi="Arial" w:cs="Arial"/>
        </w:rPr>
        <w:t xml:space="preserve">hepatic </w:t>
      </w:r>
      <w:r w:rsidR="004A7B8B" w:rsidRPr="00051B46">
        <w:rPr>
          <w:rFonts w:ascii="Arial" w:hAnsi="Arial" w:cs="Arial"/>
        </w:rPr>
        <w:t xml:space="preserve">insulin resistance to glucose </w:t>
      </w:r>
      <w:r w:rsidRPr="00051B46">
        <w:rPr>
          <w:rFonts w:ascii="Arial" w:hAnsi="Arial" w:cs="Arial"/>
        </w:rPr>
        <w:t xml:space="preserve">metabolism </w:t>
      </w:r>
      <w:r w:rsidR="004A7B8B" w:rsidRPr="00051B46">
        <w:rPr>
          <w:rFonts w:ascii="Arial" w:hAnsi="Arial" w:cs="Arial"/>
        </w:rPr>
        <w:t xml:space="preserve">pathways (i.e., inhibition of gluconeogenesis) while preservation of insulin sensitivity </w:t>
      </w:r>
      <w:r w:rsidRPr="00051B46">
        <w:rPr>
          <w:rFonts w:ascii="Arial" w:hAnsi="Arial" w:cs="Arial"/>
        </w:rPr>
        <w:t>at</w:t>
      </w:r>
      <w:r w:rsidR="004A7B8B" w:rsidRPr="00051B46">
        <w:rPr>
          <w:rFonts w:ascii="Arial" w:hAnsi="Arial" w:cs="Arial"/>
        </w:rPr>
        <w:t xml:space="preserve"> lipid synthetic pathways (</w:t>
      </w:r>
      <w:r w:rsidR="00E264E3" w:rsidRPr="00051B46">
        <w:rPr>
          <w:rFonts w:ascii="Arial" w:hAnsi="Arial" w:cs="Arial"/>
        </w:rPr>
        <w:t>78, 79</w:t>
      </w:r>
      <w:r w:rsidR="004A7B8B" w:rsidRPr="00051B46">
        <w:rPr>
          <w:rFonts w:ascii="Arial" w:hAnsi="Arial" w:cs="Arial"/>
        </w:rPr>
        <w:t xml:space="preserve">). </w:t>
      </w:r>
      <w:r w:rsidR="00F47AFF" w:rsidRPr="00051B46">
        <w:rPr>
          <w:rFonts w:ascii="Arial" w:hAnsi="Arial" w:cs="Arial"/>
        </w:rPr>
        <w:t>S</w:t>
      </w:r>
      <w:r w:rsidR="004A7B8B" w:rsidRPr="00051B46">
        <w:rPr>
          <w:rFonts w:ascii="Arial" w:hAnsi="Arial" w:cs="Arial"/>
        </w:rPr>
        <w:t>elective insulin resistance</w:t>
      </w:r>
      <w:r w:rsidR="00F47AFF" w:rsidRPr="00051B46">
        <w:rPr>
          <w:rFonts w:ascii="Arial" w:hAnsi="Arial" w:cs="Arial"/>
        </w:rPr>
        <w:t xml:space="preserve"> in the gluconeogenic pathway </w:t>
      </w:r>
      <w:r w:rsidR="00E264E3" w:rsidRPr="00051B46">
        <w:rPr>
          <w:rFonts w:ascii="Arial" w:hAnsi="Arial" w:cs="Arial"/>
        </w:rPr>
        <w:t>would</w:t>
      </w:r>
      <w:r w:rsidR="00F47AFF" w:rsidRPr="00051B46">
        <w:rPr>
          <w:rFonts w:ascii="Arial" w:hAnsi="Arial" w:cs="Arial"/>
        </w:rPr>
        <w:t xml:space="preserve"> explain (at least in part) how hyperinsulinemia</w:t>
      </w:r>
      <w:r w:rsidR="004A7B8B" w:rsidRPr="00051B46">
        <w:rPr>
          <w:rFonts w:ascii="Arial" w:hAnsi="Arial" w:cs="Arial"/>
        </w:rPr>
        <w:t xml:space="preserve"> </w:t>
      </w:r>
      <w:r w:rsidR="00F47AFF" w:rsidRPr="00051B46">
        <w:rPr>
          <w:rFonts w:ascii="Arial" w:hAnsi="Arial" w:cs="Arial"/>
        </w:rPr>
        <w:t>may attempt to normalize glucose metabolism at the expense of driving</w:t>
      </w:r>
      <w:r w:rsidR="00E264E3" w:rsidRPr="00051B46">
        <w:rPr>
          <w:rFonts w:ascii="Arial" w:hAnsi="Arial" w:cs="Arial"/>
        </w:rPr>
        <w:t xml:space="preserve"> </w:t>
      </w:r>
      <w:r w:rsidR="00F47AFF" w:rsidRPr="00051B46">
        <w:rPr>
          <w:rFonts w:ascii="Arial" w:hAnsi="Arial" w:cs="Arial"/>
        </w:rPr>
        <w:t>triglyceride</w:t>
      </w:r>
      <w:r w:rsidR="004A7B8B" w:rsidRPr="00051B46">
        <w:rPr>
          <w:rFonts w:ascii="Arial" w:hAnsi="Arial" w:cs="Arial"/>
        </w:rPr>
        <w:t xml:space="preserve"> synthesis</w:t>
      </w:r>
      <w:r w:rsidRPr="00051B46">
        <w:rPr>
          <w:rFonts w:ascii="Arial" w:hAnsi="Arial" w:cs="Arial"/>
        </w:rPr>
        <w:t>,</w:t>
      </w:r>
      <w:r w:rsidR="00F47AFF" w:rsidRPr="00051B46">
        <w:rPr>
          <w:rFonts w:ascii="Arial" w:hAnsi="Arial" w:cs="Arial"/>
        </w:rPr>
        <w:t xml:space="preserve"> </w:t>
      </w:r>
      <w:r w:rsidR="00E264E3" w:rsidRPr="00051B46">
        <w:rPr>
          <w:rFonts w:ascii="Arial" w:hAnsi="Arial" w:cs="Arial"/>
        </w:rPr>
        <w:t>as</w:t>
      </w:r>
      <w:r w:rsidR="00F47AFF" w:rsidRPr="00051B46">
        <w:rPr>
          <w:rFonts w:ascii="Arial" w:hAnsi="Arial" w:cs="Arial"/>
        </w:rPr>
        <w:t xml:space="preserve"> </w:t>
      </w:r>
      <w:r w:rsidR="00E264E3" w:rsidRPr="00051B46">
        <w:rPr>
          <w:rFonts w:ascii="Arial" w:hAnsi="Arial" w:cs="Arial"/>
        </w:rPr>
        <w:t>hepatic lipid synthetic pathways retain a</w:t>
      </w:r>
      <w:r w:rsidR="00F47AFF" w:rsidRPr="00051B46">
        <w:rPr>
          <w:rFonts w:ascii="Arial" w:hAnsi="Arial" w:cs="Arial"/>
        </w:rPr>
        <w:t xml:space="preserve"> normal </w:t>
      </w:r>
      <w:r w:rsidRPr="00051B46">
        <w:rPr>
          <w:rFonts w:ascii="Arial" w:hAnsi="Arial" w:cs="Arial"/>
        </w:rPr>
        <w:t xml:space="preserve">insulin </w:t>
      </w:r>
      <w:r w:rsidR="00F47AFF" w:rsidRPr="00051B46">
        <w:rPr>
          <w:rFonts w:ascii="Arial" w:hAnsi="Arial" w:cs="Arial"/>
        </w:rPr>
        <w:t xml:space="preserve">sensitivity, </w:t>
      </w:r>
      <w:r w:rsidRPr="00051B46">
        <w:rPr>
          <w:rFonts w:ascii="Arial" w:hAnsi="Arial" w:cs="Arial"/>
        </w:rPr>
        <w:t>explaining the etiology of</w:t>
      </w:r>
      <w:r w:rsidR="004A7B8B" w:rsidRPr="00051B46">
        <w:rPr>
          <w:rFonts w:ascii="Arial" w:hAnsi="Arial" w:cs="Arial"/>
        </w:rPr>
        <w:t xml:space="preserve"> </w:t>
      </w:r>
      <w:r w:rsidR="00F47AFF" w:rsidRPr="00051B46">
        <w:rPr>
          <w:rFonts w:ascii="Arial" w:hAnsi="Arial" w:cs="Arial"/>
        </w:rPr>
        <w:t xml:space="preserve">both </w:t>
      </w:r>
      <w:r w:rsidR="004A7B8B" w:rsidRPr="00051B46">
        <w:rPr>
          <w:rFonts w:ascii="Arial" w:hAnsi="Arial" w:cs="Arial"/>
        </w:rPr>
        <w:t>hyperglycemia and</w:t>
      </w:r>
      <w:r w:rsidR="00F47AFF" w:rsidRPr="00051B46">
        <w:rPr>
          <w:rFonts w:ascii="Arial" w:hAnsi="Arial" w:cs="Arial"/>
        </w:rPr>
        <w:t xml:space="preserve"> </w:t>
      </w:r>
      <w:r w:rsidR="004A7B8B" w:rsidRPr="00051B46">
        <w:rPr>
          <w:rFonts w:ascii="Arial" w:hAnsi="Arial" w:cs="Arial"/>
        </w:rPr>
        <w:t>hypertriglyceridemia</w:t>
      </w:r>
      <w:r w:rsidRPr="00051B46">
        <w:rPr>
          <w:rFonts w:ascii="Arial" w:hAnsi="Arial" w:cs="Arial"/>
        </w:rPr>
        <w:t xml:space="preserve"> in diabetes</w:t>
      </w:r>
      <w:r w:rsidR="004A7B8B" w:rsidRPr="00051B46">
        <w:rPr>
          <w:rFonts w:ascii="Arial" w:hAnsi="Arial" w:cs="Arial"/>
        </w:rPr>
        <w:t xml:space="preserve">. </w:t>
      </w:r>
      <w:r w:rsidR="00F47AFF" w:rsidRPr="00051B46">
        <w:rPr>
          <w:rFonts w:ascii="Arial" w:hAnsi="Arial" w:cs="Arial"/>
        </w:rPr>
        <w:t xml:space="preserve"> </w:t>
      </w:r>
      <w:r w:rsidR="00173072" w:rsidRPr="00051B46">
        <w:rPr>
          <w:rFonts w:ascii="Arial" w:hAnsi="Arial" w:cs="Arial"/>
        </w:rPr>
        <w:t>More r</w:t>
      </w:r>
      <w:r w:rsidR="005461CD" w:rsidRPr="00051B46">
        <w:rPr>
          <w:rFonts w:ascii="Arial" w:hAnsi="Arial" w:cs="Arial"/>
        </w:rPr>
        <w:t xml:space="preserve">ecently, Perry et al </w:t>
      </w:r>
      <w:r w:rsidR="00D32115" w:rsidRPr="00051B46">
        <w:rPr>
          <w:rFonts w:ascii="Arial" w:hAnsi="Arial" w:cs="Arial"/>
        </w:rPr>
        <w:t>(8</w:t>
      </w:r>
      <w:r w:rsidR="00DC3528" w:rsidRPr="00051B46">
        <w:rPr>
          <w:rFonts w:ascii="Arial" w:hAnsi="Arial" w:cs="Arial"/>
        </w:rPr>
        <w:t>0</w:t>
      </w:r>
      <w:r w:rsidR="00D32115" w:rsidRPr="00051B46">
        <w:rPr>
          <w:rFonts w:ascii="Arial" w:hAnsi="Arial" w:cs="Arial"/>
        </w:rPr>
        <w:t xml:space="preserve">) </w:t>
      </w:r>
      <w:r w:rsidR="005461CD" w:rsidRPr="00051B46">
        <w:rPr>
          <w:rFonts w:ascii="Arial" w:hAnsi="Arial" w:cs="Arial"/>
        </w:rPr>
        <w:t xml:space="preserve">reported that the major mechanism by which insulin suppresses hepatic glucose production appears to be through </w:t>
      </w:r>
      <w:r w:rsidRPr="00051B46">
        <w:rPr>
          <w:rFonts w:ascii="Arial" w:hAnsi="Arial" w:cs="Arial"/>
        </w:rPr>
        <w:t xml:space="preserve">a </w:t>
      </w:r>
      <w:r w:rsidR="005461CD" w:rsidRPr="00051B46">
        <w:rPr>
          <w:rFonts w:ascii="Arial" w:hAnsi="Arial" w:cs="Arial"/>
        </w:rPr>
        <w:t>reduction in hepatic acetyl CoA by suppression of lipolysis in white adipose tissue (WAT)</w:t>
      </w:r>
      <w:r w:rsidR="00173072" w:rsidRPr="00051B46">
        <w:rPr>
          <w:rFonts w:ascii="Arial" w:hAnsi="Arial" w:cs="Arial"/>
        </w:rPr>
        <w:t>. This is</w:t>
      </w:r>
      <w:r w:rsidR="00D32115" w:rsidRPr="00051B46">
        <w:rPr>
          <w:rFonts w:ascii="Arial" w:hAnsi="Arial" w:cs="Arial"/>
        </w:rPr>
        <w:t xml:space="preserve"> associated </w:t>
      </w:r>
      <w:r w:rsidR="005461CD" w:rsidRPr="00051B46">
        <w:rPr>
          <w:rFonts w:ascii="Arial" w:hAnsi="Arial" w:cs="Arial"/>
        </w:rPr>
        <w:t xml:space="preserve">with a reduction in pyruvate carboxylase flux. </w:t>
      </w:r>
      <w:r w:rsidR="00173072" w:rsidRPr="00051B46">
        <w:rPr>
          <w:rFonts w:ascii="Arial" w:hAnsi="Arial" w:cs="Arial"/>
        </w:rPr>
        <w:t>Of interest, i</w:t>
      </w:r>
      <w:r w:rsidR="005461CD" w:rsidRPr="00051B46">
        <w:rPr>
          <w:rFonts w:ascii="Arial" w:hAnsi="Arial" w:cs="Arial"/>
        </w:rPr>
        <w:t xml:space="preserve">nsulin’s ability to </w:t>
      </w:r>
      <w:r w:rsidR="00D32115" w:rsidRPr="00051B46">
        <w:rPr>
          <w:rFonts w:ascii="Arial" w:hAnsi="Arial" w:cs="Arial"/>
        </w:rPr>
        <w:t>inhibit</w:t>
      </w:r>
      <w:r w:rsidR="005461CD" w:rsidRPr="00051B46">
        <w:rPr>
          <w:rFonts w:ascii="Arial" w:hAnsi="Arial" w:cs="Arial"/>
        </w:rPr>
        <w:t xml:space="preserve"> hepatic acetyl CoA</w:t>
      </w:r>
      <w:r w:rsidR="00D32115" w:rsidRPr="00051B46">
        <w:rPr>
          <w:rFonts w:ascii="Arial" w:hAnsi="Arial" w:cs="Arial"/>
        </w:rPr>
        <w:t xml:space="preserve"> </w:t>
      </w:r>
      <w:r w:rsidR="005461CD" w:rsidRPr="00051B46">
        <w:rPr>
          <w:rFonts w:ascii="Arial" w:hAnsi="Arial" w:cs="Arial"/>
        </w:rPr>
        <w:t xml:space="preserve">and lipolysis </w:t>
      </w:r>
      <w:r w:rsidRPr="00051B46">
        <w:rPr>
          <w:rFonts w:ascii="Arial" w:hAnsi="Arial" w:cs="Arial"/>
        </w:rPr>
        <w:t>i</w:t>
      </w:r>
      <w:r w:rsidR="005461CD" w:rsidRPr="00051B46">
        <w:rPr>
          <w:rFonts w:ascii="Arial" w:hAnsi="Arial" w:cs="Arial"/>
        </w:rPr>
        <w:t>s lost in high-fat-fed rats, a phenomenon reversible by IL-6 neutralization and inducible by IL-6 infusion</w:t>
      </w:r>
      <w:r w:rsidRPr="00051B46">
        <w:rPr>
          <w:rFonts w:ascii="Arial" w:hAnsi="Arial" w:cs="Arial"/>
        </w:rPr>
        <w:t xml:space="preserve"> (80)</w:t>
      </w:r>
      <w:r w:rsidR="00173072" w:rsidRPr="00051B46">
        <w:rPr>
          <w:rFonts w:ascii="Arial" w:hAnsi="Arial" w:cs="Arial"/>
        </w:rPr>
        <w:t>.</w:t>
      </w:r>
    </w:p>
    <w:p w14:paraId="4B80C759" w14:textId="77777777" w:rsidR="005461CD" w:rsidRPr="00051B46" w:rsidRDefault="005461CD" w:rsidP="002506B3">
      <w:pPr>
        <w:spacing w:after="0" w:line="276" w:lineRule="auto"/>
        <w:rPr>
          <w:rFonts w:ascii="Arial" w:hAnsi="Arial" w:cs="Arial"/>
        </w:rPr>
      </w:pPr>
    </w:p>
    <w:p w14:paraId="4E937691" w14:textId="7AA564F8" w:rsidR="00F47AFF" w:rsidRPr="00051B46" w:rsidRDefault="00F47AFF" w:rsidP="002506B3">
      <w:pPr>
        <w:spacing w:after="0" w:line="276" w:lineRule="auto"/>
        <w:rPr>
          <w:rFonts w:ascii="Arial" w:hAnsi="Arial" w:cs="Arial"/>
        </w:rPr>
      </w:pPr>
      <w:r w:rsidRPr="00051B46">
        <w:rPr>
          <w:rFonts w:ascii="Arial" w:hAnsi="Arial" w:cs="Arial"/>
        </w:rPr>
        <w:t>However, th</w:t>
      </w:r>
      <w:r w:rsidR="005461CD" w:rsidRPr="00051B46">
        <w:rPr>
          <w:rFonts w:ascii="Arial" w:hAnsi="Arial" w:cs="Arial"/>
        </w:rPr>
        <w:t>e above</w:t>
      </w:r>
      <w:r w:rsidRPr="00051B46">
        <w:rPr>
          <w:rFonts w:ascii="Arial" w:hAnsi="Arial" w:cs="Arial"/>
        </w:rPr>
        <w:t xml:space="preserve"> relationship between hyperinsulinemia</w:t>
      </w:r>
      <w:r w:rsidR="00D32115" w:rsidRPr="00051B46">
        <w:rPr>
          <w:rFonts w:ascii="Arial" w:hAnsi="Arial" w:cs="Arial"/>
        </w:rPr>
        <w:t xml:space="preserve"> and</w:t>
      </w:r>
      <w:r w:rsidR="00E264E3" w:rsidRPr="00051B46">
        <w:rPr>
          <w:rFonts w:ascii="Arial" w:hAnsi="Arial" w:cs="Arial"/>
        </w:rPr>
        <w:t xml:space="preserve"> steatosis </w:t>
      </w:r>
      <w:r w:rsidR="00173072" w:rsidRPr="00051B46">
        <w:rPr>
          <w:rFonts w:ascii="Arial" w:hAnsi="Arial" w:cs="Arial"/>
        </w:rPr>
        <w:t>does</w:t>
      </w:r>
      <w:r w:rsidR="00D32115" w:rsidRPr="00051B46">
        <w:rPr>
          <w:rFonts w:ascii="Arial" w:hAnsi="Arial" w:cs="Arial"/>
        </w:rPr>
        <w:t xml:space="preserve"> not completely explain the role</w:t>
      </w:r>
      <w:r w:rsidR="0060681B" w:rsidRPr="00051B46">
        <w:rPr>
          <w:rFonts w:ascii="Arial" w:hAnsi="Arial" w:cs="Arial"/>
        </w:rPr>
        <w:t xml:space="preserve"> of both factors</w:t>
      </w:r>
      <w:r w:rsidR="00D32115" w:rsidRPr="00051B46">
        <w:rPr>
          <w:rFonts w:ascii="Arial" w:hAnsi="Arial" w:cs="Arial"/>
        </w:rPr>
        <w:t xml:space="preserve"> </w:t>
      </w:r>
      <w:r w:rsidR="00E264E3" w:rsidRPr="00051B46">
        <w:rPr>
          <w:rFonts w:ascii="Arial" w:hAnsi="Arial" w:cs="Arial"/>
        </w:rPr>
        <w:t xml:space="preserve">in </w:t>
      </w:r>
      <w:r w:rsidR="0060681B" w:rsidRPr="00051B46">
        <w:rPr>
          <w:rFonts w:ascii="Arial" w:hAnsi="Arial" w:cs="Arial"/>
        </w:rPr>
        <w:t>patients with NASH</w:t>
      </w:r>
      <w:r w:rsidRPr="00051B46">
        <w:rPr>
          <w:rFonts w:ascii="Arial" w:hAnsi="Arial" w:cs="Arial"/>
        </w:rPr>
        <w:t xml:space="preserve">. In </w:t>
      </w:r>
      <w:r w:rsidR="00E264E3" w:rsidRPr="00051B46">
        <w:rPr>
          <w:rFonts w:ascii="Arial" w:hAnsi="Arial" w:cs="Arial"/>
        </w:rPr>
        <w:t>subjects</w:t>
      </w:r>
      <w:r w:rsidRPr="00051B46">
        <w:rPr>
          <w:rFonts w:ascii="Arial" w:hAnsi="Arial" w:cs="Arial"/>
        </w:rPr>
        <w:t xml:space="preserve"> with </w:t>
      </w:r>
      <w:r w:rsidR="00E264E3" w:rsidRPr="00051B46">
        <w:rPr>
          <w:rFonts w:ascii="Arial" w:hAnsi="Arial" w:cs="Arial"/>
        </w:rPr>
        <w:t xml:space="preserve">hepatic </w:t>
      </w:r>
      <w:r w:rsidRPr="00051B46">
        <w:rPr>
          <w:rFonts w:ascii="Arial" w:hAnsi="Arial" w:cs="Arial"/>
        </w:rPr>
        <w:t>steatosis</w:t>
      </w:r>
      <w:r w:rsidR="00E264E3" w:rsidRPr="00051B46">
        <w:rPr>
          <w:rFonts w:ascii="Arial" w:hAnsi="Arial" w:cs="Arial"/>
        </w:rPr>
        <w:t>,</w:t>
      </w:r>
      <w:r w:rsidRPr="00051B46">
        <w:rPr>
          <w:rFonts w:ascii="Arial" w:hAnsi="Arial" w:cs="Arial"/>
        </w:rPr>
        <w:t xml:space="preserve"> increasing insulin levels </w:t>
      </w:r>
      <w:r w:rsidR="00E264E3" w:rsidRPr="00051B46">
        <w:rPr>
          <w:rFonts w:ascii="Arial" w:hAnsi="Arial" w:cs="Arial"/>
        </w:rPr>
        <w:t xml:space="preserve">only </w:t>
      </w:r>
      <w:r w:rsidRPr="00051B46">
        <w:rPr>
          <w:rFonts w:ascii="Arial" w:hAnsi="Arial" w:cs="Arial"/>
        </w:rPr>
        <w:t xml:space="preserve">have a </w:t>
      </w:r>
      <w:r w:rsidR="00E264E3" w:rsidRPr="00051B46">
        <w:rPr>
          <w:rFonts w:ascii="Arial" w:hAnsi="Arial" w:cs="Arial"/>
        </w:rPr>
        <w:t>modest</w:t>
      </w:r>
      <w:r w:rsidRPr="00051B46">
        <w:rPr>
          <w:rFonts w:ascii="Arial" w:hAnsi="Arial" w:cs="Arial"/>
        </w:rPr>
        <w:t xml:space="preserve"> correlation with the severity of </w:t>
      </w:r>
      <w:r w:rsidR="00E264E3" w:rsidRPr="00051B46">
        <w:rPr>
          <w:rFonts w:ascii="Arial" w:hAnsi="Arial" w:cs="Arial"/>
        </w:rPr>
        <w:t>intrahepatic triglyceride accumulation</w:t>
      </w:r>
      <w:r w:rsidRPr="00051B46">
        <w:rPr>
          <w:rFonts w:ascii="Arial" w:hAnsi="Arial" w:cs="Arial"/>
        </w:rPr>
        <w:t xml:space="preserve"> (</w:t>
      </w:r>
      <w:r w:rsidR="00E264E3" w:rsidRPr="00051B46">
        <w:rPr>
          <w:rFonts w:ascii="Arial" w:hAnsi="Arial" w:cs="Arial"/>
        </w:rPr>
        <w:t>8</w:t>
      </w:r>
      <w:r w:rsidR="00B82214" w:rsidRPr="00051B46">
        <w:rPr>
          <w:rFonts w:ascii="Arial" w:hAnsi="Arial" w:cs="Arial"/>
        </w:rPr>
        <w:t>1</w:t>
      </w:r>
      <w:r w:rsidRPr="00051B46">
        <w:rPr>
          <w:rFonts w:ascii="Arial" w:hAnsi="Arial" w:cs="Arial"/>
        </w:rPr>
        <w:t>) and</w:t>
      </w:r>
      <w:r w:rsidR="00D32115" w:rsidRPr="00051B46">
        <w:rPr>
          <w:rFonts w:ascii="Arial" w:hAnsi="Arial" w:cs="Arial"/>
        </w:rPr>
        <w:t xml:space="preserve"> there is</w:t>
      </w:r>
      <w:r w:rsidRPr="00051B46">
        <w:rPr>
          <w:rFonts w:ascii="Arial" w:hAnsi="Arial" w:cs="Arial"/>
        </w:rPr>
        <w:t xml:space="preserve"> no relationship </w:t>
      </w:r>
      <w:r w:rsidR="0060681B" w:rsidRPr="00051B46">
        <w:rPr>
          <w:rFonts w:ascii="Arial" w:hAnsi="Arial" w:cs="Arial"/>
        </w:rPr>
        <w:t xml:space="preserve">between hyperinsulinemia or hepatic steatosis </w:t>
      </w:r>
      <w:r w:rsidRPr="00051B46">
        <w:rPr>
          <w:rFonts w:ascii="Arial" w:hAnsi="Arial" w:cs="Arial"/>
        </w:rPr>
        <w:t xml:space="preserve">with the severity of </w:t>
      </w:r>
      <w:r w:rsidR="0060681B" w:rsidRPr="00051B46">
        <w:rPr>
          <w:rFonts w:ascii="Arial" w:hAnsi="Arial" w:cs="Arial"/>
        </w:rPr>
        <w:t>inflammation, hepatocyte ballooning (injury), or fibrosis (15, 81).</w:t>
      </w:r>
      <w:r w:rsidR="00D32115" w:rsidRPr="00051B46">
        <w:rPr>
          <w:rFonts w:ascii="Arial" w:hAnsi="Arial" w:cs="Arial"/>
        </w:rPr>
        <w:t>This is</w:t>
      </w:r>
      <w:r w:rsidRPr="00051B46">
        <w:rPr>
          <w:rFonts w:ascii="Arial" w:hAnsi="Arial" w:cs="Arial"/>
        </w:rPr>
        <w:t xml:space="preserve"> despite </w:t>
      </w:r>
      <w:r w:rsidR="00173072" w:rsidRPr="00051B46">
        <w:rPr>
          <w:rFonts w:ascii="Arial" w:hAnsi="Arial" w:cs="Arial"/>
        </w:rPr>
        <w:t xml:space="preserve">patients with NASH </w:t>
      </w:r>
      <w:r w:rsidRPr="00051B46">
        <w:rPr>
          <w:rFonts w:ascii="Arial" w:hAnsi="Arial" w:cs="Arial"/>
        </w:rPr>
        <w:t>having</w:t>
      </w:r>
      <w:r w:rsidR="00D32115" w:rsidRPr="00051B46">
        <w:rPr>
          <w:rFonts w:ascii="Arial" w:hAnsi="Arial" w:cs="Arial"/>
        </w:rPr>
        <w:t xml:space="preserve"> </w:t>
      </w:r>
      <w:r w:rsidRPr="00051B46">
        <w:rPr>
          <w:rFonts w:ascii="Arial" w:hAnsi="Arial" w:cs="Arial"/>
        </w:rPr>
        <w:t xml:space="preserve">worse hyperinsulinemia compared to patients with </w:t>
      </w:r>
      <w:r w:rsidR="00E264E3" w:rsidRPr="00051B46">
        <w:rPr>
          <w:rFonts w:ascii="Arial" w:hAnsi="Arial" w:cs="Arial"/>
        </w:rPr>
        <w:t>isolated steatosis (NAFL)</w:t>
      </w:r>
      <w:r w:rsidRPr="00051B46">
        <w:rPr>
          <w:rFonts w:ascii="Arial" w:hAnsi="Arial" w:cs="Arial"/>
        </w:rPr>
        <w:t xml:space="preserve">. </w:t>
      </w:r>
      <w:r w:rsidR="0060681B" w:rsidRPr="00051B46">
        <w:rPr>
          <w:rFonts w:ascii="Arial" w:hAnsi="Arial" w:cs="Arial"/>
        </w:rPr>
        <w:t>This suggests that other mechanisms play a role in human disease.</w:t>
      </w:r>
      <w:r w:rsidRPr="00051B46">
        <w:rPr>
          <w:rFonts w:ascii="Arial" w:hAnsi="Arial" w:cs="Arial"/>
        </w:rPr>
        <w:t xml:space="preserve"> </w:t>
      </w:r>
    </w:p>
    <w:p w14:paraId="50C2EE34" w14:textId="5264264A" w:rsidR="00F47AFF" w:rsidRPr="00051B46" w:rsidRDefault="00E264E3" w:rsidP="002506B3">
      <w:pPr>
        <w:spacing w:after="0" w:line="276" w:lineRule="auto"/>
        <w:rPr>
          <w:rFonts w:ascii="Arial" w:hAnsi="Arial" w:cs="Arial"/>
        </w:rPr>
      </w:pPr>
      <w:r w:rsidRPr="00051B46">
        <w:rPr>
          <w:rFonts w:ascii="Arial" w:hAnsi="Arial" w:cs="Arial"/>
        </w:rPr>
        <w:t xml:space="preserve"> </w:t>
      </w:r>
    </w:p>
    <w:p w14:paraId="222C3F75" w14:textId="00A9B959" w:rsidR="0021500E" w:rsidRPr="00051B46" w:rsidRDefault="00F47AFF" w:rsidP="002506B3">
      <w:pPr>
        <w:spacing w:after="0" w:line="276" w:lineRule="auto"/>
        <w:rPr>
          <w:rFonts w:ascii="Arial" w:hAnsi="Arial" w:cs="Arial"/>
        </w:rPr>
      </w:pPr>
      <w:proofErr w:type="spellStart"/>
      <w:r w:rsidRPr="00051B46">
        <w:rPr>
          <w:rFonts w:ascii="Arial" w:hAnsi="Arial" w:cs="Arial"/>
        </w:rPr>
        <w:t>Lipotoxicity</w:t>
      </w:r>
      <w:proofErr w:type="spellEnd"/>
      <w:r w:rsidR="00DA3EDA" w:rsidRPr="00051B46">
        <w:rPr>
          <w:rFonts w:ascii="Arial" w:hAnsi="Arial" w:cs="Arial"/>
        </w:rPr>
        <w:t xml:space="preserve"> has been extensively studied</w:t>
      </w:r>
      <w:r w:rsidR="008F7CBB" w:rsidRPr="00051B46">
        <w:rPr>
          <w:rFonts w:ascii="Arial" w:hAnsi="Arial" w:cs="Arial"/>
        </w:rPr>
        <w:t xml:space="preserve"> in skeletal muscle</w:t>
      </w:r>
      <w:r w:rsidR="00B82214" w:rsidRPr="00051B46">
        <w:rPr>
          <w:rFonts w:ascii="Arial" w:hAnsi="Arial" w:cs="Arial"/>
        </w:rPr>
        <w:t>,</w:t>
      </w:r>
      <w:r w:rsidR="008F7CBB" w:rsidRPr="00051B46">
        <w:rPr>
          <w:rFonts w:ascii="Arial" w:hAnsi="Arial" w:cs="Arial"/>
        </w:rPr>
        <w:t xml:space="preserve"> where accumulation of ectopic triglycerides</w:t>
      </w:r>
      <w:r w:rsidR="007C1218" w:rsidRPr="00051B46">
        <w:rPr>
          <w:rFonts w:ascii="Arial" w:hAnsi="Arial" w:cs="Arial"/>
        </w:rPr>
        <w:t xml:space="preserve"> </w:t>
      </w:r>
      <w:r w:rsidR="00B82214" w:rsidRPr="00051B46">
        <w:rPr>
          <w:rFonts w:ascii="Arial" w:hAnsi="Arial" w:cs="Arial"/>
        </w:rPr>
        <w:t>promote</w:t>
      </w:r>
      <w:r w:rsidR="007B24CC" w:rsidRPr="00051B46">
        <w:rPr>
          <w:rFonts w:ascii="Arial" w:hAnsi="Arial" w:cs="Arial"/>
        </w:rPr>
        <w:t>s</w:t>
      </w:r>
      <w:r w:rsidR="00B82214" w:rsidRPr="00051B46">
        <w:rPr>
          <w:rFonts w:ascii="Arial" w:hAnsi="Arial" w:cs="Arial"/>
        </w:rPr>
        <w:t xml:space="preserve"> the formation of </w:t>
      </w:r>
      <w:r w:rsidR="008F7CBB" w:rsidRPr="00051B46">
        <w:rPr>
          <w:rFonts w:ascii="Arial" w:hAnsi="Arial" w:cs="Arial"/>
        </w:rPr>
        <w:t>toxic lipid metabolites (i.e., such as DAGs)</w:t>
      </w:r>
      <w:r w:rsidR="007C1218" w:rsidRPr="00051B46">
        <w:rPr>
          <w:rFonts w:ascii="Arial" w:hAnsi="Arial" w:cs="Arial"/>
        </w:rPr>
        <w:t xml:space="preserve"> that are</w:t>
      </w:r>
      <w:r w:rsidR="008F7CBB" w:rsidRPr="00051B46">
        <w:rPr>
          <w:rFonts w:ascii="Arial" w:hAnsi="Arial" w:cs="Arial"/>
        </w:rPr>
        <w:t xml:space="preserve"> closely associated with impairment in</w:t>
      </w:r>
      <w:r w:rsidR="00DA3EDA" w:rsidRPr="00051B46">
        <w:rPr>
          <w:rFonts w:ascii="Arial" w:hAnsi="Arial" w:cs="Arial"/>
        </w:rPr>
        <w:t xml:space="preserve"> insulin signaling. Lipid infusions in healthy subjects have shown that at levels of plasma FFAs typically seen in obesity and NAFLD, there is suppression of insulin signaling and hence development of insulin resistance</w:t>
      </w:r>
      <w:r w:rsidR="00DA46D1" w:rsidRPr="00051B46">
        <w:rPr>
          <w:rFonts w:ascii="Arial" w:hAnsi="Arial" w:cs="Arial"/>
        </w:rPr>
        <w:t xml:space="preserve"> (</w:t>
      </w:r>
      <w:r w:rsidR="009E5594" w:rsidRPr="00051B46">
        <w:rPr>
          <w:rFonts w:ascii="Arial" w:hAnsi="Arial" w:cs="Arial"/>
        </w:rPr>
        <w:t>82</w:t>
      </w:r>
      <w:r w:rsidR="00DA46D1" w:rsidRPr="00051B46">
        <w:rPr>
          <w:rFonts w:ascii="Arial" w:hAnsi="Arial" w:cs="Arial"/>
        </w:rPr>
        <w:t>)</w:t>
      </w:r>
      <w:r w:rsidR="00DA3EDA" w:rsidRPr="00051B46">
        <w:rPr>
          <w:rFonts w:ascii="Arial" w:hAnsi="Arial" w:cs="Arial"/>
        </w:rPr>
        <w:t>.</w:t>
      </w:r>
      <w:r w:rsidR="007C1218" w:rsidRPr="00051B46">
        <w:rPr>
          <w:rFonts w:ascii="Arial" w:hAnsi="Arial" w:cs="Arial"/>
        </w:rPr>
        <w:t xml:space="preserve"> </w:t>
      </w:r>
      <w:proofErr w:type="spellStart"/>
      <w:r w:rsidR="00DA3EDA" w:rsidRPr="00051B46">
        <w:rPr>
          <w:rFonts w:ascii="Arial" w:hAnsi="Arial" w:cs="Arial"/>
        </w:rPr>
        <w:t>Lipotoxicity</w:t>
      </w:r>
      <w:proofErr w:type="spellEnd"/>
      <w:r w:rsidR="00DA3EDA" w:rsidRPr="00051B46">
        <w:rPr>
          <w:rFonts w:ascii="Arial" w:hAnsi="Arial" w:cs="Arial"/>
        </w:rPr>
        <w:t xml:space="preserve"> </w:t>
      </w:r>
      <w:r w:rsidR="007C1218" w:rsidRPr="00051B46">
        <w:rPr>
          <w:rFonts w:ascii="Arial" w:hAnsi="Arial" w:cs="Arial"/>
        </w:rPr>
        <w:t>has</w:t>
      </w:r>
      <w:r w:rsidR="00DA3EDA" w:rsidRPr="00051B46">
        <w:rPr>
          <w:rFonts w:ascii="Arial" w:hAnsi="Arial" w:cs="Arial"/>
        </w:rPr>
        <w:t xml:space="preserve"> also</w:t>
      </w:r>
      <w:r w:rsidR="007C1218" w:rsidRPr="00051B46">
        <w:rPr>
          <w:rFonts w:ascii="Arial" w:hAnsi="Arial" w:cs="Arial"/>
        </w:rPr>
        <w:t xml:space="preserve"> reported </w:t>
      </w:r>
      <w:r w:rsidR="00DA3EDA" w:rsidRPr="00051B46">
        <w:rPr>
          <w:rFonts w:ascii="Arial" w:hAnsi="Arial" w:cs="Arial"/>
        </w:rPr>
        <w:t>in pancreatic beta</w:t>
      </w:r>
      <w:r w:rsidR="007C1218" w:rsidRPr="00051B46">
        <w:rPr>
          <w:rFonts w:ascii="Arial" w:hAnsi="Arial" w:cs="Arial"/>
        </w:rPr>
        <w:t>-</w:t>
      </w:r>
      <w:r w:rsidR="00DA3EDA" w:rsidRPr="00051B46">
        <w:rPr>
          <w:rFonts w:ascii="Arial" w:hAnsi="Arial" w:cs="Arial"/>
        </w:rPr>
        <w:t>cells</w:t>
      </w:r>
      <w:r w:rsidR="007C1218" w:rsidRPr="00051B46">
        <w:rPr>
          <w:rFonts w:ascii="Arial" w:hAnsi="Arial" w:cs="Arial"/>
        </w:rPr>
        <w:t xml:space="preserve"> in humans</w:t>
      </w:r>
      <w:r w:rsidR="00DA3EDA" w:rsidRPr="00051B46">
        <w:rPr>
          <w:rFonts w:ascii="Arial" w:hAnsi="Arial" w:cs="Arial"/>
        </w:rPr>
        <w:t xml:space="preserve">. </w:t>
      </w:r>
      <w:r w:rsidR="00BF62D9" w:rsidRPr="00051B46">
        <w:rPr>
          <w:rFonts w:ascii="Arial" w:hAnsi="Arial" w:cs="Arial"/>
        </w:rPr>
        <w:t xml:space="preserve"> </w:t>
      </w:r>
      <w:r w:rsidR="00DA3EDA" w:rsidRPr="00051B46">
        <w:rPr>
          <w:rFonts w:ascii="Arial" w:hAnsi="Arial" w:cs="Arial"/>
        </w:rPr>
        <w:t xml:space="preserve">Normally, FFAs are the main energy source in the fasting state, with a switch to using glucose as the primary fuel </w:t>
      </w:r>
      <w:r w:rsidR="007C1218" w:rsidRPr="00051B46">
        <w:rPr>
          <w:rFonts w:ascii="Arial" w:hAnsi="Arial" w:cs="Arial"/>
        </w:rPr>
        <w:t xml:space="preserve">after </w:t>
      </w:r>
      <w:r w:rsidR="00DA3EDA" w:rsidRPr="00051B46">
        <w:rPr>
          <w:rFonts w:ascii="Arial" w:hAnsi="Arial" w:cs="Arial"/>
        </w:rPr>
        <w:t>a meal.</w:t>
      </w:r>
      <w:r w:rsidR="007C1218" w:rsidRPr="00051B46">
        <w:rPr>
          <w:rFonts w:ascii="Arial" w:hAnsi="Arial" w:cs="Arial"/>
        </w:rPr>
        <w:t xml:space="preserve"> However, </w:t>
      </w:r>
      <w:r w:rsidR="00DA3EDA" w:rsidRPr="00051B46">
        <w:rPr>
          <w:rFonts w:ascii="Arial" w:hAnsi="Arial" w:cs="Arial"/>
        </w:rPr>
        <w:t xml:space="preserve">chronically elevated </w:t>
      </w:r>
      <w:r w:rsidR="007C1218" w:rsidRPr="00051B46">
        <w:rPr>
          <w:rFonts w:ascii="Arial" w:hAnsi="Arial" w:cs="Arial"/>
        </w:rPr>
        <w:t>plasma</w:t>
      </w:r>
      <w:r w:rsidR="00DA3EDA" w:rsidRPr="00051B46">
        <w:rPr>
          <w:rFonts w:ascii="Arial" w:hAnsi="Arial" w:cs="Arial"/>
        </w:rPr>
        <w:t xml:space="preserve"> FFA</w:t>
      </w:r>
      <w:r w:rsidR="007C1218" w:rsidRPr="00051B46">
        <w:rPr>
          <w:rFonts w:ascii="Arial" w:hAnsi="Arial" w:cs="Arial"/>
        </w:rPr>
        <w:t xml:space="preserve"> concentrations impair insulin secretion in </w:t>
      </w:r>
      <w:r w:rsidR="00DA3EDA" w:rsidRPr="00051B46">
        <w:rPr>
          <w:rFonts w:ascii="Arial" w:hAnsi="Arial" w:cs="Arial"/>
        </w:rPr>
        <w:t>subjects that are genetically prone to T2DM</w:t>
      </w:r>
      <w:r w:rsidR="00DA46D1" w:rsidRPr="00051B46">
        <w:rPr>
          <w:rFonts w:ascii="Arial" w:hAnsi="Arial" w:cs="Arial"/>
        </w:rPr>
        <w:t xml:space="preserve"> (</w:t>
      </w:r>
      <w:r w:rsidR="009E5594" w:rsidRPr="00051B46">
        <w:rPr>
          <w:rFonts w:ascii="Arial" w:hAnsi="Arial" w:cs="Arial"/>
        </w:rPr>
        <w:t>83</w:t>
      </w:r>
      <w:r w:rsidR="00DA46D1" w:rsidRPr="00051B46">
        <w:rPr>
          <w:rFonts w:ascii="Arial" w:hAnsi="Arial" w:cs="Arial"/>
        </w:rPr>
        <w:t>)</w:t>
      </w:r>
      <w:r w:rsidR="00DA3EDA" w:rsidRPr="00051B46">
        <w:rPr>
          <w:rFonts w:ascii="Arial" w:hAnsi="Arial" w:cs="Arial"/>
        </w:rPr>
        <w:t>.</w:t>
      </w:r>
      <w:r w:rsidR="00DA46D1" w:rsidRPr="00051B46">
        <w:rPr>
          <w:rFonts w:ascii="Arial" w:hAnsi="Arial" w:cs="Arial"/>
        </w:rPr>
        <w:t xml:space="preserve"> </w:t>
      </w:r>
    </w:p>
    <w:p w14:paraId="1A5E3247" w14:textId="09336876" w:rsidR="0012437F" w:rsidRPr="00051B46" w:rsidRDefault="0012437F" w:rsidP="002506B3">
      <w:pPr>
        <w:spacing w:after="0" w:line="276" w:lineRule="auto"/>
        <w:rPr>
          <w:rFonts w:ascii="Arial" w:hAnsi="Arial" w:cs="Arial"/>
        </w:rPr>
      </w:pPr>
    </w:p>
    <w:p w14:paraId="2945C045" w14:textId="3842214D" w:rsidR="0012437F" w:rsidRPr="00051B46" w:rsidRDefault="0012437F" w:rsidP="002506B3">
      <w:pPr>
        <w:spacing w:after="0" w:line="276" w:lineRule="auto"/>
        <w:rPr>
          <w:rFonts w:ascii="Arial" w:hAnsi="Arial" w:cs="Arial"/>
        </w:rPr>
      </w:pPr>
      <w:r w:rsidRPr="00051B46">
        <w:rPr>
          <w:rFonts w:ascii="Arial" w:hAnsi="Arial" w:cs="Arial"/>
        </w:rPr>
        <w:t xml:space="preserve">NAFLD has been shown to </w:t>
      </w:r>
      <w:r w:rsidR="00754AF3" w:rsidRPr="00051B46">
        <w:rPr>
          <w:rFonts w:ascii="Arial" w:hAnsi="Arial" w:cs="Arial"/>
        </w:rPr>
        <w:t xml:space="preserve">also </w:t>
      </w:r>
      <w:r w:rsidRPr="00051B46">
        <w:rPr>
          <w:rFonts w:ascii="Arial" w:hAnsi="Arial" w:cs="Arial"/>
        </w:rPr>
        <w:t>be a heritable disease (72, 8</w:t>
      </w:r>
      <w:r w:rsidR="009E5594" w:rsidRPr="00051B46">
        <w:rPr>
          <w:rFonts w:ascii="Arial" w:hAnsi="Arial" w:cs="Arial"/>
        </w:rPr>
        <w:t>4</w:t>
      </w:r>
      <w:r w:rsidRPr="00051B46">
        <w:rPr>
          <w:rFonts w:ascii="Arial" w:hAnsi="Arial" w:cs="Arial"/>
        </w:rPr>
        <w:t>-</w:t>
      </w:r>
      <w:r w:rsidR="009E5594" w:rsidRPr="00051B46">
        <w:rPr>
          <w:rFonts w:ascii="Arial" w:hAnsi="Arial" w:cs="Arial"/>
        </w:rPr>
        <w:t>90</w:t>
      </w:r>
      <w:r w:rsidRPr="00051B46">
        <w:rPr>
          <w:rFonts w:ascii="Arial" w:hAnsi="Arial" w:cs="Arial"/>
        </w:rPr>
        <w:t>). Nuclear receptors such as peroxisome proliferator-activated nuclear receptors (PPAR) play a key role in hepatic lipid metabolism, however results on association of PPAR and severity of NAFLD have been variable (75). Studies have shown that first-degree relatives of subjects with NAFLD are more susceptible to develop chronic liver disease as compared to the general population (72, 8</w:t>
      </w:r>
      <w:r w:rsidR="009E5594" w:rsidRPr="00051B46">
        <w:rPr>
          <w:rFonts w:ascii="Arial" w:hAnsi="Arial" w:cs="Arial"/>
        </w:rPr>
        <w:t>4</w:t>
      </w:r>
      <w:r w:rsidRPr="00051B46">
        <w:rPr>
          <w:rFonts w:ascii="Arial" w:hAnsi="Arial" w:cs="Arial"/>
        </w:rPr>
        <w:t xml:space="preserve">). </w:t>
      </w:r>
      <w:proofErr w:type="spellStart"/>
      <w:r w:rsidRPr="00051B46">
        <w:rPr>
          <w:rFonts w:ascii="Arial" w:hAnsi="Arial" w:cs="Arial"/>
        </w:rPr>
        <w:t>Patatin</w:t>
      </w:r>
      <w:proofErr w:type="spellEnd"/>
      <w:r w:rsidRPr="00051B46">
        <w:rPr>
          <w:rFonts w:ascii="Arial" w:hAnsi="Arial" w:cs="Arial"/>
        </w:rPr>
        <w:t>-like phospholipase domain-containing protein 3 (PNPLA3) gene polymorphism has been shown to be associated with worse hepatic steatosis and a worse long-term prognosis in patients with NASH (8</w:t>
      </w:r>
      <w:r w:rsidR="009E5594" w:rsidRPr="00051B46">
        <w:rPr>
          <w:rFonts w:ascii="Arial" w:hAnsi="Arial" w:cs="Arial"/>
        </w:rPr>
        <w:t>5</w:t>
      </w:r>
      <w:r w:rsidRPr="00051B46">
        <w:rPr>
          <w:rFonts w:ascii="Arial" w:hAnsi="Arial" w:cs="Arial"/>
        </w:rPr>
        <w:t xml:space="preserve">). PNPLA3 is usually involved in hydrolysis of hepatocyte triglycerides. This polymorphism results in a loss of function mutation resulting in accumulation of intrahepatic triglycerides. </w:t>
      </w:r>
      <w:r w:rsidR="000847CA" w:rsidRPr="00051B46">
        <w:rPr>
          <w:rFonts w:ascii="Arial" w:hAnsi="Arial" w:cs="Arial"/>
        </w:rPr>
        <w:t xml:space="preserve">Recently, it has been described that </w:t>
      </w:r>
      <w:r w:rsidR="000231BA" w:rsidRPr="00051B46">
        <w:rPr>
          <w:rFonts w:ascii="Arial" w:hAnsi="Arial" w:cs="Arial"/>
        </w:rPr>
        <w:t>accumulation of PNPLA3 on lipid droplets is the basis of associated hepatic steatosis observed with this polymorphism (</w:t>
      </w:r>
      <w:r w:rsidR="00173072" w:rsidRPr="00051B46">
        <w:rPr>
          <w:rFonts w:ascii="Arial" w:hAnsi="Arial" w:cs="Arial"/>
        </w:rPr>
        <w:t>8</w:t>
      </w:r>
      <w:r w:rsidR="009E5594" w:rsidRPr="00051B46">
        <w:rPr>
          <w:rFonts w:ascii="Arial" w:hAnsi="Arial" w:cs="Arial"/>
        </w:rPr>
        <w:t>6</w:t>
      </w:r>
      <w:r w:rsidR="000231BA" w:rsidRPr="00051B46">
        <w:rPr>
          <w:rFonts w:ascii="Arial" w:hAnsi="Arial" w:cs="Arial"/>
        </w:rPr>
        <w:t>).</w:t>
      </w:r>
    </w:p>
    <w:p w14:paraId="277B9426" w14:textId="4AEF4321" w:rsidR="000231BA" w:rsidRPr="00051B46" w:rsidRDefault="000231BA" w:rsidP="002506B3">
      <w:pPr>
        <w:spacing w:after="0" w:line="276" w:lineRule="auto"/>
        <w:rPr>
          <w:rFonts w:ascii="Arial" w:hAnsi="Arial" w:cs="Arial"/>
        </w:rPr>
      </w:pPr>
    </w:p>
    <w:p w14:paraId="7D38910A" w14:textId="063EE0C3" w:rsidR="000D5DA4" w:rsidRPr="00051B46" w:rsidRDefault="0012437F" w:rsidP="002506B3">
      <w:pPr>
        <w:spacing w:after="0" w:line="276" w:lineRule="auto"/>
        <w:rPr>
          <w:rFonts w:ascii="Arial" w:hAnsi="Arial" w:cs="Arial"/>
        </w:rPr>
      </w:pPr>
      <w:r w:rsidRPr="00051B46">
        <w:rPr>
          <w:rFonts w:ascii="Arial" w:hAnsi="Arial" w:cs="Arial"/>
        </w:rPr>
        <w:lastRenderedPageBreak/>
        <w:t>Another commonly described polymorphism involves transmembrane 6 superfamily member 2 (TM6SF2) which normally plays a role in interaction between triglycerides and Apolipoprotein B during the extrahepatic secretion of very low-density lipoprotein (8</w:t>
      </w:r>
      <w:r w:rsidR="009E5594" w:rsidRPr="00051B46">
        <w:rPr>
          <w:rFonts w:ascii="Arial" w:hAnsi="Arial" w:cs="Arial"/>
        </w:rPr>
        <w:t>7</w:t>
      </w:r>
      <w:r w:rsidRPr="00051B46">
        <w:rPr>
          <w:rFonts w:ascii="Arial" w:hAnsi="Arial" w:cs="Arial"/>
        </w:rPr>
        <w:t>). This polymorphism results in increased hepatic triglyceride deposition, and lower circulating lipoproteins. Recent studies show this polymorphism is associated with higher risk of NAFLD but lower cardiovascular risk (8</w:t>
      </w:r>
      <w:r w:rsidR="009E5594" w:rsidRPr="00051B46">
        <w:rPr>
          <w:rFonts w:ascii="Arial" w:hAnsi="Arial" w:cs="Arial"/>
        </w:rPr>
        <w:t>7</w:t>
      </w:r>
      <w:r w:rsidRPr="00051B46">
        <w:rPr>
          <w:rFonts w:ascii="Arial" w:hAnsi="Arial" w:cs="Arial"/>
        </w:rPr>
        <w:t>). A loss of function mutation in the glucokinase regulator (GCKR) gene locus has been implicated in the accumulation of hepatic fat (8</w:t>
      </w:r>
      <w:r w:rsidR="009E5594" w:rsidRPr="00051B46">
        <w:rPr>
          <w:rFonts w:ascii="Arial" w:hAnsi="Arial" w:cs="Arial"/>
        </w:rPr>
        <w:t>8</w:t>
      </w:r>
      <w:r w:rsidRPr="00051B46">
        <w:rPr>
          <w:rFonts w:ascii="Arial" w:hAnsi="Arial" w:cs="Arial"/>
        </w:rPr>
        <w:t>,8</w:t>
      </w:r>
      <w:r w:rsidR="009E5594" w:rsidRPr="00051B46">
        <w:rPr>
          <w:rFonts w:ascii="Arial" w:hAnsi="Arial" w:cs="Arial"/>
        </w:rPr>
        <w:t>9</w:t>
      </w:r>
      <w:r w:rsidRPr="00051B46">
        <w:rPr>
          <w:rFonts w:ascii="Arial" w:hAnsi="Arial" w:cs="Arial"/>
        </w:rPr>
        <w:t>).   Normally, GCKR is involved in controlling the glucose influx into hepatocytes and hence regulating DNL. A protective splice variant HSD17B13 has also been identified. HSD17B13 encodes the lipid droplet protein hydroxysteroid 17-beta dehydrogenase 13 (HSD17B13) (</w:t>
      </w:r>
      <w:r w:rsidR="009E5594" w:rsidRPr="00051B46">
        <w:rPr>
          <w:rFonts w:ascii="Arial" w:hAnsi="Arial" w:cs="Arial"/>
        </w:rPr>
        <w:t>90</w:t>
      </w:r>
      <w:r w:rsidRPr="00051B46">
        <w:rPr>
          <w:rFonts w:ascii="Arial" w:hAnsi="Arial" w:cs="Arial"/>
        </w:rPr>
        <w:t xml:space="preserve">). This allele was associated with a reduced risk for progression from steatosis to steatohepatitis and fibrosis. Interestingly, it also seems to mitigate the effects of PNPLA3 polymorphism. </w:t>
      </w:r>
      <w:r w:rsidR="000D5DA4" w:rsidRPr="00051B46">
        <w:rPr>
          <w:rFonts w:ascii="Arial" w:hAnsi="Arial" w:cs="Arial"/>
        </w:rPr>
        <w:t xml:space="preserve"> </w:t>
      </w:r>
      <w:r w:rsidR="000847CA" w:rsidRPr="00051B46">
        <w:rPr>
          <w:rFonts w:ascii="Arial" w:hAnsi="Arial" w:cs="Arial"/>
        </w:rPr>
        <w:t>Finally, an interesting observation is that individuals with familial hypobetalipoproteinemia (FHBL) are prone to NAFL but are characterized by very low levels of plasma low-density lipoprotein (LDL) cholesterol that is protective against CVD (</w:t>
      </w:r>
      <w:r w:rsidR="009E5594" w:rsidRPr="00051B46">
        <w:rPr>
          <w:rFonts w:ascii="Arial" w:hAnsi="Arial" w:cs="Arial"/>
        </w:rPr>
        <w:t>91</w:t>
      </w:r>
      <w:r w:rsidR="000847CA" w:rsidRPr="00051B46">
        <w:rPr>
          <w:rFonts w:ascii="Arial" w:hAnsi="Arial" w:cs="Arial"/>
        </w:rPr>
        <w:t>).</w:t>
      </w:r>
    </w:p>
    <w:p w14:paraId="351A6474" w14:textId="77777777" w:rsidR="000D5DA4" w:rsidRPr="00051B46" w:rsidRDefault="000D5DA4" w:rsidP="002506B3">
      <w:pPr>
        <w:spacing w:after="0" w:line="276" w:lineRule="auto"/>
        <w:rPr>
          <w:rFonts w:ascii="Arial" w:hAnsi="Arial" w:cs="Arial"/>
        </w:rPr>
      </w:pPr>
    </w:p>
    <w:p w14:paraId="4C54A9AC" w14:textId="3DB957AC" w:rsidR="0012437F" w:rsidRPr="00051B46" w:rsidRDefault="0012437F" w:rsidP="002506B3">
      <w:pPr>
        <w:spacing w:after="0" w:line="276" w:lineRule="auto"/>
        <w:rPr>
          <w:rFonts w:ascii="Arial" w:hAnsi="Arial" w:cs="Arial"/>
        </w:rPr>
      </w:pPr>
      <w:r w:rsidRPr="00051B46">
        <w:rPr>
          <w:rFonts w:ascii="Arial" w:hAnsi="Arial" w:cs="Arial"/>
        </w:rPr>
        <w:t xml:space="preserve">However, at the present time, genetic testing is not recommended </w:t>
      </w:r>
      <w:r w:rsidR="0068506F" w:rsidRPr="00051B46">
        <w:rPr>
          <w:rFonts w:ascii="Arial" w:hAnsi="Arial" w:cs="Arial"/>
        </w:rPr>
        <w:t xml:space="preserve">in clinical practice </w:t>
      </w:r>
      <w:r w:rsidRPr="00051B46">
        <w:rPr>
          <w:rFonts w:ascii="Arial" w:hAnsi="Arial" w:cs="Arial"/>
        </w:rPr>
        <w:t xml:space="preserve">as it remains unclear how </w:t>
      </w:r>
      <w:r w:rsidR="0068506F" w:rsidRPr="00051B46">
        <w:rPr>
          <w:rFonts w:ascii="Arial" w:hAnsi="Arial" w:cs="Arial"/>
        </w:rPr>
        <w:t xml:space="preserve">the </w:t>
      </w:r>
      <w:r w:rsidRPr="00051B46">
        <w:rPr>
          <w:rFonts w:ascii="Arial" w:hAnsi="Arial" w:cs="Arial"/>
        </w:rPr>
        <w:t xml:space="preserve">presence of a given mutation </w:t>
      </w:r>
      <w:r w:rsidR="0068506F" w:rsidRPr="00051B46">
        <w:rPr>
          <w:rFonts w:ascii="Arial" w:hAnsi="Arial" w:cs="Arial"/>
        </w:rPr>
        <w:t>sh</w:t>
      </w:r>
      <w:r w:rsidRPr="00051B46">
        <w:rPr>
          <w:rFonts w:ascii="Arial" w:hAnsi="Arial" w:cs="Arial"/>
        </w:rPr>
        <w:t>ould modify</w:t>
      </w:r>
      <w:r w:rsidR="0068506F" w:rsidRPr="00051B46">
        <w:rPr>
          <w:rFonts w:ascii="Arial" w:hAnsi="Arial" w:cs="Arial"/>
        </w:rPr>
        <w:t xml:space="preserve"> </w:t>
      </w:r>
      <w:r w:rsidRPr="00051B46">
        <w:rPr>
          <w:rFonts w:ascii="Arial" w:hAnsi="Arial" w:cs="Arial"/>
        </w:rPr>
        <w:t>current management of NASH (9</w:t>
      </w:r>
      <w:r w:rsidR="0068506F" w:rsidRPr="00051B46">
        <w:rPr>
          <w:rFonts w:ascii="Arial" w:hAnsi="Arial" w:cs="Arial"/>
        </w:rPr>
        <w:t>2</w:t>
      </w:r>
      <w:r w:rsidRPr="00051B46">
        <w:rPr>
          <w:rFonts w:ascii="Arial" w:hAnsi="Arial" w:cs="Arial"/>
        </w:rPr>
        <w:t xml:space="preserve">). </w:t>
      </w:r>
    </w:p>
    <w:p w14:paraId="64452685" w14:textId="77777777" w:rsidR="000D5DA4" w:rsidRPr="00051B46" w:rsidRDefault="000D5DA4" w:rsidP="002506B3">
      <w:pPr>
        <w:spacing w:after="0" w:line="276" w:lineRule="auto"/>
        <w:rPr>
          <w:rFonts w:ascii="Arial" w:hAnsi="Arial" w:cs="Arial"/>
        </w:rPr>
      </w:pPr>
    </w:p>
    <w:p w14:paraId="1112944C" w14:textId="11EEB179" w:rsidR="00C47A6B" w:rsidRPr="00051B46" w:rsidRDefault="00726706" w:rsidP="007B24CC">
      <w:pPr>
        <w:pStyle w:val="ListParagraph"/>
        <w:spacing w:line="276" w:lineRule="auto"/>
        <w:ind w:left="0"/>
        <w:rPr>
          <w:rFonts w:ascii="Arial" w:hAnsi="Arial" w:cs="Arial"/>
          <w:b/>
          <w:bCs/>
          <w:sz w:val="22"/>
          <w:szCs w:val="22"/>
        </w:rPr>
      </w:pPr>
      <w:r w:rsidRPr="00051B46">
        <w:rPr>
          <w:rFonts w:ascii="Arial" w:hAnsi="Arial" w:cs="Arial"/>
          <w:b/>
          <w:bCs/>
          <w:sz w:val="22"/>
          <w:szCs w:val="22"/>
        </w:rPr>
        <w:t xml:space="preserve">Development of </w:t>
      </w:r>
      <w:r w:rsidR="007B24CC" w:rsidRPr="00051B46">
        <w:rPr>
          <w:rFonts w:ascii="Arial" w:hAnsi="Arial" w:cs="Arial"/>
          <w:b/>
          <w:bCs/>
          <w:sz w:val="22"/>
          <w:szCs w:val="22"/>
        </w:rPr>
        <w:t>H</w:t>
      </w:r>
      <w:r w:rsidR="0012437F" w:rsidRPr="00051B46">
        <w:rPr>
          <w:rFonts w:ascii="Arial" w:hAnsi="Arial" w:cs="Arial"/>
          <w:b/>
          <w:bCs/>
          <w:sz w:val="22"/>
          <w:szCs w:val="22"/>
        </w:rPr>
        <w:t xml:space="preserve">epatocyte </w:t>
      </w:r>
      <w:r w:rsidR="007B24CC" w:rsidRPr="00051B46">
        <w:rPr>
          <w:rFonts w:ascii="Arial" w:hAnsi="Arial" w:cs="Arial"/>
          <w:b/>
          <w:bCs/>
          <w:sz w:val="22"/>
          <w:szCs w:val="22"/>
        </w:rPr>
        <w:t>I</w:t>
      </w:r>
      <w:r w:rsidR="0012437F" w:rsidRPr="00051B46">
        <w:rPr>
          <w:rFonts w:ascii="Arial" w:hAnsi="Arial" w:cs="Arial"/>
          <w:b/>
          <w:bCs/>
          <w:sz w:val="22"/>
          <w:szCs w:val="22"/>
        </w:rPr>
        <w:t xml:space="preserve">njury and </w:t>
      </w:r>
      <w:r w:rsidR="007B24CC" w:rsidRPr="00051B46">
        <w:rPr>
          <w:rFonts w:ascii="Arial" w:hAnsi="Arial" w:cs="Arial"/>
          <w:b/>
          <w:bCs/>
          <w:sz w:val="22"/>
          <w:szCs w:val="22"/>
        </w:rPr>
        <w:t>S</w:t>
      </w:r>
      <w:r w:rsidR="0012437F" w:rsidRPr="00051B46">
        <w:rPr>
          <w:rFonts w:ascii="Arial" w:hAnsi="Arial" w:cs="Arial"/>
          <w:b/>
          <w:bCs/>
          <w:sz w:val="22"/>
          <w:szCs w:val="22"/>
        </w:rPr>
        <w:t>teatohepatitis</w:t>
      </w:r>
      <w:r w:rsidR="00DF387C" w:rsidRPr="00051B46">
        <w:rPr>
          <w:rFonts w:ascii="Arial" w:hAnsi="Arial" w:cs="Arial"/>
          <w:b/>
          <w:bCs/>
          <w:sz w:val="22"/>
          <w:szCs w:val="22"/>
        </w:rPr>
        <w:t xml:space="preserve">: </w:t>
      </w:r>
      <w:r w:rsidR="007B24CC" w:rsidRPr="00051B46">
        <w:rPr>
          <w:rFonts w:ascii="Arial" w:hAnsi="Arial" w:cs="Arial"/>
          <w:b/>
          <w:bCs/>
          <w:sz w:val="22"/>
          <w:szCs w:val="22"/>
        </w:rPr>
        <w:t>R</w:t>
      </w:r>
      <w:r w:rsidR="00DF387C" w:rsidRPr="00051B46">
        <w:rPr>
          <w:rFonts w:ascii="Arial" w:hAnsi="Arial" w:cs="Arial"/>
          <w:b/>
          <w:bCs/>
          <w:sz w:val="22"/>
          <w:szCs w:val="22"/>
        </w:rPr>
        <w:t xml:space="preserve">ole of </w:t>
      </w:r>
      <w:r w:rsidR="007B24CC" w:rsidRPr="00051B46">
        <w:rPr>
          <w:rFonts w:ascii="Arial" w:hAnsi="Arial" w:cs="Arial"/>
          <w:b/>
          <w:bCs/>
          <w:sz w:val="22"/>
          <w:szCs w:val="22"/>
        </w:rPr>
        <w:t>M</w:t>
      </w:r>
      <w:r w:rsidR="00DF387C" w:rsidRPr="00051B46">
        <w:rPr>
          <w:rFonts w:ascii="Arial" w:hAnsi="Arial" w:cs="Arial"/>
          <w:b/>
          <w:bCs/>
          <w:sz w:val="22"/>
          <w:szCs w:val="22"/>
        </w:rPr>
        <w:t xml:space="preserve">itochondrial </w:t>
      </w:r>
      <w:r w:rsidR="007B24CC" w:rsidRPr="00051B46">
        <w:rPr>
          <w:rFonts w:ascii="Arial" w:hAnsi="Arial" w:cs="Arial"/>
          <w:b/>
          <w:bCs/>
          <w:sz w:val="22"/>
          <w:szCs w:val="22"/>
        </w:rPr>
        <w:t>D</w:t>
      </w:r>
      <w:r w:rsidR="00DF387C" w:rsidRPr="00051B46">
        <w:rPr>
          <w:rFonts w:ascii="Arial" w:hAnsi="Arial" w:cs="Arial"/>
          <w:b/>
          <w:bCs/>
          <w:sz w:val="22"/>
          <w:szCs w:val="22"/>
        </w:rPr>
        <w:t>ysfunction</w:t>
      </w:r>
    </w:p>
    <w:p w14:paraId="2FC9EC72" w14:textId="77777777" w:rsidR="00C73420" w:rsidRPr="00051B46" w:rsidRDefault="00C73420" w:rsidP="002506B3">
      <w:pPr>
        <w:spacing w:after="0" w:line="276" w:lineRule="auto"/>
        <w:rPr>
          <w:rFonts w:ascii="Arial" w:hAnsi="Arial" w:cs="Arial"/>
        </w:rPr>
      </w:pPr>
    </w:p>
    <w:p w14:paraId="65F38CA8" w14:textId="0D1B3B2A" w:rsidR="00C47A6B" w:rsidRPr="00051B46" w:rsidRDefault="00202978" w:rsidP="002506B3">
      <w:pPr>
        <w:spacing w:after="0" w:line="276" w:lineRule="auto"/>
        <w:rPr>
          <w:rFonts w:ascii="Arial" w:hAnsi="Arial" w:cs="Arial"/>
        </w:rPr>
      </w:pPr>
      <w:r w:rsidRPr="00051B46">
        <w:rPr>
          <w:rFonts w:ascii="Arial" w:hAnsi="Arial" w:cs="Arial"/>
        </w:rPr>
        <w:t>It should be emphasized that the mechanisms leading to steatohepatitis in humans remain unknown</w:t>
      </w:r>
      <w:r w:rsidR="000D5DA4" w:rsidRPr="00051B46">
        <w:rPr>
          <w:rFonts w:ascii="Arial" w:hAnsi="Arial" w:cs="Arial"/>
        </w:rPr>
        <w:t xml:space="preserve">. With limited exceptions </w:t>
      </w:r>
      <w:r w:rsidR="0060681B" w:rsidRPr="00051B46">
        <w:rPr>
          <w:rFonts w:ascii="Arial" w:hAnsi="Arial" w:cs="Arial"/>
        </w:rPr>
        <w:t xml:space="preserve">that point to subtle defects in mitochondrial function in the liver of subjects with NAFLD and/or T2DM </w:t>
      </w:r>
      <w:r w:rsidR="000D5DA4" w:rsidRPr="00051B46">
        <w:rPr>
          <w:rFonts w:ascii="Arial" w:hAnsi="Arial" w:cs="Arial"/>
        </w:rPr>
        <w:t xml:space="preserve">(reviewed in ref. 71), almost all of the </w:t>
      </w:r>
      <w:r w:rsidR="0060681B" w:rsidRPr="00051B46">
        <w:rPr>
          <w:rFonts w:ascii="Arial" w:hAnsi="Arial" w:cs="Arial"/>
        </w:rPr>
        <w:t xml:space="preserve">available </w:t>
      </w:r>
      <w:r w:rsidR="000D5DA4" w:rsidRPr="00051B46">
        <w:rPr>
          <w:rFonts w:ascii="Arial" w:hAnsi="Arial" w:cs="Arial"/>
        </w:rPr>
        <w:t>information has been</w:t>
      </w:r>
      <w:r w:rsidRPr="00051B46">
        <w:rPr>
          <w:rFonts w:ascii="Arial" w:hAnsi="Arial" w:cs="Arial"/>
        </w:rPr>
        <w:t xml:space="preserve"> extrapolated from cell culture</w:t>
      </w:r>
      <w:r w:rsidR="000D5DA4" w:rsidRPr="00051B46">
        <w:rPr>
          <w:rFonts w:ascii="Arial" w:hAnsi="Arial" w:cs="Arial"/>
        </w:rPr>
        <w:t xml:space="preserve"> studies</w:t>
      </w:r>
      <w:r w:rsidRPr="00051B46">
        <w:rPr>
          <w:rFonts w:ascii="Arial" w:hAnsi="Arial" w:cs="Arial"/>
        </w:rPr>
        <w:t xml:space="preserve"> </w:t>
      </w:r>
      <w:r w:rsidR="0060681B" w:rsidRPr="00051B46">
        <w:rPr>
          <w:rFonts w:ascii="Arial" w:hAnsi="Arial" w:cs="Arial"/>
        </w:rPr>
        <w:t>or</w:t>
      </w:r>
      <w:r w:rsidRPr="00051B46">
        <w:rPr>
          <w:rFonts w:ascii="Arial" w:hAnsi="Arial" w:cs="Arial"/>
        </w:rPr>
        <w:t xml:space="preserve"> animal models of NASH. </w:t>
      </w:r>
      <w:r w:rsidR="00715A59" w:rsidRPr="00051B46">
        <w:rPr>
          <w:rFonts w:ascii="Arial" w:hAnsi="Arial" w:cs="Arial"/>
        </w:rPr>
        <w:t xml:space="preserve"> It is also unclear if NASH is always heralded by isolated steatosis</w:t>
      </w:r>
      <w:r w:rsidR="0060681B" w:rsidRPr="00051B46">
        <w:rPr>
          <w:rFonts w:ascii="Arial" w:hAnsi="Arial" w:cs="Arial"/>
        </w:rPr>
        <w:t xml:space="preserve">, </w:t>
      </w:r>
      <w:r w:rsidR="00715A59" w:rsidRPr="00051B46">
        <w:rPr>
          <w:rFonts w:ascii="Arial" w:hAnsi="Arial" w:cs="Arial"/>
        </w:rPr>
        <w:t xml:space="preserve">and </w:t>
      </w:r>
      <w:r w:rsidR="0060681B" w:rsidRPr="00051B46">
        <w:rPr>
          <w:rFonts w:ascii="Arial" w:hAnsi="Arial" w:cs="Arial"/>
        </w:rPr>
        <w:t xml:space="preserve">what are </w:t>
      </w:r>
      <w:r w:rsidR="00715A59" w:rsidRPr="00051B46">
        <w:rPr>
          <w:rFonts w:ascii="Arial" w:hAnsi="Arial" w:cs="Arial"/>
        </w:rPr>
        <w:t>the drivers of disease</w:t>
      </w:r>
      <w:r w:rsidR="0060681B" w:rsidRPr="00051B46">
        <w:rPr>
          <w:rFonts w:ascii="Arial" w:hAnsi="Arial" w:cs="Arial"/>
        </w:rPr>
        <w:t>.  While there is an increasing recognition that NASH is an</w:t>
      </w:r>
      <w:r w:rsidR="00715A59" w:rsidRPr="00051B46">
        <w:rPr>
          <w:rFonts w:ascii="Arial" w:hAnsi="Arial" w:cs="Arial"/>
        </w:rPr>
        <w:t xml:space="preserve"> heterogeneous</w:t>
      </w:r>
      <w:r w:rsidR="0060681B" w:rsidRPr="00051B46">
        <w:rPr>
          <w:rFonts w:ascii="Arial" w:hAnsi="Arial" w:cs="Arial"/>
        </w:rPr>
        <w:t xml:space="preserve"> disease affecting obese and non-obese individuals</w:t>
      </w:r>
      <w:r w:rsidR="00DB477B" w:rsidRPr="00051B46">
        <w:rPr>
          <w:rFonts w:ascii="Arial" w:hAnsi="Arial" w:cs="Arial"/>
        </w:rPr>
        <w:t xml:space="preserve">, </w:t>
      </w:r>
      <w:r w:rsidR="0060681B" w:rsidRPr="00051B46">
        <w:rPr>
          <w:rFonts w:ascii="Arial" w:hAnsi="Arial" w:cs="Arial"/>
        </w:rPr>
        <w:t>disease progression is</w:t>
      </w:r>
      <w:r w:rsidR="00DB477B" w:rsidRPr="00051B46">
        <w:rPr>
          <w:rFonts w:ascii="Arial" w:hAnsi="Arial" w:cs="Arial"/>
        </w:rPr>
        <w:t xml:space="preserve"> often with </w:t>
      </w:r>
      <w:r w:rsidR="0060681B" w:rsidRPr="00051B46">
        <w:rPr>
          <w:rFonts w:ascii="Arial" w:hAnsi="Arial" w:cs="Arial"/>
        </w:rPr>
        <w:t xml:space="preserve">associated with </w:t>
      </w:r>
      <w:r w:rsidR="00DB477B" w:rsidRPr="00051B46">
        <w:rPr>
          <w:rFonts w:ascii="Arial" w:hAnsi="Arial" w:cs="Arial"/>
        </w:rPr>
        <w:t xml:space="preserve">obesity/weight gain and T2DM. </w:t>
      </w:r>
      <w:r w:rsidR="0060681B" w:rsidRPr="00051B46">
        <w:rPr>
          <w:rFonts w:ascii="Arial" w:hAnsi="Arial" w:cs="Arial"/>
        </w:rPr>
        <w:t>Obvious limitation</w:t>
      </w:r>
      <w:r w:rsidR="007B24CC" w:rsidRPr="00051B46">
        <w:rPr>
          <w:rFonts w:ascii="Arial" w:hAnsi="Arial" w:cs="Arial"/>
        </w:rPr>
        <w:t>s</w:t>
      </w:r>
      <w:r w:rsidR="0060681B" w:rsidRPr="00051B46">
        <w:rPr>
          <w:rFonts w:ascii="Arial" w:hAnsi="Arial" w:cs="Arial"/>
        </w:rPr>
        <w:t xml:space="preserve"> in</w:t>
      </w:r>
      <w:r w:rsidR="00512881" w:rsidRPr="00051B46">
        <w:rPr>
          <w:rFonts w:ascii="Arial" w:hAnsi="Arial" w:cs="Arial"/>
        </w:rPr>
        <w:t xml:space="preserve"> obtaining sufficient</w:t>
      </w:r>
      <w:r w:rsidR="0060681B" w:rsidRPr="00051B46">
        <w:rPr>
          <w:rFonts w:ascii="Arial" w:hAnsi="Arial" w:cs="Arial"/>
        </w:rPr>
        <w:t xml:space="preserve"> liver</w:t>
      </w:r>
      <w:r w:rsidR="00512881" w:rsidRPr="00051B46">
        <w:rPr>
          <w:rFonts w:ascii="Arial" w:hAnsi="Arial" w:cs="Arial"/>
        </w:rPr>
        <w:t xml:space="preserve"> tissue</w:t>
      </w:r>
      <w:r w:rsidR="0060681B" w:rsidRPr="00051B46">
        <w:rPr>
          <w:rFonts w:ascii="Arial" w:hAnsi="Arial" w:cs="Arial"/>
        </w:rPr>
        <w:t xml:space="preserve"> for molecular studies,</w:t>
      </w:r>
      <w:r w:rsidR="00512881" w:rsidRPr="00051B46">
        <w:rPr>
          <w:rFonts w:ascii="Arial" w:hAnsi="Arial" w:cs="Arial"/>
        </w:rPr>
        <w:t xml:space="preserve"> </w:t>
      </w:r>
      <w:r w:rsidR="000D5DA4" w:rsidRPr="00051B46">
        <w:rPr>
          <w:rFonts w:ascii="Arial" w:hAnsi="Arial" w:cs="Arial"/>
        </w:rPr>
        <w:t>a</w:t>
      </w:r>
      <w:r w:rsidR="00512881" w:rsidRPr="00051B46">
        <w:rPr>
          <w:rFonts w:ascii="Arial" w:hAnsi="Arial" w:cs="Arial"/>
        </w:rPr>
        <w:t>s well as</w:t>
      </w:r>
      <w:r w:rsidR="000D5DA4" w:rsidRPr="00051B46">
        <w:rPr>
          <w:rFonts w:ascii="Arial" w:hAnsi="Arial" w:cs="Arial"/>
        </w:rPr>
        <w:t xml:space="preserve"> ethical challenges </w:t>
      </w:r>
      <w:r w:rsidR="00512881" w:rsidRPr="00051B46">
        <w:rPr>
          <w:rFonts w:ascii="Arial" w:hAnsi="Arial" w:cs="Arial"/>
        </w:rPr>
        <w:t>for</w:t>
      </w:r>
      <w:r w:rsidR="000D5DA4" w:rsidRPr="00051B46">
        <w:rPr>
          <w:rFonts w:ascii="Arial" w:hAnsi="Arial" w:cs="Arial"/>
        </w:rPr>
        <w:t xml:space="preserve"> performing </w:t>
      </w:r>
      <w:r w:rsidRPr="00051B46">
        <w:rPr>
          <w:rFonts w:ascii="Arial" w:hAnsi="Arial" w:cs="Arial"/>
        </w:rPr>
        <w:t xml:space="preserve">paired </w:t>
      </w:r>
      <w:r w:rsidR="000D5DA4" w:rsidRPr="00051B46">
        <w:rPr>
          <w:rFonts w:ascii="Arial" w:hAnsi="Arial" w:cs="Arial"/>
        </w:rPr>
        <w:t xml:space="preserve">liver </w:t>
      </w:r>
      <w:r w:rsidRPr="00051B46">
        <w:rPr>
          <w:rFonts w:ascii="Arial" w:hAnsi="Arial" w:cs="Arial"/>
        </w:rPr>
        <w:t xml:space="preserve">biopsies before and after </w:t>
      </w:r>
      <w:r w:rsidR="000D5DA4" w:rsidRPr="00051B46">
        <w:rPr>
          <w:rFonts w:ascii="Arial" w:hAnsi="Arial" w:cs="Arial"/>
        </w:rPr>
        <w:t xml:space="preserve">a given </w:t>
      </w:r>
      <w:r w:rsidRPr="00051B46">
        <w:rPr>
          <w:rFonts w:ascii="Arial" w:hAnsi="Arial" w:cs="Arial"/>
        </w:rPr>
        <w:t>intervention</w:t>
      </w:r>
      <w:r w:rsidR="000D5DA4" w:rsidRPr="00051B46">
        <w:rPr>
          <w:rFonts w:ascii="Arial" w:hAnsi="Arial" w:cs="Arial"/>
        </w:rPr>
        <w:t>,</w:t>
      </w:r>
      <w:r w:rsidRPr="00051B46">
        <w:rPr>
          <w:rFonts w:ascii="Arial" w:hAnsi="Arial" w:cs="Arial"/>
        </w:rPr>
        <w:t xml:space="preserve"> ha</w:t>
      </w:r>
      <w:r w:rsidR="000D5DA4" w:rsidRPr="00051B46">
        <w:rPr>
          <w:rFonts w:ascii="Arial" w:hAnsi="Arial" w:cs="Arial"/>
        </w:rPr>
        <w:t>ve</w:t>
      </w:r>
      <w:r w:rsidRPr="00051B46">
        <w:rPr>
          <w:rFonts w:ascii="Arial" w:hAnsi="Arial" w:cs="Arial"/>
        </w:rPr>
        <w:t xml:space="preserve"> greatly hampered our ability to make significant progress in </w:t>
      </w:r>
      <w:r w:rsidR="000D5DA4" w:rsidRPr="00051B46">
        <w:rPr>
          <w:rFonts w:ascii="Arial" w:hAnsi="Arial" w:cs="Arial"/>
        </w:rPr>
        <w:t>understanding the pathogenesis of NASH in humans</w:t>
      </w:r>
      <w:r w:rsidRPr="00051B46">
        <w:rPr>
          <w:rFonts w:ascii="Arial" w:hAnsi="Arial" w:cs="Arial"/>
        </w:rPr>
        <w:t xml:space="preserve">.  However, </w:t>
      </w:r>
      <w:r w:rsidR="00DF387C" w:rsidRPr="00051B46">
        <w:rPr>
          <w:rFonts w:ascii="Arial" w:hAnsi="Arial" w:cs="Arial"/>
        </w:rPr>
        <w:t xml:space="preserve">factors associated with </w:t>
      </w:r>
      <w:r w:rsidR="007E50C2" w:rsidRPr="00051B46">
        <w:rPr>
          <w:rFonts w:ascii="Arial" w:hAnsi="Arial" w:cs="Arial"/>
        </w:rPr>
        <w:t xml:space="preserve">overnutrition and </w:t>
      </w:r>
      <w:r w:rsidR="00512881" w:rsidRPr="00051B46">
        <w:rPr>
          <w:rFonts w:ascii="Arial" w:hAnsi="Arial" w:cs="Arial"/>
        </w:rPr>
        <w:t xml:space="preserve">insulin resistance </w:t>
      </w:r>
      <w:r w:rsidRPr="00051B46">
        <w:rPr>
          <w:rFonts w:ascii="Arial" w:hAnsi="Arial" w:cs="Arial"/>
        </w:rPr>
        <w:t>likely p</w:t>
      </w:r>
      <w:r w:rsidR="000D5DA4" w:rsidRPr="00051B46">
        <w:rPr>
          <w:rFonts w:ascii="Arial" w:hAnsi="Arial" w:cs="Arial"/>
        </w:rPr>
        <w:t>la</w:t>
      </w:r>
      <w:r w:rsidRPr="00051B46">
        <w:rPr>
          <w:rFonts w:ascii="Arial" w:hAnsi="Arial" w:cs="Arial"/>
        </w:rPr>
        <w:t xml:space="preserve">y a role </w:t>
      </w:r>
      <w:r w:rsidR="00C47A6B" w:rsidRPr="00051B46">
        <w:rPr>
          <w:rFonts w:ascii="Arial" w:hAnsi="Arial" w:cs="Arial"/>
        </w:rPr>
        <w:t xml:space="preserve">in </w:t>
      </w:r>
      <w:r w:rsidR="00512881" w:rsidRPr="00051B46">
        <w:rPr>
          <w:rFonts w:ascii="Arial" w:hAnsi="Arial" w:cs="Arial"/>
        </w:rPr>
        <w:t xml:space="preserve">the </w:t>
      </w:r>
      <w:r w:rsidRPr="00051B46">
        <w:rPr>
          <w:rFonts w:ascii="Arial" w:hAnsi="Arial" w:cs="Arial"/>
        </w:rPr>
        <w:t>mal</w:t>
      </w:r>
      <w:r w:rsidR="00C47A6B" w:rsidRPr="00051B46">
        <w:rPr>
          <w:rFonts w:ascii="Arial" w:hAnsi="Arial" w:cs="Arial"/>
        </w:rPr>
        <w:t>adaptation</w:t>
      </w:r>
      <w:r w:rsidR="00512881" w:rsidRPr="00051B46">
        <w:rPr>
          <w:rFonts w:ascii="Arial" w:hAnsi="Arial" w:cs="Arial"/>
        </w:rPr>
        <w:t xml:space="preserve"> of</w:t>
      </w:r>
      <w:r w:rsidR="00C47A6B" w:rsidRPr="00051B46">
        <w:rPr>
          <w:rFonts w:ascii="Arial" w:hAnsi="Arial" w:cs="Arial"/>
        </w:rPr>
        <w:t xml:space="preserve"> mitochondrial oxidative function</w:t>
      </w:r>
      <w:r w:rsidR="00DF387C" w:rsidRPr="00051B46">
        <w:rPr>
          <w:rFonts w:ascii="Arial" w:hAnsi="Arial" w:cs="Arial"/>
        </w:rPr>
        <w:t xml:space="preserve"> </w:t>
      </w:r>
      <w:r w:rsidR="007E50C2" w:rsidRPr="00051B46">
        <w:rPr>
          <w:rFonts w:ascii="Arial" w:hAnsi="Arial" w:cs="Arial"/>
        </w:rPr>
        <w:t>that leads</w:t>
      </w:r>
      <w:r w:rsidR="00DF387C" w:rsidRPr="00051B46">
        <w:rPr>
          <w:rFonts w:ascii="Arial" w:hAnsi="Arial" w:cs="Arial"/>
        </w:rPr>
        <w:t xml:space="preserve"> to inefficient oxidative flux, accumulation of lipotoxic intermediates</w:t>
      </w:r>
      <w:r w:rsidR="00C73420" w:rsidRPr="00051B46">
        <w:rPr>
          <w:rFonts w:ascii="Arial" w:hAnsi="Arial" w:cs="Arial"/>
        </w:rPr>
        <w:t xml:space="preserve"> </w:t>
      </w:r>
      <w:r w:rsidR="00DF387C" w:rsidRPr="00051B46">
        <w:rPr>
          <w:rFonts w:ascii="Arial" w:hAnsi="Arial" w:cs="Arial"/>
        </w:rPr>
        <w:t>and the progression from isolated steatosis to NASH</w:t>
      </w:r>
      <w:r w:rsidR="00512881" w:rsidRPr="00051B46">
        <w:rPr>
          <w:rFonts w:ascii="Arial" w:hAnsi="Arial" w:cs="Arial"/>
        </w:rPr>
        <w:t xml:space="preserve"> </w:t>
      </w:r>
      <w:r w:rsidR="00C73420" w:rsidRPr="00051B46">
        <w:rPr>
          <w:rFonts w:ascii="Arial" w:hAnsi="Arial" w:cs="Arial"/>
        </w:rPr>
        <w:t>(</w:t>
      </w:r>
      <w:r w:rsidR="00054635" w:rsidRPr="00051B46">
        <w:rPr>
          <w:rFonts w:ascii="Arial" w:hAnsi="Arial" w:cs="Arial"/>
        </w:rPr>
        <w:t>71,</w:t>
      </w:r>
      <w:r w:rsidR="00725AD6" w:rsidRPr="00051B46">
        <w:rPr>
          <w:rFonts w:ascii="Arial" w:hAnsi="Arial" w:cs="Arial"/>
        </w:rPr>
        <w:t>93</w:t>
      </w:r>
      <w:r w:rsidR="00C73420" w:rsidRPr="00051B46">
        <w:rPr>
          <w:rFonts w:ascii="Arial" w:hAnsi="Arial" w:cs="Arial"/>
        </w:rPr>
        <w:t>)</w:t>
      </w:r>
      <w:r w:rsidR="00B74CD6" w:rsidRPr="00051B46">
        <w:rPr>
          <w:rFonts w:ascii="Arial" w:hAnsi="Arial" w:cs="Arial"/>
        </w:rPr>
        <w:t>.</w:t>
      </w:r>
      <w:r w:rsidR="00BF62D9" w:rsidRPr="00051B46">
        <w:rPr>
          <w:rFonts w:ascii="Arial" w:hAnsi="Arial" w:cs="Arial"/>
        </w:rPr>
        <w:t xml:space="preserve"> </w:t>
      </w:r>
      <w:r w:rsidR="00DB477B" w:rsidRPr="00051B46">
        <w:rPr>
          <w:rFonts w:ascii="Arial" w:hAnsi="Arial" w:cs="Arial"/>
        </w:rPr>
        <w:t xml:space="preserve">As mentioned above, genetic factors </w:t>
      </w:r>
      <w:r w:rsidR="007E50C2" w:rsidRPr="00051B46">
        <w:rPr>
          <w:rFonts w:ascii="Arial" w:hAnsi="Arial" w:cs="Arial"/>
        </w:rPr>
        <w:t xml:space="preserve">may also </w:t>
      </w:r>
      <w:r w:rsidR="00DB477B" w:rsidRPr="00051B46">
        <w:rPr>
          <w:rFonts w:ascii="Arial" w:hAnsi="Arial" w:cs="Arial"/>
        </w:rPr>
        <w:t xml:space="preserve">regulate lipid droplet accumulation that may </w:t>
      </w:r>
      <w:r w:rsidR="007E50C2" w:rsidRPr="00051B46">
        <w:rPr>
          <w:rFonts w:ascii="Arial" w:hAnsi="Arial" w:cs="Arial"/>
        </w:rPr>
        <w:t>exacerbate</w:t>
      </w:r>
      <w:r w:rsidR="00DB477B" w:rsidRPr="00051B46">
        <w:rPr>
          <w:rFonts w:ascii="Arial" w:hAnsi="Arial" w:cs="Arial"/>
        </w:rPr>
        <w:t xml:space="preserve"> disease progression.  </w:t>
      </w:r>
      <w:r w:rsidR="007E50C2" w:rsidRPr="00051B46">
        <w:rPr>
          <w:rFonts w:ascii="Arial" w:hAnsi="Arial" w:cs="Arial"/>
        </w:rPr>
        <w:t>Many other</w:t>
      </w:r>
      <w:r w:rsidR="00DB477B" w:rsidRPr="00051B46">
        <w:rPr>
          <w:rFonts w:ascii="Arial" w:hAnsi="Arial" w:cs="Arial"/>
        </w:rPr>
        <w:t xml:space="preserve"> trigger factors associated with </w:t>
      </w:r>
      <w:r w:rsidR="00725AD6" w:rsidRPr="00051B46">
        <w:rPr>
          <w:rFonts w:ascii="Arial" w:hAnsi="Arial" w:cs="Arial"/>
        </w:rPr>
        <w:t>endoplasmic reticulum (</w:t>
      </w:r>
      <w:r w:rsidR="00DB477B" w:rsidRPr="00051B46">
        <w:rPr>
          <w:rFonts w:ascii="Arial" w:hAnsi="Arial" w:cs="Arial"/>
        </w:rPr>
        <w:t>ER</w:t>
      </w:r>
      <w:r w:rsidR="00725AD6" w:rsidRPr="00051B46">
        <w:rPr>
          <w:rFonts w:ascii="Arial" w:hAnsi="Arial" w:cs="Arial"/>
        </w:rPr>
        <w:t>)</w:t>
      </w:r>
      <w:r w:rsidR="00DB477B" w:rsidRPr="00051B46">
        <w:rPr>
          <w:rFonts w:ascii="Arial" w:hAnsi="Arial" w:cs="Arial"/>
        </w:rPr>
        <w:t xml:space="preserve"> stress, oxidative stress and inflammasome activation</w:t>
      </w:r>
      <w:r w:rsidR="007E50C2" w:rsidRPr="00051B46">
        <w:rPr>
          <w:rFonts w:ascii="Arial" w:hAnsi="Arial" w:cs="Arial"/>
        </w:rPr>
        <w:t xml:space="preserve"> have been described</w:t>
      </w:r>
      <w:r w:rsidR="00DB477B" w:rsidRPr="00051B46">
        <w:rPr>
          <w:rFonts w:ascii="Arial" w:hAnsi="Arial" w:cs="Arial"/>
        </w:rPr>
        <w:t>.  However, the exact temporal relationship and sequence of events remains elusive.</w:t>
      </w:r>
    </w:p>
    <w:p w14:paraId="2C6A24ED" w14:textId="77777777" w:rsidR="00C73420" w:rsidRPr="00051B46" w:rsidRDefault="00C73420" w:rsidP="002506B3">
      <w:pPr>
        <w:spacing w:after="0" w:line="276" w:lineRule="auto"/>
        <w:rPr>
          <w:rFonts w:ascii="Arial" w:hAnsi="Arial" w:cs="Arial"/>
        </w:rPr>
      </w:pPr>
    </w:p>
    <w:p w14:paraId="5EF8AB05" w14:textId="4C903A65" w:rsidR="00143CA7" w:rsidRPr="00051B46" w:rsidRDefault="00C47A6B" w:rsidP="002506B3">
      <w:pPr>
        <w:spacing w:after="0" w:line="276" w:lineRule="auto"/>
        <w:rPr>
          <w:rFonts w:ascii="Arial" w:hAnsi="Arial" w:cs="Arial"/>
        </w:rPr>
      </w:pPr>
      <w:r w:rsidRPr="00051B46">
        <w:rPr>
          <w:rFonts w:ascii="Arial" w:hAnsi="Arial" w:cs="Arial"/>
        </w:rPr>
        <w:t xml:space="preserve">Normally, there is a close regulation between </w:t>
      </w:r>
      <w:r w:rsidR="005561C7" w:rsidRPr="00051B46">
        <w:rPr>
          <w:rFonts w:ascii="Arial" w:hAnsi="Arial" w:cs="Arial"/>
        </w:rPr>
        <w:t>b</w:t>
      </w:r>
      <w:r w:rsidRPr="00051B46">
        <w:rPr>
          <w:rFonts w:ascii="Arial" w:hAnsi="Arial" w:cs="Arial"/>
        </w:rPr>
        <w:t>eta-oxidation, hepatic tricarboxylic acid (TCA) cycle</w:t>
      </w:r>
      <w:r w:rsidR="005561C7" w:rsidRPr="00051B46">
        <w:rPr>
          <w:rFonts w:ascii="Arial" w:hAnsi="Arial" w:cs="Arial"/>
        </w:rPr>
        <w:t xml:space="preserve"> activity</w:t>
      </w:r>
      <w:r w:rsidRPr="00051B46">
        <w:rPr>
          <w:rFonts w:ascii="Arial" w:hAnsi="Arial" w:cs="Arial"/>
        </w:rPr>
        <w:t xml:space="preserve">, ketogenesis and ATP synthesis. Normally, FFAs influx is </w:t>
      </w:r>
      <w:r w:rsidR="005561C7" w:rsidRPr="00051B46">
        <w:rPr>
          <w:rFonts w:ascii="Arial" w:hAnsi="Arial" w:cs="Arial"/>
        </w:rPr>
        <w:t xml:space="preserve">efficiently </w:t>
      </w:r>
      <w:r w:rsidRPr="00051B46">
        <w:rPr>
          <w:rFonts w:ascii="Arial" w:hAnsi="Arial" w:cs="Arial"/>
        </w:rPr>
        <w:t>dealt through beta-oxidation. However, in states of chronic overfeeding, beta</w:t>
      </w:r>
      <w:r w:rsidR="005561C7" w:rsidRPr="00051B46">
        <w:rPr>
          <w:rFonts w:ascii="Arial" w:hAnsi="Arial" w:cs="Arial"/>
        </w:rPr>
        <w:t>-</w:t>
      </w:r>
      <w:r w:rsidRPr="00051B46">
        <w:rPr>
          <w:rFonts w:ascii="Arial" w:hAnsi="Arial" w:cs="Arial"/>
        </w:rPr>
        <w:t xml:space="preserve">oxidation can </w:t>
      </w:r>
      <w:r w:rsidR="005561C7" w:rsidRPr="00051B46">
        <w:rPr>
          <w:rFonts w:ascii="Arial" w:hAnsi="Arial" w:cs="Arial"/>
        </w:rPr>
        <w:t xml:space="preserve">over time </w:t>
      </w:r>
      <w:r w:rsidRPr="00051B46">
        <w:rPr>
          <w:rFonts w:ascii="Arial" w:hAnsi="Arial" w:cs="Arial"/>
        </w:rPr>
        <w:t>become</w:t>
      </w:r>
      <w:r w:rsidR="005561C7" w:rsidRPr="00051B46">
        <w:rPr>
          <w:rFonts w:ascii="Arial" w:hAnsi="Arial" w:cs="Arial"/>
        </w:rPr>
        <w:t xml:space="preserve"> relatively</w:t>
      </w:r>
      <w:r w:rsidRPr="00051B46">
        <w:rPr>
          <w:rFonts w:ascii="Arial" w:hAnsi="Arial" w:cs="Arial"/>
        </w:rPr>
        <w:t xml:space="preserve"> ineffective</w:t>
      </w:r>
      <w:r w:rsidR="005561C7" w:rsidRPr="00051B46">
        <w:rPr>
          <w:rFonts w:ascii="Arial" w:hAnsi="Arial" w:cs="Arial"/>
        </w:rPr>
        <w:t>,</w:t>
      </w:r>
      <w:r w:rsidRPr="00051B46">
        <w:rPr>
          <w:rFonts w:ascii="Arial" w:hAnsi="Arial" w:cs="Arial"/>
        </w:rPr>
        <w:t xml:space="preserve"> resulting in </w:t>
      </w:r>
      <w:r w:rsidR="005561C7" w:rsidRPr="00051B46">
        <w:rPr>
          <w:rFonts w:ascii="Arial" w:hAnsi="Arial" w:cs="Arial"/>
        </w:rPr>
        <w:t xml:space="preserve">the </w:t>
      </w:r>
      <w:r w:rsidRPr="00051B46">
        <w:rPr>
          <w:rFonts w:ascii="Arial" w:hAnsi="Arial" w:cs="Arial"/>
        </w:rPr>
        <w:t>accumulation of hepat</w:t>
      </w:r>
      <w:r w:rsidR="005561C7" w:rsidRPr="00051B46">
        <w:rPr>
          <w:rFonts w:ascii="Arial" w:hAnsi="Arial" w:cs="Arial"/>
        </w:rPr>
        <w:t>ocyte</w:t>
      </w:r>
      <w:r w:rsidRPr="00051B46">
        <w:rPr>
          <w:rFonts w:ascii="Arial" w:hAnsi="Arial" w:cs="Arial"/>
        </w:rPr>
        <w:t xml:space="preserve"> ceramides and DAG</w:t>
      </w:r>
      <w:r w:rsidR="005561C7" w:rsidRPr="00051B46">
        <w:rPr>
          <w:rFonts w:ascii="Arial" w:hAnsi="Arial" w:cs="Arial"/>
        </w:rPr>
        <w:t xml:space="preserve">s (as well as </w:t>
      </w:r>
      <w:proofErr w:type="spellStart"/>
      <w:r w:rsidR="005561C7" w:rsidRPr="00051B46">
        <w:rPr>
          <w:rFonts w:ascii="Arial" w:hAnsi="Arial" w:cs="Arial"/>
        </w:rPr>
        <w:t>acylcarnitines</w:t>
      </w:r>
      <w:proofErr w:type="spellEnd"/>
      <w:r w:rsidR="005561C7" w:rsidRPr="00051B46">
        <w:rPr>
          <w:rFonts w:ascii="Arial" w:hAnsi="Arial" w:cs="Arial"/>
        </w:rPr>
        <w:t>)</w:t>
      </w:r>
      <w:r w:rsidRPr="00051B46">
        <w:rPr>
          <w:rFonts w:ascii="Arial" w:hAnsi="Arial" w:cs="Arial"/>
        </w:rPr>
        <w:t xml:space="preserve">, as seen in </w:t>
      </w:r>
      <w:r w:rsidR="005561C7" w:rsidRPr="00051B46">
        <w:rPr>
          <w:rFonts w:ascii="Arial" w:hAnsi="Arial" w:cs="Arial"/>
        </w:rPr>
        <w:t xml:space="preserve">states of hepatic </w:t>
      </w:r>
      <w:r w:rsidRPr="00051B46">
        <w:rPr>
          <w:rFonts w:ascii="Arial" w:hAnsi="Arial" w:cs="Arial"/>
        </w:rPr>
        <w:t>steatosis</w:t>
      </w:r>
      <w:r w:rsidR="00C73420" w:rsidRPr="00051B46">
        <w:rPr>
          <w:rFonts w:ascii="Arial" w:hAnsi="Arial" w:cs="Arial"/>
        </w:rPr>
        <w:t xml:space="preserve"> (</w:t>
      </w:r>
      <w:r w:rsidR="00054635" w:rsidRPr="00051B46">
        <w:rPr>
          <w:rFonts w:ascii="Arial" w:hAnsi="Arial" w:cs="Arial"/>
        </w:rPr>
        <w:t>71,7</w:t>
      </w:r>
      <w:r w:rsidR="00C73420" w:rsidRPr="00051B46">
        <w:rPr>
          <w:rFonts w:ascii="Arial" w:hAnsi="Arial" w:cs="Arial"/>
        </w:rPr>
        <w:t>5</w:t>
      </w:r>
      <w:r w:rsidR="00054635" w:rsidRPr="00051B46">
        <w:rPr>
          <w:rFonts w:ascii="Arial" w:hAnsi="Arial" w:cs="Arial"/>
        </w:rPr>
        <w:t>-77</w:t>
      </w:r>
      <w:r w:rsidR="00C73420" w:rsidRPr="00051B46">
        <w:rPr>
          <w:rFonts w:ascii="Arial" w:hAnsi="Arial" w:cs="Arial"/>
        </w:rPr>
        <w:t>)</w:t>
      </w:r>
      <w:r w:rsidRPr="00051B46">
        <w:rPr>
          <w:rFonts w:ascii="Arial" w:hAnsi="Arial" w:cs="Arial"/>
        </w:rPr>
        <w:t xml:space="preserve">. </w:t>
      </w:r>
      <w:r w:rsidR="00DF387C" w:rsidRPr="00051B46">
        <w:rPr>
          <w:rFonts w:ascii="Arial" w:hAnsi="Arial" w:cs="Arial"/>
        </w:rPr>
        <w:t xml:space="preserve">As summarized in Figure 2, the current working hypothesis in NASH is that overactive </w:t>
      </w:r>
      <w:r w:rsidRPr="00051B46">
        <w:rPr>
          <w:rFonts w:ascii="Arial" w:hAnsi="Arial" w:cs="Arial"/>
        </w:rPr>
        <w:t xml:space="preserve">hepatic </w:t>
      </w:r>
      <w:r w:rsidRPr="00051B46">
        <w:rPr>
          <w:rFonts w:ascii="Arial" w:hAnsi="Arial" w:cs="Arial"/>
        </w:rPr>
        <w:lastRenderedPageBreak/>
        <w:t xml:space="preserve">TCA cycle carries the risk of overloading the mitochondrial electron transport chain and hence </w:t>
      </w:r>
      <w:r w:rsidR="005561C7" w:rsidRPr="00051B46">
        <w:rPr>
          <w:rFonts w:ascii="Arial" w:hAnsi="Arial" w:cs="Arial"/>
        </w:rPr>
        <w:t xml:space="preserve">promoting not only the formation of toxic metabolites but the </w:t>
      </w:r>
      <w:r w:rsidRPr="00051B46">
        <w:rPr>
          <w:rFonts w:ascii="Arial" w:hAnsi="Arial" w:cs="Arial"/>
        </w:rPr>
        <w:t xml:space="preserve">production of reactive oxygen species </w:t>
      </w:r>
      <w:r w:rsidR="005561C7" w:rsidRPr="00051B46">
        <w:rPr>
          <w:rFonts w:ascii="Arial" w:hAnsi="Arial" w:cs="Arial"/>
        </w:rPr>
        <w:t xml:space="preserve">(ROS) </w:t>
      </w:r>
      <w:r w:rsidRPr="00051B46">
        <w:rPr>
          <w:rFonts w:ascii="Arial" w:hAnsi="Arial" w:cs="Arial"/>
        </w:rPr>
        <w:t xml:space="preserve">and other inflammatory mediators. </w:t>
      </w:r>
      <w:r w:rsidR="005561C7" w:rsidRPr="00051B46">
        <w:rPr>
          <w:rFonts w:ascii="Arial" w:hAnsi="Arial" w:cs="Arial"/>
        </w:rPr>
        <w:t>In this setting, it is believed that i</w:t>
      </w:r>
      <w:r w:rsidRPr="00051B46">
        <w:rPr>
          <w:rFonts w:ascii="Arial" w:hAnsi="Arial" w:cs="Arial"/>
        </w:rPr>
        <w:t xml:space="preserve">nflammatory pathways are triggered which then lead to hepatocyte </w:t>
      </w:r>
      <w:r w:rsidR="005561C7" w:rsidRPr="00051B46">
        <w:rPr>
          <w:rFonts w:ascii="Arial" w:hAnsi="Arial" w:cs="Arial"/>
        </w:rPr>
        <w:t>necrosis and chronic inflammation</w:t>
      </w:r>
      <w:r w:rsidRPr="00051B46">
        <w:rPr>
          <w:rFonts w:ascii="Arial" w:hAnsi="Arial" w:cs="Arial"/>
        </w:rPr>
        <w:t>, Kupffer cell activation and recruitment, as well as hepatic stellate cell activation. Th</w:t>
      </w:r>
      <w:r w:rsidR="005561C7" w:rsidRPr="00051B46">
        <w:rPr>
          <w:rFonts w:ascii="Arial" w:hAnsi="Arial" w:cs="Arial"/>
        </w:rPr>
        <w:t>is</w:t>
      </w:r>
      <w:r w:rsidRPr="00051B46">
        <w:rPr>
          <w:rFonts w:ascii="Arial" w:hAnsi="Arial" w:cs="Arial"/>
        </w:rPr>
        <w:t xml:space="preserve"> disruption of the </w:t>
      </w:r>
      <w:r w:rsidR="005561C7" w:rsidRPr="00051B46">
        <w:rPr>
          <w:rFonts w:ascii="Arial" w:hAnsi="Arial" w:cs="Arial"/>
        </w:rPr>
        <w:t xml:space="preserve">normal </w:t>
      </w:r>
      <w:r w:rsidRPr="00051B46">
        <w:rPr>
          <w:rFonts w:ascii="Arial" w:hAnsi="Arial" w:cs="Arial"/>
        </w:rPr>
        <w:t>equilibrium between hepatocyte</w:t>
      </w:r>
      <w:r w:rsidR="00DF387C" w:rsidRPr="00051B46">
        <w:rPr>
          <w:rFonts w:ascii="Arial" w:hAnsi="Arial" w:cs="Arial"/>
        </w:rPr>
        <w:t xml:space="preserve"> and its microenvironment (i.e., in particular with </w:t>
      </w:r>
      <w:r w:rsidRPr="00051B46">
        <w:rPr>
          <w:rFonts w:ascii="Arial" w:hAnsi="Arial" w:cs="Arial"/>
        </w:rPr>
        <w:t>Kupffer cells and hepatic stellate cells</w:t>
      </w:r>
      <w:r w:rsidR="00DF387C" w:rsidRPr="00051B46">
        <w:rPr>
          <w:rFonts w:ascii="Arial" w:hAnsi="Arial" w:cs="Arial"/>
        </w:rPr>
        <w:t>, the latter promoting fibrogenesis)</w:t>
      </w:r>
      <w:r w:rsidRPr="00051B46">
        <w:rPr>
          <w:rFonts w:ascii="Arial" w:hAnsi="Arial" w:cs="Arial"/>
        </w:rPr>
        <w:t xml:space="preserve"> seems to determine the degree of </w:t>
      </w:r>
      <w:r w:rsidR="00DF387C" w:rsidRPr="00051B46">
        <w:rPr>
          <w:rFonts w:ascii="Arial" w:hAnsi="Arial" w:cs="Arial"/>
        </w:rPr>
        <w:t>hepatocyte</w:t>
      </w:r>
      <w:r w:rsidR="005561C7" w:rsidRPr="00051B46">
        <w:rPr>
          <w:rFonts w:ascii="Arial" w:hAnsi="Arial" w:cs="Arial"/>
        </w:rPr>
        <w:t xml:space="preserve"> </w:t>
      </w:r>
      <w:r w:rsidR="00DF387C" w:rsidRPr="00051B46">
        <w:rPr>
          <w:rFonts w:ascii="Arial" w:hAnsi="Arial" w:cs="Arial"/>
        </w:rPr>
        <w:t xml:space="preserve">injury and the triggering of downstream pathways that lead to cirrhosis, </w:t>
      </w:r>
      <w:r w:rsidR="002044F6" w:rsidRPr="00051B46">
        <w:rPr>
          <w:rFonts w:ascii="Arial" w:hAnsi="Arial" w:cs="Arial"/>
        </w:rPr>
        <w:t xml:space="preserve">as </w:t>
      </w:r>
      <w:r w:rsidR="005561C7" w:rsidRPr="00051B46">
        <w:rPr>
          <w:rFonts w:ascii="Arial" w:hAnsi="Arial" w:cs="Arial"/>
        </w:rPr>
        <w:t xml:space="preserve">reviewed in-depth elsewhere </w:t>
      </w:r>
      <w:r w:rsidR="00054635" w:rsidRPr="00051B46">
        <w:rPr>
          <w:rFonts w:ascii="Arial" w:hAnsi="Arial" w:cs="Arial"/>
        </w:rPr>
        <w:t>(70)</w:t>
      </w:r>
      <w:r w:rsidR="007E50C2" w:rsidRPr="00051B46">
        <w:rPr>
          <w:rFonts w:ascii="Arial" w:hAnsi="Arial" w:cs="Arial"/>
        </w:rPr>
        <w:t xml:space="preserve">.  </w:t>
      </w:r>
      <w:r w:rsidR="00143CA7" w:rsidRPr="00051B46">
        <w:rPr>
          <w:rFonts w:ascii="Arial" w:hAnsi="Arial" w:cs="Arial"/>
        </w:rPr>
        <w:t xml:space="preserve">However, </w:t>
      </w:r>
      <w:r w:rsidR="007E50C2" w:rsidRPr="00051B46">
        <w:rPr>
          <w:rFonts w:ascii="Arial" w:hAnsi="Arial" w:cs="Arial"/>
        </w:rPr>
        <w:t>while many recent interventions successful in animal m</w:t>
      </w:r>
      <w:r w:rsidR="00102781" w:rsidRPr="00051B46">
        <w:rPr>
          <w:rFonts w:ascii="Arial" w:hAnsi="Arial" w:cs="Arial"/>
        </w:rPr>
        <w:t>o</w:t>
      </w:r>
      <w:r w:rsidR="007E50C2" w:rsidRPr="00051B46">
        <w:rPr>
          <w:rFonts w:ascii="Arial" w:hAnsi="Arial" w:cs="Arial"/>
        </w:rPr>
        <w:t xml:space="preserve">dels have failed in humans, </w:t>
      </w:r>
      <w:r w:rsidR="00962F64" w:rsidRPr="00051B46">
        <w:rPr>
          <w:rFonts w:ascii="Arial" w:hAnsi="Arial" w:cs="Arial"/>
        </w:rPr>
        <w:t xml:space="preserve">it is of interest that </w:t>
      </w:r>
      <w:r w:rsidR="00143CA7" w:rsidRPr="00051B46">
        <w:rPr>
          <w:rFonts w:ascii="Arial" w:hAnsi="Arial" w:cs="Arial"/>
        </w:rPr>
        <w:t>the</w:t>
      </w:r>
      <w:r w:rsidR="00962F64" w:rsidRPr="00051B46">
        <w:rPr>
          <w:rFonts w:ascii="Arial" w:hAnsi="Arial" w:cs="Arial"/>
        </w:rPr>
        <w:t xml:space="preserve">re is a </w:t>
      </w:r>
      <w:r w:rsidR="00143CA7" w:rsidRPr="00051B46">
        <w:rPr>
          <w:rFonts w:ascii="Arial" w:hAnsi="Arial" w:cs="Arial"/>
        </w:rPr>
        <w:t xml:space="preserve"> correlation between successful </w:t>
      </w:r>
      <w:r w:rsidR="007E50C2" w:rsidRPr="00051B46">
        <w:rPr>
          <w:rFonts w:ascii="Arial" w:hAnsi="Arial" w:cs="Arial"/>
        </w:rPr>
        <w:t>treatment</w:t>
      </w:r>
      <w:r w:rsidR="00143CA7" w:rsidRPr="00051B46">
        <w:rPr>
          <w:rFonts w:ascii="Arial" w:hAnsi="Arial" w:cs="Arial"/>
        </w:rPr>
        <w:t xml:space="preserve"> for NASH in humans </w:t>
      </w:r>
      <w:r w:rsidR="007E50C2" w:rsidRPr="00051B46">
        <w:rPr>
          <w:rFonts w:ascii="Arial" w:hAnsi="Arial" w:cs="Arial"/>
        </w:rPr>
        <w:t>(with</w:t>
      </w:r>
      <w:r w:rsidR="00143CA7" w:rsidRPr="00051B46">
        <w:rPr>
          <w:rFonts w:ascii="Arial" w:hAnsi="Arial" w:cs="Arial"/>
        </w:rPr>
        <w:t xml:space="preserve"> GLP-</w:t>
      </w:r>
      <w:r w:rsidR="006568B1" w:rsidRPr="00051B46">
        <w:rPr>
          <w:rFonts w:ascii="Arial" w:hAnsi="Arial" w:cs="Arial"/>
        </w:rPr>
        <w:t>1</w:t>
      </w:r>
      <w:r w:rsidR="00143CA7" w:rsidRPr="00051B46">
        <w:rPr>
          <w:rFonts w:ascii="Arial" w:hAnsi="Arial" w:cs="Arial"/>
        </w:rPr>
        <w:t xml:space="preserve">RA or pioglitazone </w:t>
      </w:r>
      <w:r w:rsidR="007E50C2" w:rsidRPr="00051B46">
        <w:rPr>
          <w:rFonts w:ascii="Arial" w:hAnsi="Arial" w:cs="Arial"/>
        </w:rPr>
        <w:t>[</w:t>
      </w:r>
      <w:r w:rsidR="00143CA7" w:rsidRPr="00051B46">
        <w:rPr>
          <w:rFonts w:ascii="Arial" w:hAnsi="Arial" w:cs="Arial"/>
        </w:rPr>
        <w:t>8</w:t>
      </w:r>
      <w:r w:rsidR="007E50C2" w:rsidRPr="00051B46">
        <w:rPr>
          <w:rFonts w:ascii="Arial" w:hAnsi="Arial" w:cs="Arial"/>
        </w:rPr>
        <w:t>])</w:t>
      </w:r>
      <w:r w:rsidR="00962F64" w:rsidRPr="00051B46">
        <w:rPr>
          <w:rFonts w:ascii="Arial" w:hAnsi="Arial" w:cs="Arial"/>
        </w:rPr>
        <w:t xml:space="preserve"> with </w:t>
      </w:r>
      <w:r w:rsidR="00143CA7" w:rsidRPr="00051B46">
        <w:rPr>
          <w:rFonts w:ascii="Arial" w:hAnsi="Arial" w:cs="Arial"/>
        </w:rPr>
        <w:t xml:space="preserve">studies </w:t>
      </w:r>
      <w:r w:rsidR="00143CA7" w:rsidRPr="00051B46">
        <w:rPr>
          <w:rFonts w:ascii="Arial" w:hAnsi="Arial" w:cs="Arial"/>
          <w:i/>
          <w:iCs/>
        </w:rPr>
        <w:t>in vivo</w:t>
      </w:r>
      <w:r w:rsidR="00143CA7" w:rsidRPr="00051B46">
        <w:rPr>
          <w:rFonts w:ascii="Arial" w:hAnsi="Arial" w:cs="Arial"/>
        </w:rPr>
        <w:t xml:space="preserve"> </w:t>
      </w:r>
      <w:r w:rsidR="007E50C2" w:rsidRPr="00051B46">
        <w:rPr>
          <w:rFonts w:ascii="Arial" w:hAnsi="Arial" w:cs="Arial"/>
        </w:rPr>
        <w:t>with</w:t>
      </w:r>
      <w:r w:rsidR="00143CA7" w:rsidRPr="00051B46">
        <w:rPr>
          <w:rFonts w:ascii="Arial" w:hAnsi="Arial" w:cs="Arial"/>
        </w:rPr>
        <w:t xml:space="preserve"> such interventions </w:t>
      </w:r>
      <w:r w:rsidR="00962F64" w:rsidRPr="00051B46">
        <w:rPr>
          <w:rFonts w:ascii="Arial" w:hAnsi="Arial" w:cs="Arial"/>
        </w:rPr>
        <w:t xml:space="preserve">that </w:t>
      </w:r>
      <w:r w:rsidR="00143CA7" w:rsidRPr="00051B46">
        <w:rPr>
          <w:rFonts w:ascii="Arial" w:hAnsi="Arial" w:cs="Arial"/>
        </w:rPr>
        <w:t>restor</w:t>
      </w:r>
      <w:r w:rsidR="00962F64" w:rsidRPr="00051B46">
        <w:rPr>
          <w:rFonts w:ascii="Arial" w:hAnsi="Arial" w:cs="Arial"/>
        </w:rPr>
        <w:t>e</w:t>
      </w:r>
      <w:r w:rsidR="00143CA7" w:rsidRPr="00051B46">
        <w:rPr>
          <w:rFonts w:ascii="Arial" w:hAnsi="Arial" w:cs="Arial"/>
        </w:rPr>
        <w:t xml:space="preserve"> hepatocyte TCA function and reduc</w:t>
      </w:r>
      <w:r w:rsidR="00962F64" w:rsidRPr="00051B46">
        <w:rPr>
          <w:rFonts w:ascii="Arial" w:hAnsi="Arial" w:cs="Arial"/>
        </w:rPr>
        <w:t>e</w:t>
      </w:r>
      <w:r w:rsidR="00143CA7" w:rsidRPr="00051B46">
        <w:rPr>
          <w:rFonts w:ascii="Arial" w:hAnsi="Arial" w:cs="Arial"/>
        </w:rPr>
        <w:t xml:space="preserve"> intracellular toxic lipids</w:t>
      </w:r>
      <w:r w:rsidR="007E50C2" w:rsidRPr="00051B46">
        <w:rPr>
          <w:rFonts w:ascii="Arial" w:hAnsi="Arial" w:cs="Arial"/>
        </w:rPr>
        <w:t xml:space="preserve"> (94, 95)</w:t>
      </w:r>
      <w:r w:rsidR="00962F64" w:rsidRPr="00051B46">
        <w:rPr>
          <w:rFonts w:ascii="Arial" w:hAnsi="Arial" w:cs="Arial"/>
        </w:rPr>
        <w:t>,</w:t>
      </w:r>
      <w:r w:rsidR="00143CA7" w:rsidRPr="00051B46">
        <w:rPr>
          <w:rFonts w:ascii="Arial" w:hAnsi="Arial" w:cs="Arial"/>
        </w:rPr>
        <w:t xml:space="preserve"> </w:t>
      </w:r>
      <w:r w:rsidR="00962F64" w:rsidRPr="00051B46">
        <w:rPr>
          <w:rFonts w:ascii="Arial" w:hAnsi="Arial" w:cs="Arial"/>
        </w:rPr>
        <w:t xml:space="preserve">giving </w:t>
      </w:r>
      <w:r w:rsidR="00143CA7" w:rsidRPr="00051B46">
        <w:rPr>
          <w:rFonts w:ascii="Arial" w:hAnsi="Arial" w:cs="Arial"/>
        </w:rPr>
        <w:t xml:space="preserve">support to the hypothesis of increased mitochondrial FFA flux as a potential therapeutic target for patients with NASH.  </w:t>
      </w:r>
    </w:p>
    <w:p w14:paraId="59F242E0" w14:textId="561B6FA8" w:rsidR="00DF387C" w:rsidRPr="00051B46" w:rsidRDefault="00DF387C" w:rsidP="002506B3">
      <w:pPr>
        <w:spacing w:after="0" w:line="276" w:lineRule="auto"/>
        <w:rPr>
          <w:rFonts w:ascii="Arial" w:hAnsi="Arial" w:cs="Arial"/>
        </w:rPr>
      </w:pPr>
    </w:p>
    <w:p w14:paraId="31B33242" w14:textId="01A0DBB4" w:rsidR="005561C7" w:rsidRPr="00051B46" w:rsidRDefault="00760D1B" w:rsidP="002506B3">
      <w:pPr>
        <w:spacing w:after="0" w:line="276" w:lineRule="auto"/>
        <w:rPr>
          <w:rFonts w:ascii="Arial" w:hAnsi="Arial" w:cs="Arial"/>
        </w:rPr>
      </w:pPr>
      <w:r w:rsidRPr="00051B46">
        <w:rPr>
          <w:rFonts w:ascii="Arial" w:hAnsi="Arial" w:cs="Arial"/>
          <w:noProof/>
        </w:rPr>
        <w:drawing>
          <wp:inline distT="0" distB="0" distL="0" distR="0" wp14:anchorId="1319356D" wp14:editId="7EF61581">
            <wp:extent cx="5731510" cy="435546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stretch>
                      <a:fillRect/>
                    </a:stretch>
                  </pic:blipFill>
                  <pic:spPr>
                    <a:xfrm>
                      <a:off x="0" y="0"/>
                      <a:ext cx="5731510" cy="4355465"/>
                    </a:xfrm>
                    <a:prstGeom prst="rect">
                      <a:avLst/>
                    </a:prstGeom>
                  </pic:spPr>
                </pic:pic>
              </a:graphicData>
            </a:graphic>
          </wp:inline>
        </w:drawing>
      </w:r>
    </w:p>
    <w:p w14:paraId="76031F5C" w14:textId="5BF5F571" w:rsidR="009B7CED" w:rsidRPr="00051B46" w:rsidRDefault="00BB7E54" w:rsidP="002506B3">
      <w:pPr>
        <w:spacing w:after="0" w:line="276" w:lineRule="auto"/>
        <w:rPr>
          <w:rFonts w:ascii="Arial" w:hAnsi="Arial" w:cs="Arial"/>
          <w:b/>
          <w:bCs/>
        </w:rPr>
      </w:pPr>
      <w:r w:rsidRPr="00051B46">
        <w:rPr>
          <w:rFonts w:ascii="Arial" w:hAnsi="Arial" w:cs="Arial"/>
          <w:b/>
          <w:bCs/>
        </w:rPr>
        <w:t>Figure 2</w:t>
      </w:r>
      <w:r w:rsidR="001C59D9" w:rsidRPr="00051B46">
        <w:rPr>
          <w:rFonts w:ascii="Arial" w:hAnsi="Arial" w:cs="Arial"/>
        </w:rPr>
        <w:t>.</w:t>
      </w:r>
      <w:r w:rsidRPr="00051B46">
        <w:rPr>
          <w:rFonts w:ascii="Arial" w:hAnsi="Arial" w:cs="Arial"/>
        </w:rPr>
        <w:t xml:space="preserve"> </w:t>
      </w:r>
      <w:r w:rsidR="009B7CED" w:rsidRPr="00051B46">
        <w:rPr>
          <w:rFonts w:ascii="Arial" w:hAnsi="Arial" w:cs="Arial"/>
          <w:b/>
          <w:bCs/>
        </w:rPr>
        <w:t>Hepatic Mitochondrial Oxidative Dysfunction during NASH</w:t>
      </w:r>
      <w:r w:rsidR="00760D1B" w:rsidRPr="00051B46">
        <w:rPr>
          <w:rFonts w:ascii="Arial" w:hAnsi="Arial" w:cs="Arial"/>
          <w:b/>
          <w:bCs/>
        </w:rPr>
        <w:t xml:space="preserve"> (71)</w:t>
      </w:r>
      <w:r w:rsidR="009B7CED" w:rsidRPr="00051B46">
        <w:rPr>
          <w:rFonts w:ascii="Arial" w:hAnsi="Arial" w:cs="Arial"/>
          <w:b/>
          <w:bCs/>
        </w:rPr>
        <w:t>. Adipose tissue insulin resistance results in increased lipolysis and higher flux of FFAs into the liver (1), resulting in high rates of hepatic triglyceride accretion (2). Initial breakdown of FFA in the liver proceed</w:t>
      </w:r>
      <w:r w:rsidR="00760D1B" w:rsidRPr="00051B46">
        <w:rPr>
          <w:rFonts w:ascii="Arial" w:hAnsi="Arial" w:cs="Arial"/>
          <w:b/>
          <w:bCs/>
        </w:rPr>
        <w:t xml:space="preserve">s </w:t>
      </w:r>
      <w:r w:rsidR="009B7CED" w:rsidRPr="00051B46">
        <w:rPr>
          <w:rFonts w:ascii="Arial" w:hAnsi="Arial" w:cs="Arial"/>
          <w:b/>
          <w:bCs/>
        </w:rPr>
        <w:t xml:space="preserve">through b-oxidation, generating two-carbon units of acetyl-CoA (3). During hepatic insulin resistance, disposal of </w:t>
      </w:r>
      <w:proofErr w:type="spellStart"/>
      <w:r w:rsidR="009B7CED" w:rsidRPr="00051B46">
        <w:rPr>
          <w:rFonts w:ascii="Arial" w:hAnsi="Arial" w:cs="Arial"/>
          <w:b/>
          <w:bCs/>
        </w:rPr>
        <w:t>acetylCoA</w:t>
      </w:r>
      <w:proofErr w:type="spellEnd"/>
      <w:r w:rsidR="009B7CED" w:rsidRPr="00051B46">
        <w:rPr>
          <w:rFonts w:ascii="Arial" w:hAnsi="Arial" w:cs="Arial"/>
          <w:b/>
          <w:bCs/>
        </w:rPr>
        <w:t xml:space="preserve"> units through ketogenesis undergoes an early compensatory induction in simple steatosis,</w:t>
      </w:r>
      <w:r w:rsidR="00760D1B" w:rsidRPr="00051B46">
        <w:rPr>
          <w:rFonts w:ascii="Arial" w:hAnsi="Arial" w:cs="Arial"/>
          <w:b/>
          <w:bCs/>
        </w:rPr>
        <w:t xml:space="preserve"> </w:t>
      </w:r>
      <w:r w:rsidR="009B7CED" w:rsidRPr="00051B46">
        <w:rPr>
          <w:rFonts w:ascii="Arial" w:hAnsi="Arial" w:cs="Arial"/>
          <w:b/>
          <w:bCs/>
        </w:rPr>
        <w:t xml:space="preserve">but is impaired in NASH (4). In spite of FFA overload, hepatic insulin resistance and steatosis result in </w:t>
      </w:r>
      <w:r w:rsidR="00760D1B" w:rsidRPr="00051B46">
        <w:rPr>
          <w:rFonts w:ascii="Arial" w:hAnsi="Arial" w:cs="Arial"/>
          <w:b/>
          <w:bCs/>
        </w:rPr>
        <w:t>beta</w:t>
      </w:r>
      <w:r w:rsidR="009B7CED" w:rsidRPr="00051B46">
        <w:rPr>
          <w:rFonts w:ascii="Arial" w:hAnsi="Arial" w:cs="Arial"/>
          <w:b/>
          <w:bCs/>
        </w:rPr>
        <w:t xml:space="preserve">-oxidation being inefficient and incomplete as evident from </w:t>
      </w:r>
      <w:r w:rsidR="009B7CED" w:rsidRPr="00051B46">
        <w:rPr>
          <w:rFonts w:ascii="Arial" w:hAnsi="Arial" w:cs="Arial"/>
          <w:b/>
          <w:bCs/>
        </w:rPr>
        <w:lastRenderedPageBreak/>
        <w:t>accumulating levels of hepatic ceramides, DAGs, and long-chain acylcarnitine (5). However,</w:t>
      </w:r>
      <w:r w:rsidR="00760D1B" w:rsidRPr="00051B46">
        <w:rPr>
          <w:rFonts w:ascii="Arial" w:hAnsi="Arial" w:cs="Arial"/>
          <w:b/>
          <w:bCs/>
        </w:rPr>
        <w:t xml:space="preserve"> </w:t>
      </w:r>
      <w:r w:rsidR="009B7CED" w:rsidRPr="00051B46">
        <w:rPr>
          <w:rFonts w:ascii="Arial" w:hAnsi="Arial" w:cs="Arial"/>
          <w:b/>
          <w:bCs/>
        </w:rPr>
        <w:t>complete oxidation of acetyl-CoA units through the mitochondrial TCA cycl</w:t>
      </w:r>
      <w:r w:rsidR="00760D1B" w:rsidRPr="00051B46">
        <w:rPr>
          <w:rFonts w:ascii="Arial" w:hAnsi="Arial" w:cs="Arial"/>
          <w:b/>
          <w:bCs/>
        </w:rPr>
        <w:t>e</w:t>
      </w:r>
      <w:r w:rsidR="009B7CED" w:rsidRPr="00051B46">
        <w:rPr>
          <w:rFonts w:ascii="Arial" w:hAnsi="Arial" w:cs="Arial"/>
          <w:b/>
          <w:bCs/>
        </w:rPr>
        <w:t xml:space="preserve"> continues unabated during simple steatosis and NASH (6), potentially</w:t>
      </w:r>
      <w:r w:rsidR="00DE1341" w:rsidRPr="00051B46">
        <w:rPr>
          <w:rFonts w:ascii="Arial" w:hAnsi="Arial" w:cs="Arial"/>
          <w:b/>
          <w:bCs/>
        </w:rPr>
        <w:t xml:space="preserve"> </w:t>
      </w:r>
      <w:r w:rsidR="009B7CED" w:rsidRPr="00051B46">
        <w:rPr>
          <w:rFonts w:ascii="Arial" w:hAnsi="Arial" w:cs="Arial"/>
          <w:b/>
          <w:bCs/>
        </w:rPr>
        <w:t>to</w:t>
      </w:r>
      <w:r w:rsidR="00DE1341" w:rsidRPr="00051B46">
        <w:rPr>
          <w:rFonts w:ascii="Arial" w:hAnsi="Arial" w:cs="Arial"/>
          <w:b/>
          <w:bCs/>
        </w:rPr>
        <w:t xml:space="preserve"> </w:t>
      </w:r>
      <w:r w:rsidR="009B7CED" w:rsidRPr="00051B46">
        <w:rPr>
          <w:rFonts w:ascii="Arial" w:hAnsi="Arial" w:cs="Arial"/>
          <w:b/>
          <w:bCs/>
        </w:rPr>
        <w:t>meet</w:t>
      </w:r>
      <w:r w:rsidR="00DE1341" w:rsidRPr="00051B46">
        <w:rPr>
          <w:rFonts w:ascii="Arial" w:hAnsi="Arial" w:cs="Arial"/>
          <w:b/>
          <w:bCs/>
        </w:rPr>
        <w:t xml:space="preserve"> </w:t>
      </w:r>
      <w:r w:rsidR="009B7CED" w:rsidRPr="00051B46">
        <w:rPr>
          <w:rFonts w:ascii="Arial" w:hAnsi="Arial" w:cs="Arial"/>
          <w:b/>
          <w:bCs/>
        </w:rPr>
        <w:t>the</w:t>
      </w:r>
      <w:r w:rsidR="00DE1341" w:rsidRPr="00051B46">
        <w:rPr>
          <w:rFonts w:ascii="Arial" w:hAnsi="Arial" w:cs="Arial"/>
          <w:b/>
          <w:bCs/>
        </w:rPr>
        <w:t xml:space="preserve"> </w:t>
      </w:r>
      <w:r w:rsidR="009B7CED" w:rsidRPr="00051B46">
        <w:rPr>
          <w:rFonts w:ascii="Arial" w:hAnsi="Arial" w:cs="Arial"/>
          <w:b/>
          <w:bCs/>
        </w:rPr>
        <w:t>energetic</w:t>
      </w:r>
      <w:r w:rsidR="00DE1341" w:rsidRPr="00051B46">
        <w:rPr>
          <w:rFonts w:ascii="Arial" w:hAnsi="Arial" w:cs="Arial"/>
          <w:b/>
          <w:bCs/>
        </w:rPr>
        <w:t xml:space="preserve"> </w:t>
      </w:r>
      <w:r w:rsidR="009B7CED" w:rsidRPr="00051B46">
        <w:rPr>
          <w:rFonts w:ascii="Arial" w:hAnsi="Arial" w:cs="Arial"/>
          <w:b/>
          <w:bCs/>
        </w:rPr>
        <w:t>demands</w:t>
      </w:r>
      <w:r w:rsidR="00DE1341" w:rsidRPr="00051B46">
        <w:rPr>
          <w:rFonts w:ascii="Arial" w:hAnsi="Arial" w:cs="Arial"/>
          <w:b/>
          <w:bCs/>
        </w:rPr>
        <w:t xml:space="preserve"> </w:t>
      </w:r>
      <w:r w:rsidR="009B7CED" w:rsidRPr="00051B46">
        <w:rPr>
          <w:rFonts w:ascii="Arial" w:hAnsi="Arial" w:cs="Arial"/>
          <w:b/>
          <w:bCs/>
        </w:rPr>
        <w:t>of</w:t>
      </w:r>
      <w:r w:rsidR="00DE1341" w:rsidRPr="00051B46">
        <w:rPr>
          <w:rFonts w:ascii="Arial" w:hAnsi="Arial" w:cs="Arial"/>
          <w:b/>
          <w:bCs/>
        </w:rPr>
        <w:t xml:space="preserve"> </w:t>
      </w:r>
      <w:r w:rsidR="009B7CED" w:rsidRPr="00051B46">
        <w:rPr>
          <w:rFonts w:ascii="Arial" w:hAnsi="Arial" w:cs="Arial"/>
          <w:b/>
          <w:bCs/>
        </w:rPr>
        <w:t>maintaining</w:t>
      </w:r>
      <w:r w:rsidR="00DE1341" w:rsidRPr="00051B46">
        <w:rPr>
          <w:rFonts w:ascii="Arial" w:hAnsi="Arial" w:cs="Arial"/>
          <w:b/>
          <w:bCs/>
        </w:rPr>
        <w:t xml:space="preserve"> </w:t>
      </w:r>
      <w:r w:rsidR="009B7CED" w:rsidRPr="00051B46">
        <w:rPr>
          <w:rFonts w:ascii="Arial" w:hAnsi="Arial" w:cs="Arial"/>
          <w:b/>
          <w:bCs/>
        </w:rPr>
        <w:t>high</w:t>
      </w:r>
      <w:r w:rsidR="00DE1341" w:rsidRPr="00051B46">
        <w:rPr>
          <w:rFonts w:ascii="Arial" w:hAnsi="Arial" w:cs="Arial"/>
          <w:b/>
          <w:bCs/>
        </w:rPr>
        <w:t xml:space="preserve"> </w:t>
      </w:r>
      <w:r w:rsidR="009B7CED" w:rsidRPr="00051B46">
        <w:rPr>
          <w:rFonts w:ascii="Arial" w:hAnsi="Arial" w:cs="Arial"/>
          <w:b/>
          <w:bCs/>
        </w:rPr>
        <w:t>rates</w:t>
      </w:r>
      <w:r w:rsidR="00DE1341" w:rsidRPr="00051B46">
        <w:rPr>
          <w:rFonts w:ascii="Arial" w:hAnsi="Arial" w:cs="Arial"/>
          <w:b/>
          <w:bCs/>
        </w:rPr>
        <w:t xml:space="preserve"> </w:t>
      </w:r>
      <w:r w:rsidR="009B7CED" w:rsidRPr="00051B46">
        <w:rPr>
          <w:rFonts w:ascii="Arial" w:hAnsi="Arial" w:cs="Arial"/>
          <w:b/>
          <w:bCs/>
        </w:rPr>
        <w:t>of</w:t>
      </w:r>
      <w:r w:rsidR="00DE1341" w:rsidRPr="00051B46">
        <w:rPr>
          <w:rFonts w:ascii="Arial" w:hAnsi="Arial" w:cs="Arial"/>
          <w:b/>
          <w:bCs/>
        </w:rPr>
        <w:t xml:space="preserve"> </w:t>
      </w:r>
      <w:r w:rsidR="009B7CED" w:rsidRPr="00051B46">
        <w:rPr>
          <w:rFonts w:ascii="Arial" w:hAnsi="Arial" w:cs="Arial"/>
          <w:b/>
          <w:bCs/>
        </w:rPr>
        <w:t>gluconeogenesi</w:t>
      </w:r>
      <w:r w:rsidR="00DE1341" w:rsidRPr="00051B46">
        <w:rPr>
          <w:rFonts w:ascii="Arial" w:hAnsi="Arial" w:cs="Arial"/>
          <w:b/>
          <w:bCs/>
        </w:rPr>
        <w:t>s</w:t>
      </w:r>
      <w:r w:rsidR="009B7CED" w:rsidRPr="00051B46">
        <w:rPr>
          <w:rFonts w:ascii="Arial" w:hAnsi="Arial" w:cs="Arial"/>
          <w:b/>
          <w:bCs/>
        </w:rPr>
        <w:t xml:space="preserve"> (7).</w:t>
      </w:r>
      <w:r w:rsidR="00DE1341" w:rsidRPr="00051B46">
        <w:rPr>
          <w:rFonts w:ascii="Arial" w:hAnsi="Arial" w:cs="Arial"/>
          <w:b/>
          <w:bCs/>
        </w:rPr>
        <w:t xml:space="preserve"> </w:t>
      </w:r>
      <w:r w:rsidR="009B7CED" w:rsidRPr="00051B46">
        <w:rPr>
          <w:rFonts w:ascii="Arial" w:hAnsi="Arial" w:cs="Arial"/>
          <w:b/>
          <w:bCs/>
        </w:rPr>
        <w:t>The chronically</w:t>
      </w:r>
      <w:r w:rsidR="00DE1341" w:rsidRPr="00051B46">
        <w:rPr>
          <w:rFonts w:ascii="Arial" w:hAnsi="Arial" w:cs="Arial"/>
          <w:b/>
          <w:bCs/>
        </w:rPr>
        <w:t xml:space="preserve"> </w:t>
      </w:r>
      <w:r w:rsidR="009B7CED" w:rsidRPr="00051B46">
        <w:rPr>
          <w:rFonts w:ascii="Arial" w:hAnsi="Arial" w:cs="Arial"/>
          <w:b/>
          <w:bCs/>
        </w:rPr>
        <w:t>elevated</w:t>
      </w:r>
      <w:r w:rsidR="00DE1341" w:rsidRPr="00051B46">
        <w:rPr>
          <w:rFonts w:ascii="Arial" w:hAnsi="Arial" w:cs="Arial"/>
          <w:b/>
          <w:bCs/>
        </w:rPr>
        <w:t xml:space="preserve"> </w:t>
      </w:r>
      <w:r w:rsidR="009B7CED" w:rsidRPr="00051B46">
        <w:rPr>
          <w:rFonts w:ascii="Arial" w:hAnsi="Arial" w:cs="Arial"/>
          <w:b/>
          <w:bCs/>
        </w:rPr>
        <w:t>oxidative flux through</w:t>
      </w:r>
      <w:r w:rsidR="00DE1341" w:rsidRPr="00051B46">
        <w:rPr>
          <w:rFonts w:ascii="Arial" w:hAnsi="Arial" w:cs="Arial"/>
          <w:b/>
          <w:bCs/>
        </w:rPr>
        <w:t xml:space="preserve"> </w:t>
      </w:r>
      <w:r w:rsidR="009B7CED" w:rsidRPr="00051B46">
        <w:rPr>
          <w:rFonts w:ascii="Arial" w:hAnsi="Arial" w:cs="Arial"/>
          <w:b/>
          <w:bCs/>
        </w:rPr>
        <w:t>TCA</w:t>
      </w:r>
      <w:r w:rsidR="00DE1341" w:rsidRPr="00051B46">
        <w:rPr>
          <w:rFonts w:ascii="Arial" w:hAnsi="Arial" w:cs="Arial"/>
          <w:b/>
          <w:bCs/>
        </w:rPr>
        <w:t xml:space="preserve"> </w:t>
      </w:r>
      <w:r w:rsidR="009B7CED" w:rsidRPr="00051B46">
        <w:rPr>
          <w:rFonts w:ascii="Arial" w:hAnsi="Arial" w:cs="Arial"/>
          <w:b/>
          <w:bCs/>
        </w:rPr>
        <w:t>cycle</w:t>
      </w:r>
      <w:r w:rsidR="00DE1341" w:rsidRPr="00051B46">
        <w:rPr>
          <w:rFonts w:ascii="Arial" w:hAnsi="Arial" w:cs="Arial"/>
          <w:b/>
          <w:bCs/>
        </w:rPr>
        <w:t xml:space="preserve"> </w:t>
      </w:r>
      <w:r w:rsidR="009B7CED" w:rsidRPr="00051B46">
        <w:rPr>
          <w:rFonts w:ascii="Arial" w:hAnsi="Arial" w:cs="Arial"/>
          <w:b/>
          <w:bCs/>
        </w:rPr>
        <w:t>during</w:t>
      </w:r>
      <w:r w:rsidR="00DE1341" w:rsidRPr="00051B46">
        <w:rPr>
          <w:rFonts w:ascii="Arial" w:hAnsi="Arial" w:cs="Arial"/>
          <w:b/>
          <w:bCs/>
        </w:rPr>
        <w:t xml:space="preserve"> </w:t>
      </w:r>
      <w:r w:rsidR="009B7CED" w:rsidRPr="00051B46">
        <w:rPr>
          <w:rFonts w:ascii="Arial" w:hAnsi="Arial" w:cs="Arial"/>
          <w:b/>
          <w:bCs/>
        </w:rPr>
        <w:t>NASH</w:t>
      </w:r>
      <w:r w:rsidR="00DE1341" w:rsidRPr="00051B46">
        <w:rPr>
          <w:rFonts w:ascii="Arial" w:hAnsi="Arial" w:cs="Arial"/>
          <w:b/>
          <w:bCs/>
        </w:rPr>
        <w:t xml:space="preserve"> </w:t>
      </w:r>
      <w:r w:rsidR="009B7CED" w:rsidRPr="00051B46">
        <w:rPr>
          <w:rFonts w:ascii="Arial" w:hAnsi="Arial" w:cs="Arial"/>
          <w:b/>
          <w:bCs/>
        </w:rPr>
        <w:t>has</w:t>
      </w:r>
      <w:r w:rsidR="00DE1341" w:rsidRPr="00051B46">
        <w:rPr>
          <w:rFonts w:ascii="Arial" w:hAnsi="Arial" w:cs="Arial"/>
          <w:b/>
          <w:bCs/>
        </w:rPr>
        <w:t xml:space="preserve"> </w:t>
      </w:r>
      <w:r w:rsidR="009B7CED" w:rsidRPr="00051B46">
        <w:rPr>
          <w:rFonts w:ascii="Arial" w:hAnsi="Arial" w:cs="Arial"/>
          <w:b/>
          <w:bCs/>
        </w:rPr>
        <w:t>the</w:t>
      </w:r>
      <w:r w:rsidR="00DE1341" w:rsidRPr="00051B46">
        <w:rPr>
          <w:rFonts w:ascii="Arial" w:hAnsi="Arial" w:cs="Arial"/>
          <w:b/>
          <w:bCs/>
        </w:rPr>
        <w:t xml:space="preserve"> </w:t>
      </w:r>
      <w:r w:rsidR="009B7CED" w:rsidRPr="00051B46">
        <w:rPr>
          <w:rFonts w:ascii="Arial" w:hAnsi="Arial" w:cs="Arial"/>
          <w:b/>
          <w:bCs/>
        </w:rPr>
        <w:t>potential</w:t>
      </w:r>
      <w:r w:rsidR="00DE1341" w:rsidRPr="00051B46">
        <w:rPr>
          <w:rFonts w:ascii="Arial" w:hAnsi="Arial" w:cs="Arial"/>
          <w:b/>
          <w:bCs/>
        </w:rPr>
        <w:t xml:space="preserve"> </w:t>
      </w:r>
      <w:r w:rsidR="009B7CED" w:rsidRPr="00051B46">
        <w:rPr>
          <w:rFonts w:ascii="Arial" w:hAnsi="Arial" w:cs="Arial"/>
          <w:b/>
          <w:bCs/>
        </w:rPr>
        <w:t>to</w:t>
      </w:r>
      <w:r w:rsidR="00DE1341" w:rsidRPr="00051B46">
        <w:rPr>
          <w:rFonts w:ascii="Arial" w:hAnsi="Arial" w:cs="Arial"/>
          <w:b/>
          <w:bCs/>
        </w:rPr>
        <w:t xml:space="preserve"> </w:t>
      </w:r>
      <w:r w:rsidR="009B7CED" w:rsidRPr="00051B46">
        <w:rPr>
          <w:rFonts w:ascii="Arial" w:hAnsi="Arial" w:cs="Arial"/>
          <w:b/>
          <w:bCs/>
        </w:rPr>
        <w:t>uncouple</w:t>
      </w:r>
      <w:r w:rsidR="00DE1341" w:rsidRPr="00051B46">
        <w:rPr>
          <w:rFonts w:ascii="Arial" w:hAnsi="Arial" w:cs="Arial"/>
          <w:b/>
          <w:bCs/>
        </w:rPr>
        <w:t xml:space="preserve"> </w:t>
      </w:r>
      <w:r w:rsidR="009B7CED" w:rsidRPr="00051B46">
        <w:rPr>
          <w:rFonts w:ascii="Arial" w:hAnsi="Arial" w:cs="Arial"/>
          <w:b/>
          <w:bCs/>
        </w:rPr>
        <w:t>hepatic</w:t>
      </w:r>
      <w:r w:rsidR="00DE1341" w:rsidRPr="00051B46">
        <w:rPr>
          <w:rFonts w:ascii="Arial" w:hAnsi="Arial" w:cs="Arial"/>
          <w:b/>
          <w:bCs/>
        </w:rPr>
        <w:t xml:space="preserve"> </w:t>
      </w:r>
      <w:r w:rsidR="009B7CED" w:rsidRPr="00051B46">
        <w:rPr>
          <w:rFonts w:ascii="Arial" w:hAnsi="Arial" w:cs="Arial"/>
          <w:b/>
          <w:bCs/>
        </w:rPr>
        <w:t>TCA</w:t>
      </w:r>
      <w:r w:rsidR="00DE1341" w:rsidRPr="00051B46">
        <w:rPr>
          <w:rFonts w:ascii="Arial" w:hAnsi="Arial" w:cs="Arial"/>
          <w:b/>
          <w:bCs/>
        </w:rPr>
        <w:t xml:space="preserve"> </w:t>
      </w:r>
      <w:r w:rsidR="009B7CED" w:rsidRPr="00051B46">
        <w:rPr>
          <w:rFonts w:ascii="Arial" w:hAnsi="Arial" w:cs="Arial"/>
          <w:b/>
          <w:bCs/>
        </w:rPr>
        <w:t>cycle</w:t>
      </w:r>
      <w:r w:rsidR="00DE1341" w:rsidRPr="00051B46">
        <w:rPr>
          <w:rFonts w:ascii="Arial" w:hAnsi="Arial" w:cs="Arial"/>
          <w:b/>
          <w:bCs/>
        </w:rPr>
        <w:t xml:space="preserve"> </w:t>
      </w:r>
      <w:r w:rsidR="009B7CED" w:rsidRPr="00051B46">
        <w:rPr>
          <w:rFonts w:ascii="Arial" w:hAnsi="Arial" w:cs="Arial"/>
          <w:b/>
          <w:bCs/>
        </w:rPr>
        <w:t>activity</w:t>
      </w:r>
      <w:r w:rsidR="00DE1341" w:rsidRPr="00051B46">
        <w:rPr>
          <w:rFonts w:ascii="Arial" w:hAnsi="Arial" w:cs="Arial"/>
          <w:b/>
          <w:bCs/>
        </w:rPr>
        <w:t xml:space="preserve"> </w:t>
      </w:r>
      <w:r w:rsidR="009B7CED" w:rsidRPr="00051B46">
        <w:rPr>
          <w:rFonts w:ascii="Arial" w:hAnsi="Arial" w:cs="Arial"/>
          <w:b/>
          <w:bCs/>
        </w:rPr>
        <w:t>from</w:t>
      </w:r>
      <w:r w:rsidR="00DE1341" w:rsidRPr="00051B46">
        <w:rPr>
          <w:rFonts w:ascii="Arial" w:hAnsi="Arial" w:cs="Arial"/>
          <w:b/>
          <w:bCs/>
        </w:rPr>
        <w:t xml:space="preserve"> </w:t>
      </w:r>
      <w:r w:rsidR="009B7CED" w:rsidRPr="00051B46">
        <w:rPr>
          <w:rFonts w:ascii="Arial" w:hAnsi="Arial" w:cs="Arial"/>
          <w:b/>
          <w:bCs/>
        </w:rPr>
        <w:t>mitochondrial</w:t>
      </w:r>
      <w:r w:rsidR="00DE1341" w:rsidRPr="00051B46">
        <w:rPr>
          <w:rFonts w:ascii="Arial" w:hAnsi="Arial" w:cs="Arial"/>
          <w:b/>
          <w:bCs/>
        </w:rPr>
        <w:t xml:space="preserve"> </w:t>
      </w:r>
      <w:r w:rsidR="009B7CED" w:rsidRPr="00051B46">
        <w:rPr>
          <w:rFonts w:ascii="Arial" w:hAnsi="Arial" w:cs="Arial"/>
          <w:b/>
          <w:bCs/>
        </w:rPr>
        <w:t>respiration (8) b</w:t>
      </w:r>
      <w:r w:rsidR="00DE1341" w:rsidRPr="00051B46">
        <w:rPr>
          <w:rFonts w:ascii="Arial" w:hAnsi="Arial" w:cs="Arial"/>
          <w:b/>
          <w:bCs/>
        </w:rPr>
        <w:t>y d</w:t>
      </w:r>
      <w:r w:rsidR="009B7CED" w:rsidRPr="00051B46">
        <w:rPr>
          <w:rFonts w:ascii="Arial" w:hAnsi="Arial" w:cs="Arial"/>
          <w:b/>
          <w:bCs/>
        </w:rPr>
        <w:t>isrupting</w:t>
      </w:r>
      <w:r w:rsidR="00DE1341" w:rsidRPr="00051B46">
        <w:rPr>
          <w:rFonts w:ascii="Arial" w:hAnsi="Arial" w:cs="Arial"/>
          <w:b/>
          <w:bCs/>
        </w:rPr>
        <w:t xml:space="preserve"> </w:t>
      </w:r>
      <w:r w:rsidR="009B7CED" w:rsidRPr="00051B46">
        <w:rPr>
          <w:rFonts w:ascii="Arial" w:hAnsi="Arial" w:cs="Arial"/>
          <w:b/>
          <w:bCs/>
        </w:rPr>
        <w:t>the</w:t>
      </w:r>
      <w:r w:rsidR="00DE1341" w:rsidRPr="00051B46">
        <w:rPr>
          <w:rFonts w:ascii="Arial" w:hAnsi="Arial" w:cs="Arial"/>
          <w:b/>
          <w:bCs/>
        </w:rPr>
        <w:t xml:space="preserve"> </w:t>
      </w:r>
      <w:r w:rsidR="009B7CED" w:rsidRPr="00051B46">
        <w:rPr>
          <w:rFonts w:ascii="Arial" w:hAnsi="Arial" w:cs="Arial"/>
          <w:b/>
          <w:bCs/>
        </w:rPr>
        <w:t>mitochondrial</w:t>
      </w:r>
      <w:r w:rsidR="00DE1341" w:rsidRPr="00051B46">
        <w:rPr>
          <w:rFonts w:ascii="Arial" w:hAnsi="Arial" w:cs="Arial"/>
          <w:b/>
          <w:bCs/>
        </w:rPr>
        <w:t xml:space="preserve"> </w:t>
      </w:r>
      <w:r w:rsidR="009B7CED" w:rsidRPr="00051B46">
        <w:rPr>
          <w:rFonts w:ascii="Arial" w:hAnsi="Arial" w:cs="Arial"/>
          <w:b/>
          <w:bCs/>
        </w:rPr>
        <w:t>electrochemical</w:t>
      </w:r>
      <w:r w:rsidR="00DE1341" w:rsidRPr="00051B46">
        <w:rPr>
          <w:rFonts w:ascii="Arial" w:hAnsi="Arial" w:cs="Arial"/>
          <w:b/>
          <w:bCs/>
        </w:rPr>
        <w:t xml:space="preserve"> </w:t>
      </w:r>
      <w:r w:rsidR="009B7CED" w:rsidRPr="00051B46">
        <w:rPr>
          <w:rFonts w:ascii="Arial" w:hAnsi="Arial" w:cs="Arial"/>
          <w:b/>
          <w:bCs/>
        </w:rPr>
        <w:t>gradient</w:t>
      </w:r>
      <w:r w:rsidR="00DE1341" w:rsidRPr="00051B46">
        <w:rPr>
          <w:rFonts w:ascii="Arial" w:hAnsi="Arial" w:cs="Arial"/>
          <w:b/>
          <w:bCs/>
        </w:rPr>
        <w:t xml:space="preserve"> </w:t>
      </w:r>
      <w:r w:rsidR="009B7CED" w:rsidRPr="00051B46">
        <w:rPr>
          <w:rFonts w:ascii="Arial" w:hAnsi="Arial" w:cs="Arial"/>
          <w:b/>
          <w:bCs/>
        </w:rPr>
        <w:t>and</w:t>
      </w:r>
      <w:r w:rsidR="00DE1341" w:rsidRPr="00051B46">
        <w:rPr>
          <w:rFonts w:ascii="Arial" w:hAnsi="Arial" w:cs="Arial"/>
          <w:b/>
          <w:bCs/>
        </w:rPr>
        <w:t xml:space="preserve"> </w:t>
      </w:r>
      <w:r w:rsidR="009B7CED" w:rsidRPr="00051B46">
        <w:rPr>
          <w:rFonts w:ascii="Arial" w:hAnsi="Arial" w:cs="Arial"/>
          <w:b/>
          <w:bCs/>
        </w:rPr>
        <w:t>to</w:t>
      </w:r>
      <w:r w:rsidR="00DE1341" w:rsidRPr="00051B46">
        <w:rPr>
          <w:rFonts w:ascii="Arial" w:hAnsi="Arial" w:cs="Arial"/>
          <w:b/>
          <w:bCs/>
        </w:rPr>
        <w:t xml:space="preserve"> </w:t>
      </w:r>
      <w:r w:rsidR="009B7CED" w:rsidRPr="00051B46">
        <w:rPr>
          <w:rFonts w:ascii="Arial" w:hAnsi="Arial" w:cs="Arial"/>
          <w:b/>
          <w:bCs/>
        </w:rPr>
        <w:t>impair</w:t>
      </w:r>
      <w:r w:rsidR="00DE1341" w:rsidRPr="00051B46">
        <w:rPr>
          <w:rFonts w:ascii="Arial" w:hAnsi="Arial" w:cs="Arial"/>
          <w:b/>
          <w:bCs/>
        </w:rPr>
        <w:t xml:space="preserve"> </w:t>
      </w:r>
      <w:r w:rsidR="009B7CED" w:rsidRPr="00051B46">
        <w:rPr>
          <w:rFonts w:ascii="Arial" w:hAnsi="Arial" w:cs="Arial"/>
          <w:b/>
          <w:bCs/>
        </w:rPr>
        <w:t>ATP</w:t>
      </w:r>
      <w:r w:rsidR="00DE1341" w:rsidRPr="00051B46">
        <w:rPr>
          <w:rFonts w:ascii="Arial" w:hAnsi="Arial" w:cs="Arial"/>
          <w:b/>
          <w:bCs/>
        </w:rPr>
        <w:t xml:space="preserve"> </w:t>
      </w:r>
      <w:r w:rsidR="009B7CED" w:rsidRPr="00051B46">
        <w:rPr>
          <w:rFonts w:ascii="Arial" w:hAnsi="Arial" w:cs="Arial"/>
          <w:b/>
          <w:bCs/>
        </w:rPr>
        <w:t>synthesis (9). This</w:t>
      </w:r>
      <w:r w:rsidR="00DE1341" w:rsidRPr="00051B46">
        <w:rPr>
          <w:rFonts w:ascii="Arial" w:hAnsi="Arial" w:cs="Arial"/>
          <w:b/>
          <w:bCs/>
        </w:rPr>
        <w:t xml:space="preserve"> </w:t>
      </w:r>
      <w:r w:rsidR="009B7CED" w:rsidRPr="00051B46">
        <w:rPr>
          <w:rFonts w:ascii="Arial" w:hAnsi="Arial" w:cs="Arial"/>
          <w:b/>
          <w:bCs/>
        </w:rPr>
        <w:t>mitochondrial</w:t>
      </w:r>
      <w:r w:rsidR="00DE1341" w:rsidRPr="00051B46">
        <w:rPr>
          <w:rFonts w:ascii="Arial" w:hAnsi="Arial" w:cs="Arial"/>
          <w:b/>
          <w:bCs/>
        </w:rPr>
        <w:t xml:space="preserve"> </w:t>
      </w:r>
      <w:r w:rsidR="009B7CED" w:rsidRPr="00051B46">
        <w:rPr>
          <w:rFonts w:ascii="Arial" w:hAnsi="Arial" w:cs="Arial"/>
          <w:b/>
          <w:bCs/>
        </w:rPr>
        <w:t>milieu</w:t>
      </w:r>
      <w:r w:rsidR="00DE1341" w:rsidRPr="00051B46">
        <w:rPr>
          <w:rFonts w:ascii="Arial" w:hAnsi="Arial" w:cs="Arial"/>
          <w:b/>
          <w:bCs/>
        </w:rPr>
        <w:t xml:space="preserve"> </w:t>
      </w:r>
      <w:r w:rsidR="009B7CED" w:rsidRPr="00051B46">
        <w:rPr>
          <w:rFonts w:ascii="Arial" w:hAnsi="Arial" w:cs="Arial"/>
          <w:b/>
          <w:bCs/>
        </w:rPr>
        <w:t>could</w:t>
      </w:r>
      <w:r w:rsidR="00DE1341" w:rsidRPr="00051B46">
        <w:rPr>
          <w:rFonts w:ascii="Arial" w:hAnsi="Arial" w:cs="Arial"/>
          <w:b/>
          <w:bCs/>
        </w:rPr>
        <w:t xml:space="preserve"> </w:t>
      </w:r>
      <w:r w:rsidR="009B7CED" w:rsidRPr="00051B46">
        <w:rPr>
          <w:rFonts w:ascii="Arial" w:hAnsi="Arial" w:cs="Arial"/>
          <w:b/>
          <w:bCs/>
        </w:rPr>
        <w:t>be</w:t>
      </w:r>
      <w:r w:rsidR="00DE1341" w:rsidRPr="00051B46">
        <w:rPr>
          <w:rFonts w:ascii="Arial" w:hAnsi="Arial" w:cs="Arial"/>
          <w:b/>
          <w:bCs/>
        </w:rPr>
        <w:t xml:space="preserve"> </w:t>
      </w:r>
      <w:r w:rsidR="009B7CED" w:rsidRPr="00051B46">
        <w:rPr>
          <w:rFonts w:ascii="Arial" w:hAnsi="Arial" w:cs="Arial"/>
          <w:b/>
          <w:bCs/>
        </w:rPr>
        <w:t>a</w:t>
      </w:r>
      <w:r w:rsidR="00DE1341" w:rsidRPr="00051B46">
        <w:rPr>
          <w:rFonts w:ascii="Arial" w:hAnsi="Arial" w:cs="Arial"/>
          <w:b/>
          <w:bCs/>
        </w:rPr>
        <w:t xml:space="preserve"> </w:t>
      </w:r>
      <w:r w:rsidR="009B7CED" w:rsidRPr="00051B46">
        <w:rPr>
          <w:rFonts w:ascii="Arial" w:hAnsi="Arial" w:cs="Arial"/>
          <w:b/>
          <w:bCs/>
        </w:rPr>
        <w:t>chronic</w:t>
      </w:r>
      <w:r w:rsidR="00DE1341" w:rsidRPr="00051B46">
        <w:rPr>
          <w:rFonts w:ascii="Arial" w:hAnsi="Arial" w:cs="Arial"/>
          <w:b/>
          <w:bCs/>
        </w:rPr>
        <w:t xml:space="preserve"> </w:t>
      </w:r>
      <w:r w:rsidR="009B7CED" w:rsidRPr="00051B46">
        <w:rPr>
          <w:rFonts w:ascii="Arial" w:hAnsi="Arial" w:cs="Arial"/>
          <w:b/>
          <w:bCs/>
        </w:rPr>
        <w:t>source</w:t>
      </w:r>
      <w:r w:rsidR="00DE1341" w:rsidRPr="00051B46">
        <w:rPr>
          <w:rFonts w:ascii="Arial" w:hAnsi="Arial" w:cs="Arial"/>
          <w:b/>
          <w:bCs/>
        </w:rPr>
        <w:t xml:space="preserve"> </w:t>
      </w:r>
      <w:r w:rsidR="009B7CED" w:rsidRPr="00051B46">
        <w:rPr>
          <w:rFonts w:ascii="Arial" w:hAnsi="Arial" w:cs="Arial"/>
          <w:b/>
          <w:bCs/>
        </w:rPr>
        <w:t>of</w:t>
      </w:r>
      <w:r w:rsidR="00DE1341" w:rsidRPr="00051B46">
        <w:rPr>
          <w:rFonts w:ascii="Arial" w:hAnsi="Arial" w:cs="Arial"/>
          <w:b/>
          <w:bCs/>
        </w:rPr>
        <w:t xml:space="preserve"> </w:t>
      </w:r>
      <w:r w:rsidR="009B7CED" w:rsidRPr="00051B46">
        <w:rPr>
          <w:rFonts w:ascii="Arial" w:hAnsi="Arial" w:cs="Arial"/>
          <w:b/>
          <w:bCs/>
        </w:rPr>
        <w:t>ROS</w:t>
      </w:r>
      <w:r w:rsidR="00DE1341" w:rsidRPr="00051B46">
        <w:rPr>
          <w:rFonts w:ascii="Arial" w:hAnsi="Arial" w:cs="Arial"/>
          <w:b/>
          <w:bCs/>
        </w:rPr>
        <w:t xml:space="preserve"> </w:t>
      </w:r>
      <w:r w:rsidR="009B7CED" w:rsidRPr="00051B46">
        <w:rPr>
          <w:rFonts w:ascii="Arial" w:hAnsi="Arial" w:cs="Arial"/>
          <w:b/>
          <w:bCs/>
        </w:rPr>
        <w:t>generation</w:t>
      </w:r>
      <w:r w:rsidR="00760D1B" w:rsidRPr="00051B46">
        <w:rPr>
          <w:rFonts w:ascii="Arial" w:hAnsi="Arial" w:cs="Arial"/>
          <w:b/>
          <w:bCs/>
        </w:rPr>
        <w:t xml:space="preserve"> </w:t>
      </w:r>
      <w:r w:rsidR="009B7CED" w:rsidRPr="00051B46">
        <w:rPr>
          <w:rFonts w:ascii="Arial" w:hAnsi="Arial" w:cs="Arial"/>
          <w:b/>
          <w:bCs/>
        </w:rPr>
        <w:t>(10)</w:t>
      </w:r>
      <w:r w:rsidR="00DE1341" w:rsidRPr="00051B46">
        <w:rPr>
          <w:rFonts w:ascii="Arial" w:hAnsi="Arial" w:cs="Arial"/>
          <w:b/>
          <w:bCs/>
        </w:rPr>
        <w:t xml:space="preserve"> </w:t>
      </w:r>
      <w:r w:rsidR="009B7CED" w:rsidRPr="00051B46">
        <w:rPr>
          <w:rFonts w:ascii="Arial" w:hAnsi="Arial" w:cs="Arial"/>
          <w:b/>
          <w:bCs/>
        </w:rPr>
        <w:t>and cellular</w:t>
      </w:r>
      <w:r w:rsidR="00DE1341" w:rsidRPr="00051B46">
        <w:rPr>
          <w:rFonts w:ascii="Arial" w:hAnsi="Arial" w:cs="Arial"/>
          <w:b/>
          <w:bCs/>
        </w:rPr>
        <w:t xml:space="preserve"> </w:t>
      </w:r>
      <w:r w:rsidR="009B7CED" w:rsidRPr="00051B46">
        <w:rPr>
          <w:rFonts w:ascii="Arial" w:hAnsi="Arial" w:cs="Arial"/>
          <w:b/>
          <w:bCs/>
        </w:rPr>
        <w:t>inflammation, and</w:t>
      </w:r>
      <w:r w:rsidR="00DE1341" w:rsidRPr="00051B46">
        <w:rPr>
          <w:rFonts w:ascii="Arial" w:hAnsi="Arial" w:cs="Arial"/>
          <w:b/>
          <w:bCs/>
        </w:rPr>
        <w:t xml:space="preserve"> </w:t>
      </w:r>
      <w:r w:rsidR="009B7CED" w:rsidRPr="00051B46">
        <w:rPr>
          <w:rFonts w:ascii="Arial" w:hAnsi="Arial" w:cs="Arial"/>
          <w:b/>
          <w:bCs/>
        </w:rPr>
        <w:t>could</w:t>
      </w:r>
      <w:r w:rsidR="00DE1341" w:rsidRPr="00051B46">
        <w:rPr>
          <w:rFonts w:ascii="Arial" w:hAnsi="Arial" w:cs="Arial"/>
          <w:b/>
          <w:bCs/>
        </w:rPr>
        <w:t xml:space="preserve"> </w:t>
      </w:r>
      <w:r w:rsidR="009B7CED" w:rsidRPr="00051B46">
        <w:rPr>
          <w:rFonts w:ascii="Arial" w:hAnsi="Arial" w:cs="Arial"/>
          <w:b/>
          <w:bCs/>
        </w:rPr>
        <w:t>be</w:t>
      </w:r>
      <w:r w:rsidR="00DE1341" w:rsidRPr="00051B46">
        <w:rPr>
          <w:rFonts w:ascii="Arial" w:hAnsi="Arial" w:cs="Arial"/>
          <w:b/>
          <w:bCs/>
        </w:rPr>
        <w:t xml:space="preserve"> </w:t>
      </w:r>
      <w:r w:rsidR="009B7CED" w:rsidRPr="00051B46">
        <w:rPr>
          <w:rFonts w:ascii="Arial" w:hAnsi="Arial" w:cs="Arial"/>
          <w:b/>
          <w:bCs/>
        </w:rPr>
        <w:t>a</w:t>
      </w:r>
      <w:r w:rsidR="00DE1341" w:rsidRPr="00051B46">
        <w:rPr>
          <w:rFonts w:ascii="Arial" w:hAnsi="Arial" w:cs="Arial"/>
          <w:b/>
          <w:bCs/>
        </w:rPr>
        <w:t xml:space="preserve"> </w:t>
      </w:r>
      <w:r w:rsidR="009B7CED" w:rsidRPr="00051B46">
        <w:rPr>
          <w:rFonts w:ascii="Arial" w:hAnsi="Arial" w:cs="Arial"/>
          <w:b/>
          <w:bCs/>
        </w:rPr>
        <w:t>target</w:t>
      </w:r>
      <w:r w:rsidR="00DE1341" w:rsidRPr="00051B46">
        <w:rPr>
          <w:rFonts w:ascii="Arial" w:hAnsi="Arial" w:cs="Arial"/>
          <w:b/>
          <w:bCs/>
        </w:rPr>
        <w:t xml:space="preserve"> </w:t>
      </w:r>
      <w:r w:rsidR="009B7CED" w:rsidRPr="00051B46">
        <w:rPr>
          <w:rFonts w:ascii="Arial" w:hAnsi="Arial" w:cs="Arial"/>
          <w:b/>
          <w:bCs/>
        </w:rPr>
        <w:t>for</w:t>
      </w:r>
      <w:r w:rsidR="00DE1341" w:rsidRPr="00051B46">
        <w:rPr>
          <w:rFonts w:ascii="Arial" w:hAnsi="Arial" w:cs="Arial"/>
          <w:b/>
          <w:bCs/>
        </w:rPr>
        <w:t xml:space="preserve"> </w:t>
      </w:r>
      <w:r w:rsidR="009B7CED" w:rsidRPr="00051B46">
        <w:rPr>
          <w:rFonts w:ascii="Arial" w:hAnsi="Arial" w:cs="Arial"/>
          <w:b/>
          <w:bCs/>
        </w:rPr>
        <w:t>therapeutic</w:t>
      </w:r>
      <w:r w:rsidR="00DE1341" w:rsidRPr="00051B46">
        <w:rPr>
          <w:rFonts w:ascii="Arial" w:hAnsi="Arial" w:cs="Arial"/>
          <w:b/>
          <w:bCs/>
        </w:rPr>
        <w:t xml:space="preserve"> </w:t>
      </w:r>
      <w:r w:rsidR="009B7CED" w:rsidRPr="00051B46">
        <w:rPr>
          <w:rFonts w:ascii="Arial" w:hAnsi="Arial" w:cs="Arial"/>
          <w:b/>
          <w:bCs/>
        </w:rPr>
        <w:t>manipulations</w:t>
      </w:r>
      <w:r w:rsidR="00DE1341" w:rsidRPr="00051B46">
        <w:rPr>
          <w:rFonts w:ascii="Arial" w:hAnsi="Arial" w:cs="Arial"/>
          <w:b/>
          <w:bCs/>
        </w:rPr>
        <w:t>.</w:t>
      </w:r>
      <w:r w:rsidR="00760D1B" w:rsidRPr="00051B46">
        <w:rPr>
          <w:rFonts w:ascii="Arial" w:hAnsi="Arial" w:cs="Arial"/>
          <w:b/>
          <w:bCs/>
        </w:rPr>
        <w:t xml:space="preserve"> </w:t>
      </w:r>
      <w:r w:rsidR="009B7CED" w:rsidRPr="00051B46">
        <w:rPr>
          <w:rFonts w:ascii="Arial" w:hAnsi="Arial" w:cs="Arial"/>
          <w:b/>
          <w:bCs/>
        </w:rPr>
        <w:t>Abbreviations:</w:t>
      </w:r>
      <w:r w:rsidR="00DE1341" w:rsidRPr="00051B46">
        <w:rPr>
          <w:rFonts w:ascii="Arial" w:hAnsi="Arial" w:cs="Arial"/>
          <w:b/>
          <w:bCs/>
        </w:rPr>
        <w:t xml:space="preserve"> </w:t>
      </w:r>
      <w:proofErr w:type="spellStart"/>
      <w:r w:rsidR="009B7CED" w:rsidRPr="00051B46">
        <w:rPr>
          <w:rFonts w:ascii="Arial" w:hAnsi="Arial" w:cs="Arial"/>
          <w:b/>
          <w:bCs/>
        </w:rPr>
        <w:t>Cer</w:t>
      </w:r>
      <w:proofErr w:type="spellEnd"/>
      <w:r w:rsidR="009B7CED" w:rsidRPr="00051B46">
        <w:rPr>
          <w:rFonts w:ascii="Arial" w:hAnsi="Arial" w:cs="Arial"/>
          <w:b/>
          <w:bCs/>
        </w:rPr>
        <w:t>,</w:t>
      </w:r>
      <w:r w:rsidR="00DE1341" w:rsidRPr="00051B46">
        <w:rPr>
          <w:rFonts w:ascii="Arial" w:hAnsi="Arial" w:cs="Arial"/>
          <w:b/>
          <w:bCs/>
        </w:rPr>
        <w:t xml:space="preserve"> </w:t>
      </w:r>
      <w:r w:rsidR="009B7CED" w:rsidRPr="00051B46">
        <w:rPr>
          <w:rFonts w:ascii="Arial" w:hAnsi="Arial" w:cs="Arial"/>
          <w:b/>
          <w:bCs/>
        </w:rPr>
        <w:t>ceramides;</w:t>
      </w:r>
      <w:r w:rsidR="00DE1341" w:rsidRPr="00051B46">
        <w:rPr>
          <w:rFonts w:ascii="Arial" w:hAnsi="Arial" w:cs="Arial"/>
          <w:b/>
          <w:bCs/>
        </w:rPr>
        <w:t xml:space="preserve"> </w:t>
      </w:r>
      <w:r w:rsidR="009B7CED" w:rsidRPr="00051B46">
        <w:rPr>
          <w:rFonts w:ascii="Arial" w:hAnsi="Arial" w:cs="Arial"/>
          <w:b/>
          <w:bCs/>
        </w:rPr>
        <w:t>CoA,</w:t>
      </w:r>
      <w:r w:rsidR="00DE1341" w:rsidRPr="00051B46">
        <w:rPr>
          <w:rFonts w:ascii="Arial" w:hAnsi="Arial" w:cs="Arial"/>
          <w:b/>
          <w:bCs/>
        </w:rPr>
        <w:t xml:space="preserve"> </w:t>
      </w:r>
      <w:r w:rsidR="009B7CED" w:rsidRPr="00051B46">
        <w:rPr>
          <w:rFonts w:ascii="Arial" w:hAnsi="Arial" w:cs="Arial"/>
          <w:b/>
          <w:bCs/>
        </w:rPr>
        <w:t>coenzyme</w:t>
      </w:r>
      <w:r w:rsidR="00DE1341" w:rsidRPr="00051B46">
        <w:rPr>
          <w:rFonts w:ascii="Arial" w:hAnsi="Arial" w:cs="Arial"/>
          <w:b/>
          <w:bCs/>
        </w:rPr>
        <w:t xml:space="preserve"> </w:t>
      </w:r>
      <w:r w:rsidR="009B7CED" w:rsidRPr="00051B46">
        <w:rPr>
          <w:rFonts w:ascii="Arial" w:hAnsi="Arial" w:cs="Arial"/>
          <w:b/>
          <w:bCs/>
        </w:rPr>
        <w:t>A;</w:t>
      </w:r>
      <w:r w:rsidR="00DE1341" w:rsidRPr="00051B46">
        <w:rPr>
          <w:rFonts w:ascii="Arial" w:hAnsi="Arial" w:cs="Arial"/>
          <w:b/>
          <w:bCs/>
        </w:rPr>
        <w:t xml:space="preserve"> </w:t>
      </w:r>
      <w:r w:rsidR="009B7CED" w:rsidRPr="00051B46">
        <w:rPr>
          <w:rFonts w:ascii="Arial" w:hAnsi="Arial" w:cs="Arial"/>
          <w:b/>
          <w:bCs/>
        </w:rPr>
        <w:t>DAGs,</w:t>
      </w:r>
      <w:r w:rsidR="00DE1341" w:rsidRPr="00051B46">
        <w:rPr>
          <w:rFonts w:ascii="Arial" w:hAnsi="Arial" w:cs="Arial"/>
          <w:b/>
          <w:bCs/>
        </w:rPr>
        <w:t xml:space="preserve"> </w:t>
      </w:r>
      <w:r w:rsidR="009B7CED" w:rsidRPr="00051B46">
        <w:rPr>
          <w:rFonts w:ascii="Arial" w:hAnsi="Arial" w:cs="Arial"/>
          <w:b/>
          <w:bCs/>
        </w:rPr>
        <w:t>diacylglycerols;</w:t>
      </w:r>
      <w:r w:rsidR="00DE1341" w:rsidRPr="00051B46">
        <w:rPr>
          <w:rFonts w:ascii="Arial" w:hAnsi="Arial" w:cs="Arial"/>
          <w:b/>
          <w:bCs/>
        </w:rPr>
        <w:t xml:space="preserve"> </w:t>
      </w:r>
      <w:r w:rsidR="009B7CED" w:rsidRPr="00051B46">
        <w:rPr>
          <w:rFonts w:ascii="Arial" w:hAnsi="Arial" w:cs="Arial"/>
          <w:b/>
          <w:bCs/>
        </w:rPr>
        <w:t>FFAs,</w:t>
      </w:r>
      <w:r w:rsidR="00DE1341" w:rsidRPr="00051B46">
        <w:rPr>
          <w:rFonts w:ascii="Arial" w:hAnsi="Arial" w:cs="Arial"/>
          <w:b/>
          <w:bCs/>
        </w:rPr>
        <w:t xml:space="preserve"> </w:t>
      </w:r>
      <w:r w:rsidR="009B7CED" w:rsidRPr="00051B46">
        <w:rPr>
          <w:rFonts w:ascii="Arial" w:hAnsi="Arial" w:cs="Arial"/>
          <w:b/>
          <w:bCs/>
        </w:rPr>
        <w:t>free</w:t>
      </w:r>
      <w:r w:rsidR="00760D1B" w:rsidRPr="00051B46">
        <w:rPr>
          <w:rFonts w:ascii="Arial" w:hAnsi="Arial" w:cs="Arial"/>
          <w:b/>
          <w:bCs/>
        </w:rPr>
        <w:t xml:space="preserve"> </w:t>
      </w:r>
      <w:r w:rsidR="009B7CED" w:rsidRPr="00051B46">
        <w:rPr>
          <w:rFonts w:ascii="Arial" w:hAnsi="Arial" w:cs="Arial"/>
          <w:b/>
          <w:bCs/>
        </w:rPr>
        <w:t>fatty acid;</w:t>
      </w:r>
      <w:r w:rsidR="00DE1341" w:rsidRPr="00051B46">
        <w:rPr>
          <w:rFonts w:ascii="Arial" w:hAnsi="Arial" w:cs="Arial"/>
          <w:b/>
          <w:bCs/>
        </w:rPr>
        <w:t xml:space="preserve"> </w:t>
      </w:r>
      <w:r w:rsidR="009B7CED" w:rsidRPr="00051B46">
        <w:rPr>
          <w:rFonts w:ascii="Arial" w:hAnsi="Arial" w:cs="Arial"/>
          <w:b/>
          <w:bCs/>
        </w:rPr>
        <w:t>NASH,</w:t>
      </w:r>
      <w:r w:rsidR="00DE1341" w:rsidRPr="00051B46">
        <w:rPr>
          <w:rFonts w:ascii="Arial" w:hAnsi="Arial" w:cs="Arial"/>
          <w:b/>
          <w:bCs/>
        </w:rPr>
        <w:t xml:space="preserve"> </w:t>
      </w:r>
      <w:proofErr w:type="spellStart"/>
      <w:r w:rsidR="009B7CED" w:rsidRPr="00051B46">
        <w:rPr>
          <w:rFonts w:ascii="Arial" w:hAnsi="Arial" w:cs="Arial"/>
          <w:b/>
          <w:bCs/>
        </w:rPr>
        <w:t>nonalcoholicsteatohepatitis</w:t>
      </w:r>
      <w:proofErr w:type="spellEnd"/>
      <w:r w:rsidR="009B7CED" w:rsidRPr="00051B46">
        <w:rPr>
          <w:rFonts w:ascii="Arial" w:hAnsi="Arial" w:cs="Arial"/>
          <w:b/>
          <w:bCs/>
        </w:rPr>
        <w:t>;</w:t>
      </w:r>
      <w:r w:rsidR="00DE1341" w:rsidRPr="00051B46">
        <w:rPr>
          <w:rFonts w:ascii="Arial" w:hAnsi="Arial" w:cs="Arial"/>
          <w:b/>
          <w:bCs/>
        </w:rPr>
        <w:t xml:space="preserve"> </w:t>
      </w:r>
      <w:r w:rsidR="009B7CED" w:rsidRPr="00051B46">
        <w:rPr>
          <w:rFonts w:ascii="Arial" w:hAnsi="Arial" w:cs="Arial"/>
          <w:b/>
          <w:bCs/>
        </w:rPr>
        <w:t>PEP,</w:t>
      </w:r>
      <w:r w:rsidR="00DE1341" w:rsidRPr="00051B46">
        <w:rPr>
          <w:rFonts w:ascii="Arial" w:hAnsi="Arial" w:cs="Arial"/>
          <w:b/>
          <w:bCs/>
        </w:rPr>
        <w:t xml:space="preserve"> </w:t>
      </w:r>
      <w:r w:rsidR="009B7CED" w:rsidRPr="00051B46">
        <w:rPr>
          <w:rFonts w:ascii="Arial" w:hAnsi="Arial" w:cs="Arial"/>
          <w:b/>
          <w:bCs/>
        </w:rPr>
        <w:t>phosphoenolpyruvate;</w:t>
      </w:r>
      <w:r w:rsidR="00DE1341" w:rsidRPr="00051B46">
        <w:rPr>
          <w:rFonts w:ascii="Arial" w:hAnsi="Arial" w:cs="Arial"/>
          <w:b/>
          <w:bCs/>
        </w:rPr>
        <w:t xml:space="preserve"> </w:t>
      </w:r>
      <w:r w:rsidR="009B7CED" w:rsidRPr="00051B46">
        <w:rPr>
          <w:rFonts w:ascii="Arial" w:hAnsi="Arial" w:cs="Arial"/>
          <w:b/>
          <w:bCs/>
        </w:rPr>
        <w:t>ROS,</w:t>
      </w:r>
      <w:r w:rsidR="00DE1341" w:rsidRPr="00051B46">
        <w:rPr>
          <w:rFonts w:ascii="Arial" w:hAnsi="Arial" w:cs="Arial"/>
          <w:b/>
          <w:bCs/>
        </w:rPr>
        <w:t xml:space="preserve"> </w:t>
      </w:r>
      <w:r w:rsidR="009B7CED" w:rsidRPr="00051B46">
        <w:rPr>
          <w:rFonts w:ascii="Arial" w:hAnsi="Arial" w:cs="Arial"/>
          <w:b/>
          <w:bCs/>
        </w:rPr>
        <w:t>reactive</w:t>
      </w:r>
      <w:r w:rsidR="00DE1341" w:rsidRPr="00051B46">
        <w:rPr>
          <w:rFonts w:ascii="Arial" w:hAnsi="Arial" w:cs="Arial"/>
          <w:b/>
          <w:bCs/>
        </w:rPr>
        <w:t xml:space="preserve"> </w:t>
      </w:r>
      <w:r w:rsidR="009B7CED" w:rsidRPr="00051B46">
        <w:rPr>
          <w:rFonts w:ascii="Arial" w:hAnsi="Arial" w:cs="Arial"/>
          <w:b/>
          <w:bCs/>
        </w:rPr>
        <w:t>oxygen</w:t>
      </w:r>
      <w:r w:rsidR="00DE1341" w:rsidRPr="00051B46">
        <w:rPr>
          <w:rFonts w:ascii="Arial" w:hAnsi="Arial" w:cs="Arial"/>
          <w:b/>
          <w:bCs/>
        </w:rPr>
        <w:t xml:space="preserve"> </w:t>
      </w:r>
      <w:r w:rsidR="009B7CED" w:rsidRPr="00051B46">
        <w:rPr>
          <w:rFonts w:ascii="Arial" w:hAnsi="Arial" w:cs="Arial"/>
          <w:b/>
          <w:bCs/>
        </w:rPr>
        <w:t>species;</w:t>
      </w:r>
      <w:r w:rsidR="00DE1341" w:rsidRPr="00051B46">
        <w:rPr>
          <w:rFonts w:ascii="Arial" w:hAnsi="Arial" w:cs="Arial"/>
          <w:b/>
          <w:bCs/>
        </w:rPr>
        <w:t xml:space="preserve"> </w:t>
      </w:r>
      <w:r w:rsidR="009B7CED" w:rsidRPr="00051B46">
        <w:rPr>
          <w:rFonts w:ascii="Arial" w:hAnsi="Arial" w:cs="Arial"/>
          <w:b/>
          <w:bCs/>
        </w:rPr>
        <w:t>TCA,</w:t>
      </w:r>
      <w:r w:rsidR="00DE1341" w:rsidRPr="00051B46">
        <w:rPr>
          <w:rFonts w:ascii="Arial" w:hAnsi="Arial" w:cs="Arial"/>
          <w:b/>
          <w:bCs/>
        </w:rPr>
        <w:t xml:space="preserve"> </w:t>
      </w:r>
      <w:r w:rsidR="009B7CED" w:rsidRPr="00051B46">
        <w:rPr>
          <w:rFonts w:ascii="Arial" w:hAnsi="Arial" w:cs="Arial"/>
          <w:b/>
          <w:bCs/>
        </w:rPr>
        <w:t>tricarboxylic</w:t>
      </w:r>
      <w:r w:rsidR="00640D78" w:rsidRPr="00051B46">
        <w:rPr>
          <w:rFonts w:ascii="Arial" w:hAnsi="Arial" w:cs="Arial"/>
          <w:b/>
          <w:bCs/>
        </w:rPr>
        <w:t xml:space="preserve"> </w:t>
      </w:r>
      <w:r w:rsidR="009B7CED" w:rsidRPr="00051B46">
        <w:rPr>
          <w:rFonts w:ascii="Arial" w:hAnsi="Arial" w:cs="Arial"/>
          <w:b/>
          <w:bCs/>
        </w:rPr>
        <w:t>acid.</w:t>
      </w:r>
    </w:p>
    <w:p w14:paraId="728E0E82" w14:textId="64E03C95" w:rsidR="00640D78" w:rsidRPr="00051B46" w:rsidRDefault="001C4319" w:rsidP="002506B3">
      <w:pPr>
        <w:spacing w:after="0" w:line="276" w:lineRule="auto"/>
        <w:rPr>
          <w:rFonts w:ascii="Arial" w:hAnsi="Arial" w:cs="Arial"/>
          <w:b/>
          <w:bCs/>
        </w:rPr>
      </w:pPr>
      <w:r w:rsidRPr="00051B46">
        <w:rPr>
          <w:rFonts w:ascii="Arial" w:hAnsi="Arial" w:cs="Arial"/>
          <w:b/>
          <w:bCs/>
        </w:rPr>
        <w:t xml:space="preserve"> </w:t>
      </w:r>
    </w:p>
    <w:p w14:paraId="30ECEEE9" w14:textId="3E5DBB9C" w:rsidR="00C940C8" w:rsidRPr="00051B46" w:rsidRDefault="00090ACA" w:rsidP="002506B3">
      <w:pPr>
        <w:spacing w:after="0" w:line="276" w:lineRule="auto"/>
        <w:rPr>
          <w:rFonts w:ascii="Arial" w:hAnsi="Arial" w:cs="Arial"/>
        </w:rPr>
      </w:pPr>
      <w:r w:rsidRPr="00051B46">
        <w:rPr>
          <w:rFonts w:ascii="Arial" w:hAnsi="Arial" w:cs="Arial"/>
        </w:rPr>
        <w:t xml:space="preserve">However, linking NASH only to altered mitochondrial flux is obviously an oversimplification of a complex web of many factors at play.  </w:t>
      </w:r>
      <w:r w:rsidR="00E6209B" w:rsidRPr="00051B46">
        <w:rPr>
          <w:rFonts w:ascii="Arial" w:hAnsi="Arial" w:cs="Arial"/>
        </w:rPr>
        <w:t xml:space="preserve">Other pathways </w:t>
      </w:r>
      <w:r w:rsidR="007E50C2" w:rsidRPr="00051B46">
        <w:rPr>
          <w:rFonts w:ascii="Arial" w:hAnsi="Arial" w:cs="Arial"/>
        </w:rPr>
        <w:t xml:space="preserve">that </w:t>
      </w:r>
      <w:r w:rsidR="000D5571" w:rsidRPr="00051B46">
        <w:rPr>
          <w:rFonts w:ascii="Arial" w:hAnsi="Arial" w:cs="Arial"/>
        </w:rPr>
        <w:t>have been</w:t>
      </w:r>
      <w:r w:rsidR="00C940C8" w:rsidRPr="00051B46">
        <w:rPr>
          <w:rFonts w:ascii="Arial" w:hAnsi="Arial" w:cs="Arial"/>
        </w:rPr>
        <w:t xml:space="preserve"> </w:t>
      </w:r>
      <w:r w:rsidR="00E6209B" w:rsidRPr="00051B46">
        <w:rPr>
          <w:rFonts w:ascii="Arial" w:hAnsi="Arial" w:cs="Arial"/>
        </w:rPr>
        <w:t>implicated</w:t>
      </w:r>
      <w:r w:rsidR="007E50C2" w:rsidRPr="00051B46">
        <w:rPr>
          <w:rFonts w:ascii="Arial" w:hAnsi="Arial" w:cs="Arial"/>
        </w:rPr>
        <w:t xml:space="preserve"> in hepatocyte injury and the development of NASH</w:t>
      </w:r>
      <w:r w:rsidR="000D5571" w:rsidRPr="00051B46">
        <w:rPr>
          <w:rFonts w:ascii="Arial" w:hAnsi="Arial" w:cs="Arial"/>
        </w:rPr>
        <w:t>, although rather broadly,</w:t>
      </w:r>
      <w:r w:rsidR="00E6209B" w:rsidRPr="00051B46">
        <w:rPr>
          <w:rFonts w:ascii="Arial" w:hAnsi="Arial" w:cs="Arial"/>
        </w:rPr>
        <w:t xml:space="preserve"> </w:t>
      </w:r>
      <w:r w:rsidR="0057500E" w:rsidRPr="00051B46">
        <w:rPr>
          <w:rFonts w:ascii="Arial" w:hAnsi="Arial" w:cs="Arial"/>
        </w:rPr>
        <w:t>inclu</w:t>
      </w:r>
      <w:r w:rsidR="007E50C2" w:rsidRPr="00051B46">
        <w:rPr>
          <w:rFonts w:ascii="Arial" w:hAnsi="Arial" w:cs="Arial"/>
        </w:rPr>
        <w:t>de</w:t>
      </w:r>
      <w:r w:rsidR="0057500E" w:rsidRPr="00051B46">
        <w:rPr>
          <w:rFonts w:ascii="Arial" w:hAnsi="Arial" w:cs="Arial"/>
        </w:rPr>
        <w:t xml:space="preserve"> cholesterol accumulation in hepatocytes</w:t>
      </w:r>
      <w:r w:rsidR="007E50C2" w:rsidRPr="00051B46">
        <w:rPr>
          <w:rFonts w:ascii="Arial" w:hAnsi="Arial" w:cs="Arial"/>
        </w:rPr>
        <w:t xml:space="preserve"> </w:t>
      </w:r>
      <w:r w:rsidR="00F71066" w:rsidRPr="00051B46">
        <w:rPr>
          <w:rFonts w:ascii="Arial" w:hAnsi="Arial" w:cs="Arial"/>
        </w:rPr>
        <w:t xml:space="preserve">(96) </w:t>
      </w:r>
      <w:r w:rsidR="00A31593" w:rsidRPr="00051B46">
        <w:rPr>
          <w:rFonts w:ascii="Arial" w:hAnsi="Arial" w:cs="Arial"/>
        </w:rPr>
        <w:t xml:space="preserve">and a tangled web involving </w:t>
      </w:r>
      <w:r w:rsidR="00C940C8" w:rsidRPr="00051B46">
        <w:rPr>
          <w:rFonts w:ascii="Arial" w:hAnsi="Arial" w:cs="Arial"/>
        </w:rPr>
        <w:t>activation of apoptotic pathways</w:t>
      </w:r>
      <w:r w:rsidR="00A31593" w:rsidRPr="00051B46">
        <w:rPr>
          <w:rFonts w:ascii="Arial" w:hAnsi="Arial" w:cs="Arial"/>
        </w:rPr>
        <w:t xml:space="preserve"> with</w:t>
      </w:r>
      <w:r w:rsidR="00C940C8" w:rsidRPr="00051B46">
        <w:rPr>
          <w:rFonts w:ascii="Arial" w:hAnsi="Arial" w:cs="Arial"/>
        </w:rPr>
        <w:t xml:space="preserve"> </w:t>
      </w:r>
      <w:r w:rsidR="00725AD6" w:rsidRPr="00051B46">
        <w:rPr>
          <w:rFonts w:ascii="Arial" w:hAnsi="Arial" w:cs="Arial"/>
        </w:rPr>
        <w:t xml:space="preserve">ER </w:t>
      </w:r>
      <w:r w:rsidR="00C940C8" w:rsidRPr="00051B46">
        <w:rPr>
          <w:rFonts w:ascii="Arial" w:hAnsi="Arial" w:cs="Arial"/>
        </w:rPr>
        <w:t>stress</w:t>
      </w:r>
      <w:r w:rsidR="00A31593" w:rsidRPr="00051B46">
        <w:rPr>
          <w:rFonts w:ascii="Arial" w:hAnsi="Arial" w:cs="Arial"/>
        </w:rPr>
        <w:t xml:space="preserve"> and </w:t>
      </w:r>
      <w:r w:rsidR="00C940C8" w:rsidRPr="00051B46">
        <w:rPr>
          <w:rFonts w:ascii="Arial" w:hAnsi="Arial" w:cs="Arial"/>
        </w:rPr>
        <w:t>abnormal</w:t>
      </w:r>
      <w:r w:rsidR="00A31593" w:rsidRPr="00051B46">
        <w:rPr>
          <w:rFonts w:ascii="Arial" w:hAnsi="Arial" w:cs="Arial"/>
        </w:rPr>
        <w:t xml:space="preserve"> </w:t>
      </w:r>
      <w:r w:rsidR="00C940C8" w:rsidRPr="00051B46">
        <w:rPr>
          <w:rFonts w:ascii="Arial" w:hAnsi="Arial" w:cs="Arial"/>
        </w:rPr>
        <w:t>unfolded protein response</w:t>
      </w:r>
      <w:r w:rsidR="00A31593" w:rsidRPr="00051B46">
        <w:rPr>
          <w:rFonts w:ascii="Arial" w:hAnsi="Arial" w:cs="Arial"/>
        </w:rPr>
        <w:t xml:space="preserve"> </w:t>
      </w:r>
      <w:r w:rsidR="00551918" w:rsidRPr="00051B46">
        <w:rPr>
          <w:rFonts w:ascii="Arial" w:hAnsi="Arial" w:cs="Arial"/>
        </w:rPr>
        <w:t>(97)</w:t>
      </w:r>
      <w:r w:rsidR="00A31593" w:rsidRPr="00051B46">
        <w:rPr>
          <w:rFonts w:ascii="Arial" w:hAnsi="Arial" w:cs="Arial"/>
        </w:rPr>
        <w:t>, as well as</w:t>
      </w:r>
      <w:r w:rsidR="00C940C8" w:rsidRPr="00051B46">
        <w:rPr>
          <w:rFonts w:ascii="Arial" w:hAnsi="Arial" w:cs="Arial"/>
        </w:rPr>
        <w:t xml:space="preserve"> defects in autophagy (</w:t>
      </w:r>
      <w:r w:rsidR="00551918" w:rsidRPr="00051B46">
        <w:rPr>
          <w:rFonts w:ascii="Arial" w:hAnsi="Arial" w:cs="Arial"/>
        </w:rPr>
        <w:t>98</w:t>
      </w:r>
      <w:r w:rsidR="00C940C8" w:rsidRPr="00051B46">
        <w:rPr>
          <w:rFonts w:ascii="Arial" w:hAnsi="Arial" w:cs="Arial"/>
        </w:rPr>
        <w:t>). Recently, inflammasome activation has gained attention as it integrates</w:t>
      </w:r>
      <w:r w:rsidR="007E50C2" w:rsidRPr="00051B46">
        <w:rPr>
          <w:rFonts w:ascii="Arial" w:hAnsi="Arial" w:cs="Arial"/>
        </w:rPr>
        <w:t xml:space="preserve"> many</w:t>
      </w:r>
      <w:r w:rsidR="00C940C8" w:rsidRPr="00051B46">
        <w:rPr>
          <w:rFonts w:ascii="Arial" w:hAnsi="Arial" w:cs="Arial"/>
        </w:rPr>
        <w:t xml:space="preserve"> cytoplasmic signals </w:t>
      </w:r>
      <w:r w:rsidR="007E50C2" w:rsidRPr="00051B46">
        <w:rPr>
          <w:rFonts w:ascii="Arial" w:hAnsi="Arial" w:cs="Arial"/>
        </w:rPr>
        <w:t xml:space="preserve">into </w:t>
      </w:r>
      <w:r w:rsidR="00C940C8" w:rsidRPr="00051B46">
        <w:rPr>
          <w:rFonts w:ascii="Arial" w:hAnsi="Arial" w:cs="Arial"/>
        </w:rPr>
        <w:t xml:space="preserve">danger-associated molecular patterns </w:t>
      </w:r>
      <w:r w:rsidR="007E50C2" w:rsidRPr="00051B46">
        <w:rPr>
          <w:rFonts w:ascii="Arial" w:hAnsi="Arial" w:cs="Arial"/>
        </w:rPr>
        <w:t>(</w:t>
      </w:r>
      <w:r w:rsidR="00C940C8" w:rsidRPr="00051B46">
        <w:rPr>
          <w:rFonts w:ascii="Arial" w:hAnsi="Arial" w:cs="Arial"/>
        </w:rPr>
        <w:t>DAMPs) fro</w:t>
      </w:r>
      <w:r w:rsidR="007E50C2" w:rsidRPr="00051B46">
        <w:rPr>
          <w:rFonts w:ascii="Arial" w:hAnsi="Arial" w:cs="Arial"/>
        </w:rPr>
        <w:t xml:space="preserve">m diverse </w:t>
      </w:r>
      <w:r w:rsidR="00C940C8" w:rsidRPr="00051B46">
        <w:rPr>
          <w:rFonts w:ascii="Arial" w:hAnsi="Arial" w:cs="Arial"/>
        </w:rPr>
        <w:t>sources</w:t>
      </w:r>
      <w:r w:rsidR="007E50C2" w:rsidRPr="00051B46">
        <w:rPr>
          <w:rFonts w:ascii="Arial" w:hAnsi="Arial" w:cs="Arial"/>
        </w:rPr>
        <w:t xml:space="preserve"> such as</w:t>
      </w:r>
      <w:r w:rsidR="00C940C8" w:rsidRPr="00051B46">
        <w:rPr>
          <w:rFonts w:ascii="Arial" w:hAnsi="Arial" w:cs="Arial"/>
        </w:rPr>
        <w:t xml:space="preserve"> intracellular lipids </w:t>
      </w:r>
      <w:r w:rsidR="007E50C2" w:rsidRPr="00051B46">
        <w:rPr>
          <w:rFonts w:ascii="Arial" w:hAnsi="Arial" w:cs="Arial"/>
        </w:rPr>
        <w:t>to</w:t>
      </w:r>
      <w:r w:rsidR="00C940C8" w:rsidRPr="00051B46">
        <w:rPr>
          <w:rFonts w:ascii="Arial" w:hAnsi="Arial" w:cs="Arial"/>
        </w:rPr>
        <w:t xml:space="preserve"> the gut microbiome </w:t>
      </w:r>
      <w:r w:rsidR="00551918" w:rsidRPr="00051B46">
        <w:rPr>
          <w:rFonts w:ascii="Arial" w:hAnsi="Arial" w:cs="Arial"/>
        </w:rPr>
        <w:t>(97, 98).</w:t>
      </w:r>
    </w:p>
    <w:p w14:paraId="3AB749ED" w14:textId="77777777" w:rsidR="00090ACA" w:rsidRPr="00051B46" w:rsidRDefault="00090ACA" w:rsidP="002506B3">
      <w:pPr>
        <w:spacing w:after="0" w:line="276" w:lineRule="auto"/>
        <w:rPr>
          <w:rFonts w:ascii="Arial" w:hAnsi="Arial" w:cs="Arial"/>
          <w:b/>
          <w:bCs/>
        </w:rPr>
      </w:pPr>
    </w:p>
    <w:p w14:paraId="72B7E244" w14:textId="2E9A91BE" w:rsidR="000D5DA4" w:rsidRPr="00051B46" w:rsidRDefault="000D5DA4" w:rsidP="002506B3">
      <w:pPr>
        <w:spacing w:after="0" w:line="276" w:lineRule="auto"/>
        <w:rPr>
          <w:rFonts w:ascii="Arial" w:hAnsi="Arial" w:cs="Arial"/>
        </w:rPr>
      </w:pPr>
      <w:r w:rsidRPr="00051B46">
        <w:rPr>
          <w:rFonts w:ascii="Arial" w:hAnsi="Arial" w:cs="Arial"/>
        </w:rPr>
        <w:t xml:space="preserve">Diet and gut microbiota have been </w:t>
      </w:r>
      <w:r w:rsidR="007E50C2" w:rsidRPr="00051B46">
        <w:rPr>
          <w:rFonts w:ascii="Arial" w:hAnsi="Arial" w:cs="Arial"/>
        </w:rPr>
        <w:t xml:space="preserve">repeatedly </w:t>
      </w:r>
      <w:r w:rsidRPr="00051B46">
        <w:rPr>
          <w:rFonts w:ascii="Arial" w:hAnsi="Arial" w:cs="Arial"/>
        </w:rPr>
        <w:t xml:space="preserve">implicated to play a role in the pathogenesis of NAFLD.  </w:t>
      </w:r>
      <w:r w:rsidR="00F66AE2" w:rsidRPr="00051B46">
        <w:rPr>
          <w:rFonts w:ascii="Arial" w:hAnsi="Arial" w:cs="Arial"/>
        </w:rPr>
        <w:t xml:space="preserve">In particular, fructose appears to play a role in NASH by stimulating DNL and suppressing </w:t>
      </w:r>
      <w:r w:rsidR="00F66AE2" w:rsidRPr="00051B46">
        <w:rPr>
          <w:rFonts w:ascii="Arial" w:hAnsi="Arial" w:cs="Arial"/>
        </w:rPr>
        <w:t>-oxidation of FFAs, hence leading to hepatocyte injury (</w:t>
      </w:r>
      <w:r w:rsidR="00BF3759" w:rsidRPr="00051B46">
        <w:rPr>
          <w:rFonts w:ascii="Arial" w:hAnsi="Arial" w:cs="Arial"/>
        </w:rPr>
        <w:t>99</w:t>
      </w:r>
      <w:r w:rsidR="00F66AE2" w:rsidRPr="00051B46">
        <w:rPr>
          <w:rFonts w:ascii="Arial" w:hAnsi="Arial" w:cs="Arial"/>
        </w:rPr>
        <w:t xml:space="preserve">). </w:t>
      </w:r>
      <w:r w:rsidR="00BF3759" w:rsidRPr="00051B46">
        <w:rPr>
          <w:rFonts w:ascii="Arial" w:hAnsi="Arial" w:cs="Arial"/>
        </w:rPr>
        <w:t xml:space="preserve">Many studies have shown that excess fructose consumption, usually as sugar-sweetened beverages with sucrose (converted to fructose and glucose after ingestion), is associated with development of NAFLD and NASH.   </w:t>
      </w:r>
      <w:r w:rsidR="00F66AE2" w:rsidRPr="00051B46">
        <w:rPr>
          <w:rFonts w:ascii="Arial" w:hAnsi="Arial" w:cs="Arial"/>
        </w:rPr>
        <w:t xml:space="preserve">Obesity is also associated with a change in gut microbiota that produce more reactive oxygen species and </w:t>
      </w:r>
      <w:r w:rsidR="00BF3759" w:rsidRPr="00051B46">
        <w:rPr>
          <w:rFonts w:ascii="Arial" w:hAnsi="Arial" w:cs="Arial"/>
        </w:rPr>
        <w:t xml:space="preserve">are </w:t>
      </w:r>
      <w:r w:rsidR="00F66AE2" w:rsidRPr="00051B46">
        <w:rPr>
          <w:rFonts w:ascii="Arial" w:hAnsi="Arial" w:cs="Arial"/>
        </w:rPr>
        <w:t>involved in triggering a variety of inflammatory pathways (</w:t>
      </w:r>
      <w:r w:rsidR="00BF3759" w:rsidRPr="00051B46">
        <w:rPr>
          <w:rFonts w:ascii="Arial" w:hAnsi="Arial" w:cs="Arial"/>
        </w:rPr>
        <w:t>10</w:t>
      </w:r>
      <w:r w:rsidR="00A1500E" w:rsidRPr="00051B46">
        <w:rPr>
          <w:rFonts w:ascii="Arial" w:hAnsi="Arial" w:cs="Arial"/>
        </w:rPr>
        <w:t>0</w:t>
      </w:r>
      <w:r w:rsidR="00F66AE2" w:rsidRPr="00051B46">
        <w:rPr>
          <w:rFonts w:ascii="Arial" w:hAnsi="Arial" w:cs="Arial"/>
        </w:rPr>
        <w:t xml:space="preserve">). However, the causative role of the gut microbiome in the development of T2DM or NAFLD </w:t>
      </w:r>
      <w:r w:rsidR="007E50C2" w:rsidRPr="00051B46">
        <w:rPr>
          <w:rFonts w:ascii="Arial" w:hAnsi="Arial" w:cs="Arial"/>
        </w:rPr>
        <w:t>remains overall poorly</w:t>
      </w:r>
      <w:r w:rsidR="00A1500E" w:rsidRPr="00051B46">
        <w:rPr>
          <w:rFonts w:ascii="Arial" w:hAnsi="Arial" w:cs="Arial"/>
        </w:rPr>
        <w:t xml:space="preserve"> underst</w:t>
      </w:r>
      <w:r w:rsidR="007E50C2" w:rsidRPr="00051B46">
        <w:rPr>
          <w:rFonts w:ascii="Arial" w:hAnsi="Arial" w:cs="Arial"/>
        </w:rPr>
        <w:t>oo</w:t>
      </w:r>
      <w:r w:rsidR="00A1500E" w:rsidRPr="00051B46">
        <w:rPr>
          <w:rFonts w:ascii="Arial" w:hAnsi="Arial" w:cs="Arial"/>
        </w:rPr>
        <w:t xml:space="preserve">d </w:t>
      </w:r>
      <w:r w:rsidR="00DB477B" w:rsidRPr="00051B46">
        <w:rPr>
          <w:rFonts w:ascii="Arial" w:hAnsi="Arial" w:cs="Arial"/>
        </w:rPr>
        <w:t>(</w:t>
      </w:r>
      <w:r w:rsidR="00BF3759" w:rsidRPr="00051B46">
        <w:rPr>
          <w:rFonts w:ascii="Arial" w:hAnsi="Arial" w:cs="Arial"/>
        </w:rPr>
        <w:t>10</w:t>
      </w:r>
      <w:r w:rsidR="00A1500E" w:rsidRPr="00051B46">
        <w:rPr>
          <w:rFonts w:ascii="Arial" w:hAnsi="Arial" w:cs="Arial"/>
        </w:rPr>
        <w:t>1</w:t>
      </w:r>
      <w:r w:rsidR="00DB477B" w:rsidRPr="00051B46">
        <w:rPr>
          <w:rFonts w:ascii="Arial" w:hAnsi="Arial" w:cs="Arial"/>
        </w:rPr>
        <w:t xml:space="preserve">).   </w:t>
      </w:r>
    </w:p>
    <w:p w14:paraId="5995F4FA" w14:textId="68E3F63B" w:rsidR="000D5DA4" w:rsidRPr="00051B46" w:rsidRDefault="000D5DA4" w:rsidP="002506B3">
      <w:pPr>
        <w:spacing w:after="0" w:line="276" w:lineRule="auto"/>
        <w:rPr>
          <w:rFonts w:ascii="Arial" w:hAnsi="Arial" w:cs="Arial"/>
          <w:b/>
          <w:bCs/>
        </w:rPr>
      </w:pPr>
    </w:p>
    <w:p w14:paraId="3F7D19BE" w14:textId="7D4BA310" w:rsidR="00726706" w:rsidRPr="00051B46" w:rsidRDefault="0012437F" w:rsidP="00760D1B">
      <w:pPr>
        <w:pStyle w:val="ListParagraph"/>
        <w:spacing w:line="276" w:lineRule="auto"/>
        <w:ind w:left="0"/>
        <w:rPr>
          <w:rFonts w:ascii="Arial" w:hAnsi="Arial" w:cs="Arial"/>
          <w:b/>
          <w:bCs/>
          <w:sz w:val="22"/>
          <w:szCs w:val="22"/>
        </w:rPr>
      </w:pPr>
      <w:r w:rsidRPr="00051B46">
        <w:rPr>
          <w:rFonts w:ascii="Arial" w:hAnsi="Arial" w:cs="Arial"/>
          <w:b/>
          <w:bCs/>
          <w:sz w:val="22"/>
          <w:szCs w:val="22"/>
        </w:rPr>
        <w:t xml:space="preserve">Development of </w:t>
      </w:r>
      <w:r w:rsidR="00760D1B" w:rsidRPr="00051B46">
        <w:rPr>
          <w:rFonts w:ascii="Arial" w:hAnsi="Arial" w:cs="Arial"/>
          <w:b/>
          <w:bCs/>
          <w:sz w:val="22"/>
          <w:szCs w:val="22"/>
        </w:rPr>
        <w:t>L</w:t>
      </w:r>
      <w:r w:rsidRPr="00051B46">
        <w:rPr>
          <w:rFonts w:ascii="Arial" w:hAnsi="Arial" w:cs="Arial"/>
          <w:b/>
          <w:bCs/>
          <w:sz w:val="22"/>
          <w:szCs w:val="22"/>
        </w:rPr>
        <w:t xml:space="preserve">iver </w:t>
      </w:r>
      <w:r w:rsidR="00760D1B" w:rsidRPr="00051B46">
        <w:rPr>
          <w:rFonts w:ascii="Arial" w:hAnsi="Arial" w:cs="Arial"/>
          <w:b/>
          <w:bCs/>
          <w:sz w:val="22"/>
          <w:szCs w:val="22"/>
        </w:rPr>
        <w:t>F</w:t>
      </w:r>
      <w:r w:rsidRPr="00051B46">
        <w:rPr>
          <w:rFonts w:ascii="Arial" w:hAnsi="Arial" w:cs="Arial"/>
          <w:b/>
          <w:bCs/>
          <w:sz w:val="22"/>
          <w:szCs w:val="22"/>
        </w:rPr>
        <w:t>ibrosis</w:t>
      </w:r>
    </w:p>
    <w:p w14:paraId="2099BE81" w14:textId="6E79AFCC" w:rsidR="0012437F" w:rsidRPr="00051B46" w:rsidRDefault="0012437F" w:rsidP="002506B3">
      <w:pPr>
        <w:spacing w:after="0" w:line="276" w:lineRule="auto"/>
        <w:rPr>
          <w:rFonts w:ascii="Arial" w:hAnsi="Arial" w:cs="Arial"/>
          <w:b/>
          <w:bCs/>
        </w:rPr>
      </w:pPr>
    </w:p>
    <w:p w14:paraId="4CD3EE81" w14:textId="553BB10B" w:rsidR="0012437F" w:rsidRPr="00051B46" w:rsidRDefault="000D5DA4" w:rsidP="002506B3">
      <w:pPr>
        <w:spacing w:after="0" w:line="276" w:lineRule="auto"/>
        <w:rPr>
          <w:rFonts w:ascii="Arial" w:hAnsi="Arial" w:cs="Arial"/>
          <w:b/>
          <w:bCs/>
        </w:rPr>
      </w:pPr>
      <w:r w:rsidRPr="00051B46">
        <w:rPr>
          <w:rFonts w:ascii="Arial" w:hAnsi="Arial" w:cs="Arial"/>
        </w:rPr>
        <w:t xml:space="preserve">Here too the </w:t>
      </w:r>
      <w:r w:rsidR="001C4319" w:rsidRPr="00051B46">
        <w:rPr>
          <w:rFonts w:ascii="Arial" w:hAnsi="Arial" w:cs="Arial"/>
        </w:rPr>
        <w:t xml:space="preserve">data in humans is scarce and </w:t>
      </w:r>
      <w:r w:rsidR="000E1504" w:rsidRPr="00051B46">
        <w:rPr>
          <w:rFonts w:ascii="Arial" w:hAnsi="Arial" w:cs="Arial"/>
        </w:rPr>
        <w:t xml:space="preserve">largely limited to </w:t>
      </w:r>
      <w:r w:rsidR="000E1504" w:rsidRPr="00051B46">
        <w:rPr>
          <w:rFonts w:ascii="Arial" w:hAnsi="Arial" w:cs="Arial"/>
          <w:i/>
          <w:iCs/>
        </w:rPr>
        <w:t>in vitro</w:t>
      </w:r>
      <w:r w:rsidR="000E1504" w:rsidRPr="00051B46">
        <w:rPr>
          <w:rFonts w:ascii="Arial" w:hAnsi="Arial" w:cs="Arial"/>
        </w:rPr>
        <w:t xml:space="preserve"> and </w:t>
      </w:r>
      <w:r w:rsidR="000E1504" w:rsidRPr="00051B46">
        <w:rPr>
          <w:rFonts w:ascii="Arial" w:hAnsi="Arial" w:cs="Arial"/>
          <w:i/>
          <w:iCs/>
        </w:rPr>
        <w:t>in vivo</w:t>
      </w:r>
      <w:r w:rsidR="000E1504" w:rsidRPr="00051B46">
        <w:rPr>
          <w:rFonts w:ascii="Arial" w:hAnsi="Arial" w:cs="Arial"/>
        </w:rPr>
        <w:t xml:space="preserve"> evidence. </w:t>
      </w:r>
      <w:r w:rsidR="007E50C2" w:rsidRPr="00051B46">
        <w:rPr>
          <w:rFonts w:ascii="Arial" w:hAnsi="Arial" w:cs="Arial"/>
        </w:rPr>
        <w:t>P</w:t>
      </w:r>
      <w:r w:rsidR="000E1504" w:rsidRPr="00051B46">
        <w:rPr>
          <w:rFonts w:ascii="Arial" w:hAnsi="Arial" w:cs="Arial"/>
        </w:rPr>
        <w:t xml:space="preserve">otential mechanisms </w:t>
      </w:r>
      <w:r w:rsidR="007E50C2" w:rsidRPr="00051B46">
        <w:rPr>
          <w:rFonts w:ascii="Arial" w:hAnsi="Arial" w:cs="Arial"/>
        </w:rPr>
        <w:t xml:space="preserve">linked to the development of NASH have focused on </w:t>
      </w:r>
      <w:r w:rsidR="00AF41EA" w:rsidRPr="00051B46">
        <w:rPr>
          <w:rFonts w:ascii="Arial" w:hAnsi="Arial" w:cs="Arial"/>
        </w:rPr>
        <w:t xml:space="preserve">hepatocyte </w:t>
      </w:r>
      <w:r w:rsidR="00EC443B" w:rsidRPr="00051B46">
        <w:rPr>
          <w:rFonts w:ascii="Arial" w:hAnsi="Arial" w:cs="Arial"/>
        </w:rPr>
        <w:t>a</w:t>
      </w:r>
      <w:r w:rsidR="0057500E" w:rsidRPr="00051B46">
        <w:rPr>
          <w:rFonts w:ascii="Arial" w:hAnsi="Arial" w:cs="Arial"/>
        </w:rPr>
        <w:t xml:space="preserve">poptosis </w:t>
      </w:r>
      <w:r w:rsidR="007E50C2" w:rsidRPr="00051B46">
        <w:rPr>
          <w:rFonts w:ascii="Arial" w:hAnsi="Arial" w:cs="Arial"/>
        </w:rPr>
        <w:t>with</w:t>
      </w:r>
      <w:r w:rsidR="00AF41EA" w:rsidRPr="00051B46">
        <w:rPr>
          <w:rFonts w:ascii="Arial" w:hAnsi="Arial" w:cs="Arial"/>
        </w:rPr>
        <w:t xml:space="preserve"> </w:t>
      </w:r>
      <w:r w:rsidR="007E50C2" w:rsidRPr="00051B46">
        <w:rPr>
          <w:rFonts w:ascii="Arial" w:hAnsi="Arial" w:cs="Arial"/>
        </w:rPr>
        <w:t>the release of a b</w:t>
      </w:r>
      <w:r w:rsidR="00760D1B" w:rsidRPr="00051B46">
        <w:rPr>
          <w:rFonts w:ascii="Arial" w:hAnsi="Arial" w:cs="Arial"/>
        </w:rPr>
        <w:t>ro</w:t>
      </w:r>
      <w:r w:rsidR="007E50C2" w:rsidRPr="00051B46">
        <w:rPr>
          <w:rFonts w:ascii="Arial" w:hAnsi="Arial" w:cs="Arial"/>
        </w:rPr>
        <w:t>ad spectrum of</w:t>
      </w:r>
      <w:r w:rsidR="00EC443B" w:rsidRPr="00051B46">
        <w:rPr>
          <w:rFonts w:ascii="Arial" w:hAnsi="Arial" w:cs="Arial"/>
        </w:rPr>
        <w:t xml:space="preserve"> cytokines </w:t>
      </w:r>
      <w:r w:rsidR="0057500E" w:rsidRPr="00051B46">
        <w:rPr>
          <w:rFonts w:ascii="Arial" w:hAnsi="Arial" w:cs="Arial"/>
        </w:rPr>
        <w:t xml:space="preserve">(e.g., </w:t>
      </w:r>
      <w:r w:rsidR="00EC443B" w:rsidRPr="00051B46">
        <w:rPr>
          <w:rFonts w:ascii="Arial" w:hAnsi="Arial" w:cs="Arial"/>
        </w:rPr>
        <w:t>interleukins</w:t>
      </w:r>
      <w:r w:rsidR="00AF41EA" w:rsidRPr="00051B46">
        <w:rPr>
          <w:rFonts w:ascii="Arial" w:hAnsi="Arial" w:cs="Arial"/>
        </w:rPr>
        <w:t xml:space="preserve"> [-1, -2, -18],</w:t>
      </w:r>
      <w:r w:rsidR="0057500E" w:rsidRPr="00051B46">
        <w:rPr>
          <w:rFonts w:ascii="Arial" w:hAnsi="Arial" w:cs="Arial"/>
        </w:rPr>
        <w:t xml:space="preserve"> </w:t>
      </w:r>
      <w:r w:rsidR="00AF41EA" w:rsidRPr="00051B46">
        <w:rPr>
          <w:rFonts w:ascii="Arial" w:hAnsi="Arial" w:cs="Arial"/>
        </w:rPr>
        <w:t xml:space="preserve">hedgehog ligands, </w:t>
      </w:r>
      <w:r w:rsidR="0057500E" w:rsidRPr="00051B46">
        <w:rPr>
          <w:rFonts w:ascii="Arial" w:hAnsi="Arial" w:cs="Arial"/>
        </w:rPr>
        <w:t>TNF-</w:t>
      </w:r>
      <w:r w:rsidR="0057500E" w:rsidRPr="00051B46">
        <w:rPr>
          <w:rFonts w:ascii="Arial" w:hAnsi="Arial" w:cs="Arial"/>
        </w:rPr>
        <w:t>, TGF-</w:t>
      </w:r>
      <w:r w:rsidR="0057500E" w:rsidRPr="00051B46">
        <w:rPr>
          <w:rFonts w:ascii="Arial" w:hAnsi="Arial" w:cs="Arial"/>
        </w:rPr>
        <w:t xml:space="preserve">, </w:t>
      </w:r>
      <w:r w:rsidR="00AF41EA" w:rsidRPr="00051B46">
        <w:rPr>
          <w:rFonts w:ascii="Arial" w:hAnsi="Arial" w:cs="Arial"/>
        </w:rPr>
        <w:t xml:space="preserve">and </w:t>
      </w:r>
      <w:r w:rsidR="007E50C2" w:rsidRPr="00051B46">
        <w:rPr>
          <w:rFonts w:ascii="Arial" w:hAnsi="Arial" w:cs="Arial"/>
        </w:rPr>
        <w:t xml:space="preserve">many </w:t>
      </w:r>
      <w:r w:rsidR="00AF41EA" w:rsidRPr="00051B46">
        <w:rPr>
          <w:rFonts w:ascii="Arial" w:hAnsi="Arial" w:cs="Arial"/>
        </w:rPr>
        <w:t>others)</w:t>
      </w:r>
      <w:r w:rsidR="00614A38" w:rsidRPr="00051B46">
        <w:rPr>
          <w:rFonts w:ascii="Arial" w:hAnsi="Arial" w:cs="Arial"/>
        </w:rPr>
        <w:t xml:space="preserve"> (11, 97, 98)</w:t>
      </w:r>
      <w:r w:rsidR="00AF41EA" w:rsidRPr="00051B46">
        <w:rPr>
          <w:rFonts w:ascii="Arial" w:hAnsi="Arial" w:cs="Arial"/>
        </w:rPr>
        <w:t xml:space="preserve">. Wang et al </w:t>
      </w:r>
      <w:r w:rsidR="007E50C2" w:rsidRPr="00051B46">
        <w:rPr>
          <w:rFonts w:ascii="Arial" w:hAnsi="Arial" w:cs="Arial"/>
        </w:rPr>
        <w:t xml:space="preserve">(102) </w:t>
      </w:r>
      <w:r w:rsidR="00AF41EA" w:rsidRPr="00051B46">
        <w:rPr>
          <w:rFonts w:ascii="Arial" w:hAnsi="Arial" w:cs="Arial"/>
        </w:rPr>
        <w:t>have identified one such pathway (the transcriptional activator</w:t>
      </w:r>
      <w:r w:rsidR="007E50C2" w:rsidRPr="00051B46">
        <w:rPr>
          <w:rFonts w:ascii="Arial" w:hAnsi="Arial" w:cs="Arial"/>
        </w:rPr>
        <w:t xml:space="preserve"> </w:t>
      </w:r>
      <w:r w:rsidR="00AF41EA" w:rsidRPr="00051B46">
        <w:rPr>
          <w:rFonts w:ascii="Arial" w:hAnsi="Arial" w:cs="Arial"/>
        </w:rPr>
        <w:t>TAZ</w:t>
      </w:r>
      <w:r w:rsidR="00614A38" w:rsidRPr="00051B46">
        <w:rPr>
          <w:rFonts w:ascii="Arial" w:hAnsi="Arial" w:cs="Arial"/>
        </w:rPr>
        <w:t>)</w:t>
      </w:r>
      <w:r w:rsidR="00AF41EA" w:rsidRPr="00051B46">
        <w:rPr>
          <w:rFonts w:ascii="Arial" w:hAnsi="Arial" w:cs="Arial"/>
        </w:rPr>
        <w:t xml:space="preserve"> that appears to play an important profibrogenic role in NASH in a mouse model of</w:t>
      </w:r>
      <w:r w:rsidR="007E50C2" w:rsidRPr="00051B46">
        <w:rPr>
          <w:rFonts w:ascii="Arial" w:hAnsi="Arial" w:cs="Arial"/>
        </w:rPr>
        <w:t xml:space="preserve"> </w:t>
      </w:r>
      <w:r w:rsidR="00AF41EA" w:rsidRPr="00051B46">
        <w:rPr>
          <w:rFonts w:ascii="Arial" w:hAnsi="Arial" w:cs="Arial"/>
        </w:rPr>
        <w:t>NASH</w:t>
      </w:r>
      <w:r w:rsidR="00BB5C1D" w:rsidRPr="00051B46">
        <w:rPr>
          <w:rFonts w:ascii="Arial" w:hAnsi="Arial" w:cs="Arial"/>
        </w:rPr>
        <w:t>.</w:t>
      </w:r>
      <w:r w:rsidR="00AF41EA" w:rsidRPr="00051B46">
        <w:rPr>
          <w:rFonts w:ascii="Arial" w:hAnsi="Arial" w:cs="Arial"/>
        </w:rPr>
        <w:t xml:space="preserve"> Taken together, this extensive signaling network, triggered by injured hepatocytes, activates nearby Kupffer cells that induce hepatic stellate cells to become myofibroblasts and increase the production of matrix proteins that result in cirrhosi</w:t>
      </w:r>
      <w:r w:rsidR="00BB5C1D" w:rsidRPr="00051B46">
        <w:rPr>
          <w:rFonts w:ascii="Arial" w:hAnsi="Arial" w:cs="Arial"/>
        </w:rPr>
        <w:t>s</w:t>
      </w:r>
      <w:r w:rsidR="00952AAD" w:rsidRPr="00051B46">
        <w:rPr>
          <w:rFonts w:ascii="Arial" w:hAnsi="Arial" w:cs="Arial"/>
        </w:rPr>
        <w:t xml:space="preserve"> over time</w:t>
      </w:r>
      <w:r w:rsidR="00AF41EA" w:rsidRPr="00051B46">
        <w:rPr>
          <w:rFonts w:ascii="Arial" w:hAnsi="Arial" w:cs="Arial"/>
        </w:rPr>
        <w:t xml:space="preserve">. Genetics also appear to play a role as the PNPLA3-I148M variant may not only modify lipid droplet metabolism but have a direct role on stellate cell function in NASH </w:t>
      </w:r>
      <w:r w:rsidR="00BB5C1D" w:rsidRPr="00051B46">
        <w:rPr>
          <w:rFonts w:ascii="Arial" w:hAnsi="Arial" w:cs="Arial"/>
        </w:rPr>
        <w:t xml:space="preserve">(103). </w:t>
      </w:r>
      <w:r w:rsidR="00852C2C" w:rsidRPr="00051B46">
        <w:rPr>
          <w:rFonts w:ascii="Arial" w:hAnsi="Arial" w:cs="Arial"/>
        </w:rPr>
        <w:t xml:space="preserve">Recently, </w:t>
      </w:r>
      <w:proofErr w:type="spellStart"/>
      <w:r w:rsidR="00852C2C" w:rsidRPr="00051B46">
        <w:rPr>
          <w:rFonts w:ascii="Arial" w:hAnsi="Arial" w:cs="Arial"/>
        </w:rPr>
        <w:t>Lindén</w:t>
      </w:r>
      <w:proofErr w:type="spellEnd"/>
      <w:r w:rsidR="00852C2C" w:rsidRPr="00051B46">
        <w:rPr>
          <w:rFonts w:ascii="Arial" w:hAnsi="Arial" w:cs="Arial"/>
        </w:rPr>
        <w:t xml:space="preserve"> et al (</w:t>
      </w:r>
      <w:r w:rsidR="007B7503" w:rsidRPr="00051B46">
        <w:rPr>
          <w:rFonts w:ascii="Arial" w:hAnsi="Arial" w:cs="Arial"/>
        </w:rPr>
        <w:t>104</w:t>
      </w:r>
      <w:r w:rsidR="00852C2C" w:rsidRPr="00051B46">
        <w:rPr>
          <w:rFonts w:ascii="Arial" w:hAnsi="Arial" w:cs="Arial"/>
        </w:rPr>
        <w:t xml:space="preserve">) reported </w:t>
      </w:r>
      <w:r w:rsidR="00760D1B" w:rsidRPr="00051B46">
        <w:rPr>
          <w:rFonts w:ascii="Arial" w:hAnsi="Arial" w:cs="Arial"/>
        </w:rPr>
        <w:t xml:space="preserve">a </w:t>
      </w:r>
      <w:r w:rsidR="00852C2C" w:rsidRPr="00051B46">
        <w:rPr>
          <w:rFonts w:ascii="Arial" w:hAnsi="Arial" w:cs="Arial"/>
        </w:rPr>
        <w:t xml:space="preserve">reduction in liver inflammation and fibrosis in a Pnpla3 knock-in 148M/M mutant mice </w:t>
      </w:r>
      <w:r w:rsidR="00952AAD" w:rsidRPr="00051B46">
        <w:rPr>
          <w:rFonts w:ascii="Arial" w:hAnsi="Arial" w:cs="Arial"/>
        </w:rPr>
        <w:t xml:space="preserve">(with a human PNPLA3 I148M mutation) </w:t>
      </w:r>
      <w:r w:rsidR="00852C2C" w:rsidRPr="00051B46">
        <w:rPr>
          <w:rFonts w:ascii="Arial" w:hAnsi="Arial" w:cs="Arial"/>
        </w:rPr>
        <w:t xml:space="preserve">with a liver-targeted GalNAc3-conjugated antisense oligonucleotide (ASO)-mediated that silenced Pnpla3 </w:t>
      </w:r>
      <w:r w:rsidR="00952AAD" w:rsidRPr="00051B46">
        <w:rPr>
          <w:rFonts w:ascii="Arial" w:hAnsi="Arial" w:cs="Arial"/>
        </w:rPr>
        <w:t>expression.</w:t>
      </w:r>
    </w:p>
    <w:p w14:paraId="7E0AA4D8" w14:textId="77777777" w:rsidR="00AF41EA" w:rsidRPr="00051B46" w:rsidRDefault="00AF41EA" w:rsidP="002506B3">
      <w:pPr>
        <w:spacing w:after="0" w:line="276" w:lineRule="auto"/>
        <w:rPr>
          <w:rFonts w:ascii="Arial" w:hAnsi="Arial" w:cs="Arial"/>
        </w:rPr>
      </w:pPr>
    </w:p>
    <w:p w14:paraId="455CB6B3" w14:textId="6E03DE71" w:rsidR="00D970AF" w:rsidRPr="00051B46" w:rsidRDefault="00F66AE2" w:rsidP="002506B3">
      <w:pPr>
        <w:spacing w:after="0" w:line="276" w:lineRule="auto"/>
        <w:rPr>
          <w:rFonts w:ascii="Arial" w:hAnsi="Arial" w:cs="Arial"/>
        </w:rPr>
      </w:pPr>
      <w:r w:rsidRPr="00051B46">
        <w:rPr>
          <w:rFonts w:ascii="Arial" w:hAnsi="Arial" w:cs="Arial"/>
        </w:rPr>
        <w:t xml:space="preserve">At </w:t>
      </w:r>
      <w:r w:rsidR="00AF41EA" w:rsidRPr="00051B46">
        <w:rPr>
          <w:rFonts w:ascii="Arial" w:hAnsi="Arial" w:cs="Arial"/>
        </w:rPr>
        <w:t>a</w:t>
      </w:r>
      <w:r w:rsidRPr="00051B46">
        <w:rPr>
          <w:rFonts w:ascii="Arial" w:hAnsi="Arial" w:cs="Arial"/>
        </w:rPr>
        <w:t xml:space="preserve"> clinical level, a recent study examined factors associated with disease progression in a large (n = 475 patients) clinical trial</w:t>
      </w:r>
      <w:r w:rsidR="00DA08E7" w:rsidRPr="00051B46">
        <w:rPr>
          <w:rFonts w:ascii="Arial" w:hAnsi="Arial" w:cs="Arial"/>
        </w:rPr>
        <w:t xml:space="preserve"> (</w:t>
      </w:r>
      <w:r w:rsidR="007B7503" w:rsidRPr="00051B46">
        <w:rPr>
          <w:rFonts w:ascii="Arial" w:hAnsi="Arial" w:cs="Arial"/>
        </w:rPr>
        <w:t>105</w:t>
      </w:r>
      <w:r w:rsidR="00DA08E7" w:rsidRPr="00051B46">
        <w:rPr>
          <w:rFonts w:ascii="Arial" w:hAnsi="Arial" w:cs="Arial"/>
        </w:rPr>
        <w:t>)</w:t>
      </w:r>
      <w:r w:rsidRPr="00051B46">
        <w:rPr>
          <w:rFonts w:ascii="Arial" w:hAnsi="Arial" w:cs="Arial"/>
        </w:rPr>
        <w:t xml:space="preserve">.  </w:t>
      </w:r>
      <w:r w:rsidR="00DA08E7" w:rsidRPr="00051B46">
        <w:rPr>
          <w:rFonts w:ascii="Arial" w:hAnsi="Arial" w:cs="Arial"/>
        </w:rPr>
        <w:t>The main factor associated with clinical disease progression is severity of fibrosis at baseline and greater increases in hepatic collagen content, level of alpha-smooth muscle actin, and Enhanced Liver Fibrosis score</w:t>
      </w:r>
      <w:r w:rsidR="00952AAD" w:rsidRPr="00051B46">
        <w:rPr>
          <w:rFonts w:ascii="Arial" w:hAnsi="Arial" w:cs="Arial"/>
        </w:rPr>
        <w:t xml:space="preserve"> overtime</w:t>
      </w:r>
      <w:r w:rsidR="00DA08E7" w:rsidRPr="00051B46">
        <w:rPr>
          <w:rFonts w:ascii="Arial" w:hAnsi="Arial" w:cs="Arial"/>
        </w:rPr>
        <w:t>.  Over a follow-up period of 96 weeks, progression occurred in 22% of patients with bridging fibrosis (F3)</w:t>
      </w:r>
      <w:r w:rsidR="00952AAD" w:rsidRPr="00051B46">
        <w:rPr>
          <w:rFonts w:ascii="Arial" w:hAnsi="Arial" w:cs="Arial"/>
        </w:rPr>
        <w:t>,</w:t>
      </w:r>
      <w:r w:rsidR="00DA08E7" w:rsidRPr="00051B46">
        <w:rPr>
          <w:rFonts w:ascii="Arial" w:hAnsi="Arial" w:cs="Arial"/>
        </w:rPr>
        <w:t xml:space="preserve"> while liver-related clinical events occurred in 19% of patients with cirrhosis. </w:t>
      </w:r>
      <w:r w:rsidR="00AC27C5" w:rsidRPr="00051B46">
        <w:rPr>
          <w:rFonts w:ascii="Arial" w:hAnsi="Arial" w:cs="Arial"/>
        </w:rPr>
        <w:t xml:space="preserve"> </w:t>
      </w:r>
    </w:p>
    <w:p w14:paraId="10620024" w14:textId="77777777" w:rsidR="00D970AF" w:rsidRPr="00051B46" w:rsidRDefault="00D970AF" w:rsidP="002506B3">
      <w:pPr>
        <w:spacing w:after="0" w:line="276" w:lineRule="auto"/>
        <w:rPr>
          <w:rFonts w:ascii="Arial" w:hAnsi="Arial" w:cs="Arial"/>
        </w:rPr>
      </w:pPr>
    </w:p>
    <w:p w14:paraId="24061847" w14:textId="3715315B" w:rsidR="00C73420" w:rsidRPr="00051B46" w:rsidRDefault="00AC27C5" w:rsidP="002506B3">
      <w:pPr>
        <w:spacing w:after="0" w:line="276" w:lineRule="auto"/>
        <w:rPr>
          <w:rFonts w:ascii="Arial" w:hAnsi="Arial" w:cs="Arial"/>
        </w:rPr>
      </w:pPr>
      <w:r w:rsidRPr="00051B46">
        <w:rPr>
          <w:rFonts w:ascii="Arial" w:hAnsi="Arial" w:cs="Arial"/>
        </w:rPr>
        <w:t xml:space="preserve">Beyond liver histology, from a clinical perspective, practitioners must keep in mind that obesity and T2DM remain the two major risk factors for liver disease progression </w:t>
      </w:r>
      <w:r w:rsidR="00D970AF" w:rsidRPr="00051B46">
        <w:rPr>
          <w:rFonts w:ascii="Arial" w:hAnsi="Arial" w:cs="Arial"/>
        </w:rPr>
        <w:t>which</w:t>
      </w:r>
      <w:r w:rsidRPr="00051B46">
        <w:rPr>
          <w:rFonts w:ascii="Arial" w:hAnsi="Arial" w:cs="Arial"/>
        </w:rPr>
        <w:t xml:space="preserve"> calls for screening and early intervention.</w:t>
      </w:r>
    </w:p>
    <w:p w14:paraId="51BD32F2" w14:textId="33E50175" w:rsidR="00AF41EA" w:rsidRPr="00051B46" w:rsidRDefault="00AF41EA" w:rsidP="002506B3">
      <w:pPr>
        <w:spacing w:after="0" w:line="276" w:lineRule="auto"/>
        <w:rPr>
          <w:rFonts w:ascii="Arial" w:hAnsi="Arial" w:cs="Arial"/>
        </w:rPr>
      </w:pPr>
    </w:p>
    <w:p w14:paraId="28F5ADCD" w14:textId="22235E33" w:rsidR="003B480F" w:rsidRPr="00051B46" w:rsidRDefault="003B480F" w:rsidP="002506B3">
      <w:pPr>
        <w:spacing w:after="0" w:line="276" w:lineRule="auto"/>
        <w:rPr>
          <w:rFonts w:ascii="Arial" w:hAnsi="Arial" w:cs="Arial"/>
          <w:b/>
          <w:bCs/>
          <w:color w:val="FF0000"/>
        </w:rPr>
      </w:pPr>
      <w:r w:rsidRPr="00051B46">
        <w:rPr>
          <w:rFonts w:ascii="Arial" w:hAnsi="Arial" w:cs="Arial"/>
          <w:b/>
          <w:bCs/>
        </w:rPr>
        <w:t>DIAGNOSIS</w:t>
      </w:r>
      <w:r w:rsidR="004F13FC" w:rsidRPr="00051B46">
        <w:rPr>
          <w:rFonts w:ascii="Arial" w:hAnsi="Arial" w:cs="Arial"/>
          <w:b/>
          <w:bCs/>
        </w:rPr>
        <w:t xml:space="preserve"> </w:t>
      </w:r>
    </w:p>
    <w:p w14:paraId="0109C282" w14:textId="77777777" w:rsidR="006A12C2" w:rsidRPr="00051B46" w:rsidRDefault="006A12C2" w:rsidP="002506B3">
      <w:pPr>
        <w:spacing w:after="0" w:line="276" w:lineRule="auto"/>
        <w:rPr>
          <w:rFonts w:ascii="Arial" w:hAnsi="Arial" w:cs="Arial"/>
        </w:rPr>
      </w:pPr>
    </w:p>
    <w:p w14:paraId="0E422D38" w14:textId="41E180C7" w:rsidR="003B480F" w:rsidRPr="00051B46" w:rsidRDefault="003B480F" w:rsidP="002506B3">
      <w:pPr>
        <w:spacing w:after="0" w:line="276" w:lineRule="auto"/>
        <w:rPr>
          <w:rFonts w:ascii="Arial" w:hAnsi="Arial" w:cs="Arial"/>
        </w:rPr>
      </w:pPr>
      <w:r w:rsidRPr="00051B46">
        <w:rPr>
          <w:rFonts w:ascii="Arial" w:hAnsi="Arial" w:cs="Arial"/>
        </w:rPr>
        <w:t xml:space="preserve">Having </w:t>
      </w:r>
      <w:r w:rsidR="00913E7C" w:rsidRPr="00051B46">
        <w:rPr>
          <w:rFonts w:ascii="Arial" w:hAnsi="Arial" w:cs="Arial"/>
        </w:rPr>
        <w:t>T2DM</w:t>
      </w:r>
      <w:r w:rsidRPr="00051B46">
        <w:rPr>
          <w:rFonts w:ascii="Arial" w:hAnsi="Arial" w:cs="Arial"/>
        </w:rPr>
        <w:t xml:space="preserve"> is associated with a much greater </w:t>
      </w:r>
      <w:r w:rsidR="00683270" w:rsidRPr="00051B46">
        <w:rPr>
          <w:rFonts w:ascii="Arial" w:hAnsi="Arial" w:cs="Arial"/>
        </w:rPr>
        <w:t>risk</w:t>
      </w:r>
      <w:r w:rsidRPr="00051B46">
        <w:rPr>
          <w:rFonts w:ascii="Arial" w:hAnsi="Arial" w:cs="Arial"/>
        </w:rPr>
        <w:t xml:space="preserve"> of NAFLD </w:t>
      </w:r>
      <w:r w:rsidR="00265163" w:rsidRPr="00051B46">
        <w:rPr>
          <w:rFonts w:ascii="Arial" w:hAnsi="Arial" w:cs="Arial"/>
        </w:rPr>
        <w:t xml:space="preserve">with </w:t>
      </w:r>
      <w:r w:rsidR="003D7433" w:rsidRPr="00051B46">
        <w:rPr>
          <w:rFonts w:ascii="Arial" w:hAnsi="Arial" w:cs="Arial"/>
        </w:rPr>
        <w:t xml:space="preserve">approximately 70% </w:t>
      </w:r>
      <w:r w:rsidR="00913E7C" w:rsidRPr="00051B46">
        <w:rPr>
          <w:rFonts w:ascii="Arial" w:hAnsi="Arial" w:cs="Arial"/>
        </w:rPr>
        <w:t xml:space="preserve">of patients with T2DM </w:t>
      </w:r>
      <w:r w:rsidR="00265163" w:rsidRPr="00051B46">
        <w:rPr>
          <w:rFonts w:ascii="Arial" w:hAnsi="Arial" w:cs="Arial"/>
        </w:rPr>
        <w:t xml:space="preserve">having </w:t>
      </w:r>
      <w:r w:rsidR="00913E7C" w:rsidRPr="00051B46">
        <w:rPr>
          <w:rFonts w:ascii="Arial" w:hAnsi="Arial" w:cs="Arial"/>
        </w:rPr>
        <w:t xml:space="preserve">NAFLD </w:t>
      </w:r>
      <w:r w:rsidR="003D7433" w:rsidRPr="00051B46">
        <w:rPr>
          <w:rFonts w:ascii="Arial" w:hAnsi="Arial" w:cs="Arial"/>
        </w:rPr>
        <w:t>when MRI</w:t>
      </w:r>
      <w:r w:rsidR="00913E7C" w:rsidRPr="00051B46">
        <w:rPr>
          <w:rFonts w:ascii="Arial" w:hAnsi="Arial" w:cs="Arial"/>
        </w:rPr>
        <w:t>-</w:t>
      </w:r>
      <w:r w:rsidR="003D7433" w:rsidRPr="00051B46">
        <w:rPr>
          <w:rFonts w:ascii="Arial" w:hAnsi="Arial" w:cs="Arial"/>
        </w:rPr>
        <w:t>based techniques are used, as well as higher risk of having more advanced forms of the disease, such as fibrosis and cirrhosis</w:t>
      </w:r>
      <w:r w:rsidR="006A12C2" w:rsidRPr="00051B46">
        <w:rPr>
          <w:rFonts w:ascii="Arial" w:hAnsi="Arial" w:cs="Arial"/>
        </w:rPr>
        <w:t xml:space="preserve"> (6,</w:t>
      </w:r>
      <w:r w:rsidR="00D62C95" w:rsidRPr="00051B46">
        <w:rPr>
          <w:rFonts w:ascii="Arial" w:hAnsi="Arial" w:cs="Arial"/>
        </w:rPr>
        <w:t>8</w:t>
      </w:r>
      <w:r w:rsidR="006A12C2" w:rsidRPr="00051B46">
        <w:rPr>
          <w:rFonts w:ascii="Arial" w:hAnsi="Arial" w:cs="Arial"/>
        </w:rPr>
        <w:t>,</w:t>
      </w:r>
      <w:r w:rsidR="00321E9D" w:rsidRPr="00051B46">
        <w:rPr>
          <w:rFonts w:ascii="Arial" w:hAnsi="Arial" w:cs="Arial"/>
        </w:rPr>
        <w:t>106</w:t>
      </w:r>
      <w:r w:rsidR="006A12C2" w:rsidRPr="00051B46">
        <w:rPr>
          <w:rFonts w:ascii="Arial" w:hAnsi="Arial" w:cs="Arial"/>
        </w:rPr>
        <w:t>)</w:t>
      </w:r>
      <w:r w:rsidR="003D7433" w:rsidRPr="00051B46">
        <w:rPr>
          <w:rFonts w:ascii="Arial" w:hAnsi="Arial" w:cs="Arial"/>
        </w:rPr>
        <w:t>. Despite all the current evidence, there is lack of awareness in primary care physicians and endocrinologists to evaluate patients with prediabetes or type 2 diabetes mellitus for NAFLD. Even if suspected to have NAFLD based on clinical characteristics, there is currently a lack of further investigations being undertaken as non-invasive biomarkers of the disease</w:t>
      </w:r>
      <w:r w:rsidR="00311770" w:rsidRPr="00051B46">
        <w:rPr>
          <w:rFonts w:ascii="Arial" w:hAnsi="Arial" w:cs="Arial"/>
        </w:rPr>
        <w:t xml:space="preserve"> and even imaging, are not as reliable as wished and not available at every clinic</w:t>
      </w:r>
      <w:r w:rsidR="003D7433" w:rsidRPr="00051B46">
        <w:rPr>
          <w:rFonts w:ascii="Arial" w:hAnsi="Arial" w:cs="Arial"/>
        </w:rPr>
        <w:t xml:space="preserve">. The widely accepted thought </w:t>
      </w:r>
      <w:r w:rsidR="00311770" w:rsidRPr="00051B46">
        <w:rPr>
          <w:rFonts w:ascii="Arial" w:hAnsi="Arial" w:cs="Arial"/>
        </w:rPr>
        <w:t>by</w:t>
      </w:r>
      <w:r w:rsidR="003D7433" w:rsidRPr="00051B46">
        <w:rPr>
          <w:rFonts w:ascii="Arial" w:hAnsi="Arial" w:cs="Arial"/>
        </w:rPr>
        <w:t xml:space="preserve"> primary care physicians</w:t>
      </w:r>
      <w:r w:rsidR="00311770" w:rsidRPr="00051B46">
        <w:rPr>
          <w:rFonts w:ascii="Arial" w:hAnsi="Arial" w:cs="Arial"/>
        </w:rPr>
        <w:t>,</w:t>
      </w:r>
      <w:r w:rsidR="003D7433" w:rsidRPr="00051B46">
        <w:rPr>
          <w:rFonts w:ascii="Arial" w:hAnsi="Arial" w:cs="Arial"/>
        </w:rPr>
        <w:t xml:space="preserve"> as well as many endocrinologists</w:t>
      </w:r>
      <w:r w:rsidR="00311770" w:rsidRPr="00051B46">
        <w:rPr>
          <w:rFonts w:ascii="Arial" w:hAnsi="Arial" w:cs="Arial"/>
        </w:rPr>
        <w:t>,</w:t>
      </w:r>
      <w:r w:rsidR="003D7433" w:rsidRPr="00051B46">
        <w:rPr>
          <w:rFonts w:ascii="Arial" w:hAnsi="Arial" w:cs="Arial"/>
        </w:rPr>
        <w:t xml:space="preserve"> is to not pursue any confirmatory testing to assess for the presence or degree of fibrosis, as it is believed to seldom change their management, except to re-emphasize lifestyle modifications and weight loss.</w:t>
      </w:r>
      <w:r w:rsidR="00311770" w:rsidRPr="00051B46">
        <w:rPr>
          <w:rFonts w:ascii="Arial" w:hAnsi="Arial" w:cs="Arial"/>
        </w:rPr>
        <w:t xml:space="preserve">  However, few healthcare providers are aware about the efficacy of lifestyle changes and some currently available pharmacological agents to revert NASH, and even fibrosis, if done early and before the development of end-stage liver disease.</w:t>
      </w:r>
    </w:p>
    <w:p w14:paraId="21959C68" w14:textId="77777777" w:rsidR="005E1536" w:rsidRPr="00051B46" w:rsidRDefault="005E1536" w:rsidP="002506B3">
      <w:pPr>
        <w:spacing w:after="0" w:line="276" w:lineRule="auto"/>
        <w:rPr>
          <w:rFonts w:ascii="Arial" w:hAnsi="Arial" w:cs="Arial"/>
        </w:rPr>
      </w:pPr>
    </w:p>
    <w:p w14:paraId="2AF86D42" w14:textId="03161941" w:rsidR="00CF16FF" w:rsidRPr="00051B46" w:rsidRDefault="00311770" w:rsidP="002506B3">
      <w:pPr>
        <w:spacing w:after="0" w:line="276" w:lineRule="auto"/>
        <w:rPr>
          <w:rFonts w:ascii="Arial" w:hAnsi="Arial" w:cs="Arial"/>
        </w:rPr>
      </w:pPr>
      <w:r w:rsidRPr="00051B46">
        <w:rPr>
          <w:rFonts w:ascii="Arial" w:hAnsi="Arial" w:cs="Arial"/>
        </w:rPr>
        <w:t>E</w:t>
      </w:r>
      <w:r w:rsidR="003D7433" w:rsidRPr="00051B46">
        <w:rPr>
          <w:rFonts w:ascii="Arial" w:hAnsi="Arial" w:cs="Arial"/>
        </w:rPr>
        <w:t xml:space="preserve">arly detection and treatment of NAFLD </w:t>
      </w:r>
      <w:r w:rsidRPr="00051B46">
        <w:rPr>
          <w:rFonts w:ascii="Arial" w:hAnsi="Arial" w:cs="Arial"/>
        </w:rPr>
        <w:t xml:space="preserve">can </w:t>
      </w:r>
      <w:r w:rsidR="003D7433" w:rsidRPr="00051B46">
        <w:rPr>
          <w:rFonts w:ascii="Arial" w:hAnsi="Arial" w:cs="Arial"/>
        </w:rPr>
        <w:t xml:space="preserve">lead to better </w:t>
      </w:r>
      <w:r w:rsidRPr="00051B46">
        <w:rPr>
          <w:rFonts w:ascii="Arial" w:hAnsi="Arial" w:cs="Arial"/>
        </w:rPr>
        <w:t xml:space="preserve">histological and </w:t>
      </w:r>
      <w:r w:rsidR="003D7433" w:rsidRPr="00051B46">
        <w:rPr>
          <w:rFonts w:ascii="Arial" w:hAnsi="Arial" w:cs="Arial"/>
        </w:rPr>
        <w:t xml:space="preserve">metabolic outcomes, including </w:t>
      </w:r>
      <w:r w:rsidRPr="00051B46">
        <w:rPr>
          <w:rFonts w:ascii="Arial" w:hAnsi="Arial" w:cs="Arial"/>
        </w:rPr>
        <w:t>CVD,</w:t>
      </w:r>
      <w:r w:rsidR="003D7433" w:rsidRPr="00051B46">
        <w:rPr>
          <w:rFonts w:ascii="Arial" w:hAnsi="Arial" w:cs="Arial"/>
        </w:rPr>
        <w:t xml:space="preserve"> and improve overall morbidity and mortality. NAFLD is a diagnosis of exclusion, so it is imperative to eliminate all other causes of liver disease (such as, alcoholic liver disease, medication induced toxicity, viral or autoimmune hepatitis, hemochromatosis, alpha 1 antitrypsin deficiency, Wilson’s disease</w:t>
      </w:r>
      <w:r w:rsidRPr="00051B46">
        <w:rPr>
          <w:rFonts w:ascii="Arial" w:hAnsi="Arial" w:cs="Arial"/>
        </w:rPr>
        <w:t>, other</w:t>
      </w:r>
      <w:r w:rsidR="003D7433" w:rsidRPr="00051B46">
        <w:rPr>
          <w:rFonts w:ascii="Arial" w:hAnsi="Arial" w:cs="Arial"/>
        </w:rPr>
        <w:t>) prior to the diagnosis of NAFLD</w:t>
      </w:r>
      <w:r w:rsidRPr="00051B46">
        <w:rPr>
          <w:rFonts w:ascii="Arial" w:hAnsi="Arial" w:cs="Arial"/>
        </w:rPr>
        <w:t>. Often management</w:t>
      </w:r>
      <w:r w:rsidR="003D7433" w:rsidRPr="00051B46">
        <w:rPr>
          <w:rFonts w:ascii="Arial" w:hAnsi="Arial" w:cs="Arial"/>
        </w:rPr>
        <w:t xml:space="preserve"> may require referral to hepatology</w:t>
      </w:r>
      <w:r w:rsidRPr="00051B46">
        <w:rPr>
          <w:rFonts w:ascii="Arial" w:hAnsi="Arial" w:cs="Arial"/>
        </w:rPr>
        <w:t xml:space="preserve"> and developing multidisciplinary teams</w:t>
      </w:r>
      <w:r w:rsidR="005E1536" w:rsidRPr="00051B46">
        <w:rPr>
          <w:rFonts w:ascii="Arial" w:hAnsi="Arial" w:cs="Arial"/>
        </w:rPr>
        <w:t xml:space="preserve"> (</w:t>
      </w:r>
      <w:r w:rsidR="00321E9D" w:rsidRPr="00051B46">
        <w:rPr>
          <w:rFonts w:ascii="Arial" w:hAnsi="Arial" w:cs="Arial"/>
        </w:rPr>
        <w:t>107, 108</w:t>
      </w:r>
      <w:r w:rsidR="005E1536" w:rsidRPr="00051B46">
        <w:rPr>
          <w:rFonts w:ascii="Arial" w:hAnsi="Arial" w:cs="Arial"/>
        </w:rPr>
        <w:t>).</w:t>
      </w:r>
      <w:r w:rsidRPr="00051B46">
        <w:rPr>
          <w:rFonts w:ascii="Arial" w:hAnsi="Arial" w:cs="Arial"/>
        </w:rPr>
        <w:t xml:space="preserve"> </w:t>
      </w:r>
      <w:r w:rsidR="00CF16FF" w:rsidRPr="00051B46">
        <w:rPr>
          <w:rFonts w:ascii="Arial" w:hAnsi="Arial" w:cs="Arial"/>
        </w:rPr>
        <w:t>Once NAFLD is diagnos</w:t>
      </w:r>
      <w:r w:rsidR="00FF6B50" w:rsidRPr="00051B46">
        <w:rPr>
          <w:rFonts w:ascii="Arial" w:hAnsi="Arial" w:cs="Arial"/>
        </w:rPr>
        <w:t>ed</w:t>
      </w:r>
      <w:r w:rsidR="00CF16FF" w:rsidRPr="00051B46">
        <w:rPr>
          <w:rFonts w:ascii="Arial" w:hAnsi="Arial" w:cs="Arial"/>
        </w:rPr>
        <w:t xml:space="preserve">, there needs to be further testing to evaluate for </w:t>
      </w:r>
      <w:r w:rsidR="00FF6B50" w:rsidRPr="00051B46">
        <w:rPr>
          <w:rFonts w:ascii="Arial" w:hAnsi="Arial" w:cs="Arial"/>
        </w:rPr>
        <w:t xml:space="preserve">the </w:t>
      </w:r>
      <w:r w:rsidR="00CF16FF" w:rsidRPr="00051B46">
        <w:rPr>
          <w:rFonts w:ascii="Arial" w:hAnsi="Arial" w:cs="Arial"/>
        </w:rPr>
        <w:t xml:space="preserve">presence and </w:t>
      </w:r>
      <w:r w:rsidR="00FF6B50" w:rsidRPr="00051B46">
        <w:rPr>
          <w:rFonts w:ascii="Arial" w:hAnsi="Arial" w:cs="Arial"/>
        </w:rPr>
        <w:t>severity</w:t>
      </w:r>
      <w:r w:rsidR="00CF16FF" w:rsidRPr="00051B46">
        <w:rPr>
          <w:rFonts w:ascii="Arial" w:hAnsi="Arial" w:cs="Arial"/>
        </w:rPr>
        <w:t xml:space="preserve"> of fibrosis</w:t>
      </w:r>
      <w:r w:rsidR="005E1536" w:rsidRPr="00051B46">
        <w:rPr>
          <w:rFonts w:ascii="Arial" w:hAnsi="Arial" w:cs="Arial"/>
        </w:rPr>
        <w:t xml:space="preserve"> (</w:t>
      </w:r>
      <w:r w:rsidR="0054664B" w:rsidRPr="00051B46">
        <w:rPr>
          <w:rFonts w:ascii="Arial" w:hAnsi="Arial" w:cs="Arial"/>
        </w:rPr>
        <w:t>8</w:t>
      </w:r>
      <w:r w:rsidR="005E1536" w:rsidRPr="00051B46">
        <w:rPr>
          <w:rFonts w:ascii="Arial" w:hAnsi="Arial" w:cs="Arial"/>
        </w:rPr>
        <w:t>)</w:t>
      </w:r>
      <w:r w:rsidR="00CF16FF" w:rsidRPr="00051B46">
        <w:rPr>
          <w:rFonts w:ascii="Arial" w:hAnsi="Arial" w:cs="Arial"/>
        </w:rPr>
        <w:t>.</w:t>
      </w:r>
      <w:r w:rsidR="005E1536" w:rsidRPr="00051B46">
        <w:rPr>
          <w:rFonts w:ascii="Arial" w:hAnsi="Arial" w:cs="Arial"/>
        </w:rPr>
        <w:t xml:space="preserve"> </w:t>
      </w:r>
    </w:p>
    <w:p w14:paraId="2EB2A942" w14:textId="77777777" w:rsidR="009747A7" w:rsidRPr="00051B46" w:rsidRDefault="009747A7" w:rsidP="002506B3">
      <w:pPr>
        <w:spacing w:after="0" w:line="276" w:lineRule="auto"/>
        <w:rPr>
          <w:rFonts w:ascii="Arial" w:hAnsi="Arial" w:cs="Arial"/>
        </w:rPr>
      </w:pPr>
    </w:p>
    <w:p w14:paraId="0B10700B" w14:textId="38F4C7F9" w:rsidR="00CF16FF" w:rsidRPr="00051B46" w:rsidRDefault="00CF16FF" w:rsidP="002506B3">
      <w:pPr>
        <w:spacing w:after="0" w:line="276" w:lineRule="auto"/>
        <w:rPr>
          <w:rFonts w:ascii="Arial" w:hAnsi="Arial" w:cs="Arial"/>
          <w:b/>
          <w:bCs/>
        </w:rPr>
      </w:pPr>
      <w:r w:rsidRPr="00051B46">
        <w:rPr>
          <w:rFonts w:ascii="Arial" w:hAnsi="Arial" w:cs="Arial"/>
          <w:b/>
          <w:bCs/>
        </w:rPr>
        <w:t xml:space="preserve">Blood </w:t>
      </w:r>
      <w:r w:rsidR="00FC4E10" w:rsidRPr="00051B46">
        <w:rPr>
          <w:rFonts w:ascii="Arial" w:hAnsi="Arial" w:cs="Arial"/>
          <w:b/>
          <w:bCs/>
        </w:rPr>
        <w:t>T</w:t>
      </w:r>
      <w:r w:rsidRPr="00051B46">
        <w:rPr>
          <w:rFonts w:ascii="Arial" w:hAnsi="Arial" w:cs="Arial"/>
          <w:b/>
          <w:bCs/>
        </w:rPr>
        <w:t>ests</w:t>
      </w:r>
    </w:p>
    <w:p w14:paraId="34144C3F" w14:textId="77777777" w:rsidR="005E1536" w:rsidRPr="00051B46" w:rsidRDefault="005E1536" w:rsidP="002506B3">
      <w:pPr>
        <w:spacing w:after="0" w:line="276" w:lineRule="auto"/>
        <w:rPr>
          <w:rFonts w:ascii="Arial" w:hAnsi="Arial" w:cs="Arial"/>
        </w:rPr>
      </w:pPr>
    </w:p>
    <w:p w14:paraId="5A0015FD" w14:textId="1549F7E7" w:rsidR="003D7433" w:rsidRPr="00051B46" w:rsidRDefault="003D7433" w:rsidP="002506B3">
      <w:pPr>
        <w:spacing w:after="0" w:line="276" w:lineRule="auto"/>
        <w:rPr>
          <w:rFonts w:ascii="Arial" w:hAnsi="Arial" w:cs="Arial"/>
        </w:rPr>
      </w:pPr>
      <w:r w:rsidRPr="00051B46">
        <w:rPr>
          <w:rFonts w:ascii="Arial" w:hAnsi="Arial" w:cs="Arial"/>
        </w:rPr>
        <w:t>Plasma aminotransferases are considered a</w:t>
      </w:r>
      <w:r w:rsidR="00312150" w:rsidRPr="00051B46">
        <w:rPr>
          <w:rFonts w:ascii="Arial" w:hAnsi="Arial" w:cs="Arial"/>
        </w:rPr>
        <w:t xml:space="preserve">n insensitive </w:t>
      </w:r>
      <w:r w:rsidRPr="00051B46">
        <w:rPr>
          <w:rFonts w:ascii="Arial" w:hAnsi="Arial" w:cs="Arial"/>
        </w:rPr>
        <w:t xml:space="preserve">marker </w:t>
      </w:r>
      <w:r w:rsidR="00312150" w:rsidRPr="00051B46">
        <w:rPr>
          <w:rFonts w:ascii="Arial" w:hAnsi="Arial" w:cs="Arial"/>
        </w:rPr>
        <w:t>for the</w:t>
      </w:r>
      <w:r w:rsidRPr="00051B46">
        <w:rPr>
          <w:rFonts w:ascii="Arial" w:hAnsi="Arial" w:cs="Arial"/>
        </w:rPr>
        <w:t xml:space="preserve"> presence of NAFLD. It has been shown that the prevalence of NAFLD </w:t>
      </w:r>
      <w:r w:rsidR="00CC2F30" w:rsidRPr="00051B46">
        <w:rPr>
          <w:rFonts w:ascii="Arial" w:hAnsi="Arial" w:cs="Arial"/>
        </w:rPr>
        <w:t>may be</w:t>
      </w:r>
      <w:r w:rsidR="00A91E53" w:rsidRPr="00051B46">
        <w:rPr>
          <w:rFonts w:ascii="Arial" w:hAnsi="Arial" w:cs="Arial"/>
        </w:rPr>
        <w:t xml:space="preserve"> as high as</w:t>
      </w:r>
      <w:r w:rsidRPr="00051B46">
        <w:rPr>
          <w:rFonts w:ascii="Arial" w:hAnsi="Arial" w:cs="Arial"/>
        </w:rPr>
        <w:t xml:space="preserve"> 50% in patients with </w:t>
      </w:r>
      <w:r w:rsidR="00A91E53" w:rsidRPr="00051B46">
        <w:rPr>
          <w:rFonts w:ascii="Arial" w:hAnsi="Arial" w:cs="Arial"/>
        </w:rPr>
        <w:t>T2DM</w:t>
      </w:r>
      <w:r w:rsidRPr="00051B46">
        <w:rPr>
          <w:rFonts w:ascii="Arial" w:hAnsi="Arial" w:cs="Arial"/>
        </w:rPr>
        <w:t xml:space="preserve"> and </w:t>
      </w:r>
      <w:r w:rsidR="00A52AAA" w:rsidRPr="00051B46">
        <w:rPr>
          <w:rFonts w:ascii="Arial" w:hAnsi="Arial" w:cs="Arial"/>
        </w:rPr>
        <w:t>“</w:t>
      </w:r>
      <w:r w:rsidRPr="00051B46">
        <w:rPr>
          <w:rFonts w:ascii="Arial" w:hAnsi="Arial" w:cs="Arial"/>
        </w:rPr>
        <w:t>normal</w:t>
      </w:r>
      <w:r w:rsidR="00A52AAA" w:rsidRPr="00051B46">
        <w:rPr>
          <w:rFonts w:ascii="Arial" w:hAnsi="Arial" w:cs="Arial"/>
        </w:rPr>
        <w:t>” (≤40 IU/L)</w:t>
      </w:r>
      <w:r w:rsidRPr="00051B46">
        <w:rPr>
          <w:rFonts w:ascii="Arial" w:hAnsi="Arial" w:cs="Arial"/>
        </w:rPr>
        <w:t xml:space="preserve"> plasma aminotransferases using </w:t>
      </w:r>
      <w:r w:rsidR="00312150" w:rsidRPr="00051B46">
        <w:rPr>
          <w:rFonts w:ascii="Arial" w:hAnsi="Arial" w:cs="Arial"/>
          <w:vertAlign w:val="superscript"/>
        </w:rPr>
        <w:t>1</w:t>
      </w:r>
      <w:r w:rsidR="00312150" w:rsidRPr="00051B46">
        <w:rPr>
          <w:rFonts w:ascii="Arial" w:hAnsi="Arial" w:cs="Arial"/>
        </w:rPr>
        <w:t>H-</w:t>
      </w:r>
      <w:r w:rsidRPr="00051B46">
        <w:rPr>
          <w:rFonts w:ascii="Arial" w:hAnsi="Arial" w:cs="Arial"/>
        </w:rPr>
        <w:t>MR</w:t>
      </w:r>
      <w:r w:rsidR="00312150" w:rsidRPr="00051B46">
        <w:rPr>
          <w:rFonts w:ascii="Arial" w:hAnsi="Arial" w:cs="Arial"/>
        </w:rPr>
        <w:t>S</w:t>
      </w:r>
      <w:r w:rsidRPr="00051B46">
        <w:rPr>
          <w:rFonts w:ascii="Arial" w:hAnsi="Arial" w:cs="Arial"/>
        </w:rPr>
        <w:t xml:space="preserve"> for </w:t>
      </w:r>
      <w:r w:rsidR="00312150" w:rsidRPr="00051B46">
        <w:rPr>
          <w:rFonts w:ascii="Arial" w:hAnsi="Arial" w:cs="Arial"/>
        </w:rPr>
        <w:t xml:space="preserve">the </w:t>
      </w:r>
      <w:r w:rsidRPr="00051B46">
        <w:rPr>
          <w:rFonts w:ascii="Arial" w:hAnsi="Arial" w:cs="Arial"/>
        </w:rPr>
        <w:t>detection o</w:t>
      </w:r>
      <w:r w:rsidR="00312150" w:rsidRPr="00051B46">
        <w:rPr>
          <w:rFonts w:ascii="Arial" w:hAnsi="Arial" w:cs="Arial"/>
        </w:rPr>
        <w:t>f hepatic steatosis</w:t>
      </w:r>
      <w:r w:rsidR="005E1536" w:rsidRPr="00051B46">
        <w:rPr>
          <w:rFonts w:ascii="Arial" w:hAnsi="Arial" w:cs="Arial"/>
        </w:rPr>
        <w:t xml:space="preserve"> (</w:t>
      </w:r>
      <w:r w:rsidR="00321E9D" w:rsidRPr="00051B46">
        <w:rPr>
          <w:rFonts w:ascii="Arial" w:hAnsi="Arial" w:cs="Arial"/>
        </w:rPr>
        <w:t>109</w:t>
      </w:r>
      <w:r w:rsidR="005E1536" w:rsidRPr="00051B46">
        <w:rPr>
          <w:rFonts w:ascii="Arial" w:hAnsi="Arial" w:cs="Arial"/>
        </w:rPr>
        <w:t>)</w:t>
      </w:r>
      <w:r w:rsidR="00A91E53" w:rsidRPr="00051B46">
        <w:rPr>
          <w:rFonts w:ascii="Arial" w:hAnsi="Arial" w:cs="Arial"/>
        </w:rPr>
        <w:t>. Of note,</w:t>
      </w:r>
      <w:r w:rsidRPr="00051B46">
        <w:rPr>
          <w:rFonts w:ascii="Arial" w:hAnsi="Arial" w:cs="Arial"/>
        </w:rPr>
        <w:t xml:space="preserve"> 56% of these patients had </w:t>
      </w:r>
      <w:r w:rsidR="00312150" w:rsidRPr="00051B46">
        <w:rPr>
          <w:rFonts w:ascii="Arial" w:hAnsi="Arial" w:cs="Arial"/>
        </w:rPr>
        <w:t xml:space="preserve">a diagnosis </w:t>
      </w:r>
      <w:r w:rsidRPr="00051B46">
        <w:rPr>
          <w:rFonts w:ascii="Arial" w:hAnsi="Arial" w:cs="Arial"/>
        </w:rPr>
        <w:t>of NASH on liver biopsy</w:t>
      </w:r>
      <w:r w:rsidR="00A91E53" w:rsidRPr="00051B46">
        <w:rPr>
          <w:rFonts w:ascii="Arial" w:hAnsi="Arial" w:cs="Arial"/>
        </w:rPr>
        <w:t>, highlighting that reliance on ALT/AST alone may be an inadequate approach for the systematic detection of NASH in endocrinology or primary care clinics</w:t>
      </w:r>
      <w:r w:rsidR="005E1536" w:rsidRPr="00051B46">
        <w:rPr>
          <w:rFonts w:ascii="Arial" w:hAnsi="Arial" w:cs="Arial"/>
        </w:rPr>
        <w:t xml:space="preserve"> (50)</w:t>
      </w:r>
      <w:r w:rsidRPr="00051B46">
        <w:rPr>
          <w:rFonts w:ascii="Arial" w:hAnsi="Arial" w:cs="Arial"/>
        </w:rPr>
        <w:t>.</w:t>
      </w:r>
      <w:r w:rsidR="00312150" w:rsidRPr="00051B46">
        <w:rPr>
          <w:rFonts w:ascii="Arial" w:hAnsi="Arial" w:cs="Arial"/>
        </w:rPr>
        <w:t xml:space="preserve"> </w:t>
      </w:r>
      <w:proofErr w:type="spellStart"/>
      <w:r w:rsidR="002A2FA7" w:rsidRPr="00051B46">
        <w:rPr>
          <w:rFonts w:ascii="Arial" w:hAnsi="Arial" w:cs="Arial"/>
        </w:rPr>
        <w:t>Maximos</w:t>
      </w:r>
      <w:proofErr w:type="spellEnd"/>
      <w:r w:rsidR="002A2FA7" w:rsidRPr="00051B46">
        <w:rPr>
          <w:rFonts w:ascii="Arial" w:hAnsi="Arial" w:cs="Arial"/>
        </w:rPr>
        <w:t xml:space="preserve"> et al</w:t>
      </w:r>
      <w:r w:rsidRPr="00051B46">
        <w:rPr>
          <w:rFonts w:ascii="Arial" w:hAnsi="Arial" w:cs="Arial"/>
        </w:rPr>
        <w:t xml:space="preserve"> </w:t>
      </w:r>
      <w:r w:rsidR="005E1536" w:rsidRPr="00051B46">
        <w:rPr>
          <w:rFonts w:ascii="Arial" w:hAnsi="Arial" w:cs="Arial"/>
        </w:rPr>
        <w:t>(</w:t>
      </w:r>
      <w:r w:rsidR="00321E9D" w:rsidRPr="00051B46">
        <w:rPr>
          <w:rFonts w:ascii="Arial" w:hAnsi="Arial" w:cs="Arial"/>
        </w:rPr>
        <w:t>110</w:t>
      </w:r>
      <w:r w:rsidR="005E1536" w:rsidRPr="00051B46">
        <w:rPr>
          <w:rFonts w:ascii="Arial" w:hAnsi="Arial" w:cs="Arial"/>
        </w:rPr>
        <w:t>)</w:t>
      </w:r>
      <w:r w:rsidR="00B17450" w:rsidRPr="00051B46">
        <w:rPr>
          <w:rFonts w:ascii="Arial" w:hAnsi="Arial" w:cs="Arial"/>
        </w:rPr>
        <w:t xml:space="preserve"> </w:t>
      </w:r>
      <w:r w:rsidR="002A2FA7" w:rsidRPr="00051B46">
        <w:rPr>
          <w:rFonts w:ascii="Arial" w:hAnsi="Arial" w:cs="Arial"/>
        </w:rPr>
        <w:t>have</w:t>
      </w:r>
      <w:r w:rsidRPr="00051B46">
        <w:rPr>
          <w:rFonts w:ascii="Arial" w:hAnsi="Arial" w:cs="Arial"/>
        </w:rPr>
        <w:t xml:space="preserve"> </w:t>
      </w:r>
      <w:r w:rsidR="002A2FA7" w:rsidRPr="00051B46">
        <w:rPr>
          <w:rFonts w:ascii="Arial" w:hAnsi="Arial" w:cs="Arial"/>
        </w:rPr>
        <w:t xml:space="preserve">reported </w:t>
      </w:r>
      <w:r w:rsidRPr="00051B46">
        <w:rPr>
          <w:rFonts w:ascii="Arial" w:hAnsi="Arial" w:cs="Arial"/>
        </w:rPr>
        <w:t xml:space="preserve">a </w:t>
      </w:r>
      <w:r w:rsidR="002A2FA7" w:rsidRPr="00051B46">
        <w:rPr>
          <w:rFonts w:ascii="Arial" w:hAnsi="Arial" w:cs="Arial"/>
        </w:rPr>
        <w:t xml:space="preserve">comparable </w:t>
      </w:r>
      <w:r w:rsidRPr="00051B46">
        <w:rPr>
          <w:rFonts w:ascii="Arial" w:hAnsi="Arial" w:cs="Arial"/>
        </w:rPr>
        <w:t>degree of NASH in patients with normal vs</w:t>
      </w:r>
      <w:r w:rsidR="00312150" w:rsidRPr="00051B46">
        <w:rPr>
          <w:rFonts w:ascii="Arial" w:hAnsi="Arial" w:cs="Arial"/>
        </w:rPr>
        <w:t>.</w:t>
      </w:r>
      <w:r w:rsidRPr="00051B46">
        <w:rPr>
          <w:rFonts w:ascii="Arial" w:hAnsi="Arial" w:cs="Arial"/>
        </w:rPr>
        <w:t xml:space="preserve"> abnormal levels of plasma aminotransferases, emphasizing the non-reliability of plasma </w:t>
      </w:r>
      <w:r w:rsidRPr="00051B46">
        <w:rPr>
          <w:rFonts w:ascii="Arial" w:hAnsi="Arial" w:cs="Arial"/>
        </w:rPr>
        <w:lastRenderedPageBreak/>
        <w:t>aminotransferases as clinical biomarkers for presence or severity of disease</w:t>
      </w:r>
      <w:r w:rsidR="00B17450" w:rsidRPr="00051B46">
        <w:rPr>
          <w:rFonts w:ascii="Arial" w:hAnsi="Arial" w:cs="Arial"/>
        </w:rPr>
        <w:t>, a finding consistent with the literature by others</w:t>
      </w:r>
      <w:r w:rsidR="005E1536" w:rsidRPr="00051B46">
        <w:rPr>
          <w:rFonts w:ascii="Arial" w:hAnsi="Arial" w:cs="Arial"/>
        </w:rPr>
        <w:t xml:space="preserve"> (6,</w:t>
      </w:r>
      <w:r w:rsidR="0054664B" w:rsidRPr="00051B46">
        <w:rPr>
          <w:rFonts w:ascii="Arial" w:hAnsi="Arial" w:cs="Arial"/>
        </w:rPr>
        <w:t>9</w:t>
      </w:r>
      <w:r w:rsidR="005E1536" w:rsidRPr="00051B46">
        <w:rPr>
          <w:rFonts w:ascii="Arial" w:hAnsi="Arial" w:cs="Arial"/>
        </w:rPr>
        <w:t>,</w:t>
      </w:r>
      <w:r w:rsidR="00321E9D" w:rsidRPr="00051B46">
        <w:rPr>
          <w:rFonts w:ascii="Arial" w:hAnsi="Arial" w:cs="Arial"/>
        </w:rPr>
        <w:t>111</w:t>
      </w:r>
      <w:r w:rsidR="005E1536" w:rsidRPr="00051B46">
        <w:rPr>
          <w:rFonts w:ascii="Arial" w:hAnsi="Arial" w:cs="Arial"/>
        </w:rPr>
        <w:t>)</w:t>
      </w:r>
      <w:r w:rsidR="00A52AAA" w:rsidRPr="00051B46">
        <w:rPr>
          <w:rFonts w:ascii="Arial" w:hAnsi="Arial" w:cs="Arial"/>
        </w:rPr>
        <w:t>.</w:t>
      </w:r>
      <w:r w:rsidR="00A52AAA" w:rsidRPr="00051B46">
        <w:rPr>
          <w:rFonts w:ascii="Arial" w:hAnsi="Arial" w:cs="Arial"/>
          <w:vertAlign w:val="superscript"/>
        </w:rPr>
        <w:t xml:space="preserve">  </w:t>
      </w:r>
      <w:r w:rsidR="007F79EF" w:rsidRPr="00051B46">
        <w:rPr>
          <w:rFonts w:ascii="Arial" w:hAnsi="Arial" w:cs="Arial"/>
        </w:rPr>
        <w:t xml:space="preserve">Factors affecting elevation of plasma </w:t>
      </w:r>
      <w:r w:rsidR="00B17450" w:rsidRPr="00051B46">
        <w:rPr>
          <w:rFonts w:ascii="Arial" w:hAnsi="Arial" w:cs="Arial"/>
        </w:rPr>
        <w:t>amino</w:t>
      </w:r>
      <w:r w:rsidR="007F79EF" w:rsidRPr="00051B46">
        <w:rPr>
          <w:rFonts w:ascii="Arial" w:hAnsi="Arial" w:cs="Arial"/>
        </w:rPr>
        <w:t>transferases included adipose tissue insulin resistance and intra-hepatic triglyceride content, rather than hepatic insulin resistance</w:t>
      </w:r>
      <w:r w:rsidR="005E1536" w:rsidRPr="00051B46">
        <w:rPr>
          <w:rFonts w:ascii="Arial" w:hAnsi="Arial" w:cs="Arial"/>
        </w:rPr>
        <w:t xml:space="preserve"> (</w:t>
      </w:r>
      <w:r w:rsidR="00321E9D" w:rsidRPr="00051B46">
        <w:rPr>
          <w:rFonts w:ascii="Arial" w:hAnsi="Arial" w:cs="Arial"/>
        </w:rPr>
        <w:t>110</w:t>
      </w:r>
      <w:r w:rsidR="005E1536" w:rsidRPr="00051B46">
        <w:rPr>
          <w:rFonts w:ascii="Arial" w:hAnsi="Arial" w:cs="Arial"/>
        </w:rPr>
        <w:t>)</w:t>
      </w:r>
      <w:r w:rsidR="007F79EF" w:rsidRPr="00051B46">
        <w:rPr>
          <w:rFonts w:ascii="Arial" w:hAnsi="Arial" w:cs="Arial"/>
        </w:rPr>
        <w:t xml:space="preserve">. There is some evidence to suggest lowering the </w:t>
      </w:r>
      <w:r w:rsidR="006D5485" w:rsidRPr="00051B46">
        <w:rPr>
          <w:rFonts w:ascii="Arial" w:hAnsi="Arial" w:cs="Arial"/>
        </w:rPr>
        <w:t xml:space="preserve">optimal </w:t>
      </w:r>
      <w:r w:rsidR="007F79EF" w:rsidRPr="00051B46">
        <w:rPr>
          <w:rFonts w:ascii="Arial" w:hAnsi="Arial" w:cs="Arial"/>
        </w:rPr>
        <w:t xml:space="preserve">threshold </w:t>
      </w:r>
      <w:r w:rsidR="006D5485" w:rsidRPr="00051B46">
        <w:rPr>
          <w:rFonts w:ascii="Arial" w:hAnsi="Arial" w:cs="Arial"/>
        </w:rPr>
        <w:t xml:space="preserve">for considering </w:t>
      </w:r>
      <w:r w:rsidR="007F79EF" w:rsidRPr="00051B46">
        <w:rPr>
          <w:rFonts w:ascii="Arial" w:hAnsi="Arial" w:cs="Arial"/>
        </w:rPr>
        <w:t xml:space="preserve">plasma alanine transferase (ALT) </w:t>
      </w:r>
      <w:r w:rsidR="006D5485" w:rsidRPr="00051B46">
        <w:rPr>
          <w:rFonts w:ascii="Arial" w:hAnsi="Arial" w:cs="Arial"/>
        </w:rPr>
        <w:t xml:space="preserve">as normal </w:t>
      </w:r>
      <w:r w:rsidR="007F79EF" w:rsidRPr="00051B46">
        <w:rPr>
          <w:rFonts w:ascii="Arial" w:hAnsi="Arial" w:cs="Arial"/>
        </w:rPr>
        <w:t xml:space="preserve">to </w:t>
      </w:r>
      <w:r w:rsidR="006D5485" w:rsidRPr="00051B46">
        <w:rPr>
          <w:rFonts w:ascii="Arial" w:hAnsi="Arial" w:cs="Arial"/>
        </w:rPr>
        <w:t>be ≤</w:t>
      </w:r>
      <w:r w:rsidR="007F79EF" w:rsidRPr="00051B46">
        <w:rPr>
          <w:rFonts w:ascii="Arial" w:hAnsi="Arial" w:cs="Arial"/>
        </w:rPr>
        <w:t xml:space="preserve">30 U/L in men and </w:t>
      </w:r>
      <w:r w:rsidR="006D5485" w:rsidRPr="00051B46">
        <w:rPr>
          <w:rFonts w:ascii="Arial" w:hAnsi="Arial" w:cs="Arial"/>
        </w:rPr>
        <w:t>≤</w:t>
      </w:r>
      <w:r w:rsidR="007F79EF" w:rsidRPr="00051B46">
        <w:rPr>
          <w:rFonts w:ascii="Arial" w:hAnsi="Arial" w:cs="Arial"/>
        </w:rPr>
        <w:t>19 U/L in women</w:t>
      </w:r>
      <w:r w:rsidR="005E1536" w:rsidRPr="00051B46">
        <w:rPr>
          <w:rFonts w:ascii="Arial" w:hAnsi="Arial" w:cs="Arial"/>
        </w:rPr>
        <w:t xml:space="preserve"> (</w:t>
      </w:r>
      <w:r w:rsidR="00321E9D" w:rsidRPr="00051B46">
        <w:rPr>
          <w:rFonts w:ascii="Arial" w:hAnsi="Arial" w:cs="Arial"/>
        </w:rPr>
        <w:t>112</w:t>
      </w:r>
      <w:r w:rsidR="005E1536" w:rsidRPr="00051B46">
        <w:rPr>
          <w:rFonts w:ascii="Arial" w:hAnsi="Arial" w:cs="Arial"/>
        </w:rPr>
        <w:t>)</w:t>
      </w:r>
      <w:r w:rsidR="007F79EF" w:rsidRPr="00051B46">
        <w:rPr>
          <w:rFonts w:ascii="Arial" w:hAnsi="Arial" w:cs="Arial"/>
        </w:rPr>
        <w:t>.</w:t>
      </w:r>
      <w:r w:rsidR="0059092A" w:rsidRPr="00051B46">
        <w:rPr>
          <w:rFonts w:ascii="Arial" w:hAnsi="Arial" w:cs="Arial"/>
        </w:rPr>
        <w:t xml:space="preserve"> </w:t>
      </w:r>
      <w:r w:rsidR="006D5485" w:rsidRPr="00051B46">
        <w:rPr>
          <w:rFonts w:ascii="Arial" w:hAnsi="Arial" w:cs="Arial"/>
        </w:rPr>
        <w:t xml:space="preserve">This increases the sensitivity of this screening method. Plasma </w:t>
      </w:r>
      <w:r w:rsidR="0059092A" w:rsidRPr="00051B46">
        <w:rPr>
          <w:rFonts w:ascii="Arial" w:hAnsi="Arial" w:cs="Arial"/>
        </w:rPr>
        <w:t>ALT is</w:t>
      </w:r>
      <w:r w:rsidR="006D5485" w:rsidRPr="00051B46">
        <w:rPr>
          <w:rFonts w:ascii="Arial" w:hAnsi="Arial" w:cs="Arial"/>
        </w:rPr>
        <w:t xml:space="preserve"> </w:t>
      </w:r>
      <w:r w:rsidR="0059092A" w:rsidRPr="00051B46">
        <w:rPr>
          <w:rFonts w:ascii="Arial" w:hAnsi="Arial" w:cs="Arial"/>
        </w:rPr>
        <w:t xml:space="preserve">usually more elevated than AST in the presence of NAFLD and NASH, unless there is advanced disease </w:t>
      </w:r>
      <w:r w:rsidR="006D5485" w:rsidRPr="00051B46">
        <w:rPr>
          <w:rFonts w:ascii="Arial" w:hAnsi="Arial" w:cs="Arial"/>
        </w:rPr>
        <w:t xml:space="preserve">or </w:t>
      </w:r>
      <w:r w:rsidR="0059092A" w:rsidRPr="00051B46">
        <w:rPr>
          <w:rFonts w:ascii="Arial" w:hAnsi="Arial" w:cs="Arial"/>
        </w:rPr>
        <w:t>cirrhosis</w:t>
      </w:r>
      <w:r w:rsidR="006D5485" w:rsidRPr="00051B46">
        <w:rPr>
          <w:rFonts w:ascii="Arial" w:hAnsi="Arial" w:cs="Arial"/>
        </w:rPr>
        <w:t>, when AST usually increases</w:t>
      </w:r>
      <w:r w:rsidR="0059092A" w:rsidRPr="00051B46">
        <w:rPr>
          <w:rFonts w:ascii="Arial" w:hAnsi="Arial" w:cs="Arial"/>
        </w:rPr>
        <w:t>.</w:t>
      </w:r>
    </w:p>
    <w:p w14:paraId="79828527" w14:textId="77777777" w:rsidR="005E1536" w:rsidRPr="00051B46" w:rsidRDefault="005E1536" w:rsidP="002506B3">
      <w:pPr>
        <w:spacing w:after="0" w:line="276" w:lineRule="auto"/>
        <w:rPr>
          <w:rFonts w:ascii="Arial" w:hAnsi="Arial" w:cs="Arial"/>
        </w:rPr>
      </w:pPr>
    </w:p>
    <w:p w14:paraId="5669A113" w14:textId="1BCBFB5C" w:rsidR="005E1536" w:rsidRPr="00051B46" w:rsidRDefault="0059092A" w:rsidP="002506B3">
      <w:pPr>
        <w:spacing w:after="0" w:line="276" w:lineRule="auto"/>
        <w:rPr>
          <w:rFonts w:ascii="Arial" w:hAnsi="Arial" w:cs="Arial"/>
        </w:rPr>
      </w:pPr>
      <w:r w:rsidRPr="00051B46">
        <w:rPr>
          <w:rFonts w:ascii="Arial" w:hAnsi="Arial" w:cs="Arial"/>
        </w:rPr>
        <w:t>Significant efforts have been made in finding the ideal biomarker panel for the diagnosis of NAFLD/NASH. Simple metabolic algorithms such as fatty liver index (using measures, such as BMI, waist circumference, triglyceride levels</w:t>
      </w:r>
      <w:r w:rsidR="00CD7B1B" w:rsidRPr="00051B46">
        <w:rPr>
          <w:rFonts w:ascii="Arial" w:hAnsi="Arial" w:cs="Arial"/>
        </w:rPr>
        <w:t>,</w:t>
      </w:r>
      <w:r w:rsidRPr="00051B46">
        <w:rPr>
          <w:rFonts w:ascii="Arial" w:hAnsi="Arial" w:cs="Arial"/>
        </w:rPr>
        <w:t xml:space="preserve"> and GGT) used for diagnosis of NAFLD ha</w:t>
      </w:r>
      <w:r w:rsidR="005E1536" w:rsidRPr="00051B46">
        <w:rPr>
          <w:rFonts w:ascii="Arial" w:hAnsi="Arial" w:cs="Arial"/>
        </w:rPr>
        <w:t>ve</w:t>
      </w:r>
      <w:r w:rsidRPr="00051B46">
        <w:rPr>
          <w:rFonts w:ascii="Arial" w:hAnsi="Arial" w:cs="Arial"/>
        </w:rPr>
        <w:t xml:space="preserve"> not been shown to be very reliable when compared with more accurate and advanced techniques, such as </w:t>
      </w:r>
      <w:r w:rsidR="00B17450" w:rsidRPr="00051B46">
        <w:rPr>
          <w:rFonts w:ascii="Arial" w:hAnsi="Arial" w:cs="Arial"/>
          <w:vertAlign w:val="superscript"/>
        </w:rPr>
        <w:t>1</w:t>
      </w:r>
      <w:r w:rsidR="00B17450" w:rsidRPr="00051B46">
        <w:rPr>
          <w:rFonts w:ascii="Arial" w:hAnsi="Arial" w:cs="Arial"/>
        </w:rPr>
        <w:t>H-MRS</w:t>
      </w:r>
      <w:r w:rsidR="005E1536" w:rsidRPr="00051B46">
        <w:rPr>
          <w:rFonts w:ascii="Arial" w:hAnsi="Arial" w:cs="Arial"/>
        </w:rPr>
        <w:t xml:space="preserve"> (</w:t>
      </w:r>
      <w:r w:rsidR="0033112C" w:rsidRPr="00051B46">
        <w:rPr>
          <w:rFonts w:ascii="Arial" w:hAnsi="Arial" w:cs="Arial"/>
        </w:rPr>
        <w:t>113</w:t>
      </w:r>
      <w:r w:rsidR="005E1536" w:rsidRPr="00051B46">
        <w:rPr>
          <w:rFonts w:ascii="Arial" w:hAnsi="Arial" w:cs="Arial"/>
        </w:rPr>
        <w:t>)</w:t>
      </w:r>
      <w:r w:rsidRPr="00051B46">
        <w:rPr>
          <w:rFonts w:ascii="Arial" w:hAnsi="Arial" w:cs="Arial"/>
        </w:rPr>
        <w:t>.</w:t>
      </w:r>
      <w:r w:rsidR="00E21848" w:rsidRPr="00051B46">
        <w:rPr>
          <w:rFonts w:ascii="Arial" w:hAnsi="Arial" w:cs="Arial"/>
        </w:rPr>
        <w:t xml:space="preserve"> It is </w:t>
      </w:r>
      <w:r w:rsidR="00B17450" w:rsidRPr="00051B46">
        <w:rPr>
          <w:rFonts w:ascii="Arial" w:hAnsi="Arial" w:cs="Arial"/>
        </w:rPr>
        <w:t xml:space="preserve">not a test for the diagnosis </w:t>
      </w:r>
      <w:r w:rsidR="00E21848" w:rsidRPr="00051B46">
        <w:rPr>
          <w:rFonts w:ascii="Arial" w:hAnsi="Arial" w:cs="Arial"/>
        </w:rPr>
        <w:t>of inflammation or fibrosis</w:t>
      </w:r>
      <w:r w:rsidR="005E1536" w:rsidRPr="00051B46">
        <w:rPr>
          <w:rFonts w:ascii="Arial" w:hAnsi="Arial" w:cs="Arial"/>
        </w:rPr>
        <w:t xml:space="preserve"> (</w:t>
      </w:r>
      <w:r w:rsidR="0033112C" w:rsidRPr="00051B46">
        <w:rPr>
          <w:rFonts w:ascii="Arial" w:hAnsi="Arial" w:cs="Arial"/>
        </w:rPr>
        <w:t>114</w:t>
      </w:r>
      <w:r w:rsidR="005E1536" w:rsidRPr="00051B46">
        <w:rPr>
          <w:rFonts w:ascii="Arial" w:hAnsi="Arial" w:cs="Arial"/>
        </w:rPr>
        <w:t>)</w:t>
      </w:r>
      <w:r w:rsidR="00E21848" w:rsidRPr="00051B46">
        <w:rPr>
          <w:rFonts w:ascii="Arial" w:hAnsi="Arial" w:cs="Arial"/>
        </w:rPr>
        <w:t>.</w:t>
      </w:r>
    </w:p>
    <w:p w14:paraId="62CB8CAD" w14:textId="22A2B0E9" w:rsidR="0059092A" w:rsidRPr="00051B46" w:rsidRDefault="005E1536" w:rsidP="002506B3">
      <w:pPr>
        <w:spacing w:after="0" w:line="276" w:lineRule="auto"/>
        <w:rPr>
          <w:rFonts w:ascii="Arial" w:hAnsi="Arial" w:cs="Arial"/>
        </w:rPr>
      </w:pPr>
      <w:r w:rsidRPr="00051B46">
        <w:rPr>
          <w:rFonts w:ascii="Arial" w:hAnsi="Arial" w:cs="Arial"/>
        </w:rPr>
        <w:t xml:space="preserve"> </w:t>
      </w:r>
    </w:p>
    <w:p w14:paraId="490E30DE" w14:textId="7B76B077" w:rsidR="00F34F55" w:rsidRPr="00051B46" w:rsidRDefault="00E21848" w:rsidP="002506B3">
      <w:pPr>
        <w:spacing w:after="0" w:line="276" w:lineRule="auto"/>
        <w:rPr>
          <w:rFonts w:ascii="Arial" w:hAnsi="Arial" w:cs="Arial"/>
        </w:rPr>
      </w:pPr>
      <w:r w:rsidRPr="00051B46">
        <w:rPr>
          <w:rFonts w:ascii="Arial" w:hAnsi="Arial" w:cs="Arial"/>
        </w:rPr>
        <w:t xml:space="preserve">Several biomarker clinical scores (using different measures, such as AST, ALT, BMI, platelets, albumin, </w:t>
      </w:r>
      <w:r w:rsidR="006D309F" w:rsidRPr="00051B46">
        <w:rPr>
          <w:rFonts w:ascii="Arial" w:hAnsi="Arial" w:cs="Arial"/>
        </w:rPr>
        <w:t>T2</w:t>
      </w:r>
      <w:r w:rsidRPr="00051B46">
        <w:rPr>
          <w:rFonts w:ascii="Arial" w:hAnsi="Arial" w:cs="Arial"/>
        </w:rPr>
        <w:t xml:space="preserve">DM) have been developed to evaluate for </w:t>
      </w:r>
      <w:r w:rsidR="00DC2F03" w:rsidRPr="00051B46">
        <w:rPr>
          <w:rFonts w:ascii="Arial" w:hAnsi="Arial" w:cs="Arial"/>
        </w:rPr>
        <w:t xml:space="preserve">the </w:t>
      </w:r>
      <w:r w:rsidRPr="00051B46">
        <w:rPr>
          <w:rFonts w:ascii="Arial" w:hAnsi="Arial" w:cs="Arial"/>
        </w:rPr>
        <w:t xml:space="preserve">presence and degree of </w:t>
      </w:r>
      <w:r w:rsidR="00DC2F03" w:rsidRPr="00051B46">
        <w:rPr>
          <w:rFonts w:ascii="Arial" w:hAnsi="Arial" w:cs="Arial"/>
        </w:rPr>
        <w:t xml:space="preserve">liver </w:t>
      </w:r>
      <w:r w:rsidRPr="00051B46">
        <w:rPr>
          <w:rFonts w:ascii="Arial" w:hAnsi="Arial" w:cs="Arial"/>
        </w:rPr>
        <w:t>fibrosis</w:t>
      </w:r>
      <w:r w:rsidR="005E1536" w:rsidRPr="00051B46">
        <w:rPr>
          <w:rFonts w:ascii="Arial" w:hAnsi="Arial" w:cs="Arial"/>
        </w:rPr>
        <w:t xml:space="preserve"> (</w:t>
      </w:r>
      <w:r w:rsidR="0054664B" w:rsidRPr="00051B46">
        <w:rPr>
          <w:rFonts w:ascii="Arial" w:hAnsi="Arial" w:cs="Arial"/>
        </w:rPr>
        <w:t>8</w:t>
      </w:r>
      <w:r w:rsidR="005E1536" w:rsidRPr="00051B46">
        <w:rPr>
          <w:rFonts w:ascii="Arial" w:hAnsi="Arial" w:cs="Arial"/>
        </w:rPr>
        <w:t>)</w:t>
      </w:r>
      <w:r w:rsidRPr="00051B46">
        <w:rPr>
          <w:rFonts w:ascii="Arial" w:hAnsi="Arial" w:cs="Arial"/>
        </w:rPr>
        <w:t xml:space="preserve">. </w:t>
      </w:r>
      <w:r w:rsidR="00FF6B50" w:rsidRPr="00051B46">
        <w:rPr>
          <w:rFonts w:ascii="Arial" w:hAnsi="Arial" w:cs="Arial"/>
        </w:rPr>
        <w:t xml:space="preserve">These tests are listed in the </w:t>
      </w:r>
      <w:r w:rsidR="00DC2F03" w:rsidRPr="00051B46">
        <w:rPr>
          <w:rFonts w:ascii="Arial" w:hAnsi="Arial" w:cs="Arial"/>
        </w:rPr>
        <w:t>T</w:t>
      </w:r>
      <w:r w:rsidR="00FF6B50" w:rsidRPr="00051B46">
        <w:rPr>
          <w:rFonts w:ascii="Arial" w:hAnsi="Arial" w:cs="Arial"/>
        </w:rPr>
        <w:t xml:space="preserve">able </w:t>
      </w:r>
      <w:r w:rsidR="00DC2F03" w:rsidRPr="00051B46">
        <w:rPr>
          <w:rFonts w:ascii="Arial" w:hAnsi="Arial" w:cs="Arial"/>
        </w:rPr>
        <w:t>3</w:t>
      </w:r>
      <w:r w:rsidR="00FF6B50" w:rsidRPr="00051B46">
        <w:rPr>
          <w:rFonts w:ascii="Arial" w:hAnsi="Arial" w:cs="Arial"/>
        </w:rPr>
        <w:t xml:space="preserve">. </w:t>
      </w:r>
      <w:r w:rsidRPr="00051B46">
        <w:rPr>
          <w:rFonts w:ascii="Arial" w:hAnsi="Arial" w:cs="Arial"/>
        </w:rPr>
        <w:t xml:space="preserve">Among these, only </w:t>
      </w:r>
      <w:r w:rsidR="00DC2F03" w:rsidRPr="00051B46">
        <w:rPr>
          <w:rFonts w:ascii="Arial" w:hAnsi="Arial" w:cs="Arial"/>
        </w:rPr>
        <w:t xml:space="preserve">the </w:t>
      </w:r>
      <w:r w:rsidRPr="00051B46">
        <w:rPr>
          <w:rFonts w:ascii="Arial" w:hAnsi="Arial" w:cs="Arial"/>
        </w:rPr>
        <w:t xml:space="preserve">NAFLD fibrosis score and FIB-4 have been confirmed </w:t>
      </w:r>
      <w:r w:rsidR="00DC2F03" w:rsidRPr="00051B46">
        <w:rPr>
          <w:rFonts w:ascii="Arial" w:hAnsi="Arial" w:cs="Arial"/>
        </w:rPr>
        <w:t xml:space="preserve">across a broad spectrum of </w:t>
      </w:r>
      <w:r w:rsidRPr="00051B46">
        <w:rPr>
          <w:rFonts w:ascii="Arial" w:hAnsi="Arial" w:cs="Arial"/>
        </w:rPr>
        <w:t>populations</w:t>
      </w:r>
      <w:r w:rsidR="00DC2F03" w:rsidRPr="00051B46">
        <w:rPr>
          <w:rFonts w:ascii="Arial" w:hAnsi="Arial" w:cs="Arial"/>
        </w:rPr>
        <w:t xml:space="preserve"> and considered the</w:t>
      </w:r>
      <w:r w:rsidRPr="00051B46">
        <w:rPr>
          <w:rFonts w:ascii="Arial" w:hAnsi="Arial" w:cs="Arial"/>
        </w:rPr>
        <w:t xml:space="preserve"> most reliable </w:t>
      </w:r>
      <w:r w:rsidR="00DC2F03" w:rsidRPr="00051B46">
        <w:rPr>
          <w:rFonts w:ascii="Arial" w:hAnsi="Arial" w:cs="Arial"/>
        </w:rPr>
        <w:t>for the</w:t>
      </w:r>
      <w:r w:rsidRPr="00051B46">
        <w:rPr>
          <w:rFonts w:ascii="Arial" w:hAnsi="Arial" w:cs="Arial"/>
        </w:rPr>
        <w:t xml:space="preserve"> </w:t>
      </w:r>
      <w:r w:rsidR="00DC2F03" w:rsidRPr="00051B46">
        <w:rPr>
          <w:rFonts w:ascii="Arial" w:hAnsi="Arial" w:cs="Arial"/>
        </w:rPr>
        <w:t>exclusion</w:t>
      </w:r>
      <w:r w:rsidRPr="00051B46">
        <w:rPr>
          <w:rFonts w:ascii="Arial" w:hAnsi="Arial" w:cs="Arial"/>
        </w:rPr>
        <w:t xml:space="preserve"> of advanced fibrosis</w:t>
      </w:r>
      <w:r w:rsidR="005E1536" w:rsidRPr="00051B46">
        <w:rPr>
          <w:rFonts w:ascii="Arial" w:hAnsi="Arial" w:cs="Arial"/>
        </w:rPr>
        <w:t xml:space="preserve"> (</w:t>
      </w:r>
      <w:r w:rsidR="0033112C" w:rsidRPr="00051B46">
        <w:rPr>
          <w:rFonts w:ascii="Arial" w:hAnsi="Arial" w:cs="Arial"/>
        </w:rPr>
        <w:t>115</w:t>
      </w:r>
      <w:r w:rsidR="005E1536" w:rsidRPr="00051B46">
        <w:rPr>
          <w:rFonts w:ascii="Arial" w:hAnsi="Arial" w:cs="Arial"/>
        </w:rPr>
        <w:t>)</w:t>
      </w:r>
      <w:r w:rsidRPr="00051B46">
        <w:rPr>
          <w:rFonts w:ascii="Arial" w:hAnsi="Arial" w:cs="Arial"/>
        </w:rPr>
        <w:t xml:space="preserve">. </w:t>
      </w:r>
      <w:r w:rsidR="00DC2F03" w:rsidRPr="00051B46">
        <w:rPr>
          <w:rFonts w:ascii="Arial" w:hAnsi="Arial" w:cs="Arial"/>
        </w:rPr>
        <w:t>It is apparent that t</w:t>
      </w:r>
      <w:r w:rsidR="00FF6B50" w:rsidRPr="00051B46">
        <w:rPr>
          <w:rFonts w:ascii="Arial" w:hAnsi="Arial" w:cs="Arial"/>
        </w:rPr>
        <w:t xml:space="preserve">hese scores are only able to distinguish </w:t>
      </w:r>
      <w:r w:rsidR="00DC2F03" w:rsidRPr="00051B46">
        <w:rPr>
          <w:rFonts w:ascii="Arial" w:hAnsi="Arial" w:cs="Arial"/>
        </w:rPr>
        <w:t xml:space="preserve">relatively well </w:t>
      </w:r>
      <w:r w:rsidR="00FF6B50" w:rsidRPr="00051B46">
        <w:rPr>
          <w:rFonts w:ascii="Arial" w:hAnsi="Arial" w:cs="Arial"/>
        </w:rPr>
        <w:t xml:space="preserve">between the two extremes – </w:t>
      </w:r>
      <w:r w:rsidR="00DC2F03" w:rsidRPr="00051B46">
        <w:rPr>
          <w:rFonts w:ascii="Arial" w:hAnsi="Arial" w:cs="Arial"/>
        </w:rPr>
        <w:t xml:space="preserve">a </w:t>
      </w:r>
      <w:r w:rsidR="00FF6B50" w:rsidRPr="00051B46">
        <w:rPr>
          <w:rFonts w:ascii="Arial" w:hAnsi="Arial" w:cs="Arial"/>
        </w:rPr>
        <w:t>population without evidence of NAFLD and a population with advanced fibrosis</w:t>
      </w:r>
      <w:r w:rsidR="00DC2F03" w:rsidRPr="00051B46">
        <w:rPr>
          <w:rFonts w:ascii="Arial" w:hAnsi="Arial" w:cs="Arial"/>
        </w:rPr>
        <w:t xml:space="preserve"> (F3-4)</w:t>
      </w:r>
      <w:r w:rsidR="00FF6B50" w:rsidRPr="00051B46">
        <w:rPr>
          <w:rFonts w:ascii="Arial" w:hAnsi="Arial" w:cs="Arial"/>
        </w:rPr>
        <w:t>. Most times, results fall in an intermediate or undetermined range, thus are not able to accurately classify patients in th</w:t>
      </w:r>
      <w:r w:rsidR="00DC2F03" w:rsidRPr="00051B46">
        <w:rPr>
          <w:rFonts w:ascii="Arial" w:hAnsi="Arial" w:cs="Arial"/>
        </w:rPr>
        <w:t>e</w:t>
      </w:r>
      <w:r w:rsidR="00FF6B50" w:rsidRPr="00051B46">
        <w:rPr>
          <w:rFonts w:ascii="Arial" w:hAnsi="Arial" w:cs="Arial"/>
        </w:rPr>
        <w:t xml:space="preserve"> spectrum of mild </w:t>
      </w:r>
      <w:r w:rsidR="00DC2F03" w:rsidRPr="00051B46">
        <w:rPr>
          <w:rFonts w:ascii="Arial" w:hAnsi="Arial" w:cs="Arial"/>
        </w:rPr>
        <w:t xml:space="preserve">(F1) </w:t>
      </w:r>
      <w:r w:rsidR="00FF6B50" w:rsidRPr="00051B46">
        <w:rPr>
          <w:rFonts w:ascii="Arial" w:hAnsi="Arial" w:cs="Arial"/>
        </w:rPr>
        <w:t xml:space="preserve">to moderate </w:t>
      </w:r>
      <w:r w:rsidR="00DC2F03" w:rsidRPr="00051B46">
        <w:rPr>
          <w:rFonts w:ascii="Arial" w:hAnsi="Arial" w:cs="Arial"/>
        </w:rPr>
        <w:t xml:space="preserve">(F2) </w:t>
      </w:r>
      <w:r w:rsidR="00FF6B50" w:rsidRPr="00051B46">
        <w:rPr>
          <w:rFonts w:ascii="Arial" w:hAnsi="Arial" w:cs="Arial"/>
        </w:rPr>
        <w:t>disease</w:t>
      </w:r>
      <w:r w:rsidR="005E1536" w:rsidRPr="00051B46">
        <w:rPr>
          <w:rFonts w:ascii="Arial" w:hAnsi="Arial" w:cs="Arial"/>
        </w:rPr>
        <w:t xml:space="preserve"> (</w:t>
      </w:r>
      <w:r w:rsidR="0054664B" w:rsidRPr="00051B46">
        <w:rPr>
          <w:rFonts w:ascii="Arial" w:hAnsi="Arial" w:cs="Arial"/>
        </w:rPr>
        <w:t>9</w:t>
      </w:r>
      <w:r w:rsidR="005E1536" w:rsidRPr="00051B46">
        <w:rPr>
          <w:rFonts w:ascii="Arial" w:hAnsi="Arial" w:cs="Arial"/>
        </w:rPr>
        <w:t>)</w:t>
      </w:r>
      <w:r w:rsidR="00FF6B50" w:rsidRPr="00051B46">
        <w:rPr>
          <w:rFonts w:ascii="Arial" w:hAnsi="Arial" w:cs="Arial"/>
        </w:rPr>
        <w:t>.</w:t>
      </w:r>
      <w:r w:rsidR="0068516A" w:rsidRPr="00051B46">
        <w:rPr>
          <w:rFonts w:ascii="Arial" w:hAnsi="Arial" w:cs="Arial"/>
        </w:rPr>
        <w:t xml:space="preserve"> These scores are also limited for use in population without</w:t>
      </w:r>
      <w:r w:rsidR="006D309F" w:rsidRPr="00051B46">
        <w:rPr>
          <w:rFonts w:ascii="Arial" w:hAnsi="Arial" w:cs="Arial"/>
        </w:rPr>
        <w:t xml:space="preserve"> T2DM</w:t>
      </w:r>
      <w:r w:rsidR="0068516A" w:rsidRPr="00051B46">
        <w:rPr>
          <w:rFonts w:ascii="Arial" w:hAnsi="Arial" w:cs="Arial"/>
        </w:rPr>
        <w:t>. They have not been shown to be very reliable in this specific high</w:t>
      </w:r>
      <w:r w:rsidR="00DC2F03" w:rsidRPr="00051B46">
        <w:rPr>
          <w:rFonts w:ascii="Arial" w:hAnsi="Arial" w:cs="Arial"/>
        </w:rPr>
        <w:t>-</w:t>
      </w:r>
      <w:r w:rsidR="0068516A" w:rsidRPr="00051B46">
        <w:rPr>
          <w:rFonts w:ascii="Arial" w:hAnsi="Arial" w:cs="Arial"/>
        </w:rPr>
        <w:t xml:space="preserve">risk population </w:t>
      </w:r>
      <w:r w:rsidR="006D309F" w:rsidRPr="00051B46">
        <w:rPr>
          <w:rFonts w:ascii="Arial" w:hAnsi="Arial" w:cs="Arial"/>
        </w:rPr>
        <w:t>of patients with T2DM</w:t>
      </w:r>
      <w:r w:rsidR="005E1536" w:rsidRPr="00051B46">
        <w:rPr>
          <w:rFonts w:ascii="Arial" w:hAnsi="Arial" w:cs="Arial"/>
        </w:rPr>
        <w:t xml:space="preserve"> (</w:t>
      </w:r>
      <w:r w:rsidR="0054664B" w:rsidRPr="00051B46">
        <w:rPr>
          <w:rFonts w:ascii="Arial" w:hAnsi="Arial" w:cs="Arial"/>
        </w:rPr>
        <w:t>9</w:t>
      </w:r>
      <w:r w:rsidR="005E1536" w:rsidRPr="00051B46">
        <w:rPr>
          <w:rFonts w:ascii="Arial" w:hAnsi="Arial" w:cs="Arial"/>
        </w:rPr>
        <w:t>)</w:t>
      </w:r>
      <w:r w:rsidR="0068516A" w:rsidRPr="00051B46">
        <w:rPr>
          <w:rFonts w:ascii="Arial" w:hAnsi="Arial" w:cs="Arial"/>
        </w:rPr>
        <w:t>.</w:t>
      </w:r>
      <w:r w:rsidR="00B31AB6" w:rsidRPr="00051B46">
        <w:rPr>
          <w:rFonts w:ascii="Arial" w:hAnsi="Arial" w:cs="Arial"/>
        </w:rPr>
        <w:t xml:space="preserve"> </w:t>
      </w:r>
    </w:p>
    <w:p w14:paraId="4CF6BEAA" w14:textId="30FD618A" w:rsidR="003F4712" w:rsidRDefault="003F4712" w:rsidP="002506B3">
      <w:pPr>
        <w:spacing w:after="0" w:line="276" w:lineRule="auto"/>
        <w:rPr>
          <w:rFonts w:asciiTheme="minorBidi" w:hAnsiTheme="minorBidi"/>
        </w:rPr>
      </w:pPr>
    </w:p>
    <w:tbl>
      <w:tblPr>
        <w:tblStyle w:val="TableGrid3"/>
        <w:tblW w:w="9350" w:type="dxa"/>
        <w:tblLook w:val="04A0" w:firstRow="1" w:lastRow="0" w:firstColumn="1" w:lastColumn="0" w:noHBand="0" w:noVBand="1"/>
      </w:tblPr>
      <w:tblGrid>
        <w:gridCol w:w="1431"/>
        <w:gridCol w:w="3603"/>
        <w:gridCol w:w="1023"/>
        <w:gridCol w:w="688"/>
        <w:gridCol w:w="720"/>
        <w:gridCol w:w="1885"/>
      </w:tblGrid>
      <w:tr w:rsidR="00CD7B1B" w:rsidRPr="00EC0130" w14:paraId="125D1DA1" w14:textId="77777777" w:rsidTr="00CD7B1B">
        <w:tc>
          <w:tcPr>
            <w:tcW w:w="9350" w:type="dxa"/>
            <w:gridSpan w:val="6"/>
            <w:shd w:val="clear" w:color="auto" w:fill="FFFF00"/>
          </w:tcPr>
          <w:p w14:paraId="2675DAF1" w14:textId="0D65B5D0" w:rsidR="00CD7B1B" w:rsidRPr="00051B46" w:rsidRDefault="00CD7B1B" w:rsidP="002506B3">
            <w:pPr>
              <w:spacing w:line="276" w:lineRule="auto"/>
              <w:rPr>
                <w:rFonts w:ascii="Arial" w:hAnsi="Arial" w:cs="Arial"/>
                <w:b/>
                <w:bCs/>
                <w:sz w:val="22"/>
                <w:szCs w:val="22"/>
              </w:rPr>
            </w:pPr>
            <w:r w:rsidRPr="00051B46">
              <w:rPr>
                <w:rFonts w:ascii="Arial" w:hAnsi="Arial" w:cs="Arial"/>
                <w:b/>
                <w:bCs/>
                <w:sz w:val="22"/>
                <w:szCs w:val="22"/>
              </w:rPr>
              <w:t>Table 3.</w:t>
            </w:r>
            <w:r w:rsidRPr="00051B46">
              <w:rPr>
                <w:rFonts w:ascii="Arial" w:hAnsi="Arial" w:cs="Arial"/>
                <w:sz w:val="22"/>
                <w:szCs w:val="22"/>
              </w:rPr>
              <w:t xml:space="preserve"> </w:t>
            </w:r>
            <w:r w:rsidRPr="00051B46">
              <w:rPr>
                <w:rFonts w:ascii="Arial" w:hAnsi="Arial" w:cs="Arial"/>
                <w:b/>
                <w:bCs/>
                <w:sz w:val="22"/>
                <w:szCs w:val="22"/>
              </w:rPr>
              <w:t>Biomarkers Available for use in Diagnosis of Advanced Fibrosis (Stages 3 or 4). Modified from reference (8)</w:t>
            </w:r>
            <w:r w:rsidRPr="00051B46">
              <w:rPr>
                <w:rFonts w:ascii="Arial" w:hAnsi="Arial" w:cs="Arial"/>
                <w:sz w:val="22"/>
                <w:szCs w:val="22"/>
              </w:rPr>
              <w:t xml:space="preserve"> </w:t>
            </w:r>
          </w:p>
        </w:tc>
      </w:tr>
      <w:tr w:rsidR="00FC4E10" w:rsidRPr="00EC0130" w14:paraId="6920E4CA" w14:textId="77777777" w:rsidTr="00FC4E10">
        <w:tc>
          <w:tcPr>
            <w:tcW w:w="1431" w:type="dxa"/>
          </w:tcPr>
          <w:p w14:paraId="01DC59DA" w14:textId="77777777" w:rsidR="00FC4E10" w:rsidRPr="00EC0130" w:rsidRDefault="00FC4E10" w:rsidP="002506B3">
            <w:pPr>
              <w:spacing w:line="276" w:lineRule="auto"/>
              <w:rPr>
                <w:rFonts w:ascii="Arial" w:hAnsi="Arial" w:cs="Arial"/>
                <w:b/>
                <w:bCs/>
                <w:sz w:val="22"/>
                <w:szCs w:val="22"/>
              </w:rPr>
            </w:pPr>
            <w:r w:rsidRPr="00EC0130">
              <w:rPr>
                <w:rFonts w:ascii="Arial" w:hAnsi="Arial" w:cs="Arial"/>
                <w:b/>
                <w:bCs/>
                <w:sz w:val="22"/>
                <w:szCs w:val="22"/>
              </w:rPr>
              <w:t>Test</w:t>
            </w:r>
          </w:p>
        </w:tc>
        <w:tc>
          <w:tcPr>
            <w:tcW w:w="3603" w:type="dxa"/>
          </w:tcPr>
          <w:p w14:paraId="7D6FC2CE" w14:textId="77777777" w:rsidR="00FC4E10" w:rsidRPr="00EC0130" w:rsidRDefault="00FC4E10" w:rsidP="002506B3">
            <w:pPr>
              <w:spacing w:line="276" w:lineRule="auto"/>
              <w:rPr>
                <w:rFonts w:ascii="Arial" w:hAnsi="Arial" w:cs="Arial"/>
                <w:sz w:val="22"/>
                <w:szCs w:val="22"/>
              </w:rPr>
            </w:pPr>
            <w:r w:rsidRPr="00EC0130">
              <w:rPr>
                <w:rFonts w:ascii="Arial" w:hAnsi="Arial" w:cs="Arial"/>
                <w:b/>
                <w:bCs/>
                <w:sz w:val="22"/>
                <w:szCs w:val="22"/>
              </w:rPr>
              <w:t>Parameters included</w:t>
            </w:r>
          </w:p>
        </w:tc>
        <w:tc>
          <w:tcPr>
            <w:tcW w:w="1023" w:type="dxa"/>
          </w:tcPr>
          <w:p w14:paraId="43914509" w14:textId="77777777" w:rsidR="00FC4E10" w:rsidRPr="00EC0130" w:rsidRDefault="00FC4E10" w:rsidP="002506B3">
            <w:pPr>
              <w:spacing w:line="276" w:lineRule="auto"/>
              <w:rPr>
                <w:rFonts w:ascii="Arial" w:hAnsi="Arial" w:cs="Arial"/>
                <w:sz w:val="22"/>
                <w:szCs w:val="22"/>
              </w:rPr>
            </w:pPr>
            <w:r w:rsidRPr="00EC0130">
              <w:rPr>
                <w:rFonts w:ascii="Arial" w:hAnsi="Arial" w:cs="Arial"/>
                <w:b/>
                <w:bCs/>
                <w:sz w:val="22"/>
                <w:szCs w:val="22"/>
              </w:rPr>
              <w:t>number</w:t>
            </w:r>
          </w:p>
        </w:tc>
        <w:tc>
          <w:tcPr>
            <w:tcW w:w="688" w:type="dxa"/>
          </w:tcPr>
          <w:p w14:paraId="37123FEA" w14:textId="77777777" w:rsidR="00FC4E10" w:rsidRPr="00EC0130" w:rsidRDefault="00FC4E10" w:rsidP="002506B3">
            <w:pPr>
              <w:spacing w:line="276" w:lineRule="auto"/>
              <w:rPr>
                <w:rFonts w:ascii="Arial" w:hAnsi="Arial" w:cs="Arial"/>
                <w:sz w:val="22"/>
                <w:szCs w:val="22"/>
              </w:rPr>
            </w:pPr>
            <w:r w:rsidRPr="00EC0130">
              <w:rPr>
                <w:rFonts w:ascii="Arial" w:hAnsi="Arial" w:cs="Arial"/>
                <w:b/>
                <w:bCs/>
                <w:sz w:val="22"/>
                <w:szCs w:val="22"/>
              </w:rPr>
              <w:t>PPV</w:t>
            </w:r>
          </w:p>
        </w:tc>
        <w:tc>
          <w:tcPr>
            <w:tcW w:w="720" w:type="dxa"/>
          </w:tcPr>
          <w:p w14:paraId="522ABF16" w14:textId="77777777" w:rsidR="00FC4E10" w:rsidRPr="00EC0130" w:rsidRDefault="00FC4E10" w:rsidP="002506B3">
            <w:pPr>
              <w:spacing w:line="276" w:lineRule="auto"/>
              <w:rPr>
                <w:rFonts w:ascii="Arial" w:hAnsi="Arial" w:cs="Arial"/>
                <w:sz w:val="22"/>
                <w:szCs w:val="22"/>
              </w:rPr>
            </w:pPr>
            <w:r w:rsidRPr="00EC0130">
              <w:rPr>
                <w:rFonts w:ascii="Arial" w:hAnsi="Arial" w:cs="Arial"/>
                <w:b/>
                <w:bCs/>
                <w:sz w:val="22"/>
                <w:szCs w:val="22"/>
              </w:rPr>
              <w:t>NPV</w:t>
            </w:r>
          </w:p>
        </w:tc>
        <w:tc>
          <w:tcPr>
            <w:tcW w:w="1885" w:type="dxa"/>
          </w:tcPr>
          <w:p w14:paraId="4CF188FB" w14:textId="77777777" w:rsidR="00FC4E10" w:rsidRPr="00EC0130" w:rsidRDefault="00FC4E10" w:rsidP="002506B3">
            <w:pPr>
              <w:spacing w:line="276" w:lineRule="auto"/>
              <w:rPr>
                <w:rFonts w:ascii="Arial" w:hAnsi="Arial" w:cs="Arial"/>
                <w:sz w:val="22"/>
                <w:szCs w:val="22"/>
              </w:rPr>
            </w:pPr>
            <w:r w:rsidRPr="00EC0130">
              <w:rPr>
                <w:rFonts w:ascii="Arial" w:hAnsi="Arial" w:cs="Arial"/>
                <w:b/>
                <w:bCs/>
                <w:sz w:val="22"/>
                <w:szCs w:val="22"/>
              </w:rPr>
              <w:t>Patients unable to be classified “grey zone”</w:t>
            </w:r>
          </w:p>
        </w:tc>
      </w:tr>
      <w:tr w:rsidR="00FC4E10" w:rsidRPr="00EC0130" w14:paraId="2B2C55FB" w14:textId="77777777" w:rsidTr="00FC4E10">
        <w:tc>
          <w:tcPr>
            <w:tcW w:w="1431" w:type="dxa"/>
          </w:tcPr>
          <w:p w14:paraId="2DF610E5"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 xml:space="preserve">NAFLD fibrosis score </w:t>
            </w:r>
          </w:p>
        </w:tc>
        <w:tc>
          <w:tcPr>
            <w:tcW w:w="3603" w:type="dxa"/>
          </w:tcPr>
          <w:p w14:paraId="53F2F02A"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Age, BMI</w:t>
            </w:r>
            <w:r>
              <w:rPr>
                <w:rFonts w:ascii="Arial" w:hAnsi="Arial" w:cs="Arial"/>
                <w:sz w:val="22"/>
                <w:szCs w:val="22"/>
              </w:rPr>
              <w:t>,</w:t>
            </w:r>
            <w:r w:rsidRPr="00EC0130">
              <w:rPr>
                <w:rFonts w:ascii="Arial" w:hAnsi="Arial" w:cs="Arial"/>
                <w:sz w:val="22"/>
                <w:szCs w:val="22"/>
              </w:rPr>
              <w:t xml:space="preserve"> </w:t>
            </w:r>
            <w:r>
              <w:rPr>
                <w:rFonts w:ascii="Arial" w:hAnsi="Arial" w:cs="Arial"/>
                <w:sz w:val="22"/>
                <w:szCs w:val="22"/>
              </w:rPr>
              <w:t>d</w:t>
            </w:r>
            <w:r w:rsidRPr="00EC0130">
              <w:rPr>
                <w:rFonts w:ascii="Arial" w:hAnsi="Arial" w:cs="Arial"/>
                <w:sz w:val="22"/>
                <w:szCs w:val="22"/>
              </w:rPr>
              <w:t>iabetes</w:t>
            </w:r>
            <w:r>
              <w:rPr>
                <w:rFonts w:ascii="Arial" w:hAnsi="Arial" w:cs="Arial"/>
                <w:sz w:val="22"/>
                <w:szCs w:val="22"/>
              </w:rPr>
              <w:t xml:space="preserve">, </w:t>
            </w:r>
            <w:r w:rsidRPr="00EC0130">
              <w:rPr>
                <w:rFonts w:ascii="Arial" w:hAnsi="Arial" w:cs="Arial"/>
                <w:sz w:val="22"/>
                <w:szCs w:val="22"/>
              </w:rPr>
              <w:t>AST/ALT ratio</w:t>
            </w:r>
            <w:r>
              <w:rPr>
                <w:rFonts w:ascii="Arial" w:hAnsi="Arial" w:cs="Arial"/>
                <w:sz w:val="22"/>
                <w:szCs w:val="22"/>
              </w:rPr>
              <w:t>,</w:t>
            </w:r>
            <w:r w:rsidRPr="00EC0130">
              <w:rPr>
                <w:rFonts w:ascii="Arial" w:hAnsi="Arial" w:cs="Arial"/>
                <w:sz w:val="22"/>
                <w:szCs w:val="22"/>
              </w:rPr>
              <w:t xml:space="preserve"> </w:t>
            </w:r>
            <w:r>
              <w:rPr>
                <w:rFonts w:ascii="Arial" w:hAnsi="Arial" w:cs="Arial"/>
                <w:sz w:val="22"/>
                <w:szCs w:val="22"/>
              </w:rPr>
              <w:t>p</w:t>
            </w:r>
            <w:r w:rsidRPr="00EC0130">
              <w:rPr>
                <w:rFonts w:ascii="Arial" w:hAnsi="Arial" w:cs="Arial"/>
                <w:sz w:val="22"/>
                <w:szCs w:val="22"/>
              </w:rPr>
              <w:t>latelets, albumin</w:t>
            </w:r>
          </w:p>
        </w:tc>
        <w:tc>
          <w:tcPr>
            <w:tcW w:w="1023" w:type="dxa"/>
          </w:tcPr>
          <w:p w14:paraId="29F46655"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733</w:t>
            </w:r>
          </w:p>
        </w:tc>
        <w:tc>
          <w:tcPr>
            <w:tcW w:w="688" w:type="dxa"/>
          </w:tcPr>
          <w:p w14:paraId="20069403"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82%</w:t>
            </w:r>
          </w:p>
        </w:tc>
        <w:tc>
          <w:tcPr>
            <w:tcW w:w="720" w:type="dxa"/>
          </w:tcPr>
          <w:p w14:paraId="3768F55B"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88%</w:t>
            </w:r>
          </w:p>
        </w:tc>
        <w:tc>
          <w:tcPr>
            <w:tcW w:w="1885" w:type="dxa"/>
          </w:tcPr>
          <w:p w14:paraId="50997BB9"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24%</w:t>
            </w:r>
          </w:p>
        </w:tc>
      </w:tr>
      <w:tr w:rsidR="00FC4E10" w:rsidRPr="00EC0130" w14:paraId="18B28EA7" w14:textId="77777777" w:rsidTr="00FC4E10">
        <w:tc>
          <w:tcPr>
            <w:tcW w:w="1431" w:type="dxa"/>
          </w:tcPr>
          <w:p w14:paraId="5EEB35A1" w14:textId="77777777" w:rsidR="00FC4E10" w:rsidRPr="00EC0130" w:rsidRDefault="00FC4E10" w:rsidP="002506B3">
            <w:pPr>
              <w:spacing w:line="276" w:lineRule="auto"/>
              <w:rPr>
                <w:rFonts w:ascii="Arial" w:hAnsi="Arial" w:cs="Arial"/>
                <w:sz w:val="22"/>
                <w:szCs w:val="22"/>
              </w:rPr>
            </w:pPr>
            <w:proofErr w:type="spellStart"/>
            <w:r w:rsidRPr="00EC0130">
              <w:rPr>
                <w:rFonts w:ascii="Arial" w:hAnsi="Arial" w:cs="Arial"/>
                <w:sz w:val="22"/>
                <w:szCs w:val="22"/>
              </w:rPr>
              <w:t>Fibrotest</w:t>
            </w:r>
            <w:proofErr w:type="spellEnd"/>
          </w:p>
        </w:tc>
        <w:tc>
          <w:tcPr>
            <w:tcW w:w="3603" w:type="dxa"/>
          </w:tcPr>
          <w:p w14:paraId="00754B37"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Age, sex</w:t>
            </w:r>
            <w:r>
              <w:rPr>
                <w:rFonts w:ascii="Arial" w:hAnsi="Arial" w:cs="Arial"/>
                <w:sz w:val="22"/>
                <w:szCs w:val="22"/>
              </w:rPr>
              <w:t>, t</w:t>
            </w:r>
            <w:r w:rsidRPr="00EC0130">
              <w:rPr>
                <w:rFonts w:ascii="Arial" w:hAnsi="Arial" w:cs="Arial"/>
                <w:sz w:val="22"/>
                <w:szCs w:val="22"/>
              </w:rPr>
              <w:t>otal bilirubin</w:t>
            </w:r>
            <w:r>
              <w:rPr>
                <w:rFonts w:ascii="Arial" w:hAnsi="Arial" w:cs="Arial"/>
                <w:sz w:val="22"/>
                <w:szCs w:val="22"/>
              </w:rPr>
              <w:t>,</w:t>
            </w:r>
            <w:r w:rsidRPr="00EC0130">
              <w:rPr>
                <w:rFonts w:ascii="Arial" w:hAnsi="Arial" w:cs="Arial"/>
                <w:sz w:val="22"/>
                <w:szCs w:val="22"/>
              </w:rPr>
              <w:t xml:space="preserve"> GGT</w:t>
            </w:r>
            <w:r>
              <w:rPr>
                <w:rFonts w:ascii="Arial" w:hAnsi="Arial" w:cs="Arial"/>
                <w:sz w:val="22"/>
                <w:szCs w:val="22"/>
              </w:rPr>
              <w:t>,</w:t>
            </w:r>
          </w:p>
          <w:p w14:paraId="2ED33BC6"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a2-macroglobulin</w:t>
            </w:r>
            <w:r>
              <w:rPr>
                <w:rFonts w:ascii="Arial" w:hAnsi="Arial" w:cs="Arial"/>
                <w:sz w:val="22"/>
                <w:szCs w:val="22"/>
              </w:rPr>
              <w:t>,</w:t>
            </w:r>
            <w:r w:rsidRPr="00EC0130">
              <w:rPr>
                <w:rFonts w:ascii="Arial" w:hAnsi="Arial" w:cs="Arial"/>
                <w:sz w:val="22"/>
                <w:szCs w:val="22"/>
              </w:rPr>
              <w:t xml:space="preserve"> </w:t>
            </w:r>
            <w:r>
              <w:rPr>
                <w:rFonts w:ascii="Arial" w:hAnsi="Arial" w:cs="Arial"/>
                <w:sz w:val="22"/>
                <w:szCs w:val="22"/>
              </w:rPr>
              <w:t>a</w:t>
            </w:r>
            <w:r w:rsidRPr="00EC0130">
              <w:rPr>
                <w:rFonts w:ascii="Arial" w:hAnsi="Arial" w:cs="Arial"/>
                <w:sz w:val="22"/>
                <w:szCs w:val="22"/>
              </w:rPr>
              <w:t>polipoprotein A1</w:t>
            </w:r>
            <w:r>
              <w:rPr>
                <w:rFonts w:ascii="Arial" w:hAnsi="Arial" w:cs="Arial"/>
                <w:sz w:val="22"/>
                <w:szCs w:val="22"/>
              </w:rPr>
              <w:t>,</w:t>
            </w:r>
            <w:r w:rsidRPr="00EC0130">
              <w:rPr>
                <w:rFonts w:ascii="Arial" w:hAnsi="Arial" w:cs="Arial"/>
                <w:sz w:val="22"/>
                <w:szCs w:val="22"/>
              </w:rPr>
              <w:t xml:space="preserve"> </w:t>
            </w:r>
            <w:r>
              <w:rPr>
                <w:rFonts w:ascii="Arial" w:hAnsi="Arial" w:cs="Arial"/>
                <w:sz w:val="22"/>
                <w:szCs w:val="22"/>
              </w:rPr>
              <w:t>h</w:t>
            </w:r>
            <w:r w:rsidRPr="00EC0130">
              <w:rPr>
                <w:rFonts w:ascii="Arial" w:hAnsi="Arial" w:cs="Arial"/>
                <w:sz w:val="22"/>
                <w:szCs w:val="22"/>
              </w:rPr>
              <w:t>aptoglobin</w:t>
            </w:r>
          </w:p>
        </w:tc>
        <w:tc>
          <w:tcPr>
            <w:tcW w:w="1023" w:type="dxa"/>
          </w:tcPr>
          <w:p w14:paraId="78A8D6A5"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267</w:t>
            </w:r>
          </w:p>
        </w:tc>
        <w:tc>
          <w:tcPr>
            <w:tcW w:w="688" w:type="dxa"/>
          </w:tcPr>
          <w:p w14:paraId="003F7ABC"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60%</w:t>
            </w:r>
          </w:p>
        </w:tc>
        <w:tc>
          <w:tcPr>
            <w:tcW w:w="720" w:type="dxa"/>
          </w:tcPr>
          <w:p w14:paraId="1E5420B1"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98%</w:t>
            </w:r>
          </w:p>
        </w:tc>
        <w:tc>
          <w:tcPr>
            <w:tcW w:w="1885" w:type="dxa"/>
          </w:tcPr>
          <w:p w14:paraId="1C76E817"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32%</w:t>
            </w:r>
          </w:p>
        </w:tc>
      </w:tr>
      <w:tr w:rsidR="00FC4E10" w:rsidRPr="00EC0130" w14:paraId="64C9C732" w14:textId="77777777" w:rsidTr="00FC4E10">
        <w:tc>
          <w:tcPr>
            <w:tcW w:w="1431" w:type="dxa"/>
          </w:tcPr>
          <w:p w14:paraId="15175D69"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vertAlign w:val="superscript"/>
              </w:rPr>
              <w:t>†</w:t>
            </w:r>
            <w:r w:rsidRPr="00EC0130">
              <w:rPr>
                <w:rFonts w:ascii="Arial" w:hAnsi="Arial" w:cs="Arial"/>
                <w:sz w:val="22"/>
                <w:szCs w:val="22"/>
              </w:rPr>
              <w:t xml:space="preserve">FIB-4 index </w:t>
            </w:r>
          </w:p>
        </w:tc>
        <w:tc>
          <w:tcPr>
            <w:tcW w:w="3603" w:type="dxa"/>
          </w:tcPr>
          <w:p w14:paraId="3C673639"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Age</w:t>
            </w:r>
            <w:r>
              <w:rPr>
                <w:rFonts w:ascii="Arial" w:hAnsi="Arial" w:cs="Arial"/>
                <w:sz w:val="22"/>
                <w:szCs w:val="22"/>
              </w:rPr>
              <w:t xml:space="preserve">, </w:t>
            </w:r>
            <w:r w:rsidRPr="00EC0130">
              <w:rPr>
                <w:rFonts w:ascii="Arial" w:hAnsi="Arial" w:cs="Arial"/>
                <w:sz w:val="22"/>
                <w:szCs w:val="22"/>
              </w:rPr>
              <w:t>AST and ALT</w:t>
            </w:r>
            <w:r>
              <w:rPr>
                <w:rFonts w:ascii="Arial" w:hAnsi="Arial" w:cs="Arial"/>
                <w:sz w:val="22"/>
                <w:szCs w:val="22"/>
              </w:rPr>
              <w:t>,</w:t>
            </w:r>
            <w:r w:rsidRPr="00EC0130">
              <w:rPr>
                <w:rFonts w:ascii="Arial" w:hAnsi="Arial" w:cs="Arial"/>
                <w:sz w:val="22"/>
                <w:szCs w:val="22"/>
              </w:rPr>
              <w:t xml:space="preserve"> </w:t>
            </w:r>
            <w:r>
              <w:rPr>
                <w:rFonts w:ascii="Arial" w:hAnsi="Arial" w:cs="Arial"/>
                <w:sz w:val="22"/>
                <w:szCs w:val="22"/>
              </w:rPr>
              <w:t>p</w:t>
            </w:r>
            <w:r w:rsidRPr="00EC0130">
              <w:rPr>
                <w:rFonts w:ascii="Arial" w:hAnsi="Arial" w:cs="Arial"/>
                <w:sz w:val="22"/>
                <w:szCs w:val="22"/>
              </w:rPr>
              <w:t>latelets</w:t>
            </w:r>
          </w:p>
        </w:tc>
        <w:tc>
          <w:tcPr>
            <w:tcW w:w="1023" w:type="dxa"/>
          </w:tcPr>
          <w:p w14:paraId="5E980192"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541</w:t>
            </w:r>
          </w:p>
        </w:tc>
        <w:tc>
          <w:tcPr>
            <w:tcW w:w="688" w:type="dxa"/>
          </w:tcPr>
          <w:p w14:paraId="08812837"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80%</w:t>
            </w:r>
          </w:p>
        </w:tc>
        <w:tc>
          <w:tcPr>
            <w:tcW w:w="720" w:type="dxa"/>
          </w:tcPr>
          <w:p w14:paraId="5DF08837"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90%</w:t>
            </w:r>
          </w:p>
        </w:tc>
        <w:tc>
          <w:tcPr>
            <w:tcW w:w="1885" w:type="dxa"/>
          </w:tcPr>
          <w:p w14:paraId="6FA695B2"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30%</w:t>
            </w:r>
          </w:p>
        </w:tc>
      </w:tr>
      <w:tr w:rsidR="00FC4E10" w:rsidRPr="00EC0130" w14:paraId="3FBBF4C5" w14:textId="77777777" w:rsidTr="00FC4E10">
        <w:tc>
          <w:tcPr>
            <w:tcW w:w="1431" w:type="dxa"/>
          </w:tcPr>
          <w:p w14:paraId="2BEBBAFB"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vertAlign w:val="superscript"/>
              </w:rPr>
              <w:t>†</w:t>
            </w:r>
            <w:r w:rsidRPr="00EC0130">
              <w:rPr>
                <w:rFonts w:ascii="Arial" w:hAnsi="Arial" w:cs="Arial"/>
                <w:sz w:val="22"/>
                <w:szCs w:val="22"/>
              </w:rPr>
              <w:t xml:space="preserve">BARD score </w:t>
            </w:r>
          </w:p>
        </w:tc>
        <w:tc>
          <w:tcPr>
            <w:tcW w:w="3603" w:type="dxa"/>
          </w:tcPr>
          <w:p w14:paraId="0D7105A7"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BMI</w:t>
            </w:r>
            <w:r>
              <w:rPr>
                <w:rFonts w:ascii="Arial" w:hAnsi="Arial" w:cs="Arial"/>
                <w:sz w:val="22"/>
                <w:szCs w:val="22"/>
              </w:rPr>
              <w:t>, d</w:t>
            </w:r>
            <w:r w:rsidRPr="00EC0130">
              <w:rPr>
                <w:rFonts w:ascii="Arial" w:hAnsi="Arial" w:cs="Arial"/>
                <w:sz w:val="22"/>
                <w:szCs w:val="22"/>
              </w:rPr>
              <w:t>iabetes</w:t>
            </w:r>
            <w:r>
              <w:rPr>
                <w:rFonts w:ascii="Arial" w:hAnsi="Arial" w:cs="Arial"/>
                <w:sz w:val="22"/>
                <w:szCs w:val="22"/>
              </w:rPr>
              <w:t>,</w:t>
            </w:r>
            <w:r w:rsidRPr="00EC0130">
              <w:rPr>
                <w:rFonts w:ascii="Arial" w:hAnsi="Arial" w:cs="Arial"/>
                <w:sz w:val="22"/>
                <w:szCs w:val="22"/>
              </w:rPr>
              <w:t xml:space="preserve"> AST/ALT ratio</w:t>
            </w:r>
          </w:p>
        </w:tc>
        <w:tc>
          <w:tcPr>
            <w:tcW w:w="1023" w:type="dxa"/>
          </w:tcPr>
          <w:p w14:paraId="43F2A2AC"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827</w:t>
            </w:r>
          </w:p>
        </w:tc>
        <w:tc>
          <w:tcPr>
            <w:tcW w:w="688" w:type="dxa"/>
          </w:tcPr>
          <w:p w14:paraId="4E577381"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43%</w:t>
            </w:r>
          </w:p>
        </w:tc>
        <w:tc>
          <w:tcPr>
            <w:tcW w:w="720" w:type="dxa"/>
          </w:tcPr>
          <w:p w14:paraId="0BF6FF99"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96%</w:t>
            </w:r>
          </w:p>
        </w:tc>
        <w:tc>
          <w:tcPr>
            <w:tcW w:w="1885" w:type="dxa"/>
          </w:tcPr>
          <w:p w14:paraId="1DB83AFE"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N/A</w:t>
            </w:r>
          </w:p>
        </w:tc>
      </w:tr>
      <w:tr w:rsidR="00FC4E10" w:rsidRPr="00EC0130" w14:paraId="0EA89C66" w14:textId="77777777" w:rsidTr="00FC4E10">
        <w:tc>
          <w:tcPr>
            <w:tcW w:w="1431" w:type="dxa"/>
          </w:tcPr>
          <w:p w14:paraId="28AA02E2"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 xml:space="preserve">NAFIC score </w:t>
            </w:r>
          </w:p>
        </w:tc>
        <w:tc>
          <w:tcPr>
            <w:tcW w:w="3603" w:type="dxa"/>
          </w:tcPr>
          <w:p w14:paraId="1D3D5F5C"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Ferritin</w:t>
            </w:r>
            <w:r>
              <w:rPr>
                <w:rFonts w:ascii="Arial" w:hAnsi="Arial" w:cs="Arial"/>
                <w:sz w:val="22"/>
                <w:szCs w:val="22"/>
              </w:rPr>
              <w:t>, t</w:t>
            </w:r>
            <w:r w:rsidRPr="00EC0130">
              <w:rPr>
                <w:rFonts w:ascii="Arial" w:hAnsi="Arial" w:cs="Arial"/>
                <w:sz w:val="22"/>
                <w:szCs w:val="22"/>
              </w:rPr>
              <w:t>ype IV collagen</w:t>
            </w:r>
            <w:r>
              <w:rPr>
                <w:rFonts w:ascii="Arial" w:hAnsi="Arial" w:cs="Arial"/>
                <w:sz w:val="22"/>
                <w:szCs w:val="22"/>
              </w:rPr>
              <w:t>,</w:t>
            </w:r>
            <w:r w:rsidRPr="00EC0130">
              <w:rPr>
                <w:rFonts w:ascii="Arial" w:hAnsi="Arial" w:cs="Arial"/>
                <w:sz w:val="22"/>
                <w:szCs w:val="22"/>
              </w:rPr>
              <w:t xml:space="preserve"> </w:t>
            </w:r>
            <w:r>
              <w:rPr>
                <w:rFonts w:ascii="Arial" w:hAnsi="Arial" w:cs="Arial"/>
                <w:sz w:val="22"/>
                <w:szCs w:val="22"/>
              </w:rPr>
              <w:t>i</w:t>
            </w:r>
            <w:r w:rsidRPr="00EC0130">
              <w:rPr>
                <w:rFonts w:ascii="Arial" w:hAnsi="Arial" w:cs="Arial"/>
                <w:sz w:val="22"/>
                <w:szCs w:val="22"/>
              </w:rPr>
              <w:t>nsulin</w:t>
            </w:r>
          </w:p>
        </w:tc>
        <w:tc>
          <w:tcPr>
            <w:tcW w:w="1023" w:type="dxa"/>
          </w:tcPr>
          <w:p w14:paraId="56801C4B"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619</w:t>
            </w:r>
          </w:p>
        </w:tc>
        <w:tc>
          <w:tcPr>
            <w:tcW w:w="688" w:type="dxa"/>
          </w:tcPr>
          <w:p w14:paraId="0BCA5B37"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36%</w:t>
            </w:r>
          </w:p>
        </w:tc>
        <w:tc>
          <w:tcPr>
            <w:tcW w:w="720" w:type="dxa"/>
          </w:tcPr>
          <w:p w14:paraId="6D1A0B05"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99%</w:t>
            </w:r>
          </w:p>
        </w:tc>
        <w:tc>
          <w:tcPr>
            <w:tcW w:w="1885" w:type="dxa"/>
          </w:tcPr>
          <w:p w14:paraId="1B25A7F2"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15%</w:t>
            </w:r>
          </w:p>
        </w:tc>
      </w:tr>
      <w:tr w:rsidR="00FC4E10" w:rsidRPr="00EC0130" w14:paraId="31E08FC4" w14:textId="77777777" w:rsidTr="00FC4E10">
        <w:tc>
          <w:tcPr>
            <w:tcW w:w="1431" w:type="dxa"/>
          </w:tcPr>
          <w:p w14:paraId="7584B258"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vertAlign w:val="superscript"/>
              </w:rPr>
              <w:t>†</w:t>
            </w:r>
            <w:proofErr w:type="spellStart"/>
            <w:r w:rsidRPr="00EC0130">
              <w:rPr>
                <w:rFonts w:ascii="Arial" w:hAnsi="Arial" w:cs="Arial"/>
                <w:sz w:val="22"/>
                <w:szCs w:val="22"/>
              </w:rPr>
              <w:t>Hepascore</w:t>
            </w:r>
            <w:proofErr w:type="spellEnd"/>
            <w:r w:rsidRPr="00EC0130">
              <w:rPr>
                <w:rFonts w:ascii="Arial" w:hAnsi="Arial" w:cs="Arial"/>
                <w:sz w:val="22"/>
                <w:szCs w:val="22"/>
              </w:rPr>
              <w:t xml:space="preserve"> </w:t>
            </w:r>
          </w:p>
        </w:tc>
        <w:tc>
          <w:tcPr>
            <w:tcW w:w="3603" w:type="dxa"/>
          </w:tcPr>
          <w:p w14:paraId="7EBACA22"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 xml:space="preserve">Age, </w:t>
            </w:r>
            <w:r>
              <w:rPr>
                <w:rFonts w:ascii="Arial" w:hAnsi="Arial" w:cs="Arial"/>
                <w:sz w:val="22"/>
                <w:szCs w:val="22"/>
              </w:rPr>
              <w:t>s</w:t>
            </w:r>
            <w:r w:rsidRPr="00EC0130">
              <w:rPr>
                <w:rFonts w:ascii="Arial" w:hAnsi="Arial" w:cs="Arial"/>
                <w:sz w:val="22"/>
                <w:szCs w:val="22"/>
              </w:rPr>
              <w:t>ex</w:t>
            </w:r>
            <w:r>
              <w:rPr>
                <w:rFonts w:ascii="Arial" w:hAnsi="Arial" w:cs="Arial"/>
                <w:sz w:val="22"/>
                <w:szCs w:val="22"/>
              </w:rPr>
              <w:t>, t</w:t>
            </w:r>
            <w:r w:rsidRPr="00EC0130">
              <w:rPr>
                <w:rFonts w:ascii="Arial" w:hAnsi="Arial" w:cs="Arial"/>
                <w:sz w:val="22"/>
                <w:szCs w:val="22"/>
              </w:rPr>
              <w:t>otal bilirubin</w:t>
            </w:r>
            <w:r>
              <w:rPr>
                <w:rFonts w:ascii="Arial" w:hAnsi="Arial" w:cs="Arial"/>
                <w:sz w:val="22"/>
                <w:szCs w:val="22"/>
              </w:rPr>
              <w:t>,</w:t>
            </w:r>
            <w:r w:rsidRPr="00EC0130">
              <w:rPr>
                <w:rFonts w:ascii="Arial" w:hAnsi="Arial" w:cs="Arial"/>
                <w:sz w:val="22"/>
                <w:szCs w:val="22"/>
              </w:rPr>
              <w:t xml:space="preserve"> GGT</w:t>
            </w:r>
            <w:r>
              <w:rPr>
                <w:rFonts w:ascii="Arial" w:hAnsi="Arial" w:cs="Arial"/>
                <w:sz w:val="22"/>
                <w:szCs w:val="22"/>
              </w:rPr>
              <w:t>,</w:t>
            </w:r>
            <w:r w:rsidRPr="00EC0130">
              <w:rPr>
                <w:rFonts w:ascii="Arial" w:hAnsi="Arial" w:cs="Arial"/>
                <w:sz w:val="22"/>
                <w:szCs w:val="22"/>
              </w:rPr>
              <w:t xml:space="preserve"> </w:t>
            </w:r>
          </w:p>
          <w:p w14:paraId="5EE97768"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a2-macroglobulin</w:t>
            </w:r>
            <w:r>
              <w:rPr>
                <w:rFonts w:ascii="Arial" w:hAnsi="Arial" w:cs="Arial"/>
                <w:sz w:val="22"/>
                <w:szCs w:val="22"/>
              </w:rPr>
              <w:t>,</w:t>
            </w:r>
            <w:r w:rsidRPr="00EC0130">
              <w:rPr>
                <w:rFonts w:ascii="Arial" w:hAnsi="Arial" w:cs="Arial"/>
                <w:sz w:val="22"/>
                <w:szCs w:val="22"/>
              </w:rPr>
              <w:t xml:space="preserve"> </w:t>
            </w:r>
            <w:r>
              <w:rPr>
                <w:rFonts w:ascii="Arial" w:hAnsi="Arial" w:cs="Arial"/>
                <w:sz w:val="22"/>
                <w:szCs w:val="22"/>
              </w:rPr>
              <w:t>h</w:t>
            </w:r>
            <w:r w:rsidRPr="00EC0130">
              <w:rPr>
                <w:rFonts w:ascii="Arial" w:hAnsi="Arial" w:cs="Arial"/>
                <w:sz w:val="22"/>
                <w:szCs w:val="22"/>
              </w:rPr>
              <w:t>yaluronic acid</w:t>
            </w:r>
          </w:p>
        </w:tc>
        <w:tc>
          <w:tcPr>
            <w:tcW w:w="1023" w:type="dxa"/>
          </w:tcPr>
          <w:p w14:paraId="3D96B0C4"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242</w:t>
            </w:r>
          </w:p>
        </w:tc>
        <w:tc>
          <w:tcPr>
            <w:tcW w:w="688" w:type="dxa"/>
          </w:tcPr>
          <w:p w14:paraId="59081CD4"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57%</w:t>
            </w:r>
          </w:p>
        </w:tc>
        <w:tc>
          <w:tcPr>
            <w:tcW w:w="720" w:type="dxa"/>
          </w:tcPr>
          <w:p w14:paraId="2746D1C0"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92%</w:t>
            </w:r>
          </w:p>
        </w:tc>
        <w:tc>
          <w:tcPr>
            <w:tcW w:w="1885" w:type="dxa"/>
          </w:tcPr>
          <w:p w14:paraId="62E97955" w14:textId="77777777" w:rsidR="00FC4E10" w:rsidRPr="00EC0130" w:rsidRDefault="00FC4E10" w:rsidP="002506B3">
            <w:pPr>
              <w:spacing w:line="276" w:lineRule="auto"/>
              <w:rPr>
                <w:rFonts w:ascii="Arial" w:hAnsi="Arial" w:cs="Arial"/>
                <w:sz w:val="22"/>
                <w:szCs w:val="22"/>
              </w:rPr>
            </w:pPr>
            <w:r w:rsidRPr="00EC0130">
              <w:rPr>
                <w:rFonts w:ascii="Arial" w:hAnsi="Arial" w:cs="Arial"/>
                <w:sz w:val="22"/>
                <w:szCs w:val="22"/>
              </w:rPr>
              <w:t>11%</w:t>
            </w:r>
          </w:p>
        </w:tc>
      </w:tr>
    </w:tbl>
    <w:p w14:paraId="028FFCA0" w14:textId="64152582" w:rsidR="001540C0" w:rsidRPr="00051B46" w:rsidRDefault="001540C0" w:rsidP="002506B3">
      <w:pPr>
        <w:spacing w:after="0" w:line="276" w:lineRule="auto"/>
        <w:rPr>
          <w:rFonts w:ascii="Arial" w:hAnsi="Arial" w:cs="Arial"/>
        </w:rPr>
      </w:pPr>
      <w:r w:rsidRPr="00051B46">
        <w:rPr>
          <w:rFonts w:ascii="Arial" w:hAnsi="Arial" w:cs="Arial"/>
        </w:rPr>
        <w:lastRenderedPageBreak/>
        <w:t>N/A, not applicable; NPV, negative predictive value; PPV, positive predictive value.</w:t>
      </w:r>
    </w:p>
    <w:p w14:paraId="5367C51D" w14:textId="6C825D30" w:rsidR="00DF15E8" w:rsidRPr="00051B46" w:rsidRDefault="00F34F55" w:rsidP="002506B3">
      <w:pPr>
        <w:spacing w:after="0" w:line="276" w:lineRule="auto"/>
        <w:rPr>
          <w:rFonts w:ascii="Arial" w:hAnsi="Arial" w:cs="Arial"/>
        </w:rPr>
      </w:pPr>
      <w:r w:rsidRPr="00051B46">
        <w:rPr>
          <w:rFonts w:ascii="Arial" w:hAnsi="Arial" w:cs="Arial"/>
          <w:vertAlign w:val="superscript"/>
        </w:rPr>
        <w:t>†</w:t>
      </w:r>
      <w:r w:rsidR="00684C8A" w:rsidRPr="00051B46">
        <w:rPr>
          <w:rFonts w:ascii="Arial" w:hAnsi="Arial" w:cs="Arial"/>
          <w:vertAlign w:val="superscript"/>
        </w:rPr>
        <w:t xml:space="preserve"> </w:t>
      </w:r>
      <w:r w:rsidR="001540C0" w:rsidRPr="00051B46">
        <w:rPr>
          <w:rFonts w:ascii="Arial" w:hAnsi="Arial" w:cs="Arial"/>
        </w:rPr>
        <w:t>No independent validation cohort included in the study.</w:t>
      </w:r>
    </w:p>
    <w:p w14:paraId="603DEF40" w14:textId="77777777" w:rsidR="00DE7CBF" w:rsidRPr="00051B46" w:rsidRDefault="00DE7CBF" w:rsidP="002506B3">
      <w:pPr>
        <w:spacing w:after="0" w:line="276" w:lineRule="auto"/>
        <w:rPr>
          <w:rFonts w:ascii="Arial" w:hAnsi="Arial" w:cs="Arial"/>
        </w:rPr>
      </w:pPr>
    </w:p>
    <w:p w14:paraId="5E67A759" w14:textId="5AE7CEFA" w:rsidR="00DC2F03" w:rsidRPr="00051B46" w:rsidRDefault="00DC2F03" w:rsidP="002506B3">
      <w:pPr>
        <w:spacing w:after="0" w:line="276" w:lineRule="auto"/>
        <w:rPr>
          <w:rFonts w:ascii="Arial" w:hAnsi="Arial" w:cs="Arial"/>
        </w:rPr>
      </w:pPr>
      <w:r w:rsidRPr="00051B46">
        <w:rPr>
          <w:rFonts w:ascii="Arial" w:hAnsi="Arial" w:cs="Arial"/>
        </w:rPr>
        <w:t>Some commercially available tests based on a metabol</w:t>
      </w:r>
      <w:r w:rsidR="0032756E" w:rsidRPr="00051B46">
        <w:rPr>
          <w:rFonts w:ascii="Arial" w:hAnsi="Arial" w:cs="Arial"/>
        </w:rPr>
        <w:t>o</w:t>
      </w:r>
      <w:r w:rsidRPr="00051B46">
        <w:rPr>
          <w:rFonts w:ascii="Arial" w:hAnsi="Arial" w:cs="Arial"/>
        </w:rPr>
        <w:t>mic profile have been tested as a novel means to evaluate for NAFLD or NASH and recently tested in patients with type 2 diabetes mellitus. These tests have shown some promise to distinguish between normal liver and NAFLD and also able to detect NASH in people without diabetes. However, when applied to a population with T2DM, these tests have not been as accurate as expected to predict presence of NAFLD, NASH or fibrosis</w:t>
      </w:r>
      <w:r w:rsidR="00FC4E10" w:rsidRPr="00051B46">
        <w:rPr>
          <w:rFonts w:ascii="Arial" w:hAnsi="Arial" w:cs="Arial"/>
        </w:rPr>
        <w:t xml:space="preserve"> (</w:t>
      </w:r>
      <w:r w:rsidR="0033112C" w:rsidRPr="00051B46">
        <w:rPr>
          <w:rFonts w:ascii="Arial" w:hAnsi="Arial" w:cs="Arial"/>
        </w:rPr>
        <w:t>115, 116</w:t>
      </w:r>
      <w:r w:rsidR="00FC4E10" w:rsidRPr="00051B46">
        <w:rPr>
          <w:rFonts w:ascii="Arial" w:hAnsi="Arial" w:cs="Arial"/>
        </w:rPr>
        <w:t>)</w:t>
      </w:r>
      <w:r w:rsidRPr="00051B46">
        <w:rPr>
          <w:rFonts w:ascii="Arial" w:hAnsi="Arial" w:cs="Arial"/>
        </w:rPr>
        <w:t xml:space="preserve">. </w:t>
      </w:r>
      <w:r w:rsidR="005D3812" w:rsidRPr="00051B46">
        <w:rPr>
          <w:rFonts w:ascii="Arial" w:hAnsi="Arial" w:cs="Arial"/>
        </w:rPr>
        <w:t xml:space="preserve">There is an increasing interest in assessing the utility of novel biomarkers, such as plasma fragments of </w:t>
      </w:r>
      <w:proofErr w:type="spellStart"/>
      <w:r w:rsidR="005D3812" w:rsidRPr="00051B46">
        <w:rPr>
          <w:rFonts w:ascii="Arial" w:hAnsi="Arial" w:cs="Arial"/>
        </w:rPr>
        <w:t>propeptide</w:t>
      </w:r>
      <w:proofErr w:type="spellEnd"/>
      <w:r w:rsidR="005D3812" w:rsidRPr="00051B46">
        <w:rPr>
          <w:rFonts w:ascii="Arial" w:hAnsi="Arial" w:cs="Arial"/>
        </w:rPr>
        <w:t xml:space="preserve"> of type III procollagen (PROC3) for the detection of liver fibrosis in patients with T2DM.  A recent study reported that PRO-C3 performed well (overall similarly to APRI or FIB-4) but with the added value of predicting histological changes in fibrosis stage with treatment</w:t>
      </w:r>
      <w:r w:rsidR="00FC4E10" w:rsidRPr="00051B46">
        <w:rPr>
          <w:rFonts w:ascii="Arial" w:hAnsi="Arial" w:cs="Arial"/>
        </w:rPr>
        <w:t xml:space="preserve"> (</w:t>
      </w:r>
      <w:r w:rsidR="0033112C" w:rsidRPr="00051B46">
        <w:rPr>
          <w:rFonts w:ascii="Arial" w:hAnsi="Arial" w:cs="Arial"/>
        </w:rPr>
        <w:t>117</w:t>
      </w:r>
      <w:r w:rsidR="00FC4E10" w:rsidRPr="00051B46">
        <w:rPr>
          <w:rFonts w:ascii="Arial" w:hAnsi="Arial" w:cs="Arial"/>
        </w:rPr>
        <w:t>)</w:t>
      </w:r>
      <w:r w:rsidR="005D3812" w:rsidRPr="00051B46">
        <w:rPr>
          <w:rFonts w:ascii="Arial" w:hAnsi="Arial" w:cs="Arial"/>
        </w:rPr>
        <w:t xml:space="preserve">. However, more studies are needed to determine its real value to monitor therapy.  </w:t>
      </w:r>
      <w:r w:rsidRPr="00051B46">
        <w:rPr>
          <w:rFonts w:ascii="Arial" w:hAnsi="Arial" w:cs="Arial"/>
        </w:rPr>
        <w:t xml:space="preserve">At the present time, available genetic tests include PNPLA3 and TM6SF2 and a few others (as described above), but they are not routinely performed at this time and limited to academic centers for research only. This is likely to change in the near future as more sophisticated genetic testing becomes available. </w:t>
      </w:r>
    </w:p>
    <w:p w14:paraId="5612565E" w14:textId="77777777" w:rsidR="00FC4E10" w:rsidRPr="00051B46" w:rsidRDefault="00FC4E10" w:rsidP="002506B3">
      <w:pPr>
        <w:spacing w:after="0" w:line="276" w:lineRule="auto"/>
        <w:rPr>
          <w:rFonts w:ascii="Arial" w:hAnsi="Arial" w:cs="Arial"/>
        </w:rPr>
      </w:pPr>
    </w:p>
    <w:p w14:paraId="4B11F100" w14:textId="358E4355" w:rsidR="00DC2F03" w:rsidRPr="00051B46" w:rsidRDefault="00DC2F03" w:rsidP="002506B3">
      <w:pPr>
        <w:spacing w:after="0" w:line="276" w:lineRule="auto"/>
        <w:rPr>
          <w:rFonts w:ascii="Arial" w:hAnsi="Arial" w:cs="Arial"/>
        </w:rPr>
      </w:pPr>
      <w:r w:rsidRPr="00051B46">
        <w:rPr>
          <w:rFonts w:ascii="Arial" w:hAnsi="Arial" w:cs="Arial"/>
        </w:rPr>
        <w:t xml:space="preserve">In summary, clinicians may use </w:t>
      </w:r>
      <w:r w:rsidR="00E100F3" w:rsidRPr="00051B46">
        <w:rPr>
          <w:rFonts w:ascii="Arial" w:hAnsi="Arial" w:cs="Arial"/>
        </w:rPr>
        <w:t>plasma aminotransferases or simple panels such as FIB-4 or NAFLD fibrosis score to identify patients at the highest risk of having NASH with advanced fibrosis (F3-4) in the clinic, but knowing th</w:t>
      </w:r>
      <w:r w:rsidR="00BB10E5" w:rsidRPr="00051B46">
        <w:rPr>
          <w:rFonts w:ascii="Arial" w:hAnsi="Arial" w:cs="Arial"/>
        </w:rPr>
        <w:t>at</w:t>
      </w:r>
      <w:r w:rsidR="00E100F3" w:rsidRPr="00051B46">
        <w:rPr>
          <w:rFonts w:ascii="Arial" w:hAnsi="Arial" w:cs="Arial"/>
        </w:rPr>
        <w:t xml:space="preserve"> while the specificity may be acceptable (“rule o</w:t>
      </w:r>
      <w:r w:rsidR="00CC2F30" w:rsidRPr="00051B46">
        <w:rPr>
          <w:rFonts w:ascii="Arial" w:hAnsi="Arial" w:cs="Arial"/>
        </w:rPr>
        <w:t>u</w:t>
      </w:r>
      <w:r w:rsidR="00E100F3" w:rsidRPr="00051B46">
        <w:rPr>
          <w:rFonts w:ascii="Arial" w:hAnsi="Arial" w:cs="Arial"/>
        </w:rPr>
        <w:t>t</w:t>
      </w:r>
      <w:r w:rsidR="00BB10E5" w:rsidRPr="00051B46">
        <w:rPr>
          <w:rFonts w:ascii="Arial" w:hAnsi="Arial" w:cs="Arial"/>
        </w:rPr>
        <w:t>”</w:t>
      </w:r>
      <w:r w:rsidR="00E100F3" w:rsidRPr="00051B46">
        <w:rPr>
          <w:rFonts w:ascii="Arial" w:hAnsi="Arial" w:cs="Arial"/>
        </w:rPr>
        <w:t xml:space="preserve"> advanced fibrosis or cirrhosis) the sensitivity is rather low.  A screening strategy should include the above and imaging as described below as </w:t>
      </w:r>
      <w:r w:rsidR="00BB10E5" w:rsidRPr="00051B46">
        <w:rPr>
          <w:rFonts w:ascii="Arial" w:hAnsi="Arial" w:cs="Arial"/>
        </w:rPr>
        <w:t>ultrasound</w:t>
      </w:r>
      <w:r w:rsidR="00E100F3" w:rsidRPr="00051B46">
        <w:rPr>
          <w:rFonts w:ascii="Arial" w:hAnsi="Arial" w:cs="Arial"/>
        </w:rPr>
        <w:t xml:space="preserve"> and/or </w:t>
      </w:r>
      <w:r w:rsidR="00BB10E5" w:rsidRPr="00051B46">
        <w:rPr>
          <w:rFonts w:ascii="Arial" w:hAnsi="Arial" w:cs="Arial"/>
        </w:rPr>
        <w:t>controlled attenuation parameter (</w:t>
      </w:r>
      <w:r w:rsidR="00E100F3" w:rsidRPr="00051B46">
        <w:rPr>
          <w:rFonts w:ascii="Arial" w:hAnsi="Arial" w:cs="Arial"/>
        </w:rPr>
        <w:t>CAP</w:t>
      </w:r>
      <w:r w:rsidR="00BB10E5" w:rsidRPr="00051B46">
        <w:rPr>
          <w:rFonts w:ascii="Arial" w:hAnsi="Arial" w:cs="Arial"/>
        </w:rPr>
        <w:t>)</w:t>
      </w:r>
      <w:r w:rsidR="00E100F3" w:rsidRPr="00051B46">
        <w:rPr>
          <w:rFonts w:ascii="Arial" w:hAnsi="Arial" w:cs="Arial"/>
        </w:rPr>
        <w:t xml:space="preserve"> have better sensitivity for the diagnosis of steatosis. The 2019 American Diabetes Association (ADA) guidelines for the first time recommend screening to identify liver fibrosis in patients with prediabetes or T2DM with elevated plasma aminotransferases and/or steatosis</w:t>
      </w:r>
      <w:r w:rsidR="00FC4E10" w:rsidRPr="00051B46">
        <w:rPr>
          <w:rFonts w:ascii="Arial" w:hAnsi="Arial" w:cs="Arial"/>
        </w:rPr>
        <w:t xml:space="preserve"> (</w:t>
      </w:r>
      <w:r w:rsidR="0033112C" w:rsidRPr="00051B46">
        <w:rPr>
          <w:rFonts w:ascii="Arial" w:hAnsi="Arial" w:cs="Arial"/>
        </w:rPr>
        <w:t>118</w:t>
      </w:r>
      <w:r w:rsidR="00FC4E10" w:rsidRPr="00051B46">
        <w:rPr>
          <w:rFonts w:ascii="Arial" w:hAnsi="Arial" w:cs="Arial"/>
        </w:rPr>
        <w:t>)</w:t>
      </w:r>
      <w:r w:rsidR="0032756E" w:rsidRPr="00051B46">
        <w:rPr>
          <w:rFonts w:ascii="Arial" w:hAnsi="Arial" w:cs="Arial"/>
        </w:rPr>
        <w:t xml:space="preserve">. </w:t>
      </w:r>
    </w:p>
    <w:p w14:paraId="565A019D" w14:textId="77777777" w:rsidR="004713AA" w:rsidRPr="00051B46" w:rsidRDefault="004713AA" w:rsidP="002506B3">
      <w:pPr>
        <w:spacing w:after="0" w:line="276" w:lineRule="auto"/>
        <w:rPr>
          <w:rFonts w:ascii="Arial" w:hAnsi="Arial" w:cs="Arial"/>
          <w:color w:val="FF0000"/>
        </w:rPr>
      </w:pPr>
    </w:p>
    <w:p w14:paraId="2926C7F9" w14:textId="64C86461" w:rsidR="00CF16FF" w:rsidRPr="00051B46" w:rsidRDefault="00CF16FF" w:rsidP="002506B3">
      <w:pPr>
        <w:spacing w:after="0" w:line="276" w:lineRule="auto"/>
        <w:rPr>
          <w:rFonts w:ascii="Arial" w:hAnsi="Arial" w:cs="Arial"/>
          <w:b/>
          <w:bCs/>
        </w:rPr>
      </w:pPr>
      <w:r w:rsidRPr="00051B46">
        <w:rPr>
          <w:rFonts w:ascii="Arial" w:hAnsi="Arial" w:cs="Arial"/>
          <w:b/>
          <w:bCs/>
        </w:rPr>
        <w:t>Imaging</w:t>
      </w:r>
      <w:r w:rsidR="00B12E8B" w:rsidRPr="00051B46">
        <w:rPr>
          <w:rFonts w:ascii="Arial" w:hAnsi="Arial" w:cs="Arial"/>
          <w:b/>
          <w:bCs/>
        </w:rPr>
        <w:t xml:space="preserve"> </w:t>
      </w:r>
      <w:r w:rsidR="00FC4E10" w:rsidRPr="00051B46">
        <w:rPr>
          <w:rFonts w:ascii="Arial" w:hAnsi="Arial" w:cs="Arial"/>
          <w:b/>
          <w:bCs/>
        </w:rPr>
        <w:t>M</w:t>
      </w:r>
      <w:r w:rsidR="00B12E8B" w:rsidRPr="00051B46">
        <w:rPr>
          <w:rFonts w:ascii="Arial" w:hAnsi="Arial" w:cs="Arial"/>
          <w:b/>
          <w:bCs/>
        </w:rPr>
        <w:t>odalities</w:t>
      </w:r>
    </w:p>
    <w:p w14:paraId="76BFC17D" w14:textId="77777777" w:rsidR="00FC4E10" w:rsidRPr="00051B46" w:rsidRDefault="00FC4E10" w:rsidP="002506B3">
      <w:pPr>
        <w:spacing w:after="0" w:line="276" w:lineRule="auto"/>
        <w:rPr>
          <w:rFonts w:ascii="Arial" w:hAnsi="Arial" w:cs="Arial"/>
          <w:b/>
          <w:bCs/>
        </w:rPr>
      </w:pPr>
    </w:p>
    <w:p w14:paraId="2D308C1D" w14:textId="5C8207C7" w:rsidR="00AD19C2" w:rsidRPr="00051B46" w:rsidRDefault="00AD19C2" w:rsidP="002506B3">
      <w:pPr>
        <w:spacing w:after="0" w:line="276" w:lineRule="auto"/>
        <w:rPr>
          <w:rFonts w:ascii="Arial" w:hAnsi="Arial" w:cs="Arial"/>
          <w:bCs/>
        </w:rPr>
      </w:pPr>
      <w:r w:rsidRPr="00051B46">
        <w:rPr>
          <w:rFonts w:ascii="Arial" w:hAnsi="Arial" w:cs="Arial"/>
          <w:bCs/>
        </w:rPr>
        <w:t>M</w:t>
      </w:r>
      <w:r w:rsidR="00FC4E10" w:rsidRPr="00051B46">
        <w:rPr>
          <w:rFonts w:ascii="Arial" w:hAnsi="Arial" w:cs="Arial"/>
          <w:bCs/>
        </w:rPr>
        <w:t>EASUREMENT OF INTRAHEPATIC TRIGLYCERIDES</w:t>
      </w:r>
      <w:r w:rsidRPr="00051B46">
        <w:rPr>
          <w:rFonts w:ascii="Arial" w:hAnsi="Arial" w:cs="Arial"/>
          <w:bCs/>
        </w:rPr>
        <w:t xml:space="preserve"> </w:t>
      </w:r>
    </w:p>
    <w:p w14:paraId="6A59DA4C" w14:textId="77777777" w:rsidR="00FC4E10" w:rsidRPr="00051B46" w:rsidRDefault="00FC4E10" w:rsidP="002506B3">
      <w:pPr>
        <w:spacing w:after="0" w:line="276" w:lineRule="auto"/>
        <w:rPr>
          <w:rFonts w:ascii="Arial" w:hAnsi="Arial" w:cs="Arial"/>
          <w:b/>
        </w:rPr>
      </w:pPr>
    </w:p>
    <w:p w14:paraId="61A30B65" w14:textId="77777777" w:rsidR="00FC4E10" w:rsidRPr="00051B46" w:rsidRDefault="00B12E8B" w:rsidP="002506B3">
      <w:pPr>
        <w:spacing w:after="0" w:line="276" w:lineRule="auto"/>
        <w:rPr>
          <w:rFonts w:ascii="Arial" w:hAnsi="Arial" w:cs="Arial"/>
          <w:bCs/>
          <w:i/>
          <w:iCs/>
        </w:rPr>
      </w:pPr>
      <w:r w:rsidRPr="00051B46">
        <w:rPr>
          <w:rFonts w:ascii="Arial" w:hAnsi="Arial" w:cs="Arial"/>
          <w:bCs/>
          <w:i/>
          <w:iCs/>
        </w:rPr>
        <w:t xml:space="preserve">Liver </w:t>
      </w:r>
      <w:r w:rsidR="00FC4E10" w:rsidRPr="00051B46">
        <w:rPr>
          <w:rFonts w:ascii="Arial" w:hAnsi="Arial" w:cs="Arial"/>
          <w:bCs/>
          <w:i/>
          <w:iCs/>
        </w:rPr>
        <w:t>U</w:t>
      </w:r>
      <w:r w:rsidRPr="00051B46">
        <w:rPr>
          <w:rFonts w:ascii="Arial" w:hAnsi="Arial" w:cs="Arial"/>
          <w:bCs/>
          <w:i/>
          <w:iCs/>
        </w:rPr>
        <w:t>ltrasound</w:t>
      </w:r>
    </w:p>
    <w:p w14:paraId="5A886E8C" w14:textId="77777777" w:rsidR="00FC4E10" w:rsidRPr="00051B46" w:rsidRDefault="00FC4E10" w:rsidP="002506B3">
      <w:pPr>
        <w:spacing w:after="0" w:line="276" w:lineRule="auto"/>
        <w:rPr>
          <w:rFonts w:ascii="Arial" w:hAnsi="Arial" w:cs="Arial"/>
          <w:b/>
        </w:rPr>
      </w:pPr>
    </w:p>
    <w:p w14:paraId="5389B00F" w14:textId="2DB9EADF" w:rsidR="009D47A0" w:rsidRPr="00051B46" w:rsidRDefault="00FE10B4" w:rsidP="002506B3">
      <w:pPr>
        <w:spacing w:after="0" w:line="276" w:lineRule="auto"/>
        <w:rPr>
          <w:rFonts w:ascii="Arial" w:hAnsi="Arial" w:cs="Arial"/>
        </w:rPr>
      </w:pPr>
      <w:r w:rsidRPr="00051B46">
        <w:rPr>
          <w:rFonts w:ascii="Arial" w:hAnsi="Arial" w:cs="Arial"/>
        </w:rPr>
        <w:t>U</w:t>
      </w:r>
      <w:r w:rsidR="00AD19C2" w:rsidRPr="00051B46">
        <w:rPr>
          <w:rFonts w:ascii="Arial" w:hAnsi="Arial" w:cs="Arial"/>
        </w:rPr>
        <w:t xml:space="preserve">ltrasound </w:t>
      </w:r>
      <w:r w:rsidR="00B12E8B" w:rsidRPr="00051B46">
        <w:rPr>
          <w:rFonts w:ascii="Arial" w:hAnsi="Arial" w:cs="Arial"/>
        </w:rPr>
        <w:t xml:space="preserve">is </w:t>
      </w:r>
      <w:r w:rsidR="00DA493A" w:rsidRPr="00051B46">
        <w:rPr>
          <w:rFonts w:ascii="Arial" w:hAnsi="Arial" w:cs="Arial"/>
        </w:rPr>
        <w:t xml:space="preserve">a </w:t>
      </w:r>
      <w:r w:rsidR="00B12E8B" w:rsidRPr="00051B46">
        <w:rPr>
          <w:rFonts w:ascii="Arial" w:hAnsi="Arial" w:cs="Arial"/>
        </w:rPr>
        <w:t>relatively low</w:t>
      </w:r>
      <w:r w:rsidR="00FC4E10" w:rsidRPr="00051B46">
        <w:rPr>
          <w:rFonts w:ascii="Arial" w:hAnsi="Arial" w:cs="Arial"/>
        </w:rPr>
        <w:t>-</w:t>
      </w:r>
      <w:r w:rsidR="00B12E8B" w:rsidRPr="00051B46">
        <w:rPr>
          <w:rFonts w:ascii="Arial" w:hAnsi="Arial" w:cs="Arial"/>
        </w:rPr>
        <w:t xml:space="preserve">cost </w:t>
      </w:r>
      <w:r w:rsidR="00DA493A" w:rsidRPr="00051B46">
        <w:rPr>
          <w:rFonts w:ascii="Arial" w:hAnsi="Arial" w:cs="Arial"/>
        </w:rPr>
        <w:t xml:space="preserve">technique that is </w:t>
      </w:r>
      <w:r w:rsidR="00B12E8B" w:rsidRPr="00051B46">
        <w:rPr>
          <w:rFonts w:ascii="Arial" w:hAnsi="Arial" w:cs="Arial"/>
        </w:rPr>
        <w:t>wide</w:t>
      </w:r>
      <w:r w:rsidR="00DA493A" w:rsidRPr="00051B46">
        <w:rPr>
          <w:rFonts w:ascii="Arial" w:hAnsi="Arial" w:cs="Arial"/>
        </w:rPr>
        <w:t>ly</w:t>
      </w:r>
      <w:r w:rsidR="00B12E8B" w:rsidRPr="00051B46">
        <w:rPr>
          <w:rFonts w:ascii="Arial" w:hAnsi="Arial" w:cs="Arial"/>
        </w:rPr>
        <w:t xml:space="preserve"> availability</w:t>
      </w:r>
      <w:r w:rsidR="00DA493A" w:rsidRPr="00051B46">
        <w:rPr>
          <w:rFonts w:ascii="Arial" w:hAnsi="Arial" w:cs="Arial"/>
        </w:rPr>
        <w:t>. Because of this it</w:t>
      </w:r>
      <w:r w:rsidR="00B12E8B" w:rsidRPr="00051B46">
        <w:rPr>
          <w:rFonts w:ascii="Arial" w:hAnsi="Arial" w:cs="Arial"/>
        </w:rPr>
        <w:t xml:space="preserve"> is routinely used </w:t>
      </w:r>
      <w:r w:rsidR="00DA493A" w:rsidRPr="00051B46">
        <w:rPr>
          <w:rFonts w:ascii="Arial" w:hAnsi="Arial" w:cs="Arial"/>
        </w:rPr>
        <w:t>for the diagnosis</w:t>
      </w:r>
      <w:r w:rsidR="00B12E8B" w:rsidRPr="00051B46">
        <w:rPr>
          <w:rFonts w:ascii="Arial" w:hAnsi="Arial" w:cs="Arial"/>
        </w:rPr>
        <w:t xml:space="preserve"> </w:t>
      </w:r>
      <w:r w:rsidR="00DA493A" w:rsidRPr="00051B46">
        <w:rPr>
          <w:rFonts w:ascii="Arial" w:hAnsi="Arial" w:cs="Arial"/>
        </w:rPr>
        <w:t>of</w:t>
      </w:r>
      <w:r w:rsidR="00B12E8B" w:rsidRPr="00051B46">
        <w:rPr>
          <w:rFonts w:ascii="Arial" w:hAnsi="Arial" w:cs="Arial"/>
        </w:rPr>
        <w:t xml:space="preserve"> NAFLD</w:t>
      </w:r>
      <w:r w:rsidR="00DA493A" w:rsidRPr="00051B46">
        <w:rPr>
          <w:rFonts w:ascii="Arial" w:hAnsi="Arial" w:cs="Arial"/>
        </w:rPr>
        <w:t>. H</w:t>
      </w:r>
      <w:r w:rsidR="00B12E8B" w:rsidRPr="00051B46">
        <w:rPr>
          <w:rFonts w:ascii="Arial" w:hAnsi="Arial" w:cs="Arial"/>
        </w:rPr>
        <w:t>owever</w:t>
      </w:r>
      <w:r w:rsidR="00CC2F30" w:rsidRPr="00051B46">
        <w:rPr>
          <w:rFonts w:ascii="Arial" w:hAnsi="Arial" w:cs="Arial"/>
        </w:rPr>
        <w:t>, it should be</w:t>
      </w:r>
      <w:r w:rsidR="00DA493A" w:rsidRPr="00051B46">
        <w:rPr>
          <w:rFonts w:ascii="Arial" w:hAnsi="Arial" w:cs="Arial"/>
        </w:rPr>
        <w:t xml:space="preserve"> noted that the </w:t>
      </w:r>
      <w:r w:rsidR="00B12E8B" w:rsidRPr="00051B46">
        <w:rPr>
          <w:rFonts w:ascii="Arial" w:hAnsi="Arial" w:cs="Arial"/>
        </w:rPr>
        <w:t xml:space="preserve">sensitivity of the test can be widely variable due to differences in </w:t>
      </w:r>
      <w:r w:rsidR="00DA493A" w:rsidRPr="00051B46">
        <w:rPr>
          <w:rFonts w:ascii="Arial" w:hAnsi="Arial" w:cs="Arial"/>
        </w:rPr>
        <w:t xml:space="preserve">operator </w:t>
      </w:r>
      <w:r w:rsidR="00B12E8B" w:rsidRPr="00051B46">
        <w:rPr>
          <w:rFonts w:ascii="Arial" w:hAnsi="Arial" w:cs="Arial"/>
        </w:rPr>
        <w:t xml:space="preserve">technique and </w:t>
      </w:r>
      <w:r w:rsidR="00DA493A" w:rsidRPr="00051B46">
        <w:rPr>
          <w:rFonts w:ascii="Arial" w:hAnsi="Arial" w:cs="Arial"/>
        </w:rPr>
        <w:t xml:space="preserve">devices available, definition of steatosis, use of different </w:t>
      </w:r>
      <w:proofErr w:type="spellStart"/>
      <w:r w:rsidR="006D5507" w:rsidRPr="00051B46">
        <w:rPr>
          <w:rFonts w:ascii="Arial" w:hAnsi="Arial" w:cs="Arial"/>
        </w:rPr>
        <w:t>echographic</w:t>
      </w:r>
      <w:proofErr w:type="spellEnd"/>
      <w:r w:rsidR="006D5507" w:rsidRPr="00051B46">
        <w:rPr>
          <w:rFonts w:ascii="Arial" w:hAnsi="Arial" w:cs="Arial"/>
        </w:rPr>
        <w:t xml:space="preserve"> parameters to define steatosis</w:t>
      </w:r>
      <w:r w:rsidR="00B12E8B" w:rsidRPr="00051B46">
        <w:rPr>
          <w:rFonts w:ascii="Arial" w:hAnsi="Arial" w:cs="Arial"/>
        </w:rPr>
        <w:t xml:space="preserve">, as well as the heterogeneity of the liver disease. </w:t>
      </w:r>
      <w:r w:rsidR="00DA493A" w:rsidRPr="00051B46">
        <w:rPr>
          <w:rFonts w:ascii="Arial" w:hAnsi="Arial" w:cs="Arial"/>
        </w:rPr>
        <w:t>While in one</w:t>
      </w:r>
      <w:r w:rsidR="00B12E8B" w:rsidRPr="00051B46">
        <w:rPr>
          <w:rFonts w:ascii="Arial" w:hAnsi="Arial" w:cs="Arial"/>
        </w:rPr>
        <w:t xml:space="preserve"> meta-analysis liver ultrasound was found to have a pooled sensitivity of 84.8% and specificity of 93.6% to detect hepatic steatosis of</w:t>
      </w:r>
      <w:r w:rsidR="0068516A" w:rsidRPr="00051B46">
        <w:rPr>
          <w:rFonts w:ascii="Arial" w:hAnsi="Arial" w:cs="Arial"/>
        </w:rPr>
        <w:t xml:space="preserve"> more than </w:t>
      </w:r>
      <w:r w:rsidR="00B12E8B" w:rsidRPr="00051B46">
        <w:rPr>
          <w:rFonts w:ascii="Arial" w:hAnsi="Arial" w:cs="Arial"/>
        </w:rPr>
        <w:t>20-30%</w:t>
      </w:r>
      <w:r w:rsidR="00BB10E5" w:rsidRPr="00051B46">
        <w:rPr>
          <w:rFonts w:ascii="Arial" w:hAnsi="Arial" w:cs="Arial"/>
        </w:rPr>
        <w:t xml:space="preserve"> </w:t>
      </w:r>
      <w:r w:rsidR="00527EA6" w:rsidRPr="00051B46">
        <w:rPr>
          <w:rFonts w:ascii="Arial" w:hAnsi="Arial" w:cs="Arial"/>
        </w:rPr>
        <w:t>(</w:t>
      </w:r>
      <w:r w:rsidR="007514AD" w:rsidRPr="00051B46">
        <w:rPr>
          <w:rFonts w:ascii="Arial" w:hAnsi="Arial" w:cs="Arial"/>
        </w:rPr>
        <w:t>119</w:t>
      </w:r>
      <w:r w:rsidR="00527EA6" w:rsidRPr="00051B46">
        <w:rPr>
          <w:rFonts w:ascii="Arial" w:hAnsi="Arial" w:cs="Arial"/>
        </w:rPr>
        <w:t>)</w:t>
      </w:r>
      <w:r w:rsidR="00DA493A" w:rsidRPr="00051B46">
        <w:rPr>
          <w:rFonts w:ascii="Arial" w:hAnsi="Arial" w:cs="Arial"/>
        </w:rPr>
        <w:t>,</w:t>
      </w:r>
      <w:r w:rsidR="00B12E8B" w:rsidRPr="00051B46">
        <w:rPr>
          <w:rFonts w:ascii="Arial" w:hAnsi="Arial" w:cs="Arial"/>
        </w:rPr>
        <w:t xml:space="preserve"> </w:t>
      </w:r>
      <w:r w:rsidR="00DA493A" w:rsidRPr="00051B46">
        <w:rPr>
          <w:rFonts w:ascii="Arial" w:hAnsi="Arial" w:cs="Arial"/>
        </w:rPr>
        <w:t xml:space="preserve">this literature is largely from liver clinics where </w:t>
      </w:r>
      <w:r w:rsidR="006D5507" w:rsidRPr="00051B46">
        <w:rPr>
          <w:rFonts w:ascii="Arial" w:hAnsi="Arial" w:cs="Arial"/>
        </w:rPr>
        <w:t xml:space="preserve">disease severity is greater (i.e., more steatosis and better performance) but may not reflect the setting of primary care physicians or endocrinologists.  </w:t>
      </w:r>
      <w:r w:rsidR="009D47A0" w:rsidRPr="00051B46">
        <w:rPr>
          <w:rFonts w:ascii="Arial" w:hAnsi="Arial" w:cs="Arial"/>
        </w:rPr>
        <w:t xml:space="preserve">More relevant was also the fact that the investigators calculated the sensitivity to diagnose moderate-to-severe fatty liver from the absence of steatosis, without considering mild-to-moderate NAFLD. However, clinicians are faced with many patients with NAFLD that have only mild-to-moderate intrahepatic </w:t>
      </w:r>
      <w:r w:rsidR="009D47A0" w:rsidRPr="00051B46">
        <w:rPr>
          <w:rFonts w:ascii="Arial" w:hAnsi="Arial" w:cs="Arial"/>
        </w:rPr>
        <w:lastRenderedPageBreak/>
        <w:t>triglycerides, emphasizing the importance of having simple imaging tools that can make the correct diagnosis in the clinic.</w:t>
      </w:r>
    </w:p>
    <w:p w14:paraId="09AE9B96" w14:textId="77777777" w:rsidR="00527EA6" w:rsidRPr="00051B46" w:rsidRDefault="00527EA6" w:rsidP="002506B3">
      <w:pPr>
        <w:spacing w:after="0" w:line="276" w:lineRule="auto"/>
        <w:rPr>
          <w:rFonts w:ascii="Arial" w:hAnsi="Arial" w:cs="Arial"/>
        </w:rPr>
      </w:pPr>
    </w:p>
    <w:p w14:paraId="17259C44" w14:textId="1AE471E6" w:rsidR="00B12E8B" w:rsidRPr="00051B46" w:rsidRDefault="006D5507" w:rsidP="002506B3">
      <w:pPr>
        <w:spacing w:after="0" w:line="276" w:lineRule="auto"/>
        <w:rPr>
          <w:rFonts w:ascii="Arial" w:hAnsi="Arial" w:cs="Arial"/>
        </w:rPr>
      </w:pPr>
      <w:r w:rsidRPr="00051B46">
        <w:rPr>
          <w:rFonts w:ascii="Arial" w:hAnsi="Arial" w:cs="Arial"/>
        </w:rPr>
        <w:t xml:space="preserve">In a study </w:t>
      </w:r>
      <w:r w:rsidR="001F10B8" w:rsidRPr="00051B46">
        <w:rPr>
          <w:rFonts w:ascii="Arial" w:hAnsi="Arial" w:cs="Arial"/>
        </w:rPr>
        <w:t xml:space="preserve">by </w:t>
      </w:r>
      <w:proofErr w:type="spellStart"/>
      <w:r w:rsidR="001F10B8" w:rsidRPr="00051B46">
        <w:rPr>
          <w:rFonts w:ascii="Arial" w:hAnsi="Arial" w:cs="Arial"/>
        </w:rPr>
        <w:t>Bril</w:t>
      </w:r>
      <w:proofErr w:type="spellEnd"/>
      <w:r w:rsidR="001F10B8" w:rsidRPr="00051B46">
        <w:rPr>
          <w:rFonts w:ascii="Arial" w:hAnsi="Arial" w:cs="Arial"/>
        </w:rPr>
        <w:t xml:space="preserve"> et al </w:t>
      </w:r>
      <w:r w:rsidR="007514AD" w:rsidRPr="00051B46">
        <w:rPr>
          <w:rFonts w:ascii="Arial" w:hAnsi="Arial" w:cs="Arial"/>
        </w:rPr>
        <w:t xml:space="preserve">(120), </w:t>
      </w:r>
      <w:r w:rsidR="008D759C" w:rsidRPr="00051B46">
        <w:rPr>
          <w:rFonts w:ascii="Arial" w:hAnsi="Arial" w:cs="Arial"/>
        </w:rPr>
        <w:t xml:space="preserve">the authors </w:t>
      </w:r>
      <w:r w:rsidRPr="00051B46">
        <w:rPr>
          <w:rFonts w:ascii="Arial" w:hAnsi="Arial" w:cs="Arial"/>
        </w:rPr>
        <w:t>compar</w:t>
      </w:r>
      <w:r w:rsidR="001F10B8" w:rsidRPr="00051B46">
        <w:rPr>
          <w:rFonts w:ascii="Arial" w:hAnsi="Arial" w:cs="Arial"/>
        </w:rPr>
        <w:t>ed in 146 patients</w:t>
      </w:r>
      <w:r w:rsidRPr="00051B46">
        <w:rPr>
          <w:rFonts w:ascii="Arial" w:hAnsi="Arial" w:cs="Arial"/>
        </w:rPr>
        <w:t xml:space="preserve"> the performance </w:t>
      </w:r>
      <w:r w:rsidR="008D759C" w:rsidRPr="00051B46">
        <w:rPr>
          <w:rFonts w:ascii="Arial" w:hAnsi="Arial" w:cs="Arial"/>
        </w:rPr>
        <w:t xml:space="preserve">of ultrasound using a score from </w:t>
      </w:r>
      <w:r w:rsidR="001F10B8" w:rsidRPr="00051B46">
        <w:rPr>
          <w:rFonts w:ascii="Arial" w:hAnsi="Arial" w:cs="Arial"/>
        </w:rPr>
        <w:t xml:space="preserve">five </w:t>
      </w:r>
      <w:proofErr w:type="spellStart"/>
      <w:r w:rsidR="001F10B8" w:rsidRPr="00051B46">
        <w:rPr>
          <w:rFonts w:ascii="Arial" w:hAnsi="Arial" w:cs="Arial"/>
        </w:rPr>
        <w:t>echographic</w:t>
      </w:r>
      <w:proofErr w:type="spellEnd"/>
      <w:r w:rsidR="001F10B8" w:rsidRPr="00051B46">
        <w:rPr>
          <w:rFonts w:ascii="Arial" w:hAnsi="Arial" w:cs="Arial"/>
        </w:rPr>
        <w:t xml:space="preserve"> parameters for steatosis or liver fat quantified by </w:t>
      </w:r>
      <w:r w:rsidR="001F10B8" w:rsidRPr="00051B46">
        <w:rPr>
          <w:rFonts w:ascii="Arial" w:hAnsi="Arial" w:cs="Arial"/>
          <w:vertAlign w:val="superscript"/>
        </w:rPr>
        <w:t>1</w:t>
      </w:r>
      <w:r w:rsidR="001F10B8" w:rsidRPr="00051B46">
        <w:rPr>
          <w:rFonts w:ascii="Arial" w:hAnsi="Arial" w:cs="Arial"/>
        </w:rPr>
        <w:t>H-MRS</w:t>
      </w:r>
      <w:r w:rsidR="007514AD" w:rsidRPr="00051B46">
        <w:rPr>
          <w:rFonts w:ascii="Arial" w:hAnsi="Arial" w:cs="Arial"/>
        </w:rPr>
        <w:t>.</w:t>
      </w:r>
      <w:r w:rsidR="00527EA6" w:rsidRPr="00051B46">
        <w:rPr>
          <w:rFonts w:ascii="Arial" w:hAnsi="Arial" w:cs="Arial"/>
        </w:rPr>
        <w:t xml:space="preserve"> </w:t>
      </w:r>
      <w:r w:rsidR="008D759C" w:rsidRPr="00051B46">
        <w:rPr>
          <w:rFonts w:ascii="Arial" w:hAnsi="Arial" w:cs="Arial"/>
        </w:rPr>
        <w:t>They used as the gold-standard</w:t>
      </w:r>
      <w:r w:rsidR="001F10B8" w:rsidRPr="00051B46">
        <w:rPr>
          <w:rFonts w:ascii="Arial" w:hAnsi="Arial" w:cs="Arial"/>
        </w:rPr>
        <w:t xml:space="preserve"> </w:t>
      </w:r>
      <w:r w:rsidR="008D759C" w:rsidRPr="00051B46">
        <w:rPr>
          <w:rFonts w:ascii="Arial" w:hAnsi="Arial" w:cs="Arial"/>
        </w:rPr>
        <w:t>histology (</w:t>
      </w:r>
      <w:r w:rsidR="001F10B8" w:rsidRPr="00051B46">
        <w:rPr>
          <w:rFonts w:ascii="Arial" w:hAnsi="Arial" w:cs="Arial"/>
        </w:rPr>
        <w:t>liver biopsy</w:t>
      </w:r>
      <w:r w:rsidR="008D759C" w:rsidRPr="00051B46">
        <w:rPr>
          <w:rFonts w:ascii="Arial" w:hAnsi="Arial" w:cs="Arial"/>
        </w:rPr>
        <w:t>). They reported that</w:t>
      </w:r>
      <w:r w:rsidR="00EC50BA" w:rsidRPr="00051B46">
        <w:rPr>
          <w:rFonts w:ascii="Arial" w:hAnsi="Arial" w:cs="Arial"/>
        </w:rPr>
        <w:t xml:space="preserve"> the performance of liver </w:t>
      </w:r>
      <w:r w:rsidR="00BB10E5" w:rsidRPr="00051B46">
        <w:rPr>
          <w:rFonts w:ascii="Arial" w:hAnsi="Arial" w:cs="Arial"/>
        </w:rPr>
        <w:t>ultrasound</w:t>
      </w:r>
      <w:r w:rsidR="00EC50BA" w:rsidRPr="00051B46">
        <w:rPr>
          <w:rFonts w:ascii="Arial" w:hAnsi="Arial" w:cs="Arial"/>
        </w:rPr>
        <w:t xml:space="preserve"> (parenchymal echo alone) was </w:t>
      </w:r>
      <w:r w:rsidR="008D759C" w:rsidRPr="00051B46">
        <w:rPr>
          <w:rFonts w:ascii="Arial" w:hAnsi="Arial" w:cs="Arial"/>
        </w:rPr>
        <w:t xml:space="preserve">relatively poor but improved to an </w:t>
      </w:r>
      <w:r w:rsidR="00EC50BA" w:rsidRPr="00051B46">
        <w:rPr>
          <w:rFonts w:ascii="Arial" w:hAnsi="Arial" w:cs="Arial"/>
        </w:rPr>
        <w:t xml:space="preserve">acceptable </w:t>
      </w:r>
      <w:r w:rsidR="008D759C" w:rsidRPr="00051B46">
        <w:rPr>
          <w:rFonts w:ascii="Arial" w:hAnsi="Arial" w:cs="Arial"/>
        </w:rPr>
        <w:t xml:space="preserve">level </w:t>
      </w:r>
      <w:r w:rsidR="00EC50BA" w:rsidRPr="00051B46">
        <w:rPr>
          <w:rFonts w:ascii="Arial" w:hAnsi="Arial" w:cs="Arial"/>
        </w:rPr>
        <w:t xml:space="preserve">when compared to </w:t>
      </w:r>
      <w:r w:rsidR="00EC50BA" w:rsidRPr="00051B46">
        <w:rPr>
          <w:rFonts w:ascii="Arial" w:hAnsi="Arial" w:cs="Arial"/>
          <w:vertAlign w:val="superscript"/>
        </w:rPr>
        <w:t>1</w:t>
      </w:r>
      <w:r w:rsidR="00EC50BA" w:rsidRPr="00051B46">
        <w:rPr>
          <w:rFonts w:ascii="Arial" w:hAnsi="Arial" w:cs="Arial"/>
        </w:rPr>
        <w:t>H-MRS</w:t>
      </w:r>
      <w:r w:rsidR="008D759C" w:rsidRPr="00051B46">
        <w:rPr>
          <w:rFonts w:ascii="Arial" w:hAnsi="Arial" w:cs="Arial"/>
        </w:rPr>
        <w:t xml:space="preserve"> when enhanced by the five </w:t>
      </w:r>
      <w:proofErr w:type="spellStart"/>
      <w:r w:rsidR="008D759C" w:rsidRPr="00051B46">
        <w:rPr>
          <w:rFonts w:ascii="Arial" w:hAnsi="Arial" w:cs="Arial"/>
        </w:rPr>
        <w:t>echographic</w:t>
      </w:r>
      <w:proofErr w:type="spellEnd"/>
      <w:r w:rsidR="008D759C" w:rsidRPr="00051B46">
        <w:rPr>
          <w:rFonts w:ascii="Arial" w:hAnsi="Arial" w:cs="Arial"/>
        </w:rPr>
        <w:t xml:space="preserve"> parameter score for steatosis was utilized</w:t>
      </w:r>
      <w:r w:rsidR="00EC50BA" w:rsidRPr="00051B46">
        <w:rPr>
          <w:rFonts w:ascii="Arial" w:hAnsi="Arial" w:cs="Arial"/>
        </w:rPr>
        <w:t>.</w:t>
      </w:r>
      <w:r w:rsidR="008D759C" w:rsidRPr="00051B46">
        <w:rPr>
          <w:rFonts w:ascii="Arial" w:hAnsi="Arial" w:cs="Arial"/>
        </w:rPr>
        <w:t xml:space="preserve"> The</w:t>
      </w:r>
      <w:r w:rsidR="00EC50BA" w:rsidRPr="00051B46">
        <w:rPr>
          <w:rFonts w:ascii="Arial" w:hAnsi="Arial" w:cs="Arial"/>
        </w:rPr>
        <w:t xml:space="preserve"> </w:t>
      </w:r>
      <w:r w:rsidR="00B12E8B" w:rsidRPr="00051B46">
        <w:rPr>
          <w:rFonts w:ascii="Arial" w:hAnsi="Arial" w:cs="Arial"/>
        </w:rPr>
        <w:t>greatest sensitivity of the</w:t>
      </w:r>
      <w:r w:rsidR="008D759C" w:rsidRPr="00051B46">
        <w:rPr>
          <w:rFonts w:ascii="Arial" w:hAnsi="Arial" w:cs="Arial"/>
        </w:rPr>
        <w:t xml:space="preserve"> </w:t>
      </w:r>
      <w:r w:rsidR="00BB10E5" w:rsidRPr="00051B46">
        <w:rPr>
          <w:rFonts w:ascii="Arial" w:hAnsi="Arial" w:cs="Arial"/>
        </w:rPr>
        <w:t>ultrasound</w:t>
      </w:r>
      <w:r w:rsidR="00B12E8B" w:rsidRPr="00051B46">
        <w:rPr>
          <w:rFonts w:ascii="Arial" w:hAnsi="Arial" w:cs="Arial"/>
        </w:rPr>
        <w:t xml:space="preserve"> test was reached at </w:t>
      </w:r>
      <w:r w:rsidR="008D759C" w:rsidRPr="00051B46">
        <w:rPr>
          <w:rFonts w:ascii="Arial" w:hAnsi="Arial" w:cs="Arial"/>
        </w:rPr>
        <w:t xml:space="preserve">a </w:t>
      </w:r>
      <w:r w:rsidR="00B12E8B" w:rsidRPr="00051B46">
        <w:rPr>
          <w:rFonts w:ascii="Arial" w:hAnsi="Arial" w:cs="Arial"/>
        </w:rPr>
        <w:t xml:space="preserve">hepatic steatosis content of at least 12.5%. Below this threshold, the test </w:t>
      </w:r>
      <w:r w:rsidR="008D759C" w:rsidRPr="00051B46">
        <w:rPr>
          <w:rFonts w:ascii="Arial" w:hAnsi="Arial" w:cs="Arial"/>
        </w:rPr>
        <w:t>wa</w:t>
      </w:r>
      <w:r w:rsidR="00B12E8B" w:rsidRPr="00051B46">
        <w:rPr>
          <w:rFonts w:ascii="Arial" w:hAnsi="Arial" w:cs="Arial"/>
        </w:rPr>
        <w:t xml:space="preserve">s </w:t>
      </w:r>
      <w:r w:rsidR="009B39E5" w:rsidRPr="00051B46">
        <w:rPr>
          <w:rFonts w:ascii="Arial" w:hAnsi="Arial" w:cs="Arial"/>
        </w:rPr>
        <w:t>un</w:t>
      </w:r>
      <w:r w:rsidR="00B12E8B" w:rsidRPr="00051B46">
        <w:rPr>
          <w:rFonts w:ascii="Arial" w:hAnsi="Arial" w:cs="Arial"/>
        </w:rPr>
        <w:t>reliable.</w:t>
      </w:r>
      <w:r w:rsidR="009B39E5" w:rsidRPr="00051B46">
        <w:rPr>
          <w:rFonts w:ascii="Arial" w:hAnsi="Arial" w:cs="Arial"/>
        </w:rPr>
        <w:t xml:space="preserve"> Technological improvements may enhance in the near future the performance of liver </w:t>
      </w:r>
      <w:r w:rsidR="00BB10E5" w:rsidRPr="00051B46">
        <w:rPr>
          <w:rFonts w:ascii="Arial" w:hAnsi="Arial" w:cs="Arial"/>
        </w:rPr>
        <w:t>ultrasound</w:t>
      </w:r>
      <w:r w:rsidR="009B39E5" w:rsidRPr="00051B46">
        <w:rPr>
          <w:rFonts w:ascii="Arial" w:hAnsi="Arial" w:cs="Arial"/>
        </w:rPr>
        <w:t xml:space="preserve"> and its value in the management of patients with NAFLD.</w:t>
      </w:r>
    </w:p>
    <w:p w14:paraId="08AF1C3C" w14:textId="77777777" w:rsidR="00527EA6" w:rsidRPr="00051B46" w:rsidRDefault="00527EA6" w:rsidP="002506B3">
      <w:pPr>
        <w:spacing w:after="0" w:line="276" w:lineRule="auto"/>
        <w:rPr>
          <w:rFonts w:ascii="Arial" w:hAnsi="Arial" w:cs="Arial"/>
        </w:rPr>
      </w:pPr>
    </w:p>
    <w:p w14:paraId="36E3ED17" w14:textId="77777777" w:rsidR="00527EA6" w:rsidRPr="00051B46" w:rsidRDefault="00492A14" w:rsidP="002506B3">
      <w:pPr>
        <w:spacing w:after="0" w:line="276" w:lineRule="auto"/>
        <w:rPr>
          <w:rFonts w:ascii="Arial" w:hAnsi="Arial" w:cs="Arial"/>
          <w:i/>
          <w:iCs/>
        </w:rPr>
      </w:pPr>
      <w:r w:rsidRPr="00051B46">
        <w:rPr>
          <w:rFonts w:ascii="Arial" w:hAnsi="Arial" w:cs="Arial"/>
          <w:i/>
          <w:iCs/>
        </w:rPr>
        <w:t xml:space="preserve">Controlled </w:t>
      </w:r>
      <w:r w:rsidR="00527EA6" w:rsidRPr="00051B46">
        <w:rPr>
          <w:rFonts w:ascii="Arial" w:hAnsi="Arial" w:cs="Arial"/>
          <w:i/>
          <w:iCs/>
        </w:rPr>
        <w:t>A</w:t>
      </w:r>
      <w:r w:rsidRPr="00051B46">
        <w:rPr>
          <w:rFonts w:ascii="Arial" w:hAnsi="Arial" w:cs="Arial"/>
          <w:i/>
          <w:iCs/>
        </w:rPr>
        <w:t xml:space="preserve">ttenuation </w:t>
      </w:r>
      <w:r w:rsidR="00527EA6" w:rsidRPr="00051B46">
        <w:rPr>
          <w:rFonts w:ascii="Arial" w:hAnsi="Arial" w:cs="Arial"/>
          <w:i/>
          <w:iCs/>
        </w:rPr>
        <w:t>P</w:t>
      </w:r>
      <w:r w:rsidRPr="00051B46">
        <w:rPr>
          <w:rFonts w:ascii="Arial" w:hAnsi="Arial" w:cs="Arial"/>
          <w:i/>
          <w:iCs/>
        </w:rPr>
        <w:t>arameter</w:t>
      </w:r>
      <w:r w:rsidR="00DC4C92" w:rsidRPr="00051B46">
        <w:rPr>
          <w:rFonts w:ascii="Arial" w:hAnsi="Arial" w:cs="Arial"/>
          <w:i/>
          <w:iCs/>
        </w:rPr>
        <w:t xml:space="preserve"> (CAP)</w:t>
      </w:r>
    </w:p>
    <w:p w14:paraId="09F46658" w14:textId="77777777" w:rsidR="00527EA6" w:rsidRPr="00051B46" w:rsidRDefault="00527EA6" w:rsidP="002506B3">
      <w:pPr>
        <w:spacing w:after="0" w:line="276" w:lineRule="auto"/>
        <w:rPr>
          <w:rFonts w:ascii="Arial" w:hAnsi="Arial" w:cs="Arial"/>
          <w:b/>
          <w:bCs/>
        </w:rPr>
      </w:pPr>
    </w:p>
    <w:p w14:paraId="09886CD0" w14:textId="48F239E7" w:rsidR="00DC4C92" w:rsidRPr="00051B46" w:rsidRDefault="00527EA6" w:rsidP="002506B3">
      <w:pPr>
        <w:spacing w:after="0" w:line="276" w:lineRule="auto"/>
        <w:rPr>
          <w:rFonts w:ascii="Arial" w:hAnsi="Arial" w:cs="Arial"/>
        </w:rPr>
      </w:pPr>
      <w:r w:rsidRPr="00051B46">
        <w:rPr>
          <w:rFonts w:ascii="Arial" w:hAnsi="Arial" w:cs="Arial"/>
        </w:rPr>
        <w:t>CAP</w:t>
      </w:r>
      <w:r w:rsidRPr="00051B46">
        <w:rPr>
          <w:rFonts w:ascii="Arial" w:hAnsi="Arial" w:cs="Arial"/>
          <w:b/>
          <w:bCs/>
        </w:rPr>
        <w:t xml:space="preserve"> </w:t>
      </w:r>
      <w:r w:rsidR="00116483" w:rsidRPr="00051B46">
        <w:rPr>
          <w:rFonts w:ascii="Arial" w:hAnsi="Arial" w:cs="Arial"/>
        </w:rPr>
        <w:t xml:space="preserve">is a relatively new </w:t>
      </w:r>
      <w:r w:rsidR="000A0F68" w:rsidRPr="00051B46">
        <w:rPr>
          <w:rFonts w:ascii="Arial" w:hAnsi="Arial" w:cs="Arial"/>
        </w:rPr>
        <w:t xml:space="preserve">imaging </w:t>
      </w:r>
      <w:r w:rsidR="00116483" w:rsidRPr="00051B46">
        <w:rPr>
          <w:rFonts w:ascii="Arial" w:hAnsi="Arial" w:cs="Arial"/>
        </w:rPr>
        <w:t xml:space="preserve">methodology </w:t>
      </w:r>
      <w:r w:rsidR="000A0F68" w:rsidRPr="00051B46">
        <w:rPr>
          <w:rFonts w:ascii="Arial" w:hAnsi="Arial" w:cs="Arial"/>
        </w:rPr>
        <w:t>to quantify</w:t>
      </w:r>
      <w:r w:rsidR="00116483" w:rsidRPr="00051B46">
        <w:rPr>
          <w:rFonts w:ascii="Arial" w:hAnsi="Arial" w:cs="Arial"/>
        </w:rPr>
        <w:t xml:space="preserve"> steatosi</w:t>
      </w:r>
      <w:r w:rsidR="000A0F68" w:rsidRPr="00051B46">
        <w:rPr>
          <w:rFonts w:ascii="Arial" w:hAnsi="Arial" w:cs="Arial"/>
        </w:rPr>
        <w:t xml:space="preserve">s. It is based on the principle that intrahepatic triglycerides delay </w:t>
      </w:r>
      <w:r w:rsidR="00116483" w:rsidRPr="00051B46">
        <w:rPr>
          <w:rFonts w:ascii="Arial" w:hAnsi="Arial" w:cs="Arial"/>
        </w:rPr>
        <w:t>ultrasound waves</w:t>
      </w:r>
      <w:r w:rsidR="000A0F68" w:rsidRPr="00051B46">
        <w:rPr>
          <w:rFonts w:ascii="Arial" w:hAnsi="Arial" w:cs="Arial"/>
        </w:rPr>
        <w:t>, so that</w:t>
      </w:r>
      <w:r w:rsidR="00116483" w:rsidRPr="00051B46">
        <w:rPr>
          <w:rFonts w:ascii="Arial" w:hAnsi="Arial" w:cs="Arial"/>
        </w:rPr>
        <w:t xml:space="preserve"> when travelling throug</w:t>
      </w:r>
      <w:r w:rsidR="000A0F68" w:rsidRPr="00051B46">
        <w:rPr>
          <w:rFonts w:ascii="Arial" w:hAnsi="Arial" w:cs="Arial"/>
        </w:rPr>
        <w:t>h</w:t>
      </w:r>
      <w:r w:rsidR="00116483" w:rsidRPr="00051B46">
        <w:rPr>
          <w:rFonts w:ascii="Arial" w:hAnsi="Arial" w:cs="Arial"/>
        </w:rPr>
        <w:t xml:space="preserve"> tissue</w:t>
      </w:r>
      <w:r w:rsidR="000A0F68" w:rsidRPr="00051B46">
        <w:rPr>
          <w:rFonts w:ascii="Arial" w:hAnsi="Arial" w:cs="Arial"/>
        </w:rPr>
        <w:t xml:space="preserve"> with steatosis they will be attenuated when</w:t>
      </w:r>
      <w:r w:rsidR="00116483" w:rsidRPr="00051B46">
        <w:rPr>
          <w:rFonts w:ascii="Arial" w:hAnsi="Arial" w:cs="Arial"/>
        </w:rPr>
        <w:t xml:space="preserve"> compared to normal liver</w:t>
      </w:r>
      <w:r w:rsidR="000A0F68" w:rsidRPr="00051B46">
        <w:rPr>
          <w:rFonts w:ascii="Arial" w:hAnsi="Arial" w:cs="Arial"/>
        </w:rPr>
        <w:t xml:space="preserve"> tissue</w:t>
      </w:r>
      <w:r w:rsidR="00116483" w:rsidRPr="00051B46">
        <w:rPr>
          <w:rFonts w:ascii="Arial" w:hAnsi="Arial" w:cs="Arial"/>
        </w:rPr>
        <w:t>.</w:t>
      </w:r>
      <w:r w:rsidR="00DC4C92" w:rsidRPr="00051B46">
        <w:rPr>
          <w:rFonts w:ascii="Arial" w:hAnsi="Arial" w:cs="Arial"/>
        </w:rPr>
        <w:t xml:space="preserve">  The diagnostic range of CAP is from 100 to 400 dB/m. The higher the value the more suggestive of the presence of steatosis. </w:t>
      </w:r>
      <w:r w:rsidR="00530420" w:rsidRPr="00051B46">
        <w:rPr>
          <w:rFonts w:ascii="Arial" w:hAnsi="Arial" w:cs="Arial"/>
        </w:rPr>
        <w:t>The sensitivity of the test to diagnose hepatic steatosis was 68.8% and specificity was 82.2% in a meta-analysis of patients with biopsy-proven steatosis</w:t>
      </w:r>
      <w:r w:rsidR="00A3526D" w:rsidRPr="00051B46">
        <w:rPr>
          <w:rFonts w:ascii="Arial" w:hAnsi="Arial" w:cs="Arial"/>
        </w:rPr>
        <w:t xml:space="preserve"> (</w:t>
      </w:r>
      <w:r w:rsidR="00B565FE" w:rsidRPr="00051B46">
        <w:rPr>
          <w:rFonts w:ascii="Arial" w:hAnsi="Arial" w:cs="Arial"/>
        </w:rPr>
        <w:t>121</w:t>
      </w:r>
      <w:r w:rsidR="00A3526D" w:rsidRPr="00051B46">
        <w:rPr>
          <w:rFonts w:ascii="Arial" w:hAnsi="Arial" w:cs="Arial"/>
        </w:rPr>
        <w:t>)</w:t>
      </w:r>
      <w:r w:rsidR="00530420" w:rsidRPr="00051B46">
        <w:rPr>
          <w:rFonts w:ascii="Arial" w:hAnsi="Arial" w:cs="Arial"/>
        </w:rPr>
        <w:t>.</w:t>
      </w:r>
      <w:r w:rsidR="004B4D1A" w:rsidRPr="00051B46">
        <w:rPr>
          <w:rFonts w:ascii="Arial" w:hAnsi="Arial" w:cs="Arial"/>
        </w:rPr>
        <w:t xml:space="preserve"> </w:t>
      </w:r>
      <w:r w:rsidR="00DC4C92" w:rsidRPr="00051B46">
        <w:rPr>
          <w:rFonts w:ascii="Arial" w:hAnsi="Arial" w:cs="Arial"/>
        </w:rPr>
        <w:t xml:space="preserve">Usually the cut-off of ≥280 dB/m is used to establish the diagnosis of steatosis. </w:t>
      </w:r>
      <w:r w:rsidR="00530420" w:rsidRPr="00051B46">
        <w:rPr>
          <w:rFonts w:ascii="Arial" w:hAnsi="Arial" w:cs="Arial"/>
        </w:rPr>
        <w:t>As discussed below, o</w:t>
      </w:r>
      <w:r w:rsidR="00DC4C92" w:rsidRPr="00051B46">
        <w:rPr>
          <w:rFonts w:ascii="Arial" w:hAnsi="Arial" w:cs="Arial"/>
        </w:rPr>
        <w:t xml:space="preserve">ne advantage of CAP is that in addition to being a simple and useful point-of-care tool (often available in liver clinics), the estimation of CAP can be performed </w:t>
      </w:r>
      <w:r w:rsidR="009A319D" w:rsidRPr="00051B46">
        <w:rPr>
          <w:rFonts w:ascii="Arial" w:hAnsi="Arial" w:cs="Arial"/>
        </w:rPr>
        <w:t xml:space="preserve">simultaneously </w:t>
      </w:r>
      <w:r w:rsidR="00DC4C92" w:rsidRPr="00051B46">
        <w:rPr>
          <w:rFonts w:ascii="Arial" w:hAnsi="Arial" w:cs="Arial"/>
        </w:rPr>
        <w:t xml:space="preserve">with that of </w:t>
      </w:r>
      <w:r w:rsidR="009A319D" w:rsidRPr="00051B46">
        <w:rPr>
          <w:rFonts w:ascii="Arial" w:hAnsi="Arial" w:cs="Arial"/>
        </w:rPr>
        <w:t>the liver stiffness measurement (</w:t>
      </w:r>
      <w:r w:rsidR="00DC4C92" w:rsidRPr="00051B46">
        <w:rPr>
          <w:rFonts w:ascii="Arial" w:hAnsi="Arial" w:cs="Arial"/>
        </w:rPr>
        <w:t>LSM</w:t>
      </w:r>
      <w:r w:rsidR="009A319D" w:rsidRPr="00051B46">
        <w:rPr>
          <w:rFonts w:ascii="Arial" w:hAnsi="Arial" w:cs="Arial"/>
        </w:rPr>
        <w:t xml:space="preserve">; </w:t>
      </w:r>
      <w:proofErr w:type="spellStart"/>
      <w:r w:rsidR="009A319D" w:rsidRPr="00051B46">
        <w:rPr>
          <w:rFonts w:ascii="Arial" w:hAnsi="Arial" w:cs="Arial"/>
        </w:rPr>
        <w:t>Fibroscan</w:t>
      </w:r>
      <w:proofErr w:type="spellEnd"/>
      <w:r w:rsidR="009A319D" w:rsidRPr="00051B46">
        <w:rPr>
          <w:rFonts w:ascii="Arial" w:hAnsi="Arial" w:cs="Arial"/>
          <w:vertAlign w:val="superscript"/>
        </w:rPr>
        <w:sym w:font="Symbol" w:char="F0D2"/>
      </w:r>
      <w:r w:rsidR="009A319D" w:rsidRPr="00051B46">
        <w:rPr>
          <w:rFonts w:ascii="Arial" w:hAnsi="Arial" w:cs="Arial"/>
        </w:rPr>
        <w:t>)</w:t>
      </w:r>
      <w:r w:rsidR="00DC4C92" w:rsidRPr="00051B46">
        <w:rPr>
          <w:rFonts w:ascii="Arial" w:hAnsi="Arial" w:cs="Arial"/>
        </w:rPr>
        <w:t xml:space="preserve"> and from the same </w:t>
      </w:r>
      <w:r w:rsidR="000537B3" w:rsidRPr="00051B46">
        <w:rPr>
          <w:rFonts w:ascii="Arial" w:hAnsi="Arial" w:cs="Arial"/>
        </w:rPr>
        <w:t xml:space="preserve">liver </w:t>
      </w:r>
      <w:r w:rsidR="00DC4C92" w:rsidRPr="00051B46">
        <w:rPr>
          <w:rFonts w:ascii="Arial" w:hAnsi="Arial" w:cs="Arial"/>
        </w:rPr>
        <w:t>region of interest</w:t>
      </w:r>
      <w:r w:rsidR="000537B3" w:rsidRPr="00051B46">
        <w:rPr>
          <w:rFonts w:ascii="Arial" w:hAnsi="Arial" w:cs="Arial"/>
        </w:rPr>
        <w:t xml:space="preserve">, </w:t>
      </w:r>
      <w:r w:rsidR="009A319D" w:rsidRPr="00051B46">
        <w:rPr>
          <w:rFonts w:ascii="Arial" w:hAnsi="Arial" w:cs="Arial"/>
        </w:rPr>
        <w:t xml:space="preserve">significantly </w:t>
      </w:r>
      <w:r w:rsidR="000537B3" w:rsidRPr="00051B46">
        <w:rPr>
          <w:rFonts w:ascii="Arial" w:hAnsi="Arial" w:cs="Arial"/>
        </w:rPr>
        <w:t>facilitating clinical management</w:t>
      </w:r>
      <w:r w:rsidR="00530420" w:rsidRPr="00051B46">
        <w:rPr>
          <w:rFonts w:ascii="Arial" w:hAnsi="Arial" w:cs="Arial"/>
        </w:rPr>
        <w:t xml:space="preserve"> although the test has its limitations when liver fat is only mildly elevated.</w:t>
      </w:r>
      <w:r w:rsidR="00DC4C92" w:rsidRPr="00051B46">
        <w:rPr>
          <w:rFonts w:ascii="Arial" w:hAnsi="Arial" w:cs="Arial"/>
        </w:rPr>
        <w:t xml:space="preserve"> </w:t>
      </w:r>
    </w:p>
    <w:p w14:paraId="02EE55F1" w14:textId="77777777" w:rsidR="00A3526D" w:rsidRPr="00051B46" w:rsidRDefault="00A3526D" w:rsidP="002506B3">
      <w:pPr>
        <w:spacing w:after="0" w:line="276" w:lineRule="auto"/>
        <w:rPr>
          <w:rFonts w:ascii="Arial" w:hAnsi="Arial" w:cs="Arial"/>
        </w:rPr>
      </w:pPr>
    </w:p>
    <w:p w14:paraId="297DBF01" w14:textId="77777777" w:rsidR="00A3526D" w:rsidRPr="00051B46" w:rsidRDefault="00AD19C2" w:rsidP="002506B3">
      <w:pPr>
        <w:spacing w:after="0" w:line="276" w:lineRule="auto"/>
        <w:rPr>
          <w:rFonts w:ascii="Arial" w:hAnsi="Arial" w:cs="Arial"/>
          <w:bCs/>
          <w:i/>
          <w:iCs/>
        </w:rPr>
      </w:pPr>
      <w:r w:rsidRPr="00051B46">
        <w:rPr>
          <w:rFonts w:ascii="Arial" w:hAnsi="Arial" w:cs="Arial"/>
          <w:bCs/>
          <w:i/>
          <w:iCs/>
        </w:rPr>
        <w:t xml:space="preserve">MR </w:t>
      </w:r>
      <w:r w:rsidR="00A3526D" w:rsidRPr="00051B46">
        <w:rPr>
          <w:rFonts w:ascii="Arial" w:hAnsi="Arial" w:cs="Arial"/>
          <w:bCs/>
          <w:i/>
          <w:iCs/>
        </w:rPr>
        <w:t>S</w:t>
      </w:r>
      <w:r w:rsidRPr="00051B46">
        <w:rPr>
          <w:rFonts w:ascii="Arial" w:hAnsi="Arial" w:cs="Arial"/>
          <w:bCs/>
          <w:i/>
          <w:iCs/>
        </w:rPr>
        <w:t>pectroscopy</w:t>
      </w:r>
    </w:p>
    <w:p w14:paraId="4643E24E" w14:textId="77777777" w:rsidR="00A3526D" w:rsidRPr="00051B46" w:rsidRDefault="00A3526D" w:rsidP="002506B3">
      <w:pPr>
        <w:spacing w:after="0" w:line="276" w:lineRule="auto"/>
        <w:rPr>
          <w:rFonts w:ascii="Arial" w:hAnsi="Arial" w:cs="Arial"/>
          <w:b/>
        </w:rPr>
      </w:pPr>
    </w:p>
    <w:p w14:paraId="339801FD" w14:textId="35A1214A" w:rsidR="00AD19C2" w:rsidRPr="00051B46" w:rsidRDefault="00AD19C2" w:rsidP="002506B3">
      <w:pPr>
        <w:spacing w:after="0" w:line="276" w:lineRule="auto"/>
        <w:rPr>
          <w:rFonts w:ascii="Arial" w:hAnsi="Arial" w:cs="Arial"/>
        </w:rPr>
      </w:pPr>
      <w:r w:rsidRPr="00051B46">
        <w:rPr>
          <w:rFonts w:ascii="Arial" w:hAnsi="Arial" w:cs="Arial"/>
        </w:rPr>
        <w:t>MR</w:t>
      </w:r>
      <w:r w:rsidR="00AB33EB" w:rsidRPr="00051B46">
        <w:rPr>
          <w:rFonts w:ascii="Arial" w:hAnsi="Arial" w:cs="Arial"/>
        </w:rPr>
        <w:t>-</w:t>
      </w:r>
      <w:r w:rsidRPr="00051B46">
        <w:rPr>
          <w:rFonts w:ascii="Arial" w:hAnsi="Arial" w:cs="Arial"/>
        </w:rPr>
        <w:t>based techniques have been the most accurate</w:t>
      </w:r>
      <w:r w:rsidR="00AB33EB" w:rsidRPr="00051B46">
        <w:rPr>
          <w:rFonts w:ascii="Arial" w:hAnsi="Arial" w:cs="Arial"/>
        </w:rPr>
        <w:t xml:space="preserve"> </w:t>
      </w:r>
      <w:r w:rsidR="00A3526D" w:rsidRPr="00051B46">
        <w:rPr>
          <w:rFonts w:ascii="Arial" w:hAnsi="Arial" w:cs="Arial"/>
        </w:rPr>
        <w:t xml:space="preserve">procedure </w:t>
      </w:r>
      <w:r w:rsidR="00AB33EB" w:rsidRPr="00051B46">
        <w:rPr>
          <w:rFonts w:ascii="Arial" w:hAnsi="Arial" w:cs="Arial"/>
        </w:rPr>
        <w:t>to quantify liver triglyceride content</w:t>
      </w:r>
      <w:r w:rsidR="00A3526D" w:rsidRPr="00051B46">
        <w:rPr>
          <w:rFonts w:ascii="Arial" w:hAnsi="Arial" w:cs="Arial"/>
        </w:rPr>
        <w:t xml:space="preserve"> (</w:t>
      </w:r>
      <w:r w:rsidR="00B565FE" w:rsidRPr="00051B46">
        <w:rPr>
          <w:rFonts w:ascii="Arial" w:hAnsi="Arial" w:cs="Arial"/>
        </w:rPr>
        <w:t>122</w:t>
      </w:r>
      <w:r w:rsidR="00A3526D" w:rsidRPr="00051B46">
        <w:rPr>
          <w:rFonts w:ascii="Arial" w:hAnsi="Arial" w:cs="Arial"/>
        </w:rPr>
        <w:t>)</w:t>
      </w:r>
      <w:r w:rsidRPr="00051B46">
        <w:rPr>
          <w:rFonts w:ascii="Arial" w:hAnsi="Arial" w:cs="Arial"/>
        </w:rPr>
        <w:t>.</w:t>
      </w:r>
      <w:r w:rsidR="004B4D1A" w:rsidRPr="00051B46">
        <w:rPr>
          <w:rFonts w:ascii="Arial" w:hAnsi="Arial" w:cs="Arial"/>
        </w:rPr>
        <w:t xml:space="preserve"> </w:t>
      </w:r>
      <w:r w:rsidR="00492A14" w:rsidRPr="00051B46">
        <w:rPr>
          <w:rFonts w:ascii="Arial" w:hAnsi="Arial" w:cs="Arial"/>
        </w:rPr>
        <w:t xml:space="preserve">The use of </w:t>
      </w:r>
      <w:r w:rsidR="00492A14" w:rsidRPr="00051B46">
        <w:rPr>
          <w:rFonts w:ascii="Arial" w:hAnsi="Arial" w:cs="Arial"/>
          <w:vertAlign w:val="superscript"/>
        </w:rPr>
        <w:t>1</w:t>
      </w:r>
      <w:r w:rsidR="00492A14" w:rsidRPr="00051B46">
        <w:rPr>
          <w:rFonts w:ascii="Arial" w:hAnsi="Arial" w:cs="Arial"/>
        </w:rPr>
        <w:t xml:space="preserve">H-MRS </w:t>
      </w:r>
      <w:r w:rsidRPr="00051B46">
        <w:rPr>
          <w:rFonts w:ascii="Arial" w:hAnsi="Arial" w:cs="Arial"/>
        </w:rPr>
        <w:t xml:space="preserve">has </w:t>
      </w:r>
      <w:r w:rsidR="00492A14" w:rsidRPr="00051B46">
        <w:rPr>
          <w:rFonts w:ascii="Arial" w:hAnsi="Arial" w:cs="Arial"/>
        </w:rPr>
        <w:t>proven</w:t>
      </w:r>
      <w:r w:rsidRPr="00051B46">
        <w:rPr>
          <w:rFonts w:ascii="Arial" w:hAnsi="Arial" w:cs="Arial"/>
        </w:rPr>
        <w:t xml:space="preserve"> to be very accurate for </w:t>
      </w:r>
      <w:r w:rsidR="00492A14" w:rsidRPr="00051B46">
        <w:rPr>
          <w:rFonts w:ascii="Arial" w:hAnsi="Arial" w:cs="Arial"/>
        </w:rPr>
        <w:t xml:space="preserve">quantification of </w:t>
      </w:r>
      <w:r w:rsidRPr="00051B46">
        <w:rPr>
          <w:rFonts w:ascii="Arial" w:hAnsi="Arial" w:cs="Arial"/>
        </w:rPr>
        <w:t xml:space="preserve">intrahepatic triglyceride content, with the results correlating well with </w:t>
      </w:r>
      <w:r w:rsidR="00492A14" w:rsidRPr="00051B46">
        <w:rPr>
          <w:rFonts w:ascii="Arial" w:hAnsi="Arial" w:cs="Arial"/>
        </w:rPr>
        <w:t xml:space="preserve">steatosis on </w:t>
      </w:r>
      <w:r w:rsidRPr="00051B46">
        <w:rPr>
          <w:rFonts w:ascii="Arial" w:hAnsi="Arial" w:cs="Arial"/>
        </w:rPr>
        <w:t>histology</w:t>
      </w:r>
      <w:r w:rsidR="00A3526D" w:rsidRPr="00051B46">
        <w:rPr>
          <w:rFonts w:ascii="Arial" w:hAnsi="Arial" w:cs="Arial"/>
        </w:rPr>
        <w:t xml:space="preserve"> (</w:t>
      </w:r>
      <w:r w:rsidR="00B565FE" w:rsidRPr="00051B46">
        <w:rPr>
          <w:rFonts w:ascii="Arial" w:hAnsi="Arial" w:cs="Arial"/>
        </w:rPr>
        <w:t>120</w:t>
      </w:r>
      <w:r w:rsidR="00A3526D" w:rsidRPr="00051B46">
        <w:rPr>
          <w:rFonts w:ascii="Arial" w:hAnsi="Arial" w:cs="Arial"/>
        </w:rPr>
        <w:t>)</w:t>
      </w:r>
      <w:r w:rsidRPr="00051B46">
        <w:rPr>
          <w:rFonts w:ascii="Arial" w:hAnsi="Arial" w:cs="Arial"/>
        </w:rPr>
        <w:t>.</w:t>
      </w:r>
      <w:r w:rsidR="006C3DF5" w:rsidRPr="00051B46">
        <w:rPr>
          <w:rFonts w:ascii="Arial" w:hAnsi="Arial" w:cs="Arial"/>
        </w:rPr>
        <w:t xml:space="preserve"> MR spectroscopy derived proton density fat fraction (</w:t>
      </w:r>
      <w:r w:rsidR="00492A14" w:rsidRPr="00051B46">
        <w:rPr>
          <w:rFonts w:ascii="Arial" w:hAnsi="Arial" w:cs="Arial"/>
        </w:rPr>
        <w:t>MR-</w:t>
      </w:r>
      <w:r w:rsidR="006C3DF5" w:rsidRPr="00051B46">
        <w:rPr>
          <w:rFonts w:ascii="Arial" w:hAnsi="Arial" w:cs="Arial"/>
        </w:rPr>
        <w:t xml:space="preserve">PDFF) </w:t>
      </w:r>
      <w:r w:rsidR="00FE0BD9" w:rsidRPr="00051B46">
        <w:rPr>
          <w:rFonts w:ascii="Arial" w:hAnsi="Arial" w:cs="Arial"/>
        </w:rPr>
        <w:t>has</w:t>
      </w:r>
      <w:r w:rsidR="00485D41" w:rsidRPr="00051B46">
        <w:rPr>
          <w:rFonts w:ascii="Arial" w:hAnsi="Arial" w:cs="Arial"/>
        </w:rPr>
        <w:t xml:space="preserve"> </w:t>
      </w:r>
      <w:r w:rsidR="00492A14" w:rsidRPr="00051B46">
        <w:rPr>
          <w:rFonts w:ascii="Arial" w:hAnsi="Arial" w:cs="Arial"/>
        </w:rPr>
        <w:t>recently evolved into a simpler and easier to standardize method for multicenter studies examining the effect of liver steatosis of new agents for the treatment of NASH</w:t>
      </w:r>
      <w:r w:rsidR="00A3526D" w:rsidRPr="00051B46">
        <w:rPr>
          <w:rFonts w:ascii="Arial" w:hAnsi="Arial" w:cs="Arial"/>
        </w:rPr>
        <w:t xml:space="preserve"> (</w:t>
      </w:r>
      <w:r w:rsidR="00B2747B" w:rsidRPr="00051B46">
        <w:rPr>
          <w:rFonts w:ascii="Arial" w:hAnsi="Arial" w:cs="Arial"/>
        </w:rPr>
        <w:t>9</w:t>
      </w:r>
      <w:r w:rsidR="00A3526D" w:rsidRPr="00051B46">
        <w:rPr>
          <w:rFonts w:ascii="Arial" w:hAnsi="Arial" w:cs="Arial"/>
        </w:rPr>
        <w:t>,</w:t>
      </w:r>
      <w:r w:rsidR="002C1904" w:rsidRPr="00051B46">
        <w:rPr>
          <w:rFonts w:ascii="Arial" w:hAnsi="Arial" w:cs="Arial"/>
        </w:rPr>
        <w:t>108,114</w:t>
      </w:r>
      <w:r w:rsidR="00A3526D" w:rsidRPr="00051B46">
        <w:rPr>
          <w:rFonts w:ascii="Arial" w:hAnsi="Arial" w:cs="Arial"/>
        </w:rPr>
        <w:t>)</w:t>
      </w:r>
      <w:r w:rsidR="00474B40" w:rsidRPr="00051B46">
        <w:rPr>
          <w:rFonts w:ascii="Arial" w:hAnsi="Arial" w:cs="Arial"/>
        </w:rPr>
        <w:t>.</w:t>
      </w:r>
      <w:r w:rsidR="00492A14" w:rsidRPr="00051B46">
        <w:rPr>
          <w:rFonts w:ascii="Arial" w:hAnsi="Arial" w:cs="Arial"/>
        </w:rPr>
        <w:t xml:space="preserve"> It has </w:t>
      </w:r>
      <w:r w:rsidR="00FE0BD9" w:rsidRPr="00051B46">
        <w:rPr>
          <w:rFonts w:ascii="Arial" w:hAnsi="Arial" w:cs="Arial"/>
        </w:rPr>
        <w:t>shown</w:t>
      </w:r>
      <w:r w:rsidR="003110C3" w:rsidRPr="00051B46">
        <w:rPr>
          <w:rFonts w:ascii="Arial" w:hAnsi="Arial" w:cs="Arial"/>
        </w:rPr>
        <w:t xml:space="preserve"> better diagnostic and grading capabilities for liver </w:t>
      </w:r>
      <w:r w:rsidR="00FE0BD9" w:rsidRPr="00051B46">
        <w:rPr>
          <w:rFonts w:ascii="Arial" w:hAnsi="Arial" w:cs="Arial"/>
        </w:rPr>
        <w:t>steatosis when compared with controlled attenuation parameter modality using transient elastography</w:t>
      </w:r>
      <w:r w:rsidR="00A3526D" w:rsidRPr="00051B46">
        <w:rPr>
          <w:rFonts w:ascii="Arial" w:hAnsi="Arial" w:cs="Arial"/>
        </w:rPr>
        <w:t xml:space="preserve"> (</w:t>
      </w:r>
      <w:r w:rsidR="002C1904" w:rsidRPr="00051B46">
        <w:rPr>
          <w:rFonts w:ascii="Arial" w:hAnsi="Arial" w:cs="Arial"/>
        </w:rPr>
        <w:t>122</w:t>
      </w:r>
      <w:r w:rsidR="00A3526D" w:rsidRPr="00051B46">
        <w:rPr>
          <w:rFonts w:ascii="Arial" w:hAnsi="Arial" w:cs="Arial"/>
        </w:rPr>
        <w:t>)</w:t>
      </w:r>
      <w:r w:rsidR="00FE0BD9" w:rsidRPr="00051B46">
        <w:rPr>
          <w:rFonts w:ascii="Arial" w:hAnsi="Arial" w:cs="Arial"/>
        </w:rPr>
        <w:t>.</w:t>
      </w:r>
      <w:r w:rsidR="00512C7A" w:rsidRPr="00051B46">
        <w:rPr>
          <w:rFonts w:ascii="Arial" w:hAnsi="Arial" w:cs="Arial"/>
        </w:rPr>
        <w:t xml:space="preserve"> </w:t>
      </w:r>
      <w:r w:rsidR="009A319D" w:rsidRPr="00051B46">
        <w:rPr>
          <w:rFonts w:ascii="Arial" w:hAnsi="Arial" w:cs="Arial"/>
        </w:rPr>
        <w:t xml:space="preserve">However, </w:t>
      </w:r>
      <w:r w:rsidRPr="00051B46">
        <w:rPr>
          <w:rFonts w:ascii="Arial" w:hAnsi="Arial" w:cs="Arial"/>
        </w:rPr>
        <w:t>MR</w:t>
      </w:r>
      <w:r w:rsidR="00D8519A" w:rsidRPr="00051B46">
        <w:rPr>
          <w:rFonts w:ascii="Arial" w:hAnsi="Arial" w:cs="Arial"/>
        </w:rPr>
        <w:t xml:space="preserve"> spectroscopy</w:t>
      </w:r>
      <w:r w:rsidRPr="00051B46">
        <w:rPr>
          <w:rFonts w:ascii="Arial" w:hAnsi="Arial" w:cs="Arial"/>
        </w:rPr>
        <w:t xml:space="preserve"> </w:t>
      </w:r>
      <w:r w:rsidR="009A319D" w:rsidRPr="00051B46">
        <w:rPr>
          <w:rFonts w:ascii="Arial" w:hAnsi="Arial" w:cs="Arial"/>
        </w:rPr>
        <w:t>remains an expensive test available mostly in academic centers, and</w:t>
      </w:r>
      <w:r w:rsidRPr="00051B46">
        <w:rPr>
          <w:rFonts w:ascii="Arial" w:hAnsi="Arial" w:cs="Arial"/>
        </w:rPr>
        <w:t xml:space="preserve"> require</w:t>
      </w:r>
      <w:r w:rsidR="009A319D" w:rsidRPr="00051B46">
        <w:rPr>
          <w:rFonts w:ascii="Arial" w:hAnsi="Arial" w:cs="Arial"/>
        </w:rPr>
        <w:t>s</w:t>
      </w:r>
      <w:r w:rsidRPr="00051B46">
        <w:rPr>
          <w:rFonts w:ascii="Arial" w:hAnsi="Arial" w:cs="Arial"/>
        </w:rPr>
        <w:t xml:space="preserve"> special expertise for performance and analysis of the test</w:t>
      </w:r>
      <w:r w:rsidR="00A3526D" w:rsidRPr="00051B46">
        <w:rPr>
          <w:rFonts w:ascii="Arial" w:hAnsi="Arial" w:cs="Arial"/>
        </w:rPr>
        <w:t xml:space="preserve"> (</w:t>
      </w:r>
      <w:r w:rsidR="002C1904" w:rsidRPr="00051B46">
        <w:rPr>
          <w:rFonts w:ascii="Arial" w:hAnsi="Arial" w:cs="Arial"/>
        </w:rPr>
        <w:t>108</w:t>
      </w:r>
      <w:r w:rsidR="00A3526D" w:rsidRPr="00051B46">
        <w:rPr>
          <w:rFonts w:ascii="Arial" w:hAnsi="Arial" w:cs="Arial"/>
        </w:rPr>
        <w:t>)</w:t>
      </w:r>
      <w:r w:rsidRPr="00051B46">
        <w:rPr>
          <w:rFonts w:ascii="Arial" w:hAnsi="Arial" w:cs="Arial"/>
        </w:rPr>
        <w:t>.</w:t>
      </w:r>
      <w:r w:rsidR="00A3526D" w:rsidRPr="00051B46">
        <w:rPr>
          <w:rFonts w:ascii="Arial" w:hAnsi="Arial" w:cs="Arial"/>
        </w:rPr>
        <w:t xml:space="preserve"> </w:t>
      </w:r>
    </w:p>
    <w:p w14:paraId="2580E0D5" w14:textId="77777777" w:rsidR="00DA493A" w:rsidRPr="00051B46" w:rsidRDefault="00DA493A" w:rsidP="002506B3">
      <w:pPr>
        <w:spacing w:after="0" w:line="276" w:lineRule="auto"/>
        <w:rPr>
          <w:rFonts w:ascii="Arial" w:hAnsi="Arial" w:cs="Arial"/>
        </w:rPr>
      </w:pPr>
    </w:p>
    <w:p w14:paraId="12384ED0" w14:textId="59897752" w:rsidR="00AD19C2" w:rsidRPr="00051B46" w:rsidRDefault="00862683" w:rsidP="002506B3">
      <w:pPr>
        <w:tabs>
          <w:tab w:val="left" w:pos="2348"/>
        </w:tabs>
        <w:spacing w:after="0" w:line="276" w:lineRule="auto"/>
        <w:rPr>
          <w:rFonts w:ascii="Arial" w:hAnsi="Arial" w:cs="Arial"/>
          <w:bCs/>
        </w:rPr>
      </w:pPr>
      <w:r w:rsidRPr="00051B46">
        <w:rPr>
          <w:rFonts w:ascii="Arial" w:hAnsi="Arial" w:cs="Arial"/>
          <w:bCs/>
        </w:rPr>
        <w:t>M</w:t>
      </w:r>
      <w:r w:rsidR="00A3526D" w:rsidRPr="00051B46">
        <w:rPr>
          <w:rFonts w:ascii="Arial" w:hAnsi="Arial" w:cs="Arial"/>
          <w:bCs/>
        </w:rPr>
        <w:t>EASUREMENT OF LIVER FIBROSIS</w:t>
      </w:r>
      <w:r w:rsidRPr="00051B46">
        <w:rPr>
          <w:rFonts w:ascii="Arial" w:hAnsi="Arial" w:cs="Arial"/>
          <w:bCs/>
        </w:rPr>
        <w:t xml:space="preserve"> </w:t>
      </w:r>
    </w:p>
    <w:p w14:paraId="754520CC" w14:textId="77777777" w:rsidR="00A3526D" w:rsidRPr="00051B46" w:rsidRDefault="00A3526D" w:rsidP="002506B3">
      <w:pPr>
        <w:spacing w:after="0" w:line="276" w:lineRule="auto"/>
        <w:rPr>
          <w:rFonts w:ascii="Arial" w:hAnsi="Arial" w:cs="Arial"/>
          <w:b/>
        </w:rPr>
      </w:pPr>
    </w:p>
    <w:p w14:paraId="313CB65D" w14:textId="25517C9D" w:rsidR="00A3526D" w:rsidRPr="00051B46" w:rsidRDefault="00E84E68" w:rsidP="002506B3">
      <w:pPr>
        <w:spacing w:after="0" w:line="276" w:lineRule="auto"/>
        <w:rPr>
          <w:rFonts w:ascii="Arial" w:hAnsi="Arial" w:cs="Arial"/>
          <w:bCs/>
          <w:i/>
          <w:iCs/>
        </w:rPr>
      </w:pPr>
      <w:r w:rsidRPr="00051B46">
        <w:rPr>
          <w:rFonts w:ascii="Arial" w:hAnsi="Arial" w:cs="Arial"/>
          <w:bCs/>
          <w:i/>
          <w:iCs/>
        </w:rPr>
        <w:t xml:space="preserve">Liver </w:t>
      </w:r>
      <w:r w:rsidR="00A3526D" w:rsidRPr="00051B46">
        <w:rPr>
          <w:rFonts w:ascii="Arial" w:hAnsi="Arial" w:cs="Arial"/>
          <w:bCs/>
          <w:i/>
          <w:iCs/>
        </w:rPr>
        <w:t>S</w:t>
      </w:r>
      <w:r w:rsidRPr="00051B46">
        <w:rPr>
          <w:rFonts w:ascii="Arial" w:hAnsi="Arial" w:cs="Arial"/>
          <w:bCs/>
          <w:i/>
          <w:iCs/>
        </w:rPr>
        <w:t xml:space="preserve">tiffness </w:t>
      </w:r>
      <w:r w:rsidR="00A3526D" w:rsidRPr="00051B46">
        <w:rPr>
          <w:rFonts w:ascii="Arial" w:hAnsi="Arial" w:cs="Arial"/>
          <w:bCs/>
          <w:i/>
          <w:iCs/>
        </w:rPr>
        <w:t>M</w:t>
      </w:r>
      <w:r w:rsidRPr="00051B46">
        <w:rPr>
          <w:rFonts w:ascii="Arial" w:hAnsi="Arial" w:cs="Arial"/>
          <w:bCs/>
          <w:i/>
          <w:iCs/>
        </w:rPr>
        <w:t xml:space="preserve">easurement (LSM; </w:t>
      </w:r>
      <w:proofErr w:type="spellStart"/>
      <w:r w:rsidRPr="00051B46">
        <w:rPr>
          <w:rFonts w:ascii="Arial" w:hAnsi="Arial" w:cs="Arial"/>
          <w:bCs/>
          <w:i/>
          <w:iCs/>
        </w:rPr>
        <w:t>Fibroscan</w:t>
      </w:r>
      <w:proofErr w:type="spellEnd"/>
      <w:r w:rsidRPr="00051B46">
        <w:rPr>
          <w:rFonts w:ascii="Arial" w:hAnsi="Arial" w:cs="Arial"/>
          <w:bCs/>
          <w:i/>
          <w:iCs/>
          <w:vertAlign w:val="superscript"/>
        </w:rPr>
        <w:sym w:font="Symbol" w:char="F0D2"/>
      </w:r>
      <w:r w:rsidRPr="00051B46">
        <w:rPr>
          <w:rFonts w:ascii="Arial" w:hAnsi="Arial" w:cs="Arial"/>
          <w:bCs/>
          <w:i/>
          <w:iCs/>
        </w:rPr>
        <w:t>)</w:t>
      </w:r>
    </w:p>
    <w:p w14:paraId="32E4151E" w14:textId="77777777" w:rsidR="00A3526D" w:rsidRPr="00051B46" w:rsidRDefault="00A3526D" w:rsidP="002506B3">
      <w:pPr>
        <w:spacing w:after="0" w:line="276" w:lineRule="auto"/>
        <w:rPr>
          <w:rFonts w:ascii="Arial" w:hAnsi="Arial" w:cs="Arial"/>
          <w:b/>
        </w:rPr>
      </w:pPr>
    </w:p>
    <w:p w14:paraId="6F0DFF9D" w14:textId="0A882FAE" w:rsidR="004460DB" w:rsidRPr="00051B46" w:rsidRDefault="00862683" w:rsidP="002506B3">
      <w:pPr>
        <w:spacing w:after="0" w:line="276" w:lineRule="auto"/>
        <w:rPr>
          <w:rFonts w:ascii="Arial" w:hAnsi="Arial" w:cs="Arial"/>
        </w:rPr>
      </w:pPr>
      <w:r w:rsidRPr="00051B46">
        <w:rPr>
          <w:rFonts w:ascii="Arial" w:hAnsi="Arial" w:cs="Arial"/>
        </w:rPr>
        <w:t xml:space="preserve">Liver fibrosis </w:t>
      </w:r>
      <w:r w:rsidR="00530420" w:rsidRPr="00051B46">
        <w:rPr>
          <w:rFonts w:ascii="Arial" w:hAnsi="Arial" w:cs="Arial"/>
        </w:rPr>
        <w:t xml:space="preserve">can be </w:t>
      </w:r>
      <w:r w:rsidRPr="00051B46">
        <w:rPr>
          <w:rFonts w:ascii="Arial" w:hAnsi="Arial" w:cs="Arial"/>
        </w:rPr>
        <w:t xml:space="preserve">assessed </w:t>
      </w:r>
      <w:r w:rsidR="00530420" w:rsidRPr="00051B46">
        <w:rPr>
          <w:rFonts w:ascii="Arial" w:hAnsi="Arial" w:cs="Arial"/>
        </w:rPr>
        <w:t xml:space="preserve">in the clinic or bedside </w:t>
      </w:r>
      <w:r w:rsidR="00CF16FF" w:rsidRPr="00051B46">
        <w:rPr>
          <w:rFonts w:ascii="Arial" w:hAnsi="Arial" w:cs="Arial"/>
        </w:rPr>
        <w:t>by measuring the “stiffness” of the liver</w:t>
      </w:r>
      <w:r w:rsidRPr="00051B46">
        <w:rPr>
          <w:rFonts w:ascii="Arial" w:hAnsi="Arial" w:cs="Arial"/>
        </w:rPr>
        <w:t xml:space="preserve">. </w:t>
      </w:r>
      <w:r w:rsidR="00CF16FF" w:rsidRPr="00051B46">
        <w:rPr>
          <w:rFonts w:ascii="Arial" w:hAnsi="Arial" w:cs="Arial"/>
        </w:rPr>
        <w:t xml:space="preserve"> </w:t>
      </w:r>
      <w:r w:rsidR="00530420" w:rsidRPr="00051B46">
        <w:rPr>
          <w:rFonts w:ascii="Arial" w:hAnsi="Arial" w:cs="Arial"/>
        </w:rPr>
        <w:t xml:space="preserve">The LSM is estimated by using vibration controlled transient elastography or </w:t>
      </w:r>
      <w:r w:rsidR="00530420" w:rsidRPr="00051B46">
        <w:rPr>
          <w:rFonts w:ascii="Arial" w:hAnsi="Arial" w:cs="Arial"/>
        </w:rPr>
        <w:lastRenderedPageBreak/>
        <w:t>VCTE (</w:t>
      </w:r>
      <w:proofErr w:type="spellStart"/>
      <w:r w:rsidR="00530420" w:rsidRPr="00051B46">
        <w:rPr>
          <w:rFonts w:ascii="Arial" w:hAnsi="Arial" w:cs="Arial"/>
        </w:rPr>
        <w:t>Fibroscan</w:t>
      </w:r>
      <w:proofErr w:type="spellEnd"/>
      <w:r w:rsidR="00530420" w:rsidRPr="00051B46">
        <w:rPr>
          <w:rFonts w:ascii="Arial" w:hAnsi="Arial" w:cs="Arial"/>
          <w:vertAlign w:val="superscript"/>
        </w:rPr>
        <w:sym w:font="Symbol" w:char="F0D2"/>
      </w:r>
      <w:r w:rsidR="00530420" w:rsidRPr="00051B46">
        <w:rPr>
          <w:rFonts w:ascii="Arial" w:hAnsi="Arial" w:cs="Arial"/>
        </w:rPr>
        <w:t xml:space="preserve">) </w:t>
      </w:r>
      <w:r w:rsidR="00B12E8B" w:rsidRPr="00051B46">
        <w:rPr>
          <w:rFonts w:ascii="Arial" w:hAnsi="Arial" w:cs="Arial"/>
        </w:rPr>
        <w:t xml:space="preserve">to assess presence and </w:t>
      </w:r>
      <w:r w:rsidR="00530420" w:rsidRPr="00051B46">
        <w:rPr>
          <w:rFonts w:ascii="Arial" w:hAnsi="Arial" w:cs="Arial"/>
        </w:rPr>
        <w:t xml:space="preserve">severity of </w:t>
      </w:r>
      <w:r w:rsidR="00B12E8B" w:rsidRPr="00051B46">
        <w:rPr>
          <w:rFonts w:ascii="Arial" w:hAnsi="Arial" w:cs="Arial"/>
        </w:rPr>
        <w:t xml:space="preserve">fibrosis. </w:t>
      </w:r>
      <w:r w:rsidR="006F17F5" w:rsidRPr="00051B46">
        <w:rPr>
          <w:rFonts w:ascii="Arial" w:hAnsi="Arial" w:cs="Arial"/>
        </w:rPr>
        <w:t xml:space="preserve">This modality also allows for a </w:t>
      </w:r>
      <w:r w:rsidR="00530420" w:rsidRPr="00051B46">
        <w:rPr>
          <w:rFonts w:ascii="Arial" w:hAnsi="Arial" w:cs="Arial"/>
        </w:rPr>
        <w:t>reasonably</w:t>
      </w:r>
      <w:r w:rsidR="006F17F5" w:rsidRPr="00051B46">
        <w:rPr>
          <w:rFonts w:ascii="Arial" w:hAnsi="Arial" w:cs="Arial"/>
        </w:rPr>
        <w:t xml:space="preserve"> accurate quantification of the degree of fibrosis</w:t>
      </w:r>
      <w:r w:rsidR="00530420" w:rsidRPr="00051B46">
        <w:rPr>
          <w:rFonts w:ascii="Arial" w:hAnsi="Arial" w:cs="Arial"/>
        </w:rPr>
        <w:t xml:space="preserve"> and hence,</w:t>
      </w:r>
      <w:r w:rsidR="006F17F5" w:rsidRPr="00051B46">
        <w:rPr>
          <w:rFonts w:ascii="Arial" w:hAnsi="Arial" w:cs="Arial"/>
        </w:rPr>
        <w:t xml:space="preserve"> prognos</w:t>
      </w:r>
      <w:r w:rsidR="00530420" w:rsidRPr="00051B46">
        <w:rPr>
          <w:rFonts w:ascii="Arial" w:hAnsi="Arial" w:cs="Arial"/>
        </w:rPr>
        <w:t>is</w:t>
      </w:r>
      <w:r w:rsidR="00A3526D" w:rsidRPr="00051B46">
        <w:rPr>
          <w:rFonts w:ascii="Arial" w:hAnsi="Arial" w:cs="Arial"/>
        </w:rPr>
        <w:t xml:space="preserve"> (</w:t>
      </w:r>
      <w:r w:rsidR="002C1904" w:rsidRPr="00051B46">
        <w:rPr>
          <w:rFonts w:ascii="Arial" w:hAnsi="Arial" w:cs="Arial"/>
        </w:rPr>
        <w:t>108</w:t>
      </w:r>
      <w:r w:rsidR="00B2747B" w:rsidRPr="00051B46">
        <w:rPr>
          <w:rFonts w:ascii="Arial" w:hAnsi="Arial" w:cs="Arial"/>
        </w:rPr>
        <w:t>,</w:t>
      </w:r>
      <w:r w:rsidR="002C1904" w:rsidRPr="00051B46">
        <w:rPr>
          <w:rFonts w:ascii="Arial" w:hAnsi="Arial" w:cs="Arial"/>
        </w:rPr>
        <w:t>92</w:t>
      </w:r>
      <w:r w:rsidR="00A3526D" w:rsidRPr="00051B46">
        <w:rPr>
          <w:rFonts w:ascii="Arial" w:hAnsi="Arial" w:cs="Arial"/>
        </w:rPr>
        <w:t>)</w:t>
      </w:r>
      <w:r w:rsidR="006F17F5" w:rsidRPr="00051B46">
        <w:rPr>
          <w:rFonts w:ascii="Arial" w:hAnsi="Arial" w:cs="Arial"/>
        </w:rPr>
        <w:t xml:space="preserve">. </w:t>
      </w:r>
      <w:r w:rsidR="00CC549B" w:rsidRPr="00051B46">
        <w:rPr>
          <w:rFonts w:ascii="Arial" w:hAnsi="Arial" w:cs="Arial"/>
        </w:rPr>
        <w:t xml:space="preserve"> </w:t>
      </w:r>
      <w:r w:rsidR="00CF16FF" w:rsidRPr="00051B46">
        <w:rPr>
          <w:rFonts w:ascii="Arial" w:hAnsi="Arial" w:cs="Arial"/>
        </w:rPr>
        <w:t>It is a quick</w:t>
      </w:r>
      <w:r w:rsidR="00530420" w:rsidRPr="00051B46">
        <w:rPr>
          <w:rFonts w:ascii="Arial" w:hAnsi="Arial" w:cs="Arial"/>
        </w:rPr>
        <w:t xml:space="preserve"> (10 minutes)</w:t>
      </w:r>
      <w:r w:rsidR="00CF16FF" w:rsidRPr="00051B46">
        <w:rPr>
          <w:rFonts w:ascii="Arial" w:hAnsi="Arial" w:cs="Arial"/>
        </w:rPr>
        <w:t>, easy</w:t>
      </w:r>
      <w:r w:rsidR="00A3526D" w:rsidRPr="00051B46">
        <w:rPr>
          <w:rFonts w:ascii="Arial" w:hAnsi="Arial" w:cs="Arial"/>
        </w:rPr>
        <w:t>,</w:t>
      </w:r>
      <w:r w:rsidR="00CF16FF" w:rsidRPr="00051B46">
        <w:rPr>
          <w:rFonts w:ascii="Arial" w:hAnsi="Arial" w:cs="Arial"/>
        </w:rPr>
        <w:t xml:space="preserve"> and economical tool for assessment, however the </w:t>
      </w:r>
      <w:r w:rsidR="00A3526D" w:rsidRPr="00051B46">
        <w:rPr>
          <w:rFonts w:ascii="Arial" w:hAnsi="Arial" w:cs="Arial"/>
        </w:rPr>
        <w:t xml:space="preserve">test </w:t>
      </w:r>
      <w:r w:rsidR="00530420" w:rsidRPr="00051B46">
        <w:rPr>
          <w:rFonts w:ascii="Arial" w:hAnsi="Arial" w:cs="Arial"/>
        </w:rPr>
        <w:t>requires a 3-hour fast,</w:t>
      </w:r>
      <w:r w:rsidR="00CC549B" w:rsidRPr="00051B46">
        <w:rPr>
          <w:rFonts w:ascii="Arial" w:hAnsi="Arial" w:cs="Arial"/>
        </w:rPr>
        <w:t xml:space="preserve"> </w:t>
      </w:r>
      <w:r w:rsidR="00530420" w:rsidRPr="00051B46">
        <w:rPr>
          <w:rFonts w:ascii="Arial" w:hAnsi="Arial" w:cs="Arial"/>
        </w:rPr>
        <w:t>and in obese people liver fibrosis cannot be</w:t>
      </w:r>
      <w:r w:rsidR="00CF16FF" w:rsidRPr="00051B46">
        <w:rPr>
          <w:rFonts w:ascii="Arial" w:hAnsi="Arial" w:cs="Arial"/>
        </w:rPr>
        <w:t xml:space="preserve"> always </w:t>
      </w:r>
      <w:r w:rsidR="00530420" w:rsidRPr="00051B46">
        <w:rPr>
          <w:rFonts w:ascii="Arial" w:hAnsi="Arial" w:cs="Arial"/>
        </w:rPr>
        <w:t xml:space="preserve">estimated </w:t>
      </w:r>
      <w:r w:rsidR="00CF16FF" w:rsidRPr="00051B46">
        <w:rPr>
          <w:rFonts w:ascii="Arial" w:hAnsi="Arial" w:cs="Arial"/>
        </w:rPr>
        <w:t>and performance is worse</w:t>
      </w:r>
      <w:r w:rsidR="00530420" w:rsidRPr="00051B46">
        <w:rPr>
          <w:rFonts w:ascii="Arial" w:hAnsi="Arial" w:cs="Arial"/>
        </w:rPr>
        <w:t xml:space="preserve"> (particularly when BMI ≥40 kg/m</w:t>
      </w:r>
      <w:r w:rsidR="00530420" w:rsidRPr="00051B46">
        <w:rPr>
          <w:rFonts w:ascii="Arial" w:hAnsi="Arial" w:cs="Arial"/>
          <w:vertAlign w:val="superscript"/>
        </w:rPr>
        <w:t>2</w:t>
      </w:r>
      <w:r w:rsidR="00530420" w:rsidRPr="00051B46">
        <w:rPr>
          <w:rFonts w:ascii="Arial" w:hAnsi="Arial" w:cs="Arial"/>
        </w:rPr>
        <w:t>)</w:t>
      </w:r>
      <w:r w:rsidR="00A3526D" w:rsidRPr="00051B46">
        <w:rPr>
          <w:rFonts w:ascii="Arial" w:hAnsi="Arial" w:cs="Arial"/>
        </w:rPr>
        <w:t xml:space="preserve"> (</w:t>
      </w:r>
      <w:r w:rsidR="002C1904" w:rsidRPr="00051B46">
        <w:rPr>
          <w:rFonts w:ascii="Arial" w:hAnsi="Arial" w:cs="Arial"/>
        </w:rPr>
        <w:t>108</w:t>
      </w:r>
      <w:r w:rsidR="00A3526D" w:rsidRPr="00051B46">
        <w:rPr>
          <w:rFonts w:ascii="Arial" w:hAnsi="Arial" w:cs="Arial"/>
        </w:rPr>
        <w:t>)</w:t>
      </w:r>
      <w:r w:rsidR="00CF16FF" w:rsidRPr="00051B46">
        <w:rPr>
          <w:rFonts w:ascii="Arial" w:hAnsi="Arial" w:cs="Arial"/>
        </w:rPr>
        <w:t>.</w:t>
      </w:r>
      <w:r w:rsidR="00245464" w:rsidRPr="00051B46">
        <w:rPr>
          <w:rFonts w:ascii="Arial" w:hAnsi="Arial" w:cs="Arial"/>
        </w:rPr>
        <w:t xml:space="preserve"> </w:t>
      </w:r>
      <w:r w:rsidR="008E6F59" w:rsidRPr="00051B46">
        <w:rPr>
          <w:rFonts w:ascii="Arial" w:hAnsi="Arial" w:cs="Arial"/>
        </w:rPr>
        <w:t>At present, t</w:t>
      </w:r>
      <w:r w:rsidR="00245464" w:rsidRPr="00051B46">
        <w:rPr>
          <w:rFonts w:ascii="Arial" w:hAnsi="Arial" w:cs="Arial"/>
        </w:rPr>
        <w:t>h</w:t>
      </w:r>
      <w:r w:rsidR="00CC549B" w:rsidRPr="00051B46">
        <w:rPr>
          <w:rFonts w:ascii="Arial" w:hAnsi="Arial" w:cs="Arial"/>
        </w:rPr>
        <w:t>is</w:t>
      </w:r>
      <w:r w:rsidR="00245464" w:rsidRPr="00051B46">
        <w:rPr>
          <w:rFonts w:ascii="Arial" w:hAnsi="Arial" w:cs="Arial"/>
        </w:rPr>
        <w:t xml:space="preserve"> test is not FDA-approved to be performed in patients with a pacemaker or during pregnancy.</w:t>
      </w:r>
    </w:p>
    <w:p w14:paraId="3A33AA2D" w14:textId="77777777" w:rsidR="00A3526D" w:rsidRPr="00051B46" w:rsidRDefault="00A3526D" w:rsidP="002506B3">
      <w:pPr>
        <w:spacing w:after="0" w:line="276" w:lineRule="auto"/>
        <w:rPr>
          <w:rFonts w:ascii="Arial" w:hAnsi="Arial" w:cs="Arial"/>
          <w:b/>
        </w:rPr>
      </w:pPr>
    </w:p>
    <w:p w14:paraId="20FC8334" w14:textId="36E8643A" w:rsidR="00A3526D" w:rsidRPr="00051B46" w:rsidRDefault="00CF16FF" w:rsidP="002506B3">
      <w:pPr>
        <w:spacing w:after="0" w:line="276" w:lineRule="auto"/>
        <w:rPr>
          <w:rFonts w:ascii="Arial" w:hAnsi="Arial" w:cs="Arial"/>
          <w:bCs/>
          <w:i/>
          <w:iCs/>
        </w:rPr>
      </w:pPr>
      <w:r w:rsidRPr="00051B46">
        <w:rPr>
          <w:rFonts w:ascii="Arial" w:hAnsi="Arial" w:cs="Arial"/>
          <w:bCs/>
          <w:i/>
          <w:iCs/>
        </w:rPr>
        <w:t xml:space="preserve">MR </w:t>
      </w:r>
      <w:r w:rsidR="00A3526D" w:rsidRPr="00051B46">
        <w:rPr>
          <w:rFonts w:ascii="Arial" w:hAnsi="Arial" w:cs="Arial"/>
          <w:bCs/>
          <w:i/>
          <w:iCs/>
        </w:rPr>
        <w:t>E</w:t>
      </w:r>
      <w:r w:rsidRPr="00051B46">
        <w:rPr>
          <w:rFonts w:ascii="Arial" w:hAnsi="Arial" w:cs="Arial"/>
          <w:bCs/>
          <w:i/>
          <w:iCs/>
        </w:rPr>
        <w:t xml:space="preserve">lastography </w:t>
      </w:r>
    </w:p>
    <w:p w14:paraId="0CFE0008" w14:textId="77777777" w:rsidR="00A3526D" w:rsidRPr="00051B46" w:rsidRDefault="00A3526D" w:rsidP="002506B3">
      <w:pPr>
        <w:spacing w:after="0" w:line="276" w:lineRule="auto"/>
        <w:rPr>
          <w:rFonts w:ascii="Arial" w:hAnsi="Arial" w:cs="Arial"/>
        </w:rPr>
      </w:pPr>
    </w:p>
    <w:p w14:paraId="2C65CF52" w14:textId="784DEF8C" w:rsidR="004460DB" w:rsidRPr="00051B46" w:rsidRDefault="00862683" w:rsidP="002506B3">
      <w:pPr>
        <w:spacing w:after="0" w:line="276" w:lineRule="auto"/>
        <w:rPr>
          <w:rFonts w:ascii="Arial" w:hAnsi="Arial" w:cs="Arial"/>
        </w:rPr>
      </w:pPr>
      <w:r w:rsidRPr="00051B46">
        <w:rPr>
          <w:rFonts w:ascii="Arial" w:hAnsi="Arial" w:cs="Arial"/>
        </w:rPr>
        <w:t xml:space="preserve">This modality </w:t>
      </w:r>
      <w:r w:rsidR="00245464" w:rsidRPr="00051B46">
        <w:rPr>
          <w:rFonts w:ascii="Arial" w:hAnsi="Arial" w:cs="Arial"/>
        </w:rPr>
        <w:t xml:space="preserve">is based on the same </w:t>
      </w:r>
      <w:r w:rsidR="00847B5F" w:rsidRPr="00051B46">
        <w:rPr>
          <w:rFonts w:ascii="Arial" w:hAnsi="Arial" w:cs="Arial"/>
        </w:rPr>
        <w:t xml:space="preserve">principle of </w:t>
      </w:r>
      <w:r w:rsidR="00245464" w:rsidRPr="00051B46">
        <w:rPr>
          <w:rFonts w:ascii="Arial" w:hAnsi="Arial" w:cs="Arial"/>
        </w:rPr>
        <w:t xml:space="preserve">liver “stiffness” as VCTE but </w:t>
      </w:r>
      <w:r w:rsidR="00847B5F" w:rsidRPr="00051B46">
        <w:rPr>
          <w:rFonts w:ascii="Arial" w:hAnsi="Arial" w:cs="Arial"/>
        </w:rPr>
        <w:t xml:space="preserve">it </w:t>
      </w:r>
      <w:r w:rsidR="00245464" w:rsidRPr="00051B46">
        <w:rPr>
          <w:rFonts w:ascii="Arial" w:hAnsi="Arial" w:cs="Arial"/>
        </w:rPr>
        <w:t xml:space="preserve">is a MR-based technique that </w:t>
      </w:r>
      <w:r w:rsidR="00CF16FF" w:rsidRPr="00051B46">
        <w:rPr>
          <w:rFonts w:ascii="Arial" w:hAnsi="Arial" w:cs="Arial"/>
        </w:rPr>
        <w:t>has a sensitivity of 86% and specificity of 91% for assessment of degree of fibrosis</w:t>
      </w:r>
      <w:r w:rsidR="00A3526D" w:rsidRPr="00051B46">
        <w:rPr>
          <w:rFonts w:ascii="Arial" w:hAnsi="Arial" w:cs="Arial"/>
        </w:rPr>
        <w:t xml:space="preserve"> (</w:t>
      </w:r>
      <w:r w:rsidR="002C1904" w:rsidRPr="00051B46">
        <w:rPr>
          <w:rFonts w:ascii="Arial" w:hAnsi="Arial" w:cs="Arial"/>
        </w:rPr>
        <w:t>108</w:t>
      </w:r>
      <w:r w:rsidR="00A3526D" w:rsidRPr="00051B46">
        <w:rPr>
          <w:rFonts w:ascii="Arial" w:hAnsi="Arial" w:cs="Arial"/>
        </w:rPr>
        <w:t>)</w:t>
      </w:r>
      <w:r w:rsidR="00CF16FF" w:rsidRPr="00051B46">
        <w:rPr>
          <w:rFonts w:ascii="Arial" w:hAnsi="Arial" w:cs="Arial"/>
        </w:rPr>
        <w:t xml:space="preserve">. It is shown to be superior to </w:t>
      </w:r>
      <w:r w:rsidR="00976A06" w:rsidRPr="00051B46">
        <w:rPr>
          <w:rFonts w:ascii="Arial" w:hAnsi="Arial" w:cs="Arial"/>
        </w:rPr>
        <w:t>VCTE</w:t>
      </w:r>
      <w:r w:rsidR="00CF16FF" w:rsidRPr="00051B46">
        <w:rPr>
          <w:rFonts w:ascii="Arial" w:hAnsi="Arial" w:cs="Arial"/>
        </w:rPr>
        <w:t xml:space="preserve">, especially in diagnosis of </w:t>
      </w:r>
      <w:r w:rsidR="00245464" w:rsidRPr="00051B46">
        <w:rPr>
          <w:rFonts w:ascii="Arial" w:hAnsi="Arial" w:cs="Arial"/>
        </w:rPr>
        <w:t xml:space="preserve">early as well as </w:t>
      </w:r>
      <w:r w:rsidR="00CF16FF" w:rsidRPr="00051B46">
        <w:rPr>
          <w:rFonts w:ascii="Arial" w:hAnsi="Arial" w:cs="Arial"/>
        </w:rPr>
        <w:t>advanced</w:t>
      </w:r>
      <w:r w:rsidR="009E0933" w:rsidRPr="00051B46">
        <w:rPr>
          <w:rFonts w:ascii="Arial" w:hAnsi="Arial" w:cs="Arial"/>
        </w:rPr>
        <w:t xml:space="preserve"> stages of</w:t>
      </w:r>
      <w:r w:rsidR="00CF16FF" w:rsidRPr="00051B46">
        <w:rPr>
          <w:rFonts w:ascii="Arial" w:hAnsi="Arial" w:cs="Arial"/>
        </w:rPr>
        <w:t xml:space="preserve"> fibrosis and cirrhosis. </w:t>
      </w:r>
      <w:r w:rsidRPr="00051B46">
        <w:rPr>
          <w:rFonts w:ascii="Arial" w:hAnsi="Arial" w:cs="Arial"/>
        </w:rPr>
        <w:t xml:space="preserve">It </w:t>
      </w:r>
      <w:r w:rsidR="00CF16FF" w:rsidRPr="00051B46">
        <w:rPr>
          <w:rFonts w:ascii="Arial" w:hAnsi="Arial" w:cs="Arial"/>
        </w:rPr>
        <w:t>is however much more expensive, requires special expertise to perform</w:t>
      </w:r>
      <w:r w:rsidR="00A3526D" w:rsidRPr="00051B46">
        <w:rPr>
          <w:rFonts w:ascii="Arial" w:hAnsi="Arial" w:cs="Arial"/>
        </w:rPr>
        <w:t>,</w:t>
      </w:r>
      <w:r w:rsidR="00CF16FF" w:rsidRPr="00051B46">
        <w:rPr>
          <w:rFonts w:ascii="Arial" w:hAnsi="Arial" w:cs="Arial"/>
        </w:rPr>
        <w:t xml:space="preserve"> and the current availability is limited. It also needs to take into account patient’s size and weight, any metal implants</w:t>
      </w:r>
      <w:r w:rsidR="00522FD7" w:rsidRPr="00051B46">
        <w:rPr>
          <w:rFonts w:ascii="Arial" w:hAnsi="Arial" w:cs="Arial"/>
        </w:rPr>
        <w:t>,</w:t>
      </w:r>
      <w:r w:rsidR="00CF16FF" w:rsidRPr="00051B46">
        <w:rPr>
          <w:rFonts w:ascii="Arial" w:hAnsi="Arial" w:cs="Arial"/>
        </w:rPr>
        <w:t xml:space="preserve"> as well as anxiety and claustrophobia during the procedure</w:t>
      </w:r>
      <w:r w:rsidR="00A3526D" w:rsidRPr="00051B46">
        <w:rPr>
          <w:rFonts w:ascii="Arial" w:hAnsi="Arial" w:cs="Arial"/>
        </w:rPr>
        <w:t xml:space="preserve"> (</w:t>
      </w:r>
      <w:r w:rsidR="002C1904" w:rsidRPr="00051B46">
        <w:rPr>
          <w:rFonts w:ascii="Arial" w:hAnsi="Arial" w:cs="Arial"/>
        </w:rPr>
        <w:t>92,108</w:t>
      </w:r>
      <w:r w:rsidR="00A3526D" w:rsidRPr="00051B46">
        <w:rPr>
          <w:rFonts w:ascii="Arial" w:hAnsi="Arial" w:cs="Arial"/>
        </w:rPr>
        <w:t>)</w:t>
      </w:r>
      <w:r w:rsidR="00CF16FF" w:rsidRPr="00051B46">
        <w:rPr>
          <w:rFonts w:ascii="Arial" w:hAnsi="Arial" w:cs="Arial"/>
        </w:rPr>
        <w:t>.</w:t>
      </w:r>
      <w:r w:rsidR="00023816" w:rsidRPr="00051B46">
        <w:rPr>
          <w:rFonts w:ascii="Arial" w:hAnsi="Arial" w:cs="Arial"/>
        </w:rPr>
        <w:t xml:space="preserve"> </w:t>
      </w:r>
    </w:p>
    <w:p w14:paraId="56DBA7CE" w14:textId="77777777" w:rsidR="004A17BE" w:rsidRPr="00051B46" w:rsidRDefault="004A17BE" w:rsidP="002506B3">
      <w:pPr>
        <w:spacing w:after="0" w:line="276" w:lineRule="auto"/>
        <w:rPr>
          <w:rFonts w:ascii="Arial" w:hAnsi="Arial" w:cs="Arial"/>
        </w:rPr>
      </w:pPr>
    </w:p>
    <w:p w14:paraId="336256AB" w14:textId="658AAFD7" w:rsidR="00B12E8B" w:rsidRPr="00051B46" w:rsidRDefault="00B12E8B" w:rsidP="002506B3">
      <w:pPr>
        <w:spacing w:after="0" w:line="276" w:lineRule="auto"/>
        <w:rPr>
          <w:rFonts w:ascii="Arial" w:hAnsi="Arial" w:cs="Arial"/>
          <w:i/>
          <w:iCs/>
        </w:rPr>
      </w:pPr>
      <w:r w:rsidRPr="00051B46">
        <w:rPr>
          <w:rFonts w:ascii="Arial" w:hAnsi="Arial" w:cs="Arial"/>
          <w:i/>
          <w:iCs/>
        </w:rPr>
        <w:t xml:space="preserve">Liver </w:t>
      </w:r>
      <w:r w:rsidR="000809F1" w:rsidRPr="00051B46">
        <w:rPr>
          <w:rFonts w:ascii="Arial" w:hAnsi="Arial" w:cs="Arial"/>
          <w:i/>
          <w:iCs/>
        </w:rPr>
        <w:t>B</w:t>
      </w:r>
      <w:r w:rsidRPr="00051B46">
        <w:rPr>
          <w:rFonts w:ascii="Arial" w:hAnsi="Arial" w:cs="Arial"/>
          <w:i/>
          <w:iCs/>
        </w:rPr>
        <w:t>iopsy</w:t>
      </w:r>
    </w:p>
    <w:p w14:paraId="1488C41E" w14:textId="77777777" w:rsidR="000809F1" w:rsidRPr="00051B46" w:rsidRDefault="000809F1" w:rsidP="002506B3">
      <w:pPr>
        <w:spacing w:after="0" w:line="276" w:lineRule="auto"/>
        <w:rPr>
          <w:rFonts w:ascii="Arial" w:hAnsi="Arial" w:cs="Arial"/>
          <w:b/>
          <w:bCs/>
        </w:rPr>
      </w:pPr>
    </w:p>
    <w:p w14:paraId="22F0CBD7" w14:textId="7E8EF1AB" w:rsidR="000809F1" w:rsidRPr="00051B46" w:rsidRDefault="0021500E" w:rsidP="002506B3">
      <w:pPr>
        <w:spacing w:after="0" w:line="276" w:lineRule="auto"/>
        <w:rPr>
          <w:rFonts w:ascii="Arial" w:hAnsi="Arial" w:cs="Arial"/>
        </w:rPr>
      </w:pPr>
      <w:r w:rsidRPr="00051B46">
        <w:rPr>
          <w:rFonts w:ascii="Arial" w:hAnsi="Arial" w:cs="Arial"/>
        </w:rPr>
        <w:t>Liver biopsy remains the gold</w:t>
      </w:r>
      <w:r w:rsidR="00CF3D26" w:rsidRPr="00051B46">
        <w:rPr>
          <w:rFonts w:ascii="Arial" w:hAnsi="Arial" w:cs="Arial"/>
        </w:rPr>
        <w:t>-</w:t>
      </w:r>
      <w:r w:rsidRPr="00051B46">
        <w:rPr>
          <w:rFonts w:ascii="Arial" w:hAnsi="Arial" w:cs="Arial"/>
        </w:rPr>
        <w:t>standard for diagnosis of NASH and for assessing the degree</w:t>
      </w:r>
      <w:r w:rsidR="00CF3D26" w:rsidRPr="00051B46">
        <w:rPr>
          <w:rFonts w:ascii="Arial" w:hAnsi="Arial" w:cs="Arial"/>
        </w:rPr>
        <w:t>/severity</w:t>
      </w:r>
      <w:r w:rsidRPr="00051B46">
        <w:rPr>
          <w:rFonts w:ascii="Arial" w:hAnsi="Arial" w:cs="Arial"/>
        </w:rPr>
        <w:t xml:space="preserve"> of fibrosis</w:t>
      </w:r>
      <w:r w:rsidR="000809F1" w:rsidRPr="00051B46">
        <w:rPr>
          <w:rFonts w:ascii="Arial" w:hAnsi="Arial" w:cs="Arial"/>
        </w:rPr>
        <w:t xml:space="preserve"> (</w:t>
      </w:r>
      <w:r w:rsidR="00B2747B" w:rsidRPr="00051B46">
        <w:rPr>
          <w:rFonts w:ascii="Arial" w:hAnsi="Arial" w:cs="Arial"/>
        </w:rPr>
        <w:t>94</w:t>
      </w:r>
      <w:r w:rsidR="000809F1" w:rsidRPr="00051B46">
        <w:rPr>
          <w:rFonts w:ascii="Arial" w:hAnsi="Arial" w:cs="Arial"/>
        </w:rPr>
        <w:t>)</w:t>
      </w:r>
      <w:r w:rsidRPr="00051B46">
        <w:rPr>
          <w:rFonts w:ascii="Arial" w:hAnsi="Arial" w:cs="Arial"/>
        </w:rPr>
        <w:t>.</w:t>
      </w:r>
      <w:r w:rsidR="00643011" w:rsidRPr="00051B46">
        <w:rPr>
          <w:rFonts w:ascii="Arial" w:hAnsi="Arial" w:cs="Arial"/>
        </w:rPr>
        <w:t xml:space="preserve"> </w:t>
      </w:r>
      <w:r w:rsidRPr="00051B46">
        <w:rPr>
          <w:rFonts w:ascii="Arial" w:hAnsi="Arial" w:cs="Arial"/>
        </w:rPr>
        <w:t>It is the only modality to</w:t>
      </w:r>
      <w:r w:rsidR="001E6D00" w:rsidRPr="00051B46">
        <w:rPr>
          <w:rFonts w:ascii="Arial" w:hAnsi="Arial" w:cs="Arial"/>
        </w:rPr>
        <w:t xml:space="preserve"> reliably</w:t>
      </w:r>
      <w:r w:rsidRPr="00051B46">
        <w:rPr>
          <w:rFonts w:ascii="Arial" w:hAnsi="Arial" w:cs="Arial"/>
        </w:rPr>
        <w:t xml:space="preserve"> distinguish between steatosis alone from NASH and advanced fibrosis</w:t>
      </w:r>
      <w:r w:rsidR="00CF3D26" w:rsidRPr="00051B46">
        <w:rPr>
          <w:rFonts w:ascii="Arial" w:hAnsi="Arial" w:cs="Arial"/>
        </w:rPr>
        <w:t xml:space="preserve"> and to eliminate other etiologies of liver disease</w:t>
      </w:r>
      <w:r w:rsidR="000809F1" w:rsidRPr="00051B46">
        <w:rPr>
          <w:rFonts w:ascii="Arial" w:hAnsi="Arial" w:cs="Arial"/>
        </w:rPr>
        <w:t xml:space="preserve"> </w:t>
      </w:r>
      <w:r w:rsidR="00CF555D" w:rsidRPr="00051B46">
        <w:rPr>
          <w:rFonts w:ascii="Arial" w:hAnsi="Arial" w:cs="Arial"/>
        </w:rPr>
        <w:t>108</w:t>
      </w:r>
      <w:r w:rsidR="000809F1" w:rsidRPr="00051B46">
        <w:rPr>
          <w:rFonts w:ascii="Arial" w:hAnsi="Arial" w:cs="Arial"/>
        </w:rPr>
        <w:t>,</w:t>
      </w:r>
      <w:r w:rsidR="00CF555D" w:rsidRPr="00051B46">
        <w:rPr>
          <w:rFonts w:ascii="Arial" w:hAnsi="Arial" w:cs="Arial"/>
        </w:rPr>
        <w:t>123-125</w:t>
      </w:r>
      <w:r w:rsidR="000809F1" w:rsidRPr="00051B46">
        <w:rPr>
          <w:rFonts w:ascii="Arial" w:hAnsi="Arial" w:cs="Arial"/>
        </w:rPr>
        <w:t>)</w:t>
      </w:r>
      <w:r w:rsidRPr="00051B46">
        <w:rPr>
          <w:rFonts w:ascii="Arial" w:hAnsi="Arial" w:cs="Arial"/>
        </w:rPr>
        <w:t>.</w:t>
      </w:r>
    </w:p>
    <w:p w14:paraId="6C870CF2" w14:textId="1C667DB2" w:rsidR="004460DB" w:rsidRPr="00051B46" w:rsidRDefault="00574FCA" w:rsidP="002506B3">
      <w:pPr>
        <w:spacing w:after="0" w:line="276" w:lineRule="auto"/>
        <w:rPr>
          <w:rFonts w:ascii="Arial" w:hAnsi="Arial" w:cs="Arial"/>
        </w:rPr>
      </w:pPr>
      <w:r w:rsidRPr="00051B46">
        <w:rPr>
          <w:rFonts w:ascii="Arial" w:hAnsi="Arial" w:cs="Arial"/>
        </w:rPr>
        <w:t xml:space="preserve"> </w:t>
      </w:r>
    </w:p>
    <w:p w14:paraId="266439B8" w14:textId="34C772E6" w:rsidR="004460DB" w:rsidRPr="00051B46" w:rsidRDefault="0021500E" w:rsidP="002506B3">
      <w:pPr>
        <w:spacing w:after="0" w:line="276" w:lineRule="auto"/>
        <w:rPr>
          <w:rFonts w:ascii="Arial" w:hAnsi="Arial" w:cs="Arial"/>
        </w:rPr>
      </w:pPr>
      <w:r w:rsidRPr="00051B46">
        <w:rPr>
          <w:rFonts w:ascii="Arial" w:hAnsi="Arial" w:cs="Arial"/>
        </w:rPr>
        <w:t>The degree of liver disease on histopathology is graded on a score that has been developed, called the NAFLD activity score (NAS). NAS score ranges from 0-8 and includes three parameters that are graded separately – steatosis (0-3), hepatocellular ballooning (0-2), and lobular inflammation (0-3). The degree or stage of fibrosis is graded separately from 0-3. These scores and staging ranges allow for a more accurate and reproducible way of monitoring of disease</w:t>
      </w:r>
      <w:r w:rsidR="000809F1" w:rsidRPr="00051B46">
        <w:rPr>
          <w:rFonts w:ascii="Arial" w:hAnsi="Arial" w:cs="Arial"/>
        </w:rPr>
        <w:t xml:space="preserve"> (</w:t>
      </w:r>
      <w:r w:rsidR="00D71618" w:rsidRPr="00051B46">
        <w:rPr>
          <w:rFonts w:ascii="Arial" w:hAnsi="Arial" w:cs="Arial"/>
        </w:rPr>
        <w:t>108</w:t>
      </w:r>
      <w:r w:rsidR="000809F1" w:rsidRPr="00051B46">
        <w:rPr>
          <w:rFonts w:ascii="Arial" w:hAnsi="Arial" w:cs="Arial"/>
        </w:rPr>
        <w:t>,</w:t>
      </w:r>
      <w:r w:rsidR="00D71618" w:rsidRPr="00051B46">
        <w:rPr>
          <w:rFonts w:ascii="Arial" w:hAnsi="Arial" w:cs="Arial"/>
        </w:rPr>
        <w:t>123,125</w:t>
      </w:r>
      <w:r w:rsidR="000809F1" w:rsidRPr="00051B46">
        <w:rPr>
          <w:rFonts w:ascii="Arial" w:hAnsi="Arial" w:cs="Arial"/>
        </w:rPr>
        <w:t>)</w:t>
      </w:r>
      <w:r w:rsidRPr="00051B46">
        <w:rPr>
          <w:rFonts w:ascii="Arial" w:hAnsi="Arial" w:cs="Arial"/>
        </w:rPr>
        <w:t>.</w:t>
      </w:r>
      <w:r w:rsidR="00903CBA" w:rsidRPr="00051B46">
        <w:rPr>
          <w:rFonts w:ascii="Arial" w:hAnsi="Arial" w:cs="Arial"/>
        </w:rPr>
        <w:t xml:space="preserve"> However, there are limitations involving liver biopsies as well due to the inter-pathologist variability in interpretation of grades and degree of steatosis, inflammation and fibrosis</w:t>
      </w:r>
      <w:r w:rsidR="000809F1" w:rsidRPr="00051B46">
        <w:rPr>
          <w:rFonts w:ascii="Arial" w:hAnsi="Arial" w:cs="Arial"/>
        </w:rPr>
        <w:t xml:space="preserve"> (</w:t>
      </w:r>
      <w:r w:rsidR="00D71618" w:rsidRPr="00051B46">
        <w:rPr>
          <w:rFonts w:ascii="Arial" w:hAnsi="Arial" w:cs="Arial"/>
        </w:rPr>
        <w:t>92</w:t>
      </w:r>
      <w:r w:rsidR="00B2747B" w:rsidRPr="00051B46">
        <w:rPr>
          <w:rFonts w:ascii="Arial" w:hAnsi="Arial" w:cs="Arial"/>
        </w:rPr>
        <w:t>,</w:t>
      </w:r>
      <w:r w:rsidR="00D71618" w:rsidRPr="00051B46">
        <w:rPr>
          <w:rFonts w:ascii="Arial" w:hAnsi="Arial" w:cs="Arial"/>
        </w:rPr>
        <w:t>124</w:t>
      </w:r>
      <w:r w:rsidR="000809F1" w:rsidRPr="00051B46">
        <w:rPr>
          <w:rFonts w:ascii="Arial" w:hAnsi="Arial" w:cs="Arial"/>
        </w:rPr>
        <w:t>)</w:t>
      </w:r>
      <w:r w:rsidR="00903CBA" w:rsidRPr="00051B46">
        <w:rPr>
          <w:rFonts w:ascii="Arial" w:hAnsi="Arial" w:cs="Arial"/>
        </w:rPr>
        <w:t>.</w:t>
      </w:r>
      <w:r w:rsidR="000809F1" w:rsidRPr="00051B46">
        <w:rPr>
          <w:rFonts w:ascii="Arial" w:hAnsi="Arial" w:cs="Arial"/>
        </w:rPr>
        <w:t xml:space="preserve"> </w:t>
      </w:r>
    </w:p>
    <w:p w14:paraId="21A913A6" w14:textId="77777777" w:rsidR="000809F1" w:rsidRPr="00051B46" w:rsidRDefault="000809F1" w:rsidP="002506B3">
      <w:pPr>
        <w:spacing w:after="0" w:line="276" w:lineRule="auto"/>
        <w:rPr>
          <w:rFonts w:ascii="Arial" w:hAnsi="Arial" w:cs="Arial"/>
        </w:rPr>
      </w:pPr>
    </w:p>
    <w:p w14:paraId="7A380B52" w14:textId="74DB71C9" w:rsidR="00903CBA" w:rsidRPr="00051B46" w:rsidRDefault="00903CBA" w:rsidP="002506B3">
      <w:pPr>
        <w:spacing w:after="0" w:line="276" w:lineRule="auto"/>
        <w:rPr>
          <w:rFonts w:ascii="Arial" w:hAnsi="Arial" w:cs="Arial"/>
        </w:rPr>
      </w:pPr>
      <w:r w:rsidRPr="00051B46">
        <w:rPr>
          <w:rFonts w:ascii="Arial" w:hAnsi="Arial" w:cs="Arial"/>
        </w:rPr>
        <w:t>Despite all the current advances, there remains an urgent need for development of more cost-effective and reliable methods for non-invasive screening of NAFLD to ensure early and prompt diagnosis for the best treatment outcomes.</w:t>
      </w:r>
    </w:p>
    <w:p w14:paraId="0730A274" w14:textId="30E2E555" w:rsidR="0021500E" w:rsidRPr="00051B46" w:rsidRDefault="0021500E" w:rsidP="002506B3">
      <w:pPr>
        <w:spacing w:after="0" w:line="276" w:lineRule="auto"/>
        <w:rPr>
          <w:rFonts w:ascii="Arial" w:hAnsi="Arial" w:cs="Arial"/>
        </w:rPr>
      </w:pPr>
    </w:p>
    <w:p w14:paraId="3248DF44" w14:textId="7C82483E" w:rsidR="00B12E8B" w:rsidRPr="00051B46" w:rsidRDefault="0036430F" w:rsidP="002506B3">
      <w:pPr>
        <w:spacing w:after="0" w:line="276" w:lineRule="auto"/>
        <w:rPr>
          <w:rFonts w:ascii="Arial" w:hAnsi="Arial" w:cs="Arial"/>
          <w:b/>
          <w:bCs/>
        </w:rPr>
      </w:pPr>
      <w:r w:rsidRPr="00051B46">
        <w:rPr>
          <w:rFonts w:ascii="Arial" w:hAnsi="Arial" w:cs="Arial"/>
          <w:b/>
          <w:bCs/>
        </w:rPr>
        <w:t>TREATMENT</w:t>
      </w:r>
    </w:p>
    <w:p w14:paraId="6B5C938E" w14:textId="77777777" w:rsidR="000809F1" w:rsidRPr="00051B46" w:rsidRDefault="000809F1" w:rsidP="002506B3">
      <w:pPr>
        <w:spacing w:after="0" w:line="276" w:lineRule="auto"/>
        <w:rPr>
          <w:rFonts w:ascii="Arial" w:hAnsi="Arial" w:cs="Arial"/>
        </w:rPr>
      </w:pPr>
    </w:p>
    <w:p w14:paraId="75B91C2D" w14:textId="1FCFEAC5" w:rsidR="005C250F" w:rsidRPr="00051B46" w:rsidRDefault="00E22BA9" w:rsidP="002506B3">
      <w:pPr>
        <w:spacing w:after="0" w:line="276" w:lineRule="auto"/>
        <w:rPr>
          <w:rFonts w:ascii="Arial" w:hAnsi="Arial" w:cs="Arial"/>
        </w:rPr>
      </w:pPr>
      <w:r w:rsidRPr="00051B46">
        <w:rPr>
          <w:rFonts w:ascii="Arial" w:hAnsi="Arial" w:cs="Arial"/>
        </w:rPr>
        <w:t>The aim of treatment</w:t>
      </w:r>
      <w:r w:rsidR="00557F7D" w:rsidRPr="00051B46">
        <w:rPr>
          <w:rFonts w:ascii="Arial" w:hAnsi="Arial" w:cs="Arial"/>
        </w:rPr>
        <w:t xml:space="preserve"> for patients with NASH</w:t>
      </w:r>
      <w:r w:rsidRPr="00051B46">
        <w:rPr>
          <w:rFonts w:ascii="Arial" w:hAnsi="Arial" w:cs="Arial"/>
        </w:rPr>
        <w:t xml:space="preserve"> is to</w:t>
      </w:r>
      <w:r w:rsidR="00D00361" w:rsidRPr="00051B46">
        <w:rPr>
          <w:rFonts w:ascii="Arial" w:hAnsi="Arial" w:cs="Arial"/>
        </w:rPr>
        <w:t xml:space="preserve"> </w:t>
      </w:r>
      <w:r w:rsidR="00C37E1F" w:rsidRPr="00051B46">
        <w:rPr>
          <w:rFonts w:ascii="Arial" w:hAnsi="Arial" w:cs="Arial"/>
        </w:rPr>
        <w:t xml:space="preserve">delay </w:t>
      </w:r>
      <w:r w:rsidR="00A11AC8" w:rsidRPr="00051B46">
        <w:rPr>
          <w:rFonts w:ascii="Arial" w:hAnsi="Arial" w:cs="Arial"/>
        </w:rPr>
        <w:t xml:space="preserve">or reverse </w:t>
      </w:r>
      <w:r w:rsidR="00C37E1F" w:rsidRPr="00051B46">
        <w:rPr>
          <w:rFonts w:ascii="Arial" w:hAnsi="Arial" w:cs="Arial"/>
        </w:rPr>
        <w:t xml:space="preserve">the </w:t>
      </w:r>
      <w:r w:rsidR="00D00361" w:rsidRPr="00051B46">
        <w:rPr>
          <w:rFonts w:ascii="Arial" w:hAnsi="Arial" w:cs="Arial"/>
        </w:rPr>
        <w:t xml:space="preserve">progression </w:t>
      </w:r>
      <w:r w:rsidR="00C37E1F" w:rsidRPr="00051B46">
        <w:rPr>
          <w:rFonts w:ascii="Arial" w:hAnsi="Arial" w:cs="Arial"/>
        </w:rPr>
        <w:t>of fibrosis</w:t>
      </w:r>
      <w:r w:rsidRPr="00051B46">
        <w:rPr>
          <w:rFonts w:ascii="Arial" w:hAnsi="Arial" w:cs="Arial"/>
        </w:rPr>
        <w:t xml:space="preserve"> and improve</w:t>
      </w:r>
      <w:r w:rsidR="00557F7D" w:rsidRPr="00051B46">
        <w:rPr>
          <w:rFonts w:ascii="Arial" w:hAnsi="Arial" w:cs="Arial"/>
        </w:rPr>
        <w:t xml:space="preserve"> NASH-related </w:t>
      </w:r>
      <w:r w:rsidR="00061900" w:rsidRPr="00051B46">
        <w:rPr>
          <w:rFonts w:ascii="Arial" w:hAnsi="Arial" w:cs="Arial"/>
        </w:rPr>
        <w:t>morbidity/</w:t>
      </w:r>
      <w:r w:rsidR="00557F7D" w:rsidRPr="00051B46">
        <w:rPr>
          <w:rFonts w:ascii="Arial" w:hAnsi="Arial" w:cs="Arial"/>
        </w:rPr>
        <w:t>mortality due to hepatic (cirrhosis and</w:t>
      </w:r>
      <w:r w:rsidR="0036430F" w:rsidRPr="00051B46">
        <w:rPr>
          <w:rFonts w:ascii="Arial" w:hAnsi="Arial" w:cs="Arial"/>
        </w:rPr>
        <w:t xml:space="preserve"> HCC</w:t>
      </w:r>
      <w:r w:rsidR="00557F7D" w:rsidRPr="00051B46">
        <w:rPr>
          <w:rFonts w:ascii="Arial" w:hAnsi="Arial" w:cs="Arial"/>
        </w:rPr>
        <w:t>) and extra-hepatic complications, mainly cardiovascular disease (CVD)</w:t>
      </w:r>
      <w:r w:rsidRPr="00051B46">
        <w:rPr>
          <w:rFonts w:ascii="Arial" w:hAnsi="Arial" w:cs="Arial"/>
        </w:rPr>
        <w:t>. Currently there is no pharmacotherapy approved by regulatory agencies for the treatment of NAFLD</w:t>
      </w:r>
      <w:r w:rsidR="00061900" w:rsidRPr="00051B46">
        <w:rPr>
          <w:rFonts w:ascii="Arial" w:hAnsi="Arial" w:cs="Arial"/>
        </w:rPr>
        <w:t>, although pioglitazone is recommended by the current guidelines as a choice for patients with or without T2DM, and vitamin E for patients without diabetes</w:t>
      </w:r>
      <w:r w:rsidR="000809F1" w:rsidRPr="00051B46">
        <w:rPr>
          <w:rFonts w:ascii="Arial" w:hAnsi="Arial" w:cs="Arial"/>
        </w:rPr>
        <w:t xml:space="preserve"> (</w:t>
      </w:r>
      <w:r w:rsidR="00A55D0A" w:rsidRPr="00051B46">
        <w:rPr>
          <w:rFonts w:ascii="Arial" w:hAnsi="Arial" w:cs="Arial"/>
        </w:rPr>
        <w:t>92</w:t>
      </w:r>
      <w:r w:rsidR="00B2747B" w:rsidRPr="00051B46">
        <w:rPr>
          <w:rFonts w:ascii="Arial" w:hAnsi="Arial" w:cs="Arial"/>
        </w:rPr>
        <w:t>,</w:t>
      </w:r>
      <w:r w:rsidR="00A55D0A" w:rsidRPr="00051B46">
        <w:rPr>
          <w:rFonts w:ascii="Arial" w:hAnsi="Arial" w:cs="Arial"/>
        </w:rPr>
        <w:t>124</w:t>
      </w:r>
      <w:r w:rsidR="000809F1" w:rsidRPr="00051B46">
        <w:rPr>
          <w:rFonts w:ascii="Arial" w:hAnsi="Arial" w:cs="Arial"/>
        </w:rPr>
        <w:t>)</w:t>
      </w:r>
      <w:r w:rsidRPr="00051B46">
        <w:rPr>
          <w:rFonts w:ascii="Arial" w:hAnsi="Arial" w:cs="Arial"/>
        </w:rPr>
        <w:t>.</w:t>
      </w:r>
      <w:r w:rsidR="005C4CD5" w:rsidRPr="00051B46">
        <w:rPr>
          <w:rFonts w:ascii="Arial" w:hAnsi="Arial" w:cs="Arial"/>
        </w:rPr>
        <w:t xml:space="preserve"> </w:t>
      </w:r>
      <w:r w:rsidR="00061900" w:rsidRPr="00051B46">
        <w:rPr>
          <w:rFonts w:ascii="Arial" w:hAnsi="Arial" w:cs="Arial"/>
        </w:rPr>
        <w:t xml:space="preserve">The FDA has accepted 2 endpoints as valid ones for drug approval in clinical trials: a) Resolution </w:t>
      </w:r>
      <w:r w:rsidR="00061900" w:rsidRPr="00051B46">
        <w:rPr>
          <w:rFonts w:ascii="Arial" w:hAnsi="Arial" w:cs="Arial"/>
          <w:noProof/>
        </w:rPr>
        <w:t xml:space="preserve">of </w:t>
      </w:r>
      <w:r w:rsidR="00747929" w:rsidRPr="00051B46">
        <w:rPr>
          <w:rFonts w:ascii="Arial" w:hAnsi="Arial" w:cs="Arial"/>
          <w:noProof/>
        </w:rPr>
        <w:t xml:space="preserve">the </w:t>
      </w:r>
      <w:r w:rsidR="00061900" w:rsidRPr="00051B46">
        <w:rPr>
          <w:rFonts w:ascii="Arial" w:hAnsi="Arial" w:cs="Arial"/>
          <w:noProof/>
        </w:rPr>
        <w:t>histological</w:t>
      </w:r>
      <w:r w:rsidR="00061900" w:rsidRPr="00051B46">
        <w:rPr>
          <w:rFonts w:ascii="Arial" w:hAnsi="Arial" w:cs="Arial"/>
        </w:rPr>
        <w:t xml:space="preserve"> findings </w:t>
      </w:r>
      <w:r w:rsidR="00747929" w:rsidRPr="00051B46">
        <w:rPr>
          <w:rFonts w:ascii="Arial" w:hAnsi="Arial" w:cs="Arial"/>
        </w:rPr>
        <w:t xml:space="preserve">that </w:t>
      </w:r>
      <w:r w:rsidR="00061900" w:rsidRPr="00051B46">
        <w:rPr>
          <w:rFonts w:ascii="Arial" w:hAnsi="Arial" w:cs="Arial"/>
        </w:rPr>
        <w:t>defi</w:t>
      </w:r>
      <w:r w:rsidR="00747929" w:rsidRPr="00051B46">
        <w:rPr>
          <w:rFonts w:ascii="Arial" w:hAnsi="Arial" w:cs="Arial"/>
        </w:rPr>
        <w:t>ne</w:t>
      </w:r>
      <w:r w:rsidR="00061900" w:rsidRPr="00051B46">
        <w:rPr>
          <w:rFonts w:ascii="Arial" w:hAnsi="Arial" w:cs="Arial"/>
        </w:rPr>
        <w:t xml:space="preserve"> NASH </w:t>
      </w:r>
      <w:r w:rsidR="00854D98" w:rsidRPr="00051B46">
        <w:rPr>
          <w:rFonts w:ascii="Arial" w:hAnsi="Arial" w:cs="Arial"/>
        </w:rPr>
        <w:t xml:space="preserve">(necroinflammation) </w:t>
      </w:r>
      <w:r w:rsidR="00061900" w:rsidRPr="00051B46">
        <w:rPr>
          <w:rFonts w:ascii="Arial" w:hAnsi="Arial" w:cs="Arial"/>
        </w:rPr>
        <w:t xml:space="preserve">without worsening of fibrosis, and b) </w:t>
      </w:r>
      <w:r w:rsidR="007D415D" w:rsidRPr="00051B46">
        <w:rPr>
          <w:rFonts w:ascii="Arial" w:hAnsi="Arial" w:cs="Arial"/>
        </w:rPr>
        <w:t>Reversal of ≥1 fibrosis stage without worsening of steatohepatitis</w:t>
      </w:r>
      <w:r w:rsidR="00854D98" w:rsidRPr="00051B46">
        <w:rPr>
          <w:rFonts w:ascii="Arial" w:hAnsi="Arial" w:cs="Arial"/>
        </w:rPr>
        <w:t>/NASH</w:t>
      </w:r>
      <w:r w:rsidR="000809F1" w:rsidRPr="00051B46">
        <w:rPr>
          <w:rFonts w:ascii="Arial" w:hAnsi="Arial" w:cs="Arial"/>
        </w:rPr>
        <w:t xml:space="preserve"> (</w:t>
      </w:r>
      <w:r w:rsidR="00A55D0A" w:rsidRPr="00051B46">
        <w:rPr>
          <w:rFonts w:ascii="Arial" w:hAnsi="Arial" w:cs="Arial"/>
        </w:rPr>
        <w:t>124,126,127</w:t>
      </w:r>
      <w:r w:rsidR="000809F1" w:rsidRPr="00051B46">
        <w:rPr>
          <w:rFonts w:ascii="Arial" w:hAnsi="Arial" w:cs="Arial"/>
        </w:rPr>
        <w:t>)</w:t>
      </w:r>
      <w:r w:rsidR="00061900" w:rsidRPr="00051B46">
        <w:rPr>
          <w:rFonts w:ascii="Arial" w:hAnsi="Arial" w:cs="Arial"/>
        </w:rPr>
        <w:t>.</w:t>
      </w:r>
      <w:r w:rsidR="00854D98" w:rsidRPr="00051B46">
        <w:rPr>
          <w:rFonts w:ascii="Arial" w:hAnsi="Arial" w:cs="Arial"/>
          <w:vertAlign w:val="superscript"/>
        </w:rPr>
        <w:t xml:space="preserve"> </w:t>
      </w:r>
      <w:r w:rsidR="00747929" w:rsidRPr="00051B46">
        <w:rPr>
          <w:rFonts w:ascii="Arial" w:hAnsi="Arial" w:cs="Arial"/>
        </w:rPr>
        <w:t xml:space="preserve"> Despite the </w:t>
      </w:r>
      <w:r w:rsidR="00747929" w:rsidRPr="00051B46">
        <w:rPr>
          <w:rFonts w:ascii="Arial" w:hAnsi="Arial" w:cs="Arial"/>
        </w:rPr>
        <w:lastRenderedPageBreak/>
        <w:t xml:space="preserve">many ongoing efforts to find novel pharmacological agents </w:t>
      </w:r>
      <w:r w:rsidR="00557F7D" w:rsidRPr="00051B46">
        <w:rPr>
          <w:rFonts w:ascii="Arial" w:hAnsi="Arial" w:cs="Arial"/>
        </w:rPr>
        <w:t>the first</w:t>
      </w:r>
      <w:r w:rsidR="00061900" w:rsidRPr="00051B46">
        <w:rPr>
          <w:rFonts w:ascii="Arial" w:hAnsi="Arial" w:cs="Arial"/>
        </w:rPr>
        <w:t>-</w:t>
      </w:r>
      <w:r w:rsidR="00557F7D" w:rsidRPr="00051B46">
        <w:rPr>
          <w:rFonts w:ascii="Arial" w:hAnsi="Arial" w:cs="Arial"/>
        </w:rPr>
        <w:t xml:space="preserve">line </w:t>
      </w:r>
      <w:r w:rsidR="00747929" w:rsidRPr="00051B46">
        <w:rPr>
          <w:rFonts w:ascii="Arial" w:hAnsi="Arial" w:cs="Arial"/>
        </w:rPr>
        <w:t xml:space="preserve">of </w:t>
      </w:r>
      <w:r w:rsidR="005C4CD5" w:rsidRPr="00051B46">
        <w:rPr>
          <w:rFonts w:ascii="Arial" w:hAnsi="Arial" w:cs="Arial"/>
        </w:rPr>
        <w:t>treatment</w:t>
      </w:r>
      <w:r w:rsidR="00854D98" w:rsidRPr="00051B46">
        <w:rPr>
          <w:rFonts w:ascii="Arial" w:hAnsi="Arial" w:cs="Arial"/>
        </w:rPr>
        <w:t xml:space="preserve"> will always be </w:t>
      </w:r>
      <w:r w:rsidR="00557F7D" w:rsidRPr="00051B46">
        <w:rPr>
          <w:rFonts w:ascii="Arial" w:hAnsi="Arial" w:cs="Arial"/>
        </w:rPr>
        <w:t>lifestyle modification</w:t>
      </w:r>
      <w:r w:rsidR="005C4CD5" w:rsidRPr="00051B46">
        <w:rPr>
          <w:rFonts w:ascii="Arial" w:hAnsi="Arial" w:cs="Arial"/>
        </w:rPr>
        <w:t xml:space="preserve"> including diet, exercise and weight loss</w:t>
      </w:r>
      <w:r w:rsidR="000809F1" w:rsidRPr="00051B46">
        <w:rPr>
          <w:rFonts w:ascii="Arial" w:hAnsi="Arial" w:cs="Arial"/>
        </w:rPr>
        <w:t xml:space="preserve"> (</w:t>
      </w:r>
      <w:r w:rsidR="00A55D0A" w:rsidRPr="00051B46">
        <w:rPr>
          <w:rFonts w:ascii="Arial" w:hAnsi="Arial" w:cs="Arial"/>
        </w:rPr>
        <w:t>92</w:t>
      </w:r>
      <w:r w:rsidR="0019322A" w:rsidRPr="00051B46">
        <w:rPr>
          <w:rFonts w:ascii="Arial" w:hAnsi="Arial" w:cs="Arial"/>
        </w:rPr>
        <w:t>,</w:t>
      </w:r>
      <w:r w:rsidR="00A55D0A" w:rsidRPr="00051B46">
        <w:rPr>
          <w:rFonts w:ascii="Arial" w:hAnsi="Arial" w:cs="Arial"/>
        </w:rPr>
        <w:t>124</w:t>
      </w:r>
      <w:r w:rsidR="000809F1" w:rsidRPr="00051B46">
        <w:rPr>
          <w:rFonts w:ascii="Arial" w:hAnsi="Arial" w:cs="Arial"/>
        </w:rPr>
        <w:t>)</w:t>
      </w:r>
      <w:r w:rsidR="00747929" w:rsidRPr="00051B46">
        <w:rPr>
          <w:rFonts w:ascii="Arial" w:hAnsi="Arial" w:cs="Arial"/>
        </w:rPr>
        <w:t xml:space="preserve">, to combat insulin resistance and the </w:t>
      </w:r>
      <w:r w:rsidR="00747929" w:rsidRPr="00051B46">
        <w:rPr>
          <w:rFonts w:ascii="Arial" w:hAnsi="Arial" w:cs="Arial"/>
          <w:noProof/>
        </w:rPr>
        <w:t>related</w:t>
      </w:r>
      <w:r w:rsidR="00747929" w:rsidRPr="00051B46">
        <w:rPr>
          <w:rFonts w:ascii="Arial" w:hAnsi="Arial" w:cs="Arial"/>
        </w:rPr>
        <w:t xml:space="preserve"> conditions like diabetes and obesity so closely related to NAFLD</w:t>
      </w:r>
      <w:r w:rsidR="000809F1" w:rsidRPr="00051B46">
        <w:rPr>
          <w:rFonts w:ascii="Arial" w:hAnsi="Arial" w:cs="Arial"/>
        </w:rPr>
        <w:t xml:space="preserve"> (</w:t>
      </w:r>
      <w:r w:rsidR="00A55D0A" w:rsidRPr="00051B46">
        <w:rPr>
          <w:rFonts w:ascii="Arial" w:hAnsi="Arial" w:cs="Arial"/>
        </w:rPr>
        <w:t>128-130</w:t>
      </w:r>
      <w:r w:rsidR="000809F1" w:rsidRPr="00051B46">
        <w:rPr>
          <w:rFonts w:ascii="Arial" w:hAnsi="Arial" w:cs="Arial"/>
        </w:rPr>
        <w:t>)</w:t>
      </w:r>
      <w:r w:rsidR="00747929" w:rsidRPr="00051B46">
        <w:rPr>
          <w:rFonts w:ascii="Arial" w:hAnsi="Arial" w:cs="Arial"/>
        </w:rPr>
        <w:t xml:space="preserve">.  </w:t>
      </w:r>
    </w:p>
    <w:p w14:paraId="01538543" w14:textId="77777777" w:rsidR="00DD0FB5" w:rsidRPr="00051B46" w:rsidRDefault="00DD0FB5" w:rsidP="002506B3">
      <w:pPr>
        <w:spacing w:after="0" w:line="276" w:lineRule="auto"/>
        <w:rPr>
          <w:rFonts w:ascii="Arial" w:hAnsi="Arial" w:cs="Arial"/>
        </w:rPr>
      </w:pPr>
    </w:p>
    <w:p w14:paraId="2499F331" w14:textId="376F91F9" w:rsidR="00FD33F8" w:rsidRPr="00051B46" w:rsidRDefault="00FD33F8" w:rsidP="002506B3">
      <w:pPr>
        <w:spacing w:after="0" w:line="276" w:lineRule="auto"/>
        <w:rPr>
          <w:rFonts w:ascii="Arial" w:hAnsi="Arial" w:cs="Arial"/>
          <w:b/>
          <w:bCs/>
        </w:rPr>
      </w:pPr>
      <w:r w:rsidRPr="00051B46">
        <w:rPr>
          <w:rFonts w:ascii="Arial" w:hAnsi="Arial" w:cs="Arial"/>
          <w:b/>
          <w:bCs/>
        </w:rPr>
        <w:t xml:space="preserve">Weight loss: Lifestyle, </w:t>
      </w:r>
      <w:r w:rsidR="000809F1" w:rsidRPr="00051B46">
        <w:rPr>
          <w:rFonts w:ascii="Arial" w:hAnsi="Arial" w:cs="Arial"/>
          <w:b/>
          <w:bCs/>
        </w:rPr>
        <w:t>B</w:t>
      </w:r>
      <w:r w:rsidRPr="00051B46">
        <w:rPr>
          <w:rFonts w:ascii="Arial" w:hAnsi="Arial" w:cs="Arial"/>
          <w:b/>
          <w:bCs/>
        </w:rPr>
        <w:t xml:space="preserve">ariatric </w:t>
      </w:r>
      <w:r w:rsidR="000809F1" w:rsidRPr="00051B46">
        <w:rPr>
          <w:rFonts w:ascii="Arial" w:hAnsi="Arial" w:cs="Arial"/>
          <w:b/>
          <w:bCs/>
        </w:rPr>
        <w:t>S</w:t>
      </w:r>
      <w:r w:rsidRPr="00051B46">
        <w:rPr>
          <w:rFonts w:ascii="Arial" w:hAnsi="Arial" w:cs="Arial"/>
          <w:b/>
          <w:bCs/>
        </w:rPr>
        <w:t xml:space="preserve">urgery and </w:t>
      </w:r>
      <w:r w:rsidR="000809F1" w:rsidRPr="00051B46">
        <w:rPr>
          <w:rFonts w:ascii="Arial" w:hAnsi="Arial" w:cs="Arial"/>
          <w:b/>
          <w:bCs/>
        </w:rPr>
        <w:t>W</w:t>
      </w:r>
      <w:r w:rsidRPr="00051B46">
        <w:rPr>
          <w:rFonts w:ascii="Arial" w:hAnsi="Arial" w:cs="Arial"/>
          <w:b/>
          <w:bCs/>
        </w:rPr>
        <w:t xml:space="preserve">eight </w:t>
      </w:r>
      <w:r w:rsidR="000809F1" w:rsidRPr="00051B46">
        <w:rPr>
          <w:rFonts w:ascii="Arial" w:hAnsi="Arial" w:cs="Arial"/>
          <w:b/>
          <w:bCs/>
        </w:rPr>
        <w:t>L</w:t>
      </w:r>
      <w:r w:rsidRPr="00051B46">
        <w:rPr>
          <w:rFonts w:ascii="Arial" w:hAnsi="Arial" w:cs="Arial"/>
          <w:b/>
          <w:bCs/>
        </w:rPr>
        <w:t xml:space="preserve">oss </w:t>
      </w:r>
      <w:r w:rsidR="000809F1" w:rsidRPr="00051B46">
        <w:rPr>
          <w:rFonts w:ascii="Arial" w:hAnsi="Arial" w:cs="Arial"/>
          <w:b/>
          <w:bCs/>
        </w:rPr>
        <w:t>A</w:t>
      </w:r>
      <w:r w:rsidRPr="00051B46">
        <w:rPr>
          <w:rFonts w:ascii="Arial" w:hAnsi="Arial" w:cs="Arial"/>
          <w:b/>
          <w:bCs/>
        </w:rPr>
        <w:t>gents</w:t>
      </w:r>
    </w:p>
    <w:p w14:paraId="4E3FC517" w14:textId="77777777" w:rsidR="000809F1" w:rsidRPr="00051B46" w:rsidRDefault="000809F1" w:rsidP="002506B3">
      <w:pPr>
        <w:spacing w:after="0" w:line="276" w:lineRule="auto"/>
        <w:rPr>
          <w:rFonts w:ascii="Arial" w:hAnsi="Arial" w:cs="Arial"/>
          <w:b/>
          <w:bCs/>
        </w:rPr>
      </w:pPr>
    </w:p>
    <w:p w14:paraId="7438FD24" w14:textId="29D5867C" w:rsidR="000809F1" w:rsidRPr="00051B46" w:rsidRDefault="00E81C74" w:rsidP="002506B3">
      <w:pPr>
        <w:spacing w:after="0" w:line="276" w:lineRule="auto"/>
        <w:rPr>
          <w:rFonts w:ascii="Arial" w:hAnsi="Arial" w:cs="Arial"/>
        </w:rPr>
      </w:pPr>
      <w:r w:rsidRPr="00051B46">
        <w:rPr>
          <w:rFonts w:ascii="Arial" w:hAnsi="Arial" w:cs="Arial"/>
        </w:rPr>
        <w:t xml:space="preserve">Numerous studies have shown the beneficial </w:t>
      </w:r>
      <w:r w:rsidR="006213F7" w:rsidRPr="00051B46">
        <w:rPr>
          <w:rFonts w:ascii="Arial" w:hAnsi="Arial" w:cs="Arial"/>
        </w:rPr>
        <w:t>effec</w:t>
      </w:r>
      <w:r w:rsidRPr="00051B46">
        <w:rPr>
          <w:rFonts w:ascii="Arial" w:hAnsi="Arial" w:cs="Arial"/>
        </w:rPr>
        <w:t>t of weight loss to improve hepatic steatosis.</w:t>
      </w:r>
      <w:r w:rsidR="00D73158" w:rsidRPr="00051B46">
        <w:rPr>
          <w:rFonts w:ascii="Arial" w:hAnsi="Arial" w:cs="Arial"/>
        </w:rPr>
        <w:t xml:space="preserve"> It has been reported that weight loss not only </w:t>
      </w:r>
      <w:r w:rsidR="00D73158" w:rsidRPr="00051B46">
        <w:rPr>
          <w:rFonts w:ascii="Arial" w:hAnsi="Arial" w:cs="Arial"/>
          <w:noProof/>
        </w:rPr>
        <w:t>improve</w:t>
      </w:r>
      <w:r w:rsidR="00926150" w:rsidRPr="00051B46">
        <w:rPr>
          <w:rFonts w:ascii="Arial" w:hAnsi="Arial" w:cs="Arial"/>
          <w:noProof/>
        </w:rPr>
        <w:t>s</w:t>
      </w:r>
      <w:r w:rsidR="00D73158" w:rsidRPr="00051B46">
        <w:rPr>
          <w:rFonts w:ascii="Arial" w:hAnsi="Arial" w:cs="Arial"/>
        </w:rPr>
        <w:t xml:space="preserve"> liver steatosis</w:t>
      </w:r>
      <w:r w:rsidR="00D737E7" w:rsidRPr="00051B46">
        <w:rPr>
          <w:rFonts w:ascii="Arial" w:hAnsi="Arial" w:cs="Arial"/>
        </w:rPr>
        <w:t xml:space="preserve"> and other histological features of NASH (including fibrosis)</w:t>
      </w:r>
      <w:r w:rsidR="00D73158" w:rsidRPr="00051B46">
        <w:rPr>
          <w:rFonts w:ascii="Arial" w:hAnsi="Arial" w:cs="Arial"/>
        </w:rPr>
        <w:t xml:space="preserve"> but can decrease </w:t>
      </w:r>
      <w:r w:rsidR="00D737E7" w:rsidRPr="00051B46">
        <w:rPr>
          <w:rFonts w:ascii="Arial" w:hAnsi="Arial" w:cs="Arial"/>
        </w:rPr>
        <w:t>insulin resistance and blood pressure as well as improve atherogenic dyslipidemia (elevated</w:t>
      </w:r>
      <w:r w:rsidR="00D73158" w:rsidRPr="00051B46">
        <w:rPr>
          <w:rFonts w:ascii="Arial" w:hAnsi="Arial" w:cs="Arial"/>
        </w:rPr>
        <w:t xml:space="preserve"> </w:t>
      </w:r>
      <w:r w:rsidR="00D737E7" w:rsidRPr="00051B46">
        <w:rPr>
          <w:rFonts w:ascii="Arial" w:hAnsi="Arial" w:cs="Arial"/>
        </w:rPr>
        <w:t xml:space="preserve">LDL-C and </w:t>
      </w:r>
      <w:r w:rsidR="00D73158" w:rsidRPr="00051B46">
        <w:rPr>
          <w:rFonts w:ascii="Arial" w:hAnsi="Arial" w:cs="Arial"/>
        </w:rPr>
        <w:t xml:space="preserve">triglycerides, </w:t>
      </w:r>
      <w:r w:rsidR="00D737E7" w:rsidRPr="00051B46">
        <w:rPr>
          <w:rFonts w:ascii="Arial" w:hAnsi="Arial" w:cs="Arial"/>
        </w:rPr>
        <w:t xml:space="preserve">low </w:t>
      </w:r>
      <w:r w:rsidR="00D73158" w:rsidRPr="00051B46">
        <w:rPr>
          <w:rFonts w:ascii="Arial" w:hAnsi="Arial" w:cs="Arial"/>
        </w:rPr>
        <w:t>HDL</w:t>
      </w:r>
      <w:r w:rsidR="00D737E7" w:rsidRPr="00051B46">
        <w:rPr>
          <w:rFonts w:ascii="Arial" w:hAnsi="Arial" w:cs="Arial"/>
        </w:rPr>
        <w:t>-C)</w:t>
      </w:r>
      <w:r w:rsidR="000809F1" w:rsidRPr="00051B46">
        <w:rPr>
          <w:rFonts w:ascii="Arial" w:hAnsi="Arial" w:cs="Arial"/>
        </w:rPr>
        <w:t xml:space="preserve"> (</w:t>
      </w:r>
      <w:r w:rsidR="00026C47" w:rsidRPr="00051B46">
        <w:rPr>
          <w:rFonts w:ascii="Arial" w:hAnsi="Arial" w:cs="Arial"/>
        </w:rPr>
        <w:t>92</w:t>
      </w:r>
      <w:r w:rsidR="000809F1" w:rsidRPr="00051B46">
        <w:rPr>
          <w:rFonts w:ascii="Arial" w:hAnsi="Arial" w:cs="Arial"/>
        </w:rPr>
        <w:t>,</w:t>
      </w:r>
      <w:r w:rsidR="003F5E1E" w:rsidRPr="00051B46">
        <w:rPr>
          <w:rFonts w:ascii="Arial" w:hAnsi="Arial" w:cs="Arial"/>
        </w:rPr>
        <w:t>131</w:t>
      </w:r>
      <w:r w:rsidR="000809F1" w:rsidRPr="00051B46">
        <w:rPr>
          <w:rFonts w:ascii="Arial" w:hAnsi="Arial" w:cs="Arial"/>
        </w:rPr>
        <w:t>)</w:t>
      </w:r>
      <w:r w:rsidR="00D73158" w:rsidRPr="00051B46">
        <w:rPr>
          <w:rFonts w:ascii="Arial" w:hAnsi="Arial" w:cs="Arial"/>
        </w:rPr>
        <w:t>.</w:t>
      </w:r>
      <w:r w:rsidRPr="00051B46">
        <w:rPr>
          <w:rFonts w:ascii="Arial" w:hAnsi="Arial" w:cs="Arial"/>
        </w:rPr>
        <w:t xml:space="preserve"> In a meta-analysis of eight trials including 373 patients, improvement in hepatic steatosis</w:t>
      </w:r>
      <w:r w:rsidR="00863B0D" w:rsidRPr="00051B46">
        <w:rPr>
          <w:rFonts w:ascii="Arial" w:hAnsi="Arial" w:cs="Arial"/>
        </w:rPr>
        <w:t xml:space="preserve"> was</w:t>
      </w:r>
      <w:r w:rsidRPr="00051B46">
        <w:rPr>
          <w:rFonts w:ascii="Arial" w:hAnsi="Arial" w:cs="Arial"/>
        </w:rPr>
        <w:t xml:space="preserve"> seen in patients who </w:t>
      </w:r>
      <w:r w:rsidR="005135ED" w:rsidRPr="00051B46">
        <w:rPr>
          <w:rFonts w:ascii="Arial" w:hAnsi="Arial" w:cs="Arial"/>
        </w:rPr>
        <w:t>lost ≥</w:t>
      </w:r>
      <w:r w:rsidR="00863B0D" w:rsidRPr="00051B46">
        <w:rPr>
          <w:rFonts w:ascii="Arial" w:hAnsi="Arial" w:cs="Arial"/>
        </w:rPr>
        <w:t>5%</w:t>
      </w:r>
      <w:r w:rsidRPr="00051B46">
        <w:rPr>
          <w:rFonts w:ascii="Arial" w:hAnsi="Arial" w:cs="Arial"/>
        </w:rPr>
        <w:t xml:space="preserve"> of body weight, while NAFLD activity score (NAS) improvement was associated with</w:t>
      </w:r>
      <w:r w:rsidR="00087E8D" w:rsidRPr="00051B46">
        <w:rPr>
          <w:rFonts w:ascii="Arial" w:hAnsi="Arial" w:cs="Arial"/>
        </w:rPr>
        <w:t xml:space="preserve"> weight loss of</w:t>
      </w:r>
      <w:r w:rsidRPr="00051B46">
        <w:rPr>
          <w:rFonts w:ascii="Arial" w:hAnsi="Arial" w:cs="Arial"/>
        </w:rPr>
        <w:t xml:space="preserve"> </w:t>
      </w:r>
      <w:r w:rsidR="005135ED" w:rsidRPr="00051B46">
        <w:rPr>
          <w:rFonts w:ascii="Arial" w:hAnsi="Arial" w:cs="Arial"/>
        </w:rPr>
        <w:t>≥7%</w:t>
      </w:r>
      <w:r w:rsidRPr="00051B46">
        <w:rPr>
          <w:rFonts w:ascii="Arial" w:hAnsi="Arial" w:cs="Arial"/>
        </w:rPr>
        <w:t xml:space="preserve"> body weight</w:t>
      </w:r>
      <w:r w:rsidR="000809F1" w:rsidRPr="00051B46">
        <w:rPr>
          <w:rFonts w:ascii="Arial" w:hAnsi="Arial" w:cs="Arial"/>
        </w:rPr>
        <w:t xml:space="preserve"> (</w:t>
      </w:r>
      <w:r w:rsidR="003F5E1E" w:rsidRPr="00051B46">
        <w:rPr>
          <w:rFonts w:ascii="Arial" w:hAnsi="Arial" w:cs="Arial"/>
        </w:rPr>
        <w:t>132</w:t>
      </w:r>
      <w:r w:rsidR="000809F1" w:rsidRPr="00051B46">
        <w:rPr>
          <w:rFonts w:ascii="Arial" w:hAnsi="Arial" w:cs="Arial"/>
        </w:rPr>
        <w:t>)</w:t>
      </w:r>
      <w:r w:rsidRPr="00051B46">
        <w:rPr>
          <w:rFonts w:ascii="Arial" w:hAnsi="Arial" w:cs="Arial"/>
        </w:rPr>
        <w:t>.</w:t>
      </w:r>
      <w:r w:rsidR="00087E8D" w:rsidRPr="00051B46">
        <w:rPr>
          <w:rFonts w:ascii="Arial" w:hAnsi="Arial" w:cs="Arial"/>
        </w:rPr>
        <w:t xml:space="preserve"> In another randomized well-controlled trial paired with liver biopsy, weight loss and exercise program resulted in improvement of NAS</w:t>
      </w:r>
      <w:r w:rsidR="000809F1" w:rsidRPr="00051B46">
        <w:rPr>
          <w:rFonts w:ascii="Arial" w:hAnsi="Arial" w:cs="Arial"/>
        </w:rPr>
        <w:t>H</w:t>
      </w:r>
      <w:r w:rsidR="00087E8D" w:rsidRPr="00051B46">
        <w:rPr>
          <w:rFonts w:ascii="Arial" w:hAnsi="Arial" w:cs="Arial"/>
        </w:rPr>
        <w:t>. Moreover, this study showed that the magnitude of weight loss correlated strongly with improvement in histology</w:t>
      </w:r>
      <w:r w:rsidR="000809F1" w:rsidRPr="00051B46">
        <w:rPr>
          <w:rFonts w:ascii="Arial" w:hAnsi="Arial" w:cs="Arial"/>
        </w:rPr>
        <w:t xml:space="preserve"> (</w:t>
      </w:r>
      <w:r w:rsidR="003F5E1E" w:rsidRPr="00051B46">
        <w:rPr>
          <w:rFonts w:ascii="Arial" w:hAnsi="Arial" w:cs="Arial"/>
        </w:rPr>
        <w:t>133</w:t>
      </w:r>
      <w:r w:rsidR="000809F1" w:rsidRPr="00051B46">
        <w:rPr>
          <w:rFonts w:ascii="Arial" w:hAnsi="Arial" w:cs="Arial"/>
        </w:rPr>
        <w:t>)</w:t>
      </w:r>
      <w:r w:rsidR="00087E8D" w:rsidRPr="00051B46">
        <w:rPr>
          <w:rFonts w:ascii="Arial" w:hAnsi="Arial" w:cs="Arial"/>
        </w:rPr>
        <w:t>. However, e</w:t>
      </w:r>
      <w:r w:rsidR="0046733E" w:rsidRPr="00051B46">
        <w:rPr>
          <w:rFonts w:ascii="Arial" w:hAnsi="Arial" w:cs="Arial"/>
        </w:rPr>
        <w:t>ven with intensive multidisciplinary lifestyle intervention</w:t>
      </w:r>
      <w:r w:rsidR="00087E8D" w:rsidRPr="00051B46">
        <w:rPr>
          <w:rFonts w:ascii="Arial" w:hAnsi="Arial" w:cs="Arial"/>
        </w:rPr>
        <w:t>s,</w:t>
      </w:r>
      <w:r w:rsidR="0046733E" w:rsidRPr="00051B46">
        <w:rPr>
          <w:rFonts w:ascii="Arial" w:hAnsi="Arial" w:cs="Arial"/>
        </w:rPr>
        <w:t xml:space="preserve"> m</w:t>
      </w:r>
      <w:r w:rsidR="005135ED" w:rsidRPr="00051B46">
        <w:rPr>
          <w:rFonts w:ascii="Arial" w:hAnsi="Arial" w:cs="Arial"/>
        </w:rPr>
        <w:t>ore than half of patients were unable to achieve the weight loss target</w:t>
      </w:r>
      <w:r w:rsidR="00087E8D" w:rsidRPr="00051B46">
        <w:rPr>
          <w:rFonts w:ascii="Arial" w:hAnsi="Arial" w:cs="Arial"/>
        </w:rPr>
        <w:t xml:space="preserve"> (weight loss of</w:t>
      </w:r>
      <w:r w:rsidR="005135ED" w:rsidRPr="00051B46">
        <w:rPr>
          <w:rFonts w:ascii="Arial" w:hAnsi="Arial" w:cs="Arial"/>
        </w:rPr>
        <w:t xml:space="preserve"> ≥7% body weight</w:t>
      </w:r>
      <w:r w:rsidR="00087E8D" w:rsidRPr="00051B46">
        <w:rPr>
          <w:rFonts w:ascii="Arial" w:hAnsi="Arial" w:cs="Arial"/>
        </w:rPr>
        <w:t>) which</w:t>
      </w:r>
      <w:r w:rsidR="007A5FE4" w:rsidRPr="00051B46">
        <w:rPr>
          <w:rFonts w:ascii="Arial" w:hAnsi="Arial" w:cs="Arial"/>
        </w:rPr>
        <w:t xml:space="preserve"> makes patient compliance </w:t>
      </w:r>
      <w:r w:rsidR="00926150" w:rsidRPr="00051B46">
        <w:rPr>
          <w:rFonts w:ascii="Arial" w:hAnsi="Arial" w:cs="Arial"/>
          <w:noProof/>
        </w:rPr>
        <w:t>the</w:t>
      </w:r>
      <w:r w:rsidR="007A5FE4" w:rsidRPr="00051B46">
        <w:rPr>
          <w:rFonts w:ascii="Arial" w:hAnsi="Arial" w:cs="Arial"/>
          <w:noProof/>
        </w:rPr>
        <w:t xml:space="preserve"> main</w:t>
      </w:r>
      <w:r w:rsidR="007A5FE4" w:rsidRPr="00051B46">
        <w:rPr>
          <w:rFonts w:ascii="Arial" w:hAnsi="Arial" w:cs="Arial"/>
        </w:rPr>
        <w:t xml:space="preserve"> concern</w:t>
      </w:r>
      <w:r w:rsidR="000809F1" w:rsidRPr="00051B46">
        <w:rPr>
          <w:rFonts w:ascii="Arial" w:hAnsi="Arial" w:cs="Arial"/>
        </w:rPr>
        <w:t xml:space="preserve"> (</w:t>
      </w:r>
      <w:r w:rsidR="003F5E1E" w:rsidRPr="00051B46">
        <w:rPr>
          <w:rFonts w:ascii="Arial" w:hAnsi="Arial" w:cs="Arial"/>
        </w:rPr>
        <w:t>132</w:t>
      </w:r>
      <w:r w:rsidR="000809F1" w:rsidRPr="00051B46">
        <w:rPr>
          <w:rFonts w:ascii="Arial" w:hAnsi="Arial" w:cs="Arial"/>
        </w:rPr>
        <w:t>)</w:t>
      </w:r>
      <w:r w:rsidR="005135ED" w:rsidRPr="00051B46">
        <w:rPr>
          <w:rFonts w:ascii="Arial" w:hAnsi="Arial" w:cs="Arial"/>
        </w:rPr>
        <w:t>.</w:t>
      </w:r>
      <w:r w:rsidR="008F00F2" w:rsidRPr="00051B46">
        <w:rPr>
          <w:rFonts w:ascii="Arial" w:hAnsi="Arial" w:cs="Arial"/>
        </w:rPr>
        <w:t xml:space="preserve"> </w:t>
      </w:r>
      <w:r w:rsidR="007A5FE4" w:rsidRPr="00051B46">
        <w:rPr>
          <w:rFonts w:ascii="Arial" w:hAnsi="Arial" w:cs="Arial"/>
        </w:rPr>
        <w:t xml:space="preserve">Despite the presence of multiple studies </w:t>
      </w:r>
      <w:r w:rsidR="00087E8D" w:rsidRPr="00051B46">
        <w:rPr>
          <w:rFonts w:ascii="Arial" w:hAnsi="Arial" w:cs="Arial"/>
        </w:rPr>
        <w:t xml:space="preserve">that </w:t>
      </w:r>
      <w:r w:rsidR="007A5FE4" w:rsidRPr="00051B46">
        <w:rPr>
          <w:rFonts w:ascii="Arial" w:hAnsi="Arial" w:cs="Arial"/>
        </w:rPr>
        <w:t xml:space="preserve">correlates </w:t>
      </w:r>
      <w:r w:rsidR="00953D4A" w:rsidRPr="00051B46">
        <w:rPr>
          <w:rFonts w:ascii="Arial" w:hAnsi="Arial" w:cs="Arial"/>
        </w:rPr>
        <w:t xml:space="preserve">weight loss with </w:t>
      </w:r>
      <w:r w:rsidR="00926150" w:rsidRPr="00051B46">
        <w:rPr>
          <w:rFonts w:ascii="Arial" w:hAnsi="Arial" w:cs="Arial"/>
        </w:rPr>
        <w:t xml:space="preserve">the </w:t>
      </w:r>
      <w:r w:rsidR="00953D4A" w:rsidRPr="00051B46">
        <w:rPr>
          <w:rFonts w:ascii="Arial" w:hAnsi="Arial" w:cs="Arial"/>
          <w:noProof/>
        </w:rPr>
        <w:t>improvement</w:t>
      </w:r>
      <w:r w:rsidR="00953D4A" w:rsidRPr="00051B46">
        <w:rPr>
          <w:rFonts w:ascii="Arial" w:hAnsi="Arial" w:cs="Arial"/>
        </w:rPr>
        <w:t xml:space="preserve"> of histological disease in NASH,</w:t>
      </w:r>
      <w:r w:rsidR="00087E8D" w:rsidRPr="00051B46">
        <w:rPr>
          <w:rFonts w:ascii="Arial" w:hAnsi="Arial" w:cs="Arial"/>
        </w:rPr>
        <w:t xml:space="preserve"> little is known about the </w:t>
      </w:r>
      <w:r w:rsidR="00D73158" w:rsidRPr="00051B46">
        <w:rPr>
          <w:rFonts w:ascii="Arial" w:hAnsi="Arial" w:cs="Arial"/>
          <w:noProof/>
        </w:rPr>
        <w:t>long</w:t>
      </w:r>
      <w:r w:rsidR="00926150" w:rsidRPr="00051B46">
        <w:rPr>
          <w:rFonts w:ascii="Arial" w:hAnsi="Arial" w:cs="Arial"/>
          <w:noProof/>
        </w:rPr>
        <w:t>-</w:t>
      </w:r>
      <w:r w:rsidR="00D73158" w:rsidRPr="00051B46">
        <w:rPr>
          <w:rFonts w:ascii="Arial" w:hAnsi="Arial" w:cs="Arial"/>
          <w:noProof/>
        </w:rPr>
        <w:t>term</w:t>
      </w:r>
      <w:r w:rsidR="00D73158" w:rsidRPr="00051B46">
        <w:rPr>
          <w:rFonts w:ascii="Arial" w:hAnsi="Arial" w:cs="Arial"/>
        </w:rPr>
        <w:t xml:space="preserve"> effect (</w:t>
      </w:r>
      <w:r w:rsidR="0046733E" w:rsidRPr="00051B46">
        <w:rPr>
          <w:rFonts w:ascii="Arial" w:hAnsi="Arial" w:cs="Arial"/>
        </w:rPr>
        <w:t>i.e.</w:t>
      </w:r>
      <w:r w:rsidR="00D73158" w:rsidRPr="00051B46">
        <w:rPr>
          <w:rFonts w:ascii="Arial" w:hAnsi="Arial" w:cs="Arial"/>
        </w:rPr>
        <w:t xml:space="preserve"> beyond 1 year) of weight loss on liver histology</w:t>
      </w:r>
      <w:r w:rsidR="000809F1" w:rsidRPr="00051B46">
        <w:rPr>
          <w:rFonts w:ascii="Arial" w:hAnsi="Arial" w:cs="Arial"/>
        </w:rPr>
        <w:t xml:space="preserve"> (</w:t>
      </w:r>
      <w:r w:rsidR="0019322A" w:rsidRPr="00051B46">
        <w:rPr>
          <w:rFonts w:ascii="Arial" w:hAnsi="Arial" w:cs="Arial"/>
        </w:rPr>
        <w:t>8</w:t>
      </w:r>
      <w:r w:rsidR="000809F1" w:rsidRPr="00051B46">
        <w:rPr>
          <w:rFonts w:ascii="Arial" w:hAnsi="Arial" w:cs="Arial"/>
        </w:rPr>
        <w:t>)</w:t>
      </w:r>
      <w:r w:rsidR="00D73158" w:rsidRPr="00051B46">
        <w:rPr>
          <w:rFonts w:ascii="Arial" w:hAnsi="Arial" w:cs="Arial"/>
        </w:rPr>
        <w:t>.</w:t>
      </w:r>
    </w:p>
    <w:p w14:paraId="75F7B57D" w14:textId="4785D494" w:rsidR="00E81C74" w:rsidRPr="00051B46" w:rsidRDefault="000809F1" w:rsidP="002506B3">
      <w:pPr>
        <w:spacing w:after="0" w:line="276" w:lineRule="auto"/>
        <w:rPr>
          <w:rFonts w:ascii="Arial" w:hAnsi="Arial" w:cs="Arial"/>
        </w:rPr>
      </w:pPr>
      <w:r w:rsidRPr="00051B46">
        <w:rPr>
          <w:rFonts w:ascii="Arial" w:hAnsi="Arial" w:cs="Arial"/>
        </w:rPr>
        <w:t xml:space="preserve"> </w:t>
      </w:r>
    </w:p>
    <w:p w14:paraId="2B619AA6" w14:textId="4B3F7529" w:rsidR="006604D7" w:rsidRPr="00051B46" w:rsidRDefault="005576D0" w:rsidP="002506B3">
      <w:pPr>
        <w:spacing w:after="0" w:line="276" w:lineRule="auto"/>
        <w:rPr>
          <w:rFonts w:ascii="Arial" w:hAnsi="Arial" w:cs="Arial"/>
        </w:rPr>
      </w:pPr>
      <w:r w:rsidRPr="00051B46">
        <w:rPr>
          <w:rFonts w:ascii="Arial" w:hAnsi="Arial" w:cs="Arial"/>
        </w:rPr>
        <w:t xml:space="preserve">Weight reduction of 10% </w:t>
      </w:r>
      <w:r w:rsidR="003F1F7D" w:rsidRPr="00051B46">
        <w:rPr>
          <w:rFonts w:ascii="Arial" w:hAnsi="Arial" w:cs="Arial"/>
        </w:rPr>
        <w:t>by lifestyle modification</w:t>
      </w:r>
      <w:r w:rsidRPr="00051B46">
        <w:rPr>
          <w:rFonts w:ascii="Arial" w:hAnsi="Arial" w:cs="Arial"/>
        </w:rPr>
        <w:t xml:space="preserve"> may cause a signiﬁcant regression of ﬁbrosis</w:t>
      </w:r>
      <w:r w:rsidR="000809F1" w:rsidRPr="00051B46">
        <w:rPr>
          <w:rFonts w:ascii="Arial" w:hAnsi="Arial" w:cs="Arial"/>
        </w:rPr>
        <w:t xml:space="preserve"> (</w:t>
      </w:r>
      <w:r w:rsidR="003F5E1E" w:rsidRPr="00051B46">
        <w:rPr>
          <w:rFonts w:ascii="Arial" w:hAnsi="Arial" w:cs="Arial"/>
        </w:rPr>
        <w:t>133,134</w:t>
      </w:r>
      <w:r w:rsidR="000809F1" w:rsidRPr="00051B46">
        <w:rPr>
          <w:rFonts w:ascii="Arial" w:hAnsi="Arial" w:cs="Arial"/>
        </w:rPr>
        <w:t>)</w:t>
      </w:r>
      <w:r w:rsidRPr="00051B46">
        <w:rPr>
          <w:rFonts w:ascii="Arial" w:hAnsi="Arial" w:cs="Arial"/>
        </w:rPr>
        <w:t xml:space="preserve">. </w:t>
      </w:r>
      <w:r w:rsidR="00D874D5" w:rsidRPr="00051B46">
        <w:rPr>
          <w:rFonts w:ascii="Arial" w:hAnsi="Arial" w:cs="Arial"/>
        </w:rPr>
        <w:t xml:space="preserve">A greater and a more sustained over time decrease in </w:t>
      </w:r>
      <w:r w:rsidRPr="00051B46">
        <w:rPr>
          <w:rFonts w:ascii="Arial" w:hAnsi="Arial" w:cs="Arial"/>
        </w:rPr>
        <w:t xml:space="preserve">weight loss </w:t>
      </w:r>
      <w:r w:rsidR="00D874D5" w:rsidRPr="00051B46">
        <w:rPr>
          <w:rFonts w:ascii="Arial" w:hAnsi="Arial" w:cs="Arial"/>
        </w:rPr>
        <w:t xml:space="preserve">with improvement </w:t>
      </w:r>
      <w:r w:rsidRPr="00051B46">
        <w:rPr>
          <w:rFonts w:ascii="Arial" w:hAnsi="Arial" w:cs="Arial"/>
        </w:rPr>
        <w:t>in steatohepatitis</w:t>
      </w:r>
      <w:r w:rsidR="00D874D5" w:rsidRPr="00051B46">
        <w:rPr>
          <w:rFonts w:ascii="Arial" w:hAnsi="Arial" w:cs="Arial"/>
        </w:rPr>
        <w:t>,</w:t>
      </w:r>
      <w:r w:rsidRPr="00051B46">
        <w:rPr>
          <w:rFonts w:ascii="Arial" w:hAnsi="Arial" w:cs="Arial"/>
        </w:rPr>
        <w:t xml:space="preserve"> and even fibrosis</w:t>
      </w:r>
      <w:r w:rsidR="00D874D5" w:rsidRPr="00051B46">
        <w:rPr>
          <w:rFonts w:ascii="Arial" w:hAnsi="Arial" w:cs="Arial"/>
        </w:rPr>
        <w:t>, can be achieved by bariatric surgery</w:t>
      </w:r>
      <w:r w:rsidR="000809F1" w:rsidRPr="00051B46">
        <w:rPr>
          <w:rFonts w:ascii="Arial" w:hAnsi="Arial" w:cs="Arial"/>
        </w:rPr>
        <w:t xml:space="preserve"> (</w:t>
      </w:r>
      <w:r w:rsidR="003F5E1E" w:rsidRPr="00051B46">
        <w:rPr>
          <w:rFonts w:ascii="Arial" w:hAnsi="Arial" w:cs="Arial"/>
        </w:rPr>
        <w:t>92</w:t>
      </w:r>
      <w:r w:rsidR="000809F1" w:rsidRPr="00051B46">
        <w:rPr>
          <w:rFonts w:ascii="Arial" w:hAnsi="Arial" w:cs="Arial"/>
        </w:rPr>
        <w:t>,</w:t>
      </w:r>
      <w:r w:rsidR="003F5E1E" w:rsidRPr="00051B46">
        <w:rPr>
          <w:rFonts w:ascii="Arial" w:hAnsi="Arial" w:cs="Arial"/>
        </w:rPr>
        <w:t>135,136</w:t>
      </w:r>
      <w:r w:rsidR="000809F1" w:rsidRPr="00051B46">
        <w:rPr>
          <w:rFonts w:ascii="Arial" w:hAnsi="Arial" w:cs="Arial"/>
        </w:rPr>
        <w:t>)</w:t>
      </w:r>
      <w:r w:rsidRPr="00051B46">
        <w:rPr>
          <w:rFonts w:ascii="Arial" w:hAnsi="Arial" w:cs="Arial"/>
        </w:rPr>
        <w:t>.</w:t>
      </w:r>
      <w:r w:rsidR="000809F1" w:rsidRPr="00051B46">
        <w:rPr>
          <w:rFonts w:ascii="Arial" w:hAnsi="Arial" w:cs="Arial"/>
        </w:rPr>
        <w:t xml:space="preserve"> </w:t>
      </w:r>
      <w:r w:rsidRPr="00051B46">
        <w:rPr>
          <w:rFonts w:ascii="Arial" w:hAnsi="Arial" w:cs="Arial"/>
        </w:rPr>
        <w:t>In a systematic review that included 21 observational studies of bariatric surgery in patients with NASH, an improvement in steatosis was reported in 18 studies, decreased inflammation was reported in 11 studies and improvement in fibrosis was reported in 6 studies</w:t>
      </w:r>
      <w:r w:rsidR="000809F1" w:rsidRPr="00051B46">
        <w:rPr>
          <w:rFonts w:ascii="Arial" w:hAnsi="Arial" w:cs="Arial"/>
        </w:rPr>
        <w:t xml:space="preserve"> (</w:t>
      </w:r>
      <w:r w:rsidR="003F5E1E" w:rsidRPr="00051B46">
        <w:rPr>
          <w:rFonts w:ascii="Arial" w:hAnsi="Arial" w:cs="Arial"/>
        </w:rPr>
        <w:t>137</w:t>
      </w:r>
      <w:r w:rsidR="000809F1" w:rsidRPr="00051B46">
        <w:rPr>
          <w:rFonts w:ascii="Arial" w:hAnsi="Arial" w:cs="Arial"/>
        </w:rPr>
        <w:t>)</w:t>
      </w:r>
      <w:r w:rsidRPr="00051B46">
        <w:rPr>
          <w:rFonts w:ascii="Arial" w:hAnsi="Arial" w:cs="Arial"/>
        </w:rPr>
        <w:t xml:space="preserve">. </w:t>
      </w:r>
      <w:r w:rsidR="004B3CCE" w:rsidRPr="00051B46">
        <w:rPr>
          <w:rFonts w:ascii="Arial" w:hAnsi="Arial" w:cs="Arial"/>
        </w:rPr>
        <w:t xml:space="preserve">Only </w:t>
      </w:r>
      <w:r w:rsidR="00C30FAF" w:rsidRPr="00051B46">
        <w:rPr>
          <w:rFonts w:ascii="Arial" w:hAnsi="Arial" w:cs="Arial"/>
        </w:rPr>
        <w:t>f</w:t>
      </w:r>
      <w:r w:rsidRPr="00051B46">
        <w:rPr>
          <w:rFonts w:ascii="Arial" w:hAnsi="Arial" w:cs="Arial"/>
        </w:rPr>
        <w:t xml:space="preserve">our studies reported some </w:t>
      </w:r>
      <w:r w:rsidR="00D874D5" w:rsidRPr="00051B46">
        <w:rPr>
          <w:rFonts w:ascii="Arial" w:hAnsi="Arial" w:cs="Arial"/>
        </w:rPr>
        <w:t xml:space="preserve">(minor) </w:t>
      </w:r>
      <w:r w:rsidRPr="00051B46">
        <w:rPr>
          <w:rFonts w:ascii="Arial" w:hAnsi="Arial" w:cs="Arial"/>
        </w:rPr>
        <w:t>worsening of fibrosis</w:t>
      </w:r>
      <w:r w:rsidR="000809F1" w:rsidRPr="00051B46">
        <w:rPr>
          <w:rFonts w:ascii="Arial" w:hAnsi="Arial" w:cs="Arial"/>
        </w:rPr>
        <w:t xml:space="preserve"> (</w:t>
      </w:r>
      <w:r w:rsidR="003F5E1E" w:rsidRPr="00051B46">
        <w:rPr>
          <w:rFonts w:ascii="Arial" w:hAnsi="Arial" w:cs="Arial"/>
        </w:rPr>
        <w:t>137</w:t>
      </w:r>
      <w:r w:rsidR="000809F1" w:rsidRPr="00051B46">
        <w:rPr>
          <w:rFonts w:ascii="Arial" w:hAnsi="Arial" w:cs="Arial"/>
        </w:rPr>
        <w:t>)</w:t>
      </w:r>
      <w:r w:rsidRPr="00051B46">
        <w:rPr>
          <w:rFonts w:ascii="Arial" w:hAnsi="Arial" w:cs="Arial"/>
        </w:rPr>
        <w:t>.</w:t>
      </w:r>
      <w:r w:rsidR="0036430F" w:rsidRPr="00051B46">
        <w:rPr>
          <w:rFonts w:ascii="Arial" w:hAnsi="Arial" w:cs="Arial"/>
        </w:rPr>
        <w:t xml:space="preserve"> </w:t>
      </w:r>
      <w:r w:rsidRPr="00051B46">
        <w:rPr>
          <w:rFonts w:ascii="Arial" w:hAnsi="Arial" w:cs="Arial"/>
        </w:rPr>
        <w:t xml:space="preserve">However, most </w:t>
      </w:r>
      <w:r w:rsidRPr="00051B46">
        <w:rPr>
          <w:rFonts w:ascii="Arial" w:hAnsi="Arial" w:cs="Arial"/>
          <w:noProof/>
        </w:rPr>
        <w:t>bariatric</w:t>
      </w:r>
      <w:r w:rsidRPr="00051B46">
        <w:rPr>
          <w:rFonts w:ascii="Arial" w:hAnsi="Arial" w:cs="Arial"/>
        </w:rPr>
        <w:t xml:space="preserve"> surgery studies have some limitations</w:t>
      </w:r>
      <w:r w:rsidR="00D874D5" w:rsidRPr="00051B46">
        <w:rPr>
          <w:rFonts w:ascii="Arial" w:hAnsi="Arial" w:cs="Arial"/>
        </w:rPr>
        <w:t>:</w:t>
      </w:r>
      <w:r w:rsidRPr="00051B46">
        <w:rPr>
          <w:rFonts w:ascii="Arial" w:hAnsi="Arial" w:cs="Arial"/>
        </w:rPr>
        <w:t xml:space="preserve"> these include small size</w:t>
      </w:r>
      <w:r w:rsidR="00D874D5" w:rsidRPr="00051B46">
        <w:rPr>
          <w:rFonts w:ascii="Arial" w:hAnsi="Arial" w:cs="Arial"/>
        </w:rPr>
        <w:t xml:space="preserve">, </w:t>
      </w:r>
      <w:r w:rsidRPr="00051B46">
        <w:rPr>
          <w:rFonts w:ascii="Arial" w:hAnsi="Arial" w:cs="Arial"/>
        </w:rPr>
        <w:t>lack of proper standardization of preoperative low</w:t>
      </w:r>
      <w:r w:rsidR="006A695E" w:rsidRPr="00051B46">
        <w:rPr>
          <w:rFonts w:ascii="Arial" w:hAnsi="Arial" w:cs="Arial"/>
        </w:rPr>
        <w:t>-</w:t>
      </w:r>
      <w:r w:rsidRPr="00051B46">
        <w:rPr>
          <w:rFonts w:ascii="Arial" w:hAnsi="Arial" w:cs="Arial"/>
        </w:rPr>
        <w:t>caloric diet</w:t>
      </w:r>
      <w:r w:rsidR="00D874D5" w:rsidRPr="00051B46">
        <w:rPr>
          <w:rFonts w:ascii="Arial" w:hAnsi="Arial" w:cs="Arial"/>
        </w:rPr>
        <w:t xml:space="preserve">, frequent </w:t>
      </w:r>
      <w:r w:rsidRPr="00051B46">
        <w:rPr>
          <w:rFonts w:ascii="Arial" w:hAnsi="Arial" w:cs="Arial"/>
          <w:noProof/>
        </w:rPr>
        <w:t>dropout</w:t>
      </w:r>
      <w:r w:rsidR="00D874D5" w:rsidRPr="00051B46">
        <w:rPr>
          <w:rFonts w:ascii="Arial" w:hAnsi="Arial" w:cs="Arial"/>
        </w:rPr>
        <w:t>s</w:t>
      </w:r>
      <w:r w:rsidR="000809F1" w:rsidRPr="00051B46">
        <w:rPr>
          <w:rFonts w:ascii="Arial" w:hAnsi="Arial" w:cs="Arial"/>
        </w:rPr>
        <w:t>,</w:t>
      </w:r>
      <w:r w:rsidR="00D874D5" w:rsidRPr="00051B46">
        <w:rPr>
          <w:rFonts w:ascii="Arial" w:hAnsi="Arial" w:cs="Arial"/>
        </w:rPr>
        <w:t xml:space="preserve"> </w:t>
      </w:r>
      <w:r w:rsidR="00106EC2" w:rsidRPr="00051B46">
        <w:rPr>
          <w:rFonts w:ascii="Arial" w:hAnsi="Arial" w:cs="Arial"/>
        </w:rPr>
        <w:t>and</w:t>
      </w:r>
      <w:r w:rsidRPr="00051B46">
        <w:rPr>
          <w:rFonts w:ascii="Arial" w:hAnsi="Arial" w:cs="Arial"/>
        </w:rPr>
        <w:t xml:space="preserve"> </w:t>
      </w:r>
      <w:r w:rsidR="00106EC2" w:rsidRPr="00051B46">
        <w:rPr>
          <w:rFonts w:ascii="Arial" w:hAnsi="Arial" w:cs="Arial"/>
        </w:rPr>
        <w:t xml:space="preserve">often </w:t>
      </w:r>
      <w:r w:rsidRPr="00051B46">
        <w:rPr>
          <w:rFonts w:ascii="Arial" w:hAnsi="Arial" w:cs="Arial"/>
        </w:rPr>
        <w:t xml:space="preserve">no </w:t>
      </w:r>
      <w:r w:rsidR="00106EC2" w:rsidRPr="00051B46">
        <w:rPr>
          <w:rFonts w:ascii="Arial" w:hAnsi="Arial" w:cs="Arial"/>
        </w:rPr>
        <w:t xml:space="preserve">standardized time </w:t>
      </w:r>
      <w:r w:rsidR="006A695E" w:rsidRPr="00051B46">
        <w:rPr>
          <w:rFonts w:ascii="Arial" w:hAnsi="Arial" w:cs="Arial"/>
        </w:rPr>
        <w:t xml:space="preserve">after </w:t>
      </w:r>
      <w:r w:rsidR="00106EC2" w:rsidRPr="00051B46">
        <w:rPr>
          <w:rFonts w:ascii="Arial" w:hAnsi="Arial" w:cs="Arial"/>
        </w:rPr>
        <w:t xml:space="preserve">the </w:t>
      </w:r>
      <w:r w:rsidR="006A695E" w:rsidRPr="00051B46">
        <w:rPr>
          <w:rFonts w:ascii="Arial" w:hAnsi="Arial" w:cs="Arial"/>
        </w:rPr>
        <w:t xml:space="preserve">repeat </w:t>
      </w:r>
      <w:r w:rsidRPr="00051B46">
        <w:rPr>
          <w:rFonts w:ascii="Arial" w:hAnsi="Arial" w:cs="Arial"/>
        </w:rPr>
        <w:t>postoperative liver biops</w:t>
      </w:r>
      <w:r w:rsidR="006A695E" w:rsidRPr="00051B46">
        <w:rPr>
          <w:rFonts w:ascii="Arial" w:hAnsi="Arial" w:cs="Arial"/>
        </w:rPr>
        <w:t>y</w:t>
      </w:r>
      <w:r w:rsidRPr="00051B46">
        <w:rPr>
          <w:rFonts w:ascii="Arial" w:hAnsi="Arial" w:cs="Arial"/>
        </w:rPr>
        <w:t>. Finally, there are no randomized clinical trials</w:t>
      </w:r>
      <w:r w:rsidR="00464CFC" w:rsidRPr="00051B46">
        <w:rPr>
          <w:rFonts w:ascii="Arial" w:hAnsi="Arial" w:cs="Arial"/>
        </w:rPr>
        <w:t xml:space="preserve"> (RCT)</w:t>
      </w:r>
      <w:r w:rsidRPr="00051B46">
        <w:rPr>
          <w:rFonts w:ascii="Arial" w:hAnsi="Arial" w:cs="Arial"/>
        </w:rPr>
        <w:t xml:space="preserve"> that compare bariatric surgery versus conservative management in patients with NASH</w:t>
      </w:r>
      <w:r w:rsidR="00106EC2" w:rsidRPr="00051B46">
        <w:rPr>
          <w:rFonts w:ascii="Arial" w:hAnsi="Arial" w:cs="Arial"/>
        </w:rPr>
        <w:t xml:space="preserve"> with liver histology as the </w:t>
      </w:r>
      <w:r w:rsidR="004111D7" w:rsidRPr="00051B46">
        <w:rPr>
          <w:rFonts w:ascii="Arial" w:hAnsi="Arial" w:cs="Arial"/>
        </w:rPr>
        <w:t xml:space="preserve">primary </w:t>
      </w:r>
      <w:r w:rsidR="00106EC2" w:rsidRPr="00051B46">
        <w:rPr>
          <w:rFonts w:ascii="Arial" w:hAnsi="Arial" w:cs="Arial"/>
        </w:rPr>
        <w:t>endpoint</w:t>
      </w:r>
      <w:r w:rsidR="000809F1" w:rsidRPr="00051B46">
        <w:rPr>
          <w:rFonts w:ascii="Arial" w:hAnsi="Arial" w:cs="Arial"/>
        </w:rPr>
        <w:t xml:space="preserve"> (</w:t>
      </w:r>
      <w:r w:rsidR="00AB6433" w:rsidRPr="00051B46">
        <w:rPr>
          <w:rFonts w:ascii="Arial" w:hAnsi="Arial" w:cs="Arial"/>
        </w:rPr>
        <w:t>137,138</w:t>
      </w:r>
      <w:r w:rsidR="000809F1" w:rsidRPr="00051B46">
        <w:rPr>
          <w:rFonts w:ascii="Arial" w:hAnsi="Arial" w:cs="Arial"/>
        </w:rPr>
        <w:t>)</w:t>
      </w:r>
      <w:r w:rsidR="004069E2" w:rsidRPr="00051B46">
        <w:rPr>
          <w:rFonts w:ascii="Arial" w:hAnsi="Arial" w:cs="Arial"/>
        </w:rPr>
        <w:t>.</w:t>
      </w:r>
      <w:r w:rsidR="00487C75" w:rsidRPr="00051B46">
        <w:rPr>
          <w:rFonts w:ascii="Arial" w:hAnsi="Arial" w:cs="Arial"/>
        </w:rPr>
        <w:t xml:space="preserve"> Weight loss agents had no specific liver benefit</w:t>
      </w:r>
      <w:r w:rsidR="006604D7" w:rsidRPr="00051B46">
        <w:rPr>
          <w:rFonts w:ascii="Arial" w:hAnsi="Arial" w:cs="Arial"/>
        </w:rPr>
        <w:t xml:space="preserve"> (</w:t>
      </w:r>
      <w:r w:rsidR="00AB6433" w:rsidRPr="00051B46">
        <w:rPr>
          <w:rFonts w:ascii="Arial" w:hAnsi="Arial" w:cs="Arial"/>
        </w:rPr>
        <w:t>131</w:t>
      </w:r>
      <w:r w:rsidR="006604D7" w:rsidRPr="00051B46">
        <w:rPr>
          <w:rFonts w:ascii="Arial" w:hAnsi="Arial" w:cs="Arial"/>
        </w:rPr>
        <w:t>)</w:t>
      </w:r>
      <w:r w:rsidR="00487C75" w:rsidRPr="00051B46">
        <w:rPr>
          <w:rFonts w:ascii="Arial" w:hAnsi="Arial" w:cs="Arial"/>
        </w:rPr>
        <w:t xml:space="preserve">, </w:t>
      </w:r>
      <w:r w:rsidR="00106EC2" w:rsidRPr="00051B46">
        <w:rPr>
          <w:rFonts w:ascii="Arial" w:hAnsi="Arial" w:cs="Arial"/>
        </w:rPr>
        <w:t xml:space="preserve">but </w:t>
      </w:r>
      <w:r w:rsidR="00487C75" w:rsidRPr="00051B46">
        <w:rPr>
          <w:rFonts w:ascii="Arial" w:hAnsi="Arial" w:cs="Arial"/>
        </w:rPr>
        <w:t xml:space="preserve">can help with weight </w:t>
      </w:r>
      <w:r w:rsidR="00106EC2" w:rsidRPr="00051B46">
        <w:rPr>
          <w:rFonts w:ascii="Arial" w:hAnsi="Arial" w:cs="Arial"/>
        </w:rPr>
        <w:t xml:space="preserve">control </w:t>
      </w:r>
      <w:r w:rsidR="00487C75" w:rsidRPr="00051B46">
        <w:rPr>
          <w:rFonts w:ascii="Arial" w:hAnsi="Arial" w:cs="Arial"/>
        </w:rPr>
        <w:t>and cause improvement in plasma aminotransferases</w:t>
      </w:r>
      <w:r w:rsidR="00106EC2" w:rsidRPr="00051B46">
        <w:rPr>
          <w:rFonts w:ascii="Arial" w:hAnsi="Arial" w:cs="Arial"/>
        </w:rPr>
        <w:t xml:space="preserve"> and liver histology</w:t>
      </w:r>
      <w:r w:rsidR="006604D7" w:rsidRPr="00051B46">
        <w:rPr>
          <w:rFonts w:ascii="Arial" w:hAnsi="Arial" w:cs="Arial"/>
        </w:rPr>
        <w:t xml:space="preserve"> (</w:t>
      </w:r>
      <w:r w:rsidR="00AB6433" w:rsidRPr="00051B46">
        <w:rPr>
          <w:rFonts w:ascii="Arial" w:hAnsi="Arial" w:cs="Arial"/>
        </w:rPr>
        <w:t>139,140</w:t>
      </w:r>
      <w:r w:rsidR="006604D7" w:rsidRPr="00051B46">
        <w:rPr>
          <w:rFonts w:ascii="Arial" w:hAnsi="Arial" w:cs="Arial"/>
        </w:rPr>
        <w:t>)</w:t>
      </w:r>
      <w:r w:rsidR="00654298" w:rsidRPr="00051B46">
        <w:rPr>
          <w:rFonts w:ascii="Arial" w:hAnsi="Arial" w:cs="Arial"/>
        </w:rPr>
        <w:t>.</w:t>
      </w:r>
    </w:p>
    <w:p w14:paraId="27AE92A5" w14:textId="643048B1" w:rsidR="005576D0" w:rsidRPr="00051B46" w:rsidRDefault="00654298" w:rsidP="002506B3">
      <w:pPr>
        <w:spacing w:after="0" w:line="276" w:lineRule="auto"/>
        <w:rPr>
          <w:rFonts w:ascii="Arial" w:hAnsi="Arial" w:cs="Arial"/>
        </w:rPr>
      </w:pPr>
      <w:r w:rsidRPr="00051B46">
        <w:rPr>
          <w:rFonts w:ascii="Arial" w:hAnsi="Arial" w:cs="Arial"/>
        </w:rPr>
        <w:t xml:space="preserve"> </w:t>
      </w:r>
      <w:r w:rsidR="00D874D5" w:rsidRPr="00051B46">
        <w:rPr>
          <w:rFonts w:ascii="Arial" w:hAnsi="Arial" w:cs="Arial"/>
        </w:rPr>
        <w:t xml:space="preserve"> </w:t>
      </w:r>
    </w:p>
    <w:p w14:paraId="0D2C207A" w14:textId="6458D8BF" w:rsidR="00557F7D" w:rsidRPr="00051B46" w:rsidRDefault="008136B6" w:rsidP="002506B3">
      <w:pPr>
        <w:spacing w:after="0" w:line="276" w:lineRule="auto"/>
        <w:rPr>
          <w:rFonts w:ascii="Arial" w:hAnsi="Arial" w:cs="Arial"/>
          <w:vertAlign w:val="superscript"/>
        </w:rPr>
      </w:pPr>
      <w:r w:rsidRPr="00051B46">
        <w:rPr>
          <w:rFonts w:ascii="Arial" w:hAnsi="Arial" w:cs="Arial"/>
        </w:rPr>
        <w:t>Adding r</w:t>
      </w:r>
      <w:r w:rsidR="00953D4A" w:rsidRPr="00051B46">
        <w:rPr>
          <w:rFonts w:ascii="Arial" w:hAnsi="Arial" w:cs="Arial"/>
        </w:rPr>
        <w:t>egular moderate-intensity aerobic</w:t>
      </w:r>
      <w:r w:rsidRPr="00051B46">
        <w:rPr>
          <w:rFonts w:ascii="Arial" w:hAnsi="Arial" w:cs="Arial"/>
        </w:rPr>
        <w:t xml:space="preserve"> exercise/resistance training</w:t>
      </w:r>
      <w:r w:rsidR="00953D4A" w:rsidRPr="00051B46">
        <w:rPr>
          <w:rFonts w:ascii="Arial" w:hAnsi="Arial" w:cs="Arial"/>
        </w:rPr>
        <w:t xml:space="preserve"> </w:t>
      </w:r>
      <w:r w:rsidR="00AF1558" w:rsidRPr="00051B46">
        <w:rPr>
          <w:rFonts w:ascii="Arial" w:hAnsi="Arial" w:cs="Arial"/>
        </w:rPr>
        <w:t xml:space="preserve">is highly encouraged as a </w:t>
      </w:r>
      <w:r w:rsidR="00953D4A" w:rsidRPr="00051B46">
        <w:rPr>
          <w:rFonts w:ascii="Arial" w:hAnsi="Arial" w:cs="Arial"/>
        </w:rPr>
        <w:t>lifestyle intervention</w:t>
      </w:r>
      <w:r w:rsidR="00AF1558" w:rsidRPr="00051B46">
        <w:rPr>
          <w:rFonts w:ascii="Arial" w:hAnsi="Arial" w:cs="Arial"/>
        </w:rPr>
        <w:t xml:space="preserve"> for NAFLD.</w:t>
      </w:r>
      <w:r w:rsidR="00953D4A" w:rsidRPr="00051B46">
        <w:rPr>
          <w:rFonts w:ascii="Arial" w:hAnsi="Arial" w:cs="Arial"/>
        </w:rPr>
        <w:t xml:space="preserve"> </w:t>
      </w:r>
      <w:r w:rsidR="004323EF" w:rsidRPr="00051B46">
        <w:rPr>
          <w:rFonts w:ascii="Arial" w:hAnsi="Arial" w:cs="Arial"/>
        </w:rPr>
        <w:t xml:space="preserve">Exercise </w:t>
      </w:r>
      <w:r w:rsidR="00417028" w:rsidRPr="00051B46">
        <w:rPr>
          <w:rFonts w:ascii="Arial" w:hAnsi="Arial" w:cs="Arial"/>
        </w:rPr>
        <w:t xml:space="preserve">not only </w:t>
      </w:r>
      <w:r w:rsidR="00953D4A" w:rsidRPr="00051B46">
        <w:rPr>
          <w:rFonts w:ascii="Arial" w:hAnsi="Arial" w:cs="Arial"/>
        </w:rPr>
        <w:t xml:space="preserve">improves steatosis </w:t>
      </w:r>
      <w:r w:rsidR="00417028" w:rsidRPr="00051B46">
        <w:rPr>
          <w:rFonts w:ascii="Arial" w:hAnsi="Arial" w:cs="Arial"/>
        </w:rPr>
        <w:t xml:space="preserve">but the high </w:t>
      </w:r>
      <w:r w:rsidR="00953D4A" w:rsidRPr="00051B46">
        <w:rPr>
          <w:rFonts w:ascii="Arial" w:hAnsi="Arial" w:cs="Arial"/>
        </w:rPr>
        <w:t>cardio-metabolic risk profile</w:t>
      </w:r>
      <w:r w:rsidR="00417028" w:rsidRPr="00051B46">
        <w:rPr>
          <w:rFonts w:ascii="Arial" w:hAnsi="Arial" w:cs="Arial"/>
        </w:rPr>
        <w:t>, even in the absence of</w:t>
      </w:r>
      <w:r w:rsidR="00953D4A" w:rsidRPr="00051B46">
        <w:rPr>
          <w:rFonts w:ascii="Arial" w:hAnsi="Arial" w:cs="Arial"/>
        </w:rPr>
        <w:t xml:space="preserve"> </w:t>
      </w:r>
      <w:r w:rsidR="00417028" w:rsidRPr="00051B46">
        <w:rPr>
          <w:rFonts w:ascii="Arial" w:hAnsi="Arial" w:cs="Arial"/>
        </w:rPr>
        <w:t>significant</w:t>
      </w:r>
      <w:r w:rsidR="00953D4A" w:rsidRPr="00051B46">
        <w:rPr>
          <w:rFonts w:ascii="Arial" w:hAnsi="Arial" w:cs="Arial"/>
        </w:rPr>
        <w:t xml:space="preserve"> weight loss</w:t>
      </w:r>
      <w:r w:rsidR="006604D7" w:rsidRPr="00051B46">
        <w:rPr>
          <w:rFonts w:ascii="Arial" w:hAnsi="Arial" w:cs="Arial"/>
        </w:rPr>
        <w:t xml:space="preserve"> (</w:t>
      </w:r>
      <w:r w:rsidR="00CF3694" w:rsidRPr="00051B46">
        <w:rPr>
          <w:rFonts w:ascii="Arial" w:hAnsi="Arial" w:cs="Arial"/>
        </w:rPr>
        <w:t>92</w:t>
      </w:r>
      <w:r w:rsidR="00D93D34" w:rsidRPr="00051B46">
        <w:rPr>
          <w:rFonts w:ascii="Arial" w:hAnsi="Arial" w:cs="Arial"/>
        </w:rPr>
        <w:t>,</w:t>
      </w:r>
      <w:r w:rsidR="00751792" w:rsidRPr="00051B46">
        <w:rPr>
          <w:rFonts w:ascii="Arial" w:hAnsi="Arial" w:cs="Arial"/>
        </w:rPr>
        <w:t>124</w:t>
      </w:r>
      <w:r w:rsidR="006604D7" w:rsidRPr="00051B46">
        <w:rPr>
          <w:rFonts w:ascii="Arial" w:hAnsi="Arial" w:cs="Arial"/>
        </w:rPr>
        <w:t>,</w:t>
      </w:r>
      <w:r w:rsidR="00751792" w:rsidRPr="00051B46">
        <w:rPr>
          <w:rFonts w:ascii="Arial" w:hAnsi="Arial" w:cs="Arial"/>
        </w:rPr>
        <w:t>141</w:t>
      </w:r>
      <w:r w:rsidR="006604D7" w:rsidRPr="00051B46">
        <w:rPr>
          <w:rFonts w:ascii="Arial" w:hAnsi="Arial" w:cs="Arial"/>
        </w:rPr>
        <w:t>)</w:t>
      </w:r>
      <w:r w:rsidRPr="00051B46">
        <w:rPr>
          <w:rFonts w:ascii="Arial" w:hAnsi="Arial" w:cs="Arial"/>
        </w:rPr>
        <w:t xml:space="preserve">. </w:t>
      </w:r>
      <w:r w:rsidR="00E43CAA" w:rsidRPr="00051B46">
        <w:rPr>
          <w:rFonts w:ascii="Arial" w:hAnsi="Arial" w:cs="Arial"/>
        </w:rPr>
        <w:t>In a</w:t>
      </w:r>
      <w:r w:rsidR="0047239E" w:rsidRPr="00051B46">
        <w:rPr>
          <w:rFonts w:ascii="Arial" w:hAnsi="Arial" w:cs="Arial"/>
        </w:rPr>
        <w:t xml:space="preserve">n uncontrolled study </w:t>
      </w:r>
      <w:r w:rsidR="004323EF" w:rsidRPr="00051B46">
        <w:rPr>
          <w:rFonts w:ascii="Arial" w:hAnsi="Arial" w:cs="Arial"/>
        </w:rPr>
        <w:t>of</w:t>
      </w:r>
      <w:r w:rsidR="00E43CAA" w:rsidRPr="00051B46">
        <w:rPr>
          <w:rFonts w:ascii="Arial" w:hAnsi="Arial" w:cs="Arial"/>
        </w:rPr>
        <w:t xml:space="preserve"> </w:t>
      </w:r>
      <w:r w:rsidR="00245665" w:rsidRPr="00051B46">
        <w:rPr>
          <w:rFonts w:ascii="Arial" w:hAnsi="Arial" w:cs="Arial"/>
        </w:rPr>
        <w:t xml:space="preserve">293 </w:t>
      </w:r>
      <w:r w:rsidR="00E43CAA" w:rsidRPr="00051B46">
        <w:rPr>
          <w:rFonts w:ascii="Arial" w:hAnsi="Arial" w:cs="Arial"/>
        </w:rPr>
        <w:t xml:space="preserve">patients paired with </w:t>
      </w:r>
      <w:r w:rsidR="004323EF" w:rsidRPr="00051B46">
        <w:rPr>
          <w:rFonts w:ascii="Arial" w:hAnsi="Arial" w:cs="Arial"/>
        </w:rPr>
        <w:t xml:space="preserve">liver </w:t>
      </w:r>
      <w:r w:rsidR="00E43CAA" w:rsidRPr="00051B46">
        <w:rPr>
          <w:rFonts w:ascii="Arial" w:hAnsi="Arial" w:cs="Arial"/>
        </w:rPr>
        <w:t>biops</w:t>
      </w:r>
      <w:r w:rsidR="004323EF" w:rsidRPr="00051B46">
        <w:rPr>
          <w:rFonts w:ascii="Arial" w:hAnsi="Arial" w:cs="Arial"/>
        </w:rPr>
        <w:t>ies</w:t>
      </w:r>
      <w:r w:rsidR="00E43CAA" w:rsidRPr="00051B46">
        <w:rPr>
          <w:rFonts w:ascii="Arial" w:hAnsi="Arial" w:cs="Arial"/>
        </w:rPr>
        <w:t xml:space="preserve">, </w:t>
      </w:r>
      <w:r w:rsidR="004323EF" w:rsidRPr="00051B46">
        <w:rPr>
          <w:rFonts w:ascii="Arial" w:hAnsi="Arial" w:cs="Arial"/>
        </w:rPr>
        <w:t>one</w:t>
      </w:r>
      <w:r w:rsidR="00E43CAA" w:rsidRPr="00051B46">
        <w:rPr>
          <w:rFonts w:ascii="Arial" w:hAnsi="Arial" w:cs="Arial"/>
        </w:rPr>
        <w:t xml:space="preserve"> year of </w:t>
      </w:r>
      <w:r w:rsidR="00417028" w:rsidRPr="00051B46">
        <w:rPr>
          <w:rFonts w:ascii="Arial" w:hAnsi="Arial" w:cs="Arial"/>
        </w:rPr>
        <w:t xml:space="preserve">structured </w:t>
      </w:r>
      <w:r w:rsidR="0047239E" w:rsidRPr="00051B46">
        <w:rPr>
          <w:rFonts w:ascii="Arial" w:hAnsi="Arial" w:cs="Arial"/>
        </w:rPr>
        <w:t xml:space="preserve">exercise (walking 200 min/week) combined with </w:t>
      </w:r>
      <w:r w:rsidR="00926150" w:rsidRPr="00051B46">
        <w:rPr>
          <w:rFonts w:ascii="Arial" w:hAnsi="Arial" w:cs="Arial"/>
        </w:rPr>
        <w:t xml:space="preserve">a </w:t>
      </w:r>
      <w:r w:rsidR="0047239E" w:rsidRPr="00051B46">
        <w:rPr>
          <w:rFonts w:ascii="Arial" w:hAnsi="Arial" w:cs="Arial"/>
          <w:noProof/>
        </w:rPr>
        <w:t>hypocaloric</w:t>
      </w:r>
      <w:r w:rsidR="0047239E" w:rsidRPr="00051B46">
        <w:rPr>
          <w:rFonts w:ascii="Arial" w:hAnsi="Arial" w:cs="Arial"/>
        </w:rPr>
        <w:t xml:space="preserve"> diet</w:t>
      </w:r>
      <w:r w:rsidR="00417028" w:rsidRPr="00051B46">
        <w:rPr>
          <w:rFonts w:ascii="Arial" w:hAnsi="Arial" w:cs="Arial"/>
        </w:rPr>
        <w:t xml:space="preserve"> improved </w:t>
      </w:r>
      <w:r w:rsidR="0047239E" w:rsidRPr="00051B46">
        <w:rPr>
          <w:rFonts w:ascii="Arial" w:hAnsi="Arial" w:cs="Arial"/>
        </w:rPr>
        <w:t>hepatic steatosis and necroinflammation</w:t>
      </w:r>
      <w:r w:rsidR="006604D7" w:rsidRPr="00051B46">
        <w:rPr>
          <w:rFonts w:ascii="Arial" w:hAnsi="Arial" w:cs="Arial"/>
        </w:rPr>
        <w:t xml:space="preserve"> (</w:t>
      </w:r>
      <w:r w:rsidR="00751792" w:rsidRPr="00051B46">
        <w:rPr>
          <w:rFonts w:ascii="Arial" w:hAnsi="Arial" w:cs="Arial"/>
        </w:rPr>
        <w:t>133</w:t>
      </w:r>
      <w:r w:rsidR="006604D7" w:rsidRPr="00051B46">
        <w:rPr>
          <w:rFonts w:ascii="Arial" w:hAnsi="Arial" w:cs="Arial"/>
        </w:rPr>
        <w:t>)</w:t>
      </w:r>
      <w:r w:rsidRPr="00051B46">
        <w:rPr>
          <w:rFonts w:ascii="Arial" w:hAnsi="Arial" w:cs="Arial"/>
        </w:rPr>
        <w:t xml:space="preserve">. </w:t>
      </w:r>
      <w:r w:rsidR="00E43CAA" w:rsidRPr="00051B46">
        <w:rPr>
          <w:rFonts w:ascii="Arial" w:hAnsi="Arial" w:cs="Arial"/>
        </w:rPr>
        <w:t xml:space="preserve">In order to </w:t>
      </w:r>
      <w:r w:rsidR="00FA1768" w:rsidRPr="00051B46">
        <w:rPr>
          <w:rFonts w:ascii="Arial" w:hAnsi="Arial" w:cs="Arial"/>
        </w:rPr>
        <w:t xml:space="preserve">sustain </w:t>
      </w:r>
      <w:r w:rsidR="00E43CAA" w:rsidRPr="00051B46">
        <w:rPr>
          <w:rFonts w:ascii="Arial" w:hAnsi="Arial" w:cs="Arial"/>
        </w:rPr>
        <w:t>weight loss, most dietary recommendations</w:t>
      </w:r>
      <w:r w:rsidR="00FA1768" w:rsidRPr="00051B46">
        <w:rPr>
          <w:rFonts w:ascii="Arial" w:hAnsi="Arial" w:cs="Arial"/>
        </w:rPr>
        <w:t xml:space="preserve"> </w:t>
      </w:r>
      <w:r w:rsidR="00E43CAA" w:rsidRPr="00051B46">
        <w:rPr>
          <w:rFonts w:ascii="Arial" w:hAnsi="Arial" w:cs="Arial"/>
        </w:rPr>
        <w:t xml:space="preserve">for NAFLD reflect </w:t>
      </w:r>
      <w:r w:rsidR="00FA1768" w:rsidRPr="00051B46">
        <w:rPr>
          <w:rFonts w:ascii="Arial" w:hAnsi="Arial" w:cs="Arial"/>
        </w:rPr>
        <w:t xml:space="preserve">a combination of hypocaloric diet </w:t>
      </w:r>
      <w:r w:rsidR="00E43CAA" w:rsidRPr="00051B46">
        <w:rPr>
          <w:rFonts w:ascii="Arial" w:hAnsi="Arial" w:cs="Arial"/>
        </w:rPr>
        <w:t>(500–</w:t>
      </w:r>
      <w:r w:rsidR="00FA1768" w:rsidRPr="00051B46">
        <w:rPr>
          <w:rFonts w:ascii="Arial" w:hAnsi="Arial" w:cs="Arial"/>
        </w:rPr>
        <w:t xml:space="preserve">1000 </w:t>
      </w:r>
      <w:r w:rsidR="00E43CAA" w:rsidRPr="00051B46">
        <w:rPr>
          <w:rFonts w:ascii="Arial" w:hAnsi="Arial" w:cs="Arial"/>
        </w:rPr>
        <w:t xml:space="preserve">kcal/day energy deficit) </w:t>
      </w:r>
      <w:r w:rsidR="00FA1768" w:rsidRPr="00051B46">
        <w:rPr>
          <w:rFonts w:ascii="Arial" w:hAnsi="Arial" w:cs="Arial"/>
        </w:rPr>
        <w:t xml:space="preserve">with </w:t>
      </w:r>
      <w:r w:rsidR="00E43CAA" w:rsidRPr="00051B46">
        <w:rPr>
          <w:rFonts w:ascii="Arial" w:hAnsi="Arial" w:cs="Arial"/>
        </w:rPr>
        <w:t>exercise</w:t>
      </w:r>
      <w:r w:rsidR="006604D7" w:rsidRPr="00051B46">
        <w:rPr>
          <w:rFonts w:ascii="Arial" w:hAnsi="Arial" w:cs="Arial"/>
        </w:rPr>
        <w:t xml:space="preserve"> (</w:t>
      </w:r>
      <w:r w:rsidR="00751792" w:rsidRPr="00051B46">
        <w:rPr>
          <w:rFonts w:ascii="Arial" w:hAnsi="Arial" w:cs="Arial"/>
        </w:rPr>
        <w:t>92</w:t>
      </w:r>
      <w:r w:rsidR="00D93D34" w:rsidRPr="00051B46">
        <w:rPr>
          <w:rFonts w:ascii="Arial" w:hAnsi="Arial" w:cs="Arial"/>
        </w:rPr>
        <w:t>,</w:t>
      </w:r>
      <w:r w:rsidR="00751792" w:rsidRPr="00051B46">
        <w:rPr>
          <w:rFonts w:ascii="Arial" w:hAnsi="Arial" w:cs="Arial"/>
        </w:rPr>
        <w:t>1</w:t>
      </w:r>
      <w:r w:rsidR="00727E64" w:rsidRPr="00051B46">
        <w:rPr>
          <w:rFonts w:ascii="Arial" w:hAnsi="Arial" w:cs="Arial"/>
        </w:rPr>
        <w:t>34</w:t>
      </w:r>
      <w:r w:rsidR="006604D7" w:rsidRPr="00051B46">
        <w:rPr>
          <w:rFonts w:ascii="Arial" w:hAnsi="Arial" w:cs="Arial"/>
        </w:rPr>
        <w:t>)</w:t>
      </w:r>
      <w:r w:rsidR="00FA1768" w:rsidRPr="00051B46">
        <w:rPr>
          <w:rFonts w:ascii="Arial" w:hAnsi="Arial" w:cs="Arial"/>
        </w:rPr>
        <w:t>.</w:t>
      </w:r>
      <w:r w:rsidR="004E6BC0" w:rsidRPr="00051B46" w:rsidDel="004E6BC0">
        <w:rPr>
          <w:rFonts w:ascii="Arial" w:hAnsi="Arial" w:cs="Arial"/>
          <w:highlight w:val="cyan"/>
          <w:vertAlign w:val="superscript"/>
        </w:rPr>
        <w:t xml:space="preserve"> </w:t>
      </w:r>
    </w:p>
    <w:p w14:paraId="37B46407" w14:textId="46DEB7F9" w:rsidR="0091696F" w:rsidRPr="00051B46" w:rsidRDefault="0091696F" w:rsidP="002506B3">
      <w:pPr>
        <w:spacing w:after="0" w:line="276" w:lineRule="auto"/>
        <w:rPr>
          <w:rFonts w:ascii="Arial" w:hAnsi="Arial" w:cs="Arial"/>
          <w:vertAlign w:val="superscript"/>
        </w:rPr>
      </w:pPr>
    </w:p>
    <w:p w14:paraId="46CE3770" w14:textId="3F800D2D" w:rsidR="00A641DC" w:rsidRPr="00051B46" w:rsidRDefault="0091696F" w:rsidP="002506B3">
      <w:pPr>
        <w:spacing w:after="0" w:line="276" w:lineRule="auto"/>
        <w:rPr>
          <w:rFonts w:ascii="Arial" w:hAnsi="Arial" w:cs="Arial"/>
          <w:vertAlign w:val="superscript"/>
        </w:rPr>
      </w:pPr>
      <w:r w:rsidRPr="00051B46">
        <w:rPr>
          <w:rFonts w:ascii="Arial" w:hAnsi="Arial" w:cs="Arial"/>
        </w:rPr>
        <w:lastRenderedPageBreak/>
        <w:t xml:space="preserve">Heavy alcohol consumption should be avoided by patients with NAFLD and NASH.  </w:t>
      </w:r>
      <w:r w:rsidR="0076236C" w:rsidRPr="00051B46">
        <w:rPr>
          <w:rFonts w:ascii="Arial" w:hAnsi="Arial" w:cs="Arial"/>
        </w:rPr>
        <w:t>Heavy drinking is defined as four standard drinks on any day or more than 14 drinks per week in men</w:t>
      </w:r>
      <w:r w:rsidR="00F16868" w:rsidRPr="00051B46">
        <w:rPr>
          <w:rFonts w:ascii="Arial" w:hAnsi="Arial" w:cs="Arial"/>
        </w:rPr>
        <w:t>,</w:t>
      </w:r>
      <w:r w:rsidR="0076236C" w:rsidRPr="00051B46">
        <w:rPr>
          <w:rFonts w:ascii="Arial" w:hAnsi="Arial" w:cs="Arial"/>
        </w:rPr>
        <w:t xml:space="preserve"> or more than three drinks on any day or seven drinks per week in women (9</w:t>
      </w:r>
      <w:r w:rsidR="00FD0B5E" w:rsidRPr="00051B46">
        <w:rPr>
          <w:rFonts w:ascii="Arial" w:hAnsi="Arial" w:cs="Arial"/>
        </w:rPr>
        <w:t>2</w:t>
      </w:r>
      <w:r w:rsidR="0076236C" w:rsidRPr="00051B46">
        <w:rPr>
          <w:rFonts w:ascii="Arial" w:hAnsi="Arial" w:cs="Arial"/>
        </w:rPr>
        <w:t>).</w:t>
      </w:r>
      <w:r w:rsidR="00BD2C95" w:rsidRPr="00051B46">
        <w:rPr>
          <w:rFonts w:ascii="Arial" w:hAnsi="Arial" w:cs="Arial"/>
        </w:rPr>
        <w:t xml:space="preserve">  There are no longitudinal studies reporting the effect of ongoing alcohol consumption on</w:t>
      </w:r>
      <w:r w:rsidR="00AF352D" w:rsidRPr="00051B46">
        <w:rPr>
          <w:rFonts w:ascii="Arial" w:hAnsi="Arial" w:cs="Arial"/>
        </w:rPr>
        <w:t xml:space="preserve"> disease progression or</w:t>
      </w:r>
      <w:r w:rsidR="00BD2C95" w:rsidRPr="00051B46">
        <w:rPr>
          <w:rFonts w:ascii="Arial" w:hAnsi="Arial" w:cs="Arial"/>
        </w:rPr>
        <w:t xml:space="preserve"> </w:t>
      </w:r>
      <w:r w:rsidR="00F16868" w:rsidRPr="00051B46">
        <w:rPr>
          <w:rFonts w:ascii="Arial" w:hAnsi="Arial" w:cs="Arial"/>
        </w:rPr>
        <w:t xml:space="preserve">the </w:t>
      </w:r>
      <w:r w:rsidR="00BD2C95" w:rsidRPr="00051B46">
        <w:rPr>
          <w:rFonts w:ascii="Arial" w:hAnsi="Arial" w:cs="Arial"/>
        </w:rPr>
        <w:t>natural history of NAFLD or NASH.</w:t>
      </w:r>
    </w:p>
    <w:p w14:paraId="58B90FFD" w14:textId="59D988FC" w:rsidR="00DD0FB5" w:rsidRPr="00051B46" w:rsidRDefault="00DD0FB5" w:rsidP="002506B3">
      <w:pPr>
        <w:spacing w:after="0" w:line="276" w:lineRule="auto"/>
        <w:rPr>
          <w:rFonts w:ascii="Arial" w:hAnsi="Arial" w:cs="Arial"/>
          <w:b/>
          <w:bCs/>
          <w:color w:val="FF0000"/>
        </w:rPr>
      </w:pPr>
    </w:p>
    <w:p w14:paraId="39DAD968" w14:textId="471D8A12" w:rsidR="00FD33F8" w:rsidRPr="00051B46" w:rsidRDefault="00FD33F8" w:rsidP="002506B3">
      <w:pPr>
        <w:spacing w:after="0" w:line="276" w:lineRule="auto"/>
        <w:rPr>
          <w:rFonts w:ascii="Arial" w:hAnsi="Arial" w:cs="Arial"/>
          <w:b/>
          <w:bCs/>
        </w:rPr>
      </w:pPr>
      <w:r w:rsidRPr="00051B46">
        <w:rPr>
          <w:rFonts w:ascii="Arial" w:hAnsi="Arial" w:cs="Arial"/>
          <w:b/>
          <w:bCs/>
        </w:rPr>
        <w:t xml:space="preserve">Pharmacological </w:t>
      </w:r>
      <w:r w:rsidR="006604D7" w:rsidRPr="00051B46">
        <w:rPr>
          <w:rFonts w:ascii="Arial" w:hAnsi="Arial" w:cs="Arial"/>
          <w:b/>
          <w:bCs/>
        </w:rPr>
        <w:t>A</w:t>
      </w:r>
      <w:r w:rsidRPr="00051B46">
        <w:rPr>
          <w:rFonts w:ascii="Arial" w:hAnsi="Arial" w:cs="Arial"/>
          <w:b/>
          <w:bCs/>
        </w:rPr>
        <w:t xml:space="preserve">gents with </w:t>
      </w:r>
      <w:r w:rsidR="006604D7" w:rsidRPr="00051B46">
        <w:rPr>
          <w:rFonts w:ascii="Arial" w:hAnsi="Arial" w:cs="Arial"/>
          <w:b/>
          <w:bCs/>
        </w:rPr>
        <w:t>E</w:t>
      </w:r>
      <w:r w:rsidRPr="00051B46">
        <w:rPr>
          <w:rFonts w:ascii="Arial" w:hAnsi="Arial" w:cs="Arial"/>
          <w:b/>
          <w:bCs/>
        </w:rPr>
        <w:t xml:space="preserve">vidence </w:t>
      </w:r>
      <w:r w:rsidR="00FE10A0" w:rsidRPr="00051B46">
        <w:rPr>
          <w:rFonts w:ascii="Arial" w:hAnsi="Arial" w:cs="Arial"/>
          <w:b/>
          <w:bCs/>
        </w:rPr>
        <w:t>f</w:t>
      </w:r>
      <w:r w:rsidRPr="00051B46">
        <w:rPr>
          <w:rFonts w:ascii="Arial" w:hAnsi="Arial" w:cs="Arial"/>
          <w:b/>
          <w:bCs/>
        </w:rPr>
        <w:t xml:space="preserve">rom RCTs </w:t>
      </w:r>
      <w:r w:rsidR="0065251A" w:rsidRPr="00051B46">
        <w:rPr>
          <w:rFonts w:ascii="Arial" w:hAnsi="Arial" w:cs="Arial"/>
          <w:b/>
          <w:bCs/>
        </w:rPr>
        <w:t xml:space="preserve">for the </w:t>
      </w:r>
      <w:r w:rsidR="006604D7" w:rsidRPr="00051B46">
        <w:rPr>
          <w:rFonts w:ascii="Arial" w:hAnsi="Arial" w:cs="Arial"/>
          <w:b/>
          <w:bCs/>
        </w:rPr>
        <w:t>T</w:t>
      </w:r>
      <w:r w:rsidR="0065251A" w:rsidRPr="00051B46">
        <w:rPr>
          <w:rFonts w:ascii="Arial" w:hAnsi="Arial" w:cs="Arial"/>
          <w:b/>
          <w:bCs/>
        </w:rPr>
        <w:t xml:space="preserve">reatment of </w:t>
      </w:r>
      <w:r w:rsidRPr="00051B46">
        <w:rPr>
          <w:rFonts w:ascii="Arial" w:hAnsi="Arial" w:cs="Arial"/>
          <w:b/>
          <w:bCs/>
        </w:rPr>
        <w:t>NASH</w:t>
      </w:r>
    </w:p>
    <w:p w14:paraId="5AF0FF08" w14:textId="77777777" w:rsidR="00E9433D" w:rsidRPr="00051B46" w:rsidRDefault="00E9433D" w:rsidP="002506B3">
      <w:pPr>
        <w:spacing w:after="0" w:line="276" w:lineRule="auto"/>
        <w:rPr>
          <w:rFonts w:ascii="Arial" w:hAnsi="Arial" w:cs="Arial"/>
        </w:rPr>
      </w:pPr>
    </w:p>
    <w:p w14:paraId="33FCBE16" w14:textId="48633BAC" w:rsidR="00E9433D" w:rsidRPr="00051B46" w:rsidRDefault="002C6D49" w:rsidP="002506B3">
      <w:pPr>
        <w:spacing w:after="0" w:line="276" w:lineRule="auto"/>
        <w:rPr>
          <w:rFonts w:ascii="Arial" w:hAnsi="Arial" w:cs="Arial"/>
        </w:rPr>
      </w:pPr>
      <w:r w:rsidRPr="00051B46">
        <w:rPr>
          <w:rFonts w:ascii="Arial" w:hAnsi="Arial" w:cs="Arial"/>
        </w:rPr>
        <w:t xml:space="preserve">Pharmacologic treatment </w:t>
      </w:r>
      <w:r w:rsidR="006342FC" w:rsidRPr="00051B46">
        <w:rPr>
          <w:rFonts w:ascii="Arial" w:hAnsi="Arial" w:cs="Arial"/>
        </w:rPr>
        <w:t>has</w:t>
      </w:r>
      <w:r w:rsidRPr="00051B46">
        <w:rPr>
          <w:rFonts w:ascii="Arial" w:hAnsi="Arial" w:cs="Arial"/>
        </w:rPr>
        <w:t xml:space="preserve"> been </w:t>
      </w:r>
      <w:r w:rsidR="00417028" w:rsidRPr="00051B46">
        <w:rPr>
          <w:rFonts w:ascii="Arial" w:hAnsi="Arial" w:cs="Arial"/>
        </w:rPr>
        <w:t xml:space="preserve">extensively </w:t>
      </w:r>
      <w:r w:rsidRPr="00051B46">
        <w:rPr>
          <w:rFonts w:ascii="Arial" w:hAnsi="Arial" w:cs="Arial"/>
        </w:rPr>
        <w:t>studied for patients with NASH</w:t>
      </w:r>
      <w:r w:rsidR="00E136BA" w:rsidRPr="00051B46">
        <w:rPr>
          <w:rFonts w:ascii="Arial" w:hAnsi="Arial" w:cs="Arial"/>
        </w:rPr>
        <w:t xml:space="preserve"> </w:t>
      </w:r>
      <w:r w:rsidR="008F54A4" w:rsidRPr="00051B46">
        <w:rPr>
          <w:rFonts w:ascii="Arial" w:hAnsi="Arial" w:cs="Arial"/>
        </w:rPr>
        <w:t xml:space="preserve">with </w:t>
      </w:r>
      <w:r w:rsidR="00E136BA" w:rsidRPr="00051B46">
        <w:rPr>
          <w:rFonts w:ascii="Arial" w:hAnsi="Arial" w:cs="Arial"/>
        </w:rPr>
        <w:t xml:space="preserve">or without </w:t>
      </w:r>
      <w:r w:rsidR="008F54A4" w:rsidRPr="00051B46">
        <w:rPr>
          <w:rFonts w:ascii="Arial" w:hAnsi="Arial" w:cs="Arial"/>
        </w:rPr>
        <w:t>diabetes mellitus</w:t>
      </w:r>
      <w:r w:rsidR="00E136BA" w:rsidRPr="00051B46">
        <w:rPr>
          <w:rFonts w:ascii="Arial" w:hAnsi="Arial" w:cs="Arial"/>
        </w:rPr>
        <w:t>. For patients with NASH and</w:t>
      </w:r>
      <w:r w:rsidR="00464CFC" w:rsidRPr="00051B46">
        <w:rPr>
          <w:rFonts w:ascii="Arial" w:hAnsi="Arial" w:cs="Arial"/>
        </w:rPr>
        <w:t xml:space="preserve"> T2DM</w:t>
      </w:r>
      <w:r w:rsidR="004323EF" w:rsidRPr="00051B46">
        <w:rPr>
          <w:rFonts w:ascii="Arial" w:hAnsi="Arial" w:cs="Arial"/>
        </w:rPr>
        <w:t xml:space="preserve">, the typical </w:t>
      </w:r>
      <w:r w:rsidR="008F54A4" w:rsidRPr="00051B46">
        <w:rPr>
          <w:rFonts w:ascii="Arial" w:hAnsi="Arial" w:cs="Arial"/>
        </w:rPr>
        <w:t xml:space="preserve">initial therapy </w:t>
      </w:r>
      <w:r w:rsidR="004323EF" w:rsidRPr="00051B46">
        <w:rPr>
          <w:rFonts w:ascii="Arial" w:hAnsi="Arial" w:cs="Arial"/>
        </w:rPr>
        <w:t xml:space="preserve">is with </w:t>
      </w:r>
      <w:r w:rsidR="008F54A4" w:rsidRPr="00051B46">
        <w:rPr>
          <w:rFonts w:ascii="Arial" w:hAnsi="Arial" w:cs="Arial"/>
        </w:rPr>
        <w:t>metformin</w:t>
      </w:r>
      <w:r w:rsidR="004323EF" w:rsidRPr="00051B46">
        <w:rPr>
          <w:rFonts w:ascii="Arial" w:hAnsi="Arial" w:cs="Arial"/>
        </w:rPr>
        <w:t>. However,</w:t>
      </w:r>
      <w:r w:rsidR="00E136BA" w:rsidRPr="00051B46">
        <w:rPr>
          <w:rFonts w:ascii="Arial" w:hAnsi="Arial" w:cs="Arial"/>
        </w:rPr>
        <w:t xml:space="preserve"> </w:t>
      </w:r>
      <w:r w:rsidR="004323EF" w:rsidRPr="00051B46">
        <w:rPr>
          <w:rFonts w:ascii="Arial" w:hAnsi="Arial" w:cs="Arial"/>
        </w:rPr>
        <w:t xml:space="preserve">randomized </w:t>
      </w:r>
      <w:r w:rsidR="00E136BA" w:rsidRPr="00051B46">
        <w:rPr>
          <w:rFonts w:ascii="Arial" w:hAnsi="Arial" w:cs="Arial"/>
        </w:rPr>
        <w:t>controlled trial</w:t>
      </w:r>
      <w:r w:rsidR="000422A6" w:rsidRPr="00051B46">
        <w:rPr>
          <w:rFonts w:ascii="Arial" w:hAnsi="Arial" w:cs="Arial"/>
        </w:rPr>
        <w:t>s</w:t>
      </w:r>
      <w:r w:rsidR="00E136BA" w:rsidRPr="00051B46">
        <w:rPr>
          <w:rFonts w:ascii="Arial" w:hAnsi="Arial" w:cs="Arial"/>
        </w:rPr>
        <w:t xml:space="preserve"> </w:t>
      </w:r>
      <w:r w:rsidR="004323EF" w:rsidRPr="00051B46">
        <w:rPr>
          <w:rFonts w:ascii="Arial" w:hAnsi="Arial" w:cs="Arial"/>
        </w:rPr>
        <w:t>did not show</w:t>
      </w:r>
      <w:r w:rsidR="00E136BA" w:rsidRPr="00051B46">
        <w:rPr>
          <w:rFonts w:ascii="Arial" w:hAnsi="Arial" w:cs="Arial"/>
        </w:rPr>
        <w:t xml:space="preserve"> </w:t>
      </w:r>
      <w:r w:rsidR="004323EF" w:rsidRPr="00051B46">
        <w:rPr>
          <w:rFonts w:ascii="Arial" w:hAnsi="Arial" w:cs="Arial"/>
        </w:rPr>
        <w:t>improvement in</w:t>
      </w:r>
      <w:r w:rsidR="008F54A4" w:rsidRPr="00051B46">
        <w:rPr>
          <w:rFonts w:ascii="Arial" w:hAnsi="Arial" w:cs="Arial"/>
        </w:rPr>
        <w:t xml:space="preserve"> liver histology</w:t>
      </w:r>
      <w:r w:rsidR="00E9433D" w:rsidRPr="00051B46">
        <w:rPr>
          <w:rFonts w:ascii="Arial" w:hAnsi="Arial" w:cs="Arial"/>
        </w:rPr>
        <w:t xml:space="preserve"> (</w:t>
      </w:r>
      <w:r w:rsidR="00DD0433" w:rsidRPr="00051B46">
        <w:rPr>
          <w:rFonts w:ascii="Arial" w:hAnsi="Arial" w:cs="Arial"/>
        </w:rPr>
        <w:t>92</w:t>
      </w:r>
      <w:r w:rsidR="00E9433D" w:rsidRPr="00051B46">
        <w:rPr>
          <w:rFonts w:ascii="Arial" w:hAnsi="Arial" w:cs="Arial"/>
        </w:rPr>
        <w:t>,</w:t>
      </w:r>
      <w:r w:rsidR="00DD0433" w:rsidRPr="00051B46">
        <w:rPr>
          <w:rFonts w:ascii="Arial" w:hAnsi="Arial" w:cs="Arial"/>
        </w:rPr>
        <w:t>142</w:t>
      </w:r>
      <w:r w:rsidR="00E9433D" w:rsidRPr="00051B46">
        <w:rPr>
          <w:rFonts w:ascii="Arial" w:hAnsi="Arial" w:cs="Arial"/>
        </w:rPr>
        <w:t>)</w:t>
      </w:r>
      <w:r w:rsidR="00992DE0" w:rsidRPr="00051B46">
        <w:rPr>
          <w:rFonts w:ascii="Arial" w:hAnsi="Arial" w:cs="Arial"/>
        </w:rPr>
        <w:t>.</w:t>
      </w:r>
    </w:p>
    <w:p w14:paraId="2D931954" w14:textId="1B76B4A4" w:rsidR="00417028" w:rsidRPr="00051B46" w:rsidRDefault="00E9433D" w:rsidP="002506B3">
      <w:pPr>
        <w:spacing w:after="0" w:line="276" w:lineRule="auto"/>
        <w:rPr>
          <w:rFonts w:ascii="Arial" w:hAnsi="Arial" w:cs="Arial"/>
        </w:rPr>
      </w:pPr>
      <w:r w:rsidRPr="00051B46">
        <w:rPr>
          <w:rFonts w:ascii="Arial" w:hAnsi="Arial" w:cs="Arial"/>
        </w:rPr>
        <w:t xml:space="preserve"> </w:t>
      </w:r>
    </w:p>
    <w:p w14:paraId="0A49A77A" w14:textId="495BAB42" w:rsidR="001A3E3D" w:rsidRPr="00051B46" w:rsidRDefault="00417028" w:rsidP="002506B3">
      <w:pPr>
        <w:spacing w:after="0" w:line="276" w:lineRule="auto"/>
        <w:rPr>
          <w:rFonts w:ascii="Arial" w:hAnsi="Arial" w:cs="Arial"/>
          <w:b/>
          <w:bCs/>
          <w:color w:val="FF0000"/>
        </w:rPr>
      </w:pPr>
      <w:r w:rsidRPr="00051B46">
        <w:rPr>
          <w:rFonts w:ascii="Arial" w:hAnsi="Arial" w:cs="Arial"/>
        </w:rPr>
        <w:t>Given that insulin resistance is a core feature in the pathogenesis of NAFLD/NASH,</w:t>
      </w:r>
      <w:r w:rsidR="00464CFC" w:rsidRPr="00051B46">
        <w:rPr>
          <w:rFonts w:ascii="Arial" w:hAnsi="Arial" w:cs="Arial"/>
        </w:rPr>
        <w:t xml:space="preserve"> t</w:t>
      </w:r>
      <w:r w:rsidR="00F96733" w:rsidRPr="00051B46">
        <w:rPr>
          <w:rFonts w:ascii="Arial" w:hAnsi="Arial" w:cs="Arial"/>
        </w:rPr>
        <w:t>hiazolidinedione</w:t>
      </w:r>
      <w:r w:rsidRPr="00051B46">
        <w:rPr>
          <w:rFonts w:ascii="Arial" w:hAnsi="Arial" w:cs="Arial"/>
        </w:rPr>
        <w:t>s</w:t>
      </w:r>
      <w:r w:rsidR="00F96733" w:rsidRPr="00051B46">
        <w:rPr>
          <w:rFonts w:ascii="Arial" w:hAnsi="Arial" w:cs="Arial"/>
        </w:rPr>
        <w:t xml:space="preserve"> </w:t>
      </w:r>
      <w:r w:rsidR="005661DB" w:rsidRPr="00051B46">
        <w:rPr>
          <w:rFonts w:ascii="Arial" w:hAnsi="Arial" w:cs="Arial"/>
        </w:rPr>
        <w:t>(TZD</w:t>
      </w:r>
      <w:r w:rsidRPr="00051B46">
        <w:rPr>
          <w:rFonts w:ascii="Arial" w:hAnsi="Arial" w:cs="Arial"/>
        </w:rPr>
        <w:t>s</w:t>
      </w:r>
      <w:r w:rsidR="005661DB" w:rsidRPr="00051B46">
        <w:rPr>
          <w:rFonts w:ascii="Arial" w:hAnsi="Arial" w:cs="Arial"/>
        </w:rPr>
        <w:t>)</w:t>
      </w:r>
      <w:r w:rsidRPr="00051B46">
        <w:rPr>
          <w:rFonts w:ascii="Arial" w:hAnsi="Arial" w:cs="Arial"/>
        </w:rPr>
        <w:t>,</w:t>
      </w:r>
      <w:r w:rsidR="00F96733" w:rsidRPr="00051B46">
        <w:rPr>
          <w:rFonts w:ascii="Arial" w:hAnsi="Arial" w:cs="Arial"/>
        </w:rPr>
        <w:t xml:space="preserve"> t</w:t>
      </w:r>
      <w:r w:rsidR="003B55DB" w:rsidRPr="00051B46">
        <w:rPr>
          <w:rFonts w:ascii="Arial" w:hAnsi="Arial" w:cs="Arial"/>
        </w:rPr>
        <w:t>arget</w:t>
      </w:r>
      <w:r w:rsidRPr="00051B46">
        <w:rPr>
          <w:rFonts w:ascii="Arial" w:hAnsi="Arial" w:cs="Arial"/>
        </w:rPr>
        <w:t>ing</w:t>
      </w:r>
      <w:r w:rsidR="003B55DB" w:rsidRPr="00051B46">
        <w:rPr>
          <w:rFonts w:ascii="Arial" w:hAnsi="Arial" w:cs="Arial"/>
        </w:rPr>
        <w:t xml:space="preserve"> the transcription factor </w:t>
      </w:r>
      <w:r w:rsidR="00F96733" w:rsidRPr="00051B46">
        <w:rPr>
          <w:rFonts w:ascii="Arial" w:hAnsi="Arial" w:cs="Arial"/>
        </w:rPr>
        <w:t>PP</w:t>
      </w:r>
      <w:r w:rsidR="003B55DB" w:rsidRPr="00051B46">
        <w:rPr>
          <w:rFonts w:ascii="Arial" w:hAnsi="Arial" w:cs="Arial"/>
        </w:rPr>
        <w:t>AR</w:t>
      </w:r>
      <w:r w:rsidR="00C25481">
        <w:rPr>
          <w:rFonts w:ascii="Arial" w:hAnsi="Arial" w:cs="Arial"/>
        </w:rPr>
        <w:t xml:space="preserve"> gamma</w:t>
      </w:r>
      <w:r w:rsidR="00F4345A" w:rsidRPr="00051B46">
        <w:rPr>
          <w:rFonts w:ascii="Arial" w:hAnsi="Arial" w:cs="Arial"/>
        </w:rPr>
        <w:t xml:space="preserve"> in adipose tissue</w:t>
      </w:r>
      <w:r w:rsidRPr="00051B46">
        <w:rPr>
          <w:rFonts w:ascii="Arial" w:hAnsi="Arial" w:cs="Arial"/>
        </w:rPr>
        <w:t xml:space="preserve"> and other</w:t>
      </w:r>
      <w:r w:rsidR="00FE10A0" w:rsidRPr="00051B46">
        <w:rPr>
          <w:rFonts w:ascii="Arial" w:hAnsi="Arial" w:cs="Arial"/>
        </w:rPr>
        <w:t xml:space="preserve"> tissue</w:t>
      </w:r>
      <w:r w:rsidRPr="00051B46">
        <w:rPr>
          <w:rFonts w:ascii="Arial" w:hAnsi="Arial" w:cs="Arial"/>
        </w:rPr>
        <w:t>s</w:t>
      </w:r>
      <w:r w:rsidR="007147E2" w:rsidRPr="00051B46">
        <w:rPr>
          <w:rFonts w:ascii="Arial" w:hAnsi="Arial" w:cs="Arial"/>
        </w:rPr>
        <w:t xml:space="preserve">, </w:t>
      </w:r>
      <w:r w:rsidRPr="00051B46">
        <w:rPr>
          <w:rFonts w:ascii="Arial" w:hAnsi="Arial" w:cs="Arial"/>
        </w:rPr>
        <w:t xml:space="preserve">has been tested in several RCTs </w:t>
      </w:r>
      <w:r w:rsidR="00F4345A" w:rsidRPr="00051B46">
        <w:rPr>
          <w:rFonts w:ascii="Arial" w:hAnsi="Arial" w:cs="Arial"/>
        </w:rPr>
        <w:t>in patients with NASH</w:t>
      </w:r>
      <w:r w:rsidR="00E9433D" w:rsidRPr="00051B46">
        <w:rPr>
          <w:rFonts w:ascii="Arial" w:hAnsi="Arial" w:cs="Arial"/>
        </w:rPr>
        <w:t xml:space="preserve"> (3)</w:t>
      </w:r>
      <w:r w:rsidR="00F4345A" w:rsidRPr="00051B46">
        <w:rPr>
          <w:rFonts w:ascii="Arial" w:hAnsi="Arial" w:cs="Arial"/>
        </w:rPr>
        <w:t>.</w:t>
      </w:r>
      <w:r w:rsidR="004323EF" w:rsidRPr="00051B46">
        <w:rPr>
          <w:rFonts w:ascii="Arial" w:hAnsi="Arial" w:cs="Arial"/>
        </w:rPr>
        <w:t xml:space="preserve"> </w:t>
      </w:r>
      <w:r w:rsidRPr="00051B46">
        <w:rPr>
          <w:rFonts w:ascii="Arial" w:hAnsi="Arial" w:cs="Arial"/>
        </w:rPr>
        <w:t xml:space="preserve"> P</w:t>
      </w:r>
      <w:r w:rsidR="007147E2" w:rsidRPr="00051B46">
        <w:rPr>
          <w:rFonts w:ascii="Arial" w:hAnsi="Arial" w:cs="Arial"/>
        </w:rPr>
        <w:t>ioglitazone at the molecular level modulat</w:t>
      </w:r>
      <w:r w:rsidRPr="00051B46">
        <w:rPr>
          <w:rFonts w:ascii="Arial" w:hAnsi="Arial" w:cs="Arial"/>
        </w:rPr>
        <w:t>es</w:t>
      </w:r>
      <w:r w:rsidR="007147E2" w:rsidRPr="00051B46">
        <w:rPr>
          <w:rFonts w:ascii="Arial" w:hAnsi="Arial" w:cs="Arial"/>
        </w:rPr>
        <w:t xml:space="preserve"> glucose and lipid metabolism </w:t>
      </w:r>
      <w:r w:rsidRPr="00051B46">
        <w:rPr>
          <w:rFonts w:ascii="Arial" w:hAnsi="Arial" w:cs="Arial"/>
        </w:rPr>
        <w:t xml:space="preserve">and </w:t>
      </w:r>
      <w:r w:rsidR="00D94EA7" w:rsidRPr="00051B46">
        <w:rPr>
          <w:rFonts w:ascii="Arial" w:hAnsi="Arial" w:cs="Arial"/>
        </w:rPr>
        <w:t>improve</w:t>
      </w:r>
      <w:r w:rsidRPr="00051B46">
        <w:rPr>
          <w:rFonts w:ascii="Arial" w:hAnsi="Arial" w:cs="Arial"/>
        </w:rPr>
        <w:t>s</w:t>
      </w:r>
      <w:r w:rsidR="00D94EA7" w:rsidRPr="00051B46">
        <w:rPr>
          <w:rFonts w:ascii="Arial" w:hAnsi="Arial" w:cs="Arial"/>
        </w:rPr>
        <w:t xml:space="preserve"> adipose tissue and hepatic insulin signaling and insulin</w:t>
      </w:r>
      <w:r w:rsidR="0020773F" w:rsidRPr="00051B46">
        <w:rPr>
          <w:rFonts w:ascii="Arial" w:hAnsi="Arial" w:cs="Arial"/>
        </w:rPr>
        <w:t xml:space="preserve"> sensitivity</w:t>
      </w:r>
      <w:r w:rsidR="00D94EA7" w:rsidRPr="00051B46">
        <w:rPr>
          <w:rFonts w:ascii="Arial" w:hAnsi="Arial" w:cs="Arial"/>
        </w:rPr>
        <w:t>,</w:t>
      </w:r>
      <w:r w:rsidR="004323EF" w:rsidRPr="00051B46">
        <w:rPr>
          <w:rFonts w:ascii="Arial" w:hAnsi="Arial" w:cs="Arial"/>
        </w:rPr>
        <w:t xml:space="preserve"> </w:t>
      </w:r>
      <w:r w:rsidR="00D94EA7" w:rsidRPr="00051B46">
        <w:rPr>
          <w:rFonts w:ascii="Arial" w:hAnsi="Arial" w:cs="Arial"/>
        </w:rPr>
        <w:t>collectively lead</w:t>
      </w:r>
      <w:r w:rsidR="004323EF" w:rsidRPr="00051B46">
        <w:rPr>
          <w:rFonts w:ascii="Arial" w:hAnsi="Arial" w:cs="Arial"/>
        </w:rPr>
        <w:t>ing</w:t>
      </w:r>
      <w:r w:rsidR="00D94EA7" w:rsidRPr="00051B46">
        <w:rPr>
          <w:rFonts w:ascii="Arial" w:hAnsi="Arial" w:cs="Arial"/>
        </w:rPr>
        <w:t xml:space="preserve"> to improved liver histology in patients with NASH</w:t>
      </w:r>
      <w:r w:rsidR="00E9433D" w:rsidRPr="00051B46">
        <w:rPr>
          <w:rFonts w:ascii="Arial" w:hAnsi="Arial" w:cs="Arial"/>
        </w:rPr>
        <w:t xml:space="preserve"> (</w:t>
      </w:r>
      <w:r w:rsidR="001B7A3A" w:rsidRPr="00051B46">
        <w:rPr>
          <w:rFonts w:ascii="Arial" w:hAnsi="Arial" w:cs="Arial"/>
        </w:rPr>
        <w:t>143-1</w:t>
      </w:r>
      <w:r w:rsidR="00356FEA" w:rsidRPr="00051B46">
        <w:rPr>
          <w:rFonts w:ascii="Arial" w:hAnsi="Arial" w:cs="Arial"/>
        </w:rPr>
        <w:t>49</w:t>
      </w:r>
      <w:r w:rsidR="00E9433D" w:rsidRPr="00051B46">
        <w:rPr>
          <w:rFonts w:ascii="Arial" w:hAnsi="Arial" w:cs="Arial"/>
        </w:rPr>
        <w:t>)</w:t>
      </w:r>
      <w:r w:rsidR="00517F2C" w:rsidRPr="00051B46">
        <w:rPr>
          <w:rFonts w:ascii="Arial" w:hAnsi="Arial" w:cs="Arial"/>
        </w:rPr>
        <w:t>.</w:t>
      </w:r>
      <w:r w:rsidR="004C3828" w:rsidRPr="00051B46" w:rsidDel="004C3828">
        <w:rPr>
          <w:rFonts w:ascii="Arial" w:hAnsi="Arial" w:cs="Arial"/>
          <w:vertAlign w:val="superscript"/>
        </w:rPr>
        <w:t xml:space="preserve"> </w:t>
      </w:r>
      <w:r w:rsidRPr="00051B46">
        <w:rPr>
          <w:rFonts w:ascii="Arial" w:hAnsi="Arial" w:cs="Arial"/>
        </w:rPr>
        <w:t>However, the exact mechanism of action i</w:t>
      </w:r>
      <w:r w:rsidR="00FC06E4" w:rsidRPr="00051B46">
        <w:rPr>
          <w:rFonts w:ascii="Arial" w:hAnsi="Arial" w:cs="Arial"/>
        </w:rPr>
        <w:t>n humans i</w:t>
      </w:r>
      <w:r w:rsidRPr="00051B46">
        <w:rPr>
          <w:rFonts w:ascii="Arial" w:hAnsi="Arial" w:cs="Arial"/>
        </w:rPr>
        <w:t xml:space="preserve">s unknown and likely involves </w:t>
      </w:r>
      <w:r w:rsidR="00FC06E4" w:rsidRPr="00051B46">
        <w:rPr>
          <w:rFonts w:ascii="Arial" w:hAnsi="Arial" w:cs="Arial"/>
        </w:rPr>
        <w:t>other pathways, for instance, activation of a mitochondrial pyruvate carrier (MPC) and/or PPAR</w:t>
      </w:r>
      <w:r w:rsidR="00C25481">
        <w:rPr>
          <w:rFonts w:ascii="Arial" w:hAnsi="Arial" w:cs="Arial"/>
        </w:rPr>
        <w:t xml:space="preserve"> alpha</w:t>
      </w:r>
      <w:r w:rsidR="00FC06E4" w:rsidRPr="00051B46">
        <w:rPr>
          <w:rFonts w:ascii="Arial" w:hAnsi="Arial" w:cs="Arial"/>
        </w:rPr>
        <w:t xml:space="preserve"> effects that may enhance mitochondrial fatty acid oxidation.  A recent study </w:t>
      </w:r>
      <w:r w:rsidR="00FC06E4" w:rsidRPr="00051B46">
        <w:rPr>
          <w:rFonts w:ascii="Arial" w:hAnsi="Arial" w:cs="Arial"/>
          <w:i/>
          <w:iCs/>
        </w:rPr>
        <w:t xml:space="preserve">in vitro </w:t>
      </w:r>
      <w:r w:rsidR="00FC06E4" w:rsidRPr="00051B46">
        <w:rPr>
          <w:rFonts w:ascii="Arial" w:hAnsi="Arial" w:cs="Arial"/>
        </w:rPr>
        <w:t xml:space="preserve">and </w:t>
      </w:r>
      <w:r w:rsidR="00FC06E4" w:rsidRPr="00051B46">
        <w:rPr>
          <w:rFonts w:ascii="Arial" w:hAnsi="Arial" w:cs="Arial"/>
          <w:i/>
          <w:iCs/>
        </w:rPr>
        <w:t>in vivo</w:t>
      </w:r>
      <w:r w:rsidR="00FC06E4" w:rsidRPr="00051B46">
        <w:rPr>
          <w:rFonts w:ascii="Arial" w:hAnsi="Arial" w:cs="Arial"/>
        </w:rPr>
        <w:t xml:space="preserve"> suggested effects independent of activation of MPC</w:t>
      </w:r>
      <w:r w:rsidR="00E9433D" w:rsidRPr="00051B46">
        <w:rPr>
          <w:rFonts w:ascii="Arial" w:hAnsi="Arial" w:cs="Arial"/>
        </w:rPr>
        <w:t xml:space="preserve"> (</w:t>
      </w:r>
      <w:r w:rsidR="00356FEA" w:rsidRPr="00051B46">
        <w:rPr>
          <w:rFonts w:ascii="Arial" w:hAnsi="Arial" w:cs="Arial"/>
        </w:rPr>
        <w:t>150</w:t>
      </w:r>
      <w:r w:rsidR="00E9433D" w:rsidRPr="00051B46">
        <w:rPr>
          <w:rFonts w:ascii="Arial" w:hAnsi="Arial" w:cs="Arial"/>
        </w:rPr>
        <w:t>)</w:t>
      </w:r>
      <w:r w:rsidR="00FC06E4" w:rsidRPr="00051B46">
        <w:rPr>
          <w:rFonts w:ascii="Arial" w:hAnsi="Arial" w:cs="Arial"/>
        </w:rPr>
        <w:t xml:space="preserve">. </w:t>
      </w:r>
      <w:r w:rsidR="00EB6A32" w:rsidRPr="00051B46">
        <w:rPr>
          <w:rFonts w:ascii="Arial" w:hAnsi="Arial" w:cs="Arial"/>
        </w:rPr>
        <w:t xml:space="preserve">Of note, when </w:t>
      </w:r>
      <w:r w:rsidR="00EB6A32" w:rsidRPr="00051B46">
        <w:rPr>
          <w:rFonts w:ascii="Arial" w:hAnsi="Arial" w:cs="Arial"/>
          <w:noProof/>
        </w:rPr>
        <w:t>rosiglitazone was compared</w:t>
      </w:r>
      <w:r w:rsidR="00EB6A32" w:rsidRPr="00051B46">
        <w:rPr>
          <w:rFonts w:ascii="Arial" w:hAnsi="Arial" w:cs="Arial"/>
        </w:rPr>
        <w:t xml:space="preserve"> to placebo in patients with NASH it did not show any improvement beyond a reduction in steatosis as hepatocyte necrosis, lobular inflammation and fibrosis were unchanged</w:t>
      </w:r>
      <w:r w:rsidR="00E9433D" w:rsidRPr="00051B46">
        <w:rPr>
          <w:rFonts w:ascii="Arial" w:hAnsi="Arial" w:cs="Arial"/>
        </w:rPr>
        <w:t xml:space="preserve"> (</w:t>
      </w:r>
      <w:r w:rsidR="00356FEA" w:rsidRPr="00051B46">
        <w:rPr>
          <w:rFonts w:ascii="Arial" w:hAnsi="Arial" w:cs="Arial"/>
        </w:rPr>
        <w:t>151</w:t>
      </w:r>
      <w:r w:rsidR="00E9433D" w:rsidRPr="00051B46">
        <w:rPr>
          <w:rFonts w:ascii="Arial" w:hAnsi="Arial" w:cs="Arial"/>
        </w:rPr>
        <w:t>)</w:t>
      </w:r>
      <w:r w:rsidR="00EB6A32" w:rsidRPr="00051B46">
        <w:rPr>
          <w:rFonts w:ascii="Arial" w:hAnsi="Arial" w:cs="Arial"/>
        </w:rPr>
        <w:t>.</w:t>
      </w:r>
      <w:r w:rsidR="004C3828" w:rsidRPr="00051B46">
        <w:rPr>
          <w:rFonts w:ascii="Arial" w:hAnsi="Arial" w:cs="Arial"/>
        </w:rPr>
        <w:t xml:space="preserve"> </w:t>
      </w:r>
      <w:r w:rsidR="00EB6A32" w:rsidRPr="00051B46">
        <w:rPr>
          <w:rFonts w:ascii="Arial" w:hAnsi="Arial" w:cs="Arial"/>
        </w:rPr>
        <w:t>This suggests that improvement in fibrosis is not necessarily due to PPAR</w:t>
      </w:r>
      <w:r w:rsidR="00C25481">
        <w:rPr>
          <w:rFonts w:ascii="Arial" w:hAnsi="Arial" w:cs="Arial"/>
        </w:rPr>
        <w:t xml:space="preserve"> gamma</w:t>
      </w:r>
      <w:r w:rsidR="00EB6A32" w:rsidRPr="00051B46">
        <w:rPr>
          <w:rFonts w:ascii="Arial" w:hAnsi="Arial" w:cs="Arial"/>
        </w:rPr>
        <w:t xml:space="preserve"> </w:t>
      </w:r>
      <w:r w:rsidR="003045CD" w:rsidRPr="00051B46">
        <w:rPr>
          <w:rFonts w:ascii="Arial" w:hAnsi="Arial" w:cs="Arial"/>
        </w:rPr>
        <w:t xml:space="preserve">as </w:t>
      </w:r>
      <w:r w:rsidR="00EB6A32" w:rsidRPr="00051B46">
        <w:rPr>
          <w:rFonts w:ascii="Arial" w:hAnsi="Arial" w:cs="Arial"/>
        </w:rPr>
        <w:t xml:space="preserve">rosiglitazone is </w:t>
      </w:r>
      <w:r w:rsidR="003045CD" w:rsidRPr="00051B46">
        <w:rPr>
          <w:rFonts w:ascii="Arial" w:hAnsi="Arial" w:cs="Arial"/>
        </w:rPr>
        <w:t xml:space="preserve">strictly a </w:t>
      </w:r>
      <w:r w:rsidR="00EB6A32" w:rsidRPr="00051B46">
        <w:rPr>
          <w:rFonts w:ascii="Arial" w:hAnsi="Arial" w:cs="Arial"/>
        </w:rPr>
        <w:t>PPAR</w:t>
      </w:r>
      <w:r w:rsidR="00C25481">
        <w:rPr>
          <w:rFonts w:ascii="Arial" w:hAnsi="Arial" w:cs="Arial"/>
        </w:rPr>
        <w:t xml:space="preserve"> gamma</w:t>
      </w:r>
      <w:r w:rsidR="00EB6A32" w:rsidRPr="00051B46">
        <w:rPr>
          <w:rFonts w:ascii="Arial" w:hAnsi="Arial" w:cs="Arial"/>
        </w:rPr>
        <w:t xml:space="preserve"> agonist </w:t>
      </w:r>
      <w:r w:rsidR="003045CD" w:rsidRPr="00051B46">
        <w:rPr>
          <w:rFonts w:ascii="Arial" w:hAnsi="Arial" w:cs="Arial"/>
        </w:rPr>
        <w:t xml:space="preserve">while </w:t>
      </w:r>
      <w:r w:rsidR="00EB6A32" w:rsidRPr="00051B46">
        <w:rPr>
          <w:rFonts w:ascii="Arial" w:hAnsi="Arial" w:cs="Arial"/>
        </w:rPr>
        <w:t xml:space="preserve">pioglitazone </w:t>
      </w:r>
      <w:r w:rsidR="003045CD" w:rsidRPr="00051B46">
        <w:rPr>
          <w:rFonts w:ascii="Arial" w:hAnsi="Arial" w:cs="Arial"/>
        </w:rPr>
        <w:t>is a considered a weaker agonist that also has</w:t>
      </w:r>
      <w:r w:rsidR="00EB6A32" w:rsidRPr="00051B46">
        <w:rPr>
          <w:rFonts w:ascii="Arial" w:hAnsi="Arial" w:cs="Arial"/>
        </w:rPr>
        <w:t xml:space="preserve"> PPAR</w:t>
      </w:r>
      <w:r w:rsidR="00C25481">
        <w:rPr>
          <w:rFonts w:ascii="Arial" w:hAnsi="Arial" w:cs="Arial"/>
        </w:rPr>
        <w:t xml:space="preserve"> alpha</w:t>
      </w:r>
      <w:r w:rsidR="00EB6A32" w:rsidRPr="00051B46">
        <w:rPr>
          <w:rFonts w:ascii="Arial" w:hAnsi="Arial" w:cs="Arial"/>
        </w:rPr>
        <w:t xml:space="preserve"> activity.</w:t>
      </w:r>
      <w:r w:rsidR="00C25481">
        <w:rPr>
          <w:rFonts w:ascii="Arial" w:hAnsi="Arial" w:cs="Arial"/>
        </w:rPr>
        <w:t xml:space="preserve"> </w:t>
      </w:r>
      <w:r w:rsidR="0032317F" w:rsidRPr="00051B46">
        <w:rPr>
          <w:rFonts w:ascii="Arial" w:hAnsi="Arial" w:cs="Arial"/>
          <w:color w:val="000000" w:themeColor="text1"/>
        </w:rPr>
        <w:t xml:space="preserve">Of note, </w:t>
      </w:r>
      <w:r w:rsidR="001A3E3D" w:rsidRPr="00051B46">
        <w:rPr>
          <w:rFonts w:ascii="Arial" w:hAnsi="Arial" w:cs="Arial"/>
          <w:color w:val="000000" w:themeColor="text1"/>
        </w:rPr>
        <w:t xml:space="preserve">different </w:t>
      </w:r>
      <w:r w:rsidR="0032317F" w:rsidRPr="00051B46">
        <w:rPr>
          <w:rFonts w:ascii="Arial" w:hAnsi="Arial" w:cs="Arial"/>
          <w:color w:val="000000" w:themeColor="text1"/>
        </w:rPr>
        <w:t>PPAR</w:t>
      </w:r>
      <w:r w:rsidR="00C25481">
        <w:rPr>
          <w:rFonts w:ascii="Arial" w:hAnsi="Arial" w:cs="Arial"/>
          <w:color w:val="000000" w:themeColor="text1"/>
        </w:rPr>
        <w:t xml:space="preserve"> gamma</w:t>
      </w:r>
      <w:r w:rsidR="0032317F" w:rsidRPr="00051B46">
        <w:rPr>
          <w:rFonts w:ascii="Arial" w:hAnsi="Arial" w:cs="Arial"/>
          <w:color w:val="000000" w:themeColor="text1"/>
        </w:rPr>
        <w:t xml:space="preserve"> </w:t>
      </w:r>
      <w:r w:rsidR="001A3E3D" w:rsidRPr="00051B46">
        <w:rPr>
          <w:rFonts w:ascii="Arial" w:hAnsi="Arial" w:cs="Arial"/>
          <w:color w:val="000000" w:themeColor="text1"/>
        </w:rPr>
        <w:t xml:space="preserve">activators do not </w:t>
      </w:r>
      <w:r w:rsidR="0032317F" w:rsidRPr="00051B46">
        <w:rPr>
          <w:rFonts w:ascii="Arial" w:hAnsi="Arial" w:cs="Arial"/>
          <w:color w:val="000000" w:themeColor="text1"/>
        </w:rPr>
        <w:t xml:space="preserve">modulate function or </w:t>
      </w:r>
      <w:r w:rsidR="001E7EA6" w:rsidRPr="00051B46">
        <w:rPr>
          <w:rFonts w:ascii="Arial" w:hAnsi="Arial" w:cs="Arial"/>
          <w:color w:val="000000" w:themeColor="text1"/>
        </w:rPr>
        <w:t xml:space="preserve">increase the expression of </w:t>
      </w:r>
      <w:r w:rsidR="001A3E3D" w:rsidRPr="00051B46">
        <w:rPr>
          <w:rFonts w:ascii="Arial" w:hAnsi="Arial" w:cs="Arial"/>
          <w:color w:val="000000" w:themeColor="text1"/>
        </w:rPr>
        <w:t>identical genes.</w:t>
      </w:r>
      <w:r w:rsidR="00F72661" w:rsidRPr="00051B46">
        <w:rPr>
          <w:rFonts w:ascii="Arial" w:hAnsi="Arial" w:cs="Arial"/>
          <w:color w:val="000000" w:themeColor="text1"/>
        </w:rPr>
        <w:t xml:space="preserve"> The expression profiles can vary</w:t>
      </w:r>
      <w:r w:rsidR="00871FBE" w:rsidRPr="00051B46">
        <w:rPr>
          <w:rFonts w:ascii="Arial" w:hAnsi="Arial" w:cs="Arial"/>
          <w:color w:val="000000" w:themeColor="text1"/>
        </w:rPr>
        <w:t xml:space="preserve">, which can explain differential effects via </w:t>
      </w:r>
      <w:r w:rsidR="0032317F" w:rsidRPr="00051B46">
        <w:rPr>
          <w:rFonts w:ascii="Arial" w:hAnsi="Arial" w:cs="Arial"/>
          <w:color w:val="000000" w:themeColor="text1"/>
        </w:rPr>
        <w:t>PPAR</w:t>
      </w:r>
      <w:r w:rsidR="00C25481">
        <w:rPr>
          <w:rFonts w:ascii="Arial" w:hAnsi="Arial" w:cs="Arial"/>
          <w:color w:val="000000" w:themeColor="text1"/>
        </w:rPr>
        <w:t xml:space="preserve"> gamma</w:t>
      </w:r>
      <w:r w:rsidR="0032317F" w:rsidRPr="00051B46">
        <w:rPr>
          <w:rFonts w:ascii="Arial" w:hAnsi="Arial" w:cs="Arial"/>
          <w:color w:val="000000" w:themeColor="text1"/>
        </w:rPr>
        <w:t xml:space="preserve"> </w:t>
      </w:r>
      <w:r w:rsidR="00871FBE" w:rsidRPr="00051B46">
        <w:rPr>
          <w:rFonts w:ascii="Arial" w:hAnsi="Arial" w:cs="Arial"/>
          <w:color w:val="000000" w:themeColor="text1"/>
        </w:rPr>
        <w:t>activation</w:t>
      </w:r>
      <w:r w:rsidR="0032317F" w:rsidRPr="00051B46">
        <w:rPr>
          <w:rFonts w:ascii="Arial" w:hAnsi="Arial" w:cs="Arial"/>
          <w:color w:val="000000" w:themeColor="text1"/>
        </w:rPr>
        <w:t>.</w:t>
      </w:r>
    </w:p>
    <w:p w14:paraId="2F79015E" w14:textId="77777777" w:rsidR="00E9433D" w:rsidRPr="00051B46" w:rsidRDefault="00E9433D" w:rsidP="002506B3">
      <w:pPr>
        <w:spacing w:after="0" w:line="276" w:lineRule="auto"/>
        <w:rPr>
          <w:rFonts w:ascii="Arial" w:hAnsi="Arial" w:cs="Arial"/>
        </w:rPr>
      </w:pPr>
    </w:p>
    <w:p w14:paraId="19EB14A6" w14:textId="6994C919" w:rsidR="002C6D49" w:rsidRPr="00051B46" w:rsidRDefault="00FD4B2E" w:rsidP="002506B3">
      <w:pPr>
        <w:spacing w:after="0" w:line="276" w:lineRule="auto"/>
        <w:rPr>
          <w:rFonts w:ascii="Arial" w:hAnsi="Arial" w:cs="Arial"/>
        </w:rPr>
      </w:pPr>
      <w:r w:rsidRPr="00051B46">
        <w:rPr>
          <w:rFonts w:ascii="Arial" w:hAnsi="Arial" w:cs="Arial"/>
        </w:rPr>
        <w:t>P</w:t>
      </w:r>
      <w:r w:rsidR="00FC06E4" w:rsidRPr="00051B46">
        <w:rPr>
          <w:rFonts w:ascii="Arial" w:hAnsi="Arial" w:cs="Arial"/>
        </w:rPr>
        <w:t>ioglitazone has been the agent most studied to date in patients with and without diabetes and biopsy-proven NA</w:t>
      </w:r>
      <w:r w:rsidRPr="00051B46">
        <w:rPr>
          <w:rFonts w:ascii="Arial" w:hAnsi="Arial" w:cs="Arial"/>
        </w:rPr>
        <w:t>S</w:t>
      </w:r>
      <w:r w:rsidR="003045CD" w:rsidRPr="00051B46">
        <w:rPr>
          <w:rFonts w:ascii="Arial" w:hAnsi="Arial" w:cs="Arial"/>
        </w:rPr>
        <w:t>H</w:t>
      </w:r>
      <w:r w:rsidR="00E9433D" w:rsidRPr="00051B46">
        <w:rPr>
          <w:rFonts w:ascii="Arial" w:hAnsi="Arial" w:cs="Arial"/>
        </w:rPr>
        <w:t xml:space="preserve"> (</w:t>
      </w:r>
      <w:r w:rsidR="00A65AD5" w:rsidRPr="00051B46">
        <w:rPr>
          <w:rFonts w:ascii="Arial" w:hAnsi="Arial" w:cs="Arial"/>
        </w:rPr>
        <w:t>143-149</w:t>
      </w:r>
      <w:r w:rsidR="00E9433D" w:rsidRPr="00051B46">
        <w:rPr>
          <w:rFonts w:ascii="Arial" w:hAnsi="Arial" w:cs="Arial"/>
        </w:rPr>
        <w:t>)</w:t>
      </w:r>
      <w:r w:rsidR="003045CD" w:rsidRPr="00051B46">
        <w:rPr>
          <w:rFonts w:ascii="Arial" w:hAnsi="Arial" w:cs="Arial"/>
        </w:rPr>
        <w:t>,</w:t>
      </w:r>
      <w:r w:rsidRPr="00051B46">
        <w:rPr>
          <w:rFonts w:ascii="Arial" w:hAnsi="Arial" w:cs="Arial"/>
        </w:rPr>
        <w:t xml:space="preserve"> </w:t>
      </w:r>
      <w:r w:rsidR="003045CD" w:rsidRPr="00051B46">
        <w:rPr>
          <w:rFonts w:ascii="Arial" w:hAnsi="Arial" w:cs="Arial"/>
        </w:rPr>
        <w:t xml:space="preserve">as </w:t>
      </w:r>
      <w:r w:rsidRPr="00051B46">
        <w:rPr>
          <w:rFonts w:ascii="Arial" w:hAnsi="Arial" w:cs="Arial"/>
        </w:rPr>
        <w:t>recent</w:t>
      </w:r>
      <w:r w:rsidR="003045CD" w:rsidRPr="00051B46">
        <w:rPr>
          <w:rFonts w:ascii="Arial" w:hAnsi="Arial" w:cs="Arial"/>
        </w:rPr>
        <w:t>ly reviewed</w:t>
      </w:r>
      <w:r w:rsidRPr="00051B46">
        <w:rPr>
          <w:rFonts w:ascii="Arial" w:hAnsi="Arial" w:cs="Arial"/>
        </w:rPr>
        <w:t xml:space="preserve"> in-depth</w:t>
      </w:r>
      <w:r w:rsidR="00DB70EE" w:rsidRPr="00051B46">
        <w:rPr>
          <w:rFonts w:ascii="Arial" w:hAnsi="Arial" w:cs="Arial"/>
        </w:rPr>
        <w:t xml:space="preserve"> along with other medications to treat diabetes regarding their effect in NAFLD</w:t>
      </w:r>
      <w:r w:rsidR="00E9433D" w:rsidRPr="00051B46">
        <w:rPr>
          <w:rFonts w:ascii="Arial" w:hAnsi="Arial" w:cs="Arial"/>
        </w:rPr>
        <w:t xml:space="preserve"> (</w:t>
      </w:r>
      <w:r w:rsidR="00CB4843" w:rsidRPr="00051B46">
        <w:rPr>
          <w:rFonts w:ascii="Arial" w:hAnsi="Arial" w:cs="Arial"/>
        </w:rPr>
        <w:t>15</w:t>
      </w:r>
      <w:r w:rsidR="005C084E" w:rsidRPr="00051B46">
        <w:rPr>
          <w:rFonts w:ascii="Arial" w:hAnsi="Arial" w:cs="Arial"/>
        </w:rPr>
        <w:t>2</w:t>
      </w:r>
      <w:r w:rsidR="00E9433D" w:rsidRPr="00051B46">
        <w:rPr>
          <w:rFonts w:ascii="Arial" w:hAnsi="Arial" w:cs="Arial"/>
        </w:rPr>
        <w:t>)</w:t>
      </w:r>
      <w:r w:rsidR="003045CD" w:rsidRPr="00051B46">
        <w:rPr>
          <w:rFonts w:ascii="Arial" w:hAnsi="Arial" w:cs="Arial"/>
        </w:rPr>
        <w:t xml:space="preserve">. </w:t>
      </w:r>
      <w:r w:rsidRPr="00051B46">
        <w:rPr>
          <w:rFonts w:ascii="Arial" w:hAnsi="Arial" w:cs="Arial"/>
        </w:rPr>
        <w:t>Resolution of NASH with pioglitazone treatment has been fairly consistent across studies of 6 to 36 month duration and ranges from ~47% (or 29% placebo-subtracted) in patients without diabetes with pioglitazone 30 mg/day for 24 mont</w:t>
      </w:r>
      <w:r w:rsidR="00EB6A32" w:rsidRPr="00051B46">
        <w:rPr>
          <w:rFonts w:ascii="Arial" w:hAnsi="Arial" w:cs="Arial"/>
        </w:rPr>
        <w:t>hs</w:t>
      </w:r>
      <w:r w:rsidR="00E9433D" w:rsidRPr="00051B46">
        <w:rPr>
          <w:rFonts w:ascii="Arial" w:hAnsi="Arial" w:cs="Arial"/>
        </w:rPr>
        <w:t xml:space="preserve"> (94)</w:t>
      </w:r>
      <w:r w:rsidRPr="00051B46">
        <w:rPr>
          <w:rFonts w:ascii="Arial" w:hAnsi="Arial" w:cs="Arial"/>
        </w:rPr>
        <w:t>, to ~60% (or ~40% placebo-subtracted) with pioglitazone 45 mg/day in those with prediabetes or T2DM treated for 6 to 36 months</w:t>
      </w:r>
      <w:r w:rsidR="00E03614" w:rsidRPr="00051B46">
        <w:rPr>
          <w:rFonts w:ascii="Arial" w:hAnsi="Arial" w:cs="Arial"/>
        </w:rPr>
        <w:t xml:space="preserve"> (</w:t>
      </w:r>
      <w:r w:rsidR="00CB4843" w:rsidRPr="00051B46">
        <w:rPr>
          <w:rFonts w:ascii="Arial" w:hAnsi="Arial" w:cs="Arial"/>
        </w:rPr>
        <w:t>143</w:t>
      </w:r>
      <w:r w:rsidR="00E03614" w:rsidRPr="00051B46">
        <w:rPr>
          <w:rFonts w:ascii="Arial" w:hAnsi="Arial" w:cs="Arial"/>
        </w:rPr>
        <w:t>,</w:t>
      </w:r>
      <w:r w:rsidR="00CB4843" w:rsidRPr="00051B46">
        <w:rPr>
          <w:rFonts w:ascii="Arial" w:hAnsi="Arial" w:cs="Arial"/>
        </w:rPr>
        <w:t>148, 149)</w:t>
      </w:r>
      <w:r w:rsidRPr="00051B46">
        <w:rPr>
          <w:rFonts w:ascii="Arial" w:hAnsi="Arial" w:cs="Arial"/>
        </w:rPr>
        <w:t>.</w:t>
      </w:r>
      <w:r w:rsidR="00EB6A32" w:rsidRPr="00051B46">
        <w:rPr>
          <w:rFonts w:ascii="Arial" w:hAnsi="Arial" w:cs="Arial"/>
        </w:rPr>
        <w:t xml:space="preserve"> </w:t>
      </w:r>
      <w:r w:rsidR="005236E8" w:rsidRPr="00051B46">
        <w:rPr>
          <w:rFonts w:ascii="Arial" w:hAnsi="Arial" w:cs="Arial"/>
        </w:rPr>
        <w:t xml:space="preserve"> </w:t>
      </w:r>
      <w:r w:rsidR="00464CFC" w:rsidRPr="00051B46">
        <w:rPr>
          <w:rFonts w:ascii="Arial" w:hAnsi="Arial" w:cs="Arial"/>
        </w:rPr>
        <w:t>T</w:t>
      </w:r>
      <w:r w:rsidR="00EB6A32" w:rsidRPr="00051B46">
        <w:rPr>
          <w:rFonts w:ascii="Arial" w:hAnsi="Arial" w:cs="Arial"/>
        </w:rPr>
        <w:t>aken together, t</w:t>
      </w:r>
      <w:r w:rsidR="00464CFC" w:rsidRPr="00051B46">
        <w:rPr>
          <w:rFonts w:ascii="Arial" w:hAnsi="Arial" w:cs="Arial"/>
        </w:rPr>
        <w:t>hese results suggest that p</w:t>
      </w:r>
      <w:r w:rsidR="00BD59F8" w:rsidRPr="00051B46">
        <w:rPr>
          <w:rFonts w:ascii="Arial" w:hAnsi="Arial" w:cs="Arial"/>
        </w:rPr>
        <w:t xml:space="preserve">ioglitazone might </w:t>
      </w:r>
      <w:r w:rsidR="00D77663" w:rsidRPr="00051B46">
        <w:rPr>
          <w:rFonts w:ascii="Arial" w:hAnsi="Arial" w:cs="Arial"/>
        </w:rPr>
        <w:t xml:space="preserve">play a role in modifying </w:t>
      </w:r>
      <w:r w:rsidR="00EB6A32" w:rsidRPr="00051B46">
        <w:rPr>
          <w:rFonts w:ascii="Arial" w:hAnsi="Arial" w:cs="Arial"/>
        </w:rPr>
        <w:t xml:space="preserve">disease progression and its </w:t>
      </w:r>
      <w:r w:rsidR="00D77663" w:rsidRPr="00051B46">
        <w:rPr>
          <w:rFonts w:ascii="Arial" w:hAnsi="Arial" w:cs="Arial"/>
        </w:rPr>
        <w:t>natural history</w:t>
      </w:r>
      <w:r w:rsidR="00EB6A32" w:rsidRPr="00051B46">
        <w:rPr>
          <w:rFonts w:ascii="Arial" w:hAnsi="Arial" w:cs="Arial"/>
        </w:rPr>
        <w:t xml:space="preserve"> </w:t>
      </w:r>
      <w:r w:rsidR="00D77663" w:rsidRPr="00051B46">
        <w:rPr>
          <w:rFonts w:ascii="Arial" w:hAnsi="Arial" w:cs="Arial"/>
        </w:rPr>
        <w:t>in patients with or without diabetes.</w:t>
      </w:r>
    </w:p>
    <w:p w14:paraId="2AF2E6A6" w14:textId="77777777" w:rsidR="00E03614" w:rsidRPr="00051B46" w:rsidRDefault="00E03614" w:rsidP="002506B3">
      <w:pPr>
        <w:spacing w:after="0" w:line="276" w:lineRule="auto"/>
        <w:rPr>
          <w:rFonts w:ascii="Arial" w:hAnsi="Arial" w:cs="Arial"/>
        </w:rPr>
      </w:pPr>
    </w:p>
    <w:p w14:paraId="627AA096" w14:textId="1E513DA3" w:rsidR="00E03614" w:rsidRPr="00051B46" w:rsidRDefault="00FC1F97" w:rsidP="002506B3">
      <w:pPr>
        <w:spacing w:after="0" w:line="276" w:lineRule="auto"/>
        <w:rPr>
          <w:rFonts w:ascii="Arial" w:hAnsi="Arial" w:cs="Arial"/>
        </w:rPr>
      </w:pPr>
      <w:r w:rsidRPr="00051B46">
        <w:rPr>
          <w:rFonts w:ascii="Arial" w:hAnsi="Arial" w:cs="Arial"/>
        </w:rPr>
        <w:t>In addition, pioglitazone may improve the cardiometabolic profile of patients with NASH by reducing progression to diabetes and CVD.  Many patients with obesity and NAFLD/NASH have (often undiagnosed) prediabetes. Pioglitazone has proven effective for the prevention of diabetes</w:t>
      </w:r>
      <w:r w:rsidR="004A34AC" w:rsidRPr="00051B46">
        <w:rPr>
          <w:rFonts w:ascii="Arial" w:hAnsi="Arial" w:cs="Arial"/>
        </w:rPr>
        <w:t xml:space="preserve"> in subjects with prediabetes</w:t>
      </w:r>
      <w:r w:rsidR="00E03614" w:rsidRPr="00051B46">
        <w:rPr>
          <w:rFonts w:ascii="Arial" w:hAnsi="Arial" w:cs="Arial"/>
        </w:rPr>
        <w:t xml:space="preserve"> (</w:t>
      </w:r>
      <w:r w:rsidR="00447D62" w:rsidRPr="00051B46">
        <w:rPr>
          <w:rFonts w:ascii="Arial" w:hAnsi="Arial" w:cs="Arial"/>
        </w:rPr>
        <w:t>153</w:t>
      </w:r>
      <w:r w:rsidR="00E03614" w:rsidRPr="00051B46">
        <w:rPr>
          <w:rFonts w:ascii="Arial" w:hAnsi="Arial" w:cs="Arial"/>
        </w:rPr>
        <w:t>)</w:t>
      </w:r>
      <w:r w:rsidR="004A34AC" w:rsidRPr="00051B46">
        <w:rPr>
          <w:rFonts w:ascii="Arial" w:hAnsi="Arial" w:cs="Arial"/>
        </w:rPr>
        <w:t xml:space="preserve"> </w:t>
      </w:r>
      <w:r w:rsidRPr="00051B46">
        <w:rPr>
          <w:rFonts w:ascii="Arial" w:hAnsi="Arial" w:cs="Arial"/>
        </w:rPr>
        <w:t>and shown to ameliorate cardiovascular events in patients with metabolic syndrome or prediabetes with a history of a stroke.</w:t>
      </w:r>
      <w:r w:rsidRPr="00051B46">
        <w:rPr>
          <w:rFonts w:ascii="Arial" w:hAnsi="Arial" w:cs="Arial"/>
          <w:vertAlign w:val="superscript"/>
        </w:rPr>
        <w:t xml:space="preserve"> </w:t>
      </w:r>
      <w:r w:rsidRPr="00051B46">
        <w:rPr>
          <w:rFonts w:ascii="Arial" w:hAnsi="Arial" w:cs="Arial"/>
        </w:rPr>
        <w:t xml:space="preserve">Recently, the IRIS study reported the effect of pioglitazone in patients that had taken ≥80% </w:t>
      </w:r>
      <w:r w:rsidRPr="00051B46">
        <w:rPr>
          <w:rFonts w:ascii="Arial" w:hAnsi="Arial" w:cs="Arial"/>
        </w:rPr>
        <w:lastRenderedPageBreak/>
        <w:t>of the prescribed medication</w:t>
      </w:r>
      <w:r w:rsidR="0093088F" w:rsidRPr="00051B46">
        <w:rPr>
          <w:rFonts w:ascii="Arial" w:hAnsi="Arial" w:cs="Arial"/>
        </w:rPr>
        <w:t xml:space="preserve"> reduce</w:t>
      </w:r>
      <w:r w:rsidR="0086178B" w:rsidRPr="00051B46">
        <w:rPr>
          <w:rFonts w:ascii="Arial" w:hAnsi="Arial" w:cs="Arial"/>
        </w:rPr>
        <w:t xml:space="preserve">d </w:t>
      </w:r>
      <w:r w:rsidR="0093088F" w:rsidRPr="00051B46">
        <w:rPr>
          <w:rFonts w:ascii="Arial" w:hAnsi="Arial" w:cs="Arial"/>
        </w:rPr>
        <w:t>stroke by 36%, acute coronary syndromes by 53%, and the combined endpoint of stroke/MI/hospitalization for heart failure by 39%</w:t>
      </w:r>
      <w:r w:rsidR="00E03614" w:rsidRPr="00051B46">
        <w:rPr>
          <w:rFonts w:ascii="Arial" w:hAnsi="Arial" w:cs="Arial"/>
        </w:rPr>
        <w:t xml:space="preserve"> (</w:t>
      </w:r>
      <w:r w:rsidR="00447D62" w:rsidRPr="00051B46">
        <w:rPr>
          <w:rFonts w:ascii="Arial" w:hAnsi="Arial" w:cs="Arial"/>
        </w:rPr>
        <w:t>154</w:t>
      </w:r>
      <w:r w:rsidR="00E03614" w:rsidRPr="00051B46">
        <w:rPr>
          <w:rFonts w:ascii="Arial" w:hAnsi="Arial" w:cs="Arial"/>
        </w:rPr>
        <w:t>)</w:t>
      </w:r>
      <w:r w:rsidR="0093088F" w:rsidRPr="00051B46">
        <w:rPr>
          <w:rFonts w:ascii="Arial" w:hAnsi="Arial" w:cs="Arial"/>
        </w:rPr>
        <w:t xml:space="preserve">. </w:t>
      </w:r>
    </w:p>
    <w:p w14:paraId="18A04D48" w14:textId="672A7295" w:rsidR="00FC1F97" w:rsidRPr="00051B46" w:rsidRDefault="0093088F" w:rsidP="002506B3">
      <w:pPr>
        <w:spacing w:after="0" w:line="276" w:lineRule="auto"/>
        <w:rPr>
          <w:rFonts w:ascii="Arial" w:hAnsi="Arial" w:cs="Arial"/>
        </w:rPr>
      </w:pPr>
      <w:r w:rsidRPr="00051B46">
        <w:rPr>
          <w:rFonts w:ascii="Arial" w:hAnsi="Arial" w:cs="Arial"/>
        </w:rPr>
        <w:t xml:space="preserve"> </w:t>
      </w:r>
    </w:p>
    <w:p w14:paraId="301E68FB" w14:textId="5CC5E43B" w:rsidR="00A80E5C" w:rsidRPr="00051B46" w:rsidRDefault="0086178B" w:rsidP="002506B3">
      <w:pPr>
        <w:spacing w:after="0" w:line="276" w:lineRule="auto"/>
        <w:rPr>
          <w:rFonts w:ascii="Arial" w:hAnsi="Arial" w:cs="Arial"/>
        </w:rPr>
      </w:pPr>
      <w:r w:rsidRPr="00051B46">
        <w:rPr>
          <w:rFonts w:ascii="Arial" w:hAnsi="Arial" w:cs="Arial"/>
        </w:rPr>
        <w:t>However, it remains</w:t>
      </w:r>
      <w:r w:rsidR="00FC1F97" w:rsidRPr="00051B46">
        <w:rPr>
          <w:rFonts w:ascii="Arial" w:hAnsi="Arial" w:cs="Arial"/>
        </w:rPr>
        <w:t xml:space="preserve"> puzzling that for a population </w:t>
      </w:r>
      <w:r w:rsidR="00723D34" w:rsidRPr="00051B46">
        <w:rPr>
          <w:rFonts w:ascii="Arial" w:hAnsi="Arial" w:cs="Arial"/>
        </w:rPr>
        <w:t xml:space="preserve">with </w:t>
      </w:r>
      <w:r w:rsidRPr="00051B46">
        <w:rPr>
          <w:rFonts w:ascii="Arial" w:hAnsi="Arial" w:cs="Arial"/>
        </w:rPr>
        <w:t xml:space="preserve">such a </w:t>
      </w:r>
      <w:r w:rsidR="00FC1F97" w:rsidRPr="00051B46">
        <w:rPr>
          <w:rFonts w:ascii="Arial" w:hAnsi="Arial" w:cs="Arial"/>
        </w:rPr>
        <w:t>high cardiovascular risk</w:t>
      </w:r>
      <w:r w:rsidRPr="00051B46">
        <w:rPr>
          <w:rFonts w:ascii="Arial" w:hAnsi="Arial" w:cs="Arial"/>
        </w:rPr>
        <w:t xml:space="preserve"> </w:t>
      </w:r>
      <w:r w:rsidR="00723D34" w:rsidRPr="00051B46">
        <w:rPr>
          <w:rFonts w:ascii="Arial" w:hAnsi="Arial" w:cs="Arial"/>
        </w:rPr>
        <w:t xml:space="preserve">from having </w:t>
      </w:r>
      <w:r w:rsidRPr="00051B46">
        <w:rPr>
          <w:rFonts w:ascii="Arial" w:hAnsi="Arial" w:cs="Arial"/>
        </w:rPr>
        <w:t>obesity, T2DM and NASH</w:t>
      </w:r>
      <w:r w:rsidR="00FC1F97" w:rsidRPr="00051B46">
        <w:rPr>
          <w:rFonts w:ascii="Arial" w:hAnsi="Arial" w:cs="Arial"/>
        </w:rPr>
        <w:t xml:space="preserve">, the cardiometabolic benefits of pioglitazone are frequently dismissed </w:t>
      </w:r>
      <w:r w:rsidR="00471F45" w:rsidRPr="00051B46">
        <w:rPr>
          <w:rFonts w:ascii="Arial" w:hAnsi="Arial" w:cs="Arial"/>
        </w:rPr>
        <w:t>because of</w:t>
      </w:r>
      <w:r w:rsidR="00FC1F97" w:rsidRPr="00051B46">
        <w:rPr>
          <w:rFonts w:ascii="Arial" w:hAnsi="Arial" w:cs="Arial"/>
        </w:rPr>
        <w:t xml:space="preserve"> </w:t>
      </w:r>
      <w:r w:rsidRPr="00051B46">
        <w:rPr>
          <w:rFonts w:ascii="Arial" w:hAnsi="Arial" w:cs="Arial"/>
        </w:rPr>
        <w:t xml:space="preserve">potential </w:t>
      </w:r>
      <w:r w:rsidR="0065251A" w:rsidRPr="00051B46">
        <w:rPr>
          <w:rFonts w:ascii="Arial" w:hAnsi="Arial" w:cs="Arial"/>
        </w:rPr>
        <w:t>side effects</w:t>
      </w:r>
      <w:r w:rsidRPr="00051B46">
        <w:rPr>
          <w:rFonts w:ascii="Arial" w:hAnsi="Arial" w:cs="Arial"/>
        </w:rPr>
        <w:t xml:space="preserve"> that can be mitigated with close monitoring</w:t>
      </w:r>
      <w:r w:rsidR="0065251A" w:rsidRPr="00051B46">
        <w:rPr>
          <w:rFonts w:ascii="Arial" w:hAnsi="Arial" w:cs="Arial"/>
        </w:rPr>
        <w:t xml:space="preserve">: bone loss, </w:t>
      </w:r>
      <w:r w:rsidR="00FC1F97" w:rsidRPr="00051B46">
        <w:rPr>
          <w:rFonts w:ascii="Arial" w:hAnsi="Arial" w:cs="Arial"/>
        </w:rPr>
        <w:t>weight gain (3-5%) (</w:t>
      </w:r>
      <w:r w:rsidR="0065251A" w:rsidRPr="00051B46">
        <w:rPr>
          <w:rFonts w:ascii="Arial" w:hAnsi="Arial" w:cs="Arial"/>
        </w:rPr>
        <w:t xml:space="preserve">most usually associated with </w:t>
      </w:r>
      <w:r w:rsidR="00471F45" w:rsidRPr="00051B46">
        <w:rPr>
          <w:rFonts w:ascii="Arial" w:hAnsi="Arial" w:cs="Arial"/>
        </w:rPr>
        <w:t xml:space="preserve">improved insulin action on </w:t>
      </w:r>
      <w:r w:rsidR="00FC1F97" w:rsidRPr="00051B46">
        <w:rPr>
          <w:rFonts w:ascii="Arial" w:hAnsi="Arial" w:cs="Arial"/>
        </w:rPr>
        <w:t>adipose tissu</w:t>
      </w:r>
      <w:r w:rsidR="00471F45" w:rsidRPr="00051B46">
        <w:rPr>
          <w:rFonts w:ascii="Arial" w:hAnsi="Arial" w:cs="Arial"/>
        </w:rPr>
        <w:t>e, not edema)</w:t>
      </w:r>
      <w:r w:rsidR="00FC1F97" w:rsidRPr="00051B46">
        <w:rPr>
          <w:rFonts w:ascii="Arial" w:hAnsi="Arial" w:cs="Arial"/>
        </w:rPr>
        <w:t>,</w:t>
      </w:r>
      <w:r w:rsidR="00471F45" w:rsidRPr="00051B46">
        <w:rPr>
          <w:rFonts w:ascii="Arial" w:hAnsi="Arial" w:cs="Arial"/>
          <w:vertAlign w:val="superscript"/>
        </w:rPr>
        <w:t xml:space="preserve"> </w:t>
      </w:r>
      <w:r w:rsidR="00471F45" w:rsidRPr="00051B46">
        <w:rPr>
          <w:rFonts w:ascii="Arial" w:hAnsi="Arial" w:cs="Arial"/>
        </w:rPr>
        <w:t xml:space="preserve">or </w:t>
      </w:r>
      <w:r w:rsidR="00FC1F97" w:rsidRPr="00051B46">
        <w:rPr>
          <w:rFonts w:ascii="Arial" w:hAnsi="Arial" w:cs="Arial"/>
        </w:rPr>
        <w:t xml:space="preserve">lower extremity edema </w:t>
      </w:r>
      <w:r w:rsidR="00723D34" w:rsidRPr="00051B46">
        <w:rPr>
          <w:rFonts w:ascii="Arial" w:hAnsi="Arial" w:cs="Arial"/>
        </w:rPr>
        <w:t xml:space="preserve">in </w:t>
      </w:r>
      <w:r w:rsidR="00FC1F97" w:rsidRPr="00051B46">
        <w:rPr>
          <w:rFonts w:ascii="Arial" w:hAnsi="Arial" w:cs="Arial"/>
        </w:rPr>
        <w:t>~5</w:t>
      </w:r>
      <w:r w:rsidR="00723D34" w:rsidRPr="00051B46">
        <w:rPr>
          <w:rFonts w:ascii="Arial" w:hAnsi="Arial" w:cs="Arial"/>
        </w:rPr>
        <w:t xml:space="preserve">% but </w:t>
      </w:r>
      <w:r w:rsidRPr="00051B46">
        <w:rPr>
          <w:rFonts w:ascii="Arial" w:hAnsi="Arial" w:cs="Arial"/>
        </w:rPr>
        <w:t>higher if on amlodipine or high-dose insulin</w:t>
      </w:r>
      <w:r w:rsidR="00E03614" w:rsidRPr="00051B46">
        <w:rPr>
          <w:rFonts w:ascii="Arial" w:hAnsi="Arial" w:cs="Arial"/>
        </w:rPr>
        <w:t xml:space="preserve"> (</w:t>
      </w:r>
      <w:r w:rsidR="00775EA7" w:rsidRPr="00051B46">
        <w:rPr>
          <w:rFonts w:ascii="Arial" w:hAnsi="Arial" w:cs="Arial"/>
        </w:rPr>
        <w:t>152,155</w:t>
      </w:r>
      <w:r w:rsidR="00E03614" w:rsidRPr="00051B46">
        <w:rPr>
          <w:rFonts w:ascii="Arial" w:hAnsi="Arial" w:cs="Arial"/>
        </w:rPr>
        <w:t>)</w:t>
      </w:r>
      <w:r w:rsidR="00471F45" w:rsidRPr="00051B46">
        <w:rPr>
          <w:rFonts w:ascii="Arial" w:hAnsi="Arial" w:cs="Arial"/>
        </w:rPr>
        <w:t>. Consistent with diabetes prevention and CVD reduction</w:t>
      </w:r>
      <w:r w:rsidR="00E03614" w:rsidRPr="00051B46">
        <w:rPr>
          <w:rFonts w:ascii="Arial" w:hAnsi="Arial" w:cs="Arial"/>
        </w:rPr>
        <w:t xml:space="preserve"> (</w:t>
      </w:r>
      <w:r w:rsidR="00775EA7" w:rsidRPr="00051B46">
        <w:rPr>
          <w:rFonts w:ascii="Arial" w:hAnsi="Arial" w:cs="Arial"/>
        </w:rPr>
        <w:t>156-160</w:t>
      </w:r>
      <w:r w:rsidR="00E03614" w:rsidRPr="00051B46">
        <w:rPr>
          <w:rFonts w:ascii="Arial" w:hAnsi="Arial" w:cs="Arial"/>
        </w:rPr>
        <w:t>)</w:t>
      </w:r>
      <w:r w:rsidR="00471F45" w:rsidRPr="00051B46">
        <w:rPr>
          <w:rFonts w:ascii="Arial" w:hAnsi="Arial" w:cs="Arial"/>
        </w:rPr>
        <w:t>, patients become</w:t>
      </w:r>
      <w:r w:rsidR="00FC1F97" w:rsidRPr="00051B46">
        <w:rPr>
          <w:rFonts w:ascii="Arial" w:hAnsi="Arial" w:cs="Arial"/>
        </w:rPr>
        <w:t xml:space="preserve"> more metabolically healthy</w:t>
      </w:r>
      <w:r w:rsidR="00471F45" w:rsidRPr="00051B46">
        <w:rPr>
          <w:rFonts w:ascii="Arial" w:hAnsi="Arial" w:cs="Arial"/>
        </w:rPr>
        <w:t xml:space="preserve"> despite weight gain</w:t>
      </w:r>
      <w:r w:rsidR="00E03614" w:rsidRPr="00051B46">
        <w:rPr>
          <w:rFonts w:ascii="Arial" w:hAnsi="Arial" w:cs="Arial"/>
        </w:rPr>
        <w:t xml:space="preserve"> (</w:t>
      </w:r>
      <w:r w:rsidR="004E11C0" w:rsidRPr="00051B46">
        <w:rPr>
          <w:rFonts w:ascii="Arial" w:hAnsi="Arial" w:cs="Arial"/>
        </w:rPr>
        <w:t>143</w:t>
      </w:r>
      <w:r w:rsidR="00E03614" w:rsidRPr="00051B46">
        <w:rPr>
          <w:rFonts w:ascii="Arial" w:hAnsi="Arial" w:cs="Arial"/>
        </w:rPr>
        <w:t>,</w:t>
      </w:r>
      <w:r w:rsidR="004E11C0" w:rsidRPr="00051B46">
        <w:rPr>
          <w:rFonts w:ascii="Arial" w:hAnsi="Arial" w:cs="Arial"/>
        </w:rPr>
        <w:t>149</w:t>
      </w:r>
      <w:r w:rsidR="00E03614" w:rsidRPr="00051B46">
        <w:rPr>
          <w:rFonts w:ascii="Arial" w:hAnsi="Arial" w:cs="Arial"/>
        </w:rPr>
        <w:t>)</w:t>
      </w:r>
      <w:r w:rsidR="00471F45" w:rsidRPr="00051B46">
        <w:rPr>
          <w:rFonts w:ascii="Arial" w:hAnsi="Arial" w:cs="Arial"/>
        </w:rPr>
        <w:t xml:space="preserve">. </w:t>
      </w:r>
      <w:r w:rsidRPr="00051B46">
        <w:rPr>
          <w:rFonts w:ascii="Arial" w:hAnsi="Arial" w:cs="Arial"/>
        </w:rPr>
        <w:t>While p</w:t>
      </w:r>
      <w:r w:rsidR="0065251A" w:rsidRPr="00051B46">
        <w:rPr>
          <w:rFonts w:ascii="Arial" w:hAnsi="Arial" w:cs="Arial"/>
        </w:rPr>
        <w:t>ioglitazone improve</w:t>
      </w:r>
      <w:r w:rsidRPr="00051B46">
        <w:rPr>
          <w:rFonts w:ascii="Arial" w:hAnsi="Arial" w:cs="Arial"/>
        </w:rPr>
        <w:t>s</w:t>
      </w:r>
      <w:r w:rsidR="0065251A" w:rsidRPr="00051B46">
        <w:rPr>
          <w:rFonts w:ascii="Arial" w:hAnsi="Arial" w:cs="Arial"/>
        </w:rPr>
        <w:t xml:space="preserve"> left ventricular function in </w:t>
      </w:r>
      <w:r w:rsidRPr="00051B46">
        <w:rPr>
          <w:rFonts w:ascii="Arial" w:hAnsi="Arial" w:cs="Arial"/>
        </w:rPr>
        <w:t xml:space="preserve">healthy </w:t>
      </w:r>
      <w:r w:rsidR="0065251A" w:rsidRPr="00051B46">
        <w:rPr>
          <w:rFonts w:ascii="Arial" w:hAnsi="Arial" w:cs="Arial"/>
        </w:rPr>
        <w:t>patients with T2DM</w:t>
      </w:r>
      <w:r w:rsidR="00E03614" w:rsidRPr="00051B46">
        <w:rPr>
          <w:rFonts w:ascii="Arial" w:hAnsi="Arial" w:cs="Arial"/>
        </w:rPr>
        <w:t xml:space="preserve"> (</w:t>
      </w:r>
      <w:r w:rsidR="004E11C0" w:rsidRPr="00051B46">
        <w:rPr>
          <w:rFonts w:ascii="Arial" w:hAnsi="Arial" w:cs="Arial"/>
        </w:rPr>
        <w:t>161</w:t>
      </w:r>
      <w:r w:rsidR="00E03614" w:rsidRPr="00051B46">
        <w:rPr>
          <w:rFonts w:ascii="Arial" w:hAnsi="Arial" w:cs="Arial"/>
        </w:rPr>
        <w:t>)</w:t>
      </w:r>
      <w:r w:rsidR="0065251A" w:rsidRPr="00051B46">
        <w:rPr>
          <w:rFonts w:ascii="Arial" w:hAnsi="Arial" w:cs="Arial"/>
        </w:rPr>
        <w:t xml:space="preserve">, </w:t>
      </w:r>
      <w:r w:rsidRPr="00051B46">
        <w:rPr>
          <w:rFonts w:ascii="Arial" w:hAnsi="Arial" w:cs="Arial"/>
        </w:rPr>
        <w:t>it may trigger</w:t>
      </w:r>
      <w:r w:rsidR="00471F45" w:rsidRPr="00051B46">
        <w:rPr>
          <w:rFonts w:ascii="Arial" w:hAnsi="Arial" w:cs="Arial"/>
        </w:rPr>
        <w:t xml:space="preserve"> h</w:t>
      </w:r>
      <w:r w:rsidR="00FC1F97" w:rsidRPr="00051B46">
        <w:rPr>
          <w:rFonts w:ascii="Arial" w:hAnsi="Arial" w:cs="Arial"/>
        </w:rPr>
        <w:t xml:space="preserve">eart failure in patients </w:t>
      </w:r>
      <w:r w:rsidR="00471F45" w:rsidRPr="00051B46">
        <w:rPr>
          <w:rFonts w:ascii="Arial" w:hAnsi="Arial" w:cs="Arial"/>
        </w:rPr>
        <w:t xml:space="preserve">who </w:t>
      </w:r>
      <w:r w:rsidR="0065251A" w:rsidRPr="00051B46">
        <w:rPr>
          <w:rFonts w:ascii="Arial" w:hAnsi="Arial" w:cs="Arial"/>
        </w:rPr>
        <w:t>have</w:t>
      </w:r>
      <w:r w:rsidR="00471F45" w:rsidRPr="00051B46">
        <w:rPr>
          <w:rFonts w:ascii="Arial" w:hAnsi="Arial" w:cs="Arial"/>
        </w:rPr>
        <w:t xml:space="preserve"> fluid retention and subclinical</w:t>
      </w:r>
      <w:r w:rsidR="0060793F" w:rsidRPr="00051B46">
        <w:rPr>
          <w:rFonts w:ascii="Arial" w:hAnsi="Arial" w:cs="Arial"/>
        </w:rPr>
        <w:t xml:space="preserve"> (</w:t>
      </w:r>
      <w:r w:rsidR="00471F45" w:rsidRPr="00051B46">
        <w:rPr>
          <w:rFonts w:ascii="Arial" w:hAnsi="Arial" w:cs="Arial"/>
        </w:rPr>
        <w:t>undiagnosed</w:t>
      </w:r>
      <w:r w:rsidR="0060793F" w:rsidRPr="00051B46">
        <w:rPr>
          <w:rFonts w:ascii="Arial" w:hAnsi="Arial" w:cs="Arial"/>
        </w:rPr>
        <w:t>)</w:t>
      </w:r>
      <w:r w:rsidR="00FC1F97" w:rsidRPr="00051B46">
        <w:rPr>
          <w:rFonts w:ascii="Arial" w:hAnsi="Arial" w:cs="Arial"/>
        </w:rPr>
        <w:t xml:space="preserve"> heart </w:t>
      </w:r>
      <w:r w:rsidR="00471F45" w:rsidRPr="00051B46">
        <w:rPr>
          <w:rFonts w:ascii="Arial" w:hAnsi="Arial" w:cs="Arial"/>
        </w:rPr>
        <w:t>failure</w:t>
      </w:r>
      <w:r w:rsidR="0065251A" w:rsidRPr="00051B46">
        <w:rPr>
          <w:rFonts w:ascii="Arial" w:hAnsi="Arial" w:cs="Arial"/>
        </w:rPr>
        <w:t xml:space="preserve"> with preserved left ejection fraction (</w:t>
      </w:r>
      <w:proofErr w:type="spellStart"/>
      <w:r w:rsidR="0065251A" w:rsidRPr="00051B46">
        <w:rPr>
          <w:rFonts w:ascii="Arial" w:hAnsi="Arial" w:cs="Arial"/>
        </w:rPr>
        <w:t>HFp</w:t>
      </w:r>
      <w:r w:rsidRPr="00051B46">
        <w:rPr>
          <w:rFonts w:ascii="Arial" w:hAnsi="Arial" w:cs="Arial"/>
        </w:rPr>
        <w:t>EF</w:t>
      </w:r>
      <w:proofErr w:type="spellEnd"/>
      <w:r w:rsidR="0065251A" w:rsidRPr="00051B46">
        <w:rPr>
          <w:rFonts w:ascii="Arial" w:hAnsi="Arial" w:cs="Arial"/>
        </w:rPr>
        <w:t>), also known as “diastolic dysfunction” (≤1%)</w:t>
      </w:r>
      <w:r w:rsidR="00E03614" w:rsidRPr="00051B46">
        <w:rPr>
          <w:rFonts w:ascii="Arial" w:hAnsi="Arial" w:cs="Arial"/>
        </w:rPr>
        <w:t xml:space="preserve"> (</w:t>
      </w:r>
      <w:r w:rsidR="00CE0A72" w:rsidRPr="00051B46">
        <w:rPr>
          <w:rFonts w:ascii="Arial" w:hAnsi="Arial" w:cs="Arial"/>
        </w:rPr>
        <w:t>155</w:t>
      </w:r>
      <w:r w:rsidR="00E03614" w:rsidRPr="00051B46">
        <w:rPr>
          <w:rFonts w:ascii="Arial" w:hAnsi="Arial" w:cs="Arial"/>
        </w:rPr>
        <w:t>)</w:t>
      </w:r>
      <w:r w:rsidR="00471F45" w:rsidRPr="00051B46">
        <w:rPr>
          <w:rFonts w:ascii="Arial" w:hAnsi="Arial" w:cs="Arial"/>
        </w:rPr>
        <w:t xml:space="preserve">. </w:t>
      </w:r>
      <w:r w:rsidR="0060793F" w:rsidRPr="00051B46">
        <w:rPr>
          <w:rFonts w:ascii="Arial" w:hAnsi="Arial" w:cs="Arial"/>
        </w:rPr>
        <w:t xml:space="preserve"> </w:t>
      </w:r>
      <w:r w:rsidR="0065251A" w:rsidRPr="00051B46">
        <w:rPr>
          <w:rFonts w:ascii="Arial" w:hAnsi="Arial" w:cs="Arial"/>
        </w:rPr>
        <w:t xml:space="preserve">Obese patients with T2DM and NASH are more prone to </w:t>
      </w:r>
      <w:proofErr w:type="spellStart"/>
      <w:r w:rsidRPr="00051B46">
        <w:rPr>
          <w:rFonts w:ascii="Arial" w:hAnsi="Arial" w:cs="Arial"/>
        </w:rPr>
        <w:t>HFpEF</w:t>
      </w:r>
      <w:proofErr w:type="spellEnd"/>
      <w:r w:rsidR="00E03614" w:rsidRPr="00051B46">
        <w:rPr>
          <w:rFonts w:ascii="Arial" w:hAnsi="Arial" w:cs="Arial"/>
        </w:rPr>
        <w:t xml:space="preserve"> (</w:t>
      </w:r>
      <w:r w:rsidR="00CE0A72" w:rsidRPr="00051B46">
        <w:rPr>
          <w:rFonts w:ascii="Arial" w:hAnsi="Arial" w:cs="Arial"/>
        </w:rPr>
        <w:t>162</w:t>
      </w:r>
      <w:r w:rsidR="00E03614" w:rsidRPr="00051B46">
        <w:rPr>
          <w:rFonts w:ascii="Arial" w:hAnsi="Arial" w:cs="Arial"/>
        </w:rPr>
        <w:t>)</w:t>
      </w:r>
      <w:r w:rsidRPr="00051B46">
        <w:rPr>
          <w:rFonts w:ascii="Arial" w:hAnsi="Arial" w:cs="Arial"/>
        </w:rPr>
        <w:t xml:space="preserve">. </w:t>
      </w:r>
      <w:r w:rsidR="0065251A" w:rsidRPr="00051B46">
        <w:rPr>
          <w:rFonts w:ascii="Arial" w:hAnsi="Arial" w:cs="Arial"/>
        </w:rPr>
        <w:t xml:space="preserve">Therefore, </w:t>
      </w:r>
      <w:r w:rsidR="001D38F8" w:rsidRPr="00051B46">
        <w:rPr>
          <w:rFonts w:ascii="Arial" w:hAnsi="Arial" w:cs="Arial"/>
        </w:rPr>
        <w:t>in our experience</w:t>
      </w:r>
      <w:r w:rsidRPr="00051B46">
        <w:rPr>
          <w:rFonts w:ascii="Arial" w:hAnsi="Arial" w:cs="Arial"/>
        </w:rPr>
        <w:t xml:space="preserve">, this can be avoided if </w:t>
      </w:r>
      <w:r w:rsidR="00CA4758" w:rsidRPr="00051B46">
        <w:rPr>
          <w:rFonts w:ascii="Arial" w:hAnsi="Arial" w:cs="Arial"/>
        </w:rPr>
        <w:t>pioglitazone</w:t>
      </w:r>
      <w:r w:rsidR="0065251A" w:rsidRPr="00051B46">
        <w:rPr>
          <w:rFonts w:ascii="Arial" w:hAnsi="Arial" w:cs="Arial"/>
        </w:rPr>
        <w:t xml:space="preserve"> </w:t>
      </w:r>
      <w:r w:rsidRPr="00051B46">
        <w:rPr>
          <w:rFonts w:ascii="Arial" w:hAnsi="Arial" w:cs="Arial"/>
        </w:rPr>
        <w:t xml:space="preserve">is </w:t>
      </w:r>
      <w:r w:rsidR="00CA4758" w:rsidRPr="00051B46">
        <w:rPr>
          <w:rFonts w:ascii="Arial" w:hAnsi="Arial" w:cs="Arial"/>
        </w:rPr>
        <w:t>not prescribed to</w:t>
      </w:r>
      <w:r w:rsidR="0065251A" w:rsidRPr="00051B46">
        <w:rPr>
          <w:rFonts w:ascii="Arial" w:hAnsi="Arial" w:cs="Arial"/>
        </w:rPr>
        <w:t xml:space="preserve"> poor candidates, such as those with </w:t>
      </w:r>
      <w:r w:rsidR="001D38F8" w:rsidRPr="00051B46">
        <w:rPr>
          <w:rFonts w:ascii="Arial" w:hAnsi="Arial" w:cs="Arial"/>
        </w:rPr>
        <w:t xml:space="preserve">long-standing </w:t>
      </w:r>
      <w:r w:rsidR="0065251A" w:rsidRPr="00051B46">
        <w:rPr>
          <w:rFonts w:ascii="Arial" w:hAnsi="Arial" w:cs="Arial"/>
        </w:rPr>
        <w:t>history of severe CVD</w:t>
      </w:r>
      <w:r w:rsidR="001D38F8" w:rsidRPr="00051B46">
        <w:rPr>
          <w:rFonts w:ascii="Arial" w:hAnsi="Arial" w:cs="Arial"/>
        </w:rPr>
        <w:t xml:space="preserve"> that could be associated with heart failure, </w:t>
      </w:r>
      <w:r w:rsidRPr="00051B46">
        <w:rPr>
          <w:rFonts w:ascii="Arial" w:hAnsi="Arial" w:cs="Arial"/>
        </w:rPr>
        <w:t xml:space="preserve">baseline </w:t>
      </w:r>
      <w:r w:rsidR="001D38F8" w:rsidRPr="00051B46">
        <w:rPr>
          <w:rFonts w:ascii="Arial" w:hAnsi="Arial" w:cs="Arial"/>
        </w:rPr>
        <w:t xml:space="preserve">presence of </w:t>
      </w:r>
      <w:r w:rsidRPr="00051B46">
        <w:rPr>
          <w:rFonts w:ascii="Arial" w:hAnsi="Arial" w:cs="Arial"/>
        </w:rPr>
        <w:t xml:space="preserve">unexplained shortness of breath or </w:t>
      </w:r>
      <w:r w:rsidR="001D38F8" w:rsidRPr="00051B46">
        <w:rPr>
          <w:rFonts w:ascii="Arial" w:hAnsi="Arial" w:cs="Arial"/>
        </w:rPr>
        <w:t>lower extremity edema, severe obesity (BMI ≥40 kg/m</w:t>
      </w:r>
      <w:r w:rsidR="001D38F8" w:rsidRPr="00051B46">
        <w:rPr>
          <w:rFonts w:ascii="Arial" w:hAnsi="Arial" w:cs="Arial"/>
          <w:vertAlign w:val="superscript"/>
        </w:rPr>
        <w:t>2</w:t>
      </w:r>
      <w:r w:rsidR="001D38F8" w:rsidRPr="00051B46">
        <w:rPr>
          <w:rFonts w:ascii="Arial" w:hAnsi="Arial" w:cs="Arial"/>
        </w:rPr>
        <w:t>),</w:t>
      </w:r>
      <w:r w:rsidRPr="00051B46">
        <w:rPr>
          <w:rFonts w:ascii="Arial" w:hAnsi="Arial" w:cs="Arial"/>
        </w:rPr>
        <w:t xml:space="preserve"> or</w:t>
      </w:r>
      <w:r w:rsidR="001D38F8" w:rsidRPr="00051B46">
        <w:rPr>
          <w:rFonts w:ascii="Arial" w:hAnsi="Arial" w:cs="Arial"/>
        </w:rPr>
        <w:t xml:space="preserve"> longstanding diabetes on high-dose insulin</w:t>
      </w:r>
      <w:r w:rsidRPr="00051B46">
        <w:rPr>
          <w:rFonts w:ascii="Arial" w:hAnsi="Arial" w:cs="Arial"/>
        </w:rPr>
        <w:t>.</w:t>
      </w:r>
      <w:r w:rsidR="001E7EA6" w:rsidRPr="00051B46">
        <w:rPr>
          <w:rFonts w:ascii="Arial" w:hAnsi="Arial" w:cs="Arial"/>
        </w:rPr>
        <w:t xml:space="preserve"> </w:t>
      </w:r>
      <w:r w:rsidR="00E3544E" w:rsidRPr="00051B46">
        <w:rPr>
          <w:rFonts w:ascii="Arial" w:hAnsi="Arial" w:cs="Arial"/>
        </w:rPr>
        <w:t xml:space="preserve"> Concomitant use of amlodipine, that </w:t>
      </w:r>
      <w:r w:rsidR="00CE0A72" w:rsidRPr="00051B46">
        <w:rPr>
          <w:rFonts w:ascii="Arial" w:hAnsi="Arial" w:cs="Arial"/>
        </w:rPr>
        <w:t xml:space="preserve">is </w:t>
      </w:r>
      <w:r w:rsidR="00E3544E" w:rsidRPr="00051B46">
        <w:rPr>
          <w:rFonts w:ascii="Arial" w:hAnsi="Arial" w:cs="Arial"/>
        </w:rPr>
        <w:t>often</w:t>
      </w:r>
      <w:r w:rsidR="00CE0A72" w:rsidRPr="00051B46">
        <w:rPr>
          <w:rFonts w:ascii="Arial" w:hAnsi="Arial" w:cs="Arial"/>
        </w:rPr>
        <w:t xml:space="preserve"> already</w:t>
      </w:r>
      <w:r w:rsidR="00E3544E" w:rsidRPr="00051B46">
        <w:rPr>
          <w:rFonts w:ascii="Arial" w:hAnsi="Arial" w:cs="Arial"/>
        </w:rPr>
        <w:t xml:space="preserve"> associated with lower extremity edema, should also be avoided.  The clinician suspecting </w:t>
      </w:r>
      <w:proofErr w:type="spellStart"/>
      <w:r w:rsidR="00E3544E" w:rsidRPr="00051B46">
        <w:rPr>
          <w:rFonts w:ascii="Arial" w:hAnsi="Arial" w:cs="Arial"/>
        </w:rPr>
        <w:t>HFpEF</w:t>
      </w:r>
      <w:proofErr w:type="spellEnd"/>
      <w:r w:rsidR="00E3544E" w:rsidRPr="00051B46">
        <w:rPr>
          <w:rFonts w:ascii="Arial" w:hAnsi="Arial" w:cs="Arial"/>
        </w:rPr>
        <w:t xml:space="preserve"> may consider ruling this condition </w:t>
      </w:r>
      <w:r w:rsidR="00CE0A72" w:rsidRPr="00051B46">
        <w:rPr>
          <w:rFonts w:ascii="Arial" w:hAnsi="Arial" w:cs="Arial"/>
        </w:rPr>
        <w:t xml:space="preserve">out </w:t>
      </w:r>
      <w:r w:rsidR="00E3544E" w:rsidRPr="00051B46">
        <w:rPr>
          <w:rFonts w:ascii="Arial" w:hAnsi="Arial" w:cs="Arial"/>
        </w:rPr>
        <w:t xml:space="preserve">before initiating therapy.  Options </w:t>
      </w:r>
      <w:r w:rsidR="00CE0A72" w:rsidRPr="00051B46">
        <w:rPr>
          <w:rFonts w:ascii="Arial" w:hAnsi="Arial" w:cs="Arial"/>
        </w:rPr>
        <w:t xml:space="preserve">to this end </w:t>
      </w:r>
      <w:r w:rsidR="00E3544E" w:rsidRPr="00051B46">
        <w:rPr>
          <w:rFonts w:ascii="Arial" w:hAnsi="Arial" w:cs="Arial"/>
        </w:rPr>
        <w:t>are ordering a transthoracic echocardiogram or plasma N-terminal (NT)-pro hormone B-type natriuretic peptide (NT-</w:t>
      </w:r>
      <w:proofErr w:type="spellStart"/>
      <w:r w:rsidR="00E3544E" w:rsidRPr="00051B46">
        <w:rPr>
          <w:rFonts w:ascii="Arial" w:hAnsi="Arial" w:cs="Arial"/>
        </w:rPr>
        <w:t>proBNP</w:t>
      </w:r>
      <w:proofErr w:type="spellEnd"/>
      <w:r w:rsidR="00E3544E" w:rsidRPr="00051B46">
        <w:rPr>
          <w:rFonts w:ascii="Arial" w:hAnsi="Arial" w:cs="Arial"/>
        </w:rPr>
        <w:t>), the non-active prohormone from BNP. Both BNP and NT-</w:t>
      </w:r>
      <w:proofErr w:type="spellStart"/>
      <w:r w:rsidR="00E3544E" w:rsidRPr="00051B46">
        <w:rPr>
          <w:rFonts w:ascii="Arial" w:hAnsi="Arial" w:cs="Arial"/>
        </w:rPr>
        <w:t>proBNP</w:t>
      </w:r>
      <w:proofErr w:type="spellEnd"/>
      <w:r w:rsidR="00E3544E" w:rsidRPr="00051B46">
        <w:rPr>
          <w:rFonts w:ascii="Arial" w:hAnsi="Arial" w:cs="Arial"/>
        </w:rPr>
        <w:t xml:space="preserve"> are released in response to changes in cardiac pressure with plasma levels increasing when heart failure develops or worsens</w:t>
      </w:r>
      <w:r w:rsidR="00CE0A72" w:rsidRPr="00051B46">
        <w:rPr>
          <w:rFonts w:ascii="Arial" w:hAnsi="Arial" w:cs="Arial"/>
        </w:rPr>
        <w:t xml:space="preserve"> (162)</w:t>
      </w:r>
      <w:r w:rsidR="00E3544E" w:rsidRPr="00051B46">
        <w:rPr>
          <w:rFonts w:ascii="Arial" w:hAnsi="Arial" w:cs="Arial"/>
        </w:rPr>
        <w:t xml:space="preserve">. </w:t>
      </w:r>
    </w:p>
    <w:p w14:paraId="0D9042F4" w14:textId="4E0CDA51" w:rsidR="00E03614" w:rsidRPr="00051B46" w:rsidRDefault="00E03614" w:rsidP="002506B3">
      <w:pPr>
        <w:spacing w:after="0" w:line="276" w:lineRule="auto"/>
        <w:rPr>
          <w:rFonts w:ascii="Arial" w:hAnsi="Arial" w:cs="Arial"/>
        </w:rPr>
      </w:pPr>
    </w:p>
    <w:p w14:paraId="0C9B2704" w14:textId="21B9C603" w:rsidR="00FE5859" w:rsidRPr="00051B46" w:rsidRDefault="00471F45" w:rsidP="002506B3">
      <w:pPr>
        <w:spacing w:after="0" w:line="276" w:lineRule="auto"/>
        <w:rPr>
          <w:rFonts w:ascii="Arial" w:hAnsi="Arial" w:cs="Arial"/>
        </w:rPr>
      </w:pPr>
      <w:r w:rsidRPr="00051B46">
        <w:rPr>
          <w:rFonts w:ascii="Arial" w:hAnsi="Arial" w:cs="Arial"/>
        </w:rPr>
        <w:t>There is significant</w:t>
      </w:r>
      <w:r w:rsidR="00FC1F97" w:rsidRPr="00051B46">
        <w:rPr>
          <w:rFonts w:ascii="Arial" w:hAnsi="Arial" w:cs="Arial"/>
        </w:rPr>
        <w:t xml:space="preserve"> controversy </w:t>
      </w:r>
      <w:r w:rsidRPr="00051B46">
        <w:rPr>
          <w:rFonts w:ascii="Arial" w:hAnsi="Arial" w:cs="Arial"/>
        </w:rPr>
        <w:t>about the risk of</w:t>
      </w:r>
      <w:r w:rsidR="00FC1F97" w:rsidRPr="00051B46">
        <w:rPr>
          <w:rFonts w:ascii="Arial" w:hAnsi="Arial" w:cs="Arial"/>
        </w:rPr>
        <w:t xml:space="preserve"> bladder cancer </w:t>
      </w:r>
      <w:r w:rsidRPr="00051B46">
        <w:rPr>
          <w:rFonts w:ascii="Arial" w:hAnsi="Arial" w:cs="Arial"/>
        </w:rPr>
        <w:t>with pioglitazone and unlikely ever to be resolved given the overall low frequency of bladder cancer in the general population.  A recent</w:t>
      </w:r>
      <w:r w:rsidR="00FC1F97" w:rsidRPr="00051B46">
        <w:rPr>
          <w:rFonts w:ascii="Arial" w:hAnsi="Arial" w:cs="Arial"/>
        </w:rPr>
        <w:t xml:space="preserve"> 10-year prospective study </w:t>
      </w:r>
      <w:r w:rsidRPr="00051B46">
        <w:rPr>
          <w:rFonts w:ascii="Arial" w:hAnsi="Arial" w:cs="Arial"/>
        </w:rPr>
        <w:t>was negative for</w:t>
      </w:r>
      <w:r w:rsidR="00FC1F97" w:rsidRPr="00051B46">
        <w:rPr>
          <w:rFonts w:ascii="Arial" w:hAnsi="Arial" w:cs="Arial"/>
        </w:rPr>
        <w:t xml:space="preserve"> bladder cancer</w:t>
      </w:r>
      <w:r w:rsidRPr="00051B46">
        <w:rPr>
          <w:rFonts w:ascii="Arial" w:hAnsi="Arial" w:cs="Arial"/>
        </w:rPr>
        <w:t xml:space="preserve"> </w:t>
      </w:r>
      <w:r w:rsidR="00E03614" w:rsidRPr="00051B46">
        <w:rPr>
          <w:rFonts w:ascii="Arial" w:hAnsi="Arial" w:cs="Arial"/>
        </w:rPr>
        <w:t>(</w:t>
      </w:r>
      <w:r w:rsidR="00E415CD" w:rsidRPr="00051B46">
        <w:rPr>
          <w:rFonts w:ascii="Arial" w:hAnsi="Arial" w:cs="Arial"/>
        </w:rPr>
        <w:t>163</w:t>
      </w:r>
      <w:r w:rsidR="00E03614" w:rsidRPr="00051B46">
        <w:rPr>
          <w:rFonts w:ascii="Arial" w:hAnsi="Arial" w:cs="Arial"/>
        </w:rPr>
        <w:t>)</w:t>
      </w:r>
      <w:r w:rsidR="00FC1F97" w:rsidRPr="00051B46">
        <w:rPr>
          <w:rFonts w:ascii="Arial" w:hAnsi="Arial" w:cs="Arial"/>
        </w:rPr>
        <w:t xml:space="preserve"> </w:t>
      </w:r>
      <w:r w:rsidRPr="00051B46">
        <w:rPr>
          <w:rFonts w:ascii="Arial" w:hAnsi="Arial" w:cs="Arial"/>
        </w:rPr>
        <w:t xml:space="preserve">and </w:t>
      </w:r>
      <w:r w:rsidR="00E415CD" w:rsidRPr="00051B46">
        <w:rPr>
          <w:rFonts w:ascii="Arial" w:hAnsi="Arial" w:cs="Arial"/>
        </w:rPr>
        <w:t xml:space="preserve">there was </w:t>
      </w:r>
      <w:r w:rsidRPr="00051B46">
        <w:rPr>
          <w:rFonts w:ascii="Arial" w:hAnsi="Arial" w:cs="Arial"/>
        </w:rPr>
        <w:t>no association found in</w:t>
      </w:r>
      <w:r w:rsidR="00FC1F97" w:rsidRPr="00051B46">
        <w:rPr>
          <w:rFonts w:ascii="Arial" w:hAnsi="Arial" w:cs="Arial"/>
        </w:rPr>
        <w:t xml:space="preserve"> a recent meta-analysis</w:t>
      </w:r>
      <w:r w:rsidRPr="00051B46">
        <w:rPr>
          <w:rFonts w:ascii="Arial" w:hAnsi="Arial" w:cs="Arial"/>
        </w:rPr>
        <w:t xml:space="preserve"> </w:t>
      </w:r>
      <w:r w:rsidR="00E415CD" w:rsidRPr="00051B46">
        <w:rPr>
          <w:rFonts w:ascii="Arial" w:hAnsi="Arial" w:cs="Arial"/>
        </w:rPr>
        <w:t xml:space="preserve">comparing </w:t>
      </w:r>
      <w:r w:rsidRPr="00051B46">
        <w:rPr>
          <w:rFonts w:ascii="Arial" w:hAnsi="Arial" w:cs="Arial"/>
        </w:rPr>
        <w:t>patients who had</w:t>
      </w:r>
      <w:r w:rsidR="00E415CD" w:rsidRPr="00051B46">
        <w:rPr>
          <w:rFonts w:ascii="Arial" w:hAnsi="Arial" w:cs="Arial"/>
        </w:rPr>
        <w:t xml:space="preserve"> been</w:t>
      </w:r>
      <w:r w:rsidRPr="00051B46">
        <w:rPr>
          <w:rFonts w:ascii="Arial" w:hAnsi="Arial" w:cs="Arial"/>
        </w:rPr>
        <w:t xml:space="preserve"> ever vs. never users of pioglitazone</w:t>
      </w:r>
      <w:r w:rsidR="00E415CD" w:rsidRPr="00051B46">
        <w:rPr>
          <w:rFonts w:ascii="Arial" w:hAnsi="Arial" w:cs="Arial"/>
        </w:rPr>
        <w:t>,</w:t>
      </w:r>
      <w:r w:rsidR="00470737" w:rsidRPr="00051B46">
        <w:rPr>
          <w:rFonts w:ascii="Arial" w:hAnsi="Arial" w:cs="Arial"/>
        </w:rPr>
        <w:t xml:space="preserve"> but </w:t>
      </w:r>
      <w:r w:rsidR="00E415CD" w:rsidRPr="00051B46">
        <w:rPr>
          <w:rFonts w:ascii="Arial" w:hAnsi="Arial" w:cs="Arial"/>
        </w:rPr>
        <w:t xml:space="preserve">there was </w:t>
      </w:r>
      <w:r w:rsidR="00470737" w:rsidRPr="00051B46">
        <w:rPr>
          <w:rFonts w:ascii="Arial" w:hAnsi="Arial" w:cs="Arial"/>
        </w:rPr>
        <w:t xml:space="preserve">a small but </w:t>
      </w:r>
      <w:r w:rsidR="00FC1F97" w:rsidRPr="00051B46">
        <w:rPr>
          <w:rFonts w:ascii="Arial" w:hAnsi="Arial" w:cs="Arial"/>
        </w:rPr>
        <w:t>significant association with 1–2 years (HR = 1·28 [1·08–1·55]) and &gt;2 years (HR = 1·42 [1·14–1·77]) of exposure</w:t>
      </w:r>
      <w:r w:rsidR="00E03614" w:rsidRPr="00051B46">
        <w:rPr>
          <w:rFonts w:ascii="Arial" w:hAnsi="Arial" w:cs="Arial"/>
        </w:rPr>
        <w:t xml:space="preserve"> (</w:t>
      </w:r>
      <w:r w:rsidR="00E415CD" w:rsidRPr="00051B46">
        <w:rPr>
          <w:rFonts w:ascii="Arial" w:hAnsi="Arial" w:cs="Arial"/>
        </w:rPr>
        <w:t>164</w:t>
      </w:r>
      <w:r w:rsidR="00E03614" w:rsidRPr="00051B46">
        <w:rPr>
          <w:rFonts w:ascii="Arial" w:hAnsi="Arial" w:cs="Arial"/>
        </w:rPr>
        <w:t>)</w:t>
      </w:r>
      <w:r w:rsidR="00FC1F97" w:rsidRPr="00051B46">
        <w:rPr>
          <w:rFonts w:ascii="Arial" w:hAnsi="Arial" w:cs="Arial"/>
        </w:rPr>
        <w:t xml:space="preserve">. </w:t>
      </w:r>
      <w:r w:rsidR="00470737" w:rsidRPr="00051B46">
        <w:rPr>
          <w:rFonts w:ascii="Arial" w:hAnsi="Arial" w:cs="Arial"/>
        </w:rPr>
        <w:t xml:space="preserve">In absolute terms, </w:t>
      </w:r>
      <w:r w:rsidR="00FC1F97" w:rsidRPr="00051B46">
        <w:rPr>
          <w:rFonts w:ascii="Arial" w:hAnsi="Arial" w:cs="Arial"/>
        </w:rPr>
        <w:t xml:space="preserve">bladder cancer </w:t>
      </w:r>
      <w:r w:rsidR="00470737" w:rsidRPr="00051B46">
        <w:rPr>
          <w:rFonts w:ascii="Arial" w:hAnsi="Arial" w:cs="Arial"/>
        </w:rPr>
        <w:t>developed in &lt;0.3% of</w:t>
      </w:r>
      <w:r w:rsidR="00FC1F97" w:rsidRPr="00051B46">
        <w:rPr>
          <w:rFonts w:ascii="Arial" w:hAnsi="Arial" w:cs="Arial"/>
        </w:rPr>
        <w:t xml:space="preserve"> patients both exposed and not exposed to pioglitazone. The numbers needed to treat for one additional case of bladder cancer ranged from 899 to 6380 (median of 2540), while the benefit </w:t>
      </w:r>
      <w:r w:rsidR="00470737" w:rsidRPr="00051B46">
        <w:rPr>
          <w:rFonts w:ascii="Arial" w:hAnsi="Arial" w:cs="Arial"/>
        </w:rPr>
        <w:t xml:space="preserve">for CVD and NASH ranged from </w:t>
      </w:r>
      <w:r w:rsidR="00FC1F97" w:rsidRPr="00051B46">
        <w:rPr>
          <w:rFonts w:ascii="Arial" w:hAnsi="Arial" w:cs="Arial"/>
        </w:rPr>
        <w:t xml:space="preserve">4–256 and 2–12, respectively. </w:t>
      </w:r>
    </w:p>
    <w:p w14:paraId="3E36E868" w14:textId="77777777" w:rsidR="00E03614" w:rsidRPr="00051B46" w:rsidRDefault="00E03614" w:rsidP="002506B3">
      <w:pPr>
        <w:spacing w:after="0" w:line="276" w:lineRule="auto"/>
        <w:rPr>
          <w:rFonts w:ascii="Arial" w:hAnsi="Arial" w:cs="Arial"/>
        </w:rPr>
      </w:pPr>
    </w:p>
    <w:p w14:paraId="6A8C1921" w14:textId="43DBF3B2" w:rsidR="00FC1F97" w:rsidRPr="00051B46" w:rsidRDefault="00FE5859" w:rsidP="002506B3">
      <w:pPr>
        <w:spacing w:after="0" w:line="276" w:lineRule="auto"/>
        <w:rPr>
          <w:rFonts w:ascii="Arial" w:hAnsi="Arial" w:cs="Arial"/>
        </w:rPr>
      </w:pPr>
      <w:r w:rsidRPr="00051B46">
        <w:rPr>
          <w:rFonts w:ascii="Arial" w:hAnsi="Arial" w:cs="Arial"/>
        </w:rPr>
        <w:t>Taken together</w:t>
      </w:r>
      <w:r w:rsidR="00FC1F97" w:rsidRPr="00051B46">
        <w:rPr>
          <w:rFonts w:ascii="Arial" w:hAnsi="Arial" w:cs="Arial"/>
        </w:rPr>
        <w:t xml:space="preserve">, </w:t>
      </w:r>
      <w:r w:rsidRPr="00051B46">
        <w:rPr>
          <w:rFonts w:ascii="Arial" w:hAnsi="Arial" w:cs="Arial"/>
        </w:rPr>
        <w:t>pioglitazone is an evidence-based treatment option for patients with and without diabetes and NASH</w:t>
      </w:r>
      <w:r w:rsidR="00E03614" w:rsidRPr="00051B46">
        <w:rPr>
          <w:rFonts w:ascii="Arial" w:hAnsi="Arial" w:cs="Arial"/>
        </w:rPr>
        <w:t xml:space="preserve"> (</w:t>
      </w:r>
      <w:r w:rsidR="00E415CD" w:rsidRPr="00051B46">
        <w:rPr>
          <w:rFonts w:ascii="Arial" w:hAnsi="Arial" w:cs="Arial"/>
        </w:rPr>
        <w:t>92</w:t>
      </w:r>
      <w:r w:rsidR="00E03614" w:rsidRPr="00051B46">
        <w:rPr>
          <w:rFonts w:ascii="Arial" w:hAnsi="Arial" w:cs="Arial"/>
        </w:rPr>
        <w:t>)</w:t>
      </w:r>
      <w:r w:rsidRPr="00051B46">
        <w:rPr>
          <w:rFonts w:ascii="Arial" w:hAnsi="Arial" w:cs="Arial"/>
        </w:rPr>
        <w:t xml:space="preserve">. </w:t>
      </w:r>
      <w:r w:rsidR="007E49D6" w:rsidRPr="00051B46">
        <w:rPr>
          <w:rFonts w:ascii="Arial" w:hAnsi="Arial" w:cs="Arial"/>
        </w:rPr>
        <w:t xml:space="preserve">It is also a generic medication recommended by the current </w:t>
      </w:r>
      <w:r w:rsidR="009212EB" w:rsidRPr="00051B46">
        <w:rPr>
          <w:rFonts w:ascii="Arial" w:hAnsi="Arial" w:cs="Arial"/>
        </w:rPr>
        <w:t>ADA and EASD</w:t>
      </w:r>
      <w:r w:rsidR="007E49D6" w:rsidRPr="00051B46">
        <w:rPr>
          <w:rFonts w:ascii="Arial" w:hAnsi="Arial" w:cs="Arial"/>
        </w:rPr>
        <w:t xml:space="preserve"> guidelines as a low-cost option, along with sulfonylureas, for the management of T2DM.  </w:t>
      </w:r>
      <w:r w:rsidR="009212EB" w:rsidRPr="00051B46">
        <w:rPr>
          <w:rFonts w:ascii="Arial" w:hAnsi="Arial" w:cs="Arial"/>
        </w:rPr>
        <w:t>Pioglitazone</w:t>
      </w:r>
      <w:r w:rsidRPr="00051B46">
        <w:rPr>
          <w:rFonts w:ascii="Arial" w:hAnsi="Arial" w:cs="Arial"/>
        </w:rPr>
        <w:t xml:space="preserve"> is likely to become for patients with NASH what metformin is for the management of T2DM, an inexpensive and effective option offering liver histological and cardiometabolic benefit and likely to be combined with novel therapeutic agents under development. </w:t>
      </w:r>
    </w:p>
    <w:p w14:paraId="53BE6574" w14:textId="77777777" w:rsidR="00E03614" w:rsidRPr="00051B46" w:rsidRDefault="00E03614" w:rsidP="002506B3">
      <w:pPr>
        <w:spacing w:after="0" w:line="276" w:lineRule="auto"/>
        <w:rPr>
          <w:rFonts w:ascii="Arial" w:hAnsi="Arial" w:cs="Arial"/>
        </w:rPr>
      </w:pPr>
    </w:p>
    <w:p w14:paraId="5719EAE5" w14:textId="34B0337C" w:rsidR="00D02F13" w:rsidRPr="00051B46" w:rsidRDefault="00FE5859" w:rsidP="002506B3">
      <w:pPr>
        <w:spacing w:after="0" w:line="276" w:lineRule="auto"/>
        <w:rPr>
          <w:rFonts w:ascii="Arial" w:hAnsi="Arial" w:cs="Arial"/>
        </w:rPr>
      </w:pPr>
      <w:r w:rsidRPr="00051B46">
        <w:rPr>
          <w:rFonts w:ascii="Arial" w:hAnsi="Arial" w:cs="Arial"/>
        </w:rPr>
        <w:t xml:space="preserve">Glucagon-like peptide 1 (GLP-1) receptor agonists are another group of pharmacologic </w:t>
      </w:r>
      <w:r w:rsidR="00D02F13" w:rsidRPr="00051B46">
        <w:rPr>
          <w:rFonts w:ascii="Arial" w:hAnsi="Arial" w:cs="Arial"/>
        </w:rPr>
        <w:t>agents widely used for the treatment of diabetes</w:t>
      </w:r>
      <w:r w:rsidRPr="00051B46">
        <w:rPr>
          <w:rFonts w:ascii="Arial" w:hAnsi="Arial" w:cs="Arial"/>
        </w:rPr>
        <w:t xml:space="preserve"> that also have significant cardiometabolic benefits</w:t>
      </w:r>
      <w:r w:rsidR="00D02F13" w:rsidRPr="00051B46">
        <w:rPr>
          <w:rFonts w:ascii="Arial" w:hAnsi="Arial" w:cs="Arial"/>
        </w:rPr>
        <w:t xml:space="preserve">. </w:t>
      </w:r>
      <w:r w:rsidRPr="00051B46">
        <w:rPr>
          <w:rFonts w:ascii="Arial" w:hAnsi="Arial" w:cs="Arial"/>
        </w:rPr>
        <w:t xml:space="preserve">A recent review </w:t>
      </w:r>
      <w:r w:rsidR="00CA54AB" w:rsidRPr="00051B46">
        <w:rPr>
          <w:rFonts w:ascii="Arial" w:hAnsi="Arial" w:cs="Arial"/>
        </w:rPr>
        <w:t xml:space="preserve">summarized the many studies that have tested GLP-1RAs in </w:t>
      </w:r>
      <w:r w:rsidR="00CA54AB" w:rsidRPr="00051B46">
        <w:rPr>
          <w:rFonts w:ascii="Arial" w:hAnsi="Arial" w:cs="Arial"/>
        </w:rPr>
        <w:lastRenderedPageBreak/>
        <w:t>patients with NAFLD</w:t>
      </w:r>
      <w:r w:rsidR="00E03614" w:rsidRPr="00051B46">
        <w:rPr>
          <w:rFonts w:ascii="Arial" w:hAnsi="Arial" w:cs="Arial"/>
        </w:rPr>
        <w:t xml:space="preserve"> (</w:t>
      </w:r>
      <w:r w:rsidR="00A878CC" w:rsidRPr="00051B46">
        <w:rPr>
          <w:rFonts w:ascii="Arial" w:hAnsi="Arial" w:cs="Arial"/>
        </w:rPr>
        <w:t>152</w:t>
      </w:r>
      <w:r w:rsidR="00E03614" w:rsidRPr="00051B46">
        <w:rPr>
          <w:rFonts w:ascii="Arial" w:hAnsi="Arial" w:cs="Arial"/>
        </w:rPr>
        <w:t>)</w:t>
      </w:r>
      <w:r w:rsidR="00CA54AB" w:rsidRPr="00051B46">
        <w:rPr>
          <w:rFonts w:ascii="Arial" w:hAnsi="Arial" w:cs="Arial"/>
        </w:rPr>
        <w:t>. Typically, treatment is associated with weight loss and a</w:t>
      </w:r>
      <w:r w:rsidR="009444DA" w:rsidRPr="00051B46">
        <w:rPr>
          <w:rFonts w:ascii="Arial" w:hAnsi="Arial" w:cs="Arial"/>
        </w:rPr>
        <w:t xml:space="preserve"> </w:t>
      </w:r>
      <w:r w:rsidR="00CA54AB" w:rsidRPr="00051B46">
        <w:rPr>
          <w:rFonts w:ascii="Arial" w:hAnsi="Arial" w:cs="Arial"/>
        </w:rPr>
        <w:t xml:space="preserve">decrease in plasma aminotransferases and hepatic steatosis.  In the only study to date examining their </w:t>
      </w:r>
      <w:r w:rsidR="00D02F13" w:rsidRPr="00051B46">
        <w:rPr>
          <w:rFonts w:ascii="Arial" w:hAnsi="Arial" w:cs="Arial"/>
        </w:rPr>
        <w:t>role in NASH</w:t>
      </w:r>
      <w:r w:rsidR="00F06A33" w:rsidRPr="00051B46">
        <w:rPr>
          <w:rFonts w:ascii="Arial" w:hAnsi="Arial" w:cs="Arial"/>
        </w:rPr>
        <w:t>, Armstrong et al (165)</w:t>
      </w:r>
      <w:r w:rsidR="001E7EA6" w:rsidRPr="00051B46">
        <w:rPr>
          <w:rFonts w:ascii="Arial" w:hAnsi="Arial" w:cs="Arial"/>
        </w:rPr>
        <w:t xml:space="preserve"> randomized</w:t>
      </w:r>
      <w:r w:rsidR="00CA54AB" w:rsidRPr="00051B46">
        <w:rPr>
          <w:rFonts w:ascii="Arial" w:hAnsi="Arial" w:cs="Arial"/>
        </w:rPr>
        <w:t xml:space="preserve"> </w:t>
      </w:r>
      <w:r w:rsidR="00D02F13" w:rsidRPr="00051B46">
        <w:rPr>
          <w:rFonts w:ascii="Arial" w:hAnsi="Arial" w:cs="Arial"/>
        </w:rPr>
        <w:t xml:space="preserve">52 patients with NASH to receive </w:t>
      </w:r>
      <w:r w:rsidR="00CA54AB" w:rsidRPr="00051B46">
        <w:rPr>
          <w:rFonts w:ascii="Arial" w:hAnsi="Arial" w:cs="Arial"/>
        </w:rPr>
        <w:t xml:space="preserve">either </w:t>
      </w:r>
      <w:r w:rsidR="00D02F13" w:rsidRPr="00051B46">
        <w:rPr>
          <w:rFonts w:ascii="Arial" w:hAnsi="Arial" w:cs="Arial"/>
        </w:rPr>
        <w:t>liraglutide or placebo for 48 weeks</w:t>
      </w:r>
      <w:r w:rsidR="00CA54AB" w:rsidRPr="00051B46">
        <w:rPr>
          <w:rFonts w:ascii="Arial" w:hAnsi="Arial" w:cs="Arial"/>
        </w:rPr>
        <w:t>. NASH</w:t>
      </w:r>
      <w:r w:rsidR="00D02F13" w:rsidRPr="00051B46">
        <w:rPr>
          <w:rFonts w:ascii="Arial" w:hAnsi="Arial" w:cs="Arial"/>
        </w:rPr>
        <w:t xml:space="preserve"> resolved in nine patients (39</w:t>
      </w:r>
      <w:r w:rsidR="005E76AE" w:rsidRPr="00051B46">
        <w:rPr>
          <w:rFonts w:ascii="Arial" w:hAnsi="Arial" w:cs="Arial"/>
        </w:rPr>
        <w:t>%</w:t>
      </w:r>
      <w:r w:rsidR="00D02F13" w:rsidRPr="00051B46">
        <w:rPr>
          <w:rFonts w:ascii="Arial" w:hAnsi="Arial" w:cs="Arial"/>
        </w:rPr>
        <w:t>) who received liraglutide</w:t>
      </w:r>
      <w:r w:rsidR="00735D09" w:rsidRPr="00051B46">
        <w:rPr>
          <w:rFonts w:ascii="Arial" w:hAnsi="Arial" w:cs="Arial"/>
        </w:rPr>
        <w:t xml:space="preserve"> compared to</w:t>
      </w:r>
      <w:r w:rsidR="00D02F13" w:rsidRPr="00051B46">
        <w:rPr>
          <w:rFonts w:ascii="Arial" w:hAnsi="Arial" w:cs="Arial"/>
        </w:rPr>
        <w:t xml:space="preserve"> two patients (9</w:t>
      </w:r>
      <w:r w:rsidR="005E76AE" w:rsidRPr="00051B46">
        <w:rPr>
          <w:rFonts w:ascii="Arial" w:hAnsi="Arial" w:cs="Arial"/>
        </w:rPr>
        <w:t>%</w:t>
      </w:r>
      <w:r w:rsidR="00D02F13" w:rsidRPr="00051B46">
        <w:rPr>
          <w:rFonts w:ascii="Arial" w:hAnsi="Arial" w:cs="Arial"/>
        </w:rPr>
        <w:t xml:space="preserve">) </w:t>
      </w:r>
      <w:r w:rsidR="00735D09" w:rsidRPr="00051B46">
        <w:rPr>
          <w:rFonts w:ascii="Arial" w:hAnsi="Arial" w:cs="Arial"/>
        </w:rPr>
        <w:t xml:space="preserve">in the </w:t>
      </w:r>
      <w:r w:rsidR="00D02F13" w:rsidRPr="00051B46">
        <w:rPr>
          <w:rFonts w:ascii="Arial" w:hAnsi="Arial" w:cs="Arial"/>
        </w:rPr>
        <w:t xml:space="preserve">placebo </w:t>
      </w:r>
      <w:r w:rsidR="00735D09" w:rsidRPr="00051B46">
        <w:rPr>
          <w:rFonts w:ascii="Arial" w:hAnsi="Arial" w:cs="Arial"/>
        </w:rPr>
        <w:t xml:space="preserve">group </w:t>
      </w:r>
      <w:r w:rsidR="00D02F13" w:rsidRPr="00051B46">
        <w:rPr>
          <w:rFonts w:ascii="Arial" w:hAnsi="Arial" w:cs="Arial"/>
        </w:rPr>
        <w:t xml:space="preserve">(RR 4.3; 95% CI 1.0-17). </w:t>
      </w:r>
      <w:r w:rsidR="00B8353E" w:rsidRPr="00051B46">
        <w:rPr>
          <w:rFonts w:ascii="Arial" w:hAnsi="Arial" w:cs="Arial"/>
        </w:rPr>
        <w:t>P</w:t>
      </w:r>
      <w:r w:rsidR="00D02F13" w:rsidRPr="00051B46">
        <w:rPr>
          <w:rFonts w:ascii="Arial" w:hAnsi="Arial" w:cs="Arial"/>
        </w:rPr>
        <w:t>atients who received liraglutide were less likely to have progression of fibrosis (9 versus 36 percent; RR 0.2; 95% CI 0.1-1.0)</w:t>
      </w:r>
      <w:r w:rsidR="004C2F12" w:rsidRPr="00051B46">
        <w:rPr>
          <w:rFonts w:ascii="Arial" w:hAnsi="Arial" w:cs="Arial"/>
        </w:rPr>
        <w:t xml:space="preserve">. </w:t>
      </w:r>
      <w:r w:rsidR="009444DA" w:rsidRPr="00051B46">
        <w:rPr>
          <w:rFonts w:ascii="Arial" w:hAnsi="Arial" w:cs="Arial"/>
        </w:rPr>
        <w:t xml:space="preserve">These results are consistent with most other controlled and uncontrolled trials with liraglutide </w:t>
      </w:r>
      <w:r w:rsidR="00E03614" w:rsidRPr="00051B46">
        <w:rPr>
          <w:rFonts w:ascii="Arial" w:hAnsi="Arial" w:cs="Arial"/>
        </w:rPr>
        <w:t xml:space="preserve">and other GLP-1RAs </w:t>
      </w:r>
      <w:r w:rsidR="009444DA" w:rsidRPr="00051B46">
        <w:rPr>
          <w:rFonts w:ascii="Arial" w:hAnsi="Arial" w:cs="Arial"/>
        </w:rPr>
        <w:t>that have consistently led to weight loss and a r</w:t>
      </w:r>
      <w:r w:rsidR="00CA54AB" w:rsidRPr="00051B46">
        <w:rPr>
          <w:rFonts w:ascii="Arial" w:hAnsi="Arial" w:cs="Arial"/>
        </w:rPr>
        <w:t xml:space="preserve">eduction </w:t>
      </w:r>
      <w:r w:rsidR="009444DA" w:rsidRPr="00051B46">
        <w:rPr>
          <w:rFonts w:ascii="Arial" w:hAnsi="Arial" w:cs="Arial"/>
        </w:rPr>
        <w:t xml:space="preserve">hepatic steatosis on imaging and </w:t>
      </w:r>
      <w:r w:rsidR="00CA54AB" w:rsidRPr="00051B46">
        <w:rPr>
          <w:rFonts w:ascii="Arial" w:hAnsi="Arial" w:cs="Arial"/>
        </w:rPr>
        <w:t>in plasma aminotra</w:t>
      </w:r>
      <w:r w:rsidR="00370627" w:rsidRPr="00051B46">
        <w:rPr>
          <w:rFonts w:ascii="Arial" w:hAnsi="Arial" w:cs="Arial"/>
        </w:rPr>
        <w:t>ns</w:t>
      </w:r>
      <w:r w:rsidR="00CA54AB" w:rsidRPr="00051B46">
        <w:rPr>
          <w:rFonts w:ascii="Arial" w:hAnsi="Arial" w:cs="Arial"/>
        </w:rPr>
        <w:t>ferases</w:t>
      </w:r>
      <w:r w:rsidR="00E03614" w:rsidRPr="00051B46">
        <w:rPr>
          <w:rFonts w:ascii="Arial" w:hAnsi="Arial" w:cs="Arial"/>
        </w:rPr>
        <w:t xml:space="preserve"> </w:t>
      </w:r>
      <w:r w:rsidR="00CA54AB" w:rsidRPr="00051B46">
        <w:rPr>
          <w:rFonts w:ascii="Arial" w:hAnsi="Arial" w:cs="Arial"/>
        </w:rPr>
        <w:t>in patients with NAFLD</w:t>
      </w:r>
      <w:r w:rsidR="00E03614" w:rsidRPr="00051B46">
        <w:rPr>
          <w:rFonts w:ascii="Arial" w:hAnsi="Arial" w:cs="Arial"/>
        </w:rPr>
        <w:t xml:space="preserve"> (</w:t>
      </w:r>
      <w:r w:rsidR="0040377C" w:rsidRPr="00051B46">
        <w:rPr>
          <w:rFonts w:ascii="Arial" w:hAnsi="Arial" w:cs="Arial"/>
        </w:rPr>
        <w:t>166)</w:t>
      </w:r>
      <w:r w:rsidR="00CA54AB" w:rsidRPr="00051B46">
        <w:rPr>
          <w:rFonts w:ascii="Arial" w:hAnsi="Arial" w:cs="Arial"/>
        </w:rPr>
        <w:t>. In contrast, DPP-IV agents have largely been ineffective in RCTs in NAFLD</w:t>
      </w:r>
      <w:r w:rsidR="00E03614" w:rsidRPr="00051B46">
        <w:rPr>
          <w:rFonts w:ascii="Arial" w:hAnsi="Arial" w:cs="Arial"/>
        </w:rPr>
        <w:t xml:space="preserve"> (</w:t>
      </w:r>
      <w:r w:rsidR="00736DC1" w:rsidRPr="00051B46">
        <w:rPr>
          <w:rFonts w:ascii="Arial" w:hAnsi="Arial" w:cs="Arial"/>
        </w:rPr>
        <w:t>166</w:t>
      </w:r>
      <w:r w:rsidR="00E03614" w:rsidRPr="00051B46">
        <w:rPr>
          <w:rFonts w:ascii="Arial" w:hAnsi="Arial" w:cs="Arial"/>
        </w:rPr>
        <w:t>)</w:t>
      </w:r>
      <w:r w:rsidR="009444DA" w:rsidRPr="00051B46">
        <w:rPr>
          <w:rFonts w:ascii="Arial" w:hAnsi="Arial" w:cs="Arial"/>
        </w:rPr>
        <w:t xml:space="preserve">. </w:t>
      </w:r>
    </w:p>
    <w:p w14:paraId="256F7886" w14:textId="77777777" w:rsidR="00E03614" w:rsidRPr="00051B46" w:rsidRDefault="00E03614" w:rsidP="002506B3">
      <w:pPr>
        <w:spacing w:after="0" w:line="276" w:lineRule="auto"/>
        <w:rPr>
          <w:rFonts w:ascii="Arial" w:hAnsi="Arial" w:cs="Arial"/>
        </w:rPr>
      </w:pPr>
    </w:p>
    <w:p w14:paraId="540A80A0" w14:textId="78F51D27" w:rsidR="00370627" w:rsidRPr="00051B46" w:rsidRDefault="00370627" w:rsidP="002506B3">
      <w:pPr>
        <w:spacing w:after="0" w:line="276" w:lineRule="auto"/>
        <w:rPr>
          <w:rFonts w:ascii="Arial" w:hAnsi="Arial" w:cs="Arial"/>
          <w:b/>
          <w:bCs/>
          <w:color w:val="FF0000"/>
        </w:rPr>
      </w:pPr>
      <w:r w:rsidRPr="00051B46">
        <w:rPr>
          <w:rFonts w:ascii="Arial" w:hAnsi="Arial" w:cs="Arial"/>
        </w:rPr>
        <w:t>The sodium–glucose cotransporter 2 (SGLT2) inhibitors have a significant role in the management of patients with T2DM</w:t>
      </w:r>
      <w:r w:rsidR="00E03614" w:rsidRPr="00051B46">
        <w:rPr>
          <w:rFonts w:ascii="Arial" w:hAnsi="Arial" w:cs="Arial"/>
        </w:rPr>
        <w:t xml:space="preserve"> (</w:t>
      </w:r>
      <w:r w:rsidR="002E74B9" w:rsidRPr="00051B46">
        <w:rPr>
          <w:rFonts w:ascii="Arial" w:hAnsi="Arial" w:cs="Arial"/>
        </w:rPr>
        <w:t>167</w:t>
      </w:r>
      <w:r w:rsidR="00E03614" w:rsidRPr="00051B46">
        <w:rPr>
          <w:rFonts w:ascii="Arial" w:hAnsi="Arial" w:cs="Arial"/>
        </w:rPr>
        <w:t>)</w:t>
      </w:r>
      <w:r w:rsidRPr="00051B46">
        <w:rPr>
          <w:rFonts w:ascii="Arial" w:hAnsi="Arial" w:cs="Arial"/>
        </w:rPr>
        <w:t>.</w:t>
      </w:r>
      <w:r w:rsidRPr="00051B46" w:rsidDel="00BC3089">
        <w:rPr>
          <w:rFonts w:ascii="Arial" w:hAnsi="Arial" w:cs="Arial"/>
        </w:rPr>
        <w:t xml:space="preserve"> </w:t>
      </w:r>
      <w:r w:rsidR="002B1141" w:rsidRPr="00051B46">
        <w:rPr>
          <w:rFonts w:ascii="Arial" w:hAnsi="Arial" w:cs="Arial"/>
        </w:rPr>
        <w:t xml:space="preserve">They promote weight loss, reduce the risk of CKD and </w:t>
      </w:r>
      <w:r w:rsidR="00691B4D" w:rsidRPr="00051B46">
        <w:rPr>
          <w:rFonts w:ascii="Arial" w:hAnsi="Arial" w:cs="Arial"/>
        </w:rPr>
        <w:t>of</w:t>
      </w:r>
      <w:r w:rsidR="002B1141" w:rsidRPr="00051B46">
        <w:rPr>
          <w:rFonts w:ascii="Arial" w:hAnsi="Arial" w:cs="Arial"/>
        </w:rPr>
        <w:t xml:space="preserve"> heart failure, and decrease overall rates of cardiovascular events in patients with T2DM</w:t>
      </w:r>
      <w:r w:rsidR="008777F5" w:rsidRPr="00051B46">
        <w:rPr>
          <w:rFonts w:ascii="Arial" w:hAnsi="Arial" w:cs="Arial"/>
        </w:rPr>
        <w:t xml:space="preserve"> (</w:t>
      </w:r>
      <w:r w:rsidR="002E74B9" w:rsidRPr="00051B46">
        <w:rPr>
          <w:rFonts w:ascii="Arial" w:hAnsi="Arial" w:cs="Arial"/>
        </w:rPr>
        <w:t>168</w:t>
      </w:r>
      <w:r w:rsidR="008777F5" w:rsidRPr="00051B46">
        <w:rPr>
          <w:rFonts w:ascii="Arial" w:hAnsi="Arial" w:cs="Arial"/>
        </w:rPr>
        <w:t>)</w:t>
      </w:r>
      <w:r w:rsidR="002B1141" w:rsidRPr="00051B46">
        <w:rPr>
          <w:rFonts w:ascii="Arial" w:hAnsi="Arial" w:cs="Arial"/>
        </w:rPr>
        <w:t xml:space="preserve">. </w:t>
      </w:r>
      <w:r w:rsidRPr="00051B46">
        <w:rPr>
          <w:rFonts w:ascii="Arial" w:hAnsi="Arial" w:cs="Arial"/>
        </w:rPr>
        <w:t xml:space="preserve">Several studies in animal models of NAFLD have reported that this class of agents </w:t>
      </w:r>
      <w:r w:rsidR="002B1141" w:rsidRPr="00051B46">
        <w:rPr>
          <w:rFonts w:ascii="Arial" w:hAnsi="Arial" w:cs="Arial"/>
        </w:rPr>
        <w:t xml:space="preserve">reverses hepatic steatosis and necroinflammation. </w:t>
      </w:r>
      <w:r w:rsidR="00691B4D" w:rsidRPr="00051B46">
        <w:rPr>
          <w:rFonts w:ascii="Arial" w:hAnsi="Arial" w:cs="Arial"/>
        </w:rPr>
        <w:t>Early studies reported improvements in plasma aminotransferases and hepatic steatosis</w:t>
      </w:r>
      <w:r w:rsidR="008777F5" w:rsidRPr="00051B46">
        <w:rPr>
          <w:rFonts w:ascii="Arial" w:hAnsi="Arial" w:cs="Arial"/>
        </w:rPr>
        <w:t xml:space="preserve"> (</w:t>
      </w:r>
      <w:r w:rsidR="002E74B9" w:rsidRPr="00051B46">
        <w:rPr>
          <w:rFonts w:ascii="Arial" w:hAnsi="Arial" w:cs="Arial"/>
        </w:rPr>
        <w:t>152</w:t>
      </w:r>
      <w:r w:rsidR="008777F5" w:rsidRPr="00051B46">
        <w:rPr>
          <w:rFonts w:ascii="Arial" w:hAnsi="Arial" w:cs="Arial"/>
        </w:rPr>
        <w:t>)</w:t>
      </w:r>
      <w:r w:rsidRPr="00051B46">
        <w:rPr>
          <w:rFonts w:ascii="Arial" w:hAnsi="Arial" w:cs="Arial"/>
        </w:rPr>
        <w:t>.</w:t>
      </w:r>
      <w:r w:rsidR="0070028D" w:rsidRPr="00051B46">
        <w:rPr>
          <w:rFonts w:ascii="Arial" w:hAnsi="Arial" w:cs="Arial"/>
          <w:vertAlign w:val="superscript"/>
        </w:rPr>
        <w:t xml:space="preserve"> </w:t>
      </w:r>
      <w:r w:rsidR="002B1141" w:rsidRPr="00051B46">
        <w:rPr>
          <w:rFonts w:ascii="Arial" w:hAnsi="Arial" w:cs="Arial"/>
        </w:rPr>
        <w:t xml:space="preserve">Recent </w:t>
      </w:r>
      <w:r w:rsidR="0070028D" w:rsidRPr="00051B46">
        <w:rPr>
          <w:rFonts w:ascii="Arial" w:hAnsi="Arial" w:cs="Arial"/>
        </w:rPr>
        <w:t>controlled</w:t>
      </w:r>
      <w:r w:rsidR="00691B4D" w:rsidRPr="00051B46">
        <w:rPr>
          <w:rFonts w:ascii="Arial" w:hAnsi="Arial" w:cs="Arial"/>
        </w:rPr>
        <w:t xml:space="preserve"> </w:t>
      </w:r>
      <w:r w:rsidR="002B1141" w:rsidRPr="00051B46">
        <w:rPr>
          <w:rFonts w:ascii="Arial" w:hAnsi="Arial" w:cs="Arial"/>
        </w:rPr>
        <w:t xml:space="preserve">RCTs </w:t>
      </w:r>
      <w:r w:rsidR="00691B4D" w:rsidRPr="00051B46">
        <w:rPr>
          <w:rFonts w:ascii="Arial" w:hAnsi="Arial" w:cs="Arial"/>
        </w:rPr>
        <w:t xml:space="preserve">have reported a </w:t>
      </w:r>
      <w:r w:rsidR="0070028D" w:rsidRPr="00051B46">
        <w:rPr>
          <w:rFonts w:ascii="Arial" w:hAnsi="Arial" w:cs="Arial"/>
        </w:rPr>
        <w:t>(</w:t>
      </w:r>
      <w:r w:rsidR="00691B4D" w:rsidRPr="00051B46">
        <w:rPr>
          <w:rFonts w:ascii="Arial" w:hAnsi="Arial" w:cs="Arial"/>
        </w:rPr>
        <w:t>modest</w:t>
      </w:r>
      <w:r w:rsidR="0070028D" w:rsidRPr="00051B46">
        <w:rPr>
          <w:rFonts w:ascii="Arial" w:hAnsi="Arial" w:cs="Arial"/>
        </w:rPr>
        <w:t>)</w:t>
      </w:r>
      <w:r w:rsidR="00691B4D" w:rsidRPr="00051B46">
        <w:rPr>
          <w:rFonts w:ascii="Arial" w:hAnsi="Arial" w:cs="Arial"/>
        </w:rPr>
        <w:t xml:space="preserve"> reduction in hepatic steatosis on imaging </w:t>
      </w:r>
      <w:r w:rsidR="002B1141" w:rsidRPr="00051B46">
        <w:rPr>
          <w:rFonts w:ascii="Arial" w:hAnsi="Arial" w:cs="Arial"/>
        </w:rPr>
        <w:t>with canagliflozin</w:t>
      </w:r>
      <w:r w:rsidR="008777F5" w:rsidRPr="00051B46">
        <w:rPr>
          <w:rFonts w:ascii="Arial" w:hAnsi="Arial" w:cs="Arial"/>
        </w:rPr>
        <w:t xml:space="preserve"> (</w:t>
      </w:r>
      <w:r w:rsidR="002E74B9" w:rsidRPr="00051B46">
        <w:rPr>
          <w:rFonts w:ascii="Arial" w:hAnsi="Arial" w:cs="Arial"/>
        </w:rPr>
        <w:t>169</w:t>
      </w:r>
      <w:r w:rsidR="008777F5" w:rsidRPr="00051B46">
        <w:rPr>
          <w:rFonts w:ascii="Arial" w:hAnsi="Arial" w:cs="Arial"/>
        </w:rPr>
        <w:t>)</w:t>
      </w:r>
      <w:r w:rsidR="002B1141" w:rsidRPr="00051B46">
        <w:rPr>
          <w:rFonts w:ascii="Arial" w:hAnsi="Arial" w:cs="Arial"/>
        </w:rPr>
        <w:t xml:space="preserve"> and dapagliflozin</w:t>
      </w:r>
      <w:r w:rsidR="008777F5" w:rsidRPr="00051B46">
        <w:rPr>
          <w:rFonts w:ascii="Arial" w:hAnsi="Arial" w:cs="Arial"/>
        </w:rPr>
        <w:t xml:space="preserve"> (</w:t>
      </w:r>
      <w:r w:rsidR="002E74B9" w:rsidRPr="00051B46">
        <w:rPr>
          <w:rFonts w:ascii="Arial" w:hAnsi="Arial" w:cs="Arial"/>
        </w:rPr>
        <w:t>170</w:t>
      </w:r>
      <w:r w:rsidR="008777F5" w:rsidRPr="00051B46">
        <w:rPr>
          <w:rFonts w:ascii="Arial" w:hAnsi="Arial" w:cs="Arial"/>
        </w:rPr>
        <w:t>)</w:t>
      </w:r>
      <w:r w:rsidR="002B1141" w:rsidRPr="00051B46">
        <w:rPr>
          <w:rFonts w:ascii="Arial" w:hAnsi="Arial" w:cs="Arial"/>
        </w:rPr>
        <w:t xml:space="preserve"> in patient</w:t>
      </w:r>
      <w:r w:rsidR="00691B4D" w:rsidRPr="00051B46">
        <w:rPr>
          <w:rFonts w:ascii="Arial" w:hAnsi="Arial" w:cs="Arial"/>
        </w:rPr>
        <w:t>s</w:t>
      </w:r>
      <w:r w:rsidR="002B1141" w:rsidRPr="00051B46">
        <w:rPr>
          <w:rFonts w:ascii="Arial" w:hAnsi="Arial" w:cs="Arial"/>
        </w:rPr>
        <w:t xml:space="preserve"> with </w:t>
      </w:r>
      <w:r w:rsidR="00691B4D" w:rsidRPr="00051B46">
        <w:rPr>
          <w:rFonts w:ascii="Arial" w:hAnsi="Arial" w:cs="Arial"/>
        </w:rPr>
        <w:t>T</w:t>
      </w:r>
      <w:r w:rsidR="002B1141" w:rsidRPr="00051B46">
        <w:rPr>
          <w:rFonts w:ascii="Arial" w:hAnsi="Arial" w:cs="Arial"/>
        </w:rPr>
        <w:t>2DM and NAFLD.  Th</w:t>
      </w:r>
      <w:r w:rsidR="00691B4D" w:rsidRPr="00051B46">
        <w:rPr>
          <w:rFonts w:ascii="Arial" w:hAnsi="Arial" w:cs="Arial"/>
        </w:rPr>
        <w:t>ese findings</w:t>
      </w:r>
      <w:r w:rsidR="002B1141" w:rsidRPr="00051B46">
        <w:rPr>
          <w:rFonts w:ascii="Arial" w:hAnsi="Arial" w:cs="Arial"/>
        </w:rPr>
        <w:t xml:space="preserve"> combined with their </w:t>
      </w:r>
      <w:r w:rsidRPr="00051B46">
        <w:rPr>
          <w:rFonts w:ascii="Arial" w:hAnsi="Arial" w:cs="Arial"/>
        </w:rPr>
        <w:t>attractive properties</w:t>
      </w:r>
      <w:r w:rsidR="002B1141" w:rsidRPr="00051B46">
        <w:rPr>
          <w:rFonts w:ascii="Arial" w:hAnsi="Arial" w:cs="Arial"/>
        </w:rPr>
        <w:t xml:space="preserve"> of weight loss</w:t>
      </w:r>
      <w:r w:rsidR="00691B4D" w:rsidRPr="00051B46">
        <w:rPr>
          <w:rFonts w:ascii="Arial" w:hAnsi="Arial" w:cs="Arial"/>
        </w:rPr>
        <w:t xml:space="preserve"> and </w:t>
      </w:r>
      <w:r w:rsidR="001E7EA6" w:rsidRPr="00051B46">
        <w:rPr>
          <w:rFonts w:ascii="Arial" w:hAnsi="Arial" w:cs="Arial"/>
        </w:rPr>
        <w:t xml:space="preserve">decreasing </w:t>
      </w:r>
      <w:r w:rsidR="00691B4D" w:rsidRPr="00051B46">
        <w:rPr>
          <w:rFonts w:ascii="Arial" w:hAnsi="Arial" w:cs="Arial"/>
        </w:rPr>
        <w:t>diabetic comorbidities</w:t>
      </w:r>
      <w:r w:rsidR="002B1141" w:rsidRPr="00051B46">
        <w:rPr>
          <w:rFonts w:ascii="Arial" w:hAnsi="Arial" w:cs="Arial"/>
        </w:rPr>
        <w:t xml:space="preserve"> would make them potentially valuable for combination therapy (i.e., pioglitazone)</w:t>
      </w:r>
      <w:r w:rsidRPr="00051B46">
        <w:rPr>
          <w:rFonts w:ascii="Arial" w:hAnsi="Arial" w:cs="Arial"/>
        </w:rPr>
        <w:t xml:space="preserve"> for patients with NAFLD</w:t>
      </w:r>
      <w:r w:rsidR="00663508" w:rsidRPr="00051B46">
        <w:rPr>
          <w:rFonts w:ascii="Arial" w:hAnsi="Arial" w:cs="Arial"/>
        </w:rPr>
        <w:t>, as shown from combination therapy trials in patients with T2DM</w:t>
      </w:r>
      <w:r w:rsidR="008F210E" w:rsidRPr="00051B46">
        <w:rPr>
          <w:rFonts w:ascii="Arial" w:hAnsi="Arial" w:cs="Arial"/>
        </w:rPr>
        <w:t xml:space="preserve"> (17</w:t>
      </w:r>
      <w:r w:rsidR="002E74B9" w:rsidRPr="00051B46">
        <w:rPr>
          <w:rFonts w:ascii="Arial" w:hAnsi="Arial" w:cs="Arial"/>
        </w:rPr>
        <w:t>1</w:t>
      </w:r>
      <w:r w:rsidR="008F210E" w:rsidRPr="00051B46">
        <w:rPr>
          <w:rFonts w:ascii="Arial" w:hAnsi="Arial" w:cs="Arial"/>
        </w:rPr>
        <w:t>-1</w:t>
      </w:r>
      <w:r w:rsidR="002E74B9" w:rsidRPr="00051B46">
        <w:rPr>
          <w:rFonts w:ascii="Arial" w:hAnsi="Arial" w:cs="Arial"/>
        </w:rPr>
        <w:t>73</w:t>
      </w:r>
      <w:r w:rsidR="008F210E" w:rsidRPr="00051B46">
        <w:rPr>
          <w:rFonts w:ascii="Arial" w:hAnsi="Arial" w:cs="Arial"/>
        </w:rPr>
        <w:t>)</w:t>
      </w:r>
      <w:r w:rsidR="00663508" w:rsidRPr="00051B46">
        <w:rPr>
          <w:rFonts w:ascii="Arial" w:hAnsi="Arial" w:cs="Arial"/>
        </w:rPr>
        <w:t>.</w:t>
      </w:r>
      <w:r w:rsidR="00476EE7" w:rsidRPr="00051B46">
        <w:rPr>
          <w:rFonts w:ascii="Arial" w:hAnsi="Arial" w:cs="Arial"/>
        </w:rPr>
        <w:t xml:space="preserve"> </w:t>
      </w:r>
    </w:p>
    <w:p w14:paraId="3575135A" w14:textId="77777777" w:rsidR="008777F5" w:rsidRPr="00051B46" w:rsidRDefault="008777F5" w:rsidP="002506B3">
      <w:pPr>
        <w:spacing w:after="0" w:line="276" w:lineRule="auto"/>
        <w:rPr>
          <w:rFonts w:ascii="Arial" w:hAnsi="Arial" w:cs="Arial"/>
          <w:b/>
          <w:bCs/>
          <w:color w:val="FF0000"/>
        </w:rPr>
      </w:pPr>
    </w:p>
    <w:p w14:paraId="0BA4CCBD" w14:textId="4DF621A3" w:rsidR="0023295B" w:rsidRPr="00051B46" w:rsidRDefault="00691B4D" w:rsidP="002506B3">
      <w:pPr>
        <w:spacing w:after="0" w:line="276" w:lineRule="auto"/>
        <w:rPr>
          <w:rFonts w:ascii="Arial" w:hAnsi="Arial" w:cs="Arial"/>
        </w:rPr>
      </w:pPr>
      <w:r w:rsidRPr="00051B46">
        <w:rPr>
          <w:rFonts w:ascii="Arial" w:hAnsi="Arial" w:cs="Arial"/>
        </w:rPr>
        <w:t>Finally, it is important to mention vitamin E as it has been</w:t>
      </w:r>
      <w:r w:rsidR="00676C23" w:rsidRPr="00051B46">
        <w:rPr>
          <w:rFonts w:ascii="Arial" w:hAnsi="Arial" w:cs="Arial"/>
        </w:rPr>
        <w:t xml:space="preserve"> examined </w:t>
      </w:r>
      <w:r w:rsidRPr="00051B46">
        <w:rPr>
          <w:rFonts w:ascii="Arial" w:hAnsi="Arial" w:cs="Arial"/>
        </w:rPr>
        <w:t>in RCTs for the treatment of NASH in patients with</w:t>
      </w:r>
      <w:r w:rsidR="008777F5" w:rsidRPr="00051B46">
        <w:rPr>
          <w:rFonts w:ascii="Arial" w:hAnsi="Arial" w:cs="Arial"/>
        </w:rPr>
        <w:t xml:space="preserve"> (</w:t>
      </w:r>
      <w:r w:rsidR="002E74B9" w:rsidRPr="00051B46">
        <w:rPr>
          <w:rFonts w:ascii="Arial" w:hAnsi="Arial" w:cs="Arial"/>
        </w:rPr>
        <w:t>149</w:t>
      </w:r>
      <w:r w:rsidR="008777F5" w:rsidRPr="00051B46">
        <w:rPr>
          <w:rFonts w:ascii="Arial" w:hAnsi="Arial" w:cs="Arial"/>
        </w:rPr>
        <w:t>)</w:t>
      </w:r>
      <w:r w:rsidRPr="00051B46">
        <w:rPr>
          <w:rFonts w:ascii="Arial" w:hAnsi="Arial" w:cs="Arial"/>
        </w:rPr>
        <w:t xml:space="preserve"> and without </w:t>
      </w:r>
      <w:r w:rsidR="008777F5" w:rsidRPr="00051B46">
        <w:rPr>
          <w:rFonts w:ascii="Arial" w:hAnsi="Arial" w:cs="Arial"/>
        </w:rPr>
        <w:t>(</w:t>
      </w:r>
      <w:r w:rsidR="002E74B9" w:rsidRPr="00051B46">
        <w:rPr>
          <w:rFonts w:ascii="Arial" w:hAnsi="Arial" w:cs="Arial"/>
        </w:rPr>
        <w:t>147</w:t>
      </w:r>
      <w:r w:rsidR="008777F5" w:rsidRPr="00051B46">
        <w:rPr>
          <w:rFonts w:ascii="Arial" w:hAnsi="Arial" w:cs="Arial"/>
        </w:rPr>
        <w:t>)</w:t>
      </w:r>
      <w:r w:rsidR="00062519" w:rsidRPr="00051B46">
        <w:rPr>
          <w:rFonts w:ascii="Arial" w:hAnsi="Arial" w:cs="Arial"/>
        </w:rPr>
        <w:t xml:space="preserve"> </w:t>
      </w:r>
      <w:r w:rsidRPr="00051B46">
        <w:rPr>
          <w:rFonts w:ascii="Arial" w:hAnsi="Arial" w:cs="Arial"/>
        </w:rPr>
        <w:t>T2DM</w:t>
      </w:r>
      <w:r w:rsidR="00062519" w:rsidRPr="00051B46">
        <w:rPr>
          <w:rFonts w:ascii="Arial" w:hAnsi="Arial" w:cs="Arial"/>
        </w:rPr>
        <w:t xml:space="preserve">. </w:t>
      </w:r>
      <w:r w:rsidR="00F91618" w:rsidRPr="00051B46">
        <w:rPr>
          <w:rFonts w:ascii="Arial" w:hAnsi="Arial" w:cs="Arial"/>
        </w:rPr>
        <w:t xml:space="preserve">  </w:t>
      </w:r>
      <w:r w:rsidR="00C76CE4" w:rsidRPr="00051B46">
        <w:rPr>
          <w:rFonts w:ascii="Arial" w:hAnsi="Arial" w:cs="Arial"/>
        </w:rPr>
        <w:t xml:space="preserve">In a study </w:t>
      </w:r>
      <w:r w:rsidRPr="00051B46">
        <w:rPr>
          <w:rFonts w:ascii="Arial" w:hAnsi="Arial" w:cs="Arial"/>
        </w:rPr>
        <w:t xml:space="preserve">in </w:t>
      </w:r>
      <w:r w:rsidR="00C76CE4" w:rsidRPr="00051B46">
        <w:rPr>
          <w:rFonts w:ascii="Arial" w:hAnsi="Arial" w:cs="Arial"/>
        </w:rPr>
        <w:t>patients with NASH</w:t>
      </w:r>
      <w:r w:rsidR="00F91618" w:rsidRPr="00051B46">
        <w:rPr>
          <w:rFonts w:ascii="Arial" w:hAnsi="Arial" w:cs="Arial"/>
        </w:rPr>
        <w:t xml:space="preserve"> </w:t>
      </w:r>
      <w:r w:rsidRPr="00051B46">
        <w:rPr>
          <w:rFonts w:ascii="Arial" w:hAnsi="Arial" w:cs="Arial"/>
        </w:rPr>
        <w:t xml:space="preserve">but </w:t>
      </w:r>
      <w:r w:rsidR="00F91618" w:rsidRPr="00051B46">
        <w:rPr>
          <w:rFonts w:ascii="Arial" w:hAnsi="Arial" w:cs="Arial"/>
        </w:rPr>
        <w:t>without diabetes</w:t>
      </w:r>
      <w:r w:rsidR="00C76CE4" w:rsidRPr="00051B46">
        <w:rPr>
          <w:rFonts w:ascii="Arial" w:hAnsi="Arial" w:cs="Arial"/>
        </w:rPr>
        <w:t xml:space="preserve">, vitamin E showed improvement in </w:t>
      </w:r>
      <w:r w:rsidR="001D38F8" w:rsidRPr="00051B46">
        <w:rPr>
          <w:rFonts w:ascii="Arial" w:hAnsi="Arial" w:cs="Arial"/>
        </w:rPr>
        <w:t xml:space="preserve">the primary outcome, </w:t>
      </w:r>
      <w:r w:rsidR="00E85CA2" w:rsidRPr="00051B46">
        <w:rPr>
          <w:rFonts w:ascii="Arial" w:hAnsi="Arial" w:cs="Arial"/>
        </w:rPr>
        <w:t xml:space="preserve">but </w:t>
      </w:r>
      <w:r w:rsidR="002E74B9" w:rsidRPr="00051B46">
        <w:rPr>
          <w:rFonts w:ascii="Arial" w:hAnsi="Arial" w:cs="Arial"/>
        </w:rPr>
        <w:t xml:space="preserve">had </w:t>
      </w:r>
      <w:r w:rsidR="00E85CA2" w:rsidRPr="00051B46">
        <w:rPr>
          <w:rFonts w:ascii="Arial" w:hAnsi="Arial" w:cs="Arial"/>
        </w:rPr>
        <w:t xml:space="preserve">borderline efficacy </w:t>
      </w:r>
      <w:r w:rsidR="002E74B9" w:rsidRPr="00051B46">
        <w:rPr>
          <w:rFonts w:ascii="Arial" w:hAnsi="Arial" w:cs="Arial"/>
        </w:rPr>
        <w:t xml:space="preserve">for </w:t>
      </w:r>
      <w:r w:rsidR="001D38F8" w:rsidRPr="00051B46">
        <w:rPr>
          <w:rFonts w:ascii="Arial" w:hAnsi="Arial" w:cs="Arial"/>
        </w:rPr>
        <w:t>resolution of NASH</w:t>
      </w:r>
      <w:r w:rsidR="00C76CE4" w:rsidRPr="00051B46">
        <w:rPr>
          <w:rFonts w:ascii="Arial" w:hAnsi="Arial" w:cs="Arial"/>
        </w:rPr>
        <w:t xml:space="preserve"> </w:t>
      </w:r>
      <w:r w:rsidR="001D38F8" w:rsidRPr="00051B46">
        <w:rPr>
          <w:rFonts w:ascii="Arial" w:hAnsi="Arial" w:cs="Arial"/>
        </w:rPr>
        <w:t xml:space="preserve">(considered today a more relevant outcome) </w:t>
      </w:r>
      <w:r w:rsidR="00C76CE4" w:rsidRPr="00051B46">
        <w:rPr>
          <w:rFonts w:ascii="Arial" w:hAnsi="Arial" w:cs="Arial"/>
        </w:rPr>
        <w:t xml:space="preserve">compared to </w:t>
      </w:r>
      <w:r w:rsidR="007D1958" w:rsidRPr="00051B46">
        <w:rPr>
          <w:rFonts w:ascii="Arial" w:hAnsi="Arial" w:cs="Arial"/>
        </w:rPr>
        <w:t>placebo (3</w:t>
      </w:r>
      <w:r w:rsidR="00E85CA2" w:rsidRPr="00051B46">
        <w:rPr>
          <w:rFonts w:ascii="Arial" w:hAnsi="Arial" w:cs="Arial"/>
        </w:rPr>
        <w:t>6</w:t>
      </w:r>
      <w:r w:rsidR="007D1958" w:rsidRPr="00051B46">
        <w:rPr>
          <w:rFonts w:ascii="Arial" w:hAnsi="Arial" w:cs="Arial"/>
        </w:rPr>
        <w:t xml:space="preserve">% vs. </w:t>
      </w:r>
      <w:r w:rsidR="00E85CA2" w:rsidRPr="00051B46">
        <w:rPr>
          <w:rFonts w:ascii="Arial" w:hAnsi="Arial" w:cs="Arial"/>
        </w:rPr>
        <w:t>21</w:t>
      </w:r>
      <w:r w:rsidR="007D1958" w:rsidRPr="00051B46">
        <w:rPr>
          <w:rFonts w:ascii="Arial" w:hAnsi="Arial" w:cs="Arial"/>
        </w:rPr>
        <w:t>%</w:t>
      </w:r>
      <w:r w:rsidRPr="00051B46">
        <w:rPr>
          <w:rFonts w:ascii="Arial" w:hAnsi="Arial" w:cs="Arial"/>
        </w:rPr>
        <w:t>; p</w:t>
      </w:r>
      <w:r w:rsidR="00E85CA2" w:rsidRPr="00051B46">
        <w:rPr>
          <w:rFonts w:ascii="Arial" w:hAnsi="Arial" w:cs="Arial"/>
        </w:rPr>
        <w:t xml:space="preserve"> </w:t>
      </w:r>
      <w:r w:rsidR="004616E9" w:rsidRPr="00051B46">
        <w:rPr>
          <w:rFonts w:ascii="Arial" w:hAnsi="Arial" w:cs="Arial"/>
        </w:rPr>
        <w:t>=</w:t>
      </w:r>
      <w:r w:rsidR="00E85CA2" w:rsidRPr="00051B46">
        <w:rPr>
          <w:rFonts w:ascii="Arial" w:hAnsi="Arial" w:cs="Arial"/>
        </w:rPr>
        <w:t xml:space="preserve"> </w:t>
      </w:r>
      <w:r w:rsidRPr="00051B46">
        <w:rPr>
          <w:rFonts w:ascii="Arial" w:hAnsi="Arial" w:cs="Arial"/>
        </w:rPr>
        <w:t>0.0</w:t>
      </w:r>
      <w:r w:rsidR="00E85CA2" w:rsidRPr="00051B46">
        <w:rPr>
          <w:rFonts w:ascii="Arial" w:hAnsi="Arial" w:cs="Arial"/>
        </w:rPr>
        <w:t>5</w:t>
      </w:r>
      <w:r w:rsidR="007D1958" w:rsidRPr="00051B46">
        <w:rPr>
          <w:rFonts w:ascii="Arial" w:hAnsi="Arial" w:cs="Arial"/>
        </w:rPr>
        <w:t>)</w:t>
      </w:r>
      <w:r w:rsidRPr="00051B46">
        <w:rPr>
          <w:rFonts w:ascii="Arial" w:hAnsi="Arial" w:cs="Arial"/>
        </w:rPr>
        <w:t xml:space="preserve"> </w:t>
      </w:r>
      <w:r w:rsidR="00E85CA2" w:rsidRPr="00051B46">
        <w:rPr>
          <w:rFonts w:ascii="Arial" w:hAnsi="Arial" w:cs="Arial"/>
        </w:rPr>
        <w:t>and</w:t>
      </w:r>
      <w:r w:rsidRPr="00051B46">
        <w:rPr>
          <w:rFonts w:ascii="Arial" w:hAnsi="Arial" w:cs="Arial"/>
        </w:rPr>
        <w:t xml:space="preserve"> </w:t>
      </w:r>
      <w:r w:rsidR="00E85CA2" w:rsidRPr="00051B46">
        <w:rPr>
          <w:rFonts w:ascii="Arial" w:hAnsi="Arial" w:cs="Arial"/>
        </w:rPr>
        <w:t xml:space="preserve">numerically appeared as </w:t>
      </w:r>
      <w:r w:rsidR="00406D2F" w:rsidRPr="00051B46">
        <w:rPr>
          <w:rFonts w:ascii="Arial" w:hAnsi="Arial" w:cs="Arial"/>
        </w:rPr>
        <w:t xml:space="preserve">less </w:t>
      </w:r>
      <w:r w:rsidR="00E85CA2" w:rsidRPr="00051B46">
        <w:rPr>
          <w:rFonts w:ascii="Arial" w:hAnsi="Arial" w:cs="Arial"/>
        </w:rPr>
        <w:t>significant compared to pioglitazone (47%; p = 0.001 vs. placebo)</w:t>
      </w:r>
      <w:r w:rsidR="008777F5" w:rsidRPr="00051B46">
        <w:rPr>
          <w:rFonts w:ascii="Arial" w:hAnsi="Arial" w:cs="Arial"/>
        </w:rPr>
        <w:t xml:space="preserve"> (</w:t>
      </w:r>
      <w:r w:rsidR="002E74B9" w:rsidRPr="00051B46">
        <w:rPr>
          <w:rFonts w:ascii="Arial" w:hAnsi="Arial" w:cs="Arial"/>
        </w:rPr>
        <w:t>147</w:t>
      </w:r>
      <w:r w:rsidR="008777F5" w:rsidRPr="00051B46">
        <w:rPr>
          <w:rFonts w:ascii="Arial" w:hAnsi="Arial" w:cs="Arial"/>
        </w:rPr>
        <w:t>)</w:t>
      </w:r>
      <w:r w:rsidR="00406D2F" w:rsidRPr="00051B46">
        <w:rPr>
          <w:rFonts w:ascii="Arial" w:hAnsi="Arial" w:cs="Arial"/>
        </w:rPr>
        <w:t>.</w:t>
      </w:r>
      <w:r w:rsidR="00D16DE6" w:rsidRPr="00051B46">
        <w:rPr>
          <w:rFonts w:ascii="Arial" w:hAnsi="Arial" w:cs="Arial"/>
        </w:rPr>
        <w:fldChar w:fldCharType="begin" w:fldLock="1"/>
      </w:r>
      <w:r w:rsidR="00D16DE6" w:rsidRPr="00051B46">
        <w:rPr>
          <w:rFonts w:ascii="Arial" w:hAnsi="Arial" w:cs="Arial"/>
        </w:rPr>
        <w:instrText>ADDIN CSL_CITATION {"citationItems":[{"id":"ITEM-1","itemData":{"DOI":"10.1056/NEJMoa0907929","ISBN":"1533-4406 (Electronic)\\n0028-4793 (Linking)","ISSN":"0028-4793","PMID":"20427778","abstract":"BACKGROUND: Nonalcoholic steatohepatitis is a common liver disease that can progress to cirrhosis. Currently, there is no established treatment for this disease.\\n\\nMETHODS: We randomly assigned 247 adults with nonalcoholic steatohepatitis and without diabetes to receive pioglitazone at a dose of 30 mg daily (80 subjects), vitamin E at a dose of 800 IU daily (84 subjects), or placebo (83 subjects), for 96 weeks. The primary outcome was an improvement in histologic features of nonalcoholic steatohepatitis, as assessed with the use of a composite of standardized scores for steatosis, lobular inflammation, hepatocellular ballooning, and fibrosis. Given the two planned primary comparisons, P values of less than 0.025 were considered to indicate statistical significance.\\n\\nRESULTS: Vitamin E therapy, as compared with placebo, was associated with a significantly higher rate of improvement in nonalcoholic steatohepatitis (43% vs. 19%, P=0.001), but the difference in the rate of improvement with pioglitazone as compared with placebo was not significant (34% and 19%, respectively; P=0.04). Serum alanine and aspartate aminotransferase levels were reduced with vitamin E and with pioglitazone, as compared with placebo (P&lt;0.001 for both comparisons), and both agents were associated with reductions in hepatic steatosis (P=0.005 for vitamin E and P&lt;0.001 for pioglitazone) and lobular inflammation (P=0.02 for vitamin E and P=0.004 for pioglitazone) but not with improvement in fibrosis scores (P=0.24 for vitamin E and P=0.12 for pioglitazone). Subjects who received pioglitazone gained more weight than did those who received vitamin E or placebo; the rates of other side effects were similar among the three groups.\\n\\nCONCLUSIONS: Vitamin E was superior to placebo for the treatment of nonalcoholic steatohepatitis in adults without diabetes. There was no benefit of pioglitazone over placebo for the primary outcome; however, significant benefits of pioglitazone were observed for some of the secondary outcomes. (ClinicalTrials.gov number, NCT00063622.)","author":[{"dropping-particle":"","family":"Sanyal","given":"Arun J.","non-dropping-particle":"","parse-names":false,"suffix":""},{"dropping-particle":"","family":"Chalasani","given":"Naga","non-dropping-particle":"","parse-names":false,"suffix":""},{"dropping-particle":"V.","family":"Kowdley","given":"Kris","non-dropping-particle":"","parse-names":false,"suffix":""},{"dropping-particle":"","family":"McCullough","given":"Arthur","non-dropping-particle":"","parse-names":false,"suffix":""},{"dropping-particle":"","family":"Diehl","given":"Anna Mae","non-dropping-particle":"","parse-names":false,"suffix":""},{"dropping-particle":"","family":"Bass","given":"Nathan M.","non-dropping-particle":"","parse-names":false,"suffix":""},{"dropping-particle":"","family":"Neuschwander-Tetri","given":"Brent A.","non-dropping-particle":"","parse-names":false,"suffix":""},{"dropping-particle":"","family":"Lavine","given":"Joel E.","non-dropping-particle":"","parse-names":false,"suffix":""},{"dropping-particle":"","family":"Tonascia","given":"James","non-dropping-particle":"","parse-names":false,"suffix":""},{"dropping-particle":"","family":"Unalp","given":"Aynur","non-dropping-particle":"","parse-names":false,"suffix":""},{"dropping-particle":"","family":"Natta","given":"Mark","non-dropping-particle":"Van","parse-names":false,"suffix":""},{"dropping-particle":"","family":"Clark","given":"Jeanne","non-dropping-particle":"","parse-names":false,"suffix":""},{"dropping-particle":"","family":"Brunt","given":"Elizabeth M.","non-dropping-particle":"","parse-names":false,"suffix":""},{"dropping-particle":"","family":"Kleiner","given":"David E.","non-dropping-particle":"","parse-names":false,"suffix":""},{"dropping-particle":"","family":"Hoofnagle","given":"Jay H.","non-dropping-particle":"","parse-names":false,"suffix":""},{"dropping-particle":"","family":"Robuck","given":"Patricia R.","non-dropping-particle":"","parse-names":false,"suffix":""}],"container-title":"New England Journal of Medicine","id":"ITEM-1","issued":{"date-parts":[["2010"]]},"title":"Pioglitazone, vitamin E, or placebo for nonalcoholic steatohepatitis","type":"article-journal"},"uris":["http://www.mendeley.com/documents/?uuid=e927b141-c2e1-4dd3-ad4d-61e03aa8ce75","http://www.mendeley.com/documents/?uuid=1bad6433-4ccb-4b22-a718-38343b12fd22"]}],"mendeley":{"formattedCitation":"&lt;sup&gt;94&lt;/sup&gt;","plainTextFormattedCitation":"94","previouslyFormattedCitation":"&lt;sup&gt;94&lt;/sup&gt;"},"properties":{"noteIndex":0},"schema":"https://github.com/citation-style-language/schema/raw/master/csl-citation.json"}</w:instrText>
      </w:r>
      <w:r w:rsidR="00D16DE6" w:rsidRPr="00051B46">
        <w:rPr>
          <w:rFonts w:ascii="Arial" w:hAnsi="Arial" w:cs="Arial"/>
        </w:rPr>
        <w:fldChar w:fldCharType="separate"/>
      </w:r>
      <w:r w:rsidR="00D16DE6" w:rsidRPr="00051B46">
        <w:rPr>
          <w:rFonts w:ascii="Arial" w:hAnsi="Arial" w:cs="Arial"/>
          <w:noProof/>
          <w:vertAlign w:val="superscript"/>
        </w:rPr>
        <w:t xml:space="preserve"> </w:t>
      </w:r>
      <w:r w:rsidR="00D16DE6" w:rsidRPr="00051B46">
        <w:rPr>
          <w:rFonts w:ascii="Arial" w:hAnsi="Arial" w:cs="Arial"/>
        </w:rPr>
        <w:fldChar w:fldCharType="end"/>
      </w:r>
      <w:r w:rsidR="00E85CA2" w:rsidRPr="00051B46">
        <w:rPr>
          <w:rFonts w:ascii="Arial" w:hAnsi="Arial" w:cs="Arial"/>
        </w:rPr>
        <w:t xml:space="preserve">Recently, </w:t>
      </w:r>
      <w:proofErr w:type="spellStart"/>
      <w:r w:rsidR="00E85CA2" w:rsidRPr="00051B46">
        <w:rPr>
          <w:rFonts w:ascii="Arial" w:hAnsi="Arial" w:cs="Arial"/>
        </w:rPr>
        <w:t>Bril</w:t>
      </w:r>
      <w:proofErr w:type="spellEnd"/>
      <w:r w:rsidR="00E85CA2" w:rsidRPr="00051B46">
        <w:rPr>
          <w:rFonts w:ascii="Arial" w:hAnsi="Arial" w:cs="Arial"/>
        </w:rPr>
        <w:t xml:space="preserve"> et al </w:t>
      </w:r>
      <w:r w:rsidR="008777F5" w:rsidRPr="00051B46">
        <w:rPr>
          <w:rFonts w:ascii="Arial" w:hAnsi="Arial" w:cs="Arial"/>
        </w:rPr>
        <w:t>(</w:t>
      </w:r>
      <w:r w:rsidR="002E74B9" w:rsidRPr="00051B46">
        <w:rPr>
          <w:rFonts w:ascii="Arial" w:hAnsi="Arial" w:cs="Arial"/>
        </w:rPr>
        <w:t>149</w:t>
      </w:r>
      <w:r w:rsidR="008777F5" w:rsidRPr="00051B46">
        <w:rPr>
          <w:rFonts w:ascii="Arial" w:hAnsi="Arial" w:cs="Arial"/>
        </w:rPr>
        <w:t>)</w:t>
      </w:r>
      <w:r w:rsidR="00E85CA2" w:rsidRPr="00051B46">
        <w:rPr>
          <w:rFonts w:ascii="Arial" w:hAnsi="Arial" w:cs="Arial"/>
        </w:rPr>
        <w:t xml:space="preserve"> found that vitamin E alone appeared to not be as effective in patients with T2DM, as it failed to meet the primary outcome of a two-point reduction in the NAFLD activity score from two different parameters, without worsening of fibrosis.  However, when vitamin E was combined with pioglitazone more patients on combination therapy achieved the primary outcome versus placebo (54% vs. 19%, P = 0.003) although the efficacy did not seem to be greater than that with pioglitazone alone in previous trials</w:t>
      </w:r>
      <w:r w:rsidR="008777F5" w:rsidRPr="00051B46">
        <w:rPr>
          <w:rFonts w:ascii="Arial" w:hAnsi="Arial" w:cs="Arial"/>
        </w:rPr>
        <w:t xml:space="preserve"> (</w:t>
      </w:r>
      <w:r w:rsidR="002E74B9" w:rsidRPr="00051B46">
        <w:rPr>
          <w:rFonts w:ascii="Arial" w:hAnsi="Arial" w:cs="Arial"/>
        </w:rPr>
        <w:t>143, 148</w:t>
      </w:r>
      <w:r w:rsidR="008777F5" w:rsidRPr="00051B46">
        <w:rPr>
          <w:rFonts w:ascii="Arial" w:hAnsi="Arial" w:cs="Arial"/>
        </w:rPr>
        <w:t>)</w:t>
      </w:r>
      <w:r w:rsidR="00E85CA2" w:rsidRPr="00051B46">
        <w:rPr>
          <w:rFonts w:ascii="Arial" w:hAnsi="Arial" w:cs="Arial"/>
        </w:rPr>
        <w:t xml:space="preserve">. </w:t>
      </w:r>
      <w:r w:rsidR="008D4324" w:rsidRPr="00051B46">
        <w:rPr>
          <w:rFonts w:ascii="Arial" w:hAnsi="Arial" w:cs="Arial"/>
        </w:rPr>
        <w:t xml:space="preserve">Resolution of NASH occurred in both groups compared with placebo (combination group: 43% vs. 12%, P = 0.005; vitamin E alone: 33% vs. 12%, P = 0.04). </w:t>
      </w:r>
    </w:p>
    <w:p w14:paraId="12B24C54" w14:textId="77777777" w:rsidR="0023295B" w:rsidRPr="00051B46" w:rsidRDefault="0023295B" w:rsidP="002506B3">
      <w:pPr>
        <w:spacing w:after="0" w:line="276" w:lineRule="auto"/>
        <w:rPr>
          <w:rFonts w:ascii="Arial" w:hAnsi="Arial" w:cs="Arial"/>
        </w:rPr>
      </w:pPr>
    </w:p>
    <w:p w14:paraId="2CCD2E41" w14:textId="767538BD" w:rsidR="004B2662" w:rsidRPr="00051B46" w:rsidRDefault="00406D2F" w:rsidP="002506B3">
      <w:pPr>
        <w:spacing w:after="0" w:line="276" w:lineRule="auto"/>
        <w:rPr>
          <w:rFonts w:ascii="Arial" w:hAnsi="Arial" w:cs="Arial"/>
        </w:rPr>
      </w:pPr>
      <w:r w:rsidRPr="00051B46">
        <w:rPr>
          <w:rFonts w:ascii="Arial" w:hAnsi="Arial" w:cs="Arial"/>
        </w:rPr>
        <w:t xml:space="preserve">Other </w:t>
      </w:r>
      <w:r w:rsidR="005E3519" w:rsidRPr="00051B46">
        <w:rPr>
          <w:rFonts w:ascii="Arial" w:hAnsi="Arial" w:cs="Arial"/>
        </w:rPr>
        <w:t xml:space="preserve">relevant group of </w:t>
      </w:r>
      <w:r w:rsidRPr="00051B46">
        <w:rPr>
          <w:rFonts w:ascii="Arial" w:hAnsi="Arial" w:cs="Arial"/>
        </w:rPr>
        <w:t>agents</w:t>
      </w:r>
      <w:r w:rsidR="00B8353E" w:rsidRPr="00051B46">
        <w:rPr>
          <w:rFonts w:ascii="Arial" w:hAnsi="Arial" w:cs="Arial"/>
        </w:rPr>
        <w:t xml:space="preserve"> </w:t>
      </w:r>
      <w:r w:rsidR="00AA72A0" w:rsidRPr="00051B46">
        <w:rPr>
          <w:rFonts w:ascii="Arial" w:hAnsi="Arial" w:cs="Arial"/>
        </w:rPr>
        <w:t xml:space="preserve">tested in NASH </w:t>
      </w:r>
      <w:r w:rsidR="00B8353E" w:rsidRPr="00051B46">
        <w:rPr>
          <w:rFonts w:ascii="Arial" w:hAnsi="Arial" w:cs="Arial"/>
        </w:rPr>
        <w:t>include</w:t>
      </w:r>
      <w:r w:rsidRPr="00051B46">
        <w:rPr>
          <w:rFonts w:ascii="Arial" w:hAnsi="Arial" w:cs="Arial"/>
        </w:rPr>
        <w:t xml:space="preserve"> the </w:t>
      </w:r>
      <w:r w:rsidRPr="00051B46">
        <w:rPr>
          <w:rFonts w:ascii="Arial" w:hAnsi="Arial" w:cs="Arial"/>
          <w:noProof/>
        </w:rPr>
        <w:t>lipid</w:t>
      </w:r>
      <w:r w:rsidR="00463DAE" w:rsidRPr="00051B46">
        <w:rPr>
          <w:rFonts w:ascii="Arial" w:hAnsi="Arial" w:cs="Arial"/>
          <w:noProof/>
        </w:rPr>
        <w:t>-</w:t>
      </w:r>
      <w:r w:rsidRPr="00051B46">
        <w:rPr>
          <w:rFonts w:ascii="Arial" w:hAnsi="Arial" w:cs="Arial"/>
          <w:noProof/>
        </w:rPr>
        <w:t>lowering</w:t>
      </w:r>
      <w:r w:rsidRPr="00051B46">
        <w:rPr>
          <w:rFonts w:ascii="Arial" w:hAnsi="Arial" w:cs="Arial"/>
        </w:rPr>
        <w:t xml:space="preserve"> drugs (</w:t>
      </w:r>
      <w:r w:rsidR="002143B6" w:rsidRPr="00051B46">
        <w:rPr>
          <w:rFonts w:ascii="Arial" w:hAnsi="Arial" w:cs="Arial"/>
        </w:rPr>
        <w:t>e.g.</w:t>
      </w:r>
      <w:r w:rsidRPr="00051B46">
        <w:rPr>
          <w:rFonts w:ascii="Arial" w:hAnsi="Arial" w:cs="Arial"/>
        </w:rPr>
        <w:t xml:space="preserve"> statins, </w:t>
      </w:r>
      <w:proofErr w:type="spellStart"/>
      <w:r w:rsidR="005E3519" w:rsidRPr="00051B46">
        <w:rPr>
          <w:rFonts w:ascii="Arial" w:hAnsi="Arial" w:cs="Arial"/>
        </w:rPr>
        <w:t>colesevelam</w:t>
      </w:r>
      <w:proofErr w:type="spellEnd"/>
      <w:r w:rsidR="005E3519" w:rsidRPr="00051B46">
        <w:rPr>
          <w:rFonts w:ascii="Arial" w:hAnsi="Arial" w:cs="Arial"/>
        </w:rPr>
        <w:t>, omega 3 fatty acids, fibrates and niacin</w:t>
      </w:r>
      <w:r w:rsidRPr="00051B46">
        <w:rPr>
          <w:rFonts w:ascii="Arial" w:hAnsi="Arial" w:cs="Arial"/>
          <w:noProof/>
        </w:rPr>
        <w:t>)</w:t>
      </w:r>
      <w:r w:rsidR="008777F5" w:rsidRPr="00051B46">
        <w:rPr>
          <w:rFonts w:ascii="Arial" w:hAnsi="Arial" w:cs="Arial"/>
          <w:noProof/>
        </w:rPr>
        <w:t>, which</w:t>
      </w:r>
      <w:r w:rsidR="00464CFC" w:rsidRPr="00051B46">
        <w:rPr>
          <w:rFonts w:ascii="Arial" w:hAnsi="Arial" w:cs="Arial"/>
        </w:rPr>
        <w:t xml:space="preserve"> </w:t>
      </w:r>
      <w:r w:rsidR="00E85CA2" w:rsidRPr="00051B46">
        <w:rPr>
          <w:rFonts w:ascii="Arial" w:hAnsi="Arial" w:cs="Arial"/>
        </w:rPr>
        <w:t xml:space="preserve">have not </w:t>
      </w:r>
      <w:r w:rsidR="00636050" w:rsidRPr="00051B46">
        <w:rPr>
          <w:rFonts w:ascii="Arial" w:hAnsi="Arial" w:cs="Arial"/>
        </w:rPr>
        <w:t>sho</w:t>
      </w:r>
      <w:r w:rsidR="008D4324" w:rsidRPr="00051B46">
        <w:rPr>
          <w:rFonts w:ascii="Arial" w:hAnsi="Arial" w:cs="Arial"/>
        </w:rPr>
        <w:t>wn</w:t>
      </w:r>
      <w:r w:rsidR="00636050" w:rsidRPr="00051B46">
        <w:rPr>
          <w:rFonts w:ascii="Arial" w:hAnsi="Arial" w:cs="Arial"/>
        </w:rPr>
        <w:t xml:space="preserve"> </w:t>
      </w:r>
      <w:r w:rsidR="002E74B9" w:rsidRPr="00051B46">
        <w:rPr>
          <w:rFonts w:ascii="Arial" w:hAnsi="Arial" w:cs="Arial"/>
        </w:rPr>
        <w:t xml:space="preserve">much </w:t>
      </w:r>
      <w:r w:rsidR="00636050" w:rsidRPr="00051B46">
        <w:rPr>
          <w:rFonts w:ascii="Arial" w:hAnsi="Arial" w:cs="Arial"/>
        </w:rPr>
        <w:t>success when studied</w:t>
      </w:r>
      <w:r w:rsidR="00E85CA2" w:rsidRPr="00051B46">
        <w:rPr>
          <w:rFonts w:ascii="Arial" w:hAnsi="Arial" w:cs="Arial"/>
        </w:rPr>
        <w:t xml:space="preserve"> in clinical trials in patients with NASH</w:t>
      </w:r>
      <w:r w:rsidR="00912F2C" w:rsidRPr="00051B46">
        <w:rPr>
          <w:rFonts w:ascii="Arial" w:hAnsi="Arial" w:cs="Arial"/>
        </w:rPr>
        <w:t xml:space="preserve"> (</w:t>
      </w:r>
      <w:r w:rsidR="002E74B9" w:rsidRPr="00051B46">
        <w:rPr>
          <w:rFonts w:ascii="Arial" w:hAnsi="Arial" w:cs="Arial"/>
        </w:rPr>
        <w:t>174</w:t>
      </w:r>
      <w:r w:rsidR="0023295B" w:rsidRPr="00051B46">
        <w:rPr>
          <w:rFonts w:ascii="Arial" w:hAnsi="Arial" w:cs="Arial"/>
        </w:rPr>
        <w:t>-179</w:t>
      </w:r>
      <w:r w:rsidR="00912F2C" w:rsidRPr="00051B46">
        <w:rPr>
          <w:rFonts w:ascii="Arial" w:hAnsi="Arial" w:cs="Arial"/>
        </w:rPr>
        <w:t>)</w:t>
      </w:r>
      <w:r w:rsidR="00073541" w:rsidRPr="00051B46">
        <w:rPr>
          <w:rFonts w:ascii="Arial" w:hAnsi="Arial" w:cs="Arial"/>
        </w:rPr>
        <w:t>.</w:t>
      </w:r>
      <w:r w:rsidR="00541E2E" w:rsidRPr="00051B46">
        <w:rPr>
          <w:rFonts w:ascii="Arial" w:hAnsi="Arial" w:cs="Arial"/>
        </w:rPr>
        <w:t xml:space="preserve"> </w:t>
      </w:r>
    </w:p>
    <w:p w14:paraId="46986F24" w14:textId="77777777" w:rsidR="004B2662" w:rsidRPr="00051B46" w:rsidRDefault="004B2662" w:rsidP="002506B3">
      <w:pPr>
        <w:spacing w:after="0" w:line="276" w:lineRule="auto"/>
        <w:rPr>
          <w:rFonts w:ascii="Arial" w:hAnsi="Arial" w:cs="Arial"/>
        </w:rPr>
      </w:pPr>
    </w:p>
    <w:p w14:paraId="660DDF8F" w14:textId="61D7A9BA" w:rsidR="00FD33F8" w:rsidRPr="00051B46" w:rsidRDefault="00FD33F8" w:rsidP="002506B3">
      <w:pPr>
        <w:spacing w:after="0" w:line="276" w:lineRule="auto"/>
        <w:rPr>
          <w:rFonts w:ascii="Arial" w:hAnsi="Arial" w:cs="Arial"/>
          <w:b/>
          <w:bCs/>
        </w:rPr>
      </w:pPr>
      <w:r w:rsidRPr="00051B46">
        <w:rPr>
          <w:rFonts w:ascii="Arial" w:hAnsi="Arial" w:cs="Arial"/>
          <w:b/>
          <w:bCs/>
        </w:rPr>
        <w:t>Th</w:t>
      </w:r>
      <w:r w:rsidR="00EC3006" w:rsidRPr="00051B46">
        <w:rPr>
          <w:rFonts w:ascii="Arial" w:hAnsi="Arial" w:cs="Arial"/>
          <w:b/>
          <w:bCs/>
        </w:rPr>
        <w:t xml:space="preserve">e </w:t>
      </w:r>
      <w:r w:rsidR="008777F5" w:rsidRPr="00051B46">
        <w:rPr>
          <w:rFonts w:ascii="Arial" w:hAnsi="Arial" w:cs="Arial"/>
          <w:b/>
          <w:bCs/>
        </w:rPr>
        <w:t>F</w:t>
      </w:r>
      <w:r w:rsidR="00EC3006" w:rsidRPr="00051B46">
        <w:rPr>
          <w:rFonts w:ascii="Arial" w:hAnsi="Arial" w:cs="Arial"/>
          <w:b/>
          <w:bCs/>
        </w:rPr>
        <w:t xml:space="preserve">uture: Many </w:t>
      </w:r>
      <w:r w:rsidR="008777F5" w:rsidRPr="00051B46">
        <w:rPr>
          <w:rFonts w:ascii="Arial" w:hAnsi="Arial" w:cs="Arial"/>
          <w:b/>
          <w:bCs/>
        </w:rPr>
        <w:t>A</w:t>
      </w:r>
      <w:r w:rsidR="00EC3006" w:rsidRPr="00051B46">
        <w:rPr>
          <w:rFonts w:ascii="Arial" w:hAnsi="Arial" w:cs="Arial"/>
          <w:b/>
          <w:bCs/>
        </w:rPr>
        <w:t xml:space="preserve">gents on the </w:t>
      </w:r>
      <w:r w:rsidR="008777F5" w:rsidRPr="00051B46">
        <w:rPr>
          <w:rFonts w:ascii="Arial" w:hAnsi="Arial" w:cs="Arial"/>
          <w:b/>
          <w:bCs/>
        </w:rPr>
        <w:t>H</w:t>
      </w:r>
      <w:r w:rsidR="00EC3006" w:rsidRPr="00051B46">
        <w:rPr>
          <w:rFonts w:ascii="Arial" w:hAnsi="Arial" w:cs="Arial"/>
          <w:b/>
          <w:bCs/>
        </w:rPr>
        <w:t xml:space="preserve">orizon for NASH </w:t>
      </w:r>
    </w:p>
    <w:p w14:paraId="29973783" w14:textId="77777777" w:rsidR="008777F5" w:rsidRPr="00051B46" w:rsidRDefault="008777F5" w:rsidP="002506B3">
      <w:pPr>
        <w:spacing w:after="0" w:line="276" w:lineRule="auto"/>
        <w:rPr>
          <w:rFonts w:ascii="Arial" w:hAnsi="Arial" w:cs="Arial"/>
          <w:b/>
          <w:bCs/>
        </w:rPr>
      </w:pPr>
    </w:p>
    <w:p w14:paraId="4B2AE89D" w14:textId="61A60285" w:rsidR="008777F5" w:rsidRPr="00051B46" w:rsidRDefault="00EC3006" w:rsidP="002506B3">
      <w:pPr>
        <w:spacing w:after="0" w:line="276" w:lineRule="auto"/>
        <w:rPr>
          <w:rFonts w:ascii="Arial" w:hAnsi="Arial" w:cs="Arial"/>
        </w:rPr>
      </w:pPr>
      <w:r w:rsidRPr="00051B46">
        <w:rPr>
          <w:rFonts w:ascii="Arial" w:hAnsi="Arial" w:cs="Arial"/>
        </w:rPr>
        <w:t>Given the rapid evolution of the field, with constant new drugs entering the arena of trials and others failing, we to refer the reader to recent in-dept reviews on the topic</w:t>
      </w:r>
      <w:r w:rsidR="008777F5" w:rsidRPr="00051B46">
        <w:rPr>
          <w:rFonts w:ascii="Arial" w:hAnsi="Arial" w:cs="Arial"/>
        </w:rPr>
        <w:t xml:space="preserve"> (</w:t>
      </w:r>
      <w:r w:rsidR="0023295B" w:rsidRPr="00051B46">
        <w:rPr>
          <w:rFonts w:ascii="Arial" w:hAnsi="Arial" w:cs="Arial"/>
        </w:rPr>
        <w:t>180,181</w:t>
      </w:r>
      <w:r w:rsidR="003B7DD9" w:rsidRPr="00051B46">
        <w:rPr>
          <w:rFonts w:ascii="Arial" w:hAnsi="Arial" w:cs="Arial"/>
        </w:rPr>
        <w:t>)</w:t>
      </w:r>
      <w:r w:rsidRPr="00051B46">
        <w:rPr>
          <w:rFonts w:ascii="Arial" w:hAnsi="Arial" w:cs="Arial"/>
        </w:rPr>
        <w:t xml:space="preserve">. Many </w:t>
      </w:r>
      <w:r w:rsidR="00D9334F" w:rsidRPr="00051B46">
        <w:rPr>
          <w:rFonts w:ascii="Arial" w:hAnsi="Arial" w:cs="Arial"/>
        </w:rPr>
        <w:t xml:space="preserve">pharmacological agents </w:t>
      </w:r>
      <w:r w:rsidR="00260EF7" w:rsidRPr="00051B46">
        <w:rPr>
          <w:rFonts w:ascii="Arial" w:hAnsi="Arial" w:cs="Arial"/>
        </w:rPr>
        <w:t xml:space="preserve">are </w:t>
      </w:r>
      <w:r w:rsidR="00636050" w:rsidRPr="00051B46">
        <w:rPr>
          <w:rFonts w:ascii="Arial" w:hAnsi="Arial" w:cs="Arial"/>
        </w:rPr>
        <w:t>being tested</w:t>
      </w:r>
      <w:r w:rsidR="00260EF7" w:rsidRPr="00051B46">
        <w:rPr>
          <w:rFonts w:ascii="Arial" w:hAnsi="Arial" w:cs="Arial"/>
        </w:rPr>
        <w:t xml:space="preserve"> in phase </w:t>
      </w:r>
      <w:r w:rsidRPr="00051B46">
        <w:rPr>
          <w:rFonts w:ascii="Arial" w:hAnsi="Arial" w:cs="Arial"/>
        </w:rPr>
        <w:t>2</w:t>
      </w:r>
      <w:r w:rsidR="002E7E56" w:rsidRPr="00051B46">
        <w:rPr>
          <w:rFonts w:ascii="Arial" w:hAnsi="Arial" w:cs="Arial"/>
        </w:rPr>
        <w:t xml:space="preserve"> and phase </w:t>
      </w:r>
      <w:r w:rsidRPr="00051B46">
        <w:rPr>
          <w:rFonts w:ascii="Arial" w:hAnsi="Arial" w:cs="Arial"/>
        </w:rPr>
        <w:t>3</w:t>
      </w:r>
      <w:r w:rsidR="00636050" w:rsidRPr="00051B46">
        <w:rPr>
          <w:rFonts w:ascii="Arial" w:hAnsi="Arial" w:cs="Arial"/>
        </w:rPr>
        <w:t xml:space="preserve"> </w:t>
      </w:r>
      <w:r w:rsidR="000237DF" w:rsidRPr="00051B46">
        <w:rPr>
          <w:rFonts w:ascii="Arial" w:hAnsi="Arial" w:cs="Arial"/>
        </w:rPr>
        <w:t>trials</w:t>
      </w:r>
      <w:r w:rsidRPr="00051B46">
        <w:rPr>
          <w:rFonts w:ascii="Arial" w:hAnsi="Arial" w:cs="Arial"/>
        </w:rPr>
        <w:t xml:space="preserve"> </w:t>
      </w:r>
      <w:r w:rsidR="00D11417" w:rsidRPr="00051B46">
        <w:rPr>
          <w:rFonts w:ascii="Arial" w:hAnsi="Arial" w:cs="Arial"/>
        </w:rPr>
        <w:t>target</w:t>
      </w:r>
      <w:r w:rsidRPr="00051B46">
        <w:rPr>
          <w:rFonts w:ascii="Arial" w:hAnsi="Arial" w:cs="Arial"/>
        </w:rPr>
        <w:t>ing</w:t>
      </w:r>
      <w:r w:rsidR="00D11417" w:rsidRPr="00051B46">
        <w:rPr>
          <w:rFonts w:ascii="Arial" w:hAnsi="Arial" w:cs="Arial"/>
        </w:rPr>
        <w:t xml:space="preserve"> </w:t>
      </w:r>
      <w:r w:rsidRPr="00051B46">
        <w:rPr>
          <w:rFonts w:ascii="Arial" w:hAnsi="Arial" w:cs="Arial"/>
        </w:rPr>
        <w:t xml:space="preserve">a </w:t>
      </w:r>
      <w:r w:rsidRPr="00051B46">
        <w:rPr>
          <w:rFonts w:ascii="Arial" w:hAnsi="Arial" w:cs="Arial"/>
        </w:rPr>
        <w:lastRenderedPageBreak/>
        <w:t xml:space="preserve">broad spectrum of </w:t>
      </w:r>
      <w:r w:rsidR="00D11417" w:rsidRPr="00051B46">
        <w:rPr>
          <w:rFonts w:ascii="Arial" w:hAnsi="Arial" w:cs="Arial"/>
        </w:rPr>
        <w:t>pathways involved in t</w:t>
      </w:r>
      <w:r w:rsidR="00214CBA" w:rsidRPr="00051B46">
        <w:rPr>
          <w:rFonts w:ascii="Arial" w:hAnsi="Arial" w:cs="Arial"/>
        </w:rPr>
        <w:t>he pathogenesis of NASH.</w:t>
      </w:r>
      <w:r w:rsidRPr="00051B46">
        <w:rPr>
          <w:rFonts w:ascii="Arial" w:hAnsi="Arial" w:cs="Arial"/>
        </w:rPr>
        <w:t xml:space="preserve"> Therapeutic targets of significant interest include </w:t>
      </w:r>
      <w:proofErr w:type="spellStart"/>
      <w:r w:rsidRPr="00051B46">
        <w:rPr>
          <w:rFonts w:ascii="Arial" w:hAnsi="Arial" w:cs="Arial"/>
        </w:rPr>
        <w:t>farnesoid</w:t>
      </w:r>
      <w:proofErr w:type="spellEnd"/>
      <w:r w:rsidRPr="00051B46">
        <w:rPr>
          <w:rFonts w:ascii="Arial" w:hAnsi="Arial" w:cs="Arial"/>
        </w:rPr>
        <w:t xml:space="preserve"> X receptor (FXRs</w:t>
      </w:r>
      <w:r w:rsidR="008777F5" w:rsidRPr="00051B46">
        <w:rPr>
          <w:rFonts w:ascii="Arial" w:hAnsi="Arial" w:cs="Arial"/>
        </w:rPr>
        <w:t>), which</w:t>
      </w:r>
      <w:r w:rsidRPr="00051B46">
        <w:rPr>
          <w:rFonts w:ascii="Arial" w:hAnsi="Arial" w:cs="Arial"/>
        </w:rPr>
        <w:t xml:space="preserve"> regulate hepatic glucose and lipid metabolism </w:t>
      </w:r>
      <w:r w:rsidR="008777F5" w:rsidRPr="00051B46">
        <w:rPr>
          <w:rFonts w:ascii="Arial" w:hAnsi="Arial" w:cs="Arial"/>
        </w:rPr>
        <w:t>(</w:t>
      </w:r>
      <w:r w:rsidR="0023295B" w:rsidRPr="00051B46">
        <w:rPr>
          <w:rFonts w:ascii="Arial" w:hAnsi="Arial" w:cs="Arial"/>
        </w:rPr>
        <w:t>182</w:t>
      </w:r>
      <w:r w:rsidR="008777F5" w:rsidRPr="00051B46">
        <w:rPr>
          <w:rFonts w:ascii="Arial" w:hAnsi="Arial" w:cs="Arial"/>
        </w:rPr>
        <w:t>)</w:t>
      </w:r>
      <w:r w:rsidRPr="00051B46">
        <w:rPr>
          <w:rFonts w:ascii="Arial" w:hAnsi="Arial" w:cs="Arial"/>
        </w:rPr>
        <w:t>.</w:t>
      </w:r>
      <w:r w:rsidR="008F64CE" w:rsidRPr="00051B46">
        <w:rPr>
          <w:rFonts w:ascii="Arial" w:hAnsi="Arial" w:cs="Arial"/>
        </w:rPr>
        <w:t xml:space="preserve"> </w:t>
      </w:r>
      <w:r w:rsidRPr="00051B46">
        <w:rPr>
          <w:rFonts w:ascii="Arial" w:hAnsi="Arial" w:cs="Arial"/>
        </w:rPr>
        <w:t>In the FLINT trial</w:t>
      </w:r>
      <w:r w:rsidR="008777F5" w:rsidRPr="00051B46">
        <w:rPr>
          <w:rFonts w:ascii="Arial" w:hAnsi="Arial" w:cs="Arial"/>
        </w:rPr>
        <w:t xml:space="preserve"> (</w:t>
      </w:r>
      <w:r w:rsidR="0023295B" w:rsidRPr="00051B46">
        <w:rPr>
          <w:rFonts w:ascii="Arial" w:hAnsi="Arial" w:cs="Arial"/>
        </w:rPr>
        <w:t>183</w:t>
      </w:r>
      <w:r w:rsidR="008777F5" w:rsidRPr="00051B46">
        <w:rPr>
          <w:rFonts w:ascii="Arial" w:hAnsi="Arial" w:cs="Arial"/>
        </w:rPr>
        <w:t>)</w:t>
      </w:r>
      <w:r w:rsidRPr="00051B46">
        <w:rPr>
          <w:rFonts w:ascii="Arial" w:hAnsi="Arial" w:cs="Arial"/>
        </w:rPr>
        <w:t xml:space="preserve">, in which </w:t>
      </w:r>
      <w:proofErr w:type="spellStart"/>
      <w:r w:rsidR="00090DDD" w:rsidRPr="00051B46">
        <w:rPr>
          <w:rFonts w:ascii="Arial" w:hAnsi="Arial" w:cs="Arial"/>
        </w:rPr>
        <w:t>obeticholic</w:t>
      </w:r>
      <w:proofErr w:type="spellEnd"/>
      <w:r w:rsidR="00090DDD" w:rsidRPr="00051B46">
        <w:rPr>
          <w:rFonts w:ascii="Arial" w:hAnsi="Arial" w:cs="Arial"/>
        </w:rPr>
        <w:t xml:space="preserve"> acid (manufactured by Intercept) </w:t>
      </w:r>
      <w:r w:rsidRPr="00051B46">
        <w:rPr>
          <w:rFonts w:ascii="Arial" w:hAnsi="Arial" w:cs="Arial"/>
        </w:rPr>
        <w:t xml:space="preserve">was compared to placebo there was some evidence of </w:t>
      </w:r>
      <w:r w:rsidR="00C40547" w:rsidRPr="00051B46">
        <w:rPr>
          <w:rFonts w:ascii="Arial" w:hAnsi="Arial" w:cs="Arial"/>
        </w:rPr>
        <w:t xml:space="preserve">histological improvement, including a mild effect on fibrosis that was recently confirmed in the Interim Analysis of </w:t>
      </w:r>
      <w:r w:rsidR="001E7AE9" w:rsidRPr="00051B46">
        <w:rPr>
          <w:rFonts w:ascii="Arial" w:hAnsi="Arial" w:cs="Arial"/>
        </w:rPr>
        <w:t xml:space="preserve">the </w:t>
      </w:r>
      <w:r w:rsidR="00C40547" w:rsidRPr="00051B46">
        <w:rPr>
          <w:rFonts w:ascii="Arial" w:hAnsi="Arial" w:cs="Arial"/>
        </w:rPr>
        <w:t xml:space="preserve">Phase </w:t>
      </w:r>
      <w:r w:rsidR="001E7AE9" w:rsidRPr="00051B46">
        <w:rPr>
          <w:rFonts w:ascii="Arial" w:hAnsi="Arial" w:cs="Arial"/>
        </w:rPr>
        <w:t xml:space="preserve">3 </w:t>
      </w:r>
      <w:r w:rsidR="00C40547" w:rsidRPr="00051B46">
        <w:rPr>
          <w:rFonts w:ascii="Arial" w:hAnsi="Arial" w:cs="Arial"/>
        </w:rPr>
        <w:t xml:space="preserve">REGENERATE </w:t>
      </w:r>
      <w:r w:rsidR="001E7AE9" w:rsidRPr="00051B46">
        <w:rPr>
          <w:rFonts w:ascii="Arial" w:hAnsi="Arial" w:cs="Arial"/>
        </w:rPr>
        <w:t xml:space="preserve">trial </w:t>
      </w:r>
      <w:r w:rsidR="00C40547" w:rsidRPr="00051B46">
        <w:rPr>
          <w:rFonts w:ascii="Arial" w:hAnsi="Arial" w:cs="Arial"/>
        </w:rPr>
        <w:t xml:space="preserve">but </w:t>
      </w:r>
      <w:r w:rsidR="001E7AE9" w:rsidRPr="00051B46">
        <w:rPr>
          <w:rFonts w:ascii="Arial" w:hAnsi="Arial" w:cs="Arial"/>
        </w:rPr>
        <w:t xml:space="preserve">showed </w:t>
      </w:r>
      <w:r w:rsidR="00C40547" w:rsidRPr="00051B46">
        <w:rPr>
          <w:rFonts w:ascii="Arial" w:hAnsi="Arial" w:cs="Arial"/>
        </w:rPr>
        <w:t>no improvement in resolution of NASH</w:t>
      </w:r>
      <w:r w:rsidR="008777F5" w:rsidRPr="00051B46">
        <w:rPr>
          <w:rFonts w:ascii="Arial" w:hAnsi="Arial" w:cs="Arial"/>
        </w:rPr>
        <w:t xml:space="preserve"> (</w:t>
      </w:r>
      <w:r w:rsidR="0023295B" w:rsidRPr="00051B46">
        <w:rPr>
          <w:rFonts w:ascii="Arial" w:hAnsi="Arial" w:cs="Arial"/>
        </w:rPr>
        <w:t>184</w:t>
      </w:r>
      <w:r w:rsidR="008777F5" w:rsidRPr="00051B46">
        <w:rPr>
          <w:rFonts w:ascii="Arial" w:hAnsi="Arial" w:cs="Arial"/>
        </w:rPr>
        <w:t>)</w:t>
      </w:r>
      <w:r w:rsidR="00C40547" w:rsidRPr="00051B46">
        <w:rPr>
          <w:rFonts w:ascii="Arial" w:hAnsi="Arial" w:cs="Arial"/>
        </w:rPr>
        <w:t>. Un</w:t>
      </w:r>
      <w:r w:rsidR="00D54BF5" w:rsidRPr="00051B46">
        <w:rPr>
          <w:rFonts w:ascii="Arial" w:hAnsi="Arial" w:cs="Arial"/>
        </w:rPr>
        <w:t>for</w:t>
      </w:r>
      <w:r w:rsidR="00C40547" w:rsidRPr="00051B46">
        <w:rPr>
          <w:rFonts w:ascii="Arial" w:hAnsi="Arial" w:cs="Arial"/>
        </w:rPr>
        <w:t xml:space="preserve">tunately, a significant number of patients complain of pruritus and there </w:t>
      </w:r>
      <w:r w:rsidR="008777F5" w:rsidRPr="00051B46">
        <w:rPr>
          <w:rFonts w:ascii="Arial" w:hAnsi="Arial" w:cs="Arial"/>
        </w:rPr>
        <w:t>wa</w:t>
      </w:r>
      <w:r w:rsidR="00C40547" w:rsidRPr="00051B46">
        <w:rPr>
          <w:rFonts w:ascii="Arial" w:hAnsi="Arial" w:cs="Arial"/>
        </w:rPr>
        <w:t xml:space="preserve">s a </w:t>
      </w:r>
      <w:r w:rsidRPr="00051B46">
        <w:rPr>
          <w:rFonts w:ascii="Arial" w:hAnsi="Arial" w:cs="Arial"/>
        </w:rPr>
        <w:t xml:space="preserve">worsening of dyslipidemia that </w:t>
      </w:r>
      <w:r w:rsidR="00C40547" w:rsidRPr="00051B46">
        <w:rPr>
          <w:rFonts w:ascii="Arial" w:hAnsi="Arial" w:cs="Arial"/>
        </w:rPr>
        <w:t>can be mitigated</w:t>
      </w:r>
      <w:r w:rsidRPr="00051B46">
        <w:rPr>
          <w:rFonts w:ascii="Arial" w:hAnsi="Arial" w:cs="Arial"/>
        </w:rPr>
        <w:t xml:space="preserve"> by co-administration of statins</w:t>
      </w:r>
      <w:r w:rsidR="008777F5" w:rsidRPr="00051B46">
        <w:rPr>
          <w:rFonts w:ascii="Arial" w:hAnsi="Arial" w:cs="Arial"/>
        </w:rPr>
        <w:t xml:space="preserve"> (</w:t>
      </w:r>
      <w:r w:rsidR="0023295B" w:rsidRPr="00051B46">
        <w:rPr>
          <w:rFonts w:ascii="Arial" w:hAnsi="Arial" w:cs="Arial"/>
        </w:rPr>
        <w:t>183</w:t>
      </w:r>
      <w:r w:rsidR="008777F5" w:rsidRPr="00051B46">
        <w:rPr>
          <w:rFonts w:ascii="Arial" w:hAnsi="Arial" w:cs="Arial"/>
        </w:rPr>
        <w:t>)</w:t>
      </w:r>
      <w:r w:rsidRPr="00051B46">
        <w:rPr>
          <w:rFonts w:ascii="Arial" w:hAnsi="Arial" w:cs="Arial"/>
        </w:rPr>
        <w:t>.</w:t>
      </w:r>
      <w:r w:rsidR="001E7AE9" w:rsidRPr="00051B46">
        <w:rPr>
          <w:rFonts w:ascii="Arial" w:hAnsi="Arial" w:cs="Arial"/>
        </w:rPr>
        <w:t xml:space="preserve"> </w:t>
      </w:r>
      <w:r w:rsidRPr="00051B46">
        <w:rPr>
          <w:rFonts w:ascii="Arial" w:hAnsi="Arial" w:cs="Arial"/>
        </w:rPr>
        <w:t xml:space="preserve"> </w:t>
      </w:r>
      <w:r w:rsidR="00D54BF5" w:rsidRPr="00051B46">
        <w:rPr>
          <w:rFonts w:ascii="Arial" w:hAnsi="Arial" w:cs="Arial"/>
        </w:rPr>
        <w:t>Several novel FXR compounds are in development</w:t>
      </w:r>
      <w:r w:rsidR="008777F5" w:rsidRPr="00051B46">
        <w:rPr>
          <w:rFonts w:ascii="Arial" w:hAnsi="Arial" w:cs="Arial"/>
        </w:rPr>
        <w:t xml:space="preserve"> (</w:t>
      </w:r>
      <w:r w:rsidR="0023295B" w:rsidRPr="00051B46">
        <w:rPr>
          <w:rFonts w:ascii="Arial" w:hAnsi="Arial" w:cs="Arial"/>
        </w:rPr>
        <w:t>180,181</w:t>
      </w:r>
      <w:r w:rsidR="008777F5" w:rsidRPr="00051B46">
        <w:rPr>
          <w:rFonts w:ascii="Arial" w:hAnsi="Arial" w:cs="Arial"/>
        </w:rPr>
        <w:t>)</w:t>
      </w:r>
      <w:r w:rsidR="00D54BF5" w:rsidRPr="00051B46">
        <w:rPr>
          <w:rFonts w:ascii="Arial" w:hAnsi="Arial" w:cs="Arial"/>
        </w:rPr>
        <w:t>.</w:t>
      </w:r>
      <w:r w:rsidR="001E7AE9" w:rsidRPr="00051B46">
        <w:rPr>
          <w:rFonts w:ascii="Arial" w:hAnsi="Arial" w:cs="Arial"/>
        </w:rPr>
        <w:t xml:space="preserve"> </w:t>
      </w:r>
    </w:p>
    <w:p w14:paraId="2BCF0586" w14:textId="374E1FE8" w:rsidR="00EC3006" w:rsidRPr="00051B46" w:rsidRDefault="001E7AE9" w:rsidP="002506B3">
      <w:pPr>
        <w:spacing w:after="0" w:line="276" w:lineRule="auto"/>
        <w:rPr>
          <w:rFonts w:ascii="Arial" w:hAnsi="Arial" w:cs="Arial"/>
        </w:rPr>
      </w:pPr>
      <w:r w:rsidRPr="00051B46">
        <w:rPr>
          <w:rFonts w:ascii="Arial" w:hAnsi="Arial" w:cs="Arial"/>
        </w:rPr>
        <w:t xml:space="preserve">  </w:t>
      </w:r>
    </w:p>
    <w:p w14:paraId="25FBD232" w14:textId="12E2B583" w:rsidR="00D54BF5" w:rsidRPr="00051B46" w:rsidRDefault="00C40547" w:rsidP="002506B3">
      <w:pPr>
        <w:spacing w:after="0" w:line="276" w:lineRule="auto"/>
        <w:rPr>
          <w:rFonts w:ascii="Arial" w:hAnsi="Arial" w:cs="Arial"/>
        </w:rPr>
      </w:pPr>
      <w:r w:rsidRPr="00051B46">
        <w:rPr>
          <w:rFonts w:ascii="Arial" w:hAnsi="Arial" w:cs="Arial"/>
        </w:rPr>
        <w:t xml:space="preserve">As discussed, </w:t>
      </w:r>
      <w:r w:rsidR="006365F8" w:rsidRPr="00051B46">
        <w:rPr>
          <w:rFonts w:ascii="Arial" w:hAnsi="Arial" w:cs="Arial"/>
        </w:rPr>
        <w:t>PPAR nuclear receptors</w:t>
      </w:r>
      <w:r w:rsidR="00142CC1" w:rsidRPr="00051B46">
        <w:rPr>
          <w:rFonts w:ascii="Arial" w:hAnsi="Arial" w:cs="Arial"/>
        </w:rPr>
        <w:t xml:space="preserve"> play a key role in insulin sensitivity.</w:t>
      </w:r>
      <w:r w:rsidR="004875A3" w:rsidRPr="00051B46">
        <w:rPr>
          <w:rFonts w:ascii="Arial" w:hAnsi="Arial" w:cs="Arial"/>
        </w:rPr>
        <w:t xml:space="preserve"> In the light of their roles in NAFLD and NASH several combined </w:t>
      </w:r>
      <w:r w:rsidR="00F209FD" w:rsidRPr="00051B46">
        <w:rPr>
          <w:rFonts w:ascii="Arial" w:hAnsi="Arial" w:cs="Arial"/>
        </w:rPr>
        <w:t xml:space="preserve">PPAR </w:t>
      </w:r>
      <w:r w:rsidR="004875A3" w:rsidRPr="00051B46">
        <w:rPr>
          <w:rFonts w:ascii="Arial" w:hAnsi="Arial" w:cs="Arial"/>
        </w:rPr>
        <w:t xml:space="preserve">agonists have been studied. </w:t>
      </w:r>
      <w:proofErr w:type="spellStart"/>
      <w:r w:rsidR="00533A51" w:rsidRPr="00051B46">
        <w:rPr>
          <w:rFonts w:ascii="Arial" w:hAnsi="Arial" w:cs="Arial"/>
        </w:rPr>
        <w:t>El</w:t>
      </w:r>
      <w:r w:rsidR="006B0A2B" w:rsidRPr="00051B46">
        <w:rPr>
          <w:rFonts w:ascii="Arial" w:hAnsi="Arial" w:cs="Arial"/>
        </w:rPr>
        <w:t>a</w:t>
      </w:r>
      <w:r w:rsidR="00533A51" w:rsidRPr="00051B46">
        <w:rPr>
          <w:rFonts w:ascii="Arial" w:hAnsi="Arial" w:cs="Arial"/>
        </w:rPr>
        <w:t>fibranor</w:t>
      </w:r>
      <w:proofErr w:type="spellEnd"/>
      <w:r w:rsidR="00090DDD" w:rsidRPr="00051B46">
        <w:rPr>
          <w:rFonts w:ascii="Arial" w:hAnsi="Arial" w:cs="Arial"/>
        </w:rPr>
        <w:t xml:space="preserve"> (manufactured by </w:t>
      </w:r>
      <w:proofErr w:type="spellStart"/>
      <w:r w:rsidR="00090DDD" w:rsidRPr="00051B46">
        <w:rPr>
          <w:rFonts w:ascii="Arial" w:hAnsi="Arial" w:cs="Arial"/>
        </w:rPr>
        <w:t>Genfit</w:t>
      </w:r>
      <w:proofErr w:type="spellEnd"/>
      <w:r w:rsidR="00090DDD" w:rsidRPr="00051B46">
        <w:rPr>
          <w:rFonts w:ascii="Arial" w:hAnsi="Arial" w:cs="Arial"/>
        </w:rPr>
        <w:t>)</w:t>
      </w:r>
      <w:r w:rsidR="008940D1" w:rsidRPr="00051B46">
        <w:rPr>
          <w:rFonts w:ascii="Arial" w:hAnsi="Arial" w:cs="Arial"/>
        </w:rPr>
        <w:t>,</w:t>
      </w:r>
      <w:r w:rsidR="00EC756C" w:rsidRPr="00051B46">
        <w:rPr>
          <w:rFonts w:ascii="Arial" w:hAnsi="Arial" w:cs="Arial"/>
        </w:rPr>
        <w:t xml:space="preserve"> is</w:t>
      </w:r>
      <w:r w:rsidR="008940D1" w:rsidRPr="00051B46">
        <w:rPr>
          <w:rFonts w:ascii="Arial" w:hAnsi="Arial" w:cs="Arial"/>
        </w:rPr>
        <w:t xml:space="preserve"> a </w:t>
      </w:r>
      <w:r w:rsidR="009578FC" w:rsidRPr="00051B46">
        <w:rPr>
          <w:rFonts w:ascii="Arial" w:hAnsi="Arial" w:cs="Arial"/>
        </w:rPr>
        <w:t xml:space="preserve">dual receptor </w:t>
      </w:r>
      <w:bookmarkStart w:id="2" w:name="_Hlk532239839"/>
      <w:r w:rsidR="00830D94" w:rsidRPr="00051B46">
        <w:rPr>
          <w:rFonts w:ascii="Arial" w:hAnsi="Arial" w:cs="Arial"/>
        </w:rPr>
        <w:t>PPAR-α/δ</w:t>
      </w:r>
      <w:bookmarkEnd w:id="2"/>
      <w:r w:rsidR="009578FC" w:rsidRPr="00051B46">
        <w:rPr>
          <w:rFonts w:ascii="Arial" w:hAnsi="Arial" w:cs="Arial"/>
        </w:rPr>
        <w:t xml:space="preserve"> agonist</w:t>
      </w:r>
      <w:r w:rsidR="002520CD" w:rsidRPr="00051B46">
        <w:rPr>
          <w:rFonts w:ascii="Arial" w:hAnsi="Arial" w:cs="Arial"/>
        </w:rPr>
        <w:t xml:space="preserve"> </w:t>
      </w:r>
      <w:r w:rsidRPr="00051B46">
        <w:rPr>
          <w:rFonts w:ascii="Arial" w:hAnsi="Arial" w:cs="Arial"/>
        </w:rPr>
        <w:t>that</w:t>
      </w:r>
      <w:r w:rsidR="002F7870" w:rsidRPr="00051B46">
        <w:rPr>
          <w:rFonts w:ascii="Arial" w:hAnsi="Arial" w:cs="Arial"/>
        </w:rPr>
        <w:t xml:space="preserve"> improve</w:t>
      </w:r>
      <w:r w:rsidRPr="00051B46">
        <w:rPr>
          <w:rFonts w:ascii="Arial" w:hAnsi="Arial" w:cs="Arial"/>
        </w:rPr>
        <w:t>s</w:t>
      </w:r>
      <w:r w:rsidR="002F7870" w:rsidRPr="00051B46">
        <w:rPr>
          <w:rFonts w:ascii="Arial" w:hAnsi="Arial" w:cs="Arial"/>
        </w:rPr>
        <w:t xml:space="preserve"> in insulin resistance</w:t>
      </w:r>
      <w:r w:rsidR="00FF3C07" w:rsidRPr="00051B46">
        <w:rPr>
          <w:rFonts w:ascii="Arial" w:hAnsi="Arial" w:cs="Arial"/>
        </w:rPr>
        <w:t xml:space="preserve"> and glucos</w:t>
      </w:r>
      <w:r w:rsidRPr="00051B46">
        <w:rPr>
          <w:rFonts w:ascii="Arial" w:hAnsi="Arial" w:cs="Arial"/>
        </w:rPr>
        <w:t>e/</w:t>
      </w:r>
      <w:r w:rsidR="00FF3C07" w:rsidRPr="00051B46">
        <w:rPr>
          <w:rFonts w:ascii="Arial" w:hAnsi="Arial" w:cs="Arial"/>
        </w:rPr>
        <w:t xml:space="preserve">lipid </w:t>
      </w:r>
      <w:r w:rsidR="004875A3" w:rsidRPr="00051B46">
        <w:rPr>
          <w:rFonts w:ascii="Arial" w:hAnsi="Arial" w:cs="Arial"/>
        </w:rPr>
        <w:t>metabolism</w:t>
      </w:r>
      <w:r w:rsidR="008777F5" w:rsidRPr="00051B46">
        <w:rPr>
          <w:rFonts w:ascii="Arial" w:hAnsi="Arial" w:cs="Arial"/>
        </w:rPr>
        <w:t xml:space="preserve"> (</w:t>
      </w:r>
      <w:r w:rsidR="004E4FCC" w:rsidRPr="00051B46">
        <w:rPr>
          <w:rFonts w:ascii="Arial" w:hAnsi="Arial" w:cs="Arial"/>
        </w:rPr>
        <w:t>185</w:t>
      </w:r>
      <w:r w:rsidR="008777F5" w:rsidRPr="00051B46">
        <w:rPr>
          <w:rFonts w:ascii="Arial" w:hAnsi="Arial" w:cs="Arial"/>
        </w:rPr>
        <w:t>)</w:t>
      </w:r>
      <w:r w:rsidR="00FF3C07" w:rsidRPr="00051B46">
        <w:rPr>
          <w:rFonts w:ascii="Arial" w:hAnsi="Arial" w:cs="Arial"/>
        </w:rPr>
        <w:t>.</w:t>
      </w:r>
      <w:r w:rsidR="00572A1E" w:rsidRPr="00051B46">
        <w:rPr>
          <w:rFonts w:ascii="Arial" w:hAnsi="Arial" w:cs="Arial"/>
        </w:rPr>
        <w:t xml:space="preserve"> In the GOLDEN </w:t>
      </w:r>
      <w:r w:rsidR="002520CD" w:rsidRPr="00051B46">
        <w:rPr>
          <w:rFonts w:ascii="Arial" w:hAnsi="Arial" w:cs="Arial"/>
        </w:rPr>
        <w:t xml:space="preserve">trial, a phase </w:t>
      </w:r>
      <w:r w:rsidR="00572A1E" w:rsidRPr="00051B46">
        <w:rPr>
          <w:rFonts w:ascii="Arial" w:hAnsi="Arial" w:cs="Arial"/>
        </w:rPr>
        <w:t xml:space="preserve">study 2b </w:t>
      </w:r>
      <w:r w:rsidR="002520CD" w:rsidRPr="00051B46">
        <w:rPr>
          <w:rFonts w:ascii="Arial" w:hAnsi="Arial" w:cs="Arial"/>
        </w:rPr>
        <w:t xml:space="preserve">study, </w:t>
      </w:r>
      <w:proofErr w:type="spellStart"/>
      <w:r w:rsidR="000367CB" w:rsidRPr="00051B46">
        <w:rPr>
          <w:rFonts w:ascii="Arial" w:hAnsi="Arial" w:cs="Arial"/>
        </w:rPr>
        <w:t>e</w:t>
      </w:r>
      <w:r w:rsidR="006B0A2B" w:rsidRPr="00051B46">
        <w:rPr>
          <w:rFonts w:ascii="Arial" w:hAnsi="Arial" w:cs="Arial"/>
        </w:rPr>
        <w:t>lafibranor</w:t>
      </w:r>
      <w:proofErr w:type="spellEnd"/>
      <w:r w:rsidR="006B0A2B" w:rsidRPr="00051B46">
        <w:rPr>
          <w:rFonts w:ascii="Arial" w:hAnsi="Arial" w:cs="Arial"/>
        </w:rPr>
        <w:t xml:space="preserve"> 120 mg/day for a year </w:t>
      </w:r>
      <w:r w:rsidRPr="00051B46">
        <w:rPr>
          <w:rFonts w:ascii="Arial" w:hAnsi="Arial" w:cs="Arial"/>
        </w:rPr>
        <w:t xml:space="preserve">led to a modest improvement in resolution of </w:t>
      </w:r>
      <w:r w:rsidR="006B0A2B" w:rsidRPr="00051B46">
        <w:rPr>
          <w:rFonts w:ascii="Arial" w:hAnsi="Arial" w:cs="Arial"/>
        </w:rPr>
        <w:t xml:space="preserve">NASH </w:t>
      </w:r>
      <w:r w:rsidRPr="00051B46">
        <w:rPr>
          <w:rFonts w:ascii="Arial" w:hAnsi="Arial" w:cs="Arial"/>
        </w:rPr>
        <w:t>compared to placebo in the subgroup with worse steatohepatitis</w:t>
      </w:r>
      <w:r w:rsidR="008777F5" w:rsidRPr="00051B46">
        <w:rPr>
          <w:rFonts w:ascii="Arial" w:hAnsi="Arial" w:cs="Arial"/>
        </w:rPr>
        <w:t xml:space="preserve"> (</w:t>
      </w:r>
      <w:r w:rsidR="004E4FCC" w:rsidRPr="00051B46">
        <w:rPr>
          <w:rFonts w:ascii="Arial" w:hAnsi="Arial" w:cs="Arial"/>
        </w:rPr>
        <w:t>186</w:t>
      </w:r>
      <w:r w:rsidR="008777F5" w:rsidRPr="00051B46">
        <w:rPr>
          <w:rFonts w:ascii="Arial" w:hAnsi="Arial" w:cs="Arial"/>
        </w:rPr>
        <w:t>)</w:t>
      </w:r>
      <w:r w:rsidR="006B0A2B" w:rsidRPr="00051B46">
        <w:rPr>
          <w:rFonts w:ascii="Arial" w:hAnsi="Arial" w:cs="Arial"/>
        </w:rPr>
        <w:t>.</w:t>
      </w:r>
      <w:r w:rsidR="002520CD" w:rsidRPr="00051B46">
        <w:rPr>
          <w:rFonts w:ascii="Arial" w:hAnsi="Arial" w:cs="Arial"/>
          <w:vertAlign w:val="superscript"/>
        </w:rPr>
        <w:t xml:space="preserve"> </w:t>
      </w:r>
      <w:r w:rsidR="006B0A2B" w:rsidRPr="00051B46">
        <w:rPr>
          <w:rFonts w:ascii="Arial" w:hAnsi="Arial" w:cs="Arial"/>
        </w:rPr>
        <w:t xml:space="preserve">Another </w:t>
      </w:r>
      <w:r w:rsidR="000367CB" w:rsidRPr="00051B46">
        <w:rPr>
          <w:rFonts w:ascii="Arial" w:hAnsi="Arial" w:cs="Arial"/>
        </w:rPr>
        <w:t xml:space="preserve">PPAR </w:t>
      </w:r>
      <w:r w:rsidRPr="00051B46">
        <w:rPr>
          <w:rFonts w:ascii="Arial" w:hAnsi="Arial" w:cs="Arial"/>
        </w:rPr>
        <w:t xml:space="preserve">agonist </w:t>
      </w:r>
      <w:r w:rsidR="000367CB" w:rsidRPr="00051B46">
        <w:rPr>
          <w:rFonts w:ascii="Arial" w:hAnsi="Arial" w:cs="Arial"/>
        </w:rPr>
        <w:t xml:space="preserve">is </w:t>
      </w:r>
      <w:proofErr w:type="spellStart"/>
      <w:r w:rsidR="000367CB" w:rsidRPr="00051B46">
        <w:rPr>
          <w:rFonts w:ascii="Arial" w:hAnsi="Arial" w:cs="Arial"/>
        </w:rPr>
        <w:t>l</w:t>
      </w:r>
      <w:r w:rsidR="00DD60B5" w:rsidRPr="00051B46">
        <w:rPr>
          <w:rFonts w:ascii="Arial" w:hAnsi="Arial" w:cs="Arial"/>
        </w:rPr>
        <w:t>anifibranor</w:t>
      </w:r>
      <w:proofErr w:type="spellEnd"/>
      <w:r w:rsidR="00DD60B5" w:rsidRPr="00051B46">
        <w:rPr>
          <w:rFonts w:ascii="Arial" w:hAnsi="Arial" w:cs="Arial"/>
        </w:rPr>
        <w:t xml:space="preserve">, a </w:t>
      </w:r>
      <w:proofErr w:type="spellStart"/>
      <w:r w:rsidR="00DD60B5" w:rsidRPr="00051B46">
        <w:rPr>
          <w:rFonts w:ascii="Arial" w:hAnsi="Arial" w:cs="Arial"/>
        </w:rPr>
        <w:t>panPPAR</w:t>
      </w:r>
      <w:proofErr w:type="spellEnd"/>
      <w:r w:rsidR="00DD60B5" w:rsidRPr="00051B46">
        <w:rPr>
          <w:rFonts w:ascii="Arial" w:hAnsi="Arial" w:cs="Arial"/>
        </w:rPr>
        <w:t xml:space="preserve"> agonist (PPAR-α/δ/ γ)</w:t>
      </w:r>
      <w:r w:rsidR="002520CD" w:rsidRPr="00051B46">
        <w:rPr>
          <w:rFonts w:ascii="Arial" w:hAnsi="Arial" w:cs="Arial"/>
        </w:rPr>
        <w:t xml:space="preserve">, </w:t>
      </w:r>
      <w:r w:rsidR="00DD60B5" w:rsidRPr="00051B46">
        <w:rPr>
          <w:rFonts w:ascii="Arial" w:hAnsi="Arial" w:cs="Arial"/>
        </w:rPr>
        <w:t>is currently undergoing phase 2 clinical trials in NASH</w:t>
      </w:r>
      <w:r w:rsidR="008777F5" w:rsidRPr="00051B46">
        <w:rPr>
          <w:rFonts w:ascii="Arial" w:hAnsi="Arial" w:cs="Arial"/>
        </w:rPr>
        <w:t xml:space="preserve"> (</w:t>
      </w:r>
      <w:r w:rsidR="004E4FCC" w:rsidRPr="00051B46">
        <w:rPr>
          <w:rFonts w:ascii="Arial" w:hAnsi="Arial" w:cs="Arial"/>
        </w:rPr>
        <w:t>187</w:t>
      </w:r>
      <w:r w:rsidR="008777F5" w:rsidRPr="00051B46">
        <w:rPr>
          <w:rFonts w:ascii="Arial" w:hAnsi="Arial" w:cs="Arial"/>
        </w:rPr>
        <w:t>)</w:t>
      </w:r>
      <w:r w:rsidR="00DD60B5" w:rsidRPr="00051B46">
        <w:rPr>
          <w:rFonts w:ascii="Arial" w:hAnsi="Arial" w:cs="Arial"/>
        </w:rPr>
        <w:t>.</w:t>
      </w:r>
      <w:r w:rsidR="002520CD" w:rsidRPr="00051B46">
        <w:rPr>
          <w:rFonts w:ascii="Arial" w:hAnsi="Arial" w:cs="Arial"/>
          <w:vertAlign w:val="superscript"/>
        </w:rPr>
        <w:t xml:space="preserve"> </w:t>
      </w:r>
      <w:proofErr w:type="spellStart"/>
      <w:r w:rsidR="00DD60B5" w:rsidRPr="00051B46">
        <w:rPr>
          <w:rFonts w:ascii="Arial" w:hAnsi="Arial" w:cs="Arial"/>
        </w:rPr>
        <w:t>Saroglitazar</w:t>
      </w:r>
      <w:proofErr w:type="spellEnd"/>
      <w:r w:rsidR="002543F5" w:rsidRPr="00051B46">
        <w:rPr>
          <w:rFonts w:ascii="Arial" w:hAnsi="Arial" w:cs="Arial"/>
        </w:rPr>
        <w:t xml:space="preserve"> (</w:t>
      </w:r>
      <w:r w:rsidR="00090DDD" w:rsidRPr="00051B46">
        <w:rPr>
          <w:rFonts w:ascii="Arial" w:hAnsi="Arial" w:cs="Arial"/>
        </w:rPr>
        <w:t>by Zydus)</w:t>
      </w:r>
      <w:r w:rsidR="00D57A76" w:rsidRPr="00051B46">
        <w:rPr>
          <w:rFonts w:ascii="Arial" w:hAnsi="Arial" w:cs="Arial"/>
        </w:rPr>
        <w:t xml:space="preserve">, </w:t>
      </w:r>
      <w:r w:rsidR="00090DDD" w:rsidRPr="00051B46">
        <w:rPr>
          <w:rFonts w:ascii="Arial" w:hAnsi="Arial" w:cs="Arial"/>
        </w:rPr>
        <w:t xml:space="preserve">is </w:t>
      </w:r>
      <w:r w:rsidR="00D57A76" w:rsidRPr="00051B46">
        <w:rPr>
          <w:rFonts w:ascii="Arial" w:hAnsi="Arial" w:cs="Arial"/>
        </w:rPr>
        <w:t>a dual PPAR</w:t>
      </w:r>
      <w:r w:rsidR="000367CB" w:rsidRPr="00051B46">
        <w:rPr>
          <w:rFonts w:ascii="Arial" w:hAnsi="Arial" w:cs="Arial"/>
        </w:rPr>
        <w:t>-</w:t>
      </w:r>
      <w:r w:rsidR="00D57A76" w:rsidRPr="00051B46">
        <w:rPr>
          <w:rFonts w:ascii="Arial" w:hAnsi="Arial" w:cs="Arial"/>
        </w:rPr>
        <w:t>α/γ agonist with a predominant PPAR</w:t>
      </w:r>
      <w:r w:rsidR="000367CB" w:rsidRPr="00051B46">
        <w:rPr>
          <w:rFonts w:ascii="Arial" w:hAnsi="Arial" w:cs="Arial"/>
        </w:rPr>
        <w:t>-</w:t>
      </w:r>
      <w:r w:rsidR="00D57A76" w:rsidRPr="00051B46">
        <w:rPr>
          <w:rFonts w:ascii="Arial" w:hAnsi="Arial" w:cs="Arial"/>
        </w:rPr>
        <w:t>α activity</w:t>
      </w:r>
      <w:r w:rsidRPr="00051B46">
        <w:rPr>
          <w:rFonts w:ascii="Arial" w:hAnsi="Arial" w:cs="Arial"/>
        </w:rPr>
        <w:t>,</w:t>
      </w:r>
      <w:r w:rsidR="002520CD" w:rsidRPr="00051B46">
        <w:rPr>
          <w:rFonts w:ascii="Arial" w:hAnsi="Arial" w:cs="Arial"/>
        </w:rPr>
        <w:t xml:space="preserve"> revers</w:t>
      </w:r>
      <w:r w:rsidRPr="00051B46">
        <w:rPr>
          <w:rFonts w:ascii="Arial" w:hAnsi="Arial" w:cs="Arial"/>
        </w:rPr>
        <w:t>e</w:t>
      </w:r>
      <w:r w:rsidR="002520CD" w:rsidRPr="00051B46">
        <w:rPr>
          <w:rFonts w:ascii="Arial" w:hAnsi="Arial" w:cs="Arial"/>
        </w:rPr>
        <w:t>s</w:t>
      </w:r>
      <w:r w:rsidRPr="00051B46">
        <w:rPr>
          <w:rFonts w:ascii="Arial" w:hAnsi="Arial" w:cs="Arial"/>
        </w:rPr>
        <w:t xml:space="preserve"> steatohepatitis in </w:t>
      </w:r>
      <w:r w:rsidRPr="00051B46">
        <w:rPr>
          <w:rFonts w:ascii="Arial" w:hAnsi="Arial" w:cs="Arial"/>
          <w:noProof/>
        </w:rPr>
        <w:t>experimental NASH models</w:t>
      </w:r>
      <w:r w:rsidR="008777F5" w:rsidRPr="00051B46">
        <w:rPr>
          <w:rFonts w:ascii="Arial" w:hAnsi="Arial" w:cs="Arial"/>
          <w:noProof/>
        </w:rPr>
        <w:t xml:space="preserve"> (</w:t>
      </w:r>
      <w:r w:rsidR="004E4FCC" w:rsidRPr="00051B46">
        <w:rPr>
          <w:rFonts w:ascii="Arial" w:hAnsi="Arial" w:cs="Arial"/>
          <w:noProof/>
        </w:rPr>
        <w:t>188</w:t>
      </w:r>
      <w:r w:rsidR="008777F5" w:rsidRPr="00051B46">
        <w:rPr>
          <w:rFonts w:ascii="Arial" w:hAnsi="Arial" w:cs="Arial"/>
          <w:noProof/>
        </w:rPr>
        <w:t>)</w:t>
      </w:r>
      <w:r w:rsidRPr="00051B46">
        <w:rPr>
          <w:rFonts w:ascii="Arial" w:hAnsi="Arial" w:cs="Arial"/>
        </w:rPr>
        <w:t xml:space="preserve"> and is undergoing clinical trials.</w:t>
      </w:r>
      <w:r w:rsidR="003C0441" w:rsidRPr="00051B46">
        <w:rPr>
          <w:rFonts w:ascii="Arial" w:hAnsi="Arial" w:cs="Arial"/>
        </w:rPr>
        <w:t xml:space="preserve"> A phase 2b RCT of MSDC-0602K </w:t>
      </w:r>
      <w:r w:rsidR="009C50C9" w:rsidRPr="00051B46">
        <w:rPr>
          <w:rFonts w:ascii="Arial" w:hAnsi="Arial" w:cs="Arial"/>
        </w:rPr>
        <w:t xml:space="preserve">by </w:t>
      </w:r>
      <w:proofErr w:type="spellStart"/>
      <w:r w:rsidR="009C50C9" w:rsidRPr="00051B46">
        <w:rPr>
          <w:rFonts w:ascii="Arial" w:hAnsi="Arial" w:cs="Arial"/>
        </w:rPr>
        <w:t>Cirius</w:t>
      </w:r>
      <w:proofErr w:type="spellEnd"/>
      <w:r w:rsidR="009C50C9" w:rsidRPr="00051B46">
        <w:rPr>
          <w:rFonts w:ascii="Arial" w:hAnsi="Arial" w:cs="Arial"/>
        </w:rPr>
        <w:t xml:space="preserve"> </w:t>
      </w:r>
      <w:r w:rsidR="003C0441" w:rsidRPr="00051B46">
        <w:rPr>
          <w:rFonts w:ascii="Arial" w:hAnsi="Arial" w:cs="Arial"/>
        </w:rPr>
        <w:t>is expected to report results in late 2019 for the treatment of NASH. It is a compound designed to minimize PPAR</w:t>
      </w:r>
      <w:r w:rsidR="00690F26">
        <w:rPr>
          <w:rFonts w:ascii="Arial" w:hAnsi="Arial" w:cs="Arial"/>
        </w:rPr>
        <w:t xml:space="preserve"> gamma</w:t>
      </w:r>
      <w:r w:rsidR="002A10CF" w:rsidRPr="00051B46">
        <w:rPr>
          <w:rFonts w:ascii="Arial" w:hAnsi="Arial" w:cs="Arial"/>
        </w:rPr>
        <w:t xml:space="preserve"> </w:t>
      </w:r>
      <w:r w:rsidR="003C0441" w:rsidRPr="00051B46">
        <w:rPr>
          <w:rFonts w:ascii="Arial" w:hAnsi="Arial" w:cs="Arial"/>
        </w:rPr>
        <w:t xml:space="preserve">binding activity but </w:t>
      </w:r>
      <w:r w:rsidR="002A10CF" w:rsidRPr="00051B46">
        <w:rPr>
          <w:rFonts w:ascii="Arial" w:hAnsi="Arial" w:cs="Arial"/>
        </w:rPr>
        <w:t xml:space="preserve">to </w:t>
      </w:r>
      <w:r w:rsidR="003C0441" w:rsidRPr="00051B46">
        <w:rPr>
          <w:rFonts w:ascii="Arial" w:hAnsi="Arial" w:cs="Arial"/>
        </w:rPr>
        <w:t>maintain binding affinity to a second cellular target of all TZDs that has been identified as the mitochondrial target of the TZDs (</w:t>
      </w:r>
      <w:proofErr w:type="spellStart"/>
      <w:r w:rsidR="003C0441" w:rsidRPr="00051B46">
        <w:rPr>
          <w:rFonts w:ascii="Arial" w:hAnsi="Arial" w:cs="Arial"/>
        </w:rPr>
        <w:t>mTOT</w:t>
      </w:r>
      <w:proofErr w:type="spellEnd"/>
      <w:r w:rsidR="003C0441" w:rsidRPr="00051B46">
        <w:rPr>
          <w:rFonts w:ascii="Arial" w:hAnsi="Arial" w:cs="Arial"/>
        </w:rPr>
        <w:t>) or mitochondrial pyruvate carrier (MPC)</w:t>
      </w:r>
      <w:r w:rsidR="008777F5" w:rsidRPr="00051B46">
        <w:rPr>
          <w:rFonts w:ascii="Arial" w:hAnsi="Arial" w:cs="Arial"/>
        </w:rPr>
        <w:t xml:space="preserve"> (</w:t>
      </w:r>
      <w:r w:rsidR="004E4FCC" w:rsidRPr="00051B46">
        <w:rPr>
          <w:rFonts w:ascii="Arial" w:hAnsi="Arial" w:cs="Arial"/>
        </w:rPr>
        <w:t>189</w:t>
      </w:r>
      <w:r w:rsidR="008777F5" w:rsidRPr="00051B46">
        <w:rPr>
          <w:rFonts w:ascii="Arial" w:hAnsi="Arial" w:cs="Arial"/>
        </w:rPr>
        <w:t>)</w:t>
      </w:r>
      <w:r w:rsidR="003C0441" w:rsidRPr="00051B46">
        <w:rPr>
          <w:rFonts w:ascii="Arial" w:hAnsi="Arial" w:cs="Arial"/>
        </w:rPr>
        <w:t>.</w:t>
      </w:r>
      <w:r w:rsidR="00A75046" w:rsidRPr="00051B46">
        <w:rPr>
          <w:rFonts w:ascii="Arial" w:hAnsi="Arial" w:cs="Arial"/>
        </w:rPr>
        <w:t xml:space="preserve"> Other insulin-sensitizers in earlier stages of development include PXL-065</w:t>
      </w:r>
      <w:r w:rsidR="00F905ED" w:rsidRPr="00051B46">
        <w:rPr>
          <w:rFonts w:ascii="Arial" w:hAnsi="Arial" w:cs="Arial"/>
        </w:rPr>
        <w:t xml:space="preserve"> (</w:t>
      </w:r>
      <w:r w:rsidR="002543F5" w:rsidRPr="00051B46">
        <w:rPr>
          <w:rFonts w:ascii="Arial" w:hAnsi="Arial" w:cs="Arial"/>
        </w:rPr>
        <w:t xml:space="preserve">by </w:t>
      </w:r>
      <w:proofErr w:type="spellStart"/>
      <w:r w:rsidR="00F905ED" w:rsidRPr="00051B46">
        <w:rPr>
          <w:rFonts w:ascii="Arial" w:hAnsi="Arial" w:cs="Arial"/>
        </w:rPr>
        <w:t>Poxel</w:t>
      </w:r>
      <w:proofErr w:type="spellEnd"/>
      <w:r w:rsidR="00F905ED" w:rsidRPr="00051B46">
        <w:rPr>
          <w:rFonts w:ascii="Arial" w:hAnsi="Arial" w:cs="Arial"/>
        </w:rPr>
        <w:t>)</w:t>
      </w:r>
      <w:r w:rsidR="00A75046" w:rsidRPr="00051B46">
        <w:rPr>
          <w:rFonts w:ascii="Arial" w:hAnsi="Arial" w:cs="Arial"/>
        </w:rPr>
        <w:t>, a</w:t>
      </w:r>
      <w:r w:rsidR="008777F5" w:rsidRPr="00051B46">
        <w:rPr>
          <w:rFonts w:ascii="Arial" w:hAnsi="Arial" w:cs="Arial"/>
        </w:rPr>
        <w:t>n</w:t>
      </w:r>
      <w:r w:rsidR="00A75046" w:rsidRPr="00051B46">
        <w:rPr>
          <w:rFonts w:ascii="Arial" w:hAnsi="Arial" w:cs="Arial"/>
        </w:rPr>
        <w:t xml:space="preserve"> enantiomer of pioglitazone, and CHS-131 (</w:t>
      </w:r>
      <w:r w:rsidR="002543F5" w:rsidRPr="00051B46">
        <w:rPr>
          <w:rFonts w:ascii="Arial" w:hAnsi="Arial" w:cs="Arial"/>
        </w:rPr>
        <w:t xml:space="preserve">by </w:t>
      </w:r>
      <w:proofErr w:type="spellStart"/>
      <w:r w:rsidR="00A75046" w:rsidRPr="00051B46">
        <w:rPr>
          <w:rFonts w:ascii="Arial" w:hAnsi="Arial" w:cs="Arial"/>
        </w:rPr>
        <w:t>Coherus</w:t>
      </w:r>
      <w:proofErr w:type="spellEnd"/>
      <w:r w:rsidR="00A75046" w:rsidRPr="00051B46">
        <w:rPr>
          <w:rFonts w:ascii="Arial" w:hAnsi="Arial" w:cs="Arial"/>
        </w:rPr>
        <w:t xml:space="preserve">) </w:t>
      </w:r>
      <w:r w:rsidR="00F905ED" w:rsidRPr="00051B46">
        <w:rPr>
          <w:rFonts w:ascii="Arial" w:hAnsi="Arial" w:cs="Arial"/>
        </w:rPr>
        <w:t xml:space="preserve">a compound with </w:t>
      </w:r>
      <w:proofErr w:type="spellStart"/>
      <w:r w:rsidR="00F905ED" w:rsidRPr="00051B46">
        <w:rPr>
          <w:rFonts w:ascii="Arial" w:hAnsi="Arial" w:cs="Arial"/>
        </w:rPr>
        <w:t>PPARγ</w:t>
      </w:r>
      <w:proofErr w:type="spellEnd"/>
      <w:r w:rsidR="00F905ED" w:rsidRPr="00051B46">
        <w:rPr>
          <w:rFonts w:ascii="Arial" w:hAnsi="Arial" w:cs="Arial"/>
        </w:rPr>
        <w:t xml:space="preserve"> activity tested earlier in patients with T2DM.</w:t>
      </w:r>
    </w:p>
    <w:p w14:paraId="56BA9BC3" w14:textId="77777777" w:rsidR="00004644" w:rsidRPr="00051B46" w:rsidRDefault="00004644" w:rsidP="002506B3">
      <w:pPr>
        <w:spacing w:after="0" w:line="276" w:lineRule="auto"/>
        <w:rPr>
          <w:rFonts w:ascii="Arial" w:hAnsi="Arial" w:cs="Arial"/>
        </w:rPr>
      </w:pPr>
    </w:p>
    <w:p w14:paraId="0E92BA8F" w14:textId="249491EC" w:rsidR="00BF46E4" w:rsidRPr="00051B46" w:rsidRDefault="007834E6" w:rsidP="002506B3">
      <w:pPr>
        <w:spacing w:after="0" w:line="276" w:lineRule="auto"/>
        <w:rPr>
          <w:rFonts w:ascii="Arial" w:hAnsi="Arial" w:cs="Arial"/>
        </w:rPr>
      </w:pPr>
      <w:r w:rsidRPr="00051B46">
        <w:rPr>
          <w:rFonts w:ascii="Arial" w:hAnsi="Arial" w:cs="Arial"/>
        </w:rPr>
        <w:t xml:space="preserve">Other </w:t>
      </w:r>
      <w:r w:rsidR="00FC3B6B" w:rsidRPr="00051B46">
        <w:rPr>
          <w:rFonts w:ascii="Arial" w:hAnsi="Arial" w:cs="Arial"/>
        </w:rPr>
        <w:t xml:space="preserve">pharmaceutical compounds being tested </w:t>
      </w:r>
      <w:r w:rsidRPr="00051B46">
        <w:rPr>
          <w:rFonts w:ascii="Arial" w:hAnsi="Arial" w:cs="Arial"/>
        </w:rPr>
        <w:t xml:space="preserve">for </w:t>
      </w:r>
      <w:r w:rsidR="00FC3B6B" w:rsidRPr="00051B46">
        <w:rPr>
          <w:rFonts w:ascii="Arial" w:hAnsi="Arial" w:cs="Arial"/>
        </w:rPr>
        <w:t xml:space="preserve">the treatment of </w:t>
      </w:r>
      <w:r w:rsidRPr="00051B46">
        <w:rPr>
          <w:rFonts w:ascii="Arial" w:hAnsi="Arial" w:cs="Arial"/>
        </w:rPr>
        <w:t xml:space="preserve">NASH </w:t>
      </w:r>
      <w:r w:rsidR="00FC3B6B" w:rsidRPr="00051B46">
        <w:rPr>
          <w:rFonts w:ascii="Arial" w:hAnsi="Arial" w:cs="Arial"/>
        </w:rPr>
        <w:t>aim at a variety of potential pathways</w:t>
      </w:r>
      <w:r w:rsidR="00D54BF5" w:rsidRPr="00051B46">
        <w:rPr>
          <w:rFonts w:ascii="Arial" w:hAnsi="Arial" w:cs="Arial"/>
        </w:rPr>
        <w:t>. We will mention only a few examples</w:t>
      </w:r>
      <w:r w:rsidR="00FC3B6B" w:rsidRPr="00051B46">
        <w:rPr>
          <w:rFonts w:ascii="Arial" w:hAnsi="Arial" w:cs="Arial"/>
        </w:rPr>
        <w:t xml:space="preserve"> for the reader to appreciate the broad spectrum of targets being studied</w:t>
      </w:r>
      <w:r w:rsidR="00D54BF5" w:rsidRPr="00051B46">
        <w:rPr>
          <w:rFonts w:ascii="Arial" w:hAnsi="Arial" w:cs="Arial"/>
        </w:rPr>
        <w:t xml:space="preserve">. </w:t>
      </w:r>
      <w:proofErr w:type="spellStart"/>
      <w:r w:rsidR="00D54BF5" w:rsidRPr="00051B46">
        <w:rPr>
          <w:rFonts w:ascii="Arial" w:hAnsi="Arial" w:cs="Arial"/>
        </w:rPr>
        <w:t>Aramchol</w:t>
      </w:r>
      <w:proofErr w:type="spellEnd"/>
      <w:r w:rsidR="00D54BF5" w:rsidRPr="00051B46">
        <w:rPr>
          <w:rFonts w:ascii="Arial" w:hAnsi="Arial" w:cs="Arial"/>
        </w:rPr>
        <w:t xml:space="preserve"> (</w:t>
      </w:r>
      <w:r w:rsidR="002543F5" w:rsidRPr="00051B46">
        <w:rPr>
          <w:rFonts w:ascii="Arial" w:hAnsi="Arial" w:cs="Arial"/>
        </w:rPr>
        <w:t xml:space="preserve">by </w:t>
      </w:r>
      <w:proofErr w:type="spellStart"/>
      <w:r w:rsidR="00D54BF5" w:rsidRPr="00051B46">
        <w:rPr>
          <w:rFonts w:ascii="Arial" w:hAnsi="Arial" w:cs="Arial"/>
        </w:rPr>
        <w:t>Galmed</w:t>
      </w:r>
      <w:proofErr w:type="spellEnd"/>
      <w:r w:rsidR="00D54BF5" w:rsidRPr="00051B46">
        <w:rPr>
          <w:rFonts w:ascii="Arial" w:hAnsi="Arial" w:cs="Arial"/>
        </w:rPr>
        <w:t xml:space="preserve">) is a novel compound that </w:t>
      </w:r>
      <w:r w:rsidR="003431B6" w:rsidRPr="00051B46">
        <w:rPr>
          <w:rFonts w:ascii="Arial" w:hAnsi="Arial" w:cs="Arial"/>
        </w:rPr>
        <w:t>down</w:t>
      </w:r>
      <w:r w:rsidR="00D54BF5" w:rsidRPr="00051B46">
        <w:rPr>
          <w:rFonts w:ascii="Arial" w:hAnsi="Arial" w:cs="Arial"/>
        </w:rPr>
        <w:t>regulates</w:t>
      </w:r>
      <w:r w:rsidR="00EC756C" w:rsidRPr="00051B46">
        <w:rPr>
          <w:rFonts w:ascii="Arial" w:hAnsi="Arial" w:cs="Arial"/>
        </w:rPr>
        <w:t xml:space="preserve"> stearoyl-CoA desaturase 1 (SCD1</w:t>
      </w:r>
      <w:r w:rsidR="00507CEF" w:rsidRPr="00051B46">
        <w:rPr>
          <w:rFonts w:ascii="Arial" w:hAnsi="Arial" w:cs="Arial"/>
        </w:rPr>
        <w:t>), a key enzyme involved in triglyceride biosynthesis</w:t>
      </w:r>
      <w:r w:rsidR="00004644" w:rsidRPr="00051B46">
        <w:rPr>
          <w:rFonts w:ascii="Arial" w:hAnsi="Arial" w:cs="Arial"/>
        </w:rPr>
        <w:t xml:space="preserve"> (</w:t>
      </w:r>
      <w:r w:rsidR="001269F0" w:rsidRPr="00051B46">
        <w:rPr>
          <w:rFonts w:ascii="Arial" w:hAnsi="Arial" w:cs="Arial"/>
        </w:rPr>
        <w:t>190</w:t>
      </w:r>
      <w:r w:rsidR="00004644" w:rsidRPr="00051B46">
        <w:rPr>
          <w:rFonts w:ascii="Arial" w:hAnsi="Arial" w:cs="Arial"/>
        </w:rPr>
        <w:t>)</w:t>
      </w:r>
      <w:r w:rsidR="00507CEF" w:rsidRPr="00051B46">
        <w:rPr>
          <w:rFonts w:ascii="Arial" w:hAnsi="Arial" w:cs="Arial"/>
        </w:rPr>
        <w:t xml:space="preserve">. </w:t>
      </w:r>
      <w:r w:rsidR="00D54BF5" w:rsidRPr="00051B46">
        <w:rPr>
          <w:rFonts w:ascii="Arial" w:hAnsi="Arial" w:cs="Arial"/>
        </w:rPr>
        <w:t xml:space="preserve">Inhibition of </w:t>
      </w:r>
      <w:r w:rsidR="00D54BF5" w:rsidRPr="00051B46">
        <w:rPr>
          <w:rFonts w:ascii="Arial" w:hAnsi="Arial" w:cs="Arial"/>
          <w:i/>
          <w:iCs/>
        </w:rPr>
        <w:t xml:space="preserve">de </w:t>
      </w:r>
      <w:r w:rsidR="00BA565E" w:rsidRPr="00051B46">
        <w:rPr>
          <w:rFonts w:ascii="Arial" w:hAnsi="Arial" w:cs="Arial"/>
          <w:i/>
          <w:iCs/>
        </w:rPr>
        <w:t>novo</w:t>
      </w:r>
      <w:r w:rsidR="00BA565E" w:rsidRPr="00051B46">
        <w:rPr>
          <w:rFonts w:ascii="Arial" w:hAnsi="Arial" w:cs="Arial"/>
        </w:rPr>
        <w:t xml:space="preserve"> lipogenesis </w:t>
      </w:r>
      <w:r w:rsidR="00D54BF5" w:rsidRPr="00051B46">
        <w:rPr>
          <w:rFonts w:ascii="Arial" w:hAnsi="Arial" w:cs="Arial"/>
        </w:rPr>
        <w:t>(</w:t>
      </w:r>
      <w:r w:rsidR="00BA565E" w:rsidRPr="00051B46">
        <w:rPr>
          <w:rFonts w:ascii="Arial" w:hAnsi="Arial" w:cs="Arial"/>
        </w:rPr>
        <w:t>increased in NASH</w:t>
      </w:r>
      <w:r w:rsidR="00D54BF5" w:rsidRPr="00051B46">
        <w:rPr>
          <w:rFonts w:ascii="Arial" w:hAnsi="Arial" w:cs="Arial"/>
        </w:rPr>
        <w:t xml:space="preserve">) </w:t>
      </w:r>
      <w:r w:rsidR="00FC3B6B" w:rsidRPr="00051B46">
        <w:rPr>
          <w:rFonts w:ascii="Arial" w:hAnsi="Arial" w:cs="Arial"/>
        </w:rPr>
        <w:t xml:space="preserve">by </w:t>
      </w:r>
      <w:r w:rsidR="00D54BF5" w:rsidRPr="00051B46">
        <w:rPr>
          <w:rFonts w:ascii="Arial" w:hAnsi="Arial" w:cs="Arial"/>
        </w:rPr>
        <w:t>an inhibitor of a</w:t>
      </w:r>
      <w:r w:rsidR="00BA565E" w:rsidRPr="00051B46">
        <w:rPr>
          <w:rFonts w:ascii="Arial" w:hAnsi="Arial" w:cs="Arial"/>
        </w:rPr>
        <w:t>cetyl-CoA carboxylase (ACC)</w:t>
      </w:r>
      <w:r w:rsidR="00D54BF5" w:rsidRPr="00051B46">
        <w:rPr>
          <w:rFonts w:ascii="Arial" w:hAnsi="Arial" w:cs="Arial"/>
        </w:rPr>
        <w:t xml:space="preserve">, </w:t>
      </w:r>
      <w:r w:rsidR="00BA565E" w:rsidRPr="00051B46">
        <w:rPr>
          <w:rFonts w:ascii="Arial" w:hAnsi="Arial" w:cs="Arial"/>
        </w:rPr>
        <w:t xml:space="preserve">the rate limiting enzyme in this </w:t>
      </w:r>
      <w:r w:rsidR="00D54BF5" w:rsidRPr="00051B46">
        <w:rPr>
          <w:rFonts w:ascii="Arial" w:hAnsi="Arial" w:cs="Arial"/>
        </w:rPr>
        <w:t>pathway,</w:t>
      </w:r>
      <w:r w:rsidR="00BA565E" w:rsidRPr="00051B46">
        <w:rPr>
          <w:rFonts w:ascii="Arial" w:hAnsi="Arial" w:cs="Arial"/>
        </w:rPr>
        <w:t xml:space="preserve"> </w:t>
      </w:r>
      <w:r w:rsidR="00D54BF5" w:rsidRPr="00051B46">
        <w:rPr>
          <w:rFonts w:ascii="Arial" w:hAnsi="Arial" w:cs="Arial"/>
        </w:rPr>
        <w:t xml:space="preserve">is also being </w:t>
      </w:r>
      <w:r w:rsidR="00BA565E" w:rsidRPr="00051B46">
        <w:rPr>
          <w:rFonts w:ascii="Arial" w:hAnsi="Arial" w:cs="Arial"/>
        </w:rPr>
        <w:t xml:space="preserve">studied in </w:t>
      </w:r>
      <w:r w:rsidR="00D54BF5" w:rsidRPr="00051B46">
        <w:rPr>
          <w:rFonts w:ascii="Arial" w:hAnsi="Arial" w:cs="Arial"/>
        </w:rPr>
        <w:t>RCTs</w:t>
      </w:r>
      <w:r w:rsidR="002C2598" w:rsidRPr="00051B46">
        <w:rPr>
          <w:rFonts w:ascii="Arial" w:hAnsi="Arial" w:cs="Arial"/>
        </w:rPr>
        <w:t xml:space="preserve"> </w:t>
      </w:r>
      <w:r w:rsidR="00D54BF5" w:rsidRPr="00051B46">
        <w:rPr>
          <w:rFonts w:ascii="Arial" w:hAnsi="Arial" w:cs="Arial"/>
        </w:rPr>
        <w:t xml:space="preserve">in </w:t>
      </w:r>
      <w:r w:rsidR="002C2598" w:rsidRPr="00051B46">
        <w:rPr>
          <w:rFonts w:ascii="Arial" w:hAnsi="Arial" w:cs="Arial"/>
        </w:rPr>
        <w:t>patients with NASH</w:t>
      </w:r>
      <w:r w:rsidR="00D54BF5" w:rsidRPr="00051B46">
        <w:rPr>
          <w:rFonts w:ascii="Arial" w:hAnsi="Arial" w:cs="Arial"/>
        </w:rPr>
        <w:t xml:space="preserve"> (GS-0976, Gilead)</w:t>
      </w:r>
      <w:r w:rsidR="00004644" w:rsidRPr="00051B46">
        <w:rPr>
          <w:rFonts w:ascii="Arial" w:hAnsi="Arial" w:cs="Arial"/>
        </w:rPr>
        <w:t xml:space="preserve"> (</w:t>
      </w:r>
      <w:r w:rsidR="001269F0" w:rsidRPr="00051B46">
        <w:rPr>
          <w:rFonts w:ascii="Arial" w:hAnsi="Arial" w:cs="Arial"/>
        </w:rPr>
        <w:t>191,192</w:t>
      </w:r>
      <w:r w:rsidR="00004644" w:rsidRPr="00051B46">
        <w:rPr>
          <w:rFonts w:ascii="Arial" w:hAnsi="Arial" w:cs="Arial"/>
        </w:rPr>
        <w:t>)</w:t>
      </w:r>
      <w:r w:rsidR="002C2598" w:rsidRPr="00051B46">
        <w:rPr>
          <w:rFonts w:ascii="Arial" w:hAnsi="Arial" w:cs="Arial"/>
        </w:rPr>
        <w:t>.</w:t>
      </w:r>
      <w:r w:rsidR="007C6E42" w:rsidRPr="00051B46">
        <w:rPr>
          <w:rFonts w:ascii="Arial" w:hAnsi="Arial" w:cs="Arial"/>
        </w:rPr>
        <w:t xml:space="preserve"> </w:t>
      </w:r>
      <w:r w:rsidR="003B13CF" w:rsidRPr="00051B46">
        <w:rPr>
          <w:rFonts w:ascii="Arial" w:hAnsi="Arial" w:cs="Arial"/>
        </w:rPr>
        <w:t>F</w:t>
      </w:r>
      <w:r w:rsidR="001E06C8" w:rsidRPr="00051B46">
        <w:rPr>
          <w:rFonts w:ascii="Arial" w:hAnsi="Arial" w:cs="Arial"/>
        </w:rPr>
        <w:t>ibroblast growth factor (FGF)-19 functions as a hormone that regulates bile acid metabolism with effects on glucose and lipid metabolism</w:t>
      </w:r>
      <w:r w:rsidR="00004644" w:rsidRPr="00051B46">
        <w:rPr>
          <w:rFonts w:ascii="Arial" w:hAnsi="Arial" w:cs="Arial"/>
        </w:rPr>
        <w:t xml:space="preserve"> (</w:t>
      </w:r>
      <w:r w:rsidR="001269F0" w:rsidRPr="00051B46">
        <w:rPr>
          <w:rFonts w:ascii="Arial" w:hAnsi="Arial" w:cs="Arial"/>
        </w:rPr>
        <w:t>193</w:t>
      </w:r>
      <w:r w:rsidR="00004644" w:rsidRPr="00051B46">
        <w:rPr>
          <w:rFonts w:ascii="Arial" w:hAnsi="Arial" w:cs="Arial"/>
        </w:rPr>
        <w:t>)</w:t>
      </w:r>
      <w:r w:rsidR="001E06C8" w:rsidRPr="00051B46">
        <w:rPr>
          <w:rFonts w:ascii="Arial" w:hAnsi="Arial" w:cs="Arial"/>
        </w:rPr>
        <w:t>.</w:t>
      </w:r>
      <w:r w:rsidR="00FC3B6B" w:rsidRPr="00051B46">
        <w:rPr>
          <w:rFonts w:ascii="Arial" w:hAnsi="Arial" w:cs="Arial"/>
          <w:vertAlign w:val="superscript"/>
        </w:rPr>
        <w:t xml:space="preserve"> </w:t>
      </w:r>
      <w:r w:rsidR="003B13CF" w:rsidRPr="00051B46">
        <w:rPr>
          <w:rFonts w:ascii="Arial" w:hAnsi="Arial" w:cs="Arial"/>
        </w:rPr>
        <w:t>NGM282</w:t>
      </w:r>
      <w:r w:rsidR="00D54BF5" w:rsidRPr="00051B46">
        <w:rPr>
          <w:rFonts w:ascii="Arial" w:hAnsi="Arial" w:cs="Arial"/>
        </w:rPr>
        <w:t xml:space="preserve"> (NGM Biopharmaceuticals)</w:t>
      </w:r>
      <w:r w:rsidR="003B13CF" w:rsidRPr="00051B46">
        <w:rPr>
          <w:rFonts w:ascii="Arial" w:hAnsi="Arial" w:cs="Arial"/>
        </w:rPr>
        <w:t xml:space="preserve"> is an engineered analogue of FGF-19 for the treatment of NASH</w:t>
      </w:r>
      <w:r w:rsidR="00D54BF5" w:rsidRPr="00051B46">
        <w:rPr>
          <w:rFonts w:ascii="Arial" w:hAnsi="Arial" w:cs="Arial"/>
        </w:rPr>
        <w:t xml:space="preserve"> with promising early results</w:t>
      </w:r>
      <w:r w:rsidR="00004644" w:rsidRPr="00051B46">
        <w:rPr>
          <w:rFonts w:ascii="Arial" w:hAnsi="Arial" w:cs="Arial"/>
        </w:rPr>
        <w:t xml:space="preserve"> (</w:t>
      </w:r>
      <w:r w:rsidR="001269F0" w:rsidRPr="00051B46">
        <w:rPr>
          <w:rFonts w:ascii="Arial" w:hAnsi="Arial" w:cs="Arial"/>
        </w:rPr>
        <w:t>194</w:t>
      </w:r>
      <w:r w:rsidR="00004644" w:rsidRPr="00051B46">
        <w:rPr>
          <w:rFonts w:ascii="Arial" w:hAnsi="Arial" w:cs="Arial"/>
        </w:rPr>
        <w:t>)</w:t>
      </w:r>
      <w:r w:rsidR="00D54BF5" w:rsidRPr="00051B46">
        <w:rPr>
          <w:rFonts w:ascii="Arial" w:hAnsi="Arial" w:cs="Arial"/>
        </w:rPr>
        <w:t>. Several companies are testing analogues of FGF21 that have significant metabolic effects on glucose and lipid metabolism as well as hepatic fat</w:t>
      </w:r>
      <w:r w:rsidR="00004644" w:rsidRPr="00051B46">
        <w:rPr>
          <w:rFonts w:ascii="Arial" w:hAnsi="Arial" w:cs="Arial"/>
        </w:rPr>
        <w:t xml:space="preserve"> (</w:t>
      </w:r>
      <w:r w:rsidR="001269F0" w:rsidRPr="00051B46">
        <w:rPr>
          <w:rFonts w:ascii="Arial" w:hAnsi="Arial" w:cs="Arial"/>
        </w:rPr>
        <w:t>180, 181</w:t>
      </w:r>
      <w:r w:rsidR="00004644" w:rsidRPr="00051B46">
        <w:rPr>
          <w:rFonts w:ascii="Arial" w:hAnsi="Arial" w:cs="Arial"/>
        </w:rPr>
        <w:t>)</w:t>
      </w:r>
      <w:r w:rsidR="00D54BF5" w:rsidRPr="00051B46">
        <w:rPr>
          <w:rFonts w:ascii="Arial" w:hAnsi="Arial" w:cs="Arial"/>
        </w:rPr>
        <w:t xml:space="preserve">. </w:t>
      </w:r>
      <w:r w:rsidR="00BB231F" w:rsidRPr="00051B46">
        <w:rPr>
          <w:rFonts w:ascii="Arial" w:hAnsi="Arial" w:cs="Arial"/>
        </w:rPr>
        <w:t>T</w:t>
      </w:r>
      <w:r w:rsidR="0042730B" w:rsidRPr="00051B46">
        <w:rPr>
          <w:rFonts w:ascii="Arial" w:hAnsi="Arial" w:cs="Arial"/>
        </w:rPr>
        <w:t>hyroid hormone receptor (THR) β-selective agonist</w:t>
      </w:r>
      <w:r w:rsidR="00BB231F" w:rsidRPr="00051B46">
        <w:rPr>
          <w:rFonts w:ascii="Arial" w:hAnsi="Arial" w:cs="Arial"/>
        </w:rPr>
        <w:t>s,</w:t>
      </w:r>
      <w:r w:rsidR="0042730B" w:rsidRPr="00051B46">
        <w:rPr>
          <w:rFonts w:ascii="Arial" w:hAnsi="Arial" w:cs="Arial"/>
        </w:rPr>
        <w:t xml:space="preserve"> appear to specifically target the liver and improve steatohepatitis in animal models and early clinical trials in patients with NASH</w:t>
      </w:r>
      <w:r w:rsidR="00004644" w:rsidRPr="00051B46">
        <w:rPr>
          <w:rFonts w:ascii="Arial" w:hAnsi="Arial" w:cs="Arial"/>
        </w:rPr>
        <w:t xml:space="preserve"> (</w:t>
      </w:r>
      <w:r w:rsidR="001269F0" w:rsidRPr="00051B46">
        <w:rPr>
          <w:rFonts w:ascii="Arial" w:hAnsi="Arial" w:cs="Arial"/>
        </w:rPr>
        <w:t>195,196</w:t>
      </w:r>
      <w:r w:rsidR="00004644" w:rsidRPr="00051B46">
        <w:rPr>
          <w:rFonts w:ascii="Arial" w:hAnsi="Arial" w:cs="Arial"/>
        </w:rPr>
        <w:t>)</w:t>
      </w:r>
      <w:r w:rsidR="0042730B" w:rsidRPr="00051B46">
        <w:rPr>
          <w:rFonts w:ascii="Arial" w:hAnsi="Arial" w:cs="Arial"/>
        </w:rPr>
        <w:t>. Many other agents are being tested at this time.</w:t>
      </w:r>
    </w:p>
    <w:p w14:paraId="285C52AC" w14:textId="21F16EAB" w:rsidR="0065251A" w:rsidRPr="00051B46" w:rsidRDefault="0065251A" w:rsidP="002506B3">
      <w:pPr>
        <w:spacing w:after="0" w:line="276" w:lineRule="auto"/>
        <w:rPr>
          <w:rFonts w:ascii="Arial" w:hAnsi="Arial" w:cs="Arial"/>
        </w:rPr>
      </w:pPr>
    </w:p>
    <w:p w14:paraId="7653335A" w14:textId="3EDF0AF7" w:rsidR="0065251A" w:rsidRPr="00051B46" w:rsidRDefault="0065251A" w:rsidP="002506B3">
      <w:pPr>
        <w:spacing w:after="0" w:line="276" w:lineRule="auto"/>
        <w:rPr>
          <w:rFonts w:ascii="Arial" w:hAnsi="Arial" w:cs="Arial"/>
          <w:b/>
        </w:rPr>
      </w:pPr>
      <w:r w:rsidRPr="00051B46">
        <w:rPr>
          <w:rFonts w:ascii="Arial" w:hAnsi="Arial" w:cs="Arial"/>
          <w:b/>
        </w:rPr>
        <w:t>CONCLUSION</w:t>
      </w:r>
    </w:p>
    <w:p w14:paraId="6B66C8B4" w14:textId="77777777" w:rsidR="00004644" w:rsidRPr="00051B46" w:rsidRDefault="00004644" w:rsidP="002506B3">
      <w:pPr>
        <w:spacing w:after="0" w:line="276" w:lineRule="auto"/>
        <w:rPr>
          <w:rFonts w:ascii="Arial" w:hAnsi="Arial" w:cs="Arial"/>
        </w:rPr>
      </w:pPr>
    </w:p>
    <w:p w14:paraId="58E42DB8" w14:textId="3443C661" w:rsidR="002C2598" w:rsidRPr="00051B46" w:rsidRDefault="00DE62A6" w:rsidP="002506B3">
      <w:pPr>
        <w:spacing w:after="0" w:line="276" w:lineRule="auto"/>
        <w:rPr>
          <w:rFonts w:ascii="Arial" w:hAnsi="Arial" w:cs="Arial"/>
        </w:rPr>
      </w:pPr>
      <w:r w:rsidRPr="00051B46">
        <w:rPr>
          <w:rFonts w:ascii="Arial" w:hAnsi="Arial" w:cs="Arial"/>
        </w:rPr>
        <w:t>E</w:t>
      </w:r>
      <w:r w:rsidR="0065251A" w:rsidRPr="00051B46">
        <w:rPr>
          <w:rFonts w:ascii="Arial" w:hAnsi="Arial" w:cs="Arial"/>
        </w:rPr>
        <w:t xml:space="preserve">ndocrinologists </w:t>
      </w:r>
      <w:r w:rsidRPr="00051B46">
        <w:rPr>
          <w:rFonts w:ascii="Arial" w:hAnsi="Arial" w:cs="Arial"/>
        </w:rPr>
        <w:t>must</w:t>
      </w:r>
      <w:r w:rsidR="0065251A" w:rsidRPr="00051B46">
        <w:rPr>
          <w:rFonts w:ascii="Arial" w:hAnsi="Arial" w:cs="Arial"/>
        </w:rPr>
        <w:t xml:space="preserve"> be aware that NAFLD is a potentially severe </w:t>
      </w:r>
      <w:r w:rsidRPr="00051B46">
        <w:rPr>
          <w:rFonts w:ascii="Arial" w:hAnsi="Arial" w:cs="Arial"/>
        </w:rPr>
        <w:t>disease in patients with</w:t>
      </w:r>
      <w:r w:rsidR="0065251A" w:rsidRPr="00051B46">
        <w:rPr>
          <w:rFonts w:ascii="Arial" w:hAnsi="Arial" w:cs="Arial"/>
        </w:rPr>
        <w:t xml:space="preserve"> </w:t>
      </w:r>
      <w:r w:rsidRPr="00051B46">
        <w:rPr>
          <w:rFonts w:ascii="Arial" w:hAnsi="Arial" w:cs="Arial"/>
        </w:rPr>
        <w:t xml:space="preserve">T2DM, </w:t>
      </w:r>
      <w:r w:rsidR="00BF46E4" w:rsidRPr="00051B46">
        <w:rPr>
          <w:rFonts w:ascii="Arial" w:hAnsi="Arial" w:cs="Arial"/>
        </w:rPr>
        <w:t xml:space="preserve">due to </w:t>
      </w:r>
      <w:r w:rsidRPr="00051B46">
        <w:rPr>
          <w:rFonts w:ascii="Arial" w:hAnsi="Arial" w:cs="Arial"/>
        </w:rPr>
        <w:t>both its hepatic and extrahepatic complications.</w:t>
      </w:r>
      <w:r w:rsidR="0065251A" w:rsidRPr="00051B46">
        <w:rPr>
          <w:rFonts w:ascii="Arial" w:hAnsi="Arial" w:cs="Arial"/>
        </w:rPr>
        <w:t xml:space="preserve"> </w:t>
      </w:r>
      <w:r w:rsidRPr="00051B46">
        <w:rPr>
          <w:rFonts w:ascii="Arial" w:hAnsi="Arial" w:cs="Arial"/>
        </w:rPr>
        <w:t xml:space="preserve"> In 2019 the ADA included for the first time in its recommendations to implement</w:t>
      </w:r>
      <w:r w:rsidR="0065251A" w:rsidRPr="00051B46">
        <w:rPr>
          <w:rFonts w:ascii="Arial" w:hAnsi="Arial" w:cs="Arial"/>
        </w:rPr>
        <w:t xml:space="preserve"> regular screening </w:t>
      </w:r>
      <w:r w:rsidRPr="00051B46">
        <w:rPr>
          <w:rFonts w:ascii="Arial" w:hAnsi="Arial" w:cs="Arial"/>
        </w:rPr>
        <w:t xml:space="preserve">for advanced fibrosis in </w:t>
      </w:r>
      <w:r w:rsidRPr="00051B46">
        <w:rPr>
          <w:rFonts w:ascii="Arial" w:hAnsi="Arial" w:cs="Arial"/>
        </w:rPr>
        <w:lastRenderedPageBreak/>
        <w:t xml:space="preserve">all patients with prediabetes or </w:t>
      </w:r>
      <w:r w:rsidR="00353006" w:rsidRPr="00051B46">
        <w:rPr>
          <w:rFonts w:ascii="Arial" w:hAnsi="Arial" w:cs="Arial"/>
        </w:rPr>
        <w:t>T</w:t>
      </w:r>
      <w:r w:rsidRPr="00051B46">
        <w:rPr>
          <w:rFonts w:ascii="Arial" w:hAnsi="Arial" w:cs="Arial"/>
        </w:rPr>
        <w:t xml:space="preserve">2DM with evidence of elevated plasma aminotransferases or steatosis, so an early </w:t>
      </w:r>
      <w:r w:rsidR="0065251A" w:rsidRPr="00051B46">
        <w:rPr>
          <w:rFonts w:ascii="Arial" w:hAnsi="Arial" w:cs="Arial"/>
        </w:rPr>
        <w:t>diagnos</w:t>
      </w:r>
      <w:r w:rsidRPr="00051B46">
        <w:rPr>
          <w:rFonts w:ascii="Arial" w:hAnsi="Arial" w:cs="Arial"/>
        </w:rPr>
        <w:t>is</w:t>
      </w:r>
      <w:r w:rsidR="0065251A" w:rsidRPr="00051B46">
        <w:rPr>
          <w:rFonts w:ascii="Arial" w:hAnsi="Arial" w:cs="Arial"/>
        </w:rPr>
        <w:t xml:space="preserve"> </w:t>
      </w:r>
      <w:r w:rsidRPr="00051B46">
        <w:rPr>
          <w:rFonts w:ascii="Arial" w:hAnsi="Arial" w:cs="Arial"/>
        </w:rPr>
        <w:t>can prevent long-term complications</w:t>
      </w:r>
      <w:r w:rsidR="00004644" w:rsidRPr="00051B46">
        <w:rPr>
          <w:rFonts w:ascii="Arial" w:hAnsi="Arial" w:cs="Arial"/>
        </w:rPr>
        <w:t xml:space="preserve"> (</w:t>
      </w:r>
      <w:r w:rsidR="008A4F8A" w:rsidRPr="00051B46">
        <w:rPr>
          <w:rFonts w:ascii="Arial" w:hAnsi="Arial" w:cs="Arial"/>
        </w:rPr>
        <w:t>118</w:t>
      </w:r>
      <w:r w:rsidR="00004644" w:rsidRPr="00051B46">
        <w:rPr>
          <w:rFonts w:ascii="Arial" w:hAnsi="Arial" w:cs="Arial"/>
        </w:rPr>
        <w:t>)</w:t>
      </w:r>
      <w:r w:rsidR="0065251A" w:rsidRPr="00051B46">
        <w:rPr>
          <w:rFonts w:ascii="Arial" w:hAnsi="Arial" w:cs="Arial"/>
        </w:rPr>
        <w:t>.</w:t>
      </w:r>
      <w:r w:rsidR="00182018" w:rsidRPr="00051B46">
        <w:rPr>
          <w:rFonts w:ascii="Arial" w:hAnsi="Arial" w:cs="Arial"/>
          <w:vertAlign w:val="superscript"/>
        </w:rPr>
        <w:t xml:space="preserve"> </w:t>
      </w:r>
      <w:r w:rsidRPr="00051B46">
        <w:rPr>
          <w:rFonts w:ascii="Arial" w:hAnsi="Arial" w:cs="Arial"/>
        </w:rPr>
        <w:t>This is the first step of management while being aware of</w:t>
      </w:r>
      <w:r w:rsidR="0065251A" w:rsidRPr="00051B46">
        <w:rPr>
          <w:rFonts w:ascii="Arial" w:hAnsi="Arial" w:cs="Arial"/>
        </w:rPr>
        <w:t xml:space="preserve"> </w:t>
      </w:r>
      <w:r w:rsidRPr="00051B46">
        <w:rPr>
          <w:rFonts w:ascii="Arial" w:hAnsi="Arial" w:cs="Arial"/>
        </w:rPr>
        <w:t>the</w:t>
      </w:r>
      <w:r w:rsidR="0065251A" w:rsidRPr="00051B46">
        <w:rPr>
          <w:rFonts w:ascii="Arial" w:hAnsi="Arial" w:cs="Arial"/>
        </w:rPr>
        <w:t xml:space="preserve"> significant need for accurate and cost-effective diagnostic modalities and for continued research efforts for new treatments. </w:t>
      </w:r>
    </w:p>
    <w:p w14:paraId="3767E41F" w14:textId="77777777" w:rsidR="00182018" w:rsidRPr="00051B46" w:rsidRDefault="00DE62A6" w:rsidP="002506B3">
      <w:pPr>
        <w:spacing w:after="0" w:line="276" w:lineRule="auto"/>
        <w:rPr>
          <w:rFonts w:ascii="Arial" w:hAnsi="Arial" w:cs="Arial"/>
        </w:rPr>
      </w:pPr>
      <w:r w:rsidRPr="00690F26">
        <w:rPr>
          <w:rFonts w:ascii="Arial" w:hAnsi="Arial" w:cs="Arial"/>
          <w:bCs/>
        </w:rPr>
        <w:t>Figure 3</w:t>
      </w:r>
      <w:r w:rsidRPr="00051B46">
        <w:rPr>
          <w:rFonts w:ascii="Arial" w:hAnsi="Arial" w:cs="Arial"/>
          <w:bCs/>
        </w:rPr>
        <w:t xml:space="preserve"> is a </w:t>
      </w:r>
      <w:r w:rsidR="002D5E50" w:rsidRPr="00051B46">
        <w:rPr>
          <w:rFonts w:ascii="Arial" w:hAnsi="Arial" w:cs="Arial"/>
        </w:rPr>
        <w:t>suggest</w:t>
      </w:r>
      <w:r w:rsidRPr="00051B46">
        <w:rPr>
          <w:rFonts w:ascii="Arial" w:hAnsi="Arial" w:cs="Arial"/>
        </w:rPr>
        <w:t xml:space="preserve">ed </w:t>
      </w:r>
      <w:r w:rsidR="002D5E50" w:rsidRPr="00051B46">
        <w:rPr>
          <w:rFonts w:ascii="Arial" w:hAnsi="Arial" w:cs="Arial"/>
        </w:rPr>
        <w:t xml:space="preserve">algorithm </w:t>
      </w:r>
      <w:r w:rsidRPr="00051B46">
        <w:rPr>
          <w:rFonts w:ascii="Arial" w:hAnsi="Arial" w:cs="Arial"/>
        </w:rPr>
        <w:t xml:space="preserve">to </w:t>
      </w:r>
      <w:r w:rsidR="002D5E50" w:rsidRPr="00051B46">
        <w:rPr>
          <w:rFonts w:ascii="Arial" w:hAnsi="Arial" w:cs="Arial"/>
        </w:rPr>
        <w:t xml:space="preserve">be used </w:t>
      </w:r>
      <w:r w:rsidRPr="00051B46">
        <w:rPr>
          <w:rFonts w:ascii="Arial" w:hAnsi="Arial" w:cs="Arial"/>
        </w:rPr>
        <w:t xml:space="preserve">for endocrinologists and primary care settings </w:t>
      </w:r>
      <w:r w:rsidR="002D5E50" w:rsidRPr="00051B46">
        <w:rPr>
          <w:rFonts w:ascii="Arial" w:hAnsi="Arial" w:cs="Arial"/>
        </w:rPr>
        <w:t xml:space="preserve">when </w:t>
      </w:r>
      <w:r w:rsidR="00914FA2" w:rsidRPr="00051B46">
        <w:rPr>
          <w:rFonts w:ascii="Arial" w:hAnsi="Arial" w:cs="Arial"/>
        </w:rPr>
        <w:t xml:space="preserve">evaluating </w:t>
      </w:r>
      <w:r w:rsidR="002D5E50" w:rsidRPr="00051B46">
        <w:rPr>
          <w:rFonts w:ascii="Arial" w:hAnsi="Arial" w:cs="Arial"/>
        </w:rPr>
        <w:t xml:space="preserve">a patient with prediabetes or </w:t>
      </w:r>
      <w:r w:rsidRPr="00051B46">
        <w:rPr>
          <w:rFonts w:ascii="Arial" w:hAnsi="Arial" w:cs="Arial"/>
        </w:rPr>
        <w:t>T2DM for the possibil</w:t>
      </w:r>
      <w:r w:rsidR="00CC2F30" w:rsidRPr="00051B46">
        <w:rPr>
          <w:rFonts w:ascii="Arial" w:hAnsi="Arial" w:cs="Arial"/>
        </w:rPr>
        <w:t>i</w:t>
      </w:r>
      <w:r w:rsidRPr="00051B46">
        <w:rPr>
          <w:rFonts w:ascii="Arial" w:hAnsi="Arial" w:cs="Arial"/>
        </w:rPr>
        <w:t xml:space="preserve">ty of having NASH.  </w:t>
      </w:r>
    </w:p>
    <w:p w14:paraId="3384A7DF" w14:textId="71FAA3B9" w:rsidR="00042AEB" w:rsidRPr="00051B46" w:rsidRDefault="00DE62A6" w:rsidP="002506B3">
      <w:pPr>
        <w:spacing w:after="0" w:line="276" w:lineRule="auto"/>
        <w:rPr>
          <w:rFonts w:ascii="Arial" w:hAnsi="Arial" w:cs="Arial"/>
        </w:rPr>
      </w:pPr>
      <w:r w:rsidRPr="00051B46">
        <w:rPr>
          <w:rFonts w:ascii="Arial" w:hAnsi="Arial" w:cs="Arial"/>
        </w:rPr>
        <w:t>In the future, we anticipate that patients with T2DM will be routinely screened for NASH in the same way they are today for diabetic retinopathy or nephropathy.</w:t>
      </w:r>
    </w:p>
    <w:p w14:paraId="558A94B3" w14:textId="15A57F48" w:rsidR="00042AEB" w:rsidRPr="00051B46" w:rsidRDefault="00042AEB" w:rsidP="002506B3">
      <w:pPr>
        <w:spacing w:after="0" w:line="276" w:lineRule="auto"/>
        <w:rPr>
          <w:rFonts w:ascii="Arial" w:hAnsi="Arial" w:cs="Arial"/>
          <w:noProof/>
          <w:vertAlign w:val="superscript"/>
        </w:rPr>
      </w:pPr>
    </w:p>
    <w:p w14:paraId="0910A4AF" w14:textId="32B60EE2" w:rsidR="00E81F00" w:rsidRPr="00051B46" w:rsidRDefault="00E81F00" w:rsidP="002506B3">
      <w:pPr>
        <w:spacing w:after="0" w:line="276" w:lineRule="auto"/>
        <w:rPr>
          <w:rFonts w:ascii="Arial" w:hAnsi="Arial" w:cs="Arial"/>
          <w:vertAlign w:val="superscript"/>
        </w:rPr>
      </w:pPr>
      <w:r w:rsidRPr="00051B46">
        <w:rPr>
          <w:rFonts w:ascii="Arial" w:hAnsi="Arial" w:cs="Arial"/>
          <w:noProof/>
          <w:vertAlign w:val="superscript"/>
        </w:rPr>
        <w:drawing>
          <wp:inline distT="0" distB="0" distL="0" distR="0" wp14:anchorId="0D65CE52" wp14:editId="76119C4B">
            <wp:extent cx="5731510" cy="32600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0"/>
                    <a:stretch>
                      <a:fillRect/>
                    </a:stretch>
                  </pic:blipFill>
                  <pic:spPr>
                    <a:xfrm>
                      <a:off x="0" y="0"/>
                      <a:ext cx="5731510" cy="3260090"/>
                    </a:xfrm>
                    <a:prstGeom prst="rect">
                      <a:avLst/>
                    </a:prstGeom>
                  </pic:spPr>
                </pic:pic>
              </a:graphicData>
            </a:graphic>
          </wp:inline>
        </w:drawing>
      </w:r>
    </w:p>
    <w:p w14:paraId="17C88715" w14:textId="77777777" w:rsidR="008A4F8A" w:rsidRPr="00051B46" w:rsidRDefault="008A4F8A" w:rsidP="002506B3">
      <w:pPr>
        <w:spacing w:after="0" w:line="276" w:lineRule="auto"/>
        <w:rPr>
          <w:rFonts w:ascii="Arial" w:hAnsi="Arial" w:cs="Arial"/>
          <w:b/>
          <w:bCs/>
        </w:rPr>
      </w:pPr>
    </w:p>
    <w:p w14:paraId="3F45CF30" w14:textId="17F0971A" w:rsidR="00557F7D" w:rsidRDefault="002D5E50" w:rsidP="002506B3">
      <w:pPr>
        <w:spacing w:after="0" w:line="276" w:lineRule="auto"/>
        <w:rPr>
          <w:rFonts w:ascii="Arial" w:hAnsi="Arial" w:cs="Arial"/>
          <w:b/>
          <w:bCs/>
        </w:rPr>
      </w:pPr>
      <w:r w:rsidRPr="00051B46">
        <w:rPr>
          <w:rFonts w:ascii="Arial" w:hAnsi="Arial" w:cs="Arial"/>
          <w:b/>
          <w:bCs/>
        </w:rPr>
        <w:t>Figure 3</w:t>
      </w:r>
      <w:r w:rsidR="00E97379" w:rsidRPr="00051B46">
        <w:rPr>
          <w:rFonts w:ascii="Arial" w:hAnsi="Arial" w:cs="Arial"/>
          <w:b/>
          <w:bCs/>
        </w:rPr>
        <w:t>.</w:t>
      </w:r>
      <w:r w:rsidRPr="00051B46">
        <w:rPr>
          <w:rFonts w:ascii="Arial" w:hAnsi="Arial" w:cs="Arial"/>
        </w:rPr>
        <w:t xml:space="preserve"> </w:t>
      </w:r>
      <w:r w:rsidR="00AF5916" w:rsidRPr="00690F26">
        <w:rPr>
          <w:rFonts w:ascii="Arial" w:hAnsi="Arial" w:cs="Arial"/>
          <w:b/>
          <w:bCs/>
        </w:rPr>
        <w:t>M</w:t>
      </w:r>
      <w:r w:rsidRPr="00690F26">
        <w:rPr>
          <w:rFonts w:ascii="Arial" w:hAnsi="Arial" w:cs="Arial"/>
          <w:b/>
          <w:bCs/>
        </w:rPr>
        <w:t>anagement of patients with prediabetes or type 2 diabetes mellitus</w:t>
      </w:r>
      <w:r w:rsidR="00AF5916" w:rsidRPr="00690F26">
        <w:rPr>
          <w:rFonts w:ascii="Arial" w:hAnsi="Arial" w:cs="Arial"/>
          <w:b/>
          <w:bCs/>
        </w:rPr>
        <w:t xml:space="preserve"> and suspected NAFLD</w:t>
      </w:r>
      <w:r w:rsidR="00E81F00" w:rsidRPr="00690F26">
        <w:rPr>
          <w:rFonts w:ascii="Arial" w:hAnsi="Arial" w:cs="Arial"/>
          <w:b/>
          <w:bCs/>
        </w:rPr>
        <w:t>. Based on figure from reference</w:t>
      </w:r>
      <w:r w:rsidR="00397169" w:rsidRPr="00690F26">
        <w:rPr>
          <w:rFonts w:ascii="Arial" w:hAnsi="Arial" w:cs="Arial"/>
          <w:b/>
          <w:bCs/>
        </w:rPr>
        <w:t xml:space="preserve"> (8)</w:t>
      </w:r>
      <w:r w:rsidR="00E81F00" w:rsidRPr="00690F26">
        <w:rPr>
          <w:rFonts w:ascii="Arial" w:hAnsi="Arial" w:cs="Arial"/>
          <w:b/>
          <w:bCs/>
        </w:rPr>
        <w:t>.</w:t>
      </w:r>
      <w:r w:rsidR="00690F26">
        <w:rPr>
          <w:rFonts w:ascii="Arial" w:hAnsi="Arial" w:cs="Arial"/>
          <w:b/>
          <w:bCs/>
        </w:rPr>
        <w:t xml:space="preserve"> </w:t>
      </w:r>
      <w:r w:rsidRPr="00690F26">
        <w:rPr>
          <w:rFonts w:ascii="Arial" w:hAnsi="Arial" w:cs="Arial"/>
          <w:b/>
          <w:bCs/>
        </w:rPr>
        <w:t>*</w:t>
      </w:r>
      <w:r w:rsidR="00E81F00" w:rsidRPr="00690F26">
        <w:rPr>
          <w:rFonts w:ascii="Arial" w:hAnsi="Arial" w:cs="Arial"/>
          <w:b/>
          <w:bCs/>
        </w:rPr>
        <w:t>High risk patients include patients with type 2 diabetes &gt; 10 years, A1c &gt; 8.5%, triglycerides &gt; 250mg/dl, evidence of steatosis based on MR imaging or controlled attenuation parameter (CAP), or genetic testing (</w:t>
      </w:r>
      <w:r w:rsidRPr="00690F26">
        <w:rPr>
          <w:rFonts w:ascii="Arial" w:hAnsi="Arial" w:cs="Arial"/>
          <w:b/>
          <w:bCs/>
        </w:rPr>
        <w:t>PNPLA3 and/or TM6SF2</w:t>
      </w:r>
      <w:r w:rsidR="00E81F00" w:rsidRPr="00690F26">
        <w:rPr>
          <w:rFonts w:ascii="Arial" w:hAnsi="Arial" w:cs="Arial"/>
          <w:b/>
          <w:bCs/>
        </w:rPr>
        <w:t>)</w:t>
      </w:r>
      <w:r w:rsidRPr="00690F26">
        <w:rPr>
          <w:rFonts w:ascii="Arial" w:hAnsi="Arial" w:cs="Arial"/>
          <w:b/>
          <w:bCs/>
        </w:rPr>
        <w:t>.</w:t>
      </w:r>
    </w:p>
    <w:p w14:paraId="03E17D4B" w14:textId="7C905D3D" w:rsidR="00690F26" w:rsidRDefault="00690F26" w:rsidP="002506B3">
      <w:pPr>
        <w:spacing w:after="0" w:line="276" w:lineRule="auto"/>
        <w:rPr>
          <w:rFonts w:ascii="Arial" w:hAnsi="Arial" w:cs="Arial"/>
          <w:b/>
          <w:bCs/>
        </w:rPr>
      </w:pPr>
    </w:p>
    <w:p w14:paraId="7B895EF8" w14:textId="67C1945D" w:rsidR="00682DBD" w:rsidRPr="00051B46" w:rsidRDefault="00557F7D" w:rsidP="002506B3">
      <w:pPr>
        <w:spacing w:after="0" w:line="276" w:lineRule="auto"/>
        <w:rPr>
          <w:rFonts w:ascii="Arial" w:hAnsi="Arial" w:cs="Arial"/>
          <w:b/>
          <w:bCs/>
        </w:rPr>
      </w:pPr>
      <w:r w:rsidRPr="00051B46">
        <w:rPr>
          <w:rFonts w:ascii="Arial" w:hAnsi="Arial" w:cs="Arial"/>
          <w:b/>
          <w:bCs/>
        </w:rPr>
        <w:t>R</w:t>
      </w:r>
      <w:r w:rsidR="000B5B2F" w:rsidRPr="00051B46">
        <w:rPr>
          <w:rFonts w:ascii="Arial" w:hAnsi="Arial" w:cs="Arial"/>
          <w:b/>
          <w:bCs/>
        </w:rPr>
        <w:t>EFERENCES</w:t>
      </w:r>
    </w:p>
    <w:p w14:paraId="0865B4AA" w14:textId="47FD395E" w:rsidR="000B5B2F" w:rsidRPr="00051B46" w:rsidRDefault="000B5B2F" w:rsidP="002506B3">
      <w:pPr>
        <w:spacing w:after="0" w:line="276" w:lineRule="auto"/>
        <w:rPr>
          <w:rFonts w:ascii="Arial" w:hAnsi="Arial" w:cs="Arial"/>
          <w:b/>
          <w:bCs/>
        </w:rPr>
      </w:pPr>
    </w:p>
    <w:p w14:paraId="562CD288"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 </w:t>
      </w:r>
      <w:r w:rsidRPr="00051B46">
        <w:rPr>
          <w:rFonts w:ascii="Arial" w:hAnsi="Arial" w:cs="Arial"/>
        </w:rPr>
        <w:tab/>
        <w:t xml:space="preserve">Wainwright P, </w:t>
      </w:r>
      <w:proofErr w:type="spellStart"/>
      <w:r w:rsidRPr="00051B46">
        <w:rPr>
          <w:rFonts w:ascii="Arial" w:hAnsi="Arial" w:cs="Arial"/>
        </w:rPr>
        <w:t>Scorletti</w:t>
      </w:r>
      <w:proofErr w:type="spellEnd"/>
      <w:r w:rsidRPr="00051B46">
        <w:rPr>
          <w:rFonts w:ascii="Arial" w:hAnsi="Arial" w:cs="Arial"/>
        </w:rPr>
        <w:t xml:space="preserve"> E, Byrne CD. Type 2 diabetes and hepatocellular carcinoma: risk factors and pathogenesis. </w:t>
      </w:r>
      <w:proofErr w:type="spellStart"/>
      <w:r w:rsidRPr="00051B46">
        <w:rPr>
          <w:rFonts w:ascii="Arial" w:hAnsi="Arial" w:cs="Arial"/>
        </w:rPr>
        <w:t>Curr</w:t>
      </w:r>
      <w:proofErr w:type="spellEnd"/>
      <w:r w:rsidRPr="00051B46">
        <w:rPr>
          <w:rFonts w:ascii="Arial" w:hAnsi="Arial" w:cs="Arial"/>
        </w:rPr>
        <w:t xml:space="preserve"> Diab Rep. </w:t>
      </w:r>
      <w:proofErr w:type="gramStart"/>
      <w:r w:rsidRPr="00051B46">
        <w:rPr>
          <w:rFonts w:ascii="Arial" w:hAnsi="Arial" w:cs="Arial"/>
        </w:rPr>
        <w:t>2017;17:20</w:t>
      </w:r>
      <w:proofErr w:type="gramEnd"/>
      <w:r w:rsidRPr="00051B46">
        <w:rPr>
          <w:rFonts w:ascii="Arial" w:hAnsi="Arial" w:cs="Arial"/>
        </w:rPr>
        <w:t>.</w:t>
      </w:r>
    </w:p>
    <w:p w14:paraId="10958D31"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2. </w:t>
      </w:r>
      <w:r w:rsidRPr="00051B46">
        <w:rPr>
          <w:rFonts w:ascii="Arial" w:hAnsi="Arial" w:cs="Arial"/>
        </w:rPr>
        <w:tab/>
      </w:r>
      <w:proofErr w:type="spellStart"/>
      <w:r w:rsidRPr="00051B46">
        <w:rPr>
          <w:rFonts w:ascii="Arial" w:hAnsi="Arial" w:cs="Arial"/>
        </w:rPr>
        <w:t>Lallukka</w:t>
      </w:r>
      <w:proofErr w:type="spellEnd"/>
      <w:r w:rsidRPr="00051B46">
        <w:rPr>
          <w:rFonts w:ascii="Arial" w:hAnsi="Arial" w:cs="Arial"/>
        </w:rPr>
        <w:t xml:space="preserve"> S, </w:t>
      </w:r>
      <w:proofErr w:type="spellStart"/>
      <w:r w:rsidRPr="00051B46">
        <w:rPr>
          <w:rFonts w:ascii="Arial" w:hAnsi="Arial" w:cs="Arial"/>
        </w:rPr>
        <w:t>Yki-Järvinen</w:t>
      </w:r>
      <w:proofErr w:type="spellEnd"/>
      <w:r w:rsidRPr="00051B46">
        <w:rPr>
          <w:rFonts w:ascii="Arial" w:hAnsi="Arial" w:cs="Arial"/>
        </w:rPr>
        <w:t xml:space="preserve"> H. Non-alcoholic fatty liver disease and risk of type 2 diabetes. Best </w:t>
      </w:r>
      <w:proofErr w:type="spellStart"/>
      <w:r w:rsidRPr="00051B46">
        <w:rPr>
          <w:rFonts w:ascii="Arial" w:hAnsi="Arial" w:cs="Arial"/>
        </w:rPr>
        <w:t>Pract</w:t>
      </w:r>
      <w:proofErr w:type="spellEnd"/>
      <w:r w:rsidRPr="00051B46">
        <w:rPr>
          <w:rFonts w:ascii="Arial" w:hAnsi="Arial" w:cs="Arial"/>
        </w:rPr>
        <w:t xml:space="preserve"> Res Clin Endocrinol </w:t>
      </w:r>
      <w:proofErr w:type="spellStart"/>
      <w:r w:rsidRPr="00051B46">
        <w:rPr>
          <w:rFonts w:ascii="Arial" w:hAnsi="Arial" w:cs="Arial"/>
        </w:rPr>
        <w:t>Metab</w:t>
      </w:r>
      <w:proofErr w:type="spellEnd"/>
      <w:r w:rsidRPr="00051B46">
        <w:rPr>
          <w:rFonts w:ascii="Arial" w:hAnsi="Arial" w:cs="Arial"/>
        </w:rPr>
        <w:t xml:space="preserve">. </w:t>
      </w:r>
      <w:proofErr w:type="gramStart"/>
      <w:r w:rsidRPr="00051B46">
        <w:rPr>
          <w:rFonts w:ascii="Arial" w:hAnsi="Arial" w:cs="Arial"/>
        </w:rPr>
        <w:t>2016;30:385</w:t>
      </w:r>
      <w:proofErr w:type="gramEnd"/>
      <w:r w:rsidRPr="00051B46">
        <w:rPr>
          <w:rFonts w:ascii="Arial" w:hAnsi="Arial" w:cs="Arial"/>
        </w:rPr>
        <w:t>-95.</w:t>
      </w:r>
    </w:p>
    <w:p w14:paraId="545645D9"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 </w:t>
      </w:r>
      <w:r w:rsidRPr="00051B46">
        <w:rPr>
          <w:rFonts w:ascii="Arial" w:hAnsi="Arial" w:cs="Arial"/>
        </w:rPr>
        <w:tab/>
      </w:r>
      <w:proofErr w:type="spellStart"/>
      <w:r w:rsidRPr="00051B46">
        <w:rPr>
          <w:rFonts w:ascii="Arial" w:hAnsi="Arial" w:cs="Arial"/>
        </w:rPr>
        <w:t>Lomonaco</w:t>
      </w:r>
      <w:proofErr w:type="spellEnd"/>
      <w:r w:rsidRPr="00051B46">
        <w:rPr>
          <w:rFonts w:ascii="Arial" w:hAnsi="Arial" w:cs="Arial"/>
        </w:rPr>
        <w:t xml:space="preserve"> R, </w:t>
      </w:r>
      <w:proofErr w:type="spellStart"/>
      <w:r w:rsidRPr="00051B46">
        <w:rPr>
          <w:rFonts w:ascii="Arial" w:hAnsi="Arial" w:cs="Arial"/>
        </w:rPr>
        <w:t>Bril</w:t>
      </w:r>
      <w:proofErr w:type="spellEnd"/>
      <w:r w:rsidRPr="00051B46">
        <w:rPr>
          <w:rFonts w:ascii="Arial" w:hAnsi="Arial" w:cs="Arial"/>
        </w:rPr>
        <w:t xml:space="preserve"> F, Portillo-Sanchez P, et al. Metabolic impact of nonalcoholic steatohepatitis in obese patients with type 2 diabetes. Diabetes Care. </w:t>
      </w:r>
      <w:proofErr w:type="gramStart"/>
      <w:r w:rsidRPr="00051B46">
        <w:rPr>
          <w:rFonts w:ascii="Arial" w:hAnsi="Arial" w:cs="Arial"/>
        </w:rPr>
        <w:t>2016;39:632</w:t>
      </w:r>
      <w:proofErr w:type="gramEnd"/>
      <w:r w:rsidRPr="00051B46">
        <w:rPr>
          <w:rFonts w:ascii="Arial" w:hAnsi="Arial" w:cs="Arial"/>
        </w:rPr>
        <w:t>-8.</w:t>
      </w:r>
    </w:p>
    <w:p w14:paraId="0CC286C1"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 </w:t>
      </w:r>
      <w:r w:rsidRPr="00051B46">
        <w:rPr>
          <w:rFonts w:ascii="Arial" w:hAnsi="Arial" w:cs="Arial"/>
        </w:rPr>
        <w:tab/>
      </w:r>
      <w:proofErr w:type="spellStart"/>
      <w:r w:rsidRPr="00051B46">
        <w:rPr>
          <w:rFonts w:ascii="Arial" w:hAnsi="Arial" w:cs="Arial"/>
        </w:rPr>
        <w:t>Francque</w:t>
      </w:r>
      <w:proofErr w:type="spellEnd"/>
      <w:r w:rsidRPr="00051B46">
        <w:rPr>
          <w:rFonts w:ascii="Arial" w:hAnsi="Arial" w:cs="Arial"/>
        </w:rPr>
        <w:t xml:space="preserve"> SM, van der Graaff D, </w:t>
      </w:r>
      <w:proofErr w:type="spellStart"/>
      <w:r w:rsidRPr="00051B46">
        <w:rPr>
          <w:rFonts w:ascii="Arial" w:hAnsi="Arial" w:cs="Arial"/>
        </w:rPr>
        <w:t>Kwanten</w:t>
      </w:r>
      <w:proofErr w:type="spellEnd"/>
      <w:r w:rsidRPr="00051B46">
        <w:rPr>
          <w:rFonts w:ascii="Arial" w:hAnsi="Arial" w:cs="Arial"/>
        </w:rPr>
        <w:t xml:space="preserve"> WJ. Non-alcoholic fatty liver disease and cardiovascular risk: pathophysiological mechanisms and implications. J </w:t>
      </w:r>
      <w:proofErr w:type="spellStart"/>
      <w:r w:rsidRPr="00051B46">
        <w:rPr>
          <w:rFonts w:ascii="Arial" w:hAnsi="Arial" w:cs="Arial"/>
        </w:rPr>
        <w:t>Hepatol</w:t>
      </w:r>
      <w:proofErr w:type="spellEnd"/>
      <w:r w:rsidRPr="00051B46">
        <w:rPr>
          <w:rFonts w:ascii="Arial" w:hAnsi="Arial" w:cs="Arial"/>
        </w:rPr>
        <w:t>. 2016; 65:425-43</w:t>
      </w:r>
    </w:p>
    <w:p w14:paraId="1DB84354"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 </w:t>
      </w:r>
      <w:r w:rsidRPr="00051B46">
        <w:rPr>
          <w:rFonts w:ascii="Arial" w:hAnsi="Arial" w:cs="Arial"/>
        </w:rPr>
        <w:tab/>
        <w:t xml:space="preserve">Mathews SE, Kumar RB, Shukla AP. Nonalcoholic steatohepatitis, obesity, and cardiac dysfunction. </w:t>
      </w:r>
      <w:proofErr w:type="spellStart"/>
      <w:r w:rsidRPr="00051B46">
        <w:rPr>
          <w:rFonts w:ascii="Arial" w:hAnsi="Arial" w:cs="Arial"/>
        </w:rPr>
        <w:t>Curr</w:t>
      </w:r>
      <w:proofErr w:type="spellEnd"/>
      <w:r w:rsidRPr="00051B46">
        <w:rPr>
          <w:rFonts w:ascii="Arial" w:hAnsi="Arial" w:cs="Arial"/>
        </w:rPr>
        <w:t xml:space="preserve"> </w:t>
      </w:r>
      <w:proofErr w:type="spellStart"/>
      <w:r w:rsidRPr="00051B46">
        <w:rPr>
          <w:rFonts w:ascii="Arial" w:hAnsi="Arial" w:cs="Arial"/>
        </w:rPr>
        <w:t>Opin</w:t>
      </w:r>
      <w:proofErr w:type="spellEnd"/>
      <w:r w:rsidRPr="00051B46">
        <w:rPr>
          <w:rFonts w:ascii="Arial" w:hAnsi="Arial" w:cs="Arial"/>
        </w:rPr>
        <w:t xml:space="preserve"> Endocrinol Diabetes </w:t>
      </w:r>
      <w:proofErr w:type="spellStart"/>
      <w:r w:rsidRPr="00051B46">
        <w:rPr>
          <w:rFonts w:ascii="Arial" w:hAnsi="Arial" w:cs="Arial"/>
        </w:rPr>
        <w:t>Obes</w:t>
      </w:r>
      <w:proofErr w:type="spellEnd"/>
      <w:r w:rsidRPr="00051B46">
        <w:rPr>
          <w:rFonts w:ascii="Arial" w:hAnsi="Arial" w:cs="Arial"/>
        </w:rPr>
        <w:t xml:space="preserve">. </w:t>
      </w:r>
      <w:proofErr w:type="gramStart"/>
      <w:r w:rsidRPr="00051B46">
        <w:rPr>
          <w:rFonts w:ascii="Arial" w:hAnsi="Arial" w:cs="Arial"/>
        </w:rPr>
        <w:t>2018;25:315</w:t>
      </w:r>
      <w:proofErr w:type="gramEnd"/>
      <w:r w:rsidRPr="00051B46">
        <w:rPr>
          <w:rFonts w:ascii="Arial" w:hAnsi="Arial" w:cs="Arial"/>
        </w:rPr>
        <w:t xml:space="preserve">-320. </w:t>
      </w:r>
    </w:p>
    <w:p w14:paraId="40FB9D3F"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lastRenderedPageBreak/>
        <w:t xml:space="preserve">6. </w:t>
      </w:r>
      <w:r w:rsidRPr="00051B46">
        <w:rPr>
          <w:rFonts w:ascii="Arial" w:hAnsi="Arial" w:cs="Arial"/>
        </w:rPr>
        <w:tab/>
      </w:r>
      <w:proofErr w:type="spellStart"/>
      <w:r w:rsidRPr="00051B46">
        <w:rPr>
          <w:rFonts w:ascii="Arial" w:hAnsi="Arial" w:cs="Arial"/>
        </w:rPr>
        <w:t>Younossi</w:t>
      </w:r>
      <w:proofErr w:type="spellEnd"/>
      <w:r w:rsidRPr="00051B46">
        <w:rPr>
          <w:rFonts w:ascii="Arial" w:hAnsi="Arial" w:cs="Arial"/>
        </w:rPr>
        <w:t xml:space="preserve"> ZM, Koenig AB, </w:t>
      </w:r>
      <w:proofErr w:type="spellStart"/>
      <w:r w:rsidRPr="00051B46">
        <w:rPr>
          <w:rFonts w:ascii="Arial" w:hAnsi="Arial" w:cs="Arial"/>
        </w:rPr>
        <w:t>Abdelatif</w:t>
      </w:r>
      <w:proofErr w:type="spellEnd"/>
      <w:r w:rsidRPr="00051B46">
        <w:rPr>
          <w:rFonts w:ascii="Arial" w:hAnsi="Arial" w:cs="Arial"/>
        </w:rPr>
        <w:t xml:space="preserve"> D, et al. Global epidemiology of nonalcoholic fatty liver disease - meta-analytic assessment of prevalence, incidence, and outcomes. Hepatology. </w:t>
      </w:r>
      <w:proofErr w:type="gramStart"/>
      <w:r w:rsidRPr="00051B46">
        <w:rPr>
          <w:rFonts w:ascii="Arial" w:hAnsi="Arial" w:cs="Arial"/>
        </w:rPr>
        <w:t>2016;64:73</w:t>
      </w:r>
      <w:proofErr w:type="gramEnd"/>
      <w:r w:rsidRPr="00051B46">
        <w:rPr>
          <w:rFonts w:ascii="Arial" w:hAnsi="Arial" w:cs="Arial"/>
        </w:rPr>
        <w:t>-84.</w:t>
      </w:r>
    </w:p>
    <w:p w14:paraId="0FCC486A"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7. </w:t>
      </w:r>
      <w:r w:rsidRPr="00051B46">
        <w:rPr>
          <w:rFonts w:ascii="Arial" w:hAnsi="Arial" w:cs="Arial"/>
        </w:rPr>
        <w:tab/>
        <w:t xml:space="preserve">Browning JD, </w:t>
      </w:r>
      <w:proofErr w:type="spellStart"/>
      <w:r w:rsidRPr="00051B46">
        <w:rPr>
          <w:rFonts w:ascii="Arial" w:hAnsi="Arial" w:cs="Arial"/>
        </w:rPr>
        <w:t>Szczepaniak</w:t>
      </w:r>
      <w:proofErr w:type="spellEnd"/>
      <w:r w:rsidRPr="00051B46">
        <w:rPr>
          <w:rFonts w:ascii="Arial" w:hAnsi="Arial" w:cs="Arial"/>
        </w:rPr>
        <w:t xml:space="preserve"> LS, Dobbins R, et al. Prevalence of hepatic steatosis in an urban population in the United States: impact of ethnicity. Hepatology. </w:t>
      </w:r>
      <w:proofErr w:type="gramStart"/>
      <w:r w:rsidRPr="00051B46">
        <w:rPr>
          <w:rFonts w:ascii="Arial" w:hAnsi="Arial" w:cs="Arial"/>
        </w:rPr>
        <w:t>2004;40:1387</w:t>
      </w:r>
      <w:proofErr w:type="gramEnd"/>
      <w:r w:rsidRPr="00051B46">
        <w:rPr>
          <w:rFonts w:ascii="Arial" w:hAnsi="Arial" w:cs="Arial"/>
        </w:rPr>
        <w:t>-95.</w:t>
      </w:r>
    </w:p>
    <w:p w14:paraId="2B02CBC6"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8. </w:t>
      </w:r>
      <w:r w:rsidRPr="00051B46">
        <w:rPr>
          <w:rFonts w:ascii="Arial" w:hAnsi="Arial" w:cs="Arial"/>
        </w:rPr>
        <w:tab/>
      </w:r>
      <w:proofErr w:type="spellStart"/>
      <w:r w:rsidRPr="00051B46">
        <w:rPr>
          <w:rFonts w:ascii="Arial" w:hAnsi="Arial" w:cs="Arial"/>
        </w:rPr>
        <w:t>Bril</w:t>
      </w:r>
      <w:proofErr w:type="spellEnd"/>
      <w:r w:rsidRPr="00051B46">
        <w:rPr>
          <w:rFonts w:ascii="Arial" w:hAnsi="Arial" w:cs="Arial"/>
        </w:rPr>
        <w:t xml:space="preserve"> F, </w:t>
      </w:r>
      <w:proofErr w:type="spellStart"/>
      <w:r w:rsidRPr="00051B46">
        <w:rPr>
          <w:rFonts w:ascii="Arial" w:hAnsi="Arial" w:cs="Arial"/>
        </w:rPr>
        <w:t>Cusi</w:t>
      </w:r>
      <w:proofErr w:type="spellEnd"/>
      <w:r w:rsidRPr="00051B46">
        <w:rPr>
          <w:rFonts w:ascii="Arial" w:hAnsi="Arial" w:cs="Arial"/>
        </w:rPr>
        <w:t xml:space="preserve"> K. Management of nonalcoholic fatty liver disease in patients with type 2 diabetes: a call to action. Diabetes Care. </w:t>
      </w:r>
      <w:proofErr w:type="gramStart"/>
      <w:r w:rsidRPr="00051B46">
        <w:rPr>
          <w:rFonts w:ascii="Arial" w:hAnsi="Arial" w:cs="Arial"/>
        </w:rPr>
        <w:t>2017;40:419</w:t>
      </w:r>
      <w:proofErr w:type="gramEnd"/>
      <w:r w:rsidRPr="00051B46">
        <w:rPr>
          <w:rFonts w:ascii="Arial" w:hAnsi="Arial" w:cs="Arial"/>
        </w:rPr>
        <w:t>-430.</w:t>
      </w:r>
    </w:p>
    <w:p w14:paraId="2550266D"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9. </w:t>
      </w:r>
      <w:r w:rsidRPr="00051B46">
        <w:rPr>
          <w:rFonts w:ascii="Arial" w:hAnsi="Arial" w:cs="Arial"/>
        </w:rPr>
        <w:tab/>
      </w:r>
      <w:proofErr w:type="spellStart"/>
      <w:r w:rsidRPr="00051B46">
        <w:rPr>
          <w:rFonts w:ascii="Arial" w:hAnsi="Arial" w:cs="Arial"/>
        </w:rPr>
        <w:t>Bril</w:t>
      </w:r>
      <w:proofErr w:type="spellEnd"/>
      <w:r w:rsidRPr="00051B46">
        <w:rPr>
          <w:rFonts w:ascii="Arial" w:hAnsi="Arial" w:cs="Arial"/>
        </w:rPr>
        <w:t xml:space="preserve"> F, </w:t>
      </w:r>
      <w:proofErr w:type="spellStart"/>
      <w:r w:rsidRPr="00051B46">
        <w:rPr>
          <w:rFonts w:ascii="Arial" w:hAnsi="Arial" w:cs="Arial"/>
        </w:rPr>
        <w:t>Cusi</w:t>
      </w:r>
      <w:proofErr w:type="spellEnd"/>
      <w:r w:rsidRPr="00051B46">
        <w:rPr>
          <w:rFonts w:ascii="Arial" w:hAnsi="Arial" w:cs="Arial"/>
        </w:rPr>
        <w:t xml:space="preserve"> K. Nonalcoholic fatty liver disease: the new complication of type 2 diabetes mellitus. Endocrinol </w:t>
      </w:r>
      <w:proofErr w:type="spellStart"/>
      <w:r w:rsidRPr="00051B46">
        <w:rPr>
          <w:rFonts w:ascii="Arial" w:hAnsi="Arial" w:cs="Arial"/>
        </w:rPr>
        <w:t>Metab</w:t>
      </w:r>
      <w:proofErr w:type="spellEnd"/>
      <w:r w:rsidRPr="00051B46">
        <w:rPr>
          <w:rFonts w:ascii="Arial" w:hAnsi="Arial" w:cs="Arial"/>
        </w:rPr>
        <w:t xml:space="preserve"> Clin North America. </w:t>
      </w:r>
      <w:proofErr w:type="gramStart"/>
      <w:r w:rsidRPr="00051B46">
        <w:rPr>
          <w:rFonts w:ascii="Arial" w:hAnsi="Arial" w:cs="Arial"/>
        </w:rPr>
        <w:t>2016;45:765</w:t>
      </w:r>
      <w:proofErr w:type="gramEnd"/>
      <w:r w:rsidRPr="00051B46">
        <w:rPr>
          <w:rFonts w:ascii="Arial" w:hAnsi="Arial" w:cs="Arial"/>
        </w:rPr>
        <w:t>-781.</w:t>
      </w:r>
    </w:p>
    <w:p w14:paraId="0EDEDF9E"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10. </w:t>
      </w:r>
      <w:r w:rsidRPr="00051B46">
        <w:rPr>
          <w:rFonts w:ascii="Arial" w:hAnsi="Arial" w:cs="Arial"/>
        </w:rPr>
        <w:tab/>
        <w:t xml:space="preserve">Singh S, Allen AM, Wang Z, et al. Fibrosis progression in nonalcoholic fatty liver vs nonalcoholic steatohepatitis: a systematic review and meta-analysis of paired-biopsy studies. Clin Gastroenterol </w:t>
      </w:r>
      <w:proofErr w:type="spellStart"/>
      <w:r w:rsidRPr="00051B46">
        <w:rPr>
          <w:rFonts w:ascii="Arial" w:hAnsi="Arial" w:cs="Arial"/>
        </w:rPr>
        <w:t>Hepatol</w:t>
      </w:r>
      <w:proofErr w:type="spellEnd"/>
      <w:r w:rsidRPr="00051B46">
        <w:rPr>
          <w:rFonts w:ascii="Arial" w:hAnsi="Arial" w:cs="Arial"/>
        </w:rPr>
        <w:t xml:space="preserve">. </w:t>
      </w:r>
      <w:proofErr w:type="gramStart"/>
      <w:r w:rsidRPr="00051B46">
        <w:rPr>
          <w:rFonts w:ascii="Arial" w:hAnsi="Arial" w:cs="Arial"/>
        </w:rPr>
        <w:t>2015;13:643</w:t>
      </w:r>
      <w:proofErr w:type="gramEnd"/>
      <w:r w:rsidRPr="00051B46">
        <w:rPr>
          <w:rFonts w:ascii="Arial" w:hAnsi="Arial" w:cs="Arial"/>
        </w:rPr>
        <w:t>-54.</w:t>
      </w:r>
    </w:p>
    <w:p w14:paraId="173576D5"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11. </w:t>
      </w:r>
      <w:r w:rsidRPr="00051B46">
        <w:rPr>
          <w:rFonts w:ascii="Arial" w:hAnsi="Arial" w:cs="Arial"/>
        </w:rPr>
        <w:tab/>
        <w:t xml:space="preserve">Cusi K. Role of obesity and </w:t>
      </w:r>
      <w:proofErr w:type="spellStart"/>
      <w:r w:rsidRPr="00051B46">
        <w:rPr>
          <w:rFonts w:ascii="Arial" w:hAnsi="Arial" w:cs="Arial"/>
        </w:rPr>
        <w:t>lipotoxicity</w:t>
      </w:r>
      <w:proofErr w:type="spellEnd"/>
      <w:r w:rsidRPr="00051B46">
        <w:rPr>
          <w:rFonts w:ascii="Arial" w:hAnsi="Arial" w:cs="Arial"/>
        </w:rPr>
        <w:t xml:space="preserve"> in the development of nonalcoholic steatohepatitis: Pathophysiology and clinical implications. Gastroenterology 2012, 142: 711-725</w:t>
      </w:r>
    </w:p>
    <w:p w14:paraId="791C9953"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12. </w:t>
      </w:r>
      <w:r w:rsidRPr="00051B46">
        <w:rPr>
          <w:rFonts w:ascii="Arial" w:hAnsi="Arial" w:cs="Arial"/>
        </w:rPr>
        <w:tab/>
      </w:r>
      <w:proofErr w:type="spellStart"/>
      <w:r w:rsidRPr="00051B46">
        <w:rPr>
          <w:rFonts w:ascii="Arial" w:hAnsi="Arial" w:cs="Arial"/>
        </w:rPr>
        <w:t>Cholankeril</w:t>
      </w:r>
      <w:proofErr w:type="spellEnd"/>
      <w:r w:rsidRPr="00051B46">
        <w:rPr>
          <w:rFonts w:ascii="Arial" w:hAnsi="Arial" w:cs="Arial"/>
        </w:rPr>
        <w:t xml:space="preserve"> G, Wong RJ, Hu M, et al. Liver transplantation for nonalcoholic steatohepatitis in the US: temporal trends and outcomes. Dig Dis Sci. </w:t>
      </w:r>
      <w:proofErr w:type="gramStart"/>
      <w:r w:rsidRPr="00051B46">
        <w:rPr>
          <w:rFonts w:ascii="Arial" w:hAnsi="Arial" w:cs="Arial"/>
        </w:rPr>
        <w:t>2017;62:2915</w:t>
      </w:r>
      <w:proofErr w:type="gramEnd"/>
      <w:r w:rsidRPr="00051B46">
        <w:rPr>
          <w:rFonts w:ascii="Arial" w:hAnsi="Arial" w:cs="Arial"/>
        </w:rPr>
        <w:t>-2922.</w:t>
      </w:r>
    </w:p>
    <w:p w14:paraId="5932FE16"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13. </w:t>
      </w:r>
      <w:r w:rsidRPr="00051B46">
        <w:rPr>
          <w:rFonts w:ascii="Arial" w:hAnsi="Arial" w:cs="Arial"/>
        </w:rPr>
        <w:tab/>
      </w:r>
      <w:proofErr w:type="spellStart"/>
      <w:r w:rsidRPr="00051B46">
        <w:rPr>
          <w:rFonts w:ascii="Arial" w:hAnsi="Arial" w:cs="Arial"/>
        </w:rPr>
        <w:t>Ascha</w:t>
      </w:r>
      <w:proofErr w:type="spellEnd"/>
      <w:r w:rsidRPr="00051B46">
        <w:rPr>
          <w:rFonts w:ascii="Arial" w:hAnsi="Arial" w:cs="Arial"/>
        </w:rPr>
        <w:t xml:space="preserve"> MS, </w:t>
      </w:r>
      <w:proofErr w:type="spellStart"/>
      <w:r w:rsidRPr="00051B46">
        <w:rPr>
          <w:rFonts w:ascii="Arial" w:hAnsi="Arial" w:cs="Arial"/>
        </w:rPr>
        <w:t>Hanouneh</w:t>
      </w:r>
      <w:proofErr w:type="spellEnd"/>
      <w:r w:rsidRPr="00051B46">
        <w:rPr>
          <w:rFonts w:ascii="Arial" w:hAnsi="Arial" w:cs="Arial"/>
        </w:rPr>
        <w:t xml:space="preserve"> IA, Lopez R, et al. The incidence and risk factors of hepatocellular carcinoma in patients with nonalcoholic steatohepatitis. Hepatology. </w:t>
      </w:r>
      <w:proofErr w:type="gramStart"/>
      <w:r w:rsidRPr="00051B46">
        <w:rPr>
          <w:rFonts w:ascii="Arial" w:hAnsi="Arial" w:cs="Arial"/>
        </w:rPr>
        <w:t>2010;51:1972</w:t>
      </w:r>
      <w:proofErr w:type="gramEnd"/>
      <w:r w:rsidRPr="00051B46">
        <w:rPr>
          <w:rFonts w:ascii="Arial" w:hAnsi="Arial" w:cs="Arial"/>
        </w:rPr>
        <w:t>-8.</w:t>
      </w:r>
    </w:p>
    <w:p w14:paraId="144A726E"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14. </w:t>
      </w:r>
      <w:r w:rsidRPr="00051B46">
        <w:rPr>
          <w:rFonts w:ascii="Arial" w:hAnsi="Arial" w:cs="Arial"/>
        </w:rPr>
        <w:tab/>
        <w:t xml:space="preserve">White DL, </w:t>
      </w:r>
      <w:proofErr w:type="spellStart"/>
      <w:r w:rsidRPr="00051B46">
        <w:rPr>
          <w:rFonts w:ascii="Arial" w:hAnsi="Arial" w:cs="Arial"/>
        </w:rPr>
        <w:t>Kanwal</w:t>
      </w:r>
      <w:proofErr w:type="spellEnd"/>
      <w:r w:rsidRPr="00051B46">
        <w:rPr>
          <w:rFonts w:ascii="Arial" w:hAnsi="Arial" w:cs="Arial"/>
        </w:rPr>
        <w:t xml:space="preserve"> F, El-</w:t>
      </w:r>
      <w:proofErr w:type="spellStart"/>
      <w:r w:rsidRPr="00051B46">
        <w:rPr>
          <w:rFonts w:ascii="Arial" w:hAnsi="Arial" w:cs="Arial"/>
        </w:rPr>
        <w:t>Serag</w:t>
      </w:r>
      <w:proofErr w:type="spellEnd"/>
      <w:r w:rsidRPr="00051B46">
        <w:rPr>
          <w:rFonts w:ascii="Arial" w:hAnsi="Arial" w:cs="Arial"/>
        </w:rPr>
        <w:t xml:space="preserve"> HB. Association between nonalcoholic fatty liver disease and risk for hepatocellular cancer, based on systematic review. Clin Gastroenterol </w:t>
      </w:r>
      <w:proofErr w:type="spellStart"/>
      <w:r w:rsidRPr="00051B46">
        <w:rPr>
          <w:rFonts w:ascii="Arial" w:hAnsi="Arial" w:cs="Arial"/>
        </w:rPr>
        <w:t>Hepatol</w:t>
      </w:r>
      <w:proofErr w:type="spellEnd"/>
      <w:r w:rsidRPr="00051B46">
        <w:rPr>
          <w:rFonts w:ascii="Arial" w:hAnsi="Arial" w:cs="Arial"/>
        </w:rPr>
        <w:t xml:space="preserve">. </w:t>
      </w:r>
      <w:proofErr w:type="gramStart"/>
      <w:r w:rsidRPr="00051B46">
        <w:rPr>
          <w:rFonts w:ascii="Arial" w:hAnsi="Arial" w:cs="Arial"/>
        </w:rPr>
        <w:t>2012;10:1342</w:t>
      </w:r>
      <w:proofErr w:type="gramEnd"/>
      <w:r w:rsidRPr="00051B46">
        <w:rPr>
          <w:rFonts w:ascii="Arial" w:hAnsi="Arial" w:cs="Arial"/>
        </w:rPr>
        <w:t>-59.</w:t>
      </w:r>
    </w:p>
    <w:p w14:paraId="071490AD"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15. </w:t>
      </w:r>
      <w:r w:rsidRPr="00051B46">
        <w:rPr>
          <w:rFonts w:ascii="Arial" w:hAnsi="Arial" w:cs="Arial"/>
        </w:rPr>
        <w:tab/>
      </w:r>
      <w:proofErr w:type="spellStart"/>
      <w:r w:rsidRPr="00051B46">
        <w:rPr>
          <w:rFonts w:ascii="Arial" w:hAnsi="Arial" w:cs="Arial"/>
        </w:rPr>
        <w:t>Bril</w:t>
      </w:r>
      <w:proofErr w:type="spellEnd"/>
      <w:r w:rsidRPr="00051B46">
        <w:rPr>
          <w:rFonts w:ascii="Arial" w:hAnsi="Arial" w:cs="Arial"/>
        </w:rPr>
        <w:t xml:space="preserve"> F, Barb D, Portillo-Sanchez P, et al. Metabolic and histological implications of intrahepatic triglyceride content in nonalcoholic fatty liver disease. Hepatology. </w:t>
      </w:r>
      <w:proofErr w:type="gramStart"/>
      <w:r w:rsidRPr="00051B46">
        <w:rPr>
          <w:rFonts w:ascii="Arial" w:hAnsi="Arial" w:cs="Arial"/>
        </w:rPr>
        <w:t>2017;65:1132</w:t>
      </w:r>
      <w:proofErr w:type="gramEnd"/>
      <w:r w:rsidRPr="00051B46">
        <w:rPr>
          <w:rFonts w:ascii="Arial" w:hAnsi="Arial" w:cs="Arial"/>
        </w:rPr>
        <w:t>-1144.</w:t>
      </w:r>
    </w:p>
    <w:p w14:paraId="3AFEDE7E"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16. </w:t>
      </w:r>
      <w:r w:rsidRPr="00051B46">
        <w:rPr>
          <w:rFonts w:ascii="Arial" w:hAnsi="Arial" w:cs="Arial"/>
        </w:rPr>
        <w:tab/>
        <w:t xml:space="preserve">Villanova N, </w:t>
      </w:r>
      <w:proofErr w:type="spellStart"/>
      <w:r w:rsidRPr="00051B46">
        <w:rPr>
          <w:rFonts w:ascii="Arial" w:hAnsi="Arial" w:cs="Arial"/>
        </w:rPr>
        <w:t>Moscatiello</w:t>
      </w:r>
      <w:proofErr w:type="spellEnd"/>
      <w:r w:rsidRPr="00051B46">
        <w:rPr>
          <w:rFonts w:ascii="Arial" w:hAnsi="Arial" w:cs="Arial"/>
        </w:rPr>
        <w:t xml:space="preserve"> S, </w:t>
      </w:r>
      <w:proofErr w:type="spellStart"/>
      <w:r w:rsidRPr="00051B46">
        <w:rPr>
          <w:rFonts w:ascii="Arial" w:hAnsi="Arial" w:cs="Arial"/>
        </w:rPr>
        <w:t>Ramilli</w:t>
      </w:r>
      <w:proofErr w:type="spellEnd"/>
      <w:r w:rsidRPr="00051B46">
        <w:rPr>
          <w:rFonts w:ascii="Arial" w:hAnsi="Arial" w:cs="Arial"/>
        </w:rPr>
        <w:t xml:space="preserve"> S, et al. Endothelial dysfunction and cardiovascular risk profile in nonalcoholic fatty liver disease. Hepatology. </w:t>
      </w:r>
      <w:proofErr w:type="gramStart"/>
      <w:r w:rsidRPr="00051B46">
        <w:rPr>
          <w:rFonts w:ascii="Arial" w:hAnsi="Arial" w:cs="Arial"/>
        </w:rPr>
        <w:t>2005;42:473</w:t>
      </w:r>
      <w:proofErr w:type="gramEnd"/>
      <w:r w:rsidRPr="00051B46">
        <w:rPr>
          <w:rFonts w:ascii="Arial" w:hAnsi="Arial" w:cs="Arial"/>
        </w:rPr>
        <w:t>-80.</w:t>
      </w:r>
    </w:p>
    <w:p w14:paraId="5EAA509A"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17. </w:t>
      </w:r>
      <w:r w:rsidRPr="00051B46">
        <w:rPr>
          <w:rFonts w:ascii="Arial" w:hAnsi="Arial" w:cs="Arial"/>
        </w:rPr>
        <w:tab/>
      </w:r>
      <w:proofErr w:type="spellStart"/>
      <w:r w:rsidRPr="00051B46">
        <w:rPr>
          <w:rFonts w:ascii="Arial" w:hAnsi="Arial" w:cs="Arial"/>
        </w:rPr>
        <w:t>Bonapace</w:t>
      </w:r>
      <w:proofErr w:type="spellEnd"/>
      <w:r w:rsidRPr="00051B46">
        <w:rPr>
          <w:rFonts w:ascii="Arial" w:hAnsi="Arial" w:cs="Arial"/>
        </w:rPr>
        <w:t xml:space="preserve"> S, </w:t>
      </w:r>
      <w:proofErr w:type="spellStart"/>
      <w:r w:rsidRPr="00051B46">
        <w:rPr>
          <w:rFonts w:ascii="Arial" w:hAnsi="Arial" w:cs="Arial"/>
        </w:rPr>
        <w:t>Perseghin</w:t>
      </w:r>
      <w:proofErr w:type="spellEnd"/>
      <w:r w:rsidRPr="00051B46">
        <w:rPr>
          <w:rFonts w:ascii="Arial" w:hAnsi="Arial" w:cs="Arial"/>
        </w:rPr>
        <w:t xml:space="preserve"> G, </w:t>
      </w:r>
      <w:proofErr w:type="spellStart"/>
      <w:r w:rsidRPr="00051B46">
        <w:rPr>
          <w:rFonts w:ascii="Arial" w:hAnsi="Arial" w:cs="Arial"/>
        </w:rPr>
        <w:t>Molon</w:t>
      </w:r>
      <w:proofErr w:type="spellEnd"/>
      <w:r w:rsidRPr="00051B46">
        <w:rPr>
          <w:rFonts w:ascii="Arial" w:hAnsi="Arial" w:cs="Arial"/>
        </w:rPr>
        <w:t xml:space="preserve"> G, et al. Nonalcoholic fatty liver disease is associated with left ventricular diastolic dysfunction in patients with type 2 diabetes. Diabetes Care. </w:t>
      </w:r>
      <w:proofErr w:type="gramStart"/>
      <w:r w:rsidRPr="00051B46">
        <w:rPr>
          <w:rFonts w:ascii="Arial" w:hAnsi="Arial" w:cs="Arial"/>
        </w:rPr>
        <w:t>2012;35:389</w:t>
      </w:r>
      <w:proofErr w:type="gramEnd"/>
      <w:r w:rsidRPr="00051B46">
        <w:rPr>
          <w:rFonts w:ascii="Arial" w:hAnsi="Arial" w:cs="Arial"/>
        </w:rPr>
        <w:t>-95.</w:t>
      </w:r>
    </w:p>
    <w:p w14:paraId="46E31310"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18. </w:t>
      </w:r>
      <w:r w:rsidRPr="00051B46">
        <w:rPr>
          <w:rFonts w:ascii="Arial" w:hAnsi="Arial" w:cs="Arial"/>
        </w:rPr>
        <w:tab/>
      </w:r>
      <w:proofErr w:type="spellStart"/>
      <w:r w:rsidRPr="00051B46">
        <w:rPr>
          <w:rFonts w:ascii="Arial" w:hAnsi="Arial" w:cs="Arial"/>
        </w:rPr>
        <w:t>Targher</w:t>
      </w:r>
      <w:proofErr w:type="spellEnd"/>
      <w:r w:rsidRPr="00051B46">
        <w:rPr>
          <w:rFonts w:ascii="Arial" w:hAnsi="Arial" w:cs="Arial"/>
        </w:rPr>
        <w:t xml:space="preserve"> G, </w:t>
      </w:r>
      <w:proofErr w:type="spellStart"/>
      <w:r w:rsidRPr="00051B46">
        <w:rPr>
          <w:rFonts w:ascii="Arial" w:hAnsi="Arial" w:cs="Arial"/>
        </w:rPr>
        <w:t>Bertolini</w:t>
      </w:r>
      <w:proofErr w:type="spellEnd"/>
      <w:r w:rsidRPr="00051B46">
        <w:rPr>
          <w:rFonts w:ascii="Arial" w:hAnsi="Arial" w:cs="Arial"/>
        </w:rPr>
        <w:t xml:space="preserve"> L, </w:t>
      </w:r>
      <w:proofErr w:type="spellStart"/>
      <w:r w:rsidRPr="00051B46">
        <w:rPr>
          <w:rFonts w:ascii="Arial" w:hAnsi="Arial" w:cs="Arial"/>
        </w:rPr>
        <w:t>Padovani</w:t>
      </w:r>
      <w:proofErr w:type="spellEnd"/>
      <w:r w:rsidRPr="00051B46">
        <w:rPr>
          <w:rFonts w:ascii="Arial" w:hAnsi="Arial" w:cs="Arial"/>
        </w:rPr>
        <w:t xml:space="preserve"> R, et al. Relations between carotid artery wall thickness and liver histology in subjects with nonalcoholic fatty liver disease. Diabetes Care. </w:t>
      </w:r>
      <w:proofErr w:type="gramStart"/>
      <w:r w:rsidRPr="00051B46">
        <w:rPr>
          <w:rFonts w:ascii="Arial" w:hAnsi="Arial" w:cs="Arial"/>
        </w:rPr>
        <w:t>2006;29:1325</w:t>
      </w:r>
      <w:proofErr w:type="gramEnd"/>
      <w:r w:rsidRPr="00051B46">
        <w:rPr>
          <w:rFonts w:ascii="Arial" w:hAnsi="Arial" w:cs="Arial"/>
        </w:rPr>
        <w:t>-30.</w:t>
      </w:r>
    </w:p>
    <w:p w14:paraId="105F34F7"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19. </w:t>
      </w:r>
      <w:r w:rsidRPr="00051B46">
        <w:rPr>
          <w:rFonts w:ascii="Arial" w:hAnsi="Arial" w:cs="Arial"/>
        </w:rPr>
        <w:tab/>
      </w:r>
      <w:proofErr w:type="spellStart"/>
      <w:r w:rsidRPr="00051B46">
        <w:rPr>
          <w:rFonts w:ascii="Arial" w:hAnsi="Arial" w:cs="Arial"/>
        </w:rPr>
        <w:t>Fracanzani</w:t>
      </w:r>
      <w:proofErr w:type="spellEnd"/>
      <w:r w:rsidRPr="00051B46">
        <w:rPr>
          <w:rFonts w:ascii="Arial" w:hAnsi="Arial" w:cs="Arial"/>
        </w:rPr>
        <w:t xml:space="preserve"> AL, Burdick L, </w:t>
      </w:r>
      <w:proofErr w:type="spellStart"/>
      <w:r w:rsidRPr="00051B46">
        <w:rPr>
          <w:rFonts w:ascii="Arial" w:hAnsi="Arial" w:cs="Arial"/>
        </w:rPr>
        <w:t>Raselli</w:t>
      </w:r>
      <w:proofErr w:type="spellEnd"/>
      <w:r w:rsidRPr="00051B46">
        <w:rPr>
          <w:rFonts w:ascii="Arial" w:hAnsi="Arial" w:cs="Arial"/>
        </w:rPr>
        <w:t xml:space="preserve"> S, et al. Carotid artery intima-media thickness in nonalcoholic fatty liver disease. Am J Med. </w:t>
      </w:r>
      <w:proofErr w:type="gramStart"/>
      <w:r w:rsidRPr="00051B46">
        <w:rPr>
          <w:rFonts w:ascii="Arial" w:hAnsi="Arial" w:cs="Arial"/>
        </w:rPr>
        <w:t>2008;121:72</w:t>
      </w:r>
      <w:proofErr w:type="gramEnd"/>
      <w:r w:rsidRPr="00051B46">
        <w:rPr>
          <w:rFonts w:ascii="Arial" w:hAnsi="Arial" w:cs="Arial"/>
        </w:rPr>
        <w:t>-8.</w:t>
      </w:r>
    </w:p>
    <w:p w14:paraId="2F7FADA4"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20. </w:t>
      </w:r>
      <w:r w:rsidRPr="00051B46">
        <w:rPr>
          <w:rFonts w:ascii="Arial" w:hAnsi="Arial" w:cs="Arial"/>
        </w:rPr>
        <w:tab/>
        <w:t xml:space="preserve">Adams LA, </w:t>
      </w:r>
      <w:proofErr w:type="spellStart"/>
      <w:r w:rsidRPr="00051B46">
        <w:rPr>
          <w:rFonts w:ascii="Arial" w:hAnsi="Arial" w:cs="Arial"/>
        </w:rPr>
        <w:t>Harmsen</w:t>
      </w:r>
      <w:proofErr w:type="spellEnd"/>
      <w:r w:rsidRPr="00051B46">
        <w:rPr>
          <w:rFonts w:ascii="Arial" w:hAnsi="Arial" w:cs="Arial"/>
        </w:rPr>
        <w:t xml:space="preserve"> S, St. </w:t>
      </w:r>
      <w:proofErr w:type="spellStart"/>
      <w:r w:rsidRPr="00051B46">
        <w:rPr>
          <w:rFonts w:ascii="Arial" w:hAnsi="Arial" w:cs="Arial"/>
        </w:rPr>
        <w:t>Sauver</w:t>
      </w:r>
      <w:proofErr w:type="spellEnd"/>
      <w:r w:rsidRPr="00051B46">
        <w:rPr>
          <w:rFonts w:ascii="Arial" w:hAnsi="Arial" w:cs="Arial"/>
        </w:rPr>
        <w:t xml:space="preserve"> JL, et al. Nonalcoholic fatty liver disease increases risk of death among patients with diabetes: a community-based cohort study. Am J Gastroenterol. </w:t>
      </w:r>
      <w:proofErr w:type="gramStart"/>
      <w:r w:rsidRPr="00051B46">
        <w:rPr>
          <w:rFonts w:ascii="Arial" w:hAnsi="Arial" w:cs="Arial"/>
        </w:rPr>
        <w:t>2010;105:1567</w:t>
      </w:r>
      <w:proofErr w:type="gramEnd"/>
      <w:r w:rsidRPr="00051B46">
        <w:rPr>
          <w:rFonts w:ascii="Arial" w:hAnsi="Arial" w:cs="Arial"/>
        </w:rPr>
        <w:t>-73.</w:t>
      </w:r>
    </w:p>
    <w:p w14:paraId="5035321C"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21. </w:t>
      </w:r>
      <w:r w:rsidRPr="00051B46">
        <w:rPr>
          <w:rFonts w:ascii="Arial" w:hAnsi="Arial" w:cs="Arial"/>
        </w:rPr>
        <w:tab/>
      </w:r>
      <w:proofErr w:type="spellStart"/>
      <w:r w:rsidRPr="00051B46">
        <w:rPr>
          <w:rFonts w:ascii="Arial" w:hAnsi="Arial" w:cs="Arial"/>
        </w:rPr>
        <w:t>Targher</w:t>
      </w:r>
      <w:proofErr w:type="spellEnd"/>
      <w:r w:rsidRPr="00051B46">
        <w:rPr>
          <w:rFonts w:ascii="Arial" w:hAnsi="Arial" w:cs="Arial"/>
        </w:rPr>
        <w:t xml:space="preserve"> G, </w:t>
      </w:r>
      <w:proofErr w:type="spellStart"/>
      <w:r w:rsidRPr="00051B46">
        <w:rPr>
          <w:rFonts w:ascii="Arial" w:hAnsi="Arial" w:cs="Arial"/>
        </w:rPr>
        <w:t>Bertolini</w:t>
      </w:r>
      <w:proofErr w:type="spellEnd"/>
      <w:r w:rsidRPr="00051B46">
        <w:rPr>
          <w:rFonts w:ascii="Arial" w:hAnsi="Arial" w:cs="Arial"/>
        </w:rPr>
        <w:t xml:space="preserve"> L, Rodella S, et al. Nonalcoholic fatty liver disease is independently associated with an increased incidence of cardiovascular events in type 2 diabetic patients. Diabetes Care. </w:t>
      </w:r>
      <w:proofErr w:type="gramStart"/>
      <w:r w:rsidRPr="00051B46">
        <w:rPr>
          <w:rFonts w:ascii="Arial" w:hAnsi="Arial" w:cs="Arial"/>
        </w:rPr>
        <w:t>2007;30:2119</w:t>
      </w:r>
      <w:proofErr w:type="gramEnd"/>
      <w:r w:rsidRPr="00051B46">
        <w:rPr>
          <w:rFonts w:ascii="Arial" w:hAnsi="Arial" w:cs="Arial"/>
        </w:rPr>
        <w:t>-2121.</w:t>
      </w:r>
    </w:p>
    <w:p w14:paraId="23D04B98"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22. </w:t>
      </w:r>
      <w:r w:rsidRPr="00051B46">
        <w:rPr>
          <w:rFonts w:ascii="Arial" w:hAnsi="Arial" w:cs="Arial"/>
        </w:rPr>
        <w:tab/>
        <w:t xml:space="preserve">Villanova N, </w:t>
      </w:r>
      <w:proofErr w:type="spellStart"/>
      <w:r w:rsidRPr="00051B46">
        <w:rPr>
          <w:rFonts w:ascii="Arial" w:hAnsi="Arial" w:cs="Arial"/>
        </w:rPr>
        <w:t>Moscatiello</w:t>
      </w:r>
      <w:proofErr w:type="spellEnd"/>
      <w:r w:rsidRPr="00051B46">
        <w:rPr>
          <w:rFonts w:ascii="Arial" w:hAnsi="Arial" w:cs="Arial"/>
        </w:rPr>
        <w:t xml:space="preserve"> S, </w:t>
      </w:r>
      <w:proofErr w:type="spellStart"/>
      <w:r w:rsidRPr="00051B46">
        <w:rPr>
          <w:rFonts w:ascii="Arial" w:hAnsi="Arial" w:cs="Arial"/>
        </w:rPr>
        <w:t>Ramilli</w:t>
      </w:r>
      <w:proofErr w:type="spellEnd"/>
      <w:r w:rsidRPr="00051B46">
        <w:rPr>
          <w:rFonts w:ascii="Arial" w:hAnsi="Arial" w:cs="Arial"/>
        </w:rPr>
        <w:t xml:space="preserve"> S, et al. Endothelial dysfunction and cardiovascular risk profile in nonalcoholic fatty liver disease. Hepatology. </w:t>
      </w:r>
      <w:proofErr w:type="gramStart"/>
      <w:r w:rsidRPr="00051B46">
        <w:rPr>
          <w:rFonts w:ascii="Arial" w:hAnsi="Arial" w:cs="Arial"/>
        </w:rPr>
        <w:t>2005;42:473</w:t>
      </w:r>
      <w:proofErr w:type="gramEnd"/>
      <w:r w:rsidRPr="00051B46">
        <w:rPr>
          <w:rFonts w:ascii="Arial" w:hAnsi="Arial" w:cs="Arial"/>
        </w:rPr>
        <w:t>-80.</w:t>
      </w:r>
    </w:p>
    <w:p w14:paraId="08F0BD85"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lastRenderedPageBreak/>
        <w:t xml:space="preserve">23. </w:t>
      </w:r>
      <w:r w:rsidRPr="00051B46">
        <w:rPr>
          <w:rFonts w:ascii="Arial" w:hAnsi="Arial" w:cs="Arial"/>
        </w:rPr>
        <w:tab/>
        <w:t xml:space="preserve">Brea A, Mosquera D, Martín E, et al. Nonalcoholic fatty liver disease is associated with carotid atherosclerosis: a case-control study. </w:t>
      </w:r>
      <w:proofErr w:type="spellStart"/>
      <w:r w:rsidRPr="00051B46">
        <w:rPr>
          <w:rFonts w:ascii="Arial" w:hAnsi="Arial" w:cs="Arial"/>
        </w:rPr>
        <w:t>Arterioscler</w:t>
      </w:r>
      <w:proofErr w:type="spellEnd"/>
      <w:r w:rsidRPr="00051B46">
        <w:rPr>
          <w:rFonts w:ascii="Arial" w:hAnsi="Arial" w:cs="Arial"/>
        </w:rPr>
        <w:t xml:space="preserve"> </w:t>
      </w:r>
      <w:proofErr w:type="spellStart"/>
      <w:r w:rsidRPr="00051B46">
        <w:rPr>
          <w:rFonts w:ascii="Arial" w:hAnsi="Arial" w:cs="Arial"/>
        </w:rPr>
        <w:t>Thromb</w:t>
      </w:r>
      <w:proofErr w:type="spellEnd"/>
      <w:r w:rsidRPr="00051B46">
        <w:rPr>
          <w:rFonts w:ascii="Arial" w:hAnsi="Arial" w:cs="Arial"/>
        </w:rPr>
        <w:t xml:space="preserve"> </w:t>
      </w:r>
      <w:proofErr w:type="spellStart"/>
      <w:r w:rsidRPr="00051B46">
        <w:rPr>
          <w:rFonts w:ascii="Arial" w:hAnsi="Arial" w:cs="Arial"/>
        </w:rPr>
        <w:t>Vasc</w:t>
      </w:r>
      <w:proofErr w:type="spellEnd"/>
      <w:r w:rsidRPr="00051B46">
        <w:rPr>
          <w:rFonts w:ascii="Arial" w:hAnsi="Arial" w:cs="Arial"/>
        </w:rPr>
        <w:t xml:space="preserve"> Biol. </w:t>
      </w:r>
      <w:proofErr w:type="gramStart"/>
      <w:r w:rsidRPr="00051B46">
        <w:rPr>
          <w:rFonts w:ascii="Arial" w:hAnsi="Arial" w:cs="Arial"/>
        </w:rPr>
        <w:t>2005;25:1045</w:t>
      </w:r>
      <w:proofErr w:type="gramEnd"/>
      <w:r w:rsidRPr="00051B46">
        <w:rPr>
          <w:rFonts w:ascii="Arial" w:hAnsi="Arial" w:cs="Arial"/>
        </w:rPr>
        <w:t>-50.</w:t>
      </w:r>
    </w:p>
    <w:p w14:paraId="16A34CBE"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24. </w:t>
      </w:r>
      <w:r w:rsidRPr="00051B46">
        <w:rPr>
          <w:rFonts w:ascii="Arial" w:hAnsi="Arial" w:cs="Arial"/>
        </w:rPr>
        <w:tab/>
        <w:t xml:space="preserve">Adams LA, </w:t>
      </w:r>
      <w:proofErr w:type="spellStart"/>
      <w:r w:rsidRPr="00051B46">
        <w:rPr>
          <w:rFonts w:ascii="Arial" w:hAnsi="Arial" w:cs="Arial"/>
        </w:rPr>
        <w:t>Lymp</w:t>
      </w:r>
      <w:proofErr w:type="spellEnd"/>
      <w:r w:rsidRPr="00051B46">
        <w:rPr>
          <w:rFonts w:ascii="Arial" w:hAnsi="Arial" w:cs="Arial"/>
        </w:rPr>
        <w:t xml:space="preserve"> JF, St </w:t>
      </w:r>
      <w:proofErr w:type="spellStart"/>
      <w:r w:rsidRPr="00051B46">
        <w:rPr>
          <w:rFonts w:ascii="Arial" w:hAnsi="Arial" w:cs="Arial"/>
        </w:rPr>
        <w:t>Sauver</w:t>
      </w:r>
      <w:proofErr w:type="spellEnd"/>
      <w:r w:rsidRPr="00051B46">
        <w:rPr>
          <w:rFonts w:ascii="Arial" w:hAnsi="Arial" w:cs="Arial"/>
        </w:rPr>
        <w:t xml:space="preserve"> J, et al. The natural history of nonalcoholic fatty liver disease: a population-based cohort study. Gastroenterology. </w:t>
      </w:r>
      <w:proofErr w:type="gramStart"/>
      <w:r w:rsidRPr="00051B46">
        <w:rPr>
          <w:rFonts w:ascii="Arial" w:hAnsi="Arial" w:cs="Arial"/>
        </w:rPr>
        <w:t>2005;129:113</w:t>
      </w:r>
      <w:proofErr w:type="gramEnd"/>
      <w:r w:rsidRPr="00051B46">
        <w:rPr>
          <w:rFonts w:ascii="Arial" w:hAnsi="Arial" w:cs="Arial"/>
        </w:rPr>
        <w:t>-21.</w:t>
      </w:r>
    </w:p>
    <w:p w14:paraId="11C3DC0F"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25. </w:t>
      </w:r>
      <w:r w:rsidRPr="00051B46">
        <w:rPr>
          <w:rFonts w:ascii="Arial" w:hAnsi="Arial" w:cs="Arial"/>
        </w:rPr>
        <w:tab/>
      </w:r>
      <w:proofErr w:type="spellStart"/>
      <w:r w:rsidRPr="00051B46">
        <w:rPr>
          <w:rFonts w:ascii="Arial" w:hAnsi="Arial" w:cs="Arial"/>
        </w:rPr>
        <w:t>Volzke</w:t>
      </w:r>
      <w:proofErr w:type="spellEnd"/>
      <w:r w:rsidRPr="00051B46">
        <w:rPr>
          <w:rFonts w:ascii="Arial" w:hAnsi="Arial" w:cs="Arial"/>
        </w:rPr>
        <w:t xml:space="preserve"> H, Robinson DM, </w:t>
      </w:r>
      <w:proofErr w:type="spellStart"/>
      <w:r w:rsidRPr="00051B46">
        <w:rPr>
          <w:rFonts w:ascii="Arial" w:hAnsi="Arial" w:cs="Arial"/>
        </w:rPr>
        <w:t>Kleine</w:t>
      </w:r>
      <w:proofErr w:type="spellEnd"/>
      <w:r w:rsidRPr="00051B46">
        <w:rPr>
          <w:rFonts w:ascii="Arial" w:hAnsi="Arial" w:cs="Arial"/>
        </w:rPr>
        <w:t xml:space="preserve"> V, et al. Hepatic steatosis is associated with an increased risk of carotid atherosclerosis. World J Gastroenterol. </w:t>
      </w:r>
      <w:proofErr w:type="gramStart"/>
      <w:r w:rsidRPr="00051B46">
        <w:rPr>
          <w:rFonts w:ascii="Arial" w:hAnsi="Arial" w:cs="Arial"/>
        </w:rPr>
        <w:t>2005;11:1848</w:t>
      </w:r>
      <w:proofErr w:type="gramEnd"/>
      <w:r w:rsidRPr="00051B46">
        <w:rPr>
          <w:rFonts w:ascii="Arial" w:hAnsi="Arial" w:cs="Arial"/>
        </w:rPr>
        <w:t xml:space="preserve">-53. </w:t>
      </w:r>
    </w:p>
    <w:p w14:paraId="21DDE66C"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26. </w:t>
      </w:r>
      <w:r w:rsidRPr="00051B46">
        <w:rPr>
          <w:rFonts w:ascii="Arial" w:hAnsi="Arial" w:cs="Arial"/>
        </w:rPr>
        <w:tab/>
      </w:r>
      <w:proofErr w:type="spellStart"/>
      <w:r w:rsidRPr="00051B46">
        <w:rPr>
          <w:rFonts w:ascii="Arial" w:hAnsi="Arial" w:cs="Arial"/>
        </w:rPr>
        <w:t>Ekstedt</w:t>
      </w:r>
      <w:proofErr w:type="spellEnd"/>
      <w:r w:rsidRPr="00051B46">
        <w:rPr>
          <w:rFonts w:ascii="Arial" w:hAnsi="Arial" w:cs="Arial"/>
        </w:rPr>
        <w:t xml:space="preserve"> M, </w:t>
      </w:r>
      <w:proofErr w:type="spellStart"/>
      <w:r w:rsidRPr="00051B46">
        <w:rPr>
          <w:rFonts w:ascii="Arial" w:hAnsi="Arial" w:cs="Arial"/>
        </w:rPr>
        <w:t>Franzén</w:t>
      </w:r>
      <w:proofErr w:type="spellEnd"/>
      <w:r w:rsidRPr="00051B46">
        <w:rPr>
          <w:rFonts w:ascii="Arial" w:hAnsi="Arial" w:cs="Arial"/>
        </w:rPr>
        <w:t xml:space="preserve"> LE, </w:t>
      </w:r>
      <w:proofErr w:type="spellStart"/>
      <w:r w:rsidRPr="00051B46">
        <w:rPr>
          <w:rFonts w:ascii="Arial" w:hAnsi="Arial" w:cs="Arial"/>
        </w:rPr>
        <w:t>Mathiesen</w:t>
      </w:r>
      <w:proofErr w:type="spellEnd"/>
      <w:r w:rsidRPr="00051B46">
        <w:rPr>
          <w:rFonts w:ascii="Arial" w:hAnsi="Arial" w:cs="Arial"/>
        </w:rPr>
        <w:t xml:space="preserve"> UL, et al. Long-term follow-up of patients with NAFLD and elevated liver enzymes. Hepatology. </w:t>
      </w:r>
      <w:proofErr w:type="gramStart"/>
      <w:r w:rsidRPr="00051B46">
        <w:rPr>
          <w:rFonts w:ascii="Arial" w:hAnsi="Arial" w:cs="Arial"/>
        </w:rPr>
        <w:t>2006;44:865</w:t>
      </w:r>
      <w:proofErr w:type="gramEnd"/>
      <w:r w:rsidRPr="00051B46">
        <w:rPr>
          <w:rFonts w:ascii="Arial" w:hAnsi="Arial" w:cs="Arial"/>
        </w:rPr>
        <w:t xml:space="preserve">-73. </w:t>
      </w:r>
    </w:p>
    <w:p w14:paraId="58DD6ED6"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27.</w:t>
      </w:r>
      <w:r w:rsidRPr="00051B46">
        <w:rPr>
          <w:rFonts w:ascii="Arial" w:hAnsi="Arial" w:cs="Arial"/>
        </w:rPr>
        <w:tab/>
      </w:r>
      <w:proofErr w:type="spellStart"/>
      <w:r w:rsidRPr="00051B46">
        <w:rPr>
          <w:rFonts w:ascii="Arial" w:hAnsi="Arial" w:cs="Arial"/>
        </w:rPr>
        <w:t>Mirbagheri</w:t>
      </w:r>
      <w:proofErr w:type="spellEnd"/>
      <w:r w:rsidRPr="00051B46">
        <w:rPr>
          <w:rFonts w:ascii="Arial" w:hAnsi="Arial" w:cs="Arial"/>
        </w:rPr>
        <w:t xml:space="preserve"> SA, Rashidi A, Abdi S, et al. Liver: an alarm for the heart? Liver Int. </w:t>
      </w:r>
      <w:proofErr w:type="gramStart"/>
      <w:r w:rsidRPr="00051B46">
        <w:rPr>
          <w:rFonts w:ascii="Arial" w:hAnsi="Arial" w:cs="Arial"/>
        </w:rPr>
        <w:t>2007;27:891</w:t>
      </w:r>
      <w:proofErr w:type="gramEnd"/>
      <w:r w:rsidRPr="00051B46">
        <w:rPr>
          <w:rFonts w:ascii="Arial" w:hAnsi="Arial" w:cs="Arial"/>
        </w:rPr>
        <w:t>-4.</w:t>
      </w:r>
    </w:p>
    <w:p w14:paraId="41F1EB06"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28. </w:t>
      </w:r>
      <w:r w:rsidRPr="00051B46">
        <w:rPr>
          <w:rFonts w:ascii="Arial" w:hAnsi="Arial" w:cs="Arial"/>
        </w:rPr>
        <w:tab/>
        <w:t xml:space="preserve">Hamaguchi M, Kojima T, Takeda N, et al. Nonalcoholic fatty liver disease is a novel predictor of cardiovascular disease. World J Gastroenterol. </w:t>
      </w:r>
      <w:proofErr w:type="gramStart"/>
      <w:r w:rsidRPr="00051B46">
        <w:rPr>
          <w:rFonts w:ascii="Arial" w:hAnsi="Arial" w:cs="Arial"/>
        </w:rPr>
        <w:t>2007;13:1579</w:t>
      </w:r>
      <w:proofErr w:type="gramEnd"/>
      <w:r w:rsidRPr="00051B46">
        <w:rPr>
          <w:rFonts w:ascii="Arial" w:hAnsi="Arial" w:cs="Arial"/>
        </w:rPr>
        <w:t xml:space="preserve">-84. </w:t>
      </w:r>
    </w:p>
    <w:p w14:paraId="78D21281"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29. </w:t>
      </w:r>
      <w:r w:rsidRPr="00051B46">
        <w:rPr>
          <w:rFonts w:ascii="Arial" w:hAnsi="Arial" w:cs="Arial"/>
        </w:rPr>
        <w:tab/>
      </w:r>
      <w:proofErr w:type="spellStart"/>
      <w:r w:rsidRPr="00051B46">
        <w:rPr>
          <w:rFonts w:ascii="Arial" w:hAnsi="Arial" w:cs="Arial"/>
        </w:rPr>
        <w:t>Schindhelm</w:t>
      </w:r>
      <w:proofErr w:type="spellEnd"/>
      <w:r w:rsidRPr="00051B46">
        <w:rPr>
          <w:rFonts w:ascii="Arial" w:hAnsi="Arial" w:cs="Arial"/>
        </w:rPr>
        <w:t xml:space="preserve"> RK, Dekker JM, </w:t>
      </w:r>
      <w:proofErr w:type="spellStart"/>
      <w:r w:rsidRPr="00051B46">
        <w:rPr>
          <w:rFonts w:ascii="Arial" w:hAnsi="Arial" w:cs="Arial"/>
        </w:rPr>
        <w:t>Nijpels</w:t>
      </w:r>
      <w:proofErr w:type="spellEnd"/>
      <w:r w:rsidRPr="00051B46">
        <w:rPr>
          <w:rFonts w:ascii="Arial" w:hAnsi="Arial" w:cs="Arial"/>
        </w:rPr>
        <w:t xml:space="preserve"> G, et al. Alanine aminotransferase predicts coronary heart disease events: a 10 year follow up of the Hoorn study. Atherosclerosis. 2007;191(2):391-6.</w:t>
      </w:r>
    </w:p>
    <w:p w14:paraId="2E1CCA16"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30. </w:t>
      </w:r>
      <w:r w:rsidRPr="00051B46">
        <w:rPr>
          <w:rFonts w:ascii="Arial" w:hAnsi="Arial" w:cs="Arial"/>
        </w:rPr>
        <w:tab/>
      </w:r>
      <w:proofErr w:type="spellStart"/>
      <w:r w:rsidRPr="00051B46">
        <w:rPr>
          <w:rFonts w:ascii="Arial" w:hAnsi="Arial" w:cs="Arial"/>
        </w:rPr>
        <w:t>Fracanzani</w:t>
      </w:r>
      <w:proofErr w:type="spellEnd"/>
      <w:r w:rsidRPr="00051B46">
        <w:rPr>
          <w:rFonts w:ascii="Arial" w:hAnsi="Arial" w:cs="Arial"/>
        </w:rPr>
        <w:t xml:space="preserve"> AL, Burdick L, </w:t>
      </w:r>
      <w:proofErr w:type="spellStart"/>
      <w:r w:rsidRPr="00051B46">
        <w:rPr>
          <w:rFonts w:ascii="Arial" w:hAnsi="Arial" w:cs="Arial"/>
        </w:rPr>
        <w:t>Raselli</w:t>
      </w:r>
      <w:proofErr w:type="spellEnd"/>
      <w:r w:rsidRPr="00051B46">
        <w:rPr>
          <w:rFonts w:ascii="Arial" w:hAnsi="Arial" w:cs="Arial"/>
        </w:rPr>
        <w:t xml:space="preserve"> S, et al. Carotid artery intima-media thickness in nonalcoholic fatty liver disease. Am J Med. </w:t>
      </w:r>
      <w:proofErr w:type="gramStart"/>
      <w:r w:rsidRPr="00051B46">
        <w:rPr>
          <w:rFonts w:ascii="Arial" w:hAnsi="Arial" w:cs="Arial"/>
        </w:rPr>
        <w:t>2008;121:72</w:t>
      </w:r>
      <w:proofErr w:type="gramEnd"/>
      <w:r w:rsidRPr="00051B46">
        <w:rPr>
          <w:rFonts w:ascii="Arial" w:hAnsi="Arial" w:cs="Arial"/>
        </w:rPr>
        <w:t xml:space="preserve">-8.  </w:t>
      </w:r>
    </w:p>
    <w:p w14:paraId="21818523"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31. </w:t>
      </w:r>
      <w:r w:rsidRPr="00051B46">
        <w:rPr>
          <w:rFonts w:ascii="Arial" w:hAnsi="Arial" w:cs="Arial"/>
        </w:rPr>
        <w:tab/>
      </w:r>
      <w:proofErr w:type="spellStart"/>
      <w:r w:rsidRPr="00051B46">
        <w:rPr>
          <w:rFonts w:ascii="Arial" w:hAnsi="Arial" w:cs="Arial"/>
        </w:rPr>
        <w:t>Goessling</w:t>
      </w:r>
      <w:proofErr w:type="spellEnd"/>
      <w:r w:rsidRPr="00051B46">
        <w:rPr>
          <w:rFonts w:ascii="Arial" w:hAnsi="Arial" w:cs="Arial"/>
        </w:rPr>
        <w:t xml:space="preserve"> W, Massaro JM, </w:t>
      </w:r>
      <w:proofErr w:type="spellStart"/>
      <w:r w:rsidRPr="00051B46">
        <w:rPr>
          <w:rFonts w:ascii="Arial" w:hAnsi="Arial" w:cs="Arial"/>
        </w:rPr>
        <w:t>Vasan</w:t>
      </w:r>
      <w:proofErr w:type="spellEnd"/>
      <w:r w:rsidRPr="00051B46">
        <w:rPr>
          <w:rFonts w:ascii="Arial" w:hAnsi="Arial" w:cs="Arial"/>
        </w:rPr>
        <w:t xml:space="preserve"> RS, et al. Aminotransferase levels and </w:t>
      </w:r>
      <w:proofErr w:type="gramStart"/>
      <w:r w:rsidRPr="00051B46">
        <w:rPr>
          <w:rFonts w:ascii="Arial" w:hAnsi="Arial" w:cs="Arial"/>
        </w:rPr>
        <w:t>20 year</w:t>
      </w:r>
      <w:proofErr w:type="gramEnd"/>
      <w:r w:rsidRPr="00051B46">
        <w:rPr>
          <w:rFonts w:ascii="Arial" w:hAnsi="Arial" w:cs="Arial"/>
        </w:rPr>
        <w:t xml:space="preserve"> risk of metabolic syndrome, diabetes, and cardiovascular disease. Gastroenterology. </w:t>
      </w:r>
      <w:proofErr w:type="gramStart"/>
      <w:r w:rsidRPr="00051B46">
        <w:rPr>
          <w:rFonts w:ascii="Arial" w:hAnsi="Arial" w:cs="Arial"/>
        </w:rPr>
        <w:t>2008;135:1935</w:t>
      </w:r>
      <w:proofErr w:type="gramEnd"/>
      <w:r w:rsidRPr="00051B46">
        <w:rPr>
          <w:rFonts w:ascii="Arial" w:hAnsi="Arial" w:cs="Arial"/>
        </w:rPr>
        <w:t>-44.</w:t>
      </w:r>
    </w:p>
    <w:p w14:paraId="00DD4CB6"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32. </w:t>
      </w:r>
      <w:r w:rsidRPr="00051B46">
        <w:rPr>
          <w:rFonts w:ascii="Arial" w:hAnsi="Arial" w:cs="Arial"/>
        </w:rPr>
        <w:tab/>
      </w:r>
      <w:proofErr w:type="spellStart"/>
      <w:r w:rsidRPr="00051B46">
        <w:rPr>
          <w:rFonts w:ascii="Arial" w:hAnsi="Arial" w:cs="Arial"/>
        </w:rPr>
        <w:t>Aygun</w:t>
      </w:r>
      <w:proofErr w:type="spellEnd"/>
      <w:r w:rsidRPr="00051B46">
        <w:rPr>
          <w:rFonts w:ascii="Arial" w:hAnsi="Arial" w:cs="Arial"/>
        </w:rPr>
        <w:t xml:space="preserve"> C, </w:t>
      </w:r>
      <w:proofErr w:type="spellStart"/>
      <w:r w:rsidRPr="00051B46">
        <w:rPr>
          <w:rFonts w:ascii="Arial" w:hAnsi="Arial" w:cs="Arial"/>
        </w:rPr>
        <w:t>Kocaman</w:t>
      </w:r>
      <w:proofErr w:type="spellEnd"/>
      <w:r w:rsidRPr="00051B46">
        <w:rPr>
          <w:rFonts w:ascii="Arial" w:hAnsi="Arial" w:cs="Arial"/>
        </w:rPr>
        <w:t xml:space="preserve"> O, </w:t>
      </w:r>
      <w:proofErr w:type="spellStart"/>
      <w:r w:rsidRPr="00051B46">
        <w:rPr>
          <w:rFonts w:ascii="Arial" w:hAnsi="Arial" w:cs="Arial"/>
        </w:rPr>
        <w:t>Sahin</w:t>
      </w:r>
      <w:proofErr w:type="spellEnd"/>
      <w:r w:rsidRPr="00051B46">
        <w:rPr>
          <w:rFonts w:ascii="Arial" w:hAnsi="Arial" w:cs="Arial"/>
        </w:rPr>
        <w:t xml:space="preserve"> T, et al. Evaluation of metabolic syndrome frequency and carotid artery intima-media thickness as risk factors for atherosclerosis in patients with nonalcoholic fatty liver disease. Dig Dis Sci. </w:t>
      </w:r>
      <w:proofErr w:type="gramStart"/>
      <w:r w:rsidRPr="00051B46">
        <w:rPr>
          <w:rFonts w:ascii="Arial" w:hAnsi="Arial" w:cs="Arial"/>
        </w:rPr>
        <w:t>2008;53:1352</w:t>
      </w:r>
      <w:proofErr w:type="gramEnd"/>
      <w:r w:rsidRPr="00051B46">
        <w:rPr>
          <w:rFonts w:ascii="Arial" w:hAnsi="Arial" w:cs="Arial"/>
        </w:rPr>
        <w:t>-57.</w:t>
      </w:r>
    </w:p>
    <w:p w14:paraId="44D4900C"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33. </w:t>
      </w:r>
      <w:r w:rsidRPr="00051B46">
        <w:rPr>
          <w:rFonts w:ascii="Arial" w:hAnsi="Arial" w:cs="Arial"/>
        </w:rPr>
        <w:tab/>
        <w:t xml:space="preserve">Haring R, </w:t>
      </w:r>
      <w:proofErr w:type="spellStart"/>
      <w:r w:rsidRPr="00051B46">
        <w:rPr>
          <w:rFonts w:ascii="Arial" w:hAnsi="Arial" w:cs="Arial"/>
        </w:rPr>
        <w:t>Wallaschofski</w:t>
      </w:r>
      <w:proofErr w:type="spellEnd"/>
      <w:r w:rsidRPr="00051B46">
        <w:rPr>
          <w:rFonts w:ascii="Arial" w:hAnsi="Arial" w:cs="Arial"/>
        </w:rPr>
        <w:t xml:space="preserve"> H, </w:t>
      </w:r>
      <w:proofErr w:type="spellStart"/>
      <w:r w:rsidRPr="00051B46">
        <w:rPr>
          <w:rFonts w:ascii="Arial" w:hAnsi="Arial" w:cs="Arial"/>
        </w:rPr>
        <w:t>Nauck</w:t>
      </w:r>
      <w:proofErr w:type="spellEnd"/>
      <w:r w:rsidRPr="00051B46">
        <w:rPr>
          <w:rFonts w:ascii="Arial" w:hAnsi="Arial" w:cs="Arial"/>
        </w:rPr>
        <w:t xml:space="preserve"> M, et al. Ultrasonographic hepatic steatosis increases prediction of mortality risk from elevated serum gamma-glutamyl transpeptidase levels. Hepatology. </w:t>
      </w:r>
      <w:proofErr w:type="gramStart"/>
      <w:r w:rsidRPr="00051B46">
        <w:rPr>
          <w:rFonts w:ascii="Arial" w:hAnsi="Arial" w:cs="Arial"/>
        </w:rPr>
        <w:t>2009;50:1403</w:t>
      </w:r>
      <w:proofErr w:type="gramEnd"/>
      <w:r w:rsidRPr="00051B46">
        <w:rPr>
          <w:rFonts w:ascii="Arial" w:hAnsi="Arial" w:cs="Arial"/>
        </w:rPr>
        <w:t xml:space="preserve">-11. </w:t>
      </w:r>
    </w:p>
    <w:p w14:paraId="29A70377"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34. </w:t>
      </w:r>
      <w:r w:rsidRPr="00051B46">
        <w:rPr>
          <w:rFonts w:ascii="Arial" w:hAnsi="Arial" w:cs="Arial"/>
        </w:rPr>
        <w:tab/>
        <w:t xml:space="preserve">Rafiq N, Bai C, Fang Y, et al. Long-term follow-up of patients with nonalcoholic fatty liver. Clin Gastroenterol </w:t>
      </w:r>
      <w:proofErr w:type="spellStart"/>
      <w:r w:rsidRPr="00051B46">
        <w:rPr>
          <w:rFonts w:ascii="Arial" w:hAnsi="Arial" w:cs="Arial"/>
        </w:rPr>
        <w:t>Hepatol</w:t>
      </w:r>
      <w:proofErr w:type="spellEnd"/>
      <w:r w:rsidRPr="00051B46">
        <w:rPr>
          <w:rFonts w:ascii="Arial" w:hAnsi="Arial" w:cs="Arial"/>
        </w:rPr>
        <w:t xml:space="preserve">. </w:t>
      </w:r>
      <w:proofErr w:type="gramStart"/>
      <w:r w:rsidRPr="00051B46">
        <w:rPr>
          <w:rFonts w:ascii="Arial" w:hAnsi="Arial" w:cs="Arial"/>
        </w:rPr>
        <w:t>2009;7:234</w:t>
      </w:r>
      <w:proofErr w:type="gramEnd"/>
      <w:r w:rsidRPr="00051B46">
        <w:rPr>
          <w:rFonts w:ascii="Arial" w:hAnsi="Arial" w:cs="Arial"/>
        </w:rPr>
        <w:t>-8.</w:t>
      </w:r>
    </w:p>
    <w:p w14:paraId="073CA8C7"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35. </w:t>
      </w:r>
      <w:r w:rsidRPr="00051B46">
        <w:rPr>
          <w:rFonts w:ascii="Arial" w:hAnsi="Arial" w:cs="Arial"/>
        </w:rPr>
        <w:tab/>
        <w:t xml:space="preserve">Salvi P, Ruffini R, </w:t>
      </w:r>
      <w:proofErr w:type="spellStart"/>
      <w:r w:rsidRPr="00051B46">
        <w:rPr>
          <w:rFonts w:ascii="Arial" w:hAnsi="Arial" w:cs="Arial"/>
        </w:rPr>
        <w:t>Agnoletti</w:t>
      </w:r>
      <w:proofErr w:type="spellEnd"/>
      <w:r w:rsidRPr="00051B46">
        <w:rPr>
          <w:rFonts w:ascii="Arial" w:hAnsi="Arial" w:cs="Arial"/>
        </w:rPr>
        <w:t xml:space="preserve"> D, et al. Increased arterial stiffness in nonalcoholic fatty liver disease: the cardio-GOOSE study. J </w:t>
      </w:r>
      <w:proofErr w:type="spellStart"/>
      <w:r w:rsidRPr="00051B46">
        <w:rPr>
          <w:rFonts w:ascii="Arial" w:hAnsi="Arial" w:cs="Arial"/>
        </w:rPr>
        <w:t>Hypertens</w:t>
      </w:r>
      <w:proofErr w:type="spellEnd"/>
      <w:r w:rsidRPr="00051B46">
        <w:rPr>
          <w:rFonts w:ascii="Arial" w:hAnsi="Arial" w:cs="Arial"/>
        </w:rPr>
        <w:t xml:space="preserve">. </w:t>
      </w:r>
      <w:proofErr w:type="gramStart"/>
      <w:r w:rsidRPr="00051B46">
        <w:rPr>
          <w:rFonts w:ascii="Arial" w:hAnsi="Arial" w:cs="Arial"/>
        </w:rPr>
        <w:t>2010;28:1699</w:t>
      </w:r>
      <w:proofErr w:type="gramEnd"/>
      <w:r w:rsidRPr="00051B46">
        <w:rPr>
          <w:rFonts w:ascii="Arial" w:hAnsi="Arial" w:cs="Arial"/>
        </w:rPr>
        <w:t>-707.</w:t>
      </w:r>
    </w:p>
    <w:p w14:paraId="3D2384C7"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36. </w:t>
      </w:r>
      <w:r w:rsidRPr="00051B46">
        <w:rPr>
          <w:rFonts w:ascii="Arial" w:hAnsi="Arial" w:cs="Arial"/>
        </w:rPr>
        <w:tab/>
      </w:r>
      <w:proofErr w:type="spellStart"/>
      <w:r w:rsidRPr="00051B46">
        <w:rPr>
          <w:rFonts w:ascii="Arial" w:hAnsi="Arial" w:cs="Arial"/>
        </w:rPr>
        <w:t>Söderberg</w:t>
      </w:r>
      <w:proofErr w:type="spellEnd"/>
      <w:r w:rsidRPr="00051B46">
        <w:rPr>
          <w:rFonts w:ascii="Arial" w:hAnsi="Arial" w:cs="Arial"/>
        </w:rPr>
        <w:t xml:space="preserve"> C, </w:t>
      </w:r>
      <w:proofErr w:type="spellStart"/>
      <w:r w:rsidRPr="00051B46">
        <w:rPr>
          <w:rFonts w:ascii="Arial" w:hAnsi="Arial" w:cs="Arial"/>
        </w:rPr>
        <w:t>Stål</w:t>
      </w:r>
      <w:proofErr w:type="spellEnd"/>
      <w:r w:rsidRPr="00051B46">
        <w:rPr>
          <w:rFonts w:ascii="Arial" w:hAnsi="Arial" w:cs="Arial"/>
        </w:rPr>
        <w:t xml:space="preserve"> P, </w:t>
      </w:r>
      <w:proofErr w:type="spellStart"/>
      <w:r w:rsidRPr="00051B46">
        <w:rPr>
          <w:rFonts w:ascii="Arial" w:hAnsi="Arial" w:cs="Arial"/>
        </w:rPr>
        <w:t>Askling</w:t>
      </w:r>
      <w:proofErr w:type="spellEnd"/>
      <w:r w:rsidRPr="00051B46">
        <w:rPr>
          <w:rFonts w:ascii="Arial" w:hAnsi="Arial" w:cs="Arial"/>
        </w:rPr>
        <w:t xml:space="preserve"> J, et al. Decreased survival of subjects with elevated liver function tests during a 28-year follow-up. Hepatology. </w:t>
      </w:r>
      <w:proofErr w:type="gramStart"/>
      <w:r w:rsidRPr="00051B46">
        <w:rPr>
          <w:rFonts w:ascii="Arial" w:hAnsi="Arial" w:cs="Arial"/>
        </w:rPr>
        <w:t>2010;51:595</w:t>
      </w:r>
      <w:proofErr w:type="gramEnd"/>
      <w:r w:rsidRPr="00051B46">
        <w:rPr>
          <w:rFonts w:ascii="Arial" w:hAnsi="Arial" w:cs="Arial"/>
        </w:rPr>
        <w:t>-602.</w:t>
      </w:r>
    </w:p>
    <w:p w14:paraId="16A99FC3"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37. </w:t>
      </w:r>
      <w:r w:rsidRPr="00051B46">
        <w:rPr>
          <w:rFonts w:ascii="Arial" w:hAnsi="Arial" w:cs="Arial"/>
        </w:rPr>
        <w:tab/>
        <w:t xml:space="preserve">Zhou YJ, Li YY, </w:t>
      </w:r>
      <w:proofErr w:type="spellStart"/>
      <w:r w:rsidRPr="00051B46">
        <w:rPr>
          <w:rFonts w:ascii="Arial" w:hAnsi="Arial" w:cs="Arial"/>
        </w:rPr>
        <w:t>Nie</w:t>
      </w:r>
      <w:proofErr w:type="spellEnd"/>
      <w:r w:rsidRPr="00051B46">
        <w:rPr>
          <w:rFonts w:ascii="Arial" w:hAnsi="Arial" w:cs="Arial"/>
        </w:rPr>
        <w:t xml:space="preserve"> YQ, et al. Natural course of nonalcoholic fatty liver disease in southern China: a prospective cohort study. J Dig Dis </w:t>
      </w:r>
      <w:proofErr w:type="gramStart"/>
      <w:r w:rsidRPr="00051B46">
        <w:rPr>
          <w:rFonts w:ascii="Arial" w:hAnsi="Arial" w:cs="Arial"/>
        </w:rPr>
        <w:t>2012;13:153</w:t>
      </w:r>
      <w:proofErr w:type="gramEnd"/>
      <w:r w:rsidRPr="00051B46">
        <w:rPr>
          <w:rFonts w:ascii="Arial" w:hAnsi="Arial" w:cs="Arial"/>
        </w:rPr>
        <w:t>-60.</w:t>
      </w:r>
    </w:p>
    <w:p w14:paraId="0462AAAD"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38. </w:t>
      </w:r>
      <w:r w:rsidRPr="00051B46">
        <w:rPr>
          <w:rFonts w:ascii="Arial" w:hAnsi="Arial" w:cs="Arial"/>
        </w:rPr>
        <w:tab/>
        <w:t xml:space="preserve">Stepanova M, </w:t>
      </w:r>
      <w:proofErr w:type="spellStart"/>
      <w:r w:rsidRPr="00051B46">
        <w:rPr>
          <w:rFonts w:ascii="Arial" w:hAnsi="Arial" w:cs="Arial"/>
        </w:rPr>
        <w:t>Younossi</w:t>
      </w:r>
      <w:proofErr w:type="spellEnd"/>
      <w:r w:rsidRPr="00051B46">
        <w:rPr>
          <w:rFonts w:ascii="Arial" w:hAnsi="Arial" w:cs="Arial"/>
        </w:rPr>
        <w:t xml:space="preserve"> ZM. Independent association between nonalcoholic fatty liver disease and cardiovascular disease in the US population. Clin Gastroenterol </w:t>
      </w:r>
      <w:proofErr w:type="spellStart"/>
      <w:r w:rsidRPr="00051B46">
        <w:rPr>
          <w:rFonts w:ascii="Arial" w:hAnsi="Arial" w:cs="Arial"/>
        </w:rPr>
        <w:t>Hepatol</w:t>
      </w:r>
      <w:proofErr w:type="spellEnd"/>
      <w:r w:rsidRPr="00051B46">
        <w:rPr>
          <w:rFonts w:ascii="Arial" w:hAnsi="Arial" w:cs="Arial"/>
        </w:rPr>
        <w:t xml:space="preserve">. </w:t>
      </w:r>
      <w:proofErr w:type="gramStart"/>
      <w:r w:rsidRPr="00051B46">
        <w:rPr>
          <w:rFonts w:ascii="Arial" w:hAnsi="Arial" w:cs="Arial"/>
        </w:rPr>
        <w:t>2012;10:646</w:t>
      </w:r>
      <w:proofErr w:type="gramEnd"/>
      <w:r w:rsidRPr="00051B46">
        <w:rPr>
          <w:rFonts w:ascii="Arial" w:hAnsi="Arial" w:cs="Arial"/>
        </w:rPr>
        <w:t>-50.</w:t>
      </w:r>
    </w:p>
    <w:p w14:paraId="583A501D"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39. </w:t>
      </w:r>
      <w:r w:rsidRPr="00051B46">
        <w:rPr>
          <w:rFonts w:ascii="Arial" w:hAnsi="Arial" w:cs="Arial"/>
        </w:rPr>
        <w:tab/>
        <w:t xml:space="preserve">Lee YJ, Shim JY, Moon BS, et al. The relationship between arterial stiffness and nonalcoholic fatty liver disease. Dig Dis Sci. </w:t>
      </w:r>
      <w:proofErr w:type="gramStart"/>
      <w:r w:rsidRPr="00051B46">
        <w:rPr>
          <w:rFonts w:ascii="Arial" w:hAnsi="Arial" w:cs="Arial"/>
        </w:rPr>
        <w:t>2012;57:196</w:t>
      </w:r>
      <w:proofErr w:type="gramEnd"/>
      <w:r w:rsidRPr="00051B46">
        <w:rPr>
          <w:rFonts w:ascii="Arial" w:hAnsi="Arial" w:cs="Arial"/>
        </w:rPr>
        <w:t>-203.</w:t>
      </w:r>
    </w:p>
    <w:p w14:paraId="50205B40"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40. </w:t>
      </w:r>
      <w:r w:rsidRPr="00051B46">
        <w:rPr>
          <w:rFonts w:ascii="Arial" w:hAnsi="Arial" w:cs="Arial"/>
        </w:rPr>
        <w:tab/>
      </w:r>
      <w:proofErr w:type="spellStart"/>
      <w:r w:rsidRPr="00051B46">
        <w:rPr>
          <w:rFonts w:ascii="Arial" w:hAnsi="Arial" w:cs="Arial"/>
        </w:rPr>
        <w:t>Kozakova</w:t>
      </w:r>
      <w:proofErr w:type="spellEnd"/>
      <w:r w:rsidRPr="00051B46">
        <w:rPr>
          <w:rFonts w:ascii="Arial" w:hAnsi="Arial" w:cs="Arial"/>
        </w:rPr>
        <w:t xml:space="preserve"> M, </w:t>
      </w:r>
      <w:proofErr w:type="spellStart"/>
      <w:r w:rsidRPr="00051B46">
        <w:rPr>
          <w:rFonts w:ascii="Arial" w:hAnsi="Arial" w:cs="Arial"/>
        </w:rPr>
        <w:t>Palombo</w:t>
      </w:r>
      <w:proofErr w:type="spellEnd"/>
      <w:r w:rsidRPr="00051B46">
        <w:rPr>
          <w:rFonts w:ascii="Arial" w:hAnsi="Arial" w:cs="Arial"/>
        </w:rPr>
        <w:t xml:space="preserve"> C, </w:t>
      </w:r>
      <w:proofErr w:type="spellStart"/>
      <w:r w:rsidRPr="00051B46">
        <w:rPr>
          <w:rFonts w:ascii="Arial" w:hAnsi="Arial" w:cs="Arial"/>
        </w:rPr>
        <w:t>Eng</w:t>
      </w:r>
      <w:proofErr w:type="spellEnd"/>
      <w:r w:rsidRPr="00051B46">
        <w:rPr>
          <w:rFonts w:ascii="Arial" w:hAnsi="Arial" w:cs="Arial"/>
        </w:rPr>
        <w:t xml:space="preserve"> MP, et al. Fatty liver index, gamma-</w:t>
      </w:r>
      <w:proofErr w:type="spellStart"/>
      <w:r w:rsidRPr="00051B46">
        <w:rPr>
          <w:rFonts w:ascii="Arial" w:hAnsi="Arial" w:cs="Arial"/>
        </w:rPr>
        <w:t>glutamyltransferase</w:t>
      </w:r>
      <w:proofErr w:type="spellEnd"/>
      <w:r w:rsidRPr="00051B46">
        <w:rPr>
          <w:rFonts w:ascii="Arial" w:hAnsi="Arial" w:cs="Arial"/>
        </w:rPr>
        <w:t xml:space="preserve">, and early carotid plaques. Hepatology. </w:t>
      </w:r>
      <w:proofErr w:type="gramStart"/>
      <w:r w:rsidRPr="00051B46">
        <w:rPr>
          <w:rFonts w:ascii="Arial" w:hAnsi="Arial" w:cs="Arial"/>
        </w:rPr>
        <w:t>2012;55:1406</w:t>
      </w:r>
      <w:proofErr w:type="gramEnd"/>
      <w:r w:rsidRPr="00051B46">
        <w:rPr>
          <w:rFonts w:ascii="Arial" w:hAnsi="Arial" w:cs="Arial"/>
        </w:rPr>
        <w:t xml:space="preserve">-15. </w:t>
      </w:r>
    </w:p>
    <w:p w14:paraId="0459839D"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41. </w:t>
      </w:r>
      <w:r w:rsidRPr="00051B46">
        <w:rPr>
          <w:rFonts w:ascii="Arial" w:hAnsi="Arial" w:cs="Arial"/>
        </w:rPr>
        <w:tab/>
        <w:t xml:space="preserve">Kim D, Choi SY, Park EH, et al. Nonalcoholic fatty liver disease is associated with coronary artery calcification. Hepatology. </w:t>
      </w:r>
      <w:proofErr w:type="gramStart"/>
      <w:r w:rsidRPr="00051B46">
        <w:rPr>
          <w:rFonts w:ascii="Arial" w:hAnsi="Arial" w:cs="Arial"/>
        </w:rPr>
        <w:t>2012;56:605</w:t>
      </w:r>
      <w:proofErr w:type="gramEnd"/>
      <w:r w:rsidRPr="00051B46">
        <w:rPr>
          <w:rFonts w:ascii="Arial" w:hAnsi="Arial" w:cs="Arial"/>
        </w:rPr>
        <w:t>-613.</w:t>
      </w:r>
    </w:p>
    <w:p w14:paraId="791ADDF2"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42. </w:t>
      </w:r>
      <w:r w:rsidRPr="00051B46">
        <w:rPr>
          <w:rFonts w:ascii="Arial" w:hAnsi="Arial" w:cs="Arial"/>
        </w:rPr>
        <w:tab/>
      </w:r>
      <w:proofErr w:type="spellStart"/>
      <w:r w:rsidRPr="00051B46">
        <w:rPr>
          <w:rFonts w:ascii="Arial" w:hAnsi="Arial" w:cs="Arial"/>
        </w:rPr>
        <w:t>Hallsworth</w:t>
      </w:r>
      <w:proofErr w:type="spellEnd"/>
      <w:r w:rsidRPr="00051B46">
        <w:rPr>
          <w:rFonts w:ascii="Arial" w:hAnsi="Arial" w:cs="Arial"/>
        </w:rPr>
        <w:t xml:space="preserve"> K, Hollingsworth KG, </w:t>
      </w:r>
      <w:proofErr w:type="spellStart"/>
      <w:r w:rsidRPr="00051B46">
        <w:rPr>
          <w:rFonts w:ascii="Arial" w:hAnsi="Arial" w:cs="Arial"/>
        </w:rPr>
        <w:t>Thoma</w:t>
      </w:r>
      <w:proofErr w:type="spellEnd"/>
      <w:r w:rsidRPr="00051B46">
        <w:rPr>
          <w:rFonts w:ascii="Arial" w:hAnsi="Arial" w:cs="Arial"/>
        </w:rPr>
        <w:t xml:space="preserve"> C, et al. Cardiac structure and function are altered in adults with non-alcoholic fatty liver disease. J </w:t>
      </w:r>
      <w:proofErr w:type="spellStart"/>
      <w:r w:rsidRPr="00051B46">
        <w:rPr>
          <w:rFonts w:ascii="Arial" w:hAnsi="Arial" w:cs="Arial"/>
        </w:rPr>
        <w:t>Hepatol</w:t>
      </w:r>
      <w:proofErr w:type="spellEnd"/>
      <w:r w:rsidRPr="00051B46">
        <w:rPr>
          <w:rFonts w:ascii="Arial" w:hAnsi="Arial" w:cs="Arial"/>
        </w:rPr>
        <w:t xml:space="preserve">. </w:t>
      </w:r>
      <w:proofErr w:type="gramStart"/>
      <w:r w:rsidRPr="00051B46">
        <w:rPr>
          <w:rFonts w:ascii="Arial" w:hAnsi="Arial" w:cs="Arial"/>
        </w:rPr>
        <w:t>2013;58:757</w:t>
      </w:r>
      <w:proofErr w:type="gramEnd"/>
      <w:r w:rsidRPr="00051B46">
        <w:rPr>
          <w:rFonts w:ascii="Arial" w:hAnsi="Arial" w:cs="Arial"/>
        </w:rPr>
        <w:t>-62.</w:t>
      </w:r>
    </w:p>
    <w:p w14:paraId="16C18ACC"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43. </w:t>
      </w:r>
      <w:r w:rsidRPr="00051B46">
        <w:rPr>
          <w:rFonts w:ascii="Arial" w:hAnsi="Arial" w:cs="Arial"/>
        </w:rPr>
        <w:tab/>
      </w:r>
      <w:proofErr w:type="spellStart"/>
      <w:r w:rsidRPr="00051B46">
        <w:rPr>
          <w:rFonts w:ascii="Arial" w:hAnsi="Arial" w:cs="Arial"/>
        </w:rPr>
        <w:t>Colak</w:t>
      </w:r>
      <w:proofErr w:type="spellEnd"/>
      <w:r w:rsidRPr="00051B46">
        <w:rPr>
          <w:rFonts w:ascii="Arial" w:hAnsi="Arial" w:cs="Arial"/>
        </w:rPr>
        <w:t xml:space="preserve"> Y, Senates E, </w:t>
      </w:r>
      <w:proofErr w:type="spellStart"/>
      <w:r w:rsidRPr="00051B46">
        <w:rPr>
          <w:rFonts w:ascii="Arial" w:hAnsi="Arial" w:cs="Arial"/>
        </w:rPr>
        <w:t>Yesil</w:t>
      </w:r>
      <w:proofErr w:type="spellEnd"/>
      <w:r w:rsidRPr="00051B46">
        <w:rPr>
          <w:rFonts w:ascii="Arial" w:hAnsi="Arial" w:cs="Arial"/>
        </w:rPr>
        <w:t xml:space="preserve"> A, et al. Assessment of endothelial function in patients with nonalcoholic fatty liver disease. Endocrine. </w:t>
      </w:r>
      <w:proofErr w:type="gramStart"/>
      <w:r w:rsidRPr="00051B46">
        <w:rPr>
          <w:rFonts w:ascii="Arial" w:hAnsi="Arial" w:cs="Arial"/>
        </w:rPr>
        <w:t>2013;43:100</w:t>
      </w:r>
      <w:proofErr w:type="gramEnd"/>
      <w:r w:rsidRPr="00051B46">
        <w:rPr>
          <w:rFonts w:ascii="Arial" w:hAnsi="Arial" w:cs="Arial"/>
        </w:rPr>
        <w:t>-107.</w:t>
      </w:r>
    </w:p>
    <w:p w14:paraId="19F66D95"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lastRenderedPageBreak/>
        <w:t xml:space="preserve">44. </w:t>
      </w:r>
      <w:r w:rsidRPr="00051B46">
        <w:rPr>
          <w:rFonts w:ascii="Arial" w:hAnsi="Arial" w:cs="Arial"/>
        </w:rPr>
        <w:tab/>
      </w:r>
      <w:proofErr w:type="spellStart"/>
      <w:r w:rsidRPr="00051B46">
        <w:rPr>
          <w:rFonts w:ascii="Arial" w:hAnsi="Arial" w:cs="Arial"/>
        </w:rPr>
        <w:t>Pisto</w:t>
      </w:r>
      <w:proofErr w:type="spellEnd"/>
      <w:r w:rsidRPr="00051B46">
        <w:rPr>
          <w:rFonts w:ascii="Arial" w:hAnsi="Arial" w:cs="Arial"/>
        </w:rPr>
        <w:t xml:space="preserve"> P, </w:t>
      </w:r>
      <w:proofErr w:type="spellStart"/>
      <w:r w:rsidRPr="00051B46">
        <w:rPr>
          <w:rFonts w:ascii="Arial" w:hAnsi="Arial" w:cs="Arial"/>
        </w:rPr>
        <w:t>Santaniemi</w:t>
      </w:r>
      <w:proofErr w:type="spellEnd"/>
      <w:r w:rsidRPr="00051B46">
        <w:rPr>
          <w:rFonts w:ascii="Arial" w:hAnsi="Arial" w:cs="Arial"/>
        </w:rPr>
        <w:t xml:space="preserve"> M, </w:t>
      </w:r>
      <w:proofErr w:type="spellStart"/>
      <w:r w:rsidRPr="00051B46">
        <w:rPr>
          <w:rFonts w:ascii="Arial" w:hAnsi="Arial" w:cs="Arial"/>
        </w:rPr>
        <w:t>Bloigu</w:t>
      </w:r>
      <w:proofErr w:type="spellEnd"/>
      <w:r w:rsidRPr="00051B46">
        <w:rPr>
          <w:rFonts w:ascii="Arial" w:hAnsi="Arial" w:cs="Arial"/>
        </w:rPr>
        <w:t xml:space="preserve"> R, et al. Fatty liver predicts the risk for cardiovascular events in middle-aged population: a population-based cohort study. BMJ Open. 2014;</w:t>
      </w:r>
      <w:proofErr w:type="gramStart"/>
      <w:r w:rsidRPr="00051B46">
        <w:rPr>
          <w:rFonts w:ascii="Arial" w:hAnsi="Arial" w:cs="Arial"/>
        </w:rPr>
        <w:t>4:e</w:t>
      </w:r>
      <w:proofErr w:type="gramEnd"/>
      <w:r w:rsidRPr="00051B46">
        <w:rPr>
          <w:rFonts w:ascii="Arial" w:hAnsi="Arial" w:cs="Arial"/>
        </w:rPr>
        <w:t xml:space="preserve">004973. </w:t>
      </w:r>
    </w:p>
    <w:p w14:paraId="1DD6ACD2"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45. </w:t>
      </w:r>
      <w:r w:rsidRPr="00051B46">
        <w:rPr>
          <w:rFonts w:ascii="Arial" w:hAnsi="Arial" w:cs="Arial"/>
        </w:rPr>
        <w:tab/>
      </w:r>
      <w:proofErr w:type="spellStart"/>
      <w:r w:rsidRPr="00051B46">
        <w:rPr>
          <w:rFonts w:ascii="Arial" w:hAnsi="Arial" w:cs="Arial"/>
        </w:rPr>
        <w:t>Ekstedt</w:t>
      </w:r>
      <w:proofErr w:type="spellEnd"/>
      <w:r w:rsidRPr="00051B46">
        <w:rPr>
          <w:rFonts w:ascii="Arial" w:hAnsi="Arial" w:cs="Arial"/>
        </w:rPr>
        <w:t xml:space="preserve"> M, </w:t>
      </w:r>
      <w:proofErr w:type="spellStart"/>
      <w:r w:rsidRPr="00051B46">
        <w:rPr>
          <w:rFonts w:ascii="Arial" w:hAnsi="Arial" w:cs="Arial"/>
        </w:rPr>
        <w:t>Hagström</w:t>
      </w:r>
      <w:proofErr w:type="spellEnd"/>
      <w:r w:rsidRPr="00051B46">
        <w:rPr>
          <w:rFonts w:ascii="Arial" w:hAnsi="Arial" w:cs="Arial"/>
        </w:rPr>
        <w:t xml:space="preserve"> H, Nasr P, et al. Fibrosis stage is the strongest predictor for disease-specific mortality in NAFLD after up to 33 years of follow-up. Hepatology. </w:t>
      </w:r>
      <w:proofErr w:type="gramStart"/>
      <w:r w:rsidRPr="00051B46">
        <w:rPr>
          <w:rFonts w:ascii="Arial" w:hAnsi="Arial" w:cs="Arial"/>
        </w:rPr>
        <w:t>2015;61:1547</w:t>
      </w:r>
      <w:proofErr w:type="gramEnd"/>
      <w:r w:rsidRPr="00051B46">
        <w:rPr>
          <w:rFonts w:ascii="Arial" w:hAnsi="Arial" w:cs="Arial"/>
        </w:rPr>
        <w:t>-54.</w:t>
      </w:r>
    </w:p>
    <w:p w14:paraId="4FB0B6E6"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46. </w:t>
      </w:r>
      <w:r w:rsidRPr="00051B46">
        <w:rPr>
          <w:rFonts w:ascii="Arial" w:hAnsi="Arial" w:cs="Arial"/>
        </w:rPr>
        <w:tab/>
        <w:t xml:space="preserve">Zeb I, Li D, </w:t>
      </w:r>
      <w:proofErr w:type="spellStart"/>
      <w:r w:rsidRPr="00051B46">
        <w:rPr>
          <w:rFonts w:ascii="Arial" w:hAnsi="Arial" w:cs="Arial"/>
        </w:rPr>
        <w:t>Budoff</w:t>
      </w:r>
      <w:proofErr w:type="spellEnd"/>
      <w:r w:rsidRPr="00051B46">
        <w:rPr>
          <w:rFonts w:ascii="Arial" w:hAnsi="Arial" w:cs="Arial"/>
        </w:rPr>
        <w:t xml:space="preserve"> MJ, et al. Nonalcoholic fatty liver disease and incident cardiac events: the multi-ethnic study of atherosclerosis. J Am Coll </w:t>
      </w:r>
      <w:proofErr w:type="spellStart"/>
      <w:r w:rsidRPr="00051B46">
        <w:rPr>
          <w:rFonts w:ascii="Arial" w:hAnsi="Arial" w:cs="Arial"/>
        </w:rPr>
        <w:t>Cardiol</w:t>
      </w:r>
      <w:proofErr w:type="spellEnd"/>
      <w:r w:rsidRPr="00051B46">
        <w:rPr>
          <w:rFonts w:ascii="Arial" w:hAnsi="Arial" w:cs="Arial"/>
        </w:rPr>
        <w:t xml:space="preserve">. </w:t>
      </w:r>
      <w:proofErr w:type="gramStart"/>
      <w:r w:rsidRPr="00051B46">
        <w:rPr>
          <w:rFonts w:ascii="Arial" w:hAnsi="Arial" w:cs="Arial"/>
        </w:rPr>
        <w:t>2016;67:1965</w:t>
      </w:r>
      <w:proofErr w:type="gramEnd"/>
      <w:r w:rsidRPr="00051B46">
        <w:rPr>
          <w:rFonts w:ascii="Arial" w:hAnsi="Arial" w:cs="Arial"/>
        </w:rPr>
        <w:t>-6.</w:t>
      </w:r>
    </w:p>
    <w:p w14:paraId="496581C0"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47. </w:t>
      </w:r>
      <w:r w:rsidRPr="00051B46">
        <w:rPr>
          <w:rFonts w:ascii="Arial" w:hAnsi="Arial" w:cs="Arial"/>
        </w:rPr>
        <w:tab/>
      </w:r>
      <w:proofErr w:type="spellStart"/>
      <w:r w:rsidRPr="00051B46">
        <w:rPr>
          <w:rFonts w:ascii="Arial" w:hAnsi="Arial" w:cs="Arial"/>
        </w:rPr>
        <w:t>Fracanzani</w:t>
      </w:r>
      <w:proofErr w:type="spellEnd"/>
      <w:r w:rsidRPr="00051B46">
        <w:rPr>
          <w:rFonts w:ascii="Arial" w:hAnsi="Arial" w:cs="Arial"/>
        </w:rPr>
        <w:t xml:space="preserve"> AL, </w:t>
      </w:r>
      <w:proofErr w:type="spellStart"/>
      <w:r w:rsidRPr="00051B46">
        <w:rPr>
          <w:rFonts w:ascii="Arial" w:hAnsi="Arial" w:cs="Arial"/>
        </w:rPr>
        <w:t>Tiraboschi</w:t>
      </w:r>
      <w:proofErr w:type="spellEnd"/>
      <w:r w:rsidRPr="00051B46">
        <w:rPr>
          <w:rFonts w:ascii="Arial" w:hAnsi="Arial" w:cs="Arial"/>
        </w:rPr>
        <w:t xml:space="preserve"> S, Pisano G, et al. Progression of carotid vascular damage and cardiovascular events in non-alcoholic fatty liver disease patients compared to the general population during 10 years of follow-up. Atherosclerosis. </w:t>
      </w:r>
      <w:proofErr w:type="gramStart"/>
      <w:r w:rsidRPr="00051B46">
        <w:rPr>
          <w:rFonts w:ascii="Arial" w:hAnsi="Arial" w:cs="Arial"/>
        </w:rPr>
        <w:t>2016;246:208</w:t>
      </w:r>
      <w:proofErr w:type="gramEnd"/>
      <w:r w:rsidRPr="00051B46">
        <w:rPr>
          <w:rFonts w:ascii="Arial" w:hAnsi="Arial" w:cs="Arial"/>
        </w:rPr>
        <w:t>-13.</w:t>
      </w:r>
    </w:p>
    <w:p w14:paraId="562F87AD"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48. </w:t>
      </w:r>
      <w:r w:rsidRPr="00051B46">
        <w:rPr>
          <w:rFonts w:ascii="Arial" w:hAnsi="Arial" w:cs="Arial"/>
        </w:rPr>
        <w:tab/>
        <w:t xml:space="preserve">Wong VW, Wong GL, Yeung JC, et al. Long-term clinical outcomes after fatty liver screening in patients undergoing coronary angiogram: a prospective cohort study. Hepatology. </w:t>
      </w:r>
      <w:proofErr w:type="gramStart"/>
      <w:r w:rsidRPr="00051B46">
        <w:rPr>
          <w:rFonts w:ascii="Arial" w:hAnsi="Arial" w:cs="Arial"/>
        </w:rPr>
        <w:t>2016;63:754</w:t>
      </w:r>
      <w:proofErr w:type="gramEnd"/>
      <w:r w:rsidRPr="00051B46">
        <w:rPr>
          <w:rFonts w:ascii="Arial" w:hAnsi="Arial" w:cs="Arial"/>
        </w:rPr>
        <w:t xml:space="preserve">-63. </w:t>
      </w:r>
    </w:p>
    <w:p w14:paraId="7874EB62"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49. </w:t>
      </w:r>
      <w:r w:rsidRPr="00051B46">
        <w:rPr>
          <w:rFonts w:ascii="Arial" w:hAnsi="Arial" w:cs="Arial"/>
        </w:rPr>
        <w:tab/>
      </w:r>
      <w:proofErr w:type="spellStart"/>
      <w:r w:rsidRPr="00051B46">
        <w:rPr>
          <w:rFonts w:ascii="Arial" w:hAnsi="Arial" w:cs="Arial"/>
        </w:rPr>
        <w:t>Targher</w:t>
      </w:r>
      <w:proofErr w:type="spellEnd"/>
      <w:r w:rsidRPr="00051B46">
        <w:rPr>
          <w:rFonts w:ascii="Arial" w:hAnsi="Arial" w:cs="Arial"/>
        </w:rPr>
        <w:t xml:space="preserve"> G, </w:t>
      </w:r>
      <w:proofErr w:type="spellStart"/>
      <w:r w:rsidRPr="00051B46">
        <w:rPr>
          <w:rFonts w:ascii="Arial" w:hAnsi="Arial" w:cs="Arial"/>
        </w:rPr>
        <w:t>Bertolini</w:t>
      </w:r>
      <w:proofErr w:type="spellEnd"/>
      <w:r w:rsidRPr="00051B46">
        <w:rPr>
          <w:rFonts w:ascii="Arial" w:hAnsi="Arial" w:cs="Arial"/>
        </w:rPr>
        <w:t xml:space="preserve"> L, </w:t>
      </w:r>
      <w:proofErr w:type="spellStart"/>
      <w:r w:rsidRPr="00051B46">
        <w:rPr>
          <w:rFonts w:ascii="Arial" w:hAnsi="Arial" w:cs="Arial"/>
        </w:rPr>
        <w:t>Padovani</w:t>
      </w:r>
      <w:proofErr w:type="spellEnd"/>
      <w:r w:rsidRPr="00051B46">
        <w:rPr>
          <w:rFonts w:ascii="Arial" w:hAnsi="Arial" w:cs="Arial"/>
        </w:rPr>
        <w:t xml:space="preserve"> R, et al. Non-alcoholic fatty liver disease is associated with carotid artery wall thickness in diet-controlled type 2 diabetic patients. J Endocrinol Invest. </w:t>
      </w:r>
      <w:proofErr w:type="gramStart"/>
      <w:r w:rsidRPr="00051B46">
        <w:rPr>
          <w:rFonts w:ascii="Arial" w:hAnsi="Arial" w:cs="Arial"/>
        </w:rPr>
        <w:t>2006;29:55</w:t>
      </w:r>
      <w:proofErr w:type="gramEnd"/>
      <w:r w:rsidRPr="00051B46">
        <w:rPr>
          <w:rFonts w:ascii="Arial" w:hAnsi="Arial" w:cs="Arial"/>
        </w:rPr>
        <w:t>-60.</w:t>
      </w:r>
    </w:p>
    <w:p w14:paraId="38771240"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50. </w:t>
      </w:r>
      <w:r w:rsidRPr="00051B46">
        <w:rPr>
          <w:rFonts w:ascii="Arial" w:hAnsi="Arial" w:cs="Arial"/>
        </w:rPr>
        <w:tab/>
      </w:r>
      <w:proofErr w:type="spellStart"/>
      <w:r w:rsidRPr="00051B46">
        <w:rPr>
          <w:rFonts w:ascii="Arial" w:hAnsi="Arial" w:cs="Arial"/>
        </w:rPr>
        <w:t>Targher</w:t>
      </w:r>
      <w:proofErr w:type="spellEnd"/>
      <w:r w:rsidRPr="00051B46">
        <w:rPr>
          <w:rFonts w:ascii="Arial" w:hAnsi="Arial" w:cs="Arial"/>
        </w:rPr>
        <w:t xml:space="preserve"> G, </w:t>
      </w:r>
      <w:proofErr w:type="spellStart"/>
      <w:r w:rsidRPr="00051B46">
        <w:rPr>
          <w:rFonts w:ascii="Arial" w:hAnsi="Arial" w:cs="Arial"/>
        </w:rPr>
        <w:t>Bertolini</w:t>
      </w:r>
      <w:proofErr w:type="spellEnd"/>
      <w:r w:rsidRPr="00051B46">
        <w:rPr>
          <w:rFonts w:ascii="Arial" w:hAnsi="Arial" w:cs="Arial"/>
        </w:rPr>
        <w:t xml:space="preserve"> L, Rodella S, et al. Nonalcoholic fatty liver disease is independently associated with an increased incidence of cardiovascular events in type 2 diabetic patients. Diabetes Care. </w:t>
      </w:r>
      <w:proofErr w:type="gramStart"/>
      <w:r w:rsidRPr="00051B46">
        <w:rPr>
          <w:rFonts w:ascii="Arial" w:hAnsi="Arial" w:cs="Arial"/>
        </w:rPr>
        <w:t>2007;30:2119</w:t>
      </w:r>
      <w:proofErr w:type="gramEnd"/>
      <w:r w:rsidRPr="00051B46">
        <w:rPr>
          <w:rFonts w:ascii="Arial" w:hAnsi="Arial" w:cs="Arial"/>
        </w:rPr>
        <w:t>-21.</w:t>
      </w:r>
    </w:p>
    <w:p w14:paraId="4B0400A2"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51. </w:t>
      </w:r>
      <w:r w:rsidRPr="00051B46">
        <w:rPr>
          <w:rFonts w:ascii="Arial" w:hAnsi="Arial" w:cs="Arial"/>
        </w:rPr>
        <w:tab/>
      </w:r>
      <w:proofErr w:type="spellStart"/>
      <w:r w:rsidRPr="00051B46">
        <w:rPr>
          <w:rFonts w:ascii="Arial" w:hAnsi="Arial" w:cs="Arial"/>
        </w:rPr>
        <w:t>McKimmie</w:t>
      </w:r>
      <w:proofErr w:type="spellEnd"/>
      <w:r w:rsidRPr="00051B46">
        <w:rPr>
          <w:rFonts w:ascii="Arial" w:hAnsi="Arial" w:cs="Arial"/>
        </w:rPr>
        <w:t xml:space="preserve"> RL, Daniel KR, </w:t>
      </w:r>
      <w:proofErr w:type="spellStart"/>
      <w:r w:rsidRPr="00051B46">
        <w:rPr>
          <w:rFonts w:ascii="Arial" w:hAnsi="Arial" w:cs="Arial"/>
        </w:rPr>
        <w:t>Carr</w:t>
      </w:r>
      <w:proofErr w:type="spellEnd"/>
      <w:r w:rsidRPr="00051B46">
        <w:rPr>
          <w:rFonts w:ascii="Arial" w:hAnsi="Arial" w:cs="Arial"/>
        </w:rPr>
        <w:t xml:space="preserve"> JJ, et al. Hepatic steatosis and subclinical cardiovascular disease in a cohort enriched for type 2 diabetes: the diabetes heart study. Am J Gastroenterol. </w:t>
      </w:r>
      <w:proofErr w:type="gramStart"/>
      <w:r w:rsidRPr="00051B46">
        <w:rPr>
          <w:rFonts w:ascii="Arial" w:hAnsi="Arial" w:cs="Arial"/>
        </w:rPr>
        <w:t>2008;103:3029</w:t>
      </w:r>
      <w:proofErr w:type="gramEnd"/>
      <w:r w:rsidRPr="00051B46">
        <w:rPr>
          <w:rFonts w:ascii="Arial" w:hAnsi="Arial" w:cs="Arial"/>
        </w:rPr>
        <w:t>-35.</w:t>
      </w:r>
    </w:p>
    <w:p w14:paraId="73992974"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52. </w:t>
      </w:r>
      <w:r w:rsidRPr="00051B46">
        <w:rPr>
          <w:rFonts w:ascii="Arial" w:hAnsi="Arial" w:cs="Arial"/>
        </w:rPr>
        <w:tab/>
        <w:t xml:space="preserve">Petit JM, </w:t>
      </w:r>
      <w:proofErr w:type="spellStart"/>
      <w:r w:rsidRPr="00051B46">
        <w:rPr>
          <w:rFonts w:ascii="Arial" w:hAnsi="Arial" w:cs="Arial"/>
        </w:rPr>
        <w:t>Guiu</w:t>
      </w:r>
      <w:proofErr w:type="spellEnd"/>
      <w:r w:rsidRPr="00051B46">
        <w:rPr>
          <w:rFonts w:ascii="Arial" w:hAnsi="Arial" w:cs="Arial"/>
        </w:rPr>
        <w:t xml:space="preserve"> B, </w:t>
      </w:r>
      <w:proofErr w:type="spellStart"/>
      <w:r w:rsidRPr="00051B46">
        <w:rPr>
          <w:rFonts w:ascii="Arial" w:hAnsi="Arial" w:cs="Arial"/>
        </w:rPr>
        <w:t>Terriat</w:t>
      </w:r>
      <w:proofErr w:type="spellEnd"/>
      <w:r w:rsidRPr="00051B46">
        <w:rPr>
          <w:rFonts w:ascii="Arial" w:hAnsi="Arial" w:cs="Arial"/>
        </w:rPr>
        <w:t xml:space="preserve"> B, et al. Nonalcoholic fatty liver is not associated with carotid intima-media thickness in type 2 diabetic patients. J Clin Endocrinol </w:t>
      </w:r>
      <w:proofErr w:type="spellStart"/>
      <w:r w:rsidRPr="00051B46">
        <w:rPr>
          <w:rFonts w:ascii="Arial" w:hAnsi="Arial" w:cs="Arial"/>
        </w:rPr>
        <w:t>Metab</w:t>
      </w:r>
      <w:proofErr w:type="spellEnd"/>
      <w:r w:rsidRPr="00051B46">
        <w:rPr>
          <w:rFonts w:ascii="Arial" w:hAnsi="Arial" w:cs="Arial"/>
        </w:rPr>
        <w:t xml:space="preserve">. </w:t>
      </w:r>
      <w:proofErr w:type="gramStart"/>
      <w:r w:rsidRPr="00051B46">
        <w:rPr>
          <w:rFonts w:ascii="Arial" w:hAnsi="Arial" w:cs="Arial"/>
        </w:rPr>
        <w:t>2009;94:4103</w:t>
      </w:r>
      <w:proofErr w:type="gramEnd"/>
      <w:r w:rsidRPr="00051B46">
        <w:rPr>
          <w:rFonts w:ascii="Arial" w:hAnsi="Arial" w:cs="Arial"/>
        </w:rPr>
        <w:t>-6.</w:t>
      </w:r>
    </w:p>
    <w:p w14:paraId="55D848D7"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53. </w:t>
      </w:r>
      <w:r w:rsidRPr="00051B46">
        <w:rPr>
          <w:rFonts w:ascii="Arial" w:hAnsi="Arial" w:cs="Arial"/>
        </w:rPr>
        <w:tab/>
        <w:t xml:space="preserve">Adams LA, </w:t>
      </w:r>
      <w:proofErr w:type="spellStart"/>
      <w:r w:rsidRPr="00051B46">
        <w:rPr>
          <w:rFonts w:ascii="Arial" w:hAnsi="Arial" w:cs="Arial"/>
        </w:rPr>
        <w:t>Harmsen</w:t>
      </w:r>
      <w:proofErr w:type="spellEnd"/>
      <w:r w:rsidRPr="00051B46">
        <w:rPr>
          <w:rFonts w:ascii="Arial" w:hAnsi="Arial" w:cs="Arial"/>
        </w:rPr>
        <w:t xml:space="preserve"> S, St </w:t>
      </w:r>
      <w:proofErr w:type="spellStart"/>
      <w:r w:rsidRPr="00051B46">
        <w:rPr>
          <w:rFonts w:ascii="Arial" w:hAnsi="Arial" w:cs="Arial"/>
        </w:rPr>
        <w:t>Sauver</w:t>
      </w:r>
      <w:proofErr w:type="spellEnd"/>
      <w:r w:rsidRPr="00051B46">
        <w:rPr>
          <w:rFonts w:ascii="Arial" w:hAnsi="Arial" w:cs="Arial"/>
        </w:rPr>
        <w:t xml:space="preserve"> JL, et al. Nonalcoholic fatty liver disease increases risk of death among patients with diabetes: a community-based cohort study. Am J Gastroenterol. </w:t>
      </w:r>
      <w:proofErr w:type="gramStart"/>
      <w:r w:rsidRPr="00051B46">
        <w:rPr>
          <w:rFonts w:ascii="Arial" w:hAnsi="Arial" w:cs="Arial"/>
        </w:rPr>
        <w:t>2010;105:1567</w:t>
      </w:r>
      <w:proofErr w:type="gramEnd"/>
      <w:r w:rsidRPr="00051B46">
        <w:rPr>
          <w:rFonts w:ascii="Arial" w:hAnsi="Arial" w:cs="Arial"/>
        </w:rPr>
        <w:t>-73.</w:t>
      </w:r>
    </w:p>
    <w:p w14:paraId="656F4A21"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54. </w:t>
      </w:r>
      <w:r w:rsidRPr="00051B46">
        <w:rPr>
          <w:rFonts w:ascii="Arial" w:hAnsi="Arial" w:cs="Arial"/>
        </w:rPr>
        <w:tab/>
      </w:r>
      <w:proofErr w:type="spellStart"/>
      <w:r w:rsidRPr="00051B46">
        <w:rPr>
          <w:rFonts w:ascii="Arial" w:hAnsi="Arial" w:cs="Arial"/>
        </w:rPr>
        <w:t>Poanta</w:t>
      </w:r>
      <w:proofErr w:type="spellEnd"/>
      <w:r w:rsidRPr="00051B46">
        <w:rPr>
          <w:rFonts w:ascii="Arial" w:hAnsi="Arial" w:cs="Arial"/>
        </w:rPr>
        <w:t xml:space="preserve"> LI, </w:t>
      </w:r>
      <w:proofErr w:type="spellStart"/>
      <w:r w:rsidRPr="00051B46">
        <w:rPr>
          <w:rFonts w:ascii="Arial" w:hAnsi="Arial" w:cs="Arial"/>
        </w:rPr>
        <w:t>Albu</w:t>
      </w:r>
      <w:proofErr w:type="spellEnd"/>
      <w:r w:rsidRPr="00051B46">
        <w:rPr>
          <w:rFonts w:ascii="Arial" w:hAnsi="Arial" w:cs="Arial"/>
        </w:rPr>
        <w:t xml:space="preserve"> A, Fodor D. Association between fatty liver disease and carotid atherosclerosis in patients with uncomplicated type 2 diabetes mellitus. Med </w:t>
      </w:r>
      <w:proofErr w:type="spellStart"/>
      <w:r w:rsidRPr="00051B46">
        <w:rPr>
          <w:rFonts w:ascii="Arial" w:hAnsi="Arial" w:cs="Arial"/>
        </w:rPr>
        <w:t>Ultrason</w:t>
      </w:r>
      <w:proofErr w:type="spellEnd"/>
      <w:r w:rsidRPr="00051B46">
        <w:rPr>
          <w:rFonts w:ascii="Arial" w:hAnsi="Arial" w:cs="Arial"/>
        </w:rPr>
        <w:t xml:space="preserve">. </w:t>
      </w:r>
      <w:proofErr w:type="gramStart"/>
      <w:r w:rsidRPr="00051B46">
        <w:rPr>
          <w:rFonts w:ascii="Arial" w:hAnsi="Arial" w:cs="Arial"/>
        </w:rPr>
        <w:t>2011;13:215</w:t>
      </w:r>
      <w:proofErr w:type="gramEnd"/>
      <w:r w:rsidRPr="00051B46">
        <w:rPr>
          <w:rFonts w:ascii="Arial" w:hAnsi="Arial" w:cs="Arial"/>
        </w:rPr>
        <w:t>-9.</w:t>
      </w:r>
    </w:p>
    <w:p w14:paraId="797BAEA6"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55. </w:t>
      </w:r>
      <w:r w:rsidRPr="00051B46">
        <w:rPr>
          <w:rFonts w:ascii="Arial" w:hAnsi="Arial" w:cs="Arial"/>
        </w:rPr>
        <w:tab/>
      </w:r>
      <w:proofErr w:type="spellStart"/>
      <w:r w:rsidRPr="00051B46">
        <w:rPr>
          <w:rFonts w:ascii="Arial" w:hAnsi="Arial" w:cs="Arial"/>
        </w:rPr>
        <w:t>Bonapace</w:t>
      </w:r>
      <w:proofErr w:type="spellEnd"/>
      <w:r w:rsidRPr="00051B46">
        <w:rPr>
          <w:rFonts w:ascii="Arial" w:hAnsi="Arial" w:cs="Arial"/>
        </w:rPr>
        <w:t xml:space="preserve"> S, </w:t>
      </w:r>
      <w:proofErr w:type="spellStart"/>
      <w:r w:rsidRPr="00051B46">
        <w:rPr>
          <w:rFonts w:ascii="Arial" w:hAnsi="Arial" w:cs="Arial"/>
        </w:rPr>
        <w:t>Perseghin</w:t>
      </w:r>
      <w:proofErr w:type="spellEnd"/>
      <w:r w:rsidRPr="00051B46">
        <w:rPr>
          <w:rFonts w:ascii="Arial" w:hAnsi="Arial" w:cs="Arial"/>
        </w:rPr>
        <w:t xml:space="preserve"> G, </w:t>
      </w:r>
      <w:proofErr w:type="spellStart"/>
      <w:r w:rsidRPr="00051B46">
        <w:rPr>
          <w:rFonts w:ascii="Arial" w:hAnsi="Arial" w:cs="Arial"/>
        </w:rPr>
        <w:t>Molon</w:t>
      </w:r>
      <w:proofErr w:type="spellEnd"/>
      <w:r w:rsidRPr="00051B46">
        <w:rPr>
          <w:rFonts w:ascii="Arial" w:hAnsi="Arial" w:cs="Arial"/>
        </w:rPr>
        <w:t xml:space="preserve"> G, et al. Nonalcoholic fatty liver disease is associated with left ventricular diastolic dysfunction in patients with type 2 diabetes. Diabetes Care. </w:t>
      </w:r>
      <w:proofErr w:type="gramStart"/>
      <w:r w:rsidRPr="00051B46">
        <w:rPr>
          <w:rFonts w:ascii="Arial" w:hAnsi="Arial" w:cs="Arial"/>
        </w:rPr>
        <w:t>2012;35:389</w:t>
      </w:r>
      <w:proofErr w:type="gramEnd"/>
      <w:r w:rsidRPr="00051B46">
        <w:rPr>
          <w:rFonts w:ascii="Arial" w:hAnsi="Arial" w:cs="Arial"/>
        </w:rPr>
        <w:t xml:space="preserve">-95. </w:t>
      </w:r>
    </w:p>
    <w:p w14:paraId="18E80E45"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56. </w:t>
      </w:r>
      <w:r w:rsidRPr="00051B46">
        <w:rPr>
          <w:rFonts w:ascii="Arial" w:hAnsi="Arial" w:cs="Arial"/>
        </w:rPr>
        <w:tab/>
        <w:t xml:space="preserve">Dunn MA, </w:t>
      </w:r>
      <w:proofErr w:type="spellStart"/>
      <w:r w:rsidRPr="00051B46">
        <w:rPr>
          <w:rFonts w:ascii="Arial" w:hAnsi="Arial" w:cs="Arial"/>
        </w:rPr>
        <w:t>Behari</w:t>
      </w:r>
      <w:proofErr w:type="spellEnd"/>
      <w:r w:rsidRPr="00051B46">
        <w:rPr>
          <w:rFonts w:ascii="Arial" w:hAnsi="Arial" w:cs="Arial"/>
        </w:rPr>
        <w:t xml:space="preserve"> J, </w:t>
      </w:r>
      <w:proofErr w:type="spellStart"/>
      <w:r w:rsidRPr="00051B46">
        <w:rPr>
          <w:rFonts w:ascii="Arial" w:hAnsi="Arial" w:cs="Arial"/>
        </w:rPr>
        <w:t>Rogal</w:t>
      </w:r>
      <w:proofErr w:type="spellEnd"/>
      <w:r w:rsidRPr="00051B46">
        <w:rPr>
          <w:rFonts w:ascii="Arial" w:hAnsi="Arial" w:cs="Arial"/>
        </w:rPr>
        <w:t xml:space="preserve"> SS, et al. Hepatic steatosis in diabetic patients does not predict adverse liver-related or cardiovascular outcomes. Liver Int. </w:t>
      </w:r>
      <w:proofErr w:type="gramStart"/>
      <w:r w:rsidRPr="00051B46">
        <w:rPr>
          <w:rFonts w:ascii="Arial" w:hAnsi="Arial" w:cs="Arial"/>
        </w:rPr>
        <w:t>2013;33:1575</w:t>
      </w:r>
      <w:proofErr w:type="gramEnd"/>
      <w:r w:rsidRPr="00051B46">
        <w:rPr>
          <w:rFonts w:ascii="Arial" w:hAnsi="Arial" w:cs="Arial"/>
        </w:rPr>
        <w:t>-82.</w:t>
      </w:r>
    </w:p>
    <w:p w14:paraId="19781934"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57. </w:t>
      </w:r>
      <w:r w:rsidRPr="00051B46">
        <w:rPr>
          <w:rFonts w:ascii="Arial" w:hAnsi="Arial" w:cs="Arial"/>
        </w:rPr>
        <w:tab/>
      </w:r>
      <w:proofErr w:type="spellStart"/>
      <w:r w:rsidRPr="00051B46">
        <w:rPr>
          <w:rFonts w:ascii="Arial" w:hAnsi="Arial" w:cs="Arial"/>
        </w:rPr>
        <w:t>Khashper</w:t>
      </w:r>
      <w:proofErr w:type="spellEnd"/>
      <w:r w:rsidRPr="00051B46">
        <w:rPr>
          <w:rFonts w:ascii="Arial" w:hAnsi="Arial" w:cs="Arial"/>
        </w:rPr>
        <w:t xml:space="preserve"> A, Gaspar T, </w:t>
      </w:r>
      <w:proofErr w:type="spellStart"/>
      <w:r w:rsidRPr="00051B46">
        <w:rPr>
          <w:rFonts w:ascii="Arial" w:hAnsi="Arial" w:cs="Arial"/>
        </w:rPr>
        <w:t>Azencot</w:t>
      </w:r>
      <w:proofErr w:type="spellEnd"/>
      <w:r w:rsidRPr="00051B46">
        <w:rPr>
          <w:rFonts w:ascii="Arial" w:hAnsi="Arial" w:cs="Arial"/>
        </w:rPr>
        <w:t xml:space="preserve"> M, et al. Visceral abdominal adipose tissue and coronary atherosclerosis in asymptomatic diabetics. Int J </w:t>
      </w:r>
      <w:proofErr w:type="spellStart"/>
      <w:r w:rsidRPr="00051B46">
        <w:rPr>
          <w:rFonts w:ascii="Arial" w:hAnsi="Arial" w:cs="Arial"/>
        </w:rPr>
        <w:t>Cardiol</w:t>
      </w:r>
      <w:proofErr w:type="spellEnd"/>
      <w:r w:rsidRPr="00051B46">
        <w:rPr>
          <w:rFonts w:ascii="Arial" w:hAnsi="Arial" w:cs="Arial"/>
        </w:rPr>
        <w:t xml:space="preserve">. </w:t>
      </w:r>
      <w:proofErr w:type="gramStart"/>
      <w:r w:rsidRPr="00051B46">
        <w:rPr>
          <w:rFonts w:ascii="Arial" w:hAnsi="Arial" w:cs="Arial"/>
        </w:rPr>
        <w:t>2013;162:184</w:t>
      </w:r>
      <w:proofErr w:type="gramEnd"/>
      <w:r w:rsidRPr="00051B46">
        <w:rPr>
          <w:rFonts w:ascii="Arial" w:hAnsi="Arial" w:cs="Arial"/>
        </w:rPr>
        <w:t>-8.</w:t>
      </w:r>
    </w:p>
    <w:p w14:paraId="2F6B92D8"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58. </w:t>
      </w:r>
      <w:r w:rsidRPr="00051B46">
        <w:rPr>
          <w:rFonts w:ascii="Arial" w:hAnsi="Arial" w:cs="Arial"/>
        </w:rPr>
        <w:tab/>
        <w:t xml:space="preserve">Kim SK, Choi YJ, Huh BW, et al. Nonalcoholic fatty liver disease is associated with increased carotid intima-media thickness only in type 2 diabetic subjects with insulin resistance. J Clin Endocrinol </w:t>
      </w:r>
      <w:proofErr w:type="spellStart"/>
      <w:r w:rsidRPr="00051B46">
        <w:rPr>
          <w:rFonts w:ascii="Arial" w:hAnsi="Arial" w:cs="Arial"/>
        </w:rPr>
        <w:t>Metab</w:t>
      </w:r>
      <w:proofErr w:type="spellEnd"/>
      <w:r w:rsidRPr="00051B46">
        <w:rPr>
          <w:rFonts w:ascii="Arial" w:hAnsi="Arial" w:cs="Arial"/>
        </w:rPr>
        <w:t xml:space="preserve">. </w:t>
      </w:r>
      <w:proofErr w:type="gramStart"/>
      <w:r w:rsidRPr="00051B46">
        <w:rPr>
          <w:rFonts w:ascii="Arial" w:hAnsi="Arial" w:cs="Arial"/>
        </w:rPr>
        <w:t>2014;99:1879</w:t>
      </w:r>
      <w:proofErr w:type="gramEnd"/>
      <w:r w:rsidRPr="00051B46">
        <w:rPr>
          <w:rFonts w:ascii="Arial" w:hAnsi="Arial" w:cs="Arial"/>
        </w:rPr>
        <w:t>-84.</w:t>
      </w:r>
    </w:p>
    <w:p w14:paraId="4CED2FBA"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59. </w:t>
      </w:r>
      <w:r w:rsidRPr="00051B46">
        <w:rPr>
          <w:rFonts w:ascii="Arial" w:hAnsi="Arial" w:cs="Arial"/>
        </w:rPr>
        <w:tab/>
      </w:r>
      <w:proofErr w:type="spellStart"/>
      <w:r w:rsidRPr="00051B46">
        <w:rPr>
          <w:rFonts w:ascii="Arial" w:hAnsi="Arial" w:cs="Arial"/>
        </w:rPr>
        <w:t>Idilman</w:t>
      </w:r>
      <w:proofErr w:type="spellEnd"/>
      <w:r w:rsidRPr="00051B46">
        <w:rPr>
          <w:rFonts w:ascii="Arial" w:hAnsi="Arial" w:cs="Arial"/>
        </w:rPr>
        <w:t xml:space="preserve"> IS, </w:t>
      </w:r>
      <w:proofErr w:type="spellStart"/>
      <w:r w:rsidRPr="00051B46">
        <w:rPr>
          <w:rFonts w:ascii="Arial" w:hAnsi="Arial" w:cs="Arial"/>
        </w:rPr>
        <w:t>Akata</w:t>
      </w:r>
      <w:proofErr w:type="spellEnd"/>
      <w:r w:rsidRPr="00051B46">
        <w:rPr>
          <w:rFonts w:ascii="Arial" w:hAnsi="Arial" w:cs="Arial"/>
        </w:rPr>
        <w:t xml:space="preserve"> D, </w:t>
      </w:r>
      <w:proofErr w:type="spellStart"/>
      <w:r w:rsidRPr="00051B46">
        <w:rPr>
          <w:rFonts w:ascii="Arial" w:hAnsi="Arial" w:cs="Arial"/>
        </w:rPr>
        <w:t>Hazirolan</w:t>
      </w:r>
      <w:proofErr w:type="spellEnd"/>
      <w:r w:rsidRPr="00051B46">
        <w:rPr>
          <w:rFonts w:ascii="Arial" w:hAnsi="Arial" w:cs="Arial"/>
        </w:rPr>
        <w:t xml:space="preserve"> T, et al. Nonalcoholic fatty liver disease is associated with significant coronary artery disease in type 2 diabetic patients: a computed tomography angiography study 2. J Diabetes. </w:t>
      </w:r>
      <w:proofErr w:type="gramStart"/>
      <w:r w:rsidRPr="00051B46">
        <w:rPr>
          <w:rFonts w:ascii="Arial" w:hAnsi="Arial" w:cs="Arial"/>
        </w:rPr>
        <w:t>2015;7:279</w:t>
      </w:r>
      <w:proofErr w:type="gramEnd"/>
      <w:r w:rsidRPr="00051B46">
        <w:rPr>
          <w:rFonts w:ascii="Arial" w:hAnsi="Arial" w:cs="Arial"/>
        </w:rPr>
        <w:t>-86.</w:t>
      </w:r>
    </w:p>
    <w:p w14:paraId="424CC272"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60. </w:t>
      </w:r>
      <w:r w:rsidRPr="00051B46">
        <w:rPr>
          <w:rFonts w:ascii="Arial" w:hAnsi="Arial" w:cs="Arial"/>
        </w:rPr>
        <w:tab/>
      </w:r>
      <w:proofErr w:type="spellStart"/>
      <w:r w:rsidRPr="00051B46">
        <w:rPr>
          <w:rFonts w:ascii="Arial" w:hAnsi="Arial" w:cs="Arial"/>
        </w:rPr>
        <w:t>Silaghi</w:t>
      </w:r>
      <w:proofErr w:type="spellEnd"/>
      <w:r w:rsidRPr="00051B46">
        <w:rPr>
          <w:rFonts w:ascii="Arial" w:hAnsi="Arial" w:cs="Arial"/>
        </w:rPr>
        <w:t xml:space="preserve"> CA, </w:t>
      </w:r>
      <w:proofErr w:type="spellStart"/>
      <w:r w:rsidRPr="00051B46">
        <w:rPr>
          <w:rFonts w:ascii="Arial" w:hAnsi="Arial" w:cs="Arial"/>
        </w:rPr>
        <w:t>Silaghi</w:t>
      </w:r>
      <w:proofErr w:type="spellEnd"/>
      <w:r w:rsidRPr="00051B46">
        <w:rPr>
          <w:rFonts w:ascii="Arial" w:hAnsi="Arial" w:cs="Arial"/>
        </w:rPr>
        <w:t xml:space="preserve"> H, </w:t>
      </w:r>
      <w:proofErr w:type="spellStart"/>
      <w:r w:rsidRPr="00051B46">
        <w:rPr>
          <w:rFonts w:ascii="Arial" w:hAnsi="Arial" w:cs="Arial"/>
        </w:rPr>
        <w:t>Craciun</w:t>
      </w:r>
      <w:proofErr w:type="spellEnd"/>
      <w:r w:rsidRPr="00051B46">
        <w:rPr>
          <w:rFonts w:ascii="Arial" w:hAnsi="Arial" w:cs="Arial"/>
        </w:rPr>
        <w:t xml:space="preserve"> AE, et al. Age, abdominal obesity, and glycated hemoglobin are associated with carotid atherosclerosis in type 2 diabetes patients with nonalcoholic fatty liver disease. Med </w:t>
      </w:r>
      <w:proofErr w:type="spellStart"/>
      <w:r w:rsidRPr="00051B46">
        <w:rPr>
          <w:rFonts w:ascii="Arial" w:hAnsi="Arial" w:cs="Arial"/>
        </w:rPr>
        <w:t>Ultrason</w:t>
      </w:r>
      <w:proofErr w:type="spellEnd"/>
      <w:r w:rsidRPr="00051B46">
        <w:rPr>
          <w:rFonts w:ascii="Arial" w:hAnsi="Arial" w:cs="Arial"/>
        </w:rPr>
        <w:t xml:space="preserve">. </w:t>
      </w:r>
      <w:proofErr w:type="gramStart"/>
      <w:r w:rsidRPr="00051B46">
        <w:rPr>
          <w:rFonts w:ascii="Arial" w:hAnsi="Arial" w:cs="Arial"/>
        </w:rPr>
        <w:t>2015;17:300</w:t>
      </w:r>
      <w:proofErr w:type="gramEnd"/>
      <w:r w:rsidRPr="00051B46">
        <w:rPr>
          <w:rFonts w:ascii="Arial" w:hAnsi="Arial" w:cs="Arial"/>
        </w:rPr>
        <w:t>-7.</w:t>
      </w:r>
    </w:p>
    <w:p w14:paraId="15CC5B05"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lastRenderedPageBreak/>
        <w:t xml:space="preserve">61. </w:t>
      </w:r>
      <w:r w:rsidRPr="00051B46">
        <w:rPr>
          <w:rFonts w:ascii="Arial" w:hAnsi="Arial" w:cs="Arial"/>
        </w:rPr>
        <w:tab/>
        <w:t xml:space="preserve">Kwak MS, </w:t>
      </w:r>
      <w:proofErr w:type="spellStart"/>
      <w:r w:rsidRPr="00051B46">
        <w:rPr>
          <w:rFonts w:ascii="Arial" w:hAnsi="Arial" w:cs="Arial"/>
        </w:rPr>
        <w:t>Yim</w:t>
      </w:r>
      <w:proofErr w:type="spellEnd"/>
      <w:r w:rsidRPr="00051B46">
        <w:rPr>
          <w:rFonts w:ascii="Arial" w:hAnsi="Arial" w:cs="Arial"/>
        </w:rPr>
        <w:t xml:space="preserve"> JY, Kim D, et al. Nonalcoholic fatty liver disease is associated with coronary artery calcium score in diabetes patients with higher HbA1c. </w:t>
      </w:r>
      <w:proofErr w:type="spellStart"/>
      <w:r w:rsidRPr="00051B46">
        <w:rPr>
          <w:rFonts w:ascii="Arial" w:hAnsi="Arial" w:cs="Arial"/>
        </w:rPr>
        <w:t>Diabetol</w:t>
      </w:r>
      <w:proofErr w:type="spellEnd"/>
      <w:r w:rsidRPr="00051B46">
        <w:rPr>
          <w:rFonts w:ascii="Arial" w:hAnsi="Arial" w:cs="Arial"/>
        </w:rPr>
        <w:t xml:space="preserve"> </w:t>
      </w:r>
      <w:proofErr w:type="spellStart"/>
      <w:r w:rsidRPr="00051B46">
        <w:rPr>
          <w:rFonts w:ascii="Arial" w:hAnsi="Arial" w:cs="Arial"/>
        </w:rPr>
        <w:t>Metab</w:t>
      </w:r>
      <w:proofErr w:type="spellEnd"/>
      <w:r w:rsidRPr="00051B46">
        <w:rPr>
          <w:rFonts w:ascii="Arial" w:hAnsi="Arial" w:cs="Arial"/>
        </w:rPr>
        <w:t xml:space="preserve"> </w:t>
      </w:r>
      <w:proofErr w:type="spellStart"/>
      <w:r w:rsidRPr="00051B46">
        <w:rPr>
          <w:rFonts w:ascii="Arial" w:hAnsi="Arial" w:cs="Arial"/>
        </w:rPr>
        <w:t>Syndr</w:t>
      </w:r>
      <w:proofErr w:type="spellEnd"/>
      <w:r w:rsidRPr="00051B46">
        <w:rPr>
          <w:rFonts w:ascii="Arial" w:hAnsi="Arial" w:cs="Arial"/>
        </w:rPr>
        <w:t xml:space="preserve">. </w:t>
      </w:r>
      <w:proofErr w:type="gramStart"/>
      <w:r w:rsidRPr="00051B46">
        <w:rPr>
          <w:rFonts w:ascii="Arial" w:hAnsi="Arial" w:cs="Arial"/>
        </w:rPr>
        <w:t>2015;7:28</w:t>
      </w:r>
      <w:proofErr w:type="gramEnd"/>
      <w:r w:rsidRPr="00051B46">
        <w:rPr>
          <w:rFonts w:ascii="Arial" w:hAnsi="Arial" w:cs="Arial"/>
        </w:rPr>
        <w:t>.</w:t>
      </w:r>
    </w:p>
    <w:p w14:paraId="5BCC8CDB"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62. </w:t>
      </w:r>
      <w:r w:rsidRPr="00051B46">
        <w:rPr>
          <w:rFonts w:ascii="Arial" w:hAnsi="Arial" w:cs="Arial"/>
        </w:rPr>
        <w:tab/>
      </w:r>
      <w:proofErr w:type="spellStart"/>
      <w:r w:rsidRPr="00051B46">
        <w:rPr>
          <w:rFonts w:ascii="Arial" w:hAnsi="Arial" w:cs="Arial"/>
        </w:rPr>
        <w:t>Mantovani</w:t>
      </w:r>
      <w:proofErr w:type="spellEnd"/>
      <w:r w:rsidRPr="00051B46">
        <w:rPr>
          <w:rFonts w:ascii="Arial" w:hAnsi="Arial" w:cs="Arial"/>
        </w:rPr>
        <w:t xml:space="preserve"> A, </w:t>
      </w:r>
      <w:proofErr w:type="spellStart"/>
      <w:r w:rsidRPr="00051B46">
        <w:rPr>
          <w:rFonts w:ascii="Arial" w:hAnsi="Arial" w:cs="Arial"/>
        </w:rPr>
        <w:t>Pernigo</w:t>
      </w:r>
      <w:proofErr w:type="spellEnd"/>
      <w:r w:rsidRPr="00051B46">
        <w:rPr>
          <w:rFonts w:ascii="Arial" w:hAnsi="Arial" w:cs="Arial"/>
        </w:rPr>
        <w:t xml:space="preserve"> M, </w:t>
      </w:r>
      <w:proofErr w:type="spellStart"/>
      <w:r w:rsidRPr="00051B46">
        <w:rPr>
          <w:rFonts w:ascii="Arial" w:hAnsi="Arial" w:cs="Arial"/>
        </w:rPr>
        <w:t>Bergamini</w:t>
      </w:r>
      <w:proofErr w:type="spellEnd"/>
      <w:r w:rsidRPr="00051B46">
        <w:rPr>
          <w:rFonts w:ascii="Arial" w:hAnsi="Arial" w:cs="Arial"/>
        </w:rPr>
        <w:t xml:space="preserve"> C, et al. Nonalcoholic fatty liver disease is independently associated with early left ventricular diastolic dysfunction in patients with type 2 diabetes. </w:t>
      </w:r>
      <w:proofErr w:type="spellStart"/>
      <w:r w:rsidRPr="00051B46">
        <w:rPr>
          <w:rFonts w:ascii="Arial" w:hAnsi="Arial" w:cs="Arial"/>
        </w:rPr>
        <w:t>PLoS</w:t>
      </w:r>
      <w:proofErr w:type="spellEnd"/>
      <w:r w:rsidRPr="00051B46">
        <w:rPr>
          <w:rFonts w:ascii="Arial" w:hAnsi="Arial" w:cs="Arial"/>
        </w:rPr>
        <w:t xml:space="preserve"> One. 2015;</w:t>
      </w:r>
      <w:proofErr w:type="gramStart"/>
      <w:r w:rsidRPr="00051B46">
        <w:rPr>
          <w:rFonts w:ascii="Arial" w:hAnsi="Arial" w:cs="Arial"/>
        </w:rPr>
        <w:t>10:e</w:t>
      </w:r>
      <w:proofErr w:type="gramEnd"/>
      <w:r w:rsidRPr="00051B46">
        <w:rPr>
          <w:rFonts w:ascii="Arial" w:hAnsi="Arial" w:cs="Arial"/>
        </w:rPr>
        <w:t>0135329.</w:t>
      </w:r>
    </w:p>
    <w:p w14:paraId="514496AF"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63. </w:t>
      </w:r>
      <w:r w:rsidRPr="00051B46">
        <w:rPr>
          <w:rFonts w:ascii="Arial" w:hAnsi="Arial" w:cs="Arial"/>
        </w:rPr>
        <w:tab/>
      </w:r>
      <w:proofErr w:type="spellStart"/>
      <w:r w:rsidRPr="00051B46">
        <w:rPr>
          <w:rFonts w:ascii="Arial" w:hAnsi="Arial" w:cs="Arial"/>
        </w:rPr>
        <w:t>Musso</w:t>
      </w:r>
      <w:proofErr w:type="spellEnd"/>
      <w:r w:rsidRPr="00051B46">
        <w:rPr>
          <w:rFonts w:ascii="Arial" w:hAnsi="Arial" w:cs="Arial"/>
        </w:rPr>
        <w:t xml:space="preserve"> G, Gambino R, </w:t>
      </w:r>
      <w:proofErr w:type="spellStart"/>
      <w:r w:rsidRPr="00051B46">
        <w:rPr>
          <w:rFonts w:ascii="Arial" w:hAnsi="Arial" w:cs="Arial"/>
        </w:rPr>
        <w:t>Tabibian</w:t>
      </w:r>
      <w:proofErr w:type="spellEnd"/>
      <w:r w:rsidRPr="00051B46">
        <w:rPr>
          <w:rFonts w:ascii="Arial" w:hAnsi="Arial" w:cs="Arial"/>
        </w:rPr>
        <w:t xml:space="preserve"> JH, et al. Association of non-alcoholic fatty liver disease with chronic kidney disease: a systematic review and meta-analysis. </w:t>
      </w:r>
      <w:proofErr w:type="spellStart"/>
      <w:r w:rsidRPr="00051B46">
        <w:rPr>
          <w:rFonts w:ascii="Arial" w:hAnsi="Arial" w:cs="Arial"/>
        </w:rPr>
        <w:t>PLoS</w:t>
      </w:r>
      <w:proofErr w:type="spellEnd"/>
      <w:r w:rsidRPr="00051B46">
        <w:rPr>
          <w:rFonts w:ascii="Arial" w:hAnsi="Arial" w:cs="Arial"/>
        </w:rPr>
        <w:t xml:space="preserve"> Med. 2014;</w:t>
      </w:r>
      <w:proofErr w:type="gramStart"/>
      <w:r w:rsidRPr="00051B46">
        <w:rPr>
          <w:rFonts w:ascii="Arial" w:hAnsi="Arial" w:cs="Arial"/>
        </w:rPr>
        <w:t>11:e</w:t>
      </w:r>
      <w:proofErr w:type="gramEnd"/>
      <w:r w:rsidRPr="00051B46">
        <w:rPr>
          <w:rFonts w:ascii="Arial" w:hAnsi="Arial" w:cs="Arial"/>
        </w:rPr>
        <w:t xml:space="preserve">1001680. </w:t>
      </w:r>
    </w:p>
    <w:p w14:paraId="4F558B58"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64. </w:t>
      </w:r>
      <w:r w:rsidRPr="00051B46">
        <w:rPr>
          <w:rFonts w:ascii="Arial" w:hAnsi="Arial" w:cs="Arial"/>
        </w:rPr>
        <w:tab/>
      </w:r>
      <w:proofErr w:type="spellStart"/>
      <w:r w:rsidRPr="00051B46">
        <w:rPr>
          <w:rFonts w:ascii="Arial" w:hAnsi="Arial" w:cs="Arial"/>
        </w:rPr>
        <w:t>Yasui</w:t>
      </w:r>
      <w:proofErr w:type="spellEnd"/>
      <w:r w:rsidRPr="00051B46">
        <w:rPr>
          <w:rFonts w:ascii="Arial" w:hAnsi="Arial" w:cs="Arial"/>
        </w:rPr>
        <w:t xml:space="preserve"> K, Sumida Y, Mori Y, et al. Nonalcoholic steatohepatitis and increased risk of chronic kidney disease. Metabolism. </w:t>
      </w:r>
      <w:proofErr w:type="gramStart"/>
      <w:r w:rsidRPr="00051B46">
        <w:rPr>
          <w:rFonts w:ascii="Arial" w:hAnsi="Arial" w:cs="Arial"/>
        </w:rPr>
        <w:t>2011;60:735</w:t>
      </w:r>
      <w:proofErr w:type="gramEnd"/>
      <w:r w:rsidRPr="00051B46">
        <w:rPr>
          <w:rFonts w:ascii="Arial" w:hAnsi="Arial" w:cs="Arial"/>
        </w:rPr>
        <w:t>-9.</w:t>
      </w:r>
    </w:p>
    <w:p w14:paraId="1FCF8BA8"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65. </w:t>
      </w:r>
      <w:r w:rsidRPr="00051B46">
        <w:rPr>
          <w:rFonts w:ascii="Arial" w:hAnsi="Arial" w:cs="Arial"/>
        </w:rPr>
        <w:tab/>
      </w:r>
      <w:proofErr w:type="spellStart"/>
      <w:r w:rsidRPr="00051B46">
        <w:rPr>
          <w:rFonts w:ascii="Arial" w:hAnsi="Arial" w:cs="Arial"/>
        </w:rPr>
        <w:t>Targher</w:t>
      </w:r>
      <w:proofErr w:type="spellEnd"/>
      <w:r w:rsidRPr="00051B46">
        <w:rPr>
          <w:rFonts w:ascii="Arial" w:hAnsi="Arial" w:cs="Arial"/>
        </w:rPr>
        <w:t xml:space="preserve"> G, </w:t>
      </w:r>
      <w:proofErr w:type="spellStart"/>
      <w:r w:rsidRPr="00051B46">
        <w:rPr>
          <w:rFonts w:ascii="Arial" w:hAnsi="Arial" w:cs="Arial"/>
        </w:rPr>
        <w:t>Bertolini</w:t>
      </w:r>
      <w:proofErr w:type="spellEnd"/>
      <w:r w:rsidRPr="00051B46">
        <w:rPr>
          <w:rFonts w:ascii="Arial" w:hAnsi="Arial" w:cs="Arial"/>
        </w:rPr>
        <w:t xml:space="preserve"> L, Rodella S, et al. Relationship between kidney function and liver histology in subjects with nonalcoholic steatohepatitis. Clin J Am Soc </w:t>
      </w:r>
      <w:proofErr w:type="spellStart"/>
      <w:r w:rsidRPr="00051B46">
        <w:rPr>
          <w:rFonts w:ascii="Arial" w:hAnsi="Arial" w:cs="Arial"/>
        </w:rPr>
        <w:t>Nephrol</w:t>
      </w:r>
      <w:proofErr w:type="spellEnd"/>
      <w:r w:rsidRPr="00051B46">
        <w:rPr>
          <w:rFonts w:ascii="Arial" w:hAnsi="Arial" w:cs="Arial"/>
        </w:rPr>
        <w:t xml:space="preserve">. </w:t>
      </w:r>
      <w:proofErr w:type="gramStart"/>
      <w:r w:rsidRPr="00051B46">
        <w:rPr>
          <w:rFonts w:ascii="Arial" w:hAnsi="Arial" w:cs="Arial"/>
        </w:rPr>
        <w:t>2010;5:2166</w:t>
      </w:r>
      <w:proofErr w:type="gramEnd"/>
      <w:r w:rsidRPr="00051B46">
        <w:rPr>
          <w:rFonts w:ascii="Arial" w:hAnsi="Arial" w:cs="Arial"/>
        </w:rPr>
        <w:t>-71.</w:t>
      </w:r>
    </w:p>
    <w:p w14:paraId="782D79F4"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66. </w:t>
      </w:r>
      <w:r w:rsidRPr="00051B46">
        <w:rPr>
          <w:rFonts w:ascii="Arial" w:hAnsi="Arial" w:cs="Arial"/>
        </w:rPr>
        <w:tab/>
      </w:r>
      <w:proofErr w:type="spellStart"/>
      <w:r w:rsidRPr="00051B46">
        <w:rPr>
          <w:rFonts w:ascii="Arial" w:hAnsi="Arial" w:cs="Arial"/>
        </w:rPr>
        <w:t>Macut</w:t>
      </w:r>
      <w:proofErr w:type="spellEnd"/>
      <w:r w:rsidRPr="00051B46">
        <w:rPr>
          <w:rFonts w:ascii="Arial" w:hAnsi="Arial" w:cs="Arial"/>
        </w:rPr>
        <w:t xml:space="preserve"> D, </w:t>
      </w:r>
      <w:proofErr w:type="spellStart"/>
      <w:r w:rsidRPr="00051B46">
        <w:rPr>
          <w:rFonts w:ascii="Arial" w:hAnsi="Arial" w:cs="Arial"/>
        </w:rPr>
        <w:t>Bjekic-Macut</w:t>
      </w:r>
      <w:proofErr w:type="spellEnd"/>
      <w:r w:rsidRPr="00051B46">
        <w:rPr>
          <w:rFonts w:ascii="Arial" w:hAnsi="Arial" w:cs="Arial"/>
        </w:rPr>
        <w:t xml:space="preserve"> J, </w:t>
      </w:r>
      <w:proofErr w:type="spellStart"/>
      <w:r w:rsidRPr="00051B46">
        <w:rPr>
          <w:rFonts w:ascii="Arial" w:hAnsi="Arial" w:cs="Arial"/>
        </w:rPr>
        <w:t>Livadas</w:t>
      </w:r>
      <w:proofErr w:type="spellEnd"/>
      <w:r w:rsidRPr="00051B46">
        <w:rPr>
          <w:rFonts w:ascii="Arial" w:hAnsi="Arial" w:cs="Arial"/>
        </w:rPr>
        <w:t xml:space="preserve"> S, et al. Nonalcoholic fatty liver disease in patients with polycystic ovary syndrome. </w:t>
      </w:r>
      <w:proofErr w:type="spellStart"/>
      <w:r w:rsidRPr="00051B46">
        <w:rPr>
          <w:rFonts w:ascii="Arial" w:hAnsi="Arial" w:cs="Arial"/>
        </w:rPr>
        <w:t>Curr</w:t>
      </w:r>
      <w:proofErr w:type="spellEnd"/>
      <w:r w:rsidRPr="00051B46">
        <w:rPr>
          <w:rFonts w:ascii="Arial" w:hAnsi="Arial" w:cs="Arial"/>
        </w:rPr>
        <w:t xml:space="preserve"> Pharm Des. </w:t>
      </w:r>
      <w:proofErr w:type="gramStart"/>
      <w:r w:rsidRPr="00051B46">
        <w:rPr>
          <w:rFonts w:ascii="Arial" w:hAnsi="Arial" w:cs="Arial"/>
        </w:rPr>
        <w:t>2018;24:4593</w:t>
      </w:r>
      <w:proofErr w:type="gramEnd"/>
      <w:r w:rsidRPr="00051B46">
        <w:rPr>
          <w:rFonts w:ascii="Arial" w:hAnsi="Arial" w:cs="Arial"/>
        </w:rPr>
        <w:t>-97.</w:t>
      </w:r>
    </w:p>
    <w:p w14:paraId="03AC8240"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67. </w:t>
      </w:r>
      <w:r w:rsidRPr="00051B46">
        <w:rPr>
          <w:rFonts w:ascii="Arial" w:hAnsi="Arial" w:cs="Arial"/>
        </w:rPr>
        <w:tab/>
        <w:t xml:space="preserve">Wu J, Yao XY, Shi RX, et al. A potential link between polycystic ovary syndrome and non-alcoholic fatty liver disease: an update meta-analysis. </w:t>
      </w:r>
      <w:proofErr w:type="spellStart"/>
      <w:r w:rsidRPr="00051B46">
        <w:rPr>
          <w:rFonts w:ascii="Arial" w:hAnsi="Arial" w:cs="Arial"/>
        </w:rPr>
        <w:t>Reprod</w:t>
      </w:r>
      <w:proofErr w:type="spellEnd"/>
      <w:r w:rsidRPr="00051B46">
        <w:rPr>
          <w:rFonts w:ascii="Arial" w:hAnsi="Arial" w:cs="Arial"/>
        </w:rPr>
        <w:t xml:space="preserve"> Health. </w:t>
      </w:r>
      <w:proofErr w:type="gramStart"/>
      <w:r w:rsidRPr="00051B46">
        <w:rPr>
          <w:rFonts w:ascii="Arial" w:hAnsi="Arial" w:cs="Arial"/>
        </w:rPr>
        <w:t>2018;15:77</w:t>
      </w:r>
      <w:proofErr w:type="gramEnd"/>
      <w:r w:rsidRPr="00051B46">
        <w:rPr>
          <w:rFonts w:ascii="Arial" w:hAnsi="Arial" w:cs="Arial"/>
        </w:rPr>
        <w:t>.</w:t>
      </w:r>
    </w:p>
    <w:p w14:paraId="0C0D876D"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68. </w:t>
      </w:r>
      <w:r w:rsidRPr="00051B46">
        <w:rPr>
          <w:rFonts w:ascii="Arial" w:hAnsi="Arial" w:cs="Arial"/>
        </w:rPr>
        <w:tab/>
      </w:r>
      <w:proofErr w:type="spellStart"/>
      <w:r w:rsidRPr="00051B46">
        <w:rPr>
          <w:rFonts w:ascii="Arial" w:hAnsi="Arial" w:cs="Arial"/>
        </w:rPr>
        <w:t>Kumarendran</w:t>
      </w:r>
      <w:proofErr w:type="spellEnd"/>
      <w:r w:rsidRPr="00051B46">
        <w:rPr>
          <w:rFonts w:ascii="Arial" w:hAnsi="Arial" w:cs="Arial"/>
        </w:rPr>
        <w:t xml:space="preserve"> B, O’Reilly MW, </w:t>
      </w:r>
      <w:proofErr w:type="spellStart"/>
      <w:r w:rsidRPr="00051B46">
        <w:rPr>
          <w:rFonts w:ascii="Arial" w:hAnsi="Arial" w:cs="Arial"/>
        </w:rPr>
        <w:t>Manolopoulos</w:t>
      </w:r>
      <w:proofErr w:type="spellEnd"/>
      <w:r w:rsidRPr="00051B46">
        <w:rPr>
          <w:rFonts w:ascii="Arial" w:hAnsi="Arial" w:cs="Arial"/>
        </w:rPr>
        <w:t xml:space="preserve"> KN, et al. Polycystic ovary syndrome, androgen excess, and the risk of nonalcoholic fatty liver disease in women: a longitudinal study based on a United Kingdom primary care database. </w:t>
      </w:r>
      <w:proofErr w:type="spellStart"/>
      <w:r w:rsidRPr="00051B46">
        <w:rPr>
          <w:rFonts w:ascii="Arial" w:hAnsi="Arial" w:cs="Arial"/>
        </w:rPr>
        <w:t>PLoS</w:t>
      </w:r>
      <w:proofErr w:type="spellEnd"/>
      <w:r w:rsidRPr="00051B46">
        <w:rPr>
          <w:rFonts w:ascii="Arial" w:hAnsi="Arial" w:cs="Arial"/>
        </w:rPr>
        <w:t xml:space="preserve"> Med. 2018;</w:t>
      </w:r>
      <w:proofErr w:type="gramStart"/>
      <w:r w:rsidRPr="00051B46">
        <w:rPr>
          <w:rFonts w:ascii="Arial" w:hAnsi="Arial" w:cs="Arial"/>
        </w:rPr>
        <w:t>15:e</w:t>
      </w:r>
      <w:proofErr w:type="gramEnd"/>
      <w:r w:rsidRPr="00051B46">
        <w:rPr>
          <w:rFonts w:ascii="Arial" w:hAnsi="Arial" w:cs="Arial"/>
        </w:rPr>
        <w:t>1002542.</w:t>
      </w:r>
    </w:p>
    <w:p w14:paraId="7E112095"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69. </w:t>
      </w:r>
      <w:r w:rsidRPr="00051B46">
        <w:rPr>
          <w:rFonts w:ascii="Arial" w:hAnsi="Arial" w:cs="Arial"/>
        </w:rPr>
        <w:tab/>
        <w:t xml:space="preserve">Van </w:t>
      </w:r>
      <w:proofErr w:type="spellStart"/>
      <w:r w:rsidRPr="00051B46">
        <w:rPr>
          <w:rFonts w:ascii="Arial" w:hAnsi="Arial" w:cs="Arial"/>
        </w:rPr>
        <w:t>Herck</w:t>
      </w:r>
      <w:proofErr w:type="spellEnd"/>
      <w:r w:rsidRPr="00051B46">
        <w:rPr>
          <w:rFonts w:ascii="Arial" w:hAnsi="Arial" w:cs="Arial"/>
        </w:rPr>
        <w:t xml:space="preserve"> MA, </w:t>
      </w:r>
      <w:proofErr w:type="spellStart"/>
      <w:r w:rsidRPr="00051B46">
        <w:rPr>
          <w:rFonts w:ascii="Arial" w:hAnsi="Arial" w:cs="Arial"/>
        </w:rPr>
        <w:t>Vonghia</w:t>
      </w:r>
      <w:proofErr w:type="spellEnd"/>
      <w:r w:rsidRPr="00051B46">
        <w:rPr>
          <w:rFonts w:ascii="Arial" w:hAnsi="Arial" w:cs="Arial"/>
        </w:rPr>
        <w:t xml:space="preserve"> L, </w:t>
      </w:r>
      <w:proofErr w:type="spellStart"/>
      <w:r w:rsidRPr="00051B46">
        <w:rPr>
          <w:rFonts w:ascii="Arial" w:hAnsi="Arial" w:cs="Arial"/>
        </w:rPr>
        <w:t>Francque</w:t>
      </w:r>
      <w:proofErr w:type="spellEnd"/>
      <w:r w:rsidRPr="00051B46">
        <w:rPr>
          <w:rFonts w:ascii="Arial" w:hAnsi="Arial" w:cs="Arial"/>
        </w:rPr>
        <w:t xml:space="preserve"> SM. Animal models of nonalcoholic fatty liver disease - a starter's guide. Nutrients. </w:t>
      </w:r>
      <w:proofErr w:type="gramStart"/>
      <w:r w:rsidRPr="00051B46">
        <w:rPr>
          <w:rFonts w:ascii="Arial" w:hAnsi="Arial" w:cs="Arial"/>
        </w:rPr>
        <w:t>2017;9:1072</w:t>
      </w:r>
      <w:proofErr w:type="gramEnd"/>
      <w:r w:rsidRPr="00051B46">
        <w:rPr>
          <w:rFonts w:ascii="Arial" w:hAnsi="Arial" w:cs="Arial"/>
        </w:rPr>
        <w:t>.</w:t>
      </w:r>
    </w:p>
    <w:p w14:paraId="721BF8F9"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70. </w:t>
      </w:r>
      <w:r w:rsidRPr="00051B46">
        <w:rPr>
          <w:rFonts w:ascii="Arial" w:hAnsi="Arial" w:cs="Arial"/>
        </w:rPr>
        <w:tab/>
      </w:r>
      <w:proofErr w:type="spellStart"/>
      <w:r w:rsidRPr="00051B46">
        <w:rPr>
          <w:rFonts w:ascii="Arial" w:hAnsi="Arial" w:cs="Arial"/>
        </w:rPr>
        <w:t>Rombouts</w:t>
      </w:r>
      <w:proofErr w:type="spellEnd"/>
      <w:r w:rsidRPr="00051B46">
        <w:rPr>
          <w:rFonts w:ascii="Arial" w:hAnsi="Arial" w:cs="Arial"/>
        </w:rPr>
        <w:t xml:space="preserve"> K, </w:t>
      </w:r>
      <w:proofErr w:type="spellStart"/>
      <w:r w:rsidRPr="00051B46">
        <w:rPr>
          <w:rFonts w:ascii="Arial" w:hAnsi="Arial" w:cs="Arial"/>
        </w:rPr>
        <w:t>Marra</w:t>
      </w:r>
      <w:proofErr w:type="spellEnd"/>
      <w:r w:rsidRPr="00051B46">
        <w:rPr>
          <w:rFonts w:ascii="Arial" w:hAnsi="Arial" w:cs="Arial"/>
        </w:rPr>
        <w:t xml:space="preserve"> F. Molecular mechanisms of hepatic fibrosis in non-alcoholic steatohepatitis. Dig Dis. </w:t>
      </w:r>
      <w:proofErr w:type="gramStart"/>
      <w:r w:rsidRPr="00051B46">
        <w:rPr>
          <w:rFonts w:ascii="Arial" w:hAnsi="Arial" w:cs="Arial"/>
        </w:rPr>
        <w:t>2010;28:229</w:t>
      </w:r>
      <w:proofErr w:type="gramEnd"/>
      <w:r w:rsidRPr="00051B46">
        <w:rPr>
          <w:rFonts w:ascii="Arial" w:hAnsi="Arial" w:cs="Arial"/>
        </w:rPr>
        <w:t xml:space="preserve">-35. </w:t>
      </w:r>
    </w:p>
    <w:p w14:paraId="362B6A9C"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71. </w:t>
      </w:r>
      <w:r w:rsidRPr="00051B46">
        <w:rPr>
          <w:rFonts w:ascii="Arial" w:hAnsi="Arial" w:cs="Arial"/>
        </w:rPr>
        <w:tab/>
        <w:t xml:space="preserve">Sunny NE, </w:t>
      </w:r>
      <w:proofErr w:type="spellStart"/>
      <w:r w:rsidRPr="00051B46">
        <w:rPr>
          <w:rFonts w:ascii="Arial" w:hAnsi="Arial" w:cs="Arial"/>
        </w:rPr>
        <w:t>Bril</w:t>
      </w:r>
      <w:proofErr w:type="spellEnd"/>
      <w:r w:rsidRPr="00051B46">
        <w:rPr>
          <w:rFonts w:ascii="Arial" w:hAnsi="Arial" w:cs="Arial"/>
        </w:rPr>
        <w:t xml:space="preserve"> F, </w:t>
      </w:r>
      <w:proofErr w:type="spellStart"/>
      <w:r w:rsidRPr="00051B46">
        <w:rPr>
          <w:rFonts w:ascii="Arial" w:hAnsi="Arial" w:cs="Arial"/>
        </w:rPr>
        <w:t>Cusi</w:t>
      </w:r>
      <w:proofErr w:type="spellEnd"/>
      <w:r w:rsidRPr="00051B46">
        <w:rPr>
          <w:rFonts w:ascii="Arial" w:hAnsi="Arial" w:cs="Arial"/>
        </w:rPr>
        <w:t xml:space="preserve"> K. Mitochondrial adaptation in nonalcoholic fatty liver disease: novel mechanisms and treatment strategies. Trends Endocrinol </w:t>
      </w:r>
      <w:proofErr w:type="spellStart"/>
      <w:r w:rsidRPr="00051B46">
        <w:rPr>
          <w:rFonts w:ascii="Arial" w:hAnsi="Arial" w:cs="Arial"/>
        </w:rPr>
        <w:t>Metab</w:t>
      </w:r>
      <w:proofErr w:type="spellEnd"/>
      <w:r w:rsidRPr="00051B46">
        <w:rPr>
          <w:rFonts w:ascii="Arial" w:hAnsi="Arial" w:cs="Arial"/>
        </w:rPr>
        <w:t xml:space="preserve">. </w:t>
      </w:r>
      <w:proofErr w:type="gramStart"/>
      <w:r w:rsidRPr="00051B46">
        <w:rPr>
          <w:rFonts w:ascii="Arial" w:hAnsi="Arial" w:cs="Arial"/>
        </w:rPr>
        <w:t>2017;28:250</w:t>
      </w:r>
      <w:proofErr w:type="gramEnd"/>
      <w:r w:rsidRPr="00051B46">
        <w:rPr>
          <w:rFonts w:ascii="Arial" w:hAnsi="Arial" w:cs="Arial"/>
        </w:rPr>
        <w:t xml:space="preserve">-60. </w:t>
      </w:r>
    </w:p>
    <w:p w14:paraId="3AA5A9C8"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72. </w:t>
      </w:r>
      <w:r w:rsidRPr="00051B46">
        <w:rPr>
          <w:rFonts w:ascii="Arial" w:hAnsi="Arial" w:cs="Arial"/>
        </w:rPr>
        <w:tab/>
        <w:t xml:space="preserve">Schwimmer JB, </w:t>
      </w:r>
      <w:proofErr w:type="spellStart"/>
      <w:r w:rsidRPr="00051B46">
        <w:rPr>
          <w:rFonts w:ascii="Arial" w:hAnsi="Arial" w:cs="Arial"/>
        </w:rPr>
        <w:t>Celedon</w:t>
      </w:r>
      <w:proofErr w:type="spellEnd"/>
      <w:r w:rsidRPr="00051B46">
        <w:rPr>
          <w:rFonts w:ascii="Arial" w:hAnsi="Arial" w:cs="Arial"/>
        </w:rPr>
        <w:t xml:space="preserve"> MA, Lavine JE, et al. Heritability of nonalcoholic fatty liver disease. Gastroenterology. </w:t>
      </w:r>
      <w:proofErr w:type="gramStart"/>
      <w:r w:rsidRPr="00051B46">
        <w:rPr>
          <w:rFonts w:ascii="Arial" w:hAnsi="Arial" w:cs="Arial"/>
        </w:rPr>
        <w:t>2009;136:1585</w:t>
      </w:r>
      <w:proofErr w:type="gramEnd"/>
      <w:r w:rsidRPr="00051B46">
        <w:rPr>
          <w:rFonts w:ascii="Arial" w:hAnsi="Arial" w:cs="Arial"/>
        </w:rPr>
        <w:t>-92.</w:t>
      </w:r>
    </w:p>
    <w:p w14:paraId="006F1F99"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73. </w:t>
      </w:r>
      <w:r w:rsidRPr="00051B46">
        <w:rPr>
          <w:rFonts w:ascii="Arial" w:hAnsi="Arial" w:cs="Arial"/>
        </w:rPr>
        <w:tab/>
        <w:t xml:space="preserve">Lambert JE, Ramos-Roman MA, Browning JD, et al. Increased de novo lipogenesis is a distinct characteristic of individuals with nonalcoholic fatty liver disease. Gastroenterology. </w:t>
      </w:r>
      <w:proofErr w:type="gramStart"/>
      <w:r w:rsidRPr="00051B46">
        <w:rPr>
          <w:rFonts w:ascii="Arial" w:hAnsi="Arial" w:cs="Arial"/>
        </w:rPr>
        <w:t>2014;146:726</w:t>
      </w:r>
      <w:proofErr w:type="gramEnd"/>
      <w:r w:rsidRPr="00051B46">
        <w:rPr>
          <w:rFonts w:ascii="Arial" w:hAnsi="Arial" w:cs="Arial"/>
        </w:rPr>
        <w:t xml:space="preserve">-35. </w:t>
      </w:r>
    </w:p>
    <w:p w14:paraId="421BDE10"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74. </w:t>
      </w:r>
      <w:r w:rsidRPr="00051B46">
        <w:rPr>
          <w:rFonts w:ascii="Arial" w:hAnsi="Arial" w:cs="Arial"/>
        </w:rPr>
        <w:tab/>
      </w:r>
      <w:proofErr w:type="spellStart"/>
      <w:r w:rsidRPr="00051B46">
        <w:rPr>
          <w:rFonts w:ascii="Arial" w:hAnsi="Arial" w:cs="Arial"/>
        </w:rPr>
        <w:t>Lumeng</w:t>
      </w:r>
      <w:proofErr w:type="spellEnd"/>
      <w:r w:rsidRPr="00051B46">
        <w:rPr>
          <w:rFonts w:ascii="Arial" w:hAnsi="Arial" w:cs="Arial"/>
        </w:rPr>
        <w:t xml:space="preserve"> CN, </w:t>
      </w:r>
      <w:proofErr w:type="spellStart"/>
      <w:r w:rsidRPr="00051B46">
        <w:rPr>
          <w:rFonts w:ascii="Arial" w:hAnsi="Arial" w:cs="Arial"/>
        </w:rPr>
        <w:t>Saltiel</w:t>
      </w:r>
      <w:proofErr w:type="spellEnd"/>
      <w:r w:rsidRPr="00051B46">
        <w:rPr>
          <w:rFonts w:ascii="Arial" w:hAnsi="Arial" w:cs="Arial"/>
        </w:rPr>
        <w:t xml:space="preserve"> AR. Inflammatory links between obesity and metabolic disease. J Clin Invest. </w:t>
      </w:r>
      <w:proofErr w:type="gramStart"/>
      <w:r w:rsidRPr="00051B46">
        <w:rPr>
          <w:rFonts w:ascii="Arial" w:hAnsi="Arial" w:cs="Arial"/>
        </w:rPr>
        <w:t>2011;121:2111</w:t>
      </w:r>
      <w:proofErr w:type="gramEnd"/>
      <w:r w:rsidRPr="00051B46">
        <w:rPr>
          <w:rFonts w:ascii="Arial" w:hAnsi="Arial" w:cs="Arial"/>
        </w:rPr>
        <w:t xml:space="preserve">-7. </w:t>
      </w:r>
    </w:p>
    <w:p w14:paraId="4222EF78"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 xml:space="preserve">75. </w:t>
      </w:r>
      <w:r w:rsidRPr="00051B46">
        <w:rPr>
          <w:rFonts w:ascii="Arial" w:hAnsi="Arial" w:cs="Arial"/>
        </w:rPr>
        <w:tab/>
        <w:t xml:space="preserve">Ter Horst KW, </w:t>
      </w:r>
      <w:proofErr w:type="spellStart"/>
      <w:r w:rsidRPr="00051B46">
        <w:rPr>
          <w:rFonts w:ascii="Arial" w:hAnsi="Arial" w:cs="Arial"/>
        </w:rPr>
        <w:t>Gilijamse</w:t>
      </w:r>
      <w:proofErr w:type="spellEnd"/>
      <w:r w:rsidRPr="00051B46">
        <w:rPr>
          <w:rFonts w:ascii="Arial" w:hAnsi="Arial" w:cs="Arial"/>
        </w:rPr>
        <w:t xml:space="preserve"> PW, Versteeg RI, </w:t>
      </w:r>
      <w:proofErr w:type="spellStart"/>
      <w:r w:rsidRPr="00051B46">
        <w:rPr>
          <w:rFonts w:ascii="Arial" w:hAnsi="Arial" w:cs="Arial"/>
        </w:rPr>
        <w:t>Ackermans</w:t>
      </w:r>
      <w:proofErr w:type="spellEnd"/>
      <w:r w:rsidRPr="00051B46">
        <w:rPr>
          <w:rFonts w:ascii="Arial" w:hAnsi="Arial" w:cs="Arial"/>
        </w:rPr>
        <w:t xml:space="preserve"> MT, </w:t>
      </w:r>
      <w:proofErr w:type="spellStart"/>
      <w:r w:rsidRPr="00051B46">
        <w:rPr>
          <w:rFonts w:ascii="Arial" w:hAnsi="Arial" w:cs="Arial"/>
        </w:rPr>
        <w:t>Nederveen</w:t>
      </w:r>
      <w:proofErr w:type="spellEnd"/>
      <w:r w:rsidRPr="00051B46">
        <w:rPr>
          <w:rFonts w:ascii="Arial" w:hAnsi="Arial" w:cs="Arial"/>
        </w:rPr>
        <w:t xml:space="preserve"> AJ, la Fleur SE, et al. Hepatic diacylglycerol-associated protein kinase-C epsilon translocation links hepatic steatosis to hepatic insulin resistance in humans. Cell Rep </w:t>
      </w:r>
      <w:proofErr w:type="gramStart"/>
      <w:r w:rsidRPr="00051B46">
        <w:rPr>
          <w:rFonts w:ascii="Arial" w:hAnsi="Arial" w:cs="Arial"/>
        </w:rPr>
        <w:t>2017;19:1997</w:t>
      </w:r>
      <w:proofErr w:type="gramEnd"/>
      <w:r w:rsidRPr="00051B46">
        <w:rPr>
          <w:rFonts w:ascii="Arial" w:hAnsi="Arial" w:cs="Arial"/>
        </w:rPr>
        <w:t xml:space="preserve">-2004. </w:t>
      </w:r>
    </w:p>
    <w:p w14:paraId="5149A3DD" w14:textId="77777777" w:rsidR="00397169" w:rsidRPr="00051B46" w:rsidRDefault="00397169" w:rsidP="00690F26">
      <w:pPr>
        <w:spacing w:after="0" w:line="276" w:lineRule="auto"/>
        <w:ind w:left="576" w:hanging="576"/>
        <w:rPr>
          <w:rFonts w:ascii="Arial" w:hAnsi="Arial" w:cs="Arial"/>
        </w:rPr>
      </w:pPr>
      <w:r w:rsidRPr="00051B46">
        <w:rPr>
          <w:rFonts w:ascii="Arial" w:hAnsi="Arial" w:cs="Arial"/>
        </w:rPr>
        <w:t>76.</w:t>
      </w:r>
      <w:r w:rsidRPr="00051B46">
        <w:rPr>
          <w:rFonts w:ascii="Arial" w:hAnsi="Arial" w:cs="Arial"/>
        </w:rPr>
        <w:tab/>
      </w:r>
      <w:proofErr w:type="spellStart"/>
      <w:r w:rsidRPr="00051B46">
        <w:rPr>
          <w:rFonts w:ascii="Arial" w:hAnsi="Arial" w:cs="Arial"/>
        </w:rPr>
        <w:t>Pagadala</w:t>
      </w:r>
      <w:proofErr w:type="spellEnd"/>
      <w:r w:rsidRPr="00051B46">
        <w:rPr>
          <w:rFonts w:ascii="Arial" w:hAnsi="Arial" w:cs="Arial"/>
        </w:rPr>
        <w:t xml:space="preserve"> M, </w:t>
      </w:r>
      <w:proofErr w:type="spellStart"/>
      <w:r w:rsidRPr="00051B46">
        <w:rPr>
          <w:rFonts w:ascii="Arial" w:hAnsi="Arial" w:cs="Arial"/>
        </w:rPr>
        <w:t>Kasumov</w:t>
      </w:r>
      <w:proofErr w:type="spellEnd"/>
      <w:r w:rsidRPr="00051B46">
        <w:rPr>
          <w:rFonts w:ascii="Arial" w:hAnsi="Arial" w:cs="Arial"/>
        </w:rPr>
        <w:t xml:space="preserve"> T, McCullough AJ, </w:t>
      </w:r>
      <w:proofErr w:type="spellStart"/>
      <w:r w:rsidRPr="00051B46">
        <w:rPr>
          <w:rFonts w:ascii="Arial" w:hAnsi="Arial" w:cs="Arial"/>
        </w:rPr>
        <w:t>Zein</w:t>
      </w:r>
      <w:proofErr w:type="spellEnd"/>
      <w:r w:rsidRPr="00051B46">
        <w:rPr>
          <w:rFonts w:ascii="Arial" w:hAnsi="Arial" w:cs="Arial"/>
        </w:rPr>
        <w:t xml:space="preserve"> NN, Kirwan JP. Role of ceramides in nonalcoholic fatty liver disease. Trends Endocrinol </w:t>
      </w:r>
      <w:proofErr w:type="spellStart"/>
      <w:r w:rsidRPr="00051B46">
        <w:rPr>
          <w:rFonts w:ascii="Arial" w:hAnsi="Arial" w:cs="Arial"/>
        </w:rPr>
        <w:t>Metab</w:t>
      </w:r>
      <w:proofErr w:type="spellEnd"/>
      <w:r w:rsidRPr="00051B46">
        <w:rPr>
          <w:rFonts w:ascii="Arial" w:hAnsi="Arial" w:cs="Arial"/>
        </w:rPr>
        <w:t xml:space="preserve"> </w:t>
      </w:r>
      <w:proofErr w:type="gramStart"/>
      <w:r w:rsidRPr="00051B46">
        <w:rPr>
          <w:rFonts w:ascii="Arial" w:hAnsi="Arial" w:cs="Arial"/>
        </w:rPr>
        <w:t>2012;23:365</w:t>
      </w:r>
      <w:proofErr w:type="gramEnd"/>
      <w:r w:rsidRPr="00051B46">
        <w:rPr>
          <w:rFonts w:ascii="Arial" w:hAnsi="Arial" w:cs="Arial"/>
        </w:rPr>
        <w:t>-371.</w:t>
      </w:r>
    </w:p>
    <w:p w14:paraId="112023E3" w14:textId="21F13635" w:rsidR="00397169" w:rsidRPr="00051B46" w:rsidRDefault="00397169" w:rsidP="00690F26">
      <w:pPr>
        <w:spacing w:after="0" w:line="276" w:lineRule="auto"/>
        <w:ind w:left="576" w:hanging="576"/>
        <w:rPr>
          <w:rFonts w:ascii="Arial" w:hAnsi="Arial" w:cs="Arial"/>
        </w:rPr>
      </w:pPr>
      <w:r w:rsidRPr="00051B46">
        <w:rPr>
          <w:rFonts w:ascii="Arial" w:hAnsi="Arial" w:cs="Arial"/>
        </w:rPr>
        <w:t>77.</w:t>
      </w:r>
      <w:r w:rsidRPr="00051B46">
        <w:rPr>
          <w:rFonts w:ascii="Arial" w:hAnsi="Arial" w:cs="Arial"/>
        </w:rPr>
        <w:tab/>
        <w:t xml:space="preserve">Patterson RE, </w:t>
      </w:r>
      <w:proofErr w:type="spellStart"/>
      <w:r w:rsidRPr="00051B46">
        <w:rPr>
          <w:rFonts w:ascii="Arial" w:hAnsi="Arial" w:cs="Arial"/>
        </w:rPr>
        <w:t>Kalavalapalli</w:t>
      </w:r>
      <w:proofErr w:type="spellEnd"/>
      <w:r w:rsidRPr="00051B46">
        <w:rPr>
          <w:rFonts w:ascii="Arial" w:hAnsi="Arial" w:cs="Arial"/>
        </w:rPr>
        <w:t xml:space="preserve"> S, Williams CM, et al. </w:t>
      </w:r>
      <w:proofErr w:type="spellStart"/>
      <w:r w:rsidRPr="00051B46">
        <w:rPr>
          <w:rFonts w:ascii="Arial" w:hAnsi="Arial" w:cs="Arial"/>
        </w:rPr>
        <w:t>Lipotoxicity</w:t>
      </w:r>
      <w:proofErr w:type="spellEnd"/>
      <w:r w:rsidRPr="00051B46">
        <w:rPr>
          <w:rFonts w:ascii="Arial" w:hAnsi="Arial" w:cs="Arial"/>
        </w:rPr>
        <w:t xml:space="preserve"> in steatohepatitis occurs despite an increase in tricarboxylic acid cycle activity. Am. J. Physiol. </w:t>
      </w:r>
      <w:proofErr w:type="spellStart"/>
      <w:r w:rsidRPr="00051B46">
        <w:rPr>
          <w:rFonts w:ascii="Arial" w:hAnsi="Arial" w:cs="Arial"/>
        </w:rPr>
        <w:t>Endocrinol.Metab</w:t>
      </w:r>
      <w:proofErr w:type="spellEnd"/>
      <w:r w:rsidRPr="00051B46">
        <w:rPr>
          <w:rFonts w:ascii="Arial" w:hAnsi="Arial" w:cs="Arial"/>
        </w:rPr>
        <w:t>. 2016;310, E484–E494.</w:t>
      </w:r>
    </w:p>
    <w:p w14:paraId="76B4CAAA" w14:textId="7A7A502C" w:rsidR="005B4F90" w:rsidRPr="00051B46" w:rsidRDefault="00754AF3" w:rsidP="00690F26">
      <w:pPr>
        <w:spacing w:after="0" w:line="276" w:lineRule="auto"/>
        <w:ind w:left="576" w:hanging="576"/>
        <w:rPr>
          <w:rFonts w:ascii="Arial" w:hAnsi="Arial" w:cs="Arial"/>
        </w:rPr>
      </w:pPr>
      <w:r w:rsidRPr="00051B46">
        <w:rPr>
          <w:rFonts w:ascii="Arial" w:hAnsi="Arial" w:cs="Arial"/>
        </w:rPr>
        <w:t>78.</w:t>
      </w:r>
      <w:r w:rsidRPr="00051B46">
        <w:rPr>
          <w:rFonts w:ascii="Arial" w:hAnsi="Arial" w:cs="Arial"/>
        </w:rPr>
        <w:tab/>
      </w:r>
      <w:proofErr w:type="spellStart"/>
      <w:r w:rsidR="005B4F90" w:rsidRPr="00051B46">
        <w:rPr>
          <w:rFonts w:ascii="Arial" w:hAnsi="Arial" w:cs="Arial"/>
        </w:rPr>
        <w:t>Biddinger</w:t>
      </w:r>
      <w:proofErr w:type="spellEnd"/>
      <w:r w:rsidR="005B4F90" w:rsidRPr="00051B46">
        <w:rPr>
          <w:rFonts w:ascii="Arial" w:hAnsi="Arial" w:cs="Arial"/>
        </w:rPr>
        <w:t xml:space="preserve"> SB, Hernandez-Ono A, Rask-Madsen C, et al. Hepatic insulin resistance is sufficient to produce dyslipidemia and susceptibility to atherosclerosis. Cell </w:t>
      </w:r>
      <w:proofErr w:type="spellStart"/>
      <w:r w:rsidR="005B4F90" w:rsidRPr="00051B46">
        <w:rPr>
          <w:rFonts w:ascii="Arial" w:hAnsi="Arial" w:cs="Arial"/>
        </w:rPr>
        <w:t>Metab</w:t>
      </w:r>
      <w:proofErr w:type="spellEnd"/>
      <w:r w:rsidR="005B4F90" w:rsidRPr="00051B46">
        <w:rPr>
          <w:rFonts w:ascii="Arial" w:hAnsi="Arial" w:cs="Arial"/>
        </w:rPr>
        <w:t xml:space="preserve">. </w:t>
      </w:r>
      <w:proofErr w:type="gramStart"/>
      <w:r w:rsidR="005B4F90" w:rsidRPr="00051B46">
        <w:rPr>
          <w:rFonts w:ascii="Arial" w:hAnsi="Arial" w:cs="Arial"/>
        </w:rPr>
        <w:t>2008;7:125</w:t>
      </w:r>
      <w:proofErr w:type="gramEnd"/>
      <w:r w:rsidR="005B4F90" w:rsidRPr="00051B46">
        <w:rPr>
          <w:rFonts w:ascii="Arial" w:hAnsi="Arial" w:cs="Arial"/>
        </w:rPr>
        <w:t xml:space="preserve">-34. </w:t>
      </w:r>
    </w:p>
    <w:p w14:paraId="4162B0A7" w14:textId="54D0157C" w:rsidR="00B82214" w:rsidRPr="00051B46" w:rsidRDefault="00B82214" w:rsidP="00690F26">
      <w:pPr>
        <w:spacing w:after="0" w:line="276" w:lineRule="auto"/>
        <w:ind w:left="576" w:hanging="576"/>
        <w:rPr>
          <w:rFonts w:ascii="Arial" w:hAnsi="Arial" w:cs="Arial"/>
        </w:rPr>
      </w:pPr>
      <w:r w:rsidRPr="00051B46">
        <w:rPr>
          <w:rFonts w:ascii="Arial" w:hAnsi="Arial" w:cs="Arial"/>
        </w:rPr>
        <w:lastRenderedPageBreak/>
        <w:t>79.</w:t>
      </w:r>
      <w:r w:rsidRPr="00051B46">
        <w:rPr>
          <w:rFonts w:ascii="Arial" w:hAnsi="Arial" w:cs="Arial"/>
        </w:rPr>
        <w:tab/>
        <w:t xml:space="preserve">Brown MS1, Goldstein JL.  Selective versus total insulin resistance: a pathogenic paradox.  Cell </w:t>
      </w:r>
      <w:proofErr w:type="spellStart"/>
      <w:r w:rsidRPr="00051B46">
        <w:rPr>
          <w:rFonts w:ascii="Arial" w:hAnsi="Arial" w:cs="Arial"/>
        </w:rPr>
        <w:t>Metab</w:t>
      </w:r>
      <w:proofErr w:type="spellEnd"/>
      <w:r w:rsidRPr="00051B46">
        <w:rPr>
          <w:rFonts w:ascii="Arial" w:hAnsi="Arial" w:cs="Arial"/>
        </w:rPr>
        <w:t xml:space="preserve">. </w:t>
      </w:r>
      <w:proofErr w:type="gramStart"/>
      <w:r w:rsidRPr="00051B46">
        <w:rPr>
          <w:rFonts w:ascii="Arial" w:hAnsi="Arial" w:cs="Arial"/>
        </w:rPr>
        <w:t>2008;7:95</w:t>
      </w:r>
      <w:proofErr w:type="gramEnd"/>
      <w:r w:rsidRPr="00051B46">
        <w:rPr>
          <w:rFonts w:ascii="Arial" w:hAnsi="Arial" w:cs="Arial"/>
        </w:rPr>
        <w:t>-6.</w:t>
      </w:r>
    </w:p>
    <w:p w14:paraId="68CC1A8E" w14:textId="516924FF" w:rsidR="00124B8B" w:rsidRPr="00051B46" w:rsidRDefault="00B82214" w:rsidP="00690F26">
      <w:pPr>
        <w:spacing w:after="0" w:line="276" w:lineRule="auto"/>
        <w:ind w:left="576" w:hanging="576"/>
        <w:rPr>
          <w:rFonts w:ascii="Arial" w:hAnsi="Arial" w:cs="Arial"/>
        </w:rPr>
      </w:pPr>
      <w:r w:rsidRPr="00051B46">
        <w:rPr>
          <w:rFonts w:ascii="Arial" w:hAnsi="Arial" w:cs="Arial"/>
        </w:rPr>
        <w:t>80.</w:t>
      </w:r>
      <w:r w:rsidRPr="00051B46">
        <w:rPr>
          <w:rFonts w:ascii="Arial" w:hAnsi="Arial" w:cs="Arial"/>
        </w:rPr>
        <w:tab/>
      </w:r>
      <w:r w:rsidR="00124B8B" w:rsidRPr="00051B46">
        <w:rPr>
          <w:rFonts w:ascii="Arial" w:hAnsi="Arial" w:cs="Arial"/>
        </w:rPr>
        <w:t xml:space="preserve">Perry RJ, </w:t>
      </w:r>
      <w:proofErr w:type="spellStart"/>
      <w:r w:rsidR="00124B8B" w:rsidRPr="00051B46">
        <w:rPr>
          <w:rFonts w:ascii="Arial" w:hAnsi="Arial" w:cs="Arial"/>
        </w:rPr>
        <w:t>Camporez</w:t>
      </w:r>
      <w:proofErr w:type="spellEnd"/>
      <w:r w:rsidR="00124B8B" w:rsidRPr="00051B46">
        <w:rPr>
          <w:rFonts w:ascii="Arial" w:hAnsi="Arial" w:cs="Arial"/>
        </w:rPr>
        <w:t xml:space="preserve"> JG, </w:t>
      </w:r>
      <w:proofErr w:type="spellStart"/>
      <w:r w:rsidR="00124B8B" w:rsidRPr="00051B46">
        <w:rPr>
          <w:rFonts w:ascii="Arial" w:hAnsi="Arial" w:cs="Arial"/>
        </w:rPr>
        <w:t>Kursawe</w:t>
      </w:r>
      <w:proofErr w:type="spellEnd"/>
      <w:r w:rsidR="00124B8B" w:rsidRPr="00051B46">
        <w:rPr>
          <w:rFonts w:ascii="Arial" w:hAnsi="Arial" w:cs="Arial"/>
        </w:rPr>
        <w:t xml:space="preserve"> R, et al. Hepatic acetyl CoA links adipose tissue inflammation to hepatic insulin resistance and type 2 diabetes. Cell. </w:t>
      </w:r>
      <w:proofErr w:type="gramStart"/>
      <w:r w:rsidR="00124B8B" w:rsidRPr="00051B46">
        <w:rPr>
          <w:rFonts w:ascii="Arial" w:hAnsi="Arial" w:cs="Arial"/>
        </w:rPr>
        <w:t>2015;160:745</w:t>
      </w:r>
      <w:proofErr w:type="gramEnd"/>
      <w:r w:rsidR="00124B8B" w:rsidRPr="00051B46">
        <w:rPr>
          <w:rFonts w:ascii="Arial" w:hAnsi="Arial" w:cs="Arial"/>
        </w:rPr>
        <w:t>-758</w:t>
      </w:r>
      <w:r w:rsidR="00815C8E" w:rsidRPr="00051B46">
        <w:rPr>
          <w:rFonts w:ascii="Arial" w:hAnsi="Arial" w:cs="Arial"/>
        </w:rPr>
        <w:t>.</w:t>
      </w:r>
    </w:p>
    <w:p w14:paraId="7A3B0ABC" w14:textId="0F607F60" w:rsidR="001E0524" w:rsidRPr="00051B46" w:rsidRDefault="00E57454" w:rsidP="00690F26">
      <w:pPr>
        <w:spacing w:after="0" w:line="276" w:lineRule="auto"/>
        <w:ind w:left="576" w:hanging="576"/>
        <w:rPr>
          <w:rFonts w:ascii="Arial" w:hAnsi="Arial" w:cs="Arial"/>
        </w:rPr>
      </w:pPr>
      <w:r w:rsidRPr="00051B46">
        <w:rPr>
          <w:rFonts w:ascii="Arial" w:hAnsi="Arial" w:cs="Arial"/>
        </w:rPr>
        <w:t>8</w:t>
      </w:r>
      <w:r w:rsidR="00B82214" w:rsidRPr="00051B46">
        <w:rPr>
          <w:rFonts w:ascii="Arial" w:hAnsi="Arial" w:cs="Arial"/>
        </w:rPr>
        <w:t>1</w:t>
      </w:r>
      <w:r w:rsidRPr="00051B46">
        <w:rPr>
          <w:rFonts w:ascii="Arial" w:hAnsi="Arial" w:cs="Arial"/>
        </w:rPr>
        <w:t>.</w:t>
      </w:r>
      <w:r w:rsidRPr="00051B46">
        <w:rPr>
          <w:rFonts w:ascii="Arial" w:hAnsi="Arial" w:cs="Arial"/>
        </w:rPr>
        <w:tab/>
      </w:r>
      <w:proofErr w:type="spellStart"/>
      <w:r w:rsidRPr="00051B46">
        <w:rPr>
          <w:rFonts w:ascii="Arial" w:hAnsi="Arial" w:cs="Arial"/>
        </w:rPr>
        <w:t>Bril</w:t>
      </w:r>
      <w:proofErr w:type="spellEnd"/>
      <w:r w:rsidRPr="00051B46">
        <w:rPr>
          <w:rFonts w:ascii="Arial" w:hAnsi="Arial" w:cs="Arial"/>
        </w:rPr>
        <w:t xml:space="preserve"> F, </w:t>
      </w:r>
      <w:proofErr w:type="spellStart"/>
      <w:r w:rsidRPr="00051B46">
        <w:rPr>
          <w:rFonts w:ascii="Arial" w:hAnsi="Arial" w:cs="Arial"/>
        </w:rPr>
        <w:t>Lomonaco</w:t>
      </w:r>
      <w:proofErr w:type="spellEnd"/>
      <w:r w:rsidRPr="00051B46">
        <w:rPr>
          <w:rFonts w:ascii="Arial" w:hAnsi="Arial" w:cs="Arial"/>
        </w:rPr>
        <w:t xml:space="preserve"> R, </w:t>
      </w:r>
      <w:proofErr w:type="spellStart"/>
      <w:r w:rsidRPr="00051B46">
        <w:rPr>
          <w:rFonts w:ascii="Arial" w:hAnsi="Arial" w:cs="Arial"/>
        </w:rPr>
        <w:t>Orsak</w:t>
      </w:r>
      <w:proofErr w:type="spellEnd"/>
      <w:r w:rsidRPr="00051B46">
        <w:rPr>
          <w:rFonts w:ascii="Arial" w:hAnsi="Arial" w:cs="Arial"/>
        </w:rPr>
        <w:t xml:space="preserve"> B, Ortiz-Lopez C, Webb A, Tio F, Hecht J, Cusi K.  Relationship between disease severity, hyperinsulinemia and impaired insulin clearance in patients with nonalcoholic steatohepatitis (NASH). Hepatology. </w:t>
      </w:r>
      <w:proofErr w:type="gramStart"/>
      <w:r w:rsidRPr="00051B46">
        <w:rPr>
          <w:rFonts w:ascii="Arial" w:hAnsi="Arial" w:cs="Arial"/>
        </w:rPr>
        <w:t>2013;59:2178</w:t>
      </w:r>
      <w:proofErr w:type="gramEnd"/>
      <w:r w:rsidRPr="00051B46">
        <w:rPr>
          <w:rFonts w:ascii="Arial" w:hAnsi="Arial" w:cs="Arial"/>
        </w:rPr>
        <w:t>-2187.</w:t>
      </w:r>
    </w:p>
    <w:p w14:paraId="40486A8F" w14:textId="77777777" w:rsidR="00B82214" w:rsidRPr="00051B46" w:rsidRDefault="003F154A" w:rsidP="00690F26">
      <w:pPr>
        <w:spacing w:after="0" w:line="276" w:lineRule="auto"/>
        <w:ind w:left="576" w:hanging="576"/>
        <w:rPr>
          <w:rFonts w:ascii="Arial" w:hAnsi="Arial" w:cs="Arial"/>
        </w:rPr>
      </w:pPr>
      <w:r w:rsidRPr="00051B46">
        <w:rPr>
          <w:rFonts w:ascii="Arial" w:hAnsi="Arial" w:cs="Arial"/>
        </w:rPr>
        <w:t>82.</w:t>
      </w:r>
      <w:r w:rsidRPr="00051B46">
        <w:rPr>
          <w:rFonts w:ascii="Arial" w:hAnsi="Arial" w:cs="Arial"/>
        </w:rPr>
        <w:tab/>
      </w:r>
      <w:r w:rsidR="00B82214" w:rsidRPr="00051B46">
        <w:rPr>
          <w:rFonts w:ascii="Arial" w:hAnsi="Arial" w:cs="Arial"/>
        </w:rPr>
        <w:t xml:space="preserve">Belfort R, </w:t>
      </w:r>
      <w:proofErr w:type="spellStart"/>
      <w:r w:rsidR="00B82214" w:rsidRPr="00051B46">
        <w:rPr>
          <w:rFonts w:ascii="Arial" w:hAnsi="Arial" w:cs="Arial"/>
        </w:rPr>
        <w:t>Mandarino</w:t>
      </w:r>
      <w:proofErr w:type="spellEnd"/>
      <w:r w:rsidR="00B82214" w:rsidRPr="00051B46">
        <w:rPr>
          <w:rFonts w:ascii="Arial" w:hAnsi="Arial" w:cs="Arial"/>
        </w:rPr>
        <w:t xml:space="preserve"> L, Kashyap S, et al. Dose-response effect of elevated plasma free fatty acid on insulin signaling. Diabetes. </w:t>
      </w:r>
      <w:proofErr w:type="gramStart"/>
      <w:r w:rsidR="00B82214" w:rsidRPr="00051B46">
        <w:rPr>
          <w:rFonts w:ascii="Arial" w:hAnsi="Arial" w:cs="Arial"/>
        </w:rPr>
        <w:t>2005;54:1640</w:t>
      </w:r>
      <w:proofErr w:type="gramEnd"/>
      <w:r w:rsidR="00B82214" w:rsidRPr="00051B46">
        <w:rPr>
          <w:rFonts w:ascii="Arial" w:hAnsi="Arial" w:cs="Arial"/>
        </w:rPr>
        <w:t>-48.</w:t>
      </w:r>
    </w:p>
    <w:p w14:paraId="36822166" w14:textId="10EC5C88" w:rsidR="00397169" w:rsidRPr="00051B46" w:rsidRDefault="00B82214" w:rsidP="00690F26">
      <w:pPr>
        <w:spacing w:after="0" w:line="276" w:lineRule="auto"/>
        <w:ind w:left="576" w:hanging="576"/>
        <w:rPr>
          <w:rFonts w:ascii="Arial" w:hAnsi="Arial" w:cs="Arial"/>
        </w:rPr>
      </w:pPr>
      <w:r w:rsidRPr="00051B46">
        <w:rPr>
          <w:rFonts w:ascii="Arial" w:hAnsi="Arial" w:cs="Arial"/>
        </w:rPr>
        <w:t xml:space="preserve">83. </w:t>
      </w:r>
      <w:r w:rsidRPr="00051B46">
        <w:rPr>
          <w:rFonts w:ascii="Arial" w:hAnsi="Arial" w:cs="Arial"/>
        </w:rPr>
        <w:tab/>
        <w:t xml:space="preserve">Kashyap S, Belfort R, </w:t>
      </w:r>
      <w:proofErr w:type="spellStart"/>
      <w:r w:rsidRPr="00051B46">
        <w:rPr>
          <w:rFonts w:ascii="Arial" w:hAnsi="Arial" w:cs="Arial"/>
        </w:rPr>
        <w:t>Gastaldelli</w:t>
      </w:r>
      <w:proofErr w:type="spellEnd"/>
      <w:r w:rsidRPr="00051B46">
        <w:rPr>
          <w:rFonts w:ascii="Arial" w:hAnsi="Arial" w:cs="Arial"/>
        </w:rPr>
        <w:t xml:space="preserve"> A, et al. A sustained increase in plasma free fatty acids impairs insulin secretion in nondiabetic subjects genetically predisposed to develop type 2 diabetes. Diabetes. </w:t>
      </w:r>
      <w:proofErr w:type="gramStart"/>
      <w:r w:rsidRPr="00051B46">
        <w:rPr>
          <w:rFonts w:ascii="Arial" w:hAnsi="Arial" w:cs="Arial"/>
        </w:rPr>
        <w:t>2003;52:2461</w:t>
      </w:r>
      <w:proofErr w:type="gramEnd"/>
      <w:r w:rsidRPr="00051B46">
        <w:rPr>
          <w:rFonts w:ascii="Arial" w:hAnsi="Arial" w:cs="Arial"/>
        </w:rPr>
        <w:t>-74.</w:t>
      </w:r>
    </w:p>
    <w:p w14:paraId="2052767A" w14:textId="1A474759" w:rsidR="00397169" w:rsidRPr="00051B46" w:rsidRDefault="00173072" w:rsidP="00690F26">
      <w:pPr>
        <w:spacing w:after="0" w:line="276" w:lineRule="auto"/>
        <w:ind w:left="576" w:hanging="576"/>
        <w:rPr>
          <w:rFonts w:ascii="Arial" w:hAnsi="Arial" w:cs="Arial"/>
        </w:rPr>
      </w:pPr>
      <w:r w:rsidRPr="00051B46">
        <w:rPr>
          <w:rFonts w:ascii="Arial" w:hAnsi="Arial" w:cs="Arial"/>
        </w:rPr>
        <w:t>8</w:t>
      </w:r>
      <w:r w:rsidR="009E5594" w:rsidRPr="00051B46">
        <w:rPr>
          <w:rFonts w:ascii="Arial" w:hAnsi="Arial" w:cs="Arial"/>
        </w:rPr>
        <w:t>4</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Eslam</w:t>
      </w:r>
      <w:proofErr w:type="spellEnd"/>
      <w:r w:rsidR="00397169" w:rsidRPr="00051B46">
        <w:rPr>
          <w:rFonts w:ascii="Arial" w:hAnsi="Arial" w:cs="Arial"/>
        </w:rPr>
        <w:t xml:space="preserve"> M, </w:t>
      </w:r>
      <w:proofErr w:type="spellStart"/>
      <w:r w:rsidR="00397169" w:rsidRPr="00051B46">
        <w:rPr>
          <w:rFonts w:ascii="Arial" w:hAnsi="Arial" w:cs="Arial"/>
        </w:rPr>
        <w:t>Valenti</w:t>
      </w:r>
      <w:proofErr w:type="spellEnd"/>
      <w:r w:rsidR="00397169" w:rsidRPr="00051B46">
        <w:rPr>
          <w:rFonts w:ascii="Arial" w:hAnsi="Arial" w:cs="Arial"/>
        </w:rPr>
        <w:t xml:space="preserve"> L, Romeo S. Genetics and epigenetics of NAFLD and NASH: clinical impact. J </w:t>
      </w:r>
      <w:proofErr w:type="spellStart"/>
      <w:r w:rsidR="00397169" w:rsidRPr="00051B46">
        <w:rPr>
          <w:rFonts w:ascii="Arial" w:hAnsi="Arial" w:cs="Arial"/>
        </w:rPr>
        <w:t>Hepatol</w:t>
      </w:r>
      <w:proofErr w:type="spellEnd"/>
      <w:r w:rsidR="00397169" w:rsidRPr="00051B46">
        <w:rPr>
          <w:rFonts w:ascii="Arial" w:hAnsi="Arial" w:cs="Arial"/>
        </w:rPr>
        <w:t xml:space="preserve">. </w:t>
      </w:r>
      <w:proofErr w:type="gramStart"/>
      <w:r w:rsidR="00397169" w:rsidRPr="00051B46">
        <w:rPr>
          <w:rFonts w:ascii="Arial" w:hAnsi="Arial" w:cs="Arial"/>
        </w:rPr>
        <w:t>2018;68:268</w:t>
      </w:r>
      <w:proofErr w:type="gramEnd"/>
      <w:r w:rsidR="00397169" w:rsidRPr="00051B46">
        <w:rPr>
          <w:rFonts w:ascii="Arial" w:hAnsi="Arial" w:cs="Arial"/>
        </w:rPr>
        <w:t xml:space="preserve">-79. </w:t>
      </w:r>
    </w:p>
    <w:p w14:paraId="1697E1AB" w14:textId="3B88E37F" w:rsidR="00397169" w:rsidRPr="00051B46" w:rsidRDefault="00173072" w:rsidP="00690F26">
      <w:pPr>
        <w:spacing w:after="0" w:line="276" w:lineRule="auto"/>
        <w:ind w:left="576" w:hanging="576"/>
        <w:rPr>
          <w:rFonts w:ascii="Arial" w:hAnsi="Arial" w:cs="Arial"/>
        </w:rPr>
      </w:pPr>
      <w:r w:rsidRPr="00051B46">
        <w:rPr>
          <w:rFonts w:ascii="Arial" w:hAnsi="Arial" w:cs="Arial"/>
        </w:rPr>
        <w:t>8</w:t>
      </w:r>
      <w:r w:rsidR="009E5594" w:rsidRPr="00051B46">
        <w:rPr>
          <w:rFonts w:ascii="Arial" w:hAnsi="Arial" w:cs="Arial"/>
        </w:rPr>
        <w:t>5</w:t>
      </w:r>
      <w:r w:rsidR="00397169" w:rsidRPr="00051B46">
        <w:rPr>
          <w:rFonts w:ascii="Arial" w:hAnsi="Arial" w:cs="Arial"/>
        </w:rPr>
        <w:t xml:space="preserve">. </w:t>
      </w:r>
      <w:r w:rsidR="00397169" w:rsidRPr="00051B46">
        <w:rPr>
          <w:rFonts w:ascii="Arial" w:hAnsi="Arial" w:cs="Arial"/>
        </w:rPr>
        <w:tab/>
        <w:t xml:space="preserve">Huang Y, Cohen JC, Hobbs HH. Expression and characterization of a PNPLA3 protein isoform (I148M) associated with nonalcoholic fatty liver disease. J Biol Chem. </w:t>
      </w:r>
      <w:proofErr w:type="gramStart"/>
      <w:r w:rsidR="00397169" w:rsidRPr="00051B46">
        <w:rPr>
          <w:rFonts w:ascii="Arial" w:hAnsi="Arial" w:cs="Arial"/>
        </w:rPr>
        <w:t>2011;286:37085</w:t>
      </w:r>
      <w:proofErr w:type="gramEnd"/>
      <w:r w:rsidR="00397169" w:rsidRPr="00051B46">
        <w:rPr>
          <w:rFonts w:ascii="Arial" w:hAnsi="Arial" w:cs="Arial"/>
        </w:rPr>
        <w:t xml:space="preserve">-93. </w:t>
      </w:r>
    </w:p>
    <w:p w14:paraId="4152F63F" w14:textId="7D60C76B" w:rsidR="00173072" w:rsidRPr="00051B46" w:rsidRDefault="00173072" w:rsidP="00690F26">
      <w:pPr>
        <w:spacing w:after="0" w:line="276" w:lineRule="auto"/>
        <w:ind w:left="576" w:hanging="576"/>
        <w:rPr>
          <w:rFonts w:ascii="Arial" w:hAnsi="Arial" w:cs="Arial"/>
        </w:rPr>
      </w:pPr>
      <w:r w:rsidRPr="00051B46">
        <w:rPr>
          <w:rFonts w:ascii="Arial" w:hAnsi="Arial" w:cs="Arial"/>
        </w:rPr>
        <w:t>8</w:t>
      </w:r>
      <w:r w:rsidR="009E5594" w:rsidRPr="00051B46">
        <w:rPr>
          <w:rFonts w:ascii="Arial" w:hAnsi="Arial" w:cs="Arial"/>
        </w:rPr>
        <w:t>6</w:t>
      </w:r>
      <w:r w:rsidRPr="00051B46">
        <w:rPr>
          <w:rFonts w:ascii="Arial" w:hAnsi="Arial" w:cs="Arial"/>
        </w:rPr>
        <w:t>.</w:t>
      </w:r>
      <w:r w:rsidRPr="00051B46">
        <w:rPr>
          <w:rFonts w:ascii="Arial" w:hAnsi="Arial" w:cs="Arial"/>
        </w:rPr>
        <w:tab/>
      </w:r>
      <w:proofErr w:type="spellStart"/>
      <w:r w:rsidRPr="00051B46">
        <w:rPr>
          <w:rFonts w:ascii="Arial" w:hAnsi="Arial" w:cs="Arial"/>
        </w:rPr>
        <w:t>BasuRay</w:t>
      </w:r>
      <w:proofErr w:type="spellEnd"/>
      <w:r w:rsidRPr="00051B46">
        <w:rPr>
          <w:rFonts w:ascii="Arial" w:hAnsi="Arial" w:cs="Arial"/>
        </w:rPr>
        <w:t xml:space="preserve"> S, Wang Y, </w:t>
      </w:r>
      <w:proofErr w:type="spellStart"/>
      <w:r w:rsidRPr="00051B46">
        <w:rPr>
          <w:rFonts w:ascii="Arial" w:hAnsi="Arial" w:cs="Arial"/>
        </w:rPr>
        <w:t>Smagris</w:t>
      </w:r>
      <w:proofErr w:type="spellEnd"/>
      <w:r w:rsidRPr="00051B46">
        <w:rPr>
          <w:rFonts w:ascii="Arial" w:hAnsi="Arial" w:cs="Arial"/>
        </w:rPr>
        <w:t xml:space="preserve"> E, et al. Accumulation of PNPLA3 on lipid droplets is the basis of associated hepatic steatosis.  Proc Natl </w:t>
      </w:r>
      <w:proofErr w:type="spellStart"/>
      <w:r w:rsidRPr="00051B46">
        <w:rPr>
          <w:rFonts w:ascii="Arial" w:hAnsi="Arial" w:cs="Arial"/>
        </w:rPr>
        <w:t>Acad</w:t>
      </w:r>
      <w:proofErr w:type="spellEnd"/>
      <w:r w:rsidRPr="00051B46">
        <w:rPr>
          <w:rFonts w:ascii="Arial" w:hAnsi="Arial" w:cs="Arial"/>
        </w:rPr>
        <w:t xml:space="preserve"> Sci USA. </w:t>
      </w:r>
      <w:proofErr w:type="gramStart"/>
      <w:r w:rsidRPr="00051B46">
        <w:rPr>
          <w:rFonts w:ascii="Arial" w:hAnsi="Arial" w:cs="Arial"/>
        </w:rPr>
        <w:t>2019;116:9521</w:t>
      </w:r>
      <w:proofErr w:type="gramEnd"/>
      <w:r w:rsidRPr="00051B46">
        <w:rPr>
          <w:rFonts w:ascii="Arial" w:hAnsi="Arial" w:cs="Arial"/>
        </w:rPr>
        <w:t>-9526.</w:t>
      </w:r>
    </w:p>
    <w:p w14:paraId="5BB90B33" w14:textId="0D8C4187" w:rsidR="00397169" w:rsidRPr="00051B46" w:rsidRDefault="00173072" w:rsidP="00690F26">
      <w:pPr>
        <w:spacing w:after="0" w:line="276" w:lineRule="auto"/>
        <w:ind w:left="576" w:hanging="576"/>
        <w:rPr>
          <w:rFonts w:ascii="Arial" w:hAnsi="Arial" w:cs="Arial"/>
        </w:rPr>
      </w:pPr>
      <w:r w:rsidRPr="00051B46">
        <w:rPr>
          <w:rFonts w:ascii="Arial" w:hAnsi="Arial" w:cs="Arial"/>
        </w:rPr>
        <w:t>8</w:t>
      </w:r>
      <w:r w:rsidR="009E5594" w:rsidRPr="00051B46">
        <w:rPr>
          <w:rFonts w:ascii="Arial" w:hAnsi="Arial" w:cs="Arial"/>
        </w:rPr>
        <w:t>7</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Dongiovanni</w:t>
      </w:r>
      <w:proofErr w:type="spellEnd"/>
      <w:r w:rsidR="00397169" w:rsidRPr="00051B46">
        <w:rPr>
          <w:rFonts w:ascii="Arial" w:hAnsi="Arial" w:cs="Arial"/>
        </w:rPr>
        <w:t xml:space="preserve"> P, </w:t>
      </w:r>
      <w:proofErr w:type="spellStart"/>
      <w:r w:rsidR="00397169" w:rsidRPr="00051B46">
        <w:rPr>
          <w:rFonts w:ascii="Arial" w:hAnsi="Arial" w:cs="Arial"/>
        </w:rPr>
        <w:t>Petta</w:t>
      </w:r>
      <w:proofErr w:type="spellEnd"/>
      <w:r w:rsidR="00397169" w:rsidRPr="00051B46">
        <w:rPr>
          <w:rFonts w:ascii="Arial" w:hAnsi="Arial" w:cs="Arial"/>
        </w:rPr>
        <w:t xml:space="preserve"> S, Maglio C, et al. Transmembrane 6 superfamily member 2 gene variant disentangles nonalcoholic steatohepatitis from cardiovascular disease. Hepatology. </w:t>
      </w:r>
      <w:proofErr w:type="gramStart"/>
      <w:r w:rsidR="00397169" w:rsidRPr="00051B46">
        <w:rPr>
          <w:rFonts w:ascii="Arial" w:hAnsi="Arial" w:cs="Arial"/>
        </w:rPr>
        <w:t>2015;61:506</w:t>
      </w:r>
      <w:proofErr w:type="gramEnd"/>
      <w:r w:rsidR="00397169" w:rsidRPr="00051B46">
        <w:rPr>
          <w:rFonts w:ascii="Arial" w:hAnsi="Arial" w:cs="Arial"/>
        </w:rPr>
        <w:t xml:space="preserve">-14. </w:t>
      </w:r>
    </w:p>
    <w:p w14:paraId="64EF9890" w14:textId="58BA88F8" w:rsidR="00397169" w:rsidRPr="00051B46" w:rsidRDefault="00173072" w:rsidP="00690F26">
      <w:pPr>
        <w:spacing w:after="0" w:line="276" w:lineRule="auto"/>
        <w:ind w:left="576" w:hanging="576"/>
        <w:rPr>
          <w:rFonts w:ascii="Arial" w:hAnsi="Arial" w:cs="Arial"/>
        </w:rPr>
      </w:pPr>
      <w:r w:rsidRPr="00051B46">
        <w:rPr>
          <w:rFonts w:ascii="Arial" w:hAnsi="Arial" w:cs="Arial"/>
        </w:rPr>
        <w:t>8</w:t>
      </w:r>
      <w:r w:rsidR="009E5594" w:rsidRPr="00051B46">
        <w:rPr>
          <w:rFonts w:ascii="Arial" w:hAnsi="Arial" w:cs="Arial"/>
        </w:rPr>
        <w:t>8</w:t>
      </w:r>
      <w:r w:rsidR="00397169" w:rsidRPr="00051B46">
        <w:rPr>
          <w:rFonts w:ascii="Arial" w:hAnsi="Arial" w:cs="Arial"/>
        </w:rPr>
        <w:t xml:space="preserve">. </w:t>
      </w:r>
      <w:r w:rsidR="00397169" w:rsidRPr="00051B46">
        <w:rPr>
          <w:rFonts w:ascii="Arial" w:hAnsi="Arial" w:cs="Arial"/>
        </w:rPr>
        <w:tab/>
        <w:t xml:space="preserve">Beer NL, Tribble ND, McCulloch LJ, et al. The P446L variant in GCKR associated with fasting plasma glucose and triglyceride levels exerts its effect through increased glucokinase activity in liver. Hum Mol Genet. </w:t>
      </w:r>
      <w:proofErr w:type="gramStart"/>
      <w:r w:rsidR="00397169" w:rsidRPr="00051B46">
        <w:rPr>
          <w:rFonts w:ascii="Arial" w:hAnsi="Arial" w:cs="Arial"/>
        </w:rPr>
        <w:t>2009;18:4081</w:t>
      </w:r>
      <w:proofErr w:type="gramEnd"/>
      <w:r w:rsidR="00397169" w:rsidRPr="00051B46">
        <w:rPr>
          <w:rFonts w:ascii="Arial" w:hAnsi="Arial" w:cs="Arial"/>
        </w:rPr>
        <w:t xml:space="preserve">-8. </w:t>
      </w:r>
    </w:p>
    <w:p w14:paraId="56BCC1E0" w14:textId="07258364" w:rsidR="00397169" w:rsidRPr="00051B46" w:rsidRDefault="00173072" w:rsidP="00690F26">
      <w:pPr>
        <w:spacing w:after="0" w:line="276" w:lineRule="auto"/>
        <w:ind w:left="576" w:hanging="576"/>
        <w:rPr>
          <w:rFonts w:ascii="Arial" w:hAnsi="Arial" w:cs="Arial"/>
        </w:rPr>
      </w:pPr>
      <w:r w:rsidRPr="00051B46">
        <w:rPr>
          <w:rFonts w:ascii="Arial" w:hAnsi="Arial" w:cs="Arial"/>
        </w:rPr>
        <w:t>8</w:t>
      </w:r>
      <w:r w:rsidR="009E5594" w:rsidRPr="00051B46">
        <w:rPr>
          <w:rFonts w:ascii="Arial" w:hAnsi="Arial" w:cs="Arial"/>
        </w:rPr>
        <w:t>9</w:t>
      </w:r>
      <w:r w:rsidR="00397169" w:rsidRPr="00051B46">
        <w:rPr>
          <w:rFonts w:ascii="Arial" w:hAnsi="Arial" w:cs="Arial"/>
        </w:rPr>
        <w:t xml:space="preserve">. </w:t>
      </w:r>
      <w:r w:rsidR="00397169" w:rsidRPr="00051B46">
        <w:rPr>
          <w:rFonts w:ascii="Arial" w:hAnsi="Arial" w:cs="Arial"/>
        </w:rPr>
        <w:tab/>
        <w:t xml:space="preserve">Santoro N, Zhang CK, Zhao H, et al. Variant in the glucokinase regulatory protein (GCKR) gene is associated with fatty liver in obese children and adolescents. Hepatology. </w:t>
      </w:r>
      <w:proofErr w:type="gramStart"/>
      <w:r w:rsidR="00397169" w:rsidRPr="00051B46">
        <w:rPr>
          <w:rFonts w:ascii="Arial" w:hAnsi="Arial" w:cs="Arial"/>
        </w:rPr>
        <w:t>2012;55:781</w:t>
      </w:r>
      <w:proofErr w:type="gramEnd"/>
      <w:r w:rsidR="00397169" w:rsidRPr="00051B46">
        <w:rPr>
          <w:rFonts w:ascii="Arial" w:hAnsi="Arial" w:cs="Arial"/>
        </w:rPr>
        <w:t xml:space="preserve">-9. </w:t>
      </w:r>
    </w:p>
    <w:p w14:paraId="4B057AD5" w14:textId="452E3904" w:rsidR="00173072" w:rsidRPr="00051B46" w:rsidRDefault="009E5594" w:rsidP="00690F26">
      <w:pPr>
        <w:spacing w:after="0" w:line="276" w:lineRule="auto"/>
        <w:ind w:left="576" w:hanging="576"/>
        <w:rPr>
          <w:rFonts w:ascii="Arial" w:hAnsi="Arial" w:cs="Arial"/>
        </w:rPr>
      </w:pPr>
      <w:r w:rsidRPr="00051B46">
        <w:rPr>
          <w:rFonts w:ascii="Arial" w:hAnsi="Arial" w:cs="Arial"/>
        </w:rPr>
        <w:t>90</w:t>
      </w:r>
      <w:r w:rsidR="00397169" w:rsidRPr="00051B46">
        <w:rPr>
          <w:rFonts w:ascii="Arial" w:hAnsi="Arial" w:cs="Arial"/>
        </w:rPr>
        <w:t xml:space="preserve">. </w:t>
      </w:r>
      <w:r w:rsidR="00397169" w:rsidRPr="00051B46">
        <w:rPr>
          <w:rFonts w:ascii="Arial" w:hAnsi="Arial" w:cs="Arial"/>
        </w:rPr>
        <w:tab/>
        <w:t>Abul-</w:t>
      </w:r>
      <w:proofErr w:type="spellStart"/>
      <w:r w:rsidR="00397169" w:rsidRPr="00051B46">
        <w:rPr>
          <w:rFonts w:ascii="Arial" w:hAnsi="Arial" w:cs="Arial"/>
        </w:rPr>
        <w:t>Husn</w:t>
      </w:r>
      <w:proofErr w:type="spellEnd"/>
      <w:r w:rsidR="00397169" w:rsidRPr="00051B46">
        <w:rPr>
          <w:rFonts w:ascii="Arial" w:hAnsi="Arial" w:cs="Arial"/>
        </w:rPr>
        <w:t xml:space="preserve"> NS, Cheng X, Li AH, et al. A protein-truncating HSD17B13 variant and protection from chronic liver disease. N </w:t>
      </w:r>
      <w:proofErr w:type="spellStart"/>
      <w:r w:rsidR="00397169" w:rsidRPr="00051B46">
        <w:rPr>
          <w:rFonts w:ascii="Arial" w:hAnsi="Arial" w:cs="Arial"/>
        </w:rPr>
        <w:t>Engl</w:t>
      </w:r>
      <w:proofErr w:type="spellEnd"/>
      <w:r w:rsidR="00397169" w:rsidRPr="00051B46">
        <w:rPr>
          <w:rFonts w:ascii="Arial" w:hAnsi="Arial" w:cs="Arial"/>
        </w:rPr>
        <w:t xml:space="preserve"> J Med. </w:t>
      </w:r>
      <w:proofErr w:type="gramStart"/>
      <w:r w:rsidR="00397169" w:rsidRPr="00051B46">
        <w:rPr>
          <w:rFonts w:ascii="Arial" w:hAnsi="Arial" w:cs="Arial"/>
        </w:rPr>
        <w:t>2018;378:1096</w:t>
      </w:r>
      <w:proofErr w:type="gramEnd"/>
      <w:r w:rsidR="00397169" w:rsidRPr="00051B46">
        <w:rPr>
          <w:rFonts w:ascii="Arial" w:hAnsi="Arial" w:cs="Arial"/>
        </w:rPr>
        <w:t>-1106.</w:t>
      </w:r>
    </w:p>
    <w:p w14:paraId="7D49A2A1" w14:textId="69EFE891" w:rsidR="00173072" w:rsidRPr="00051B46" w:rsidRDefault="009E5594" w:rsidP="00690F26">
      <w:pPr>
        <w:spacing w:after="0" w:line="276" w:lineRule="auto"/>
        <w:ind w:left="576" w:hanging="576"/>
        <w:rPr>
          <w:rFonts w:ascii="Arial" w:hAnsi="Arial" w:cs="Arial"/>
        </w:rPr>
      </w:pPr>
      <w:r w:rsidRPr="00051B46">
        <w:rPr>
          <w:rFonts w:ascii="Arial" w:hAnsi="Arial" w:cs="Arial"/>
        </w:rPr>
        <w:t>91</w:t>
      </w:r>
      <w:r w:rsidR="00173072" w:rsidRPr="00051B46">
        <w:rPr>
          <w:rFonts w:ascii="Arial" w:hAnsi="Arial" w:cs="Arial"/>
        </w:rPr>
        <w:t>.</w:t>
      </w:r>
      <w:r w:rsidR="00173072" w:rsidRPr="00051B46">
        <w:rPr>
          <w:rFonts w:ascii="Arial" w:hAnsi="Arial" w:cs="Arial"/>
        </w:rPr>
        <w:tab/>
      </w:r>
      <w:proofErr w:type="spellStart"/>
      <w:r w:rsidR="00173072" w:rsidRPr="00051B46">
        <w:rPr>
          <w:rFonts w:ascii="Arial" w:hAnsi="Arial" w:cs="Arial"/>
        </w:rPr>
        <w:t>Sankatsing</w:t>
      </w:r>
      <w:proofErr w:type="spellEnd"/>
      <w:r w:rsidR="00173072" w:rsidRPr="00051B46">
        <w:rPr>
          <w:rFonts w:ascii="Arial" w:hAnsi="Arial" w:cs="Arial"/>
        </w:rPr>
        <w:t xml:space="preserve"> RR, </w:t>
      </w:r>
      <w:proofErr w:type="spellStart"/>
      <w:r w:rsidR="00173072" w:rsidRPr="00051B46">
        <w:rPr>
          <w:rFonts w:ascii="Arial" w:hAnsi="Arial" w:cs="Arial"/>
        </w:rPr>
        <w:t>Fouchier</w:t>
      </w:r>
      <w:proofErr w:type="spellEnd"/>
      <w:r w:rsidR="00173072" w:rsidRPr="00051B46">
        <w:rPr>
          <w:rFonts w:ascii="Arial" w:hAnsi="Arial" w:cs="Arial"/>
        </w:rPr>
        <w:t xml:space="preserve"> SW, de </w:t>
      </w:r>
      <w:proofErr w:type="spellStart"/>
      <w:r w:rsidR="00173072" w:rsidRPr="00051B46">
        <w:rPr>
          <w:rFonts w:ascii="Arial" w:hAnsi="Arial" w:cs="Arial"/>
        </w:rPr>
        <w:t>Haan</w:t>
      </w:r>
      <w:proofErr w:type="spellEnd"/>
      <w:r w:rsidR="00173072" w:rsidRPr="00051B46">
        <w:rPr>
          <w:rFonts w:ascii="Arial" w:hAnsi="Arial" w:cs="Arial"/>
        </w:rPr>
        <w:t xml:space="preserve"> S, et al. Hepatic and cardiovascular consequences of familial hypobetalipoproteinemia. </w:t>
      </w:r>
      <w:proofErr w:type="spellStart"/>
      <w:r w:rsidR="00173072" w:rsidRPr="00051B46">
        <w:rPr>
          <w:rFonts w:ascii="Arial" w:hAnsi="Arial" w:cs="Arial"/>
        </w:rPr>
        <w:t>Arterioscler</w:t>
      </w:r>
      <w:proofErr w:type="spellEnd"/>
      <w:r w:rsidR="00173072" w:rsidRPr="00051B46">
        <w:rPr>
          <w:rFonts w:ascii="Arial" w:hAnsi="Arial" w:cs="Arial"/>
        </w:rPr>
        <w:t xml:space="preserve"> </w:t>
      </w:r>
      <w:proofErr w:type="spellStart"/>
      <w:r w:rsidR="00173072" w:rsidRPr="00051B46">
        <w:rPr>
          <w:rFonts w:ascii="Arial" w:hAnsi="Arial" w:cs="Arial"/>
        </w:rPr>
        <w:t>Thromb</w:t>
      </w:r>
      <w:proofErr w:type="spellEnd"/>
      <w:r w:rsidR="00173072" w:rsidRPr="00051B46">
        <w:rPr>
          <w:rFonts w:ascii="Arial" w:hAnsi="Arial" w:cs="Arial"/>
        </w:rPr>
        <w:t xml:space="preserve"> </w:t>
      </w:r>
      <w:proofErr w:type="spellStart"/>
      <w:r w:rsidR="00173072" w:rsidRPr="00051B46">
        <w:rPr>
          <w:rFonts w:ascii="Arial" w:hAnsi="Arial" w:cs="Arial"/>
        </w:rPr>
        <w:t>Vasc</w:t>
      </w:r>
      <w:proofErr w:type="spellEnd"/>
      <w:r w:rsidR="00173072" w:rsidRPr="00051B46">
        <w:rPr>
          <w:rFonts w:ascii="Arial" w:hAnsi="Arial" w:cs="Arial"/>
        </w:rPr>
        <w:t xml:space="preserve"> Biol. </w:t>
      </w:r>
      <w:proofErr w:type="gramStart"/>
      <w:r w:rsidR="00173072" w:rsidRPr="00051B46">
        <w:rPr>
          <w:rFonts w:ascii="Arial" w:hAnsi="Arial" w:cs="Arial"/>
        </w:rPr>
        <w:t>2005;25:1979</w:t>
      </w:r>
      <w:proofErr w:type="gramEnd"/>
      <w:r w:rsidR="00173072" w:rsidRPr="00051B46">
        <w:rPr>
          <w:rFonts w:ascii="Arial" w:hAnsi="Arial" w:cs="Arial"/>
        </w:rPr>
        <w:t>-84.</w:t>
      </w:r>
    </w:p>
    <w:p w14:paraId="7FC4C704" w14:textId="77777777" w:rsidR="00A22992" w:rsidRPr="00051B46" w:rsidRDefault="00381DA3" w:rsidP="00690F26">
      <w:pPr>
        <w:spacing w:after="0" w:line="276" w:lineRule="auto"/>
        <w:ind w:left="576" w:hanging="576"/>
        <w:rPr>
          <w:rFonts w:ascii="Arial" w:hAnsi="Arial" w:cs="Arial"/>
        </w:rPr>
      </w:pPr>
      <w:r w:rsidRPr="00051B46">
        <w:rPr>
          <w:rFonts w:ascii="Arial" w:hAnsi="Arial" w:cs="Arial"/>
        </w:rPr>
        <w:t>9</w:t>
      </w:r>
      <w:r w:rsidR="009E5594" w:rsidRPr="00051B46">
        <w:rPr>
          <w:rFonts w:ascii="Arial" w:hAnsi="Arial" w:cs="Arial"/>
        </w:rPr>
        <w:t>2.</w:t>
      </w:r>
      <w:r w:rsidR="009E5594" w:rsidRPr="00051B46">
        <w:rPr>
          <w:rFonts w:ascii="Arial" w:hAnsi="Arial" w:cs="Arial"/>
        </w:rPr>
        <w:tab/>
      </w:r>
      <w:proofErr w:type="spellStart"/>
      <w:r w:rsidR="004B75A3" w:rsidRPr="00051B46">
        <w:rPr>
          <w:rFonts w:ascii="Arial" w:hAnsi="Arial" w:cs="Arial"/>
        </w:rPr>
        <w:t>Chalasani</w:t>
      </w:r>
      <w:proofErr w:type="spellEnd"/>
      <w:r w:rsidR="004B75A3" w:rsidRPr="00051B46">
        <w:rPr>
          <w:rFonts w:ascii="Arial" w:hAnsi="Arial" w:cs="Arial"/>
        </w:rPr>
        <w:t xml:space="preserve"> N, </w:t>
      </w:r>
      <w:proofErr w:type="spellStart"/>
      <w:r w:rsidR="004B75A3" w:rsidRPr="00051B46">
        <w:rPr>
          <w:rFonts w:ascii="Arial" w:hAnsi="Arial" w:cs="Arial"/>
        </w:rPr>
        <w:t>Younossi</w:t>
      </w:r>
      <w:proofErr w:type="spellEnd"/>
      <w:r w:rsidR="004B75A3" w:rsidRPr="00051B46">
        <w:rPr>
          <w:rFonts w:ascii="Arial" w:hAnsi="Arial" w:cs="Arial"/>
        </w:rPr>
        <w:t xml:space="preserve"> Z, Lavine JE, et al. The diagnosis and management of nonalcoholic fatty liver disease: practice guidance from the American association for the study of liver diseases. Hepatology. </w:t>
      </w:r>
      <w:proofErr w:type="gramStart"/>
      <w:r w:rsidR="004B75A3" w:rsidRPr="00051B46">
        <w:rPr>
          <w:rFonts w:ascii="Arial" w:hAnsi="Arial" w:cs="Arial"/>
        </w:rPr>
        <w:t>2018;67:328</w:t>
      </w:r>
      <w:proofErr w:type="gramEnd"/>
      <w:r w:rsidR="004B75A3" w:rsidRPr="00051B46">
        <w:rPr>
          <w:rFonts w:ascii="Arial" w:hAnsi="Arial" w:cs="Arial"/>
        </w:rPr>
        <w:t>-357.</w:t>
      </w:r>
    </w:p>
    <w:p w14:paraId="196AC3A3" w14:textId="0506D096" w:rsidR="00FC3C57" w:rsidRPr="00051B46" w:rsidRDefault="00A22992" w:rsidP="00690F26">
      <w:pPr>
        <w:spacing w:after="0" w:line="276" w:lineRule="auto"/>
        <w:ind w:left="576" w:hanging="576"/>
        <w:rPr>
          <w:rFonts w:ascii="Arial" w:hAnsi="Arial" w:cs="Arial"/>
        </w:rPr>
      </w:pPr>
      <w:r w:rsidRPr="00051B46">
        <w:rPr>
          <w:rFonts w:ascii="Arial" w:hAnsi="Arial" w:cs="Arial"/>
        </w:rPr>
        <w:t>93.</w:t>
      </w:r>
      <w:r w:rsidRPr="00051B46">
        <w:rPr>
          <w:rFonts w:ascii="Arial" w:hAnsi="Arial" w:cs="Arial"/>
        </w:rPr>
        <w:tab/>
      </w:r>
      <w:r w:rsidR="005E1DDA" w:rsidRPr="00051B46">
        <w:rPr>
          <w:rFonts w:ascii="Arial" w:hAnsi="Arial" w:cs="Arial"/>
        </w:rPr>
        <w:t xml:space="preserve">Sunny NE, Parks EJ, Browning JD, et al. Excessive hepatic mitochondrial TCA cycle and gluconeogenesis in humans with nonalcoholic fatty liver disease. Cell </w:t>
      </w:r>
      <w:proofErr w:type="spellStart"/>
      <w:r w:rsidR="005E1DDA" w:rsidRPr="00051B46">
        <w:rPr>
          <w:rFonts w:ascii="Arial" w:hAnsi="Arial" w:cs="Arial"/>
        </w:rPr>
        <w:t>Metab</w:t>
      </w:r>
      <w:proofErr w:type="spellEnd"/>
      <w:r w:rsidR="005E1DDA" w:rsidRPr="00051B46">
        <w:rPr>
          <w:rFonts w:ascii="Arial" w:hAnsi="Arial" w:cs="Arial"/>
        </w:rPr>
        <w:t xml:space="preserve">. </w:t>
      </w:r>
      <w:proofErr w:type="gramStart"/>
      <w:r w:rsidR="005E1DDA" w:rsidRPr="00051B46">
        <w:rPr>
          <w:rFonts w:ascii="Arial" w:hAnsi="Arial" w:cs="Arial"/>
        </w:rPr>
        <w:t>2011;14:804</w:t>
      </w:r>
      <w:proofErr w:type="gramEnd"/>
      <w:r w:rsidR="005E1DDA" w:rsidRPr="00051B46">
        <w:rPr>
          <w:rFonts w:ascii="Arial" w:hAnsi="Arial" w:cs="Arial"/>
        </w:rPr>
        <w:t>-10.</w:t>
      </w:r>
    </w:p>
    <w:p w14:paraId="717CB007" w14:textId="6C9922A0" w:rsidR="005E1DDA" w:rsidRPr="00051B46" w:rsidRDefault="005E1DDA" w:rsidP="00690F26">
      <w:pPr>
        <w:spacing w:after="0" w:line="276" w:lineRule="auto"/>
        <w:ind w:left="576" w:hanging="576"/>
        <w:rPr>
          <w:rFonts w:ascii="Arial" w:hAnsi="Arial" w:cs="Arial"/>
          <w:noProof/>
        </w:rPr>
      </w:pPr>
      <w:r w:rsidRPr="00051B46">
        <w:rPr>
          <w:rFonts w:ascii="Arial" w:hAnsi="Arial" w:cs="Arial"/>
        </w:rPr>
        <w:t>94.</w:t>
      </w:r>
      <w:r w:rsidRPr="00051B46">
        <w:rPr>
          <w:rFonts w:ascii="Arial" w:hAnsi="Arial" w:cs="Arial"/>
        </w:rPr>
        <w:tab/>
      </w:r>
      <w:r w:rsidR="006F0F32" w:rsidRPr="00051B46">
        <w:rPr>
          <w:rFonts w:ascii="Arial" w:hAnsi="Arial" w:cs="Arial"/>
          <w:noProof/>
        </w:rPr>
        <w:t xml:space="preserve">Kalavalapalli S, Bril F, Koemel JP, </w:t>
      </w:r>
      <w:r w:rsidR="008D0005" w:rsidRPr="00051B46">
        <w:rPr>
          <w:rFonts w:ascii="Arial" w:hAnsi="Arial" w:cs="Arial"/>
          <w:noProof/>
        </w:rPr>
        <w:t>et al</w:t>
      </w:r>
      <w:r w:rsidR="006F0F32" w:rsidRPr="00051B46">
        <w:rPr>
          <w:rFonts w:ascii="Arial" w:hAnsi="Arial" w:cs="Arial"/>
          <w:noProof/>
        </w:rPr>
        <w:t xml:space="preserve">. Pioglitazone improves hepatis mitochondrial function in a mouse model of nonalcoholic steatohepatitis. </w:t>
      </w:r>
      <w:r w:rsidR="006F0F32" w:rsidRPr="00051B46">
        <w:rPr>
          <w:rFonts w:ascii="Arial" w:hAnsi="Arial" w:cs="Arial"/>
          <w:i/>
          <w:noProof/>
        </w:rPr>
        <w:t>Am J Physiol Endpcrinol Metab</w:t>
      </w:r>
      <w:r w:rsidR="006F0F32" w:rsidRPr="00051B46">
        <w:rPr>
          <w:rFonts w:ascii="Arial" w:hAnsi="Arial" w:cs="Arial"/>
          <w:noProof/>
        </w:rPr>
        <w:t>. 2018;315:E163-173.</w:t>
      </w:r>
    </w:p>
    <w:p w14:paraId="138EC081" w14:textId="531D1515" w:rsidR="00E15C4A" w:rsidRPr="00051B46" w:rsidRDefault="00E15C4A" w:rsidP="00690F26">
      <w:pPr>
        <w:spacing w:after="0" w:line="276" w:lineRule="auto"/>
        <w:ind w:left="576" w:hanging="576"/>
        <w:rPr>
          <w:rFonts w:ascii="Arial" w:hAnsi="Arial" w:cs="Arial"/>
          <w:noProof/>
        </w:rPr>
      </w:pPr>
      <w:r w:rsidRPr="00051B46">
        <w:rPr>
          <w:rFonts w:ascii="Arial" w:hAnsi="Arial" w:cs="Arial"/>
          <w:noProof/>
        </w:rPr>
        <w:t>95.</w:t>
      </w:r>
      <w:r w:rsidRPr="00051B46">
        <w:rPr>
          <w:rFonts w:ascii="Arial" w:hAnsi="Arial" w:cs="Arial"/>
          <w:noProof/>
        </w:rPr>
        <w:tab/>
      </w:r>
      <w:r w:rsidR="008D0005" w:rsidRPr="00051B46">
        <w:rPr>
          <w:rFonts w:ascii="Arial" w:hAnsi="Arial" w:cs="Arial"/>
          <w:noProof/>
        </w:rPr>
        <w:t>Kalavalapalli S, Bril F, Guingab J, et al. Impact of exenatide on mitochondrial lipid metabolism in mice with nonalcoholic steatohepatitis. J Endocrinol. 2019;241:293-305.</w:t>
      </w:r>
    </w:p>
    <w:p w14:paraId="226687FE" w14:textId="49B6B301" w:rsidR="00397169" w:rsidRPr="00051B46" w:rsidRDefault="004E0AB3" w:rsidP="00690F26">
      <w:pPr>
        <w:spacing w:after="0" w:line="276" w:lineRule="auto"/>
        <w:ind w:left="576" w:hanging="576"/>
        <w:rPr>
          <w:rFonts w:ascii="Arial" w:hAnsi="Arial" w:cs="Arial"/>
        </w:rPr>
      </w:pPr>
      <w:r w:rsidRPr="00051B46">
        <w:rPr>
          <w:rFonts w:ascii="Arial" w:hAnsi="Arial" w:cs="Arial"/>
        </w:rPr>
        <w:lastRenderedPageBreak/>
        <w:t>96.</w:t>
      </w:r>
      <w:r w:rsidRPr="00051B46">
        <w:rPr>
          <w:rFonts w:ascii="Arial" w:hAnsi="Arial" w:cs="Arial"/>
        </w:rPr>
        <w:tab/>
      </w:r>
      <w:proofErr w:type="spellStart"/>
      <w:r w:rsidR="00F71066" w:rsidRPr="00051B46">
        <w:rPr>
          <w:rFonts w:ascii="Arial" w:hAnsi="Arial" w:cs="Arial"/>
        </w:rPr>
        <w:t>Ioannou</w:t>
      </w:r>
      <w:proofErr w:type="spellEnd"/>
      <w:r w:rsidR="00F71066" w:rsidRPr="00051B46">
        <w:rPr>
          <w:rFonts w:ascii="Arial" w:hAnsi="Arial" w:cs="Arial"/>
        </w:rPr>
        <w:t xml:space="preserve"> </w:t>
      </w:r>
      <w:proofErr w:type="gramStart"/>
      <w:r w:rsidR="00F71066" w:rsidRPr="00051B46">
        <w:rPr>
          <w:rFonts w:ascii="Arial" w:hAnsi="Arial" w:cs="Arial"/>
        </w:rPr>
        <w:t>GN..</w:t>
      </w:r>
      <w:proofErr w:type="gramEnd"/>
      <w:r w:rsidR="00F71066" w:rsidRPr="00051B46">
        <w:rPr>
          <w:rFonts w:ascii="Arial" w:hAnsi="Arial" w:cs="Arial"/>
        </w:rPr>
        <w:t xml:space="preserve"> The role of cholesterol in the pathogenesis of NASH. Trends Endocrinol </w:t>
      </w:r>
      <w:proofErr w:type="spellStart"/>
      <w:r w:rsidR="00F71066" w:rsidRPr="00051B46">
        <w:rPr>
          <w:rFonts w:ascii="Arial" w:hAnsi="Arial" w:cs="Arial"/>
        </w:rPr>
        <w:t>Metab</w:t>
      </w:r>
      <w:proofErr w:type="spellEnd"/>
      <w:r w:rsidR="00F71066" w:rsidRPr="00051B46">
        <w:rPr>
          <w:rFonts w:ascii="Arial" w:hAnsi="Arial" w:cs="Arial"/>
        </w:rPr>
        <w:t xml:space="preserve">. </w:t>
      </w:r>
      <w:proofErr w:type="gramStart"/>
      <w:r w:rsidR="00F71066" w:rsidRPr="00051B46">
        <w:rPr>
          <w:rFonts w:ascii="Arial" w:hAnsi="Arial" w:cs="Arial"/>
        </w:rPr>
        <w:t>2016;27:84</w:t>
      </w:r>
      <w:proofErr w:type="gramEnd"/>
      <w:r w:rsidR="00F71066" w:rsidRPr="00051B46">
        <w:rPr>
          <w:rFonts w:ascii="Arial" w:hAnsi="Arial" w:cs="Arial"/>
        </w:rPr>
        <w:t>–95.</w:t>
      </w:r>
    </w:p>
    <w:p w14:paraId="538200D5" w14:textId="77777777" w:rsidR="00C22AB4" w:rsidRPr="00051B46" w:rsidRDefault="00F71066" w:rsidP="00690F26">
      <w:pPr>
        <w:spacing w:after="0" w:line="276" w:lineRule="auto"/>
        <w:ind w:left="576" w:hanging="576"/>
        <w:rPr>
          <w:rFonts w:ascii="Arial" w:hAnsi="Arial" w:cs="Arial"/>
        </w:rPr>
      </w:pPr>
      <w:r w:rsidRPr="00051B46">
        <w:rPr>
          <w:rFonts w:ascii="Arial" w:hAnsi="Arial" w:cs="Arial"/>
        </w:rPr>
        <w:t>97.</w:t>
      </w:r>
      <w:r w:rsidRPr="00051B46">
        <w:rPr>
          <w:rFonts w:ascii="Arial" w:hAnsi="Arial" w:cs="Arial"/>
        </w:rPr>
        <w:tab/>
      </w:r>
      <w:r w:rsidR="00A31593" w:rsidRPr="00051B46">
        <w:rPr>
          <w:rFonts w:ascii="Arial" w:hAnsi="Arial" w:cs="Arial"/>
        </w:rPr>
        <w:t xml:space="preserve">Friedman SL, </w:t>
      </w:r>
      <w:proofErr w:type="spellStart"/>
      <w:r w:rsidR="00A31593" w:rsidRPr="00051B46">
        <w:rPr>
          <w:rFonts w:ascii="Arial" w:hAnsi="Arial" w:cs="Arial"/>
        </w:rPr>
        <w:t>Neuschwander-Tetri</w:t>
      </w:r>
      <w:proofErr w:type="spellEnd"/>
      <w:r w:rsidR="00A31593" w:rsidRPr="00051B46">
        <w:rPr>
          <w:rFonts w:ascii="Arial" w:hAnsi="Arial" w:cs="Arial"/>
        </w:rPr>
        <w:t xml:space="preserve"> BA, Rinella M, </w:t>
      </w:r>
      <w:proofErr w:type="spellStart"/>
      <w:r w:rsidR="00A31593" w:rsidRPr="00051B46">
        <w:rPr>
          <w:rFonts w:ascii="Arial" w:hAnsi="Arial" w:cs="Arial"/>
        </w:rPr>
        <w:t>Sanyal</w:t>
      </w:r>
      <w:proofErr w:type="spellEnd"/>
      <w:r w:rsidR="00A31593" w:rsidRPr="00051B46">
        <w:rPr>
          <w:rFonts w:ascii="Arial" w:hAnsi="Arial" w:cs="Arial"/>
        </w:rPr>
        <w:t xml:space="preserve"> AJ.  Mechanisms of NAFLD development and therapeutic strategies. Nat Med. </w:t>
      </w:r>
      <w:proofErr w:type="gramStart"/>
      <w:r w:rsidR="00A31593" w:rsidRPr="00051B46">
        <w:rPr>
          <w:rFonts w:ascii="Arial" w:hAnsi="Arial" w:cs="Arial"/>
        </w:rPr>
        <w:t>2018;24:908</w:t>
      </w:r>
      <w:proofErr w:type="gramEnd"/>
      <w:r w:rsidR="00A31593" w:rsidRPr="00051B46">
        <w:rPr>
          <w:rFonts w:ascii="Arial" w:hAnsi="Arial" w:cs="Arial"/>
        </w:rPr>
        <w:t>-922.</w:t>
      </w:r>
    </w:p>
    <w:p w14:paraId="74E019CA" w14:textId="77777777" w:rsidR="00C22AB4" w:rsidRPr="00051B46" w:rsidRDefault="001D56A0" w:rsidP="00690F26">
      <w:pPr>
        <w:spacing w:after="0" w:line="276" w:lineRule="auto"/>
        <w:ind w:left="576" w:hanging="576"/>
        <w:rPr>
          <w:rFonts w:ascii="Arial" w:hAnsi="Arial" w:cs="Arial"/>
        </w:rPr>
      </w:pPr>
      <w:r w:rsidRPr="00051B46">
        <w:rPr>
          <w:rFonts w:ascii="Arial" w:hAnsi="Arial" w:cs="Arial"/>
        </w:rPr>
        <w:t>98.</w:t>
      </w:r>
      <w:r w:rsidRPr="00051B46">
        <w:rPr>
          <w:rFonts w:ascii="Arial" w:hAnsi="Arial" w:cs="Arial"/>
        </w:rPr>
        <w:tab/>
      </w:r>
      <w:r w:rsidR="00D405F5" w:rsidRPr="00051B46">
        <w:rPr>
          <w:rFonts w:ascii="Arial" w:hAnsi="Arial" w:cs="Arial"/>
        </w:rPr>
        <w:t xml:space="preserve">Allaire M, </w:t>
      </w:r>
      <w:proofErr w:type="spellStart"/>
      <w:r w:rsidR="00D405F5" w:rsidRPr="00051B46">
        <w:rPr>
          <w:rFonts w:ascii="Arial" w:hAnsi="Arial" w:cs="Arial"/>
        </w:rPr>
        <w:t>Rautou</w:t>
      </w:r>
      <w:proofErr w:type="spellEnd"/>
      <w:r w:rsidR="00D405F5" w:rsidRPr="00051B46">
        <w:rPr>
          <w:rFonts w:ascii="Arial" w:hAnsi="Arial" w:cs="Arial"/>
        </w:rPr>
        <w:t xml:space="preserve"> PE, </w:t>
      </w:r>
      <w:proofErr w:type="spellStart"/>
      <w:r w:rsidR="00D405F5" w:rsidRPr="00051B46">
        <w:rPr>
          <w:rFonts w:ascii="Arial" w:hAnsi="Arial" w:cs="Arial"/>
        </w:rPr>
        <w:t>Codogno</w:t>
      </w:r>
      <w:proofErr w:type="spellEnd"/>
      <w:r w:rsidR="00D405F5" w:rsidRPr="00051B46">
        <w:rPr>
          <w:rFonts w:ascii="Arial" w:hAnsi="Arial" w:cs="Arial"/>
        </w:rPr>
        <w:t xml:space="preserve"> P, </w:t>
      </w:r>
      <w:proofErr w:type="spellStart"/>
      <w:r w:rsidR="00D405F5" w:rsidRPr="00051B46">
        <w:rPr>
          <w:rFonts w:ascii="Arial" w:hAnsi="Arial" w:cs="Arial"/>
        </w:rPr>
        <w:t>Lotersztajn</w:t>
      </w:r>
      <w:proofErr w:type="spellEnd"/>
      <w:r w:rsidR="00D405F5" w:rsidRPr="00051B46">
        <w:rPr>
          <w:rFonts w:ascii="Arial" w:hAnsi="Arial" w:cs="Arial"/>
        </w:rPr>
        <w:t xml:space="preserve"> S. Autophagy in liver diseases: Time for translation? J </w:t>
      </w:r>
      <w:proofErr w:type="spellStart"/>
      <w:r w:rsidR="00D405F5" w:rsidRPr="00051B46">
        <w:rPr>
          <w:rFonts w:ascii="Arial" w:hAnsi="Arial" w:cs="Arial"/>
        </w:rPr>
        <w:t>Hepatol</w:t>
      </w:r>
      <w:proofErr w:type="spellEnd"/>
      <w:r w:rsidR="00D405F5" w:rsidRPr="00051B46">
        <w:rPr>
          <w:rFonts w:ascii="Arial" w:hAnsi="Arial" w:cs="Arial"/>
        </w:rPr>
        <w:t xml:space="preserve">. </w:t>
      </w:r>
      <w:proofErr w:type="gramStart"/>
      <w:r w:rsidR="00D405F5" w:rsidRPr="00051B46">
        <w:rPr>
          <w:rFonts w:ascii="Arial" w:hAnsi="Arial" w:cs="Arial"/>
        </w:rPr>
        <w:t>2019;70:985</w:t>
      </w:r>
      <w:proofErr w:type="gramEnd"/>
      <w:r w:rsidR="00D405F5" w:rsidRPr="00051B46">
        <w:rPr>
          <w:rFonts w:ascii="Arial" w:hAnsi="Arial" w:cs="Arial"/>
        </w:rPr>
        <w:t>-998.</w:t>
      </w:r>
    </w:p>
    <w:p w14:paraId="704486E8" w14:textId="29A332C9" w:rsidR="00AA45E2" w:rsidRPr="00051B46" w:rsidRDefault="00576E6D" w:rsidP="00690F26">
      <w:pPr>
        <w:spacing w:after="0" w:line="276" w:lineRule="auto"/>
        <w:ind w:left="576" w:hanging="576"/>
        <w:rPr>
          <w:rFonts w:ascii="Arial" w:hAnsi="Arial" w:cs="Arial"/>
        </w:rPr>
      </w:pPr>
      <w:r w:rsidRPr="00051B46">
        <w:rPr>
          <w:rFonts w:ascii="Arial" w:hAnsi="Arial" w:cs="Arial"/>
        </w:rPr>
        <w:t>99.</w:t>
      </w:r>
      <w:r w:rsidRPr="00051B46">
        <w:rPr>
          <w:rFonts w:ascii="Arial" w:hAnsi="Arial" w:cs="Arial"/>
        </w:rPr>
        <w:tab/>
      </w:r>
      <w:r w:rsidR="00AA45E2" w:rsidRPr="00051B46">
        <w:rPr>
          <w:rFonts w:ascii="Arial" w:hAnsi="Arial" w:cs="Arial"/>
        </w:rPr>
        <w:t xml:space="preserve">Jensen T, </w:t>
      </w:r>
      <w:proofErr w:type="spellStart"/>
      <w:r w:rsidR="00AA45E2" w:rsidRPr="00051B46">
        <w:rPr>
          <w:rFonts w:ascii="Arial" w:hAnsi="Arial" w:cs="Arial"/>
        </w:rPr>
        <w:t>Abdelmalek</w:t>
      </w:r>
      <w:proofErr w:type="spellEnd"/>
      <w:r w:rsidR="00AA45E2" w:rsidRPr="00051B46">
        <w:rPr>
          <w:rFonts w:ascii="Arial" w:hAnsi="Arial" w:cs="Arial"/>
        </w:rPr>
        <w:t xml:space="preserve"> MF, Sullivan S, et al. Fructose and sugar: a major mediator of non-alcoholic fatty liver disease. J </w:t>
      </w:r>
      <w:proofErr w:type="spellStart"/>
      <w:r w:rsidR="00AA45E2" w:rsidRPr="00051B46">
        <w:rPr>
          <w:rFonts w:ascii="Arial" w:hAnsi="Arial" w:cs="Arial"/>
        </w:rPr>
        <w:t>Hepatol</w:t>
      </w:r>
      <w:proofErr w:type="spellEnd"/>
      <w:r w:rsidR="00AA45E2" w:rsidRPr="00051B46">
        <w:rPr>
          <w:rFonts w:ascii="Arial" w:hAnsi="Arial" w:cs="Arial"/>
        </w:rPr>
        <w:t xml:space="preserve">. </w:t>
      </w:r>
      <w:proofErr w:type="gramStart"/>
      <w:r w:rsidR="00AA45E2" w:rsidRPr="00051B46">
        <w:rPr>
          <w:rFonts w:ascii="Arial" w:hAnsi="Arial" w:cs="Arial"/>
        </w:rPr>
        <w:t>2018;68:1063</w:t>
      </w:r>
      <w:proofErr w:type="gramEnd"/>
      <w:r w:rsidR="00AA45E2" w:rsidRPr="00051B46">
        <w:rPr>
          <w:rFonts w:ascii="Arial" w:hAnsi="Arial" w:cs="Arial"/>
        </w:rPr>
        <w:t>-75.</w:t>
      </w:r>
    </w:p>
    <w:p w14:paraId="1E4C8C19" w14:textId="2DB0CC01" w:rsidR="00700422" w:rsidRPr="00051B46" w:rsidRDefault="00576E6D" w:rsidP="00690F26">
      <w:pPr>
        <w:spacing w:after="0" w:line="276" w:lineRule="auto"/>
        <w:ind w:left="576" w:hanging="576"/>
        <w:rPr>
          <w:rFonts w:ascii="Arial" w:hAnsi="Arial" w:cs="Arial"/>
        </w:rPr>
      </w:pPr>
      <w:r w:rsidRPr="00051B46">
        <w:rPr>
          <w:rFonts w:ascii="Arial" w:hAnsi="Arial" w:cs="Arial"/>
        </w:rPr>
        <w:t>100.</w:t>
      </w:r>
      <w:r w:rsidRPr="00051B46">
        <w:rPr>
          <w:rFonts w:ascii="Arial" w:hAnsi="Arial" w:cs="Arial"/>
        </w:rPr>
        <w:tab/>
      </w:r>
      <w:proofErr w:type="spellStart"/>
      <w:r w:rsidR="008041E4" w:rsidRPr="00051B46">
        <w:rPr>
          <w:rFonts w:ascii="Arial" w:hAnsi="Arial" w:cs="Arial"/>
        </w:rPr>
        <w:t>Puri</w:t>
      </w:r>
      <w:proofErr w:type="spellEnd"/>
      <w:r w:rsidR="008041E4" w:rsidRPr="00051B46">
        <w:rPr>
          <w:rFonts w:ascii="Arial" w:hAnsi="Arial" w:cs="Arial"/>
        </w:rPr>
        <w:t xml:space="preserve"> P, </w:t>
      </w:r>
      <w:proofErr w:type="spellStart"/>
      <w:r w:rsidR="008041E4" w:rsidRPr="00051B46">
        <w:rPr>
          <w:rFonts w:ascii="Arial" w:hAnsi="Arial" w:cs="Arial"/>
        </w:rPr>
        <w:t>Sanyal</w:t>
      </w:r>
      <w:proofErr w:type="spellEnd"/>
      <w:r w:rsidR="008041E4" w:rsidRPr="00051B46">
        <w:rPr>
          <w:rFonts w:ascii="Arial" w:hAnsi="Arial" w:cs="Arial"/>
        </w:rPr>
        <w:t xml:space="preserve"> AJ. The intestinal microbiome in nonalcoholic fatty liver disease. Clin Liver Dis. </w:t>
      </w:r>
      <w:proofErr w:type="gramStart"/>
      <w:r w:rsidR="008041E4" w:rsidRPr="00051B46">
        <w:rPr>
          <w:rFonts w:ascii="Arial" w:hAnsi="Arial" w:cs="Arial"/>
        </w:rPr>
        <w:t>2018;22:121</w:t>
      </w:r>
      <w:proofErr w:type="gramEnd"/>
      <w:r w:rsidR="008041E4" w:rsidRPr="00051B46">
        <w:rPr>
          <w:rFonts w:ascii="Arial" w:hAnsi="Arial" w:cs="Arial"/>
        </w:rPr>
        <w:t xml:space="preserve">-132. </w:t>
      </w:r>
    </w:p>
    <w:p w14:paraId="7A11D370" w14:textId="510B6411" w:rsidR="00700422" w:rsidRPr="00051B46" w:rsidRDefault="00700422" w:rsidP="00690F26">
      <w:pPr>
        <w:spacing w:after="0" w:line="276" w:lineRule="auto"/>
        <w:ind w:left="576" w:hanging="576"/>
        <w:rPr>
          <w:rFonts w:ascii="Arial" w:hAnsi="Arial" w:cs="Arial"/>
        </w:rPr>
      </w:pPr>
      <w:r w:rsidRPr="00051B46">
        <w:rPr>
          <w:rFonts w:ascii="Arial" w:hAnsi="Arial" w:cs="Arial"/>
        </w:rPr>
        <w:t xml:space="preserve">101. </w:t>
      </w:r>
      <w:r w:rsidRPr="00051B46">
        <w:rPr>
          <w:rFonts w:ascii="Arial" w:hAnsi="Arial" w:cs="Arial"/>
        </w:rPr>
        <w:tab/>
        <w:t xml:space="preserve">Duarte SMB, Stefano JT, Oliveira CP. Microbiota and nonalcoholic fatty liver disease/nonalcoholic steatohepatitis (NAFLD/NASH). Ann </w:t>
      </w:r>
      <w:proofErr w:type="spellStart"/>
      <w:r w:rsidRPr="00051B46">
        <w:rPr>
          <w:rFonts w:ascii="Arial" w:hAnsi="Arial" w:cs="Arial"/>
        </w:rPr>
        <w:t>Hepatol</w:t>
      </w:r>
      <w:proofErr w:type="spellEnd"/>
      <w:r w:rsidRPr="00051B46">
        <w:rPr>
          <w:rFonts w:ascii="Arial" w:hAnsi="Arial" w:cs="Arial"/>
        </w:rPr>
        <w:t xml:space="preserve">. </w:t>
      </w:r>
      <w:proofErr w:type="gramStart"/>
      <w:r w:rsidRPr="00051B46">
        <w:rPr>
          <w:rFonts w:ascii="Arial" w:hAnsi="Arial" w:cs="Arial"/>
        </w:rPr>
        <w:t>2019;18:416</w:t>
      </w:r>
      <w:proofErr w:type="gramEnd"/>
      <w:r w:rsidRPr="00051B46">
        <w:rPr>
          <w:rFonts w:ascii="Arial" w:hAnsi="Arial" w:cs="Arial"/>
        </w:rPr>
        <w:t>-421.</w:t>
      </w:r>
    </w:p>
    <w:p w14:paraId="06B9FC75" w14:textId="68E22AFC" w:rsidR="003F19DF" w:rsidRPr="00051B46" w:rsidRDefault="00AA45E2" w:rsidP="00690F26">
      <w:pPr>
        <w:spacing w:after="0" w:line="276" w:lineRule="auto"/>
        <w:ind w:left="576" w:hanging="576"/>
        <w:rPr>
          <w:rFonts w:ascii="Arial" w:hAnsi="Arial" w:cs="Arial"/>
        </w:rPr>
      </w:pPr>
      <w:r w:rsidRPr="00051B46">
        <w:rPr>
          <w:rFonts w:ascii="Arial" w:hAnsi="Arial" w:cs="Arial"/>
        </w:rPr>
        <w:t>102</w:t>
      </w:r>
      <w:r w:rsidR="00397169" w:rsidRPr="00051B46">
        <w:rPr>
          <w:rFonts w:ascii="Arial" w:hAnsi="Arial" w:cs="Arial"/>
        </w:rPr>
        <w:t xml:space="preserve">. </w:t>
      </w:r>
      <w:r w:rsidR="00397169" w:rsidRPr="00051B46">
        <w:rPr>
          <w:rFonts w:ascii="Arial" w:hAnsi="Arial" w:cs="Arial"/>
        </w:rPr>
        <w:tab/>
      </w:r>
      <w:r w:rsidR="00975717" w:rsidRPr="00051B46">
        <w:rPr>
          <w:rFonts w:ascii="Arial" w:hAnsi="Arial" w:cs="Arial"/>
        </w:rPr>
        <w:t xml:space="preserve">Wang, X. et al. Hepatocyte TAZ/WWTR1 promotes inflammation and fibrosis in nonalcoholic steatohepatitis. Cell </w:t>
      </w:r>
      <w:proofErr w:type="spellStart"/>
      <w:r w:rsidR="00975717" w:rsidRPr="00051B46">
        <w:rPr>
          <w:rFonts w:ascii="Arial" w:hAnsi="Arial" w:cs="Arial"/>
        </w:rPr>
        <w:t>Metab</w:t>
      </w:r>
      <w:proofErr w:type="spellEnd"/>
      <w:r w:rsidR="00975717" w:rsidRPr="00051B46">
        <w:rPr>
          <w:rFonts w:ascii="Arial" w:hAnsi="Arial" w:cs="Arial"/>
        </w:rPr>
        <w:t xml:space="preserve">. </w:t>
      </w:r>
      <w:proofErr w:type="gramStart"/>
      <w:r w:rsidR="00975717" w:rsidRPr="00051B46">
        <w:rPr>
          <w:rFonts w:ascii="Arial" w:hAnsi="Arial" w:cs="Arial"/>
        </w:rPr>
        <w:t>2016;24:848</w:t>
      </w:r>
      <w:proofErr w:type="gramEnd"/>
      <w:r w:rsidR="00975717" w:rsidRPr="00051B46">
        <w:rPr>
          <w:rFonts w:ascii="Arial" w:hAnsi="Arial" w:cs="Arial"/>
        </w:rPr>
        <w:t>–862.</w:t>
      </w:r>
    </w:p>
    <w:p w14:paraId="63E948B4" w14:textId="75A7D0B4" w:rsidR="0075438D" w:rsidRPr="00051B46" w:rsidRDefault="00AA45E2" w:rsidP="00690F26">
      <w:pPr>
        <w:spacing w:after="0" w:line="276" w:lineRule="auto"/>
        <w:ind w:left="576" w:hanging="576"/>
        <w:rPr>
          <w:rFonts w:ascii="Arial" w:hAnsi="Arial" w:cs="Arial"/>
        </w:rPr>
      </w:pPr>
      <w:r w:rsidRPr="00051B46">
        <w:rPr>
          <w:rFonts w:ascii="Arial" w:hAnsi="Arial" w:cs="Arial"/>
        </w:rPr>
        <w:t>103.</w:t>
      </w:r>
      <w:r w:rsidRPr="00051B46">
        <w:rPr>
          <w:rFonts w:ascii="Arial" w:hAnsi="Arial" w:cs="Arial"/>
        </w:rPr>
        <w:tab/>
      </w:r>
      <w:proofErr w:type="spellStart"/>
      <w:r w:rsidR="00E75656" w:rsidRPr="00051B46">
        <w:rPr>
          <w:rFonts w:ascii="Arial" w:hAnsi="Arial" w:cs="Arial"/>
        </w:rPr>
        <w:t>Bruschi</w:t>
      </w:r>
      <w:proofErr w:type="spellEnd"/>
      <w:r w:rsidR="00E75656" w:rsidRPr="00051B46">
        <w:rPr>
          <w:rFonts w:ascii="Arial" w:hAnsi="Arial" w:cs="Arial"/>
        </w:rPr>
        <w:t xml:space="preserve"> FV, Claudel T, </w:t>
      </w:r>
      <w:proofErr w:type="spellStart"/>
      <w:r w:rsidR="00E75656" w:rsidRPr="00051B46">
        <w:rPr>
          <w:rFonts w:ascii="Arial" w:hAnsi="Arial" w:cs="Arial"/>
        </w:rPr>
        <w:t>Tardelli</w:t>
      </w:r>
      <w:proofErr w:type="spellEnd"/>
      <w:r w:rsidR="00E75656" w:rsidRPr="00051B46">
        <w:rPr>
          <w:rFonts w:ascii="Arial" w:hAnsi="Arial" w:cs="Arial"/>
        </w:rPr>
        <w:t xml:space="preserve"> M, et al. The PNPLA3 I148M variant modulates the </w:t>
      </w:r>
      <w:proofErr w:type="spellStart"/>
      <w:r w:rsidR="00E75656" w:rsidRPr="00051B46">
        <w:rPr>
          <w:rFonts w:ascii="Arial" w:hAnsi="Arial" w:cs="Arial"/>
        </w:rPr>
        <w:t>fibrogenic</w:t>
      </w:r>
      <w:proofErr w:type="spellEnd"/>
      <w:r w:rsidR="00804FCC">
        <w:rPr>
          <w:rFonts w:ascii="Arial" w:hAnsi="Arial" w:cs="Arial"/>
        </w:rPr>
        <w:t xml:space="preserve"> </w:t>
      </w:r>
      <w:r w:rsidR="00E75656" w:rsidRPr="00051B46">
        <w:rPr>
          <w:rFonts w:ascii="Arial" w:hAnsi="Arial" w:cs="Arial"/>
        </w:rPr>
        <w:t xml:space="preserve">phenotype of human hepatic stellate cells. Hepatology 2017;65,1875–1890.  </w:t>
      </w:r>
    </w:p>
    <w:p w14:paraId="1CE99C4B" w14:textId="450F07E7" w:rsidR="003827AF" w:rsidRPr="00051B46" w:rsidRDefault="0075438D" w:rsidP="00690F26">
      <w:pPr>
        <w:spacing w:after="0" w:line="276" w:lineRule="auto"/>
        <w:ind w:left="576" w:hanging="576"/>
        <w:rPr>
          <w:rFonts w:ascii="Arial" w:hAnsi="Arial" w:cs="Arial"/>
        </w:rPr>
      </w:pPr>
      <w:r w:rsidRPr="00051B46">
        <w:rPr>
          <w:rFonts w:ascii="Arial" w:hAnsi="Arial" w:cs="Arial"/>
        </w:rPr>
        <w:t>104.</w:t>
      </w:r>
      <w:r w:rsidRPr="00051B46">
        <w:rPr>
          <w:rFonts w:ascii="Arial" w:hAnsi="Arial" w:cs="Arial"/>
        </w:rPr>
        <w:tab/>
      </w:r>
      <w:proofErr w:type="spellStart"/>
      <w:r w:rsidR="003827AF" w:rsidRPr="00051B46">
        <w:rPr>
          <w:rFonts w:ascii="Arial" w:hAnsi="Arial" w:cs="Arial"/>
        </w:rPr>
        <w:t>Lindén</w:t>
      </w:r>
      <w:proofErr w:type="spellEnd"/>
      <w:r w:rsidR="003827AF" w:rsidRPr="00051B46">
        <w:rPr>
          <w:rFonts w:ascii="Arial" w:hAnsi="Arial" w:cs="Arial"/>
        </w:rPr>
        <w:t xml:space="preserve"> D, </w:t>
      </w:r>
      <w:proofErr w:type="spellStart"/>
      <w:r w:rsidR="003827AF" w:rsidRPr="00051B46">
        <w:rPr>
          <w:rFonts w:ascii="Arial" w:hAnsi="Arial" w:cs="Arial"/>
        </w:rPr>
        <w:t>Ahnmark</w:t>
      </w:r>
      <w:proofErr w:type="spellEnd"/>
      <w:r w:rsidR="003827AF" w:rsidRPr="00051B46">
        <w:rPr>
          <w:rFonts w:ascii="Arial" w:hAnsi="Arial" w:cs="Arial"/>
        </w:rPr>
        <w:t xml:space="preserve"> A, </w:t>
      </w:r>
      <w:proofErr w:type="spellStart"/>
      <w:r w:rsidR="003827AF" w:rsidRPr="00051B46">
        <w:rPr>
          <w:rFonts w:ascii="Arial" w:hAnsi="Arial" w:cs="Arial"/>
        </w:rPr>
        <w:t>Pingitore</w:t>
      </w:r>
      <w:proofErr w:type="spellEnd"/>
      <w:r w:rsidR="003827AF" w:rsidRPr="00051B46">
        <w:rPr>
          <w:rFonts w:ascii="Arial" w:hAnsi="Arial" w:cs="Arial"/>
        </w:rPr>
        <w:t xml:space="preserve"> P, et al. Pnpla3 silencing with antisense oligonucleotides ameliorates nonalcoholic steatohepatitis and fibrosis in Pnpla3 I148M knock-in mice. Mol </w:t>
      </w:r>
      <w:proofErr w:type="spellStart"/>
      <w:r w:rsidR="003827AF" w:rsidRPr="00051B46">
        <w:rPr>
          <w:rFonts w:ascii="Arial" w:hAnsi="Arial" w:cs="Arial"/>
        </w:rPr>
        <w:t>Metab</w:t>
      </w:r>
      <w:proofErr w:type="spellEnd"/>
      <w:r w:rsidR="003827AF" w:rsidRPr="00051B46">
        <w:rPr>
          <w:rFonts w:ascii="Arial" w:hAnsi="Arial" w:cs="Arial"/>
        </w:rPr>
        <w:t xml:space="preserve">. </w:t>
      </w:r>
      <w:proofErr w:type="gramStart"/>
      <w:r w:rsidR="003827AF" w:rsidRPr="00051B46">
        <w:rPr>
          <w:rFonts w:ascii="Arial" w:hAnsi="Arial" w:cs="Arial"/>
        </w:rPr>
        <w:t>2019;22:49</w:t>
      </w:r>
      <w:proofErr w:type="gramEnd"/>
      <w:r w:rsidR="003827AF" w:rsidRPr="00051B46">
        <w:rPr>
          <w:rFonts w:ascii="Arial" w:hAnsi="Arial" w:cs="Arial"/>
        </w:rPr>
        <w:t>-61.</w:t>
      </w:r>
    </w:p>
    <w:p w14:paraId="26886665" w14:textId="4403E746" w:rsidR="0075438D" w:rsidRPr="00051B46" w:rsidRDefault="0075438D" w:rsidP="00690F26">
      <w:pPr>
        <w:spacing w:after="0" w:line="276" w:lineRule="auto"/>
        <w:ind w:left="576" w:hanging="576"/>
        <w:rPr>
          <w:rFonts w:ascii="Arial" w:hAnsi="Arial" w:cs="Arial"/>
        </w:rPr>
      </w:pPr>
      <w:r w:rsidRPr="00051B46">
        <w:rPr>
          <w:rFonts w:ascii="Arial" w:hAnsi="Arial" w:cs="Arial"/>
        </w:rPr>
        <w:t>105.</w:t>
      </w:r>
      <w:r w:rsidRPr="00051B46">
        <w:rPr>
          <w:rFonts w:ascii="Arial" w:hAnsi="Arial" w:cs="Arial"/>
        </w:rPr>
        <w:tab/>
      </w:r>
      <w:proofErr w:type="spellStart"/>
      <w:r w:rsidR="00890E9A" w:rsidRPr="00051B46">
        <w:rPr>
          <w:rFonts w:ascii="Arial" w:hAnsi="Arial" w:cs="Arial"/>
        </w:rPr>
        <w:t>Sanyal</w:t>
      </w:r>
      <w:proofErr w:type="spellEnd"/>
      <w:r w:rsidR="00890E9A" w:rsidRPr="00051B46">
        <w:rPr>
          <w:rFonts w:ascii="Arial" w:hAnsi="Arial" w:cs="Arial"/>
        </w:rPr>
        <w:t xml:space="preserve"> AJ, Harrison SA, </w:t>
      </w:r>
      <w:proofErr w:type="spellStart"/>
      <w:r w:rsidR="00890E9A" w:rsidRPr="00051B46">
        <w:rPr>
          <w:rFonts w:ascii="Arial" w:hAnsi="Arial" w:cs="Arial"/>
        </w:rPr>
        <w:t>Ratziu</w:t>
      </w:r>
      <w:proofErr w:type="spellEnd"/>
      <w:r w:rsidR="00890E9A" w:rsidRPr="00051B46">
        <w:rPr>
          <w:rFonts w:ascii="Arial" w:hAnsi="Arial" w:cs="Arial"/>
        </w:rPr>
        <w:t xml:space="preserve"> V, et al. The natural history of advanced fibrosis due to nonalcoholic steatohepatitis: Data from the </w:t>
      </w:r>
      <w:proofErr w:type="spellStart"/>
      <w:r w:rsidR="00890E9A" w:rsidRPr="00051B46">
        <w:rPr>
          <w:rFonts w:ascii="Arial" w:hAnsi="Arial" w:cs="Arial"/>
        </w:rPr>
        <w:t>simtuzumab</w:t>
      </w:r>
      <w:proofErr w:type="spellEnd"/>
      <w:r w:rsidR="00890E9A" w:rsidRPr="00051B46">
        <w:rPr>
          <w:rFonts w:ascii="Arial" w:hAnsi="Arial" w:cs="Arial"/>
        </w:rPr>
        <w:t xml:space="preserve"> trials.  Hepatology. 2019 Apr 16. </w:t>
      </w:r>
      <w:proofErr w:type="spellStart"/>
      <w:r w:rsidR="00890E9A" w:rsidRPr="00051B46">
        <w:rPr>
          <w:rFonts w:ascii="Arial" w:hAnsi="Arial" w:cs="Arial"/>
        </w:rPr>
        <w:t>doi</w:t>
      </w:r>
      <w:proofErr w:type="spellEnd"/>
      <w:r w:rsidR="00890E9A" w:rsidRPr="00051B46">
        <w:rPr>
          <w:rFonts w:ascii="Arial" w:hAnsi="Arial" w:cs="Arial"/>
        </w:rPr>
        <w:t>: 10.1002/hep.30664. [</w:t>
      </w:r>
      <w:proofErr w:type="spellStart"/>
      <w:r w:rsidR="00890E9A" w:rsidRPr="00051B46">
        <w:rPr>
          <w:rFonts w:ascii="Arial" w:hAnsi="Arial" w:cs="Arial"/>
        </w:rPr>
        <w:t>Epub</w:t>
      </w:r>
      <w:proofErr w:type="spellEnd"/>
      <w:r w:rsidR="00890E9A" w:rsidRPr="00051B46">
        <w:rPr>
          <w:rFonts w:ascii="Arial" w:hAnsi="Arial" w:cs="Arial"/>
        </w:rPr>
        <w:t xml:space="preserve"> ahead of print]</w:t>
      </w:r>
    </w:p>
    <w:p w14:paraId="6C08EC10" w14:textId="3A15102A" w:rsidR="00397169" w:rsidRPr="00051B46" w:rsidRDefault="0075438D" w:rsidP="00690F26">
      <w:pPr>
        <w:spacing w:after="0" w:line="276" w:lineRule="auto"/>
        <w:ind w:left="576" w:hanging="576"/>
        <w:rPr>
          <w:rFonts w:ascii="Arial" w:hAnsi="Arial" w:cs="Arial"/>
        </w:rPr>
      </w:pPr>
      <w:r w:rsidRPr="00051B46">
        <w:rPr>
          <w:rFonts w:ascii="Arial" w:hAnsi="Arial" w:cs="Arial"/>
        </w:rPr>
        <w:t>106.</w:t>
      </w:r>
      <w:r w:rsidRPr="00051B46">
        <w:rPr>
          <w:rFonts w:ascii="Arial" w:hAnsi="Arial" w:cs="Arial"/>
        </w:rPr>
        <w:tab/>
      </w:r>
      <w:r w:rsidR="00397169" w:rsidRPr="00051B46">
        <w:rPr>
          <w:rFonts w:ascii="Arial" w:hAnsi="Arial" w:cs="Arial"/>
        </w:rPr>
        <w:t xml:space="preserve">Hazlehurst JM, Woods C, </w:t>
      </w:r>
      <w:proofErr w:type="spellStart"/>
      <w:r w:rsidR="00397169" w:rsidRPr="00051B46">
        <w:rPr>
          <w:rFonts w:ascii="Arial" w:hAnsi="Arial" w:cs="Arial"/>
        </w:rPr>
        <w:t>Marjot</w:t>
      </w:r>
      <w:proofErr w:type="spellEnd"/>
      <w:r w:rsidR="00397169" w:rsidRPr="00051B46">
        <w:rPr>
          <w:rFonts w:ascii="Arial" w:hAnsi="Arial" w:cs="Arial"/>
        </w:rPr>
        <w:t xml:space="preserve"> T, et al. Non-alcoholic fatty liver disease and diabetes. Metabolism. </w:t>
      </w:r>
      <w:proofErr w:type="gramStart"/>
      <w:r w:rsidR="00397169" w:rsidRPr="00051B46">
        <w:rPr>
          <w:rFonts w:ascii="Arial" w:hAnsi="Arial" w:cs="Arial"/>
        </w:rPr>
        <w:t>2016;65:1096</w:t>
      </w:r>
      <w:proofErr w:type="gramEnd"/>
      <w:r w:rsidR="00397169" w:rsidRPr="00051B46">
        <w:rPr>
          <w:rFonts w:ascii="Arial" w:hAnsi="Arial" w:cs="Arial"/>
        </w:rPr>
        <w:t xml:space="preserve">-108. </w:t>
      </w:r>
    </w:p>
    <w:p w14:paraId="2D551E92" w14:textId="4D99AFD4" w:rsidR="00397169" w:rsidRPr="00051B46" w:rsidRDefault="00321E9D" w:rsidP="00690F26">
      <w:pPr>
        <w:spacing w:after="0" w:line="276" w:lineRule="auto"/>
        <w:ind w:left="576" w:hanging="576"/>
        <w:rPr>
          <w:rFonts w:ascii="Arial" w:hAnsi="Arial" w:cs="Arial"/>
        </w:rPr>
      </w:pPr>
      <w:r w:rsidRPr="00051B46">
        <w:rPr>
          <w:rFonts w:ascii="Arial" w:hAnsi="Arial" w:cs="Arial"/>
        </w:rPr>
        <w:t>107</w:t>
      </w:r>
      <w:r w:rsidR="00397169" w:rsidRPr="00051B46">
        <w:rPr>
          <w:rFonts w:ascii="Arial" w:hAnsi="Arial" w:cs="Arial"/>
        </w:rPr>
        <w:t xml:space="preserve">. </w:t>
      </w:r>
      <w:r w:rsidR="00397169" w:rsidRPr="00051B46">
        <w:rPr>
          <w:rFonts w:ascii="Arial" w:hAnsi="Arial" w:cs="Arial"/>
        </w:rPr>
        <w:tab/>
        <w:t xml:space="preserve">Byrne CD, Patel J, </w:t>
      </w:r>
      <w:proofErr w:type="spellStart"/>
      <w:r w:rsidR="00397169" w:rsidRPr="00051B46">
        <w:rPr>
          <w:rFonts w:ascii="Arial" w:hAnsi="Arial" w:cs="Arial"/>
        </w:rPr>
        <w:t>Scorletti</w:t>
      </w:r>
      <w:proofErr w:type="spellEnd"/>
      <w:r w:rsidR="00397169" w:rsidRPr="00051B46">
        <w:rPr>
          <w:rFonts w:ascii="Arial" w:hAnsi="Arial" w:cs="Arial"/>
        </w:rPr>
        <w:t xml:space="preserve"> E, et al. Tests for diagnosing and monitoring non-alcoholic fatty liver disease in adults. BMJ. 2018;</w:t>
      </w:r>
      <w:proofErr w:type="gramStart"/>
      <w:r w:rsidR="00397169" w:rsidRPr="00051B46">
        <w:rPr>
          <w:rFonts w:ascii="Arial" w:hAnsi="Arial" w:cs="Arial"/>
        </w:rPr>
        <w:t>362:k</w:t>
      </w:r>
      <w:proofErr w:type="gramEnd"/>
      <w:r w:rsidR="00397169" w:rsidRPr="00051B46">
        <w:rPr>
          <w:rFonts w:ascii="Arial" w:hAnsi="Arial" w:cs="Arial"/>
        </w:rPr>
        <w:t xml:space="preserve">2734. </w:t>
      </w:r>
    </w:p>
    <w:p w14:paraId="35828B26" w14:textId="1BFB4291" w:rsidR="00397169" w:rsidRPr="00051B46" w:rsidRDefault="004854E2" w:rsidP="00690F26">
      <w:pPr>
        <w:spacing w:after="0" w:line="276" w:lineRule="auto"/>
        <w:ind w:left="576" w:hanging="576"/>
        <w:rPr>
          <w:rFonts w:ascii="Arial" w:hAnsi="Arial" w:cs="Arial"/>
        </w:rPr>
      </w:pPr>
      <w:r w:rsidRPr="00051B46">
        <w:rPr>
          <w:rFonts w:ascii="Arial" w:hAnsi="Arial" w:cs="Arial"/>
        </w:rPr>
        <w:t>108</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Younossi</w:t>
      </w:r>
      <w:proofErr w:type="spellEnd"/>
      <w:r w:rsidR="00397169" w:rsidRPr="00051B46">
        <w:rPr>
          <w:rFonts w:ascii="Arial" w:hAnsi="Arial" w:cs="Arial"/>
        </w:rPr>
        <w:t xml:space="preserve"> ZM, Loomba R, </w:t>
      </w:r>
      <w:proofErr w:type="spellStart"/>
      <w:r w:rsidR="00397169" w:rsidRPr="00051B46">
        <w:rPr>
          <w:rFonts w:ascii="Arial" w:hAnsi="Arial" w:cs="Arial"/>
        </w:rPr>
        <w:t>Anstee</w:t>
      </w:r>
      <w:proofErr w:type="spellEnd"/>
      <w:r w:rsidR="00397169" w:rsidRPr="00051B46">
        <w:rPr>
          <w:rFonts w:ascii="Arial" w:hAnsi="Arial" w:cs="Arial"/>
        </w:rPr>
        <w:t xml:space="preserve"> QM, et al. Diagnostic modalities for nonalcoholic fatty liver disease, nonalcoholic steatohepatitis, and associated fibrosis. Hepatology. </w:t>
      </w:r>
      <w:proofErr w:type="gramStart"/>
      <w:r w:rsidR="00397169" w:rsidRPr="00051B46">
        <w:rPr>
          <w:rFonts w:ascii="Arial" w:hAnsi="Arial" w:cs="Arial"/>
        </w:rPr>
        <w:t>2018;68:349</w:t>
      </w:r>
      <w:proofErr w:type="gramEnd"/>
      <w:r w:rsidR="00397169" w:rsidRPr="00051B46">
        <w:rPr>
          <w:rFonts w:ascii="Arial" w:hAnsi="Arial" w:cs="Arial"/>
        </w:rPr>
        <w:t xml:space="preserve">-360. </w:t>
      </w:r>
    </w:p>
    <w:p w14:paraId="6C210EEA" w14:textId="11357365" w:rsidR="00397169" w:rsidRPr="00051B46" w:rsidRDefault="004854E2" w:rsidP="00690F26">
      <w:pPr>
        <w:spacing w:after="0" w:line="276" w:lineRule="auto"/>
        <w:ind w:left="576" w:hanging="576"/>
        <w:rPr>
          <w:rFonts w:ascii="Arial" w:hAnsi="Arial" w:cs="Arial"/>
        </w:rPr>
      </w:pPr>
      <w:r w:rsidRPr="00051B46">
        <w:rPr>
          <w:rFonts w:ascii="Arial" w:hAnsi="Arial" w:cs="Arial"/>
        </w:rPr>
        <w:t>109</w:t>
      </w:r>
      <w:r w:rsidR="00397169" w:rsidRPr="00051B46">
        <w:rPr>
          <w:rFonts w:ascii="Arial" w:hAnsi="Arial" w:cs="Arial"/>
        </w:rPr>
        <w:t xml:space="preserve">. </w:t>
      </w:r>
      <w:r w:rsidR="00397169" w:rsidRPr="00051B46">
        <w:rPr>
          <w:rFonts w:ascii="Arial" w:hAnsi="Arial" w:cs="Arial"/>
        </w:rPr>
        <w:tab/>
        <w:t xml:space="preserve">Portillo-Sanchez P, </w:t>
      </w:r>
      <w:proofErr w:type="spellStart"/>
      <w:r w:rsidR="00397169" w:rsidRPr="00051B46">
        <w:rPr>
          <w:rFonts w:ascii="Arial" w:hAnsi="Arial" w:cs="Arial"/>
        </w:rPr>
        <w:t>Bril</w:t>
      </w:r>
      <w:proofErr w:type="spellEnd"/>
      <w:r w:rsidR="00397169" w:rsidRPr="00051B46">
        <w:rPr>
          <w:rFonts w:ascii="Arial" w:hAnsi="Arial" w:cs="Arial"/>
        </w:rPr>
        <w:t xml:space="preserve"> F, </w:t>
      </w:r>
      <w:proofErr w:type="spellStart"/>
      <w:r w:rsidR="00397169" w:rsidRPr="00051B46">
        <w:rPr>
          <w:rFonts w:ascii="Arial" w:hAnsi="Arial" w:cs="Arial"/>
        </w:rPr>
        <w:t>Maximos</w:t>
      </w:r>
      <w:proofErr w:type="spellEnd"/>
      <w:r w:rsidR="00397169" w:rsidRPr="00051B46">
        <w:rPr>
          <w:rFonts w:ascii="Arial" w:hAnsi="Arial" w:cs="Arial"/>
        </w:rPr>
        <w:t xml:space="preserve"> M, et al. High prevalence of nonalcoholic fatty liver disease in patients with type 2 diabetes mellitus and normal plasma aminotransferase levels. J Clin Endocrinol </w:t>
      </w:r>
      <w:proofErr w:type="spellStart"/>
      <w:r w:rsidR="00397169" w:rsidRPr="00051B46">
        <w:rPr>
          <w:rFonts w:ascii="Arial" w:hAnsi="Arial" w:cs="Arial"/>
        </w:rPr>
        <w:t>Metab</w:t>
      </w:r>
      <w:proofErr w:type="spellEnd"/>
      <w:r w:rsidR="00397169" w:rsidRPr="00051B46">
        <w:rPr>
          <w:rFonts w:ascii="Arial" w:hAnsi="Arial" w:cs="Arial"/>
        </w:rPr>
        <w:t xml:space="preserve">. </w:t>
      </w:r>
      <w:proofErr w:type="gramStart"/>
      <w:r w:rsidR="00397169" w:rsidRPr="00051B46">
        <w:rPr>
          <w:rFonts w:ascii="Arial" w:hAnsi="Arial" w:cs="Arial"/>
        </w:rPr>
        <w:t>2015;100:2231</w:t>
      </w:r>
      <w:proofErr w:type="gramEnd"/>
      <w:r w:rsidR="00397169" w:rsidRPr="00051B46">
        <w:rPr>
          <w:rFonts w:ascii="Arial" w:hAnsi="Arial" w:cs="Arial"/>
        </w:rPr>
        <w:t xml:space="preserve">-8. </w:t>
      </w:r>
    </w:p>
    <w:p w14:paraId="4B46063E" w14:textId="4A989E71" w:rsidR="00397169" w:rsidRPr="00051B46" w:rsidRDefault="004854E2" w:rsidP="00690F26">
      <w:pPr>
        <w:spacing w:after="0" w:line="276" w:lineRule="auto"/>
        <w:ind w:left="576" w:hanging="576"/>
        <w:rPr>
          <w:rFonts w:ascii="Arial" w:hAnsi="Arial" w:cs="Arial"/>
        </w:rPr>
      </w:pPr>
      <w:r w:rsidRPr="00051B46">
        <w:rPr>
          <w:rFonts w:ascii="Arial" w:hAnsi="Arial" w:cs="Arial"/>
        </w:rPr>
        <w:t>110</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Maximos</w:t>
      </w:r>
      <w:proofErr w:type="spellEnd"/>
      <w:r w:rsidR="00397169" w:rsidRPr="00051B46">
        <w:rPr>
          <w:rFonts w:ascii="Arial" w:hAnsi="Arial" w:cs="Arial"/>
        </w:rPr>
        <w:t xml:space="preserve"> M, </w:t>
      </w:r>
      <w:proofErr w:type="spellStart"/>
      <w:r w:rsidR="00397169" w:rsidRPr="00051B46">
        <w:rPr>
          <w:rFonts w:ascii="Arial" w:hAnsi="Arial" w:cs="Arial"/>
        </w:rPr>
        <w:t>Bril</w:t>
      </w:r>
      <w:proofErr w:type="spellEnd"/>
      <w:r w:rsidR="00397169" w:rsidRPr="00051B46">
        <w:rPr>
          <w:rFonts w:ascii="Arial" w:hAnsi="Arial" w:cs="Arial"/>
        </w:rPr>
        <w:t xml:space="preserve"> F, Portillo Sanchez P, et al. The role of liver fat and insulin resistance as determinants of plasma aminotransferase elevation in nonalcoholic fatty liver disease. Hepatology. </w:t>
      </w:r>
      <w:proofErr w:type="gramStart"/>
      <w:r w:rsidR="00397169" w:rsidRPr="00051B46">
        <w:rPr>
          <w:rFonts w:ascii="Arial" w:hAnsi="Arial" w:cs="Arial"/>
        </w:rPr>
        <w:t>2015;61:153</w:t>
      </w:r>
      <w:proofErr w:type="gramEnd"/>
      <w:r w:rsidR="00397169" w:rsidRPr="00051B46">
        <w:rPr>
          <w:rFonts w:ascii="Arial" w:hAnsi="Arial" w:cs="Arial"/>
        </w:rPr>
        <w:t xml:space="preserve">-60. </w:t>
      </w:r>
    </w:p>
    <w:p w14:paraId="01231441" w14:textId="0C5C160F" w:rsidR="00397169" w:rsidRPr="00051B46" w:rsidRDefault="004854E2" w:rsidP="00690F26">
      <w:pPr>
        <w:spacing w:after="0" w:line="276" w:lineRule="auto"/>
        <w:ind w:left="576" w:hanging="576"/>
        <w:rPr>
          <w:rFonts w:ascii="Arial" w:hAnsi="Arial" w:cs="Arial"/>
        </w:rPr>
      </w:pPr>
      <w:r w:rsidRPr="00051B46">
        <w:rPr>
          <w:rFonts w:ascii="Arial" w:hAnsi="Arial" w:cs="Arial"/>
        </w:rPr>
        <w:t>111</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Prati</w:t>
      </w:r>
      <w:proofErr w:type="spellEnd"/>
      <w:r w:rsidR="00397169" w:rsidRPr="00051B46">
        <w:rPr>
          <w:rFonts w:ascii="Arial" w:hAnsi="Arial" w:cs="Arial"/>
        </w:rPr>
        <w:t xml:space="preserve"> D, </w:t>
      </w:r>
      <w:proofErr w:type="spellStart"/>
      <w:r w:rsidR="00397169" w:rsidRPr="00051B46">
        <w:rPr>
          <w:rFonts w:ascii="Arial" w:hAnsi="Arial" w:cs="Arial"/>
        </w:rPr>
        <w:t>Taioli</w:t>
      </w:r>
      <w:proofErr w:type="spellEnd"/>
      <w:r w:rsidR="00397169" w:rsidRPr="00051B46">
        <w:rPr>
          <w:rFonts w:ascii="Arial" w:hAnsi="Arial" w:cs="Arial"/>
        </w:rPr>
        <w:t xml:space="preserve"> E, </w:t>
      </w:r>
      <w:proofErr w:type="spellStart"/>
      <w:r w:rsidR="00397169" w:rsidRPr="00051B46">
        <w:rPr>
          <w:rFonts w:ascii="Arial" w:hAnsi="Arial" w:cs="Arial"/>
        </w:rPr>
        <w:t>Zanella</w:t>
      </w:r>
      <w:proofErr w:type="spellEnd"/>
      <w:r w:rsidR="00397169" w:rsidRPr="00051B46">
        <w:rPr>
          <w:rFonts w:ascii="Arial" w:hAnsi="Arial" w:cs="Arial"/>
        </w:rPr>
        <w:t xml:space="preserve"> A, et al. Updated definitions of healthy ranges for serum alanine aminotransferase levels. Ann Intern Med. </w:t>
      </w:r>
      <w:proofErr w:type="gramStart"/>
      <w:r w:rsidR="00397169" w:rsidRPr="00051B46">
        <w:rPr>
          <w:rFonts w:ascii="Arial" w:hAnsi="Arial" w:cs="Arial"/>
        </w:rPr>
        <w:t>2002;137:1</w:t>
      </w:r>
      <w:proofErr w:type="gramEnd"/>
      <w:r w:rsidR="00397169" w:rsidRPr="00051B46">
        <w:rPr>
          <w:rFonts w:ascii="Arial" w:hAnsi="Arial" w:cs="Arial"/>
        </w:rPr>
        <w:t xml:space="preserve">-10. </w:t>
      </w:r>
    </w:p>
    <w:p w14:paraId="39CCC054" w14:textId="43C6E649" w:rsidR="00397169" w:rsidRPr="00051B46" w:rsidRDefault="00C430DD" w:rsidP="00690F26">
      <w:pPr>
        <w:spacing w:after="0" w:line="276" w:lineRule="auto"/>
        <w:ind w:left="576" w:hanging="576"/>
        <w:rPr>
          <w:rFonts w:ascii="Arial" w:hAnsi="Arial" w:cs="Arial"/>
        </w:rPr>
      </w:pPr>
      <w:r w:rsidRPr="00051B46">
        <w:rPr>
          <w:rFonts w:ascii="Arial" w:hAnsi="Arial" w:cs="Arial"/>
        </w:rPr>
        <w:t>112</w:t>
      </w:r>
      <w:r w:rsidR="00397169" w:rsidRPr="00051B46">
        <w:rPr>
          <w:rFonts w:ascii="Arial" w:hAnsi="Arial" w:cs="Arial"/>
        </w:rPr>
        <w:t xml:space="preserve">. </w:t>
      </w:r>
      <w:r w:rsidR="00397169" w:rsidRPr="00051B46">
        <w:rPr>
          <w:rFonts w:ascii="Arial" w:hAnsi="Arial" w:cs="Arial"/>
        </w:rPr>
        <w:tab/>
        <w:t xml:space="preserve">Cuthbertson DJ, </w:t>
      </w:r>
      <w:proofErr w:type="spellStart"/>
      <w:r w:rsidR="00397169" w:rsidRPr="00051B46">
        <w:rPr>
          <w:rFonts w:ascii="Arial" w:hAnsi="Arial" w:cs="Arial"/>
        </w:rPr>
        <w:t>Weickert</w:t>
      </w:r>
      <w:proofErr w:type="spellEnd"/>
      <w:r w:rsidR="00397169" w:rsidRPr="00051B46">
        <w:rPr>
          <w:rFonts w:ascii="Arial" w:hAnsi="Arial" w:cs="Arial"/>
        </w:rPr>
        <w:t xml:space="preserve"> MO, Lythgoe D, et al. External validation of the fatty liver index and lipid accumulation product indices, using 1H-magnetic resonance spectroscopy, to identify hepatic steatosis in healthy controls and obese, insulin-resistant individuals. Eur J Endocrinol. </w:t>
      </w:r>
      <w:proofErr w:type="gramStart"/>
      <w:r w:rsidR="00397169" w:rsidRPr="00051B46">
        <w:rPr>
          <w:rFonts w:ascii="Arial" w:hAnsi="Arial" w:cs="Arial"/>
        </w:rPr>
        <w:t>2014;171:561</w:t>
      </w:r>
      <w:proofErr w:type="gramEnd"/>
      <w:r w:rsidR="00397169" w:rsidRPr="00051B46">
        <w:rPr>
          <w:rFonts w:ascii="Arial" w:hAnsi="Arial" w:cs="Arial"/>
        </w:rPr>
        <w:t xml:space="preserve">-9. </w:t>
      </w:r>
    </w:p>
    <w:p w14:paraId="7EFB31A0" w14:textId="407D5822" w:rsidR="00397169" w:rsidRPr="00051B46" w:rsidRDefault="00C430DD" w:rsidP="00690F26">
      <w:pPr>
        <w:spacing w:after="0" w:line="276" w:lineRule="auto"/>
        <w:ind w:left="576" w:hanging="576"/>
        <w:rPr>
          <w:rFonts w:ascii="Arial" w:hAnsi="Arial" w:cs="Arial"/>
        </w:rPr>
      </w:pPr>
      <w:r w:rsidRPr="00051B46">
        <w:rPr>
          <w:rFonts w:ascii="Arial" w:hAnsi="Arial" w:cs="Arial"/>
        </w:rPr>
        <w:t>113</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Fedchuk</w:t>
      </w:r>
      <w:proofErr w:type="spellEnd"/>
      <w:r w:rsidR="00397169" w:rsidRPr="00051B46">
        <w:rPr>
          <w:rFonts w:ascii="Arial" w:hAnsi="Arial" w:cs="Arial"/>
        </w:rPr>
        <w:t xml:space="preserve"> L, </w:t>
      </w:r>
      <w:proofErr w:type="spellStart"/>
      <w:r w:rsidR="00397169" w:rsidRPr="00051B46">
        <w:rPr>
          <w:rFonts w:ascii="Arial" w:hAnsi="Arial" w:cs="Arial"/>
        </w:rPr>
        <w:t>Nascimbeni</w:t>
      </w:r>
      <w:proofErr w:type="spellEnd"/>
      <w:r w:rsidR="00397169" w:rsidRPr="00051B46">
        <w:rPr>
          <w:rFonts w:ascii="Arial" w:hAnsi="Arial" w:cs="Arial"/>
        </w:rPr>
        <w:t xml:space="preserve"> F, </w:t>
      </w:r>
      <w:proofErr w:type="spellStart"/>
      <w:r w:rsidR="00397169" w:rsidRPr="00051B46">
        <w:rPr>
          <w:rFonts w:ascii="Arial" w:hAnsi="Arial" w:cs="Arial"/>
        </w:rPr>
        <w:t>Pais</w:t>
      </w:r>
      <w:proofErr w:type="spellEnd"/>
      <w:r w:rsidR="00397169" w:rsidRPr="00051B46">
        <w:rPr>
          <w:rFonts w:ascii="Arial" w:hAnsi="Arial" w:cs="Arial"/>
        </w:rPr>
        <w:t xml:space="preserve"> R, et al. Performance and limitations of steatosis biomarkers in patients with nonalcoholic fatty liver disease. Aliment </w:t>
      </w:r>
      <w:proofErr w:type="spellStart"/>
      <w:r w:rsidR="00397169" w:rsidRPr="00051B46">
        <w:rPr>
          <w:rFonts w:ascii="Arial" w:hAnsi="Arial" w:cs="Arial"/>
        </w:rPr>
        <w:t>Pharmacol</w:t>
      </w:r>
      <w:proofErr w:type="spellEnd"/>
      <w:r w:rsidR="00397169" w:rsidRPr="00051B46">
        <w:rPr>
          <w:rFonts w:ascii="Arial" w:hAnsi="Arial" w:cs="Arial"/>
        </w:rPr>
        <w:t xml:space="preserve"> </w:t>
      </w:r>
      <w:proofErr w:type="spellStart"/>
      <w:r w:rsidR="00397169" w:rsidRPr="00051B46">
        <w:rPr>
          <w:rFonts w:ascii="Arial" w:hAnsi="Arial" w:cs="Arial"/>
        </w:rPr>
        <w:t>Ther</w:t>
      </w:r>
      <w:proofErr w:type="spellEnd"/>
      <w:r w:rsidR="00397169" w:rsidRPr="00051B46">
        <w:rPr>
          <w:rFonts w:ascii="Arial" w:hAnsi="Arial" w:cs="Arial"/>
        </w:rPr>
        <w:t xml:space="preserve">. </w:t>
      </w:r>
      <w:proofErr w:type="gramStart"/>
      <w:r w:rsidR="00397169" w:rsidRPr="00051B46">
        <w:rPr>
          <w:rFonts w:ascii="Arial" w:hAnsi="Arial" w:cs="Arial"/>
        </w:rPr>
        <w:t>2014;40:1209</w:t>
      </w:r>
      <w:proofErr w:type="gramEnd"/>
      <w:r w:rsidR="00397169" w:rsidRPr="00051B46">
        <w:rPr>
          <w:rFonts w:ascii="Arial" w:hAnsi="Arial" w:cs="Arial"/>
        </w:rPr>
        <w:t xml:space="preserve">-22. </w:t>
      </w:r>
    </w:p>
    <w:p w14:paraId="05ABCE00" w14:textId="23AAF37C" w:rsidR="00397169" w:rsidRPr="00051B46" w:rsidRDefault="00C430DD" w:rsidP="00690F26">
      <w:pPr>
        <w:spacing w:after="0" w:line="276" w:lineRule="auto"/>
        <w:ind w:left="576" w:hanging="576"/>
        <w:rPr>
          <w:rFonts w:ascii="Arial" w:hAnsi="Arial" w:cs="Arial"/>
        </w:rPr>
      </w:pPr>
      <w:r w:rsidRPr="00051B46">
        <w:rPr>
          <w:rFonts w:ascii="Arial" w:hAnsi="Arial" w:cs="Arial"/>
        </w:rPr>
        <w:t>114</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Castera</w:t>
      </w:r>
      <w:proofErr w:type="spellEnd"/>
      <w:r w:rsidR="00397169" w:rsidRPr="00051B46">
        <w:rPr>
          <w:rFonts w:ascii="Arial" w:hAnsi="Arial" w:cs="Arial"/>
        </w:rPr>
        <w:t xml:space="preserve"> L. Noninvasive evaluation of nonalcoholic fatty liver disease. </w:t>
      </w:r>
      <w:proofErr w:type="spellStart"/>
      <w:r w:rsidR="00397169" w:rsidRPr="00051B46">
        <w:rPr>
          <w:rFonts w:ascii="Arial" w:hAnsi="Arial" w:cs="Arial"/>
        </w:rPr>
        <w:t>Semin</w:t>
      </w:r>
      <w:proofErr w:type="spellEnd"/>
      <w:r w:rsidR="00397169" w:rsidRPr="00051B46">
        <w:rPr>
          <w:rFonts w:ascii="Arial" w:hAnsi="Arial" w:cs="Arial"/>
        </w:rPr>
        <w:t xml:space="preserve"> Liver Dis. </w:t>
      </w:r>
      <w:proofErr w:type="gramStart"/>
      <w:r w:rsidR="00397169" w:rsidRPr="00051B46">
        <w:rPr>
          <w:rFonts w:ascii="Arial" w:hAnsi="Arial" w:cs="Arial"/>
        </w:rPr>
        <w:t>2015;35:291</w:t>
      </w:r>
      <w:proofErr w:type="gramEnd"/>
      <w:r w:rsidR="00397169" w:rsidRPr="00051B46">
        <w:rPr>
          <w:rFonts w:ascii="Arial" w:hAnsi="Arial" w:cs="Arial"/>
        </w:rPr>
        <w:t xml:space="preserve">-303. </w:t>
      </w:r>
    </w:p>
    <w:p w14:paraId="2B0A87AE" w14:textId="704B9B6F" w:rsidR="00397169" w:rsidRPr="00051B46" w:rsidRDefault="00C430DD" w:rsidP="00690F26">
      <w:pPr>
        <w:spacing w:after="0" w:line="276" w:lineRule="auto"/>
        <w:ind w:left="576" w:hanging="576"/>
        <w:rPr>
          <w:rFonts w:ascii="Arial" w:hAnsi="Arial" w:cs="Arial"/>
        </w:rPr>
      </w:pPr>
      <w:r w:rsidRPr="00051B46">
        <w:rPr>
          <w:rFonts w:ascii="Arial" w:hAnsi="Arial" w:cs="Arial"/>
        </w:rPr>
        <w:lastRenderedPageBreak/>
        <w:t>115</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Bril</w:t>
      </w:r>
      <w:proofErr w:type="spellEnd"/>
      <w:r w:rsidR="00397169" w:rsidRPr="00051B46">
        <w:rPr>
          <w:rFonts w:ascii="Arial" w:hAnsi="Arial" w:cs="Arial"/>
        </w:rPr>
        <w:t xml:space="preserve"> F, </w:t>
      </w:r>
      <w:proofErr w:type="spellStart"/>
      <w:r w:rsidR="00397169" w:rsidRPr="00051B46">
        <w:rPr>
          <w:rFonts w:ascii="Arial" w:hAnsi="Arial" w:cs="Arial"/>
        </w:rPr>
        <w:t>Millán</w:t>
      </w:r>
      <w:proofErr w:type="spellEnd"/>
      <w:r w:rsidR="00397169" w:rsidRPr="00051B46">
        <w:rPr>
          <w:rFonts w:ascii="Arial" w:hAnsi="Arial" w:cs="Arial"/>
        </w:rPr>
        <w:t xml:space="preserve"> L, </w:t>
      </w:r>
      <w:proofErr w:type="spellStart"/>
      <w:r w:rsidR="00397169" w:rsidRPr="00051B46">
        <w:rPr>
          <w:rFonts w:ascii="Arial" w:hAnsi="Arial" w:cs="Arial"/>
        </w:rPr>
        <w:t>Kalavalapalli</w:t>
      </w:r>
      <w:proofErr w:type="spellEnd"/>
      <w:r w:rsidR="00397169" w:rsidRPr="00051B46">
        <w:rPr>
          <w:rFonts w:ascii="Arial" w:hAnsi="Arial" w:cs="Arial"/>
        </w:rPr>
        <w:t xml:space="preserve"> S, et al. Use of a metabolomic approach to non-invasively diagnose non-alcoholic fatty liver disease in patients with type 2 diabetes mellitus. Diabetes </w:t>
      </w:r>
      <w:proofErr w:type="spellStart"/>
      <w:r w:rsidR="00397169" w:rsidRPr="00051B46">
        <w:rPr>
          <w:rFonts w:ascii="Arial" w:hAnsi="Arial" w:cs="Arial"/>
        </w:rPr>
        <w:t>Obes</w:t>
      </w:r>
      <w:proofErr w:type="spellEnd"/>
      <w:r w:rsidR="00397169" w:rsidRPr="00051B46">
        <w:rPr>
          <w:rFonts w:ascii="Arial" w:hAnsi="Arial" w:cs="Arial"/>
        </w:rPr>
        <w:t xml:space="preserve"> </w:t>
      </w:r>
      <w:proofErr w:type="spellStart"/>
      <w:r w:rsidR="00397169" w:rsidRPr="00051B46">
        <w:rPr>
          <w:rFonts w:ascii="Arial" w:hAnsi="Arial" w:cs="Arial"/>
        </w:rPr>
        <w:t>Metab</w:t>
      </w:r>
      <w:proofErr w:type="spellEnd"/>
      <w:r w:rsidR="00397169" w:rsidRPr="00051B46">
        <w:rPr>
          <w:rFonts w:ascii="Arial" w:hAnsi="Arial" w:cs="Arial"/>
        </w:rPr>
        <w:t xml:space="preserve">. </w:t>
      </w:r>
      <w:proofErr w:type="gramStart"/>
      <w:r w:rsidR="00397169" w:rsidRPr="00051B46">
        <w:rPr>
          <w:rFonts w:ascii="Arial" w:hAnsi="Arial" w:cs="Arial"/>
        </w:rPr>
        <w:t>2018;20:1702</w:t>
      </w:r>
      <w:proofErr w:type="gramEnd"/>
      <w:r w:rsidR="00397169" w:rsidRPr="00051B46">
        <w:rPr>
          <w:rFonts w:ascii="Arial" w:hAnsi="Arial" w:cs="Arial"/>
        </w:rPr>
        <w:t xml:space="preserve">-9. </w:t>
      </w:r>
    </w:p>
    <w:p w14:paraId="4E03E218" w14:textId="1F96E4CB" w:rsidR="00397169" w:rsidRPr="00051B46" w:rsidRDefault="00C430DD" w:rsidP="00690F26">
      <w:pPr>
        <w:spacing w:after="0" w:line="276" w:lineRule="auto"/>
        <w:ind w:left="576" w:hanging="576"/>
        <w:rPr>
          <w:rFonts w:ascii="Arial" w:hAnsi="Arial" w:cs="Arial"/>
        </w:rPr>
      </w:pPr>
      <w:r w:rsidRPr="00051B46">
        <w:rPr>
          <w:rFonts w:ascii="Arial" w:hAnsi="Arial" w:cs="Arial"/>
        </w:rPr>
        <w:t>116</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Bril</w:t>
      </w:r>
      <w:proofErr w:type="spellEnd"/>
      <w:r w:rsidR="00397169" w:rsidRPr="00051B46">
        <w:rPr>
          <w:rFonts w:ascii="Arial" w:hAnsi="Arial" w:cs="Arial"/>
        </w:rPr>
        <w:t xml:space="preserve"> F, </w:t>
      </w:r>
      <w:proofErr w:type="spellStart"/>
      <w:r w:rsidR="00397169" w:rsidRPr="00051B46">
        <w:rPr>
          <w:rFonts w:ascii="Arial" w:hAnsi="Arial" w:cs="Arial"/>
        </w:rPr>
        <w:t>McPhaul</w:t>
      </w:r>
      <w:proofErr w:type="spellEnd"/>
      <w:r w:rsidR="00397169" w:rsidRPr="00051B46">
        <w:rPr>
          <w:rFonts w:ascii="Arial" w:hAnsi="Arial" w:cs="Arial"/>
        </w:rPr>
        <w:t xml:space="preserve"> MJ, Caulfield MP et al. Performance of the </w:t>
      </w:r>
      <w:proofErr w:type="spellStart"/>
      <w:r w:rsidR="00397169" w:rsidRPr="00051B46">
        <w:rPr>
          <w:rFonts w:ascii="Arial" w:hAnsi="Arial" w:cs="Arial"/>
        </w:rPr>
        <w:t>SteatoTest</w:t>
      </w:r>
      <w:proofErr w:type="spellEnd"/>
      <w:r w:rsidR="00397169" w:rsidRPr="00051B46">
        <w:rPr>
          <w:rFonts w:ascii="Arial" w:hAnsi="Arial" w:cs="Arial"/>
        </w:rPr>
        <w:t xml:space="preserve">, </w:t>
      </w:r>
      <w:proofErr w:type="spellStart"/>
      <w:r w:rsidR="00397169" w:rsidRPr="00051B46">
        <w:rPr>
          <w:rFonts w:ascii="Arial" w:hAnsi="Arial" w:cs="Arial"/>
        </w:rPr>
        <w:t>ActiTest</w:t>
      </w:r>
      <w:proofErr w:type="spellEnd"/>
      <w:r w:rsidR="00397169" w:rsidRPr="00051B46">
        <w:rPr>
          <w:rFonts w:ascii="Arial" w:hAnsi="Arial" w:cs="Arial"/>
        </w:rPr>
        <w:t xml:space="preserve">, </w:t>
      </w:r>
      <w:proofErr w:type="spellStart"/>
      <w:r w:rsidR="00397169" w:rsidRPr="00051B46">
        <w:rPr>
          <w:rFonts w:ascii="Arial" w:hAnsi="Arial" w:cs="Arial"/>
        </w:rPr>
        <w:t>NashTest</w:t>
      </w:r>
      <w:proofErr w:type="spellEnd"/>
      <w:r w:rsidR="00397169" w:rsidRPr="00051B46">
        <w:rPr>
          <w:rFonts w:ascii="Arial" w:hAnsi="Arial" w:cs="Arial"/>
        </w:rPr>
        <w:t xml:space="preserve"> and </w:t>
      </w:r>
      <w:proofErr w:type="spellStart"/>
      <w:r w:rsidR="00397169" w:rsidRPr="00051B46">
        <w:rPr>
          <w:rFonts w:ascii="Arial" w:hAnsi="Arial" w:cs="Arial"/>
        </w:rPr>
        <w:t>FibroTest</w:t>
      </w:r>
      <w:proofErr w:type="spellEnd"/>
      <w:r w:rsidR="00397169" w:rsidRPr="00051B46">
        <w:rPr>
          <w:rFonts w:ascii="Arial" w:hAnsi="Arial" w:cs="Arial"/>
        </w:rPr>
        <w:t xml:space="preserve"> in a multiethnic cohort of patients with type 2 diabetes mellitus. J </w:t>
      </w:r>
      <w:proofErr w:type="spellStart"/>
      <w:r w:rsidR="00397169" w:rsidRPr="00051B46">
        <w:rPr>
          <w:rFonts w:ascii="Arial" w:hAnsi="Arial" w:cs="Arial"/>
        </w:rPr>
        <w:t>Investig</w:t>
      </w:r>
      <w:proofErr w:type="spellEnd"/>
      <w:r w:rsidR="00397169" w:rsidRPr="00051B46">
        <w:rPr>
          <w:rFonts w:ascii="Arial" w:hAnsi="Arial" w:cs="Arial"/>
        </w:rPr>
        <w:t xml:space="preserve"> Med. </w:t>
      </w:r>
      <w:proofErr w:type="gramStart"/>
      <w:r w:rsidR="00397169" w:rsidRPr="00051B46">
        <w:rPr>
          <w:rFonts w:ascii="Arial" w:hAnsi="Arial" w:cs="Arial"/>
        </w:rPr>
        <w:t>2019;67:303</w:t>
      </w:r>
      <w:proofErr w:type="gramEnd"/>
      <w:r w:rsidR="00397169" w:rsidRPr="00051B46">
        <w:rPr>
          <w:rFonts w:ascii="Arial" w:hAnsi="Arial" w:cs="Arial"/>
        </w:rPr>
        <w:t>.311.</w:t>
      </w:r>
    </w:p>
    <w:p w14:paraId="0605A24A" w14:textId="7AD3EFC6" w:rsidR="00397169" w:rsidRPr="00051B46" w:rsidRDefault="00486A32" w:rsidP="00690F26">
      <w:pPr>
        <w:spacing w:after="0" w:line="276" w:lineRule="auto"/>
        <w:ind w:left="576" w:hanging="576"/>
        <w:rPr>
          <w:rFonts w:ascii="Arial" w:hAnsi="Arial" w:cs="Arial"/>
        </w:rPr>
      </w:pPr>
      <w:r w:rsidRPr="00051B46">
        <w:rPr>
          <w:rFonts w:ascii="Arial" w:hAnsi="Arial" w:cs="Arial"/>
        </w:rPr>
        <w:t>117</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Bril</w:t>
      </w:r>
      <w:proofErr w:type="spellEnd"/>
      <w:r w:rsidR="00397169" w:rsidRPr="00051B46">
        <w:rPr>
          <w:rFonts w:ascii="Arial" w:hAnsi="Arial" w:cs="Arial"/>
        </w:rPr>
        <w:t xml:space="preserve"> F, Leeming D, </w:t>
      </w:r>
      <w:proofErr w:type="spellStart"/>
      <w:r w:rsidR="00397169" w:rsidRPr="00051B46">
        <w:rPr>
          <w:rFonts w:ascii="Arial" w:hAnsi="Arial" w:cs="Arial"/>
        </w:rPr>
        <w:t>Karsdal</w:t>
      </w:r>
      <w:proofErr w:type="spellEnd"/>
      <w:r w:rsidR="00397169" w:rsidRPr="00051B46">
        <w:rPr>
          <w:rFonts w:ascii="Arial" w:hAnsi="Arial" w:cs="Arial"/>
        </w:rPr>
        <w:t xml:space="preserve"> MA et al. Use of plasma fragments of </w:t>
      </w:r>
      <w:proofErr w:type="spellStart"/>
      <w:r w:rsidR="00397169" w:rsidRPr="00051B46">
        <w:rPr>
          <w:rFonts w:ascii="Arial" w:hAnsi="Arial" w:cs="Arial"/>
        </w:rPr>
        <w:t>propeptides</w:t>
      </w:r>
      <w:proofErr w:type="spellEnd"/>
      <w:r w:rsidR="00397169" w:rsidRPr="00051B46">
        <w:rPr>
          <w:rFonts w:ascii="Arial" w:hAnsi="Arial" w:cs="Arial"/>
        </w:rPr>
        <w:t xml:space="preserve"> of type III, V, and VI procollagen for the detection of liver fibrosis in type 2 diabetes. Diabetes Care 2019;</w:t>
      </w:r>
      <w:proofErr w:type="gramStart"/>
      <w:r w:rsidR="00397169" w:rsidRPr="00051B46">
        <w:rPr>
          <w:rFonts w:ascii="Arial" w:hAnsi="Arial" w:cs="Arial"/>
        </w:rPr>
        <w:t>42:xx</w:t>
      </w:r>
      <w:proofErr w:type="gramEnd"/>
      <w:r w:rsidR="00397169" w:rsidRPr="00051B46">
        <w:rPr>
          <w:rFonts w:ascii="Arial" w:hAnsi="Arial" w:cs="Arial"/>
        </w:rPr>
        <w:t>-xx | https://doi.org/10.2337/dc18-2578 (pending page assignment)</w:t>
      </w:r>
    </w:p>
    <w:p w14:paraId="212FB61E" w14:textId="2FA26954" w:rsidR="00397169" w:rsidRPr="00051B46" w:rsidRDefault="00486A32" w:rsidP="00690F26">
      <w:pPr>
        <w:spacing w:after="0" w:line="276" w:lineRule="auto"/>
        <w:ind w:left="576" w:hanging="576"/>
        <w:rPr>
          <w:rFonts w:ascii="Arial" w:hAnsi="Arial" w:cs="Arial"/>
        </w:rPr>
      </w:pPr>
      <w:r w:rsidRPr="00051B46">
        <w:rPr>
          <w:rFonts w:ascii="Arial" w:hAnsi="Arial" w:cs="Arial"/>
        </w:rPr>
        <w:t>118</w:t>
      </w:r>
      <w:r w:rsidR="00397169" w:rsidRPr="00051B46">
        <w:rPr>
          <w:rFonts w:ascii="Arial" w:hAnsi="Arial" w:cs="Arial"/>
        </w:rPr>
        <w:t xml:space="preserve">. </w:t>
      </w:r>
      <w:r w:rsidR="00397169" w:rsidRPr="00051B46">
        <w:rPr>
          <w:rFonts w:ascii="Arial" w:hAnsi="Arial" w:cs="Arial"/>
        </w:rPr>
        <w:tab/>
        <w:t>American Diabetes Association. Comprehensive medical evaluation and assessment of comorbidities: Standards of medical care in diabetes-2019. Diabetes Care. 2019;42(Suppl 1</w:t>
      </w:r>
      <w:proofErr w:type="gramStart"/>
      <w:r w:rsidR="00397169" w:rsidRPr="00051B46">
        <w:rPr>
          <w:rFonts w:ascii="Arial" w:hAnsi="Arial" w:cs="Arial"/>
        </w:rPr>
        <w:t>):S</w:t>
      </w:r>
      <w:proofErr w:type="gramEnd"/>
      <w:r w:rsidR="00397169" w:rsidRPr="00051B46">
        <w:rPr>
          <w:rFonts w:ascii="Arial" w:hAnsi="Arial" w:cs="Arial"/>
        </w:rPr>
        <w:t xml:space="preserve">34-S45. </w:t>
      </w:r>
    </w:p>
    <w:p w14:paraId="3E6A7072" w14:textId="04AF92A9" w:rsidR="00397169" w:rsidRPr="00051B46" w:rsidRDefault="00486A32" w:rsidP="00690F26">
      <w:pPr>
        <w:spacing w:after="0" w:line="276" w:lineRule="auto"/>
        <w:ind w:left="576" w:hanging="576"/>
        <w:rPr>
          <w:rFonts w:ascii="Arial" w:hAnsi="Arial" w:cs="Arial"/>
        </w:rPr>
      </w:pPr>
      <w:r w:rsidRPr="00051B46">
        <w:rPr>
          <w:rFonts w:ascii="Arial" w:hAnsi="Arial" w:cs="Arial"/>
        </w:rPr>
        <w:t>119</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Hernaez</w:t>
      </w:r>
      <w:proofErr w:type="spellEnd"/>
      <w:r w:rsidR="00397169" w:rsidRPr="00051B46">
        <w:rPr>
          <w:rFonts w:ascii="Arial" w:hAnsi="Arial" w:cs="Arial"/>
        </w:rPr>
        <w:t xml:space="preserve"> R, </w:t>
      </w:r>
      <w:proofErr w:type="spellStart"/>
      <w:r w:rsidR="00397169" w:rsidRPr="00051B46">
        <w:rPr>
          <w:rFonts w:ascii="Arial" w:hAnsi="Arial" w:cs="Arial"/>
        </w:rPr>
        <w:t>Lazo</w:t>
      </w:r>
      <w:proofErr w:type="spellEnd"/>
      <w:r w:rsidR="00397169" w:rsidRPr="00051B46">
        <w:rPr>
          <w:rFonts w:ascii="Arial" w:hAnsi="Arial" w:cs="Arial"/>
        </w:rPr>
        <w:t xml:space="preserve"> M, </w:t>
      </w:r>
      <w:proofErr w:type="spellStart"/>
      <w:r w:rsidR="00397169" w:rsidRPr="00051B46">
        <w:rPr>
          <w:rFonts w:ascii="Arial" w:hAnsi="Arial" w:cs="Arial"/>
        </w:rPr>
        <w:t>Bonekamp</w:t>
      </w:r>
      <w:proofErr w:type="spellEnd"/>
      <w:r w:rsidR="00397169" w:rsidRPr="00051B46">
        <w:rPr>
          <w:rFonts w:ascii="Arial" w:hAnsi="Arial" w:cs="Arial"/>
        </w:rPr>
        <w:t xml:space="preserve"> S, et al. Diagnostic accuracy and reliability of ultrasonography for the detection of fatty liver: a meta-analysis. Hepatology. </w:t>
      </w:r>
      <w:proofErr w:type="gramStart"/>
      <w:r w:rsidR="00397169" w:rsidRPr="00051B46">
        <w:rPr>
          <w:rFonts w:ascii="Arial" w:hAnsi="Arial" w:cs="Arial"/>
        </w:rPr>
        <w:t>2011;54:1082</w:t>
      </w:r>
      <w:proofErr w:type="gramEnd"/>
      <w:r w:rsidR="00397169" w:rsidRPr="00051B46">
        <w:rPr>
          <w:rFonts w:ascii="Arial" w:hAnsi="Arial" w:cs="Arial"/>
        </w:rPr>
        <w:t xml:space="preserve">-90. </w:t>
      </w:r>
    </w:p>
    <w:p w14:paraId="14688D33" w14:textId="5E9A1A62" w:rsidR="00397169" w:rsidRPr="00051B46" w:rsidRDefault="00486A32" w:rsidP="00690F26">
      <w:pPr>
        <w:spacing w:after="0" w:line="276" w:lineRule="auto"/>
        <w:ind w:left="576" w:hanging="576"/>
        <w:rPr>
          <w:rFonts w:ascii="Arial" w:hAnsi="Arial" w:cs="Arial"/>
        </w:rPr>
      </w:pPr>
      <w:r w:rsidRPr="00051B46">
        <w:rPr>
          <w:rFonts w:ascii="Arial" w:hAnsi="Arial" w:cs="Arial"/>
        </w:rPr>
        <w:t>120</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Bril</w:t>
      </w:r>
      <w:proofErr w:type="spellEnd"/>
      <w:r w:rsidR="00397169" w:rsidRPr="00051B46">
        <w:rPr>
          <w:rFonts w:ascii="Arial" w:hAnsi="Arial" w:cs="Arial"/>
        </w:rPr>
        <w:t xml:space="preserve"> F, Ortiz-Lopez C, </w:t>
      </w:r>
      <w:proofErr w:type="spellStart"/>
      <w:r w:rsidR="00397169" w:rsidRPr="00051B46">
        <w:rPr>
          <w:rFonts w:ascii="Arial" w:hAnsi="Arial" w:cs="Arial"/>
        </w:rPr>
        <w:t>Lomonaco</w:t>
      </w:r>
      <w:proofErr w:type="spellEnd"/>
      <w:r w:rsidR="00397169" w:rsidRPr="00051B46">
        <w:rPr>
          <w:rFonts w:ascii="Arial" w:hAnsi="Arial" w:cs="Arial"/>
        </w:rPr>
        <w:t xml:space="preserve"> R, et al. Clinical value of liver ultrasound for the diagnosis of nonalcoholic fatty liver disease in overweight and obese patients. Liver Int. </w:t>
      </w:r>
      <w:proofErr w:type="gramStart"/>
      <w:r w:rsidR="00397169" w:rsidRPr="00051B46">
        <w:rPr>
          <w:rFonts w:ascii="Arial" w:hAnsi="Arial" w:cs="Arial"/>
        </w:rPr>
        <w:t>2015;35:2139</w:t>
      </w:r>
      <w:proofErr w:type="gramEnd"/>
      <w:r w:rsidR="00397169" w:rsidRPr="00051B46">
        <w:rPr>
          <w:rFonts w:ascii="Arial" w:hAnsi="Arial" w:cs="Arial"/>
        </w:rPr>
        <w:t xml:space="preserve">-46. </w:t>
      </w:r>
    </w:p>
    <w:p w14:paraId="09FD9175" w14:textId="58F31C42" w:rsidR="00397169" w:rsidRPr="00051B46" w:rsidRDefault="00B565FE" w:rsidP="00690F26">
      <w:pPr>
        <w:spacing w:after="0" w:line="276" w:lineRule="auto"/>
        <w:ind w:left="576" w:hanging="576"/>
        <w:rPr>
          <w:rFonts w:ascii="Arial" w:hAnsi="Arial" w:cs="Arial"/>
        </w:rPr>
      </w:pPr>
      <w:r w:rsidRPr="00051B46">
        <w:rPr>
          <w:rFonts w:ascii="Arial" w:hAnsi="Arial" w:cs="Arial"/>
        </w:rPr>
        <w:t>121</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Karlas</w:t>
      </w:r>
      <w:proofErr w:type="spellEnd"/>
      <w:r w:rsidR="00397169" w:rsidRPr="00051B46">
        <w:rPr>
          <w:rFonts w:ascii="Arial" w:hAnsi="Arial" w:cs="Arial"/>
        </w:rPr>
        <w:t xml:space="preserve"> T, Petroff D, </w:t>
      </w:r>
      <w:proofErr w:type="spellStart"/>
      <w:r w:rsidR="00397169" w:rsidRPr="00051B46">
        <w:rPr>
          <w:rFonts w:ascii="Arial" w:hAnsi="Arial" w:cs="Arial"/>
        </w:rPr>
        <w:t>Sasso</w:t>
      </w:r>
      <w:proofErr w:type="spellEnd"/>
      <w:r w:rsidR="00397169" w:rsidRPr="00051B46">
        <w:rPr>
          <w:rFonts w:ascii="Arial" w:hAnsi="Arial" w:cs="Arial"/>
        </w:rPr>
        <w:t xml:space="preserve"> M, et al. Individual patient data meta-analysis of controlled attenuation parameter (CAP) technology for assessing steatosis. J </w:t>
      </w:r>
      <w:proofErr w:type="spellStart"/>
      <w:r w:rsidR="00397169" w:rsidRPr="00051B46">
        <w:rPr>
          <w:rFonts w:ascii="Arial" w:hAnsi="Arial" w:cs="Arial"/>
        </w:rPr>
        <w:t>Hepatol</w:t>
      </w:r>
      <w:proofErr w:type="spellEnd"/>
      <w:r w:rsidR="00397169" w:rsidRPr="00051B46">
        <w:rPr>
          <w:rFonts w:ascii="Arial" w:hAnsi="Arial" w:cs="Arial"/>
        </w:rPr>
        <w:t xml:space="preserve">. </w:t>
      </w:r>
      <w:proofErr w:type="gramStart"/>
      <w:r w:rsidR="00397169" w:rsidRPr="00051B46">
        <w:rPr>
          <w:rFonts w:ascii="Arial" w:hAnsi="Arial" w:cs="Arial"/>
        </w:rPr>
        <w:t>2017;66:1022</w:t>
      </w:r>
      <w:proofErr w:type="gramEnd"/>
      <w:r w:rsidR="00397169" w:rsidRPr="00051B46">
        <w:rPr>
          <w:rFonts w:ascii="Arial" w:hAnsi="Arial" w:cs="Arial"/>
        </w:rPr>
        <w:t xml:space="preserve">-30. </w:t>
      </w:r>
    </w:p>
    <w:p w14:paraId="5FC1E442" w14:textId="018FF715" w:rsidR="00397169" w:rsidRPr="00051B46" w:rsidRDefault="00B565FE" w:rsidP="00690F26">
      <w:pPr>
        <w:spacing w:after="0" w:line="276" w:lineRule="auto"/>
        <w:ind w:left="576" w:hanging="576"/>
        <w:rPr>
          <w:rFonts w:ascii="Arial" w:hAnsi="Arial" w:cs="Arial"/>
        </w:rPr>
      </w:pPr>
      <w:r w:rsidRPr="00051B46">
        <w:rPr>
          <w:rFonts w:ascii="Arial" w:hAnsi="Arial" w:cs="Arial"/>
        </w:rPr>
        <w:t>122</w:t>
      </w:r>
      <w:r w:rsidR="00397169" w:rsidRPr="00051B46">
        <w:rPr>
          <w:rFonts w:ascii="Arial" w:hAnsi="Arial" w:cs="Arial"/>
        </w:rPr>
        <w:t>.</w:t>
      </w:r>
      <w:r w:rsidR="00397169" w:rsidRPr="00051B46">
        <w:rPr>
          <w:rFonts w:ascii="Arial" w:hAnsi="Arial" w:cs="Arial"/>
        </w:rPr>
        <w:tab/>
        <w:t xml:space="preserve">Runge JH, Smits LP, </w:t>
      </w:r>
      <w:proofErr w:type="spellStart"/>
      <w:r w:rsidR="00397169" w:rsidRPr="00051B46">
        <w:rPr>
          <w:rFonts w:ascii="Arial" w:hAnsi="Arial" w:cs="Arial"/>
        </w:rPr>
        <w:t>Verheij</w:t>
      </w:r>
      <w:proofErr w:type="spellEnd"/>
      <w:r w:rsidR="00397169" w:rsidRPr="00051B46">
        <w:rPr>
          <w:rFonts w:ascii="Arial" w:hAnsi="Arial" w:cs="Arial"/>
        </w:rPr>
        <w:t xml:space="preserve"> J, et al. MR spectroscopy–derived proton density fat fraction is superior to controlled attenuation parameter for detecting and grading hepatic steatosis. Radiology. </w:t>
      </w:r>
      <w:proofErr w:type="gramStart"/>
      <w:r w:rsidR="00397169" w:rsidRPr="00051B46">
        <w:rPr>
          <w:rFonts w:ascii="Arial" w:hAnsi="Arial" w:cs="Arial"/>
        </w:rPr>
        <w:t>2018;286:547</w:t>
      </w:r>
      <w:proofErr w:type="gramEnd"/>
      <w:r w:rsidR="00397169" w:rsidRPr="00051B46">
        <w:rPr>
          <w:rFonts w:ascii="Arial" w:hAnsi="Arial" w:cs="Arial"/>
        </w:rPr>
        <w:t>-56.</w:t>
      </w:r>
    </w:p>
    <w:p w14:paraId="2C5E9F01" w14:textId="0B0691B6" w:rsidR="00397169" w:rsidRPr="00051B46" w:rsidRDefault="007F5B92" w:rsidP="00690F26">
      <w:pPr>
        <w:spacing w:after="0" w:line="276" w:lineRule="auto"/>
        <w:ind w:left="576" w:hanging="576"/>
        <w:rPr>
          <w:rFonts w:ascii="Arial" w:hAnsi="Arial" w:cs="Arial"/>
        </w:rPr>
      </w:pPr>
      <w:r w:rsidRPr="00051B46">
        <w:rPr>
          <w:rFonts w:ascii="Arial" w:hAnsi="Arial" w:cs="Arial"/>
        </w:rPr>
        <w:t>123</w:t>
      </w:r>
      <w:r w:rsidR="00397169" w:rsidRPr="00051B46">
        <w:rPr>
          <w:rFonts w:ascii="Arial" w:hAnsi="Arial" w:cs="Arial"/>
        </w:rPr>
        <w:t xml:space="preserve">. </w:t>
      </w:r>
      <w:r w:rsidR="00397169" w:rsidRPr="00051B46">
        <w:rPr>
          <w:rFonts w:ascii="Arial" w:hAnsi="Arial" w:cs="Arial"/>
        </w:rPr>
        <w:tab/>
        <w:t xml:space="preserve">Kleiner DE, Brunt EM, Van Natta M, et al. Design and validation of a histological scoring system for nonalcoholic fatty liver disease. Hepatology. </w:t>
      </w:r>
      <w:proofErr w:type="gramStart"/>
      <w:r w:rsidR="00397169" w:rsidRPr="00051B46">
        <w:rPr>
          <w:rFonts w:ascii="Arial" w:hAnsi="Arial" w:cs="Arial"/>
        </w:rPr>
        <w:t>2005;41:1313</w:t>
      </w:r>
      <w:proofErr w:type="gramEnd"/>
      <w:r w:rsidR="00397169" w:rsidRPr="00051B46">
        <w:rPr>
          <w:rFonts w:ascii="Arial" w:hAnsi="Arial" w:cs="Arial"/>
        </w:rPr>
        <w:t xml:space="preserve">-21. </w:t>
      </w:r>
    </w:p>
    <w:p w14:paraId="4506B9D6" w14:textId="1610A59F" w:rsidR="00397169" w:rsidRPr="00051B46" w:rsidRDefault="007F5B92" w:rsidP="00690F26">
      <w:pPr>
        <w:spacing w:after="0" w:line="276" w:lineRule="auto"/>
        <w:ind w:left="576" w:hanging="576"/>
        <w:rPr>
          <w:rFonts w:ascii="Arial" w:hAnsi="Arial" w:cs="Arial"/>
        </w:rPr>
      </w:pPr>
      <w:r w:rsidRPr="00051B46">
        <w:rPr>
          <w:rFonts w:ascii="Arial" w:hAnsi="Arial" w:cs="Arial"/>
        </w:rPr>
        <w:t>124</w:t>
      </w:r>
      <w:r w:rsidR="00397169" w:rsidRPr="00051B46">
        <w:rPr>
          <w:rFonts w:ascii="Arial" w:hAnsi="Arial" w:cs="Arial"/>
        </w:rPr>
        <w:t xml:space="preserve">. </w:t>
      </w:r>
      <w:r w:rsidR="00397169" w:rsidRPr="00051B46">
        <w:rPr>
          <w:rFonts w:ascii="Arial" w:hAnsi="Arial" w:cs="Arial"/>
        </w:rPr>
        <w:tab/>
        <w:t xml:space="preserve">EASL. EASL–EASD–EASO clinical practice guidelines for the management of non-alcoholic fatty liver disease. J </w:t>
      </w:r>
      <w:proofErr w:type="spellStart"/>
      <w:r w:rsidR="00397169" w:rsidRPr="00051B46">
        <w:rPr>
          <w:rFonts w:ascii="Arial" w:hAnsi="Arial" w:cs="Arial"/>
        </w:rPr>
        <w:t>Hepatol</w:t>
      </w:r>
      <w:proofErr w:type="spellEnd"/>
      <w:r w:rsidR="00397169" w:rsidRPr="00051B46">
        <w:rPr>
          <w:rFonts w:ascii="Arial" w:hAnsi="Arial" w:cs="Arial"/>
        </w:rPr>
        <w:t xml:space="preserve">. </w:t>
      </w:r>
      <w:proofErr w:type="gramStart"/>
      <w:r w:rsidR="00397169" w:rsidRPr="00051B46">
        <w:rPr>
          <w:rFonts w:ascii="Arial" w:hAnsi="Arial" w:cs="Arial"/>
        </w:rPr>
        <w:t>2016;64:1388</w:t>
      </w:r>
      <w:proofErr w:type="gramEnd"/>
      <w:r w:rsidR="00397169" w:rsidRPr="00051B46">
        <w:rPr>
          <w:rFonts w:ascii="Arial" w:hAnsi="Arial" w:cs="Arial"/>
        </w:rPr>
        <w:t xml:space="preserve">-402. </w:t>
      </w:r>
    </w:p>
    <w:p w14:paraId="2E1423BB" w14:textId="17AE9413" w:rsidR="00397169" w:rsidRPr="00051B46" w:rsidRDefault="007F5B92" w:rsidP="00690F26">
      <w:pPr>
        <w:spacing w:after="0" w:line="276" w:lineRule="auto"/>
        <w:ind w:left="576" w:hanging="576"/>
        <w:rPr>
          <w:rFonts w:ascii="Arial" w:hAnsi="Arial" w:cs="Arial"/>
        </w:rPr>
      </w:pPr>
      <w:r w:rsidRPr="00051B46">
        <w:rPr>
          <w:rFonts w:ascii="Arial" w:hAnsi="Arial" w:cs="Arial"/>
        </w:rPr>
        <w:t>125</w:t>
      </w:r>
      <w:r w:rsidR="00397169" w:rsidRPr="00051B46">
        <w:rPr>
          <w:rFonts w:ascii="Arial" w:hAnsi="Arial" w:cs="Arial"/>
        </w:rPr>
        <w:t xml:space="preserve">. </w:t>
      </w:r>
      <w:r w:rsidR="00397169" w:rsidRPr="00051B46">
        <w:rPr>
          <w:rFonts w:ascii="Arial" w:hAnsi="Arial" w:cs="Arial"/>
        </w:rPr>
        <w:tab/>
        <w:t xml:space="preserve">Kleiner DE, </w:t>
      </w:r>
      <w:proofErr w:type="spellStart"/>
      <w:r w:rsidR="00397169" w:rsidRPr="00051B46">
        <w:rPr>
          <w:rFonts w:ascii="Arial" w:hAnsi="Arial" w:cs="Arial"/>
        </w:rPr>
        <w:t>Makhlouf</w:t>
      </w:r>
      <w:proofErr w:type="spellEnd"/>
      <w:r w:rsidR="00397169" w:rsidRPr="00051B46">
        <w:rPr>
          <w:rFonts w:ascii="Arial" w:hAnsi="Arial" w:cs="Arial"/>
        </w:rPr>
        <w:t xml:space="preserve"> HR. Histology of nonalcoholic fatty liver disease and nonalcoholic steatohepatitis in adults and children. Clin Liver Dis. </w:t>
      </w:r>
      <w:proofErr w:type="gramStart"/>
      <w:r w:rsidR="00397169" w:rsidRPr="00051B46">
        <w:rPr>
          <w:rFonts w:ascii="Arial" w:hAnsi="Arial" w:cs="Arial"/>
        </w:rPr>
        <w:t>2016;20:293</w:t>
      </w:r>
      <w:proofErr w:type="gramEnd"/>
      <w:r w:rsidR="00397169" w:rsidRPr="00051B46">
        <w:rPr>
          <w:rFonts w:ascii="Arial" w:hAnsi="Arial" w:cs="Arial"/>
        </w:rPr>
        <w:t xml:space="preserve">-312. </w:t>
      </w:r>
    </w:p>
    <w:p w14:paraId="55AB805E" w14:textId="1F736DCA" w:rsidR="00397169" w:rsidRPr="00051B46" w:rsidRDefault="008737FF" w:rsidP="00690F26">
      <w:pPr>
        <w:spacing w:after="0" w:line="276" w:lineRule="auto"/>
        <w:ind w:left="576" w:hanging="576"/>
        <w:rPr>
          <w:rFonts w:ascii="Arial" w:hAnsi="Arial" w:cs="Arial"/>
        </w:rPr>
      </w:pPr>
      <w:r w:rsidRPr="00051B46">
        <w:rPr>
          <w:rFonts w:ascii="Arial" w:hAnsi="Arial" w:cs="Arial"/>
        </w:rPr>
        <w:t>126</w:t>
      </w:r>
      <w:r w:rsidR="00397169" w:rsidRPr="00051B46">
        <w:rPr>
          <w:rFonts w:ascii="Arial" w:hAnsi="Arial" w:cs="Arial"/>
        </w:rPr>
        <w:t xml:space="preserve">. </w:t>
      </w:r>
      <w:r w:rsidR="00397169" w:rsidRPr="00051B46">
        <w:rPr>
          <w:rFonts w:ascii="Arial" w:hAnsi="Arial" w:cs="Arial"/>
        </w:rPr>
        <w:tab/>
        <w:t xml:space="preserve">Patel YA, Imperial JC, Muir AJ, et al. Baseline parameters in clinical trials for nonalcoholic steatohepatitis: recommendations from the liver forum. Gastroenterology. </w:t>
      </w:r>
      <w:proofErr w:type="gramStart"/>
      <w:r w:rsidR="00397169" w:rsidRPr="00051B46">
        <w:rPr>
          <w:rFonts w:ascii="Arial" w:hAnsi="Arial" w:cs="Arial"/>
        </w:rPr>
        <w:t>2017;153:621</w:t>
      </w:r>
      <w:proofErr w:type="gramEnd"/>
      <w:r w:rsidR="00397169" w:rsidRPr="00051B46">
        <w:rPr>
          <w:rFonts w:ascii="Arial" w:hAnsi="Arial" w:cs="Arial"/>
        </w:rPr>
        <w:t xml:space="preserve">-5. </w:t>
      </w:r>
    </w:p>
    <w:p w14:paraId="2F688245" w14:textId="2A47A827" w:rsidR="00397169" w:rsidRPr="00051B46" w:rsidRDefault="008737FF" w:rsidP="00690F26">
      <w:pPr>
        <w:spacing w:after="0" w:line="276" w:lineRule="auto"/>
        <w:ind w:left="576" w:hanging="576"/>
        <w:rPr>
          <w:rFonts w:ascii="Arial" w:hAnsi="Arial" w:cs="Arial"/>
        </w:rPr>
      </w:pPr>
      <w:r w:rsidRPr="00051B46">
        <w:rPr>
          <w:rFonts w:ascii="Arial" w:hAnsi="Arial" w:cs="Arial"/>
        </w:rPr>
        <w:t>127</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Barritt</w:t>
      </w:r>
      <w:proofErr w:type="spellEnd"/>
      <w:r w:rsidR="00397169" w:rsidRPr="00051B46">
        <w:rPr>
          <w:rFonts w:ascii="Arial" w:hAnsi="Arial" w:cs="Arial"/>
        </w:rPr>
        <w:t xml:space="preserve"> AS </w:t>
      </w:r>
      <w:proofErr w:type="spellStart"/>
      <w:r w:rsidR="00397169" w:rsidRPr="00051B46">
        <w:rPr>
          <w:rFonts w:ascii="Arial" w:hAnsi="Arial" w:cs="Arial"/>
        </w:rPr>
        <w:t>th</w:t>
      </w:r>
      <w:proofErr w:type="spellEnd"/>
      <w:r w:rsidR="00397169" w:rsidRPr="00051B46">
        <w:rPr>
          <w:rFonts w:ascii="Arial" w:hAnsi="Arial" w:cs="Arial"/>
        </w:rPr>
        <w:t xml:space="preserve">, Gitlin N, Klein S, et al. Design and rationale for a real-world observational cohort of patients with nonalcoholic fatty liver disease: The TARGET-NASH study. </w:t>
      </w:r>
      <w:proofErr w:type="spellStart"/>
      <w:r w:rsidR="00397169" w:rsidRPr="00051B46">
        <w:rPr>
          <w:rFonts w:ascii="Arial" w:hAnsi="Arial" w:cs="Arial"/>
        </w:rPr>
        <w:t>Contemp</w:t>
      </w:r>
      <w:proofErr w:type="spellEnd"/>
      <w:r w:rsidR="00397169" w:rsidRPr="00051B46">
        <w:rPr>
          <w:rFonts w:ascii="Arial" w:hAnsi="Arial" w:cs="Arial"/>
        </w:rPr>
        <w:t xml:space="preserve"> Clin Trials. </w:t>
      </w:r>
      <w:proofErr w:type="gramStart"/>
      <w:r w:rsidR="00397169" w:rsidRPr="00051B46">
        <w:rPr>
          <w:rFonts w:ascii="Arial" w:hAnsi="Arial" w:cs="Arial"/>
        </w:rPr>
        <w:t>2017;61:33</w:t>
      </w:r>
      <w:proofErr w:type="gramEnd"/>
      <w:r w:rsidR="00397169" w:rsidRPr="00051B46">
        <w:rPr>
          <w:rFonts w:ascii="Arial" w:hAnsi="Arial" w:cs="Arial"/>
        </w:rPr>
        <w:t>-38.</w:t>
      </w:r>
    </w:p>
    <w:p w14:paraId="575A6F06" w14:textId="1A0AA01F" w:rsidR="00397169" w:rsidRPr="00051B46" w:rsidRDefault="008737FF" w:rsidP="00690F26">
      <w:pPr>
        <w:spacing w:after="0" w:line="276" w:lineRule="auto"/>
        <w:ind w:left="576" w:hanging="576"/>
        <w:rPr>
          <w:rFonts w:ascii="Arial" w:hAnsi="Arial" w:cs="Arial"/>
        </w:rPr>
      </w:pPr>
      <w:r w:rsidRPr="00051B46">
        <w:rPr>
          <w:rFonts w:ascii="Arial" w:hAnsi="Arial" w:cs="Arial"/>
        </w:rPr>
        <w:t>128</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Mokdad</w:t>
      </w:r>
      <w:proofErr w:type="spellEnd"/>
      <w:r w:rsidR="00397169" w:rsidRPr="00051B46">
        <w:rPr>
          <w:rFonts w:ascii="Arial" w:hAnsi="Arial" w:cs="Arial"/>
        </w:rPr>
        <w:t xml:space="preserve"> AH, </w:t>
      </w:r>
      <w:proofErr w:type="spellStart"/>
      <w:r w:rsidR="00397169" w:rsidRPr="00051B46">
        <w:rPr>
          <w:rFonts w:ascii="Arial" w:hAnsi="Arial" w:cs="Arial"/>
        </w:rPr>
        <w:t>Serdula</w:t>
      </w:r>
      <w:proofErr w:type="spellEnd"/>
      <w:r w:rsidR="00397169" w:rsidRPr="00051B46">
        <w:rPr>
          <w:rFonts w:ascii="Arial" w:hAnsi="Arial" w:cs="Arial"/>
        </w:rPr>
        <w:t xml:space="preserve"> MK, Dietz WH, et al. The spread of the obesity epidemic in the United States, 1991-1998. J Am Med Assoc. </w:t>
      </w:r>
      <w:proofErr w:type="gramStart"/>
      <w:r w:rsidR="00397169" w:rsidRPr="00051B46">
        <w:rPr>
          <w:rFonts w:ascii="Arial" w:hAnsi="Arial" w:cs="Arial"/>
        </w:rPr>
        <w:t>1999;282:1519</w:t>
      </w:r>
      <w:proofErr w:type="gramEnd"/>
      <w:r w:rsidR="00397169" w:rsidRPr="00051B46">
        <w:rPr>
          <w:rFonts w:ascii="Arial" w:hAnsi="Arial" w:cs="Arial"/>
        </w:rPr>
        <w:t>-22.</w:t>
      </w:r>
    </w:p>
    <w:p w14:paraId="436230D7" w14:textId="24AD8D15" w:rsidR="00397169" w:rsidRPr="00051B46" w:rsidRDefault="00066D89" w:rsidP="00690F26">
      <w:pPr>
        <w:spacing w:after="0" w:line="276" w:lineRule="auto"/>
        <w:ind w:left="576" w:hanging="576"/>
        <w:rPr>
          <w:rFonts w:ascii="Arial" w:hAnsi="Arial" w:cs="Arial"/>
        </w:rPr>
      </w:pPr>
      <w:r w:rsidRPr="00051B46">
        <w:rPr>
          <w:rFonts w:ascii="Arial" w:hAnsi="Arial" w:cs="Arial"/>
        </w:rPr>
        <w:t>12</w:t>
      </w:r>
      <w:r w:rsidR="00026C47" w:rsidRPr="00051B46">
        <w:rPr>
          <w:rFonts w:ascii="Arial" w:hAnsi="Arial" w:cs="Arial"/>
        </w:rPr>
        <w:t>9</w:t>
      </w:r>
      <w:r w:rsidR="00397169" w:rsidRPr="00051B46">
        <w:rPr>
          <w:rFonts w:ascii="Arial" w:hAnsi="Arial" w:cs="Arial"/>
        </w:rPr>
        <w:t xml:space="preserve">. </w:t>
      </w:r>
      <w:r w:rsidR="00397169" w:rsidRPr="00051B46">
        <w:rPr>
          <w:rFonts w:ascii="Arial" w:hAnsi="Arial" w:cs="Arial"/>
        </w:rPr>
        <w:tab/>
        <w:t xml:space="preserve">Fox CS, </w:t>
      </w:r>
      <w:proofErr w:type="spellStart"/>
      <w:r w:rsidR="00397169" w:rsidRPr="00051B46">
        <w:rPr>
          <w:rFonts w:ascii="Arial" w:hAnsi="Arial" w:cs="Arial"/>
        </w:rPr>
        <w:t>Pencina</w:t>
      </w:r>
      <w:proofErr w:type="spellEnd"/>
      <w:r w:rsidR="00397169" w:rsidRPr="00051B46">
        <w:rPr>
          <w:rFonts w:ascii="Arial" w:hAnsi="Arial" w:cs="Arial"/>
        </w:rPr>
        <w:t xml:space="preserve"> MJ, Meigs JB, et al. Trends in the incidence of type 2 diabetes mellitus from the 1970s to the 1990s: The Framingham Heart Study. Circulation. </w:t>
      </w:r>
      <w:proofErr w:type="gramStart"/>
      <w:r w:rsidR="00397169" w:rsidRPr="00051B46">
        <w:rPr>
          <w:rFonts w:ascii="Arial" w:hAnsi="Arial" w:cs="Arial"/>
        </w:rPr>
        <w:t>2006;113:2914</w:t>
      </w:r>
      <w:proofErr w:type="gramEnd"/>
      <w:r w:rsidR="00397169" w:rsidRPr="00051B46">
        <w:rPr>
          <w:rFonts w:ascii="Arial" w:hAnsi="Arial" w:cs="Arial"/>
        </w:rPr>
        <w:t>-8.</w:t>
      </w:r>
    </w:p>
    <w:p w14:paraId="28F88505" w14:textId="310A2939" w:rsidR="00397169" w:rsidRPr="00051B46" w:rsidRDefault="00066D89" w:rsidP="00690F26">
      <w:pPr>
        <w:spacing w:after="0" w:line="276" w:lineRule="auto"/>
        <w:ind w:left="576" w:hanging="576"/>
        <w:rPr>
          <w:rFonts w:ascii="Arial" w:hAnsi="Arial" w:cs="Arial"/>
        </w:rPr>
      </w:pPr>
      <w:r w:rsidRPr="00051B46">
        <w:rPr>
          <w:rFonts w:ascii="Arial" w:hAnsi="Arial" w:cs="Arial"/>
        </w:rPr>
        <w:t>1</w:t>
      </w:r>
      <w:r w:rsidR="00026C47" w:rsidRPr="00051B46">
        <w:rPr>
          <w:rFonts w:ascii="Arial" w:hAnsi="Arial" w:cs="Arial"/>
        </w:rPr>
        <w:t>30</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Zelber-Sagi</w:t>
      </w:r>
      <w:proofErr w:type="spellEnd"/>
      <w:r w:rsidR="00397169" w:rsidRPr="00051B46">
        <w:rPr>
          <w:rFonts w:ascii="Arial" w:hAnsi="Arial" w:cs="Arial"/>
        </w:rPr>
        <w:t xml:space="preserve"> S, </w:t>
      </w:r>
      <w:proofErr w:type="spellStart"/>
      <w:r w:rsidR="00397169" w:rsidRPr="00051B46">
        <w:rPr>
          <w:rFonts w:ascii="Arial" w:hAnsi="Arial" w:cs="Arial"/>
        </w:rPr>
        <w:t>Ratziu</w:t>
      </w:r>
      <w:proofErr w:type="spellEnd"/>
      <w:r w:rsidR="00397169" w:rsidRPr="00051B46">
        <w:rPr>
          <w:rFonts w:ascii="Arial" w:hAnsi="Arial" w:cs="Arial"/>
        </w:rPr>
        <w:t xml:space="preserve"> V, Oren R. Nutrition and physical activity in NAFLD: An overview of the epidemiological evidence. World J Gastroenterol. </w:t>
      </w:r>
      <w:proofErr w:type="gramStart"/>
      <w:r w:rsidR="00397169" w:rsidRPr="00051B46">
        <w:rPr>
          <w:rFonts w:ascii="Arial" w:hAnsi="Arial" w:cs="Arial"/>
        </w:rPr>
        <w:t>2011;17:3377</w:t>
      </w:r>
      <w:proofErr w:type="gramEnd"/>
      <w:r w:rsidR="00397169" w:rsidRPr="00051B46">
        <w:rPr>
          <w:rFonts w:ascii="Arial" w:hAnsi="Arial" w:cs="Arial"/>
        </w:rPr>
        <w:t xml:space="preserve">-89. </w:t>
      </w:r>
    </w:p>
    <w:p w14:paraId="6113CD48" w14:textId="6DDC2F95" w:rsidR="00397169" w:rsidRPr="00051B46" w:rsidRDefault="00066D89" w:rsidP="00690F26">
      <w:pPr>
        <w:spacing w:after="0" w:line="276" w:lineRule="auto"/>
        <w:ind w:left="576" w:hanging="576"/>
        <w:rPr>
          <w:rFonts w:ascii="Arial" w:hAnsi="Arial" w:cs="Arial"/>
        </w:rPr>
      </w:pPr>
      <w:r w:rsidRPr="00051B46">
        <w:rPr>
          <w:rFonts w:ascii="Arial" w:hAnsi="Arial" w:cs="Arial"/>
        </w:rPr>
        <w:t>13</w:t>
      </w:r>
      <w:r w:rsidR="00026C47" w:rsidRPr="00051B46">
        <w:rPr>
          <w:rFonts w:ascii="Arial" w:hAnsi="Arial" w:cs="Arial"/>
        </w:rPr>
        <w:t>1</w:t>
      </w:r>
      <w:r w:rsidR="00397169" w:rsidRPr="00051B46">
        <w:rPr>
          <w:rFonts w:ascii="Arial" w:hAnsi="Arial" w:cs="Arial"/>
        </w:rPr>
        <w:t xml:space="preserve">. </w:t>
      </w:r>
      <w:r w:rsidR="00397169" w:rsidRPr="00051B46">
        <w:rPr>
          <w:rFonts w:ascii="Arial" w:hAnsi="Arial" w:cs="Arial"/>
        </w:rPr>
        <w:tab/>
        <w:t xml:space="preserve">Harrison SA, </w:t>
      </w:r>
      <w:proofErr w:type="spellStart"/>
      <w:r w:rsidR="00397169" w:rsidRPr="00051B46">
        <w:rPr>
          <w:rFonts w:ascii="Arial" w:hAnsi="Arial" w:cs="Arial"/>
        </w:rPr>
        <w:t>Fecht</w:t>
      </w:r>
      <w:proofErr w:type="spellEnd"/>
      <w:r w:rsidR="00397169" w:rsidRPr="00051B46">
        <w:rPr>
          <w:rFonts w:ascii="Arial" w:hAnsi="Arial" w:cs="Arial"/>
        </w:rPr>
        <w:t xml:space="preserve"> W, Brunt EM, et al. Orlistat for overweight subjects with nonalcoholic steatohepatitis: a randomized, prospective trial. Hepatology. </w:t>
      </w:r>
      <w:proofErr w:type="gramStart"/>
      <w:r w:rsidR="00397169" w:rsidRPr="00051B46">
        <w:rPr>
          <w:rFonts w:ascii="Arial" w:hAnsi="Arial" w:cs="Arial"/>
        </w:rPr>
        <w:t>2009;49:80</w:t>
      </w:r>
      <w:proofErr w:type="gramEnd"/>
      <w:r w:rsidR="00397169" w:rsidRPr="00051B46">
        <w:rPr>
          <w:rFonts w:ascii="Arial" w:hAnsi="Arial" w:cs="Arial"/>
        </w:rPr>
        <w:t>-6.</w:t>
      </w:r>
    </w:p>
    <w:p w14:paraId="4FB73366" w14:textId="331A4E58" w:rsidR="00397169" w:rsidRPr="00051B46" w:rsidRDefault="00026C47" w:rsidP="00690F26">
      <w:pPr>
        <w:spacing w:after="0" w:line="276" w:lineRule="auto"/>
        <w:ind w:left="576" w:hanging="576"/>
        <w:rPr>
          <w:rFonts w:ascii="Arial" w:hAnsi="Arial" w:cs="Arial"/>
        </w:rPr>
      </w:pPr>
      <w:r w:rsidRPr="00051B46">
        <w:rPr>
          <w:rFonts w:ascii="Arial" w:hAnsi="Arial" w:cs="Arial"/>
        </w:rPr>
        <w:t>132</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Musso</w:t>
      </w:r>
      <w:proofErr w:type="spellEnd"/>
      <w:r w:rsidR="00397169" w:rsidRPr="00051B46">
        <w:rPr>
          <w:rFonts w:ascii="Arial" w:hAnsi="Arial" w:cs="Arial"/>
        </w:rPr>
        <w:t xml:space="preserve"> G, </w:t>
      </w:r>
      <w:proofErr w:type="spellStart"/>
      <w:r w:rsidR="00397169" w:rsidRPr="00051B46">
        <w:rPr>
          <w:rFonts w:ascii="Arial" w:hAnsi="Arial" w:cs="Arial"/>
        </w:rPr>
        <w:t>Cassader</w:t>
      </w:r>
      <w:proofErr w:type="spellEnd"/>
      <w:r w:rsidR="00397169" w:rsidRPr="00051B46">
        <w:rPr>
          <w:rFonts w:ascii="Arial" w:hAnsi="Arial" w:cs="Arial"/>
        </w:rPr>
        <w:t xml:space="preserve"> M, Rosina F, et al. Impact of current treatments on liver disease, glucose metabolism and cardiovascular risk in non-alcoholic fatty liver disease </w:t>
      </w:r>
      <w:r w:rsidR="00397169" w:rsidRPr="00051B46">
        <w:rPr>
          <w:rFonts w:ascii="Arial" w:hAnsi="Arial" w:cs="Arial"/>
        </w:rPr>
        <w:lastRenderedPageBreak/>
        <w:t xml:space="preserve">(NAFLD): a systematic review and meta-analysis of </w:t>
      </w:r>
      <w:proofErr w:type="spellStart"/>
      <w:r w:rsidR="00397169" w:rsidRPr="00051B46">
        <w:rPr>
          <w:rFonts w:ascii="Arial" w:hAnsi="Arial" w:cs="Arial"/>
        </w:rPr>
        <w:t>randomised</w:t>
      </w:r>
      <w:proofErr w:type="spellEnd"/>
      <w:r w:rsidR="00397169" w:rsidRPr="00051B46">
        <w:rPr>
          <w:rFonts w:ascii="Arial" w:hAnsi="Arial" w:cs="Arial"/>
        </w:rPr>
        <w:t xml:space="preserve"> trials. </w:t>
      </w:r>
      <w:proofErr w:type="spellStart"/>
      <w:r w:rsidR="00397169" w:rsidRPr="00051B46">
        <w:rPr>
          <w:rFonts w:ascii="Arial" w:hAnsi="Arial" w:cs="Arial"/>
        </w:rPr>
        <w:t>Diabetologia</w:t>
      </w:r>
      <w:proofErr w:type="spellEnd"/>
      <w:r w:rsidR="00397169" w:rsidRPr="00051B46">
        <w:rPr>
          <w:rFonts w:ascii="Arial" w:hAnsi="Arial" w:cs="Arial"/>
        </w:rPr>
        <w:t xml:space="preserve">. </w:t>
      </w:r>
      <w:proofErr w:type="gramStart"/>
      <w:r w:rsidR="00397169" w:rsidRPr="00051B46">
        <w:rPr>
          <w:rFonts w:ascii="Arial" w:hAnsi="Arial" w:cs="Arial"/>
        </w:rPr>
        <w:t>2012;55:885</w:t>
      </w:r>
      <w:proofErr w:type="gramEnd"/>
      <w:r w:rsidR="00397169" w:rsidRPr="00051B46">
        <w:rPr>
          <w:rFonts w:ascii="Arial" w:hAnsi="Arial" w:cs="Arial"/>
        </w:rPr>
        <w:t>-904.</w:t>
      </w:r>
    </w:p>
    <w:p w14:paraId="423BADA4" w14:textId="133C54B9" w:rsidR="00397169" w:rsidRPr="00051B46" w:rsidRDefault="00026C47" w:rsidP="00690F26">
      <w:pPr>
        <w:spacing w:after="0" w:line="276" w:lineRule="auto"/>
        <w:ind w:left="576" w:hanging="576"/>
        <w:rPr>
          <w:rFonts w:ascii="Arial" w:hAnsi="Arial" w:cs="Arial"/>
        </w:rPr>
      </w:pPr>
      <w:r w:rsidRPr="00051B46">
        <w:rPr>
          <w:rFonts w:ascii="Arial" w:hAnsi="Arial" w:cs="Arial"/>
        </w:rPr>
        <w:t>13</w:t>
      </w:r>
      <w:r w:rsidR="003F5E1E" w:rsidRPr="00051B46">
        <w:rPr>
          <w:rFonts w:ascii="Arial" w:hAnsi="Arial" w:cs="Arial"/>
        </w:rPr>
        <w:t>3</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Promrat</w:t>
      </w:r>
      <w:proofErr w:type="spellEnd"/>
      <w:r w:rsidR="00397169" w:rsidRPr="00051B46">
        <w:rPr>
          <w:rFonts w:ascii="Arial" w:hAnsi="Arial" w:cs="Arial"/>
        </w:rPr>
        <w:t xml:space="preserve"> K, Kleiner DE, </w:t>
      </w:r>
      <w:proofErr w:type="spellStart"/>
      <w:r w:rsidR="00397169" w:rsidRPr="00051B46">
        <w:rPr>
          <w:rFonts w:ascii="Arial" w:hAnsi="Arial" w:cs="Arial"/>
        </w:rPr>
        <w:t>Niemeier</w:t>
      </w:r>
      <w:proofErr w:type="spellEnd"/>
      <w:r w:rsidR="00397169" w:rsidRPr="00051B46">
        <w:rPr>
          <w:rFonts w:ascii="Arial" w:hAnsi="Arial" w:cs="Arial"/>
        </w:rPr>
        <w:t xml:space="preserve"> HM, et al. Randomized controlled trial testing the effects of weight loss on nonalcoholic steatohepatitis. Hepatology. </w:t>
      </w:r>
      <w:proofErr w:type="gramStart"/>
      <w:r w:rsidR="00397169" w:rsidRPr="00051B46">
        <w:rPr>
          <w:rFonts w:ascii="Arial" w:hAnsi="Arial" w:cs="Arial"/>
        </w:rPr>
        <w:t>2010;51:121</w:t>
      </w:r>
      <w:proofErr w:type="gramEnd"/>
      <w:r w:rsidR="00397169" w:rsidRPr="00051B46">
        <w:rPr>
          <w:rFonts w:ascii="Arial" w:hAnsi="Arial" w:cs="Arial"/>
        </w:rPr>
        <w:t>-9.</w:t>
      </w:r>
    </w:p>
    <w:p w14:paraId="06814167" w14:textId="0C8AED04" w:rsidR="00397169" w:rsidRPr="00051B46" w:rsidRDefault="00026C47" w:rsidP="00690F26">
      <w:pPr>
        <w:spacing w:after="0" w:line="276" w:lineRule="auto"/>
        <w:ind w:left="576" w:hanging="576"/>
        <w:rPr>
          <w:rFonts w:ascii="Arial" w:hAnsi="Arial" w:cs="Arial"/>
        </w:rPr>
      </w:pPr>
      <w:r w:rsidRPr="00051B46">
        <w:rPr>
          <w:rFonts w:ascii="Arial" w:hAnsi="Arial" w:cs="Arial"/>
        </w:rPr>
        <w:t>13</w:t>
      </w:r>
      <w:r w:rsidR="003F5E1E" w:rsidRPr="00051B46">
        <w:rPr>
          <w:rFonts w:ascii="Arial" w:hAnsi="Arial" w:cs="Arial"/>
        </w:rPr>
        <w:t>4</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Vilar</w:t>
      </w:r>
      <w:proofErr w:type="spellEnd"/>
      <w:r w:rsidR="00397169" w:rsidRPr="00051B46">
        <w:rPr>
          <w:rFonts w:ascii="Arial" w:hAnsi="Arial" w:cs="Arial"/>
        </w:rPr>
        <w:t xml:space="preserve">-Gomez E, Martinez-Perez Y, </w:t>
      </w:r>
      <w:proofErr w:type="spellStart"/>
      <w:r w:rsidR="00397169" w:rsidRPr="00051B46">
        <w:rPr>
          <w:rFonts w:ascii="Arial" w:hAnsi="Arial" w:cs="Arial"/>
        </w:rPr>
        <w:t>Calzadilla-Bertot</w:t>
      </w:r>
      <w:proofErr w:type="spellEnd"/>
      <w:r w:rsidR="00397169" w:rsidRPr="00051B46">
        <w:rPr>
          <w:rFonts w:ascii="Arial" w:hAnsi="Arial" w:cs="Arial"/>
        </w:rPr>
        <w:t xml:space="preserve"> L, et al. Weight loss through lifestyle modification significantly reduces features of nonalcoholic steatohepatitis. Gastroenterology. </w:t>
      </w:r>
      <w:proofErr w:type="gramStart"/>
      <w:r w:rsidR="00397169" w:rsidRPr="00051B46">
        <w:rPr>
          <w:rFonts w:ascii="Arial" w:hAnsi="Arial" w:cs="Arial"/>
        </w:rPr>
        <w:t>2015;149:367</w:t>
      </w:r>
      <w:proofErr w:type="gramEnd"/>
      <w:r w:rsidR="00397169" w:rsidRPr="00051B46">
        <w:rPr>
          <w:rFonts w:ascii="Arial" w:hAnsi="Arial" w:cs="Arial"/>
        </w:rPr>
        <w:t>-78.</w:t>
      </w:r>
    </w:p>
    <w:p w14:paraId="27B6B136" w14:textId="48B36195" w:rsidR="00397169" w:rsidRPr="00051B46" w:rsidRDefault="00C30FAF" w:rsidP="00690F26">
      <w:pPr>
        <w:spacing w:after="0" w:line="276" w:lineRule="auto"/>
        <w:ind w:left="576" w:hanging="576"/>
        <w:rPr>
          <w:rFonts w:ascii="Arial" w:hAnsi="Arial" w:cs="Arial"/>
        </w:rPr>
      </w:pPr>
      <w:r w:rsidRPr="00051B46">
        <w:rPr>
          <w:rFonts w:ascii="Arial" w:hAnsi="Arial" w:cs="Arial"/>
        </w:rPr>
        <w:t>135</w:t>
      </w:r>
      <w:r w:rsidR="00397169" w:rsidRPr="00051B46">
        <w:rPr>
          <w:rFonts w:ascii="Arial" w:hAnsi="Arial" w:cs="Arial"/>
        </w:rPr>
        <w:t xml:space="preserve">. </w:t>
      </w:r>
      <w:r w:rsidR="00397169" w:rsidRPr="00051B46">
        <w:rPr>
          <w:rFonts w:ascii="Arial" w:hAnsi="Arial" w:cs="Arial"/>
        </w:rPr>
        <w:tab/>
        <w:t xml:space="preserve">Machado M, Marques-Vidal P, Cortez-Pinto H. Hepatic histology in obese patients undergoing bariatric surgery. J </w:t>
      </w:r>
      <w:proofErr w:type="spellStart"/>
      <w:r w:rsidR="00397169" w:rsidRPr="00051B46">
        <w:rPr>
          <w:rFonts w:ascii="Arial" w:hAnsi="Arial" w:cs="Arial"/>
        </w:rPr>
        <w:t>Hepatol</w:t>
      </w:r>
      <w:proofErr w:type="spellEnd"/>
      <w:r w:rsidR="00397169" w:rsidRPr="00051B46">
        <w:rPr>
          <w:rFonts w:ascii="Arial" w:hAnsi="Arial" w:cs="Arial"/>
        </w:rPr>
        <w:t xml:space="preserve">. </w:t>
      </w:r>
      <w:proofErr w:type="gramStart"/>
      <w:r w:rsidR="00397169" w:rsidRPr="00051B46">
        <w:rPr>
          <w:rFonts w:ascii="Arial" w:hAnsi="Arial" w:cs="Arial"/>
        </w:rPr>
        <w:t>2006;45:600</w:t>
      </w:r>
      <w:proofErr w:type="gramEnd"/>
      <w:r w:rsidR="00397169" w:rsidRPr="00051B46">
        <w:rPr>
          <w:rFonts w:ascii="Arial" w:hAnsi="Arial" w:cs="Arial"/>
        </w:rPr>
        <w:t>-6.</w:t>
      </w:r>
    </w:p>
    <w:p w14:paraId="26B91F37" w14:textId="24B374A3" w:rsidR="00397169" w:rsidRPr="00051B46" w:rsidRDefault="00C30FAF" w:rsidP="00690F26">
      <w:pPr>
        <w:spacing w:after="0" w:line="276" w:lineRule="auto"/>
        <w:ind w:left="576" w:hanging="576"/>
        <w:rPr>
          <w:rFonts w:ascii="Arial" w:hAnsi="Arial" w:cs="Arial"/>
        </w:rPr>
      </w:pPr>
      <w:r w:rsidRPr="00051B46">
        <w:rPr>
          <w:rFonts w:ascii="Arial" w:hAnsi="Arial" w:cs="Arial"/>
        </w:rPr>
        <w:t>136</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Mummadi</w:t>
      </w:r>
      <w:proofErr w:type="spellEnd"/>
      <w:r w:rsidR="00397169" w:rsidRPr="00051B46">
        <w:rPr>
          <w:rFonts w:ascii="Arial" w:hAnsi="Arial" w:cs="Arial"/>
        </w:rPr>
        <w:t xml:space="preserve"> RR, Kasturi KS, </w:t>
      </w:r>
      <w:proofErr w:type="spellStart"/>
      <w:r w:rsidR="00397169" w:rsidRPr="00051B46">
        <w:rPr>
          <w:rFonts w:ascii="Arial" w:hAnsi="Arial" w:cs="Arial"/>
        </w:rPr>
        <w:t>Chennareddygari</w:t>
      </w:r>
      <w:proofErr w:type="spellEnd"/>
      <w:r w:rsidR="00397169" w:rsidRPr="00051B46">
        <w:rPr>
          <w:rFonts w:ascii="Arial" w:hAnsi="Arial" w:cs="Arial"/>
        </w:rPr>
        <w:t xml:space="preserve"> S, </w:t>
      </w:r>
      <w:proofErr w:type="spellStart"/>
      <w:r w:rsidR="00397169" w:rsidRPr="00051B46">
        <w:rPr>
          <w:rFonts w:ascii="Arial" w:hAnsi="Arial" w:cs="Arial"/>
        </w:rPr>
        <w:t>Sood</w:t>
      </w:r>
      <w:proofErr w:type="spellEnd"/>
      <w:r w:rsidR="00397169" w:rsidRPr="00051B46">
        <w:rPr>
          <w:rFonts w:ascii="Arial" w:hAnsi="Arial" w:cs="Arial"/>
        </w:rPr>
        <w:t xml:space="preserve"> GK. Effect of bariatric surgery on nonalcoholic fatty liver disease: systematic review and meta-analysis. Clin Gastroenterol </w:t>
      </w:r>
      <w:proofErr w:type="spellStart"/>
      <w:r w:rsidR="00397169" w:rsidRPr="00051B46">
        <w:rPr>
          <w:rFonts w:ascii="Arial" w:hAnsi="Arial" w:cs="Arial"/>
        </w:rPr>
        <w:t>Hepatol</w:t>
      </w:r>
      <w:proofErr w:type="spellEnd"/>
      <w:r w:rsidR="00397169" w:rsidRPr="00051B46">
        <w:rPr>
          <w:rFonts w:ascii="Arial" w:hAnsi="Arial" w:cs="Arial"/>
        </w:rPr>
        <w:t xml:space="preserve">. </w:t>
      </w:r>
      <w:proofErr w:type="gramStart"/>
      <w:r w:rsidR="00397169" w:rsidRPr="00051B46">
        <w:rPr>
          <w:rFonts w:ascii="Arial" w:hAnsi="Arial" w:cs="Arial"/>
        </w:rPr>
        <w:t>2008;6:1396</w:t>
      </w:r>
      <w:proofErr w:type="gramEnd"/>
      <w:r w:rsidR="00397169" w:rsidRPr="00051B46">
        <w:rPr>
          <w:rFonts w:ascii="Arial" w:hAnsi="Arial" w:cs="Arial"/>
        </w:rPr>
        <w:t xml:space="preserve">-402. </w:t>
      </w:r>
    </w:p>
    <w:p w14:paraId="26EF361B" w14:textId="138E4D16" w:rsidR="00397169" w:rsidRPr="00051B46" w:rsidRDefault="00C30FAF" w:rsidP="00690F26">
      <w:pPr>
        <w:spacing w:after="0" w:line="276" w:lineRule="auto"/>
        <w:ind w:left="576" w:hanging="576"/>
        <w:rPr>
          <w:rFonts w:ascii="Arial" w:hAnsi="Arial" w:cs="Arial"/>
        </w:rPr>
      </w:pPr>
      <w:r w:rsidRPr="00051B46">
        <w:rPr>
          <w:rFonts w:ascii="Arial" w:hAnsi="Arial" w:cs="Arial"/>
        </w:rPr>
        <w:t>137</w:t>
      </w:r>
      <w:r w:rsidR="00397169" w:rsidRPr="00051B46">
        <w:rPr>
          <w:rFonts w:ascii="Arial" w:hAnsi="Arial" w:cs="Arial"/>
        </w:rPr>
        <w:t xml:space="preserve">. </w:t>
      </w:r>
      <w:r w:rsidR="00397169" w:rsidRPr="00051B46">
        <w:rPr>
          <w:rFonts w:ascii="Arial" w:hAnsi="Arial" w:cs="Arial"/>
        </w:rPr>
        <w:tab/>
        <w:t>Chavez-Tapia NC, Tellez-Avila FI, Barrientos-Gutierrez T, et al. Bariatric surgery for non-alcoholic steatohepatitis in obese patients. Cochrane database Syst Rev. 2010; CD007340.</w:t>
      </w:r>
    </w:p>
    <w:p w14:paraId="41FB7B55" w14:textId="552FFD7D" w:rsidR="00397169" w:rsidRPr="00051B46" w:rsidRDefault="00C30FAF" w:rsidP="00690F26">
      <w:pPr>
        <w:spacing w:after="0" w:line="276" w:lineRule="auto"/>
        <w:ind w:left="576" w:hanging="576"/>
        <w:rPr>
          <w:rFonts w:ascii="Arial" w:hAnsi="Arial" w:cs="Arial"/>
        </w:rPr>
      </w:pPr>
      <w:r w:rsidRPr="00051B46">
        <w:rPr>
          <w:rFonts w:ascii="Arial" w:hAnsi="Arial" w:cs="Arial"/>
        </w:rPr>
        <w:t>138</w:t>
      </w:r>
      <w:r w:rsidR="00397169" w:rsidRPr="00051B46">
        <w:rPr>
          <w:rFonts w:ascii="Arial" w:hAnsi="Arial" w:cs="Arial"/>
        </w:rPr>
        <w:t xml:space="preserve">. </w:t>
      </w:r>
      <w:r w:rsidR="00397169" w:rsidRPr="00051B46">
        <w:rPr>
          <w:rFonts w:ascii="Arial" w:hAnsi="Arial" w:cs="Arial"/>
        </w:rPr>
        <w:tab/>
        <w:t xml:space="preserve">Bower G, Toma T, Harling L, et al. Bariatric surgery and non-alcoholic fatty liver disease: a systematic review of liver biochemistry and histology. </w:t>
      </w:r>
      <w:proofErr w:type="spellStart"/>
      <w:r w:rsidR="00397169" w:rsidRPr="00051B46">
        <w:rPr>
          <w:rFonts w:ascii="Arial" w:hAnsi="Arial" w:cs="Arial"/>
        </w:rPr>
        <w:t>Obes</w:t>
      </w:r>
      <w:proofErr w:type="spellEnd"/>
      <w:r w:rsidR="00397169" w:rsidRPr="00051B46">
        <w:rPr>
          <w:rFonts w:ascii="Arial" w:hAnsi="Arial" w:cs="Arial"/>
        </w:rPr>
        <w:t xml:space="preserve"> Surg. </w:t>
      </w:r>
      <w:proofErr w:type="gramStart"/>
      <w:r w:rsidR="00397169" w:rsidRPr="00051B46">
        <w:rPr>
          <w:rFonts w:ascii="Arial" w:hAnsi="Arial" w:cs="Arial"/>
        </w:rPr>
        <w:t>2015;25:2280</w:t>
      </w:r>
      <w:proofErr w:type="gramEnd"/>
      <w:r w:rsidR="00397169" w:rsidRPr="00051B46">
        <w:rPr>
          <w:rFonts w:ascii="Arial" w:hAnsi="Arial" w:cs="Arial"/>
        </w:rPr>
        <w:t xml:space="preserve">-9. </w:t>
      </w:r>
    </w:p>
    <w:p w14:paraId="67B73754" w14:textId="2D1C7C9A" w:rsidR="00397169" w:rsidRPr="00051B46" w:rsidRDefault="00C30FAF" w:rsidP="00690F26">
      <w:pPr>
        <w:spacing w:after="0" w:line="276" w:lineRule="auto"/>
        <w:ind w:left="576" w:hanging="576"/>
        <w:rPr>
          <w:rFonts w:ascii="Arial" w:hAnsi="Arial" w:cs="Arial"/>
        </w:rPr>
      </w:pPr>
      <w:r w:rsidRPr="00051B46">
        <w:rPr>
          <w:rFonts w:ascii="Arial" w:hAnsi="Arial" w:cs="Arial"/>
        </w:rPr>
        <w:t>139</w:t>
      </w:r>
      <w:r w:rsidR="00397169" w:rsidRPr="00051B46">
        <w:rPr>
          <w:rFonts w:ascii="Arial" w:hAnsi="Arial" w:cs="Arial"/>
        </w:rPr>
        <w:t xml:space="preserve">. </w:t>
      </w:r>
      <w:r w:rsidR="00397169" w:rsidRPr="00051B46">
        <w:rPr>
          <w:rFonts w:ascii="Arial" w:hAnsi="Arial" w:cs="Arial"/>
        </w:rPr>
        <w:tab/>
        <w:t xml:space="preserve">Corey KE, Rinella ME.  Medical and surgical treatment options for nonalcoholic steatohepatitis. Dig Dis Sci. </w:t>
      </w:r>
      <w:proofErr w:type="gramStart"/>
      <w:r w:rsidR="00397169" w:rsidRPr="00051B46">
        <w:rPr>
          <w:rFonts w:ascii="Arial" w:hAnsi="Arial" w:cs="Arial"/>
        </w:rPr>
        <w:t>2016;61:1387</w:t>
      </w:r>
      <w:proofErr w:type="gramEnd"/>
      <w:r w:rsidR="00397169" w:rsidRPr="00051B46">
        <w:rPr>
          <w:rFonts w:ascii="Arial" w:hAnsi="Arial" w:cs="Arial"/>
        </w:rPr>
        <w:t xml:space="preserve">-97. </w:t>
      </w:r>
    </w:p>
    <w:p w14:paraId="7AD28E58" w14:textId="38E4F1C5" w:rsidR="00397169" w:rsidRPr="00051B46" w:rsidRDefault="00C30FAF" w:rsidP="00690F26">
      <w:pPr>
        <w:spacing w:after="0" w:line="276" w:lineRule="auto"/>
        <w:ind w:left="576" w:hanging="576"/>
        <w:rPr>
          <w:rFonts w:ascii="Arial" w:hAnsi="Arial" w:cs="Arial"/>
        </w:rPr>
      </w:pPr>
      <w:r w:rsidRPr="00051B46">
        <w:rPr>
          <w:rFonts w:ascii="Arial" w:hAnsi="Arial" w:cs="Arial"/>
        </w:rPr>
        <w:t>140</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Polyzos</w:t>
      </w:r>
      <w:proofErr w:type="spellEnd"/>
      <w:r w:rsidR="00397169" w:rsidRPr="00051B46">
        <w:rPr>
          <w:rFonts w:ascii="Arial" w:hAnsi="Arial" w:cs="Arial"/>
        </w:rPr>
        <w:t xml:space="preserve"> SA, </w:t>
      </w:r>
      <w:proofErr w:type="spellStart"/>
      <w:r w:rsidR="00397169" w:rsidRPr="00051B46">
        <w:rPr>
          <w:rFonts w:ascii="Arial" w:hAnsi="Arial" w:cs="Arial"/>
        </w:rPr>
        <w:t>Kountouras</w:t>
      </w:r>
      <w:proofErr w:type="spellEnd"/>
      <w:r w:rsidR="00397169" w:rsidRPr="00051B46">
        <w:rPr>
          <w:rFonts w:ascii="Arial" w:hAnsi="Arial" w:cs="Arial"/>
        </w:rPr>
        <w:t xml:space="preserve"> J, </w:t>
      </w:r>
      <w:proofErr w:type="spellStart"/>
      <w:r w:rsidR="00397169" w:rsidRPr="00051B46">
        <w:rPr>
          <w:rFonts w:ascii="Arial" w:hAnsi="Arial" w:cs="Arial"/>
        </w:rPr>
        <w:t>Mantzoros</w:t>
      </w:r>
      <w:proofErr w:type="spellEnd"/>
      <w:r w:rsidR="00397169" w:rsidRPr="00051B46">
        <w:rPr>
          <w:rFonts w:ascii="Arial" w:hAnsi="Arial" w:cs="Arial"/>
        </w:rPr>
        <w:t xml:space="preserve"> CS.  Obesity and nonalcoholic fatty liver disease: From pathophysiology to therapeutics. Metabolism. </w:t>
      </w:r>
      <w:proofErr w:type="gramStart"/>
      <w:r w:rsidR="00397169" w:rsidRPr="00051B46">
        <w:rPr>
          <w:rFonts w:ascii="Arial" w:hAnsi="Arial" w:cs="Arial"/>
        </w:rPr>
        <w:t>2019;92:82</w:t>
      </w:r>
      <w:proofErr w:type="gramEnd"/>
      <w:r w:rsidR="00397169" w:rsidRPr="00051B46">
        <w:rPr>
          <w:rFonts w:ascii="Arial" w:hAnsi="Arial" w:cs="Arial"/>
        </w:rPr>
        <w:t xml:space="preserve">-97. </w:t>
      </w:r>
    </w:p>
    <w:p w14:paraId="7AABB755" w14:textId="421BD388" w:rsidR="00397169" w:rsidRPr="00051B46" w:rsidRDefault="001B7A3A" w:rsidP="00690F26">
      <w:pPr>
        <w:spacing w:after="0" w:line="276" w:lineRule="auto"/>
        <w:ind w:left="576" w:hanging="576"/>
        <w:rPr>
          <w:rFonts w:ascii="Arial" w:hAnsi="Arial" w:cs="Arial"/>
        </w:rPr>
      </w:pPr>
      <w:r w:rsidRPr="00051B46">
        <w:rPr>
          <w:rFonts w:ascii="Arial" w:hAnsi="Arial" w:cs="Arial"/>
        </w:rPr>
        <w:t>141</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Lomonaco</w:t>
      </w:r>
      <w:proofErr w:type="spellEnd"/>
      <w:r w:rsidR="00397169" w:rsidRPr="00051B46">
        <w:rPr>
          <w:rFonts w:ascii="Arial" w:hAnsi="Arial" w:cs="Arial"/>
        </w:rPr>
        <w:t xml:space="preserve"> R, Sunny NE, </w:t>
      </w:r>
      <w:proofErr w:type="spellStart"/>
      <w:r w:rsidR="00397169" w:rsidRPr="00051B46">
        <w:rPr>
          <w:rFonts w:ascii="Arial" w:hAnsi="Arial" w:cs="Arial"/>
        </w:rPr>
        <w:t>Bril</w:t>
      </w:r>
      <w:proofErr w:type="spellEnd"/>
      <w:r w:rsidR="00397169" w:rsidRPr="00051B46">
        <w:rPr>
          <w:rFonts w:ascii="Arial" w:hAnsi="Arial" w:cs="Arial"/>
        </w:rPr>
        <w:t xml:space="preserve"> F, et al. Nonalcoholic fatty liver disease: current issues and novel treatment approaches. Drugs. </w:t>
      </w:r>
      <w:proofErr w:type="gramStart"/>
      <w:r w:rsidR="00397169" w:rsidRPr="00051B46">
        <w:rPr>
          <w:rFonts w:ascii="Arial" w:hAnsi="Arial" w:cs="Arial"/>
        </w:rPr>
        <w:t>2013;73:1</w:t>
      </w:r>
      <w:proofErr w:type="gramEnd"/>
      <w:r w:rsidR="00397169" w:rsidRPr="00051B46">
        <w:rPr>
          <w:rFonts w:ascii="Arial" w:hAnsi="Arial" w:cs="Arial"/>
        </w:rPr>
        <w:t>-14.</w:t>
      </w:r>
    </w:p>
    <w:p w14:paraId="28A53157" w14:textId="408ECE64" w:rsidR="00397169" w:rsidRPr="00051B46" w:rsidRDefault="001B7A3A" w:rsidP="00690F26">
      <w:pPr>
        <w:spacing w:after="0" w:line="276" w:lineRule="auto"/>
        <w:ind w:left="576" w:hanging="576"/>
        <w:rPr>
          <w:rFonts w:ascii="Arial" w:hAnsi="Arial" w:cs="Arial"/>
        </w:rPr>
      </w:pPr>
      <w:r w:rsidRPr="00051B46">
        <w:rPr>
          <w:rFonts w:ascii="Arial" w:hAnsi="Arial" w:cs="Arial"/>
        </w:rPr>
        <w:t>142</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Rakoski</w:t>
      </w:r>
      <w:proofErr w:type="spellEnd"/>
      <w:r w:rsidR="00397169" w:rsidRPr="00051B46">
        <w:rPr>
          <w:rFonts w:ascii="Arial" w:hAnsi="Arial" w:cs="Arial"/>
        </w:rPr>
        <w:t xml:space="preserve"> MO, </w:t>
      </w:r>
      <w:proofErr w:type="spellStart"/>
      <w:r w:rsidR="00397169" w:rsidRPr="00051B46">
        <w:rPr>
          <w:rFonts w:ascii="Arial" w:hAnsi="Arial" w:cs="Arial"/>
        </w:rPr>
        <w:t>Singal</w:t>
      </w:r>
      <w:proofErr w:type="spellEnd"/>
      <w:r w:rsidR="00397169" w:rsidRPr="00051B46">
        <w:rPr>
          <w:rFonts w:ascii="Arial" w:hAnsi="Arial" w:cs="Arial"/>
        </w:rPr>
        <w:t xml:space="preserve"> AG, Rogers MAM, et al. Meta-analysis: insulin sensitizers for the treatment of non-alcoholic steatohepatitis. Aliment </w:t>
      </w:r>
      <w:proofErr w:type="spellStart"/>
      <w:r w:rsidR="00397169" w:rsidRPr="00051B46">
        <w:rPr>
          <w:rFonts w:ascii="Arial" w:hAnsi="Arial" w:cs="Arial"/>
        </w:rPr>
        <w:t>Pharmacol</w:t>
      </w:r>
      <w:proofErr w:type="spellEnd"/>
      <w:r w:rsidR="00397169" w:rsidRPr="00051B46">
        <w:rPr>
          <w:rFonts w:ascii="Arial" w:hAnsi="Arial" w:cs="Arial"/>
        </w:rPr>
        <w:t xml:space="preserve"> </w:t>
      </w:r>
      <w:proofErr w:type="spellStart"/>
      <w:r w:rsidR="00397169" w:rsidRPr="00051B46">
        <w:rPr>
          <w:rFonts w:ascii="Arial" w:hAnsi="Arial" w:cs="Arial"/>
        </w:rPr>
        <w:t>Ther</w:t>
      </w:r>
      <w:proofErr w:type="spellEnd"/>
      <w:r w:rsidR="00397169" w:rsidRPr="00051B46">
        <w:rPr>
          <w:rFonts w:ascii="Arial" w:hAnsi="Arial" w:cs="Arial"/>
        </w:rPr>
        <w:t xml:space="preserve">. </w:t>
      </w:r>
      <w:proofErr w:type="gramStart"/>
      <w:r w:rsidR="00397169" w:rsidRPr="00051B46">
        <w:rPr>
          <w:rFonts w:ascii="Arial" w:hAnsi="Arial" w:cs="Arial"/>
        </w:rPr>
        <w:t>2010;32:1211</w:t>
      </w:r>
      <w:proofErr w:type="gramEnd"/>
      <w:r w:rsidR="00397169" w:rsidRPr="00051B46">
        <w:rPr>
          <w:rFonts w:ascii="Arial" w:hAnsi="Arial" w:cs="Arial"/>
        </w:rPr>
        <w:t>-21.</w:t>
      </w:r>
    </w:p>
    <w:p w14:paraId="64629B03" w14:textId="41909ED5" w:rsidR="00397169" w:rsidRPr="00051B46" w:rsidRDefault="001B7A3A" w:rsidP="00690F26">
      <w:pPr>
        <w:spacing w:after="0" w:line="276" w:lineRule="auto"/>
        <w:ind w:left="576" w:hanging="576"/>
        <w:rPr>
          <w:rFonts w:ascii="Arial" w:hAnsi="Arial" w:cs="Arial"/>
        </w:rPr>
      </w:pPr>
      <w:r w:rsidRPr="00051B46">
        <w:rPr>
          <w:rFonts w:ascii="Arial" w:hAnsi="Arial" w:cs="Arial"/>
        </w:rPr>
        <w:t>143</w:t>
      </w:r>
      <w:r w:rsidR="00397169" w:rsidRPr="00051B46">
        <w:rPr>
          <w:rFonts w:ascii="Arial" w:hAnsi="Arial" w:cs="Arial"/>
        </w:rPr>
        <w:t xml:space="preserve">. </w:t>
      </w:r>
      <w:r w:rsidR="00397169" w:rsidRPr="00051B46">
        <w:rPr>
          <w:rFonts w:ascii="Arial" w:hAnsi="Arial" w:cs="Arial"/>
        </w:rPr>
        <w:tab/>
        <w:t xml:space="preserve">Belfort R, Harrison SA, Brown K, et al. A Placebo-controlled trial of pioglitazone in subjects with nonalcoholic steatohepatitis. N </w:t>
      </w:r>
      <w:proofErr w:type="spellStart"/>
      <w:r w:rsidR="00397169" w:rsidRPr="00051B46">
        <w:rPr>
          <w:rFonts w:ascii="Arial" w:hAnsi="Arial" w:cs="Arial"/>
        </w:rPr>
        <w:t>Engl</w:t>
      </w:r>
      <w:proofErr w:type="spellEnd"/>
      <w:r w:rsidR="00397169" w:rsidRPr="00051B46">
        <w:rPr>
          <w:rFonts w:ascii="Arial" w:hAnsi="Arial" w:cs="Arial"/>
        </w:rPr>
        <w:t xml:space="preserve"> J Med. </w:t>
      </w:r>
      <w:proofErr w:type="gramStart"/>
      <w:r w:rsidR="00397169" w:rsidRPr="00051B46">
        <w:rPr>
          <w:rFonts w:ascii="Arial" w:hAnsi="Arial" w:cs="Arial"/>
        </w:rPr>
        <w:t>2006;355:2297</w:t>
      </w:r>
      <w:proofErr w:type="gramEnd"/>
      <w:r w:rsidR="00397169" w:rsidRPr="00051B46">
        <w:rPr>
          <w:rFonts w:ascii="Arial" w:hAnsi="Arial" w:cs="Arial"/>
        </w:rPr>
        <w:t>-307.</w:t>
      </w:r>
    </w:p>
    <w:p w14:paraId="35E1BC13" w14:textId="642A1650" w:rsidR="00397169" w:rsidRPr="00051B46" w:rsidRDefault="001B7A3A" w:rsidP="00690F26">
      <w:pPr>
        <w:spacing w:after="0" w:line="276" w:lineRule="auto"/>
        <w:ind w:left="576" w:hanging="576"/>
        <w:rPr>
          <w:rFonts w:ascii="Arial" w:hAnsi="Arial" w:cs="Arial"/>
        </w:rPr>
      </w:pPr>
      <w:r w:rsidRPr="00051B46">
        <w:rPr>
          <w:rFonts w:ascii="Arial" w:hAnsi="Arial" w:cs="Arial"/>
        </w:rPr>
        <w:t>144</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Lomonaco</w:t>
      </w:r>
      <w:proofErr w:type="spellEnd"/>
      <w:r w:rsidR="00397169" w:rsidRPr="00051B46">
        <w:rPr>
          <w:rFonts w:ascii="Arial" w:hAnsi="Arial" w:cs="Arial"/>
        </w:rPr>
        <w:t xml:space="preserve"> R, Ortiz-Lopez C, </w:t>
      </w:r>
      <w:proofErr w:type="spellStart"/>
      <w:r w:rsidR="00397169" w:rsidRPr="00051B46">
        <w:rPr>
          <w:rFonts w:ascii="Arial" w:hAnsi="Arial" w:cs="Arial"/>
        </w:rPr>
        <w:t>Orsak</w:t>
      </w:r>
      <w:proofErr w:type="spellEnd"/>
      <w:r w:rsidR="00397169" w:rsidRPr="00051B46">
        <w:rPr>
          <w:rFonts w:ascii="Arial" w:hAnsi="Arial" w:cs="Arial"/>
        </w:rPr>
        <w:t xml:space="preserve"> B, et al. Effect of adipose tissue insulin resistance on metabolic parameters and liver histology in obese patients with nonalcoholic fatty liver disease. Hepatology. </w:t>
      </w:r>
      <w:proofErr w:type="gramStart"/>
      <w:r w:rsidR="00397169" w:rsidRPr="00051B46">
        <w:rPr>
          <w:rFonts w:ascii="Arial" w:hAnsi="Arial" w:cs="Arial"/>
        </w:rPr>
        <w:t>2012;55:1389</w:t>
      </w:r>
      <w:proofErr w:type="gramEnd"/>
      <w:r w:rsidR="00397169" w:rsidRPr="00051B46">
        <w:rPr>
          <w:rFonts w:ascii="Arial" w:hAnsi="Arial" w:cs="Arial"/>
        </w:rPr>
        <w:t>-97.</w:t>
      </w:r>
    </w:p>
    <w:p w14:paraId="2FF8F3A7" w14:textId="3DA6D919" w:rsidR="00397169" w:rsidRPr="00051B46" w:rsidRDefault="001B7A3A" w:rsidP="00690F26">
      <w:pPr>
        <w:spacing w:after="0" w:line="276" w:lineRule="auto"/>
        <w:ind w:left="576" w:hanging="576"/>
        <w:rPr>
          <w:rFonts w:ascii="Arial" w:hAnsi="Arial" w:cs="Arial"/>
        </w:rPr>
      </w:pPr>
      <w:r w:rsidRPr="00051B46">
        <w:rPr>
          <w:rFonts w:ascii="Arial" w:hAnsi="Arial" w:cs="Arial"/>
        </w:rPr>
        <w:t>145</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Gastaldelli</w:t>
      </w:r>
      <w:proofErr w:type="spellEnd"/>
      <w:r w:rsidR="00397169" w:rsidRPr="00051B46">
        <w:rPr>
          <w:rFonts w:ascii="Arial" w:hAnsi="Arial" w:cs="Arial"/>
        </w:rPr>
        <w:t xml:space="preserve"> A, Harrison S, Belfort-Aguiar R, et al. Pioglitazone in the treatment of NASH: the role of adiponectin. Aliment </w:t>
      </w:r>
      <w:proofErr w:type="spellStart"/>
      <w:r w:rsidR="00397169" w:rsidRPr="00051B46">
        <w:rPr>
          <w:rFonts w:ascii="Arial" w:hAnsi="Arial" w:cs="Arial"/>
        </w:rPr>
        <w:t>Pharmacol</w:t>
      </w:r>
      <w:proofErr w:type="spellEnd"/>
      <w:r w:rsidR="00397169" w:rsidRPr="00051B46">
        <w:rPr>
          <w:rFonts w:ascii="Arial" w:hAnsi="Arial" w:cs="Arial"/>
        </w:rPr>
        <w:t xml:space="preserve"> </w:t>
      </w:r>
      <w:proofErr w:type="spellStart"/>
      <w:r w:rsidR="00397169" w:rsidRPr="00051B46">
        <w:rPr>
          <w:rFonts w:ascii="Arial" w:hAnsi="Arial" w:cs="Arial"/>
        </w:rPr>
        <w:t>Ther</w:t>
      </w:r>
      <w:proofErr w:type="spellEnd"/>
      <w:r w:rsidR="00397169" w:rsidRPr="00051B46">
        <w:rPr>
          <w:rFonts w:ascii="Arial" w:hAnsi="Arial" w:cs="Arial"/>
        </w:rPr>
        <w:t xml:space="preserve">. </w:t>
      </w:r>
      <w:proofErr w:type="gramStart"/>
      <w:r w:rsidR="00397169" w:rsidRPr="00051B46">
        <w:rPr>
          <w:rFonts w:ascii="Arial" w:hAnsi="Arial" w:cs="Arial"/>
        </w:rPr>
        <w:t>2010;32:769</w:t>
      </w:r>
      <w:proofErr w:type="gramEnd"/>
      <w:r w:rsidR="00397169" w:rsidRPr="00051B46">
        <w:rPr>
          <w:rFonts w:ascii="Arial" w:hAnsi="Arial" w:cs="Arial"/>
        </w:rPr>
        <w:t>-75</w:t>
      </w:r>
    </w:p>
    <w:p w14:paraId="7CA823D5" w14:textId="44E36C59" w:rsidR="00397169" w:rsidRPr="00051B46" w:rsidRDefault="001B7A3A" w:rsidP="00690F26">
      <w:pPr>
        <w:spacing w:after="0" w:line="276" w:lineRule="auto"/>
        <w:ind w:left="576" w:hanging="576"/>
        <w:rPr>
          <w:rFonts w:ascii="Arial" w:hAnsi="Arial" w:cs="Arial"/>
        </w:rPr>
      </w:pPr>
      <w:r w:rsidRPr="00051B46">
        <w:rPr>
          <w:rFonts w:ascii="Arial" w:hAnsi="Arial" w:cs="Arial"/>
        </w:rPr>
        <w:t>146</w:t>
      </w:r>
      <w:r w:rsidR="00397169" w:rsidRPr="00051B46">
        <w:rPr>
          <w:rFonts w:ascii="Arial" w:hAnsi="Arial" w:cs="Arial"/>
        </w:rPr>
        <w:t xml:space="preserve">. </w:t>
      </w:r>
      <w:r w:rsidR="00397169" w:rsidRPr="00051B46">
        <w:rPr>
          <w:rFonts w:ascii="Arial" w:hAnsi="Arial" w:cs="Arial"/>
        </w:rPr>
        <w:tab/>
        <w:t xml:space="preserve"> </w:t>
      </w:r>
      <w:proofErr w:type="spellStart"/>
      <w:r w:rsidR="00397169" w:rsidRPr="00051B46">
        <w:rPr>
          <w:rFonts w:ascii="Arial" w:hAnsi="Arial" w:cs="Arial"/>
        </w:rPr>
        <w:t>Aithal</w:t>
      </w:r>
      <w:proofErr w:type="spellEnd"/>
      <w:r w:rsidR="00397169" w:rsidRPr="00051B46">
        <w:rPr>
          <w:rFonts w:ascii="Arial" w:hAnsi="Arial" w:cs="Arial"/>
        </w:rPr>
        <w:t xml:space="preserve"> GP, Thomas JA, Kaye P V, et al. Randomized, placebo-controlled trial of pioglitazone in nondiabetic subjects with nonalcoholic steatohepatitis. Gastroenterology. </w:t>
      </w:r>
      <w:proofErr w:type="gramStart"/>
      <w:r w:rsidR="00397169" w:rsidRPr="00051B46">
        <w:rPr>
          <w:rFonts w:ascii="Arial" w:hAnsi="Arial" w:cs="Arial"/>
        </w:rPr>
        <w:t>2008;135:1176</w:t>
      </w:r>
      <w:proofErr w:type="gramEnd"/>
      <w:r w:rsidR="00397169" w:rsidRPr="00051B46">
        <w:rPr>
          <w:rFonts w:ascii="Arial" w:hAnsi="Arial" w:cs="Arial"/>
        </w:rPr>
        <w:t>-84.</w:t>
      </w:r>
    </w:p>
    <w:p w14:paraId="59739E3C" w14:textId="40C02CF4" w:rsidR="00397169" w:rsidRPr="00051B46" w:rsidRDefault="001B7A3A" w:rsidP="00690F26">
      <w:pPr>
        <w:spacing w:after="0" w:line="276" w:lineRule="auto"/>
        <w:ind w:left="576" w:hanging="576"/>
        <w:rPr>
          <w:rFonts w:ascii="Arial" w:hAnsi="Arial" w:cs="Arial"/>
        </w:rPr>
      </w:pPr>
      <w:r w:rsidRPr="00051B46">
        <w:rPr>
          <w:rFonts w:ascii="Arial" w:hAnsi="Arial" w:cs="Arial"/>
        </w:rPr>
        <w:t>147</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Sanyal</w:t>
      </w:r>
      <w:proofErr w:type="spellEnd"/>
      <w:r w:rsidR="00397169" w:rsidRPr="00051B46">
        <w:rPr>
          <w:rFonts w:ascii="Arial" w:hAnsi="Arial" w:cs="Arial"/>
        </w:rPr>
        <w:t xml:space="preserve"> AJ, </w:t>
      </w:r>
      <w:proofErr w:type="spellStart"/>
      <w:r w:rsidR="00397169" w:rsidRPr="00051B46">
        <w:rPr>
          <w:rFonts w:ascii="Arial" w:hAnsi="Arial" w:cs="Arial"/>
        </w:rPr>
        <w:t>Chalasani</w:t>
      </w:r>
      <w:proofErr w:type="spellEnd"/>
      <w:r w:rsidR="00397169" w:rsidRPr="00051B46">
        <w:rPr>
          <w:rFonts w:ascii="Arial" w:hAnsi="Arial" w:cs="Arial"/>
        </w:rPr>
        <w:t xml:space="preserve"> N, </w:t>
      </w:r>
      <w:proofErr w:type="spellStart"/>
      <w:r w:rsidR="00397169" w:rsidRPr="00051B46">
        <w:rPr>
          <w:rFonts w:ascii="Arial" w:hAnsi="Arial" w:cs="Arial"/>
        </w:rPr>
        <w:t>Kowdley</w:t>
      </w:r>
      <w:proofErr w:type="spellEnd"/>
      <w:r w:rsidR="00397169" w:rsidRPr="00051B46">
        <w:rPr>
          <w:rFonts w:ascii="Arial" w:hAnsi="Arial" w:cs="Arial"/>
        </w:rPr>
        <w:t xml:space="preserve"> K</w:t>
      </w:r>
      <w:r w:rsidR="00FB0A47" w:rsidRPr="00051B46">
        <w:rPr>
          <w:rFonts w:ascii="Arial" w:hAnsi="Arial" w:cs="Arial"/>
        </w:rPr>
        <w:t>V</w:t>
      </w:r>
      <w:r w:rsidR="00C64133" w:rsidRPr="00051B46">
        <w:rPr>
          <w:rFonts w:ascii="Arial" w:hAnsi="Arial" w:cs="Arial"/>
        </w:rPr>
        <w:t>,</w:t>
      </w:r>
      <w:r w:rsidR="00397169" w:rsidRPr="00051B46">
        <w:rPr>
          <w:rFonts w:ascii="Arial" w:hAnsi="Arial" w:cs="Arial"/>
        </w:rPr>
        <w:t xml:space="preserve"> et al. Pioglitazone, vitamin E, or placebo for nonalcoholic steatohepatitis. N </w:t>
      </w:r>
      <w:proofErr w:type="spellStart"/>
      <w:r w:rsidR="00397169" w:rsidRPr="00051B46">
        <w:rPr>
          <w:rFonts w:ascii="Arial" w:hAnsi="Arial" w:cs="Arial"/>
        </w:rPr>
        <w:t>Engl</w:t>
      </w:r>
      <w:proofErr w:type="spellEnd"/>
      <w:r w:rsidR="00397169" w:rsidRPr="00051B46">
        <w:rPr>
          <w:rFonts w:ascii="Arial" w:hAnsi="Arial" w:cs="Arial"/>
        </w:rPr>
        <w:t xml:space="preserve"> J Med. </w:t>
      </w:r>
      <w:proofErr w:type="gramStart"/>
      <w:r w:rsidR="00397169" w:rsidRPr="00051B46">
        <w:rPr>
          <w:rFonts w:ascii="Arial" w:hAnsi="Arial" w:cs="Arial"/>
        </w:rPr>
        <w:t>2010;362:1675</w:t>
      </w:r>
      <w:proofErr w:type="gramEnd"/>
      <w:r w:rsidR="00397169" w:rsidRPr="00051B46">
        <w:rPr>
          <w:rFonts w:ascii="Arial" w:hAnsi="Arial" w:cs="Arial"/>
        </w:rPr>
        <w:t>-85.</w:t>
      </w:r>
    </w:p>
    <w:p w14:paraId="438A4760" w14:textId="2789559F" w:rsidR="00397169" w:rsidRPr="00051B46" w:rsidRDefault="001B7A3A" w:rsidP="00690F26">
      <w:pPr>
        <w:spacing w:after="0" w:line="276" w:lineRule="auto"/>
        <w:ind w:left="576" w:hanging="576"/>
        <w:rPr>
          <w:rFonts w:ascii="Arial" w:hAnsi="Arial" w:cs="Arial"/>
        </w:rPr>
      </w:pPr>
      <w:r w:rsidRPr="00051B46">
        <w:rPr>
          <w:rFonts w:ascii="Arial" w:hAnsi="Arial" w:cs="Arial"/>
        </w:rPr>
        <w:t>148</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Cusi</w:t>
      </w:r>
      <w:proofErr w:type="spellEnd"/>
      <w:r w:rsidR="00397169" w:rsidRPr="00051B46">
        <w:rPr>
          <w:rFonts w:ascii="Arial" w:hAnsi="Arial" w:cs="Arial"/>
        </w:rPr>
        <w:t xml:space="preserve"> K, </w:t>
      </w:r>
      <w:proofErr w:type="spellStart"/>
      <w:r w:rsidR="00397169" w:rsidRPr="00051B46">
        <w:rPr>
          <w:rFonts w:ascii="Arial" w:hAnsi="Arial" w:cs="Arial"/>
        </w:rPr>
        <w:t>Orsak</w:t>
      </w:r>
      <w:proofErr w:type="spellEnd"/>
      <w:r w:rsidR="00397169" w:rsidRPr="00051B46">
        <w:rPr>
          <w:rFonts w:ascii="Arial" w:hAnsi="Arial" w:cs="Arial"/>
        </w:rPr>
        <w:t xml:space="preserve"> B, </w:t>
      </w:r>
      <w:proofErr w:type="spellStart"/>
      <w:r w:rsidR="00397169" w:rsidRPr="00051B46">
        <w:rPr>
          <w:rFonts w:ascii="Arial" w:hAnsi="Arial" w:cs="Arial"/>
        </w:rPr>
        <w:t>Bril</w:t>
      </w:r>
      <w:proofErr w:type="spellEnd"/>
      <w:r w:rsidR="00397169" w:rsidRPr="00051B46">
        <w:rPr>
          <w:rFonts w:ascii="Arial" w:hAnsi="Arial" w:cs="Arial"/>
        </w:rPr>
        <w:t xml:space="preserve"> F, et al. Long-term pioglitazone treatment for patients with NASH and prediabetes or type 2 diabetes mellitus: a randomized controlled trial. Ann Intern Med. </w:t>
      </w:r>
      <w:proofErr w:type="gramStart"/>
      <w:r w:rsidR="00397169" w:rsidRPr="00051B46">
        <w:rPr>
          <w:rFonts w:ascii="Arial" w:hAnsi="Arial" w:cs="Arial"/>
        </w:rPr>
        <w:t>2016;165:305</w:t>
      </w:r>
      <w:proofErr w:type="gramEnd"/>
      <w:r w:rsidR="00397169" w:rsidRPr="00051B46">
        <w:rPr>
          <w:rFonts w:ascii="Arial" w:hAnsi="Arial" w:cs="Arial"/>
        </w:rPr>
        <w:t>-15.</w:t>
      </w:r>
    </w:p>
    <w:p w14:paraId="2AE11713" w14:textId="5AA68B74" w:rsidR="00397169" w:rsidRPr="00051B46" w:rsidRDefault="001B7A3A" w:rsidP="00690F26">
      <w:pPr>
        <w:spacing w:after="0" w:line="276" w:lineRule="auto"/>
        <w:ind w:left="576" w:hanging="576"/>
        <w:rPr>
          <w:rFonts w:ascii="Arial" w:hAnsi="Arial" w:cs="Arial"/>
        </w:rPr>
      </w:pPr>
      <w:r w:rsidRPr="00051B46">
        <w:rPr>
          <w:rFonts w:ascii="Arial" w:hAnsi="Arial" w:cs="Arial"/>
        </w:rPr>
        <w:t>149</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Bril</w:t>
      </w:r>
      <w:proofErr w:type="spellEnd"/>
      <w:r w:rsidR="00397169" w:rsidRPr="00051B46">
        <w:rPr>
          <w:rFonts w:ascii="Arial" w:hAnsi="Arial" w:cs="Arial"/>
        </w:rPr>
        <w:t xml:space="preserve"> F, </w:t>
      </w:r>
      <w:proofErr w:type="spellStart"/>
      <w:r w:rsidR="00397169" w:rsidRPr="00051B46">
        <w:rPr>
          <w:rFonts w:ascii="Arial" w:hAnsi="Arial" w:cs="Arial"/>
        </w:rPr>
        <w:t>Biernacki</w:t>
      </w:r>
      <w:proofErr w:type="spellEnd"/>
      <w:r w:rsidR="00397169" w:rsidRPr="00051B46">
        <w:rPr>
          <w:rFonts w:ascii="Arial" w:hAnsi="Arial" w:cs="Arial"/>
        </w:rPr>
        <w:t xml:space="preserve"> D, </w:t>
      </w:r>
      <w:proofErr w:type="spellStart"/>
      <w:r w:rsidR="00397169" w:rsidRPr="00051B46">
        <w:rPr>
          <w:rFonts w:ascii="Arial" w:hAnsi="Arial" w:cs="Arial"/>
        </w:rPr>
        <w:t>Kalavalapalli</w:t>
      </w:r>
      <w:proofErr w:type="spellEnd"/>
      <w:r w:rsidR="00397169" w:rsidRPr="00051B46">
        <w:rPr>
          <w:rFonts w:ascii="Arial" w:hAnsi="Arial" w:cs="Arial"/>
        </w:rPr>
        <w:t xml:space="preserve"> S, et al.  Role of vitamin E for nonalcoholic steatohepatitis in patients with type 2 diabetes: A randomized controlled trial.  Diabetes Care 2019;</w:t>
      </w:r>
      <w:proofErr w:type="gramStart"/>
      <w:r w:rsidR="00397169" w:rsidRPr="00051B46">
        <w:rPr>
          <w:rFonts w:ascii="Arial" w:hAnsi="Arial" w:cs="Arial"/>
        </w:rPr>
        <w:t>42:xx</w:t>
      </w:r>
      <w:proofErr w:type="gramEnd"/>
      <w:r w:rsidR="00397169" w:rsidRPr="00051B46">
        <w:rPr>
          <w:rFonts w:ascii="Arial" w:hAnsi="Arial" w:cs="Arial"/>
        </w:rPr>
        <w:t xml:space="preserve">-xx | https://doi.org/10.2337/dc19-0167  </w:t>
      </w:r>
      <w:r w:rsidR="00397169" w:rsidRPr="00804FCC">
        <w:rPr>
          <w:rFonts w:ascii="Arial" w:hAnsi="Arial" w:cs="Arial"/>
        </w:rPr>
        <w:t>(pending page assignment)</w:t>
      </w:r>
    </w:p>
    <w:p w14:paraId="183F0EA5" w14:textId="4240C10D" w:rsidR="00397169" w:rsidRPr="00051B46" w:rsidRDefault="001B7A3A" w:rsidP="00690F26">
      <w:pPr>
        <w:spacing w:after="0" w:line="276" w:lineRule="auto"/>
        <w:ind w:left="576" w:hanging="576"/>
        <w:rPr>
          <w:rFonts w:ascii="Arial" w:hAnsi="Arial" w:cs="Arial"/>
        </w:rPr>
      </w:pPr>
      <w:r w:rsidRPr="00051B46">
        <w:rPr>
          <w:rFonts w:ascii="Arial" w:hAnsi="Arial" w:cs="Arial"/>
        </w:rPr>
        <w:t>150</w:t>
      </w:r>
      <w:r w:rsidR="00397169" w:rsidRPr="00051B46">
        <w:rPr>
          <w:rFonts w:ascii="Arial" w:hAnsi="Arial" w:cs="Arial"/>
        </w:rPr>
        <w:t xml:space="preserve">. </w:t>
      </w:r>
      <w:r w:rsidR="00397169" w:rsidRPr="00051B46">
        <w:rPr>
          <w:rFonts w:ascii="Arial" w:hAnsi="Arial" w:cs="Arial"/>
        </w:rPr>
        <w:tab/>
        <w:t xml:space="preserve">Shannon CE, Daniele G, Galindo C, et al.  Pioglitazone inhibits mitochondrial pyruvate metabolism and glucose production in hepatocytes. FEBS J. 2017 Feb; 284: 451–465. </w:t>
      </w:r>
    </w:p>
    <w:p w14:paraId="46218225" w14:textId="493AD661" w:rsidR="00397169" w:rsidRPr="00051B46" w:rsidRDefault="001B7A3A" w:rsidP="00690F26">
      <w:pPr>
        <w:spacing w:after="0" w:line="276" w:lineRule="auto"/>
        <w:ind w:left="576" w:hanging="576"/>
        <w:rPr>
          <w:rFonts w:ascii="Arial" w:hAnsi="Arial" w:cs="Arial"/>
        </w:rPr>
      </w:pPr>
      <w:r w:rsidRPr="00051B46">
        <w:rPr>
          <w:rFonts w:ascii="Arial" w:hAnsi="Arial" w:cs="Arial"/>
        </w:rPr>
        <w:lastRenderedPageBreak/>
        <w:t>151</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Ratziu</w:t>
      </w:r>
      <w:proofErr w:type="spellEnd"/>
      <w:r w:rsidR="00397169" w:rsidRPr="00051B46">
        <w:rPr>
          <w:rFonts w:ascii="Arial" w:hAnsi="Arial" w:cs="Arial"/>
        </w:rPr>
        <w:t xml:space="preserve"> V, </w:t>
      </w:r>
      <w:proofErr w:type="spellStart"/>
      <w:r w:rsidR="00397169" w:rsidRPr="00051B46">
        <w:rPr>
          <w:rFonts w:ascii="Arial" w:hAnsi="Arial" w:cs="Arial"/>
        </w:rPr>
        <w:t>Giral</w:t>
      </w:r>
      <w:proofErr w:type="spellEnd"/>
      <w:r w:rsidR="00397169" w:rsidRPr="00051B46">
        <w:rPr>
          <w:rFonts w:ascii="Arial" w:hAnsi="Arial" w:cs="Arial"/>
        </w:rPr>
        <w:t xml:space="preserve"> P, </w:t>
      </w:r>
      <w:proofErr w:type="spellStart"/>
      <w:r w:rsidR="00397169" w:rsidRPr="00051B46">
        <w:rPr>
          <w:rFonts w:ascii="Arial" w:hAnsi="Arial" w:cs="Arial"/>
        </w:rPr>
        <w:t>Jacqueminet</w:t>
      </w:r>
      <w:proofErr w:type="spellEnd"/>
      <w:r w:rsidR="00397169" w:rsidRPr="00051B46">
        <w:rPr>
          <w:rFonts w:ascii="Arial" w:hAnsi="Arial" w:cs="Arial"/>
        </w:rPr>
        <w:t xml:space="preserve"> S, et al. Rosiglitazone for nonalcoholic steatohepatitis: one-year results of the randomized placebo-controlled fatty liver improvement with rosiglitazone therapy (FLIRT) trial. Gastroenterology. </w:t>
      </w:r>
      <w:proofErr w:type="gramStart"/>
      <w:r w:rsidR="00397169" w:rsidRPr="00051B46">
        <w:rPr>
          <w:rFonts w:ascii="Arial" w:hAnsi="Arial" w:cs="Arial"/>
        </w:rPr>
        <w:t>2008;135:100</w:t>
      </w:r>
      <w:proofErr w:type="gramEnd"/>
      <w:r w:rsidR="00397169" w:rsidRPr="00051B46">
        <w:rPr>
          <w:rFonts w:ascii="Arial" w:hAnsi="Arial" w:cs="Arial"/>
        </w:rPr>
        <w:t xml:space="preserve">-110. </w:t>
      </w:r>
    </w:p>
    <w:p w14:paraId="0E8A93BF" w14:textId="713F2C17" w:rsidR="00397169" w:rsidRPr="00051B46" w:rsidRDefault="001B7A3A" w:rsidP="00690F26">
      <w:pPr>
        <w:spacing w:after="0" w:line="276" w:lineRule="auto"/>
        <w:ind w:left="576" w:hanging="576"/>
        <w:rPr>
          <w:rFonts w:ascii="Arial" w:hAnsi="Arial" w:cs="Arial"/>
        </w:rPr>
      </w:pPr>
      <w:r w:rsidRPr="00051B46">
        <w:rPr>
          <w:rFonts w:ascii="Arial" w:hAnsi="Arial" w:cs="Arial"/>
        </w:rPr>
        <w:t>152</w:t>
      </w:r>
      <w:r w:rsidR="00397169" w:rsidRPr="00051B46">
        <w:rPr>
          <w:rFonts w:ascii="Arial" w:hAnsi="Arial" w:cs="Arial"/>
        </w:rPr>
        <w:t xml:space="preserve">. </w:t>
      </w:r>
      <w:r w:rsidR="00397169" w:rsidRPr="00051B46">
        <w:rPr>
          <w:rFonts w:ascii="Arial" w:hAnsi="Arial" w:cs="Arial"/>
        </w:rPr>
        <w:tab/>
        <w:t xml:space="preserve">Stefan N, </w:t>
      </w:r>
      <w:proofErr w:type="spellStart"/>
      <w:r w:rsidR="00397169" w:rsidRPr="00051B46">
        <w:rPr>
          <w:rFonts w:ascii="Arial" w:hAnsi="Arial" w:cs="Arial"/>
        </w:rPr>
        <w:t>Häring</w:t>
      </w:r>
      <w:proofErr w:type="spellEnd"/>
      <w:r w:rsidR="00397169" w:rsidRPr="00051B46">
        <w:rPr>
          <w:rFonts w:ascii="Arial" w:hAnsi="Arial" w:cs="Arial"/>
        </w:rPr>
        <w:t xml:space="preserve"> HU, </w:t>
      </w:r>
      <w:proofErr w:type="spellStart"/>
      <w:r w:rsidR="00397169" w:rsidRPr="00051B46">
        <w:rPr>
          <w:rFonts w:ascii="Arial" w:hAnsi="Arial" w:cs="Arial"/>
        </w:rPr>
        <w:t>Cusi</w:t>
      </w:r>
      <w:proofErr w:type="spellEnd"/>
      <w:r w:rsidR="00397169" w:rsidRPr="00051B46">
        <w:rPr>
          <w:rFonts w:ascii="Arial" w:hAnsi="Arial" w:cs="Arial"/>
        </w:rPr>
        <w:t xml:space="preserve"> K.  Non-alcoholic fatty liver disease: causes, diagnosis, cardiometabolic consequences, and treatment strategies.  Lancet Diabetes Endocrinol. </w:t>
      </w:r>
      <w:proofErr w:type="gramStart"/>
      <w:r w:rsidR="00397169" w:rsidRPr="00051B46">
        <w:rPr>
          <w:rFonts w:ascii="Arial" w:hAnsi="Arial" w:cs="Arial"/>
        </w:rPr>
        <w:t>2019;7:313</w:t>
      </w:r>
      <w:proofErr w:type="gramEnd"/>
      <w:r w:rsidR="00397169" w:rsidRPr="00051B46">
        <w:rPr>
          <w:rFonts w:ascii="Arial" w:hAnsi="Arial" w:cs="Arial"/>
        </w:rPr>
        <w:t>-324.</w:t>
      </w:r>
    </w:p>
    <w:p w14:paraId="7552B2BE" w14:textId="1F8B5AEE" w:rsidR="00397169" w:rsidRPr="00051B46" w:rsidRDefault="002E7B71" w:rsidP="00690F26">
      <w:pPr>
        <w:spacing w:after="0" w:line="276" w:lineRule="auto"/>
        <w:ind w:left="576" w:hanging="576"/>
        <w:rPr>
          <w:rFonts w:ascii="Arial" w:hAnsi="Arial" w:cs="Arial"/>
        </w:rPr>
      </w:pPr>
      <w:r w:rsidRPr="00051B46">
        <w:rPr>
          <w:rFonts w:ascii="Arial" w:hAnsi="Arial" w:cs="Arial"/>
        </w:rPr>
        <w:t>153</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Kernan</w:t>
      </w:r>
      <w:proofErr w:type="spellEnd"/>
      <w:r w:rsidR="00397169" w:rsidRPr="00051B46">
        <w:rPr>
          <w:rFonts w:ascii="Arial" w:hAnsi="Arial" w:cs="Arial"/>
        </w:rPr>
        <w:t xml:space="preserve"> WN, </w:t>
      </w:r>
      <w:proofErr w:type="spellStart"/>
      <w:r w:rsidR="00397169" w:rsidRPr="00051B46">
        <w:rPr>
          <w:rFonts w:ascii="Arial" w:hAnsi="Arial" w:cs="Arial"/>
        </w:rPr>
        <w:t>Viscoli</w:t>
      </w:r>
      <w:proofErr w:type="spellEnd"/>
      <w:r w:rsidR="00397169" w:rsidRPr="00051B46">
        <w:rPr>
          <w:rFonts w:ascii="Arial" w:hAnsi="Arial" w:cs="Arial"/>
        </w:rPr>
        <w:t xml:space="preserve"> CM, </w:t>
      </w:r>
      <w:proofErr w:type="spellStart"/>
      <w:r w:rsidR="00397169" w:rsidRPr="00051B46">
        <w:rPr>
          <w:rFonts w:ascii="Arial" w:hAnsi="Arial" w:cs="Arial"/>
        </w:rPr>
        <w:t>Furie</w:t>
      </w:r>
      <w:proofErr w:type="spellEnd"/>
      <w:r w:rsidR="00397169" w:rsidRPr="00051B46">
        <w:rPr>
          <w:rFonts w:ascii="Arial" w:hAnsi="Arial" w:cs="Arial"/>
        </w:rPr>
        <w:t xml:space="preserve"> KL, et al. Pioglitazone after ischemic stroke or transient ischemic attack.  N </w:t>
      </w:r>
      <w:proofErr w:type="spellStart"/>
      <w:r w:rsidR="00397169" w:rsidRPr="00051B46">
        <w:rPr>
          <w:rFonts w:ascii="Arial" w:hAnsi="Arial" w:cs="Arial"/>
        </w:rPr>
        <w:t>Engl</w:t>
      </w:r>
      <w:proofErr w:type="spellEnd"/>
      <w:r w:rsidR="00397169" w:rsidRPr="00051B46">
        <w:rPr>
          <w:rFonts w:ascii="Arial" w:hAnsi="Arial" w:cs="Arial"/>
        </w:rPr>
        <w:t xml:space="preserve"> J Med. </w:t>
      </w:r>
      <w:proofErr w:type="gramStart"/>
      <w:r w:rsidR="00397169" w:rsidRPr="00051B46">
        <w:rPr>
          <w:rFonts w:ascii="Arial" w:hAnsi="Arial" w:cs="Arial"/>
        </w:rPr>
        <w:t>2016;374:1321</w:t>
      </w:r>
      <w:proofErr w:type="gramEnd"/>
      <w:r w:rsidR="00397169" w:rsidRPr="00051B46">
        <w:rPr>
          <w:rFonts w:ascii="Arial" w:hAnsi="Arial" w:cs="Arial"/>
        </w:rPr>
        <w:t>-31.</w:t>
      </w:r>
    </w:p>
    <w:p w14:paraId="00A0113F" w14:textId="402C1794" w:rsidR="00397169" w:rsidRPr="00051B46" w:rsidRDefault="002E7B71" w:rsidP="00690F26">
      <w:pPr>
        <w:spacing w:after="0" w:line="276" w:lineRule="auto"/>
        <w:ind w:left="576" w:hanging="576"/>
        <w:rPr>
          <w:rFonts w:ascii="Arial" w:hAnsi="Arial" w:cs="Arial"/>
        </w:rPr>
      </w:pPr>
      <w:r w:rsidRPr="00051B46">
        <w:rPr>
          <w:rFonts w:ascii="Arial" w:hAnsi="Arial" w:cs="Arial"/>
        </w:rPr>
        <w:t>154</w:t>
      </w:r>
      <w:r w:rsidR="00397169" w:rsidRPr="00051B46">
        <w:rPr>
          <w:rFonts w:ascii="Arial" w:hAnsi="Arial" w:cs="Arial"/>
        </w:rPr>
        <w:t>.</w:t>
      </w:r>
      <w:r w:rsidR="00397169" w:rsidRPr="00051B46">
        <w:rPr>
          <w:rFonts w:ascii="Arial" w:hAnsi="Arial" w:cs="Arial"/>
        </w:rPr>
        <w:tab/>
        <w:t xml:space="preserve">Spence JD, </w:t>
      </w:r>
      <w:proofErr w:type="spellStart"/>
      <w:r w:rsidR="00397169" w:rsidRPr="00051B46">
        <w:rPr>
          <w:rFonts w:ascii="Arial" w:hAnsi="Arial" w:cs="Arial"/>
        </w:rPr>
        <w:t>Viscoli</w:t>
      </w:r>
      <w:proofErr w:type="spellEnd"/>
      <w:r w:rsidR="00397169" w:rsidRPr="00051B46">
        <w:rPr>
          <w:rFonts w:ascii="Arial" w:hAnsi="Arial" w:cs="Arial"/>
        </w:rPr>
        <w:t xml:space="preserve"> CM, </w:t>
      </w:r>
      <w:proofErr w:type="spellStart"/>
      <w:r w:rsidR="00397169" w:rsidRPr="00051B46">
        <w:rPr>
          <w:rFonts w:ascii="Arial" w:hAnsi="Arial" w:cs="Arial"/>
        </w:rPr>
        <w:t>Inzucchi</w:t>
      </w:r>
      <w:proofErr w:type="spellEnd"/>
      <w:r w:rsidR="00397169" w:rsidRPr="00051B46">
        <w:rPr>
          <w:rFonts w:ascii="Arial" w:hAnsi="Arial" w:cs="Arial"/>
        </w:rPr>
        <w:t xml:space="preserve"> SE, et al. Pioglitazone therapy in patients with stroke and prediabetes: A post hoc analysis of the IRIS randomized clinical trial.  JAMA Neurol. 2019 Feb 7. </w:t>
      </w:r>
      <w:proofErr w:type="spellStart"/>
      <w:r w:rsidR="00397169" w:rsidRPr="00051B46">
        <w:rPr>
          <w:rFonts w:ascii="Arial" w:hAnsi="Arial" w:cs="Arial"/>
        </w:rPr>
        <w:t>doi</w:t>
      </w:r>
      <w:proofErr w:type="spellEnd"/>
      <w:r w:rsidR="00397169" w:rsidRPr="00051B46">
        <w:rPr>
          <w:rFonts w:ascii="Arial" w:hAnsi="Arial" w:cs="Arial"/>
        </w:rPr>
        <w:t>: 10.1001/jamaneurol.2019.0079. [</w:t>
      </w:r>
      <w:proofErr w:type="spellStart"/>
      <w:r w:rsidR="00397169" w:rsidRPr="00051B46">
        <w:rPr>
          <w:rFonts w:ascii="Arial" w:hAnsi="Arial" w:cs="Arial"/>
        </w:rPr>
        <w:t>Epub</w:t>
      </w:r>
      <w:proofErr w:type="spellEnd"/>
      <w:r w:rsidR="00397169" w:rsidRPr="00051B46">
        <w:rPr>
          <w:rFonts w:ascii="Arial" w:hAnsi="Arial" w:cs="Arial"/>
        </w:rPr>
        <w:t xml:space="preserve"> ahead of print]</w:t>
      </w:r>
    </w:p>
    <w:p w14:paraId="17C258DC" w14:textId="76916EAA" w:rsidR="00397169" w:rsidRPr="00051B46" w:rsidRDefault="001D69BE" w:rsidP="00690F26">
      <w:pPr>
        <w:spacing w:after="0" w:line="276" w:lineRule="auto"/>
        <w:ind w:left="576" w:hanging="576"/>
        <w:rPr>
          <w:rFonts w:ascii="Arial" w:hAnsi="Arial" w:cs="Arial"/>
        </w:rPr>
      </w:pPr>
      <w:r w:rsidRPr="00051B46">
        <w:rPr>
          <w:rFonts w:ascii="Arial" w:hAnsi="Arial" w:cs="Arial"/>
        </w:rPr>
        <w:t>155</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Yau</w:t>
      </w:r>
      <w:proofErr w:type="spellEnd"/>
      <w:r w:rsidR="00397169" w:rsidRPr="00051B46">
        <w:rPr>
          <w:rFonts w:ascii="Arial" w:hAnsi="Arial" w:cs="Arial"/>
        </w:rPr>
        <w:t xml:space="preserve"> H, Rivera K, </w:t>
      </w:r>
      <w:proofErr w:type="spellStart"/>
      <w:r w:rsidR="00397169" w:rsidRPr="00051B46">
        <w:rPr>
          <w:rFonts w:ascii="Arial" w:hAnsi="Arial" w:cs="Arial"/>
        </w:rPr>
        <w:t>Lomonaco</w:t>
      </w:r>
      <w:proofErr w:type="spellEnd"/>
      <w:r w:rsidR="00397169" w:rsidRPr="00051B46">
        <w:rPr>
          <w:rFonts w:ascii="Arial" w:hAnsi="Arial" w:cs="Arial"/>
        </w:rPr>
        <w:t xml:space="preserve"> R, </w:t>
      </w:r>
      <w:proofErr w:type="spellStart"/>
      <w:r w:rsidR="00397169" w:rsidRPr="00051B46">
        <w:rPr>
          <w:rFonts w:ascii="Arial" w:hAnsi="Arial" w:cs="Arial"/>
        </w:rPr>
        <w:t>Cusi</w:t>
      </w:r>
      <w:proofErr w:type="spellEnd"/>
      <w:r w:rsidR="00397169" w:rsidRPr="00051B46">
        <w:rPr>
          <w:rFonts w:ascii="Arial" w:hAnsi="Arial" w:cs="Arial"/>
        </w:rPr>
        <w:t xml:space="preserve"> K. The future of thiazolidinedione therapy in the management of type 2 diabetes mellitus. </w:t>
      </w:r>
      <w:proofErr w:type="spellStart"/>
      <w:r w:rsidR="00397169" w:rsidRPr="00051B46">
        <w:rPr>
          <w:rFonts w:ascii="Arial" w:hAnsi="Arial" w:cs="Arial"/>
        </w:rPr>
        <w:t>Curr</w:t>
      </w:r>
      <w:proofErr w:type="spellEnd"/>
      <w:r w:rsidR="00397169" w:rsidRPr="00051B46">
        <w:rPr>
          <w:rFonts w:ascii="Arial" w:hAnsi="Arial" w:cs="Arial"/>
        </w:rPr>
        <w:t xml:space="preserve"> Diab Rep. 2013;13, 329-341.</w:t>
      </w:r>
    </w:p>
    <w:p w14:paraId="15D7A187" w14:textId="444F7129" w:rsidR="00397169" w:rsidRPr="00051B46" w:rsidRDefault="001D69BE" w:rsidP="00690F26">
      <w:pPr>
        <w:spacing w:after="0" w:line="276" w:lineRule="auto"/>
        <w:ind w:left="576" w:hanging="576"/>
        <w:rPr>
          <w:rFonts w:ascii="Arial" w:hAnsi="Arial" w:cs="Arial"/>
        </w:rPr>
      </w:pPr>
      <w:r w:rsidRPr="00051B46">
        <w:rPr>
          <w:rFonts w:ascii="Arial" w:hAnsi="Arial" w:cs="Arial"/>
        </w:rPr>
        <w:t>156</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Lincoff</w:t>
      </w:r>
      <w:proofErr w:type="spellEnd"/>
      <w:r w:rsidR="00397169" w:rsidRPr="00051B46">
        <w:rPr>
          <w:rFonts w:ascii="Arial" w:hAnsi="Arial" w:cs="Arial"/>
        </w:rPr>
        <w:t xml:space="preserve"> A, Wolski K, Nicholls S, Nissen S. Pioglitazone and risk of cardiovascular events in patients with type 2 diabetes mellitus. A meta-analysis of randomized trials. JAMA 2007; 298,1180-1188.</w:t>
      </w:r>
    </w:p>
    <w:p w14:paraId="0C5C8077" w14:textId="58CF9124" w:rsidR="00397169" w:rsidRPr="00051B46" w:rsidRDefault="001D69BE" w:rsidP="00690F26">
      <w:pPr>
        <w:spacing w:after="0" w:line="276" w:lineRule="auto"/>
        <w:ind w:left="576" w:hanging="576"/>
        <w:rPr>
          <w:rFonts w:ascii="Arial" w:hAnsi="Arial" w:cs="Arial"/>
        </w:rPr>
      </w:pPr>
      <w:r w:rsidRPr="00051B46">
        <w:rPr>
          <w:rFonts w:ascii="Arial" w:hAnsi="Arial" w:cs="Arial"/>
        </w:rPr>
        <w:t>157</w:t>
      </w:r>
      <w:r w:rsidR="00397169" w:rsidRPr="00051B46">
        <w:rPr>
          <w:rFonts w:ascii="Arial" w:hAnsi="Arial" w:cs="Arial"/>
        </w:rPr>
        <w:t>.</w:t>
      </w:r>
      <w:r w:rsidR="00397169" w:rsidRPr="00051B46">
        <w:rPr>
          <w:rFonts w:ascii="Arial" w:hAnsi="Arial" w:cs="Arial"/>
        </w:rPr>
        <w:tab/>
        <w:t xml:space="preserve">Mazzone T, Meyer PM, Feinstein SB et al. Effect of pioglitazone compared with glimepiride on carotid intima-media thickness in type 2 diabetes: a randomized trial. JAMA 2006; 296,2572-2581. </w:t>
      </w:r>
    </w:p>
    <w:p w14:paraId="53B90AD7" w14:textId="0D58499F" w:rsidR="00397169" w:rsidRPr="00051B46" w:rsidRDefault="001D69BE" w:rsidP="00690F26">
      <w:pPr>
        <w:spacing w:after="0" w:line="276" w:lineRule="auto"/>
        <w:ind w:left="576" w:hanging="576"/>
        <w:rPr>
          <w:rFonts w:ascii="Arial" w:hAnsi="Arial" w:cs="Arial"/>
        </w:rPr>
      </w:pPr>
      <w:r w:rsidRPr="00051B46">
        <w:rPr>
          <w:rFonts w:ascii="Arial" w:hAnsi="Arial" w:cs="Arial"/>
        </w:rPr>
        <w:t>158</w:t>
      </w:r>
      <w:r w:rsidR="00397169" w:rsidRPr="00051B46">
        <w:rPr>
          <w:rFonts w:ascii="Arial" w:hAnsi="Arial" w:cs="Arial"/>
        </w:rPr>
        <w:t>.</w:t>
      </w:r>
      <w:r w:rsidR="00397169" w:rsidRPr="00051B46">
        <w:rPr>
          <w:rFonts w:ascii="Arial" w:hAnsi="Arial" w:cs="Arial"/>
        </w:rPr>
        <w:tab/>
        <w:t>Nissen SE, Nicholls SJ, Wolski K et al</w:t>
      </w:r>
      <w:r w:rsidR="00395741" w:rsidRPr="00051B46">
        <w:rPr>
          <w:rFonts w:ascii="Arial" w:hAnsi="Arial" w:cs="Arial"/>
        </w:rPr>
        <w:t>.</w:t>
      </w:r>
      <w:r w:rsidR="00397169" w:rsidRPr="00051B46">
        <w:rPr>
          <w:rFonts w:ascii="Arial" w:hAnsi="Arial" w:cs="Arial"/>
        </w:rPr>
        <w:t xml:space="preserve"> Comparison of pioglitazone vs. glimepiride on progression of coronary atherosclerosis in patients with type 2 diabetes: the PERISCOPE randomized controlled trial. JAMA 2008; 299,1561-1573.</w:t>
      </w:r>
    </w:p>
    <w:p w14:paraId="7CE1C5BD" w14:textId="0F0D1CA6" w:rsidR="00397169" w:rsidRPr="00051B46" w:rsidRDefault="001D69BE" w:rsidP="00690F26">
      <w:pPr>
        <w:spacing w:after="0" w:line="276" w:lineRule="auto"/>
        <w:ind w:left="576" w:hanging="576"/>
        <w:rPr>
          <w:rFonts w:ascii="Arial" w:hAnsi="Arial" w:cs="Arial"/>
        </w:rPr>
      </w:pPr>
      <w:r w:rsidRPr="00051B46">
        <w:rPr>
          <w:rFonts w:ascii="Arial" w:hAnsi="Arial" w:cs="Arial"/>
        </w:rPr>
        <w:t>159</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Dormandy</w:t>
      </w:r>
      <w:proofErr w:type="spellEnd"/>
      <w:r w:rsidR="00397169" w:rsidRPr="00051B46">
        <w:rPr>
          <w:rFonts w:ascii="Arial" w:hAnsi="Arial" w:cs="Arial"/>
        </w:rPr>
        <w:t xml:space="preserve"> JA, </w:t>
      </w:r>
      <w:proofErr w:type="spellStart"/>
      <w:r w:rsidR="00397169" w:rsidRPr="00051B46">
        <w:rPr>
          <w:rFonts w:ascii="Arial" w:hAnsi="Arial" w:cs="Arial"/>
        </w:rPr>
        <w:t>Charbonnel</w:t>
      </w:r>
      <w:proofErr w:type="spellEnd"/>
      <w:r w:rsidR="00397169" w:rsidRPr="00051B46">
        <w:rPr>
          <w:rFonts w:ascii="Arial" w:hAnsi="Arial" w:cs="Arial"/>
        </w:rPr>
        <w:t xml:space="preserve"> B, </w:t>
      </w:r>
      <w:proofErr w:type="spellStart"/>
      <w:r w:rsidR="00397169" w:rsidRPr="00051B46">
        <w:rPr>
          <w:rFonts w:ascii="Arial" w:hAnsi="Arial" w:cs="Arial"/>
        </w:rPr>
        <w:t>Eckland</w:t>
      </w:r>
      <w:proofErr w:type="spellEnd"/>
      <w:r w:rsidR="00397169" w:rsidRPr="00051B46">
        <w:rPr>
          <w:rFonts w:ascii="Arial" w:hAnsi="Arial" w:cs="Arial"/>
        </w:rPr>
        <w:t xml:space="preserve"> DJ</w:t>
      </w:r>
      <w:r w:rsidR="00395741" w:rsidRPr="00051B46">
        <w:rPr>
          <w:rFonts w:ascii="Arial" w:hAnsi="Arial" w:cs="Arial"/>
        </w:rPr>
        <w:t>,</w:t>
      </w:r>
      <w:r w:rsidR="00397169" w:rsidRPr="00051B46">
        <w:rPr>
          <w:rFonts w:ascii="Arial" w:hAnsi="Arial" w:cs="Arial"/>
        </w:rPr>
        <w:t xml:space="preserve"> et al., Secondary prevention of macrovascular events in patients with type 2 diabetes in the </w:t>
      </w:r>
      <w:proofErr w:type="spellStart"/>
      <w:r w:rsidR="00397169" w:rsidRPr="00051B46">
        <w:rPr>
          <w:rFonts w:ascii="Arial" w:hAnsi="Arial" w:cs="Arial"/>
        </w:rPr>
        <w:t>PROactive</w:t>
      </w:r>
      <w:proofErr w:type="spellEnd"/>
      <w:r w:rsidR="00397169" w:rsidRPr="00051B46">
        <w:rPr>
          <w:rFonts w:ascii="Arial" w:hAnsi="Arial" w:cs="Arial"/>
        </w:rPr>
        <w:t xml:space="preserve"> Study (</w:t>
      </w:r>
      <w:proofErr w:type="spellStart"/>
      <w:r w:rsidR="00397169" w:rsidRPr="00051B46">
        <w:rPr>
          <w:rFonts w:ascii="Arial" w:hAnsi="Arial" w:cs="Arial"/>
        </w:rPr>
        <w:t>PROspective</w:t>
      </w:r>
      <w:proofErr w:type="spellEnd"/>
      <w:r w:rsidR="00397169" w:rsidRPr="00051B46">
        <w:rPr>
          <w:rFonts w:ascii="Arial" w:hAnsi="Arial" w:cs="Arial"/>
        </w:rPr>
        <w:t xml:space="preserve"> </w:t>
      </w:r>
      <w:proofErr w:type="spellStart"/>
      <w:r w:rsidR="00397169" w:rsidRPr="00051B46">
        <w:rPr>
          <w:rFonts w:ascii="Arial" w:hAnsi="Arial" w:cs="Arial"/>
        </w:rPr>
        <w:t>pioglitAzone</w:t>
      </w:r>
      <w:proofErr w:type="spellEnd"/>
      <w:r w:rsidR="00397169" w:rsidRPr="00051B46">
        <w:rPr>
          <w:rFonts w:ascii="Arial" w:hAnsi="Arial" w:cs="Arial"/>
        </w:rPr>
        <w:t xml:space="preserve"> Clinical Trial In </w:t>
      </w:r>
      <w:proofErr w:type="spellStart"/>
      <w:proofErr w:type="gramStart"/>
      <w:r w:rsidR="00397169" w:rsidRPr="00051B46">
        <w:rPr>
          <w:rFonts w:ascii="Arial" w:hAnsi="Arial" w:cs="Arial"/>
        </w:rPr>
        <w:t>macroVascular</w:t>
      </w:r>
      <w:proofErr w:type="spellEnd"/>
      <w:proofErr w:type="gramEnd"/>
      <w:r w:rsidR="00397169" w:rsidRPr="00051B46">
        <w:rPr>
          <w:rFonts w:ascii="Arial" w:hAnsi="Arial" w:cs="Arial"/>
        </w:rPr>
        <w:t xml:space="preserve"> Events): a </w:t>
      </w:r>
      <w:proofErr w:type="spellStart"/>
      <w:r w:rsidR="00397169" w:rsidRPr="00051B46">
        <w:rPr>
          <w:rFonts w:ascii="Arial" w:hAnsi="Arial" w:cs="Arial"/>
        </w:rPr>
        <w:t>randomised</w:t>
      </w:r>
      <w:proofErr w:type="spellEnd"/>
      <w:r w:rsidR="00397169" w:rsidRPr="00051B46">
        <w:rPr>
          <w:rFonts w:ascii="Arial" w:hAnsi="Arial" w:cs="Arial"/>
        </w:rPr>
        <w:t xml:space="preserve"> controlled trial. The Lancet 2005; 366,1279-1289. </w:t>
      </w:r>
    </w:p>
    <w:p w14:paraId="7C6BCDE8" w14:textId="0510D583" w:rsidR="00397169" w:rsidRPr="00051B46" w:rsidRDefault="001D69BE" w:rsidP="00690F26">
      <w:pPr>
        <w:spacing w:after="0" w:line="276" w:lineRule="auto"/>
        <w:ind w:left="576" w:hanging="576"/>
        <w:rPr>
          <w:rFonts w:ascii="Arial" w:hAnsi="Arial" w:cs="Arial"/>
        </w:rPr>
      </w:pPr>
      <w:r w:rsidRPr="00051B46">
        <w:rPr>
          <w:rFonts w:ascii="Arial" w:hAnsi="Arial" w:cs="Arial"/>
        </w:rPr>
        <w:t>160</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Zghebi</w:t>
      </w:r>
      <w:proofErr w:type="spellEnd"/>
      <w:r w:rsidR="00397169" w:rsidRPr="00051B46">
        <w:rPr>
          <w:rFonts w:ascii="Arial" w:hAnsi="Arial" w:cs="Arial"/>
        </w:rPr>
        <w:t xml:space="preserve"> SS, Steinke DT, Rutter MK, Emsley RA, Ashcroft DM. Comparative risk of major cardiovascular events associated with second-line antidiabetic treatments: a retrospective cohort study using UK primary care data linked to hospitalization and mortality records. Diabetes </w:t>
      </w:r>
      <w:proofErr w:type="spellStart"/>
      <w:r w:rsidR="00397169" w:rsidRPr="00051B46">
        <w:rPr>
          <w:rFonts w:ascii="Arial" w:hAnsi="Arial" w:cs="Arial"/>
        </w:rPr>
        <w:t>Obes</w:t>
      </w:r>
      <w:proofErr w:type="spellEnd"/>
      <w:r w:rsidR="00397169" w:rsidRPr="00051B46">
        <w:rPr>
          <w:rFonts w:ascii="Arial" w:hAnsi="Arial" w:cs="Arial"/>
        </w:rPr>
        <w:t xml:space="preserve"> </w:t>
      </w:r>
      <w:proofErr w:type="spellStart"/>
      <w:r w:rsidR="00397169" w:rsidRPr="00051B46">
        <w:rPr>
          <w:rFonts w:ascii="Arial" w:hAnsi="Arial" w:cs="Arial"/>
        </w:rPr>
        <w:t>Metab</w:t>
      </w:r>
      <w:proofErr w:type="spellEnd"/>
      <w:r w:rsidR="00397169" w:rsidRPr="00051B46">
        <w:rPr>
          <w:rFonts w:ascii="Arial" w:hAnsi="Arial" w:cs="Arial"/>
        </w:rPr>
        <w:t>. 2016;18,916-924.</w:t>
      </w:r>
    </w:p>
    <w:p w14:paraId="4EC72D00" w14:textId="1F6131DC" w:rsidR="00397169" w:rsidRPr="00051B46" w:rsidRDefault="00B7105D" w:rsidP="00690F26">
      <w:pPr>
        <w:spacing w:after="0" w:line="276" w:lineRule="auto"/>
        <w:ind w:left="576" w:hanging="576"/>
        <w:rPr>
          <w:rFonts w:ascii="Arial" w:hAnsi="Arial" w:cs="Arial"/>
        </w:rPr>
      </w:pPr>
      <w:r w:rsidRPr="00051B46">
        <w:rPr>
          <w:rFonts w:ascii="Arial" w:hAnsi="Arial" w:cs="Arial"/>
        </w:rPr>
        <w:t>161</w:t>
      </w:r>
      <w:r w:rsidR="00397169" w:rsidRPr="00051B46">
        <w:rPr>
          <w:rFonts w:ascii="Arial" w:hAnsi="Arial" w:cs="Arial"/>
        </w:rPr>
        <w:t>.</w:t>
      </w:r>
      <w:r w:rsidR="00397169" w:rsidRPr="00051B46">
        <w:rPr>
          <w:rFonts w:ascii="Arial" w:hAnsi="Arial" w:cs="Arial"/>
        </w:rPr>
        <w:tab/>
        <w:t>Clarke GD, Solis-Herrera C, Molina-Wilkins M</w:t>
      </w:r>
      <w:r w:rsidR="00A53DFC" w:rsidRPr="00051B46">
        <w:rPr>
          <w:rFonts w:ascii="Arial" w:hAnsi="Arial" w:cs="Arial"/>
        </w:rPr>
        <w:t>,</w:t>
      </w:r>
      <w:r w:rsidR="00397169" w:rsidRPr="00051B46">
        <w:rPr>
          <w:rFonts w:ascii="Arial" w:hAnsi="Arial" w:cs="Arial"/>
        </w:rPr>
        <w:t xml:space="preserve"> et al</w:t>
      </w:r>
      <w:r w:rsidR="00A53DFC" w:rsidRPr="00051B46">
        <w:rPr>
          <w:rFonts w:ascii="Arial" w:hAnsi="Arial" w:cs="Arial"/>
        </w:rPr>
        <w:t>.</w:t>
      </w:r>
      <w:r w:rsidR="00397169" w:rsidRPr="00051B46">
        <w:rPr>
          <w:rFonts w:ascii="Arial" w:hAnsi="Arial" w:cs="Arial"/>
        </w:rPr>
        <w:t xml:space="preserve"> Pioglitazone improves left ventricular diastolic function in subjects with diabetes. Diabetes Care 2017;40,1530-1536.</w:t>
      </w:r>
    </w:p>
    <w:p w14:paraId="4A162C3F" w14:textId="6EC295EB" w:rsidR="00397169" w:rsidRPr="00051B46" w:rsidRDefault="008E4FA3" w:rsidP="00690F26">
      <w:pPr>
        <w:spacing w:after="0" w:line="276" w:lineRule="auto"/>
        <w:ind w:left="576" w:hanging="576"/>
        <w:rPr>
          <w:rFonts w:ascii="Arial" w:hAnsi="Arial" w:cs="Arial"/>
        </w:rPr>
      </w:pPr>
      <w:r w:rsidRPr="00051B46">
        <w:rPr>
          <w:rFonts w:ascii="Arial" w:hAnsi="Arial" w:cs="Arial"/>
        </w:rPr>
        <w:t>162</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Lehrke</w:t>
      </w:r>
      <w:proofErr w:type="spellEnd"/>
      <w:r w:rsidR="00397169" w:rsidRPr="00051B46">
        <w:rPr>
          <w:rFonts w:ascii="Arial" w:hAnsi="Arial" w:cs="Arial"/>
        </w:rPr>
        <w:t xml:space="preserve"> M, Marx N. Diabetes mellitus and heart failure. American J Cardiology. 2017;</w:t>
      </w:r>
      <w:proofErr w:type="gramStart"/>
      <w:r w:rsidR="00397169" w:rsidRPr="00051B46">
        <w:rPr>
          <w:rFonts w:ascii="Arial" w:hAnsi="Arial" w:cs="Arial"/>
        </w:rPr>
        <w:t>120:S</w:t>
      </w:r>
      <w:proofErr w:type="gramEnd"/>
      <w:r w:rsidR="00397169" w:rsidRPr="00051B46">
        <w:rPr>
          <w:rFonts w:ascii="Arial" w:hAnsi="Arial" w:cs="Arial"/>
        </w:rPr>
        <w:t>37-s47.</w:t>
      </w:r>
    </w:p>
    <w:p w14:paraId="4FAC3F28" w14:textId="69E15BE1" w:rsidR="00397169" w:rsidRPr="00051B46" w:rsidRDefault="008E4FA3" w:rsidP="00690F26">
      <w:pPr>
        <w:spacing w:after="0" w:line="276" w:lineRule="auto"/>
        <w:ind w:left="576" w:hanging="576"/>
        <w:rPr>
          <w:rFonts w:ascii="Arial" w:hAnsi="Arial" w:cs="Arial"/>
        </w:rPr>
      </w:pPr>
      <w:r w:rsidRPr="00051B46">
        <w:rPr>
          <w:rFonts w:ascii="Arial" w:hAnsi="Arial" w:cs="Arial"/>
        </w:rPr>
        <w:t>163</w:t>
      </w:r>
      <w:r w:rsidR="00397169" w:rsidRPr="00051B46">
        <w:rPr>
          <w:rFonts w:ascii="Arial" w:hAnsi="Arial" w:cs="Arial"/>
        </w:rPr>
        <w:t>.</w:t>
      </w:r>
      <w:r w:rsidR="00397169" w:rsidRPr="00051B46">
        <w:rPr>
          <w:rFonts w:ascii="Arial" w:hAnsi="Arial" w:cs="Arial"/>
        </w:rPr>
        <w:tab/>
        <w:t xml:space="preserve">Lewis JD, </w:t>
      </w:r>
      <w:proofErr w:type="spellStart"/>
      <w:r w:rsidR="00397169" w:rsidRPr="00051B46">
        <w:rPr>
          <w:rFonts w:ascii="Arial" w:hAnsi="Arial" w:cs="Arial"/>
        </w:rPr>
        <w:t>Habel</w:t>
      </w:r>
      <w:proofErr w:type="spellEnd"/>
      <w:r w:rsidR="00397169" w:rsidRPr="00051B46">
        <w:rPr>
          <w:rFonts w:ascii="Arial" w:hAnsi="Arial" w:cs="Arial"/>
        </w:rPr>
        <w:t xml:space="preserve"> LA, </w:t>
      </w:r>
      <w:proofErr w:type="spellStart"/>
      <w:r w:rsidR="00397169" w:rsidRPr="00051B46">
        <w:rPr>
          <w:rFonts w:ascii="Arial" w:hAnsi="Arial" w:cs="Arial"/>
        </w:rPr>
        <w:t>Quesenberry</w:t>
      </w:r>
      <w:proofErr w:type="spellEnd"/>
      <w:r w:rsidR="00397169" w:rsidRPr="00051B46">
        <w:rPr>
          <w:rFonts w:ascii="Arial" w:hAnsi="Arial" w:cs="Arial"/>
        </w:rPr>
        <w:t xml:space="preserve"> CP</w:t>
      </w:r>
      <w:r w:rsidR="00A53DFC" w:rsidRPr="00051B46">
        <w:rPr>
          <w:rFonts w:ascii="Arial" w:hAnsi="Arial" w:cs="Arial"/>
        </w:rPr>
        <w:t>,</w:t>
      </w:r>
      <w:r w:rsidR="00397169" w:rsidRPr="00051B46">
        <w:rPr>
          <w:rFonts w:ascii="Arial" w:hAnsi="Arial" w:cs="Arial"/>
        </w:rPr>
        <w:t xml:space="preserve"> et al. Pioglitazone use and risk of bladder cancer and other common cancers in persons with diabetes. JAMA 2015; 314,265-277.</w:t>
      </w:r>
    </w:p>
    <w:p w14:paraId="1DFFCC4E" w14:textId="058EB57C" w:rsidR="00397169" w:rsidRPr="00051B46" w:rsidRDefault="008E4FA3" w:rsidP="00690F26">
      <w:pPr>
        <w:spacing w:after="0" w:line="276" w:lineRule="auto"/>
        <w:ind w:left="576" w:hanging="576"/>
        <w:rPr>
          <w:rFonts w:ascii="Arial" w:hAnsi="Arial" w:cs="Arial"/>
        </w:rPr>
      </w:pPr>
      <w:r w:rsidRPr="00051B46">
        <w:rPr>
          <w:rFonts w:ascii="Arial" w:hAnsi="Arial" w:cs="Arial"/>
        </w:rPr>
        <w:t>164.</w:t>
      </w:r>
      <w:r w:rsidR="00397169" w:rsidRPr="00051B46">
        <w:rPr>
          <w:rFonts w:ascii="Arial" w:hAnsi="Arial" w:cs="Arial"/>
        </w:rPr>
        <w:tab/>
        <w:t xml:space="preserve">Davidson MB, Pan D. An updated meta-analysis of pioglitazone exposure and bladder cancer and comparison to the drug's effect on cardiovascular disease and non-alcoholic steatohepatitis. Diabetes Res Clin </w:t>
      </w:r>
      <w:proofErr w:type="spellStart"/>
      <w:r w:rsidR="00397169" w:rsidRPr="00051B46">
        <w:rPr>
          <w:rFonts w:ascii="Arial" w:hAnsi="Arial" w:cs="Arial"/>
        </w:rPr>
        <w:t>Pract</w:t>
      </w:r>
      <w:proofErr w:type="spellEnd"/>
      <w:r w:rsidR="00397169" w:rsidRPr="00051B46">
        <w:rPr>
          <w:rFonts w:ascii="Arial" w:hAnsi="Arial" w:cs="Arial"/>
        </w:rPr>
        <w:t xml:space="preserve">. 2018 </w:t>
      </w:r>
      <w:proofErr w:type="gramStart"/>
      <w:r w:rsidR="00397169" w:rsidRPr="00051B46">
        <w:rPr>
          <w:rFonts w:ascii="Arial" w:hAnsi="Arial" w:cs="Arial"/>
        </w:rPr>
        <w:t>Jan;135:102</w:t>
      </w:r>
      <w:proofErr w:type="gramEnd"/>
      <w:r w:rsidR="00397169" w:rsidRPr="00051B46">
        <w:rPr>
          <w:rFonts w:ascii="Arial" w:hAnsi="Arial" w:cs="Arial"/>
        </w:rPr>
        <w:t xml:space="preserve">-110. </w:t>
      </w:r>
      <w:proofErr w:type="spellStart"/>
      <w:r w:rsidR="00397169" w:rsidRPr="00051B46">
        <w:rPr>
          <w:rFonts w:ascii="Arial" w:hAnsi="Arial" w:cs="Arial"/>
        </w:rPr>
        <w:t>doi</w:t>
      </w:r>
      <w:proofErr w:type="spellEnd"/>
      <w:r w:rsidR="00397169" w:rsidRPr="00051B46">
        <w:rPr>
          <w:rFonts w:ascii="Arial" w:hAnsi="Arial" w:cs="Arial"/>
        </w:rPr>
        <w:t xml:space="preserve">: 10.1016/j.diabres.2017.11.002. </w:t>
      </w:r>
      <w:proofErr w:type="spellStart"/>
      <w:r w:rsidR="00397169" w:rsidRPr="00051B46">
        <w:rPr>
          <w:rFonts w:ascii="Arial" w:hAnsi="Arial" w:cs="Arial"/>
        </w:rPr>
        <w:t>Epub</w:t>
      </w:r>
      <w:proofErr w:type="spellEnd"/>
      <w:r w:rsidR="00397169" w:rsidRPr="00051B46">
        <w:rPr>
          <w:rFonts w:ascii="Arial" w:hAnsi="Arial" w:cs="Arial"/>
        </w:rPr>
        <w:t xml:space="preserve"> 2017 Nov 13.</w:t>
      </w:r>
    </w:p>
    <w:p w14:paraId="794D9FF4" w14:textId="4ED51B5B" w:rsidR="00397169" w:rsidRPr="00051B46" w:rsidRDefault="00C07210" w:rsidP="00690F26">
      <w:pPr>
        <w:spacing w:after="0" w:line="276" w:lineRule="auto"/>
        <w:ind w:left="576" w:hanging="576"/>
        <w:rPr>
          <w:rFonts w:ascii="Arial" w:hAnsi="Arial" w:cs="Arial"/>
          <w:color w:val="000000" w:themeColor="text1"/>
        </w:rPr>
      </w:pPr>
      <w:r w:rsidRPr="00051B46">
        <w:rPr>
          <w:rFonts w:ascii="Arial" w:hAnsi="Arial" w:cs="Arial"/>
        </w:rPr>
        <w:t>165</w:t>
      </w:r>
      <w:r w:rsidR="00397169" w:rsidRPr="00051B46">
        <w:rPr>
          <w:rFonts w:ascii="Arial" w:hAnsi="Arial" w:cs="Arial"/>
        </w:rPr>
        <w:t>.</w:t>
      </w:r>
      <w:r w:rsidR="00397169" w:rsidRPr="00051B46">
        <w:rPr>
          <w:rFonts w:ascii="Arial" w:hAnsi="Arial" w:cs="Arial"/>
        </w:rPr>
        <w:tab/>
      </w:r>
      <w:r w:rsidR="00397169" w:rsidRPr="00051B46">
        <w:rPr>
          <w:rFonts w:ascii="Arial" w:hAnsi="Arial" w:cs="Arial"/>
          <w:color w:val="000000" w:themeColor="text1"/>
        </w:rPr>
        <w:t xml:space="preserve">Armstrong MJ, Gaunt P, </w:t>
      </w:r>
      <w:proofErr w:type="spellStart"/>
      <w:r w:rsidR="00397169" w:rsidRPr="00051B46">
        <w:rPr>
          <w:rFonts w:ascii="Arial" w:hAnsi="Arial" w:cs="Arial"/>
          <w:color w:val="000000" w:themeColor="text1"/>
        </w:rPr>
        <w:t>Aithal</w:t>
      </w:r>
      <w:proofErr w:type="spellEnd"/>
      <w:r w:rsidR="00397169" w:rsidRPr="00051B46">
        <w:rPr>
          <w:rFonts w:ascii="Arial" w:hAnsi="Arial" w:cs="Arial"/>
          <w:color w:val="000000" w:themeColor="text1"/>
        </w:rPr>
        <w:t xml:space="preserve"> GP, et al. Liraglutide safety and efficacy in patients with non-alcoholic steatohepatitis (LEAN): a </w:t>
      </w:r>
      <w:proofErr w:type="spellStart"/>
      <w:r w:rsidR="00397169" w:rsidRPr="00051B46">
        <w:rPr>
          <w:rFonts w:ascii="Arial" w:hAnsi="Arial" w:cs="Arial"/>
          <w:color w:val="000000" w:themeColor="text1"/>
        </w:rPr>
        <w:t>multicentre</w:t>
      </w:r>
      <w:proofErr w:type="spellEnd"/>
      <w:r w:rsidR="00397169" w:rsidRPr="00051B46">
        <w:rPr>
          <w:rFonts w:ascii="Arial" w:hAnsi="Arial" w:cs="Arial"/>
          <w:color w:val="000000" w:themeColor="text1"/>
        </w:rPr>
        <w:t xml:space="preserve">, double-blind, </w:t>
      </w:r>
      <w:proofErr w:type="spellStart"/>
      <w:r w:rsidR="00397169" w:rsidRPr="00051B46">
        <w:rPr>
          <w:rFonts w:ascii="Arial" w:hAnsi="Arial" w:cs="Arial"/>
          <w:color w:val="000000" w:themeColor="text1"/>
        </w:rPr>
        <w:t>randomised</w:t>
      </w:r>
      <w:proofErr w:type="spellEnd"/>
      <w:r w:rsidR="00397169" w:rsidRPr="00051B46">
        <w:rPr>
          <w:rFonts w:ascii="Arial" w:hAnsi="Arial" w:cs="Arial"/>
          <w:color w:val="000000" w:themeColor="text1"/>
        </w:rPr>
        <w:t xml:space="preserve">, placebo-controlled phase 2 study. Lancet. </w:t>
      </w:r>
      <w:proofErr w:type="gramStart"/>
      <w:r w:rsidR="00397169" w:rsidRPr="00051B46">
        <w:rPr>
          <w:rFonts w:ascii="Arial" w:hAnsi="Arial" w:cs="Arial"/>
          <w:color w:val="000000" w:themeColor="text1"/>
        </w:rPr>
        <w:t>2016;387:679</w:t>
      </w:r>
      <w:proofErr w:type="gramEnd"/>
      <w:r w:rsidR="00397169" w:rsidRPr="00051B46">
        <w:rPr>
          <w:rFonts w:ascii="Arial" w:hAnsi="Arial" w:cs="Arial"/>
          <w:color w:val="000000" w:themeColor="text1"/>
        </w:rPr>
        <w:t>-90.</w:t>
      </w:r>
    </w:p>
    <w:p w14:paraId="31FE48C1" w14:textId="60874C92" w:rsidR="00397169" w:rsidRPr="00051B46" w:rsidRDefault="00C07210" w:rsidP="00690F26">
      <w:pPr>
        <w:spacing w:after="0" w:line="276" w:lineRule="auto"/>
        <w:ind w:left="576" w:hanging="576"/>
        <w:rPr>
          <w:rFonts w:ascii="Arial" w:hAnsi="Arial" w:cs="Arial"/>
        </w:rPr>
      </w:pPr>
      <w:r w:rsidRPr="00051B46">
        <w:rPr>
          <w:rFonts w:ascii="Arial" w:hAnsi="Arial" w:cs="Arial"/>
        </w:rPr>
        <w:t>166</w:t>
      </w:r>
      <w:r w:rsidR="00397169" w:rsidRPr="00051B46">
        <w:rPr>
          <w:rFonts w:ascii="Arial" w:hAnsi="Arial" w:cs="Arial"/>
        </w:rPr>
        <w:t xml:space="preserve">. </w:t>
      </w:r>
      <w:r w:rsidR="00397169" w:rsidRPr="00051B46">
        <w:rPr>
          <w:rFonts w:ascii="Arial" w:hAnsi="Arial" w:cs="Arial"/>
        </w:rPr>
        <w:tab/>
      </w:r>
      <w:r w:rsidR="00397169" w:rsidRPr="00051B46">
        <w:rPr>
          <w:rFonts w:ascii="Arial" w:hAnsi="Arial" w:cs="Arial"/>
          <w:color w:val="000000" w:themeColor="text1"/>
        </w:rPr>
        <w:t xml:space="preserve">Cusi K. Incretin-based therapies for the management of nonalcoholic fatty liver disease in patients with type 2 diabetes. Hepatology 2019 </w:t>
      </w:r>
      <w:r w:rsidR="00397169" w:rsidRPr="00804FCC">
        <w:rPr>
          <w:rFonts w:ascii="Arial" w:hAnsi="Arial" w:cs="Arial"/>
          <w:color w:val="000000" w:themeColor="text1"/>
        </w:rPr>
        <w:t>(in press).</w:t>
      </w:r>
    </w:p>
    <w:p w14:paraId="0339EA5C" w14:textId="41916710" w:rsidR="00397169" w:rsidRPr="00051B46" w:rsidRDefault="00C07210" w:rsidP="00690F26">
      <w:pPr>
        <w:spacing w:after="0" w:line="276" w:lineRule="auto"/>
        <w:ind w:left="576" w:hanging="576"/>
        <w:rPr>
          <w:rFonts w:ascii="Arial" w:hAnsi="Arial" w:cs="Arial"/>
        </w:rPr>
      </w:pPr>
      <w:r w:rsidRPr="00051B46">
        <w:rPr>
          <w:rFonts w:ascii="Arial" w:hAnsi="Arial" w:cs="Arial"/>
        </w:rPr>
        <w:lastRenderedPageBreak/>
        <w:t>167</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DeFronzo</w:t>
      </w:r>
      <w:proofErr w:type="spellEnd"/>
      <w:r w:rsidR="00397169" w:rsidRPr="00051B46">
        <w:rPr>
          <w:rFonts w:ascii="Arial" w:hAnsi="Arial" w:cs="Arial"/>
        </w:rPr>
        <w:t xml:space="preserve"> RA, Norton L, Abdul-Ghani M. Renal, metabolic and cardiovascular considerations of SGLT2 inhibition. Nat Rev </w:t>
      </w:r>
      <w:proofErr w:type="spellStart"/>
      <w:r w:rsidR="00397169" w:rsidRPr="00051B46">
        <w:rPr>
          <w:rFonts w:ascii="Arial" w:hAnsi="Arial" w:cs="Arial"/>
        </w:rPr>
        <w:t>Nephrol</w:t>
      </w:r>
      <w:proofErr w:type="spellEnd"/>
      <w:r w:rsidR="00397169" w:rsidRPr="00051B46">
        <w:rPr>
          <w:rFonts w:ascii="Arial" w:hAnsi="Arial" w:cs="Arial"/>
        </w:rPr>
        <w:t>. 2017;13,11-26.</w:t>
      </w:r>
    </w:p>
    <w:p w14:paraId="5FE08185" w14:textId="605E38EA" w:rsidR="00397169" w:rsidRPr="00051B46" w:rsidRDefault="00C07210" w:rsidP="00690F26">
      <w:pPr>
        <w:spacing w:after="0" w:line="276" w:lineRule="auto"/>
        <w:ind w:left="576" w:hanging="576"/>
        <w:rPr>
          <w:rFonts w:ascii="Arial" w:hAnsi="Arial" w:cs="Arial"/>
        </w:rPr>
      </w:pPr>
      <w:r w:rsidRPr="00051B46">
        <w:rPr>
          <w:rFonts w:ascii="Arial" w:hAnsi="Arial" w:cs="Arial"/>
        </w:rPr>
        <w:t>168</w:t>
      </w:r>
      <w:r w:rsidR="00397169" w:rsidRPr="00051B46">
        <w:rPr>
          <w:rFonts w:ascii="Arial" w:hAnsi="Arial" w:cs="Arial"/>
        </w:rPr>
        <w:t>.</w:t>
      </w:r>
      <w:r w:rsidR="00397169" w:rsidRPr="00051B46">
        <w:rPr>
          <w:rFonts w:ascii="Arial" w:hAnsi="Arial" w:cs="Arial"/>
        </w:rPr>
        <w:tab/>
        <w:t xml:space="preserve">Kluger AY, </w:t>
      </w:r>
      <w:proofErr w:type="spellStart"/>
      <w:r w:rsidR="00397169" w:rsidRPr="00051B46">
        <w:rPr>
          <w:rFonts w:ascii="Arial" w:hAnsi="Arial" w:cs="Arial"/>
        </w:rPr>
        <w:t>Tecson</w:t>
      </w:r>
      <w:proofErr w:type="spellEnd"/>
      <w:r w:rsidR="00397169" w:rsidRPr="00051B46">
        <w:rPr>
          <w:rFonts w:ascii="Arial" w:hAnsi="Arial" w:cs="Arial"/>
        </w:rPr>
        <w:t xml:space="preserve"> KM, </w:t>
      </w:r>
      <w:proofErr w:type="spellStart"/>
      <w:r w:rsidR="00397169" w:rsidRPr="00051B46">
        <w:rPr>
          <w:rFonts w:ascii="Arial" w:hAnsi="Arial" w:cs="Arial"/>
        </w:rPr>
        <w:t>Barbin</w:t>
      </w:r>
      <w:proofErr w:type="spellEnd"/>
      <w:r w:rsidR="00397169" w:rsidRPr="00051B46">
        <w:rPr>
          <w:rFonts w:ascii="Arial" w:hAnsi="Arial" w:cs="Arial"/>
        </w:rPr>
        <w:t xml:space="preserve"> CM, </w:t>
      </w:r>
      <w:r w:rsidRPr="00051B46">
        <w:rPr>
          <w:rFonts w:ascii="Arial" w:hAnsi="Arial" w:cs="Arial"/>
        </w:rPr>
        <w:t>et al</w:t>
      </w:r>
      <w:r w:rsidR="00397169" w:rsidRPr="00051B46">
        <w:rPr>
          <w:rFonts w:ascii="Arial" w:hAnsi="Arial" w:cs="Arial"/>
        </w:rPr>
        <w:t xml:space="preserve">. Cardiorenal outcomes in the CANVAS, DECLARE-TIMI 58, and EMPA-REG OUTCOME trials: A systematic review. Rev Cardiovasc Med. </w:t>
      </w:r>
      <w:proofErr w:type="gramStart"/>
      <w:r w:rsidR="00397169" w:rsidRPr="00051B46">
        <w:rPr>
          <w:rFonts w:ascii="Arial" w:hAnsi="Arial" w:cs="Arial"/>
        </w:rPr>
        <w:t>2018;19:41</w:t>
      </w:r>
      <w:proofErr w:type="gramEnd"/>
      <w:r w:rsidR="00397169" w:rsidRPr="00051B46">
        <w:rPr>
          <w:rFonts w:ascii="Arial" w:hAnsi="Arial" w:cs="Arial"/>
        </w:rPr>
        <w:t>-49.</w:t>
      </w:r>
    </w:p>
    <w:p w14:paraId="42D5AAB4" w14:textId="19BA61CC" w:rsidR="00397169" w:rsidRPr="00051B46" w:rsidRDefault="00C07210" w:rsidP="00690F26">
      <w:pPr>
        <w:spacing w:after="0" w:line="276" w:lineRule="auto"/>
        <w:ind w:left="576" w:hanging="576"/>
        <w:rPr>
          <w:rFonts w:ascii="Arial" w:hAnsi="Arial" w:cs="Arial"/>
        </w:rPr>
      </w:pPr>
      <w:r w:rsidRPr="00051B46">
        <w:rPr>
          <w:rFonts w:ascii="Arial" w:hAnsi="Arial" w:cs="Arial"/>
        </w:rPr>
        <w:t>169</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Cusi</w:t>
      </w:r>
      <w:proofErr w:type="spellEnd"/>
      <w:r w:rsidR="00397169" w:rsidRPr="00051B46">
        <w:rPr>
          <w:rFonts w:ascii="Arial" w:hAnsi="Arial" w:cs="Arial"/>
        </w:rPr>
        <w:t xml:space="preserve"> K, </w:t>
      </w:r>
      <w:proofErr w:type="spellStart"/>
      <w:r w:rsidR="00397169" w:rsidRPr="00051B46">
        <w:rPr>
          <w:rFonts w:ascii="Arial" w:hAnsi="Arial" w:cs="Arial"/>
        </w:rPr>
        <w:t>Bril</w:t>
      </w:r>
      <w:proofErr w:type="spellEnd"/>
      <w:r w:rsidR="00397169" w:rsidRPr="00051B46">
        <w:rPr>
          <w:rFonts w:ascii="Arial" w:hAnsi="Arial" w:cs="Arial"/>
        </w:rPr>
        <w:t xml:space="preserve"> F, Barb D, Polidori D, et al. Effect of canagliflozin treatment on hepatic triglyceride content and glucose metabolism in patients with type 2 diabetes. Diabetes </w:t>
      </w:r>
      <w:proofErr w:type="spellStart"/>
      <w:r w:rsidR="00397169" w:rsidRPr="00051B46">
        <w:rPr>
          <w:rFonts w:ascii="Arial" w:hAnsi="Arial" w:cs="Arial"/>
        </w:rPr>
        <w:t>Obes</w:t>
      </w:r>
      <w:proofErr w:type="spellEnd"/>
      <w:r w:rsidR="00397169" w:rsidRPr="00051B46">
        <w:rPr>
          <w:rFonts w:ascii="Arial" w:hAnsi="Arial" w:cs="Arial"/>
        </w:rPr>
        <w:t xml:space="preserve"> </w:t>
      </w:r>
      <w:proofErr w:type="spellStart"/>
      <w:r w:rsidR="00397169" w:rsidRPr="00051B46">
        <w:rPr>
          <w:rFonts w:ascii="Arial" w:hAnsi="Arial" w:cs="Arial"/>
        </w:rPr>
        <w:t>Metab</w:t>
      </w:r>
      <w:proofErr w:type="spellEnd"/>
      <w:r w:rsidR="00397169" w:rsidRPr="00051B46">
        <w:rPr>
          <w:rFonts w:ascii="Arial" w:hAnsi="Arial" w:cs="Arial"/>
        </w:rPr>
        <w:t xml:space="preserve">. </w:t>
      </w:r>
      <w:proofErr w:type="gramStart"/>
      <w:r w:rsidR="00397169" w:rsidRPr="00051B46">
        <w:rPr>
          <w:rFonts w:ascii="Arial" w:hAnsi="Arial" w:cs="Arial"/>
        </w:rPr>
        <w:t>2019;21:812</w:t>
      </w:r>
      <w:proofErr w:type="gramEnd"/>
      <w:r w:rsidR="00397169" w:rsidRPr="00051B46">
        <w:rPr>
          <w:rFonts w:ascii="Arial" w:hAnsi="Arial" w:cs="Arial"/>
        </w:rPr>
        <w:t>-821.</w:t>
      </w:r>
    </w:p>
    <w:p w14:paraId="1A028EA3" w14:textId="1E469219" w:rsidR="00397169" w:rsidRPr="00051B46" w:rsidRDefault="002E74B9" w:rsidP="00690F26">
      <w:pPr>
        <w:spacing w:after="0" w:line="276" w:lineRule="auto"/>
        <w:ind w:left="576" w:hanging="576"/>
        <w:rPr>
          <w:rFonts w:ascii="Arial" w:hAnsi="Arial" w:cs="Arial"/>
        </w:rPr>
      </w:pPr>
      <w:r w:rsidRPr="00051B46">
        <w:rPr>
          <w:rFonts w:ascii="Arial" w:hAnsi="Arial" w:cs="Arial"/>
        </w:rPr>
        <w:t>170</w:t>
      </w:r>
      <w:r w:rsidR="00397169" w:rsidRPr="00051B46">
        <w:rPr>
          <w:rFonts w:ascii="Arial" w:hAnsi="Arial" w:cs="Arial"/>
        </w:rPr>
        <w:t>.</w:t>
      </w:r>
      <w:r w:rsidR="00397169" w:rsidRPr="00051B46">
        <w:rPr>
          <w:rFonts w:ascii="Arial" w:hAnsi="Arial" w:cs="Arial"/>
        </w:rPr>
        <w:tab/>
        <w:t xml:space="preserve">Shimizu M, Suzuki K, Kato K, </w:t>
      </w:r>
      <w:proofErr w:type="spellStart"/>
      <w:r w:rsidR="00397169" w:rsidRPr="00051B46">
        <w:rPr>
          <w:rFonts w:ascii="Arial" w:hAnsi="Arial" w:cs="Arial"/>
        </w:rPr>
        <w:t>Jojima</w:t>
      </w:r>
      <w:proofErr w:type="spellEnd"/>
      <w:r w:rsidR="00397169" w:rsidRPr="00051B46">
        <w:rPr>
          <w:rFonts w:ascii="Arial" w:hAnsi="Arial" w:cs="Arial"/>
        </w:rPr>
        <w:t xml:space="preserve"> T, </w:t>
      </w:r>
      <w:proofErr w:type="spellStart"/>
      <w:r w:rsidR="00397169" w:rsidRPr="00051B46">
        <w:rPr>
          <w:rFonts w:ascii="Arial" w:hAnsi="Arial" w:cs="Arial"/>
        </w:rPr>
        <w:t>Iijima</w:t>
      </w:r>
      <w:proofErr w:type="spellEnd"/>
      <w:r w:rsidR="00397169" w:rsidRPr="00051B46">
        <w:rPr>
          <w:rFonts w:ascii="Arial" w:hAnsi="Arial" w:cs="Arial"/>
        </w:rPr>
        <w:t xml:space="preserve"> T, </w:t>
      </w:r>
      <w:proofErr w:type="spellStart"/>
      <w:r w:rsidR="00397169" w:rsidRPr="00051B46">
        <w:rPr>
          <w:rFonts w:ascii="Arial" w:hAnsi="Arial" w:cs="Arial"/>
        </w:rPr>
        <w:t>Murohisa</w:t>
      </w:r>
      <w:proofErr w:type="spellEnd"/>
      <w:r w:rsidR="00397169" w:rsidRPr="00051B46">
        <w:rPr>
          <w:rFonts w:ascii="Arial" w:hAnsi="Arial" w:cs="Arial"/>
        </w:rPr>
        <w:t xml:space="preserve"> T, </w:t>
      </w:r>
      <w:proofErr w:type="spellStart"/>
      <w:r w:rsidR="00397169" w:rsidRPr="00051B46">
        <w:rPr>
          <w:rFonts w:ascii="Arial" w:hAnsi="Arial" w:cs="Arial"/>
        </w:rPr>
        <w:t>Iijima</w:t>
      </w:r>
      <w:proofErr w:type="spellEnd"/>
      <w:r w:rsidR="00397169" w:rsidRPr="00051B46">
        <w:rPr>
          <w:rFonts w:ascii="Arial" w:hAnsi="Arial" w:cs="Arial"/>
        </w:rPr>
        <w:t xml:space="preserve"> M, </w:t>
      </w:r>
      <w:proofErr w:type="spellStart"/>
      <w:r w:rsidR="00397169" w:rsidRPr="00051B46">
        <w:rPr>
          <w:rFonts w:ascii="Arial" w:hAnsi="Arial" w:cs="Arial"/>
        </w:rPr>
        <w:t>Takekawa</w:t>
      </w:r>
      <w:proofErr w:type="spellEnd"/>
      <w:r w:rsidR="00397169" w:rsidRPr="00051B46">
        <w:rPr>
          <w:rFonts w:ascii="Arial" w:hAnsi="Arial" w:cs="Arial"/>
        </w:rPr>
        <w:t xml:space="preserve"> H, Usui I, </w:t>
      </w:r>
      <w:proofErr w:type="spellStart"/>
      <w:r w:rsidR="00397169" w:rsidRPr="00051B46">
        <w:rPr>
          <w:rFonts w:ascii="Arial" w:hAnsi="Arial" w:cs="Arial"/>
        </w:rPr>
        <w:t>Hiraishi</w:t>
      </w:r>
      <w:proofErr w:type="spellEnd"/>
      <w:r w:rsidR="00397169" w:rsidRPr="00051B46">
        <w:rPr>
          <w:rFonts w:ascii="Arial" w:hAnsi="Arial" w:cs="Arial"/>
        </w:rPr>
        <w:t xml:space="preserve"> H, </w:t>
      </w:r>
      <w:proofErr w:type="spellStart"/>
      <w:r w:rsidR="00397169" w:rsidRPr="00051B46">
        <w:rPr>
          <w:rFonts w:ascii="Arial" w:hAnsi="Arial" w:cs="Arial"/>
        </w:rPr>
        <w:t>Aso</w:t>
      </w:r>
      <w:proofErr w:type="spellEnd"/>
      <w:r w:rsidR="00397169" w:rsidRPr="00051B46">
        <w:rPr>
          <w:rFonts w:ascii="Arial" w:hAnsi="Arial" w:cs="Arial"/>
        </w:rPr>
        <w:t xml:space="preserve"> Y. Evaluation of the effects of dapagliflozin, a sodium-glucose co-transporter-2 inhibitor, on hepatic steatosis and fibrosis using transient elastography in patients with type 2 diabetes and non-alcoholic fatty liver disease. Diabetes </w:t>
      </w:r>
      <w:proofErr w:type="spellStart"/>
      <w:r w:rsidR="00397169" w:rsidRPr="00051B46">
        <w:rPr>
          <w:rFonts w:ascii="Arial" w:hAnsi="Arial" w:cs="Arial"/>
        </w:rPr>
        <w:t>Obes</w:t>
      </w:r>
      <w:proofErr w:type="spellEnd"/>
      <w:r w:rsidR="00397169" w:rsidRPr="00051B46">
        <w:rPr>
          <w:rFonts w:ascii="Arial" w:hAnsi="Arial" w:cs="Arial"/>
        </w:rPr>
        <w:t xml:space="preserve"> </w:t>
      </w:r>
      <w:proofErr w:type="spellStart"/>
      <w:r w:rsidR="00397169" w:rsidRPr="00051B46">
        <w:rPr>
          <w:rFonts w:ascii="Arial" w:hAnsi="Arial" w:cs="Arial"/>
        </w:rPr>
        <w:t>Metab</w:t>
      </w:r>
      <w:proofErr w:type="spellEnd"/>
      <w:r w:rsidR="00397169" w:rsidRPr="00051B46">
        <w:rPr>
          <w:rFonts w:ascii="Arial" w:hAnsi="Arial" w:cs="Arial"/>
        </w:rPr>
        <w:t xml:space="preserve">. </w:t>
      </w:r>
      <w:proofErr w:type="gramStart"/>
      <w:r w:rsidR="00397169" w:rsidRPr="00051B46">
        <w:rPr>
          <w:rFonts w:ascii="Arial" w:hAnsi="Arial" w:cs="Arial"/>
        </w:rPr>
        <w:t>2019;21:285</w:t>
      </w:r>
      <w:proofErr w:type="gramEnd"/>
      <w:r w:rsidR="00397169" w:rsidRPr="00051B46">
        <w:rPr>
          <w:rFonts w:ascii="Arial" w:hAnsi="Arial" w:cs="Arial"/>
        </w:rPr>
        <w:t>-292.</w:t>
      </w:r>
    </w:p>
    <w:p w14:paraId="136C6111" w14:textId="6664DECE" w:rsidR="002E74B9" w:rsidRPr="00051B46" w:rsidRDefault="002E74B9" w:rsidP="00690F26">
      <w:pPr>
        <w:spacing w:after="0" w:line="276" w:lineRule="auto"/>
        <w:ind w:left="576" w:hanging="576"/>
        <w:rPr>
          <w:rFonts w:ascii="Arial" w:hAnsi="Arial" w:cs="Arial"/>
          <w:color w:val="000000" w:themeColor="text1"/>
        </w:rPr>
      </w:pPr>
      <w:r w:rsidRPr="00051B46">
        <w:rPr>
          <w:rFonts w:ascii="Arial" w:hAnsi="Arial" w:cs="Arial"/>
        </w:rPr>
        <w:t>171.</w:t>
      </w:r>
      <w:r w:rsidRPr="00051B46">
        <w:rPr>
          <w:rFonts w:ascii="Arial" w:hAnsi="Arial" w:cs="Arial"/>
        </w:rPr>
        <w:tab/>
      </w:r>
      <w:hyperlink r:id="rId11" w:history="1">
        <w:r w:rsidRPr="00051B46">
          <w:rPr>
            <w:rStyle w:val="Hyperlink"/>
            <w:rFonts w:ascii="Arial" w:hAnsi="Arial" w:cs="Arial"/>
            <w:color w:val="000000" w:themeColor="text1"/>
          </w:rPr>
          <w:t>Rosenstock J</w:t>
        </w:r>
      </w:hyperlink>
      <w:r w:rsidRPr="00051B46">
        <w:rPr>
          <w:rFonts w:ascii="Arial" w:hAnsi="Arial" w:cs="Arial"/>
          <w:color w:val="000000" w:themeColor="text1"/>
        </w:rPr>
        <w:t>, </w:t>
      </w:r>
      <w:proofErr w:type="spellStart"/>
      <w:r w:rsidR="00347292" w:rsidRPr="00051B46">
        <w:fldChar w:fldCharType="begin"/>
      </w:r>
      <w:r w:rsidR="00347292" w:rsidRPr="00051B46">
        <w:rPr>
          <w:rFonts w:ascii="Arial" w:hAnsi="Arial" w:cs="Arial"/>
        </w:rPr>
        <w:instrText xml:space="preserve"> HYPERLINK "https://www.ncbi.nlm.nih.gov/pubmed/?term=Vico%20M%5BAuthor%5D&amp;cauthor=true&amp;cauthor_uid=22446170" </w:instrText>
      </w:r>
      <w:r w:rsidR="00347292" w:rsidRPr="00051B46">
        <w:fldChar w:fldCharType="separate"/>
      </w:r>
      <w:r w:rsidRPr="00051B46">
        <w:rPr>
          <w:rStyle w:val="Hyperlink"/>
          <w:rFonts w:ascii="Arial" w:hAnsi="Arial" w:cs="Arial"/>
          <w:color w:val="000000" w:themeColor="text1"/>
        </w:rPr>
        <w:t>Vico</w:t>
      </w:r>
      <w:proofErr w:type="spellEnd"/>
      <w:r w:rsidRPr="00051B46">
        <w:rPr>
          <w:rStyle w:val="Hyperlink"/>
          <w:rFonts w:ascii="Arial" w:hAnsi="Arial" w:cs="Arial"/>
          <w:color w:val="000000" w:themeColor="text1"/>
        </w:rPr>
        <w:t xml:space="preserve"> M</w:t>
      </w:r>
      <w:r w:rsidR="00347292" w:rsidRPr="00051B46">
        <w:rPr>
          <w:rStyle w:val="Hyperlink"/>
          <w:rFonts w:ascii="Arial" w:hAnsi="Arial" w:cs="Arial"/>
          <w:color w:val="000000" w:themeColor="text1"/>
        </w:rPr>
        <w:fldChar w:fldCharType="end"/>
      </w:r>
      <w:r w:rsidRPr="00051B46">
        <w:rPr>
          <w:rFonts w:ascii="Arial" w:hAnsi="Arial" w:cs="Arial"/>
          <w:color w:val="000000" w:themeColor="text1"/>
        </w:rPr>
        <w:t>, </w:t>
      </w:r>
      <w:hyperlink r:id="rId12" w:history="1">
        <w:r w:rsidRPr="00051B46">
          <w:rPr>
            <w:rStyle w:val="Hyperlink"/>
            <w:rFonts w:ascii="Arial" w:hAnsi="Arial" w:cs="Arial"/>
            <w:color w:val="000000" w:themeColor="text1"/>
          </w:rPr>
          <w:t>Wei L</w:t>
        </w:r>
      </w:hyperlink>
      <w:r w:rsidRPr="00051B46">
        <w:rPr>
          <w:rFonts w:ascii="Arial" w:hAnsi="Arial" w:cs="Arial"/>
          <w:color w:val="000000" w:themeColor="text1"/>
        </w:rPr>
        <w:t>, </w:t>
      </w:r>
      <w:proofErr w:type="spellStart"/>
      <w:r w:rsidR="00347292" w:rsidRPr="00051B46">
        <w:fldChar w:fldCharType="begin"/>
      </w:r>
      <w:r w:rsidR="00347292" w:rsidRPr="00051B46">
        <w:rPr>
          <w:rFonts w:ascii="Arial" w:hAnsi="Arial" w:cs="Arial"/>
        </w:rPr>
        <w:instrText xml:space="preserve"> HYPERLINK "https://www.ncbi.nlm.nih.gov/pubmed/?term=Salsali%20A%5BAuthor%5D&amp;cauthor=true&amp;cauthor_uid=22446170" </w:instrText>
      </w:r>
      <w:r w:rsidR="00347292" w:rsidRPr="00051B46">
        <w:fldChar w:fldCharType="separate"/>
      </w:r>
      <w:r w:rsidRPr="00051B46">
        <w:rPr>
          <w:rStyle w:val="Hyperlink"/>
          <w:rFonts w:ascii="Arial" w:hAnsi="Arial" w:cs="Arial"/>
          <w:color w:val="000000" w:themeColor="text1"/>
        </w:rPr>
        <w:t>Salsali</w:t>
      </w:r>
      <w:proofErr w:type="spellEnd"/>
      <w:r w:rsidRPr="00051B46">
        <w:rPr>
          <w:rStyle w:val="Hyperlink"/>
          <w:rFonts w:ascii="Arial" w:hAnsi="Arial" w:cs="Arial"/>
          <w:color w:val="000000" w:themeColor="text1"/>
        </w:rPr>
        <w:t xml:space="preserve"> A</w:t>
      </w:r>
      <w:r w:rsidR="00347292" w:rsidRPr="00051B46">
        <w:rPr>
          <w:rStyle w:val="Hyperlink"/>
          <w:rFonts w:ascii="Arial" w:hAnsi="Arial" w:cs="Arial"/>
          <w:color w:val="000000" w:themeColor="text1"/>
        </w:rPr>
        <w:fldChar w:fldCharType="end"/>
      </w:r>
      <w:r w:rsidRPr="00051B46">
        <w:rPr>
          <w:rFonts w:ascii="Arial" w:hAnsi="Arial" w:cs="Arial"/>
          <w:color w:val="000000" w:themeColor="text1"/>
        </w:rPr>
        <w:t>, </w:t>
      </w:r>
      <w:hyperlink r:id="rId13" w:history="1">
        <w:r w:rsidRPr="00051B46">
          <w:rPr>
            <w:rStyle w:val="Hyperlink"/>
            <w:rFonts w:ascii="Arial" w:hAnsi="Arial" w:cs="Arial"/>
            <w:color w:val="000000" w:themeColor="text1"/>
          </w:rPr>
          <w:t>List JF</w:t>
        </w:r>
      </w:hyperlink>
      <w:r w:rsidRPr="00051B46">
        <w:rPr>
          <w:rFonts w:ascii="Arial" w:hAnsi="Arial" w:cs="Arial"/>
          <w:color w:val="000000" w:themeColor="text1"/>
        </w:rPr>
        <w:t xml:space="preserve">. Effects of dapagliflozin, an SGLT2 inhibitor, on </w:t>
      </w:r>
      <w:proofErr w:type="spellStart"/>
      <w:r w:rsidRPr="00051B46">
        <w:rPr>
          <w:rFonts w:ascii="Arial" w:hAnsi="Arial" w:cs="Arial"/>
          <w:color w:val="000000" w:themeColor="text1"/>
        </w:rPr>
        <w:t>HbA</w:t>
      </w:r>
      <w:proofErr w:type="spellEnd"/>
      <w:r w:rsidRPr="00051B46">
        <w:rPr>
          <w:rFonts w:ascii="Arial" w:hAnsi="Arial" w:cs="Arial"/>
          <w:color w:val="000000" w:themeColor="text1"/>
        </w:rPr>
        <w:t xml:space="preserve">(1c), body weight, and hypoglycemia risk in patients with type 2 diabetes inadequately controlled on pioglitazone monotherapy.  </w:t>
      </w:r>
      <w:hyperlink r:id="rId14" w:tooltip="Diabetes care." w:history="1">
        <w:r w:rsidRPr="00051B46">
          <w:rPr>
            <w:rStyle w:val="Hyperlink"/>
            <w:rFonts w:ascii="Arial" w:hAnsi="Arial" w:cs="Arial"/>
            <w:color w:val="000000" w:themeColor="text1"/>
          </w:rPr>
          <w:t>Diabetes Care.</w:t>
        </w:r>
      </w:hyperlink>
      <w:r w:rsidRPr="00051B46">
        <w:rPr>
          <w:rFonts w:ascii="Arial" w:hAnsi="Arial" w:cs="Arial"/>
          <w:color w:val="000000" w:themeColor="text1"/>
        </w:rPr>
        <w:t> 2012;35:1473-8.</w:t>
      </w:r>
    </w:p>
    <w:p w14:paraId="3FD47B27" w14:textId="7922C57A" w:rsidR="002E74B9" w:rsidRPr="00051B46" w:rsidRDefault="002E74B9" w:rsidP="00690F26">
      <w:pPr>
        <w:spacing w:after="0" w:line="276" w:lineRule="auto"/>
        <w:ind w:left="576" w:hanging="576"/>
        <w:rPr>
          <w:rFonts w:ascii="Arial" w:hAnsi="Arial" w:cs="Arial"/>
          <w:color w:val="000000" w:themeColor="text1"/>
        </w:rPr>
      </w:pPr>
      <w:r w:rsidRPr="00051B46">
        <w:rPr>
          <w:rFonts w:ascii="Arial" w:hAnsi="Arial" w:cs="Arial"/>
          <w:color w:val="000000" w:themeColor="text1"/>
        </w:rPr>
        <w:t>172.</w:t>
      </w:r>
      <w:r w:rsidRPr="00051B46">
        <w:rPr>
          <w:rFonts w:ascii="Arial" w:hAnsi="Arial" w:cs="Arial"/>
          <w:color w:val="000000" w:themeColor="text1"/>
        </w:rPr>
        <w:tab/>
      </w:r>
      <w:proofErr w:type="spellStart"/>
      <w:r w:rsidRPr="00051B46">
        <w:rPr>
          <w:rFonts w:ascii="Arial" w:hAnsi="Arial" w:cs="Arial"/>
          <w:color w:val="000000" w:themeColor="text1"/>
        </w:rPr>
        <w:t>Kovacks</w:t>
      </w:r>
      <w:proofErr w:type="spellEnd"/>
      <w:r w:rsidRPr="00051B46">
        <w:rPr>
          <w:rFonts w:ascii="Arial" w:hAnsi="Arial" w:cs="Arial"/>
          <w:color w:val="000000" w:themeColor="text1"/>
          <w:vertAlign w:val="superscript"/>
        </w:rPr>
        <w:t xml:space="preserve"> </w:t>
      </w:r>
      <w:r w:rsidRPr="00051B46">
        <w:rPr>
          <w:rFonts w:ascii="Arial" w:hAnsi="Arial" w:cs="Arial"/>
          <w:color w:val="000000" w:themeColor="text1"/>
        </w:rPr>
        <w:t>CS, </w:t>
      </w:r>
      <w:proofErr w:type="spellStart"/>
      <w:r w:rsidR="00347292" w:rsidRPr="00051B46">
        <w:fldChar w:fldCharType="begin"/>
      </w:r>
      <w:r w:rsidR="00347292" w:rsidRPr="00051B46">
        <w:rPr>
          <w:rFonts w:ascii="Arial" w:hAnsi="Arial" w:cs="Arial"/>
        </w:rPr>
        <w:instrText xml:space="preserve"> HYPERLINK "https://www.ncbi.nlm.nih.gov/pubmed/?term=Seshiah%20V%5BAuthor%5D&amp;cauthor=true&amp;cauthor_uid=26138864" </w:instrText>
      </w:r>
      <w:r w:rsidR="00347292" w:rsidRPr="00051B46">
        <w:fldChar w:fldCharType="separate"/>
      </w:r>
      <w:r w:rsidRPr="00051B46">
        <w:rPr>
          <w:rStyle w:val="Hyperlink"/>
          <w:rFonts w:ascii="Arial" w:hAnsi="Arial" w:cs="Arial"/>
          <w:color w:val="000000" w:themeColor="text1"/>
          <w:u w:val="none"/>
        </w:rPr>
        <w:t>Seshiah</w:t>
      </w:r>
      <w:proofErr w:type="spellEnd"/>
      <w:r w:rsidRPr="00051B46">
        <w:rPr>
          <w:rStyle w:val="Hyperlink"/>
          <w:rFonts w:ascii="Arial" w:hAnsi="Arial" w:cs="Arial"/>
          <w:color w:val="000000" w:themeColor="text1"/>
          <w:u w:val="none"/>
        </w:rPr>
        <w:t xml:space="preserve"> V</w:t>
      </w:r>
      <w:r w:rsidR="00347292" w:rsidRPr="00051B46">
        <w:rPr>
          <w:rStyle w:val="Hyperlink"/>
          <w:rFonts w:ascii="Arial" w:hAnsi="Arial" w:cs="Arial"/>
          <w:color w:val="000000" w:themeColor="text1"/>
          <w:u w:val="none"/>
        </w:rPr>
        <w:fldChar w:fldCharType="end"/>
      </w:r>
      <w:r w:rsidRPr="00051B46">
        <w:rPr>
          <w:rFonts w:ascii="Arial" w:hAnsi="Arial" w:cs="Arial"/>
          <w:color w:val="000000" w:themeColor="text1"/>
        </w:rPr>
        <w:t>, </w:t>
      </w:r>
      <w:proofErr w:type="spellStart"/>
      <w:r w:rsidR="00347292" w:rsidRPr="00051B46">
        <w:fldChar w:fldCharType="begin"/>
      </w:r>
      <w:r w:rsidR="00347292" w:rsidRPr="00051B46">
        <w:rPr>
          <w:rFonts w:ascii="Arial" w:hAnsi="Arial" w:cs="Arial"/>
        </w:rPr>
        <w:instrText xml:space="preserve"> HYPERLINK "https://www.ncbi.nlm.nih.gov/pubmed/?term=Merker%20L%5BAuthor%5D&amp;cauthor=true&amp;cauthor_uid=26138864" </w:instrText>
      </w:r>
      <w:r w:rsidR="00347292" w:rsidRPr="00051B46">
        <w:fldChar w:fldCharType="separate"/>
      </w:r>
      <w:r w:rsidRPr="00051B46">
        <w:rPr>
          <w:rStyle w:val="Hyperlink"/>
          <w:rFonts w:ascii="Arial" w:hAnsi="Arial" w:cs="Arial"/>
          <w:color w:val="000000" w:themeColor="text1"/>
          <w:u w:val="none"/>
        </w:rPr>
        <w:t>Merker</w:t>
      </w:r>
      <w:proofErr w:type="spellEnd"/>
      <w:r w:rsidRPr="00051B46">
        <w:rPr>
          <w:rStyle w:val="Hyperlink"/>
          <w:rFonts w:ascii="Arial" w:hAnsi="Arial" w:cs="Arial"/>
          <w:color w:val="000000" w:themeColor="text1"/>
          <w:u w:val="none"/>
        </w:rPr>
        <w:t xml:space="preserve"> L</w:t>
      </w:r>
      <w:r w:rsidR="00347292" w:rsidRPr="00051B46">
        <w:rPr>
          <w:rStyle w:val="Hyperlink"/>
          <w:rFonts w:ascii="Arial" w:hAnsi="Arial" w:cs="Arial"/>
          <w:color w:val="000000" w:themeColor="text1"/>
          <w:u w:val="none"/>
        </w:rPr>
        <w:fldChar w:fldCharType="end"/>
      </w:r>
      <w:r w:rsidRPr="00051B46">
        <w:rPr>
          <w:rFonts w:ascii="Arial" w:hAnsi="Arial" w:cs="Arial"/>
          <w:color w:val="000000" w:themeColor="text1"/>
        </w:rPr>
        <w:t xml:space="preserve">, at al </w:t>
      </w:r>
      <w:hyperlink r:id="rId15" w:history="1">
        <w:r w:rsidRPr="00051B46">
          <w:rPr>
            <w:rStyle w:val="Hyperlink"/>
            <w:rFonts w:ascii="Arial" w:hAnsi="Arial" w:cs="Arial"/>
            <w:color w:val="000000" w:themeColor="text1"/>
            <w:u w:val="none"/>
          </w:rPr>
          <w:t>EMPA-REG EXTEND™ PIO investigators</w:t>
        </w:r>
      </w:hyperlink>
      <w:r w:rsidRPr="00051B46">
        <w:rPr>
          <w:rFonts w:ascii="Arial" w:hAnsi="Arial" w:cs="Arial"/>
          <w:color w:val="000000" w:themeColor="text1"/>
        </w:rPr>
        <w:t xml:space="preserve">. Empagliflozin as add-on therapy to pioglitazone with or without metformin in patients with type 2 diabetes mellitus.  </w:t>
      </w:r>
      <w:hyperlink r:id="rId16" w:tooltip="Clinical therapeutics." w:history="1">
        <w:r w:rsidRPr="00051B46">
          <w:rPr>
            <w:rStyle w:val="Hyperlink"/>
            <w:rFonts w:ascii="Arial" w:hAnsi="Arial" w:cs="Arial"/>
            <w:color w:val="000000" w:themeColor="text1"/>
            <w:u w:val="none"/>
          </w:rPr>
          <w:t xml:space="preserve">Clin </w:t>
        </w:r>
        <w:proofErr w:type="spellStart"/>
        <w:r w:rsidRPr="00051B46">
          <w:rPr>
            <w:rStyle w:val="Hyperlink"/>
            <w:rFonts w:ascii="Arial" w:hAnsi="Arial" w:cs="Arial"/>
            <w:color w:val="000000" w:themeColor="text1"/>
            <w:u w:val="none"/>
          </w:rPr>
          <w:t>Ther</w:t>
        </w:r>
        <w:proofErr w:type="spellEnd"/>
        <w:r w:rsidRPr="00051B46">
          <w:rPr>
            <w:rStyle w:val="Hyperlink"/>
            <w:rFonts w:ascii="Arial" w:hAnsi="Arial" w:cs="Arial"/>
            <w:color w:val="000000" w:themeColor="text1"/>
            <w:u w:val="none"/>
          </w:rPr>
          <w:t>.</w:t>
        </w:r>
      </w:hyperlink>
      <w:r w:rsidRPr="00051B46">
        <w:rPr>
          <w:rFonts w:ascii="Arial" w:hAnsi="Arial" w:cs="Arial"/>
          <w:color w:val="000000" w:themeColor="text1"/>
        </w:rPr>
        <w:t> 2015;37:1773-</w:t>
      </w:r>
      <w:proofErr w:type="gramStart"/>
      <w:r w:rsidRPr="00051B46">
        <w:rPr>
          <w:rFonts w:ascii="Arial" w:hAnsi="Arial" w:cs="Arial"/>
          <w:color w:val="000000" w:themeColor="text1"/>
        </w:rPr>
        <w:t>88.e</w:t>
      </w:r>
      <w:proofErr w:type="gramEnd"/>
      <w:r w:rsidRPr="00051B46">
        <w:rPr>
          <w:rFonts w:ascii="Arial" w:hAnsi="Arial" w:cs="Arial"/>
          <w:color w:val="000000" w:themeColor="text1"/>
        </w:rPr>
        <w:t>1.</w:t>
      </w:r>
    </w:p>
    <w:p w14:paraId="72827FC3" w14:textId="148E4C6A" w:rsidR="002E74B9" w:rsidRPr="00051B46" w:rsidRDefault="002E74B9" w:rsidP="00690F26">
      <w:pPr>
        <w:spacing w:after="0" w:line="276" w:lineRule="auto"/>
        <w:ind w:left="576" w:hanging="576"/>
        <w:rPr>
          <w:rFonts w:ascii="Arial" w:hAnsi="Arial" w:cs="Arial"/>
          <w:color w:val="000000" w:themeColor="text1"/>
        </w:rPr>
      </w:pPr>
      <w:r w:rsidRPr="00051B46">
        <w:rPr>
          <w:rFonts w:ascii="Arial" w:hAnsi="Arial" w:cs="Arial"/>
          <w:color w:val="000000" w:themeColor="text1"/>
        </w:rPr>
        <w:t>173.</w:t>
      </w:r>
      <w:r w:rsidRPr="00051B46">
        <w:rPr>
          <w:rFonts w:ascii="Arial" w:hAnsi="Arial" w:cs="Arial"/>
          <w:color w:val="000000" w:themeColor="text1"/>
        </w:rPr>
        <w:tab/>
      </w:r>
      <w:proofErr w:type="spellStart"/>
      <w:r w:rsidRPr="00051B46">
        <w:rPr>
          <w:rFonts w:ascii="Arial" w:hAnsi="Arial" w:cs="Arial"/>
          <w:color w:val="000000" w:themeColor="text1"/>
        </w:rPr>
        <w:t>DeFronzo</w:t>
      </w:r>
      <w:proofErr w:type="spellEnd"/>
      <w:r w:rsidRPr="00051B46">
        <w:rPr>
          <w:rFonts w:ascii="Arial" w:hAnsi="Arial" w:cs="Arial"/>
          <w:color w:val="000000" w:themeColor="text1"/>
        </w:rPr>
        <w:t xml:space="preserve"> RA, Chilton R, Norton L, Clarke G, Ryder RE, Abdul-Ghani M. Revitalization of pioglitazone: the optimum agent to be combined with a sodium-glucose co-transporter-2 inhibitor. Diabetes </w:t>
      </w:r>
      <w:proofErr w:type="spellStart"/>
      <w:r w:rsidRPr="00051B46">
        <w:rPr>
          <w:rFonts w:ascii="Arial" w:hAnsi="Arial" w:cs="Arial"/>
          <w:color w:val="000000" w:themeColor="text1"/>
        </w:rPr>
        <w:t>Obes</w:t>
      </w:r>
      <w:proofErr w:type="spellEnd"/>
      <w:r w:rsidRPr="00051B46">
        <w:rPr>
          <w:rFonts w:ascii="Arial" w:hAnsi="Arial" w:cs="Arial"/>
          <w:color w:val="000000" w:themeColor="text1"/>
        </w:rPr>
        <w:t xml:space="preserve"> </w:t>
      </w:r>
      <w:proofErr w:type="spellStart"/>
      <w:r w:rsidRPr="00051B46">
        <w:rPr>
          <w:rFonts w:ascii="Arial" w:hAnsi="Arial" w:cs="Arial"/>
          <w:color w:val="000000" w:themeColor="text1"/>
        </w:rPr>
        <w:t>Metab</w:t>
      </w:r>
      <w:proofErr w:type="spellEnd"/>
      <w:r w:rsidRPr="00051B46">
        <w:rPr>
          <w:rFonts w:ascii="Arial" w:hAnsi="Arial" w:cs="Arial"/>
          <w:color w:val="000000" w:themeColor="text1"/>
        </w:rPr>
        <w:t xml:space="preserve">. </w:t>
      </w:r>
      <w:proofErr w:type="gramStart"/>
      <w:r w:rsidRPr="00051B46">
        <w:rPr>
          <w:rFonts w:ascii="Arial" w:hAnsi="Arial" w:cs="Arial"/>
          <w:color w:val="000000" w:themeColor="text1"/>
        </w:rPr>
        <w:t>2016;18:454</w:t>
      </w:r>
      <w:proofErr w:type="gramEnd"/>
      <w:r w:rsidRPr="00051B46">
        <w:rPr>
          <w:rFonts w:ascii="Arial" w:hAnsi="Arial" w:cs="Arial"/>
          <w:color w:val="000000" w:themeColor="text1"/>
        </w:rPr>
        <w:t>-62.</w:t>
      </w:r>
    </w:p>
    <w:p w14:paraId="6F26D57C" w14:textId="145F8B66" w:rsidR="00397169" w:rsidRPr="00051B46" w:rsidRDefault="002E74B9" w:rsidP="00690F26">
      <w:pPr>
        <w:spacing w:after="0" w:line="276" w:lineRule="auto"/>
        <w:ind w:left="576" w:hanging="576"/>
        <w:rPr>
          <w:rFonts w:ascii="Arial" w:hAnsi="Arial" w:cs="Arial"/>
        </w:rPr>
      </w:pPr>
      <w:r w:rsidRPr="00051B46">
        <w:rPr>
          <w:rFonts w:ascii="Arial" w:hAnsi="Arial" w:cs="Arial"/>
        </w:rPr>
        <w:t>174</w:t>
      </w:r>
      <w:r w:rsidR="00397169" w:rsidRPr="00051B46">
        <w:rPr>
          <w:rFonts w:ascii="Arial" w:hAnsi="Arial" w:cs="Arial"/>
        </w:rPr>
        <w:t xml:space="preserve">.  Nelson A, Torres DM, Morgan AE, et al. A pilot study using simvastatin in the treatment of nonalcoholic steatohepatitis: a randomized placebo-controlled trial. J Clin Gastroenterol. </w:t>
      </w:r>
      <w:proofErr w:type="gramStart"/>
      <w:r w:rsidR="00397169" w:rsidRPr="00051B46">
        <w:rPr>
          <w:rFonts w:ascii="Arial" w:hAnsi="Arial" w:cs="Arial"/>
        </w:rPr>
        <w:t>2009;43:990</w:t>
      </w:r>
      <w:proofErr w:type="gramEnd"/>
      <w:r w:rsidR="00397169" w:rsidRPr="00051B46">
        <w:rPr>
          <w:rFonts w:ascii="Arial" w:hAnsi="Arial" w:cs="Arial"/>
        </w:rPr>
        <w:t xml:space="preserve">-4. </w:t>
      </w:r>
    </w:p>
    <w:p w14:paraId="3FD8E0D2" w14:textId="403D6A8B" w:rsidR="00397169" w:rsidRPr="00051B46" w:rsidRDefault="002E74B9" w:rsidP="00690F26">
      <w:pPr>
        <w:spacing w:after="0" w:line="276" w:lineRule="auto"/>
        <w:ind w:left="576" w:hanging="576"/>
        <w:rPr>
          <w:rFonts w:ascii="Arial" w:hAnsi="Arial" w:cs="Arial"/>
        </w:rPr>
      </w:pPr>
      <w:r w:rsidRPr="00051B46">
        <w:rPr>
          <w:rFonts w:ascii="Arial" w:hAnsi="Arial" w:cs="Arial"/>
        </w:rPr>
        <w:t>175</w:t>
      </w:r>
      <w:r w:rsidR="00397169" w:rsidRPr="00051B46">
        <w:rPr>
          <w:rFonts w:ascii="Arial" w:hAnsi="Arial" w:cs="Arial"/>
        </w:rPr>
        <w:t>.  Barb D, Cusi K, Reply to “statins and non-alcoholic steatohepatitis”. Metabolism. 2017 Jan;</w:t>
      </w:r>
      <w:proofErr w:type="gramStart"/>
      <w:r w:rsidR="00397169" w:rsidRPr="00051B46">
        <w:rPr>
          <w:rFonts w:ascii="Arial" w:hAnsi="Arial" w:cs="Arial"/>
        </w:rPr>
        <w:t>66:e</w:t>
      </w:r>
      <w:proofErr w:type="gramEnd"/>
      <w:r w:rsidR="00397169" w:rsidRPr="00051B46">
        <w:rPr>
          <w:rFonts w:ascii="Arial" w:hAnsi="Arial" w:cs="Arial"/>
        </w:rPr>
        <w:t xml:space="preserve">3-e5. </w:t>
      </w:r>
      <w:proofErr w:type="spellStart"/>
      <w:r w:rsidR="00397169" w:rsidRPr="00051B46">
        <w:rPr>
          <w:rFonts w:ascii="Arial" w:hAnsi="Arial" w:cs="Arial"/>
        </w:rPr>
        <w:t>doi</w:t>
      </w:r>
      <w:proofErr w:type="spellEnd"/>
      <w:r w:rsidR="00397169" w:rsidRPr="00051B46">
        <w:rPr>
          <w:rFonts w:ascii="Arial" w:hAnsi="Arial" w:cs="Arial"/>
        </w:rPr>
        <w:t xml:space="preserve">: 10.1016/j.metabol.2016.10.004. </w:t>
      </w:r>
    </w:p>
    <w:p w14:paraId="7E35ABFB" w14:textId="0F2D1B82" w:rsidR="00397169" w:rsidRPr="00051B46" w:rsidRDefault="002E74B9" w:rsidP="00690F26">
      <w:pPr>
        <w:spacing w:after="0" w:line="276" w:lineRule="auto"/>
        <w:ind w:left="576" w:hanging="576"/>
        <w:rPr>
          <w:rFonts w:ascii="Arial" w:hAnsi="Arial" w:cs="Arial"/>
        </w:rPr>
      </w:pPr>
      <w:r w:rsidRPr="00051B46">
        <w:rPr>
          <w:rFonts w:ascii="Arial" w:hAnsi="Arial" w:cs="Arial"/>
        </w:rPr>
        <w:t>176</w:t>
      </w:r>
      <w:r w:rsidR="00397169" w:rsidRPr="00051B46">
        <w:rPr>
          <w:rFonts w:ascii="Arial" w:hAnsi="Arial" w:cs="Arial"/>
        </w:rPr>
        <w:t xml:space="preserve">. Le TA, Chen J, </w:t>
      </w:r>
      <w:proofErr w:type="spellStart"/>
      <w:r w:rsidR="00397169" w:rsidRPr="00051B46">
        <w:rPr>
          <w:rFonts w:ascii="Arial" w:hAnsi="Arial" w:cs="Arial"/>
        </w:rPr>
        <w:t>Changchien</w:t>
      </w:r>
      <w:proofErr w:type="spellEnd"/>
      <w:r w:rsidR="00397169" w:rsidRPr="00051B46">
        <w:rPr>
          <w:rFonts w:ascii="Arial" w:hAnsi="Arial" w:cs="Arial"/>
        </w:rPr>
        <w:t xml:space="preserve"> C, et al. Effect of </w:t>
      </w:r>
      <w:proofErr w:type="spellStart"/>
      <w:r w:rsidR="00397169" w:rsidRPr="00051B46">
        <w:rPr>
          <w:rFonts w:ascii="Arial" w:hAnsi="Arial" w:cs="Arial"/>
        </w:rPr>
        <w:t>colesevelam</w:t>
      </w:r>
      <w:proofErr w:type="spellEnd"/>
      <w:r w:rsidR="00397169" w:rsidRPr="00051B46">
        <w:rPr>
          <w:rFonts w:ascii="Arial" w:hAnsi="Arial" w:cs="Arial"/>
        </w:rPr>
        <w:t xml:space="preserve"> on liver fat quantified by magnetic resonance in nonalcoholic steatohepatitis: a randomized controlled trial. Hepatology. </w:t>
      </w:r>
      <w:proofErr w:type="gramStart"/>
      <w:r w:rsidR="00397169" w:rsidRPr="00051B46">
        <w:rPr>
          <w:rFonts w:ascii="Arial" w:hAnsi="Arial" w:cs="Arial"/>
        </w:rPr>
        <w:t>2012;56:922</w:t>
      </w:r>
      <w:proofErr w:type="gramEnd"/>
      <w:r w:rsidR="00397169" w:rsidRPr="00051B46">
        <w:rPr>
          <w:rFonts w:ascii="Arial" w:hAnsi="Arial" w:cs="Arial"/>
        </w:rPr>
        <w:t xml:space="preserve">-32. </w:t>
      </w:r>
    </w:p>
    <w:p w14:paraId="6C13B843" w14:textId="508508DE" w:rsidR="00397169" w:rsidRPr="00051B46" w:rsidRDefault="00EF05F0" w:rsidP="00690F26">
      <w:pPr>
        <w:spacing w:after="0" w:line="276" w:lineRule="auto"/>
        <w:ind w:left="576" w:hanging="576"/>
        <w:rPr>
          <w:rFonts w:ascii="Arial" w:hAnsi="Arial" w:cs="Arial"/>
        </w:rPr>
      </w:pPr>
      <w:r w:rsidRPr="00051B46">
        <w:rPr>
          <w:rFonts w:ascii="Arial" w:hAnsi="Arial" w:cs="Arial"/>
        </w:rPr>
        <w:t>177</w:t>
      </w:r>
      <w:r w:rsidR="00397169" w:rsidRPr="00051B46">
        <w:rPr>
          <w:rFonts w:ascii="Arial" w:hAnsi="Arial" w:cs="Arial"/>
        </w:rPr>
        <w:t xml:space="preserve">.  </w:t>
      </w:r>
      <w:proofErr w:type="spellStart"/>
      <w:r w:rsidR="00397169" w:rsidRPr="00051B46">
        <w:rPr>
          <w:rFonts w:ascii="Arial" w:hAnsi="Arial" w:cs="Arial"/>
        </w:rPr>
        <w:t>Dasarathy</w:t>
      </w:r>
      <w:proofErr w:type="spellEnd"/>
      <w:r w:rsidR="00397169" w:rsidRPr="00051B46">
        <w:rPr>
          <w:rFonts w:ascii="Arial" w:hAnsi="Arial" w:cs="Arial"/>
        </w:rPr>
        <w:t xml:space="preserve"> S, </w:t>
      </w:r>
      <w:proofErr w:type="spellStart"/>
      <w:r w:rsidR="00397169" w:rsidRPr="00051B46">
        <w:rPr>
          <w:rFonts w:ascii="Arial" w:hAnsi="Arial" w:cs="Arial"/>
        </w:rPr>
        <w:t>Dasarathy</w:t>
      </w:r>
      <w:proofErr w:type="spellEnd"/>
      <w:r w:rsidR="00397169" w:rsidRPr="00051B46">
        <w:rPr>
          <w:rFonts w:ascii="Arial" w:hAnsi="Arial" w:cs="Arial"/>
        </w:rPr>
        <w:t xml:space="preserve"> J, </w:t>
      </w:r>
      <w:proofErr w:type="spellStart"/>
      <w:r w:rsidR="00397169" w:rsidRPr="00051B46">
        <w:rPr>
          <w:rFonts w:ascii="Arial" w:hAnsi="Arial" w:cs="Arial"/>
        </w:rPr>
        <w:t>Khiyami</w:t>
      </w:r>
      <w:proofErr w:type="spellEnd"/>
      <w:r w:rsidR="00397169" w:rsidRPr="00051B46">
        <w:rPr>
          <w:rFonts w:ascii="Arial" w:hAnsi="Arial" w:cs="Arial"/>
        </w:rPr>
        <w:t xml:space="preserve"> A, et al. Double-blind randomized placebo</w:t>
      </w:r>
      <w:r w:rsidRPr="00051B46">
        <w:rPr>
          <w:rFonts w:ascii="Arial" w:hAnsi="Arial" w:cs="Arial"/>
        </w:rPr>
        <w:t xml:space="preserve"> </w:t>
      </w:r>
      <w:r w:rsidR="00397169" w:rsidRPr="00051B46">
        <w:rPr>
          <w:rFonts w:ascii="Arial" w:hAnsi="Arial" w:cs="Arial"/>
        </w:rPr>
        <w:t xml:space="preserve">controlled clinical trial of omega 3 fatty acids for the treatment of diabetic patients with nonalcoholic steatohepatitis. J Clin Gastroenterol. </w:t>
      </w:r>
      <w:proofErr w:type="gramStart"/>
      <w:r w:rsidR="00397169" w:rsidRPr="00051B46">
        <w:rPr>
          <w:rFonts w:ascii="Arial" w:hAnsi="Arial" w:cs="Arial"/>
        </w:rPr>
        <w:t>2015;49:137</w:t>
      </w:r>
      <w:proofErr w:type="gramEnd"/>
      <w:r w:rsidR="00397169" w:rsidRPr="00051B46">
        <w:rPr>
          <w:rFonts w:ascii="Arial" w:hAnsi="Arial" w:cs="Arial"/>
        </w:rPr>
        <w:t xml:space="preserve">-44. </w:t>
      </w:r>
    </w:p>
    <w:p w14:paraId="4B90DAC0" w14:textId="1AB200CC" w:rsidR="00397169" w:rsidRPr="00051B46" w:rsidRDefault="00EF05F0" w:rsidP="00690F26">
      <w:pPr>
        <w:spacing w:after="0" w:line="276" w:lineRule="auto"/>
        <w:ind w:left="576" w:hanging="576"/>
        <w:rPr>
          <w:rFonts w:ascii="Arial" w:hAnsi="Arial" w:cs="Arial"/>
        </w:rPr>
      </w:pPr>
      <w:r w:rsidRPr="00051B46">
        <w:rPr>
          <w:rFonts w:ascii="Arial" w:hAnsi="Arial" w:cs="Arial"/>
        </w:rPr>
        <w:t>178</w:t>
      </w:r>
      <w:r w:rsidR="00397169" w:rsidRPr="00051B46">
        <w:rPr>
          <w:rFonts w:ascii="Arial" w:hAnsi="Arial" w:cs="Arial"/>
        </w:rPr>
        <w:t xml:space="preserve">.  </w:t>
      </w:r>
      <w:proofErr w:type="spellStart"/>
      <w:r w:rsidR="00397169" w:rsidRPr="00051B46">
        <w:rPr>
          <w:rFonts w:ascii="Arial" w:hAnsi="Arial" w:cs="Arial"/>
        </w:rPr>
        <w:t>Athyros</w:t>
      </w:r>
      <w:proofErr w:type="spellEnd"/>
      <w:r w:rsidR="00397169" w:rsidRPr="00051B46">
        <w:rPr>
          <w:rFonts w:ascii="Arial" w:hAnsi="Arial" w:cs="Arial"/>
        </w:rPr>
        <w:t xml:space="preserve"> VG, </w:t>
      </w:r>
      <w:proofErr w:type="spellStart"/>
      <w:r w:rsidR="00397169" w:rsidRPr="00051B46">
        <w:rPr>
          <w:rFonts w:ascii="Arial" w:hAnsi="Arial" w:cs="Arial"/>
        </w:rPr>
        <w:t>Mikhailidis</w:t>
      </w:r>
      <w:proofErr w:type="spellEnd"/>
      <w:r w:rsidR="00397169" w:rsidRPr="00051B46">
        <w:rPr>
          <w:rFonts w:ascii="Arial" w:hAnsi="Arial" w:cs="Arial"/>
        </w:rPr>
        <w:t xml:space="preserve"> DP, </w:t>
      </w:r>
      <w:proofErr w:type="spellStart"/>
      <w:r w:rsidR="00397169" w:rsidRPr="00051B46">
        <w:rPr>
          <w:rFonts w:ascii="Arial" w:hAnsi="Arial" w:cs="Arial"/>
        </w:rPr>
        <w:t>Didangelos</w:t>
      </w:r>
      <w:proofErr w:type="spellEnd"/>
      <w:r w:rsidR="00397169" w:rsidRPr="00051B46">
        <w:rPr>
          <w:rFonts w:ascii="Arial" w:hAnsi="Arial" w:cs="Arial"/>
        </w:rPr>
        <w:t xml:space="preserve"> TP, et al. Effect of multifactorial treatment on non-alcoholic fatty liver disease in metabolic syndrome: a </w:t>
      </w:r>
      <w:proofErr w:type="spellStart"/>
      <w:r w:rsidR="00397169" w:rsidRPr="00051B46">
        <w:rPr>
          <w:rFonts w:ascii="Arial" w:hAnsi="Arial" w:cs="Arial"/>
        </w:rPr>
        <w:t>randomised</w:t>
      </w:r>
      <w:proofErr w:type="spellEnd"/>
      <w:r w:rsidR="00397169" w:rsidRPr="00051B46">
        <w:rPr>
          <w:rFonts w:ascii="Arial" w:hAnsi="Arial" w:cs="Arial"/>
        </w:rPr>
        <w:t xml:space="preserve"> study. </w:t>
      </w:r>
      <w:proofErr w:type="spellStart"/>
      <w:r w:rsidR="00397169" w:rsidRPr="00051B46">
        <w:rPr>
          <w:rFonts w:ascii="Arial" w:hAnsi="Arial" w:cs="Arial"/>
        </w:rPr>
        <w:t>Curr</w:t>
      </w:r>
      <w:proofErr w:type="spellEnd"/>
      <w:r w:rsidR="00397169" w:rsidRPr="00051B46">
        <w:rPr>
          <w:rFonts w:ascii="Arial" w:hAnsi="Arial" w:cs="Arial"/>
        </w:rPr>
        <w:t xml:space="preserve"> Med Res </w:t>
      </w:r>
      <w:proofErr w:type="spellStart"/>
      <w:r w:rsidR="00397169" w:rsidRPr="00051B46">
        <w:rPr>
          <w:rFonts w:ascii="Arial" w:hAnsi="Arial" w:cs="Arial"/>
        </w:rPr>
        <w:t>Opin</w:t>
      </w:r>
      <w:proofErr w:type="spellEnd"/>
      <w:r w:rsidR="00397169" w:rsidRPr="00051B46">
        <w:rPr>
          <w:rFonts w:ascii="Arial" w:hAnsi="Arial" w:cs="Arial"/>
        </w:rPr>
        <w:t xml:space="preserve">. </w:t>
      </w:r>
      <w:proofErr w:type="gramStart"/>
      <w:r w:rsidR="00397169" w:rsidRPr="00051B46">
        <w:rPr>
          <w:rFonts w:ascii="Arial" w:hAnsi="Arial" w:cs="Arial"/>
        </w:rPr>
        <w:t>2006;22:873</w:t>
      </w:r>
      <w:proofErr w:type="gramEnd"/>
      <w:r w:rsidR="00397169" w:rsidRPr="00051B46">
        <w:rPr>
          <w:rFonts w:ascii="Arial" w:hAnsi="Arial" w:cs="Arial"/>
        </w:rPr>
        <w:t xml:space="preserve">-83. </w:t>
      </w:r>
    </w:p>
    <w:p w14:paraId="0F24CDB2" w14:textId="39D544E9" w:rsidR="00397169" w:rsidRPr="00051B46" w:rsidRDefault="00EF05F0" w:rsidP="00690F26">
      <w:pPr>
        <w:spacing w:after="0" w:line="276" w:lineRule="auto"/>
        <w:ind w:left="576" w:hanging="576"/>
        <w:rPr>
          <w:rFonts w:ascii="Arial" w:hAnsi="Arial" w:cs="Arial"/>
        </w:rPr>
      </w:pPr>
      <w:r w:rsidRPr="00051B46">
        <w:rPr>
          <w:rFonts w:ascii="Arial" w:hAnsi="Arial" w:cs="Arial"/>
        </w:rPr>
        <w:t>179</w:t>
      </w:r>
      <w:r w:rsidR="00397169" w:rsidRPr="00051B46">
        <w:rPr>
          <w:rFonts w:ascii="Arial" w:hAnsi="Arial" w:cs="Arial"/>
        </w:rPr>
        <w:t xml:space="preserve">.  </w:t>
      </w:r>
      <w:proofErr w:type="spellStart"/>
      <w:r w:rsidR="00397169" w:rsidRPr="00051B46">
        <w:rPr>
          <w:rFonts w:ascii="Arial" w:hAnsi="Arial" w:cs="Arial"/>
        </w:rPr>
        <w:t>Fabbrini</w:t>
      </w:r>
      <w:proofErr w:type="spellEnd"/>
      <w:r w:rsidR="00397169" w:rsidRPr="00051B46">
        <w:rPr>
          <w:rFonts w:ascii="Arial" w:hAnsi="Arial" w:cs="Arial"/>
        </w:rPr>
        <w:t xml:space="preserve"> E, Mohammed BS, </w:t>
      </w:r>
      <w:proofErr w:type="spellStart"/>
      <w:r w:rsidR="00397169" w:rsidRPr="00051B46">
        <w:rPr>
          <w:rFonts w:ascii="Arial" w:hAnsi="Arial" w:cs="Arial"/>
        </w:rPr>
        <w:t>Korenblat</w:t>
      </w:r>
      <w:proofErr w:type="spellEnd"/>
      <w:r w:rsidR="00397169" w:rsidRPr="00051B46">
        <w:rPr>
          <w:rFonts w:ascii="Arial" w:hAnsi="Arial" w:cs="Arial"/>
        </w:rPr>
        <w:t xml:space="preserve"> KM, et al. Effect of fenofibrate and niacin on intrahepatic triglyceride content, very low-density lipoprotein kinetics, and insulin action in obese subjects with nonalcoholic fatty liver disease. J Clin Endocrinol </w:t>
      </w:r>
      <w:proofErr w:type="spellStart"/>
      <w:r w:rsidR="00397169" w:rsidRPr="00051B46">
        <w:rPr>
          <w:rFonts w:ascii="Arial" w:hAnsi="Arial" w:cs="Arial"/>
        </w:rPr>
        <w:t>Metab</w:t>
      </w:r>
      <w:proofErr w:type="spellEnd"/>
      <w:r w:rsidR="00397169" w:rsidRPr="00051B46">
        <w:rPr>
          <w:rFonts w:ascii="Arial" w:hAnsi="Arial" w:cs="Arial"/>
        </w:rPr>
        <w:t xml:space="preserve">. </w:t>
      </w:r>
      <w:proofErr w:type="gramStart"/>
      <w:r w:rsidR="00397169" w:rsidRPr="00051B46">
        <w:rPr>
          <w:rFonts w:ascii="Arial" w:hAnsi="Arial" w:cs="Arial"/>
        </w:rPr>
        <w:t>2010;95:2727</w:t>
      </w:r>
      <w:proofErr w:type="gramEnd"/>
      <w:r w:rsidR="00397169" w:rsidRPr="00051B46">
        <w:rPr>
          <w:rFonts w:ascii="Arial" w:hAnsi="Arial" w:cs="Arial"/>
        </w:rPr>
        <w:t>-35.</w:t>
      </w:r>
    </w:p>
    <w:p w14:paraId="11F3E641" w14:textId="45C17E54" w:rsidR="00397169" w:rsidRPr="00051B46" w:rsidRDefault="00EF05F0" w:rsidP="00690F26">
      <w:pPr>
        <w:spacing w:after="0" w:line="276" w:lineRule="auto"/>
        <w:ind w:left="576" w:hanging="576"/>
        <w:rPr>
          <w:rFonts w:ascii="Arial" w:hAnsi="Arial" w:cs="Arial"/>
        </w:rPr>
      </w:pPr>
      <w:r w:rsidRPr="00051B46">
        <w:rPr>
          <w:rFonts w:ascii="Arial" w:hAnsi="Arial" w:cs="Arial"/>
        </w:rPr>
        <w:t>180</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Younossi</w:t>
      </w:r>
      <w:proofErr w:type="spellEnd"/>
      <w:r w:rsidR="00397169" w:rsidRPr="00051B46">
        <w:rPr>
          <w:rFonts w:ascii="Arial" w:hAnsi="Arial" w:cs="Arial"/>
        </w:rPr>
        <w:t xml:space="preserve"> ZM, Loomba R, Rinella ME, et al. Current and future therapeutic regimens for nonalcoholic fatty liver disease and nonalcoholic steatohepatitis. Hepatology. </w:t>
      </w:r>
      <w:proofErr w:type="gramStart"/>
      <w:r w:rsidR="00397169" w:rsidRPr="00051B46">
        <w:rPr>
          <w:rFonts w:ascii="Arial" w:hAnsi="Arial" w:cs="Arial"/>
        </w:rPr>
        <w:t>2018;68:361</w:t>
      </w:r>
      <w:proofErr w:type="gramEnd"/>
      <w:r w:rsidR="00397169" w:rsidRPr="00051B46">
        <w:rPr>
          <w:rFonts w:ascii="Arial" w:hAnsi="Arial" w:cs="Arial"/>
        </w:rPr>
        <w:t>-371.</w:t>
      </w:r>
    </w:p>
    <w:p w14:paraId="54D5151E" w14:textId="2B1834A2" w:rsidR="00397169" w:rsidRPr="00051B46" w:rsidRDefault="0023295B" w:rsidP="00690F26">
      <w:pPr>
        <w:spacing w:after="0" w:line="276" w:lineRule="auto"/>
        <w:ind w:left="576" w:hanging="576"/>
        <w:rPr>
          <w:rFonts w:ascii="Arial" w:hAnsi="Arial" w:cs="Arial"/>
        </w:rPr>
      </w:pPr>
      <w:r w:rsidRPr="00051B46">
        <w:rPr>
          <w:rFonts w:ascii="Arial" w:hAnsi="Arial" w:cs="Arial"/>
        </w:rPr>
        <w:t>181</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Sanyal</w:t>
      </w:r>
      <w:proofErr w:type="spellEnd"/>
      <w:r w:rsidR="00397169" w:rsidRPr="00051B46">
        <w:rPr>
          <w:rFonts w:ascii="Arial" w:hAnsi="Arial" w:cs="Arial"/>
        </w:rPr>
        <w:t xml:space="preserve"> AJ. Past, present and future perspectives in nonalcoholic fatty liver disease. Nat Rev Gastroenterol </w:t>
      </w:r>
      <w:proofErr w:type="spellStart"/>
      <w:r w:rsidR="00397169" w:rsidRPr="00051B46">
        <w:rPr>
          <w:rFonts w:ascii="Arial" w:hAnsi="Arial" w:cs="Arial"/>
        </w:rPr>
        <w:t>Hepatol</w:t>
      </w:r>
      <w:proofErr w:type="spellEnd"/>
      <w:r w:rsidR="00397169" w:rsidRPr="00051B46">
        <w:rPr>
          <w:rFonts w:ascii="Arial" w:hAnsi="Arial" w:cs="Arial"/>
        </w:rPr>
        <w:t xml:space="preserve">. </w:t>
      </w:r>
      <w:proofErr w:type="gramStart"/>
      <w:r w:rsidR="00397169" w:rsidRPr="00051B46">
        <w:rPr>
          <w:rFonts w:ascii="Arial" w:hAnsi="Arial" w:cs="Arial"/>
        </w:rPr>
        <w:t>2019;16:377</w:t>
      </w:r>
      <w:proofErr w:type="gramEnd"/>
      <w:r w:rsidR="00397169" w:rsidRPr="00051B46">
        <w:rPr>
          <w:rFonts w:ascii="Arial" w:hAnsi="Arial" w:cs="Arial"/>
        </w:rPr>
        <w:t>-386.</w:t>
      </w:r>
    </w:p>
    <w:p w14:paraId="0D980102" w14:textId="5AA7F5B4" w:rsidR="00397169" w:rsidRPr="00051B46" w:rsidRDefault="0023295B" w:rsidP="00690F26">
      <w:pPr>
        <w:spacing w:after="0" w:line="276" w:lineRule="auto"/>
        <w:ind w:left="576" w:hanging="576"/>
        <w:rPr>
          <w:rFonts w:ascii="Arial" w:hAnsi="Arial" w:cs="Arial"/>
        </w:rPr>
      </w:pPr>
      <w:r w:rsidRPr="00051B46">
        <w:rPr>
          <w:rFonts w:ascii="Arial" w:hAnsi="Arial" w:cs="Arial"/>
        </w:rPr>
        <w:lastRenderedPageBreak/>
        <w:t>182</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Mudaliar</w:t>
      </w:r>
      <w:proofErr w:type="spellEnd"/>
      <w:r w:rsidR="00397169" w:rsidRPr="00051B46">
        <w:rPr>
          <w:rFonts w:ascii="Arial" w:hAnsi="Arial" w:cs="Arial"/>
        </w:rPr>
        <w:t xml:space="preserve"> S, Henry RR, </w:t>
      </w:r>
      <w:proofErr w:type="spellStart"/>
      <w:r w:rsidR="00397169" w:rsidRPr="00051B46">
        <w:rPr>
          <w:rFonts w:ascii="Arial" w:hAnsi="Arial" w:cs="Arial"/>
        </w:rPr>
        <w:t>Sanyal</w:t>
      </w:r>
      <w:proofErr w:type="spellEnd"/>
      <w:r w:rsidR="00397169" w:rsidRPr="00051B46">
        <w:rPr>
          <w:rFonts w:ascii="Arial" w:hAnsi="Arial" w:cs="Arial"/>
        </w:rPr>
        <w:t xml:space="preserve"> AJ, et al. Efficacy and safety of the </w:t>
      </w:r>
      <w:proofErr w:type="spellStart"/>
      <w:r w:rsidR="00397169" w:rsidRPr="00051B46">
        <w:rPr>
          <w:rFonts w:ascii="Arial" w:hAnsi="Arial" w:cs="Arial"/>
        </w:rPr>
        <w:t>farnesoid</w:t>
      </w:r>
      <w:proofErr w:type="spellEnd"/>
      <w:r w:rsidR="00397169" w:rsidRPr="00051B46">
        <w:rPr>
          <w:rFonts w:ascii="Arial" w:hAnsi="Arial" w:cs="Arial"/>
        </w:rPr>
        <w:t xml:space="preserve"> x receptor agonist </w:t>
      </w:r>
      <w:proofErr w:type="spellStart"/>
      <w:r w:rsidR="00397169" w:rsidRPr="00051B46">
        <w:rPr>
          <w:rFonts w:ascii="Arial" w:hAnsi="Arial" w:cs="Arial"/>
        </w:rPr>
        <w:t>obeticholic</w:t>
      </w:r>
      <w:proofErr w:type="spellEnd"/>
      <w:r w:rsidR="00397169" w:rsidRPr="00051B46">
        <w:rPr>
          <w:rFonts w:ascii="Arial" w:hAnsi="Arial" w:cs="Arial"/>
        </w:rPr>
        <w:t xml:space="preserve"> acid in patients with type 2 diabetes and nonalcoholic fatty liver disease. Gastroenterology. </w:t>
      </w:r>
      <w:proofErr w:type="gramStart"/>
      <w:r w:rsidR="00397169" w:rsidRPr="00051B46">
        <w:rPr>
          <w:rFonts w:ascii="Arial" w:hAnsi="Arial" w:cs="Arial"/>
        </w:rPr>
        <w:t>2013;145:574</w:t>
      </w:r>
      <w:proofErr w:type="gramEnd"/>
      <w:r w:rsidR="00397169" w:rsidRPr="00051B46">
        <w:rPr>
          <w:rFonts w:ascii="Arial" w:hAnsi="Arial" w:cs="Arial"/>
        </w:rPr>
        <w:t xml:space="preserve">-82. </w:t>
      </w:r>
    </w:p>
    <w:p w14:paraId="1B6B6CCA" w14:textId="7889E5D6" w:rsidR="00397169" w:rsidRPr="00051B46" w:rsidRDefault="0023295B" w:rsidP="00690F26">
      <w:pPr>
        <w:spacing w:after="0" w:line="276" w:lineRule="auto"/>
        <w:ind w:left="576" w:hanging="576"/>
        <w:rPr>
          <w:rFonts w:ascii="Arial" w:hAnsi="Arial" w:cs="Arial"/>
        </w:rPr>
      </w:pPr>
      <w:r w:rsidRPr="00051B46">
        <w:rPr>
          <w:rFonts w:ascii="Arial" w:hAnsi="Arial" w:cs="Arial"/>
        </w:rPr>
        <w:t>183</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Neuschwander-Tetri</w:t>
      </w:r>
      <w:proofErr w:type="spellEnd"/>
      <w:r w:rsidR="00397169" w:rsidRPr="00051B46">
        <w:rPr>
          <w:rFonts w:ascii="Arial" w:hAnsi="Arial" w:cs="Arial"/>
        </w:rPr>
        <w:t xml:space="preserve"> BA, Loomba R, </w:t>
      </w:r>
      <w:proofErr w:type="spellStart"/>
      <w:r w:rsidR="00397169" w:rsidRPr="00051B46">
        <w:rPr>
          <w:rFonts w:ascii="Arial" w:hAnsi="Arial" w:cs="Arial"/>
        </w:rPr>
        <w:t>Sanyal</w:t>
      </w:r>
      <w:proofErr w:type="spellEnd"/>
      <w:r w:rsidR="00397169" w:rsidRPr="00051B46">
        <w:rPr>
          <w:rFonts w:ascii="Arial" w:hAnsi="Arial" w:cs="Arial"/>
        </w:rPr>
        <w:t xml:space="preserve"> AJ, et al. </w:t>
      </w:r>
      <w:proofErr w:type="spellStart"/>
      <w:r w:rsidR="00397169" w:rsidRPr="00051B46">
        <w:rPr>
          <w:rFonts w:ascii="Arial" w:hAnsi="Arial" w:cs="Arial"/>
        </w:rPr>
        <w:t>Farnesoid</w:t>
      </w:r>
      <w:proofErr w:type="spellEnd"/>
      <w:r w:rsidR="00397169" w:rsidRPr="00051B46">
        <w:rPr>
          <w:rFonts w:ascii="Arial" w:hAnsi="Arial" w:cs="Arial"/>
        </w:rPr>
        <w:t xml:space="preserve"> X nuclear receptor ligand </w:t>
      </w:r>
      <w:proofErr w:type="spellStart"/>
      <w:r w:rsidR="00397169" w:rsidRPr="00051B46">
        <w:rPr>
          <w:rFonts w:ascii="Arial" w:hAnsi="Arial" w:cs="Arial"/>
        </w:rPr>
        <w:t>obeticholic</w:t>
      </w:r>
      <w:proofErr w:type="spellEnd"/>
      <w:r w:rsidR="00397169" w:rsidRPr="00051B46">
        <w:rPr>
          <w:rFonts w:ascii="Arial" w:hAnsi="Arial" w:cs="Arial"/>
        </w:rPr>
        <w:t xml:space="preserve"> acid for non-cirrhotic, non-alcoholic steatohepatitis (FLINT): a </w:t>
      </w:r>
      <w:proofErr w:type="spellStart"/>
      <w:r w:rsidR="00397169" w:rsidRPr="00051B46">
        <w:rPr>
          <w:rFonts w:ascii="Arial" w:hAnsi="Arial" w:cs="Arial"/>
        </w:rPr>
        <w:t>multicentre</w:t>
      </w:r>
      <w:proofErr w:type="spellEnd"/>
      <w:r w:rsidR="00397169" w:rsidRPr="00051B46">
        <w:rPr>
          <w:rFonts w:ascii="Arial" w:hAnsi="Arial" w:cs="Arial"/>
        </w:rPr>
        <w:t xml:space="preserve">, </w:t>
      </w:r>
      <w:proofErr w:type="spellStart"/>
      <w:r w:rsidR="00397169" w:rsidRPr="00051B46">
        <w:rPr>
          <w:rFonts w:ascii="Arial" w:hAnsi="Arial" w:cs="Arial"/>
        </w:rPr>
        <w:t>randomised</w:t>
      </w:r>
      <w:proofErr w:type="spellEnd"/>
      <w:r w:rsidR="00397169" w:rsidRPr="00051B46">
        <w:rPr>
          <w:rFonts w:ascii="Arial" w:hAnsi="Arial" w:cs="Arial"/>
        </w:rPr>
        <w:t xml:space="preserve">, placebo-controlled trial. Lancet. </w:t>
      </w:r>
      <w:proofErr w:type="gramStart"/>
      <w:r w:rsidR="00397169" w:rsidRPr="00051B46">
        <w:rPr>
          <w:rFonts w:ascii="Arial" w:hAnsi="Arial" w:cs="Arial"/>
        </w:rPr>
        <w:t>2015;385:956</w:t>
      </w:r>
      <w:proofErr w:type="gramEnd"/>
      <w:r w:rsidR="00397169" w:rsidRPr="00051B46">
        <w:rPr>
          <w:rFonts w:ascii="Arial" w:hAnsi="Arial" w:cs="Arial"/>
        </w:rPr>
        <w:t>–965.</w:t>
      </w:r>
    </w:p>
    <w:p w14:paraId="03394AAB" w14:textId="5D432EB6" w:rsidR="00397169" w:rsidRPr="00051B46" w:rsidRDefault="0023295B" w:rsidP="00690F26">
      <w:pPr>
        <w:spacing w:after="0" w:line="276" w:lineRule="auto"/>
        <w:ind w:left="576" w:hanging="576"/>
        <w:rPr>
          <w:rFonts w:ascii="Arial" w:hAnsi="Arial" w:cs="Arial"/>
        </w:rPr>
      </w:pPr>
      <w:r w:rsidRPr="00051B46">
        <w:rPr>
          <w:rFonts w:ascii="Arial" w:hAnsi="Arial" w:cs="Arial"/>
        </w:rPr>
        <w:t>184</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Younossi</w:t>
      </w:r>
      <w:proofErr w:type="spellEnd"/>
      <w:r w:rsidR="00397169" w:rsidRPr="00051B46">
        <w:rPr>
          <w:rFonts w:ascii="Arial" w:hAnsi="Arial" w:cs="Arial"/>
        </w:rPr>
        <w:t xml:space="preserve"> Z, </w:t>
      </w:r>
      <w:proofErr w:type="spellStart"/>
      <w:r w:rsidR="00397169" w:rsidRPr="00051B46">
        <w:rPr>
          <w:rFonts w:ascii="Arial" w:hAnsi="Arial" w:cs="Arial"/>
        </w:rPr>
        <w:t>Ratziu</w:t>
      </w:r>
      <w:proofErr w:type="spellEnd"/>
      <w:r w:rsidR="00397169" w:rsidRPr="00051B46">
        <w:rPr>
          <w:rFonts w:ascii="Arial" w:hAnsi="Arial" w:cs="Arial"/>
        </w:rPr>
        <w:t xml:space="preserve"> V, Loomba R, et al. Positive results from REGENERATE: A phase 3 international, randomized, placebo-controlled study evaluating </w:t>
      </w:r>
      <w:proofErr w:type="spellStart"/>
      <w:r w:rsidR="00397169" w:rsidRPr="00051B46">
        <w:rPr>
          <w:rFonts w:ascii="Arial" w:hAnsi="Arial" w:cs="Arial"/>
        </w:rPr>
        <w:t>obeticholic</w:t>
      </w:r>
      <w:proofErr w:type="spellEnd"/>
      <w:r w:rsidR="00397169" w:rsidRPr="00051B46">
        <w:rPr>
          <w:rFonts w:ascii="Arial" w:hAnsi="Arial" w:cs="Arial"/>
        </w:rPr>
        <w:t xml:space="preserve"> acid treatment for NASH. J </w:t>
      </w:r>
      <w:proofErr w:type="spellStart"/>
      <w:r w:rsidR="00397169" w:rsidRPr="00051B46">
        <w:rPr>
          <w:rFonts w:ascii="Arial" w:hAnsi="Arial" w:cs="Arial"/>
        </w:rPr>
        <w:t>Hepatol</w:t>
      </w:r>
      <w:proofErr w:type="spellEnd"/>
      <w:r w:rsidR="00397169" w:rsidRPr="00051B46">
        <w:rPr>
          <w:rFonts w:ascii="Arial" w:hAnsi="Arial" w:cs="Arial"/>
        </w:rPr>
        <w:t xml:space="preserve"> 2019; </w:t>
      </w:r>
      <w:proofErr w:type="gramStart"/>
      <w:r w:rsidR="00397169" w:rsidRPr="00051B46">
        <w:rPr>
          <w:rFonts w:ascii="Arial" w:hAnsi="Arial" w:cs="Arial"/>
        </w:rPr>
        <w:t>70:e</w:t>
      </w:r>
      <w:proofErr w:type="gramEnd"/>
      <w:r w:rsidR="00397169" w:rsidRPr="00051B46">
        <w:rPr>
          <w:rFonts w:ascii="Arial" w:hAnsi="Arial" w:cs="Arial"/>
        </w:rPr>
        <w:t>5.</w:t>
      </w:r>
    </w:p>
    <w:p w14:paraId="47F227F6" w14:textId="7563F293" w:rsidR="00397169" w:rsidRPr="00051B46" w:rsidRDefault="001269F0" w:rsidP="00690F26">
      <w:pPr>
        <w:spacing w:after="0" w:line="276" w:lineRule="auto"/>
        <w:ind w:left="576" w:hanging="576"/>
        <w:rPr>
          <w:rFonts w:ascii="Arial" w:hAnsi="Arial" w:cs="Arial"/>
        </w:rPr>
      </w:pPr>
      <w:r w:rsidRPr="00051B46">
        <w:rPr>
          <w:rFonts w:ascii="Arial" w:hAnsi="Arial" w:cs="Arial"/>
        </w:rPr>
        <w:t>185</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Staels</w:t>
      </w:r>
      <w:proofErr w:type="spellEnd"/>
      <w:r w:rsidR="00397169" w:rsidRPr="00051B46">
        <w:rPr>
          <w:rFonts w:ascii="Arial" w:hAnsi="Arial" w:cs="Arial"/>
        </w:rPr>
        <w:t xml:space="preserve"> B, </w:t>
      </w:r>
      <w:proofErr w:type="spellStart"/>
      <w:r w:rsidR="00397169" w:rsidRPr="00051B46">
        <w:rPr>
          <w:rFonts w:ascii="Arial" w:hAnsi="Arial" w:cs="Arial"/>
        </w:rPr>
        <w:t>Rubenstrunk</w:t>
      </w:r>
      <w:proofErr w:type="spellEnd"/>
      <w:r w:rsidR="00397169" w:rsidRPr="00051B46">
        <w:rPr>
          <w:rFonts w:ascii="Arial" w:hAnsi="Arial" w:cs="Arial"/>
        </w:rPr>
        <w:t xml:space="preserve"> A, Noel B, et al. Hepatoprotective effects of the dual peroxisome proliferator-activated receptor alpha/delta agonist, GFT505, in rodent models of nonalcoholic fatty liver disease/nonalcoholic steatohepatitis. Hepatology. 2013; 58:1941-52.</w:t>
      </w:r>
    </w:p>
    <w:p w14:paraId="2FF3D7CB" w14:textId="165DF847" w:rsidR="00397169" w:rsidRPr="00051B46" w:rsidRDefault="001269F0" w:rsidP="00690F26">
      <w:pPr>
        <w:spacing w:after="0" w:line="276" w:lineRule="auto"/>
        <w:ind w:left="576" w:hanging="576"/>
        <w:rPr>
          <w:rFonts w:ascii="Arial" w:hAnsi="Arial" w:cs="Arial"/>
        </w:rPr>
      </w:pPr>
      <w:r w:rsidRPr="00051B46">
        <w:rPr>
          <w:rFonts w:ascii="Arial" w:hAnsi="Arial" w:cs="Arial"/>
        </w:rPr>
        <w:t>186</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Ratziu</w:t>
      </w:r>
      <w:proofErr w:type="spellEnd"/>
      <w:r w:rsidR="00397169" w:rsidRPr="00051B46">
        <w:rPr>
          <w:rFonts w:ascii="Arial" w:hAnsi="Arial" w:cs="Arial"/>
        </w:rPr>
        <w:t xml:space="preserve"> V, Harrison SA, </w:t>
      </w:r>
      <w:proofErr w:type="spellStart"/>
      <w:r w:rsidR="00397169" w:rsidRPr="00051B46">
        <w:rPr>
          <w:rFonts w:ascii="Arial" w:hAnsi="Arial" w:cs="Arial"/>
        </w:rPr>
        <w:t>Francque</w:t>
      </w:r>
      <w:proofErr w:type="spellEnd"/>
      <w:r w:rsidR="00397169" w:rsidRPr="00051B46">
        <w:rPr>
          <w:rFonts w:ascii="Arial" w:hAnsi="Arial" w:cs="Arial"/>
        </w:rPr>
        <w:t xml:space="preserve"> S, et al. </w:t>
      </w:r>
      <w:proofErr w:type="spellStart"/>
      <w:r w:rsidR="00397169" w:rsidRPr="00051B46">
        <w:rPr>
          <w:rFonts w:ascii="Arial" w:hAnsi="Arial" w:cs="Arial"/>
        </w:rPr>
        <w:t>Elafibranor</w:t>
      </w:r>
      <w:proofErr w:type="spellEnd"/>
      <w:r w:rsidR="00397169" w:rsidRPr="00051B46">
        <w:rPr>
          <w:rFonts w:ascii="Arial" w:hAnsi="Arial" w:cs="Arial"/>
        </w:rPr>
        <w:t>, an agonist of the peroxisome proliferator-activated receptor-α and -δ, induces resolution of nonalcoholic steatohepatitis without fibrosis worsening. Gastroenterology. 2016; 150:1147-1159.</w:t>
      </w:r>
    </w:p>
    <w:p w14:paraId="38AA65E8" w14:textId="2E0A6D79" w:rsidR="00397169" w:rsidRPr="00051B46" w:rsidRDefault="001269F0" w:rsidP="00690F26">
      <w:pPr>
        <w:spacing w:after="0" w:line="276" w:lineRule="auto"/>
        <w:ind w:left="576" w:hanging="576"/>
        <w:rPr>
          <w:rFonts w:ascii="Arial" w:hAnsi="Arial" w:cs="Arial"/>
        </w:rPr>
      </w:pPr>
      <w:r w:rsidRPr="00051B46">
        <w:rPr>
          <w:rFonts w:ascii="Arial" w:hAnsi="Arial" w:cs="Arial"/>
        </w:rPr>
        <w:t>187</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Boubia</w:t>
      </w:r>
      <w:proofErr w:type="spellEnd"/>
      <w:r w:rsidR="00397169" w:rsidRPr="00051B46">
        <w:rPr>
          <w:rFonts w:ascii="Arial" w:hAnsi="Arial" w:cs="Arial"/>
        </w:rPr>
        <w:t xml:space="preserve"> B, </w:t>
      </w:r>
      <w:proofErr w:type="spellStart"/>
      <w:r w:rsidR="00397169" w:rsidRPr="00051B46">
        <w:rPr>
          <w:rFonts w:ascii="Arial" w:hAnsi="Arial" w:cs="Arial"/>
        </w:rPr>
        <w:t>Poupardin</w:t>
      </w:r>
      <w:proofErr w:type="spellEnd"/>
      <w:r w:rsidR="00397169" w:rsidRPr="00051B46">
        <w:rPr>
          <w:rFonts w:ascii="Arial" w:hAnsi="Arial" w:cs="Arial"/>
        </w:rPr>
        <w:t xml:space="preserve"> O, Barth M, et al. Design, synthesis, and evaluation of a novel series of indole sulfonamide peroxisome proliferator activated receptor (PPAR) α/γ/δ triple activators: discovery of </w:t>
      </w:r>
      <w:proofErr w:type="spellStart"/>
      <w:r w:rsidR="00397169" w:rsidRPr="00051B46">
        <w:rPr>
          <w:rFonts w:ascii="Arial" w:hAnsi="Arial" w:cs="Arial"/>
        </w:rPr>
        <w:t>lanifibranor</w:t>
      </w:r>
      <w:proofErr w:type="spellEnd"/>
      <w:r w:rsidR="00397169" w:rsidRPr="00051B46">
        <w:rPr>
          <w:rFonts w:ascii="Arial" w:hAnsi="Arial" w:cs="Arial"/>
        </w:rPr>
        <w:t>, a new antifibrotic clinical candidate. J Med Chem. 2018; 61:2246-2265.</w:t>
      </w:r>
    </w:p>
    <w:p w14:paraId="7C1442FB" w14:textId="61167ED7" w:rsidR="00397169" w:rsidRPr="00051B46" w:rsidRDefault="001269F0" w:rsidP="00690F26">
      <w:pPr>
        <w:spacing w:after="0" w:line="276" w:lineRule="auto"/>
        <w:ind w:left="576" w:hanging="576"/>
        <w:rPr>
          <w:rFonts w:ascii="Arial" w:hAnsi="Arial" w:cs="Arial"/>
        </w:rPr>
      </w:pPr>
      <w:r w:rsidRPr="00051B46">
        <w:rPr>
          <w:rFonts w:ascii="Arial" w:hAnsi="Arial" w:cs="Arial"/>
        </w:rPr>
        <w:t>188</w:t>
      </w:r>
      <w:r w:rsidR="00397169" w:rsidRPr="00051B46">
        <w:rPr>
          <w:rFonts w:ascii="Arial" w:hAnsi="Arial" w:cs="Arial"/>
        </w:rPr>
        <w:t xml:space="preserve">. </w:t>
      </w:r>
      <w:r w:rsidR="00397169" w:rsidRPr="00051B46">
        <w:rPr>
          <w:rFonts w:ascii="Arial" w:hAnsi="Arial" w:cs="Arial"/>
        </w:rPr>
        <w:tab/>
        <w:t xml:space="preserve">Jain MR, </w:t>
      </w:r>
      <w:proofErr w:type="spellStart"/>
      <w:r w:rsidR="00397169" w:rsidRPr="00051B46">
        <w:rPr>
          <w:rFonts w:ascii="Arial" w:hAnsi="Arial" w:cs="Arial"/>
        </w:rPr>
        <w:t>Giri</w:t>
      </w:r>
      <w:proofErr w:type="spellEnd"/>
      <w:r w:rsidR="00397169" w:rsidRPr="00051B46">
        <w:rPr>
          <w:rFonts w:ascii="Arial" w:hAnsi="Arial" w:cs="Arial"/>
        </w:rPr>
        <w:t xml:space="preserve"> SR, </w:t>
      </w:r>
      <w:proofErr w:type="spellStart"/>
      <w:r w:rsidR="00397169" w:rsidRPr="00051B46">
        <w:rPr>
          <w:rFonts w:ascii="Arial" w:hAnsi="Arial" w:cs="Arial"/>
        </w:rPr>
        <w:t>Bhoi</w:t>
      </w:r>
      <w:proofErr w:type="spellEnd"/>
      <w:r w:rsidR="00397169" w:rsidRPr="00051B46">
        <w:rPr>
          <w:rFonts w:ascii="Arial" w:hAnsi="Arial" w:cs="Arial"/>
        </w:rPr>
        <w:t xml:space="preserve"> B, et al. Dual PPARα/γ agonist </w:t>
      </w:r>
      <w:proofErr w:type="spellStart"/>
      <w:r w:rsidR="00397169" w:rsidRPr="00051B46">
        <w:rPr>
          <w:rFonts w:ascii="Arial" w:hAnsi="Arial" w:cs="Arial"/>
        </w:rPr>
        <w:t>saroglitazar</w:t>
      </w:r>
      <w:proofErr w:type="spellEnd"/>
      <w:r w:rsidR="00397169" w:rsidRPr="00051B46">
        <w:rPr>
          <w:rFonts w:ascii="Arial" w:hAnsi="Arial" w:cs="Arial"/>
        </w:rPr>
        <w:t xml:space="preserve"> improves liver histopathology and biochemistry in experimental NASH models. Liver Int. 2018; 38:1084-1094.</w:t>
      </w:r>
    </w:p>
    <w:p w14:paraId="305A7EE3" w14:textId="370CEDAD" w:rsidR="00397169" w:rsidRPr="00051B46" w:rsidRDefault="001269F0" w:rsidP="00690F26">
      <w:pPr>
        <w:spacing w:after="0" w:line="276" w:lineRule="auto"/>
        <w:ind w:left="576" w:hanging="576"/>
        <w:rPr>
          <w:rFonts w:ascii="Arial" w:hAnsi="Arial" w:cs="Arial"/>
        </w:rPr>
      </w:pPr>
      <w:r w:rsidRPr="00051B46">
        <w:rPr>
          <w:rFonts w:ascii="Arial" w:hAnsi="Arial" w:cs="Arial"/>
        </w:rPr>
        <w:t>189</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Colca</w:t>
      </w:r>
      <w:proofErr w:type="spellEnd"/>
      <w:r w:rsidR="00397169" w:rsidRPr="00051B46">
        <w:rPr>
          <w:rFonts w:ascii="Arial" w:hAnsi="Arial" w:cs="Arial"/>
        </w:rPr>
        <w:t xml:space="preserve"> JR, McDonald WG, Adams WJ.  MSDC-0602K, a metabolic modulator directed at the core pathology of non-alcoholic steatohepatitis.  Expert </w:t>
      </w:r>
      <w:proofErr w:type="spellStart"/>
      <w:r w:rsidR="00397169" w:rsidRPr="00051B46">
        <w:rPr>
          <w:rFonts w:ascii="Arial" w:hAnsi="Arial" w:cs="Arial"/>
        </w:rPr>
        <w:t>Opin</w:t>
      </w:r>
      <w:proofErr w:type="spellEnd"/>
      <w:r w:rsidR="00397169" w:rsidRPr="00051B46">
        <w:rPr>
          <w:rFonts w:ascii="Arial" w:hAnsi="Arial" w:cs="Arial"/>
        </w:rPr>
        <w:t xml:space="preserve"> </w:t>
      </w:r>
      <w:proofErr w:type="spellStart"/>
      <w:r w:rsidR="00397169" w:rsidRPr="00051B46">
        <w:rPr>
          <w:rFonts w:ascii="Arial" w:hAnsi="Arial" w:cs="Arial"/>
        </w:rPr>
        <w:t>Investig</w:t>
      </w:r>
      <w:proofErr w:type="spellEnd"/>
      <w:r w:rsidR="00397169" w:rsidRPr="00051B46">
        <w:rPr>
          <w:rFonts w:ascii="Arial" w:hAnsi="Arial" w:cs="Arial"/>
        </w:rPr>
        <w:t xml:space="preserve"> Drugs. 2018; 27:631-636.</w:t>
      </w:r>
    </w:p>
    <w:p w14:paraId="1AC28CEE" w14:textId="0606CB16" w:rsidR="00397169" w:rsidRPr="00051B46" w:rsidRDefault="001269F0" w:rsidP="00690F26">
      <w:pPr>
        <w:spacing w:after="0" w:line="276" w:lineRule="auto"/>
        <w:ind w:left="576" w:hanging="576"/>
        <w:rPr>
          <w:rFonts w:ascii="Arial" w:hAnsi="Arial" w:cs="Arial"/>
        </w:rPr>
      </w:pPr>
      <w:r w:rsidRPr="00051B46">
        <w:rPr>
          <w:rFonts w:ascii="Arial" w:hAnsi="Arial" w:cs="Arial"/>
        </w:rPr>
        <w:t>190</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Iruarrizaga-Lejarreta</w:t>
      </w:r>
      <w:proofErr w:type="spellEnd"/>
      <w:r w:rsidR="00397169" w:rsidRPr="00051B46">
        <w:rPr>
          <w:rFonts w:ascii="Arial" w:hAnsi="Arial" w:cs="Arial"/>
        </w:rPr>
        <w:t xml:space="preserve"> M, Varela-Rey M, Fernández-Ramos D, et al. Role of </w:t>
      </w:r>
      <w:proofErr w:type="spellStart"/>
      <w:r w:rsidR="00397169" w:rsidRPr="00051B46">
        <w:rPr>
          <w:rFonts w:ascii="Arial" w:hAnsi="Arial" w:cs="Arial"/>
        </w:rPr>
        <w:t>aramchol</w:t>
      </w:r>
      <w:proofErr w:type="spellEnd"/>
      <w:r w:rsidR="00397169" w:rsidRPr="00051B46">
        <w:rPr>
          <w:rFonts w:ascii="Arial" w:hAnsi="Arial" w:cs="Arial"/>
        </w:rPr>
        <w:t xml:space="preserve"> in steatohepatitis and fibrosis in mice. </w:t>
      </w:r>
      <w:proofErr w:type="spellStart"/>
      <w:r w:rsidR="00397169" w:rsidRPr="00051B46">
        <w:rPr>
          <w:rFonts w:ascii="Arial" w:hAnsi="Arial" w:cs="Arial"/>
        </w:rPr>
        <w:t>Hepatol</w:t>
      </w:r>
      <w:proofErr w:type="spellEnd"/>
      <w:r w:rsidR="00397169" w:rsidRPr="00051B46">
        <w:rPr>
          <w:rFonts w:ascii="Arial" w:hAnsi="Arial" w:cs="Arial"/>
        </w:rPr>
        <w:t xml:space="preserve"> </w:t>
      </w:r>
      <w:proofErr w:type="spellStart"/>
      <w:r w:rsidR="00397169" w:rsidRPr="00051B46">
        <w:rPr>
          <w:rFonts w:ascii="Arial" w:hAnsi="Arial" w:cs="Arial"/>
        </w:rPr>
        <w:t>Commun</w:t>
      </w:r>
      <w:proofErr w:type="spellEnd"/>
      <w:r w:rsidR="00397169" w:rsidRPr="00051B46">
        <w:rPr>
          <w:rFonts w:ascii="Arial" w:hAnsi="Arial" w:cs="Arial"/>
        </w:rPr>
        <w:t>. 2017; 1:911-927.</w:t>
      </w:r>
    </w:p>
    <w:p w14:paraId="34A53E5C" w14:textId="4DA9B82C" w:rsidR="00397169" w:rsidRPr="00051B46" w:rsidRDefault="001269F0" w:rsidP="00690F26">
      <w:pPr>
        <w:spacing w:after="0" w:line="276" w:lineRule="auto"/>
        <w:ind w:left="576" w:hanging="576"/>
        <w:rPr>
          <w:rFonts w:ascii="Arial" w:hAnsi="Arial" w:cs="Arial"/>
        </w:rPr>
      </w:pPr>
      <w:r w:rsidRPr="00051B46">
        <w:rPr>
          <w:rFonts w:ascii="Arial" w:hAnsi="Arial" w:cs="Arial"/>
        </w:rPr>
        <w:t>191</w:t>
      </w:r>
      <w:r w:rsidR="00397169" w:rsidRPr="00051B46">
        <w:rPr>
          <w:rFonts w:ascii="Arial" w:hAnsi="Arial" w:cs="Arial"/>
        </w:rPr>
        <w:t xml:space="preserve">. </w:t>
      </w:r>
      <w:r w:rsidR="00397169" w:rsidRPr="00051B46">
        <w:rPr>
          <w:rFonts w:ascii="Arial" w:hAnsi="Arial" w:cs="Arial"/>
        </w:rPr>
        <w:tab/>
        <w:t xml:space="preserve">Loomba R, </w:t>
      </w:r>
      <w:proofErr w:type="spellStart"/>
      <w:r w:rsidR="00397169" w:rsidRPr="00051B46">
        <w:rPr>
          <w:rFonts w:ascii="Arial" w:hAnsi="Arial" w:cs="Arial"/>
        </w:rPr>
        <w:t>Kayali</w:t>
      </w:r>
      <w:proofErr w:type="spellEnd"/>
      <w:r w:rsidR="00397169" w:rsidRPr="00051B46">
        <w:rPr>
          <w:rFonts w:ascii="Arial" w:hAnsi="Arial" w:cs="Arial"/>
        </w:rPr>
        <w:t xml:space="preserve"> Z, </w:t>
      </w:r>
      <w:proofErr w:type="spellStart"/>
      <w:r w:rsidR="00397169" w:rsidRPr="00051B46">
        <w:rPr>
          <w:rFonts w:ascii="Arial" w:hAnsi="Arial" w:cs="Arial"/>
        </w:rPr>
        <w:t>Noureddin</w:t>
      </w:r>
      <w:proofErr w:type="spellEnd"/>
      <w:r w:rsidR="00397169" w:rsidRPr="00051B46">
        <w:rPr>
          <w:rFonts w:ascii="Arial" w:hAnsi="Arial" w:cs="Arial"/>
        </w:rPr>
        <w:t xml:space="preserve"> M, et al. GS-0976 reduces hepatic steatosis and fibrosis markers in patients with nonalcoholic fatty liver disease. Gastroenterology. 2018; 155:1463-1473.</w:t>
      </w:r>
    </w:p>
    <w:p w14:paraId="4256163B" w14:textId="030B5E22" w:rsidR="00397169" w:rsidRPr="00051B46" w:rsidRDefault="001269F0" w:rsidP="00690F26">
      <w:pPr>
        <w:spacing w:after="0" w:line="276" w:lineRule="auto"/>
        <w:ind w:left="576" w:hanging="576"/>
        <w:rPr>
          <w:rFonts w:ascii="Arial" w:hAnsi="Arial" w:cs="Arial"/>
        </w:rPr>
      </w:pPr>
      <w:r w:rsidRPr="00051B46">
        <w:rPr>
          <w:rFonts w:ascii="Arial" w:hAnsi="Arial" w:cs="Arial"/>
        </w:rPr>
        <w:t>192</w:t>
      </w:r>
      <w:r w:rsidR="00397169" w:rsidRPr="00051B46">
        <w:rPr>
          <w:rFonts w:ascii="Arial" w:hAnsi="Arial" w:cs="Arial"/>
        </w:rPr>
        <w:t xml:space="preserve">. </w:t>
      </w:r>
      <w:r w:rsidR="00397169" w:rsidRPr="00051B46">
        <w:rPr>
          <w:rFonts w:ascii="Arial" w:hAnsi="Arial" w:cs="Arial"/>
        </w:rPr>
        <w:tab/>
      </w:r>
      <w:proofErr w:type="spellStart"/>
      <w:r w:rsidR="00397169" w:rsidRPr="00051B46">
        <w:rPr>
          <w:rFonts w:ascii="Arial" w:hAnsi="Arial" w:cs="Arial"/>
        </w:rPr>
        <w:t>Lawitz</w:t>
      </w:r>
      <w:proofErr w:type="spellEnd"/>
      <w:r w:rsidR="00397169" w:rsidRPr="00051B46">
        <w:rPr>
          <w:rFonts w:ascii="Arial" w:hAnsi="Arial" w:cs="Arial"/>
        </w:rPr>
        <w:t xml:space="preserve"> EJ, </w:t>
      </w:r>
      <w:proofErr w:type="spellStart"/>
      <w:r w:rsidR="00397169" w:rsidRPr="00051B46">
        <w:rPr>
          <w:rFonts w:ascii="Arial" w:hAnsi="Arial" w:cs="Arial"/>
        </w:rPr>
        <w:t>Coste</w:t>
      </w:r>
      <w:proofErr w:type="spellEnd"/>
      <w:r w:rsidR="00397169" w:rsidRPr="00051B46">
        <w:rPr>
          <w:rFonts w:ascii="Arial" w:hAnsi="Arial" w:cs="Arial"/>
        </w:rPr>
        <w:t xml:space="preserve"> A, </w:t>
      </w:r>
      <w:proofErr w:type="spellStart"/>
      <w:r w:rsidR="00397169" w:rsidRPr="00051B46">
        <w:rPr>
          <w:rFonts w:ascii="Arial" w:hAnsi="Arial" w:cs="Arial"/>
        </w:rPr>
        <w:t>Poordad</w:t>
      </w:r>
      <w:proofErr w:type="spellEnd"/>
      <w:r w:rsidR="00397169" w:rsidRPr="00051B46">
        <w:rPr>
          <w:rFonts w:ascii="Arial" w:hAnsi="Arial" w:cs="Arial"/>
        </w:rPr>
        <w:t xml:space="preserve"> F, et al. Acetyl-CoA carboxylase inhibitor GS-0976 for 12 weeks reduces hepatic de novo lipogenesis and steatosis in patients with nonalcoholic steatohepatitis. Clin Gastroenterol </w:t>
      </w:r>
      <w:proofErr w:type="spellStart"/>
      <w:r w:rsidR="00397169" w:rsidRPr="00051B46">
        <w:rPr>
          <w:rFonts w:ascii="Arial" w:hAnsi="Arial" w:cs="Arial"/>
        </w:rPr>
        <w:t>Hepatol</w:t>
      </w:r>
      <w:proofErr w:type="spellEnd"/>
      <w:r w:rsidR="00397169" w:rsidRPr="00051B46">
        <w:rPr>
          <w:rFonts w:ascii="Arial" w:hAnsi="Arial" w:cs="Arial"/>
        </w:rPr>
        <w:t>. 2018; 16:1983-1991.</w:t>
      </w:r>
    </w:p>
    <w:p w14:paraId="7B9FA1DB" w14:textId="6626F246" w:rsidR="00397169" w:rsidRPr="00051B46" w:rsidRDefault="001269F0" w:rsidP="00690F26">
      <w:pPr>
        <w:spacing w:after="0" w:line="276" w:lineRule="auto"/>
        <w:ind w:left="576" w:hanging="576"/>
        <w:rPr>
          <w:rFonts w:ascii="Arial" w:hAnsi="Arial" w:cs="Arial"/>
        </w:rPr>
      </w:pPr>
      <w:r w:rsidRPr="00051B46">
        <w:rPr>
          <w:rFonts w:ascii="Arial" w:hAnsi="Arial" w:cs="Arial"/>
        </w:rPr>
        <w:t>193</w:t>
      </w:r>
      <w:r w:rsidR="00397169" w:rsidRPr="00051B46">
        <w:rPr>
          <w:rFonts w:ascii="Arial" w:hAnsi="Arial" w:cs="Arial"/>
        </w:rPr>
        <w:t xml:space="preserve">. </w:t>
      </w:r>
      <w:r w:rsidR="00397169" w:rsidRPr="00051B46">
        <w:rPr>
          <w:rFonts w:ascii="Arial" w:hAnsi="Arial" w:cs="Arial"/>
        </w:rPr>
        <w:tab/>
        <w:t xml:space="preserve">Zhou M, Wang X, Phung V, et al. Separating tumorigenicity from bile acid regulatory activity for endocrine hormone FGF19. Cancer Res. 2014; 74:3306-16. </w:t>
      </w:r>
    </w:p>
    <w:p w14:paraId="36115940" w14:textId="7F2962E9" w:rsidR="00397169" w:rsidRPr="00051B46" w:rsidRDefault="001269F0" w:rsidP="00690F26">
      <w:pPr>
        <w:spacing w:after="0" w:line="276" w:lineRule="auto"/>
        <w:ind w:left="576" w:hanging="576"/>
        <w:rPr>
          <w:rFonts w:ascii="Arial" w:hAnsi="Arial" w:cs="Arial"/>
        </w:rPr>
      </w:pPr>
      <w:r w:rsidRPr="00051B46">
        <w:rPr>
          <w:rFonts w:ascii="Arial" w:hAnsi="Arial" w:cs="Arial"/>
        </w:rPr>
        <w:t>194</w:t>
      </w:r>
      <w:r w:rsidR="00397169" w:rsidRPr="00051B46">
        <w:rPr>
          <w:rFonts w:ascii="Arial" w:hAnsi="Arial" w:cs="Arial"/>
        </w:rPr>
        <w:t xml:space="preserve">. </w:t>
      </w:r>
      <w:r w:rsidR="00397169" w:rsidRPr="00051B46">
        <w:rPr>
          <w:rFonts w:ascii="Arial" w:hAnsi="Arial" w:cs="Arial"/>
        </w:rPr>
        <w:tab/>
        <w:t xml:space="preserve">Harrison SA, Rinella ME, </w:t>
      </w:r>
      <w:proofErr w:type="spellStart"/>
      <w:r w:rsidR="00397169" w:rsidRPr="00051B46">
        <w:rPr>
          <w:rFonts w:ascii="Arial" w:hAnsi="Arial" w:cs="Arial"/>
        </w:rPr>
        <w:t>Abdelmalek</w:t>
      </w:r>
      <w:proofErr w:type="spellEnd"/>
      <w:r w:rsidR="00397169" w:rsidRPr="00051B46">
        <w:rPr>
          <w:rFonts w:ascii="Arial" w:hAnsi="Arial" w:cs="Arial"/>
        </w:rPr>
        <w:t xml:space="preserve"> MF, et al. NGM282 for treatment of non-alcoholic steatohepatitis: a </w:t>
      </w:r>
      <w:proofErr w:type="spellStart"/>
      <w:r w:rsidR="00397169" w:rsidRPr="00051B46">
        <w:rPr>
          <w:rFonts w:ascii="Arial" w:hAnsi="Arial" w:cs="Arial"/>
        </w:rPr>
        <w:t>multicentre</w:t>
      </w:r>
      <w:proofErr w:type="spellEnd"/>
      <w:r w:rsidR="00397169" w:rsidRPr="00051B46">
        <w:rPr>
          <w:rFonts w:ascii="Arial" w:hAnsi="Arial" w:cs="Arial"/>
        </w:rPr>
        <w:t xml:space="preserve">, </w:t>
      </w:r>
      <w:proofErr w:type="spellStart"/>
      <w:r w:rsidR="00397169" w:rsidRPr="00051B46">
        <w:rPr>
          <w:rFonts w:ascii="Arial" w:hAnsi="Arial" w:cs="Arial"/>
        </w:rPr>
        <w:t>randomised</w:t>
      </w:r>
      <w:proofErr w:type="spellEnd"/>
      <w:r w:rsidR="00397169" w:rsidRPr="00051B46">
        <w:rPr>
          <w:rFonts w:ascii="Arial" w:hAnsi="Arial" w:cs="Arial"/>
        </w:rPr>
        <w:t>, double-blind, placebo-controlled, phase 2 trial. Lancet. 2018; 391:1174-1185.</w:t>
      </w:r>
    </w:p>
    <w:p w14:paraId="5299CE7B" w14:textId="71C482AC" w:rsidR="00397169" w:rsidRPr="00051B46" w:rsidRDefault="001269F0" w:rsidP="00690F26">
      <w:pPr>
        <w:spacing w:after="0" w:line="276" w:lineRule="auto"/>
        <w:ind w:left="576" w:hanging="576"/>
        <w:rPr>
          <w:rFonts w:ascii="Arial" w:hAnsi="Arial" w:cs="Arial"/>
        </w:rPr>
      </w:pPr>
      <w:r w:rsidRPr="00051B46">
        <w:rPr>
          <w:rFonts w:ascii="Arial" w:hAnsi="Arial" w:cs="Arial"/>
        </w:rPr>
        <w:t>195</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Vatner</w:t>
      </w:r>
      <w:proofErr w:type="spellEnd"/>
      <w:r w:rsidR="00397169" w:rsidRPr="00051B46">
        <w:rPr>
          <w:rFonts w:ascii="Arial" w:hAnsi="Arial" w:cs="Arial"/>
        </w:rPr>
        <w:t xml:space="preserve"> DF, Weismann D, </w:t>
      </w:r>
      <w:proofErr w:type="spellStart"/>
      <w:r w:rsidR="00397169" w:rsidRPr="00051B46">
        <w:rPr>
          <w:rFonts w:ascii="Arial" w:hAnsi="Arial" w:cs="Arial"/>
        </w:rPr>
        <w:t>Beddow</w:t>
      </w:r>
      <w:proofErr w:type="spellEnd"/>
      <w:r w:rsidR="00397169" w:rsidRPr="00051B46">
        <w:rPr>
          <w:rFonts w:ascii="Arial" w:hAnsi="Arial" w:cs="Arial"/>
        </w:rPr>
        <w:t xml:space="preserve"> SA, et al. Thyroid hormone receptor-β agonists prevent hepatic steatosis in fat-fed rats but impair insulin sensitivity via discrete pathways. Am J </w:t>
      </w:r>
      <w:proofErr w:type="spellStart"/>
      <w:r w:rsidR="00397169" w:rsidRPr="00051B46">
        <w:rPr>
          <w:rFonts w:ascii="Arial" w:hAnsi="Arial" w:cs="Arial"/>
        </w:rPr>
        <w:t>Physiol</w:t>
      </w:r>
      <w:proofErr w:type="spellEnd"/>
      <w:r w:rsidR="00397169" w:rsidRPr="00051B46">
        <w:rPr>
          <w:rFonts w:ascii="Arial" w:hAnsi="Arial" w:cs="Arial"/>
        </w:rPr>
        <w:t xml:space="preserve"> Endocrinol </w:t>
      </w:r>
      <w:proofErr w:type="spellStart"/>
      <w:r w:rsidR="00397169" w:rsidRPr="00051B46">
        <w:rPr>
          <w:rFonts w:ascii="Arial" w:hAnsi="Arial" w:cs="Arial"/>
        </w:rPr>
        <w:t>Metab</w:t>
      </w:r>
      <w:proofErr w:type="spellEnd"/>
      <w:r w:rsidR="00397169" w:rsidRPr="00051B46">
        <w:rPr>
          <w:rFonts w:ascii="Arial" w:hAnsi="Arial" w:cs="Arial"/>
        </w:rPr>
        <w:t xml:space="preserve">. 2013; </w:t>
      </w:r>
      <w:proofErr w:type="gramStart"/>
      <w:r w:rsidR="00397169" w:rsidRPr="00051B46">
        <w:rPr>
          <w:rFonts w:ascii="Arial" w:hAnsi="Arial" w:cs="Arial"/>
        </w:rPr>
        <w:t>305:E</w:t>
      </w:r>
      <w:proofErr w:type="gramEnd"/>
      <w:r w:rsidR="00397169" w:rsidRPr="00051B46">
        <w:rPr>
          <w:rFonts w:ascii="Arial" w:hAnsi="Arial" w:cs="Arial"/>
        </w:rPr>
        <w:t>89-100.</w:t>
      </w:r>
    </w:p>
    <w:p w14:paraId="4395BCE5" w14:textId="1AD5EE68" w:rsidR="00476EE7" w:rsidRPr="00051B46" w:rsidRDefault="001269F0" w:rsidP="00690F26">
      <w:pPr>
        <w:spacing w:after="0" w:line="276" w:lineRule="auto"/>
        <w:ind w:left="576" w:hanging="576"/>
        <w:rPr>
          <w:rFonts w:ascii="Arial" w:hAnsi="Arial" w:cs="Arial"/>
        </w:rPr>
      </w:pPr>
      <w:r w:rsidRPr="00051B46">
        <w:rPr>
          <w:rFonts w:ascii="Arial" w:hAnsi="Arial" w:cs="Arial"/>
        </w:rPr>
        <w:t>196</w:t>
      </w:r>
      <w:r w:rsidR="00397169" w:rsidRPr="00051B46">
        <w:rPr>
          <w:rFonts w:ascii="Arial" w:hAnsi="Arial" w:cs="Arial"/>
        </w:rPr>
        <w:t>.</w:t>
      </w:r>
      <w:r w:rsidR="00397169" w:rsidRPr="00051B46">
        <w:rPr>
          <w:rFonts w:ascii="Arial" w:hAnsi="Arial" w:cs="Arial"/>
        </w:rPr>
        <w:tab/>
      </w:r>
      <w:proofErr w:type="spellStart"/>
      <w:r w:rsidR="00397169" w:rsidRPr="00051B46">
        <w:rPr>
          <w:rFonts w:ascii="Arial" w:hAnsi="Arial" w:cs="Arial"/>
        </w:rPr>
        <w:t>Kowalik</w:t>
      </w:r>
      <w:proofErr w:type="spellEnd"/>
      <w:r w:rsidR="00397169" w:rsidRPr="00051B46">
        <w:rPr>
          <w:rFonts w:ascii="Arial" w:hAnsi="Arial" w:cs="Arial"/>
        </w:rPr>
        <w:t xml:space="preserve"> MA, </w:t>
      </w:r>
      <w:proofErr w:type="spellStart"/>
      <w:r w:rsidR="00397169" w:rsidRPr="00051B46">
        <w:rPr>
          <w:rFonts w:ascii="Arial" w:hAnsi="Arial" w:cs="Arial"/>
        </w:rPr>
        <w:t>Columbano</w:t>
      </w:r>
      <w:proofErr w:type="spellEnd"/>
      <w:r w:rsidR="00397169" w:rsidRPr="00051B46">
        <w:rPr>
          <w:rFonts w:ascii="Arial" w:hAnsi="Arial" w:cs="Arial"/>
        </w:rPr>
        <w:t xml:space="preserve"> A, </w:t>
      </w:r>
      <w:proofErr w:type="spellStart"/>
      <w:r w:rsidR="00397169" w:rsidRPr="00051B46">
        <w:rPr>
          <w:rFonts w:ascii="Arial" w:hAnsi="Arial" w:cs="Arial"/>
        </w:rPr>
        <w:t>Perra</w:t>
      </w:r>
      <w:proofErr w:type="spellEnd"/>
      <w:r w:rsidR="00397169" w:rsidRPr="00051B46">
        <w:rPr>
          <w:rFonts w:ascii="Arial" w:hAnsi="Arial" w:cs="Arial"/>
        </w:rPr>
        <w:t xml:space="preserve"> A. Thyroid hormones, thyromimetics and their metabolites in the treatment of liver disease. Front Endocrinol (Lausanne). 2018; 9:382.</w:t>
      </w:r>
    </w:p>
    <w:p w14:paraId="7A7C5623" w14:textId="50B870B4" w:rsidR="00E52B56" w:rsidRPr="00051B46" w:rsidRDefault="00E52B56" w:rsidP="00690F26">
      <w:pPr>
        <w:spacing w:after="0" w:line="276" w:lineRule="auto"/>
        <w:ind w:left="576" w:hanging="576"/>
        <w:rPr>
          <w:rFonts w:ascii="Arial" w:hAnsi="Arial" w:cs="Arial"/>
          <w:color w:val="000000" w:themeColor="text1"/>
        </w:rPr>
      </w:pPr>
    </w:p>
    <w:bookmarkEnd w:id="1"/>
    <w:p w14:paraId="6A20B06F" w14:textId="4B41C57E" w:rsidR="00E52B56" w:rsidRDefault="00E52B56" w:rsidP="00690F26">
      <w:pPr>
        <w:spacing w:after="0" w:line="276" w:lineRule="auto"/>
        <w:ind w:left="576" w:hanging="576"/>
        <w:rPr>
          <w:rFonts w:asciiTheme="minorBidi" w:hAnsiTheme="minorBidi"/>
          <w:color w:val="000000" w:themeColor="text1"/>
        </w:rPr>
      </w:pPr>
    </w:p>
    <w:p w14:paraId="5A75DEBB" w14:textId="77777777" w:rsidR="00EC5817" w:rsidRPr="001B6F39" w:rsidRDefault="00EC5817" w:rsidP="004367A9">
      <w:pPr>
        <w:spacing w:after="0" w:line="276" w:lineRule="auto"/>
        <w:ind w:hanging="576"/>
        <w:rPr>
          <w:rFonts w:asciiTheme="minorBidi" w:hAnsiTheme="minorBidi"/>
          <w:color w:val="000000" w:themeColor="text1"/>
        </w:rPr>
      </w:pPr>
    </w:p>
    <w:p w14:paraId="6F582ABD" w14:textId="1B0D82FA" w:rsidR="00476EE7" w:rsidRPr="00397169" w:rsidRDefault="00476EE7" w:rsidP="00397169">
      <w:pPr>
        <w:spacing w:after="0" w:line="276" w:lineRule="auto"/>
        <w:ind w:hanging="576"/>
        <w:rPr>
          <w:rFonts w:ascii="Arial" w:hAnsi="Arial" w:cs="Arial"/>
        </w:rPr>
      </w:pPr>
    </w:p>
    <w:p w14:paraId="34C763B0" w14:textId="77777777" w:rsidR="00397169" w:rsidRPr="00397169" w:rsidRDefault="00397169" w:rsidP="00397169">
      <w:pPr>
        <w:spacing w:after="0" w:line="276" w:lineRule="auto"/>
        <w:ind w:hanging="576"/>
        <w:rPr>
          <w:rFonts w:ascii="Arial" w:hAnsi="Arial" w:cs="Arial"/>
        </w:rPr>
      </w:pPr>
    </w:p>
    <w:p w14:paraId="604828D5" w14:textId="77777777" w:rsidR="00397169" w:rsidRPr="00397169" w:rsidRDefault="00397169" w:rsidP="00397169">
      <w:pPr>
        <w:spacing w:after="0" w:line="276" w:lineRule="auto"/>
        <w:ind w:hanging="576"/>
        <w:rPr>
          <w:rFonts w:ascii="Arial" w:hAnsi="Arial" w:cs="Arial"/>
        </w:rPr>
      </w:pPr>
    </w:p>
    <w:p w14:paraId="7FE83BAB" w14:textId="77777777" w:rsidR="000B5B2F" w:rsidRPr="000B5B2F" w:rsidRDefault="000B5B2F" w:rsidP="000B5B2F">
      <w:pPr>
        <w:spacing w:after="0" w:line="276" w:lineRule="auto"/>
        <w:rPr>
          <w:rFonts w:ascii="Arial" w:hAnsi="Arial" w:cs="Arial"/>
        </w:rPr>
      </w:pPr>
    </w:p>
    <w:p w14:paraId="588E9D92" w14:textId="723FBC62" w:rsidR="000B5B2F" w:rsidRDefault="000B5B2F" w:rsidP="000B5B2F">
      <w:pPr>
        <w:spacing w:after="0" w:line="276" w:lineRule="auto"/>
        <w:rPr>
          <w:rFonts w:asciiTheme="minorBidi" w:hAnsiTheme="minorBidi"/>
          <w:b/>
          <w:bCs/>
        </w:rPr>
      </w:pPr>
    </w:p>
    <w:p w14:paraId="122AED59" w14:textId="13E0189F" w:rsidR="000B5B2F" w:rsidRDefault="000B5B2F" w:rsidP="000B5B2F">
      <w:pPr>
        <w:spacing w:after="0" w:line="276" w:lineRule="auto"/>
        <w:rPr>
          <w:rFonts w:asciiTheme="minorBidi" w:hAnsiTheme="minorBidi"/>
          <w:b/>
          <w:bCs/>
        </w:rPr>
      </w:pPr>
    </w:p>
    <w:p w14:paraId="171D4276" w14:textId="588B7345" w:rsidR="000B5B2F" w:rsidRDefault="000B5B2F" w:rsidP="000B5B2F">
      <w:pPr>
        <w:spacing w:after="0" w:line="276" w:lineRule="auto"/>
        <w:rPr>
          <w:rFonts w:asciiTheme="minorBidi" w:hAnsiTheme="minorBidi"/>
          <w:b/>
          <w:bCs/>
        </w:rPr>
      </w:pPr>
    </w:p>
    <w:p w14:paraId="78D20610" w14:textId="2C3F9883" w:rsidR="000B5B2F" w:rsidRDefault="000B5B2F" w:rsidP="000B5B2F">
      <w:pPr>
        <w:spacing w:after="0" w:line="276" w:lineRule="auto"/>
        <w:rPr>
          <w:rFonts w:asciiTheme="minorBidi" w:hAnsiTheme="minorBidi"/>
          <w:b/>
          <w:bCs/>
        </w:rPr>
      </w:pPr>
    </w:p>
    <w:p w14:paraId="1ECAA771" w14:textId="5F866953" w:rsidR="000B5B2F" w:rsidRDefault="000B5B2F" w:rsidP="000B5B2F">
      <w:pPr>
        <w:spacing w:after="0" w:line="276" w:lineRule="auto"/>
        <w:rPr>
          <w:rFonts w:asciiTheme="minorBidi" w:hAnsiTheme="minorBidi"/>
          <w:b/>
          <w:bCs/>
        </w:rPr>
      </w:pPr>
    </w:p>
    <w:p w14:paraId="428375BC" w14:textId="48488C4E" w:rsidR="000B5B2F" w:rsidRDefault="000B5B2F" w:rsidP="000B5B2F">
      <w:pPr>
        <w:spacing w:after="0" w:line="276" w:lineRule="auto"/>
        <w:rPr>
          <w:rFonts w:asciiTheme="minorBidi" w:hAnsiTheme="minorBidi"/>
          <w:b/>
          <w:bCs/>
        </w:rPr>
      </w:pPr>
    </w:p>
    <w:p w14:paraId="7769F52E" w14:textId="15629731" w:rsidR="000430C0" w:rsidRDefault="000430C0" w:rsidP="00823818">
      <w:pPr>
        <w:spacing w:line="480" w:lineRule="auto"/>
        <w:ind w:left="640" w:hanging="640"/>
        <w:rPr>
          <w:rFonts w:asciiTheme="minorBidi" w:hAnsiTheme="minorBidi"/>
        </w:rPr>
      </w:pPr>
    </w:p>
    <w:sectPr w:rsidR="000430C0">
      <w:footerReference w:type="even"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6E507" w14:textId="77777777" w:rsidR="00FD4AF1" w:rsidRDefault="00FD4AF1" w:rsidP="00B365B9">
      <w:pPr>
        <w:spacing w:after="0" w:line="240" w:lineRule="auto"/>
      </w:pPr>
      <w:r>
        <w:separator/>
      </w:r>
    </w:p>
  </w:endnote>
  <w:endnote w:type="continuationSeparator" w:id="0">
    <w:p w14:paraId="08927277" w14:textId="77777777" w:rsidR="00FD4AF1" w:rsidRDefault="00FD4AF1" w:rsidP="00B3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New Century Schlbk">
    <w:altName w:val="Century Schoolbook"/>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5903847"/>
      <w:docPartObj>
        <w:docPartGallery w:val="Page Numbers (Bottom of Page)"/>
        <w:docPartUnique/>
      </w:docPartObj>
    </w:sdtPr>
    <w:sdtEndPr>
      <w:rPr>
        <w:rStyle w:val="PageNumber"/>
      </w:rPr>
    </w:sdtEndPr>
    <w:sdtContent>
      <w:p w14:paraId="15D23991" w14:textId="6EBC0FF8" w:rsidR="00347292" w:rsidRDefault="00347292" w:rsidP="00287D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D0C995" w14:textId="77777777" w:rsidR="00347292" w:rsidRDefault="00347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09BA" w14:textId="77777777" w:rsidR="00347292" w:rsidRDefault="00347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4D5F8" w14:textId="77777777" w:rsidR="00FD4AF1" w:rsidRDefault="00FD4AF1" w:rsidP="00B365B9">
      <w:pPr>
        <w:spacing w:after="0" w:line="240" w:lineRule="auto"/>
      </w:pPr>
      <w:r>
        <w:separator/>
      </w:r>
    </w:p>
  </w:footnote>
  <w:footnote w:type="continuationSeparator" w:id="0">
    <w:p w14:paraId="47DBBC80" w14:textId="77777777" w:rsidR="00FD4AF1" w:rsidRDefault="00FD4AF1" w:rsidP="00B36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2C7F"/>
    <w:multiLevelType w:val="hybridMultilevel"/>
    <w:tmpl w:val="96EEB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271E1"/>
    <w:multiLevelType w:val="hybridMultilevel"/>
    <w:tmpl w:val="0B726D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45B80"/>
    <w:multiLevelType w:val="hybridMultilevel"/>
    <w:tmpl w:val="5134B1C2"/>
    <w:lvl w:ilvl="0" w:tplc="B2166828">
      <w:start w:val="1"/>
      <w:numFmt w:val="decimal"/>
      <w:lvlText w:val="%1."/>
      <w:lvlJc w:val="left"/>
      <w:pPr>
        <w:ind w:left="710" w:hanging="440"/>
      </w:pPr>
      <w:rPr>
        <w:rFonts w:asciiTheme="minorHAnsi" w:hAnsiTheme="minorHAnsi" w:cstheme="minorBidi"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D3630BF"/>
    <w:multiLevelType w:val="hybridMultilevel"/>
    <w:tmpl w:val="7DA008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1E68DD"/>
    <w:multiLevelType w:val="hybridMultilevel"/>
    <w:tmpl w:val="AA2A807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8508D1"/>
    <w:multiLevelType w:val="hybridMultilevel"/>
    <w:tmpl w:val="50B229AC"/>
    <w:lvl w:ilvl="0" w:tplc="2F1E21F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D5305"/>
    <w:multiLevelType w:val="multilevel"/>
    <w:tmpl w:val="6864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C40A1"/>
    <w:multiLevelType w:val="hybridMultilevel"/>
    <w:tmpl w:val="FFCA86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C1D22"/>
    <w:multiLevelType w:val="hybridMultilevel"/>
    <w:tmpl w:val="2B466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51A5C"/>
    <w:multiLevelType w:val="hybridMultilevel"/>
    <w:tmpl w:val="851AA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ED50F1"/>
    <w:multiLevelType w:val="hybridMultilevel"/>
    <w:tmpl w:val="D076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57044"/>
    <w:multiLevelType w:val="hybridMultilevel"/>
    <w:tmpl w:val="59D84A7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123C7B"/>
    <w:multiLevelType w:val="hybridMultilevel"/>
    <w:tmpl w:val="9CBE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9"/>
  </w:num>
  <w:num w:numId="5">
    <w:abstractNumId w:val="7"/>
  </w:num>
  <w:num w:numId="6">
    <w:abstractNumId w:val="1"/>
  </w:num>
  <w:num w:numId="7">
    <w:abstractNumId w:val="10"/>
  </w:num>
  <w:num w:numId="8">
    <w:abstractNumId w:val="5"/>
  </w:num>
  <w:num w:numId="9">
    <w:abstractNumId w:val="4"/>
  </w:num>
  <w:num w:numId="10">
    <w:abstractNumId w:val="11"/>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3MDYxNLYwNDQ1NDRX0lEKTi0uzszPAykwrwUAPG7mPywAAAA="/>
    <w:docVar w:name="EN.InstantFormat" w:val="&lt;ENInstantFormat&gt;&lt;Enabled&gt;0&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0xdrffj5ds2detzzip2vdorapzrsawf50v&quot;&gt;Ken_EndNote_2019&lt;record-ids&gt;&lt;item&gt;659&lt;/item&gt;&lt;/record-ids&gt;&lt;/item&gt;&lt;/Libraries&gt;"/>
  </w:docVars>
  <w:rsids>
    <w:rsidRoot w:val="00557F7D"/>
    <w:rsid w:val="00000BCD"/>
    <w:rsid w:val="00003100"/>
    <w:rsid w:val="000045BF"/>
    <w:rsid w:val="00004644"/>
    <w:rsid w:val="00010EFC"/>
    <w:rsid w:val="000133B2"/>
    <w:rsid w:val="00013E71"/>
    <w:rsid w:val="0001530B"/>
    <w:rsid w:val="0001605C"/>
    <w:rsid w:val="00022F9D"/>
    <w:rsid w:val="000231BA"/>
    <w:rsid w:val="000237DF"/>
    <w:rsid w:val="00023816"/>
    <w:rsid w:val="00026C47"/>
    <w:rsid w:val="0002708F"/>
    <w:rsid w:val="000367CB"/>
    <w:rsid w:val="000422A6"/>
    <w:rsid w:val="00042AEB"/>
    <w:rsid w:val="000430C0"/>
    <w:rsid w:val="00045639"/>
    <w:rsid w:val="00046E44"/>
    <w:rsid w:val="00051A5D"/>
    <w:rsid w:val="00051B46"/>
    <w:rsid w:val="000537B3"/>
    <w:rsid w:val="00054635"/>
    <w:rsid w:val="0005651A"/>
    <w:rsid w:val="00057AC6"/>
    <w:rsid w:val="00061900"/>
    <w:rsid w:val="00062519"/>
    <w:rsid w:val="00063726"/>
    <w:rsid w:val="00065FE0"/>
    <w:rsid w:val="00066D89"/>
    <w:rsid w:val="00070DCD"/>
    <w:rsid w:val="00073541"/>
    <w:rsid w:val="000809F1"/>
    <w:rsid w:val="00082259"/>
    <w:rsid w:val="00084401"/>
    <w:rsid w:val="0008466C"/>
    <w:rsid w:val="000847CA"/>
    <w:rsid w:val="000870F8"/>
    <w:rsid w:val="00087E8D"/>
    <w:rsid w:val="00090ACA"/>
    <w:rsid w:val="00090DDD"/>
    <w:rsid w:val="000926CA"/>
    <w:rsid w:val="00092710"/>
    <w:rsid w:val="000A0F68"/>
    <w:rsid w:val="000A4FD3"/>
    <w:rsid w:val="000A580B"/>
    <w:rsid w:val="000B19E5"/>
    <w:rsid w:val="000B5B2F"/>
    <w:rsid w:val="000B7D77"/>
    <w:rsid w:val="000B7FF2"/>
    <w:rsid w:val="000C6BFF"/>
    <w:rsid w:val="000C6DF9"/>
    <w:rsid w:val="000C7333"/>
    <w:rsid w:val="000D5571"/>
    <w:rsid w:val="000D581E"/>
    <w:rsid w:val="000D5DA4"/>
    <w:rsid w:val="000E1504"/>
    <w:rsid w:val="000F5C44"/>
    <w:rsid w:val="000F6D06"/>
    <w:rsid w:val="00101520"/>
    <w:rsid w:val="00102781"/>
    <w:rsid w:val="00106CF0"/>
    <w:rsid w:val="00106EC2"/>
    <w:rsid w:val="00107AA7"/>
    <w:rsid w:val="00116483"/>
    <w:rsid w:val="0012010B"/>
    <w:rsid w:val="00120A1C"/>
    <w:rsid w:val="001214C3"/>
    <w:rsid w:val="00122085"/>
    <w:rsid w:val="0012437F"/>
    <w:rsid w:val="00124B8B"/>
    <w:rsid w:val="001269F0"/>
    <w:rsid w:val="001274A7"/>
    <w:rsid w:val="001323B8"/>
    <w:rsid w:val="001342B1"/>
    <w:rsid w:val="00140115"/>
    <w:rsid w:val="00140412"/>
    <w:rsid w:val="00140568"/>
    <w:rsid w:val="00141047"/>
    <w:rsid w:val="00142CC1"/>
    <w:rsid w:val="00143C0E"/>
    <w:rsid w:val="00143CA7"/>
    <w:rsid w:val="001540C0"/>
    <w:rsid w:val="001548E7"/>
    <w:rsid w:val="00156703"/>
    <w:rsid w:val="0016096E"/>
    <w:rsid w:val="00173072"/>
    <w:rsid w:val="00175560"/>
    <w:rsid w:val="001775A2"/>
    <w:rsid w:val="00180201"/>
    <w:rsid w:val="00181FB9"/>
    <w:rsid w:val="00182018"/>
    <w:rsid w:val="00185F55"/>
    <w:rsid w:val="00186664"/>
    <w:rsid w:val="0019322A"/>
    <w:rsid w:val="001969EA"/>
    <w:rsid w:val="001A3E3D"/>
    <w:rsid w:val="001B20AF"/>
    <w:rsid w:val="001B382C"/>
    <w:rsid w:val="001B4505"/>
    <w:rsid w:val="001B7A3A"/>
    <w:rsid w:val="001C1B33"/>
    <w:rsid w:val="001C368D"/>
    <w:rsid w:val="001C4319"/>
    <w:rsid w:val="001C59D9"/>
    <w:rsid w:val="001D38F8"/>
    <w:rsid w:val="001D56A0"/>
    <w:rsid w:val="001D69BE"/>
    <w:rsid w:val="001E0524"/>
    <w:rsid w:val="001E06C8"/>
    <w:rsid w:val="001E5C4A"/>
    <w:rsid w:val="001E6D00"/>
    <w:rsid w:val="001E7AE9"/>
    <w:rsid w:val="001E7EA6"/>
    <w:rsid w:val="001F03F3"/>
    <w:rsid w:val="001F10B8"/>
    <w:rsid w:val="00202978"/>
    <w:rsid w:val="002044F6"/>
    <w:rsid w:val="0020480D"/>
    <w:rsid w:val="0020773F"/>
    <w:rsid w:val="002103F6"/>
    <w:rsid w:val="002143B6"/>
    <w:rsid w:val="00214CBA"/>
    <w:rsid w:val="0021500E"/>
    <w:rsid w:val="0022031D"/>
    <w:rsid w:val="00222073"/>
    <w:rsid w:val="00222289"/>
    <w:rsid w:val="00225E2B"/>
    <w:rsid w:val="002327EB"/>
    <w:rsid w:val="0023295B"/>
    <w:rsid w:val="00242F22"/>
    <w:rsid w:val="00245464"/>
    <w:rsid w:val="00245664"/>
    <w:rsid w:val="00245665"/>
    <w:rsid w:val="002506B3"/>
    <w:rsid w:val="002520CD"/>
    <w:rsid w:val="002543F5"/>
    <w:rsid w:val="00260EF7"/>
    <w:rsid w:val="00265163"/>
    <w:rsid w:val="0027113C"/>
    <w:rsid w:val="00272EC1"/>
    <w:rsid w:val="00287DA1"/>
    <w:rsid w:val="002926A8"/>
    <w:rsid w:val="0029281C"/>
    <w:rsid w:val="002A10CF"/>
    <w:rsid w:val="002A2FA7"/>
    <w:rsid w:val="002A461B"/>
    <w:rsid w:val="002B1141"/>
    <w:rsid w:val="002B45D6"/>
    <w:rsid w:val="002B7B5D"/>
    <w:rsid w:val="002C1904"/>
    <w:rsid w:val="002C22DA"/>
    <w:rsid w:val="002C2598"/>
    <w:rsid w:val="002C6D49"/>
    <w:rsid w:val="002D5E50"/>
    <w:rsid w:val="002E54F8"/>
    <w:rsid w:val="002E58C7"/>
    <w:rsid w:val="002E74B9"/>
    <w:rsid w:val="002E7B71"/>
    <w:rsid w:val="002E7E56"/>
    <w:rsid w:val="002F23F0"/>
    <w:rsid w:val="002F50E0"/>
    <w:rsid w:val="002F6AEB"/>
    <w:rsid w:val="002F7870"/>
    <w:rsid w:val="00301A4D"/>
    <w:rsid w:val="00303150"/>
    <w:rsid w:val="00303B07"/>
    <w:rsid w:val="003045CD"/>
    <w:rsid w:val="003110C3"/>
    <w:rsid w:val="00311770"/>
    <w:rsid w:val="00312150"/>
    <w:rsid w:val="003165CB"/>
    <w:rsid w:val="00317738"/>
    <w:rsid w:val="00320AC4"/>
    <w:rsid w:val="00321E9D"/>
    <w:rsid w:val="003223FB"/>
    <w:rsid w:val="0032317F"/>
    <w:rsid w:val="003243D9"/>
    <w:rsid w:val="00324F76"/>
    <w:rsid w:val="0032756E"/>
    <w:rsid w:val="0033112C"/>
    <w:rsid w:val="00333151"/>
    <w:rsid w:val="00336F09"/>
    <w:rsid w:val="0034119C"/>
    <w:rsid w:val="003431B6"/>
    <w:rsid w:val="00346A5E"/>
    <w:rsid w:val="00347292"/>
    <w:rsid w:val="00353006"/>
    <w:rsid w:val="00356FEA"/>
    <w:rsid w:val="00361159"/>
    <w:rsid w:val="0036430F"/>
    <w:rsid w:val="003645F0"/>
    <w:rsid w:val="003646C8"/>
    <w:rsid w:val="00366A70"/>
    <w:rsid w:val="003676E5"/>
    <w:rsid w:val="00370627"/>
    <w:rsid w:val="0037418A"/>
    <w:rsid w:val="003746A5"/>
    <w:rsid w:val="003815F6"/>
    <w:rsid w:val="00381DA3"/>
    <w:rsid w:val="003827AF"/>
    <w:rsid w:val="00386AAA"/>
    <w:rsid w:val="00387891"/>
    <w:rsid w:val="00391C04"/>
    <w:rsid w:val="00394E86"/>
    <w:rsid w:val="00395741"/>
    <w:rsid w:val="00397169"/>
    <w:rsid w:val="003A1AAA"/>
    <w:rsid w:val="003A3C67"/>
    <w:rsid w:val="003B13CF"/>
    <w:rsid w:val="003B480F"/>
    <w:rsid w:val="003B55DB"/>
    <w:rsid w:val="003B7DD9"/>
    <w:rsid w:val="003C0441"/>
    <w:rsid w:val="003C2181"/>
    <w:rsid w:val="003C548A"/>
    <w:rsid w:val="003D6650"/>
    <w:rsid w:val="003D73E4"/>
    <w:rsid w:val="003D7433"/>
    <w:rsid w:val="003D7897"/>
    <w:rsid w:val="003F0A4C"/>
    <w:rsid w:val="003F154A"/>
    <w:rsid w:val="003F19DF"/>
    <w:rsid w:val="003F1F7D"/>
    <w:rsid w:val="003F291A"/>
    <w:rsid w:val="003F4712"/>
    <w:rsid w:val="003F5839"/>
    <w:rsid w:val="003F5E1E"/>
    <w:rsid w:val="0040377C"/>
    <w:rsid w:val="00403F79"/>
    <w:rsid w:val="004069E2"/>
    <w:rsid w:val="00406D2F"/>
    <w:rsid w:val="00407077"/>
    <w:rsid w:val="00410C2C"/>
    <w:rsid w:val="00410E00"/>
    <w:rsid w:val="004111D7"/>
    <w:rsid w:val="00416975"/>
    <w:rsid w:val="00417028"/>
    <w:rsid w:val="004224AD"/>
    <w:rsid w:val="0042730B"/>
    <w:rsid w:val="004323EF"/>
    <w:rsid w:val="0043336B"/>
    <w:rsid w:val="004367A9"/>
    <w:rsid w:val="004448FB"/>
    <w:rsid w:val="004460DB"/>
    <w:rsid w:val="00446F79"/>
    <w:rsid w:val="00447D62"/>
    <w:rsid w:val="004529CD"/>
    <w:rsid w:val="004609B0"/>
    <w:rsid w:val="004616E9"/>
    <w:rsid w:val="00463DAE"/>
    <w:rsid w:val="00464CFC"/>
    <w:rsid w:val="00465E16"/>
    <w:rsid w:val="0046733E"/>
    <w:rsid w:val="00470737"/>
    <w:rsid w:val="004713AA"/>
    <w:rsid w:val="00471F45"/>
    <w:rsid w:val="0047239E"/>
    <w:rsid w:val="00474B40"/>
    <w:rsid w:val="00476EE7"/>
    <w:rsid w:val="004808C5"/>
    <w:rsid w:val="00483B73"/>
    <w:rsid w:val="004854E2"/>
    <w:rsid w:val="00485D41"/>
    <w:rsid w:val="00486A32"/>
    <w:rsid w:val="004875A3"/>
    <w:rsid w:val="00487C75"/>
    <w:rsid w:val="00492A14"/>
    <w:rsid w:val="00494628"/>
    <w:rsid w:val="004948E1"/>
    <w:rsid w:val="00496568"/>
    <w:rsid w:val="004A17BE"/>
    <w:rsid w:val="004A34AC"/>
    <w:rsid w:val="004A7B8B"/>
    <w:rsid w:val="004B23A3"/>
    <w:rsid w:val="004B2662"/>
    <w:rsid w:val="004B3CCE"/>
    <w:rsid w:val="004B4D1A"/>
    <w:rsid w:val="004B75A3"/>
    <w:rsid w:val="004C2F12"/>
    <w:rsid w:val="004C3828"/>
    <w:rsid w:val="004D5A64"/>
    <w:rsid w:val="004D682F"/>
    <w:rsid w:val="004E0AB3"/>
    <w:rsid w:val="004E11C0"/>
    <w:rsid w:val="004E2290"/>
    <w:rsid w:val="004E4FCC"/>
    <w:rsid w:val="004E6BC0"/>
    <w:rsid w:val="004E6DC1"/>
    <w:rsid w:val="004F13FC"/>
    <w:rsid w:val="004F73E3"/>
    <w:rsid w:val="005017E0"/>
    <w:rsid w:val="00506DD3"/>
    <w:rsid w:val="005076C4"/>
    <w:rsid w:val="00507CEF"/>
    <w:rsid w:val="00512881"/>
    <w:rsid w:val="00512C7A"/>
    <w:rsid w:val="005135ED"/>
    <w:rsid w:val="00513B35"/>
    <w:rsid w:val="00517F2C"/>
    <w:rsid w:val="00520B21"/>
    <w:rsid w:val="00522FD7"/>
    <w:rsid w:val="00523076"/>
    <w:rsid w:val="005236E8"/>
    <w:rsid w:val="005265C4"/>
    <w:rsid w:val="00526B79"/>
    <w:rsid w:val="00527EA6"/>
    <w:rsid w:val="00530420"/>
    <w:rsid w:val="00533A51"/>
    <w:rsid w:val="0053579C"/>
    <w:rsid w:val="005357F0"/>
    <w:rsid w:val="00537AC6"/>
    <w:rsid w:val="0054113A"/>
    <w:rsid w:val="00541E2E"/>
    <w:rsid w:val="00545220"/>
    <w:rsid w:val="005461CD"/>
    <w:rsid w:val="0054664B"/>
    <w:rsid w:val="0055063E"/>
    <w:rsid w:val="00551918"/>
    <w:rsid w:val="00551D07"/>
    <w:rsid w:val="00553A8E"/>
    <w:rsid w:val="00554F9C"/>
    <w:rsid w:val="005561C7"/>
    <w:rsid w:val="005570EE"/>
    <w:rsid w:val="005576D0"/>
    <w:rsid w:val="00557F7D"/>
    <w:rsid w:val="00561F61"/>
    <w:rsid w:val="00563A2C"/>
    <w:rsid w:val="00565D07"/>
    <w:rsid w:val="005661DB"/>
    <w:rsid w:val="00566BA1"/>
    <w:rsid w:val="00570798"/>
    <w:rsid w:val="00572A1E"/>
    <w:rsid w:val="00574FCA"/>
    <w:rsid w:val="0057500E"/>
    <w:rsid w:val="00576E6D"/>
    <w:rsid w:val="00580B7E"/>
    <w:rsid w:val="00582D8F"/>
    <w:rsid w:val="00586361"/>
    <w:rsid w:val="0059092A"/>
    <w:rsid w:val="0059799B"/>
    <w:rsid w:val="005A7847"/>
    <w:rsid w:val="005B1933"/>
    <w:rsid w:val="005B200C"/>
    <w:rsid w:val="005B4F90"/>
    <w:rsid w:val="005B6B78"/>
    <w:rsid w:val="005C084E"/>
    <w:rsid w:val="005C250F"/>
    <w:rsid w:val="005C4CD5"/>
    <w:rsid w:val="005C7FB2"/>
    <w:rsid w:val="005D0078"/>
    <w:rsid w:val="005D3812"/>
    <w:rsid w:val="005E1536"/>
    <w:rsid w:val="005E1DDA"/>
    <w:rsid w:val="005E212D"/>
    <w:rsid w:val="005E3519"/>
    <w:rsid w:val="005E76AE"/>
    <w:rsid w:val="005F0BCB"/>
    <w:rsid w:val="005F45FD"/>
    <w:rsid w:val="00600DC4"/>
    <w:rsid w:val="00601CFD"/>
    <w:rsid w:val="00603349"/>
    <w:rsid w:val="0060681B"/>
    <w:rsid w:val="0060793F"/>
    <w:rsid w:val="00611866"/>
    <w:rsid w:val="00611AFC"/>
    <w:rsid w:val="00611FF4"/>
    <w:rsid w:val="00614A38"/>
    <w:rsid w:val="006213F7"/>
    <w:rsid w:val="006250D9"/>
    <w:rsid w:val="00627476"/>
    <w:rsid w:val="00627BC0"/>
    <w:rsid w:val="006327C8"/>
    <w:rsid w:val="006342FC"/>
    <w:rsid w:val="00636050"/>
    <w:rsid w:val="00636288"/>
    <w:rsid w:val="006365F8"/>
    <w:rsid w:val="00640D78"/>
    <w:rsid w:val="00643011"/>
    <w:rsid w:val="0065251A"/>
    <w:rsid w:val="006540AF"/>
    <w:rsid w:val="00654298"/>
    <w:rsid w:val="006568B1"/>
    <w:rsid w:val="006578F5"/>
    <w:rsid w:val="006604D7"/>
    <w:rsid w:val="00662377"/>
    <w:rsid w:val="00662995"/>
    <w:rsid w:val="00663508"/>
    <w:rsid w:val="006643D7"/>
    <w:rsid w:val="00676A00"/>
    <w:rsid w:val="00676C23"/>
    <w:rsid w:val="00682DBD"/>
    <w:rsid w:val="00683270"/>
    <w:rsid w:val="00684C8A"/>
    <w:rsid w:val="0068506F"/>
    <w:rsid w:val="0068516A"/>
    <w:rsid w:val="00685FA1"/>
    <w:rsid w:val="00687822"/>
    <w:rsid w:val="00690F26"/>
    <w:rsid w:val="00691B4D"/>
    <w:rsid w:val="0069302D"/>
    <w:rsid w:val="006953F5"/>
    <w:rsid w:val="006A12C2"/>
    <w:rsid w:val="006A1D97"/>
    <w:rsid w:val="006A348B"/>
    <w:rsid w:val="006A695E"/>
    <w:rsid w:val="006A6A02"/>
    <w:rsid w:val="006B0A2B"/>
    <w:rsid w:val="006B115F"/>
    <w:rsid w:val="006B1751"/>
    <w:rsid w:val="006B40C3"/>
    <w:rsid w:val="006C3DF5"/>
    <w:rsid w:val="006C6DFF"/>
    <w:rsid w:val="006C79F9"/>
    <w:rsid w:val="006D309F"/>
    <w:rsid w:val="006D5485"/>
    <w:rsid w:val="006D5507"/>
    <w:rsid w:val="006E0FB8"/>
    <w:rsid w:val="006E3041"/>
    <w:rsid w:val="006E4061"/>
    <w:rsid w:val="006E5DF7"/>
    <w:rsid w:val="006F0F32"/>
    <w:rsid w:val="006F17F5"/>
    <w:rsid w:val="006F1971"/>
    <w:rsid w:val="006F6387"/>
    <w:rsid w:val="0070028D"/>
    <w:rsid w:val="00700422"/>
    <w:rsid w:val="007079C7"/>
    <w:rsid w:val="00707FEA"/>
    <w:rsid w:val="007147E2"/>
    <w:rsid w:val="00715A59"/>
    <w:rsid w:val="0071625A"/>
    <w:rsid w:val="00720611"/>
    <w:rsid w:val="00723D34"/>
    <w:rsid w:val="00725A1C"/>
    <w:rsid w:val="00725AD6"/>
    <w:rsid w:val="00726706"/>
    <w:rsid w:val="00727756"/>
    <w:rsid w:val="00727E64"/>
    <w:rsid w:val="00731945"/>
    <w:rsid w:val="007329A1"/>
    <w:rsid w:val="00734D8D"/>
    <w:rsid w:val="00735B08"/>
    <w:rsid w:val="00735D09"/>
    <w:rsid w:val="00736DC1"/>
    <w:rsid w:val="00741303"/>
    <w:rsid w:val="007442DB"/>
    <w:rsid w:val="00744966"/>
    <w:rsid w:val="00747929"/>
    <w:rsid w:val="007505B9"/>
    <w:rsid w:val="007514AD"/>
    <w:rsid w:val="00751792"/>
    <w:rsid w:val="00753D25"/>
    <w:rsid w:val="0075438D"/>
    <w:rsid w:val="00754AF3"/>
    <w:rsid w:val="00760D1B"/>
    <w:rsid w:val="00761B20"/>
    <w:rsid w:val="0076236C"/>
    <w:rsid w:val="007659C8"/>
    <w:rsid w:val="00771428"/>
    <w:rsid w:val="00774406"/>
    <w:rsid w:val="00775EA7"/>
    <w:rsid w:val="007770ED"/>
    <w:rsid w:val="00781DF4"/>
    <w:rsid w:val="007834E6"/>
    <w:rsid w:val="00783D8C"/>
    <w:rsid w:val="00785595"/>
    <w:rsid w:val="007862F1"/>
    <w:rsid w:val="007A0EF9"/>
    <w:rsid w:val="007A1080"/>
    <w:rsid w:val="007A5FE4"/>
    <w:rsid w:val="007A7C3C"/>
    <w:rsid w:val="007B24CC"/>
    <w:rsid w:val="007B286B"/>
    <w:rsid w:val="007B3AE6"/>
    <w:rsid w:val="007B7503"/>
    <w:rsid w:val="007C1218"/>
    <w:rsid w:val="007C3963"/>
    <w:rsid w:val="007C5229"/>
    <w:rsid w:val="007C6E42"/>
    <w:rsid w:val="007D1958"/>
    <w:rsid w:val="007D415D"/>
    <w:rsid w:val="007D54CA"/>
    <w:rsid w:val="007D56DC"/>
    <w:rsid w:val="007D5977"/>
    <w:rsid w:val="007E49D6"/>
    <w:rsid w:val="007E50C2"/>
    <w:rsid w:val="007E5CE4"/>
    <w:rsid w:val="007F5B92"/>
    <w:rsid w:val="007F6A71"/>
    <w:rsid w:val="007F79EF"/>
    <w:rsid w:val="008041E4"/>
    <w:rsid w:val="00804FCC"/>
    <w:rsid w:val="00805300"/>
    <w:rsid w:val="008061A3"/>
    <w:rsid w:val="00806DF8"/>
    <w:rsid w:val="00810273"/>
    <w:rsid w:val="00810B29"/>
    <w:rsid w:val="00811C92"/>
    <w:rsid w:val="008136B6"/>
    <w:rsid w:val="00813BF9"/>
    <w:rsid w:val="00813E74"/>
    <w:rsid w:val="00815C8E"/>
    <w:rsid w:val="00821030"/>
    <w:rsid w:val="00821D82"/>
    <w:rsid w:val="00823818"/>
    <w:rsid w:val="00823D61"/>
    <w:rsid w:val="00826E9D"/>
    <w:rsid w:val="00830D94"/>
    <w:rsid w:val="00834591"/>
    <w:rsid w:val="00836098"/>
    <w:rsid w:val="008369B6"/>
    <w:rsid w:val="0084162F"/>
    <w:rsid w:val="00845346"/>
    <w:rsid w:val="00845FD5"/>
    <w:rsid w:val="00847B5F"/>
    <w:rsid w:val="00850E8F"/>
    <w:rsid w:val="00852C2C"/>
    <w:rsid w:val="00854D98"/>
    <w:rsid w:val="008601C1"/>
    <w:rsid w:val="0086178B"/>
    <w:rsid w:val="00862683"/>
    <w:rsid w:val="00862B04"/>
    <w:rsid w:val="00862D0A"/>
    <w:rsid w:val="00863B0D"/>
    <w:rsid w:val="00863D47"/>
    <w:rsid w:val="00866AF7"/>
    <w:rsid w:val="0087108A"/>
    <w:rsid w:val="00871FBE"/>
    <w:rsid w:val="008737FF"/>
    <w:rsid w:val="00875E5E"/>
    <w:rsid w:val="008777F5"/>
    <w:rsid w:val="00877BF5"/>
    <w:rsid w:val="00877D27"/>
    <w:rsid w:val="00884D10"/>
    <w:rsid w:val="00890E9A"/>
    <w:rsid w:val="00892144"/>
    <w:rsid w:val="008940D1"/>
    <w:rsid w:val="00895FCB"/>
    <w:rsid w:val="008A4F8A"/>
    <w:rsid w:val="008B30DD"/>
    <w:rsid w:val="008B3A58"/>
    <w:rsid w:val="008B4D38"/>
    <w:rsid w:val="008B5A7C"/>
    <w:rsid w:val="008C0073"/>
    <w:rsid w:val="008C662E"/>
    <w:rsid w:val="008D0005"/>
    <w:rsid w:val="008D240A"/>
    <w:rsid w:val="008D4324"/>
    <w:rsid w:val="008D759C"/>
    <w:rsid w:val="008E47BF"/>
    <w:rsid w:val="008E4FA3"/>
    <w:rsid w:val="008E6F59"/>
    <w:rsid w:val="008E788F"/>
    <w:rsid w:val="008F00F2"/>
    <w:rsid w:val="008F210E"/>
    <w:rsid w:val="008F2998"/>
    <w:rsid w:val="008F4D86"/>
    <w:rsid w:val="008F54A4"/>
    <w:rsid w:val="008F64CE"/>
    <w:rsid w:val="008F7CBB"/>
    <w:rsid w:val="00903CBA"/>
    <w:rsid w:val="009061DB"/>
    <w:rsid w:val="009105C5"/>
    <w:rsid w:val="00912254"/>
    <w:rsid w:val="0091245C"/>
    <w:rsid w:val="00912F2C"/>
    <w:rsid w:val="00913E7C"/>
    <w:rsid w:val="00914FA2"/>
    <w:rsid w:val="0091696F"/>
    <w:rsid w:val="009212EB"/>
    <w:rsid w:val="00922F87"/>
    <w:rsid w:val="009240C3"/>
    <w:rsid w:val="00926150"/>
    <w:rsid w:val="00927D42"/>
    <w:rsid w:val="0093088F"/>
    <w:rsid w:val="00936AD9"/>
    <w:rsid w:val="00944343"/>
    <w:rsid w:val="009444DA"/>
    <w:rsid w:val="00945068"/>
    <w:rsid w:val="00952AAD"/>
    <w:rsid w:val="00953D4A"/>
    <w:rsid w:val="009557E8"/>
    <w:rsid w:val="009578FC"/>
    <w:rsid w:val="00962F64"/>
    <w:rsid w:val="009665B7"/>
    <w:rsid w:val="00970A96"/>
    <w:rsid w:val="009747A7"/>
    <w:rsid w:val="00975717"/>
    <w:rsid w:val="00976505"/>
    <w:rsid w:val="00976A06"/>
    <w:rsid w:val="009824E1"/>
    <w:rsid w:val="00983860"/>
    <w:rsid w:val="00991AE5"/>
    <w:rsid w:val="00992D69"/>
    <w:rsid w:val="00992DE0"/>
    <w:rsid w:val="009947A2"/>
    <w:rsid w:val="00995492"/>
    <w:rsid w:val="009956C8"/>
    <w:rsid w:val="009A319D"/>
    <w:rsid w:val="009B2C01"/>
    <w:rsid w:val="009B2EB9"/>
    <w:rsid w:val="009B39E5"/>
    <w:rsid w:val="009B4223"/>
    <w:rsid w:val="009B7CED"/>
    <w:rsid w:val="009C50C9"/>
    <w:rsid w:val="009C55B4"/>
    <w:rsid w:val="009D1D3A"/>
    <w:rsid w:val="009D47A0"/>
    <w:rsid w:val="009D7627"/>
    <w:rsid w:val="009E0933"/>
    <w:rsid w:val="009E4592"/>
    <w:rsid w:val="009E5594"/>
    <w:rsid w:val="009E6835"/>
    <w:rsid w:val="009F3395"/>
    <w:rsid w:val="009F4C1C"/>
    <w:rsid w:val="00A04356"/>
    <w:rsid w:val="00A05156"/>
    <w:rsid w:val="00A10021"/>
    <w:rsid w:val="00A11AC8"/>
    <w:rsid w:val="00A11BBD"/>
    <w:rsid w:val="00A1500E"/>
    <w:rsid w:val="00A16C4B"/>
    <w:rsid w:val="00A22992"/>
    <w:rsid w:val="00A27786"/>
    <w:rsid w:val="00A31593"/>
    <w:rsid w:val="00A3195E"/>
    <w:rsid w:val="00A3526D"/>
    <w:rsid w:val="00A35D60"/>
    <w:rsid w:val="00A36AEA"/>
    <w:rsid w:val="00A36D89"/>
    <w:rsid w:val="00A40A60"/>
    <w:rsid w:val="00A410F4"/>
    <w:rsid w:val="00A4758C"/>
    <w:rsid w:val="00A52AAA"/>
    <w:rsid w:val="00A53DFC"/>
    <w:rsid w:val="00A5463F"/>
    <w:rsid w:val="00A55891"/>
    <w:rsid w:val="00A55D0A"/>
    <w:rsid w:val="00A577A5"/>
    <w:rsid w:val="00A601DA"/>
    <w:rsid w:val="00A60E87"/>
    <w:rsid w:val="00A641DC"/>
    <w:rsid w:val="00A65AD5"/>
    <w:rsid w:val="00A71B35"/>
    <w:rsid w:val="00A72440"/>
    <w:rsid w:val="00A75046"/>
    <w:rsid w:val="00A767D7"/>
    <w:rsid w:val="00A76D12"/>
    <w:rsid w:val="00A80E5C"/>
    <w:rsid w:val="00A83AFD"/>
    <w:rsid w:val="00A83F98"/>
    <w:rsid w:val="00A84A79"/>
    <w:rsid w:val="00A850E5"/>
    <w:rsid w:val="00A861BD"/>
    <w:rsid w:val="00A878CC"/>
    <w:rsid w:val="00A90788"/>
    <w:rsid w:val="00A91E53"/>
    <w:rsid w:val="00A94561"/>
    <w:rsid w:val="00A96B1D"/>
    <w:rsid w:val="00AA036E"/>
    <w:rsid w:val="00AA45E2"/>
    <w:rsid w:val="00AA72A0"/>
    <w:rsid w:val="00AB1BE1"/>
    <w:rsid w:val="00AB33EB"/>
    <w:rsid w:val="00AB6433"/>
    <w:rsid w:val="00AB710E"/>
    <w:rsid w:val="00AB772D"/>
    <w:rsid w:val="00AC1382"/>
    <w:rsid w:val="00AC27C5"/>
    <w:rsid w:val="00AC61D2"/>
    <w:rsid w:val="00AD19C2"/>
    <w:rsid w:val="00AE12EA"/>
    <w:rsid w:val="00AF1558"/>
    <w:rsid w:val="00AF352D"/>
    <w:rsid w:val="00AF41EA"/>
    <w:rsid w:val="00AF5916"/>
    <w:rsid w:val="00AF5F99"/>
    <w:rsid w:val="00AF67FA"/>
    <w:rsid w:val="00B03547"/>
    <w:rsid w:val="00B04951"/>
    <w:rsid w:val="00B050CD"/>
    <w:rsid w:val="00B07684"/>
    <w:rsid w:val="00B12E8B"/>
    <w:rsid w:val="00B153A2"/>
    <w:rsid w:val="00B17450"/>
    <w:rsid w:val="00B2586A"/>
    <w:rsid w:val="00B263DC"/>
    <w:rsid w:val="00B26AAA"/>
    <w:rsid w:val="00B2747B"/>
    <w:rsid w:val="00B31AB6"/>
    <w:rsid w:val="00B365B9"/>
    <w:rsid w:val="00B410E4"/>
    <w:rsid w:val="00B549B2"/>
    <w:rsid w:val="00B565FE"/>
    <w:rsid w:val="00B6227B"/>
    <w:rsid w:val="00B629D6"/>
    <w:rsid w:val="00B70824"/>
    <w:rsid w:val="00B7105D"/>
    <w:rsid w:val="00B72E5C"/>
    <w:rsid w:val="00B72F28"/>
    <w:rsid w:val="00B74CD6"/>
    <w:rsid w:val="00B75C6F"/>
    <w:rsid w:val="00B8095E"/>
    <w:rsid w:val="00B82214"/>
    <w:rsid w:val="00B8353E"/>
    <w:rsid w:val="00B8503B"/>
    <w:rsid w:val="00B90DD0"/>
    <w:rsid w:val="00B919FE"/>
    <w:rsid w:val="00B94DA7"/>
    <w:rsid w:val="00B95B51"/>
    <w:rsid w:val="00BA565E"/>
    <w:rsid w:val="00BB10E5"/>
    <w:rsid w:val="00BB10FB"/>
    <w:rsid w:val="00BB16CE"/>
    <w:rsid w:val="00BB231F"/>
    <w:rsid w:val="00BB5C1D"/>
    <w:rsid w:val="00BB6880"/>
    <w:rsid w:val="00BB7E54"/>
    <w:rsid w:val="00BC344E"/>
    <w:rsid w:val="00BD2C95"/>
    <w:rsid w:val="00BD38FC"/>
    <w:rsid w:val="00BD59F8"/>
    <w:rsid w:val="00BD7C3A"/>
    <w:rsid w:val="00BE0C97"/>
    <w:rsid w:val="00BE2283"/>
    <w:rsid w:val="00BE34E3"/>
    <w:rsid w:val="00BF2FA4"/>
    <w:rsid w:val="00BF3153"/>
    <w:rsid w:val="00BF3759"/>
    <w:rsid w:val="00BF3EFD"/>
    <w:rsid w:val="00BF4580"/>
    <w:rsid w:val="00BF46E4"/>
    <w:rsid w:val="00BF51CF"/>
    <w:rsid w:val="00BF62D9"/>
    <w:rsid w:val="00C04BAD"/>
    <w:rsid w:val="00C07210"/>
    <w:rsid w:val="00C07828"/>
    <w:rsid w:val="00C114BC"/>
    <w:rsid w:val="00C22AB4"/>
    <w:rsid w:val="00C25481"/>
    <w:rsid w:val="00C268E5"/>
    <w:rsid w:val="00C30C8E"/>
    <w:rsid w:val="00C30FAF"/>
    <w:rsid w:val="00C31387"/>
    <w:rsid w:val="00C3632E"/>
    <w:rsid w:val="00C37E1F"/>
    <w:rsid w:val="00C40164"/>
    <w:rsid w:val="00C40547"/>
    <w:rsid w:val="00C430DD"/>
    <w:rsid w:val="00C45DF8"/>
    <w:rsid w:val="00C47A6B"/>
    <w:rsid w:val="00C53091"/>
    <w:rsid w:val="00C61C3B"/>
    <w:rsid w:val="00C64133"/>
    <w:rsid w:val="00C64777"/>
    <w:rsid w:val="00C67115"/>
    <w:rsid w:val="00C732EA"/>
    <w:rsid w:val="00C73420"/>
    <w:rsid w:val="00C74E52"/>
    <w:rsid w:val="00C76CE4"/>
    <w:rsid w:val="00C816D2"/>
    <w:rsid w:val="00C93AAD"/>
    <w:rsid w:val="00C940C8"/>
    <w:rsid w:val="00C9518F"/>
    <w:rsid w:val="00CA03C2"/>
    <w:rsid w:val="00CA0F12"/>
    <w:rsid w:val="00CA1B00"/>
    <w:rsid w:val="00CA4758"/>
    <w:rsid w:val="00CA54AB"/>
    <w:rsid w:val="00CB4843"/>
    <w:rsid w:val="00CB570F"/>
    <w:rsid w:val="00CC1F7B"/>
    <w:rsid w:val="00CC2F30"/>
    <w:rsid w:val="00CC336A"/>
    <w:rsid w:val="00CC3EAD"/>
    <w:rsid w:val="00CC549B"/>
    <w:rsid w:val="00CC729A"/>
    <w:rsid w:val="00CD209F"/>
    <w:rsid w:val="00CD3506"/>
    <w:rsid w:val="00CD6085"/>
    <w:rsid w:val="00CD7B1B"/>
    <w:rsid w:val="00CE00AD"/>
    <w:rsid w:val="00CE0A72"/>
    <w:rsid w:val="00CE177B"/>
    <w:rsid w:val="00CE5DDB"/>
    <w:rsid w:val="00CF16FF"/>
    <w:rsid w:val="00CF2D28"/>
    <w:rsid w:val="00CF3694"/>
    <w:rsid w:val="00CF3883"/>
    <w:rsid w:val="00CF3D26"/>
    <w:rsid w:val="00CF4334"/>
    <w:rsid w:val="00CF555D"/>
    <w:rsid w:val="00CF6950"/>
    <w:rsid w:val="00D00361"/>
    <w:rsid w:val="00D02F13"/>
    <w:rsid w:val="00D0355E"/>
    <w:rsid w:val="00D045CA"/>
    <w:rsid w:val="00D04655"/>
    <w:rsid w:val="00D054CE"/>
    <w:rsid w:val="00D05C5E"/>
    <w:rsid w:val="00D1078C"/>
    <w:rsid w:val="00D11417"/>
    <w:rsid w:val="00D15481"/>
    <w:rsid w:val="00D16DE6"/>
    <w:rsid w:val="00D17ED0"/>
    <w:rsid w:val="00D24116"/>
    <w:rsid w:val="00D31C13"/>
    <w:rsid w:val="00D32115"/>
    <w:rsid w:val="00D338F9"/>
    <w:rsid w:val="00D3393B"/>
    <w:rsid w:val="00D3434B"/>
    <w:rsid w:val="00D405F5"/>
    <w:rsid w:val="00D45D1A"/>
    <w:rsid w:val="00D469D1"/>
    <w:rsid w:val="00D51BC4"/>
    <w:rsid w:val="00D54BF5"/>
    <w:rsid w:val="00D57A76"/>
    <w:rsid w:val="00D6058D"/>
    <w:rsid w:val="00D62C95"/>
    <w:rsid w:val="00D71618"/>
    <w:rsid w:val="00D73158"/>
    <w:rsid w:val="00D737E7"/>
    <w:rsid w:val="00D73A84"/>
    <w:rsid w:val="00D74AFF"/>
    <w:rsid w:val="00D76E78"/>
    <w:rsid w:val="00D77663"/>
    <w:rsid w:val="00D826C3"/>
    <w:rsid w:val="00D8519A"/>
    <w:rsid w:val="00D868F0"/>
    <w:rsid w:val="00D874D5"/>
    <w:rsid w:val="00D90363"/>
    <w:rsid w:val="00D9105A"/>
    <w:rsid w:val="00D9334F"/>
    <w:rsid w:val="00D93D34"/>
    <w:rsid w:val="00D94EA7"/>
    <w:rsid w:val="00D970AF"/>
    <w:rsid w:val="00DA08E7"/>
    <w:rsid w:val="00DA3EDA"/>
    <w:rsid w:val="00DA46D1"/>
    <w:rsid w:val="00DA493A"/>
    <w:rsid w:val="00DA5137"/>
    <w:rsid w:val="00DA71CE"/>
    <w:rsid w:val="00DA7525"/>
    <w:rsid w:val="00DB477B"/>
    <w:rsid w:val="00DB70EE"/>
    <w:rsid w:val="00DC2F03"/>
    <w:rsid w:val="00DC3528"/>
    <w:rsid w:val="00DC3B38"/>
    <w:rsid w:val="00DC4C92"/>
    <w:rsid w:val="00DD0433"/>
    <w:rsid w:val="00DD0FB5"/>
    <w:rsid w:val="00DD1132"/>
    <w:rsid w:val="00DD60B5"/>
    <w:rsid w:val="00DE0BFC"/>
    <w:rsid w:val="00DE1341"/>
    <w:rsid w:val="00DE1A49"/>
    <w:rsid w:val="00DE38BA"/>
    <w:rsid w:val="00DE62A6"/>
    <w:rsid w:val="00DE7CBF"/>
    <w:rsid w:val="00DF0F89"/>
    <w:rsid w:val="00DF15E8"/>
    <w:rsid w:val="00DF387C"/>
    <w:rsid w:val="00E03614"/>
    <w:rsid w:val="00E06DED"/>
    <w:rsid w:val="00E100F3"/>
    <w:rsid w:val="00E11D73"/>
    <w:rsid w:val="00E136BA"/>
    <w:rsid w:val="00E139F9"/>
    <w:rsid w:val="00E15C4A"/>
    <w:rsid w:val="00E1713C"/>
    <w:rsid w:val="00E21848"/>
    <w:rsid w:val="00E22BA9"/>
    <w:rsid w:val="00E232F8"/>
    <w:rsid w:val="00E2591E"/>
    <w:rsid w:val="00E264E3"/>
    <w:rsid w:val="00E335F3"/>
    <w:rsid w:val="00E351C5"/>
    <w:rsid w:val="00E3544E"/>
    <w:rsid w:val="00E402E1"/>
    <w:rsid w:val="00E415CD"/>
    <w:rsid w:val="00E43CAA"/>
    <w:rsid w:val="00E4641C"/>
    <w:rsid w:val="00E52B56"/>
    <w:rsid w:val="00E53CF3"/>
    <w:rsid w:val="00E560D7"/>
    <w:rsid w:val="00E57454"/>
    <w:rsid w:val="00E57C16"/>
    <w:rsid w:val="00E6209B"/>
    <w:rsid w:val="00E6396C"/>
    <w:rsid w:val="00E63A2A"/>
    <w:rsid w:val="00E65645"/>
    <w:rsid w:val="00E6578C"/>
    <w:rsid w:val="00E75656"/>
    <w:rsid w:val="00E81C74"/>
    <w:rsid w:val="00E81F00"/>
    <w:rsid w:val="00E8346D"/>
    <w:rsid w:val="00E84E68"/>
    <w:rsid w:val="00E85CA2"/>
    <w:rsid w:val="00E87575"/>
    <w:rsid w:val="00E9433D"/>
    <w:rsid w:val="00E9650E"/>
    <w:rsid w:val="00E97379"/>
    <w:rsid w:val="00E97C77"/>
    <w:rsid w:val="00EA0535"/>
    <w:rsid w:val="00EA3DA2"/>
    <w:rsid w:val="00EB3F5E"/>
    <w:rsid w:val="00EB6A32"/>
    <w:rsid w:val="00EC3006"/>
    <w:rsid w:val="00EC443B"/>
    <w:rsid w:val="00EC50BA"/>
    <w:rsid w:val="00EC5817"/>
    <w:rsid w:val="00EC756C"/>
    <w:rsid w:val="00EF05F0"/>
    <w:rsid w:val="00F06A33"/>
    <w:rsid w:val="00F12079"/>
    <w:rsid w:val="00F16868"/>
    <w:rsid w:val="00F16B44"/>
    <w:rsid w:val="00F209FD"/>
    <w:rsid w:val="00F26C69"/>
    <w:rsid w:val="00F30013"/>
    <w:rsid w:val="00F34F55"/>
    <w:rsid w:val="00F37D91"/>
    <w:rsid w:val="00F40346"/>
    <w:rsid w:val="00F40434"/>
    <w:rsid w:val="00F4345A"/>
    <w:rsid w:val="00F4671F"/>
    <w:rsid w:val="00F4779F"/>
    <w:rsid w:val="00F47AFF"/>
    <w:rsid w:val="00F604C5"/>
    <w:rsid w:val="00F65B33"/>
    <w:rsid w:val="00F66AE2"/>
    <w:rsid w:val="00F71066"/>
    <w:rsid w:val="00F72661"/>
    <w:rsid w:val="00F73F61"/>
    <w:rsid w:val="00F812B5"/>
    <w:rsid w:val="00F824F2"/>
    <w:rsid w:val="00F82D23"/>
    <w:rsid w:val="00F84B88"/>
    <w:rsid w:val="00F85F42"/>
    <w:rsid w:val="00F905ED"/>
    <w:rsid w:val="00F91618"/>
    <w:rsid w:val="00F9220E"/>
    <w:rsid w:val="00F96733"/>
    <w:rsid w:val="00FA13CF"/>
    <w:rsid w:val="00FA1768"/>
    <w:rsid w:val="00FA26F3"/>
    <w:rsid w:val="00FA3F9C"/>
    <w:rsid w:val="00FB0A47"/>
    <w:rsid w:val="00FB2EDE"/>
    <w:rsid w:val="00FB328F"/>
    <w:rsid w:val="00FC023B"/>
    <w:rsid w:val="00FC06E4"/>
    <w:rsid w:val="00FC0FCF"/>
    <w:rsid w:val="00FC1F97"/>
    <w:rsid w:val="00FC20CE"/>
    <w:rsid w:val="00FC3B6B"/>
    <w:rsid w:val="00FC3C57"/>
    <w:rsid w:val="00FC4E10"/>
    <w:rsid w:val="00FD0B5E"/>
    <w:rsid w:val="00FD33F8"/>
    <w:rsid w:val="00FD4AF1"/>
    <w:rsid w:val="00FD4B2E"/>
    <w:rsid w:val="00FE05BB"/>
    <w:rsid w:val="00FE0BD9"/>
    <w:rsid w:val="00FE10A0"/>
    <w:rsid w:val="00FE10B4"/>
    <w:rsid w:val="00FE5859"/>
    <w:rsid w:val="00FF3C07"/>
    <w:rsid w:val="00FF5F34"/>
    <w:rsid w:val="00FF60BF"/>
    <w:rsid w:val="00FF6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1DC31"/>
  <w15:docId w15:val="{29952994-D7BE-4577-9CB1-A48DC4FC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E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B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F3395"/>
    <w:pPr>
      <w:keepNext/>
      <w:spacing w:after="0" w:line="360" w:lineRule="auto"/>
      <w:jc w:val="both"/>
      <w:outlineLvl w:val="3"/>
    </w:pPr>
    <w:rPr>
      <w:rFonts w:ascii="Century Schoolbook" w:eastAsia="Times New Roman" w:hAnsi="Century Schoolbook"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E54"/>
    <w:pPr>
      <w:spacing w:after="0" w:line="240" w:lineRule="auto"/>
      <w:ind w:left="720"/>
      <w:contextualSpacing/>
    </w:pPr>
    <w:rPr>
      <w:sz w:val="24"/>
      <w:szCs w:val="24"/>
    </w:rPr>
  </w:style>
  <w:style w:type="character" w:customStyle="1" w:styleId="current-selection">
    <w:name w:val="current-selection"/>
    <w:basedOn w:val="DefaultParagraphFont"/>
    <w:rsid w:val="002B45D6"/>
  </w:style>
  <w:style w:type="character" w:customStyle="1" w:styleId="a">
    <w:name w:val="_"/>
    <w:basedOn w:val="DefaultParagraphFont"/>
    <w:rsid w:val="002B45D6"/>
  </w:style>
  <w:style w:type="character" w:styleId="HTMLCite">
    <w:name w:val="HTML Cite"/>
    <w:basedOn w:val="DefaultParagraphFont"/>
    <w:uiPriority w:val="99"/>
    <w:semiHidden/>
    <w:unhideWhenUsed/>
    <w:rsid w:val="0054113A"/>
    <w:rPr>
      <w:i/>
      <w:iCs/>
    </w:rPr>
  </w:style>
  <w:style w:type="character" w:customStyle="1" w:styleId="cit-source">
    <w:name w:val="cit-source"/>
    <w:basedOn w:val="DefaultParagraphFont"/>
    <w:rsid w:val="0054113A"/>
    <w:rPr>
      <w:rFonts w:ascii="Open Sans" w:hAnsi="Open Sans" w:hint="default"/>
      <w:b w:val="0"/>
      <w:bCs w:val="0"/>
      <w:i w:val="0"/>
      <w:iCs w:val="0"/>
      <w:sz w:val="24"/>
      <w:szCs w:val="24"/>
      <w:bdr w:val="none" w:sz="0" w:space="0" w:color="auto" w:frame="1"/>
      <w:vertAlign w:val="baseline"/>
    </w:rPr>
  </w:style>
  <w:style w:type="character" w:customStyle="1" w:styleId="cit-vol2">
    <w:name w:val="cit-vol2"/>
    <w:basedOn w:val="DefaultParagraphFont"/>
    <w:rsid w:val="0054113A"/>
    <w:rPr>
      <w:rFonts w:ascii="Open Sans" w:hAnsi="Open Sans" w:hint="default"/>
      <w:b w:val="0"/>
      <w:bCs w:val="0"/>
      <w:i w:val="0"/>
      <w:iCs w:val="0"/>
      <w:sz w:val="24"/>
      <w:szCs w:val="24"/>
      <w:bdr w:val="none" w:sz="0" w:space="0" w:color="auto" w:frame="1"/>
      <w:vertAlign w:val="baseline"/>
    </w:rPr>
  </w:style>
  <w:style w:type="character" w:customStyle="1" w:styleId="cit-fpage">
    <w:name w:val="cit-fpage"/>
    <w:basedOn w:val="DefaultParagraphFont"/>
    <w:rsid w:val="0054113A"/>
    <w:rPr>
      <w:rFonts w:ascii="Open Sans" w:hAnsi="Open Sans" w:hint="default"/>
      <w:b w:val="0"/>
      <w:bCs w:val="0"/>
      <w:i w:val="0"/>
      <w:iCs w:val="0"/>
      <w:sz w:val="24"/>
      <w:szCs w:val="24"/>
      <w:bdr w:val="none" w:sz="0" w:space="0" w:color="auto" w:frame="1"/>
      <w:vertAlign w:val="baseline"/>
    </w:rPr>
  </w:style>
  <w:style w:type="character" w:customStyle="1" w:styleId="cit-pub-date">
    <w:name w:val="cit-pub-date"/>
    <w:basedOn w:val="DefaultParagraphFont"/>
    <w:rsid w:val="0054113A"/>
    <w:rPr>
      <w:rFonts w:ascii="Open Sans" w:hAnsi="Open Sans" w:hint="default"/>
      <w:b w:val="0"/>
      <w:bCs w:val="0"/>
      <w:i w:val="0"/>
      <w:iCs w:val="0"/>
      <w:sz w:val="24"/>
      <w:szCs w:val="24"/>
      <w:bdr w:val="none" w:sz="0" w:space="0" w:color="auto" w:frame="1"/>
      <w:vertAlign w:val="baseline"/>
    </w:rPr>
  </w:style>
  <w:style w:type="table" w:styleId="TableGrid">
    <w:name w:val="Table Grid"/>
    <w:basedOn w:val="TableNormal"/>
    <w:uiPriority w:val="39"/>
    <w:rsid w:val="00B85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3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3395"/>
    <w:rPr>
      <w:rFonts w:ascii="Times New Roman" w:hAnsi="Times New Roman" w:cs="Times New Roman"/>
      <w:sz w:val="18"/>
      <w:szCs w:val="18"/>
    </w:rPr>
  </w:style>
  <w:style w:type="character" w:customStyle="1" w:styleId="Heading4Char">
    <w:name w:val="Heading 4 Char"/>
    <w:basedOn w:val="DefaultParagraphFont"/>
    <w:link w:val="Heading4"/>
    <w:rsid w:val="009F3395"/>
    <w:rPr>
      <w:rFonts w:ascii="Century Schoolbook" w:eastAsia="Times New Roman" w:hAnsi="Century Schoolbook" w:cs="Times New Roman"/>
      <w:b/>
      <w:sz w:val="24"/>
      <w:szCs w:val="24"/>
    </w:rPr>
  </w:style>
  <w:style w:type="paragraph" w:styleId="BodyText">
    <w:name w:val="Body Text"/>
    <w:basedOn w:val="Normal"/>
    <w:link w:val="BodyTextChar"/>
    <w:rsid w:val="009F3395"/>
    <w:pPr>
      <w:spacing w:after="0" w:line="480" w:lineRule="atLeast"/>
      <w:ind w:right="-960"/>
      <w:jc w:val="both"/>
    </w:pPr>
    <w:rPr>
      <w:rFonts w:ascii="New Century Schlbk" w:eastAsia="Times New Roman" w:hAnsi="New Century Schlbk" w:cs="Times New Roman"/>
      <w:sz w:val="24"/>
      <w:szCs w:val="24"/>
    </w:rPr>
  </w:style>
  <w:style w:type="character" w:customStyle="1" w:styleId="BodyTextChar">
    <w:name w:val="Body Text Char"/>
    <w:basedOn w:val="DefaultParagraphFont"/>
    <w:link w:val="BodyText"/>
    <w:rsid w:val="009F3395"/>
    <w:rPr>
      <w:rFonts w:ascii="New Century Schlbk" w:eastAsia="Times New Roman" w:hAnsi="New Century Schlbk" w:cs="Times New Roman"/>
      <w:sz w:val="24"/>
      <w:szCs w:val="24"/>
    </w:rPr>
  </w:style>
  <w:style w:type="character" w:styleId="Hyperlink">
    <w:name w:val="Hyperlink"/>
    <w:rsid w:val="009F3395"/>
    <w:rPr>
      <w:color w:val="0000FF"/>
      <w:u w:val="single"/>
    </w:rPr>
  </w:style>
  <w:style w:type="paragraph" w:styleId="BodyText3">
    <w:name w:val="Body Text 3"/>
    <w:basedOn w:val="Normal"/>
    <w:link w:val="BodyText3Char"/>
    <w:rsid w:val="009F3395"/>
    <w:pPr>
      <w:spacing w:after="0" w:line="480" w:lineRule="auto"/>
      <w:jc w:val="center"/>
    </w:pPr>
    <w:rPr>
      <w:rFonts w:ascii="Century Schoolbook" w:eastAsia="Times New Roman" w:hAnsi="Century Schoolbook" w:cs="Times New Roman"/>
      <w:b/>
      <w:sz w:val="24"/>
      <w:szCs w:val="24"/>
    </w:rPr>
  </w:style>
  <w:style w:type="character" w:customStyle="1" w:styleId="BodyText3Char">
    <w:name w:val="Body Text 3 Char"/>
    <w:basedOn w:val="DefaultParagraphFont"/>
    <w:link w:val="BodyText3"/>
    <w:rsid w:val="009F3395"/>
    <w:rPr>
      <w:rFonts w:ascii="Century Schoolbook" w:eastAsia="Times New Roman" w:hAnsi="Century Schoolbook" w:cs="Times New Roman"/>
      <w:b/>
      <w:sz w:val="24"/>
      <w:szCs w:val="24"/>
    </w:rPr>
  </w:style>
  <w:style w:type="paragraph" w:styleId="PlainText">
    <w:name w:val="Plain Text"/>
    <w:basedOn w:val="Normal"/>
    <w:link w:val="PlainTextChar"/>
    <w:uiPriority w:val="99"/>
    <w:unhideWhenUsed/>
    <w:rsid w:val="009F3395"/>
    <w:pPr>
      <w:spacing w:after="0" w:line="240" w:lineRule="auto"/>
    </w:pPr>
    <w:rPr>
      <w:rFonts w:ascii="Calibri" w:eastAsia="Cambria" w:hAnsi="Calibri" w:cs="Times New Roman"/>
      <w:szCs w:val="21"/>
    </w:rPr>
  </w:style>
  <w:style w:type="character" w:customStyle="1" w:styleId="PlainTextChar">
    <w:name w:val="Plain Text Char"/>
    <w:basedOn w:val="DefaultParagraphFont"/>
    <w:link w:val="PlainText"/>
    <w:uiPriority w:val="99"/>
    <w:rsid w:val="009F3395"/>
    <w:rPr>
      <w:rFonts w:ascii="Calibri" w:eastAsia="Cambria" w:hAnsi="Calibri" w:cs="Times New Roman"/>
      <w:szCs w:val="21"/>
    </w:rPr>
  </w:style>
  <w:style w:type="paragraph" w:styleId="CommentText">
    <w:name w:val="annotation text"/>
    <w:basedOn w:val="Normal"/>
    <w:link w:val="CommentTextChar"/>
    <w:uiPriority w:val="99"/>
    <w:semiHidden/>
    <w:unhideWhenUsed/>
    <w:rsid w:val="00370627"/>
    <w:pPr>
      <w:spacing w:line="240" w:lineRule="auto"/>
    </w:pPr>
    <w:rPr>
      <w:sz w:val="20"/>
      <w:szCs w:val="20"/>
    </w:rPr>
  </w:style>
  <w:style w:type="character" w:customStyle="1" w:styleId="CommentTextChar">
    <w:name w:val="Comment Text Char"/>
    <w:basedOn w:val="DefaultParagraphFont"/>
    <w:link w:val="CommentText"/>
    <w:uiPriority w:val="99"/>
    <w:semiHidden/>
    <w:rsid w:val="00370627"/>
    <w:rPr>
      <w:sz w:val="20"/>
      <w:szCs w:val="20"/>
    </w:rPr>
  </w:style>
  <w:style w:type="character" w:styleId="CommentReference">
    <w:name w:val="annotation reference"/>
    <w:basedOn w:val="DefaultParagraphFont"/>
    <w:uiPriority w:val="99"/>
    <w:semiHidden/>
    <w:unhideWhenUsed/>
    <w:rsid w:val="00370627"/>
    <w:rPr>
      <w:sz w:val="18"/>
      <w:szCs w:val="18"/>
    </w:rPr>
  </w:style>
  <w:style w:type="character" w:customStyle="1" w:styleId="Heading3Char">
    <w:name w:val="Heading 3 Char"/>
    <w:basedOn w:val="DefaultParagraphFont"/>
    <w:link w:val="Heading3"/>
    <w:uiPriority w:val="9"/>
    <w:semiHidden/>
    <w:rsid w:val="00D54BF5"/>
    <w:rPr>
      <w:rFonts w:asciiTheme="majorHAnsi" w:eastAsiaTheme="majorEastAsia" w:hAnsiTheme="majorHAnsi" w:cstheme="majorBidi"/>
      <w:color w:val="1F3763" w:themeColor="accent1" w:themeShade="7F"/>
      <w:sz w:val="24"/>
      <w:szCs w:val="24"/>
    </w:rPr>
  </w:style>
  <w:style w:type="paragraph" w:customStyle="1" w:styleId="EndNoteBibliographyTitle">
    <w:name w:val="EndNote Bibliography Title"/>
    <w:basedOn w:val="Normal"/>
    <w:link w:val="EndNoteBibliographyTitleChar"/>
    <w:rsid w:val="000A580B"/>
    <w:pPr>
      <w:spacing w:after="0"/>
      <w:jc w:val="center"/>
    </w:pPr>
    <w:rPr>
      <w:rFonts w:ascii="Calibri" w:hAnsi="Calibri" w:cs="Calibri"/>
    </w:rPr>
  </w:style>
  <w:style w:type="character" w:customStyle="1" w:styleId="EndNoteBibliographyTitleChar">
    <w:name w:val="EndNote Bibliography Title Char"/>
    <w:basedOn w:val="BodyText3Char"/>
    <w:link w:val="EndNoteBibliographyTitle"/>
    <w:rsid w:val="000A580B"/>
    <w:rPr>
      <w:rFonts w:ascii="Calibri" w:eastAsia="Times New Roman" w:hAnsi="Calibri" w:cs="Calibri"/>
      <w:b w:val="0"/>
      <w:sz w:val="24"/>
      <w:szCs w:val="24"/>
    </w:rPr>
  </w:style>
  <w:style w:type="paragraph" w:customStyle="1" w:styleId="EndNoteBibliography">
    <w:name w:val="EndNote Bibliography"/>
    <w:basedOn w:val="Normal"/>
    <w:link w:val="EndNoteBibliographyChar"/>
    <w:rsid w:val="000A580B"/>
    <w:pPr>
      <w:spacing w:line="240" w:lineRule="auto"/>
    </w:pPr>
    <w:rPr>
      <w:rFonts w:ascii="Calibri" w:hAnsi="Calibri" w:cs="Calibri"/>
    </w:rPr>
  </w:style>
  <w:style w:type="character" w:customStyle="1" w:styleId="EndNoteBibliographyChar">
    <w:name w:val="EndNote Bibliography Char"/>
    <w:basedOn w:val="BodyText3Char"/>
    <w:link w:val="EndNoteBibliography"/>
    <w:rsid w:val="000A580B"/>
    <w:rPr>
      <w:rFonts w:ascii="Calibri" w:eastAsia="Times New Roman" w:hAnsi="Calibri" w:cs="Calibri"/>
      <w:b w:val="0"/>
      <w:sz w:val="24"/>
      <w:szCs w:val="24"/>
    </w:rPr>
  </w:style>
  <w:style w:type="character" w:customStyle="1" w:styleId="UnresolvedMention1">
    <w:name w:val="Unresolved Mention1"/>
    <w:basedOn w:val="DefaultParagraphFont"/>
    <w:uiPriority w:val="99"/>
    <w:semiHidden/>
    <w:unhideWhenUsed/>
    <w:rsid w:val="004448FB"/>
    <w:rPr>
      <w:color w:val="605E5C"/>
      <w:shd w:val="clear" w:color="auto" w:fill="E1DFDD"/>
    </w:rPr>
  </w:style>
  <w:style w:type="character" w:customStyle="1" w:styleId="author">
    <w:name w:val="author"/>
    <w:basedOn w:val="DefaultParagraphFont"/>
    <w:rsid w:val="00565D07"/>
  </w:style>
  <w:style w:type="character" w:customStyle="1" w:styleId="articletitle">
    <w:name w:val="articletitle"/>
    <w:basedOn w:val="DefaultParagraphFont"/>
    <w:rsid w:val="00565D07"/>
  </w:style>
  <w:style w:type="character" w:customStyle="1" w:styleId="pubyear">
    <w:name w:val="pubyear"/>
    <w:basedOn w:val="DefaultParagraphFont"/>
    <w:rsid w:val="00565D07"/>
  </w:style>
  <w:style w:type="character" w:customStyle="1" w:styleId="vol">
    <w:name w:val="vol"/>
    <w:basedOn w:val="DefaultParagraphFont"/>
    <w:rsid w:val="00565D07"/>
  </w:style>
  <w:style w:type="character" w:customStyle="1" w:styleId="pagefirst">
    <w:name w:val="pagefirst"/>
    <w:basedOn w:val="DefaultParagraphFont"/>
    <w:rsid w:val="00565D07"/>
  </w:style>
  <w:style w:type="character" w:customStyle="1" w:styleId="pagelast">
    <w:name w:val="pagelast"/>
    <w:basedOn w:val="DefaultParagraphFont"/>
    <w:rsid w:val="00565D07"/>
  </w:style>
  <w:style w:type="character" w:styleId="Emphasis">
    <w:name w:val="Emphasis"/>
    <w:basedOn w:val="DefaultParagraphFont"/>
    <w:uiPriority w:val="20"/>
    <w:qFormat/>
    <w:rsid w:val="0005651A"/>
    <w:rPr>
      <w:i/>
      <w:iCs/>
    </w:rPr>
  </w:style>
  <w:style w:type="character" w:customStyle="1" w:styleId="ref-vol">
    <w:name w:val="ref-vol"/>
    <w:basedOn w:val="DefaultParagraphFont"/>
    <w:rsid w:val="00781DF4"/>
  </w:style>
  <w:style w:type="character" w:customStyle="1" w:styleId="highwire-cite-metadata-volume">
    <w:name w:val="highwire-cite-metadata-volume"/>
    <w:basedOn w:val="DefaultParagraphFont"/>
    <w:rsid w:val="00862B04"/>
  </w:style>
  <w:style w:type="character" w:customStyle="1" w:styleId="highwire-cite-metadata-issue">
    <w:name w:val="highwire-cite-metadata-issue"/>
    <w:basedOn w:val="DefaultParagraphFont"/>
    <w:rsid w:val="00862B04"/>
  </w:style>
  <w:style w:type="character" w:customStyle="1" w:styleId="highwire-cite-metadata-pages">
    <w:name w:val="highwire-cite-metadata-pages"/>
    <w:basedOn w:val="DefaultParagraphFont"/>
    <w:rsid w:val="00862B04"/>
  </w:style>
  <w:style w:type="character" w:customStyle="1" w:styleId="highwire-cite-metadata-date">
    <w:name w:val="highwire-cite-metadata-date"/>
    <w:basedOn w:val="DefaultParagraphFont"/>
    <w:rsid w:val="00627BC0"/>
  </w:style>
  <w:style w:type="paragraph" w:styleId="Revision">
    <w:name w:val="Revision"/>
    <w:hidden/>
    <w:uiPriority w:val="99"/>
    <w:semiHidden/>
    <w:rsid w:val="0091245C"/>
    <w:pPr>
      <w:spacing w:after="0" w:line="240" w:lineRule="auto"/>
    </w:pPr>
  </w:style>
  <w:style w:type="character" w:customStyle="1" w:styleId="Heading1Char">
    <w:name w:val="Heading 1 Char"/>
    <w:basedOn w:val="DefaultParagraphFont"/>
    <w:link w:val="Heading1"/>
    <w:uiPriority w:val="9"/>
    <w:rsid w:val="00B72E5C"/>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B36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5B9"/>
  </w:style>
  <w:style w:type="character" w:styleId="PageNumber">
    <w:name w:val="page number"/>
    <w:basedOn w:val="DefaultParagraphFont"/>
    <w:uiPriority w:val="99"/>
    <w:semiHidden/>
    <w:unhideWhenUsed/>
    <w:rsid w:val="00B365B9"/>
  </w:style>
  <w:style w:type="paragraph" w:styleId="Header">
    <w:name w:val="header"/>
    <w:basedOn w:val="Normal"/>
    <w:link w:val="HeaderChar"/>
    <w:uiPriority w:val="99"/>
    <w:unhideWhenUsed/>
    <w:rsid w:val="00B36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5B9"/>
  </w:style>
  <w:style w:type="table" w:customStyle="1" w:styleId="TableGrid1">
    <w:name w:val="Table Grid1"/>
    <w:basedOn w:val="TableNormal"/>
    <w:next w:val="TableGrid"/>
    <w:uiPriority w:val="99"/>
    <w:rsid w:val="009D76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570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FC4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50E5"/>
    <w:rPr>
      <w:b/>
      <w:bCs/>
    </w:rPr>
  </w:style>
  <w:style w:type="character" w:customStyle="1" w:styleId="CommentSubjectChar">
    <w:name w:val="Comment Subject Char"/>
    <w:basedOn w:val="CommentTextChar"/>
    <w:link w:val="CommentSubject"/>
    <w:uiPriority w:val="99"/>
    <w:semiHidden/>
    <w:rsid w:val="00A850E5"/>
    <w:rPr>
      <w:b/>
      <w:bCs/>
      <w:sz w:val="20"/>
      <w:szCs w:val="20"/>
    </w:rPr>
  </w:style>
  <w:style w:type="character" w:styleId="UnresolvedMention">
    <w:name w:val="Unresolved Mention"/>
    <w:basedOn w:val="DefaultParagraphFont"/>
    <w:uiPriority w:val="99"/>
    <w:semiHidden/>
    <w:unhideWhenUsed/>
    <w:rsid w:val="006C6DFF"/>
    <w:rPr>
      <w:color w:val="605E5C"/>
      <w:shd w:val="clear" w:color="auto" w:fill="E1DFDD"/>
    </w:rPr>
  </w:style>
  <w:style w:type="character" w:styleId="FollowedHyperlink">
    <w:name w:val="FollowedHyperlink"/>
    <w:basedOn w:val="DefaultParagraphFont"/>
    <w:uiPriority w:val="99"/>
    <w:semiHidden/>
    <w:unhideWhenUsed/>
    <w:rsid w:val="006C6D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154">
      <w:bodyDiv w:val="1"/>
      <w:marLeft w:val="0"/>
      <w:marRight w:val="0"/>
      <w:marTop w:val="0"/>
      <w:marBottom w:val="0"/>
      <w:divBdr>
        <w:top w:val="none" w:sz="0" w:space="0" w:color="auto"/>
        <w:left w:val="none" w:sz="0" w:space="0" w:color="auto"/>
        <w:bottom w:val="none" w:sz="0" w:space="0" w:color="auto"/>
        <w:right w:val="none" w:sz="0" w:space="0" w:color="auto"/>
      </w:divBdr>
    </w:div>
    <w:div w:id="18632099">
      <w:bodyDiv w:val="1"/>
      <w:marLeft w:val="0"/>
      <w:marRight w:val="0"/>
      <w:marTop w:val="0"/>
      <w:marBottom w:val="0"/>
      <w:divBdr>
        <w:top w:val="none" w:sz="0" w:space="0" w:color="auto"/>
        <w:left w:val="none" w:sz="0" w:space="0" w:color="auto"/>
        <w:bottom w:val="none" w:sz="0" w:space="0" w:color="auto"/>
        <w:right w:val="none" w:sz="0" w:space="0" w:color="auto"/>
      </w:divBdr>
    </w:div>
    <w:div w:id="19212444">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8995187">
      <w:bodyDiv w:val="1"/>
      <w:marLeft w:val="0"/>
      <w:marRight w:val="0"/>
      <w:marTop w:val="0"/>
      <w:marBottom w:val="0"/>
      <w:divBdr>
        <w:top w:val="none" w:sz="0" w:space="0" w:color="auto"/>
        <w:left w:val="none" w:sz="0" w:space="0" w:color="auto"/>
        <w:bottom w:val="none" w:sz="0" w:space="0" w:color="auto"/>
        <w:right w:val="none" w:sz="0" w:space="0" w:color="auto"/>
      </w:divBdr>
    </w:div>
    <w:div w:id="35593324">
      <w:bodyDiv w:val="1"/>
      <w:marLeft w:val="0"/>
      <w:marRight w:val="0"/>
      <w:marTop w:val="0"/>
      <w:marBottom w:val="0"/>
      <w:divBdr>
        <w:top w:val="none" w:sz="0" w:space="0" w:color="auto"/>
        <w:left w:val="none" w:sz="0" w:space="0" w:color="auto"/>
        <w:bottom w:val="none" w:sz="0" w:space="0" w:color="auto"/>
        <w:right w:val="none" w:sz="0" w:space="0" w:color="auto"/>
      </w:divBdr>
    </w:div>
    <w:div w:id="43674395">
      <w:bodyDiv w:val="1"/>
      <w:marLeft w:val="0"/>
      <w:marRight w:val="0"/>
      <w:marTop w:val="0"/>
      <w:marBottom w:val="0"/>
      <w:divBdr>
        <w:top w:val="none" w:sz="0" w:space="0" w:color="auto"/>
        <w:left w:val="none" w:sz="0" w:space="0" w:color="auto"/>
        <w:bottom w:val="none" w:sz="0" w:space="0" w:color="auto"/>
        <w:right w:val="none" w:sz="0" w:space="0" w:color="auto"/>
      </w:divBdr>
    </w:div>
    <w:div w:id="55859164">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36256">
      <w:bodyDiv w:val="1"/>
      <w:marLeft w:val="0"/>
      <w:marRight w:val="0"/>
      <w:marTop w:val="0"/>
      <w:marBottom w:val="0"/>
      <w:divBdr>
        <w:top w:val="none" w:sz="0" w:space="0" w:color="auto"/>
        <w:left w:val="none" w:sz="0" w:space="0" w:color="auto"/>
        <w:bottom w:val="none" w:sz="0" w:space="0" w:color="auto"/>
        <w:right w:val="none" w:sz="0" w:space="0" w:color="auto"/>
      </w:divBdr>
    </w:div>
    <w:div w:id="98985718">
      <w:bodyDiv w:val="1"/>
      <w:marLeft w:val="0"/>
      <w:marRight w:val="0"/>
      <w:marTop w:val="0"/>
      <w:marBottom w:val="0"/>
      <w:divBdr>
        <w:top w:val="none" w:sz="0" w:space="0" w:color="auto"/>
        <w:left w:val="none" w:sz="0" w:space="0" w:color="auto"/>
        <w:bottom w:val="none" w:sz="0" w:space="0" w:color="auto"/>
        <w:right w:val="none" w:sz="0" w:space="0" w:color="auto"/>
      </w:divBdr>
    </w:div>
    <w:div w:id="154958623">
      <w:bodyDiv w:val="1"/>
      <w:marLeft w:val="0"/>
      <w:marRight w:val="0"/>
      <w:marTop w:val="0"/>
      <w:marBottom w:val="0"/>
      <w:divBdr>
        <w:top w:val="none" w:sz="0" w:space="0" w:color="auto"/>
        <w:left w:val="none" w:sz="0" w:space="0" w:color="auto"/>
        <w:bottom w:val="none" w:sz="0" w:space="0" w:color="auto"/>
        <w:right w:val="none" w:sz="0" w:space="0" w:color="auto"/>
      </w:divBdr>
    </w:div>
    <w:div w:id="165442838">
      <w:bodyDiv w:val="1"/>
      <w:marLeft w:val="0"/>
      <w:marRight w:val="0"/>
      <w:marTop w:val="0"/>
      <w:marBottom w:val="0"/>
      <w:divBdr>
        <w:top w:val="none" w:sz="0" w:space="0" w:color="auto"/>
        <w:left w:val="none" w:sz="0" w:space="0" w:color="auto"/>
        <w:bottom w:val="none" w:sz="0" w:space="0" w:color="auto"/>
        <w:right w:val="none" w:sz="0" w:space="0" w:color="auto"/>
      </w:divBdr>
    </w:div>
    <w:div w:id="172039801">
      <w:bodyDiv w:val="1"/>
      <w:marLeft w:val="0"/>
      <w:marRight w:val="0"/>
      <w:marTop w:val="0"/>
      <w:marBottom w:val="0"/>
      <w:divBdr>
        <w:top w:val="none" w:sz="0" w:space="0" w:color="auto"/>
        <w:left w:val="none" w:sz="0" w:space="0" w:color="auto"/>
        <w:bottom w:val="none" w:sz="0" w:space="0" w:color="auto"/>
        <w:right w:val="none" w:sz="0" w:space="0" w:color="auto"/>
      </w:divBdr>
      <w:divsChild>
        <w:div w:id="1647853019">
          <w:marLeft w:val="0"/>
          <w:marRight w:val="0"/>
          <w:marTop w:val="34"/>
          <w:marBottom w:val="34"/>
          <w:divBdr>
            <w:top w:val="none" w:sz="0" w:space="0" w:color="auto"/>
            <w:left w:val="none" w:sz="0" w:space="0" w:color="auto"/>
            <w:bottom w:val="none" w:sz="0" w:space="0" w:color="auto"/>
            <w:right w:val="none" w:sz="0" w:space="0" w:color="auto"/>
          </w:divBdr>
        </w:div>
      </w:divsChild>
    </w:div>
    <w:div w:id="187565202">
      <w:bodyDiv w:val="1"/>
      <w:marLeft w:val="0"/>
      <w:marRight w:val="0"/>
      <w:marTop w:val="0"/>
      <w:marBottom w:val="0"/>
      <w:divBdr>
        <w:top w:val="none" w:sz="0" w:space="0" w:color="auto"/>
        <w:left w:val="none" w:sz="0" w:space="0" w:color="auto"/>
        <w:bottom w:val="none" w:sz="0" w:space="0" w:color="auto"/>
        <w:right w:val="none" w:sz="0" w:space="0" w:color="auto"/>
      </w:divBdr>
      <w:divsChild>
        <w:div w:id="417797689">
          <w:marLeft w:val="0"/>
          <w:marRight w:val="0"/>
          <w:marTop w:val="0"/>
          <w:marBottom w:val="0"/>
          <w:divBdr>
            <w:top w:val="none" w:sz="0" w:space="0" w:color="auto"/>
            <w:left w:val="none" w:sz="0" w:space="0" w:color="auto"/>
            <w:bottom w:val="none" w:sz="0" w:space="0" w:color="auto"/>
            <w:right w:val="none" w:sz="0" w:space="0" w:color="auto"/>
          </w:divBdr>
          <w:divsChild>
            <w:div w:id="91559491">
              <w:marLeft w:val="0"/>
              <w:marRight w:val="0"/>
              <w:marTop w:val="0"/>
              <w:marBottom w:val="0"/>
              <w:divBdr>
                <w:top w:val="none" w:sz="0" w:space="0" w:color="auto"/>
                <w:left w:val="none" w:sz="0" w:space="0" w:color="auto"/>
                <w:bottom w:val="none" w:sz="0" w:space="0" w:color="auto"/>
                <w:right w:val="none" w:sz="0" w:space="0" w:color="auto"/>
              </w:divBdr>
              <w:divsChild>
                <w:div w:id="56319870">
                  <w:marLeft w:val="0"/>
                  <w:marRight w:val="0"/>
                  <w:marTop w:val="0"/>
                  <w:marBottom w:val="0"/>
                  <w:divBdr>
                    <w:top w:val="none" w:sz="0" w:space="0" w:color="auto"/>
                    <w:left w:val="none" w:sz="0" w:space="0" w:color="auto"/>
                    <w:bottom w:val="none" w:sz="0" w:space="0" w:color="auto"/>
                    <w:right w:val="none" w:sz="0" w:space="0" w:color="auto"/>
                  </w:divBdr>
                  <w:divsChild>
                    <w:div w:id="2007630648">
                      <w:marLeft w:val="0"/>
                      <w:marRight w:val="0"/>
                      <w:marTop w:val="0"/>
                      <w:marBottom w:val="0"/>
                      <w:divBdr>
                        <w:top w:val="single" w:sz="48" w:space="0" w:color="auto"/>
                        <w:left w:val="single" w:sz="48" w:space="0" w:color="auto"/>
                        <w:bottom w:val="single" w:sz="48" w:space="0" w:color="auto"/>
                        <w:right w:val="single" w:sz="48" w:space="0" w:color="auto"/>
                      </w:divBdr>
                      <w:divsChild>
                        <w:div w:id="1902710177">
                          <w:marLeft w:val="0"/>
                          <w:marRight w:val="0"/>
                          <w:marTop w:val="0"/>
                          <w:marBottom w:val="0"/>
                          <w:divBdr>
                            <w:top w:val="none" w:sz="0" w:space="0" w:color="auto"/>
                            <w:left w:val="none" w:sz="0" w:space="0" w:color="auto"/>
                            <w:bottom w:val="none" w:sz="0" w:space="0" w:color="auto"/>
                            <w:right w:val="none" w:sz="0" w:space="0" w:color="auto"/>
                          </w:divBdr>
                          <w:divsChild>
                            <w:div w:id="490491718">
                              <w:marLeft w:val="0"/>
                              <w:marRight w:val="0"/>
                              <w:marTop w:val="0"/>
                              <w:marBottom w:val="0"/>
                              <w:divBdr>
                                <w:top w:val="none" w:sz="0" w:space="0" w:color="auto"/>
                                <w:left w:val="none" w:sz="0" w:space="0" w:color="auto"/>
                                <w:bottom w:val="none" w:sz="0" w:space="0" w:color="auto"/>
                                <w:right w:val="none" w:sz="0" w:space="0" w:color="auto"/>
                              </w:divBdr>
                            </w:div>
                            <w:div w:id="1222860718">
                              <w:marLeft w:val="0"/>
                              <w:marRight w:val="0"/>
                              <w:marTop w:val="0"/>
                              <w:marBottom w:val="0"/>
                              <w:divBdr>
                                <w:top w:val="none" w:sz="0" w:space="0" w:color="auto"/>
                                <w:left w:val="none" w:sz="0" w:space="0" w:color="auto"/>
                                <w:bottom w:val="none" w:sz="0" w:space="0" w:color="auto"/>
                                <w:right w:val="none" w:sz="0" w:space="0" w:color="auto"/>
                              </w:divBdr>
                            </w:div>
                            <w:div w:id="1284380345">
                              <w:marLeft w:val="0"/>
                              <w:marRight w:val="0"/>
                              <w:marTop w:val="0"/>
                              <w:marBottom w:val="0"/>
                              <w:divBdr>
                                <w:top w:val="none" w:sz="0" w:space="0" w:color="auto"/>
                                <w:left w:val="none" w:sz="0" w:space="0" w:color="auto"/>
                                <w:bottom w:val="none" w:sz="0" w:space="0" w:color="auto"/>
                                <w:right w:val="none" w:sz="0" w:space="0" w:color="auto"/>
                              </w:divBdr>
                            </w:div>
                            <w:div w:id="12995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03767">
      <w:bodyDiv w:val="1"/>
      <w:marLeft w:val="0"/>
      <w:marRight w:val="0"/>
      <w:marTop w:val="0"/>
      <w:marBottom w:val="0"/>
      <w:divBdr>
        <w:top w:val="none" w:sz="0" w:space="0" w:color="auto"/>
        <w:left w:val="none" w:sz="0" w:space="0" w:color="auto"/>
        <w:bottom w:val="none" w:sz="0" w:space="0" w:color="auto"/>
        <w:right w:val="none" w:sz="0" w:space="0" w:color="auto"/>
      </w:divBdr>
      <w:divsChild>
        <w:div w:id="636450284">
          <w:marLeft w:val="0"/>
          <w:marRight w:val="0"/>
          <w:marTop w:val="34"/>
          <w:marBottom w:val="34"/>
          <w:divBdr>
            <w:top w:val="none" w:sz="0" w:space="0" w:color="auto"/>
            <w:left w:val="none" w:sz="0" w:space="0" w:color="auto"/>
            <w:bottom w:val="none" w:sz="0" w:space="0" w:color="auto"/>
            <w:right w:val="none" w:sz="0" w:space="0" w:color="auto"/>
          </w:divBdr>
        </w:div>
      </w:divsChild>
    </w:div>
    <w:div w:id="208684703">
      <w:bodyDiv w:val="1"/>
      <w:marLeft w:val="0"/>
      <w:marRight w:val="0"/>
      <w:marTop w:val="0"/>
      <w:marBottom w:val="0"/>
      <w:divBdr>
        <w:top w:val="none" w:sz="0" w:space="0" w:color="auto"/>
        <w:left w:val="none" w:sz="0" w:space="0" w:color="auto"/>
        <w:bottom w:val="none" w:sz="0" w:space="0" w:color="auto"/>
        <w:right w:val="none" w:sz="0" w:space="0" w:color="auto"/>
      </w:divBdr>
    </w:div>
    <w:div w:id="222957261">
      <w:bodyDiv w:val="1"/>
      <w:marLeft w:val="0"/>
      <w:marRight w:val="0"/>
      <w:marTop w:val="0"/>
      <w:marBottom w:val="0"/>
      <w:divBdr>
        <w:top w:val="none" w:sz="0" w:space="0" w:color="auto"/>
        <w:left w:val="none" w:sz="0" w:space="0" w:color="auto"/>
        <w:bottom w:val="none" w:sz="0" w:space="0" w:color="auto"/>
        <w:right w:val="none" w:sz="0" w:space="0" w:color="auto"/>
      </w:divBdr>
    </w:div>
    <w:div w:id="310138612">
      <w:bodyDiv w:val="1"/>
      <w:marLeft w:val="0"/>
      <w:marRight w:val="0"/>
      <w:marTop w:val="0"/>
      <w:marBottom w:val="0"/>
      <w:divBdr>
        <w:top w:val="none" w:sz="0" w:space="0" w:color="auto"/>
        <w:left w:val="none" w:sz="0" w:space="0" w:color="auto"/>
        <w:bottom w:val="none" w:sz="0" w:space="0" w:color="auto"/>
        <w:right w:val="none" w:sz="0" w:space="0" w:color="auto"/>
      </w:divBdr>
    </w:div>
    <w:div w:id="321004083">
      <w:bodyDiv w:val="1"/>
      <w:marLeft w:val="0"/>
      <w:marRight w:val="0"/>
      <w:marTop w:val="0"/>
      <w:marBottom w:val="0"/>
      <w:divBdr>
        <w:top w:val="none" w:sz="0" w:space="0" w:color="auto"/>
        <w:left w:val="none" w:sz="0" w:space="0" w:color="auto"/>
        <w:bottom w:val="none" w:sz="0" w:space="0" w:color="auto"/>
        <w:right w:val="none" w:sz="0" w:space="0" w:color="auto"/>
      </w:divBdr>
    </w:div>
    <w:div w:id="330716434">
      <w:bodyDiv w:val="1"/>
      <w:marLeft w:val="0"/>
      <w:marRight w:val="0"/>
      <w:marTop w:val="0"/>
      <w:marBottom w:val="0"/>
      <w:divBdr>
        <w:top w:val="none" w:sz="0" w:space="0" w:color="auto"/>
        <w:left w:val="none" w:sz="0" w:space="0" w:color="auto"/>
        <w:bottom w:val="none" w:sz="0" w:space="0" w:color="auto"/>
        <w:right w:val="none" w:sz="0" w:space="0" w:color="auto"/>
      </w:divBdr>
    </w:div>
    <w:div w:id="335378536">
      <w:bodyDiv w:val="1"/>
      <w:marLeft w:val="0"/>
      <w:marRight w:val="0"/>
      <w:marTop w:val="0"/>
      <w:marBottom w:val="0"/>
      <w:divBdr>
        <w:top w:val="none" w:sz="0" w:space="0" w:color="auto"/>
        <w:left w:val="none" w:sz="0" w:space="0" w:color="auto"/>
        <w:bottom w:val="none" w:sz="0" w:space="0" w:color="auto"/>
        <w:right w:val="none" w:sz="0" w:space="0" w:color="auto"/>
      </w:divBdr>
    </w:div>
    <w:div w:id="341201456">
      <w:bodyDiv w:val="1"/>
      <w:marLeft w:val="0"/>
      <w:marRight w:val="0"/>
      <w:marTop w:val="0"/>
      <w:marBottom w:val="0"/>
      <w:divBdr>
        <w:top w:val="none" w:sz="0" w:space="0" w:color="auto"/>
        <w:left w:val="none" w:sz="0" w:space="0" w:color="auto"/>
        <w:bottom w:val="none" w:sz="0" w:space="0" w:color="auto"/>
        <w:right w:val="none" w:sz="0" w:space="0" w:color="auto"/>
      </w:divBdr>
    </w:div>
    <w:div w:id="345012863">
      <w:bodyDiv w:val="1"/>
      <w:marLeft w:val="0"/>
      <w:marRight w:val="0"/>
      <w:marTop w:val="0"/>
      <w:marBottom w:val="0"/>
      <w:divBdr>
        <w:top w:val="none" w:sz="0" w:space="0" w:color="auto"/>
        <w:left w:val="none" w:sz="0" w:space="0" w:color="auto"/>
        <w:bottom w:val="none" w:sz="0" w:space="0" w:color="auto"/>
        <w:right w:val="none" w:sz="0" w:space="0" w:color="auto"/>
      </w:divBdr>
    </w:div>
    <w:div w:id="347752853">
      <w:bodyDiv w:val="1"/>
      <w:marLeft w:val="0"/>
      <w:marRight w:val="0"/>
      <w:marTop w:val="0"/>
      <w:marBottom w:val="0"/>
      <w:divBdr>
        <w:top w:val="none" w:sz="0" w:space="0" w:color="auto"/>
        <w:left w:val="none" w:sz="0" w:space="0" w:color="auto"/>
        <w:bottom w:val="none" w:sz="0" w:space="0" w:color="auto"/>
        <w:right w:val="none" w:sz="0" w:space="0" w:color="auto"/>
      </w:divBdr>
    </w:div>
    <w:div w:id="348529736">
      <w:bodyDiv w:val="1"/>
      <w:marLeft w:val="0"/>
      <w:marRight w:val="0"/>
      <w:marTop w:val="0"/>
      <w:marBottom w:val="0"/>
      <w:divBdr>
        <w:top w:val="none" w:sz="0" w:space="0" w:color="auto"/>
        <w:left w:val="none" w:sz="0" w:space="0" w:color="auto"/>
        <w:bottom w:val="none" w:sz="0" w:space="0" w:color="auto"/>
        <w:right w:val="none" w:sz="0" w:space="0" w:color="auto"/>
      </w:divBdr>
    </w:div>
    <w:div w:id="365494363">
      <w:bodyDiv w:val="1"/>
      <w:marLeft w:val="0"/>
      <w:marRight w:val="0"/>
      <w:marTop w:val="0"/>
      <w:marBottom w:val="0"/>
      <w:divBdr>
        <w:top w:val="none" w:sz="0" w:space="0" w:color="auto"/>
        <w:left w:val="none" w:sz="0" w:space="0" w:color="auto"/>
        <w:bottom w:val="none" w:sz="0" w:space="0" w:color="auto"/>
        <w:right w:val="none" w:sz="0" w:space="0" w:color="auto"/>
      </w:divBdr>
    </w:div>
    <w:div w:id="372384958">
      <w:bodyDiv w:val="1"/>
      <w:marLeft w:val="0"/>
      <w:marRight w:val="0"/>
      <w:marTop w:val="0"/>
      <w:marBottom w:val="0"/>
      <w:divBdr>
        <w:top w:val="none" w:sz="0" w:space="0" w:color="auto"/>
        <w:left w:val="none" w:sz="0" w:space="0" w:color="auto"/>
        <w:bottom w:val="none" w:sz="0" w:space="0" w:color="auto"/>
        <w:right w:val="none" w:sz="0" w:space="0" w:color="auto"/>
      </w:divBdr>
    </w:div>
    <w:div w:id="377315804">
      <w:bodyDiv w:val="1"/>
      <w:marLeft w:val="0"/>
      <w:marRight w:val="0"/>
      <w:marTop w:val="0"/>
      <w:marBottom w:val="0"/>
      <w:divBdr>
        <w:top w:val="none" w:sz="0" w:space="0" w:color="auto"/>
        <w:left w:val="none" w:sz="0" w:space="0" w:color="auto"/>
        <w:bottom w:val="none" w:sz="0" w:space="0" w:color="auto"/>
        <w:right w:val="none" w:sz="0" w:space="0" w:color="auto"/>
      </w:divBdr>
      <w:divsChild>
        <w:div w:id="2081559350">
          <w:marLeft w:val="0"/>
          <w:marRight w:val="0"/>
          <w:marTop w:val="34"/>
          <w:marBottom w:val="34"/>
          <w:divBdr>
            <w:top w:val="none" w:sz="0" w:space="0" w:color="auto"/>
            <w:left w:val="none" w:sz="0" w:space="0" w:color="auto"/>
            <w:bottom w:val="none" w:sz="0" w:space="0" w:color="auto"/>
            <w:right w:val="none" w:sz="0" w:space="0" w:color="auto"/>
          </w:divBdr>
        </w:div>
      </w:divsChild>
    </w:div>
    <w:div w:id="386950560">
      <w:bodyDiv w:val="1"/>
      <w:marLeft w:val="0"/>
      <w:marRight w:val="0"/>
      <w:marTop w:val="0"/>
      <w:marBottom w:val="0"/>
      <w:divBdr>
        <w:top w:val="none" w:sz="0" w:space="0" w:color="auto"/>
        <w:left w:val="none" w:sz="0" w:space="0" w:color="auto"/>
        <w:bottom w:val="none" w:sz="0" w:space="0" w:color="auto"/>
        <w:right w:val="none" w:sz="0" w:space="0" w:color="auto"/>
      </w:divBdr>
      <w:divsChild>
        <w:div w:id="370107526">
          <w:marLeft w:val="0"/>
          <w:marRight w:val="0"/>
          <w:marTop w:val="0"/>
          <w:marBottom w:val="0"/>
          <w:divBdr>
            <w:top w:val="none" w:sz="0" w:space="0" w:color="auto"/>
            <w:left w:val="none" w:sz="0" w:space="0" w:color="auto"/>
            <w:bottom w:val="none" w:sz="0" w:space="0" w:color="auto"/>
            <w:right w:val="none" w:sz="0" w:space="0" w:color="auto"/>
          </w:divBdr>
          <w:divsChild>
            <w:div w:id="730156175">
              <w:marLeft w:val="0"/>
              <w:marRight w:val="0"/>
              <w:marTop w:val="0"/>
              <w:marBottom w:val="0"/>
              <w:divBdr>
                <w:top w:val="none" w:sz="0" w:space="0" w:color="auto"/>
                <w:left w:val="none" w:sz="0" w:space="0" w:color="auto"/>
                <w:bottom w:val="none" w:sz="0" w:space="0" w:color="auto"/>
                <w:right w:val="none" w:sz="0" w:space="0" w:color="auto"/>
              </w:divBdr>
              <w:divsChild>
                <w:div w:id="1112285938">
                  <w:marLeft w:val="0"/>
                  <w:marRight w:val="0"/>
                  <w:marTop w:val="0"/>
                  <w:marBottom w:val="0"/>
                  <w:divBdr>
                    <w:top w:val="none" w:sz="0" w:space="0" w:color="auto"/>
                    <w:left w:val="none" w:sz="0" w:space="0" w:color="auto"/>
                    <w:bottom w:val="none" w:sz="0" w:space="0" w:color="auto"/>
                    <w:right w:val="none" w:sz="0" w:space="0" w:color="auto"/>
                  </w:divBdr>
                  <w:divsChild>
                    <w:div w:id="1643533590">
                      <w:marLeft w:val="0"/>
                      <w:marRight w:val="0"/>
                      <w:marTop w:val="0"/>
                      <w:marBottom w:val="0"/>
                      <w:divBdr>
                        <w:top w:val="single" w:sz="48" w:space="0" w:color="auto"/>
                        <w:left w:val="single" w:sz="48" w:space="0" w:color="auto"/>
                        <w:bottom w:val="single" w:sz="48" w:space="0" w:color="auto"/>
                        <w:right w:val="single" w:sz="48" w:space="0" w:color="auto"/>
                      </w:divBdr>
                      <w:divsChild>
                        <w:div w:id="86578480">
                          <w:marLeft w:val="0"/>
                          <w:marRight w:val="0"/>
                          <w:marTop w:val="0"/>
                          <w:marBottom w:val="0"/>
                          <w:divBdr>
                            <w:top w:val="none" w:sz="0" w:space="0" w:color="auto"/>
                            <w:left w:val="none" w:sz="0" w:space="0" w:color="auto"/>
                            <w:bottom w:val="none" w:sz="0" w:space="0" w:color="auto"/>
                            <w:right w:val="none" w:sz="0" w:space="0" w:color="auto"/>
                          </w:divBdr>
                          <w:divsChild>
                            <w:div w:id="1902056752">
                              <w:marLeft w:val="0"/>
                              <w:marRight w:val="0"/>
                              <w:marTop w:val="0"/>
                              <w:marBottom w:val="0"/>
                              <w:divBdr>
                                <w:top w:val="none" w:sz="0" w:space="0" w:color="auto"/>
                                <w:left w:val="none" w:sz="0" w:space="0" w:color="auto"/>
                                <w:bottom w:val="none" w:sz="0" w:space="0" w:color="auto"/>
                                <w:right w:val="none" w:sz="0" w:space="0" w:color="auto"/>
                              </w:divBdr>
                            </w:div>
                            <w:div w:id="1869492337">
                              <w:marLeft w:val="0"/>
                              <w:marRight w:val="0"/>
                              <w:marTop w:val="0"/>
                              <w:marBottom w:val="0"/>
                              <w:divBdr>
                                <w:top w:val="none" w:sz="0" w:space="0" w:color="auto"/>
                                <w:left w:val="none" w:sz="0" w:space="0" w:color="auto"/>
                                <w:bottom w:val="none" w:sz="0" w:space="0" w:color="auto"/>
                                <w:right w:val="none" w:sz="0" w:space="0" w:color="auto"/>
                              </w:divBdr>
                            </w:div>
                            <w:div w:id="1806849126">
                              <w:marLeft w:val="0"/>
                              <w:marRight w:val="0"/>
                              <w:marTop w:val="0"/>
                              <w:marBottom w:val="0"/>
                              <w:divBdr>
                                <w:top w:val="none" w:sz="0" w:space="0" w:color="auto"/>
                                <w:left w:val="none" w:sz="0" w:space="0" w:color="auto"/>
                                <w:bottom w:val="none" w:sz="0" w:space="0" w:color="auto"/>
                                <w:right w:val="none" w:sz="0" w:space="0" w:color="auto"/>
                              </w:divBdr>
                            </w:div>
                            <w:div w:id="20864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889">
      <w:bodyDiv w:val="1"/>
      <w:marLeft w:val="0"/>
      <w:marRight w:val="0"/>
      <w:marTop w:val="0"/>
      <w:marBottom w:val="0"/>
      <w:divBdr>
        <w:top w:val="none" w:sz="0" w:space="0" w:color="auto"/>
        <w:left w:val="none" w:sz="0" w:space="0" w:color="auto"/>
        <w:bottom w:val="none" w:sz="0" w:space="0" w:color="auto"/>
        <w:right w:val="none" w:sz="0" w:space="0" w:color="auto"/>
      </w:divBdr>
    </w:div>
    <w:div w:id="477770896">
      <w:bodyDiv w:val="1"/>
      <w:marLeft w:val="0"/>
      <w:marRight w:val="0"/>
      <w:marTop w:val="0"/>
      <w:marBottom w:val="0"/>
      <w:divBdr>
        <w:top w:val="none" w:sz="0" w:space="0" w:color="auto"/>
        <w:left w:val="none" w:sz="0" w:space="0" w:color="auto"/>
        <w:bottom w:val="none" w:sz="0" w:space="0" w:color="auto"/>
        <w:right w:val="none" w:sz="0" w:space="0" w:color="auto"/>
      </w:divBdr>
    </w:div>
    <w:div w:id="478155657">
      <w:bodyDiv w:val="1"/>
      <w:marLeft w:val="0"/>
      <w:marRight w:val="0"/>
      <w:marTop w:val="0"/>
      <w:marBottom w:val="0"/>
      <w:divBdr>
        <w:top w:val="none" w:sz="0" w:space="0" w:color="auto"/>
        <w:left w:val="none" w:sz="0" w:space="0" w:color="auto"/>
        <w:bottom w:val="none" w:sz="0" w:space="0" w:color="auto"/>
        <w:right w:val="none" w:sz="0" w:space="0" w:color="auto"/>
      </w:divBdr>
    </w:div>
    <w:div w:id="535626358">
      <w:bodyDiv w:val="1"/>
      <w:marLeft w:val="0"/>
      <w:marRight w:val="0"/>
      <w:marTop w:val="0"/>
      <w:marBottom w:val="0"/>
      <w:divBdr>
        <w:top w:val="none" w:sz="0" w:space="0" w:color="auto"/>
        <w:left w:val="none" w:sz="0" w:space="0" w:color="auto"/>
        <w:bottom w:val="none" w:sz="0" w:space="0" w:color="auto"/>
        <w:right w:val="none" w:sz="0" w:space="0" w:color="auto"/>
      </w:divBdr>
      <w:divsChild>
        <w:div w:id="368650847">
          <w:marLeft w:val="274"/>
          <w:marRight w:val="0"/>
          <w:marTop w:val="150"/>
          <w:marBottom w:val="0"/>
          <w:divBdr>
            <w:top w:val="none" w:sz="0" w:space="0" w:color="auto"/>
            <w:left w:val="none" w:sz="0" w:space="0" w:color="auto"/>
            <w:bottom w:val="none" w:sz="0" w:space="0" w:color="auto"/>
            <w:right w:val="none" w:sz="0" w:space="0" w:color="auto"/>
          </w:divBdr>
        </w:div>
      </w:divsChild>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56553606">
      <w:bodyDiv w:val="1"/>
      <w:marLeft w:val="0"/>
      <w:marRight w:val="0"/>
      <w:marTop w:val="0"/>
      <w:marBottom w:val="0"/>
      <w:divBdr>
        <w:top w:val="none" w:sz="0" w:space="0" w:color="auto"/>
        <w:left w:val="none" w:sz="0" w:space="0" w:color="auto"/>
        <w:bottom w:val="none" w:sz="0" w:space="0" w:color="auto"/>
        <w:right w:val="none" w:sz="0" w:space="0" w:color="auto"/>
      </w:divBdr>
    </w:div>
    <w:div w:id="579410990">
      <w:bodyDiv w:val="1"/>
      <w:marLeft w:val="0"/>
      <w:marRight w:val="0"/>
      <w:marTop w:val="0"/>
      <w:marBottom w:val="0"/>
      <w:divBdr>
        <w:top w:val="none" w:sz="0" w:space="0" w:color="auto"/>
        <w:left w:val="none" w:sz="0" w:space="0" w:color="auto"/>
        <w:bottom w:val="none" w:sz="0" w:space="0" w:color="auto"/>
        <w:right w:val="none" w:sz="0" w:space="0" w:color="auto"/>
      </w:divBdr>
    </w:div>
    <w:div w:id="588543976">
      <w:bodyDiv w:val="1"/>
      <w:marLeft w:val="0"/>
      <w:marRight w:val="0"/>
      <w:marTop w:val="0"/>
      <w:marBottom w:val="0"/>
      <w:divBdr>
        <w:top w:val="none" w:sz="0" w:space="0" w:color="auto"/>
        <w:left w:val="none" w:sz="0" w:space="0" w:color="auto"/>
        <w:bottom w:val="none" w:sz="0" w:space="0" w:color="auto"/>
        <w:right w:val="none" w:sz="0" w:space="0" w:color="auto"/>
      </w:divBdr>
    </w:div>
    <w:div w:id="625888783">
      <w:bodyDiv w:val="1"/>
      <w:marLeft w:val="0"/>
      <w:marRight w:val="0"/>
      <w:marTop w:val="0"/>
      <w:marBottom w:val="0"/>
      <w:divBdr>
        <w:top w:val="none" w:sz="0" w:space="0" w:color="auto"/>
        <w:left w:val="none" w:sz="0" w:space="0" w:color="auto"/>
        <w:bottom w:val="none" w:sz="0" w:space="0" w:color="auto"/>
        <w:right w:val="none" w:sz="0" w:space="0" w:color="auto"/>
      </w:divBdr>
    </w:div>
    <w:div w:id="646858190">
      <w:bodyDiv w:val="1"/>
      <w:marLeft w:val="0"/>
      <w:marRight w:val="0"/>
      <w:marTop w:val="0"/>
      <w:marBottom w:val="0"/>
      <w:divBdr>
        <w:top w:val="none" w:sz="0" w:space="0" w:color="auto"/>
        <w:left w:val="none" w:sz="0" w:space="0" w:color="auto"/>
        <w:bottom w:val="none" w:sz="0" w:space="0" w:color="auto"/>
        <w:right w:val="none" w:sz="0" w:space="0" w:color="auto"/>
      </w:divBdr>
    </w:div>
    <w:div w:id="678653470">
      <w:bodyDiv w:val="1"/>
      <w:marLeft w:val="0"/>
      <w:marRight w:val="0"/>
      <w:marTop w:val="0"/>
      <w:marBottom w:val="0"/>
      <w:divBdr>
        <w:top w:val="none" w:sz="0" w:space="0" w:color="auto"/>
        <w:left w:val="none" w:sz="0" w:space="0" w:color="auto"/>
        <w:bottom w:val="none" w:sz="0" w:space="0" w:color="auto"/>
        <w:right w:val="none" w:sz="0" w:space="0" w:color="auto"/>
      </w:divBdr>
    </w:div>
    <w:div w:id="715589699">
      <w:bodyDiv w:val="1"/>
      <w:marLeft w:val="0"/>
      <w:marRight w:val="0"/>
      <w:marTop w:val="0"/>
      <w:marBottom w:val="0"/>
      <w:divBdr>
        <w:top w:val="none" w:sz="0" w:space="0" w:color="auto"/>
        <w:left w:val="none" w:sz="0" w:space="0" w:color="auto"/>
        <w:bottom w:val="none" w:sz="0" w:space="0" w:color="auto"/>
        <w:right w:val="none" w:sz="0" w:space="0" w:color="auto"/>
      </w:divBdr>
    </w:div>
    <w:div w:id="734860874">
      <w:bodyDiv w:val="1"/>
      <w:marLeft w:val="0"/>
      <w:marRight w:val="0"/>
      <w:marTop w:val="0"/>
      <w:marBottom w:val="0"/>
      <w:divBdr>
        <w:top w:val="none" w:sz="0" w:space="0" w:color="auto"/>
        <w:left w:val="none" w:sz="0" w:space="0" w:color="auto"/>
        <w:bottom w:val="none" w:sz="0" w:space="0" w:color="auto"/>
        <w:right w:val="none" w:sz="0" w:space="0" w:color="auto"/>
      </w:divBdr>
      <w:divsChild>
        <w:div w:id="1449665509">
          <w:marLeft w:val="0"/>
          <w:marRight w:val="0"/>
          <w:marTop w:val="0"/>
          <w:marBottom w:val="0"/>
          <w:divBdr>
            <w:top w:val="none" w:sz="0" w:space="0" w:color="auto"/>
            <w:left w:val="none" w:sz="0" w:space="0" w:color="auto"/>
            <w:bottom w:val="none" w:sz="0" w:space="0" w:color="auto"/>
            <w:right w:val="none" w:sz="0" w:space="0" w:color="auto"/>
          </w:divBdr>
          <w:divsChild>
            <w:div w:id="2064988326">
              <w:marLeft w:val="0"/>
              <w:marRight w:val="0"/>
              <w:marTop w:val="0"/>
              <w:marBottom w:val="0"/>
              <w:divBdr>
                <w:top w:val="none" w:sz="0" w:space="0" w:color="auto"/>
                <w:left w:val="none" w:sz="0" w:space="0" w:color="auto"/>
                <w:bottom w:val="none" w:sz="0" w:space="0" w:color="auto"/>
                <w:right w:val="none" w:sz="0" w:space="0" w:color="auto"/>
              </w:divBdr>
              <w:divsChild>
                <w:div w:id="1039621780">
                  <w:marLeft w:val="150"/>
                  <w:marRight w:val="150"/>
                  <w:marTop w:val="0"/>
                  <w:marBottom w:val="0"/>
                  <w:divBdr>
                    <w:top w:val="none" w:sz="0" w:space="0" w:color="auto"/>
                    <w:left w:val="none" w:sz="0" w:space="0" w:color="auto"/>
                    <w:bottom w:val="none" w:sz="0" w:space="0" w:color="auto"/>
                    <w:right w:val="none" w:sz="0" w:space="0" w:color="auto"/>
                  </w:divBdr>
                  <w:divsChild>
                    <w:div w:id="1007052682">
                      <w:marLeft w:val="0"/>
                      <w:marRight w:val="0"/>
                      <w:marTop w:val="0"/>
                      <w:marBottom w:val="0"/>
                      <w:divBdr>
                        <w:top w:val="none" w:sz="0" w:space="0" w:color="auto"/>
                        <w:left w:val="none" w:sz="0" w:space="0" w:color="auto"/>
                        <w:bottom w:val="none" w:sz="0" w:space="0" w:color="auto"/>
                        <w:right w:val="none" w:sz="0" w:space="0" w:color="auto"/>
                      </w:divBdr>
                      <w:divsChild>
                        <w:div w:id="1898281250">
                          <w:marLeft w:val="0"/>
                          <w:marRight w:val="0"/>
                          <w:marTop w:val="0"/>
                          <w:marBottom w:val="0"/>
                          <w:divBdr>
                            <w:top w:val="none" w:sz="0" w:space="0" w:color="auto"/>
                            <w:left w:val="none" w:sz="0" w:space="0" w:color="auto"/>
                            <w:bottom w:val="none" w:sz="0" w:space="0" w:color="auto"/>
                            <w:right w:val="none" w:sz="0" w:space="0" w:color="auto"/>
                          </w:divBdr>
                          <w:divsChild>
                            <w:div w:id="159538732">
                              <w:marLeft w:val="0"/>
                              <w:marRight w:val="0"/>
                              <w:marTop w:val="0"/>
                              <w:marBottom w:val="0"/>
                              <w:divBdr>
                                <w:top w:val="none" w:sz="0" w:space="0" w:color="auto"/>
                                <w:left w:val="none" w:sz="0" w:space="0" w:color="auto"/>
                                <w:bottom w:val="none" w:sz="0" w:space="0" w:color="auto"/>
                                <w:right w:val="none" w:sz="0" w:space="0" w:color="auto"/>
                              </w:divBdr>
                              <w:divsChild>
                                <w:div w:id="182866540">
                                  <w:marLeft w:val="0"/>
                                  <w:marRight w:val="0"/>
                                  <w:marTop w:val="0"/>
                                  <w:marBottom w:val="0"/>
                                  <w:divBdr>
                                    <w:top w:val="none" w:sz="0" w:space="0" w:color="auto"/>
                                    <w:left w:val="none" w:sz="0" w:space="0" w:color="auto"/>
                                    <w:bottom w:val="none" w:sz="0" w:space="0" w:color="auto"/>
                                    <w:right w:val="none" w:sz="0" w:space="0" w:color="auto"/>
                                  </w:divBdr>
                                  <w:divsChild>
                                    <w:div w:id="699087016">
                                      <w:marLeft w:val="0"/>
                                      <w:marRight w:val="0"/>
                                      <w:marTop w:val="0"/>
                                      <w:marBottom w:val="0"/>
                                      <w:divBdr>
                                        <w:top w:val="none" w:sz="0" w:space="0" w:color="auto"/>
                                        <w:left w:val="none" w:sz="0" w:space="0" w:color="auto"/>
                                        <w:bottom w:val="none" w:sz="0" w:space="0" w:color="auto"/>
                                        <w:right w:val="none" w:sz="0" w:space="0" w:color="auto"/>
                                      </w:divBdr>
                                      <w:divsChild>
                                        <w:div w:id="557591276">
                                          <w:marLeft w:val="0"/>
                                          <w:marRight w:val="0"/>
                                          <w:marTop w:val="0"/>
                                          <w:marBottom w:val="0"/>
                                          <w:divBdr>
                                            <w:top w:val="none" w:sz="0" w:space="0" w:color="auto"/>
                                            <w:left w:val="none" w:sz="0" w:space="0" w:color="auto"/>
                                            <w:bottom w:val="none" w:sz="0" w:space="0" w:color="auto"/>
                                            <w:right w:val="none" w:sz="0" w:space="0" w:color="auto"/>
                                          </w:divBdr>
                                          <w:divsChild>
                                            <w:div w:id="1603761785">
                                              <w:marLeft w:val="0"/>
                                              <w:marRight w:val="0"/>
                                              <w:marTop w:val="0"/>
                                              <w:marBottom w:val="0"/>
                                              <w:divBdr>
                                                <w:top w:val="none" w:sz="0" w:space="0" w:color="auto"/>
                                                <w:left w:val="none" w:sz="0" w:space="0" w:color="auto"/>
                                                <w:bottom w:val="none" w:sz="0" w:space="0" w:color="auto"/>
                                                <w:right w:val="none" w:sz="0" w:space="0" w:color="auto"/>
                                              </w:divBdr>
                                              <w:divsChild>
                                                <w:div w:id="1761638487">
                                                  <w:marLeft w:val="0"/>
                                                  <w:marRight w:val="0"/>
                                                  <w:marTop w:val="0"/>
                                                  <w:marBottom w:val="0"/>
                                                  <w:divBdr>
                                                    <w:top w:val="none" w:sz="0" w:space="0" w:color="auto"/>
                                                    <w:left w:val="none" w:sz="0" w:space="0" w:color="auto"/>
                                                    <w:bottom w:val="none" w:sz="0" w:space="0" w:color="auto"/>
                                                    <w:right w:val="none" w:sz="0" w:space="0" w:color="auto"/>
                                                  </w:divBdr>
                                                  <w:divsChild>
                                                    <w:div w:id="1087575531">
                                                      <w:marLeft w:val="0"/>
                                                      <w:marRight w:val="0"/>
                                                      <w:marTop w:val="0"/>
                                                      <w:marBottom w:val="0"/>
                                                      <w:divBdr>
                                                        <w:top w:val="none" w:sz="0" w:space="0" w:color="auto"/>
                                                        <w:left w:val="none" w:sz="0" w:space="0" w:color="auto"/>
                                                        <w:bottom w:val="none" w:sz="0" w:space="0" w:color="auto"/>
                                                        <w:right w:val="none" w:sz="0" w:space="0" w:color="auto"/>
                                                      </w:divBdr>
                                                      <w:divsChild>
                                                        <w:div w:id="964585221">
                                                          <w:marLeft w:val="0"/>
                                                          <w:marRight w:val="0"/>
                                                          <w:marTop w:val="0"/>
                                                          <w:marBottom w:val="150"/>
                                                          <w:divBdr>
                                                            <w:top w:val="none" w:sz="0" w:space="0" w:color="auto"/>
                                                            <w:left w:val="none" w:sz="0" w:space="0" w:color="auto"/>
                                                            <w:bottom w:val="none" w:sz="0" w:space="0" w:color="auto"/>
                                                            <w:right w:val="none" w:sz="0" w:space="0" w:color="auto"/>
                                                          </w:divBdr>
                                                          <w:divsChild>
                                                            <w:div w:id="843208385">
                                                              <w:marLeft w:val="0"/>
                                                              <w:marRight w:val="0"/>
                                                              <w:marTop w:val="0"/>
                                                              <w:marBottom w:val="0"/>
                                                              <w:divBdr>
                                                                <w:top w:val="none" w:sz="0" w:space="0" w:color="auto"/>
                                                                <w:left w:val="none" w:sz="0" w:space="0" w:color="auto"/>
                                                                <w:bottom w:val="none" w:sz="0" w:space="0" w:color="auto"/>
                                                                <w:right w:val="none" w:sz="0" w:space="0" w:color="auto"/>
                                                              </w:divBdr>
                                                              <w:divsChild>
                                                                <w:div w:id="1560820898">
                                                                  <w:marLeft w:val="0"/>
                                                                  <w:marRight w:val="0"/>
                                                                  <w:marTop w:val="0"/>
                                                                  <w:marBottom w:val="0"/>
                                                                  <w:divBdr>
                                                                    <w:top w:val="none" w:sz="0" w:space="0" w:color="auto"/>
                                                                    <w:left w:val="none" w:sz="0" w:space="0" w:color="auto"/>
                                                                    <w:bottom w:val="none" w:sz="0" w:space="0" w:color="auto"/>
                                                                    <w:right w:val="none" w:sz="0" w:space="0" w:color="auto"/>
                                                                  </w:divBdr>
                                                                  <w:divsChild>
                                                                    <w:div w:id="1144006688">
                                                                      <w:marLeft w:val="0"/>
                                                                      <w:marRight w:val="0"/>
                                                                      <w:marTop w:val="0"/>
                                                                      <w:marBottom w:val="0"/>
                                                                      <w:divBdr>
                                                                        <w:top w:val="none" w:sz="0" w:space="0" w:color="auto"/>
                                                                        <w:left w:val="none" w:sz="0" w:space="0" w:color="auto"/>
                                                                        <w:bottom w:val="none" w:sz="0" w:space="0" w:color="auto"/>
                                                                        <w:right w:val="none" w:sz="0" w:space="0" w:color="auto"/>
                                                                      </w:divBdr>
                                                                      <w:divsChild>
                                                                        <w:div w:id="1552764201">
                                                                          <w:marLeft w:val="0"/>
                                                                          <w:marRight w:val="0"/>
                                                                          <w:marTop w:val="0"/>
                                                                          <w:marBottom w:val="0"/>
                                                                          <w:divBdr>
                                                                            <w:top w:val="none" w:sz="0" w:space="0" w:color="auto"/>
                                                                            <w:left w:val="none" w:sz="0" w:space="0" w:color="auto"/>
                                                                            <w:bottom w:val="none" w:sz="0" w:space="0" w:color="auto"/>
                                                                            <w:right w:val="none" w:sz="0" w:space="0" w:color="auto"/>
                                                                          </w:divBdr>
                                                                          <w:divsChild>
                                                                            <w:div w:id="1402678855">
                                                                              <w:marLeft w:val="0"/>
                                                                              <w:marRight w:val="0"/>
                                                                              <w:marTop w:val="0"/>
                                                                              <w:marBottom w:val="0"/>
                                                                              <w:divBdr>
                                                                                <w:top w:val="none" w:sz="0" w:space="0" w:color="auto"/>
                                                                                <w:left w:val="none" w:sz="0" w:space="0" w:color="auto"/>
                                                                                <w:bottom w:val="none" w:sz="0" w:space="0" w:color="auto"/>
                                                                                <w:right w:val="none" w:sz="0" w:space="0" w:color="auto"/>
                                                                              </w:divBdr>
                                                                              <w:divsChild>
                                                                                <w:div w:id="332222452">
                                                                                  <w:marLeft w:val="0"/>
                                                                                  <w:marRight w:val="0"/>
                                                                                  <w:marTop w:val="0"/>
                                                                                  <w:marBottom w:val="0"/>
                                                                                  <w:divBdr>
                                                                                    <w:top w:val="none" w:sz="0" w:space="0" w:color="auto"/>
                                                                                    <w:left w:val="none" w:sz="0" w:space="0" w:color="auto"/>
                                                                                    <w:bottom w:val="none" w:sz="0" w:space="0" w:color="auto"/>
                                                                                    <w:right w:val="none" w:sz="0" w:space="0" w:color="auto"/>
                                                                                  </w:divBdr>
                                                                                  <w:divsChild>
                                                                                    <w:div w:id="1039476712">
                                                                                      <w:marLeft w:val="0"/>
                                                                                      <w:marRight w:val="0"/>
                                                                                      <w:marTop w:val="0"/>
                                                                                      <w:marBottom w:val="150"/>
                                                                                      <w:divBdr>
                                                                                        <w:top w:val="none" w:sz="0" w:space="0" w:color="auto"/>
                                                                                        <w:left w:val="none" w:sz="0" w:space="0" w:color="auto"/>
                                                                                        <w:bottom w:val="none" w:sz="0" w:space="0" w:color="auto"/>
                                                                                        <w:right w:val="none" w:sz="0" w:space="0" w:color="auto"/>
                                                                                      </w:divBdr>
                                                                                      <w:divsChild>
                                                                                        <w:div w:id="364404284">
                                                                                          <w:marLeft w:val="0"/>
                                                                                          <w:marRight w:val="0"/>
                                                                                          <w:marTop w:val="0"/>
                                                                                          <w:marBottom w:val="0"/>
                                                                                          <w:divBdr>
                                                                                            <w:top w:val="none" w:sz="0" w:space="0" w:color="auto"/>
                                                                                            <w:left w:val="none" w:sz="0" w:space="0" w:color="auto"/>
                                                                                            <w:bottom w:val="none" w:sz="0" w:space="0" w:color="auto"/>
                                                                                            <w:right w:val="none" w:sz="0" w:space="0" w:color="auto"/>
                                                                                          </w:divBdr>
                                                                                          <w:divsChild>
                                                                                            <w:div w:id="2141681489">
                                                                                              <w:marLeft w:val="0"/>
                                                                                              <w:marRight w:val="0"/>
                                                                                              <w:marTop w:val="0"/>
                                                                                              <w:marBottom w:val="0"/>
                                                                                              <w:divBdr>
                                                                                                <w:top w:val="none" w:sz="0" w:space="0" w:color="auto"/>
                                                                                                <w:left w:val="none" w:sz="0" w:space="0" w:color="auto"/>
                                                                                                <w:bottom w:val="none" w:sz="0" w:space="0" w:color="auto"/>
                                                                                                <w:right w:val="none" w:sz="0" w:space="0" w:color="auto"/>
                                                                                              </w:divBdr>
                                                                                              <w:divsChild>
                                                                                                <w:div w:id="132719495">
                                                                                                  <w:marLeft w:val="0"/>
                                                                                                  <w:marRight w:val="0"/>
                                                                                                  <w:marTop w:val="0"/>
                                                                                                  <w:marBottom w:val="0"/>
                                                                                                  <w:divBdr>
                                                                                                    <w:top w:val="none" w:sz="0" w:space="0" w:color="auto"/>
                                                                                                    <w:left w:val="none" w:sz="0" w:space="0" w:color="auto"/>
                                                                                                    <w:bottom w:val="none" w:sz="0" w:space="0" w:color="auto"/>
                                                                                                    <w:right w:val="none" w:sz="0" w:space="0" w:color="auto"/>
                                                                                                  </w:divBdr>
                                                                                                  <w:divsChild>
                                                                                                    <w:div w:id="1831484220">
                                                                                                      <w:marLeft w:val="0"/>
                                                                                                      <w:marRight w:val="0"/>
                                                                                                      <w:marTop w:val="0"/>
                                                                                                      <w:marBottom w:val="0"/>
                                                                                                      <w:divBdr>
                                                                                                        <w:top w:val="none" w:sz="0" w:space="0" w:color="auto"/>
                                                                                                        <w:left w:val="none" w:sz="0" w:space="0" w:color="auto"/>
                                                                                                        <w:bottom w:val="none" w:sz="0" w:space="0" w:color="auto"/>
                                                                                                        <w:right w:val="none" w:sz="0" w:space="0" w:color="auto"/>
                                                                                                      </w:divBdr>
                                                                                                      <w:divsChild>
                                                                                                        <w:div w:id="1877696001">
                                                                                                          <w:marLeft w:val="0"/>
                                                                                                          <w:marRight w:val="0"/>
                                                                                                          <w:marTop w:val="0"/>
                                                                                                          <w:marBottom w:val="0"/>
                                                                                                          <w:divBdr>
                                                                                                            <w:top w:val="none" w:sz="0" w:space="0" w:color="auto"/>
                                                                                                            <w:left w:val="none" w:sz="0" w:space="0" w:color="auto"/>
                                                                                                            <w:bottom w:val="none" w:sz="0" w:space="0" w:color="auto"/>
                                                                                                            <w:right w:val="none" w:sz="0" w:space="0" w:color="auto"/>
                                                                                                          </w:divBdr>
                                                                                                          <w:divsChild>
                                                                                                            <w:div w:id="1192300878">
                                                                                                              <w:marLeft w:val="0"/>
                                                                                                              <w:marRight w:val="0"/>
                                                                                                              <w:marTop w:val="0"/>
                                                                                                              <w:marBottom w:val="0"/>
                                                                                                              <w:divBdr>
                                                                                                                <w:top w:val="none" w:sz="0" w:space="0" w:color="auto"/>
                                                                                                                <w:left w:val="none" w:sz="0" w:space="0" w:color="auto"/>
                                                                                                                <w:bottom w:val="none" w:sz="0" w:space="0" w:color="auto"/>
                                                                                                                <w:right w:val="none" w:sz="0" w:space="0" w:color="auto"/>
                                                                                                              </w:divBdr>
                                                                                                              <w:divsChild>
                                                                                                                <w:div w:id="7431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100659">
      <w:bodyDiv w:val="1"/>
      <w:marLeft w:val="0"/>
      <w:marRight w:val="0"/>
      <w:marTop w:val="0"/>
      <w:marBottom w:val="0"/>
      <w:divBdr>
        <w:top w:val="none" w:sz="0" w:space="0" w:color="auto"/>
        <w:left w:val="none" w:sz="0" w:space="0" w:color="auto"/>
        <w:bottom w:val="none" w:sz="0" w:space="0" w:color="auto"/>
        <w:right w:val="none" w:sz="0" w:space="0" w:color="auto"/>
      </w:divBdr>
      <w:divsChild>
        <w:div w:id="1810827813">
          <w:marLeft w:val="0"/>
          <w:marRight w:val="0"/>
          <w:marTop w:val="34"/>
          <w:marBottom w:val="34"/>
          <w:divBdr>
            <w:top w:val="none" w:sz="0" w:space="0" w:color="auto"/>
            <w:left w:val="none" w:sz="0" w:space="0" w:color="auto"/>
            <w:bottom w:val="none" w:sz="0" w:space="0" w:color="auto"/>
            <w:right w:val="none" w:sz="0" w:space="0" w:color="auto"/>
          </w:divBdr>
        </w:div>
      </w:divsChild>
    </w:div>
    <w:div w:id="755713909">
      <w:bodyDiv w:val="1"/>
      <w:marLeft w:val="0"/>
      <w:marRight w:val="0"/>
      <w:marTop w:val="0"/>
      <w:marBottom w:val="0"/>
      <w:divBdr>
        <w:top w:val="none" w:sz="0" w:space="0" w:color="auto"/>
        <w:left w:val="none" w:sz="0" w:space="0" w:color="auto"/>
        <w:bottom w:val="none" w:sz="0" w:space="0" w:color="auto"/>
        <w:right w:val="none" w:sz="0" w:space="0" w:color="auto"/>
      </w:divBdr>
    </w:div>
    <w:div w:id="769393400">
      <w:bodyDiv w:val="1"/>
      <w:marLeft w:val="0"/>
      <w:marRight w:val="0"/>
      <w:marTop w:val="0"/>
      <w:marBottom w:val="0"/>
      <w:divBdr>
        <w:top w:val="none" w:sz="0" w:space="0" w:color="auto"/>
        <w:left w:val="none" w:sz="0" w:space="0" w:color="auto"/>
        <w:bottom w:val="none" w:sz="0" w:space="0" w:color="auto"/>
        <w:right w:val="none" w:sz="0" w:space="0" w:color="auto"/>
      </w:divBdr>
    </w:div>
    <w:div w:id="770512602">
      <w:bodyDiv w:val="1"/>
      <w:marLeft w:val="0"/>
      <w:marRight w:val="0"/>
      <w:marTop w:val="0"/>
      <w:marBottom w:val="0"/>
      <w:divBdr>
        <w:top w:val="none" w:sz="0" w:space="0" w:color="auto"/>
        <w:left w:val="none" w:sz="0" w:space="0" w:color="auto"/>
        <w:bottom w:val="none" w:sz="0" w:space="0" w:color="auto"/>
        <w:right w:val="none" w:sz="0" w:space="0" w:color="auto"/>
      </w:divBdr>
    </w:div>
    <w:div w:id="774784564">
      <w:bodyDiv w:val="1"/>
      <w:marLeft w:val="0"/>
      <w:marRight w:val="0"/>
      <w:marTop w:val="0"/>
      <w:marBottom w:val="0"/>
      <w:divBdr>
        <w:top w:val="none" w:sz="0" w:space="0" w:color="auto"/>
        <w:left w:val="none" w:sz="0" w:space="0" w:color="auto"/>
        <w:bottom w:val="none" w:sz="0" w:space="0" w:color="auto"/>
        <w:right w:val="none" w:sz="0" w:space="0" w:color="auto"/>
      </w:divBdr>
    </w:div>
    <w:div w:id="794638210">
      <w:bodyDiv w:val="1"/>
      <w:marLeft w:val="0"/>
      <w:marRight w:val="0"/>
      <w:marTop w:val="0"/>
      <w:marBottom w:val="0"/>
      <w:divBdr>
        <w:top w:val="none" w:sz="0" w:space="0" w:color="auto"/>
        <w:left w:val="none" w:sz="0" w:space="0" w:color="auto"/>
        <w:bottom w:val="none" w:sz="0" w:space="0" w:color="auto"/>
        <w:right w:val="none" w:sz="0" w:space="0" w:color="auto"/>
      </w:divBdr>
      <w:divsChild>
        <w:div w:id="1661469707">
          <w:marLeft w:val="0"/>
          <w:marRight w:val="0"/>
          <w:marTop w:val="34"/>
          <w:marBottom w:val="34"/>
          <w:divBdr>
            <w:top w:val="none" w:sz="0" w:space="0" w:color="auto"/>
            <w:left w:val="none" w:sz="0" w:space="0" w:color="auto"/>
            <w:bottom w:val="none" w:sz="0" w:space="0" w:color="auto"/>
            <w:right w:val="none" w:sz="0" w:space="0" w:color="auto"/>
          </w:divBdr>
        </w:div>
      </w:divsChild>
    </w:div>
    <w:div w:id="799149516">
      <w:bodyDiv w:val="1"/>
      <w:marLeft w:val="0"/>
      <w:marRight w:val="0"/>
      <w:marTop w:val="0"/>
      <w:marBottom w:val="0"/>
      <w:divBdr>
        <w:top w:val="none" w:sz="0" w:space="0" w:color="auto"/>
        <w:left w:val="none" w:sz="0" w:space="0" w:color="auto"/>
        <w:bottom w:val="none" w:sz="0" w:space="0" w:color="auto"/>
        <w:right w:val="none" w:sz="0" w:space="0" w:color="auto"/>
      </w:divBdr>
    </w:div>
    <w:div w:id="809589932">
      <w:bodyDiv w:val="1"/>
      <w:marLeft w:val="0"/>
      <w:marRight w:val="0"/>
      <w:marTop w:val="0"/>
      <w:marBottom w:val="0"/>
      <w:divBdr>
        <w:top w:val="none" w:sz="0" w:space="0" w:color="auto"/>
        <w:left w:val="none" w:sz="0" w:space="0" w:color="auto"/>
        <w:bottom w:val="none" w:sz="0" w:space="0" w:color="auto"/>
        <w:right w:val="none" w:sz="0" w:space="0" w:color="auto"/>
      </w:divBdr>
    </w:div>
    <w:div w:id="836383296">
      <w:bodyDiv w:val="1"/>
      <w:marLeft w:val="0"/>
      <w:marRight w:val="0"/>
      <w:marTop w:val="0"/>
      <w:marBottom w:val="0"/>
      <w:divBdr>
        <w:top w:val="none" w:sz="0" w:space="0" w:color="auto"/>
        <w:left w:val="none" w:sz="0" w:space="0" w:color="auto"/>
        <w:bottom w:val="none" w:sz="0" w:space="0" w:color="auto"/>
        <w:right w:val="none" w:sz="0" w:space="0" w:color="auto"/>
      </w:divBdr>
    </w:div>
    <w:div w:id="859010463">
      <w:bodyDiv w:val="1"/>
      <w:marLeft w:val="0"/>
      <w:marRight w:val="0"/>
      <w:marTop w:val="0"/>
      <w:marBottom w:val="0"/>
      <w:divBdr>
        <w:top w:val="none" w:sz="0" w:space="0" w:color="auto"/>
        <w:left w:val="none" w:sz="0" w:space="0" w:color="auto"/>
        <w:bottom w:val="none" w:sz="0" w:space="0" w:color="auto"/>
        <w:right w:val="none" w:sz="0" w:space="0" w:color="auto"/>
      </w:divBdr>
    </w:div>
    <w:div w:id="875701112">
      <w:bodyDiv w:val="1"/>
      <w:marLeft w:val="0"/>
      <w:marRight w:val="0"/>
      <w:marTop w:val="0"/>
      <w:marBottom w:val="0"/>
      <w:divBdr>
        <w:top w:val="none" w:sz="0" w:space="0" w:color="auto"/>
        <w:left w:val="none" w:sz="0" w:space="0" w:color="auto"/>
        <w:bottom w:val="none" w:sz="0" w:space="0" w:color="auto"/>
        <w:right w:val="none" w:sz="0" w:space="0" w:color="auto"/>
      </w:divBdr>
    </w:div>
    <w:div w:id="902255228">
      <w:bodyDiv w:val="1"/>
      <w:marLeft w:val="0"/>
      <w:marRight w:val="0"/>
      <w:marTop w:val="0"/>
      <w:marBottom w:val="0"/>
      <w:divBdr>
        <w:top w:val="none" w:sz="0" w:space="0" w:color="auto"/>
        <w:left w:val="none" w:sz="0" w:space="0" w:color="auto"/>
        <w:bottom w:val="none" w:sz="0" w:space="0" w:color="auto"/>
        <w:right w:val="none" w:sz="0" w:space="0" w:color="auto"/>
      </w:divBdr>
      <w:divsChild>
        <w:div w:id="2039114881">
          <w:marLeft w:val="0"/>
          <w:marRight w:val="0"/>
          <w:marTop w:val="34"/>
          <w:marBottom w:val="34"/>
          <w:divBdr>
            <w:top w:val="none" w:sz="0" w:space="0" w:color="auto"/>
            <w:left w:val="none" w:sz="0" w:space="0" w:color="auto"/>
            <w:bottom w:val="none" w:sz="0" w:space="0" w:color="auto"/>
            <w:right w:val="none" w:sz="0" w:space="0" w:color="auto"/>
          </w:divBdr>
        </w:div>
      </w:divsChild>
    </w:div>
    <w:div w:id="905801316">
      <w:bodyDiv w:val="1"/>
      <w:marLeft w:val="0"/>
      <w:marRight w:val="0"/>
      <w:marTop w:val="0"/>
      <w:marBottom w:val="0"/>
      <w:divBdr>
        <w:top w:val="none" w:sz="0" w:space="0" w:color="auto"/>
        <w:left w:val="none" w:sz="0" w:space="0" w:color="auto"/>
        <w:bottom w:val="none" w:sz="0" w:space="0" w:color="auto"/>
        <w:right w:val="none" w:sz="0" w:space="0" w:color="auto"/>
      </w:divBdr>
    </w:div>
    <w:div w:id="911892468">
      <w:bodyDiv w:val="1"/>
      <w:marLeft w:val="0"/>
      <w:marRight w:val="0"/>
      <w:marTop w:val="0"/>
      <w:marBottom w:val="0"/>
      <w:divBdr>
        <w:top w:val="none" w:sz="0" w:space="0" w:color="auto"/>
        <w:left w:val="none" w:sz="0" w:space="0" w:color="auto"/>
        <w:bottom w:val="none" w:sz="0" w:space="0" w:color="auto"/>
        <w:right w:val="none" w:sz="0" w:space="0" w:color="auto"/>
      </w:divBdr>
    </w:div>
    <w:div w:id="914778933">
      <w:bodyDiv w:val="1"/>
      <w:marLeft w:val="0"/>
      <w:marRight w:val="0"/>
      <w:marTop w:val="0"/>
      <w:marBottom w:val="0"/>
      <w:divBdr>
        <w:top w:val="none" w:sz="0" w:space="0" w:color="auto"/>
        <w:left w:val="none" w:sz="0" w:space="0" w:color="auto"/>
        <w:bottom w:val="none" w:sz="0" w:space="0" w:color="auto"/>
        <w:right w:val="none" w:sz="0" w:space="0" w:color="auto"/>
      </w:divBdr>
      <w:divsChild>
        <w:div w:id="187301939">
          <w:marLeft w:val="0"/>
          <w:marRight w:val="0"/>
          <w:marTop w:val="34"/>
          <w:marBottom w:val="34"/>
          <w:divBdr>
            <w:top w:val="none" w:sz="0" w:space="0" w:color="auto"/>
            <w:left w:val="none" w:sz="0" w:space="0" w:color="auto"/>
            <w:bottom w:val="none" w:sz="0" w:space="0" w:color="auto"/>
            <w:right w:val="none" w:sz="0" w:space="0" w:color="auto"/>
          </w:divBdr>
        </w:div>
      </w:divsChild>
    </w:div>
    <w:div w:id="945772390">
      <w:bodyDiv w:val="1"/>
      <w:marLeft w:val="0"/>
      <w:marRight w:val="0"/>
      <w:marTop w:val="0"/>
      <w:marBottom w:val="0"/>
      <w:divBdr>
        <w:top w:val="none" w:sz="0" w:space="0" w:color="auto"/>
        <w:left w:val="none" w:sz="0" w:space="0" w:color="auto"/>
        <w:bottom w:val="none" w:sz="0" w:space="0" w:color="auto"/>
        <w:right w:val="none" w:sz="0" w:space="0" w:color="auto"/>
      </w:divBdr>
    </w:div>
    <w:div w:id="946157061">
      <w:bodyDiv w:val="1"/>
      <w:marLeft w:val="0"/>
      <w:marRight w:val="0"/>
      <w:marTop w:val="0"/>
      <w:marBottom w:val="0"/>
      <w:divBdr>
        <w:top w:val="none" w:sz="0" w:space="0" w:color="auto"/>
        <w:left w:val="none" w:sz="0" w:space="0" w:color="auto"/>
        <w:bottom w:val="none" w:sz="0" w:space="0" w:color="auto"/>
        <w:right w:val="none" w:sz="0" w:space="0" w:color="auto"/>
      </w:divBdr>
    </w:div>
    <w:div w:id="971134429">
      <w:bodyDiv w:val="1"/>
      <w:marLeft w:val="0"/>
      <w:marRight w:val="0"/>
      <w:marTop w:val="0"/>
      <w:marBottom w:val="0"/>
      <w:divBdr>
        <w:top w:val="none" w:sz="0" w:space="0" w:color="auto"/>
        <w:left w:val="none" w:sz="0" w:space="0" w:color="auto"/>
        <w:bottom w:val="none" w:sz="0" w:space="0" w:color="auto"/>
        <w:right w:val="none" w:sz="0" w:space="0" w:color="auto"/>
      </w:divBdr>
      <w:divsChild>
        <w:div w:id="2068451477">
          <w:marLeft w:val="0"/>
          <w:marRight w:val="0"/>
          <w:marTop w:val="34"/>
          <w:marBottom w:val="34"/>
          <w:divBdr>
            <w:top w:val="none" w:sz="0" w:space="0" w:color="auto"/>
            <w:left w:val="none" w:sz="0" w:space="0" w:color="auto"/>
            <w:bottom w:val="none" w:sz="0" w:space="0" w:color="auto"/>
            <w:right w:val="none" w:sz="0" w:space="0" w:color="auto"/>
          </w:divBdr>
        </w:div>
      </w:divsChild>
    </w:div>
    <w:div w:id="1029262613">
      <w:bodyDiv w:val="1"/>
      <w:marLeft w:val="0"/>
      <w:marRight w:val="0"/>
      <w:marTop w:val="0"/>
      <w:marBottom w:val="0"/>
      <w:divBdr>
        <w:top w:val="none" w:sz="0" w:space="0" w:color="auto"/>
        <w:left w:val="none" w:sz="0" w:space="0" w:color="auto"/>
        <w:bottom w:val="none" w:sz="0" w:space="0" w:color="auto"/>
        <w:right w:val="none" w:sz="0" w:space="0" w:color="auto"/>
      </w:divBdr>
    </w:div>
    <w:div w:id="1032345723">
      <w:bodyDiv w:val="1"/>
      <w:marLeft w:val="0"/>
      <w:marRight w:val="0"/>
      <w:marTop w:val="0"/>
      <w:marBottom w:val="0"/>
      <w:divBdr>
        <w:top w:val="none" w:sz="0" w:space="0" w:color="auto"/>
        <w:left w:val="none" w:sz="0" w:space="0" w:color="auto"/>
        <w:bottom w:val="none" w:sz="0" w:space="0" w:color="auto"/>
        <w:right w:val="none" w:sz="0" w:space="0" w:color="auto"/>
      </w:divBdr>
    </w:div>
    <w:div w:id="1065958607">
      <w:bodyDiv w:val="1"/>
      <w:marLeft w:val="0"/>
      <w:marRight w:val="0"/>
      <w:marTop w:val="0"/>
      <w:marBottom w:val="0"/>
      <w:divBdr>
        <w:top w:val="none" w:sz="0" w:space="0" w:color="auto"/>
        <w:left w:val="none" w:sz="0" w:space="0" w:color="auto"/>
        <w:bottom w:val="none" w:sz="0" w:space="0" w:color="auto"/>
        <w:right w:val="none" w:sz="0" w:space="0" w:color="auto"/>
      </w:divBdr>
    </w:div>
    <w:div w:id="1072197886">
      <w:bodyDiv w:val="1"/>
      <w:marLeft w:val="0"/>
      <w:marRight w:val="0"/>
      <w:marTop w:val="0"/>
      <w:marBottom w:val="0"/>
      <w:divBdr>
        <w:top w:val="none" w:sz="0" w:space="0" w:color="auto"/>
        <w:left w:val="none" w:sz="0" w:space="0" w:color="auto"/>
        <w:bottom w:val="none" w:sz="0" w:space="0" w:color="auto"/>
        <w:right w:val="none" w:sz="0" w:space="0" w:color="auto"/>
      </w:divBdr>
    </w:div>
    <w:div w:id="1105077033">
      <w:bodyDiv w:val="1"/>
      <w:marLeft w:val="0"/>
      <w:marRight w:val="0"/>
      <w:marTop w:val="0"/>
      <w:marBottom w:val="0"/>
      <w:divBdr>
        <w:top w:val="none" w:sz="0" w:space="0" w:color="auto"/>
        <w:left w:val="none" w:sz="0" w:space="0" w:color="auto"/>
        <w:bottom w:val="none" w:sz="0" w:space="0" w:color="auto"/>
        <w:right w:val="none" w:sz="0" w:space="0" w:color="auto"/>
      </w:divBdr>
    </w:div>
    <w:div w:id="1122915859">
      <w:bodyDiv w:val="1"/>
      <w:marLeft w:val="0"/>
      <w:marRight w:val="0"/>
      <w:marTop w:val="0"/>
      <w:marBottom w:val="0"/>
      <w:divBdr>
        <w:top w:val="none" w:sz="0" w:space="0" w:color="auto"/>
        <w:left w:val="none" w:sz="0" w:space="0" w:color="auto"/>
        <w:bottom w:val="none" w:sz="0" w:space="0" w:color="auto"/>
        <w:right w:val="none" w:sz="0" w:space="0" w:color="auto"/>
      </w:divBdr>
    </w:div>
    <w:div w:id="1152410714">
      <w:bodyDiv w:val="1"/>
      <w:marLeft w:val="0"/>
      <w:marRight w:val="0"/>
      <w:marTop w:val="0"/>
      <w:marBottom w:val="0"/>
      <w:divBdr>
        <w:top w:val="none" w:sz="0" w:space="0" w:color="auto"/>
        <w:left w:val="none" w:sz="0" w:space="0" w:color="auto"/>
        <w:bottom w:val="none" w:sz="0" w:space="0" w:color="auto"/>
        <w:right w:val="none" w:sz="0" w:space="0" w:color="auto"/>
      </w:divBdr>
      <w:divsChild>
        <w:div w:id="108092768">
          <w:marLeft w:val="0"/>
          <w:marRight w:val="0"/>
          <w:marTop w:val="34"/>
          <w:marBottom w:val="34"/>
          <w:divBdr>
            <w:top w:val="none" w:sz="0" w:space="0" w:color="auto"/>
            <w:left w:val="none" w:sz="0" w:space="0" w:color="auto"/>
            <w:bottom w:val="none" w:sz="0" w:space="0" w:color="auto"/>
            <w:right w:val="none" w:sz="0" w:space="0" w:color="auto"/>
          </w:divBdr>
        </w:div>
      </w:divsChild>
    </w:div>
    <w:div w:id="1175413512">
      <w:bodyDiv w:val="1"/>
      <w:marLeft w:val="0"/>
      <w:marRight w:val="0"/>
      <w:marTop w:val="0"/>
      <w:marBottom w:val="0"/>
      <w:divBdr>
        <w:top w:val="none" w:sz="0" w:space="0" w:color="auto"/>
        <w:left w:val="none" w:sz="0" w:space="0" w:color="auto"/>
        <w:bottom w:val="none" w:sz="0" w:space="0" w:color="auto"/>
        <w:right w:val="none" w:sz="0" w:space="0" w:color="auto"/>
      </w:divBdr>
    </w:div>
    <w:div w:id="1195191904">
      <w:bodyDiv w:val="1"/>
      <w:marLeft w:val="0"/>
      <w:marRight w:val="0"/>
      <w:marTop w:val="0"/>
      <w:marBottom w:val="0"/>
      <w:divBdr>
        <w:top w:val="none" w:sz="0" w:space="0" w:color="auto"/>
        <w:left w:val="none" w:sz="0" w:space="0" w:color="auto"/>
        <w:bottom w:val="none" w:sz="0" w:space="0" w:color="auto"/>
        <w:right w:val="none" w:sz="0" w:space="0" w:color="auto"/>
      </w:divBdr>
      <w:divsChild>
        <w:div w:id="1392148037">
          <w:marLeft w:val="0"/>
          <w:marRight w:val="0"/>
          <w:marTop w:val="0"/>
          <w:marBottom w:val="0"/>
          <w:divBdr>
            <w:top w:val="none" w:sz="0" w:space="0" w:color="auto"/>
            <w:left w:val="none" w:sz="0" w:space="0" w:color="auto"/>
            <w:bottom w:val="none" w:sz="0" w:space="0" w:color="auto"/>
            <w:right w:val="none" w:sz="0" w:space="0" w:color="auto"/>
          </w:divBdr>
          <w:divsChild>
            <w:div w:id="1840582169">
              <w:marLeft w:val="0"/>
              <w:marRight w:val="0"/>
              <w:marTop w:val="0"/>
              <w:marBottom w:val="0"/>
              <w:divBdr>
                <w:top w:val="none" w:sz="0" w:space="0" w:color="auto"/>
                <w:left w:val="none" w:sz="0" w:space="0" w:color="auto"/>
                <w:bottom w:val="none" w:sz="0" w:space="0" w:color="auto"/>
                <w:right w:val="none" w:sz="0" w:space="0" w:color="auto"/>
              </w:divBdr>
              <w:divsChild>
                <w:div w:id="163085784">
                  <w:marLeft w:val="0"/>
                  <w:marRight w:val="0"/>
                  <w:marTop w:val="0"/>
                  <w:marBottom w:val="0"/>
                  <w:divBdr>
                    <w:top w:val="none" w:sz="0" w:space="0" w:color="auto"/>
                    <w:left w:val="none" w:sz="0" w:space="0" w:color="auto"/>
                    <w:bottom w:val="none" w:sz="0" w:space="0" w:color="auto"/>
                    <w:right w:val="none" w:sz="0" w:space="0" w:color="auto"/>
                  </w:divBdr>
                  <w:divsChild>
                    <w:div w:id="419060259">
                      <w:marLeft w:val="0"/>
                      <w:marRight w:val="0"/>
                      <w:marTop w:val="0"/>
                      <w:marBottom w:val="0"/>
                      <w:divBdr>
                        <w:top w:val="single" w:sz="48" w:space="0" w:color="auto"/>
                        <w:left w:val="single" w:sz="48" w:space="0" w:color="auto"/>
                        <w:bottom w:val="single" w:sz="48" w:space="0" w:color="auto"/>
                        <w:right w:val="single" w:sz="48" w:space="0" w:color="auto"/>
                      </w:divBdr>
                      <w:divsChild>
                        <w:div w:id="2063864730">
                          <w:marLeft w:val="0"/>
                          <w:marRight w:val="0"/>
                          <w:marTop w:val="0"/>
                          <w:marBottom w:val="0"/>
                          <w:divBdr>
                            <w:top w:val="none" w:sz="0" w:space="0" w:color="auto"/>
                            <w:left w:val="none" w:sz="0" w:space="0" w:color="auto"/>
                            <w:bottom w:val="none" w:sz="0" w:space="0" w:color="auto"/>
                            <w:right w:val="none" w:sz="0" w:space="0" w:color="auto"/>
                          </w:divBdr>
                          <w:divsChild>
                            <w:div w:id="508103841">
                              <w:marLeft w:val="0"/>
                              <w:marRight w:val="0"/>
                              <w:marTop w:val="0"/>
                              <w:marBottom w:val="0"/>
                              <w:divBdr>
                                <w:top w:val="none" w:sz="0" w:space="0" w:color="auto"/>
                                <w:left w:val="none" w:sz="0" w:space="0" w:color="auto"/>
                                <w:bottom w:val="none" w:sz="0" w:space="0" w:color="auto"/>
                                <w:right w:val="none" w:sz="0" w:space="0" w:color="auto"/>
                              </w:divBdr>
                            </w:div>
                            <w:div w:id="38864341">
                              <w:marLeft w:val="0"/>
                              <w:marRight w:val="0"/>
                              <w:marTop w:val="0"/>
                              <w:marBottom w:val="0"/>
                              <w:divBdr>
                                <w:top w:val="none" w:sz="0" w:space="0" w:color="auto"/>
                                <w:left w:val="none" w:sz="0" w:space="0" w:color="auto"/>
                                <w:bottom w:val="none" w:sz="0" w:space="0" w:color="auto"/>
                                <w:right w:val="none" w:sz="0" w:space="0" w:color="auto"/>
                              </w:divBdr>
                            </w:div>
                            <w:div w:id="1286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69955">
      <w:bodyDiv w:val="1"/>
      <w:marLeft w:val="0"/>
      <w:marRight w:val="0"/>
      <w:marTop w:val="0"/>
      <w:marBottom w:val="0"/>
      <w:divBdr>
        <w:top w:val="none" w:sz="0" w:space="0" w:color="auto"/>
        <w:left w:val="none" w:sz="0" w:space="0" w:color="auto"/>
        <w:bottom w:val="none" w:sz="0" w:space="0" w:color="auto"/>
        <w:right w:val="none" w:sz="0" w:space="0" w:color="auto"/>
      </w:divBdr>
    </w:div>
    <w:div w:id="1255092529">
      <w:bodyDiv w:val="1"/>
      <w:marLeft w:val="0"/>
      <w:marRight w:val="0"/>
      <w:marTop w:val="0"/>
      <w:marBottom w:val="0"/>
      <w:divBdr>
        <w:top w:val="none" w:sz="0" w:space="0" w:color="auto"/>
        <w:left w:val="none" w:sz="0" w:space="0" w:color="auto"/>
        <w:bottom w:val="none" w:sz="0" w:space="0" w:color="auto"/>
        <w:right w:val="none" w:sz="0" w:space="0" w:color="auto"/>
      </w:divBdr>
      <w:divsChild>
        <w:div w:id="422263080">
          <w:marLeft w:val="806"/>
          <w:marRight w:val="0"/>
          <w:marTop w:val="75"/>
          <w:marBottom w:val="0"/>
          <w:divBdr>
            <w:top w:val="none" w:sz="0" w:space="0" w:color="auto"/>
            <w:left w:val="none" w:sz="0" w:space="0" w:color="auto"/>
            <w:bottom w:val="none" w:sz="0" w:space="0" w:color="auto"/>
            <w:right w:val="none" w:sz="0" w:space="0" w:color="auto"/>
          </w:divBdr>
        </w:div>
      </w:divsChild>
    </w:div>
    <w:div w:id="1272856196">
      <w:bodyDiv w:val="1"/>
      <w:marLeft w:val="0"/>
      <w:marRight w:val="0"/>
      <w:marTop w:val="0"/>
      <w:marBottom w:val="0"/>
      <w:divBdr>
        <w:top w:val="none" w:sz="0" w:space="0" w:color="auto"/>
        <w:left w:val="none" w:sz="0" w:space="0" w:color="auto"/>
        <w:bottom w:val="none" w:sz="0" w:space="0" w:color="auto"/>
        <w:right w:val="none" w:sz="0" w:space="0" w:color="auto"/>
      </w:divBdr>
    </w:div>
    <w:div w:id="1273509489">
      <w:bodyDiv w:val="1"/>
      <w:marLeft w:val="0"/>
      <w:marRight w:val="0"/>
      <w:marTop w:val="0"/>
      <w:marBottom w:val="0"/>
      <w:divBdr>
        <w:top w:val="none" w:sz="0" w:space="0" w:color="auto"/>
        <w:left w:val="none" w:sz="0" w:space="0" w:color="auto"/>
        <w:bottom w:val="none" w:sz="0" w:space="0" w:color="auto"/>
        <w:right w:val="none" w:sz="0" w:space="0" w:color="auto"/>
      </w:divBdr>
    </w:div>
    <w:div w:id="1292246795">
      <w:bodyDiv w:val="1"/>
      <w:marLeft w:val="0"/>
      <w:marRight w:val="0"/>
      <w:marTop w:val="0"/>
      <w:marBottom w:val="0"/>
      <w:divBdr>
        <w:top w:val="none" w:sz="0" w:space="0" w:color="auto"/>
        <w:left w:val="none" w:sz="0" w:space="0" w:color="auto"/>
        <w:bottom w:val="none" w:sz="0" w:space="0" w:color="auto"/>
        <w:right w:val="none" w:sz="0" w:space="0" w:color="auto"/>
      </w:divBdr>
    </w:div>
    <w:div w:id="1321808955">
      <w:bodyDiv w:val="1"/>
      <w:marLeft w:val="0"/>
      <w:marRight w:val="0"/>
      <w:marTop w:val="0"/>
      <w:marBottom w:val="0"/>
      <w:divBdr>
        <w:top w:val="none" w:sz="0" w:space="0" w:color="auto"/>
        <w:left w:val="none" w:sz="0" w:space="0" w:color="auto"/>
        <w:bottom w:val="none" w:sz="0" w:space="0" w:color="auto"/>
        <w:right w:val="none" w:sz="0" w:space="0" w:color="auto"/>
      </w:divBdr>
    </w:div>
    <w:div w:id="1327199543">
      <w:bodyDiv w:val="1"/>
      <w:marLeft w:val="0"/>
      <w:marRight w:val="0"/>
      <w:marTop w:val="0"/>
      <w:marBottom w:val="0"/>
      <w:divBdr>
        <w:top w:val="none" w:sz="0" w:space="0" w:color="auto"/>
        <w:left w:val="none" w:sz="0" w:space="0" w:color="auto"/>
        <w:bottom w:val="none" w:sz="0" w:space="0" w:color="auto"/>
        <w:right w:val="none" w:sz="0" w:space="0" w:color="auto"/>
      </w:divBdr>
    </w:div>
    <w:div w:id="1334455872">
      <w:bodyDiv w:val="1"/>
      <w:marLeft w:val="0"/>
      <w:marRight w:val="0"/>
      <w:marTop w:val="0"/>
      <w:marBottom w:val="0"/>
      <w:divBdr>
        <w:top w:val="none" w:sz="0" w:space="0" w:color="auto"/>
        <w:left w:val="none" w:sz="0" w:space="0" w:color="auto"/>
        <w:bottom w:val="none" w:sz="0" w:space="0" w:color="auto"/>
        <w:right w:val="none" w:sz="0" w:space="0" w:color="auto"/>
      </w:divBdr>
    </w:div>
    <w:div w:id="1340348666">
      <w:bodyDiv w:val="1"/>
      <w:marLeft w:val="0"/>
      <w:marRight w:val="0"/>
      <w:marTop w:val="0"/>
      <w:marBottom w:val="0"/>
      <w:divBdr>
        <w:top w:val="none" w:sz="0" w:space="0" w:color="auto"/>
        <w:left w:val="none" w:sz="0" w:space="0" w:color="auto"/>
        <w:bottom w:val="none" w:sz="0" w:space="0" w:color="auto"/>
        <w:right w:val="none" w:sz="0" w:space="0" w:color="auto"/>
      </w:divBdr>
    </w:div>
    <w:div w:id="1373766452">
      <w:bodyDiv w:val="1"/>
      <w:marLeft w:val="0"/>
      <w:marRight w:val="0"/>
      <w:marTop w:val="0"/>
      <w:marBottom w:val="0"/>
      <w:divBdr>
        <w:top w:val="none" w:sz="0" w:space="0" w:color="auto"/>
        <w:left w:val="none" w:sz="0" w:space="0" w:color="auto"/>
        <w:bottom w:val="none" w:sz="0" w:space="0" w:color="auto"/>
        <w:right w:val="none" w:sz="0" w:space="0" w:color="auto"/>
      </w:divBdr>
    </w:div>
    <w:div w:id="1392651594">
      <w:bodyDiv w:val="1"/>
      <w:marLeft w:val="0"/>
      <w:marRight w:val="0"/>
      <w:marTop w:val="0"/>
      <w:marBottom w:val="0"/>
      <w:divBdr>
        <w:top w:val="none" w:sz="0" w:space="0" w:color="auto"/>
        <w:left w:val="none" w:sz="0" w:space="0" w:color="auto"/>
        <w:bottom w:val="none" w:sz="0" w:space="0" w:color="auto"/>
        <w:right w:val="none" w:sz="0" w:space="0" w:color="auto"/>
      </w:divBdr>
    </w:div>
    <w:div w:id="1408261200">
      <w:bodyDiv w:val="1"/>
      <w:marLeft w:val="0"/>
      <w:marRight w:val="0"/>
      <w:marTop w:val="0"/>
      <w:marBottom w:val="0"/>
      <w:divBdr>
        <w:top w:val="none" w:sz="0" w:space="0" w:color="auto"/>
        <w:left w:val="none" w:sz="0" w:space="0" w:color="auto"/>
        <w:bottom w:val="none" w:sz="0" w:space="0" w:color="auto"/>
        <w:right w:val="none" w:sz="0" w:space="0" w:color="auto"/>
      </w:divBdr>
    </w:div>
    <w:div w:id="1413546386">
      <w:bodyDiv w:val="1"/>
      <w:marLeft w:val="0"/>
      <w:marRight w:val="0"/>
      <w:marTop w:val="0"/>
      <w:marBottom w:val="0"/>
      <w:divBdr>
        <w:top w:val="none" w:sz="0" w:space="0" w:color="auto"/>
        <w:left w:val="none" w:sz="0" w:space="0" w:color="auto"/>
        <w:bottom w:val="none" w:sz="0" w:space="0" w:color="auto"/>
        <w:right w:val="none" w:sz="0" w:space="0" w:color="auto"/>
      </w:divBdr>
    </w:div>
    <w:div w:id="1415080046">
      <w:bodyDiv w:val="1"/>
      <w:marLeft w:val="0"/>
      <w:marRight w:val="0"/>
      <w:marTop w:val="0"/>
      <w:marBottom w:val="0"/>
      <w:divBdr>
        <w:top w:val="none" w:sz="0" w:space="0" w:color="auto"/>
        <w:left w:val="none" w:sz="0" w:space="0" w:color="auto"/>
        <w:bottom w:val="none" w:sz="0" w:space="0" w:color="auto"/>
        <w:right w:val="none" w:sz="0" w:space="0" w:color="auto"/>
      </w:divBdr>
    </w:div>
    <w:div w:id="1446384150">
      <w:bodyDiv w:val="1"/>
      <w:marLeft w:val="0"/>
      <w:marRight w:val="0"/>
      <w:marTop w:val="0"/>
      <w:marBottom w:val="0"/>
      <w:divBdr>
        <w:top w:val="none" w:sz="0" w:space="0" w:color="auto"/>
        <w:left w:val="none" w:sz="0" w:space="0" w:color="auto"/>
        <w:bottom w:val="none" w:sz="0" w:space="0" w:color="auto"/>
        <w:right w:val="none" w:sz="0" w:space="0" w:color="auto"/>
      </w:divBdr>
    </w:div>
    <w:div w:id="1446730528">
      <w:bodyDiv w:val="1"/>
      <w:marLeft w:val="0"/>
      <w:marRight w:val="0"/>
      <w:marTop w:val="0"/>
      <w:marBottom w:val="0"/>
      <w:divBdr>
        <w:top w:val="none" w:sz="0" w:space="0" w:color="auto"/>
        <w:left w:val="none" w:sz="0" w:space="0" w:color="auto"/>
        <w:bottom w:val="none" w:sz="0" w:space="0" w:color="auto"/>
        <w:right w:val="none" w:sz="0" w:space="0" w:color="auto"/>
      </w:divBdr>
    </w:div>
    <w:div w:id="1447238722">
      <w:bodyDiv w:val="1"/>
      <w:marLeft w:val="0"/>
      <w:marRight w:val="0"/>
      <w:marTop w:val="0"/>
      <w:marBottom w:val="0"/>
      <w:divBdr>
        <w:top w:val="none" w:sz="0" w:space="0" w:color="auto"/>
        <w:left w:val="none" w:sz="0" w:space="0" w:color="auto"/>
        <w:bottom w:val="none" w:sz="0" w:space="0" w:color="auto"/>
        <w:right w:val="none" w:sz="0" w:space="0" w:color="auto"/>
      </w:divBdr>
    </w:div>
    <w:div w:id="1467552972">
      <w:bodyDiv w:val="1"/>
      <w:marLeft w:val="0"/>
      <w:marRight w:val="0"/>
      <w:marTop w:val="0"/>
      <w:marBottom w:val="0"/>
      <w:divBdr>
        <w:top w:val="none" w:sz="0" w:space="0" w:color="auto"/>
        <w:left w:val="none" w:sz="0" w:space="0" w:color="auto"/>
        <w:bottom w:val="none" w:sz="0" w:space="0" w:color="auto"/>
        <w:right w:val="none" w:sz="0" w:space="0" w:color="auto"/>
      </w:divBdr>
    </w:div>
    <w:div w:id="1488009225">
      <w:bodyDiv w:val="1"/>
      <w:marLeft w:val="0"/>
      <w:marRight w:val="0"/>
      <w:marTop w:val="0"/>
      <w:marBottom w:val="0"/>
      <w:divBdr>
        <w:top w:val="none" w:sz="0" w:space="0" w:color="auto"/>
        <w:left w:val="none" w:sz="0" w:space="0" w:color="auto"/>
        <w:bottom w:val="none" w:sz="0" w:space="0" w:color="auto"/>
        <w:right w:val="none" w:sz="0" w:space="0" w:color="auto"/>
      </w:divBdr>
    </w:div>
    <w:div w:id="1523477038">
      <w:bodyDiv w:val="1"/>
      <w:marLeft w:val="0"/>
      <w:marRight w:val="0"/>
      <w:marTop w:val="0"/>
      <w:marBottom w:val="0"/>
      <w:divBdr>
        <w:top w:val="none" w:sz="0" w:space="0" w:color="auto"/>
        <w:left w:val="none" w:sz="0" w:space="0" w:color="auto"/>
        <w:bottom w:val="none" w:sz="0" w:space="0" w:color="auto"/>
        <w:right w:val="none" w:sz="0" w:space="0" w:color="auto"/>
      </w:divBdr>
      <w:divsChild>
        <w:div w:id="431979334">
          <w:marLeft w:val="0"/>
          <w:marRight w:val="0"/>
          <w:marTop w:val="34"/>
          <w:marBottom w:val="34"/>
          <w:divBdr>
            <w:top w:val="none" w:sz="0" w:space="0" w:color="auto"/>
            <w:left w:val="none" w:sz="0" w:space="0" w:color="auto"/>
            <w:bottom w:val="none" w:sz="0" w:space="0" w:color="auto"/>
            <w:right w:val="none" w:sz="0" w:space="0" w:color="auto"/>
          </w:divBdr>
        </w:div>
      </w:divsChild>
    </w:div>
    <w:div w:id="1545093892">
      <w:bodyDiv w:val="1"/>
      <w:marLeft w:val="0"/>
      <w:marRight w:val="0"/>
      <w:marTop w:val="0"/>
      <w:marBottom w:val="0"/>
      <w:divBdr>
        <w:top w:val="none" w:sz="0" w:space="0" w:color="auto"/>
        <w:left w:val="none" w:sz="0" w:space="0" w:color="auto"/>
        <w:bottom w:val="none" w:sz="0" w:space="0" w:color="auto"/>
        <w:right w:val="none" w:sz="0" w:space="0" w:color="auto"/>
      </w:divBdr>
    </w:div>
    <w:div w:id="1572229193">
      <w:bodyDiv w:val="1"/>
      <w:marLeft w:val="0"/>
      <w:marRight w:val="0"/>
      <w:marTop w:val="0"/>
      <w:marBottom w:val="0"/>
      <w:divBdr>
        <w:top w:val="none" w:sz="0" w:space="0" w:color="auto"/>
        <w:left w:val="none" w:sz="0" w:space="0" w:color="auto"/>
        <w:bottom w:val="none" w:sz="0" w:space="0" w:color="auto"/>
        <w:right w:val="none" w:sz="0" w:space="0" w:color="auto"/>
      </w:divBdr>
    </w:div>
    <w:div w:id="1632587379">
      <w:bodyDiv w:val="1"/>
      <w:marLeft w:val="0"/>
      <w:marRight w:val="0"/>
      <w:marTop w:val="0"/>
      <w:marBottom w:val="0"/>
      <w:divBdr>
        <w:top w:val="none" w:sz="0" w:space="0" w:color="auto"/>
        <w:left w:val="none" w:sz="0" w:space="0" w:color="auto"/>
        <w:bottom w:val="none" w:sz="0" w:space="0" w:color="auto"/>
        <w:right w:val="none" w:sz="0" w:space="0" w:color="auto"/>
      </w:divBdr>
    </w:div>
    <w:div w:id="1661887020">
      <w:bodyDiv w:val="1"/>
      <w:marLeft w:val="0"/>
      <w:marRight w:val="0"/>
      <w:marTop w:val="0"/>
      <w:marBottom w:val="0"/>
      <w:divBdr>
        <w:top w:val="none" w:sz="0" w:space="0" w:color="auto"/>
        <w:left w:val="none" w:sz="0" w:space="0" w:color="auto"/>
        <w:bottom w:val="none" w:sz="0" w:space="0" w:color="auto"/>
        <w:right w:val="none" w:sz="0" w:space="0" w:color="auto"/>
      </w:divBdr>
    </w:div>
    <w:div w:id="1671835875">
      <w:bodyDiv w:val="1"/>
      <w:marLeft w:val="0"/>
      <w:marRight w:val="0"/>
      <w:marTop w:val="0"/>
      <w:marBottom w:val="0"/>
      <w:divBdr>
        <w:top w:val="none" w:sz="0" w:space="0" w:color="auto"/>
        <w:left w:val="none" w:sz="0" w:space="0" w:color="auto"/>
        <w:bottom w:val="none" w:sz="0" w:space="0" w:color="auto"/>
        <w:right w:val="none" w:sz="0" w:space="0" w:color="auto"/>
      </w:divBdr>
    </w:div>
    <w:div w:id="1758868044">
      <w:bodyDiv w:val="1"/>
      <w:marLeft w:val="0"/>
      <w:marRight w:val="0"/>
      <w:marTop w:val="0"/>
      <w:marBottom w:val="0"/>
      <w:divBdr>
        <w:top w:val="none" w:sz="0" w:space="0" w:color="auto"/>
        <w:left w:val="none" w:sz="0" w:space="0" w:color="auto"/>
        <w:bottom w:val="none" w:sz="0" w:space="0" w:color="auto"/>
        <w:right w:val="none" w:sz="0" w:space="0" w:color="auto"/>
      </w:divBdr>
    </w:div>
    <w:div w:id="1772430817">
      <w:bodyDiv w:val="1"/>
      <w:marLeft w:val="0"/>
      <w:marRight w:val="0"/>
      <w:marTop w:val="0"/>
      <w:marBottom w:val="0"/>
      <w:divBdr>
        <w:top w:val="none" w:sz="0" w:space="0" w:color="auto"/>
        <w:left w:val="none" w:sz="0" w:space="0" w:color="auto"/>
        <w:bottom w:val="none" w:sz="0" w:space="0" w:color="auto"/>
        <w:right w:val="none" w:sz="0" w:space="0" w:color="auto"/>
      </w:divBdr>
    </w:div>
    <w:div w:id="1782146286">
      <w:bodyDiv w:val="1"/>
      <w:marLeft w:val="0"/>
      <w:marRight w:val="0"/>
      <w:marTop w:val="0"/>
      <w:marBottom w:val="0"/>
      <w:divBdr>
        <w:top w:val="none" w:sz="0" w:space="0" w:color="auto"/>
        <w:left w:val="none" w:sz="0" w:space="0" w:color="auto"/>
        <w:bottom w:val="none" w:sz="0" w:space="0" w:color="auto"/>
        <w:right w:val="none" w:sz="0" w:space="0" w:color="auto"/>
      </w:divBdr>
    </w:div>
    <w:div w:id="1789080273">
      <w:bodyDiv w:val="1"/>
      <w:marLeft w:val="0"/>
      <w:marRight w:val="0"/>
      <w:marTop w:val="0"/>
      <w:marBottom w:val="0"/>
      <w:divBdr>
        <w:top w:val="none" w:sz="0" w:space="0" w:color="auto"/>
        <w:left w:val="none" w:sz="0" w:space="0" w:color="auto"/>
        <w:bottom w:val="none" w:sz="0" w:space="0" w:color="auto"/>
        <w:right w:val="none" w:sz="0" w:space="0" w:color="auto"/>
      </w:divBdr>
    </w:div>
    <w:div w:id="1806582091">
      <w:bodyDiv w:val="1"/>
      <w:marLeft w:val="0"/>
      <w:marRight w:val="0"/>
      <w:marTop w:val="0"/>
      <w:marBottom w:val="0"/>
      <w:divBdr>
        <w:top w:val="none" w:sz="0" w:space="0" w:color="auto"/>
        <w:left w:val="none" w:sz="0" w:space="0" w:color="auto"/>
        <w:bottom w:val="none" w:sz="0" w:space="0" w:color="auto"/>
        <w:right w:val="none" w:sz="0" w:space="0" w:color="auto"/>
      </w:divBdr>
    </w:div>
    <w:div w:id="1851948270">
      <w:bodyDiv w:val="1"/>
      <w:marLeft w:val="0"/>
      <w:marRight w:val="0"/>
      <w:marTop w:val="0"/>
      <w:marBottom w:val="0"/>
      <w:divBdr>
        <w:top w:val="none" w:sz="0" w:space="0" w:color="auto"/>
        <w:left w:val="none" w:sz="0" w:space="0" w:color="auto"/>
        <w:bottom w:val="none" w:sz="0" w:space="0" w:color="auto"/>
        <w:right w:val="none" w:sz="0" w:space="0" w:color="auto"/>
      </w:divBdr>
    </w:div>
    <w:div w:id="1900093479">
      <w:bodyDiv w:val="1"/>
      <w:marLeft w:val="0"/>
      <w:marRight w:val="0"/>
      <w:marTop w:val="0"/>
      <w:marBottom w:val="0"/>
      <w:divBdr>
        <w:top w:val="none" w:sz="0" w:space="0" w:color="auto"/>
        <w:left w:val="none" w:sz="0" w:space="0" w:color="auto"/>
        <w:bottom w:val="none" w:sz="0" w:space="0" w:color="auto"/>
        <w:right w:val="none" w:sz="0" w:space="0" w:color="auto"/>
      </w:divBdr>
      <w:divsChild>
        <w:div w:id="1515224609">
          <w:marLeft w:val="0"/>
          <w:marRight w:val="0"/>
          <w:marTop w:val="0"/>
          <w:marBottom w:val="0"/>
          <w:divBdr>
            <w:top w:val="none" w:sz="0" w:space="0" w:color="auto"/>
            <w:left w:val="none" w:sz="0" w:space="0" w:color="auto"/>
            <w:bottom w:val="none" w:sz="0" w:space="0" w:color="auto"/>
            <w:right w:val="none" w:sz="0" w:space="0" w:color="auto"/>
          </w:divBdr>
          <w:divsChild>
            <w:div w:id="1992905870">
              <w:marLeft w:val="0"/>
              <w:marRight w:val="0"/>
              <w:marTop w:val="0"/>
              <w:marBottom w:val="0"/>
              <w:divBdr>
                <w:top w:val="none" w:sz="0" w:space="0" w:color="auto"/>
                <w:left w:val="none" w:sz="0" w:space="0" w:color="auto"/>
                <w:bottom w:val="none" w:sz="0" w:space="0" w:color="auto"/>
                <w:right w:val="none" w:sz="0" w:space="0" w:color="auto"/>
              </w:divBdr>
              <w:divsChild>
                <w:div w:id="1759212668">
                  <w:marLeft w:val="0"/>
                  <w:marRight w:val="0"/>
                  <w:marTop w:val="0"/>
                  <w:marBottom w:val="0"/>
                  <w:divBdr>
                    <w:top w:val="none" w:sz="0" w:space="0" w:color="auto"/>
                    <w:left w:val="none" w:sz="0" w:space="0" w:color="auto"/>
                    <w:bottom w:val="none" w:sz="0" w:space="0" w:color="auto"/>
                    <w:right w:val="none" w:sz="0" w:space="0" w:color="auto"/>
                  </w:divBdr>
                  <w:divsChild>
                    <w:div w:id="1113280884">
                      <w:marLeft w:val="0"/>
                      <w:marRight w:val="0"/>
                      <w:marTop w:val="0"/>
                      <w:marBottom w:val="0"/>
                      <w:divBdr>
                        <w:top w:val="single" w:sz="48" w:space="0" w:color="auto"/>
                        <w:left w:val="single" w:sz="48" w:space="0" w:color="auto"/>
                        <w:bottom w:val="single" w:sz="48" w:space="0" w:color="auto"/>
                        <w:right w:val="single" w:sz="48" w:space="0" w:color="auto"/>
                      </w:divBdr>
                      <w:divsChild>
                        <w:div w:id="676923935">
                          <w:marLeft w:val="0"/>
                          <w:marRight w:val="0"/>
                          <w:marTop w:val="0"/>
                          <w:marBottom w:val="0"/>
                          <w:divBdr>
                            <w:top w:val="none" w:sz="0" w:space="0" w:color="auto"/>
                            <w:left w:val="none" w:sz="0" w:space="0" w:color="auto"/>
                            <w:bottom w:val="none" w:sz="0" w:space="0" w:color="auto"/>
                            <w:right w:val="none" w:sz="0" w:space="0" w:color="auto"/>
                          </w:divBdr>
                          <w:divsChild>
                            <w:div w:id="1170293204">
                              <w:marLeft w:val="0"/>
                              <w:marRight w:val="0"/>
                              <w:marTop w:val="0"/>
                              <w:marBottom w:val="0"/>
                              <w:divBdr>
                                <w:top w:val="none" w:sz="0" w:space="0" w:color="auto"/>
                                <w:left w:val="none" w:sz="0" w:space="0" w:color="auto"/>
                                <w:bottom w:val="none" w:sz="0" w:space="0" w:color="auto"/>
                                <w:right w:val="none" w:sz="0" w:space="0" w:color="auto"/>
                              </w:divBdr>
                            </w:div>
                            <w:div w:id="94401795">
                              <w:marLeft w:val="0"/>
                              <w:marRight w:val="0"/>
                              <w:marTop w:val="0"/>
                              <w:marBottom w:val="0"/>
                              <w:divBdr>
                                <w:top w:val="none" w:sz="0" w:space="0" w:color="auto"/>
                                <w:left w:val="none" w:sz="0" w:space="0" w:color="auto"/>
                                <w:bottom w:val="none" w:sz="0" w:space="0" w:color="auto"/>
                                <w:right w:val="none" w:sz="0" w:space="0" w:color="auto"/>
                              </w:divBdr>
                            </w:div>
                            <w:div w:id="279532813">
                              <w:marLeft w:val="0"/>
                              <w:marRight w:val="0"/>
                              <w:marTop w:val="0"/>
                              <w:marBottom w:val="0"/>
                              <w:divBdr>
                                <w:top w:val="none" w:sz="0" w:space="0" w:color="auto"/>
                                <w:left w:val="none" w:sz="0" w:space="0" w:color="auto"/>
                                <w:bottom w:val="none" w:sz="0" w:space="0" w:color="auto"/>
                                <w:right w:val="none" w:sz="0" w:space="0" w:color="auto"/>
                              </w:divBdr>
                            </w:div>
                            <w:div w:id="16550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3306">
      <w:bodyDiv w:val="1"/>
      <w:marLeft w:val="0"/>
      <w:marRight w:val="0"/>
      <w:marTop w:val="0"/>
      <w:marBottom w:val="0"/>
      <w:divBdr>
        <w:top w:val="none" w:sz="0" w:space="0" w:color="auto"/>
        <w:left w:val="none" w:sz="0" w:space="0" w:color="auto"/>
        <w:bottom w:val="none" w:sz="0" w:space="0" w:color="auto"/>
        <w:right w:val="none" w:sz="0" w:space="0" w:color="auto"/>
      </w:divBdr>
    </w:div>
    <w:div w:id="1945795700">
      <w:bodyDiv w:val="1"/>
      <w:marLeft w:val="0"/>
      <w:marRight w:val="0"/>
      <w:marTop w:val="0"/>
      <w:marBottom w:val="0"/>
      <w:divBdr>
        <w:top w:val="none" w:sz="0" w:space="0" w:color="auto"/>
        <w:left w:val="none" w:sz="0" w:space="0" w:color="auto"/>
        <w:bottom w:val="none" w:sz="0" w:space="0" w:color="auto"/>
        <w:right w:val="none" w:sz="0" w:space="0" w:color="auto"/>
      </w:divBdr>
    </w:div>
    <w:div w:id="1950507319">
      <w:bodyDiv w:val="1"/>
      <w:marLeft w:val="0"/>
      <w:marRight w:val="0"/>
      <w:marTop w:val="0"/>
      <w:marBottom w:val="0"/>
      <w:divBdr>
        <w:top w:val="none" w:sz="0" w:space="0" w:color="auto"/>
        <w:left w:val="none" w:sz="0" w:space="0" w:color="auto"/>
        <w:bottom w:val="none" w:sz="0" w:space="0" w:color="auto"/>
        <w:right w:val="none" w:sz="0" w:space="0" w:color="auto"/>
      </w:divBdr>
    </w:div>
    <w:div w:id="2044741613">
      <w:bodyDiv w:val="1"/>
      <w:marLeft w:val="0"/>
      <w:marRight w:val="0"/>
      <w:marTop w:val="0"/>
      <w:marBottom w:val="0"/>
      <w:divBdr>
        <w:top w:val="none" w:sz="0" w:space="0" w:color="auto"/>
        <w:left w:val="none" w:sz="0" w:space="0" w:color="auto"/>
        <w:bottom w:val="none" w:sz="0" w:space="0" w:color="auto"/>
        <w:right w:val="none" w:sz="0" w:space="0" w:color="auto"/>
      </w:divBdr>
    </w:div>
    <w:div w:id="2047440202">
      <w:bodyDiv w:val="1"/>
      <w:marLeft w:val="0"/>
      <w:marRight w:val="0"/>
      <w:marTop w:val="0"/>
      <w:marBottom w:val="0"/>
      <w:divBdr>
        <w:top w:val="none" w:sz="0" w:space="0" w:color="auto"/>
        <w:left w:val="none" w:sz="0" w:space="0" w:color="auto"/>
        <w:bottom w:val="none" w:sz="0" w:space="0" w:color="auto"/>
        <w:right w:val="none" w:sz="0" w:space="0" w:color="auto"/>
      </w:divBdr>
    </w:div>
    <w:div w:id="2094928592">
      <w:bodyDiv w:val="1"/>
      <w:marLeft w:val="0"/>
      <w:marRight w:val="0"/>
      <w:marTop w:val="0"/>
      <w:marBottom w:val="0"/>
      <w:divBdr>
        <w:top w:val="none" w:sz="0" w:space="0" w:color="auto"/>
        <w:left w:val="none" w:sz="0" w:space="0" w:color="auto"/>
        <w:bottom w:val="none" w:sz="0" w:space="0" w:color="auto"/>
        <w:right w:val="none" w:sz="0" w:space="0" w:color="auto"/>
      </w:divBdr>
      <w:divsChild>
        <w:div w:id="729885085">
          <w:marLeft w:val="0"/>
          <w:marRight w:val="0"/>
          <w:marTop w:val="34"/>
          <w:marBottom w:val="34"/>
          <w:divBdr>
            <w:top w:val="none" w:sz="0" w:space="0" w:color="auto"/>
            <w:left w:val="none" w:sz="0" w:space="0" w:color="auto"/>
            <w:bottom w:val="none" w:sz="0" w:space="0" w:color="auto"/>
            <w:right w:val="none" w:sz="0" w:space="0" w:color="auto"/>
          </w:divBdr>
        </w:div>
      </w:divsChild>
    </w:div>
    <w:div w:id="2113551044">
      <w:bodyDiv w:val="1"/>
      <w:marLeft w:val="0"/>
      <w:marRight w:val="0"/>
      <w:marTop w:val="0"/>
      <w:marBottom w:val="0"/>
      <w:divBdr>
        <w:top w:val="none" w:sz="0" w:space="0" w:color="auto"/>
        <w:left w:val="none" w:sz="0" w:space="0" w:color="auto"/>
        <w:bottom w:val="none" w:sz="0" w:space="0" w:color="auto"/>
        <w:right w:val="none" w:sz="0" w:space="0" w:color="auto"/>
      </w:divBdr>
    </w:div>
    <w:div w:id="2131434008">
      <w:bodyDiv w:val="1"/>
      <w:marLeft w:val="0"/>
      <w:marRight w:val="0"/>
      <w:marTop w:val="0"/>
      <w:marBottom w:val="0"/>
      <w:divBdr>
        <w:top w:val="none" w:sz="0" w:space="0" w:color="auto"/>
        <w:left w:val="none" w:sz="0" w:space="0" w:color="auto"/>
        <w:bottom w:val="none" w:sz="0" w:space="0" w:color="auto"/>
        <w:right w:val="none" w:sz="0" w:space="0" w:color="auto"/>
      </w:divBdr>
    </w:div>
    <w:div w:id="2131775091">
      <w:bodyDiv w:val="1"/>
      <w:marLeft w:val="0"/>
      <w:marRight w:val="0"/>
      <w:marTop w:val="0"/>
      <w:marBottom w:val="0"/>
      <w:divBdr>
        <w:top w:val="none" w:sz="0" w:space="0" w:color="auto"/>
        <w:left w:val="none" w:sz="0" w:space="0" w:color="auto"/>
        <w:bottom w:val="none" w:sz="0" w:space="0" w:color="auto"/>
        <w:right w:val="none" w:sz="0" w:space="0" w:color="auto"/>
      </w:divBdr>
    </w:div>
    <w:div w:id="21446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ubmed/?term=List%20JF%5BAuthor%5D&amp;cauthor=true&amp;cauthor_uid=2244617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Wei%20L%5BAuthor%5D&amp;cauthor=true&amp;cauthor_uid=2244617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term=261388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Rosenstock%20J%5BAuthor%5D&amp;cauthor=true&amp;cauthor_uid=22446170" TargetMode="External"/><Relationship Id="rId5" Type="http://schemas.openxmlformats.org/officeDocument/2006/relationships/webSettings" Target="webSettings.xml"/><Relationship Id="rId15" Type="http://schemas.openxmlformats.org/officeDocument/2006/relationships/hyperlink" Target="https://www.ncbi.nlm.nih.gov/pubmed/?term=EMPA-REG%20EXTEND%E2%84%A2%20PIO%20investigators%5BCorporate%20Author%5D"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pubmed/?term=22446170%5Buid%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8865-ED10-074E-8F6B-A0F78946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17116</Words>
  <Characters>97563</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nabil</dc:creator>
  <cp:keywords/>
  <dc:description/>
  <cp:lastModifiedBy>James Delgrande</cp:lastModifiedBy>
  <cp:revision>2</cp:revision>
  <cp:lastPrinted>2019-06-26T22:50:00Z</cp:lastPrinted>
  <dcterms:created xsi:type="dcterms:W3CDTF">2019-07-09T13:48:00Z</dcterms:created>
  <dcterms:modified xsi:type="dcterms:W3CDTF">2019-07-09T13:48:00Z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4880e930-83b2-3073-9b4c-9db7bd353e23</vt:lpwstr>
  </property>
  <property fmtid="{D5CDD505-2E9C-101B-9397-08002B2CF9AE}" pid="24" name="Mendeley Citation Style_1">
    <vt:lpwstr>http://www.zotero.org/styles/american-medical-association</vt:lpwstr>
  </property>
</Properties>
</file>