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5A1B" w14:textId="0EAD3C83" w:rsidR="005E6870" w:rsidRPr="00A6203D" w:rsidRDefault="005E6870" w:rsidP="00C90337">
      <w:pPr>
        <w:spacing w:line="276" w:lineRule="auto"/>
        <w:rPr>
          <w:rFonts w:ascii="Arial" w:hAnsi="Arial" w:cs="Arial"/>
          <w:b/>
          <w:bCs/>
          <w:sz w:val="28"/>
          <w:szCs w:val="28"/>
        </w:rPr>
      </w:pPr>
      <w:r w:rsidRPr="00A6203D">
        <w:rPr>
          <w:rFonts w:ascii="Arial" w:hAnsi="Arial" w:cs="Arial"/>
          <w:b/>
          <w:bCs/>
          <w:sz w:val="28"/>
          <w:szCs w:val="28"/>
        </w:rPr>
        <w:t>O</w:t>
      </w:r>
      <w:r w:rsidR="00272DD6" w:rsidRPr="00A6203D">
        <w:rPr>
          <w:rFonts w:ascii="Arial" w:hAnsi="Arial" w:cs="Arial"/>
          <w:b/>
          <w:bCs/>
          <w:sz w:val="28"/>
          <w:szCs w:val="28"/>
        </w:rPr>
        <w:t xml:space="preserve">STEOPOROSIS: PREVENTION AND TREATMENT </w:t>
      </w:r>
    </w:p>
    <w:p w14:paraId="14D1D4E2" w14:textId="77777777" w:rsidR="00272DD6" w:rsidRPr="00A6203D" w:rsidRDefault="00272DD6" w:rsidP="00C90337">
      <w:pPr>
        <w:spacing w:line="276" w:lineRule="auto"/>
      </w:pPr>
    </w:p>
    <w:p w14:paraId="39B47BC3" w14:textId="0FE08AFF" w:rsidR="00272DD6" w:rsidRPr="00A6203D" w:rsidRDefault="005E6870" w:rsidP="00C90337">
      <w:pPr>
        <w:spacing w:line="276" w:lineRule="auto"/>
      </w:pPr>
      <w:r w:rsidRPr="00A6203D">
        <w:rPr>
          <w:rFonts w:ascii="Arial" w:hAnsi="Arial" w:cs="Arial"/>
          <w:b/>
          <w:bCs/>
        </w:rPr>
        <w:t>Sarah Zaheer MD</w:t>
      </w:r>
      <w:r w:rsidR="00C90337" w:rsidRPr="00A6203D">
        <w:t xml:space="preserve">, </w:t>
      </w:r>
      <w:r w:rsidR="00EF526D" w:rsidRPr="00A6203D">
        <w:rPr>
          <w:rFonts w:ascii="Arial" w:hAnsi="Arial" w:cs="Arial"/>
          <w:sz w:val="22"/>
          <w:szCs w:val="22"/>
        </w:rPr>
        <w:t xml:space="preserve">Assistant Professor of Medicine, </w:t>
      </w:r>
      <w:r w:rsidR="00C90337" w:rsidRPr="00A6203D">
        <w:rPr>
          <w:rFonts w:ascii="Arial" w:hAnsi="Arial" w:cs="Arial"/>
          <w:sz w:val="22"/>
          <w:szCs w:val="22"/>
        </w:rPr>
        <w:t>Division</w:t>
      </w:r>
      <w:r w:rsidR="00C90337" w:rsidRPr="00A6203D">
        <w:rPr>
          <w:rFonts w:ascii="Arial" w:hAnsi="Arial" w:cs="Arial"/>
          <w:sz w:val="20"/>
          <w:szCs w:val="20"/>
        </w:rPr>
        <w:t xml:space="preserve"> of Endocrinology, Metabolism, and Nutrition, Duke University Medical Center, Durham, North Carolina, USA.</w:t>
      </w:r>
      <w:r w:rsidRPr="00A6203D">
        <w:t xml:space="preserve"> </w:t>
      </w:r>
    </w:p>
    <w:p w14:paraId="409A91A7" w14:textId="52C62431" w:rsidR="005E6870" w:rsidRPr="00A6203D" w:rsidRDefault="005E6870" w:rsidP="00C90337">
      <w:pPr>
        <w:spacing w:line="276" w:lineRule="auto"/>
        <w:rPr>
          <w:rFonts w:ascii="Arial" w:hAnsi="Arial" w:cs="Arial"/>
          <w:sz w:val="20"/>
          <w:szCs w:val="20"/>
        </w:rPr>
      </w:pPr>
      <w:r w:rsidRPr="00A6203D">
        <w:rPr>
          <w:rFonts w:ascii="Arial" w:hAnsi="Arial" w:cs="Arial"/>
          <w:b/>
          <w:bCs/>
        </w:rPr>
        <w:t xml:space="preserve">Meryl S </w:t>
      </w:r>
      <w:proofErr w:type="spellStart"/>
      <w:r w:rsidRPr="00A6203D">
        <w:rPr>
          <w:rFonts w:ascii="Arial" w:hAnsi="Arial" w:cs="Arial"/>
          <w:b/>
          <w:bCs/>
        </w:rPr>
        <w:t>LeBoff</w:t>
      </w:r>
      <w:proofErr w:type="spellEnd"/>
      <w:r w:rsidRPr="00A6203D">
        <w:rPr>
          <w:rFonts w:ascii="Arial" w:hAnsi="Arial" w:cs="Arial"/>
          <w:b/>
          <w:bCs/>
        </w:rPr>
        <w:t xml:space="preserve"> MD</w:t>
      </w:r>
      <w:r w:rsidR="00272DD6" w:rsidRPr="00A6203D">
        <w:rPr>
          <w:rFonts w:ascii="Arial" w:hAnsi="Arial" w:cs="Arial"/>
          <w:sz w:val="20"/>
          <w:szCs w:val="20"/>
        </w:rPr>
        <w:t>, Professor of Medicine Harvard Medical School, Director, Skeletal Health and Osteoporosis Center and Bone Density Unit, Brigham and Women’s Hospital, Harvard Medical School</w:t>
      </w:r>
      <w:r w:rsidR="00802D86">
        <w:rPr>
          <w:rFonts w:ascii="Arial" w:hAnsi="Arial" w:cs="Arial"/>
          <w:sz w:val="20"/>
          <w:szCs w:val="20"/>
        </w:rPr>
        <w:t>, Boston, MA</w:t>
      </w:r>
      <w:r w:rsidR="00272DD6" w:rsidRPr="00A6203D">
        <w:rPr>
          <w:rFonts w:ascii="Arial" w:hAnsi="Arial" w:cs="Arial"/>
          <w:sz w:val="20"/>
          <w:szCs w:val="20"/>
        </w:rPr>
        <w:t>. mleboff@</w:t>
      </w:r>
      <w:r w:rsidR="00EE7EE4" w:rsidRPr="00A6203D">
        <w:rPr>
          <w:rFonts w:ascii="Arial" w:hAnsi="Arial" w:cs="Arial"/>
          <w:sz w:val="20"/>
          <w:szCs w:val="20"/>
        </w:rPr>
        <w:t>bwh.harvard.edu</w:t>
      </w:r>
    </w:p>
    <w:p w14:paraId="7479BB4A" w14:textId="77777777" w:rsidR="00272DD6" w:rsidRPr="00A6203D" w:rsidRDefault="00272DD6" w:rsidP="00C90337">
      <w:pPr>
        <w:spacing w:line="276" w:lineRule="auto"/>
      </w:pPr>
    </w:p>
    <w:p w14:paraId="1E0414F6" w14:textId="005C3F14"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Update</w:t>
      </w:r>
      <w:r w:rsidR="00272DD6" w:rsidRPr="00A6203D">
        <w:rPr>
          <w:rFonts w:ascii="Arial" w:hAnsi="Arial" w:cs="Arial"/>
          <w:b/>
          <w:bCs/>
          <w:sz w:val="22"/>
          <w:szCs w:val="22"/>
        </w:rPr>
        <w:t xml:space="preserve">d </w:t>
      </w:r>
      <w:r w:rsidR="006D0D8F">
        <w:rPr>
          <w:rFonts w:ascii="Arial" w:hAnsi="Arial" w:cs="Arial"/>
          <w:b/>
          <w:bCs/>
          <w:sz w:val="22"/>
          <w:szCs w:val="22"/>
        </w:rPr>
        <w:t>December 2</w:t>
      </w:r>
      <w:r w:rsidR="00260F4E">
        <w:rPr>
          <w:rFonts w:ascii="Arial" w:hAnsi="Arial" w:cs="Arial"/>
          <w:b/>
          <w:bCs/>
          <w:sz w:val="22"/>
          <w:szCs w:val="22"/>
        </w:rPr>
        <w:t>6</w:t>
      </w:r>
      <w:r w:rsidR="00272DD6" w:rsidRPr="00A6203D">
        <w:rPr>
          <w:rFonts w:ascii="Arial" w:hAnsi="Arial" w:cs="Arial"/>
          <w:b/>
          <w:bCs/>
          <w:sz w:val="22"/>
          <w:szCs w:val="22"/>
        </w:rPr>
        <w:t>, 2022</w:t>
      </w:r>
    </w:p>
    <w:p w14:paraId="3F7F72D4" w14:textId="77777777" w:rsidR="00272DD6" w:rsidRPr="00A6203D" w:rsidRDefault="00272DD6" w:rsidP="00CE7C7B">
      <w:pPr>
        <w:spacing w:line="276" w:lineRule="auto"/>
        <w:rPr>
          <w:rFonts w:ascii="Arial" w:hAnsi="Arial" w:cs="Arial"/>
          <w:b/>
          <w:bCs/>
          <w:sz w:val="22"/>
          <w:szCs w:val="22"/>
        </w:rPr>
      </w:pPr>
    </w:p>
    <w:p w14:paraId="570A99B3" w14:textId="03B485D8" w:rsidR="005E6870" w:rsidRPr="00A6203D" w:rsidRDefault="005E6870" w:rsidP="00CE7C7B">
      <w:pPr>
        <w:spacing w:line="276" w:lineRule="auto"/>
        <w:rPr>
          <w:rFonts w:ascii="Arial" w:hAnsi="Arial" w:cs="Arial"/>
          <w:b/>
          <w:bCs/>
          <w:color w:val="0070C0"/>
          <w:sz w:val="22"/>
          <w:szCs w:val="22"/>
        </w:rPr>
      </w:pPr>
      <w:bookmarkStart w:id="0" w:name="_Hlk122693748"/>
      <w:r w:rsidRPr="00A6203D">
        <w:rPr>
          <w:rFonts w:ascii="Arial" w:hAnsi="Arial" w:cs="Arial"/>
          <w:b/>
          <w:bCs/>
          <w:color w:val="0070C0"/>
          <w:sz w:val="22"/>
          <w:szCs w:val="22"/>
        </w:rPr>
        <w:t>ABSTRACT</w:t>
      </w:r>
    </w:p>
    <w:p w14:paraId="1BC397B4" w14:textId="77777777" w:rsidR="00272DD6" w:rsidRPr="00A6203D" w:rsidRDefault="00272DD6" w:rsidP="00CE7C7B">
      <w:pPr>
        <w:spacing w:line="276" w:lineRule="auto"/>
        <w:rPr>
          <w:rFonts w:ascii="Arial" w:hAnsi="Arial" w:cs="Arial"/>
          <w:sz w:val="22"/>
          <w:szCs w:val="22"/>
        </w:rPr>
      </w:pPr>
    </w:p>
    <w:p w14:paraId="4CB7592B" w14:textId="1765142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Despite the health consequences of osteoporosis and the availability of effective treatments, it is under-diagnosed and under-treated. For example, although 90% of patients with hip fractures have osteoporosis, in 2007 only 20% of patients with fragility fractures were evaluated and treated. In a retrospective study of patients with hip fractures, less than 15% of subjects were diagnosed and less than 13% were treated with medications for osteoporosis, including calcium and vitamin D. Fracture patients require evaluation of secondary causes and treatment of osteoporosis to help prevent subsequent fractures. The preceding chapters summarize the pathogenesis and the clinical evaluation of osteoporosis. This chapter will review established therapeutic options and new approaches for the prevention and treatment of osteoporosis. Strategies include both lifestyle and medical approaches to enhance bone strength.</w:t>
      </w:r>
    </w:p>
    <w:bookmarkEnd w:id="0"/>
    <w:p w14:paraId="51702014" w14:textId="77777777" w:rsidR="00CE7C7B" w:rsidRPr="00A6203D" w:rsidRDefault="00CE7C7B" w:rsidP="00CE7C7B">
      <w:pPr>
        <w:spacing w:line="276" w:lineRule="auto"/>
        <w:rPr>
          <w:rFonts w:ascii="Arial" w:hAnsi="Arial" w:cs="Arial"/>
          <w:b/>
          <w:bCs/>
          <w:sz w:val="22"/>
          <w:szCs w:val="22"/>
        </w:rPr>
      </w:pPr>
    </w:p>
    <w:p w14:paraId="4F84CE2D" w14:textId="15E01AC8" w:rsidR="005E6870" w:rsidRPr="00A6203D" w:rsidRDefault="005E6870" w:rsidP="00CE7C7B">
      <w:pPr>
        <w:spacing w:line="276" w:lineRule="auto"/>
        <w:rPr>
          <w:rFonts w:ascii="Arial" w:hAnsi="Arial" w:cs="Arial"/>
          <w:b/>
          <w:bCs/>
          <w:color w:val="0070C0"/>
          <w:sz w:val="22"/>
          <w:szCs w:val="22"/>
        </w:rPr>
      </w:pPr>
      <w:bookmarkStart w:id="1" w:name="_Hlk122693808"/>
      <w:r w:rsidRPr="00A6203D">
        <w:rPr>
          <w:rFonts w:ascii="Arial" w:hAnsi="Arial" w:cs="Arial"/>
          <w:b/>
          <w:bCs/>
          <w:color w:val="0070C0"/>
          <w:sz w:val="22"/>
          <w:szCs w:val="22"/>
        </w:rPr>
        <w:t>INTRODUCTION</w:t>
      </w:r>
    </w:p>
    <w:p w14:paraId="65A010B9" w14:textId="77777777" w:rsidR="00CE7C7B" w:rsidRPr="00A6203D" w:rsidRDefault="00CE7C7B" w:rsidP="00CE7C7B">
      <w:pPr>
        <w:spacing w:line="276" w:lineRule="auto"/>
        <w:rPr>
          <w:rFonts w:ascii="Arial" w:hAnsi="Arial" w:cs="Arial"/>
          <w:sz w:val="22"/>
          <w:szCs w:val="22"/>
        </w:rPr>
      </w:pPr>
    </w:p>
    <w:p w14:paraId="34E663FF" w14:textId="60B960F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Osteoporosis is a major growing global health problem, resulting in 200 million osteoporotic fractures worldwide each year (</w:t>
      </w:r>
      <w:hyperlink r:id="rId6" w:history="1">
        <w:r w:rsidRPr="00A6203D">
          <w:rPr>
            <w:rStyle w:val="Hyperlink"/>
            <w:rFonts w:ascii="Arial" w:hAnsi="Arial" w:cs="Arial"/>
            <w:sz w:val="22"/>
            <w:szCs w:val="22"/>
          </w:rPr>
          <w:t>1</w:t>
        </w:r>
      </w:hyperlink>
      <w:r w:rsidRPr="00A6203D">
        <w:rPr>
          <w:rFonts w:ascii="Arial" w:hAnsi="Arial" w:cs="Arial"/>
          <w:sz w:val="22"/>
          <w:szCs w:val="22"/>
        </w:rPr>
        <w:t>,</w:t>
      </w:r>
      <w:hyperlink r:id="rId7" w:history="1">
        <w:r w:rsidRPr="00A6203D">
          <w:rPr>
            <w:rStyle w:val="Hyperlink"/>
            <w:rFonts w:ascii="Arial" w:hAnsi="Arial" w:cs="Arial"/>
            <w:sz w:val="22"/>
            <w:szCs w:val="22"/>
          </w:rPr>
          <w:t>2</w:t>
        </w:r>
      </w:hyperlink>
      <w:r w:rsidRPr="00A6203D">
        <w:rPr>
          <w:rFonts w:ascii="Arial" w:hAnsi="Arial" w:cs="Arial"/>
          <w:sz w:val="22"/>
          <w:szCs w:val="22"/>
        </w:rPr>
        <w:t>). Characterized by reduced bone mass and architectural deterioration, it leads to an increased risk of fragility fractures often occurring with minimal trauma such as falling from a standing height. These fractures rise exponentially with advancing age and most commonly involve the spine, hip or distal forearm. An estimated 1 in 2 women and 1 in 4 men age</w:t>
      </w:r>
      <w:r w:rsidR="008069E3" w:rsidRPr="00A6203D">
        <w:rPr>
          <w:rFonts w:ascii="Arial" w:hAnsi="Arial" w:cs="Arial"/>
          <w:sz w:val="22"/>
          <w:szCs w:val="22"/>
        </w:rPr>
        <w:t>d</w:t>
      </w:r>
      <w:r w:rsidRPr="00A6203D">
        <w:rPr>
          <w:rFonts w:ascii="Arial" w:hAnsi="Arial" w:cs="Arial"/>
          <w:sz w:val="22"/>
          <w:szCs w:val="22"/>
        </w:rPr>
        <w:t xml:space="preserve"> 50 years and older will suffer a fragility fracture in their remaining lifetime. Hip fractures are the most serious of these fractures, given the high rates of morbidity and mortality. Approximately 50% of patients who sustain a hip fracture lose the ability to walk independently and 12-24% of women suffering a hip fracture die within the 1</w:t>
      </w:r>
      <w:r w:rsidRPr="00A6203D">
        <w:rPr>
          <w:rFonts w:ascii="Arial" w:hAnsi="Arial" w:cs="Arial"/>
          <w:sz w:val="22"/>
          <w:szCs w:val="22"/>
          <w:vertAlign w:val="superscript"/>
        </w:rPr>
        <w:t>st</w:t>
      </w:r>
      <w:r w:rsidRPr="00A6203D">
        <w:rPr>
          <w:rFonts w:ascii="Arial" w:hAnsi="Arial" w:cs="Arial"/>
          <w:sz w:val="22"/>
          <w:szCs w:val="22"/>
        </w:rPr>
        <w:t> year, compared to 33% of men (</w:t>
      </w:r>
      <w:hyperlink r:id="rId8" w:history="1">
        <w:r w:rsidRPr="00A6203D">
          <w:rPr>
            <w:rStyle w:val="Hyperlink"/>
            <w:rFonts w:ascii="Arial" w:hAnsi="Arial" w:cs="Arial"/>
            <w:color w:val="auto"/>
            <w:sz w:val="22"/>
            <w:szCs w:val="22"/>
            <w:u w:val="none"/>
          </w:rPr>
          <w:t>3-5</w:t>
        </w:r>
      </w:hyperlink>
      <w:r w:rsidRPr="00A6203D">
        <w:rPr>
          <w:rFonts w:ascii="Arial" w:hAnsi="Arial" w:cs="Arial"/>
          <w:sz w:val="22"/>
          <w:szCs w:val="22"/>
        </w:rPr>
        <w:t>). Vertebral compression fractures are the most common osteoporotic fractures, but they are often asymptomatic and found incidentally on imaging done for other reasons. Vertebral fractures are, however, associated with high rates of morbidity involving height loss, kyphosis, restrictive lung disease, back pain, and functional impairment. Vertebral fractures are associated with a 5-fold increased risk of future vertebral fractures and a 2 to 3-fold risk of other fragility fractures. Although there are very effective treatments to reduce fracture risk, only 30% of patients with fragility fractures have a bone density test and/or are treated for their underlying osteoporosis. There are currently critically needed national and international efforts to improve fracture care and bone health in women and men. Identification of osteoporosis at the time of a hip, spine</w:t>
      </w:r>
      <w:r w:rsidR="00A028DA" w:rsidRPr="00A6203D">
        <w:rPr>
          <w:rFonts w:ascii="Arial" w:hAnsi="Arial" w:cs="Arial"/>
          <w:sz w:val="22"/>
          <w:szCs w:val="22"/>
        </w:rPr>
        <w:t>,</w:t>
      </w:r>
      <w:r w:rsidRPr="00A6203D">
        <w:rPr>
          <w:rFonts w:ascii="Arial" w:hAnsi="Arial" w:cs="Arial"/>
          <w:sz w:val="22"/>
          <w:szCs w:val="22"/>
        </w:rPr>
        <w:t xml:space="preserve"> or other fragility fracture is imperative so that patients </w:t>
      </w:r>
      <w:r w:rsidRPr="00A6203D">
        <w:rPr>
          <w:rFonts w:ascii="Arial" w:hAnsi="Arial" w:cs="Arial"/>
          <w:sz w:val="22"/>
          <w:szCs w:val="22"/>
        </w:rPr>
        <w:lastRenderedPageBreak/>
        <w:t>with fragility fractures can be evaluated for secondary causes of osteoporosis and treated with osteoporosis medications for their underlying bone disease.</w:t>
      </w:r>
    </w:p>
    <w:p w14:paraId="6A92760C" w14:textId="77777777" w:rsidR="00CE7C7B" w:rsidRPr="00A6203D" w:rsidRDefault="00CE7C7B" w:rsidP="00CE7C7B">
      <w:pPr>
        <w:spacing w:line="276" w:lineRule="auto"/>
        <w:rPr>
          <w:rFonts w:ascii="Arial" w:hAnsi="Arial" w:cs="Arial"/>
          <w:sz w:val="22"/>
          <w:szCs w:val="22"/>
        </w:rPr>
      </w:pPr>
    </w:p>
    <w:p w14:paraId="05970AB4"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preceding chapters summarize the pathogenesis and the clinical evaluation of osteoporosis. This chapter will focus on reviewing established therapeutic options and new approaches for the prevention and treatment of osteoporosis. Strategies include both lifestyle and medical approaches to enhance bone strength and reduce fractures.</w:t>
      </w:r>
    </w:p>
    <w:p w14:paraId="78071D94" w14:textId="77777777" w:rsidR="00CE7C7B" w:rsidRPr="00A6203D" w:rsidRDefault="00CE7C7B" w:rsidP="00CE7C7B">
      <w:pPr>
        <w:spacing w:line="276" w:lineRule="auto"/>
        <w:rPr>
          <w:rFonts w:ascii="Arial" w:hAnsi="Arial" w:cs="Arial"/>
          <w:b/>
          <w:bCs/>
          <w:sz w:val="22"/>
          <w:szCs w:val="22"/>
        </w:rPr>
      </w:pPr>
    </w:p>
    <w:p w14:paraId="35C846F6" w14:textId="0FC79E0D"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PATHOPHYSIOLOGY</w:t>
      </w:r>
    </w:p>
    <w:p w14:paraId="503BBEB3" w14:textId="77777777" w:rsidR="00CE7C7B" w:rsidRPr="00A6203D" w:rsidRDefault="00CE7C7B" w:rsidP="00CE7C7B">
      <w:pPr>
        <w:spacing w:line="276" w:lineRule="auto"/>
        <w:rPr>
          <w:rFonts w:ascii="Arial" w:hAnsi="Arial" w:cs="Arial"/>
          <w:sz w:val="22"/>
          <w:szCs w:val="22"/>
        </w:rPr>
      </w:pPr>
    </w:p>
    <w:p w14:paraId="5F5729B3" w14:textId="4406B43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Bone is a dynamic organ with continuous remodeling occurring as osteoclasts resorb bone and osteoblasts form new bone. Among the key regulators of this process is the receptor activator of nuclear factor-kappa B (RANK)/RANK ligand (RANKL)/</w:t>
      </w:r>
      <w:proofErr w:type="spellStart"/>
      <w:r w:rsidRPr="00A6203D">
        <w:rPr>
          <w:rFonts w:ascii="Arial" w:hAnsi="Arial" w:cs="Arial"/>
          <w:sz w:val="22"/>
          <w:szCs w:val="22"/>
        </w:rPr>
        <w:t>osteoprotegerin</w:t>
      </w:r>
      <w:proofErr w:type="spellEnd"/>
      <w:r w:rsidRPr="00A6203D">
        <w:rPr>
          <w:rFonts w:ascii="Arial" w:hAnsi="Arial" w:cs="Arial"/>
          <w:sz w:val="22"/>
          <w:szCs w:val="22"/>
        </w:rPr>
        <w:t xml:space="preserve"> (OPG) system. Interaction between RANKL, produced by the osteoblast lineage, and RANK receptor stimulates osteoclastic differentiation and activity; OPG, made by osteoblasts, is an endogenous decoy receptor that binds with RANKL, inhibiting bone resorption. In addition, the </w:t>
      </w:r>
      <w:proofErr w:type="spellStart"/>
      <w:r w:rsidRPr="00A6203D">
        <w:rPr>
          <w:rFonts w:ascii="Arial" w:hAnsi="Arial" w:cs="Arial"/>
          <w:sz w:val="22"/>
          <w:szCs w:val="22"/>
        </w:rPr>
        <w:t>Wnt</w:t>
      </w:r>
      <w:proofErr w:type="spellEnd"/>
      <w:r w:rsidRPr="00A6203D">
        <w:rPr>
          <w:rFonts w:ascii="Arial" w:hAnsi="Arial" w:cs="Arial"/>
          <w:sz w:val="22"/>
          <w:szCs w:val="22"/>
        </w:rPr>
        <w:t xml:space="preserve"> signaling pathway is involved in activation of transcription of genes that direct the differentiation and proliferation of osteoblasts. In the skeletal life cycle, there is acquisition of peak bone mass during adolescence and young adulthood. For women, bone loss is accelerated surrounding the time of menopause with decreases in bone mineral density (BMD) of approximately 2-3%/year. With advancing age, the decline in BMD occurs at a slower rate of approximately 0.1 to 0.5% per year in women and men.</w:t>
      </w:r>
    </w:p>
    <w:p w14:paraId="3A2DCAB9" w14:textId="77777777" w:rsidR="00CE7C7B" w:rsidRPr="00A6203D" w:rsidRDefault="00CE7C7B" w:rsidP="00CE7C7B">
      <w:pPr>
        <w:spacing w:line="276" w:lineRule="auto"/>
        <w:rPr>
          <w:rFonts w:ascii="Arial" w:hAnsi="Arial" w:cs="Arial"/>
          <w:b/>
          <w:bCs/>
          <w:sz w:val="22"/>
          <w:szCs w:val="22"/>
        </w:rPr>
      </w:pPr>
    </w:p>
    <w:p w14:paraId="2BC4B5EE" w14:textId="1F0FBF62"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DIAGNOSIS</w:t>
      </w:r>
    </w:p>
    <w:p w14:paraId="30FB7BCD" w14:textId="77777777" w:rsidR="00CE7C7B" w:rsidRPr="00A6203D" w:rsidRDefault="00CE7C7B" w:rsidP="00CE7C7B">
      <w:pPr>
        <w:spacing w:line="276" w:lineRule="auto"/>
        <w:rPr>
          <w:rFonts w:ascii="Arial" w:hAnsi="Arial" w:cs="Arial"/>
          <w:sz w:val="22"/>
          <w:szCs w:val="22"/>
        </w:rPr>
      </w:pPr>
    </w:p>
    <w:p w14:paraId="348429CD" w14:textId="3AC92690"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BMD testing is typically measured in the proximal femur and lumbar spine, though the distal radius should be measured in patients with hyperparathyroidism or in those in whom the other major sites cannot be adequately assessed. Each SD below peak bone mass represents approximately 2-fold increase in fracture risk. Osteopenia is present when the BMD is between 1.0 and 2.5 SDs below bone density of young healthy individuals. More than 50% of fragility fractures occur in these patients (</w:t>
      </w:r>
      <w:hyperlink r:id="rId9" w:history="1">
        <w:r w:rsidRPr="00A6203D">
          <w:rPr>
            <w:rStyle w:val="Hyperlink"/>
            <w:rFonts w:ascii="Arial" w:hAnsi="Arial" w:cs="Arial"/>
            <w:color w:val="auto"/>
            <w:sz w:val="22"/>
            <w:szCs w:val="22"/>
            <w:u w:val="none"/>
          </w:rPr>
          <w:t>6</w:t>
        </w:r>
      </w:hyperlink>
      <w:r w:rsidRPr="00A6203D">
        <w:rPr>
          <w:rFonts w:ascii="Arial" w:hAnsi="Arial" w:cs="Arial"/>
          <w:sz w:val="22"/>
          <w:szCs w:val="22"/>
        </w:rPr>
        <w:t>). Osteoporosis is defined as a BMD≤-2.5 SDs of young normal, healthy individuals.</w:t>
      </w:r>
    </w:p>
    <w:p w14:paraId="51D939E7" w14:textId="77777777" w:rsidR="00CE7C7B" w:rsidRPr="00A6203D" w:rsidRDefault="00CE7C7B" w:rsidP="00CE7C7B">
      <w:pPr>
        <w:spacing w:line="276" w:lineRule="auto"/>
        <w:rPr>
          <w:rFonts w:ascii="Arial" w:hAnsi="Arial" w:cs="Arial"/>
          <w:sz w:val="22"/>
          <w:szCs w:val="22"/>
        </w:rPr>
      </w:pPr>
    </w:p>
    <w:p w14:paraId="4D447C1B" w14:textId="2E5CE5F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Vertebral imaging by DXA or X-ray is useful for identification of spinal fractures that frequently are not clinically evident. The</w:t>
      </w:r>
      <w:r w:rsidR="008069E3" w:rsidRPr="00A6203D">
        <w:rPr>
          <w:rFonts w:ascii="Arial" w:hAnsi="Arial" w:cs="Arial"/>
          <w:sz w:val="22"/>
          <w:szCs w:val="22"/>
        </w:rPr>
        <w:t xml:space="preserve"> Bone Health and </w:t>
      </w:r>
      <w:r w:rsidRPr="00A6203D">
        <w:rPr>
          <w:rFonts w:ascii="Arial" w:hAnsi="Arial" w:cs="Arial"/>
          <w:sz w:val="22"/>
          <w:szCs w:val="22"/>
        </w:rPr>
        <w:t>Osteoporosis Foundation (</w:t>
      </w:r>
      <w:r w:rsidR="008069E3" w:rsidRPr="00A6203D">
        <w:rPr>
          <w:rFonts w:ascii="Arial" w:hAnsi="Arial" w:cs="Arial"/>
          <w:sz w:val="22"/>
          <w:szCs w:val="22"/>
        </w:rPr>
        <w:t xml:space="preserve">BHOF, previously the </w:t>
      </w:r>
      <w:r w:rsidRPr="00A6203D">
        <w:rPr>
          <w:rFonts w:ascii="Arial" w:hAnsi="Arial" w:cs="Arial"/>
          <w:sz w:val="22"/>
          <w:szCs w:val="22"/>
        </w:rPr>
        <w:t>N</w:t>
      </w:r>
      <w:r w:rsidR="008069E3" w:rsidRPr="00A6203D">
        <w:rPr>
          <w:rFonts w:ascii="Arial" w:hAnsi="Arial" w:cs="Arial"/>
          <w:sz w:val="22"/>
          <w:szCs w:val="22"/>
        </w:rPr>
        <w:t xml:space="preserve">ational </w:t>
      </w:r>
      <w:r w:rsidRPr="00A6203D">
        <w:rPr>
          <w:rFonts w:ascii="Arial" w:hAnsi="Arial" w:cs="Arial"/>
          <w:sz w:val="22"/>
          <w:szCs w:val="22"/>
        </w:rPr>
        <w:t>O</w:t>
      </w:r>
      <w:r w:rsidR="008069E3" w:rsidRPr="00A6203D">
        <w:rPr>
          <w:rFonts w:ascii="Arial" w:hAnsi="Arial" w:cs="Arial"/>
          <w:sz w:val="22"/>
          <w:szCs w:val="22"/>
        </w:rPr>
        <w:t xml:space="preserve">steoporosis </w:t>
      </w:r>
      <w:r w:rsidRPr="00A6203D">
        <w:rPr>
          <w:rFonts w:ascii="Arial" w:hAnsi="Arial" w:cs="Arial"/>
          <w:sz w:val="22"/>
          <w:szCs w:val="22"/>
        </w:rPr>
        <w:t>F</w:t>
      </w:r>
      <w:r w:rsidR="008069E3" w:rsidRPr="00A6203D">
        <w:rPr>
          <w:rFonts w:ascii="Arial" w:hAnsi="Arial" w:cs="Arial"/>
          <w:sz w:val="22"/>
          <w:szCs w:val="22"/>
        </w:rPr>
        <w:t>oundation</w:t>
      </w:r>
      <w:r w:rsidRPr="00A6203D">
        <w:rPr>
          <w:rFonts w:ascii="Arial" w:hAnsi="Arial" w:cs="Arial"/>
          <w:sz w:val="22"/>
          <w:szCs w:val="22"/>
        </w:rPr>
        <w:t xml:space="preserve">) currently recommends DXA for women ≥65 years and men ≥70 years, or earlier if clinical risk factors are present. Physicians should routinely perform height measurements preferably with a stadiometer as there is an association between height loss and spinal fractures. The </w:t>
      </w:r>
      <w:r w:rsidR="008069E3" w:rsidRPr="00A6203D">
        <w:rPr>
          <w:rFonts w:ascii="Arial" w:hAnsi="Arial" w:cs="Arial"/>
          <w:sz w:val="22"/>
          <w:szCs w:val="22"/>
        </w:rPr>
        <w:t>BHOF</w:t>
      </w:r>
      <w:r w:rsidR="008069E3" w:rsidRPr="00A6203D">
        <w:rPr>
          <w:rFonts w:ascii="Arial" w:hAnsi="Arial" w:cs="Arial"/>
          <w:color w:val="FF0000"/>
          <w:sz w:val="22"/>
          <w:szCs w:val="22"/>
        </w:rPr>
        <w:t xml:space="preserve"> </w:t>
      </w:r>
      <w:r w:rsidRPr="00A6203D">
        <w:rPr>
          <w:rFonts w:ascii="Arial" w:hAnsi="Arial" w:cs="Arial"/>
          <w:sz w:val="22"/>
          <w:szCs w:val="22"/>
        </w:rPr>
        <w:t>Clinical Guide recommends vertebral imaging for spinal fractures in the presence of height loss of 1.5 inches or more and longitudinal height loss of 0.8 inches or more for postmenopausal women and men age 50-69. Vertebral imaging is also recommended in women and men age 70 and 80 years and older, respectively (</w:t>
      </w:r>
      <w:r w:rsidR="00482E54" w:rsidRPr="00A6203D">
        <w:rPr>
          <w:rFonts w:ascii="Arial" w:hAnsi="Arial" w:cs="Arial"/>
          <w:sz w:val="22"/>
          <w:szCs w:val="22"/>
        </w:rPr>
        <w:t>7</w:t>
      </w:r>
      <w:r w:rsidRPr="00A6203D">
        <w:rPr>
          <w:rFonts w:ascii="Arial" w:hAnsi="Arial" w:cs="Arial"/>
          <w:sz w:val="22"/>
          <w:szCs w:val="22"/>
        </w:rPr>
        <w:t>). When the diagnosis of a low bone density compared with age-adjusted controls or osteoporosis is made, a work-up to look for secondary causes of osteoporosis should be considered. See </w:t>
      </w:r>
      <w:hyperlink r:id="rId10" w:tgtFrame="object" w:history="1">
        <w:r w:rsidRPr="00A6203D">
          <w:rPr>
            <w:rStyle w:val="Hyperlink"/>
            <w:rFonts w:ascii="Arial" w:hAnsi="Arial" w:cs="Arial"/>
            <w:color w:val="auto"/>
            <w:sz w:val="22"/>
            <w:szCs w:val="22"/>
            <w:u w:val="none"/>
          </w:rPr>
          <w:t>Table 1</w:t>
        </w:r>
      </w:hyperlink>
      <w:r w:rsidRPr="00A6203D">
        <w:rPr>
          <w:rFonts w:ascii="Arial" w:hAnsi="Arial" w:cs="Arial"/>
          <w:b/>
          <w:bCs/>
          <w:sz w:val="22"/>
          <w:szCs w:val="22"/>
        </w:rPr>
        <w:t>.</w:t>
      </w:r>
    </w:p>
    <w:p w14:paraId="32A629C7" w14:textId="77777777" w:rsidR="00CE7C7B" w:rsidRPr="00A6203D" w:rsidRDefault="00CE7C7B" w:rsidP="00CE7C7B">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2715"/>
        <w:gridCol w:w="6635"/>
      </w:tblGrid>
      <w:tr w:rsidR="00CE7C7B" w:rsidRPr="00A6203D" w14:paraId="615FA9B5" w14:textId="77777777" w:rsidTr="00CE7C7B">
        <w:tc>
          <w:tcPr>
            <w:tcW w:w="0" w:type="auto"/>
            <w:gridSpan w:val="2"/>
            <w:shd w:val="clear" w:color="auto" w:fill="FFFF00"/>
          </w:tcPr>
          <w:p w14:paraId="2645DDEE" w14:textId="36A45BB8" w:rsidR="00CE7C7B" w:rsidRPr="00A6203D" w:rsidRDefault="00CE7C7B" w:rsidP="00CE7C7B">
            <w:pPr>
              <w:spacing w:line="276" w:lineRule="auto"/>
              <w:rPr>
                <w:rFonts w:ascii="Arial" w:hAnsi="Arial" w:cs="Arial"/>
                <w:b/>
                <w:bCs/>
                <w:sz w:val="22"/>
                <w:szCs w:val="22"/>
              </w:rPr>
            </w:pPr>
            <w:r w:rsidRPr="00A6203D">
              <w:rPr>
                <w:rFonts w:ascii="Arial" w:hAnsi="Arial" w:cs="Arial"/>
                <w:b/>
                <w:bCs/>
                <w:sz w:val="22"/>
                <w:szCs w:val="22"/>
              </w:rPr>
              <w:t>Table 1. Secondary Causes of Osteoporosis</w:t>
            </w:r>
          </w:p>
        </w:tc>
      </w:tr>
      <w:tr w:rsidR="005E6870" w:rsidRPr="00A6203D" w14:paraId="2F4DE415" w14:textId="77777777" w:rsidTr="00CE7C7B">
        <w:tc>
          <w:tcPr>
            <w:tcW w:w="0" w:type="auto"/>
            <w:hideMark/>
          </w:tcPr>
          <w:p w14:paraId="3FBE1D24"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Endocrinological Abnormalities</w:t>
            </w:r>
          </w:p>
        </w:tc>
        <w:tc>
          <w:tcPr>
            <w:tcW w:w="0" w:type="auto"/>
            <w:hideMark/>
          </w:tcPr>
          <w:p w14:paraId="7B70BE9F" w14:textId="24D42633"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Glucocorticoid excess, hyperthyroidism, hypogonadism (androgen insensitivity, Turner’s and Klinefelter’s Syndrome, hyperprolactinemia, premature menopause), anorexia, athlete triad, vitamin D deficiency, hyperparathyroidism, </w:t>
            </w:r>
            <w:r w:rsidR="008478C8" w:rsidRPr="00A6203D">
              <w:rPr>
                <w:rFonts w:ascii="Arial" w:hAnsi="Arial" w:cs="Arial"/>
                <w:sz w:val="22"/>
                <w:szCs w:val="22"/>
              </w:rPr>
              <w:t>d</w:t>
            </w:r>
            <w:r w:rsidRPr="00A6203D">
              <w:rPr>
                <w:rFonts w:ascii="Arial" w:hAnsi="Arial" w:cs="Arial"/>
                <w:sz w:val="22"/>
                <w:szCs w:val="22"/>
              </w:rPr>
              <w:t xml:space="preserve">iabetes </w:t>
            </w:r>
            <w:r w:rsidR="008478C8" w:rsidRPr="00A6203D">
              <w:rPr>
                <w:rFonts w:ascii="Arial" w:hAnsi="Arial" w:cs="Arial"/>
                <w:sz w:val="22"/>
                <w:szCs w:val="22"/>
              </w:rPr>
              <w:t>m</w:t>
            </w:r>
            <w:r w:rsidRPr="00A6203D">
              <w:rPr>
                <w:rFonts w:ascii="Arial" w:hAnsi="Arial" w:cs="Arial"/>
                <w:sz w:val="22"/>
                <w:szCs w:val="22"/>
              </w:rPr>
              <w:t>ellitus (Types 1 and 2)</w:t>
            </w:r>
          </w:p>
        </w:tc>
      </w:tr>
      <w:tr w:rsidR="005E6870" w:rsidRPr="00A6203D" w14:paraId="695B9494" w14:textId="77777777" w:rsidTr="00CE7C7B">
        <w:tc>
          <w:tcPr>
            <w:tcW w:w="0" w:type="auto"/>
            <w:hideMark/>
          </w:tcPr>
          <w:p w14:paraId="5A33B918"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Cardiovascular, Renal, Pulmonary and Miscellaneous Disorders</w:t>
            </w:r>
          </w:p>
        </w:tc>
        <w:tc>
          <w:tcPr>
            <w:tcW w:w="0" w:type="auto"/>
            <w:hideMark/>
          </w:tcPr>
          <w:p w14:paraId="0D50A1CB"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Chronic kidney disease, post-transplant bone disease, congestive heart failure, chronic obstructive lung disease, AIDS/HIV</w:t>
            </w:r>
          </w:p>
        </w:tc>
      </w:tr>
      <w:tr w:rsidR="005E6870" w:rsidRPr="00A6203D" w14:paraId="1596DC1C" w14:textId="77777777" w:rsidTr="00CE7C7B">
        <w:tc>
          <w:tcPr>
            <w:tcW w:w="0" w:type="auto"/>
            <w:hideMark/>
          </w:tcPr>
          <w:p w14:paraId="795FD591"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Connective Tissue Disorders</w:t>
            </w:r>
          </w:p>
        </w:tc>
        <w:tc>
          <w:tcPr>
            <w:tcW w:w="0" w:type="auto"/>
            <w:hideMark/>
          </w:tcPr>
          <w:p w14:paraId="6C9119C7" w14:textId="5C9C34F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Osteogenesis </w:t>
            </w:r>
            <w:r w:rsidR="008478C8" w:rsidRPr="00A6203D">
              <w:rPr>
                <w:rFonts w:ascii="Arial" w:hAnsi="Arial" w:cs="Arial"/>
                <w:sz w:val="22"/>
                <w:szCs w:val="22"/>
              </w:rPr>
              <w:t>i</w:t>
            </w:r>
            <w:r w:rsidRPr="00A6203D">
              <w:rPr>
                <w:rFonts w:ascii="Arial" w:hAnsi="Arial" w:cs="Arial"/>
                <w:sz w:val="22"/>
                <w:szCs w:val="22"/>
              </w:rPr>
              <w:t>mperfecta, Ehlers-Danlos syndrome, Marfan Syndrome, ankylosing spondylitis,</w:t>
            </w:r>
          </w:p>
        </w:tc>
      </w:tr>
      <w:tr w:rsidR="005E6870" w:rsidRPr="00A6203D" w14:paraId="619EC426" w14:textId="77777777" w:rsidTr="00CE7C7B">
        <w:tc>
          <w:tcPr>
            <w:tcW w:w="0" w:type="auto"/>
            <w:hideMark/>
          </w:tcPr>
          <w:p w14:paraId="5786D88A"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Gastrointestinal Diseases</w:t>
            </w:r>
          </w:p>
        </w:tc>
        <w:tc>
          <w:tcPr>
            <w:tcW w:w="0" w:type="auto"/>
            <w:hideMark/>
          </w:tcPr>
          <w:p w14:paraId="6B2E1314"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Celiac sprue, Inflammatory bowel disease, post-gastrectomy, primary biliary cirrhosis, bariatric surgery</w:t>
            </w:r>
          </w:p>
        </w:tc>
      </w:tr>
      <w:tr w:rsidR="005E6870" w:rsidRPr="00A6203D" w14:paraId="7EFC68F7" w14:textId="77777777" w:rsidTr="00CE7C7B">
        <w:tc>
          <w:tcPr>
            <w:tcW w:w="0" w:type="auto"/>
            <w:hideMark/>
          </w:tcPr>
          <w:p w14:paraId="22D7D693"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Hematological Disorders</w:t>
            </w:r>
          </w:p>
        </w:tc>
        <w:tc>
          <w:tcPr>
            <w:tcW w:w="0" w:type="auto"/>
            <w:hideMark/>
          </w:tcPr>
          <w:p w14:paraId="4D4F870A" w14:textId="3044FC14"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Multiple myeloma, </w:t>
            </w:r>
            <w:proofErr w:type="spellStart"/>
            <w:r w:rsidRPr="00A6203D">
              <w:rPr>
                <w:rFonts w:ascii="Arial" w:hAnsi="Arial" w:cs="Arial"/>
                <w:sz w:val="22"/>
                <w:szCs w:val="22"/>
              </w:rPr>
              <w:t>mastocytosis</w:t>
            </w:r>
            <w:proofErr w:type="spellEnd"/>
            <w:r w:rsidRPr="00A6203D">
              <w:rPr>
                <w:rFonts w:ascii="Arial" w:hAnsi="Arial" w:cs="Arial"/>
                <w:sz w:val="22"/>
                <w:szCs w:val="22"/>
              </w:rPr>
              <w:t>, leukemia</w:t>
            </w:r>
            <w:r w:rsidR="008478C8" w:rsidRPr="00A6203D">
              <w:rPr>
                <w:rFonts w:ascii="Arial" w:hAnsi="Arial" w:cs="Arial"/>
                <w:sz w:val="22"/>
                <w:szCs w:val="22"/>
              </w:rPr>
              <w:t>,</w:t>
            </w:r>
            <w:r w:rsidRPr="00A6203D">
              <w:rPr>
                <w:rFonts w:ascii="Arial" w:hAnsi="Arial" w:cs="Arial"/>
                <w:sz w:val="22"/>
                <w:szCs w:val="22"/>
              </w:rPr>
              <w:t xml:space="preserve"> </w:t>
            </w:r>
            <w:r w:rsidR="008478C8" w:rsidRPr="00A6203D">
              <w:rPr>
                <w:rFonts w:ascii="Arial" w:hAnsi="Arial" w:cs="Arial"/>
                <w:sz w:val="22"/>
                <w:szCs w:val="22"/>
              </w:rPr>
              <w:t>h</w:t>
            </w:r>
            <w:r w:rsidRPr="00A6203D">
              <w:rPr>
                <w:rFonts w:ascii="Arial" w:hAnsi="Arial" w:cs="Arial"/>
                <w:sz w:val="22"/>
                <w:szCs w:val="22"/>
              </w:rPr>
              <w:t xml:space="preserve">emophilia, sickle cell disease, leukemia, lymphoma, </w:t>
            </w:r>
            <w:r w:rsidR="008478C8" w:rsidRPr="00A6203D">
              <w:rPr>
                <w:rFonts w:ascii="Arial" w:hAnsi="Arial" w:cs="Arial"/>
                <w:sz w:val="22"/>
                <w:szCs w:val="22"/>
              </w:rPr>
              <w:t>t</w:t>
            </w:r>
            <w:r w:rsidRPr="00A6203D">
              <w:rPr>
                <w:rFonts w:ascii="Arial" w:hAnsi="Arial" w:cs="Arial"/>
                <w:sz w:val="22"/>
                <w:szCs w:val="22"/>
              </w:rPr>
              <w:t>halassemia</w:t>
            </w:r>
          </w:p>
        </w:tc>
      </w:tr>
      <w:tr w:rsidR="005E6870" w:rsidRPr="00A6203D" w14:paraId="413D45DF" w14:textId="77777777" w:rsidTr="00CE7C7B">
        <w:tc>
          <w:tcPr>
            <w:tcW w:w="0" w:type="auto"/>
            <w:hideMark/>
          </w:tcPr>
          <w:p w14:paraId="3453BFDF"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Other Genetic Disorders</w:t>
            </w:r>
          </w:p>
        </w:tc>
        <w:tc>
          <w:tcPr>
            <w:tcW w:w="0" w:type="auto"/>
            <w:hideMark/>
          </w:tcPr>
          <w:p w14:paraId="0BF49679" w14:textId="2E39EA8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Homocystinuria, </w:t>
            </w:r>
            <w:r w:rsidR="008478C8" w:rsidRPr="00A6203D">
              <w:rPr>
                <w:rFonts w:ascii="Arial" w:hAnsi="Arial" w:cs="Arial"/>
                <w:sz w:val="22"/>
                <w:szCs w:val="22"/>
              </w:rPr>
              <w:t>c</w:t>
            </w:r>
            <w:r w:rsidRPr="00A6203D">
              <w:rPr>
                <w:rFonts w:ascii="Arial" w:hAnsi="Arial" w:cs="Arial"/>
                <w:sz w:val="22"/>
                <w:szCs w:val="22"/>
              </w:rPr>
              <w:t xml:space="preserve">ystic fibrosis, </w:t>
            </w:r>
            <w:r w:rsidR="008478C8" w:rsidRPr="00A6203D">
              <w:rPr>
                <w:rFonts w:ascii="Arial" w:hAnsi="Arial" w:cs="Arial"/>
                <w:sz w:val="22"/>
                <w:szCs w:val="22"/>
              </w:rPr>
              <w:t>h</w:t>
            </w:r>
            <w:r w:rsidRPr="00A6203D">
              <w:rPr>
                <w:rFonts w:ascii="Arial" w:hAnsi="Arial" w:cs="Arial"/>
                <w:sz w:val="22"/>
                <w:szCs w:val="22"/>
              </w:rPr>
              <w:t xml:space="preserve">emochromatosis, </w:t>
            </w:r>
            <w:r w:rsidR="008478C8" w:rsidRPr="00A6203D">
              <w:rPr>
                <w:rFonts w:ascii="Arial" w:hAnsi="Arial" w:cs="Arial"/>
                <w:sz w:val="22"/>
                <w:szCs w:val="22"/>
              </w:rPr>
              <w:t>h</w:t>
            </w:r>
            <w:r w:rsidRPr="00A6203D">
              <w:rPr>
                <w:rFonts w:ascii="Arial" w:hAnsi="Arial" w:cs="Arial"/>
                <w:sz w:val="22"/>
                <w:szCs w:val="22"/>
              </w:rPr>
              <w:t>ypophosphatasia</w:t>
            </w:r>
          </w:p>
        </w:tc>
      </w:tr>
      <w:tr w:rsidR="005E6870" w:rsidRPr="00A6203D" w14:paraId="2916E012" w14:textId="77777777" w:rsidTr="00CE7C7B">
        <w:tc>
          <w:tcPr>
            <w:tcW w:w="0" w:type="auto"/>
            <w:hideMark/>
          </w:tcPr>
          <w:p w14:paraId="66AE5267"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Rheumatological Disorders</w:t>
            </w:r>
          </w:p>
        </w:tc>
        <w:tc>
          <w:tcPr>
            <w:tcW w:w="0" w:type="auto"/>
            <w:hideMark/>
          </w:tcPr>
          <w:p w14:paraId="489C23D1"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Ankylosing spondylitis, rheumatoid arthritis</w:t>
            </w:r>
          </w:p>
        </w:tc>
      </w:tr>
      <w:tr w:rsidR="005E6870" w:rsidRPr="00A6203D" w14:paraId="25998235" w14:textId="77777777" w:rsidTr="00CE7C7B">
        <w:tc>
          <w:tcPr>
            <w:tcW w:w="0" w:type="auto"/>
            <w:hideMark/>
          </w:tcPr>
          <w:p w14:paraId="6D9ECF87"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Medications</w:t>
            </w:r>
          </w:p>
        </w:tc>
        <w:tc>
          <w:tcPr>
            <w:tcW w:w="0" w:type="auto"/>
            <w:hideMark/>
          </w:tcPr>
          <w:p w14:paraId="008C68B4" w14:textId="2FE241E0"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Aromatase inhibitors, heparin (long term), anticonvulsants, methotrexate, </w:t>
            </w:r>
            <w:proofErr w:type="spellStart"/>
            <w:r w:rsidR="008478C8" w:rsidRPr="00A6203D">
              <w:rPr>
                <w:rFonts w:ascii="Arial" w:hAnsi="Arial" w:cs="Arial"/>
                <w:sz w:val="22"/>
                <w:szCs w:val="22"/>
              </w:rPr>
              <w:t>c</w:t>
            </w:r>
            <w:r w:rsidRPr="00A6203D">
              <w:rPr>
                <w:rFonts w:ascii="Arial" w:hAnsi="Arial" w:cs="Arial"/>
                <w:sz w:val="22"/>
                <w:szCs w:val="22"/>
              </w:rPr>
              <w:t>ytoxan</w:t>
            </w:r>
            <w:proofErr w:type="spellEnd"/>
            <w:r w:rsidRPr="00A6203D">
              <w:rPr>
                <w:rFonts w:ascii="Arial" w:hAnsi="Arial" w:cs="Arial"/>
                <w:sz w:val="22"/>
                <w:szCs w:val="22"/>
              </w:rPr>
              <w:t>, gonadotropin-releasing hormone (GnRH) agonists and antagonists, tamoxifen (in premenopausal women), excess thyroid hormone, lithium, cyclosporine A, tacrolimus, glucocorticoids, thiazolidinediones, depo-medroxyprogesterone (premenopausal women) proton-pump inhibitors, selective serotonin reuptake inhibitors (SSRIs), tenofovir</w:t>
            </w:r>
          </w:p>
        </w:tc>
      </w:tr>
    </w:tbl>
    <w:p w14:paraId="2D20C7BF" w14:textId="77777777" w:rsidR="00146D4C" w:rsidRPr="00A6203D" w:rsidRDefault="00146D4C" w:rsidP="00CE7C7B">
      <w:pPr>
        <w:spacing w:line="276" w:lineRule="auto"/>
        <w:rPr>
          <w:rFonts w:ascii="Arial" w:hAnsi="Arial" w:cs="Arial"/>
          <w:sz w:val="22"/>
          <w:szCs w:val="22"/>
        </w:rPr>
      </w:pPr>
    </w:p>
    <w:p w14:paraId="0D24E34E" w14:textId="4B6642E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Laboratory evaluation may include the following: Calcium, phosphorus, liver function tests (including alkaline phosphatase), complete blood count, 25-hydroxyvitamin D, 24-hour urine calcium +/- PTH, TSH (if clinical evidence of hyperthyroidism or those already on thyroid hormone replacement), and serum testosterone in men. For select cases, one may consider sending specialized tests for gastrointestinal disorders (tissue transglutaminase with an IgA level for celiac sprue), infiltrative diseases (serum tryptase for </w:t>
      </w:r>
      <w:proofErr w:type="spellStart"/>
      <w:r w:rsidRPr="00A6203D">
        <w:rPr>
          <w:rFonts w:ascii="Arial" w:hAnsi="Arial" w:cs="Arial"/>
          <w:sz w:val="22"/>
          <w:szCs w:val="22"/>
        </w:rPr>
        <w:t>mastocytosis</w:t>
      </w:r>
      <w:proofErr w:type="spellEnd"/>
      <w:r w:rsidRPr="00A6203D">
        <w:rPr>
          <w:rFonts w:ascii="Arial" w:hAnsi="Arial" w:cs="Arial"/>
          <w:sz w:val="22"/>
          <w:szCs w:val="22"/>
        </w:rPr>
        <w:t>), neoplastic (serum and urine protein electrophoresis), or excess glucocorticoid (cortisol levels, dexamethasone suppression test for Cushing’s syndrome).</w:t>
      </w:r>
    </w:p>
    <w:p w14:paraId="39B88E48" w14:textId="77777777" w:rsidR="00146D4C" w:rsidRPr="00A6203D" w:rsidRDefault="00146D4C" w:rsidP="00CE7C7B">
      <w:pPr>
        <w:spacing w:line="276" w:lineRule="auto"/>
        <w:rPr>
          <w:rFonts w:ascii="Arial" w:hAnsi="Arial" w:cs="Arial"/>
          <w:sz w:val="22"/>
          <w:szCs w:val="22"/>
        </w:rPr>
      </w:pPr>
    </w:p>
    <w:p w14:paraId="5B30E137" w14:textId="33DA881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To quantify an individual’s absolute fracture risk, the World Health Organization (WHO) developed the FRAX</w:t>
      </w:r>
      <w:r w:rsidRPr="00A6203D">
        <w:rPr>
          <w:rFonts w:ascii="Arial" w:hAnsi="Arial" w:cs="Arial"/>
          <w:sz w:val="22"/>
          <w:szCs w:val="22"/>
          <w:vertAlign w:val="superscript"/>
        </w:rPr>
        <w:t>®</w:t>
      </w:r>
      <w:r w:rsidRPr="00A6203D">
        <w:rPr>
          <w:rFonts w:ascii="Arial" w:hAnsi="Arial" w:cs="Arial"/>
          <w:sz w:val="22"/>
          <w:szCs w:val="22"/>
        </w:rPr>
        <w:t> calculator (</w:t>
      </w:r>
      <w:hyperlink r:id="rId11" w:history="1">
        <w:r w:rsidRPr="00A6203D">
          <w:rPr>
            <w:rStyle w:val="Hyperlink"/>
            <w:rFonts w:ascii="Arial" w:hAnsi="Arial" w:cs="Arial"/>
            <w:sz w:val="22"/>
            <w:szCs w:val="22"/>
          </w:rPr>
          <w:t>http://www.shef.ac.uk/FRAX</w:t>
        </w:r>
      </w:hyperlink>
      <w:r w:rsidRPr="00A6203D">
        <w:rPr>
          <w:rFonts w:ascii="Arial" w:hAnsi="Arial" w:cs="Arial"/>
          <w:sz w:val="22"/>
          <w:szCs w:val="22"/>
        </w:rPr>
        <w:t xml:space="preserve">), an integrative measure of various risk factors and femoral neck bone mineral density. In addition to BMD, the following risk factors are included - ethnicity, age, BMI, prior fracture history (designated as a previous fracture in adult life that occurred spontaneously or a fracture arising from trauma, which in a healthy individual would not have resulted in a fracture), glucocorticoid use, excessive alcohol </w:t>
      </w:r>
      <w:r w:rsidRPr="00A6203D">
        <w:rPr>
          <w:rFonts w:ascii="Arial" w:hAnsi="Arial" w:cs="Arial"/>
          <w:sz w:val="22"/>
          <w:szCs w:val="22"/>
        </w:rPr>
        <w:lastRenderedPageBreak/>
        <w:t>(≥3 units per day), smoking, rheumatoid arthritis, and certain secondary causes of osteoporosis. These secondary causes include Type 1 diabetes, osteogenesis imperfecta, long-standing hyperthyroidism, hypogonadism, premature menopause, malnutrition, malabsorption</w:t>
      </w:r>
      <w:r w:rsidR="006535AE" w:rsidRPr="00A6203D">
        <w:rPr>
          <w:rFonts w:ascii="Arial" w:hAnsi="Arial" w:cs="Arial"/>
          <w:sz w:val="22"/>
          <w:szCs w:val="22"/>
        </w:rPr>
        <w:t>,</w:t>
      </w:r>
      <w:r w:rsidRPr="00A6203D">
        <w:rPr>
          <w:rFonts w:ascii="Arial" w:hAnsi="Arial" w:cs="Arial"/>
          <w:sz w:val="22"/>
          <w:szCs w:val="22"/>
        </w:rPr>
        <w:t xml:space="preserve"> or liver disease. If the 10-year absolute fracture risk is </w:t>
      </w:r>
      <w:r w:rsidRPr="00A6203D">
        <w:rPr>
          <w:rFonts w:ascii="Arial" w:hAnsi="Arial" w:cs="Arial"/>
          <w:b/>
          <w:bCs/>
          <w:sz w:val="22"/>
          <w:szCs w:val="22"/>
        </w:rPr>
        <w:t>≥3% for hip fractures or ≥20% for other major osteoporotic fractures</w:t>
      </w:r>
      <w:r w:rsidRPr="00A6203D">
        <w:rPr>
          <w:rFonts w:ascii="Arial" w:hAnsi="Arial" w:cs="Arial"/>
          <w:sz w:val="22"/>
          <w:szCs w:val="22"/>
        </w:rPr>
        <w:t>, pharmacologic therapy should be considered (</w:t>
      </w:r>
      <w:r w:rsidR="00E0579E" w:rsidRPr="00A6203D">
        <w:rPr>
          <w:rFonts w:ascii="Arial" w:hAnsi="Arial" w:cs="Arial"/>
          <w:sz w:val="22"/>
          <w:szCs w:val="22"/>
        </w:rPr>
        <w:t>7</w:t>
      </w:r>
      <w:r w:rsidRPr="00A6203D">
        <w:rPr>
          <w:rFonts w:ascii="Arial" w:hAnsi="Arial" w:cs="Arial"/>
          <w:sz w:val="22"/>
          <w:szCs w:val="22"/>
        </w:rPr>
        <w:t>). The FRAX</w:t>
      </w:r>
      <w:r w:rsidRPr="00A6203D">
        <w:rPr>
          <w:rFonts w:ascii="Arial" w:hAnsi="Arial" w:cs="Arial"/>
          <w:sz w:val="22"/>
          <w:szCs w:val="22"/>
          <w:vertAlign w:val="superscript"/>
        </w:rPr>
        <w:t>®</w:t>
      </w:r>
      <w:r w:rsidRPr="00A6203D">
        <w:rPr>
          <w:rFonts w:ascii="Arial" w:hAnsi="Arial" w:cs="Arial"/>
          <w:sz w:val="22"/>
          <w:szCs w:val="22"/>
        </w:rPr>
        <w:t> calculator should be utilized in postmenopausal woman ≥ 40 years and men ≥ 50 years with osteopenia. Although there are data analyzing the use of FRAX</w:t>
      </w:r>
      <w:r w:rsidRPr="00A6203D">
        <w:rPr>
          <w:rFonts w:ascii="Arial" w:hAnsi="Arial" w:cs="Arial"/>
          <w:sz w:val="22"/>
          <w:szCs w:val="22"/>
          <w:vertAlign w:val="superscript"/>
        </w:rPr>
        <w:t>®</w:t>
      </w:r>
      <w:r w:rsidRPr="00A6203D">
        <w:rPr>
          <w:rFonts w:ascii="Arial" w:hAnsi="Arial" w:cs="Arial"/>
          <w:sz w:val="22"/>
          <w:szCs w:val="22"/>
        </w:rPr>
        <w:t xml:space="preserve"> in patients who have been treated with osteoporosis medications, its use is not currently validated for patients currently or formerly treated with pharmacotherapy for osteoporosis. Additionally, the FDA has approved the use of trabecular bone score (TBS), a structural measure derived from spinal bone density images that is associated with bone microarchitecture and fracture risk. Combining TBS and the FRAX score </w:t>
      </w:r>
      <w:r w:rsidR="005C4C29" w:rsidRPr="00A6203D">
        <w:rPr>
          <w:rFonts w:ascii="Arial" w:hAnsi="Arial" w:cs="Arial"/>
          <w:sz w:val="22"/>
          <w:szCs w:val="22"/>
        </w:rPr>
        <w:t xml:space="preserve">may </w:t>
      </w:r>
      <w:proofErr w:type="spellStart"/>
      <w:r w:rsidRPr="00A6203D">
        <w:rPr>
          <w:rFonts w:ascii="Arial" w:hAnsi="Arial" w:cs="Arial"/>
          <w:sz w:val="22"/>
          <w:szCs w:val="22"/>
        </w:rPr>
        <w:t>increased</w:t>
      </w:r>
      <w:proofErr w:type="spellEnd"/>
      <w:r w:rsidRPr="00A6203D">
        <w:rPr>
          <w:rFonts w:ascii="Arial" w:hAnsi="Arial" w:cs="Arial"/>
          <w:sz w:val="22"/>
          <w:szCs w:val="22"/>
        </w:rPr>
        <w:t xml:space="preserve"> the predictive value of the absolute fracture risk assessment</w:t>
      </w:r>
      <w:r w:rsidR="005C4C29" w:rsidRPr="00A6203D">
        <w:rPr>
          <w:rFonts w:ascii="Arial" w:hAnsi="Arial" w:cs="Arial"/>
          <w:sz w:val="22"/>
          <w:szCs w:val="22"/>
        </w:rPr>
        <w:t xml:space="preserve"> (8)</w:t>
      </w:r>
      <w:r w:rsidRPr="00A6203D">
        <w:rPr>
          <w:rFonts w:ascii="Arial" w:hAnsi="Arial" w:cs="Arial"/>
          <w:sz w:val="22"/>
          <w:szCs w:val="22"/>
        </w:rPr>
        <w:t>.</w:t>
      </w:r>
    </w:p>
    <w:p w14:paraId="77125BD4" w14:textId="77777777" w:rsidR="00146D4C" w:rsidRPr="00A6203D" w:rsidRDefault="00146D4C" w:rsidP="00CE7C7B">
      <w:pPr>
        <w:spacing w:line="276" w:lineRule="auto"/>
        <w:rPr>
          <w:rFonts w:ascii="Arial" w:hAnsi="Arial" w:cs="Arial"/>
          <w:sz w:val="22"/>
          <w:szCs w:val="22"/>
        </w:rPr>
      </w:pPr>
    </w:p>
    <w:p w14:paraId="7D3CF42C" w14:textId="5A34182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Although the FRAX</w:t>
      </w:r>
      <w:r w:rsidRPr="00A6203D">
        <w:rPr>
          <w:rFonts w:ascii="Arial" w:hAnsi="Arial" w:cs="Arial"/>
          <w:sz w:val="22"/>
          <w:szCs w:val="22"/>
          <w:vertAlign w:val="superscript"/>
        </w:rPr>
        <w:t>®</w:t>
      </w:r>
      <w:r w:rsidRPr="00A6203D">
        <w:rPr>
          <w:rFonts w:ascii="Arial" w:hAnsi="Arial" w:cs="Arial"/>
          <w:sz w:val="22"/>
          <w:szCs w:val="22"/>
        </w:rPr>
        <w:t xml:space="preserve"> calculator has greatly enhanced treatment of </w:t>
      </w:r>
      <w:proofErr w:type="spellStart"/>
      <w:r w:rsidRPr="00A6203D">
        <w:rPr>
          <w:rFonts w:ascii="Arial" w:hAnsi="Arial" w:cs="Arial"/>
          <w:sz w:val="22"/>
          <w:szCs w:val="22"/>
        </w:rPr>
        <w:t>osteopenic</w:t>
      </w:r>
      <w:proofErr w:type="spellEnd"/>
      <w:r w:rsidRPr="00A6203D">
        <w:rPr>
          <w:rFonts w:ascii="Arial" w:hAnsi="Arial" w:cs="Arial"/>
          <w:sz w:val="22"/>
          <w:szCs w:val="22"/>
        </w:rPr>
        <w:t xml:space="preserve"> women and men at risk for fractures, certain risk factors predictive of fracture risk are not accurately measured in this calculator. Patients on chronic glucocorticoids may warrant treatment earlier or at a lower threshold than determined by FRAX</w:t>
      </w:r>
      <w:r w:rsidRPr="00A6203D">
        <w:rPr>
          <w:rFonts w:ascii="Arial" w:hAnsi="Arial" w:cs="Arial"/>
          <w:sz w:val="22"/>
          <w:szCs w:val="22"/>
          <w:vertAlign w:val="superscript"/>
        </w:rPr>
        <w:t>®</w:t>
      </w:r>
      <w:r w:rsidRPr="00A6203D">
        <w:rPr>
          <w:rFonts w:ascii="Arial" w:hAnsi="Arial" w:cs="Arial"/>
          <w:sz w:val="22"/>
          <w:szCs w:val="22"/>
        </w:rPr>
        <w:t>; further, this tool does not include current or cumulative glucocorticoid doses or duration of treatment (</w:t>
      </w:r>
      <w:hyperlink r:id="rId12" w:history="1">
        <w:r w:rsidRPr="00A6203D">
          <w:rPr>
            <w:rStyle w:val="Hyperlink"/>
            <w:rFonts w:ascii="Arial" w:hAnsi="Arial" w:cs="Arial"/>
            <w:sz w:val="22"/>
            <w:szCs w:val="22"/>
          </w:rPr>
          <w:t>9</w:t>
        </w:r>
      </w:hyperlink>
      <w:r w:rsidRPr="00A6203D">
        <w:rPr>
          <w:rFonts w:ascii="Arial" w:hAnsi="Arial" w:cs="Arial"/>
          <w:sz w:val="22"/>
          <w:szCs w:val="22"/>
        </w:rPr>
        <w:t>). Also, of note, spine BMD is not included in the algorithm. Once an initial bone density is measured, a follow-up BMD should be done 1-2 years after the initial screening depending on whether pharmacologic therapy was initiated. Biochemical bone turnover markers, collagen breakdown products, (e.g.</w:t>
      </w:r>
      <w:r w:rsidR="00146D4C" w:rsidRPr="00A6203D">
        <w:rPr>
          <w:rFonts w:ascii="Arial" w:hAnsi="Arial" w:cs="Arial"/>
          <w:sz w:val="22"/>
          <w:szCs w:val="22"/>
        </w:rPr>
        <w:t>,</w:t>
      </w:r>
      <w:r w:rsidRPr="00A6203D">
        <w:rPr>
          <w:rFonts w:ascii="Arial" w:hAnsi="Arial" w:cs="Arial"/>
          <w:sz w:val="22"/>
          <w:szCs w:val="22"/>
        </w:rPr>
        <w:t xml:space="preserve"> N-telopeptide, C-telopeptide) may be helpful in select patients as an indicator of skeletal remodeling or to determine patient’s adherence to treatment.</w:t>
      </w:r>
    </w:p>
    <w:p w14:paraId="0B69658C" w14:textId="77777777" w:rsidR="00146D4C" w:rsidRPr="00A6203D" w:rsidRDefault="00146D4C" w:rsidP="00CE7C7B">
      <w:pPr>
        <w:spacing w:line="276" w:lineRule="auto"/>
        <w:rPr>
          <w:rFonts w:ascii="Arial" w:hAnsi="Arial" w:cs="Arial"/>
          <w:b/>
          <w:bCs/>
          <w:sz w:val="22"/>
          <w:szCs w:val="22"/>
        </w:rPr>
      </w:pPr>
    </w:p>
    <w:p w14:paraId="3C7F5B37" w14:textId="1659BB0B"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EXERCISE</w:t>
      </w:r>
    </w:p>
    <w:p w14:paraId="17FF4675" w14:textId="77777777" w:rsidR="00146D4C" w:rsidRPr="00A6203D" w:rsidRDefault="00146D4C" w:rsidP="00CE7C7B">
      <w:pPr>
        <w:spacing w:line="276" w:lineRule="auto"/>
        <w:rPr>
          <w:rFonts w:ascii="Arial" w:hAnsi="Arial" w:cs="Arial"/>
          <w:sz w:val="22"/>
          <w:szCs w:val="22"/>
        </w:rPr>
      </w:pPr>
    </w:p>
    <w:p w14:paraId="7CDB1B5A" w14:textId="1B3D86C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While pharmacological therapies are a major focus of this chapter, exercise and strategies to strengthen muscles and prevent falls are important components of osteoporosis care. Skeletal loading and mechanical loads from muscle forces have important effects on bone strength (</w:t>
      </w:r>
      <w:hyperlink r:id="rId13" w:history="1">
        <w:r w:rsidRPr="00A6203D">
          <w:rPr>
            <w:rStyle w:val="Hyperlink"/>
            <w:rFonts w:ascii="Arial" w:hAnsi="Arial" w:cs="Arial"/>
            <w:color w:val="auto"/>
            <w:sz w:val="22"/>
            <w:szCs w:val="22"/>
            <w:u w:val="none"/>
          </w:rPr>
          <w:t>10</w:t>
        </w:r>
      </w:hyperlink>
      <w:r w:rsidRPr="00A6203D">
        <w:rPr>
          <w:rFonts w:ascii="Arial" w:hAnsi="Arial" w:cs="Arial"/>
          <w:sz w:val="22"/>
          <w:szCs w:val="22"/>
        </w:rPr>
        <w:t>). Meta-analyses and clinical investigations have shown that exercise produces modest increases in BMD often ranging between 1% and 3% (</w:t>
      </w:r>
      <w:hyperlink r:id="rId14" w:history="1">
        <w:r w:rsidRPr="00A6203D">
          <w:rPr>
            <w:rStyle w:val="Hyperlink"/>
            <w:rFonts w:ascii="Arial" w:hAnsi="Arial" w:cs="Arial"/>
            <w:color w:val="auto"/>
            <w:sz w:val="22"/>
            <w:szCs w:val="22"/>
            <w:u w:val="none"/>
          </w:rPr>
          <w:t>11</w:t>
        </w:r>
      </w:hyperlink>
      <w:r w:rsidRPr="00A6203D">
        <w:rPr>
          <w:rFonts w:ascii="Arial" w:hAnsi="Arial" w:cs="Arial"/>
          <w:sz w:val="22"/>
          <w:szCs w:val="22"/>
        </w:rPr>
        <w:t>). Physical activity helps to maximize BMD during adolescence and young adulthood, diminish bone loss during aging, and improve stability and strength to minimize falls and fractures in the elderly (</w:t>
      </w:r>
      <w:hyperlink r:id="rId15" w:history="1">
        <w:r w:rsidRPr="00A6203D">
          <w:rPr>
            <w:rStyle w:val="Hyperlink"/>
            <w:rFonts w:ascii="Arial" w:hAnsi="Arial" w:cs="Arial"/>
            <w:color w:val="auto"/>
            <w:sz w:val="22"/>
            <w:szCs w:val="22"/>
            <w:u w:val="none"/>
          </w:rPr>
          <w:t>11-14</w:t>
        </w:r>
      </w:hyperlink>
      <w:r w:rsidRPr="00A6203D">
        <w:rPr>
          <w:rFonts w:ascii="Arial" w:hAnsi="Arial" w:cs="Arial"/>
          <w:sz w:val="22"/>
          <w:szCs w:val="22"/>
        </w:rPr>
        <w:t>). However, these benefits come from slow skeletal adaptations to training over time. Because it takes three to four months to complete the bone remodeling cycle of bone resorption, formation, and mineralization, a minimum of at least six to eight months of an exercise intervention is likely required to achieve a change in bone mass that is quantifiable (</w:t>
      </w:r>
      <w:hyperlink r:id="rId16" w:history="1">
        <w:r w:rsidRPr="00A6203D">
          <w:rPr>
            <w:rStyle w:val="Hyperlink"/>
            <w:rFonts w:ascii="Arial" w:hAnsi="Arial" w:cs="Arial"/>
            <w:color w:val="auto"/>
            <w:sz w:val="22"/>
            <w:szCs w:val="22"/>
            <w:u w:val="none"/>
          </w:rPr>
          <w:t>15</w:t>
        </w:r>
      </w:hyperlink>
      <w:r w:rsidRPr="00A6203D">
        <w:rPr>
          <w:rFonts w:ascii="Arial" w:hAnsi="Arial" w:cs="Arial"/>
          <w:sz w:val="22"/>
          <w:szCs w:val="22"/>
        </w:rPr>
        <w:t>,</w:t>
      </w:r>
      <w:hyperlink r:id="rId17" w:history="1">
        <w:r w:rsidRPr="00A6203D">
          <w:rPr>
            <w:rStyle w:val="Hyperlink"/>
            <w:rFonts w:ascii="Arial" w:hAnsi="Arial" w:cs="Arial"/>
            <w:color w:val="auto"/>
            <w:sz w:val="22"/>
            <w:szCs w:val="22"/>
            <w:u w:val="none"/>
          </w:rPr>
          <w:t>16</w:t>
        </w:r>
      </w:hyperlink>
      <w:r w:rsidRPr="00A6203D">
        <w:rPr>
          <w:rFonts w:ascii="Arial" w:hAnsi="Arial" w:cs="Arial"/>
          <w:sz w:val="22"/>
          <w:szCs w:val="22"/>
        </w:rPr>
        <w:t xml:space="preserve">). The benefits of exercise are lost when people stop exercising, therefore lifelong physical activity at all ages is strongly endorsed by the </w:t>
      </w:r>
      <w:r w:rsidR="008069E3" w:rsidRPr="00A6203D">
        <w:rPr>
          <w:rFonts w:ascii="Arial" w:hAnsi="Arial" w:cs="Arial"/>
          <w:sz w:val="22"/>
          <w:szCs w:val="22"/>
        </w:rPr>
        <w:t>BHOF</w:t>
      </w:r>
      <w:r w:rsidR="00BC32FF" w:rsidRPr="00A6203D">
        <w:rPr>
          <w:rFonts w:ascii="Arial" w:hAnsi="Arial" w:cs="Arial"/>
          <w:sz w:val="22"/>
          <w:szCs w:val="22"/>
        </w:rPr>
        <w:t>.</w:t>
      </w:r>
      <w:r w:rsidR="008069E3" w:rsidRPr="00A6203D">
        <w:rPr>
          <w:rFonts w:ascii="Arial" w:hAnsi="Arial" w:cs="Arial"/>
          <w:sz w:val="22"/>
          <w:szCs w:val="22"/>
        </w:rPr>
        <w:t xml:space="preserve"> </w:t>
      </w:r>
      <w:r w:rsidRPr="00A6203D">
        <w:rPr>
          <w:rFonts w:ascii="Arial" w:hAnsi="Arial" w:cs="Arial"/>
          <w:sz w:val="22"/>
          <w:szCs w:val="22"/>
        </w:rPr>
        <w:t>Exercise recommendations generally should include weight-bearing, muscle-strengthening, and balance training exercises for 30 minutes 5 days per week or 75 minutes twice weekly, often consistent with other general health recommendations. Weight-bearing exercises are activities that make the body move against gravity such as walking, jogging, dancing, tennis, and Tai Chi. To protect the spine in patients with low spinal bone density, maintaining a straight spine and avoiding arching and twisting are generally recommended.</w:t>
      </w:r>
    </w:p>
    <w:p w14:paraId="754850B8" w14:textId="77777777" w:rsidR="00146D4C" w:rsidRPr="00A6203D" w:rsidRDefault="00146D4C" w:rsidP="00CE7C7B">
      <w:pPr>
        <w:spacing w:line="276" w:lineRule="auto"/>
        <w:rPr>
          <w:rFonts w:ascii="Arial" w:hAnsi="Arial" w:cs="Arial"/>
          <w:b/>
          <w:bCs/>
          <w:sz w:val="22"/>
          <w:szCs w:val="22"/>
        </w:rPr>
      </w:pPr>
    </w:p>
    <w:p w14:paraId="5227C88F" w14:textId="7CD793A6"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CALCIUM</w:t>
      </w:r>
    </w:p>
    <w:p w14:paraId="28384C50" w14:textId="77777777" w:rsidR="00146D4C" w:rsidRPr="00A6203D" w:rsidRDefault="00146D4C" w:rsidP="00CE7C7B">
      <w:pPr>
        <w:spacing w:line="276" w:lineRule="auto"/>
        <w:rPr>
          <w:rFonts w:ascii="Arial" w:hAnsi="Arial" w:cs="Arial"/>
          <w:sz w:val="22"/>
          <w:szCs w:val="22"/>
        </w:rPr>
      </w:pPr>
    </w:p>
    <w:p w14:paraId="5B45FE9F" w14:textId="724DA823"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Adequate calcium intake is essential to prevent calcium mobilization from the bone where 99% of calcium is stored. The effects of calcium supplementation on bone depend on age, menopausal status, calcium intake, and vitamin D sufficiency. Increased calcium intake is necessary during acquisition of peak bone mass and with advancing age. Calcium has modest effects on bone density (</w:t>
      </w:r>
      <w:hyperlink r:id="rId18" w:history="1">
        <w:r w:rsidRPr="00A6203D">
          <w:rPr>
            <w:rStyle w:val="Hyperlink"/>
            <w:rFonts w:ascii="Arial" w:hAnsi="Arial" w:cs="Arial"/>
            <w:color w:val="auto"/>
            <w:sz w:val="22"/>
            <w:szCs w:val="22"/>
            <w:u w:val="none"/>
          </w:rPr>
          <w:t>17</w:t>
        </w:r>
      </w:hyperlink>
      <w:r w:rsidRPr="00A6203D">
        <w:rPr>
          <w:rFonts w:ascii="Arial" w:hAnsi="Arial" w:cs="Arial"/>
          <w:sz w:val="22"/>
          <w:szCs w:val="22"/>
        </w:rPr>
        <w:t>). It is ineffective or minimally effective for prevention of bone loss in women within five years of menopause when there may be predominant effects of estrogen deficiency and other hormonal changes.</w:t>
      </w:r>
    </w:p>
    <w:p w14:paraId="7A856261" w14:textId="77777777" w:rsidR="00146D4C" w:rsidRPr="00A6203D" w:rsidRDefault="00146D4C" w:rsidP="00CE7C7B">
      <w:pPr>
        <w:spacing w:line="276" w:lineRule="auto"/>
        <w:rPr>
          <w:rFonts w:ascii="Arial" w:hAnsi="Arial" w:cs="Arial"/>
          <w:sz w:val="22"/>
          <w:szCs w:val="22"/>
        </w:rPr>
      </w:pPr>
    </w:p>
    <w:p w14:paraId="27461073" w14:textId="12D46DC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Institute of Medicine's recommendations for daily calcium intake that meet the requirements of 97% of the population are shown in </w:t>
      </w:r>
      <w:hyperlink r:id="rId19" w:tgtFrame="object" w:history="1">
        <w:r w:rsidRPr="00A6203D">
          <w:rPr>
            <w:rStyle w:val="Hyperlink"/>
            <w:rFonts w:ascii="Arial" w:hAnsi="Arial" w:cs="Arial"/>
            <w:color w:val="auto"/>
            <w:sz w:val="22"/>
            <w:szCs w:val="22"/>
            <w:u w:val="none"/>
          </w:rPr>
          <w:t>Table 2</w:t>
        </w:r>
      </w:hyperlink>
      <w:r w:rsidRPr="00A6203D">
        <w:rPr>
          <w:rFonts w:ascii="Arial" w:hAnsi="Arial" w:cs="Arial"/>
          <w:sz w:val="22"/>
          <w:szCs w:val="22"/>
        </w:rPr>
        <w:t> (</w:t>
      </w:r>
      <w:hyperlink r:id="rId20" w:history="1">
        <w:r w:rsidRPr="00A6203D">
          <w:rPr>
            <w:rStyle w:val="Hyperlink"/>
            <w:rFonts w:ascii="Arial" w:hAnsi="Arial" w:cs="Arial"/>
            <w:color w:val="auto"/>
            <w:sz w:val="22"/>
            <w:szCs w:val="22"/>
            <w:u w:val="none"/>
          </w:rPr>
          <w:t>18</w:t>
        </w:r>
      </w:hyperlink>
      <w:r w:rsidRPr="00A6203D">
        <w:rPr>
          <w:rFonts w:ascii="Arial" w:hAnsi="Arial" w:cs="Arial"/>
          <w:sz w:val="22"/>
          <w:szCs w:val="22"/>
        </w:rPr>
        <w:t>). Unless a patient has an underlying disorder of calcium homeostasis, the upper limit of safety is considered 2,500 mg for adults aged 19 to 50 years and 2,000 mg for those &gt;50 years (</w:t>
      </w:r>
      <w:hyperlink r:id="rId21" w:history="1">
        <w:r w:rsidRPr="00A6203D">
          <w:rPr>
            <w:rStyle w:val="Hyperlink"/>
            <w:rFonts w:ascii="Arial" w:hAnsi="Arial" w:cs="Arial"/>
            <w:color w:val="auto"/>
            <w:sz w:val="22"/>
            <w:szCs w:val="22"/>
            <w:u w:val="none"/>
          </w:rPr>
          <w:t>19</w:t>
        </w:r>
      </w:hyperlink>
      <w:r w:rsidRPr="00A6203D">
        <w:rPr>
          <w:rFonts w:ascii="Arial" w:hAnsi="Arial" w:cs="Arial"/>
          <w:sz w:val="22"/>
          <w:szCs w:val="22"/>
        </w:rPr>
        <w:t>). As maximum absorption of elemental calcium is about 500 to 600 mg at once, calcium intakes need to be divided into multiple doses throughout the day.</w:t>
      </w:r>
    </w:p>
    <w:p w14:paraId="6A64C2B1" w14:textId="327CDBA4" w:rsidR="005E6870" w:rsidRPr="00A6203D" w:rsidRDefault="005E6870" w:rsidP="00CE7C7B">
      <w:pPr>
        <w:spacing w:line="276" w:lineRule="auto"/>
        <w:rPr>
          <w:rFonts w:ascii="Arial" w:hAnsi="Arial" w:cs="Arial"/>
          <w:b/>
          <w:bCs/>
          <w:sz w:val="22"/>
          <w:szCs w:val="22"/>
        </w:rPr>
      </w:pPr>
    </w:p>
    <w:tbl>
      <w:tblPr>
        <w:tblStyle w:val="TableGrid"/>
        <w:tblW w:w="9625" w:type="dxa"/>
        <w:tblLook w:val="04A0" w:firstRow="1" w:lastRow="0" w:firstColumn="1" w:lastColumn="0" w:noHBand="0" w:noVBand="1"/>
      </w:tblPr>
      <w:tblGrid>
        <w:gridCol w:w="6041"/>
        <w:gridCol w:w="3584"/>
      </w:tblGrid>
      <w:tr w:rsidR="00146D4C" w:rsidRPr="00A6203D" w14:paraId="7A6BB916" w14:textId="77777777" w:rsidTr="00146D4C">
        <w:tc>
          <w:tcPr>
            <w:tcW w:w="9625" w:type="dxa"/>
            <w:gridSpan w:val="2"/>
            <w:shd w:val="clear" w:color="auto" w:fill="FFFF00"/>
          </w:tcPr>
          <w:p w14:paraId="04F3074D" w14:textId="3E500DB4" w:rsidR="00146D4C" w:rsidRPr="00A6203D" w:rsidRDefault="00146D4C" w:rsidP="00146D4C">
            <w:pPr>
              <w:spacing w:line="276" w:lineRule="auto"/>
              <w:rPr>
                <w:rFonts w:ascii="Arial" w:hAnsi="Arial" w:cs="Arial"/>
                <w:b/>
                <w:bCs/>
                <w:sz w:val="22"/>
                <w:szCs w:val="22"/>
              </w:rPr>
            </w:pPr>
            <w:r w:rsidRPr="00A6203D">
              <w:rPr>
                <w:rFonts w:ascii="Arial" w:hAnsi="Arial" w:cs="Arial"/>
                <w:b/>
                <w:bCs/>
                <w:sz w:val="22"/>
                <w:szCs w:val="22"/>
              </w:rPr>
              <w:t>Table 2. Recommended Daily Elemental Calcium Intake (Adapted from 2011 IOM Report)</w:t>
            </w:r>
          </w:p>
        </w:tc>
      </w:tr>
      <w:tr w:rsidR="005E6870" w:rsidRPr="00A6203D" w14:paraId="267A318E" w14:textId="77777777" w:rsidTr="00146D4C">
        <w:tc>
          <w:tcPr>
            <w:tcW w:w="0" w:type="auto"/>
            <w:hideMark/>
          </w:tcPr>
          <w:p w14:paraId="368DEBAD"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9-18 years </w:t>
            </w:r>
            <w:r w:rsidRPr="00A6203D">
              <w:rPr>
                <w:rFonts w:ascii="Arial" w:hAnsi="Arial" w:cs="Arial"/>
                <w:sz w:val="22"/>
                <w:szCs w:val="22"/>
              </w:rPr>
              <w:br/>
              <w:t>Lactating Women</w:t>
            </w:r>
          </w:p>
        </w:tc>
        <w:tc>
          <w:tcPr>
            <w:tcW w:w="2355" w:type="dxa"/>
            <w:hideMark/>
          </w:tcPr>
          <w:p w14:paraId="7D970A7C"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1,300 mg</w:t>
            </w:r>
          </w:p>
        </w:tc>
      </w:tr>
      <w:tr w:rsidR="005E6870" w:rsidRPr="00A6203D" w14:paraId="0F18EA55" w14:textId="77777777" w:rsidTr="00146D4C">
        <w:tc>
          <w:tcPr>
            <w:tcW w:w="0" w:type="auto"/>
            <w:hideMark/>
          </w:tcPr>
          <w:p w14:paraId="38CBEDD4"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Women 19-50 years, Men 19-70 years</w:t>
            </w:r>
          </w:p>
        </w:tc>
        <w:tc>
          <w:tcPr>
            <w:tcW w:w="2355" w:type="dxa"/>
            <w:hideMark/>
          </w:tcPr>
          <w:p w14:paraId="026F9E4F"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1,000 mg</w:t>
            </w:r>
          </w:p>
        </w:tc>
      </w:tr>
      <w:tr w:rsidR="005E6870" w:rsidRPr="00A6203D" w14:paraId="30961CF6" w14:textId="77777777" w:rsidTr="00146D4C">
        <w:tc>
          <w:tcPr>
            <w:tcW w:w="0" w:type="auto"/>
            <w:hideMark/>
          </w:tcPr>
          <w:p w14:paraId="49E28A1C"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Women &gt; 50 years, Men &gt; 70 years</w:t>
            </w:r>
          </w:p>
        </w:tc>
        <w:tc>
          <w:tcPr>
            <w:tcW w:w="2355" w:type="dxa"/>
            <w:hideMark/>
          </w:tcPr>
          <w:p w14:paraId="12D92CBD"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1,200 mg</w:t>
            </w:r>
          </w:p>
        </w:tc>
      </w:tr>
    </w:tbl>
    <w:p w14:paraId="5637A466" w14:textId="77777777" w:rsidR="00146D4C" w:rsidRPr="00A6203D" w:rsidRDefault="00146D4C" w:rsidP="00CE7C7B">
      <w:pPr>
        <w:spacing w:line="276" w:lineRule="auto"/>
        <w:rPr>
          <w:rFonts w:ascii="Arial" w:hAnsi="Arial" w:cs="Arial"/>
          <w:sz w:val="22"/>
          <w:szCs w:val="22"/>
        </w:rPr>
      </w:pPr>
    </w:p>
    <w:p w14:paraId="09E1DC17" w14:textId="101AAA61"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Obtaining calcium through the diet is preferred. While dairy products contain the largest amount of endogenous calcium, many foods including juices, cereals, and cereal bars, may contain added calcium. An 8-ounce glass of milk or calcium-supplemented orange juice contains ~300 mg of elemental calcium, calcium-supplemented soy and almond milk contains ~450 mg, one ounce (or 1 cubic inch) of cheese contains ~200 mg, and certain cereals contain as much as 1000 mg. It is important for physicians to calculate the dietary calcium intake. Resources helpful for patients to calculate their calcium intake include the U.S. dairy council of California website, </w:t>
      </w:r>
      <w:hyperlink r:id="rId22" w:history="1">
        <w:r w:rsidRPr="00A6203D">
          <w:rPr>
            <w:rStyle w:val="Hyperlink"/>
            <w:rFonts w:ascii="Arial" w:hAnsi="Arial" w:cs="Arial"/>
            <w:sz w:val="22"/>
            <w:szCs w:val="22"/>
          </w:rPr>
          <w:t>http://www.healthyeating.org/Healthy-Eating/Healthy-Eating-Tools/Calcium-Quiz.aspx?action=quiz</w:t>
        </w:r>
      </w:hyperlink>
      <w:r w:rsidRPr="00A6203D">
        <w:rPr>
          <w:rFonts w:ascii="Arial" w:hAnsi="Arial" w:cs="Arial"/>
          <w:sz w:val="22"/>
          <w:szCs w:val="22"/>
        </w:rPr>
        <w:t>, the International Osteoporosis Foundation website, </w:t>
      </w:r>
      <w:hyperlink r:id="rId23" w:history="1">
        <w:r w:rsidRPr="00A6203D">
          <w:rPr>
            <w:rStyle w:val="Hyperlink"/>
            <w:rFonts w:ascii="Arial" w:hAnsi="Arial" w:cs="Arial"/>
            <w:sz w:val="22"/>
            <w:szCs w:val="22"/>
          </w:rPr>
          <w:t>https://www.iofbonehealth.org/calcium-calculator</w:t>
        </w:r>
      </w:hyperlink>
      <w:r w:rsidRPr="00A6203D">
        <w:rPr>
          <w:rFonts w:ascii="Arial" w:hAnsi="Arial" w:cs="Arial"/>
          <w:sz w:val="22"/>
          <w:szCs w:val="22"/>
        </w:rPr>
        <w:t>, and the NOF Clinical Guide also available on the website</w:t>
      </w:r>
      <w:r w:rsidR="008069E3" w:rsidRPr="00A6203D">
        <w:rPr>
          <w:rFonts w:ascii="Arial" w:hAnsi="Arial" w:cs="Arial"/>
          <w:sz w:val="22"/>
          <w:szCs w:val="22"/>
        </w:rPr>
        <w:t xml:space="preserve"> https://link.springer.com/article/10.1007/s00198-021-05900-y </w:t>
      </w:r>
      <w:r w:rsidRPr="00A6203D">
        <w:rPr>
          <w:rFonts w:ascii="Arial" w:hAnsi="Arial" w:cs="Arial"/>
          <w:sz w:val="22"/>
          <w:szCs w:val="22"/>
        </w:rPr>
        <w:t>(</w:t>
      </w:r>
      <w:r w:rsidR="003C3E9A" w:rsidRPr="00A6203D">
        <w:rPr>
          <w:rFonts w:ascii="Arial" w:hAnsi="Arial" w:cs="Arial"/>
          <w:sz w:val="22"/>
          <w:szCs w:val="22"/>
        </w:rPr>
        <w:t>7</w:t>
      </w:r>
      <w:r w:rsidRPr="00A6203D">
        <w:rPr>
          <w:rFonts w:ascii="Arial" w:hAnsi="Arial" w:cs="Arial"/>
          <w:sz w:val="22"/>
          <w:szCs w:val="22"/>
        </w:rPr>
        <w:t>)</w:t>
      </w:r>
      <w:r w:rsidR="008A3059" w:rsidRPr="00A6203D">
        <w:rPr>
          <w:rFonts w:ascii="Arial" w:hAnsi="Arial" w:cs="Arial"/>
          <w:sz w:val="22"/>
          <w:szCs w:val="22"/>
        </w:rPr>
        <w:t>.</w:t>
      </w:r>
      <w:r w:rsidRPr="00A6203D">
        <w:rPr>
          <w:rFonts w:ascii="Arial" w:hAnsi="Arial" w:cs="Arial"/>
          <w:sz w:val="22"/>
          <w:szCs w:val="22"/>
        </w:rPr>
        <w:t xml:space="preserve"> The former allows patients to check off the type and quantity of calcium-containing foods they usually consume and then calculates total daily calcium, with suggestions on how to increase calcium intake to recommended levels. The latter provides an easy tool to calculate calcium intakes from calcium-rich, dietary sources.</w:t>
      </w:r>
    </w:p>
    <w:p w14:paraId="39336DBB" w14:textId="77777777" w:rsidR="00146D4C" w:rsidRPr="00A6203D" w:rsidRDefault="00146D4C" w:rsidP="00CE7C7B">
      <w:pPr>
        <w:spacing w:line="276" w:lineRule="auto"/>
        <w:rPr>
          <w:rFonts w:ascii="Arial" w:hAnsi="Arial" w:cs="Arial"/>
          <w:sz w:val="22"/>
          <w:szCs w:val="22"/>
        </w:rPr>
      </w:pPr>
    </w:p>
    <w:p w14:paraId="38C52636" w14:textId="38E140DD"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Supplemental calcium should be used if an individual’s dietary calcium intake does not meet the recommended daily calcium intake. Calcium carbonate contains 40% of elemental calcium and is a commonly used calcium supplement (e.g.</w:t>
      </w:r>
      <w:r w:rsidR="00DC266C" w:rsidRPr="00A6203D">
        <w:rPr>
          <w:rFonts w:ascii="Arial" w:hAnsi="Arial" w:cs="Arial"/>
          <w:sz w:val="22"/>
          <w:szCs w:val="22"/>
        </w:rPr>
        <w:t>,</w:t>
      </w:r>
      <w:r w:rsidRPr="00A6203D">
        <w:rPr>
          <w:rFonts w:ascii="Arial" w:hAnsi="Arial" w:cs="Arial"/>
          <w:sz w:val="22"/>
          <w:szCs w:val="22"/>
        </w:rPr>
        <w:t xml:space="preserve"> Tums™, Oscal™, Caltrate™, and generic preparations). Calcium carbonate should be taken with food because patients with achlorhydria </w:t>
      </w:r>
      <w:r w:rsidRPr="00A6203D">
        <w:rPr>
          <w:rFonts w:ascii="Arial" w:hAnsi="Arial" w:cs="Arial"/>
          <w:sz w:val="22"/>
          <w:szCs w:val="22"/>
        </w:rPr>
        <w:lastRenderedPageBreak/>
        <w:t>(or those on proton pump inhibitors chronically) cannot absorb this calcium salt well on an empty stomach (</w:t>
      </w:r>
      <w:hyperlink r:id="rId24" w:history="1">
        <w:r w:rsidRPr="00A6203D">
          <w:rPr>
            <w:rStyle w:val="Hyperlink"/>
            <w:rFonts w:ascii="Arial" w:hAnsi="Arial" w:cs="Arial"/>
            <w:color w:val="auto"/>
            <w:sz w:val="22"/>
            <w:szCs w:val="22"/>
            <w:u w:val="none"/>
          </w:rPr>
          <w:t>20</w:t>
        </w:r>
      </w:hyperlink>
      <w:r w:rsidRPr="00A6203D">
        <w:rPr>
          <w:rFonts w:ascii="Arial" w:hAnsi="Arial" w:cs="Arial"/>
          <w:sz w:val="22"/>
          <w:szCs w:val="22"/>
        </w:rPr>
        <w:t>). Adverse effects of calcium carbonate may include bloating and constipation. Calcium citrate (e.g.</w:t>
      </w:r>
      <w:r w:rsidR="00DC266C" w:rsidRPr="00A6203D">
        <w:rPr>
          <w:rFonts w:ascii="Arial" w:hAnsi="Arial" w:cs="Arial"/>
          <w:sz w:val="22"/>
          <w:szCs w:val="22"/>
        </w:rPr>
        <w:t>,</w:t>
      </w:r>
      <w:r w:rsidRPr="00A6203D">
        <w:rPr>
          <w:rFonts w:ascii="Arial" w:hAnsi="Arial" w:cs="Arial"/>
          <w:sz w:val="22"/>
          <w:szCs w:val="22"/>
        </w:rPr>
        <w:t xml:space="preserve"> </w:t>
      </w:r>
      <w:proofErr w:type="spellStart"/>
      <w:r w:rsidRPr="00A6203D">
        <w:rPr>
          <w:rFonts w:ascii="Arial" w:hAnsi="Arial" w:cs="Arial"/>
          <w:sz w:val="22"/>
          <w:szCs w:val="22"/>
        </w:rPr>
        <w:t>Citracal</w:t>
      </w:r>
      <w:proofErr w:type="spellEnd"/>
      <w:r w:rsidRPr="00A6203D">
        <w:rPr>
          <w:rFonts w:ascii="Arial" w:hAnsi="Arial" w:cs="Arial"/>
          <w:sz w:val="22"/>
          <w:szCs w:val="22"/>
        </w:rPr>
        <w:t>™), which contains 24% elemental calcium, is more bioavailable than calcium carbonate, can be taken while fasting and as a result is the formulation suggested when patients are on proton pump inhibitors chronically.</w:t>
      </w:r>
    </w:p>
    <w:p w14:paraId="34823487" w14:textId="77777777" w:rsidR="00DC266C" w:rsidRPr="00A6203D" w:rsidRDefault="00DC266C" w:rsidP="00CE7C7B">
      <w:pPr>
        <w:spacing w:line="276" w:lineRule="auto"/>
        <w:rPr>
          <w:rFonts w:ascii="Arial" w:hAnsi="Arial" w:cs="Arial"/>
          <w:sz w:val="22"/>
          <w:szCs w:val="22"/>
        </w:rPr>
      </w:pPr>
    </w:p>
    <w:p w14:paraId="7E57C6DF"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There have been a number of concerns related to the use of supplemental calcium and the risk of kidney stones and cardiovascular disease. Data from epidemiologic research and clinical trials suggest that vitamin D reduces the incidence of fractures and may also prevent falls and declining physical function, yet the available data are not consistent (</w:t>
      </w:r>
      <w:hyperlink r:id="rId25" w:history="1">
        <w:r w:rsidRPr="00A6203D">
          <w:rPr>
            <w:rStyle w:val="Hyperlink"/>
            <w:rFonts w:ascii="Arial" w:hAnsi="Arial" w:cs="Arial"/>
            <w:color w:val="auto"/>
            <w:sz w:val="22"/>
            <w:szCs w:val="22"/>
            <w:u w:val="none"/>
          </w:rPr>
          <w:t>21</w:t>
        </w:r>
      </w:hyperlink>
      <w:r w:rsidRPr="00A6203D">
        <w:rPr>
          <w:rFonts w:ascii="Arial" w:hAnsi="Arial" w:cs="Arial"/>
          <w:sz w:val="22"/>
          <w:szCs w:val="22"/>
        </w:rPr>
        <w:t>). Data from the Women’s Health Initiative (WHI) calcium and vitamin D clinical trial (CT) of supplemental calcium (1000 mg daily) plus vitamin D (400 IU daily) versus placebo in 36,282 women showed a 17% increased risk of developing renal stones in those assigned calcium plus vitamin D. However, among those compliant with the calcium plus vitamin D regimen versus placebo, there was a 29% reduced risk of hip fracture over seven years (</w:t>
      </w:r>
      <w:hyperlink r:id="rId26" w:history="1">
        <w:r w:rsidRPr="00A6203D">
          <w:rPr>
            <w:rStyle w:val="Hyperlink"/>
            <w:rFonts w:ascii="Arial" w:hAnsi="Arial" w:cs="Arial"/>
            <w:color w:val="auto"/>
            <w:sz w:val="22"/>
            <w:szCs w:val="22"/>
            <w:u w:val="none"/>
          </w:rPr>
          <w:t>22</w:t>
        </w:r>
      </w:hyperlink>
      <w:r w:rsidRPr="00A6203D">
        <w:rPr>
          <w:rFonts w:ascii="Arial" w:hAnsi="Arial" w:cs="Arial"/>
          <w:sz w:val="22"/>
          <w:szCs w:val="22"/>
        </w:rPr>
        <w:t>). Some evidence suggests that calcium supplements but generally not dietary calcium may be associated with vascular calcifications and an increased risk for myocardial infarction (</w:t>
      </w:r>
      <w:hyperlink r:id="rId27" w:history="1">
        <w:r w:rsidRPr="00A6203D">
          <w:rPr>
            <w:rStyle w:val="Hyperlink"/>
            <w:rFonts w:ascii="Arial" w:hAnsi="Arial" w:cs="Arial"/>
            <w:color w:val="auto"/>
            <w:sz w:val="22"/>
            <w:szCs w:val="22"/>
            <w:u w:val="none"/>
          </w:rPr>
          <w:t>23</w:t>
        </w:r>
      </w:hyperlink>
      <w:r w:rsidRPr="00A6203D">
        <w:rPr>
          <w:rFonts w:ascii="Arial" w:hAnsi="Arial" w:cs="Arial"/>
          <w:sz w:val="22"/>
          <w:szCs w:val="22"/>
        </w:rPr>
        <w:t>). In a prospective study in the National Institutes of Health AARP Diet and Health Study of 388,229 women and men in whom baseline calcium intakes were ascertained after an average of 12 years of follow-up, supplemental but not dietary calcium intakes were associated with excess cardiovascular death in men but not women; adverse cardiovascular effects were only observed among smokers (</w:t>
      </w:r>
      <w:hyperlink r:id="rId28" w:history="1">
        <w:r w:rsidRPr="00A6203D">
          <w:rPr>
            <w:rStyle w:val="Hyperlink"/>
            <w:rFonts w:ascii="Arial" w:hAnsi="Arial" w:cs="Arial"/>
            <w:color w:val="auto"/>
            <w:sz w:val="22"/>
            <w:szCs w:val="22"/>
            <w:u w:val="none"/>
          </w:rPr>
          <w:t>23</w:t>
        </w:r>
      </w:hyperlink>
      <w:r w:rsidRPr="00A6203D">
        <w:rPr>
          <w:rFonts w:ascii="Arial" w:hAnsi="Arial" w:cs="Arial"/>
          <w:sz w:val="22"/>
          <w:szCs w:val="22"/>
        </w:rPr>
        <w:t>) (</w:t>
      </w:r>
      <w:hyperlink r:id="rId29" w:history="1">
        <w:r w:rsidRPr="00A6203D">
          <w:rPr>
            <w:rStyle w:val="Hyperlink"/>
            <w:rFonts w:ascii="Arial" w:hAnsi="Arial" w:cs="Arial"/>
            <w:color w:val="auto"/>
            <w:sz w:val="22"/>
            <w:szCs w:val="22"/>
            <w:u w:val="none"/>
          </w:rPr>
          <w:t>24</w:t>
        </w:r>
      </w:hyperlink>
      <w:r w:rsidRPr="00A6203D">
        <w:rPr>
          <w:rFonts w:ascii="Arial" w:hAnsi="Arial" w:cs="Arial"/>
          <w:sz w:val="22"/>
          <w:szCs w:val="22"/>
        </w:rPr>
        <w:t>). An analysis of the WHI randomized placebo-controlled calcium and vitamin D trial (CT) and the WHI prospective observational study (OS) showed that in the CT, in postmenopausal women who did not take supplemental calcium and vitamin D at baseline, supplemental calcium (1000 mg/day) and vitamin D (400 IU/D) versus placebo for ≥ 5years was associated with a 38% reduction in the risk of hip fracture. In a combined analysis of data from the CT and OS, supplemental calcium and vitamin D reduced the risk of a hip fracture by 35%. In these subset analyses of the large WHI, it is important to note that there were no adverse effects of supplemental calcium plus vitamin D on risks of myocardial infarction, stroke, or other cardiovascular disease (</w:t>
      </w:r>
      <w:hyperlink r:id="rId30" w:history="1">
        <w:r w:rsidRPr="00A6203D">
          <w:rPr>
            <w:rStyle w:val="Hyperlink"/>
            <w:rFonts w:ascii="Arial" w:hAnsi="Arial" w:cs="Arial"/>
            <w:color w:val="auto"/>
            <w:sz w:val="22"/>
            <w:szCs w:val="22"/>
            <w:u w:val="none"/>
          </w:rPr>
          <w:t>25</w:t>
        </w:r>
      </w:hyperlink>
      <w:r w:rsidRPr="00A6203D">
        <w:rPr>
          <w:rFonts w:ascii="Arial" w:hAnsi="Arial" w:cs="Arial"/>
          <w:sz w:val="22"/>
          <w:szCs w:val="22"/>
        </w:rPr>
        <w:t>). Although additional analyses are ongoing, calcium intakes within the ranges recommended by the IOM appear not to increase cardiovascular risk.</w:t>
      </w:r>
    </w:p>
    <w:p w14:paraId="062E6340" w14:textId="77777777" w:rsidR="00DC266C" w:rsidRPr="00A6203D" w:rsidRDefault="00DC266C" w:rsidP="00CE7C7B">
      <w:pPr>
        <w:spacing w:line="276" w:lineRule="auto"/>
        <w:rPr>
          <w:rFonts w:ascii="Arial" w:hAnsi="Arial" w:cs="Arial"/>
          <w:sz w:val="22"/>
          <w:szCs w:val="22"/>
        </w:rPr>
      </w:pPr>
    </w:p>
    <w:p w14:paraId="78722720" w14:textId="0225FB82" w:rsidR="007163FB" w:rsidRPr="00A6203D" w:rsidRDefault="005E6870" w:rsidP="00CE7C7B">
      <w:pPr>
        <w:spacing w:line="276" w:lineRule="auto"/>
        <w:rPr>
          <w:rFonts w:ascii="Arial" w:hAnsi="Arial" w:cs="Arial"/>
          <w:strike/>
          <w:sz w:val="22"/>
          <w:szCs w:val="22"/>
        </w:rPr>
      </w:pPr>
      <w:r w:rsidRPr="00A6203D">
        <w:rPr>
          <w:rFonts w:ascii="Arial" w:hAnsi="Arial" w:cs="Arial"/>
          <w:sz w:val="22"/>
          <w:szCs w:val="22"/>
        </w:rPr>
        <w:t>Recently, however, the United States Preventive Services Task Force (USPSTF) recommended against supplemental calcium (≤1000 mg/day) and low-dose vitamin D (≤400 IU/D) in healthy postmenopausal women due to lack of evidence of benefit in fracture reduction and evidence for increased risk of kidney stones. Thus, the risk of renal stones with calcium supplementation needs to be balanced with fracture reduction. These recommendations did not apply to adults with osteoporosis or vitamin D deficiency (</w:t>
      </w:r>
      <w:hyperlink r:id="rId31" w:history="1">
        <w:r w:rsidRPr="00A6203D">
          <w:rPr>
            <w:rStyle w:val="Hyperlink"/>
            <w:rFonts w:ascii="Arial" w:hAnsi="Arial" w:cs="Arial"/>
            <w:color w:val="auto"/>
            <w:sz w:val="22"/>
            <w:szCs w:val="22"/>
            <w:u w:val="none"/>
          </w:rPr>
          <w:t>22</w:t>
        </w:r>
      </w:hyperlink>
      <w:r w:rsidRPr="00A6203D">
        <w:rPr>
          <w:rFonts w:ascii="Arial" w:hAnsi="Arial" w:cs="Arial"/>
          <w:sz w:val="22"/>
          <w:szCs w:val="22"/>
        </w:rPr>
        <w:t>,</w:t>
      </w:r>
      <w:hyperlink r:id="rId32" w:history="1">
        <w:r w:rsidRPr="00A6203D">
          <w:rPr>
            <w:rStyle w:val="Hyperlink"/>
            <w:rFonts w:ascii="Arial" w:hAnsi="Arial" w:cs="Arial"/>
            <w:color w:val="auto"/>
            <w:sz w:val="22"/>
            <w:szCs w:val="22"/>
            <w:u w:val="none"/>
          </w:rPr>
          <w:t>26</w:t>
        </w:r>
      </w:hyperlink>
      <w:r w:rsidRPr="00A6203D">
        <w:rPr>
          <w:rFonts w:ascii="Arial" w:hAnsi="Arial" w:cs="Arial"/>
          <w:sz w:val="22"/>
          <w:szCs w:val="22"/>
        </w:rPr>
        <w:t xml:space="preserve">). </w:t>
      </w:r>
    </w:p>
    <w:p w14:paraId="08755060" w14:textId="4E53FE52" w:rsidR="005E6870" w:rsidRPr="00A6203D" w:rsidRDefault="005E6870" w:rsidP="00CE7C7B">
      <w:pPr>
        <w:spacing w:line="276" w:lineRule="auto"/>
        <w:rPr>
          <w:rFonts w:ascii="Arial" w:hAnsi="Arial" w:cs="Arial"/>
          <w:sz w:val="22"/>
          <w:szCs w:val="22"/>
        </w:rPr>
      </w:pPr>
    </w:p>
    <w:p w14:paraId="6B6C44D4" w14:textId="77777777"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VITAMIN D</w:t>
      </w:r>
    </w:p>
    <w:p w14:paraId="3910B61B" w14:textId="77777777" w:rsidR="00DC266C" w:rsidRPr="00A6203D" w:rsidRDefault="00DC266C" w:rsidP="00CE7C7B">
      <w:pPr>
        <w:spacing w:line="276" w:lineRule="auto"/>
        <w:rPr>
          <w:rFonts w:ascii="Arial" w:hAnsi="Arial" w:cs="Arial"/>
          <w:sz w:val="22"/>
          <w:szCs w:val="22"/>
        </w:rPr>
      </w:pPr>
    </w:p>
    <w:p w14:paraId="339963A4" w14:textId="3CA24A7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Vitamin D insufficiency and deficiency is a common problem in many individuals. Individuals at increased risk for low vitamin D levels include the elderly and those with low vitamin D intake, malabsorption, inadequate sunlight exposure, use of sunblock, dark skin pigment, obesity, </w:t>
      </w:r>
      <w:r w:rsidRPr="00A6203D">
        <w:rPr>
          <w:rFonts w:ascii="Arial" w:hAnsi="Arial" w:cs="Arial"/>
          <w:sz w:val="22"/>
          <w:szCs w:val="22"/>
        </w:rPr>
        <w:lastRenderedPageBreak/>
        <w:t>chronic kidney disease, and use of medications that increase the metabolism of vitamin D. Vitamin D deficiency and insufficiency are common in adults with hip fractures (</w:t>
      </w:r>
      <w:hyperlink r:id="rId33" w:history="1">
        <w:r w:rsidRPr="00A6203D">
          <w:rPr>
            <w:rStyle w:val="Hyperlink"/>
            <w:rFonts w:ascii="Arial" w:hAnsi="Arial" w:cs="Arial"/>
            <w:color w:val="auto"/>
            <w:sz w:val="22"/>
            <w:szCs w:val="22"/>
            <w:u w:val="none"/>
          </w:rPr>
          <w:t>30</w:t>
        </w:r>
      </w:hyperlink>
      <w:r w:rsidRPr="00A6203D">
        <w:rPr>
          <w:rFonts w:ascii="Arial" w:hAnsi="Arial" w:cs="Arial"/>
          <w:sz w:val="22"/>
          <w:szCs w:val="22"/>
        </w:rPr>
        <w:t>,</w:t>
      </w:r>
      <w:hyperlink r:id="rId34" w:history="1">
        <w:r w:rsidRPr="00A6203D">
          <w:rPr>
            <w:rStyle w:val="Hyperlink"/>
            <w:rFonts w:ascii="Arial" w:hAnsi="Arial" w:cs="Arial"/>
            <w:color w:val="auto"/>
            <w:sz w:val="22"/>
            <w:szCs w:val="22"/>
            <w:u w:val="none"/>
          </w:rPr>
          <w:t>31</w:t>
        </w:r>
      </w:hyperlink>
      <w:r w:rsidRPr="00A6203D">
        <w:rPr>
          <w:rFonts w:ascii="Arial" w:hAnsi="Arial" w:cs="Arial"/>
          <w:sz w:val="22"/>
          <w:szCs w:val="22"/>
        </w:rPr>
        <w:t>). Vitamin D deficiency can lead to reduced calcium absorption, secondary hyperparathyroidism, and increased risk of fractures (</w:t>
      </w:r>
      <w:hyperlink r:id="rId35" w:history="1">
        <w:r w:rsidRPr="00A6203D">
          <w:rPr>
            <w:rStyle w:val="Hyperlink"/>
            <w:rFonts w:ascii="Arial" w:hAnsi="Arial" w:cs="Arial"/>
            <w:color w:val="auto"/>
            <w:sz w:val="22"/>
            <w:szCs w:val="22"/>
            <w:u w:val="none"/>
          </w:rPr>
          <w:t>30</w:t>
        </w:r>
      </w:hyperlink>
      <w:r w:rsidRPr="00A6203D">
        <w:rPr>
          <w:rFonts w:ascii="Arial" w:hAnsi="Arial" w:cs="Arial"/>
          <w:sz w:val="22"/>
          <w:szCs w:val="22"/>
        </w:rPr>
        <w:t>,</w:t>
      </w:r>
      <w:hyperlink r:id="rId36" w:history="1">
        <w:r w:rsidRPr="00A6203D">
          <w:rPr>
            <w:rStyle w:val="Hyperlink"/>
            <w:rFonts w:ascii="Arial" w:hAnsi="Arial" w:cs="Arial"/>
            <w:color w:val="auto"/>
            <w:sz w:val="22"/>
            <w:szCs w:val="22"/>
            <w:u w:val="none"/>
          </w:rPr>
          <w:t>32-34</w:t>
        </w:r>
      </w:hyperlink>
      <w:r w:rsidRPr="00A6203D">
        <w:rPr>
          <w:rFonts w:ascii="Arial" w:hAnsi="Arial" w:cs="Arial"/>
          <w:sz w:val="22"/>
          <w:szCs w:val="22"/>
        </w:rPr>
        <w:t xml:space="preserve">). Mild vitamin D insufficiency may not cause symptoms, but contributes to low bone mass. Severe vitamin D deficiency causes </w:t>
      </w:r>
      <w:proofErr w:type="spellStart"/>
      <w:r w:rsidRPr="00A6203D">
        <w:rPr>
          <w:rFonts w:ascii="Arial" w:hAnsi="Arial" w:cs="Arial"/>
          <w:sz w:val="22"/>
          <w:szCs w:val="22"/>
        </w:rPr>
        <w:t>osteomalacia</w:t>
      </w:r>
      <w:proofErr w:type="spellEnd"/>
      <w:r w:rsidRPr="00A6203D">
        <w:rPr>
          <w:rFonts w:ascii="Arial" w:hAnsi="Arial" w:cs="Arial"/>
          <w:sz w:val="22"/>
          <w:szCs w:val="22"/>
        </w:rPr>
        <w:t>. In addition, although more data are needed, vitamin D deficiency has been associated with proximal muscle weakness, impaired physical performance, increased risk of falls, and possibly increased risks of some cancers (including colorectal, breast among others) (</w:t>
      </w:r>
      <w:hyperlink r:id="rId37" w:history="1">
        <w:r w:rsidRPr="00A6203D">
          <w:rPr>
            <w:rStyle w:val="Hyperlink"/>
            <w:rFonts w:ascii="Arial" w:hAnsi="Arial" w:cs="Arial"/>
            <w:color w:val="auto"/>
            <w:sz w:val="22"/>
            <w:szCs w:val="22"/>
            <w:u w:val="none"/>
          </w:rPr>
          <w:t>19</w:t>
        </w:r>
      </w:hyperlink>
      <w:r w:rsidRPr="00A6203D">
        <w:rPr>
          <w:rFonts w:ascii="Arial" w:hAnsi="Arial" w:cs="Arial"/>
          <w:sz w:val="22"/>
          <w:szCs w:val="22"/>
        </w:rPr>
        <w:t>,</w:t>
      </w:r>
      <w:hyperlink r:id="rId38" w:history="1">
        <w:r w:rsidRPr="00A6203D">
          <w:rPr>
            <w:rStyle w:val="Hyperlink"/>
            <w:rFonts w:ascii="Arial" w:hAnsi="Arial" w:cs="Arial"/>
            <w:color w:val="auto"/>
            <w:sz w:val="22"/>
            <w:szCs w:val="22"/>
            <w:u w:val="none"/>
          </w:rPr>
          <w:t>35-41</w:t>
        </w:r>
      </w:hyperlink>
      <w:r w:rsidRPr="00A6203D">
        <w:rPr>
          <w:rFonts w:ascii="Arial" w:hAnsi="Arial" w:cs="Arial"/>
          <w:sz w:val="22"/>
          <w:szCs w:val="22"/>
        </w:rPr>
        <w:t>). Deficient levels of vitamin D are generally defined as a 25-(OH) vitamin D &lt;20 ng/ml, relative insufficiency as 21 to 29 ng/ml, and sufficient levels of vitamin D to prevent the rise in parathyroid hormone levels as a 25-(OH) vitamin D ≥ 30 to 32 ng/ml (</w:t>
      </w:r>
      <w:hyperlink r:id="rId39" w:history="1">
        <w:r w:rsidRPr="00A6203D">
          <w:rPr>
            <w:rStyle w:val="Hyperlink"/>
            <w:rFonts w:ascii="Arial" w:hAnsi="Arial" w:cs="Arial"/>
            <w:color w:val="auto"/>
            <w:sz w:val="22"/>
            <w:szCs w:val="22"/>
            <w:u w:val="none"/>
          </w:rPr>
          <w:t>42</w:t>
        </w:r>
      </w:hyperlink>
      <w:r w:rsidRPr="00A6203D">
        <w:rPr>
          <w:rFonts w:ascii="Arial" w:hAnsi="Arial" w:cs="Arial"/>
          <w:sz w:val="22"/>
          <w:szCs w:val="22"/>
        </w:rPr>
        <w:t>). The National Health and Nutrition Examination Survey (NHANES) report showed that 32% of Americans have vitamin D deficiency (</w:t>
      </w:r>
      <w:hyperlink r:id="rId40" w:history="1">
        <w:r w:rsidRPr="00A6203D">
          <w:rPr>
            <w:rStyle w:val="Hyperlink"/>
            <w:rFonts w:ascii="Arial" w:hAnsi="Arial" w:cs="Arial"/>
            <w:color w:val="auto"/>
            <w:sz w:val="22"/>
            <w:szCs w:val="22"/>
            <w:u w:val="none"/>
          </w:rPr>
          <w:t>43</w:t>
        </w:r>
      </w:hyperlink>
      <w:r w:rsidRPr="00A6203D">
        <w:rPr>
          <w:rFonts w:ascii="Arial" w:hAnsi="Arial" w:cs="Arial"/>
          <w:sz w:val="22"/>
          <w:szCs w:val="22"/>
        </w:rPr>
        <w:t>).</w:t>
      </w:r>
    </w:p>
    <w:p w14:paraId="5F879733" w14:textId="77777777" w:rsidR="00DC266C" w:rsidRPr="00A6203D" w:rsidRDefault="00DC266C" w:rsidP="00CE7C7B">
      <w:pPr>
        <w:spacing w:line="276" w:lineRule="auto"/>
        <w:rPr>
          <w:rFonts w:ascii="Arial" w:hAnsi="Arial" w:cs="Arial"/>
          <w:sz w:val="22"/>
          <w:szCs w:val="22"/>
        </w:rPr>
      </w:pPr>
    </w:p>
    <w:p w14:paraId="1E905057" w14:textId="3AFA2D48"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Sources of dietary intake of vitamin D are limited and these include vitamin D-fortified milk and some soy milks (100 IU/glass), certain cereals, egg yolk</w:t>
      </w:r>
      <w:r w:rsidR="00FF6451" w:rsidRPr="00A6203D">
        <w:rPr>
          <w:rFonts w:ascii="Arial" w:hAnsi="Arial" w:cs="Arial"/>
          <w:sz w:val="22"/>
          <w:szCs w:val="22"/>
        </w:rPr>
        <w:t>,</w:t>
      </w:r>
      <w:r w:rsidRPr="00A6203D">
        <w:rPr>
          <w:rFonts w:ascii="Arial" w:hAnsi="Arial" w:cs="Arial"/>
          <w:sz w:val="22"/>
          <w:szCs w:val="22"/>
        </w:rPr>
        <w:t xml:space="preserve"> and oily fishes (e.g., salmon, mackerel, and sardines). Multivitamins typically contain 400 IU to 1,000 IU of vitamin D</w:t>
      </w:r>
      <w:r w:rsidRPr="00A6203D">
        <w:rPr>
          <w:rFonts w:ascii="Arial" w:hAnsi="Arial" w:cs="Arial"/>
          <w:sz w:val="22"/>
          <w:szCs w:val="22"/>
          <w:vertAlign w:val="subscript"/>
        </w:rPr>
        <w:t>3</w:t>
      </w:r>
      <w:r w:rsidRPr="00A6203D">
        <w:rPr>
          <w:rFonts w:ascii="Arial" w:hAnsi="Arial" w:cs="Arial"/>
          <w:sz w:val="22"/>
          <w:szCs w:val="22"/>
        </w:rPr>
        <w:t>, and many calcium preparations are supplemented with vitamin D. The NOF recommends 800 to 1000 IU vitamin D daily for adults aged 50 years and older, as do the International Osteoporosis Foundation and Endocrine Society (</w:t>
      </w:r>
      <w:hyperlink r:id="rId41" w:history="1">
        <w:r w:rsidRPr="00A6203D">
          <w:rPr>
            <w:rStyle w:val="Hyperlink"/>
            <w:rFonts w:ascii="Arial" w:hAnsi="Arial" w:cs="Arial"/>
            <w:color w:val="auto"/>
            <w:sz w:val="22"/>
            <w:szCs w:val="22"/>
            <w:u w:val="none"/>
          </w:rPr>
          <w:t>44</w:t>
        </w:r>
      </w:hyperlink>
      <w:r w:rsidRPr="00A6203D">
        <w:rPr>
          <w:rFonts w:ascii="Arial" w:hAnsi="Arial" w:cs="Arial"/>
          <w:sz w:val="22"/>
          <w:szCs w:val="22"/>
        </w:rPr>
        <w:t>,</w:t>
      </w:r>
      <w:hyperlink r:id="rId42" w:history="1">
        <w:r w:rsidRPr="00A6203D">
          <w:rPr>
            <w:rStyle w:val="Hyperlink"/>
            <w:rFonts w:ascii="Arial" w:hAnsi="Arial" w:cs="Arial"/>
            <w:color w:val="auto"/>
            <w:sz w:val="22"/>
            <w:szCs w:val="22"/>
            <w:u w:val="none"/>
          </w:rPr>
          <w:t>45</w:t>
        </w:r>
      </w:hyperlink>
      <w:r w:rsidRPr="00A6203D">
        <w:rPr>
          <w:rFonts w:ascii="Arial" w:hAnsi="Arial" w:cs="Arial"/>
          <w:sz w:val="22"/>
          <w:szCs w:val="22"/>
        </w:rPr>
        <w:t>). The IOM Committee report on the Dietary Reference Intakes for 97.5% of the population in North America was 600 IU/d of vitamin D for children and adults until age 70 and 800 IU/day for adults 71 years and older (</w:t>
      </w:r>
      <w:hyperlink r:id="rId43" w:history="1">
        <w:r w:rsidRPr="00A6203D">
          <w:rPr>
            <w:rStyle w:val="Hyperlink"/>
            <w:rFonts w:ascii="Arial" w:hAnsi="Arial" w:cs="Arial"/>
            <w:color w:val="auto"/>
            <w:sz w:val="22"/>
            <w:szCs w:val="22"/>
            <w:u w:val="none"/>
          </w:rPr>
          <w:t>46</w:t>
        </w:r>
      </w:hyperlink>
      <w:r w:rsidRPr="00A6203D">
        <w:rPr>
          <w:rFonts w:ascii="Arial" w:hAnsi="Arial" w:cs="Arial"/>
          <w:sz w:val="22"/>
          <w:szCs w:val="22"/>
        </w:rPr>
        <w:t>).</w:t>
      </w:r>
    </w:p>
    <w:p w14:paraId="45D1878A" w14:textId="77777777" w:rsidR="00DC266C" w:rsidRPr="00A6203D" w:rsidRDefault="00DC266C" w:rsidP="00CE7C7B">
      <w:pPr>
        <w:spacing w:line="276" w:lineRule="auto"/>
        <w:rPr>
          <w:rFonts w:ascii="Arial" w:hAnsi="Arial" w:cs="Arial"/>
          <w:sz w:val="22"/>
          <w:szCs w:val="22"/>
        </w:rPr>
      </w:pPr>
    </w:p>
    <w:p w14:paraId="1BB0B194" w14:textId="77777777" w:rsidR="00125874" w:rsidRDefault="00663E95" w:rsidP="00CE7C7B">
      <w:pPr>
        <w:spacing w:line="276" w:lineRule="auto"/>
        <w:rPr>
          <w:rFonts w:ascii="Arial" w:hAnsi="Arial" w:cs="Arial"/>
          <w:sz w:val="22"/>
          <w:szCs w:val="22"/>
        </w:rPr>
      </w:pPr>
      <w:r w:rsidRPr="00A6203D">
        <w:rPr>
          <w:rFonts w:ascii="Arial" w:hAnsi="Arial" w:cs="Arial"/>
          <w:sz w:val="22"/>
          <w:szCs w:val="22"/>
        </w:rPr>
        <w:t>The USPTF recommended supplemental vitamin D for reduction in fall risk in women aged 65 and older. Although a meta-analysis of 31,022 individuals indicated that the highest quartile of vitamin D intakes (median 800 IU (and range 792 to 2000 IU/d) was associated with a 30% and 14% reduction in the risks of hip fractures and non-vertebral fractures, respectively, the USPSTF reported that recommendations concerning the safety and efficacy of higher doses of vitamin D on fracture reduction await additional research (</w:t>
      </w:r>
      <w:hyperlink r:id="rId44" w:history="1">
        <w:r w:rsidRPr="00A6203D">
          <w:rPr>
            <w:rStyle w:val="Hyperlink"/>
            <w:rFonts w:ascii="Arial" w:hAnsi="Arial" w:cs="Arial"/>
            <w:color w:val="auto"/>
            <w:sz w:val="22"/>
            <w:szCs w:val="22"/>
            <w:u w:val="none"/>
          </w:rPr>
          <w:t>26</w:t>
        </w:r>
      </w:hyperlink>
      <w:r w:rsidRPr="00A6203D">
        <w:rPr>
          <w:rFonts w:ascii="Arial" w:hAnsi="Arial" w:cs="Arial"/>
          <w:sz w:val="22"/>
          <w:szCs w:val="22"/>
        </w:rPr>
        <w:t>,</w:t>
      </w:r>
      <w:hyperlink r:id="rId45" w:history="1">
        <w:r w:rsidRPr="00A6203D">
          <w:rPr>
            <w:rStyle w:val="Hyperlink"/>
            <w:rFonts w:ascii="Arial" w:hAnsi="Arial" w:cs="Arial"/>
            <w:color w:val="auto"/>
            <w:sz w:val="22"/>
            <w:szCs w:val="22"/>
            <w:u w:val="none"/>
          </w:rPr>
          <w:t>27</w:t>
        </w:r>
      </w:hyperlink>
      <w:r w:rsidRPr="00A6203D">
        <w:rPr>
          <w:rFonts w:ascii="Arial" w:hAnsi="Arial" w:cs="Arial"/>
          <w:sz w:val="22"/>
          <w:szCs w:val="22"/>
        </w:rPr>
        <w:t xml:space="preserve">). </w:t>
      </w:r>
    </w:p>
    <w:p w14:paraId="7BB79621" w14:textId="77777777" w:rsidR="00125874" w:rsidRDefault="00125874" w:rsidP="00CE7C7B">
      <w:pPr>
        <w:spacing w:line="276" w:lineRule="auto"/>
        <w:rPr>
          <w:rFonts w:ascii="Arial" w:hAnsi="Arial" w:cs="Arial"/>
          <w:sz w:val="22"/>
          <w:szCs w:val="22"/>
        </w:rPr>
      </w:pPr>
    </w:p>
    <w:p w14:paraId="1E80F2E7" w14:textId="01637FDB" w:rsidR="00663E95" w:rsidRPr="00A6203D" w:rsidRDefault="00663E95" w:rsidP="00CE7C7B">
      <w:pPr>
        <w:spacing w:line="276" w:lineRule="auto"/>
        <w:rPr>
          <w:rFonts w:ascii="Arial" w:hAnsi="Arial" w:cs="Arial"/>
          <w:sz w:val="22"/>
          <w:szCs w:val="22"/>
        </w:rPr>
      </w:pPr>
      <w:r w:rsidRPr="00A6203D">
        <w:rPr>
          <w:rFonts w:ascii="Arial" w:hAnsi="Arial" w:cs="Arial"/>
          <w:sz w:val="22"/>
          <w:szCs w:val="22"/>
        </w:rPr>
        <w:t xml:space="preserve">In the Vitamin D and Omega-3 Fatty Acid trial, a large randomized, placebo-controlled trial in 25,874 women and men across the United States of the effects of supplemental 2000 IU/d of cholecalciferol versus placebo </w:t>
      </w:r>
      <w:r w:rsidR="003410B2" w:rsidRPr="00A6203D">
        <w:rPr>
          <w:rFonts w:ascii="Arial" w:hAnsi="Arial" w:cs="Arial"/>
          <w:sz w:val="22"/>
          <w:szCs w:val="22"/>
        </w:rPr>
        <w:t>determined the effect o</w:t>
      </w:r>
      <w:r w:rsidRPr="00A6203D">
        <w:rPr>
          <w:rFonts w:ascii="Arial" w:hAnsi="Arial" w:cs="Arial"/>
          <w:sz w:val="22"/>
          <w:szCs w:val="22"/>
        </w:rPr>
        <w:t>n the primary prevention of cardiovascular, fractures, cancer and other health outcomes. In addition, detailed in-person visits in a sub cohort provide extensive information on effects of supplemental vitamin D and/or omega-3 fatty acids on cardiovascular outcomes, bone health and many other clinical outcomes (</w:t>
      </w:r>
      <w:hyperlink r:id="rId46" w:history="1">
        <w:r w:rsidRPr="00A6203D">
          <w:rPr>
            <w:rStyle w:val="Hyperlink"/>
            <w:rFonts w:ascii="Arial" w:hAnsi="Arial" w:cs="Arial"/>
            <w:color w:val="auto"/>
            <w:sz w:val="22"/>
            <w:szCs w:val="22"/>
            <w:u w:val="none"/>
          </w:rPr>
          <w:t>28</w:t>
        </w:r>
      </w:hyperlink>
      <w:r w:rsidRPr="00A6203D">
        <w:rPr>
          <w:rFonts w:ascii="Arial" w:hAnsi="Arial" w:cs="Arial"/>
          <w:sz w:val="22"/>
          <w:szCs w:val="22"/>
        </w:rPr>
        <w:t>,</w:t>
      </w:r>
      <w:hyperlink r:id="rId47" w:history="1">
        <w:r w:rsidRPr="00A6203D">
          <w:rPr>
            <w:rStyle w:val="Hyperlink"/>
            <w:rFonts w:ascii="Arial" w:hAnsi="Arial" w:cs="Arial"/>
            <w:color w:val="auto"/>
            <w:sz w:val="22"/>
            <w:szCs w:val="22"/>
            <w:u w:val="none"/>
          </w:rPr>
          <w:t>29</w:t>
        </w:r>
      </w:hyperlink>
      <w:r w:rsidRPr="00A6203D">
        <w:rPr>
          <w:rFonts w:ascii="Arial" w:hAnsi="Arial" w:cs="Arial"/>
          <w:sz w:val="22"/>
          <w:szCs w:val="22"/>
        </w:rPr>
        <w:t>). This study found that in general, in a healthy population no</w:t>
      </w:r>
      <w:r w:rsidR="00462168" w:rsidRPr="00A6203D">
        <w:rPr>
          <w:rFonts w:ascii="Arial" w:hAnsi="Arial" w:cs="Arial"/>
          <w:sz w:val="22"/>
          <w:szCs w:val="22"/>
        </w:rPr>
        <w:t>t</w:t>
      </w:r>
      <w:r w:rsidRPr="00A6203D">
        <w:rPr>
          <w:rFonts w:ascii="Arial" w:hAnsi="Arial" w:cs="Arial"/>
          <w:sz w:val="22"/>
          <w:szCs w:val="22"/>
        </w:rPr>
        <w:t xml:space="preserve"> preselected for low vitamin D levels</w:t>
      </w:r>
      <w:r w:rsidR="00462168" w:rsidRPr="00A6203D">
        <w:rPr>
          <w:rFonts w:ascii="Arial" w:hAnsi="Arial" w:cs="Arial"/>
          <w:sz w:val="22"/>
          <w:szCs w:val="22"/>
        </w:rPr>
        <w:t xml:space="preserve"> or osteoporosis</w:t>
      </w:r>
      <w:r w:rsidRPr="00A6203D">
        <w:rPr>
          <w:rFonts w:ascii="Arial" w:hAnsi="Arial" w:cs="Arial"/>
          <w:sz w:val="22"/>
          <w:szCs w:val="22"/>
        </w:rPr>
        <w:t>, supplemental vitamin D had no effect on bone density or bone structural measures</w:t>
      </w:r>
      <w:r w:rsidR="00462168" w:rsidRPr="00A6203D">
        <w:rPr>
          <w:rFonts w:ascii="Arial" w:hAnsi="Arial" w:cs="Arial"/>
          <w:sz w:val="22"/>
          <w:szCs w:val="22"/>
        </w:rPr>
        <w:t xml:space="preserve"> or incident falls</w:t>
      </w:r>
      <w:r w:rsidRPr="00A6203D">
        <w:rPr>
          <w:rFonts w:ascii="Arial" w:hAnsi="Arial" w:cs="Arial"/>
          <w:sz w:val="22"/>
          <w:szCs w:val="22"/>
        </w:rPr>
        <w:t xml:space="preserve"> </w:t>
      </w:r>
      <w:r w:rsidR="00125874">
        <w:rPr>
          <w:rFonts w:ascii="Arial" w:hAnsi="Arial" w:cs="Arial"/>
          <w:sz w:val="22"/>
          <w:szCs w:val="22"/>
        </w:rPr>
        <w:t xml:space="preserve">or fractures </w:t>
      </w:r>
      <w:r w:rsidRPr="00A6203D">
        <w:rPr>
          <w:rFonts w:ascii="Arial" w:hAnsi="Arial" w:cs="Arial"/>
          <w:sz w:val="22"/>
          <w:szCs w:val="22"/>
        </w:rPr>
        <w:t>(</w:t>
      </w:r>
      <w:r w:rsidR="00125874">
        <w:rPr>
          <w:rFonts w:ascii="Arial" w:hAnsi="Arial" w:cs="Arial"/>
          <w:sz w:val="22"/>
          <w:szCs w:val="22"/>
        </w:rPr>
        <w:t>194,</w:t>
      </w:r>
      <w:r w:rsidR="00E0579E" w:rsidRPr="00A6203D">
        <w:rPr>
          <w:rFonts w:ascii="Arial" w:hAnsi="Arial" w:cs="Arial"/>
          <w:sz w:val="22"/>
          <w:szCs w:val="22"/>
        </w:rPr>
        <w:t>195,196</w:t>
      </w:r>
      <w:r w:rsidRPr="00A6203D">
        <w:rPr>
          <w:rFonts w:ascii="Arial" w:hAnsi="Arial" w:cs="Arial"/>
          <w:sz w:val="22"/>
          <w:szCs w:val="22"/>
        </w:rPr>
        <w:t xml:space="preserve">). </w:t>
      </w:r>
    </w:p>
    <w:p w14:paraId="67AACCD5" w14:textId="77777777" w:rsidR="00663E95" w:rsidRPr="00A6203D" w:rsidRDefault="00663E95" w:rsidP="00CE7C7B">
      <w:pPr>
        <w:spacing w:line="276" w:lineRule="auto"/>
        <w:rPr>
          <w:rFonts w:ascii="Arial" w:hAnsi="Arial" w:cs="Arial"/>
          <w:sz w:val="22"/>
          <w:szCs w:val="22"/>
        </w:rPr>
      </w:pPr>
    </w:p>
    <w:p w14:paraId="2166D134" w14:textId="78A58CB0"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Patients with vitamin D deficiency need much higher doses. The upper limit of safety for vitamin D is 4000 IU/day. There are currently differing recommendations regarding the optimal 25-hydroxyvitamin D (25-OHD) level for bone health with the IOM committee recommending a 25-OH D level ≥20-29 ng/mL while several other societies recommend a 25-OHD level ≥30 ng/mL (</w:t>
      </w:r>
      <w:hyperlink r:id="rId48" w:history="1">
        <w:r w:rsidRPr="00A6203D">
          <w:rPr>
            <w:rStyle w:val="Hyperlink"/>
            <w:rFonts w:ascii="Arial" w:hAnsi="Arial" w:cs="Arial"/>
            <w:color w:val="auto"/>
            <w:sz w:val="22"/>
            <w:szCs w:val="22"/>
            <w:u w:val="none"/>
          </w:rPr>
          <w:t>44</w:t>
        </w:r>
      </w:hyperlink>
      <w:r w:rsidRPr="00A6203D">
        <w:rPr>
          <w:rFonts w:ascii="Arial" w:hAnsi="Arial" w:cs="Arial"/>
          <w:sz w:val="22"/>
          <w:szCs w:val="22"/>
        </w:rPr>
        <w:t>,</w:t>
      </w:r>
      <w:hyperlink r:id="rId49" w:history="1">
        <w:r w:rsidRPr="00A6203D">
          <w:rPr>
            <w:rStyle w:val="Hyperlink"/>
            <w:rFonts w:ascii="Arial" w:hAnsi="Arial" w:cs="Arial"/>
            <w:color w:val="auto"/>
            <w:sz w:val="22"/>
            <w:szCs w:val="22"/>
            <w:u w:val="none"/>
          </w:rPr>
          <w:t>45</w:t>
        </w:r>
      </w:hyperlink>
      <w:r w:rsidRPr="00A6203D">
        <w:rPr>
          <w:rFonts w:ascii="Arial" w:hAnsi="Arial" w:cs="Arial"/>
          <w:sz w:val="22"/>
          <w:szCs w:val="22"/>
        </w:rPr>
        <w:t>).</w:t>
      </w:r>
    </w:p>
    <w:p w14:paraId="2A113DB8" w14:textId="77777777" w:rsidR="00DC266C" w:rsidRPr="00A6203D" w:rsidRDefault="00DC266C" w:rsidP="00CE7C7B">
      <w:pPr>
        <w:spacing w:line="276" w:lineRule="auto"/>
        <w:rPr>
          <w:rFonts w:ascii="Arial" w:hAnsi="Arial" w:cs="Arial"/>
          <w:sz w:val="22"/>
          <w:szCs w:val="22"/>
        </w:rPr>
      </w:pPr>
    </w:p>
    <w:p w14:paraId="00748931" w14:textId="124988C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the presence of vitamin D deficiency, it is safe to normalize vitamin D levels to a 25-(OH)D level of 30 ng/ml to prevent the compensatory rise in parathyroid hormone (PTH) level (</w:t>
      </w:r>
      <w:hyperlink r:id="rId50" w:history="1">
        <w:r w:rsidRPr="00A6203D">
          <w:rPr>
            <w:rStyle w:val="Hyperlink"/>
            <w:rFonts w:ascii="Arial" w:hAnsi="Arial" w:cs="Arial"/>
            <w:color w:val="auto"/>
            <w:sz w:val="22"/>
            <w:szCs w:val="22"/>
            <w:u w:val="none"/>
          </w:rPr>
          <w:t>33</w:t>
        </w:r>
      </w:hyperlink>
      <w:r w:rsidRPr="00A6203D">
        <w:rPr>
          <w:rFonts w:ascii="Arial" w:hAnsi="Arial" w:cs="Arial"/>
          <w:sz w:val="22"/>
          <w:szCs w:val="22"/>
        </w:rPr>
        <w:t>,</w:t>
      </w:r>
      <w:hyperlink r:id="rId51" w:history="1">
        <w:r w:rsidRPr="00A6203D">
          <w:rPr>
            <w:rStyle w:val="Hyperlink"/>
            <w:rFonts w:ascii="Arial" w:hAnsi="Arial" w:cs="Arial"/>
            <w:color w:val="auto"/>
            <w:sz w:val="22"/>
            <w:szCs w:val="22"/>
            <w:u w:val="none"/>
          </w:rPr>
          <w:t>47</w:t>
        </w:r>
      </w:hyperlink>
      <w:r w:rsidRPr="00A6203D">
        <w:rPr>
          <w:rFonts w:ascii="Arial" w:hAnsi="Arial" w:cs="Arial"/>
          <w:sz w:val="22"/>
          <w:szCs w:val="22"/>
        </w:rPr>
        <w:t>). This may be done in a variety of ways. High doses of vitamin D</w:t>
      </w:r>
      <w:r w:rsidR="00CA269D" w:rsidRPr="00A6203D">
        <w:rPr>
          <w:rFonts w:ascii="Arial" w:hAnsi="Arial" w:cs="Arial"/>
          <w:sz w:val="22"/>
          <w:szCs w:val="22"/>
        </w:rPr>
        <w:t xml:space="preserve"> </w:t>
      </w:r>
      <w:r w:rsidR="00462168" w:rsidRPr="00A6203D">
        <w:rPr>
          <w:rFonts w:ascii="Arial" w:hAnsi="Arial" w:cs="Arial"/>
          <w:sz w:val="22"/>
          <w:szCs w:val="22"/>
        </w:rPr>
        <w:t>may be</w:t>
      </w:r>
      <w:r w:rsidRPr="00A6203D">
        <w:rPr>
          <w:rFonts w:ascii="Arial" w:hAnsi="Arial" w:cs="Arial"/>
          <w:sz w:val="22"/>
          <w:szCs w:val="22"/>
        </w:rPr>
        <w:t xml:space="preserve"> needed [e.g., 50,000 IU of D</w:t>
      </w:r>
      <w:r w:rsidRPr="00A6203D">
        <w:rPr>
          <w:rFonts w:ascii="Arial" w:hAnsi="Arial" w:cs="Arial"/>
          <w:sz w:val="22"/>
          <w:szCs w:val="22"/>
          <w:vertAlign w:val="subscript"/>
        </w:rPr>
        <w:t>2</w:t>
      </w:r>
      <w:r w:rsidRPr="00A6203D">
        <w:rPr>
          <w:rFonts w:ascii="Arial" w:hAnsi="Arial" w:cs="Arial"/>
          <w:sz w:val="22"/>
          <w:szCs w:val="22"/>
        </w:rPr>
        <w:t xml:space="preserve"> (ergocalciferol) </w:t>
      </w:r>
      <w:r w:rsidR="00663E95" w:rsidRPr="00A6203D">
        <w:rPr>
          <w:rFonts w:ascii="Arial" w:hAnsi="Arial" w:cs="Arial"/>
          <w:sz w:val="22"/>
          <w:szCs w:val="22"/>
        </w:rPr>
        <w:t>or equivalent dose of D</w:t>
      </w:r>
      <w:r w:rsidR="00663E95" w:rsidRPr="00A6203D">
        <w:rPr>
          <w:rFonts w:ascii="Arial" w:hAnsi="Arial" w:cs="Arial"/>
          <w:sz w:val="22"/>
          <w:szCs w:val="22"/>
          <w:vertAlign w:val="subscript"/>
        </w:rPr>
        <w:t>3</w:t>
      </w:r>
      <w:r w:rsidR="00663E95" w:rsidRPr="00A6203D">
        <w:rPr>
          <w:rFonts w:ascii="Arial" w:hAnsi="Arial" w:cs="Arial"/>
          <w:sz w:val="22"/>
          <w:szCs w:val="22"/>
        </w:rPr>
        <w:t xml:space="preserve"> (cholecalciferol) </w:t>
      </w:r>
      <w:r w:rsidRPr="00A6203D">
        <w:rPr>
          <w:rFonts w:ascii="Arial" w:hAnsi="Arial" w:cs="Arial"/>
          <w:sz w:val="22"/>
          <w:szCs w:val="22"/>
        </w:rPr>
        <w:t>weekly for 8 weeks or according to the 25-hydroxyvitamin D level] (</w:t>
      </w:r>
      <w:hyperlink r:id="rId52" w:history="1">
        <w:r w:rsidRPr="00A6203D">
          <w:rPr>
            <w:rStyle w:val="Hyperlink"/>
            <w:rFonts w:ascii="Arial" w:hAnsi="Arial" w:cs="Arial"/>
            <w:color w:val="auto"/>
            <w:sz w:val="22"/>
            <w:szCs w:val="22"/>
            <w:u w:val="none"/>
          </w:rPr>
          <w:t>45</w:t>
        </w:r>
      </w:hyperlink>
      <w:r w:rsidRPr="00A6203D">
        <w:rPr>
          <w:rFonts w:ascii="Arial" w:hAnsi="Arial" w:cs="Arial"/>
          <w:sz w:val="22"/>
          <w:szCs w:val="22"/>
        </w:rPr>
        <w:t>). Individuals with malabsorption often require very high doses of supplemental vitamin D</w:t>
      </w:r>
      <w:r w:rsidR="00663E95" w:rsidRPr="00A6203D">
        <w:rPr>
          <w:rFonts w:ascii="Arial" w:hAnsi="Arial" w:cs="Arial"/>
          <w:sz w:val="22"/>
          <w:szCs w:val="22"/>
        </w:rPr>
        <w:t>, and may benefit from evaluation by a bone specialist</w:t>
      </w:r>
      <w:r w:rsidRPr="00A6203D">
        <w:rPr>
          <w:rFonts w:ascii="Arial" w:hAnsi="Arial" w:cs="Arial"/>
          <w:sz w:val="22"/>
          <w:szCs w:val="22"/>
        </w:rPr>
        <w:t>.</w:t>
      </w:r>
    </w:p>
    <w:p w14:paraId="5D40E69F" w14:textId="77777777" w:rsidR="003D28E5" w:rsidRPr="00A6203D" w:rsidRDefault="003D28E5" w:rsidP="00CE7C7B">
      <w:pPr>
        <w:spacing w:line="276" w:lineRule="auto"/>
        <w:rPr>
          <w:rFonts w:ascii="Arial" w:hAnsi="Arial" w:cs="Arial"/>
          <w:sz w:val="22"/>
          <w:szCs w:val="22"/>
        </w:rPr>
      </w:pPr>
    </w:p>
    <w:p w14:paraId="35A70CA6" w14:textId="77777777"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TREATMENT AND/OR PREVENTION OF OSTEOPOROSIS</w:t>
      </w:r>
    </w:p>
    <w:p w14:paraId="3B2006E3" w14:textId="77777777" w:rsidR="00DC266C" w:rsidRPr="00A6203D" w:rsidRDefault="00DC266C" w:rsidP="00CE7C7B">
      <w:pPr>
        <w:spacing w:line="276" w:lineRule="auto"/>
        <w:rPr>
          <w:rFonts w:ascii="Arial" w:hAnsi="Arial" w:cs="Arial"/>
          <w:sz w:val="22"/>
          <w:szCs w:val="22"/>
        </w:rPr>
      </w:pPr>
    </w:p>
    <w:p w14:paraId="649D0821" w14:textId="050EF14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There are effective therapies for osteoporosis and promising therapeutics under development. The antiresorptive therapies that reduce bone turnover include: bisphosphonates; estrogen or hormone therapy, estrogen agonists/antagonists [selective estrogen-receptor modulators (SERMs)]; calcitonin; </w:t>
      </w:r>
      <w:r w:rsidR="003410B2" w:rsidRPr="00A6203D">
        <w:rPr>
          <w:rFonts w:ascii="Arial" w:hAnsi="Arial" w:cs="Arial"/>
          <w:sz w:val="22"/>
          <w:szCs w:val="22"/>
        </w:rPr>
        <w:t xml:space="preserve">and denosumab, </w:t>
      </w:r>
      <w:r w:rsidRPr="00A6203D">
        <w:rPr>
          <w:rFonts w:ascii="Arial" w:hAnsi="Arial" w:cs="Arial"/>
          <w:sz w:val="22"/>
          <w:szCs w:val="22"/>
        </w:rPr>
        <w:t xml:space="preserve">a human monoclonal antibody to RANK-ligand. At present there </w:t>
      </w:r>
      <w:r w:rsidR="003410B2" w:rsidRPr="00A6203D">
        <w:rPr>
          <w:rFonts w:ascii="Arial" w:hAnsi="Arial" w:cs="Arial"/>
          <w:sz w:val="22"/>
          <w:szCs w:val="22"/>
        </w:rPr>
        <w:t>are</w:t>
      </w:r>
      <w:r w:rsidRPr="00A6203D">
        <w:rPr>
          <w:rFonts w:ascii="Arial" w:hAnsi="Arial" w:cs="Arial"/>
          <w:sz w:val="22"/>
          <w:szCs w:val="22"/>
        </w:rPr>
        <w:t xml:space="preserve"> </w:t>
      </w:r>
      <w:r w:rsidR="003410B2" w:rsidRPr="00A6203D">
        <w:rPr>
          <w:rFonts w:ascii="Arial" w:hAnsi="Arial" w:cs="Arial"/>
          <w:sz w:val="22"/>
          <w:szCs w:val="22"/>
        </w:rPr>
        <w:t>two</w:t>
      </w:r>
      <w:r w:rsidRPr="00A6203D">
        <w:rPr>
          <w:rFonts w:ascii="Arial" w:hAnsi="Arial" w:cs="Arial"/>
          <w:sz w:val="22"/>
          <w:szCs w:val="22"/>
        </w:rPr>
        <w:t xml:space="preserve"> FDA-approved anabolic or bone forming osteoporosis therapy, teriparatide [PTH (</w:t>
      </w:r>
      <w:hyperlink r:id="rId53"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54" w:history="1">
        <w:r w:rsidRPr="00A6203D">
          <w:rPr>
            <w:rStyle w:val="Hyperlink"/>
            <w:rFonts w:ascii="Arial" w:hAnsi="Arial" w:cs="Arial"/>
            <w:color w:val="auto"/>
            <w:sz w:val="22"/>
            <w:szCs w:val="22"/>
            <w:u w:val="none"/>
          </w:rPr>
          <w:t>34</w:t>
        </w:r>
      </w:hyperlink>
      <w:r w:rsidRPr="00A6203D">
        <w:rPr>
          <w:rFonts w:ascii="Arial" w:hAnsi="Arial" w:cs="Arial"/>
          <w:sz w:val="22"/>
          <w:szCs w:val="22"/>
        </w:rPr>
        <w:t>)]</w:t>
      </w:r>
      <w:r w:rsidR="00B14023" w:rsidRPr="00A6203D">
        <w:rPr>
          <w:rFonts w:ascii="Arial" w:hAnsi="Arial" w:cs="Arial"/>
          <w:sz w:val="22"/>
          <w:szCs w:val="22"/>
        </w:rPr>
        <w:t xml:space="preserve"> and </w:t>
      </w:r>
      <w:proofErr w:type="spellStart"/>
      <w:r w:rsidR="00B14023" w:rsidRPr="00A6203D">
        <w:rPr>
          <w:rFonts w:ascii="Arial" w:hAnsi="Arial" w:cs="Arial"/>
          <w:sz w:val="22"/>
          <w:szCs w:val="22"/>
        </w:rPr>
        <w:t>abaloparatide</w:t>
      </w:r>
      <w:proofErr w:type="spellEnd"/>
      <w:r w:rsidRPr="00A6203D">
        <w:rPr>
          <w:rFonts w:ascii="Arial" w:hAnsi="Arial" w:cs="Arial"/>
          <w:sz w:val="22"/>
          <w:szCs w:val="22"/>
        </w:rPr>
        <w:t xml:space="preserve">. </w:t>
      </w:r>
      <w:proofErr w:type="spellStart"/>
      <w:r w:rsidR="00B14023" w:rsidRPr="00A6203D">
        <w:rPr>
          <w:rFonts w:ascii="Arial" w:hAnsi="Arial" w:cs="Arial"/>
          <w:sz w:val="22"/>
          <w:szCs w:val="22"/>
        </w:rPr>
        <w:t>Romosozumab</w:t>
      </w:r>
      <w:proofErr w:type="spellEnd"/>
      <w:r w:rsidR="00B14023" w:rsidRPr="00A6203D">
        <w:rPr>
          <w:rFonts w:ascii="Arial" w:hAnsi="Arial" w:cs="Arial"/>
          <w:sz w:val="22"/>
          <w:szCs w:val="22"/>
        </w:rPr>
        <w:t xml:space="preserve"> is a monoclonal antibody to sclerostin and stimulates bone formation and inhibits bone resorption</w:t>
      </w:r>
      <w:r w:rsidR="00CC2EE3" w:rsidRPr="00A6203D">
        <w:rPr>
          <w:rFonts w:ascii="Arial" w:hAnsi="Arial" w:cs="Arial"/>
          <w:sz w:val="22"/>
          <w:szCs w:val="22"/>
        </w:rPr>
        <w:t xml:space="preserve">. </w:t>
      </w:r>
      <w:r w:rsidRPr="00A6203D">
        <w:rPr>
          <w:rFonts w:ascii="Arial" w:hAnsi="Arial" w:cs="Arial"/>
          <w:sz w:val="22"/>
          <w:szCs w:val="22"/>
        </w:rPr>
        <w:t>In selection of the optimal therapy for a given individual, it is important to consider patient preference, cost, mode of administration, duration of treatment</w:t>
      </w:r>
      <w:r w:rsidR="00CC2EE3" w:rsidRPr="00A6203D">
        <w:rPr>
          <w:rFonts w:ascii="Arial" w:hAnsi="Arial" w:cs="Arial"/>
          <w:sz w:val="22"/>
          <w:szCs w:val="22"/>
        </w:rPr>
        <w:t>,</w:t>
      </w:r>
      <w:r w:rsidRPr="00A6203D">
        <w:rPr>
          <w:rFonts w:ascii="Arial" w:hAnsi="Arial" w:cs="Arial"/>
          <w:sz w:val="22"/>
          <w:szCs w:val="22"/>
        </w:rPr>
        <w:t xml:space="preserve"> and the effects of a treatment on reduction of spine, hip and other non-spine fractures. </w:t>
      </w:r>
      <w:hyperlink r:id="rId55" w:tgtFrame="object" w:history="1">
        <w:r w:rsidRPr="00A6203D">
          <w:rPr>
            <w:rStyle w:val="Hyperlink"/>
            <w:rFonts w:ascii="Arial" w:hAnsi="Arial" w:cs="Arial"/>
            <w:color w:val="auto"/>
            <w:sz w:val="22"/>
            <w:szCs w:val="22"/>
            <w:u w:val="none"/>
          </w:rPr>
          <w:t>Tables 4</w:t>
        </w:r>
      </w:hyperlink>
      <w:r w:rsidRPr="00A6203D">
        <w:rPr>
          <w:rFonts w:ascii="Arial" w:hAnsi="Arial" w:cs="Arial"/>
          <w:sz w:val="22"/>
          <w:szCs w:val="22"/>
        </w:rPr>
        <w:t xml:space="preserve"> and </w:t>
      </w:r>
      <w:r w:rsidR="001C0740" w:rsidRPr="00A6203D">
        <w:rPr>
          <w:rFonts w:ascii="Arial" w:hAnsi="Arial" w:cs="Arial"/>
          <w:sz w:val="22"/>
          <w:szCs w:val="22"/>
        </w:rPr>
        <w:t>5</w:t>
      </w:r>
      <w:r w:rsidRPr="00A6203D">
        <w:rPr>
          <w:rFonts w:ascii="Arial" w:hAnsi="Arial" w:cs="Arial"/>
          <w:sz w:val="22"/>
          <w:szCs w:val="22"/>
        </w:rPr>
        <w:t xml:space="preserve"> lists the currently available osteoporosis drugs approved by the FDA, their dosage, indication, and general efficacy for fracture reduction.</w:t>
      </w:r>
    </w:p>
    <w:p w14:paraId="7B52563F" w14:textId="77777777" w:rsidR="00DC266C" w:rsidRPr="00A6203D" w:rsidRDefault="00DC266C" w:rsidP="00CE7C7B">
      <w:pPr>
        <w:spacing w:line="276" w:lineRule="auto"/>
        <w:rPr>
          <w:rFonts w:ascii="Arial" w:hAnsi="Arial" w:cs="Arial"/>
          <w:b/>
          <w:bCs/>
          <w:sz w:val="22"/>
          <w:szCs w:val="22"/>
        </w:rPr>
      </w:pPr>
    </w:p>
    <w:p w14:paraId="7FAFE75E" w14:textId="56B510CC"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HORMONE REPLACEMENT THERAPY</w:t>
      </w:r>
    </w:p>
    <w:p w14:paraId="0B80355E" w14:textId="77777777" w:rsidR="00DC266C" w:rsidRPr="00A6203D" w:rsidRDefault="00DC266C" w:rsidP="00CE7C7B">
      <w:pPr>
        <w:spacing w:line="276" w:lineRule="auto"/>
        <w:rPr>
          <w:rFonts w:ascii="Arial" w:hAnsi="Arial" w:cs="Arial"/>
          <w:sz w:val="22"/>
          <w:szCs w:val="22"/>
        </w:rPr>
      </w:pPr>
    </w:p>
    <w:p w14:paraId="1A4BFC8F" w14:textId="20C39D8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postmenopausal women, it is well known that estrogen therapy (ET) and hormone therapy [estrogen plus progesterone (HT)] prevent bone loss and increase BMD through interaction with estrogen receptors on bone cells, activation of tissue-specific genes and proteins, and/or a reduction in cytokines that stimulate osteoclast function (</w:t>
      </w:r>
      <w:hyperlink r:id="rId56" w:history="1">
        <w:r w:rsidRPr="00A6203D">
          <w:rPr>
            <w:rStyle w:val="Hyperlink"/>
            <w:rFonts w:ascii="Arial" w:hAnsi="Arial" w:cs="Arial"/>
            <w:color w:val="auto"/>
            <w:sz w:val="22"/>
            <w:szCs w:val="22"/>
            <w:u w:val="none"/>
          </w:rPr>
          <w:t>51-54</w:t>
        </w:r>
      </w:hyperlink>
      <w:r w:rsidRPr="00A6203D">
        <w:rPr>
          <w:rFonts w:ascii="Arial" w:hAnsi="Arial" w:cs="Arial"/>
          <w:sz w:val="22"/>
          <w:szCs w:val="22"/>
        </w:rPr>
        <w:t>). In addition to the bone density benefit, the Women’s Health Initiative (WHI) did show that HT resulted in a 34% reduction in the risk of hip fractures and clinical spine fractures (</w:t>
      </w:r>
      <w:hyperlink r:id="rId57" w:history="1">
        <w:r w:rsidRPr="00A6203D">
          <w:rPr>
            <w:rStyle w:val="Hyperlink"/>
            <w:rFonts w:ascii="Arial" w:hAnsi="Arial" w:cs="Arial"/>
            <w:color w:val="auto"/>
            <w:sz w:val="22"/>
            <w:szCs w:val="22"/>
            <w:u w:val="none"/>
          </w:rPr>
          <w:t>55</w:t>
        </w:r>
      </w:hyperlink>
      <w:r w:rsidRPr="00A6203D">
        <w:rPr>
          <w:rFonts w:ascii="Arial" w:hAnsi="Arial" w:cs="Arial"/>
          <w:sz w:val="22"/>
          <w:szCs w:val="22"/>
        </w:rPr>
        <w:t>). However, the risks – increases in breast cancer, coronary heart disease (CHD), pulmonary embolism (PE), and stroke, outweighed the benefits. In addition, after cessation of ET or HT, the benefit of fracture reduction is not sustained (</w:t>
      </w:r>
      <w:hyperlink r:id="rId58" w:history="1">
        <w:r w:rsidRPr="00A6203D">
          <w:rPr>
            <w:rStyle w:val="Hyperlink"/>
            <w:rFonts w:ascii="Arial" w:hAnsi="Arial" w:cs="Arial"/>
            <w:color w:val="auto"/>
            <w:sz w:val="22"/>
            <w:szCs w:val="22"/>
            <w:u w:val="none"/>
          </w:rPr>
          <w:t>56</w:t>
        </w:r>
      </w:hyperlink>
      <w:r w:rsidRPr="00A6203D">
        <w:rPr>
          <w:rFonts w:ascii="Arial" w:hAnsi="Arial" w:cs="Arial"/>
          <w:sz w:val="22"/>
          <w:szCs w:val="22"/>
        </w:rPr>
        <w:t>,</w:t>
      </w:r>
      <w:hyperlink r:id="rId59" w:history="1">
        <w:r w:rsidRPr="00A6203D">
          <w:rPr>
            <w:rStyle w:val="Hyperlink"/>
            <w:rFonts w:ascii="Arial" w:hAnsi="Arial" w:cs="Arial"/>
            <w:color w:val="auto"/>
            <w:sz w:val="22"/>
            <w:szCs w:val="22"/>
            <w:u w:val="none"/>
          </w:rPr>
          <w:t>57</w:t>
        </w:r>
      </w:hyperlink>
      <w:r w:rsidRPr="00A6203D">
        <w:rPr>
          <w:rFonts w:ascii="Arial" w:hAnsi="Arial" w:cs="Arial"/>
          <w:sz w:val="22"/>
          <w:szCs w:val="22"/>
        </w:rPr>
        <w:t>). Although data from the WHI show that ET and HT reduce fractures, ET and HT are FDA-approved for the prevention of fractures but not for the treatment of osteoporosis (</w:t>
      </w:r>
      <w:hyperlink r:id="rId60" w:history="1">
        <w:r w:rsidRPr="00A6203D">
          <w:rPr>
            <w:rStyle w:val="Hyperlink"/>
            <w:rFonts w:ascii="Arial" w:hAnsi="Arial" w:cs="Arial"/>
            <w:color w:val="auto"/>
            <w:sz w:val="22"/>
            <w:szCs w:val="22"/>
            <w:u w:val="none"/>
          </w:rPr>
          <w:t>55</w:t>
        </w:r>
      </w:hyperlink>
      <w:r w:rsidRPr="00A6203D">
        <w:rPr>
          <w:rFonts w:ascii="Arial" w:hAnsi="Arial" w:cs="Arial"/>
          <w:sz w:val="22"/>
          <w:szCs w:val="22"/>
        </w:rPr>
        <w:t>,</w:t>
      </w:r>
      <w:hyperlink r:id="rId61" w:history="1">
        <w:r w:rsidRPr="00A6203D">
          <w:rPr>
            <w:rStyle w:val="Hyperlink"/>
            <w:rFonts w:ascii="Arial" w:hAnsi="Arial" w:cs="Arial"/>
            <w:color w:val="auto"/>
            <w:sz w:val="22"/>
            <w:szCs w:val="22"/>
            <w:u w:val="none"/>
          </w:rPr>
          <w:t>58</w:t>
        </w:r>
      </w:hyperlink>
      <w:r w:rsidRPr="00A6203D">
        <w:rPr>
          <w:rFonts w:ascii="Arial" w:hAnsi="Arial" w:cs="Arial"/>
          <w:sz w:val="22"/>
          <w:szCs w:val="22"/>
        </w:rPr>
        <w:t>).</w:t>
      </w:r>
    </w:p>
    <w:p w14:paraId="7024B3B7" w14:textId="045E3569" w:rsidR="005E6870" w:rsidRPr="00A6203D" w:rsidRDefault="00A63413" w:rsidP="00CE7C7B">
      <w:pPr>
        <w:spacing w:line="276" w:lineRule="auto"/>
        <w:rPr>
          <w:rFonts w:ascii="Arial" w:hAnsi="Arial" w:cs="Arial"/>
          <w:sz w:val="22"/>
          <w:szCs w:val="22"/>
        </w:rPr>
      </w:pPr>
      <w:r w:rsidRPr="00A6203D">
        <w:rPr>
          <w:rFonts w:ascii="Arial" w:hAnsi="Arial" w:cs="Arial"/>
          <w:sz w:val="22"/>
          <w:szCs w:val="22"/>
        </w:rPr>
        <w:t xml:space="preserve">Data </w:t>
      </w:r>
      <w:r w:rsidR="005E6870" w:rsidRPr="00A6203D">
        <w:rPr>
          <w:rFonts w:ascii="Arial" w:hAnsi="Arial" w:cs="Arial"/>
          <w:sz w:val="22"/>
          <w:szCs w:val="22"/>
        </w:rPr>
        <w:t xml:space="preserve">has </w:t>
      </w:r>
      <w:r w:rsidR="00A6203D" w:rsidRPr="00A6203D">
        <w:rPr>
          <w:rFonts w:ascii="Arial" w:hAnsi="Arial" w:cs="Arial"/>
          <w:sz w:val="22"/>
          <w:szCs w:val="22"/>
        </w:rPr>
        <w:t>shown potential</w:t>
      </w:r>
      <w:r w:rsidR="005E6870" w:rsidRPr="00A6203D">
        <w:rPr>
          <w:rFonts w:ascii="Arial" w:hAnsi="Arial" w:cs="Arial"/>
          <w:sz w:val="22"/>
          <w:szCs w:val="22"/>
        </w:rPr>
        <w:t xml:space="preserve"> cardiovascular safety with use of ET in early menopause, though this remains controversial (the “critical window” hypothesis) (</w:t>
      </w:r>
      <w:hyperlink r:id="rId62" w:history="1">
        <w:r w:rsidR="005E6870" w:rsidRPr="00A6203D">
          <w:rPr>
            <w:rStyle w:val="Hyperlink"/>
            <w:rFonts w:ascii="Arial" w:hAnsi="Arial" w:cs="Arial"/>
            <w:color w:val="auto"/>
            <w:sz w:val="22"/>
            <w:szCs w:val="22"/>
            <w:u w:val="none"/>
          </w:rPr>
          <w:t>59-61</w:t>
        </w:r>
      </w:hyperlink>
      <w:r w:rsidR="005E6870" w:rsidRPr="00A6203D">
        <w:rPr>
          <w:rFonts w:ascii="Arial" w:hAnsi="Arial" w:cs="Arial"/>
          <w:sz w:val="22"/>
          <w:szCs w:val="22"/>
        </w:rPr>
        <w:t>).</w:t>
      </w:r>
    </w:p>
    <w:p w14:paraId="18E3A090" w14:textId="77777777" w:rsidR="00DC266C" w:rsidRPr="00A6203D" w:rsidRDefault="00DC266C" w:rsidP="00CE7C7B">
      <w:pPr>
        <w:spacing w:line="276" w:lineRule="auto"/>
        <w:rPr>
          <w:rFonts w:ascii="Arial" w:hAnsi="Arial" w:cs="Arial"/>
          <w:sz w:val="22"/>
          <w:szCs w:val="22"/>
        </w:rPr>
      </w:pPr>
    </w:p>
    <w:p w14:paraId="4B0F7568" w14:textId="6F937041"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Unlike oral estrogens, in postmenopausal women transdermal estrogens do not adversely affect clotting factors, and are therefore preferred. Transdermal estrogens prevent bone loss and are available in low doses (e.g.</w:t>
      </w:r>
      <w:r w:rsidR="00DC266C" w:rsidRPr="00A6203D">
        <w:rPr>
          <w:rFonts w:ascii="Arial" w:hAnsi="Arial" w:cs="Arial"/>
          <w:sz w:val="22"/>
          <w:szCs w:val="22"/>
        </w:rPr>
        <w:t>,</w:t>
      </w:r>
      <w:r w:rsidRPr="00A6203D">
        <w:rPr>
          <w:rFonts w:ascii="Arial" w:hAnsi="Arial" w:cs="Arial"/>
          <w:sz w:val="22"/>
          <w:szCs w:val="22"/>
        </w:rPr>
        <w:t xml:space="preserve"> 0.014 to 0.0375 mg daily patch applied 2x/week). In women with premature or early menopause, hormone replacement can be considered until the natural age of menopause (51.3 years) (</w:t>
      </w:r>
      <w:hyperlink r:id="rId63" w:history="1">
        <w:r w:rsidRPr="00A6203D">
          <w:rPr>
            <w:rStyle w:val="Hyperlink"/>
            <w:rFonts w:ascii="Arial" w:hAnsi="Arial" w:cs="Arial"/>
            <w:color w:val="auto"/>
            <w:sz w:val="22"/>
            <w:szCs w:val="22"/>
            <w:u w:val="none"/>
          </w:rPr>
          <w:t>62</w:t>
        </w:r>
      </w:hyperlink>
      <w:r w:rsidRPr="00A6203D">
        <w:rPr>
          <w:rFonts w:ascii="Arial" w:hAnsi="Arial" w:cs="Arial"/>
          <w:sz w:val="22"/>
          <w:szCs w:val="22"/>
        </w:rPr>
        <w:t xml:space="preserve">). Before estrogen is prescribed, the benefits versus the risks of cardiovascular disease, stroke, and breast cancer should be reviewed. When prescribing </w:t>
      </w:r>
      <w:r w:rsidRPr="00A6203D">
        <w:rPr>
          <w:rFonts w:ascii="Arial" w:hAnsi="Arial" w:cs="Arial"/>
          <w:sz w:val="22"/>
          <w:szCs w:val="22"/>
        </w:rPr>
        <w:lastRenderedPageBreak/>
        <w:t>estrogen, the FDA recommends the following: consider all non-estrogen preparations first for osteoporosis prevention; use the lowest dose of HT/ET for the shortest time interval to achieve therapeutic goals; and prescribe HT/ET when benefits outweigh risks in a given woman.</w:t>
      </w:r>
    </w:p>
    <w:p w14:paraId="52FBEA32" w14:textId="77777777" w:rsidR="00DC266C" w:rsidRPr="00A6203D" w:rsidRDefault="00DC266C" w:rsidP="00CE7C7B">
      <w:pPr>
        <w:spacing w:line="276" w:lineRule="auto"/>
        <w:rPr>
          <w:rFonts w:ascii="Arial" w:hAnsi="Arial" w:cs="Arial"/>
          <w:b/>
          <w:bCs/>
          <w:sz w:val="22"/>
          <w:szCs w:val="22"/>
        </w:rPr>
      </w:pPr>
    </w:p>
    <w:p w14:paraId="5048D781" w14:textId="2E94D38D" w:rsidR="005E6870" w:rsidRPr="00260F4E" w:rsidRDefault="005E6870" w:rsidP="00CE7C7B">
      <w:pPr>
        <w:spacing w:line="276" w:lineRule="auto"/>
        <w:rPr>
          <w:rFonts w:ascii="Arial" w:hAnsi="Arial" w:cs="Arial"/>
          <w:b/>
          <w:bCs/>
          <w:color w:val="00B050"/>
          <w:sz w:val="22"/>
          <w:szCs w:val="22"/>
        </w:rPr>
      </w:pPr>
      <w:r w:rsidRPr="00260F4E">
        <w:rPr>
          <w:rFonts w:ascii="Arial" w:hAnsi="Arial" w:cs="Arial"/>
          <w:b/>
          <w:bCs/>
          <w:color w:val="00B050"/>
          <w:sz w:val="22"/>
          <w:szCs w:val="22"/>
        </w:rPr>
        <w:t>E</w:t>
      </w:r>
      <w:r w:rsidR="00260F4E" w:rsidRPr="00260F4E">
        <w:rPr>
          <w:rFonts w:ascii="Arial" w:hAnsi="Arial" w:cs="Arial"/>
          <w:b/>
          <w:bCs/>
          <w:color w:val="00B050"/>
          <w:sz w:val="22"/>
          <w:szCs w:val="22"/>
        </w:rPr>
        <w:t xml:space="preserve">strogen Agonist/Antagonists </w:t>
      </w:r>
    </w:p>
    <w:p w14:paraId="2FF3CB33" w14:textId="77777777" w:rsidR="00DC266C" w:rsidRPr="00A6203D" w:rsidRDefault="00DC266C" w:rsidP="00CE7C7B">
      <w:pPr>
        <w:spacing w:line="276" w:lineRule="auto"/>
        <w:rPr>
          <w:rFonts w:ascii="Arial" w:hAnsi="Arial" w:cs="Arial"/>
          <w:sz w:val="22"/>
          <w:szCs w:val="22"/>
        </w:rPr>
      </w:pPr>
    </w:p>
    <w:p w14:paraId="15803E77" w14:textId="2554595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Estrogen Selective agonists/antagonists previously classified as selective estrogen receptor modulators (SERMs) are a class of drugs that bind to estrogen receptors and can selectively function as agonists or antagonists in different tissues. Raloxifene (</w:t>
      </w:r>
      <w:proofErr w:type="spellStart"/>
      <w:r w:rsidRPr="00A6203D">
        <w:rPr>
          <w:rFonts w:ascii="Arial" w:hAnsi="Arial" w:cs="Arial"/>
          <w:sz w:val="22"/>
          <w:szCs w:val="22"/>
        </w:rPr>
        <w:t>Evista</w:t>
      </w:r>
      <w:proofErr w:type="spellEnd"/>
      <w:r w:rsidRPr="00A6203D">
        <w:rPr>
          <w:rFonts w:ascii="Arial" w:hAnsi="Arial" w:cs="Arial"/>
          <w:sz w:val="22"/>
          <w:szCs w:val="22"/>
        </w:rPr>
        <w:t>™) is Food and Drug Administration (FDA) approved for the prevention and treatment of osteoporosis. Raloxifene was also approved by the FDA in 2007 for reduction in the risk of invasive breast cancer in post-menopausal women with osteoporosis and postmenopausal women at high risk for invasive breast cancer. The Multiple Outcomes of Raloxifene Evaluation (MORE) study was a randomized clinical trial of the effects of raloxifene versus placebo on bone density and fractures in 7,705 postmenopausal women (mean age of 67 years) with osteoporosis. Compared with placebo, raloxifene treatment for three years increased BMD of the spine by 2.6% and of the femoral neck by 2.1%. Over three years, raloxifene reduced spine fractures by 55% in women without prevalent vertebral fractures and by 30% in women with more than one prevalent vertebral fracture (</w:t>
      </w:r>
      <w:hyperlink r:id="rId64" w:history="1">
        <w:r w:rsidRPr="00A6203D">
          <w:rPr>
            <w:rStyle w:val="Hyperlink"/>
            <w:rFonts w:ascii="Arial" w:hAnsi="Arial" w:cs="Arial"/>
            <w:color w:val="auto"/>
            <w:sz w:val="22"/>
            <w:szCs w:val="22"/>
            <w:u w:val="none"/>
          </w:rPr>
          <w:t>63</w:t>
        </w:r>
      </w:hyperlink>
      <w:r w:rsidRPr="00A6203D">
        <w:rPr>
          <w:rFonts w:ascii="Arial" w:hAnsi="Arial" w:cs="Arial"/>
          <w:sz w:val="22"/>
          <w:szCs w:val="22"/>
        </w:rPr>
        <w:t xml:space="preserve">). Raloxifene therapy did not lead to a reduction in hip or wrist fractures, which was further confirmed in the Continuing Outcomes Relevant to </w:t>
      </w:r>
      <w:proofErr w:type="spellStart"/>
      <w:r w:rsidRPr="00A6203D">
        <w:rPr>
          <w:rFonts w:ascii="Arial" w:hAnsi="Arial" w:cs="Arial"/>
          <w:sz w:val="22"/>
          <w:szCs w:val="22"/>
        </w:rPr>
        <w:t>Evista</w:t>
      </w:r>
      <w:proofErr w:type="spellEnd"/>
      <w:r w:rsidRPr="00A6203D">
        <w:rPr>
          <w:rFonts w:ascii="Arial" w:hAnsi="Arial" w:cs="Arial"/>
          <w:sz w:val="22"/>
          <w:szCs w:val="22"/>
        </w:rPr>
        <w:t xml:space="preserve"> (CORE) trial (</w:t>
      </w:r>
      <w:hyperlink r:id="rId65" w:history="1">
        <w:r w:rsidRPr="00A6203D">
          <w:rPr>
            <w:rStyle w:val="Hyperlink"/>
            <w:rFonts w:ascii="Arial" w:hAnsi="Arial" w:cs="Arial"/>
            <w:color w:val="auto"/>
            <w:sz w:val="22"/>
            <w:szCs w:val="22"/>
            <w:u w:val="none"/>
          </w:rPr>
          <w:t>64</w:t>
        </w:r>
      </w:hyperlink>
      <w:r w:rsidRPr="00A6203D">
        <w:rPr>
          <w:rFonts w:ascii="Arial" w:hAnsi="Arial" w:cs="Arial"/>
          <w:sz w:val="22"/>
          <w:szCs w:val="22"/>
        </w:rPr>
        <w:t>). Additional benefits of raloxifene include the reduction in invasive breast cancer risk and mild decreases in LDL-cholesterol, with no effect on the risk of cardiovascular disease.</w:t>
      </w:r>
    </w:p>
    <w:p w14:paraId="1447F3CC" w14:textId="77777777" w:rsidR="00DC266C" w:rsidRPr="00A6203D" w:rsidRDefault="00DC266C" w:rsidP="00CE7C7B">
      <w:pPr>
        <w:spacing w:line="276" w:lineRule="auto"/>
        <w:rPr>
          <w:rFonts w:ascii="Arial" w:hAnsi="Arial" w:cs="Arial"/>
          <w:sz w:val="22"/>
          <w:szCs w:val="22"/>
        </w:rPr>
      </w:pPr>
    </w:p>
    <w:p w14:paraId="73E92375" w14:textId="36C73BA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side effects of raloxifene include an increase in deep venous thrombosis similar to use of estrogen, along with a small increase in hot flashes and leg cramps, and a small increased risk of fatal stroke in the Raloxifene Use for the Heart (RUTH trial).</w:t>
      </w:r>
    </w:p>
    <w:p w14:paraId="40A1A9C6" w14:textId="77777777" w:rsidR="00DC266C" w:rsidRPr="00A6203D" w:rsidRDefault="00DC266C" w:rsidP="00CE7C7B">
      <w:pPr>
        <w:spacing w:line="276" w:lineRule="auto"/>
        <w:rPr>
          <w:rFonts w:ascii="Arial" w:hAnsi="Arial" w:cs="Arial"/>
          <w:sz w:val="22"/>
          <w:szCs w:val="22"/>
        </w:rPr>
      </w:pPr>
    </w:p>
    <w:p w14:paraId="5202439A" w14:textId="1ECC2048"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Tamoxifen, a SERM used for the prevention and treatment of estrogen receptor-positive breast cancer, has estrogen-like effects in bone. It also stimulates the endometrium and can result in uterine hyperplasia or malignancy (</w:t>
      </w:r>
      <w:hyperlink r:id="rId66" w:history="1">
        <w:r w:rsidRPr="00A6203D">
          <w:rPr>
            <w:rStyle w:val="Hyperlink"/>
            <w:rFonts w:ascii="Arial" w:hAnsi="Arial" w:cs="Arial"/>
            <w:color w:val="auto"/>
            <w:sz w:val="22"/>
            <w:szCs w:val="22"/>
            <w:u w:val="none"/>
          </w:rPr>
          <w:t>65</w:t>
        </w:r>
      </w:hyperlink>
      <w:r w:rsidRPr="00A6203D">
        <w:rPr>
          <w:rFonts w:ascii="Arial" w:hAnsi="Arial" w:cs="Arial"/>
          <w:sz w:val="22"/>
          <w:szCs w:val="22"/>
        </w:rPr>
        <w:t xml:space="preserve">).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w:t>
      </w:r>
      <w:proofErr w:type="spellStart"/>
      <w:r w:rsidRPr="00A6203D">
        <w:rPr>
          <w:rFonts w:ascii="Arial" w:hAnsi="Arial" w:cs="Arial"/>
          <w:sz w:val="22"/>
          <w:szCs w:val="22"/>
        </w:rPr>
        <w:t>lasofoxifene</w:t>
      </w:r>
      <w:proofErr w:type="spellEnd"/>
      <w:r w:rsidRPr="00A6203D">
        <w:rPr>
          <w:rFonts w:ascii="Arial" w:hAnsi="Arial" w:cs="Arial"/>
          <w:sz w:val="22"/>
          <w:szCs w:val="22"/>
        </w:rPr>
        <w:t xml:space="preserve">, and </w:t>
      </w:r>
      <w:proofErr w:type="spellStart"/>
      <w:r w:rsidRPr="00A6203D">
        <w:rPr>
          <w:rFonts w:ascii="Arial" w:hAnsi="Arial" w:cs="Arial"/>
          <w:sz w:val="22"/>
          <w:szCs w:val="22"/>
        </w:rPr>
        <w:t>arzoxifene</w:t>
      </w:r>
      <w:proofErr w:type="spellEnd"/>
      <w:r w:rsidRPr="00A6203D">
        <w:rPr>
          <w:rFonts w:ascii="Arial" w:hAnsi="Arial" w:cs="Arial"/>
          <w:sz w:val="22"/>
          <w:szCs w:val="22"/>
        </w:rPr>
        <w:t xml:space="preserve"> are third-generation SERMs, none of which appear to cause endometrial hyperplasia (</w:t>
      </w:r>
      <w:hyperlink r:id="rId67" w:history="1">
        <w:r w:rsidRPr="00A6203D">
          <w:rPr>
            <w:rStyle w:val="Hyperlink"/>
            <w:rFonts w:ascii="Arial" w:hAnsi="Arial" w:cs="Arial"/>
            <w:color w:val="auto"/>
            <w:sz w:val="22"/>
            <w:szCs w:val="22"/>
            <w:u w:val="none"/>
          </w:rPr>
          <w:t>66</w:t>
        </w:r>
      </w:hyperlink>
      <w:r w:rsidRPr="00A6203D">
        <w:rPr>
          <w:rFonts w:ascii="Arial" w:hAnsi="Arial" w:cs="Arial"/>
          <w:sz w:val="22"/>
          <w:szCs w:val="22"/>
        </w:rPr>
        <w:t>,</w:t>
      </w:r>
      <w:hyperlink r:id="rId68" w:history="1">
        <w:r w:rsidRPr="00A6203D">
          <w:rPr>
            <w:rStyle w:val="Hyperlink"/>
            <w:rFonts w:ascii="Arial" w:hAnsi="Arial" w:cs="Arial"/>
            <w:color w:val="auto"/>
            <w:sz w:val="22"/>
            <w:szCs w:val="22"/>
            <w:u w:val="none"/>
          </w:rPr>
          <w:t>67</w:t>
        </w:r>
      </w:hyperlink>
      <w:r w:rsidRPr="00A6203D">
        <w:rPr>
          <w:rFonts w:ascii="Arial" w:hAnsi="Arial" w:cs="Arial"/>
          <w:sz w:val="22"/>
          <w:szCs w:val="22"/>
        </w:rPr>
        <w:t xml:space="preserve">). In a study of 7492 postmenopausal women with osteoporosis, women who received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(20 mg or 40 mg daily) compared with placebo had a lower incidence of new vertebral fractures, but not non-spine fractures (</w:t>
      </w:r>
      <w:hyperlink r:id="rId69" w:history="1">
        <w:r w:rsidRPr="00A6203D">
          <w:rPr>
            <w:rStyle w:val="Hyperlink"/>
            <w:rFonts w:ascii="Arial" w:hAnsi="Arial" w:cs="Arial"/>
            <w:color w:val="auto"/>
            <w:sz w:val="22"/>
            <w:szCs w:val="22"/>
            <w:u w:val="none"/>
          </w:rPr>
          <w:t>68</w:t>
        </w:r>
      </w:hyperlink>
      <w:r w:rsidRPr="00A6203D">
        <w:rPr>
          <w:rFonts w:ascii="Arial" w:hAnsi="Arial" w:cs="Arial"/>
          <w:sz w:val="22"/>
          <w:szCs w:val="22"/>
        </w:rPr>
        <w:t xml:space="preserve">). In a 7-year phase III, placebo-controlled study of 7492 women with osteoporosis , </w:t>
      </w:r>
      <w:proofErr w:type="spellStart"/>
      <w:r w:rsidRPr="00A6203D">
        <w:rPr>
          <w:rFonts w:ascii="Arial" w:hAnsi="Arial" w:cs="Arial"/>
          <w:sz w:val="22"/>
          <w:szCs w:val="22"/>
        </w:rPr>
        <w:t>bazodoxifene</w:t>
      </w:r>
      <w:proofErr w:type="spellEnd"/>
      <w:r w:rsidRPr="00A6203D">
        <w:rPr>
          <w:rFonts w:ascii="Arial" w:hAnsi="Arial" w:cs="Arial"/>
          <w:sz w:val="22"/>
          <w:szCs w:val="22"/>
        </w:rPr>
        <w:t xml:space="preserve"> versus placebo resulted in a 36.5% (40 mg daily dose) and 30.4% (20 mg daily dose) reduction in morphogenic spine fractures and no effect of overall incidence of nonvertebral fractures (</w:t>
      </w:r>
      <w:hyperlink r:id="rId70" w:history="1">
        <w:r w:rsidRPr="00A6203D">
          <w:rPr>
            <w:rStyle w:val="Hyperlink"/>
            <w:rFonts w:ascii="Arial" w:hAnsi="Arial" w:cs="Arial"/>
            <w:color w:val="auto"/>
            <w:sz w:val="22"/>
            <w:szCs w:val="22"/>
            <w:u w:val="none"/>
          </w:rPr>
          <w:t>69</w:t>
        </w:r>
      </w:hyperlink>
      <w:r w:rsidRPr="00A6203D">
        <w:rPr>
          <w:rFonts w:ascii="Arial" w:hAnsi="Arial" w:cs="Arial"/>
          <w:sz w:val="22"/>
          <w:szCs w:val="22"/>
        </w:rPr>
        <w:t xml:space="preserve">). In October, 2013, a combination of conjugated estrogens plus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w:t>
      </w:r>
      <w:proofErr w:type="spellStart"/>
      <w:r w:rsidRPr="00A6203D">
        <w:rPr>
          <w:rFonts w:ascii="Arial" w:hAnsi="Arial" w:cs="Arial"/>
          <w:sz w:val="22"/>
          <w:szCs w:val="22"/>
        </w:rPr>
        <w:t>Duavee</w:t>
      </w:r>
      <w:r w:rsidRPr="00A6203D">
        <w:rPr>
          <w:rFonts w:ascii="Arial" w:hAnsi="Arial" w:cs="Arial"/>
          <w:sz w:val="22"/>
          <w:szCs w:val="22"/>
          <w:vertAlign w:val="superscript"/>
        </w:rPr>
        <w:t>TM</w:t>
      </w:r>
      <w:proofErr w:type="spellEnd"/>
      <w:r w:rsidRPr="00A6203D">
        <w:rPr>
          <w:rFonts w:ascii="Arial" w:hAnsi="Arial" w:cs="Arial"/>
          <w:sz w:val="22"/>
          <w:szCs w:val="22"/>
        </w:rPr>
        <w:t>) was FDA-approved for the treatment of moderate-severe vasomotor symptoms related to menopause and to prevent osteoporosis after menopause.</w:t>
      </w:r>
    </w:p>
    <w:p w14:paraId="7794CA2D" w14:textId="77777777" w:rsidR="00DC266C" w:rsidRPr="00A6203D" w:rsidRDefault="00DC266C" w:rsidP="00CE7C7B">
      <w:pPr>
        <w:spacing w:line="276" w:lineRule="auto"/>
        <w:rPr>
          <w:rFonts w:ascii="Arial" w:hAnsi="Arial" w:cs="Arial"/>
          <w:sz w:val="22"/>
          <w:szCs w:val="22"/>
        </w:rPr>
      </w:pPr>
    </w:p>
    <w:p w14:paraId="3BE84DC7" w14:textId="14FAE0F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At present raloxifene and </w:t>
      </w:r>
      <w:proofErr w:type="spellStart"/>
      <w:r w:rsidRPr="00A6203D">
        <w:rPr>
          <w:rFonts w:ascii="Arial" w:hAnsi="Arial" w:cs="Arial"/>
          <w:sz w:val="22"/>
          <w:szCs w:val="22"/>
        </w:rPr>
        <w:t>bazodoxifene</w:t>
      </w:r>
      <w:proofErr w:type="spellEnd"/>
      <w:r w:rsidRPr="00A6203D">
        <w:rPr>
          <w:rFonts w:ascii="Arial" w:hAnsi="Arial" w:cs="Arial"/>
          <w:sz w:val="22"/>
          <w:szCs w:val="22"/>
        </w:rPr>
        <w:t xml:space="preserve">, are the only estrogen agonist/antagonist that are FDA-approved for prevention (raloxifene and </w:t>
      </w:r>
      <w:proofErr w:type="spellStart"/>
      <w:r w:rsidRPr="00A6203D">
        <w:rPr>
          <w:rFonts w:ascii="Arial" w:hAnsi="Arial" w:cs="Arial"/>
          <w:sz w:val="22"/>
          <w:szCs w:val="22"/>
        </w:rPr>
        <w:t>bazodoxifene</w:t>
      </w:r>
      <w:proofErr w:type="spellEnd"/>
      <w:r w:rsidRPr="00A6203D">
        <w:rPr>
          <w:rFonts w:ascii="Arial" w:hAnsi="Arial" w:cs="Arial"/>
          <w:sz w:val="22"/>
          <w:szCs w:val="22"/>
        </w:rPr>
        <w:t>) and treatment (raloxifene only) of osteoporosis.</w:t>
      </w:r>
    </w:p>
    <w:p w14:paraId="20E433DC" w14:textId="1A4D450B" w:rsidR="005E6870" w:rsidRPr="00A6203D" w:rsidRDefault="005E6870" w:rsidP="00CE7C7B">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141"/>
        <w:gridCol w:w="1938"/>
        <w:gridCol w:w="1631"/>
        <w:gridCol w:w="3640"/>
      </w:tblGrid>
      <w:tr w:rsidR="006714B4" w:rsidRPr="00A6203D" w14:paraId="3F722BAC" w14:textId="77777777" w:rsidTr="006714B4">
        <w:tc>
          <w:tcPr>
            <w:tcW w:w="0" w:type="auto"/>
            <w:gridSpan w:val="4"/>
            <w:shd w:val="clear" w:color="auto" w:fill="FFFF00"/>
          </w:tcPr>
          <w:p w14:paraId="09FCB9D7" w14:textId="64EC19FB" w:rsidR="006714B4" w:rsidRPr="00A6203D" w:rsidRDefault="006714B4" w:rsidP="006714B4">
            <w:pPr>
              <w:spacing w:line="276" w:lineRule="auto"/>
              <w:rPr>
                <w:rFonts w:ascii="Arial" w:hAnsi="Arial" w:cs="Arial"/>
                <w:b/>
                <w:bCs/>
                <w:sz w:val="22"/>
                <w:szCs w:val="22"/>
              </w:rPr>
            </w:pPr>
            <w:r w:rsidRPr="00A6203D">
              <w:rPr>
                <w:rFonts w:ascii="Arial" w:hAnsi="Arial" w:cs="Arial"/>
                <w:b/>
                <w:bCs/>
                <w:sz w:val="22"/>
                <w:szCs w:val="22"/>
              </w:rPr>
              <w:lastRenderedPageBreak/>
              <w:t>Table 4. Effects of FDA-</w:t>
            </w:r>
            <w:r w:rsidR="003D03BD">
              <w:rPr>
                <w:rFonts w:ascii="Arial" w:hAnsi="Arial" w:cs="Arial"/>
                <w:b/>
                <w:bCs/>
                <w:sz w:val="22"/>
                <w:szCs w:val="22"/>
              </w:rPr>
              <w:t>A</w:t>
            </w:r>
            <w:r w:rsidRPr="00A6203D">
              <w:rPr>
                <w:rFonts w:ascii="Arial" w:hAnsi="Arial" w:cs="Arial"/>
                <w:b/>
                <w:bCs/>
                <w:sz w:val="22"/>
                <w:szCs w:val="22"/>
              </w:rPr>
              <w:t>pproved Hormonal Osteoporosis Therapies on Fractures</w:t>
            </w:r>
          </w:p>
        </w:tc>
      </w:tr>
      <w:tr w:rsidR="005E6870" w:rsidRPr="00A6203D" w14:paraId="1E212A5C" w14:textId="77777777" w:rsidTr="00DE7193">
        <w:tc>
          <w:tcPr>
            <w:tcW w:w="0" w:type="auto"/>
            <w:hideMark/>
          </w:tcPr>
          <w:p w14:paraId="6DA64A13"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Drug</w:t>
            </w:r>
          </w:p>
        </w:tc>
        <w:tc>
          <w:tcPr>
            <w:tcW w:w="1938" w:type="dxa"/>
            <w:hideMark/>
          </w:tcPr>
          <w:p w14:paraId="1F749BDD"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Most Common Dosage</w:t>
            </w:r>
          </w:p>
        </w:tc>
        <w:tc>
          <w:tcPr>
            <w:tcW w:w="1631" w:type="dxa"/>
            <w:hideMark/>
          </w:tcPr>
          <w:p w14:paraId="578C228F"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Fracture Risk Reduction</w:t>
            </w:r>
          </w:p>
        </w:tc>
        <w:tc>
          <w:tcPr>
            <w:tcW w:w="0" w:type="auto"/>
            <w:hideMark/>
          </w:tcPr>
          <w:p w14:paraId="3616A769"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FDA Indications*</w:t>
            </w:r>
          </w:p>
        </w:tc>
      </w:tr>
      <w:tr w:rsidR="005E6870" w:rsidRPr="00A6203D" w14:paraId="5AC9AA72" w14:textId="77777777" w:rsidTr="00DE7193">
        <w:tc>
          <w:tcPr>
            <w:tcW w:w="0" w:type="auto"/>
            <w:hideMark/>
          </w:tcPr>
          <w:p w14:paraId="7962BC46"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Estrogen Therapy (ET) Hormone Therapy (HT)</w:t>
            </w:r>
          </w:p>
        </w:tc>
        <w:tc>
          <w:tcPr>
            <w:tcW w:w="1938" w:type="dxa"/>
            <w:hideMark/>
          </w:tcPr>
          <w:p w14:paraId="5BDDB3C0"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Many oral and transdermal preparations</w:t>
            </w:r>
          </w:p>
        </w:tc>
        <w:tc>
          <w:tcPr>
            <w:tcW w:w="1631" w:type="dxa"/>
            <w:hideMark/>
          </w:tcPr>
          <w:p w14:paraId="6345C35C"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total hip</w:t>
            </w:r>
          </w:p>
        </w:tc>
        <w:tc>
          <w:tcPr>
            <w:tcW w:w="0" w:type="auto"/>
            <w:hideMark/>
          </w:tcPr>
          <w:p w14:paraId="06648EDF"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PMO-Prevention</w:t>
            </w:r>
          </w:p>
        </w:tc>
      </w:tr>
      <w:tr w:rsidR="005E6870" w:rsidRPr="00A6203D" w14:paraId="0F12D344" w14:textId="77777777" w:rsidTr="00DE7193">
        <w:trPr>
          <w:trHeight w:val="1439"/>
        </w:trPr>
        <w:tc>
          <w:tcPr>
            <w:tcW w:w="0" w:type="auto"/>
            <w:hideMark/>
          </w:tcPr>
          <w:p w14:paraId="059CC26A" w14:textId="04CD0C9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Selective Estrogen Receptor Modulators</w:t>
            </w:r>
            <w:r w:rsidRPr="00A6203D">
              <w:rPr>
                <w:rFonts w:ascii="Arial" w:hAnsi="Arial" w:cs="Arial"/>
                <w:sz w:val="22"/>
                <w:szCs w:val="22"/>
              </w:rPr>
              <w:br/>
              <w:t>Raloxifene</w:t>
            </w:r>
            <w:r w:rsidRPr="00A6203D">
              <w:rPr>
                <w:rFonts w:ascii="Arial" w:hAnsi="Arial" w:cs="Arial"/>
                <w:sz w:val="22"/>
                <w:szCs w:val="22"/>
              </w:rPr>
              <w:br/>
            </w:r>
          </w:p>
        </w:tc>
        <w:tc>
          <w:tcPr>
            <w:tcW w:w="1938" w:type="dxa"/>
            <w:hideMark/>
          </w:tcPr>
          <w:p w14:paraId="69DB1EAB" w14:textId="19985A4D"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60 mg PO once daily</w:t>
            </w:r>
            <w:r w:rsidRPr="00A6203D">
              <w:rPr>
                <w:rFonts w:ascii="Arial" w:hAnsi="Arial" w:cs="Arial"/>
                <w:sz w:val="22"/>
                <w:szCs w:val="22"/>
              </w:rPr>
              <w:br/>
            </w:r>
          </w:p>
        </w:tc>
        <w:tc>
          <w:tcPr>
            <w:tcW w:w="1631" w:type="dxa"/>
            <w:hideMark/>
          </w:tcPr>
          <w:p w14:paraId="16346EE0" w14:textId="710BAC13"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w:t>
            </w:r>
            <w:r w:rsidRPr="00A6203D">
              <w:rPr>
                <w:rFonts w:ascii="Arial" w:hAnsi="Arial" w:cs="Arial"/>
                <w:sz w:val="22"/>
                <w:szCs w:val="22"/>
              </w:rPr>
              <w:br/>
            </w:r>
          </w:p>
        </w:tc>
        <w:tc>
          <w:tcPr>
            <w:tcW w:w="0" w:type="auto"/>
            <w:hideMark/>
          </w:tcPr>
          <w:p w14:paraId="748E384D" w14:textId="46D2A1D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 Prevention &amp; Treatment; Reduce risk of invasive breast cancer in patients with osteoporosis and increased risk of breast cancer.</w:t>
            </w:r>
            <w:r w:rsidRPr="00A6203D">
              <w:rPr>
                <w:rFonts w:ascii="Arial" w:hAnsi="Arial" w:cs="Arial"/>
                <w:sz w:val="22"/>
                <w:szCs w:val="22"/>
              </w:rPr>
              <w:br/>
            </w:r>
          </w:p>
        </w:tc>
      </w:tr>
      <w:tr w:rsidR="004426EE" w:rsidRPr="00A6203D" w14:paraId="6317D5A3" w14:textId="77777777" w:rsidTr="00DE7193">
        <w:trPr>
          <w:trHeight w:val="1439"/>
        </w:trPr>
        <w:tc>
          <w:tcPr>
            <w:tcW w:w="0" w:type="auto"/>
          </w:tcPr>
          <w:p w14:paraId="24470827" w14:textId="2FF9D5EE" w:rsidR="004426EE" w:rsidRPr="00A6203D" w:rsidRDefault="004426EE" w:rsidP="00CE7C7B">
            <w:pPr>
              <w:spacing w:line="276" w:lineRule="auto"/>
              <w:rPr>
                <w:rFonts w:ascii="Arial" w:hAnsi="Arial" w:cs="Arial"/>
                <w:sz w:val="22"/>
                <w:szCs w:val="22"/>
              </w:rPr>
            </w:pPr>
            <w:proofErr w:type="spellStart"/>
            <w:r w:rsidRPr="00A6203D">
              <w:rPr>
                <w:rFonts w:ascii="Arial" w:hAnsi="Arial" w:cs="Arial"/>
                <w:sz w:val="22"/>
                <w:szCs w:val="22"/>
              </w:rPr>
              <w:t>Basodoxifene</w:t>
            </w:r>
            <w:proofErr w:type="spellEnd"/>
            <w:r w:rsidRPr="00A6203D">
              <w:rPr>
                <w:rFonts w:ascii="Arial" w:hAnsi="Arial" w:cs="Arial"/>
                <w:sz w:val="22"/>
                <w:szCs w:val="22"/>
              </w:rPr>
              <w:t xml:space="preserve"> + conjugated estrogens</w:t>
            </w:r>
          </w:p>
        </w:tc>
        <w:tc>
          <w:tcPr>
            <w:tcW w:w="1938" w:type="dxa"/>
          </w:tcPr>
          <w:p w14:paraId="5410797D" w14:textId="418B698D" w:rsidR="004426EE" w:rsidRPr="00A6203D" w:rsidRDefault="004426EE" w:rsidP="00CE7C7B">
            <w:pPr>
              <w:spacing w:line="276" w:lineRule="auto"/>
              <w:rPr>
                <w:rFonts w:ascii="Arial" w:hAnsi="Arial" w:cs="Arial"/>
                <w:sz w:val="22"/>
                <w:szCs w:val="22"/>
              </w:rPr>
            </w:pPr>
            <w:r w:rsidRPr="00A6203D">
              <w:rPr>
                <w:rFonts w:ascii="Arial" w:hAnsi="Arial" w:cs="Arial"/>
                <w:sz w:val="22"/>
                <w:szCs w:val="22"/>
              </w:rPr>
              <w:t>20 mg/0.45 mg PO once daily</w:t>
            </w:r>
          </w:p>
        </w:tc>
        <w:tc>
          <w:tcPr>
            <w:tcW w:w="1631" w:type="dxa"/>
          </w:tcPr>
          <w:p w14:paraId="17118887" w14:textId="6A8489CD" w:rsidR="004426EE" w:rsidRPr="00A6203D" w:rsidRDefault="004426EE" w:rsidP="00CE7C7B">
            <w:pPr>
              <w:spacing w:line="276" w:lineRule="auto"/>
              <w:rPr>
                <w:rFonts w:ascii="Arial" w:hAnsi="Arial" w:cs="Arial"/>
                <w:sz w:val="22"/>
                <w:szCs w:val="22"/>
              </w:rPr>
            </w:pPr>
            <w:r w:rsidRPr="00A6203D">
              <w:rPr>
                <w:rFonts w:ascii="Arial" w:hAnsi="Arial" w:cs="Arial"/>
                <w:sz w:val="22"/>
                <w:szCs w:val="22"/>
              </w:rPr>
              <w:t>Spine</w:t>
            </w:r>
          </w:p>
        </w:tc>
        <w:tc>
          <w:tcPr>
            <w:tcW w:w="0" w:type="auto"/>
          </w:tcPr>
          <w:p w14:paraId="16AF6DE6" w14:textId="215CD09E" w:rsidR="004426EE" w:rsidRPr="00A6203D" w:rsidRDefault="004426EE" w:rsidP="00CE7C7B">
            <w:pPr>
              <w:spacing w:line="276" w:lineRule="auto"/>
              <w:rPr>
                <w:rFonts w:ascii="Arial" w:hAnsi="Arial" w:cs="Arial"/>
                <w:sz w:val="22"/>
                <w:szCs w:val="22"/>
              </w:rPr>
            </w:pPr>
            <w:r w:rsidRPr="00A6203D">
              <w:rPr>
                <w:rFonts w:ascii="Arial" w:hAnsi="Arial" w:cs="Arial"/>
                <w:sz w:val="22"/>
                <w:szCs w:val="22"/>
              </w:rPr>
              <w:t>PMO- Prevention</w:t>
            </w:r>
          </w:p>
        </w:tc>
      </w:tr>
    </w:tbl>
    <w:p w14:paraId="603FA3C1" w14:textId="06403A89" w:rsidR="005E6870" w:rsidRPr="00A6203D" w:rsidRDefault="006714B4" w:rsidP="00CE7C7B">
      <w:pPr>
        <w:spacing w:line="276" w:lineRule="auto"/>
        <w:rPr>
          <w:rFonts w:ascii="Arial" w:hAnsi="Arial" w:cs="Arial"/>
          <w:sz w:val="22"/>
          <w:szCs w:val="22"/>
        </w:rPr>
      </w:pPr>
      <w:r w:rsidRPr="00A6203D">
        <w:rPr>
          <w:rFonts w:ascii="Arial" w:hAnsi="Arial" w:cs="Arial"/>
          <w:sz w:val="22"/>
          <w:szCs w:val="22"/>
        </w:rPr>
        <w:t>PMO: postmenopausal osteoporosis; GIO: Glucocorticoid-induced osteoporosis</w:t>
      </w:r>
    </w:p>
    <w:p w14:paraId="4FEA28AD" w14:textId="77777777" w:rsidR="006714B4" w:rsidRPr="00A6203D" w:rsidRDefault="006714B4" w:rsidP="00CE7C7B">
      <w:pPr>
        <w:spacing w:line="276" w:lineRule="auto"/>
        <w:rPr>
          <w:rFonts w:ascii="Arial" w:hAnsi="Arial" w:cs="Arial"/>
          <w:sz w:val="22"/>
          <w:szCs w:val="22"/>
        </w:rPr>
      </w:pPr>
    </w:p>
    <w:p w14:paraId="047A0AF8" w14:textId="65274445"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CALCITONIN</w:t>
      </w:r>
    </w:p>
    <w:bookmarkEnd w:id="1"/>
    <w:p w14:paraId="7E275BAF" w14:textId="77777777" w:rsidR="006714B4" w:rsidRPr="00A6203D" w:rsidRDefault="006714B4" w:rsidP="00CE7C7B">
      <w:pPr>
        <w:spacing w:line="276" w:lineRule="auto"/>
        <w:rPr>
          <w:rFonts w:ascii="Arial" w:hAnsi="Arial" w:cs="Arial"/>
          <w:sz w:val="22"/>
          <w:szCs w:val="22"/>
        </w:rPr>
      </w:pPr>
    </w:p>
    <w:p w14:paraId="59037621" w14:textId="22D3455B" w:rsidR="005E6870" w:rsidRPr="00A6203D" w:rsidRDefault="005E6870" w:rsidP="00CE7C7B">
      <w:pPr>
        <w:spacing w:line="276" w:lineRule="auto"/>
        <w:rPr>
          <w:rFonts w:ascii="Arial" w:hAnsi="Arial" w:cs="Arial"/>
          <w:sz w:val="22"/>
          <w:szCs w:val="22"/>
        </w:rPr>
      </w:pPr>
      <w:bookmarkStart w:id="2" w:name="_Hlk122693937"/>
      <w:r w:rsidRPr="00A6203D">
        <w:rPr>
          <w:rFonts w:ascii="Arial" w:hAnsi="Arial" w:cs="Arial"/>
          <w:sz w:val="22"/>
          <w:szCs w:val="22"/>
        </w:rPr>
        <w:t>Calcitonin is a 32-amino acid peptide produced by the parafollicular cells of the thyroid that inhibits bone resorption through direct effects on the osteoclasts. Calcitonin is a highly conserved protein, with human and salmon calcitonin differing by only one amino acid. Injectable salmon calcitonin was approved by the FDA in 1984 for the treatment of osteoporosis, although current use is limited because of the availability of other more effective medications for the treatment of osteoporosis. Calcitonin nasal spray (</w:t>
      </w:r>
      <w:proofErr w:type="spellStart"/>
      <w:r w:rsidRPr="00A6203D">
        <w:rPr>
          <w:rFonts w:ascii="Arial" w:hAnsi="Arial" w:cs="Arial"/>
          <w:sz w:val="22"/>
          <w:szCs w:val="22"/>
        </w:rPr>
        <w:t>Miacalcin</w:t>
      </w:r>
      <w:proofErr w:type="spellEnd"/>
      <w:r w:rsidRPr="00A6203D">
        <w:rPr>
          <w:rFonts w:ascii="Arial" w:hAnsi="Arial" w:cs="Arial"/>
          <w:sz w:val="22"/>
          <w:szCs w:val="22"/>
        </w:rPr>
        <w:t xml:space="preserve">™ and </w:t>
      </w:r>
      <w:proofErr w:type="spellStart"/>
      <w:r w:rsidRPr="00A6203D">
        <w:rPr>
          <w:rFonts w:ascii="Arial" w:hAnsi="Arial" w:cs="Arial"/>
          <w:sz w:val="22"/>
          <w:szCs w:val="22"/>
        </w:rPr>
        <w:t>Fortical</w:t>
      </w:r>
      <w:proofErr w:type="spellEnd"/>
      <w:r w:rsidRPr="00A6203D">
        <w:rPr>
          <w:rFonts w:ascii="Arial" w:hAnsi="Arial" w:cs="Arial"/>
          <w:sz w:val="22"/>
          <w:szCs w:val="22"/>
        </w:rPr>
        <w:t>™ 200 IU daily) is a form of calcitonin (</w:t>
      </w:r>
      <w:hyperlink r:id="rId71" w:history="1">
        <w:r w:rsidRPr="00A6203D">
          <w:rPr>
            <w:rStyle w:val="Hyperlink"/>
            <w:rFonts w:ascii="Arial" w:hAnsi="Arial" w:cs="Arial"/>
            <w:color w:val="auto"/>
            <w:sz w:val="22"/>
            <w:szCs w:val="22"/>
            <w:u w:val="none"/>
          </w:rPr>
          <w:t>70</w:t>
        </w:r>
      </w:hyperlink>
      <w:r w:rsidRPr="00A6203D">
        <w:rPr>
          <w:rFonts w:ascii="Arial" w:hAnsi="Arial" w:cs="Arial"/>
          <w:sz w:val="22"/>
          <w:szCs w:val="22"/>
        </w:rPr>
        <w:t>) approved by the FDA for the treatment of osteoporosis in women more than five years past menopause. Although studies have shown calcitonin nasal spray to decrease spine fractures, there is no</w:t>
      </w:r>
      <w:r w:rsidR="00B3685E" w:rsidRPr="00A6203D">
        <w:rPr>
          <w:rFonts w:ascii="Arial" w:hAnsi="Arial" w:cs="Arial"/>
          <w:sz w:val="22"/>
          <w:szCs w:val="22"/>
        </w:rPr>
        <w:t xml:space="preserve"> </w:t>
      </w:r>
      <w:r w:rsidRPr="00A6203D">
        <w:rPr>
          <w:rFonts w:ascii="Arial" w:hAnsi="Arial" w:cs="Arial"/>
          <w:sz w:val="22"/>
          <w:szCs w:val="22"/>
        </w:rPr>
        <w:t>effect on the prevention of hip and other non-spine fractures. Current and future use of calcitonin for osteoporosis has been limited, however, because of data analyses showing a potential increased risk of cancers, particularly liver cancer with calcitonin use, though this remains controversial (</w:t>
      </w:r>
      <w:hyperlink r:id="rId72" w:history="1">
        <w:r w:rsidRPr="00A6203D">
          <w:rPr>
            <w:rStyle w:val="Hyperlink"/>
            <w:rFonts w:ascii="Arial" w:hAnsi="Arial" w:cs="Arial"/>
            <w:color w:val="auto"/>
            <w:sz w:val="22"/>
            <w:szCs w:val="22"/>
            <w:u w:val="none"/>
          </w:rPr>
          <w:t>71</w:t>
        </w:r>
      </w:hyperlink>
      <w:r w:rsidRPr="00A6203D">
        <w:rPr>
          <w:rFonts w:ascii="Arial" w:hAnsi="Arial" w:cs="Arial"/>
          <w:sz w:val="22"/>
          <w:szCs w:val="22"/>
        </w:rPr>
        <w:t xml:space="preserve">). An FDA review found no causal relationship between calcitonin use and </w:t>
      </w:r>
      <w:r w:rsidR="00482E54" w:rsidRPr="00A6203D">
        <w:rPr>
          <w:rFonts w:ascii="Arial" w:hAnsi="Arial" w:cs="Arial"/>
          <w:sz w:val="22"/>
          <w:szCs w:val="22"/>
        </w:rPr>
        <w:t>cancer but</w:t>
      </w:r>
      <w:r w:rsidRPr="00A6203D">
        <w:rPr>
          <w:rFonts w:ascii="Arial" w:hAnsi="Arial" w:cs="Arial"/>
          <w:sz w:val="22"/>
          <w:szCs w:val="22"/>
        </w:rPr>
        <w:t xml:space="preserve"> cautioned that physicians should evaluate the potential benefit to relative risk of calcitonin use in patients.</w:t>
      </w:r>
    </w:p>
    <w:p w14:paraId="3E63DE6A" w14:textId="77777777" w:rsidR="006714B4" w:rsidRPr="00A6203D" w:rsidRDefault="006714B4" w:rsidP="00CE7C7B">
      <w:pPr>
        <w:spacing w:line="276" w:lineRule="auto"/>
        <w:rPr>
          <w:rFonts w:ascii="Arial" w:hAnsi="Arial" w:cs="Arial"/>
          <w:b/>
          <w:bCs/>
          <w:sz w:val="22"/>
          <w:szCs w:val="22"/>
        </w:rPr>
      </w:pPr>
    </w:p>
    <w:p w14:paraId="1269EA67" w14:textId="2BD962E4" w:rsidR="006714B4"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BISPHOSPHONATES</w:t>
      </w:r>
    </w:p>
    <w:p w14:paraId="4DB395E6" w14:textId="77777777" w:rsidR="000628CA" w:rsidRPr="00A6203D" w:rsidRDefault="000628CA" w:rsidP="00CE7C7B">
      <w:pPr>
        <w:spacing w:line="276" w:lineRule="auto"/>
        <w:rPr>
          <w:rFonts w:ascii="Arial" w:hAnsi="Arial" w:cs="Arial"/>
          <w:sz w:val="22"/>
          <w:szCs w:val="22"/>
        </w:rPr>
      </w:pPr>
    </w:p>
    <w:p w14:paraId="2CAF4FFB" w14:textId="185866B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Bisphosphonates are analogs of pyrophosphate that inhibit bone turnover and because of their phosphorous-carbon-phosphorous structure are resistant to hydrolysis. They have a strong affinity for calcium crystals and bind avidly to the surface of bone. Bisphosphonates suppress bone resorption and interrupt osteoclast activity directly through several mechanisms including inhibition of acid production, lysosomal enzymes, and the mevalonate pathway (</w:t>
      </w:r>
      <w:hyperlink r:id="rId73" w:history="1">
        <w:r w:rsidRPr="00A6203D">
          <w:rPr>
            <w:rStyle w:val="Hyperlink"/>
            <w:rFonts w:ascii="Arial" w:hAnsi="Arial" w:cs="Arial"/>
            <w:color w:val="auto"/>
            <w:sz w:val="22"/>
            <w:szCs w:val="22"/>
            <w:u w:val="none"/>
          </w:rPr>
          <w:t>72-74</w:t>
        </w:r>
      </w:hyperlink>
      <w:r w:rsidRPr="00A6203D">
        <w:rPr>
          <w:rFonts w:ascii="Arial" w:hAnsi="Arial" w:cs="Arial"/>
          <w:sz w:val="22"/>
          <w:szCs w:val="22"/>
        </w:rPr>
        <w:t xml:space="preserve">) and indirectly through their effects on osteoblasts and macrophages. They also inhibit osteoclast recruitment and induce osteoclast apoptosis. Thus, through various mechanisms, </w:t>
      </w:r>
      <w:r w:rsidRPr="00A6203D">
        <w:rPr>
          <w:rFonts w:ascii="Arial" w:hAnsi="Arial" w:cs="Arial"/>
          <w:sz w:val="22"/>
          <w:szCs w:val="22"/>
        </w:rPr>
        <w:lastRenderedPageBreak/>
        <w:t>bisphosphonates reduce the depth of resorption pits (thereby producing positive bone balance at individual bone remodeling units) and decrease the formation of new bone remodeling units.</w:t>
      </w:r>
    </w:p>
    <w:p w14:paraId="3EC9F90C" w14:textId="77777777" w:rsidR="00C948F3" w:rsidRPr="00A6203D" w:rsidRDefault="00C948F3" w:rsidP="00CE7C7B">
      <w:pPr>
        <w:spacing w:line="276" w:lineRule="auto"/>
        <w:rPr>
          <w:rFonts w:ascii="Arial" w:hAnsi="Arial" w:cs="Arial"/>
          <w:b/>
          <w:bCs/>
          <w:sz w:val="22"/>
          <w:szCs w:val="22"/>
        </w:rPr>
      </w:pPr>
    </w:p>
    <w:p w14:paraId="5C9C1245" w14:textId="743F631B"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Pharmacodynamics</w:t>
      </w:r>
    </w:p>
    <w:p w14:paraId="369459A2" w14:textId="77777777" w:rsidR="00C948F3" w:rsidRPr="00A6203D" w:rsidRDefault="00C948F3" w:rsidP="00CE7C7B">
      <w:pPr>
        <w:spacing w:line="276" w:lineRule="auto"/>
        <w:rPr>
          <w:rFonts w:ascii="Arial" w:hAnsi="Arial" w:cs="Arial"/>
          <w:sz w:val="22"/>
          <w:szCs w:val="22"/>
        </w:rPr>
      </w:pPr>
    </w:p>
    <w:p w14:paraId="6A75C2D8" w14:textId="5CA4BA8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Oral bisphosphonates are poorly absorbed. Less than 3% is absorbed in the fasting state, and absorption is significantly reduced if these drugs are taken with food, calcium, or beverages other than water. The skeleton rapidly takes up approximately half of the absorbed bisphosphonate, and the remainder is excreted unchanged by the kidney within hours. The drug remains at the bone surface for several weeks before becoming embedded in bone, where it is biologically inert. The embedded drug then remains in bone for many years and is slowly released, although the skeletal retention varies among bisphosphonates. Potency and side effects of the bisphosphonates vary according to the side chains (</w:t>
      </w:r>
      <w:hyperlink r:id="rId74" w:history="1">
        <w:r w:rsidRPr="00A6203D">
          <w:rPr>
            <w:rStyle w:val="Hyperlink"/>
            <w:rFonts w:ascii="Arial" w:hAnsi="Arial" w:cs="Arial"/>
            <w:color w:val="auto"/>
            <w:sz w:val="22"/>
            <w:szCs w:val="22"/>
            <w:u w:val="none"/>
          </w:rPr>
          <w:t>75</w:t>
        </w:r>
      </w:hyperlink>
      <w:r w:rsidRPr="00A6203D">
        <w:rPr>
          <w:rFonts w:ascii="Arial" w:hAnsi="Arial" w:cs="Arial"/>
          <w:sz w:val="22"/>
          <w:szCs w:val="22"/>
        </w:rPr>
        <w:t>,</w:t>
      </w:r>
      <w:hyperlink r:id="rId75" w:history="1">
        <w:r w:rsidRPr="00A6203D">
          <w:rPr>
            <w:rStyle w:val="Hyperlink"/>
            <w:rFonts w:ascii="Arial" w:hAnsi="Arial" w:cs="Arial"/>
            <w:color w:val="auto"/>
            <w:sz w:val="22"/>
            <w:szCs w:val="22"/>
            <w:u w:val="none"/>
          </w:rPr>
          <w:t>76</w:t>
        </w:r>
      </w:hyperlink>
      <w:r w:rsidRPr="00A6203D">
        <w:rPr>
          <w:rFonts w:ascii="Arial" w:hAnsi="Arial" w:cs="Arial"/>
          <w:sz w:val="22"/>
          <w:szCs w:val="22"/>
        </w:rPr>
        <w:t>).</w:t>
      </w:r>
    </w:p>
    <w:p w14:paraId="5C03A313" w14:textId="77777777" w:rsidR="0074372C" w:rsidRPr="00A6203D" w:rsidRDefault="0074372C" w:rsidP="00CE7C7B">
      <w:pPr>
        <w:spacing w:line="276" w:lineRule="auto"/>
        <w:rPr>
          <w:rFonts w:ascii="Arial" w:hAnsi="Arial" w:cs="Arial"/>
          <w:b/>
          <w:bCs/>
          <w:sz w:val="22"/>
          <w:szCs w:val="22"/>
        </w:rPr>
      </w:pPr>
    </w:p>
    <w:p w14:paraId="42C0DA3F" w14:textId="4A167E99" w:rsidR="005E6870" w:rsidRPr="00A6203D" w:rsidRDefault="005E6870" w:rsidP="00CE7C7B">
      <w:pPr>
        <w:spacing w:line="276" w:lineRule="auto"/>
        <w:rPr>
          <w:rFonts w:ascii="Arial" w:hAnsi="Arial" w:cs="Arial"/>
          <w:b/>
          <w:bCs/>
          <w:sz w:val="22"/>
          <w:szCs w:val="22"/>
        </w:rPr>
      </w:pPr>
      <w:r w:rsidRPr="00A6203D">
        <w:rPr>
          <w:rFonts w:ascii="Arial" w:hAnsi="Arial" w:cs="Arial"/>
          <w:b/>
          <w:bCs/>
          <w:color w:val="00B050"/>
          <w:sz w:val="22"/>
          <w:szCs w:val="22"/>
        </w:rPr>
        <w:t>Effective Therapies for Osteoporosis</w:t>
      </w:r>
    </w:p>
    <w:p w14:paraId="5118DD12" w14:textId="77777777" w:rsidR="0074372C" w:rsidRPr="00A6203D" w:rsidRDefault="0074372C" w:rsidP="00CE7C7B">
      <w:pPr>
        <w:spacing w:line="276" w:lineRule="auto"/>
        <w:rPr>
          <w:rFonts w:ascii="Arial" w:hAnsi="Arial" w:cs="Arial"/>
          <w:sz w:val="22"/>
          <w:szCs w:val="22"/>
        </w:rPr>
      </w:pPr>
    </w:p>
    <w:p w14:paraId="7B816D70" w14:textId="1293F48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Alendronate (Fosamax™), risedronate (Actonel™, </w:t>
      </w:r>
      <w:proofErr w:type="spellStart"/>
      <w:r w:rsidRPr="00A6203D">
        <w:rPr>
          <w:rFonts w:ascii="Arial" w:hAnsi="Arial" w:cs="Arial"/>
          <w:sz w:val="22"/>
          <w:szCs w:val="22"/>
        </w:rPr>
        <w:t>Atelvia</w:t>
      </w:r>
      <w:proofErr w:type="spellEnd"/>
      <w:r w:rsidRPr="00A6203D">
        <w:rPr>
          <w:rFonts w:ascii="Arial" w:hAnsi="Arial" w:cs="Arial"/>
          <w:sz w:val="22"/>
          <w:szCs w:val="22"/>
        </w:rPr>
        <w:t>™), ibandronate (Boniva™), and zoledronic acid (</w:t>
      </w:r>
      <w:proofErr w:type="spellStart"/>
      <w:r w:rsidRPr="00A6203D">
        <w:rPr>
          <w:rFonts w:ascii="Arial" w:hAnsi="Arial" w:cs="Arial"/>
          <w:sz w:val="22"/>
          <w:szCs w:val="22"/>
        </w:rPr>
        <w:t>Reclast</w:t>
      </w:r>
      <w:proofErr w:type="spellEnd"/>
      <w:r w:rsidRPr="00A6203D">
        <w:rPr>
          <w:rFonts w:ascii="Arial" w:hAnsi="Arial" w:cs="Arial"/>
          <w:sz w:val="22"/>
          <w:szCs w:val="22"/>
        </w:rPr>
        <w:t>™) are all FDA approved for osteoporosis prevention and/or treatment. Their indication and specific fracture benefits on fracture reduction are shown in </w:t>
      </w:r>
      <w:hyperlink r:id="rId76" w:tgtFrame="object" w:history="1">
        <w:r w:rsidRPr="00A6203D">
          <w:rPr>
            <w:rStyle w:val="Hyperlink"/>
            <w:rFonts w:ascii="Arial" w:hAnsi="Arial" w:cs="Arial"/>
            <w:color w:val="auto"/>
            <w:sz w:val="22"/>
            <w:szCs w:val="22"/>
            <w:u w:val="none"/>
          </w:rPr>
          <w:t>Table 5</w:t>
        </w:r>
      </w:hyperlink>
      <w:r w:rsidRPr="00A6203D">
        <w:rPr>
          <w:rFonts w:ascii="Arial" w:hAnsi="Arial" w:cs="Arial"/>
          <w:sz w:val="22"/>
          <w:szCs w:val="22"/>
        </w:rPr>
        <w:t>. It is important to select an osteoporosis medication that reduces spine, hip and non-spine fractures, especially in high-risk individuals. Since around 50% of patients discontinue bisphosphonates within 1 year of treatment, it is essential to review compliance and adherence with patients. Of the approved bisphosphonates, Alendronate, Risedronate, and Zoledronic acid are now generic, making them affordable options for patients.</w:t>
      </w:r>
    </w:p>
    <w:p w14:paraId="2C345983" w14:textId="77777777" w:rsidR="0074372C" w:rsidRPr="00A6203D" w:rsidRDefault="0074372C" w:rsidP="00CE7C7B">
      <w:pPr>
        <w:spacing w:line="276" w:lineRule="auto"/>
        <w:rPr>
          <w:rFonts w:ascii="Arial" w:hAnsi="Arial" w:cs="Arial"/>
          <w:b/>
          <w:bCs/>
          <w:sz w:val="22"/>
          <w:szCs w:val="22"/>
        </w:rPr>
      </w:pPr>
    </w:p>
    <w:p w14:paraId="2F5057A0" w14:textId="41E5E94F"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ALENDRONATE</w:t>
      </w:r>
    </w:p>
    <w:p w14:paraId="069C846F" w14:textId="77777777" w:rsidR="0074372C" w:rsidRPr="00A6203D" w:rsidRDefault="0074372C" w:rsidP="00CE7C7B">
      <w:pPr>
        <w:spacing w:line="276" w:lineRule="auto"/>
        <w:rPr>
          <w:rFonts w:ascii="Arial" w:hAnsi="Arial" w:cs="Arial"/>
          <w:sz w:val="22"/>
          <w:szCs w:val="22"/>
        </w:rPr>
      </w:pPr>
    </w:p>
    <w:p w14:paraId="383E6B5E" w14:textId="6F5AB9F3"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Several longitudinal studies have shown that oral alendronate increases BMD and decreases the risk of osteoporotic fractures, and can be used for primary and secondary prevention</w:t>
      </w:r>
    </w:p>
    <w:p w14:paraId="3D438FA7" w14:textId="77777777" w:rsidR="0074372C" w:rsidRPr="00A6203D" w:rsidRDefault="0074372C" w:rsidP="00CE7C7B">
      <w:pPr>
        <w:spacing w:line="276" w:lineRule="auto"/>
        <w:rPr>
          <w:rFonts w:ascii="Arial" w:hAnsi="Arial" w:cs="Arial"/>
          <w:sz w:val="22"/>
          <w:szCs w:val="22"/>
        </w:rPr>
      </w:pPr>
    </w:p>
    <w:p w14:paraId="4DA9D19C" w14:textId="4791BE6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a meta-analysis of randomized controlled trials published between 1966 and 2007, the efficacy of alendronate in the primary and secondary prevention of osteoporotic fractures in postmenopausal women was evaluated (</w:t>
      </w:r>
      <w:hyperlink r:id="rId77" w:history="1">
        <w:r w:rsidRPr="00A6203D">
          <w:rPr>
            <w:rStyle w:val="Hyperlink"/>
            <w:rFonts w:ascii="Arial" w:hAnsi="Arial" w:cs="Arial"/>
            <w:color w:val="auto"/>
            <w:sz w:val="22"/>
            <w:szCs w:val="22"/>
            <w:u w:val="none"/>
          </w:rPr>
          <w:t>77</w:t>
        </w:r>
      </w:hyperlink>
      <w:r w:rsidRPr="00A6203D">
        <w:rPr>
          <w:rFonts w:ascii="Arial" w:hAnsi="Arial" w:cs="Arial"/>
          <w:sz w:val="22"/>
          <w:szCs w:val="22"/>
        </w:rPr>
        <w:t>). Eleven studies were selected, including three primary prevention studies (</w:t>
      </w:r>
      <w:hyperlink r:id="rId78" w:history="1">
        <w:r w:rsidRPr="00A6203D">
          <w:rPr>
            <w:rStyle w:val="Hyperlink"/>
            <w:rFonts w:ascii="Arial" w:hAnsi="Arial" w:cs="Arial"/>
            <w:color w:val="auto"/>
            <w:sz w:val="22"/>
            <w:szCs w:val="22"/>
            <w:u w:val="none"/>
          </w:rPr>
          <w:t>78-80</w:t>
        </w:r>
      </w:hyperlink>
      <w:r w:rsidRPr="00A6203D">
        <w:rPr>
          <w:rFonts w:ascii="Arial" w:hAnsi="Arial" w:cs="Arial"/>
          <w:sz w:val="22"/>
          <w:szCs w:val="22"/>
        </w:rPr>
        <w:t>) and eight secondary prevention studies involving women with low BMD on DXA and/or high prevalence of vertebral fracture (</w:t>
      </w:r>
      <w:hyperlink r:id="rId79" w:history="1">
        <w:r w:rsidRPr="00A6203D">
          <w:rPr>
            <w:rStyle w:val="Hyperlink"/>
            <w:rFonts w:ascii="Arial" w:hAnsi="Arial" w:cs="Arial"/>
            <w:color w:val="auto"/>
            <w:sz w:val="22"/>
            <w:szCs w:val="22"/>
            <w:u w:val="none"/>
          </w:rPr>
          <w:t>81-88</w:t>
        </w:r>
      </w:hyperlink>
      <w:r w:rsidRPr="00A6203D">
        <w:rPr>
          <w:rFonts w:ascii="Arial" w:hAnsi="Arial" w:cs="Arial"/>
          <w:sz w:val="22"/>
          <w:szCs w:val="22"/>
        </w:rPr>
        <w:t>). A total of 12,068 women received at least one year of oral alendronate (6543 women) or placebo (5525 women). Three trials, including the largest secondary prevention trial, Fracture Intervention Trial (FIT), used an initial daily dose of 5 mg and then switched to 10 mg for the remaining study duration. Other studies used 5 mg, 10 mg, or 20 mg of alendronate daily. The length of follow-up ranged from one to four years, and the mean ages were 53 to 78 years. With alendronate 10 mg daily for secondary prevention, there was a significant 45% relative risk reduction (RRR) in vertebral fractures, 23% RRR in non-vertebral fractures, and 53% RRR in hip fractures. For primary prevention, the RRR was only significant for vertebral fractures (45%). No statistically significant differences in adverse events were found in any included study.</w:t>
      </w:r>
    </w:p>
    <w:p w14:paraId="3FC7362C" w14:textId="77777777" w:rsidR="0074372C" w:rsidRPr="00A6203D" w:rsidRDefault="0074372C" w:rsidP="00CE7C7B">
      <w:pPr>
        <w:spacing w:line="276" w:lineRule="auto"/>
        <w:rPr>
          <w:rFonts w:ascii="Arial" w:hAnsi="Arial" w:cs="Arial"/>
          <w:sz w:val="22"/>
          <w:szCs w:val="22"/>
        </w:rPr>
      </w:pPr>
    </w:p>
    <w:p w14:paraId="06DB2D0F" w14:textId="63EABFA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prevalence of osteoporosis is lower in men than in women. It is estimated that one out of two women and one out of four men over age 50 will develop an osteoporotic fracture (</w:t>
      </w:r>
      <w:hyperlink r:id="rId80" w:history="1">
        <w:r w:rsidRPr="00A6203D">
          <w:rPr>
            <w:rStyle w:val="Hyperlink"/>
            <w:rFonts w:ascii="Arial" w:hAnsi="Arial" w:cs="Arial"/>
            <w:color w:val="auto"/>
            <w:sz w:val="22"/>
            <w:szCs w:val="22"/>
            <w:u w:val="none"/>
          </w:rPr>
          <w:t>89</w:t>
        </w:r>
      </w:hyperlink>
      <w:r w:rsidRPr="00A6203D">
        <w:rPr>
          <w:rFonts w:ascii="Arial" w:hAnsi="Arial" w:cs="Arial"/>
          <w:sz w:val="22"/>
          <w:szCs w:val="22"/>
        </w:rPr>
        <w:t>). Several longitudinal studies have evaluated the efficacy of treatment interventions on bone in osteoporotic men. Orwoll et al. enrolled 241 men with a femoral neck T score of ≤ -2 with a lumbar spine T score ≤ -1 or a history of osteoporotic fracture and a femoral neck T score ≤ -1. Compared with placebo, alendronate significantly increased BMD at each site and decreased markers of bone turnover over two years. From baseline, alendronate increased BMD by 3.1% in the total hip and by 7.1% in the lumbar spine and decreased urinary N-telopeptides by 59% and bone-specific alkaline phosphatase by 38%. The incidence of vertebral fractures was 7.1% in the placebo group versus 0.8% in the alendronate group; there was insufficient power to assess the effects of alendronate on non-vertebral fractures (</w:t>
      </w:r>
      <w:hyperlink r:id="rId81" w:history="1">
        <w:r w:rsidRPr="00A6203D">
          <w:rPr>
            <w:rStyle w:val="Hyperlink"/>
            <w:rFonts w:ascii="Arial" w:hAnsi="Arial" w:cs="Arial"/>
            <w:color w:val="auto"/>
            <w:sz w:val="22"/>
            <w:szCs w:val="22"/>
            <w:u w:val="none"/>
          </w:rPr>
          <w:t>90</w:t>
        </w:r>
      </w:hyperlink>
      <w:r w:rsidRPr="00A6203D">
        <w:rPr>
          <w:rFonts w:ascii="Arial" w:hAnsi="Arial" w:cs="Arial"/>
          <w:sz w:val="22"/>
          <w:szCs w:val="22"/>
        </w:rPr>
        <w:t>). Similar results were seen in a smaller study of hypogonadism-induced osteoporosis, indicating no difference in the skeletal response to alendronate in the presence of hypogonadism.</w:t>
      </w:r>
    </w:p>
    <w:p w14:paraId="4127E768" w14:textId="77777777" w:rsidR="0074372C" w:rsidRPr="00A6203D" w:rsidRDefault="0074372C" w:rsidP="00CE7C7B">
      <w:pPr>
        <w:spacing w:line="276" w:lineRule="auto"/>
        <w:rPr>
          <w:rFonts w:ascii="Arial" w:hAnsi="Arial" w:cs="Arial"/>
          <w:sz w:val="22"/>
          <w:szCs w:val="22"/>
        </w:rPr>
      </w:pPr>
    </w:p>
    <w:p w14:paraId="215C54B2" w14:textId="5875FAE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Alendronate is also effective in the treatment of glucocorticoid-induced osteoporosis. In glucocorticoid-treated men and women, alendronate resulted in increases in BMD (</w:t>
      </w:r>
      <w:hyperlink r:id="rId82" w:history="1">
        <w:r w:rsidRPr="00A6203D">
          <w:rPr>
            <w:rStyle w:val="Hyperlink"/>
            <w:rFonts w:ascii="Arial" w:hAnsi="Arial" w:cs="Arial"/>
            <w:color w:val="auto"/>
            <w:sz w:val="22"/>
            <w:szCs w:val="22"/>
            <w:u w:val="none"/>
          </w:rPr>
          <w:t>91</w:t>
        </w:r>
      </w:hyperlink>
      <w:r w:rsidRPr="00A6203D">
        <w:rPr>
          <w:rFonts w:ascii="Arial" w:hAnsi="Arial" w:cs="Arial"/>
          <w:sz w:val="22"/>
          <w:szCs w:val="22"/>
        </w:rPr>
        <w:t>,</w:t>
      </w:r>
      <w:hyperlink r:id="rId83" w:history="1">
        <w:r w:rsidRPr="00A6203D">
          <w:rPr>
            <w:rStyle w:val="Hyperlink"/>
            <w:rFonts w:ascii="Arial" w:hAnsi="Arial" w:cs="Arial"/>
            <w:color w:val="auto"/>
            <w:sz w:val="22"/>
            <w:szCs w:val="22"/>
            <w:u w:val="none"/>
          </w:rPr>
          <w:t>92</w:t>
        </w:r>
      </w:hyperlink>
      <w:r w:rsidRPr="00A6203D">
        <w:rPr>
          <w:rFonts w:ascii="Arial" w:hAnsi="Arial" w:cs="Arial"/>
          <w:sz w:val="22"/>
          <w:szCs w:val="22"/>
        </w:rPr>
        <w:t>) and decreases in incidence of radiographic vertebral fractures at two years (6.8% vs. 0.7%) (</w:t>
      </w:r>
      <w:hyperlink r:id="rId84" w:history="1">
        <w:r w:rsidRPr="00A6203D">
          <w:rPr>
            <w:rStyle w:val="Hyperlink"/>
            <w:rFonts w:ascii="Arial" w:hAnsi="Arial" w:cs="Arial"/>
            <w:color w:val="auto"/>
            <w:sz w:val="22"/>
            <w:szCs w:val="22"/>
            <w:u w:val="none"/>
          </w:rPr>
          <w:t>92</w:t>
        </w:r>
      </w:hyperlink>
      <w:r w:rsidRPr="00A6203D">
        <w:rPr>
          <w:rFonts w:ascii="Arial" w:hAnsi="Arial" w:cs="Arial"/>
          <w:sz w:val="22"/>
          <w:szCs w:val="22"/>
        </w:rPr>
        <w:t>).</w:t>
      </w:r>
    </w:p>
    <w:p w14:paraId="6E29E5A3"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Data show that weekly alendronate (70 mg) is effective and well tolerated, and this dosage has become the standard of care for use of this oral bisphosphonate. Alendronate is suitable for weekly dosing because of its long skeletal retention. It is often the first line treatment that is cost-effective as a generic preparation.</w:t>
      </w:r>
    </w:p>
    <w:p w14:paraId="2395FA27" w14:textId="77777777" w:rsidR="0074372C" w:rsidRPr="00A6203D" w:rsidRDefault="0074372C" w:rsidP="00CE7C7B">
      <w:pPr>
        <w:spacing w:line="276" w:lineRule="auto"/>
        <w:rPr>
          <w:rFonts w:ascii="Arial" w:hAnsi="Arial" w:cs="Arial"/>
          <w:sz w:val="22"/>
          <w:szCs w:val="22"/>
        </w:rPr>
      </w:pPr>
    </w:p>
    <w:p w14:paraId="585B882A" w14:textId="32E5590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Long-term treatment with alendronate has beneficial effects on BMD. Bone et al. showed that spine BMD continued to rise in small increments during 10 years of treatment. Femoral neck and trochanter BMD increased during the first three years and then remained stable (</w:t>
      </w:r>
      <w:hyperlink r:id="rId85" w:history="1">
        <w:r w:rsidRPr="00A6203D">
          <w:rPr>
            <w:rStyle w:val="Hyperlink"/>
            <w:rFonts w:ascii="Arial" w:hAnsi="Arial" w:cs="Arial"/>
            <w:color w:val="auto"/>
            <w:sz w:val="22"/>
            <w:szCs w:val="22"/>
            <w:u w:val="none"/>
          </w:rPr>
          <w:t>93</w:t>
        </w:r>
      </w:hyperlink>
      <w:r w:rsidRPr="00A6203D">
        <w:rPr>
          <w:rFonts w:ascii="Arial" w:hAnsi="Arial" w:cs="Arial"/>
          <w:sz w:val="22"/>
          <w:szCs w:val="22"/>
        </w:rPr>
        <w:t>,</w:t>
      </w:r>
      <w:hyperlink r:id="rId86" w:history="1">
        <w:r w:rsidRPr="00A6203D">
          <w:rPr>
            <w:rStyle w:val="Hyperlink"/>
            <w:rFonts w:ascii="Arial" w:hAnsi="Arial" w:cs="Arial"/>
            <w:color w:val="auto"/>
            <w:sz w:val="22"/>
            <w:szCs w:val="22"/>
            <w:u w:val="none"/>
          </w:rPr>
          <w:t>94</w:t>
        </w:r>
      </w:hyperlink>
      <w:r w:rsidRPr="00A6203D">
        <w:rPr>
          <w:rFonts w:ascii="Arial" w:hAnsi="Arial" w:cs="Arial"/>
          <w:sz w:val="22"/>
          <w:szCs w:val="22"/>
        </w:rPr>
        <w:t>).</w:t>
      </w:r>
    </w:p>
    <w:p w14:paraId="633EA472" w14:textId="77777777" w:rsidR="0074372C" w:rsidRPr="00A6203D" w:rsidRDefault="0074372C" w:rsidP="00CE7C7B">
      <w:pPr>
        <w:spacing w:line="276" w:lineRule="auto"/>
        <w:rPr>
          <w:rFonts w:ascii="Arial" w:hAnsi="Arial" w:cs="Arial"/>
          <w:sz w:val="22"/>
          <w:szCs w:val="22"/>
        </w:rPr>
      </w:pPr>
    </w:p>
    <w:p w14:paraId="4A83871A" w14:textId="4BAA670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an extension of FIT, the FIT Long-term Extension (FLEX) trial, 1099 women who had received alendronate (5 mg daily for two years and 10 mg daily thereafter) were again randomized to receive either 5 or 10 mg alendronate daily or placebo for five more years. With a pooled analysis of the alendronate doses, after five years, the alendronate-treated subjects had significantly better BMD changes at the total hip, femoral neck, lumbar spine, total body, and forearm. These changes included less loss of BMD at the total hip (placebo 3.38% decrease, pooled alendronate 1.02% decrease) and more gain in BMD at the lumbar spine (placebo 1.52% increase, pooled alendronate 5.26% increase). Subjects on placebo had increases in bone turnover markers compared with alendronate users. Alendronate users had lower risk of clinically recognized vertebral fractures, but the cumulative risk of nonvertebral fractures was not significantly different between the alendronate-treated women and those who received placebo. The authors concluded that for many women the discontinuation of alendronate for up to five years did not appear to significantly increase fracture risk, but women at high risk of vertebral fractures with a history of spinal fracture and a BMD T-score of -2 or less as well as those with osteoporosis according to BMD testing (T-score less than -2.5) after 5 years of treatment may benefit from continued alendronate use (</w:t>
      </w:r>
      <w:hyperlink r:id="rId87" w:history="1">
        <w:r w:rsidRPr="00A6203D">
          <w:rPr>
            <w:rStyle w:val="Hyperlink"/>
            <w:rFonts w:ascii="Arial" w:hAnsi="Arial" w:cs="Arial"/>
            <w:color w:val="auto"/>
            <w:sz w:val="22"/>
            <w:szCs w:val="22"/>
            <w:u w:val="none"/>
          </w:rPr>
          <w:t>95</w:t>
        </w:r>
      </w:hyperlink>
      <w:r w:rsidRPr="00A6203D">
        <w:rPr>
          <w:rFonts w:ascii="Arial" w:hAnsi="Arial" w:cs="Arial"/>
          <w:sz w:val="22"/>
          <w:szCs w:val="22"/>
        </w:rPr>
        <w:t>,</w:t>
      </w:r>
      <w:hyperlink r:id="rId88" w:history="1">
        <w:r w:rsidRPr="00A6203D">
          <w:rPr>
            <w:rStyle w:val="Hyperlink"/>
            <w:rFonts w:ascii="Arial" w:hAnsi="Arial" w:cs="Arial"/>
            <w:color w:val="auto"/>
            <w:sz w:val="22"/>
            <w:szCs w:val="22"/>
            <w:u w:val="none"/>
          </w:rPr>
          <w:t>96</w:t>
        </w:r>
      </w:hyperlink>
      <w:r w:rsidRPr="00A6203D">
        <w:rPr>
          <w:rFonts w:ascii="Arial" w:hAnsi="Arial" w:cs="Arial"/>
          <w:sz w:val="22"/>
          <w:szCs w:val="22"/>
        </w:rPr>
        <w:t xml:space="preserve">). This trial has limitations because patients with severe osteoporosis were excluded from enrollment, while those with osteopenia </w:t>
      </w:r>
      <w:r w:rsidRPr="00A6203D">
        <w:rPr>
          <w:rFonts w:ascii="Arial" w:hAnsi="Arial" w:cs="Arial"/>
          <w:sz w:val="22"/>
          <w:szCs w:val="22"/>
        </w:rPr>
        <w:lastRenderedPageBreak/>
        <w:t>were included. There was an uncontrolled phase between FIT completion and FLEX enrollment. There was also a high dropout rate, limiting statistical power (</w:t>
      </w:r>
      <w:hyperlink r:id="rId89" w:history="1">
        <w:r w:rsidRPr="00A6203D">
          <w:rPr>
            <w:rStyle w:val="Hyperlink"/>
            <w:rFonts w:ascii="Arial" w:hAnsi="Arial" w:cs="Arial"/>
            <w:color w:val="auto"/>
            <w:sz w:val="22"/>
            <w:szCs w:val="22"/>
            <w:u w:val="none"/>
          </w:rPr>
          <w:t>97</w:t>
        </w:r>
      </w:hyperlink>
      <w:r w:rsidRPr="00A6203D">
        <w:rPr>
          <w:rFonts w:ascii="Arial" w:hAnsi="Arial" w:cs="Arial"/>
          <w:sz w:val="22"/>
          <w:szCs w:val="22"/>
        </w:rPr>
        <w:t>). As summarized below in the section on a bisphosphonate holiday, with these limitations, risk of fracture versus benefit of continuing treatment should be individualized.</w:t>
      </w:r>
    </w:p>
    <w:p w14:paraId="70EC212A" w14:textId="77777777" w:rsidR="0074372C" w:rsidRPr="00A6203D" w:rsidRDefault="0074372C" w:rsidP="00CE7C7B">
      <w:pPr>
        <w:spacing w:line="276" w:lineRule="auto"/>
        <w:rPr>
          <w:rFonts w:ascii="Arial" w:hAnsi="Arial" w:cs="Arial"/>
          <w:b/>
          <w:bCs/>
          <w:sz w:val="22"/>
          <w:szCs w:val="22"/>
        </w:rPr>
      </w:pPr>
    </w:p>
    <w:p w14:paraId="32E2D41A" w14:textId="753798C1"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RISEDRONATE</w:t>
      </w:r>
    </w:p>
    <w:p w14:paraId="6BF15E02" w14:textId="77777777" w:rsidR="0074372C" w:rsidRPr="00A6203D" w:rsidRDefault="0074372C" w:rsidP="00CE7C7B">
      <w:pPr>
        <w:spacing w:line="276" w:lineRule="auto"/>
        <w:rPr>
          <w:rFonts w:ascii="Arial" w:hAnsi="Arial" w:cs="Arial"/>
          <w:sz w:val="22"/>
          <w:szCs w:val="22"/>
        </w:rPr>
      </w:pPr>
    </w:p>
    <w:p w14:paraId="42EFB340" w14:textId="2DC14E9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Risedronate increases BMD and decreases fracture risk among postmenopausal women with osteoporosis. Harris et al. reported data on 2,458 postmenopausal women with established osteoporosis (subjects had either two or more vertebral fractures or one vertebral fracture and lumbar spine T score of -2 or less) and who were randomized to risedronate (5 mg daily) or placebo. Over three years, risedronate increased lumbar spine BMD by 5.4% and femoral neck BMD by 1.6%. Risedronate decreased the risk of new vertebral fractures by 41% and decreased the risk of non-vertebral fractures by 39% at three years (</w:t>
      </w:r>
      <w:hyperlink r:id="rId90" w:history="1">
        <w:r w:rsidRPr="00A6203D">
          <w:rPr>
            <w:rStyle w:val="Hyperlink"/>
            <w:rFonts w:ascii="Arial" w:hAnsi="Arial" w:cs="Arial"/>
            <w:color w:val="auto"/>
            <w:sz w:val="22"/>
            <w:szCs w:val="22"/>
            <w:u w:val="none"/>
          </w:rPr>
          <w:t>98</w:t>
        </w:r>
      </w:hyperlink>
      <w:r w:rsidRPr="00A6203D">
        <w:rPr>
          <w:rFonts w:ascii="Arial" w:hAnsi="Arial" w:cs="Arial"/>
          <w:sz w:val="22"/>
          <w:szCs w:val="22"/>
        </w:rPr>
        <w:t xml:space="preserve">).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et al. showed in osteoporotic women that risedronate reduced spine fractures within the first year of treatment (</w:t>
      </w:r>
      <w:hyperlink r:id="rId91" w:history="1">
        <w:r w:rsidRPr="00A6203D">
          <w:rPr>
            <w:rStyle w:val="Hyperlink"/>
            <w:rFonts w:ascii="Arial" w:hAnsi="Arial" w:cs="Arial"/>
            <w:color w:val="auto"/>
            <w:sz w:val="22"/>
            <w:szCs w:val="22"/>
            <w:u w:val="none"/>
          </w:rPr>
          <w:t>99</w:t>
        </w:r>
      </w:hyperlink>
      <w:r w:rsidRPr="00A6203D">
        <w:rPr>
          <w:rFonts w:ascii="Arial" w:hAnsi="Arial" w:cs="Arial"/>
          <w:sz w:val="22"/>
          <w:szCs w:val="22"/>
        </w:rPr>
        <w:t>).</w:t>
      </w:r>
    </w:p>
    <w:p w14:paraId="7989F06B" w14:textId="77777777" w:rsidR="0074372C" w:rsidRPr="00A6203D" w:rsidRDefault="0074372C" w:rsidP="00CE7C7B">
      <w:pPr>
        <w:spacing w:line="276" w:lineRule="auto"/>
        <w:rPr>
          <w:rFonts w:ascii="Arial" w:hAnsi="Arial" w:cs="Arial"/>
          <w:sz w:val="22"/>
          <w:szCs w:val="22"/>
        </w:rPr>
      </w:pPr>
    </w:p>
    <w:p w14:paraId="00BC74DF" w14:textId="25B05A6E"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Risedronate therapy also reduces fracture risk in men (</w:t>
      </w:r>
      <w:hyperlink r:id="rId92" w:history="1">
        <w:r w:rsidRPr="00A6203D">
          <w:rPr>
            <w:rStyle w:val="Hyperlink"/>
            <w:rFonts w:ascii="Arial" w:hAnsi="Arial" w:cs="Arial"/>
            <w:color w:val="auto"/>
            <w:sz w:val="22"/>
            <w:szCs w:val="22"/>
            <w:u w:val="none"/>
          </w:rPr>
          <w:t>100</w:t>
        </w:r>
      </w:hyperlink>
      <w:r w:rsidRPr="00A6203D">
        <w:rPr>
          <w:rFonts w:ascii="Arial" w:hAnsi="Arial" w:cs="Arial"/>
          <w:sz w:val="22"/>
          <w:szCs w:val="22"/>
        </w:rPr>
        <w:t>), and is effective in the prevention and treatment of glucocorticoid-induced osteoporosis in men and women (</w:t>
      </w:r>
      <w:hyperlink r:id="rId93" w:history="1">
        <w:r w:rsidRPr="00A6203D">
          <w:rPr>
            <w:rStyle w:val="Hyperlink"/>
            <w:rFonts w:ascii="Arial" w:hAnsi="Arial" w:cs="Arial"/>
            <w:color w:val="auto"/>
            <w:sz w:val="22"/>
            <w:szCs w:val="22"/>
            <w:u w:val="none"/>
          </w:rPr>
          <w:t>101</w:t>
        </w:r>
      </w:hyperlink>
      <w:r w:rsidRPr="00A6203D">
        <w:rPr>
          <w:rFonts w:ascii="Arial" w:hAnsi="Arial" w:cs="Arial"/>
          <w:sz w:val="22"/>
          <w:szCs w:val="22"/>
        </w:rPr>
        <w:t>).</w:t>
      </w:r>
    </w:p>
    <w:p w14:paraId="1818F819" w14:textId="77777777" w:rsidR="0074372C" w:rsidRPr="00A6203D" w:rsidRDefault="0074372C" w:rsidP="00CE7C7B">
      <w:pPr>
        <w:spacing w:line="276" w:lineRule="auto"/>
        <w:rPr>
          <w:rFonts w:ascii="Arial" w:hAnsi="Arial" w:cs="Arial"/>
          <w:sz w:val="22"/>
          <w:szCs w:val="22"/>
        </w:rPr>
      </w:pPr>
    </w:p>
    <w:p w14:paraId="58DC4196" w14:textId="3BD93D7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Weekly risedronate (35 mg) preparation used clinically is effective and well tolerated (</w:t>
      </w:r>
      <w:hyperlink r:id="rId94" w:history="1">
        <w:r w:rsidRPr="00A6203D">
          <w:rPr>
            <w:rStyle w:val="Hyperlink"/>
            <w:rFonts w:ascii="Arial" w:hAnsi="Arial" w:cs="Arial"/>
            <w:color w:val="auto"/>
            <w:sz w:val="22"/>
            <w:szCs w:val="22"/>
            <w:u w:val="none"/>
          </w:rPr>
          <w:t>102-104</w:t>
        </w:r>
      </w:hyperlink>
      <w:r w:rsidRPr="00A6203D">
        <w:rPr>
          <w:rFonts w:ascii="Arial" w:hAnsi="Arial" w:cs="Arial"/>
          <w:sz w:val="22"/>
          <w:szCs w:val="22"/>
        </w:rPr>
        <w:t>). Brown et al. randomized 1,468 women to daily or weekly risedronate. The increase in lumbar spine BMD at one year was similar between groups. Weekly risedronate was well tolerated, and the occurrence of adverse events was similar in daily and weekly treatment groups (</w:t>
      </w:r>
      <w:hyperlink r:id="rId95" w:history="1">
        <w:r w:rsidRPr="00A6203D">
          <w:rPr>
            <w:rStyle w:val="Hyperlink"/>
            <w:rFonts w:ascii="Arial" w:hAnsi="Arial" w:cs="Arial"/>
            <w:color w:val="auto"/>
            <w:sz w:val="22"/>
            <w:szCs w:val="22"/>
            <w:u w:val="none"/>
          </w:rPr>
          <w:t>102</w:t>
        </w:r>
      </w:hyperlink>
      <w:r w:rsidRPr="00A6203D">
        <w:rPr>
          <w:rFonts w:ascii="Arial" w:hAnsi="Arial" w:cs="Arial"/>
          <w:sz w:val="22"/>
          <w:szCs w:val="22"/>
        </w:rPr>
        <w:t>). A weekly preparation of risedronate that can be taken after breakfast is also available for clinical use. Monthly dosing of risedronate is available (150 mg once a month). Both monthly dosing regimens were shown to be non-inferior in efficacy and safety to the 5 mg daily regimen at one year (</w:t>
      </w:r>
      <w:hyperlink r:id="rId96" w:history="1">
        <w:r w:rsidRPr="00A6203D">
          <w:rPr>
            <w:rStyle w:val="Hyperlink"/>
            <w:rFonts w:ascii="Arial" w:hAnsi="Arial" w:cs="Arial"/>
            <w:color w:val="auto"/>
            <w:sz w:val="22"/>
            <w:szCs w:val="22"/>
            <w:u w:val="none"/>
          </w:rPr>
          <w:t>105</w:t>
        </w:r>
      </w:hyperlink>
      <w:r w:rsidRPr="00A6203D">
        <w:rPr>
          <w:rFonts w:ascii="Arial" w:hAnsi="Arial" w:cs="Arial"/>
          <w:sz w:val="22"/>
          <w:szCs w:val="22"/>
        </w:rPr>
        <w:t>,</w:t>
      </w:r>
      <w:hyperlink r:id="rId97" w:history="1">
        <w:r w:rsidRPr="00A6203D">
          <w:rPr>
            <w:rStyle w:val="Hyperlink"/>
            <w:rFonts w:ascii="Arial" w:hAnsi="Arial" w:cs="Arial"/>
            <w:color w:val="auto"/>
            <w:sz w:val="22"/>
            <w:szCs w:val="22"/>
            <w:u w:val="none"/>
          </w:rPr>
          <w:t>106</w:t>
        </w:r>
      </w:hyperlink>
      <w:r w:rsidRPr="00A6203D">
        <w:rPr>
          <w:rFonts w:ascii="Arial" w:hAnsi="Arial" w:cs="Arial"/>
          <w:sz w:val="22"/>
          <w:szCs w:val="22"/>
        </w:rPr>
        <w:t>). Thus, monthly risedronate provides alternative regimen for the prevention and treatment of osteoporosis. A formulation that can be taken with food is also available.</w:t>
      </w:r>
    </w:p>
    <w:p w14:paraId="43CE80B7" w14:textId="77777777" w:rsidR="0074372C" w:rsidRPr="00A6203D" w:rsidRDefault="0074372C" w:rsidP="00CE7C7B">
      <w:pPr>
        <w:spacing w:line="276" w:lineRule="auto"/>
        <w:rPr>
          <w:rFonts w:ascii="Arial" w:hAnsi="Arial" w:cs="Arial"/>
          <w:b/>
          <w:bCs/>
          <w:sz w:val="22"/>
          <w:szCs w:val="22"/>
        </w:rPr>
      </w:pPr>
    </w:p>
    <w:p w14:paraId="14CD08A3" w14:textId="10F28B16"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ZOLEDRONIC ACID</w:t>
      </w:r>
    </w:p>
    <w:p w14:paraId="261CD9D0" w14:textId="77777777" w:rsidR="0074372C" w:rsidRPr="00A6203D" w:rsidRDefault="0074372C" w:rsidP="00CE7C7B">
      <w:pPr>
        <w:spacing w:line="276" w:lineRule="auto"/>
        <w:rPr>
          <w:rFonts w:ascii="Arial" w:hAnsi="Arial" w:cs="Arial"/>
          <w:sz w:val="22"/>
          <w:szCs w:val="22"/>
        </w:rPr>
      </w:pPr>
    </w:p>
    <w:p w14:paraId="18D11ECC" w14:textId="642CCF6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Zoledronic acid, an intravenous bisphosphonate, has been FDA approved for years for the treatment of hypercalcemia of malignancy, multiple myeloma, and bone metastases from solid tumors. In August 2007, zoledronic acid (</w:t>
      </w:r>
      <w:proofErr w:type="spellStart"/>
      <w:r w:rsidRPr="00A6203D">
        <w:rPr>
          <w:rFonts w:ascii="Arial" w:hAnsi="Arial" w:cs="Arial"/>
          <w:sz w:val="22"/>
          <w:szCs w:val="22"/>
        </w:rPr>
        <w:t>Reclast</w:t>
      </w:r>
      <w:proofErr w:type="spellEnd"/>
      <w:r w:rsidRPr="00A6203D">
        <w:rPr>
          <w:rFonts w:ascii="Arial" w:hAnsi="Arial" w:cs="Arial"/>
          <w:sz w:val="22"/>
          <w:szCs w:val="22"/>
        </w:rPr>
        <w:t>®) became the second intravenous bisphosphonate after ibandronate (Boniva®) to be FDA approved for treatment of postmenopausal osteoporosis. It is considerably more potent than other available bisphosphonates. Thus, small doses and longer dosing intervals may be used (</w:t>
      </w:r>
      <w:hyperlink r:id="rId98" w:history="1">
        <w:r w:rsidRPr="00A6203D">
          <w:rPr>
            <w:rStyle w:val="Hyperlink"/>
            <w:rFonts w:ascii="Arial" w:hAnsi="Arial" w:cs="Arial"/>
            <w:color w:val="auto"/>
            <w:sz w:val="22"/>
            <w:szCs w:val="22"/>
            <w:u w:val="none"/>
          </w:rPr>
          <w:t>107</w:t>
        </w:r>
      </w:hyperlink>
      <w:r w:rsidRPr="00A6203D">
        <w:rPr>
          <w:rFonts w:ascii="Arial" w:hAnsi="Arial" w:cs="Arial"/>
          <w:sz w:val="22"/>
          <w:szCs w:val="22"/>
        </w:rPr>
        <w:t>). Reid et al. showed that zoledronic acid (4 mg annually) increases BMD and decreases markers of bone turnover in postmenopausal women.</w:t>
      </w:r>
    </w:p>
    <w:p w14:paraId="22A513BD" w14:textId="77777777" w:rsidR="0074372C" w:rsidRPr="00A6203D" w:rsidRDefault="0074372C" w:rsidP="00CE7C7B">
      <w:pPr>
        <w:spacing w:line="276" w:lineRule="auto"/>
        <w:rPr>
          <w:rFonts w:ascii="Arial" w:hAnsi="Arial" w:cs="Arial"/>
          <w:sz w:val="22"/>
          <w:szCs w:val="22"/>
        </w:rPr>
      </w:pPr>
    </w:p>
    <w:p w14:paraId="299739D3" w14:textId="3BDCDA0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In the Health Outcomes and Reduced Incidence with Zoledronic Acid Once Yearly (HORIZON) study, a double-blind, placebo-controlled trial of 7765 post-menopausal women with osteoporosis were randomly assigned to receive a single 15-minute infusion of 5 mg of </w:t>
      </w:r>
      <w:r w:rsidRPr="00A6203D">
        <w:rPr>
          <w:rFonts w:ascii="Arial" w:hAnsi="Arial" w:cs="Arial"/>
          <w:sz w:val="22"/>
          <w:szCs w:val="22"/>
        </w:rPr>
        <w:lastRenderedPageBreak/>
        <w:t>zoledronic acid or placebo at baseline, at 12 months, and at 24 months. The patients were followed over 36 months. In addition to positive effects on BMD and reduction in bone turnover biomarkers, treatment with zoledronic acid was associated with 70% RRR in morphogenic vertebral fractures and 41% RRR in hip fractures compared with placebo (</w:t>
      </w:r>
      <w:hyperlink r:id="rId99" w:history="1">
        <w:r w:rsidRPr="00A6203D">
          <w:rPr>
            <w:rStyle w:val="Hyperlink"/>
            <w:rFonts w:ascii="Arial" w:hAnsi="Arial" w:cs="Arial"/>
            <w:color w:val="auto"/>
            <w:sz w:val="22"/>
            <w:szCs w:val="22"/>
            <w:u w:val="none"/>
          </w:rPr>
          <w:t>108</w:t>
        </w:r>
      </w:hyperlink>
      <w:r w:rsidRPr="00A6203D">
        <w:rPr>
          <w:rFonts w:ascii="Arial" w:hAnsi="Arial" w:cs="Arial"/>
          <w:sz w:val="22"/>
          <w:szCs w:val="22"/>
        </w:rPr>
        <w:t>). Nonvertebral fractures, clinical fractures, and clinical vertebral fractures were reduced by 25%, 33%, and 77%, respectively. While adverse events, including change in renal function, were similar in both study groups, serious atrial fibrillation (AF) occurred slightly more frequently in the zoledronic acid group in the 3-year but </w:t>
      </w:r>
      <w:r w:rsidRPr="00A6203D">
        <w:rPr>
          <w:rFonts w:ascii="Arial" w:hAnsi="Arial" w:cs="Arial"/>
          <w:i/>
          <w:iCs/>
          <w:sz w:val="22"/>
          <w:szCs w:val="22"/>
        </w:rPr>
        <w:t>not</w:t>
      </w:r>
      <w:r w:rsidRPr="00A6203D">
        <w:rPr>
          <w:rFonts w:ascii="Arial" w:hAnsi="Arial" w:cs="Arial"/>
          <w:sz w:val="22"/>
          <w:szCs w:val="22"/>
        </w:rPr>
        <w:t> the 6-year data (</w:t>
      </w:r>
      <w:hyperlink r:id="rId100" w:history="1">
        <w:r w:rsidRPr="00A6203D">
          <w:rPr>
            <w:rStyle w:val="Hyperlink"/>
            <w:rFonts w:ascii="Arial" w:hAnsi="Arial" w:cs="Arial"/>
            <w:color w:val="auto"/>
            <w:sz w:val="22"/>
            <w:szCs w:val="22"/>
            <w:u w:val="none"/>
          </w:rPr>
          <w:t>108</w:t>
        </w:r>
      </w:hyperlink>
      <w:r w:rsidRPr="00A6203D">
        <w:rPr>
          <w:rFonts w:ascii="Arial" w:hAnsi="Arial" w:cs="Arial"/>
          <w:sz w:val="22"/>
          <w:szCs w:val="22"/>
        </w:rPr>
        <w:t>). Further analysis of the trial data and possible risk factors for rare AF are presented below under Adverse Effects (</w:t>
      </w:r>
      <w:hyperlink r:id="rId101" w:history="1">
        <w:r w:rsidRPr="00A6203D">
          <w:rPr>
            <w:rStyle w:val="Hyperlink"/>
            <w:rFonts w:ascii="Arial" w:hAnsi="Arial" w:cs="Arial"/>
            <w:color w:val="auto"/>
            <w:sz w:val="22"/>
            <w:szCs w:val="22"/>
            <w:u w:val="none"/>
          </w:rPr>
          <w:t>109</w:t>
        </w:r>
      </w:hyperlink>
      <w:r w:rsidRPr="00A6203D">
        <w:rPr>
          <w:rFonts w:ascii="Arial" w:hAnsi="Arial" w:cs="Arial"/>
          <w:sz w:val="22"/>
          <w:szCs w:val="22"/>
        </w:rPr>
        <w:t>).</w:t>
      </w:r>
    </w:p>
    <w:p w14:paraId="52856699" w14:textId="77777777" w:rsidR="0074372C" w:rsidRPr="00A6203D" w:rsidRDefault="0074372C" w:rsidP="00CE7C7B">
      <w:pPr>
        <w:spacing w:line="276" w:lineRule="auto"/>
        <w:rPr>
          <w:rFonts w:ascii="Arial" w:hAnsi="Arial" w:cs="Arial"/>
          <w:sz w:val="22"/>
          <w:szCs w:val="22"/>
        </w:rPr>
      </w:pPr>
    </w:p>
    <w:p w14:paraId="29921298" w14:textId="31F3014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a study in 9355 women randomized to zoledronic acid versus placebo, zoledronic acid resulted in an early reduction in clinical fractures at one year that persisted for 3 years (</w:t>
      </w:r>
      <w:hyperlink r:id="rId102" w:history="1">
        <w:r w:rsidRPr="00A6203D">
          <w:rPr>
            <w:rStyle w:val="Hyperlink"/>
            <w:rFonts w:ascii="Arial" w:hAnsi="Arial" w:cs="Arial"/>
            <w:color w:val="auto"/>
            <w:sz w:val="22"/>
            <w:szCs w:val="22"/>
            <w:u w:val="none"/>
          </w:rPr>
          <w:t>110</w:t>
        </w:r>
      </w:hyperlink>
      <w:r w:rsidRPr="00A6203D">
        <w:rPr>
          <w:rFonts w:ascii="Arial" w:hAnsi="Arial" w:cs="Arial"/>
          <w:sz w:val="22"/>
          <w:szCs w:val="22"/>
        </w:rPr>
        <w:t>). Zoledronic acid is also effective in decreasing fracture risk in men (</w:t>
      </w:r>
      <w:hyperlink r:id="rId103" w:history="1">
        <w:r w:rsidRPr="00A6203D">
          <w:rPr>
            <w:rStyle w:val="Hyperlink"/>
            <w:rFonts w:ascii="Arial" w:hAnsi="Arial" w:cs="Arial"/>
            <w:color w:val="auto"/>
            <w:sz w:val="22"/>
            <w:szCs w:val="22"/>
            <w:u w:val="none"/>
          </w:rPr>
          <w:t>111</w:t>
        </w:r>
      </w:hyperlink>
      <w:r w:rsidRPr="00A6203D">
        <w:rPr>
          <w:rFonts w:ascii="Arial" w:hAnsi="Arial" w:cs="Arial"/>
          <w:sz w:val="22"/>
          <w:szCs w:val="22"/>
        </w:rPr>
        <w:t>).</w:t>
      </w:r>
    </w:p>
    <w:p w14:paraId="28387BD4" w14:textId="77777777" w:rsidR="0074372C" w:rsidRPr="00A6203D" w:rsidRDefault="0074372C" w:rsidP="00CE7C7B">
      <w:pPr>
        <w:spacing w:line="276" w:lineRule="auto"/>
        <w:rPr>
          <w:rFonts w:ascii="Arial" w:hAnsi="Arial" w:cs="Arial"/>
          <w:sz w:val="22"/>
          <w:szCs w:val="22"/>
        </w:rPr>
      </w:pPr>
    </w:p>
    <w:p w14:paraId="63E01ADF" w14:textId="62BDD8F1" w:rsidR="005E6870" w:rsidRPr="00A6203D" w:rsidRDefault="1C25C164" w:rsidP="00CE7C7B">
      <w:pPr>
        <w:spacing w:line="276" w:lineRule="auto"/>
        <w:rPr>
          <w:rFonts w:ascii="Arial" w:hAnsi="Arial" w:cs="Arial"/>
          <w:sz w:val="22"/>
          <w:szCs w:val="22"/>
        </w:rPr>
      </w:pPr>
      <w:r w:rsidRPr="00A6203D">
        <w:rPr>
          <w:rFonts w:ascii="Arial" w:hAnsi="Arial" w:cs="Arial"/>
          <w:sz w:val="22"/>
          <w:szCs w:val="22"/>
        </w:rPr>
        <w:t>In Horizon Recurrent Fracture trial, a double-blind, placebo-controlled study in adults with hip fractures, zoledronic acid versus placebo administered two weeks to 90 days post-surgical repair resulted in a 35% reduction in new clinical fractures and a 28% reduction in mortality (</w:t>
      </w:r>
      <w:hyperlink r:id="rId104">
        <w:r w:rsidRPr="00A6203D">
          <w:rPr>
            <w:rStyle w:val="Hyperlink"/>
            <w:rFonts w:ascii="Arial" w:hAnsi="Arial" w:cs="Arial"/>
            <w:color w:val="auto"/>
            <w:sz w:val="22"/>
            <w:szCs w:val="22"/>
            <w:u w:val="none"/>
          </w:rPr>
          <w:t>112</w:t>
        </w:r>
      </w:hyperlink>
      <w:r w:rsidRPr="00A6203D">
        <w:rPr>
          <w:rFonts w:ascii="Arial" w:hAnsi="Arial" w:cs="Arial"/>
          <w:sz w:val="22"/>
          <w:szCs w:val="22"/>
        </w:rPr>
        <w:t>). In a sub-sample analysis of this multi-national study, vitamin D deficiency was common and the median 25(OH)D level was only 14.7 ng/ml in these hip fracture study participants (</w:t>
      </w:r>
      <w:hyperlink r:id="rId105">
        <w:r w:rsidRPr="00A6203D">
          <w:rPr>
            <w:rStyle w:val="Hyperlink"/>
            <w:rFonts w:ascii="Arial" w:hAnsi="Arial" w:cs="Arial"/>
            <w:color w:val="auto"/>
            <w:sz w:val="22"/>
            <w:szCs w:val="22"/>
            <w:u w:val="none"/>
          </w:rPr>
          <w:t>113</w:t>
        </w:r>
      </w:hyperlink>
      <w:r w:rsidRPr="00A6203D">
        <w:rPr>
          <w:rFonts w:ascii="Arial" w:hAnsi="Arial" w:cs="Arial"/>
          <w:sz w:val="22"/>
          <w:szCs w:val="22"/>
        </w:rPr>
        <w:t xml:space="preserve">). Most study participants received 50,000 to 125,000 IU vitamin D at least two weeks prior to the zoledronic acid infusion. Once yearly infusion of zoledronic acid administered 2 weeks to 3 months after a hip fracture and after vitamin D supplementation, therefore, produced a decrease in clinical fractures and evidence of improved survival. Zoledronic acid is only FDA-approved therapy to reduce clinical fracture risk in adults with new hip fractures and provides skeletal protection for hip fracture patients as a </w:t>
      </w:r>
      <w:proofErr w:type="gramStart"/>
      <w:r w:rsidRPr="00A6203D">
        <w:rPr>
          <w:rFonts w:ascii="Arial" w:hAnsi="Arial" w:cs="Arial"/>
          <w:sz w:val="22"/>
          <w:szCs w:val="22"/>
        </w:rPr>
        <w:t>once a year</w:t>
      </w:r>
      <w:proofErr w:type="gramEnd"/>
      <w:r w:rsidRPr="00A6203D">
        <w:rPr>
          <w:rFonts w:ascii="Arial" w:hAnsi="Arial" w:cs="Arial"/>
          <w:sz w:val="22"/>
          <w:szCs w:val="22"/>
        </w:rPr>
        <w:t xml:space="preserve"> dosing.</w:t>
      </w:r>
      <w:r w:rsidR="00796B89" w:rsidRPr="00A6203D">
        <w:rPr>
          <w:rFonts w:ascii="Arial" w:hAnsi="Arial" w:cs="Arial"/>
          <w:sz w:val="22"/>
          <w:szCs w:val="22"/>
        </w:rPr>
        <w:t xml:space="preserve"> Z</w:t>
      </w:r>
      <w:r w:rsidRPr="00A6203D">
        <w:rPr>
          <w:rFonts w:ascii="Arial" w:hAnsi="Arial" w:cs="Arial"/>
          <w:sz w:val="22"/>
          <w:szCs w:val="22"/>
        </w:rPr>
        <w:t xml:space="preserve">oledronic acid administered every 18 months for 6 years </w:t>
      </w:r>
      <w:r w:rsidR="00796B89" w:rsidRPr="00A6203D">
        <w:rPr>
          <w:rFonts w:ascii="Arial" w:hAnsi="Arial" w:cs="Arial"/>
          <w:sz w:val="22"/>
          <w:szCs w:val="22"/>
        </w:rPr>
        <w:t xml:space="preserve">also </w:t>
      </w:r>
      <w:r w:rsidRPr="00A6203D">
        <w:rPr>
          <w:rFonts w:ascii="Arial" w:hAnsi="Arial" w:cs="Arial"/>
          <w:sz w:val="22"/>
          <w:szCs w:val="22"/>
        </w:rPr>
        <w:t>decrease</w:t>
      </w:r>
      <w:r w:rsidR="00796B89" w:rsidRPr="00A6203D">
        <w:rPr>
          <w:rFonts w:ascii="Arial" w:hAnsi="Arial" w:cs="Arial"/>
          <w:sz w:val="22"/>
          <w:szCs w:val="22"/>
        </w:rPr>
        <w:t>d</w:t>
      </w:r>
      <w:r w:rsidRPr="00A6203D">
        <w:rPr>
          <w:rFonts w:ascii="Arial" w:hAnsi="Arial" w:cs="Arial"/>
          <w:sz w:val="22"/>
          <w:szCs w:val="22"/>
        </w:rPr>
        <w:t xml:space="preserve"> fracture incidence </w:t>
      </w:r>
      <w:r w:rsidR="00796B89" w:rsidRPr="00A6203D">
        <w:rPr>
          <w:rFonts w:ascii="Arial" w:hAnsi="Arial" w:cs="Arial"/>
          <w:sz w:val="22"/>
          <w:szCs w:val="22"/>
        </w:rPr>
        <w:t xml:space="preserve">in women with low bone mass </w:t>
      </w:r>
      <w:r w:rsidRPr="00A6203D">
        <w:rPr>
          <w:rFonts w:ascii="Arial" w:hAnsi="Arial" w:cs="Arial"/>
          <w:sz w:val="22"/>
          <w:szCs w:val="22"/>
        </w:rPr>
        <w:t>(</w:t>
      </w:r>
      <w:r w:rsidR="00E0579E" w:rsidRPr="00A6203D">
        <w:rPr>
          <w:rFonts w:ascii="Arial" w:hAnsi="Arial" w:cs="Arial"/>
          <w:sz w:val="22"/>
          <w:szCs w:val="22"/>
        </w:rPr>
        <w:t>197</w:t>
      </w:r>
      <w:r w:rsidRPr="00A6203D">
        <w:rPr>
          <w:rFonts w:ascii="Arial" w:hAnsi="Arial" w:cs="Arial"/>
          <w:sz w:val="22"/>
          <w:szCs w:val="22"/>
        </w:rPr>
        <w:t xml:space="preserve">) </w:t>
      </w:r>
    </w:p>
    <w:p w14:paraId="0A62D280" w14:textId="77777777" w:rsidR="0055541E" w:rsidRPr="00A6203D" w:rsidRDefault="0055541E" w:rsidP="00CE7C7B">
      <w:pPr>
        <w:spacing w:line="276" w:lineRule="auto"/>
        <w:rPr>
          <w:rFonts w:ascii="Arial" w:hAnsi="Arial" w:cs="Arial"/>
          <w:sz w:val="22"/>
          <w:szCs w:val="22"/>
        </w:rPr>
      </w:pPr>
    </w:p>
    <w:p w14:paraId="2773CC0F" w14:textId="77777777"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OTHER BISPHOSPHONATES</w:t>
      </w:r>
    </w:p>
    <w:p w14:paraId="25A5803E" w14:textId="77777777" w:rsidR="0074372C" w:rsidRPr="00A6203D" w:rsidRDefault="0074372C" w:rsidP="00CE7C7B">
      <w:pPr>
        <w:spacing w:line="276" w:lineRule="auto"/>
        <w:rPr>
          <w:rFonts w:ascii="Arial" w:hAnsi="Arial" w:cs="Arial"/>
          <w:sz w:val="22"/>
          <w:szCs w:val="22"/>
        </w:rPr>
      </w:pPr>
    </w:p>
    <w:p w14:paraId="20681645" w14:textId="19F34B8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Ibandronate (oral and IV) is FDA-approved for the prevention and treatment of postmenopausal osteoporosis. In the larger clinical trial, it increased bone density and decreased vertebral fractures with both an oral daily regimen (2.5 mg daily) and an intermittent regimen (20 mg every other day for 12 doses every three months, 150 mg monthly) without reduction in hip fractures (</w:t>
      </w:r>
      <w:hyperlink r:id="rId106" w:history="1">
        <w:r w:rsidRPr="00A6203D">
          <w:rPr>
            <w:rStyle w:val="Hyperlink"/>
            <w:rFonts w:ascii="Arial" w:hAnsi="Arial" w:cs="Arial"/>
            <w:color w:val="auto"/>
            <w:sz w:val="22"/>
            <w:szCs w:val="22"/>
            <w:u w:val="none"/>
          </w:rPr>
          <w:t>114-116</w:t>
        </w:r>
      </w:hyperlink>
      <w:r w:rsidRPr="00A6203D">
        <w:rPr>
          <w:rFonts w:ascii="Arial" w:hAnsi="Arial" w:cs="Arial"/>
          <w:sz w:val="22"/>
          <w:szCs w:val="22"/>
        </w:rPr>
        <w:t>). Thus, unlike other bisphosphonates, ibandronate was not effective in decreasing non-spine fractures.</w:t>
      </w:r>
    </w:p>
    <w:p w14:paraId="76042297" w14:textId="77777777" w:rsidR="0074372C" w:rsidRPr="00A6203D" w:rsidRDefault="0074372C" w:rsidP="00CE7C7B">
      <w:pPr>
        <w:spacing w:line="276" w:lineRule="auto"/>
        <w:rPr>
          <w:rFonts w:ascii="Arial" w:hAnsi="Arial" w:cs="Arial"/>
          <w:sz w:val="22"/>
          <w:szCs w:val="22"/>
        </w:rPr>
      </w:pPr>
    </w:p>
    <w:p w14:paraId="542B1F18" w14:textId="6B1D9CB8"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Pamidronate is not FDA approved for use in osteoporosis; however, it is occasionally used “off-label” for patients in patients with esophageal abnormalities (i.e., stricture or achalasia), organ transplants</w:t>
      </w:r>
      <w:r w:rsidR="00915548" w:rsidRPr="00A6203D">
        <w:rPr>
          <w:rFonts w:ascii="Arial" w:hAnsi="Arial" w:cs="Arial"/>
          <w:sz w:val="22"/>
          <w:szCs w:val="22"/>
        </w:rPr>
        <w:t>,</w:t>
      </w:r>
      <w:r w:rsidRPr="00A6203D">
        <w:rPr>
          <w:rFonts w:ascii="Arial" w:hAnsi="Arial" w:cs="Arial"/>
          <w:sz w:val="22"/>
          <w:szCs w:val="22"/>
        </w:rPr>
        <w:t xml:space="preserve"> or osteogenesis imperfecta. In adults, usually 30 to 60 mg is infused over two to four hours every three months. Pamidronate has been shown to increase BMD, but no fracture data are available (</w:t>
      </w:r>
      <w:hyperlink r:id="rId107" w:history="1">
        <w:r w:rsidRPr="00A6203D">
          <w:rPr>
            <w:rStyle w:val="Hyperlink"/>
            <w:rFonts w:ascii="Arial" w:hAnsi="Arial" w:cs="Arial"/>
            <w:color w:val="auto"/>
            <w:sz w:val="22"/>
            <w:szCs w:val="22"/>
            <w:u w:val="none"/>
          </w:rPr>
          <w:t>117-121</w:t>
        </w:r>
      </w:hyperlink>
      <w:r w:rsidRPr="00A6203D">
        <w:rPr>
          <w:rFonts w:ascii="Arial" w:hAnsi="Arial" w:cs="Arial"/>
          <w:sz w:val="22"/>
          <w:szCs w:val="22"/>
        </w:rPr>
        <w:t>).</w:t>
      </w:r>
    </w:p>
    <w:p w14:paraId="523FC2A6" w14:textId="77777777" w:rsidR="0074372C" w:rsidRPr="00A6203D" w:rsidRDefault="0074372C" w:rsidP="00CE7C7B">
      <w:pPr>
        <w:spacing w:line="276" w:lineRule="auto"/>
        <w:rPr>
          <w:rFonts w:ascii="Arial" w:hAnsi="Arial" w:cs="Arial"/>
          <w:b/>
          <w:bCs/>
          <w:sz w:val="22"/>
          <w:szCs w:val="22"/>
        </w:rPr>
      </w:pPr>
    </w:p>
    <w:p w14:paraId="1554C73E" w14:textId="17AFE70E"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Adverse Effects</w:t>
      </w:r>
    </w:p>
    <w:p w14:paraId="798634C0" w14:textId="77777777" w:rsidR="0074372C" w:rsidRPr="00A6203D" w:rsidRDefault="0074372C" w:rsidP="00CE7C7B">
      <w:pPr>
        <w:spacing w:line="276" w:lineRule="auto"/>
        <w:rPr>
          <w:rFonts w:ascii="Arial" w:hAnsi="Arial" w:cs="Arial"/>
          <w:b/>
          <w:bCs/>
          <w:sz w:val="22"/>
          <w:szCs w:val="22"/>
        </w:rPr>
      </w:pPr>
    </w:p>
    <w:p w14:paraId="706C6219" w14:textId="731B4DD7"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GI EFFECTS</w:t>
      </w:r>
    </w:p>
    <w:p w14:paraId="408B7345" w14:textId="77777777" w:rsidR="00CC10CA" w:rsidRPr="00A6203D" w:rsidRDefault="00CC10CA" w:rsidP="00CE7C7B">
      <w:pPr>
        <w:spacing w:line="276" w:lineRule="auto"/>
        <w:rPr>
          <w:rFonts w:ascii="Arial" w:hAnsi="Arial" w:cs="Arial"/>
          <w:sz w:val="22"/>
          <w:szCs w:val="22"/>
        </w:rPr>
      </w:pPr>
    </w:p>
    <w:p w14:paraId="08FC4B5A" w14:textId="3FD74554"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general, the bisphosphonates are safe medications. Studies showing the long-term safety of alendronate, risedronate, and zoledronic acid are available for up to 10, 7, and 6 years respectively. Oral bisphosphonates are associated with some GI symptoms, and rare cases of severe esophagitis have been reported with alendronate, although reports are not consistent. However, Lanza et al. carried out a placebo-controlled endoscopic study in 277 subjects and found that the incidence of upper GI symptoms and endoscopic lesions was similar in the placebo and weekly alendronate groups (</w:t>
      </w:r>
      <w:hyperlink r:id="rId108" w:history="1">
        <w:r w:rsidRPr="00A6203D">
          <w:rPr>
            <w:rStyle w:val="Hyperlink"/>
            <w:rFonts w:ascii="Arial" w:hAnsi="Arial" w:cs="Arial"/>
            <w:color w:val="auto"/>
            <w:sz w:val="22"/>
            <w:szCs w:val="22"/>
            <w:u w:val="none"/>
          </w:rPr>
          <w:t>122</w:t>
        </w:r>
      </w:hyperlink>
      <w:r w:rsidRPr="00A6203D">
        <w:rPr>
          <w:rFonts w:ascii="Arial" w:hAnsi="Arial" w:cs="Arial"/>
          <w:sz w:val="22"/>
          <w:szCs w:val="22"/>
        </w:rPr>
        <w:t>). While in controlled trials the incidence of GI adverse effects did not differ in alendronate versus placebo groups, in clinical practice some patients discontinue bisphosphonates because of adverse GI experiences.</w:t>
      </w:r>
    </w:p>
    <w:p w14:paraId="500C88E1" w14:textId="77777777" w:rsidR="00CC10CA" w:rsidRPr="00A6203D" w:rsidRDefault="00CC10CA" w:rsidP="00CE7C7B">
      <w:pPr>
        <w:spacing w:line="276" w:lineRule="auto"/>
        <w:rPr>
          <w:rFonts w:ascii="Arial" w:hAnsi="Arial" w:cs="Arial"/>
          <w:sz w:val="22"/>
          <w:szCs w:val="22"/>
        </w:rPr>
      </w:pPr>
    </w:p>
    <w:p w14:paraId="51E36F52" w14:textId="40D1EA0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Because of the risk of esophagitis, alendronate is contraindicated for patients with esophageal abnormalities that delay esophageal emptying such as stricture or achalasia, and both alendronate and risedronate should not be used in patients who are unable to stand or sit upright for at least 30 minutes after drug administration because of increased risk of adverse esophageal effects.</w:t>
      </w:r>
    </w:p>
    <w:p w14:paraId="76065D9E" w14:textId="77777777" w:rsidR="00CC10CA" w:rsidRPr="00A6203D" w:rsidRDefault="00CC10CA" w:rsidP="00CE7C7B">
      <w:pPr>
        <w:spacing w:line="276" w:lineRule="auto"/>
        <w:rPr>
          <w:rFonts w:ascii="Arial" w:hAnsi="Arial" w:cs="Arial"/>
          <w:b/>
          <w:bCs/>
          <w:sz w:val="22"/>
          <w:szCs w:val="22"/>
        </w:rPr>
      </w:pPr>
    </w:p>
    <w:p w14:paraId="1D327C66" w14:textId="0BEBF443"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ATYPICAL FEMUR FRACTURES</w:t>
      </w:r>
    </w:p>
    <w:p w14:paraId="27967D3F" w14:textId="77777777" w:rsidR="00CC10CA" w:rsidRPr="00A6203D" w:rsidRDefault="00CC10CA" w:rsidP="00CE7C7B">
      <w:pPr>
        <w:spacing w:line="276" w:lineRule="auto"/>
        <w:rPr>
          <w:rFonts w:ascii="Arial" w:hAnsi="Arial" w:cs="Arial"/>
          <w:sz w:val="22"/>
          <w:szCs w:val="22"/>
        </w:rPr>
      </w:pPr>
    </w:p>
    <w:p w14:paraId="34DB2634" w14:textId="7CA8670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There has been concern over long-term bisphosphonate use and the reported risk of atypical femur fractures (AFF). AFF are thought to be stress or insufficiency fractures, caused by anti-resorptive-mediated suppression of intracortical remodeling, though the definite pathogenesis remains unclear. The absolute risk of AFF for patients taking bisphosphonates ranges from 3.2 to 50 per 100,000 person-years, but the risk with long-term bisphosphonate use is higher, ~100 per 100,000 person-years.</w:t>
      </w:r>
    </w:p>
    <w:p w14:paraId="63855BF2" w14:textId="77777777" w:rsidR="00CC10CA" w:rsidRPr="00A6203D" w:rsidRDefault="00CC10CA" w:rsidP="00CE7C7B">
      <w:pPr>
        <w:spacing w:line="276" w:lineRule="auto"/>
        <w:rPr>
          <w:rFonts w:ascii="Arial" w:hAnsi="Arial" w:cs="Arial"/>
          <w:sz w:val="22"/>
          <w:szCs w:val="22"/>
        </w:rPr>
      </w:pPr>
    </w:p>
    <w:p w14:paraId="565567DD" w14:textId="0E253C0B"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Second Task Force of the American Society for Bone and Mineral Research (ASBMR) has defined AFF for case recognition. AFF must be located along the femoral diaphysis distal to the lesser trochanter and proximal to the supracondylar flare, and satisfy 4/5 major features: 1) the fracture is associated with minimal or no trauma, 2) the fracture line originates at the lateral cortex and is substantially transverse in its orientation (but can also be oblique as it progresses medially), 3) a complex fracture extends through both cortices and may have medial spike; or an incomplete fracture involves the lateral cortex, 4) the fracture is noncomminuted or minimally comminuted, and/or 5) localized periosteal or endosteal thickening of the lateral cortex is present at the fracture site (“</w:t>
      </w:r>
      <w:proofErr w:type="spellStart"/>
      <w:r w:rsidRPr="00A6203D">
        <w:rPr>
          <w:rFonts w:ascii="Arial" w:hAnsi="Arial" w:cs="Arial"/>
          <w:sz w:val="22"/>
          <w:szCs w:val="22"/>
        </w:rPr>
        <w:t>beaking</w:t>
      </w:r>
      <w:proofErr w:type="spellEnd"/>
      <w:r w:rsidRPr="00A6203D">
        <w:rPr>
          <w:rFonts w:ascii="Arial" w:hAnsi="Arial" w:cs="Arial"/>
          <w:sz w:val="22"/>
          <w:szCs w:val="22"/>
        </w:rPr>
        <w:t xml:space="preserve">” or “flaring”). Other common features (minor features) include generalized increase in thickness of the femoral </w:t>
      </w:r>
      <w:proofErr w:type="spellStart"/>
      <w:r w:rsidRPr="00A6203D">
        <w:rPr>
          <w:rFonts w:ascii="Arial" w:hAnsi="Arial" w:cs="Arial"/>
          <w:sz w:val="22"/>
          <w:szCs w:val="22"/>
        </w:rPr>
        <w:t>diaphyses</w:t>
      </w:r>
      <w:proofErr w:type="spellEnd"/>
      <w:r w:rsidRPr="00A6203D">
        <w:rPr>
          <w:rFonts w:ascii="Arial" w:hAnsi="Arial" w:cs="Arial"/>
          <w:sz w:val="22"/>
          <w:szCs w:val="22"/>
        </w:rPr>
        <w:t>, prodromal symptom of dull or aching pain in the groin or thigh, bilateral incomplete or complete femoral diaphysis fractures, and delayed fracture healing, though these are not required for case definition. Risk factors include use of bisphosphonates for &gt;3-5 years, low vitamin D levels, and use of glucocorticoids (</w:t>
      </w:r>
      <w:hyperlink r:id="rId109" w:history="1">
        <w:r w:rsidRPr="00A6203D">
          <w:rPr>
            <w:rStyle w:val="Hyperlink"/>
            <w:rFonts w:ascii="Arial" w:hAnsi="Arial" w:cs="Arial"/>
            <w:color w:val="auto"/>
            <w:sz w:val="22"/>
            <w:szCs w:val="22"/>
            <w:u w:val="none"/>
          </w:rPr>
          <w:t>123</w:t>
        </w:r>
      </w:hyperlink>
      <w:r w:rsidRPr="00A6203D">
        <w:rPr>
          <w:rFonts w:ascii="Arial" w:hAnsi="Arial" w:cs="Arial"/>
          <w:sz w:val="22"/>
          <w:szCs w:val="22"/>
        </w:rPr>
        <w:t>).</w:t>
      </w:r>
    </w:p>
    <w:p w14:paraId="457D1F67" w14:textId="77777777" w:rsidR="00CC10CA" w:rsidRPr="00A6203D" w:rsidRDefault="00CC10CA" w:rsidP="00CE7C7B">
      <w:pPr>
        <w:spacing w:line="276" w:lineRule="auto"/>
        <w:rPr>
          <w:rFonts w:ascii="Arial" w:hAnsi="Arial" w:cs="Arial"/>
          <w:sz w:val="22"/>
          <w:szCs w:val="22"/>
        </w:rPr>
      </w:pPr>
    </w:p>
    <w:p w14:paraId="257E745C"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lastRenderedPageBreak/>
        <w:t>The consensus has been that the number of fractures prevented far exceeds the number of AFF occurring as a result of bisphosphonate therapy, though further data is needed to guide decision-making around AFF risk.</w:t>
      </w:r>
    </w:p>
    <w:p w14:paraId="37C0CCBC" w14:textId="77777777" w:rsidR="00CC10CA" w:rsidRPr="00A6203D" w:rsidRDefault="00CC10CA" w:rsidP="00CE7C7B">
      <w:pPr>
        <w:spacing w:line="276" w:lineRule="auto"/>
        <w:rPr>
          <w:rFonts w:ascii="Arial" w:hAnsi="Arial" w:cs="Arial"/>
          <w:sz w:val="22"/>
          <w:szCs w:val="22"/>
        </w:rPr>
      </w:pPr>
    </w:p>
    <w:p w14:paraId="7F42B68C" w14:textId="5851896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Management of AFF recommended by the ASBMR task force includes surgical management with intramedullary fixation nailing or plating if the fracture is complete or incomplete accompanied by pain, with discontinuation of anti-</w:t>
      </w:r>
      <w:proofErr w:type="spellStart"/>
      <w:r w:rsidRPr="00A6203D">
        <w:rPr>
          <w:rFonts w:ascii="Arial" w:hAnsi="Arial" w:cs="Arial"/>
          <w:sz w:val="22"/>
          <w:szCs w:val="22"/>
        </w:rPr>
        <w:t>resorptives</w:t>
      </w:r>
      <w:proofErr w:type="spellEnd"/>
      <w:r w:rsidRPr="00A6203D">
        <w:rPr>
          <w:rFonts w:ascii="Arial" w:hAnsi="Arial" w:cs="Arial"/>
          <w:sz w:val="22"/>
          <w:szCs w:val="22"/>
        </w:rPr>
        <w:t>, and adequate calcium and vitamin D intake. If the fracture is incomplete and pain is minimal, a trial of conservative management may be considered with use of crutches for 2-3 months, though there is a risk of progression to complete fracture with this method. In addition, obtaining X-ray imaging of the contralateral femur is recommended by the FDA, as ~28% of AFF also affect the contralateral leg. AFF noted on X-ray imaging should be followed by higher-order imaging, such as MRI or CT (</w:t>
      </w:r>
      <w:hyperlink r:id="rId110" w:history="1">
        <w:r w:rsidRPr="00A6203D">
          <w:rPr>
            <w:rStyle w:val="Hyperlink"/>
            <w:rFonts w:ascii="Arial" w:hAnsi="Arial" w:cs="Arial"/>
            <w:color w:val="auto"/>
            <w:sz w:val="22"/>
            <w:szCs w:val="22"/>
            <w:u w:val="none"/>
          </w:rPr>
          <w:t>123</w:t>
        </w:r>
      </w:hyperlink>
      <w:r w:rsidRPr="00A6203D">
        <w:rPr>
          <w:rFonts w:ascii="Arial" w:hAnsi="Arial" w:cs="Arial"/>
          <w:sz w:val="22"/>
          <w:szCs w:val="22"/>
        </w:rPr>
        <w:t xml:space="preserve">). Lastly, </w:t>
      </w:r>
      <w:r w:rsidR="00915548" w:rsidRPr="00A6203D">
        <w:rPr>
          <w:rFonts w:ascii="Arial" w:hAnsi="Arial" w:cs="Arial"/>
          <w:sz w:val="22"/>
          <w:szCs w:val="22"/>
        </w:rPr>
        <w:t>t</w:t>
      </w:r>
      <w:r w:rsidRPr="00A6203D">
        <w:rPr>
          <w:rFonts w:ascii="Arial" w:hAnsi="Arial" w:cs="Arial"/>
          <w:sz w:val="22"/>
          <w:szCs w:val="22"/>
        </w:rPr>
        <w:t>eriparatide may be considered in those who do not heal with other therapy (</w:t>
      </w:r>
      <w:hyperlink r:id="rId111" w:history="1">
        <w:r w:rsidRPr="00A6203D">
          <w:rPr>
            <w:rStyle w:val="Hyperlink"/>
            <w:rFonts w:ascii="Arial" w:hAnsi="Arial" w:cs="Arial"/>
            <w:color w:val="auto"/>
            <w:sz w:val="22"/>
            <w:szCs w:val="22"/>
            <w:u w:val="none"/>
          </w:rPr>
          <w:t>124</w:t>
        </w:r>
      </w:hyperlink>
      <w:r w:rsidRPr="00A6203D">
        <w:rPr>
          <w:rFonts w:ascii="Arial" w:hAnsi="Arial" w:cs="Arial"/>
          <w:sz w:val="22"/>
          <w:szCs w:val="22"/>
        </w:rPr>
        <w:t>).</w:t>
      </w:r>
    </w:p>
    <w:p w14:paraId="604F7098" w14:textId="77777777" w:rsidR="00CC10CA" w:rsidRPr="00A6203D" w:rsidRDefault="00CC10CA" w:rsidP="00CE7C7B">
      <w:pPr>
        <w:spacing w:line="276" w:lineRule="auto"/>
        <w:rPr>
          <w:rFonts w:ascii="Arial" w:hAnsi="Arial" w:cs="Arial"/>
          <w:b/>
          <w:bCs/>
          <w:sz w:val="22"/>
          <w:szCs w:val="22"/>
        </w:rPr>
      </w:pPr>
    </w:p>
    <w:p w14:paraId="3D6223DA" w14:textId="7A7B1E89"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OSTEONECROSIS OF THE JAW</w:t>
      </w:r>
    </w:p>
    <w:p w14:paraId="15CFF44C" w14:textId="77777777" w:rsidR="00CC10CA" w:rsidRPr="00A6203D" w:rsidRDefault="00CC10CA" w:rsidP="00CE7C7B">
      <w:pPr>
        <w:spacing w:line="276" w:lineRule="auto"/>
        <w:rPr>
          <w:rFonts w:ascii="Arial" w:hAnsi="Arial" w:cs="Arial"/>
          <w:sz w:val="22"/>
          <w:szCs w:val="22"/>
        </w:rPr>
      </w:pPr>
    </w:p>
    <w:p w14:paraId="790639EF" w14:textId="3B58302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Bisphosphonate-associated osteonecrosis of the jaws (ONJ) has also drawn attention</w:t>
      </w:r>
      <w:r w:rsidR="00EF050A" w:rsidRPr="00A6203D">
        <w:rPr>
          <w:rFonts w:ascii="Arial" w:hAnsi="Arial" w:cs="Arial"/>
          <w:sz w:val="22"/>
          <w:szCs w:val="22"/>
        </w:rPr>
        <w:t xml:space="preserve"> even though this is a rare occurrence in patients treated with antiresorptive therapies</w:t>
      </w:r>
      <w:r w:rsidRPr="00A6203D">
        <w:rPr>
          <w:rFonts w:ascii="Arial" w:hAnsi="Arial" w:cs="Arial"/>
          <w:sz w:val="22"/>
          <w:szCs w:val="22"/>
        </w:rPr>
        <w:t>. The International Task Force on Osteonecrosis of the Jaw defines ONJ as exposed bone in the maxillofacial region that does not heal within 8 weeks after identification by a health care provider, with prior exposure to an antiresorptive agent, and no history of radiation to the craniofacial region (</w:t>
      </w:r>
      <w:hyperlink r:id="rId112" w:history="1">
        <w:r w:rsidRPr="00A6203D">
          <w:rPr>
            <w:rStyle w:val="Hyperlink"/>
            <w:rFonts w:ascii="Arial" w:hAnsi="Arial" w:cs="Arial"/>
            <w:color w:val="auto"/>
            <w:sz w:val="22"/>
            <w:szCs w:val="22"/>
            <w:u w:val="none"/>
          </w:rPr>
          <w:t>125</w:t>
        </w:r>
      </w:hyperlink>
      <w:r w:rsidRPr="00A6203D">
        <w:rPr>
          <w:rFonts w:ascii="Arial" w:hAnsi="Arial" w:cs="Arial"/>
          <w:sz w:val="22"/>
          <w:szCs w:val="22"/>
        </w:rPr>
        <w:t>). It has been hypothesized that ONJ is the result of bone remodeling suppression combined with additional factors such as dental intervention or infection (</w:t>
      </w:r>
      <w:hyperlink r:id="rId113" w:history="1">
        <w:r w:rsidRPr="00A6203D">
          <w:rPr>
            <w:rStyle w:val="Hyperlink"/>
            <w:rFonts w:ascii="Arial" w:hAnsi="Arial" w:cs="Arial"/>
            <w:color w:val="auto"/>
            <w:sz w:val="22"/>
            <w:szCs w:val="22"/>
            <w:u w:val="none"/>
          </w:rPr>
          <w:t>126</w:t>
        </w:r>
      </w:hyperlink>
      <w:r w:rsidRPr="00A6203D">
        <w:rPr>
          <w:rFonts w:ascii="Arial" w:hAnsi="Arial" w:cs="Arial"/>
          <w:sz w:val="22"/>
          <w:szCs w:val="22"/>
        </w:rPr>
        <w:t>). Although very rare, it is more common after dental procedures such as tooth extraction. In 2005, the FDA requested that all oral and IV bisphosphonates include a class “precaution” labeling for ONJ. There have been no cases reported in randomized, placebo-controlled trials of alendronate, risedronate, or ibandronate. However, in a 2006 Medline review, 368 published cases were found, 94% of which involved patients receiving intravenous bisphosphonates, 85% of which involved patients with multiple myeloma or metastatic cancer. Only 4% of patients had osteoporosis and data suggests a time- and dose-dependent effect. 60% of reported cases of ONJ occurred after dentoalveolar surgery for infections (tooth extractions), and the remaining 40% were likely related to infection, denture trauma, or other oral trauma (</w:t>
      </w:r>
      <w:hyperlink r:id="rId114" w:history="1">
        <w:r w:rsidRPr="00A6203D">
          <w:rPr>
            <w:rStyle w:val="Hyperlink"/>
            <w:rFonts w:ascii="Arial" w:hAnsi="Arial" w:cs="Arial"/>
            <w:color w:val="auto"/>
            <w:sz w:val="22"/>
            <w:szCs w:val="22"/>
            <w:u w:val="none"/>
          </w:rPr>
          <w:t>127</w:t>
        </w:r>
      </w:hyperlink>
      <w:r w:rsidRPr="00A6203D">
        <w:rPr>
          <w:rFonts w:ascii="Arial" w:hAnsi="Arial" w:cs="Arial"/>
          <w:sz w:val="22"/>
          <w:szCs w:val="22"/>
        </w:rPr>
        <w:t>). Based on both published and unpublished data, the risk of ONJ associated with oral bisphosphonate treatment for osteoporosis is low, estimated between one in 10,000 and less than one in 100,000 patient-treatment years (</w:t>
      </w:r>
      <w:hyperlink r:id="rId115" w:history="1">
        <w:r w:rsidRPr="00A6203D">
          <w:rPr>
            <w:rStyle w:val="Hyperlink"/>
            <w:rFonts w:ascii="Arial" w:hAnsi="Arial" w:cs="Arial"/>
            <w:color w:val="auto"/>
            <w:sz w:val="22"/>
            <w:szCs w:val="22"/>
            <w:u w:val="none"/>
          </w:rPr>
          <w:t>128</w:t>
        </w:r>
      </w:hyperlink>
      <w:r w:rsidRPr="00A6203D">
        <w:rPr>
          <w:rFonts w:ascii="Arial" w:hAnsi="Arial" w:cs="Arial"/>
          <w:sz w:val="22"/>
          <w:szCs w:val="22"/>
        </w:rPr>
        <w:t>). Some experts have suggested stopping bisphosphonates during a time before and after-invasive dental procedures. The American Dental Association 2011 Recommendations indicate that for patients receiving bisphosphonate therapy, the risk of developing osteonecrosis of the jaw is low and that for dental care they do not currently recommend stopping bisphosphonates (</w:t>
      </w:r>
      <w:hyperlink r:id="rId116" w:history="1">
        <w:r w:rsidRPr="00A6203D">
          <w:rPr>
            <w:rStyle w:val="Hyperlink"/>
            <w:rFonts w:ascii="Arial" w:hAnsi="Arial" w:cs="Arial"/>
            <w:color w:val="auto"/>
            <w:sz w:val="22"/>
            <w:szCs w:val="22"/>
            <w:u w:val="none"/>
          </w:rPr>
          <w:t>129</w:t>
        </w:r>
      </w:hyperlink>
      <w:r w:rsidRPr="00A6203D">
        <w:rPr>
          <w:rFonts w:ascii="Arial" w:hAnsi="Arial" w:cs="Arial"/>
          <w:sz w:val="22"/>
          <w:szCs w:val="22"/>
        </w:rPr>
        <w:t>,</w:t>
      </w:r>
      <w:hyperlink r:id="rId117" w:history="1">
        <w:r w:rsidRPr="00A6203D">
          <w:rPr>
            <w:rStyle w:val="Hyperlink"/>
            <w:rFonts w:ascii="Arial" w:hAnsi="Arial" w:cs="Arial"/>
            <w:color w:val="auto"/>
            <w:sz w:val="22"/>
            <w:szCs w:val="22"/>
            <w:u w:val="none"/>
          </w:rPr>
          <w:t>130</w:t>
        </w:r>
      </w:hyperlink>
      <w:r w:rsidRPr="00A6203D">
        <w:rPr>
          <w:rFonts w:ascii="Arial" w:hAnsi="Arial" w:cs="Arial"/>
          <w:sz w:val="22"/>
          <w:szCs w:val="22"/>
        </w:rPr>
        <w:t>). The American Dental Association does recommend maintenance of good dental hygiene and routine dental care.</w:t>
      </w:r>
    </w:p>
    <w:p w14:paraId="38A2584E" w14:textId="77777777" w:rsidR="00CC10CA" w:rsidRPr="00A6203D" w:rsidRDefault="00CC10CA" w:rsidP="00CE7C7B">
      <w:pPr>
        <w:spacing w:line="276" w:lineRule="auto"/>
        <w:rPr>
          <w:rFonts w:ascii="Arial" w:hAnsi="Arial" w:cs="Arial"/>
          <w:sz w:val="22"/>
          <w:szCs w:val="22"/>
        </w:rPr>
      </w:pPr>
    </w:p>
    <w:p w14:paraId="7EE97A8F" w14:textId="2EDB6BF3" w:rsidR="005E6870" w:rsidRPr="00A6203D" w:rsidRDefault="1C25C164" w:rsidP="00CE7C7B">
      <w:pPr>
        <w:spacing w:line="276" w:lineRule="auto"/>
        <w:rPr>
          <w:rFonts w:ascii="Arial" w:hAnsi="Arial" w:cs="Arial"/>
          <w:sz w:val="22"/>
          <w:szCs w:val="22"/>
        </w:rPr>
      </w:pPr>
      <w:r w:rsidRPr="00A6203D">
        <w:rPr>
          <w:rFonts w:ascii="Arial" w:hAnsi="Arial" w:cs="Arial"/>
          <w:sz w:val="22"/>
          <w:szCs w:val="22"/>
        </w:rPr>
        <w:t xml:space="preserve">The International Task Force on Osteonecrosis of the Jaw in 2015 reported an incidence of ONJ of 0.001% to 0.01% in osteoporosis patients, which is slightly higher than the incidence in the </w:t>
      </w:r>
      <w:r w:rsidRPr="00A6203D">
        <w:rPr>
          <w:rFonts w:ascii="Arial" w:hAnsi="Arial" w:cs="Arial"/>
          <w:sz w:val="22"/>
          <w:szCs w:val="22"/>
        </w:rPr>
        <w:lastRenderedPageBreak/>
        <w:t>general population (&lt;0.001%). Risk factors for ONJ included glucocorticoid use, maxillary or mandibular bone surgery, poor oral hygiene, chronic inflammation, diabetes mellitus, ill-fitting dentures, as well as other drugs such as antiangiogenic agents. Incidence is greater in the oncology population (1-15%), who are receiving significantly more frequent and higher doses of anti-</w:t>
      </w:r>
      <w:proofErr w:type="spellStart"/>
      <w:r w:rsidRPr="00A6203D">
        <w:rPr>
          <w:rFonts w:ascii="Arial" w:hAnsi="Arial" w:cs="Arial"/>
          <w:sz w:val="22"/>
          <w:szCs w:val="22"/>
        </w:rPr>
        <w:t>resorptives</w:t>
      </w:r>
      <w:proofErr w:type="spellEnd"/>
      <w:r w:rsidRPr="00A6203D">
        <w:rPr>
          <w:rFonts w:ascii="Arial" w:hAnsi="Arial" w:cs="Arial"/>
          <w:sz w:val="22"/>
          <w:szCs w:val="22"/>
        </w:rPr>
        <w:t xml:space="preserve"> than the osteoporotic population. The task force recommended prevention of ONJ by eliminating or stabilizing oral disease prior to initiation of antiresorptive therapy, and considering the withholding of antiresorptive therapy in those at high risk for ONJ, such as cancer patients receiving bisphosphonates or denosumab and following extensive oral surgery until the surgical site heals with mature mucosal coverage (</w:t>
      </w:r>
      <w:hyperlink r:id="rId118">
        <w:r w:rsidRPr="00A6203D">
          <w:rPr>
            <w:rStyle w:val="Hyperlink"/>
            <w:rFonts w:ascii="Arial" w:hAnsi="Arial" w:cs="Arial"/>
            <w:color w:val="auto"/>
            <w:sz w:val="22"/>
            <w:szCs w:val="22"/>
            <w:u w:val="none"/>
          </w:rPr>
          <w:t>125</w:t>
        </w:r>
      </w:hyperlink>
      <w:r w:rsidRPr="00A6203D">
        <w:rPr>
          <w:rFonts w:ascii="Arial" w:hAnsi="Arial" w:cs="Arial"/>
          <w:sz w:val="22"/>
          <w:szCs w:val="22"/>
        </w:rPr>
        <w:t>). In a 2022 update by the American Association of Oral and Maxillofacial Surgeons’ Position Paper on Medication-Related Osteonecrosis of the Jaws</w:t>
      </w:r>
      <w:r w:rsidR="0046580F" w:rsidRPr="00A6203D">
        <w:rPr>
          <w:rFonts w:ascii="Arial" w:hAnsi="Arial" w:cs="Arial"/>
          <w:sz w:val="22"/>
          <w:szCs w:val="22"/>
        </w:rPr>
        <w:t xml:space="preserve"> (MRONJ)</w:t>
      </w:r>
      <w:r w:rsidRPr="00A6203D">
        <w:rPr>
          <w:rFonts w:ascii="Arial" w:hAnsi="Arial" w:cs="Arial"/>
          <w:sz w:val="22"/>
          <w:szCs w:val="22"/>
        </w:rPr>
        <w:t>, the risk of MRONJ in osteoporotic patients treated with bisphosphonates was 0.02 to 0.05 percent, compared to 0 to 0.02 percent with placebo (</w:t>
      </w:r>
      <w:r w:rsidR="00E0579E" w:rsidRPr="00A6203D">
        <w:rPr>
          <w:rFonts w:ascii="Arial" w:hAnsi="Arial" w:cs="Arial"/>
          <w:sz w:val="22"/>
          <w:szCs w:val="22"/>
        </w:rPr>
        <w:t>198</w:t>
      </w:r>
      <w:r w:rsidRPr="00A6203D">
        <w:rPr>
          <w:rFonts w:ascii="Arial" w:hAnsi="Arial" w:cs="Arial"/>
          <w:sz w:val="22"/>
          <w:szCs w:val="22"/>
        </w:rPr>
        <w:t>).</w:t>
      </w:r>
      <w:r w:rsidR="00B3685E" w:rsidRPr="00A6203D">
        <w:rPr>
          <w:rFonts w:ascii="Arial" w:hAnsi="Arial" w:cs="Arial"/>
          <w:sz w:val="22"/>
          <w:szCs w:val="22"/>
        </w:rPr>
        <w:t xml:space="preserve"> </w:t>
      </w:r>
    </w:p>
    <w:p w14:paraId="6154A518" w14:textId="77777777" w:rsidR="00DB6391" w:rsidRPr="00A6203D" w:rsidRDefault="00DB6391" w:rsidP="00CE7C7B">
      <w:pPr>
        <w:spacing w:line="276" w:lineRule="auto"/>
        <w:rPr>
          <w:rFonts w:ascii="Arial" w:hAnsi="Arial" w:cs="Arial"/>
          <w:sz w:val="22"/>
          <w:szCs w:val="22"/>
        </w:rPr>
      </w:pPr>
    </w:p>
    <w:p w14:paraId="5E0FC026" w14:textId="77777777"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ATRIAL FIBRILLATION</w:t>
      </w:r>
    </w:p>
    <w:p w14:paraId="0FEEE0C9" w14:textId="77777777" w:rsidR="00CC10CA" w:rsidRPr="00A6203D" w:rsidRDefault="00CC10CA" w:rsidP="00CE7C7B">
      <w:pPr>
        <w:spacing w:line="276" w:lineRule="auto"/>
        <w:rPr>
          <w:rFonts w:ascii="Arial" w:hAnsi="Arial" w:cs="Arial"/>
          <w:sz w:val="22"/>
          <w:szCs w:val="22"/>
        </w:rPr>
      </w:pPr>
    </w:p>
    <w:p w14:paraId="1D4B69EB" w14:textId="472274FD"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the HORIZON trial, serious atrial fibrillation (AF) was seen more frequently in patients who received IV zoledronic acid (50 subjects, 1.5%) than in those who received placebo (20 subjects 0.5%) (</w:t>
      </w:r>
      <w:hyperlink r:id="rId119" w:history="1">
        <w:r w:rsidRPr="00A6203D">
          <w:rPr>
            <w:rStyle w:val="Hyperlink"/>
            <w:rFonts w:ascii="Arial" w:hAnsi="Arial" w:cs="Arial"/>
            <w:color w:val="auto"/>
            <w:sz w:val="22"/>
            <w:szCs w:val="22"/>
            <w:u w:val="none"/>
          </w:rPr>
          <w:t>108</w:t>
        </w:r>
      </w:hyperlink>
      <w:r w:rsidRPr="00A6203D">
        <w:rPr>
          <w:rFonts w:ascii="Arial" w:hAnsi="Arial" w:cs="Arial"/>
          <w:sz w:val="22"/>
          <w:szCs w:val="22"/>
        </w:rPr>
        <w:t>). Significant risk factors were active tachyarrhythmia, congestive heart failure, previous bisphosphonate use, and advanced age (</w:t>
      </w:r>
      <w:hyperlink r:id="rId120" w:history="1">
        <w:r w:rsidRPr="00A6203D">
          <w:rPr>
            <w:rStyle w:val="Hyperlink"/>
            <w:rFonts w:ascii="Arial" w:hAnsi="Arial" w:cs="Arial"/>
            <w:color w:val="auto"/>
            <w:sz w:val="22"/>
            <w:szCs w:val="22"/>
            <w:u w:val="none"/>
          </w:rPr>
          <w:t>109</w:t>
        </w:r>
      </w:hyperlink>
      <w:r w:rsidRPr="00A6203D">
        <w:rPr>
          <w:rFonts w:ascii="Arial" w:hAnsi="Arial" w:cs="Arial"/>
          <w:sz w:val="22"/>
          <w:szCs w:val="22"/>
        </w:rPr>
        <w:t>). In a review of the results from FIT, there were more serious AF cases in the alendronate group (N=47 subjects, 1.5%) than in the placebo group (N=31 subjects, 1.0%), but these differences were not significant (</w:t>
      </w:r>
      <w:hyperlink r:id="rId121" w:history="1">
        <w:r w:rsidRPr="00A6203D">
          <w:rPr>
            <w:rStyle w:val="Hyperlink"/>
            <w:rFonts w:ascii="Arial" w:hAnsi="Arial" w:cs="Arial"/>
            <w:color w:val="auto"/>
            <w:sz w:val="22"/>
            <w:szCs w:val="22"/>
            <w:u w:val="none"/>
          </w:rPr>
          <w:t>131</w:t>
        </w:r>
      </w:hyperlink>
      <w:r w:rsidRPr="00A6203D">
        <w:rPr>
          <w:rFonts w:ascii="Arial" w:hAnsi="Arial" w:cs="Arial"/>
          <w:sz w:val="22"/>
          <w:szCs w:val="22"/>
        </w:rPr>
        <w:t>). These findings raised concern about a risk of AF with bisphosphonate use. In a case-control study published in 2008, researchers found more AF subjects than controls had ever used alendronate (n=47, 6.5% versus n=40, 4.1%) (</w:t>
      </w:r>
      <w:hyperlink r:id="rId122" w:history="1">
        <w:r w:rsidRPr="00A6203D">
          <w:rPr>
            <w:rStyle w:val="Hyperlink"/>
            <w:rFonts w:ascii="Arial" w:hAnsi="Arial" w:cs="Arial"/>
            <w:color w:val="auto"/>
            <w:sz w:val="22"/>
            <w:szCs w:val="22"/>
            <w:u w:val="none"/>
          </w:rPr>
          <w:t>132</w:t>
        </w:r>
      </w:hyperlink>
      <w:r w:rsidRPr="00A6203D">
        <w:rPr>
          <w:rFonts w:ascii="Arial" w:hAnsi="Arial" w:cs="Arial"/>
          <w:sz w:val="22"/>
          <w:szCs w:val="22"/>
        </w:rPr>
        <w:t>). A review of data from multiple trials did not find an association between risedronate use and AF (</w:t>
      </w:r>
      <w:hyperlink r:id="rId123" w:history="1">
        <w:r w:rsidRPr="00A6203D">
          <w:rPr>
            <w:rStyle w:val="Hyperlink"/>
            <w:rFonts w:ascii="Arial" w:hAnsi="Arial" w:cs="Arial"/>
            <w:color w:val="auto"/>
            <w:sz w:val="22"/>
            <w:szCs w:val="22"/>
            <w:u w:val="none"/>
          </w:rPr>
          <w:t>133</w:t>
        </w:r>
      </w:hyperlink>
      <w:r w:rsidRPr="00A6203D">
        <w:rPr>
          <w:rFonts w:ascii="Arial" w:hAnsi="Arial" w:cs="Arial"/>
          <w:sz w:val="22"/>
          <w:szCs w:val="22"/>
        </w:rPr>
        <w:t>). It is unclear how bisphosphonates may increase the risk of AF. Hypotheses include the release of inflammatory cytokines when IV bisphosphonates are administered, calcium shifts that can occur with IV and potent oral bisphosphonates, and relative binding affinity of the various bisphosphonates to bone. Both cytokines and calcium shifts may increase the risk of AF. The FDA released a review of spontaneous post-marketing reports of AF associated with oral and IV bisphosphonates and did not identify a risk of AF (</w:t>
      </w:r>
      <w:hyperlink r:id="rId124" w:history="1">
        <w:r w:rsidRPr="00A6203D">
          <w:rPr>
            <w:rStyle w:val="Hyperlink"/>
            <w:rFonts w:ascii="Arial" w:hAnsi="Arial" w:cs="Arial"/>
            <w:color w:val="auto"/>
            <w:sz w:val="22"/>
            <w:szCs w:val="22"/>
            <w:u w:val="none"/>
          </w:rPr>
          <w:t>134</w:t>
        </w:r>
      </w:hyperlink>
      <w:r w:rsidRPr="00A6203D">
        <w:rPr>
          <w:rFonts w:ascii="Arial" w:hAnsi="Arial" w:cs="Arial"/>
          <w:sz w:val="22"/>
          <w:szCs w:val="22"/>
        </w:rPr>
        <w:t>,</w:t>
      </w:r>
      <w:hyperlink r:id="rId125" w:history="1">
        <w:r w:rsidRPr="00A6203D">
          <w:rPr>
            <w:rStyle w:val="Hyperlink"/>
            <w:rFonts w:ascii="Arial" w:hAnsi="Arial" w:cs="Arial"/>
            <w:color w:val="auto"/>
            <w:sz w:val="22"/>
            <w:szCs w:val="22"/>
            <w:u w:val="none"/>
          </w:rPr>
          <w:t>135</w:t>
        </w:r>
      </w:hyperlink>
      <w:r w:rsidRPr="00A6203D">
        <w:rPr>
          <w:rFonts w:ascii="Arial" w:hAnsi="Arial" w:cs="Arial"/>
          <w:sz w:val="22"/>
          <w:szCs w:val="22"/>
        </w:rPr>
        <w:t>). The FDA continues to monitor such reports.</w:t>
      </w:r>
    </w:p>
    <w:p w14:paraId="522CCACB" w14:textId="77777777" w:rsidR="00CC10CA" w:rsidRPr="00A6203D" w:rsidRDefault="00CC10CA" w:rsidP="00CE7C7B">
      <w:pPr>
        <w:spacing w:line="276" w:lineRule="auto"/>
        <w:rPr>
          <w:rFonts w:ascii="Arial" w:hAnsi="Arial" w:cs="Arial"/>
          <w:b/>
          <w:bCs/>
          <w:sz w:val="22"/>
          <w:szCs w:val="22"/>
        </w:rPr>
      </w:pPr>
    </w:p>
    <w:p w14:paraId="712B165D" w14:textId="5A322E73"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Post-Hip Fracture Care</w:t>
      </w:r>
    </w:p>
    <w:p w14:paraId="312F8522" w14:textId="77777777" w:rsidR="00CC10CA" w:rsidRPr="00A6203D" w:rsidRDefault="00CC10CA" w:rsidP="00CE7C7B">
      <w:pPr>
        <w:spacing w:line="276" w:lineRule="auto"/>
        <w:rPr>
          <w:rFonts w:ascii="Arial" w:hAnsi="Arial" w:cs="Arial"/>
          <w:sz w:val="22"/>
          <w:szCs w:val="22"/>
        </w:rPr>
      </w:pPr>
    </w:p>
    <w:p w14:paraId="1D05DE41" w14:textId="27818DAE"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Given the high rates of morbidity and mortality, particularly within the first-year post-fracture, hip fractures are the most serious of the osteoporotic fractures. There is a high prevalence of low vitamin D levels among hip fracture patients that warrants correction at the time of fracture (</w:t>
      </w:r>
      <w:hyperlink r:id="rId126" w:history="1">
        <w:r w:rsidRPr="00A6203D">
          <w:rPr>
            <w:rStyle w:val="Hyperlink"/>
            <w:rFonts w:ascii="Arial" w:hAnsi="Arial" w:cs="Arial"/>
            <w:color w:val="auto"/>
            <w:sz w:val="22"/>
            <w:szCs w:val="22"/>
            <w:u w:val="none"/>
          </w:rPr>
          <w:t>30</w:t>
        </w:r>
      </w:hyperlink>
      <w:r w:rsidRPr="00A6203D">
        <w:rPr>
          <w:rFonts w:ascii="Arial" w:hAnsi="Arial" w:cs="Arial"/>
          <w:sz w:val="22"/>
          <w:szCs w:val="22"/>
        </w:rPr>
        <w:t>,</w:t>
      </w:r>
      <w:hyperlink r:id="rId127" w:history="1">
        <w:r w:rsidRPr="00A6203D">
          <w:rPr>
            <w:rStyle w:val="Hyperlink"/>
            <w:rFonts w:ascii="Arial" w:hAnsi="Arial" w:cs="Arial"/>
            <w:color w:val="auto"/>
            <w:sz w:val="22"/>
            <w:szCs w:val="22"/>
            <w:u w:val="none"/>
          </w:rPr>
          <w:t>31</w:t>
        </w:r>
      </w:hyperlink>
      <w:r w:rsidRPr="00A6203D">
        <w:rPr>
          <w:rFonts w:ascii="Arial" w:hAnsi="Arial" w:cs="Arial"/>
          <w:sz w:val="22"/>
          <w:szCs w:val="22"/>
        </w:rPr>
        <w:t xml:space="preserve">). Nationally and </w:t>
      </w:r>
      <w:proofErr w:type="gramStart"/>
      <w:r w:rsidRPr="00A6203D">
        <w:rPr>
          <w:rFonts w:ascii="Arial" w:hAnsi="Arial" w:cs="Arial"/>
          <w:sz w:val="22"/>
          <w:szCs w:val="22"/>
        </w:rPr>
        <w:t>internationally</w:t>
      </w:r>
      <w:proofErr w:type="gramEnd"/>
      <w:r w:rsidRPr="00A6203D">
        <w:rPr>
          <w:rFonts w:ascii="Arial" w:hAnsi="Arial" w:cs="Arial"/>
          <w:sz w:val="22"/>
          <w:szCs w:val="22"/>
        </w:rPr>
        <w:t xml:space="preserve"> there is a large gap in fracture care and only 20% of fracture patients are evaluated and treated for their underlying osteoporosis. A fracture liaison service that identifies patients with fractures and initiates bone density testing and treatment has been very effective in reducing costs and improving post-fracture care (</w:t>
      </w:r>
      <w:hyperlink r:id="rId128" w:history="1">
        <w:r w:rsidRPr="00A6203D">
          <w:rPr>
            <w:rStyle w:val="Hyperlink"/>
            <w:rFonts w:ascii="Arial" w:hAnsi="Arial" w:cs="Arial"/>
            <w:color w:val="auto"/>
            <w:sz w:val="22"/>
            <w:szCs w:val="22"/>
            <w:u w:val="none"/>
          </w:rPr>
          <w:t>136-139</w:t>
        </w:r>
      </w:hyperlink>
      <w:r w:rsidRPr="00A6203D">
        <w:rPr>
          <w:rFonts w:ascii="Arial" w:hAnsi="Arial" w:cs="Arial"/>
          <w:sz w:val="22"/>
          <w:szCs w:val="22"/>
        </w:rPr>
        <w:t xml:space="preserve">). At Brigham and Women’s Hospital (BWH) Endocrinologists and members of the Department of Orthopedic Surgery have worked together since 2004 to implement a hospital-based approach to advance fracture care and reverse the high prevalence of vitamin D deficiency among hip fracture patient </w:t>
      </w:r>
      <w:r w:rsidRPr="00A6203D">
        <w:rPr>
          <w:rFonts w:ascii="Arial" w:hAnsi="Arial" w:cs="Arial"/>
          <w:sz w:val="22"/>
          <w:szCs w:val="22"/>
        </w:rPr>
        <w:lastRenderedPageBreak/>
        <w:t>using the electronic health record (</w:t>
      </w:r>
      <w:hyperlink r:id="rId129" w:history="1">
        <w:r w:rsidRPr="00A6203D">
          <w:rPr>
            <w:rStyle w:val="Hyperlink"/>
            <w:rFonts w:ascii="Arial" w:hAnsi="Arial" w:cs="Arial"/>
            <w:color w:val="auto"/>
            <w:sz w:val="22"/>
            <w:szCs w:val="22"/>
            <w:u w:val="none"/>
          </w:rPr>
          <w:t>140</w:t>
        </w:r>
      </w:hyperlink>
      <w:r w:rsidRPr="00A6203D">
        <w:rPr>
          <w:rFonts w:ascii="Arial" w:hAnsi="Arial" w:cs="Arial"/>
          <w:sz w:val="22"/>
          <w:szCs w:val="22"/>
        </w:rPr>
        <w:t>). This inter-disciplinary fracture pathway for hip fracture patients called the Brigham Fracture Intervention Team Initiative or “B-Fit</w:t>
      </w:r>
      <w:r w:rsidRPr="00A6203D">
        <w:rPr>
          <w:rFonts w:ascii="Arial" w:hAnsi="Arial" w:cs="Arial"/>
          <w:sz w:val="22"/>
          <w:szCs w:val="22"/>
          <w:vertAlign w:val="superscript"/>
        </w:rPr>
        <w:t>®</w:t>
      </w:r>
      <w:r w:rsidRPr="00A6203D">
        <w:rPr>
          <w:rFonts w:ascii="Arial" w:hAnsi="Arial" w:cs="Arial"/>
          <w:sz w:val="22"/>
          <w:szCs w:val="22"/>
        </w:rPr>
        <w:t>” includes testing of 25(OH)D, calcium, and creatinine levels on admission to the hospital, administration of one dose of 50,000 units of vitamin D, daily supplemental calcium and vitamin D, and an Endocrinology evaluation. Outpatient care coordination between endocrinologists and Orthopedic Surgeons include assessment for secondary causes of osteoporosis, bone density testing, and pharmacological intervention to reduce subsequent fractures (</w:t>
      </w:r>
      <w:r w:rsidR="00796B89" w:rsidRPr="00A6203D">
        <w:rPr>
          <w:rFonts w:ascii="Arial" w:hAnsi="Arial" w:cs="Arial"/>
          <w:sz w:val="22"/>
          <w:szCs w:val="22"/>
        </w:rPr>
        <w:t xml:space="preserve">7, </w:t>
      </w:r>
      <w:hyperlink r:id="rId130" w:history="1">
        <w:r w:rsidRPr="00A6203D">
          <w:rPr>
            <w:rStyle w:val="Hyperlink"/>
            <w:rFonts w:ascii="Arial" w:hAnsi="Arial" w:cs="Arial"/>
            <w:color w:val="auto"/>
            <w:sz w:val="22"/>
            <w:szCs w:val="22"/>
            <w:u w:val="none"/>
          </w:rPr>
          <w:t>140-142</w:t>
        </w:r>
      </w:hyperlink>
      <w:r w:rsidRPr="00A6203D">
        <w:rPr>
          <w:rFonts w:ascii="Arial" w:hAnsi="Arial" w:cs="Arial"/>
          <w:sz w:val="22"/>
          <w:szCs w:val="22"/>
        </w:rPr>
        <w:t xml:space="preserve">). </w:t>
      </w:r>
      <w:r w:rsidR="006D6C84" w:rsidRPr="00A6203D">
        <w:rPr>
          <w:rFonts w:ascii="Arial" w:hAnsi="Arial" w:cs="Arial"/>
          <w:sz w:val="22"/>
          <w:szCs w:val="22"/>
        </w:rPr>
        <w:t>Many national organizations are seeking to bring together stakeholders and improve patient care so patients with fragility fractures are evaluated and treated for their underlying osteoporosis</w:t>
      </w:r>
      <w:r w:rsidR="00807418" w:rsidRPr="00A6203D">
        <w:rPr>
          <w:rFonts w:ascii="Arial" w:hAnsi="Arial" w:cs="Arial"/>
          <w:sz w:val="22"/>
          <w:szCs w:val="22"/>
        </w:rPr>
        <w:t xml:space="preserve"> </w:t>
      </w:r>
      <w:r w:rsidR="00796B89" w:rsidRPr="00A6203D">
        <w:rPr>
          <w:rFonts w:ascii="Arial" w:hAnsi="Arial" w:cs="Arial"/>
          <w:sz w:val="22"/>
          <w:szCs w:val="22"/>
        </w:rPr>
        <w:t>(7)</w:t>
      </w:r>
      <w:r w:rsidRPr="00A6203D">
        <w:rPr>
          <w:rFonts w:ascii="Arial" w:hAnsi="Arial" w:cs="Arial"/>
          <w:sz w:val="22"/>
          <w:szCs w:val="22"/>
        </w:rPr>
        <w:t xml:space="preserve">. </w:t>
      </w:r>
    </w:p>
    <w:p w14:paraId="2D2B5F77" w14:textId="77777777" w:rsidR="00CC10CA" w:rsidRPr="00A6203D" w:rsidRDefault="00CC10CA" w:rsidP="00CE7C7B">
      <w:pPr>
        <w:spacing w:line="276" w:lineRule="auto"/>
        <w:rPr>
          <w:rFonts w:ascii="Arial" w:hAnsi="Arial" w:cs="Arial"/>
          <w:b/>
          <w:bCs/>
          <w:sz w:val="22"/>
          <w:szCs w:val="22"/>
        </w:rPr>
      </w:pPr>
    </w:p>
    <w:p w14:paraId="052C2FD2" w14:textId="00BEA778"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Other Precautions</w:t>
      </w:r>
    </w:p>
    <w:p w14:paraId="5F9962A2" w14:textId="77777777" w:rsidR="00CC10CA" w:rsidRPr="00A6203D" w:rsidRDefault="00CC10CA" w:rsidP="00CE7C7B">
      <w:pPr>
        <w:spacing w:line="276" w:lineRule="auto"/>
        <w:rPr>
          <w:rFonts w:ascii="Arial" w:hAnsi="Arial" w:cs="Arial"/>
          <w:sz w:val="22"/>
          <w:szCs w:val="22"/>
        </w:rPr>
      </w:pPr>
    </w:p>
    <w:p w14:paraId="0B33345A" w14:textId="73FA2CE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Bisphosphonates are excreted by the kidneys and should not be used for patients with severe renal insufficiency (creatinine clearance &lt; 35ml/min, Creatinine clearance &lt;30 ml/min for Ibandronate). Studies in cancer patients, in whom cumulative doses are several-fold higher than in osteoporosis patients, show that age, concomitant non-steroidal anti-inflammatory drug use, prior pamidronate use, history of hypercalcemia, renal disease, hypertension, and smoking are risk factors for renal failure (</w:t>
      </w:r>
      <w:hyperlink r:id="rId131" w:history="1">
        <w:r w:rsidRPr="00A6203D">
          <w:rPr>
            <w:rStyle w:val="Hyperlink"/>
            <w:rFonts w:ascii="Arial" w:hAnsi="Arial" w:cs="Arial"/>
            <w:color w:val="auto"/>
            <w:sz w:val="22"/>
            <w:szCs w:val="22"/>
            <w:u w:val="none"/>
          </w:rPr>
          <w:t>143</w:t>
        </w:r>
      </w:hyperlink>
      <w:r w:rsidRPr="00A6203D">
        <w:rPr>
          <w:rFonts w:ascii="Arial" w:hAnsi="Arial" w:cs="Arial"/>
          <w:sz w:val="22"/>
          <w:szCs w:val="22"/>
        </w:rPr>
        <w:t>,</w:t>
      </w:r>
      <w:hyperlink r:id="rId132" w:history="1">
        <w:r w:rsidRPr="00A6203D">
          <w:rPr>
            <w:rStyle w:val="Hyperlink"/>
            <w:rFonts w:ascii="Arial" w:hAnsi="Arial" w:cs="Arial"/>
            <w:color w:val="auto"/>
            <w:sz w:val="22"/>
            <w:szCs w:val="22"/>
            <w:u w:val="none"/>
          </w:rPr>
          <w:t>144</w:t>
        </w:r>
      </w:hyperlink>
      <w:r w:rsidRPr="00A6203D">
        <w:rPr>
          <w:rFonts w:ascii="Arial" w:hAnsi="Arial" w:cs="Arial"/>
          <w:sz w:val="22"/>
          <w:szCs w:val="22"/>
        </w:rPr>
        <w:t>).</w:t>
      </w:r>
    </w:p>
    <w:p w14:paraId="69AF75FB" w14:textId="77777777" w:rsidR="00CC10CA" w:rsidRPr="00A6203D" w:rsidRDefault="00CC10CA" w:rsidP="00CE7C7B">
      <w:pPr>
        <w:spacing w:line="276" w:lineRule="auto"/>
        <w:rPr>
          <w:rFonts w:ascii="Arial" w:hAnsi="Arial" w:cs="Arial"/>
          <w:sz w:val="22"/>
          <w:szCs w:val="22"/>
        </w:rPr>
      </w:pPr>
    </w:p>
    <w:p w14:paraId="466C28DA" w14:textId="1A69D8D0"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Approximately 20% to 30% of subjects treated initially with intravenous administration of pamidronate or zoledronic acid (</w:t>
      </w:r>
      <w:hyperlink r:id="rId133" w:history="1">
        <w:r w:rsidRPr="00A6203D">
          <w:rPr>
            <w:rStyle w:val="Hyperlink"/>
            <w:rFonts w:ascii="Arial" w:hAnsi="Arial" w:cs="Arial"/>
            <w:color w:val="auto"/>
            <w:sz w:val="22"/>
            <w:szCs w:val="22"/>
            <w:u w:val="none"/>
          </w:rPr>
          <w:t>108</w:t>
        </w:r>
      </w:hyperlink>
      <w:r w:rsidRPr="00A6203D">
        <w:rPr>
          <w:rFonts w:ascii="Arial" w:hAnsi="Arial" w:cs="Arial"/>
          <w:sz w:val="22"/>
          <w:szCs w:val="22"/>
        </w:rPr>
        <w:t>,</w:t>
      </w:r>
      <w:hyperlink r:id="rId134" w:history="1">
        <w:r w:rsidRPr="00A6203D">
          <w:rPr>
            <w:rStyle w:val="Hyperlink"/>
            <w:rFonts w:ascii="Arial" w:hAnsi="Arial" w:cs="Arial"/>
            <w:color w:val="auto"/>
            <w:sz w:val="22"/>
            <w:szCs w:val="22"/>
            <w:u w:val="none"/>
          </w:rPr>
          <w:t>145</w:t>
        </w:r>
      </w:hyperlink>
      <w:r w:rsidRPr="00A6203D">
        <w:rPr>
          <w:rFonts w:ascii="Arial" w:hAnsi="Arial" w:cs="Arial"/>
          <w:sz w:val="22"/>
          <w:szCs w:val="22"/>
        </w:rPr>
        <w:t>) may develop an acute-phase reactions (e.g. fever, malaise, myalgia), which is typically less severe with subsequent infusions. Patients should be hydrated and often are premedicated with acetaminophen; symptoms are usually mild and transient.</w:t>
      </w:r>
    </w:p>
    <w:p w14:paraId="4DD11A92" w14:textId="77777777" w:rsidR="00CC10CA" w:rsidRPr="00A6203D" w:rsidRDefault="00CC10CA" w:rsidP="00CE7C7B">
      <w:pPr>
        <w:spacing w:line="276" w:lineRule="auto"/>
        <w:rPr>
          <w:rFonts w:ascii="Arial" w:hAnsi="Arial" w:cs="Arial"/>
          <w:sz w:val="22"/>
          <w:szCs w:val="22"/>
        </w:rPr>
      </w:pPr>
    </w:p>
    <w:p w14:paraId="3E6809F6" w14:textId="0B4E16E6"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Hypocalcemia may occur, but this is usually mild and asymptomatic. To avert marked hypocalcemia, it is important to ensure that the patient is vitamin D sufficient, which according to the authors’ practices, can best be achieved by checking a 25-hydroxy vitamin D level prior to each infusion. In addition, calcium and creatinine levels should be tested before each intravenous bisphosphonate treatment.</w:t>
      </w:r>
    </w:p>
    <w:p w14:paraId="7C3AD741" w14:textId="77777777" w:rsidR="00CC10CA" w:rsidRPr="00A6203D" w:rsidRDefault="00CC10CA" w:rsidP="00CE7C7B">
      <w:pPr>
        <w:spacing w:line="276" w:lineRule="auto"/>
        <w:rPr>
          <w:rFonts w:ascii="Arial" w:hAnsi="Arial" w:cs="Arial"/>
          <w:b/>
          <w:bCs/>
          <w:sz w:val="22"/>
          <w:szCs w:val="22"/>
        </w:rPr>
      </w:pPr>
    </w:p>
    <w:p w14:paraId="3853093F" w14:textId="69F52289"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Bisphosphonate Holiday</w:t>
      </w:r>
    </w:p>
    <w:p w14:paraId="3556A817" w14:textId="77777777" w:rsidR="00CC10CA" w:rsidRPr="00A6203D" w:rsidRDefault="00CC10CA" w:rsidP="00CE7C7B">
      <w:pPr>
        <w:spacing w:line="276" w:lineRule="auto"/>
        <w:rPr>
          <w:rFonts w:ascii="Arial" w:hAnsi="Arial" w:cs="Arial"/>
          <w:sz w:val="22"/>
          <w:szCs w:val="22"/>
        </w:rPr>
      </w:pPr>
    </w:p>
    <w:p w14:paraId="6496786C" w14:textId="2B245468"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Bisphosphonates have robust effects on fracture reduction when used for 3-5 years. There are concerns about the long-term use. According to the 2011 FDA review as summarized in the New England Journal of Medicine (</w:t>
      </w:r>
      <w:hyperlink r:id="rId135" w:history="1">
        <w:r w:rsidRPr="00A6203D">
          <w:rPr>
            <w:rStyle w:val="Hyperlink"/>
            <w:rFonts w:ascii="Arial" w:hAnsi="Arial" w:cs="Arial"/>
            <w:color w:val="auto"/>
            <w:sz w:val="22"/>
            <w:szCs w:val="22"/>
            <w:u w:val="none"/>
          </w:rPr>
          <w:t>146</w:t>
        </w:r>
      </w:hyperlink>
      <w:r w:rsidRPr="00A6203D">
        <w:rPr>
          <w:rFonts w:ascii="Arial" w:hAnsi="Arial" w:cs="Arial"/>
          <w:sz w:val="22"/>
          <w:szCs w:val="22"/>
        </w:rPr>
        <w:t>) there is no global regulatory restriction on duration of use. Post-hoc analyses of data from the FIT and FLEX studies for alendronate (up to 10 years of alendronate therapy) and the randomized extension to the HORIZON-Pivotal Fracture Trial (up to 6 years of zoledronic acid therapy) provide some guidance in these important clinical decisions (</w:t>
      </w:r>
      <w:hyperlink r:id="rId136" w:history="1">
        <w:r w:rsidRPr="00A6203D">
          <w:rPr>
            <w:rStyle w:val="Hyperlink"/>
            <w:rFonts w:ascii="Arial" w:hAnsi="Arial" w:cs="Arial"/>
            <w:color w:val="auto"/>
            <w:sz w:val="22"/>
            <w:szCs w:val="22"/>
            <w:u w:val="none"/>
          </w:rPr>
          <w:t>96</w:t>
        </w:r>
      </w:hyperlink>
      <w:r w:rsidRPr="00A6203D">
        <w:rPr>
          <w:rFonts w:ascii="Arial" w:hAnsi="Arial" w:cs="Arial"/>
          <w:sz w:val="22"/>
          <w:szCs w:val="22"/>
        </w:rPr>
        <w:t>,</w:t>
      </w:r>
      <w:hyperlink r:id="rId137" w:history="1">
        <w:r w:rsidRPr="00A6203D">
          <w:rPr>
            <w:rStyle w:val="Hyperlink"/>
            <w:rFonts w:ascii="Arial" w:hAnsi="Arial" w:cs="Arial"/>
            <w:color w:val="auto"/>
            <w:sz w:val="22"/>
            <w:szCs w:val="22"/>
            <w:u w:val="none"/>
          </w:rPr>
          <w:t>147</w:t>
        </w:r>
      </w:hyperlink>
      <w:r w:rsidRPr="00A6203D">
        <w:rPr>
          <w:rFonts w:ascii="Arial" w:hAnsi="Arial" w:cs="Arial"/>
          <w:sz w:val="22"/>
          <w:szCs w:val="22"/>
        </w:rPr>
        <w:t>).</w:t>
      </w:r>
    </w:p>
    <w:p w14:paraId="0B62F5FB" w14:textId="77777777" w:rsidR="00CC10CA" w:rsidRPr="00A6203D" w:rsidRDefault="00CC10CA" w:rsidP="00CE7C7B">
      <w:pPr>
        <w:spacing w:line="276" w:lineRule="auto"/>
        <w:rPr>
          <w:rFonts w:ascii="Arial" w:hAnsi="Arial" w:cs="Arial"/>
          <w:sz w:val="22"/>
          <w:szCs w:val="22"/>
        </w:rPr>
      </w:pPr>
    </w:p>
    <w:p w14:paraId="7B96AC76" w14:textId="587B406A"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According to the available data, alendronate and zoledronic acid may be discontinued in patients at low risk of fracture after 5 or 3 years of therapy, respectively. In the FLEX trial, continuation of alendronate to 10 years duration of therapy did reduce non-vertebral fractures in </w:t>
      </w:r>
      <w:r w:rsidRPr="00A6203D">
        <w:rPr>
          <w:rFonts w:ascii="Arial" w:hAnsi="Arial" w:cs="Arial"/>
          <w:sz w:val="22"/>
          <w:szCs w:val="22"/>
        </w:rPr>
        <w:lastRenderedPageBreak/>
        <w:t>those with FN T-scores &lt;-2.5 assessed at year 5, but not in those with T-scores &gt;-2.0 at year 5 (</w:t>
      </w:r>
      <w:hyperlink r:id="rId138" w:history="1">
        <w:r w:rsidRPr="00A6203D">
          <w:rPr>
            <w:rStyle w:val="Hyperlink"/>
            <w:rFonts w:ascii="Arial" w:hAnsi="Arial" w:cs="Arial"/>
            <w:color w:val="auto"/>
            <w:sz w:val="22"/>
            <w:szCs w:val="22"/>
            <w:u w:val="none"/>
          </w:rPr>
          <w:t>96</w:t>
        </w:r>
      </w:hyperlink>
      <w:r w:rsidRPr="00A6203D">
        <w:rPr>
          <w:rFonts w:ascii="Arial" w:hAnsi="Arial" w:cs="Arial"/>
          <w:sz w:val="22"/>
          <w:szCs w:val="22"/>
        </w:rPr>
        <w:t>). In the HORIZON extension trial, stopping Zoledronic acid after 3 years duration of therapy did not significantly increase the risk of subsequent fracture in those with T-score &gt;-2.5, no recent fractures, and no greater than 1 risk factor(</w:t>
      </w:r>
      <w:hyperlink r:id="rId139" w:history="1">
        <w:r w:rsidRPr="00A6203D">
          <w:rPr>
            <w:rStyle w:val="Hyperlink"/>
            <w:rFonts w:ascii="Arial" w:hAnsi="Arial" w:cs="Arial"/>
            <w:color w:val="auto"/>
            <w:sz w:val="22"/>
            <w:szCs w:val="22"/>
            <w:u w:val="none"/>
          </w:rPr>
          <w:t>148</w:t>
        </w:r>
      </w:hyperlink>
      <w:r w:rsidRPr="00A6203D">
        <w:rPr>
          <w:rFonts w:ascii="Arial" w:hAnsi="Arial" w:cs="Arial"/>
          <w:sz w:val="22"/>
          <w:szCs w:val="22"/>
        </w:rPr>
        <w:t xml:space="preserve">). The subgroups of patients who might benefit from continued therapy without holiday at 5 (oral) or 3 (IV) years of therapy include those with T-score &lt;-2.5 at the hip, recent fracture on therapy, and prevalent spine fractures. Otherwise, annual evaluation while on holiday to assess each </w:t>
      </w:r>
      <w:proofErr w:type="gramStart"/>
      <w:r w:rsidRPr="00A6203D">
        <w:rPr>
          <w:rFonts w:ascii="Arial" w:hAnsi="Arial" w:cs="Arial"/>
          <w:sz w:val="22"/>
          <w:szCs w:val="22"/>
        </w:rPr>
        <w:t>individuals</w:t>
      </w:r>
      <w:proofErr w:type="gramEnd"/>
      <w:r w:rsidRPr="00A6203D">
        <w:rPr>
          <w:rFonts w:ascii="Arial" w:hAnsi="Arial" w:cs="Arial"/>
          <w:sz w:val="22"/>
          <w:szCs w:val="22"/>
        </w:rPr>
        <w:t xml:space="preserve"> fracture risk is recommended, in order to decide when to resume therapy (</w:t>
      </w:r>
      <w:hyperlink r:id="rId140" w:history="1">
        <w:r w:rsidRPr="00A6203D">
          <w:rPr>
            <w:rStyle w:val="Hyperlink"/>
            <w:rFonts w:ascii="Arial" w:hAnsi="Arial" w:cs="Arial"/>
            <w:color w:val="auto"/>
            <w:sz w:val="22"/>
            <w:szCs w:val="22"/>
            <w:u w:val="none"/>
          </w:rPr>
          <w:t>149</w:t>
        </w:r>
      </w:hyperlink>
      <w:r w:rsidRPr="00A6203D">
        <w:rPr>
          <w:rFonts w:ascii="Arial" w:hAnsi="Arial" w:cs="Arial"/>
          <w:sz w:val="22"/>
          <w:szCs w:val="22"/>
        </w:rPr>
        <w:t>). High risk individuals may benefit from use of an alternative treatment such as teriparatide or in some instances, raloxifene, during the time of bisphosphonate holiday. Ongoing evaluation of patients on a bisphosphonate holiday is important to reduce the risk of subsequent fractures (</w:t>
      </w:r>
      <w:hyperlink r:id="rId141" w:history="1">
        <w:r w:rsidRPr="00A6203D">
          <w:rPr>
            <w:rStyle w:val="Hyperlink"/>
            <w:rFonts w:ascii="Arial" w:hAnsi="Arial" w:cs="Arial"/>
            <w:color w:val="auto"/>
            <w:sz w:val="22"/>
            <w:szCs w:val="22"/>
            <w:u w:val="none"/>
          </w:rPr>
          <w:t>95</w:t>
        </w:r>
      </w:hyperlink>
      <w:r w:rsidRPr="00A6203D">
        <w:rPr>
          <w:rFonts w:ascii="Arial" w:hAnsi="Arial" w:cs="Arial"/>
          <w:sz w:val="22"/>
          <w:szCs w:val="22"/>
        </w:rPr>
        <w:t>,</w:t>
      </w:r>
      <w:hyperlink r:id="rId142" w:history="1">
        <w:r w:rsidRPr="00A6203D">
          <w:rPr>
            <w:rStyle w:val="Hyperlink"/>
            <w:rFonts w:ascii="Arial" w:hAnsi="Arial" w:cs="Arial"/>
            <w:color w:val="auto"/>
            <w:sz w:val="22"/>
            <w:szCs w:val="22"/>
            <w:u w:val="none"/>
          </w:rPr>
          <w:t>96</w:t>
        </w:r>
      </w:hyperlink>
      <w:r w:rsidRPr="00A6203D">
        <w:rPr>
          <w:rFonts w:ascii="Arial" w:hAnsi="Arial" w:cs="Arial"/>
          <w:sz w:val="22"/>
          <w:szCs w:val="22"/>
        </w:rPr>
        <w:t>,</w:t>
      </w:r>
      <w:hyperlink r:id="rId143" w:history="1">
        <w:r w:rsidRPr="00A6203D">
          <w:rPr>
            <w:rStyle w:val="Hyperlink"/>
            <w:rFonts w:ascii="Arial" w:hAnsi="Arial" w:cs="Arial"/>
            <w:color w:val="auto"/>
            <w:sz w:val="22"/>
            <w:szCs w:val="22"/>
            <w:u w:val="none"/>
          </w:rPr>
          <w:t>146</w:t>
        </w:r>
      </w:hyperlink>
      <w:r w:rsidRPr="00A6203D">
        <w:rPr>
          <w:rFonts w:ascii="Arial" w:hAnsi="Arial" w:cs="Arial"/>
          <w:sz w:val="22"/>
          <w:szCs w:val="22"/>
        </w:rPr>
        <w:t>,</w:t>
      </w:r>
      <w:hyperlink r:id="rId144" w:history="1">
        <w:r w:rsidRPr="00A6203D">
          <w:rPr>
            <w:rStyle w:val="Hyperlink"/>
            <w:rFonts w:ascii="Arial" w:hAnsi="Arial" w:cs="Arial"/>
            <w:color w:val="auto"/>
            <w:sz w:val="22"/>
            <w:szCs w:val="22"/>
            <w:u w:val="none"/>
          </w:rPr>
          <w:t>147</w:t>
        </w:r>
      </w:hyperlink>
      <w:r w:rsidRPr="00A6203D">
        <w:rPr>
          <w:rFonts w:ascii="Arial" w:hAnsi="Arial" w:cs="Arial"/>
          <w:sz w:val="22"/>
          <w:szCs w:val="22"/>
        </w:rPr>
        <w:t>,</w:t>
      </w:r>
      <w:hyperlink r:id="rId145" w:history="1">
        <w:r w:rsidRPr="00A6203D">
          <w:rPr>
            <w:rStyle w:val="Hyperlink"/>
            <w:rFonts w:ascii="Arial" w:hAnsi="Arial" w:cs="Arial"/>
            <w:color w:val="auto"/>
            <w:sz w:val="22"/>
            <w:szCs w:val="22"/>
            <w:u w:val="none"/>
          </w:rPr>
          <w:t>150</w:t>
        </w:r>
      </w:hyperlink>
      <w:r w:rsidRPr="00A6203D">
        <w:rPr>
          <w:rFonts w:ascii="Arial" w:hAnsi="Arial" w:cs="Arial"/>
          <w:sz w:val="22"/>
          <w:szCs w:val="22"/>
        </w:rPr>
        <w:t>).</w:t>
      </w:r>
    </w:p>
    <w:p w14:paraId="40E03B0C" w14:textId="77777777" w:rsidR="00CC10CA" w:rsidRPr="00A6203D" w:rsidRDefault="00CC10CA" w:rsidP="00CE7C7B">
      <w:pPr>
        <w:spacing w:line="276" w:lineRule="auto"/>
        <w:rPr>
          <w:rFonts w:ascii="Arial" w:hAnsi="Arial" w:cs="Arial"/>
          <w:sz w:val="22"/>
          <w:szCs w:val="22"/>
        </w:rPr>
      </w:pPr>
    </w:p>
    <w:p w14:paraId="5E6313EA" w14:textId="3E3DBC2D" w:rsidR="005E6870" w:rsidRPr="00A6203D" w:rsidRDefault="00B3685E" w:rsidP="00CE7C7B">
      <w:pPr>
        <w:spacing w:line="276" w:lineRule="auto"/>
        <w:rPr>
          <w:rFonts w:ascii="Arial" w:hAnsi="Arial" w:cs="Arial"/>
          <w:sz w:val="22"/>
          <w:szCs w:val="22"/>
        </w:rPr>
      </w:pPr>
      <w:r w:rsidRPr="00A6203D">
        <w:rPr>
          <w:rFonts w:ascii="Arial" w:hAnsi="Arial" w:cs="Arial"/>
          <w:sz w:val="22"/>
          <w:szCs w:val="22"/>
        </w:rPr>
        <w:t xml:space="preserve">The </w:t>
      </w:r>
      <w:r w:rsidR="005E6870" w:rsidRPr="00A6203D">
        <w:rPr>
          <w:rFonts w:ascii="Arial" w:hAnsi="Arial" w:cs="Arial"/>
          <w:sz w:val="22"/>
          <w:szCs w:val="22"/>
        </w:rPr>
        <w:t>ASBMR Task Force for managing osteoporosis in patients on long-term bisphosphonate therapy included consideration of continuing therapy in any patients with history of hip, spine, or multiple other osteoporosis fractures before or during therapy, those with hip BMD T-score&lt;=2.5 after treatment, or high fracture risk (</w:t>
      </w:r>
      <w:hyperlink r:id="rId146" w:history="1">
        <w:r w:rsidR="005E6870" w:rsidRPr="00A6203D">
          <w:rPr>
            <w:rStyle w:val="Hyperlink"/>
            <w:rFonts w:ascii="Arial" w:hAnsi="Arial" w:cs="Arial"/>
            <w:color w:val="auto"/>
            <w:sz w:val="22"/>
            <w:szCs w:val="22"/>
            <w:u w:val="none"/>
          </w:rPr>
          <w:t>151</w:t>
        </w:r>
      </w:hyperlink>
      <w:r w:rsidR="005E6870" w:rsidRPr="00A6203D">
        <w:rPr>
          <w:rFonts w:ascii="Arial" w:hAnsi="Arial" w:cs="Arial"/>
          <w:sz w:val="22"/>
          <w:szCs w:val="22"/>
        </w:rPr>
        <w:t>). However, these approaches do not replace clinical judgment.</w:t>
      </w:r>
    </w:p>
    <w:p w14:paraId="1BE49FFF" w14:textId="77777777" w:rsidR="00CC10CA" w:rsidRPr="00A6203D" w:rsidRDefault="00CC10CA" w:rsidP="00CE7C7B">
      <w:pPr>
        <w:spacing w:line="276" w:lineRule="auto"/>
        <w:rPr>
          <w:rFonts w:ascii="Arial" w:hAnsi="Arial" w:cs="Arial"/>
          <w:b/>
          <w:bCs/>
          <w:sz w:val="22"/>
          <w:szCs w:val="22"/>
        </w:rPr>
      </w:pPr>
    </w:p>
    <w:p w14:paraId="19FFEB53" w14:textId="7546101A"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Drug Administration</w:t>
      </w:r>
    </w:p>
    <w:p w14:paraId="5DE4EF8C" w14:textId="77777777" w:rsidR="00CC10CA" w:rsidRPr="00A6203D" w:rsidRDefault="00CC10CA" w:rsidP="00CE7C7B">
      <w:pPr>
        <w:spacing w:line="276" w:lineRule="auto"/>
        <w:rPr>
          <w:rFonts w:ascii="Arial" w:hAnsi="Arial" w:cs="Arial"/>
          <w:sz w:val="22"/>
          <w:szCs w:val="22"/>
        </w:rPr>
      </w:pPr>
    </w:p>
    <w:p w14:paraId="09F39789" w14:textId="2CDAB881"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Oral bisphosphonates should be taken in the morning with water on an empty stomach. Because oral bisphosphonates are poorly absorbed, patients should wait at least 30 minutes before ingesting other beverages, food, or medications. To help patients avoid esophageal irritation, they are instructed to swallow oral bisphosphonates with six to eight ounces of water and to remain upright for at least 30 minutes and until they have had their first meal of the day (</w:t>
      </w:r>
      <w:hyperlink r:id="rId147" w:history="1">
        <w:r w:rsidRPr="00A6203D">
          <w:rPr>
            <w:rStyle w:val="Hyperlink"/>
            <w:rFonts w:ascii="Arial" w:hAnsi="Arial" w:cs="Arial"/>
            <w:color w:val="auto"/>
            <w:sz w:val="22"/>
            <w:szCs w:val="22"/>
            <w:u w:val="none"/>
          </w:rPr>
          <w:t>152</w:t>
        </w:r>
      </w:hyperlink>
      <w:r w:rsidRPr="00A6203D">
        <w:rPr>
          <w:rFonts w:ascii="Arial" w:hAnsi="Arial" w:cs="Arial"/>
          <w:sz w:val="22"/>
          <w:szCs w:val="22"/>
        </w:rPr>
        <w:t>). Intravenous preparations must be infused slowly to avoid renal toxicity.</w:t>
      </w:r>
    </w:p>
    <w:p w14:paraId="5F74E5FD" w14:textId="77777777" w:rsidR="0037481A" w:rsidRPr="00A6203D" w:rsidRDefault="0037481A" w:rsidP="00CE7C7B">
      <w:pPr>
        <w:spacing w:line="276" w:lineRule="auto"/>
        <w:rPr>
          <w:rFonts w:ascii="Arial" w:hAnsi="Arial" w:cs="Arial"/>
          <w:sz w:val="22"/>
          <w:szCs w:val="22"/>
        </w:rPr>
      </w:pPr>
    </w:p>
    <w:p w14:paraId="61092814" w14:textId="4EE26CCD"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When choosing an oral bisphosphonate and in the absence of contraindications, alendronate is often selected as initial therapy because of its efficacy in reduction of spine and non-spine fractures and its availability as a low cost, generic preparation. In addition to alendronate, risedronate has been on the market for more than 10 years and has favorable safety profiles when used in the indicated populations. While oral ibandronate is popular for its monthly dosing schedule, ibandronate reduces the incidence of spine but not non-spine fractures. In addition, ibandronate’s IV dosing is more expensive and requires more frequent dosing than the once-yearly, zoledronic acid. Thus, it has a limited role in osteoporosis treatment. In patients who are unable to comply with the administration requirements of the oral agents, and in those who experience intolerable GI effects, intravenous zoledronic acid is an effective therapy to reduce spine and non-spine fractures. Like alendronate and risedronate, it reduces the incidence of vertebral and nonvertebral fractures. Zoledronic acid (5 mg infusion once a year) should also be considered in patients with a recent hip fracture after two weeks to 90 days. A post-hoc analysis suggested a superior bone density response when zoledronic acid was administered 4-6 weeks after a hip fracture than at the earlier time points (</w:t>
      </w:r>
      <w:hyperlink r:id="rId148" w:history="1">
        <w:r w:rsidRPr="00A6203D">
          <w:rPr>
            <w:rStyle w:val="Hyperlink"/>
            <w:rFonts w:ascii="Arial" w:hAnsi="Arial" w:cs="Arial"/>
            <w:color w:val="auto"/>
            <w:sz w:val="22"/>
            <w:szCs w:val="22"/>
            <w:u w:val="none"/>
          </w:rPr>
          <w:t>153</w:t>
        </w:r>
      </w:hyperlink>
      <w:r w:rsidRPr="00A6203D">
        <w:rPr>
          <w:rFonts w:ascii="Arial" w:hAnsi="Arial" w:cs="Arial"/>
          <w:sz w:val="22"/>
          <w:szCs w:val="22"/>
        </w:rPr>
        <w:t>). Vitamin D deficiency should be optimally corrected prior to use of zoledronic acid.</w:t>
      </w:r>
    </w:p>
    <w:p w14:paraId="21764F23" w14:textId="77777777" w:rsidR="0037481A" w:rsidRPr="00A6203D" w:rsidRDefault="0037481A" w:rsidP="00CE7C7B">
      <w:pPr>
        <w:spacing w:line="276" w:lineRule="auto"/>
        <w:rPr>
          <w:rFonts w:ascii="Arial" w:hAnsi="Arial" w:cs="Arial"/>
          <w:b/>
          <w:bCs/>
          <w:sz w:val="22"/>
          <w:szCs w:val="22"/>
        </w:rPr>
      </w:pPr>
    </w:p>
    <w:p w14:paraId="14DAF952" w14:textId="22A7FBDF"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DENOSUMAB</w:t>
      </w:r>
    </w:p>
    <w:p w14:paraId="2E3CC69D" w14:textId="77777777" w:rsidR="0037481A" w:rsidRPr="00A6203D" w:rsidRDefault="0037481A" w:rsidP="00CE7C7B">
      <w:pPr>
        <w:spacing w:line="276" w:lineRule="auto"/>
        <w:rPr>
          <w:rFonts w:ascii="Arial" w:hAnsi="Arial" w:cs="Arial"/>
          <w:sz w:val="22"/>
          <w:szCs w:val="22"/>
        </w:rPr>
      </w:pPr>
    </w:p>
    <w:p w14:paraId="2F9B7317" w14:textId="52C6C33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Denosumab is the first FDA-approved human monoclonal antibody that binds to the receptor activator of nuclear factor kappa B ligand (RANKL), an important regulator of bone remodeling. RANKL is secreted by osteoblast precursors and binds to its receptor, RANK, located on osteoclasts. </w:t>
      </w:r>
      <w:proofErr w:type="spellStart"/>
      <w:r w:rsidRPr="00A6203D">
        <w:rPr>
          <w:rFonts w:ascii="Arial" w:hAnsi="Arial" w:cs="Arial"/>
          <w:sz w:val="22"/>
          <w:szCs w:val="22"/>
        </w:rPr>
        <w:t>Osteoprotegrin</w:t>
      </w:r>
      <w:proofErr w:type="spellEnd"/>
      <w:r w:rsidRPr="00A6203D">
        <w:rPr>
          <w:rFonts w:ascii="Arial" w:hAnsi="Arial" w:cs="Arial"/>
          <w:sz w:val="22"/>
          <w:szCs w:val="22"/>
        </w:rPr>
        <w:t xml:space="preserve"> is an endogenous cytokine and decoy receptor that binds RANKL and inhibits osteoclast activation (</w:t>
      </w:r>
      <w:hyperlink r:id="rId149" w:history="1">
        <w:r w:rsidRPr="00A6203D">
          <w:rPr>
            <w:rStyle w:val="Hyperlink"/>
            <w:rFonts w:ascii="Arial" w:hAnsi="Arial" w:cs="Arial"/>
            <w:color w:val="auto"/>
            <w:sz w:val="22"/>
            <w:szCs w:val="22"/>
            <w:u w:val="none"/>
          </w:rPr>
          <w:t>154</w:t>
        </w:r>
      </w:hyperlink>
      <w:r w:rsidRPr="00A6203D">
        <w:rPr>
          <w:rFonts w:ascii="Arial" w:hAnsi="Arial" w:cs="Arial"/>
          <w:sz w:val="22"/>
          <w:szCs w:val="22"/>
        </w:rPr>
        <w:t xml:space="preserve">). The binding of RANKL to RANK promotes osteoclast proliferation, differentiation, activation, and survival. Denosumab inhibits RANKL and </w:t>
      </w:r>
      <w:proofErr w:type="spellStart"/>
      <w:r w:rsidRPr="00A6203D">
        <w:rPr>
          <w:rFonts w:ascii="Arial" w:hAnsi="Arial" w:cs="Arial"/>
          <w:sz w:val="22"/>
          <w:szCs w:val="22"/>
        </w:rPr>
        <w:t>osteoclastogenesis</w:t>
      </w:r>
      <w:proofErr w:type="spellEnd"/>
      <w:r w:rsidRPr="00A6203D">
        <w:rPr>
          <w:rFonts w:ascii="Arial" w:hAnsi="Arial" w:cs="Arial"/>
          <w:sz w:val="22"/>
          <w:szCs w:val="22"/>
        </w:rPr>
        <w:t xml:space="preserve"> and markedly reduces bone resorption.</w:t>
      </w:r>
    </w:p>
    <w:p w14:paraId="799007CA" w14:textId="77777777" w:rsidR="0037481A" w:rsidRPr="00A6203D" w:rsidRDefault="0037481A" w:rsidP="00CE7C7B">
      <w:pPr>
        <w:spacing w:line="276" w:lineRule="auto"/>
        <w:rPr>
          <w:rFonts w:ascii="Arial" w:hAnsi="Arial" w:cs="Arial"/>
          <w:sz w:val="22"/>
          <w:szCs w:val="22"/>
        </w:rPr>
      </w:pPr>
    </w:p>
    <w:p w14:paraId="43F3339F" w14:textId="3FAD61DC" w:rsidR="0076396E" w:rsidRPr="00A6203D" w:rsidRDefault="0076396E"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 xml:space="preserve">Fracture </w:t>
      </w:r>
      <w:r w:rsidR="00CC3D85" w:rsidRPr="00A6203D">
        <w:rPr>
          <w:rFonts w:ascii="Arial" w:hAnsi="Arial" w:cs="Arial"/>
          <w:b/>
          <w:bCs/>
          <w:color w:val="00B050"/>
          <w:sz w:val="22"/>
          <w:szCs w:val="22"/>
        </w:rPr>
        <w:t>Data</w:t>
      </w:r>
    </w:p>
    <w:p w14:paraId="67766F82" w14:textId="77777777" w:rsidR="0037481A" w:rsidRPr="00A6203D" w:rsidRDefault="0037481A" w:rsidP="00CE7C7B">
      <w:pPr>
        <w:spacing w:line="276" w:lineRule="auto"/>
        <w:rPr>
          <w:rFonts w:ascii="Arial" w:hAnsi="Arial" w:cs="Arial"/>
          <w:sz w:val="22"/>
          <w:szCs w:val="22"/>
        </w:rPr>
      </w:pPr>
    </w:p>
    <w:p w14:paraId="799B0AF3" w14:textId="43CA81C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Denosumab is administered for osteoporosis treatment as a subcutaneous injection of 60 mg every 6 months. In its pivotal phase III randomized placebo-controlled study of 7868 osteoporotic women ages 60-90 years (FREEDOM), denosumab compared with placebo given twice yearly for 3 years was associated with a relative decrease in the risk of vertebral, hip, and nonvertebral fractures by 68%, 40%, and 20% respectively (</w:t>
      </w:r>
      <w:hyperlink r:id="rId150" w:history="1">
        <w:r w:rsidRPr="00A6203D">
          <w:rPr>
            <w:rStyle w:val="Hyperlink"/>
            <w:rFonts w:ascii="Arial" w:hAnsi="Arial" w:cs="Arial"/>
            <w:color w:val="auto"/>
            <w:sz w:val="22"/>
            <w:szCs w:val="22"/>
            <w:u w:val="none"/>
          </w:rPr>
          <w:t>155</w:t>
        </w:r>
      </w:hyperlink>
      <w:r w:rsidRPr="00A6203D">
        <w:rPr>
          <w:rFonts w:ascii="Arial" w:hAnsi="Arial" w:cs="Arial"/>
          <w:sz w:val="22"/>
          <w:szCs w:val="22"/>
        </w:rPr>
        <w:t xml:space="preserve">). In the extension of this trial, denosumab use for up to </w:t>
      </w:r>
      <w:r w:rsidR="0076396E" w:rsidRPr="00A6203D">
        <w:rPr>
          <w:rFonts w:ascii="Arial" w:hAnsi="Arial" w:cs="Arial"/>
          <w:sz w:val="22"/>
          <w:szCs w:val="22"/>
        </w:rPr>
        <w:t>10</w:t>
      </w:r>
      <w:r w:rsidRPr="00A6203D">
        <w:rPr>
          <w:rFonts w:ascii="Arial" w:hAnsi="Arial" w:cs="Arial"/>
          <w:sz w:val="22"/>
          <w:szCs w:val="22"/>
        </w:rPr>
        <w:t xml:space="preserve"> years was associated with cumulative BMD gains of </w:t>
      </w:r>
      <w:r w:rsidR="0076396E" w:rsidRPr="00A6203D">
        <w:rPr>
          <w:rFonts w:ascii="Arial" w:hAnsi="Arial" w:cs="Arial"/>
          <w:sz w:val="22"/>
          <w:szCs w:val="22"/>
        </w:rPr>
        <w:t>21.7</w:t>
      </w:r>
      <w:r w:rsidRPr="00A6203D">
        <w:rPr>
          <w:rFonts w:ascii="Arial" w:hAnsi="Arial" w:cs="Arial"/>
          <w:sz w:val="22"/>
          <w:szCs w:val="22"/>
        </w:rPr>
        <w:t xml:space="preserve">% at the lumbar spine and </w:t>
      </w:r>
      <w:r w:rsidR="0076396E" w:rsidRPr="00A6203D">
        <w:rPr>
          <w:rFonts w:ascii="Arial" w:hAnsi="Arial" w:cs="Arial"/>
          <w:sz w:val="22"/>
          <w:szCs w:val="22"/>
        </w:rPr>
        <w:t>9.2</w:t>
      </w:r>
      <w:r w:rsidRPr="00A6203D">
        <w:rPr>
          <w:rFonts w:ascii="Arial" w:hAnsi="Arial" w:cs="Arial"/>
          <w:sz w:val="22"/>
          <w:szCs w:val="22"/>
        </w:rPr>
        <w:t xml:space="preserve">% at the total hip. Persistent reductions of bone turnover markers and fracture incidence was also noted, with a positive safety profile with up to </w:t>
      </w:r>
      <w:r w:rsidR="0076396E" w:rsidRPr="00A6203D">
        <w:rPr>
          <w:rFonts w:ascii="Arial" w:hAnsi="Arial" w:cs="Arial"/>
          <w:sz w:val="22"/>
          <w:szCs w:val="22"/>
        </w:rPr>
        <w:t xml:space="preserve">10 </w:t>
      </w:r>
      <w:r w:rsidRPr="00A6203D">
        <w:rPr>
          <w:rFonts w:ascii="Arial" w:hAnsi="Arial" w:cs="Arial"/>
          <w:sz w:val="22"/>
          <w:szCs w:val="22"/>
        </w:rPr>
        <w:t>years of continued use</w:t>
      </w:r>
      <w:r w:rsidR="0076396E" w:rsidRPr="00A6203D">
        <w:rPr>
          <w:rFonts w:ascii="Arial" w:hAnsi="Arial" w:cs="Arial"/>
          <w:sz w:val="22"/>
          <w:szCs w:val="22"/>
        </w:rPr>
        <w:t xml:space="preserve"> (</w:t>
      </w:r>
      <w:r w:rsidR="00E0579E" w:rsidRPr="00A6203D">
        <w:rPr>
          <w:rFonts w:ascii="Arial" w:hAnsi="Arial" w:cs="Arial"/>
          <w:sz w:val="22"/>
          <w:szCs w:val="22"/>
        </w:rPr>
        <w:t>199</w:t>
      </w:r>
      <w:r w:rsidR="0076396E" w:rsidRPr="00A6203D">
        <w:rPr>
          <w:rFonts w:ascii="Arial" w:hAnsi="Arial" w:cs="Arial"/>
          <w:sz w:val="22"/>
          <w:szCs w:val="22"/>
        </w:rPr>
        <w:t>)</w:t>
      </w:r>
      <w:r w:rsidRPr="00A6203D">
        <w:rPr>
          <w:rFonts w:ascii="Arial" w:hAnsi="Arial" w:cs="Arial"/>
          <w:sz w:val="22"/>
          <w:szCs w:val="22"/>
        </w:rPr>
        <w:t>.</w:t>
      </w:r>
    </w:p>
    <w:p w14:paraId="0030512C" w14:textId="77777777" w:rsidR="0037481A" w:rsidRPr="00A6203D" w:rsidRDefault="0037481A" w:rsidP="00CE7C7B">
      <w:pPr>
        <w:spacing w:line="276" w:lineRule="auto"/>
        <w:rPr>
          <w:rFonts w:ascii="Arial" w:hAnsi="Arial" w:cs="Arial"/>
          <w:sz w:val="22"/>
          <w:szCs w:val="22"/>
        </w:rPr>
      </w:pPr>
    </w:p>
    <w:p w14:paraId="74E8742D" w14:textId="09D9B639" w:rsidR="0076396E" w:rsidRPr="00A6203D" w:rsidRDefault="0076396E"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Drug Administration</w:t>
      </w:r>
    </w:p>
    <w:p w14:paraId="5055E25C" w14:textId="77777777" w:rsidR="0037481A" w:rsidRPr="00A6203D" w:rsidRDefault="0037481A" w:rsidP="00CE7C7B">
      <w:pPr>
        <w:spacing w:line="276" w:lineRule="auto"/>
        <w:rPr>
          <w:rFonts w:ascii="Arial" w:hAnsi="Arial" w:cs="Arial"/>
          <w:sz w:val="22"/>
          <w:szCs w:val="22"/>
        </w:rPr>
      </w:pPr>
    </w:p>
    <w:p w14:paraId="74604FB6" w14:textId="369A164A" w:rsidR="0076396E"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Denosumab may have advantages over current osteoporosis therapies: infrequent dosing (every six months), and rapid, effective, but reversible antiresorptive activity; drug adherence is, however, important to prevent the increase in bone turnover markers after 6 months of therapy. </w:t>
      </w:r>
    </w:p>
    <w:p w14:paraId="0F7DD2DA" w14:textId="77777777" w:rsidR="0037481A" w:rsidRPr="00A6203D" w:rsidRDefault="0037481A" w:rsidP="00CE7C7B">
      <w:pPr>
        <w:spacing w:line="276" w:lineRule="auto"/>
        <w:rPr>
          <w:rFonts w:ascii="Arial" w:hAnsi="Arial" w:cs="Arial"/>
          <w:sz w:val="22"/>
          <w:szCs w:val="22"/>
        </w:rPr>
      </w:pPr>
    </w:p>
    <w:p w14:paraId="01348A1F" w14:textId="58A6BBC1" w:rsidR="0076396E" w:rsidRPr="00A6203D" w:rsidRDefault="0076396E"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Adverse Effects</w:t>
      </w:r>
    </w:p>
    <w:p w14:paraId="7612B5FE" w14:textId="77777777" w:rsidR="0037481A" w:rsidRPr="00A6203D" w:rsidRDefault="0037481A" w:rsidP="00CE7C7B">
      <w:pPr>
        <w:spacing w:line="276" w:lineRule="auto"/>
        <w:rPr>
          <w:rFonts w:ascii="Arial" w:hAnsi="Arial" w:cs="Arial"/>
          <w:sz w:val="22"/>
          <w:szCs w:val="22"/>
        </w:rPr>
      </w:pPr>
    </w:p>
    <w:p w14:paraId="4C000510" w14:textId="690EC118" w:rsidR="005E6870" w:rsidRPr="00A6203D" w:rsidRDefault="1C25C164" w:rsidP="00CE7C7B">
      <w:pPr>
        <w:spacing w:line="276" w:lineRule="auto"/>
        <w:rPr>
          <w:rFonts w:ascii="Arial" w:hAnsi="Arial" w:cs="Arial"/>
          <w:sz w:val="22"/>
          <w:szCs w:val="22"/>
        </w:rPr>
      </w:pPr>
      <w:r w:rsidRPr="00A6203D">
        <w:rPr>
          <w:rFonts w:ascii="Arial" w:hAnsi="Arial" w:cs="Arial"/>
          <w:sz w:val="22"/>
          <w:szCs w:val="22"/>
        </w:rPr>
        <w:t xml:space="preserve">Adverse effects of </w:t>
      </w:r>
      <w:proofErr w:type="spellStart"/>
      <w:r w:rsidRPr="00A6203D">
        <w:rPr>
          <w:rFonts w:ascii="Arial" w:hAnsi="Arial" w:cs="Arial"/>
          <w:sz w:val="22"/>
          <w:szCs w:val="22"/>
        </w:rPr>
        <w:t>densoumab</w:t>
      </w:r>
      <w:proofErr w:type="spellEnd"/>
      <w:r w:rsidRPr="00A6203D">
        <w:rPr>
          <w:rFonts w:ascii="Arial" w:hAnsi="Arial" w:cs="Arial"/>
          <w:sz w:val="22"/>
          <w:szCs w:val="22"/>
        </w:rPr>
        <w:t xml:space="preserve"> include hypocalcemia, nausea, musculoskeletal pain, serious skin infections (small risk), infections, dermatologic reactions, and cystitis. Infection risk has been a concern based on RANKL inhibition of non-skeletal immune cells causing theoretical immune suppression. The initial FREEDOM trial showed slightly higher infection rates (3 cases in </w:t>
      </w:r>
      <w:proofErr w:type="spellStart"/>
      <w:r w:rsidRPr="00A6203D">
        <w:rPr>
          <w:rFonts w:ascii="Arial" w:hAnsi="Arial" w:cs="Arial"/>
          <w:sz w:val="22"/>
          <w:szCs w:val="22"/>
        </w:rPr>
        <w:t>densoumab</w:t>
      </w:r>
      <w:proofErr w:type="spellEnd"/>
      <w:r w:rsidRPr="00A6203D">
        <w:rPr>
          <w:rFonts w:ascii="Arial" w:hAnsi="Arial" w:cs="Arial"/>
          <w:sz w:val="22"/>
          <w:szCs w:val="22"/>
        </w:rPr>
        <w:t xml:space="preserve"> arm vs. 0 cases in placebo arm of endocarditis, 0.4% risk in </w:t>
      </w:r>
      <w:proofErr w:type="spellStart"/>
      <w:r w:rsidRPr="00A6203D">
        <w:rPr>
          <w:rFonts w:ascii="Arial" w:hAnsi="Arial" w:cs="Arial"/>
          <w:sz w:val="22"/>
          <w:szCs w:val="22"/>
        </w:rPr>
        <w:t>densoumab</w:t>
      </w:r>
      <w:proofErr w:type="spellEnd"/>
      <w:r w:rsidRPr="00A6203D">
        <w:rPr>
          <w:rFonts w:ascii="Arial" w:hAnsi="Arial" w:cs="Arial"/>
          <w:sz w:val="22"/>
          <w:szCs w:val="22"/>
        </w:rPr>
        <w:t xml:space="preserve"> arm vs. &lt;0.1% in placebo arm of severe skin events) while the extension trial showed no increased risk of infection compared to placebo. Furthermore, a meta-analysis failed to show an increased risk of serious infections with denosumab use (</w:t>
      </w:r>
      <w:hyperlink r:id="rId151">
        <w:r w:rsidRPr="00A6203D">
          <w:rPr>
            <w:rStyle w:val="Hyperlink"/>
            <w:rFonts w:ascii="Arial" w:hAnsi="Arial" w:cs="Arial"/>
            <w:color w:val="auto"/>
            <w:sz w:val="22"/>
            <w:szCs w:val="22"/>
            <w:u w:val="none"/>
          </w:rPr>
          <w:t>157</w:t>
        </w:r>
      </w:hyperlink>
      <w:r w:rsidRPr="00A6203D">
        <w:rPr>
          <w:rFonts w:ascii="Arial" w:hAnsi="Arial" w:cs="Arial"/>
          <w:sz w:val="22"/>
          <w:szCs w:val="22"/>
        </w:rPr>
        <w:t>). Given the unclear infection risk, its use in immunocompromised patients should be cautious. In addition, very rare osteonecrosis of the jaw and atypical femur fractures have occurred with denosumab use (similar to bisphosphonates). Stopping denosumab therapy has been shown to result in bone loss and, in some instances, spine fractures (</w:t>
      </w:r>
      <w:r w:rsidR="00E0579E" w:rsidRPr="00A6203D">
        <w:rPr>
          <w:rFonts w:ascii="Arial" w:hAnsi="Arial" w:cs="Arial"/>
          <w:sz w:val="22"/>
          <w:szCs w:val="22"/>
        </w:rPr>
        <w:t>200</w:t>
      </w:r>
      <w:r w:rsidRPr="00A6203D">
        <w:rPr>
          <w:rFonts w:ascii="Arial" w:hAnsi="Arial" w:cs="Arial"/>
          <w:sz w:val="22"/>
          <w:szCs w:val="22"/>
        </w:rPr>
        <w:t xml:space="preserve">). Therefore, unlike bisphosphonates, a treatment holiday </w:t>
      </w:r>
      <w:r w:rsidRPr="00A6203D">
        <w:rPr>
          <w:rFonts w:ascii="Arial" w:hAnsi="Arial" w:cs="Arial"/>
          <w:sz w:val="22"/>
          <w:szCs w:val="22"/>
        </w:rPr>
        <w:lastRenderedPageBreak/>
        <w:t xml:space="preserve">is not recommended. The FDA recommends initiation of antiresorptive therapy and a number of treatment regimens are undergoing evaluation in an effort to prevent this bone loss. </w:t>
      </w:r>
    </w:p>
    <w:p w14:paraId="09067E67" w14:textId="2A3BFBC1" w:rsidR="003F7917" w:rsidRPr="00A6203D" w:rsidRDefault="003F7917" w:rsidP="00CE7C7B">
      <w:pPr>
        <w:spacing w:line="276" w:lineRule="auto"/>
        <w:rPr>
          <w:rFonts w:ascii="Arial" w:hAnsi="Arial" w:cs="Arial"/>
          <w:sz w:val="22"/>
          <w:szCs w:val="22"/>
        </w:rPr>
      </w:pPr>
    </w:p>
    <w:p w14:paraId="1C9F3546" w14:textId="77777777"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PARATHYROID HORMONE</w:t>
      </w:r>
    </w:p>
    <w:p w14:paraId="202F0923" w14:textId="77777777" w:rsidR="0037481A" w:rsidRPr="00A6203D" w:rsidRDefault="0037481A" w:rsidP="00CE7C7B">
      <w:pPr>
        <w:spacing w:line="276" w:lineRule="auto"/>
        <w:rPr>
          <w:rFonts w:ascii="Arial" w:hAnsi="Arial" w:cs="Arial"/>
          <w:b/>
          <w:bCs/>
          <w:sz w:val="22"/>
          <w:szCs w:val="22"/>
        </w:rPr>
      </w:pPr>
    </w:p>
    <w:p w14:paraId="22CB8DEE" w14:textId="46DCD047"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Anabolic Action on Bone</w:t>
      </w:r>
    </w:p>
    <w:p w14:paraId="553409A1" w14:textId="77777777" w:rsidR="0037481A" w:rsidRPr="00A6203D" w:rsidRDefault="0037481A" w:rsidP="00CE7C7B">
      <w:pPr>
        <w:spacing w:line="276" w:lineRule="auto"/>
        <w:rPr>
          <w:rFonts w:ascii="Arial" w:hAnsi="Arial" w:cs="Arial"/>
          <w:sz w:val="22"/>
          <w:szCs w:val="22"/>
        </w:rPr>
      </w:pPr>
    </w:p>
    <w:p w14:paraId="59F2EFDF" w14:textId="477E5948" w:rsidR="001C089A" w:rsidRPr="00A6203D" w:rsidRDefault="001C089A" w:rsidP="00CE7C7B">
      <w:pPr>
        <w:spacing w:line="276" w:lineRule="auto"/>
        <w:rPr>
          <w:rFonts w:ascii="Arial" w:hAnsi="Arial" w:cs="Arial"/>
          <w:sz w:val="22"/>
          <w:szCs w:val="22"/>
        </w:rPr>
      </w:pPr>
      <w:r w:rsidRPr="00A6203D">
        <w:rPr>
          <w:rFonts w:ascii="Arial" w:hAnsi="Arial" w:cs="Arial"/>
          <w:sz w:val="22"/>
          <w:szCs w:val="22"/>
        </w:rPr>
        <w:t>Animal studies show that PTH is capable of both anabolic and catabolic actions on bone. PTH stimulates both bone formation and bone resorption; the net effect on BMD depends on the balance between these two processes (</w:t>
      </w:r>
      <w:hyperlink r:id="rId152" w:history="1">
        <w:r w:rsidRPr="00A6203D">
          <w:rPr>
            <w:rStyle w:val="Hyperlink"/>
            <w:rFonts w:ascii="Arial" w:hAnsi="Arial" w:cs="Arial"/>
            <w:color w:val="auto"/>
            <w:sz w:val="22"/>
            <w:szCs w:val="22"/>
            <w:u w:val="none"/>
          </w:rPr>
          <w:t>160</w:t>
        </w:r>
      </w:hyperlink>
      <w:r w:rsidRPr="00A6203D">
        <w:rPr>
          <w:rFonts w:ascii="Arial" w:hAnsi="Arial" w:cs="Arial"/>
          <w:sz w:val="22"/>
          <w:szCs w:val="22"/>
        </w:rPr>
        <w:t>). A continuous infusion of PTH increases both formation and resorption and leads to bone breakdown (</w:t>
      </w:r>
      <w:hyperlink r:id="rId153" w:history="1">
        <w:r w:rsidRPr="00A6203D">
          <w:rPr>
            <w:rStyle w:val="Hyperlink"/>
            <w:rFonts w:ascii="Arial" w:hAnsi="Arial" w:cs="Arial"/>
            <w:color w:val="auto"/>
            <w:sz w:val="22"/>
            <w:szCs w:val="22"/>
            <w:u w:val="none"/>
          </w:rPr>
          <w:t>160</w:t>
        </w:r>
      </w:hyperlink>
      <w:r w:rsidRPr="00A6203D">
        <w:rPr>
          <w:rFonts w:ascii="Arial" w:hAnsi="Arial" w:cs="Arial"/>
          <w:sz w:val="22"/>
          <w:szCs w:val="22"/>
        </w:rPr>
        <w:t>,</w:t>
      </w:r>
      <w:hyperlink r:id="rId154" w:history="1">
        <w:r w:rsidRPr="00A6203D">
          <w:rPr>
            <w:rStyle w:val="Hyperlink"/>
            <w:rFonts w:ascii="Arial" w:hAnsi="Arial" w:cs="Arial"/>
            <w:color w:val="auto"/>
            <w:sz w:val="22"/>
            <w:szCs w:val="22"/>
            <w:u w:val="none"/>
          </w:rPr>
          <w:t>161</w:t>
        </w:r>
      </w:hyperlink>
      <w:r w:rsidRPr="00A6203D">
        <w:rPr>
          <w:rFonts w:ascii="Arial" w:hAnsi="Arial" w:cs="Arial"/>
          <w:sz w:val="22"/>
          <w:szCs w:val="22"/>
        </w:rPr>
        <w:t>). However, intermittent exposure preferentially increases formation, thereby producing an anabolic effect on bone (</w:t>
      </w:r>
      <w:hyperlink r:id="rId155" w:history="1">
        <w:r w:rsidRPr="00A6203D">
          <w:rPr>
            <w:rStyle w:val="Hyperlink"/>
            <w:rFonts w:ascii="Arial" w:hAnsi="Arial" w:cs="Arial"/>
            <w:color w:val="auto"/>
            <w:sz w:val="22"/>
            <w:szCs w:val="22"/>
            <w:u w:val="none"/>
          </w:rPr>
          <w:t>160</w:t>
        </w:r>
      </w:hyperlink>
      <w:r w:rsidRPr="00A6203D">
        <w:rPr>
          <w:rFonts w:ascii="Arial" w:hAnsi="Arial" w:cs="Arial"/>
          <w:sz w:val="22"/>
          <w:szCs w:val="22"/>
        </w:rPr>
        <w:t>,</w:t>
      </w:r>
      <w:hyperlink r:id="rId156" w:history="1">
        <w:r w:rsidRPr="00A6203D">
          <w:rPr>
            <w:rStyle w:val="Hyperlink"/>
            <w:rFonts w:ascii="Arial" w:hAnsi="Arial" w:cs="Arial"/>
            <w:color w:val="auto"/>
            <w:sz w:val="22"/>
            <w:szCs w:val="22"/>
            <w:u w:val="none"/>
          </w:rPr>
          <w:t>162</w:t>
        </w:r>
      </w:hyperlink>
      <w:r w:rsidRPr="00A6203D">
        <w:rPr>
          <w:rFonts w:ascii="Arial" w:hAnsi="Arial" w:cs="Arial"/>
          <w:sz w:val="22"/>
          <w:szCs w:val="22"/>
        </w:rPr>
        <w:t>,</w:t>
      </w:r>
      <w:hyperlink r:id="rId157" w:history="1">
        <w:r w:rsidRPr="00A6203D">
          <w:rPr>
            <w:rStyle w:val="Hyperlink"/>
            <w:rFonts w:ascii="Arial" w:hAnsi="Arial" w:cs="Arial"/>
            <w:color w:val="auto"/>
            <w:sz w:val="22"/>
            <w:szCs w:val="22"/>
            <w:u w:val="none"/>
          </w:rPr>
          <w:t>163</w:t>
        </w:r>
      </w:hyperlink>
      <w:r w:rsidRPr="00A6203D">
        <w:rPr>
          <w:rFonts w:ascii="Arial" w:hAnsi="Arial" w:cs="Arial"/>
          <w:sz w:val="22"/>
          <w:szCs w:val="22"/>
        </w:rPr>
        <w:t>). Therefore, PTH can increase or decrease BMD depending on the pattern of exposure. Dosing PTH in a manner leading to stimulation of bone formation before causing bone resorption has become known as maximizing the “anabolic window” of PTH (</w:t>
      </w:r>
      <w:hyperlink r:id="rId158" w:history="1">
        <w:r w:rsidRPr="00A6203D">
          <w:rPr>
            <w:rStyle w:val="Hyperlink"/>
            <w:rFonts w:ascii="Arial" w:hAnsi="Arial" w:cs="Arial"/>
            <w:color w:val="auto"/>
            <w:sz w:val="22"/>
            <w:szCs w:val="22"/>
            <w:u w:val="none"/>
          </w:rPr>
          <w:t>164</w:t>
        </w:r>
      </w:hyperlink>
      <w:r w:rsidRPr="00A6203D">
        <w:rPr>
          <w:rFonts w:ascii="Arial" w:hAnsi="Arial" w:cs="Arial"/>
          <w:sz w:val="22"/>
          <w:szCs w:val="22"/>
        </w:rPr>
        <w:t>).</w:t>
      </w:r>
    </w:p>
    <w:p w14:paraId="2C161B8A" w14:textId="77777777" w:rsidR="0037481A" w:rsidRPr="00A6203D" w:rsidRDefault="0037481A" w:rsidP="00CE7C7B">
      <w:pPr>
        <w:spacing w:line="276" w:lineRule="auto"/>
        <w:rPr>
          <w:rFonts w:ascii="Arial" w:hAnsi="Arial" w:cs="Arial"/>
          <w:b/>
          <w:bCs/>
          <w:sz w:val="22"/>
          <w:szCs w:val="22"/>
        </w:rPr>
      </w:pPr>
    </w:p>
    <w:p w14:paraId="57E91201" w14:textId="7C7B9528" w:rsidR="001C089A" w:rsidRPr="00A6203D" w:rsidRDefault="001C089A"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Cellular Mechanisms</w:t>
      </w:r>
    </w:p>
    <w:p w14:paraId="0280F97B" w14:textId="77777777" w:rsidR="0037481A" w:rsidRPr="00A6203D" w:rsidRDefault="0037481A" w:rsidP="00CE7C7B">
      <w:pPr>
        <w:spacing w:line="276" w:lineRule="auto"/>
        <w:rPr>
          <w:rFonts w:ascii="Arial" w:hAnsi="Arial" w:cs="Arial"/>
          <w:sz w:val="22"/>
          <w:szCs w:val="22"/>
        </w:rPr>
      </w:pPr>
    </w:p>
    <w:p w14:paraId="2364A1F5" w14:textId="672B4849" w:rsidR="001C089A" w:rsidRPr="00A6203D" w:rsidRDefault="001C089A" w:rsidP="00CE7C7B">
      <w:pPr>
        <w:spacing w:line="276" w:lineRule="auto"/>
        <w:rPr>
          <w:rFonts w:ascii="Arial" w:hAnsi="Arial" w:cs="Arial"/>
          <w:sz w:val="22"/>
          <w:szCs w:val="22"/>
        </w:rPr>
      </w:pPr>
      <w:r w:rsidRPr="00A6203D">
        <w:rPr>
          <w:rFonts w:ascii="Arial" w:hAnsi="Arial" w:cs="Arial"/>
          <w:sz w:val="22"/>
          <w:szCs w:val="22"/>
        </w:rPr>
        <w:t>PTH acts directly on osteoblasts and cells of the osteoblast lineage. PTH promotes differentiation of pre-osteoblasts to osteoblasts (</w:t>
      </w:r>
      <w:hyperlink r:id="rId159" w:history="1">
        <w:r w:rsidRPr="00A6203D">
          <w:rPr>
            <w:rStyle w:val="Hyperlink"/>
            <w:rFonts w:ascii="Arial" w:hAnsi="Arial" w:cs="Arial"/>
            <w:color w:val="auto"/>
            <w:sz w:val="22"/>
            <w:szCs w:val="22"/>
            <w:u w:val="none"/>
          </w:rPr>
          <w:t>161</w:t>
        </w:r>
      </w:hyperlink>
      <w:r w:rsidRPr="00A6203D">
        <w:rPr>
          <w:rFonts w:ascii="Arial" w:hAnsi="Arial" w:cs="Arial"/>
          <w:sz w:val="22"/>
          <w:szCs w:val="22"/>
        </w:rPr>
        <w:t>) and inhibits osteoblast apoptosis, thereby increasing the number of active osteoblasts (</w:t>
      </w:r>
      <w:hyperlink r:id="rId160" w:history="1">
        <w:r w:rsidRPr="00A6203D">
          <w:rPr>
            <w:rStyle w:val="Hyperlink"/>
            <w:rFonts w:ascii="Arial" w:hAnsi="Arial" w:cs="Arial"/>
            <w:color w:val="auto"/>
            <w:sz w:val="22"/>
            <w:szCs w:val="22"/>
            <w:u w:val="none"/>
          </w:rPr>
          <w:t>165</w:t>
        </w:r>
      </w:hyperlink>
      <w:r w:rsidRPr="00A6203D">
        <w:rPr>
          <w:rFonts w:ascii="Arial" w:hAnsi="Arial" w:cs="Arial"/>
          <w:sz w:val="22"/>
          <w:szCs w:val="22"/>
        </w:rPr>
        <w:t>). Furthermore, PTH triggers the production of several growth factors in bone cells, including insulin-like growth factor I (IGF-I) (</w:t>
      </w:r>
      <w:hyperlink r:id="rId161" w:history="1">
        <w:r w:rsidRPr="00A6203D">
          <w:rPr>
            <w:rStyle w:val="Hyperlink"/>
            <w:rFonts w:ascii="Arial" w:hAnsi="Arial" w:cs="Arial"/>
            <w:color w:val="auto"/>
            <w:sz w:val="22"/>
            <w:szCs w:val="22"/>
            <w:u w:val="none"/>
          </w:rPr>
          <w:t>161</w:t>
        </w:r>
      </w:hyperlink>
      <w:r w:rsidRPr="00A6203D">
        <w:rPr>
          <w:rFonts w:ascii="Arial" w:hAnsi="Arial" w:cs="Arial"/>
          <w:sz w:val="22"/>
          <w:szCs w:val="22"/>
        </w:rPr>
        <w:t>,</w:t>
      </w:r>
      <w:hyperlink r:id="rId162" w:history="1">
        <w:r w:rsidRPr="00A6203D">
          <w:rPr>
            <w:rStyle w:val="Hyperlink"/>
            <w:rFonts w:ascii="Arial" w:hAnsi="Arial" w:cs="Arial"/>
            <w:color w:val="auto"/>
            <w:sz w:val="22"/>
            <w:szCs w:val="22"/>
            <w:u w:val="none"/>
          </w:rPr>
          <w:t>166</w:t>
        </w:r>
      </w:hyperlink>
      <w:r w:rsidRPr="00A6203D">
        <w:rPr>
          <w:rFonts w:ascii="Arial" w:hAnsi="Arial" w:cs="Arial"/>
          <w:sz w:val="22"/>
          <w:szCs w:val="22"/>
        </w:rPr>
        <w:t>).</w:t>
      </w:r>
    </w:p>
    <w:p w14:paraId="0A5BD007" w14:textId="77777777" w:rsidR="0037481A" w:rsidRPr="00A6203D" w:rsidRDefault="0037481A" w:rsidP="00CE7C7B">
      <w:pPr>
        <w:spacing w:line="276" w:lineRule="auto"/>
        <w:rPr>
          <w:rFonts w:ascii="Arial" w:hAnsi="Arial" w:cs="Arial"/>
          <w:b/>
          <w:bCs/>
          <w:sz w:val="22"/>
          <w:szCs w:val="22"/>
        </w:rPr>
      </w:pPr>
    </w:p>
    <w:p w14:paraId="0A542A99" w14:textId="5725636A" w:rsidR="001C089A" w:rsidRPr="00A6203D" w:rsidRDefault="001C089A" w:rsidP="00CE7C7B">
      <w:pPr>
        <w:spacing w:line="276" w:lineRule="auto"/>
        <w:rPr>
          <w:rFonts w:ascii="Arial" w:hAnsi="Arial" w:cs="Arial"/>
          <w:b/>
          <w:bCs/>
          <w:color w:val="FF0000"/>
          <w:sz w:val="22"/>
          <w:szCs w:val="22"/>
        </w:rPr>
      </w:pPr>
      <w:r w:rsidRPr="00A6203D">
        <w:rPr>
          <w:rFonts w:ascii="Arial" w:hAnsi="Arial" w:cs="Arial"/>
          <w:b/>
          <w:bCs/>
          <w:color w:val="00B050"/>
          <w:sz w:val="22"/>
          <w:szCs w:val="22"/>
        </w:rPr>
        <w:t>T</w:t>
      </w:r>
      <w:r w:rsidR="0037481A" w:rsidRPr="00A6203D">
        <w:rPr>
          <w:rFonts w:ascii="Arial" w:hAnsi="Arial" w:cs="Arial"/>
          <w:b/>
          <w:bCs/>
          <w:color w:val="00B050"/>
          <w:sz w:val="22"/>
          <w:szCs w:val="22"/>
        </w:rPr>
        <w:t>eripar</w:t>
      </w:r>
      <w:r w:rsidR="009429E8" w:rsidRPr="00A6203D">
        <w:rPr>
          <w:rFonts w:ascii="Arial" w:hAnsi="Arial" w:cs="Arial"/>
          <w:b/>
          <w:bCs/>
          <w:color w:val="00B050"/>
          <w:sz w:val="22"/>
          <w:szCs w:val="22"/>
        </w:rPr>
        <w:t>at</w:t>
      </w:r>
      <w:r w:rsidR="0037481A" w:rsidRPr="00A6203D">
        <w:rPr>
          <w:rFonts w:ascii="Arial" w:hAnsi="Arial" w:cs="Arial"/>
          <w:b/>
          <w:bCs/>
          <w:color w:val="00B050"/>
          <w:sz w:val="22"/>
          <w:szCs w:val="22"/>
        </w:rPr>
        <w:t>ide</w:t>
      </w:r>
      <w:r w:rsidR="0037481A" w:rsidRPr="00A6203D">
        <w:rPr>
          <w:rFonts w:ascii="Arial" w:hAnsi="Arial" w:cs="Arial"/>
          <w:b/>
          <w:bCs/>
          <w:color w:val="FF0000"/>
          <w:sz w:val="22"/>
          <w:szCs w:val="22"/>
        </w:rPr>
        <w:t xml:space="preserve"> </w:t>
      </w:r>
    </w:p>
    <w:p w14:paraId="1404A38F" w14:textId="77777777" w:rsidR="0037481A" w:rsidRPr="00A6203D" w:rsidRDefault="0037481A" w:rsidP="00CE7C7B">
      <w:pPr>
        <w:spacing w:line="276" w:lineRule="auto"/>
        <w:rPr>
          <w:rFonts w:ascii="Arial" w:hAnsi="Arial" w:cs="Arial"/>
          <w:sz w:val="22"/>
          <w:szCs w:val="22"/>
        </w:rPr>
      </w:pPr>
    </w:p>
    <w:p w14:paraId="7610B295" w14:textId="647E2EA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2002, the FDA approved teriparatide (</w:t>
      </w:r>
      <w:proofErr w:type="spellStart"/>
      <w:r w:rsidRPr="00A6203D">
        <w:rPr>
          <w:rFonts w:ascii="Arial" w:hAnsi="Arial" w:cs="Arial"/>
          <w:sz w:val="22"/>
          <w:szCs w:val="22"/>
        </w:rPr>
        <w:t>Forteo</w:t>
      </w:r>
      <w:proofErr w:type="spellEnd"/>
      <w:r w:rsidRPr="00A6203D">
        <w:rPr>
          <w:rFonts w:ascii="Arial" w:hAnsi="Arial" w:cs="Arial"/>
          <w:sz w:val="22"/>
          <w:szCs w:val="22"/>
        </w:rPr>
        <w:t>™), injectable recombinant human PTH (</w:t>
      </w:r>
      <w:hyperlink r:id="rId163"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64" w:history="1">
        <w:r w:rsidRPr="00A6203D">
          <w:rPr>
            <w:rStyle w:val="Hyperlink"/>
            <w:rFonts w:ascii="Arial" w:hAnsi="Arial" w:cs="Arial"/>
            <w:color w:val="auto"/>
            <w:sz w:val="22"/>
            <w:szCs w:val="22"/>
            <w:u w:val="none"/>
          </w:rPr>
          <w:t>34</w:t>
        </w:r>
      </w:hyperlink>
      <w:r w:rsidRPr="00A6203D">
        <w:rPr>
          <w:rFonts w:ascii="Arial" w:hAnsi="Arial" w:cs="Arial"/>
          <w:sz w:val="22"/>
          <w:szCs w:val="22"/>
        </w:rPr>
        <w:t>), for the treatment of men and postmenopausal women with osteoporosis who are at high risk for fracture (see </w:t>
      </w:r>
      <w:hyperlink r:id="rId165" w:tgtFrame="object" w:history="1">
        <w:r w:rsidRPr="00A6203D">
          <w:rPr>
            <w:rStyle w:val="Hyperlink"/>
            <w:rFonts w:ascii="Arial" w:hAnsi="Arial" w:cs="Arial"/>
            <w:color w:val="auto"/>
            <w:sz w:val="22"/>
            <w:szCs w:val="22"/>
            <w:u w:val="none"/>
          </w:rPr>
          <w:t>Table 5</w:t>
        </w:r>
      </w:hyperlink>
      <w:r w:rsidRPr="00A6203D">
        <w:rPr>
          <w:rFonts w:ascii="Arial" w:hAnsi="Arial" w:cs="Arial"/>
          <w:sz w:val="22"/>
          <w:szCs w:val="22"/>
        </w:rPr>
        <w:t>). The biologically active fragment PTH (</w:t>
      </w:r>
      <w:hyperlink r:id="rId166"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67" w:history="1">
        <w:r w:rsidRPr="00A6203D">
          <w:rPr>
            <w:rStyle w:val="Hyperlink"/>
            <w:rFonts w:ascii="Arial" w:hAnsi="Arial" w:cs="Arial"/>
            <w:color w:val="auto"/>
            <w:sz w:val="22"/>
            <w:szCs w:val="22"/>
            <w:u w:val="none"/>
          </w:rPr>
          <w:t>34</w:t>
        </w:r>
      </w:hyperlink>
      <w:r w:rsidRPr="00A6203D">
        <w:rPr>
          <w:rFonts w:ascii="Arial" w:hAnsi="Arial" w:cs="Arial"/>
          <w:sz w:val="22"/>
          <w:szCs w:val="22"/>
        </w:rPr>
        <w:t>) has properties similar to the full-length molecule PTH (</w:t>
      </w:r>
      <w:hyperlink r:id="rId168"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69" w:history="1">
        <w:r w:rsidRPr="00A6203D">
          <w:rPr>
            <w:rStyle w:val="Hyperlink"/>
            <w:rFonts w:ascii="Arial" w:hAnsi="Arial" w:cs="Arial"/>
            <w:color w:val="auto"/>
            <w:sz w:val="22"/>
            <w:szCs w:val="22"/>
            <w:u w:val="none"/>
          </w:rPr>
          <w:t>84</w:t>
        </w:r>
      </w:hyperlink>
      <w:r w:rsidRPr="00A6203D">
        <w:rPr>
          <w:rFonts w:ascii="Arial" w:hAnsi="Arial" w:cs="Arial"/>
          <w:sz w:val="22"/>
          <w:szCs w:val="22"/>
        </w:rPr>
        <w:t>), which is approved for use in Europe. Antiresorptive agents, such as bisphosphonates, increase BMD up to ~ 8%. However, many patients with osteoporosis have lost as much as 30% of their peak bone mass. Thus, agents that have an anabolic effect on bone are desirable</w:t>
      </w:r>
      <w:r w:rsidR="00606375" w:rsidRPr="00A6203D">
        <w:rPr>
          <w:rFonts w:ascii="Arial" w:hAnsi="Arial" w:cs="Arial"/>
          <w:sz w:val="22"/>
          <w:szCs w:val="22"/>
        </w:rPr>
        <w:t xml:space="preserve"> </w:t>
      </w:r>
      <w:r w:rsidRPr="00A6203D">
        <w:rPr>
          <w:rFonts w:ascii="Arial" w:hAnsi="Arial" w:cs="Arial"/>
          <w:sz w:val="22"/>
          <w:szCs w:val="22"/>
        </w:rPr>
        <w:t>(</w:t>
      </w:r>
      <w:hyperlink r:id="rId170" w:history="1">
        <w:r w:rsidRPr="00A6203D">
          <w:rPr>
            <w:rStyle w:val="Hyperlink"/>
            <w:rFonts w:ascii="Arial" w:hAnsi="Arial" w:cs="Arial"/>
            <w:color w:val="auto"/>
            <w:sz w:val="22"/>
            <w:szCs w:val="22"/>
            <w:u w:val="none"/>
          </w:rPr>
          <w:t>158</w:t>
        </w:r>
      </w:hyperlink>
      <w:r w:rsidRPr="00A6203D">
        <w:rPr>
          <w:rFonts w:ascii="Arial" w:hAnsi="Arial" w:cs="Arial"/>
          <w:sz w:val="22"/>
          <w:szCs w:val="22"/>
        </w:rPr>
        <w:t>)</w:t>
      </w:r>
      <w:r w:rsidR="00606375" w:rsidRPr="00A6203D">
        <w:rPr>
          <w:rFonts w:ascii="Arial" w:hAnsi="Arial" w:cs="Arial"/>
          <w:sz w:val="22"/>
          <w:szCs w:val="22"/>
        </w:rPr>
        <w:t>.</w:t>
      </w:r>
      <w:r w:rsidRPr="00A6203D">
        <w:rPr>
          <w:rFonts w:ascii="Arial" w:hAnsi="Arial" w:cs="Arial"/>
          <w:sz w:val="22"/>
          <w:szCs w:val="22"/>
        </w:rPr>
        <w:t xml:space="preserve"> PTH directly stimulates bone formation before bone resorption, has robust effects on spinal BMD, improves bone structure, and reduces spine and non-spine fractures. The sequence of changes in bone formation and resorption leads to what is described as the anabolic window (</w:t>
      </w:r>
      <w:hyperlink r:id="rId171" w:history="1">
        <w:r w:rsidRPr="00A6203D">
          <w:rPr>
            <w:rStyle w:val="Hyperlink"/>
            <w:rFonts w:ascii="Arial" w:hAnsi="Arial" w:cs="Arial"/>
            <w:color w:val="auto"/>
            <w:sz w:val="22"/>
            <w:szCs w:val="22"/>
            <w:u w:val="none"/>
          </w:rPr>
          <w:t>159</w:t>
        </w:r>
      </w:hyperlink>
      <w:r w:rsidRPr="00A6203D">
        <w:rPr>
          <w:rFonts w:ascii="Arial" w:hAnsi="Arial" w:cs="Arial"/>
          <w:sz w:val="22"/>
          <w:szCs w:val="22"/>
        </w:rPr>
        <w:t>).</w:t>
      </w:r>
    </w:p>
    <w:p w14:paraId="683DD7D6" w14:textId="77777777" w:rsidR="0037481A" w:rsidRPr="00A6203D" w:rsidRDefault="0037481A" w:rsidP="00CE7C7B">
      <w:pPr>
        <w:spacing w:line="276" w:lineRule="auto"/>
        <w:rPr>
          <w:rFonts w:ascii="Arial" w:hAnsi="Arial" w:cs="Arial"/>
          <w:b/>
          <w:bCs/>
          <w:sz w:val="22"/>
          <w:szCs w:val="22"/>
        </w:rPr>
      </w:pPr>
    </w:p>
    <w:p w14:paraId="02B9D18F" w14:textId="49CEBD8B" w:rsidR="005E6870" w:rsidRPr="00A6203D" w:rsidRDefault="005E6870" w:rsidP="00CE7C7B">
      <w:pPr>
        <w:spacing w:line="276" w:lineRule="auto"/>
        <w:rPr>
          <w:rFonts w:ascii="Arial" w:hAnsi="Arial" w:cs="Arial"/>
          <w:color w:val="FF0000"/>
          <w:sz w:val="22"/>
          <w:szCs w:val="22"/>
        </w:rPr>
      </w:pPr>
      <w:r w:rsidRPr="00A6203D">
        <w:rPr>
          <w:rFonts w:ascii="Arial" w:hAnsi="Arial" w:cs="Arial"/>
          <w:color w:val="FF0000"/>
          <w:sz w:val="22"/>
          <w:szCs w:val="22"/>
        </w:rPr>
        <w:t>F</w:t>
      </w:r>
      <w:r w:rsidR="009429E8" w:rsidRPr="00A6203D">
        <w:rPr>
          <w:rFonts w:ascii="Arial" w:hAnsi="Arial" w:cs="Arial"/>
          <w:color w:val="FF0000"/>
          <w:sz w:val="22"/>
          <w:szCs w:val="22"/>
        </w:rPr>
        <w:t xml:space="preserve">RACTURE DATA </w:t>
      </w:r>
    </w:p>
    <w:p w14:paraId="104BA089" w14:textId="77777777" w:rsidR="0037481A" w:rsidRPr="00A6203D" w:rsidRDefault="0037481A" w:rsidP="00CE7C7B">
      <w:pPr>
        <w:spacing w:line="276" w:lineRule="auto"/>
        <w:rPr>
          <w:rFonts w:ascii="Arial" w:hAnsi="Arial" w:cs="Arial"/>
          <w:sz w:val="22"/>
          <w:szCs w:val="22"/>
        </w:rPr>
      </w:pPr>
    </w:p>
    <w:p w14:paraId="2DA91BC4" w14:textId="278E11B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a large multicenter, randomized placebo-controlled trial, Neer et al. reported the effects of PTH (</w:t>
      </w:r>
      <w:hyperlink r:id="rId172"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73" w:history="1">
        <w:r w:rsidRPr="00A6203D">
          <w:rPr>
            <w:rStyle w:val="Hyperlink"/>
            <w:rFonts w:ascii="Arial" w:hAnsi="Arial" w:cs="Arial"/>
            <w:color w:val="auto"/>
            <w:sz w:val="22"/>
            <w:szCs w:val="22"/>
            <w:u w:val="none"/>
          </w:rPr>
          <w:t>34</w:t>
        </w:r>
      </w:hyperlink>
      <w:r w:rsidRPr="00A6203D">
        <w:rPr>
          <w:rFonts w:ascii="Arial" w:hAnsi="Arial" w:cs="Arial"/>
          <w:sz w:val="22"/>
          <w:szCs w:val="22"/>
        </w:rPr>
        <w:t xml:space="preserve">) on bone density and fractures in 1,637 postmenopausal women with baseline vertebral fractures randomized to 20 µg PTH daily, 40 µg PTH daily, or placebo. At a mean of 18 months’ follow-up, 20 µg PTH daily increased lumbar spine BMD by 9.7%, femoral neck BMD by 2.8%, and total hip BMD by 2.6%. There was a decrease of 0.1% at the distal radius, but this was not significantly different from the change seen in the placebo group. PTH (20 µg </w:t>
      </w:r>
      <w:r w:rsidRPr="00A6203D">
        <w:rPr>
          <w:rFonts w:ascii="Arial" w:hAnsi="Arial" w:cs="Arial"/>
          <w:sz w:val="22"/>
          <w:szCs w:val="22"/>
        </w:rPr>
        <w:lastRenderedPageBreak/>
        <w:t>daily) reduced the risk of vertebral fractures by 65% and non-vertebral fragility fractures by 53% (and is the FDA-approved dose for treatment of osteoporosis). The two PTH (</w:t>
      </w:r>
      <w:hyperlink r:id="rId174"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75" w:history="1">
        <w:r w:rsidRPr="00A6203D">
          <w:rPr>
            <w:rStyle w:val="Hyperlink"/>
            <w:rFonts w:ascii="Arial" w:hAnsi="Arial" w:cs="Arial"/>
            <w:color w:val="auto"/>
            <w:sz w:val="22"/>
            <w:szCs w:val="22"/>
            <w:u w:val="none"/>
          </w:rPr>
          <w:t>34</w:t>
        </w:r>
      </w:hyperlink>
      <w:r w:rsidRPr="00A6203D">
        <w:rPr>
          <w:rFonts w:ascii="Arial" w:hAnsi="Arial" w:cs="Arial"/>
          <w:sz w:val="22"/>
          <w:szCs w:val="22"/>
        </w:rPr>
        <w:t>) doses reduced fractures to a similar degree, but headache and nausea were more common in the group receiving the higher dose of 40 µg daily (</w:t>
      </w:r>
      <w:hyperlink r:id="rId176" w:history="1">
        <w:r w:rsidRPr="00A6203D">
          <w:rPr>
            <w:rStyle w:val="Hyperlink"/>
            <w:rFonts w:ascii="Arial" w:hAnsi="Arial" w:cs="Arial"/>
            <w:color w:val="auto"/>
            <w:sz w:val="22"/>
            <w:szCs w:val="22"/>
            <w:u w:val="none"/>
          </w:rPr>
          <w:t>167</w:t>
        </w:r>
      </w:hyperlink>
      <w:r w:rsidRPr="00A6203D">
        <w:rPr>
          <w:rFonts w:ascii="Arial" w:hAnsi="Arial" w:cs="Arial"/>
          <w:sz w:val="22"/>
          <w:szCs w:val="22"/>
        </w:rPr>
        <w:t>).</w:t>
      </w:r>
    </w:p>
    <w:p w14:paraId="3E207193" w14:textId="77777777" w:rsidR="009429E8" w:rsidRPr="00A6203D" w:rsidRDefault="009429E8" w:rsidP="00CE7C7B">
      <w:pPr>
        <w:spacing w:line="276" w:lineRule="auto"/>
        <w:rPr>
          <w:rFonts w:ascii="Arial" w:hAnsi="Arial" w:cs="Arial"/>
          <w:sz w:val="22"/>
          <w:szCs w:val="22"/>
        </w:rPr>
      </w:pPr>
    </w:p>
    <w:p w14:paraId="0827A86F" w14:textId="741EDD7C" w:rsidR="001C089A" w:rsidRPr="00A6203D" w:rsidRDefault="001C089A" w:rsidP="00CE7C7B">
      <w:pPr>
        <w:spacing w:line="276" w:lineRule="auto"/>
        <w:rPr>
          <w:rFonts w:ascii="Arial" w:hAnsi="Arial" w:cs="Arial"/>
          <w:b/>
          <w:bCs/>
          <w:color w:val="00B050"/>
          <w:sz w:val="22"/>
          <w:szCs w:val="22"/>
        </w:rPr>
      </w:pPr>
      <w:proofErr w:type="spellStart"/>
      <w:r w:rsidRPr="00A6203D">
        <w:rPr>
          <w:rFonts w:ascii="Arial" w:hAnsi="Arial" w:cs="Arial"/>
          <w:b/>
          <w:bCs/>
          <w:color w:val="00B050"/>
          <w:sz w:val="22"/>
          <w:szCs w:val="22"/>
        </w:rPr>
        <w:t>A</w:t>
      </w:r>
      <w:r w:rsidR="009429E8" w:rsidRPr="00A6203D">
        <w:rPr>
          <w:rFonts w:ascii="Arial" w:hAnsi="Arial" w:cs="Arial"/>
          <w:b/>
          <w:bCs/>
          <w:color w:val="00B050"/>
          <w:sz w:val="22"/>
          <w:szCs w:val="22"/>
        </w:rPr>
        <w:t>baloparatide</w:t>
      </w:r>
      <w:proofErr w:type="spellEnd"/>
      <w:r w:rsidR="009429E8" w:rsidRPr="00A6203D">
        <w:rPr>
          <w:rFonts w:ascii="Arial" w:hAnsi="Arial" w:cs="Arial"/>
          <w:b/>
          <w:bCs/>
          <w:color w:val="00B050"/>
          <w:sz w:val="22"/>
          <w:szCs w:val="22"/>
        </w:rPr>
        <w:t xml:space="preserve"> </w:t>
      </w:r>
    </w:p>
    <w:p w14:paraId="3040F8D9" w14:textId="77777777" w:rsidR="009429E8" w:rsidRPr="00A6203D" w:rsidRDefault="009429E8" w:rsidP="00CE7C7B">
      <w:pPr>
        <w:spacing w:line="276" w:lineRule="auto"/>
        <w:rPr>
          <w:rFonts w:ascii="Arial" w:hAnsi="Arial" w:cs="Arial"/>
          <w:sz w:val="22"/>
          <w:szCs w:val="22"/>
        </w:rPr>
      </w:pPr>
    </w:p>
    <w:p w14:paraId="2B5FB597" w14:textId="774DF7B7"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In 2017, an additional PT</w:t>
      </w:r>
      <w:r w:rsidR="001C089A" w:rsidRPr="00A6203D">
        <w:rPr>
          <w:rFonts w:ascii="Arial" w:hAnsi="Arial" w:cs="Arial"/>
          <w:sz w:val="22"/>
          <w:szCs w:val="22"/>
        </w:rPr>
        <w:t xml:space="preserve">H analog </w:t>
      </w:r>
      <w:r w:rsidRPr="00A6203D">
        <w:rPr>
          <w:rFonts w:ascii="Arial" w:hAnsi="Arial" w:cs="Arial"/>
          <w:sz w:val="22"/>
          <w:szCs w:val="22"/>
        </w:rPr>
        <w:t>was FDA approved</w:t>
      </w:r>
      <w:r w:rsidR="001C089A" w:rsidRPr="00A6203D">
        <w:rPr>
          <w:rFonts w:ascii="Arial" w:hAnsi="Arial" w:cs="Arial"/>
          <w:sz w:val="22"/>
          <w:szCs w:val="22"/>
        </w:rPr>
        <w:t xml:space="preserve"> for the treatment of post-menopausal osteoporosis. </w:t>
      </w:r>
      <w:proofErr w:type="spellStart"/>
      <w:r w:rsidR="001C089A" w:rsidRPr="00A6203D">
        <w:rPr>
          <w:rFonts w:ascii="Arial" w:hAnsi="Arial" w:cs="Arial"/>
          <w:sz w:val="22"/>
          <w:szCs w:val="22"/>
        </w:rPr>
        <w:t>Abaloparatide</w:t>
      </w:r>
      <w:proofErr w:type="spellEnd"/>
      <w:r w:rsidR="001C089A" w:rsidRPr="00A6203D">
        <w:rPr>
          <w:rFonts w:ascii="Arial" w:hAnsi="Arial" w:cs="Arial"/>
          <w:sz w:val="22"/>
          <w:szCs w:val="22"/>
        </w:rPr>
        <w:t xml:space="preserve"> (</w:t>
      </w:r>
      <w:proofErr w:type="spellStart"/>
      <w:r w:rsidR="001C089A" w:rsidRPr="00A6203D">
        <w:rPr>
          <w:rFonts w:ascii="Arial" w:hAnsi="Arial" w:cs="Arial"/>
          <w:sz w:val="22"/>
          <w:szCs w:val="22"/>
        </w:rPr>
        <w:t>Tymlos</w:t>
      </w:r>
      <w:proofErr w:type="spellEnd"/>
      <w:r w:rsidR="001C089A" w:rsidRPr="00A6203D">
        <w:rPr>
          <w:rFonts w:ascii="Arial" w:hAnsi="Arial" w:cs="Arial"/>
          <w:sz w:val="22"/>
          <w:szCs w:val="22"/>
        </w:rPr>
        <w:t xml:space="preserve">™) is a parathyroid (1-34) hormone-related protein </w:t>
      </w:r>
      <w:r w:rsidR="00A53522" w:rsidRPr="00A6203D">
        <w:rPr>
          <w:rFonts w:ascii="Arial" w:hAnsi="Arial" w:cs="Arial"/>
          <w:sz w:val="22"/>
          <w:szCs w:val="22"/>
        </w:rPr>
        <w:t>(</w:t>
      </w:r>
      <w:proofErr w:type="spellStart"/>
      <w:r w:rsidR="00A53522" w:rsidRPr="00A6203D">
        <w:rPr>
          <w:rFonts w:ascii="Arial" w:hAnsi="Arial" w:cs="Arial"/>
          <w:sz w:val="22"/>
          <w:szCs w:val="22"/>
        </w:rPr>
        <w:t>PTHrp</w:t>
      </w:r>
      <w:proofErr w:type="spellEnd"/>
      <w:r w:rsidR="00A53522" w:rsidRPr="00A6203D">
        <w:rPr>
          <w:rFonts w:ascii="Arial" w:hAnsi="Arial" w:cs="Arial"/>
          <w:sz w:val="22"/>
          <w:szCs w:val="22"/>
        </w:rPr>
        <w:t xml:space="preserve">) </w:t>
      </w:r>
      <w:r w:rsidR="001C089A" w:rsidRPr="00A6203D">
        <w:rPr>
          <w:rFonts w:ascii="Arial" w:hAnsi="Arial" w:cs="Arial"/>
          <w:sz w:val="22"/>
          <w:szCs w:val="22"/>
        </w:rPr>
        <w:t xml:space="preserve">analog drug that shares similar anabolic effects as teriparatide.  </w:t>
      </w:r>
    </w:p>
    <w:p w14:paraId="7B99AB72" w14:textId="77777777" w:rsidR="009429E8" w:rsidRPr="00A6203D" w:rsidRDefault="009429E8" w:rsidP="00CE7C7B">
      <w:pPr>
        <w:spacing w:line="276" w:lineRule="auto"/>
        <w:rPr>
          <w:rFonts w:ascii="Arial" w:hAnsi="Arial" w:cs="Arial"/>
          <w:sz w:val="22"/>
          <w:szCs w:val="22"/>
        </w:rPr>
      </w:pPr>
    </w:p>
    <w:p w14:paraId="7014C569" w14:textId="5B74A160" w:rsidR="001C089A" w:rsidRPr="00A6203D" w:rsidRDefault="001C089A" w:rsidP="00CE7C7B">
      <w:pPr>
        <w:spacing w:line="276" w:lineRule="auto"/>
        <w:rPr>
          <w:rFonts w:ascii="Arial" w:hAnsi="Arial" w:cs="Arial"/>
          <w:color w:val="FF0000"/>
          <w:sz w:val="22"/>
          <w:szCs w:val="22"/>
        </w:rPr>
      </w:pPr>
      <w:r w:rsidRPr="00A6203D">
        <w:rPr>
          <w:rFonts w:ascii="Arial" w:hAnsi="Arial" w:cs="Arial"/>
          <w:color w:val="FF0000"/>
          <w:sz w:val="22"/>
          <w:szCs w:val="22"/>
        </w:rPr>
        <w:t>F</w:t>
      </w:r>
      <w:r w:rsidR="009429E8" w:rsidRPr="00A6203D">
        <w:rPr>
          <w:rFonts w:ascii="Arial" w:hAnsi="Arial" w:cs="Arial"/>
          <w:color w:val="FF0000"/>
          <w:sz w:val="22"/>
          <w:szCs w:val="22"/>
        </w:rPr>
        <w:t xml:space="preserve">RACTURE DATA </w:t>
      </w:r>
    </w:p>
    <w:p w14:paraId="7EF41047" w14:textId="77777777" w:rsidR="009429E8" w:rsidRPr="00A6203D" w:rsidRDefault="009429E8" w:rsidP="00CE7C7B">
      <w:pPr>
        <w:spacing w:line="276" w:lineRule="auto"/>
        <w:rPr>
          <w:rFonts w:ascii="Arial" w:hAnsi="Arial" w:cs="Arial"/>
          <w:sz w:val="22"/>
          <w:szCs w:val="22"/>
        </w:rPr>
      </w:pPr>
    </w:p>
    <w:p w14:paraId="69C20A81" w14:textId="159568B7" w:rsidR="001C089A" w:rsidRPr="00A6203D" w:rsidRDefault="004423FC" w:rsidP="00CE7C7B">
      <w:pPr>
        <w:spacing w:line="276" w:lineRule="auto"/>
        <w:rPr>
          <w:rFonts w:ascii="Arial" w:hAnsi="Arial" w:cs="Arial"/>
          <w:sz w:val="22"/>
          <w:szCs w:val="22"/>
        </w:rPr>
      </w:pPr>
      <w:r w:rsidRPr="00A6203D">
        <w:rPr>
          <w:rFonts w:ascii="Arial" w:hAnsi="Arial" w:cs="Arial"/>
          <w:sz w:val="22"/>
          <w:szCs w:val="22"/>
        </w:rPr>
        <w:t>In the ACTIVE trial, a double-blind, placebo</w:t>
      </w:r>
      <w:r w:rsidR="00B83E05" w:rsidRPr="00A6203D">
        <w:rPr>
          <w:rFonts w:ascii="Arial" w:hAnsi="Arial" w:cs="Arial"/>
          <w:sz w:val="22"/>
          <w:szCs w:val="22"/>
        </w:rPr>
        <w:t>-</w:t>
      </w:r>
      <w:r w:rsidRPr="00A6203D">
        <w:rPr>
          <w:rFonts w:ascii="Arial" w:hAnsi="Arial" w:cs="Arial"/>
          <w:sz w:val="22"/>
          <w:szCs w:val="22"/>
        </w:rPr>
        <w:t>controlled trial, Miller et al (</w:t>
      </w:r>
      <w:r w:rsidR="005E42FF" w:rsidRPr="00A6203D">
        <w:rPr>
          <w:rFonts w:ascii="Arial" w:hAnsi="Arial" w:cs="Arial"/>
          <w:sz w:val="22"/>
          <w:szCs w:val="22"/>
        </w:rPr>
        <w:t>202</w:t>
      </w:r>
      <w:r w:rsidRPr="00A6203D">
        <w:rPr>
          <w:rFonts w:ascii="Arial" w:hAnsi="Arial" w:cs="Arial"/>
          <w:sz w:val="22"/>
          <w:szCs w:val="22"/>
        </w:rPr>
        <w:t xml:space="preserve">) </w:t>
      </w:r>
      <w:r w:rsidR="0083583A" w:rsidRPr="00A6203D">
        <w:rPr>
          <w:rFonts w:ascii="Arial" w:hAnsi="Arial" w:cs="Arial"/>
          <w:sz w:val="22"/>
          <w:szCs w:val="22"/>
        </w:rPr>
        <w:t>studie</w:t>
      </w:r>
      <w:r w:rsidR="00B83E05" w:rsidRPr="00A6203D">
        <w:rPr>
          <w:rFonts w:ascii="Arial" w:hAnsi="Arial" w:cs="Arial"/>
          <w:sz w:val="22"/>
          <w:szCs w:val="22"/>
        </w:rPr>
        <w:t>d</w:t>
      </w:r>
      <w:r w:rsidR="0083583A" w:rsidRPr="00A6203D">
        <w:rPr>
          <w:rFonts w:ascii="Arial" w:hAnsi="Arial" w:cs="Arial"/>
          <w:sz w:val="22"/>
          <w:szCs w:val="22"/>
        </w:rPr>
        <w:t xml:space="preserve"> the effect of </w:t>
      </w:r>
      <w:proofErr w:type="spellStart"/>
      <w:r w:rsidR="0083583A" w:rsidRPr="00A6203D">
        <w:rPr>
          <w:rFonts w:ascii="Arial" w:hAnsi="Arial" w:cs="Arial"/>
          <w:sz w:val="22"/>
          <w:szCs w:val="22"/>
        </w:rPr>
        <w:t>abaloparatide</w:t>
      </w:r>
      <w:proofErr w:type="spellEnd"/>
      <w:r w:rsidR="0083583A" w:rsidRPr="00A6203D">
        <w:rPr>
          <w:rFonts w:ascii="Arial" w:hAnsi="Arial" w:cs="Arial"/>
          <w:sz w:val="22"/>
          <w:szCs w:val="22"/>
        </w:rPr>
        <w:t xml:space="preserve"> 80 mcg daily versus placebo in 1901 women with osteoporosis and baseline vertebral fractures over 18 months. </w:t>
      </w:r>
      <w:r w:rsidR="00635B6F" w:rsidRPr="00A6203D">
        <w:rPr>
          <w:rFonts w:ascii="Arial" w:hAnsi="Arial" w:cs="Arial"/>
          <w:sz w:val="22"/>
          <w:szCs w:val="22"/>
        </w:rPr>
        <w:t xml:space="preserve">At a mean of 18 months’ follow-up, </w:t>
      </w:r>
      <w:proofErr w:type="spellStart"/>
      <w:r w:rsidR="00635B6F" w:rsidRPr="00A6203D">
        <w:rPr>
          <w:rFonts w:ascii="Arial" w:hAnsi="Arial" w:cs="Arial"/>
          <w:sz w:val="22"/>
          <w:szCs w:val="22"/>
        </w:rPr>
        <w:t>abaloparatide</w:t>
      </w:r>
      <w:proofErr w:type="spellEnd"/>
      <w:r w:rsidR="00635B6F" w:rsidRPr="00A6203D">
        <w:rPr>
          <w:rFonts w:ascii="Arial" w:hAnsi="Arial" w:cs="Arial"/>
          <w:sz w:val="22"/>
          <w:szCs w:val="22"/>
        </w:rPr>
        <w:t xml:space="preserve"> increased lumbar spine BMD by 11.2%, femoral neck BMD by 3.6%, and total hip BMD by </w:t>
      </w:r>
      <w:r w:rsidR="00521C82" w:rsidRPr="00A6203D">
        <w:rPr>
          <w:rFonts w:ascii="Arial" w:hAnsi="Arial" w:cs="Arial"/>
          <w:sz w:val="22"/>
          <w:szCs w:val="22"/>
        </w:rPr>
        <w:t>4.18</w:t>
      </w:r>
      <w:r w:rsidR="00635B6F" w:rsidRPr="00A6203D">
        <w:rPr>
          <w:rFonts w:ascii="Arial" w:hAnsi="Arial" w:cs="Arial"/>
          <w:sz w:val="22"/>
          <w:szCs w:val="22"/>
        </w:rPr>
        <w:t>%. N</w:t>
      </w:r>
      <w:r w:rsidR="0083583A" w:rsidRPr="00A6203D">
        <w:rPr>
          <w:rFonts w:ascii="Arial" w:hAnsi="Arial" w:cs="Arial"/>
          <w:sz w:val="22"/>
          <w:szCs w:val="22"/>
        </w:rPr>
        <w:t xml:space="preserve">ew vertebral fracture incidence was 0.6% with </w:t>
      </w:r>
      <w:proofErr w:type="spellStart"/>
      <w:r w:rsidR="0083583A" w:rsidRPr="00A6203D">
        <w:rPr>
          <w:rFonts w:ascii="Arial" w:hAnsi="Arial" w:cs="Arial"/>
          <w:sz w:val="22"/>
          <w:szCs w:val="22"/>
        </w:rPr>
        <w:t>abaloparatide</w:t>
      </w:r>
      <w:proofErr w:type="spellEnd"/>
      <w:r w:rsidR="0083583A" w:rsidRPr="00A6203D">
        <w:rPr>
          <w:rFonts w:ascii="Arial" w:hAnsi="Arial" w:cs="Arial"/>
          <w:sz w:val="22"/>
          <w:szCs w:val="22"/>
        </w:rPr>
        <w:t xml:space="preserve"> versus 4.2% with placebo (86% relative risk reduction, p&lt;0.001). There was a 43% relative risk reduction of non-vertebral fracture with </w:t>
      </w:r>
      <w:proofErr w:type="spellStart"/>
      <w:r w:rsidR="0083583A" w:rsidRPr="00A6203D">
        <w:rPr>
          <w:rFonts w:ascii="Arial" w:hAnsi="Arial" w:cs="Arial"/>
          <w:sz w:val="22"/>
          <w:szCs w:val="22"/>
        </w:rPr>
        <w:t>abaloparatide</w:t>
      </w:r>
      <w:proofErr w:type="spellEnd"/>
      <w:r w:rsidR="00635B6F" w:rsidRPr="00A6203D">
        <w:rPr>
          <w:rFonts w:ascii="Arial" w:hAnsi="Arial" w:cs="Arial"/>
          <w:sz w:val="22"/>
          <w:szCs w:val="22"/>
        </w:rPr>
        <w:t>, which just met statistical significan</w:t>
      </w:r>
      <w:r w:rsidR="00B83E05" w:rsidRPr="00A6203D">
        <w:rPr>
          <w:rFonts w:ascii="Arial" w:hAnsi="Arial" w:cs="Arial"/>
          <w:sz w:val="22"/>
          <w:szCs w:val="22"/>
        </w:rPr>
        <w:t>ce</w:t>
      </w:r>
      <w:r w:rsidR="00635B6F" w:rsidRPr="00A6203D">
        <w:rPr>
          <w:rFonts w:ascii="Arial" w:hAnsi="Arial" w:cs="Arial"/>
          <w:sz w:val="22"/>
          <w:szCs w:val="22"/>
        </w:rPr>
        <w:t>, P=0.049.</w:t>
      </w:r>
      <w:r w:rsidR="0083583A" w:rsidRPr="00A6203D">
        <w:rPr>
          <w:rFonts w:ascii="Arial" w:hAnsi="Arial" w:cs="Arial"/>
          <w:sz w:val="22"/>
          <w:szCs w:val="22"/>
        </w:rPr>
        <w:t xml:space="preserve"> </w:t>
      </w:r>
    </w:p>
    <w:p w14:paraId="639943E3" w14:textId="77777777" w:rsidR="00635B6F" w:rsidRPr="00A6203D" w:rsidRDefault="00635B6F" w:rsidP="00CE7C7B">
      <w:pPr>
        <w:spacing w:line="276" w:lineRule="auto"/>
        <w:rPr>
          <w:rFonts w:ascii="Arial" w:hAnsi="Arial" w:cs="Arial"/>
          <w:sz w:val="22"/>
          <w:szCs w:val="22"/>
        </w:rPr>
      </w:pPr>
    </w:p>
    <w:p w14:paraId="4B9AFD3F" w14:textId="77777777"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Combination Therapy of Teriparatide and Bisphosphonates or Denosumab</w:t>
      </w:r>
    </w:p>
    <w:p w14:paraId="3D63177A" w14:textId="77777777" w:rsidR="009429E8" w:rsidRPr="00A6203D" w:rsidRDefault="009429E8" w:rsidP="00CE7C7B">
      <w:pPr>
        <w:spacing w:line="276" w:lineRule="auto"/>
        <w:rPr>
          <w:rFonts w:ascii="Arial" w:hAnsi="Arial" w:cs="Arial"/>
          <w:sz w:val="22"/>
          <w:szCs w:val="22"/>
        </w:rPr>
      </w:pPr>
    </w:p>
    <w:p w14:paraId="13F2444A" w14:textId="7CCB725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effects of concurrent or sequential therapy with PTH and antiresorptive agents have been studied. Black et al. compared the effects of PTH (</w:t>
      </w:r>
      <w:hyperlink r:id="rId177"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78" w:history="1">
        <w:r w:rsidRPr="00A6203D">
          <w:rPr>
            <w:rStyle w:val="Hyperlink"/>
            <w:rFonts w:ascii="Arial" w:hAnsi="Arial" w:cs="Arial"/>
            <w:color w:val="auto"/>
            <w:sz w:val="22"/>
            <w:szCs w:val="22"/>
            <w:u w:val="none"/>
          </w:rPr>
          <w:t>84</w:t>
        </w:r>
      </w:hyperlink>
      <w:r w:rsidRPr="00A6203D">
        <w:rPr>
          <w:rFonts w:ascii="Arial" w:hAnsi="Arial" w:cs="Arial"/>
          <w:sz w:val="22"/>
          <w:szCs w:val="22"/>
        </w:rPr>
        <w:t>), alendronate, or both in combination in postmenopausal women (</w:t>
      </w:r>
      <w:hyperlink r:id="rId179" w:history="1">
        <w:r w:rsidRPr="00A6203D">
          <w:rPr>
            <w:rStyle w:val="Hyperlink"/>
            <w:rFonts w:ascii="Arial" w:hAnsi="Arial" w:cs="Arial"/>
            <w:color w:val="auto"/>
            <w:sz w:val="22"/>
            <w:szCs w:val="22"/>
            <w:u w:val="none"/>
          </w:rPr>
          <w:t>168</w:t>
        </w:r>
      </w:hyperlink>
      <w:r w:rsidRPr="00A6203D">
        <w:rPr>
          <w:rFonts w:ascii="Arial" w:hAnsi="Arial" w:cs="Arial"/>
          <w:sz w:val="22"/>
          <w:szCs w:val="22"/>
        </w:rPr>
        <w:t>). At one year, spine DXA had increased in all three groups. There was no difference in spine DXA between the PTH group and the combination group. However, the PTH group had a significantly greater increase in volumetric BMD of the spine on quantitative CT than the alendronate and combination groups. Finkelstein et al. also carried out a study in men (</w:t>
      </w:r>
      <w:hyperlink r:id="rId180" w:history="1">
        <w:r w:rsidRPr="00A6203D">
          <w:rPr>
            <w:rStyle w:val="Hyperlink"/>
            <w:rFonts w:ascii="Arial" w:hAnsi="Arial" w:cs="Arial"/>
            <w:color w:val="auto"/>
            <w:sz w:val="22"/>
            <w:szCs w:val="22"/>
            <w:u w:val="none"/>
          </w:rPr>
          <w:t>169</w:t>
        </w:r>
      </w:hyperlink>
      <w:r w:rsidRPr="00A6203D">
        <w:rPr>
          <w:rFonts w:ascii="Arial" w:hAnsi="Arial" w:cs="Arial"/>
          <w:sz w:val="22"/>
          <w:szCs w:val="22"/>
        </w:rPr>
        <w:t>). PTH (</w:t>
      </w:r>
      <w:hyperlink r:id="rId181"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82" w:history="1">
        <w:r w:rsidRPr="00A6203D">
          <w:rPr>
            <w:rStyle w:val="Hyperlink"/>
            <w:rFonts w:ascii="Arial" w:hAnsi="Arial" w:cs="Arial"/>
            <w:color w:val="auto"/>
            <w:sz w:val="22"/>
            <w:szCs w:val="22"/>
            <w:u w:val="none"/>
          </w:rPr>
          <w:t>34</w:t>
        </w:r>
      </w:hyperlink>
      <w:r w:rsidRPr="00A6203D">
        <w:rPr>
          <w:rFonts w:ascii="Arial" w:hAnsi="Arial" w:cs="Arial"/>
          <w:sz w:val="22"/>
          <w:szCs w:val="22"/>
        </w:rPr>
        <w:t xml:space="preserve">) was started at 6 months, and all three groups were followed for 30 months. Spine BMD as measured by both DXA and quantitative CT increased to a greater degree in the PTH group than in the alendronate and combination groups. Thus, these studies show no evidence of synergy between PTH and alendronate. Furthermore, alendronate </w:t>
      </w:r>
      <w:r w:rsidR="00A6203D" w:rsidRPr="00A6203D">
        <w:rPr>
          <w:rFonts w:ascii="Arial" w:hAnsi="Arial" w:cs="Arial"/>
          <w:sz w:val="22"/>
          <w:szCs w:val="22"/>
        </w:rPr>
        <w:t>administered</w:t>
      </w:r>
      <w:r w:rsidR="00B3685E" w:rsidRPr="00A6203D">
        <w:rPr>
          <w:rFonts w:ascii="Arial" w:hAnsi="Arial" w:cs="Arial"/>
          <w:sz w:val="22"/>
          <w:szCs w:val="22"/>
        </w:rPr>
        <w:t xml:space="preserve"> prior to teriparatide </w:t>
      </w:r>
      <w:r w:rsidRPr="00A6203D">
        <w:rPr>
          <w:rFonts w:ascii="Arial" w:hAnsi="Arial" w:cs="Arial"/>
          <w:sz w:val="22"/>
          <w:szCs w:val="22"/>
        </w:rPr>
        <w:t>may impair the anabolic activity of PTH. It is hypothesized that PTH is less effective when bone turnover is suppressed.</w:t>
      </w:r>
    </w:p>
    <w:p w14:paraId="6A5295E6" w14:textId="77777777" w:rsidR="00121AFE" w:rsidRPr="00A6203D" w:rsidRDefault="00121AFE" w:rsidP="00CE7C7B">
      <w:pPr>
        <w:spacing w:line="276" w:lineRule="auto"/>
        <w:rPr>
          <w:rFonts w:ascii="Arial" w:hAnsi="Arial" w:cs="Arial"/>
          <w:sz w:val="22"/>
          <w:szCs w:val="22"/>
        </w:rPr>
      </w:pPr>
    </w:p>
    <w:p w14:paraId="50327BA9" w14:textId="468B554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While concurrent treatment with PTH and alendronate does not appear to be additive, bisphosphonate therapy initiated immediately upon completion of PTH course is beneficial. </w:t>
      </w:r>
      <w:proofErr w:type="spellStart"/>
      <w:r w:rsidRPr="00A6203D">
        <w:rPr>
          <w:rFonts w:ascii="Arial" w:hAnsi="Arial" w:cs="Arial"/>
          <w:sz w:val="22"/>
          <w:szCs w:val="22"/>
        </w:rPr>
        <w:t>Rittmaster</w:t>
      </w:r>
      <w:proofErr w:type="spellEnd"/>
      <w:r w:rsidRPr="00A6203D">
        <w:rPr>
          <w:rFonts w:ascii="Arial" w:hAnsi="Arial" w:cs="Arial"/>
          <w:sz w:val="22"/>
          <w:szCs w:val="22"/>
        </w:rPr>
        <w:t xml:space="preserve"> et al. demonstrated that PTH followed by alendronate produces progressive increases in BMD. In this study, 66 postmenopausal women were randomized to either 50 µg of recombinant human PTH (</w:t>
      </w:r>
      <w:hyperlink r:id="rId183"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84" w:history="1">
        <w:r w:rsidRPr="00A6203D">
          <w:rPr>
            <w:rStyle w:val="Hyperlink"/>
            <w:rFonts w:ascii="Arial" w:hAnsi="Arial" w:cs="Arial"/>
            <w:color w:val="auto"/>
            <w:sz w:val="22"/>
            <w:szCs w:val="22"/>
            <w:u w:val="none"/>
          </w:rPr>
          <w:t>84</w:t>
        </w:r>
      </w:hyperlink>
      <w:r w:rsidRPr="00A6203D">
        <w:rPr>
          <w:rFonts w:ascii="Arial" w:hAnsi="Arial" w:cs="Arial"/>
          <w:sz w:val="22"/>
          <w:szCs w:val="22"/>
        </w:rPr>
        <w:t xml:space="preserve">) daily or placebo for the first year, and then all subjects were treated with alendronate on an open label extension for the second year. During the first year, the PTH group gained 4.3% BMD at the lumbar spine while the placebo group gained 1.3%. During the second year, the PTH group gained 6.3% BMD at the lumbar spine while the placebo </w:t>
      </w:r>
      <w:r w:rsidRPr="00A6203D">
        <w:rPr>
          <w:rFonts w:ascii="Arial" w:hAnsi="Arial" w:cs="Arial"/>
          <w:sz w:val="22"/>
          <w:szCs w:val="22"/>
        </w:rPr>
        <w:lastRenderedPageBreak/>
        <w:t>group gained 5.7%. Thus, subjects previously treated with PTH continued to gain BMD with subsequent alendronate therapy (</w:t>
      </w:r>
      <w:hyperlink r:id="rId185" w:history="1">
        <w:r w:rsidRPr="00A6203D">
          <w:rPr>
            <w:rStyle w:val="Hyperlink"/>
            <w:rFonts w:ascii="Arial" w:hAnsi="Arial" w:cs="Arial"/>
            <w:color w:val="auto"/>
            <w:sz w:val="22"/>
            <w:szCs w:val="22"/>
            <w:u w:val="none"/>
          </w:rPr>
          <w:t>158</w:t>
        </w:r>
      </w:hyperlink>
      <w:r w:rsidRPr="00A6203D">
        <w:rPr>
          <w:rFonts w:ascii="Arial" w:hAnsi="Arial" w:cs="Arial"/>
          <w:sz w:val="22"/>
          <w:szCs w:val="22"/>
        </w:rPr>
        <w:t>). Black et al. extended their trial mentioned above (</w:t>
      </w:r>
      <w:hyperlink r:id="rId186" w:history="1">
        <w:r w:rsidRPr="00A6203D">
          <w:rPr>
            <w:rStyle w:val="Hyperlink"/>
            <w:rFonts w:ascii="Arial" w:hAnsi="Arial" w:cs="Arial"/>
            <w:color w:val="auto"/>
            <w:sz w:val="22"/>
            <w:szCs w:val="22"/>
            <w:u w:val="none"/>
          </w:rPr>
          <w:t>168</w:t>
        </w:r>
      </w:hyperlink>
      <w:r w:rsidRPr="00A6203D">
        <w:rPr>
          <w:rFonts w:ascii="Arial" w:hAnsi="Arial" w:cs="Arial"/>
          <w:sz w:val="22"/>
          <w:szCs w:val="22"/>
        </w:rPr>
        <w:t>). Post-menopausal women who had received PTH (</w:t>
      </w:r>
      <w:hyperlink r:id="rId187"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88" w:history="1">
        <w:r w:rsidRPr="00A6203D">
          <w:rPr>
            <w:rStyle w:val="Hyperlink"/>
            <w:rFonts w:ascii="Arial" w:hAnsi="Arial" w:cs="Arial"/>
            <w:color w:val="auto"/>
            <w:sz w:val="22"/>
            <w:szCs w:val="22"/>
            <w:u w:val="none"/>
          </w:rPr>
          <w:t>84</w:t>
        </w:r>
      </w:hyperlink>
      <w:r w:rsidRPr="00A6203D">
        <w:rPr>
          <w:rFonts w:ascii="Arial" w:hAnsi="Arial" w:cs="Arial"/>
          <w:sz w:val="22"/>
          <w:szCs w:val="22"/>
        </w:rPr>
        <w:t>) in year one were randomly assigned to an additional year of placebo (n = 60) or alendronate (n = 59). Over two years, alendronate after PTH (</w:t>
      </w:r>
      <w:hyperlink r:id="rId189"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90" w:history="1">
        <w:r w:rsidRPr="00A6203D">
          <w:rPr>
            <w:rStyle w:val="Hyperlink"/>
            <w:rFonts w:ascii="Arial" w:hAnsi="Arial" w:cs="Arial"/>
            <w:color w:val="auto"/>
            <w:sz w:val="22"/>
            <w:szCs w:val="22"/>
            <w:u w:val="none"/>
          </w:rPr>
          <w:t>84</w:t>
        </w:r>
      </w:hyperlink>
      <w:r w:rsidRPr="00A6203D">
        <w:rPr>
          <w:rFonts w:ascii="Arial" w:hAnsi="Arial" w:cs="Arial"/>
          <w:sz w:val="22"/>
          <w:szCs w:val="22"/>
        </w:rPr>
        <w:t>) led to significant increases in BMD compared to placebo after PTH (</w:t>
      </w:r>
      <w:hyperlink r:id="rId191"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92" w:history="1">
        <w:r w:rsidRPr="00A6203D">
          <w:rPr>
            <w:rStyle w:val="Hyperlink"/>
            <w:rFonts w:ascii="Arial" w:hAnsi="Arial" w:cs="Arial"/>
            <w:color w:val="auto"/>
            <w:sz w:val="22"/>
            <w:szCs w:val="22"/>
            <w:u w:val="none"/>
          </w:rPr>
          <w:t>84</w:t>
        </w:r>
      </w:hyperlink>
      <w:r w:rsidRPr="00A6203D">
        <w:rPr>
          <w:rFonts w:ascii="Arial" w:hAnsi="Arial" w:cs="Arial"/>
          <w:sz w:val="22"/>
          <w:szCs w:val="22"/>
        </w:rPr>
        <w:t>), most notable at trabecular bone areas of the spine as assessed by quantitative CT [31% increase in alendronate after PTH (</w:t>
      </w:r>
      <w:hyperlink r:id="rId193"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94" w:history="1">
        <w:r w:rsidRPr="00A6203D">
          <w:rPr>
            <w:rStyle w:val="Hyperlink"/>
            <w:rFonts w:ascii="Arial" w:hAnsi="Arial" w:cs="Arial"/>
            <w:color w:val="auto"/>
            <w:sz w:val="22"/>
            <w:szCs w:val="22"/>
            <w:u w:val="none"/>
          </w:rPr>
          <w:t>84</w:t>
        </w:r>
      </w:hyperlink>
      <w:r w:rsidRPr="00A6203D">
        <w:rPr>
          <w:rFonts w:ascii="Arial" w:hAnsi="Arial" w:cs="Arial"/>
          <w:sz w:val="22"/>
          <w:szCs w:val="22"/>
        </w:rPr>
        <w:t>) group versus14% increase in placebo after alendronate group]. Significant BMD loss was seen in year two in the placebo after PTH (</w:t>
      </w:r>
      <w:hyperlink r:id="rId195"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196" w:history="1">
        <w:r w:rsidRPr="00A6203D">
          <w:rPr>
            <w:rStyle w:val="Hyperlink"/>
            <w:rFonts w:ascii="Arial" w:hAnsi="Arial" w:cs="Arial"/>
            <w:color w:val="auto"/>
            <w:sz w:val="22"/>
            <w:szCs w:val="22"/>
            <w:u w:val="none"/>
          </w:rPr>
          <w:t>84</w:t>
        </w:r>
      </w:hyperlink>
      <w:r w:rsidRPr="00A6203D">
        <w:rPr>
          <w:rFonts w:ascii="Arial" w:hAnsi="Arial" w:cs="Arial"/>
          <w:sz w:val="22"/>
          <w:szCs w:val="22"/>
        </w:rPr>
        <w:t>)group (</w:t>
      </w:r>
      <w:hyperlink r:id="rId197" w:history="1">
        <w:r w:rsidRPr="00A6203D">
          <w:rPr>
            <w:rStyle w:val="Hyperlink"/>
            <w:rFonts w:ascii="Arial" w:hAnsi="Arial" w:cs="Arial"/>
            <w:color w:val="auto"/>
            <w:sz w:val="22"/>
            <w:szCs w:val="22"/>
            <w:u w:val="none"/>
          </w:rPr>
          <w:t>170</w:t>
        </w:r>
      </w:hyperlink>
      <w:r w:rsidRPr="00A6203D">
        <w:rPr>
          <w:rFonts w:ascii="Arial" w:hAnsi="Arial" w:cs="Arial"/>
          <w:sz w:val="22"/>
          <w:szCs w:val="22"/>
        </w:rPr>
        <w:t>). Kurland et al. reported similar findings in men (</w:t>
      </w:r>
      <w:hyperlink r:id="rId198" w:history="1">
        <w:r w:rsidRPr="00A6203D">
          <w:rPr>
            <w:rStyle w:val="Hyperlink"/>
            <w:rFonts w:ascii="Arial" w:hAnsi="Arial" w:cs="Arial"/>
            <w:color w:val="auto"/>
            <w:sz w:val="22"/>
            <w:szCs w:val="22"/>
            <w:u w:val="none"/>
          </w:rPr>
          <w:t>171</w:t>
        </w:r>
      </w:hyperlink>
      <w:r w:rsidRPr="00A6203D">
        <w:rPr>
          <w:rFonts w:ascii="Arial" w:hAnsi="Arial" w:cs="Arial"/>
          <w:sz w:val="22"/>
          <w:szCs w:val="22"/>
        </w:rPr>
        <w:t>). Twenty-one men were followed for up to two years after discontinuing PTH (</w:t>
      </w:r>
      <w:hyperlink r:id="rId199"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200" w:history="1">
        <w:r w:rsidRPr="00A6203D">
          <w:rPr>
            <w:rStyle w:val="Hyperlink"/>
            <w:rFonts w:ascii="Arial" w:hAnsi="Arial" w:cs="Arial"/>
            <w:color w:val="auto"/>
            <w:sz w:val="22"/>
            <w:szCs w:val="22"/>
            <w:u w:val="none"/>
          </w:rPr>
          <w:t>34</w:t>
        </w:r>
      </w:hyperlink>
      <w:r w:rsidRPr="00A6203D">
        <w:rPr>
          <w:rFonts w:ascii="Arial" w:hAnsi="Arial" w:cs="Arial"/>
          <w:sz w:val="22"/>
          <w:szCs w:val="22"/>
        </w:rPr>
        <w:t>). Those who were treated with a bisphosphonate immediately upon completion of the PTH gained an additional 8.9% BMD at the lumbar spine at two years, while the men who did not go on bisphosphonate therapy lost 3.7% BMD at the lumbar spine at one year. These studies support the immediate use of bisphosphonates upon completion of the recommended 24-month course of PTH therapy to consolidate the increases in bone density.</w:t>
      </w:r>
    </w:p>
    <w:p w14:paraId="202752FC" w14:textId="77777777" w:rsidR="00121AFE" w:rsidRPr="00A6203D" w:rsidRDefault="00121AFE" w:rsidP="00CE7C7B">
      <w:pPr>
        <w:spacing w:line="276" w:lineRule="auto"/>
        <w:rPr>
          <w:rFonts w:ascii="Arial" w:hAnsi="Arial" w:cs="Arial"/>
          <w:sz w:val="22"/>
          <w:szCs w:val="22"/>
        </w:rPr>
      </w:pPr>
    </w:p>
    <w:p w14:paraId="3BBEE5C0" w14:textId="7D4D78FC"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The Denosumab and Teriparatide Administration (DATA) trial investigated the combination of denosumab and teriparatide vs. monotherapy for 2 years. Combination therapy of daily teriparatide and denosumab every 6 months showed increases in spine and hip bone density greater than either drug alone (</w:t>
      </w:r>
      <w:hyperlink r:id="rId201" w:history="1">
        <w:r w:rsidRPr="00A6203D">
          <w:rPr>
            <w:rStyle w:val="Hyperlink"/>
            <w:rFonts w:ascii="Arial" w:hAnsi="Arial" w:cs="Arial"/>
            <w:color w:val="auto"/>
            <w:sz w:val="22"/>
            <w:szCs w:val="22"/>
            <w:u w:val="none"/>
          </w:rPr>
          <w:t>172</w:t>
        </w:r>
      </w:hyperlink>
      <w:r w:rsidRPr="00A6203D">
        <w:rPr>
          <w:rFonts w:ascii="Arial" w:hAnsi="Arial" w:cs="Arial"/>
          <w:sz w:val="22"/>
          <w:szCs w:val="22"/>
        </w:rPr>
        <w:t>).In the absence of fracture outcomes, the role of combination teriparatide and denosumab therapy in osteoporosis remains to be determined, but this regimen may be a therapeutic option in patients with severe osteoporosis or in those who have failed conventional therapy. In the DATA-Switch study, an extension of the DATA trial, subjects who were on denosumab only were switched to teriparatide, and those on teriparatide only were switch to denosumab; the former group were found to have bone loss, whereas the latter group have continued BMD increase (</w:t>
      </w:r>
      <w:hyperlink r:id="rId202" w:history="1">
        <w:r w:rsidRPr="00A6203D">
          <w:rPr>
            <w:rStyle w:val="Hyperlink"/>
            <w:rFonts w:ascii="Arial" w:hAnsi="Arial" w:cs="Arial"/>
            <w:color w:val="auto"/>
            <w:sz w:val="22"/>
            <w:szCs w:val="22"/>
            <w:u w:val="none"/>
          </w:rPr>
          <w:t>173</w:t>
        </w:r>
      </w:hyperlink>
      <w:r w:rsidRPr="00A6203D">
        <w:rPr>
          <w:rFonts w:ascii="Arial" w:hAnsi="Arial" w:cs="Arial"/>
          <w:sz w:val="22"/>
          <w:szCs w:val="22"/>
        </w:rPr>
        <w:t>). This may indicate that the choice of initial and subsequent osteoporosis treatment is an important consideration.</w:t>
      </w:r>
    </w:p>
    <w:p w14:paraId="718FB128" w14:textId="77777777" w:rsidR="00121AFE" w:rsidRPr="00A6203D" w:rsidRDefault="00121AFE" w:rsidP="00CE7C7B">
      <w:pPr>
        <w:spacing w:line="276" w:lineRule="auto"/>
        <w:rPr>
          <w:rFonts w:ascii="Arial" w:hAnsi="Arial" w:cs="Arial"/>
          <w:sz w:val="22"/>
          <w:szCs w:val="22"/>
        </w:rPr>
      </w:pPr>
    </w:p>
    <w:p w14:paraId="2580CB0C" w14:textId="1FA755B5"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an overlap study of teriparatide with alendronate added to teriparatide after 9 months, found a greater increase in BMD with overlap compared to teriparatide alone (</w:t>
      </w:r>
      <w:hyperlink r:id="rId203" w:history="1">
        <w:r w:rsidRPr="00A6203D">
          <w:rPr>
            <w:rStyle w:val="Hyperlink"/>
            <w:rFonts w:ascii="Arial" w:hAnsi="Arial" w:cs="Arial"/>
            <w:color w:val="auto"/>
            <w:sz w:val="22"/>
            <w:szCs w:val="22"/>
            <w:u w:val="none"/>
          </w:rPr>
          <w:t>174</w:t>
        </w:r>
      </w:hyperlink>
      <w:r w:rsidRPr="00A6203D">
        <w:rPr>
          <w:rFonts w:ascii="Arial" w:hAnsi="Arial" w:cs="Arial"/>
          <w:sz w:val="22"/>
          <w:szCs w:val="22"/>
        </w:rPr>
        <w:t>). These findings may be due to a “reopening” of the anabolic window described with teriparatide use. Of note, fracture data is not available.</w:t>
      </w:r>
    </w:p>
    <w:p w14:paraId="1882B212" w14:textId="77777777" w:rsidR="00245EA0" w:rsidRPr="00A6203D" w:rsidRDefault="00245EA0" w:rsidP="00CE7C7B">
      <w:pPr>
        <w:spacing w:line="276" w:lineRule="auto"/>
        <w:rPr>
          <w:rFonts w:ascii="Arial" w:hAnsi="Arial" w:cs="Arial"/>
          <w:sz w:val="22"/>
          <w:szCs w:val="22"/>
        </w:rPr>
      </w:pPr>
    </w:p>
    <w:p w14:paraId="58FA4C19" w14:textId="77777777"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Adverse Effects</w:t>
      </w:r>
    </w:p>
    <w:p w14:paraId="0D76A8C2" w14:textId="77777777" w:rsidR="00121AFE" w:rsidRPr="00A6203D" w:rsidRDefault="00121AFE" w:rsidP="00CE7C7B">
      <w:pPr>
        <w:spacing w:line="276" w:lineRule="auto"/>
        <w:rPr>
          <w:rFonts w:ascii="Arial" w:hAnsi="Arial" w:cs="Arial"/>
          <w:sz w:val="22"/>
          <w:szCs w:val="22"/>
        </w:rPr>
      </w:pPr>
    </w:p>
    <w:p w14:paraId="15463287" w14:textId="308C326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In general, teriparatide</w:t>
      </w:r>
      <w:r w:rsidR="00521C82" w:rsidRPr="00A6203D">
        <w:rPr>
          <w:rFonts w:ascii="Arial" w:hAnsi="Arial" w:cs="Arial"/>
          <w:sz w:val="22"/>
          <w:szCs w:val="22"/>
        </w:rPr>
        <w:t xml:space="preserve"> and </w:t>
      </w:r>
      <w:proofErr w:type="spellStart"/>
      <w:r w:rsidR="00521C82" w:rsidRPr="00A6203D">
        <w:rPr>
          <w:rFonts w:ascii="Arial" w:hAnsi="Arial" w:cs="Arial"/>
          <w:sz w:val="22"/>
          <w:szCs w:val="22"/>
        </w:rPr>
        <w:t>abaloparatide</w:t>
      </w:r>
      <w:proofErr w:type="spellEnd"/>
      <w:r w:rsidRPr="00A6203D">
        <w:rPr>
          <w:rFonts w:ascii="Arial" w:hAnsi="Arial" w:cs="Arial"/>
          <w:sz w:val="22"/>
          <w:szCs w:val="22"/>
        </w:rPr>
        <w:t>, injections are well tolerated and have been safely used for a decade (</w:t>
      </w:r>
      <w:hyperlink r:id="rId204" w:history="1">
        <w:r w:rsidRPr="00A6203D">
          <w:rPr>
            <w:rStyle w:val="Hyperlink"/>
            <w:rFonts w:ascii="Arial" w:hAnsi="Arial" w:cs="Arial"/>
            <w:color w:val="auto"/>
            <w:sz w:val="22"/>
            <w:szCs w:val="22"/>
            <w:u w:val="none"/>
          </w:rPr>
          <w:t>175</w:t>
        </w:r>
      </w:hyperlink>
      <w:r w:rsidRPr="00A6203D">
        <w:rPr>
          <w:rFonts w:ascii="Arial" w:hAnsi="Arial" w:cs="Arial"/>
          <w:sz w:val="22"/>
          <w:szCs w:val="22"/>
        </w:rPr>
        <w:t xml:space="preserve">). PTH is cleared from the circulation within four hours of subcutaneous administration. A daily injection is necessary and transient redness at the injection site has been noted. Headache and nausea occur in less than 10% of subjects receiving a daily dose of </w:t>
      </w:r>
      <w:r w:rsidR="00521C82" w:rsidRPr="00A6203D">
        <w:rPr>
          <w:rFonts w:ascii="Arial" w:hAnsi="Arial" w:cs="Arial"/>
          <w:sz w:val="22"/>
          <w:szCs w:val="22"/>
        </w:rPr>
        <w:t xml:space="preserve">teriparatide </w:t>
      </w:r>
      <w:r w:rsidRPr="00A6203D">
        <w:rPr>
          <w:rFonts w:ascii="Arial" w:hAnsi="Arial" w:cs="Arial"/>
          <w:sz w:val="22"/>
          <w:szCs w:val="22"/>
        </w:rPr>
        <w:t xml:space="preserve">20 µg. Mild, early, transient hypercalcemia can occur, but severe hypercalcemia is rare. Prior to starting </w:t>
      </w:r>
      <w:r w:rsidR="00521C82" w:rsidRPr="00A6203D">
        <w:rPr>
          <w:rFonts w:ascii="Arial" w:hAnsi="Arial" w:cs="Arial"/>
          <w:sz w:val="22"/>
          <w:szCs w:val="22"/>
        </w:rPr>
        <w:t>a PTH or PTH-</w:t>
      </w:r>
      <w:proofErr w:type="spellStart"/>
      <w:r w:rsidR="00521C82" w:rsidRPr="00A6203D">
        <w:rPr>
          <w:rFonts w:ascii="Arial" w:hAnsi="Arial" w:cs="Arial"/>
          <w:sz w:val="22"/>
          <w:szCs w:val="22"/>
        </w:rPr>
        <w:t>rp</w:t>
      </w:r>
      <w:proofErr w:type="spellEnd"/>
      <w:r w:rsidR="00521C82" w:rsidRPr="00A6203D">
        <w:rPr>
          <w:rFonts w:ascii="Arial" w:hAnsi="Arial" w:cs="Arial"/>
          <w:sz w:val="22"/>
          <w:szCs w:val="22"/>
        </w:rPr>
        <w:t xml:space="preserve"> analog</w:t>
      </w:r>
      <w:r w:rsidRPr="00A6203D">
        <w:rPr>
          <w:rFonts w:ascii="Arial" w:hAnsi="Arial" w:cs="Arial"/>
          <w:sz w:val="22"/>
          <w:szCs w:val="22"/>
        </w:rPr>
        <w:t xml:space="preserve">, it is suggested to obtain serum calcium, alkaline phosphatase, parathyroid hormone, 25-hydroxyvitamin D, and creatinine levels. Routine monitoring of serum calcium levels while on </w:t>
      </w:r>
      <w:r w:rsidR="00521C82" w:rsidRPr="00A6203D">
        <w:rPr>
          <w:rFonts w:ascii="Arial" w:hAnsi="Arial" w:cs="Arial"/>
          <w:sz w:val="22"/>
          <w:szCs w:val="22"/>
        </w:rPr>
        <w:t>PTH or PTH-</w:t>
      </w:r>
      <w:proofErr w:type="spellStart"/>
      <w:r w:rsidR="00521C82" w:rsidRPr="00A6203D">
        <w:rPr>
          <w:rFonts w:ascii="Arial" w:hAnsi="Arial" w:cs="Arial"/>
          <w:sz w:val="22"/>
          <w:szCs w:val="22"/>
        </w:rPr>
        <w:t>rp</w:t>
      </w:r>
      <w:proofErr w:type="spellEnd"/>
      <w:r w:rsidRPr="00A6203D">
        <w:rPr>
          <w:rFonts w:ascii="Arial" w:hAnsi="Arial" w:cs="Arial"/>
          <w:sz w:val="22"/>
          <w:szCs w:val="22"/>
        </w:rPr>
        <w:t xml:space="preserve"> is not recommended by the manufacturer, though may be considered. Increases in urinary calcium (by 30 mg per day) and </w:t>
      </w:r>
      <w:r w:rsidRPr="00A6203D">
        <w:rPr>
          <w:rFonts w:ascii="Arial" w:hAnsi="Arial" w:cs="Arial"/>
          <w:sz w:val="22"/>
          <w:szCs w:val="22"/>
        </w:rPr>
        <w:lastRenderedPageBreak/>
        <w:t>serum uric acid concentrations (by 13%) are seen but do not appear to have clinical consequences.</w:t>
      </w:r>
    </w:p>
    <w:p w14:paraId="338E1BA1" w14:textId="77777777" w:rsidR="00121AFE" w:rsidRPr="00A6203D" w:rsidRDefault="00121AFE" w:rsidP="00CE7C7B">
      <w:pPr>
        <w:spacing w:line="276" w:lineRule="auto"/>
        <w:rPr>
          <w:rFonts w:ascii="Arial" w:hAnsi="Arial" w:cs="Arial"/>
          <w:sz w:val="22"/>
          <w:szCs w:val="22"/>
        </w:rPr>
      </w:pPr>
    </w:p>
    <w:p w14:paraId="069ECC7E" w14:textId="77777777" w:rsidR="005C368A"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Fisher 344 rats treated with nearly life-long daily teriparatide </w:t>
      </w:r>
      <w:r w:rsidR="00521C82" w:rsidRPr="00A6203D">
        <w:rPr>
          <w:rFonts w:ascii="Arial" w:hAnsi="Arial" w:cs="Arial"/>
          <w:sz w:val="22"/>
          <w:szCs w:val="22"/>
        </w:rPr>
        <w:t xml:space="preserve">or </w:t>
      </w:r>
      <w:proofErr w:type="spellStart"/>
      <w:r w:rsidR="00521C82" w:rsidRPr="00A6203D">
        <w:rPr>
          <w:rFonts w:ascii="Arial" w:hAnsi="Arial" w:cs="Arial"/>
          <w:sz w:val="22"/>
          <w:szCs w:val="22"/>
        </w:rPr>
        <w:t>abaloparatide</w:t>
      </w:r>
      <w:proofErr w:type="spellEnd"/>
      <w:r w:rsidR="00521C82" w:rsidRPr="00A6203D">
        <w:rPr>
          <w:rFonts w:ascii="Arial" w:hAnsi="Arial" w:cs="Arial"/>
          <w:sz w:val="22"/>
          <w:szCs w:val="22"/>
        </w:rPr>
        <w:t xml:space="preserve"> </w:t>
      </w:r>
      <w:r w:rsidRPr="00A6203D">
        <w:rPr>
          <w:rFonts w:ascii="Arial" w:hAnsi="Arial" w:cs="Arial"/>
          <w:sz w:val="22"/>
          <w:szCs w:val="22"/>
        </w:rPr>
        <w:t xml:space="preserve">have an increased risk of osteosarcoma. </w:t>
      </w:r>
      <w:r w:rsidR="00521C82" w:rsidRPr="00A6203D">
        <w:rPr>
          <w:rFonts w:ascii="Arial" w:hAnsi="Arial" w:cs="Arial"/>
          <w:sz w:val="22"/>
          <w:szCs w:val="22"/>
        </w:rPr>
        <w:t>Upon approval of teriparatide in 2002, t</w:t>
      </w:r>
      <w:r w:rsidRPr="00A6203D">
        <w:rPr>
          <w:rFonts w:ascii="Arial" w:hAnsi="Arial" w:cs="Arial"/>
          <w:sz w:val="22"/>
          <w:szCs w:val="22"/>
        </w:rPr>
        <w:t xml:space="preserve">he FDA </w:t>
      </w:r>
      <w:r w:rsidR="00521C82" w:rsidRPr="00A6203D">
        <w:rPr>
          <w:rFonts w:ascii="Arial" w:hAnsi="Arial" w:cs="Arial"/>
          <w:sz w:val="22"/>
          <w:szCs w:val="22"/>
        </w:rPr>
        <w:t xml:space="preserve">placed </w:t>
      </w:r>
      <w:r w:rsidRPr="00A6203D">
        <w:rPr>
          <w:rFonts w:ascii="Arial" w:hAnsi="Arial" w:cs="Arial"/>
          <w:sz w:val="22"/>
          <w:szCs w:val="22"/>
        </w:rPr>
        <w:t xml:space="preserve">a black box warning about osteosarcoma in rodents treated with teriparatide and the manufacturer </w:t>
      </w:r>
      <w:r w:rsidR="00521C82" w:rsidRPr="00A6203D">
        <w:rPr>
          <w:rFonts w:ascii="Arial" w:hAnsi="Arial" w:cs="Arial"/>
          <w:sz w:val="22"/>
          <w:szCs w:val="22"/>
        </w:rPr>
        <w:t xml:space="preserve">has </w:t>
      </w:r>
      <w:r w:rsidRPr="00A6203D">
        <w:rPr>
          <w:rFonts w:ascii="Arial" w:hAnsi="Arial" w:cs="Arial"/>
          <w:sz w:val="22"/>
          <w:szCs w:val="22"/>
        </w:rPr>
        <w:t>warn</w:t>
      </w:r>
      <w:r w:rsidR="00521C82" w:rsidRPr="00A6203D">
        <w:rPr>
          <w:rFonts w:ascii="Arial" w:hAnsi="Arial" w:cs="Arial"/>
          <w:sz w:val="22"/>
          <w:szCs w:val="22"/>
        </w:rPr>
        <w:t>ed</w:t>
      </w:r>
      <w:r w:rsidRPr="00A6203D">
        <w:rPr>
          <w:rFonts w:ascii="Arial" w:hAnsi="Arial" w:cs="Arial"/>
          <w:sz w:val="22"/>
          <w:szCs w:val="22"/>
        </w:rPr>
        <w:t xml:space="preserve"> against using teriparatide in the following settings: Paget's disease or unexplained elevations of alkaline phosphatase, open epiphyses in children or young adults, bone metastases, prior radiation therapy involving the skeleton, metabolic bone disease other than osteoporosis, and hypercalcemia. As summarized by Cipriani et al in 2013, there have been 3 reported cases of osteosarcoma in adults treated with PTH (</w:t>
      </w:r>
      <w:hyperlink r:id="rId205" w:history="1">
        <w:r w:rsidRPr="00A6203D">
          <w:rPr>
            <w:rStyle w:val="Hyperlink"/>
            <w:rFonts w:ascii="Arial" w:hAnsi="Arial" w:cs="Arial"/>
            <w:color w:val="auto"/>
            <w:sz w:val="22"/>
            <w:szCs w:val="22"/>
            <w:u w:val="none"/>
          </w:rPr>
          <w:t>1</w:t>
        </w:r>
      </w:hyperlink>
      <w:r w:rsidRPr="00A6203D">
        <w:rPr>
          <w:rFonts w:ascii="Arial" w:hAnsi="Arial" w:cs="Arial"/>
          <w:sz w:val="22"/>
          <w:szCs w:val="22"/>
        </w:rPr>
        <w:t>-</w:t>
      </w:r>
      <w:hyperlink r:id="rId206" w:history="1">
        <w:r w:rsidRPr="00A6203D">
          <w:rPr>
            <w:rStyle w:val="Hyperlink"/>
            <w:rFonts w:ascii="Arial" w:hAnsi="Arial" w:cs="Arial"/>
            <w:color w:val="auto"/>
            <w:sz w:val="22"/>
            <w:szCs w:val="22"/>
            <w:u w:val="none"/>
          </w:rPr>
          <w:t>34</w:t>
        </w:r>
      </w:hyperlink>
      <w:r w:rsidRPr="00A6203D">
        <w:rPr>
          <w:rFonts w:ascii="Arial" w:hAnsi="Arial" w:cs="Arial"/>
          <w:sz w:val="22"/>
          <w:szCs w:val="22"/>
        </w:rPr>
        <w:t>), which does not appear to be greater than the prevalence of osteosarcoma in the population (</w:t>
      </w:r>
      <w:hyperlink r:id="rId207" w:history="1">
        <w:r w:rsidRPr="00A6203D">
          <w:rPr>
            <w:rStyle w:val="Hyperlink"/>
            <w:rFonts w:ascii="Arial" w:hAnsi="Arial" w:cs="Arial"/>
            <w:color w:val="auto"/>
            <w:sz w:val="22"/>
            <w:szCs w:val="22"/>
            <w:u w:val="none"/>
          </w:rPr>
          <w:t>175</w:t>
        </w:r>
      </w:hyperlink>
      <w:r w:rsidRPr="00A6203D">
        <w:rPr>
          <w:rFonts w:ascii="Arial" w:hAnsi="Arial" w:cs="Arial"/>
          <w:sz w:val="22"/>
          <w:szCs w:val="22"/>
        </w:rPr>
        <w:t>). In the Osteosarcoma Surveillance Study, a 15-year surveillance study with 7 years of follow-up, there has not been evidence of a causal relationship between use of teriparatide and risk of osteosarcoma in humans. Among the 1448 cases of osteosarcoma, no patient in this study had been previously treated with teriparatide (</w:t>
      </w:r>
      <w:hyperlink r:id="rId208" w:history="1">
        <w:r w:rsidRPr="00A6203D">
          <w:rPr>
            <w:rStyle w:val="Hyperlink"/>
            <w:rFonts w:ascii="Arial" w:hAnsi="Arial" w:cs="Arial"/>
            <w:color w:val="auto"/>
            <w:sz w:val="22"/>
            <w:szCs w:val="22"/>
            <w:u w:val="none"/>
          </w:rPr>
          <w:t>176</w:t>
        </w:r>
      </w:hyperlink>
      <w:r w:rsidRPr="00A6203D">
        <w:rPr>
          <w:rFonts w:ascii="Arial" w:hAnsi="Arial" w:cs="Arial"/>
          <w:sz w:val="22"/>
          <w:szCs w:val="22"/>
        </w:rPr>
        <w:t>).</w:t>
      </w:r>
    </w:p>
    <w:p w14:paraId="41ECE8DA" w14:textId="77777777" w:rsidR="00B3685E" w:rsidRPr="00A6203D" w:rsidRDefault="00B3685E" w:rsidP="00CE7C7B">
      <w:pPr>
        <w:spacing w:line="276" w:lineRule="auto"/>
        <w:rPr>
          <w:rFonts w:ascii="Arial" w:hAnsi="Arial" w:cs="Arial"/>
          <w:sz w:val="22"/>
          <w:szCs w:val="22"/>
        </w:rPr>
      </w:pPr>
    </w:p>
    <w:p w14:paraId="2B044600" w14:textId="0D0D1C05" w:rsidR="002E55DF"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 </w:t>
      </w:r>
      <w:r w:rsidR="00521C82" w:rsidRPr="00A6203D">
        <w:rPr>
          <w:rFonts w:ascii="Arial" w:hAnsi="Arial" w:cs="Arial"/>
          <w:sz w:val="22"/>
          <w:szCs w:val="22"/>
        </w:rPr>
        <w:t xml:space="preserve">In 2021, the FDA </w:t>
      </w:r>
      <w:r w:rsidR="00E252E4" w:rsidRPr="00A6203D">
        <w:rPr>
          <w:rFonts w:ascii="Arial" w:hAnsi="Arial" w:cs="Arial"/>
          <w:sz w:val="22"/>
          <w:szCs w:val="22"/>
        </w:rPr>
        <w:t>removed</w:t>
      </w:r>
      <w:r w:rsidR="00521C82" w:rsidRPr="00A6203D">
        <w:rPr>
          <w:rFonts w:ascii="Arial" w:hAnsi="Arial" w:cs="Arial"/>
          <w:sz w:val="22"/>
          <w:szCs w:val="22"/>
        </w:rPr>
        <w:t xml:space="preserve"> the black box warning for teriparatide </w:t>
      </w:r>
      <w:r w:rsidR="002E55DF" w:rsidRPr="00A6203D">
        <w:rPr>
          <w:rFonts w:ascii="Arial" w:hAnsi="Arial" w:cs="Arial"/>
          <w:sz w:val="22"/>
          <w:szCs w:val="22"/>
        </w:rPr>
        <w:t>based on 18 years of post-marketing surveillance using case-finding studies, which ruled out any but a small potential increase in risk of osteosarcoma in humans with the dru</w:t>
      </w:r>
      <w:r w:rsidR="00B3685E" w:rsidRPr="00A6203D">
        <w:rPr>
          <w:rFonts w:ascii="Arial" w:hAnsi="Arial" w:cs="Arial"/>
          <w:sz w:val="22"/>
          <w:szCs w:val="22"/>
        </w:rPr>
        <w:t>g. T</w:t>
      </w:r>
      <w:r w:rsidR="008A3FFF" w:rsidRPr="00A6203D">
        <w:rPr>
          <w:rFonts w:ascii="Arial" w:hAnsi="Arial" w:cs="Arial"/>
          <w:sz w:val="22"/>
          <w:szCs w:val="22"/>
        </w:rPr>
        <w:t xml:space="preserve">he FDA no longer limits </w:t>
      </w:r>
      <w:r w:rsidR="00EB19EC" w:rsidRPr="00A6203D">
        <w:rPr>
          <w:rFonts w:ascii="Arial" w:hAnsi="Arial" w:cs="Arial"/>
          <w:sz w:val="22"/>
          <w:szCs w:val="22"/>
        </w:rPr>
        <w:t xml:space="preserve">the lifetime </w:t>
      </w:r>
      <w:r w:rsidR="008A3FFF" w:rsidRPr="00A6203D">
        <w:rPr>
          <w:rFonts w:ascii="Arial" w:hAnsi="Arial" w:cs="Arial"/>
          <w:sz w:val="22"/>
          <w:szCs w:val="22"/>
        </w:rPr>
        <w:t>use to a total of 2 years</w:t>
      </w:r>
      <w:r w:rsidR="00B3685E" w:rsidRPr="00A6203D">
        <w:rPr>
          <w:rFonts w:ascii="Arial" w:hAnsi="Arial" w:cs="Arial"/>
          <w:sz w:val="22"/>
          <w:szCs w:val="22"/>
        </w:rPr>
        <w:t xml:space="preserve"> and longer use can be considered in patients at high fracture risk</w:t>
      </w:r>
      <w:r w:rsidR="008A3FFF" w:rsidRPr="00A6203D">
        <w:rPr>
          <w:rFonts w:ascii="Arial" w:hAnsi="Arial" w:cs="Arial"/>
          <w:sz w:val="22"/>
          <w:szCs w:val="22"/>
        </w:rPr>
        <w:t>. The black box warning was also removed f</w:t>
      </w:r>
      <w:r w:rsidR="00EB19EC" w:rsidRPr="00A6203D">
        <w:rPr>
          <w:rFonts w:ascii="Arial" w:hAnsi="Arial" w:cs="Arial"/>
          <w:sz w:val="22"/>
          <w:szCs w:val="22"/>
        </w:rPr>
        <w:t>or</w:t>
      </w:r>
      <w:r w:rsidR="008A3FFF" w:rsidRPr="00A6203D">
        <w:rPr>
          <w:rFonts w:ascii="Arial" w:hAnsi="Arial" w:cs="Arial"/>
          <w:sz w:val="22"/>
          <w:szCs w:val="22"/>
        </w:rPr>
        <w:t xml:space="preserve"> </w:t>
      </w:r>
      <w:proofErr w:type="spellStart"/>
      <w:proofErr w:type="gramStart"/>
      <w:r w:rsidR="008A3FFF" w:rsidRPr="00A6203D">
        <w:rPr>
          <w:rFonts w:ascii="Arial" w:hAnsi="Arial" w:cs="Arial"/>
          <w:sz w:val="22"/>
          <w:szCs w:val="22"/>
        </w:rPr>
        <w:t>abaloparatide</w:t>
      </w:r>
      <w:proofErr w:type="spellEnd"/>
      <w:r w:rsidR="008A3FFF" w:rsidRPr="00A6203D">
        <w:rPr>
          <w:rFonts w:ascii="Arial" w:hAnsi="Arial" w:cs="Arial"/>
          <w:sz w:val="22"/>
          <w:szCs w:val="22"/>
        </w:rPr>
        <w:t>,</w:t>
      </w:r>
      <w:proofErr w:type="gramEnd"/>
      <w:r w:rsidR="008A3FFF" w:rsidRPr="00A6203D">
        <w:rPr>
          <w:rFonts w:ascii="Arial" w:hAnsi="Arial" w:cs="Arial"/>
          <w:sz w:val="22"/>
          <w:szCs w:val="22"/>
        </w:rPr>
        <w:t xml:space="preserve"> however, use is limited to 2 years in patient’s lifetime </w:t>
      </w:r>
      <w:r w:rsidR="002E55DF" w:rsidRPr="00A6203D">
        <w:rPr>
          <w:rFonts w:ascii="Arial" w:hAnsi="Arial" w:cs="Arial"/>
          <w:sz w:val="22"/>
          <w:szCs w:val="22"/>
        </w:rPr>
        <w:t>until more data</w:t>
      </w:r>
      <w:r w:rsidR="008A3FFF" w:rsidRPr="00A6203D">
        <w:rPr>
          <w:rFonts w:ascii="Arial" w:hAnsi="Arial" w:cs="Arial"/>
          <w:sz w:val="22"/>
          <w:szCs w:val="22"/>
        </w:rPr>
        <w:t xml:space="preserve"> is available</w:t>
      </w:r>
      <w:r w:rsidR="002E55DF" w:rsidRPr="00A6203D">
        <w:rPr>
          <w:rFonts w:ascii="Arial" w:hAnsi="Arial" w:cs="Arial"/>
          <w:sz w:val="22"/>
          <w:szCs w:val="22"/>
        </w:rPr>
        <w:t>.</w:t>
      </w:r>
      <w:r w:rsidR="002E55DF" w:rsidRPr="00A6203D">
        <w:rPr>
          <w:rFonts w:ascii="Arial" w:hAnsi="Arial" w:cs="Arial"/>
          <w:color w:val="333333"/>
          <w:sz w:val="22"/>
          <w:szCs w:val="22"/>
          <w:shd w:val="clear" w:color="auto" w:fill="FFFFFF"/>
        </w:rPr>
        <w:t xml:space="preserve"> </w:t>
      </w:r>
      <w:r w:rsidR="008A3FFF" w:rsidRPr="00A6203D">
        <w:rPr>
          <w:rFonts w:ascii="Arial" w:hAnsi="Arial" w:cs="Arial"/>
          <w:color w:val="333333"/>
          <w:sz w:val="22"/>
          <w:szCs w:val="22"/>
          <w:shd w:val="clear" w:color="auto" w:fill="FFFFFF"/>
        </w:rPr>
        <w:t xml:space="preserve">Use of </w:t>
      </w:r>
      <w:r w:rsidR="00EB19EC" w:rsidRPr="00A6203D">
        <w:rPr>
          <w:rFonts w:ascii="Arial" w:hAnsi="Arial" w:cs="Arial"/>
          <w:color w:val="333333"/>
          <w:sz w:val="22"/>
          <w:szCs w:val="22"/>
          <w:shd w:val="clear" w:color="auto" w:fill="FFFFFF"/>
        </w:rPr>
        <w:t xml:space="preserve">teriparatide and </w:t>
      </w:r>
      <w:proofErr w:type="spellStart"/>
      <w:r w:rsidR="00EB19EC" w:rsidRPr="00A6203D">
        <w:rPr>
          <w:rFonts w:ascii="Arial" w:hAnsi="Arial" w:cs="Arial"/>
          <w:color w:val="333333"/>
          <w:sz w:val="22"/>
          <w:szCs w:val="22"/>
          <w:shd w:val="clear" w:color="auto" w:fill="FFFFFF"/>
        </w:rPr>
        <w:t>abaloparatide</w:t>
      </w:r>
      <w:proofErr w:type="spellEnd"/>
      <w:r w:rsidR="008A3FFF" w:rsidRPr="00A6203D">
        <w:rPr>
          <w:rFonts w:ascii="Arial" w:hAnsi="Arial" w:cs="Arial"/>
          <w:color w:val="333333"/>
          <w:sz w:val="22"/>
          <w:szCs w:val="22"/>
          <w:shd w:val="clear" w:color="auto" w:fill="FFFFFF"/>
        </w:rPr>
        <w:t xml:space="preserve">, however, should be avoided in patients at risk for osteosarcoma (e.g., younger patients with open epiphyses or those with a history of skeletal malignancies, </w:t>
      </w:r>
      <w:r w:rsidR="00EB19EC" w:rsidRPr="00A6203D">
        <w:rPr>
          <w:rFonts w:ascii="Arial" w:hAnsi="Arial" w:cs="Arial"/>
          <w:color w:val="333333"/>
          <w:sz w:val="22"/>
          <w:szCs w:val="22"/>
          <w:shd w:val="clear" w:color="auto" w:fill="FFFFFF"/>
        </w:rPr>
        <w:t xml:space="preserve">unexplained alkaline phosphatase, </w:t>
      </w:r>
      <w:r w:rsidR="008A3FFF" w:rsidRPr="00A6203D">
        <w:rPr>
          <w:rFonts w:ascii="Arial" w:hAnsi="Arial" w:cs="Arial"/>
          <w:color w:val="333333"/>
          <w:sz w:val="22"/>
          <w:szCs w:val="22"/>
          <w:shd w:val="clear" w:color="auto" w:fill="FFFFFF"/>
        </w:rPr>
        <w:t xml:space="preserve">Paget’s disease of bone or radiation therapy to bone). </w:t>
      </w:r>
    </w:p>
    <w:p w14:paraId="410D178B" w14:textId="5DFE2A77" w:rsidR="005E6870" w:rsidRPr="00A6203D" w:rsidRDefault="005E6870" w:rsidP="00CE7C7B">
      <w:pPr>
        <w:spacing w:line="276" w:lineRule="auto"/>
        <w:rPr>
          <w:rFonts w:ascii="Arial" w:hAnsi="Arial" w:cs="Arial"/>
          <w:sz w:val="22"/>
          <w:szCs w:val="22"/>
        </w:rPr>
      </w:pPr>
    </w:p>
    <w:p w14:paraId="2E4D19AC" w14:textId="77777777"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Off Label Uses</w:t>
      </w:r>
    </w:p>
    <w:p w14:paraId="7C40A30A" w14:textId="77777777" w:rsidR="00121AFE" w:rsidRPr="00A6203D" w:rsidRDefault="00121AFE" w:rsidP="00CE7C7B">
      <w:pPr>
        <w:spacing w:line="276" w:lineRule="auto"/>
        <w:rPr>
          <w:rFonts w:ascii="Arial" w:hAnsi="Arial" w:cs="Arial"/>
          <w:sz w:val="22"/>
          <w:szCs w:val="22"/>
        </w:rPr>
      </w:pPr>
    </w:p>
    <w:p w14:paraId="5EDE9DB8" w14:textId="4630ABE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Teriparatide has been used off-label for numerous reasons, including improvement of bone healing with atypical femur fractures, and for treatment of vertebral fracture pain and fracture healing. More clinical data is needed in these areas. A systemic review of </w:t>
      </w:r>
      <w:r w:rsidR="002A1867" w:rsidRPr="00A6203D">
        <w:rPr>
          <w:rFonts w:ascii="Arial" w:hAnsi="Arial" w:cs="Arial"/>
          <w:sz w:val="22"/>
          <w:szCs w:val="22"/>
        </w:rPr>
        <w:t>t</w:t>
      </w:r>
      <w:r w:rsidRPr="00A6203D">
        <w:rPr>
          <w:rFonts w:ascii="Arial" w:hAnsi="Arial" w:cs="Arial"/>
          <w:sz w:val="22"/>
          <w:szCs w:val="22"/>
        </w:rPr>
        <w:t>eriparatide use for healing of bisphosphonate-related AFF found anecdotal evidence of beneficial effects on fracture healing, noting the need for prospective data (</w:t>
      </w:r>
      <w:hyperlink r:id="rId209" w:history="1">
        <w:r w:rsidRPr="00A6203D">
          <w:rPr>
            <w:rStyle w:val="Hyperlink"/>
            <w:rFonts w:ascii="Arial" w:hAnsi="Arial" w:cs="Arial"/>
            <w:color w:val="auto"/>
            <w:sz w:val="22"/>
            <w:szCs w:val="22"/>
            <w:u w:val="none"/>
          </w:rPr>
          <w:t>124</w:t>
        </w:r>
      </w:hyperlink>
      <w:r w:rsidRPr="00A6203D">
        <w:rPr>
          <w:rFonts w:ascii="Arial" w:hAnsi="Arial" w:cs="Arial"/>
          <w:sz w:val="22"/>
          <w:szCs w:val="22"/>
        </w:rPr>
        <w:t xml:space="preserve">). In a small study of 34 patients with acute vertebral fractures given </w:t>
      </w:r>
      <w:r w:rsidR="002A1867" w:rsidRPr="00A6203D">
        <w:rPr>
          <w:rFonts w:ascii="Arial" w:hAnsi="Arial" w:cs="Arial"/>
          <w:sz w:val="22"/>
          <w:szCs w:val="22"/>
        </w:rPr>
        <w:t>t</w:t>
      </w:r>
      <w:r w:rsidRPr="00A6203D">
        <w:rPr>
          <w:rFonts w:ascii="Arial" w:hAnsi="Arial" w:cs="Arial"/>
          <w:sz w:val="22"/>
          <w:szCs w:val="22"/>
        </w:rPr>
        <w:t>eriparatide vs. risedronate, those who received Teriparatide had lower rates of vertebral collapse, though had no significant difference in back pain scores (</w:t>
      </w:r>
      <w:hyperlink r:id="rId210" w:history="1">
        <w:r w:rsidRPr="00A6203D">
          <w:rPr>
            <w:rStyle w:val="Hyperlink"/>
            <w:rFonts w:ascii="Arial" w:hAnsi="Arial" w:cs="Arial"/>
            <w:color w:val="auto"/>
            <w:sz w:val="22"/>
            <w:szCs w:val="22"/>
            <w:u w:val="none"/>
          </w:rPr>
          <w:t>177</w:t>
        </w:r>
      </w:hyperlink>
      <w:r w:rsidRPr="00A6203D">
        <w:rPr>
          <w:rFonts w:ascii="Arial" w:hAnsi="Arial" w:cs="Arial"/>
          <w:sz w:val="22"/>
          <w:szCs w:val="22"/>
        </w:rPr>
        <w:t>).</w:t>
      </w:r>
    </w:p>
    <w:p w14:paraId="11DE3936" w14:textId="77777777" w:rsidR="002A1867" w:rsidRPr="00A6203D" w:rsidRDefault="002A1867" w:rsidP="00CE7C7B">
      <w:pPr>
        <w:spacing w:line="276" w:lineRule="auto"/>
        <w:rPr>
          <w:rFonts w:ascii="Arial" w:hAnsi="Arial" w:cs="Arial"/>
          <w:b/>
          <w:bCs/>
          <w:color w:val="00B050"/>
          <w:sz w:val="22"/>
          <w:szCs w:val="22"/>
        </w:rPr>
      </w:pPr>
    </w:p>
    <w:p w14:paraId="1D558B90" w14:textId="4AE6C346" w:rsidR="005E6870" w:rsidRPr="00A6203D" w:rsidRDefault="005E6870"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Drug Administration</w:t>
      </w:r>
    </w:p>
    <w:p w14:paraId="7B36B7EA" w14:textId="77777777" w:rsidR="00121AFE" w:rsidRPr="00A6203D" w:rsidRDefault="00121AFE" w:rsidP="00CE7C7B">
      <w:pPr>
        <w:spacing w:line="276" w:lineRule="auto"/>
        <w:rPr>
          <w:rFonts w:ascii="Arial" w:hAnsi="Arial" w:cs="Arial"/>
          <w:sz w:val="22"/>
          <w:szCs w:val="22"/>
        </w:rPr>
      </w:pPr>
    </w:p>
    <w:p w14:paraId="75D7E67B" w14:textId="543F9F39"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 xml:space="preserve">Teriparatide is supplied in a disposable pen device for subcutaneous injection into the thigh or abdomen. </w:t>
      </w:r>
      <w:r w:rsidR="007A5924" w:rsidRPr="00A6203D">
        <w:rPr>
          <w:rFonts w:ascii="Arial" w:hAnsi="Arial" w:cs="Arial"/>
          <w:sz w:val="22"/>
          <w:szCs w:val="22"/>
        </w:rPr>
        <w:t xml:space="preserve">The pen requires </w:t>
      </w:r>
      <w:r w:rsidR="00730AB7" w:rsidRPr="00A6203D">
        <w:rPr>
          <w:rFonts w:ascii="Arial" w:hAnsi="Arial" w:cs="Arial"/>
          <w:sz w:val="22"/>
          <w:szCs w:val="22"/>
        </w:rPr>
        <w:t>refrigeration</w:t>
      </w:r>
      <w:r w:rsidR="007A5924" w:rsidRPr="00A6203D">
        <w:rPr>
          <w:rFonts w:ascii="Arial" w:hAnsi="Arial" w:cs="Arial"/>
          <w:sz w:val="22"/>
          <w:szCs w:val="22"/>
        </w:rPr>
        <w:t xml:space="preserve"> between uses. </w:t>
      </w:r>
      <w:r w:rsidRPr="00A6203D">
        <w:rPr>
          <w:rFonts w:ascii="Arial" w:hAnsi="Arial" w:cs="Arial"/>
          <w:sz w:val="22"/>
          <w:szCs w:val="22"/>
        </w:rPr>
        <w:t>The recommended dosage is 20 µg once a day for two years</w:t>
      </w:r>
      <w:r w:rsidR="007A5924" w:rsidRPr="00A6203D">
        <w:rPr>
          <w:rFonts w:ascii="Arial" w:hAnsi="Arial" w:cs="Arial"/>
          <w:sz w:val="22"/>
          <w:szCs w:val="22"/>
        </w:rPr>
        <w:t>, though it</w:t>
      </w:r>
      <w:r w:rsidR="002A1867" w:rsidRPr="00A6203D">
        <w:rPr>
          <w:rFonts w:ascii="Arial" w:hAnsi="Arial" w:cs="Arial"/>
          <w:sz w:val="22"/>
          <w:szCs w:val="22"/>
        </w:rPr>
        <w:t>s</w:t>
      </w:r>
      <w:r w:rsidR="007A5924" w:rsidRPr="00A6203D">
        <w:rPr>
          <w:rFonts w:ascii="Arial" w:hAnsi="Arial" w:cs="Arial"/>
          <w:sz w:val="22"/>
          <w:szCs w:val="22"/>
        </w:rPr>
        <w:t xml:space="preserve"> lifetime use may be extended beyond this in certain clinical situations</w:t>
      </w:r>
      <w:r w:rsidR="00E252E4" w:rsidRPr="00A6203D">
        <w:rPr>
          <w:rFonts w:ascii="Arial" w:hAnsi="Arial" w:cs="Arial"/>
          <w:sz w:val="22"/>
          <w:szCs w:val="22"/>
        </w:rPr>
        <w:t xml:space="preserve"> (such as if a patient remains at or returns to a high risk of fracture)</w:t>
      </w:r>
      <w:r w:rsidRPr="00A6203D">
        <w:rPr>
          <w:rFonts w:ascii="Arial" w:hAnsi="Arial" w:cs="Arial"/>
          <w:sz w:val="22"/>
          <w:szCs w:val="22"/>
        </w:rPr>
        <w:t xml:space="preserve">. </w:t>
      </w:r>
      <w:proofErr w:type="spellStart"/>
      <w:r w:rsidR="007A5924" w:rsidRPr="00A6203D">
        <w:rPr>
          <w:rFonts w:ascii="Arial" w:hAnsi="Arial" w:cs="Arial"/>
          <w:sz w:val="22"/>
          <w:szCs w:val="22"/>
        </w:rPr>
        <w:t>Abaloparatide</w:t>
      </w:r>
      <w:proofErr w:type="spellEnd"/>
      <w:r w:rsidR="007A5924" w:rsidRPr="00A6203D">
        <w:rPr>
          <w:rFonts w:ascii="Arial" w:hAnsi="Arial" w:cs="Arial"/>
          <w:sz w:val="22"/>
          <w:szCs w:val="22"/>
        </w:rPr>
        <w:t xml:space="preserve"> is also supplied in a disposable pen device for subcutaneous injection into the thigh or abdomen, </w:t>
      </w:r>
      <w:r w:rsidR="007A5924" w:rsidRPr="00A6203D">
        <w:rPr>
          <w:rFonts w:ascii="Arial" w:hAnsi="Arial" w:cs="Arial"/>
          <w:sz w:val="22"/>
          <w:szCs w:val="22"/>
        </w:rPr>
        <w:lastRenderedPageBreak/>
        <w:t>and can be stored at room temperature after first use for up to 30 days. The recommendation dosage is 80 µg</w:t>
      </w:r>
      <w:r w:rsidR="007A5924" w:rsidRPr="00A6203D" w:rsidDel="007A5924">
        <w:rPr>
          <w:rFonts w:ascii="Arial" w:hAnsi="Arial" w:cs="Arial"/>
          <w:sz w:val="22"/>
          <w:szCs w:val="22"/>
        </w:rPr>
        <w:t xml:space="preserve"> </w:t>
      </w:r>
      <w:r w:rsidR="007A5924" w:rsidRPr="00A6203D">
        <w:rPr>
          <w:rFonts w:ascii="Arial" w:hAnsi="Arial" w:cs="Arial"/>
          <w:sz w:val="22"/>
          <w:szCs w:val="22"/>
        </w:rPr>
        <w:t xml:space="preserve">once daily for no more than two years. </w:t>
      </w:r>
    </w:p>
    <w:p w14:paraId="7C1E140B" w14:textId="77777777" w:rsidR="007A5924" w:rsidRPr="00A6203D" w:rsidRDefault="007A5924" w:rsidP="00CE7C7B">
      <w:pPr>
        <w:spacing w:line="276" w:lineRule="auto"/>
        <w:rPr>
          <w:rFonts w:ascii="Arial" w:hAnsi="Arial" w:cs="Arial"/>
          <w:sz w:val="22"/>
          <w:szCs w:val="22"/>
        </w:rPr>
      </w:pPr>
    </w:p>
    <w:p w14:paraId="5DB16E06" w14:textId="7A21B660" w:rsidR="00CE2DFB" w:rsidRPr="00A6203D" w:rsidRDefault="00CE2DFB"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ROMOSOZUMAB</w:t>
      </w:r>
    </w:p>
    <w:p w14:paraId="7A5E6BDF" w14:textId="135D328A" w:rsidR="00CE2DFB" w:rsidRPr="00A6203D" w:rsidRDefault="00CE2DFB" w:rsidP="00CE7C7B">
      <w:pPr>
        <w:spacing w:line="276" w:lineRule="auto"/>
        <w:rPr>
          <w:rFonts w:ascii="Arial" w:hAnsi="Arial" w:cs="Arial"/>
          <w:b/>
          <w:bCs/>
          <w:sz w:val="22"/>
          <w:szCs w:val="22"/>
        </w:rPr>
      </w:pPr>
    </w:p>
    <w:p w14:paraId="583D6E57" w14:textId="19C2CFA2" w:rsidR="008D67E3" w:rsidRPr="00A6203D" w:rsidRDefault="00E252E4" w:rsidP="00CE7C7B">
      <w:pPr>
        <w:spacing w:line="276" w:lineRule="auto"/>
        <w:rPr>
          <w:rFonts w:ascii="Arial" w:hAnsi="Arial" w:cs="Arial"/>
          <w:sz w:val="22"/>
          <w:szCs w:val="22"/>
        </w:rPr>
      </w:pPr>
      <w:proofErr w:type="spellStart"/>
      <w:r w:rsidRPr="00A6203D">
        <w:rPr>
          <w:rFonts w:ascii="Arial" w:hAnsi="Arial" w:cs="Arial"/>
          <w:sz w:val="22"/>
          <w:szCs w:val="22"/>
        </w:rPr>
        <w:t>Romosozumab</w:t>
      </w:r>
      <w:proofErr w:type="spellEnd"/>
      <w:r w:rsidRPr="00A6203D">
        <w:rPr>
          <w:rFonts w:ascii="Arial" w:hAnsi="Arial" w:cs="Arial"/>
          <w:sz w:val="22"/>
          <w:szCs w:val="22"/>
        </w:rPr>
        <w:t xml:space="preserve"> is a monoclonal antibody to </w:t>
      </w:r>
      <w:r w:rsidR="00136DB6" w:rsidRPr="00A6203D">
        <w:rPr>
          <w:rFonts w:ascii="Arial" w:hAnsi="Arial" w:cs="Arial"/>
          <w:sz w:val="22"/>
          <w:szCs w:val="22"/>
        </w:rPr>
        <w:t>sclerostin, a potent inhibitor of osteoblast differentiation and bone formation</w:t>
      </w:r>
      <w:r w:rsidR="0039155E" w:rsidRPr="00A6203D">
        <w:rPr>
          <w:rFonts w:ascii="Arial" w:hAnsi="Arial" w:cs="Arial"/>
          <w:sz w:val="22"/>
          <w:szCs w:val="22"/>
        </w:rPr>
        <w:t xml:space="preserve"> by way of </w:t>
      </w:r>
      <w:proofErr w:type="spellStart"/>
      <w:r w:rsidR="0039155E" w:rsidRPr="00A6203D">
        <w:rPr>
          <w:rFonts w:ascii="Arial" w:hAnsi="Arial" w:cs="Arial"/>
          <w:sz w:val="22"/>
          <w:szCs w:val="22"/>
        </w:rPr>
        <w:t>Wnt</w:t>
      </w:r>
      <w:proofErr w:type="spellEnd"/>
      <w:r w:rsidR="0039155E" w:rsidRPr="00A6203D">
        <w:rPr>
          <w:rFonts w:ascii="Arial" w:hAnsi="Arial" w:cs="Arial"/>
          <w:sz w:val="22"/>
          <w:szCs w:val="22"/>
        </w:rPr>
        <w:t xml:space="preserve"> signaling inhibition</w:t>
      </w:r>
      <w:r w:rsidR="00136DB6" w:rsidRPr="00A6203D">
        <w:rPr>
          <w:rFonts w:ascii="Arial" w:hAnsi="Arial" w:cs="Arial"/>
          <w:sz w:val="22"/>
          <w:szCs w:val="22"/>
        </w:rPr>
        <w:t>.  Animal studies</w:t>
      </w:r>
      <w:r w:rsidR="00A55117" w:rsidRPr="00A6203D">
        <w:rPr>
          <w:rFonts w:ascii="Arial" w:hAnsi="Arial" w:cs="Arial"/>
          <w:sz w:val="22"/>
          <w:szCs w:val="22"/>
        </w:rPr>
        <w:t xml:space="preserve"> show that</w:t>
      </w:r>
      <w:r w:rsidR="00136DB6" w:rsidRPr="00A6203D">
        <w:rPr>
          <w:rFonts w:ascii="Arial" w:hAnsi="Arial" w:cs="Arial"/>
          <w:sz w:val="22"/>
          <w:szCs w:val="22"/>
        </w:rPr>
        <w:t xml:space="preserve"> block</w:t>
      </w:r>
      <w:r w:rsidR="000830DF" w:rsidRPr="00A6203D">
        <w:rPr>
          <w:rFonts w:ascii="Arial" w:hAnsi="Arial" w:cs="Arial"/>
          <w:sz w:val="22"/>
          <w:szCs w:val="22"/>
        </w:rPr>
        <w:t>ing</w:t>
      </w:r>
      <w:r w:rsidR="00136DB6" w:rsidRPr="00A6203D">
        <w:rPr>
          <w:rFonts w:ascii="Arial" w:hAnsi="Arial" w:cs="Arial"/>
          <w:sz w:val="22"/>
          <w:szCs w:val="22"/>
        </w:rPr>
        <w:t xml:space="preserve"> the effect of </w:t>
      </w:r>
      <w:proofErr w:type="spellStart"/>
      <w:r w:rsidR="00136DB6" w:rsidRPr="00A6203D">
        <w:rPr>
          <w:rFonts w:ascii="Arial" w:hAnsi="Arial" w:cs="Arial"/>
          <w:sz w:val="22"/>
          <w:szCs w:val="22"/>
        </w:rPr>
        <w:t>sclerosin</w:t>
      </w:r>
      <w:proofErr w:type="spellEnd"/>
      <w:r w:rsidR="00136DB6" w:rsidRPr="00A6203D">
        <w:rPr>
          <w:rFonts w:ascii="Arial" w:hAnsi="Arial" w:cs="Arial"/>
          <w:sz w:val="22"/>
          <w:szCs w:val="22"/>
        </w:rPr>
        <w:t xml:space="preserve"> </w:t>
      </w:r>
      <w:r w:rsidR="00A55117" w:rsidRPr="00A6203D">
        <w:rPr>
          <w:rFonts w:ascii="Arial" w:hAnsi="Arial" w:cs="Arial"/>
          <w:sz w:val="22"/>
          <w:szCs w:val="22"/>
        </w:rPr>
        <w:t>was</w:t>
      </w:r>
      <w:r w:rsidR="00136DB6" w:rsidRPr="00A6203D">
        <w:rPr>
          <w:rFonts w:ascii="Arial" w:hAnsi="Arial" w:cs="Arial"/>
          <w:sz w:val="22"/>
          <w:szCs w:val="22"/>
        </w:rPr>
        <w:t xml:space="preserve"> associated with large increases in bone mas</w:t>
      </w:r>
      <w:r w:rsidR="00730AB7" w:rsidRPr="00A6203D">
        <w:rPr>
          <w:rFonts w:ascii="Arial" w:hAnsi="Arial" w:cs="Arial"/>
          <w:sz w:val="22"/>
          <w:szCs w:val="22"/>
        </w:rPr>
        <w:t>s.</w:t>
      </w:r>
      <w:r w:rsidR="00136DB6" w:rsidRPr="00A6203D">
        <w:rPr>
          <w:rFonts w:ascii="Arial" w:hAnsi="Arial" w:cs="Arial"/>
          <w:sz w:val="22"/>
          <w:szCs w:val="22"/>
        </w:rPr>
        <w:t xml:space="preserve"> In phase II trials, </w:t>
      </w:r>
      <w:proofErr w:type="spellStart"/>
      <w:r w:rsidR="00136DB6" w:rsidRPr="00A6203D">
        <w:rPr>
          <w:rFonts w:ascii="Arial" w:hAnsi="Arial" w:cs="Arial"/>
          <w:sz w:val="22"/>
          <w:szCs w:val="22"/>
        </w:rPr>
        <w:t>romosozumab</w:t>
      </w:r>
      <w:proofErr w:type="spellEnd"/>
      <w:r w:rsidR="00136DB6" w:rsidRPr="00A6203D">
        <w:rPr>
          <w:rFonts w:ascii="Arial" w:hAnsi="Arial" w:cs="Arial"/>
          <w:sz w:val="22"/>
          <w:szCs w:val="22"/>
        </w:rPr>
        <w:t xml:space="preserve"> administration shows increased BMD at the spine of 11.3%, as well as increased bone formation and decreased bone resorption (</w:t>
      </w:r>
      <w:r w:rsidR="00A614BB">
        <w:rPr>
          <w:rFonts w:ascii="Arial" w:hAnsi="Arial" w:cs="Arial"/>
          <w:sz w:val="22"/>
          <w:szCs w:val="22"/>
        </w:rPr>
        <w:t>193</w:t>
      </w:r>
      <w:r w:rsidR="00136DB6" w:rsidRPr="00A6203D">
        <w:rPr>
          <w:rFonts w:ascii="Arial" w:hAnsi="Arial" w:cs="Arial"/>
          <w:sz w:val="22"/>
          <w:szCs w:val="22"/>
        </w:rPr>
        <w:t xml:space="preserve">). </w:t>
      </w:r>
      <w:r w:rsidR="00764E68" w:rsidRPr="00A6203D">
        <w:rPr>
          <w:rFonts w:ascii="Arial" w:hAnsi="Arial" w:cs="Arial"/>
          <w:sz w:val="22"/>
          <w:szCs w:val="22"/>
        </w:rPr>
        <w:t xml:space="preserve">A dual effect of </w:t>
      </w:r>
      <w:r w:rsidR="00AC785F" w:rsidRPr="00A6203D">
        <w:rPr>
          <w:rFonts w:ascii="Arial" w:hAnsi="Arial" w:cs="Arial"/>
          <w:sz w:val="22"/>
          <w:szCs w:val="22"/>
        </w:rPr>
        <w:t xml:space="preserve">transiently </w:t>
      </w:r>
      <w:r w:rsidR="00764E68" w:rsidRPr="00A6203D">
        <w:rPr>
          <w:rFonts w:ascii="Arial" w:hAnsi="Arial" w:cs="Arial"/>
          <w:sz w:val="22"/>
          <w:szCs w:val="22"/>
        </w:rPr>
        <w:t>increasing markers of bone formation (P1N</w:t>
      </w:r>
      <w:r w:rsidR="00AC785F" w:rsidRPr="00A6203D">
        <w:rPr>
          <w:rFonts w:ascii="Arial" w:hAnsi="Arial" w:cs="Arial"/>
          <w:sz w:val="22"/>
          <w:szCs w:val="22"/>
        </w:rPr>
        <w:t>P</w:t>
      </w:r>
      <w:r w:rsidR="00764E68" w:rsidRPr="00A6203D">
        <w:rPr>
          <w:rFonts w:ascii="Arial" w:hAnsi="Arial" w:cs="Arial"/>
          <w:sz w:val="22"/>
          <w:szCs w:val="22"/>
        </w:rPr>
        <w:t xml:space="preserve">) while </w:t>
      </w:r>
      <w:r w:rsidR="00730AB7" w:rsidRPr="00A6203D">
        <w:rPr>
          <w:rFonts w:ascii="Arial" w:hAnsi="Arial" w:cs="Arial"/>
          <w:sz w:val="22"/>
          <w:szCs w:val="22"/>
        </w:rPr>
        <w:t>simultaneously</w:t>
      </w:r>
      <w:r w:rsidR="00764E68" w:rsidRPr="00A6203D">
        <w:rPr>
          <w:rFonts w:ascii="Arial" w:hAnsi="Arial" w:cs="Arial"/>
          <w:sz w:val="22"/>
          <w:szCs w:val="22"/>
        </w:rPr>
        <w:t xml:space="preserve"> lowe</w:t>
      </w:r>
      <w:r w:rsidR="00AC785F" w:rsidRPr="00A6203D">
        <w:rPr>
          <w:rFonts w:ascii="Arial" w:hAnsi="Arial" w:cs="Arial"/>
          <w:sz w:val="22"/>
          <w:szCs w:val="22"/>
        </w:rPr>
        <w:t>r</w:t>
      </w:r>
      <w:r w:rsidR="00764E68" w:rsidRPr="00A6203D">
        <w:rPr>
          <w:rFonts w:ascii="Arial" w:hAnsi="Arial" w:cs="Arial"/>
          <w:sz w:val="22"/>
          <w:szCs w:val="22"/>
        </w:rPr>
        <w:t>ing marker of bon</w:t>
      </w:r>
      <w:r w:rsidR="00AC785F" w:rsidRPr="00A6203D">
        <w:rPr>
          <w:rFonts w:ascii="Arial" w:hAnsi="Arial" w:cs="Arial"/>
          <w:sz w:val="22"/>
          <w:szCs w:val="22"/>
        </w:rPr>
        <w:t>e</w:t>
      </w:r>
      <w:r w:rsidR="00764E68" w:rsidRPr="00A6203D">
        <w:rPr>
          <w:rFonts w:ascii="Arial" w:hAnsi="Arial" w:cs="Arial"/>
          <w:sz w:val="22"/>
          <w:szCs w:val="22"/>
        </w:rPr>
        <w:t xml:space="preserve"> resorption </w:t>
      </w:r>
      <w:r w:rsidR="00AC785F" w:rsidRPr="00A6203D">
        <w:rPr>
          <w:rFonts w:ascii="Arial" w:hAnsi="Arial" w:cs="Arial"/>
          <w:sz w:val="22"/>
          <w:szCs w:val="22"/>
        </w:rPr>
        <w:t xml:space="preserve">(CTX) </w:t>
      </w:r>
      <w:r w:rsidR="00764E68" w:rsidRPr="00A6203D">
        <w:rPr>
          <w:rFonts w:ascii="Arial" w:hAnsi="Arial" w:cs="Arial"/>
          <w:sz w:val="22"/>
          <w:szCs w:val="22"/>
        </w:rPr>
        <w:t xml:space="preserve">was also </w:t>
      </w:r>
      <w:r w:rsidR="00AC785F" w:rsidRPr="00A6203D">
        <w:rPr>
          <w:rFonts w:ascii="Arial" w:hAnsi="Arial" w:cs="Arial"/>
          <w:sz w:val="22"/>
          <w:szCs w:val="22"/>
        </w:rPr>
        <w:t>demonstrated in the phase II trial.</w:t>
      </w:r>
    </w:p>
    <w:p w14:paraId="030511F1" w14:textId="77777777" w:rsidR="008D67E3" w:rsidRPr="00A6203D" w:rsidRDefault="008D67E3" w:rsidP="00CE7C7B">
      <w:pPr>
        <w:spacing w:line="276" w:lineRule="auto"/>
        <w:rPr>
          <w:rFonts w:ascii="Arial" w:hAnsi="Arial" w:cs="Arial"/>
          <w:b/>
          <w:bCs/>
          <w:sz w:val="22"/>
          <w:szCs w:val="22"/>
        </w:rPr>
      </w:pPr>
    </w:p>
    <w:p w14:paraId="50AD00FE" w14:textId="4CB7D6C2" w:rsidR="008D67E3" w:rsidRPr="00A6203D" w:rsidRDefault="008D67E3"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 xml:space="preserve">Fracture </w:t>
      </w:r>
      <w:r w:rsidR="00121AFE" w:rsidRPr="00A6203D">
        <w:rPr>
          <w:rFonts w:ascii="Arial" w:hAnsi="Arial" w:cs="Arial"/>
          <w:b/>
          <w:bCs/>
          <w:color w:val="00B050"/>
          <w:sz w:val="22"/>
          <w:szCs w:val="22"/>
        </w:rPr>
        <w:t>D</w:t>
      </w:r>
      <w:r w:rsidRPr="00A6203D">
        <w:rPr>
          <w:rFonts w:ascii="Arial" w:hAnsi="Arial" w:cs="Arial"/>
          <w:b/>
          <w:bCs/>
          <w:color w:val="00B050"/>
          <w:sz w:val="22"/>
          <w:szCs w:val="22"/>
        </w:rPr>
        <w:t>ata</w:t>
      </w:r>
    </w:p>
    <w:p w14:paraId="5C53EF0D" w14:textId="77777777" w:rsidR="00121AFE" w:rsidRPr="00A6203D" w:rsidRDefault="00121AFE" w:rsidP="00CE7C7B">
      <w:pPr>
        <w:spacing w:line="276" w:lineRule="auto"/>
        <w:rPr>
          <w:rFonts w:ascii="Arial" w:hAnsi="Arial" w:cs="Arial"/>
          <w:sz w:val="22"/>
          <w:szCs w:val="22"/>
        </w:rPr>
      </w:pPr>
    </w:p>
    <w:p w14:paraId="7D2B110C" w14:textId="7343577C" w:rsidR="00467840" w:rsidRPr="00A6203D" w:rsidRDefault="00136DB6" w:rsidP="00CE7C7B">
      <w:pPr>
        <w:spacing w:line="276" w:lineRule="auto"/>
        <w:rPr>
          <w:rFonts w:ascii="Arial" w:hAnsi="Arial" w:cs="Arial"/>
          <w:sz w:val="22"/>
          <w:szCs w:val="22"/>
        </w:rPr>
      </w:pPr>
      <w:r w:rsidRPr="00A6203D">
        <w:rPr>
          <w:rFonts w:ascii="Arial" w:hAnsi="Arial" w:cs="Arial"/>
          <w:sz w:val="22"/>
          <w:szCs w:val="22"/>
        </w:rPr>
        <w:t>In its pivotal phase III trial (</w:t>
      </w:r>
      <w:r w:rsidR="003036C8" w:rsidRPr="00A6203D">
        <w:rPr>
          <w:rFonts w:ascii="Arial" w:hAnsi="Arial" w:cs="Arial"/>
          <w:sz w:val="22"/>
          <w:szCs w:val="22"/>
        </w:rPr>
        <w:t>20</w:t>
      </w:r>
      <w:r w:rsidR="00A614BB">
        <w:rPr>
          <w:rFonts w:ascii="Arial" w:hAnsi="Arial" w:cs="Arial"/>
          <w:sz w:val="22"/>
          <w:szCs w:val="22"/>
        </w:rPr>
        <w:t>3</w:t>
      </w:r>
      <w:r w:rsidRPr="00A6203D">
        <w:rPr>
          <w:rFonts w:ascii="Arial" w:hAnsi="Arial" w:cs="Arial"/>
          <w:sz w:val="22"/>
          <w:szCs w:val="22"/>
        </w:rPr>
        <w:t>)</w:t>
      </w:r>
      <w:r w:rsidR="0039155E" w:rsidRPr="00A6203D">
        <w:rPr>
          <w:rFonts w:ascii="Arial" w:hAnsi="Arial" w:cs="Arial"/>
          <w:sz w:val="22"/>
          <w:szCs w:val="22"/>
        </w:rPr>
        <w:t xml:space="preserve"> of 7180 women with osteoporosis</w:t>
      </w:r>
      <w:r w:rsidRPr="00A6203D">
        <w:rPr>
          <w:rFonts w:ascii="Arial" w:hAnsi="Arial" w:cs="Arial"/>
          <w:sz w:val="22"/>
          <w:szCs w:val="22"/>
        </w:rPr>
        <w:t xml:space="preserve">, </w:t>
      </w:r>
      <w:proofErr w:type="spellStart"/>
      <w:r w:rsidRPr="00A6203D">
        <w:rPr>
          <w:rFonts w:ascii="Arial" w:hAnsi="Arial" w:cs="Arial"/>
          <w:sz w:val="22"/>
          <w:szCs w:val="22"/>
        </w:rPr>
        <w:t>romosozumab</w:t>
      </w:r>
      <w:proofErr w:type="spellEnd"/>
      <w:r w:rsidRPr="00A6203D">
        <w:rPr>
          <w:rFonts w:ascii="Arial" w:hAnsi="Arial" w:cs="Arial"/>
          <w:sz w:val="22"/>
          <w:szCs w:val="22"/>
        </w:rPr>
        <w:t xml:space="preserve"> reduced incidence of vertebral fractures compared to placebo by 73% at 12 months, and 75% at 24-months after </w:t>
      </w:r>
      <w:r w:rsidR="00730AB7" w:rsidRPr="00A6203D">
        <w:rPr>
          <w:rFonts w:ascii="Arial" w:hAnsi="Arial" w:cs="Arial"/>
          <w:sz w:val="22"/>
          <w:szCs w:val="22"/>
        </w:rPr>
        <w:t>transition</w:t>
      </w:r>
      <w:r w:rsidRPr="00A6203D">
        <w:rPr>
          <w:rFonts w:ascii="Arial" w:hAnsi="Arial" w:cs="Arial"/>
          <w:sz w:val="22"/>
          <w:szCs w:val="22"/>
        </w:rPr>
        <w:t xml:space="preserve"> to </w:t>
      </w:r>
      <w:r w:rsidR="0039155E" w:rsidRPr="00A6203D">
        <w:rPr>
          <w:rFonts w:ascii="Arial" w:hAnsi="Arial" w:cs="Arial"/>
          <w:sz w:val="22"/>
          <w:szCs w:val="22"/>
        </w:rPr>
        <w:t>denosumab</w:t>
      </w:r>
      <w:r w:rsidRPr="00A6203D">
        <w:rPr>
          <w:rFonts w:ascii="Arial" w:hAnsi="Arial" w:cs="Arial"/>
          <w:sz w:val="22"/>
          <w:szCs w:val="22"/>
        </w:rPr>
        <w:t xml:space="preserve"> at 12 months. Non-vertebral fracture reduction was not demonstrated. In </w:t>
      </w:r>
      <w:r w:rsidR="0039155E" w:rsidRPr="00A6203D">
        <w:rPr>
          <w:rFonts w:ascii="Arial" w:hAnsi="Arial" w:cs="Arial"/>
          <w:sz w:val="22"/>
          <w:szCs w:val="22"/>
        </w:rPr>
        <w:t>the ARCH trial (</w:t>
      </w:r>
      <w:r w:rsidR="00503A97" w:rsidRPr="00A6203D">
        <w:rPr>
          <w:rFonts w:ascii="Arial" w:hAnsi="Arial" w:cs="Arial"/>
          <w:sz w:val="22"/>
          <w:szCs w:val="22"/>
        </w:rPr>
        <w:t>20</w:t>
      </w:r>
      <w:r w:rsidR="00A614BB">
        <w:rPr>
          <w:rFonts w:ascii="Arial" w:hAnsi="Arial" w:cs="Arial"/>
          <w:sz w:val="22"/>
          <w:szCs w:val="22"/>
        </w:rPr>
        <w:t>4</w:t>
      </w:r>
      <w:r w:rsidR="0039155E" w:rsidRPr="00A6203D">
        <w:rPr>
          <w:rFonts w:ascii="Arial" w:hAnsi="Arial" w:cs="Arial"/>
          <w:sz w:val="22"/>
          <w:szCs w:val="22"/>
        </w:rPr>
        <w:t xml:space="preserve">), </w:t>
      </w:r>
      <w:r w:rsidR="00153EC0" w:rsidRPr="00A6203D">
        <w:rPr>
          <w:rFonts w:ascii="Arial" w:hAnsi="Arial" w:cs="Arial"/>
          <w:sz w:val="22"/>
          <w:szCs w:val="22"/>
        </w:rPr>
        <w:t xml:space="preserve">4093 women with severe osteoporosis were randomized to </w:t>
      </w:r>
      <w:proofErr w:type="spellStart"/>
      <w:r w:rsidR="00153EC0" w:rsidRPr="00A6203D">
        <w:rPr>
          <w:rFonts w:ascii="Arial" w:hAnsi="Arial" w:cs="Arial"/>
          <w:sz w:val="22"/>
          <w:szCs w:val="22"/>
        </w:rPr>
        <w:t>Romosozumab</w:t>
      </w:r>
      <w:proofErr w:type="spellEnd"/>
      <w:r w:rsidR="00153EC0" w:rsidRPr="00A6203D">
        <w:rPr>
          <w:rFonts w:ascii="Arial" w:hAnsi="Arial" w:cs="Arial"/>
          <w:sz w:val="22"/>
          <w:szCs w:val="22"/>
        </w:rPr>
        <w:t xml:space="preserve"> or alendronate for 12 months. Incidence of new vertebral fractures was 4% with </w:t>
      </w:r>
      <w:proofErr w:type="spellStart"/>
      <w:r w:rsidR="00153EC0" w:rsidRPr="00A6203D">
        <w:rPr>
          <w:rFonts w:ascii="Arial" w:hAnsi="Arial" w:cs="Arial"/>
          <w:sz w:val="22"/>
          <w:szCs w:val="22"/>
        </w:rPr>
        <w:t>Romosozumab</w:t>
      </w:r>
      <w:proofErr w:type="spellEnd"/>
      <w:r w:rsidR="00FE4189" w:rsidRPr="00A6203D">
        <w:rPr>
          <w:rFonts w:ascii="Arial" w:hAnsi="Arial" w:cs="Arial"/>
          <w:sz w:val="22"/>
          <w:szCs w:val="22"/>
        </w:rPr>
        <w:t xml:space="preserve"> </w:t>
      </w:r>
      <w:r w:rsidR="00153EC0" w:rsidRPr="00A6203D">
        <w:rPr>
          <w:rFonts w:ascii="Arial" w:hAnsi="Arial" w:cs="Arial"/>
          <w:sz w:val="22"/>
          <w:szCs w:val="22"/>
        </w:rPr>
        <w:t xml:space="preserve">vs. 6.3% with alendronate (risk ratio 0.63, p=0.003). Changes in bone density were greater with </w:t>
      </w:r>
      <w:proofErr w:type="spellStart"/>
      <w:r w:rsidR="00153EC0" w:rsidRPr="00A6203D">
        <w:rPr>
          <w:rFonts w:ascii="Arial" w:hAnsi="Arial" w:cs="Arial"/>
          <w:sz w:val="22"/>
          <w:szCs w:val="22"/>
        </w:rPr>
        <w:t>Romosozumab</w:t>
      </w:r>
      <w:proofErr w:type="spellEnd"/>
      <w:r w:rsidR="00153EC0" w:rsidRPr="00A6203D">
        <w:rPr>
          <w:rFonts w:ascii="Arial" w:hAnsi="Arial" w:cs="Arial"/>
          <w:sz w:val="22"/>
          <w:szCs w:val="22"/>
        </w:rPr>
        <w:t xml:space="preserve"> compared to alendronate, 13.7% vs. 5% increase in lumbar BMD, and 6.2% vs.  2.8% increase in total hip BMD was demonstrated, respectively.</w:t>
      </w:r>
      <w:r w:rsidR="00FE4189" w:rsidRPr="00A6203D">
        <w:rPr>
          <w:rFonts w:ascii="Arial" w:hAnsi="Arial" w:cs="Arial"/>
          <w:sz w:val="22"/>
          <w:szCs w:val="22"/>
        </w:rPr>
        <w:t xml:space="preserve"> In extension data, preservation of BMD accrual was achieved with transition to alendronate for up to 36 months based on trial duration.</w:t>
      </w:r>
      <w:r w:rsidR="00467840" w:rsidRPr="00A6203D">
        <w:rPr>
          <w:rFonts w:ascii="Arial" w:hAnsi="Arial" w:cs="Arial"/>
          <w:sz w:val="22"/>
          <w:szCs w:val="22"/>
        </w:rPr>
        <w:t xml:space="preserve"> </w:t>
      </w:r>
    </w:p>
    <w:p w14:paraId="1B34CBD9" w14:textId="40F9364D" w:rsidR="00E252E4" w:rsidRPr="00A6203D" w:rsidRDefault="00E252E4" w:rsidP="00CE7C7B">
      <w:pPr>
        <w:spacing w:line="276" w:lineRule="auto"/>
        <w:rPr>
          <w:rFonts w:ascii="Arial" w:hAnsi="Arial" w:cs="Arial"/>
          <w:b/>
          <w:bCs/>
          <w:sz w:val="22"/>
          <w:szCs w:val="22"/>
        </w:rPr>
      </w:pPr>
    </w:p>
    <w:p w14:paraId="33A506E8" w14:textId="68084B82" w:rsidR="008D67E3" w:rsidRPr="00A6203D" w:rsidRDefault="008D67E3" w:rsidP="00CE7C7B">
      <w:pPr>
        <w:spacing w:line="276" w:lineRule="auto"/>
        <w:rPr>
          <w:rFonts w:ascii="Arial" w:hAnsi="Arial" w:cs="Arial"/>
          <w:b/>
          <w:bCs/>
          <w:color w:val="00B050"/>
          <w:sz w:val="22"/>
          <w:szCs w:val="22"/>
        </w:rPr>
      </w:pPr>
      <w:r w:rsidRPr="00A6203D">
        <w:rPr>
          <w:rFonts w:ascii="Arial" w:hAnsi="Arial" w:cs="Arial"/>
          <w:b/>
          <w:bCs/>
          <w:color w:val="00B050"/>
          <w:sz w:val="22"/>
          <w:szCs w:val="22"/>
        </w:rPr>
        <w:t>Adverse Effects</w:t>
      </w:r>
    </w:p>
    <w:p w14:paraId="546577EE" w14:textId="77777777" w:rsidR="00121AFE" w:rsidRPr="00A6203D" w:rsidRDefault="00121AFE" w:rsidP="00CE7C7B">
      <w:pPr>
        <w:spacing w:line="276" w:lineRule="auto"/>
        <w:rPr>
          <w:rFonts w:ascii="Arial" w:hAnsi="Arial" w:cs="Arial"/>
          <w:sz w:val="22"/>
          <w:szCs w:val="22"/>
        </w:rPr>
      </w:pPr>
    </w:p>
    <w:p w14:paraId="3E747232" w14:textId="7798BDA1" w:rsidR="00652C38" w:rsidRPr="00A6203D" w:rsidRDefault="00FE4189" w:rsidP="00CE7C7B">
      <w:pPr>
        <w:spacing w:line="276" w:lineRule="auto"/>
        <w:rPr>
          <w:rFonts w:ascii="Arial" w:hAnsi="Arial" w:cs="Arial"/>
          <w:b/>
          <w:bCs/>
          <w:sz w:val="22"/>
          <w:szCs w:val="22"/>
        </w:rPr>
      </w:pPr>
      <w:proofErr w:type="spellStart"/>
      <w:r w:rsidRPr="00A6203D">
        <w:rPr>
          <w:rFonts w:ascii="Arial" w:hAnsi="Arial" w:cs="Arial"/>
          <w:sz w:val="22"/>
          <w:szCs w:val="22"/>
        </w:rPr>
        <w:t>Romosozumab</w:t>
      </w:r>
      <w:proofErr w:type="spellEnd"/>
      <w:r w:rsidRPr="00A6203D">
        <w:rPr>
          <w:rFonts w:ascii="Arial" w:hAnsi="Arial" w:cs="Arial"/>
          <w:sz w:val="22"/>
          <w:szCs w:val="22"/>
        </w:rPr>
        <w:t xml:space="preserve"> has been associated with hypersensitiv</w:t>
      </w:r>
      <w:r w:rsidR="00EB19EC" w:rsidRPr="00A6203D">
        <w:rPr>
          <w:rFonts w:ascii="Arial" w:hAnsi="Arial" w:cs="Arial"/>
          <w:sz w:val="22"/>
          <w:szCs w:val="22"/>
        </w:rPr>
        <w:t>it</w:t>
      </w:r>
      <w:r w:rsidRPr="00A6203D">
        <w:rPr>
          <w:rFonts w:ascii="Arial" w:hAnsi="Arial" w:cs="Arial"/>
          <w:sz w:val="22"/>
          <w:szCs w:val="22"/>
        </w:rPr>
        <w:t xml:space="preserve">y reactions such as angioedema and urticaria. </w:t>
      </w:r>
      <w:r w:rsidR="00652C38" w:rsidRPr="00A6203D">
        <w:rPr>
          <w:rFonts w:ascii="Arial" w:hAnsi="Arial" w:cs="Arial"/>
          <w:sz w:val="22"/>
          <w:szCs w:val="22"/>
        </w:rPr>
        <w:t xml:space="preserve">The most common side effects were arthralgia and headache (&gt;5%). Cases of ONJ and AFF have been reported. Upon approval by the FDA in 2019, a black box warning was applied regarding a potential risk of heart attack, stroke, and cardiovascular death. In the ARCH trial, </w:t>
      </w:r>
      <w:r w:rsidR="00652C38" w:rsidRPr="00A6203D">
        <w:rPr>
          <w:rFonts w:ascii="Arial" w:hAnsi="Arial" w:cs="Arial"/>
          <w:sz w:val="22"/>
          <w:szCs w:val="22"/>
          <w:shd w:val="clear" w:color="auto" w:fill="FFFFFF"/>
        </w:rPr>
        <w:t xml:space="preserve">there was a higher rate of major adverse cardiac events (MACE), a composite endpoint of cardiovascular death, nonfatal myocardial </w:t>
      </w:r>
      <w:r w:rsidR="00482E54" w:rsidRPr="00A6203D">
        <w:rPr>
          <w:rFonts w:ascii="Arial" w:hAnsi="Arial" w:cs="Arial"/>
          <w:sz w:val="22"/>
          <w:szCs w:val="22"/>
          <w:shd w:val="clear" w:color="auto" w:fill="FFFFFF"/>
        </w:rPr>
        <w:t>infarction,</w:t>
      </w:r>
      <w:r w:rsidR="00652C38" w:rsidRPr="00A6203D">
        <w:rPr>
          <w:rFonts w:ascii="Arial" w:hAnsi="Arial" w:cs="Arial"/>
          <w:sz w:val="22"/>
          <w:szCs w:val="22"/>
          <w:shd w:val="clear" w:color="auto" w:fill="FFFFFF"/>
        </w:rPr>
        <w:t xml:space="preserve"> and nonfatal stroke. </w:t>
      </w:r>
      <w:r w:rsidR="00482E54" w:rsidRPr="00A6203D">
        <w:rPr>
          <w:rFonts w:ascii="Arial" w:hAnsi="Arial" w:cs="Arial"/>
          <w:sz w:val="22"/>
          <w:szCs w:val="22"/>
          <w:shd w:val="clear" w:color="auto" w:fill="FFFFFF"/>
        </w:rPr>
        <w:t>However,</w:t>
      </w:r>
      <w:r w:rsidR="002142E9" w:rsidRPr="00A6203D">
        <w:rPr>
          <w:rFonts w:ascii="Arial" w:hAnsi="Arial" w:cs="Arial"/>
          <w:sz w:val="22"/>
          <w:szCs w:val="22"/>
          <w:shd w:val="clear" w:color="auto" w:fill="FFFFFF"/>
        </w:rPr>
        <w:t xml:space="preserve"> i</w:t>
      </w:r>
      <w:r w:rsidR="00652C38" w:rsidRPr="00A6203D">
        <w:rPr>
          <w:rFonts w:ascii="Arial" w:hAnsi="Arial" w:cs="Arial"/>
          <w:sz w:val="22"/>
          <w:szCs w:val="22"/>
          <w:shd w:val="clear" w:color="auto" w:fill="FFFFFF"/>
        </w:rPr>
        <w:t xml:space="preserve">n post-hoc pooled analysis by the TIMI Group of both FRAME and ARCH data, a significantly high rate of cardiovascular event was not demonstrated. </w:t>
      </w:r>
      <w:r w:rsidR="002142E9" w:rsidRPr="00A6203D">
        <w:rPr>
          <w:rFonts w:ascii="Arial" w:hAnsi="Arial" w:cs="Arial"/>
          <w:sz w:val="22"/>
          <w:szCs w:val="22"/>
          <w:shd w:val="clear" w:color="auto" w:fill="FFFFFF"/>
        </w:rPr>
        <w:t>The Endocrine Society advises that women at high risk for cardiovascular disease or stroke should not</w:t>
      </w:r>
      <w:r w:rsidR="00BF1C38" w:rsidRPr="00A6203D">
        <w:rPr>
          <w:rFonts w:ascii="Arial" w:hAnsi="Arial" w:cs="Arial"/>
          <w:sz w:val="22"/>
          <w:szCs w:val="22"/>
          <w:shd w:val="clear" w:color="auto" w:fill="FFFFFF"/>
        </w:rPr>
        <w:t xml:space="preserve"> be</w:t>
      </w:r>
      <w:r w:rsidR="002142E9" w:rsidRPr="00A6203D">
        <w:rPr>
          <w:rFonts w:ascii="Arial" w:hAnsi="Arial" w:cs="Arial"/>
          <w:sz w:val="22"/>
          <w:szCs w:val="22"/>
          <w:shd w:val="clear" w:color="auto" w:fill="FFFFFF"/>
        </w:rPr>
        <w:t xml:space="preserve"> considered </w:t>
      </w:r>
      <w:proofErr w:type="spellStart"/>
      <w:r w:rsidR="00EB19EC" w:rsidRPr="00A6203D">
        <w:rPr>
          <w:rFonts w:ascii="Arial" w:hAnsi="Arial" w:cs="Arial"/>
          <w:sz w:val="22"/>
          <w:szCs w:val="22"/>
          <w:shd w:val="clear" w:color="auto" w:fill="FFFFFF"/>
        </w:rPr>
        <w:t>r</w:t>
      </w:r>
      <w:r w:rsidR="002142E9" w:rsidRPr="00A6203D">
        <w:rPr>
          <w:rFonts w:ascii="Arial" w:hAnsi="Arial" w:cs="Arial"/>
          <w:sz w:val="22"/>
          <w:szCs w:val="22"/>
          <w:shd w:val="clear" w:color="auto" w:fill="FFFFFF"/>
        </w:rPr>
        <w:t>omosozumab</w:t>
      </w:r>
      <w:proofErr w:type="spellEnd"/>
      <w:r w:rsidR="002142E9" w:rsidRPr="00A6203D">
        <w:rPr>
          <w:rFonts w:ascii="Arial" w:hAnsi="Arial" w:cs="Arial"/>
          <w:sz w:val="22"/>
          <w:szCs w:val="22"/>
          <w:shd w:val="clear" w:color="auto" w:fill="FFFFFF"/>
        </w:rPr>
        <w:t xml:space="preserve"> pending further studies on its </w:t>
      </w:r>
      <w:r w:rsidR="00705F79" w:rsidRPr="00A6203D">
        <w:rPr>
          <w:rFonts w:ascii="Arial" w:hAnsi="Arial" w:cs="Arial"/>
          <w:sz w:val="22"/>
          <w:szCs w:val="22"/>
          <w:shd w:val="clear" w:color="auto" w:fill="FFFFFF"/>
        </w:rPr>
        <w:t>cardiovascular</w:t>
      </w:r>
      <w:r w:rsidR="002142E9" w:rsidRPr="00A6203D">
        <w:rPr>
          <w:rFonts w:ascii="Arial" w:hAnsi="Arial" w:cs="Arial"/>
          <w:sz w:val="22"/>
          <w:szCs w:val="22"/>
          <w:shd w:val="clear" w:color="auto" w:fill="FFFFFF"/>
        </w:rPr>
        <w:t xml:space="preserve"> risk</w:t>
      </w:r>
      <w:r w:rsidR="0063381C" w:rsidRPr="00A6203D">
        <w:rPr>
          <w:rFonts w:ascii="Arial" w:hAnsi="Arial" w:cs="Arial"/>
          <w:sz w:val="22"/>
          <w:szCs w:val="22"/>
          <w:shd w:val="clear" w:color="auto" w:fill="FFFFFF"/>
        </w:rPr>
        <w:t xml:space="preserve"> (</w:t>
      </w:r>
      <w:r w:rsidR="00E0579E" w:rsidRPr="00A6203D">
        <w:rPr>
          <w:rFonts w:ascii="Arial" w:hAnsi="Arial" w:cs="Arial"/>
          <w:sz w:val="22"/>
          <w:szCs w:val="22"/>
          <w:shd w:val="clear" w:color="auto" w:fill="FFFFFF"/>
        </w:rPr>
        <w:t>201</w:t>
      </w:r>
      <w:r w:rsidR="0063381C" w:rsidRPr="00A6203D">
        <w:rPr>
          <w:rFonts w:ascii="Arial" w:hAnsi="Arial" w:cs="Arial"/>
          <w:sz w:val="22"/>
          <w:szCs w:val="22"/>
          <w:shd w:val="clear" w:color="auto" w:fill="FFFFFF"/>
        </w:rPr>
        <w:t>)</w:t>
      </w:r>
      <w:r w:rsidR="002142E9" w:rsidRPr="00A6203D">
        <w:rPr>
          <w:rFonts w:ascii="Arial" w:hAnsi="Arial" w:cs="Arial"/>
          <w:sz w:val="22"/>
          <w:szCs w:val="22"/>
          <w:shd w:val="clear" w:color="auto" w:fill="FFFFFF"/>
        </w:rPr>
        <w:t xml:space="preserve">. </w:t>
      </w:r>
    </w:p>
    <w:p w14:paraId="1A622BDF" w14:textId="77777777" w:rsidR="00CE2DFB" w:rsidRPr="00A6203D" w:rsidRDefault="00CE2DFB" w:rsidP="00CE7C7B">
      <w:pPr>
        <w:spacing w:line="276" w:lineRule="auto"/>
        <w:rPr>
          <w:rFonts w:ascii="Arial" w:hAnsi="Arial" w:cs="Arial"/>
          <w:b/>
          <w:bCs/>
          <w:sz w:val="22"/>
          <w:szCs w:val="22"/>
        </w:rPr>
      </w:pPr>
    </w:p>
    <w:p w14:paraId="2311BB4E" w14:textId="272F53E0"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GLUCOCORTICOID-INDUCED OSTEOPOROSIS</w:t>
      </w:r>
    </w:p>
    <w:p w14:paraId="2568580D" w14:textId="77777777" w:rsidR="00121AFE" w:rsidRPr="00A6203D" w:rsidRDefault="00121AFE" w:rsidP="00CE7C7B">
      <w:pPr>
        <w:spacing w:line="276" w:lineRule="auto"/>
        <w:rPr>
          <w:rFonts w:ascii="Arial" w:hAnsi="Arial" w:cs="Arial"/>
          <w:sz w:val="22"/>
          <w:szCs w:val="22"/>
        </w:rPr>
      </w:pPr>
    </w:p>
    <w:p w14:paraId="7A4B5342" w14:textId="53B6C31F"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Glucocorticoid induced osteoporosis (GIO) affects the spine greater than other sites. The 2010 American College of Rheumatology (ACR) guidelines can be used to help clinicians determine appropriate therapeutic options in those on glucocorticoid therapy (</w:t>
      </w:r>
      <w:hyperlink r:id="rId211" w:history="1">
        <w:r w:rsidRPr="00A6203D">
          <w:rPr>
            <w:rStyle w:val="Hyperlink"/>
            <w:rFonts w:ascii="Arial" w:hAnsi="Arial" w:cs="Arial"/>
            <w:color w:val="auto"/>
            <w:sz w:val="22"/>
            <w:szCs w:val="22"/>
            <w:u w:val="none"/>
          </w:rPr>
          <w:t>181</w:t>
        </w:r>
      </w:hyperlink>
      <w:r w:rsidRPr="00A6203D">
        <w:rPr>
          <w:rFonts w:ascii="Arial" w:hAnsi="Arial" w:cs="Arial"/>
          <w:sz w:val="22"/>
          <w:szCs w:val="22"/>
        </w:rPr>
        <w:t xml:space="preserve">). Epidemiological data </w:t>
      </w:r>
      <w:r w:rsidRPr="00A6203D">
        <w:rPr>
          <w:rFonts w:ascii="Arial" w:hAnsi="Arial" w:cs="Arial"/>
          <w:sz w:val="22"/>
          <w:szCs w:val="22"/>
        </w:rPr>
        <w:lastRenderedPageBreak/>
        <w:t>has consistently shown that those taking glucocorticoids have fractures at higher T-scores. Glucocorticoids not only increase bone resorption, but also reduce bone formation. Thus, there are two important steps for targeted intervention—bisphosphonates and teriparatide, respectively. Rapid bone loss is prevalent in the first 6-12 months of glucocorticoid therapy; however, the increased fracture risk is already present within 3 months of initiating glucocorticoids. Thus, bone protection therapy should be started, at the onset, if the duration of glucocorticoids is anticipated to be 3 months or longer. For postmenopausal women and men over age 50, treatment for GIO is determined based on whether the patient’s risk for fracture—using FRAX® and clinical judgment—is low (&lt;10%), moderate (10-20%), or high (&gt;20%). For those taking prednisone dose &gt;7.5 mg/day, the FDA has approved the following bisphosphonates—Risedronate, Alendronate, Zoledronate—and the anabolic agent, Teriparatide, for the treatment of GIO. In a 3-year randomized trial evaluating the prevention and treatment of GIO, teriparatide was statistically superior to alendronate in preventing BMD declines at the spine and hip (</w:t>
      </w:r>
      <w:hyperlink r:id="rId212" w:history="1">
        <w:r w:rsidRPr="00A6203D">
          <w:rPr>
            <w:rStyle w:val="Hyperlink"/>
            <w:rFonts w:ascii="Arial" w:hAnsi="Arial" w:cs="Arial"/>
            <w:color w:val="auto"/>
            <w:sz w:val="22"/>
            <w:szCs w:val="22"/>
            <w:u w:val="none"/>
          </w:rPr>
          <w:t>182</w:t>
        </w:r>
      </w:hyperlink>
      <w:r w:rsidRPr="00A6203D">
        <w:rPr>
          <w:rFonts w:ascii="Arial" w:hAnsi="Arial" w:cs="Arial"/>
          <w:sz w:val="22"/>
          <w:szCs w:val="22"/>
        </w:rPr>
        <w:t>).</w:t>
      </w:r>
    </w:p>
    <w:p w14:paraId="26B511F9" w14:textId="77777777" w:rsidR="007A5924" w:rsidRPr="00A6203D" w:rsidRDefault="007A5924" w:rsidP="00CE7C7B">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2379"/>
        <w:gridCol w:w="2205"/>
        <w:gridCol w:w="1609"/>
        <w:gridCol w:w="3157"/>
      </w:tblGrid>
      <w:tr w:rsidR="00121AFE" w:rsidRPr="00A6203D" w14:paraId="482A7071" w14:textId="77777777" w:rsidTr="00033A0F">
        <w:tc>
          <w:tcPr>
            <w:tcW w:w="0" w:type="auto"/>
            <w:gridSpan w:val="4"/>
            <w:shd w:val="clear" w:color="auto" w:fill="FFFF00"/>
          </w:tcPr>
          <w:p w14:paraId="6BD0E692" w14:textId="24896320" w:rsidR="00121AFE" w:rsidRPr="00A6203D" w:rsidRDefault="00121AFE" w:rsidP="00121AFE">
            <w:pPr>
              <w:spacing w:line="276" w:lineRule="auto"/>
              <w:rPr>
                <w:rFonts w:ascii="Arial" w:hAnsi="Arial" w:cs="Arial"/>
                <w:b/>
                <w:bCs/>
                <w:sz w:val="22"/>
                <w:szCs w:val="22"/>
              </w:rPr>
            </w:pPr>
            <w:r w:rsidRPr="00A6203D">
              <w:rPr>
                <w:rFonts w:ascii="Arial" w:hAnsi="Arial" w:cs="Arial"/>
                <w:b/>
                <w:bCs/>
                <w:sz w:val="22"/>
                <w:szCs w:val="22"/>
              </w:rPr>
              <w:t>Table 5. Effects of FDA-</w:t>
            </w:r>
            <w:r w:rsidR="00F04F78" w:rsidRPr="00A6203D">
              <w:rPr>
                <w:rFonts w:ascii="Arial" w:hAnsi="Arial" w:cs="Arial"/>
                <w:b/>
                <w:bCs/>
                <w:sz w:val="22"/>
                <w:szCs w:val="22"/>
              </w:rPr>
              <w:t>A</w:t>
            </w:r>
            <w:r w:rsidRPr="00A6203D">
              <w:rPr>
                <w:rFonts w:ascii="Arial" w:hAnsi="Arial" w:cs="Arial"/>
                <w:b/>
                <w:bCs/>
                <w:sz w:val="22"/>
                <w:szCs w:val="22"/>
              </w:rPr>
              <w:t>pproved Osteoporosis Therapies on Fractures</w:t>
            </w:r>
          </w:p>
        </w:tc>
      </w:tr>
      <w:tr w:rsidR="009E5816" w:rsidRPr="00A6203D" w14:paraId="1B0A3602" w14:textId="77777777" w:rsidTr="00121AFE">
        <w:tc>
          <w:tcPr>
            <w:tcW w:w="0" w:type="auto"/>
            <w:hideMark/>
          </w:tcPr>
          <w:p w14:paraId="27923AE2" w14:textId="77777777" w:rsidR="005E6870" w:rsidRPr="00A6203D" w:rsidRDefault="005E6870" w:rsidP="00CE7C7B">
            <w:pPr>
              <w:spacing w:line="276" w:lineRule="auto"/>
              <w:rPr>
                <w:rFonts w:ascii="Arial" w:hAnsi="Arial" w:cs="Arial"/>
                <w:sz w:val="22"/>
                <w:szCs w:val="22"/>
              </w:rPr>
            </w:pPr>
          </w:p>
        </w:tc>
        <w:tc>
          <w:tcPr>
            <w:tcW w:w="0" w:type="auto"/>
            <w:hideMark/>
          </w:tcPr>
          <w:p w14:paraId="2FE9A6BA"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Most Common Dosage</w:t>
            </w:r>
          </w:p>
        </w:tc>
        <w:tc>
          <w:tcPr>
            <w:tcW w:w="0" w:type="auto"/>
            <w:hideMark/>
          </w:tcPr>
          <w:p w14:paraId="31ADF102"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Fracture Risk Reduction</w:t>
            </w:r>
          </w:p>
        </w:tc>
        <w:tc>
          <w:tcPr>
            <w:tcW w:w="0" w:type="auto"/>
            <w:hideMark/>
          </w:tcPr>
          <w:p w14:paraId="79039F7B" w14:textId="77777777" w:rsidR="005E6870" w:rsidRPr="00A6203D" w:rsidRDefault="005E6870" w:rsidP="00CE7C7B">
            <w:pPr>
              <w:spacing w:line="276" w:lineRule="auto"/>
              <w:rPr>
                <w:rFonts w:ascii="Arial" w:hAnsi="Arial" w:cs="Arial"/>
                <w:b/>
                <w:bCs/>
                <w:sz w:val="22"/>
                <w:szCs w:val="22"/>
              </w:rPr>
            </w:pPr>
            <w:r w:rsidRPr="00A6203D">
              <w:rPr>
                <w:rFonts w:ascii="Arial" w:hAnsi="Arial" w:cs="Arial"/>
                <w:b/>
                <w:bCs/>
                <w:sz w:val="22"/>
                <w:szCs w:val="22"/>
              </w:rPr>
              <w:t>FDA Indications*</w:t>
            </w:r>
          </w:p>
        </w:tc>
      </w:tr>
      <w:tr w:rsidR="009E5816" w:rsidRPr="00A6203D" w14:paraId="65829A66" w14:textId="77777777" w:rsidTr="00121AFE">
        <w:tc>
          <w:tcPr>
            <w:tcW w:w="0" w:type="auto"/>
            <w:hideMark/>
          </w:tcPr>
          <w:p w14:paraId="71C6BC2C"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Alendronate</w:t>
            </w:r>
          </w:p>
        </w:tc>
        <w:tc>
          <w:tcPr>
            <w:tcW w:w="0" w:type="auto"/>
            <w:hideMark/>
          </w:tcPr>
          <w:p w14:paraId="702DCED4"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70 mg PO weekly</w:t>
            </w:r>
          </w:p>
        </w:tc>
        <w:tc>
          <w:tcPr>
            <w:tcW w:w="0" w:type="auto"/>
            <w:hideMark/>
          </w:tcPr>
          <w:p w14:paraId="28649C1E"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non-spine, hip</w:t>
            </w:r>
          </w:p>
        </w:tc>
        <w:tc>
          <w:tcPr>
            <w:tcW w:w="0" w:type="auto"/>
            <w:hideMark/>
          </w:tcPr>
          <w:p w14:paraId="36C6038A"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Treatment and Prevention in women, Treatment of osteoporosis in men, GIO treatment.</w:t>
            </w:r>
          </w:p>
        </w:tc>
      </w:tr>
      <w:tr w:rsidR="009E5816" w:rsidRPr="00A6203D" w14:paraId="49E80C3B" w14:textId="77777777" w:rsidTr="00121AFE">
        <w:tc>
          <w:tcPr>
            <w:tcW w:w="0" w:type="auto"/>
            <w:hideMark/>
          </w:tcPr>
          <w:p w14:paraId="5E6A3004"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Ibandronate</w:t>
            </w:r>
          </w:p>
        </w:tc>
        <w:tc>
          <w:tcPr>
            <w:tcW w:w="0" w:type="auto"/>
            <w:hideMark/>
          </w:tcPr>
          <w:p w14:paraId="2AC0F80D"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150 mg PO monthly;</w:t>
            </w:r>
            <w:r w:rsidRPr="00A6203D">
              <w:rPr>
                <w:rFonts w:ascii="Arial" w:hAnsi="Arial" w:cs="Arial"/>
                <w:sz w:val="22"/>
                <w:szCs w:val="22"/>
              </w:rPr>
              <w:br/>
              <w:t>3 mg IV every 3 months</w:t>
            </w:r>
          </w:p>
        </w:tc>
        <w:tc>
          <w:tcPr>
            <w:tcW w:w="0" w:type="auto"/>
            <w:hideMark/>
          </w:tcPr>
          <w:p w14:paraId="47F8C218"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w:t>
            </w:r>
          </w:p>
        </w:tc>
        <w:tc>
          <w:tcPr>
            <w:tcW w:w="0" w:type="auto"/>
            <w:hideMark/>
          </w:tcPr>
          <w:p w14:paraId="2D3AF57A"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Treatment and Prevention in women.</w:t>
            </w:r>
          </w:p>
        </w:tc>
      </w:tr>
      <w:tr w:rsidR="009E5816" w:rsidRPr="00A6203D" w14:paraId="07BE6456" w14:textId="77777777" w:rsidTr="00121AFE">
        <w:tc>
          <w:tcPr>
            <w:tcW w:w="0" w:type="auto"/>
            <w:hideMark/>
          </w:tcPr>
          <w:p w14:paraId="662A1523"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Risedronate</w:t>
            </w:r>
          </w:p>
        </w:tc>
        <w:tc>
          <w:tcPr>
            <w:tcW w:w="0" w:type="auto"/>
            <w:hideMark/>
          </w:tcPr>
          <w:p w14:paraId="7779DA85"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35 mg PO weekly;</w:t>
            </w:r>
            <w:r w:rsidRPr="00A6203D">
              <w:rPr>
                <w:rFonts w:ascii="Arial" w:hAnsi="Arial" w:cs="Arial"/>
                <w:sz w:val="22"/>
                <w:szCs w:val="22"/>
              </w:rPr>
              <w:br/>
              <w:t>150 mg PO monthly</w:t>
            </w:r>
          </w:p>
        </w:tc>
        <w:tc>
          <w:tcPr>
            <w:tcW w:w="0" w:type="auto"/>
            <w:hideMark/>
          </w:tcPr>
          <w:p w14:paraId="18C1155B"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non-spine, hip</w:t>
            </w:r>
          </w:p>
        </w:tc>
        <w:tc>
          <w:tcPr>
            <w:tcW w:w="0" w:type="auto"/>
            <w:hideMark/>
          </w:tcPr>
          <w:p w14:paraId="425D1368"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Treatment and Prevention in women, Treatment of osteoporosis in men, GIO treatment.</w:t>
            </w:r>
          </w:p>
        </w:tc>
      </w:tr>
      <w:tr w:rsidR="009E5816" w:rsidRPr="00A6203D" w14:paraId="505ACC78" w14:textId="77777777" w:rsidTr="00121AFE">
        <w:tc>
          <w:tcPr>
            <w:tcW w:w="0" w:type="auto"/>
            <w:hideMark/>
          </w:tcPr>
          <w:p w14:paraId="2E1BEBC5"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Zoledronic Acid (ZA)</w:t>
            </w:r>
          </w:p>
        </w:tc>
        <w:tc>
          <w:tcPr>
            <w:tcW w:w="0" w:type="auto"/>
            <w:hideMark/>
          </w:tcPr>
          <w:p w14:paraId="0030A4B6"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5 mg IV / year (Treatment)</w:t>
            </w:r>
            <w:r w:rsidRPr="00A6203D">
              <w:rPr>
                <w:rFonts w:ascii="Arial" w:hAnsi="Arial" w:cs="Arial"/>
                <w:sz w:val="22"/>
                <w:szCs w:val="22"/>
              </w:rPr>
              <w:br/>
              <w:t>5 mg every other year (Prevention)</w:t>
            </w:r>
          </w:p>
        </w:tc>
        <w:tc>
          <w:tcPr>
            <w:tcW w:w="0" w:type="auto"/>
            <w:hideMark/>
          </w:tcPr>
          <w:p w14:paraId="652B79CF"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non-spine, hip</w:t>
            </w:r>
          </w:p>
        </w:tc>
        <w:tc>
          <w:tcPr>
            <w:tcW w:w="0" w:type="auto"/>
            <w:hideMark/>
          </w:tcPr>
          <w:p w14:paraId="4FECF409"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Treatment and Prevention in women, Treatment of osteoporosis in men, GIO treatment</w:t>
            </w:r>
          </w:p>
        </w:tc>
      </w:tr>
      <w:tr w:rsidR="009E5816" w:rsidRPr="00A6203D" w14:paraId="1FBC8D37" w14:textId="77777777" w:rsidTr="00121AFE">
        <w:tc>
          <w:tcPr>
            <w:tcW w:w="0" w:type="auto"/>
            <w:hideMark/>
          </w:tcPr>
          <w:p w14:paraId="4662F135"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RANKL inhibitor</w:t>
            </w:r>
            <w:r w:rsidRPr="00A6203D">
              <w:rPr>
                <w:rFonts w:ascii="Arial" w:hAnsi="Arial" w:cs="Arial"/>
                <w:sz w:val="22"/>
                <w:szCs w:val="22"/>
              </w:rPr>
              <w:br/>
            </w:r>
            <w:r w:rsidRPr="00A6203D">
              <w:rPr>
                <w:rFonts w:ascii="Arial" w:hAnsi="Arial" w:cs="Arial"/>
                <w:b/>
                <w:bCs/>
                <w:sz w:val="22"/>
                <w:szCs w:val="22"/>
              </w:rPr>
              <w:t>Denosumab</w:t>
            </w:r>
          </w:p>
        </w:tc>
        <w:tc>
          <w:tcPr>
            <w:tcW w:w="0" w:type="auto"/>
            <w:hideMark/>
          </w:tcPr>
          <w:p w14:paraId="5CCC6162"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60 mg SC every 6 months</w:t>
            </w:r>
          </w:p>
        </w:tc>
        <w:tc>
          <w:tcPr>
            <w:tcW w:w="0" w:type="auto"/>
            <w:hideMark/>
          </w:tcPr>
          <w:p w14:paraId="27C0D25B"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non-Spine, hip</w:t>
            </w:r>
          </w:p>
        </w:tc>
        <w:tc>
          <w:tcPr>
            <w:tcW w:w="0" w:type="auto"/>
            <w:hideMark/>
          </w:tcPr>
          <w:p w14:paraId="2B52BA29"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PMO-Treatment in women and men at high fracture risk;</w:t>
            </w:r>
          </w:p>
        </w:tc>
      </w:tr>
      <w:tr w:rsidR="009E5816" w:rsidRPr="00A6203D" w14:paraId="0A39BA74" w14:textId="77777777" w:rsidTr="00121AFE">
        <w:tc>
          <w:tcPr>
            <w:tcW w:w="0" w:type="auto"/>
            <w:hideMark/>
          </w:tcPr>
          <w:p w14:paraId="1F82340D" w14:textId="77777777" w:rsidR="005E6870" w:rsidRPr="00A6203D" w:rsidRDefault="005E6870" w:rsidP="00CE7C7B">
            <w:pPr>
              <w:spacing w:line="276" w:lineRule="auto"/>
              <w:rPr>
                <w:rFonts w:ascii="Arial" w:hAnsi="Arial" w:cs="Arial"/>
                <w:sz w:val="22"/>
                <w:szCs w:val="22"/>
              </w:rPr>
            </w:pPr>
            <w:r w:rsidRPr="00A6203D">
              <w:rPr>
                <w:rFonts w:ascii="Arial" w:hAnsi="Arial" w:cs="Arial"/>
                <w:b/>
                <w:bCs/>
                <w:sz w:val="22"/>
                <w:szCs w:val="22"/>
              </w:rPr>
              <w:t>PTH - Teriparatide (PTH 1-34)</w:t>
            </w:r>
          </w:p>
        </w:tc>
        <w:tc>
          <w:tcPr>
            <w:tcW w:w="0" w:type="auto"/>
            <w:hideMark/>
          </w:tcPr>
          <w:p w14:paraId="61138B9F"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20 mcg SC daily (for maximum of 2 years)</w:t>
            </w:r>
          </w:p>
        </w:tc>
        <w:tc>
          <w:tcPr>
            <w:tcW w:w="0" w:type="auto"/>
            <w:hideMark/>
          </w:tcPr>
          <w:p w14:paraId="45E035BE"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Spine, non-Spine</w:t>
            </w:r>
          </w:p>
        </w:tc>
        <w:tc>
          <w:tcPr>
            <w:tcW w:w="0" w:type="auto"/>
            <w:hideMark/>
          </w:tcPr>
          <w:p w14:paraId="457A91D7" w14:textId="77777777"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PMO and GIO Treatment in women and men at high risk of fracture</w:t>
            </w:r>
          </w:p>
        </w:tc>
      </w:tr>
      <w:tr w:rsidR="00D60E23" w:rsidRPr="00A6203D" w14:paraId="36B06C40" w14:textId="77777777" w:rsidTr="00121AFE">
        <w:tc>
          <w:tcPr>
            <w:tcW w:w="0" w:type="auto"/>
          </w:tcPr>
          <w:p w14:paraId="343F7846" w14:textId="035DE1AF" w:rsidR="00D60E23" w:rsidRPr="00A6203D" w:rsidRDefault="00D60E23" w:rsidP="00CE7C7B">
            <w:pPr>
              <w:spacing w:line="276" w:lineRule="auto"/>
              <w:rPr>
                <w:rFonts w:ascii="Arial" w:hAnsi="Arial" w:cs="Arial"/>
                <w:b/>
                <w:bCs/>
                <w:sz w:val="22"/>
                <w:szCs w:val="22"/>
              </w:rPr>
            </w:pPr>
            <w:r w:rsidRPr="00A6203D">
              <w:rPr>
                <w:rFonts w:ascii="Arial" w:hAnsi="Arial" w:cs="Arial"/>
                <w:b/>
                <w:bCs/>
                <w:sz w:val="22"/>
                <w:szCs w:val="22"/>
              </w:rPr>
              <w:t xml:space="preserve">PTH- </w:t>
            </w:r>
            <w:proofErr w:type="spellStart"/>
            <w:r w:rsidRPr="00A6203D">
              <w:rPr>
                <w:rFonts w:ascii="Arial" w:hAnsi="Arial" w:cs="Arial"/>
                <w:b/>
                <w:bCs/>
                <w:sz w:val="22"/>
                <w:szCs w:val="22"/>
              </w:rPr>
              <w:t>Abaloparatide</w:t>
            </w:r>
            <w:proofErr w:type="spellEnd"/>
            <w:r w:rsidRPr="00A6203D">
              <w:rPr>
                <w:rFonts w:ascii="Arial" w:hAnsi="Arial" w:cs="Arial"/>
                <w:b/>
                <w:bCs/>
                <w:sz w:val="22"/>
                <w:szCs w:val="22"/>
              </w:rPr>
              <w:t xml:space="preserve"> (PTH-</w:t>
            </w:r>
            <w:proofErr w:type="spellStart"/>
            <w:r w:rsidRPr="00A6203D">
              <w:rPr>
                <w:rFonts w:ascii="Arial" w:hAnsi="Arial" w:cs="Arial"/>
                <w:b/>
                <w:bCs/>
                <w:sz w:val="22"/>
                <w:szCs w:val="22"/>
              </w:rPr>
              <w:t>rp</w:t>
            </w:r>
            <w:proofErr w:type="spellEnd"/>
            <w:r w:rsidRPr="00A6203D">
              <w:rPr>
                <w:rFonts w:ascii="Arial" w:hAnsi="Arial" w:cs="Arial"/>
                <w:b/>
                <w:bCs/>
                <w:sz w:val="22"/>
                <w:szCs w:val="22"/>
              </w:rPr>
              <w:t xml:space="preserve"> 1-34)</w:t>
            </w:r>
          </w:p>
        </w:tc>
        <w:tc>
          <w:tcPr>
            <w:tcW w:w="0" w:type="auto"/>
          </w:tcPr>
          <w:p w14:paraId="01F5E0D0" w14:textId="0A93DCD7"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80 mcg SC daily (for maximum of 2 years)</w:t>
            </w:r>
          </w:p>
        </w:tc>
        <w:tc>
          <w:tcPr>
            <w:tcW w:w="0" w:type="auto"/>
          </w:tcPr>
          <w:p w14:paraId="50BE4BB3" w14:textId="658BD22F"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Spine, non-spine</w:t>
            </w:r>
          </w:p>
        </w:tc>
        <w:tc>
          <w:tcPr>
            <w:tcW w:w="0" w:type="auto"/>
          </w:tcPr>
          <w:p w14:paraId="2F6AFE74" w14:textId="400B4A1D"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PMO treatment in women at high risk of fracture</w:t>
            </w:r>
          </w:p>
        </w:tc>
      </w:tr>
      <w:tr w:rsidR="00D60E23" w:rsidRPr="00A6203D" w14:paraId="3DA81DA8" w14:textId="77777777" w:rsidTr="00121AFE">
        <w:tc>
          <w:tcPr>
            <w:tcW w:w="0" w:type="auto"/>
          </w:tcPr>
          <w:p w14:paraId="54371AAD" w14:textId="75869BC8" w:rsidR="00D60E23" w:rsidRPr="00A6203D" w:rsidRDefault="00D60E23" w:rsidP="00CE7C7B">
            <w:pPr>
              <w:spacing w:line="276" w:lineRule="auto"/>
              <w:rPr>
                <w:rFonts w:ascii="Arial" w:hAnsi="Arial" w:cs="Arial"/>
                <w:b/>
                <w:bCs/>
                <w:sz w:val="22"/>
                <w:szCs w:val="22"/>
              </w:rPr>
            </w:pPr>
            <w:r w:rsidRPr="00A6203D">
              <w:rPr>
                <w:rFonts w:ascii="Arial" w:hAnsi="Arial" w:cs="Arial"/>
                <w:b/>
                <w:bCs/>
                <w:sz w:val="22"/>
                <w:szCs w:val="22"/>
              </w:rPr>
              <w:lastRenderedPageBreak/>
              <w:t xml:space="preserve">Anti-Sclerostin Antibody- </w:t>
            </w:r>
            <w:proofErr w:type="spellStart"/>
            <w:r w:rsidRPr="00A6203D">
              <w:rPr>
                <w:rFonts w:ascii="Arial" w:hAnsi="Arial" w:cs="Arial"/>
                <w:b/>
                <w:bCs/>
                <w:sz w:val="22"/>
                <w:szCs w:val="22"/>
              </w:rPr>
              <w:t>Romosozumab</w:t>
            </w:r>
            <w:proofErr w:type="spellEnd"/>
          </w:p>
        </w:tc>
        <w:tc>
          <w:tcPr>
            <w:tcW w:w="0" w:type="auto"/>
          </w:tcPr>
          <w:p w14:paraId="6107352A" w14:textId="48133B1F"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210 mcg SC monthly (for maximum of 12 months)</w:t>
            </w:r>
          </w:p>
        </w:tc>
        <w:tc>
          <w:tcPr>
            <w:tcW w:w="0" w:type="auto"/>
          </w:tcPr>
          <w:p w14:paraId="6C8F6FAF" w14:textId="24CFEAA8"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Spine, non-spine</w:t>
            </w:r>
          </w:p>
        </w:tc>
        <w:tc>
          <w:tcPr>
            <w:tcW w:w="0" w:type="auto"/>
          </w:tcPr>
          <w:p w14:paraId="55BC8E33" w14:textId="5769F311" w:rsidR="00D60E23" w:rsidRPr="00A6203D" w:rsidRDefault="00D60E23" w:rsidP="00CE7C7B">
            <w:pPr>
              <w:spacing w:line="276" w:lineRule="auto"/>
              <w:rPr>
                <w:rFonts w:ascii="Arial" w:hAnsi="Arial" w:cs="Arial"/>
                <w:sz w:val="22"/>
                <w:szCs w:val="22"/>
              </w:rPr>
            </w:pPr>
            <w:r w:rsidRPr="00A6203D">
              <w:rPr>
                <w:rFonts w:ascii="Arial" w:hAnsi="Arial" w:cs="Arial"/>
                <w:sz w:val="22"/>
                <w:szCs w:val="22"/>
              </w:rPr>
              <w:t>PMO treatment in women at high risk of fracture</w:t>
            </w:r>
          </w:p>
        </w:tc>
      </w:tr>
    </w:tbl>
    <w:p w14:paraId="103F2A7A" w14:textId="7D431661" w:rsidR="00033A0F" w:rsidRPr="00A6203D" w:rsidRDefault="00033A0F" w:rsidP="00CE7C7B">
      <w:pPr>
        <w:spacing w:line="276" w:lineRule="auto"/>
        <w:rPr>
          <w:rFonts w:ascii="Arial" w:hAnsi="Arial" w:cs="Arial"/>
          <w:sz w:val="22"/>
          <w:szCs w:val="22"/>
        </w:rPr>
      </w:pPr>
      <w:r w:rsidRPr="00A6203D">
        <w:rPr>
          <w:rFonts w:ascii="Arial" w:hAnsi="Arial" w:cs="Arial"/>
          <w:sz w:val="22"/>
          <w:szCs w:val="22"/>
        </w:rPr>
        <w:t>PMO: postmenopausal osteoporosis; GIO: Glucocorticoid-induced osteoporosis</w:t>
      </w:r>
    </w:p>
    <w:p w14:paraId="4959B77F" w14:textId="77777777" w:rsidR="00033A0F" w:rsidRPr="00A6203D" w:rsidRDefault="00033A0F" w:rsidP="00CE7C7B">
      <w:pPr>
        <w:spacing w:line="276" w:lineRule="auto"/>
        <w:rPr>
          <w:rFonts w:ascii="Arial" w:hAnsi="Arial" w:cs="Arial"/>
          <w:b/>
          <w:bCs/>
          <w:sz w:val="22"/>
          <w:szCs w:val="22"/>
        </w:rPr>
      </w:pPr>
    </w:p>
    <w:p w14:paraId="38AEB98C" w14:textId="70ED458D" w:rsidR="00CC667D" w:rsidRPr="00A6203D" w:rsidRDefault="00CC667D"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 xml:space="preserve">CONSIDERATIONS REGARDING SELECTION OF </w:t>
      </w:r>
      <w:r w:rsidR="00D449AE" w:rsidRPr="00A6203D">
        <w:rPr>
          <w:rFonts w:ascii="Arial" w:hAnsi="Arial" w:cs="Arial"/>
          <w:b/>
          <w:bCs/>
          <w:color w:val="0070C0"/>
          <w:sz w:val="22"/>
          <w:szCs w:val="22"/>
        </w:rPr>
        <w:t xml:space="preserve">ANTI-FRACTURE </w:t>
      </w:r>
      <w:r w:rsidRPr="00A6203D">
        <w:rPr>
          <w:rFonts w:ascii="Arial" w:hAnsi="Arial" w:cs="Arial"/>
          <w:b/>
          <w:bCs/>
          <w:color w:val="0070C0"/>
          <w:sz w:val="22"/>
          <w:szCs w:val="22"/>
        </w:rPr>
        <w:t>TREATMENT</w:t>
      </w:r>
    </w:p>
    <w:p w14:paraId="259A0839" w14:textId="213A2B5B" w:rsidR="00CC667D" w:rsidRPr="00A6203D" w:rsidRDefault="00CC667D" w:rsidP="00CE7C7B">
      <w:pPr>
        <w:spacing w:line="276" w:lineRule="auto"/>
        <w:rPr>
          <w:rFonts w:ascii="Arial" w:hAnsi="Arial" w:cs="Arial"/>
          <w:b/>
          <w:bCs/>
          <w:color w:val="0070C0"/>
          <w:sz w:val="22"/>
          <w:szCs w:val="22"/>
        </w:rPr>
      </w:pPr>
    </w:p>
    <w:p w14:paraId="00C42E9F" w14:textId="4ACF5DA7" w:rsidR="00023DDA" w:rsidRPr="00276758" w:rsidRDefault="00D250C9" w:rsidP="003B63B5">
      <w:pPr>
        <w:rPr>
          <w:rFonts w:ascii="Arial" w:hAnsi="Arial" w:cs="Arial"/>
          <w:sz w:val="22"/>
          <w:szCs w:val="22"/>
        </w:rPr>
      </w:pPr>
      <w:r w:rsidRPr="00276758">
        <w:rPr>
          <w:rFonts w:ascii="Arial" w:hAnsi="Arial" w:cs="Arial"/>
          <w:color w:val="000000" w:themeColor="text1"/>
          <w:sz w:val="22"/>
          <w:szCs w:val="22"/>
        </w:rPr>
        <w:t xml:space="preserve">When approaching a patient at high risk for fracture, several </w:t>
      </w:r>
      <w:r w:rsidR="00E77980" w:rsidRPr="00276758">
        <w:rPr>
          <w:rFonts w:ascii="Arial" w:hAnsi="Arial" w:cs="Arial"/>
          <w:color w:val="000000" w:themeColor="text1"/>
          <w:sz w:val="22"/>
          <w:szCs w:val="22"/>
        </w:rPr>
        <w:t>considerations</w:t>
      </w:r>
      <w:r w:rsidRPr="00276758">
        <w:rPr>
          <w:rFonts w:ascii="Arial" w:hAnsi="Arial" w:cs="Arial"/>
          <w:color w:val="000000" w:themeColor="text1"/>
          <w:sz w:val="22"/>
          <w:szCs w:val="22"/>
        </w:rPr>
        <w:t xml:space="preserve"> may help guide the </w:t>
      </w:r>
      <w:r w:rsidR="00DF33C9" w:rsidRPr="00276758">
        <w:rPr>
          <w:rFonts w:ascii="Arial" w:hAnsi="Arial" w:cs="Arial"/>
          <w:color w:val="000000" w:themeColor="text1"/>
          <w:sz w:val="22"/>
          <w:szCs w:val="22"/>
        </w:rPr>
        <w:t xml:space="preserve">initial </w:t>
      </w:r>
      <w:r w:rsidRPr="00276758">
        <w:rPr>
          <w:rFonts w:ascii="Arial" w:hAnsi="Arial" w:cs="Arial"/>
          <w:color w:val="000000" w:themeColor="text1"/>
          <w:sz w:val="22"/>
          <w:szCs w:val="22"/>
        </w:rPr>
        <w:t>treatment selection.</w:t>
      </w:r>
      <w:r w:rsidR="004A3039" w:rsidRPr="00276758">
        <w:rPr>
          <w:rFonts w:ascii="Arial" w:hAnsi="Arial" w:cs="Arial"/>
          <w:color w:val="000000" w:themeColor="text1"/>
          <w:sz w:val="22"/>
          <w:szCs w:val="22"/>
        </w:rPr>
        <w:t xml:space="preserve"> </w:t>
      </w:r>
      <w:r w:rsidR="00B3685E" w:rsidRPr="00276758">
        <w:rPr>
          <w:rFonts w:ascii="Arial" w:hAnsi="Arial" w:cs="Arial"/>
          <w:color w:val="000000" w:themeColor="text1"/>
          <w:sz w:val="22"/>
          <w:szCs w:val="22"/>
        </w:rPr>
        <w:t>A</w:t>
      </w:r>
      <w:r w:rsidRPr="00276758">
        <w:rPr>
          <w:rFonts w:ascii="Arial" w:hAnsi="Arial" w:cs="Arial"/>
          <w:color w:val="000000" w:themeColor="text1"/>
          <w:sz w:val="22"/>
          <w:szCs w:val="22"/>
        </w:rPr>
        <w:t xml:space="preserve">nabolic agents </w:t>
      </w:r>
      <w:r w:rsidR="00B3685E" w:rsidRPr="00276758">
        <w:rPr>
          <w:rFonts w:ascii="Arial" w:hAnsi="Arial" w:cs="Arial"/>
          <w:color w:val="000000" w:themeColor="text1"/>
          <w:sz w:val="22"/>
          <w:szCs w:val="22"/>
        </w:rPr>
        <w:t>(i.e.,</w:t>
      </w:r>
      <w:r w:rsidRPr="00276758">
        <w:rPr>
          <w:rFonts w:ascii="Arial" w:hAnsi="Arial" w:cs="Arial"/>
          <w:color w:val="000000" w:themeColor="text1"/>
          <w:sz w:val="22"/>
          <w:szCs w:val="22"/>
        </w:rPr>
        <w:t xml:space="preserve"> </w:t>
      </w:r>
      <w:proofErr w:type="spellStart"/>
      <w:r w:rsidRPr="00276758">
        <w:rPr>
          <w:rFonts w:ascii="Arial" w:hAnsi="Arial" w:cs="Arial"/>
          <w:color w:val="000000" w:themeColor="text1"/>
          <w:sz w:val="22"/>
          <w:szCs w:val="22"/>
        </w:rPr>
        <w:t>romosozumab</w:t>
      </w:r>
      <w:proofErr w:type="spellEnd"/>
      <w:r w:rsidRPr="00276758">
        <w:rPr>
          <w:rFonts w:ascii="Arial" w:hAnsi="Arial" w:cs="Arial"/>
          <w:color w:val="000000" w:themeColor="text1"/>
          <w:sz w:val="22"/>
          <w:szCs w:val="22"/>
        </w:rPr>
        <w:t xml:space="preserve">, </w:t>
      </w:r>
      <w:proofErr w:type="spellStart"/>
      <w:r w:rsidRPr="00276758">
        <w:rPr>
          <w:rFonts w:ascii="Arial" w:hAnsi="Arial" w:cs="Arial"/>
          <w:color w:val="000000" w:themeColor="text1"/>
          <w:sz w:val="22"/>
          <w:szCs w:val="22"/>
        </w:rPr>
        <w:t>abaloparatide</w:t>
      </w:r>
      <w:proofErr w:type="spellEnd"/>
      <w:r w:rsidRPr="00276758">
        <w:rPr>
          <w:rFonts w:ascii="Arial" w:hAnsi="Arial" w:cs="Arial"/>
          <w:color w:val="000000" w:themeColor="text1"/>
          <w:sz w:val="22"/>
          <w:szCs w:val="22"/>
        </w:rPr>
        <w:t xml:space="preserve">, or teriparatide) should be considered as first-line agents </w:t>
      </w:r>
      <w:proofErr w:type="gramStart"/>
      <w:r w:rsidR="006A419B" w:rsidRPr="00276758">
        <w:rPr>
          <w:rFonts w:ascii="Arial" w:hAnsi="Arial" w:cs="Arial"/>
          <w:color w:val="000000" w:themeColor="text1"/>
          <w:sz w:val="22"/>
          <w:szCs w:val="22"/>
        </w:rPr>
        <w:t>I</w:t>
      </w:r>
      <w:r w:rsidRPr="00276758">
        <w:rPr>
          <w:rFonts w:ascii="Arial" w:hAnsi="Arial" w:cs="Arial"/>
          <w:color w:val="000000" w:themeColor="text1"/>
          <w:sz w:val="22"/>
          <w:szCs w:val="22"/>
        </w:rPr>
        <w:t>n</w:t>
      </w:r>
      <w:proofErr w:type="gramEnd"/>
      <w:r w:rsidRPr="00276758">
        <w:rPr>
          <w:rFonts w:ascii="Arial" w:hAnsi="Arial" w:cs="Arial"/>
          <w:color w:val="000000" w:themeColor="text1"/>
          <w:sz w:val="22"/>
          <w:szCs w:val="22"/>
        </w:rPr>
        <w:t xml:space="preserve"> patients deemed “very high risk” for fracture. This may include patients with</w:t>
      </w:r>
      <w:r w:rsidR="00023DDA" w:rsidRPr="00276758">
        <w:rPr>
          <w:rFonts w:ascii="Arial" w:hAnsi="Arial" w:cs="Arial"/>
          <w:color w:val="000000" w:themeColor="text1"/>
          <w:sz w:val="22"/>
          <w:szCs w:val="22"/>
        </w:rPr>
        <w:t xml:space="preserve"> very low</w:t>
      </w:r>
      <w:r w:rsidRPr="00276758">
        <w:rPr>
          <w:rFonts w:ascii="Arial" w:hAnsi="Arial" w:cs="Arial"/>
          <w:color w:val="000000" w:themeColor="text1"/>
          <w:sz w:val="22"/>
          <w:szCs w:val="22"/>
        </w:rPr>
        <w:t xml:space="preserve"> T-scores &lt;-3.0 at the lumbar spine or hip, </w:t>
      </w:r>
      <w:r w:rsidR="00023DDA" w:rsidRPr="00276758">
        <w:rPr>
          <w:rFonts w:ascii="Arial" w:hAnsi="Arial" w:cs="Arial"/>
          <w:color w:val="000000" w:themeColor="text1"/>
          <w:sz w:val="22"/>
          <w:szCs w:val="22"/>
        </w:rPr>
        <w:t xml:space="preserve">recent </w:t>
      </w:r>
      <w:r w:rsidR="00DF33C9" w:rsidRPr="00276758">
        <w:rPr>
          <w:rFonts w:ascii="Arial" w:hAnsi="Arial" w:cs="Arial"/>
          <w:color w:val="000000" w:themeColor="text1"/>
          <w:sz w:val="22"/>
          <w:szCs w:val="22"/>
        </w:rPr>
        <w:t xml:space="preserve">fragility </w:t>
      </w:r>
      <w:r w:rsidR="00023DDA" w:rsidRPr="00276758">
        <w:rPr>
          <w:rFonts w:ascii="Arial" w:hAnsi="Arial" w:cs="Arial"/>
          <w:sz w:val="22"/>
          <w:szCs w:val="22"/>
        </w:rPr>
        <w:t>fracture</w:t>
      </w:r>
      <w:r w:rsidR="006304C5" w:rsidRPr="00276758">
        <w:rPr>
          <w:rFonts w:ascii="Arial" w:hAnsi="Arial" w:cs="Arial"/>
          <w:sz w:val="22"/>
          <w:szCs w:val="22"/>
        </w:rPr>
        <w:t>, multiple risk factors for fracture</w:t>
      </w:r>
      <w:r w:rsidR="003B63B5" w:rsidRPr="00276758">
        <w:rPr>
          <w:rFonts w:ascii="Arial" w:hAnsi="Arial" w:cs="Arial"/>
          <w:sz w:val="22"/>
          <w:szCs w:val="22"/>
        </w:rPr>
        <w:t>s</w:t>
      </w:r>
      <w:r w:rsidR="006304C5" w:rsidRPr="00276758">
        <w:rPr>
          <w:rFonts w:ascii="Arial" w:hAnsi="Arial" w:cs="Arial"/>
          <w:sz w:val="22"/>
          <w:szCs w:val="22"/>
        </w:rPr>
        <w:t xml:space="preserve"> or </w:t>
      </w:r>
      <w:r w:rsidR="00023DDA" w:rsidRPr="00276758">
        <w:rPr>
          <w:rFonts w:ascii="Arial" w:hAnsi="Arial" w:cs="Arial"/>
          <w:sz w:val="22"/>
          <w:szCs w:val="22"/>
        </w:rPr>
        <w:t>fractures while on approved osteoporosis therap</w:t>
      </w:r>
      <w:r w:rsidR="006304C5" w:rsidRPr="00276758">
        <w:rPr>
          <w:rFonts w:ascii="Arial" w:hAnsi="Arial" w:cs="Arial"/>
          <w:sz w:val="22"/>
          <w:szCs w:val="22"/>
        </w:rPr>
        <w:t xml:space="preserve">y or intolerance to osteoporosis therapies. </w:t>
      </w:r>
      <w:r w:rsidR="00023DDA" w:rsidRPr="00276758">
        <w:rPr>
          <w:rFonts w:ascii="Arial" w:hAnsi="Arial" w:cs="Arial"/>
          <w:sz w:val="22"/>
          <w:szCs w:val="22"/>
        </w:rPr>
        <w:t>If anabolic treatment is contraindicated or</w:t>
      </w:r>
      <w:r w:rsidR="008D04CD" w:rsidRPr="00276758">
        <w:rPr>
          <w:rFonts w:ascii="Arial" w:hAnsi="Arial" w:cs="Arial"/>
          <w:sz w:val="22"/>
          <w:szCs w:val="22"/>
        </w:rPr>
        <w:t xml:space="preserve"> not </w:t>
      </w:r>
      <w:r w:rsidR="00023DDA" w:rsidRPr="00276758">
        <w:rPr>
          <w:rFonts w:ascii="Arial" w:hAnsi="Arial" w:cs="Arial"/>
          <w:sz w:val="22"/>
          <w:szCs w:val="22"/>
        </w:rPr>
        <w:t xml:space="preserve">available for </w:t>
      </w:r>
      <w:r w:rsidR="008D04CD" w:rsidRPr="00276758">
        <w:rPr>
          <w:rFonts w:ascii="Arial" w:hAnsi="Arial" w:cs="Arial"/>
          <w:sz w:val="22"/>
          <w:szCs w:val="22"/>
        </w:rPr>
        <w:t xml:space="preserve">a </w:t>
      </w:r>
      <w:r w:rsidR="00023DDA" w:rsidRPr="00276758">
        <w:rPr>
          <w:rFonts w:ascii="Arial" w:hAnsi="Arial" w:cs="Arial"/>
          <w:sz w:val="22"/>
          <w:szCs w:val="22"/>
        </w:rPr>
        <w:t xml:space="preserve">patient, </w:t>
      </w:r>
      <w:r w:rsidR="00E77980" w:rsidRPr="00276758">
        <w:rPr>
          <w:rFonts w:ascii="Arial" w:hAnsi="Arial" w:cs="Arial"/>
          <w:sz w:val="22"/>
          <w:szCs w:val="22"/>
        </w:rPr>
        <w:t xml:space="preserve">a </w:t>
      </w:r>
      <w:r w:rsidR="00023DDA" w:rsidRPr="00276758">
        <w:rPr>
          <w:rFonts w:ascii="Arial" w:hAnsi="Arial" w:cs="Arial"/>
          <w:sz w:val="22"/>
          <w:szCs w:val="22"/>
        </w:rPr>
        <w:t xml:space="preserve">parental anti-resorptive agent </w:t>
      </w:r>
      <w:r w:rsidR="008D04CD" w:rsidRPr="00276758">
        <w:rPr>
          <w:rFonts w:ascii="Arial" w:hAnsi="Arial" w:cs="Arial"/>
          <w:sz w:val="22"/>
          <w:szCs w:val="22"/>
        </w:rPr>
        <w:t>should be considered</w:t>
      </w:r>
      <w:r w:rsidR="00E0620C" w:rsidRPr="00276758">
        <w:rPr>
          <w:rFonts w:ascii="Arial" w:hAnsi="Arial" w:cs="Arial"/>
          <w:sz w:val="22"/>
          <w:szCs w:val="22"/>
        </w:rPr>
        <w:t xml:space="preserve">. </w:t>
      </w:r>
    </w:p>
    <w:p w14:paraId="18DFA35E" w14:textId="568B11EE" w:rsidR="00834066" w:rsidRPr="00276758" w:rsidRDefault="00834066" w:rsidP="003B63B5">
      <w:pPr>
        <w:rPr>
          <w:rFonts w:ascii="Arial" w:hAnsi="Arial" w:cs="Arial"/>
          <w:sz w:val="22"/>
          <w:szCs w:val="22"/>
        </w:rPr>
      </w:pPr>
    </w:p>
    <w:p w14:paraId="303BCDED" w14:textId="0E2A05B8" w:rsidR="00834066" w:rsidRPr="00276758" w:rsidRDefault="00834066" w:rsidP="00A6203D">
      <w:pPr>
        <w:autoSpaceDE w:val="0"/>
        <w:autoSpaceDN w:val="0"/>
        <w:adjustRightInd w:val="0"/>
        <w:rPr>
          <w:rFonts w:ascii="Arial" w:eastAsiaTheme="minorHAnsi" w:hAnsi="Arial" w:cs="Arial"/>
          <w:color w:val="131413"/>
          <w:sz w:val="22"/>
          <w:szCs w:val="22"/>
        </w:rPr>
      </w:pPr>
      <w:r w:rsidRPr="00276758">
        <w:rPr>
          <w:rFonts w:ascii="Arial" w:eastAsiaTheme="minorHAnsi" w:hAnsi="Arial" w:cs="Arial"/>
          <w:color w:val="131413"/>
          <w:sz w:val="22"/>
          <w:szCs w:val="22"/>
        </w:rPr>
        <w:t>Denosumab can also increase bone density and reduce fracture risk in women and men at high risk for fracture.</w:t>
      </w:r>
      <w:r w:rsidR="00666775" w:rsidRPr="00276758">
        <w:rPr>
          <w:rFonts w:ascii="Arial" w:eastAsiaTheme="minorHAnsi" w:hAnsi="Arial" w:cs="Arial"/>
          <w:color w:val="131413"/>
          <w:sz w:val="22"/>
          <w:szCs w:val="22"/>
        </w:rPr>
        <w:t xml:space="preserve"> Denosumab is </w:t>
      </w:r>
      <w:r w:rsidRPr="00276758">
        <w:rPr>
          <w:rFonts w:ascii="Arial" w:eastAsiaTheme="minorHAnsi" w:hAnsi="Arial" w:cs="Arial"/>
          <w:color w:val="131413"/>
          <w:sz w:val="22"/>
          <w:szCs w:val="22"/>
        </w:rPr>
        <w:t>FDA approved</w:t>
      </w:r>
      <w:r w:rsidR="00666775" w:rsidRPr="00276758">
        <w:rPr>
          <w:rFonts w:ascii="Arial" w:eastAsiaTheme="minorHAnsi" w:hAnsi="Arial" w:cs="Arial"/>
          <w:color w:val="131413"/>
          <w:sz w:val="22"/>
          <w:szCs w:val="22"/>
        </w:rPr>
        <w:t xml:space="preserve"> </w:t>
      </w:r>
      <w:r w:rsidRPr="00276758">
        <w:rPr>
          <w:rFonts w:ascii="Arial" w:eastAsiaTheme="minorHAnsi" w:hAnsi="Arial" w:cs="Arial"/>
          <w:color w:val="131413"/>
          <w:sz w:val="22"/>
          <w:szCs w:val="22"/>
        </w:rPr>
        <w:t>to treat glucocorticoid-induced osteoporosis in men</w:t>
      </w:r>
      <w:r w:rsidR="00666775" w:rsidRPr="00276758">
        <w:rPr>
          <w:rFonts w:ascii="Arial" w:eastAsiaTheme="minorHAnsi" w:hAnsi="Arial" w:cs="Arial"/>
          <w:color w:val="131413"/>
          <w:sz w:val="22"/>
          <w:szCs w:val="22"/>
        </w:rPr>
        <w:t xml:space="preserve"> </w:t>
      </w:r>
      <w:r w:rsidRPr="00276758">
        <w:rPr>
          <w:rFonts w:ascii="Arial" w:eastAsiaTheme="minorHAnsi" w:hAnsi="Arial" w:cs="Arial"/>
          <w:color w:val="131413"/>
          <w:sz w:val="22"/>
          <w:szCs w:val="22"/>
        </w:rPr>
        <w:t>and women at high risk for fracture</w:t>
      </w:r>
      <w:r w:rsidR="00666775" w:rsidRPr="00276758">
        <w:rPr>
          <w:rFonts w:ascii="Arial" w:eastAsiaTheme="minorHAnsi" w:hAnsi="Arial" w:cs="Arial"/>
          <w:color w:val="131413"/>
          <w:sz w:val="22"/>
          <w:szCs w:val="22"/>
        </w:rPr>
        <w:t xml:space="preserve">, </w:t>
      </w:r>
      <w:r w:rsidR="00AC47BA" w:rsidRPr="00276758">
        <w:rPr>
          <w:rFonts w:ascii="Arial" w:eastAsiaTheme="minorHAnsi" w:hAnsi="Arial" w:cs="Arial"/>
          <w:color w:val="131413"/>
          <w:sz w:val="22"/>
          <w:szCs w:val="22"/>
        </w:rPr>
        <w:t xml:space="preserve">in </w:t>
      </w:r>
      <w:r w:rsidRPr="00276758">
        <w:rPr>
          <w:rFonts w:ascii="Arial" w:eastAsiaTheme="minorHAnsi" w:hAnsi="Arial" w:cs="Arial"/>
          <w:color w:val="131413"/>
          <w:sz w:val="22"/>
          <w:szCs w:val="22"/>
        </w:rPr>
        <w:t xml:space="preserve">women at high fracture risk on adjuvant aromatase inhibitor therapy for breast </w:t>
      </w:r>
      <w:proofErr w:type="gramStart"/>
      <w:r w:rsidRPr="00276758">
        <w:rPr>
          <w:rFonts w:ascii="Arial" w:eastAsiaTheme="minorHAnsi" w:hAnsi="Arial" w:cs="Arial"/>
          <w:color w:val="131413"/>
          <w:sz w:val="22"/>
          <w:szCs w:val="22"/>
        </w:rPr>
        <w:t>cancer</w:t>
      </w:r>
      <w:r w:rsidR="00666775" w:rsidRPr="00276758">
        <w:rPr>
          <w:rFonts w:ascii="Arial" w:eastAsiaTheme="minorHAnsi" w:hAnsi="Arial" w:cs="Arial"/>
          <w:color w:val="131413"/>
          <w:sz w:val="22"/>
          <w:szCs w:val="22"/>
        </w:rPr>
        <w:t xml:space="preserve">, </w:t>
      </w:r>
      <w:r w:rsidR="00AC47BA" w:rsidRPr="00276758">
        <w:rPr>
          <w:rFonts w:ascii="Arial" w:eastAsiaTheme="minorHAnsi" w:hAnsi="Arial" w:cs="Arial"/>
          <w:color w:val="131413"/>
          <w:sz w:val="22"/>
          <w:szCs w:val="22"/>
        </w:rPr>
        <w:t xml:space="preserve"> and</w:t>
      </w:r>
      <w:proofErr w:type="gramEnd"/>
      <w:r w:rsidR="00AC47BA" w:rsidRPr="00276758">
        <w:rPr>
          <w:rFonts w:ascii="Arial" w:eastAsiaTheme="minorHAnsi" w:hAnsi="Arial" w:cs="Arial"/>
          <w:color w:val="131413"/>
          <w:sz w:val="22"/>
          <w:szCs w:val="22"/>
        </w:rPr>
        <w:t xml:space="preserve"> in men treated with androgen deprivation for prostate cancer. </w:t>
      </w:r>
    </w:p>
    <w:p w14:paraId="0444D388" w14:textId="77777777" w:rsidR="00DF33C9" w:rsidRPr="00276758" w:rsidRDefault="00DF33C9" w:rsidP="00023DDA">
      <w:pPr>
        <w:rPr>
          <w:rFonts w:ascii="Arial" w:hAnsi="Arial" w:cs="Arial"/>
          <w:sz w:val="22"/>
          <w:szCs w:val="22"/>
        </w:rPr>
      </w:pPr>
    </w:p>
    <w:p w14:paraId="209D5F36" w14:textId="0E114B44" w:rsidR="007C4FC8" w:rsidRPr="00276758" w:rsidRDefault="00023DDA" w:rsidP="00023DDA">
      <w:pPr>
        <w:rPr>
          <w:rFonts w:ascii="Arial" w:hAnsi="Arial" w:cs="Arial"/>
          <w:sz w:val="22"/>
          <w:szCs w:val="22"/>
        </w:rPr>
      </w:pPr>
      <w:r w:rsidRPr="00276758">
        <w:rPr>
          <w:rFonts w:ascii="Arial" w:hAnsi="Arial" w:cs="Arial"/>
          <w:sz w:val="22"/>
          <w:szCs w:val="22"/>
        </w:rPr>
        <w:t xml:space="preserve">In patients with advanced chronic kidney disease, </w:t>
      </w:r>
      <w:r w:rsidR="00DF33C9" w:rsidRPr="00276758">
        <w:rPr>
          <w:rFonts w:ascii="Arial" w:hAnsi="Arial" w:cs="Arial"/>
          <w:sz w:val="22"/>
          <w:szCs w:val="22"/>
        </w:rPr>
        <w:t>treatment options can be limited. Bisphosphonate</w:t>
      </w:r>
      <w:r w:rsidR="00C62AAC" w:rsidRPr="00276758">
        <w:rPr>
          <w:rFonts w:ascii="Arial" w:hAnsi="Arial" w:cs="Arial"/>
          <w:sz w:val="22"/>
          <w:szCs w:val="22"/>
        </w:rPr>
        <w:t>s</w:t>
      </w:r>
      <w:r w:rsidR="00DF33C9" w:rsidRPr="00276758">
        <w:rPr>
          <w:rFonts w:ascii="Arial" w:hAnsi="Arial" w:cs="Arial"/>
          <w:sz w:val="22"/>
          <w:szCs w:val="22"/>
        </w:rPr>
        <w:t xml:space="preserve"> are generally contraindicated in those with eGFR &lt;30-35. D</w:t>
      </w:r>
      <w:r w:rsidRPr="00276758">
        <w:rPr>
          <w:rFonts w:ascii="Arial" w:hAnsi="Arial" w:cs="Arial"/>
          <w:sz w:val="22"/>
          <w:szCs w:val="22"/>
        </w:rPr>
        <w:t xml:space="preserve">enosumab (Prolia) is the preferred agent for those with </w:t>
      </w:r>
      <w:r w:rsidR="007C4FC8" w:rsidRPr="00276758">
        <w:rPr>
          <w:rFonts w:ascii="Arial" w:hAnsi="Arial" w:cs="Arial"/>
          <w:sz w:val="22"/>
          <w:szCs w:val="22"/>
        </w:rPr>
        <w:t>more advanced kidney disease</w:t>
      </w:r>
      <w:r w:rsidR="00DF33C9" w:rsidRPr="00276758">
        <w:rPr>
          <w:rFonts w:ascii="Arial" w:hAnsi="Arial" w:cs="Arial"/>
          <w:sz w:val="22"/>
          <w:szCs w:val="22"/>
        </w:rPr>
        <w:t>,</w:t>
      </w:r>
      <w:r w:rsidRPr="00276758">
        <w:rPr>
          <w:rFonts w:ascii="Arial" w:hAnsi="Arial" w:cs="Arial"/>
          <w:sz w:val="22"/>
          <w:szCs w:val="22"/>
        </w:rPr>
        <w:t xml:space="preserve"> given lack of direct renal toxicity </w:t>
      </w:r>
      <w:r w:rsidR="00DF33C9" w:rsidRPr="00276758">
        <w:rPr>
          <w:rFonts w:ascii="Arial" w:hAnsi="Arial" w:cs="Arial"/>
          <w:sz w:val="22"/>
          <w:szCs w:val="22"/>
        </w:rPr>
        <w:t xml:space="preserve">and renal metabolism </w:t>
      </w:r>
      <w:r w:rsidRPr="00276758">
        <w:rPr>
          <w:rFonts w:ascii="Arial" w:hAnsi="Arial" w:cs="Arial"/>
          <w:sz w:val="22"/>
          <w:szCs w:val="22"/>
        </w:rPr>
        <w:t>compared to bisphosphonates. However</w:t>
      </w:r>
      <w:r w:rsidR="00DF33C9" w:rsidRPr="00276758">
        <w:rPr>
          <w:rFonts w:ascii="Arial" w:hAnsi="Arial" w:cs="Arial"/>
          <w:sz w:val="22"/>
          <w:szCs w:val="22"/>
        </w:rPr>
        <w:t>,</w:t>
      </w:r>
      <w:r w:rsidRPr="00276758">
        <w:rPr>
          <w:rFonts w:ascii="Arial" w:hAnsi="Arial" w:cs="Arial"/>
          <w:sz w:val="22"/>
          <w:szCs w:val="22"/>
        </w:rPr>
        <w:t xml:space="preserve"> it is important to note that </w:t>
      </w:r>
      <w:r w:rsidR="007C4FC8" w:rsidRPr="00276758">
        <w:rPr>
          <w:rFonts w:ascii="Arial" w:hAnsi="Arial" w:cs="Arial"/>
          <w:sz w:val="22"/>
          <w:szCs w:val="22"/>
        </w:rPr>
        <w:t xml:space="preserve">though denosumab has been shown to improve bone mineral density in those with advanced renal disease, there is little evidence of fracture </w:t>
      </w:r>
      <w:r w:rsidR="00DF33C9" w:rsidRPr="00276758">
        <w:rPr>
          <w:rFonts w:ascii="Arial" w:hAnsi="Arial" w:cs="Arial"/>
          <w:sz w:val="22"/>
          <w:szCs w:val="22"/>
        </w:rPr>
        <w:t>reduction</w:t>
      </w:r>
      <w:r w:rsidR="007C4FC8" w:rsidRPr="00276758">
        <w:rPr>
          <w:rFonts w:ascii="Arial" w:hAnsi="Arial" w:cs="Arial"/>
          <w:sz w:val="22"/>
          <w:szCs w:val="22"/>
        </w:rPr>
        <w:t xml:space="preserve"> in this population</w:t>
      </w:r>
      <w:r w:rsidR="005C368A" w:rsidRPr="00276758">
        <w:rPr>
          <w:rFonts w:ascii="Arial" w:hAnsi="Arial" w:cs="Arial"/>
          <w:sz w:val="22"/>
          <w:szCs w:val="22"/>
        </w:rPr>
        <w:t>. Since patients with CKD may have several different types of metabolic bone diseases including osteoporosis,</w:t>
      </w:r>
      <w:r w:rsidR="007C4FC8" w:rsidRPr="00276758">
        <w:rPr>
          <w:rFonts w:ascii="Arial" w:hAnsi="Arial" w:cs="Arial"/>
          <w:sz w:val="22"/>
          <w:szCs w:val="22"/>
        </w:rPr>
        <w:t xml:space="preserve"> use </w:t>
      </w:r>
      <w:r w:rsidR="005C368A" w:rsidRPr="00276758">
        <w:rPr>
          <w:rFonts w:ascii="Arial" w:hAnsi="Arial" w:cs="Arial"/>
          <w:sz w:val="22"/>
          <w:szCs w:val="22"/>
        </w:rPr>
        <w:t xml:space="preserve">of denosumab </w:t>
      </w:r>
      <w:r w:rsidR="007C4FC8" w:rsidRPr="00276758">
        <w:rPr>
          <w:rFonts w:ascii="Arial" w:hAnsi="Arial" w:cs="Arial"/>
          <w:sz w:val="22"/>
          <w:szCs w:val="22"/>
        </w:rPr>
        <w:t xml:space="preserve">should be approached with caution given the increased complexity of bone disease </w:t>
      </w:r>
      <w:r w:rsidR="00DF33C9" w:rsidRPr="00276758">
        <w:rPr>
          <w:rFonts w:ascii="Arial" w:hAnsi="Arial" w:cs="Arial"/>
          <w:sz w:val="22"/>
          <w:szCs w:val="22"/>
        </w:rPr>
        <w:t xml:space="preserve">in </w:t>
      </w:r>
      <w:r w:rsidR="005C368A" w:rsidRPr="00276758">
        <w:rPr>
          <w:rFonts w:ascii="Arial" w:hAnsi="Arial" w:cs="Arial"/>
          <w:sz w:val="22"/>
          <w:szCs w:val="22"/>
        </w:rPr>
        <w:t>these patients.</w:t>
      </w:r>
    </w:p>
    <w:p w14:paraId="21BA927C" w14:textId="0D92651C" w:rsidR="00467840" w:rsidRPr="00276758" w:rsidRDefault="00467840" w:rsidP="00023DDA">
      <w:pPr>
        <w:rPr>
          <w:rFonts w:ascii="Arial" w:hAnsi="Arial" w:cs="Arial"/>
          <w:sz w:val="22"/>
          <w:szCs w:val="22"/>
        </w:rPr>
      </w:pPr>
    </w:p>
    <w:p w14:paraId="443D9047" w14:textId="3D06BE47" w:rsidR="00467840" w:rsidRPr="00276758" w:rsidRDefault="00467840" w:rsidP="00023DDA">
      <w:pPr>
        <w:rPr>
          <w:rFonts w:ascii="Arial" w:hAnsi="Arial" w:cs="Arial"/>
          <w:sz w:val="22"/>
          <w:szCs w:val="22"/>
        </w:rPr>
      </w:pPr>
      <w:r w:rsidRPr="00276758">
        <w:rPr>
          <w:rFonts w:ascii="Arial" w:hAnsi="Arial" w:cs="Arial"/>
          <w:sz w:val="22"/>
          <w:szCs w:val="22"/>
        </w:rPr>
        <w:t xml:space="preserve">It is important to note </w:t>
      </w:r>
      <w:r w:rsidR="006028C2" w:rsidRPr="00276758">
        <w:rPr>
          <w:rFonts w:ascii="Arial" w:hAnsi="Arial" w:cs="Arial"/>
          <w:sz w:val="22"/>
          <w:szCs w:val="22"/>
        </w:rPr>
        <w:t>that when</w:t>
      </w:r>
      <w:r w:rsidRPr="00276758">
        <w:rPr>
          <w:rFonts w:ascii="Arial" w:hAnsi="Arial" w:cs="Arial"/>
          <w:sz w:val="22"/>
          <w:szCs w:val="22"/>
        </w:rPr>
        <w:t xml:space="preserve"> selecting an anabolic </w:t>
      </w:r>
      <w:r w:rsidR="006028C2" w:rsidRPr="00276758">
        <w:rPr>
          <w:rFonts w:ascii="Arial" w:hAnsi="Arial" w:cs="Arial"/>
          <w:sz w:val="22"/>
          <w:szCs w:val="22"/>
        </w:rPr>
        <w:t>agent</w:t>
      </w:r>
      <w:r w:rsidRPr="00276758">
        <w:rPr>
          <w:rFonts w:ascii="Arial" w:hAnsi="Arial" w:cs="Arial"/>
          <w:sz w:val="22"/>
          <w:szCs w:val="22"/>
        </w:rPr>
        <w:t xml:space="preserve"> or denosumab</w:t>
      </w:r>
      <w:r w:rsidR="006028C2" w:rsidRPr="00276758">
        <w:rPr>
          <w:rFonts w:ascii="Arial" w:hAnsi="Arial" w:cs="Arial"/>
          <w:sz w:val="22"/>
          <w:szCs w:val="22"/>
        </w:rPr>
        <w:t xml:space="preserve">, </w:t>
      </w:r>
      <w:r w:rsidRPr="00276758">
        <w:rPr>
          <w:rFonts w:ascii="Arial" w:hAnsi="Arial" w:cs="Arial"/>
          <w:sz w:val="22"/>
          <w:szCs w:val="22"/>
        </w:rPr>
        <w:t>a plan for the next agent in their treatment sequence should be consider</w:t>
      </w:r>
      <w:r w:rsidR="005C368A" w:rsidRPr="00276758">
        <w:rPr>
          <w:rFonts w:ascii="Arial" w:hAnsi="Arial" w:cs="Arial"/>
          <w:sz w:val="22"/>
          <w:szCs w:val="22"/>
        </w:rPr>
        <w:t>ed</w:t>
      </w:r>
      <w:r w:rsidRPr="00276758">
        <w:rPr>
          <w:rFonts w:ascii="Arial" w:hAnsi="Arial" w:cs="Arial"/>
          <w:sz w:val="22"/>
          <w:szCs w:val="22"/>
        </w:rPr>
        <w:t xml:space="preserve"> at the onset. </w:t>
      </w:r>
      <w:r w:rsidR="006028C2" w:rsidRPr="00276758">
        <w:rPr>
          <w:rFonts w:ascii="Arial" w:hAnsi="Arial" w:cs="Arial"/>
          <w:sz w:val="22"/>
          <w:szCs w:val="22"/>
        </w:rPr>
        <w:t>Anabolic</w:t>
      </w:r>
      <w:r w:rsidRPr="00276758">
        <w:rPr>
          <w:rFonts w:ascii="Arial" w:hAnsi="Arial" w:cs="Arial"/>
          <w:sz w:val="22"/>
          <w:szCs w:val="22"/>
        </w:rPr>
        <w:t xml:space="preserve"> agents are approved for 1-2 years of use, thereafter their effect</w:t>
      </w:r>
      <w:r w:rsidR="003C117E" w:rsidRPr="00276758">
        <w:rPr>
          <w:rFonts w:ascii="Arial" w:hAnsi="Arial" w:cs="Arial"/>
          <w:sz w:val="22"/>
          <w:szCs w:val="22"/>
        </w:rPr>
        <w:t>s</w:t>
      </w:r>
      <w:r w:rsidRPr="00276758">
        <w:rPr>
          <w:rFonts w:ascii="Arial" w:hAnsi="Arial" w:cs="Arial"/>
          <w:sz w:val="22"/>
          <w:szCs w:val="22"/>
        </w:rPr>
        <w:t xml:space="preserve"> wane. </w:t>
      </w:r>
      <w:r w:rsidR="00E228D2" w:rsidRPr="00276758">
        <w:rPr>
          <w:rFonts w:ascii="Arial" w:hAnsi="Arial" w:cs="Arial"/>
          <w:sz w:val="22"/>
          <w:szCs w:val="22"/>
        </w:rPr>
        <w:t xml:space="preserve">At present use of teriparatide can be used for more than a total of 2 years in patients at high risk of fracture. </w:t>
      </w:r>
      <w:r w:rsidRPr="00276758">
        <w:rPr>
          <w:rFonts w:ascii="Arial" w:hAnsi="Arial" w:cs="Arial"/>
          <w:sz w:val="22"/>
          <w:szCs w:val="22"/>
        </w:rPr>
        <w:t>Anti-</w:t>
      </w:r>
      <w:r w:rsidR="006028C2" w:rsidRPr="00276758">
        <w:rPr>
          <w:rFonts w:ascii="Arial" w:hAnsi="Arial" w:cs="Arial"/>
          <w:sz w:val="22"/>
          <w:szCs w:val="22"/>
        </w:rPr>
        <w:t>resorptive agents</w:t>
      </w:r>
      <w:r w:rsidRPr="00276758">
        <w:rPr>
          <w:rFonts w:ascii="Arial" w:hAnsi="Arial" w:cs="Arial"/>
          <w:sz w:val="22"/>
          <w:szCs w:val="22"/>
        </w:rPr>
        <w:t xml:space="preserve"> should </w:t>
      </w:r>
      <w:r w:rsidR="006028C2" w:rsidRPr="00276758">
        <w:rPr>
          <w:rFonts w:ascii="Arial" w:hAnsi="Arial" w:cs="Arial"/>
          <w:sz w:val="22"/>
          <w:szCs w:val="22"/>
        </w:rPr>
        <w:t xml:space="preserve">ideally </w:t>
      </w:r>
      <w:r w:rsidRPr="00276758">
        <w:rPr>
          <w:rFonts w:ascii="Arial" w:hAnsi="Arial" w:cs="Arial"/>
          <w:sz w:val="22"/>
          <w:szCs w:val="22"/>
        </w:rPr>
        <w:t xml:space="preserve">be given after completion of a course of anabolic </w:t>
      </w:r>
      <w:r w:rsidR="006028C2" w:rsidRPr="00276758">
        <w:rPr>
          <w:rFonts w:ascii="Arial" w:hAnsi="Arial" w:cs="Arial"/>
          <w:sz w:val="22"/>
          <w:szCs w:val="22"/>
        </w:rPr>
        <w:t xml:space="preserve">in order </w:t>
      </w:r>
      <w:r w:rsidRPr="00276758">
        <w:rPr>
          <w:rFonts w:ascii="Arial" w:hAnsi="Arial" w:cs="Arial"/>
          <w:sz w:val="22"/>
          <w:szCs w:val="22"/>
        </w:rPr>
        <w:t>to</w:t>
      </w:r>
      <w:r w:rsidR="006028C2" w:rsidRPr="00276758">
        <w:rPr>
          <w:rFonts w:ascii="Arial" w:hAnsi="Arial" w:cs="Arial"/>
          <w:sz w:val="22"/>
          <w:szCs w:val="22"/>
        </w:rPr>
        <w:t xml:space="preserve"> </w:t>
      </w:r>
      <w:r w:rsidRPr="00276758">
        <w:rPr>
          <w:rFonts w:ascii="Arial" w:hAnsi="Arial" w:cs="Arial"/>
          <w:sz w:val="22"/>
          <w:szCs w:val="22"/>
        </w:rPr>
        <w:t xml:space="preserve">prevent </w:t>
      </w:r>
      <w:r w:rsidR="00CE4EE1" w:rsidRPr="00276758">
        <w:rPr>
          <w:rFonts w:ascii="Arial" w:hAnsi="Arial" w:cs="Arial"/>
          <w:sz w:val="22"/>
          <w:szCs w:val="22"/>
        </w:rPr>
        <w:t xml:space="preserve">the </w:t>
      </w:r>
      <w:r w:rsidRPr="00276758">
        <w:rPr>
          <w:rFonts w:ascii="Arial" w:hAnsi="Arial" w:cs="Arial"/>
          <w:sz w:val="22"/>
          <w:szCs w:val="22"/>
        </w:rPr>
        <w:t>bone loss</w:t>
      </w:r>
      <w:r w:rsidR="008D04CD" w:rsidRPr="00276758">
        <w:rPr>
          <w:rFonts w:ascii="Arial" w:hAnsi="Arial" w:cs="Arial"/>
          <w:sz w:val="22"/>
          <w:szCs w:val="22"/>
        </w:rPr>
        <w:t xml:space="preserve"> </w:t>
      </w:r>
      <w:r w:rsidR="00CE4EE1" w:rsidRPr="00276758">
        <w:rPr>
          <w:rFonts w:ascii="Arial" w:hAnsi="Arial" w:cs="Arial"/>
          <w:sz w:val="22"/>
          <w:szCs w:val="22"/>
        </w:rPr>
        <w:t>that occurs</w:t>
      </w:r>
      <w:r w:rsidR="00084968" w:rsidRPr="00276758">
        <w:rPr>
          <w:rFonts w:ascii="Arial" w:hAnsi="Arial" w:cs="Arial"/>
          <w:sz w:val="22"/>
          <w:szCs w:val="22"/>
        </w:rPr>
        <w:t xml:space="preserve"> with</w:t>
      </w:r>
      <w:r w:rsidR="008D04CD" w:rsidRPr="00276758">
        <w:rPr>
          <w:rFonts w:ascii="Arial" w:hAnsi="Arial" w:cs="Arial"/>
          <w:sz w:val="22"/>
          <w:szCs w:val="22"/>
        </w:rPr>
        <w:t xml:space="preserve"> discontinuation</w:t>
      </w:r>
      <w:r w:rsidR="00084968" w:rsidRPr="00276758">
        <w:rPr>
          <w:rFonts w:ascii="Arial" w:hAnsi="Arial" w:cs="Arial"/>
          <w:sz w:val="22"/>
          <w:szCs w:val="22"/>
        </w:rPr>
        <w:t xml:space="preserve"> of these therapies</w:t>
      </w:r>
      <w:r w:rsidRPr="00276758">
        <w:rPr>
          <w:rFonts w:ascii="Arial" w:hAnsi="Arial" w:cs="Arial"/>
          <w:sz w:val="22"/>
          <w:szCs w:val="22"/>
        </w:rPr>
        <w:t>. Regarding denosumab, this is approved for 5-10 years of continuous use, but at the point when denosumab is discontinued, it must be followed at the time of first missed dose or just after with an alternative anti-res</w:t>
      </w:r>
      <w:r w:rsidR="006028C2" w:rsidRPr="00276758">
        <w:rPr>
          <w:rFonts w:ascii="Arial" w:hAnsi="Arial" w:cs="Arial"/>
          <w:sz w:val="22"/>
          <w:szCs w:val="22"/>
        </w:rPr>
        <w:t>or</w:t>
      </w:r>
      <w:r w:rsidRPr="00276758">
        <w:rPr>
          <w:rFonts w:ascii="Arial" w:hAnsi="Arial" w:cs="Arial"/>
          <w:sz w:val="22"/>
          <w:szCs w:val="22"/>
        </w:rPr>
        <w:t>p</w:t>
      </w:r>
      <w:r w:rsidR="006028C2" w:rsidRPr="00276758">
        <w:rPr>
          <w:rFonts w:ascii="Arial" w:hAnsi="Arial" w:cs="Arial"/>
          <w:sz w:val="22"/>
          <w:szCs w:val="22"/>
        </w:rPr>
        <w:t>t</w:t>
      </w:r>
      <w:r w:rsidRPr="00276758">
        <w:rPr>
          <w:rFonts w:ascii="Arial" w:hAnsi="Arial" w:cs="Arial"/>
          <w:sz w:val="22"/>
          <w:szCs w:val="22"/>
        </w:rPr>
        <w:t xml:space="preserve">ive to prevent </w:t>
      </w:r>
      <w:r w:rsidR="00E4781C" w:rsidRPr="00276758">
        <w:rPr>
          <w:rFonts w:ascii="Arial" w:hAnsi="Arial" w:cs="Arial"/>
          <w:sz w:val="22"/>
          <w:szCs w:val="22"/>
        </w:rPr>
        <w:t xml:space="preserve">rapid </w:t>
      </w:r>
      <w:r w:rsidRPr="00276758">
        <w:rPr>
          <w:rFonts w:ascii="Arial" w:hAnsi="Arial" w:cs="Arial"/>
          <w:sz w:val="22"/>
          <w:szCs w:val="22"/>
        </w:rPr>
        <w:t>rebound bone loss</w:t>
      </w:r>
      <w:r w:rsidR="00E228D2" w:rsidRPr="00276758">
        <w:rPr>
          <w:rFonts w:ascii="Arial" w:hAnsi="Arial" w:cs="Arial"/>
          <w:sz w:val="22"/>
          <w:szCs w:val="22"/>
        </w:rPr>
        <w:t xml:space="preserve"> and spine fractures. Ongoing research is assessing different approaches to prevent the bone loss associated with the discontinuation of denosumab</w:t>
      </w:r>
      <w:r w:rsidRPr="00276758">
        <w:rPr>
          <w:rFonts w:ascii="Arial" w:hAnsi="Arial" w:cs="Arial"/>
          <w:sz w:val="22"/>
          <w:szCs w:val="22"/>
        </w:rPr>
        <w:t xml:space="preserve">. </w:t>
      </w:r>
      <w:r w:rsidR="00CE4EE1" w:rsidRPr="00276758">
        <w:rPr>
          <w:rFonts w:ascii="Arial" w:hAnsi="Arial" w:cs="Arial"/>
          <w:sz w:val="22"/>
          <w:szCs w:val="22"/>
        </w:rPr>
        <w:t xml:space="preserve">In </w:t>
      </w:r>
      <w:r w:rsidRPr="00276758">
        <w:rPr>
          <w:rFonts w:ascii="Arial" w:hAnsi="Arial" w:cs="Arial"/>
          <w:sz w:val="22"/>
          <w:szCs w:val="22"/>
        </w:rPr>
        <w:t xml:space="preserve">patients with intolerance or </w:t>
      </w:r>
      <w:r w:rsidR="00CE4EE1" w:rsidRPr="00276758">
        <w:rPr>
          <w:rFonts w:ascii="Arial" w:hAnsi="Arial" w:cs="Arial"/>
          <w:sz w:val="22"/>
          <w:szCs w:val="22"/>
        </w:rPr>
        <w:t xml:space="preserve">a </w:t>
      </w:r>
      <w:r w:rsidRPr="00276758">
        <w:rPr>
          <w:rFonts w:ascii="Arial" w:hAnsi="Arial" w:cs="Arial"/>
          <w:sz w:val="22"/>
          <w:szCs w:val="22"/>
        </w:rPr>
        <w:t xml:space="preserve">renal contraindication to </w:t>
      </w:r>
      <w:r w:rsidR="00CE4EE1" w:rsidRPr="00276758">
        <w:rPr>
          <w:rFonts w:ascii="Arial" w:hAnsi="Arial" w:cs="Arial"/>
          <w:sz w:val="22"/>
          <w:szCs w:val="22"/>
        </w:rPr>
        <w:t xml:space="preserve">using </w:t>
      </w:r>
      <w:r w:rsidRPr="00276758">
        <w:rPr>
          <w:rFonts w:ascii="Arial" w:hAnsi="Arial" w:cs="Arial"/>
          <w:sz w:val="22"/>
          <w:szCs w:val="22"/>
        </w:rPr>
        <w:t xml:space="preserve">bisphosphonates, the options for </w:t>
      </w:r>
      <w:r w:rsidR="006028C2" w:rsidRPr="00276758">
        <w:rPr>
          <w:rFonts w:ascii="Arial" w:hAnsi="Arial" w:cs="Arial"/>
          <w:sz w:val="22"/>
          <w:szCs w:val="22"/>
        </w:rPr>
        <w:t>the treatment</w:t>
      </w:r>
      <w:r w:rsidRPr="00276758">
        <w:rPr>
          <w:rFonts w:ascii="Arial" w:hAnsi="Arial" w:cs="Arial"/>
          <w:sz w:val="22"/>
          <w:szCs w:val="22"/>
        </w:rPr>
        <w:t xml:space="preserve"> sequenc</w:t>
      </w:r>
      <w:r w:rsidR="006028C2" w:rsidRPr="00276758">
        <w:rPr>
          <w:rFonts w:ascii="Arial" w:hAnsi="Arial" w:cs="Arial"/>
          <w:sz w:val="22"/>
          <w:szCs w:val="22"/>
        </w:rPr>
        <w:t>e</w:t>
      </w:r>
      <w:r w:rsidRPr="00276758">
        <w:rPr>
          <w:rFonts w:ascii="Arial" w:hAnsi="Arial" w:cs="Arial"/>
          <w:sz w:val="22"/>
          <w:szCs w:val="22"/>
        </w:rPr>
        <w:t xml:space="preserve"> must be taken into account and discussed with the patient </w:t>
      </w:r>
      <w:r w:rsidR="006028C2" w:rsidRPr="00276758">
        <w:rPr>
          <w:rFonts w:ascii="Arial" w:hAnsi="Arial" w:cs="Arial"/>
          <w:sz w:val="22"/>
          <w:szCs w:val="22"/>
        </w:rPr>
        <w:t xml:space="preserve">as part of </w:t>
      </w:r>
      <w:r w:rsidRPr="00276758">
        <w:rPr>
          <w:rFonts w:ascii="Arial" w:hAnsi="Arial" w:cs="Arial"/>
          <w:sz w:val="22"/>
          <w:szCs w:val="22"/>
        </w:rPr>
        <w:t>shared-decision making</w:t>
      </w:r>
      <w:r w:rsidR="006028C2" w:rsidRPr="00276758">
        <w:rPr>
          <w:rFonts w:ascii="Arial" w:hAnsi="Arial" w:cs="Arial"/>
          <w:sz w:val="22"/>
          <w:szCs w:val="22"/>
        </w:rPr>
        <w:t>.</w:t>
      </w:r>
    </w:p>
    <w:p w14:paraId="337C2308" w14:textId="77777777" w:rsidR="00DF33C9" w:rsidRPr="00276758" w:rsidRDefault="00DF33C9" w:rsidP="00023DDA">
      <w:pPr>
        <w:rPr>
          <w:rFonts w:ascii="Arial" w:hAnsi="Arial" w:cs="Arial"/>
          <w:sz w:val="22"/>
          <w:szCs w:val="22"/>
        </w:rPr>
      </w:pPr>
    </w:p>
    <w:p w14:paraId="55BC9597" w14:textId="72E331A2" w:rsidR="00E77980" w:rsidRPr="00276758" w:rsidRDefault="007C4FC8" w:rsidP="00023DDA">
      <w:pPr>
        <w:rPr>
          <w:rFonts w:ascii="Arial" w:hAnsi="Arial" w:cs="Arial"/>
          <w:sz w:val="22"/>
          <w:szCs w:val="22"/>
        </w:rPr>
      </w:pPr>
      <w:r w:rsidRPr="00276758">
        <w:rPr>
          <w:rFonts w:ascii="Arial" w:hAnsi="Arial" w:cs="Arial"/>
          <w:sz w:val="22"/>
          <w:szCs w:val="22"/>
        </w:rPr>
        <w:t xml:space="preserve">Zoledronic acid is an appropriate first-line option for several different patient </w:t>
      </w:r>
      <w:r w:rsidR="00DF33C9" w:rsidRPr="00276758">
        <w:rPr>
          <w:rFonts w:ascii="Arial" w:hAnsi="Arial" w:cs="Arial"/>
          <w:sz w:val="22"/>
          <w:szCs w:val="22"/>
        </w:rPr>
        <w:t>scenarios</w:t>
      </w:r>
      <w:r w:rsidRPr="00276758">
        <w:rPr>
          <w:rFonts w:ascii="Arial" w:hAnsi="Arial" w:cs="Arial"/>
          <w:sz w:val="22"/>
          <w:szCs w:val="22"/>
        </w:rPr>
        <w:t>. As mentioned in the Z</w:t>
      </w:r>
      <w:r w:rsidR="00DF33C9" w:rsidRPr="00276758">
        <w:rPr>
          <w:rFonts w:ascii="Arial" w:hAnsi="Arial" w:cs="Arial"/>
          <w:sz w:val="22"/>
          <w:szCs w:val="22"/>
        </w:rPr>
        <w:t>oledronic acid</w:t>
      </w:r>
      <w:r w:rsidRPr="00276758">
        <w:rPr>
          <w:rFonts w:ascii="Arial" w:hAnsi="Arial" w:cs="Arial"/>
          <w:sz w:val="22"/>
          <w:szCs w:val="22"/>
        </w:rPr>
        <w:t xml:space="preserve"> </w:t>
      </w:r>
      <w:r w:rsidR="00DF33C9" w:rsidRPr="00276758">
        <w:rPr>
          <w:rFonts w:ascii="Arial" w:hAnsi="Arial" w:cs="Arial"/>
          <w:sz w:val="22"/>
          <w:szCs w:val="22"/>
        </w:rPr>
        <w:t xml:space="preserve">(ZA) </w:t>
      </w:r>
      <w:r w:rsidRPr="00276758">
        <w:rPr>
          <w:rFonts w:ascii="Arial" w:hAnsi="Arial" w:cs="Arial"/>
          <w:sz w:val="22"/>
          <w:szCs w:val="22"/>
        </w:rPr>
        <w:t xml:space="preserve">section above, it is the optimal choice in patients post-hip fracture given </w:t>
      </w:r>
      <w:r w:rsidR="00CE4EE1" w:rsidRPr="00276758">
        <w:rPr>
          <w:rFonts w:ascii="Arial" w:hAnsi="Arial" w:cs="Arial"/>
          <w:sz w:val="22"/>
          <w:szCs w:val="22"/>
        </w:rPr>
        <w:t xml:space="preserve">the benefit in </w:t>
      </w:r>
      <w:r w:rsidRPr="00276758">
        <w:rPr>
          <w:rFonts w:ascii="Arial" w:hAnsi="Arial" w:cs="Arial"/>
          <w:sz w:val="22"/>
          <w:szCs w:val="22"/>
        </w:rPr>
        <w:t xml:space="preserve">morbidity and mortality in this setting. </w:t>
      </w:r>
      <w:r w:rsidR="00DF33C9" w:rsidRPr="00276758">
        <w:rPr>
          <w:rFonts w:ascii="Arial" w:hAnsi="Arial" w:cs="Arial"/>
          <w:sz w:val="22"/>
          <w:szCs w:val="22"/>
        </w:rPr>
        <w:t xml:space="preserve">ZA </w:t>
      </w:r>
      <w:r w:rsidRPr="00276758">
        <w:rPr>
          <w:rFonts w:ascii="Arial" w:hAnsi="Arial" w:cs="Arial"/>
          <w:sz w:val="22"/>
          <w:szCs w:val="22"/>
        </w:rPr>
        <w:t xml:space="preserve">should also be considered </w:t>
      </w:r>
      <w:r w:rsidRPr="00276758">
        <w:rPr>
          <w:rFonts w:ascii="Arial" w:hAnsi="Arial" w:cs="Arial"/>
          <w:sz w:val="22"/>
          <w:szCs w:val="22"/>
        </w:rPr>
        <w:lastRenderedPageBreak/>
        <w:t>in patients at high fracture risk who have upper gastrointestinal/esophageal</w:t>
      </w:r>
      <w:r w:rsidR="00E0620C" w:rsidRPr="00276758">
        <w:rPr>
          <w:rFonts w:ascii="Arial" w:hAnsi="Arial" w:cs="Arial"/>
          <w:sz w:val="22"/>
          <w:szCs w:val="22"/>
        </w:rPr>
        <w:t xml:space="preserve"> disease</w:t>
      </w:r>
      <w:r w:rsidRPr="00276758">
        <w:rPr>
          <w:rFonts w:ascii="Arial" w:hAnsi="Arial" w:cs="Arial"/>
          <w:sz w:val="22"/>
          <w:szCs w:val="22"/>
        </w:rPr>
        <w:t>, or significant mala</w:t>
      </w:r>
      <w:r w:rsidR="00E77980" w:rsidRPr="00276758">
        <w:rPr>
          <w:rFonts w:ascii="Arial" w:hAnsi="Arial" w:cs="Arial"/>
          <w:sz w:val="22"/>
          <w:szCs w:val="22"/>
        </w:rPr>
        <w:t>b</w:t>
      </w:r>
      <w:r w:rsidRPr="00276758">
        <w:rPr>
          <w:rFonts w:ascii="Arial" w:hAnsi="Arial" w:cs="Arial"/>
          <w:sz w:val="22"/>
          <w:szCs w:val="22"/>
        </w:rPr>
        <w:t>sorption (</w:t>
      </w:r>
      <w:proofErr w:type="gramStart"/>
      <w:r w:rsidRPr="00276758">
        <w:rPr>
          <w:rFonts w:ascii="Arial" w:hAnsi="Arial" w:cs="Arial"/>
          <w:sz w:val="22"/>
          <w:szCs w:val="22"/>
        </w:rPr>
        <w:t>i.e.</w:t>
      </w:r>
      <w:proofErr w:type="gramEnd"/>
      <w:r w:rsidRPr="00276758">
        <w:rPr>
          <w:rFonts w:ascii="Arial" w:hAnsi="Arial" w:cs="Arial"/>
          <w:sz w:val="22"/>
          <w:szCs w:val="22"/>
        </w:rPr>
        <w:t xml:space="preserve"> post-gastric bypass surgery), as oral bisphosphonates may be </w:t>
      </w:r>
      <w:r w:rsidR="00DF33C9" w:rsidRPr="00276758">
        <w:rPr>
          <w:rFonts w:ascii="Arial" w:hAnsi="Arial" w:cs="Arial"/>
          <w:sz w:val="22"/>
          <w:szCs w:val="22"/>
        </w:rPr>
        <w:t>associated</w:t>
      </w:r>
      <w:r w:rsidRPr="00276758">
        <w:rPr>
          <w:rFonts w:ascii="Arial" w:hAnsi="Arial" w:cs="Arial"/>
          <w:sz w:val="22"/>
          <w:szCs w:val="22"/>
        </w:rPr>
        <w:t xml:space="preserve"> with increased risk of GI intolerance or </w:t>
      </w:r>
      <w:r w:rsidR="00E77980" w:rsidRPr="00276758">
        <w:rPr>
          <w:rFonts w:ascii="Arial" w:hAnsi="Arial" w:cs="Arial"/>
          <w:sz w:val="22"/>
          <w:szCs w:val="22"/>
        </w:rPr>
        <w:t>poor absorption and efficacy, respectively.</w:t>
      </w:r>
      <w:r w:rsidR="004A3039" w:rsidRPr="00276758">
        <w:rPr>
          <w:rFonts w:ascii="Arial" w:hAnsi="Arial" w:cs="Arial"/>
          <w:sz w:val="22"/>
          <w:szCs w:val="22"/>
        </w:rPr>
        <w:t xml:space="preserve"> </w:t>
      </w:r>
      <w:r w:rsidR="00E77980" w:rsidRPr="00276758">
        <w:rPr>
          <w:rFonts w:ascii="Arial" w:hAnsi="Arial" w:cs="Arial"/>
          <w:sz w:val="22"/>
          <w:szCs w:val="22"/>
        </w:rPr>
        <w:t xml:space="preserve">In patients with compliance difficulties or major transportation concerns, zoledronic acid may also be optimal given its infrequent </w:t>
      </w:r>
      <w:r w:rsidR="00EB2C63" w:rsidRPr="00276758">
        <w:rPr>
          <w:rFonts w:ascii="Arial" w:hAnsi="Arial" w:cs="Arial"/>
          <w:sz w:val="22"/>
          <w:szCs w:val="22"/>
        </w:rPr>
        <w:t xml:space="preserve">and flexible </w:t>
      </w:r>
      <w:r w:rsidR="00E77980" w:rsidRPr="00276758">
        <w:rPr>
          <w:rFonts w:ascii="Arial" w:hAnsi="Arial" w:cs="Arial"/>
          <w:sz w:val="22"/>
          <w:szCs w:val="22"/>
        </w:rPr>
        <w:t>dosing (once yearly</w:t>
      </w:r>
      <w:r w:rsidR="00EB2C63" w:rsidRPr="00276758">
        <w:rPr>
          <w:rFonts w:ascii="Arial" w:hAnsi="Arial" w:cs="Arial"/>
          <w:sz w:val="22"/>
          <w:szCs w:val="22"/>
        </w:rPr>
        <w:t>, though less frequently may also be appropriate in select patients</w:t>
      </w:r>
      <w:r w:rsidR="00E77980" w:rsidRPr="00276758">
        <w:rPr>
          <w:rFonts w:ascii="Arial" w:hAnsi="Arial" w:cs="Arial"/>
          <w:sz w:val="22"/>
          <w:szCs w:val="22"/>
        </w:rPr>
        <w:t>)</w:t>
      </w:r>
      <w:r w:rsidR="00EB2C63" w:rsidRPr="00276758">
        <w:rPr>
          <w:rFonts w:ascii="Arial" w:hAnsi="Arial" w:cs="Arial"/>
          <w:sz w:val="22"/>
          <w:szCs w:val="22"/>
        </w:rPr>
        <w:t>.</w:t>
      </w:r>
      <w:r w:rsidR="00E77980" w:rsidRPr="00276758">
        <w:rPr>
          <w:rFonts w:ascii="Arial" w:hAnsi="Arial" w:cs="Arial"/>
          <w:sz w:val="22"/>
          <w:szCs w:val="22"/>
        </w:rPr>
        <w:t xml:space="preserve"> </w:t>
      </w:r>
      <w:r w:rsidR="00EB2C63" w:rsidRPr="00276758">
        <w:rPr>
          <w:rFonts w:ascii="Arial" w:hAnsi="Arial" w:cs="Arial"/>
          <w:sz w:val="22"/>
          <w:szCs w:val="22"/>
        </w:rPr>
        <w:t>This i</w:t>
      </w:r>
      <w:r w:rsidR="006304C5" w:rsidRPr="00276758">
        <w:rPr>
          <w:rFonts w:ascii="Arial" w:hAnsi="Arial" w:cs="Arial"/>
          <w:sz w:val="22"/>
          <w:szCs w:val="22"/>
        </w:rPr>
        <w:t>s</w:t>
      </w:r>
      <w:r w:rsidR="00EB2C63" w:rsidRPr="00276758">
        <w:rPr>
          <w:rFonts w:ascii="Arial" w:hAnsi="Arial" w:cs="Arial"/>
          <w:sz w:val="22"/>
          <w:szCs w:val="22"/>
        </w:rPr>
        <w:t xml:space="preserve"> in contrast to</w:t>
      </w:r>
      <w:r w:rsidR="00E77980" w:rsidRPr="00276758">
        <w:rPr>
          <w:rFonts w:ascii="Arial" w:hAnsi="Arial" w:cs="Arial"/>
          <w:sz w:val="22"/>
          <w:szCs w:val="22"/>
        </w:rPr>
        <w:t xml:space="preserve"> denosumab</w:t>
      </w:r>
      <w:r w:rsidR="00EB2C63" w:rsidRPr="00276758">
        <w:rPr>
          <w:rFonts w:ascii="Arial" w:hAnsi="Arial" w:cs="Arial"/>
          <w:sz w:val="22"/>
          <w:szCs w:val="22"/>
        </w:rPr>
        <w:t>,</w:t>
      </w:r>
      <w:r w:rsidR="00E77980" w:rsidRPr="00276758">
        <w:rPr>
          <w:rFonts w:ascii="Arial" w:hAnsi="Arial" w:cs="Arial"/>
          <w:sz w:val="22"/>
          <w:szCs w:val="22"/>
        </w:rPr>
        <w:t xml:space="preserve"> which requires strict adherence to </w:t>
      </w:r>
      <w:proofErr w:type="gramStart"/>
      <w:r w:rsidR="00E77980" w:rsidRPr="00276758">
        <w:rPr>
          <w:rFonts w:ascii="Arial" w:hAnsi="Arial" w:cs="Arial"/>
          <w:sz w:val="22"/>
          <w:szCs w:val="22"/>
        </w:rPr>
        <w:t>an every</w:t>
      </w:r>
      <w:proofErr w:type="gramEnd"/>
      <w:r w:rsidR="00E77980" w:rsidRPr="00276758">
        <w:rPr>
          <w:rFonts w:ascii="Arial" w:hAnsi="Arial" w:cs="Arial"/>
          <w:sz w:val="22"/>
          <w:szCs w:val="22"/>
        </w:rPr>
        <w:t xml:space="preserve"> 6 month schedule of injections </w:t>
      </w:r>
      <w:r w:rsidR="00EB2C63" w:rsidRPr="00276758">
        <w:rPr>
          <w:rFonts w:ascii="Arial" w:hAnsi="Arial" w:cs="Arial"/>
          <w:sz w:val="22"/>
          <w:szCs w:val="22"/>
        </w:rPr>
        <w:t>in order to</w:t>
      </w:r>
      <w:r w:rsidR="00E77980" w:rsidRPr="00276758">
        <w:rPr>
          <w:rFonts w:ascii="Arial" w:hAnsi="Arial" w:cs="Arial"/>
          <w:sz w:val="22"/>
          <w:szCs w:val="22"/>
        </w:rPr>
        <w:t xml:space="preserve"> avoid the consequence of rebound bone loss if doses are missed or significantly delayed. </w:t>
      </w:r>
    </w:p>
    <w:p w14:paraId="0BF3F1D7" w14:textId="77777777" w:rsidR="00EB2C63" w:rsidRPr="00276758" w:rsidRDefault="00EB2C63" w:rsidP="00023DDA">
      <w:pPr>
        <w:rPr>
          <w:rFonts w:ascii="Arial" w:hAnsi="Arial" w:cs="Arial"/>
          <w:sz w:val="22"/>
          <w:szCs w:val="22"/>
        </w:rPr>
      </w:pPr>
    </w:p>
    <w:p w14:paraId="0AAAB974" w14:textId="240229EF" w:rsidR="00E77980" w:rsidRPr="00276758" w:rsidRDefault="00E77980" w:rsidP="00023DDA">
      <w:pPr>
        <w:rPr>
          <w:rFonts w:ascii="Arial" w:hAnsi="Arial" w:cs="Arial"/>
          <w:sz w:val="22"/>
          <w:szCs w:val="22"/>
        </w:rPr>
      </w:pPr>
      <w:r w:rsidRPr="00276758">
        <w:rPr>
          <w:rFonts w:ascii="Arial" w:hAnsi="Arial" w:cs="Arial"/>
          <w:sz w:val="22"/>
          <w:szCs w:val="22"/>
        </w:rPr>
        <w:t xml:space="preserve">Lastly, raloxifene may be </w:t>
      </w:r>
      <w:r w:rsidR="003B63B5" w:rsidRPr="00276758">
        <w:rPr>
          <w:rFonts w:ascii="Arial" w:hAnsi="Arial" w:cs="Arial"/>
          <w:sz w:val="22"/>
          <w:szCs w:val="22"/>
        </w:rPr>
        <w:t>considered</w:t>
      </w:r>
      <w:r w:rsidRPr="00276758">
        <w:rPr>
          <w:rFonts w:ascii="Arial" w:hAnsi="Arial" w:cs="Arial"/>
          <w:sz w:val="22"/>
          <w:szCs w:val="22"/>
        </w:rPr>
        <w:t xml:space="preserve"> in patients within 10 years of menopause, who are at high fracture risk at the spine, and high risk for breast cancer based on familial history. Otherwise, </w:t>
      </w:r>
      <w:r w:rsidR="003B63B5" w:rsidRPr="00276758">
        <w:rPr>
          <w:rFonts w:ascii="Arial" w:hAnsi="Arial" w:cs="Arial"/>
          <w:sz w:val="22"/>
          <w:szCs w:val="22"/>
        </w:rPr>
        <w:t xml:space="preserve">an </w:t>
      </w:r>
      <w:r w:rsidRPr="00276758">
        <w:rPr>
          <w:rFonts w:ascii="Arial" w:hAnsi="Arial" w:cs="Arial"/>
          <w:sz w:val="22"/>
          <w:szCs w:val="22"/>
        </w:rPr>
        <w:t xml:space="preserve">oral bisphosphonate </w:t>
      </w:r>
      <w:r w:rsidR="003B63B5" w:rsidRPr="00276758">
        <w:rPr>
          <w:rFonts w:ascii="Arial" w:hAnsi="Arial" w:cs="Arial"/>
          <w:sz w:val="22"/>
          <w:szCs w:val="22"/>
        </w:rPr>
        <w:t>(e.g.,</w:t>
      </w:r>
      <w:r w:rsidRPr="00276758">
        <w:rPr>
          <w:rFonts w:ascii="Arial" w:hAnsi="Arial" w:cs="Arial"/>
          <w:sz w:val="22"/>
          <w:szCs w:val="22"/>
        </w:rPr>
        <w:t xml:space="preserve"> alendronate or risedronate</w:t>
      </w:r>
      <w:r w:rsidR="003B63B5" w:rsidRPr="00276758">
        <w:rPr>
          <w:rFonts w:ascii="Arial" w:hAnsi="Arial" w:cs="Arial"/>
          <w:sz w:val="22"/>
          <w:szCs w:val="22"/>
        </w:rPr>
        <w:t>)</w:t>
      </w:r>
      <w:r w:rsidRPr="00276758">
        <w:rPr>
          <w:rFonts w:ascii="Arial" w:hAnsi="Arial" w:cs="Arial"/>
          <w:sz w:val="22"/>
          <w:szCs w:val="22"/>
        </w:rPr>
        <w:t xml:space="preserve"> </w:t>
      </w:r>
      <w:r w:rsidR="003B63B5" w:rsidRPr="00276758">
        <w:rPr>
          <w:rFonts w:ascii="Arial" w:hAnsi="Arial" w:cs="Arial"/>
          <w:sz w:val="22"/>
          <w:szCs w:val="22"/>
        </w:rPr>
        <w:t xml:space="preserve">or intravenous bisphosphonate or denosumab </w:t>
      </w:r>
      <w:r w:rsidR="004A3039" w:rsidRPr="00276758">
        <w:rPr>
          <w:rFonts w:ascii="Arial" w:hAnsi="Arial" w:cs="Arial"/>
          <w:sz w:val="22"/>
          <w:szCs w:val="22"/>
        </w:rPr>
        <w:t>is</w:t>
      </w:r>
      <w:r w:rsidR="00EB2C63" w:rsidRPr="00276758">
        <w:rPr>
          <w:rFonts w:ascii="Arial" w:hAnsi="Arial" w:cs="Arial"/>
          <w:sz w:val="22"/>
          <w:szCs w:val="22"/>
        </w:rPr>
        <w:t xml:space="preserve"> </w:t>
      </w:r>
      <w:r w:rsidRPr="00276758">
        <w:rPr>
          <w:rFonts w:ascii="Arial" w:hAnsi="Arial" w:cs="Arial"/>
          <w:sz w:val="22"/>
          <w:szCs w:val="22"/>
        </w:rPr>
        <w:t xml:space="preserve">preferred </w:t>
      </w:r>
      <w:r w:rsidR="00084968" w:rsidRPr="00276758">
        <w:rPr>
          <w:rFonts w:ascii="Arial" w:hAnsi="Arial" w:cs="Arial"/>
          <w:sz w:val="22"/>
          <w:szCs w:val="22"/>
        </w:rPr>
        <w:t xml:space="preserve">over raloxifene </w:t>
      </w:r>
      <w:r w:rsidR="00E0620C" w:rsidRPr="00276758">
        <w:rPr>
          <w:rFonts w:ascii="Arial" w:hAnsi="Arial" w:cs="Arial"/>
          <w:sz w:val="22"/>
          <w:szCs w:val="22"/>
        </w:rPr>
        <w:t>a</w:t>
      </w:r>
      <w:r w:rsidR="00084968" w:rsidRPr="00276758">
        <w:rPr>
          <w:rFonts w:ascii="Arial" w:hAnsi="Arial" w:cs="Arial"/>
          <w:sz w:val="22"/>
          <w:szCs w:val="22"/>
        </w:rPr>
        <w:t>s</w:t>
      </w:r>
      <w:r w:rsidR="00E0620C" w:rsidRPr="00276758">
        <w:rPr>
          <w:rFonts w:ascii="Arial" w:hAnsi="Arial" w:cs="Arial"/>
          <w:sz w:val="22"/>
          <w:szCs w:val="22"/>
        </w:rPr>
        <w:t xml:space="preserve"> these therapies </w:t>
      </w:r>
      <w:r w:rsidR="00084968" w:rsidRPr="00276758">
        <w:rPr>
          <w:rFonts w:ascii="Arial" w:hAnsi="Arial" w:cs="Arial"/>
          <w:sz w:val="22"/>
          <w:szCs w:val="22"/>
        </w:rPr>
        <w:t xml:space="preserve">have been shown to reduce spine and non-spine fractures. </w:t>
      </w:r>
    </w:p>
    <w:p w14:paraId="72B888A7" w14:textId="77777777" w:rsidR="009E6E86" w:rsidRPr="00276758" w:rsidRDefault="009E6E86" w:rsidP="003B63B5">
      <w:pPr>
        <w:rPr>
          <w:rFonts w:ascii="Arial" w:hAnsi="Arial" w:cs="Arial"/>
          <w:sz w:val="22"/>
          <w:szCs w:val="22"/>
        </w:rPr>
      </w:pPr>
    </w:p>
    <w:p w14:paraId="52A584CE" w14:textId="79802DA0" w:rsidR="003B63B5" w:rsidRPr="00C62AAC" w:rsidRDefault="009E6E86" w:rsidP="00A6203D">
      <w:pPr>
        <w:rPr>
          <w:rFonts w:ascii="Arial" w:hAnsi="Arial" w:cs="Arial"/>
          <w:color w:val="000000" w:themeColor="text1"/>
          <w:sz w:val="22"/>
          <w:szCs w:val="22"/>
        </w:rPr>
      </w:pPr>
      <w:r w:rsidRPr="00276758">
        <w:rPr>
          <w:rFonts w:ascii="Arial" w:hAnsi="Arial" w:cs="Arial"/>
          <w:color w:val="000000" w:themeColor="text1"/>
          <w:sz w:val="22"/>
          <w:szCs w:val="22"/>
        </w:rPr>
        <w:t>C</w:t>
      </w:r>
      <w:r w:rsidR="00BE0275" w:rsidRPr="00276758">
        <w:rPr>
          <w:rFonts w:ascii="Arial" w:hAnsi="Arial" w:cs="Arial"/>
          <w:color w:val="000000" w:themeColor="text1"/>
          <w:sz w:val="22"/>
          <w:szCs w:val="22"/>
        </w:rPr>
        <w:t xml:space="preserve">linical </w:t>
      </w:r>
      <w:r w:rsidR="003B63B5" w:rsidRPr="00276758">
        <w:rPr>
          <w:rFonts w:ascii="Arial" w:hAnsi="Arial" w:cs="Arial"/>
          <w:color w:val="000000" w:themeColor="text1"/>
          <w:sz w:val="22"/>
          <w:szCs w:val="22"/>
        </w:rPr>
        <w:t>guides from the Bone Health and Osteoporosis Foundation</w:t>
      </w:r>
      <w:r w:rsidR="00095891" w:rsidRPr="00276758">
        <w:rPr>
          <w:rFonts w:ascii="Arial" w:hAnsi="Arial" w:cs="Arial"/>
          <w:color w:val="000000" w:themeColor="text1"/>
          <w:sz w:val="22"/>
          <w:szCs w:val="22"/>
        </w:rPr>
        <w:t xml:space="preserve"> </w:t>
      </w:r>
      <w:r w:rsidR="00095891" w:rsidRPr="00276758">
        <w:rPr>
          <w:rFonts w:ascii="Arial" w:hAnsi="Arial" w:cs="Arial"/>
          <w:sz w:val="22"/>
          <w:szCs w:val="22"/>
        </w:rPr>
        <w:t>(7)</w:t>
      </w:r>
      <w:r w:rsidR="003B63B5" w:rsidRPr="00276758">
        <w:rPr>
          <w:rFonts w:ascii="Arial" w:hAnsi="Arial" w:cs="Arial"/>
          <w:color w:val="000000" w:themeColor="text1"/>
          <w:sz w:val="22"/>
          <w:szCs w:val="22"/>
        </w:rPr>
        <w:t>, American Association of Clinical Endocrinologists/American College of Endocrinology (</w:t>
      </w:r>
      <w:r w:rsidR="005D11F0" w:rsidRPr="00276758">
        <w:rPr>
          <w:rFonts w:ascii="Arial" w:hAnsi="Arial" w:cs="Arial"/>
          <w:color w:val="000000" w:themeColor="text1"/>
          <w:sz w:val="22"/>
          <w:szCs w:val="22"/>
        </w:rPr>
        <w:t>20</w:t>
      </w:r>
      <w:r w:rsidR="00A614BB" w:rsidRPr="00276758">
        <w:rPr>
          <w:rFonts w:ascii="Arial" w:hAnsi="Arial" w:cs="Arial"/>
          <w:color w:val="000000" w:themeColor="text1"/>
          <w:sz w:val="22"/>
          <w:szCs w:val="22"/>
        </w:rPr>
        <w:t>5</w:t>
      </w:r>
      <w:r w:rsidR="003B63B5" w:rsidRPr="00276758">
        <w:rPr>
          <w:rFonts w:ascii="Arial" w:hAnsi="Arial" w:cs="Arial"/>
          <w:color w:val="000000" w:themeColor="text1"/>
        </w:rPr>
        <w:t>), and the Endocrine Society</w:t>
      </w:r>
      <w:r w:rsidR="003B63B5" w:rsidRPr="00276758">
        <w:rPr>
          <w:rFonts w:ascii="Arial" w:hAnsi="Arial" w:cs="Arial"/>
          <w:color w:val="000000" w:themeColor="text1"/>
          <w:sz w:val="22"/>
          <w:szCs w:val="22"/>
        </w:rPr>
        <w:t xml:space="preserve"> (</w:t>
      </w:r>
      <w:r w:rsidR="00832B7D" w:rsidRPr="00276758">
        <w:rPr>
          <w:rFonts w:ascii="Arial" w:hAnsi="Arial" w:cs="Arial"/>
          <w:color w:val="000000" w:themeColor="text1"/>
          <w:sz w:val="22"/>
          <w:szCs w:val="22"/>
        </w:rPr>
        <w:t>201</w:t>
      </w:r>
      <w:r w:rsidR="003B63B5" w:rsidRPr="00276758">
        <w:rPr>
          <w:rFonts w:ascii="Arial" w:hAnsi="Arial" w:cs="Arial"/>
          <w:color w:val="000000" w:themeColor="text1"/>
          <w:sz w:val="22"/>
          <w:szCs w:val="22"/>
        </w:rPr>
        <w:t>)</w:t>
      </w:r>
      <w:r w:rsidRPr="00276758">
        <w:rPr>
          <w:rFonts w:ascii="Arial" w:hAnsi="Arial" w:cs="Arial"/>
          <w:color w:val="000000" w:themeColor="text1"/>
          <w:sz w:val="22"/>
          <w:szCs w:val="22"/>
        </w:rPr>
        <w:t xml:space="preserve"> provide more detailed information on the </w:t>
      </w:r>
      <w:r w:rsidR="00C703A0" w:rsidRPr="00276758">
        <w:rPr>
          <w:rFonts w:ascii="Arial" w:hAnsi="Arial" w:cs="Arial"/>
          <w:color w:val="000000" w:themeColor="text1"/>
          <w:sz w:val="22"/>
          <w:szCs w:val="22"/>
        </w:rPr>
        <w:t>management of osteoporosis in high</w:t>
      </w:r>
      <w:r w:rsidR="00C62AAC" w:rsidRPr="00276758">
        <w:rPr>
          <w:rFonts w:ascii="Arial" w:hAnsi="Arial" w:cs="Arial"/>
          <w:color w:val="000000" w:themeColor="text1"/>
          <w:sz w:val="22"/>
          <w:szCs w:val="22"/>
        </w:rPr>
        <w:t>-</w:t>
      </w:r>
      <w:r w:rsidR="00C703A0" w:rsidRPr="00276758">
        <w:rPr>
          <w:rFonts w:ascii="Arial" w:hAnsi="Arial" w:cs="Arial"/>
          <w:color w:val="000000" w:themeColor="text1"/>
          <w:sz w:val="22"/>
          <w:szCs w:val="22"/>
        </w:rPr>
        <w:t xml:space="preserve"> risk patients.</w:t>
      </w:r>
      <w:r w:rsidR="00C703A0" w:rsidRPr="00C62AAC">
        <w:rPr>
          <w:rFonts w:ascii="Arial" w:hAnsi="Arial" w:cs="Arial"/>
          <w:color w:val="000000" w:themeColor="text1"/>
          <w:sz w:val="22"/>
          <w:szCs w:val="22"/>
        </w:rPr>
        <w:t xml:space="preserve"> </w:t>
      </w:r>
    </w:p>
    <w:p w14:paraId="6CF6EC11" w14:textId="77777777" w:rsidR="003B63B5" w:rsidRPr="00A6203D" w:rsidRDefault="003B63B5" w:rsidP="00023DDA">
      <w:pPr>
        <w:rPr>
          <w:rFonts w:ascii="Arial" w:hAnsi="Arial" w:cs="Arial"/>
          <w:sz w:val="22"/>
          <w:szCs w:val="22"/>
        </w:rPr>
      </w:pPr>
    </w:p>
    <w:p w14:paraId="00358628" w14:textId="77777777" w:rsidR="00CC667D" w:rsidRPr="00A6203D" w:rsidRDefault="00CC667D" w:rsidP="00CE7C7B">
      <w:pPr>
        <w:spacing w:line="276" w:lineRule="auto"/>
        <w:rPr>
          <w:rFonts w:ascii="Arial" w:hAnsi="Arial" w:cs="Arial"/>
          <w:b/>
          <w:bCs/>
          <w:color w:val="0070C0"/>
          <w:sz w:val="22"/>
          <w:szCs w:val="22"/>
        </w:rPr>
      </w:pPr>
    </w:p>
    <w:p w14:paraId="57315171" w14:textId="2210F937"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TREATMENT GAP IN OSTEOPOROSIS THERAPY</w:t>
      </w:r>
    </w:p>
    <w:p w14:paraId="67EFF4F7" w14:textId="77777777" w:rsidR="00033A0F" w:rsidRPr="00A6203D" w:rsidRDefault="00033A0F" w:rsidP="00CE7C7B">
      <w:pPr>
        <w:spacing w:line="276" w:lineRule="auto"/>
        <w:rPr>
          <w:rFonts w:ascii="Arial" w:hAnsi="Arial" w:cs="Arial"/>
          <w:sz w:val="22"/>
          <w:szCs w:val="22"/>
        </w:rPr>
      </w:pPr>
    </w:p>
    <w:p w14:paraId="1A0E3A2A" w14:textId="16615E8E"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Despite having highly effective and well-tolerated available therapeutics for the treatment and prevention of osteoporosis, the rate of treatment of at</w:t>
      </w:r>
      <w:r w:rsidR="00F04F78" w:rsidRPr="00A6203D">
        <w:rPr>
          <w:rFonts w:ascii="Arial" w:hAnsi="Arial" w:cs="Arial"/>
          <w:sz w:val="22"/>
          <w:szCs w:val="22"/>
        </w:rPr>
        <w:t>-</w:t>
      </w:r>
      <w:r w:rsidRPr="00A6203D">
        <w:rPr>
          <w:rFonts w:ascii="Arial" w:hAnsi="Arial" w:cs="Arial"/>
          <w:sz w:val="22"/>
          <w:szCs w:val="22"/>
        </w:rPr>
        <w:t>risk patients is much lower than desired. Based on prescription databases, bisphosphonate use declined by greater than 50% between 2008 and 2012 (</w:t>
      </w:r>
      <w:hyperlink r:id="rId213" w:history="1">
        <w:r w:rsidRPr="00A6203D">
          <w:rPr>
            <w:rStyle w:val="Hyperlink"/>
            <w:rFonts w:ascii="Arial" w:hAnsi="Arial" w:cs="Arial"/>
            <w:color w:val="auto"/>
            <w:sz w:val="22"/>
            <w:szCs w:val="22"/>
            <w:u w:val="none"/>
          </w:rPr>
          <w:t>183</w:t>
        </w:r>
      </w:hyperlink>
      <w:r w:rsidRPr="00A6203D">
        <w:rPr>
          <w:rFonts w:ascii="Arial" w:hAnsi="Arial" w:cs="Arial"/>
          <w:sz w:val="22"/>
          <w:szCs w:val="22"/>
        </w:rPr>
        <w:t>). In addition, the use of bisphosphonates among those with hip fractures declined from 15% in 2004 to only 3% in 2013, which is concerning given the high risk for future fracture in the setting of hip fracture (</w:t>
      </w:r>
      <w:hyperlink r:id="rId214" w:history="1">
        <w:r w:rsidRPr="00A6203D">
          <w:rPr>
            <w:rStyle w:val="Hyperlink"/>
            <w:rFonts w:ascii="Arial" w:hAnsi="Arial" w:cs="Arial"/>
            <w:color w:val="auto"/>
            <w:sz w:val="22"/>
            <w:szCs w:val="22"/>
            <w:u w:val="none"/>
          </w:rPr>
          <w:t>139</w:t>
        </w:r>
      </w:hyperlink>
      <w:r w:rsidRPr="00A6203D">
        <w:rPr>
          <w:rFonts w:ascii="Arial" w:hAnsi="Arial" w:cs="Arial"/>
          <w:sz w:val="22"/>
          <w:szCs w:val="22"/>
        </w:rPr>
        <w:t xml:space="preserve">). This decline in use temporally coincides with FDA warnings regarding potential risks related to anti-resorptive use, such as </w:t>
      </w:r>
      <w:r w:rsidR="00B62B52" w:rsidRPr="00A6203D">
        <w:rPr>
          <w:rFonts w:ascii="Arial" w:hAnsi="Arial" w:cs="Arial"/>
          <w:sz w:val="22"/>
          <w:szCs w:val="22"/>
        </w:rPr>
        <w:t xml:space="preserve">rare </w:t>
      </w:r>
      <w:r w:rsidRPr="00A6203D">
        <w:rPr>
          <w:rFonts w:ascii="Arial" w:hAnsi="Arial" w:cs="Arial"/>
          <w:sz w:val="22"/>
          <w:szCs w:val="22"/>
        </w:rPr>
        <w:t>atypical femur fracture and osteonecrosis of the jaw, though the FDA has not restricted their use based on these risks (</w:t>
      </w:r>
      <w:hyperlink r:id="rId215" w:history="1">
        <w:r w:rsidRPr="00A6203D">
          <w:rPr>
            <w:rStyle w:val="Hyperlink"/>
            <w:rFonts w:ascii="Arial" w:hAnsi="Arial" w:cs="Arial"/>
            <w:color w:val="auto"/>
            <w:sz w:val="22"/>
            <w:szCs w:val="22"/>
            <w:u w:val="none"/>
          </w:rPr>
          <w:t>184</w:t>
        </w:r>
      </w:hyperlink>
      <w:r w:rsidRPr="00A6203D">
        <w:rPr>
          <w:rFonts w:ascii="Arial" w:hAnsi="Arial" w:cs="Arial"/>
          <w:sz w:val="22"/>
          <w:szCs w:val="22"/>
        </w:rPr>
        <w:t>). It is clear that many patients who would benefit from osteoporosis treatment are not receiving it, and this is a major concern for those who treat osteoporosis. Providers must be able to hold thorough and honest discussions with patients regarding the benefits and risks of osteoporosis treatment options in order for patients to accept and comply with needed treatment.</w:t>
      </w:r>
    </w:p>
    <w:p w14:paraId="42CE17A5" w14:textId="77777777" w:rsidR="003C3E9A" w:rsidRPr="00A6203D" w:rsidRDefault="003C3E9A" w:rsidP="00CE7C7B">
      <w:pPr>
        <w:spacing w:line="276" w:lineRule="auto"/>
        <w:rPr>
          <w:rFonts w:ascii="Arial" w:hAnsi="Arial" w:cs="Arial"/>
          <w:b/>
          <w:bCs/>
          <w:strike/>
          <w:color w:val="FF0000"/>
          <w:sz w:val="22"/>
          <w:szCs w:val="22"/>
        </w:rPr>
      </w:pPr>
    </w:p>
    <w:p w14:paraId="1A070AAA" w14:textId="77777777" w:rsidR="005E6870" w:rsidRPr="00A6203D" w:rsidRDefault="005E6870"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CONCLUSION</w:t>
      </w:r>
    </w:p>
    <w:p w14:paraId="3330BD59" w14:textId="77777777" w:rsidR="00033A0F" w:rsidRPr="00A6203D" w:rsidRDefault="00033A0F" w:rsidP="00CE7C7B">
      <w:pPr>
        <w:spacing w:line="276" w:lineRule="auto"/>
        <w:rPr>
          <w:rFonts w:ascii="Arial" w:hAnsi="Arial" w:cs="Arial"/>
          <w:sz w:val="22"/>
          <w:szCs w:val="22"/>
        </w:rPr>
      </w:pPr>
    </w:p>
    <w:p w14:paraId="1B30CF03" w14:textId="7B958C35" w:rsidR="005E6870" w:rsidRPr="00A6203D" w:rsidRDefault="005E6870" w:rsidP="00CE7C7B">
      <w:pPr>
        <w:spacing w:line="276" w:lineRule="auto"/>
        <w:rPr>
          <w:rFonts w:ascii="Arial" w:hAnsi="Arial" w:cs="Arial"/>
          <w:strike/>
          <w:color w:val="FF0000"/>
          <w:sz w:val="22"/>
          <w:szCs w:val="22"/>
        </w:rPr>
      </w:pPr>
      <w:r w:rsidRPr="00A6203D">
        <w:rPr>
          <w:rFonts w:ascii="Arial" w:hAnsi="Arial" w:cs="Arial"/>
          <w:sz w:val="22"/>
          <w:szCs w:val="22"/>
        </w:rPr>
        <w:t>Osteoporosis is a major public health problem that affects approximately 50% of women and 25% of men aged 50 years and older</w:t>
      </w:r>
      <w:r w:rsidR="009C29A5" w:rsidRPr="00A6203D">
        <w:rPr>
          <w:rFonts w:ascii="Arial" w:hAnsi="Arial" w:cs="Arial"/>
          <w:sz w:val="22"/>
          <w:szCs w:val="22"/>
        </w:rPr>
        <w:t xml:space="preserve"> and fractures increase exponentially with advancing age. </w:t>
      </w:r>
      <w:r w:rsidRPr="00A6203D">
        <w:rPr>
          <w:rFonts w:ascii="Arial" w:hAnsi="Arial" w:cs="Arial"/>
          <w:sz w:val="22"/>
          <w:szCs w:val="22"/>
        </w:rPr>
        <w:t xml:space="preserve"> At present, a number of safe and very effective osteoporosis therapies are available</w:t>
      </w:r>
      <w:r w:rsidR="003C3E9A" w:rsidRPr="00A6203D">
        <w:rPr>
          <w:rFonts w:ascii="Arial" w:hAnsi="Arial" w:cs="Arial"/>
          <w:color w:val="000000" w:themeColor="text1"/>
          <w:sz w:val="22"/>
          <w:szCs w:val="22"/>
        </w:rPr>
        <w:t xml:space="preserve">. </w:t>
      </w:r>
      <w:r w:rsidRPr="00A6203D">
        <w:rPr>
          <w:rFonts w:ascii="Arial" w:hAnsi="Arial" w:cs="Arial"/>
          <w:sz w:val="22"/>
          <w:szCs w:val="22"/>
        </w:rPr>
        <w:t>Antiresorptive agents, such as the bisphosphonates, raloxifene, estrogen (not approved for treatment) and denosumab increase bone density and reduce fractures. Teriparatide</w:t>
      </w:r>
      <w:r w:rsidR="00B62B52" w:rsidRPr="00A6203D">
        <w:rPr>
          <w:rFonts w:ascii="Arial" w:hAnsi="Arial" w:cs="Arial"/>
          <w:sz w:val="22"/>
          <w:szCs w:val="22"/>
        </w:rPr>
        <w:t xml:space="preserve">, </w:t>
      </w:r>
      <w:proofErr w:type="spellStart"/>
      <w:r w:rsidR="00B62B52" w:rsidRPr="00A6203D">
        <w:rPr>
          <w:rFonts w:ascii="Arial" w:hAnsi="Arial" w:cs="Arial"/>
          <w:sz w:val="22"/>
          <w:szCs w:val="22"/>
        </w:rPr>
        <w:t>abaloparatide</w:t>
      </w:r>
      <w:proofErr w:type="spellEnd"/>
      <w:r w:rsidR="00B62B52" w:rsidRPr="00A6203D">
        <w:rPr>
          <w:rFonts w:ascii="Arial" w:hAnsi="Arial" w:cs="Arial"/>
          <w:sz w:val="22"/>
          <w:szCs w:val="22"/>
        </w:rPr>
        <w:t xml:space="preserve">, and </w:t>
      </w:r>
      <w:proofErr w:type="spellStart"/>
      <w:r w:rsidR="00B62B52" w:rsidRPr="00A6203D">
        <w:rPr>
          <w:rFonts w:ascii="Arial" w:hAnsi="Arial" w:cs="Arial"/>
          <w:sz w:val="22"/>
          <w:szCs w:val="22"/>
        </w:rPr>
        <w:t>romosozumab</w:t>
      </w:r>
      <w:proofErr w:type="spellEnd"/>
      <w:r w:rsidR="00225AE6" w:rsidRPr="00A6203D">
        <w:rPr>
          <w:rFonts w:ascii="Arial" w:hAnsi="Arial" w:cs="Arial"/>
          <w:sz w:val="22"/>
          <w:szCs w:val="22"/>
        </w:rPr>
        <w:t xml:space="preserve"> are anabolic therapies and their treatment effects </w:t>
      </w:r>
      <w:r w:rsidRPr="00A6203D">
        <w:rPr>
          <w:rFonts w:ascii="Arial" w:hAnsi="Arial" w:cs="Arial"/>
          <w:sz w:val="22"/>
          <w:szCs w:val="22"/>
        </w:rPr>
        <w:t>are best consolidated with an inhibitor of bone resorption such as a bisphosphonate</w:t>
      </w:r>
      <w:r w:rsidR="00225AE6" w:rsidRPr="00A6203D">
        <w:rPr>
          <w:rFonts w:ascii="Arial" w:hAnsi="Arial" w:cs="Arial"/>
          <w:sz w:val="22"/>
          <w:szCs w:val="22"/>
        </w:rPr>
        <w:t xml:space="preserve"> or denosumab</w:t>
      </w:r>
      <w:r w:rsidRPr="00A6203D">
        <w:rPr>
          <w:rFonts w:ascii="Arial" w:hAnsi="Arial" w:cs="Arial"/>
          <w:sz w:val="22"/>
          <w:szCs w:val="22"/>
        </w:rPr>
        <w:t xml:space="preserve">. </w:t>
      </w:r>
      <w:r w:rsidR="009C29A5" w:rsidRPr="00A6203D">
        <w:rPr>
          <w:rFonts w:ascii="Arial" w:hAnsi="Arial" w:cs="Arial"/>
          <w:sz w:val="22"/>
          <w:szCs w:val="22"/>
        </w:rPr>
        <w:t xml:space="preserve">A comprehensive review of the prevention and treatment of osteoporosis is summarized in the </w:t>
      </w:r>
      <w:r w:rsidR="009C29A5" w:rsidRPr="00A6203D">
        <w:rPr>
          <w:rFonts w:ascii="Arial" w:hAnsi="Arial" w:cs="Arial"/>
          <w:sz w:val="22"/>
          <w:szCs w:val="22"/>
        </w:rPr>
        <w:lastRenderedPageBreak/>
        <w:t>2022 Bone Health and Osteoporosis Foundation Clinician’s Guide (</w:t>
      </w:r>
      <w:r w:rsidR="00E0579E" w:rsidRPr="00A6203D">
        <w:rPr>
          <w:rFonts w:ascii="Arial" w:hAnsi="Arial" w:cs="Arial"/>
          <w:sz w:val="22"/>
          <w:szCs w:val="22"/>
        </w:rPr>
        <w:t>7</w:t>
      </w:r>
      <w:r w:rsidR="009C29A5" w:rsidRPr="00A6203D">
        <w:rPr>
          <w:rFonts w:ascii="Arial" w:hAnsi="Arial" w:cs="Arial"/>
          <w:sz w:val="22"/>
          <w:szCs w:val="22"/>
        </w:rPr>
        <w:t xml:space="preserve">). A multifaceted approach including </w:t>
      </w:r>
      <w:r w:rsidR="00C623DE" w:rsidRPr="00A6203D">
        <w:rPr>
          <w:rFonts w:ascii="Arial" w:hAnsi="Arial" w:cs="Arial"/>
          <w:sz w:val="22"/>
          <w:szCs w:val="22"/>
        </w:rPr>
        <w:t xml:space="preserve">calcium and vitamin D, exercise, pharmacologic therapy, and fall prevention strategies can reduce the risk of fractures and promote independent healthy lives in older men and women.   </w:t>
      </w:r>
    </w:p>
    <w:p w14:paraId="04FD5040" w14:textId="77777777" w:rsidR="00033A0F" w:rsidRPr="00A6203D" w:rsidRDefault="00033A0F" w:rsidP="00CE7C7B">
      <w:pPr>
        <w:spacing w:line="276" w:lineRule="auto"/>
        <w:rPr>
          <w:rFonts w:ascii="Arial" w:hAnsi="Arial" w:cs="Arial"/>
          <w:sz w:val="22"/>
          <w:szCs w:val="22"/>
        </w:rPr>
      </w:pPr>
    </w:p>
    <w:p w14:paraId="5DE6FDA0" w14:textId="2B25959C" w:rsidR="00033A0F" w:rsidRPr="00A6203D" w:rsidRDefault="00033A0F" w:rsidP="00CE7C7B">
      <w:pPr>
        <w:spacing w:line="276" w:lineRule="auto"/>
        <w:rPr>
          <w:rFonts w:ascii="Arial" w:hAnsi="Arial" w:cs="Arial"/>
          <w:b/>
          <w:bCs/>
          <w:color w:val="0070C0"/>
          <w:sz w:val="22"/>
          <w:szCs w:val="22"/>
        </w:rPr>
      </w:pPr>
      <w:r w:rsidRPr="00A6203D">
        <w:rPr>
          <w:rFonts w:ascii="Arial" w:hAnsi="Arial" w:cs="Arial"/>
          <w:b/>
          <w:bCs/>
          <w:color w:val="0070C0"/>
          <w:sz w:val="22"/>
          <w:szCs w:val="22"/>
        </w:rPr>
        <w:t>ACKOWLEDGEMENTS</w:t>
      </w:r>
    </w:p>
    <w:p w14:paraId="747A67DE" w14:textId="77777777" w:rsidR="00033A0F" w:rsidRPr="00A6203D" w:rsidRDefault="00033A0F" w:rsidP="00CE7C7B">
      <w:pPr>
        <w:spacing w:line="276" w:lineRule="auto"/>
        <w:rPr>
          <w:rFonts w:ascii="Arial" w:hAnsi="Arial" w:cs="Arial"/>
          <w:sz w:val="22"/>
          <w:szCs w:val="22"/>
        </w:rPr>
      </w:pPr>
    </w:p>
    <w:p w14:paraId="3A8262DB" w14:textId="04FC4B72" w:rsidR="005E6870" w:rsidRPr="00A6203D" w:rsidRDefault="005E6870" w:rsidP="00CE7C7B">
      <w:pPr>
        <w:spacing w:line="276" w:lineRule="auto"/>
        <w:rPr>
          <w:rFonts w:ascii="Arial" w:hAnsi="Arial" w:cs="Arial"/>
          <w:sz w:val="22"/>
          <w:szCs w:val="22"/>
        </w:rPr>
      </w:pPr>
      <w:r w:rsidRPr="00A6203D">
        <w:rPr>
          <w:rFonts w:ascii="Arial" w:hAnsi="Arial" w:cs="Arial"/>
          <w:sz w:val="22"/>
          <w:szCs w:val="22"/>
        </w:rPr>
        <w:t>We wish to acknowledge Anjali Grover, MD, Kara Mikulec, MD and Kathryn E. Ackerman, MD, MPH, and thank them for their past contributions to the Endotext chapter and Jill MacLeod for her assistance in preparation of this review.</w:t>
      </w:r>
    </w:p>
    <w:p w14:paraId="21CA6960" w14:textId="77777777" w:rsidR="00033A0F" w:rsidRPr="00A6203D" w:rsidRDefault="00033A0F" w:rsidP="00CE7C7B">
      <w:pPr>
        <w:spacing w:line="276" w:lineRule="auto"/>
        <w:rPr>
          <w:rFonts w:ascii="Arial" w:hAnsi="Arial" w:cs="Arial"/>
          <w:b/>
          <w:bCs/>
          <w:sz w:val="22"/>
          <w:szCs w:val="22"/>
        </w:rPr>
      </w:pPr>
    </w:p>
    <w:p w14:paraId="1497372B" w14:textId="0799B025" w:rsidR="005E6870" w:rsidRPr="00A6203D" w:rsidRDefault="005E6870" w:rsidP="00CE7C7B">
      <w:pPr>
        <w:spacing w:line="276" w:lineRule="auto"/>
        <w:rPr>
          <w:rFonts w:ascii="Arial" w:hAnsi="Arial" w:cs="Arial"/>
          <w:b/>
          <w:bCs/>
          <w:sz w:val="22"/>
          <w:szCs w:val="22"/>
        </w:rPr>
      </w:pPr>
      <w:r w:rsidRPr="00A6203D">
        <w:rPr>
          <w:rFonts w:ascii="Arial" w:hAnsi="Arial" w:cs="Arial"/>
          <w:b/>
          <w:bCs/>
          <w:color w:val="0070C0"/>
          <w:sz w:val="22"/>
          <w:szCs w:val="22"/>
        </w:rPr>
        <w:t>REFERENCES</w:t>
      </w:r>
      <w:r w:rsidR="00C075B8" w:rsidRPr="00A6203D">
        <w:rPr>
          <w:rFonts w:ascii="Arial" w:hAnsi="Arial" w:cs="Arial"/>
          <w:b/>
          <w:bCs/>
          <w:sz w:val="22"/>
          <w:szCs w:val="22"/>
        </w:rPr>
        <w:t xml:space="preserve"> </w:t>
      </w:r>
      <w:bookmarkEnd w:id="2"/>
    </w:p>
    <w:p w14:paraId="2E073836" w14:textId="77777777" w:rsidR="003644C8" w:rsidRPr="00A6203D" w:rsidRDefault="003644C8" w:rsidP="00CE7C7B">
      <w:pPr>
        <w:spacing w:line="276" w:lineRule="auto"/>
      </w:pPr>
    </w:p>
    <w:p w14:paraId="1F5116D6" w14:textId="79134A5E" w:rsidR="005E6870" w:rsidRPr="00A6203D" w:rsidRDefault="005E6870" w:rsidP="000B2ED2">
      <w:pPr>
        <w:spacing w:line="276" w:lineRule="auto"/>
        <w:ind w:left="576" w:hanging="576"/>
        <w:rPr>
          <w:rFonts w:ascii="Arial" w:hAnsi="Arial" w:cs="Arial"/>
          <w:sz w:val="22"/>
          <w:szCs w:val="22"/>
        </w:rPr>
      </w:pPr>
      <w:bookmarkStart w:id="3" w:name="_Hlk122693998"/>
      <w:r w:rsidRPr="00A6203D">
        <w:rPr>
          <w:rFonts w:ascii="Arial" w:hAnsi="Arial" w:cs="Arial"/>
          <w:sz w:val="22"/>
          <w:szCs w:val="22"/>
        </w:rPr>
        <w:t>1.</w:t>
      </w:r>
      <w:r w:rsidR="000B2ED2" w:rsidRPr="00A6203D">
        <w:rPr>
          <w:rFonts w:ascii="Arial" w:hAnsi="Arial" w:cs="Arial"/>
          <w:sz w:val="22"/>
          <w:szCs w:val="22"/>
        </w:rPr>
        <w:t xml:space="preserve"> </w:t>
      </w:r>
      <w:r w:rsidR="00071D22" w:rsidRPr="00A6203D">
        <w:rPr>
          <w:rFonts w:ascii="Arial" w:hAnsi="Arial" w:cs="Arial"/>
          <w:sz w:val="22"/>
          <w:szCs w:val="22"/>
        </w:rPr>
        <w:t xml:space="preserve">     </w:t>
      </w:r>
      <w:r w:rsidRPr="00A6203D">
        <w:rPr>
          <w:rFonts w:ascii="Arial" w:hAnsi="Arial" w:cs="Arial"/>
          <w:sz w:val="22"/>
          <w:szCs w:val="22"/>
        </w:rPr>
        <w:t>Cooper C, Campion G, Melton LJ 3rd. Hip fractures in the elderly: a world-wide projection.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1992;2:285</w:t>
      </w:r>
      <w:proofErr w:type="gramEnd"/>
      <w:r w:rsidRPr="00A6203D">
        <w:rPr>
          <w:rFonts w:ascii="Arial" w:hAnsi="Arial" w:cs="Arial"/>
          <w:sz w:val="22"/>
          <w:szCs w:val="22"/>
        </w:rPr>
        <w:t>–289. </w:t>
      </w:r>
    </w:p>
    <w:p w14:paraId="7DB5AA8E" w14:textId="4817870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2.</w:t>
      </w:r>
      <w:r w:rsidR="000B2ED2" w:rsidRPr="00A6203D">
        <w:rPr>
          <w:rFonts w:ascii="Arial" w:hAnsi="Arial" w:cs="Arial"/>
          <w:sz w:val="22"/>
          <w:szCs w:val="22"/>
        </w:rPr>
        <w:t xml:space="preserve"> </w:t>
      </w:r>
      <w:r w:rsidR="00071D22" w:rsidRPr="00A6203D">
        <w:rPr>
          <w:rFonts w:ascii="Arial" w:hAnsi="Arial" w:cs="Arial"/>
          <w:sz w:val="22"/>
          <w:szCs w:val="22"/>
        </w:rPr>
        <w:t xml:space="preserve">     </w:t>
      </w:r>
      <w:r w:rsidRPr="00A6203D">
        <w:rPr>
          <w:rFonts w:ascii="Arial" w:hAnsi="Arial" w:cs="Arial"/>
          <w:sz w:val="22"/>
          <w:szCs w:val="22"/>
        </w:rPr>
        <w:t xml:space="preserve">Burge R, Dawson-Hughes B, Solomon DH, Wong JB, King A, </w:t>
      </w:r>
      <w:proofErr w:type="spellStart"/>
      <w:r w:rsidRPr="00A6203D">
        <w:rPr>
          <w:rFonts w:ascii="Arial" w:hAnsi="Arial" w:cs="Arial"/>
          <w:sz w:val="22"/>
          <w:szCs w:val="22"/>
        </w:rPr>
        <w:t>Tosteson</w:t>
      </w:r>
      <w:proofErr w:type="spellEnd"/>
      <w:r w:rsidRPr="00A6203D">
        <w:rPr>
          <w:rFonts w:ascii="Arial" w:hAnsi="Arial" w:cs="Arial"/>
          <w:sz w:val="22"/>
          <w:szCs w:val="22"/>
        </w:rPr>
        <w:t xml:space="preserve"> A. Incidence and economic burden of osteoporosis-related fractures in the United States, 2005-2025. Journal of bone and mineral research: the official journal of the American Society for Bone and Mineral Research 2007; 22:465-475.</w:t>
      </w:r>
    </w:p>
    <w:p w14:paraId="34FFBF8C" w14:textId="3B83073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3.</w:t>
      </w:r>
      <w:r w:rsidR="00071D22" w:rsidRPr="00A6203D">
        <w:rPr>
          <w:rFonts w:ascii="Arial" w:hAnsi="Arial" w:cs="Arial"/>
          <w:sz w:val="22"/>
          <w:szCs w:val="22"/>
        </w:rPr>
        <w:t xml:space="preserve">     </w:t>
      </w:r>
      <w:r w:rsidR="000B2ED2" w:rsidRPr="00A6203D">
        <w:rPr>
          <w:rFonts w:ascii="Arial" w:hAnsi="Arial" w:cs="Arial"/>
          <w:sz w:val="22"/>
          <w:szCs w:val="22"/>
        </w:rPr>
        <w:t xml:space="preserve"> </w:t>
      </w:r>
      <w:proofErr w:type="spellStart"/>
      <w:r w:rsidRPr="00A6203D">
        <w:rPr>
          <w:rFonts w:ascii="Arial" w:hAnsi="Arial" w:cs="Arial"/>
          <w:sz w:val="22"/>
          <w:szCs w:val="22"/>
        </w:rPr>
        <w:t>Chrischilles</w:t>
      </w:r>
      <w:proofErr w:type="spellEnd"/>
      <w:r w:rsidRPr="00A6203D">
        <w:rPr>
          <w:rFonts w:ascii="Arial" w:hAnsi="Arial" w:cs="Arial"/>
          <w:sz w:val="22"/>
          <w:szCs w:val="22"/>
        </w:rPr>
        <w:t xml:space="preserve"> EA, Butler CD, Davis CS, Wallace RB. A model of lifetime osteoporosis impact. Arch Intern Med. </w:t>
      </w:r>
      <w:proofErr w:type="gramStart"/>
      <w:r w:rsidRPr="00A6203D">
        <w:rPr>
          <w:rFonts w:ascii="Arial" w:hAnsi="Arial" w:cs="Arial"/>
          <w:sz w:val="22"/>
          <w:szCs w:val="22"/>
        </w:rPr>
        <w:t>1991;151:2026</w:t>
      </w:r>
      <w:proofErr w:type="gramEnd"/>
      <w:r w:rsidRPr="00A6203D">
        <w:rPr>
          <w:rFonts w:ascii="Arial" w:hAnsi="Arial" w:cs="Arial"/>
          <w:sz w:val="22"/>
          <w:szCs w:val="22"/>
        </w:rPr>
        <w:t>–2032. </w:t>
      </w:r>
    </w:p>
    <w:p w14:paraId="6915C712" w14:textId="0FEE1407"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4.</w:t>
      </w:r>
      <w:r w:rsidR="00071D22" w:rsidRPr="00A6203D">
        <w:rPr>
          <w:rFonts w:ascii="Arial" w:hAnsi="Arial" w:cs="Arial"/>
          <w:sz w:val="22"/>
          <w:szCs w:val="22"/>
        </w:rPr>
        <w:t xml:space="preserve">      </w:t>
      </w:r>
      <w:r w:rsidRPr="00A6203D">
        <w:rPr>
          <w:rFonts w:ascii="Arial" w:hAnsi="Arial" w:cs="Arial"/>
          <w:sz w:val="22"/>
          <w:szCs w:val="22"/>
        </w:rPr>
        <w:t>Magaziner J, Lydick E, Hawkes W, Fox KM, Zimmerman SI, Epstein RS, Hebel JR. Excess mortality attributable to hip fracture in white women aged 70 years and older. Am J Public Health. </w:t>
      </w:r>
      <w:proofErr w:type="gramStart"/>
      <w:r w:rsidRPr="00A6203D">
        <w:rPr>
          <w:rFonts w:ascii="Arial" w:hAnsi="Arial" w:cs="Arial"/>
          <w:sz w:val="22"/>
          <w:szCs w:val="22"/>
        </w:rPr>
        <w:t>1997;87:1630</w:t>
      </w:r>
      <w:proofErr w:type="gramEnd"/>
      <w:r w:rsidRPr="00A6203D">
        <w:rPr>
          <w:rFonts w:ascii="Arial" w:hAnsi="Arial" w:cs="Arial"/>
          <w:sz w:val="22"/>
          <w:szCs w:val="22"/>
        </w:rPr>
        <w:t>–1636. </w:t>
      </w:r>
    </w:p>
    <w:p w14:paraId="4E314E8A" w14:textId="0BFD4FE1"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5.</w:t>
      </w:r>
      <w:r w:rsidR="00071D22" w:rsidRPr="00A6203D">
        <w:rPr>
          <w:rFonts w:ascii="Arial" w:hAnsi="Arial" w:cs="Arial"/>
          <w:sz w:val="22"/>
          <w:szCs w:val="22"/>
        </w:rPr>
        <w:t xml:space="preserve">      </w:t>
      </w:r>
      <w:r w:rsidRPr="00A6203D">
        <w:rPr>
          <w:rFonts w:ascii="Arial" w:hAnsi="Arial" w:cs="Arial"/>
          <w:sz w:val="22"/>
          <w:szCs w:val="22"/>
        </w:rPr>
        <w:t xml:space="preserve">Melton LJ 3rd, Thamer M, Ray NF, Chan JK, </w:t>
      </w:r>
      <w:proofErr w:type="spellStart"/>
      <w:r w:rsidRPr="00A6203D">
        <w:rPr>
          <w:rFonts w:ascii="Arial" w:hAnsi="Arial" w:cs="Arial"/>
          <w:sz w:val="22"/>
          <w:szCs w:val="22"/>
        </w:rPr>
        <w:t>Chesnut</w:t>
      </w:r>
      <w:proofErr w:type="spellEnd"/>
      <w:r w:rsidRPr="00A6203D">
        <w:rPr>
          <w:rFonts w:ascii="Arial" w:hAnsi="Arial" w:cs="Arial"/>
          <w:sz w:val="22"/>
          <w:szCs w:val="22"/>
        </w:rPr>
        <w:t xml:space="preserve"> CH 3rd, Einhorn TA, Johnston CC, Raisz LG, Silverman SL, Siris ES. Fractures attributable to osteoporosis: report from the National Osteoporosis Foundation. J Bone Miner Res. </w:t>
      </w:r>
      <w:proofErr w:type="gramStart"/>
      <w:r w:rsidRPr="00A6203D">
        <w:rPr>
          <w:rFonts w:ascii="Arial" w:hAnsi="Arial" w:cs="Arial"/>
          <w:sz w:val="22"/>
          <w:szCs w:val="22"/>
        </w:rPr>
        <w:t>1997;12:16</w:t>
      </w:r>
      <w:proofErr w:type="gramEnd"/>
      <w:r w:rsidRPr="00A6203D">
        <w:rPr>
          <w:rFonts w:ascii="Arial" w:hAnsi="Arial" w:cs="Arial"/>
          <w:sz w:val="22"/>
          <w:szCs w:val="22"/>
        </w:rPr>
        <w:t>–23. </w:t>
      </w:r>
    </w:p>
    <w:p w14:paraId="6CF0140D" w14:textId="1F835269"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6.</w:t>
      </w:r>
      <w:r w:rsidR="00071D22" w:rsidRPr="00A6203D">
        <w:rPr>
          <w:rFonts w:ascii="Arial" w:hAnsi="Arial" w:cs="Arial"/>
          <w:sz w:val="22"/>
          <w:szCs w:val="22"/>
        </w:rPr>
        <w:t xml:space="preserve">      </w:t>
      </w:r>
      <w:r w:rsidRPr="00A6203D">
        <w:rPr>
          <w:rFonts w:ascii="Arial" w:hAnsi="Arial" w:cs="Arial"/>
          <w:sz w:val="22"/>
          <w:szCs w:val="22"/>
        </w:rPr>
        <w:t xml:space="preserve">Siris ES, Chen YT, Abbott TA, Barrett-Connor E, Miller PD, </w:t>
      </w:r>
      <w:proofErr w:type="spellStart"/>
      <w:r w:rsidRPr="00A6203D">
        <w:rPr>
          <w:rFonts w:ascii="Arial" w:hAnsi="Arial" w:cs="Arial"/>
          <w:sz w:val="22"/>
          <w:szCs w:val="22"/>
        </w:rPr>
        <w:t>Wehren</w:t>
      </w:r>
      <w:proofErr w:type="spellEnd"/>
      <w:r w:rsidRPr="00A6203D">
        <w:rPr>
          <w:rFonts w:ascii="Arial" w:hAnsi="Arial" w:cs="Arial"/>
          <w:sz w:val="22"/>
          <w:szCs w:val="22"/>
        </w:rPr>
        <w:t xml:space="preserve"> LE, Berger ML. Bone mineral density thresholds for pharmacological intervention to prevent fractures. Arch Intern Med. </w:t>
      </w:r>
      <w:proofErr w:type="gramStart"/>
      <w:r w:rsidRPr="00A6203D">
        <w:rPr>
          <w:rFonts w:ascii="Arial" w:hAnsi="Arial" w:cs="Arial"/>
          <w:sz w:val="22"/>
          <w:szCs w:val="22"/>
        </w:rPr>
        <w:t>2004;164:1108</w:t>
      </w:r>
      <w:proofErr w:type="gramEnd"/>
      <w:r w:rsidRPr="00A6203D">
        <w:rPr>
          <w:rFonts w:ascii="Arial" w:hAnsi="Arial" w:cs="Arial"/>
          <w:sz w:val="22"/>
          <w:szCs w:val="22"/>
        </w:rPr>
        <w:t>–1112. </w:t>
      </w:r>
    </w:p>
    <w:p w14:paraId="5E6F7B64" w14:textId="1BC7FD8A" w:rsidR="0063381C" w:rsidRPr="00A6203D" w:rsidRDefault="005E6870" w:rsidP="00071D22">
      <w:pPr>
        <w:spacing w:line="276" w:lineRule="auto"/>
        <w:ind w:left="576" w:hanging="576"/>
        <w:rPr>
          <w:rFonts w:ascii="Arial" w:hAnsi="Arial" w:cs="Arial"/>
          <w:color w:val="000000" w:themeColor="text1"/>
          <w:sz w:val="22"/>
          <w:szCs w:val="22"/>
        </w:rPr>
      </w:pPr>
      <w:r w:rsidRPr="00A6203D">
        <w:rPr>
          <w:rFonts w:ascii="Arial" w:hAnsi="Arial" w:cs="Arial"/>
          <w:sz w:val="22"/>
          <w:szCs w:val="22"/>
        </w:rPr>
        <w:t>7.</w:t>
      </w:r>
      <w:r w:rsidR="00071D22" w:rsidRPr="00A6203D">
        <w:rPr>
          <w:rFonts w:ascii="Arial" w:hAnsi="Arial" w:cs="Arial"/>
          <w:sz w:val="22"/>
          <w:szCs w:val="22"/>
        </w:rPr>
        <w:t xml:space="preserve">      </w:t>
      </w:r>
      <w:proofErr w:type="spellStart"/>
      <w:r w:rsidR="0063381C" w:rsidRPr="00A6203D">
        <w:rPr>
          <w:rFonts w:ascii="Arial" w:hAnsi="Arial" w:cs="Arial"/>
          <w:color w:val="000000" w:themeColor="text1"/>
          <w:sz w:val="22"/>
          <w:szCs w:val="22"/>
        </w:rPr>
        <w:t>LeBoff</w:t>
      </w:r>
      <w:proofErr w:type="spellEnd"/>
      <w:r w:rsidR="00637E15" w:rsidRPr="00A6203D">
        <w:rPr>
          <w:rFonts w:ascii="Arial" w:hAnsi="Arial" w:cs="Arial"/>
          <w:color w:val="000000" w:themeColor="text1"/>
          <w:sz w:val="22"/>
          <w:szCs w:val="22"/>
        </w:rPr>
        <w:t xml:space="preserve"> </w:t>
      </w:r>
      <w:r w:rsidR="0063381C" w:rsidRPr="00A6203D">
        <w:rPr>
          <w:rFonts w:ascii="Arial" w:hAnsi="Arial" w:cs="Arial"/>
          <w:color w:val="000000" w:themeColor="text1"/>
          <w:sz w:val="22"/>
          <w:szCs w:val="22"/>
        </w:rPr>
        <w:t>M</w:t>
      </w:r>
      <w:r w:rsidR="00637E15" w:rsidRPr="00A6203D">
        <w:rPr>
          <w:rFonts w:ascii="Arial" w:hAnsi="Arial" w:cs="Arial"/>
          <w:color w:val="000000" w:themeColor="text1"/>
          <w:sz w:val="22"/>
          <w:szCs w:val="22"/>
        </w:rPr>
        <w:t>S</w:t>
      </w:r>
      <w:r w:rsidR="0063381C" w:rsidRPr="00A6203D">
        <w:rPr>
          <w:rFonts w:ascii="Arial" w:hAnsi="Arial" w:cs="Arial"/>
          <w:color w:val="000000" w:themeColor="text1"/>
          <w:sz w:val="22"/>
          <w:szCs w:val="22"/>
        </w:rPr>
        <w:t>, Greenspan S</w:t>
      </w:r>
      <w:r w:rsidR="00637E15" w:rsidRPr="00A6203D">
        <w:rPr>
          <w:rFonts w:ascii="Arial" w:hAnsi="Arial" w:cs="Arial"/>
          <w:color w:val="000000" w:themeColor="text1"/>
          <w:sz w:val="22"/>
          <w:szCs w:val="22"/>
        </w:rPr>
        <w:t>L</w:t>
      </w:r>
      <w:r w:rsidR="0063381C" w:rsidRPr="00A6203D">
        <w:rPr>
          <w:rFonts w:ascii="Arial" w:hAnsi="Arial" w:cs="Arial"/>
          <w:color w:val="000000" w:themeColor="text1"/>
          <w:sz w:val="22"/>
          <w:szCs w:val="22"/>
        </w:rPr>
        <w:t>, Insogna K</w:t>
      </w:r>
      <w:r w:rsidR="00637E15" w:rsidRPr="00A6203D">
        <w:rPr>
          <w:rFonts w:ascii="Arial" w:hAnsi="Arial" w:cs="Arial"/>
          <w:color w:val="000000" w:themeColor="text1"/>
          <w:sz w:val="22"/>
          <w:szCs w:val="22"/>
        </w:rPr>
        <w:t xml:space="preserve">L, </w:t>
      </w:r>
      <w:proofErr w:type="spellStart"/>
      <w:r w:rsidR="00637E15" w:rsidRPr="00A6203D">
        <w:rPr>
          <w:rFonts w:ascii="Arial" w:hAnsi="Arial" w:cs="Arial"/>
          <w:color w:val="000000" w:themeColor="text1"/>
          <w:sz w:val="22"/>
          <w:szCs w:val="22"/>
        </w:rPr>
        <w:t>Lewiecki</w:t>
      </w:r>
      <w:proofErr w:type="spellEnd"/>
      <w:r w:rsidR="00637E15" w:rsidRPr="00A6203D">
        <w:rPr>
          <w:rFonts w:ascii="Arial" w:hAnsi="Arial" w:cs="Arial"/>
          <w:color w:val="000000" w:themeColor="text1"/>
          <w:sz w:val="22"/>
          <w:szCs w:val="22"/>
        </w:rPr>
        <w:t xml:space="preserve"> EM, Saag KG, Singer AJ, Siris ES. </w:t>
      </w:r>
      <w:r w:rsidR="0063381C" w:rsidRPr="00A6203D">
        <w:rPr>
          <w:rFonts w:ascii="Arial" w:hAnsi="Arial" w:cs="Arial"/>
          <w:color w:val="000000" w:themeColor="text1"/>
          <w:sz w:val="22"/>
          <w:szCs w:val="22"/>
        </w:rPr>
        <w:t xml:space="preserve"> The clinician’s guide to prevention and treatment of osteoporosis. </w:t>
      </w:r>
      <w:proofErr w:type="spellStart"/>
      <w:r w:rsidR="0063381C" w:rsidRPr="00A6203D">
        <w:rPr>
          <w:rFonts w:ascii="Arial" w:hAnsi="Arial" w:cs="Arial"/>
          <w:color w:val="000000" w:themeColor="text1"/>
          <w:sz w:val="22"/>
          <w:szCs w:val="22"/>
        </w:rPr>
        <w:t>Osteoporos</w:t>
      </w:r>
      <w:proofErr w:type="spellEnd"/>
      <w:r w:rsidR="0063381C" w:rsidRPr="00A6203D">
        <w:rPr>
          <w:rFonts w:ascii="Arial" w:hAnsi="Arial" w:cs="Arial"/>
          <w:color w:val="000000" w:themeColor="text1"/>
          <w:sz w:val="22"/>
          <w:szCs w:val="22"/>
        </w:rPr>
        <w:t xml:space="preserve"> Int</w:t>
      </w:r>
      <w:r w:rsidR="00637E15" w:rsidRPr="00A6203D">
        <w:rPr>
          <w:rFonts w:ascii="Arial" w:hAnsi="Arial" w:cs="Arial"/>
          <w:color w:val="000000" w:themeColor="text1"/>
          <w:sz w:val="22"/>
          <w:szCs w:val="22"/>
        </w:rPr>
        <w:t xml:space="preserve">. </w:t>
      </w:r>
      <w:r w:rsidR="0063381C" w:rsidRPr="00A6203D">
        <w:rPr>
          <w:rFonts w:ascii="Arial" w:hAnsi="Arial" w:cs="Arial"/>
          <w:color w:val="000000" w:themeColor="text1"/>
          <w:sz w:val="22"/>
          <w:szCs w:val="22"/>
        </w:rPr>
        <w:t>2022</w:t>
      </w:r>
      <w:r w:rsidR="00637E15" w:rsidRPr="00A6203D">
        <w:rPr>
          <w:rFonts w:ascii="Arial" w:hAnsi="Arial" w:cs="Arial"/>
          <w:color w:val="000000" w:themeColor="text1"/>
          <w:sz w:val="22"/>
          <w:szCs w:val="22"/>
        </w:rPr>
        <w:t>; 33(10):2049-2102</w:t>
      </w:r>
      <w:r w:rsidR="0063381C" w:rsidRPr="00A6203D">
        <w:rPr>
          <w:rFonts w:ascii="Arial" w:hAnsi="Arial" w:cs="Arial"/>
          <w:color w:val="000000" w:themeColor="text1"/>
          <w:sz w:val="22"/>
          <w:szCs w:val="22"/>
        </w:rPr>
        <w:t xml:space="preserve">. </w:t>
      </w:r>
    </w:p>
    <w:p w14:paraId="6F6BE129" w14:textId="18B6BE8C" w:rsidR="005C4C29" w:rsidRPr="00A6203D" w:rsidRDefault="005C4C29" w:rsidP="00071D22">
      <w:pPr>
        <w:spacing w:line="276" w:lineRule="auto"/>
        <w:ind w:left="576" w:hanging="576"/>
        <w:rPr>
          <w:rFonts w:ascii="Arial" w:hAnsi="Arial" w:cs="Arial"/>
          <w:sz w:val="22"/>
          <w:szCs w:val="22"/>
        </w:rPr>
      </w:pPr>
      <w:r w:rsidRPr="00A6203D">
        <w:rPr>
          <w:rFonts w:ascii="Arial" w:hAnsi="Arial" w:cs="Arial"/>
          <w:sz w:val="22"/>
          <w:szCs w:val="22"/>
        </w:rPr>
        <w:t>8.</w:t>
      </w:r>
      <w:r w:rsidRPr="00A6203D">
        <w:rPr>
          <w:rFonts w:ascii="Arial" w:hAnsi="Arial" w:cs="Arial"/>
          <w:sz w:val="22"/>
          <w:szCs w:val="22"/>
        </w:rPr>
        <w:tab/>
        <w:t>McCloskey EV, Oden NC, Harvey WD, Leslie D, Hans H, Johansson, et al. A Meta-analysis of trabecular bone score in fracture risk prediction</w:t>
      </w:r>
      <w:r w:rsidR="00DB1B29" w:rsidRPr="00A6203D">
        <w:rPr>
          <w:rFonts w:ascii="Arial" w:hAnsi="Arial" w:cs="Arial"/>
          <w:sz w:val="22"/>
          <w:szCs w:val="22"/>
        </w:rPr>
        <w:t xml:space="preserve"> and its relationship to FRAX. J Bone Miner Res. 2016; 31; 940-948.</w:t>
      </w:r>
      <w:r w:rsidRPr="00A6203D">
        <w:rPr>
          <w:rFonts w:ascii="Arial" w:hAnsi="Arial" w:cs="Arial"/>
          <w:sz w:val="22"/>
          <w:szCs w:val="22"/>
        </w:rPr>
        <w:t xml:space="preserve"> </w:t>
      </w:r>
    </w:p>
    <w:p w14:paraId="73C17E15" w14:textId="4A6BAAC6"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9.</w:t>
      </w:r>
      <w:r w:rsidR="00071D22" w:rsidRPr="00A6203D">
        <w:rPr>
          <w:rFonts w:ascii="Arial" w:hAnsi="Arial" w:cs="Arial"/>
          <w:sz w:val="22"/>
          <w:szCs w:val="22"/>
        </w:rPr>
        <w:t xml:space="preserve">      </w:t>
      </w:r>
      <w:r w:rsidRPr="00A6203D">
        <w:rPr>
          <w:rFonts w:ascii="Arial" w:hAnsi="Arial" w:cs="Arial"/>
          <w:sz w:val="22"/>
          <w:szCs w:val="22"/>
        </w:rPr>
        <w:t xml:space="preserve">Watts NB, Ettinger B,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Perspective: FRAX Facts. Journal of Bone and Mineral Research. </w:t>
      </w:r>
      <w:proofErr w:type="gramStart"/>
      <w:r w:rsidRPr="00A6203D">
        <w:rPr>
          <w:rFonts w:ascii="Arial" w:hAnsi="Arial" w:cs="Arial"/>
          <w:sz w:val="22"/>
          <w:szCs w:val="22"/>
        </w:rPr>
        <w:t>2009;24:975</w:t>
      </w:r>
      <w:proofErr w:type="gramEnd"/>
      <w:r w:rsidRPr="00A6203D">
        <w:rPr>
          <w:rFonts w:ascii="Arial" w:hAnsi="Arial" w:cs="Arial"/>
          <w:sz w:val="22"/>
          <w:szCs w:val="22"/>
        </w:rPr>
        <w:t>–979. </w:t>
      </w:r>
    </w:p>
    <w:p w14:paraId="10442C8D" w14:textId="13957CC1"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10.</w:t>
      </w:r>
      <w:r w:rsidR="00071D22" w:rsidRPr="00A6203D">
        <w:rPr>
          <w:rFonts w:ascii="Arial" w:hAnsi="Arial" w:cs="Arial"/>
          <w:sz w:val="22"/>
          <w:szCs w:val="22"/>
        </w:rPr>
        <w:t xml:space="preserve">    </w:t>
      </w:r>
      <w:r w:rsidRPr="00A6203D">
        <w:rPr>
          <w:rFonts w:ascii="Arial" w:hAnsi="Arial" w:cs="Arial"/>
          <w:sz w:val="22"/>
          <w:szCs w:val="22"/>
        </w:rPr>
        <w:t xml:space="preserve">Kohrt WM, Barry DW, Schwartz RS. Muscle forces or gravity: what predominates mechanical loading on bone? Med Sci Sports </w:t>
      </w:r>
      <w:proofErr w:type="spellStart"/>
      <w:r w:rsidRPr="00A6203D">
        <w:rPr>
          <w:rFonts w:ascii="Arial" w:hAnsi="Arial" w:cs="Arial"/>
          <w:sz w:val="22"/>
          <w:szCs w:val="22"/>
        </w:rPr>
        <w:t>Exerc</w:t>
      </w:r>
      <w:proofErr w:type="spellEnd"/>
      <w:r w:rsidRPr="00A6203D">
        <w:rPr>
          <w:rFonts w:ascii="Arial" w:hAnsi="Arial" w:cs="Arial"/>
          <w:sz w:val="22"/>
          <w:szCs w:val="22"/>
        </w:rPr>
        <w:t>. </w:t>
      </w:r>
      <w:proofErr w:type="gramStart"/>
      <w:r w:rsidRPr="00A6203D">
        <w:rPr>
          <w:rFonts w:ascii="Arial" w:hAnsi="Arial" w:cs="Arial"/>
          <w:sz w:val="22"/>
          <w:szCs w:val="22"/>
        </w:rPr>
        <w:t>2009;41:2050</w:t>
      </w:r>
      <w:proofErr w:type="gramEnd"/>
      <w:r w:rsidRPr="00A6203D">
        <w:rPr>
          <w:rFonts w:ascii="Arial" w:hAnsi="Arial" w:cs="Arial"/>
          <w:sz w:val="22"/>
          <w:szCs w:val="22"/>
        </w:rPr>
        <w:t>–2055. </w:t>
      </w:r>
    </w:p>
    <w:p w14:paraId="6B7BC2B8" w14:textId="53AC49BB"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11.</w:t>
      </w:r>
      <w:r w:rsidR="00071D22" w:rsidRPr="00A6203D">
        <w:rPr>
          <w:rFonts w:ascii="Arial" w:hAnsi="Arial" w:cs="Arial"/>
          <w:sz w:val="22"/>
          <w:szCs w:val="22"/>
        </w:rPr>
        <w:t xml:space="preserve">    </w:t>
      </w:r>
      <w:r w:rsidRPr="00A6203D">
        <w:rPr>
          <w:rFonts w:ascii="Arial" w:hAnsi="Arial" w:cs="Arial"/>
          <w:sz w:val="22"/>
          <w:szCs w:val="22"/>
        </w:rPr>
        <w:t xml:space="preserve">Shea B, </w:t>
      </w:r>
      <w:proofErr w:type="spellStart"/>
      <w:r w:rsidRPr="00A6203D">
        <w:rPr>
          <w:rFonts w:ascii="Arial" w:hAnsi="Arial" w:cs="Arial"/>
          <w:sz w:val="22"/>
          <w:szCs w:val="22"/>
        </w:rPr>
        <w:t>Bonaiuti</w:t>
      </w:r>
      <w:proofErr w:type="spellEnd"/>
      <w:r w:rsidRPr="00A6203D">
        <w:rPr>
          <w:rFonts w:ascii="Arial" w:hAnsi="Arial" w:cs="Arial"/>
          <w:sz w:val="22"/>
          <w:szCs w:val="22"/>
        </w:rPr>
        <w:t xml:space="preserve"> D, Iovine R, Negrini S, Robinson V, Kemper HC, Wells G, Tugwell P, Cranney A. Cochrane Review on exercise for preventing and treating osteoporosis in postmenopausal women. Eura </w:t>
      </w:r>
      <w:proofErr w:type="spellStart"/>
      <w:r w:rsidRPr="00A6203D">
        <w:rPr>
          <w:rFonts w:ascii="Arial" w:hAnsi="Arial" w:cs="Arial"/>
          <w:sz w:val="22"/>
          <w:szCs w:val="22"/>
        </w:rPr>
        <w:t>Medicophys</w:t>
      </w:r>
      <w:proofErr w:type="spellEnd"/>
      <w:r w:rsidRPr="00A6203D">
        <w:rPr>
          <w:rFonts w:ascii="Arial" w:hAnsi="Arial" w:cs="Arial"/>
          <w:sz w:val="22"/>
          <w:szCs w:val="22"/>
        </w:rPr>
        <w:t>. </w:t>
      </w:r>
      <w:proofErr w:type="gramStart"/>
      <w:r w:rsidRPr="00A6203D">
        <w:rPr>
          <w:rFonts w:ascii="Arial" w:hAnsi="Arial" w:cs="Arial"/>
          <w:sz w:val="22"/>
          <w:szCs w:val="22"/>
        </w:rPr>
        <w:t>2004;40:199</w:t>
      </w:r>
      <w:proofErr w:type="gramEnd"/>
      <w:r w:rsidRPr="00A6203D">
        <w:rPr>
          <w:rFonts w:ascii="Arial" w:hAnsi="Arial" w:cs="Arial"/>
          <w:sz w:val="22"/>
          <w:szCs w:val="22"/>
        </w:rPr>
        <w:t>–209. </w:t>
      </w:r>
    </w:p>
    <w:p w14:paraId="7F56B347" w14:textId="68DFA837"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lastRenderedPageBreak/>
        <w:t>12.</w:t>
      </w:r>
      <w:r w:rsidR="00071D22" w:rsidRPr="00A6203D">
        <w:rPr>
          <w:rFonts w:ascii="Arial" w:hAnsi="Arial" w:cs="Arial"/>
          <w:sz w:val="22"/>
          <w:szCs w:val="22"/>
        </w:rPr>
        <w:t xml:space="preserve">    </w:t>
      </w:r>
      <w:r w:rsidRPr="00A6203D">
        <w:rPr>
          <w:rFonts w:ascii="Arial" w:hAnsi="Arial" w:cs="Arial"/>
          <w:sz w:val="22"/>
          <w:szCs w:val="22"/>
        </w:rPr>
        <w:t>Kelley GA, Kelley KS, Kohrt WM. Exercise and bone mineral density in premenopausal women: a meta-analysis of randomized controlled trials. Int J Endocrinol. </w:t>
      </w:r>
      <w:proofErr w:type="gramStart"/>
      <w:r w:rsidRPr="00A6203D">
        <w:rPr>
          <w:rFonts w:ascii="Arial" w:hAnsi="Arial" w:cs="Arial"/>
          <w:sz w:val="22"/>
          <w:szCs w:val="22"/>
        </w:rPr>
        <w:t>2013;2013:741639</w:t>
      </w:r>
      <w:proofErr w:type="gramEnd"/>
      <w:r w:rsidRPr="00A6203D">
        <w:rPr>
          <w:rFonts w:ascii="Arial" w:hAnsi="Arial" w:cs="Arial"/>
          <w:sz w:val="22"/>
          <w:szCs w:val="22"/>
        </w:rPr>
        <w:t>. </w:t>
      </w:r>
    </w:p>
    <w:p w14:paraId="7E79F2DC" w14:textId="67453758" w:rsidR="005E6870" w:rsidRPr="00A6203D" w:rsidRDefault="005E6870" w:rsidP="00071D22">
      <w:pPr>
        <w:spacing w:line="276" w:lineRule="auto"/>
        <w:ind w:left="576" w:hanging="576"/>
        <w:rPr>
          <w:rFonts w:ascii="Arial" w:hAnsi="Arial" w:cs="Arial"/>
          <w:sz w:val="22"/>
          <w:szCs w:val="22"/>
        </w:rPr>
      </w:pPr>
      <w:r w:rsidRPr="00A6203D">
        <w:rPr>
          <w:rFonts w:ascii="Arial" w:hAnsi="Arial" w:cs="Arial"/>
          <w:sz w:val="22"/>
          <w:szCs w:val="22"/>
        </w:rPr>
        <w:t>13.</w:t>
      </w:r>
      <w:r w:rsidR="00071D22" w:rsidRPr="00A6203D">
        <w:rPr>
          <w:rFonts w:ascii="Arial" w:hAnsi="Arial" w:cs="Arial"/>
          <w:sz w:val="22"/>
          <w:szCs w:val="22"/>
        </w:rPr>
        <w:t xml:space="preserve">    </w:t>
      </w:r>
      <w:r w:rsidRPr="00A6203D">
        <w:rPr>
          <w:rFonts w:ascii="Arial" w:hAnsi="Arial" w:cs="Arial"/>
          <w:sz w:val="22"/>
          <w:szCs w:val="22"/>
        </w:rPr>
        <w:t xml:space="preserve">Khosla S, Bellido TM, Drezner MK, Gordon CM, Harris TB, Kiel DP, Kream BE,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Lian JB, Peterson CA, Rosen CJ, Williams JP, Winer KK, Sherman SS. Forum on aging and skeletal health: summary of the proceedings of an ASBMR workshop. J Bone Miner Res. </w:t>
      </w:r>
      <w:proofErr w:type="gramStart"/>
      <w:r w:rsidRPr="00A6203D">
        <w:rPr>
          <w:rFonts w:ascii="Arial" w:hAnsi="Arial" w:cs="Arial"/>
          <w:sz w:val="22"/>
          <w:szCs w:val="22"/>
        </w:rPr>
        <w:t>2011;26:2565</w:t>
      </w:r>
      <w:proofErr w:type="gramEnd"/>
      <w:r w:rsidRPr="00A6203D">
        <w:rPr>
          <w:rFonts w:ascii="Arial" w:hAnsi="Arial" w:cs="Arial"/>
          <w:sz w:val="22"/>
          <w:szCs w:val="22"/>
        </w:rPr>
        <w:t>–2578. </w:t>
      </w:r>
    </w:p>
    <w:p w14:paraId="32E94155" w14:textId="77F315A6"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14.</w:t>
      </w:r>
      <w:r w:rsidR="00070825" w:rsidRPr="00A6203D">
        <w:rPr>
          <w:rFonts w:ascii="Arial" w:hAnsi="Arial" w:cs="Arial"/>
          <w:sz w:val="22"/>
          <w:szCs w:val="22"/>
        </w:rPr>
        <w:t xml:space="preserve">    </w:t>
      </w:r>
      <w:r w:rsidRPr="00A6203D">
        <w:rPr>
          <w:rFonts w:ascii="Arial" w:hAnsi="Arial" w:cs="Arial"/>
          <w:sz w:val="22"/>
          <w:szCs w:val="22"/>
        </w:rPr>
        <w:t xml:space="preserve">Kohrt WM, Bloomfield SA, Little KD, Nelson ME, Yingling VR. American College of Sports Medicine Position Stand: physical activity and bone health. Med Sci Sports </w:t>
      </w:r>
      <w:proofErr w:type="spellStart"/>
      <w:r w:rsidRPr="00A6203D">
        <w:rPr>
          <w:rFonts w:ascii="Arial" w:hAnsi="Arial" w:cs="Arial"/>
          <w:sz w:val="22"/>
          <w:szCs w:val="22"/>
        </w:rPr>
        <w:t>Exerc</w:t>
      </w:r>
      <w:proofErr w:type="spellEnd"/>
      <w:r w:rsidRPr="00A6203D">
        <w:rPr>
          <w:rFonts w:ascii="Arial" w:hAnsi="Arial" w:cs="Arial"/>
          <w:sz w:val="22"/>
          <w:szCs w:val="22"/>
        </w:rPr>
        <w:t>. </w:t>
      </w:r>
      <w:proofErr w:type="gramStart"/>
      <w:r w:rsidRPr="00A6203D">
        <w:rPr>
          <w:rFonts w:ascii="Arial" w:hAnsi="Arial" w:cs="Arial"/>
          <w:sz w:val="22"/>
          <w:szCs w:val="22"/>
        </w:rPr>
        <w:t>2004;36:1985</w:t>
      </w:r>
      <w:proofErr w:type="gramEnd"/>
      <w:r w:rsidRPr="00A6203D">
        <w:rPr>
          <w:rFonts w:ascii="Arial" w:hAnsi="Arial" w:cs="Arial"/>
          <w:sz w:val="22"/>
          <w:szCs w:val="22"/>
        </w:rPr>
        <w:t>–1996. </w:t>
      </w:r>
    </w:p>
    <w:p w14:paraId="6CBF0CAD" w14:textId="59B24D7C"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15.</w:t>
      </w:r>
      <w:r w:rsidR="00070825" w:rsidRPr="00A6203D">
        <w:rPr>
          <w:rFonts w:ascii="Arial" w:hAnsi="Arial" w:cs="Arial"/>
          <w:sz w:val="22"/>
          <w:szCs w:val="22"/>
        </w:rPr>
        <w:t xml:space="preserve">    </w:t>
      </w:r>
      <w:r w:rsidRPr="00A6203D">
        <w:rPr>
          <w:rFonts w:ascii="Arial" w:hAnsi="Arial" w:cs="Arial"/>
          <w:sz w:val="22"/>
          <w:szCs w:val="22"/>
        </w:rPr>
        <w:t>Mundy G. Bone remodeling. In: Primer on the metabolic bone diseases and disorders of mineral metabolism, MJ Favus (ed.), Philadelphia: Lippincott Williams &amp; Wilkins, 1999, 30–38.</w:t>
      </w:r>
    </w:p>
    <w:p w14:paraId="20FB2C5F" w14:textId="0B393507"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16.</w:t>
      </w:r>
      <w:r w:rsidR="00070825" w:rsidRPr="00A6203D">
        <w:rPr>
          <w:rFonts w:ascii="Arial" w:hAnsi="Arial" w:cs="Arial"/>
          <w:sz w:val="22"/>
          <w:szCs w:val="22"/>
        </w:rPr>
        <w:t xml:space="preserve">    </w:t>
      </w:r>
      <w:r w:rsidR="00125874">
        <w:rPr>
          <w:rFonts w:ascii="Arial" w:hAnsi="Arial" w:cs="Arial"/>
          <w:sz w:val="22"/>
          <w:szCs w:val="22"/>
        </w:rPr>
        <w:t xml:space="preserve">Watson SL, Weeks BK, Weis LJ, Horan SA, Beck BR. Heavy resistance training is safe and improves bone, function, and stature in postmenopausal women with low to very low bone mass: novel early findings from the LIFTMOR trial. </w:t>
      </w:r>
      <w:proofErr w:type="spellStart"/>
      <w:r w:rsidR="00125874">
        <w:rPr>
          <w:rFonts w:ascii="Arial" w:hAnsi="Arial" w:cs="Arial"/>
          <w:sz w:val="22"/>
          <w:szCs w:val="22"/>
        </w:rPr>
        <w:t>Osteoporos</w:t>
      </w:r>
      <w:proofErr w:type="spellEnd"/>
      <w:r w:rsidR="00125874">
        <w:rPr>
          <w:rFonts w:ascii="Arial" w:hAnsi="Arial" w:cs="Arial"/>
          <w:sz w:val="22"/>
          <w:szCs w:val="22"/>
        </w:rPr>
        <w:t xml:space="preserve"> Int. 2015;26(12):2889-2894.</w:t>
      </w:r>
    </w:p>
    <w:p w14:paraId="1ECD7C10" w14:textId="5E8C594B"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17.</w:t>
      </w:r>
      <w:r w:rsidR="00070825" w:rsidRPr="00A6203D">
        <w:rPr>
          <w:rFonts w:ascii="Arial" w:hAnsi="Arial" w:cs="Arial"/>
          <w:sz w:val="22"/>
          <w:szCs w:val="22"/>
        </w:rPr>
        <w:t xml:space="preserve">    </w:t>
      </w:r>
      <w:r w:rsidRPr="00A6203D">
        <w:rPr>
          <w:rFonts w:ascii="Arial" w:hAnsi="Arial" w:cs="Arial"/>
          <w:sz w:val="22"/>
          <w:szCs w:val="22"/>
        </w:rPr>
        <w:t>Dawson-Hughes B, Dallal GE, Krall EA, Sadowski L, Sahyoun N, Tannenbaum S. A controlled trial of the effect of calcium supplementation on bone density in postmenopausal women. N Engl J Med. </w:t>
      </w:r>
      <w:proofErr w:type="gramStart"/>
      <w:r w:rsidRPr="00A6203D">
        <w:rPr>
          <w:rFonts w:ascii="Arial" w:hAnsi="Arial" w:cs="Arial"/>
          <w:sz w:val="22"/>
          <w:szCs w:val="22"/>
        </w:rPr>
        <w:t>1990;323:878</w:t>
      </w:r>
      <w:proofErr w:type="gramEnd"/>
      <w:r w:rsidRPr="00A6203D">
        <w:rPr>
          <w:rFonts w:ascii="Arial" w:hAnsi="Arial" w:cs="Arial"/>
          <w:sz w:val="22"/>
          <w:szCs w:val="22"/>
        </w:rPr>
        <w:t>–883. </w:t>
      </w:r>
    </w:p>
    <w:p w14:paraId="18D56F66" w14:textId="46550E6F"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18.</w:t>
      </w:r>
      <w:r w:rsidR="00070825" w:rsidRPr="00A6203D">
        <w:rPr>
          <w:rFonts w:ascii="Arial" w:hAnsi="Arial" w:cs="Arial"/>
          <w:sz w:val="22"/>
          <w:szCs w:val="22"/>
        </w:rPr>
        <w:t xml:space="preserve">    </w:t>
      </w:r>
      <w:r w:rsidRPr="00A6203D">
        <w:rPr>
          <w:rFonts w:ascii="Arial" w:hAnsi="Arial" w:cs="Arial"/>
          <w:sz w:val="22"/>
          <w:szCs w:val="22"/>
        </w:rPr>
        <w:t>St</w:t>
      </w:r>
      <w:r w:rsidR="00070825" w:rsidRPr="00A6203D">
        <w:rPr>
          <w:rFonts w:ascii="Arial" w:hAnsi="Arial" w:cs="Arial"/>
          <w:sz w:val="22"/>
          <w:szCs w:val="22"/>
        </w:rPr>
        <w:t>a</w:t>
      </w:r>
      <w:r w:rsidRPr="00A6203D">
        <w:rPr>
          <w:rFonts w:ascii="Arial" w:hAnsi="Arial" w:cs="Arial"/>
          <w:sz w:val="22"/>
          <w:szCs w:val="22"/>
        </w:rPr>
        <w:t xml:space="preserve">nding Committee on the Scientific Evaluation of Dietary Reference Intakes. Dietary Reference Intakes for Calcium, Phosphorus, Magnesium, Vitamin D, and </w:t>
      </w:r>
      <w:proofErr w:type="spellStart"/>
      <w:r w:rsidRPr="00A6203D">
        <w:rPr>
          <w:rFonts w:ascii="Arial" w:hAnsi="Arial" w:cs="Arial"/>
          <w:sz w:val="22"/>
          <w:szCs w:val="22"/>
        </w:rPr>
        <w:t>Flouride</w:t>
      </w:r>
      <w:proofErr w:type="spellEnd"/>
      <w:r w:rsidRPr="00A6203D">
        <w:rPr>
          <w:rFonts w:ascii="Arial" w:hAnsi="Arial" w:cs="Arial"/>
          <w:sz w:val="22"/>
          <w:szCs w:val="22"/>
        </w:rPr>
        <w:t>. Washington, DC, National Academy Press.</w:t>
      </w:r>
    </w:p>
    <w:p w14:paraId="7F0CE825" w14:textId="7B516006"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19.</w:t>
      </w:r>
      <w:r w:rsidR="00070825" w:rsidRPr="00A6203D">
        <w:rPr>
          <w:rFonts w:ascii="Arial" w:hAnsi="Arial" w:cs="Arial"/>
          <w:sz w:val="22"/>
          <w:szCs w:val="22"/>
        </w:rPr>
        <w:t xml:space="preserve">    </w:t>
      </w:r>
      <w:r w:rsidRPr="00A6203D">
        <w:rPr>
          <w:rFonts w:ascii="Arial" w:hAnsi="Arial" w:cs="Arial"/>
          <w:sz w:val="22"/>
          <w:szCs w:val="22"/>
        </w:rPr>
        <w:t xml:space="preserve">Ross AC, Manson JE, Abrams SA, Aloia JF, Brannon PM, Clinton SK, Durazo-Arvizu RA, Gallagher JC, Gallo RL, Jones G, Kovacs CS, Mayne ST, Rosen CJ, </w:t>
      </w:r>
      <w:proofErr w:type="spellStart"/>
      <w:r w:rsidRPr="00A6203D">
        <w:rPr>
          <w:rFonts w:ascii="Arial" w:hAnsi="Arial" w:cs="Arial"/>
          <w:sz w:val="22"/>
          <w:szCs w:val="22"/>
        </w:rPr>
        <w:t>Shapses</w:t>
      </w:r>
      <w:proofErr w:type="spellEnd"/>
      <w:r w:rsidRPr="00A6203D">
        <w:rPr>
          <w:rFonts w:ascii="Arial" w:hAnsi="Arial" w:cs="Arial"/>
          <w:sz w:val="22"/>
          <w:szCs w:val="22"/>
        </w:rPr>
        <w:t xml:space="preserve"> SA. The 2011 Report on Dietary Reference Intakes for Calcium and Vitamin D from the Institute of Medicine: What Clinicians Need to Know.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2011;96:53</w:t>
      </w:r>
      <w:proofErr w:type="gramEnd"/>
      <w:r w:rsidRPr="00A6203D">
        <w:rPr>
          <w:rFonts w:ascii="Arial" w:hAnsi="Arial" w:cs="Arial"/>
          <w:sz w:val="22"/>
          <w:szCs w:val="22"/>
        </w:rPr>
        <w:t>–58. </w:t>
      </w:r>
    </w:p>
    <w:p w14:paraId="103F0617" w14:textId="0808615D"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20.</w:t>
      </w:r>
      <w:r w:rsidR="00070825" w:rsidRPr="00A6203D">
        <w:rPr>
          <w:rFonts w:ascii="Arial" w:hAnsi="Arial" w:cs="Arial"/>
          <w:sz w:val="22"/>
          <w:szCs w:val="22"/>
        </w:rPr>
        <w:t xml:space="preserve">    </w:t>
      </w:r>
      <w:r w:rsidRPr="00A6203D">
        <w:rPr>
          <w:rFonts w:ascii="Arial" w:hAnsi="Arial" w:cs="Arial"/>
          <w:sz w:val="22"/>
          <w:szCs w:val="22"/>
        </w:rPr>
        <w:t>Recker RR. Calcium absorption and achlorhydria. N Engl J Med. </w:t>
      </w:r>
      <w:proofErr w:type="gramStart"/>
      <w:r w:rsidRPr="00A6203D">
        <w:rPr>
          <w:rFonts w:ascii="Arial" w:hAnsi="Arial" w:cs="Arial"/>
          <w:sz w:val="22"/>
          <w:szCs w:val="22"/>
        </w:rPr>
        <w:t>1985;313:70</w:t>
      </w:r>
      <w:proofErr w:type="gramEnd"/>
      <w:r w:rsidRPr="00A6203D">
        <w:rPr>
          <w:rFonts w:ascii="Arial" w:hAnsi="Arial" w:cs="Arial"/>
          <w:sz w:val="22"/>
          <w:szCs w:val="22"/>
        </w:rPr>
        <w:t>–73. </w:t>
      </w:r>
    </w:p>
    <w:p w14:paraId="1A12B14D" w14:textId="5975674A" w:rsidR="005E6870" w:rsidRPr="00A6203D" w:rsidRDefault="005E6870" w:rsidP="003644C8">
      <w:pPr>
        <w:spacing w:line="276" w:lineRule="auto"/>
        <w:ind w:left="576" w:hanging="576"/>
        <w:rPr>
          <w:rFonts w:ascii="Arial" w:hAnsi="Arial" w:cs="Arial"/>
          <w:sz w:val="22"/>
          <w:szCs w:val="22"/>
        </w:rPr>
      </w:pPr>
      <w:r w:rsidRPr="00A6203D">
        <w:rPr>
          <w:rFonts w:ascii="Arial" w:hAnsi="Arial" w:cs="Arial"/>
          <w:sz w:val="22"/>
          <w:szCs w:val="22"/>
        </w:rPr>
        <w:t>21.</w:t>
      </w:r>
      <w:r w:rsidR="003644C8" w:rsidRPr="00A6203D">
        <w:rPr>
          <w:rFonts w:ascii="Arial" w:hAnsi="Arial" w:cs="Arial"/>
          <w:sz w:val="22"/>
          <w:szCs w:val="22"/>
        </w:rPr>
        <w:t xml:space="preserve">    </w:t>
      </w:r>
      <w:r w:rsidRPr="00A6203D">
        <w:rPr>
          <w:rFonts w:ascii="Arial" w:hAnsi="Arial" w:cs="Arial"/>
          <w:sz w:val="22"/>
          <w:szCs w:val="22"/>
        </w:rPr>
        <w:t xml:space="preserve">Ross AC, Manson JE, Abrams SA, Aloia JF, Brannon PM, Clinton SK, Durazo-Arvizu RA, Gallagher JC, Gallo RL, Jones G, Kovacs CS, Mayne ST, Rosen CJ, </w:t>
      </w:r>
      <w:proofErr w:type="spellStart"/>
      <w:r w:rsidRPr="00A6203D">
        <w:rPr>
          <w:rFonts w:ascii="Arial" w:hAnsi="Arial" w:cs="Arial"/>
          <w:sz w:val="22"/>
          <w:szCs w:val="22"/>
        </w:rPr>
        <w:t>Shapses</w:t>
      </w:r>
      <w:proofErr w:type="spellEnd"/>
      <w:r w:rsidRPr="00A6203D">
        <w:rPr>
          <w:rFonts w:ascii="Arial" w:hAnsi="Arial" w:cs="Arial"/>
          <w:sz w:val="22"/>
          <w:szCs w:val="22"/>
        </w:rPr>
        <w:t xml:space="preserve"> SA. The 2011 Dietary Reference Intakes for Calcium and Vitamin D: what dietetics practitioners need to know. J Am Diet Assoc. </w:t>
      </w:r>
      <w:proofErr w:type="gramStart"/>
      <w:r w:rsidRPr="00A6203D">
        <w:rPr>
          <w:rFonts w:ascii="Arial" w:hAnsi="Arial" w:cs="Arial"/>
          <w:sz w:val="22"/>
          <w:szCs w:val="22"/>
        </w:rPr>
        <w:t>2011;111:524</w:t>
      </w:r>
      <w:proofErr w:type="gramEnd"/>
      <w:r w:rsidRPr="00A6203D">
        <w:rPr>
          <w:rFonts w:ascii="Arial" w:hAnsi="Arial" w:cs="Arial"/>
          <w:sz w:val="22"/>
          <w:szCs w:val="22"/>
        </w:rPr>
        <w:t>–527. </w:t>
      </w:r>
    </w:p>
    <w:p w14:paraId="62B2B429" w14:textId="7FD16077"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22.</w:t>
      </w:r>
      <w:r w:rsidR="00070825" w:rsidRPr="00A6203D">
        <w:rPr>
          <w:rFonts w:ascii="Arial" w:hAnsi="Arial" w:cs="Arial"/>
          <w:sz w:val="22"/>
          <w:szCs w:val="22"/>
        </w:rPr>
        <w:t xml:space="preserve">    </w:t>
      </w:r>
      <w:r w:rsidRPr="00A6203D">
        <w:rPr>
          <w:rFonts w:ascii="Arial" w:hAnsi="Arial" w:cs="Arial"/>
          <w:sz w:val="22"/>
          <w:szCs w:val="22"/>
        </w:rPr>
        <w:t xml:space="preserve">Jackson RD, LaCroix AZ, Gass M, Wallace RB, Robbins J, Lewis CE, Bassford T, Beresford SA, Black HR, Blanchette P, Bonds DE, Brunner RL, Brzyski RG, Caan B, Cauley JA, Chlebowski RT, Cummings SR, </w:t>
      </w:r>
      <w:proofErr w:type="spellStart"/>
      <w:r w:rsidRPr="00A6203D">
        <w:rPr>
          <w:rFonts w:ascii="Arial" w:hAnsi="Arial" w:cs="Arial"/>
          <w:sz w:val="22"/>
          <w:szCs w:val="22"/>
        </w:rPr>
        <w:t>Granek</w:t>
      </w:r>
      <w:proofErr w:type="spellEnd"/>
      <w:r w:rsidRPr="00A6203D">
        <w:rPr>
          <w:rFonts w:ascii="Arial" w:hAnsi="Arial" w:cs="Arial"/>
          <w:sz w:val="22"/>
          <w:szCs w:val="22"/>
        </w:rPr>
        <w:t xml:space="preserve"> I, Hays J, Heiss G, Hendrix SL, Howard BV, Hsia J, Hubbell FA, Johnson KC, Judd H, </w:t>
      </w:r>
      <w:proofErr w:type="spellStart"/>
      <w:r w:rsidRPr="00A6203D">
        <w:rPr>
          <w:rFonts w:ascii="Arial" w:hAnsi="Arial" w:cs="Arial"/>
          <w:sz w:val="22"/>
          <w:szCs w:val="22"/>
        </w:rPr>
        <w:t>Kotchen</w:t>
      </w:r>
      <w:proofErr w:type="spellEnd"/>
      <w:r w:rsidRPr="00A6203D">
        <w:rPr>
          <w:rFonts w:ascii="Arial" w:hAnsi="Arial" w:cs="Arial"/>
          <w:sz w:val="22"/>
          <w:szCs w:val="22"/>
        </w:rPr>
        <w:t xml:space="preserve"> JM, Kuller LH, Langer RD, Lasser NL, </w:t>
      </w:r>
      <w:proofErr w:type="spellStart"/>
      <w:r w:rsidRPr="00A6203D">
        <w:rPr>
          <w:rFonts w:ascii="Arial" w:hAnsi="Arial" w:cs="Arial"/>
          <w:sz w:val="22"/>
          <w:szCs w:val="22"/>
        </w:rPr>
        <w:t>Limacher</w:t>
      </w:r>
      <w:proofErr w:type="spellEnd"/>
      <w:r w:rsidRPr="00A6203D">
        <w:rPr>
          <w:rFonts w:ascii="Arial" w:hAnsi="Arial" w:cs="Arial"/>
          <w:sz w:val="22"/>
          <w:szCs w:val="22"/>
        </w:rPr>
        <w:t xml:space="preserve"> MC, Ludlam S, Manson JE, Margolis KL, McGowan J, </w:t>
      </w:r>
      <w:proofErr w:type="spellStart"/>
      <w:r w:rsidRPr="00A6203D">
        <w:rPr>
          <w:rFonts w:ascii="Arial" w:hAnsi="Arial" w:cs="Arial"/>
          <w:sz w:val="22"/>
          <w:szCs w:val="22"/>
        </w:rPr>
        <w:t>Ockene</w:t>
      </w:r>
      <w:proofErr w:type="spellEnd"/>
      <w:r w:rsidRPr="00A6203D">
        <w:rPr>
          <w:rFonts w:ascii="Arial" w:hAnsi="Arial" w:cs="Arial"/>
          <w:sz w:val="22"/>
          <w:szCs w:val="22"/>
        </w:rPr>
        <w:t xml:space="preserve"> JK, O'Sullivan MJ, Phillips L, Prentice RL, Sarto GE, Stefanick ML, Van Horn L, </w:t>
      </w:r>
      <w:proofErr w:type="spellStart"/>
      <w:r w:rsidRPr="00A6203D">
        <w:rPr>
          <w:rFonts w:ascii="Arial" w:hAnsi="Arial" w:cs="Arial"/>
          <w:sz w:val="22"/>
          <w:szCs w:val="22"/>
        </w:rPr>
        <w:t>Wactawski</w:t>
      </w:r>
      <w:proofErr w:type="spellEnd"/>
      <w:r w:rsidRPr="00A6203D">
        <w:rPr>
          <w:rFonts w:ascii="Arial" w:hAnsi="Arial" w:cs="Arial"/>
          <w:sz w:val="22"/>
          <w:szCs w:val="22"/>
        </w:rPr>
        <w:t>-Wende J, Whitlock E, Anderson GL, Assaf AR, Barad D. Calcium plus vitamin D supplementation and the risk of fractures. N Engl J Med. </w:t>
      </w:r>
      <w:proofErr w:type="gramStart"/>
      <w:r w:rsidRPr="00A6203D">
        <w:rPr>
          <w:rFonts w:ascii="Arial" w:hAnsi="Arial" w:cs="Arial"/>
          <w:sz w:val="22"/>
          <w:szCs w:val="22"/>
        </w:rPr>
        <w:t>2006;354:669</w:t>
      </w:r>
      <w:proofErr w:type="gramEnd"/>
      <w:r w:rsidRPr="00A6203D">
        <w:rPr>
          <w:rFonts w:ascii="Arial" w:hAnsi="Arial" w:cs="Arial"/>
          <w:sz w:val="22"/>
          <w:szCs w:val="22"/>
        </w:rPr>
        <w:t>–683. </w:t>
      </w:r>
    </w:p>
    <w:p w14:paraId="7DD0E2A0" w14:textId="7AEFE97D" w:rsidR="005E6870" w:rsidRPr="00A6203D" w:rsidRDefault="005E6870" w:rsidP="00070825">
      <w:pPr>
        <w:spacing w:line="276" w:lineRule="auto"/>
        <w:ind w:left="576" w:hanging="576"/>
        <w:rPr>
          <w:rFonts w:ascii="Arial" w:hAnsi="Arial" w:cs="Arial"/>
          <w:sz w:val="22"/>
          <w:szCs w:val="22"/>
        </w:rPr>
      </w:pPr>
      <w:r w:rsidRPr="00A6203D">
        <w:rPr>
          <w:rFonts w:ascii="Arial" w:hAnsi="Arial" w:cs="Arial"/>
          <w:sz w:val="22"/>
          <w:szCs w:val="22"/>
        </w:rPr>
        <w:t>23.</w:t>
      </w:r>
      <w:r w:rsidR="00070825" w:rsidRPr="00A6203D">
        <w:rPr>
          <w:rFonts w:ascii="Arial" w:hAnsi="Arial" w:cs="Arial"/>
          <w:sz w:val="22"/>
          <w:szCs w:val="22"/>
        </w:rPr>
        <w:t xml:space="preserve">    </w:t>
      </w:r>
      <w:r w:rsidRPr="00A6203D">
        <w:rPr>
          <w:rFonts w:ascii="Arial" w:hAnsi="Arial" w:cs="Arial"/>
          <w:sz w:val="22"/>
          <w:szCs w:val="22"/>
        </w:rPr>
        <w:t>Bolland MJ, Avenell A, Baron JA, Grey A, MacLennan GS, Gamble GD, Reid IR. Effect of calcium supplements on risk of myocardial infarction and cardiovascular events: meta-analysis. </w:t>
      </w:r>
      <w:proofErr w:type="spellStart"/>
      <w:r w:rsidRPr="00A6203D">
        <w:rPr>
          <w:rFonts w:ascii="Arial" w:hAnsi="Arial" w:cs="Arial"/>
          <w:sz w:val="22"/>
          <w:szCs w:val="22"/>
        </w:rPr>
        <w:t>Bmj</w:t>
      </w:r>
      <w:proofErr w:type="spellEnd"/>
      <w:r w:rsidRPr="00A6203D">
        <w:rPr>
          <w:rFonts w:ascii="Arial" w:hAnsi="Arial" w:cs="Arial"/>
          <w:sz w:val="22"/>
          <w:szCs w:val="22"/>
        </w:rPr>
        <w:t>. 2010;341:c3691. </w:t>
      </w:r>
    </w:p>
    <w:p w14:paraId="14069AAD" w14:textId="728947DD"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lastRenderedPageBreak/>
        <w:t>24.</w:t>
      </w:r>
      <w:r w:rsidR="00486EDB" w:rsidRPr="00A6203D">
        <w:rPr>
          <w:rFonts w:ascii="Arial" w:hAnsi="Arial" w:cs="Arial"/>
          <w:sz w:val="22"/>
          <w:szCs w:val="22"/>
        </w:rPr>
        <w:t xml:space="preserve">    </w:t>
      </w:r>
      <w:r w:rsidRPr="00A6203D">
        <w:rPr>
          <w:rFonts w:ascii="Arial" w:hAnsi="Arial" w:cs="Arial"/>
          <w:sz w:val="22"/>
          <w:szCs w:val="22"/>
        </w:rPr>
        <w:t>Xiao Q, Murphy RA, Houston DK, Harris TB, Chow WH, Park Y. Dietary and Supplemental Calcium Intake and Cardiovascular Disease Mortality: The National Institutes of Health-AARP Diet and Health Study. JAMA internal medicine. 2013:1–8. </w:t>
      </w:r>
    </w:p>
    <w:p w14:paraId="35FB46B5" w14:textId="5158621E"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25.</w:t>
      </w:r>
      <w:r w:rsidR="00486EDB" w:rsidRPr="00A6203D">
        <w:rPr>
          <w:rFonts w:ascii="Arial" w:hAnsi="Arial" w:cs="Arial"/>
          <w:sz w:val="22"/>
          <w:szCs w:val="22"/>
        </w:rPr>
        <w:t xml:space="preserve">    </w:t>
      </w:r>
      <w:r w:rsidRPr="00A6203D">
        <w:rPr>
          <w:rFonts w:ascii="Arial" w:hAnsi="Arial" w:cs="Arial"/>
          <w:sz w:val="22"/>
          <w:szCs w:val="22"/>
        </w:rPr>
        <w:t xml:space="preserve">Prentice RL, Pettinger MB, Jackson RD, </w:t>
      </w:r>
      <w:proofErr w:type="spellStart"/>
      <w:r w:rsidRPr="00A6203D">
        <w:rPr>
          <w:rFonts w:ascii="Arial" w:hAnsi="Arial" w:cs="Arial"/>
          <w:sz w:val="22"/>
          <w:szCs w:val="22"/>
        </w:rPr>
        <w:t>Wactawski</w:t>
      </w:r>
      <w:proofErr w:type="spellEnd"/>
      <w:r w:rsidRPr="00A6203D">
        <w:rPr>
          <w:rFonts w:ascii="Arial" w:hAnsi="Arial" w:cs="Arial"/>
          <w:sz w:val="22"/>
          <w:szCs w:val="22"/>
        </w:rPr>
        <w:t>-Wende J, Lacroix AZ, Anderson GL, Chlebowski RT, Manson JE, Van Horn L, Vitolins MZ, Datta M, Leblanc ES, Cauley JA, Rossouw JE. Health risks and benefits from calcium and vitamin D supplementation: Women's Health Initiative clinical trial and cohort study.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2013;24:567</w:t>
      </w:r>
      <w:proofErr w:type="gramEnd"/>
      <w:r w:rsidRPr="00A6203D">
        <w:rPr>
          <w:rFonts w:ascii="Arial" w:hAnsi="Arial" w:cs="Arial"/>
          <w:sz w:val="22"/>
          <w:szCs w:val="22"/>
        </w:rPr>
        <w:t>–580. </w:t>
      </w:r>
    </w:p>
    <w:p w14:paraId="077FD96B" w14:textId="6523921B"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26.</w:t>
      </w:r>
      <w:r w:rsidR="00486EDB" w:rsidRPr="00A6203D">
        <w:rPr>
          <w:rFonts w:ascii="Arial" w:hAnsi="Arial" w:cs="Arial"/>
          <w:sz w:val="22"/>
          <w:szCs w:val="22"/>
        </w:rPr>
        <w:t xml:space="preserve">    </w:t>
      </w:r>
      <w:r w:rsidRPr="00A6203D">
        <w:rPr>
          <w:rFonts w:ascii="Arial" w:hAnsi="Arial" w:cs="Arial"/>
          <w:sz w:val="22"/>
          <w:szCs w:val="22"/>
        </w:rPr>
        <w:t>Moyer VA., USPSTF. Vitamin D and Calcium Supplementation to Prevent Fractures in Adults: U.S. Preventive Services Task Force Recommendation Statement. Ann Intern Med. 2013 </w:t>
      </w:r>
    </w:p>
    <w:p w14:paraId="67AF61FE" w14:textId="158E5B84"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27.</w:t>
      </w:r>
      <w:r w:rsidR="00486EDB" w:rsidRPr="00A6203D">
        <w:rPr>
          <w:rFonts w:ascii="Arial" w:hAnsi="Arial" w:cs="Arial"/>
          <w:sz w:val="22"/>
          <w:szCs w:val="22"/>
        </w:rPr>
        <w:t xml:space="preserve">    </w:t>
      </w:r>
      <w:r w:rsidRPr="00A6203D">
        <w:rPr>
          <w:rFonts w:ascii="Arial" w:hAnsi="Arial" w:cs="Arial"/>
          <w:sz w:val="22"/>
          <w:szCs w:val="22"/>
        </w:rPr>
        <w:t xml:space="preserve">Bischoff-Ferrari HA, Willett WC, Orav EJ, Lips P, Meunier PJ, Lyons RA, Flicker L, Wark J, Jackson RD, Cauley JA, Meyer HE, Pfeifer M, Sanders KM, </w:t>
      </w:r>
      <w:proofErr w:type="spellStart"/>
      <w:r w:rsidRPr="00A6203D">
        <w:rPr>
          <w:rFonts w:ascii="Arial" w:hAnsi="Arial" w:cs="Arial"/>
          <w:sz w:val="22"/>
          <w:szCs w:val="22"/>
        </w:rPr>
        <w:t>Stahelin</w:t>
      </w:r>
      <w:proofErr w:type="spellEnd"/>
      <w:r w:rsidRPr="00A6203D">
        <w:rPr>
          <w:rFonts w:ascii="Arial" w:hAnsi="Arial" w:cs="Arial"/>
          <w:sz w:val="22"/>
          <w:szCs w:val="22"/>
        </w:rPr>
        <w:t xml:space="preserve"> HB, Theiler R, Dawson-Hughes B. A pooled analysis of vitamin D dose requirements for fracture prevention. N Engl J Med. </w:t>
      </w:r>
      <w:proofErr w:type="gramStart"/>
      <w:r w:rsidRPr="00A6203D">
        <w:rPr>
          <w:rFonts w:ascii="Arial" w:hAnsi="Arial" w:cs="Arial"/>
          <w:sz w:val="22"/>
          <w:szCs w:val="22"/>
        </w:rPr>
        <w:t>2012;367:40</w:t>
      </w:r>
      <w:proofErr w:type="gramEnd"/>
      <w:r w:rsidRPr="00A6203D">
        <w:rPr>
          <w:rFonts w:ascii="Arial" w:hAnsi="Arial" w:cs="Arial"/>
          <w:sz w:val="22"/>
          <w:szCs w:val="22"/>
        </w:rPr>
        <w:t>–49. </w:t>
      </w:r>
    </w:p>
    <w:p w14:paraId="4EBEA825" w14:textId="794001C9"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28.</w:t>
      </w:r>
      <w:r w:rsidR="00486EDB" w:rsidRPr="00A6203D">
        <w:rPr>
          <w:rFonts w:ascii="Arial" w:hAnsi="Arial" w:cs="Arial"/>
          <w:sz w:val="22"/>
          <w:szCs w:val="22"/>
        </w:rPr>
        <w:t xml:space="preserve">    </w:t>
      </w:r>
      <w:r w:rsidRPr="00A6203D">
        <w:rPr>
          <w:rFonts w:ascii="Arial" w:hAnsi="Arial" w:cs="Arial"/>
          <w:sz w:val="22"/>
          <w:szCs w:val="22"/>
        </w:rPr>
        <w:t xml:space="preserve">Manson JE, Bassuk SS, Lee IM, Cook NR, Albert MA, Gordon D, </w:t>
      </w:r>
      <w:proofErr w:type="spellStart"/>
      <w:r w:rsidRPr="00A6203D">
        <w:rPr>
          <w:rFonts w:ascii="Arial" w:hAnsi="Arial" w:cs="Arial"/>
          <w:sz w:val="22"/>
          <w:szCs w:val="22"/>
        </w:rPr>
        <w:t>Zaharris</w:t>
      </w:r>
      <w:proofErr w:type="spellEnd"/>
      <w:r w:rsidRPr="00A6203D">
        <w:rPr>
          <w:rFonts w:ascii="Arial" w:hAnsi="Arial" w:cs="Arial"/>
          <w:sz w:val="22"/>
          <w:szCs w:val="22"/>
        </w:rPr>
        <w:t xml:space="preserve"> E, </w:t>
      </w:r>
      <w:proofErr w:type="spellStart"/>
      <w:r w:rsidRPr="00A6203D">
        <w:rPr>
          <w:rFonts w:ascii="Arial" w:hAnsi="Arial" w:cs="Arial"/>
          <w:sz w:val="22"/>
          <w:szCs w:val="22"/>
        </w:rPr>
        <w:t>Macfadyen</w:t>
      </w:r>
      <w:proofErr w:type="spellEnd"/>
      <w:r w:rsidRPr="00A6203D">
        <w:rPr>
          <w:rFonts w:ascii="Arial" w:hAnsi="Arial" w:cs="Arial"/>
          <w:sz w:val="22"/>
          <w:szCs w:val="22"/>
        </w:rPr>
        <w:t xml:space="preserve"> JG, Danielson E, Lin J, Zhang SM, Buring JE. The </w:t>
      </w:r>
      <w:proofErr w:type="spellStart"/>
      <w:r w:rsidRPr="00A6203D">
        <w:rPr>
          <w:rFonts w:ascii="Arial" w:hAnsi="Arial" w:cs="Arial"/>
          <w:sz w:val="22"/>
          <w:szCs w:val="22"/>
        </w:rPr>
        <w:t>VITamin</w:t>
      </w:r>
      <w:proofErr w:type="spellEnd"/>
      <w:r w:rsidRPr="00A6203D">
        <w:rPr>
          <w:rFonts w:ascii="Arial" w:hAnsi="Arial" w:cs="Arial"/>
          <w:sz w:val="22"/>
          <w:szCs w:val="22"/>
        </w:rPr>
        <w:t xml:space="preserve"> D and OmegA-3 </w:t>
      </w:r>
      <w:proofErr w:type="spellStart"/>
      <w:r w:rsidRPr="00A6203D">
        <w:rPr>
          <w:rFonts w:ascii="Arial" w:hAnsi="Arial" w:cs="Arial"/>
          <w:sz w:val="22"/>
          <w:szCs w:val="22"/>
        </w:rPr>
        <w:t>TriaL</w:t>
      </w:r>
      <w:proofErr w:type="spellEnd"/>
      <w:r w:rsidRPr="00A6203D">
        <w:rPr>
          <w:rFonts w:ascii="Arial" w:hAnsi="Arial" w:cs="Arial"/>
          <w:sz w:val="22"/>
          <w:szCs w:val="22"/>
        </w:rPr>
        <w:t xml:space="preserve"> (VITAL): rationale and design of a large randomized controlled trial of vitamin D and marine omega-3 fatty acid supplements for the primary prevention of cancer and cardiovascular disease. </w:t>
      </w:r>
      <w:proofErr w:type="spellStart"/>
      <w:r w:rsidRPr="00A6203D">
        <w:rPr>
          <w:rFonts w:ascii="Arial" w:hAnsi="Arial" w:cs="Arial"/>
          <w:sz w:val="22"/>
          <w:szCs w:val="22"/>
        </w:rPr>
        <w:t>Contemp</w:t>
      </w:r>
      <w:proofErr w:type="spellEnd"/>
      <w:r w:rsidRPr="00A6203D">
        <w:rPr>
          <w:rFonts w:ascii="Arial" w:hAnsi="Arial" w:cs="Arial"/>
          <w:sz w:val="22"/>
          <w:szCs w:val="22"/>
        </w:rPr>
        <w:t xml:space="preserve"> Clin Trials. </w:t>
      </w:r>
      <w:proofErr w:type="gramStart"/>
      <w:r w:rsidRPr="00A6203D">
        <w:rPr>
          <w:rFonts w:ascii="Arial" w:hAnsi="Arial" w:cs="Arial"/>
          <w:sz w:val="22"/>
          <w:szCs w:val="22"/>
        </w:rPr>
        <w:t>2012;33:159</w:t>
      </w:r>
      <w:proofErr w:type="gramEnd"/>
      <w:r w:rsidRPr="00A6203D">
        <w:rPr>
          <w:rFonts w:ascii="Arial" w:hAnsi="Arial" w:cs="Arial"/>
          <w:sz w:val="22"/>
          <w:szCs w:val="22"/>
        </w:rPr>
        <w:t>–171. </w:t>
      </w:r>
    </w:p>
    <w:p w14:paraId="1A4A4BA6" w14:textId="3FE77D9F"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29.</w:t>
      </w:r>
      <w:r w:rsidR="00486EDB" w:rsidRPr="00A6203D">
        <w:rPr>
          <w:rFonts w:ascii="Arial" w:hAnsi="Arial" w:cs="Arial"/>
          <w:sz w:val="22"/>
          <w:szCs w:val="22"/>
        </w:rPr>
        <w:t xml:space="preserv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Yue AY, Copeland T, Cook NR, Buring JE, Manson JE. VITAL-Bone Health: rationale and design of two ancillary studies evaluating the effects of vitamin D and/or omega-3 fatty acid supplements on incident fractures and bone health outcomes in the </w:t>
      </w:r>
      <w:proofErr w:type="spellStart"/>
      <w:r w:rsidRPr="00A6203D">
        <w:rPr>
          <w:rFonts w:ascii="Arial" w:hAnsi="Arial" w:cs="Arial"/>
          <w:sz w:val="22"/>
          <w:szCs w:val="22"/>
        </w:rPr>
        <w:t>VITamin</w:t>
      </w:r>
      <w:proofErr w:type="spellEnd"/>
      <w:r w:rsidRPr="00A6203D">
        <w:rPr>
          <w:rFonts w:ascii="Arial" w:hAnsi="Arial" w:cs="Arial"/>
          <w:sz w:val="22"/>
          <w:szCs w:val="22"/>
        </w:rPr>
        <w:t xml:space="preserve"> D and OmegA-3 </w:t>
      </w:r>
      <w:proofErr w:type="spellStart"/>
      <w:r w:rsidRPr="00A6203D">
        <w:rPr>
          <w:rFonts w:ascii="Arial" w:hAnsi="Arial" w:cs="Arial"/>
          <w:sz w:val="22"/>
          <w:szCs w:val="22"/>
        </w:rPr>
        <w:t>TriaL</w:t>
      </w:r>
      <w:proofErr w:type="spellEnd"/>
      <w:r w:rsidRPr="00A6203D">
        <w:rPr>
          <w:rFonts w:ascii="Arial" w:hAnsi="Arial" w:cs="Arial"/>
          <w:sz w:val="22"/>
          <w:szCs w:val="22"/>
        </w:rPr>
        <w:t xml:space="preserve"> (VITAL). </w:t>
      </w:r>
      <w:proofErr w:type="spellStart"/>
      <w:r w:rsidRPr="00A6203D">
        <w:rPr>
          <w:rFonts w:ascii="Arial" w:hAnsi="Arial" w:cs="Arial"/>
          <w:sz w:val="22"/>
          <w:szCs w:val="22"/>
        </w:rPr>
        <w:t>Contemp</w:t>
      </w:r>
      <w:proofErr w:type="spellEnd"/>
      <w:r w:rsidRPr="00A6203D">
        <w:rPr>
          <w:rFonts w:ascii="Arial" w:hAnsi="Arial" w:cs="Arial"/>
          <w:sz w:val="22"/>
          <w:szCs w:val="22"/>
        </w:rPr>
        <w:t xml:space="preserve"> Clin Trials. </w:t>
      </w:r>
      <w:proofErr w:type="gramStart"/>
      <w:r w:rsidRPr="00A6203D">
        <w:rPr>
          <w:rFonts w:ascii="Arial" w:hAnsi="Arial" w:cs="Arial"/>
          <w:sz w:val="22"/>
          <w:szCs w:val="22"/>
        </w:rPr>
        <w:t>2015;41:259</w:t>
      </w:r>
      <w:proofErr w:type="gramEnd"/>
      <w:r w:rsidRPr="00A6203D">
        <w:rPr>
          <w:rFonts w:ascii="Arial" w:hAnsi="Arial" w:cs="Arial"/>
          <w:sz w:val="22"/>
          <w:szCs w:val="22"/>
        </w:rPr>
        <w:t>–268. </w:t>
      </w:r>
    </w:p>
    <w:p w14:paraId="006AF369" w14:textId="5D0AC431"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30.</w:t>
      </w:r>
      <w:r w:rsidR="00486EDB" w:rsidRPr="00A6203D">
        <w:rPr>
          <w:rFonts w:ascii="Arial" w:hAnsi="Arial" w:cs="Arial"/>
          <w:sz w:val="22"/>
          <w:szCs w:val="22"/>
        </w:rPr>
        <w:t xml:space="preserv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Hawkes WG, Glowacki J, Yu-Yahiro J, Hurwitz S, Magaziner J. Vitamin D-deficiency and post-fracture changes in lower extremity function and falls in women with hip fractures.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2008</w:t>
      </w:r>
    </w:p>
    <w:p w14:paraId="42A08B74" w14:textId="46FA9E22"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31.</w:t>
      </w:r>
      <w:r w:rsidR="00486EDB" w:rsidRPr="00A6203D">
        <w:rPr>
          <w:rFonts w:ascii="Arial" w:hAnsi="Arial" w:cs="Arial"/>
          <w:sz w:val="22"/>
          <w:szCs w:val="22"/>
        </w:rPr>
        <w:t xml:space="preserv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Kohlmeier L, Hurwitz S, Franklin J, Wright J, Glowacki J. Occult vitamin D deficiency in postmenopausal US women with acute hip fracture. Jama. </w:t>
      </w:r>
      <w:proofErr w:type="gramStart"/>
      <w:r w:rsidRPr="00A6203D">
        <w:rPr>
          <w:rFonts w:ascii="Arial" w:hAnsi="Arial" w:cs="Arial"/>
          <w:sz w:val="22"/>
          <w:szCs w:val="22"/>
        </w:rPr>
        <w:t>1999;281:1505</w:t>
      </w:r>
      <w:proofErr w:type="gramEnd"/>
      <w:r w:rsidRPr="00A6203D">
        <w:rPr>
          <w:rFonts w:ascii="Arial" w:hAnsi="Arial" w:cs="Arial"/>
          <w:sz w:val="22"/>
          <w:szCs w:val="22"/>
        </w:rPr>
        <w:t>–1511. </w:t>
      </w:r>
    </w:p>
    <w:p w14:paraId="7D4FD451" w14:textId="1FED569D"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32.</w:t>
      </w:r>
      <w:r w:rsidR="00486EDB" w:rsidRPr="00A6203D">
        <w:rPr>
          <w:rFonts w:ascii="Arial" w:hAnsi="Arial" w:cs="Arial"/>
          <w:sz w:val="22"/>
          <w:szCs w:val="22"/>
        </w:rPr>
        <w:t xml:space="preserve">    </w:t>
      </w:r>
      <w:r w:rsidRPr="00A6203D">
        <w:rPr>
          <w:rFonts w:ascii="Arial" w:hAnsi="Arial" w:cs="Arial"/>
          <w:sz w:val="22"/>
          <w:szCs w:val="22"/>
        </w:rPr>
        <w:t xml:space="preserve">Heaney RP, Dowell MS, Hale CA, </w:t>
      </w:r>
      <w:proofErr w:type="spellStart"/>
      <w:r w:rsidRPr="00A6203D">
        <w:rPr>
          <w:rFonts w:ascii="Arial" w:hAnsi="Arial" w:cs="Arial"/>
          <w:sz w:val="22"/>
          <w:szCs w:val="22"/>
        </w:rPr>
        <w:t>Bendich</w:t>
      </w:r>
      <w:proofErr w:type="spellEnd"/>
      <w:r w:rsidRPr="00A6203D">
        <w:rPr>
          <w:rFonts w:ascii="Arial" w:hAnsi="Arial" w:cs="Arial"/>
          <w:sz w:val="22"/>
          <w:szCs w:val="22"/>
        </w:rPr>
        <w:t xml:space="preserve"> A. Calcium absorption varies within the reference range for serum 25-hydroxyvitamin D. J Am Coll </w:t>
      </w:r>
      <w:proofErr w:type="spellStart"/>
      <w:r w:rsidRPr="00A6203D">
        <w:rPr>
          <w:rFonts w:ascii="Arial" w:hAnsi="Arial" w:cs="Arial"/>
          <w:sz w:val="22"/>
          <w:szCs w:val="22"/>
        </w:rPr>
        <w:t>Nutr</w:t>
      </w:r>
      <w:proofErr w:type="spellEnd"/>
      <w:r w:rsidRPr="00A6203D">
        <w:rPr>
          <w:rFonts w:ascii="Arial" w:hAnsi="Arial" w:cs="Arial"/>
          <w:sz w:val="22"/>
          <w:szCs w:val="22"/>
        </w:rPr>
        <w:t>. </w:t>
      </w:r>
      <w:proofErr w:type="gramStart"/>
      <w:r w:rsidRPr="00A6203D">
        <w:rPr>
          <w:rFonts w:ascii="Arial" w:hAnsi="Arial" w:cs="Arial"/>
          <w:sz w:val="22"/>
          <w:szCs w:val="22"/>
        </w:rPr>
        <w:t>2003;22:142</w:t>
      </w:r>
      <w:proofErr w:type="gramEnd"/>
      <w:r w:rsidRPr="00A6203D">
        <w:rPr>
          <w:rFonts w:ascii="Arial" w:hAnsi="Arial" w:cs="Arial"/>
          <w:sz w:val="22"/>
          <w:szCs w:val="22"/>
        </w:rPr>
        <w:t>–146. </w:t>
      </w:r>
    </w:p>
    <w:p w14:paraId="2D3CE227" w14:textId="6F20768F"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33.</w:t>
      </w:r>
      <w:r w:rsidR="00486EDB" w:rsidRPr="00A6203D">
        <w:rPr>
          <w:rFonts w:ascii="Arial" w:hAnsi="Arial" w:cs="Arial"/>
          <w:sz w:val="22"/>
          <w:szCs w:val="22"/>
        </w:rPr>
        <w:t xml:space="preserve">    </w:t>
      </w:r>
      <w:r w:rsidRPr="00A6203D">
        <w:rPr>
          <w:rFonts w:ascii="Arial" w:hAnsi="Arial" w:cs="Arial"/>
          <w:sz w:val="22"/>
          <w:szCs w:val="22"/>
        </w:rPr>
        <w:t xml:space="preserve">Haden ST, </w:t>
      </w:r>
      <w:proofErr w:type="spellStart"/>
      <w:r w:rsidRPr="00A6203D">
        <w:rPr>
          <w:rFonts w:ascii="Arial" w:hAnsi="Arial" w:cs="Arial"/>
          <w:sz w:val="22"/>
          <w:szCs w:val="22"/>
        </w:rPr>
        <w:t>Fuleihan</w:t>
      </w:r>
      <w:proofErr w:type="spellEnd"/>
      <w:r w:rsidRPr="00A6203D">
        <w:rPr>
          <w:rFonts w:ascii="Arial" w:hAnsi="Arial" w:cs="Arial"/>
          <w:sz w:val="22"/>
          <w:szCs w:val="22"/>
        </w:rPr>
        <w:t xml:space="preserve"> GE, Angell JE, </w:t>
      </w:r>
      <w:proofErr w:type="spellStart"/>
      <w:r w:rsidRPr="00A6203D">
        <w:rPr>
          <w:rFonts w:ascii="Arial" w:hAnsi="Arial" w:cs="Arial"/>
          <w:sz w:val="22"/>
          <w:szCs w:val="22"/>
        </w:rPr>
        <w:t>Cotran</w:t>
      </w:r>
      <w:proofErr w:type="spellEnd"/>
      <w:r w:rsidRPr="00A6203D">
        <w:rPr>
          <w:rFonts w:ascii="Arial" w:hAnsi="Arial" w:cs="Arial"/>
          <w:sz w:val="22"/>
          <w:szCs w:val="22"/>
        </w:rPr>
        <w:t xml:space="preserve"> NM,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w:t>
      </w:r>
      <w:proofErr w:type="spellStart"/>
      <w:r w:rsidRPr="00A6203D">
        <w:rPr>
          <w:rFonts w:ascii="Arial" w:hAnsi="Arial" w:cs="Arial"/>
          <w:sz w:val="22"/>
          <w:szCs w:val="22"/>
        </w:rPr>
        <w:t>Calcidiol</w:t>
      </w:r>
      <w:proofErr w:type="spellEnd"/>
      <w:r w:rsidRPr="00A6203D">
        <w:rPr>
          <w:rFonts w:ascii="Arial" w:hAnsi="Arial" w:cs="Arial"/>
          <w:sz w:val="22"/>
          <w:szCs w:val="22"/>
        </w:rPr>
        <w:t xml:space="preserve"> and PTH levels in women attending an osteoporosis program. </w:t>
      </w:r>
      <w:proofErr w:type="spellStart"/>
      <w:r w:rsidRPr="00A6203D">
        <w:rPr>
          <w:rFonts w:ascii="Arial" w:hAnsi="Arial" w:cs="Arial"/>
          <w:sz w:val="22"/>
          <w:szCs w:val="22"/>
        </w:rPr>
        <w:t>Calcif</w:t>
      </w:r>
      <w:proofErr w:type="spellEnd"/>
      <w:r w:rsidRPr="00A6203D">
        <w:rPr>
          <w:rFonts w:ascii="Arial" w:hAnsi="Arial" w:cs="Arial"/>
          <w:sz w:val="22"/>
          <w:szCs w:val="22"/>
        </w:rPr>
        <w:t xml:space="preserve"> Tissue Int. </w:t>
      </w:r>
      <w:proofErr w:type="gramStart"/>
      <w:r w:rsidRPr="00A6203D">
        <w:rPr>
          <w:rFonts w:ascii="Arial" w:hAnsi="Arial" w:cs="Arial"/>
          <w:sz w:val="22"/>
          <w:szCs w:val="22"/>
        </w:rPr>
        <w:t>1999;64:275</w:t>
      </w:r>
      <w:proofErr w:type="gramEnd"/>
      <w:r w:rsidRPr="00A6203D">
        <w:rPr>
          <w:rFonts w:ascii="Arial" w:hAnsi="Arial" w:cs="Arial"/>
          <w:sz w:val="22"/>
          <w:szCs w:val="22"/>
        </w:rPr>
        <w:t>–279. </w:t>
      </w:r>
    </w:p>
    <w:p w14:paraId="48A12BCD" w14:textId="4B714EA0"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34.</w:t>
      </w:r>
      <w:r w:rsidR="00486EDB" w:rsidRPr="00A6203D">
        <w:rPr>
          <w:rFonts w:ascii="Arial" w:hAnsi="Arial" w:cs="Arial"/>
          <w:sz w:val="22"/>
          <w:szCs w:val="22"/>
        </w:rPr>
        <w:t xml:space="preserve">    </w:t>
      </w:r>
      <w:proofErr w:type="spellStart"/>
      <w:r w:rsidRPr="00A6203D">
        <w:rPr>
          <w:rFonts w:ascii="Arial" w:hAnsi="Arial" w:cs="Arial"/>
          <w:sz w:val="22"/>
          <w:szCs w:val="22"/>
        </w:rPr>
        <w:t>Chapuy</w:t>
      </w:r>
      <w:proofErr w:type="spellEnd"/>
      <w:r w:rsidRPr="00A6203D">
        <w:rPr>
          <w:rFonts w:ascii="Arial" w:hAnsi="Arial" w:cs="Arial"/>
          <w:sz w:val="22"/>
          <w:szCs w:val="22"/>
        </w:rPr>
        <w:t xml:space="preserve"> MC, </w:t>
      </w:r>
      <w:proofErr w:type="spellStart"/>
      <w:r w:rsidRPr="00A6203D">
        <w:rPr>
          <w:rFonts w:ascii="Arial" w:hAnsi="Arial" w:cs="Arial"/>
          <w:sz w:val="22"/>
          <w:szCs w:val="22"/>
        </w:rPr>
        <w:t>Arlot</w:t>
      </w:r>
      <w:proofErr w:type="spellEnd"/>
      <w:r w:rsidRPr="00A6203D">
        <w:rPr>
          <w:rFonts w:ascii="Arial" w:hAnsi="Arial" w:cs="Arial"/>
          <w:sz w:val="22"/>
          <w:szCs w:val="22"/>
        </w:rPr>
        <w:t xml:space="preserve"> ME, </w:t>
      </w:r>
      <w:proofErr w:type="spellStart"/>
      <w:r w:rsidRPr="00A6203D">
        <w:rPr>
          <w:rFonts w:ascii="Arial" w:hAnsi="Arial" w:cs="Arial"/>
          <w:sz w:val="22"/>
          <w:szCs w:val="22"/>
        </w:rPr>
        <w:t>Duboeuf</w:t>
      </w:r>
      <w:proofErr w:type="spellEnd"/>
      <w:r w:rsidRPr="00A6203D">
        <w:rPr>
          <w:rFonts w:ascii="Arial" w:hAnsi="Arial" w:cs="Arial"/>
          <w:sz w:val="22"/>
          <w:szCs w:val="22"/>
        </w:rPr>
        <w:t xml:space="preserve"> F, Brun J, Crouzet B, Arnaud S, Delmas PD, Meunier PJ. Vitamin D3 and calcium to prevent hip fractures in the elderly women. N Engl J Med. </w:t>
      </w:r>
      <w:proofErr w:type="gramStart"/>
      <w:r w:rsidRPr="00A6203D">
        <w:rPr>
          <w:rFonts w:ascii="Arial" w:hAnsi="Arial" w:cs="Arial"/>
          <w:sz w:val="22"/>
          <w:szCs w:val="22"/>
        </w:rPr>
        <w:t>1992;327:1637</w:t>
      </w:r>
      <w:proofErr w:type="gramEnd"/>
      <w:r w:rsidRPr="00A6203D">
        <w:rPr>
          <w:rFonts w:ascii="Arial" w:hAnsi="Arial" w:cs="Arial"/>
          <w:sz w:val="22"/>
          <w:szCs w:val="22"/>
        </w:rPr>
        <w:t>–1642. </w:t>
      </w:r>
    </w:p>
    <w:p w14:paraId="0A051A30" w14:textId="4A4F74F3"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35.</w:t>
      </w:r>
      <w:r w:rsidR="00486EDB" w:rsidRPr="00A6203D">
        <w:rPr>
          <w:rFonts w:ascii="Arial" w:hAnsi="Arial" w:cs="Arial"/>
          <w:sz w:val="22"/>
          <w:szCs w:val="22"/>
        </w:rPr>
        <w:t xml:space="preserve">    </w:t>
      </w:r>
      <w:r w:rsidRPr="00A6203D">
        <w:rPr>
          <w:rFonts w:ascii="Arial" w:hAnsi="Arial" w:cs="Arial"/>
          <w:sz w:val="22"/>
          <w:szCs w:val="22"/>
        </w:rPr>
        <w:t xml:space="preserve">Bischoff-Ferrari HA, Dietrich T, Orav EJ, Hu FB, Zhang Y, Karlson EW, Dawson-Hughes B. Higher 25-hydroxyvitamin D concentrations are associated with better lower-extremity function in both active and inactive persons aged &gt; or =60 y. Am J Clin </w:t>
      </w:r>
      <w:proofErr w:type="spellStart"/>
      <w:r w:rsidRPr="00A6203D">
        <w:rPr>
          <w:rFonts w:ascii="Arial" w:hAnsi="Arial" w:cs="Arial"/>
          <w:sz w:val="22"/>
          <w:szCs w:val="22"/>
        </w:rPr>
        <w:t>Nutr</w:t>
      </w:r>
      <w:proofErr w:type="spellEnd"/>
      <w:r w:rsidRPr="00A6203D">
        <w:rPr>
          <w:rFonts w:ascii="Arial" w:hAnsi="Arial" w:cs="Arial"/>
          <w:sz w:val="22"/>
          <w:szCs w:val="22"/>
        </w:rPr>
        <w:t>. </w:t>
      </w:r>
      <w:proofErr w:type="gramStart"/>
      <w:r w:rsidRPr="00A6203D">
        <w:rPr>
          <w:rFonts w:ascii="Arial" w:hAnsi="Arial" w:cs="Arial"/>
          <w:sz w:val="22"/>
          <w:szCs w:val="22"/>
        </w:rPr>
        <w:t>2004;80:752</w:t>
      </w:r>
      <w:proofErr w:type="gramEnd"/>
      <w:r w:rsidRPr="00A6203D">
        <w:rPr>
          <w:rFonts w:ascii="Arial" w:hAnsi="Arial" w:cs="Arial"/>
          <w:sz w:val="22"/>
          <w:szCs w:val="22"/>
        </w:rPr>
        <w:t>–758. </w:t>
      </w:r>
    </w:p>
    <w:p w14:paraId="6BBA7498" w14:textId="654674C7"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36.</w:t>
      </w:r>
      <w:r w:rsidR="00486EDB" w:rsidRPr="00A6203D">
        <w:rPr>
          <w:rFonts w:ascii="Arial" w:hAnsi="Arial" w:cs="Arial"/>
          <w:sz w:val="22"/>
          <w:szCs w:val="22"/>
        </w:rPr>
        <w:t xml:space="preserve">    </w:t>
      </w:r>
      <w:r w:rsidRPr="00A6203D">
        <w:rPr>
          <w:rFonts w:ascii="Arial" w:hAnsi="Arial" w:cs="Arial"/>
          <w:sz w:val="22"/>
          <w:szCs w:val="22"/>
        </w:rPr>
        <w:t xml:space="preserve">Bischoff HA, </w:t>
      </w:r>
      <w:proofErr w:type="spellStart"/>
      <w:r w:rsidRPr="00A6203D">
        <w:rPr>
          <w:rFonts w:ascii="Arial" w:hAnsi="Arial" w:cs="Arial"/>
          <w:sz w:val="22"/>
          <w:szCs w:val="22"/>
        </w:rPr>
        <w:t>Stahelin</w:t>
      </w:r>
      <w:proofErr w:type="spellEnd"/>
      <w:r w:rsidRPr="00A6203D">
        <w:rPr>
          <w:rFonts w:ascii="Arial" w:hAnsi="Arial" w:cs="Arial"/>
          <w:sz w:val="22"/>
          <w:szCs w:val="22"/>
        </w:rPr>
        <w:t xml:space="preserve"> HB, Dick W, </w:t>
      </w:r>
      <w:proofErr w:type="spellStart"/>
      <w:r w:rsidRPr="00A6203D">
        <w:rPr>
          <w:rFonts w:ascii="Arial" w:hAnsi="Arial" w:cs="Arial"/>
          <w:sz w:val="22"/>
          <w:szCs w:val="22"/>
        </w:rPr>
        <w:t>Akos</w:t>
      </w:r>
      <w:proofErr w:type="spellEnd"/>
      <w:r w:rsidRPr="00A6203D">
        <w:rPr>
          <w:rFonts w:ascii="Arial" w:hAnsi="Arial" w:cs="Arial"/>
          <w:sz w:val="22"/>
          <w:szCs w:val="22"/>
        </w:rPr>
        <w:t xml:space="preserve"> R, Knecht M, Salis C, </w:t>
      </w:r>
      <w:proofErr w:type="spellStart"/>
      <w:r w:rsidRPr="00A6203D">
        <w:rPr>
          <w:rFonts w:ascii="Arial" w:hAnsi="Arial" w:cs="Arial"/>
          <w:sz w:val="22"/>
          <w:szCs w:val="22"/>
        </w:rPr>
        <w:t>Nebiker</w:t>
      </w:r>
      <w:proofErr w:type="spellEnd"/>
      <w:r w:rsidRPr="00A6203D">
        <w:rPr>
          <w:rFonts w:ascii="Arial" w:hAnsi="Arial" w:cs="Arial"/>
          <w:sz w:val="22"/>
          <w:szCs w:val="22"/>
        </w:rPr>
        <w:t xml:space="preserve"> M, Theiler R, Pfeifer M, </w:t>
      </w:r>
      <w:proofErr w:type="spellStart"/>
      <w:r w:rsidRPr="00A6203D">
        <w:rPr>
          <w:rFonts w:ascii="Arial" w:hAnsi="Arial" w:cs="Arial"/>
          <w:sz w:val="22"/>
          <w:szCs w:val="22"/>
        </w:rPr>
        <w:t>Begerow</w:t>
      </w:r>
      <w:proofErr w:type="spellEnd"/>
      <w:r w:rsidRPr="00A6203D">
        <w:rPr>
          <w:rFonts w:ascii="Arial" w:hAnsi="Arial" w:cs="Arial"/>
          <w:sz w:val="22"/>
          <w:szCs w:val="22"/>
        </w:rPr>
        <w:t xml:space="preserve"> B, Lew RA, Conzelmann M. Effects of vitamin D and calcium </w:t>
      </w:r>
      <w:r w:rsidRPr="00A6203D">
        <w:rPr>
          <w:rFonts w:ascii="Arial" w:hAnsi="Arial" w:cs="Arial"/>
          <w:sz w:val="22"/>
          <w:szCs w:val="22"/>
        </w:rPr>
        <w:lastRenderedPageBreak/>
        <w:t>supplementation on falls: a randomized controlled trial. J Bone Miner Res. </w:t>
      </w:r>
      <w:proofErr w:type="gramStart"/>
      <w:r w:rsidRPr="00A6203D">
        <w:rPr>
          <w:rFonts w:ascii="Arial" w:hAnsi="Arial" w:cs="Arial"/>
          <w:sz w:val="22"/>
          <w:szCs w:val="22"/>
        </w:rPr>
        <w:t>2003;18:343</w:t>
      </w:r>
      <w:proofErr w:type="gramEnd"/>
      <w:r w:rsidRPr="00A6203D">
        <w:rPr>
          <w:rFonts w:ascii="Arial" w:hAnsi="Arial" w:cs="Arial"/>
          <w:sz w:val="22"/>
          <w:szCs w:val="22"/>
        </w:rPr>
        <w:t>–351. </w:t>
      </w:r>
    </w:p>
    <w:p w14:paraId="0CFD8A90" w14:textId="633680E9" w:rsidR="005E6870" w:rsidRPr="00A6203D" w:rsidRDefault="005E6870" w:rsidP="00486EDB">
      <w:pPr>
        <w:spacing w:line="276" w:lineRule="auto"/>
        <w:ind w:left="576" w:hanging="576"/>
        <w:rPr>
          <w:rFonts w:ascii="Arial" w:hAnsi="Arial" w:cs="Arial"/>
          <w:sz w:val="22"/>
          <w:szCs w:val="22"/>
        </w:rPr>
      </w:pPr>
      <w:r w:rsidRPr="00A6203D">
        <w:rPr>
          <w:rFonts w:ascii="Arial" w:hAnsi="Arial" w:cs="Arial"/>
          <w:sz w:val="22"/>
          <w:szCs w:val="22"/>
        </w:rPr>
        <w:t>37.</w:t>
      </w:r>
      <w:r w:rsidR="00BC54D1" w:rsidRPr="00A6203D">
        <w:rPr>
          <w:rFonts w:ascii="Arial" w:hAnsi="Arial" w:cs="Arial"/>
          <w:sz w:val="22"/>
          <w:szCs w:val="22"/>
        </w:rPr>
        <w:t xml:space="preserve">    </w:t>
      </w:r>
      <w:r w:rsidRPr="00A6203D">
        <w:rPr>
          <w:rFonts w:ascii="Arial" w:hAnsi="Arial" w:cs="Arial"/>
          <w:sz w:val="22"/>
          <w:szCs w:val="22"/>
        </w:rPr>
        <w:t xml:space="preserve">Moyer VA. Prevention of Falls in Community-Dwelling Older Adults: U.S. Preventive Services Task Force Recommendation Statement. Ann Intern Med 2012; </w:t>
      </w:r>
    </w:p>
    <w:p w14:paraId="64AF00F8" w14:textId="5A48548C"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38.</w:t>
      </w:r>
      <w:r w:rsidR="00BC54D1" w:rsidRPr="00A6203D">
        <w:rPr>
          <w:rFonts w:ascii="Arial" w:hAnsi="Arial" w:cs="Arial"/>
          <w:sz w:val="22"/>
          <w:szCs w:val="22"/>
        </w:rPr>
        <w:t xml:space="preserve">    </w:t>
      </w:r>
      <w:r w:rsidRPr="00A6203D">
        <w:rPr>
          <w:rFonts w:ascii="Arial" w:hAnsi="Arial" w:cs="Arial"/>
          <w:sz w:val="22"/>
          <w:szCs w:val="22"/>
        </w:rPr>
        <w:t xml:space="preserve">Murad MH, Elamin KB, Abu Elnour NO, Elamin MB, Alkatib AA, </w:t>
      </w:r>
      <w:proofErr w:type="spellStart"/>
      <w:r w:rsidRPr="00A6203D">
        <w:rPr>
          <w:rFonts w:ascii="Arial" w:hAnsi="Arial" w:cs="Arial"/>
          <w:sz w:val="22"/>
          <w:szCs w:val="22"/>
        </w:rPr>
        <w:t>Fatourechi</w:t>
      </w:r>
      <w:proofErr w:type="spellEnd"/>
      <w:r w:rsidRPr="00A6203D">
        <w:rPr>
          <w:rFonts w:ascii="Arial" w:hAnsi="Arial" w:cs="Arial"/>
          <w:sz w:val="22"/>
          <w:szCs w:val="22"/>
        </w:rPr>
        <w:t xml:space="preserve"> MM, Almandoz JP, Mullan RJ, Lane MA, Liu H, Erwin PJ, Hensrud DD, Montori VM. The Effect of Vitamin D on Falls: A Systematic Review and Meta-Analysis.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2011 </w:t>
      </w:r>
    </w:p>
    <w:p w14:paraId="299C34D8" w14:textId="52500CA0"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39.</w:t>
      </w:r>
      <w:r w:rsidR="00BC54D1" w:rsidRPr="00A6203D">
        <w:rPr>
          <w:rFonts w:ascii="Arial" w:hAnsi="Arial" w:cs="Arial"/>
          <w:sz w:val="22"/>
          <w:szCs w:val="22"/>
        </w:rPr>
        <w:t xml:space="preserve">    </w:t>
      </w:r>
      <w:r w:rsidRPr="00A6203D">
        <w:rPr>
          <w:rFonts w:ascii="Arial" w:hAnsi="Arial" w:cs="Arial"/>
          <w:sz w:val="22"/>
          <w:szCs w:val="22"/>
        </w:rPr>
        <w:t>John EM, Schwartz GG, Dreon DM, Koo J. Vitamin D and breast cancer risk: the NHANES I Epidemiologic follow-up study, 1971-1975 to 1992. National Health and Nutrition Examination Survey. Cancer Epidemiol Biomarkers Prev. </w:t>
      </w:r>
      <w:proofErr w:type="gramStart"/>
      <w:r w:rsidRPr="00A6203D">
        <w:rPr>
          <w:rFonts w:ascii="Arial" w:hAnsi="Arial" w:cs="Arial"/>
          <w:sz w:val="22"/>
          <w:szCs w:val="22"/>
        </w:rPr>
        <w:t>1999;8:399</w:t>
      </w:r>
      <w:proofErr w:type="gramEnd"/>
      <w:r w:rsidRPr="00A6203D">
        <w:rPr>
          <w:rFonts w:ascii="Arial" w:hAnsi="Arial" w:cs="Arial"/>
          <w:sz w:val="22"/>
          <w:szCs w:val="22"/>
        </w:rPr>
        <w:t>–406. </w:t>
      </w:r>
    </w:p>
    <w:p w14:paraId="75D14E91" w14:textId="2E291AD5"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40.</w:t>
      </w:r>
      <w:r w:rsidR="00BC54D1" w:rsidRPr="00A6203D">
        <w:rPr>
          <w:rFonts w:ascii="Arial" w:hAnsi="Arial" w:cs="Arial"/>
          <w:sz w:val="22"/>
          <w:szCs w:val="22"/>
        </w:rPr>
        <w:t xml:space="preserve">    </w:t>
      </w:r>
      <w:r w:rsidRPr="00A6203D">
        <w:rPr>
          <w:rFonts w:ascii="Arial" w:hAnsi="Arial" w:cs="Arial"/>
          <w:sz w:val="22"/>
          <w:szCs w:val="22"/>
        </w:rPr>
        <w:t xml:space="preserve">Rosen CJ, Adams JS, Bikle DD, Black DM, </w:t>
      </w:r>
      <w:proofErr w:type="spellStart"/>
      <w:r w:rsidRPr="00A6203D">
        <w:rPr>
          <w:rFonts w:ascii="Arial" w:hAnsi="Arial" w:cs="Arial"/>
          <w:sz w:val="22"/>
          <w:szCs w:val="22"/>
        </w:rPr>
        <w:t>Demay</w:t>
      </w:r>
      <w:proofErr w:type="spellEnd"/>
      <w:r w:rsidRPr="00A6203D">
        <w:rPr>
          <w:rFonts w:ascii="Arial" w:hAnsi="Arial" w:cs="Arial"/>
          <w:sz w:val="22"/>
          <w:szCs w:val="22"/>
        </w:rPr>
        <w:t xml:space="preserve"> MB, Manson JE, Murad MH, Kovacs CS. The </w:t>
      </w:r>
      <w:proofErr w:type="spellStart"/>
      <w:r w:rsidRPr="00A6203D">
        <w:rPr>
          <w:rFonts w:ascii="Arial" w:hAnsi="Arial" w:cs="Arial"/>
          <w:sz w:val="22"/>
          <w:szCs w:val="22"/>
        </w:rPr>
        <w:t>nonskeletal</w:t>
      </w:r>
      <w:proofErr w:type="spellEnd"/>
      <w:r w:rsidRPr="00A6203D">
        <w:rPr>
          <w:rFonts w:ascii="Arial" w:hAnsi="Arial" w:cs="Arial"/>
          <w:sz w:val="22"/>
          <w:szCs w:val="22"/>
        </w:rPr>
        <w:t xml:space="preserve"> effects of vitamin D: an Endocrine Society scientific statement. </w:t>
      </w:r>
      <w:proofErr w:type="spellStart"/>
      <w:r w:rsidRPr="00A6203D">
        <w:rPr>
          <w:rFonts w:ascii="Arial" w:hAnsi="Arial" w:cs="Arial"/>
          <w:sz w:val="22"/>
          <w:szCs w:val="22"/>
        </w:rPr>
        <w:t>Endocr</w:t>
      </w:r>
      <w:proofErr w:type="spellEnd"/>
      <w:r w:rsidRPr="00A6203D">
        <w:rPr>
          <w:rFonts w:ascii="Arial" w:hAnsi="Arial" w:cs="Arial"/>
          <w:sz w:val="22"/>
          <w:szCs w:val="22"/>
        </w:rPr>
        <w:t xml:space="preserve"> Rev. </w:t>
      </w:r>
      <w:proofErr w:type="gramStart"/>
      <w:r w:rsidRPr="00A6203D">
        <w:rPr>
          <w:rFonts w:ascii="Arial" w:hAnsi="Arial" w:cs="Arial"/>
          <w:sz w:val="22"/>
          <w:szCs w:val="22"/>
        </w:rPr>
        <w:t>2012;33:456</w:t>
      </w:r>
      <w:proofErr w:type="gramEnd"/>
      <w:r w:rsidRPr="00A6203D">
        <w:rPr>
          <w:rFonts w:ascii="Arial" w:hAnsi="Arial" w:cs="Arial"/>
          <w:sz w:val="22"/>
          <w:szCs w:val="22"/>
        </w:rPr>
        <w:t>–492. </w:t>
      </w:r>
    </w:p>
    <w:p w14:paraId="547785F9" w14:textId="020B131D"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41.</w:t>
      </w:r>
      <w:r w:rsidR="00BC54D1" w:rsidRPr="00A6203D">
        <w:rPr>
          <w:rFonts w:ascii="Arial" w:hAnsi="Arial" w:cs="Arial"/>
          <w:sz w:val="22"/>
          <w:szCs w:val="22"/>
        </w:rPr>
        <w:t xml:space="preserve">    </w:t>
      </w:r>
      <w:r w:rsidRPr="00A6203D">
        <w:rPr>
          <w:rFonts w:ascii="Arial" w:hAnsi="Arial" w:cs="Arial"/>
          <w:sz w:val="22"/>
          <w:szCs w:val="22"/>
        </w:rPr>
        <w:t>Giovannucci E, Liu Y, Rimm EB, Hollis BW, Fuchs CS, Stampfer MJ, Willett WC. Prospective study of predictors of vitamin D status and cancer incidence and mortality in men. J Natl Cancer Inst. </w:t>
      </w:r>
      <w:proofErr w:type="gramStart"/>
      <w:r w:rsidRPr="00A6203D">
        <w:rPr>
          <w:rFonts w:ascii="Arial" w:hAnsi="Arial" w:cs="Arial"/>
          <w:sz w:val="22"/>
          <w:szCs w:val="22"/>
        </w:rPr>
        <w:t>2006;98:451</w:t>
      </w:r>
      <w:proofErr w:type="gramEnd"/>
      <w:r w:rsidRPr="00A6203D">
        <w:rPr>
          <w:rFonts w:ascii="Arial" w:hAnsi="Arial" w:cs="Arial"/>
          <w:sz w:val="22"/>
          <w:szCs w:val="22"/>
        </w:rPr>
        <w:t>–459. </w:t>
      </w:r>
    </w:p>
    <w:p w14:paraId="394DDC01" w14:textId="1109891C"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42.</w:t>
      </w:r>
      <w:r w:rsidR="00BC54D1" w:rsidRPr="00A6203D">
        <w:rPr>
          <w:rFonts w:ascii="Arial" w:hAnsi="Arial" w:cs="Arial"/>
          <w:sz w:val="22"/>
          <w:szCs w:val="22"/>
        </w:rPr>
        <w:t xml:space="preserve">    </w:t>
      </w:r>
      <w:r w:rsidRPr="00A6203D">
        <w:rPr>
          <w:rFonts w:ascii="Arial" w:hAnsi="Arial" w:cs="Arial"/>
          <w:sz w:val="22"/>
          <w:szCs w:val="22"/>
        </w:rPr>
        <w:t>Dawson-Hughes B, Heaney R. P., Holick M. F., Lips P., Meunier P. J. R. V. Estimates of optimal vitamin D status.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2005;16:713</w:t>
      </w:r>
      <w:proofErr w:type="gramEnd"/>
      <w:r w:rsidRPr="00A6203D">
        <w:rPr>
          <w:rFonts w:ascii="Arial" w:hAnsi="Arial" w:cs="Arial"/>
          <w:sz w:val="22"/>
          <w:szCs w:val="22"/>
        </w:rPr>
        <w:t>–716. </w:t>
      </w:r>
    </w:p>
    <w:p w14:paraId="7B02110F" w14:textId="7E068D5B" w:rsidR="005E6870" w:rsidRPr="00A6203D" w:rsidRDefault="005E6870" w:rsidP="00BC54D1">
      <w:pPr>
        <w:spacing w:line="276" w:lineRule="auto"/>
        <w:ind w:left="576" w:hanging="576"/>
        <w:rPr>
          <w:rFonts w:ascii="Arial" w:hAnsi="Arial" w:cs="Arial"/>
          <w:sz w:val="22"/>
          <w:szCs w:val="22"/>
        </w:rPr>
      </w:pPr>
      <w:r w:rsidRPr="00A6203D">
        <w:rPr>
          <w:rFonts w:ascii="Arial" w:hAnsi="Arial" w:cs="Arial"/>
          <w:sz w:val="22"/>
          <w:szCs w:val="22"/>
        </w:rPr>
        <w:t>43.</w:t>
      </w:r>
      <w:r w:rsidR="00BC54D1" w:rsidRPr="00A6203D">
        <w:rPr>
          <w:rFonts w:ascii="Arial" w:hAnsi="Arial" w:cs="Arial"/>
          <w:sz w:val="22"/>
          <w:szCs w:val="22"/>
        </w:rPr>
        <w:t xml:space="preserve">    </w:t>
      </w:r>
      <w:r w:rsidRPr="00A6203D">
        <w:rPr>
          <w:rFonts w:ascii="Arial" w:hAnsi="Arial" w:cs="Arial"/>
          <w:sz w:val="22"/>
          <w:szCs w:val="22"/>
        </w:rPr>
        <w:t xml:space="preserve">Looker AC, Johnson CL, Lacher DA, Pfeiffer CM, Schleicher RL, </w:t>
      </w:r>
      <w:proofErr w:type="spellStart"/>
      <w:r w:rsidRPr="00A6203D">
        <w:rPr>
          <w:rFonts w:ascii="Arial" w:hAnsi="Arial" w:cs="Arial"/>
          <w:sz w:val="22"/>
          <w:szCs w:val="22"/>
        </w:rPr>
        <w:t>Sempos</w:t>
      </w:r>
      <w:proofErr w:type="spellEnd"/>
      <w:r w:rsidRPr="00A6203D">
        <w:rPr>
          <w:rFonts w:ascii="Arial" w:hAnsi="Arial" w:cs="Arial"/>
          <w:sz w:val="22"/>
          <w:szCs w:val="22"/>
        </w:rPr>
        <w:t xml:space="preserve"> CT. Vitamin D status: United States, 2001-2006. NCHS Data Brief. 2011:1–8. </w:t>
      </w:r>
    </w:p>
    <w:p w14:paraId="7BD1A473" w14:textId="5FA9C754" w:rsidR="005E6870" w:rsidRPr="00A6203D" w:rsidRDefault="005E6870" w:rsidP="00FF3D24">
      <w:pPr>
        <w:spacing w:line="276" w:lineRule="auto"/>
        <w:ind w:left="576" w:hanging="576"/>
        <w:rPr>
          <w:rFonts w:ascii="Arial" w:hAnsi="Arial" w:cs="Arial"/>
          <w:sz w:val="22"/>
          <w:szCs w:val="22"/>
        </w:rPr>
      </w:pPr>
      <w:r w:rsidRPr="00A6203D">
        <w:rPr>
          <w:rFonts w:ascii="Arial" w:hAnsi="Arial" w:cs="Arial"/>
          <w:sz w:val="22"/>
          <w:szCs w:val="22"/>
        </w:rPr>
        <w:t>44.</w:t>
      </w:r>
      <w:r w:rsidR="00FF3D24" w:rsidRPr="00A6203D">
        <w:rPr>
          <w:rFonts w:ascii="Arial" w:hAnsi="Arial" w:cs="Arial"/>
          <w:sz w:val="22"/>
          <w:szCs w:val="22"/>
        </w:rPr>
        <w:t xml:space="preserve">    </w:t>
      </w:r>
      <w:r w:rsidRPr="00A6203D">
        <w:rPr>
          <w:rFonts w:ascii="Arial" w:hAnsi="Arial" w:cs="Arial"/>
          <w:sz w:val="22"/>
          <w:szCs w:val="22"/>
        </w:rPr>
        <w:t xml:space="preserve">Dawson-Hughes B, Mithal A, Bonjour JP, Boonen S, Burckhardt P, </w:t>
      </w:r>
      <w:proofErr w:type="spellStart"/>
      <w:r w:rsidRPr="00A6203D">
        <w:rPr>
          <w:rFonts w:ascii="Arial" w:hAnsi="Arial" w:cs="Arial"/>
          <w:sz w:val="22"/>
          <w:szCs w:val="22"/>
        </w:rPr>
        <w:t>Fuleihan</w:t>
      </w:r>
      <w:proofErr w:type="spellEnd"/>
      <w:r w:rsidRPr="00A6203D">
        <w:rPr>
          <w:rFonts w:ascii="Arial" w:hAnsi="Arial" w:cs="Arial"/>
          <w:sz w:val="22"/>
          <w:szCs w:val="22"/>
        </w:rPr>
        <w:t xml:space="preserve"> GE, Josse RG, Lips P, Morales-Torres J, Yoshimura N. IOF position statement: vitamin D recommendations for older adults. Osteoporosis international: a journal established as result of cooperation between the European Foundation for Osteoporosis and the National Osteoporosis Foundation of the USA 2010; 21:1151-1154. </w:t>
      </w:r>
    </w:p>
    <w:p w14:paraId="48AF63C2" w14:textId="570C376F" w:rsidR="005E6870" w:rsidRPr="00A6203D" w:rsidRDefault="005E6870" w:rsidP="00FF3D24">
      <w:pPr>
        <w:spacing w:line="276" w:lineRule="auto"/>
        <w:ind w:left="576" w:hanging="576"/>
        <w:rPr>
          <w:rFonts w:ascii="Arial" w:hAnsi="Arial" w:cs="Arial"/>
          <w:sz w:val="22"/>
          <w:szCs w:val="22"/>
        </w:rPr>
      </w:pPr>
      <w:r w:rsidRPr="00A6203D">
        <w:rPr>
          <w:rFonts w:ascii="Arial" w:hAnsi="Arial" w:cs="Arial"/>
          <w:sz w:val="22"/>
          <w:szCs w:val="22"/>
        </w:rPr>
        <w:t>45.</w:t>
      </w:r>
      <w:r w:rsidR="00FF3D24" w:rsidRPr="00A6203D">
        <w:rPr>
          <w:rFonts w:ascii="Arial" w:hAnsi="Arial" w:cs="Arial"/>
          <w:sz w:val="22"/>
          <w:szCs w:val="22"/>
        </w:rPr>
        <w:t xml:space="preserve">    </w:t>
      </w:r>
      <w:r w:rsidRPr="00A6203D">
        <w:rPr>
          <w:rFonts w:ascii="Arial" w:hAnsi="Arial" w:cs="Arial"/>
          <w:sz w:val="22"/>
          <w:szCs w:val="22"/>
        </w:rPr>
        <w:t>Holick MF, Binkley NC, Bischoff-Ferrari HA, Gordon CM, Hanley DA, Heaney RP, Murad MH, Weaver CM. Evaluation, treatment, and prevention of vitamin D deficiency: an Endocrine Society clinical practice guideline. The Journal of clinical endocrinology and metabolism. </w:t>
      </w:r>
      <w:proofErr w:type="gramStart"/>
      <w:r w:rsidRPr="00A6203D">
        <w:rPr>
          <w:rFonts w:ascii="Arial" w:hAnsi="Arial" w:cs="Arial"/>
          <w:sz w:val="22"/>
          <w:szCs w:val="22"/>
        </w:rPr>
        <w:t>2011;96:1911</w:t>
      </w:r>
      <w:proofErr w:type="gramEnd"/>
      <w:r w:rsidRPr="00A6203D">
        <w:rPr>
          <w:rFonts w:ascii="Arial" w:hAnsi="Arial" w:cs="Arial"/>
          <w:sz w:val="22"/>
          <w:szCs w:val="22"/>
        </w:rPr>
        <w:t>–1930. </w:t>
      </w:r>
    </w:p>
    <w:p w14:paraId="1F63725D" w14:textId="2362AC07" w:rsidR="005E6870" w:rsidRPr="00A6203D" w:rsidRDefault="005E6870" w:rsidP="000B2ED2">
      <w:pPr>
        <w:spacing w:line="276" w:lineRule="auto"/>
        <w:ind w:left="576" w:hanging="576"/>
        <w:rPr>
          <w:rFonts w:ascii="Arial" w:hAnsi="Arial" w:cs="Arial"/>
          <w:sz w:val="22"/>
          <w:szCs w:val="22"/>
        </w:rPr>
      </w:pPr>
      <w:bookmarkStart w:id="4" w:name="_Hlk112760968"/>
      <w:r w:rsidRPr="00A6203D">
        <w:rPr>
          <w:rFonts w:ascii="Arial" w:hAnsi="Arial" w:cs="Arial"/>
          <w:sz w:val="22"/>
          <w:szCs w:val="22"/>
        </w:rPr>
        <w:t>46.</w:t>
      </w:r>
      <w:r w:rsidR="00FF3D24" w:rsidRPr="00A6203D">
        <w:rPr>
          <w:rFonts w:ascii="Arial" w:hAnsi="Arial" w:cs="Arial"/>
          <w:sz w:val="22"/>
          <w:szCs w:val="22"/>
        </w:rPr>
        <w:t xml:space="preserve">    </w:t>
      </w:r>
      <w:r w:rsidRPr="00A6203D">
        <w:rPr>
          <w:rFonts w:ascii="Arial" w:hAnsi="Arial" w:cs="Arial"/>
          <w:sz w:val="22"/>
          <w:szCs w:val="22"/>
        </w:rPr>
        <w:t xml:space="preserve">Ross AC, Manson JE, Abrams SA, Aloia JF, Brannon PM, Clinton SK, Durazo-Arvizu RA, Gallagher JC, Gallo RL, Jones G, Kovacs CS, Mayne ST, Rosen CJ, </w:t>
      </w:r>
      <w:proofErr w:type="spellStart"/>
      <w:r w:rsidRPr="00A6203D">
        <w:rPr>
          <w:rFonts w:ascii="Arial" w:hAnsi="Arial" w:cs="Arial"/>
          <w:sz w:val="22"/>
          <w:szCs w:val="22"/>
        </w:rPr>
        <w:t>Shapses</w:t>
      </w:r>
      <w:proofErr w:type="spellEnd"/>
      <w:r w:rsidRPr="00A6203D">
        <w:rPr>
          <w:rFonts w:ascii="Arial" w:hAnsi="Arial" w:cs="Arial"/>
          <w:sz w:val="22"/>
          <w:szCs w:val="22"/>
        </w:rPr>
        <w:t xml:space="preserve"> SA. The 2011 report on dietary reference intakes for calcium and vitamin D from the Institute of Medicine: what clinicians need to know.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2011;96:53</w:t>
      </w:r>
      <w:proofErr w:type="gramEnd"/>
      <w:r w:rsidRPr="00A6203D">
        <w:rPr>
          <w:rFonts w:ascii="Arial" w:hAnsi="Arial" w:cs="Arial"/>
          <w:sz w:val="22"/>
          <w:szCs w:val="22"/>
        </w:rPr>
        <w:t>–58. </w:t>
      </w:r>
    </w:p>
    <w:p w14:paraId="09B84C89" w14:textId="48E5ABA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47.</w:t>
      </w:r>
      <w:r w:rsidR="00FF3D24" w:rsidRPr="00A6203D">
        <w:rPr>
          <w:rFonts w:ascii="Arial" w:hAnsi="Arial" w:cs="Arial"/>
          <w:sz w:val="22"/>
          <w:szCs w:val="22"/>
        </w:rPr>
        <w:t xml:space="preserve">    </w:t>
      </w:r>
      <w:proofErr w:type="spellStart"/>
      <w:r w:rsidRPr="00A6203D">
        <w:rPr>
          <w:rFonts w:ascii="Arial" w:hAnsi="Arial" w:cs="Arial"/>
          <w:sz w:val="22"/>
          <w:szCs w:val="22"/>
        </w:rPr>
        <w:t>Chapuy</w:t>
      </w:r>
      <w:proofErr w:type="spellEnd"/>
      <w:r w:rsidRPr="00A6203D">
        <w:rPr>
          <w:rFonts w:ascii="Arial" w:hAnsi="Arial" w:cs="Arial"/>
          <w:sz w:val="22"/>
          <w:szCs w:val="22"/>
        </w:rPr>
        <w:t xml:space="preserve"> MC, Preziosi P, </w:t>
      </w:r>
      <w:proofErr w:type="spellStart"/>
      <w:r w:rsidRPr="00A6203D">
        <w:rPr>
          <w:rFonts w:ascii="Arial" w:hAnsi="Arial" w:cs="Arial"/>
          <w:sz w:val="22"/>
          <w:szCs w:val="22"/>
        </w:rPr>
        <w:t>Maamer</w:t>
      </w:r>
      <w:proofErr w:type="spellEnd"/>
      <w:r w:rsidRPr="00A6203D">
        <w:rPr>
          <w:rFonts w:ascii="Arial" w:hAnsi="Arial" w:cs="Arial"/>
          <w:sz w:val="22"/>
          <w:szCs w:val="22"/>
        </w:rPr>
        <w:t xml:space="preserve"> M, Arnaud S, Galan P, </w:t>
      </w:r>
      <w:proofErr w:type="spellStart"/>
      <w:r w:rsidRPr="00A6203D">
        <w:rPr>
          <w:rFonts w:ascii="Arial" w:hAnsi="Arial" w:cs="Arial"/>
          <w:sz w:val="22"/>
          <w:szCs w:val="22"/>
        </w:rPr>
        <w:t>Hercberg</w:t>
      </w:r>
      <w:proofErr w:type="spellEnd"/>
      <w:r w:rsidRPr="00A6203D">
        <w:rPr>
          <w:rFonts w:ascii="Arial" w:hAnsi="Arial" w:cs="Arial"/>
          <w:sz w:val="22"/>
          <w:szCs w:val="22"/>
        </w:rPr>
        <w:t xml:space="preserve"> S, Meunier PJ. Prevalence of vitamin D insufficiency in an adult normal population.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1997;7:439</w:t>
      </w:r>
      <w:proofErr w:type="gramEnd"/>
      <w:r w:rsidRPr="00A6203D">
        <w:rPr>
          <w:rFonts w:ascii="Arial" w:hAnsi="Arial" w:cs="Arial"/>
          <w:sz w:val="22"/>
          <w:szCs w:val="22"/>
        </w:rPr>
        <w:t>–443. </w:t>
      </w:r>
    </w:p>
    <w:p w14:paraId="4CD3E560" w14:textId="5A25BD7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48.</w:t>
      </w:r>
      <w:r w:rsidR="00FF3D24" w:rsidRPr="00A6203D">
        <w:rPr>
          <w:rFonts w:ascii="Arial" w:hAnsi="Arial" w:cs="Arial"/>
          <w:sz w:val="22"/>
          <w:szCs w:val="22"/>
        </w:rPr>
        <w:t xml:space="preserve">    </w:t>
      </w:r>
      <w:r w:rsidRPr="00A6203D">
        <w:rPr>
          <w:rFonts w:ascii="Arial" w:hAnsi="Arial" w:cs="Arial"/>
          <w:sz w:val="22"/>
          <w:szCs w:val="22"/>
        </w:rPr>
        <w:t>Bischoff-Ferrari HA, Willett WC, Wong JB, Giovannucci E, Dietrich T, Dawson-Hughes B. Fracture prevention with vitamin D supplementation: a meta-analysis of randomized controlled trials. Jama. </w:t>
      </w:r>
      <w:proofErr w:type="gramStart"/>
      <w:r w:rsidRPr="00A6203D">
        <w:rPr>
          <w:rFonts w:ascii="Arial" w:hAnsi="Arial" w:cs="Arial"/>
          <w:sz w:val="22"/>
          <w:szCs w:val="22"/>
        </w:rPr>
        <w:t>2005;293:2257</w:t>
      </w:r>
      <w:proofErr w:type="gramEnd"/>
      <w:r w:rsidRPr="00A6203D">
        <w:rPr>
          <w:rFonts w:ascii="Arial" w:hAnsi="Arial" w:cs="Arial"/>
          <w:sz w:val="22"/>
          <w:szCs w:val="22"/>
        </w:rPr>
        <w:t>–2264. </w:t>
      </w:r>
    </w:p>
    <w:p w14:paraId="1BD51D9F" w14:textId="0FB4A97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49.</w:t>
      </w:r>
      <w:r w:rsidR="00FF3D24" w:rsidRPr="00A6203D">
        <w:rPr>
          <w:rFonts w:ascii="Arial" w:hAnsi="Arial" w:cs="Arial"/>
          <w:sz w:val="22"/>
          <w:szCs w:val="22"/>
        </w:rPr>
        <w:t xml:space="preserve">    </w:t>
      </w:r>
      <w:r w:rsidRPr="00A6203D">
        <w:rPr>
          <w:rFonts w:ascii="Arial" w:hAnsi="Arial" w:cs="Arial"/>
          <w:sz w:val="22"/>
          <w:szCs w:val="22"/>
        </w:rPr>
        <w:t xml:space="preserve">Vieth R, Ladak Y, Walfish PG. Age-related changes in the 25-hydroxyvitamin D versus parathyroid hormone relationship suggest a different reason why older adults require more vitamin D.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2003;88:185</w:t>
      </w:r>
      <w:proofErr w:type="gramEnd"/>
      <w:r w:rsidRPr="00A6203D">
        <w:rPr>
          <w:rFonts w:ascii="Arial" w:hAnsi="Arial" w:cs="Arial"/>
          <w:sz w:val="22"/>
          <w:szCs w:val="22"/>
        </w:rPr>
        <w:t>–191. </w:t>
      </w:r>
    </w:p>
    <w:p w14:paraId="3932AE09" w14:textId="1884551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50.</w:t>
      </w:r>
      <w:r w:rsidR="00FF3D24" w:rsidRPr="00A6203D">
        <w:rPr>
          <w:rFonts w:ascii="Arial" w:hAnsi="Arial" w:cs="Arial"/>
          <w:sz w:val="22"/>
          <w:szCs w:val="22"/>
        </w:rPr>
        <w:t xml:space="preserve">    </w:t>
      </w:r>
      <w:r w:rsidRPr="00A6203D">
        <w:rPr>
          <w:rFonts w:ascii="Arial" w:hAnsi="Arial" w:cs="Arial"/>
          <w:sz w:val="22"/>
          <w:szCs w:val="22"/>
        </w:rPr>
        <w:t xml:space="preserve">Vieth R. Why the optimal requirement for Vitamin D3 is probably much higher than what is officially recommended for adults. J Steroid </w:t>
      </w:r>
      <w:proofErr w:type="spellStart"/>
      <w:r w:rsidRPr="00A6203D">
        <w:rPr>
          <w:rFonts w:ascii="Arial" w:hAnsi="Arial" w:cs="Arial"/>
          <w:sz w:val="22"/>
          <w:szCs w:val="22"/>
        </w:rPr>
        <w:t>Biochem</w:t>
      </w:r>
      <w:proofErr w:type="spellEnd"/>
      <w:r w:rsidRPr="00A6203D">
        <w:rPr>
          <w:rFonts w:ascii="Arial" w:hAnsi="Arial" w:cs="Arial"/>
          <w:sz w:val="22"/>
          <w:szCs w:val="22"/>
        </w:rPr>
        <w:t xml:space="preserve"> Mol Biol. 2004;89-90:575–579. </w:t>
      </w:r>
    </w:p>
    <w:p w14:paraId="3153DA1A" w14:textId="6D24C9E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51.</w:t>
      </w:r>
      <w:r w:rsidR="00FF3D24" w:rsidRPr="00A6203D">
        <w:rPr>
          <w:rFonts w:ascii="Arial" w:hAnsi="Arial" w:cs="Arial"/>
          <w:sz w:val="22"/>
          <w:szCs w:val="22"/>
        </w:rPr>
        <w:t xml:space="preserve">    </w:t>
      </w:r>
      <w:r w:rsidRPr="00A6203D">
        <w:rPr>
          <w:rFonts w:ascii="Arial" w:hAnsi="Arial" w:cs="Arial"/>
          <w:sz w:val="22"/>
          <w:szCs w:val="22"/>
        </w:rPr>
        <w:t xml:space="preserve">Eriksen EF, Colvard DS, Berg NJ, Graham ML, Mann KG, </w:t>
      </w:r>
      <w:proofErr w:type="spellStart"/>
      <w:r w:rsidRPr="00A6203D">
        <w:rPr>
          <w:rFonts w:ascii="Arial" w:hAnsi="Arial" w:cs="Arial"/>
          <w:sz w:val="22"/>
          <w:szCs w:val="22"/>
        </w:rPr>
        <w:t>Spelsberg</w:t>
      </w:r>
      <w:proofErr w:type="spellEnd"/>
      <w:r w:rsidRPr="00A6203D">
        <w:rPr>
          <w:rFonts w:ascii="Arial" w:hAnsi="Arial" w:cs="Arial"/>
          <w:sz w:val="22"/>
          <w:szCs w:val="22"/>
        </w:rPr>
        <w:t xml:space="preserve"> TC, Riggs BL. Evidence of estrogen receptors in normal human osteoblast-like cells. Science. </w:t>
      </w:r>
      <w:proofErr w:type="gramStart"/>
      <w:r w:rsidRPr="00A6203D">
        <w:rPr>
          <w:rFonts w:ascii="Arial" w:hAnsi="Arial" w:cs="Arial"/>
          <w:sz w:val="22"/>
          <w:szCs w:val="22"/>
        </w:rPr>
        <w:t>1988;241:84</w:t>
      </w:r>
      <w:proofErr w:type="gramEnd"/>
      <w:r w:rsidRPr="00A6203D">
        <w:rPr>
          <w:rFonts w:ascii="Arial" w:hAnsi="Arial" w:cs="Arial"/>
          <w:sz w:val="22"/>
          <w:szCs w:val="22"/>
        </w:rPr>
        <w:t>–86. </w:t>
      </w:r>
    </w:p>
    <w:p w14:paraId="33D3E043" w14:textId="56015725"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52.</w:t>
      </w:r>
      <w:r w:rsidR="00FF3D24" w:rsidRPr="00A6203D">
        <w:rPr>
          <w:rFonts w:ascii="Arial" w:hAnsi="Arial" w:cs="Arial"/>
          <w:sz w:val="22"/>
          <w:szCs w:val="22"/>
        </w:rPr>
        <w:t xml:space="preserve">    </w:t>
      </w:r>
      <w:proofErr w:type="spellStart"/>
      <w:r w:rsidRPr="00A6203D">
        <w:rPr>
          <w:rFonts w:ascii="Arial" w:hAnsi="Arial" w:cs="Arial"/>
          <w:sz w:val="22"/>
          <w:szCs w:val="22"/>
        </w:rPr>
        <w:t>Manolagas</w:t>
      </w:r>
      <w:proofErr w:type="spellEnd"/>
      <w:r w:rsidRPr="00A6203D">
        <w:rPr>
          <w:rFonts w:ascii="Arial" w:hAnsi="Arial" w:cs="Arial"/>
          <w:sz w:val="22"/>
          <w:szCs w:val="22"/>
        </w:rPr>
        <w:t xml:space="preserve"> SC, Jilka RL. Cytokines, hematopoiesis, </w:t>
      </w:r>
      <w:proofErr w:type="spellStart"/>
      <w:r w:rsidRPr="00A6203D">
        <w:rPr>
          <w:rFonts w:ascii="Arial" w:hAnsi="Arial" w:cs="Arial"/>
          <w:sz w:val="22"/>
          <w:szCs w:val="22"/>
        </w:rPr>
        <w:t>osteoclastogenesis</w:t>
      </w:r>
      <w:proofErr w:type="spellEnd"/>
      <w:r w:rsidRPr="00A6203D">
        <w:rPr>
          <w:rFonts w:ascii="Arial" w:hAnsi="Arial" w:cs="Arial"/>
          <w:sz w:val="22"/>
          <w:szCs w:val="22"/>
        </w:rPr>
        <w:t>, and estrogens. </w:t>
      </w:r>
      <w:proofErr w:type="spellStart"/>
      <w:r w:rsidRPr="00A6203D">
        <w:rPr>
          <w:rFonts w:ascii="Arial" w:hAnsi="Arial" w:cs="Arial"/>
          <w:sz w:val="22"/>
          <w:szCs w:val="22"/>
        </w:rPr>
        <w:t>Calcif</w:t>
      </w:r>
      <w:proofErr w:type="spellEnd"/>
      <w:r w:rsidRPr="00A6203D">
        <w:rPr>
          <w:rFonts w:ascii="Arial" w:hAnsi="Arial" w:cs="Arial"/>
          <w:sz w:val="22"/>
          <w:szCs w:val="22"/>
        </w:rPr>
        <w:t xml:space="preserve"> Tissue Int. </w:t>
      </w:r>
      <w:proofErr w:type="gramStart"/>
      <w:r w:rsidRPr="00A6203D">
        <w:rPr>
          <w:rFonts w:ascii="Arial" w:hAnsi="Arial" w:cs="Arial"/>
          <w:sz w:val="22"/>
          <w:szCs w:val="22"/>
        </w:rPr>
        <w:t>1992;50:199</w:t>
      </w:r>
      <w:proofErr w:type="gramEnd"/>
      <w:r w:rsidRPr="00A6203D">
        <w:rPr>
          <w:rFonts w:ascii="Arial" w:hAnsi="Arial" w:cs="Arial"/>
          <w:sz w:val="22"/>
          <w:szCs w:val="22"/>
        </w:rPr>
        <w:t>–202. </w:t>
      </w:r>
    </w:p>
    <w:bookmarkEnd w:id="4"/>
    <w:p w14:paraId="16F45F01" w14:textId="660F318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53.</w:t>
      </w:r>
      <w:r w:rsidR="00FF3D24" w:rsidRPr="00A6203D">
        <w:rPr>
          <w:rFonts w:ascii="Arial" w:hAnsi="Arial" w:cs="Arial"/>
          <w:sz w:val="22"/>
          <w:szCs w:val="22"/>
        </w:rPr>
        <w:t xml:space="preserve">    </w:t>
      </w:r>
      <w:r w:rsidRPr="00A6203D">
        <w:rPr>
          <w:rFonts w:ascii="Arial" w:hAnsi="Arial" w:cs="Arial"/>
          <w:sz w:val="22"/>
          <w:szCs w:val="22"/>
        </w:rPr>
        <w:t xml:space="preserve">Pacifici R, </w:t>
      </w:r>
      <w:proofErr w:type="spellStart"/>
      <w:r w:rsidRPr="00A6203D">
        <w:rPr>
          <w:rFonts w:ascii="Arial" w:hAnsi="Arial" w:cs="Arial"/>
          <w:sz w:val="22"/>
          <w:szCs w:val="22"/>
        </w:rPr>
        <w:t>Rifas</w:t>
      </w:r>
      <w:proofErr w:type="spellEnd"/>
      <w:r w:rsidRPr="00A6203D">
        <w:rPr>
          <w:rFonts w:ascii="Arial" w:hAnsi="Arial" w:cs="Arial"/>
          <w:sz w:val="22"/>
          <w:szCs w:val="22"/>
        </w:rPr>
        <w:t xml:space="preserve"> L, McCracken R, Vered I, McMurtry C, </w:t>
      </w:r>
      <w:proofErr w:type="spellStart"/>
      <w:r w:rsidRPr="00A6203D">
        <w:rPr>
          <w:rFonts w:ascii="Arial" w:hAnsi="Arial" w:cs="Arial"/>
          <w:sz w:val="22"/>
          <w:szCs w:val="22"/>
        </w:rPr>
        <w:t>Avioli</w:t>
      </w:r>
      <w:proofErr w:type="spellEnd"/>
      <w:r w:rsidRPr="00A6203D">
        <w:rPr>
          <w:rFonts w:ascii="Arial" w:hAnsi="Arial" w:cs="Arial"/>
          <w:sz w:val="22"/>
          <w:szCs w:val="22"/>
        </w:rPr>
        <w:t xml:space="preserve"> LV, Peck WA. Ovarian steroid treatment blocks a postmenopausal increase in blood monocyte interleukin 1 release. Proc Natl </w:t>
      </w:r>
      <w:proofErr w:type="spellStart"/>
      <w:r w:rsidRPr="00A6203D">
        <w:rPr>
          <w:rFonts w:ascii="Arial" w:hAnsi="Arial" w:cs="Arial"/>
          <w:sz w:val="22"/>
          <w:szCs w:val="22"/>
        </w:rPr>
        <w:t>Acad</w:t>
      </w:r>
      <w:proofErr w:type="spellEnd"/>
      <w:r w:rsidRPr="00A6203D">
        <w:rPr>
          <w:rFonts w:ascii="Arial" w:hAnsi="Arial" w:cs="Arial"/>
          <w:sz w:val="22"/>
          <w:szCs w:val="22"/>
        </w:rPr>
        <w:t xml:space="preserve"> Sci U S A. </w:t>
      </w:r>
      <w:proofErr w:type="gramStart"/>
      <w:r w:rsidRPr="00A6203D">
        <w:rPr>
          <w:rFonts w:ascii="Arial" w:hAnsi="Arial" w:cs="Arial"/>
          <w:sz w:val="22"/>
          <w:szCs w:val="22"/>
        </w:rPr>
        <w:t>1989;86:2398</w:t>
      </w:r>
      <w:proofErr w:type="gramEnd"/>
      <w:r w:rsidRPr="00A6203D">
        <w:rPr>
          <w:rFonts w:ascii="Arial" w:hAnsi="Arial" w:cs="Arial"/>
          <w:sz w:val="22"/>
          <w:szCs w:val="22"/>
        </w:rPr>
        <w:t>–2402. </w:t>
      </w:r>
    </w:p>
    <w:p w14:paraId="2B231258" w14:textId="0D73452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54.</w:t>
      </w:r>
      <w:r w:rsidR="00FF3D24" w:rsidRPr="00A6203D">
        <w:rPr>
          <w:rFonts w:ascii="Arial" w:hAnsi="Arial" w:cs="Arial"/>
          <w:sz w:val="22"/>
          <w:szCs w:val="22"/>
        </w:rPr>
        <w:t xml:space="preserve">    </w:t>
      </w:r>
      <w:r w:rsidRPr="00A6203D">
        <w:rPr>
          <w:rFonts w:ascii="Arial" w:hAnsi="Arial" w:cs="Arial"/>
          <w:sz w:val="22"/>
          <w:szCs w:val="22"/>
        </w:rPr>
        <w:t>Pacifici R. Is there a causal role for IL-1 in postmenopausal bone loss? </w:t>
      </w:r>
      <w:proofErr w:type="spellStart"/>
      <w:r w:rsidRPr="00A6203D">
        <w:rPr>
          <w:rFonts w:ascii="Arial" w:hAnsi="Arial" w:cs="Arial"/>
          <w:sz w:val="22"/>
          <w:szCs w:val="22"/>
        </w:rPr>
        <w:t>Calcif</w:t>
      </w:r>
      <w:proofErr w:type="spellEnd"/>
      <w:r w:rsidRPr="00A6203D">
        <w:rPr>
          <w:rFonts w:ascii="Arial" w:hAnsi="Arial" w:cs="Arial"/>
          <w:sz w:val="22"/>
          <w:szCs w:val="22"/>
        </w:rPr>
        <w:t xml:space="preserve"> Tissue Int. </w:t>
      </w:r>
      <w:proofErr w:type="gramStart"/>
      <w:r w:rsidRPr="00A6203D">
        <w:rPr>
          <w:rFonts w:ascii="Arial" w:hAnsi="Arial" w:cs="Arial"/>
          <w:sz w:val="22"/>
          <w:szCs w:val="22"/>
        </w:rPr>
        <w:t>1992;50:295</w:t>
      </w:r>
      <w:proofErr w:type="gramEnd"/>
      <w:r w:rsidRPr="00A6203D">
        <w:rPr>
          <w:rFonts w:ascii="Arial" w:hAnsi="Arial" w:cs="Arial"/>
          <w:sz w:val="22"/>
          <w:szCs w:val="22"/>
        </w:rPr>
        <w:t>–299. </w:t>
      </w:r>
    </w:p>
    <w:p w14:paraId="7F3ADB5B" w14:textId="67C0563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55.</w:t>
      </w:r>
      <w:r w:rsidR="00FF3D24" w:rsidRPr="00A6203D">
        <w:rPr>
          <w:rFonts w:ascii="Arial" w:hAnsi="Arial" w:cs="Arial"/>
          <w:sz w:val="22"/>
          <w:szCs w:val="22"/>
        </w:rPr>
        <w:t xml:space="preserve">    </w:t>
      </w:r>
      <w:r w:rsidRPr="00A6203D">
        <w:rPr>
          <w:rFonts w:ascii="Arial" w:hAnsi="Arial" w:cs="Arial"/>
          <w:sz w:val="22"/>
          <w:szCs w:val="22"/>
        </w:rPr>
        <w:t xml:space="preserve">Rossouw JE, Anderson GL, Prentice RL, LaCroix AZ, </w:t>
      </w:r>
      <w:proofErr w:type="spellStart"/>
      <w:r w:rsidRPr="00A6203D">
        <w:rPr>
          <w:rFonts w:ascii="Arial" w:hAnsi="Arial" w:cs="Arial"/>
          <w:sz w:val="22"/>
          <w:szCs w:val="22"/>
        </w:rPr>
        <w:t>Kooperberg</w:t>
      </w:r>
      <w:proofErr w:type="spellEnd"/>
      <w:r w:rsidRPr="00A6203D">
        <w:rPr>
          <w:rFonts w:ascii="Arial" w:hAnsi="Arial" w:cs="Arial"/>
          <w:sz w:val="22"/>
          <w:szCs w:val="22"/>
        </w:rPr>
        <w:t xml:space="preserve"> C, Stefanick ML, Jackson RD, Beresford SA, Howard BV, Johnson KC, </w:t>
      </w:r>
      <w:proofErr w:type="spellStart"/>
      <w:r w:rsidRPr="00A6203D">
        <w:rPr>
          <w:rFonts w:ascii="Arial" w:hAnsi="Arial" w:cs="Arial"/>
          <w:sz w:val="22"/>
          <w:szCs w:val="22"/>
        </w:rPr>
        <w:t>Kotchen</w:t>
      </w:r>
      <w:proofErr w:type="spellEnd"/>
      <w:r w:rsidRPr="00A6203D">
        <w:rPr>
          <w:rFonts w:ascii="Arial" w:hAnsi="Arial" w:cs="Arial"/>
          <w:sz w:val="22"/>
          <w:szCs w:val="22"/>
        </w:rPr>
        <w:t xml:space="preserve"> JM, </w:t>
      </w:r>
      <w:proofErr w:type="spellStart"/>
      <w:r w:rsidRPr="00A6203D">
        <w:rPr>
          <w:rFonts w:ascii="Arial" w:hAnsi="Arial" w:cs="Arial"/>
          <w:sz w:val="22"/>
          <w:szCs w:val="22"/>
        </w:rPr>
        <w:t>Ockene</w:t>
      </w:r>
      <w:proofErr w:type="spellEnd"/>
      <w:r w:rsidRPr="00A6203D">
        <w:rPr>
          <w:rFonts w:ascii="Arial" w:hAnsi="Arial" w:cs="Arial"/>
          <w:sz w:val="22"/>
          <w:szCs w:val="22"/>
        </w:rPr>
        <w:t xml:space="preserve"> J. Risks and benefits of estrogen plus progestin in healthy postmenopausal women: principal results From the Women's Health Initiative randomized controlled trial. JAMA. </w:t>
      </w:r>
      <w:proofErr w:type="gramStart"/>
      <w:r w:rsidRPr="00A6203D">
        <w:rPr>
          <w:rFonts w:ascii="Arial" w:hAnsi="Arial" w:cs="Arial"/>
          <w:sz w:val="22"/>
          <w:szCs w:val="22"/>
        </w:rPr>
        <w:t>2002;288:321</w:t>
      </w:r>
      <w:proofErr w:type="gramEnd"/>
      <w:r w:rsidRPr="00A6203D">
        <w:rPr>
          <w:rFonts w:ascii="Arial" w:hAnsi="Arial" w:cs="Arial"/>
          <w:sz w:val="22"/>
          <w:szCs w:val="22"/>
        </w:rPr>
        <w:t>–333. </w:t>
      </w:r>
    </w:p>
    <w:p w14:paraId="22E4283B" w14:textId="4359D695"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56.</w:t>
      </w:r>
      <w:r w:rsidR="00FF3D24" w:rsidRPr="00A6203D">
        <w:rPr>
          <w:rFonts w:ascii="Arial" w:hAnsi="Arial" w:cs="Arial"/>
          <w:sz w:val="22"/>
          <w:szCs w:val="22"/>
        </w:rPr>
        <w:t xml:space="preserve">    </w:t>
      </w:r>
      <w:r w:rsidRPr="00A6203D">
        <w:rPr>
          <w:rFonts w:ascii="Arial" w:hAnsi="Arial" w:cs="Arial"/>
          <w:sz w:val="22"/>
          <w:szCs w:val="22"/>
        </w:rPr>
        <w:t>Heiss G, Wallace R, Anderson GL, Aragaki A, Beresford SA, Brzyski R, Chlebowski RT, Gass M, LaCroix A, Manson JE, Prentice RL, Rossouw J, Stefanick ML, Investigators WHI. Health risks and benefits 3 years after stopping randomized treatment with estrogen and progestin. JAMA. </w:t>
      </w:r>
      <w:proofErr w:type="gramStart"/>
      <w:r w:rsidRPr="00A6203D">
        <w:rPr>
          <w:rFonts w:ascii="Arial" w:hAnsi="Arial" w:cs="Arial"/>
          <w:sz w:val="22"/>
          <w:szCs w:val="22"/>
        </w:rPr>
        <w:t>2008;299:1036</w:t>
      </w:r>
      <w:proofErr w:type="gramEnd"/>
      <w:r w:rsidRPr="00A6203D">
        <w:rPr>
          <w:rFonts w:ascii="Arial" w:hAnsi="Arial" w:cs="Arial"/>
          <w:sz w:val="22"/>
          <w:szCs w:val="22"/>
        </w:rPr>
        <w:t>–1045. </w:t>
      </w:r>
    </w:p>
    <w:p w14:paraId="56354345" w14:textId="433D3DA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57.</w:t>
      </w:r>
      <w:r w:rsidR="00FF3D24" w:rsidRPr="00A6203D">
        <w:rPr>
          <w:rFonts w:ascii="Arial" w:hAnsi="Arial" w:cs="Arial"/>
          <w:sz w:val="22"/>
          <w:szCs w:val="22"/>
        </w:rPr>
        <w:t xml:space="preserve">    </w:t>
      </w:r>
      <w:r w:rsidRPr="00A6203D">
        <w:rPr>
          <w:rFonts w:ascii="Arial" w:hAnsi="Arial" w:cs="Arial"/>
          <w:sz w:val="22"/>
          <w:szCs w:val="22"/>
        </w:rPr>
        <w:t xml:space="preserve">LaCroix AZ, Chlebowski RT, Manson JE, Aragaki AK, Johnson KC, Martin L, Margolis KL, Stefanick ML, Brzyski R, Curb JD, Howard BV, Lewis CE, </w:t>
      </w:r>
      <w:proofErr w:type="spellStart"/>
      <w:r w:rsidRPr="00A6203D">
        <w:rPr>
          <w:rFonts w:ascii="Arial" w:hAnsi="Arial" w:cs="Arial"/>
          <w:sz w:val="22"/>
          <w:szCs w:val="22"/>
        </w:rPr>
        <w:t>Wactawski</w:t>
      </w:r>
      <w:proofErr w:type="spellEnd"/>
      <w:r w:rsidRPr="00A6203D">
        <w:rPr>
          <w:rFonts w:ascii="Arial" w:hAnsi="Arial" w:cs="Arial"/>
          <w:sz w:val="22"/>
          <w:szCs w:val="22"/>
        </w:rPr>
        <w:t>-Wende J, Investigators WHI. Health outcomes after stopping conjugated equine estrogens among postmenopausal women with prior hysterectomy: a randomized controlled trial. JAMA. </w:t>
      </w:r>
      <w:proofErr w:type="gramStart"/>
      <w:r w:rsidRPr="00A6203D">
        <w:rPr>
          <w:rFonts w:ascii="Arial" w:hAnsi="Arial" w:cs="Arial"/>
          <w:sz w:val="22"/>
          <w:szCs w:val="22"/>
        </w:rPr>
        <w:t>2011;305:1305</w:t>
      </w:r>
      <w:proofErr w:type="gramEnd"/>
      <w:r w:rsidRPr="00A6203D">
        <w:rPr>
          <w:rFonts w:ascii="Arial" w:hAnsi="Arial" w:cs="Arial"/>
          <w:sz w:val="22"/>
          <w:szCs w:val="22"/>
        </w:rPr>
        <w:t>–1314. </w:t>
      </w:r>
    </w:p>
    <w:p w14:paraId="624F8919" w14:textId="0F5C01D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58.</w:t>
      </w:r>
      <w:r w:rsidR="00FF3D24" w:rsidRPr="00A6203D">
        <w:rPr>
          <w:rFonts w:ascii="Arial" w:hAnsi="Arial" w:cs="Arial"/>
          <w:sz w:val="22"/>
          <w:szCs w:val="22"/>
        </w:rPr>
        <w:t xml:space="preserve">    </w:t>
      </w:r>
      <w:r w:rsidRPr="00A6203D">
        <w:rPr>
          <w:rFonts w:ascii="Arial" w:hAnsi="Arial" w:cs="Arial"/>
          <w:sz w:val="22"/>
          <w:szCs w:val="22"/>
        </w:rPr>
        <w:t>Espeland MA, Rapp SR, Shumaker SA, Brunner R, Manson JE, Sherwin BB, Hsia J, Margolis KL, Hogan PE, Wallace R, Dailey M, Freeman R, Hays J. Women's Health Initiative Memory S. Conjugated equine estrogens and global cognitive function in postmenopausal women: Women's Health Initiative Memory Study. JAMA. </w:t>
      </w:r>
      <w:proofErr w:type="gramStart"/>
      <w:r w:rsidRPr="00A6203D">
        <w:rPr>
          <w:rFonts w:ascii="Arial" w:hAnsi="Arial" w:cs="Arial"/>
          <w:sz w:val="22"/>
          <w:szCs w:val="22"/>
        </w:rPr>
        <w:t>2004;291:2959</w:t>
      </w:r>
      <w:proofErr w:type="gramEnd"/>
      <w:r w:rsidRPr="00A6203D">
        <w:rPr>
          <w:rFonts w:ascii="Arial" w:hAnsi="Arial" w:cs="Arial"/>
          <w:sz w:val="22"/>
          <w:szCs w:val="22"/>
        </w:rPr>
        <w:t>–2968. </w:t>
      </w:r>
    </w:p>
    <w:p w14:paraId="0AB7665C" w14:textId="49339A4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59.</w:t>
      </w:r>
      <w:r w:rsidR="00FF3D24" w:rsidRPr="00A6203D">
        <w:rPr>
          <w:rFonts w:ascii="Arial" w:hAnsi="Arial" w:cs="Arial"/>
          <w:sz w:val="22"/>
          <w:szCs w:val="22"/>
        </w:rPr>
        <w:t xml:space="preserve">    </w:t>
      </w:r>
      <w:r w:rsidRPr="00A6203D">
        <w:rPr>
          <w:rFonts w:ascii="Arial" w:hAnsi="Arial" w:cs="Arial"/>
          <w:sz w:val="22"/>
          <w:szCs w:val="22"/>
        </w:rPr>
        <w:t>Manson JE. The Kronos Early Estrogen Prevention Study by Charlotte Barker. </w:t>
      </w:r>
      <w:proofErr w:type="spellStart"/>
      <w:r w:rsidRPr="00A6203D">
        <w:rPr>
          <w:rFonts w:ascii="Arial" w:hAnsi="Arial" w:cs="Arial"/>
          <w:sz w:val="22"/>
          <w:szCs w:val="22"/>
        </w:rPr>
        <w:t>Womens</w:t>
      </w:r>
      <w:proofErr w:type="spellEnd"/>
      <w:r w:rsidRPr="00A6203D">
        <w:rPr>
          <w:rFonts w:ascii="Arial" w:hAnsi="Arial" w:cs="Arial"/>
          <w:sz w:val="22"/>
          <w:szCs w:val="22"/>
        </w:rPr>
        <w:t xml:space="preserve"> Health (Lond Engl). </w:t>
      </w:r>
      <w:proofErr w:type="gramStart"/>
      <w:r w:rsidRPr="00A6203D">
        <w:rPr>
          <w:rFonts w:ascii="Arial" w:hAnsi="Arial" w:cs="Arial"/>
          <w:sz w:val="22"/>
          <w:szCs w:val="22"/>
        </w:rPr>
        <w:t>2013;9:9</w:t>
      </w:r>
      <w:proofErr w:type="gramEnd"/>
      <w:r w:rsidRPr="00A6203D">
        <w:rPr>
          <w:rFonts w:ascii="Arial" w:hAnsi="Arial" w:cs="Arial"/>
          <w:sz w:val="22"/>
          <w:szCs w:val="22"/>
        </w:rPr>
        <w:t>–11. </w:t>
      </w:r>
    </w:p>
    <w:p w14:paraId="4EE7AFAE" w14:textId="4A9FE5F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60.</w:t>
      </w:r>
      <w:r w:rsidR="00D55B2B" w:rsidRPr="00A6203D">
        <w:rPr>
          <w:rFonts w:ascii="Arial" w:hAnsi="Arial" w:cs="Arial"/>
          <w:sz w:val="22"/>
          <w:szCs w:val="22"/>
        </w:rPr>
        <w:t xml:space="preserve">    </w:t>
      </w:r>
      <w:r w:rsidRPr="00A6203D">
        <w:rPr>
          <w:rFonts w:ascii="Arial" w:hAnsi="Arial" w:cs="Arial"/>
          <w:sz w:val="22"/>
          <w:szCs w:val="22"/>
        </w:rPr>
        <w:t xml:space="preserve">Harman SM, Black DM, </w:t>
      </w:r>
      <w:proofErr w:type="spellStart"/>
      <w:r w:rsidRPr="00A6203D">
        <w:rPr>
          <w:rFonts w:ascii="Arial" w:hAnsi="Arial" w:cs="Arial"/>
          <w:sz w:val="22"/>
          <w:szCs w:val="22"/>
        </w:rPr>
        <w:t>Naftolin</w:t>
      </w:r>
      <w:proofErr w:type="spellEnd"/>
      <w:r w:rsidRPr="00A6203D">
        <w:rPr>
          <w:rFonts w:ascii="Arial" w:hAnsi="Arial" w:cs="Arial"/>
          <w:sz w:val="22"/>
          <w:szCs w:val="22"/>
        </w:rPr>
        <w:t xml:space="preserve"> F, Brinton EA, Budoff MJ, Cedars MI, Hopkins PN, Lobo RA, Manson JE, Merriam GR, Miller VM, Neal-Perry G, Santoro N, Taylor HS, Vittinghoff E, Yan M, </w:t>
      </w:r>
      <w:proofErr w:type="spellStart"/>
      <w:r w:rsidRPr="00A6203D">
        <w:rPr>
          <w:rFonts w:ascii="Arial" w:hAnsi="Arial" w:cs="Arial"/>
          <w:sz w:val="22"/>
          <w:szCs w:val="22"/>
        </w:rPr>
        <w:t>Hodis</w:t>
      </w:r>
      <w:proofErr w:type="spellEnd"/>
      <w:r w:rsidRPr="00A6203D">
        <w:rPr>
          <w:rFonts w:ascii="Arial" w:hAnsi="Arial" w:cs="Arial"/>
          <w:sz w:val="22"/>
          <w:szCs w:val="22"/>
        </w:rPr>
        <w:t xml:space="preserve"> HN. Arterial imaging outcomes and cardiovascular risk factors in recently menopausal women: a randomized trial. Ann Intern Med. </w:t>
      </w:r>
      <w:proofErr w:type="gramStart"/>
      <w:r w:rsidRPr="00A6203D">
        <w:rPr>
          <w:rFonts w:ascii="Arial" w:hAnsi="Arial" w:cs="Arial"/>
          <w:sz w:val="22"/>
          <w:szCs w:val="22"/>
        </w:rPr>
        <w:t>2014;161:249</w:t>
      </w:r>
      <w:proofErr w:type="gramEnd"/>
      <w:r w:rsidRPr="00A6203D">
        <w:rPr>
          <w:rFonts w:ascii="Arial" w:hAnsi="Arial" w:cs="Arial"/>
          <w:sz w:val="22"/>
          <w:szCs w:val="22"/>
        </w:rPr>
        <w:t>–260. </w:t>
      </w:r>
    </w:p>
    <w:p w14:paraId="511A5D48" w14:textId="38B29CD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61.</w:t>
      </w:r>
      <w:r w:rsidR="00D55B2B" w:rsidRPr="00A6203D">
        <w:rPr>
          <w:rFonts w:ascii="Arial" w:hAnsi="Arial" w:cs="Arial"/>
          <w:sz w:val="22"/>
          <w:szCs w:val="22"/>
        </w:rPr>
        <w:t xml:space="preserve">    </w:t>
      </w:r>
      <w:proofErr w:type="spellStart"/>
      <w:r w:rsidRPr="00A6203D">
        <w:rPr>
          <w:rFonts w:ascii="Arial" w:hAnsi="Arial" w:cs="Arial"/>
          <w:sz w:val="22"/>
          <w:szCs w:val="22"/>
        </w:rPr>
        <w:t>Hodis</w:t>
      </w:r>
      <w:proofErr w:type="spellEnd"/>
      <w:r w:rsidRPr="00A6203D">
        <w:rPr>
          <w:rFonts w:ascii="Arial" w:hAnsi="Arial" w:cs="Arial"/>
          <w:sz w:val="22"/>
          <w:szCs w:val="22"/>
        </w:rPr>
        <w:t xml:space="preserve"> HN, Mack WJ, Henderson VW, Shoupe D, Budoff MJ, Hwang-Levine J, Li Y, Feng M, Dustin L, Kono N, Stanczyk FZ, Selzer RH, Azen SP, Group ER. Vascular Effects of Early versus Late Postmenopausal Treatment with Estradiol. N Engl J Med. </w:t>
      </w:r>
      <w:proofErr w:type="gramStart"/>
      <w:r w:rsidRPr="00A6203D">
        <w:rPr>
          <w:rFonts w:ascii="Arial" w:hAnsi="Arial" w:cs="Arial"/>
          <w:sz w:val="22"/>
          <w:szCs w:val="22"/>
        </w:rPr>
        <w:t>2016;374:1221</w:t>
      </w:r>
      <w:proofErr w:type="gramEnd"/>
      <w:r w:rsidRPr="00A6203D">
        <w:rPr>
          <w:rFonts w:ascii="Arial" w:hAnsi="Arial" w:cs="Arial"/>
          <w:sz w:val="22"/>
          <w:szCs w:val="22"/>
        </w:rPr>
        <w:t>–1231. </w:t>
      </w:r>
    </w:p>
    <w:p w14:paraId="7CCD1F01" w14:textId="1F35B9B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62.</w:t>
      </w:r>
      <w:r w:rsidR="00D55B2B" w:rsidRPr="00A6203D">
        <w:rPr>
          <w:rFonts w:ascii="Arial" w:hAnsi="Arial" w:cs="Arial"/>
          <w:sz w:val="22"/>
          <w:szCs w:val="22"/>
        </w:rPr>
        <w:t xml:space="preserve">    </w:t>
      </w:r>
      <w:r w:rsidRPr="00A6203D">
        <w:rPr>
          <w:rFonts w:ascii="Arial" w:hAnsi="Arial" w:cs="Arial"/>
          <w:sz w:val="22"/>
          <w:szCs w:val="22"/>
        </w:rPr>
        <w:t>North American Menopause S. The 2012 hormone therapy position statement of: The North American Menopause Society. Menopause. </w:t>
      </w:r>
      <w:proofErr w:type="gramStart"/>
      <w:r w:rsidRPr="00A6203D">
        <w:rPr>
          <w:rFonts w:ascii="Arial" w:hAnsi="Arial" w:cs="Arial"/>
          <w:sz w:val="22"/>
          <w:szCs w:val="22"/>
        </w:rPr>
        <w:t>2012;19:257</w:t>
      </w:r>
      <w:proofErr w:type="gramEnd"/>
      <w:r w:rsidRPr="00A6203D">
        <w:rPr>
          <w:rFonts w:ascii="Arial" w:hAnsi="Arial" w:cs="Arial"/>
          <w:sz w:val="22"/>
          <w:szCs w:val="22"/>
        </w:rPr>
        <w:t>–271. </w:t>
      </w:r>
    </w:p>
    <w:p w14:paraId="6E1C4CD6" w14:textId="268B6B4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63.</w:t>
      </w:r>
      <w:r w:rsidR="00D55B2B" w:rsidRPr="00A6203D">
        <w:rPr>
          <w:rFonts w:ascii="Arial" w:hAnsi="Arial" w:cs="Arial"/>
          <w:sz w:val="22"/>
          <w:szCs w:val="22"/>
        </w:rPr>
        <w:t xml:space="preserve">    </w:t>
      </w:r>
      <w:r w:rsidRPr="00A6203D">
        <w:rPr>
          <w:rFonts w:ascii="Arial" w:hAnsi="Arial" w:cs="Arial"/>
          <w:sz w:val="22"/>
          <w:szCs w:val="22"/>
        </w:rPr>
        <w:t xml:space="preserve">Ettinger B, Black DM, </w:t>
      </w:r>
      <w:proofErr w:type="spellStart"/>
      <w:r w:rsidRPr="00A6203D">
        <w:rPr>
          <w:rFonts w:ascii="Arial" w:hAnsi="Arial" w:cs="Arial"/>
          <w:sz w:val="22"/>
          <w:szCs w:val="22"/>
        </w:rPr>
        <w:t>Mitlak</w:t>
      </w:r>
      <w:proofErr w:type="spellEnd"/>
      <w:r w:rsidRPr="00A6203D">
        <w:rPr>
          <w:rFonts w:ascii="Arial" w:hAnsi="Arial" w:cs="Arial"/>
          <w:sz w:val="22"/>
          <w:szCs w:val="22"/>
        </w:rPr>
        <w:t xml:space="preserve"> BH, Knickerbocker RK, Nickelsen T,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Christiansen C, Delmas PD, Zanchetta JR, </w:t>
      </w:r>
      <w:proofErr w:type="spellStart"/>
      <w:r w:rsidRPr="00A6203D">
        <w:rPr>
          <w:rFonts w:ascii="Arial" w:hAnsi="Arial" w:cs="Arial"/>
          <w:sz w:val="22"/>
          <w:szCs w:val="22"/>
        </w:rPr>
        <w:t>Stakkestad</w:t>
      </w:r>
      <w:proofErr w:type="spellEnd"/>
      <w:r w:rsidRPr="00A6203D">
        <w:rPr>
          <w:rFonts w:ascii="Arial" w:hAnsi="Arial" w:cs="Arial"/>
          <w:sz w:val="22"/>
          <w:szCs w:val="22"/>
        </w:rPr>
        <w:t xml:space="preserve"> J, Gluer CC, Krueger K, Cohen FJ, Eckert S, Ensrud KE, </w:t>
      </w:r>
      <w:proofErr w:type="spellStart"/>
      <w:r w:rsidRPr="00A6203D">
        <w:rPr>
          <w:rFonts w:ascii="Arial" w:hAnsi="Arial" w:cs="Arial"/>
          <w:sz w:val="22"/>
          <w:szCs w:val="22"/>
        </w:rPr>
        <w:t>Avioli</w:t>
      </w:r>
      <w:proofErr w:type="spellEnd"/>
      <w:r w:rsidRPr="00A6203D">
        <w:rPr>
          <w:rFonts w:ascii="Arial" w:hAnsi="Arial" w:cs="Arial"/>
          <w:sz w:val="22"/>
          <w:szCs w:val="22"/>
        </w:rPr>
        <w:t xml:space="preserve"> LV, Lips P, Cummings SR. Reduction of vertebral fracture risk in </w:t>
      </w:r>
      <w:r w:rsidRPr="00A6203D">
        <w:rPr>
          <w:rFonts w:ascii="Arial" w:hAnsi="Arial" w:cs="Arial"/>
          <w:sz w:val="22"/>
          <w:szCs w:val="22"/>
        </w:rPr>
        <w:lastRenderedPageBreak/>
        <w:t>postmenopausal women with osteoporosis treated with raloxifene: results from a 3-year randomized clinical trial. Multiple Outcomes of Raloxifene Evaluation (MORE) Investigators. Jama. </w:t>
      </w:r>
      <w:proofErr w:type="gramStart"/>
      <w:r w:rsidRPr="00A6203D">
        <w:rPr>
          <w:rFonts w:ascii="Arial" w:hAnsi="Arial" w:cs="Arial"/>
          <w:sz w:val="22"/>
          <w:szCs w:val="22"/>
        </w:rPr>
        <w:t>1999;282:637</w:t>
      </w:r>
      <w:proofErr w:type="gramEnd"/>
      <w:r w:rsidRPr="00A6203D">
        <w:rPr>
          <w:rFonts w:ascii="Arial" w:hAnsi="Arial" w:cs="Arial"/>
          <w:sz w:val="22"/>
          <w:szCs w:val="22"/>
        </w:rPr>
        <w:t>–645. </w:t>
      </w:r>
    </w:p>
    <w:p w14:paraId="3716927D" w14:textId="74E2D3F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64.</w:t>
      </w:r>
      <w:r w:rsidR="00D55B2B" w:rsidRPr="00A6203D">
        <w:rPr>
          <w:rFonts w:ascii="Arial" w:hAnsi="Arial" w:cs="Arial"/>
          <w:sz w:val="22"/>
          <w:szCs w:val="22"/>
        </w:rPr>
        <w:t xml:space="preserve">    </w:t>
      </w:r>
      <w:r w:rsidRPr="00A6203D">
        <w:rPr>
          <w:rFonts w:ascii="Arial" w:hAnsi="Arial" w:cs="Arial"/>
          <w:sz w:val="22"/>
          <w:szCs w:val="22"/>
        </w:rPr>
        <w:t xml:space="preserve">Siris ES, Harris ST,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Zanchetta JR, </w:t>
      </w:r>
      <w:proofErr w:type="spellStart"/>
      <w:r w:rsidRPr="00A6203D">
        <w:rPr>
          <w:rFonts w:ascii="Arial" w:hAnsi="Arial" w:cs="Arial"/>
          <w:sz w:val="22"/>
          <w:szCs w:val="22"/>
        </w:rPr>
        <w:t>Goemaere</w:t>
      </w:r>
      <w:proofErr w:type="spellEnd"/>
      <w:r w:rsidRPr="00A6203D">
        <w:rPr>
          <w:rFonts w:ascii="Arial" w:hAnsi="Arial" w:cs="Arial"/>
          <w:sz w:val="22"/>
          <w:szCs w:val="22"/>
        </w:rPr>
        <w:t xml:space="preserve"> S, Diez-Perez A, Stock JL, Song J, Qu Y, Kulkarni PM, </w:t>
      </w:r>
      <w:proofErr w:type="spellStart"/>
      <w:r w:rsidRPr="00A6203D">
        <w:rPr>
          <w:rFonts w:ascii="Arial" w:hAnsi="Arial" w:cs="Arial"/>
          <w:sz w:val="22"/>
          <w:szCs w:val="22"/>
        </w:rPr>
        <w:t>Siddhanti</w:t>
      </w:r>
      <w:proofErr w:type="spellEnd"/>
      <w:r w:rsidRPr="00A6203D">
        <w:rPr>
          <w:rFonts w:ascii="Arial" w:hAnsi="Arial" w:cs="Arial"/>
          <w:sz w:val="22"/>
          <w:szCs w:val="22"/>
        </w:rPr>
        <w:t xml:space="preserve"> SR, Wong M, Cummings SR. Skeletal effects of raloxifene after 8 years: results from the continuing outcomes relevant to </w:t>
      </w:r>
      <w:proofErr w:type="spellStart"/>
      <w:r w:rsidRPr="00A6203D">
        <w:rPr>
          <w:rFonts w:ascii="Arial" w:hAnsi="Arial" w:cs="Arial"/>
          <w:sz w:val="22"/>
          <w:szCs w:val="22"/>
        </w:rPr>
        <w:t>Evista</w:t>
      </w:r>
      <w:proofErr w:type="spellEnd"/>
      <w:r w:rsidRPr="00A6203D">
        <w:rPr>
          <w:rFonts w:ascii="Arial" w:hAnsi="Arial" w:cs="Arial"/>
          <w:sz w:val="22"/>
          <w:szCs w:val="22"/>
        </w:rPr>
        <w:t xml:space="preserve"> (CORE) study. J Bone Miner Res. </w:t>
      </w:r>
      <w:proofErr w:type="gramStart"/>
      <w:r w:rsidRPr="00A6203D">
        <w:rPr>
          <w:rFonts w:ascii="Arial" w:hAnsi="Arial" w:cs="Arial"/>
          <w:sz w:val="22"/>
          <w:szCs w:val="22"/>
        </w:rPr>
        <w:t>2005;20:1514</w:t>
      </w:r>
      <w:proofErr w:type="gramEnd"/>
      <w:r w:rsidRPr="00A6203D">
        <w:rPr>
          <w:rFonts w:ascii="Arial" w:hAnsi="Arial" w:cs="Arial"/>
          <w:sz w:val="22"/>
          <w:szCs w:val="22"/>
        </w:rPr>
        <w:t>–1524. </w:t>
      </w:r>
    </w:p>
    <w:p w14:paraId="7B1F6F39" w14:textId="2B68B08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65.</w:t>
      </w:r>
      <w:r w:rsidR="00D55B2B" w:rsidRPr="00A6203D">
        <w:rPr>
          <w:rFonts w:ascii="Arial" w:hAnsi="Arial" w:cs="Arial"/>
          <w:sz w:val="22"/>
          <w:szCs w:val="22"/>
        </w:rPr>
        <w:t xml:space="preserve">    </w:t>
      </w:r>
      <w:r w:rsidRPr="00A6203D">
        <w:rPr>
          <w:rFonts w:ascii="Arial" w:hAnsi="Arial" w:cs="Arial"/>
          <w:sz w:val="22"/>
          <w:szCs w:val="22"/>
        </w:rPr>
        <w:t xml:space="preserve">Love RR, </w:t>
      </w:r>
      <w:proofErr w:type="spellStart"/>
      <w:r w:rsidRPr="00A6203D">
        <w:rPr>
          <w:rFonts w:ascii="Arial" w:hAnsi="Arial" w:cs="Arial"/>
          <w:sz w:val="22"/>
          <w:szCs w:val="22"/>
        </w:rPr>
        <w:t>Mazess</w:t>
      </w:r>
      <w:proofErr w:type="spellEnd"/>
      <w:r w:rsidRPr="00A6203D">
        <w:rPr>
          <w:rFonts w:ascii="Arial" w:hAnsi="Arial" w:cs="Arial"/>
          <w:sz w:val="22"/>
          <w:szCs w:val="22"/>
        </w:rPr>
        <w:t xml:space="preserve"> RB, Barden HS, Epstein S, Newcomb PA, Jordan VC, Carbone PP, </w:t>
      </w:r>
      <w:proofErr w:type="spellStart"/>
      <w:r w:rsidRPr="00A6203D">
        <w:rPr>
          <w:rFonts w:ascii="Arial" w:hAnsi="Arial" w:cs="Arial"/>
          <w:sz w:val="22"/>
          <w:szCs w:val="22"/>
        </w:rPr>
        <w:t>DeMets</w:t>
      </w:r>
      <w:proofErr w:type="spellEnd"/>
      <w:r w:rsidRPr="00A6203D">
        <w:rPr>
          <w:rFonts w:ascii="Arial" w:hAnsi="Arial" w:cs="Arial"/>
          <w:sz w:val="22"/>
          <w:szCs w:val="22"/>
        </w:rPr>
        <w:t xml:space="preserve"> DL. Effects of tamoxifen on bone mineral density in postmenopausal women with breast cancer. N Engl J Med. </w:t>
      </w:r>
      <w:proofErr w:type="gramStart"/>
      <w:r w:rsidRPr="00A6203D">
        <w:rPr>
          <w:rFonts w:ascii="Arial" w:hAnsi="Arial" w:cs="Arial"/>
          <w:sz w:val="22"/>
          <w:szCs w:val="22"/>
        </w:rPr>
        <w:t>1992;326:852</w:t>
      </w:r>
      <w:proofErr w:type="gramEnd"/>
      <w:r w:rsidRPr="00A6203D">
        <w:rPr>
          <w:rFonts w:ascii="Arial" w:hAnsi="Arial" w:cs="Arial"/>
          <w:sz w:val="22"/>
          <w:szCs w:val="22"/>
        </w:rPr>
        <w:t>–856. </w:t>
      </w:r>
    </w:p>
    <w:p w14:paraId="57F1B070" w14:textId="20EFDF6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66.</w:t>
      </w:r>
      <w:r w:rsidR="00D55B2B" w:rsidRPr="00A6203D">
        <w:rPr>
          <w:rFonts w:ascii="Arial" w:hAnsi="Arial" w:cs="Arial"/>
          <w:sz w:val="22"/>
          <w:szCs w:val="22"/>
        </w:rPr>
        <w:t xml:space="preserve">    </w:t>
      </w:r>
      <w:proofErr w:type="spellStart"/>
      <w:r w:rsidRPr="00A6203D">
        <w:rPr>
          <w:rFonts w:ascii="Arial" w:hAnsi="Arial" w:cs="Arial"/>
          <w:sz w:val="22"/>
          <w:szCs w:val="22"/>
        </w:rPr>
        <w:t>Albertazzi</w:t>
      </w:r>
      <w:proofErr w:type="spellEnd"/>
      <w:r w:rsidRPr="00A6203D">
        <w:rPr>
          <w:rFonts w:ascii="Arial" w:hAnsi="Arial" w:cs="Arial"/>
          <w:sz w:val="22"/>
          <w:szCs w:val="22"/>
        </w:rPr>
        <w:t xml:space="preserve"> P, Sharma S. Urogenital effects of selective estrogen receptor modulators: a systematic review. Climacteric. </w:t>
      </w:r>
      <w:proofErr w:type="gramStart"/>
      <w:r w:rsidRPr="00A6203D">
        <w:rPr>
          <w:rFonts w:ascii="Arial" w:hAnsi="Arial" w:cs="Arial"/>
          <w:sz w:val="22"/>
          <w:szCs w:val="22"/>
        </w:rPr>
        <w:t>2005;8:214</w:t>
      </w:r>
      <w:proofErr w:type="gramEnd"/>
      <w:r w:rsidRPr="00A6203D">
        <w:rPr>
          <w:rFonts w:ascii="Arial" w:hAnsi="Arial" w:cs="Arial"/>
          <w:sz w:val="22"/>
          <w:szCs w:val="22"/>
        </w:rPr>
        <w:t>–220. </w:t>
      </w:r>
    </w:p>
    <w:p w14:paraId="2B10A3C3" w14:textId="6515B5E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67.</w:t>
      </w:r>
      <w:r w:rsidR="00D55B2B" w:rsidRPr="00A6203D">
        <w:rPr>
          <w:rFonts w:ascii="Arial" w:hAnsi="Arial" w:cs="Arial"/>
          <w:sz w:val="22"/>
          <w:szCs w:val="22"/>
        </w:rPr>
        <w:t xml:space="preserve">    </w:t>
      </w:r>
      <w:r w:rsidRPr="00A6203D">
        <w:rPr>
          <w:rFonts w:ascii="Arial" w:hAnsi="Arial" w:cs="Arial"/>
          <w:sz w:val="22"/>
          <w:szCs w:val="22"/>
        </w:rPr>
        <w:t xml:space="preserve">Burke TW, Walker CL. </w:t>
      </w:r>
      <w:proofErr w:type="spellStart"/>
      <w:r w:rsidRPr="00A6203D">
        <w:rPr>
          <w:rFonts w:ascii="Arial" w:hAnsi="Arial" w:cs="Arial"/>
          <w:sz w:val="22"/>
          <w:szCs w:val="22"/>
        </w:rPr>
        <w:t>Arzoxifene</w:t>
      </w:r>
      <w:proofErr w:type="spellEnd"/>
      <w:r w:rsidRPr="00A6203D">
        <w:rPr>
          <w:rFonts w:ascii="Arial" w:hAnsi="Arial" w:cs="Arial"/>
          <w:sz w:val="22"/>
          <w:szCs w:val="22"/>
        </w:rPr>
        <w:t xml:space="preserve"> as therapy for endometrial cancer. </w:t>
      </w:r>
      <w:proofErr w:type="spellStart"/>
      <w:r w:rsidRPr="00A6203D">
        <w:rPr>
          <w:rFonts w:ascii="Arial" w:hAnsi="Arial" w:cs="Arial"/>
          <w:sz w:val="22"/>
          <w:szCs w:val="22"/>
        </w:rPr>
        <w:t>Gynecol</w:t>
      </w:r>
      <w:proofErr w:type="spellEnd"/>
      <w:r w:rsidRPr="00A6203D">
        <w:rPr>
          <w:rFonts w:ascii="Arial" w:hAnsi="Arial" w:cs="Arial"/>
          <w:sz w:val="22"/>
          <w:szCs w:val="22"/>
        </w:rPr>
        <w:t xml:space="preserve"> Oncol. 2003;</w:t>
      </w:r>
      <w:proofErr w:type="gramStart"/>
      <w:r w:rsidRPr="00A6203D">
        <w:rPr>
          <w:rFonts w:ascii="Arial" w:hAnsi="Arial" w:cs="Arial"/>
          <w:sz w:val="22"/>
          <w:szCs w:val="22"/>
        </w:rPr>
        <w:t>90:S</w:t>
      </w:r>
      <w:proofErr w:type="gramEnd"/>
      <w:r w:rsidRPr="00A6203D">
        <w:rPr>
          <w:rFonts w:ascii="Arial" w:hAnsi="Arial" w:cs="Arial"/>
          <w:sz w:val="22"/>
          <w:szCs w:val="22"/>
        </w:rPr>
        <w:t>40–46. </w:t>
      </w:r>
    </w:p>
    <w:p w14:paraId="6B940020" w14:textId="37FF9FF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68.</w:t>
      </w:r>
      <w:r w:rsidR="00D55B2B" w:rsidRPr="00A6203D">
        <w:rPr>
          <w:rFonts w:ascii="Arial" w:hAnsi="Arial" w:cs="Arial"/>
          <w:sz w:val="22"/>
          <w:szCs w:val="22"/>
        </w:rPr>
        <w:t xml:space="preserve">    </w:t>
      </w:r>
      <w:r w:rsidRPr="00A6203D">
        <w:rPr>
          <w:rFonts w:ascii="Arial" w:hAnsi="Arial" w:cs="Arial"/>
          <w:sz w:val="22"/>
          <w:szCs w:val="22"/>
        </w:rPr>
        <w:t xml:space="preserve">Silverman SL, Christiansen C,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w:t>
      </w:r>
      <w:proofErr w:type="spellStart"/>
      <w:r w:rsidRPr="00A6203D">
        <w:rPr>
          <w:rFonts w:ascii="Arial" w:hAnsi="Arial" w:cs="Arial"/>
          <w:sz w:val="22"/>
          <w:szCs w:val="22"/>
        </w:rPr>
        <w:t>Vukicevic</w:t>
      </w:r>
      <w:proofErr w:type="spellEnd"/>
      <w:r w:rsidRPr="00A6203D">
        <w:rPr>
          <w:rFonts w:ascii="Arial" w:hAnsi="Arial" w:cs="Arial"/>
          <w:sz w:val="22"/>
          <w:szCs w:val="22"/>
        </w:rPr>
        <w:t xml:space="preserve"> S, Zanchetta JR, de Villiers TJ, Constantine GD, Chines AA. Efficacy of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in reducing new vertebral fracture risk in postmenopausal women with osteoporosis: results from a 3-year, randomized, placebo-, and active-controlled clinical trial. J Bone Miner Res. </w:t>
      </w:r>
      <w:proofErr w:type="gramStart"/>
      <w:r w:rsidRPr="00A6203D">
        <w:rPr>
          <w:rFonts w:ascii="Arial" w:hAnsi="Arial" w:cs="Arial"/>
          <w:sz w:val="22"/>
          <w:szCs w:val="22"/>
        </w:rPr>
        <w:t>2008;23:1923</w:t>
      </w:r>
      <w:proofErr w:type="gramEnd"/>
      <w:r w:rsidRPr="00A6203D">
        <w:rPr>
          <w:rFonts w:ascii="Arial" w:hAnsi="Arial" w:cs="Arial"/>
          <w:sz w:val="22"/>
          <w:szCs w:val="22"/>
        </w:rPr>
        <w:t>–1934. </w:t>
      </w:r>
    </w:p>
    <w:p w14:paraId="713ECA32" w14:textId="3286AE0C" w:rsidR="006B7491" w:rsidRPr="00A6203D" w:rsidRDefault="005E6870" w:rsidP="006B7491">
      <w:pPr>
        <w:spacing w:line="276" w:lineRule="auto"/>
        <w:ind w:left="576" w:hanging="576"/>
        <w:rPr>
          <w:rFonts w:ascii="Arial" w:hAnsi="Arial" w:cs="Arial"/>
          <w:sz w:val="22"/>
          <w:szCs w:val="22"/>
        </w:rPr>
      </w:pPr>
      <w:r w:rsidRPr="00A6203D">
        <w:rPr>
          <w:rFonts w:ascii="Arial" w:hAnsi="Arial" w:cs="Arial"/>
          <w:sz w:val="22"/>
          <w:szCs w:val="22"/>
        </w:rPr>
        <w:t>69.</w:t>
      </w:r>
      <w:r w:rsidR="00D55B2B" w:rsidRPr="00A6203D">
        <w:rPr>
          <w:rFonts w:ascii="Arial" w:hAnsi="Arial" w:cs="Arial"/>
          <w:sz w:val="22"/>
          <w:szCs w:val="22"/>
        </w:rPr>
        <w:t xml:space="preserve">    </w:t>
      </w:r>
      <w:r w:rsidRPr="00A6203D">
        <w:rPr>
          <w:rFonts w:ascii="Arial" w:hAnsi="Arial" w:cs="Arial"/>
          <w:sz w:val="22"/>
          <w:szCs w:val="22"/>
        </w:rPr>
        <w:t xml:space="preserve">Palacios S, Silverman SL, de Villiers TJ, Levine AB, </w:t>
      </w:r>
      <w:proofErr w:type="spellStart"/>
      <w:r w:rsidRPr="00A6203D">
        <w:rPr>
          <w:rFonts w:ascii="Arial" w:hAnsi="Arial" w:cs="Arial"/>
          <w:sz w:val="22"/>
          <w:szCs w:val="22"/>
        </w:rPr>
        <w:t>Goemaere</w:t>
      </w:r>
      <w:proofErr w:type="spellEnd"/>
      <w:r w:rsidRPr="00A6203D">
        <w:rPr>
          <w:rFonts w:ascii="Arial" w:hAnsi="Arial" w:cs="Arial"/>
          <w:sz w:val="22"/>
          <w:szCs w:val="22"/>
        </w:rPr>
        <w:t xml:space="preserve"> S, Brown JP, De Cicco Nardone F, Williams R, Hines TL, Mirkin S, Chines AA.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Study G. A 7-year randomized, placebo-controlled trial assessing the long-term efficacy and safety of </w:t>
      </w:r>
      <w:proofErr w:type="spellStart"/>
      <w:r w:rsidRPr="00A6203D">
        <w:rPr>
          <w:rFonts w:ascii="Arial" w:hAnsi="Arial" w:cs="Arial"/>
          <w:sz w:val="22"/>
          <w:szCs w:val="22"/>
        </w:rPr>
        <w:t>bazedoxifene</w:t>
      </w:r>
      <w:proofErr w:type="spellEnd"/>
      <w:r w:rsidRPr="00A6203D">
        <w:rPr>
          <w:rFonts w:ascii="Arial" w:hAnsi="Arial" w:cs="Arial"/>
          <w:sz w:val="22"/>
          <w:szCs w:val="22"/>
        </w:rPr>
        <w:t xml:space="preserve"> in postmenopausal women with osteoporosis: effects on bone density and fracture. Menopause. </w:t>
      </w:r>
      <w:proofErr w:type="gramStart"/>
      <w:r w:rsidRPr="00A6203D">
        <w:rPr>
          <w:rFonts w:ascii="Arial" w:hAnsi="Arial" w:cs="Arial"/>
          <w:sz w:val="22"/>
          <w:szCs w:val="22"/>
        </w:rPr>
        <w:t>2015;22:806</w:t>
      </w:r>
      <w:proofErr w:type="gramEnd"/>
      <w:r w:rsidRPr="00A6203D">
        <w:rPr>
          <w:rFonts w:ascii="Arial" w:hAnsi="Arial" w:cs="Arial"/>
          <w:sz w:val="22"/>
          <w:szCs w:val="22"/>
        </w:rPr>
        <w:t>–813. </w:t>
      </w:r>
    </w:p>
    <w:p w14:paraId="7AEC6912" w14:textId="71F6425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70.</w:t>
      </w:r>
      <w:r w:rsidR="00D55B2B" w:rsidRPr="00A6203D">
        <w:rPr>
          <w:rFonts w:ascii="Arial" w:hAnsi="Arial" w:cs="Arial"/>
          <w:sz w:val="22"/>
          <w:szCs w:val="22"/>
        </w:rPr>
        <w:t xml:space="preserve">    </w:t>
      </w:r>
      <w:r w:rsidRPr="00A6203D">
        <w:rPr>
          <w:rFonts w:ascii="Arial" w:hAnsi="Arial" w:cs="Arial"/>
          <w:sz w:val="22"/>
          <w:szCs w:val="22"/>
        </w:rPr>
        <w:t xml:space="preserve">Overgaard K, Riis BJ, Christiansen C, </w:t>
      </w:r>
      <w:proofErr w:type="spellStart"/>
      <w:r w:rsidRPr="00A6203D">
        <w:rPr>
          <w:rFonts w:ascii="Arial" w:hAnsi="Arial" w:cs="Arial"/>
          <w:sz w:val="22"/>
          <w:szCs w:val="22"/>
        </w:rPr>
        <w:t>Podenphant</w:t>
      </w:r>
      <w:proofErr w:type="spellEnd"/>
      <w:r w:rsidRPr="00A6203D">
        <w:rPr>
          <w:rFonts w:ascii="Arial" w:hAnsi="Arial" w:cs="Arial"/>
          <w:sz w:val="22"/>
          <w:szCs w:val="22"/>
        </w:rPr>
        <w:t xml:space="preserve"> J, Johansen JS. Nasal calcitonin for treatment of established osteoporosis. Clin Endocrinol (</w:t>
      </w:r>
      <w:proofErr w:type="spellStart"/>
      <w:r w:rsidRPr="00A6203D">
        <w:rPr>
          <w:rFonts w:ascii="Arial" w:hAnsi="Arial" w:cs="Arial"/>
          <w:sz w:val="22"/>
          <w:szCs w:val="22"/>
        </w:rPr>
        <w:t>Oxf</w:t>
      </w:r>
      <w:proofErr w:type="spellEnd"/>
      <w:r w:rsidRPr="00A6203D">
        <w:rPr>
          <w:rFonts w:ascii="Arial" w:hAnsi="Arial" w:cs="Arial"/>
          <w:sz w:val="22"/>
          <w:szCs w:val="22"/>
        </w:rPr>
        <w:t>). </w:t>
      </w:r>
      <w:proofErr w:type="gramStart"/>
      <w:r w:rsidRPr="00A6203D">
        <w:rPr>
          <w:rFonts w:ascii="Arial" w:hAnsi="Arial" w:cs="Arial"/>
          <w:sz w:val="22"/>
          <w:szCs w:val="22"/>
        </w:rPr>
        <w:t>1989;30:435</w:t>
      </w:r>
      <w:proofErr w:type="gramEnd"/>
      <w:r w:rsidRPr="00A6203D">
        <w:rPr>
          <w:rFonts w:ascii="Arial" w:hAnsi="Arial" w:cs="Arial"/>
          <w:sz w:val="22"/>
          <w:szCs w:val="22"/>
        </w:rPr>
        <w:t>–442. </w:t>
      </w:r>
    </w:p>
    <w:p w14:paraId="273E936D" w14:textId="0FF5612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71.</w:t>
      </w:r>
      <w:r w:rsidR="00D55B2B" w:rsidRPr="00A6203D">
        <w:rPr>
          <w:rFonts w:ascii="Arial" w:hAnsi="Arial" w:cs="Arial"/>
          <w:sz w:val="22"/>
          <w:szCs w:val="22"/>
        </w:rPr>
        <w:t xml:space="preserve">    </w:t>
      </w:r>
      <w:r w:rsidRPr="00A6203D">
        <w:rPr>
          <w:rFonts w:ascii="Arial" w:hAnsi="Arial" w:cs="Arial"/>
          <w:sz w:val="22"/>
          <w:szCs w:val="22"/>
        </w:rPr>
        <w:t xml:space="preserve">Sun LM, Lin MC, </w:t>
      </w:r>
      <w:proofErr w:type="spellStart"/>
      <w:r w:rsidRPr="00A6203D">
        <w:rPr>
          <w:rFonts w:ascii="Arial" w:hAnsi="Arial" w:cs="Arial"/>
          <w:sz w:val="22"/>
          <w:szCs w:val="22"/>
        </w:rPr>
        <w:t>Muo</w:t>
      </w:r>
      <w:proofErr w:type="spellEnd"/>
      <w:r w:rsidRPr="00A6203D">
        <w:rPr>
          <w:rFonts w:ascii="Arial" w:hAnsi="Arial" w:cs="Arial"/>
          <w:sz w:val="22"/>
          <w:szCs w:val="22"/>
        </w:rPr>
        <w:t xml:space="preserve"> CH, Liang JA, Kao CH. Calcitonin nasal spray and increased cancer risk: a population-based nested case-control study.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2014;99:4259</w:t>
      </w:r>
      <w:proofErr w:type="gramEnd"/>
      <w:r w:rsidRPr="00A6203D">
        <w:rPr>
          <w:rFonts w:ascii="Arial" w:hAnsi="Arial" w:cs="Arial"/>
          <w:sz w:val="22"/>
          <w:szCs w:val="22"/>
        </w:rPr>
        <w:t>–4264. </w:t>
      </w:r>
    </w:p>
    <w:p w14:paraId="773AD0CD" w14:textId="56ECEB2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72.</w:t>
      </w:r>
      <w:r w:rsidR="00D55B2B" w:rsidRPr="00A6203D">
        <w:rPr>
          <w:rFonts w:ascii="Arial" w:hAnsi="Arial" w:cs="Arial"/>
          <w:sz w:val="22"/>
          <w:szCs w:val="22"/>
        </w:rPr>
        <w:t xml:space="preserve">    </w:t>
      </w:r>
      <w:proofErr w:type="spellStart"/>
      <w:r w:rsidRPr="00A6203D">
        <w:rPr>
          <w:rFonts w:ascii="Arial" w:hAnsi="Arial" w:cs="Arial"/>
          <w:sz w:val="22"/>
          <w:szCs w:val="22"/>
        </w:rPr>
        <w:t>Zimolo</w:t>
      </w:r>
      <w:proofErr w:type="spellEnd"/>
      <w:r w:rsidRPr="00A6203D">
        <w:rPr>
          <w:rFonts w:ascii="Arial" w:hAnsi="Arial" w:cs="Arial"/>
          <w:sz w:val="22"/>
          <w:szCs w:val="22"/>
        </w:rPr>
        <w:t xml:space="preserve"> Z, Wesolowski G, Rodan GA. Acid extrusion is induced by osteoclast attachment to bone. Inhibition by alendronate and calcitonin. J Clin Invest. </w:t>
      </w:r>
      <w:proofErr w:type="gramStart"/>
      <w:r w:rsidRPr="00A6203D">
        <w:rPr>
          <w:rFonts w:ascii="Arial" w:hAnsi="Arial" w:cs="Arial"/>
          <w:sz w:val="22"/>
          <w:szCs w:val="22"/>
        </w:rPr>
        <w:t>1995;96:2277</w:t>
      </w:r>
      <w:proofErr w:type="gramEnd"/>
      <w:r w:rsidRPr="00A6203D">
        <w:rPr>
          <w:rFonts w:ascii="Arial" w:hAnsi="Arial" w:cs="Arial"/>
          <w:sz w:val="22"/>
          <w:szCs w:val="22"/>
        </w:rPr>
        <w:t>–2283. </w:t>
      </w:r>
    </w:p>
    <w:p w14:paraId="2C027577" w14:textId="3B06D4A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73.</w:t>
      </w:r>
      <w:r w:rsidR="00D55B2B" w:rsidRPr="00A6203D">
        <w:rPr>
          <w:rFonts w:ascii="Arial" w:hAnsi="Arial" w:cs="Arial"/>
          <w:sz w:val="22"/>
          <w:szCs w:val="22"/>
        </w:rPr>
        <w:t xml:space="preserve">    </w:t>
      </w:r>
      <w:r w:rsidRPr="00A6203D">
        <w:rPr>
          <w:rFonts w:ascii="Arial" w:hAnsi="Arial" w:cs="Arial"/>
          <w:sz w:val="22"/>
          <w:szCs w:val="22"/>
        </w:rPr>
        <w:t>Felix R, Graham R, Russell G, Fleisch H. The effect of several diphosphonates on acid phosphohydrolases and other lysosomal enzymes. </w:t>
      </w:r>
      <w:proofErr w:type="spellStart"/>
      <w:r w:rsidRPr="00A6203D">
        <w:rPr>
          <w:rFonts w:ascii="Arial" w:hAnsi="Arial" w:cs="Arial"/>
          <w:sz w:val="22"/>
          <w:szCs w:val="22"/>
        </w:rPr>
        <w:t>Biochim</w:t>
      </w:r>
      <w:proofErr w:type="spellEnd"/>
      <w:r w:rsidRPr="00A6203D">
        <w:rPr>
          <w:rFonts w:ascii="Arial" w:hAnsi="Arial" w:cs="Arial"/>
          <w:sz w:val="22"/>
          <w:szCs w:val="22"/>
        </w:rPr>
        <w:t xml:space="preserve"> </w:t>
      </w:r>
      <w:proofErr w:type="spellStart"/>
      <w:r w:rsidRPr="00A6203D">
        <w:rPr>
          <w:rFonts w:ascii="Arial" w:hAnsi="Arial" w:cs="Arial"/>
          <w:sz w:val="22"/>
          <w:szCs w:val="22"/>
        </w:rPr>
        <w:t>Biophys</w:t>
      </w:r>
      <w:proofErr w:type="spellEnd"/>
      <w:r w:rsidRPr="00A6203D">
        <w:rPr>
          <w:rFonts w:ascii="Arial" w:hAnsi="Arial" w:cs="Arial"/>
          <w:sz w:val="22"/>
          <w:szCs w:val="22"/>
        </w:rPr>
        <w:t xml:space="preserve"> Acta. </w:t>
      </w:r>
      <w:proofErr w:type="gramStart"/>
      <w:r w:rsidRPr="00A6203D">
        <w:rPr>
          <w:rFonts w:ascii="Arial" w:hAnsi="Arial" w:cs="Arial"/>
          <w:sz w:val="22"/>
          <w:szCs w:val="22"/>
        </w:rPr>
        <w:t>1976;429:429</w:t>
      </w:r>
      <w:proofErr w:type="gramEnd"/>
      <w:r w:rsidRPr="00A6203D">
        <w:rPr>
          <w:rFonts w:ascii="Arial" w:hAnsi="Arial" w:cs="Arial"/>
          <w:sz w:val="22"/>
          <w:szCs w:val="22"/>
        </w:rPr>
        <w:t>–438. ]</w:t>
      </w:r>
    </w:p>
    <w:p w14:paraId="2C641560" w14:textId="24D093F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74.</w:t>
      </w:r>
      <w:r w:rsidR="00D55B2B" w:rsidRPr="00A6203D">
        <w:rPr>
          <w:rFonts w:ascii="Arial" w:hAnsi="Arial" w:cs="Arial"/>
          <w:sz w:val="22"/>
          <w:szCs w:val="22"/>
        </w:rPr>
        <w:t xml:space="preserve">    </w:t>
      </w:r>
      <w:r w:rsidRPr="00A6203D">
        <w:rPr>
          <w:rFonts w:ascii="Arial" w:hAnsi="Arial" w:cs="Arial"/>
          <w:sz w:val="22"/>
          <w:szCs w:val="22"/>
        </w:rPr>
        <w:t>Luckman SP, Hughes DE, Coxon FP, Graham R, Russell G, Rogers MJ. Nitrogen-containing bisphosphonates inhibit the mevalonate pathway and prevent post-translational prenylation of GTP-binding proteins, including Ras. Journal of bone and mineral research: the official journal of the American Society for Bone and Mineral Research 1998; 13:581-589.</w:t>
      </w:r>
    </w:p>
    <w:p w14:paraId="67CB49FF" w14:textId="12A4199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75.</w:t>
      </w:r>
      <w:r w:rsidR="00D55B2B" w:rsidRPr="00A6203D">
        <w:rPr>
          <w:rFonts w:ascii="Arial" w:hAnsi="Arial" w:cs="Arial"/>
          <w:sz w:val="22"/>
          <w:szCs w:val="22"/>
        </w:rPr>
        <w:t xml:space="preserve">    </w:t>
      </w:r>
      <w:r w:rsidRPr="00A6203D">
        <w:rPr>
          <w:rFonts w:ascii="Arial" w:hAnsi="Arial" w:cs="Arial"/>
          <w:sz w:val="22"/>
          <w:szCs w:val="22"/>
        </w:rPr>
        <w:t>Fleisch H. Bisphosphonates in Bone Disease from the Laboratory to the Patient. Fourth ed: Academic Press.</w:t>
      </w:r>
    </w:p>
    <w:p w14:paraId="1D92A3B7" w14:textId="755BE80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76.</w:t>
      </w:r>
      <w:r w:rsidR="00D55B2B" w:rsidRPr="00A6203D">
        <w:rPr>
          <w:rFonts w:ascii="Arial" w:hAnsi="Arial" w:cs="Arial"/>
          <w:sz w:val="22"/>
          <w:szCs w:val="22"/>
        </w:rPr>
        <w:t xml:space="preserve">    </w:t>
      </w:r>
      <w:r w:rsidRPr="00A6203D">
        <w:rPr>
          <w:rFonts w:ascii="Arial" w:hAnsi="Arial" w:cs="Arial"/>
          <w:sz w:val="22"/>
          <w:szCs w:val="22"/>
        </w:rPr>
        <w:t xml:space="preserve">Watts NB. Treatment of osteoporosis with bisphosphonates. Endocrinol </w:t>
      </w:r>
      <w:proofErr w:type="spellStart"/>
      <w:r w:rsidRPr="00A6203D">
        <w:rPr>
          <w:rFonts w:ascii="Arial" w:hAnsi="Arial" w:cs="Arial"/>
          <w:sz w:val="22"/>
          <w:szCs w:val="22"/>
        </w:rPr>
        <w:t>Metab</w:t>
      </w:r>
      <w:proofErr w:type="spellEnd"/>
      <w:r w:rsidRPr="00A6203D">
        <w:rPr>
          <w:rFonts w:ascii="Arial" w:hAnsi="Arial" w:cs="Arial"/>
          <w:sz w:val="22"/>
          <w:szCs w:val="22"/>
        </w:rPr>
        <w:t xml:space="preserve"> Clin North Am. </w:t>
      </w:r>
      <w:proofErr w:type="gramStart"/>
      <w:r w:rsidRPr="00A6203D">
        <w:rPr>
          <w:rFonts w:ascii="Arial" w:hAnsi="Arial" w:cs="Arial"/>
          <w:sz w:val="22"/>
          <w:szCs w:val="22"/>
        </w:rPr>
        <w:t>1998;27:419</w:t>
      </w:r>
      <w:proofErr w:type="gramEnd"/>
      <w:r w:rsidRPr="00A6203D">
        <w:rPr>
          <w:rFonts w:ascii="Arial" w:hAnsi="Arial" w:cs="Arial"/>
          <w:sz w:val="22"/>
          <w:szCs w:val="22"/>
        </w:rPr>
        <w:t>–439. </w:t>
      </w:r>
    </w:p>
    <w:p w14:paraId="089D9B3A" w14:textId="095C419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77.</w:t>
      </w:r>
      <w:r w:rsidR="00D55B2B" w:rsidRPr="00A6203D">
        <w:rPr>
          <w:rFonts w:ascii="Arial" w:hAnsi="Arial" w:cs="Arial"/>
          <w:sz w:val="22"/>
          <w:szCs w:val="22"/>
        </w:rPr>
        <w:t xml:space="preserve">    </w:t>
      </w:r>
      <w:r w:rsidRPr="00A6203D">
        <w:rPr>
          <w:rFonts w:ascii="Arial" w:hAnsi="Arial" w:cs="Arial"/>
          <w:sz w:val="22"/>
          <w:szCs w:val="22"/>
        </w:rPr>
        <w:t>Wells GA, Cranney A, Peterson J, Boucher M, Shea B, Robinson V, Coyle D, Tugwell P. Alendronate for the primary and secondary prevention of osteoporotic fractures in postmenopausal women. Cochrane Database Syst Rev. 2008:CD001155. </w:t>
      </w:r>
    </w:p>
    <w:p w14:paraId="62519A83" w14:textId="5B6EB2D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78.</w:t>
      </w:r>
      <w:r w:rsidR="00D55B2B" w:rsidRPr="00A6203D">
        <w:rPr>
          <w:rFonts w:ascii="Arial" w:hAnsi="Arial" w:cs="Arial"/>
          <w:sz w:val="22"/>
          <w:szCs w:val="22"/>
        </w:rPr>
        <w:t xml:space="preserve">    </w:t>
      </w:r>
      <w:r w:rsidRPr="00A6203D">
        <w:rPr>
          <w:rFonts w:ascii="Arial" w:hAnsi="Arial" w:cs="Arial"/>
          <w:sz w:val="22"/>
          <w:szCs w:val="22"/>
        </w:rPr>
        <w:t xml:space="preserve">Ascott-Evans BH, </w:t>
      </w:r>
      <w:proofErr w:type="spellStart"/>
      <w:r w:rsidRPr="00A6203D">
        <w:rPr>
          <w:rFonts w:ascii="Arial" w:hAnsi="Arial" w:cs="Arial"/>
          <w:sz w:val="22"/>
          <w:szCs w:val="22"/>
        </w:rPr>
        <w:t>Guanabens</w:t>
      </w:r>
      <w:proofErr w:type="spellEnd"/>
      <w:r w:rsidRPr="00A6203D">
        <w:rPr>
          <w:rFonts w:ascii="Arial" w:hAnsi="Arial" w:cs="Arial"/>
          <w:sz w:val="22"/>
          <w:szCs w:val="22"/>
        </w:rPr>
        <w:t xml:space="preserve"> N, Kivinen S, Stuckey BG, </w:t>
      </w:r>
      <w:proofErr w:type="spellStart"/>
      <w:r w:rsidRPr="00A6203D">
        <w:rPr>
          <w:rFonts w:ascii="Arial" w:hAnsi="Arial" w:cs="Arial"/>
          <w:sz w:val="22"/>
          <w:szCs w:val="22"/>
        </w:rPr>
        <w:t>Magaril</w:t>
      </w:r>
      <w:proofErr w:type="spellEnd"/>
      <w:r w:rsidRPr="00A6203D">
        <w:rPr>
          <w:rFonts w:ascii="Arial" w:hAnsi="Arial" w:cs="Arial"/>
          <w:sz w:val="22"/>
          <w:szCs w:val="22"/>
        </w:rPr>
        <w:t xml:space="preserve"> CH, </w:t>
      </w:r>
      <w:proofErr w:type="spellStart"/>
      <w:r w:rsidRPr="00A6203D">
        <w:rPr>
          <w:rFonts w:ascii="Arial" w:hAnsi="Arial" w:cs="Arial"/>
          <w:sz w:val="22"/>
          <w:szCs w:val="22"/>
        </w:rPr>
        <w:t>Vandormael</w:t>
      </w:r>
      <w:proofErr w:type="spellEnd"/>
      <w:r w:rsidRPr="00A6203D">
        <w:rPr>
          <w:rFonts w:ascii="Arial" w:hAnsi="Arial" w:cs="Arial"/>
          <w:sz w:val="22"/>
          <w:szCs w:val="22"/>
        </w:rPr>
        <w:t xml:space="preserve"> K, Stych B, Melton ME. Alendronate prevents loss of bone density associated with discontinuation of hormone replacement therapy: a randomized controlled trial. Arch Intern Med. </w:t>
      </w:r>
      <w:proofErr w:type="gramStart"/>
      <w:r w:rsidRPr="00A6203D">
        <w:rPr>
          <w:rFonts w:ascii="Arial" w:hAnsi="Arial" w:cs="Arial"/>
          <w:sz w:val="22"/>
          <w:szCs w:val="22"/>
        </w:rPr>
        <w:t>2003;163:789</w:t>
      </w:r>
      <w:proofErr w:type="gramEnd"/>
      <w:r w:rsidRPr="00A6203D">
        <w:rPr>
          <w:rFonts w:ascii="Arial" w:hAnsi="Arial" w:cs="Arial"/>
          <w:sz w:val="22"/>
          <w:szCs w:val="22"/>
        </w:rPr>
        <w:t>–794. </w:t>
      </w:r>
    </w:p>
    <w:p w14:paraId="23793263" w14:textId="2370286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79.</w:t>
      </w:r>
      <w:r w:rsidR="00D55B2B" w:rsidRPr="00A6203D">
        <w:rPr>
          <w:rFonts w:ascii="Arial" w:hAnsi="Arial" w:cs="Arial"/>
          <w:sz w:val="22"/>
          <w:szCs w:val="22"/>
        </w:rPr>
        <w:t xml:space="preserve">    </w:t>
      </w:r>
      <w:r w:rsidRPr="00A6203D">
        <w:rPr>
          <w:rFonts w:ascii="Arial" w:hAnsi="Arial" w:cs="Arial"/>
          <w:sz w:val="22"/>
          <w:szCs w:val="22"/>
        </w:rPr>
        <w:t xml:space="preserve">Cummings SR, Black DM, Thompson DE, Applegate WB, Barrett-Connor E, </w:t>
      </w:r>
      <w:proofErr w:type="spellStart"/>
      <w:r w:rsidRPr="00A6203D">
        <w:rPr>
          <w:rFonts w:ascii="Arial" w:hAnsi="Arial" w:cs="Arial"/>
          <w:sz w:val="22"/>
          <w:szCs w:val="22"/>
        </w:rPr>
        <w:t>Musliner</w:t>
      </w:r>
      <w:proofErr w:type="spellEnd"/>
      <w:r w:rsidRPr="00A6203D">
        <w:rPr>
          <w:rFonts w:ascii="Arial" w:hAnsi="Arial" w:cs="Arial"/>
          <w:sz w:val="22"/>
          <w:szCs w:val="22"/>
        </w:rPr>
        <w:t xml:space="preserve"> TA, Palermo L, </w:t>
      </w:r>
      <w:proofErr w:type="spellStart"/>
      <w:r w:rsidRPr="00A6203D">
        <w:rPr>
          <w:rFonts w:ascii="Arial" w:hAnsi="Arial" w:cs="Arial"/>
          <w:sz w:val="22"/>
          <w:szCs w:val="22"/>
        </w:rPr>
        <w:t>Prineas</w:t>
      </w:r>
      <w:proofErr w:type="spellEnd"/>
      <w:r w:rsidRPr="00A6203D">
        <w:rPr>
          <w:rFonts w:ascii="Arial" w:hAnsi="Arial" w:cs="Arial"/>
          <w:sz w:val="22"/>
          <w:szCs w:val="22"/>
        </w:rPr>
        <w:t xml:space="preserve"> R, Rubin SM, Scott JC, Vogt T, Wallace R, Yates AJ, LaCroix AZ. Effect of alendronate on risk of fracture in women with low bone density but without vertebral fractures: results from the Fracture Intervention Trial. JAMA. </w:t>
      </w:r>
      <w:proofErr w:type="gramStart"/>
      <w:r w:rsidRPr="00A6203D">
        <w:rPr>
          <w:rFonts w:ascii="Arial" w:hAnsi="Arial" w:cs="Arial"/>
          <w:sz w:val="22"/>
          <w:szCs w:val="22"/>
        </w:rPr>
        <w:t>1998;280:2077</w:t>
      </w:r>
      <w:proofErr w:type="gramEnd"/>
      <w:r w:rsidRPr="00A6203D">
        <w:rPr>
          <w:rFonts w:ascii="Arial" w:hAnsi="Arial" w:cs="Arial"/>
          <w:sz w:val="22"/>
          <w:szCs w:val="22"/>
        </w:rPr>
        <w:t>–2082. </w:t>
      </w:r>
    </w:p>
    <w:p w14:paraId="2FF0A069" w14:textId="2EBB55D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80.</w:t>
      </w:r>
      <w:r w:rsidR="00D55B2B" w:rsidRPr="00A6203D">
        <w:rPr>
          <w:rFonts w:ascii="Arial" w:hAnsi="Arial" w:cs="Arial"/>
          <w:sz w:val="22"/>
          <w:szCs w:val="22"/>
        </w:rPr>
        <w:t xml:space="preserve">    </w:t>
      </w:r>
      <w:r w:rsidRPr="00A6203D">
        <w:rPr>
          <w:rFonts w:ascii="Arial" w:hAnsi="Arial" w:cs="Arial"/>
          <w:sz w:val="22"/>
          <w:szCs w:val="22"/>
        </w:rPr>
        <w:t xml:space="preserve">Hosking D, Chilvers CE, Christiansen C, Ravn P, </w:t>
      </w:r>
      <w:proofErr w:type="spellStart"/>
      <w:r w:rsidRPr="00A6203D">
        <w:rPr>
          <w:rFonts w:ascii="Arial" w:hAnsi="Arial" w:cs="Arial"/>
          <w:sz w:val="22"/>
          <w:szCs w:val="22"/>
        </w:rPr>
        <w:t>Wasnich</w:t>
      </w:r>
      <w:proofErr w:type="spellEnd"/>
      <w:r w:rsidRPr="00A6203D">
        <w:rPr>
          <w:rFonts w:ascii="Arial" w:hAnsi="Arial" w:cs="Arial"/>
          <w:sz w:val="22"/>
          <w:szCs w:val="22"/>
        </w:rPr>
        <w:t xml:space="preserve"> R, Ross P, McClung M, </w:t>
      </w:r>
      <w:proofErr w:type="spellStart"/>
      <w:r w:rsidRPr="00A6203D">
        <w:rPr>
          <w:rFonts w:ascii="Arial" w:hAnsi="Arial" w:cs="Arial"/>
          <w:sz w:val="22"/>
          <w:szCs w:val="22"/>
        </w:rPr>
        <w:t>Balske</w:t>
      </w:r>
      <w:proofErr w:type="spellEnd"/>
      <w:r w:rsidRPr="00A6203D">
        <w:rPr>
          <w:rFonts w:ascii="Arial" w:hAnsi="Arial" w:cs="Arial"/>
          <w:sz w:val="22"/>
          <w:szCs w:val="22"/>
        </w:rPr>
        <w:t xml:space="preserve"> A, Thompson D, Daley M, Yates AJ. Prevention of bone loss with alendronate in postmenopausal women under 60 years of age. Early Postmenopausal Intervention Cohort Study Group. N Engl J Med. </w:t>
      </w:r>
      <w:proofErr w:type="gramStart"/>
      <w:r w:rsidRPr="00A6203D">
        <w:rPr>
          <w:rFonts w:ascii="Arial" w:hAnsi="Arial" w:cs="Arial"/>
          <w:sz w:val="22"/>
          <w:szCs w:val="22"/>
        </w:rPr>
        <w:t>1998;338:485</w:t>
      </w:r>
      <w:proofErr w:type="gramEnd"/>
      <w:r w:rsidRPr="00A6203D">
        <w:rPr>
          <w:rFonts w:ascii="Arial" w:hAnsi="Arial" w:cs="Arial"/>
          <w:sz w:val="22"/>
          <w:szCs w:val="22"/>
        </w:rPr>
        <w:t>–492. </w:t>
      </w:r>
    </w:p>
    <w:p w14:paraId="58EF0230" w14:textId="403F447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81.</w:t>
      </w:r>
      <w:r w:rsidR="00012525" w:rsidRPr="00A6203D">
        <w:rPr>
          <w:rFonts w:ascii="Arial" w:hAnsi="Arial" w:cs="Arial"/>
          <w:sz w:val="22"/>
          <w:szCs w:val="22"/>
        </w:rPr>
        <w:t xml:space="preserve">    </w:t>
      </w:r>
      <w:r w:rsidRPr="00A6203D">
        <w:rPr>
          <w:rFonts w:ascii="Arial" w:hAnsi="Arial" w:cs="Arial"/>
          <w:sz w:val="22"/>
          <w:szCs w:val="22"/>
        </w:rPr>
        <w:t xml:space="preserve">Black DM, Cummings SR, Karpf DB, Cauley JA, Thompson DE, Nevitt MC, Bauer DC,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Haskell WL, Marcus R, Ott SM, Torner JC, Quandt SA, Reiss TF, Ensrud KE. </w:t>
      </w:r>
      <w:proofErr w:type="spellStart"/>
      <w:r w:rsidRPr="00A6203D">
        <w:rPr>
          <w:rFonts w:ascii="Arial" w:hAnsi="Arial" w:cs="Arial"/>
          <w:sz w:val="22"/>
          <w:szCs w:val="22"/>
        </w:rPr>
        <w:t>Randomised</w:t>
      </w:r>
      <w:proofErr w:type="spellEnd"/>
      <w:r w:rsidRPr="00A6203D">
        <w:rPr>
          <w:rFonts w:ascii="Arial" w:hAnsi="Arial" w:cs="Arial"/>
          <w:sz w:val="22"/>
          <w:szCs w:val="22"/>
        </w:rPr>
        <w:t xml:space="preserve"> trial of effect of alendronate on risk of fracture in women with existing vertebral fractures. Fracture Intervention Trial Research Group. Lancet. </w:t>
      </w:r>
      <w:proofErr w:type="gramStart"/>
      <w:r w:rsidRPr="00A6203D">
        <w:rPr>
          <w:rFonts w:ascii="Arial" w:hAnsi="Arial" w:cs="Arial"/>
          <w:sz w:val="22"/>
          <w:szCs w:val="22"/>
        </w:rPr>
        <w:t>1996;348:1535</w:t>
      </w:r>
      <w:proofErr w:type="gramEnd"/>
      <w:r w:rsidRPr="00A6203D">
        <w:rPr>
          <w:rFonts w:ascii="Arial" w:hAnsi="Arial" w:cs="Arial"/>
          <w:sz w:val="22"/>
          <w:szCs w:val="22"/>
        </w:rPr>
        <w:t>–1541. </w:t>
      </w:r>
    </w:p>
    <w:p w14:paraId="34152495" w14:textId="2774080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82.</w:t>
      </w:r>
      <w:r w:rsidR="00012525" w:rsidRPr="00A6203D">
        <w:rPr>
          <w:rFonts w:ascii="Arial" w:hAnsi="Arial" w:cs="Arial"/>
          <w:sz w:val="22"/>
          <w:szCs w:val="22"/>
        </w:rPr>
        <w:t xml:space="preserve">    </w:t>
      </w:r>
      <w:r w:rsidRPr="00A6203D">
        <w:rPr>
          <w:rFonts w:ascii="Arial" w:hAnsi="Arial" w:cs="Arial"/>
          <w:sz w:val="22"/>
          <w:szCs w:val="22"/>
        </w:rPr>
        <w:t xml:space="preserve">Adams AL, Shi J, Takayanagi M, Dell RM, </w:t>
      </w:r>
      <w:proofErr w:type="spellStart"/>
      <w:r w:rsidRPr="00A6203D">
        <w:rPr>
          <w:rFonts w:ascii="Arial" w:hAnsi="Arial" w:cs="Arial"/>
          <w:sz w:val="22"/>
          <w:szCs w:val="22"/>
        </w:rPr>
        <w:t>Funahashi</w:t>
      </w:r>
      <w:proofErr w:type="spellEnd"/>
      <w:r w:rsidRPr="00A6203D">
        <w:rPr>
          <w:rFonts w:ascii="Arial" w:hAnsi="Arial" w:cs="Arial"/>
          <w:sz w:val="22"/>
          <w:szCs w:val="22"/>
        </w:rPr>
        <w:t xml:space="preserve"> TT, Jacobsen SJ. Ten-year hip fracture incidence rate trends in a large California population, 1997-2006.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2013;24:373</w:t>
      </w:r>
      <w:proofErr w:type="gramEnd"/>
      <w:r w:rsidRPr="00A6203D">
        <w:rPr>
          <w:rFonts w:ascii="Arial" w:hAnsi="Arial" w:cs="Arial"/>
          <w:sz w:val="22"/>
          <w:szCs w:val="22"/>
        </w:rPr>
        <w:t>–376. </w:t>
      </w:r>
    </w:p>
    <w:p w14:paraId="0AEEA31D" w14:textId="678653B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83.</w:t>
      </w:r>
      <w:r w:rsidR="00012525" w:rsidRPr="00A6203D">
        <w:rPr>
          <w:rFonts w:ascii="Arial" w:hAnsi="Arial" w:cs="Arial"/>
          <w:sz w:val="22"/>
          <w:szCs w:val="22"/>
        </w:rPr>
        <w:t xml:space="preserve">    </w:t>
      </w:r>
      <w:proofErr w:type="spellStart"/>
      <w:r w:rsidRPr="00A6203D">
        <w:rPr>
          <w:rFonts w:ascii="Arial" w:hAnsi="Arial" w:cs="Arial"/>
          <w:sz w:val="22"/>
          <w:szCs w:val="22"/>
        </w:rPr>
        <w:t>Chesnut</w:t>
      </w:r>
      <w:proofErr w:type="spellEnd"/>
      <w:r w:rsidRPr="00A6203D">
        <w:rPr>
          <w:rFonts w:ascii="Arial" w:hAnsi="Arial" w:cs="Arial"/>
          <w:sz w:val="22"/>
          <w:szCs w:val="22"/>
        </w:rPr>
        <w:t xml:space="preserve"> CH 3rd, McClung MR, Ensrud KE, Bell NH,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Harris ST, Singer FR, Stock JL, </w:t>
      </w:r>
      <w:proofErr w:type="spellStart"/>
      <w:r w:rsidRPr="00A6203D">
        <w:rPr>
          <w:rFonts w:ascii="Arial" w:hAnsi="Arial" w:cs="Arial"/>
          <w:sz w:val="22"/>
          <w:szCs w:val="22"/>
        </w:rPr>
        <w:t>Yood</w:t>
      </w:r>
      <w:proofErr w:type="spellEnd"/>
      <w:r w:rsidRPr="00A6203D">
        <w:rPr>
          <w:rFonts w:ascii="Arial" w:hAnsi="Arial" w:cs="Arial"/>
          <w:sz w:val="22"/>
          <w:szCs w:val="22"/>
        </w:rPr>
        <w:t xml:space="preserve"> RA, Delmas PD, et al. Alendronate treatment of the postmenopausal osteoporotic woman: effect of multiple dosages on bone mass and bone remodeling. Am J Med. </w:t>
      </w:r>
      <w:proofErr w:type="gramStart"/>
      <w:r w:rsidRPr="00A6203D">
        <w:rPr>
          <w:rFonts w:ascii="Arial" w:hAnsi="Arial" w:cs="Arial"/>
          <w:sz w:val="22"/>
          <w:szCs w:val="22"/>
        </w:rPr>
        <w:t>1995;99:144</w:t>
      </w:r>
      <w:proofErr w:type="gramEnd"/>
      <w:r w:rsidRPr="00A6203D">
        <w:rPr>
          <w:rFonts w:ascii="Arial" w:hAnsi="Arial" w:cs="Arial"/>
          <w:sz w:val="22"/>
          <w:szCs w:val="22"/>
        </w:rPr>
        <w:t>–152. </w:t>
      </w:r>
    </w:p>
    <w:p w14:paraId="5C143539" w14:textId="02F0A50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84.</w:t>
      </w:r>
      <w:r w:rsidR="00012525" w:rsidRPr="00A6203D">
        <w:rPr>
          <w:rFonts w:ascii="Arial" w:hAnsi="Arial" w:cs="Arial"/>
          <w:sz w:val="22"/>
          <w:szCs w:val="22"/>
        </w:rPr>
        <w:t xml:space="preserve">    </w:t>
      </w:r>
      <w:r w:rsidRPr="00A6203D">
        <w:rPr>
          <w:rFonts w:ascii="Arial" w:hAnsi="Arial" w:cs="Arial"/>
          <w:sz w:val="22"/>
          <w:szCs w:val="22"/>
        </w:rPr>
        <w:t xml:space="preserve">Dursun N, Dursun E, Yalcin S. Comparison of alendronate, calcitonin and calcium treatments in postmenopausal osteoporosis. Int J Clin </w:t>
      </w:r>
      <w:proofErr w:type="spellStart"/>
      <w:r w:rsidRPr="00A6203D">
        <w:rPr>
          <w:rFonts w:ascii="Arial" w:hAnsi="Arial" w:cs="Arial"/>
          <w:sz w:val="22"/>
          <w:szCs w:val="22"/>
        </w:rPr>
        <w:t>Pract</w:t>
      </w:r>
      <w:proofErr w:type="spellEnd"/>
      <w:r w:rsidRPr="00A6203D">
        <w:rPr>
          <w:rFonts w:ascii="Arial" w:hAnsi="Arial" w:cs="Arial"/>
          <w:sz w:val="22"/>
          <w:szCs w:val="22"/>
        </w:rPr>
        <w:t>. </w:t>
      </w:r>
      <w:proofErr w:type="gramStart"/>
      <w:r w:rsidRPr="00A6203D">
        <w:rPr>
          <w:rFonts w:ascii="Arial" w:hAnsi="Arial" w:cs="Arial"/>
          <w:sz w:val="22"/>
          <w:szCs w:val="22"/>
        </w:rPr>
        <w:t>2001;55:505</w:t>
      </w:r>
      <w:proofErr w:type="gramEnd"/>
      <w:r w:rsidRPr="00A6203D">
        <w:rPr>
          <w:rFonts w:ascii="Arial" w:hAnsi="Arial" w:cs="Arial"/>
          <w:sz w:val="22"/>
          <w:szCs w:val="22"/>
        </w:rPr>
        <w:t>–509. </w:t>
      </w:r>
    </w:p>
    <w:p w14:paraId="609B3F15" w14:textId="6ED017B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85.</w:t>
      </w:r>
      <w:r w:rsidR="00012525" w:rsidRPr="00A6203D">
        <w:rPr>
          <w:rFonts w:ascii="Arial" w:hAnsi="Arial" w:cs="Arial"/>
          <w:sz w:val="22"/>
          <w:szCs w:val="22"/>
        </w:rPr>
        <w:t xml:space="preserve">    </w:t>
      </w:r>
      <w:r w:rsidRPr="00A6203D">
        <w:rPr>
          <w:rFonts w:ascii="Arial" w:hAnsi="Arial" w:cs="Arial"/>
          <w:sz w:val="22"/>
          <w:szCs w:val="22"/>
        </w:rPr>
        <w:t>Greenspan S, Field-</w:t>
      </w:r>
      <w:proofErr w:type="spellStart"/>
      <w:r w:rsidRPr="00A6203D">
        <w:rPr>
          <w:rFonts w:ascii="Arial" w:hAnsi="Arial" w:cs="Arial"/>
          <w:sz w:val="22"/>
          <w:szCs w:val="22"/>
        </w:rPr>
        <w:t>Munves</w:t>
      </w:r>
      <w:proofErr w:type="spellEnd"/>
      <w:r w:rsidRPr="00A6203D">
        <w:rPr>
          <w:rFonts w:ascii="Arial" w:hAnsi="Arial" w:cs="Arial"/>
          <w:sz w:val="22"/>
          <w:szCs w:val="22"/>
        </w:rPr>
        <w:t xml:space="preserve"> E, Tonino R, Smith M, </w:t>
      </w:r>
      <w:proofErr w:type="spellStart"/>
      <w:r w:rsidRPr="00A6203D">
        <w:rPr>
          <w:rFonts w:ascii="Arial" w:hAnsi="Arial" w:cs="Arial"/>
          <w:sz w:val="22"/>
          <w:szCs w:val="22"/>
        </w:rPr>
        <w:t>Petruschke</w:t>
      </w:r>
      <w:proofErr w:type="spellEnd"/>
      <w:r w:rsidRPr="00A6203D">
        <w:rPr>
          <w:rFonts w:ascii="Arial" w:hAnsi="Arial" w:cs="Arial"/>
          <w:sz w:val="22"/>
          <w:szCs w:val="22"/>
        </w:rPr>
        <w:t xml:space="preserve"> R, Wang L, Yates J, de Papp AE, Palmisano J. Tolerability of once-weekly alendronate in patients with osteoporosis: a randomized, double-blind, placebo-controlled study. Mayo Clin Proc. </w:t>
      </w:r>
      <w:proofErr w:type="gramStart"/>
      <w:r w:rsidRPr="00A6203D">
        <w:rPr>
          <w:rFonts w:ascii="Arial" w:hAnsi="Arial" w:cs="Arial"/>
          <w:sz w:val="22"/>
          <w:szCs w:val="22"/>
        </w:rPr>
        <w:t>2002;77:1044</w:t>
      </w:r>
      <w:proofErr w:type="gramEnd"/>
      <w:r w:rsidRPr="00A6203D">
        <w:rPr>
          <w:rFonts w:ascii="Arial" w:hAnsi="Arial" w:cs="Arial"/>
          <w:sz w:val="22"/>
          <w:szCs w:val="22"/>
        </w:rPr>
        <w:t>–1052. </w:t>
      </w:r>
    </w:p>
    <w:p w14:paraId="49C814E7" w14:textId="19AAE5C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86.</w:t>
      </w:r>
      <w:r w:rsidR="00012525" w:rsidRPr="00A6203D">
        <w:rPr>
          <w:rFonts w:ascii="Arial" w:hAnsi="Arial" w:cs="Arial"/>
          <w:sz w:val="22"/>
          <w:szCs w:val="22"/>
        </w:rPr>
        <w:t xml:space="preserve">    </w:t>
      </w:r>
      <w:r w:rsidRPr="00A6203D">
        <w:rPr>
          <w:rFonts w:ascii="Arial" w:hAnsi="Arial" w:cs="Arial"/>
          <w:sz w:val="22"/>
          <w:szCs w:val="22"/>
        </w:rPr>
        <w:t>Greenspan SL, Parker RA, Ferguson L, Rosen HN, Maitland-Ramsey L, Karpf DB. Early changes in biochemical markers of bone turnover predict the long-term response to alendronate therapy in representative elderly women: a randomized clinical trial. Journal of bone and mineral research: the official journal of the American Society for Bone and Mineral Research 1998; 13:1431-1438.</w:t>
      </w:r>
    </w:p>
    <w:p w14:paraId="1666E4BD" w14:textId="6971AD7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87.</w:t>
      </w:r>
      <w:r w:rsidR="00012525" w:rsidRPr="00A6203D">
        <w:rPr>
          <w:rFonts w:ascii="Arial" w:hAnsi="Arial" w:cs="Arial"/>
          <w:sz w:val="22"/>
          <w:szCs w:val="22"/>
        </w:rPr>
        <w:t xml:space="preserve">    </w:t>
      </w:r>
      <w:r w:rsidRPr="00A6203D">
        <w:rPr>
          <w:rFonts w:ascii="Arial" w:hAnsi="Arial" w:cs="Arial"/>
          <w:sz w:val="22"/>
          <w:szCs w:val="22"/>
        </w:rPr>
        <w:t xml:space="preserve">Liberman UA, Weiss SR, Broll J, Minne HW, Quan H, Bell NH, Rodriguez-Portales J, Downs RW Jr, </w:t>
      </w:r>
      <w:proofErr w:type="spellStart"/>
      <w:r w:rsidRPr="00A6203D">
        <w:rPr>
          <w:rFonts w:ascii="Arial" w:hAnsi="Arial" w:cs="Arial"/>
          <w:sz w:val="22"/>
          <w:szCs w:val="22"/>
        </w:rPr>
        <w:t>Dequeker</w:t>
      </w:r>
      <w:proofErr w:type="spellEnd"/>
      <w:r w:rsidRPr="00A6203D">
        <w:rPr>
          <w:rFonts w:ascii="Arial" w:hAnsi="Arial" w:cs="Arial"/>
          <w:sz w:val="22"/>
          <w:szCs w:val="22"/>
        </w:rPr>
        <w:t xml:space="preserve"> J, Favus M. Effect of oral alendronate on bone mineral density and the incidence of fractures in postmenopausal osteoporosis. The Alendronate Phase III Osteoporosis Treatment Study Group. N Engl J Med. </w:t>
      </w:r>
      <w:proofErr w:type="gramStart"/>
      <w:r w:rsidRPr="00A6203D">
        <w:rPr>
          <w:rFonts w:ascii="Arial" w:hAnsi="Arial" w:cs="Arial"/>
          <w:sz w:val="22"/>
          <w:szCs w:val="22"/>
        </w:rPr>
        <w:t>1995;333:1437</w:t>
      </w:r>
      <w:proofErr w:type="gramEnd"/>
      <w:r w:rsidRPr="00A6203D">
        <w:rPr>
          <w:rFonts w:ascii="Arial" w:hAnsi="Arial" w:cs="Arial"/>
          <w:sz w:val="22"/>
          <w:szCs w:val="22"/>
        </w:rPr>
        <w:t>–1443. </w:t>
      </w:r>
    </w:p>
    <w:p w14:paraId="3C69DAD0" w14:textId="11E6869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88.</w:t>
      </w:r>
      <w:r w:rsidR="00012525" w:rsidRPr="00A6203D">
        <w:rPr>
          <w:rFonts w:ascii="Arial" w:hAnsi="Arial" w:cs="Arial"/>
          <w:sz w:val="22"/>
          <w:szCs w:val="22"/>
        </w:rPr>
        <w:t xml:space="preserve">    </w:t>
      </w:r>
      <w:r w:rsidRPr="00A6203D">
        <w:rPr>
          <w:rFonts w:ascii="Arial" w:hAnsi="Arial" w:cs="Arial"/>
          <w:sz w:val="22"/>
          <w:szCs w:val="22"/>
        </w:rPr>
        <w:t xml:space="preserve">Pols HA, Felsenberg D, Hanley DA, Stepan J, Munoz-Torres M, Wilkin TJ, Qin-sheng G, Galich AM, </w:t>
      </w:r>
      <w:proofErr w:type="spellStart"/>
      <w:r w:rsidRPr="00A6203D">
        <w:rPr>
          <w:rFonts w:ascii="Arial" w:hAnsi="Arial" w:cs="Arial"/>
          <w:sz w:val="22"/>
          <w:szCs w:val="22"/>
        </w:rPr>
        <w:t>Vandormael</w:t>
      </w:r>
      <w:proofErr w:type="spellEnd"/>
      <w:r w:rsidRPr="00A6203D">
        <w:rPr>
          <w:rFonts w:ascii="Arial" w:hAnsi="Arial" w:cs="Arial"/>
          <w:sz w:val="22"/>
          <w:szCs w:val="22"/>
        </w:rPr>
        <w:t xml:space="preserve"> K, Yates AJ, Stych B. Multinational, placebo-controlled, randomized trial of the effects of alendronate on bone density and fracture risk in postmenopausal women with low bone mass: results of the FOSIT study. Fosamax International Trial Study Group.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1999;9:461</w:t>
      </w:r>
      <w:proofErr w:type="gramEnd"/>
      <w:r w:rsidRPr="00A6203D">
        <w:rPr>
          <w:rFonts w:ascii="Arial" w:hAnsi="Arial" w:cs="Arial"/>
          <w:sz w:val="22"/>
          <w:szCs w:val="22"/>
        </w:rPr>
        <w:t>–468. </w:t>
      </w:r>
    </w:p>
    <w:p w14:paraId="3E92B455" w14:textId="3B14B78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89.</w:t>
      </w:r>
      <w:r w:rsidR="00012525" w:rsidRPr="00A6203D">
        <w:rPr>
          <w:rFonts w:ascii="Arial" w:hAnsi="Arial" w:cs="Arial"/>
          <w:sz w:val="22"/>
          <w:szCs w:val="22"/>
        </w:rPr>
        <w:t xml:space="preserve">    </w:t>
      </w:r>
      <w:r w:rsidRPr="00A6203D">
        <w:rPr>
          <w:rFonts w:ascii="Arial" w:hAnsi="Arial" w:cs="Arial"/>
          <w:sz w:val="22"/>
          <w:szCs w:val="22"/>
        </w:rPr>
        <w:t>Office of the Surgeon G</w:t>
      </w:r>
      <w:r w:rsidR="003644C8" w:rsidRPr="00A6203D">
        <w:rPr>
          <w:rFonts w:ascii="Arial" w:hAnsi="Arial" w:cs="Arial"/>
          <w:sz w:val="22"/>
          <w:szCs w:val="22"/>
        </w:rPr>
        <w:t>eneral</w:t>
      </w:r>
      <w:r w:rsidRPr="00A6203D">
        <w:rPr>
          <w:rFonts w:ascii="Arial" w:hAnsi="Arial" w:cs="Arial"/>
          <w:sz w:val="22"/>
          <w:szCs w:val="22"/>
        </w:rPr>
        <w:t xml:space="preserve">. Bone health and osteoporosis: a report of the Surgeon General. Rockville, </w:t>
      </w:r>
      <w:proofErr w:type="gramStart"/>
      <w:r w:rsidRPr="00A6203D">
        <w:rPr>
          <w:rFonts w:ascii="Arial" w:hAnsi="Arial" w:cs="Arial"/>
          <w:sz w:val="22"/>
          <w:szCs w:val="22"/>
        </w:rPr>
        <w:t>Md :</w:t>
      </w:r>
      <w:proofErr w:type="gramEnd"/>
      <w:r w:rsidRPr="00A6203D">
        <w:rPr>
          <w:rFonts w:ascii="Arial" w:hAnsi="Arial" w:cs="Arial"/>
          <w:sz w:val="22"/>
          <w:szCs w:val="22"/>
        </w:rPr>
        <w:t xml:space="preserve"> U.S. Dept. of Health and Human Services, Public Health Service, Office of the Surgeon General.</w:t>
      </w:r>
    </w:p>
    <w:p w14:paraId="792A94C6" w14:textId="164A73A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90.</w:t>
      </w:r>
      <w:r w:rsidR="00012525" w:rsidRPr="00A6203D">
        <w:rPr>
          <w:rFonts w:ascii="Arial" w:hAnsi="Arial" w:cs="Arial"/>
          <w:sz w:val="22"/>
          <w:szCs w:val="22"/>
        </w:rPr>
        <w:t xml:space="preserve">    </w:t>
      </w:r>
      <w:r w:rsidRPr="00A6203D">
        <w:rPr>
          <w:rFonts w:ascii="Arial" w:hAnsi="Arial" w:cs="Arial"/>
          <w:sz w:val="22"/>
          <w:szCs w:val="22"/>
        </w:rPr>
        <w:t xml:space="preserve">Orwoll E, Ettinger M, Weiss S, Miller P, Kendler D, Graham J, Adami S, Weber K, Lorenc R, Pietschmann P, </w:t>
      </w:r>
      <w:proofErr w:type="spellStart"/>
      <w:r w:rsidRPr="00A6203D">
        <w:rPr>
          <w:rFonts w:ascii="Arial" w:hAnsi="Arial" w:cs="Arial"/>
          <w:sz w:val="22"/>
          <w:szCs w:val="22"/>
        </w:rPr>
        <w:t>Vandormael</w:t>
      </w:r>
      <w:proofErr w:type="spellEnd"/>
      <w:r w:rsidRPr="00A6203D">
        <w:rPr>
          <w:rFonts w:ascii="Arial" w:hAnsi="Arial" w:cs="Arial"/>
          <w:sz w:val="22"/>
          <w:szCs w:val="22"/>
        </w:rPr>
        <w:t xml:space="preserve"> K, Lombardi A. Alendronate for the treatment of osteoporosis in men. N Engl J Med. </w:t>
      </w:r>
      <w:proofErr w:type="gramStart"/>
      <w:r w:rsidRPr="00A6203D">
        <w:rPr>
          <w:rFonts w:ascii="Arial" w:hAnsi="Arial" w:cs="Arial"/>
          <w:sz w:val="22"/>
          <w:szCs w:val="22"/>
        </w:rPr>
        <w:t>2000;343:604</w:t>
      </w:r>
      <w:proofErr w:type="gramEnd"/>
      <w:r w:rsidRPr="00A6203D">
        <w:rPr>
          <w:rFonts w:ascii="Arial" w:hAnsi="Arial" w:cs="Arial"/>
          <w:sz w:val="22"/>
          <w:szCs w:val="22"/>
        </w:rPr>
        <w:t>–610. </w:t>
      </w:r>
    </w:p>
    <w:p w14:paraId="4D8491D2" w14:textId="7270D05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91.</w:t>
      </w:r>
      <w:r w:rsidR="00012525" w:rsidRPr="00A6203D">
        <w:rPr>
          <w:rFonts w:ascii="Arial" w:hAnsi="Arial" w:cs="Arial"/>
          <w:sz w:val="22"/>
          <w:szCs w:val="22"/>
        </w:rPr>
        <w:t xml:space="preserve">    </w:t>
      </w:r>
      <w:r w:rsidRPr="00A6203D">
        <w:rPr>
          <w:rFonts w:ascii="Arial" w:hAnsi="Arial" w:cs="Arial"/>
          <w:sz w:val="22"/>
          <w:szCs w:val="22"/>
        </w:rPr>
        <w:t xml:space="preserve">Saag KG, Emkey R, Schnitzer TJ, Brown JP, Hawkins F, </w:t>
      </w:r>
      <w:proofErr w:type="spellStart"/>
      <w:r w:rsidRPr="00A6203D">
        <w:rPr>
          <w:rFonts w:ascii="Arial" w:hAnsi="Arial" w:cs="Arial"/>
          <w:sz w:val="22"/>
          <w:szCs w:val="22"/>
        </w:rPr>
        <w:t>Goemaere</w:t>
      </w:r>
      <w:proofErr w:type="spellEnd"/>
      <w:r w:rsidRPr="00A6203D">
        <w:rPr>
          <w:rFonts w:ascii="Arial" w:hAnsi="Arial" w:cs="Arial"/>
          <w:sz w:val="22"/>
          <w:szCs w:val="22"/>
        </w:rPr>
        <w:t xml:space="preserve"> S, Thamsborg G, Liberman UA, Delmas PD, Malice MP, </w:t>
      </w:r>
      <w:proofErr w:type="spellStart"/>
      <w:r w:rsidRPr="00A6203D">
        <w:rPr>
          <w:rFonts w:ascii="Arial" w:hAnsi="Arial" w:cs="Arial"/>
          <w:sz w:val="22"/>
          <w:szCs w:val="22"/>
        </w:rPr>
        <w:t>Czachur</w:t>
      </w:r>
      <w:proofErr w:type="spellEnd"/>
      <w:r w:rsidRPr="00A6203D">
        <w:rPr>
          <w:rFonts w:ascii="Arial" w:hAnsi="Arial" w:cs="Arial"/>
          <w:sz w:val="22"/>
          <w:szCs w:val="22"/>
        </w:rPr>
        <w:t xml:space="preserve"> M, </w:t>
      </w:r>
      <w:proofErr w:type="spellStart"/>
      <w:r w:rsidRPr="00A6203D">
        <w:rPr>
          <w:rFonts w:ascii="Arial" w:hAnsi="Arial" w:cs="Arial"/>
          <w:sz w:val="22"/>
          <w:szCs w:val="22"/>
        </w:rPr>
        <w:t>Daifotis</w:t>
      </w:r>
      <w:proofErr w:type="spellEnd"/>
      <w:r w:rsidRPr="00A6203D">
        <w:rPr>
          <w:rFonts w:ascii="Arial" w:hAnsi="Arial" w:cs="Arial"/>
          <w:sz w:val="22"/>
          <w:szCs w:val="22"/>
        </w:rPr>
        <w:t xml:space="preserve"> AG. Alendronate for the prevention and treatment of glucocorticoid-induced osteoporosis. Glucocorticoid-Induced Osteoporosis Intervention Study Group. N Engl J Med. </w:t>
      </w:r>
      <w:proofErr w:type="gramStart"/>
      <w:r w:rsidRPr="00A6203D">
        <w:rPr>
          <w:rFonts w:ascii="Arial" w:hAnsi="Arial" w:cs="Arial"/>
          <w:sz w:val="22"/>
          <w:szCs w:val="22"/>
        </w:rPr>
        <w:t>1998;339:292</w:t>
      </w:r>
      <w:proofErr w:type="gramEnd"/>
      <w:r w:rsidRPr="00A6203D">
        <w:rPr>
          <w:rFonts w:ascii="Arial" w:hAnsi="Arial" w:cs="Arial"/>
          <w:sz w:val="22"/>
          <w:szCs w:val="22"/>
        </w:rPr>
        <w:t>–299. </w:t>
      </w:r>
    </w:p>
    <w:p w14:paraId="7B2F5300" w14:textId="64C3196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92.</w:t>
      </w:r>
      <w:r w:rsidR="00012525" w:rsidRPr="00A6203D">
        <w:rPr>
          <w:rFonts w:ascii="Arial" w:hAnsi="Arial" w:cs="Arial"/>
          <w:sz w:val="22"/>
          <w:szCs w:val="22"/>
        </w:rPr>
        <w:t xml:space="preserve">    </w:t>
      </w:r>
      <w:r w:rsidRPr="00A6203D">
        <w:rPr>
          <w:rFonts w:ascii="Arial" w:hAnsi="Arial" w:cs="Arial"/>
          <w:sz w:val="22"/>
          <w:szCs w:val="22"/>
        </w:rPr>
        <w:t xml:space="preserve">Adachi JD, Saag KG, Delmas PD, Liberman UA, Emkey RD, Seeman E, Lane NE, Kaufman JM, Poubelle PE, Hawkins F, Correa-Rotter R, Menkes CJ, Rodriguez-Portales JA, Schnitzer TJ, Block JA, Wing J, McIlwain HH, </w:t>
      </w:r>
      <w:proofErr w:type="spellStart"/>
      <w:r w:rsidRPr="00A6203D">
        <w:rPr>
          <w:rFonts w:ascii="Arial" w:hAnsi="Arial" w:cs="Arial"/>
          <w:sz w:val="22"/>
          <w:szCs w:val="22"/>
        </w:rPr>
        <w:t>Westhovens</w:t>
      </w:r>
      <w:proofErr w:type="spellEnd"/>
      <w:r w:rsidRPr="00A6203D">
        <w:rPr>
          <w:rFonts w:ascii="Arial" w:hAnsi="Arial" w:cs="Arial"/>
          <w:sz w:val="22"/>
          <w:szCs w:val="22"/>
        </w:rPr>
        <w:t xml:space="preserve"> R, Brown J, Melo-Gomes JA, Gruber BL, Yanover MJ, Leite MO, </w:t>
      </w:r>
      <w:proofErr w:type="spellStart"/>
      <w:r w:rsidRPr="00A6203D">
        <w:rPr>
          <w:rFonts w:ascii="Arial" w:hAnsi="Arial" w:cs="Arial"/>
          <w:sz w:val="22"/>
          <w:szCs w:val="22"/>
        </w:rPr>
        <w:t>Siminoski</w:t>
      </w:r>
      <w:proofErr w:type="spellEnd"/>
      <w:r w:rsidRPr="00A6203D">
        <w:rPr>
          <w:rFonts w:ascii="Arial" w:hAnsi="Arial" w:cs="Arial"/>
          <w:sz w:val="22"/>
          <w:szCs w:val="22"/>
        </w:rPr>
        <w:t xml:space="preserve"> KG, Nevitt MC, Sharp JT, Malice MP, Dumortier T, </w:t>
      </w:r>
      <w:proofErr w:type="spellStart"/>
      <w:r w:rsidRPr="00A6203D">
        <w:rPr>
          <w:rFonts w:ascii="Arial" w:hAnsi="Arial" w:cs="Arial"/>
          <w:sz w:val="22"/>
          <w:szCs w:val="22"/>
        </w:rPr>
        <w:t>Czachur</w:t>
      </w:r>
      <w:proofErr w:type="spellEnd"/>
      <w:r w:rsidRPr="00A6203D">
        <w:rPr>
          <w:rFonts w:ascii="Arial" w:hAnsi="Arial" w:cs="Arial"/>
          <w:sz w:val="22"/>
          <w:szCs w:val="22"/>
        </w:rPr>
        <w:t xml:space="preserve"> M, Carofano W, </w:t>
      </w:r>
      <w:proofErr w:type="spellStart"/>
      <w:r w:rsidRPr="00A6203D">
        <w:rPr>
          <w:rFonts w:ascii="Arial" w:hAnsi="Arial" w:cs="Arial"/>
          <w:sz w:val="22"/>
          <w:szCs w:val="22"/>
        </w:rPr>
        <w:t>Daifotis</w:t>
      </w:r>
      <w:proofErr w:type="spellEnd"/>
      <w:r w:rsidRPr="00A6203D">
        <w:rPr>
          <w:rFonts w:ascii="Arial" w:hAnsi="Arial" w:cs="Arial"/>
          <w:sz w:val="22"/>
          <w:szCs w:val="22"/>
        </w:rPr>
        <w:t xml:space="preserve"> A. Two-year effects of alendronate on bone mineral density and vertebral fracture in patients receiving glucocorticoids: a randomized, double-blind, placebo-controlled extension trial. Arthritis Rheum. </w:t>
      </w:r>
      <w:proofErr w:type="gramStart"/>
      <w:r w:rsidRPr="00A6203D">
        <w:rPr>
          <w:rFonts w:ascii="Arial" w:hAnsi="Arial" w:cs="Arial"/>
          <w:sz w:val="22"/>
          <w:szCs w:val="22"/>
        </w:rPr>
        <w:t>2001;44:202</w:t>
      </w:r>
      <w:proofErr w:type="gramEnd"/>
      <w:r w:rsidRPr="00A6203D">
        <w:rPr>
          <w:rFonts w:ascii="Arial" w:hAnsi="Arial" w:cs="Arial"/>
          <w:sz w:val="22"/>
          <w:szCs w:val="22"/>
        </w:rPr>
        <w:t>–211. </w:t>
      </w:r>
    </w:p>
    <w:p w14:paraId="704E5DE1" w14:textId="72D9B72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93.</w:t>
      </w:r>
      <w:r w:rsidR="00012525" w:rsidRPr="00A6203D">
        <w:rPr>
          <w:rFonts w:ascii="Arial" w:hAnsi="Arial" w:cs="Arial"/>
          <w:sz w:val="22"/>
          <w:szCs w:val="22"/>
        </w:rPr>
        <w:t xml:space="preserve">    </w:t>
      </w:r>
      <w:r w:rsidRPr="00A6203D">
        <w:rPr>
          <w:rFonts w:ascii="Arial" w:hAnsi="Arial" w:cs="Arial"/>
          <w:sz w:val="22"/>
          <w:szCs w:val="22"/>
        </w:rPr>
        <w:t xml:space="preserve">Tonino RP, Meunier PJ, Emkey R, Rodriguez-Portales JA, Menkes CJ, </w:t>
      </w:r>
      <w:proofErr w:type="spellStart"/>
      <w:r w:rsidRPr="00A6203D">
        <w:rPr>
          <w:rFonts w:ascii="Arial" w:hAnsi="Arial" w:cs="Arial"/>
          <w:sz w:val="22"/>
          <w:szCs w:val="22"/>
        </w:rPr>
        <w:t>Wasnich</w:t>
      </w:r>
      <w:proofErr w:type="spellEnd"/>
      <w:r w:rsidRPr="00A6203D">
        <w:rPr>
          <w:rFonts w:ascii="Arial" w:hAnsi="Arial" w:cs="Arial"/>
          <w:sz w:val="22"/>
          <w:szCs w:val="22"/>
        </w:rPr>
        <w:t xml:space="preserve"> RD, Bone HG, Santora AC, Wu M, Desai R, Ross PD. Skeletal benefits of alendronate: 7-year treatment of postmenopausal osteoporotic women. Phase III Osteoporosis Treatment Study Group.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2000;85:3109</w:t>
      </w:r>
      <w:proofErr w:type="gramEnd"/>
      <w:r w:rsidRPr="00A6203D">
        <w:rPr>
          <w:rFonts w:ascii="Arial" w:hAnsi="Arial" w:cs="Arial"/>
          <w:sz w:val="22"/>
          <w:szCs w:val="22"/>
        </w:rPr>
        <w:t>–3115. </w:t>
      </w:r>
    </w:p>
    <w:p w14:paraId="537B26C8" w14:textId="62FA7F4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94.</w:t>
      </w:r>
      <w:r w:rsidR="00012525" w:rsidRPr="00A6203D">
        <w:rPr>
          <w:rFonts w:ascii="Arial" w:hAnsi="Arial" w:cs="Arial"/>
          <w:sz w:val="22"/>
          <w:szCs w:val="22"/>
        </w:rPr>
        <w:t xml:space="preserve">    </w:t>
      </w:r>
      <w:r w:rsidRPr="00A6203D">
        <w:rPr>
          <w:rFonts w:ascii="Arial" w:hAnsi="Arial" w:cs="Arial"/>
          <w:sz w:val="22"/>
          <w:szCs w:val="22"/>
        </w:rPr>
        <w:t xml:space="preserve">Bone HG, Hosking D, </w:t>
      </w:r>
      <w:proofErr w:type="spellStart"/>
      <w:r w:rsidRPr="00A6203D">
        <w:rPr>
          <w:rFonts w:ascii="Arial" w:hAnsi="Arial" w:cs="Arial"/>
          <w:sz w:val="22"/>
          <w:szCs w:val="22"/>
        </w:rPr>
        <w:t>Devogelaer</w:t>
      </w:r>
      <w:proofErr w:type="spellEnd"/>
      <w:r w:rsidRPr="00A6203D">
        <w:rPr>
          <w:rFonts w:ascii="Arial" w:hAnsi="Arial" w:cs="Arial"/>
          <w:sz w:val="22"/>
          <w:szCs w:val="22"/>
        </w:rPr>
        <w:t xml:space="preserve"> JP, Tucci JR, Emkey RD, Tonino RP, Rodriguez-Portales JA, Downs RW, Gupta J, Santora AC, Liberman UA. Ten years' experience with alendronate for osteoporosis in postmenopausal women. N Engl J Med. </w:t>
      </w:r>
      <w:proofErr w:type="gramStart"/>
      <w:r w:rsidRPr="00A6203D">
        <w:rPr>
          <w:rFonts w:ascii="Arial" w:hAnsi="Arial" w:cs="Arial"/>
          <w:sz w:val="22"/>
          <w:szCs w:val="22"/>
        </w:rPr>
        <w:t>2004;350:1189</w:t>
      </w:r>
      <w:proofErr w:type="gramEnd"/>
      <w:r w:rsidRPr="00A6203D">
        <w:rPr>
          <w:rFonts w:ascii="Arial" w:hAnsi="Arial" w:cs="Arial"/>
          <w:sz w:val="22"/>
          <w:szCs w:val="22"/>
        </w:rPr>
        <w:t>–1199. </w:t>
      </w:r>
    </w:p>
    <w:p w14:paraId="246B2764" w14:textId="13ADF6F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95.</w:t>
      </w:r>
      <w:r w:rsidR="00012525" w:rsidRPr="00A6203D">
        <w:rPr>
          <w:rFonts w:ascii="Arial" w:hAnsi="Arial" w:cs="Arial"/>
          <w:sz w:val="22"/>
          <w:szCs w:val="22"/>
        </w:rPr>
        <w:t xml:space="preserve">    </w:t>
      </w:r>
      <w:r w:rsidRPr="00A6203D">
        <w:rPr>
          <w:rFonts w:ascii="Arial" w:hAnsi="Arial" w:cs="Arial"/>
          <w:sz w:val="22"/>
          <w:szCs w:val="22"/>
        </w:rPr>
        <w:t xml:space="preserve">Black DM, Schwartz AV, Ensrud KE, Cauley JA, Levis S, Quandt SA, Satterfield S, Wallace RB, Bauer DC, Palermo L, </w:t>
      </w:r>
      <w:proofErr w:type="spellStart"/>
      <w:r w:rsidRPr="00A6203D">
        <w:rPr>
          <w:rFonts w:ascii="Arial" w:hAnsi="Arial" w:cs="Arial"/>
          <w:sz w:val="22"/>
          <w:szCs w:val="22"/>
        </w:rPr>
        <w:t>Wehren</w:t>
      </w:r>
      <w:proofErr w:type="spellEnd"/>
      <w:r w:rsidRPr="00A6203D">
        <w:rPr>
          <w:rFonts w:ascii="Arial" w:hAnsi="Arial" w:cs="Arial"/>
          <w:sz w:val="22"/>
          <w:szCs w:val="22"/>
        </w:rPr>
        <w:t xml:space="preserve"> LE, Lombardi A, Santora AC, Cummings SR, Group FR. Effects of continuing or stopping alendronate after 5 years of treatment: the Fracture Intervention Trial Long-term Extension (FLEX): a randomized trial. JAMA. </w:t>
      </w:r>
      <w:proofErr w:type="gramStart"/>
      <w:r w:rsidRPr="00A6203D">
        <w:rPr>
          <w:rFonts w:ascii="Arial" w:hAnsi="Arial" w:cs="Arial"/>
          <w:sz w:val="22"/>
          <w:szCs w:val="22"/>
        </w:rPr>
        <w:t>2006;296:2927</w:t>
      </w:r>
      <w:proofErr w:type="gramEnd"/>
      <w:r w:rsidRPr="00A6203D">
        <w:rPr>
          <w:rFonts w:ascii="Arial" w:hAnsi="Arial" w:cs="Arial"/>
          <w:sz w:val="22"/>
          <w:szCs w:val="22"/>
        </w:rPr>
        <w:t>–2938. </w:t>
      </w:r>
    </w:p>
    <w:p w14:paraId="5EAAB0CA" w14:textId="73183C7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96.</w:t>
      </w:r>
      <w:r w:rsidR="00012525" w:rsidRPr="00A6203D">
        <w:rPr>
          <w:rFonts w:ascii="Arial" w:hAnsi="Arial" w:cs="Arial"/>
          <w:sz w:val="22"/>
          <w:szCs w:val="22"/>
        </w:rPr>
        <w:t xml:space="preserve">    </w:t>
      </w:r>
      <w:r w:rsidRPr="00A6203D">
        <w:rPr>
          <w:rFonts w:ascii="Arial" w:hAnsi="Arial" w:cs="Arial"/>
          <w:sz w:val="22"/>
          <w:szCs w:val="22"/>
        </w:rPr>
        <w:t>Schwartz AV, Bauer DC, Cummings SR, Cauley JA, Ensrud KE, Palermo L, Wallace RB, Hochberg MC, Feldstein AC, Lombardi A, Black DM. Efficacy of continued alendronate for fractures in women with and without prevalent vertebral fracture: the FLEX trial. Journal of bone and mineral research: the official journal of the American Society for Bone and Mineral Research 2010; 25:976-982.</w:t>
      </w:r>
    </w:p>
    <w:p w14:paraId="09DD5D68" w14:textId="0A93BC0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97.</w:t>
      </w:r>
      <w:r w:rsidR="00012525" w:rsidRPr="00A6203D">
        <w:rPr>
          <w:rFonts w:ascii="Arial" w:hAnsi="Arial" w:cs="Arial"/>
          <w:sz w:val="22"/>
          <w:szCs w:val="22"/>
        </w:rPr>
        <w:t xml:space="preserve">    </w:t>
      </w:r>
      <w:r w:rsidRPr="00A6203D">
        <w:rPr>
          <w:rFonts w:ascii="Arial" w:hAnsi="Arial" w:cs="Arial"/>
          <w:sz w:val="22"/>
          <w:szCs w:val="22"/>
        </w:rPr>
        <w:t xml:space="preserve">Briot K, </w:t>
      </w:r>
      <w:proofErr w:type="spellStart"/>
      <w:r w:rsidRPr="00A6203D">
        <w:rPr>
          <w:rFonts w:ascii="Arial" w:hAnsi="Arial" w:cs="Arial"/>
          <w:sz w:val="22"/>
          <w:szCs w:val="22"/>
        </w:rPr>
        <w:t>Tremollieres</w:t>
      </w:r>
      <w:proofErr w:type="spellEnd"/>
      <w:r w:rsidRPr="00A6203D">
        <w:rPr>
          <w:rFonts w:ascii="Arial" w:hAnsi="Arial" w:cs="Arial"/>
          <w:sz w:val="22"/>
          <w:szCs w:val="22"/>
        </w:rPr>
        <w:t xml:space="preserve"> F, Thomas T, Roux C. How long should patients take medications for postmenopausal osteoporosis? Joint Bone Spine. </w:t>
      </w:r>
      <w:proofErr w:type="gramStart"/>
      <w:r w:rsidRPr="00A6203D">
        <w:rPr>
          <w:rFonts w:ascii="Arial" w:hAnsi="Arial" w:cs="Arial"/>
          <w:sz w:val="22"/>
          <w:szCs w:val="22"/>
        </w:rPr>
        <w:t>2007;74:24</w:t>
      </w:r>
      <w:proofErr w:type="gramEnd"/>
      <w:r w:rsidRPr="00A6203D">
        <w:rPr>
          <w:rFonts w:ascii="Arial" w:hAnsi="Arial" w:cs="Arial"/>
          <w:sz w:val="22"/>
          <w:szCs w:val="22"/>
        </w:rPr>
        <w:t>–31. </w:t>
      </w:r>
    </w:p>
    <w:p w14:paraId="36FD9BE6" w14:textId="59EAEC3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98.</w:t>
      </w:r>
      <w:r w:rsidR="00012525" w:rsidRPr="00A6203D">
        <w:rPr>
          <w:rFonts w:ascii="Arial" w:hAnsi="Arial" w:cs="Arial"/>
          <w:sz w:val="22"/>
          <w:szCs w:val="22"/>
        </w:rPr>
        <w:t xml:space="preserve">    </w:t>
      </w:r>
      <w:r w:rsidRPr="00A6203D">
        <w:rPr>
          <w:rFonts w:ascii="Arial" w:hAnsi="Arial" w:cs="Arial"/>
          <w:sz w:val="22"/>
          <w:szCs w:val="22"/>
        </w:rPr>
        <w:t xml:space="preserve">Harris ST, Watts NB,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McKeever CD, Hangartner T, Keller M, </w:t>
      </w:r>
      <w:proofErr w:type="spellStart"/>
      <w:r w:rsidRPr="00A6203D">
        <w:rPr>
          <w:rFonts w:ascii="Arial" w:hAnsi="Arial" w:cs="Arial"/>
          <w:sz w:val="22"/>
          <w:szCs w:val="22"/>
        </w:rPr>
        <w:t>Chesnut</w:t>
      </w:r>
      <w:proofErr w:type="spellEnd"/>
      <w:r w:rsidRPr="00A6203D">
        <w:rPr>
          <w:rFonts w:ascii="Arial" w:hAnsi="Arial" w:cs="Arial"/>
          <w:sz w:val="22"/>
          <w:szCs w:val="22"/>
        </w:rPr>
        <w:t xml:space="preserve"> CH 3rd, Brown J, Eriksen EF, </w:t>
      </w:r>
      <w:proofErr w:type="spellStart"/>
      <w:r w:rsidRPr="00A6203D">
        <w:rPr>
          <w:rFonts w:ascii="Arial" w:hAnsi="Arial" w:cs="Arial"/>
          <w:sz w:val="22"/>
          <w:szCs w:val="22"/>
        </w:rPr>
        <w:t>Hoseyni</w:t>
      </w:r>
      <w:proofErr w:type="spellEnd"/>
      <w:r w:rsidRPr="00A6203D">
        <w:rPr>
          <w:rFonts w:ascii="Arial" w:hAnsi="Arial" w:cs="Arial"/>
          <w:sz w:val="22"/>
          <w:szCs w:val="22"/>
        </w:rPr>
        <w:t xml:space="preserve"> MS, Axelrod DW, Miller PD. Effects of risedronate </w:t>
      </w:r>
      <w:r w:rsidRPr="00A6203D">
        <w:rPr>
          <w:rFonts w:ascii="Arial" w:hAnsi="Arial" w:cs="Arial"/>
          <w:sz w:val="22"/>
          <w:szCs w:val="22"/>
        </w:rPr>
        <w:lastRenderedPageBreak/>
        <w:t xml:space="preserve">treatment on vertebral and nonvertebral fractures in women with postmenopausal osteoporosis: a randomized controlled trial. Vertebral Efficacy </w:t>
      </w:r>
      <w:proofErr w:type="gramStart"/>
      <w:r w:rsidRPr="00A6203D">
        <w:rPr>
          <w:rFonts w:ascii="Arial" w:hAnsi="Arial" w:cs="Arial"/>
          <w:sz w:val="22"/>
          <w:szCs w:val="22"/>
        </w:rPr>
        <w:t>With</w:t>
      </w:r>
      <w:proofErr w:type="gramEnd"/>
      <w:r w:rsidRPr="00A6203D">
        <w:rPr>
          <w:rFonts w:ascii="Arial" w:hAnsi="Arial" w:cs="Arial"/>
          <w:sz w:val="22"/>
          <w:szCs w:val="22"/>
        </w:rPr>
        <w:t xml:space="preserve"> Risedronate Therapy (VERT) Study Group. Jama. </w:t>
      </w:r>
      <w:proofErr w:type="gramStart"/>
      <w:r w:rsidRPr="00A6203D">
        <w:rPr>
          <w:rFonts w:ascii="Arial" w:hAnsi="Arial" w:cs="Arial"/>
          <w:sz w:val="22"/>
          <w:szCs w:val="22"/>
        </w:rPr>
        <w:t>1999;282:1344</w:t>
      </w:r>
      <w:proofErr w:type="gramEnd"/>
      <w:r w:rsidRPr="00A6203D">
        <w:rPr>
          <w:rFonts w:ascii="Arial" w:hAnsi="Arial" w:cs="Arial"/>
          <w:sz w:val="22"/>
          <w:szCs w:val="22"/>
        </w:rPr>
        <w:t>–1352. </w:t>
      </w:r>
    </w:p>
    <w:p w14:paraId="0E253CC6" w14:textId="38EBA11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99.</w:t>
      </w:r>
      <w:r w:rsidR="00012525" w:rsidRPr="00A6203D">
        <w:rPr>
          <w:rFonts w:ascii="Arial" w:hAnsi="Arial" w:cs="Arial"/>
          <w:sz w:val="22"/>
          <w:szCs w:val="22"/>
        </w:rPr>
        <w:t xml:space="preserve">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 Minne HW, Sorensen OH, Hooper M, Roux C, Brandi ML, Lund B, </w:t>
      </w:r>
      <w:proofErr w:type="spellStart"/>
      <w:r w:rsidRPr="00A6203D">
        <w:rPr>
          <w:rFonts w:ascii="Arial" w:hAnsi="Arial" w:cs="Arial"/>
          <w:sz w:val="22"/>
          <w:szCs w:val="22"/>
        </w:rPr>
        <w:t>Ethgen</w:t>
      </w:r>
      <w:proofErr w:type="spellEnd"/>
      <w:r w:rsidRPr="00A6203D">
        <w:rPr>
          <w:rFonts w:ascii="Arial" w:hAnsi="Arial" w:cs="Arial"/>
          <w:sz w:val="22"/>
          <w:szCs w:val="22"/>
        </w:rPr>
        <w:t xml:space="preserve"> D, Pack S, </w:t>
      </w:r>
      <w:proofErr w:type="spellStart"/>
      <w:r w:rsidRPr="00A6203D">
        <w:rPr>
          <w:rFonts w:ascii="Arial" w:hAnsi="Arial" w:cs="Arial"/>
          <w:sz w:val="22"/>
          <w:szCs w:val="22"/>
        </w:rPr>
        <w:t>Roumagnac</w:t>
      </w:r>
      <w:proofErr w:type="spellEnd"/>
      <w:r w:rsidRPr="00A6203D">
        <w:rPr>
          <w:rFonts w:ascii="Arial" w:hAnsi="Arial" w:cs="Arial"/>
          <w:sz w:val="22"/>
          <w:szCs w:val="22"/>
        </w:rPr>
        <w:t xml:space="preserve"> I,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Randomized trial of the effects of risedronate on vertebral fractures in women with established postmenopausal osteoporosis. Vertebral Efficacy with Risedronate Therapy (VERT) Study Group.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2000;11:83</w:t>
      </w:r>
      <w:proofErr w:type="gramEnd"/>
      <w:r w:rsidRPr="00A6203D">
        <w:rPr>
          <w:rFonts w:ascii="Arial" w:hAnsi="Arial" w:cs="Arial"/>
          <w:sz w:val="22"/>
          <w:szCs w:val="22"/>
        </w:rPr>
        <w:t>–91. </w:t>
      </w:r>
    </w:p>
    <w:p w14:paraId="1FF7E865" w14:textId="2CA1BFD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100.</w:t>
      </w:r>
      <w:r w:rsidR="00012525" w:rsidRPr="00A6203D">
        <w:rPr>
          <w:rFonts w:ascii="Arial" w:hAnsi="Arial" w:cs="Arial"/>
          <w:sz w:val="22"/>
          <w:szCs w:val="22"/>
        </w:rPr>
        <w:t xml:space="preserve">   </w:t>
      </w:r>
      <w:r w:rsidRPr="00A6203D">
        <w:rPr>
          <w:rFonts w:ascii="Arial" w:hAnsi="Arial" w:cs="Arial"/>
          <w:sz w:val="22"/>
          <w:szCs w:val="22"/>
        </w:rPr>
        <w:t>Ringe JD, Faber H, Farahmand P, Dorst A. Efficacy of risedronate in men with primary and secondary osteoporosis: results of a 1-year study. </w:t>
      </w:r>
      <w:proofErr w:type="spellStart"/>
      <w:r w:rsidRPr="00A6203D">
        <w:rPr>
          <w:rFonts w:ascii="Arial" w:hAnsi="Arial" w:cs="Arial"/>
          <w:sz w:val="22"/>
          <w:szCs w:val="22"/>
        </w:rPr>
        <w:t>Rheumatol</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2006;26:427</w:t>
      </w:r>
      <w:proofErr w:type="gramEnd"/>
      <w:r w:rsidRPr="00A6203D">
        <w:rPr>
          <w:rFonts w:ascii="Arial" w:hAnsi="Arial" w:cs="Arial"/>
          <w:sz w:val="22"/>
          <w:szCs w:val="22"/>
        </w:rPr>
        <w:t>–431. ]</w:t>
      </w:r>
    </w:p>
    <w:p w14:paraId="5153A197" w14:textId="5E31B2D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101.</w:t>
      </w:r>
      <w:r w:rsidR="00012525" w:rsidRPr="00A6203D">
        <w:rPr>
          <w:rFonts w:ascii="Arial" w:hAnsi="Arial" w:cs="Arial"/>
          <w:sz w:val="22"/>
          <w:szCs w:val="22"/>
        </w:rPr>
        <w:t xml:space="preserve">   </w:t>
      </w:r>
      <w:r w:rsidRPr="00A6203D">
        <w:rPr>
          <w:rFonts w:ascii="Arial" w:hAnsi="Arial" w:cs="Arial"/>
          <w:sz w:val="22"/>
          <w:szCs w:val="22"/>
        </w:rPr>
        <w:t>Cohen S, Levy RM, Keller M, Boling E, Emkey RD, Greenwald M, Zizic TM, Wallach S, Sewell KL, Lukert BP, Axelrod DW, Chines AA. Risedronate therapy prevents corticosteroid-induced bone loss: a twelve-month, multicenter, randomized, double-blind, placebo-controlled, parallel-group study. Arthritis Rheum. </w:t>
      </w:r>
      <w:proofErr w:type="gramStart"/>
      <w:r w:rsidRPr="00A6203D">
        <w:rPr>
          <w:rFonts w:ascii="Arial" w:hAnsi="Arial" w:cs="Arial"/>
          <w:sz w:val="22"/>
          <w:szCs w:val="22"/>
        </w:rPr>
        <w:t>1999;42:2309</w:t>
      </w:r>
      <w:proofErr w:type="gramEnd"/>
      <w:r w:rsidRPr="00A6203D">
        <w:rPr>
          <w:rFonts w:ascii="Arial" w:hAnsi="Arial" w:cs="Arial"/>
          <w:sz w:val="22"/>
          <w:szCs w:val="22"/>
        </w:rPr>
        <w:t>–2318. </w:t>
      </w:r>
    </w:p>
    <w:p w14:paraId="72BB98B0" w14:textId="164D3DE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102.</w:t>
      </w:r>
      <w:r w:rsidR="00012525" w:rsidRPr="00A6203D">
        <w:rPr>
          <w:rFonts w:ascii="Arial" w:hAnsi="Arial" w:cs="Arial"/>
          <w:sz w:val="22"/>
          <w:szCs w:val="22"/>
        </w:rPr>
        <w:t xml:space="preserve">  </w:t>
      </w:r>
      <w:r w:rsidRPr="00A6203D">
        <w:rPr>
          <w:rFonts w:ascii="Arial" w:hAnsi="Arial" w:cs="Arial"/>
          <w:sz w:val="22"/>
          <w:szCs w:val="22"/>
        </w:rPr>
        <w:t xml:space="preserve">Brown JP, Kendler DL, McClung MR, Emkey RD, Adachi JD, Bolognese MA, Li Z, </w:t>
      </w:r>
      <w:proofErr w:type="spellStart"/>
      <w:r w:rsidRPr="00A6203D">
        <w:rPr>
          <w:rFonts w:ascii="Arial" w:hAnsi="Arial" w:cs="Arial"/>
          <w:sz w:val="22"/>
          <w:szCs w:val="22"/>
        </w:rPr>
        <w:t>Balske</w:t>
      </w:r>
      <w:proofErr w:type="spellEnd"/>
      <w:r w:rsidRPr="00A6203D">
        <w:rPr>
          <w:rFonts w:ascii="Arial" w:hAnsi="Arial" w:cs="Arial"/>
          <w:sz w:val="22"/>
          <w:szCs w:val="22"/>
        </w:rPr>
        <w:t xml:space="preserve"> A, Lindsay R. The efficacy and tolerability of risedronate once a week for the treatment of postmenopausal osteoporosis. </w:t>
      </w:r>
      <w:proofErr w:type="spellStart"/>
      <w:r w:rsidRPr="00A6203D">
        <w:rPr>
          <w:rFonts w:ascii="Arial" w:hAnsi="Arial" w:cs="Arial"/>
          <w:sz w:val="22"/>
          <w:szCs w:val="22"/>
        </w:rPr>
        <w:t>Calcif</w:t>
      </w:r>
      <w:proofErr w:type="spellEnd"/>
      <w:r w:rsidRPr="00A6203D">
        <w:rPr>
          <w:rFonts w:ascii="Arial" w:hAnsi="Arial" w:cs="Arial"/>
          <w:sz w:val="22"/>
          <w:szCs w:val="22"/>
        </w:rPr>
        <w:t xml:space="preserve"> Tissue Int. </w:t>
      </w:r>
      <w:proofErr w:type="gramStart"/>
      <w:r w:rsidRPr="00A6203D">
        <w:rPr>
          <w:rFonts w:ascii="Arial" w:hAnsi="Arial" w:cs="Arial"/>
          <w:sz w:val="22"/>
          <w:szCs w:val="22"/>
        </w:rPr>
        <w:t>2002;71:103</w:t>
      </w:r>
      <w:proofErr w:type="gramEnd"/>
      <w:r w:rsidRPr="00A6203D">
        <w:rPr>
          <w:rFonts w:ascii="Arial" w:hAnsi="Arial" w:cs="Arial"/>
          <w:sz w:val="22"/>
          <w:szCs w:val="22"/>
        </w:rPr>
        <w:t>–111. </w:t>
      </w:r>
    </w:p>
    <w:p w14:paraId="49FAB33D" w14:textId="58B7FD7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103.</w:t>
      </w:r>
      <w:r w:rsidR="00012525" w:rsidRPr="00A6203D">
        <w:rPr>
          <w:rFonts w:ascii="Arial" w:hAnsi="Arial" w:cs="Arial"/>
          <w:sz w:val="22"/>
          <w:szCs w:val="22"/>
        </w:rPr>
        <w:t xml:space="preserve">   </w:t>
      </w:r>
      <w:r w:rsidRPr="00A6203D">
        <w:rPr>
          <w:rFonts w:ascii="Arial" w:hAnsi="Arial" w:cs="Arial"/>
          <w:sz w:val="22"/>
          <w:szCs w:val="22"/>
        </w:rPr>
        <w:t>Gordon MS, Gordon MB. Response of bone mineral density to once-weekly administration of risedronate. </w:t>
      </w:r>
      <w:proofErr w:type="spellStart"/>
      <w:r w:rsidRPr="00A6203D">
        <w:rPr>
          <w:rFonts w:ascii="Arial" w:hAnsi="Arial" w:cs="Arial"/>
          <w:sz w:val="22"/>
          <w:szCs w:val="22"/>
        </w:rPr>
        <w:t>Endocr</w:t>
      </w:r>
      <w:proofErr w:type="spellEnd"/>
      <w:r w:rsidRPr="00A6203D">
        <w:rPr>
          <w:rFonts w:ascii="Arial" w:hAnsi="Arial" w:cs="Arial"/>
          <w:sz w:val="22"/>
          <w:szCs w:val="22"/>
        </w:rPr>
        <w:t xml:space="preserve"> </w:t>
      </w:r>
      <w:proofErr w:type="spellStart"/>
      <w:r w:rsidRPr="00A6203D">
        <w:rPr>
          <w:rFonts w:ascii="Arial" w:hAnsi="Arial" w:cs="Arial"/>
          <w:sz w:val="22"/>
          <w:szCs w:val="22"/>
        </w:rPr>
        <w:t>Pract</w:t>
      </w:r>
      <w:proofErr w:type="spellEnd"/>
      <w:r w:rsidRPr="00A6203D">
        <w:rPr>
          <w:rFonts w:ascii="Arial" w:hAnsi="Arial" w:cs="Arial"/>
          <w:sz w:val="22"/>
          <w:szCs w:val="22"/>
        </w:rPr>
        <w:t>. </w:t>
      </w:r>
      <w:proofErr w:type="gramStart"/>
      <w:r w:rsidRPr="00A6203D">
        <w:rPr>
          <w:rFonts w:ascii="Arial" w:hAnsi="Arial" w:cs="Arial"/>
          <w:sz w:val="22"/>
          <w:szCs w:val="22"/>
        </w:rPr>
        <w:t>2002;8:202</w:t>
      </w:r>
      <w:proofErr w:type="gramEnd"/>
      <w:r w:rsidRPr="00A6203D">
        <w:rPr>
          <w:rFonts w:ascii="Arial" w:hAnsi="Arial" w:cs="Arial"/>
          <w:sz w:val="22"/>
          <w:szCs w:val="22"/>
        </w:rPr>
        <w:t>–207. </w:t>
      </w:r>
    </w:p>
    <w:p w14:paraId="71D21F1B" w14:textId="551964F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104.</w:t>
      </w:r>
      <w:r w:rsidR="0031457D" w:rsidRPr="00A6203D">
        <w:rPr>
          <w:rFonts w:ascii="Arial" w:hAnsi="Arial" w:cs="Arial"/>
          <w:sz w:val="22"/>
          <w:szCs w:val="22"/>
        </w:rPr>
        <w:t xml:space="preserve">   </w:t>
      </w:r>
      <w:r w:rsidRPr="00A6203D">
        <w:rPr>
          <w:rFonts w:ascii="Arial" w:hAnsi="Arial" w:cs="Arial"/>
          <w:sz w:val="22"/>
          <w:szCs w:val="22"/>
        </w:rPr>
        <w:t xml:space="preserve">Delaney MF, Hurwitz S, Shaw J,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Bone density changes with once weekly risedronate in postmenopausal women. J Clin </w:t>
      </w:r>
      <w:proofErr w:type="spellStart"/>
      <w:r w:rsidRPr="00A6203D">
        <w:rPr>
          <w:rFonts w:ascii="Arial" w:hAnsi="Arial" w:cs="Arial"/>
          <w:sz w:val="22"/>
          <w:szCs w:val="22"/>
        </w:rPr>
        <w:t>Densitom</w:t>
      </w:r>
      <w:proofErr w:type="spellEnd"/>
      <w:r w:rsidRPr="00A6203D">
        <w:rPr>
          <w:rFonts w:ascii="Arial" w:hAnsi="Arial" w:cs="Arial"/>
          <w:sz w:val="22"/>
          <w:szCs w:val="22"/>
        </w:rPr>
        <w:t>. </w:t>
      </w:r>
      <w:proofErr w:type="gramStart"/>
      <w:r w:rsidRPr="00A6203D">
        <w:rPr>
          <w:rFonts w:ascii="Arial" w:hAnsi="Arial" w:cs="Arial"/>
          <w:sz w:val="22"/>
          <w:szCs w:val="22"/>
        </w:rPr>
        <w:t>2003;6:45</w:t>
      </w:r>
      <w:proofErr w:type="gramEnd"/>
      <w:r w:rsidRPr="00A6203D">
        <w:rPr>
          <w:rFonts w:ascii="Arial" w:hAnsi="Arial" w:cs="Arial"/>
          <w:sz w:val="22"/>
          <w:szCs w:val="22"/>
        </w:rPr>
        <w:t>–50. </w:t>
      </w:r>
    </w:p>
    <w:p w14:paraId="14B67C5D" w14:textId="030D3A2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105.</w:t>
      </w:r>
      <w:r w:rsidR="0031457D" w:rsidRPr="00A6203D">
        <w:rPr>
          <w:rFonts w:ascii="Arial" w:hAnsi="Arial" w:cs="Arial"/>
          <w:sz w:val="22"/>
          <w:szCs w:val="22"/>
        </w:rPr>
        <w:t xml:space="preserve">   </w:t>
      </w:r>
      <w:r w:rsidRPr="00A6203D">
        <w:rPr>
          <w:rFonts w:ascii="Arial" w:hAnsi="Arial" w:cs="Arial"/>
          <w:sz w:val="22"/>
          <w:szCs w:val="22"/>
        </w:rPr>
        <w:t xml:space="preserve">Delmas PD, Benhamou CL, Man Z, </w:t>
      </w:r>
      <w:proofErr w:type="spellStart"/>
      <w:r w:rsidRPr="00A6203D">
        <w:rPr>
          <w:rFonts w:ascii="Arial" w:hAnsi="Arial" w:cs="Arial"/>
          <w:sz w:val="22"/>
          <w:szCs w:val="22"/>
        </w:rPr>
        <w:t>Tlustochowicz</w:t>
      </w:r>
      <w:proofErr w:type="spellEnd"/>
      <w:r w:rsidRPr="00A6203D">
        <w:rPr>
          <w:rFonts w:ascii="Arial" w:hAnsi="Arial" w:cs="Arial"/>
          <w:sz w:val="22"/>
          <w:szCs w:val="22"/>
        </w:rPr>
        <w:t xml:space="preserve"> W, Matzkin E, Eusebio R, Zanchetta J, </w:t>
      </w:r>
      <w:proofErr w:type="spellStart"/>
      <w:r w:rsidRPr="00A6203D">
        <w:rPr>
          <w:rFonts w:ascii="Arial" w:hAnsi="Arial" w:cs="Arial"/>
          <w:sz w:val="22"/>
          <w:szCs w:val="22"/>
        </w:rPr>
        <w:t>Olszynski</w:t>
      </w:r>
      <w:proofErr w:type="spellEnd"/>
      <w:r w:rsidRPr="00A6203D">
        <w:rPr>
          <w:rFonts w:ascii="Arial" w:hAnsi="Arial" w:cs="Arial"/>
          <w:sz w:val="22"/>
          <w:szCs w:val="22"/>
        </w:rPr>
        <w:t xml:space="preserve"> WP, Recker RR, McClung MR. Monthly dosing of 75 mg risedronate on 2 consecutive days a month: efficacy and safety results.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2008;19:1039</w:t>
      </w:r>
      <w:proofErr w:type="gramEnd"/>
      <w:r w:rsidRPr="00A6203D">
        <w:rPr>
          <w:rFonts w:ascii="Arial" w:hAnsi="Arial" w:cs="Arial"/>
          <w:sz w:val="22"/>
          <w:szCs w:val="22"/>
        </w:rPr>
        <w:t>–1045. </w:t>
      </w:r>
    </w:p>
    <w:p w14:paraId="6B057546" w14:textId="40F427B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106.</w:t>
      </w:r>
      <w:r w:rsidR="0031457D" w:rsidRPr="00A6203D">
        <w:rPr>
          <w:rFonts w:ascii="Arial" w:hAnsi="Arial" w:cs="Arial"/>
          <w:sz w:val="22"/>
          <w:szCs w:val="22"/>
        </w:rPr>
        <w:t xml:space="preserve">   </w:t>
      </w:r>
      <w:r w:rsidRPr="00A6203D">
        <w:rPr>
          <w:rFonts w:ascii="Arial" w:hAnsi="Arial" w:cs="Arial"/>
          <w:sz w:val="22"/>
          <w:szCs w:val="22"/>
        </w:rPr>
        <w:t xml:space="preserve">Delmas PD, McClung MR, Zanchetta JR, </w:t>
      </w:r>
      <w:proofErr w:type="spellStart"/>
      <w:r w:rsidRPr="00A6203D">
        <w:rPr>
          <w:rFonts w:ascii="Arial" w:hAnsi="Arial" w:cs="Arial"/>
          <w:sz w:val="22"/>
          <w:szCs w:val="22"/>
        </w:rPr>
        <w:t>Racewicz</w:t>
      </w:r>
      <w:proofErr w:type="spellEnd"/>
      <w:r w:rsidRPr="00A6203D">
        <w:rPr>
          <w:rFonts w:ascii="Arial" w:hAnsi="Arial" w:cs="Arial"/>
          <w:sz w:val="22"/>
          <w:szCs w:val="22"/>
        </w:rPr>
        <w:t xml:space="preserve"> A, Roux C, Benhamou CL, Man Z, Eusebio RA, Beary JF, Burgio DE, Matzkin E, Boonen S. Efficacy and safety of risedronate 150 mg once a month in the treatment of postmenopausal osteoporosis. Bone. </w:t>
      </w:r>
      <w:proofErr w:type="gramStart"/>
      <w:r w:rsidRPr="00A6203D">
        <w:rPr>
          <w:rFonts w:ascii="Arial" w:hAnsi="Arial" w:cs="Arial"/>
          <w:sz w:val="22"/>
          <w:szCs w:val="22"/>
        </w:rPr>
        <w:t>2008;42:36</w:t>
      </w:r>
      <w:proofErr w:type="gramEnd"/>
      <w:r w:rsidRPr="00A6203D">
        <w:rPr>
          <w:rFonts w:ascii="Arial" w:hAnsi="Arial" w:cs="Arial"/>
          <w:sz w:val="22"/>
          <w:szCs w:val="22"/>
        </w:rPr>
        <w:t>–42. </w:t>
      </w:r>
    </w:p>
    <w:p w14:paraId="46A95842" w14:textId="09EEF69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107.</w:t>
      </w:r>
      <w:r w:rsidR="0031457D" w:rsidRPr="00A6203D">
        <w:rPr>
          <w:rFonts w:ascii="Arial" w:hAnsi="Arial" w:cs="Arial"/>
          <w:sz w:val="22"/>
          <w:szCs w:val="22"/>
        </w:rPr>
        <w:t xml:space="preserve">   </w:t>
      </w:r>
      <w:r w:rsidRPr="00A6203D">
        <w:rPr>
          <w:rFonts w:ascii="Arial" w:hAnsi="Arial" w:cs="Arial"/>
          <w:sz w:val="22"/>
          <w:szCs w:val="22"/>
        </w:rPr>
        <w:t>Cheer SM, Noble S. Zoledronic acid. Drugs. </w:t>
      </w:r>
      <w:proofErr w:type="gramStart"/>
      <w:r w:rsidRPr="00A6203D">
        <w:rPr>
          <w:rFonts w:ascii="Arial" w:hAnsi="Arial" w:cs="Arial"/>
          <w:sz w:val="22"/>
          <w:szCs w:val="22"/>
        </w:rPr>
        <w:t>2001;61:799</w:t>
      </w:r>
      <w:proofErr w:type="gramEnd"/>
      <w:r w:rsidRPr="00A6203D">
        <w:rPr>
          <w:rFonts w:ascii="Arial" w:hAnsi="Arial" w:cs="Arial"/>
          <w:sz w:val="22"/>
          <w:szCs w:val="22"/>
        </w:rPr>
        <w:t>–805. </w:t>
      </w:r>
    </w:p>
    <w:p w14:paraId="7D846C69" w14:textId="7C8F46C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108.</w:t>
      </w:r>
      <w:r w:rsidR="0031457D" w:rsidRPr="00A6203D">
        <w:rPr>
          <w:rFonts w:ascii="Arial" w:hAnsi="Arial" w:cs="Arial"/>
          <w:sz w:val="22"/>
          <w:szCs w:val="22"/>
        </w:rPr>
        <w:t xml:space="preserve">   </w:t>
      </w:r>
      <w:r w:rsidRPr="00A6203D">
        <w:rPr>
          <w:rFonts w:ascii="Arial" w:hAnsi="Arial" w:cs="Arial"/>
          <w:sz w:val="22"/>
          <w:szCs w:val="22"/>
        </w:rPr>
        <w:t xml:space="preserve">Black DM, Delmas PD,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Reid IR, Boonen S, Cauley JA, Cosman F, Lakatos P, Leung PC, Man Z, </w:t>
      </w:r>
      <w:proofErr w:type="spellStart"/>
      <w:r w:rsidRPr="00A6203D">
        <w:rPr>
          <w:rFonts w:ascii="Arial" w:hAnsi="Arial" w:cs="Arial"/>
          <w:sz w:val="22"/>
          <w:szCs w:val="22"/>
        </w:rPr>
        <w:t>Mautalen</w:t>
      </w:r>
      <w:proofErr w:type="spellEnd"/>
      <w:r w:rsidRPr="00A6203D">
        <w:rPr>
          <w:rFonts w:ascii="Arial" w:hAnsi="Arial" w:cs="Arial"/>
          <w:sz w:val="22"/>
          <w:szCs w:val="22"/>
        </w:rPr>
        <w:t xml:space="preserve"> C, Mesenbrink P, Hu H, </w:t>
      </w:r>
      <w:proofErr w:type="spellStart"/>
      <w:r w:rsidRPr="00A6203D">
        <w:rPr>
          <w:rFonts w:ascii="Arial" w:hAnsi="Arial" w:cs="Arial"/>
          <w:sz w:val="22"/>
          <w:szCs w:val="22"/>
        </w:rPr>
        <w:t>Caminis</w:t>
      </w:r>
      <w:proofErr w:type="spellEnd"/>
      <w:r w:rsidRPr="00A6203D">
        <w:rPr>
          <w:rFonts w:ascii="Arial" w:hAnsi="Arial" w:cs="Arial"/>
          <w:sz w:val="22"/>
          <w:szCs w:val="22"/>
        </w:rPr>
        <w:t xml:space="preserve"> J, Tong K, Rosario-Jansen T, Krasnow J, Hue TF, Sellmeyer D, Eriksen EF, Cummings SR, Trial HPF. Once-yearly zoledronic acid for treatment of postmenopausal osteoporosis. N Engl J Med. </w:t>
      </w:r>
      <w:proofErr w:type="gramStart"/>
      <w:r w:rsidRPr="00A6203D">
        <w:rPr>
          <w:rFonts w:ascii="Arial" w:hAnsi="Arial" w:cs="Arial"/>
          <w:sz w:val="22"/>
          <w:szCs w:val="22"/>
        </w:rPr>
        <w:t>2007;356:1809</w:t>
      </w:r>
      <w:proofErr w:type="gramEnd"/>
      <w:r w:rsidRPr="00A6203D">
        <w:rPr>
          <w:rFonts w:ascii="Arial" w:hAnsi="Arial" w:cs="Arial"/>
          <w:sz w:val="22"/>
          <w:szCs w:val="22"/>
        </w:rPr>
        <w:t>–1822. </w:t>
      </w:r>
    </w:p>
    <w:p w14:paraId="1C94A69A" w14:textId="6567211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109.</w:t>
      </w:r>
      <w:r w:rsidR="0031457D" w:rsidRPr="00A6203D">
        <w:rPr>
          <w:rFonts w:ascii="Arial" w:hAnsi="Arial" w:cs="Arial"/>
          <w:sz w:val="22"/>
          <w:szCs w:val="22"/>
        </w:rPr>
        <w:t xml:space="preserve">   </w:t>
      </w:r>
      <w:r w:rsidRPr="00A6203D">
        <w:rPr>
          <w:rFonts w:ascii="Arial" w:hAnsi="Arial" w:cs="Arial"/>
          <w:sz w:val="22"/>
          <w:szCs w:val="22"/>
        </w:rPr>
        <w:t xml:space="preserve">Cummings SR MP, Eriksen EF,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Black DM. Risk factors for serious adverse events of atrial fibrillation in the HORIZON-PFT Trial of zoledronic acid. Am Soc Mineral Bone Res 29th Annual Meeting 2007, Abstract 1056.</w:t>
      </w:r>
    </w:p>
    <w:p w14:paraId="5299A2FF" w14:textId="753C994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110.</w:t>
      </w:r>
      <w:r w:rsidR="0031457D" w:rsidRPr="00A6203D">
        <w:rPr>
          <w:rFonts w:ascii="Arial" w:hAnsi="Arial" w:cs="Arial"/>
          <w:sz w:val="22"/>
          <w:szCs w:val="22"/>
        </w:rPr>
        <w:t xml:space="preserve">   </w:t>
      </w:r>
      <w:r w:rsidRPr="00A6203D">
        <w:rPr>
          <w:rFonts w:ascii="Arial" w:hAnsi="Arial" w:cs="Arial"/>
          <w:sz w:val="22"/>
          <w:szCs w:val="22"/>
        </w:rPr>
        <w:t xml:space="preserve">Boonen S,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w:t>
      </w:r>
      <w:proofErr w:type="spellStart"/>
      <w:r w:rsidRPr="00A6203D">
        <w:rPr>
          <w:rFonts w:ascii="Arial" w:hAnsi="Arial" w:cs="Arial"/>
          <w:sz w:val="22"/>
          <w:szCs w:val="22"/>
        </w:rPr>
        <w:t>Su</w:t>
      </w:r>
      <w:proofErr w:type="spellEnd"/>
      <w:r w:rsidRPr="00A6203D">
        <w:rPr>
          <w:rFonts w:ascii="Arial" w:hAnsi="Arial" w:cs="Arial"/>
          <w:sz w:val="22"/>
          <w:szCs w:val="22"/>
        </w:rPr>
        <w:t xml:space="preserve"> G, Mesenbrink P, Cosman F, Cauley JA, Reid IR, Claessens F, </w:t>
      </w:r>
      <w:proofErr w:type="spellStart"/>
      <w:r w:rsidRPr="00A6203D">
        <w:rPr>
          <w:rFonts w:ascii="Arial" w:hAnsi="Arial" w:cs="Arial"/>
          <w:sz w:val="22"/>
          <w:szCs w:val="22"/>
        </w:rPr>
        <w:t>Vanderschueren</w:t>
      </w:r>
      <w:proofErr w:type="spellEnd"/>
      <w:r w:rsidRPr="00A6203D">
        <w:rPr>
          <w:rFonts w:ascii="Arial" w:hAnsi="Arial" w:cs="Arial"/>
          <w:sz w:val="22"/>
          <w:szCs w:val="22"/>
        </w:rPr>
        <w:t xml:space="preserve"> D, Lyles KW, Black DM. Time to onset of antifracture efficacy and year-by-year persistence of effect of zoledronic acid in women with osteoporosis. Journal of bone and mineral research: the official journal of the American Society for Bone and Mineral Research 2012; 27:1487-1493.</w:t>
      </w:r>
    </w:p>
    <w:p w14:paraId="3814E72C" w14:textId="22A8DAF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111.</w:t>
      </w:r>
      <w:r w:rsidR="0031457D" w:rsidRPr="00A6203D">
        <w:rPr>
          <w:rFonts w:ascii="Arial" w:hAnsi="Arial" w:cs="Arial"/>
          <w:sz w:val="22"/>
          <w:szCs w:val="22"/>
        </w:rPr>
        <w:t xml:space="preserve">   </w:t>
      </w:r>
      <w:r w:rsidRPr="00A6203D">
        <w:rPr>
          <w:rFonts w:ascii="Arial" w:hAnsi="Arial" w:cs="Arial"/>
          <w:sz w:val="22"/>
          <w:szCs w:val="22"/>
        </w:rPr>
        <w:t xml:space="preserve">Boonen S,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JY, Kaufman JM, </w:t>
      </w:r>
      <w:proofErr w:type="spellStart"/>
      <w:r w:rsidRPr="00A6203D">
        <w:rPr>
          <w:rFonts w:ascii="Arial" w:hAnsi="Arial" w:cs="Arial"/>
          <w:sz w:val="22"/>
          <w:szCs w:val="22"/>
        </w:rPr>
        <w:t>Lippuner</w:t>
      </w:r>
      <w:proofErr w:type="spellEnd"/>
      <w:r w:rsidRPr="00A6203D">
        <w:rPr>
          <w:rFonts w:ascii="Arial" w:hAnsi="Arial" w:cs="Arial"/>
          <w:sz w:val="22"/>
          <w:szCs w:val="22"/>
        </w:rPr>
        <w:t xml:space="preserve"> K, Zanchetta J, Langdahl B, Rizzoli R, Lipschitz S, Dimai HP, </w:t>
      </w:r>
      <w:proofErr w:type="spellStart"/>
      <w:r w:rsidRPr="00A6203D">
        <w:rPr>
          <w:rFonts w:ascii="Arial" w:hAnsi="Arial" w:cs="Arial"/>
          <w:sz w:val="22"/>
          <w:szCs w:val="22"/>
        </w:rPr>
        <w:t>Witvrouw</w:t>
      </w:r>
      <w:proofErr w:type="spellEnd"/>
      <w:r w:rsidRPr="00A6203D">
        <w:rPr>
          <w:rFonts w:ascii="Arial" w:hAnsi="Arial" w:cs="Arial"/>
          <w:sz w:val="22"/>
          <w:szCs w:val="22"/>
        </w:rPr>
        <w:t xml:space="preserve"> R, Eriksen E, Brixen K, Russo L, Claessens F, </w:t>
      </w:r>
      <w:r w:rsidRPr="00A6203D">
        <w:rPr>
          <w:rFonts w:ascii="Arial" w:hAnsi="Arial" w:cs="Arial"/>
          <w:sz w:val="22"/>
          <w:szCs w:val="22"/>
        </w:rPr>
        <w:lastRenderedPageBreak/>
        <w:t xml:space="preserve">Papanastasiou P, Antunez O, </w:t>
      </w:r>
      <w:proofErr w:type="spellStart"/>
      <w:r w:rsidRPr="00A6203D">
        <w:rPr>
          <w:rFonts w:ascii="Arial" w:hAnsi="Arial" w:cs="Arial"/>
          <w:sz w:val="22"/>
          <w:szCs w:val="22"/>
        </w:rPr>
        <w:t>Su</w:t>
      </w:r>
      <w:proofErr w:type="spellEnd"/>
      <w:r w:rsidRPr="00A6203D">
        <w:rPr>
          <w:rFonts w:ascii="Arial" w:hAnsi="Arial" w:cs="Arial"/>
          <w:sz w:val="22"/>
          <w:szCs w:val="22"/>
        </w:rPr>
        <w:t xml:space="preserve"> G, Bucci-</w:t>
      </w:r>
      <w:proofErr w:type="spellStart"/>
      <w:r w:rsidRPr="00A6203D">
        <w:rPr>
          <w:rFonts w:ascii="Arial" w:hAnsi="Arial" w:cs="Arial"/>
          <w:sz w:val="22"/>
          <w:szCs w:val="22"/>
        </w:rPr>
        <w:t>Rechtweg</w:t>
      </w:r>
      <w:proofErr w:type="spellEnd"/>
      <w:r w:rsidRPr="00A6203D">
        <w:rPr>
          <w:rFonts w:ascii="Arial" w:hAnsi="Arial" w:cs="Arial"/>
          <w:sz w:val="22"/>
          <w:szCs w:val="22"/>
        </w:rPr>
        <w:t xml:space="preserve"> C, Hruska J, Incera E, </w:t>
      </w:r>
      <w:proofErr w:type="spellStart"/>
      <w:r w:rsidRPr="00A6203D">
        <w:rPr>
          <w:rFonts w:ascii="Arial" w:hAnsi="Arial" w:cs="Arial"/>
          <w:sz w:val="22"/>
          <w:szCs w:val="22"/>
        </w:rPr>
        <w:t>Vanderschueren</w:t>
      </w:r>
      <w:proofErr w:type="spellEnd"/>
      <w:r w:rsidRPr="00A6203D">
        <w:rPr>
          <w:rFonts w:ascii="Arial" w:hAnsi="Arial" w:cs="Arial"/>
          <w:sz w:val="22"/>
          <w:szCs w:val="22"/>
        </w:rPr>
        <w:t xml:space="preserve"> D, Orwoll E. Fracture risk and zoledronic acid therapy in men with osteoporosis. N Engl J Med. </w:t>
      </w:r>
      <w:proofErr w:type="gramStart"/>
      <w:r w:rsidRPr="00A6203D">
        <w:rPr>
          <w:rFonts w:ascii="Arial" w:hAnsi="Arial" w:cs="Arial"/>
          <w:sz w:val="22"/>
          <w:szCs w:val="22"/>
        </w:rPr>
        <w:t>2012;367:1714</w:t>
      </w:r>
      <w:proofErr w:type="gramEnd"/>
      <w:r w:rsidRPr="00A6203D">
        <w:rPr>
          <w:rFonts w:ascii="Arial" w:hAnsi="Arial" w:cs="Arial"/>
          <w:sz w:val="22"/>
          <w:szCs w:val="22"/>
        </w:rPr>
        <w:t>–1723.</w:t>
      </w:r>
    </w:p>
    <w:p w14:paraId="22367080" w14:textId="3D7B17C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112.</w:t>
      </w:r>
      <w:r w:rsidR="0031457D" w:rsidRPr="00A6203D">
        <w:rPr>
          <w:rFonts w:ascii="Arial" w:hAnsi="Arial" w:cs="Arial"/>
          <w:sz w:val="22"/>
          <w:szCs w:val="22"/>
        </w:rPr>
        <w:t xml:space="preserve">   </w:t>
      </w:r>
      <w:r w:rsidRPr="00A6203D">
        <w:rPr>
          <w:rFonts w:ascii="Arial" w:hAnsi="Arial" w:cs="Arial"/>
          <w:sz w:val="22"/>
          <w:szCs w:val="22"/>
        </w:rPr>
        <w:t xml:space="preserve">Lyles KW, Colon-Emeric CS, Magaziner JS, Adachi JD, Pieper CF, </w:t>
      </w:r>
      <w:proofErr w:type="spellStart"/>
      <w:r w:rsidRPr="00A6203D">
        <w:rPr>
          <w:rFonts w:ascii="Arial" w:hAnsi="Arial" w:cs="Arial"/>
          <w:sz w:val="22"/>
          <w:szCs w:val="22"/>
        </w:rPr>
        <w:t>Mautalen</w:t>
      </w:r>
      <w:proofErr w:type="spellEnd"/>
      <w:r w:rsidRPr="00A6203D">
        <w:rPr>
          <w:rFonts w:ascii="Arial" w:hAnsi="Arial" w:cs="Arial"/>
          <w:sz w:val="22"/>
          <w:szCs w:val="22"/>
        </w:rPr>
        <w:t xml:space="preserve"> C, Hyldstrup L, Recknor C, </w:t>
      </w:r>
      <w:proofErr w:type="spellStart"/>
      <w:r w:rsidRPr="00A6203D">
        <w:rPr>
          <w:rFonts w:ascii="Arial" w:hAnsi="Arial" w:cs="Arial"/>
          <w:sz w:val="22"/>
          <w:szCs w:val="22"/>
        </w:rPr>
        <w:t>Nordsletten</w:t>
      </w:r>
      <w:proofErr w:type="spellEnd"/>
      <w:r w:rsidRPr="00A6203D">
        <w:rPr>
          <w:rFonts w:ascii="Arial" w:hAnsi="Arial" w:cs="Arial"/>
          <w:sz w:val="22"/>
          <w:szCs w:val="22"/>
        </w:rPr>
        <w:t xml:space="preserve"> L, Moore KA, Lavecchia C, Zhang J, Mesenbrink P, Hodgson PK, Abrams K, Orloff JJ, Horowitz Z, Eriksen EF, Boonen S. Zoledronic Acid in Reducing Clinical Fracture and Mortality after Hip Fracture. N Engl J Med 2007; </w:t>
      </w:r>
      <w:proofErr w:type="gramStart"/>
      <w:r w:rsidRPr="00A6203D">
        <w:rPr>
          <w:rFonts w:ascii="Arial" w:hAnsi="Arial" w:cs="Arial"/>
          <w:sz w:val="22"/>
          <w:szCs w:val="22"/>
        </w:rPr>
        <w:t>357:nihpa</w:t>
      </w:r>
      <w:proofErr w:type="gramEnd"/>
      <w:r w:rsidRPr="00A6203D">
        <w:rPr>
          <w:rFonts w:ascii="Arial" w:hAnsi="Arial" w:cs="Arial"/>
          <w:sz w:val="22"/>
          <w:szCs w:val="22"/>
        </w:rPr>
        <w:t>40967.</w:t>
      </w:r>
    </w:p>
    <w:p w14:paraId="52E50417" w14:textId="1B7611C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113.</w:t>
      </w:r>
      <w:r w:rsidR="0031457D" w:rsidRPr="00A6203D">
        <w:rPr>
          <w:rFonts w:ascii="Arial" w:hAnsi="Arial" w:cs="Arial"/>
          <w:sz w:val="22"/>
          <w:szCs w:val="22"/>
        </w:rPr>
        <w:t xml:space="preserve">   </w:t>
      </w:r>
      <w:r w:rsidRPr="00A6203D">
        <w:rPr>
          <w:rFonts w:ascii="Arial" w:hAnsi="Arial" w:cs="Arial"/>
          <w:sz w:val="22"/>
          <w:szCs w:val="22"/>
        </w:rPr>
        <w:t xml:space="preserve">Pieper CF, Colon-Emeric C, </w:t>
      </w:r>
      <w:proofErr w:type="spellStart"/>
      <w:r w:rsidRPr="00A6203D">
        <w:rPr>
          <w:rFonts w:ascii="Arial" w:hAnsi="Arial" w:cs="Arial"/>
          <w:sz w:val="22"/>
          <w:szCs w:val="22"/>
        </w:rPr>
        <w:t>Caminis</w:t>
      </w:r>
      <w:proofErr w:type="spellEnd"/>
      <w:r w:rsidRPr="00A6203D">
        <w:rPr>
          <w:rFonts w:ascii="Arial" w:hAnsi="Arial" w:cs="Arial"/>
          <w:sz w:val="22"/>
          <w:szCs w:val="22"/>
        </w:rPr>
        <w:t xml:space="preserve"> J, </w:t>
      </w:r>
      <w:proofErr w:type="spellStart"/>
      <w:r w:rsidRPr="00A6203D">
        <w:rPr>
          <w:rFonts w:ascii="Arial" w:hAnsi="Arial" w:cs="Arial"/>
          <w:sz w:val="22"/>
          <w:szCs w:val="22"/>
        </w:rPr>
        <w:t>Betchyk</w:t>
      </w:r>
      <w:proofErr w:type="spellEnd"/>
      <w:r w:rsidRPr="00A6203D">
        <w:rPr>
          <w:rFonts w:ascii="Arial" w:hAnsi="Arial" w:cs="Arial"/>
          <w:sz w:val="22"/>
          <w:szCs w:val="22"/>
        </w:rPr>
        <w:t xml:space="preserve"> K, Zhang J, Janning C, Shostak J,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Heaney RR, Lyles KW. Distribution and correlates of serum 25-hydroxyvitamin D levels in a sample of patients with hip fracture. Am J </w:t>
      </w:r>
      <w:proofErr w:type="spellStart"/>
      <w:r w:rsidRPr="00A6203D">
        <w:rPr>
          <w:rFonts w:ascii="Arial" w:hAnsi="Arial" w:cs="Arial"/>
          <w:sz w:val="22"/>
          <w:szCs w:val="22"/>
        </w:rPr>
        <w:t>Geriatr</w:t>
      </w:r>
      <w:proofErr w:type="spellEnd"/>
      <w:r w:rsidRPr="00A6203D">
        <w:rPr>
          <w:rFonts w:ascii="Arial" w:hAnsi="Arial" w:cs="Arial"/>
          <w:sz w:val="22"/>
          <w:szCs w:val="22"/>
        </w:rPr>
        <w:t xml:space="preserve"> </w:t>
      </w:r>
      <w:proofErr w:type="spellStart"/>
      <w:r w:rsidRPr="00A6203D">
        <w:rPr>
          <w:rFonts w:ascii="Arial" w:hAnsi="Arial" w:cs="Arial"/>
          <w:sz w:val="22"/>
          <w:szCs w:val="22"/>
        </w:rPr>
        <w:t>Pharmacother</w:t>
      </w:r>
      <w:proofErr w:type="spellEnd"/>
      <w:r w:rsidRPr="00A6203D">
        <w:rPr>
          <w:rFonts w:ascii="Arial" w:hAnsi="Arial" w:cs="Arial"/>
          <w:sz w:val="22"/>
          <w:szCs w:val="22"/>
        </w:rPr>
        <w:t>. </w:t>
      </w:r>
      <w:proofErr w:type="gramStart"/>
      <w:r w:rsidRPr="00A6203D">
        <w:rPr>
          <w:rFonts w:ascii="Arial" w:hAnsi="Arial" w:cs="Arial"/>
          <w:sz w:val="22"/>
          <w:szCs w:val="22"/>
        </w:rPr>
        <w:t>2007;5:335</w:t>
      </w:r>
      <w:proofErr w:type="gramEnd"/>
      <w:r w:rsidRPr="00A6203D">
        <w:rPr>
          <w:rFonts w:ascii="Arial" w:hAnsi="Arial" w:cs="Arial"/>
          <w:sz w:val="22"/>
          <w:szCs w:val="22"/>
        </w:rPr>
        <w:t>–340. </w:t>
      </w:r>
    </w:p>
    <w:p w14:paraId="00C712F2" w14:textId="0316906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114.</w:t>
      </w:r>
      <w:r w:rsidR="0031457D" w:rsidRPr="00A6203D">
        <w:rPr>
          <w:rFonts w:ascii="Arial" w:hAnsi="Arial" w:cs="Arial"/>
          <w:sz w:val="22"/>
          <w:szCs w:val="22"/>
        </w:rPr>
        <w:t xml:space="preserve">   </w:t>
      </w:r>
      <w:proofErr w:type="spellStart"/>
      <w:r w:rsidRPr="00A6203D">
        <w:rPr>
          <w:rFonts w:ascii="Arial" w:hAnsi="Arial" w:cs="Arial"/>
          <w:sz w:val="22"/>
          <w:szCs w:val="22"/>
        </w:rPr>
        <w:t>Chesnut</w:t>
      </w:r>
      <w:proofErr w:type="spellEnd"/>
      <w:r w:rsidRPr="00A6203D">
        <w:rPr>
          <w:rFonts w:ascii="Arial" w:hAnsi="Arial" w:cs="Arial"/>
          <w:sz w:val="22"/>
          <w:szCs w:val="22"/>
        </w:rPr>
        <w:t xml:space="preserve"> IC, Skag A, Christiansen C, Recker R, </w:t>
      </w:r>
      <w:proofErr w:type="spellStart"/>
      <w:r w:rsidRPr="00A6203D">
        <w:rPr>
          <w:rFonts w:ascii="Arial" w:hAnsi="Arial" w:cs="Arial"/>
          <w:sz w:val="22"/>
          <w:szCs w:val="22"/>
        </w:rPr>
        <w:t>Stakkestad</w:t>
      </w:r>
      <w:proofErr w:type="spellEnd"/>
      <w:r w:rsidRPr="00A6203D">
        <w:rPr>
          <w:rFonts w:ascii="Arial" w:hAnsi="Arial" w:cs="Arial"/>
          <w:sz w:val="22"/>
          <w:szCs w:val="22"/>
        </w:rPr>
        <w:t xml:space="preserve"> JA, Hoiseth A, Felsenberg D, Huss H, Gilbride J, Schimmer RC, Delmas PD. Effects of oral ibandronate administered daily or intermittently on fracture risk in postmenopausal osteoporosis. J Bone Miner Res. </w:t>
      </w:r>
      <w:proofErr w:type="gramStart"/>
      <w:r w:rsidRPr="00A6203D">
        <w:rPr>
          <w:rFonts w:ascii="Arial" w:hAnsi="Arial" w:cs="Arial"/>
          <w:sz w:val="22"/>
          <w:szCs w:val="22"/>
        </w:rPr>
        <w:t>2004;19:1241</w:t>
      </w:r>
      <w:proofErr w:type="gramEnd"/>
      <w:r w:rsidRPr="00A6203D">
        <w:rPr>
          <w:rFonts w:ascii="Arial" w:hAnsi="Arial" w:cs="Arial"/>
          <w:sz w:val="22"/>
          <w:szCs w:val="22"/>
        </w:rPr>
        <w:t>–1249. </w:t>
      </w:r>
    </w:p>
    <w:p w14:paraId="40A887B6" w14:textId="300F72B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115.</w:t>
      </w:r>
      <w:r w:rsidR="0031457D" w:rsidRPr="00A6203D">
        <w:rPr>
          <w:rFonts w:ascii="Arial" w:hAnsi="Arial" w:cs="Arial"/>
          <w:sz w:val="22"/>
          <w:szCs w:val="22"/>
        </w:rPr>
        <w:t xml:space="preserve">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JY, Adami S, Lakatos P, Greenwald M, Stepan JJ, Silverman SL, Christiansen C, Rowell L, Mairon N, Bonvoisin B, Drezner MK, Emkey R, Felsenberg D, Cooper C, Delmas PD, Miller PD. Efficacy and tolerability of once-monthly oral ibandronate in postmenopausal osteoporosis: </w:t>
      </w:r>
      <w:proofErr w:type="gramStart"/>
      <w:r w:rsidRPr="00A6203D">
        <w:rPr>
          <w:rFonts w:ascii="Arial" w:hAnsi="Arial" w:cs="Arial"/>
          <w:sz w:val="22"/>
          <w:szCs w:val="22"/>
        </w:rPr>
        <w:t>2 year</w:t>
      </w:r>
      <w:proofErr w:type="gramEnd"/>
      <w:r w:rsidRPr="00A6203D">
        <w:rPr>
          <w:rFonts w:ascii="Arial" w:hAnsi="Arial" w:cs="Arial"/>
          <w:sz w:val="22"/>
          <w:szCs w:val="22"/>
        </w:rPr>
        <w:t xml:space="preserve"> results from the MOBILE study. Ann Rheum Dis. </w:t>
      </w:r>
      <w:proofErr w:type="gramStart"/>
      <w:r w:rsidRPr="00A6203D">
        <w:rPr>
          <w:rFonts w:ascii="Arial" w:hAnsi="Arial" w:cs="Arial"/>
          <w:sz w:val="22"/>
          <w:szCs w:val="22"/>
        </w:rPr>
        <w:t>2006;65:654</w:t>
      </w:r>
      <w:proofErr w:type="gramEnd"/>
      <w:r w:rsidRPr="00A6203D">
        <w:rPr>
          <w:rFonts w:ascii="Arial" w:hAnsi="Arial" w:cs="Arial"/>
          <w:sz w:val="22"/>
          <w:szCs w:val="22"/>
        </w:rPr>
        <w:t>–661. </w:t>
      </w:r>
    </w:p>
    <w:p w14:paraId="5725019F" w14:textId="18F428C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116.</w:t>
      </w:r>
      <w:r w:rsidR="0031457D" w:rsidRPr="00A6203D">
        <w:rPr>
          <w:rFonts w:ascii="Arial" w:hAnsi="Arial" w:cs="Arial"/>
          <w:sz w:val="22"/>
          <w:szCs w:val="22"/>
        </w:rPr>
        <w:t xml:space="preserve">   </w:t>
      </w:r>
      <w:r w:rsidRPr="00A6203D">
        <w:rPr>
          <w:rFonts w:ascii="Arial" w:hAnsi="Arial" w:cs="Arial"/>
          <w:sz w:val="22"/>
          <w:szCs w:val="22"/>
        </w:rPr>
        <w:t xml:space="preserve">Cranney A, Wells GA, </w:t>
      </w:r>
      <w:proofErr w:type="spellStart"/>
      <w:r w:rsidRPr="00A6203D">
        <w:rPr>
          <w:rFonts w:ascii="Arial" w:hAnsi="Arial" w:cs="Arial"/>
          <w:sz w:val="22"/>
          <w:szCs w:val="22"/>
        </w:rPr>
        <w:t>Yetisir</w:t>
      </w:r>
      <w:proofErr w:type="spellEnd"/>
      <w:r w:rsidRPr="00A6203D">
        <w:rPr>
          <w:rFonts w:ascii="Arial" w:hAnsi="Arial" w:cs="Arial"/>
          <w:sz w:val="22"/>
          <w:szCs w:val="22"/>
        </w:rPr>
        <w:t xml:space="preserve"> E, Adami S, Cooper C, Delmas PD, Miller PD, </w:t>
      </w:r>
      <w:proofErr w:type="spellStart"/>
      <w:r w:rsidRPr="00A6203D">
        <w:rPr>
          <w:rFonts w:ascii="Arial" w:hAnsi="Arial" w:cs="Arial"/>
          <w:sz w:val="22"/>
          <w:szCs w:val="22"/>
        </w:rPr>
        <w:t>Papapoulos</w:t>
      </w:r>
      <w:proofErr w:type="spellEnd"/>
      <w:r w:rsidRPr="00A6203D">
        <w:rPr>
          <w:rFonts w:ascii="Arial" w:hAnsi="Arial" w:cs="Arial"/>
          <w:sz w:val="22"/>
          <w:szCs w:val="22"/>
        </w:rPr>
        <w:t xml:space="preserve"> S,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JY, Sambrook PN, Silverman S, Siris E, Adachi JD. Ibandronate for the prevention of nonvertebral fractures: a pooled analysis of individual patient data.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2008 </w:t>
      </w:r>
    </w:p>
    <w:p w14:paraId="68A16894" w14:textId="305B16A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117.</w:t>
      </w:r>
      <w:r w:rsidR="0031457D" w:rsidRPr="00A6203D">
        <w:rPr>
          <w:rFonts w:ascii="Arial" w:hAnsi="Arial" w:cs="Arial"/>
          <w:sz w:val="22"/>
          <w:szCs w:val="22"/>
        </w:rPr>
        <w:t xml:space="preserve">   </w:t>
      </w:r>
      <w:r w:rsidRPr="00A6203D">
        <w:rPr>
          <w:rFonts w:ascii="Arial" w:hAnsi="Arial" w:cs="Arial"/>
          <w:sz w:val="22"/>
          <w:szCs w:val="22"/>
        </w:rPr>
        <w:t xml:space="preserve">Miller RG, Chretien KC, Meoni LA, Liu YP, Klag MJ, Levine MA. Comparison of intravenous pamidronate to standard therapy for osteoporosis: use in patients unable to take oral bisphosphonates. J Clin </w:t>
      </w:r>
      <w:proofErr w:type="spellStart"/>
      <w:r w:rsidRPr="00A6203D">
        <w:rPr>
          <w:rFonts w:ascii="Arial" w:hAnsi="Arial" w:cs="Arial"/>
          <w:sz w:val="22"/>
          <w:szCs w:val="22"/>
        </w:rPr>
        <w:t>Rheumatol</w:t>
      </w:r>
      <w:proofErr w:type="spellEnd"/>
      <w:r w:rsidRPr="00A6203D">
        <w:rPr>
          <w:rFonts w:ascii="Arial" w:hAnsi="Arial" w:cs="Arial"/>
          <w:sz w:val="22"/>
          <w:szCs w:val="22"/>
        </w:rPr>
        <w:t>. </w:t>
      </w:r>
      <w:proofErr w:type="gramStart"/>
      <w:r w:rsidRPr="00A6203D">
        <w:rPr>
          <w:rFonts w:ascii="Arial" w:hAnsi="Arial" w:cs="Arial"/>
          <w:sz w:val="22"/>
          <w:szCs w:val="22"/>
        </w:rPr>
        <w:t>2005;11:2</w:t>
      </w:r>
      <w:proofErr w:type="gramEnd"/>
      <w:r w:rsidRPr="00A6203D">
        <w:rPr>
          <w:rFonts w:ascii="Arial" w:hAnsi="Arial" w:cs="Arial"/>
          <w:sz w:val="22"/>
          <w:szCs w:val="22"/>
        </w:rPr>
        <w:t>–7. </w:t>
      </w:r>
    </w:p>
    <w:p w14:paraId="139AF146" w14:textId="5D87A4E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118.</w:t>
      </w:r>
      <w:r w:rsidR="0031457D" w:rsidRPr="00A6203D">
        <w:rPr>
          <w:rFonts w:ascii="Arial" w:hAnsi="Arial" w:cs="Arial"/>
          <w:sz w:val="22"/>
          <w:szCs w:val="22"/>
        </w:rPr>
        <w:t xml:space="preserve">   </w:t>
      </w:r>
      <w:proofErr w:type="spellStart"/>
      <w:r w:rsidRPr="00A6203D">
        <w:rPr>
          <w:rFonts w:ascii="Arial" w:hAnsi="Arial" w:cs="Arial"/>
          <w:sz w:val="22"/>
          <w:szCs w:val="22"/>
        </w:rPr>
        <w:t>Heijckmann</w:t>
      </w:r>
      <w:proofErr w:type="spellEnd"/>
      <w:r w:rsidRPr="00A6203D">
        <w:rPr>
          <w:rFonts w:ascii="Arial" w:hAnsi="Arial" w:cs="Arial"/>
          <w:sz w:val="22"/>
          <w:szCs w:val="22"/>
        </w:rPr>
        <w:t xml:space="preserve"> AC, </w:t>
      </w:r>
      <w:proofErr w:type="spellStart"/>
      <w:r w:rsidRPr="00A6203D">
        <w:rPr>
          <w:rFonts w:ascii="Arial" w:hAnsi="Arial" w:cs="Arial"/>
          <w:sz w:val="22"/>
          <w:szCs w:val="22"/>
        </w:rPr>
        <w:t>Juttmann</w:t>
      </w:r>
      <w:proofErr w:type="spellEnd"/>
      <w:r w:rsidRPr="00A6203D">
        <w:rPr>
          <w:rFonts w:ascii="Arial" w:hAnsi="Arial" w:cs="Arial"/>
          <w:sz w:val="22"/>
          <w:szCs w:val="22"/>
        </w:rPr>
        <w:t xml:space="preserve"> JR, </w:t>
      </w:r>
      <w:proofErr w:type="spellStart"/>
      <w:r w:rsidRPr="00A6203D">
        <w:rPr>
          <w:rFonts w:ascii="Arial" w:hAnsi="Arial" w:cs="Arial"/>
          <w:sz w:val="22"/>
          <w:szCs w:val="22"/>
        </w:rPr>
        <w:t>Wolffenbuttel</w:t>
      </w:r>
      <w:proofErr w:type="spellEnd"/>
      <w:r w:rsidRPr="00A6203D">
        <w:rPr>
          <w:rFonts w:ascii="Arial" w:hAnsi="Arial" w:cs="Arial"/>
          <w:sz w:val="22"/>
          <w:szCs w:val="22"/>
        </w:rPr>
        <w:t xml:space="preserve"> BH. Intravenous pamidronate compared with oral alendronate for the treatment of postmenopausal osteoporosis. Neth J Med. </w:t>
      </w:r>
      <w:proofErr w:type="gramStart"/>
      <w:r w:rsidRPr="00A6203D">
        <w:rPr>
          <w:rFonts w:ascii="Arial" w:hAnsi="Arial" w:cs="Arial"/>
          <w:sz w:val="22"/>
          <w:szCs w:val="22"/>
        </w:rPr>
        <w:t>2002;60:315</w:t>
      </w:r>
      <w:proofErr w:type="gramEnd"/>
      <w:r w:rsidRPr="00A6203D">
        <w:rPr>
          <w:rFonts w:ascii="Arial" w:hAnsi="Arial" w:cs="Arial"/>
          <w:sz w:val="22"/>
          <w:szCs w:val="22"/>
        </w:rPr>
        <w:t>–319. </w:t>
      </w:r>
    </w:p>
    <w:p w14:paraId="7EC5971E" w14:textId="4AF009B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119.</w:t>
      </w:r>
      <w:r w:rsidR="0031457D" w:rsidRPr="00A6203D">
        <w:rPr>
          <w:rFonts w:ascii="Arial" w:hAnsi="Arial" w:cs="Arial"/>
          <w:sz w:val="22"/>
          <w:szCs w:val="22"/>
        </w:rPr>
        <w:t xml:space="preserve">   </w:t>
      </w:r>
      <w:r w:rsidRPr="00A6203D">
        <w:rPr>
          <w:rFonts w:ascii="Arial" w:hAnsi="Arial" w:cs="Arial"/>
          <w:sz w:val="22"/>
          <w:szCs w:val="22"/>
        </w:rPr>
        <w:t xml:space="preserve">Vis M, </w:t>
      </w:r>
      <w:proofErr w:type="spellStart"/>
      <w:r w:rsidRPr="00A6203D">
        <w:rPr>
          <w:rFonts w:ascii="Arial" w:hAnsi="Arial" w:cs="Arial"/>
          <w:sz w:val="22"/>
          <w:szCs w:val="22"/>
        </w:rPr>
        <w:t>Bultink</w:t>
      </w:r>
      <w:proofErr w:type="spellEnd"/>
      <w:r w:rsidRPr="00A6203D">
        <w:rPr>
          <w:rFonts w:ascii="Arial" w:hAnsi="Arial" w:cs="Arial"/>
          <w:sz w:val="22"/>
          <w:szCs w:val="22"/>
        </w:rPr>
        <w:t xml:space="preserve"> IE, </w:t>
      </w:r>
      <w:proofErr w:type="spellStart"/>
      <w:r w:rsidRPr="00A6203D">
        <w:rPr>
          <w:rFonts w:ascii="Arial" w:hAnsi="Arial" w:cs="Arial"/>
          <w:sz w:val="22"/>
          <w:szCs w:val="22"/>
        </w:rPr>
        <w:t>Dijkmans</w:t>
      </w:r>
      <w:proofErr w:type="spellEnd"/>
      <w:r w:rsidRPr="00A6203D">
        <w:rPr>
          <w:rFonts w:ascii="Arial" w:hAnsi="Arial" w:cs="Arial"/>
          <w:sz w:val="22"/>
          <w:szCs w:val="22"/>
        </w:rPr>
        <w:t xml:space="preserve"> BA, Lems WF. The effect of intravenous pamidronate versus oral alendronate on bone mineral density in patients with osteoporosis.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2005;16:1432</w:t>
      </w:r>
      <w:proofErr w:type="gramEnd"/>
      <w:r w:rsidRPr="00A6203D">
        <w:rPr>
          <w:rFonts w:ascii="Arial" w:hAnsi="Arial" w:cs="Arial"/>
          <w:sz w:val="22"/>
          <w:szCs w:val="22"/>
        </w:rPr>
        <w:t>–1435. </w:t>
      </w:r>
    </w:p>
    <w:p w14:paraId="1B54AFA9" w14:textId="57D9B08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120.</w:t>
      </w:r>
      <w:r w:rsidR="0031457D" w:rsidRPr="00A6203D">
        <w:rPr>
          <w:rFonts w:ascii="Arial" w:hAnsi="Arial" w:cs="Arial"/>
          <w:sz w:val="22"/>
          <w:szCs w:val="22"/>
        </w:rPr>
        <w:t xml:space="preserve">   </w:t>
      </w:r>
      <w:proofErr w:type="spellStart"/>
      <w:r w:rsidRPr="00A6203D">
        <w:rPr>
          <w:rFonts w:ascii="Arial" w:hAnsi="Arial" w:cs="Arial"/>
          <w:sz w:val="22"/>
          <w:szCs w:val="22"/>
        </w:rPr>
        <w:t>Cauza</w:t>
      </w:r>
      <w:proofErr w:type="spellEnd"/>
      <w:r w:rsidRPr="00A6203D">
        <w:rPr>
          <w:rFonts w:ascii="Arial" w:hAnsi="Arial" w:cs="Arial"/>
          <w:sz w:val="22"/>
          <w:szCs w:val="22"/>
        </w:rPr>
        <w:t xml:space="preserve"> E, Etemad M, Winkler F, Hanusch-</w:t>
      </w:r>
      <w:proofErr w:type="spellStart"/>
      <w:r w:rsidRPr="00A6203D">
        <w:rPr>
          <w:rFonts w:ascii="Arial" w:hAnsi="Arial" w:cs="Arial"/>
          <w:sz w:val="22"/>
          <w:szCs w:val="22"/>
        </w:rPr>
        <w:t>Enserer</w:t>
      </w:r>
      <w:proofErr w:type="spellEnd"/>
      <w:r w:rsidRPr="00A6203D">
        <w:rPr>
          <w:rFonts w:ascii="Arial" w:hAnsi="Arial" w:cs="Arial"/>
          <w:sz w:val="22"/>
          <w:szCs w:val="22"/>
        </w:rPr>
        <w:t xml:space="preserve"> U, Partsch G, Noske H, Dunky A. Pamidronate increases bone mineral density in women with postmenopausal or steroid-induced osteoporosis. J Clin Pharm Ther. </w:t>
      </w:r>
      <w:proofErr w:type="gramStart"/>
      <w:r w:rsidRPr="00A6203D">
        <w:rPr>
          <w:rFonts w:ascii="Arial" w:hAnsi="Arial" w:cs="Arial"/>
          <w:sz w:val="22"/>
          <w:szCs w:val="22"/>
        </w:rPr>
        <w:t>2004;29:431</w:t>
      </w:r>
      <w:proofErr w:type="gramEnd"/>
      <w:r w:rsidRPr="00A6203D">
        <w:rPr>
          <w:rFonts w:ascii="Arial" w:hAnsi="Arial" w:cs="Arial"/>
          <w:sz w:val="22"/>
          <w:szCs w:val="22"/>
        </w:rPr>
        <w:t>–436. </w:t>
      </w:r>
    </w:p>
    <w:p w14:paraId="2BB1EDBC" w14:textId="6BD3C1F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121.</w:t>
      </w:r>
      <w:r w:rsidR="0031457D" w:rsidRPr="00A6203D">
        <w:rPr>
          <w:rFonts w:ascii="Arial" w:hAnsi="Arial" w:cs="Arial"/>
          <w:sz w:val="22"/>
          <w:szCs w:val="22"/>
        </w:rPr>
        <w:t xml:space="preserve">   </w:t>
      </w:r>
      <w:r w:rsidRPr="00A6203D">
        <w:rPr>
          <w:rFonts w:ascii="Arial" w:hAnsi="Arial" w:cs="Arial"/>
          <w:sz w:val="22"/>
          <w:szCs w:val="22"/>
        </w:rPr>
        <w:t>Chan SS, Nery LM, McElduff A, Wilmshurst EG, Fulcher GR, Robinson BG, Stiel JN, Gunton JE, Clifton-Bligh PB. Intravenous pamidronate in the treatment and prevention of osteoporosis. Intern Med J. </w:t>
      </w:r>
      <w:proofErr w:type="gramStart"/>
      <w:r w:rsidRPr="00A6203D">
        <w:rPr>
          <w:rFonts w:ascii="Arial" w:hAnsi="Arial" w:cs="Arial"/>
          <w:sz w:val="22"/>
          <w:szCs w:val="22"/>
        </w:rPr>
        <w:t>2004;34:162</w:t>
      </w:r>
      <w:proofErr w:type="gramEnd"/>
      <w:r w:rsidRPr="00A6203D">
        <w:rPr>
          <w:rFonts w:ascii="Arial" w:hAnsi="Arial" w:cs="Arial"/>
          <w:sz w:val="22"/>
          <w:szCs w:val="22"/>
        </w:rPr>
        <w:t>–166. </w:t>
      </w:r>
    </w:p>
    <w:p w14:paraId="08818D54" w14:textId="5906EC5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122.</w:t>
      </w:r>
      <w:r w:rsidR="0031457D" w:rsidRPr="00A6203D">
        <w:rPr>
          <w:rFonts w:ascii="Arial" w:hAnsi="Arial" w:cs="Arial"/>
          <w:sz w:val="22"/>
          <w:szCs w:val="22"/>
        </w:rPr>
        <w:t xml:space="preserve">   </w:t>
      </w:r>
      <w:r w:rsidRPr="00A6203D">
        <w:rPr>
          <w:rFonts w:ascii="Arial" w:hAnsi="Arial" w:cs="Arial"/>
          <w:sz w:val="22"/>
          <w:szCs w:val="22"/>
        </w:rPr>
        <w:t xml:space="preserve">Lanza F, </w:t>
      </w:r>
      <w:proofErr w:type="spellStart"/>
      <w:r w:rsidRPr="00A6203D">
        <w:rPr>
          <w:rFonts w:ascii="Arial" w:hAnsi="Arial" w:cs="Arial"/>
          <w:sz w:val="22"/>
          <w:szCs w:val="22"/>
        </w:rPr>
        <w:t>Sahba</w:t>
      </w:r>
      <w:proofErr w:type="spellEnd"/>
      <w:r w:rsidRPr="00A6203D">
        <w:rPr>
          <w:rFonts w:ascii="Arial" w:hAnsi="Arial" w:cs="Arial"/>
          <w:sz w:val="22"/>
          <w:szCs w:val="22"/>
        </w:rPr>
        <w:t xml:space="preserve"> B, Schwartz H, Winograd S, </w:t>
      </w:r>
      <w:proofErr w:type="spellStart"/>
      <w:r w:rsidRPr="00A6203D">
        <w:rPr>
          <w:rFonts w:ascii="Arial" w:hAnsi="Arial" w:cs="Arial"/>
          <w:sz w:val="22"/>
          <w:szCs w:val="22"/>
        </w:rPr>
        <w:t>Torosis</w:t>
      </w:r>
      <w:proofErr w:type="spellEnd"/>
      <w:r w:rsidRPr="00A6203D">
        <w:rPr>
          <w:rFonts w:ascii="Arial" w:hAnsi="Arial" w:cs="Arial"/>
          <w:sz w:val="22"/>
          <w:szCs w:val="22"/>
        </w:rPr>
        <w:t xml:space="preserve"> J, Quan H, Reyes R, </w:t>
      </w:r>
      <w:proofErr w:type="spellStart"/>
      <w:r w:rsidRPr="00A6203D">
        <w:rPr>
          <w:rFonts w:ascii="Arial" w:hAnsi="Arial" w:cs="Arial"/>
          <w:sz w:val="22"/>
          <w:szCs w:val="22"/>
        </w:rPr>
        <w:t>Musliner</w:t>
      </w:r>
      <w:proofErr w:type="spellEnd"/>
      <w:r w:rsidRPr="00A6203D">
        <w:rPr>
          <w:rFonts w:ascii="Arial" w:hAnsi="Arial" w:cs="Arial"/>
          <w:sz w:val="22"/>
          <w:szCs w:val="22"/>
        </w:rPr>
        <w:t xml:space="preserve"> T, </w:t>
      </w:r>
      <w:proofErr w:type="spellStart"/>
      <w:r w:rsidRPr="00A6203D">
        <w:rPr>
          <w:rFonts w:ascii="Arial" w:hAnsi="Arial" w:cs="Arial"/>
          <w:sz w:val="22"/>
          <w:szCs w:val="22"/>
        </w:rPr>
        <w:t>Daifotis</w:t>
      </w:r>
      <w:proofErr w:type="spellEnd"/>
      <w:r w:rsidRPr="00A6203D">
        <w:rPr>
          <w:rFonts w:ascii="Arial" w:hAnsi="Arial" w:cs="Arial"/>
          <w:sz w:val="22"/>
          <w:szCs w:val="22"/>
        </w:rPr>
        <w:t xml:space="preserve"> A, Leung A. The upper GI safety and tolerability of oral alendronate at a dose of 70 milligrams once weekly: a placebo-controlled endoscopy study. Am J Gastroenterol. </w:t>
      </w:r>
      <w:proofErr w:type="gramStart"/>
      <w:r w:rsidRPr="00A6203D">
        <w:rPr>
          <w:rFonts w:ascii="Arial" w:hAnsi="Arial" w:cs="Arial"/>
          <w:sz w:val="22"/>
          <w:szCs w:val="22"/>
        </w:rPr>
        <w:t>2002;97:58</w:t>
      </w:r>
      <w:proofErr w:type="gramEnd"/>
      <w:r w:rsidRPr="00A6203D">
        <w:rPr>
          <w:rFonts w:ascii="Arial" w:hAnsi="Arial" w:cs="Arial"/>
          <w:sz w:val="22"/>
          <w:szCs w:val="22"/>
        </w:rPr>
        <w:t>–64. </w:t>
      </w:r>
    </w:p>
    <w:p w14:paraId="3AAFD472" w14:textId="47113CF5"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123.</w:t>
      </w:r>
      <w:r w:rsidR="0031457D" w:rsidRPr="00A6203D">
        <w:rPr>
          <w:rFonts w:ascii="Arial" w:hAnsi="Arial" w:cs="Arial"/>
          <w:sz w:val="22"/>
          <w:szCs w:val="22"/>
        </w:rPr>
        <w:t xml:space="preserve">   </w:t>
      </w:r>
      <w:r w:rsidRPr="00A6203D">
        <w:rPr>
          <w:rFonts w:ascii="Arial" w:hAnsi="Arial" w:cs="Arial"/>
          <w:sz w:val="22"/>
          <w:szCs w:val="22"/>
        </w:rPr>
        <w:t xml:space="preserve">Shane E, Burr D, Abrahamsen B, Adler RA, Brown TD, Cheung AM, Cosman F, Curtis JR, Dell R, Dempster DW, Ebeling PR, Einhorn TA,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w:t>
      </w:r>
      <w:proofErr w:type="spellStart"/>
      <w:r w:rsidRPr="00A6203D">
        <w:rPr>
          <w:rFonts w:ascii="Arial" w:hAnsi="Arial" w:cs="Arial"/>
          <w:sz w:val="22"/>
          <w:szCs w:val="22"/>
        </w:rPr>
        <w:t>Geusens</w:t>
      </w:r>
      <w:proofErr w:type="spellEnd"/>
      <w:r w:rsidRPr="00A6203D">
        <w:rPr>
          <w:rFonts w:ascii="Arial" w:hAnsi="Arial" w:cs="Arial"/>
          <w:sz w:val="22"/>
          <w:szCs w:val="22"/>
        </w:rPr>
        <w:t xml:space="preserve"> P, </w:t>
      </w:r>
      <w:proofErr w:type="spellStart"/>
      <w:r w:rsidRPr="00A6203D">
        <w:rPr>
          <w:rFonts w:ascii="Arial" w:hAnsi="Arial" w:cs="Arial"/>
          <w:sz w:val="22"/>
          <w:szCs w:val="22"/>
        </w:rPr>
        <w:t>Klaushofer</w:t>
      </w:r>
      <w:proofErr w:type="spellEnd"/>
      <w:r w:rsidRPr="00A6203D">
        <w:rPr>
          <w:rFonts w:ascii="Arial" w:hAnsi="Arial" w:cs="Arial"/>
          <w:sz w:val="22"/>
          <w:szCs w:val="22"/>
        </w:rPr>
        <w:t xml:space="preserve"> K, Lane JM, McKiernan F, McKinney R, Ng A, Nieves J, O'Keefe R, </w:t>
      </w:r>
      <w:proofErr w:type="spellStart"/>
      <w:r w:rsidRPr="00A6203D">
        <w:rPr>
          <w:rFonts w:ascii="Arial" w:hAnsi="Arial" w:cs="Arial"/>
          <w:sz w:val="22"/>
          <w:szCs w:val="22"/>
        </w:rPr>
        <w:t>Papapoulos</w:t>
      </w:r>
      <w:proofErr w:type="spellEnd"/>
      <w:r w:rsidRPr="00A6203D">
        <w:rPr>
          <w:rFonts w:ascii="Arial" w:hAnsi="Arial" w:cs="Arial"/>
          <w:sz w:val="22"/>
          <w:szCs w:val="22"/>
        </w:rPr>
        <w:t xml:space="preserve"> S, Howe TS, van der </w:t>
      </w:r>
      <w:proofErr w:type="spellStart"/>
      <w:r w:rsidRPr="00A6203D">
        <w:rPr>
          <w:rFonts w:ascii="Arial" w:hAnsi="Arial" w:cs="Arial"/>
          <w:sz w:val="22"/>
          <w:szCs w:val="22"/>
        </w:rPr>
        <w:t>Meulen</w:t>
      </w:r>
      <w:proofErr w:type="spellEnd"/>
      <w:r w:rsidRPr="00A6203D">
        <w:rPr>
          <w:rFonts w:ascii="Arial" w:hAnsi="Arial" w:cs="Arial"/>
          <w:sz w:val="22"/>
          <w:szCs w:val="22"/>
        </w:rPr>
        <w:t xml:space="preserve"> MC, Weinstein RS, Whyte MP. Atypical subtrochanteric and diaphyseal femoral fractures: second report of a task force of the American Society for Bone and Mineral Research. J Bone Miner Res. </w:t>
      </w:r>
      <w:proofErr w:type="gramStart"/>
      <w:r w:rsidRPr="00A6203D">
        <w:rPr>
          <w:rFonts w:ascii="Arial" w:hAnsi="Arial" w:cs="Arial"/>
          <w:sz w:val="22"/>
          <w:szCs w:val="22"/>
        </w:rPr>
        <w:t>2014;29:1</w:t>
      </w:r>
      <w:proofErr w:type="gramEnd"/>
      <w:r w:rsidRPr="00A6203D">
        <w:rPr>
          <w:rFonts w:ascii="Arial" w:hAnsi="Arial" w:cs="Arial"/>
          <w:sz w:val="22"/>
          <w:szCs w:val="22"/>
        </w:rPr>
        <w:t>–23. </w:t>
      </w:r>
    </w:p>
    <w:p w14:paraId="749D6652" w14:textId="0AF55F1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124.</w:t>
      </w:r>
      <w:r w:rsidR="0031457D" w:rsidRPr="00A6203D">
        <w:rPr>
          <w:rFonts w:ascii="Arial" w:hAnsi="Arial" w:cs="Arial"/>
          <w:sz w:val="22"/>
          <w:szCs w:val="22"/>
        </w:rPr>
        <w:t xml:space="preserve">   </w:t>
      </w:r>
      <w:proofErr w:type="spellStart"/>
      <w:r w:rsidRPr="00A6203D">
        <w:rPr>
          <w:rFonts w:ascii="Arial" w:hAnsi="Arial" w:cs="Arial"/>
          <w:sz w:val="22"/>
          <w:szCs w:val="22"/>
        </w:rPr>
        <w:t>Im</w:t>
      </w:r>
      <w:proofErr w:type="spellEnd"/>
      <w:r w:rsidRPr="00A6203D">
        <w:rPr>
          <w:rFonts w:ascii="Arial" w:hAnsi="Arial" w:cs="Arial"/>
          <w:sz w:val="22"/>
          <w:szCs w:val="22"/>
        </w:rPr>
        <w:t xml:space="preserve"> GI, Lee SH. Effect of Teriparatide on Healing of Atypical Femoral Fractures: A Systemic Review. Journal of bone metabolism. </w:t>
      </w:r>
      <w:proofErr w:type="gramStart"/>
      <w:r w:rsidRPr="00A6203D">
        <w:rPr>
          <w:rFonts w:ascii="Arial" w:hAnsi="Arial" w:cs="Arial"/>
          <w:sz w:val="22"/>
          <w:szCs w:val="22"/>
        </w:rPr>
        <w:t>2015;22:183</w:t>
      </w:r>
      <w:proofErr w:type="gramEnd"/>
      <w:r w:rsidRPr="00A6203D">
        <w:rPr>
          <w:rFonts w:ascii="Arial" w:hAnsi="Arial" w:cs="Arial"/>
          <w:sz w:val="22"/>
          <w:szCs w:val="22"/>
        </w:rPr>
        <w:t>–189. </w:t>
      </w:r>
    </w:p>
    <w:p w14:paraId="0E21EACE" w14:textId="47431A3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125.</w:t>
      </w:r>
      <w:r w:rsidR="000021B0" w:rsidRPr="00A6203D">
        <w:rPr>
          <w:rFonts w:ascii="Arial" w:hAnsi="Arial" w:cs="Arial"/>
          <w:sz w:val="22"/>
          <w:szCs w:val="22"/>
        </w:rPr>
        <w:t xml:space="preserve">   </w:t>
      </w:r>
      <w:r w:rsidRPr="00A6203D">
        <w:rPr>
          <w:rFonts w:ascii="Arial" w:hAnsi="Arial" w:cs="Arial"/>
          <w:sz w:val="22"/>
          <w:szCs w:val="22"/>
        </w:rPr>
        <w:t xml:space="preserve">Khan AA, Morrison A, Hanley DA, Felsenberg D, McCauley LK, O'Ryan F, Reid IR, Ruggiero SL, Taguchi A, </w:t>
      </w:r>
      <w:proofErr w:type="spellStart"/>
      <w:r w:rsidRPr="00A6203D">
        <w:rPr>
          <w:rFonts w:ascii="Arial" w:hAnsi="Arial" w:cs="Arial"/>
          <w:sz w:val="22"/>
          <w:szCs w:val="22"/>
        </w:rPr>
        <w:t>Tetradis</w:t>
      </w:r>
      <w:proofErr w:type="spellEnd"/>
      <w:r w:rsidRPr="00A6203D">
        <w:rPr>
          <w:rFonts w:ascii="Arial" w:hAnsi="Arial" w:cs="Arial"/>
          <w:sz w:val="22"/>
          <w:szCs w:val="22"/>
        </w:rPr>
        <w:t xml:space="preserve"> S, Watts NB, Brandi ML, Peters E, Guise T,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Cheung AM, Morin SN, Masri B, Cooper C, Morgan SL, Obermayer-Pietsch B, Langdahl BL, Al </w:t>
      </w:r>
      <w:proofErr w:type="spellStart"/>
      <w:r w:rsidRPr="00A6203D">
        <w:rPr>
          <w:rFonts w:ascii="Arial" w:hAnsi="Arial" w:cs="Arial"/>
          <w:sz w:val="22"/>
          <w:szCs w:val="22"/>
        </w:rPr>
        <w:t>Dabagh</w:t>
      </w:r>
      <w:proofErr w:type="spellEnd"/>
      <w:r w:rsidRPr="00A6203D">
        <w:rPr>
          <w:rFonts w:ascii="Arial" w:hAnsi="Arial" w:cs="Arial"/>
          <w:sz w:val="22"/>
          <w:szCs w:val="22"/>
        </w:rPr>
        <w:t xml:space="preserve"> R, Davison KS, Kendler DL, Sandor GK, Josse RG, Bhandari M, El </w:t>
      </w:r>
      <w:proofErr w:type="spellStart"/>
      <w:r w:rsidRPr="00A6203D">
        <w:rPr>
          <w:rFonts w:ascii="Arial" w:hAnsi="Arial" w:cs="Arial"/>
          <w:sz w:val="22"/>
          <w:szCs w:val="22"/>
        </w:rPr>
        <w:t>Rabbany</w:t>
      </w:r>
      <w:proofErr w:type="spellEnd"/>
      <w:r w:rsidRPr="00A6203D">
        <w:rPr>
          <w:rFonts w:ascii="Arial" w:hAnsi="Arial" w:cs="Arial"/>
          <w:sz w:val="22"/>
          <w:szCs w:val="22"/>
        </w:rPr>
        <w:t xml:space="preserve"> M, </w:t>
      </w:r>
      <w:proofErr w:type="spellStart"/>
      <w:r w:rsidRPr="00A6203D">
        <w:rPr>
          <w:rFonts w:ascii="Arial" w:hAnsi="Arial" w:cs="Arial"/>
          <w:sz w:val="22"/>
          <w:szCs w:val="22"/>
        </w:rPr>
        <w:t>Pierroz</w:t>
      </w:r>
      <w:proofErr w:type="spellEnd"/>
      <w:r w:rsidRPr="00A6203D">
        <w:rPr>
          <w:rFonts w:ascii="Arial" w:hAnsi="Arial" w:cs="Arial"/>
          <w:sz w:val="22"/>
          <w:szCs w:val="22"/>
        </w:rPr>
        <w:t xml:space="preserve"> DD, </w:t>
      </w:r>
      <w:proofErr w:type="spellStart"/>
      <w:r w:rsidRPr="00A6203D">
        <w:rPr>
          <w:rFonts w:ascii="Arial" w:hAnsi="Arial" w:cs="Arial"/>
          <w:sz w:val="22"/>
          <w:szCs w:val="22"/>
        </w:rPr>
        <w:t>Sulimani</w:t>
      </w:r>
      <w:proofErr w:type="spellEnd"/>
      <w:r w:rsidRPr="00A6203D">
        <w:rPr>
          <w:rFonts w:ascii="Arial" w:hAnsi="Arial" w:cs="Arial"/>
          <w:sz w:val="22"/>
          <w:szCs w:val="22"/>
        </w:rPr>
        <w:t xml:space="preserve"> R, Saunders DP, Brown JP, Compston J. International Task Force on Osteonecrosis of the J. Diagnosis and management of osteonecrosis of the jaw: a systematic review and international consensus. J Bone Miner Res. </w:t>
      </w:r>
      <w:proofErr w:type="gramStart"/>
      <w:r w:rsidRPr="00A6203D">
        <w:rPr>
          <w:rFonts w:ascii="Arial" w:hAnsi="Arial" w:cs="Arial"/>
          <w:sz w:val="22"/>
          <w:szCs w:val="22"/>
        </w:rPr>
        <w:t>2015;30:3</w:t>
      </w:r>
      <w:proofErr w:type="gramEnd"/>
      <w:r w:rsidRPr="00A6203D">
        <w:rPr>
          <w:rFonts w:ascii="Arial" w:hAnsi="Arial" w:cs="Arial"/>
          <w:sz w:val="22"/>
          <w:szCs w:val="22"/>
        </w:rPr>
        <w:t>–23. </w:t>
      </w:r>
    </w:p>
    <w:p w14:paraId="2B1DE5AD" w14:textId="318F491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126.</w:t>
      </w:r>
      <w:r w:rsidR="000021B0" w:rsidRPr="00A6203D">
        <w:rPr>
          <w:rFonts w:ascii="Arial" w:hAnsi="Arial" w:cs="Arial"/>
          <w:sz w:val="22"/>
          <w:szCs w:val="22"/>
        </w:rPr>
        <w:t xml:space="preserve">   </w:t>
      </w:r>
      <w:r w:rsidRPr="00A6203D">
        <w:rPr>
          <w:rFonts w:ascii="Arial" w:hAnsi="Arial" w:cs="Arial"/>
          <w:sz w:val="22"/>
          <w:szCs w:val="22"/>
        </w:rPr>
        <w:t>Allen MR. Bisphosphonates and Osteonecrosis of the Jaw: Moving from the Bedside to the Bench. Cells Tissues Organs. 2008 </w:t>
      </w:r>
    </w:p>
    <w:p w14:paraId="7C3745A4" w14:textId="6D0F2ED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127.</w:t>
      </w:r>
      <w:r w:rsidR="000021B0" w:rsidRPr="00A6203D">
        <w:rPr>
          <w:rFonts w:ascii="Arial" w:hAnsi="Arial" w:cs="Arial"/>
          <w:sz w:val="22"/>
          <w:szCs w:val="22"/>
        </w:rPr>
        <w:t xml:space="preserve">   </w:t>
      </w:r>
      <w:r w:rsidRPr="00A6203D">
        <w:rPr>
          <w:rFonts w:ascii="Arial" w:hAnsi="Arial" w:cs="Arial"/>
          <w:sz w:val="22"/>
          <w:szCs w:val="22"/>
        </w:rPr>
        <w:t>Woo SB, Hellstein JW, Kalmar JR. Narrative [corrected] review: bisphosphonates and osteonecrosis of the jaws. Ann Intern Med. </w:t>
      </w:r>
      <w:proofErr w:type="gramStart"/>
      <w:r w:rsidRPr="00A6203D">
        <w:rPr>
          <w:rFonts w:ascii="Arial" w:hAnsi="Arial" w:cs="Arial"/>
          <w:sz w:val="22"/>
          <w:szCs w:val="22"/>
        </w:rPr>
        <w:t>2006;144:753</w:t>
      </w:r>
      <w:proofErr w:type="gramEnd"/>
      <w:r w:rsidRPr="00A6203D">
        <w:rPr>
          <w:rFonts w:ascii="Arial" w:hAnsi="Arial" w:cs="Arial"/>
          <w:sz w:val="22"/>
          <w:szCs w:val="22"/>
        </w:rPr>
        <w:t>–761. </w:t>
      </w:r>
    </w:p>
    <w:p w14:paraId="584D689E" w14:textId="0F93332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128.</w:t>
      </w:r>
      <w:r w:rsidR="000021B0" w:rsidRPr="00A6203D">
        <w:rPr>
          <w:rFonts w:ascii="Arial" w:hAnsi="Arial" w:cs="Arial"/>
          <w:sz w:val="22"/>
          <w:szCs w:val="22"/>
        </w:rPr>
        <w:t xml:space="preserve">   </w:t>
      </w:r>
      <w:r w:rsidRPr="00A6203D">
        <w:rPr>
          <w:rFonts w:ascii="Arial" w:hAnsi="Arial" w:cs="Arial"/>
          <w:sz w:val="22"/>
          <w:szCs w:val="22"/>
        </w:rPr>
        <w:t xml:space="preserve">Khosla S, Burr D, Cauley J, Dempster DW, Ebeling PR, Felsenberg D, Gagel RF, </w:t>
      </w:r>
      <w:proofErr w:type="spellStart"/>
      <w:r w:rsidRPr="00A6203D">
        <w:rPr>
          <w:rFonts w:ascii="Arial" w:hAnsi="Arial" w:cs="Arial"/>
          <w:sz w:val="22"/>
          <w:szCs w:val="22"/>
        </w:rPr>
        <w:t>Gilsanz</w:t>
      </w:r>
      <w:proofErr w:type="spellEnd"/>
      <w:r w:rsidRPr="00A6203D">
        <w:rPr>
          <w:rFonts w:ascii="Arial" w:hAnsi="Arial" w:cs="Arial"/>
          <w:sz w:val="22"/>
          <w:szCs w:val="22"/>
        </w:rPr>
        <w:t xml:space="preserve"> V, Guise T, Koka S, McCauley LK, McGowan J, McKee MD, </w:t>
      </w:r>
      <w:proofErr w:type="spellStart"/>
      <w:r w:rsidRPr="00A6203D">
        <w:rPr>
          <w:rFonts w:ascii="Arial" w:hAnsi="Arial" w:cs="Arial"/>
          <w:sz w:val="22"/>
          <w:szCs w:val="22"/>
        </w:rPr>
        <w:t>Mohla</w:t>
      </w:r>
      <w:proofErr w:type="spellEnd"/>
      <w:r w:rsidRPr="00A6203D">
        <w:rPr>
          <w:rFonts w:ascii="Arial" w:hAnsi="Arial" w:cs="Arial"/>
          <w:sz w:val="22"/>
          <w:szCs w:val="22"/>
        </w:rPr>
        <w:t xml:space="preserve"> S, </w:t>
      </w:r>
      <w:proofErr w:type="spellStart"/>
      <w:r w:rsidRPr="00A6203D">
        <w:rPr>
          <w:rFonts w:ascii="Arial" w:hAnsi="Arial" w:cs="Arial"/>
          <w:sz w:val="22"/>
          <w:szCs w:val="22"/>
        </w:rPr>
        <w:t>Pendrys</w:t>
      </w:r>
      <w:proofErr w:type="spellEnd"/>
      <w:r w:rsidRPr="00A6203D">
        <w:rPr>
          <w:rFonts w:ascii="Arial" w:hAnsi="Arial" w:cs="Arial"/>
          <w:sz w:val="22"/>
          <w:szCs w:val="22"/>
        </w:rPr>
        <w:t xml:space="preserve"> DG, Raisz LG, Ruggiero SL, Shafer DM, Shum L, Silverman SL, Van </w:t>
      </w:r>
      <w:proofErr w:type="spellStart"/>
      <w:r w:rsidRPr="00A6203D">
        <w:rPr>
          <w:rFonts w:ascii="Arial" w:hAnsi="Arial" w:cs="Arial"/>
          <w:sz w:val="22"/>
          <w:szCs w:val="22"/>
        </w:rPr>
        <w:t>Poznak</w:t>
      </w:r>
      <w:proofErr w:type="spellEnd"/>
      <w:r w:rsidRPr="00A6203D">
        <w:rPr>
          <w:rFonts w:ascii="Arial" w:hAnsi="Arial" w:cs="Arial"/>
          <w:sz w:val="22"/>
          <w:szCs w:val="22"/>
        </w:rPr>
        <w:t xml:space="preserve"> CH, Watts N, Woo SB, Shane E. Bisphosphonate-associated osteonecrosis of the jaw: report of a task force of the American Society for Bone and Mineral Research. J Bone Miner Res. </w:t>
      </w:r>
      <w:proofErr w:type="gramStart"/>
      <w:r w:rsidRPr="00A6203D">
        <w:rPr>
          <w:rFonts w:ascii="Arial" w:hAnsi="Arial" w:cs="Arial"/>
          <w:sz w:val="22"/>
          <w:szCs w:val="22"/>
        </w:rPr>
        <w:t>2007;22:1479</w:t>
      </w:r>
      <w:proofErr w:type="gramEnd"/>
      <w:r w:rsidRPr="00A6203D">
        <w:rPr>
          <w:rFonts w:ascii="Arial" w:hAnsi="Arial" w:cs="Arial"/>
          <w:sz w:val="22"/>
          <w:szCs w:val="22"/>
        </w:rPr>
        <w:t>–1491. </w:t>
      </w:r>
    </w:p>
    <w:p w14:paraId="76A02112" w14:textId="6483FE1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129.</w:t>
      </w:r>
      <w:r w:rsidR="000021B0" w:rsidRPr="00A6203D">
        <w:rPr>
          <w:rFonts w:ascii="Arial" w:hAnsi="Arial" w:cs="Arial"/>
          <w:sz w:val="22"/>
          <w:szCs w:val="22"/>
        </w:rPr>
        <w:t xml:space="preserve">   </w:t>
      </w:r>
      <w:r w:rsidRPr="00A6203D">
        <w:rPr>
          <w:rFonts w:ascii="Arial" w:hAnsi="Arial" w:cs="Arial"/>
          <w:sz w:val="22"/>
          <w:szCs w:val="22"/>
        </w:rPr>
        <w:t xml:space="preserve">Edwards BJ, Gounder M, </w:t>
      </w:r>
      <w:proofErr w:type="spellStart"/>
      <w:r w:rsidRPr="00A6203D">
        <w:rPr>
          <w:rFonts w:ascii="Arial" w:hAnsi="Arial" w:cs="Arial"/>
          <w:sz w:val="22"/>
          <w:szCs w:val="22"/>
        </w:rPr>
        <w:t>McKoy</w:t>
      </w:r>
      <w:proofErr w:type="spellEnd"/>
      <w:r w:rsidRPr="00A6203D">
        <w:rPr>
          <w:rFonts w:ascii="Arial" w:hAnsi="Arial" w:cs="Arial"/>
          <w:sz w:val="22"/>
          <w:szCs w:val="22"/>
        </w:rPr>
        <w:t xml:space="preserve"> JM, Boyd I, Farrugia M, </w:t>
      </w:r>
      <w:proofErr w:type="spellStart"/>
      <w:r w:rsidRPr="00A6203D">
        <w:rPr>
          <w:rFonts w:ascii="Arial" w:hAnsi="Arial" w:cs="Arial"/>
          <w:sz w:val="22"/>
          <w:szCs w:val="22"/>
        </w:rPr>
        <w:t>Migliorati</w:t>
      </w:r>
      <w:proofErr w:type="spellEnd"/>
      <w:r w:rsidRPr="00A6203D">
        <w:rPr>
          <w:rFonts w:ascii="Arial" w:hAnsi="Arial" w:cs="Arial"/>
          <w:sz w:val="22"/>
          <w:szCs w:val="22"/>
        </w:rPr>
        <w:t xml:space="preserve"> C, Marx R, Ruggiero S, Dimopoulos M, Raisch DW, Singhal S, Carson K, </w:t>
      </w:r>
      <w:proofErr w:type="spellStart"/>
      <w:r w:rsidRPr="00A6203D">
        <w:rPr>
          <w:rFonts w:ascii="Arial" w:hAnsi="Arial" w:cs="Arial"/>
          <w:sz w:val="22"/>
          <w:szCs w:val="22"/>
        </w:rPr>
        <w:t>Obadina</w:t>
      </w:r>
      <w:proofErr w:type="spellEnd"/>
      <w:r w:rsidRPr="00A6203D">
        <w:rPr>
          <w:rFonts w:ascii="Arial" w:hAnsi="Arial" w:cs="Arial"/>
          <w:sz w:val="22"/>
          <w:szCs w:val="22"/>
        </w:rPr>
        <w:t xml:space="preserve"> E, Trifilio S, West D, Mehta J, Bennett CL. Pharmacovigilance and reporting oversight in US FDA fast-track process: bisphosphonates and osteonecrosis of the jaw. Lancet Oncol. </w:t>
      </w:r>
      <w:proofErr w:type="gramStart"/>
      <w:r w:rsidRPr="00A6203D">
        <w:rPr>
          <w:rFonts w:ascii="Arial" w:hAnsi="Arial" w:cs="Arial"/>
          <w:sz w:val="22"/>
          <w:szCs w:val="22"/>
        </w:rPr>
        <w:t>2008;9:1166</w:t>
      </w:r>
      <w:proofErr w:type="gramEnd"/>
      <w:r w:rsidRPr="00A6203D">
        <w:rPr>
          <w:rFonts w:ascii="Arial" w:hAnsi="Arial" w:cs="Arial"/>
          <w:sz w:val="22"/>
          <w:szCs w:val="22"/>
        </w:rPr>
        <w:t>–1172. </w:t>
      </w:r>
    </w:p>
    <w:p w14:paraId="3CBF3C08" w14:textId="6ADB270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130.</w:t>
      </w:r>
      <w:r w:rsidR="000021B0" w:rsidRPr="00A6203D">
        <w:rPr>
          <w:rFonts w:ascii="Arial" w:hAnsi="Arial" w:cs="Arial"/>
          <w:sz w:val="22"/>
          <w:szCs w:val="22"/>
        </w:rPr>
        <w:t xml:space="preserve">   </w:t>
      </w:r>
      <w:r w:rsidRPr="00A6203D">
        <w:rPr>
          <w:rFonts w:ascii="Arial" w:hAnsi="Arial" w:cs="Arial"/>
          <w:sz w:val="22"/>
          <w:szCs w:val="22"/>
        </w:rPr>
        <w:t xml:space="preserve">Hellstein JW, Adler RA, Edwards B, Jacobsen PL, Kalmar JR, Koka S, </w:t>
      </w:r>
      <w:proofErr w:type="spellStart"/>
      <w:r w:rsidRPr="00A6203D">
        <w:rPr>
          <w:rFonts w:ascii="Arial" w:hAnsi="Arial" w:cs="Arial"/>
          <w:sz w:val="22"/>
          <w:szCs w:val="22"/>
        </w:rPr>
        <w:t>Migliorati</w:t>
      </w:r>
      <w:proofErr w:type="spellEnd"/>
      <w:r w:rsidRPr="00A6203D">
        <w:rPr>
          <w:rFonts w:ascii="Arial" w:hAnsi="Arial" w:cs="Arial"/>
          <w:sz w:val="22"/>
          <w:szCs w:val="22"/>
        </w:rPr>
        <w:t xml:space="preserve"> CA, Ristic H. Managing the care of patients receiving antiresorptive therapy for prevention and treatment of osteoporosis: executive summary of recommendations from the American Dental Association Council on Scientific Affairs. J Am Dent Assoc. </w:t>
      </w:r>
      <w:proofErr w:type="gramStart"/>
      <w:r w:rsidRPr="00A6203D">
        <w:rPr>
          <w:rFonts w:ascii="Arial" w:hAnsi="Arial" w:cs="Arial"/>
          <w:sz w:val="22"/>
          <w:szCs w:val="22"/>
        </w:rPr>
        <w:t>2011;142:1243</w:t>
      </w:r>
      <w:proofErr w:type="gramEnd"/>
      <w:r w:rsidRPr="00A6203D">
        <w:rPr>
          <w:rFonts w:ascii="Arial" w:hAnsi="Arial" w:cs="Arial"/>
          <w:sz w:val="22"/>
          <w:szCs w:val="22"/>
        </w:rPr>
        <w:t>–1251. ]</w:t>
      </w:r>
    </w:p>
    <w:p w14:paraId="2C4414A0" w14:textId="3749E65C"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131.</w:t>
      </w:r>
      <w:r w:rsidR="000021B0" w:rsidRPr="00A6203D">
        <w:rPr>
          <w:rFonts w:ascii="Arial" w:hAnsi="Arial" w:cs="Arial"/>
          <w:sz w:val="22"/>
          <w:szCs w:val="22"/>
        </w:rPr>
        <w:t xml:space="preserve">   </w:t>
      </w:r>
      <w:r w:rsidRPr="00A6203D">
        <w:rPr>
          <w:rFonts w:ascii="Arial" w:hAnsi="Arial" w:cs="Arial"/>
          <w:sz w:val="22"/>
          <w:szCs w:val="22"/>
        </w:rPr>
        <w:t>Cummings SR, Schwartz AV, Black DM. Alendronate and atrial fibrillation. N Engl J Med. </w:t>
      </w:r>
      <w:proofErr w:type="gramStart"/>
      <w:r w:rsidRPr="00A6203D">
        <w:rPr>
          <w:rFonts w:ascii="Arial" w:hAnsi="Arial" w:cs="Arial"/>
          <w:sz w:val="22"/>
          <w:szCs w:val="22"/>
        </w:rPr>
        <w:t>2007;356:1895</w:t>
      </w:r>
      <w:proofErr w:type="gramEnd"/>
      <w:r w:rsidRPr="00A6203D">
        <w:rPr>
          <w:rFonts w:ascii="Arial" w:hAnsi="Arial" w:cs="Arial"/>
          <w:sz w:val="22"/>
          <w:szCs w:val="22"/>
        </w:rPr>
        <w:t>–1896. </w:t>
      </w:r>
    </w:p>
    <w:p w14:paraId="5F332F5E" w14:textId="06564F6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132.</w:t>
      </w:r>
      <w:r w:rsidR="000021B0" w:rsidRPr="00A6203D">
        <w:rPr>
          <w:rFonts w:ascii="Arial" w:hAnsi="Arial" w:cs="Arial"/>
          <w:sz w:val="22"/>
          <w:szCs w:val="22"/>
        </w:rPr>
        <w:t xml:space="preserve">   </w:t>
      </w:r>
      <w:r w:rsidRPr="00A6203D">
        <w:rPr>
          <w:rFonts w:ascii="Arial" w:hAnsi="Arial" w:cs="Arial"/>
          <w:sz w:val="22"/>
          <w:szCs w:val="22"/>
        </w:rPr>
        <w:t xml:space="preserve">Heckbert SR, Li G, Cummings SR, Smith NL, </w:t>
      </w:r>
      <w:proofErr w:type="spellStart"/>
      <w:r w:rsidRPr="00A6203D">
        <w:rPr>
          <w:rFonts w:ascii="Arial" w:hAnsi="Arial" w:cs="Arial"/>
          <w:sz w:val="22"/>
          <w:szCs w:val="22"/>
        </w:rPr>
        <w:t>Psaty</w:t>
      </w:r>
      <w:proofErr w:type="spellEnd"/>
      <w:r w:rsidRPr="00A6203D">
        <w:rPr>
          <w:rFonts w:ascii="Arial" w:hAnsi="Arial" w:cs="Arial"/>
          <w:sz w:val="22"/>
          <w:szCs w:val="22"/>
        </w:rPr>
        <w:t xml:space="preserve"> BM. Use of alendronate and risk of incident atrial fibrillation in women. Arch Intern Med. </w:t>
      </w:r>
      <w:proofErr w:type="gramStart"/>
      <w:r w:rsidRPr="00A6203D">
        <w:rPr>
          <w:rFonts w:ascii="Arial" w:hAnsi="Arial" w:cs="Arial"/>
          <w:sz w:val="22"/>
          <w:szCs w:val="22"/>
        </w:rPr>
        <w:t>2008;168:826</w:t>
      </w:r>
      <w:proofErr w:type="gramEnd"/>
      <w:r w:rsidRPr="00A6203D">
        <w:rPr>
          <w:rFonts w:ascii="Arial" w:hAnsi="Arial" w:cs="Arial"/>
          <w:sz w:val="22"/>
          <w:szCs w:val="22"/>
        </w:rPr>
        <w:t>–831. </w:t>
      </w:r>
    </w:p>
    <w:p w14:paraId="0E162D0D" w14:textId="1714E79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133.</w:t>
      </w:r>
      <w:r w:rsidR="000021B0" w:rsidRPr="00A6203D">
        <w:rPr>
          <w:rFonts w:ascii="Arial" w:hAnsi="Arial" w:cs="Arial"/>
          <w:sz w:val="22"/>
          <w:szCs w:val="22"/>
        </w:rPr>
        <w:t xml:space="preserve">   </w:t>
      </w:r>
      <w:r w:rsidRPr="00A6203D">
        <w:rPr>
          <w:rFonts w:ascii="Arial" w:hAnsi="Arial" w:cs="Arial"/>
          <w:sz w:val="22"/>
          <w:szCs w:val="22"/>
        </w:rPr>
        <w:t>Karam R, Camm J, McClung M. Yearly zoledronic acid in postmenopausal osteoporosis. N Engl J Med. </w:t>
      </w:r>
      <w:proofErr w:type="gramStart"/>
      <w:r w:rsidRPr="00A6203D">
        <w:rPr>
          <w:rFonts w:ascii="Arial" w:hAnsi="Arial" w:cs="Arial"/>
          <w:sz w:val="22"/>
          <w:szCs w:val="22"/>
        </w:rPr>
        <w:t>2007;357:712</w:t>
      </w:r>
      <w:proofErr w:type="gramEnd"/>
      <w:r w:rsidRPr="00A6203D">
        <w:rPr>
          <w:rFonts w:ascii="Arial" w:hAnsi="Arial" w:cs="Arial"/>
          <w:sz w:val="22"/>
          <w:szCs w:val="22"/>
        </w:rPr>
        <w:t>–713. </w:t>
      </w:r>
    </w:p>
    <w:p w14:paraId="1D179FED" w14:textId="232E3CC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134.</w:t>
      </w:r>
      <w:r w:rsidR="000021B0" w:rsidRPr="00A6203D">
        <w:rPr>
          <w:rFonts w:ascii="Arial" w:hAnsi="Arial" w:cs="Arial"/>
          <w:sz w:val="22"/>
          <w:szCs w:val="22"/>
        </w:rPr>
        <w:t xml:space="preserve">   </w:t>
      </w:r>
      <w:r w:rsidRPr="00A6203D">
        <w:rPr>
          <w:rFonts w:ascii="Arial" w:hAnsi="Arial" w:cs="Arial"/>
          <w:sz w:val="22"/>
          <w:szCs w:val="22"/>
        </w:rPr>
        <w:t>Cauley JA, Ensrud KE. Considering competing risks . . . Not all black and white. Arch Intern Med. </w:t>
      </w:r>
      <w:proofErr w:type="gramStart"/>
      <w:r w:rsidRPr="00A6203D">
        <w:rPr>
          <w:rFonts w:ascii="Arial" w:hAnsi="Arial" w:cs="Arial"/>
          <w:sz w:val="22"/>
          <w:szCs w:val="22"/>
        </w:rPr>
        <w:t>2008;168:793</w:t>
      </w:r>
      <w:proofErr w:type="gramEnd"/>
      <w:r w:rsidRPr="00A6203D">
        <w:rPr>
          <w:rFonts w:ascii="Arial" w:hAnsi="Arial" w:cs="Arial"/>
          <w:sz w:val="22"/>
          <w:szCs w:val="22"/>
        </w:rPr>
        <w:t>–795. </w:t>
      </w:r>
    </w:p>
    <w:p w14:paraId="100CC50E" w14:textId="668666B8"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135.</w:t>
      </w:r>
      <w:r w:rsidR="000021B0" w:rsidRPr="00A6203D">
        <w:rPr>
          <w:rFonts w:ascii="Arial" w:hAnsi="Arial" w:cs="Arial"/>
          <w:sz w:val="22"/>
          <w:szCs w:val="22"/>
        </w:rPr>
        <w:t xml:space="preserve">   </w:t>
      </w:r>
      <w:r w:rsidRPr="00A6203D">
        <w:rPr>
          <w:rFonts w:ascii="Arial" w:hAnsi="Arial" w:cs="Arial"/>
          <w:sz w:val="22"/>
          <w:szCs w:val="22"/>
        </w:rPr>
        <w:t xml:space="preserve">Administration. </w:t>
      </w:r>
      <w:proofErr w:type="spellStart"/>
      <w:r w:rsidRPr="00A6203D">
        <w:rPr>
          <w:rFonts w:ascii="Arial" w:hAnsi="Arial" w:cs="Arial"/>
          <w:sz w:val="22"/>
          <w:szCs w:val="22"/>
        </w:rPr>
        <w:t>UFaD</w:t>
      </w:r>
      <w:proofErr w:type="spellEnd"/>
      <w:r w:rsidRPr="00A6203D">
        <w:rPr>
          <w:rFonts w:ascii="Arial" w:hAnsi="Arial" w:cs="Arial"/>
          <w:sz w:val="22"/>
          <w:szCs w:val="22"/>
        </w:rPr>
        <w:t>. Early communication of an ongoing safety review (updated January 7, 2008). </w:t>
      </w:r>
      <w:hyperlink r:id="rId216" w:history="1">
        <w:r w:rsidRPr="00A6203D">
          <w:rPr>
            <w:rStyle w:val="Hyperlink"/>
            <w:rFonts w:ascii="Arial" w:hAnsi="Arial" w:cs="Arial"/>
            <w:sz w:val="22"/>
            <w:szCs w:val="22"/>
          </w:rPr>
          <w:t>http://www.fda.gov/cder/drug/early_comm/bisphosphonates.htm</w:t>
        </w:r>
      </w:hyperlink>
      <w:r w:rsidRPr="00A6203D">
        <w:rPr>
          <w:rFonts w:ascii="Arial" w:hAnsi="Arial" w:cs="Arial"/>
          <w:sz w:val="22"/>
          <w:szCs w:val="22"/>
        </w:rPr>
        <w:t>.</w:t>
      </w:r>
    </w:p>
    <w:p w14:paraId="26981416" w14:textId="4735B97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136.</w:t>
      </w:r>
      <w:r w:rsidR="000021B0" w:rsidRPr="00A6203D">
        <w:rPr>
          <w:rFonts w:ascii="Arial" w:hAnsi="Arial" w:cs="Arial"/>
          <w:sz w:val="22"/>
          <w:szCs w:val="22"/>
        </w:rPr>
        <w:t xml:space="preserve">   </w:t>
      </w:r>
      <w:r w:rsidRPr="00A6203D">
        <w:rPr>
          <w:rFonts w:ascii="Arial" w:hAnsi="Arial" w:cs="Arial"/>
          <w:sz w:val="22"/>
          <w:szCs w:val="22"/>
        </w:rPr>
        <w:t xml:space="preserve">Adler RA, Bates DW, Dell RM,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Majumdar SR, Saag KG, Solomon DH, Suarez-</w:t>
      </w:r>
      <w:proofErr w:type="spellStart"/>
      <w:r w:rsidRPr="00A6203D">
        <w:rPr>
          <w:rFonts w:ascii="Arial" w:hAnsi="Arial" w:cs="Arial"/>
          <w:sz w:val="22"/>
          <w:szCs w:val="22"/>
        </w:rPr>
        <w:t>Almazor</w:t>
      </w:r>
      <w:proofErr w:type="spellEnd"/>
      <w:r w:rsidRPr="00A6203D">
        <w:rPr>
          <w:rFonts w:ascii="Arial" w:hAnsi="Arial" w:cs="Arial"/>
          <w:sz w:val="22"/>
          <w:szCs w:val="22"/>
        </w:rPr>
        <w:t xml:space="preserve"> ME. Systems-based approaches to osteoporosis and fracture care: policy and research recommendations from the workgroups. Osteoporosis international: a journal established as result of cooperation between the European Foundation for Osteoporosis and the National Osteoporosis Foundation of the USA 2011; 22 Suppl 3:495-500.</w:t>
      </w:r>
    </w:p>
    <w:p w14:paraId="53A8B996" w14:textId="1EA5A63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137.</w:t>
      </w:r>
      <w:r w:rsidR="000021B0" w:rsidRPr="00A6203D">
        <w:rPr>
          <w:rFonts w:ascii="Arial" w:hAnsi="Arial" w:cs="Arial"/>
          <w:sz w:val="22"/>
          <w:szCs w:val="22"/>
        </w:rPr>
        <w:t xml:space="preserve">   </w:t>
      </w:r>
      <w:r w:rsidRPr="00A6203D">
        <w:rPr>
          <w:rFonts w:ascii="Arial" w:hAnsi="Arial" w:cs="Arial"/>
          <w:sz w:val="22"/>
          <w:szCs w:val="22"/>
        </w:rPr>
        <w:t>Dell R, Greene D. Is osteoporosis disease management cost effective? Current osteoporosis reports. </w:t>
      </w:r>
      <w:proofErr w:type="gramStart"/>
      <w:r w:rsidRPr="00A6203D">
        <w:rPr>
          <w:rFonts w:ascii="Arial" w:hAnsi="Arial" w:cs="Arial"/>
          <w:sz w:val="22"/>
          <w:szCs w:val="22"/>
        </w:rPr>
        <w:t>2010;8:49</w:t>
      </w:r>
      <w:proofErr w:type="gramEnd"/>
      <w:r w:rsidRPr="00A6203D">
        <w:rPr>
          <w:rFonts w:ascii="Arial" w:hAnsi="Arial" w:cs="Arial"/>
          <w:sz w:val="22"/>
          <w:szCs w:val="22"/>
        </w:rPr>
        <w:t>–55. </w:t>
      </w:r>
    </w:p>
    <w:p w14:paraId="7F8EAFDA" w14:textId="7CEDCE1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138.</w:t>
      </w:r>
      <w:r w:rsidR="000021B0" w:rsidRPr="00A6203D">
        <w:rPr>
          <w:rFonts w:ascii="Arial" w:hAnsi="Arial" w:cs="Arial"/>
          <w:sz w:val="22"/>
          <w:szCs w:val="22"/>
        </w:rPr>
        <w:t xml:space="preserve">   </w:t>
      </w:r>
      <w:r w:rsidRPr="00A6203D">
        <w:rPr>
          <w:rFonts w:ascii="Arial" w:hAnsi="Arial" w:cs="Arial"/>
          <w:sz w:val="22"/>
          <w:szCs w:val="22"/>
        </w:rPr>
        <w:t>Dell R. Fracture prevention in Kaiser Permanente Southern California.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2011;22 Suppl 3:457–460. </w:t>
      </w:r>
    </w:p>
    <w:p w14:paraId="5343CA4C" w14:textId="1907AF3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139.</w:t>
      </w:r>
      <w:r w:rsidR="000021B0" w:rsidRPr="00A6203D">
        <w:rPr>
          <w:rFonts w:ascii="Arial" w:hAnsi="Arial" w:cs="Arial"/>
          <w:sz w:val="22"/>
          <w:szCs w:val="22"/>
        </w:rPr>
        <w:t xml:space="preserve">   </w:t>
      </w:r>
      <w:r w:rsidRPr="00A6203D">
        <w:rPr>
          <w:rFonts w:ascii="Arial" w:hAnsi="Arial" w:cs="Arial"/>
          <w:sz w:val="22"/>
          <w:szCs w:val="22"/>
        </w:rPr>
        <w:t xml:space="preserve">Eisman JA, </w:t>
      </w:r>
      <w:proofErr w:type="spellStart"/>
      <w:r w:rsidRPr="00A6203D">
        <w:rPr>
          <w:rFonts w:ascii="Arial" w:hAnsi="Arial" w:cs="Arial"/>
          <w:sz w:val="22"/>
          <w:szCs w:val="22"/>
        </w:rPr>
        <w:t>Bogoch</w:t>
      </w:r>
      <w:proofErr w:type="spellEnd"/>
      <w:r w:rsidRPr="00A6203D">
        <w:rPr>
          <w:rFonts w:ascii="Arial" w:hAnsi="Arial" w:cs="Arial"/>
          <w:sz w:val="22"/>
          <w:szCs w:val="22"/>
        </w:rPr>
        <w:t xml:space="preserve"> ER, Dell R, Harrington JT, McKinney RE Jr, McLellan A, Mitchell PJ, Silverman S, Singleton R, Siris E. Prevention </w:t>
      </w:r>
      <w:proofErr w:type="spellStart"/>
      <w:r w:rsidRPr="00A6203D">
        <w:rPr>
          <w:rFonts w:ascii="Arial" w:hAnsi="Arial" w:cs="Arial"/>
          <w:sz w:val="22"/>
          <w:szCs w:val="22"/>
        </w:rPr>
        <w:t>ATFoSF</w:t>
      </w:r>
      <w:proofErr w:type="spellEnd"/>
      <w:r w:rsidRPr="00A6203D">
        <w:rPr>
          <w:rFonts w:ascii="Arial" w:hAnsi="Arial" w:cs="Arial"/>
          <w:sz w:val="22"/>
          <w:szCs w:val="22"/>
        </w:rPr>
        <w:t>. Making the first fracture the last fracture: ASBMR task force report on secondary fracture prevention. J Bone Miner Res. </w:t>
      </w:r>
      <w:proofErr w:type="gramStart"/>
      <w:r w:rsidRPr="00A6203D">
        <w:rPr>
          <w:rFonts w:ascii="Arial" w:hAnsi="Arial" w:cs="Arial"/>
          <w:sz w:val="22"/>
          <w:szCs w:val="22"/>
        </w:rPr>
        <w:t>2012;27:2039</w:t>
      </w:r>
      <w:proofErr w:type="gramEnd"/>
      <w:r w:rsidRPr="00A6203D">
        <w:rPr>
          <w:rFonts w:ascii="Arial" w:hAnsi="Arial" w:cs="Arial"/>
          <w:sz w:val="22"/>
          <w:szCs w:val="22"/>
        </w:rPr>
        <w:t>–2046. </w:t>
      </w:r>
    </w:p>
    <w:p w14:paraId="311610C4" w14:textId="0F19EB1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140.</w:t>
      </w:r>
      <w:r w:rsidR="000021B0" w:rsidRPr="00A6203D">
        <w:rPr>
          <w:rFonts w:ascii="Arial" w:hAnsi="Arial" w:cs="Arial"/>
          <w:sz w:val="22"/>
          <w:szCs w:val="22"/>
        </w:rPr>
        <w:t xml:space="preserve">  </w:t>
      </w:r>
      <w:r w:rsidRPr="00A6203D">
        <w:rPr>
          <w:rFonts w:ascii="Arial" w:hAnsi="Arial" w:cs="Arial"/>
          <w:sz w:val="22"/>
          <w:szCs w:val="22"/>
        </w:rPr>
        <w:t xml:space="preserve">Glowacki J, Harris MB, Simon J, Wright J, </w:t>
      </w:r>
      <w:proofErr w:type="spellStart"/>
      <w:r w:rsidRPr="00A6203D">
        <w:rPr>
          <w:rFonts w:ascii="Arial" w:hAnsi="Arial" w:cs="Arial"/>
          <w:sz w:val="22"/>
          <w:szCs w:val="22"/>
        </w:rPr>
        <w:t>Kolatkar</w:t>
      </w:r>
      <w:proofErr w:type="spellEnd"/>
      <w:r w:rsidRPr="00A6203D">
        <w:rPr>
          <w:rFonts w:ascii="Arial" w:hAnsi="Arial" w:cs="Arial"/>
          <w:sz w:val="22"/>
          <w:szCs w:val="22"/>
        </w:rPr>
        <w:t xml:space="preserve"> NS, Thornhill TS,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Brigham fracture intervention team initiatives for hospital patients with hip fractures: a paradigm shift. Int J Endocrinol. </w:t>
      </w:r>
      <w:proofErr w:type="gramStart"/>
      <w:r w:rsidRPr="00A6203D">
        <w:rPr>
          <w:rFonts w:ascii="Arial" w:hAnsi="Arial" w:cs="Arial"/>
          <w:sz w:val="22"/>
          <w:szCs w:val="22"/>
        </w:rPr>
        <w:t>2010;2010:590751</w:t>
      </w:r>
      <w:proofErr w:type="gramEnd"/>
      <w:r w:rsidRPr="00A6203D">
        <w:rPr>
          <w:rFonts w:ascii="Arial" w:hAnsi="Arial" w:cs="Arial"/>
          <w:sz w:val="22"/>
          <w:szCs w:val="22"/>
        </w:rPr>
        <w:t>. </w:t>
      </w:r>
    </w:p>
    <w:p w14:paraId="0017F287" w14:textId="3C50DDA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141.</w:t>
      </w:r>
      <w:r w:rsidR="000021B0" w:rsidRPr="00A6203D">
        <w:rPr>
          <w:rFonts w:ascii="Arial" w:hAnsi="Arial" w:cs="Arial"/>
          <w:sz w:val="22"/>
          <w:szCs w:val="22"/>
        </w:rPr>
        <w:t xml:space="preserve">   </w:t>
      </w:r>
      <w:r w:rsidRPr="00A6203D">
        <w:rPr>
          <w:rFonts w:ascii="Arial" w:hAnsi="Arial" w:cs="Arial"/>
          <w:sz w:val="22"/>
          <w:szCs w:val="22"/>
        </w:rPr>
        <w:t xml:space="preserve">Glowacki J,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w:t>
      </w:r>
      <w:proofErr w:type="spellStart"/>
      <w:r w:rsidRPr="00A6203D">
        <w:rPr>
          <w:rFonts w:ascii="Arial" w:hAnsi="Arial" w:cs="Arial"/>
          <w:sz w:val="22"/>
          <w:szCs w:val="22"/>
        </w:rPr>
        <w:t>Kolatkar</w:t>
      </w:r>
      <w:proofErr w:type="spellEnd"/>
      <w:r w:rsidRPr="00A6203D">
        <w:rPr>
          <w:rFonts w:ascii="Arial" w:hAnsi="Arial" w:cs="Arial"/>
          <w:sz w:val="22"/>
          <w:szCs w:val="22"/>
        </w:rPr>
        <w:t xml:space="preserve"> NS, Thornhill TS, Harris MB. Importance of vitamin D in hospital-based fracture care pathways. J </w:t>
      </w:r>
      <w:proofErr w:type="spellStart"/>
      <w:r w:rsidRPr="00A6203D">
        <w:rPr>
          <w:rFonts w:ascii="Arial" w:hAnsi="Arial" w:cs="Arial"/>
          <w:sz w:val="22"/>
          <w:szCs w:val="22"/>
        </w:rPr>
        <w:t>Nutr</w:t>
      </w:r>
      <w:proofErr w:type="spellEnd"/>
      <w:r w:rsidRPr="00A6203D">
        <w:rPr>
          <w:rFonts w:ascii="Arial" w:hAnsi="Arial" w:cs="Arial"/>
          <w:sz w:val="22"/>
          <w:szCs w:val="22"/>
        </w:rPr>
        <w:t xml:space="preserve"> Health Aging. </w:t>
      </w:r>
      <w:proofErr w:type="gramStart"/>
      <w:r w:rsidRPr="00A6203D">
        <w:rPr>
          <w:rFonts w:ascii="Arial" w:hAnsi="Arial" w:cs="Arial"/>
          <w:sz w:val="22"/>
          <w:szCs w:val="22"/>
        </w:rPr>
        <w:t>2008;12:291</w:t>
      </w:r>
      <w:proofErr w:type="gramEnd"/>
      <w:r w:rsidRPr="00A6203D">
        <w:rPr>
          <w:rFonts w:ascii="Arial" w:hAnsi="Arial" w:cs="Arial"/>
          <w:sz w:val="22"/>
          <w:szCs w:val="22"/>
        </w:rPr>
        <w:t>–293. </w:t>
      </w:r>
    </w:p>
    <w:p w14:paraId="28B40E8D" w14:textId="22DA2A7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142.</w:t>
      </w:r>
      <w:r w:rsidR="000021B0" w:rsidRPr="00A6203D">
        <w:rPr>
          <w:rFonts w:ascii="Arial" w:hAnsi="Arial" w:cs="Arial"/>
          <w:sz w:val="22"/>
          <w:szCs w:val="22"/>
        </w:rPr>
        <w:t xml:space="preserve">   </w:t>
      </w:r>
      <w:r w:rsidRPr="00A6203D">
        <w:rPr>
          <w:rFonts w:ascii="Arial" w:hAnsi="Arial" w:cs="Arial"/>
          <w:sz w:val="22"/>
          <w:szCs w:val="22"/>
        </w:rPr>
        <w:t xml:space="preserve">Harris MB,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Thornhill TS, Glowacki J. Evolution of comprehensive hospital care pathways to advance the treatment of fragility fractures. The </w:t>
      </w:r>
      <w:proofErr w:type="spellStart"/>
      <w:r w:rsidRPr="00A6203D">
        <w:rPr>
          <w:rFonts w:ascii="Arial" w:hAnsi="Arial" w:cs="Arial"/>
          <w:sz w:val="22"/>
          <w:szCs w:val="22"/>
        </w:rPr>
        <w:t>Orthopaedic</w:t>
      </w:r>
      <w:proofErr w:type="spellEnd"/>
      <w:r w:rsidRPr="00A6203D">
        <w:rPr>
          <w:rFonts w:ascii="Arial" w:hAnsi="Arial" w:cs="Arial"/>
          <w:sz w:val="22"/>
          <w:szCs w:val="22"/>
        </w:rPr>
        <w:t xml:space="preserve"> Journal at Harvard Medical School 2007:95-97.</w:t>
      </w:r>
    </w:p>
    <w:p w14:paraId="54816576" w14:textId="6B054AE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143.</w:t>
      </w:r>
      <w:r w:rsidR="000021B0" w:rsidRPr="00A6203D">
        <w:rPr>
          <w:rFonts w:ascii="Arial" w:hAnsi="Arial" w:cs="Arial"/>
          <w:sz w:val="22"/>
          <w:szCs w:val="22"/>
        </w:rPr>
        <w:t xml:space="preserve">   </w:t>
      </w:r>
      <w:r w:rsidRPr="00A6203D">
        <w:rPr>
          <w:rFonts w:ascii="Arial" w:hAnsi="Arial" w:cs="Arial"/>
          <w:sz w:val="22"/>
          <w:szCs w:val="22"/>
        </w:rPr>
        <w:t>McDermott RS, Kloth DD, Wang H, Hudes GR, Langer CJ. Impact of zoledronic acid on renal function in patients with cancer: Clinical significance and development of a predictive model. J Support Oncol. </w:t>
      </w:r>
      <w:proofErr w:type="gramStart"/>
      <w:r w:rsidRPr="00A6203D">
        <w:rPr>
          <w:rFonts w:ascii="Arial" w:hAnsi="Arial" w:cs="Arial"/>
          <w:sz w:val="22"/>
          <w:szCs w:val="22"/>
        </w:rPr>
        <w:t>2006;4:524</w:t>
      </w:r>
      <w:proofErr w:type="gramEnd"/>
      <w:r w:rsidRPr="00A6203D">
        <w:rPr>
          <w:rFonts w:ascii="Arial" w:hAnsi="Arial" w:cs="Arial"/>
          <w:sz w:val="22"/>
          <w:szCs w:val="22"/>
        </w:rPr>
        <w:t>–529. </w:t>
      </w:r>
    </w:p>
    <w:p w14:paraId="3BC92D35" w14:textId="4ED7357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144.</w:t>
      </w:r>
      <w:r w:rsidR="000021B0" w:rsidRPr="00A6203D">
        <w:rPr>
          <w:rFonts w:ascii="Arial" w:hAnsi="Arial" w:cs="Arial"/>
          <w:sz w:val="22"/>
          <w:szCs w:val="22"/>
        </w:rPr>
        <w:t xml:space="preserve">   </w:t>
      </w:r>
      <w:r w:rsidRPr="00A6203D">
        <w:rPr>
          <w:rFonts w:ascii="Arial" w:hAnsi="Arial" w:cs="Arial"/>
          <w:sz w:val="22"/>
          <w:szCs w:val="22"/>
        </w:rPr>
        <w:t xml:space="preserve">Oh WK, Proctor K, Nakabayashi M, Evan C, Tormey LK, </w:t>
      </w:r>
      <w:proofErr w:type="spellStart"/>
      <w:r w:rsidRPr="00A6203D">
        <w:rPr>
          <w:rFonts w:ascii="Arial" w:hAnsi="Arial" w:cs="Arial"/>
          <w:sz w:val="22"/>
          <w:szCs w:val="22"/>
        </w:rPr>
        <w:t>Daskivich</w:t>
      </w:r>
      <w:proofErr w:type="spellEnd"/>
      <w:r w:rsidRPr="00A6203D">
        <w:rPr>
          <w:rFonts w:ascii="Arial" w:hAnsi="Arial" w:cs="Arial"/>
          <w:sz w:val="22"/>
          <w:szCs w:val="22"/>
        </w:rPr>
        <w:t xml:space="preserve"> T, </w:t>
      </w:r>
      <w:proofErr w:type="spellStart"/>
      <w:r w:rsidRPr="00A6203D">
        <w:rPr>
          <w:rFonts w:ascii="Arial" w:hAnsi="Arial" w:cs="Arial"/>
          <w:sz w:val="22"/>
          <w:szCs w:val="22"/>
        </w:rPr>
        <w:t>Antras</w:t>
      </w:r>
      <w:proofErr w:type="spellEnd"/>
      <w:r w:rsidRPr="00A6203D">
        <w:rPr>
          <w:rFonts w:ascii="Arial" w:hAnsi="Arial" w:cs="Arial"/>
          <w:sz w:val="22"/>
          <w:szCs w:val="22"/>
        </w:rPr>
        <w:t xml:space="preserve"> L, Smith M, Neary MP, Duh MS. The risk of renal impairment in hormone-refractory prostate cancer patients with bone metastases treated with zoledronic acid. Cancer. </w:t>
      </w:r>
      <w:proofErr w:type="gramStart"/>
      <w:r w:rsidRPr="00A6203D">
        <w:rPr>
          <w:rFonts w:ascii="Arial" w:hAnsi="Arial" w:cs="Arial"/>
          <w:sz w:val="22"/>
          <w:szCs w:val="22"/>
        </w:rPr>
        <w:t>2007;109:1090</w:t>
      </w:r>
      <w:proofErr w:type="gramEnd"/>
      <w:r w:rsidRPr="00A6203D">
        <w:rPr>
          <w:rFonts w:ascii="Arial" w:hAnsi="Arial" w:cs="Arial"/>
          <w:sz w:val="22"/>
          <w:szCs w:val="22"/>
        </w:rPr>
        <w:t>–1096. </w:t>
      </w:r>
    </w:p>
    <w:p w14:paraId="1229F2AE" w14:textId="0100A77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145.</w:t>
      </w:r>
      <w:r w:rsidR="000021B0" w:rsidRPr="00A6203D">
        <w:rPr>
          <w:rFonts w:ascii="Arial" w:hAnsi="Arial" w:cs="Arial"/>
          <w:sz w:val="22"/>
          <w:szCs w:val="22"/>
        </w:rPr>
        <w:t xml:space="preserve">   </w:t>
      </w:r>
      <w:r w:rsidRPr="00A6203D">
        <w:rPr>
          <w:rFonts w:ascii="Arial" w:hAnsi="Arial" w:cs="Arial"/>
          <w:sz w:val="22"/>
          <w:szCs w:val="22"/>
        </w:rPr>
        <w:t xml:space="preserve">Reid IR, Brown JP, Burckhardt P, Horowitz Z, Richardson P, </w:t>
      </w:r>
      <w:proofErr w:type="spellStart"/>
      <w:r w:rsidRPr="00A6203D">
        <w:rPr>
          <w:rFonts w:ascii="Arial" w:hAnsi="Arial" w:cs="Arial"/>
          <w:sz w:val="22"/>
          <w:szCs w:val="22"/>
        </w:rPr>
        <w:t>Trechsel</w:t>
      </w:r>
      <w:proofErr w:type="spellEnd"/>
      <w:r w:rsidRPr="00A6203D">
        <w:rPr>
          <w:rFonts w:ascii="Arial" w:hAnsi="Arial" w:cs="Arial"/>
          <w:sz w:val="22"/>
          <w:szCs w:val="22"/>
        </w:rPr>
        <w:t xml:space="preserve"> U, Widmer A, </w:t>
      </w:r>
      <w:proofErr w:type="spellStart"/>
      <w:r w:rsidRPr="00A6203D">
        <w:rPr>
          <w:rFonts w:ascii="Arial" w:hAnsi="Arial" w:cs="Arial"/>
          <w:sz w:val="22"/>
          <w:szCs w:val="22"/>
        </w:rPr>
        <w:t>Devogelaer</w:t>
      </w:r>
      <w:proofErr w:type="spellEnd"/>
      <w:r w:rsidRPr="00A6203D">
        <w:rPr>
          <w:rFonts w:ascii="Arial" w:hAnsi="Arial" w:cs="Arial"/>
          <w:sz w:val="22"/>
          <w:szCs w:val="22"/>
        </w:rPr>
        <w:t xml:space="preserve"> JP, Kaufman JM, Jaeger P, Body JJ, Brandi ML, </w:t>
      </w:r>
      <w:proofErr w:type="spellStart"/>
      <w:r w:rsidRPr="00A6203D">
        <w:rPr>
          <w:rFonts w:ascii="Arial" w:hAnsi="Arial" w:cs="Arial"/>
          <w:sz w:val="22"/>
          <w:szCs w:val="22"/>
        </w:rPr>
        <w:t>Broell</w:t>
      </w:r>
      <w:proofErr w:type="spellEnd"/>
      <w:r w:rsidRPr="00A6203D">
        <w:rPr>
          <w:rFonts w:ascii="Arial" w:hAnsi="Arial" w:cs="Arial"/>
          <w:sz w:val="22"/>
          <w:szCs w:val="22"/>
        </w:rPr>
        <w:t xml:space="preserve"> J, Di Micco R, </w:t>
      </w:r>
      <w:proofErr w:type="spellStart"/>
      <w:r w:rsidRPr="00A6203D">
        <w:rPr>
          <w:rFonts w:ascii="Arial" w:hAnsi="Arial" w:cs="Arial"/>
          <w:sz w:val="22"/>
          <w:szCs w:val="22"/>
        </w:rPr>
        <w:t>Genazzani</w:t>
      </w:r>
      <w:proofErr w:type="spellEnd"/>
      <w:r w:rsidRPr="00A6203D">
        <w:rPr>
          <w:rFonts w:ascii="Arial" w:hAnsi="Arial" w:cs="Arial"/>
          <w:sz w:val="22"/>
          <w:szCs w:val="22"/>
        </w:rPr>
        <w:t xml:space="preserve"> AR, Felsenberg D, </w:t>
      </w:r>
      <w:proofErr w:type="spellStart"/>
      <w:r w:rsidRPr="00A6203D">
        <w:rPr>
          <w:rFonts w:ascii="Arial" w:hAnsi="Arial" w:cs="Arial"/>
          <w:sz w:val="22"/>
          <w:szCs w:val="22"/>
        </w:rPr>
        <w:t>Happ</w:t>
      </w:r>
      <w:proofErr w:type="spellEnd"/>
      <w:r w:rsidRPr="00A6203D">
        <w:rPr>
          <w:rFonts w:ascii="Arial" w:hAnsi="Arial" w:cs="Arial"/>
          <w:sz w:val="22"/>
          <w:szCs w:val="22"/>
        </w:rPr>
        <w:t xml:space="preserve"> J, Hooper MJ, Ittner J, Leb G, </w:t>
      </w:r>
      <w:proofErr w:type="spellStart"/>
      <w:r w:rsidRPr="00A6203D">
        <w:rPr>
          <w:rFonts w:ascii="Arial" w:hAnsi="Arial" w:cs="Arial"/>
          <w:sz w:val="22"/>
          <w:szCs w:val="22"/>
        </w:rPr>
        <w:t>Mallmin</w:t>
      </w:r>
      <w:proofErr w:type="spellEnd"/>
      <w:r w:rsidRPr="00A6203D">
        <w:rPr>
          <w:rFonts w:ascii="Arial" w:hAnsi="Arial" w:cs="Arial"/>
          <w:sz w:val="22"/>
          <w:szCs w:val="22"/>
        </w:rPr>
        <w:t xml:space="preserve"> H, Murray T, Ortolani S, </w:t>
      </w:r>
      <w:proofErr w:type="spellStart"/>
      <w:r w:rsidRPr="00A6203D">
        <w:rPr>
          <w:rFonts w:ascii="Arial" w:hAnsi="Arial" w:cs="Arial"/>
          <w:sz w:val="22"/>
          <w:szCs w:val="22"/>
        </w:rPr>
        <w:t>Rubinacci</w:t>
      </w:r>
      <w:proofErr w:type="spellEnd"/>
      <w:r w:rsidRPr="00A6203D">
        <w:rPr>
          <w:rFonts w:ascii="Arial" w:hAnsi="Arial" w:cs="Arial"/>
          <w:sz w:val="22"/>
          <w:szCs w:val="22"/>
        </w:rPr>
        <w:t xml:space="preserve"> A, </w:t>
      </w:r>
      <w:proofErr w:type="spellStart"/>
      <w:r w:rsidRPr="00A6203D">
        <w:rPr>
          <w:rFonts w:ascii="Arial" w:hAnsi="Arial" w:cs="Arial"/>
          <w:sz w:val="22"/>
          <w:szCs w:val="22"/>
        </w:rPr>
        <w:t>Saaf</w:t>
      </w:r>
      <w:proofErr w:type="spellEnd"/>
      <w:r w:rsidRPr="00A6203D">
        <w:rPr>
          <w:rFonts w:ascii="Arial" w:hAnsi="Arial" w:cs="Arial"/>
          <w:sz w:val="22"/>
          <w:szCs w:val="22"/>
        </w:rPr>
        <w:t xml:space="preserve"> M, </w:t>
      </w:r>
      <w:proofErr w:type="spellStart"/>
      <w:r w:rsidRPr="00A6203D">
        <w:rPr>
          <w:rFonts w:ascii="Arial" w:hAnsi="Arial" w:cs="Arial"/>
          <w:sz w:val="22"/>
          <w:szCs w:val="22"/>
        </w:rPr>
        <w:t>Samsioe</w:t>
      </w:r>
      <w:proofErr w:type="spellEnd"/>
      <w:r w:rsidRPr="00A6203D">
        <w:rPr>
          <w:rFonts w:ascii="Arial" w:hAnsi="Arial" w:cs="Arial"/>
          <w:sz w:val="22"/>
          <w:szCs w:val="22"/>
        </w:rPr>
        <w:t xml:space="preserve"> G, Verbruggen L, Meunier PJ. Intravenous zoledronic acid in postmenopausal women with low bone mineral density. N Engl J Med. </w:t>
      </w:r>
      <w:proofErr w:type="gramStart"/>
      <w:r w:rsidRPr="00A6203D">
        <w:rPr>
          <w:rFonts w:ascii="Arial" w:hAnsi="Arial" w:cs="Arial"/>
          <w:sz w:val="22"/>
          <w:szCs w:val="22"/>
        </w:rPr>
        <w:t>2002;346:653</w:t>
      </w:r>
      <w:proofErr w:type="gramEnd"/>
      <w:r w:rsidRPr="00A6203D">
        <w:rPr>
          <w:rFonts w:ascii="Arial" w:hAnsi="Arial" w:cs="Arial"/>
          <w:sz w:val="22"/>
          <w:szCs w:val="22"/>
        </w:rPr>
        <w:t>–661. </w:t>
      </w:r>
    </w:p>
    <w:p w14:paraId="051440C4" w14:textId="19743D1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146.</w:t>
      </w:r>
      <w:r w:rsidR="000021B0" w:rsidRPr="00A6203D">
        <w:rPr>
          <w:rFonts w:ascii="Arial" w:hAnsi="Arial" w:cs="Arial"/>
          <w:sz w:val="22"/>
          <w:szCs w:val="22"/>
        </w:rPr>
        <w:t xml:space="preserve">   </w:t>
      </w:r>
      <w:r w:rsidRPr="00A6203D">
        <w:rPr>
          <w:rFonts w:ascii="Arial" w:hAnsi="Arial" w:cs="Arial"/>
          <w:sz w:val="22"/>
          <w:szCs w:val="22"/>
        </w:rPr>
        <w:t>Whitaker M, Guo J, Kehoe T, Benson G. Bisphosphonates for Osteoporosis - Where Do We Go from Here? N Engl J Med. 2012 </w:t>
      </w:r>
    </w:p>
    <w:p w14:paraId="668CC28A" w14:textId="6EED3DD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147.</w:t>
      </w:r>
      <w:r w:rsidR="000021B0" w:rsidRPr="00A6203D">
        <w:rPr>
          <w:rFonts w:ascii="Arial" w:hAnsi="Arial" w:cs="Arial"/>
          <w:sz w:val="22"/>
          <w:szCs w:val="22"/>
        </w:rPr>
        <w:t xml:space="preserve">   </w:t>
      </w:r>
      <w:r w:rsidRPr="00A6203D">
        <w:rPr>
          <w:rFonts w:ascii="Arial" w:hAnsi="Arial" w:cs="Arial"/>
          <w:sz w:val="22"/>
          <w:szCs w:val="22"/>
        </w:rPr>
        <w:t>Black DM, Reid IR, Boonen S, Bucci-</w:t>
      </w:r>
      <w:proofErr w:type="spellStart"/>
      <w:r w:rsidRPr="00A6203D">
        <w:rPr>
          <w:rFonts w:ascii="Arial" w:hAnsi="Arial" w:cs="Arial"/>
          <w:sz w:val="22"/>
          <w:szCs w:val="22"/>
        </w:rPr>
        <w:t>Rechtweg</w:t>
      </w:r>
      <w:proofErr w:type="spellEnd"/>
      <w:r w:rsidRPr="00A6203D">
        <w:rPr>
          <w:rFonts w:ascii="Arial" w:hAnsi="Arial" w:cs="Arial"/>
          <w:sz w:val="22"/>
          <w:szCs w:val="22"/>
        </w:rPr>
        <w:t xml:space="preserve"> C, Cauley JA, Cosman F, Cummings SR, Hue TF, </w:t>
      </w:r>
      <w:proofErr w:type="spellStart"/>
      <w:r w:rsidRPr="00A6203D">
        <w:rPr>
          <w:rFonts w:ascii="Arial" w:hAnsi="Arial" w:cs="Arial"/>
          <w:sz w:val="22"/>
          <w:szCs w:val="22"/>
        </w:rPr>
        <w:t>Lippuner</w:t>
      </w:r>
      <w:proofErr w:type="spellEnd"/>
      <w:r w:rsidRPr="00A6203D">
        <w:rPr>
          <w:rFonts w:ascii="Arial" w:hAnsi="Arial" w:cs="Arial"/>
          <w:sz w:val="22"/>
          <w:szCs w:val="22"/>
        </w:rPr>
        <w:t xml:space="preserve"> K, Lakatos P, Leung PC, Man Z, Martinez RL, Tan M, </w:t>
      </w:r>
      <w:proofErr w:type="spellStart"/>
      <w:r w:rsidRPr="00A6203D">
        <w:rPr>
          <w:rFonts w:ascii="Arial" w:hAnsi="Arial" w:cs="Arial"/>
          <w:sz w:val="22"/>
          <w:szCs w:val="22"/>
        </w:rPr>
        <w:t>Ruzycky</w:t>
      </w:r>
      <w:proofErr w:type="spellEnd"/>
      <w:r w:rsidRPr="00A6203D">
        <w:rPr>
          <w:rFonts w:ascii="Arial" w:hAnsi="Arial" w:cs="Arial"/>
          <w:sz w:val="22"/>
          <w:szCs w:val="22"/>
        </w:rPr>
        <w:t xml:space="preserve"> ME, </w:t>
      </w:r>
      <w:proofErr w:type="spellStart"/>
      <w:r w:rsidRPr="00A6203D">
        <w:rPr>
          <w:rFonts w:ascii="Arial" w:hAnsi="Arial" w:cs="Arial"/>
          <w:sz w:val="22"/>
          <w:szCs w:val="22"/>
        </w:rPr>
        <w:t>Su</w:t>
      </w:r>
      <w:proofErr w:type="spellEnd"/>
      <w:r w:rsidRPr="00A6203D">
        <w:rPr>
          <w:rFonts w:ascii="Arial" w:hAnsi="Arial" w:cs="Arial"/>
          <w:sz w:val="22"/>
          <w:szCs w:val="22"/>
        </w:rPr>
        <w:t xml:space="preserve"> G,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The effect of 3 versus 6 years of zoledronic acid treatment of osteoporosis: a randomized extension to the HORIZON-Pivotal Fracture Trial (PFT). J Bone Miner Res. </w:t>
      </w:r>
      <w:proofErr w:type="gramStart"/>
      <w:r w:rsidRPr="00A6203D">
        <w:rPr>
          <w:rFonts w:ascii="Arial" w:hAnsi="Arial" w:cs="Arial"/>
          <w:sz w:val="22"/>
          <w:szCs w:val="22"/>
        </w:rPr>
        <w:t>2012;27:243</w:t>
      </w:r>
      <w:proofErr w:type="gramEnd"/>
      <w:r w:rsidRPr="00A6203D">
        <w:rPr>
          <w:rFonts w:ascii="Arial" w:hAnsi="Arial" w:cs="Arial"/>
          <w:sz w:val="22"/>
          <w:szCs w:val="22"/>
        </w:rPr>
        <w:t>–254. </w:t>
      </w:r>
    </w:p>
    <w:p w14:paraId="1FFFE9EC" w14:textId="1AF6B00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148.</w:t>
      </w:r>
      <w:r w:rsidR="000021B0" w:rsidRPr="00A6203D">
        <w:rPr>
          <w:rFonts w:ascii="Arial" w:hAnsi="Arial" w:cs="Arial"/>
          <w:sz w:val="22"/>
          <w:szCs w:val="22"/>
        </w:rPr>
        <w:t xml:space="preserve">   </w:t>
      </w:r>
      <w:r w:rsidRPr="00A6203D">
        <w:rPr>
          <w:rFonts w:ascii="Arial" w:hAnsi="Arial" w:cs="Arial"/>
          <w:sz w:val="22"/>
          <w:szCs w:val="22"/>
        </w:rPr>
        <w:t xml:space="preserve">Cosman F, Cauley JA,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Boonen S, Palermo L, Reid IR, Cummings SR, Black DM. Reassessment of fracture risk in women after 3 years of treatment with zoledronic </w:t>
      </w:r>
      <w:r w:rsidRPr="00A6203D">
        <w:rPr>
          <w:rFonts w:ascii="Arial" w:hAnsi="Arial" w:cs="Arial"/>
          <w:sz w:val="22"/>
          <w:szCs w:val="22"/>
        </w:rPr>
        <w:lastRenderedPageBreak/>
        <w:t xml:space="preserve">acid: when is it reasonable to discontinue treatment?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2014;99:4546</w:t>
      </w:r>
      <w:proofErr w:type="gramEnd"/>
      <w:r w:rsidRPr="00A6203D">
        <w:rPr>
          <w:rFonts w:ascii="Arial" w:hAnsi="Arial" w:cs="Arial"/>
          <w:sz w:val="22"/>
          <w:szCs w:val="22"/>
        </w:rPr>
        <w:t>–4554. </w:t>
      </w:r>
    </w:p>
    <w:p w14:paraId="06262EB9" w14:textId="6E3343E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149.</w:t>
      </w:r>
      <w:r w:rsidR="00BC13EA" w:rsidRPr="00A6203D">
        <w:rPr>
          <w:rFonts w:ascii="Arial" w:hAnsi="Arial" w:cs="Arial"/>
          <w:sz w:val="22"/>
          <w:szCs w:val="22"/>
        </w:rPr>
        <w:t xml:space="preserve">  </w:t>
      </w:r>
      <w:r w:rsidRPr="00A6203D">
        <w:rPr>
          <w:rFonts w:ascii="Arial" w:hAnsi="Arial" w:cs="Arial"/>
          <w:sz w:val="22"/>
          <w:szCs w:val="22"/>
        </w:rPr>
        <w:t xml:space="preserve">Watts NB, Diab DL. Long-term use of bisphosphonates in osteoporosis.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2010;95:1555</w:t>
      </w:r>
      <w:proofErr w:type="gramEnd"/>
      <w:r w:rsidRPr="00A6203D">
        <w:rPr>
          <w:rFonts w:ascii="Arial" w:hAnsi="Arial" w:cs="Arial"/>
          <w:sz w:val="22"/>
          <w:szCs w:val="22"/>
        </w:rPr>
        <w:t>–1565. </w:t>
      </w:r>
    </w:p>
    <w:p w14:paraId="4C61812E" w14:textId="7822378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150.</w:t>
      </w:r>
      <w:r w:rsidR="00BC13EA" w:rsidRPr="00A6203D">
        <w:rPr>
          <w:rFonts w:ascii="Arial" w:hAnsi="Arial" w:cs="Arial"/>
          <w:sz w:val="22"/>
          <w:szCs w:val="22"/>
        </w:rPr>
        <w:t xml:space="preserve">   </w:t>
      </w:r>
      <w:r w:rsidRPr="00A6203D">
        <w:rPr>
          <w:rFonts w:ascii="Arial" w:hAnsi="Arial" w:cs="Arial"/>
          <w:sz w:val="22"/>
          <w:szCs w:val="22"/>
        </w:rPr>
        <w:t>Black DM, Bauer DC, Schwartz AV, Cummings SR, Rosen CJ. Continuing Bisphosphonate Treatment for Osteoporosis - For Whom and for How Long? N Engl J Med. 2012 </w:t>
      </w:r>
    </w:p>
    <w:p w14:paraId="14670C3A" w14:textId="51B9D30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151.</w:t>
      </w:r>
      <w:r w:rsidR="00BC13EA" w:rsidRPr="00A6203D">
        <w:rPr>
          <w:rFonts w:ascii="Arial" w:hAnsi="Arial" w:cs="Arial"/>
          <w:sz w:val="22"/>
          <w:szCs w:val="22"/>
        </w:rPr>
        <w:t xml:space="preserve">   </w:t>
      </w:r>
      <w:r w:rsidRPr="00A6203D">
        <w:rPr>
          <w:rFonts w:ascii="Arial" w:hAnsi="Arial" w:cs="Arial"/>
          <w:sz w:val="22"/>
          <w:szCs w:val="22"/>
        </w:rPr>
        <w:t xml:space="preserve">Adler RA, El-Hajj </w:t>
      </w:r>
      <w:proofErr w:type="spellStart"/>
      <w:r w:rsidRPr="00A6203D">
        <w:rPr>
          <w:rFonts w:ascii="Arial" w:hAnsi="Arial" w:cs="Arial"/>
          <w:sz w:val="22"/>
          <w:szCs w:val="22"/>
        </w:rPr>
        <w:t>Fuleihan</w:t>
      </w:r>
      <w:proofErr w:type="spellEnd"/>
      <w:r w:rsidRPr="00A6203D">
        <w:rPr>
          <w:rFonts w:ascii="Arial" w:hAnsi="Arial" w:cs="Arial"/>
          <w:sz w:val="22"/>
          <w:szCs w:val="22"/>
        </w:rPr>
        <w:t xml:space="preserve"> G, Bauer DC, Camacho PM, Clarke BL, Clines GA, Compston JE, Drake MT, Edwards BJ, Favus MJ, Greenspan SL, McKinney R Jr, </w:t>
      </w:r>
      <w:proofErr w:type="spellStart"/>
      <w:r w:rsidRPr="00A6203D">
        <w:rPr>
          <w:rFonts w:ascii="Arial" w:hAnsi="Arial" w:cs="Arial"/>
          <w:sz w:val="22"/>
          <w:szCs w:val="22"/>
        </w:rPr>
        <w:t>Pignolo</w:t>
      </w:r>
      <w:proofErr w:type="spellEnd"/>
      <w:r w:rsidRPr="00A6203D">
        <w:rPr>
          <w:rFonts w:ascii="Arial" w:hAnsi="Arial" w:cs="Arial"/>
          <w:sz w:val="22"/>
          <w:szCs w:val="22"/>
        </w:rPr>
        <w:t xml:space="preserve"> RJ, Sellmeyer DE. Managing Osteoporosis in Patients on Long-Term Bisphosphonate Treatment: Report of a Task Force of the American Society for Bone and Mineral Research. J Bone Miner Res. </w:t>
      </w:r>
      <w:proofErr w:type="gramStart"/>
      <w:r w:rsidRPr="00A6203D">
        <w:rPr>
          <w:rFonts w:ascii="Arial" w:hAnsi="Arial" w:cs="Arial"/>
          <w:sz w:val="22"/>
          <w:szCs w:val="22"/>
        </w:rPr>
        <w:t>2016;31:16</w:t>
      </w:r>
      <w:proofErr w:type="gramEnd"/>
      <w:r w:rsidRPr="00A6203D">
        <w:rPr>
          <w:rFonts w:ascii="Arial" w:hAnsi="Arial" w:cs="Arial"/>
          <w:sz w:val="22"/>
          <w:szCs w:val="22"/>
        </w:rPr>
        <w:t>–35. </w:t>
      </w:r>
    </w:p>
    <w:p w14:paraId="2CCE1DA9" w14:textId="4DAB23D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152.</w:t>
      </w:r>
      <w:r w:rsidR="00BC13EA" w:rsidRPr="00A6203D">
        <w:rPr>
          <w:rFonts w:ascii="Arial" w:hAnsi="Arial" w:cs="Arial"/>
          <w:sz w:val="22"/>
          <w:szCs w:val="22"/>
        </w:rPr>
        <w:t xml:space="preserve">   </w:t>
      </w:r>
      <w:r w:rsidRPr="00A6203D">
        <w:rPr>
          <w:rFonts w:ascii="Arial" w:hAnsi="Arial" w:cs="Arial"/>
          <w:sz w:val="22"/>
          <w:szCs w:val="22"/>
        </w:rPr>
        <w:t xml:space="preserve">de Groen PC, Lubbe DF, Hirsch LJ, </w:t>
      </w:r>
      <w:proofErr w:type="spellStart"/>
      <w:r w:rsidRPr="00A6203D">
        <w:rPr>
          <w:rFonts w:ascii="Arial" w:hAnsi="Arial" w:cs="Arial"/>
          <w:sz w:val="22"/>
          <w:szCs w:val="22"/>
        </w:rPr>
        <w:t>Daifotis</w:t>
      </w:r>
      <w:proofErr w:type="spellEnd"/>
      <w:r w:rsidRPr="00A6203D">
        <w:rPr>
          <w:rFonts w:ascii="Arial" w:hAnsi="Arial" w:cs="Arial"/>
          <w:sz w:val="22"/>
          <w:szCs w:val="22"/>
        </w:rPr>
        <w:t xml:space="preserve"> A, Stephenson W, </w:t>
      </w:r>
      <w:proofErr w:type="spellStart"/>
      <w:r w:rsidRPr="00A6203D">
        <w:rPr>
          <w:rFonts w:ascii="Arial" w:hAnsi="Arial" w:cs="Arial"/>
          <w:sz w:val="22"/>
          <w:szCs w:val="22"/>
        </w:rPr>
        <w:t>Freedholm</w:t>
      </w:r>
      <w:proofErr w:type="spellEnd"/>
      <w:r w:rsidRPr="00A6203D">
        <w:rPr>
          <w:rFonts w:ascii="Arial" w:hAnsi="Arial" w:cs="Arial"/>
          <w:sz w:val="22"/>
          <w:szCs w:val="22"/>
        </w:rPr>
        <w:t xml:space="preserve"> D, Pryor-Tillotson S, </w:t>
      </w:r>
      <w:proofErr w:type="spellStart"/>
      <w:r w:rsidRPr="00A6203D">
        <w:rPr>
          <w:rFonts w:ascii="Arial" w:hAnsi="Arial" w:cs="Arial"/>
          <w:sz w:val="22"/>
          <w:szCs w:val="22"/>
        </w:rPr>
        <w:t>Seleznick</w:t>
      </w:r>
      <w:proofErr w:type="spellEnd"/>
      <w:r w:rsidRPr="00A6203D">
        <w:rPr>
          <w:rFonts w:ascii="Arial" w:hAnsi="Arial" w:cs="Arial"/>
          <w:sz w:val="22"/>
          <w:szCs w:val="22"/>
        </w:rPr>
        <w:t xml:space="preserve"> MJ, Pinkas H, Wang KK. Esophagitis associated with the use of alendronate. N Engl J Med. </w:t>
      </w:r>
      <w:proofErr w:type="gramStart"/>
      <w:r w:rsidRPr="00A6203D">
        <w:rPr>
          <w:rFonts w:ascii="Arial" w:hAnsi="Arial" w:cs="Arial"/>
          <w:sz w:val="22"/>
          <w:szCs w:val="22"/>
        </w:rPr>
        <w:t>1996;335:1016</w:t>
      </w:r>
      <w:proofErr w:type="gramEnd"/>
      <w:r w:rsidRPr="00A6203D">
        <w:rPr>
          <w:rFonts w:ascii="Arial" w:hAnsi="Arial" w:cs="Arial"/>
          <w:sz w:val="22"/>
          <w:szCs w:val="22"/>
        </w:rPr>
        <w:t>–1021. </w:t>
      </w:r>
    </w:p>
    <w:p w14:paraId="1CC665A8" w14:textId="326518E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153.</w:t>
      </w:r>
      <w:r w:rsidR="00BC13EA" w:rsidRPr="00A6203D">
        <w:rPr>
          <w:rFonts w:ascii="Arial" w:hAnsi="Arial" w:cs="Arial"/>
          <w:sz w:val="22"/>
          <w:szCs w:val="22"/>
        </w:rPr>
        <w:t xml:space="preserve">   </w:t>
      </w:r>
      <w:r w:rsidRPr="00A6203D">
        <w:rPr>
          <w:rFonts w:ascii="Arial" w:hAnsi="Arial" w:cs="Arial"/>
          <w:sz w:val="22"/>
          <w:szCs w:val="22"/>
        </w:rPr>
        <w:t xml:space="preserve">Eriksen EF, Lyles KW, Colon-Emeric CS, Pieper CF, Magaziner JS, Adachi JD, Hyldstrup L, Recknor C, </w:t>
      </w:r>
      <w:proofErr w:type="spellStart"/>
      <w:r w:rsidRPr="00A6203D">
        <w:rPr>
          <w:rFonts w:ascii="Arial" w:hAnsi="Arial" w:cs="Arial"/>
          <w:sz w:val="22"/>
          <w:szCs w:val="22"/>
        </w:rPr>
        <w:t>Nordsletten</w:t>
      </w:r>
      <w:proofErr w:type="spellEnd"/>
      <w:r w:rsidRPr="00A6203D">
        <w:rPr>
          <w:rFonts w:ascii="Arial" w:hAnsi="Arial" w:cs="Arial"/>
          <w:sz w:val="22"/>
          <w:szCs w:val="22"/>
        </w:rPr>
        <w:t xml:space="preserve"> L, Lavecchia C, Hu H, Boonen S, Mesenbrink P. Antifracture efficacy and reduction of mortality in relation to timing of the first dose of zoledronic acid after hip fracture. J Bone Miner Res. </w:t>
      </w:r>
      <w:proofErr w:type="gramStart"/>
      <w:r w:rsidRPr="00A6203D">
        <w:rPr>
          <w:rFonts w:ascii="Arial" w:hAnsi="Arial" w:cs="Arial"/>
          <w:sz w:val="22"/>
          <w:szCs w:val="22"/>
        </w:rPr>
        <w:t>2009;24:1308</w:t>
      </w:r>
      <w:proofErr w:type="gramEnd"/>
      <w:r w:rsidRPr="00A6203D">
        <w:rPr>
          <w:rFonts w:ascii="Arial" w:hAnsi="Arial" w:cs="Arial"/>
          <w:sz w:val="22"/>
          <w:szCs w:val="22"/>
        </w:rPr>
        <w:t>–1313. </w:t>
      </w:r>
    </w:p>
    <w:p w14:paraId="02EBF4BB" w14:textId="2C03663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154.</w:t>
      </w:r>
      <w:r w:rsidR="00BC13EA" w:rsidRPr="00A6203D">
        <w:rPr>
          <w:rFonts w:ascii="Arial" w:hAnsi="Arial" w:cs="Arial"/>
          <w:sz w:val="22"/>
          <w:szCs w:val="22"/>
        </w:rPr>
        <w:t xml:space="preserve">   </w:t>
      </w:r>
      <w:r w:rsidRPr="00A6203D">
        <w:rPr>
          <w:rFonts w:ascii="Arial" w:hAnsi="Arial" w:cs="Arial"/>
          <w:sz w:val="22"/>
          <w:szCs w:val="22"/>
        </w:rPr>
        <w:t xml:space="preserve">Simonet WS, Lacey DL, Dunstan CR, Kelley M, Chang MS, Luthy R, Nguyen HQ, Wooden S, Bennett L, Boone T, Shimamoto G, DeRose M, Elliott R, </w:t>
      </w:r>
      <w:proofErr w:type="spellStart"/>
      <w:r w:rsidRPr="00A6203D">
        <w:rPr>
          <w:rFonts w:ascii="Arial" w:hAnsi="Arial" w:cs="Arial"/>
          <w:sz w:val="22"/>
          <w:szCs w:val="22"/>
        </w:rPr>
        <w:t>Colombero</w:t>
      </w:r>
      <w:proofErr w:type="spellEnd"/>
      <w:r w:rsidRPr="00A6203D">
        <w:rPr>
          <w:rFonts w:ascii="Arial" w:hAnsi="Arial" w:cs="Arial"/>
          <w:sz w:val="22"/>
          <w:szCs w:val="22"/>
        </w:rPr>
        <w:t xml:space="preserve"> A, Tan HL, Trail G, Sullivan J, Davy E, </w:t>
      </w:r>
      <w:proofErr w:type="spellStart"/>
      <w:r w:rsidRPr="00A6203D">
        <w:rPr>
          <w:rFonts w:ascii="Arial" w:hAnsi="Arial" w:cs="Arial"/>
          <w:sz w:val="22"/>
          <w:szCs w:val="22"/>
        </w:rPr>
        <w:t>Bucay</w:t>
      </w:r>
      <w:proofErr w:type="spellEnd"/>
      <w:r w:rsidRPr="00A6203D">
        <w:rPr>
          <w:rFonts w:ascii="Arial" w:hAnsi="Arial" w:cs="Arial"/>
          <w:sz w:val="22"/>
          <w:szCs w:val="22"/>
        </w:rPr>
        <w:t xml:space="preserve"> N, Renshaw-Gegg L, Hughes TM, Hill D, Pattison W, Campbell P, Sander S, Van G, Tarpley J, Derby P, Lee R, Boyle WJ. </w:t>
      </w:r>
      <w:proofErr w:type="spellStart"/>
      <w:r w:rsidRPr="00A6203D">
        <w:rPr>
          <w:rFonts w:ascii="Arial" w:hAnsi="Arial" w:cs="Arial"/>
          <w:sz w:val="22"/>
          <w:szCs w:val="22"/>
        </w:rPr>
        <w:t>Osteoprotegerin</w:t>
      </w:r>
      <w:proofErr w:type="spellEnd"/>
      <w:r w:rsidRPr="00A6203D">
        <w:rPr>
          <w:rFonts w:ascii="Arial" w:hAnsi="Arial" w:cs="Arial"/>
          <w:sz w:val="22"/>
          <w:szCs w:val="22"/>
        </w:rPr>
        <w:t>: a novel secreted protein involved in the regulation of bone density. Cell. </w:t>
      </w:r>
      <w:proofErr w:type="gramStart"/>
      <w:r w:rsidRPr="00A6203D">
        <w:rPr>
          <w:rFonts w:ascii="Arial" w:hAnsi="Arial" w:cs="Arial"/>
          <w:sz w:val="22"/>
          <w:szCs w:val="22"/>
        </w:rPr>
        <w:t>1997;89:309</w:t>
      </w:r>
      <w:proofErr w:type="gramEnd"/>
      <w:r w:rsidRPr="00A6203D">
        <w:rPr>
          <w:rFonts w:ascii="Arial" w:hAnsi="Arial" w:cs="Arial"/>
          <w:sz w:val="22"/>
          <w:szCs w:val="22"/>
        </w:rPr>
        <w:t>–319. </w:t>
      </w:r>
    </w:p>
    <w:p w14:paraId="0CFE4240" w14:textId="5DD4F0D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155.</w:t>
      </w:r>
      <w:r w:rsidR="00BC13EA" w:rsidRPr="00A6203D">
        <w:rPr>
          <w:rFonts w:ascii="Arial" w:hAnsi="Arial" w:cs="Arial"/>
          <w:sz w:val="22"/>
          <w:szCs w:val="22"/>
        </w:rPr>
        <w:t xml:space="preserve">   </w:t>
      </w:r>
      <w:r w:rsidRPr="00A6203D">
        <w:rPr>
          <w:rFonts w:ascii="Arial" w:hAnsi="Arial" w:cs="Arial"/>
          <w:sz w:val="22"/>
          <w:szCs w:val="22"/>
        </w:rPr>
        <w:t xml:space="preserve">Cummings SR, San Martin J, McClung MR, Siris ES,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Reid IR, Delmas P, </w:t>
      </w:r>
      <w:proofErr w:type="spellStart"/>
      <w:r w:rsidRPr="00A6203D">
        <w:rPr>
          <w:rFonts w:ascii="Arial" w:hAnsi="Arial" w:cs="Arial"/>
          <w:sz w:val="22"/>
          <w:szCs w:val="22"/>
        </w:rPr>
        <w:t>Zoog</w:t>
      </w:r>
      <w:proofErr w:type="spellEnd"/>
      <w:r w:rsidRPr="00A6203D">
        <w:rPr>
          <w:rFonts w:ascii="Arial" w:hAnsi="Arial" w:cs="Arial"/>
          <w:sz w:val="22"/>
          <w:szCs w:val="22"/>
        </w:rPr>
        <w:t xml:space="preserve"> HB, Austin M, Wang A, Kutilek S, Adami S, Zanchetta J, </w:t>
      </w:r>
      <w:proofErr w:type="spellStart"/>
      <w:r w:rsidRPr="00A6203D">
        <w:rPr>
          <w:rFonts w:ascii="Arial" w:hAnsi="Arial" w:cs="Arial"/>
          <w:sz w:val="22"/>
          <w:szCs w:val="22"/>
        </w:rPr>
        <w:t>Libanati</w:t>
      </w:r>
      <w:proofErr w:type="spellEnd"/>
      <w:r w:rsidRPr="00A6203D">
        <w:rPr>
          <w:rFonts w:ascii="Arial" w:hAnsi="Arial" w:cs="Arial"/>
          <w:sz w:val="22"/>
          <w:szCs w:val="22"/>
        </w:rPr>
        <w:t xml:space="preserve"> C, </w:t>
      </w:r>
      <w:proofErr w:type="spellStart"/>
      <w:r w:rsidRPr="00A6203D">
        <w:rPr>
          <w:rFonts w:ascii="Arial" w:hAnsi="Arial" w:cs="Arial"/>
          <w:sz w:val="22"/>
          <w:szCs w:val="22"/>
        </w:rPr>
        <w:t>Siddhanti</w:t>
      </w:r>
      <w:proofErr w:type="spellEnd"/>
      <w:r w:rsidRPr="00A6203D">
        <w:rPr>
          <w:rFonts w:ascii="Arial" w:hAnsi="Arial" w:cs="Arial"/>
          <w:sz w:val="22"/>
          <w:szCs w:val="22"/>
        </w:rPr>
        <w:t xml:space="preserve"> S, Christiansen C. Denosumab for prevention of fractures in postmenopausal women with osteoporosis. N Engl J Med. </w:t>
      </w:r>
      <w:proofErr w:type="gramStart"/>
      <w:r w:rsidRPr="00A6203D">
        <w:rPr>
          <w:rFonts w:ascii="Arial" w:hAnsi="Arial" w:cs="Arial"/>
          <w:sz w:val="22"/>
          <w:szCs w:val="22"/>
        </w:rPr>
        <w:t>2009;361:756</w:t>
      </w:r>
      <w:proofErr w:type="gramEnd"/>
      <w:r w:rsidRPr="00A6203D">
        <w:rPr>
          <w:rFonts w:ascii="Arial" w:hAnsi="Arial" w:cs="Arial"/>
          <w:sz w:val="22"/>
          <w:szCs w:val="22"/>
        </w:rPr>
        <w:t>–765. </w:t>
      </w:r>
    </w:p>
    <w:p w14:paraId="369E29EE" w14:textId="224DFDA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157.</w:t>
      </w:r>
      <w:r w:rsidR="00BC13EA" w:rsidRPr="00A6203D">
        <w:rPr>
          <w:rFonts w:ascii="Arial" w:hAnsi="Arial" w:cs="Arial"/>
          <w:sz w:val="22"/>
          <w:szCs w:val="22"/>
        </w:rPr>
        <w:t xml:space="preserve">   </w:t>
      </w:r>
      <w:r w:rsidRPr="00A6203D">
        <w:rPr>
          <w:rFonts w:ascii="Arial" w:hAnsi="Arial" w:cs="Arial"/>
          <w:sz w:val="22"/>
          <w:szCs w:val="22"/>
        </w:rPr>
        <w:t xml:space="preserve">von </w:t>
      </w:r>
      <w:proofErr w:type="spellStart"/>
      <w:r w:rsidRPr="00A6203D">
        <w:rPr>
          <w:rFonts w:ascii="Arial" w:hAnsi="Arial" w:cs="Arial"/>
          <w:sz w:val="22"/>
          <w:szCs w:val="22"/>
        </w:rPr>
        <w:t>Keyserlingk</w:t>
      </w:r>
      <w:proofErr w:type="spellEnd"/>
      <w:r w:rsidRPr="00A6203D">
        <w:rPr>
          <w:rFonts w:ascii="Arial" w:hAnsi="Arial" w:cs="Arial"/>
          <w:sz w:val="22"/>
          <w:szCs w:val="22"/>
        </w:rPr>
        <w:t xml:space="preserve"> C, Hopkins R, </w:t>
      </w:r>
      <w:proofErr w:type="spellStart"/>
      <w:r w:rsidRPr="00A6203D">
        <w:rPr>
          <w:rFonts w:ascii="Arial" w:hAnsi="Arial" w:cs="Arial"/>
          <w:sz w:val="22"/>
          <w:szCs w:val="22"/>
        </w:rPr>
        <w:t>Anastasilakis</w:t>
      </w:r>
      <w:proofErr w:type="spellEnd"/>
      <w:r w:rsidRPr="00A6203D">
        <w:rPr>
          <w:rFonts w:ascii="Arial" w:hAnsi="Arial" w:cs="Arial"/>
          <w:sz w:val="22"/>
          <w:szCs w:val="22"/>
        </w:rPr>
        <w:t xml:space="preserve"> A, </w:t>
      </w:r>
      <w:proofErr w:type="spellStart"/>
      <w:r w:rsidRPr="00A6203D">
        <w:rPr>
          <w:rFonts w:ascii="Arial" w:hAnsi="Arial" w:cs="Arial"/>
          <w:sz w:val="22"/>
          <w:szCs w:val="22"/>
        </w:rPr>
        <w:t>Toulis</w:t>
      </w:r>
      <w:proofErr w:type="spellEnd"/>
      <w:r w:rsidRPr="00A6203D">
        <w:rPr>
          <w:rFonts w:ascii="Arial" w:hAnsi="Arial" w:cs="Arial"/>
          <w:sz w:val="22"/>
          <w:szCs w:val="22"/>
        </w:rPr>
        <w:t xml:space="preserve"> K, </w:t>
      </w:r>
      <w:proofErr w:type="spellStart"/>
      <w:r w:rsidRPr="00A6203D">
        <w:rPr>
          <w:rFonts w:ascii="Arial" w:hAnsi="Arial" w:cs="Arial"/>
          <w:sz w:val="22"/>
          <w:szCs w:val="22"/>
        </w:rPr>
        <w:t>Goeree</w:t>
      </w:r>
      <w:proofErr w:type="spellEnd"/>
      <w:r w:rsidRPr="00A6203D">
        <w:rPr>
          <w:rFonts w:ascii="Arial" w:hAnsi="Arial" w:cs="Arial"/>
          <w:sz w:val="22"/>
          <w:szCs w:val="22"/>
        </w:rPr>
        <w:t xml:space="preserve"> R, </w:t>
      </w:r>
      <w:proofErr w:type="spellStart"/>
      <w:r w:rsidRPr="00A6203D">
        <w:rPr>
          <w:rFonts w:ascii="Arial" w:hAnsi="Arial" w:cs="Arial"/>
          <w:sz w:val="22"/>
          <w:szCs w:val="22"/>
        </w:rPr>
        <w:t>Tarride</w:t>
      </w:r>
      <w:proofErr w:type="spellEnd"/>
      <w:r w:rsidRPr="00A6203D">
        <w:rPr>
          <w:rFonts w:ascii="Arial" w:hAnsi="Arial" w:cs="Arial"/>
          <w:sz w:val="22"/>
          <w:szCs w:val="22"/>
        </w:rPr>
        <w:t xml:space="preserve"> JE, Xie F. Clinical efficacy and safety of denosumab in postmenopausal women with low bone mineral density and osteoporosis: a meta-analysis. Seminars in arthritis and rheumatism. </w:t>
      </w:r>
      <w:proofErr w:type="gramStart"/>
      <w:r w:rsidRPr="00A6203D">
        <w:rPr>
          <w:rFonts w:ascii="Arial" w:hAnsi="Arial" w:cs="Arial"/>
          <w:sz w:val="22"/>
          <w:szCs w:val="22"/>
        </w:rPr>
        <w:t>2011;41:178</w:t>
      </w:r>
      <w:proofErr w:type="gramEnd"/>
      <w:r w:rsidRPr="00A6203D">
        <w:rPr>
          <w:rFonts w:ascii="Arial" w:hAnsi="Arial" w:cs="Arial"/>
          <w:sz w:val="22"/>
          <w:szCs w:val="22"/>
        </w:rPr>
        <w:t>–186. </w:t>
      </w:r>
    </w:p>
    <w:p w14:paraId="68C14ED0" w14:textId="7850CBA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158.</w:t>
      </w:r>
      <w:r w:rsidR="00BC13EA" w:rsidRPr="00A6203D">
        <w:rPr>
          <w:rFonts w:ascii="Arial" w:hAnsi="Arial" w:cs="Arial"/>
          <w:sz w:val="22"/>
          <w:szCs w:val="22"/>
        </w:rPr>
        <w:t xml:space="preserve">   </w:t>
      </w:r>
      <w:proofErr w:type="spellStart"/>
      <w:r w:rsidRPr="00A6203D">
        <w:rPr>
          <w:rFonts w:ascii="Arial" w:hAnsi="Arial" w:cs="Arial"/>
          <w:sz w:val="22"/>
          <w:szCs w:val="22"/>
        </w:rPr>
        <w:t>Rittmaster</w:t>
      </w:r>
      <w:proofErr w:type="spellEnd"/>
      <w:r w:rsidRPr="00A6203D">
        <w:rPr>
          <w:rFonts w:ascii="Arial" w:hAnsi="Arial" w:cs="Arial"/>
          <w:sz w:val="22"/>
          <w:szCs w:val="22"/>
        </w:rPr>
        <w:t xml:space="preserve"> RS, Bolognese M, Ettinger MP, Hanley DA, </w:t>
      </w:r>
      <w:proofErr w:type="spellStart"/>
      <w:r w:rsidRPr="00A6203D">
        <w:rPr>
          <w:rFonts w:ascii="Arial" w:hAnsi="Arial" w:cs="Arial"/>
          <w:sz w:val="22"/>
          <w:szCs w:val="22"/>
        </w:rPr>
        <w:t>Hodsman</w:t>
      </w:r>
      <w:proofErr w:type="spellEnd"/>
      <w:r w:rsidRPr="00A6203D">
        <w:rPr>
          <w:rFonts w:ascii="Arial" w:hAnsi="Arial" w:cs="Arial"/>
          <w:sz w:val="22"/>
          <w:szCs w:val="22"/>
        </w:rPr>
        <w:t xml:space="preserve"> AB, Kendler DL, Rosen CJ. Enhancement of bone mass in osteoporotic women with parathyroid hormone followed by alendronate.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2000;85:2129</w:t>
      </w:r>
      <w:proofErr w:type="gramEnd"/>
      <w:r w:rsidRPr="00A6203D">
        <w:rPr>
          <w:rFonts w:ascii="Arial" w:hAnsi="Arial" w:cs="Arial"/>
          <w:sz w:val="22"/>
          <w:szCs w:val="22"/>
        </w:rPr>
        <w:t>–2134. </w:t>
      </w:r>
    </w:p>
    <w:p w14:paraId="2D287997" w14:textId="37F3A3E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159.</w:t>
      </w:r>
      <w:r w:rsidR="00BC13EA" w:rsidRPr="00A6203D">
        <w:rPr>
          <w:rFonts w:ascii="Arial" w:hAnsi="Arial" w:cs="Arial"/>
          <w:sz w:val="22"/>
          <w:szCs w:val="22"/>
        </w:rPr>
        <w:t xml:space="preserve">   </w:t>
      </w:r>
      <w:r w:rsidRPr="00A6203D">
        <w:rPr>
          <w:rFonts w:ascii="Arial" w:hAnsi="Arial" w:cs="Arial"/>
          <w:sz w:val="22"/>
          <w:szCs w:val="22"/>
        </w:rPr>
        <w:t xml:space="preserve">Rubin MR,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The anabolic effects of parathyroid hormone therapy. Clinics in geriatric medicine. </w:t>
      </w:r>
      <w:proofErr w:type="gramStart"/>
      <w:r w:rsidRPr="00A6203D">
        <w:rPr>
          <w:rFonts w:ascii="Arial" w:hAnsi="Arial" w:cs="Arial"/>
          <w:sz w:val="22"/>
          <w:szCs w:val="22"/>
        </w:rPr>
        <w:t>2003;19:415</w:t>
      </w:r>
      <w:proofErr w:type="gramEnd"/>
      <w:r w:rsidRPr="00A6203D">
        <w:rPr>
          <w:rFonts w:ascii="Arial" w:hAnsi="Arial" w:cs="Arial"/>
          <w:sz w:val="22"/>
          <w:szCs w:val="22"/>
        </w:rPr>
        <w:t>–432. </w:t>
      </w:r>
    </w:p>
    <w:p w14:paraId="5437FFE4" w14:textId="1C09415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160.</w:t>
      </w:r>
      <w:r w:rsidR="00BC13EA" w:rsidRPr="00A6203D">
        <w:rPr>
          <w:rFonts w:ascii="Arial" w:hAnsi="Arial" w:cs="Arial"/>
          <w:sz w:val="22"/>
          <w:szCs w:val="22"/>
        </w:rPr>
        <w:t xml:space="preserve">  </w:t>
      </w:r>
      <w:r w:rsidRPr="00A6203D">
        <w:rPr>
          <w:rFonts w:ascii="Arial" w:hAnsi="Arial" w:cs="Arial"/>
          <w:sz w:val="22"/>
          <w:szCs w:val="22"/>
        </w:rPr>
        <w:t xml:space="preserve">Tam CS, </w:t>
      </w:r>
      <w:proofErr w:type="spellStart"/>
      <w:r w:rsidRPr="00A6203D">
        <w:rPr>
          <w:rFonts w:ascii="Arial" w:hAnsi="Arial" w:cs="Arial"/>
          <w:sz w:val="22"/>
          <w:szCs w:val="22"/>
        </w:rPr>
        <w:t>Heersche</w:t>
      </w:r>
      <w:proofErr w:type="spellEnd"/>
      <w:r w:rsidRPr="00A6203D">
        <w:rPr>
          <w:rFonts w:ascii="Arial" w:hAnsi="Arial" w:cs="Arial"/>
          <w:sz w:val="22"/>
          <w:szCs w:val="22"/>
        </w:rPr>
        <w:t xml:space="preserve"> JN, Murray TM, Parsons JA. Parathyroid hormone stimulates the bone apposition rate independently of its resorptive action: differential effects of intermittent and continuous administration. Endocrinology. </w:t>
      </w:r>
      <w:proofErr w:type="gramStart"/>
      <w:r w:rsidRPr="00A6203D">
        <w:rPr>
          <w:rFonts w:ascii="Arial" w:hAnsi="Arial" w:cs="Arial"/>
          <w:sz w:val="22"/>
          <w:szCs w:val="22"/>
        </w:rPr>
        <w:t>1982;110:506</w:t>
      </w:r>
      <w:proofErr w:type="gramEnd"/>
      <w:r w:rsidRPr="00A6203D">
        <w:rPr>
          <w:rFonts w:ascii="Arial" w:hAnsi="Arial" w:cs="Arial"/>
          <w:sz w:val="22"/>
          <w:szCs w:val="22"/>
        </w:rPr>
        <w:t>–512. </w:t>
      </w:r>
    </w:p>
    <w:p w14:paraId="31D8B115" w14:textId="0B1B4DC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161.</w:t>
      </w:r>
      <w:r w:rsidR="00BC13EA" w:rsidRPr="00A6203D">
        <w:rPr>
          <w:rFonts w:ascii="Arial" w:hAnsi="Arial" w:cs="Arial"/>
          <w:sz w:val="22"/>
          <w:szCs w:val="22"/>
        </w:rPr>
        <w:t xml:space="preserve">   </w:t>
      </w:r>
      <w:r w:rsidRPr="00A6203D">
        <w:rPr>
          <w:rFonts w:ascii="Arial" w:hAnsi="Arial" w:cs="Arial"/>
          <w:sz w:val="22"/>
          <w:szCs w:val="22"/>
        </w:rPr>
        <w:t>Dempster DW, Cosman F, Parisien M, Shen V, Lindsay R. Anabolic actions of parathyroid hormone on bone. </w:t>
      </w:r>
      <w:proofErr w:type="spellStart"/>
      <w:r w:rsidRPr="00A6203D">
        <w:rPr>
          <w:rFonts w:ascii="Arial" w:hAnsi="Arial" w:cs="Arial"/>
          <w:sz w:val="22"/>
          <w:szCs w:val="22"/>
        </w:rPr>
        <w:t>Endocr</w:t>
      </w:r>
      <w:proofErr w:type="spellEnd"/>
      <w:r w:rsidRPr="00A6203D">
        <w:rPr>
          <w:rFonts w:ascii="Arial" w:hAnsi="Arial" w:cs="Arial"/>
          <w:sz w:val="22"/>
          <w:szCs w:val="22"/>
        </w:rPr>
        <w:t xml:space="preserve"> Rev. </w:t>
      </w:r>
      <w:proofErr w:type="gramStart"/>
      <w:r w:rsidRPr="00A6203D">
        <w:rPr>
          <w:rFonts w:ascii="Arial" w:hAnsi="Arial" w:cs="Arial"/>
          <w:sz w:val="22"/>
          <w:szCs w:val="22"/>
        </w:rPr>
        <w:t>1993;14:690</w:t>
      </w:r>
      <w:proofErr w:type="gramEnd"/>
      <w:r w:rsidRPr="00A6203D">
        <w:rPr>
          <w:rFonts w:ascii="Arial" w:hAnsi="Arial" w:cs="Arial"/>
          <w:sz w:val="22"/>
          <w:szCs w:val="22"/>
        </w:rPr>
        <w:t>–709. </w:t>
      </w:r>
    </w:p>
    <w:p w14:paraId="7AC0FE79" w14:textId="4829096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162.</w:t>
      </w:r>
      <w:r w:rsidR="00BC13EA" w:rsidRPr="00A6203D">
        <w:rPr>
          <w:rFonts w:ascii="Arial" w:hAnsi="Arial" w:cs="Arial"/>
          <w:sz w:val="22"/>
          <w:szCs w:val="22"/>
        </w:rPr>
        <w:t xml:space="preserve">   </w:t>
      </w:r>
      <w:proofErr w:type="spellStart"/>
      <w:r w:rsidRPr="00A6203D">
        <w:rPr>
          <w:rFonts w:ascii="Arial" w:hAnsi="Arial" w:cs="Arial"/>
          <w:sz w:val="22"/>
          <w:szCs w:val="22"/>
        </w:rPr>
        <w:t>Podbesek</w:t>
      </w:r>
      <w:proofErr w:type="spellEnd"/>
      <w:r w:rsidRPr="00A6203D">
        <w:rPr>
          <w:rFonts w:ascii="Arial" w:hAnsi="Arial" w:cs="Arial"/>
          <w:sz w:val="22"/>
          <w:szCs w:val="22"/>
        </w:rPr>
        <w:t xml:space="preserve"> R, Edouard C, Meunier PJ, Parsons JA, Reeve J, Stevenson RW, Zanelli JM. Effects of two treatment </w:t>
      </w:r>
      <w:proofErr w:type="spellStart"/>
      <w:r w:rsidRPr="00A6203D">
        <w:rPr>
          <w:rFonts w:ascii="Arial" w:hAnsi="Arial" w:cs="Arial"/>
          <w:sz w:val="22"/>
          <w:szCs w:val="22"/>
        </w:rPr>
        <w:t>regimes</w:t>
      </w:r>
      <w:proofErr w:type="spellEnd"/>
      <w:r w:rsidRPr="00A6203D">
        <w:rPr>
          <w:rFonts w:ascii="Arial" w:hAnsi="Arial" w:cs="Arial"/>
          <w:sz w:val="22"/>
          <w:szCs w:val="22"/>
        </w:rPr>
        <w:t xml:space="preserve"> with synthetic human parathyroid hormone fragment on bone formation and the tissue balance of trabecular bone in greyhounds. Endocrinology. </w:t>
      </w:r>
      <w:proofErr w:type="gramStart"/>
      <w:r w:rsidRPr="00A6203D">
        <w:rPr>
          <w:rFonts w:ascii="Arial" w:hAnsi="Arial" w:cs="Arial"/>
          <w:sz w:val="22"/>
          <w:szCs w:val="22"/>
        </w:rPr>
        <w:t>1983;112:1000</w:t>
      </w:r>
      <w:proofErr w:type="gramEnd"/>
      <w:r w:rsidRPr="00A6203D">
        <w:rPr>
          <w:rFonts w:ascii="Arial" w:hAnsi="Arial" w:cs="Arial"/>
          <w:sz w:val="22"/>
          <w:szCs w:val="22"/>
        </w:rPr>
        <w:t>–1006. </w:t>
      </w:r>
    </w:p>
    <w:p w14:paraId="713718C3" w14:textId="65DFFBBA"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163.</w:t>
      </w:r>
      <w:r w:rsidR="00BC13EA" w:rsidRPr="00A6203D">
        <w:rPr>
          <w:rFonts w:ascii="Arial" w:hAnsi="Arial" w:cs="Arial"/>
          <w:sz w:val="22"/>
          <w:szCs w:val="22"/>
        </w:rPr>
        <w:t xml:space="preserve">  </w:t>
      </w:r>
      <w:proofErr w:type="spellStart"/>
      <w:r w:rsidRPr="00A6203D">
        <w:rPr>
          <w:rFonts w:ascii="Arial" w:hAnsi="Arial" w:cs="Arial"/>
          <w:sz w:val="22"/>
          <w:szCs w:val="22"/>
        </w:rPr>
        <w:t>Dobnig</w:t>
      </w:r>
      <w:proofErr w:type="spellEnd"/>
      <w:r w:rsidRPr="00A6203D">
        <w:rPr>
          <w:rFonts w:ascii="Arial" w:hAnsi="Arial" w:cs="Arial"/>
          <w:sz w:val="22"/>
          <w:szCs w:val="22"/>
        </w:rPr>
        <w:t xml:space="preserve"> H, Turner RT. The effects of programmed administration of human parathyroid hormone fragment (1-34) on bone histomorphometry and serum chemistry in rats. Endocrinology. </w:t>
      </w:r>
      <w:proofErr w:type="gramStart"/>
      <w:r w:rsidRPr="00A6203D">
        <w:rPr>
          <w:rFonts w:ascii="Arial" w:hAnsi="Arial" w:cs="Arial"/>
          <w:sz w:val="22"/>
          <w:szCs w:val="22"/>
        </w:rPr>
        <w:t>1997;138:4607</w:t>
      </w:r>
      <w:proofErr w:type="gramEnd"/>
      <w:r w:rsidRPr="00A6203D">
        <w:rPr>
          <w:rFonts w:ascii="Arial" w:hAnsi="Arial" w:cs="Arial"/>
          <w:sz w:val="22"/>
          <w:szCs w:val="22"/>
        </w:rPr>
        <w:t>–4612. </w:t>
      </w:r>
    </w:p>
    <w:p w14:paraId="36146D55" w14:textId="118B075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164.</w:t>
      </w:r>
      <w:r w:rsidR="00BC13EA" w:rsidRPr="00A6203D">
        <w:rPr>
          <w:rFonts w:ascii="Arial" w:hAnsi="Arial" w:cs="Arial"/>
          <w:sz w:val="22"/>
          <w:szCs w:val="22"/>
        </w:rPr>
        <w:t xml:space="preserve">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Combination anabolic and antiresorptive therapy for osteoporosis: opening the anabolic window. Current osteoporosis reports. </w:t>
      </w:r>
      <w:proofErr w:type="gramStart"/>
      <w:r w:rsidRPr="00A6203D">
        <w:rPr>
          <w:rFonts w:ascii="Arial" w:hAnsi="Arial" w:cs="Arial"/>
          <w:sz w:val="22"/>
          <w:szCs w:val="22"/>
        </w:rPr>
        <w:t>2008;6:24</w:t>
      </w:r>
      <w:proofErr w:type="gramEnd"/>
      <w:r w:rsidRPr="00A6203D">
        <w:rPr>
          <w:rFonts w:ascii="Arial" w:hAnsi="Arial" w:cs="Arial"/>
          <w:sz w:val="22"/>
          <w:szCs w:val="22"/>
        </w:rPr>
        <w:t>–30. </w:t>
      </w:r>
    </w:p>
    <w:p w14:paraId="1E4B8B3B" w14:textId="28CF7066"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165.</w:t>
      </w:r>
      <w:r w:rsidR="00BC13EA" w:rsidRPr="00A6203D">
        <w:rPr>
          <w:rFonts w:ascii="Arial" w:hAnsi="Arial" w:cs="Arial"/>
          <w:sz w:val="22"/>
          <w:szCs w:val="22"/>
        </w:rPr>
        <w:t xml:space="preserve">  </w:t>
      </w:r>
      <w:r w:rsidRPr="00A6203D">
        <w:rPr>
          <w:rFonts w:ascii="Arial" w:hAnsi="Arial" w:cs="Arial"/>
          <w:sz w:val="22"/>
          <w:szCs w:val="22"/>
        </w:rPr>
        <w:t xml:space="preserve">Jilka RL, Weinstein RS, Bellido T, Roberson P, Parfitt AM, </w:t>
      </w:r>
      <w:proofErr w:type="spellStart"/>
      <w:r w:rsidRPr="00A6203D">
        <w:rPr>
          <w:rFonts w:ascii="Arial" w:hAnsi="Arial" w:cs="Arial"/>
          <w:sz w:val="22"/>
          <w:szCs w:val="22"/>
        </w:rPr>
        <w:t>Manolagas</w:t>
      </w:r>
      <w:proofErr w:type="spellEnd"/>
      <w:r w:rsidRPr="00A6203D">
        <w:rPr>
          <w:rFonts w:ascii="Arial" w:hAnsi="Arial" w:cs="Arial"/>
          <w:sz w:val="22"/>
          <w:szCs w:val="22"/>
        </w:rPr>
        <w:t xml:space="preserve"> SC. Increased bone formation by prevention of osteoblast apoptosis with parathyroid hormone. J Clin Invest. </w:t>
      </w:r>
      <w:proofErr w:type="gramStart"/>
      <w:r w:rsidRPr="00A6203D">
        <w:rPr>
          <w:rFonts w:ascii="Arial" w:hAnsi="Arial" w:cs="Arial"/>
          <w:sz w:val="22"/>
          <w:szCs w:val="22"/>
        </w:rPr>
        <w:t>1999;104:439</w:t>
      </w:r>
      <w:proofErr w:type="gramEnd"/>
      <w:r w:rsidRPr="00A6203D">
        <w:rPr>
          <w:rFonts w:ascii="Arial" w:hAnsi="Arial" w:cs="Arial"/>
          <w:sz w:val="22"/>
          <w:szCs w:val="22"/>
        </w:rPr>
        <w:t>–446. </w:t>
      </w:r>
    </w:p>
    <w:p w14:paraId="6CEEAD74" w14:textId="6E24B04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166.</w:t>
      </w:r>
      <w:r w:rsidR="00BC13EA" w:rsidRPr="00A6203D">
        <w:rPr>
          <w:rFonts w:ascii="Arial" w:hAnsi="Arial" w:cs="Arial"/>
          <w:sz w:val="22"/>
          <w:szCs w:val="22"/>
        </w:rPr>
        <w:t xml:space="preserve">  </w:t>
      </w:r>
      <w:r w:rsidRPr="00A6203D">
        <w:rPr>
          <w:rFonts w:ascii="Arial" w:hAnsi="Arial" w:cs="Arial"/>
          <w:sz w:val="22"/>
          <w:szCs w:val="22"/>
        </w:rPr>
        <w:t xml:space="preserve">Rosen CJ,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Clinical review 123: Anabolic therapy for osteoporosis.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2001;86:957</w:t>
      </w:r>
      <w:proofErr w:type="gramEnd"/>
      <w:r w:rsidRPr="00A6203D">
        <w:rPr>
          <w:rFonts w:ascii="Arial" w:hAnsi="Arial" w:cs="Arial"/>
          <w:sz w:val="22"/>
          <w:szCs w:val="22"/>
        </w:rPr>
        <w:t>–964. </w:t>
      </w:r>
    </w:p>
    <w:p w14:paraId="474D169C" w14:textId="4EC6B04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167.</w:t>
      </w:r>
      <w:r w:rsidR="00BC13EA" w:rsidRPr="00A6203D">
        <w:rPr>
          <w:rFonts w:ascii="Arial" w:hAnsi="Arial" w:cs="Arial"/>
          <w:sz w:val="22"/>
          <w:szCs w:val="22"/>
        </w:rPr>
        <w:t xml:space="preserve">  </w:t>
      </w:r>
      <w:r w:rsidRPr="00A6203D">
        <w:rPr>
          <w:rFonts w:ascii="Arial" w:hAnsi="Arial" w:cs="Arial"/>
          <w:sz w:val="22"/>
          <w:szCs w:val="22"/>
        </w:rPr>
        <w:t xml:space="preserve">Neer RM, Arnaud CD, Zanchetta JR, Prince R, Gaich GA,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JY, </w:t>
      </w:r>
      <w:proofErr w:type="spellStart"/>
      <w:r w:rsidRPr="00A6203D">
        <w:rPr>
          <w:rFonts w:ascii="Arial" w:hAnsi="Arial" w:cs="Arial"/>
          <w:sz w:val="22"/>
          <w:szCs w:val="22"/>
        </w:rPr>
        <w:t>Hodsman</w:t>
      </w:r>
      <w:proofErr w:type="spellEnd"/>
      <w:r w:rsidRPr="00A6203D">
        <w:rPr>
          <w:rFonts w:ascii="Arial" w:hAnsi="Arial" w:cs="Arial"/>
          <w:sz w:val="22"/>
          <w:szCs w:val="22"/>
        </w:rPr>
        <w:t xml:space="preserve"> AB, Eriksen EF, Ish-Shalom S, </w:t>
      </w:r>
      <w:proofErr w:type="spellStart"/>
      <w:r w:rsidRPr="00A6203D">
        <w:rPr>
          <w:rFonts w:ascii="Arial" w:hAnsi="Arial" w:cs="Arial"/>
          <w:sz w:val="22"/>
          <w:szCs w:val="22"/>
        </w:rPr>
        <w:t>Genant</w:t>
      </w:r>
      <w:proofErr w:type="spellEnd"/>
      <w:r w:rsidRPr="00A6203D">
        <w:rPr>
          <w:rFonts w:ascii="Arial" w:hAnsi="Arial" w:cs="Arial"/>
          <w:sz w:val="22"/>
          <w:szCs w:val="22"/>
        </w:rPr>
        <w:t xml:space="preserve"> HK, Wang O, </w:t>
      </w:r>
      <w:proofErr w:type="spellStart"/>
      <w:r w:rsidRPr="00A6203D">
        <w:rPr>
          <w:rFonts w:ascii="Arial" w:hAnsi="Arial" w:cs="Arial"/>
          <w:sz w:val="22"/>
          <w:szCs w:val="22"/>
        </w:rPr>
        <w:t>Mitlak</w:t>
      </w:r>
      <w:proofErr w:type="spellEnd"/>
      <w:r w:rsidRPr="00A6203D">
        <w:rPr>
          <w:rFonts w:ascii="Arial" w:hAnsi="Arial" w:cs="Arial"/>
          <w:sz w:val="22"/>
          <w:szCs w:val="22"/>
        </w:rPr>
        <w:t xml:space="preserve"> BH. Effect of parathyroid hormone (1-34) on fractures and bone mineral density in postmenopausal women with osteoporosis. N Engl J Med. </w:t>
      </w:r>
      <w:proofErr w:type="gramStart"/>
      <w:r w:rsidRPr="00A6203D">
        <w:rPr>
          <w:rFonts w:ascii="Arial" w:hAnsi="Arial" w:cs="Arial"/>
          <w:sz w:val="22"/>
          <w:szCs w:val="22"/>
        </w:rPr>
        <w:t>2001;344:1434</w:t>
      </w:r>
      <w:proofErr w:type="gramEnd"/>
      <w:r w:rsidRPr="00A6203D">
        <w:rPr>
          <w:rFonts w:ascii="Arial" w:hAnsi="Arial" w:cs="Arial"/>
          <w:sz w:val="22"/>
          <w:szCs w:val="22"/>
        </w:rPr>
        <w:t>–1441. </w:t>
      </w:r>
    </w:p>
    <w:p w14:paraId="27BADEFA" w14:textId="5F7830D2"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168.</w:t>
      </w:r>
      <w:r w:rsidR="00BC13EA" w:rsidRPr="00A6203D">
        <w:rPr>
          <w:rFonts w:ascii="Arial" w:hAnsi="Arial" w:cs="Arial"/>
          <w:sz w:val="22"/>
          <w:szCs w:val="22"/>
        </w:rPr>
        <w:t xml:space="preserve">  </w:t>
      </w:r>
      <w:r w:rsidRPr="00A6203D">
        <w:rPr>
          <w:rFonts w:ascii="Arial" w:hAnsi="Arial" w:cs="Arial"/>
          <w:sz w:val="22"/>
          <w:szCs w:val="22"/>
        </w:rPr>
        <w:t xml:space="preserve">Black DM, Greenspan SL, Ensrud KE, Palermo L, McGowan JA, Lang TF, </w:t>
      </w:r>
      <w:proofErr w:type="spellStart"/>
      <w:r w:rsidRPr="00A6203D">
        <w:rPr>
          <w:rFonts w:ascii="Arial" w:hAnsi="Arial" w:cs="Arial"/>
          <w:sz w:val="22"/>
          <w:szCs w:val="22"/>
        </w:rPr>
        <w:t>Garnero</w:t>
      </w:r>
      <w:proofErr w:type="spellEnd"/>
      <w:r w:rsidRPr="00A6203D">
        <w:rPr>
          <w:rFonts w:ascii="Arial" w:hAnsi="Arial" w:cs="Arial"/>
          <w:sz w:val="22"/>
          <w:szCs w:val="22"/>
        </w:rPr>
        <w:t xml:space="preserve"> P, </w:t>
      </w:r>
      <w:proofErr w:type="spellStart"/>
      <w:r w:rsidRPr="00A6203D">
        <w:rPr>
          <w:rFonts w:ascii="Arial" w:hAnsi="Arial" w:cs="Arial"/>
          <w:sz w:val="22"/>
          <w:szCs w:val="22"/>
        </w:rPr>
        <w:t>Bouxsein</w:t>
      </w:r>
      <w:proofErr w:type="spellEnd"/>
      <w:r w:rsidRPr="00A6203D">
        <w:rPr>
          <w:rFonts w:ascii="Arial" w:hAnsi="Arial" w:cs="Arial"/>
          <w:sz w:val="22"/>
          <w:szCs w:val="22"/>
        </w:rPr>
        <w:t xml:space="preserve"> ML,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Rosen CJ. The effects of parathyroid hormone and alendronate alone or in combination in postmenopausal osteoporosis. N Engl J Med. </w:t>
      </w:r>
      <w:proofErr w:type="gramStart"/>
      <w:r w:rsidRPr="00A6203D">
        <w:rPr>
          <w:rFonts w:ascii="Arial" w:hAnsi="Arial" w:cs="Arial"/>
          <w:sz w:val="22"/>
          <w:szCs w:val="22"/>
        </w:rPr>
        <w:t>2003;349:1207</w:t>
      </w:r>
      <w:proofErr w:type="gramEnd"/>
      <w:r w:rsidRPr="00A6203D">
        <w:rPr>
          <w:rFonts w:ascii="Arial" w:hAnsi="Arial" w:cs="Arial"/>
          <w:sz w:val="22"/>
          <w:szCs w:val="22"/>
        </w:rPr>
        <w:t>–1215. </w:t>
      </w:r>
    </w:p>
    <w:p w14:paraId="3CAF514B" w14:textId="13AA0C70"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169.</w:t>
      </w:r>
      <w:r w:rsidR="00BC13EA" w:rsidRPr="00A6203D">
        <w:rPr>
          <w:rFonts w:ascii="Arial" w:hAnsi="Arial" w:cs="Arial"/>
          <w:sz w:val="22"/>
          <w:szCs w:val="22"/>
        </w:rPr>
        <w:t xml:space="preserve">  </w:t>
      </w:r>
      <w:r w:rsidRPr="00A6203D">
        <w:rPr>
          <w:rFonts w:ascii="Arial" w:hAnsi="Arial" w:cs="Arial"/>
          <w:sz w:val="22"/>
          <w:szCs w:val="22"/>
        </w:rPr>
        <w:t>Finkelstein JS, Hayes A, Hunzelman JL, Wyland JJ, Lee H, Neer RM. The effects of parathyroid hormone, alendronate, or both in men with osteoporosis. N Engl J Med. </w:t>
      </w:r>
      <w:proofErr w:type="gramStart"/>
      <w:r w:rsidRPr="00A6203D">
        <w:rPr>
          <w:rFonts w:ascii="Arial" w:hAnsi="Arial" w:cs="Arial"/>
          <w:sz w:val="22"/>
          <w:szCs w:val="22"/>
        </w:rPr>
        <w:t>2003;349:1216</w:t>
      </w:r>
      <w:proofErr w:type="gramEnd"/>
      <w:r w:rsidRPr="00A6203D">
        <w:rPr>
          <w:rFonts w:ascii="Arial" w:hAnsi="Arial" w:cs="Arial"/>
          <w:sz w:val="22"/>
          <w:szCs w:val="22"/>
        </w:rPr>
        <w:t>–1226. </w:t>
      </w:r>
    </w:p>
    <w:p w14:paraId="088E9E9A" w14:textId="1F9B14EE"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170.</w:t>
      </w:r>
      <w:r w:rsidR="00BC13EA" w:rsidRPr="00A6203D">
        <w:rPr>
          <w:rFonts w:ascii="Arial" w:hAnsi="Arial" w:cs="Arial"/>
          <w:sz w:val="22"/>
          <w:szCs w:val="22"/>
        </w:rPr>
        <w:t xml:space="preserve">  </w:t>
      </w:r>
      <w:r w:rsidRPr="00A6203D">
        <w:rPr>
          <w:rFonts w:ascii="Arial" w:hAnsi="Arial" w:cs="Arial"/>
          <w:sz w:val="22"/>
          <w:szCs w:val="22"/>
        </w:rPr>
        <w:t xml:space="preserve">Black DM,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Ensrud KE, Greenspan SL, Palermo L, Hue T, Lang TF, McGowan JA, Rosen CJ, Pa THSI. One year of alendronate after one year of parathyroid hormone (1-84) for osteoporosis. N Engl J Med. </w:t>
      </w:r>
      <w:proofErr w:type="gramStart"/>
      <w:r w:rsidRPr="00A6203D">
        <w:rPr>
          <w:rFonts w:ascii="Arial" w:hAnsi="Arial" w:cs="Arial"/>
          <w:sz w:val="22"/>
          <w:szCs w:val="22"/>
        </w:rPr>
        <w:t>2005;353:555</w:t>
      </w:r>
      <w:proofErr w:type="gramEnd"/>
      <w:r w:rsidRPr="00A6203D">
        <w:rPr>
          <w:rFonts w:ascii="Arial" w:hAnsi="Arial" w:cs="Arial"/>
          <w:sz w:val="22"/>
          <w:szCs w:val="22"/>
        </w:rPr>
        <w:t>–565. </w:t>
      </w:r>
    </w:p>
    <w:p w14:paraId="29B9ABC1" w14:textId="76C9F15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171.</w:t>
      </w:r>
      <w:r w:rsidR="00BC13EA" w:rsidRPr="00A6203D">
        <w:rPr>
          <w:rFonts w:ascii="Arial" w:hAnsi="Arial" w:cs="Arial"/>
          <w:sz w:val="22"/>
          <w:szCs w:val="22"/>
        </w:rPr>
        <w:t xml:space="preserve">  </w:t>
      </w:r>
      <w:r w:rsidRPr="00A6203D">
        <w:rPr>
          <w:rFonts w:ascii="Arial" w:hAnsi="Arial" w:cs="Arial"/>
          <w:sz w:val="22"/>
          <w:szCs w:val="22"/>
        </w:rPr>
        <w:t xml:space="preserve">Kurland ES, Heller SL, Diamond B, McMahon DJ, Cosman F,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The importance of bisphosphonate therapy in maintaining bone mass in men after therapy with teriparatide.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2004;15:992</w:t>
      </w:r>
      <w:proofErr w:type="gramEnd"/>
      <w:r w:rsidRPr="00A6203D">
        <w:rPr>
          <w:rFonts w:ascii="Arial" w:hAnsi="Arial" w:cs="Arial"/>
          <w:sz w:val="22"/>
          <w:szCs w:val="22"/>
        </w:rPr>
        <w:t xml:space="preserve">–997. [human parathyroid </w:t>
      </w:r>
      <w:proofErr w:type="gramStart"/>
      <w:r w:rsidRPr="00A6203D">
        <w:rPr>
          <w:rFonts w:ascii="Arial" w:hAnsi="Arial" w:cs="Arial"/>
          <w:sz w:val="22"/>
          <w:szCs w:val="22"/>
        </w:rPr>
        <w:t>hormone(</w:t>
      </w:r>
      <w:proofErr w:type="gramEnd"/>
      <w:r w:rsidRPr="00A6203D">
        <w:rPr>
          <w:rFonts w:ascii="Arial" w:hAnsi="Arial" w:cs="Arial"/>
          <w:sz w:val="22"/>
          <w:szCs w:val="22"/>
        </w:rPr>
        <w:t>1-34)]</w:t>
      </w:r>
    </w:p>
    <w:p w14:paraId="168E42BB" w14:textId="6A7D74B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172.</w:t>
      </w:r>
      <w:r w:rsidR="00857C22" w:rsidRPr="00A6203D">
        <w:rPr>
          <w:rFonts w:ascii="Arial" w:hAnsi="Arial" w:cs="Arial"/>
          <w:sz w:val="22"/>
          <w:szCs w:val="22"/>
        </w:rPr>
        <w:t xml:space="preserve">  </w:t>
      </w:r>
      <w:r w:rsidRPr="00A6203D">
        <w:rPr>
          <w:rFonts w:ascii="Arial" w:hAnsi="Arial" w:cs="Arial"/>
          <w:sz w:val="22"/>
          <w:szCs w:val="22"/>
        </w:rPr>
        <w:t xml:space="preserve">Tsai J, Uihlein A, Lee H, et al. Teriparatide and denosumab, alone or combined, in women with postmenopausal osteoporosis: the DATA study </w:t>
      </w:r>
      <w:proofErr w:type="spellStart"/>
      <w:r w:rsidRPr="00A6203D">
        <w:rPr>
          <w:rFonts w:ascii="Arial" w:hAnsi="Arial" w:cs="Arial"/>
          <w:sz w:val="22"/>
          <w:szCs w:val="22"/>
        </w:rPr>
        <w:t>randomised</w:t>
      </w:r>
      <w:proofErr w:type="spellEnd"/>
      <w:r w:rsidRPr="00A6203D">
        <w:rPr>
          <w:rFonts w:ascii="Arial" w:hAnsi="Arial" w:cs="Arial"/>
          <w:sz w:val="22"/>
          <w:szCs w:val="22"/>
        </w:rPr>
        <w:t xml:space="preserve"> trial. Lancet 2013 6;382(9886):50-6.</w:t>
      </w:r>
    </w:p>
    <w:p w14:paraId="008440E8" w14:textId="501CDB4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173.</w:t>
      </w:r>
      <w:r w:rsidR="00857C22" w:rsidRPr="00A6203D">
        <w:rPr>
          <w:rFonts w:ascii="Arial" w:hAnsi="Arial" w:cs="Arial"/>
          <w:sz w:val="22"/>
          <w:szCs w:val="22"/>
        </w:rPr>
        <w:t xml:space="preserve">  </w:t>
      </w:r>
      <w:r w:rsidRPr="00A6203D">
        <w:rPr>
          <w:rFonts w:ascii="Arial" w:hAnsi="Arial" w:cs="Arial"/>
          <w:sz w:val="22"/>
          <w:szCs w:val="22"/>
        </w:rPr>
        <w:t xml:space="preserve">Leder BZ, Tsai JN, Uihlein AV, Wallace PM, Lee H, Neer RM, Burnett-Bowie SA. Denosumab and teriparatide transitions in postmenopausal osteoporosis (the DATA-Switch study): extension of a </w:t>
      </w:r>
      <w:proofErr w:type="spellStart"/>
      <w:r w:rsidRPr="00A6203D">
        <w:rPr>
          <w:rFonts w:ascii="Arial" w:hAnsi="Arial" w:cs="Arial"/>
          <w:sz w:val="22"/>
          <w:szCs w:val="22"/>
        </w:rPr>
        <w:t>randomised</w:t>
      </w:r>
      <w:proofErr w:type="spellEnd"/>
      <w:r w:rsidRPr="00A6203D">
        <w:rPr>
          <w:rFonts w:ascii="Arial" w:hAnsi="Arial" w:cs="Arial"/>
          <w:sz w:val="22"/>
          <w:szCs w:val="22"/>
        </w:rPr>
        <w:t xml:space="preserve"> controlled trial. Lancet. </w:t>
      </w:r>
      <w:proofErr w:type="gramStart"/>
      <w:r w:rsidRPr="00A6203D">
        <w:rPr>
          <w:rFonts w:ascii="Arial" w:hAnsi="Arial" w:cs="Arial"/>
          <w:sz w:val="22"/>
          <w:szCs w:val="22"/>
        </w:rPr>
        <w:t>2015;386:1147</w:t>
      </w:r>
      <w:proofErr w:type="gramEnd"/>
      <w:r w:rsidRPr="00A6203D">
        <w:rPr>
          <w:rFonts w:ascii="Arial" w:hAnsi="Arial" w:cs="Arial"/>
          <w:sz w:val="22"/>
          <w:szCs w:val="22"/>
        </w:rPr>
        <w:t>–1155. </w:t>
      </w:r>
    </w:p>
    <w:p w14:paraId="4EF803E1" w14:textId="76F5A58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174.</w:t>
      </w:r>
      <w:r w:rsidR="00857C22" w:rsidRPr="00A6203D">
        <w:rPr>
          <w:rFonts w:ascii="Arial" w:hAnsi="Arial" w:cs="Arial"/>
          <w:sz w:val="22"/>
          <w:szCs w:val="22"/>
        </w:rPr>
        <w:t xml:space="preserve">  </w:t>
      </w:r>
      <w:proofErr w:type="spellStart"/>
      <w:r w:rsidRPr="00A6203D">
        <w:rPr>
          <w:rFonts w:ascii="Arial" w:hAnsi="Arial" w:cs="Arial"/>
          <w:sz w:val="22"/>
          <w:szCs w:val="22"/>
        </w:rPr>
        <w:t>Muschitz</w:t>
      </w:r>
      <w:proofErr w:type="spellEnd"/>
      <w:r w:rsidRPr="00A6203D">
        <w:rPr>
          <w:rFonts w:ascii="Arial" w:hAnsi="Arial" w:cs="Arial"/>
          <w:sz w:val="22"/>
          <w:szCs w:val="22"/>
        </w:rPr>
        <w:t xml:space="preserve"> C, Kocijan R, </w:t>
      </w:r>
      <w:proofErr w:type="spellStart"/>
      <w:r w:rsidRPr="00A6203D">
        <w:rPr>
          <w:rFonts w:ascii="Arial" w:hAnsi="Arial" w:cs="Arial"/>
          <w:sz w:val="22"/>
          <w:szCs w:val="22"/>
        </w:rPr>
        <w:t>Fahrleitner</w:t>
      </w:r>
      <w:proofErr w:type="spellEnd"/>
      <w:r w:rsidRPr="00A6203D">
        <w:rPr>
          <w:rFonts w:ascii="Arial" w:hAnsi="Arial" w:cs="Arial"/>
          <w:sz w:val="22"/>
          <w:szCs w:val="22"/>
        </w:rPr>
        <w:t xml:space="preserve">-Pammer A, Lung S, Resch H. </w:t>
      </w:r>
      <w:proofErr w:type="spellStart"/>
      <w:r w:rsidRPr="00A6203D">
        <w:rPr>
          <w:rFonts w:ascii="Arial" w:hAnsi="Arial" w:cs="Arial"/>
          <w:sz w:val="22"/>
          <w:szCs w:val="22"/>
        </w:rPr>
        <w:t>Antiresorptives</w:t>
      </w:r>
      <w:proofErr w:type="spellEnd"/>
      <w:r w:rsidRPr="00A6203D">
        <w:rPr>
          <w:rFonts w:ascii="Arial" w:hAnsi="Arial" w:cs="Arial"/>
          <w:sz w:val="22"/>
          <w:szCs w:val="22"/>
        </w:rPr>
        <w:t xml:space="preserve"> overlapping ongoing teriparatide treatment result in additional increases in bone mineral density. J Bone Miner Res. </w:t>
      </w:r>
      <w:proofErr w:type="gramStart"/>
      <w:r w:rsidRPr="00A6203D">
        <w:rPr>
          <w:rFonts w:ascii="Arial" w:hAnsi="Arial" w:cs="Arial"/>
          <w:sz w:val="22"/>
          <w:szCs w:val="22"/>
        </w:rPr>
        <w:t>2013;28:196</w:t>
      </w:r>
      <w:proofErr w:type="gramEnd"/>
      <w:r w:rsidRPr="00A6203D">
        <w:rPr>
          <w:rFonts w:ascii="Arial" w:hAnsi="Arial" w:cs="Arial"/>
          <w:sz w:val="22"/>
          <w:szCs w:val="22"/>
        </w:rPr>
        <w:t>–205. </w:t>
      </w:r>
    </w:p>
    <w:p w14:paraId="3B5A14E3" w14:textId="1966241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175.</w:t>
      </w:r>
      <w:r w:rsidR="00857C22" w:rsidRPr="00A6203D">
        <w:rPr>
          <w:rFonts w:ascii="Arial" w:hAnsi="Arial" w:cs="Arial"/>
          <w:sz w:val="22"/>
          <w:szCs w:val="22"/>
        </w:rPr>
        <w:t xml:space="preserve">  </w:t>
      </w:r>
      <w:r w:rsidRPr="00A6203D">
        <w:rPr>
          <w:rFonts w:ascii="Arial" w:hAnsi="Arial" w:cs="Arial"/>
          <w:sz w:val="22"/>
          <w:szCs w:val="22"/>
        </w:rPr>
        <w:t xml:space="preserve">Cipriani C, Irani D, </w:t>
      </w:r>
      <w:proofErr w:type="spellStart"/>
      <w:r w:rsidRPr="00A6203D">
        <w:rPr>
          <w:rFonts w:ascii="Arial" w:hAnsi="Arial" w:cs="Arial"/>
          <w:sz w:val="22"/>
          <w:szCs w:val="22"/>
        </w:rPr>
        <w:t>Bilezikian</w:t>
      </w:r>
      <w:proofErr w:type="spellEnd"/>
      <w:r w:rsidRPr="00A6203D">
        <w:rPr>
          <w:rFonts w:ascii="Arial" w:hAnsi="Arial" w:cs="Arial"/>
          <w:sz w:val="22"/>
          <w:szCs w:val="22"/>
        </w:rPr>
        <w:t xml:space="preserve"> JP. Safety of osteoanabolic therapy: a decade of experience. J Bone Miner Res. </w:t>
      </w:r>
      <w:proofErr w:type="gramStart"/>
      <w:r w:rsidRPr="00A6203D">
        <w:rPr>
          <w:rFonts w:ascii="Arial" w:hAnsi="Arial" w:cs="Arial"/>
          <w:sz w:val="22"/>
          <w:szCs w:val="22"/>
        </w:rPr>
        <w:t>2012;27:2419</w:t>
      </w:r>
      <w:proofErr w:type="gramEnd"/>
      <w:r w:rsidRPr="00A6203D">
        <w:rPr>
          <w:rFonts w:ascii="Arial" w:hAnsi="Arial" w:cs="Arial"/>
          <w:sz w:val="22"/>
          <w:szCs w:val="22"/>
        </w:rPr>
        <w:t>–2428. </w:t>
      </w:r>
    </w:p>
    <w:p w14:paraId="777C9166" w14:textId="32295EE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176.</w:t>
      </w:r>
      <w:r w:rsidR="00857C22" w:rsidRPr="00A6203D">
        <w:rPr>
          <w:rFonts w:ascii="Arial" w:hAnsi="Arial" w:cs="Arial"/>
          <w:sz w:val="22"/>
          <w:szCs w:val="22"/>
        </w:rPr>
        <w:t xml:space="preserve">  </w:t>
      </w:r>
      <w:r w:rsidRPr="00A6203D">
        <w:rPr>
          <w:rFonts w:ascii="Arial" w:hAnsi="Arial" w:cs="Arial"/>
          <w:sz w:val="22"/>
          <w:szCs w:val="22"/>
        </w:rPr>
        <w:t xml:space="preserve">Andrews EB, Gilsenan AW, Midkiff K, Sherrill B, Wu Y, Mann BH, Masica D. The US </w:t>
      </w:r>
      <w:proofErr w:type="spellStart"/>
      <w:r w:rsidRPr="00A6203D">
        <w:rPr>
          <w:rFonts w:ascii="Arial" w:hAnsi="Arial" w:cs="Arial"/>
          <w:sz w:val="22"/>
          <w:szCs w:val="22"/>
        </w:rPr>
        <w:t>postmarketing</w:t>
      </w:r>
      <w:proofErr w:type="spellEnd"/>
      <w:r w:rsidRPr="00A6203D">
        <w:rPr>
          <w:rFonts w:ascii="Arial" w:hAnsi="Arial" w:cs="Arial"/>
          <w:sz w:val="22"/>
          <w:szCs w:val="22"/>
        </w:rPr>
        <w:t xml:space="preserve"> surveillance study of adult osteosarcoma and teriparatide: study design and findings from the first 7 years. J Bone Miner Res. </w:t>
      </w:r>
      <w:proofErr w:type="gramStart"/>
      <w:r w:rsidRPr="00A6203D">
        <w:rPr>
          <w:rFonts w:ascii="Arial" w:hAnsi="Arial" w:cs="Arial"/>
          <w:sz w:val="22"/>
          <w:szCs w:val="22"/>
        </w:rPr>
        <w:t>2012;27:2429</w:t>
      </w:r>
      <w:proofErr w:type="gramEnd"/>
      <w:r w:rsidRPr="00A6203D">
        <w:rPr>
          <w:rFonts w:ascii="Arial" w:hAnsi="Arial" w:cs="Arial"/>
          <w:sz w:val="22"/>
          <w:szCs w:val="22"/>
        </w:rPr>
        <w:t>–2437. </w:t>
      </w:r>
    </w:p>
    <w:p w14:paraId="1F1687D4" w14:textId="65ECAD4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177.</w:t>
      </w:r>
      <w:r w:rsidR="00857C22" w:rsidRPr="00A6203D">
        <w:rPr>
          <w:rFonts w:ascii="Arial" w:hAnsi="Arial" w:cs="Arial"/>
          <w:sz w:val="22"/>
          <w:szCs w:val="22"/>
        </w:rPr>
        <w:t xml:space="preserve">  </w:t>
      </w:r>
      <w:proofErr w:type="spellStart"/>
      <w:r w:rsidRPr="00A6203D">
        <w:rPr>
          <w:rFonts w:ascii="Arial" w:hAnsi="Arial" w:cs="Arial"/>
          <w:sz w:val="22"/>
          <w:szCs w:val="22"/>
        </w:rPr>
        <w:t>Tsuchie</w:t>
      </w:r>
      <w:proofErr w:type="spellEnd"/>
      <w:r w:rsidRPr="00A6203D">
        <w:rPr>
          <w:rFonts w:ascii="Arial" w:hAnsi="Arial" w:cs="Arial"/>
          <w:sz w:val="22"/>
          <w:szCs w:val="22"/>
        </w:rPr>
        <w:t xml:space="preserve"> H, Miyakoshi N, </w:t>
      </w:r>
      <w:proofErr w:type="spellStart"/>
      <w:r w:rsidRPr="00A6203D">
        <w:rPr>
          <w:rFonts w:ascii="Arial" w:hAnsi="Arial" w:cs="Arial"/>
          <w:sz w:val="22"/>
          <w:szCs w:val="22"/>
        </w:rPr>
        <w:t>Kasukawa</w:t>
      </w:r>
      <w:proofErr w:type="spellEnd"/>
      <w:r w:rsidRPr="00A6203D">
        <w:rPr>
          <w:rFonts w:ascii="Arial" w:hAnsi="Arial" w:cs="Arial"/>
          <w:sz w:val="22"/>
          <w:szCs w:val="22"/>
        </w:rPr>
        <w:t xml:space="preserve"> Y, Nishi T, Abe H, Segawa T, Shimada Y. The effect of teriparatide to alleviate pain and to prevent vertebral collapse after fresh osteoporotic vertebral fracture. Journal of bone and mineral metabolism. </w:t>
      </w:r>
      <w:proofErr w:type="gramStart"/>
      <w:r w:rsidRPr="00A6203D">
        <w:rPr>
          <w:rFonts w:ascii="Arial" w:hAnsi="Arial" w:cs="Arial"/>
          <w:sz w:val="22"/>
          <w:szCs w:val="22"/>
        </w:rPr>
        <w:t>2016;34:86</w:t>
      </w:r>
      <w:proofErr w:type="gramEnd"/>
      <w:r w:rsidRPr="00A6203D">
        <w:rPr>
          <w:rFonts w:ascii="Arial" w:hAnsi="Arial" w:cs="Arial"/>
          <w:sz w:val="22"/>
          <w:szCs w:val="22"/>
        </w:rPr>
        <w:t>–91. </w:t>
      </w:r>
    </w:p>
    <w:p w14:paraId="5918E2EF" w14:textId="35A1143D"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178.</w:t>
      </w:r>
      <w:r w:rsidR="00857C22" w:rsidRPr="00A6203D">
        <w:rPr>
          <w:rFonts w:ascii="Arial" w:hAnsi="Arial" w:cs="Arial"/>
          <w:sz w:val="22"/>
          <w:szCs w:val="22"/>
        </w:rPr>
        <w:t xml:space="preserve">  </w:t>
      </w:r>
      <w:r w:rsidRPr="00A6203D">
        <w:rPr>
          <w:rFonts w:ascii="Arial" w:hAnsi="Arial" w:cs="Arial"/>
          <w:sz w:val="22"/>
          <w:szCs w:val="22"/>
        </w:rPr>
        <w:t xml:space="preserve">Michalska D, </w:t>
      </w:r>
      <w:proofErr w:type="spellStart"/>
      <w:r w:rsidRPr="00A6203D">
        <w:rPr>
          <w:rFonts w:ascii="Arial" w:hAnsi="Arial" w:cs="Arial"/>
          <w:sz w:val="22"/>
          <w:szCs w:val="22"/>
        </w:rPr>
        <w:t>Luchavova</w:t>
      </w:r>
      <w:proofErr w:type="spellEnd"/>
      <w:r w:rsidRPr="00A6203D">
        <w:rPr>
          <w:rFonts w:ascii="Arial" w:hAnsi="Arial" w:cs="Arial"/>
          <w:sz w:val="22"/>
          <w:szCs w:val="22"/>
        </w:rPr>
        <w:t xml:space="preserve"> M, Zikan V, Raska I Jr, Kubena AA, Stepan JJ. Effects of morning vs. evening teriparatide injection on bone mineral density and bone turnover markers in postmenopausal osteoporosis.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2012;23:2885</w:t>
      </w:r>
      <w:proofErr w:type="gramEnd"/>
      <w:r w:rsidRPr="00A6203D">
        <w:rPr>
          <w:rFonts w:ascii="Arial" w:hAnsi="Arial" w:cs="Arial"/>
          <w:sz w:val="22"/>
          <w:szCs w:val="22"/>
        </w:rPr>
        <w:t>–2891. </w:t>
      </w:r>
    </w:p>
    <w:p w14:paraId="29C93906" w14:textId="35932829"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179.</w:t>
      </w:r>
      <w:r w:rsidR="00857C22" w:rsidRPr="00A6203D">
        <w:rPr>
          <w:rFonts w:ascii="Arial" w:hAnsi="Arial" w:cs="Arial"/>
          <w:sz w:val="22"/>
          <w:szCs w:val="22"/>
        </w:rPr>
        <w:t xml:space="preserve">  </w:t>
      </w:r>
      <w:r w:rsidRPr="00A6203D">
        <w:rPr>
          <w:rFonts w:ascii="Arial" w:hAnsi="Arial" w:cs="Arial"/>
          <w:sz w:val="22"/>
          <w:szCs w:val="22"/>
        </w:rPr>
        <w:t xml:space="preserve">Matsumoto T, Shiraki M, Hagino H, Iinuma H, Nakamura T. Daily nasal spray of </w:t>
      </w:r>
      <w:proofErr w:type="spellStart"/>
      <w:proofErr w:type="gramStart"/>
      <w:r w:rsidRPr="00A6203D">
        <w:rPr>
          <w:rFonts w:ascii="Arial" w:hAnsi="Arial" w:cs="Arial"/>
          <w:sz w:val="22"/>
          <w:szCs w:val="22"/>
        </w:rPr>
        <w:t>hPTH</w:t>
      </w:r>
      <w:proofErr w:type="spellEnd"/>
      <w:r w:rsidRPr="00A6203D">
        <w:rPr>
          <w:rFonts w:ascii="Arial" w:hAnsi="Arial" w:cs="Arial"/>
          <w:sz w:val="22"/>
          <w:szCs w:val="22"/>
        </w:rPr>
        <w:t>(</w:t>
      </w:r>
      <w:proofErr w:type="gramEnd"/>
      <w:r w:rsidRPr="00A6203D">
        <w:rPr>
          <w:rFonts w:ascii="Arial" w:hAnsi="Arial" w:cs="Arial"/>
          <w:sz w:val="22"/>
          <w:szCs w:val="22"/>
        </w:rPr>
        <w:t>1-34) for 3 months increases bone mass in osteoporotic subjects: a pilot study. </w:t>
      </w:r>
      <w:proofErr w:type="spellStart"/>
      <w:r w:rsidRPr="00A6203D">
        <w:rPr>
          <w:rFonts w:ascii="Arial" w:hAnsi="Arial" w:cs="Arial"/>
          <w:sz w:val="22"/>
          <w:szCs w:val="22"/>
        </w:rPr>
        <w:t>Osteoporos</w:t>
      </w:r>
      <w:proofErr w:type="spellEnd"/>
      <w:r w:rsidRPr="00A6203D">
        <w:rPr>
          <w:rFonts w:ascii="Arial" w:hAnsi="Arial" w:cs="Arial"/>
          <w:sz w:val="22"/>
          <w:szCs w:val="22"/>
        </w:rPr>
        <w:t xml:space="preserve"> Int. </w:t>
      </w:r>
      <w:proofErr w:type="gramStart"/>
      <w:r w:rsidRPr="00A6203D">
        <w:rPr>
          <w:rFonts w:ascii="Arial" w:hAnsi="Arial" w:cs="Arial"/>
          <w:sz w:val="22"/>
          <w:szCs w:val="22"/>
        </w:rPr>
        <w:t>2006;17:1532</w:t>
      </w:r>
      <w:proofErr w:type="gramEnd"/>
      <w:r w:rsidRPr="00A6203D">
        <w:rPr>
          <w:rFonts w:ascii="Arial" w:hAnsi="Arial" w:cs="Arial"/>
          <w:sz w:val="22"/>
          <w:szCs w:val="22"/>
        </w:rPr>
        <w:t>–1538. </w:t>
      </w:r>
    </w:p>
    <w:p w14:paraId="595AEF24" w14:textId="66F2B9C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180.</w:t>
      </w:r>
      <w:r w:rsidR="00857C22" w:rsidRPr="00A6203D">
        <w:rPr>
          <w:rFonts w:ascii="Arial" w:hAnsi="Arial" w:cs="Arial"/>
          <w:sz w:val="22"/>
          <w:szCs w:val="22"/>
        </w:rPr>
        <w:t xml:space="preserve">  </w:t>
      </w:r>
      <w:r w:rsidRPr="00A6203D">
        <w:rPr>
          <w:rFonts w:ascii="Arial" w:hAnsi="Arial" w:cs="Arial"/>
          <w:sz w:val="22"/>
          <w:szCs w:val="22"/>
        </w:rPr>
        <w:t xml:space="preserve">Levin G MC. </w:t>
      </w:r>
      <w:proofErr w:type="spellStart"/>
      <w:r w:rsidRPr="00A6203D">
        <w:rPr>
          <w:rFonts w:ascii="Arial" w:hAnsi="Arial" w:cs="Arial"/>
          <w:sz w:val="22"/>
          <w:szCs w:val="22"/>
        </w:rPr>
        <w:t>Transdermaly</w:t>
      </w:r>
      <w:proofErr w:type="spellEnd"/>
      <w:r w:rsidRPr="00A6203D">
        <w:rPr>
          <w:rFonts w:ascii="Arial" w:hAnsi="Arial" w:cs="Arial"/>
          <w:sz w:val="22"/>
          <w:szCs w:val="22"/>
        </w:rPr>
        <w:t xml:space="preserve">-delivered </w:t>
      </w:r>
      <w:proofErr w:type="gramStart"/>
      <w:r w:rsidRPr="00A6203D">
        <w:rPr>
          <w:rFonts w:ascii="Arial" w:hAnsi="Arial" w:cs="Arial"/>
          <w:sz w:val="22"/>
          <w:szCs w:val="22"/>
        </w:rPr>
        <w:t>PTH(</w:t>
      </w:r>
      <w:proofErr w:type="gramEnd"/>
      <w:r w:rsidRPr="00A6203D">
        <w:rPr>
          <w:rFonts w:ascii="Arial" w:hAnsi="Arial" w:cs="Arial"/>
          <w:sz w:val="22"/>
          <w:szCs w:val="22"/>
        </w:rPr>
        <w:t xml:space="preserve">1-34), a new treatment for osteoporotic patients: results of phase I studies. Journal of Bone and Mineral Research. 2007;22 Suppl </w:t>
      </w:r>
      <w:proofErr w:type="gramStart"/>
      <w:r w:rsidRPr="00A6203D">
        <w:rPr>
          <w:rFonts w:ascii="Arial" w:hAnsi="Arial" w:cs="Arial"/>
          <w:sz w:val="22"/>
          <w:szCs w:val="22"/>
        </w:rPr>
        <w:t>1:S</w:t>
      </w:r>
      <w:proofErr w:type="gramEnd"/>
      <w:r w:rsidRPr="00A6203D">
        <w:rPr>
          <w:rFonts w:ascii="Arial" w:hAnsi="Arial" w:cs="Arial"/>
          <w:sz w:val="22"/>
          <w:szCs w:val="22"/>
        </w:rPr>
        <w:t>324.</w:t>
      </w:r>
    </w:p>
    <w:p w14:paraId="43FC7D9A" w14:textId="529293C3"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181.</w:t>
      </w:r>
      <w:r w:rsidR="00857C22" w:rsidRPr="00A6203D">
        <w:rPr>
          <w:rFonts w:ascii="Arial" w:hAnsi="Arial" w:cs="Arial"/>
          <w:sz w:val="22"/>
          <w:szCs w:val="22"/>
        </w:rPr>
        <w:t xml:space="preserve">  </w:t>
      </w:r>
      <w:r w:rsidRPr="00A6203D">
        <w:rPr>
          <w:rFonts w:ascii="Arial" w:hAnsi="Arial" w:cs="Arial"/>
          <w:sz w:val="22"/>
          <w:szCs w:val="22"/>
        </w:rPr>
        <w:t>Grossman JM, Gordon R, Ranganath VK, Deal C, Caplan L, Chen W, Curtis JR, Furst DE, McMahon M, Patkar NM, Volkmann E, Saag KG. American College of Rheumatology 2010 recommendations for the prevention and treatment of glucocorticoid-induced osteoporosis. Arthritis Care Res (Hoboken). </w:t>
      </w:r>
      <w:proofErr w:type="gramStart"/>
      <w:r w:rsidRPr="00A6203D">
        <w:rPr>
          <w:rFonts w:ascii="Arial" w:hAnsi="Arial" w:cs="Arial"/>
          <w:sz w:val="22"/>
          <w:szCs w:val="22"/>
        </w:rPr>
        <w:t>2010;62:1515</w:t>
      </w:r>
      <w:proofErr w:type="gramEnd"/>
      <w:r w:rsidRPr="00A6203D">
        <w:rPr>
          <w:rFonts w:ascii="Arial" w:hAnsi="Arial" w:cs="Arial"/>
          <w:sz w:val="22"/>
          <w:szCs w:val="22"/>
        </w:rPr>
        <w:t>–1526. </w:t>
      </w:r>
    </w:p>
    <w:p w14:paraId="571E6383" w14:textId="4475E8E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182.</w:t>
      </w:r>
      <w:r w:rsidR="00857C22" w:rsidRPr="00A6203D">
        <w:rPr>
          <w:rFonts w:ascii="Arial" w:hAnsi="Arial" w:cs="Arial"/>
          <w:sz w:val="22"/>
          <w:szCs w:val="22"/>
        </w:rPr>
        <w:t xml:space="preserve">  </w:t>
      </w:r>
      <w:r w:rsidRPr="00A6203D">
        <w:rPr>
          <w:rFonts w:ascii="Arial" w:hAnsi="Arial" w:cs="Arial"/>
          <w:sz w:val="22"/>
          <w:szCs w:val="22"/>
        </w:rPr>
        <w:t xml:space="preserve">Saag KG, Shane E, Boonen S, Marin F, Donley DW, Taylor KA, </w:t>
      </w:r>
      <w:proofErr w:type="spellStart"/>
      <w:r w:rsidRPr="00A6203D">
        <w:rPr>
          <w:rFonts w:ascii="Arial" w:hAnsi="Arial" w:cs="Arial"/>
          <w:sz w:val="22"/>
          <w:szCs w:val="22"/>
        </w:rPr>
        <w:t>Dalsky</w:t>
      </w:r>
      <w:proofErr w:type="spellEnd"/>
      <w:r w:rsidRPr="00A6203D">
        <w:rPr>
          <w:rFonts w:ascii="Arial" w:hAnsi="Arial" w:cs="Arial"/>
          <w:sz w:val="22"/>
          <w:szCs w:val="22"/>
        </w:rPr>
        <w:t xml:space="preserve"> GP, Marcus R. Teriparatide or alendronate in glucocorticoid-induced osteoporosis. N Engl J Med. </w:t>
      </w:r>
      <w:proofErr w:type="gramStart"/>
      <w:r w:rsidRPr="00A6203D">
        <w:rPr>
          <w:rFonts w:ascii="Arial" w:hAnsi="Arial" w:cs="Arial"/>
          <w:sz w:val="22"/>
          <w:szCs w:val="22"/>
        </w:rPr>
        <w:t>2007;357:2028</w:t>
      </w:r>
      <w:proofErr w:type="gramEnd"/>
      <w:r w:rsidRPr="00A6203D">
        <w:rPr>
          <w:rFonts w:ascii="Arial" w:hAnsi="Arial" w:cs="Arial"/>
          <w:sz w:val="22"/>
          <w:szCs w:val="22"/>
        </w:rPr>
        <w:t>–2039. </w:t>
      </w:r>
    </w:p>
    <w:p w14:paraId="7CBF84E1" w14:textId="46D5A808"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183.</w:t>
      </w:r>
      <w:r w:rsidR="00857C22" w:rsidRPr="00A6203D">
        <w:rPr>
          <w:rFonts w:ascii="Arial" w:hAnsi="Arial" w:cs="Arial"/>
          <w:sz w:val="22"/>
          <w:szCs w:val="22"/>
        </w:rPr>
        <w:t xml:space="preserve">  </w:t>
      </w:r>
      <w:r w:rsidRPr="00A6203D">
        <w:rPr>
          <w:rFonts w:ascii="Arial" w:hAnsi="Arial" w:cs="Arial"/>
          <w:sz w:val="22"/>
          <w:szCs w:val="22"/>
        </w:rPr>
        <w:t xml:space="preserve">Jha S, Wang Z, </w:t>
      </w:r>
      <w:proofErr w:type="spellStart"/>
      <w:r w:rsidRPr="00A6203D">
        <w:rPr>
          <w:rFonts w:ascii="Arial" w:hAnsi="Arial" w:cs="Arial"/>
          <w:sz w:val="22"/>
          <w:szCs w:val="22"/>
        </w:rPr>
        <w:t>Laucis</w:t>
      </w:r>
      <w:proofErr w:type="spellEnd"/>
      <w:r w:rsidRPr="00A6203D">
        <w:rPr>
          <w:rFonts w:ascii="Arial" w:hAnsi="Arial" w:cs="Arial"/>
          <w:sz w:val="22"/>
          <w:szCs w:val="22"/>
        </w:rPr>
        <w:t xml:space="preserve"> N, Bhattacharyya T. Trends in Media Reports, Oral Bisphosphonate Prescriptions, and Hip Fractures 1996-2012: An Ecological Analysis. J Bone Miner Res. </w:t>
      </w:r>
      <w:proofErr w:type="gramStart"/>
      <w:r w:rsidRPr="00A6203D">
        <w:rPr>
          <w:rFonts w:ascii="Arial" w:hAnsi="Arial" w:cs="Arial"/>
          <w:sz w:val="22"/>
          <w:szCs w:val="22"/>
        </w:rPr>
        <w:t>2015;30:2179</w:t>
      </w:r>
      <w:proofErr w:type="gramEnd"/>
      <w:r w:rsidRPr="00A6203D">
        <w:rPr>
          <w:rFonts w:ascii="Arial" w:hAnsi="Arial" w:cs="Arial"/>
          <w:sz w:val="22"/>
          <w:szCs w:val="22"/>
        </w:rPr>
        <w:t>–2187. </w:t>
      </w:r>
    </w:p>
    <w:p w14:paraId="3595D5A2" w14:textId="36C56194"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184.</w:t>
      </w:r>
      <w:r w:rsidR="00857C22" w:rsidRPr="00A6203D">
        <w:rPr>
          <w:rFonts w:ascii="Arial" w:hAnsi="Arial" w:cs="Arial"/>
          <w:sz w:val="22"/>
          <w:szCs w:val="22"/>
        </w:rPr>
        <w:t xml:space="preserve">  </w:t>
      </w:r>
      <w:r w:rsidRPr="00A6203D">
        <w:rPr>
          <w:rFonts w:ascii="Arial" w:hAnsi="Arial" w:cs="Arial"/>
          <w:sz w:val="22"/>
          <w:szCs w:val="22"/>
        </w:rPr>
        <w:t>Khosla S, Shane E. A Crisis in the Treatment of Osteoporosis. J Bone Miner Res. 2016 </w:t>
      </w:r>
    </w:p>
    <w:p w14:paraId="1263C1DA" w14:textId="1E3266C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188.</w:t>
      </w:r>
      <w:r w:rsidR="00857C22" w:rsidRPr="00A6203D">
        <w:rPr>
          <w:rFonts w:ascii="Arial" w:hAnsi="Arial" w:cs="Arial"/>
          <w:sz w:val="22"/>
          <w:szCs w:val="22"/>
        </w:rPr>
        <w:t xml:space="preserve">  </w:t>
      </w:r>
      <w:r w:rsidRPr="00A6203D">
        <w:rPr>
          <w:rFonts w:ascii="Arial" w:hAnsi="Arial" w:cs="Arial"/>
          <w:sz w:val="22"/>
          <w:szCs w:val="22"/>
        </w:rPr>
        <w:t xml:space="preserve">Leder BZ, O'Dea LS, Zanchetta JR, Kumar P, Banks K, McKay K, Lyttle CR, Hattersley G. Effects of </w:t>
      </w:r>
      <w:proofErr w:type="spellStart"/>
      <w:r w:rsidRPr="00A6203D">
        <w:rPr>
          <w:rFonts w:ascii="Arial" w:hAnsi="Arial" w:cs="Arial"/>
          <w:sz w:val="22"/>
          <w:szCs w:val="22"/>
        </w:rPr>
        <w:t>abaloparatide</w:t>
      </w:r>
      <w:proofErr w:type="spellEnd"/>
      <w:r w:rsidRPr="00A6203D">
        <w:rPr>
          <w:rFonts w:ascii="Arial" w:hAnsi="Arial" w:cs="Arial"/>
          <w:sz w:val="22"/>
          <w:szCs w:val="22"/>
        </w:rPr>
        <w:t xml:space="preserve">, a human parathyroid hormone-related peptide analog, on bone mineral density in postmenopausal women with osteoporosis.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w:t>
      </w:r>
      <w:proofErr w:type="gramStart"/>
      <w:r w:rsidRPr="00A6203D">
        <w:rPr>
          <w:rFonts w:ascii="Arial" w:hAnsi="Arial" w:cs="Arial"/>
          <w:sz w:val="22"/>
          <w:szCs w:val="22"/>
        </w:rPr>
        <w:t>2015;100:697</w:t>
      </w:r>
      <w:proofErr w:type="gramEnd"/>
      <w:r w:rsidRPr="00A6203D">
        <w:rPr>
          <w:rFonts w:ascii="Arial" w:hAnsi="Arial" w:cs="Arial"/>
          <w:sz w:val="22"/>
          <w:szCs w:val="22"/>
        </w:rPr>
        <w:t>–706. </w:t>
      </w:r>
    </w:p>
    <w:p w14:paraId="4CE955B2" w14:textId="4C31260B"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189.</w:t>
      </w:r>
      <w:r w:rsidR="00857C22" w:rsidRPr="00A6203D">
        <w:rPr>
          <w:rFonts w:ascii="Arial" w:hAnsi="Arial" w:cs="Arial"/>
          <w:sz w:val="22"/>
          <w:szCs w:val="22"/>
        </w:rPr>
        <w:t xml:space="preserve">  </w:t>
      </w:r>
      <w:r w:rsidRPr="00A6203D">
        <w:rPr>
          <w:rFonts w:ascii="Arial" w:hAnsi="Arial" w:cs="Arial"/>
          <w:sz w:val="22"/>
          <w:szCs w:val="22"/>
        </w:rPr>
        <w:t xml:space="preserve">Miller P, Leder BZ, Hattersley G, Lau E, Alexandersen P, Hala T, </w:t>
      </w:r>
      <w:proofErr w:type="spellStart"/>
      <w:r w:rsidRPr="00A6203D">
        <w:rPr>
          <w:rFonts w:ascii="Arial" w:hAnsi="Arial" w:cs="Arial"/>
          <w:sz w:val="22"/>
          <w:szCs w:val="22"/>
        </w:rPr>
        <w:t>Mustatea</w:t>
      </w:r>
      <w:proofErr w:type="spellEnd"/>
      <w:r w:rsidRPr="00A6203D">
        <w:rPr>
          <w:rFonts w:ascii="Arial" w:hAnsi="Arial" w:cs="Arial"/>
          <w:sz w:val="22"/>
          <w:szCs w:val="22"/>
        </w:rPr>
        <w:t xml:space="preserve"> S, Storgaard Nedergaard B, </w:t>
      </w:r>
      <w:proofErr w:type="spellStart"/>
      <w:r w:rsidRPr="00A6203D">
        <w:rPr>
          <w:rFonts w:ascii="Arial" w:hAnsi="Arial" w:cs="Arial"/>
          <w:sz w:val="22"/>
          <w:szCs w:val="22"/>
        </w:rPr>
        <w:t>Krogsaa</w:t>
      </w:r>
      <w:proofErr w:type="spellEnd"/>
      <w:r w:rsidRPr="00A6203D">
        <w:rPr>
          <w:rFonts w:ascii="Arial" w:hAnsi="Arial" w:cs="Arial"/>
          <w:sz w:val="22"/>
          <w:szCs w:val="22"/>
        </w:rPr>
        <w:t xml:space="preserve"> A, Slesinger J, Zerbini CA, Valter I, </w:t>
      </w:r>
      <w:proofErr w:type="spellStart"/>
      <w:r w:rsidRPr="00A6203D">
        <w:rPr>
          <w:rFonts w:ascii="Arial" w:hAnsi="Arial" w:cs="Arial"/>
          <w:sz w:val="22"/>
          <w:szCs w:val="22"/>
        </w:rPr>
        <w:t>Visockiene</w:t>
      </w:r>
      <w:proofErr w:type="spellEnd"/>
      <w:r w:rsidRPr="00A6203D">
        <w:rPr>
          <w:rFonts w:ascii="Arial" w:hAnsi="Arial" w:cs="Arial"/>
          <w:sz w:val="22"/>
          <w:szCs w:val="22"/>
        </w:rPr>
        <w:t xml:space="preserve"> Z, </w:t>
      </w:r>
      <w:proofErr w:type="spellStart"/>
      <w:r w:rsidRPr="00A6203D">
        <w:rPr>
          <w:rFonts w:ascii="Arial" w:hAnsi="Arial" w:cs="Arial"/>
          <w:sz w:val="22"/>
          <w:szCs w:val="22"/>
        </w:rPr>
        <w:t>Jendrych</w:t>
      </w:r>
      <w:proofErr w:type="spellEnd"/>
      <w:r w:rsidRPr="00A6203D">
        <w:rPr>
          <w:rFonts w:ascii="Arial" w:hAnsi="Arial" w:cs="Arial"/>
          <w:sz w:val="22"/>
          <w:szCs w:val="22"/>
        </w:rPr>
        <w:t xml:space="preserve"> B, Kulak CA, Marquez F, Harris AG, Williams GC, Hu M, Riis BJ, Russo L, Christiansen C. Effects of </w:t>
      </w:r>
      <w:proofErr w:type="spellStart"/>
      <w:r w:rsidRPr="00A6203D">
        <w:rPr>
          <w:rFonts w:ascii="Arial" w:hAnsi="Arial" w:cs="Arial"/>
          <w:sz w:val="22"/>
          <w:szCs w:val="22"/>
        </w:rPr>
        <w:t>Abaloparatide</w:t>
      </w:r>
      <w:proofErr w:type="spellEnd"/>
      <w:r w:rsidRPr="00A6203D">
        <w:rPr>
          <w:rFonts w:ascii="Arial" w:hAnsi="Arial" w:cs="Arial"/>
          <w:sz w:val="22"/>
          <w:szCs w:val="22"/>
        </w:rPr>
        <w:t xml:space="preserve"> on Vertebral and Non-Vertebral Fracture Incidence in Postmenopausal Women with Osteoporosis- Results of the Phase 3 Active Trial. </w:t>
      </w:r>
      <w:proofErr w:type="spellStart"/>
      <w:r w:rsidRPr="00A6203D">
        <w:rPr>
          <w:rFonts w:ascii="Arial" w:hAnsi="Arial" w:cs="Arial"/>
          <w:sz w:val="22"/>
          <w:szCs w:val="22"/>
        </w:rPr>
        <w:t>Endocr</w:t>
      </w:r>
      <w:proofErr w:type="spellEnd"/>
      <w:r w:rsidRPr="00A6203D">
        <w:rPr>
          <w:rFonts w:ascii="Arial" w:hAnsi="Arial" w:cs="Arial"/>
          <w:sz w:val="22"/>
          <w:szCs w:val="22"/>
        </w:rPr>
        <w:t xml:space="preserve"> Rev. 2015;(Apr):36.</w:t>
      </w:r>
    </w:p>
    <w:p w14:paraId="6B205155" w14:textId="0BE7A7E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190.</w:t>
      </w:r>
      <w:r w:rsidR="00857C22" w:rsidRPr="00A6203D">
        <w:rPr>
          <w:rFonts w:ascii="Arial" w:hAnsi="Arial" w:cs="Arial"/>
          <w:sz w:val="22"/>
          <w:szCs w:val="22"/>
        </w:rPr>
        <w:t xml:space="preserve">  </w:t>
      </w:r>
      <w:proofErr w:type="spellStart"/>
      <w:r w:rsidRPr="00A6203D">
        <w:rPr>
          <w:rFonts w:ascii="Arial" w:hAnsi="Arial" w:cs="Arial"/>
          <w:sz w:val="22"/>
          <w:szCs w:val="22"/>
        </w:rPr>
        <w:t>Jee</w:t>
      </w:r>
      <w:proofErr w:type="spellEnd"/>
      <w:r w:rsidRPr="00A6203D">
        <w:rPr>
          <w:rFonts w:ascii="Arial" w:hAnsi="Arial" w:cs="Arial"/>
          <w:sz w:val="22"/>
          <w:szCs w:val="22"/>
        </w:rPr>
        <w:t xml:space="preserve"> WSS, Li X, Tian XY, </w:t>
      </w:r>
      <w:proofErr w:type="spellStart"/>
      <w:r w:rsidRPr="00A6203D">
        <w:rPr>
          <w:rFonts w:ascii="Arial" w:hAnsi="Arial" w:cs="Arial"/>
          <w:sz w:val="22"/>
          <w:szCs w:val="22"/>
        </w:rPr>
        <w:t>Paszty</w:t>
      </w:r>
      <w:proofErr w:type="spellEnd"/>
      <w:r w:rsidRPr="00A6203D">
        <w:rPr>
          <w:rFonts w:ascii="Arial" w:hAnsi="Arial" w:cs="Arial"/>
          <w:sz w:val="22"/>
          <w:szCs w:val="22"/>
        </w:rPr>
        <w:t xml:space="preserve"> C, </w:t>
      </w:r>
      <w:proofErr w:type="spellStart"/>
      <w:r w:rsidRPr="00A6203D">
        <w:rPr>
          <w:rFonts w:ascii="Arial" w:hAnsi="Arial" w:cs="Arial"/>
          <w:sz w:val="22"/>
          <w:szCs w:val="22"/>
        </w:rPr>
        <w:t>Ke</w:t>
      </w:r>
      <w:proofErr w:type="spellEnd"/>
      <w:r w:rsidRPr="00A6203D">
        <w:rPr>
          <w:rFonts w:ascii="Arial" w:hAnsi="Arial" w:cs="Arial"/>
          <w:sz w:val="22"/>
          <w:szCs w:val="22"/>
        </w:rPr>
        <w:t xml:space="preserve"> HZ. Anti-Sclerostin Antibody Increases Bone Mass by Stimulating Bone Formation and Inhibiting Bone Resorption in a Hindlimb-Immobilization Rat Model. Abstracts of the 30th Annual Meeting of the American Society for Bone and Mineral Research 2008:S 1138.</w:t>
      </w:r>
    </w:p>
    <w:p w14:paraId="28460BC3" w14:textId="66CA2C1F"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191.</w:t>
      </w:r>
      <w:r w:rsidR="00857C22" w:rsidRPr="00A6203D">
        <w:rPr>
          <w:rFonts w:ascii="Arial" w:hAnsi="Arial" w:cs="Arial"/>
          <w:sz w:val="22"/>
          <w:szCs w:val="22"/>
        </w:rPr>
        <w:t xml:space="preserve">  </w:t>
      </w:r>
      <w:r w:rsidRPr="00A6203D">
        <w:rPr>
          <w:rFonts w:ascii="Arial" w:hAnsi="Arial" w:cs="Arial"/>
          <w:sz w:val="22"/>
          <w:szCs w:val="22"/>
        </w:rPr>
        <w:t xml:space="preserve">Li X, Warmington K, Niu QT, Grisanti M, Tan H, Dwyer D, </w:t>
      </w:r>
      <w:proofErr w:type="spellStart"/>
      <w:r w:rsidRPr="00A6203D">
        <w:rPr>
          <w:rFonts w:ascii="Arial" w:hAnsi="Arial" w:cs="Arial"/>
          <w:sz w:val="22"/>
          <w:szCs w:val="22"/>
        </w:rPr>
        <w:t>Stolina</w:t>
      </w:r>
      <w:proofErr w:type="spellEnd"/>
      <w:r w:rsidRPr="00A6203D">
        <w:rPr>
          <w:rFonts w:ascii="Arial" w:hAnsi="Arial" w:cs="Arial"/>
          <w:sz w:val="22"/>
          <w:szCs w:val="22"/>
        </w:rPr>
        <w:t xml:space="preserve"> M, Simonet WS, </w:t>
      </w:r>
      <w:proofErr w:type="spellStart"/>
      <w:r w:rsidRPr="00A6203D">
        <w:rPr>
          <w:rFonts w:ascii="Arial" w:hAnsi="Arial" w:cs="Arial"/>
          <w:sz w:val="22"/>
          <w:szCs w:val="22"/>
        </w:rPr>
        <w:t>Kostenuik</w:t>
      </w:r>
      <w:proofErr w:type="spellEnd"/>
      <w:r w:rsidRPr="00A6203D">
        <w:rPr>
          <w:rFonts w:ascii="Arial" w:hAnsi="Arial" w:cs="Arial"/>
          <w:sz w:val="22"/>
          <w:szCs w:val="22"/>
        </w:rPr>
        <w:t xml:space="preserve"> PJ, </w:t>
      </w:r>
      <w:proofErr w:type="spellStart"/>
      <w:r w:rsidRPr="00A6203D">
        <w:rPr>
          <w:rFonts w:ascii="Arial" w:hAnsi="Arial" w:cs="Arial"/>
          <w:sz w:val="22"/>
          <w:szCs w:val="22"/>
        </w:rPr>
        <w:t>Paszty</w:t>
      </w:r>
      <w:proofErr w:type="spellEnd"/>
      <w:r w:rsidRPr="00A6203D">
        <w:rPr>
          <w:rFonts w:ascii="Arial" w:hAnsi="Arial" w:cs="Arial"/>
          <w:sz w:val="22"/>
          <w:szCs w:val="22"/>
        </w:rPr>
        <w:t xml:space="preserve"> C, </w:t>
      </w:r>
      <w:proofErr w:type="spellStart"/>
      <w:r w:rsidRPr="00A6203D">
        <w:rPr>
          <w:rFonts w:ascii="Arial" w:hAnsi="Arial" w:cs="Arial"/>
          <w:sz w:val="22"/>
          <w:szCs w:val="22"/>
        </w:rPr>
        <w:t>Ke</w:t>
      </w:r>
      <w:proofErr w:type="spellEnd"/>
      <w:r w:rsidRPr="00A6203D">
        <w:rPr>
          <w:rFonts w:ascii="Arial" w:hAnsi="Arial" w:cs="Arial"/>
          <w:sz w:val="22"/>
          <w:szCs w:val="22"/>
        </w:rPr>
        <w:t xml:space="preserve"> HZ. Increases in BMD Observed with Anti-Sclerostin Antibody Treatment Are Reversible: A Longitudinal Ovariectomized Rat Study. Abstracts of the 30th Annual Meeting of the American Society for Bone and Mineral Research 2008:S 1211.</w:t>
      </w:r>
    </w:p>
    <w:p w14:paraId="3D456AEA" w14:textId="1A01BB81"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lastRenderedPageBreak/>
        <w:t>192.</w:t>
      </w:r>
      <w:r w:rsidR="00857C22" w:rsidRPr="00A6203D">
        <w:rPr>
          <w:rFonts w:ascii="Arial" w:hAnsi="Arial" w:cs="Arial"/>
          <w:sz w:val="22"/>
          <w:szCs w:val="22"/>
        </w:rPr>
        <w:t xml:space="preserve">  </w:t>
      </w:r>
      <w:r w:rsidRPr="00A6203D">
        <w:rPr>
          <w:rFonts w:ascii="Arial" w:hAnsi="Arial" w:cs="Arial"/>
          <w:sz w:val="22"/>
          <w:szCs w:val="22"/>
        </w:rPr>
        <w:t xml:space="preserve">Recker RR, Benson CT, Matsumoto T, Bolognese MA, Robins DA, </w:t>
      </w:r>
      <w:proofErr w:type="spellStart"/>
      <w:r w:rsidRPr="00A6203D">
        <w:rPr>
          <w:rFonts w:ascii="Arial" w:hAnsi="Arial" w:cs="Arial"/>
          <w:sz w:val="22"/>
          <w:szCs w:val="22"/>
        </w:rPr>
        <w:t>Alam</w:t>
      </w:r>
      <w:proofErr w:type="spellEnd"/>
      <w:r w:rsidRPr="00A6203D">
        <w:rPr>
          <w:rFonts w:ascii="Arial" w:hAnsi="Arial" w:cs="Arial"/>
          <w:sz w:val="22"/>
          <w:szCs w:val="22"/>
        </w:rPr>
        <w:t xml:space="preserve"> J, Chiang AY, Hu L, Krege JH, Sowa H, </w:t>
      </w:r>
      <w:proofErr w:type="spellStart"/>
      <w:r w:rsidRPr="00A6203D">
        <w:rPr>
          <w:rFonts w:ascii="Arial" w:hAnsi="Arial" w:cs="Arial"/>
          <w:sz w:val="22"/>
          <w:szCs w:val="22"/>
        </w:rPr>
        <w:t>Mitlak</w:t>
      </w:r>
      <w:proofErr w:type="spellEnd"/>
      <w:r w:rsidRPr="00A6203D">
        <w:rPr>
          <w:rFonts w:ascii="Arial" w:hAnsi="Arial" w:cs="Arial"/>
          <w:sz w:val="22"/>
          <w:szCs w:val="22"/>
        </w:rPr>
        <w:t xml:space="preserve"> BH, Myers SL. A randomized, double-blind phase 2 clinical trial of </w:t>
      </w:r>
      <w:proofErr w:type="spellStart"/>
      <w:r w:rsidRPr="00A6203D">
        <w:rPr>
          <w:rFonts w:ascii="Arial" w:hAnsi="Arial" w:cs="Arial"/>
          <w:sz w:val="22"/>
          <w:szCs w:val="22"/>
        </w:rPr>
        <w:t>blosozumab</w:t>
      </w:r>
      <w:proofErr w:type="spellEnd"/>
      <w:r w:rsidRPr="00A6203D">
        <w:rPr>
          <w:rFonts w:ascii="Arial" w:hAnsi="Arial" w:cs="Arial"/>
          <w:sz w:val="22"/>
          <w:szCs w:val="22"/>
        </w:rPr>
        <w:t>, a sclerostin antibody, in postmenopausal women with low bone mineral density. J Bone Miner Res. </w:t>
      </w:r>
      <w:proofErr w:type="gramStart"/>
      <w:r w:rsidRPr="00A6203D">
        <w:rPr>
          <w:rFonts w:ascii="Arial" w:hAnsi="Arial" w:cs="Arial"/>
          <w:sz w:val="22"/>
          <w:szCs w:val="22"/>
        </w:rPr>
        <w:t>2015;30:216</w:t>
      </w:r>
      <w:proofErr w:type="gramEnd"/>
      <w:r w:rsidRPr="00A6203D">
        <w:rPr>
          <w:rFonts w:ascii="Arial" w:hAnsi="Arial" w:cs="Arial"/>
          <w:sz w:val="22"/>
          <w:szCs w:val="22"/>
        </w:rPr>
        <w:t>–224. </w:t>
      </w:r>
    </w:p>
    <w:p w14:paraId="0B275A95" w14:textId="40CA1DE7" w:rsidR="005E6870" w:rsidRPr="00A6203D" w:rsidRDefault="005E6870" w:rsidP="000B2ED2">
      <w:pPr>
        <w:spacing w:line="276" w:lineRule="auto"/>
        <w:ind w:left="576" w:hanging="576"/>
        <w:rPr>
          <w:rFonts w:ascii="Arial" w:hAnsi="Arial" w:cs="Arial"/>
          <w:sz w:val="22"/>
          <w:szCs w:val="22"/>
        </w:rPr>
      </w:pPr>
      <w:r w:rsidRPr="00A6203D">
        <w:rPr>
          <w:rFonts w:ascii="Arial" w:hAnsi="Arial" w:cs="Arial"/>
          <w:sz w:val="22"/>
          <w:szCs w:val="22"/>
        </w:rPr>
        <w:t>193.</w:t>
      </w:r>
      <w:r w:rsidR="00857C22" w:rsidRPr="00A6203D">
        <w:rPr>
          <w:rFonts w:ascii="Arial" w:hAnsi="Arial" w:cs="Arial"/>
          <w:sz w:val="22"/>
          <w:szCs w:val="22"/>
        </w:rPr>
        <w:t xml:space="preserve">  </w:t>
      </w:r>
      <w:r w:rsidRPr="00A6203D">
        <w:rPr>
          <w:rFonts w:ascii="Arial" w:hAnsi="Arial" w:cs="Arial"/>
          <w:sz w:val="22"/>
          <w:szCs w:val="22"/>
        </w:rPr>
        <w:t xml:space="preserve">McClung MR, Grauer A, Boonen S, Bolognese MA, Brown JP, Diez-Perez A, Langdahl BL, </w:t>
      </w:r>
      <w:proofErr w:type="spellStart"/>
      <w:r w:rsidRPr="00A6203D">
        <w:rPr>
          <w:rFonts w:ascii="Arial" w:hAnsi="Arial" w:cs="Arial"/>
          <w:sz w:val="22"/>
          <w:szCs w:val="22"/>
        </w:rPr>
        <w:t>Reginster</w:t>
      </w:r>
      <w:proofErr w:type="spellEnd"/>
      <w:r w:rsidRPr="00A6203D">
        <w:rPr>
          <w:rFonts w:ascii="Arial" w:hAnsi="Arial" w:cs="Arial"/>
          <w:sz w:val="22"/>
          <w:szCs w:val="22"/>
        </w:rPr>
        <w:t xml:space="preserve"> JY, Zanchetta JR, Wasserman SM, Katz L, Maddox J, Yang YC, </w:t>
      </w:r>
      <w:proofErr w:type="spellStart"/>
      <w:r w:rsidRPr="00A6203D">
        <w:rPr>
          <w:rFonts w:ascii="Arial" w:hAnsi="Arial" w:cs="Arial"/>
          <w:sz w:val="22"/>
          <w:szCs w:val="22"/>
        </w:rPr>
        <w:t>Libanati</w:t>
      </w:r>
      <w:proofErr w:type="spellEnd"/>
      <w:r w:rsidRPr="00A6203D">
        <w:rPr>
          <w:rFonts w:ascii="Arial" w:hAnsi="Arial" w:cs="Arial"/>
          <w:sz w:val="22"/>
          <w:szCs w:val="22"/>
        </w:rPr>
        <w:t xml:space="preserve"> C, Bone HG. </w:t>
      </w:r>
      <w:proofErr w:type="spellStart"/>
      <w:r w:rsidRPr="00A6203D">
        <w:rPr>
          <w:rFonts w:ascii="Arial" w:hAnsi="Arial" w:cs="Arial"/>
          <w:sz w:val="22"/>
          <w:szCs w:val="22"/>
        </w:rPr>
        <w:t>Romosozumab</w:t>
      </w:r>
      <w:proofErr w:type="spellEnd"/>
      <w:r w:rsidRPr="00A6203D">
        <w:rPr>
          <w:rFonts w:ascii="Arial" w:hAnsi="Arial" w:cs="Arial"/>
          <w:sz w:val="22"/>
          <w:szCs w:val="22"/>
        </w:rPr>
        <w:t xml:space="preserve"> in postmenopausal women with low bone mineral density. N Engl J Med. </w:t>
      </w:r>
      <w:proofErr w:type="gramStart"/>
      <w:r w:rsidRPr="00A6203D">
        <w:rPr>
          <w:rFonts w:ascii="Arial" w:hAnsi="Arial" w:cs="Arial"/>
          <w:sz w:val="22"/>
          <w:szCs w:val="22"/>
        </w:rPr>
        <w:t>2014;370:412</w:t>
      </w:r>
      <w:proofErr w:type="gramEnd"/>
      <w:r w:rsidRPr="00A6203D">
        <w:rPr>
          <w:rFonts w:ascii="Arial" w:hAnsi="Arial" w:cs="Arial"/>
          <w:sz w:val="22"/>
          <w:szCs w:val="22"/>
        </w:rPr>
        <w:t>–420. </w:t>
      </w:r>
    </w:p>
    <w:p w14:paraId="009F3C7F" w14:textId="789564F8" w:rsidR="00125874" w:rsidRDefault="00125874" w:rsidP="000B2ED2">
      <w:pPr>
        <w:spacing w:line="276" w:lineRule="auto"/>
        <w:ind w:left="576" w:hanging="576"/>
        <w:rPr>
          <w:rFonts w:ascii="Arial" w:hAnsi="Arial" w:cs="Arial"/>
          <w:sz w:val="22"/>
          <w:szCs w:val="22"/>
        </w:rPr>
      </w:pPr>
      <w:r w:rsidRPr="00A6203D">
        <w:rPr>
          <w:rFonts w:ascii="Arial" w:hAnsi="Arial" w:cs="Arial"/>
          <w:sz w:val="22"/>
          <w:szCs w:val="22"/>
        </w:rPr>
        <w:t>19</w:t>
      </w:r>
      <w:r>
        <w:rPr>
          <w:rFonts w:ascii="Arial" w:hAnsi="Arial" w:cs="Arial"/>
          <w:sz w:val="22"/>
          <w:szCs w:val="22"/>
        </w:rPr>
        <w:t>4</w:t>
      </w:r>
      <w:r w:rsidRPr="00A6203D">
        <w:rPr>
          <w:rFonts w:ascii="Arial" w:hAnsi="Arial" w:cs="Arial"/>
          <w:sz w:val="22"/>
          <w:szCs w:val="22"/>
        </w:rPr>
        <w:t xml:space="preserve">.  </w:t>
      </w:r>
      <w:proofErr w:type="spellStart"/>
      <w:r>
        <w:rPr>
          <w:rFonts w:ascii="Arial" w:hAnsi="Arial" w:cs="Arial"/>
          <w:sz w:val="22"/>
          <w:szCs w:val="22"/>
        </w:rPr>
        <w:t>LeBoff</w:t>
      </w:r>
      <w:proofErr w:type="spellEnd"/>
      <w:r>
        <w:rPr>
          <w:rFonts w:ascii="Arial" w:hAnsi="Arial" w:cs="Arial"/>
          <w:sz w:val="22"/>
          <w:szCs w:val="22"/>
        </w:rPr>
        <w:t xml:space="preserve"> MS, Chou SH, Ratliff KA, Cook NR, Khurana B, Kim E, Cawthon PM, Bauer DC, Black D, Gallagher JC, Lee I, Buring JE, Manson JE. Supplemental vitamin D and incident fractures in midlife and older adults. NEJM. 2022;387(4):299-309.</w:t>
      </w:r>
    </w:p>
    <w:p w14:paraId="3B6680C8" w14:textId="44CFCF9F" w:rsidR="1C25C164" w:rsidRPr="00A6203D" w:rsidRDefault="1C25C164" w:rsidP="00125874">
      <w:pPr>
        <w:spacing w:line="276" w:lineRule="auto"/>
        <w:ind w:left="576" w:hanging="576"/>
        <w:rPr>
          <w:rFonts w:ascii="Arial" w:hAnsi="Arial" w:cs="Arial"/>
          <w:sz w:val="22"/>
          <w:szCs w:val="22"/>
        </w:rPr>
      </w:pPr>
      <w:r w:rsidRPr="00A6203D">
        <w:rPr>
          <w:rFonts w:ascii="Arial" w:hAnsi="Arial" w:cs="Arial"/>
          <w:sz w:val="22"/>
          <w:szCs w:val="22"/>
        </w:rPr>
        <w:t>195.</w:t>
      </w:r>
      <w:r w:rsidR="00857C22" w:rsidRPr="00A6203D">
        <w:rPr>
          <w:rFonts w:ascii="Arial" w:hAnsi="Arial" w:cs="Arial"/>
          <w:sz w:val="22"/>
          <w:szCs w:val="22"/>
        </w:rPr>
        <w:t xml:space="preserv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Murata EM, Cook NR, Cawthon P, Chou SH, Kotler G, </w:t>
      </w:r>
      <w:proofErr w:type="spellStart"/>
      <w:r w:rsidRPr="00A6203D">
        <w:rPr>
          <w:rFonts w:ascii="Arial" w:hAnsi="Arial" w:cs="Arial"/>
          <w:sz w:val="22"/>
          <w:szCs w:val="22"/>
        </w:rPr>
        <w:t>Bubes</w:t>
      </w:r>
      <w:proofErr w:type="spellEnd"/>
      <w:r w:rsidRPr="00A6203D">
        <w:rPr>
          <w:rFonts w:ascii="Arial" w:hAnsi="Arial" w:cs="Arial"/>
          <w:sz w:val="22"/>
          <w:szCs w:val="22"/>
        </w:rPr>
        <w:t xml:space="preserve"> V, Buring JE, Manson JE. </w:t>
      </w:r>
      <w:proofErr w:type="spellStart"/>
      <w:r w:rsidRPr="00A6203D">
        <w:rPr>
          <w:rFonts w:ascii="Arial" w:hAnsi="Arial" w:cs="Arial"/>
          <w:sz w:val="22"/>
          <w:szCs w:val="22"/>
        </w:rPr>
        <w:t>VITamin</w:t>
      </w:r>
      <w:proofErr w:type="spellEnd"/>
      <w:r w:rsidRPr="00A6203D">
        <w:rPr>
          <w:rFonts w:ascii="Arial" w:hAnsi="Arial" w:cs="Arial"/>
          <w:sz w:val="22"/>
          <w:szCs w:val="22"/>
        </w:rPr>
        <w:t xml:space="preserve"> D and OmegA-3 </w:t>
      </w:r>
      <w:proofErr w:type="spellStart"/>
      <w:r w:rsidRPr="00A6203D">
        <w:rPr>
          <w:rFonts w:ascii="Arial" w:hAnsi="Arial" w:cs="Arial"/>
          <w:sz w:val="22"/>
          <w:szCs w:val="22"/>
        </w:rPr>
        <w:t>TriaL</w:t>
      </w:r>
      <w:proofErr w:type="spellEnd"/>
      <w:r w:rsidRPr="00A6203D">
        <w:rPr>
          <w:rFonts w:ascii="Arial" w:hAnsi="Arial" w:cs="Arial"/>
          <w:sz w:val="22"/>
          <w:szCs w:val="22"/>
        </w:rPr>
        <w:t xml:space="preserve"> (VITAL): Effects of Vitamin D Supplements on Risk of Falls in the US Population.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xml:space="preserve">. 2020 Jun </w:t>
      </w:r>
      <w:proofErr w:type="gramStart"/>
      <w:r w:rsidRPr="00A6203D">
        <w:rPr>
          <w:rFonts w:ascii="Arial" w:hAnsi="Arial" w:cs="Arial"/>
          <w:sz w:val="22"/>
          <w:szCs w:val="22"/>
        </w:rPr>
        <w:t>3;.</w:t>
      </w:r>
      <w:proofErr w:type="gramEnd"/>
      <w:r w:rsidRPr="00A6203D">
        <w:rPr>
          <w:rFonts w:ascii="Arial" w:hAnsi="Arial" w:cs="Arial"/>
          <w:sz w:val="22"/>
          <w:szCs w:val="22"/>
        </w:rPr>
        <w:t xml:space="preserve"> </w:t>
      </w:r>
      <w:proofErr w:type="spellStart"/>
      <w:r w:rsidRPr="00A6203D">
        <w:rPr>
          <w:rFonts w:ascii="Arial" w:hAnsi="Arial" w:cs="Arial"/>
          <w:sz w:val="22"/>
          <w:szCs w:val="22"/>
        </w:rPr>
        <w:t>doi</w:t>
      </w:r>
      <w:proofErr w:type="spellEnd"/>
      <w:r w:rsidRPr="00A6203D">
        <w:rPr>
          <w:rFonts w:ascii="Arial" w:hAnsi="Arial" w:cs="Arial"/>
          <w:sz w:val="22"/>
          <w:szCs w:val="22"/>
        </w:rPr>
        <w:t>: 10.1210/</w:t>
      </w:r>
      <w:proofErr w:type="spellStart"/>
      <w:r w:rsidRPr="00A6203D">
        <w:rPr>
          <w:rFonts w:ascii="Arial" w:hAnsi="Arial" w:cs="Arial"/>
          <w:sz w:val="22"/>
          <w:szCs w:val="22"/>
        </w:rPr>
        <w:t>clinem</w:t>
      </w:r>
      <w:proofErr w:type="spellEnd"/>
      <w:r w:rsidRPr="00A6203D">
        <w:rPr>
          <w:rFonts w:ascii="Arial" w:hAnsi="Arial" w:cs="Arial"/>
          <w:sz w:val="22"/>
          <w:szCs w:val="22"/>
        </w:rPr>
        <w:t>/dgaa311. [</w:t>
      </w:r>
      <w:proofErr w:type="spellStart"/>
      <w:r w:rsidRPr="00A6203D">
        <w:rPr>
          <w:rFonts w:ascii="Arial" w:hAnsi="Arial" w:cs="Arial"/>
          <w:sz w:val="22"/>
          <w:szCs w:val="22"/>
        </w:rPr>
        <w:t>Epub</w:t>
      </w:r>
      <w:proofErr w:type="spellEnd"/>
      <w:r w:rsidRPr="00A6203D">
        <w:rPr>
          <w:rFonts w:ascii="Arial" w:hAnsi="Arial" w:cs="Arial"/>
          <w:sz w:val="22"/>
          <w:szCs w:val="22"/>
        </w:rPr>
        <w:t xml:space="preserve"> ahead of print] PubMed PMID: 32492153.  </w:t>
      </w:r>
    </w:p>
    <w:p w14:paraId="48370225" w14:textId="54D8E934" w:rsidR="1C25C164" w:rsidRPr="00A6203D" w:rsidRDefault="1C25C164" w:rsidP="000B2ED2">
      <w:pPr>
        <w:spacing w:line="276" w:lineRule="auto"/>
        <w:ind w:left="576" w:hanging="576"/>
        <w:rPr>
          <w:rFonts w:ascii="Arial" w:hAnsi="Arial" w:cs="Arial"/>
          <w:sz w:val="22"/>
          <w:szCs w:val="22"/>
        </w:rPr>
      </w:pPr>
      <w:r w:rsidRPr="00A6203D">
        <w:rPr>
          <w:rFonts w:ascii="Arial" w:hAnsi="Arial" w:cs="Arial"/>
          <w:sz w:val="22"/>
          <w:szCs w:val="22"/>
        </w:rPr>
        <w:t>196.</w:t>
      </w:r>
      <w:r w:rsidR="00857C22" w:rsidRPr="00A6203D">
        <w:rPr>
          <w:rFonts w:ascii="Arial" w:hAnsi="Arial" w:cs="Arial"/>
          <w:sz w:val="22"/>
          <w:szCs w:val="22"/>
        </w:rPr>
        <w:t xml:space="preserve">  </w:t>
      </w:r>
      <w:proofErr w:type="spellStart"/>
      <w:r w:rsidRPr="00A6203D">
        <w:rPr>
          <w:rFonts w:ascii="Arial" w:hAnsi="Arial" w:cs="Arial"/>
          <w:sz w:val="22"/>
          <w:szCs w:val="22"/>
        </w:rPr>
        <w:t>LeBoff</w:t>
      </w:r>
      <w:proofErr w:type="spellEnd"/>
      <w:r w:rsidRPr="00A6203D">
        <w:rPr>
          <w:rFonts w:ascii="Arial" w:hAnsi="Arial" w:cs="Arial"/>
          <w:sz w:val="22"/>
          <w:szCs w:val="22"/>
        </w:rPr>
        <w:t xml:space="preserve"> MS, Chou SH, Murata EM, Donlon CM, Cook N, Mora S, Lee I, Kotler G, </w:t>
      </w:r>
      <w:proofErr w:type="spellStart"/>
      <w:r w:rsidRPr="00A6203D">
        <w:rPr>
          <w:rFonts w:ascii="Arial" w:hAnsi="Arial" w:cs="Arial"/>
          <w:sz w:val="22"/>
          <w:szCs w:val="22"/>
        </w:rPr>
        <w:t>Bubes</w:t>
      </w:r>
      <w:proofErr w:type="spellEnd"/>
      <w:r w:rsidRPr="00A6203D">
        <w:rPr>
          <w:rFonts w:ascii="Arial" w:hAnsi="Arial" w:cs="Arial"/>
          <w:sz w:val="22"/>
          <w:szCs w:val="22"/>
        </w:rPr>
        <w:t xml:space="preserve"> V, Buring JE, Manson JE. Effects of Supplemental Vitamin D on Bone Health Outcomes in Women and Men in the </w:t>
      </w:r>
      <w:proofErr w:type="spellStart"/>
      <w:r w:rsidRPr="00A6203D">
        <w:rPr>
          <w:rFonts w:ascii="Arial" w:hAnsi="Arial" w:cs="Arial"/>
          <w:sz w:val="22"/>
          <w:szCs w:val="22"/>
        </w:rPr>
        <w:t>VITamin</w:t>
      </w:r>
      <w:proofErr w:type="spellEnd"/>
      <w:r w:rsidRPr="00A6203D">
        <w:rPr>
          <w:rFonts w:ascii="Arial" w:hAnsi="Arial" w:cs="Arial"/>
          <w:sz w:val="22"/>
          <w:szCs w:val="22"/>
        </w:rPr>
        <w:t xml:space="preserve"> D and OmegA-3 </w:t>
      </w:r>
      <w:proofErr w:type="spellStart"/>
      <w:r w:rsidRPr="00A6203D">
        <w:rPr>
          <w:rFonts w:ascii="Arial" w:hAnsi="Arial" w:cs="Arial"/>
          <w:sz w:val="22"/>
          <w:szCs w:val="22"/>
        </w:rPr>
        <w:t>TriaL</w:t>
      </w:r>
      <w:proofErr w:type="spellEnd"/>
      <w:r w:rsidRPr="00A6203D">
        <w:rPr>
          <w:rFonts w:ascii="Arial" w:hAnsi="Arial" w:cs="Arial"/>
          <w:sz w:val="22"/>
          <w:szCs w:val="22"/>
        </w:rPr>
        <w:t xml:space="preserve"> (VITAL). J Bone Miner Res. 2020. PMID: 31923341. </w:t>
      </w:r>
    </w:p>
    <w:p w14:paraId="1923861E" w14:textId="6AFC59E8" w:rsidR="1C25C164" w:rsidRPr="00A6203D" w:rsidRDefault="1C25C164" w:rsidP="000B2ED2">
      <w:pPr>
        <w:spacing w:line="276" w:lineRule="auto"/>
        <w:ind w:left="576" w:hanging="576"/>
        <w:rPr>
          <w:rFonts w:ascii="Arial" w:hAnsi="Arial" w:cs="Arial"/>
          <w:sz w:val="22"/>
          <w:szCs w:val="22"/>
        </w:rPr>
      </w:pPr>
      <w:r w:rsidRPr="00A6203D">
        <w:rPr>
          <w:rFonts w:ascii="Arial" w:hAnsi="Arial" w:cs="Arial"/>
          <w:sz w:val="22"/>
          <w:szCs w:val="22"/>
        </w:rPr>
        <w:t>197.</w:t>
      </w:r>
      <w:r w:rsidR="00C45C14" w:rsidRPr="00A6203D">
        <w:rPr>
          <w:rFonts w:ascii="Arial" w:hAnsi="Arial" w:cs="Arial"/>
          <w:sz w:val="22"/>
          <w:szCs w:val="22"/>
        </w:rPr>
        <w:t xml:space="preserve">  </w:t>
      </w:r>
      <w:r w:rsidRPr="00A6203D">
        <w:rPr>
          <w:rFonts w:ascii="Arial" w:hAnsi="Arial" w:cs="Arial"/>
          <w:sz w:val="22"/>
          <w:szCs w:val="22"/>
        </w:rPr>
        <w:t xml:space="preserve">Reid IR, Horne AM, Mihov B, Stewart A, Garratt E, Wong S, </w:t>
      </w:r>
      <w:proofErr w:type="spellStart"/>
      <w:r w:rsidRPr="00A6203D">
        <w:rPr>
          <w:rFonts w:ascii="Arial" w:hAnsi="Arial" w:cs="Arial"/>
          <w:sz w:val="22"/>
          <w:szCs w:val="22"/>
        </w:rPr>
        <w:t>Wiessing</w:t>
      </w:r>
      <w:proofErr w:type="spellEnd"/>
      <w:r w:rsidRPr="00A6203D">
        <w:rPr>
          <w:rFonts w:ascii="Arial" w:hAnsi="Arial" w:cs="Arial"/>
          <w:sz w:val="22"/>
          <w:szCs w:val="22"/>
        </w:rPr>
        <w:t xml:space="preserve"> KR, Bolland MJ, Bastin S, Gamble GD. Fracture Prevention with Zoledronate in Older Women with Osteopenia. N Engl J Med. </w:t>
      </w:r>
      <w:proofErr w:type="gramStart"/>
      <w:r w:rsidRPr="00A6203D">
        <w:rPr>
          <w:rFonts w:ascii="Arial" w:hAnsi="Arial" w:cs="Arial"/>
          <w:sz w:val="22"/>
          <w:szCs w:val="22"/>
        </w:rPr>
        <w:t>2018;20:379</w:t>
      </w:r>
      <w:proofErr w:type="gramEnd"/>
      <w:r w:rsidRPr="00A6203D">
        <w:rPr>
          <w:rFonts w:ascii="Arial" w:hAnsi="Arial" w:cs="Arial"/>
          <w:sz w:val="22"/>
          <w:szCs w:val="22"/>
        </w:rPr>
        <w:t>(25):2407-2416. PMID: 30575489.</w:t>
      </w:r>
    </w:p>
    <w:p w14:paraId="144065CD" w14:textId="0586E7B9" w:rsidR="1C25C164" w:rsidRPr="00A6203D" w:rsidRDefault="1C25C164" w:rsidP="000B2ED2">
      <w:pPr>
        <w:spacing w:line="276" w:lineRule="auto"/>
        <w:ind w:left="576" w:hanging="576"/>
        <w:rPr>
          <w:rFonts w:ascii="Arial" w:hAnsi="Arial" w:cs="Arial"/>
          <w:sz w:val="22"/>
          <w:szCs w:val="22"/>
        </w:rPr>
      </w:pPr>
      <w:r w:rsidRPr="00A6203D">
        <w:rPr>
          <w:rFonts w:ascii="Arial" w:hAnsi="Arial" w:cs="Arial"/>
          <w:sz w:val="22"/>
          <w:szCs w:val="22"/>
        </w:rPr>
        <w:t>198.</w:t>
      </w:r>
      <w:r w:rsidR="00C45C14" w:rsidRPr="00A6203D">
        <w:rPr>
          <w:rFonts w:ascii="Arial" w:hAnsi="Arial" w:cs="Arial"/>
          <w:sz w:val="22"/>
          <w:szCs w:val="22"/>
        </w:rPr>
        <w:t xml:space="preserve">  </w:t>
      </w:r>
      <w:r w:rsidRPr="00A6203D">
        <w:rPr>
          <w:rFonts w:ascii="Arial" w:hAnsi="Arial" w:cs="Arial"/>
          <w:sz w:val="22"/>
          <w:szCs w:val="22"/>
        </w:rPr>
        <w:t xml:space="preserve">Ruggiero SL, Dodson TB, </w:t>
      </w:r>
      <w:proofErr w:type="spellStart"/>
      <w:r w:rsidRPr="00A6203D">
        <w:rPr>
          <w:rFonts w:ascii="Arial" w:hAnsi="Arial" w:cs="Arial"/>
          <w:sz w:val="22"/>
          <w:szCs w:val="22"/>
        </w:rPr>
        <w:t>Aghaloo</w:t>
      </w:r>
      <w:proofErr w:type="spellEnd"/>
      <w:r w:rsidRPr="00A6203D">
        <w:rPr>
          <w:rFonts w:ascii="Arial" w:hAnsi="Arial" w:cs="Arial"/>
          <w:sz w:val="22"/>
          <w:szCs w:val="22"/>
        </w:rPr>
        <w:t xml:space="preserve"> T, Carlson ER, Ward BB, </w:t>
      </w:r>
      <w:proofErr w:type="spellStart"/>
      <w:r w:rsidRPr="00A6203D">
        <w:rPr>
          <w:rFonts w:ascii="Arial" w:hAnsi="Arial" w:cs="Arial"/>
          <w:sz w:val="22"/>
          <w:szCs w:val="22"/>
        </w:rPr>
        <w:t>Kademani</w:t>
      </w:r>
      <w:proofErr w:type="spellEnd"/>
      <w:r w:rsidRPr="00A6203D">
        <w:rPr>
          <w:rFonts w:ascii="Arial" w:hAnsi="Arial" w:cs="Arial"/>
          <w:sz w:val="22"/>
          <w:szCs w:val="22"/>
        </w:rPr>
        <w:t xml:space="preserve"> D. American Association of Oral and Maxillofacial Surgeons' Position Paper on Medication-Related Osteonecrosis of the Jaws-2022 Update. J Oral </w:t>
      </w:r>
      <w:proofErr w:type="spellStart"/>
      <w:r w:rsidRPr="00A6203D">
        <w:rPr>
          <w:rFonts w:ascii="Arial" w:hAnsi="Arial" w:cs="Arial"/>
          <w:sz w:val="22"/>
          <w:szCs w:val="22"/>
        </w:rPr>
        <w:t>Maxillofac</w:t>
      </w:r>
      <w:proofErr w:type="spellEnd"/>
      <w:r w:rsidRPr="00A6203D">
        <w:rPr>
          <w:rFonts w:ascii="Arial" w:hAnsi="Arial" w:cs="Arial"/>
          <w:sz w:val="22"/>
          <w:szCs w:val="22"/>
        </w:rPr>
        <w:t xml:space="preserve"> Surg. 2022;80(5):920-943.</w:t>
      </w:r>
    </w:p>
    <w:p w14:paraId="5C40B324" w14:textId="77AAA1A4" w:rsidR="00FC3CE4" w:rsidRPr="00A6203D" w:rsidRDefault="1C25C164" w:rsidP="000B2ED2">
      <w:pPr>
        <w:spacing w:line="276" w:lineRule="auto"/>
        <w:ind w:left="576" w:hanging="576"/>
        <w:rPr>
          <w:rFonts w:ascii="Arial" w:hAnsi="Arial" w:cs="Arial"/>
          <w:sz w:val="22"/>
          <w:szCs w:val="22"/>
        </w:rPr>
      </w:pPr>
      <w:r w:rsidRPr="00A6203D">
        <w:rPr>
          <w:rFonts w:ascii="Arial" w:hAnsi="Arial" w:cs="Arial"/>
          <w:sz w:val="22"/>
          <w:szCs w:val="22"/>
        </w:rPr>
        <w:t>199.</w:t>
      </w:r>
      <w:r w:rsidR="00C45C14" w:rsidRPr="00A6203D">
        <w:rPr>
          <w:rFonts w:ascii="Arial" w:hAnsi="Arial" w:cs="Arial"/>
          <w:sz w:val="22"/>
          <w:szCs w:val="22"/>
        </w:rPr>
        <w:t xml:space="preserve">  </w:t>
      </w:r>
      <w:r w:rsidR="00FC3CE4" w:rsidRPr="00A6203D">
        <w:rPr>
          <w:rFonts w:ascii="Arial" w:hAnsi="Arial" w:cs="Arial"/>
          <w:color w:val="212121"/>
          <w:sz w:val="22"/>
          <w:szCs w:val="22"/>
          <w:shd w:val="clear" w:color="auto" w:fill="FFFFFF"/>
        </w:rPr>
        <w:t xml:space="preserve">Bone HG, Wagman RB, Brandi ML, Brown JP, </w:t>
      </w:r>
      <w:proofErr w:type="spellStart"/>
      <w:r w:rsidR="00FC3CE4" w:rsidRPr="00A6203D">
        <w:rPr>
          <w:rFonts w:ascii="Arial" w:hAnsi="Arial" w:cs="Arial"/>
          <w:color w:val="212121"/>
          <w:sz w:val="22"/>
          <w:szCs w:val="22"/>
          <w:shd w:val="clear" w:color="auto" w:fill="FFFFFF"/>
        </w:rPr>
        <w:t>Chapurlat</w:t>
      </w:r>
      <w:proofErr w:type="spellEnd"/>
      <w:r w:rsidR="00FC3CE4" w:rsidRPr="00A6203D">
        <w:rPr>
          <w:rFonts w:ascii="Arial" w:hAnsi="Arial" w:cs="Arial"/>
          <w:color w:val="212121"/>
          <w:sz w:val="22"/>
          <w:szCs w:val="22"/>
          <w:shd w:val="clear" w:color="auto" w:fill="FFFFFF"/>
        </w:rPr>
        <w:t xml:space="preserve"> R, Cummings SR, </w:t>
      </w:r>
      <w:proofErr w:type="spellStart"/>
      <w:r w:rsidR="00FC3CE4" w:rsidRPr="00A6203D">
        <w:rPr>
          <w:rFonts w:ascii="Arial" w:hAnsi="Arial" w:cs="Arial"/>
          <w:color w:val="212121"/>
          <w:sz w:val="22"/>
          <w:szCs w:val="22"/>
          <w:shd w:val="clear" w:color="auto" w:fill="FFFFFF"/>
        </w:rPr>
        <w:t>Czerwiński</w:t>
      </w:r>
      <w:proofErr w:type="spellEnd"/>
      <w:r w:rsidR="00FC3CE4" w:rsidRPr="00A6203D">
        <w:rPr>
          <w:rFonts w:ascii="Arial" w:hAnsi="Arial" w:cs="Arial"/>
          <w:color w:val="212121"/>
          <w:sz w:val="22"/>
          <w:szCs w:val="22"/>
          <w:shd w:val="clear" w:color="auto" w:fill="FFFFFF"/>
        </w:rPr>
        <w:t xml:space="preserve"> E, </w:t>
      </w:r>
      <w:proofErr w:type="spellStart"/>
      <w:r w:rsidR="00FC3CE4" w:rsidRPr="00A6203D">
        <w:rPr>
          <w:rFonts w:ascii="Arial" w:hAnsi="Arial" w:cs="Arial"/>
          <w:color w:val="212121"/>
          <w:sz w:val="22"/>
          <w:szCs w:val="22"/>
          <w:shd w:val="clear" w:color="auto" w:fill="FFFFFF"/>
        </w:rPr>
        <w:t>Fahrleitner</w:t>
      </w:r>
      <w:proofErr w:type="spellEnd"/>
      <w:r w:rsidR="00FC3CE4" w:rsidRPr="00A6203D">
        <w:rPr>
          <w:rFonts w:ascii="Arial" w:hAnsi="Arial" w:cs="Arial"/>
          <w:color w:val="212121"/>
          <w:sz w:val="22"/>
          <w:szCs w:val="22"/>
          <w:shd w:val="clear" w:color="auto" w:fill="FFFFFF"/>
        </w:rPr>
        <w:t xml:space="preserve">-Pammer A, Kendler DL, </w:t>
      </w:r>
      <w:proofErr w:type="spellStart"/>
      <w:r w:rsidR="00FC3CE4" w:rsidRPr="00A6203D">
        <w:rPr>
          <w:rFonts w:ascii="Arial" w:hAnsi="Arial" w:cs="Arial"/>
          <w:color w:val="212121"/>
          <w:sz w:val="22"/>
          <w:szCs w:val="22"/>
          <w:shd w:val="clear" w:color="auto" w:fill="FFFFFF"/>
        </w:rPr>
        <w:t>Lippuner</w:t>
      </w:r>
      <w:proofErr w:type="spellEnd"/>
      <w:r w:rsidR="00FC3CE4" w:rsidRPr="00A6203D">
        <w:rPr>
          <w:rFonts w:ascii="Arial" w:hAnsi="Arial" w:cs="Arial"/>
          <w:color w:val="212121"/>
          <w:sz w:val="22"/>
          <w:szCs w:val="22"/>
          <w:shd w:val="clear" w:color="auto" w:fill="FFFFFF"/>
        </w:rPr>
        <w:t xml:space="preserve"> K, </w:t>
      </w:r>
      <w:proofErr w:type="spellStart"/>
      <w:r w:rsidR="00FC3CE4" w:rsidRPr="00A6203D">
        <w:rPr>
          <w:rFonts w:ascii="Arial" w:hAnsi="Arial" w:cs="Arial"/>
          <w:color w:val="212121"/>
          <w:sz w:val="22"/>
          <w:szCs w:val="22"/>
          <w:shd w:val="clear" w:color="auto" w:fill="FFFFFF"/>
        </w:rPr>
        <w:t>Reginster</w:t>
      </w:r>
      <w:proofErr w:type="spellEnd"/>
      <w:r w:rsidR="00FC3CE4" w:rsidRPr="00A6203D">
        <w:rPr>
          <w:rFonts w:ascii="Arial" w:hAnsi="Arial" w:cs="Arial"/>
          <w:color w:val="212121"/>
          <w:sz w:val="22"/>
          <w:szCs w:val="22"/>
          <w:shd w:val="clear" w:color="auto" w:fill="FFFFFF"/>
        </w:rPr>
        <w:t xml:space="preserve"> JY, Roux C, Malouf J, Bradley MN, </w:t>
      </w:r>
      <w:proofErr w:type="spellStart"/>
      <w:r w:rsidR="00FC3CE4" w:rsidRPr="00A6203D">
        <w:rPr>
          <w:rFonts w:ascii="Arial" w:hAnsi="Arial" w:cs="Arial"/>
          <w:color w:val="212121"/>
          <w:sz w:val="22"/>
          <w:szCs w:val="22"/>
          <w:shd w:val="clear" w:color="auto" w:fill="FFFFFF"/>
        </w:rPr>
        <w:t>Daizadeh</w:t>
      </w:r>
      <w:proofErr w:type="spellEnd"/>
      <w:r w:rsidR="00FC3CE4" w:rsidRPr="00A6203D">
        <w:rPr>
          <w:rFonts w:ascii="Arial" w:hAnsi="Arial" w:cs="Arial"/>
          <w:color w:val="212121"/>
          <w:sz w:val="22"/>
          <w:szCs w:val="22"/>
          <w:shd w:val="clear" w:color="auto" w:fill="FFFFFF"/>
        </w:rPr>
        <w:t xml:space="preserve"> NS, Wang A, Dakin P, </w:t>
      </w:r>
      <w:proofErr w:type="spellStart"/>
      <w:r w:rsidR="00FC3CE4" w:rsidRPr="00A6203D">
        <w:rPr>
          <w:rFonts w:ascii="Arial" w:hAnsi="Arial" w:cs="Arial"/>
          <w:color w:val="212121"/>
          <w:sz w:val="22"/>
          <w:szCs w:val="22"/>
          <w:shd w:val="clear" w:color="auto" w:fill="FFFFFF"/>
        </w:rPr>
        <w:t>Pannacciulli</w:t>
      </w:r>
      <w:proofErr w:type="spellEnd"/>
      <w:r w:rsidR="00FC3CE4" w:rsidRPr="00A6203D">
        <w:rPr>
          <w:rFonts w:ascii="Arial" w:hAnsi="Arial" w:cs="Arial"/>
          <w:color w:val="212121"/>
          <w:sz w:val="22"/>
          <w:szCs w:val="22"/>
          <w:shd w:val="clear" w:color="auto" w:fill="FFFFFF"/>
        </w:rPr>
        <w:t xml:space="preserve"> N, Dempster DW, </w:t>
      </w:r>
      <w:proofErr w:type="spellStart"/>
      <w:r w:rsidR="00FC3CE4" w:rsidRPr="00A6203D">
        <w:rPr>
          <w:rFonts w:ascii="Arial" w:hAnsi="Arial" w:cs="Arial"/>
          <w:color w:val="212121"/>
          <w:sz w:val="22"/>
          <w:szCs w:val="22"/>
          <w:shd w:val="clear" w:color="auto" w:fill="FFFFFF"/>
        </w:rPr>
        <w:t>Papapoulos</w:t>
      </w:r>
      <w:proofErr w:type="spellEnd"/>
      <w:r w:rsidR="00FC3CE4" w:rsidRPr="00A6203D">
        <w:rPr>
          <w:rFonts w:ascii="Arial" w:hAnsi="Arial" w:cs="Arial"/>
          <w:color w:val="212121"/>
          <w:sz w:val="22"/>
          <w:szCs w:val="22"/>
          <w:shd w:val="clear" w:color="auto" w:fill="FFFFFF"/>
        </w:rPr>
        <w:t xml:space="preserve"> S. 10 years of denosumab treatment in postmenopausal women with osteoporosis: results from the phase 3 </w:t>
      </w:r>
      <w:proofErr w:type="spellStart"/>
      <w:r w:rsidR="00FC3CE4" w:rsidRPr="00A6203D">
        <w:rPr>
          <w:rFonts w:ascii="Arial" w:hAnsi="Arial" w:cs="Arial"/>
          <w:color w:val="212121"/>
          <w:sz w:val="22"/>
          <w:szCs w:val="22"/>
          <w:shd w:val="clear" w:color="auto" w:fill="FFFFFF"/>
        </w:rPr>
        <w:t>randomised</w:t>
      </w:r>
      <w:proofErr w:type="spellEnd"/>
      <w:r w:rsidR="00FC3CE4" w:rsidRPr="00A6203D">
        <w:rPr>
          <w:rFonts w:ascii="Arial" w:hAnsi="Arial" w:cs="Arial"/>
          <w:color w:val="212121"/>
          <w:sz w:val="22"/>
          <w:szCs w:val="22"/>
          <w:shd w:val="clear" w:color="auto" w:fill="FFFFFF"/>
        </w:rPr>
        <w:t xml:space="preserve"> FREEDOM trial and open-label extension. Lancet Diabetes Endocrinol. 2017 Jul;5(7):513-523. </w:t>
      </w:r>
      <w:proofErr w:type="spellStart"/>
      <w:r w:rsidR="00FC3CE4" w:rsidRPr="00A6203D">
        <w:rPr>
          <w:rFonts w:ascii="Arial" w:hAnsi="Arial" w:cs="Arial"/>
          <w:color w:val="212121"/>
          <w:sz w:val="22"/>
          <w:szCs w:val="22"/>
          <w:shd w:val="clear" w:color="auto" w:fill="FFFFFF"/>
        </w:rPr>
        <w:t>doi</w:t>
      </w:r>
      <w:proofErr w:type="spellEnd"/>
      <w:r w:rsidR="00FC3CE4" w:rsidRPr="00A6203D">
        <w:rPr>
          <w:rFonts w:ascii="Arial" w:hAnsi="Arial" w:cs="Arial"/>
          <w:color w:val="212121"/>
          <w:sz w:val="22"/>
          <w:szCs w:val="22"/>
          <w:shd w:val="clear" w:color="auto" w:fill="FFFFFF"/>
        </w:rPr>
        <w:t xml:space="preserve">: 10.1016/S2213-8587(17)30138-9. </w:t>
      </w:r>
      <w:proofErr w:type="spellStart"/>
      <w:r w:rsidR="00FC3CE4" w:rsidRPr="00A6203D">
        <w:rPr>
          <w:rFonts w:ascii="Arial" w:hAnsi="Arial" w:cs="Arial"/>
          <w:color w:val="212121"/>
          <w:sz w:val="22"/>
          <w:szCs w:val="22"/>
          <w:shd w:val="clear" w:color="auto" w:fill="FFFFFF"/>
        </w:rPr>
        <w:t>Epub</w:t>
      </w:r>
      <w:proofErr w:type="spellEnd"/>
      <w:r w:rsidR="00FC3CE4" w:rsidRPr="00A6203D">
        <w:rPr>
          <w:rFonts w:ascii="Arial" w:hAnsi="Arial" w:cs="Arial"/>
          <w:color w:val="212121"/>
          <w:sz w:val="22"/>
          <w:szCs w:val="22"/>
          <w:shd w:val="clear" w:color="auto" w:fill="FFFFFF"/>
        </w:rPr>
        <w:t xml:space="preserve"> 2017 May 22. PMID: 28546097.</w:t>
      </w:r>
    </w:p>
    <w:p w14:paraId="2A20B62B" w14:textId="7CD85062" w:rsidR="1C25C164" w:rsidRPr="00A6203D" w:rsidRDefault="00FC3CE4" w:rsidP="000B2ED2">
      <w:pPr>
        <w:spacing w:line="276" w:lineRule="auto"/>
        <w:ind w:left="576" w:hanging="576"/>
        <w:rPr>
          <w:rFonts w:ascii="Arial" w:hAnsi="Arial" w:cs="Arial"/>
          <w:sz w:val="22"/>
          <w:szCs w:val="22"/>
        </w:rPr>
      </w:pPr>
      <w:r w:rsidRPr="00A6203D">
        <w:rPr>
          <w:rFonts w:ascii="Arial" w:hAnsi="Arial" w:cs="Arial"/>
          <w:sz w:val="22"/>
          <w:szCs w:val="22"/>
        </w:rPr>
        <w:t>200.</w:t>
      </w:r>
      <w:r w:rsidR="00C45C14" w:rsidRPr="00A6203D">
        <w:rPr>
          <w:rFonts w:ascii="Arial" w:hAnsi="Arial" w:cs="Arial"/>
          <w:sz w:val="22"/>
          <w:szCs w:val="22"/>
        </w:rPr>
        <w:t xml:space="preserve">  </w:t>
      </w:r>
      <w:r w:rsidR="1C25C164" w:rsidRPr="00A6203D">
        <w:rPr>
          <w:rFonts w:ascii="Arial" w:hAnsi="Arial" w:cs="Arial"/>
          <w:sz w:val="22"/>
          <w:szCs w:val="22"/>
        </w:rPr>
        <w:t xml:space="preserve">Cummings SR, Ferrari S, </w:t>
      </w:r>
      <w:proofErr w:type="spellStart"/>
      <w:r w:rsidR="1C25C164" w:rsidRPr="00A6203D">
        <w:rPr>
          <w:rFonts w:ascii="Arial" w:hAnsi="Arial" w:cs="Arial"/>
          <w:sz w:val="22"/>
          <w:szCs w:val="22"/>
        </w:rPr>
        <w:t>Eastell</w:t>
      </w:r>
      <w:proofErr w:type="spellEnd"/>
      <w:r w:rsidR="1C25C164" w:rsidRPr="00A6203D">
        <w:rPr>
          <w:rFonts w:ascii="Arial" w:hAnsi="Arial" w:cs="Arial"/>
          <w:sz w:val="22"/>
          <w:szCs w:val="22"/>
        </w:rPr>
        <w:t xml:space="preserve"> R, Gilchrist N, Jensen JB, McClung M, Roux C, </w:t>
      </w:r>
      <w:proofErr w:type="spellStart"/>
      <w:r w:rsidR="1C25C164" w:rsidRPr="00A6203D">
        <w:rPr>
          <w:rFonts w:ascii="Arial" w:hAnsi="Arial" w:cs="Arial"/>
          <w:sz w:val="22"/>
          <w:szCs w:val="22"/>
        </w:rPr>
        <w:t>Törring</w:t>
      </w:r>
      <w:proofErr w:type="spellEnd"/>
      <w:r w:rsidR="1C25C164" w:rsidRPr="00A6203D">
        <w:rPr>
          <w:rFonts w:ascii="Arial" w:hAnsi="Arial" w:cs="Arial"/>
          <w:sz w:val="22"/>
          <w:szCs w:val="22"/>
        </w:rPr>
        <w:t xml:space="preserve"> O, Valter I, Wang AT, Brown JP. Vertebral Fractures After Discontinuation of Denosumab: A Post Hoc Analysis of the Randomized Placebo-Controlled FREEDOM Trial and Its Extension. J Bone Miner Res. 2018;33(2):190-198.</w:t>
      </w:r>
    </w:p>
    <w:p w14:paraId="2683C957" w14:textId="008549B7" w:rsidR="002F7538" w:rsidRPr="00A6203D" w:rsidRDefault="1C25C164" w:rsidP="000B2ED2">
      <w:pPr>
        <w:spacing w:line="276" w:lineRule="auto"/>
        <w:ind w:left="576" w:hanging="576"/>
        <w:rPr>
          <w:rFonts w:ascii="Arial" w:hAnsi="Arial" w:cs="Arial"/>
          <w:sz w:val="22"/>
          <w:szCs w:val="22"/>
        </w:rPr>
      </w:pPr>
      <w:r w:rsidRPr="00A6203D">
        <w:rPr>
          <w:rFonts w:ascii="Arial" w:hAnsi="Arial" w:cs="Arial"/>
          <w:sz w:val="22"/>
          <w:szCs w:val="22"/>
        </w:rPr>
        <w:t>20</w:t>
      </w:r>
      <w:r w:rsidR="00FC3CE4" w:rsidRPr="00A6203D">
        <w:rPr>
          <w:rFonts w:ascii="Arial" w:hAnsi="Arial" w:cs="Arial"/>
          <w:sz w:val="22"/>
          <w:szCs w:val="22"/>
        </w:rPr>
        <w:t>1</w:t>
      </w:r>
      <w:r w:rsidRPr="00A6203D">
        <w:rPr>
          <w:rFonts w:ascii="Arial" w:hAnsi="Arial" w:cs="Arial"/>
          <w:sz w:val="22"/>
          <w:szCs w:val="22"/>
        </w:rPr>
        <w:t>.</w:t>
      </w:r>
      <w:r w:rsidR="00C45C14" w:rsidRPr="00A6203D">
        <w:rPr>
          <w:rFonts w:ascii="Arial" w:hAnsi="Arial" w:cs="Arial"/>
          <w:sz w:val="22"/>
          <w:szCs w:val="22"/>
        </w:rPr>
        <w:t xml:space="preserve">  </w:t>
      </w:r>
      <w:r w:rsidRPr="00A6203D">
        <w:rPr>
          <w:rFonts w:ascii="Arial" w:hAnsi="Arial" w:cs="Arial"/>
          <w:sz w:val="22"/>
          <w:szCs w:val="22"/>
        </w:rPr>
        <w:t xml:space="preserve">Shoback D, Rosen CJ, Black DM, Cheung AM, Murad MH, </w:t>
      </w:r>
      <w:proofErr w:type="spellStart"/>
      <w:r w:rsidRPr="00A6203D">
        <w:rPr>
          <w:rFonts w:ascii="Arial" w:hAnsi="Arial" w:cs="Arial"/>
          <w:sz w:val="22"/>
          <w:szCs w:val="22"/>
        </w:rPr>
        <w:t>Eastell</w:t>
      </w:r>
      <w:proofErr w:type="spellEnd"/>
      <w:r w:rsidRPr="00A6203D">
        <w:rPr>
          <w:rFonts w:ascii="Arial" w:hAnsi="Arial" w:cs="Arial"/>
          <w:sz w:val="22"/>
          <w:szCs w:val="22"/>
        </w:rPr>
        <w:t xml:space="preserve"> R. Pharmacological Management of Osteoporosis in Postmenopausal Women: An Endocrine Society Guideline Update. J Clin Endocrinol </w:t>
      </w:r>
      <w:proofErr w:type="spellStart"/>
      <w:r w:rsidRPr="00A6203D">
        <w:rPr>
          <w:rFonts w:ascii="Arial" w:hAnsi="Arial" w:cs="Arial"/>
          <w:sz w:val="22"/>
          <w:szCs w:val="22"/>
        </w:rPr>
        <w:t>Metab</w:t>
      </w:r>
      <w:proofErr w:type="spellEnd"/>
      <w:r w:rsidRPr="00A6203D">
        <w:rPr>
          <w:rFonts w:ascii="Arial" w:hAnsi="Arial" w:cs="Arial"/>
          <w:sz w:val="22"/>
          <w:szCs w:val="22"/>
        </w:rPr>
        <w:t>. 2020;105(3</w:t>
      </w:r>
      <w:r w:rsidR="0076051D" w:rsidRPr="00A6203D">
        <w:rPr>
          <w:rFonts w:ascii="Arial" w:hAnsi="Arial" w:cs="Arial"/>
          <w:sz w:val="22"/>
          <w:szCs w:val="22"/>
        </w:rPr>
        <w:t>)</w:t>
      </w:r>
    </w:p>
    <w:p w14:paraId="25386B0C" w14:textId="2D00720E" w:rsidR="003036C8" w:rsidRPr="00857C22" w:rsidRDefault="005E42FF" w:rsidP="00A614BB">
      <w:pPr>
        <w:spacing w:line="276" w:lineRule="auto"/>
        <w:ind w:left="576" w:hanging="576"/>
        <w:rPr>
          <w:rFonts w:ascii="Arial" w:hAnsi="Arial" w:cs="Arial"/>
          <w:sz w:val="22"/>
          <w:szCs w:val="22"/>
        </w:rPr>
      </w:pPr>
      <w:r w:rsidRPr="00A6203D">
        <w:rPr>
          <w:rFonts w:ascii="Arial" w:hAnsi="Arial" w:cs="Arial"/>
          <w:sz w:val="22"/>
          <w:szCs w:val="22"/>
        </w:rPr>
        <w:t>202</w:t>
      </w:r>
      <w:r w:rsidR="00C45C14" w:rsidRPr="00A6203D">
        <w:rPr>
          <w:rFonts w:ascii="Arial" w:hAnsi="Arial" w:cs="Arial"/>
          <w:sz w:val="22"/>
          <w:szCs w:val="22"/>
        </w:rPr>
        <w:t xml:space="preserve">   </w:t>
      </w:r>
      <w:r w:rsidRPr="00A6203D">
        <w:rPr>
          <w:rFonts w:ascii="Arial" w:hAnsi="Arial" w:cs="Arial"/>
          <w:sz w:val="22"/>
          <w:szCs w:val="22"/>
        </w:rPr>
        <w:t xml:space="preserve">Miller PD, Hattersley G, Riis BJ, Williams GC, Lau E, Russo LA, Alexandersen P, Zerbini CA, Hu MY, Harris AG, Fitzpatrick LA, Cosman F, Christiansen C; ACTIVE Study Investigators. Effect of </w:t>
      </w:r>
      <w:proofErr w:type="spellStart"/>
      <w:r w:rsidRPr="00A6203D">
        <w:rPr>
          <w:rFonts w:ascii="Arial" w:hAnsi="Arial" w:cs="Arial"/>
          <w:sz w:val="22"/>
          <w:szCs w:val="22"/>
        </w:rPr>
        <w:t>Abaloparatide</w:t>
      </w:r>
      <w:proofErr w:type="spellEnd"/>
      <w:r w:rsidRPr="00A6203D">
        <w:rPr>
          <w:rFonts w:ascii="Arial" w:hAnsi="Arial" w:cs="Arial"/>
          <w:sz w:val="22"/>
          <w:szCs w:val="22"/>
        </w:rPr>
        <w:t xml:space="preserve"> vs Placebo on New Vertebral Fractures in Postmenopausal Women </w:t>
      </w:r>
      <w:proofErr w:type="gramStart"/>
      <w:r w:rsidRPr="00A6203D">
        <w:rPr>
          <w:rFonts w:ascii="Arial" w:hAnsi="Arial" w:cs="Arial"/>
          <w:sz w:val="22"/>
          <w:szCs w:val="22"/>
        </w:rPr>
        <w:t>With</w:t>
      </w:r>
      <w:proofErr w:type="gramEnd"/>
      <w:r w:rsidRPr="00A6203D">
        <w:rPr>
          <w:rFonts w:ascii="Arial" w:hAnsi="Arial" w:cs="Arial"/>
          <w:sz w:val="22"/>
          <w:szCs w:val="22"/>
        </w:rPr>
        <w:t xml:space="preserve"> Osteoporosis: A Randomized Clinical Trial. JAMA. 2016 </w:t>
      </w:r>
      <w:r w:rsidRPr="00A6203D">
        <w:rPr>
          <w:rFonts w:ascii="Arial" w:hAnsi="Arial" w:cs="Arial"/>
          <w:sz w:val="22"/>
          <w:szCs w:val="22"/>
        </w:rPr>
        <w:lastRenderedPageBreak/>
        <w:t xml:space="preserve">Aug 16;316(7):722-33. </w:t>
      </w:r>
      <w:proofErr w:type="spellStart"/>
      <w:r w:rsidRPr="00A6203D">
        <w:rPr>
          <w:rFonts w:ascii="Arial" w:hAnsi="Arial" w:cs="Arial"/>
          <w:sz w:val="22"/>
          <w:szCs w:val="22"/>
        </w:rPr>
        <w:t>doi</w:t>
      </w:r>
      <w:proofErr w:type="spellEnd"/>
      <w:r w:rsidRPr="00A6203D">
        <w:rPr>
          <w:rFonts w:ascii="Arial" w:hAnsi="Arial" w:cs="Arial"/>
          <w:sz w:val="22"/>
          <w:szCs w:val="22"/>
        </w:rPr>
        <w:t>: 10.1001/jama.2016.11136. Erratum in: JAMA. 2017 Jan 24;317(4):442. PMID: 27533157.</w:t>
      </w:r>
    </w:p>
    <w:p w14:paraId="2B077E48" w14:textId="05245BF4" w:rsidR="003036C8" w:rsidRPr="00857C22" w:rsidRDefault="00503A97" w:rsidP="000B2ED2">
      <w:pPr>
        <w:spacing w:line="276" w:lineRule="auto"/>
        <w:ind w:left="576" w:hanging="576"/>
        <w:rPr>
          <w:rFonts w:ascii="Arial" w:hAnsi="Arial" w:cs="Arial"/>
          <w:sz w:val="22"/>
          <w:szCs w:val="22"/>
        </w:rPr>
      </w:pPr>
      <w:r w:rsidRPr="00857C22">
        <w:rPr>
          <w:rFonts w:ascii="Arial" w:hAnsi="Arial" w:cs="Arial"/>
          <w:sz w:val="22"/>
          <w:szCs w:val="22"/>
        </w:rPr>
        <w:t>20</w:t>
      </w:r>
      <w:r w:rsidR="00A614BB">
        <w:rPr>
          <w:rFonts w:ascii="Arial" w:hAnsi="Arial" w:cs="Arial"/>
          <w:sz w:val="22"/>
          <w:szCs w:val="22"/>
        </w:rPr>
        <w:t>3</w:t>
      </w:r>
      <w:r w:rsidRPr="00857C22">
        <w:rPr>
          <w:rFonts w:ascii="Arial" w:hAnsi="Arial" w:cs="Arial"/>
          <w:sz w:val="22"/>
          <w:szCs w:val="22"/>
        </w:rPr>
        <w:t xml:space="preserve">. </w:t>
      </w:r>
      <w:r w:rsidR="00C45C14">
        <w:rPr>
          <w:rFonts w:ascii="Arial" w:hAnsi="Arial" w:cs="Arial"/>
          <w:sz w:val="22"/>
          <w:szCs w:val="22"/>
        </w:rPr>
        <w:t xml:space="preserve"> </w:t>
      </w:r>
      <w:r w:rsidR="003036C8" w:rsidRPr="00857C22">
        <w:rPr>
          <w:rFonts w:ascii="Arial" w:hAnsi="Arial" w:cs="Arial"/>
          <w:sz w:val="22"/>
          <w:szCs w:val="22"/>
        </w:rPr>
        <w:t xml:space="preserve">Cosman F, Crittenden DB, Adachi JD, Binkley N, Czerwinski E, Ferrari S, Hofbauer LC, Lau E, </w:t>
      </w:r>
      <w:proofErr w:type="spellStart"/>
      <w:r w:rsidR="003036C8" w:rsidRPr="00857C22">
        <w:rPr>
          <w:rFonts w:ascii="Arial" w:hAnsi="Arial" w:cs="Arial"/>
          <w:sz w:val="22"/>
          <w:szCs w:val="22"/>
        </w:rPr>
        <w:t>Lewiecki</w:t>
      </w:r>
      <w:proofErr w:type="spellEnd"/>
      <w:r w:rsidR="003036C8" w:rsidRPr="00857C22">
        <w:rPr>
          <w:rFonts w:ascii="Arial" w:hAnsi="Arial" w:cs="Arial"/>
          <w:sz w:val="22"/>
          <w:szCs w:val="22"/>
        </w:rPr>
        <w:t xml:space="preserve"> EM, Miyauchi A, Zerbini CA, </w:t>
      </w:r>
      <w:proofErr w:type="spellStart"/>
      <w:r w:rsidR="003036C8" w:rsidRPr="00857C22">
        <w:rPr>
          <w:rFonts w:ascii="Arial" w:hAnsi="Arial" w:cs="Arial"/>
          <w:sz w:val="22"/>
          <w:szCs w:val="22"/>
        </w:rPr>
        <w:t>Milmont</w:t>
      </w:r>
      <w:proofErr w:type="spellEnd"/>
      <w:r w:rsidR="003036C8" w:rsidRPr="00857C22">
        <w:rPr>
          <w:rFonts w:ascii="Arial" w:hAnsi="Arial" w:cs="Arial"/>
          <w:sz w:val="22"/>
          <w:szCs w:val="22"/>
        </w:rPr>
        <w:t xml:space="preserve"> CE, Chen L, Maddox J, Meisner PD, </w:t>
      </w:r>
      <w:proofErr w:type="spellStart"/>
      <w:r w:rsidR="003036C8" w:rsidRPr="00857C22">
        <w:rPr>
          <w:rFonts w:ascii="Arial" w:hAnsi="Arial" w:cs="Arial"/>
          <w:sz w:val="22"/>
          <w:szCs w:val="22"/>
        </w:rPr>
        <w:t>Libanati</w:t>
      </w:r>
      <w:proofErr w:type="spellEnd"/>
      <w:r w:rsidR="003036C8" w:rsidRPr="00857C22">
        <w:rPr>
          <w:rFonts w:ascii="Arial" w:hAnsi="Arial" w:cs="Arial"/>
          <w:sz w:val="22"/>
          <w:szCs w:val="22"/>
        </w:rPr>
        <w:t xml:space="preserve"> C, Grauer A. </w:t>
      </w:r>
      <w:proofErr w:type="spellStart"/>
      <w:r w:rsidR="003036C8" w:rsidRPr="00857C22">
        <w:rPr>
          <w:rFonts w:ascii="Arial" w:hAnsi="Arial" w:cs="Arial"/>
          <w:sz w:val="22"/>
          <w:szCs w:val="22"/>
        </w:rPr>
        <w:t>Romosozumab</w:t>
      </w:r>
      <w:proofErr w:type="spellEnd"/>
      <w:r w:rsidR="003036C8" w:rsidRPr="00857C22">
        <w:rPr>
          <w:rFonts w:ascii="Arial" w:hAnsi="Arial" w:cs="Arial"/>
          <w:sz w:val="22"/>
          <w:szCs w:val="22"/>
        </w:rPr>
        <w:t xml:space="preserve"> Treatment in Postmenopausal Women with Osteoporosis. N Engl J Med. 2016 Oct 20;375(16):1532-1543. </w:t>
      </w:r>
      <w:proofErr w:type="spellStart"/>
      <w:r w:rsidR="003036C8" w:rsidRPr="00857C22">
        <w:rPr>
          <w:rFonts w:ascii="Arial" w:hAnsi="Arial" w:cs="Arial"/>
          <w:sz w:val="22"/>
          <w:szCs w:val="22"/>
        </w:rPr>
        <w:t>doi</w:t>
      </w:r>
      <w:proofErr w:type="spellEnd"/>
      <w:r w:rsidR="003036C8" w:rsidRPr="00857C22">
        <w:rPr>
          <w:rFonts w:ascii="Arial" w:hAnsi="Arial" w:cs="Arial"/>
          <w:sz w:val="22"/>
          <w:szCs w:val="22"/>
        </w:rPr>
        <w:t xml:space="preserve">: 10.1056/NEJMoa1607948. </w:t>
      </w:r>
      <w:proofErr w:type="spellStart"/>
      <w:r w:rsidR="003036C8" w:rsidRPr="00857C22">
        <w:rPr>
          <w:rFonts w:ascii="Arial" w:hAnsi="Arial" w:cs="Arial"/>
          <w:sz w:val="22"/>
          <w:szCs w:val="22"/>
        </w:rPr>
        <w:t>Epub</w:t>
      </w:r>
      <w:proofErr w:type="spellEnd"/>
      <w:r w:rsidR="003036C8" w:rsidRPr="00857C22">
        <w:rPr>
          <w:rFonts w:ascii="Arial" w:hAnsi="Arial" w:cs="Arial"/>
          <w:sz w:val="22"/>
          <w:szCs w:val="22"/>
        </w:rPr>
        <w:t xml:space="preserve"> 2016 Sep 18. PMID: 27641143.</w:t>
      </w:r>
    </w:p>
    <w:p w14:paraId="29C96F43" w14:textId="5EE86373" w:rsidR="00D250C9" w:rsidRDefault="003036C8" w:rsidP="00832B7D">
      <w:pPr>
        <w:spacing w:line="276" w:lineRule="auto"/>
        <w:ind w:left="576" w:hanging="576"/>
        <w:rPr>
          <w:rFonts w:ascii="Arial" w:hAnsi="Arial" w:cs="Arial"/>
          <w:sz w:val="22"/>
          <w:szCs w:val="22"/>
        </w:rPr>
      </w:pPr>
      <w:r w:rsidRPr="00857C22">
        <w:rPr>
          <w:rFonts w:ascii="Arial" w:hAnsi="Arial" w:cs="Arial"/>
          <w:sz w:val="22"/>
          <w:szCs w:val="22"/>
        </w:rPr>
        <w:t>20</w:t>
      </w:r>
      <w:r w:rsidR="00A614BB">
        <w:rPr>
          <w:rFonts w:ascii="Arial" w:hAnsi="Arial" w:cs="Arial"/>
          <w:sz w:val="22"/>
          <w:szCs w:val="22"/>
        </w:rPr>
        <w:t>4</w:t>
      </w:r>
      <w:r w:rsidRPr="00857C22">
        <w:rPr>
          <w:rFonts w:ascii="Arial" w:hAnsi="Arial" w:cs="Arial"/>
          <w:sz w:val="22"/>
          <w:szCs w:val="22"/>
        </w:rPr>
        <w:t>.</w:t>
      </w:r>
      <w:r w:rsidR="00857C22">
        <w:rPr>
          <w:rFonts w:ascii="Arial" w:hAnsi="Arial" w:cs="Arial"/>
          <w:sz w:val="22"/>
          <w:szCs w:val="22"/>
        </w:rPr>
        <w:t xml:space="preserve">  </w:t>
      </w:r>
      <w:r w:rsidR="00503A97" w:rsidRPr="00857C22">
        <w:rPr>
          <w:rFonts w:ascii="Arial" w:hAnsi="Arial" w:cs="Arial"/>
          <w:sz w:val="22"/>
          <w:szCs w:val="22"/>
        </w:rPr>
        <w:t xml:space="preserve">Saag KG, Petersen J, Brandi ML, </w:t>
      </w:r>
      <w:proofErr w:type="spellStart"/>
      <w:r w:rsidR="00503A97" w:rsidRPr="00857C22">
        <w:rPr>
          <w:rFonts w:ascii="Arial" w:hAnsi="Arial" w:cs="Arial"/>
          <w:sz w:val="22"/>
          <w:szCs w:val="22"/>
        </w:rPr>
        <w:t>Karaplis</w:t>
      </w:r>
      <w:proofErr w:type="spellEnd"/>
      <w:r w:rsidR="00503A97" w:rsidRPr="00857C22">
        <w:rPr>
          <w:rFonts w:ascii="Arial" w:hAnsi="Arial" w:cs="Arial"/>
          <w:sz w:val="22"/>
          <w:szCs w:val="22"/>
        </w:rPr>
        <w:t xml:space="preserve"> AC, </w:t>
      </w:r>
      <w:proofErr w:type="spellStart"/>
      <w:r w:rsidR="00503A97" w:rsidRPr="00857C22">
        <w:rPr>
          <w:rFonts w:ascii="Arial" w:hAnsi="Arial" w:cs="Arial"/>
          <w:sz w:val="22"/>
          <w:szCs w:val="22"/>
        </w:rPr>
        <w:t>Lorentzon</w:t>
      </w:r>
      <w:proofErr w:type="spellEnd"/>
      <w:r w:rsidR="00503A97" w:rsidRPr="00857C22">
        <w:rPr>
          <w:rFonts w:ascii="Arial" w:hAnsi="Arial" w:cs="Arial"/>
          <w:sz w:val="22"/>
          <w:szCs w:val="22"/>
        </w:rPr>
        <w:t xml:space="preserve"> M, Thomas T, Maddox J, Fan M, Meisner PD, Grauer A. </w:t>
      </w:r>
      <w:proofErr w:type="spellStart"/>
      <w:r w:rsidR="00503A97" w:rsidRPr="00857C22">
        <w:rPr>
          <w:rFonts w:ascii="Arial" w:hAnsi="Arial" w:cs="Arial"/>
          <w:sz w:val="22"/>
          <w:szCs w:val="22"/>
        </w:rPr>
        <w:t>Romosozumab</w:t>
      </w:r>
      <w:proofErr w:type="spellEnd"/>
      <w:r w:rsidR="00503A97" w:rsidRPr="00857C22">
        <w:rPr>
          <w:rFonts w:ascii="Arial" w:hAnsi="Arial" w:cs="Arial"/>
          <w:sz w:val="22"/>
          <w:szCs w:val="22"/>
        </w:rPr>
        <w:t xml:space="preserve"> or Alendronate for Fracture Prevention in Women with Osteoporosis. N Engl J Med. 2017 Oct 12;377(15):1417-1427. </w:t>
      </w:r>
      <w:proofErr w:type="spellStart"/>
      <w:r w:rsidR="00503A97" w:rsidRPr="00857C22">
        <w:rPr>
          <w:rFonts w:ascii="Arial" w:hAnsi="Arial" w:cs="Arial"/>
          <w:sz w:val="22"/>
          <w:szCs w:val="22"/>
        </w:rPr>
        <w:t>doi</w:t>
      </w:r>
      <w:proofErr w:type="spellEnd"/>
      <w:r w:rsidR="00503A97" w:rsidRPr="00857C22">
        <w:rPr>
          <w:rFonts w:ascii="Arial" w:hAnsi="Arial" w:cs="Arial"/>
          <w:sz w:val="22"/>
          <w:szCs w:val="22"/>
        </w:rPr>
        <w:t xml:space="preserve">: 10.1056/NEJMoa1708322. </w:t>
      </w:r>
      <w:proofErr w:type="spellStart"/>
      <w:r w:rsidR="00503A97" w:rsidRPr="00857C22">
        <w:rPr>
          <w:rFonts w:ascii="Arial" w:hAnsi="Arial" w:cs="Arial"/>
          <w:sz w:val="22"/>
          <w:szCs w:val="22"/>
        </w:rPr>
        <w:t>Epub</w:t>
      </w:r>
      <w:proofErr w:type="spellEnd"/>
      <w:r w:rsidR="00503A97" w:rsidRPr="00857C22">
        <w:rPr>
          <w:rFonts w:ascii="Arial" w:hAnsi="Arial" w:cs="Arial"/>
          <w:sz w:val="22"/>
          <w:szCs w:val="22"/>
        </w:rPr>
        <w:t xml:space="preserve"> 2017 Sep 11. PMID: 28892457.</w:t>
      </w:r>
    </w:p>
    <w:p w14:paraId="2B4894A2" w14:textId="6F4461E7" w:rsidR="00125874" w:rsidRDefault="00125874" w:rsidP="00125874">
      <w:pPr>
        <w:spacing w:line="276" w:lineRule="auto"/>
        <w:ind w:left="576" w:hanging="576"/>
        <w:rPr>
          <w:rFonts w:ascii="Arial" w:hAnsi="Arial" w:cs="Arial"/>
          <w:sz w:val="22"/>
          <w:szCs w:val="22"/>
        </w:rPr>
      </w:pPr>
      <w:r w:rsidRPr="00857C22">
        <w:rPr>
          <w:rFonts w:ascii="Arial" w:hAnsi="Arial" w:cs="Arial"/>
          <w:sz w:val="22"/>
          <w:szCs w:val="22"/>
        </w:rPr>
        <w:t>20</w:t>
      </w:r>
      <w:r w:rsidR="00A614BB">
        <w:rPr>
          <w:rFonts w:ascii="Arial" w:hAnsi="Arial" w:cs="Arial"/>
          <w:sz w:val="22"/>
          <w:szCs w:val="22"/>
        </w:rPr>
        <w:t>5</w:t>
      </w:r>
      <w:r w:rsidRPr="00857C22">
        <w:rPr>
          <w:rFonts w:ascii="Arial" w:hAnsi="Arial" w:cs="Arial"/>
          <w:sz w:val="22"/>
          <w:szCs w:val="22"/>
        </w:rPr>
        <w:t>.</w:t>
      </w:r>
      <w:r>
        <w:rPr>
          <w:rFonts w:ascii="Arial" w:hAnsi="Arial" w:cs="Arial"/>
          <w:sz w:val="22"/>
          <w:szCs w:val="22"/>
        </w:rPr>
        <w:t xml:space="preserve">  </w:t>
      </w:r>
      <w:r w:rsidRPr="00A6203D">
        <w:rPr>
          <w:rFonts w:ascii="Arial" w:hAnsi="Arial" w:cs="Arial"/>
          <w:sz w:val="22"/>
          <w:szCs w:val="22"/>
        </w:rPr>
        <w:t xml:space="preserve">Camacho PM, Petak SM, Binkley N, Diab DL, </w:t>
      </w:r>
      <w:proofErr w:type="spellStart"/>
      <w:r w:rsidRPr="00A6203D">
        <w:rPr>
          <w:rFonts w:ascii="Arial" w:hAnsi="Arial" w:cs="Arial"/>
          <w:sz w:val="22"/>
          <w:szCs w:val="22"/>
        </w:rPr>
        <w:t>Eldeiry</w:t>
      </w:r>
      <w:proofErr w:type="spellEnd"/>
      <w:r w:rsidRPr="00A6203D">
        <w:rPr>
          <w:rFonts w:ascii="Arial" w:hAnsi="Arial" w:cs="Arial"/>
          <w:sz w:val="22"/>
          <w:szCs w:val="22"/>
        </w:rPr>
        <w:t xml:space="preserve"> LS, </w:t>
      </w:r>
      <w:proofErr w:type="spellStart"/>
      <w:r w:rsidRPr="00A6203D">
        <w:rPr>
          <w:rFonts w:ascii="Arial" w:hAnsi="Arial" w:cs="Arial"/>
          <w:sz w:val="22"/>
          <w:szCs w:val="22"/>
        </w:rPr>
        <w:t>Farooki</w:t>
      </w:r>
      <w:proofErr w:type="spellEnd"/>
      <w:r w:rsidRPr="00A6203D">
        <w:rPr>
          <w:rFonts w:ascii="Arial" w:hAnsi="Arial" w:cs="Arial"/>
          <w:sz w:val="22"/>
          <w:szCs w:val="22"/>
        </w:rPr>
        <w:t xml:space="preserve"> A, Harris ST, Hurley DL, Kelly J, </w:t>
      </w:r>
      <w:proofErr w:type="spellStart"/>
      <w:r w:rsidRPr="00A6203D">
        <w:rPr>
          <w:rFonts w:ascii="Arial" w:hAnsi="Arial" w:cs="Arial"/>
          <w:sz w:val="22"/>
          <w:szCs w:val="22"/>
        </w:rPr>
        <w:t>Lewiecki</w:t>
      </w:r>
      <w:proofErr w:type="spellEnd"/>
      <w:r w:rsidRPr="00A6203D">
        <w:rPr>
          <w:rFonts w:ascii="Arial" w:hAnsi="Arial" w:cs="Arial"/>
          <w:sz w:val="22"/>
          <w:szCs w:val="22"/>
        </w:rPr>
        <w:t xml:space="preserve"> EM, </w:t>
      </w:r>
      <w:proofErr w:type="spellStart"/>
      <w:r w:rsidRPr="00A6203D">
        <w:rPr>
          <w:rFonts w:ascii="Arial" w:hAnsi="Arial" w:cs="Arial"/>
          <w:sz w:val="22"/>
          <w:szCs w:val="22"/>
        </w:rPr>
        <w:t>Pessah</w:t>
      </w:r>
      <w:proofErr w:type="spellEnd"/>
      <w:r w:rsidRPr="00A6203D">
        <w:rPr>
          <w:rFonts w:ascii="Arial" w:hAnsi="Arial" w:cs="Arial"/>
          <w:sz w:val="22"/>
          <w:szCs w:val="22"/>
        </w:rPr>
        <w:t xml:space="preserve">-Pollack R, McClung M, </w:t>
      </w:r>
      <w:proofErr w:type="spellStart"/>
      <w:r w:rsidRPr="00A6203D">
        <w:rPr>
          <w:rFonts w:ascii="Arial" w:hAnsi="Arial" w:cs="Arial"/>
          <w:sz w:val="22"/>
          <w:szCs w:val="22"/>
        </w:rPr>
        <w:t>Wimalawansa</w:t>
      </w:r>
      <w:proofErr w:type="spellEnd"/>
      <w:r w:rsidRPr="00A6203D">
        <w:rPr>
          <w:rFonts w:ascii="Arial" w:hAnsi="Arial" w:cs="Arial"/>
          <w:sz w:val="22"/>
          <w:szCs w:val="22"/>
        </w:rPr>
        <w:t xml:space="preserve"> SJ, Watts </w:t>
      </w:r>
      <w:proofErr w:type="gramStart"/>
      <w:r w:rsidRPr="00A6203D">
        <w:rPr>
          <w:rFonts w:ascii="Arial" w:hAnsi="Arial" w:cs="Arial"/>
          <w:sz w:val="22"/>
          <w:szCs w:val="22"/>
        </w:rPr>
        <w:t>NB..</w:t>
      </w:r>
      <w:proofErr w:type="gramEnd"/>
      <w:r w:rsidRPr="00A6203D">
        <w:rPr>
          <w:rFonts w:ascii="Arial" w:hAnsi="Arial" w:cs="Arial"/>
          <w:sz w:val="22"/>
          <w:szCs w:val="22"/>
        </w:rPr>
        <w:t xml:space="preserve"> American Association of Clinical Endocrinologists/American College of Endocrinology clinical practice guidelines for the diagnosis and treatment of postmenopausal osteoporosis—2020 update. </w:t>
      </w:r>
      <w:proofErr w:type="spellStart"/>
      <w:r w:rsidRPr="00A6203D">
        <w:rPr>
          <w:rFonts w:ascii="Arial" w:hAnsi="Arial" w:cs="Arial"/>
          <w:sz w:val="22"/>
          <w:szCs w:val="22"/>
        </w:rPr>
        <w:t>Endocr</w:t>
      </w:r>
      <w:proofErr w:type="spellEnd"/>
      <w:r w:rsidRPr="00A6203D">
        <w:rPr>
          <w:rFonts w:ascii="Arial" w:hAnsi="Arial" w:cs="Arial"/>
          <w:sz w:val="22"/>
          <w:szCs w:val="22"/>
        </w:rPr>
        <w:t xml:space="preserve"> </w:t>
      </w:r>
      <w:proofErr w:type="spellStart"/>
      <w:r w:rsidRPr="00A6203D">
        <w:rPr>
          <w:rFonts w:ascii="Arial" w:hAnsi="Arial" w:cs="Arial"/>
          <w:sz w:val="22"/>
          <w:szCs w:val="22"/>
        </w:rPr>
        <w:t>Pract</w:t>
      </w:r>
      <w:proofErr w:type="spellEnd"/>
      <w:r w:rsidRPr="00A6203D">
        <w:rPr>
          <w:rFonts w:ascii="Arial" w:hAnsi="Arial" w:cs="Arial"/>
          <w:sz w:val="22"/>
          <w:szCs w:val="22"/>
        </w:rPr>
        <w:t>. 2020;26(suppl 1):1-46</w:t>
      </w:r>
    </w:p>
    <w:bookmarkEnd w:id="3"/>
    <w:p w14:paraId="72E73F9D" w14:textId="77777777" w:rsidR="00125874" w:rsidRDefault="00125874" w:rsidP="00832B7D">
      <w:pPr>
        <w:spacing w:line="276" w:lineRule="auto"/>
        <w:ind w:left="576" w:hanging="576"/>
        <w:rPr>
          <w:rFonts w:ascii="Arial" w:hAnsi="Arial" w:cs="Arial"/>
          <w:sz w:val="22"/>
          <w:szCs w:val="22"/>
        </w:rPr>
      </w:pPr>
    </w:p>
    <w:p w14:paraId="2D5DC825" w14:textId="77777777" w:rsidR="00D250C9" w:rsidRPr="000B2ED2" w:rsidRDefault="00D250C9" w:rsidP="00A614BB">
      <w:pPr>
        <w:spacing w:line="276" w:lineRule="auto"/>
        <w:rPr>
          <w:rFonts w:ascii="Arial" w:hAnsi="Arial" w:cs="Arial"/>
          <w:sz w:val="22"/>
          <w:szCs w:val="22"/>
        </w:rPr>
      </w:pPr>
    </w:p>
    <w:sectPr w:rsidR="00D250C9" w:rsidRPr="000B2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E6699"/>
    <w:multiLevelType w:val="hybridMultilevel"/>
    <w:tmpl w:val="B542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09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51"/>
    <w:rsid w:val="000021B0"/>
    <w:rsid w:val="00012525"/>
    <w:rsid w:val="0001641A"/>
    <w:rsid w:val="00023DDA"/>
    <w:rsid w:val="00033A0F"/>
    <w:rsid w:val="00050BF4"/>
    <w:rsid w:val="000628CA"/>
    <w:rsid w:val="000641AD"/>
    <w:rsid w:val="00070825"/>
    <w:rsid w:val="00071D22"/>
    <w:rsid w:val="000830DF"/>
    <w:rsid w:val="00084968"/>
    <w:rsid w:val="00095891"/>
    <w:rsid w:val="000B0748"/>
    <w:rsid w:val="000B10BD"/>
    <w:rsid w:val="000B2ED2"/>
    <w:rsid w:val="000C2938"/>
    <w:rsid w:val="000C3AB9"/>
    <w:rsid w:val="000C4D53"/>
    <w:rsid w:val="000D6A47"/>
    <w:rsid w:val="000E6E25"/>
    <w:rsid w:val="000F29DA"/>
    <w:rsid w:val="000F5711"/>
    <w:rsid w:val="00121AFE"/>
    <w:rsid w:val="00125874"/>
    <w:rsid w:val="00136DB6"/>
    <w:rsid w:val="00146D4C"/>
    <w:rsid w:val="00153EC0"/>
    <w:rsid w:val="001A0FC7"/>
    <w:rsid w:val="001A7C82"/>
    <w:rsid w:val="001C0740"/>
    <w:rsid w:val="001C089A"/>
    <w:rsid w:val="00212234"/>
    <w:rsid w:val="002142E9"/>
    <w:rsid w:val="00225AE6"/>
    <w:rsid w:val="00245EA0"/>
    <w:rsid w:val="00260F4E"/>
    <w:rsid w:val="00262EC3"/>
    <w:rsid w:val="00272DD6"/>
    <w:rsid w:val="00276603"/>
    <w:rsid w:val="00276758"/>
    <w:rsid w:val="002827F2"/>
    <w:rsid w:val="002A1867"/>
    <w:rsid w:val="002B28B3"/>
    <w:rsid w:val="002E55DF"/>
    <w:rsid w:val="002F7538"/>
    <w:rsid w:val="003005FB"/>
    <w:rsid w:val="003036C8"/>
    <w:rsid w:val="0031457D"/>
    <w:rsid w:val="003410B2"/>
    <w:rsid w:val="003644C8"/>
    <w:rsid w:val="0037481A"/>
    <w:rsid w:val="0039155E"/>
    <w:rsid w:val="003B63B5"/>
    <w:rsid w:val="003C117E"/>
    <w:rsid w:val="003C3E9A"/>
    <w:rsid w:val="003D03BD"/>
    <w:rsid w:val="003D28E5"/>
    <w:rsid w:val="003E2EF7"/>
    <w:rsid w:val="003E4326"/>
    <w:rsid w:val="003F7917"/>
    <w:rsid w:val="00430DEB"/>
    <w:rsid w:val="004412E8"/>
    <w:rsid w:val="004423FC"/>
    <w:rsid w:val="004426EE"/>
    <w:rsid w:val="00462168"/>
    <w:rsid w:val="0046580F"/>
    <w:rsid w:val="00467840"/>
    <w:rsid w:val="00476E6C"/>
    <w:rsid w:val="00482E54"/>
    <w:rsid w:val="00486EDB"/>
    <w:rsid w:val="00492285"/>
    <w:rsid w:val="004A3039"/>
    <w:rsid w:val="004C2E4F"/>
    <w:rsid w:val="00503A97"/>
    <w:rsid w:val="00521C82"/>
    <w:rsid w:val="005548EB"/>
    <w:rsid w:val="0055541E"/>
    <w:rsid w:val="005A2948"/>
    <w:rsid w:val="005B5FE4"/>
    <w:rsid w:val="005C368A"/>
    <w:rsid w:val="005C4C29"/>
    <w:rsid w:val="005D11F0"/>
    <w:rsid w:val="005E1A8D"/>
    <w:rsid w:val="005E42FF"/>
    <w:rsid w:val="005E6870"/>
    <w:rsid w:val="006028C2"/>
    <w:rsid w:val="00606375"/>
    <w:rsid w:val="006304C5"/>
    <w:rsid w:val="0063381C"/>
    <w:rsid w:val="00635B6F"/>
    <w:rsid w:val="00637E15"/>
    <w:rsid w:val="00640A06"/>
    <w:rsid w:val="00652C38"/>
    <w:rsid w:val="006535AE"/>
    <w:rsid w:val="00662B28"/>
    <w:rsid w:val="00663E95"/>
    <w:rsid w:val="00666775"/>
    <w:rsid w:val="006714B4"/>
    <w:rsid w:val="006812BD"/>
    <w:rsid w:val="00694507"/>
    <w:rsid w:val="006A28CD"/>
    <w:rsid w:val="006A419B"/>
    <w:rsid w:val="006B7491"/>
    <w:rsid w:val="006D0D8F"/>
    <w:rsid w:val="006D6172"/>
    <w:rsid w:val="006D6C84"/>
    <w:rsid w:val="006F49D0"/>
    <w:rsid w:val="00705F79"/>
    <w:rsid w:val="007163FB"/>
    <w:rsid w:val="00730AB7"/>
    <w:rsid w:val="0074372C"/>
    <w:rsid w:val="0076051D"/>
    <w:rsid w:val="0076396E"/>
    <w:rsid w:val="00764E68"/>
    <w:rsid w:val="00767CCA"/>
    <w:rsid w:val="00796B89"/>
    <w:rsid w:val="007A5924"/>
    <w:rsid w:val="007C4FC8"/>
    <w:rsid w:val="007D4D4D"/>
    <w:rsid w:val="00802D86"/>
    <w:rsid w:val="008069E3"/>
    <w:rsid w:val="00807418"/>
    <w:rsid w:val="00810401"/>
    <w:rsid w:val="00831377"/>
    <w:rsid w:val="00832B7D"/>
    <w:rsid w:val="00834066"/>
    <w:rsid w:val="0083583A"/>
    <w:rsid w:val="008478C8"/>
    <w:rsid w:val="00857C22"/>
    <w:rsid w:val="008A0BB9"/>
    <w:rsid w:val="008A3059"/>
    <w:rsid w:val="008A3FFF"/>
    <w:rsid w:val="008C4C3E"/>
    <w:rsid w:val="008D04CD"/>
    <w:rsid w:val="008D67E3"/>
    <w:rsid w:val="008E6DB9"/>
    <w:rsid w:val="008F5312"/>
    <w:rsid w:val="00915548"/>
    <w:rsid w:val="009429E8"/>
    <w:rsid w:val="00954489"/>
    <w:rsid w:val="009614AF"/>
    <w:rsid w:val="009702C0"/>
    <w:rsid w:val="009968B2"/>
    <w:rsid w:val="009A1E80"/>
    <w:rsid w:val="009A2A26"/>
    <w:rsid w:val="009A5228"/>
    <w:rsid w:val="009B4236"/>
    <w:rsid w:val="009C29A5"/>
    <w:rsid w:val="009D4D26"/>
    <w:rsid w:val="009E5816"/>
    <w:rsid w:val="009E6E86"/>
    <w:rsid w:val="00A028DA"/>
    <w:rsid w:val="00A13AF0"/>
    <w:rsid w:val="00A32A51"/>
    <w:rsid w:val="00A53522"/>
    <w:rsid w:val="00A55117"/>
    <w:rsid w:val="00A614BB"/>
    <w:rsid w:val="00A6203D"/>
    <w:rsid w:val="00A63413"/>
    <w:rsid w:val="00AC47BA"/>
    <w:rsid w:val="00AC785F"/>
    <w:rsid w:val="00AF79C9"/>
    <w:rsid w:val="00B14023"/>
    <w:rsid w:val="00B162B7"/>
    <w:rsid w:val="00B3685E"/>
    <w:rsid w:val="00B46D78"/>
    <w:rsid w:val="00B62B52"/>
    <w:rsid w:val="00B72133"/>
    <w:rsid w:val="00B83E05"/>
    <w:rsid w:val="00B961C5"/>
    <w:rsid w:val="00BC13EA"/>
    <w:rsid w:val="00BC32FF"/>
    <w:rsid w:val="00BC54D1"/>
    <w:rsid w:val="00BE0275"/>
    <w:rsid w:val="00BF1C38"/>
    <w:rsid w:val="00C075B8"/>
    <w:rsid w:val="00C4419C"/>
    <w:rsid w:val="00C45C14"/>
    <w:rsid w:val="00C623DE"/>
    <w:rsid w:val="00C62AAC"/>
    <w:rsid w:val="00C703A0"/>
    <w:rsid w:val="00C75AA9"/>
    <w:rsid w:val="00C90337"/>
    <w:rsid w:val="00C948F3"/>
    <w:rsid w:val="00CA269D"/>
    <w:rsid w:val="00CC10CA"/>
    <w:rsid w:val="00CC2EE3"/>
    <w:rsid w:val="00CC3D85"/>
    <w:rsid w:val="00CC667D"/>
    <w:rsid w:val="00CE2DFB"/>
    <w:rsid w:val="00CE4EE1"/>
    <w:rsid w:val="00CE7C7B"/>
    <w:rsid w:val="00CF4F7C"/>
    <w:rsid w:val="00D250C9"/>
    <w:rsid w:val="00D449AE"/>
    <w:rsid w:val="00D473BB"/>
    <w:rsid w:val="00D55B2B"/>
    <w:rsid w:val="00D60E23"/>
    <w:rsid w:val="00D706C0"/>
    <w:rsid w:val="00D91349"/>
    <w:rsid w:val="00DB1B29"/>
    <w:rsid w:val="00DB6391"/>
    <w:rsid w:val="00DC266C"/>
    <w:rsid w:val="00DD52AA"/>
    <w:rsid w:val="00DE7193"/>
    <w:rsid w:val="00DF33C9"/>
    <w:rsid w:val="00E0579E"/>
    <w:rsid w:val="00E0620C"/>
    <w:rsid w:val="00E228D2"/>
    <w:rsid w:val="00E252E4"/>
    <w:rsid w:val="00E304CD"/>
    <w:rsid w:val="00E4781C"/>
    <w:rsid w:val="00E57A77"/>
    <w:rsid w:val="00E77980"/>
    <w:rsid w:val="00EB19EC"/>
    <w:rsid w:val="00EB2C63"/>
    <w:rsid w:val="00EE7EE4"/>
    <w:rsid w:val="00EF050A"/>
    <w:rsid w:val="00EF526D"/>
    <w:rsid w:val="00F04F78"/>
    <w:rsid w:val="00F13CE4"/>
    <w:rsid w:val="00FC3CE4"/>
    <w:rsid w:val="00FE4189"/>
    <w:rsid w:val="00FF3D24"/>
    <w:rsid w:val="00FF4D12"/>
    <w:rsid w:val="00FF6451"/>
    <w:rsid w:val="1C25C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6B26"/>
  <w15:chartTrackingRefBased/>
  <w15:docId w15:val="{62694623-5B6C-402E-A374-06C2B7CF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C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E687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E687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E6870"/>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E687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6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68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6870"/>
    <w:rPr>
      <w:rFonts w:ascii="Times New Roman" w:eastAsia="Times New Roman" w:hAnsi="Times New Roman" w:cs="Times New Roman"/>
      <w:b/>
      <w:bCs/>
      <w:sz w:val="24"/>
      <w:szCs w:val="24"/>
    </w:rPr>
  </w:style>
  <w:style w:type="paragraph" w:customStyle="1" w:styleId="msonormal0">
    <w:name w:val="msonormal"/>
    <w:basedOn w:val="Normal"/>
    <w:rsid w:val="005E6870"/>
    <w:pPr>
      <w:spacing w:before="100" w:beforeAutospacing="1" w:after="100" w:afterAutospacing="1"/>
    </w:pPr>
  </w:style>
  <w:style w:type="character" w:customStyle="1" w:styleId="Title1">
    <w:name w:val="Title1"/>
    <w:basedOn w:val="DefaultParagraphFont"/>
    <w:rsid w:val="005E6870"/>
  </w:style>
  <w:style w:type="paragraph" w:customStyle="1" w:styleId="contrib-group">
    <w:name w:val="contrib-group"/>
    <w:basedOn w:val="Normal"/>
    <w:rsid w:val="005E6870"/>
    <w:pPr>
      <w:spacing w:before="100" w:beforeAutospacing="1" w:after="100" w:afterAutospacing="1"/>
    </w:pPr>
  </w:style>
  <w:style w:type="character" w:styleId="Hyperlink">
    <w:name w:val="Hyperlink"/>
    <w:basedOn w:val="DefaultParagraphFont"/>
    <w:uiPriority w:val="99"/>
    <w:unhideWhenUsed/>
    <w:rsid w:val="005E6870"/>
    <w:rPr>
      <w:color w:val="0000FF"/>
      <w:u w:val="single"/>
    </w:rPr>
  </w:style>
  <w:style w:type="character" w:styleId="FollowedHyperlink">
    <w:name w:val="FollowedHyperlink"/>
    <w:basedOn w:val="DefaultParagraphFont"/>
    <w:uiPriority w:val="99"/>
    <w:semiHidden/>
    <w:unhideWhenUsed/>
    <w:rsid w:val="005E6870"/>
    <w:rPr>
      <w:color w:val="800080"/>
      <w:u w:val="single"/>
    </w:rPr>
  </w:style>
  <w:style w:type="character" w:customStyle="1" w:styleId="ui-ncbitoggler-master-text">
    <w:name w:val="ui-ncbitoggler-master-text"/>
    <w:basedOn w:val="DefaultParagraphFont"/>
    <w:rsid w:val="005E6870"/>
  </w:style>
  <w:style w:type="character" w:customStyle="1" w:styleId="ui-icon">
    <w:name w:val="ui-icon"/>
    <w:basedOn w:val="DefaultParagraphFont"/>
    <w:rsid w:val="005E6870"/>
  </w:style>
  <w:style w:type="paragraph" w:customStyle="1" w:styleId="small">
    <w:name w:val="small"/>
    <w:basedOn w:val="Normal"/>
    <w:rsid w:val="005E6870"/>
    <w:pPr>
      <w:spacing w:before="100" w:beforeAutospacing="1" w:after="100" w:afterAutospacing="1"/>
    </w:pPr>
  </w:style>
  <w:style w:type="paragraph" w:styleId="NormalWeb">
    <w:name w:val="Normal (Web)"/>
    <w:basedOn w:val="Normal"/>
    <w:uiPriority w:val="99"/>
    <w:semiHidden/>
    <w:unhideWhenUsed/>
    <w:rsid w:val="005E6870"/>
    <w:pPr>
      <w:spacing w:before="100" w:beforeAutospacing="1" w:after="100" w:afterAutospacing="1"/>
    </w:pPr>
  </w:style>
  <w:style w:type="character" w:customStyle="1" w:styleId="label">
    <w:name w:val="label"/>
    <w:basedOn w:val="DefaultParagraphFont"/>
    <w:rsid w:val="005E6870"/>
  </w:style>
  <w:style w:type="character" w:customStyle="1" w:styleId="ref-journal">
    <w:name w:val="ref-journal"/>
    <w:basedOn w:val="DefaultParagraphFont"/>
    <w:rsid w:val="005E6870"/>
  </w:style>
  <w:style w:type="character" w:customStyle="1" w:styleId="ref-vol">
    <w:name w:val="ref-vol"/>
    <w:basedOn w:val="DefaultParagraphFont"/>
    <w:rsid w:val="005E6870"/>
  </w:style>
  <w:style w:type="character" w:styleId="UnresolvedMention">
    <w:name w:val="Unresolved Mention"/>
    <w:basedOn w:val="DefaultParagraphFont"/>
    <w:uiPriority w:val="99"/>
    <w:semiHidden/>
    <w:unhideWhenUsed/>
    <w:rsid w:val="005E6870"/>
    <w:rPr>
      <w:color w:val="605E5C"/>
      <w:shd w:val="clear" w:color="auto" w:fill="E1DFDD"/>
    </w:rPr>
  </w:style>
  <w:style w:type="character" w:styleId="CommentReference">
    <w:name w:val="annotation reference"/>
    <w:basedOn w:val="DefaultParagraphFont"/>
    <w:uiPriority w:val="99"/>
    <w:semiHidden/>
    <w:unhideWhenUsed/>
    <w:rsid w:val="003D28E5"/>
    <w:rPr>
      <w:sz w:val="16"/>
      <w:szCs w:val="16"/>
    </w:rPr>
  </w:style>
  <w:style w:type="paragraph" w:styleId="CommentText">
    <w:name w:val="annotation text"/>
    <w:basedOn w:val="Normal"/>
    <w:link w:val="CommentTextChar"/>
    <w:uiPriority w:val="99"/>
    <w:semiHidden/>
    <w:unhideWhenUsed/>
    <w:rsid w:val="003D28E5"/>
    <w:rPr>
      <w:sz w:val="20"/>
      <w:szCs w:val="20"/>
    </w:rPr>
  </w:style>
  <w:style w:type="character" w:customStyle="1" w:styleId="CommentTextChar">
    <w:name w:val="Comment Text Char"/>
    <w:basedOn w:val="DefaultParagraphFont"/>
    <w:link w:val="CommentText"/>
    <w:uiPriority w:val="99"/>
    <w:semiHidden/>
    <w:rsid w:val="003D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28E5"/>
    <w:rPr>
      <w:b/>
      <w:bCs/>
    </w:rPr>
  </w:style>
  <w:style w:type="character" w:customStyle="1" w:styleId="CommentSubjectChar">
    <w:name w:val="Comment Subject Char"/>
    <w:basedOn w:val="CommentTextChar"/>
    <w:link w:val="CommentSubject"/>
    <w:uiPriority w:val="99"/>
    <w:semiHidden/>
    <w:rsid w:val="003D28E5"/>
    <w:rPr>
      <w:rFonts w:ascii="Times New Roman" w:eastAsia="Times New Roman" w:hAnsi="Times New Roman" w:cs="Times New Roman"/>
      <w:b/>
      <w:bCs/>
      <w:sz w:val="20"/>
      <w:szCs w:val="20"/>
    </w:rPr>
  </w:style>
  <w:style w:type="paragraph" w:styleId="Revision">
    <w:name w:val="Revision"/>
    <w:hidden/>
    <w:uiPriority w:val="99"/>
    <w:semiHidden/>
    <w:rsid w:val="00663E9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438">
      <w:bodyDiv w:val="1"/>
      <w:marLeft w:val="0"/>
      <w:marRight w:val="0"/>
      <w:marTop w:val="0"/>
      <w:marBottom w:val="0"/>
      <w:divBdr>
        <w:top w:val="none" w:sz="0" w:space="0" w:color="auto"/>
        <w:left w:val="none" w:sz="0" w:space="0" w:color="auto"/>
        <w:bottom w:val="none" w:sz="0" w:space="0" w:color="auto"/>
        <w:right w:val="none" w:sz="0" w:space="0" w:color="auto"/>
      </w:divBdr>
    </w:div>
    <w:div w:id="294335152">
      <w:bodyDiv w:val="1"/>
      <w:marLeft w:val="0"/>
      <w:marRight w:val="0"/>
      <w:marTop w:val="0"/>
      <w:marBottom w:val="0"/>
      <w:divBdr>
        <w:top w:val="none" w:sz="0" w:space="0" w:color="auto"/>
        <w:left w:val="none" w:sz="0" w:space="0" w:color="auto"/>
        <w:bottom w:val="none" w:sz="0" w:space="0" w:color="auto"/>
        <w:right w:val="none" w:sz="0" w:space="0" w:color="auto"/>
      </w:divBdr>
    </w:div>
    <w:div w:id="357242171">
      <w:bodyDiv w:val="1"/>
      <w:marLeft w:val="0"/>
      <w:marRight w:val="0"/>
      <w:marTop w:val="0"/>
      <w:marBottom w:val="0"/>
      <w:divBdr>
        <w:top w:val="none" w:sz="0" w:space="0" w:color="auto"/>
        <w:left w:val="none" w:sz="0" w:space="0" w:color="auto"/>
        <w:bottom w:val="none" w:sz="0" w:space="0" w:color="auto"/>
        <w:right w:val="none" w:sz="0" w:space="0" w:color="auto"/>
      </w:divBdr>
    </w:div>
    <w:div w:id="528758897">
      <w:bodyDiv w:val="1"/>
      <w:marLeft w:val="0"/>
      <w:marRight w:val="0"/>
      <w:marTop w:val="0"/>
      <w:marBottom w:val="0"/>
      <w:divBdr>
        <w:top w:val="none" w:sz="0" w:space="0" w:color="auto"/>
        <w:left w:val="none" w:sz="0" w:space="0" w:color="auto"/>
        <w:bottom w:val="none" w:sz="0" w:space="0" w:color="auto"/>
        <w:right w:val="none" w:sz="0" w:space="0" w:color="auto"/>
      </w:divBdr>
      <w:divsChild>
        <w:div w:id="389160322">
          <w:marLeft w:val="0"/>
          <w:marRight w:val="0"/>
          <w:marTop w:val="0"/>
          <w:marBottom w:val="0"/>
          <w:divBdr>
            <w:top w:val="none" w:sz="0" w:space="0" w:color="auto"/>
            <w:left w:val="none" w:sz="0" w:space="0" w:color="auto"/>
            <w:bottom w:val="none" w:sz="0" w:space="0" w:color="auto"/>
            <w:right w:val="none" w:sz="0" w:space="0" w:color="auto"/>
          </w:divBdr>
          <w:divsChild>
            <w:div w:id="1866094642">
              <w:marLeft w:val="0"/>
              <w:marRight w:val="0"/>
              <w:marTop w:val="0"/>
              <w:marBottom w:val="0"/>
              <w:divBdr>
                <w:top w:val="none" w:sz="0" w:space="0" w:color="auto"/>
                <w:left w:val="none" w:sz="0" w:space="0" w:color="auto"/>
                <w:bottom w:val="none" w:sz="0" w:space="0" w:color="auto"/>
                <w:right w:val="none" w:sz="0" w:space="0" w:color="auto"/>
              </w:divBdr>
              <w:divsChild>
                <w:div w:id="10694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7159">
      <w:bodyDiv w:val="1"/>
      <w:marLeft w:val="0"/>
      <w:marRight w:val="0"/>
      <w:marTop w:val="0"/>
      <w:marBottom w:val="0"/>
      <w:divBdr>
        <w:top w:val="none" w:sz="0" w:space="0" w:color="auto"/>
        <w:left w:val="none" w:sz="0" w:space="0" w:color="auto"/>
        <w:bottom w:val="none" w:sz="0" w:space="0" w:color="auto"/>
        <w:right w:val="none" w:sz="0" w:space="0" w:color="auto"/>
      </w:divBdr>
    </w:div>
    <w:div w:id="837693420">
      <w:bodyDiv w:val="1"/>
      <w:marLeft w:val="0"/>
      <w:marRight w:val="0"/>
      <w:marTop w:val="0"/>
      <w:marBottom w:val="0"/>
      <w:divBdr>
        <w:top w:val="none" w:sz="0" w:space="0" w:color="auto"/>
        <w:left w:val="none" w:sz="0" w:space="0" w:color="auto"/>
        <w:bottom w:val="none" w:sz="0" w:space="0" w:color="auto"/>
        <w:right w:val="none" w:sz="0" w:space="0" w:color="auto"/>
      </w:divBdr>
    </w:div>
    <w:div w:id="1031103891">
      <w:bodyDiv w:val="1"/>
      <w:marLeft w:val="0"/>
      <w:marRight w:val="0"/>
      <w:marTop w:val="0"/>
      <w:marBottom w:val="0"/>
      <w:divBdr>
        <w:top w:val="none" w:sz="0" w:space="0" w:color="auto"/>
        <w:left w:val="none" w:sz="0" w:space="0" w:color="auto"/>
        <w:bottom w:val="none" w:sz="0" w:space="0" w:color="auto"/>
        <w:right w:val="none" w:sz="0" w:space="0" w:color="auto"/>
      </w:divBdr>
    </w:div>
    <w:div w:id="1302660562">
      <w:bodyDiv w:val="1"/>
      <w:marLeft w:val="0"/>
      <w:marRight w:val="0"/>
      <w:marTop w:val="0"/>
      <w:marBottom w:val="0"/>
      <w:divBdr>
        <w:top w:val="none" w:sz="0" w:space="0" w:color="auto"/>
        <w:left w:val="none" w:sz="0" w:space="0" w:color="auto"/>
        <w:bottom w:val="none" w:sz="0" w:space="0" w:color="auto"/>
        <w:right w:val="none" w:sz="0" w:space="0" w:color="auto"/>
      </w:divBdr>
    </w:div>
    <w:div w:id="1576865400">
      <w:bodyDiv w:val="1"/>
      <w:marLeft w:val="0"/>
      <w:marRight w:val="0"/>
      <w:marTop w:val="0"/>
      <w:marBottom w:val="0"/>
      <w:divBdr>
        <w:top w:val="none" w:sz="0" w:space="0" w:color="auto"/>
        <w:left w:val="none" w:sz="0" w:space="0" w:color="auto"/>
        <w:bottom w:val="none" w:sz="0" w:space="0" w:color="auto"/>
        <w:right w:val="none" w:sz="0" w:space="0" w:color="auto"/>
      </w:divBdr>
      <w:divsChild>
        <w:div w:id="613093913">
          <w:marLeft w:val="0"/>
          <w:marRight w:val="0"/>
          <w:marTop w:val="332"/>
          <w:marBottom w:val="332"/>
          <w:divBdr>
            <w:top w:val="none" w:sz="0" w:space="0" w:color="auto"/>
            <w:left w:val="none" w:sz="0" w:space="0" w:color="auto"/>
            <w:bottom w:val="none" w:sz="0" w:space="0" w:color="auto"/>
            <w:right w:val="none" w:sz="0" w:space="0" w:color="auto"/>
          </w:divBdr>
          <w:divsChild>
            <w:div w:id="887378996">
              <w:marLeft w:val="0"/>
              <w:marRight w:val="0"/>
              <w:marTop w:val="0"/>
              <w:marBottom w:val="0"/>
              <w:divBdr>
                <w:top w:val="none" w:sz="0" w:space="0" w:color="auto"/>
                <w:left w:val="none" w:sz="0" w:space="0" w:color="auto"/>
                <w:bottom w:val="none" w:sz="0" w:space="0" w:color="auto"/>
                <w:right w:val="none" w:sz="0" w:space="0" w:color="auto"/>
              </w:divBdr>
            </w:div>
            <w:div w:id="1684211292">
              <w:marLeft w:val="0"/>
              <w:marRight w:val="0"/>
              <w:marTop w:val="0"/>
              <w:marBottom w:val="0"/>
              <w:divBdr>
                <w:top w:val="none" w:sz="0" w:space="0" w:color="auto"/>
                <w:left w:val="none" w:sz="0" w:space="0" w:color="auto"/>
                <w:bottom w:val="none" w:sz="0" w:space="0" w:color="auto"/>
                <w:right w:val="none" w:sz="0" w:space="0" w:color="auto"/>
              </w:divBdr>
            </w:div>
            <w:div w:id="93285621">
              <w:marLeft w:val="0"/>
              <w:marRight w:val="0"/>
              <w:marTop w:val="0"/>
              <w:marBottom w:val="0"/>
              <w:divBdr>
                <w:top w:val="none" w:sz="0" w:space="0" w:color="auto"/>
                <w:left w:val="none" w:sz="0" w:space="0" w:color="auto"/>
                <w:bottom w:val="none" w:sz="0" w:space="0" w:color="auto"/>
                <w:right w:val="none" w:sz="0" w:space="0" w:color="auto"/>
              </w:divBdr>
            </w:div>
            <w:div w:id="479419217">
              <w:marLeft w:val="0"/>
              <w:marRight w:val="0"/>
              <w:marTop w:val="0"/>
              <w:marBottom w:val="0"/>
              <w:divBdr>
                <w:top w:val="none" w:sz="0" w:space="0" w:color="auto"/>
                <w:left w:val="none" w:sz="0" w:space="0" w:color="auto"/>
                <w:bottom w:val="none" w:sz="0" w:space="0" w:color="auto"/>
                <w:right w:val="none" w:sz="0" w:space="0" w:color="auto"/>
              </w:divBdr>
              <w:divsChild>
                <w:div w:id="1736657552">
                  <w:marLeft w:val="0"/>
                  <w:marRight w:val="0"/>
                  <w:marTop w:val="0"/>
                  <w:marBottom w:val="0"/>
                  <w:divBdr>
                    <w:top w:val="none" w:sz="0" w:space="0" w:color="auto"/>
                    <w:left w:val="none" w:sz="0" w:space="0" w:color="auto"/>
                    <w:bottom w:val="none" w:sz="0" w:space="0" w:color="auto"/>
                    <w:right w:val="none" w:sz="0" w:space="0" w:color="auto"/>
                  </w:divBdr>
                  <w:divsChild>
                    <w:div w:id="413087097">
                      <w:marLeft w:val="0"/>
                      <w:marRight w:val="0"/>
                      <w:marTop w:val="0"/>
                      <w:marBottom w:val="0"/>
                      <w:divBdr>
                        <w:top w:val="none" w:sz="0" w:space="0" w:color="auto"/>
                        <w:left w:val="none" w:sz="0" w:space="0" w:color="auto"/>
                        <w:bottom w:val="none" w:sz="0" w:space="0" w:color="auto"/>
                        <w:right w:val="none" w:sz="0" w:space="0" w:color="auto"/>
                      </w:divBdr>
                    </w:div>
                    <w:div w:id="1604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3871">
              <w:marLeft w:val="0"/>
              <w:marRight w:val="0"/>
              <w:marTop w:val="0"/>
              <w:marBottom w:val="0"/>
              <w:divBdr>
                <w:top w:val="none" w:sz="0" w:space="0" w:color="auto"/>
                <w:left w:val="none" w:sz="0" w:space="0" w:color="auto"/>
                <w:bottom w:val="none" w:sz="0" w:space="0" w:color="auto"/>
                <w:right w:val="none" w:sz="0" w:space="0" w:color="auto"/>
              </w:divBdr>
            </w:div>
            <w:div w:id="2137942910">
              <w:marLeft w:val="0"/>
              <w:marRight w:val="0"/>
              <w:marTop w:val="0"/>
              <w:marBottom w:val="0"/>
              <w:divBdr>
                <w:top w:val="none" w:sz="0" w:space="0" w:color="auto"/>
                <w:left w:val="none" w:sz="0" w:space="0" w:color="auto"/>
                <w:bottom w:val="none" w:sz="0" w:space="0" w:color="auto"/>
                <w:right w:val="none" w:sz="0" w:space="0" w:color="auto"/>
              </w:divBdr>
              <w:divsChild>
                <w:div w:id="1873420263">
                  <w:marLeft w:val="0"/>
                  <w:marRight w:val="0"/>
                  <w:marTop w:val="0"/>
                  <w:marBottom w:val="0"/>
                  <w:divBdr>
                    <w:top w:val="none" w:sz="0" w:space="0" w:color="auto"/>
                    <w:left w:val="none" w:sz="0" w:space="0" w:color="auto"/>
                    <w:bottom w:val="none" w:sz="0" w:space="0" w:color="auto"/>
                    <w:right w:val="none" w:sz="0" w:space="0" w:color="auto"/>
                  </w:divBdr>
                  <w:divsChild>
                    <w:div w:id="30768923">
                      <w:marLeft w:val="0"/>
                      <w:marRight w:val="0"/>
                      <w:marTop w:val="0"/>
                      <w:marBottom w:val="0"/>
                      <w:divBdr>
                        <w:top w:val="none" w:sz="0" w:space="0" w:color="auto"/>
                        <w:left w:val="none" w:sz="0" w:space="0" w:color="auto"/>
                        <w:bottom w:val="none" w:sz="0" w:space="0" w:color="auto"/>
                        <w:right w:val="none" w:sz="0" w:space="0" w:color="auto"/>
                      </w:divBdr>
                    </w:div>
                    <w:div w:id="21292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9538">
              <w:marLeft w:val="0"/>
              <w:marRight w:val="0"/>
              <w:marTop w:val="0"/>
              <w:marBottom w:val="0"/>
              <w:divBdr>
                <w:top w:val="none" w:sz="0" w:space="0" w:color="auto"/>
                <w:left w:val="none" w:sz="0" w:space="0" w:color="auto"/>
                <w:bottom w:val="none" w:sz="0" w:space="0" w:color="auto"/>
                <w:right w:val="none" w:sz="0" w:space="0" w:color="auto"/>
              </w:divBdr>
              <w:divsChild>
                <w:div w:id="2137990285">
                  <w:marLeft w:val="0"/>
                  <w:marRight w:val="0"/>
                  <w:marTop w:val="0"/>
                  <w:marBottom w:val="0"/>
                  <w:divBdr>
                    <w:top w:val="none" w:sz="0" w:space="0" w:color="auto"/>
                    <w:left w:val="none" w:sz="0" w:space="0" w:color="auto"/>
                    <w:bottom w:val="none" w:sz="0" w:space="0" w:color="auto"/>
                    <w:right w:val="none" w:sz="0" w:space="0" w:color="auto"/>
                  </w:divBdr>
                  <w:divsChild>
                    <w:div w:id="1640181540">
                      <w:marLeft w:val="0"/>
                      <w:marRight w:val="0"/>
                      <w:marTop w:val="0"/>
                      <w:marBottom w:val="0"/>
                      <w:divBdr>
                        <w:top w:val="none" w:sz="0" w:space="0" w:color="auto"/>
                        <w:left w:val="none" w:sz="0" w:space="0" w:color="auto"/>
                        <w:bottom w:val="none" w:sz="0" w:space="0" w:color="auto"/>
                        <w:right w:val="none" w:sz="0" w:space="0" w:color="auto"/>
                      </w:divBdr>
                    </w:div>
                    <w:div w:id="8262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75">
              <w:marLeft w:val="0"/>
              <w:marRight w:val="0"/>
              <w:marTop w:val="0"/>
              <w:marBottom w:val="0"/>
              <w:divBdr>
                <w:top w:val="none" w:sz="0" w:space="0" w:color="auto"/>
                <w:left w:val="none" w:sz="0" w:space="0" w:color="auto"/>
                <w:bottom w:val="none" w:sz="0" w:space="0" w:color="auto"/>
                <w:right w:val="none" w:sz="0" w:space="0" w:color="auto"/>
              </w:divBdr>
            </w:div>
            <w:div w:id="180170757">
              <w:marLeft w:val="0"/>
              <w:marRight w:val="0"/>
              <w:marTop w:val="0"/>
              <w:marBottom w:val="0"/>
              <w:divBdr>
                <w:top w:val="none" w:sz="0" w:space="0" w:color="auto"/>
                <w:left w:val="none" w:sz="0" w:space="0" w:color="auto"/>
                <w:bottom w:val="none" w:sz="0" w:space="0" w:color="auto"/>
                <w:right w:val="none" w:sz="0" w:space="0" w:color="auto"/>
              </w:divBdr>
            </w:div>
            <w:div w:id="778642618">
              <w:marLeft w:val="0"/>
              <w:marRight w:val="0"/>
              <w:marTop w:val="0"/>
              <w:marBottom w:val="0"/>
              <w:divBdr>
                <w:top w:val="none" w:sz="0" w:space="0" w:color="auto"/>
                <w:left w:val="none" w:sz="0" w:space="0" w:color="auto"/>
                <w:bottom w:val="none" w:sz="0" w:space="0" w:color="auto"/>
                <w:right w:val="none" w:sz="0" w:space="0" w:color="auto"/>
              </w:divBdr>
              <w:divsChild>
                <w:div w:id="1379670783">
                  <w:marLeft w:val="0"/>
                  <w:marRight w:val="0"/>
                  <w:marTop w:val="0"/>
                  <w:marBottom w:val="0"/>
                  <w:divBdr>
                    <w:top w:val="none" w:sz="0" w:space="0" w:color="auto"/>
                    <w:left w:val="none" w:sz="0" w:space="0" w:color="auto"/>
                    <w:bottom w:val="none" w:sz="0" w:space="0" w:color="auto"/>
                    <w:right w:val="none" w:sz="0" w:space="0" w:color="auto"/>
                  </w:divBdr>
                  <w:divsChild>
                    <w:div w:id="1104543977">
                      <w:marLeft w:val="0"/>
                      <w:marRight w:val="0"/>
                      <w:marTop w:val="0"/>
                      <w:marBottom w:val="0"/>
                      <w:divBdr>
                        <w:top w:val="none" w:sz="0" w:space="0" w:color="auto"/>
                        <w:left w:val="none" w:sz="0" w:space="0" w:color="auto"/>
                        <w:bottom w:val="none" w:sz="0" w:space="0" w:color="auto"/>
                        <w:right w:val="none" w:sz="0" w:space="0" w:color="auto"/>
                      </w:divBdr>
                    </w:div>
                    <w:div w:id="16768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8323">
              <w:marLeft w:val="0"/>
              <w:marRight w:val="0"/>
              <w:marTop w:val="0"/>
              <w:marBottom w:val="0"/>
              <w:divBdr>
                <w:top w:val="none" w:sz="0" w:space="0" w:color="auto"/>
                <w:left w:val="none" w:sz="0" w:space="0" w:color="auto"/>
                <w:bottom w:val="none" w:sz="0" w:space="0" w:color="auto"/>
                <w:right w:val="none" w:sz="0" w:space="0" w:color="auto"/>
              </w:divBdr>
            </w:div>
            <w:div w:id="669796828">
              <w:marLeft w:val="0"/>
              <w:marRight w:val="0"/>
              <w:marTop w:val="0"/>
              <w:marBottom w:val="0"/>
              <w:divBdr>
                <w:top w:val="none" w:sz="0" w:space="0" w:color="auto"/>
                <w:left w:val="none" w:sz="0" w:space="0" w:color="auto"/>
                <w:bottom w:val="none" w:sz="0" w:space="0" w:color="auto"/>
                <w:right w:val="none" w:sz="0" w:space="0" w:color="auto"/>
              </w:divBdr>
              <w:divsChild>
                <w:div w:id="1302462757">
                  <w:marLeft w:val="0"/>
                  <w:marRight w:val="0"/>
                  <w:marTop w:val="0"/>
                  <w:marBottom w:val="0"/>
                  <w:divBdr>
                    <w:top w:val="none" w:sz="0" w:space="0" w:color="auto"/>
                    <w:left w:val="none" w:sz="0" w:space="0" w:color="auto"/>
                    <w:bottom w:val="none" w:sz="0" w:space="0" w:color="auto"/>
                    <w:right w:val="none" w:sz="0" w:space="0" w:color="auto"/>
                  </w:divBdr>
                </w:div>
                <w:div w:id="1862932196">
                  <w:marLeft w:val="0"/>
                  <w:marRight w:val="0"/>
                  <w:marTop w:val="0"/>
                  <w:marBottom w:val="0"/>
                  <w:divBdr>
                    <w:top w:val="none" w:sz="0" w:space="0" w:color="auto"/>
                    <w:left w:val="none" w:sz="0" w:space="0" w:color="auto"/>
                    <w:bottom w:val="none" w:sz="0" w:space="0" w:color="auto"/>
                    <w:right w:val="none" w:sz="0" w:space="0" w:color="auto"/>
                  </w:divBdr>
                  <w:divsChild>
                    <w:div w:id="2017492742">
                      <w:marLeft w:val="0"/>
                      <w:marRight w:val="0"/>
                      <w:marTop w:val="0"/>
                      <w:marBottom w:val="0"/>
                      <w:divBdr>
                        <w:top w:val="none" w:sz="0" w:space="0" w:color="auto"/>
                        <w:left w:val="none" w:sz="0" w:space="0" w:color="auto"/>
                        <w:bottom w:val="none" w:sz="0" w:space="0" w:color="auto"/>
                        <w:right w:val="none" w:sz="0" w:space="0" w:color="auto"/>
                      </w:divBdr>
                    </w:div>
                    <w:div w:id="627391502">
                      <w:marLeft w:val="0"/>
                      <w:marRight w:val="0"/>
                      <w:marTop w:val="0"/>
                      <w:marBottom w:val="0"/>
                      <w:divBdr>
                        <w:top w:val="none" w:sz="0" w:space="0" w:color="auto"/>
                        <w:left w:val="none" w:sz="0" w:space="0" w:color="auto"/>
                        <w:bottom w:val="none" w:sz="0" w:space="0" w:color="auto"/>
                        <w:right w:val="none" w:sz="0" w:space="0" w:color="auto"/>
                      </w:divBdr>
                    </w:div>
                    <w:div w:id="271017899">
                      <w:marLeft w:val="0"/>
                      <w:marRight w:val="0"/>
                      <w:marTop w:val="0"/>
                      <w:marBottom w:val="0"/>
                      <w:divBdr>
                        <w:top w:val="none" w:sz="0" w:space="0" w:color="auto"/>
                        <w:left w:val="none" w:sz="0" w:space="0" w:color="auto"/>
                        <w:bottom w:val="none" w:sz="0" w:space="0" w:color="auto"/>
                        <w:right w:val="none" w:sz="0" w:space="0" w:color="auto"/>
                      </w:divBdr>
                    </w:div>
                    <w:div w:id="812332555">
                      <w:marLeft w:val="0"/>
                      <w:marRight w:val="0"/>
                      <w:marTop w:val="0"/>
                      <w:marBottom w:val="0"/>
                      <w:divBdr>
                        <w:top w:val="none" w:sz="0" w:space="0" w:color="auto"/>
                        <w:left w:val="none" w:sz="0" w:space="0" w:color="auto"/>
                        <w:bottom w:val="none" w:sz="0" w:space="0" w:color="auto"/>
                        <w:right w:val="none" w:sz="0" w:space="0" w:color="auto"/>
                      </w:divBdr>
                    </w:div>
                  </w:divsChild>
                </w:div>
                <w:div w:id="1617171621">
                  <w:marLeft w:val="0"/>
                  <w:marRight w:val="0"/>
                  <w:marTop w:val="0"/>
                  <w:marBottom w:val="0"/>
                  <w:divBdr>
                    <w:top w:val="none" w:sz="0" w:space="0" w:color="auto"/>
                    <w:left w:val="none" w:sz="0" w:space="0" w:color="auto"/>
                    <w:bottom w:val="none" w:sz="0" w:space="0" w:color="auto"/>
                    <w:right w:val="none" w:sz="0" w:space="0" w:color="auto"/>
                  </w:divBdr>
                  <w:divsChild>
                    <w:div w:id="1080325113">
                      <w:marLeft w:val="0"/>
                      <w:marRight w:val="0"/>
                      <w:marTop w:val="0"/>
                      <w:marBottom w:val="0"/>
                      <w:divBdr>
                        <w:top w:val="none" w:sz="0" w:space="0" w:color="auto"/>
                        <w:left w:val="none" w:sz="0" w:space="0" w:color="auto"/>
                        <w:bottom w:val="none" w:sz="0" w:space="0" w:color="auto"/>
                        <w:right w:val="none" w:sz="0" w:space="0" w:color="auto"/>
                      </w:divBdr>
                    </w:div>
                    <w:div w:id="1259364446">
                      <w:marLeft w:val="0"/>
                      <w:marRight w:val="0"/>
                      <w:marTop w:val="0"/>
                      <w:marBottom w:val="0"/>
                      <w:divBdr>
                        <w:top w:val="none" w:sz="0" w:space="0" w:color="auto"/>
                        <w:left w:val="none" w:sz="0" w:space="0" w:color="auto"/>
                        <w:bottom w:val="none" w:sz="0" w:space="0" w:color="auto"/>
                        <w:right w:val="none" w:sz="0" w:space="0" w:color="auto"/>
                      </w:divBdr>
                    </w:div>
                    <w:div w:id="477915507">
                      <w:marLeft w:val="0"/>
                      <w:marRight w:val="0"/>
                      <w:marTop w:val="0"/>
                      <w:marBottom w:val="0"/>
                      <w:divBdr>
                        <w:top w:val="none" w:sz="0" w:space="0" w:color="auto"/>
                        <w:left w:val="none" w:sz="0" w:space="0" w:color="auto"/>
                        <w:bottom w:val="none" w:sz="0" w:space="0" w:color="auto"/>
                        <w:right w:val="none" w:sz="0" w:space="0" w:color="auto"/>
                      </w:divBdr>
                    </w:div>
                    <w:div w:id="243221888">
                      <w:marLeft w:val="0"/>
                      <w:marRight w:val="0"/>
                      <w:marTop w:val="0"/>
                      <w:marBottom w:val="0"/>
                      <w:divBdr>
                        <w:top w:val="none" w:sz="0" w:space="0" w:color="auto"/>
                        <w:left w:val="none" w:sz="0" w:space="0" w:color="auto"/>
                        <w:bottom w:val="none" w:sz="0" w:space="0" w:color="auto"/>
                        <w:right w:val="none" w:sz="0" w:space="0" w:color="auto"/>
                      </w:divBdr>
                    </w:div>
                  </w:divsChild>
                </w:div>
                <w:div w:id="2121559885">
                  <w:marLeft w:val="0"/>
                  <w:marRight w:val="0"/>
                  <w:marTop w:val="0"/>
                  <w:marBottom w:val="0"/>
                  <w:divBdr>
                    <w:top w:val="none" w:sz="0" w:space="0" w:color="auto"/>
                    <w:left w:val="none" w:sz="0" w:space="0" w:color="auto"/>
                    <w:bottom w:val="none" w:sz="0" w:space="0" w:color="auto"/>
                    <w:right w:val="none" w:sz="0" w:space="0" w:color="auto"/>
                  </w:divBdr>
                </w:div>
                <w:div w:id="2120103438">
                  <w:marLeft w:val="0"/>
                  <w:marRight w:val="0"/>
                  <w:marTop w:val="0"/>
                  <w:marBottom w:val="0"/>
                  <w:divBdr>
                    <w:top w:val="none" w:sz="0" w:space="0" w:color="auto"/>
                    <w:left w:val="none" w:sz="0" w:space="0" w:color="auto"/>
                    <w:bottom w:val="none" w:sz="0" w:space="0" w:color="auto"/>
                    <w:right w:val="none" w:sz="0" w:space="0" w:color="auto"/>
                  </w:divBdr>
                </w:div>
                <w:div w:id="1068379194">
                  <w:marLeft w:val="0"/>
                  <w:marRight w:val="0"/>
                  <w:marTop w:val="0"/>
                  <w:marBottom w:val="0"/>
                  <w:divBdr>
                    <w:top w:val="none" w:sz="0" w:space="0" w:color="auto"/>
                    <w:left w:val="none" w:sz="0" w:space="0" w:color="auto"/>
                    <w:bottom w:val="none" w:sz="0" w:space="0" w:color="auto"/>
                    <w:right w:val="none" w:sz="0" w:space="0" w:color="auto"/>
                  </w:divBdr>
                </w:div>
                <w:div w:id="873738718">
                  <w:marLeft w:val="0"/>
                  <w:marRight w:val="0"/>
                  <w:marTop w:val="0"/>
                  <w:marBottom w:val="0"/>
                  <w:divBdr>
                    <w:top w:val="none" w:sz="0" w:space="0" w:color="auto"/>
                    <w:left w:val="none" w:sz="0" w:space="0" w:color="auto"/>
                    <w:bottom w:val="none" w:sz="0" w:space="0" w:color="auto"/>
                    <w:right w:val="none" w:sz="0" w:space="0" w:color="auto"/>
                  </w:divBdr>
                </w:div>
              </w:divsChild>
            </w:div>
            <w:div w:id="429282875">
              <w:marLeft w:val="0"/>
              <w:marRight w:val="0"/>
              <w:marTop w:val="0"/>
              <w:marBottom w:val="0"/>
              <w:divBdr>
                <w:top w:val="none" w:sz="0" w:space="0" w:color="auto"/>
                <w:left w:val="none" w:sz="0" w:space="0" w:color="auto"/>
                <w:bottom w:val="none" w:sz="0" w:space="0" w:color="auto"/>
                <w:right w:val="none" w:sz="0" w:space="0" w:color="auto"/>
              </w:divBdr>
            </w:div>
            <w:div w:id="816266617">
              <w:marLeft w:val="0"/>
              <w:marRight w:val="0"/>
              <w:marTop w:val="0"/>
              <w:marBottom w:val="0"/>
              <w:divBdr>
                <w:top w:val="none" w:sz="0" w:space="0" w:color="auto"/>
                <w:left w:val="none" w:sz="0" w:space="0" w:color="auto"/>
                <w:bottom w:val="none" w:sz="0" w:space="0" w:color="auto"/>
                <w:right w:val="none" w:sz="0" w:space="0" w:color="auto"/>
              </w:divBdr>
              <w:divsChild>
                <w:div w:id="691958313">
                  <w:marLeft w:val="0"/>
                  <w:marRight w:val="0"/>
                  <w:marTop w:val="0"/>
                  <w:marBottom w:val="0"/>
                  <w:divBdr>
                    <w:top w:val="none" w:sz="0" w:space="0" w:color="auto"/>
                    <w:left w:val="none" w:sz="0" w:space="0" w:color="auto"/>
                    <w:bottom w:val="none" w:sz="0" w:space="0" w:color="auto"/>
                    <w:right w:val="none" w:sz="0" w:space="0" w:color="auto"/>
                  </w:divBdr>
                </w:div>
                <w:div w:id="1075125672">
                  <w:marLeft w:val="0"/>
                  <w:marRight w:val="0"/>
                  <w:marTop w:val="0"/>
                  <w:marBottom w:val="0"/>
                  <w:divBdr>
                    <w:top w:val="none" w:sz="0" w:space="0" w:color="auto"/>
                    <w:left w:val="none" w:sz="0" w:space="0" w:color="auto"/>
                    <w:bottom w:val="none" w:sz="0" w:space="0" w:color="auto"/>
                    <w:right w:val="none" w:sz="0" w:space="0" w:color="auto"/>
                  </w:divBdr>
                </w:div>
                <w:div w:id="1099060491">
                  <w:marLeft w:val="0"/>
                  <w:marRight w:val="0"/>
                  <w:marTop w:val="0"/>
                  <w:marBottom w:val="0"/>
                  <w:divBdr>
                    <w:top w:val="none" w:sz="0" w:space="0" w:color="auto"/>
                    <w:left w:val="none" w:sz="0" w:space="0" w:color="auto"/>
                    <w:bottom w:val="none" w:sz="0" w:space="0" w:color="auto"/>
                    <w:right w:val="none" w:sz="0" w:space="0" w:color="auto"/>
                  </w:divBdr>
                </w:div>
                <w:div w:id="739861952">
                  <w:marLeft w:val="0"/>
                  <w:marRight w:val="0"/>
                  <w:marTop w:val="0"/>
                  <w:marBottom w:val="0"/>
                  <w:divBdr>
                    <w:top w:val="none" w:sz="0" w:space="0" w:color="auto"/>
                    <w:left w:val="none" w:sz="0" w:space="0" w:color="auto"/>
                    <w:bottom w:val="none" w:sz="0" w:space="0" w:color="auto"/>
                    <w:right w:val="none" w:sz="0" w:space="0" w:color="auto"/>
                  </w:divBdr>
                </w:div>
                <w:div w:id="491221192">
                  <w:marLeft w:val="0"/>
                  <w:marRight w:val="0"/>
                  <w:marTop w:val="0"/>
                  <w:marBottom w:val="0"/>
                  <w:divBdr>
                    <w:top w:val="none" w:sz="0" w:space="0" w:color="auto"/>
                    <w:left w:val="none" w:sz="0" w:space="0" w:color="auto"/>
                    <w:bottom w:val="none" w:sz="0" w:space="0" w:color="auto"/>
                    <w:right w:val="none" w:sz="0" w:space="0" w:color="auto"/>
                  </w:divBdr>
                </w:div>
                <w:div w:id="1085608077">
                  <w:marLeft w:val="0"/>
                  <w:marRight w:val="0"/>
                  <w:marTop w:val="0"/>
                  <w:marBottom w:val="0"/>
                  <w:divBdr>
                    <w:top w:val="none" w:sz="0" w:space="0" w:color="auto"/>
                    <w:left w:val="none" w:sz="0" w:space="0" w:color="auto"/>
                    <w:bottom w:val="none" w:sz="0" w:space="0" w:color="auto"/>
                    <w:right w:val="none" w:sz="0" w:space="0" w:color="auto"/>
                  </w:divBdr>
                </w:div>
                <w:div w:id="253442870">
                  <w:marLeft w:val="0"/>
                  <w:marRight w:val="0"/>
                  <w:marTop w:val="0"/>
                  <w:marBottom w:val="0"/>
                  <w:divBdr>
                    <w:top w:val="none" w:sz="0" w:space="0" w:color="auto"/>
                    <w:left w:val="none" w:sz="0" w:space="0" w:color="auto"/>
                    <w:bottom w:val="none" w:sz="0" w:space="0" w:color="auto"/>
                    <w:right w:val="none" w:sz="0" w:space="0" w:color="auto"/>
                  </w:divBdr>
                </w:div>
              </w:divsChild>
            </w:div>
            <w:div w:id="550656767">
              <w:marLeft w:val="0"/>
              <w:marRight w:val="0"/>
              <w:marTop w:val="0"/>
              <w:marBottom w:val="0"/>
              <w:divBdr>
                <w:top w:val="none" w:sz="0" w:space="0" w:color="auto"/>
                <w:left w:val="none" w:sz="0" w:space="0" w:color="auto"/>
                <w:bottom w:val="none" w:sz="0" w:space="0" w:color="auto"/>
                <w:right w:val="none" w:sz="0" w:space="0" w:color="auto"/>
              </w:divBdr>
              <w:divsChild>
                <w:div w:id="989864840">
                  <w:marLeft w:val="0"/>
                  <w:marRight w:val="0"/>
                  <w:marTop w:val="0"/>
                  <w:marBottom w:val="0"/>
                  <w:divBdr>
                    <w:top w:val="none" w:sz="0" w:space="0" w:color="auto"/>
                    <w:left w:val="none" w:sz="0" w:space="0" w:color="auto"/>
                    <w:bottom w:val="none" w:sz="0" w:space="0" w:color="auto"/>
                    <w:right w:val="none" w:sz="0" w:space="0" w:color="auto"/>
                  </w:divBdr>
                  <w:divsChild>
                    <w:div w:id="1776554936">
                      <w:marLeft w:val="0"/>
                      <w:marRight w:val="0"/>
                      <w:marTop w:val="0"/>
                      <w:marBottom w:val="0"/>
                      <w:divBdr>
                        <w:top w:val="none" w:sz="0" w:space="0" w:color="auto"/>
                        <w:left w:val="none" w:sz="0" w:space="0" w:color="auto"/>
                        <w:bottom w:val="none" w:sz="0" w:space="0" w:color="auto"/>
                        <w:right w:val="none" w:sz="0" w:space="0" w:color="auto"/>
                      </w:divBdr>
                    </w:div>
                    <w:div w:id="15000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4792">
              <w:marLeft w:val="0"/>
              <w:marRight w:val="0"/>
              <w:marTop w:val="0"/>
              <w:marBottom w:val="0"/>
              <w:divBdr>
                <w:top w:val="none" w:sz="0" w:space="0" w:color="auto"/>
                <w:left w:val="none" w:sz="0" w:space="0" w:color="auto"/>
                <w:bottom w:val="none" w:sz="0" w:space="0" w:color="auto"/>
                <w:right w:val="none" w:sz="0" w:space="0" w:color="auto"/>
              </w:divBdr>
            </w:div>
            <w:div w:id="578443796">
              <w:marLeft w:val="0"/>
              <w:marRight w:val="0"/>
              <w:marTop w:val="0"/>
              <w:marBottom w:val="0"/>
              <w:divBdr>
                <w:top w:val="none" w:sz="0" w:space="0" w:color="auto"/>
                <w:left w:val="none" w:sz="0" w:space="0" w:color="auto"/>
                <w:bottom w:val="none" w:sz="0" w:space="0" w:color="auto"/>
                <w:right w:val="none" w:sz="0" w:space="0" w:color="auto"/>
              </w:divBdr>
            </w:div>
            <w:div w:id="1476723377">
              <w:marLeft w:val="0"/>
              <w:marRight w:val="0"/>
              <w:marTop w:val="0"/>
              <w:marBottom w:val="0"/>
              <w:divBdr>
                <w:top w:val="none" w:sz="0" w:space="0" w:color="auto"/>
                <w:left w:val="none" w:sz="0" w:space="0" w:color="auto"/>
                <w:bottom w:val="none" w:sz="0" w:space="0" w:color="auto"/>
                <w:right w:val="none" w:sz="0" w:space="0" w:color="auto"/>
              </w:divBdr>
            </w:div>
            <w:div w:id="1324621870">
              <w:marLeft w:val="0"/>
              <w:marRight w:val="0"/>
              <w:marTop w:val="0"/>
              <w:marBottom w:val="0"/>
              <w:divBdr>
                <w:top w:val="none" w:sz="0" w:space="0" w:color="auto"/>
                <w:left w:val="none" w:sz="0" w:space="0" w:color="auto"/>
                <w:bottom w:val="none" w:sz="0" w:space="0" w:color="auto"/>
                <w:right w:val="none" w:sz="0" w:space="0" w:color="auto"/>
              </w:divBdr>
              <w:divsChild>
                <w:div w:id="1213543428">
                  <w:marLeft w:val="0"/>
                  <w:marRight w:val="0"/>
                  <w:marTop w:val="0"/>
                  <w:marBottom w:val="0"/>
                  <w:divBdr>
                    <w:top w:val="none" w:sz="0" w:space="0" w:color="auto"/>
                    <w:left w:val="none" w:sz="0" w:space="0" w:color="auto"/>
                    <w:bottom w:val="none" w:sz="0" w:space="0" w:color="auto"/>
                    <w:right w:val="none" w:sz="0" w:space="0" w:color="auto"/>
                  </w:divBdr>
                </w:div>
                <w:div w:id="421217692">
                  <w:marLeft w:val="0"/>
                  <w:marRight w:val="0"/>
                  <w:marTop w:val="0"/>
                  <w:marBottom w:val="0"/>
                  <w:divBdr>
                    <w:top w:val="none" w:sz="0" w:space="0" w:color="auto"/>
                    <w:left w:val="none" w:sz="0" w:space="0" w:color="auto"/>
                    <w:bottom w:val="none" w:sz="0" w:space="0" w:color="auto"/>
                    <w:right w:val="none" w:sz="0" w:space="0" w:color="auto"/>
                  </w:divBdr>
                </w:div>
                <w:div w:id="2116972118">
                  <w:marLeft w:val="0"/>
                  <w:marRight w:val="0"/>
                  <w:marTop w:val="0"/>
                  <w:marBottom w:val="0"/>
                  <w:divBdr>
                    <w:top w:val="none" w:sz="0" w:space="0" w:color="auto"/>
                    <w:left w:val="none" w:sz="0" w:space="0" w:color="auto"/>
                    <w:bottom w:val="none" w:sz="0" w:space="0" w:color="auto"/>
                    <w:right w:val="none" w:sz="0" w:space="0" w:color="auto"/>
                  </w:divBdr>
                </w:div>
                <w:div w:id="233466796">
                  <w:marLeft w:val="0"/>
                  <w:marRight w:val="0"/>
                  <w:marTop w:val="0"/>
                  <w:marBottom w:val="0"/>
                  <w:divBdr>
                    <w:top w:val="none" w:sz="0" w:space="0" w:color="auto"/>
                    <w:left w:val="none" w:sz="0" w:space="0" w:color="auto"/>
                    <w:bottom w:val="none" w:sz="0" w:space="0" w:color="auto"/>
                    <w:right w:val="none" w:sz="0" w:space="0" w:color="auto"/>
                  </w:divBdr>
                </w:div>
                <w:div w:id="1090590528">
                  <w:marLeft w:val="0"/>
                  <w:marRight w:val="0"/>
                  <w:marTop w:val="0"/>
                  <w:marBottom w:val="0"/>
                  <w:divBdr>
                    <w:top w:val="none" w:sz="0" w:space="0" w:color="auto"/>
                    <w:left w:val="none" w:sz="0" w:space="0" w:color="auto"/>
                    <w:bottom w:val="none" w:sz="0" w:space="0" w:color="auto"/>
                    <w:right w:val="none" w:sz="0" w:space="0" w:color="auto"/>
                  </w:divBdr>
                </w:div>
                <w:div w:id="2088650656">
                  <w:marLeft w:val="0"/>
                  <w:marRight w:val="0"/>
                  <w:marTop w:val="0"/>
                  <w:marBottom w:val="0"/>
                  <w:divBdr>
                    <w:top w:val="none" w:sz="0" w:space="0" w:color="auto"/>
                    <w:left w:val="none" w:sz="0" w:space="0" w:color="auto"/>
                    <w:bottom w:val="none" w:sz="0" w:space="0" w:color="auto"/>
                    <w:right w:val="none" w:sz="0" w:space="0" w:color="auto"/>
                  </w:divBdr>
                </w:div>
                <w:div w:id="1530026129">
                  <w:marLeft w:val="0"/>
                  <w:marRight w:val="0"/>
                  <w:marTop w:val="0"/>
                  <w:marBottom w:val="0"/>
                  <w:divBdr>
                    <w:top w:val="none" w:sz="0" w:space="0" w:color="auto"/>
                    <w:left w:val="none" w:sz="0" w:space="0" w:color="auto"/>
                    <w:bottom w:val="none" w:sz="0" w:space="0" w:color="auto"/>
                    <w:right w:val="none" w:sz="0" w:space="0" w:color="auto"/>
                  </w:divBdr>
                </w:div>
                <w:div w:id="1195578175">
                  <w:marLeft w:val="0"/>
                  <w:marRight w:val="0"/>
                  <w:marTop w:val="0"/>
                  <w:marBottom w:val="0"/>
                  <w:divBdr>
                    <w:top w:val="none" w:sz="0" w:space="0" w:color="auto"/>
                    <w:left w:val="none" w:sz="0" w:space="0" w:color="auto"/>
                    <w:bottom w:val="none" w:sz="0" w:space="0" w:color="auto"/>
                    <w:right w:val="none" w:sz="0" w:space="0" w:color="auto"/>
                  </w:divBdr>
                </w:div>
                <w:div w:id="1971324578">
                  <w:marLeft w:val="0"/>
                  <w:marRight w:val="0"/>
                  <w:marTop w:val="0"/>
                  <w:marBottom w:val="0"/>
                  <w:divBdr>
                    <w:top w:val="none" w:sz="0" w:space="0" w:color="auto"/>
                    <w:left w:val="none" w:sz="0" w:space="0" w:color="auto"/>
                    <w:bottom w:val="none" w:sz="0" w:space="0" w:color="auto"/>
                    <w:right w:val="none" w:sz="0" w:space="0" w:color="auto"/>
                  </w:divBdr>
                </w:div>
                <w:div w:id="206836216">
                  <w:marLeft w:val="0"/>
                  <w:marRight w:val="0"/>
                  <w:marTop w:val="0"/>
                  <w:marBottom w:val="0"/>
                  <w:divBdr>
                    <w:top w:val="none" w:sz="0" w:space="0" w:color="auto"/>
                    <w:left w:val="none" w:sz="0" w:space="0" w:color="auto"/>
                    <w:bottom w:val="none" w:sz="0" w:space="0" w:color="auto"/>
                    <w:right w:val="none" w:sz="0" w:space="0" w:color="auto"/>
                  </w:divBdr>
                </w:div>
                <w:div w:id="1722248060">
                  <w:marLeft w:val="0"/>
                  <w:marRight w:val="0"/>
                  <w:marTop w:val="0"/>
                  <w:marBottom w:val="0"/>
                  <w:divBdr>
                    <w:top w:val="none" w:sz="0" w:space="0" w:color="auto"/>
                    <w:left w:val="none" w:sz="0" w:space="0" w:color="auto"/>
                    <w:bottom w:val="none" w:sz="0" w:space="0" w:color="auto"/>
                    <w:right w:val="none" w:sz="0" w:space="0" w:color="auto"/>
                  </w:divBdr>
                </w:div>
                <w:div w:id="608657051">
                  <w:marLeft w:val="0"/>
                  <w:marRight w:val="0"/>
                  <w:marTop w:val="0"/>
                  <w:marBottom w:val="0"/>
                  <w:divBdr>
                    <w:top w:val="none" w:sz="0" w:space="0" w:color="auto"/>
                    <w:left w:val="none" w:sz="0" w:space="0" w:color="auto"/>
                    <w:bottom w:val="none" w:sz="0" w:space="0" w:color="auto"/>
                    <w:right w:val="none" w:sz="0" w:space="0" w:color="auto"/>
                  </w:divBdr>
                </w:div>
                <w:div w:id="74935591">
                  <w:marLeft w:val="0"/>
                  <w:marRight w:val="0"/>
                  <w:marTop w:val="0"/>
                  <w:marBottom w:val="0"/>
                  <w:divBdr>
                    <w:top w:val="none" w:sz="0" w:space="0" w:color="auto"/>
                    <w:left w:val="none" w:sz="0" w:space="0" w:color="auto"/>
                    <w:bottom w:val="none" w:sz="0" w:space="0" w:color="auto"/>
                    <w:right w:val="none" w:sz="0" w:space="0" w:color="auto"/>
                  </w:divBdr>
                </w:div>
                <w:div w:id="554853640">
                  <w:marLeft w:val="0"/>
                  <w:marRight w:val="0"/>
                  <w:marTop w:val="0"/>
                  <w:marBottom w:val="0"/>
                  <w:divBdr>
                    <w:top w:val="none" w:sz="0" w:space="0" w:color="auto"/>
                    <w:left w:val="none" w:sz="0" w:space="0" w:color="auto"/>
                    <w:bottom w:val="none" w:sz="0" w:space="0" w:color="auto"/>
                    <w:right w:val="none" w:sz="0" w:space="0" w:color="auto"/>
                  </w:divBdr>
                </w:div>
                <w:div w:id="262543497">
                  <w:marLeft w:val="0"/>
                  <w:marRight w:val="0"/>
                  <w:marTop w:val="0"/>
                  <w:marBottom w:val="0"/>
                  <w:divBdr>
                    <w:top w:val="none" w:sz="0" w:space="0" w:color="auto"/>
                    <w:left w:val="none" w:sz="0" w:space="0" w:color="auto"/>
                    <w:bottom w:val="none" w:sz="0" w:space="0" w:color="auto"/>
                    <w:right w:val="none" w:sz="0" w:space="0" w:color="auto"/>
                  </w:divBdr>
                </w:div>
                <w:div w:id="1306277895">
                  <w:marLeft w:val="0"/>
                  <w:marRight w:val="0"/>
                  <w:marTop w:val="0"/>
                  <w:marBottom w:val="0"/>
                  <w:divBdr>
                    <w:top w:val="none" w:sz="0" w:space="0" w:color="auto"/>
                    <w:left w:val="none" w:sz="0" w:space="0" w:color="auto"/>
                    <w:bottom w:val="none" w:sz="0" w:space="0" w:color="auto"/>
                    <w:right w:val="none" w:sz="0" w:space="0" w:color="auto"/>
                  </w:divBdr>
                </w:div>
                <w:div w:id="223756214">
                  <w:marLeft w:val="0"/>
                  <w:marRight w:val="0"/>
                  <w:marTop w:val="0"/>
                  <w:marBottom w:val="0"/>
                  <w:divBdr>
                    <w:top w:val="none" w:sz="0" w:space="0" w:color="auto"/>
                    <w:left w:val="none" w:sz="0" w:space="0" w:color="auto"/>
                    <w:bottom w:val="none" w:sz="0" w:space="0" w:color="auto"/>
                    <w:right w:val="none" w:sz="0" w:space="0" w:color="auto"/>
                  </w:divBdr>
                </w:div>
                <w:div w:id="1019818789">
                  <w:marLeft w:val="0"/>
                  <w:marRight w:val="0"/>
                  <w:marTop w:val="0"/>
                  <w:marBottom w:val="0"/>
                  <w:divBdr>
                    <w:top w:val="none" w:sz="0" w:space="0" w:color="auto"/>
                    <w:left w:val="none" w:sz="0" w:space="0" w:color="auto"/>
                    <w:bottom w:val="none" w:sz="0" w:space="0" w:color="auto"/>
                    <w:right w:val="none" w:sz="0" w:space="0" w:color="auto"/>
                  </w:divBdr>
                </w:div>
                <w:div w:id="821848393">
                  <w:marLeft w:val="0"/>
                  <w:marRight w:val="0"/>
                  <w:marTop w:val="0"/>
                  <w:marBottom w:val="0"/>
                  <w:divBdr>
                    <w:top w:val="none" w:sz="0" w:space="0" w:color="auto"/>
                    <w:left w:val="none" w:sz="0" w:space="0" w:color="auto"/>
                    <w:bottom w:val="none" w:sz="0" w:space="0" w:color="auto"/>
                    <w:right w:val="none" w:sz="0" w:space="0" w:color="auto"/>
                  </w:divBdr>
                </w:div>
                <w:div w:id="1134908040">
                  <w:marLeft w:val="0"/>
                  <w:marRight w:val="0"/>
                  <w:marTop w:val="0"/>
                  <w:marBottom w:val="0"/>
                  <w:divBdr>
                    <w:top w:val="none" w:sz="0" w:space="0" w:color="auto"/>
                    <w:left w:val="none" w:sz="0" w:space="0" w:color="auto"/>
                    <w:bottom w:val="none" w:sz="0" w:space="0" w:color="auto"/>
                    <w:right w:val="none" w:sz="0" w:space="0" w:color="auto"/>
                  </w:divBdr>
                </w:div>
                <w:div w:id="1001087223">
                  <w:marLeft w:val="0"/>
                  <w:marRight w:val="0"/>
                  <w:marTop w:val="0"/>
                  <w:marBottom w:val="0"/>
                  <w:divBdr>
                    <w:top w:val="none" w:sz="0" w:space="0" w:color="auto"/>
                    <w:left w:val="none" w:sz="0" w:space="0" w:color="auto"/>
                    <w:bottom w:val="none" w:sz="0" w:space="0" w:color="auto"/>
                    <w:right w:val="none" w:sz="0" w:space="0" w:color="auto"/>
                  </w:divBdr>
                </w:div>
                <w:div w:id="2108772939">
                  <w:marLeft w:val="0"/>
                  <w:marRight w:val="0"/>
                  <w:marTop w:val="0"/>
                  <w:marBottom w:val="0"/>
                  <w:divBdr>
                    <w:top w:val="none" w:sz="0" w:space="0" w:color="auto"/>
                    <w:left w:val="none" w:sz="0" w:space="0" w:color="auto"/>
                    <w:bottom w:val="none" w:sz="0" w:space="0" w:color="auto"/>
                    <w:right w:val="none" w:sz="0" w:space="0" w:color="auto"/>
                  </w:divBdr>
                </w:div>
                <w:div w:id="770900512">
                  <w:marLeft w:val="0"/>
                  <w:marRight w:val="0"/>
                  <w:marTop w:val="0"/>
                  <w:marBottom w:val="0"/>
                  <w:divBdr>
                    <w:top w:val="none" w:sz="0" w:space="0" w:color="auto"/>
                    <w:left w:val="none" w:sz="0" w:space="0" w:color="auto"/>
                    <w:bottom w:val="none" w:sz="0" w:space="0" w:color="auto"/>
                    <w:right w:val="none" w:sz="0" w:space="0" w:color="auto"/>
                  </w:divBdr>
                </w:div>
                <w:div w:id="135296332">
                  <w:marLeft w:val="0"/>
                  <w:marRight w:val="0"/>
                  <w:marTop w:val="0"/>
                  <w:marBottom w:val="0"/>
                  <w:divBdr>
                    <w:top w:val="none" w:sz="0" w:space="0" w:color="auto"/>
                    <w:left w:val="none" w:sz="0" w:space="0" w:color="auto"/>
                    <w:bottom w:val="none" w:sz="0" w:space="0" w:color="auto"/>
                    <w:right w:val="none" w:sz="0" w:space="0" w:color="auto"/>
                  </w:divBdr>
                </w:div>
                <w:div w:id="187302097">
                  <w:marLeft w:val="0"/>
                  <w:marRight w:val="0"/>
                  <w:marTop w:val="0"/>
                  <w:marBottom w:val="0"/>
                  <w:divBdr>
                    <w:top w:val="none" w:sz="0" w:space="0" w:color="auto"/>
                    <w:left w:val="none" w:sz="0" w:space="0" w:color="auto"/>
                    <w:bottom w:val="none" w:sz="0" w:space="0" w:color="auto"/>
                    <w:right w:val="none" w:sz="0" w:space="0" w:color="auto"/>
                  </w:divBdr>
                </w:div>
                <w:div w:id="1239559536">
                  <w:marLeft w:val="0"/>
                  <w:marRight w:val="0"/>
                  <w:marTop w:val="0"/>
                  <w:marBottom w:val="0"/>
                  <w:divBdr>
                    <w:top w:val="none" w:sz="0" w:space="0" w:color="auto"/>
                    <w:left w:val="none" w:sz="0" w:space="0" w:color="auto"/>
                    <w:bottom w:val="none" w:sz="0" w:space="0" w:color="auto"/>
                    <w:right w:val="none" w:sz="0" w:space="0" w:color="auto"/>
                  </w:divBdr>
                </w:div>
                <w:div w:id="988362501">
                  <w:marLeft w:val="0"/>
                  <w:marRight w:val="0"/>
                  <w:marTop w:val="0"/>
                  <w:marBottom w:val="0"/>
                  <w:divBdr>
                    <w:top w:val="none" w:sz="0" w:space="0" w:color="auto"/>
                    <w:left w:val="none" w:sz="0" w:space="0" w:color="auto"/>
                    <w:bottom w:val="none" w:sz="0" w:space="0" w:color="auto"/>
                    <w:right w:val="none" w:sz="0" w:space="0" w:color="auto"/>
                  </w:divBdr>
                </w:div>
                <w:div w:id="1260018420">
                  <w:marLeft w:val="0"/>
                  <w:marRight w:val="0"/>
                  <w:marTop w:val="0"/>
                  <w:marBottom w:val="0"/>
                  <w:divBdr>
                    <w:top w:val="none" w:sz="0" w:space="0" w:color="auto"/>
                    <w:left w:val="none" w:sz="0" w:space="0" w:color="auto"/>
                    <w:bottom w:val="none" w:sz="0" w:space="0" w:color="auto"/>
                    <w:right w:val="none" w:sz="0" w:space="0" w:color="auto"/>
                  </w:divBdr>
                </w:div>
                <w:div w:id="1392075648">
                  <w:marLeft w:val="0"/>
                  <w:marRight w:val="0"/>
                  <w:marTop w:val="0"/>
                  <w:marBottom w:val="0"/>
                  <w:divBdr>
                    <w:top w:val="none" w:sz="0" w:space="0" w:color="auto"/>
                    <w:left w:val="none" w:sz="0" w:space="0" w:color="auto"/>
                    <w:bottom w:val="none" w:sz="0" w:space="0" w:color="auto"/>
                    <w:right w:val="none" w:sz="0" w:space="0" w:color="auto"/>
                  </w:divBdr>
                </w:div>
                <w:div w:id="1034574473">
                  <w:marLeft w:val="0"/>
                  <w:marRight w:val="0"/>
                  <w:marTop w:val="0"/>
                  <w:marBottom w:val="0"/>
                  <w:divBdr>
                    <w:top w:val="none" w:sz="0" w:space="0" w:color="auto"/>
                    <w:left w:val="none" w:sz="0" w:space="0" w:color="auto"/>
                    <w:bottom w:val="none" w:sz="0" w:space="0" w:color="auto"/>
                    <w:right w:val="none" w:sz="0" w:space="0" w:color="auto"/>
                  </w:divBdr>
                </w:div>
                <w:div w:id="1314220486">
                  <w:marLeft w:val="0"/>
                  <w:marRight w:val="0"/>
                  <w:marTop w:val="0"/>
                  <w:marBottom w:val="0"/>
                  <w:divBdr>
                    <w:top w:val="none" w:sz="0" w:space="0" w:color="auto"/>
                    <w:left w:val="none" w:sz="0" w:space="0" w:color="auto"/>
                    <w:bottom w:val="none" w:sz="0" w:space="0" w:color="auto"/>
                    <w:right w:val="none" w:sz="0" w:space="0" w:color="auto"/>
                  </w:divBdr>
                </w:div>
                <w:div w:id="17202340">
                  <w:marLeft w:val="0"/>
                  <w:marRight w:val="0"/>
                  <w:marTop w:val="0"/>
                  <w:marBottom w:val="0"/>
                  <w:divBdr>
                    <w:top w:val="none" w:sz="0" w:space="0" w:color="auto"/>
                    <w:left w:val="none" w:sz="0" w:space="0" w:color="auto"/>
                    <w:bottom w:val="none" w:sz="0" w:space="0" w:color="auto"/>
                    <w:right w:val="none" w:sz="0" w:space="0" w:color="auto"/>
                  </w:divBdr>
                </w:div>
                <w:div w:id="1503473532">
                  <w:marLeft w:val="0"/>
                  <w:marRight w:val="0"/>
                  <w:marTop w:val="0"/>
                  <w:marBottom w:val="0"/>
                  <w:divBdr>
                    <w:top w:val="none" w:sz="0" w:space="0" w:color="auto"/>
                    <w:left w:val="none" w:sz="0" w:space="0" w:color="auto"/>
                    <w:bottom w:val="none" w:sz="0" w:space="0" w:color="auto"/>
                    <w:right w:val="none" w:sz="0" w:space="0" w:color="auto"/>
                  </w:divBdr>
                </w:div>
                <w:div w:id="981538849">
                  <w:marLeft w:val="0"/>
                  <w:marRight w:val="0"/>
                  <w:marTop w:val="0"/>
                  <w:marBottom w:val="0"/>
                  <w:divBdr>
                    <w:top w:val="none" w:sz="0" w:space="0" w:color="auto"/>
                    <w:left w:val="none" w:sz="0" w:space="0" w:color="auto"/>
                    <w:bottom w:val="none" w:sz="0" w:space="0" w:color="auto"/>
                    <w:right w:val="none" w:sz="0" w:space="0" w:color="auto"/>
                  </w:divBdr>
                </w:div>
                <w:div w:id="1111976155">
                  <w:marLeft w:val="0"/>
                  <w:marRight w:val="0"/>
                  <w:marTop w:val="0"/>
                  <w:marBottom w:val="0"/>
                  <w:divBdr>
                    <w:top w:val="none" w:sz="0" w:space="0" w:color="auto"/>
                    <w:left w:val="none" w:sz="0" w:space="0" w:color="auto"/>
                    <w:bottom w:val="none" w:sz="0" w:space="0" w:color="auto"/>
                    <w:right w:val="none" w:sz="0" w:space="0" w:color="auto"/>
                  </w:divBdr>
                </w:div>
                <w:div w:id="1272861386">
                  <w:marLeft w:val="0"/>
                  <w:marRight w:val="0"/>
                  <w:marTop w:val="0"/>
                  <w:marBottom w:val="0"/>
                  <w:divBdr>
                    <w:top w:val="none" w:sz="0" w:space="0" w:color="auto"/>
                    <w:left w:val="none" w:sz="0" w:space="0" w:color="auto"/>
                    <w:bottom w:val="none" w:sz="0" w:space="0" w:color="auto"/>
                    <w:right w:val="none" w:sz="0" w:space="0" w:color="auto"/>
                  </w:divBdr>
                </w:div>
                <w:div w:id="916668371">
                  <w:marLeft w:val="0"/>
                  <w:marRight w:val="0"/>
                  <w:marTop w:val="0"/>
                  <w:marBottom w:val="0"/>
                  <w:divBdr>
                    <w:top w:val="none" w:sz="0" w:space="0" w:color="auto"/>
                    <w:left w:val="none" w:sz="0" w:space="0" w:color="auto"/>
                    <w:bottom w:val="none" w:sz="0" w:space="0" w:color="auto"/>
                    <w:right w:val="none" w:sz="0" w:space="0" w:color="auto"/>
                  </w:divBdr>
                </w:div>
                <w:div w:id="371266440">
                  <w:marLeft w:val="0"/>
                  <w:marRight w:val="0"/>
                  <w:marTop w:val="0"/>
                  <w:marBottom w:val="0"/>
                  <w:divBdr>
                    <w:top w:val="none" w:sz="0" w:space="0" w:color="auto"/>
                    <w:left w:val="none" w:sz="0" w:space="0" w:color="auto"/>
                    <w:bottom w:val="none" w:sz="0" w:space="0" w:color="auto"/>
                    <w:right w:val="none" w:sz="0" w:space="0" w:color="auto"/>
                  </w:divBdr>
                </w:div>
                <w:div w:id="1157572853">
                  <w:marLeft w:val="0"/>
                  <w:marRight w:val="0"/>
                  <w:marTop w:val="0"/>
                  <w:marBottom w:val="0"/>
                  <w:divBdr>
                    <w:top w:val="none" w:sz="0" w:space="0" w:color="auto"/>
                    <w:left w:val="none" w:sz="0" w:space="0" w:color="auto"/>
                    <w:bottom w:val="none" w:sz="0" w:space="0" w:color="auto"/>
                    <w:right w:val="none" w:sz="0" w:space="0" w:color="auto"/>
                  </w:divBdr>
                </w:div>
                <w:div w:id="1647587148">
                  <w:marLeft w:val="0"/>
                  <w:marRight w:val="0"/>
                  <w:marTop w:val="0"/>
                  <w:marBottom w:val="0"/>
                  <w:divBdr>
                    <w:top w:val="none" w:sz="0" w:space="0" w:color="auto"/>
                    <w:left w:val="none" w:sz="0" w:space="0" w:color="auto"/>
                    <w:bottom w:val="none" w:sz="0" w:space="0" w:color="auto"/>
                    <w:right w:val="none" w:sz="0" w:space="0" w:color="auto"/>
                  </w:divBdr>
                </w:div>
                <w:div w:id="91052909">
                  <w:marLeft w:val="0"/>
                  <w:marRight w:val="0"/>
                  <w:marTop w:val="0"/>
                  <w:marBottom w:val="0"/>
                  <w:divBdr>
                    <w:top w:val="none" w:sz="0" w:space="0" w:color="auto"/>
                    <w:left w:val="none" w:sz="0" w:space="0" w:color="auto"/>
                    <w:bottom w:val="none" w:sz="0" w:space="0" w:color="auto"/>
                    <w:right w:val="none" w:sz="0" w:space="0" w:color="auto"/>
                  </w:divBdr>
                </w:div>
                <w:div w:id="409431760">
                  <w:marLeft w:val="0"/>
                  <w:marRight w:val="0"/>
                  <w:marTop w:val="0"/>
                  <w:marBottom w:val="0"/>
                  <w:divBdr>
                    <w:top w:val="none" w:sz="0" w:space="0" w:color="auto"/>
                    <w:left w:val="none" w:sz="0" w:space="0" w:color="auto"/>
                    <w:bottom w:val="none" w:sz="0" w:space="0" w:color="auto"/>
                    <w:right w:val="none" w:sz="0" w:space="0" w:color="auto"/>
                  </w:divBdr>
                </w:div>
                <w:div w:id="1087966438">
                  <w:marLeft w:val="0"/>
                  <w:marRight w:val="0"/>
                  <w:marTop w:val="0"/>
                  <w:marBottom w:val="0"/>
                  <w:divBdr>
                    <w:top w:val="none" w:sz="0" w:space="0" w:color="auto"/>
                    <w:left w:val="none" w:sz="0" w:space="0" w:color="auto"/>
                    <w:bottom w:val="none" w:sz="0" w:space="0" w:color="auto"/>
                    <w:right w:val="none" w:sz="0" w:space="0" w:color="auto"/>
                  </w:divBdr>
                </w:div>
                <w:div w:id="1523321513">
                  <w:marLeft w:val="0"/>
                  <w:marRight w:val="0"/>
                  <w:marTop w:val="0"/>
                  <w:marBottom w:val="0"/>
                  <w:divBdr>
                    <w:top w:val="none" w:sz="0" w:space="0" w:color="auto"/>
                    <w:left w:val="none" w:sz="0" w:space="0" w:color="auto"/>
                    <w:bottom w:val="none" w:sz="0" w:space="0" w:color="auto"/>
                    <w:right w:val="none" w:sz="0" w:space="0" w:color="auto"/>
                  </w:divBdr>
                </w:div>
                <w:div w:id="149106331">
                  <w:marLeft w:val="0"/>
                  <w:marRight w:val="0"/>
                  <w:marTop w:val="0"/>
                  <w:marBottom w:val="0"/>
                  <w:divBdr>
                    <w:top w:val="none" w:sz="0" w:space="0" w:color="auto"/>
                    <w:left w:val="none" w:sz="0" w:space="0" w:color="auto"/>
                    <w:bottom w:val="none" w:sz="0" w:space="0" w:color="auto"/>
                    <w:right w:val="none" w:sz="0" w:space="0" w:color="auto"/>
                  </w:divBdr>
                </w:div>
                <w:div w:id="209928190">
                  <w:marLeft w:val="0"/>
                  <w:marRight w:val="0"/>
                  <w:marTop w:val="0"/>
                  <w:marBottom w:val="0"/>
                  <w:divBdr>
                    <w:top w:val="none" w:sz="0" w:space="0" w:color="auto"/>
                    <w:left w:val="none" w:sz="0" w:space="0" w:color="auto"/>
                    <w:bottom w:val="none" w:sz="0" w:space="0" w:color="auto"/>
                    <w:right w:val="none" w:sz="0" w:space="0" w:color="auto"/>
                  </w:divBdr>
                </w:div>
                <w:div w:id="110827473">
                  <w:marLeft w:val="0"/>
                  <w:marRight w:val="0"/>
                  <w:marTop w:val="0"/>
                  <w:marBottom w:val="0"/>
                  <w:divBdr>
                    <w:top w:val="none" w:sz="0" w:space="0" w:color="auto"/>
                    <w:left w:val="none" w:sz="0" w:space="0" w:color="auto"/>
                    <w:bottom w:val="none" w:sz="0" w:space="0" w:color="auto"/>
                    <w:right w:val="none" w:sz="0" w:space="0" w:color="auto"/>
                  </w:divBdr>
                </w:div>
                <w:div w:id="1293905116">
                  <w:marLeft w:val="0"/>
                  <w:marRight w:val="0"/>
                  <w:marTop w:val="0"/>
                  <w:marBottom w:val="0"/>
                  <w:divBdr>
                    <w:top w:val="none" w:sz="0" w:space="0" w:color="auto"/>
                    <w:left w:val="none" w:sz="0" w:space="0" w:color="auto"/>
                    <w:bottom w:val="none" w:sz="0" w:space="0" w:color="auto"/>
                    <w:right w:val="none" w:sz="0" w:space="0" w:color="auto"/>
                  </w:divBdr>
                </w:div>
                <w:div w:id="1828671970">
                  <w:marLeft w:val="0"/>
                  <w:marRight w:val="0"/>
                  <w:marTop w:val="0"/>
                  <w:marBottom w:val="0"/>
                  <w:divBdr>
                    <w:top w:val="none" w:sz="0" w:space="0" w:color="auto"/>
                    <w:left w:val="none" w:sz="0" w:space="0" w:color="auto"/>
                    <w:bottom w:val="none" w:sz="0" w:space="0" w:color="auto"/>
                    <w:right w:val="none" w:sz="0" w:space="0" w:color="auto"/>
                  </w:divBdr>
                </w:div>
                <w:div w:id="1662149698">
                  <w:marLeft w:val="0"/>
                  <w:marRight w:val="0"/>
                  <w:marTop w:val="0"/>
                  <w:marBottom w:val="0"/>
                  <w:divBdr>
                    <w:top w:val="none" w:sz="0" w:space="0" w:color="auto"/>
                    <w:left w:val="none" w:sz="0" w:space="0" w:color="auto"/>
                    <w:bottom w:val="none" w:sz="0" w:space="0" w:color="auto"/>
                    <w:right w:val="none" w:sz="0" w:space="0" w:color="auto"/>
                  </w:divBdr>
                </w:div>
                <w:div w:id="1391886250">
                  <w:marLeft w:val="0"/>
                  <w:marRight w:val="0"/>
                  <w:marTop w:val="0"/>
                  <w:marBottom w:val="0"/>
                  <w:divBdr>
                    <w:top w:val="none" w:sz="0" w:space="0" w:color="auto"/>
                    <w:left w:val="none" w:sz="0" w:space="0" w:color="auto"/>
                    <w:bottom w:val="none" w:sz="0" w:space="0" w:color="auto"/>
                    <w:right w:val="none" w:sz="0" w:space="0" w:color="auto"/>
                  </w:divBdr>
                </w:div>
                <w:div w:id="1547140452">
                  <w:marLeft w:val="0"/>
                  <w:marRight w:val="0"/>
                  <w:marTop w:val="0"/>
                  <w:marBottom w:val="0"/>
                  <w:divBdr>
                    <w:top w:val="none" w:sz="0" w:space="0" w:color="auto"/>
                    <w:left w:val="none" w:sz="0" w:space="0" w:color="auto"/>
                    <w:bottom w:val="none" w:sz="0" w:space="0" w:color="auto"/>
                    <w:right w:val="none" w:sz="0" w:space="0" w:color="auto"/>
                  </w:divBdr>
                </w:div>
                <w:div w:id="200168733">
                  <w:marLeft w:val="0"/>
                  <w:marRight w:val="0"/>
                  <w:marTop w:val="0"/>
                  <w:marBottom w:val="0"/>
                  <w:divBdr>
                    <w:top w:val="none" w:sz="0" w:space="0" w:color="auto"/>
                    <w:left w:val="none" w:sz="0" w:space="0" w:color="auto"/>
                    <w:bottom w:val="none" w:sz="0" w:space="0" w:color="auto"/>
                    <w:right w:val="none" w:sz="0" w:space="0" w:color="auto"/>
                  </w:divBdr>
                </w:div>
                <w:div w:id="1241062169">
                  <w:marLeft w:val="0"/>
                  <w:marRight w:val="0"/>
                  <w:marTop w:val="0"/>
                  <w:marBottom w:val="0"/>
                  <w:divBdr>
                    <w:top w:val="none" w:sz="0" w:space="0" w:color="auto"/>
                    <w:left w:val="none" w:sz="0" w:space="0" w:color="auto"/>
                    <w:bottom w:val="none" w:sz="0" w:space="0" w:color="auto"/>
                    <w:right w:val="none" w:sz="0" w:space="0" w:color="auto"/>
                  </w:divBdr>
                </w:div>
                <w:div w:id="272441524">
                  <w:marLeft w:val="0"/>
                  <w:marRight w:val="0"/>
                  <w:marTop w:val="0"/>
                  <w:marBottom w:val="0"/>
                  <w:divBdr>
                    <w:top w:val="none" w:sz="0" w:space="0" w:color="auto"/>
                    <w:left w:val="none" w:sz="0" w:space="0" w:color="auto"/>
                    <w:bottom w:val="none" w:sz="0" w:space="0" w:color="auto"/>
                    <w:right w:val="none" w:sz="0" w:space="0" w:color="auto"/>
                  </w:divBdr>
                </w:div>
                <w:div w:id="538126332">
                  <w:marLeft w:val="0"/>
                  <w:marRight w:val="0"/>
                  <w:marTop w:val="0"/>
                  <w:marBottom w:val="0"/>
                  <w:divBdr>
                    <w:top w:val="none" w:sz="0" w:space="0" w:color="auto"/>
                    <w:left w:val="none" w:sz="0" w:space="0" w:color="auto"/>
                    <w:bottom w:val="none" w:sz="0" w:space="0" w:color="auto"/>
                    <w:right w:val="none" w:sz="0" w:space="0" w:color="auto"/>
                  </w:divBdr>
                </w:div>
                <w:div w:id="2100128112">
                  <w:marLeft w:val="0"/>
                  <w:marRight w:val="0"/>
                  <w:marTop w:val="0"/>
                  <w:marBottom w:val="0"/>
                  <w:divBdr>
                    <w:top w:val="none" w:sz="0" w:space="0" w:color="auto"/>
                    <w:left w:val="none" w:sz="0" w:space="0" w:color="auto"/>
                    <w:bottom w:val="none" w:sz="0" w:space="0" w:color="auto"/>
                    <w:right w:val="none" w:sz="0" w:space="0" w:color="auto"/>
                  </w:divBdr>
                </w:div>
                <w:div w:id="80031554">
                  <w:marLeft w:val="0"/>
                  <w:marRight w:val="0"/>
                  <w:marTop w:val="0"/>
                  <w:marBottom w:val="0"/>
                  <w:divBdr>
                    <w:top w:val="none" w:sz="0" w:space="0" w:color="auto"/>
                    <w:left w:val="none" w:sz="0" w:space="0" w:color="auto"/>
                    <w:bottom w:val="none" w:sz="0" w:space="0" w:color="auto"/>
                    <w:right w:val="none" w:sz="0" w:space="0" w:color="auto"/>
                  </w:divBdr>
                </w:div>
                <w:div w:id="318851881">
                  <w:marLeft w:val="0"/>
                  <w:marRight w:val="0"/>
                  <w:marTop w:val="0"/>
                  <w:marBottom w:val="0"/>
                  <w:divBdr>
                    <w:top w:val="none" w:sz="0" w:space="0" w:color="auto"/>
                    <w:left w:val="none" w:sz="0" w:space="0" w:color="auto"/>
                    <w:bottom w:val="none" w:sz="0" w:space="0" w:color="auto"/>
                    <w:right w:val="none" w:sz="0" w:space="0" w:color="auto"/>
                  </w:divBdr>
                </w:div>
                <w:div w:id="175851556">
                  <w:marLeft w:val="0"/>
                  <w:marRight w:val="0"/>
                  <w:marTop w:val="0"/>
                  <w:marBottom w:val="0"/>
                  <w:divBdr>
                    <w:top w:val="none" w:sz="0" w:space="0" w:color="auto"/>
                    <w:left w:val="none" w:sz="0" w:space="0" w:color="auto"/>
                    <w:bottom w:val="none" w:sz="0" w:space="0" w:color="auto"/>
                    <w:right w:val="none" w:sz="0" w:space="0" w:color="auto"/>
                  </w:divBdr>
                </w:div>
                <w:div w:id="654408156">
                  <w:marLeft w:val="0"/>
                  <w:marRight w:val="0"/>
                  <w:marTop w:val="0"/>
                  <w:marBottom w:val="0"/>
                  <w:divBdr>
                    <w:top w:val="none" w:sz="0" w:space="0" w:color="auto"/>
                    <w:left w:val="none" w:sz="0" w:space="0" w:color="auto"/>
                    <w:bottom w:val="none" w:sz="0" w:space="0" w:color="auto"/>
                    <w:right w:val="none" w:sz="0" w:space="0" w:color="auto"/>
                  </w:divBdr>
                </w:div>
                <w:div w:id="355472516">
                  <w:marLeft w:val="0"/>
                  <w:marRight w:val="0"/>
                  <w:marTop w:val="0"/>
                  <w:marBottom w:val="0"/>
                  <w:divBdr>
                    <w:top w:val="none" w:sz="0" w:space="0" w:color="auto"/>
                    <w:left w:val="none" w:sz="0" w:space="0" w:color="auto"/>
                    <w:bottom w:val="none" w:sz="0" w:space="0" w:color="auto"/>
                    <w:right w:val="none" w:sz="0" w:space="0" w:color="auto"/>
                  </w:divBdr>
                </w:div>
                <w:div w:id="535392139">
                  <w:marLeft w:val="0"/>
                  <w:marRight w:val="0"/>
                  <w:marTop w:val="0"/>
                  <w:marBottom w:val="0"/>
                  <w:divBdr>
                    <w:top w:val="none" w:sz="0" w:space="0" w:color="auto"/>
                    <w:left w:val="none" w:sz="0" w:space="0" w:color="auto"/>
                    <w:bottom w:val="none" w:sz="0" w:space="0" w:color="auto"/>
                    <w:right w:val="none" w:sz="0" w:space="0" w:color="auto"/>
                  </w:divBdr>
                </w:div>
                <w:div w:id="1372266507">
                  <w:marLeft w:val="0"/>
                  <w:marRight w:val="0"/>
                  <w:marTop w:val="0"/>
                  <w:marBottom w:val="0"/>
                  <w:divBdr>
                    <w:top w:val="none" w:sz="0" w:space="0" w:color="auto"/>
                    <w:left w:val="none" w:sz="0" w:space="0" w:color="auto"/>
                    <w:bottom w:val="none" w:sz="0" w:space="0" w:color="auto"/>
                    <w:right w:val="none" w:sz="0" w:space="0" w:color="auto"/>
                  </w:divBdr>
                </w:div>
                <w:div w:id="1587883934">
                  <w:marLeft w:val="0"/>
                  <w:marRight w:val="0"/>
                  <w:marTop w:val="0"/>
                  <w:marBottom w:val="0"/>
                  <w:divBdr>
                    <w:top w:val="none" w:sz="0" w:space="0" w:color="auto"/>
                    <w:left w:val="none" w:sz="0" w:space="0" w:color="auto"/>
                    <w:bottom w:val="none" w:sz="0" w:space="0" w:color="auto"/>
                    <w:right w:val="none" w:sz="0" w:space="0" w:color="auto"/>
                  </w:divBdr>
                </w:div>
                <w:div w:id="1764180953">
                  <w:marLeft w:val="0"/>
                  <w:marRight w:val="0"/>
                  <w:marTop w:val="0"/>
                  <w:marBottom w:val="0"/>
                  <w:divBdr>
                    <w:top w:val="none" w:sz="0" w:space="0" w:color="auto"/>
                    <w:left w:val="none" w:sz="0" w:space="0" w:color="auto"/>
                    <w:bottom w:val="none" w:sz="0" w:space="0" w:color="auto"/>
                    <w:right w:val="none" w:sz="0" w:space="0" w:color="auto"/>
                  </w:divBdr>
                </w:div>
                <w:div w:id="2144686698">
                  <w:marLeft w:val="0"/>
                  <w:marRight w:val="0"/>
                  <w:marTop w:val="0"/>
                  <w:marBottom w:val="0"/>
                  <w:divBdr>
                    <w:top w:val="none" w:sz="0" w:space="0" w:color="auto"/>
                    <w:left w:val="none" w:sz="0" w:space="0" w:color="auto"/>
                    <w:bottom w:val="none" w:sz="0" w:space="0" w:color="auto"/>
                    <w:right w:val="none" w:sz="0" w:space="0" w:color="auto"/>
                  </w:divBdr>
                </w:div>
                <w:div w:id="1611475930">
                  <w:marLeft w:val="0"/>
                  <w:marRight w:val="0"/>
                  <w:marTop w:val="0"/>
                  <w:marBottom w:val="0"/>
                  <w:divBdr>
                    <w:top w:val="none" w:sz="0" w:space="0" w:color="auto"/>
                    <w:left w:val="none" w:sz="0" w:space="0" w:color="auto"/>
                    <w:bottom w:val="none" w:sz="0" w:space="0" w:color="auto"/>
                    <w:right w:val="none" w:sz="0" w:space="0" w:color="auto"/>
                  </w:divBdr>
                </w:div>
                <w:div w:id="1427846593">
                  <w:marLeft w:val="0"/>
                  <w:marRight w:val="0"/>
                  <w:marTop w:val="0"/>
                  <w:marBottom w:val="0"/>
                  <w:divBdr>
                    <w:top w:val="none" w:sz="0" w:space="0" w:color="auto"/>
                    <w:left w:val="none" w:sz="0" w:space="0" w:color="auto"/>
                    <w:bottom w:val="none" w:sz="0" w:space="0" w:color="auto"/>
                    <w:right w:val="none" w:sz="0" w:space="0" w:color="auto"/>
                  </w:divBdr>
                </w:div>
                <w:div w:id="1120999242">
                  <w:marLeft w:val="0"/>
                  <w:marRight w:val="0"/>
                  <w:marTop w:val="0"/>
                  <w:marBottom w:val="0"/>
                  <w:divBdr>
                    <w:top w:val="none" w:sz="0" w:space="0" w:color="auto"/>
                    <w:left w:val="none" w:sz="0" w:space="0" w:color="auto"/>
                    <w:bottom w:val="none" w:sz="0" w:space="0" w:color="auto"/>
                    <w:right w:val="none" w:sz="0" w:space="0" w:color="auto"/>
                  </w:divBdr>
                </w:div>
                <w:div w:id="2092115094">
                  <w:marLeft w:val="0"/>
                  <w:marRight w:val="0"/>
                  <w:marTop w:val="0"/>
                  <w:marBottom w:val="0"/>
                  <w:divBdr>
                    <w:top w:val="none" w:sz="0" w:space="0" w:color="auto"/>
                    <w:left w:val="none" w:sz="0" w:space="0" w:color="auto"/>
                    <w:bottom w:val="none" w:sz="0" w:space="0" w:color="auto"/>
                    <w:right w:val="none" w:sz="0" w:space="0" w:color="auto"/>
                  </w:divBdr>
                </w:div>
                <w:div w:id="656348216">
                  <w:marLeft w:val="0"/>
                  <w:marRight w:val="0"/>
                  <w:marTop w:val="0"/>
                  <w:marBottom w:val="0"/>
                  <w:divBdr>
                    <w:top w:val="none" w:sz="0" w:space="0" w:color="auto"/>
                    <w:left w:val="none" w:sz="0" w:space="0" w:color="auto"/>
                    <w:bottom w:val="none" w:sz="0" w:space="0" w:color="auto"/>
                    <w:right w:val="none" w:sz="0" w:space="0" w:color="auto"/>
                  </w:divBdr>
                </w:div>
                <w:div w:id="737828273">
                  <w:marLeft w:val="0"/>
                  <w:marRight w:val="0"/>
                  <w:marTop w:val="0"/>
                  <w:marBottom w:val="0"/>
                  <w:divBdr>
                    <w:top w:val="none" w:sz="0" w:space="0" w:color="auto"/>
                    <w:left w:val="none" w:sz="0" w:space="0" w:color="auto"/>
                    <w:bottom w:val="none" w:sz="0" w:space="0" w:color="auto"/>
                    <w:right w:val="none" w:sz="0" w:space="0" w:color="auto"/>
                  </w:divBdr>
                </w:div>
                <w:div w:id="1905406722">
                  <w:marLeft w:val="0"/>
                  <w:marRight w:val="0"/>
                  <w:marTop w:val="0"/>
                  <w:marBottom w:val="0"/>
                  <w:divBdr>
                    <w:top w:val="none" w:sz="0" w:space="0" w:color="auto"/>
                    <w:left w:val="none" w:sz="0" w:space="0" w:color="auto"/>
                    <w:bottom w:val="none" w:sz="0" w:space="0" w:color="auto"/>
                    <w:right w:val="none" w:sz="0" w:space="0" w:color="auto"/>
                  </w:divBdr>
                </w:div>
                <w:div w:id="1914852434">
                  <w:marLeft w:val="0"/>
                  <w:marRight w:val="0"/>
                  <w:marTop w:val="0"/>
                  <w:marBottom w:val="0"/>
                  <w:divBdr>
                    <w:top w:val="none" w:sz="0" w:space="0" w:color="auto"/>
                    <w:left w:val="none" w:sz="0" w:space="0" w:color="auto"/>
                    <w:bottom w:val="none" w:sz="0" w:space="0" w:color="auto"/>
                    <w:right w:val="none" w:sz="0" w:space="0" w:color="auto"/>
                  </w:divBdr>
                </w:div>
                <w:div w:id="1766682226">
                  <w:marLeft w:val="0"/>
                  <w:marRight w:val="0"/>
                  <w:marTop w:val="0"/>
                  <w:marBottom w:val="0"/>
                  <w:divBdr>
                    <w:top w:val="none" w:sz="0" w:space="0" w:color="auto"/>
                    <w:left w:val="none" w:sz="0" w:space="0" w:color="auto"/>
                    <w:bottom w:val="none" w:sz="0" w:space="0" w:color="auto"/>
                    <w:right w:val="none" w:sz="0" w:space="0" w:color="auto"/>
                  </w:divBdr>
                </w:div>
                <w:div w:id="842739903">
                  <w:marLeft w:val="0"/>
                  <w:marRight w:val="0"/>
                  <w:marTop w:val="0"/>
                  <w:marBottom w:val="0"/>
                  <w:divBdr>
                    <w:top w:val="none" w:sz="0" w:space="0" w:color="auto"/>
                    <w:left w:val="none" w:sz="0" w:space="0" w:color="auto"/>
                    <w:bottom w:val="none" w:sz="0" w:space="0" w:color="auto"/>
                    <w:right w:val="none" w:sz="0" w:space="0" w:color="auto"/>
                  </w:divBdr>
                </w:div>
                <w:div w:id="553466386">
                  <w:marLeft w:val="0"/>
                  <w:marRight w:val="0"/>
                  <w:marTop w:val="0"/>
                  <w:marBottom w:val="0"/>
                  <w:divBdr>
                    <w:top w:val="none" w:sz="0" w:space="0" w:color="auto"/>
                    <w:left w:val="none" w:sz="0" w:space="0" w:color="auto"/>
                    <w:bottom w:val="none" w:sz="0" w:space="0" w:color="auto"/>
                    <w:right w:val="none" w:sz="0" w:space="0" w:color="auto"/>
                  </w:divBdr>
                </w:div>
                <w:div w:id="1424061975">
                  <w:marLeft w:val="0"/>
                  <w:marRight w:val="0"/>
                  <w:marTop w:val="0"/>
                  <w:marBottom w:val="0"/>
                  <w:divBdr>
                    <w:top w:val="none" w:sz="0" w:space="0" w:color="auto"/>
                    <w:left w:val="none" w:sz="0" w:space="0" w:color="auto"/>
                    <w:bottom w:val="none" w:sz="0" w:space="0" w:color="auto"/>
                    <w:right w:val="none" w:sz="0" w:space="0" w:color="auto"/>
                  </w:divBdr>
                </w:div>
                <w:div w:id="2129347078">
                  <w:marLeft w:val="0"/>
                  <w:marRight w:val="0"/>
                  <w:marTop w:val="0"/>
                  <w:marBottom w:val="0"/>
                  <w:divBdr>
                    <w:top w:val="none" w:sz="0" w:space="0" w:color="auto"/>
                    <w:left w:val="none" w:sz="0" w:space="0" w:color="auto"/>
                    <w:bottom w:val="none" w:sz="0" w:space="0" w:color="auto"/>
                    <w:right w:val="none" w:sz="0" w:space="0" w:color="auto"/>
                  </w:divBdr>
                </w:div>
                <w:div w:id="1919097530">
                  <w:marLeft w:val="0"/>
                  <w:marRight w:val="0"/>
                  <w:marTop w:val="0"/>
                  <w:marBottom w:val="0"/>
                  <w:divBdr>
                    <w:top w:val="none" w:sz="0" w:space="0" w:color="auto"/>
                    <w:left w:val="none" w:sz="0" w:space="0" w:color="auto"/>
                    <w:bottom w:val="none" w:sz="0" w:space="0" w:color="auto"/>
                    <w:right w:val="none" w:sz="0" w:space="0" w:color="auto"/>
                  </w:divBdr>
                </w:div>
                <w:div w:id="1436097316">
                  <w:marLeft w:val="0"/>
                  <w:marRight w:val="0"/>
                  <w:marTop w:val="0"/>
                  <w:marBottom w:val="0"/>
                  <w:divBdr>
                    <w:top w:val="none" w:sz="0" w:space="0" w:color="auto"/>
                    <w:left w:val="none" w:sz="0" w:space="0" w:color="auto"/>
                    <w:bottom w:val="none" w:sz="0" w:space="0" w:color="auto"/>
                    <w:right w:val="none" w:sz="0" w:space="0" w:color="auto"/>
                  </w:divBdr>
                </w:div>
                <w:div w:id="1264411260">
                  <w:marLeft w:val="0"/>
                  <w:marRight w:val="0"/>
                  <w:marTop w:val="0"/>
                  <w:marBottom w:val="0"/>
                  <w:divBdr>
                    <w:top w:val="none" w:sz="0" w:space="0" w:color="auto"/>
                    <w:left w:val="none" w:sz="0" w:space="0" w:color="auto"/>
                    <w:bottom w:val="none" w:sz="0" w:space="0" w:color="auto"/>
                    <w:right w:val="none" w:sz="0" w:space="0" w:color="auto"/>
                  </w:divBdr>
                </w:div>
                <w:div w:id="1637835130">
                  <w:marLeft w:val="0"/>
                  <w:marRight w:val="0"/>
                  <w:marTop w:val="0"/>
                  <w:marBottom w:val="0"/>
                  <w:divBdr>
                    <w:top w:val="none" w:sz="0" w:space="0" w:color="auto"/>
                    <w:left w:val="none" w:sz="0" w:space="0" w:color="auto"/>
                    <w:bottom w:val="none" w:sz="0" w:space="0" w:color="auto"/>
                    <w:right w:val="none" w:sz="0" w:space="0" w:color="auto"/>
                  </w:divBdr>
                </w:div>
                <w:div w:id="706954494">
                  <w:marLeft w:val="0"/>
                  <w:marRight w:val="0"/>
                  <w:marTop w:val="0"/>
                  <w:marBottom w:val="0"/>
                  <w:divBdr>
                    <w:top w:val="none" w:sz="0" w:space="0" w:color="auto"/>
                    <w:left w:val="none" w:sz="0" w:space="0" w:color="auto"/>
                    <w:bottom w:val="none" w:sz="0" w:space="0" w:color="auto"/>
                    <w:right w:val="none" w:sz="0" w:space="0" w:color="auto"/>
                  </w:divBdr>
                </w:div>
                <w:div w:id="1933732338">
                  <w:marLeft w:val="0"/>
                  <w:marRight w:val="0"/>
                  <w:marTop w:val="0"/>
                  <w:marBottom w:val="0"/>
                  <w:divBdr>
                    <w:top w:val="none" w:sz="0" w:space="0" w:color="auto"/>
                    <w:left w:val="none" w:sz="0" w:space="0" w:color="auto"/>
                    <w:bottom w:val="none" w:sz="0" w:space="0" w:color="auto"/>
                    <w:right w:val="none" w:sz="0" w:space="0" w:color="auto"/>
                  </w:divBdr>
                </w:div>
                <w:div w:id="544489691">
                  <w:marLeft w:val="0"/>
                  <w:marRight w:val="0"/>
                  <w:marTop w:val="0"/>
                  <w:marBottom w:val="0"/>
                  <w:divBdr>
                    <w:top w:val="none" w:sz="0" w:space="0" w:color="auto"/>
                    <w:left w:val="none" w:sz="0" w:space="0" w:color="auto"/>
                    <w:bottom w:val="none" w:sz="0" w:space="0" w:color="auto"/>
                    <w:right w:val="none" w:sz="0" w:space="0" w:color="auto"/>
                  </w:divBdr>
                </w:div>
                <w:div w:id="957183540">
                  <w:marLeft w:val="0"/>
                  <w:marRight w:val="0"/>
                  <w:marTop w:val="0"/>
                  <w:marBottom w:val="0"/>
                  <w:divBdr>
                    <w:top w:val="none" w:sz="0" w:space="0" w:color="auto"/>
                    <w:left w:val="none" w:sz="0" w:space="0" w:color="auto"/>
                    <w:bottom w:val="none" w:sz="0" w:space="0" w:color="auto"/>
                    <w:right w:val="none" w:sz="0" w:space="0" w:color="auto"/>
                  </w:divBdr>
                </w:div>
                <w:div w:id="1624996836">
                  <w:marLeft w:val="0"/>
                  <w:marRight w:val="0"/>
                  <w:marTop w:val="0"/>
                  <w:marBottom w:val="0"/>
                  <w:divBdr>
                    <w:top w:val="none" w:sz="0" w:space="0" w:color="auto"/>
                    <w:left w:val="none" w:sz="0" w:space="0" w:color="auto"/>
                    <w:bottom w:val="none" w:sz="0" w:space="0" w:color="auto"/>
                    <w:right w:val="none" w:sz="0" w:space="0" w:color="auto"/>
                  </w:divBdr>
                </w:div>
                <w:div w:id="2069306258">
                  <w:marLeft w:val="0"/>
                  <w:marRight w:val="0"/>
                  <w:marTop w:val="0"/>
                  <w:marBottom w:val="0"/>
                  <w:divBdr>
                    <w:top w:val="none" w:sz="0" w:space="0" w:color="auto"/>
                    <w:left w:val="none" w:sz="0" w:space="0" w:color="auto"/>
                    <w:bottom w:val="none" w:sz="0" w:space="0" w:color="auto"/>
                    <w:right w:val="none" w:sz="0" w:space="0" w:color="auto"/>
                  </w:divBdr>
                </w:div>
                <w:div w:id="1392773344">
                  <w:marLeft w:val="0"/>
                  <w:marRight w:val="0"/>
                  <w:marTop w:val="0"/>
                  <w:marBottom w:val="0"/>
                  <w:divBdr>
                    <w:top w:val="none" w:sz="0" w:space="0" w:color="auto"/>
                    <w:left w:val="none" w:sz="0" w:space="0" w:color="auto"/>
                    <w:bottom w:val="none" w:sz="0" w:space="0" w:color="auto"/>
                    <w:right w:val="none" w:sz="0" w:space="0" w:color="auto"/>
                  </w:divBdr>
                </w:div>
                <w:div w:id="38362443">
                  <w:marLeft w:val="0"/>
                  <w:marRight w:val="0"/>
                  <w:marTop w:val="0"/>
                  <w:marBottom w:val="0"/>
                  <w:divBdr>
                    <w:top w:val="none" w:sz="0" w:space="0" w:color="auto"/>
                    <w:left w:val="none" w:sz="0" w:space="0" w:color="auto"/>
                    <w:bottom w:val="none" w:sz="0" w:space="0" w:color="auto"/>
                    <w:right w:val="none" w:sz="0" w:space="0" w:color="auto"/>
                  </w:divBdr>
                </w:div>
                <w:div w:id="441413763">
                  <w:marLeft w:val="0"/>
                  <w:marRight w:val="0"/>
                  <w:marTop w:val="0"/>
                  <w:marBottom w:val="0"/>
                  <w:divBdr>
                    <w:top w:val="none" w:sz="0" w:space="0" w:color="auto"/>
                    <w:left w:val="none" w:sz="0" w:space="0" w:color="auto"/>
                    <w:bottom w:val="none" w:sz="0" w:space="0" w:color="auto"/>
                    <w:right w:val="none" w:sz="0" w:space="0" w:color="auto"/>
                  </w:divBdr>
                </w:div>
                <w:div w:id="2102026107">
                  <w:marLeft w:val="0"/>
                  <w:marRight w:val="0"/>
                  <w:marTop w:val="0"/>
                  <w:marBottom w:val="0"/>
                  <w:divBdr>
                    <w:top w:val="none" w:sz="0" w:space="0" w:color="auto"/>
                    <w:left w:val="none" w:sz="0" w:space="0" w:color="auto"/>
                    <w:bottom w:val="none" w:sz="0" w:space="0" w:color="auto"/>
                    <w:right w:val="none" w:sz="0" w:space="0" w:color="auto"/>
                  </w:divBdr>
                </w:div>
                <w:div w:id="671688511">
                  <w:marLeft w:val="0"/>
                  <w:marRight w:val="0"/>
                  <w:marTop w:val="0"/>
                  <w:marBottom w:val="0"/>
                  <w:divBdr>
                    <w:top w:val="none" w:sz="0" w:space="0" w:color="auto"/>
                    <w:left w:val="none" w:sz="0" w:space="0" w:color="auto"/>
                    <w:bottom w:val="none" w:sz="0" w:space="0" w:color="auto"/>
                    <w:right w:val="none" w:sz="0" w:space="0" w:color="auto"/>
                  </w:divBdr>
                </w:div>
                <w:div w:id="728844161">
                  <w:marLeft w:val="0"/>
                  <w:marRight w:val="0"/>
                  <w:marTop w:val="0"/>
                  <w:marBottom w:val="0"/>
                  <w:divBdr>
                    <w:top w:val="none" w:sz="0" w:space="0" w:color="auto"/>
                    <w:left w:val="none" w:sz="0" w:space="0" w:color="auto"/>
                    <w:bottom w:val="none" w:sz="0" w:space="0" w:color="auto"/>
                    <w:right w:val="none" w:sz="0" w:space="0" w:color="auto"/>
                  </w:divBdr>
                </w:div>
                <w:div w:id="730470513">
                  <w:marLeft w:val="0"/>
                  <w:marRight w:val="0"/>
                  <w:marTop w:val="0"/>
                  <w:marBottom w:val="0"/>
                  <w:divBdr>
                    <w:top w:val="none" w:sz="0" w:space="0" w:color="auto"/>
                    <w:left w:val="none" w:sz="0" w:space="0" w:color="auto"/>
                    <w:bottom w:val="none" w:sz="0" w:space="0" w:color="auto"/>
                    <w:right w:val="none" w:sz="0" w:space="0" w:color="auto"/>
                  </w:divBdr>
                </w:div>
                <w:div w:id="761026887">
                  <w:marLeft w:val="0"/>
                  <w:marRight w:val="0"/>
                  <w:marTop w:val="0"/>
                  <w:marBottom w:val="0"/>
                  <w:divBdr>
                    <w:top w:val="none" w:sz="0" w:space="0" w:color="auto"/>
                    <w:left w:val="none" w:sz="0" w:space="0" w:color="auto"/>
                    <w:bottom w:val="none" w:sz="0" w:space="0" w:color="auto"/>
                    <w:right w:val="none" w:sz="0" w:space="0" w:color="auto"/>
                  </w:divBdr>
                </w:div>
                <w:div w:id="749274805">
                  <w:marLeft w:val="0"/>
                  <w:marRight w:val="0"/>
                  <w:marTop w:val="0"/>
                  <w:marBottom w:val="0"/>
                  <w:divBdr>
                    <w:top w:val="none" w:sz="0" w:space="0" w:color="auto"/>
                    <w:left w:val="none" w:sz="0" w:space="0" w:color="auto"/>
                    <w:bottom w:val="none" w:sz="0" w:space="0" w:color="auto"/>
                    <w:right w:val="none" w:sz="0" w:space="0" w:color="auto"/>
                  </w:divBdr>
                </w:div>
                <w:div w:id="1174688145">
                  <w:marLeft w:val="0"/>
                  <w:marRight w:val="0"/>
                  <w:marTop w:val="0"/>
                  <w:marBottom w:val="0"/>
                  <w:divBdr>
                    <w:top w:val="none" w:sz="0" w:space="0" w:color="auto"/>
                    <w:left w:val="none" w:sz="0" w:space="0" w:color="auto"/>
                    <w:bottom w:val="none" w:sz="0" w:space="0" w:color="auto"/>
                    <w:right w:val="none" w:sz="0" w:space="0" w:color="auto"/>
                  </w:divBdr>
                </w:div>
                <w:div w:id="1093553489">
                  <w:marLeft w:val="0"/>
                  <w:marRight w:val="0"/>
                  <w:marTop w:val="0"/>
                  <w:marBottom w:val="0"/>
                  <w:divBdr>
                    <w:top w:val="none" w:sz="0" w:space="0" w:color="auto"/>
                    <w:left w:val="none" w:sz="0" w:space="0" w:color="auto"/>
                    <w:bottom w:val="none" w:sz="0" w:space="0" w:color="auto"/>
                    <w:right w:val="none" w:sz="0" w:space="0" w:color="auto"/>
                  </w:divBdr>
                </w:div>
                <w:div w:id="1202592586">
                  <w:marLeft w:val="0"/>
                  <w:marRight w:val="0"/>
                  <w:marTop w:val="0"/>
                  <w:marBottom w:val="0"/>
                  <w:divBdr>
                    <w:top w:val="none" w:sz="0" w:space="0" w:color="auto"/>
                    <w:left w:val="none" w:sz="0" w:space="0" w:color="auto"/>
                    <w:bottom w:val="none" w:sz="0" w:space="0" w:color="auto"/>
                    <w:right w:val="none" w:sz="0" w:space="0" w:color="auto"/>
                  </w:divBdr>
                </w:div>
                <w:div w:id="2100906154">
                  <w:marLeft w:val="0"/>
                  <w:marRight w:val="0"/>
                  <w:marTop w:val="0"/>
                  <w:marBottom w:val="0"/>
                  <w:divBdr>
                    <w:top w:val="none" w:sz="0" w:space="0" w:color="auto"/>
                    <w:left w:val="none" w:sz="0" w:space="0" w:color="auto"/>
                    <w:bottom w:val="none" w:sz="0" w:space="0" w:color="auto"/>
                    <w:right w:val="none" w:sz="0" w:space="0" w:color="auto"/>
                  </w:divBdr>
                </w:div>
                <w:div w:id="829173287">
                  <w:marLeft w:val="0"/>
                  <w:marRight w:val="0"/>
                  <w:marTop w:val="0"/>
                  <w:marBottom w:val="0"/>
                  <w:divBdr>
                    <w:top w:val="none" w:sz="0" w:space="0" w:color="auto"/>
                    <w:left w:val="none" w:sz="0" w:space="0" w:color="auto"/>
                    <w:bottom w:val="none" w:sz="0" w:space="0" w:color="auto"/>
                    <w:right w:val="none" w:sz="0" w:space="0" w:color="auto"/>
                  </w:divBdr>
                </w:div>
                <w:div w:id="923418980">
                  <w:marLeft w:val="0"/>
                  <w:marRight w:val="0"/>
                  <w:marTop w:val="0"/>
                  <w:marBottom w:val="0"/>
                  <w:divBdr>
                    <w:top w:val="none" w:sz="0" w:space="0" w:color="auto"/>
                    <w:left w:val="none" w:sz="0" w:space="0" w:color="auto"/>
                    <w:bottom w:val="none" w:sz="0" w:space="0" w:color="auto"/>
                    <w:right w:val="none" w:sz="0" w:space="0" w:color="auto"/>
                  </w:divBdr>
                </w:div>
                <w:div w:id="1087919841">
                  <w:marLeft w:val="0"/>
                  <w:marRight w:val="0"/>
                  <w:marTop w:val="0"/>
                  <w:marBottom w:val="0"/>
                  <w:divBdr>
                    <w:top w:val="none" w:sz="0" w:space="0" w:color="auto"/>
                    <w:left w:val="none" w:sz="0" w:space="0" w:color="auto"/>
                    <w:bottom w:val="none" w:sz="0" w:space="0" w:color="auto"/>
                    <w:right w:val="none" w:sz="0" w:space="0" w:color="auto"/>
                  </w:divBdr>
                </w:div>
                <w:div w:id="694112692">
                  <w:marLeft w:val="0"/>
                  <w:marRight w:val="0"/>
                  <w:marTop w:val="0"/>
                  <w:marBottom w:val="0"/>
                  <w:divBdr>
                    <w:top w:val="none" w:sz="0" w:space="0" w:color="auto"/>
                    <w:left w:val="none" w:sz="0" w:space="0" w:color="auto"/>
                    <w:bottom w:val="none" w:sz="0" w:space="0" w:color="auto"/>
                    <w:right w:val="none" w:sz="0" w:space="0" w:color="auto"/>
                  </w:divBdr>
                </w:div>
                <w:div w:id="1993483837">
                  <w:marLeft w:val="0"/>
                  <w:marRight w:val="0"/>
                  <w:marTop w:val="0"/>
                  <w:marBottom w:val="0"/>
                  <w:divBdr>
                    <w:top w:val="none" w:sz="0" w:space="0" w:color="auto"/>
                    <w:left w:val="none" w:sz="0" w:space="0" w:color="auto"/>
                    <w:bottom w:val="none" w:sz="0" w:space="0" w:color="auto"/>
                    <w:right w:val="none" w:sz="0" w:space="0" w:color="auto"/>
                  </w:divBdr>
                </w:div>
                <w:div w:id="37708991">
                  <w:marLeft w:val="0"/>
                  <w:marRight w:val="0"/>
                  <w:marTop w:val="0"/>
                  <w:marBottom w:val="0"/>
                  <w:divBdr>
                    <w:top w:val="none" w:sz="0" w:space="0" w:color="auto"/>
                    <w:left w:val="none" w:sz="0" w:space="0" w:color="auto"/>
                    <w:bottom w:val="none" w:sz="0" w:space="0" w:color="auto"/>
                    <w:right w:val="none" w:sz="0" w:space="0" w:color="auto"/>
                  </w:divBdr>
                </w:div>
                <w:div w:id="303773320">
                  <w:marLeft w:val="0"/>
                  <w:marRight w:val="0"/>
                  <w:marTop w:val="0"/>
                  <w:marBottom w:val="0"/>
                  <w:divBdr>
                    <w:top w:val="none" w:sz="0" w:space="0" w:color="auto"/>
                    <w:left w:val="none" w:sz="0" w:space="0" w:color="auto"/>
                    <w:bottom w:val="none" w:sz="0" w:space="0" w:color="auto"/>
                    <w:right w:val="none" w:sz="0" w:space="0" w:color="auto"/>
                  </w:divBdr>
                </w:div>
                <w:div w:id="114370676">
                  <w:marLeft w:val="0"/>
                  <w:marRight w:val="0"/>
                  <w:marTop w:val="0"/>
                  <w:marBottom w:val="0"/>
                  <w:divBdr>
                    <w:top w:val="none" w:sz="0" w:space="0" w:color="auto"/>
                    <w:left w:val="none" w:sz="0" w:space="0" w:color="auto"/>
                    <w:bottom w:val="none" w:sz="0" w:space="0" w:color="auto"/>
                    <w:right w:val="none" w:sz="0" w:space="0" w:color="auto"/>
                  </w:divBdr>
                </w:div>
                <w:div w:id="45883299">
                  <w:marLeft w:val="0"/>
                  <w:marRight w:val="0"/>
                  <w:marTop w:val="0"/>
                  <w:marBottom w:val="0"/>
                  <w:divBdr>
                    <w:top w:val="none" w:sz="0" w:space="0" w:color="auto"/>
                    <w:left w:val="none" w:sz="0" w:space="0" w:color="auto"/>
                    <w:bottom w:val="none" w:sz="0" w:space="0" w:color="auto"/>
                    <w:right w:val="none" w:sz="0" w:space="0" w:color="auto"/>
                  </w:divBdr>
                </w:div>
                <w:div w:id="796918450">
                  <w:marLeft w:val="0"/>
                  <w:marRight w:val="0"/>
                  <w:marTop w:val="0"/>
                  <w:marBottom w:val="0"/>
                  <w:divBdr>
                    <w:top w:val="none" w:sz="0" w:space="0" w:color="auto"/>
                    <w:left w:val="none" w:sz="0" w:space="0" w:color="auto"/>
                    <w:bottom w:val="none" w:sz="0" w:space="0" w:color="auto"/>
                    <w:right w:val="none" w:sz="0" w:space="0" w:color="auto"/>
                  </w:divBdr>
                </w:div>
                <w:div w:id="1845626188">
                  <w:marLeft w:val="0"/>
                  <w:marRight w:val="0"/>
                  <w:marTop w:val="0"/>
                  <w:marBottom w:val="0"/>
                  <w:divBdr>
                    <w:top w:val="none" w:sz="0" w:space="0" w:color="auto"/>
                    <w:left w:val="none" w:sz="0" w:space="0" w:color="auto"/>
                    <w:bottom w:val="none" w:sz="0" w:space="0" w:color="auto"/>
                    <w:right w:val="none" w:sz="0" w:space="0" w:color="auto"/>
                  </w:divBdr>
                </w:div>
                <w:div w:id="1002590079">
                  <w:marLeft w:val="0"/>
                  <w:marRight w:val="0"/>
                  <w:marTop w:val="0"/>
                  <w:marBottom w:val="0"/>
                  <w:divBdr>
                    <w:top w:val="none" w:sz="0" w:space="0" w:color="auto"/>
                    <w:left w:val="none" w:sz="0" w:space="0" w:color="auto"/>
                    <w:bottom w:val="none" w:sz="0" w:space="0" w:color="auto"/>
                    <w:right w:val="none" w:sz="0" w:space="0" w:color="auto"/>
                  </w:divBdr>
                </w:div>
                <w:div w:id="1777872796">
                  <w:marLeft w:val="0"/>
                  <w:marRight w:val="0"/>
                  <w:marTop w:val="0"/>
                  <w:marBottom w:val="0"/>
                  <w:divBdr>
                    <w:top w:val="none" w:sz="0" w:space="0" w:color="auto"/>
                    <w:left w:val="none" w:sz="0" w:space="0" w:color="auto"/>
                    <w:bottom w:val="none" w:sz="0" w:space="0" w:color="auto"/>
                    <w:right w:val="none" w:sz="0" w:space="0" w:color="auto"/>
                  </w:divBdr>
                </w:div>
                <w:div w:id="277418190">
                  <w:marLeft w:val="0"/>
                  <w:marRight w:val="0"/>
                  <w:marTop w:val="0"/>
                  <w:marBottom w:val="0"/>
                  <w:divBdr>
                    <w:top w:val="none" w:sz="0" w:space="0" w:color="auto"/>
                    <w:left w:val="none" w:sz="0" w:space="0" w:color="auto"/>
                    <w:bottom w:val="none" w:sz="0" w:space="0" w:color="auto"/>
                    <w:right w:val="none" w:sz="0" w:space="0" w:color="auto"/>
                  </w:divBdr>
                </w:div>
                <w:div w:id="693920961">
                  <w:marLeft w:val="0"/>
                  <w:marRight w:val="0"/>
                  <w:marTop w:val="0"/>
                  <w:marBottom w:val="0"/>
                  <w:divBdr>
                    <w:top w:val="none" w:sz="0" w:space="0" w:color="auto"/>
                    <w:left w:val="none" w:sz="0" w:space="0" w:color="auto"/>
                    <w:bottom w:val="none" w:sz="0" w:space="0" w:color="auto"/>
                    <w:right w:val="none" w:sz="0" w:space="0" w:color="auto"/>
                  </w:divBdr>
                </w:div>
                <w:div w:id="1689328153">
                  <w:marLeft w:val="0"/>
                  <w:marRight w:val="0"/>
                  <w:marTop w:val="0"/>
                  <w:marBottom w:val="0"/>
                  <w:divBdr>
                    <w:top w:val="none" w:sz="0" w:space="0" w:color="auto"/>
                    <w:left w:val="none" w:sz="0" w:space="0" w:color="auto"/>
                    <w:bottom w:val="none" w:sz="0" w:space="0" w:color="auto"/>
                    <w:right w:val="none" w:sz="0" w:space="0" w:color="auto"/>
                  </w:divBdr>
                </w:div>
                <w:div w:id="960068942">
                  <w:marLeft w:val="0"/>
                  <w:marRight w:val="0"/>
                  <w:marTop w:val="0"/>
                  <w:marBottom w:val="0"/>
                  <w:divBdr>
                    <w:top w:val="none" w:sz="0" w:space="0" w:color="auto"/>
                    <w:left w:val="none" w:sz="0" w:space="0" w:color="auto"/>
                    <w:bottom w:val="none" w:sz="0" w:space="0" w:color="auto"/>
                    <w:right w:val="none" w:sz="0" w:space="0" w:color="auto"/>
                  </w:divBdr>
                </w:div>
                <w:div w:id="1266159375">
                  <w:marLeft w:val="0"/>
                  <w:marRight w:val="0"/>
                  <w:marTop w:val="0"/>
                  <w:marBottom w:val="0"/>
                  <w:divBdr>
                    <w:top w:val="none" w:sz="0" w:space="0" w:color="auto"/>
                    <w:left w:val="none" w:sz="0" w:space="0" w:color="auto"/>
                    <w:bottom w:val="none" w:sz="0" w:space="0" w:color="auto"/>
                    <w:right w:val="none" w:sz="0" w:space="0" w:color="auto"/>
                  </w:divBdr>
                </w:div>
                <w:div w:id="1218936701">
                  <w:marLeft w:val="0"/>
                  <w:marRight w:val="0"/>
                  <w:marTop w:val="0"/>
                  <w:marBottom w:val="0"/>
                  <w:divBdr>
                    <w:top w:val="none" w:sz="0" w:space="0" w:color="auto"/>
                    <w:left w:val="none" w:sz="0" w:space="0" w:color="auto"/>
                    <w:bottom w:val="none" w:sz="0" w:space="0" w:color="auto"/>
                    <w:right w:val="none" w:sz="0" w:space="0" w:color="auto"/>
                  </w:divBdr>
                </w:div>
                <w:div w:id="2056345394">
                  <w:marLeft w:val="0"/>
                  <w:marRight w:val="0"/>
                  <w:marTop w:val="0"/>
                  <w:marBottom w:val="0"/>
                  <w:divBdr>
                    <w:top w:val="none" w:sz="0" w:space="0" w:color="auto"/>
                    <w:left w:val="none" w:sz="0" w:space="0" w:color="auto"/>
                    <w:bottom w:val="none" w:sz="0" w:space="0" w:color="auto"/>
                    <w:right w:val="none" w:sz="0" w:space="0" w:color="auto"/>
                  </w:divBdr>
                </w:div>
                <w:div w:id="1291782313">
                  <w:marLeft w:val="0"/>
                  <w:marRight w:val="0"/>
                  <w:marTop w:val="0"/>
                  <w:marBottom w:val="0"/>
                  <w:divBdr>
                    <w:top w:val="none" w:sz="0" w:space="0" w:color="auto"/>
                    <w:left w:val="none" w:sz="0" w:space="0" w:color="auto"/>
                    <w:bottom w:val="none" w:sz="0" w:space="0" w:color="auto"/>
                    <w:right w:val="none" w:sz="0" w:space="0" w:color="auto"/>
                  </w:divBdr>
                </w:div>
                <w:div w:id="1247611623">
                  <w:marLeft w:val="0"/>
                  <w:marRight w:val="0"/>
                  <w:marTop w:val="0"/>
                  <w:marBottom w:val="0"/>
                  <w:divBdr>
                    <w:top w:val="none" w:sz="0" w:space="0" w:color="auto"/>
                    <w:left w:val="none" w:sz="0" w:space="0" w:color="auto"/>
                    <w:bottom w:val="none" w:sz="0" w:space="0" w:color="auto"/>
                    <w:right w:val="none" w:sz="0" w:space="0" w:color="auto"/>
                  </w:divBdr>
                </w:div>
                <w:div w:id="1213227106">
                  <w:marLeft w:val="0"/>
                  <w:marRight w:val="0"/>
                  <w:marTop w:val="0"/>
                  <w:marBottom w:val="0"/>
                  <w:divBdr>
                    <w:top w:val="none" w:sz="0" w:space="0" w:color="auto"/>
                    <w:left w:val="none" w:sz="0" w:space="0" w:color="auto"/>
                    <w:bottom w:val="none" w:sz="0" w:space="0" w:color="auto"/>
                    <w:right w:val="none" w:sz="0" w:space="0" w:color="auto"/>
                  </w:divBdr>
                </w:div>
                <w:div w:id="724959797">
                  <w:marLeft w:val="0"/>
                  <w:marRight w:val="0"/>
                  <w:marTop w:val="0"/>
                  <w:marBottom w:val="0"/>
                  <w:divBdr>
                    <w:top w:val="none" w:sz="0" w:space="0" w:color="auto"/>
                    <w:left w:val="none" w:sz="0" w:space="0" w:color="auto"/>
                    <w:bottom w:val="none" w:sz="0" w:space="0" w:color="auto"/>
                    <w:right w:val="none" w:sz="0" w:space="0" w:color="auto"/>
                  </w:divBdr>
                </w:div>
                <w:div w:id="1090538385">
                  <w:marLeft w:val="0"/>
                  <w:marRight w:val="0"/>
                  <w:marTop w:val="0"/>
                  <w:marBottom w:val="0"/>
                  <w:divBdr>
                    <w:top w:val="none" w:sz="0" w:space="0" w:color="auto"/>
                    <w:left w:val="none" w:sz="0" w:space="0" w:color="auto"/>
                    <w:bottom w:val="none" w:sz="0" w:space="0" w:color="auto"/>
                    <w:right w:val="none" w:sz="0" w:space="0" w:color="auto"/>
                  </w:divBdr>
                </w:div>
                <w:div w:id="113795983">
                  <w:marLeft w:val="0"/>
                  <w:marRight w:val="0"/>
                  <w:marTop w:val="0"/>
                  <w:marBottom w:val="0"/>
                  <w:divBdr>
                    <w:top w:val="none" w:sz="0" w:space="0" w:color="auto"/>
                    <w:left w:val="none" w:sz="0" w:space="0" w:color="auto"/>
                    <w:bottom w:val="none" w:sz="0" w:space="0" w:color="auto"/>
                    <w:right w:val="none" w:sz="0" w:space="0" w:color="auto"/>
                  </w:divBdr>
                </w:div>
                <w:div w:id="172569670">
                  <w:marLeft w:val="0"/>
                  <w:marRight w:val="0"/>
                  <w:marTop w:val="0"/>
                  <w:marBottom w:val="0"/>
                  <w:divBdr>
                    <w:top w:val="none" w:sz="0" w:space="0" w:color="auto"/>
                    <w:left w:val="none" w:sz="0" w:space="0" w:color="auto"/>
                    <w:bottom w:val="none" w:sz="0" w:space="0" w:color="auto"/>
                    <w:right w:val="none" w:sz="0" w:space="0" w:color="auto"/>
                  </w:divBdr>
                </w:div>
                <w:div w:id="2017996011">
                  <w:marLeft w:val="0"/>
                  <w:marRight w:val="0"/>
                  <w:marTop w:val="0"/>
                  <w:marBottom w:val="0"/>
                  <w:divBdr>
                    <w:top w:val="none" w:sz="0" w:space="0" w:color="auto"/>
                    <w:left w:val="none" w:sz="0" w:space="0" w:color="auto"/>
                    <w:bottom w:val="none" w:sz="0" w:space="0" w:color="auto"/>
                    <w:right w:val="none" w:sz="0" w:space="0" w:color="auto"/>
                  </w:divBdr>
                </w:div>
                <w:div w:id="1178152361">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316301712">
                  <w:marLeft w:val="0"/>
                  <w:marRight w:val="0"/>
                  <w:marTop w:val="0"/>
                  <w:marBottom w:val="0"/>
                  <w:divBdr>
                    <w:top w:val="none" w:sz="0" w:space="0" w:color="auto"/>
                    <w:left w:val="none" w:sz="0" w:space="0" w:color="auto"/>
                    <w:bottom w:val="none" w:sz="0" w:space="0" w:color="auto"/>
                    <w:right w:val="none" w:sz="0" w:space="0" w:color="auto"/>
                  </w:divBdr>
                </w:div>
                <w:div w:id="1849640855">
                  <w:marLeft w:val="0"/>
                  <w:marRight w:val="0"/>
                  <w:marTop w:val="0"/>
                  <w:marBottom w:val="0"/>
                  <w:divBdr>
                    <w:top w:val="none" w:sz="0" w:space="0" w:color="auto"/>
                    <w:left w:val="none" w:sz="0" w:space="0" w:color="auto"/>
                    <w:bottom w:val="none" w:sz="0" w:space="0" w:color="auto"/>
                    <w:right w:val="none" w:sz="0" w:space="0" w:color="auto"/>
                  </w:divBdr>
                </w:div>
                <w:div w:id="308554475">
                  <w:marLeft w:val="0"/>
                  <w:marRight w:val="0"/>
                  <w:marTop w:val="0"/>
                  <w:marBottom w:val="0"/>
                  <w:divBdr>
                    <w:top w:val="none" w:sz="0" w:space="0" w:color="auto"/>
                    <w:left w:val="none" w:sz="0" w:space="0" w:color="auto"/>
                    <w:bottom w:val="none" w:sz="0" w:space="0" w:color="auto"/>
                    <w:right w:val="none" w:sz="0" w:space="0" w:color="auto"/>
                  </w:divBdr>
                </w:div>
                <w:div w:id="508327040">
                  <w:marLeft w:val="0"/>
                  <w:marRight w:val="0"/>
                  <w:marTop w:val="0"/>
                  <w:marBottom w:val="0"/>
                  <w:divBdr>
                    <w:top w:val="none" w:sz="0" w:space="0" w:color="auto"/>
                    <w:left w:val="none" w:sz="0" w:space="0" w:color="auto"/>
                    <w:bottom w:val="none" w:sz="0" w:space="0" w:color="auto"/>
                    <w:right w:val="none" w:sz="0" w:space="0" w:color="auto"/>
                  </w:divBdr>
                </w:div>
                <w:div w:id="227225043">
                  <w:marLeft w:val="0"/>
                  <w:marRight w:val="0"/>
                  <w:marTop w:val="0"/>
                  <w:marBottom w:val="0"/>
                  <w:divBdr>
                    <w:top w:val="none" w:sz="0" w:space="0" w:color="auto"/>
                    <w:left w:val="none" w:sz="0" w:space="0" w:color="auto"/>
                    <w:bottom w:val="none" w:sz="0" w:space="0" w:color="auto"/>
                    <w:right w:val="none" w:sz="0" w:space="0" w:color="auto"/>
                  </w:divBdr>
                </w:div>
                <w:div w:id="2122795560">
                  <w:marLeft w:val="0"/>
                  <w:marRight w:val="0"/>
                  <w:marTop w:val="0"/>
                  <w:marBottom w:val="0"/>
                  <w:divBdr>
                    <w:top w:val="none" w:sz="0" w:space="0" w:color="auto"/>
                    <w:left w:val="none" w:sz="0" w:space="0" w:color="auto"/>
                    <w:bottom w:val="none" w:sz="0" w:space="0" w:color="auto"/>
                    <w:right w:val="none" w:sz="0" w:space="0" w:color="auto"/>
                  </w:divBdr>
                </w:div>
                <w:div w:id="203442601">
                  <w:marLeft w:val="0"/>
                  <w:marRight w:val="0"/>
                  <w:marTop w:val="0"/>
                  <w:marBottom w:val="0"/>
                  <w:divBdr>
                    <w:top w:val="none" w:sz="0" w:space="0" w:color="auto"/>
                    <w:left w:val="none" w:sz="0" w:space="0" w:color="auto"/>
                    <w:bottom w:val="none" w:sz="0" w:space="0" w:color="auto"/>
                    <w:right w:val="none" w:sz="0" w:space="0" w:color="auto"/>
                  </w:divBdr>
                </w:div>
                <w:div w:id="84419443">
                  <w:marLeft w:val="0"/>
                  <w:marRight w:val="0"/>
                  <w:marTop w:val="0"/>
                  <w:marBottom w:val="0"/>
                  <w:divBdr>
                    <w:top w:val="none" w:sz="0" w:space="0" w:color="auto"/>
                    <w:left w:val="none" w:sz="0" w:space="0" w:color="auto"/>
                    <w:bottom w:val="none" w:sz="0" w:space="0" w:color="auto"/>
                    <w:right w:val="none" w:sz="0" w:space="0" w:color="auto"/>
                  </w:divBdr>
                </w:div>
                <w:div w:id="2044673497">
                  <w:marLeft w:val="0"/>
                  <w:marRight w:val="0"/>
                  <w:marTop w:val="0"/>
                  <w:marBottom w:val="0"/>
                  <w:divBdr>
                    <w:top w:val="none" w:sz="0" w:space="0" w:color="auto"/>
                    <w:left w:val="none" w:sz="0" w:space="0" w:color="auto"/>
                    <w:bottom w:val="none" w:sz="0" w:space="0" w:color="auto"/>
                    <w:right w:val="none" w:sz="0" w:space="0" w:color="auto"/>
                  </w:divBdr>
                </w:div>
                <w:div w:id="1202284418">
                  <w:marLeft w:val="0"/>
                  <w:marRight w:val="0"/>
                  <w:marTop w:val="0"/>
                  <w:marBottom w:val="0"/>
                  <w:divBdr>
                    <w:top w:val="none" w:sz="0" w:space="0" w:color="auto"/>
                    <w:left w:val="none" w:sz="0" w:space="0" w:color="auto"/>
                    <w:bottom w:val="none" w:sz="0" w:space="0" w:color="auto"/>
                    <w:right w:val="none" w:sz="0" w:space="0" w:color="auto"/>
                  </w:divBdr>
                </w:div>
                <w:div w:id="521404968">
                  <w:marLeft w:val="0"/>
                  <w:marRight w:val="0"/>
                  <w:marTop w:val="0"/>
                  <w:marBottom w:val="0"/>
                  <w:divBdr>
                    <w:top w:val="none" w:sz="0" w:space="0" w:color="auto"/>
                    <w:left w:val="none" w:sz="0" w:space="0" w:color="auto"/>
                    <w:bottom w:val="none" w:sz="0" w:space="0" w:color="auto"/>
                    <w:right w:val="none" w:sz="0" w:space="0" w:color="auto"/>
                  </w:divBdr>
                </w:div>
                <w:div w:id="814833825">
                  <w:marLeft w:val="0"/>
                  <w:marRight w:val="0"/>
                  <w:marTop w:val="0"/>
                  <w:marBottom w:val="0"/>
                  <w:divBdr>
                    <w:top w:val="none" w:sz="0" w:space="0" w:color="auto"/>
                    <w:left w:val="none" w:sz="0" w:space="0" w:color="auto"/>
                    <w:bottom w:val="none" w:sz="0" w:space="0" w:color="auto"/>
                    <w:right w:val="none" w:sz="0" w:space="0" w:color="auto"/>
                  </w:divBdr>
                </w:div>
                <w:div w:id="928269674">
                  <w:marLeft w:val="0"/>
                  <w:marRight w:val="0"/>
                  <w:marTop w:val="0"/>
                  <w:marBottom w:val="0"/>
                  <w:divBdr>
                    <w:top w:val="none" w:sz="0" w:space="0" w:color="auto"/>
                    <w:left w:val="none" w:sz="0" w:space="0" w:color="auto"/>
                    <w:bottom w:val="none" w:sz="0" w:space="0" w:color="auto"/>
                    <w:right w:val="none" w:sz="0" w:space="0" w:color="auto"/>
                  </w:divBdr>
                </w:div>
                <w:div w:id="12147489">
                  <w:marLeft w:val="0"/>
                  <w:marRight w:val="0"/>
                  <w:marTop w:val="0"/>
                  <w:marBottom w:val="0"/>
                  <w:divBdr>
                    <w:top w:val="none" w:sz="0" w:space="0" w:color="auto"/>
                    <w:left w:val="none" w:sz="0" w:space="0" w:color="auto"/>
                    <w:bottom w:val="none" w:sz="0" w:space="0" w:color="auto"/>
                    <w:right w:val="none" w:sz="0" w:space="0" w:color="auto"/>
                  </w:divBdr>
                </w:div>
                <w:div w:id="730464442">
                  <w:marLeft w:val="0"/>
                  <w:marRight w:val="0"/>
                  <w:marTop w:val="0"/>
                  <w:marBottom w:val="0"/>
                  <w:divBdr>
                    <w:top w:val="none" w:sz="0" w:space="0" w:color="auto"/>
                    <w:left w:val="none" w:sz="0" w:space="0" w:color="auto"/>
                    <w:bottom w:val="none" w:sz="0" w:space="0" w:color="auto"/>
                    <w:right w:val="none" w:sz="0" w:space="0" w:color="auto"/>
                  </w:divBdr>
                </w:div>
                <w:div w:id="1528906107">
                  <w:marLeft w:val="0"/>
                  <w:marRight w:val="0"/>
                  <w:marTop w:val="0"/>
                  <w:marBottom w:val="0"/>
                  <w:divBdr>
                    <w:top w:val="none" w:sz="0" w:space="0" w:color="auto"/>
                    <w:left w:val="none" w:sz="0" w:space="0" w:color="auto"/>
                    <w:bottom w:val="none" w:sz="0" w:space="0" w:color="auto"/>
                    <w:right w:val="none" w:sz="0" w:space="0" w:color="auto"/>
                  </w:divBdr>
                </w:div>
                <w:div w:id="908855199">
                  <w:marLeft w:val="0"/>
                  <w:marRight w:val="0"/>
                  <w:marTop w:val="0"/>
                  <w:marBottom w:val="0"/>
                  <w:divBdr>
                    <w:top w:val="none" w:sz="0" w:space="0" w:color="auto"/>
                    <w:left w:val="none" w:sz="0" w:space="0" w:color="auto"/>
                    <w:bottom w:val="none" w:sz="0" w:space="0" w:color="auto"/>
                    <w:right w:val="none" w:sz="0" w:space="0" w:color="auto"/>
                  </w:divBdr>
                </w:div>
                <w:div w:id="1495683768">
                  <w:marLeft w:val="0"/>
                  <w:marRight w:val="0"/>
                  <w:marTop w:val="0"/>
                  <w:marBottom w:val="0"/>
                  <w:divBdr>
                    <w:top w:val="none" w:sz="0" w:space="0" w:color="auto"/>
                    <w:left w:val="none" w:sz="0" w:space="0" w:color="auto"/>
                    <w:bottom w:val="none" w:sz="0" w:space="0" w:color="auto"/>
                    <w:right w:val="none" w:sz="0" w:space="0" w:color="auto"/>
                  </w:divBdr>
                </w:div>
                <w:div w:id="2051563192">
                  <w:marLeft w:val="0"/>
                  <w:marRight w:val="0"/>
                  <w:marTop w:val="0"/>
                  <w:marBottom w:val="0"/>
                  <w:divBdr>
                    <w:top w:val="none" w:sz="0" w:space="0" w:color="auto"/>
                    <w:left w:val="none" w:sz="0" w:space="0" w:color="auto"/>
                    <w:bottom w:val="none" w:sz="0" w:space="0" w:color="auto"/>
                    <w:right w:val="none" w:sz="0" w:space="0" w:color="auto"/>
                  </w:divBdr>
                </w:div>
                <w:div w:id="1328363482">
                  <w:marLeft w:val="0"/>
                  <w:marRight w:val="0"/>
                  <w:marTop w:val="0"/>
                  <w:marBottom w:val="0"/>
                  <w:divBdr>
                    <w:top w:val="none" w:sz="0" w:space="0" w:color="auto"/>
                    <w:left w:val="none" w:sz="0" w:space="0" w:color="auto"/>
                    <w:bottom w:val="none" w:sz="0" w:space="0" w:color="auto"/>
                    <w:right w:val="none" w:sz="0" w:space="0" w:color="auto"/>
                  </w:divBdr>
                </w:div>
                <w:div w:id="1036850755">
                  <w:marLeft w:val="0"/>
                  <w:marRight w:val="0"/>
                  <w:marTop w:val="0"/>
                  <w:marBottom w:val="0"/>
                  <w:divBdr>
                    <w:top w:val="none" w:sz="0" w:space="0" w:color="auto"/>
                    <w:left w:val="none" w:sz="0" w:space="0" w:color="auto"/>
                    <w:bottom w:val="none" w:sz="0" w:space="0" w:color="auto"/>
                    <w:right w:val="none" w:sz="0" w:space="0" w:color="auto"/>
                  </w:divBdr>
                </w:div>
                <w:div w:id="453913251">
                  <w:marLeft w:val="0"/>
                  <w:marRight w:val="0"/>
                  <w:marTop w:val="0"/>
                  <w:marBottom w:val="0"/>
                  <w:divBdr>
                    <w:top w:val="none" w:sz="0" w:space="0" w:color="auto"/>
                    <w:left w:val="none" w:sz="0" w:space="0" w:color="auto"/>
                    <w:bottom w:val="none" w:sz="0" w:space="0" w:color="auto"/>
                    <w:right w:val="none" w:sz="0" w:space="0" w:color="auto"/>
                  </w:divBdr>
                </w:div>
                <w:div w:id="1155682863">
                  <w:marLeft w:val="0"/>
                  <w:marRight w:val="0"/>
                  <w:marTop w:val="0"/>
                  <w:marBottom w:val="0"/>
                  <w:divBdr>
                    <w:top w:val="none" w:sz="0" w:space="0" w:color="auto"/>
                    <w:left w:val="none" w:sz="0" w:space="0" w:color="auto"/>
                    <w:bottom w:val="none" w:sz="0" w:space="0" w:color="auto"/>
                    <w:right w:val="none" w:sz="0" w:space="0" w:color="auto"/>
                  </w:divBdr>
                </w:div>
                <w:div w:id="1796368195">
                  <w:marLeft w:val="0"/>
                  <w:marRight w:val="0"/>
                  <w:marTop w:val="0"/>
                  <w:marBottom w:val="0"/>
                  <w:divBdr>
                    <w:top w:val="none" w:sz="0" w:space="0" w:color="auto"/>
                    <w:left w:val="none" w:sz="0" w:space="0" w:color="auto"/>
                    <w:bottom w:val="none" w:sz="0" w:space="0" w:color="auto"/>
                    <w:right w:val="none" w:sz="0" w:space="0" w:color="auto"/>
                  </w:divBdr>
                </w:div>
                <w:div w:id="700400093">
                  <w:marLeft w:val="0"/>
                  <w:marRight w:val="0"/>
                  <w:marTop w:val="0"/>
                  <w:marBottom w:val="0"/>
                  <w:divBdr>
                    <w:top w:val="none" w:sz="0" w:space="0" w:color="auto"/>
                    <w:left w:val="none" w:sz="0" w:space="0" w:color="auto"/>
                    <w:bottom w:val="none" w:sz="0" w:space="0" w:color="auto"/>
                    <w:right w:val="none" w:sz="0" w:space="0" w:color="auto"/>
                  </w:divBdr>
                </w:div>
                <w:div w:id="1209336540">
                  <w:marLeft w:val="0"/>
                  <w:marRight w:val="0"/>
                  <w:marTop w:val="0"/>
                  <w:marBottom w:val="0"/>
                  <w:divBdr>
                    <w:top w:val="none" w:sz="0" w:space="0" w:color="auto"/>
                    <w:left w:val="none" w:sz="0" w:space="0" w:color="auto"/>
                    <w:bottom w:val="none" w:sz="0" w:space="0" w:color="auto"/>
                    <w:right w:val="none" w:sz="0" w:space="0" w:color="auto"/>
                  </w:divBdr>
                </w:div>
                <w:div w:id="867908423">
                  <w:marLeft w:val="0"/>
                  <w:marRight w:val="0"/>
                  <w:marTop w:val="0"/>
                  <w:marBottom w:val="0"/>
                  <w:divBdr>
                    <w:top w:val="none" w:sz="0" w:space="0" w:color="auto"/>
                    <w:left w:val="none" w:sz="0" w:space="0" w:color="auto"/>
                    <w:bottom w:val="none" w:sz="0" w:space="0" w:color="auto"/>
                    <w:right w:val="none" w:sz="0" w:space="0" w:color="auto"/>
                  </w:divBdr>
                </w:div>
                <w:div w:id="528837206">
                  <w:marLeft w:val="0"/>
                  <w:marRight w:val="0"/>
                  <w:marTop w:val="0"/>
                  <w:marBottom w:val="0"/>
                  <w:divBdr>
                    <w:top w:val="none" w:sz="0" w:space="0" w:color="auto"/>
                    <w:left w:val="none" w:sz="0" w:space="0" w:color="auto"/>
                    <w:bottom w:val="none" w:sz="0" w:space="0" w:color="auto"/>
                    <w:right w:val="none" w:sz="0" w:space="0" w:color="auto"/>
                  </w:divBdr>
                </w:div>
                <w:div w:id="239406540">
                  <w:marLeft w:val="0"/>
                  <w:marRight w:val="0"/>
                  <w:marTop w:val="0"/>
                  <w:marBottom w:val="0"/>
                  <w:divBdr>
                    <w:top w:val="none" w:sz="0" w:space="0" w:color="auto"/>
                    <w:left w:val="none" w:sz="0" w:space="0" w:color="auto"/>
                    <w:bottom w:val="none" w:sz="0" w:space="0" w:color="auto"/>
                    <w:right w:val="none" w:sz="0" w:space="0" w:color="auto"/>
                  </w:divBdr>
                </w:div>
                <w:div w:id="1309240055">
                  <w:marLeft w:val="0"/>
                  <w:marRight w:val="0"/>
                  <w:marTop w:val="0"/>
                  <w:marBottom w:val="0"/>
                  <w:divBdr>
                    <w:top w:val="none" w:sz="0" w:space="0" w:color="auto"/>
                    <w:left w:val="none" w:sz="0" w:space="0" w:color="auto"/>
                    <w:bottom w:val="none" w:sz="0" w:space="0" w:color="auto"/>
                    <w:right w:val="none" w:sz="0" w:space="0" w:color="auto"/>
                  </w:divBdr>
                </w:div>
                <w:div w:id="721289450">
                  <w:marLeft w:val="0"/>
                  <w:marRight w:val="0"/>
                  <w:marTop w:val="0"/>
                  <w:marBottom w:val="0"/>
                  <w:divBdr>
                    <w:top w:val="none" w:sz="0" w:space="0" w:color="auto"/>
                    <w:left w:val="none" w:sz="0" w:space="0" w:color="auto"/>
                    <w:bottom w:val="none" w:sz="0" w:space="0" w:color="auto"/>
                    <w:right w:val="none" w:sz="0" w:space="0" w:color="auto"/>
                  </w:divBdr>
                </w:div>
                <w:div w:id="163472437">
                  <w:marLeft w:val="0"/>
                  <w:marRight w:val="0"/>
                  <w:marTop w:val="0"/>
                  <w:marBottom w:val="0"/>
                  <w:divBdr>
                    <w:top w:val="none" w:sz="0" w:space="0" w:color="auto"/>
                    <w:left w:val="none" w:sz="0" w:space="0" w:color="auto"/>
                    <w:bottom w:val="none" w:sz="0" w:space="0" w:color="auto"/>
                    <w:right w:val="none" w:sz="0" w:space="0" w:color="auto"/>
                  </w:divBdr>
                </w:div>
                <w:div w:id="2005546271">
                  <w:marLeft w:val="0"/>
                  <w:marRight w:val="0"/>
                  <w:marTop w:val="0"/>
                  <w:marBottom w:val="0"/>
                  <w:divBdr>
                    <w:top w:val="none" w:sz="0" w:space="0" w:color="auto"/>
                    <w:left w:val="none" w:sz="0" w:space="0" w:color="auto"/>
                    <w:bottom w:val="none" w:sz="0" w:space="0" w:color="auto"/>
                    <w:right w:val="none" w:sz="0" w:space="0" w:color="auto"/>
                  </w:divBdr>
                </w:div>
                <w:div w:id="2091154187">
                  <w:marLeft w:val="0"/>
                  <w:marRight w:val="0"/>
                  <w:marTop w:val="0"/>
                  <w:marBottom w:val="0"/>
                  <w:divBdr>
                    <w:top w:val="none" w:sz="0" w:space="0" w:color="auto"/>
                    <w:left w:val="none" w:sz="0" w:space="0" w:color="auto"/>
                    <w:bottom w:val="none" w:sz="0" w:space="0" w:color="auto"/>
                    <w:right w:val="none" w:sz="0" w:space="0" w:color="auto"/>
                  </w:divBdr>
                </w:div>
                <w:div w:id="1883132333">
                  <w:marLeft w:val="0"/>
                  <w:marRight w:val="0"/>
                  <w:marTop w:val="0"/>
                  <w:marBottom w:val="0"/>
                  <w:divBdr>
                    <w:top w:val="none" w:sz="0" w:space="0" w:color="auto"/>
                    <w:left w:val="none" w:sz="0" w:space="0" w:color="auto"/>
                    <w:bottom w:val="none" w:sz="0" w:space="0" w:color="auto"/>
                    <w:right w:val="none" w:sz="0" w:space="0" w:color="auto"/>
                  </w:divBdr>
                </w:div>
                <w:div w:id="2031563459">
                  <w:marLeft w:val="0"/>
                  <w:marRight w:val="0"/>
                  <w:marTop w:val="0"/>
                  <w:marBottom w:val="0"/>
                  <w:divBdr>
                    <w:top w:val="none" w:sz="0" w:space="0" w:color="auto"/>
                    <w:left w:val="none" w:sz="0" w:space="0" w:color="auto"/>
                    <w:bottom w:val="none" w:sz="0" w:space="0" w:color="auto"/>
                    <w:right w:val="none" w:sz="0" w:space="0" w:color="auto"/>
                  </w:divBdr>
                </w:div>
                <w:div w:id="2076201598">
                  <w:marLeft w:val="0"/>
                  <w:marRight w:val="0"/>
                  <w:marTop w:val="0"/>
                  <w:marBottom w:val="0"/>
                  <w:divBdr>
                    <w:top w:val="none" w:sz="0" w:space="0" w:color="auto"/>
                    <w:left w:val="none" w:sz="0" w:space="0" w:color="auto"/>
                    <w:bottom w:val="none" w:sz="0" w:space="0" w:color="auto"/>
                    <w:right w:val="none" w:sz="0" w:space="0" w:color="auto"/>
                  </w:divBdr>
                </w:div>
                <w:div w:id="1482774272">
                  <w:marLeft w:val="0"/>
                  <w:marRight w:val="0"/>
                  <w:marTop w:val="0"/>
                  <w:marBottom w:val="0"/>
                  <w:divBdr>
                    <w:top w:val="none" w:sz="0" w:space="0" w:color="auto"/>
                    <w:left w:val="none" w:sz="0" w:space="0" w:color="auto"/>
                    <w:bottom w:val="none" w:sz="0" w:space="0" w:color="auto"/>
                    <w:right w:val="none" w:sz="0" w:space="0" w:color="auto"/>
                  </w:divBdr>
                </w:div>
                <w:div w:id="809253460">
                  <w:marLeft w:val="0"/>
                  <w:marRight w:val="0"/>
                  <w:marTop w:val="0"/>
                  <w:marBottom w:val="0"/>
                  <w:divBdr>
                    <w:top w:val="none" w:sz="0" w:space="0" w:color="auto"/>
                    <w:left w:val="none" w:sz="0" w:space="0" w:color="auto"/>
                    <w:bottom w:val="none" w:sz="0" w:space="0" w:color="auto"/>
                    <w:right w:val="none" w:sz="0" w:space="0" w:color="auto"/>
                  </w:divBdr>
                </w:div>
                <w:div w:id="904296166">
                  <w:marLeft w:val="0"/>
                  <w:marRight w:val="0"/>
                  <w:marTop w:val="0"/>
                  <w:marBottom w:val="0"/>
                  <w:divBdr>
                    <w:top w:val="none" w:sz="0" w:space="0" w:color="auto"/>
                    <w:left w:val="none" w:sz="0" w:space="0" w:color="auto"/>
                    <w:bottom w:val="none" w:sz="0" w:space="0" w:color="auto"/>
                    <w:right w:val="none" w:sz="0" w:space="0" w:color="auto"/>
                  </w:divBdr>
                </w:div>
                <w:div w:id="2071031331">
                  <w:marLeft w:val="0"/>
                  <w:marRight w:val="0"/>
                  <w:marTop w:val="0"/>
                  <w:marBottom w:val="0"/>
                  <w:divBdr>
                    <w:top w:val="none" w:sz="0" w:space="0" w:color="auto"/>
                    <w:left w:val="none" w:sz="0" w:space="0" w:color="auto"/>
                    <w:bottom w:val="none" w:sz="0" w:space="0" w:color="auto"/>
                    <w:right w:val="none" w:sz="0" w:space="0" w:color="auto"/>
                  </w:divBdr>
                </w:div>
                <w:div w:id="1380739993">
                  <w:marLeft w:val="0"/>
                  <w:marRight w:val="0"/>
                  <w:marTop w:val="0"/>
                  <w:marBottom w:val="0"/>
                  <w:divBdr>
                    <w:top w:val="none" w:sz="0" w:space="0" w:color="auto"/>
                    <w:left w:val="none" w:sz="0" w:space="0" w:color="auto"/>
                    <w:bottom w:val="none" w:sz="0" w:space="0" w:color="auto"/>
                    <w:right w:val="none" w:sz="0" w:space="0" w:color="auto"/>
                  </w:divBdr>
                </w:div>
                <w:div w:id="1961522433">
                  <w:marLeft w:val="0"/>
                  <w:marRight w:val="0"/>
                  <w:marTop w:val="0"/>
                  <w:marBottom w:val="0"/>
                  <w:divBdr>
                    <w:top w:val="none" w:sz="0" w:space="0" w:color="auto"/>
                    <w:left w:val="none" w:sz="0" w:space="0" w:color="auto"/>
                    <w:bottom w:val="none" w:sz="0" w:space="0" w:color="auto"/>
                    <w:right w:val="none" w:sz="0" w:space="0" w:color="auto"/>
                  </w:divBdr>
                </w:div>
                <w:div w:id="1398361499">
                  <w:marLeft w:val="0"/>
                  <w:marRight w:val="0"/>
                  <w:marTop w:val="0"/>
                  <w:marBottom w:val="0"/>
                  <w:divBdr>
                    <w:top w:val="none" w:sz="0" w:space="0" w:color="auto"/>
                    <w:left w:val="none" w:sz="0" w:space="0" w:color="auto"/>
                    <w:bottom w:val="none" w:sz="0" w:space="0" w:color="auto"/>
                    <w:right w:val="none" w:sz="0" w:space="0" w:color="auto"/>
                  </w:divBdr>
                </w:div>
                <w:div w:id="1654986212">
                  <w:marLeft w:val="0"/>
                  <w:marRight w:val="0"/>
                  <w:marTop w:val="0"/>
                  <w:marBottom w:val="0"/>
                  <w:divBdr>
                    <w:top w:val="none" w:sz="0" w:space="0" w:color="auto"/>
                    <w:left w:val="none" w:sz="0" w:space="0" w:color="auto"/>
                    <w:bottom w:val="none" w:sz="0" w:space="0" w:color="auto"/>
                    <w:right w:val="none" w:sz="0" w:space="0" w:color="auto"/>
                  </w:divBdr>
                </w:div>
                <w:div w:id="1336106905">
                  <w:marLeft w:val="0"/>
                  <w:marRight w:val="0"/>
                  <w:marTop w:val="0"/>
                  <w:marBottom w:val="0"/>
                  <w:divBdr>
                    <w:top w:val="none" w:sz="0" w:space="0" w:color="auto"/>
                    <w:left w:val="none" w:sz="0" w:space="0" w:color="auto"/>
                    <w:bottom w:val="none" w:sz="0" w:space="0" w:color="auto"/>
                    <w:right w:val="none" w:sz="0" w:space="0" w:color="auto"/>
                  </w:divBdr>
                </w:div>
                <w:div w:id="211503069">
                  <w:marLeft w:val="0"/>
                  <w:marRight w:val="0"/>
                  <w:marTop w:val="0"/>
                  <w:marBottom w:val="0"/>
                  <w:divBdr>
                    <w:top w:val="none" w:sz="0" w:space="0" w:color="auto"/>
                    <w:left w:val="none" w:sz="0" w:space="0" w:color="auto"/>
                    <w:bottom w:val="none" w:sz="0" w:space="0" w:color="auto"/>
                    <w:right w:val="none" w:sz="0" w:space="0" w:color="auto"/>
                  </w:divBdr>
                </w:div>
                <w:div w:id="42217379">
                  <w:marLeft w:val="0"/>
                  <w:marRight w:val="0"/>
                  <w:marTop w:val="0"/>
                  <w:marBottom w:val="0"/>
                  <w:divBdr>
                    <w:top w:val="none" w:sz="0" w:space="0" w:color="auto"/>
                    <w:left w:val="none" w:sz="0" w:space="0" w:color="auto"/>
                    <w:bottom w:val="none" w:sz="0" w:space="0" w:color="auto"/>
                    <w:right w:val="none" w:sz="0" w:space="0" w:color="auto"/>
                  </w:divBdr>
                </w:div>
                <w:div w:id="433865215">
                  <w:marLeft w:val="0"/>
                  <w:marRight w:val="0"/>
                  <w:marTop w:val="0"/>
                  <w:marBottom w:val="0"/>
                  <w:divBdr>
                    <w:top w:val="none" w:sz="0" w:space="0" w:color="auto"/>
                    <w:left w:val="none" w:sz="0" w:space="0" w:color="auto"/>
                    <w:bottom w:val="none" w:sz="0" w:space="0" w:color="auto"/>
                    <w:right w:val="none" w:sz="0" w:space="0" w:color="auto"/>
                  </w:divBdr>
                </w:div>
                <w:div w:id="41100467">
                  <w:marLeft w:val="0"/>
                  <w:marRight w:val="0"/>
                  <w:marTop w:val="0"/>
                  <w:marBottom w:val="0"/>
                  <w:divBdr>
                    <w:top w:val="none" w:sz="0" w:space="0" w:color="auto"/>
                    <w:left w:val="none" w:sz="0" w:space="0" w:color="auto"/>
                    <w:bottom w:val="none" w:sz="0" w:space="0" w:color="auto"/>
                    <w:right w:val="none" w:sz="0" w:space="0" w:color="auto"/>
                  </w:divBdr>
                </w:div>
                <w:div w:id="1801653806">
                  <w:marLeft w:val="0"/>
                  <w:marRight w:val="0"/>
                  <w:marTop w:val="0"/>
                  <w:marBottom w:val="0"/>
                  <w:divBdr>
                    <w:top w:val="none" w:sz="0" w:space="0" w:color="auto"/>
                    <w:left w:val="none" w:sz="0" w:space="0" w:color="auto"/>
                    <w:bottom w:val="none" w:sz="0" w:space="0" w:color="auto"/>
                    <w:right w:val="none" w:sz="0" w:space="0" w:color="auto"/>
                  </w:divBdr>
                </w:div>
                <w:div w:id="19359066">
                  <w:marLeft w:val="0"/>
                  <w:marRight w:val="0"/>
                  <w:marTop w:val="0"/>
                  <w:marBottom w:val="0"/>
                  <w:divBdr>
                    <w:top w:val="none" w:sz="0" w:space="0" w:color="auto"/>
                    <w:left w:val="none" w:sz="0" w:space="0" w:color="auto"/>
                    <w:bottom w:val="none" w:sz="0" w:space="0" w:color="auto"/>
                    <w:right w:val="none" w:sz="0" w:space="0" w:color="auto"/>
                  </w:divBdr>
                </w:div>
                <w:div w:id="1229068873">
                  <w:marLeft w:val="0"/>
                  <w:marRight w:val="0"/>
                  <w:marTop w:val="0"/>
                  <w:marBottom w:val="0"/>
                  <w:divBdr>
                    <w:top w:val="none" w:sz="0" w:space="0" w:color="auto"/>
                    <w:left w:val="none" w:sz="0" w:space="0" w:color="auto"/>
                    <w:bottom w:val="none" w:sz="0" w:space="0" w:color="auto"/>
                    <w:right w:val="none" w:sz="0" w:space="0" w:color="auto"/>
                  </w:divBdr>
                </w:div>
                <w:div w:id="1656761988">
                  <w:marLeft w:val="0"/>
                  <w:marRight w:val="0"/>
                  <w:marTop w:val="0"/>
                  <w:marBottom w:val="0"/>
                  <w:divBdr>
                    <w:top w:val="none" w:sz="0" w:space="0" w:color="auto"/>
                    <w:left w:val="none" w:sz="0" w:space="0" w:color="auto"/>
                    <w:bottom w:val="none" w:sz="0" w:space="0" w:color="auto"/>
                    <w:right w:val="none" w:sz="0" w:space="0" w:color="auto"/>
                  </w:divBdr>
                </w:div>
                <w:div w:id="319771118">
                  <w:marLeft w:val="0"/>
                  <w:marRight w:val="0"/>
                  <w:marTop w:val="0"/>
                  <w:marBottom w:val="0"/>
                  <w:divBdr>
                    <w:top w:val="none" w:sz="0" w:space="0" w:color="auto"/>
                    <w:left w:val="none" w:sz="0" w:space="0" w:color="auto"/>
                    <w:bottom w:val="none" w:sz="0" w:space="0" w:color="auto"/>
                    <w:right w:val="none" w:sz="0" w:space="0" w:color="auto"/>
                  </w:divBdr>
                </w:div>
                <w:div w:id="1145703762">
                  <w:marLeft w:val="0"/>
                  <w:marRight w:val="0"/>
                  <w:marTop w:val="0"/>
                  <w:marBottom w:val="0"/>
                  <w:divBdr>
                    <w:top w:val="none" w:sz="0" w:space="0" w:color="auto"/>
                    <w:left w:val="none" w:sz="0" w:space="0" w:color="auto"/>
                    <w:bottom w:val="none" w:sz="0" w:space="0" w:color="auto"/>
                    <w:right w:val="none" w:sz="0" w:space="0" w:color="auto"/>
                  </w:divBdr>
                </w:div>
                <w:div w:id="2140413001">
                  <w:marLeft w:val="0"/>
                  <w:marRight w:val="0"/>
                  <w:marTop w:val="0"/>
                  <w:marBottom w:val="0"/>
                  <w:divBdr>
                    <w:top w:val="none" w:sz="0" w:space="0" w:color="auto"/>
                    <w:left w:val="none" w:sz="0" w:space="0" w:color="auto"/>
                    <w:bottom w:val="none" w:sz="0" w:space="0" w:color="auto"/>
                    <w:right w:val="none" w:sz="0" w:space="0" w:color="auto"/>
                  </w:divBdr>
                </w:div>
                <w:div w:id="831218255">
                  <w:marLeft w:val="0"/>
                  <w:marRight w:val="0"/>
                  <w:marTop w:val="0"/>
                  <w:marBottom w:val="0"/>
                  <w:divBdr>
                    <w:top w:val="none" w:sz="0" w:space="0" w:color="auto"/>
                    <w:left w:val="none" w:sz="0" w:space="0" w:color="auto"/>
                    <w:bottom w:val="none" w:sz="0" w:space="0" w:color="auto"/>
                    <w:right w:val="none" w:sz="0" w:space="0" w:color="auto"/>
                  </w:divBdr>
                </w:div>
                <w:div w:id="116460863">
                  <w:marLeft w:val="0"/>
                  <w:marRight w:val="0"/>
                  <w:marTop w:val="0"/>
                  <w:marBottom w:val="0"/>
                  <w:divBdr>
                    <w:top w:val="none" w:sz="0" w:space="0" w:color="auto"/>
                    <w:left w:val="none" w:sz="0" w:space="0" w:color="auto"/>
                    <w:bottom w:val="none" w:sz="0" w:space="0" w:color="auto"/>
                    <w:right w:val="none" w:sz="0" w:space="0" w:color="auto"/>
                  </w:divBdr>
                </w:div>
                <w:div w:id="1204444864">
                  <w:marLeft w:val="0"/>
                  <w:marRight w:val="0"/>
                  <w:marTop w:val="0"/>
                  <w:marBottom w:val="0"/>
                  <w:divBdr>
                    <w:top w:val="none" w:sz="0" w:space="0" w:color="auto"/>
                    <w:left w:val="none" w:sz="0" w:space="0" w:color="auto"/>
                    <w:bottom w:val="none" w:sz="0" w:space="0" w:color="auto"/>
                    <w:right w:val="none" w:sz="0" w:space="0" w:color="auto"/>
                  </w:divBdr>
                </w:div>
                <w:div w:id="485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557">
      <w:bodyDiv w:val="1"/>
      <w:marLeft w:val="0"/>
      <w:marRight w:val="0"/>
      <w:marTop w:val="0"/>
      <w:marBottom w:val="0"/>
      <w:divBdr>
        <w:top w:val="none" w:sz="0" w:space="0" w:color="auto"/>
        <w:left w:val="none" w:sz="0" w:space="0" w:color="auto"/>
        <w:bottom w:val="none" w:sz="0" w:space="0" w:color="auto"/>
        <w:right w:val="none" w:sz="0" w:space="0" w:color="auto"/>
      </w:divBdr>
    </w:div>
    <w:div w:id="1627269617">
      <w:bodyDiv w:val="1"/>
      <w:marLeft w:val="0"/>
      <w:marRight w:val="0"/>
      <w:marTop w:val="0"/>
      <w:marBottom w:val="0"/>
      <w:divBdr>
        <w:top w:val="none" w:sz="0" w:space="0" w:color="auto"/>
        <w:left w:val="none" w:sz="0" w:space="0" w:color="auto"/>
        <w:bottom w:val="none" w:sz="0" w:space="0" w:color="auto"/>
        <w:right w:val="none" w:sz="0" w:space="0" w:color="auto"/>
      </w:divBdr>
    </w:div>
    <w:div w:id="20261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books/NBK279073/?report=classic" TargetMode="External"/><Relationship Id="rId21" Type="http://schemas.openxmlformats.org/officeDocument/2006/relationships/hyperlink" Target="https://www.ncbi.nlm.nih.gov/books/NBK279073/?report=classic" TargetMode="External"/><Relationship Id="rId42" Type="http://schemas.openxmlformats.org/officeDocument/2006/relationships/hyperlink" Target="https://www.ncbi.nlm.nih.gov/books/NBK279073/?report=classic" TargetMode="External"/><Relationship Id="rId63" Type="http://schemas.openxmlformats.org/officeDocument/2006/relationships/hyperlink" Target="https://www.ncbi.nlm.nih.gov/books/NBK279073/?report=classic" TargetMode="External"/><Relationship Id="rId84" Type="http://schemas.openxmlformats.org/officeDocument/2006/relationships/hyperlink" Target="https://www.ncbi.nlm.nih.gov/books/NBK279073/?report=classic" TargetMode="External"/><Relationship Id="rId138" Type="http://schemas.openxmlformats.org/officeDocument/2006/relationships/hyperlink" Target="https://www.ncbi.nlm.nih.gov/books/NBK279073/?report=classic" TargetMode="External"/><Relationship Id="rId159" Type="http://schemas.openxmlformats.org/officeDocument/2006/relationships/hyperlink" Target="https://www.ncbi.nlm.nih.gov/books/NBK279073/?report=classic" TargetMode="External"/><Relationship Id="rId170" Type="http://schemas.openxmlformats.org/officeDocument/2006/relationships/hyperlink" Target="https://www.ncbi.nlm.nih.gov/books/NBK279073/?report=classic" TargetMode="External"/><Relationship Id="rId191" Type="http://schemas.openxmlformats.org/officeDocument/2006/relationships/hyperlink" Target="https://www.ncbi.nlm.nih.gov/books/NBK279073/?report=classic" TargetMode="External"/><Relationship Id="rId205" Type="http://schemas.openxmlformats.org/officeDocument/2006/relationships/hyperlink" Target="https://www.ncbi.nlm.nih.gov/books/NBK279073/?report=classic" TargetMode="External"/><Relationship Id="rId107" Type="http://schemas.openxmlformats.org/officeDocument/2006/relationships/hyperlink" Target="https://www.ncbi.nlm.nih.gov/books/NBK279073/?report=classic" TargetMode="External"/><Relationship Id="rId11" Type="http://schemas.openxmlformats.org/officeDocument/2006/relationships/hyperlink" Target="http://www.shef.ac.uk/FRAX" TargetMode="External"/><Relationship Id="rId32" Type="http://schemas.openxmlformats.org/officeDocument/2006/relationships/hyperlink" Target="https://www.ncbi.nlm.nih.gov/books/NBK279073/?report=classic" TargetMode="External"/><Relationship Id="rId53" Type="http://schemas.openxmlformats.org/officeDocument/2006/relationships/hyperlink" Target="https://www.ncbi.nlm.nih.gov/books/NBK279073/?report=classic" TargetMode="External"/><Relationship Id="rId74" Type="http://schemas.openxmlformats.org/officeDocument/2006/relationships/hyperlink" Target="https://www.ncbi.nlm.nih.gov/books/NBK279073/?report=classic" TargetMode="External"/><Relationship Id="rId128" Type="http://schemas.openxmlformats.org/officeDocument/2006/relationships/hyperlink" Target="https://www.ncbi.nlm.nih.gov/books/NBK279073/?report=classic" TargetMode="External"/><Relationship Id="rId149" Type="http://schemas.openxmlformats.org/officeDocument/2006/relationships/hyperlink" Target="https://www.ncbi.nlm.nih.gov/books/NBK279073/?report=classic" TargetMode="External"/><Relationship Id="rId5" Type="http://schemas.openxmlformats.org/officeDocument/2006/relationships/webSettings" Target="webSettings.xml"/><Relationship Id="rId90" Type="http://schemas.openxmlformats.org/officeDocument/2006/relationships/hyperlink" Target="https://www.ncbi.nlm.nih.gov/books/NBK279073/?report=classic" TargetMode="External"/><Relationship Id="rId95" Type="http://schemas.openxmlformats.org/officeDocument/2006/relationships/hyperlink" Target="https://www.ncbi.nlm.nih.gov/books/NBK279073/?report=classic" TargetMode="External"/><Relationship Id="rId160" Type="http://schemas.openxmlformats.org/officeDocument/2006/relationships/hyperlink" Target="https://www.ncbi.nlm.nih.gov/books/NBK279073/?report=classic" TargetMode="External"/><Relationship Id="rId165" Type="http://schemas.openxmlformats.org/officeDocument/2006/relationships/hyperlink" Target="https://www.ncbi.nlm.nih.gov/books/NBK279073/table/osteoporosis-prevent.T.effects_of_fdaapp_1/?report=objectonly" TargetMode="External"/><Relationship Id="rId181" Type="http://schemas.openxmlformats.org/officeDocument/2006/relationships/hyperlink" Target="https://www.ncbi.nlm.nih.gov/books/NBK279073/?report=classic" TargetMode="External"/><Relationship Id="rId186" Type="http://schemas.openxmlformats.org/officeDocument/2006/relationships/hyperlink" Target="https://www.ncbi.nlm.nih.gov/books/NBK279073/?report=classic" TargetMode="External"/><Relationship Id="rId216" Type="http://schemas.openxmlformats.org/officeDocument/2006/relationships/hyperlink" Target="http://www.fda.gov/cder/drug/early_comm/bisphosphonates.htm" TargetMode="External"/><Relationship Id="rId211" Type="http://schemas.openxmlformats.org/officeDocument/2006/relationships/hyperlink" Target="https://www.ncbi.nlm.nih.gov/books/NBK279073/?report=classic" TargetMode="External"/><Relationship Id="rId22" Type="http://schemas.openxmlformats.org/officeDocument/2006/relationships/hyperlink" Target="http://www.healthyeating.org/Healthy-Eating/Healthy-Eating-Tools/Calcium-Quiz.aspx?action=quiz" TargetMode="External"/><Relationship Id="rId27" Type="http://schemas.openxmlformats.org/officeDocument/2006/relationships/hyperlink" Target="https://www.ncbi.nlm.nih.gov/books/NBK279073/?report=classic" TargetMode="External"/><Relationship Id="rId43" Type="http://schemas.openxmlformats.org/officeDocument/2006/relationships/hyperlink" Target="https://www.ncbi.nlm.nih.gov/books/NBK279073/?report=classic" TargetMode="External"/><Relationship Id="rId48" Type="http://schemas.openxmlformats.org/officeDocument/2006/relationships/hyperlink" Target="https://www.ncbi.nlm.nih.gov/books/NBK279073/?report=classic" TargetMode="External"/><Relationship Id="rId64" Type="http://schemas.openxmlformats.org/officeDocument/2006/relationships/hyperlink" Target="https://www.ncbi.nlm.nih.gov/books/NBK279073/?report=classic" TargetMode="External"/><Relationship Id="rId69" Type="http://schemas.openxmlformats.org/officeDocument/2006/relationships/hyperlink" Target="https://www.ncbi.nlm.nih.gov/books/NBK279073/?report=classic" TargetMode="External"/><Relationship Id="rId113" Type="http://schemas.openxmlformats.org/officeDocument/2006/relationships/hyperlink" Target="https://www.ncbi.nlm.nih.gov/books/NBK279073/?report=classic" TargetMode="External"/><Relationship Id="rId118" Type="http://schemas.openxmlformats.org/officeDocument/2006/relationships/hyperlink" Target="https://www.ncbi.nlm.nih.gov/books/NBK279073/?report=classic" TargetMode="External"/><Relationship Id="rId134" Type="http://schemas.openxmlformats.org/officeDocument/2006/relationships/hyperlink" Target="https://www.ncbi.nlm.nih.gov/books/NBK279073/?report=classic" TargetMode="External"/><Relationship Id="rId139" Type="http://schemas.openxmlformats.org/officeDocument/2006/relationships/hyperlink" Target="https://www.ncbi.nlm.nih.gov/books/NBK279073/?report=classic" TargetMode="External"/><Relationship Id="rId80" Type="http://schemas.openxmlformats.org/officeDocument/2006/relationships/hyperlink" Target="https://www.ncbi.nlm.nih.gov/books/NBK279073/?report=classic" TargetMode="External"/><Relationship Id="rId85" Type="http://schemas.openxmlformats.org/officeDocument/2006/relationships/hyperlink" Target="https://www.ncbi.nlm.nih.gov/books/NBK279073/?report=classic" TargetMode="External"/><Relationship Id="rId150" Type="http://schemas.openxmlformats.org/officeDocument/2006/relationships/hyperlink" Target="https://www.ncbi.nlm.nih.gov/books/NBK279073/?report=classic" TargetMode="External"/><Relationship Id="rId155" Type="http://schemas.openxmlformats.org/officeDocument/2006/relationships/hyperlink" Target="https://www.ncbi.nlm.nih.gov/books/NBK279073/?report=classic" TargetMode="External"/><Relationship Id="rId171" Type="http://schemas.openxmlformats.org/officeDocument/2006/relationships/hyperlink" Target="https://www.ncbi.nlm.nih.gov/books/NBK279073/?report=classic" TargetMode="External"/><Relationship Id="rId176" Type="http://schemas.openxmlformats.org/officeDocument/2006/relationships/hyperlink" Target="https://www.ncbi.nlm.nih.gov/books/NBK279073/?report=classic" TargetMode="External"/><Relationship Id="rId192" Type="http://schemas.openxmlformats.org/officeDocument/2006/relationships/hyperlink" Target="https://www.ncbi.nlm.nih.gov/books/NBK279073/?report=classic" TargetMode="External"/><Relationship Id="rId197" Type="http://schemas.openxmlformats.org/officeDocument/2006/relationships/hyperlink" Target="https://www.ncbi.nlm.nih.gov/books/NBK279073/?report=classic" TargetMode="External"/><Relationship Id="rId206" Type="http://schemas.openxmlformats.org/officeDocument/2006/relationships/hyperlink" Target="https://www.ncbi.nlm.nih.gov/books/NBK279073/?report=classic" TargetMode="External"/><Relationship Id="rId201" Type="http://schemas.openxmlformats.org/officeDocument/2006/relationships/hyperlink" Target="https://www.ncbi.nlm.nih.gov/books/NBK279073/?report=classic" TargetMode="External"/><Relationship Id="rId12" Type="http://schemas.openxmlformats.org/officeDocument/2006/relationships/hyperlink" Target="https://www.ncbi.nlm.nih.gov/books/NBK279073/?report=classic" TargetMode="External"/><Relationship Id="rId17" Type="http://schemas.openxmlformats.org/officeDocument/2006/relationships/hyperlink" Target="https://www.ncbi.nlm.nih.gov/books/NBK279073/?report=classic" TargetMode="External"/><Relationship Id="rId33" Type="http://schemas.openxmlformats.org/officeDocument/2006/relationships/hyperlink" Target="https://www.ncbi.nlm.nih.gov/books/NBK279073/?report=classic" TargetMode="External"/><Relationship Id="rId38" Type="http://schemas.openxmlformats.org/officeDocument/2006/relationships/hyperlink" Target="https://www.ncbi.nlm.nih.gov/books/NBK279073/?report=classic" TargetMode="External"/><Relationship Id="rId59" Type="http://schemas.openxmlformats.org/officeDocument/2006/relationships/hyperlink" Target="https://www.ncbi.nlm.nih.gov/books/NBK279073/?report=classic" TargetMode="External"/><Relationship Id="rId103" Type="http://schemas.openxmlformats.org/officeDocument/2006/relationships/hyperlink" Target="https://www.ncbi.nlm.nih.gov/books/NBK279073/?report=classic" TargetMode="External"/><Relationship Id="rId108" Type="http://schemas.openxmlformats.org/officeDocument/2006/relationships/hyperlink" Target="https://www.ncbi.nlm.nih.gov/books/NBK279073/?report=classic" TargetMode="External"/><Relationship Id="rId124" Type="http://schemas.openxmlformats.org/officeDocument/2006/relationships/hyperlink" Target="https://www.ncbi.nlm.nih.gov/books/NBK279073/?report=classic" TargetMode="External"/><Relationship Id="rId129" Type="http://schemas.openxmlformats.org/officeDocument/2006/relationships/hyperlink" Target="https://www.ncbi.nlm.nih.gov/books/NBK279073/?report=classic" TargetMode="External"/><Relationship Id="rId54" Type="http://schemas.openxmlformats.org/officeDocument/2006/relationships/hyperlink" Target="https://www.ncbi.nlm.nih.gov/books/NBK279073/?report=classic" TargetMode="External"/><Relationship Id="rId70" Type="http://schemas.openxmlformats.org/officeDocument/2006/relationships/hyperlink" Target="https://www.ncbi.nlm.nih.gov/books/NBK279073/?report=classic" TargetMode="External"/><Relationship Id="rId75" Type="http://schemas.openxmlformats.org/officeDocument/2006/relationships/hyperlink" Target="https://www.ncbi.nlm.nih.gov/books/NBK279073/?report=classic" TargetMode="External"/><Relationship Id="rId91" Type="http://schemas.openxmlformats.org/officeDocument/2006/relationships/hyperlink" Target="https://www.ncbi.nlm.nih.gov/books/NBK279073/?report=classic" TargetMode="External"/><Relationship Id="rId96" Type="http://schemas.openxmlformats.org/officeDocument/2006/relationships/hyperlink" Target="https://www.ncbi.nlm.nih.gov/books/NBK279073/?report=classic" TargetMode="External"/><Relationship Id="rId140" Type="http://schemas.openxmlformats.org/officeDocument/2006/relationships/hyperlink" Target="https://www.ncbi.nlm.nih.gov/books/NBK279073/?report=classic" TargetMode="External"/><Relationship Id="rId145" Type="http://schemas.openxmlformats.org/officeDocument/2006/relationships/hyperlink" Target="https://www.ncbi.nlm.nih.gov/books/NBK279073/?report=classic" TargetMode="External"/><Relationship Id="rId161" Type="http://schemas.openxmlformats.org/officeDocument/2006/relationships/hyperlink" Target="https://www.ncbi.nlm.nih.gov/books/NBK279073/?report=classic" TargetMode="External"/><Relationship Id="rId166" Type="http://schemas.openxmlformats.org/officeDocument/2006/relationships/hyperlink" Target="https://www.ncbi.nlm.nih.gov/books/NBK279073/?report=classic" TargetMode="External"/><Relationship Id="rId182" Type="http://schemas.openxmlformats.org/officeDocument/2006/relationships/hyperlink" Target="https://www.ncbi.nlm.nih.gov/books/NBK279073/?report=classic" TargetMode="External"/><Relationship Id="rId187" Type="http://schemas.openxmlformats.org/officeDocument/2006/relationships/hyperlink" Target="https://www.ncbi.nlm.nih.gov/books/NBK279073/?report=classic"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cbi.nlm.nih.gov/books/NBK279073/?report=classic" TargetMode="External"/><Relationship Id="rId212" Type="http://schemas.openxmlformats.org/officeDocument/2006/relationships/hyperlink" Target="https://www.ncbi.nlm.nih.gov/books/NBK279073/?report=classic" TargetMode="External"/><Relationship Id="rId23" Type="http://schemas.openxmlformats.org/officeDocument/2006/relationships/hyperlink" Target="https://www.iofbonehealth.org/calcium-calculator" TargetMode="External"/><Relationship Id="rId28" Type="http://schemas.openxmlformats.org/officeDocument/2006/relationships/hyperlink" Target="https://www.ncbi.nlm.nih.gov/books/NBK279073/?report=classic" TargetMode="External"/><Relationship Id="rId49" Type="http://schemas.openxmlformats.org/officeDocument/2006/relationships/hyperlink" Target="https://www.ncbi.nlm.nih.gov/books/NBK279073/?report=classic" TargetMode="External"/><Relationship Id="rId114" Type="http://schemas.openxmlformats.org/officeDocument/2006/relationships/hyperlink" Target="https://www.ncbi.nlm.nih.gov/books/NBK279073/?report=classic" TargetMode="External"/><Relationship Id="rId119" Type="http://schemas.openxmlformats.org/officeDocument/2006/relationships/hyperlink" Target="https://www.ncbi.nlm.nih.gov/books/NBK279073/?report=classic" TargetMode="External"/><Relationship Id="rId44" Type="http://schemas.openxmlformats.org/officeDocument/2006/relationships/hyperlink" Target="https://www.ncbi.nlm.nih.gov/books/NBK279073/?report=classic" TargetMode="External"/><Relationship Id="rId60" Type="http://schemas.openxmlformats.org/officeDocument/2006/relationships/hyperlink" Target="https://www.ncbi.nlm.nih.gov/books/NBK279073/?report=classic" TargetMode="External"/><Relationship Id="rId65" Type="http://schemas.openxmlformats.org/officeDocument/2006/relationships/hyperlink" Target="https://www.ncbi.nlm.nih.gov/books/NBK279073/?report=classic" TargetMode="External"/><Relationship Id="rId81" Type="http://schemas.openxmlformats.org/officeDocument/2006/relationships/hyperlink" Target="https://www.ncbi.nlm.nih.gov/books/NBK279073/?report=classic" TargetMode="External"/><Relationship Id="rId86" Type="http://schemas.openxmlformats.org/officeDocument/2006/relationships/hyperlink" Target="https://www.ncbi.nlm.nih.gov/books/NBK279073/?report=classic" TargetMode="External"/><Relationship Id="rId130" Type="http://schemas.openxmlformats.org/officeDocument/2006/relationships/hyperlink" Target="https://www.ncbi.nlm.nih.gov/books/NBK279073/?report=classic" TargetMode="External"/><Relationship Id="rId135" Type="http://schemas.openxmlformats.org/officeDocument/2006/relationships/hyperlink" Target="https://www.ncbi.nlm.nih.gov/books/NBK279073/?report=classic" TargetMode="External"/><Relationship Id="rId151" Type="http://schemas.openxmlformats.org/officeDocument/2006/relationships/hyperlink" Target="https://www.ncbi.nlm.nih.gov/books/NBK279073/?report=classic" TargetMode="External"/><Relationship Id="rId156" Type="http://schemas.openxmlformats.org/officeDocument/2006/relationships/hyperlink" Target="https://www.ncbi.nlm.nih.gov/books/NBK279073/?report=classic" TargetMode="External"/><Relationship Id="rId177" Type="http://schemas.openxmlformats.org/officeDocument/2006/relationships/hyperlink" Target="https://www.ncbi.nlm.nih.gov/books/NBK279073/?report=classic" TargetMode="External"/><Relationship Id="rId198" Type="http://schemas.openxmlformats.org/officeDocument/2006/relationships/hyperlink" Target="https://www.ncbi.nlm.nih.gov/books/NBK279073/?report=classic" TargetMode="External"/><Relationship Id="rId172" Type="http://schemas.openxmlformats.org/officeDocument/2006/relationships/hyperlink" Target="https://www.ncbi.nlm.nih.gov/books/NBK279073/?report=classic" TargetMode="External"/><Relationship Id="rId193" Type="http://schemas.openxmlformats.org/officeDocument/2006/relationships/hyperlink" Target="https://www.ncbi.nlm.nih.gov/books/NBK279073/?report=classic" TargetMode="External"/><Relationship Id="rId202" Type="http://schemas.openxmlformats.org/officeDocument/2006/relationships/hyperlink" Target="https://www.ncbi.nlm.nih.gov/books/NBK279073/?report=classic" TargetMode="External"/><Relationship Id="rId207" Type="http://schemas.openxmlformats.org/officeDocument/2006/relationships/hyperlink" Target="https://www.ncbi.nlm.nih.gov/books/NBK279073/?report=classic" TargetMode="External"/><Relationship Id="rId13" Type="http://schemas.openxmlformats.org/officeDocument/2006/relationships/hyperlink" Target="https://www.ncbi.nlm.nih.gov/books/NBK279073/?report=classic" TargetMode="External"/><Relationship Id="rId18" Type="http://schemas.openxmlformats.org/officeDocument/2006/relationships/hyperlink" Target="https://www.ncbi.nlm.nih.gov/books/NBK279073/?report=classic" TargetMode="External"/><Relationship Id="rId39" Type="http://schemas.openxmlformats.org/officeDocument/2006/relationships/hyperlink" Target="https://www.ncbi.nlm.nih.gov/books/NBK279073/?report=classic" TargetMode="External"/><Relationship Id="rId109" Type="http://schemas.openxmlformats.org/officeDocument/2006/relationships/hyperlink" Target="https://www.ncbi.nlm.nih.gov/books/NBK279073/?report=classic" TargetMode="External"/><Relationship Id="rId34" Type="http://schemas.openxmlformats.org/officeDocument/2006/relationships/hyperlink" Target="https://www.ncbi.nlm.nih.gov/books/NBK279073/?report=classic" TargetMode="External"/><Relationship Id="rId50" Type="http://schemas.openxmlformats.org/officeDocument/2006/relationships/hyperlink" Target="https://www.ncbi.nlm.nih.gov/books/NBK279073/?report=classic" TargetMode="External"/><Relationship Id="rId55" Type="http://schemas.openxmlformats.org/officeDocument/2006/relationships/hyperlink" Target="https://www.ncbi.nlm.nih.gov/books/NBK279073/table/osteoporosis-prevent.T.effects_of_fdaapp/?report=objectonly" TargetMode="External"/><Relationship Id="rId76" Type="http://schemas.openxmlformats.org/officeDocument/2006/relationships/hyperlink" Target="https://www.ncbi.nlm.nih.gov/books/NBK279073/table/osteoporosis-prevent.T.effects_of_fdaapp_1/?report=objectonly" TargetMode="External"/><Relationship Id="rId97" Type="http://schemas.openxmlformats.org/officeDocument/2006/relationships/hyperlink" Target="https://www.ncbi.nlm.nih.gov/books/NBK279073/?report=classic" TargetMode="External"/><Relationship Id="rId104" Type="http://schemas.openxmlformats.org/officeDocument/2006/relationships/hyperlink" Target="https://www.ncbi.nlm.nih.gov/books/NBK279073/?report=classic" TargetMode="External"/><Relationship Id="rId120" Type="http://schemas.openxmlformats.org/officeDocument/2006/relationships/hyperlink" Target="https://www.ncbi.nlm.nih.gov/books/NBK279073/?report=classic" TargetMode="External"/><Relationship Id="rId125" Type="http://schemas.openxmlformats.org/officeDocument/2006/relationships/hyperlink" Target="https://www.ncbi.nlm.nih.gov/books/NBK279073/?report=classic" TargetMode="External"/><Relationship Id="rId141" Type="http://schemas.openxmlformats.org/officeDocument/2006/relationships/hyperlink" Target="https://www.ncbi.nlm.nih.gov/books/NBK279073/?report=classic" TargetMode="External"/><Relationship Id="rId146" Type="http://schemas.openxmlformats.org/officeDocument/2006/relationships/hyperlink" Target="https://www.ncbi.nlm.nih.gov/books/NBK279073/?report=classic" TargetMode="External"/><Relationship Id="rId167" Type="http://schemas.openxmlformats.org/officeDocument/2006/relationships/hyperlink" Target="https://www.ncbi.nlm.nih.gov/books/NBK279073/?report=classic" TargetMode="External"/><Relationship Id="rId188" Type="http://schemas.openxmlformats.org/officeDocument/2006/relationships/hyperlink" Target="https://www.ncbi.nlm.nih.gov/books/NBK279073/?report=classic" TargetMode="External"/><Relationship Id="rId7" Type="http://schemas.openxmlformats.org/officeDocument/2006/relationships/hyperlink" Target="https://www.ncbi.nlm.nih.gov/books/NBK279073/?report=classic" TargetMode="External"/><Relationship Id="rId71" Type="http://schemas.openxmlformats.org/officeDocument/2006/relationships/hyperlink" Target="https://www.ncbi.nlm.nih.gov/books/NBK279073/?report=classic" TargetMode="External"/><Relationship Id="rId92" Type="http://schemas.openxmlformats.org/officeDocument/2006/relationships/hyperlink" Target="https://www.ncbi.nlm.nih.gov/books/NBK279073/?report=classic" TargetMode="External"/><Relationship Id="rId162" Type="http://schemas.openxmlformats.org/officeDocument/2006/relationships/hyperlink" Target="https://www.ncbi.nlm.nih.gov/books/NBK279073/?report=classic" TargetMode="External"/><Relationship Id="rId183" Type="http://schemas.openxmlformats.org/officeDocument/2006/relationships/hyperlink" Target="https://www.ncbi.nlm.nih.gov/books/NBK279073/?report=classic" TargetMode="External"/><Relationship Id="rId213" Type="http://schemas.openxmlformats.org/officeDocument/2006/relationships/hyperlink" Target="https://www.ncbi.nlm.nih.gov/books/NBK279073/?report=classic"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ncbi.nlm.nih.gov/books/NBK279073/?report=classic" TargetMode="External"/><Relationship Id="rId24" Type="http://schemas.openxmlformats.org/officeDocument/2006/relationships/hyperlink" Target="https://www.ncbi.nlm.nih.gov/books/NBK279073/?report=classic" TargetMode="External"/><Relationship Id="rId40" Type="http://schemas.openxmlformats.org/officeDocument/2006/relationships/hyperlink" Target="https://www.ncbi.nlm.nih.gov/books/NBK279073/?report=classic" TargetMode="External"/><Relationship Id="rId45" Type="http://schemas.openxmlformats.org/officeDocument/2006/relationships/hyperlink" Target="https://www.ncbi.nlm.nih.gov/books/NBK279073/?report=classic" TargetMode="External"/><Relationship Id="rId66" Type="http://schemas.openxmlformats.org/officeDocument/2006/relationships/hyperlink" Target="https://www.ncbi.nlm.nih.gov/books/NBK279073/?report=classic" TargetMode="External"/><Relationship Id="rId87" Type="http://schemas.openxmlformats.org/officeDocument/2006/relationships/hyperlink" Target="https://www.ncbi.nlm.nih.gov/books/NBK279073/?report=classic" TargetMode="External"/><Relationship Id="rId110" Type="http://schemas.openxmlformats.org/officeDocument/2006/relationships/hyperlink" Target="https://www.ncbi.nlm.nih.gov/books/NBK279073/?report=classic" TargetMode="External"/><Relationship Id="rId115" Type="http://schemas.openxmlformats.org/officeDocument/2006/relationships/hyperlink" Target="https://www.ncbi.nlm.nih.gov/books/NBK279073/?report=classic" TargetMode="External"/><Relationship Id="rId131" Type="http://schemas.openxmlformats.org/officeDocument/2006/relationships/hyperlink" Target="https://www.ncbi.nlm.nih.gov/books/NBK279073/?report=classic" TargetMode="External"/><Relationship Id="rId136" Type="http://schemas.openxmlformats.org/officeDocument/2006/relationships/hyperlink" Target="https://www.ncbi.nlm.nih.gov/books/NBK279073/?report=classic" TargetMode="External"/><Relationship Id="rId157" Type="http://schemas.openxmlformats.org/officeDocument/2006/relationships/hyperlink" Target="https://www.ncbi.nlm.nih.gov/books/NBK279073/?report=classic" TargetMode="External"/><Relationship Id="rId178" Type="http://schemas.openxmlformats.org/officeDocument/2006/relationships/hyperlink" Target="https://www.ncbi.nlm.nih.gov/books/NBK279073/?report=classic" TargetMode="External"/><Relationship Id="rId61" Type="http://schemas.openxmlformats.org/officeDocument/2006/relationships/hyperlink" Target="https://www.ncbi.nlm.nih.gov/books/NBK279073/?report=classic" TargetMode="External"/><Relationship Id="rId82" Type="http://schemas.openxmlformats.org/officeDocument/2006/relationships/hyperlink" Target="https://www.ncbi.nlm.nih.gov/books/NBK279073/?report=classic" TargetMode="External"/><Relationship Id="rId152" Type="http://schemas.openxmlformats.org/officeDocument/2006/relationships/hyperlink" Target="https://www.ncbi.nlm.nih.gov/books/NBK279073/?report=classic" TargetMode="External"/><Relationship Id="rId173" Type="http://schemas.openxmlformats.org/officeDocument/2006/relationships/hyperlink" Target="https://www.ncbi.nlm.nih.gov/books/NBK279073/?report=classic" TargetMode="External"/><Relationship Id="rId194" Type="http://schemas.openxmlformats.org/officeDocument/2006/relationships/hyperlink" Target="https://www.ncbi.nlm.nih.gov/books/NBK279073/?report=classic" TargetMode="External"/><Relationship Id="rId199" Type="http://schemas.openxmlformats.org/officeDocument/2006/relationships/hyperlink" Target="https://www.ncbi.nlm.nih.gov/books/NBK279073/?report=classic" TargetMode="External"/><Relationship Id="rId203" Type="http://schemas.openxmlformats.org/officeDocument/2006/relationships/hyperlink" Target="https://www.ncbi.nlm.nih.gov/books/NBK279073/?report=classic" TargetMode="External"/><Relationship Id="rId208" Type="http://schemas.openxmlformats.org/officeDocument/2006/relationships/hyperlink" Target="https://www.ncbi.nlm.nih.gov/books/NBK279073/?report=classic" TargetMode="External"/><Relationship Id="rId19" Type="http://schemas.openxmlformats.org/officeDocument/2006/relationships/hyperlink" Target="https://www.ncbi.nlm.nih.gov/books/NBK279073/table/osteoporosis-prevent.T.recommended_daily/?report=objectonly" TargetMode="External"/><Relationship Id="rId14" Type="http://schemas.openxmlformats.org/officeDocument/2006/relationships/hyperlink" Target="https://www.ncbi.nlm.nih.gov/books/NBK279073/?report=classic" TargetMode="External"/><Relationship Id="rId30" Type="http://schemas.openxmlformats.org/officeDocument/2006/relationships/hyperlink" Target="https://www.ncbi.nlm.nih.gov/books/NBK279073/?report=classic" TargetMode="External"/><Relationship Id="rId35" Type="http://schemas.openxmlformats.org/officeDocument/2006/relationships/hyperlink" Target="https://www.ncbi.nlm.nih.gov/books/NBK279073/?report=classic" TargetMode="External"/><Relationship Id="rId56" Type="http://schemas.openxmlformats.org/officeDocument/2006/relationships/hyperlink" Target="https://www.ncbi.nlm.nih.gov/books/NBK279073/?report=classic" TargetMode="External"/><Relationship Id="rId77" Type="http://schemas.openxmlformats.org/officeDocument/2006/relationships/hyperlink" Target="https://www.ncbi.nlm.nih.gov/books/NBK279073/?report=classic" TargetMode="External"/><Relationship Id="rId100" Type="http://schemas.openxmlformats.org/officeDocument/2006/relationships/hyperlink" Target="https://www.ncbi.nlm.nih.gov/books/NBK279073/?report=classic" TargetMode="External"/><Relationship Id="rId105" Type="http://schemas.openxmlformats.org/officeDocument/2006/relationships/hyperlink" Target="https://www.ncbi.nlm.nih.gov/books/NBK279073/?report=classic" TargetMode="External"/><Relationship Id="rId126" Type="http://schemas.openxmlformats.org/officeDocument/2006/relationships/hyperlink" Target="https://www.ncbi.nlm.nih.gov/books/NBK279073/?report=classic" TargetMode="External"/><Relationship Id="rId147" Type="http://schemas.openxmlformats.org/officeDocument/2006/relationships/hyperlink" Target="https://www.ncbi.nlm.nih.gov/books/NBK279073/?report=classic" TargetMode="External"/><Relationship Id="rId168" Type="http://schemas.openxmlformats.org/officeDocument/2006/relationships/hyperlink" Target="https://www.ncbi.nlm.nih.gov/books/NBK279073/?report=classic" TargetMode="External"/><Relationship Id="rId8" Type="http://schemas.openxmlformats.org/officeDocument/2006/relationships/hyperlink" Target="https://www.ncbi.nlm.nih.gov/books/NBK279073/?report=classic" TargetMode="External"/><Relationship Id="rId51" Type="http://schemas.openxmlformats.org/officeDocument/2006/relationships/hyperlink" Target="https://www.ncbi.nlm.nih.gov/books/NBK279073/?report=classic" TargetMode="External"/><Relationship Id="rId72" Type="http://schemas.openxmlformats.org/officeDocument/2006/relationships/hyperlink" Target="https://www.ncbi.nlm.nih.gov/books/NBK279073/?report=classic" TargetMode="External"/><Relationship Id="rId93" Type="http://schemas.openxmlformats.org/officeDocument/2006/relationships/hyperlink" Target="https://www.ncbi.nlm.nih.gov/books/NBK279073/?report=classic" TargetMode="External"/><Relationship Id="rId98" Type="http://schemas.openxmlformats.org/officeDocument/2006/relationships/hyperlink" Target="https://www.ncbi.nlm.nih.gov/books/NBK279073/?report=classic" TargetMode="External"/><Relationship Id="rId121" Type="http://schemas.openxmlformats.org/officeDocument/2006/relationships/hyperlink" Target="https://www.ncbi.nlm.nih.gov/books/NBK279073/?report=classic" TargetMode="External"/><Relationship Id="rId142" Type="http://schemas.openxmlformats.org/officeDocument/2006/relationships/hyperlink" Target="https://www.ncbi.nlm.nih.gov/books/NBK279073/?report=classic" TargetMode="External"/><Relationship Id="rId163" Type="http://schemas.openxmlformats.org/officeDocument/2006/relationships/hyperlink" Target="https://www.ncbi.nlm.nih.gov/books/NBK279073/?report=classic" TargetMode="External"/><Relationship Id="rId184" Type="http://schemas.openxmlformats.org/officeDocument/2006/relationships/hyperlink" Target="https://www.ncbi.nlm.nih.gov/books/NBK279073/?report=classic" TargetMode="External"/><Relationship Id="rId189" Type="http://schemas.openxmlformats.org/officeDocument/2006/relationships/hyperlink" Target="https://www.ncbi.nlm.nih.gov/books/NBK279073/?report=classic" TargetMode="External"/><Relationship Id="rId3" Type="http://schemas.openxmlformats.org/officeDocument/2006/relationships/styles" Target="styles.xml"/><Relationship Id="rId214" Type="http://schemas.openxmlformats.org/officeDocument/2006/relationships/hyperlink" Target="https://www.ncbi.nlm.nih.gov/books/NBK279073/?report=classic" TargetMode="External"/><Relationship Id="rId25" Type="http://schemas.openxmlformats.org/officeDocument/2006/relationships/hyperlink" Target="https://www.ncbi.nlm.nih.gov/books/NBK279073/?report=classic" TargetMode="External"/><Relationship Id="rId46" Type="http://schemas.openxmlformats.org/officeDocument/2006/relationships/hyperlink" Target="https://www.ncbi.nlm.nih.gov/books/NBK279073/?report=classic" TargetMode="External"/><Relationship Id="rId67" Type="http://schemas.openxmlformats.org/officeDocument/2006/relationships/hyperlink" Target="https://www.ncbi.nlm.nih.gov/books/NBK279073/?report=classic" TargetMode="External"/><Relationship Id="rId116" Type="http://schemas.openxmlformats.org/officeDocument/2006/relationships/hyperlink" Target="https://www.ncbi.nlm.nih.gov/books/NBK279073/?report=classic" TargetMode="External"/><Relationship Id="rId137" Type="http://schemas.openxmlformats.org/officeDocument/2006/relationships/hyperlink" Target="https://www.ncbi.nlm.nih.gov/books/NBK279073/?report=classic" TargetMode="External"/><Relationship Id="rId158" Type="http://schemas.openxmlformats.org/officeDocument/2006/relationships/hyperlink" Target="https://www.ncbi.nlm.nih.gov/books/NBK279073/?report=classic" TargetMode="External"/><Relationship Id="rId20" Type="http://schemas.openxmlformats.org/officeDocument/2006/relationships/hyperlink" Target="https://www.ncbi.nlm.nih.gov/books/NBK279073/?report=classic" TargetMode="External"/><Relationship Id="rId41" Type="http://schemas.openxmlformats.org/officeDocument/2006/relationships/hyperlink" Target="https://www.ncbi.nlm.nih.gov/books/NBK279073/?report=classic" TargetMode="External"/><Relationship Id="rId62" Type="http://schemas.openxmlformats.org/officeDocument/2006/relationships/hyperlink" Target="https://www.ncbi.nlm.nih.gov/books/NBK279073/?report=classic" TargetMode="External"/><Relationship Id="rId83" Type="http://schemas.openxmlformats.org/officeDocument/2006/relationships/hyperlink" Target="https://www.ncbi.nlm.nih.gov/books/NBK279073/?report=classic" TargetMode="External"/><Relationship Id="rId88" Type="http://schemas.openxmlformats.org/officeDocument/2006/relationships/hyperlink" Target="https://www.ncbi.nlm.nih.gov/books/NBK279073/?report=classic" TargetMode="External"/><Relationship Id="rId111" Type="http://schemas.openxmlformats.org/officeDocument/2006/relationships/hyperlink" Target="https://www.ncbi.nlm.nih.gov/books/NBK279073/?report=classic" TargetMode="External"/><Relationship Id="rId132" Type="http://schemas.openxmlformats.org/officeDocument/2006/relationships/hyperlink" Target="https://www.ncbi.nlm.nih.gov/books/NBK279073/?report=classic" TargetMode="External"/><Relationship Id="rId153" Type="http://schemas.openxmlformats.org/officeDocument/2006/relationships/hyperlink" Target="https://www.ncbi.nlm.nih.gov/books/NBK279073/?report=classic" TargetMode="External"/><Relationship Id="rId174" Type="http://schemas.openxmlformats.org/officeDocument/2006/relationships/hyperlink" Target="https://www.ncbi.nlm.nih.gov/books/NBK279073/?report=classic" TargetMode="External"/><Relationship Id="rId179" Type="http://schemas.openxmlformats.org/officeDocument/2006/relationships/hyperlink" Target="https://www.ncbi.nlm.nih.gov/books/NBK279073/?report=classic" TargetMode="External"/><Relationship Id="rId195" Type="http://schemas.openxmlformats.org/officeDocument/2006/relationships/hyperlink" Target="https://www.ncbi.nlm.nih.gov/books/NBK279073/?report=classic" TargetMode="External"/><Relationship Id="rId209" Type="http://schemas.openxmlformats.org/officeDocument/2006/relationships/hyperlink" Target="https://www.ncbi.nlm.nih.gov/books/NBK279073/?report=classic" TargetMode="External"/><Relationship Id="rId190" Type="http://schemas.openxmlformats.org/officeDocument/2006/relationships/hyperlink" Target="https://www.ncbi.nlm.nih.gov/books/NBK279073/?report=classic" TargetMode="External"/><Relationship Id="rId204" Type="http://schemas.openxmlformats.org/officeDocument/2006/relationships/hyperlink" Target="https://www.ncbi.nlm.nih.gov/books/NBK279073/?report=classic" TargetMode="External"/><Relationship Id="rId15" Type="http://schemas.openxmlformats.org/officeDocument/2006/relationships/hyperlink" Target="https://www.ncbi.nlm.nih.gov/books/NBK279073/?report=classic" TargetMode="External"/><Relationship Id="rId36" Type="http://schemas.openxmlformats.org/officeDocument/2006/relationships/hyperlink" Target="https://www.ncbi.nlm.nih.gov/books/NBK279073/?report=classic" TargetMode="External"/><Relationship Id="rId57" Type="http://schemas.openxmlformats.org/officeDocument/2006/relationships/hyperlink" Target="https://www.ncbi.nlm.nih.gov/books/NBK279073/?report=classic" TargetMode="External"/><Relationship Id="rId106" Type="http://schemas.openxmlformats.org/officeDocument/2006/relationships/hyperlink" Target="https://www.ncbi.nlm.nih.gov/books/NBK279073/?report=classic" TargetMode="External"/><Relationship Id="rId127" Type="http://schemas.openxmlformats.org/officeDocument/2006/relationships/hyperlink" Target="https://www.ncbi.nlm.nih.gov/books/NBK279073/?report=classic" TargetMode="External"/><Relationship Id="rId10" Type="http://schemas.openxmlformats.org/officeDocument/2006/relationships/hyperlink" Target="https://www.ncbi.nlm.nih.gov/books/NBK279073/table/osteoporosis-prevent.T.secondary_causes/?report=objectonly" TargetMode="External"/><Relationship Id="rId31" Type="http://schemas.openxmlformats.org/officeDocument/2006/relationships/hyperlink" Target="https://www.ncbi.nlm.nih.gov/books/NBK279073/?report=classic" TargetMode="External"/><Relationship Id="rId52" Type="http://schemas.openxmlformats.org/officeDocument/2006/relationships/hyperlink" Target="https://www.ncbi.nlm.nih.gov/books/NBK279073/?report=classic" TargetMode="External"/><Relationship Id="rId73" Type="http://schemas.openxmlformats.org/officeDocument/2006/relationships/hyperlink" Target="https://www.ncbi.nlm.nih.gov/books/NBK279073/?report=classic" TargetMode="External"/><Relationship Id="rId78" Type="http://schemas.openxmlformats.org/officeDocument/2006/relationships/hyperlink" Target="https://www.ncbi.nlm.nih.gov/books/NBK279073/?report=classic" TargetMode="External"/><Relationship Id="rId94" Type="http://schemas.openxmlformats.org/officeDocument/2006/relationships/hyperlink" Target="https://www.ncbi.nlm.nih.gov/books/NBK279073/?report=classic" TargetMode="External"/><Relationship Id="rId99" Type="http://schemas.openxmlformats.org/officeDocument/2006/relationships/hyperlink" Target="https://www.ncbi.nlm.nih.gov/books/NBK279073/?report=classic" TargetMode="External"/><Relationship Id="rId101" Type="http://schemas.openxmlformats.org/officeDocument/2006/relationships/hyperlink" Target="https://www.ncbi.nlm.nih.gov/books/NBK279073/?report=classic" TargetMode="External"/><Relationship Id="rId122" Type="http://schemas.openxmlformats.org/officeDocument/2006/relationships/hyperlink" Target="https://www.ncbi.nlm.nih.gov/books/NBK279073/?report=classic" TargetMode="External"/><Relationship Id="rId143" Type="http://schemas.openxmlformats.org/officeDocument/2006/relationships/hyperlink" Target="https://www.ncbi.nlm.nih.gov/books/NBK279073/?report=classic" TargetMode="External"/><Relationship Id="rId148" Type="http://schemas.openxmlformats.org/officeDocument/2006/relationships/hyperlink" Target="https://www.ncbi.nlm.nih.gov/books/NBK279073/?report=classic" TargetMode="External"/><Relationship Id="rId164" Type="http://schemas.openxmlformats.org/officeDocument/2006/relationships/hyperlink" Target="https://www.ncbi.nlm.nih.gov/books/NBK279073/?report=classic" TargetMode="External"/><Relationship Id="rId169" Type="http://schemas.openxmlformats.org/officeDocument/2006/relationships/hyperlink" Target="https://www.ncbi.nlm.nih.gov/books/NBK279073/?report=classic" TargetMode="External"/><Relationship Id="rId185" Type="http://schemas.openxmlformats.org/officeDocument/2006/relationships/hyperlink" Target="https://www.ncbi.nlm.nih.gov/books/NBK279073/?report=classic" TargetMode="External"/><Relationship Id="rId4" Type="http://schemas.openxmlformats.org/officeDocument/2006/relationships/settings" Target="settings.xml"/><Relationship Id="rId9" Type="http://schemas.openxmlformats.org/officeDocument/2006/relationships/hyperlink" Target="https://www.ncbi.nlm.nih.gov/books/NBK279073/?report=classic" TargetMode="External"/><Relationship Id="rId180" Type="http://schemas.openxmlformats.org/officeDocument/2006/relationships/hyperlink" Target="https://www.ncbi.nlm.nih.gov/books/NBK279073/?report=classic" TargetMode="External"/><Relationship Id="rId210" Type="http://schemas.openxmlformats.org/officeDocument/2006/relationships/hyperlink" Target="https://www.ncbi.nlm.nih.gov/books/NBK279073/?report=classic" TargetMode="External"/><Relationship Id="rId215" Type="http://schemas.openxmlformats.org/officeDocument/2006/relationships/hyperlink" Target="https://www.ncbi.nlm.nih.gov/books/NBK279073/?report=classic" TargetMode="External"/><Relationship Id="rId26" Type="http://schemas.openxmlformats.org/officeDocument/2006/relationships/hyperlink" Target="https://www.ncbi.nlm.nih.gov/books/NBK279073/?report=classic" TargetMode="External"/><Relationship Id="rId47" Type="http://schemas.openxmlformats.org/officeDocument/2006/relationships/hyperlink" Target="https://www.ncbi.nlm.nih.gov/books/NBK279073/?report=classic" TargetMode="External"/><Relationship Id="rId68" Type="http://schemas.openxmlformats.org/officeDocument/2006/relationships/hyperlink" Target="https://www.ncbi.nlm.nih.gov/books/NBK279073/?report=classic" TargetMode="External"/><Relationship Id="rId89" Type="http://schemas.openxmlformats.org/officeDocument/2006/relationships/hyperlink" Target="https://www.ncbi.nlm.nih.gov/books/NBK279073/?report=classic" TargetMode="External"/><Relationship Id="rId112" Type="http://schemas.openxmlformats.org/officeDocument/2006/relationships/hyperlink" Target="https://www.ncbi.nlm.nih.gov/books/NBK279073/?report=classic" TargetMode="External"/><Relationship Id="rId133" Type="http://schemas.openxmlformats.org/officeDocument/2006/relationships/hyperlink" Target="https://www.ncbi.nlm.nih.gov/books/NBK279073/?report=classic" TargetMode="External"/><Relationship Id="rId154" Type="http://schemas.openxmlformats.org/officeDocument/2006/relationships/hyperlink" Target="https://www.ncbi.nlm.nih.gov/books/NBK279073/?report=classic" TargetMode="External"/><Relationship Id="rId175" Type="http://schemas.openxmlformats.org/officeDocument/2006/relationships/hyperlink" Target="https://www.ncbi.nlm.nih.gov/books/NBK279073/?report=classic" TargetMode="External"/><Relationship Id="rId196" Type="http://schemas.openxmlformats.org/officeDocument/2006/relationships/hyperlink" Target="https://www.ncbi.nlm.nih.gov/books/NBK279073/?report=classic" TargetMode="External"/><Relationship Id="rId200" Type="http://schemas.openxmlformats.org/officeDocument/2006/relationships/hyperlink" Target="https://www.ncbi.nlm.nih.gov/books/NBK279073/?report=classic" TargetMode="External"/><Relationship Id="rId16" Type="http://schemas.openxmlformats.org/officeDocument/2006/relationships/hyperlink" Target="https://www.ncbi.nlm.nih.gov/books/NBK279073/?report=classic" TargetMode="External"/><Relationship Id="rId37" Type="http://schemas.openxmlformats.org/officeDocument/2006/relationships/hyperlink" Target="https://www.ncbi.nlm.nih.gov/books/NBK279073/?report=classic" TargetMode="External"/><Relationship Id="rId58" Type="http://schemas.openxmlformats.org/officeDocument/2006/relationships/hyperlink" Target="https://www.ncbi.nlm.nih.gov/books/NBK279073/?report=classic" TargetMode="External"/><Relationship Id="rId79" Type="http://schemas.openxmlformats.org/officeDocument/2006/relationships/hyperlink" Target="https://www.ncbi.nlm.nih.gov/books/NBK279073/?report=classic" TargetMode="External"/><Relationship Id="rId102" Type="http://schemas.openxmlformats.org/officeDocument/2006/relationships/hyperlink" Target="https://www.ncbi.nlm.nih.gov/books/NBK279073/?report=classic" TargetMode="External"/><Relationship Id="rId123" Type="http://schemas.openxmlformats.org/officeDocument/2006/relationships/hyperlink" Target="https://www.ncbi.nlm.nih.gov/books/NBK279073/?report=classic" TargetMode="External"/><Relationship Id="rId144" Type="http://schemas.openxmlformats.org/officeDocument/2006/relationships/hyperlink" Target="https://www.ncbi.nlm.nih.gov/books/NBK279073/?report=clas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9267-7161-4F27-8454-7DE8B100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45</Pages>
  <Words>23410</Words>
  <Characters>133437</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Lampon, Marcella</dc:creator>
  <cp:keywords/>
  <dc:description/>
  <cp:lastModifiedBy>Kenneth Feingold</cp:lastModifiedBy>
  <cp:revision>6</cp:revision>
  <dcterms:created xsi:type="dcterms:W3CDTF">2022-12-23T20:50:00Z</dcterms:created>
  <dcterms:modified xsi:type="dcterms:W3CDTF">2022-12-26T19:22:00Z</dcterms:modified>
</cp:coreProperties>
</file>